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701AAF" w14:textId="56F666DA" w:rsidR="00F07F81" w:rsidRDefault="000741FA">
      <w:pPr>
        <w:spacing w:after="120"/>
        <w:rPr>
          <w:b/>
          <w:smallCaps/>
          <w:lang w:val="en-GB"/>
        </w:rPr>
      </w:pPr>
      <w:r>
        <w:rPr>
          <w:b/>
          <w:smallCaps/>
          <w:noProof/>
        </w:rPr>
        <w:drawing>
          <wp:anchor distT="0" distB="0" distL="114300" distR="114300" simplePos="0" relativeHeight="251657728" behindDoc="0" locked="0" layoutInCell="1" allowOverlap="1" wp14:anchorId="7E4538BF" wp14:editId="1308E2ED">
            <wp:simplePos x="0" y="0"/>
            <wp:positionH relativeFrom="column">
              <wp:posOffset>0</wp:posOffset>
            </wp:positionH>
            <wp:positionV relativeFrom="paragraph">
              <wp:posOffset>-342900</wp:posOffset>
            </wp:positionV>
            <wp:extent cx="5671820" cy="681355"/>
            <wp:effectExtent l="0" t="0" r="0" b="0"/>
            <wp:wrapNone/>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71820" cy="6813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BC6E1C" w14:textId="77777777" w:rsidR="00F07F81" w:rsidRDefault="00F07F81">
      <w:pPr>
        <w:spacing w:after="120"/>
        <w:jc w:val="center"/>
        <w:rPr>
          <w:b/>
          <w:smallCaps/>
          <w:lang w:val="en-GB"/>
        </w:rPr>
      </w:pPr>
    </w:p>
    <w:p w14:paraId="2BD90D67" w14:textId="77777777" w:rsidR="00F07F81" w:rsidRDefault="00F07F81">
      <w:pPr>
        <w:spacing w:after="120"/>
        <w:jc w:val="center"/>
        <w:rPr>
          <w:b/>
          <w:smallCaps/>
          <w:lang w:val="en-GB"/>
        </w:rPr>
      </w:pPr>
      <w:r>
        <w:rPr>
          <w:b/>
          <w:smallCaps/>
          <w:lang w:val="en-GB"/>
        </w:rPr>
        <w:t>Project Document</w:t>
      </w:r>
    </w:p>
    <w:p w14:paraId="40E3EB1B" w14:textId="77777777" w:rsidR="00F07F81" w:rsidRDefault="00F07F81">
      <w:pPr>
        <w:jc w:val="center"/>
        <w:rPr>
          <w:sz w:val="22"/>
          <w:szCs w:val="22"/>
          <w:lang w:val="en-GB"/>
        </w:rPr>
      </w:pPr>
    </w:p>
    <w:p w14:paraId="02BF379D" w14:textId="77777777" w:rsidR="00F07F81" w:rsidRDefault="00F07F81">
      <w:pPr>
        <w:spacing w:after="120"/>
        <w:outlineLvl w:val="0"/>
        <w:rPr>
          <w:b/>
          <w:smallCaps/>
          <w:sz w:val="22"/>
          <w:szCs w:val="22"/>
          <w:lang w:val="en-GB"/>
        </w:rPr>
      </w:pPr>
      <w:bookmarkStart w:id="0" w:name="_Toc209432638"/>
      <w:r>
        <w:rPr>
          <w:b/>
          <w:smallCaps/>
          <w:sz w:val="22"/>
          <w:szCs w:val="22"/>
          <w:lang w:val="en-GB"/>
        </w:rPr>
        <w:t>Section 1: Project Identification</w:t>
      </w:r>
      <w:bookmarkEnd w:id="0"/>
    </w:p>
    <w:p w14:paraId="7CC53C7A" w14:textId="77777777" w:rsidR="00E32A59" w:rsidRDefault="00F07F81" w:rsidP="00E32A59">
      <w:pPr>
        <w:ind w:left="720" w:hanging="720"/>
        <w:rPr>
          <w:sz w:val="22"/>
          <w:szCs w:val="22"/>
          <w:lang w:val="en-GB"/>
        </w:rPr>
      </w:pPr>
      <w:r>
        <w:rPr>
          <w:b/>
          <w:sz w:val="22"/>
          <w:szCs w:val="22"/>
          <w:lang w:val="en-GB"/>
        </w:rPr>
        <w:t>1.1</w:t>
      </w:r>
      <w:r>
        <w:rPr>
          <w:b/>
          <w:sz w:val="22"/>
          <w:szCs w:val="22"/>
          <w:lang w:val="en-GB"/>
        </w:rPr>
        <w:tab/>
        <w:t>Project title:</w:t>
      </w:r>
      <w:r>
        <w:rPr>
          <w:sz w:val="22"/>
          <w:szCs w:val="22"/>
          <w:lang w:val="en-GB"/>
        </w:rPr>
        <w:tab/>
      </w:r>
      <w:r>
        <w:rPr>
          <w:sz w:val="22"/>
          <w:szCs w:val="22"/>
          <w:lang w:val="en-GB"/>
        </w:rPr>
        <w:tab/>
      </w:r>
      <w:r>
        <w:rPr>
          <w:sz w:val="22"/>
          <w:szCs w:val="22"/>
          <w:lang w:val="en-GB"/>
        </w:rPr>
        <w:tab/>
      </w:r>
      <w:r>
        <w:rPr>
          <w:sz w:val="22"/>
          <w:szCs w:val="22"/>
          <w:lang w:val="en-GB"/>
        </w:rPr>
        <w:tab/>
      </w:r>
      <w:r w:rsidR="00FE26BA">
        <w:rPr>
          <w:sz w:val="22"/>
          <w:szCs w:val="22"/>
          <w:lang w:val="en-GB"/>
        </w:rPr>
        <w:t>Im</w:t>
      </w:r>
      <w:r w:rsidR="00F14C31">
        <w:rPr>
          <w:sz w:val="22"/>
          <w:szCs w:val="22"/>
          <w:lang w:val="en-GB"/>
        </w:rPr>
        <w:t>plementing the S</w:t>
      </w:r>
      <w:r w:rsidR="00201806">
        <w:rPr>
          <w:sz w:val="22"/>
          <w:szCs w:val="22"/>
          <w:lang w:val="en-GB"/>
        </w:rPr>
        <w:t xml:space="preserve">trategic </w:t>
      </w:r>
      <w:r w:rsidR="00F14C31">
        <w:rPr>
          <w:sz w:val="22"/>
          <w:szCs w:val="22"/>
          <w:lang w:val="en-GB"/>
        </w:rPr>
        <w:t>A</w:t>
      </w:r>
      <w:r w:rsidR="00201806">
        <w:rPr>
          <w:sz w:val="22"/>
          <w:szCs w:val="22"/>
          <w:lang w:val="en-GB"/>
        </w:rPr>
        <w:t xml:space="preserve">ction </w:t>
      </w:r>
      <w:r w:rsidR="00F14C31">
        <w:rPr>
          <w:sz w:val="22"/>
          <w:szCs w:val="22"/>
          <w:lang w:val="en-GB"/>
        </w:rPr>
        <w:t>P</w:t>
      </w:r>
      <w:r w:rsidR="00201806">
        <w:rPr>
          <w:sz w:val="22"/>
          <w:szCs w:val="22"/>
          <w:lang w:val="en-GB"/>
        </w:rPr>
        <w:t xml:space="preserve">rogramme for </w:t>
      </w:r>
    </w:p>
    <w:p w14:paraId="35AE083D" w14:textId="77777777" w:rsidR="00F07F81" w:rsidRDefault="00E32A59" w:rsidP="00FE26BA">
      <w:pPr>
        <w:spacing w:after="120"/>
        <w:ind w:left="720" w:hanging="720"/>
        <w:rPr>
          <w:sz w:val="22"/>
          <w:szCs w:val="22"/>
          <w:lang w:val="en-GB"/>
        </w:rPr>
      </w:pPr>
      <w:r w:rsidRPr="00E32A59">
        <w:tab/>
      </w:r>
      <w:r w:rsidRPr="00E32A59">
        <w:tab/>
      </w:r>
      <w:r w:rsidRPr="00E32A59">
        <w:tab/>
      </w:r>
      <w:r w:rsidRPr="00E32A59">
        <w:tab/>
      </w:r>
      <w:r w:rsidRPr="00E32A59">
        <w:tab/>
      </w:r>
      <w:r w:rsidRPr="00E32A59">
        <w:tab/>
      </w:r>
      <w:r w:rsidR="00201806">
        <w:rPr>
          <w:sz w:val="22"/>
          <w:szCs w:val="22"/>
          <w:lang w:val="en-GB"/>
        </w:rPr>
        <w:t>the South China Sea</w:t>
      </w:r>
    </w:p>
    <w:p w14:paraId="707ED690" w14:textId="77777777" w:rsidR="00F07F81" w:rsidRDefault="00F07F81">
      <w:pPr>
        <w:rPr>
          <w:sz w:val="22"/>
          <w:szCs w:val="22"/>
          <w:lang w:val="en-GB"/>
        </w:rPr>
      </w:pPr>
      <w:r>
        <w:rPr>
          <w:b/>
          <w:sz w:val="22"/>
          <w:szCs w:val="22"/>
          <w:lang w:val="en-GB"/>
        </w:rPr>
        <w:t>1.2</w:t>
      </w:r>
      <w:r>
        <w:rPr>
          <w:b/>
          <w:sz w:val="22"/>
          <w:szCs w:val="22"/>
          <w:lang w:val="en-GB"/>
        </w:rPr>
        <w:tab/>
        <w:t>Project number:</w:t>
      </w:r>
      <w:r>
        <w:rPr>
          <w:sz w:val="22"/>
          <w:szCs w:val="22"/>
          <w:lang w:val="en-GB"/>
        </w:rPr>
        <w:tab/>
      </w:r>
      <w:r>
        <w:rPr>
          <w:sz w:val="22"/>
          <w:szCs w:val="22"/>
          <w:lang w:val="en-GB"/>
        </w:rPr>
        <w:tab/>
      </w:r>
      <w:r>
        <w:rPr>
          <w:sz w:val="22"/>
          <w:szCs w:val="22"/>
          <w:lang w:val="en-GB"/>
        </w:rPr>
        <w:tab/>
      </w:r>
      <w:r w:rsidRPr="00DA5FCD">
        <w:rPr>
          <w:sz w:val="22"/>
          <w:szCs w:val="22"/>
          <w:shd w:val="clear" w:color="auto" w:fill="FFFFFF"/>
          <w:lang w:val="en-GB"/>
        </w:rPr>
        <w:fldChar w:fldCharType="begin">
          <w:ffData>
            <w:name w:val="Dropdown7"/>
            <w:enabled/>
            <w:calcOnExit w:val="0"/>
            <w:ddList>
              <w:listEntry w:val="GFL/"/>
              <w:listEntry w:val="LDL/"/>
              <w:listEntry w:val="CCL/"/>
            </w:ddList>
          </w:ffData>
        </w:fldChar>
      </w:r>
      <w:bookmarkStart w:id="1" w:name="Dropdown7"/>
      <w:r w:rsidRPr="00DA5FCD">
        <w:rPr>
          <w:sz w:val="22"/>
          <w:szCs w:val="22"/>
          <w:shd w:val="clear" w:color="auto" w:fill="FFFFFF"/>
          <w:lang w:val="en-GB"/>
        </w:rPr>
        <w:instrText xml:space="preserve"> FORMDROPDOWN </w:instrText>
      </w:r>
      <w:r w:rsidRPr="00DA5FCD">
        <w:rPr>
          <w:sz w:val="22"/>
          <w:szCs w:val="22"/>
          <w:shd w:val="clear" w:color="auto" w:fill="FFFFFF"/>
          <w:lang w:val="en-GB"/>
        </w:rPr>
      </w:r>
      <w:r w:rsidRPr="00DA5FCD">
        <w:rPr>
          <w:sz w:val="22"/>
          <w:szCs w:val="22"/>
          <w:shd w:val="clear" w:color="auto" w:fill="FFFFFF"/>
          <w:lang w:val="en-GB"/>
        </w:rPr>
        <w:fldChar w:fldCharType="end"/>
      </w:r>
      <w:bookmarkEnd w:id="1"/>
    </w:p>
    <w:p w14:paraId="4CFA3A50" w14:textId="77777777" w:rsidR="00F07F81" w:rsidRDefault="00F07F81">
      <w:pPr>
        <w:rPr>
          <w:sz w:val="22"/>
          <w:szCs w:val="22"/>
          <w:lang w:val="en-GB"/>
        </w:rPr>
      </w:pPr>
      <w:r>
        <w:rPr>
          <w:sz w:val="22"/>
          <w:szCs w:val="22"/>
          <w:lang w:val="en-GB"/>
        </w:rPr>
        <w:tab/>
      </w:r>
      <w:r>
        <w:rPr>
          <w:sz w:val="22"/>
          <w:szCs w:val="22"/>
          <w:lang w:val="en-GB"/>
        </w:rPr>
        <w:tab/>
      </w:r>
      <w:r>
        <w:rPr>
          <w:sz w:val="22"/>
          <w:szCs w:val="22"/>
          <w:lang w:val="en-GB"/>
        </w:rPr>
        <w:tab/>
      </w:r>
      <w:r>
        <w:rPr>
          <w:sz w:val="22"/>
          <w:szCs w:val="22"/>
          <w:lang w:val="en-GB"/>
        </w:rPr>
        <w:tab/>
      </w:r>
      <w:r>
        <w:rPr>
          <w:sz w:val="22"/>
          <w:szCs w:val="22"/>
          <w:lang w:val="en-GB"/>
        </w:rPr>
        <w:tab/>
      </w:r>
      <w:r>
        <w:rPr>
          <w:sz w:val="22"/>
          <w:szCs w:val="22"/>
          <w:lang w:val="en-GB"/>
        </w:rPr>
        <w:tab/>
        <w:t xml:space="preserve">PMS: </w:t>
      </w:r>
    </w:p>
    <w:p w14:paraId="369BED66" w14:textId="77777777" w:rsidR="00F07F81" w:rsidRDefault="00F07F81">
      <w:pPr>
        <w:spacing w:after="120"/>
        <w:rPr>
          <w:sz w:val="22"/>
          <w:szCs w:val="22"/>
          <w:lang w:val="en-GB"/>
        </w:rPr>
      </w:pPr>
      <w:r>
        <w:rPr>
          <w:b/>
          <w:sz w:val="22"/>
          <w:szCs w:val="22"/>
          <w:lang w:val="en-GB"/>
        </w:rPr>
        <w:t>1.3</w:t>
      </w:r>
      <w:r>
        <w:rPr>
          <w:b/>
          <w:sz w:val="22"/>
          <w:szCs w:val="22"/>
          <w:lang w:val="en-GB"/>
        </w:rPr>
        <w:tab/>
        <w:t>Project type:</w:t>
      </w:r>
      <w:r>
        <w:rPr>
          <w:sz w:val="22"/>
          <w:szCs w:val="22"/>
          <w:lang w:val="en-GB"/>
        </w:rPr>
        <w:t xml:space="preserve"> </w:t>
      </w:r>
      <w:bookmarkStart w:id="2" w:name="Dropdown1"/>
      <w:r>
        <w:rPr>
          <w:sz w:val="22"/>
          <w:szCs w:val="22"/>
          <w:lang w:val="en-GB"/>
        </w:rPr>
        <w:tab/>
      </w:r>
      <w:r>
        <w:rPr>
          <w:sz w:val="22"/>
          <w:szCs w:val="22"/>
          <w:lang w:val="en-GB"/>
        </w:rPr>
        <w:tab/>
      </w:r>
      <w:r>
        <w:rPr>
          <w:sz w:val="22"/>
          <w:szCs w:val="22"/>
          <w:lang w:val="en-GB"/>
        </w:rPr>
        <w:tab/>
      </w:r>
      <w:r>
        <w:rPr>
          <w:sz w:val="22"/>
          <w:szCs w:val="22"/>
          <w:lang w:val="en-GB"/>
        </w:rPr>
        <w:tab/>
      </w:r>
      <w:bookmarkEnd w:id="2"/>
      <w:r>
        <w:rPr>
          <w:sz w:val="22"/>
          <w:szCs w:val="22"/>
          <w:lang w:val="en-GB"/>
        </w:rPr>
        <w:fldChar w:fldCharType="begin">
          <w:ffData>
            <w:name w:val=""/>
            <w:enabled/>
            <w:calcOnExit w:val="0"/>
            <w:statusText w:type="text" w:val="FSP: Full size project  MSP: Medium-sized project  EA: Enabling Activitiy"/>
            <w:ddList>
              <w:listEntry w:val="FSP"/>
              <w:listEntry w:val="MSP"/>
              <w:listEntry w:val="EEA"/>
            </w:ddList>
          </w:ffData>
        </w:fldChar>
      </w:r>
      <w:r>
        <w:rPr>
          <w:sz w:val="22"/>
          <w:szCs w:val="22"/>
          <w:lang w:val="en-GB"/>
        </w:rPr>
        <w:instrText xml:space="preserve"> FORMDROPDOWN </w:instrText>
      </w:r>
      <w:r>
        <w:rPr>
          <w:sz w:val="22"/>
          <w:szCs w:val="22"/>
          <w:lang w:val="en-GB"/>
        </w:rPr>
      </w:r>
      <w:r>
        <w:rPr>
          <w:sz w:val="22"/>
          <w:szCs w:val="22"/>
          <w:lang w:val="en-GB"/>
        </w:rPr>
        <w:fldChar w:fldCharType="end"/>
      </w:r>
    </w:p>
    <w:p w14:paraId="16EF2FD5" w14:textId="77777777" w:rsidR="00F07F81" w:rsidRDefault="00F07F81">
      <w:pPr>
        <w:spacing w:after="120"/>
        <w:rPr>
          <w:sz w:val="22"/>
          <w:szCs w:val="22"/>
          <w:lang w:val="en-GB"/>
        </w:rPr>
      </w:pPr>
      <w:r>
        <w:rPr>
          <w:b/>
          <w:sz w:val="22"/>
          <w:szCs w:val="22"/>
          <w:lang w:val="en-GB"/>
        </w:rPr>
        <w:t>1.4</w:t>
      </w:r>
      <w:r>
        <w:rPr>
          <w:b/>
          <w:sz w:val="22"/>
          <w:szCs w:val="22"/>
          <w:lang w:val="en-GB"/>
        </w:rPr>
        <w:tab/>
        <w:t>Trust Fund:</w:t>
      </w:r>
      <w:r>
        <w:rPr>
          <w:b/>
          <w:sz w:val="22"/>
          <w:szCs w:val="22"/>
          <w:lang w:val="en-GB"/>
        </w:rPr>
        <w:tab/>
      </w:r>
      <w:r>
        <w:rPr>
          <w:b/>
          <w:sz w:val="22"/>
          <w:szCs w:val="22"/>
          <w:lang w:val="en-GB"/>
        </w:rPr>
        <w:tab/>
      </w:r>
      <w:r>
        <w:rPr>
          <w:b/>
          <w:sz w:val="22"/>
          <w:szCs w:val="22"/>
          <w:lang w:val="en-GB"/>
        </w:rPr>
        <w:tab/>
      </w:r>
      <w:r>
        <w:rPr>
          <w:b/>
          <w:sz w:val="22"/>
          <w:szCs w:val="22"/>
          <w:lang w:val="en-GB"/>
        </w:rPr>
        <w:tab/>
      </w:r>
      <w:bookmarkStart w:id="3" w:name="Dropdown9"/>
      <w:r>
        <w:rPr>
          <w:sz w:val="22"/>
          <w:szCs w:val="22"/>
          <w:lang w:val="en-GB"/>
        </w:rPr>
        <w:fldChar w:fldCharType="begin">
          <w:ffData>
            <w:name w:val="Dropdown9"/>
            <w:enabled/>
            <w:calcOnExit w:val="0"/>
            <w:ddList>
              <w:listEntry w:val="GEF"/>
              <w:listEntry w:val="SCCF"/>
              <w:listEntry w:val="LDCF"/>
            </w:ddList>
          </w:ffData>
        </w:fldChar>
      </w:r>
      <w:r>
        <w:rPr>
          <w:sz w:val="22"/>
          <w:szCs w:val="22"/>
          <w:lang w:val="en-GB"/>
        </w:rPr>
        <w:instrText xml:space="preserve"> FORMDROPDOWN </w:instrText>
      </w:r>
      <w:r>
        <w:rPr>
          <w:sz w:val="22"/>
          <w:szCs w:val="22"/>
          <w:lang w:val="en-GB"/>
        </w:rPr>
      </w:r>
      <w:r>
        <w:rPr>
          <w:sz w:val="22"/>
          <w:szCs w:val="22"/>
          <w:lang w:val="en-GB"/>
        </w:rPr>
        <w:fldChar w:fldCharType="end"/>
      </w:r>
      <w:bookmarkEnd w:id="3"/>
    </w:p>
    <w:p w14:paraId="710AC6AF" w14:textId="77777777" w:rsidR="00F07F81" w:rsidRDefault="00F07F81">
      <w:pPr>
        <w:spacing w:after="120"/>
        <w:rPr>
          <w:sz w:val="22"/>
          <w:szCs w:val="22"/>
          <w:lang w:val="en-GB"/>
        </w:rPr>
      </w:pPr>
      <w:r>
        <w:rPr>
          <w:b/>
          <w:sz w:val="22"/>
          <w:szCs w:val="22"/>
          <w:lang w:val="en-GB"/>
        </w:rPr>
        <w:t>1.5</w:t>
      </w:r>
      <w:r>
        <w:rPr>
          <w:b/>
          <w:sz w:val="22"/>
          <w:szCs w:val="22"/>
          <w:lang w:val="en-GB"/>
        </w:rPr>
        <w:tab/>
        <w:t xml:space="preserve">Strategic objectives: </w:t>
      </w:r>
      <w:bookmarkStart w:id="4" w:name="Dropdown2"/>
      <w:r>
        <w:rPr>
          <w:sz w:val="22"/>
          <w:szCs w:val="22"/>
          <w:lang w:val="en-GB"/>
        </w:rPr>
        <w:tab/>
      </w:r>
      <w:r>
        <w:rPr>
          <w:sz w:val="22"/>
          <w:szCs w:val="22"/>
          <w:lang w:val="en-GB"/>
        </w:rPr>
        <w:tab/>
      </w:r>
      <w:r>
        <w:rPr>
          <w:sz w:val="22"/>
          <w:szCs w:val="22"/>
          <w:lang w:val="en-GB"/>
        </w:rPr>
        <w:tab/>
      </w:r>
      <w:bookmarkEnd w:id="4"/>
    </w:p>
    <w:p w14:paraId="45750C47" w14:textId="77777777" w:rsidR="00F07F81" w:rsidRPr="00E32A59" w:rsidRDefault="00F07F81" w:rsidP="00201806">
      <w:pPr>
        <w:spacing w:after="120"/>
        <w:ind w:left="4320" w:hanging="3600"/>
        <w:rPr>
          <w:sz w:val="21"/>
          <w:szCs w:val="21"/>
          <w:lang w:val="en-GB"/>
        </w:rPr>
      </w:pPr>
      <w:r w:rsidRPr="00E32A59">
        <w:rPr>
          <w:sz w:val="21"/>
          <w:szCs w:val="21"/>
          <w:lang w:val="en-GB"/>
        </w:rPr>
        <w:t>GEF strategic long-term objective:</w:t>
      </w:r>
      <w:r w:rsidRPr="00E32A59">
        <w:rPr>
          <w:sz w:val="21"/>
          <w:szCs w:val="21"/>
          <w:lang w:val="en-GB"/>
        </w:rPr>
        <w:tab/>
      </w:r>
      <w:r w:rsidR="00201806" w:rsidRPr="00E32A59">
        <w:rPr>
          <w:sz w:val="21"/>
          <w:szCs w:val="21"/>
          <w:lang w:val="en-GB"/>
        </w:rPr>
        <w:t>Promotion of collective management of transboundary water systems</w:t>
      </w:r>
    </w:p>
    <w:p w14:paraId="3664DE6E" w14:textId="77777777" w:rsidR="00E32A59" w:rsidRPr="00E32A59" w:rsidRDefault="00297F30" w:rsidP="00E32A59">
      <w:pPr>
        <w:rPr>
          <w:sz w:val="21"/>
          <w:szCs w:val="21"/>
          <w:lang w:val="en-GB"/>
        </w:rPr>
      </w:pPr>
      <w:r w:rsidRPr="00E32A59">
        <w:rPr>
          <w:sz w:val="21"/>
          <w:szCs w:val="21"/>
          <w:lang w:val="en-GB"/>
        </w:rPr>
        <w:tab/>
        <w:t xml:space="preserve">Strategic programme for GEF </w:t>
      </w:r>
      <w:r w:rsidR="00E32A59" w:rsidRPr="00E32A59">
        <w:rPr>
          <w:sz w:val="21"/>
          <w:szCs w:val="21"/>
          <w:lang w:val="en-GB"/>
        </w:rPr>
        <w:t>V:</w:t>
      </w:r>
      <w:r w:rsidR="00E32A59" w:rsidRPr="00E32A59">
        <w:rPr>
          <w:sz w:val="21"/>
          <w:szCs w:val="21"/>
          <w:lang w:val="en-GB"/>
        </w:rPr>
        <w:tab/>
      </w:r>
      <w:r w:rsidR="00E32A59">
        <w:rPr>
          <w:sz w:val="21"/>
          <w:szCs w:val="21"/>
          <w:lang w:val="en-GB"/>
        </w:rPr>
        <w:tab/>
      </w:r>
      <w:r w:rsidR="00E32A59" w:rsidRPr="00E32A59">
        <w:rPr>
          <w:sz w:val="21"/>
          <w:szCs w:val="21"/>
          <w:lang w:val="en-GB"/>
        </w:rPr>
        <w:t>GEF-5 International Waters Strategic Priority 2:</w:t>
      </w:r>
    </w:p>
    <w:p w14:paraId="56B5E53F" w14:textId="77777777" w:rsidR="00F07F81" w:rsidRPr="00E32A59" w:rsidRDefault="00E32A59" w:rsidP="00E32A59">
      <w:pPr>
        <w:spacing w:after="120"/>
        <w:ind w:left="4320"/>
        <w:rPr>
          <w:b/>
          <w:sz w:val="21"/>
          <w:szCs w:val="21"/>
          <w:lang w:val="en-GB"/>
        </w:rPr>
      </w:pPr>
      <w:r w:rsidRPr="00E32A59">
        <w:rPr>
          <w:sz w:val="21"/>
          <w:szCs w:val="21"/>
          <w:lang w:val="en-GB"/>
        </w:rPr>
        <w:t xml:space="preserve">Catalyze multi-state cooperation to rebuild marine fisheries and </w:t>
      </w:r>
      <w:r w:rsidR="006877E9">
        <w:rPr>
          <w:sz w:val="21"/>
          <w:szCs w:val="21"/>
          <w:lang w:val="en-GB"/>
        </w:rPr>
        <w:t xml:space="preserve">reduce </w:t>
      </w:r>
      <w:r w:rsidRPr="00E32A59">
        <w:rPr>
          <w:sz w:val="21"/>
          <w:szCs w:val="21"/>
          <w:lang w:val="en-GB"/>
        </w:rPr>
        <w:t>pollution of coasts and large marine ecosystems while considering climate variability and change</w:t>
      </w:r>
      <w:r w:rsidR="00F07F81" w:rsidRPr="00E32A59">
        <w:rPr>
          <w:b/>
          <w:sz w:val="21"/>
          <w:szCs w:val="21"/>
          <w:lang w:val="en-GB"/>
        </w:rPr>
        <w:tab/>
      </w:r>
    </w:p>
    <w:p w14:paraId="1B288013" w14:textId="77777777" w:rsidR="00F07F81" w:rsidRDefault="00F07F81">
      <w:pPr>
        <w:spacing w:after="120"/>
        <w:rPr>
          <w:sz w:val="22"/>
          <w:szCs w:val="22"/>
          <w:lang w:val="en-GB"/>
        </w:rPr>
      </w:pPr>
      <w:r>
        <w:rPr>
          <w:b/>
          <w:sz w:val="22"/>
          <w:szCs w:val="22"/>
          <w:lang w:val="en-GB"/>
        </w:rPr>
        <w:t>1.6</w:t>
      </w:r>
      <w:r>
        <w:rPr>
          <w:b/>
          <w:sz w:val="22"/>
          <w:szCs w:val="22"/>
          <w:lang w:val="en-GB"/>
        </w:rPr>
        <w:tab/>
        <w:t>UNEP priority:</w:t>
      </w:r>
      <w:r>
        <w:rPr>
          <w:sz w:val="22"/>
          <w:szCs w:val="22"/>
          <w:lang w:val="en-GB"/>
        </w:rPr>
        <w:t xml:space="preserve"> </w:t>
      </w:r>
      <w:bookmarkStart w:id="5" w:name="Dropdown3"/>
      <w:r>
        <w:rPr>
          <w:sz w:val="22"/>
          <w:szCs w:val="22"/>
          <w:lang w:val="en-GB"/>
        </w:rPr>
        <w:tab/>
      </w:r>
      <w:r>
        <w:rPr>
          <w:sz w:val="22"/>
          <w:szCs w:val="22"/>
          <w:lang w:val="en-GB"/>
        </w:rPr>
        <w:tab/>
      </w:r>
      <w:r>
        <w:rPr>
          <w:sz w:val="22"/>
          <w:szCs w:val="22"/>
          <w:lang w:val="en-GB"/>
        </w:rPr>
        <w:tab/>
      </w:r>
      <w:bookmarkEnd w:id="5"/>
      <w:r w:rsidR="006B677B" w:rsidRPr="006B677B">
        <w:rPr>
          <w:sz w:val="22"/>
          <w:szCs w:val="22"/>
          <w:lang w:val="en-GB"/>
        </w:rPr>
        <w:t>SP3 - EA321-4/331 &amp; 332</w:t>
      </w:r>
    </w:p>
    <w:p w14:paraId="7BC618BD" w14:textId="77777777" w:rsidR="00E32A59" w:rsidRDefault="00F07F81" w:rsidP="00E32A59">
      <w:pPr>
        <w:ind w:left="720" w:hanging="720"/>
        <w:rPr>
          <w:sz w:val="22"/>
          <w:szCs w:val="22"/>
          <w:lang w:val="en-GB"/>
        </w:rPr>
      </w:pPr>
      <w:r>
        <w:rPr>
          <w:b/>
          <w:sz w:val="22"/>
          <w:szCs w:val="22"/>
          <w:lang w:val="en-GB"/>
        </w:rPr>
        <w:t>1.7</w:t>
      </w:r>
      <w:r>
        <w:rPr>
          <w:b/>
          <w:sz w:val="22"/>
          <w:szCs w:val="22"/>
          <w:lang w:val="en-GB"/>
        </w:rPr>
        <w:tab/>
        <w:t>Geographical scope:</w:t>
      </w:r>
      <w:r>
        <w:rPr>
          <w:sz w:val="22"/>
          <w:szCs w:val="22"/>
          <w:lang w:val="en-GB"/>
        </w:rPr>
        <w:tab/>
      </w:r>
      <w:r>
        <w:rPr>
          <w:sz w:val="22"/>
          <w:szCs w:val="22"/>
          <w:lang w:val="en-GB"/>
        </w:rPr>
        <w:tab/>
      </w:r>
      <w:r>
        <w:rPr>
          <w:sz w:val="22"/>
          <w:szCs w:val="22"/>
          <w:lang w:val="en-GB"/>
        </w:rPr>
        <w:tab/>
      </w:r>
      <w:bookmarkStart w:id="6" w:name="Dropdown8"/>
      <w:r w:rsidR="00FE26BA">
        <w:rPr>
          <w:sz w:val="22"/>
          <w:szCs w:val="22"/>
          <w:lang w:val="en-GB"/>
        </w:rPr>
        <w:fldChar w:fldCharType="begin">
          <w:ffData>
            <w:name w:val="Dropdown8"/>
            <w:enabled/>
            <w:calcOnExit w:val="0"/>
            <w:ddList>
              <w:listEntry w:val="Regional"/>
              <w:listEntry w:val="Global"/>
              <w:listEntry w:val="Global multi-country"/>
              <w:listEntry w:val="Regional multi-country"/>
              <w:listEntry w:val="Sub-regional"/>
              <w:listEntry w:val="National"/>
            </w:ddList>
          </w:ffData>
        </w:fldChar>
      </w:r>
      <w:r w:rsidR="00FE26BA">
        <w:rPr>
          <w:sz w:val="22"/>
          <w:szCs w:val="22"/>
          <w:lang w:val="en-GB"/>
        </w:rPr>
        <w:instrText xml:space="preserve"> FORMDROPDOWN </w:instrText>
      </w:r>
      <w:r w:rsidR="00FE26BA">
        <w:rPr>
          <w:sz w:val="22"/>
          <w:szCs w:val="22"/>
          <w:lang w:val="en-GB"/>
        </w:rPr>
      </w:r>
      <w:r w:rsidR="00FE26BA">
        <w:rPr>
          <w:sz w:val="22"/>
          <w:szCs w:val="22"/>
          <w:lang w:val="en-GB"/>
        </w:rPr>
        <w:fldChar w:fldCharType="end"/>
      </w:r>
      <w:bookmarkEnd w:id="6"/>
      <w:r w:rsidR="00E32A59">
        <w:rPr>
          <w:sz w:val="22"/>
          <w:szCs w:val="22"/>
          <w:lang w:val="en-GB"/>
        </w:rPr>
        <w:t xml:space="preserve"> (South East Asia) - Cambodia, China, </w:t>
      </w:r>
    </w:p>
    <w:p w14:paraId="79B00191" w14:textId="77777777" w:rsidR="00F07F81" w:rsidRDefault="00E32A59" w:rsidP="00E32A59">
      <w:pPr>
        <w:spacing w:after="120"/>
        <w:ind w:left="3600" w:firstLine="720"/>
        <w:rPr>
          <w:sz w:val="22"/>
          <w:szCs w:val="22"/>
          <w:lang w:val="en-GB"/>
        </w:rPr>
      </w:pPr>
      <w:r>
        <w:rPr>
          <w:sz w:val="22"/>
          <w:szCs w:val="22"/>
          <w:lang w:val="en-GB"/>
        </w:rPr>
        <w:t>Indonesia, Philippines, Thailand, and Vietnam</w:t>
      </w:r>
      <w:r w:rsidR="00F07F81">
        <w:rPr>
          <w:sz w:val="22"/>
          <w:szCs w:val="22"/>
          <w:lang w:val="en-GB"/>
        </w:rPr>
        <w:fldChar w:fldCharType="begin">
          <w:ffData>
            <w:name w:val="Text4"/>
            <w:enabled/>
            <w:calcOnExit w:val="0"/>
            <w:textInput/>
          </w:ffData>
        </w:fldChar>
      </w:r>
      <w:bookmarkStart w:id="7" w:name="Text4"/>
      <w:r w:rsidR="00F07F81">
        <w:rPr>
          <w:sz w:val="22"/>
          <w:szCs w:val="22"/>
          <w:lang w:val="en-GB"/>
        </w:rPr>
        <w:instrText xml:space="preserve"> FORMTEXT </w:instrText>
      </w:r>
      <w:r w:rsidR="00F07F81">
        <w:rPr>
          <w:sz w:val="22"/>
          <w:szCs w:val="22"/>
          <w:lang w:val="en-GB"/>
        </w:rPr>
      </w:r>
      <w:r w:rsidR="00F07F81">
        <w:rPr>
          <w:sz w:val="22"/>
          <w:szCs w:val="22"/>
          <w:lang w:val="en-GB"/>
        </w:rPr>
        <w:fldChar w:fldCharType="separate"/>
      </w:r>
      <w:r w:rsidR="00F07F81">
        <w:rPr>
          <w:sz w:val="22"/>
          <w:szCs w:val="22"/>
          <w:lang w:val="en-GB"/>
        </w:rPr>
        <w:fldChar w:fldCharType="end"/>
      </w:r>
      <w:bookmarkEnd w:id="7"/>
    </w:p>
    <w:p w14:paraId="70392211" w14:textId="77777777" w:rsidR="005A319E" w:rsidRDefault="00F07F81">
      <w:pPr>
        <w:spacing w:after="120"/>
        <w:rPr>
          <w:sz w:val="22"/>
          <w:szCs w:val="22"/>
          <w:lang w:val="en-GB"/>
        </w:rPr>
      </w:pPr>
      <w:r>
        <w:rPr>
          <w:b/>
          <w:sz w:val="22"/>
          <w:szCs w:val="22"/>
          <w:lang w:val="en-GB"/>
        </w:rPr>
        <w:t>1.8</w:t>
      </w:r>
      <w:r>
        <w:rPr>
          <w:b/>
          <w:sz w:val="22"/>
          <w:szCs w:val="22"/>
          <w:lang w:val="en-GB"/>
        </w:rPr>
        <w:tab/>
        <w:t>Mode of execution:</w:t>
      </w:r>
      <w:r>
        <w:rPr>
          <w:b/>
          <w:sz w:val="22"/>
          <w:szCs w:val="22"/>
          <w:lang w:val="en-GB"/>
        </w:rPr>
        <w:tab/>
      </w:r>
      <w:r>
        <w:rPr>
          <w:b/>
          <w:sz w:val="22"/>
          <w:szCs w:val="22"/>
          <w:lang w:val="en-GB"/>
        </w:rPr>
        <w:tab/>
      </w:r>
      <w:r>
        <w:rPr>
          <w:sz w:val="22"/>
          <w:szCs w:val="22"/>
          <w:lang w:val="en-GB"/>
        </w:rPr>
        <w:tab/>
      </w:r>
      <w:r w:rsidR="005A319E">
        <w:rPr>
          <w:sz w:val="22"/>
          <w:szCs w:val="22"/>
          <w:lang w:val="en-GB"/>
        </w:rPr>
        <w:t>External</w:t>
      </w:r>
    </w:p>
    <w:p w14:paraId="5ADCD2E5" w14:textId="77777777" w:rsidR="00F07F81" w:rsidRDefault="00F07F81" w:rsidP="00DB78B9">
      <w:pPr>
        <w:spacing w:after="120"/>
        <w:rPr>
          <w:sz w:val="22"/>
          <w:szCs w:val="22"/>
          <w:lang w:val="en-GB"/>
        </w:rPr>
      </w:pPr>
      <w:r>
        <w:rPr>
          <w:b/>
          <w:sz w:val="22"/>
          <w:szCs w:val="22"/>
          <w:lang w:val="en-GB"/>
        </w:rPr>
        <w:t>1.9</w:t>
      </w:r>
      <w:r>
        <w:rPr>
          <w:b/>
          <w:sz w:val="22"/>
          <w:szCs w:val="22"/>
          <w:lang w:val="en-GB"/>
        </w:rPr>
        <w:tab/>
        <w:t>Project executing organization:</w:t>
      </w:r>
      <w:r>
        <w:rPr>
          <w:sz w:val="22"/>
          <w:szCs w:val="22"/>
          <w:lang w:val="en-GB"/>
        </w:rPr>
        <w:tab/>
      </w:r>
      <w:bookmarkStart w:id="8" w:name="Text5"/>
      <w:r w:rsidR="005A319E" w:rsidRPr="00854AAD">
        <w:rPr>
          <w:sz w:val="22"/>
          <w:szCs w:val="22"/>
          <w:highlight w:val="yellow"/>
          <w:lang w:val="en-GB"/>
        </w:rPr>
        <w:t>UNOPS – SEAFDEC</w:t>
      </w:r>
      <w:r w:rsidR="005A319E">
        <w:rPr>
          <w:sz w:val="22"/>
          <w:szCs w:val="22"/>
          <w:lang w:val="en-GB"/>
        </w:rPr>
        <w:t xml:space="preserve"> </w:t>
      </w:r>
      <w:bookmarkEnd w:id="8"/>
    </w:p>
    <w:p w14:paraId="64938A9C" w14:textId="77777777" w:rsidR="00F07F81" w:rsidRDefault="00F07F81" w:rsidP="00E32A59">
      <w:pPr>
        <w:rPr>
          <w:sz w:val="22"/>
          <w:szCs w:val="22"/>
          <w:lang w:val="en-GB"/>
        </w:rPr>
      </w:pPr>
      <w:r>
        <w:rPr>
          <w:b/>
          <w:sz w:val="22"/>
          <w:szCs w:val="22"/>
          <w:lang w:val="en-GB"/>
        </w:rPr>
        <w:t>1.10</w:t>
      </w:r>
      <w:r>
        <w:rPr>
          <w:b/>
          <w:sz w:val="22"/>
          <w:szCs w:val="22"/>
          <w:lang w:val="en-GB"/>
        </w:rPr>
        <w:tab/>
        <w:t>Duration of project:</w:t>
      </w:r>
      <w:r>
        <w:rPr>
          <w:sz w:val="22"/>
          <w:szCs w:val="22"/>
          <w:lang w:val="en-GB"/>
        </w:rPr>
        <w:tab/>
      </w:r>
      <w:r>
        <w:rPr>
          <w:sz w:val="22"/>
          <w:szCs w:val="22"/>
          <w:lang w:val="en-GB"/>
        </w:rPr>
        <w:tab/>
      </w:r>
      <w:r>
        <w:rPr>
          <w:sz w:val="22"/>
          <w:szCs w:val="22"/>
          <w:lang w:val="en-GB"/>
        </w:rPr>
        <w:tab/>
      </w:r>
      <w:r w:rsidR="00E93E81">
        <w:rPr>
          <w:sz w:val="22"/>
          <w:szCs w:val="22"/>
          <w:lang w:val="en-GB"/>
        </w:rPr>
        <w:t>60</w:t>
      </w:r>
      <w:r>
        <w:rPr>
          <w:sz w:val="22"/>
          <w:szCs w:val="22"/>
          <w:lang w:val="en-GB"/>
        </w:rPr>
        <w:t xml:space="preserve"> months</w:t>
      </w:r>
    </w:p>
    <w:p w14:paraId="0B396056" w14:textId="77777777" w:rsidR="00F07F81" w:rsidRDefault="00F07F81" w:rsidP="00E32A59">
      <w:pPr>
        <w:rPr>
          <w:sz w:val="22"/>
          <w:szCs w:val="22"/>
          <w:lang w:val="en-GB"/>
        </w:rPr>
      </w:pPr>
      <w:r>
        <w:rPr>
          <w:sz w:val="22"/>
          <w:szCs w:val="22"/>
          <w:lang w:val="en-GB"/>
        </w:rPr>
        <w:tab/>
      </w:r>
      <w:r>
        <w:rPr>
          <w:sz w:val="22"/>
          <w:szCs w:val="22"/>
          <w:lang w:val="en-GB"/>
        </w:rPr>
        <w:tab/>
      </w:r>
      <w:r>
        <w:rPr>
          <w:sz w:val="22"/>
          <w:szCs w:val="22"/>
          <w:lang w:val="en-GB"/>
        </w:rPr>
        <w:tab/>
      </w:r>
      <w:r>
        <w:rPr>
          <w:sz w:val="22"/>
          <w:szCs w:val="22"/>
          <w:lang w:val="en-GB"/>
        </w:rPr>
        <w:tab/>
      </w:r>
      <w:r>
        <w:rPr>
          <w:sz w:val="22"/>
          <w:szCs w:val="22"/>
          <w:lang w:val="en-GB"/>
        </w:rPr>
        <w:tab/>
      </w:r>
      <w:r>
        <w:rPr>
          <w:sz w:val="22"/>
          <w:szCs w:val="22"/>
          <w:lang w:val="en-GB"/>
        </w:rPr>
        <w:tab/>
        <w:t>Commencing:</w:t>
      </w:r>
      <w:r>
        <w:rPr>
          <w:sz w:val="22"/>
          <w:szCs w:val="22"/>
          <w:lang w:val="en-GB"/>
        </w:rPr>
        <w:tab/>
      </w:r>
      <w:bookmarkStart w:id="9" w:name="Text7"/>
      <w:r>
        <w:rPr>
          <w:sz w:val="22"/>
          <w:szCs w:val="22"/>
          <w:lang w:val="en-GB"/>
        </w:rPr>
        <w:tab/>
      </w:r>
      <w:bookmarkEnd w:id="9"/>
      <w:r w:rsidR="00DB78B9">
        <w:rPr>
          <w:sz w:val="22"/>
          <w:szCs w:val="22"/>
          <w:lang w:val="en-GB"/>
        </w:rPr>
        <w:t xml:space="preserve">May 2018 </w:t>
      </w:r>
    </w:p>
    <w:p w14:paraId="333178AB" w14:textId="77777777" w:rsidR="00F07F81" w:rsidRDefault="00F07F81" w:rsidP="00F14C31">
      <w:pPr>
        <w:spacing w:after="120"/>
        <w:rPr>
          <w:sz w:val="22"/>
          <w:szCs w:val="22"/>
          <w:lang w:val="en-GB"/>
        </w:rPr>
      </w:pPr>
      <w:r>
        <w:rPr>
          <w:sz w:val="22"/>
          <w:szCs w:val="22"/>
          <w:lang w:val="en-GB"/>
        </w:rPr>
        <w:tab/>
      </w:r>
      <w:r>
        <w:rPr>
          <w:sz w:val="22"/>
          <w:szCs w:val="22"/>
          <w:lang w:val="en-GB"/>
        </w:rPr>
        <w:tab/>
      </w:r>
      <w:r>
        <w:rPr>
          <w:sz w:val="22"/>
          <w:szCs w:val="22"/>
          <w:lang w:val="en-GB"/>
        </w:rPr>
        <w:tab/>
      </w:r>
      <w:r>
        <w:rPr>
          <w:sz w:val="22"/>
          <w:szCs w:val="22"/>
          <w:lang w:val="en-GB"/>
        </w:rPr>
        <w:tab/>
      </w:r>
      <w:r>
        <w:rPr>
          <w:sz w:val="22"/>
          <w:szCs w:val="22"/>
          <w:lang w:val="en-GB"/>
        </w:rPr>
        <w:tab/>
      </w:r>
      <w:r>
        <w:rPr>
          <w:sz w:val="22"/>
          <w:szCs w:val="22"/>
          <w:lang w:val="en-GB"/>
        </w:rPr>
        <w:tab/>
        <w:t>Technical completion:</w:t>
      </w:r>
      <w:r>
        <w:rPr>
          <w:sz w:val="22"/>
          <w:szCs w:val="22"/>
          <w:lang w:val="en-GB"/>
        </w:rPr>
        <w:tab/>
      </w:r>
      <w:r w:rsidR="00DB78B9">
        <w:rPr>
          <w:sz w:val="22"/>
          <w:szCs w:val="22"/>
          <w:lang w:val="en-GB"/>
        </w:rPr>
        <w:t xml:space="preserve">June </w:t>
      </w:r>
      <w:r w:rsidR="005A319E">
        <w:rPr>
          <w:sz w:val="22"/>
          <w:szCs w:val="22"/>
          <w:lang w:val="en-GB"/>
        </w:rPr>
        <w:t xml:space="preserve"> 202</w:t>
      </w:r>
      <w:r w:rsidR="00DB78B9">
        <w:rPr>
          <w:sz w:val="22"/>
          <w:szCs w:val="22"/>
          <w:lang w:val="en-GB"/>
        </w:rPr>
        <w:t>3</w:t>
      </w:r>
    </w:p>
    <w:p w14:paraId="0BEEFF28" w14:textId="77777777" w:rsidR="00F07F81" w:rsidRDefault="00F07F81" w:rsidP="00F14C31">
      <w:pPr>
        <w:spacing w:after="120"/>
        <w:rPr>
          <w:sz w:val="22"/>
          <w:szCs w:val="22"/>
          <w:lang w:val="en-GB"/>
        </w:rPr>
      </w:pPr>
      <w:r>
        <w:rPr>
          <w:sz w:val="22"/>
          <w:szCs w:val="22"/>
          <w:lang w:val="en-GB"/>
        </w:rPr>
        <w:tab/>
      </w:r>
      <w:r>
        <w:rPr>
          <w:b/>
          <w:bCs/>
          <w:sz w:val="22"/>
          <w:szCs w:val="22"/>
          <w:lang w:val="en-GB"/>
        </w:rPr>
        <w:t>Validity of legal instrument</w:t>
      </w:r>
      <w:r>
        <w:rPr>
          <w:sz w:val="22"/>
          <w:szCs w:val="22"/>
          <w:lang w:val="en-GB"/>
        </w:rPr>
        <w:t>:</w:t>
      </w:r>
      <w:r>
        <w:rPr>
          <w:sz w:val="22"/>
          <w:szCs w:val="22"/>
          <w:lang w:val="en-GB"/>
        </w:rPr>
        <w:tab/>
      </w:r>
      <w:r>
        <w:rPr>
          <w:sz w:val="22"/>
          <w:szCs w:val="22"/>
          <w:lang w:val="en-GB"/>
        </w:rPr>
        <w:tab/>
      </w:r>
      <w:bookmarkStart w:id="10" w:name="Text6"/>
      <w:r w:rsidR="00E93E81">
        <w:rPr>
          <w:sz w:val="22"/>
          <w:szCs w:val="22"/>
          <w:lang w:val="en-GB"/>
        </w:rPr>
        <w:fldChar w:fldCharType="begin">
          <w:ffData>
            <w:name w:val="Text6"/>
            <w:enabled/>
            <w:calcOnExit w:val="0"/>
            <w:textInput>
              <w:default w:val="60"/>
            </w:textInput>
          </w:ffData>
        </w:fldChar>
      </w:r>
      <w:r w:rsidR="00E93E81">
        <w:rPr>
          <w:sz w:val="22"/>
          <w:szCs w:val="22"/>
          <w:lang w:val="en-GB"/>
        </w:rPr>
        <w:instrText xml:space="preserve"> FORMTEXT </w:instrText>
      </w:r>
      <w:r w:rsidR="00E93E81">
        <w:rPr>
          <w:sz w:val="22"/>
          <w:szCs w:val="22"/>
          <w:lang w:val="en-GB"/>
        </w:rPr>
      </w:r>
      <w:r w:rsidR="00E93E81">
        <w:rPr>
          <w:sz w:val="22"/>
          <w:szCs w:val="22"/>
          <w:lang w:val="en-GB"/>
        </w:rPr>
        <w:fldChar w:fldCharType="separate"/>
      </w:r>
      <w:r w:rsidR="00E93E81">
        <w:rPr>
          <w:noProof/>
          <w:sz w:val="22"/>
          <w:szCs w:val="22"/>
          <w:lang w:val="en-GB"/>
        </w:rPr>
        <w:t>60</w:t>
      </w:r>
      <w:r w:rsidR="00E93E81">
        <w:rPr>
          <w:sz w:val="22"/>
          <w:szCs w:val="22"/>
          <w:lang w:val="en-GB"/>
        </w:rPr>
        <w:fldChar w:fldCharType="end"/>
      </w:r>
      <w:bookmarkEnd w:id="10"/>
      <w:r>
        <w:rPr>
          <w:sz w:val="22"/>
          <w:szCs w:val="22"/>
          <w:lang w:val="en-GB"/>
        </w:rPr>
        <w:t xml:space="preserve"> months</w:t>
      </w:r>
    </w:p>
    <w:p w14:paraId="6ABF5C7F" w14:textId="77777777" w:rsidR="00F07F81" w:rsidRPr="00AF3C54" w:rsidRDefault="00F07F81" w:rsidP="004B053A">
      <w:pPr>
        <w:numPr>
          <w:ilvl w:val="2"/>
          <w:numId w:val="6"/>
        </w:numPr>
        <w:spacing w:after="120"/>
        <w:rPr>
          <w:b/>
          <w:sz w:val="22"/>
          <w:szCs w:val="22"/>
          <w:lang w:val="en-GB"/>
        </w:rPr>
      </w:pPr>
      <w:r w:rsidRPr="00AF3C54">
        <w:rPr>
          <w:b/>
          <w:sz w:val="22"/>
          <w:szCs w:val="22"/>
          <w:lang w:val="en-GB"/>
        </w:rPr>
        <w:t xml:space="preserve">Cost of project </w:t>
      </w:r>
      <w:r w:rsidRPr="00AF3C54">
        <w:rPr>
          <w:b/>
          <w:sz w:val="22"/>
          <w:szCs w:val="22"/>
          <w:lang w:val="en-GB"/>
        </w:rPr>
        <w:tab/>
      </w:r>
      <w:r w:rsidRPr="00AF3C54">
        <w:rPr>
          <w:b/>
          <w:sz w:val="22"/>
          <w:szCs w:val="22"/>
          <w:lang w:val="en-GB"/>
        </w:rPr>
        <w:tab/>
      </w:r>
      <w:r w:rsidRPr="00AF3C54">
        <w:rPr>
          <w:b/>
          <w:sz w:val="22"/>
          <w:szCs w:val="22"/>
          <w:lang w:val="en-GB"/>
        </w:rPr>
        <w:tab/>
      </w:r>
      <w:r w:rsidRPr="00AF3C54">
        <w:rPr>
          <w:b/>
          <w:sz w:val="22"/>
          <w:szCs w:val="22"/>
          <w:lang w:val="en-GB"/>
        </w:rPr>
        <w:tab/>
      </w:r>
      <w:r w:rsidR="00AF3C54" w:rsidRPr="00AF3C54">
        <w:rPr>
          <w:b/>
          <w:sz w:val="22"/>
          <w:szCs w:val="22"/>
          <w:lang w:val="en-GB"/>
        </w:rPr>
        <w:tab/>
      </w:r>
      <w:r w:rsidRPr="00AF3C54">
        <w:rPr>
          <w:b/>
          <w:sz w:val="22"/>
          <w:szCs w:val="22"/>
          <w:lang w:val="en-GB"/>
        </w:rPr>
        <w:t>US$</w:t>
      </w:r>
      <w:r w:rsidRPr="00AF3C54">
        <w:rPr>
          <w:b/>
          <w:sz w:val="22"/>
          <w:szCs w:val="22"/>
          <w:lang w:val="en-GB"/>
        </w:rPr>
        <w:tab/>
      </w:r>
      <w:r w:rsidRPr="00AF3C54">
        <w:rPr>
          <w:b/>
          <w:sz w:val="22"/>
          <w:szCs w:val="22"/>
          <w:lang w:val="en-GB"/>
        </w:rPr>
        <w:tab/>
      </w:r>
      <w:r w:rsidRPr="00AF3C54">
        <w:rPr>
          <w:b/>
          <w:sz w:val="22"/>
          <w:szCs w:val="22"/>
          <w:lang w:val="en-GB"/>
        </w:rPr>
        <w:tab/>
      </w:r>
      <w:r w:rsidRPr="00AF3C54">
        <w:rPr>
          <w:b/>
          <w:sz w:val="22"/>
          <w:szCs w:val="22"/>
          <w:lang w:val="en-GB"/>
        </w:rPr>
        <w:tab/>
        <w:t>%</w:t>
      </w:r>
    </w:p>
    <w:tbl>
      <w:tblPr>
        <w:tblW w:w="8928" w:type="dxa"/>
        <w:tblLook w:val="01E0" w:firstRow="1" w:lastRow="1" w:firstColumn="1" w:lastColumn="1" w:noHBand="0" w:noVBand="0"/>
      </w:tblPr>
      <w:tblGrid>
        <w:gridCol w:w="3528"/>
        <w:gridCol w:w="3240"/>
        <w:gridCol w:w="2160"/>
      </w:tblGrid>
      <w:tr w:rsidR="00F07F81" w:rsidRPr="00AF3C54" w14:paraId="29D0A43B" w14:textId="77777777" w:rsidTr="00DA5FCD">
        <w:trPr>
          <w:trHeight w:val="296"/>
        </w:trPr>
        <w:tc>
          <w:tcPr>
            <w:tcW w:w="3528" w:type="dxa"/>
            <w:shd w:val="clear" w:color="auto" w:fill="365F91"/>
          </w:tcPr>
          <w:p w14:paraId="4A4C7277" w14:textId="77777777" w:rsidR="00F07F81" w:rsidRPr="004B4059" w:rsidRDefault="00F07F81" w:rsidP="00F07F81">
            <w:pPr>
              <w:spacing w:after="120"/>
              <w:ind w:left="720"/>
              <w:rPr>
                <w:b/>
                <w:sz w:val="21"/>
                <w:szCs w:val="21"/>
                <w:lang w:val="en-GB"/>
              </w:rPr>
            </w:pPr>
            <w:r w:rsidRPr="004B4059">
              <w:rPr>
                <w:b/>
                <w:sz w:val="21"/>
                <w:szCs w:val="21"/>
                <w:lang w:val="en-GB"/>
              </w:rPr>
              <w:t>Cost to the GEF Trust Fund</w:t>
            </w:r>
          </w:p>
        </w:tc>
        <w:tc>
          <w:tcPr>
            <w:tcW w:w="3240" w:type="dxa"/>
            <w:shd w:val="clear" w:color="auto" w:fill="365F91"/>
          </w:tcPr>
          <w:p w14:paraId="71D02282" w14:textId="77777777" w:rsidR="00F07F81" w:rsidRPr="004B4059" w:rsidRDefault="004828D5" w:rsidP="00F07F81">
            <w:pPr>
              <w:spacing w:after="120"/>
              <w:jc w:val="right"/>
              <w:rPr>
                <w:b/>
                <w:sz w:val="21"/>
                <w:szCs w:val="21"/>
                <w:lang w:val="en-GB"/>
              </w:rPr>
            </w:pPr>
            <w:r w:rsidRPr="004B4059">
              <w:rPr>
                <w:b/>
                <w:sz w:val="21"/>
                <w:szCs w:val="21"/>
                <w:lang w:val="en-GB"/>
              </w:rPr>
              <w:t>15,000,000</w:t>
            </w:r>
            <w:r w:rsidR="00602EB7">
              <w:rPr>
                <w:rStyle w:val="FootnoteReference"/>
                <w:b/>
                <w:sz w:val="21"/>
                <w:szCs w:val="21"/>
                <w:lang w:val="en-GB"/>
              </w:rPr>
              <w:footnoteReference w:id="1"/>
            </w:r>
          </w:p>
        </w:tc>
        <w:tc>
          <w:tcPr>
            <w:tcW w:w="2160" w:type="dxa"/>
            <w:shd w:val="clear" w:color="auto" w:fill="365F91"/>
          </w:tcPr>
          <w:p w14:paraId="58C8C8EA" w14:textId="77777777" w:rsidR="00F07F81" w:rsidRPr="004B4059" w:rsidRDefault="00640D52" w:rsidP="00F07F81">
            <w:pPr>
              <w:spacing w:after="120"/>
              <w:jc w:val="right"/>
              <w:rPr>
                <w:b/>
                <w:sz w:val="21"/>
                <w:szCs w:val="21"/>
                <w:lang w:val="en-GB"/>
              </w:rPr>
            </w:pPr>
            <w:r>
              <w:rPr>
                <w:b/>
                <w:sz w:val="21"/>
                <w:szCs w:val="21"/>
                <w:lang w:val="en-GB"/>
              </w:rPr>
              <w:t>15</w:t>
            </w:r>
          </w:p>
        </w:tc>
      </w:tr>
      <w:tr w:rsidR="00F07F81" w:rsidRPr="00AF3C54" w14:paraId="5014AE77" w14:textId="77777777" w:rsidTr="00DA5FCD">
        <w:trPr>
          <w:trHeight w:val="284"/>
        </w:trPr>
        <w:tc>
          <w:tcPr>
            <w:tcW w:w="3528" w:type="dxa"/>
            <w:shd w:val="clear" w:color="auto" w:fill="95B3D7"/>
          </w:tcPr>
          <w:p w14:paraId="44394280" w14:textId="77777777" w:rsidR="00F07F81" w:rsidRPr="004B4059" w:rsidRDefault="00F07F81" w:rsidP="00F07F81">
            <w:pPr>
              <w:spacing w:after="120"/>
              <w:ind w:left="720"/>
              <w:rPr>
                <w:b/>
                <w:sz w:val="20"/>
                <w:szCs w:val="20"/>
                <w:lang w:val="en-GB"/>
              </w:rPr>
            </w:pPr>
            <w:r w:rsidRPr="004B4059">
              <w:rPr>
                <w:b/>
                <w:sz w:val="20"/>
                <w:szCs w:val="20"/>
                <w:lang w:val="en-GB"/>
              </w:rPr>
              <w:t>Co-financing</w:t>
            </w:r>
          </w:p>
        </w:tc>
        <w:tc>
          <w:tcPr>
            <w:tcW w:w="3240" w:type="dxa"/>
            <w:shd w:val="clear" w:color="auto" w:fill="auto"/>
          </w:tcPr>
          <w:p w14:paraId="63B904E2" w14:textId="77777777" w:rsidR="00F07F81" w:rsidRPr="00AF3C54" w:rsidRDefault="00F07F81" w:rsidP="00F07F81">
            <w:pPr>
              <w:spacing w:after="120"/>
              <w:jc w:val="right"/>
              <w:rPr>
                <w:b/>
                <w:sz w:val="20"/>
                <w:szCs w:val="20"/>
                <w:lang w:val="en-GB"/>
              </w:rPr>
            </w:pPr>
          </w:p>
        </w:tc>
        <w:tc>
          <w:tcPr>
            <w:tcW w:w="2160" w:type="dxa"/>
            <w:shd w:val="clear" w:color="auto" w:fill="auto"/>
          </w:tcPr>
          <w:p w14:paraId="4BFD50E1" w14:textId="77777777" w:rsidR="00F07F81" w:rsidRPr="00AF3C54" w:rsidRDefault="00F07F81" w:rsidP="00F07F81">
            <w:pPr>
              <w:spacing w:after="120"/>
              <w:jc w:val="right"/>
              <w:rPr>
                <w:b/>
                <w:sz w:val="20"/>
                <w:szCs w:val="20"/>
                <w:lang w:val="en-GB"/>
              </w:rPr>
            </w:pPr>
          </w:p>
        </w:tc>
      </w:tr>
      <w:tr w:rsidR="00F07F81" w:rsidRPr="00AF3C54" w14:paraId="1EBF77FF" w14:textId="77777777" w:rsidTr="00DA5FCD">
        <w:trPr>
          <w:trHeight w:val="284"/>
        </w:trPr>
        <w:tc>
          <w:tcPr>
            <w:tcW w:w="3528" w:type="dxa"/>
            <w:shd w:val="clear" w:color="auto" w:fill="B8CCE4"/>
          </w:tcPr>
          <w:p w14:paraId="4475E632" w14:textId="77777777" w:rsidR="00F07F81" w:rsidRPr="004B4059" w:rsidRDefault="00F07F81" w:rsidP="00F07F81">
            <w:pPr>
              <w:spacing w:after="120"/>
              <w:ind w:left="1440"/>
              <w:rPr>
                <w:b/>
                <w:sz w:val="20"/>
                <w:szCs w:val="20"/>
                <w:lang w:val="en-GB"/>
              </w:rPr>
            </w:pPr>
            <w:r w:rsidRPr="004B4059">
              <w:rPr>
                <w:b/>
                <w:sz w:val="20"/>
                <w:szCs w:val="20"/>
                <w:lang w:val="en-GB"/>
              </w:rPr>
              <w:t>Cash</w:t>
            </w:r>
          </w:p>
        </w:tc>
        <w:tc>
          <w:tcPr>
            <w:tcW w:w="3240" w:type="dxa"/>
          </w:tcPr>
          <w:p w14:paraId="7A0CD345" w14:textId="77777777" w:rsidR="00F07F81" w:rsidRPr="00AF3C54" w:rsidRDefault="004B4059" w:rsidP="00F07F81">
            <w:pPr>
              <w:spacing w:after="120"/>
              <w:jc w:val="right"/>
              <w:rPr>
                <w:b/>
                <w:sz w:val="20"/>
                <w:szCs w:val="20"/>
                <w:lang w:val="en-GB"/>
              </w:rPr>
            </w:pPr>
            <w:r>
              <w:rPr>
                <w:b/>
                <w:sz w:val="20"/>
                <w:szCs w:val="20"/>
                <w:lang w:val="en-GB"/>
              </w:rPr>
              <w:t>-</w:t>
            </w:r>
          </w:p>
        </w:tc>
        <w:tc>
          <w:tcPr>
            <w:tcW w:w="2160" w:type="dxa"/>
          </w:tcPr>
          <w:p w14:paraId="5911E65E" w14:textId="77777777" w:rsidR="00F07F81" w:rsidRPr="00AF3C54" w:rsidRDefault="004B4059" w:rsidP="00F07F81">
            <w:pPr>
              <w:spacing w:after="120"/>
              <w:jc w:val="right"/>
              <w:rPr>
                <w:b/>
                <w:sz w:val="20"/>
                <w:szCs w:val="20"/>
                <w:lang w:val="en-GB"/>
              </w:rPr>
            </w:pPr>
            <w:r>
              <w:rPr>
                <w:b/>
                <w:sz w:val="20"/>
                <w:szCs w:val="20"/>
                <w:lang w:val="en-GB"/>
              </w:rPr>
              <w:t>-</w:t>
            </w:r>
          </w:p>
        </w:tc>
      </w:tr>
      <w:tr w:rsidR="00F07F81" w:rsidRPr="00AF3C54" w14:paraId="2A37A7BB" w14:textId="77777777" w:rsidTr="00F07F81">
        <w:trPr>
          <w:trHeight w:val="284"/>
        </w:trPr>
        <w:tc>
          <w:tcPr>
            <w:tcW w:w="3528" w:type="dxa"/>
          </w:tcPr>
          <w:p w14:paraId="326B2EEE" w14:textId="77777777" w:rsidR="00F07F81" w:rsidRPr="004B4059" w:rsidRDefault="00F07F81" w:rsidP="004B4059">
            <w:pPr>
              <w:ind w:left="1440"/>
              <w:rPr>
                <w:b/>
                <w:i/>
                <w:sz w:val="20"/>
                <w:szCs w:val="20"/>
                <w:lang w:val="en-GB"/>
              </w:rPr>
            </w:pPr>
            <w:r w:rsidRPr="004B4059">
              <w:rPr>
                <w:b/>
                <w:i/>
                <w:sz w:val="20"/>
                <w:szCs w:val="20"/>
                <w:lang w:val="en-GB"/>
              </w:rPr>
              <w:t>Sub-total</w:t>
            </w:r>
          </w:p>
        </w:tc>
        <w:tc>
          <w:tcPr>
            <w:tcW w:w="3240" w:type="dxa"/>
          </w:tcPr>
          <w:p w14:paraId="54F42A44" w14:textId="77777777" w:rsidR="00F07F81" w:rsidRPr="00AF3C54" w:rsidRDefault="004B4059" w:rsidP="004B4059">
            <w:pPr>
              <w:jc w:val="right"/>
              <w:rPr>
                <w:b/>
                <w:sz w:val="20"/>
                <w:szCs w:val="20"/>
                <w:lang w:val="en-GB"/>
              </w:rPr>
            </w:pPr>
            <w:r>
              <w:rPr>
                <w:b/>
                <w:sz w:val="20"/>
                <w:szCs w:val="20"/>
                <w:lang w:val="en-GB"/>
              </w:rPr>
              <w:t>-</w:t>
            </w:r>
          </w:p>
        </w:tc>
        <w:tc>
          <w:tcPr>
            <w:tcW w:w="2160" w:type="dxa"/>
          </w:tcPr>
          <w:p w14:paraId="36064952" w14:textId="77777777" w:rsidR="00F07F81" w:rsidRPr="00AF3C54" w:rsidRDefault="004B4059" w:rsidP="004B4059">
            <w:pPr>
              <w:jc w:val="right"/>
              <w:rPr>
                <w:b/>
                <w:sz w:val="20"/>
                <w:szCs w:val="20"/>
                <w:lang w:val="en-GB"/>
              </w:rPr>
            </w:pPr>
            <w:r>
              <w:rPr>
                <w:b/>
                <w:sz w:val="20"/>
                <w:szCs w:val="20"/>
                <w:lang w:val="en-GB"/>
              </w:rPr>
              <w:t>-</w:t>
            </w:r>
          </w:p>
        </w:tc>
      </w:tr>
      <w:tr w:rsidR="00F07F81" w:rsidRPr="00AF3C54" w14:paraId="29B3A8B7" w14:textId="77777777" w:rsidTr="00DA5FCD">
        <w:trPr>
          <w:trHeight w:val="284"/>
        </w:trPr>
        <w:tc>
          <w:tcPr>
            <w:tcW w:w="3528" w:type="dxa"/>
            <w:shd w:val="clear" w:color="auto" w:fill="B8CCE4"/>
          </w:tcPr>
          <w:p w14:paraId="342A7BB7" w14:textId="77777777" w:rsidR="00F07F81" w:rsidRPr="004B4059" w:rsidRDefault="00F07F81" w:rsidP="00F07F81">
            <w:pPr>
              <w:spacing w:after="120"/>
              <w:ind w:left="1440"/>
              <w:rPr>
                <w:b/>
                <w:sz w:val="20"/>
                <w:szCs w:val="20"/>
                <w:lang w:val="en-GB"/>
              </w:rPr>
            </w:pPr>
            <w:r w:rsidRPr="004B4059">
              <w:rPr>
                <w:b/>
                <w:sz w:val="20"/>
                <w:szCs w:val="20"/>
                <w:lang w:val="en-GB"/>
              </w:rPr>
              <w:t>In-kind</w:t>
            </w:r>
          </w:p>
        </w:tc>
        <w:tc>
          <w:tcPr>
            <w:tcW w:w="3240" w:type="dxa"/>
          </w:tcPr>
          <w:p w14:paraId="5CD8D998" w14:textId="77777777" w:rsidR="00F07F81" w:rsidRPr="00AF3C54" w:rsidRDefault="00F07F81" w:rsidP="00F07F81">
            <w:pPr>
              <w:spacing w:after="120"/>
              <w:jc w:val="right"/>
              <w:rPr>
                <w:b/>
                <w:sz w:val="20"/>
                <w:szCs w:val="20"/>
                <w:lang w:val="en-GB"/>
              </w:rPr>
            </w:pPr>
          </w:p>
        </w:tc>
        <w:tc>
          <w:tcPr>
            <w:tcW w:w="2160" w:type="dxa"/>
          </w:tcPr>
          <w:p w14:paraId="06208C51" w14:textId="77777777" w:rsidR="00F07F81" w:rsidRPr="00AF3C54" w:rsidRDefault="00F07F81" w:rsidP="00F07F81">
            <w:pPr>
              <w:spacing w:after="120"/>
              <w:jc w:val="right"/>
              <w:rPr>
                <w:b/>
                <w:sz w:val="20"/>
                <w:szCs w:val="20"/>
                <w:lang w:val="en-GB"/>
              </w:rPr>
            </w:pPr>
          </w:p>
        </w:tc>
      </w:tr>
      <w:tr w:rsidR="0021114C" w:rsidRPr="00AF3C54" w14:paraId="6BF4C3F9" w14:textId="77777777" w:rsidTr="00B8791A">
        <w:trPr>
          <w:trHeight w:val="189"/>
        </w:trPr>
        <w:tc>
          <w:tcPr>
            <w:tcW w:w="3528" w:type="dxa"/>
          </w:tcPr>
          <w:p w14:paraId="6C5C2B2D" w14:textId="77777777" w:rsidR="0021114C" w:rsidRPr="004B4059" w:rsidRDefault="0021114C" w:rsidP="004B4059">
            <w:pPr>
              <w:ind w:left="1440"/>
              <w:rPr>
                <w:sz w:val="20"/>
                <w:szCs w:val="20"/>
                <w:lang w:val="en-GB"/>
              </w:rPr>
            </w:pPr>
            <w:r w:rsidRPr="004B4059">
              <w:rPr>
                <w:sz w:val="20"/>
                <w:szCs w:val="20"/>
                <w:lang w:val="en-GB"/>
              </w:rPr>
              <w:t>Governments</w:t>
            </w:r>
          </w:p>
        </w:tc>
        <w:tc>
          <w:tcPr>
            <w:tcW w:w="3240" w:type="dxa"/>
            <w:vAlign w:val="bottom"/>
          </w:tcPr>
          <w:p w14:paraId="26F14E1E" w14:textId="77777777" w:rsidR="0021114C" w:rsidRDefault="0021114C">
            <w:pPr>
              <w:jc w:val="right"/>
              <w:rPr>
                <w:rFonts w:ascii="Calibri" w:hAnsi="Calibri"/>
                <w:color w:val="000000"/>
                <w:sz w:val="22"/>
                <w:szCs w:val="22"/>
              </w:rPr>
            </w:pPr>
            <w:r>
              <w:rPr>
                <w:rFonts w:ascii="Calibri" w:hAnsi="Calibri"/>
                <w:color w:val="000000"/>
                <w:sz w:val="22"/>
                <w:szCs w:val="22"/>
              </w:rPr>
              <w:t>81,097,585</w:t>
            </w:r>
          </w:p>
        </w:tc>
        <w:tc>
          <w:tcPr>
            <w:tcW w:w="2160" w:type="dxa"/>
          </w:tcPr>
          <w:p w14:paraId="124E969D" w14:textId="77777777" w:rsidR="0021114C" w:rsidRPr="004B4059" w:rsidRDefault="0021114C" w:rsidP="004B4059">
            <w:pPr>
              <w:jc w:val="right"/>
              <w:rPr>
                <w:sz w:val="20"/>
                <w:szCs w:val="20"/>
                <w:lang w:val="en-GB"/>
              </w:rPr>
            </w:pPr>
            <w:r>
              <w:rPr>
                <w:sz w:val="20"/>
                <w:szCs w:val="20"/>
                <w:lang w:val="en-GB"/>
              </w:rPr>
              <w:t>83</w:t>
            </w:r>
          </w:p>
        </w:tc>
      </w:tr>
      <w:tr w:rsidR="0021114C" w:rsidRPr="00AF3C54" w14:paraId="37A2C7FF" w14:textId="77777777" w:rsidTr="00B8791A">
        <w:trPr>
          <w:trHeight w:val="284"/>
        </w:trPr>
        <w:tc>
          <w:tcPr>
            <w:tcW w:w="3528" w:type="dxa"/>
          </w:tcPr>
          <w:p w14:paraId="280F177A" w14:textId="77777777" w:rsidR="0021114C" w:rsidRPr="004B4059" w:rsidRDefault="0021114C" w:rsidP="004B4059">
            <w:pPr>
              <w:ind w:left="1440"/>
              <w:rPr>
                <w:sz w:val="20"/>
                <w:szCs w:val="20"/>
                <w:lang w:val="en-GB"/>
              </w:rPr>
            </w:pPr>
            <w:r w:rsidRPr="004B4059">
              <w:rPr>
                <w:sz w:val="20"/>
                <w:szCs w:val="20"/>
                <w:lang w:val="en-GB"/>
              </w:rPr>
              <w:t>COBSEA</w:t>
            </w:r>
          </w:p>
        </w:tc>
        <w:tc>
          <w:tcPr>
            <w:tcW w:w="3240" w:type="dxa"/>
            <w:vAlign w:val="bottom"/>
          </w:tcPr>
          <w:p w14:paraId="66046C13" w14:textId="77777777" w:rsidR="0021114C" w:rsidRDefault="0021114C">
            <w:pPr>
              <w:jc w:val="right"/>
              <w:rPr>
                <w:rFonts w:ascii="Calibri" w:hAnsi="Calibri"/>
                <w:color w:val="000000"/>
                <w:sz w:val="22"/>
                <w:szCs w:val="22"/>
              </w:rPr>
            </w:pPr>
            <w:r>
              <w:rPr>
                <w:rFonts w:ascii="Calibri" w:hAnsi="Calibri"/>
                <w:color w:val="000000"/>
                <w:sz w:val="22"/>
                <w:szCs w:val="22"/>
                <w:lang w:val="en-GB"/>
              </w:rPr>
              <w:t>1,854,363</w:t>
            </w:r>
          </w:p>
        </w:tc>
        <w:tc>
          <w:tcPr>
            <w:tcW w:w="2160" w:type="dxa"/>
          </w:tcPr>
          <w:p w14:paraId="52B2FD0D" w14:textId="77777777" w:rsidR="0021114C" w:rsidRPr="004B4059" w:rsidRDefault="0021114C" w:rsidP="004B4059">
            <w:pPr>
              <w:jc w:val="right"/>
              <w:rPr>
                <w:sz w:val="20"/>
                <w:szCs w:val="20"/>
                <w:lang w:val="en-GB"/>
              </w:rPr>
            </w:pPr>
            <w:r>
              <w:rPr>
                <w:sz w:val="20"/>
                <w:szCs w:val="20"/>
                <w:lang w:val="en-GB"/>
              </w:rPr>
              <w:t>1.5</w:t>
            </w:r>
          </w:p>
        </w:tc>
      </w:tr>
      <w:tr w:rsidR="0021114C" w:rsidRPr="00AF3C54" w14:paraId="5BC94DE7" w14:textId="77777777" w:rsidTr="00B8791A">
        <w:trPr>
          <w:trHeight w:val="284"/>
        </w:trPr>
        <w:tc>
          <w:tcPr>
            <w:tcW w:w="3528" w:type="dxa"/>
          </w:tcPr>
          <w:p w14:paraId="7ADF472B" w14:textId="77777777" w:rsidR="0021114C" w:rsidRPr="004B4059" w:rsidRDefault="0021114C" w:rsidP="004B4059">
            <w:pPr>
              <w:ind w:left="1440"/>
              <w:rPr>
                <w:sz w:val="20"/>
                <w:szCs w:val="20"/>
                <w:lang w:val="en-GB"/>
              </w:rPr>
            </w:pPr>
            <w:r w:rsidRPr="004B4059">
              <w:rPr>
                <w:sz w:val="20"/>
                <w:szCs w:val="20"/>
                <w:lang w:val="en-GB"/>
              </w:rPr>
              <w:t>UNEP</w:t>
            </w:r>
          </w:p>
        </w:tc>
        <w:tc>
          <w:tcPr>
            <w:tcW w:w="3240" w:type="dxa"/>
            <w:vAlign w:val="bottom"/>
          </w:tcPr>
          <w:p w14:paraId="62BA2C0A" w14:textId="77777777" w:rsidR="0021114C" w:rsidRDefault="0021114C">
            <w:pPr>
              <w:jc w:val="right"/>
              <w:rPr>
                <w:rFonts w:ascii="Calibri" w:hAnsi="Calibri"/>
                <w:color w:val="000000"/>
                <w:sz w:val="22"/>
                <w:szCs w:val="22"/>
              </w:rPr>
            </w:pPr>
            <w:r>
              <w:rPr>
                <w:rFonts w:ascii="Calibri" w:hAnsi="Calibri"/>
                <w:color w:val="000000"/>
                <w:sz w:val="22"/>
                <w:szCs w:val="22"/>
                <w:lang w:val="en-GB"/>
              </w:rPr>
              <w:t>500,000</w:t>
            </w:r>
          </w:p>
        </w:tc>
        <w:tc>
          <w:tcPr>
            <w:tcW w:w="2160" w:type="dxa"/>
          </w:tcPr>
          <w:p w14:paraId="1B38595F" w14:textId="77777777" w:rsidR="0021114C" w:rsidRPr="004B4059" w:rsidRDefault="0021114C" w:rsidP="004B4059">
            <w:pPr>
              <w:jc w:val="right"/>
              <w:rPr>
                <w:sz w:val="20"/>
                <w:szCs w:val="20"/>
                <w:lang w:val="en-GB"/>
              </w:rPr>
            </w:pPr>
            <w:r>
              <w:rPr>
                <w:sz w:val="20"/>
                <w:szCs w:val="20"/>
                <w:lang w:val="en-GB"/>
              </w:rPr>
              <w:t>0.5</w:t>
            </w:r>
          </w:p>
        </w:tc>
      </w:tr>
      <w:tr w:rsidR="0021114C" w:rsidRPr="00AF3C54" w14:paraId="754B8928" w14:textId="77777777" w:rsidTr="00B8791A">
        <w:trPr>
          <w:trHeight w:val="284"/>
        </w:trPr>
        <w:tc>
          <w:tcPr>
            <w:tcW w:w="3528" w:type="dxa"/>
            <w:shd w:val="clear" w:color="auto" w:fill="95B3D7"/>
          </w:tcPr>
          <w:p w14:paraId="54BE8031" w14:textId="77777777" w:rsidR="0021114C" w:rsidRPr="004B4059" w:rsidRDefault="0021114C" w:rsidP="00F07F81">
            <w:pPr>
              <w:spacing w:after="120"/>
              <w:ind w:left="1440"/>
              <w:rPr>
                <w:b/>
                <w:i/>
                <w:sz w:val="20"/>
                <w:szCs w:val="20"/>
                <w:lang w:val="en-GB"/>
              </w:rPr>
            </w:pPr>
            <w:r w:rsidRPr="004B4059">
              <w:rPr>
                <w:b/>
                <w:i/>
                <w:sz w:val="20"/>
                <w:szCs w:val="20"/>
                <w:lang w:val="en-GB"/>
              </w:rPr>
              <w:t>Sub-total</w:t>
            </w:r>
          </w:p>
        </w:tc>
        <w:tc>
          <w:tcPr>
            <w:tcW w:w="3240" w:type="dxa"/>
            <w:shd w:val="clear" w:color="auto" w:fill="95B3D7"/>
            <w:vAlign w:val="bottom"/>
          </w:tcPr>
          <w:p w14:paraId="2B48B982" w14:textId="77777777" w:rsidR="0021114C" w:rsidRDefault="0021114C">
            <w:pPr>
              <w:jc w:val="right"/>
              <w:rPr>
                <w:rFonts w:ascii="Calibri" w:hAnsi="Calibri"/>
                <w:color w:val="000000"/>
                <w:sz w:val="22"/>
                <w:szCs w:val="22"/>
              </w:rPr>
            </w:pPr>
            <w:r>
              <w:rPr>
                <w:rFonts w:ascii="Calibri" w:hAnsi="Calibri"/>
                <w:color w:val="000000"/>
                <w:sz w:val="22"/>
                <w:szCs w:val="22"/>
              </w:rPr>
              <w:t>83,451,948</w:t>
            </w:r>
          </w:p>
        </w:tc>
        <w:tc>
          <w:tcPr>
            <w:tcW w:w="2160" w:type="dxa"/>
            <w:shd w:val="clear" w:color="auto" w:fill="95B3D7"/>
          </w:tcPr>
          <w:p w14:paraId="200184AC" w14:textId="77777777" w:rsidR="0021114C" w:rsidRPr="004B4059" w:rsidRDefault="0021114C" w:rsidP="00F07F81">
            <w:pPr>
              <w:spacing w:after="120"/>
              <w:jc w:val="right"/>
              <w:rPr>
                <w:b/>
                <w:sz w:val="20"/>
                <w:szCs w:val="20"/>
                <w:lang w:val="en-GB"/>
              </w:rPr>
            </w:pPr>
            <w:r>
              <w:rPr>
                <w:b/>
                <w:sz w:val="20"/>
                <w:szCs w:val="20"/>
                <w:lang w:val="en-GB"/>
              </w:rPr>
              <w:t>85</w:t>
            </w:r>
          </w:p>
        </w:tc>
      </w:tr>
      <w:tr w:rsidR="0021114C" w:rsidRPr="00AF3C54" w14:paraId="5A41BB3D" w14:textId="77777777" w:rsidTr="00B8791A">
        <w:trPr>
          <w:trHeight w:val="284"/>
        </w:trPr>
        <w:tc>
          <w:tcPr>
            <w:tcW w:w="3528" w:type="dxa"/>
            <w:shd w:val="clear" w:color="auto" w:fill="auto"/>
          </w:tcPr>
          <w:p w14:paraId="6DD9B917" w14:textId="77777777" w:rsidR="0021114C" w:rsidRPr="004B4059" w:rsidRDefault="0021114C" w:rsidP="00F07F81">
            <w:pPr>
              <w:spacing w:after="120"/>
              <w:ind w:left="1440"/>
              <w:rPr>
                <w:i/>
                <w:sz w:val="6"/>
                <w:szCs w:val="6"/>
                <w:lang w:val="en-GB"/>
              </w:rPr>
            </w:pPr>
          </w:p>
        </w:tc>
        <w:tc>
          <w:tcPr>
            <w:tcW w:w="3240" w:type="dxa"/>
            <w:shd w:val="clear" w:color="auto" w:fill="auto"/>
            <w:vAlign w:val="bottom"/>
          </w:tcPr>
          <w:p w14:paraId="549EA768" w14:textId="77777777" w:rsidR="0021114C" w:rsidRDefault="0021114C">
            <w:pPr>
              <w:rPr>
                <w:rFonts w:ascii="Calibri" w:hAnsi="Calibri"/>
                <w:color w:val="000000"/>
                <w:sz w:val="22"/>
                <w:szCs w:val="22"/>
              </w:rPr>
            </w:pPr>
          </w:p>
        </w:tc>
        <w:tc>
          <w:tcPr>
            <w:tcW w:w="2160" w:type="dxa"/>
            <w:shd w:val="clear" w:color="auto" w:fill="auto"/>
          </w:tcPr>
          <w:p w14:paraId="65892AF4" w14:textId="77777777" w:rsidR="0021114C" w:rsidRPr="004B4059" w:rsidRDefault="0021114C" w:rsidP="00F07F81">
            <w:pPr>
              <w:spacing w:after="120"/>
              <w:jc w:val="right"/>
              <w:rPr>
                <w:b/>
                <w:sz w:val="6"/>
                <w:szCs w:val="6"/>
                <w:lang w:val="en-GB"/>
              </w:rPr>
            </w:pPr>
          </w:p>
        </w:tc>
      </w:tr>
      <w:tr w:rsidR="0021114C" w:rsidRPr="00AF3C54" w14:paraId="2AFD57CF" w14:textId="77777777" w:rsidTr="00B8791A">
        <w:trPr>
          <w:trHeight w:val="284"/>
        </w:trPr>
        <w:tc>
          <w:tcPr>
            <w:tcW w:w="3528" w:type="dxa"/>
            <w:shd w:val="clear" w:color="auto" w:fill="365F91"/>
          </w:tcPr>
          <w:p w14:paraId="26B902E1" w14:textId="77777777" w:rsidR="0021114C" w:rsidRPr="004B4059" w:rsidRDefault="0021114C" w:rsidP="00F07F81">
            <w:pPr>
              <w:spacing w:after="120"/>
              <w:ind w:left="720"/>
              <w:rPr>
                <w:b/>
                <w:sz w:val="21"/>
                <w:szCs w:val="21"/>
                <w:lang w:val="en-GB"/>
              </w:rPr>
            </w:pPr>
            <w:r w:rsidRPr="004B4059">
              <w:rPr>
                <w:b/>
                <w:sz w:val="21"/>
                <w:szCs w:val="21"/>
                <w:lang w:val="en-GB"/>
              </w:rPr>
              <w:t>Total</w:t>
            </w:r>
          </w:p>
        </w:tc>
        <w:tc>
          <w:tcPr>
            <w:tcW w:w="3240" w:type="dxa"/>
            <w:shd w:val="clear" w:color="auto" w:fill="365F91"/>
            <w:vAlign w:val="bottom"/>
          </w:tcPr>
          <w:p w14:paraId="22B044E9" w14:textId="77777777" w:rsidR="0021114C" w:rsidRDefault="0021114C">
            <w:pPr>
              <w:jc w:val="right"/>
              <w:rPr>
                <w:rFonts w:ascii="Calibri" w:hAnsi="Calibri"/>
                <w:color w:val="000000"/>
                <w:sz w:val="22"/>
                <w:szCs w:val="22"/>
              </w:rPr>
            </w:pPr>
            <w:r>
              <w:rPr>
                <w:rFonts w:ascii="Calibri" w:hAnsi="Calibri"/>
                <w:color w:val="000000"/>
                <w:sz w:val="22"/>
                <w:szCs w:val="22"/>
              </w:rPr>
              <w:t>98,451,948</w:t>
            </w:r>
          </w:p>
        </w:tc>
        <w:tc>
          <w:tcPr>
            <w:tcW w:w="2160" w:type="dxa"/>
            <w:shd w:val="clear" w:color="auto" w:fill="365F91"/>
          </w:tcPr>
          <w:p w14:paraId="5F5069F2" w14:textId="77777777" w:rsidR="0021114C" w:rsidRPr="004B4059" w:rsidRDefault="0021114C" w:rsidP="00F07F81">
            <w:pPr>
              <w:spacing w:after="120"/>
              <w:jc w:val="right"/>
              <w:rPr>
                <w:b/>
                <w:sz w:val="21"/>
                <w:szCs w:val="21"/>
                <w:lang w:val="en-GB"/>
              </w:rPr>
            </w:pPr>
            <w:r w:rsidRPr="004B4059">
              <w:rPr>
                <w:b/>
                <w:sz w:val="21"/>
                <w:szCs w:val="21"/>
                <w:lang w:val="en-GB"/>
              </w:rPr>
              <w:t>100</w:t>
            </w:r>
          </w:p>
        </w:tc>
      </w:tr>
    </w:tbl>
    <w:p w14:paraId="541E7372" w14:textId="77777777" w:rsidR="00D33F77" w:rsidRDefault="00F07F81" w:rsidP="004B053A">
      <w:pPr>
        <w:numPr>
          <w:ilvl w:val="2"/>
          <w:numId w:val="7"/>
        </w:numPr>
        <w:spacing w:after="120"/>
        <w:rPr>
          <w:b/>
          <w:sz w:val="22"/>
          <w:szCs w:val="22"/>
          <w:lang w:val="en-GB"/>
        </w:rPr>
      </w:pPr>
      <w:r>
        <w:rPr>
          <w:b/>
          <w:sz w:val="22"/>
          <w:szCs w:val="22"/>
          <w:lang w:val="en-GB"/>
        </w:rPr>
        <w:t xml:space="preserve">Project </w:t>
      </w:r>
      <w:r w:rsidR="00D33F77">
        <w:rPr>
          <w:b/>
          <w:sz w:val="22"/>
          <w:szCs w:val="22"/>
          <w:lang w:val="en-GB"/>
        </w:rPr>
        <w:t>summary</w:t>
      </w:r>
    </w:p>
    <w:p w14:paraId="2F3FAEB0" w14:textId="77777777" w:rsidR="00D33F77" w:rsidRPr="002D3B1E" w:rsidRDefault="002D3B1E" w:rsidP="002D3B1E">
      <w:pPr>
        <w:spacing w:after="120"/>
        <w:jc w:val="both"/>
        <w:rPr>
          <w:sz w:val="22"/>
          <w:szCs w:val="22"/>
          <w:lang w:val="en-GB"/>
        </w:rPr>
      </w:pPr>
      <w:r w:rsidRPr="002D3B1E">
        <w:rPr>
          <w:sz w:val="22"/>
          <w:szCs w:val="22"/>
          <w:lang w:val="en-GB"/>
        </w:rPr>
        <w:t xml:space="preserve">The South China Sea is a strategic body of water surrounded by nations that are currently at the helm of industrialization and rapid economic growth in the Asia-Pacific region. Bordered by the People’s Republic of China to the north, the Republic of the Philippines to the east; Malaysia, the Republic of Singapore, the Republic of Indonesia and the Sultanate of Brunei Darussalam to the south, and the Kingdoms of Thailand and Cambodia, and the Socialist Republic of Viet Nam to the west, the South China Sea has always been central to issues of economic and political stability in Southeast Asia and adjacent regions. The South China Sea is also a global center of shallow water tropical marine biodiversity and is central to defining environmental sustainability and food </w:t>
      </w:r>
      <w:r>
        <w:rPr>
          <w:sz w:val="22"/>
          <w:szCs w:val="22"/>
          <w:lang w:val="en-GB"/>
        </w:rPr>
        <w:t>security in the region</w:t>
      </w:r>
      <w:r w:rsidRPr="002D3B1E">
        <w:rPr>
          <w:sz w:val="22"/>
          <w:szCs w:val="22"/>
          <w:lang w:val="en-GB"/>
        </w:rPr>
        <w:t>.</w:t>
      </w:r>
    </w:p>
    <w:p w14:paraId="391D5A59" w14:textId="77777777" w:rsidR="002D3B1E" w:rsidRDefault="002D3B1E" w:rsidP="002D3B1E">
      <w:pPr>
        <w:spacing w:after="120"/>
        <w:jc w:val="both"/>
        <w:rPr>
          <w:sz w:val="22"/>
          <w:szCs w:val="22"/>
          <w:lang w:val="en-GB"/>
        </w:rPr>
      </w:pPr>
      <w:r w:rsidRPr="002D3B1E">
        <w:rPr>
          <w:sz w:val="22"/>
          <w:szCs w:val="22"/>
          <w:lang w:val="en-GB"/>
        </w:rPr>
        <w:t>Coastal communities of the South China Sea’s riparian states are, however, at the highest risk global</w:t>
      </w:r>
      <w:r>
        <w:rPr>
          <w:sz w:val="22"/>
          <w:szCs w:val="22"/>
          <w:lang w:val="en-GB"/>
        </w:rPr>
        <w:t xml:space="preserve">ly from the impacts of </w:t>
      </w:r>
      <w:r w:rsidRPr="002D3B1E">
        <w:rPr>
          <w:sz w:val="22"/>
          <w:szCs w:val="22"/>
          <w:lang w:val="en-GB"/>
        </w:rPr>
        <w:t xml:space="preserve">increasing rates of coastal and marine environmental degradation. The Strategic Action Programme </w:t>
      </w:r>
      <w:r>
        <w:rPr>
          <w:sz w:val="22"/>
          <w:szCs w:val="22"/>
          <w:lang w:val="en-GB"/>
        </w:rPr>
        <w:t xml:space="preserve">(SAP) </w:t>
      </w:r>
      <w:r w:rsidRPr="002D3B1E">
        <w:rPr>
          <w:sz w:val="22"/>
          <w:szCs w:val="22"/>
          <w:lang w:val="en-GB"/>
        </w:rPr>
        <w:t xml:space="preserve">for the South China Sea, endorsed at the inter-governmental level, represents the only agreed common vision among the participating countries on targets and actions for reversing environmental degradation trends in the South China Sea. The decadal rates of loss of coastal habitats from </w:t>
      </w:r>
      <w:r>
        <w:rPr>
          <w:sz w:val="22"/>
          <w:szCs w:val="22"/>
          <w:lang w:val="en-GB"/>
        </w:rPr>
        <w:t>the SCS</w:t>
      </w:r>
      <w:r w:rsidRPr="002D3B1E">
        <w:rPr>
          <w:sz w:val="22"/>
          <w:szCs w:val="22"/>
          <w:lang w:val="en-GB"/>
        </w:rPr>
        <w:t xml:space="preserve"> are high and increasing. </w:t>
      </w:r>
      <w:r>
        <w:rPr>
          <w:sz w:val="22"/>
          <w:szCs w:val="22"/>
          <w:lang w:val="en-GB"/>
        </w:rPr>
        <w:t>Each</w:t>
      </w:r>
      <w:r w:rsidRPr="002D3B1E">
        <w:rPr>
          <w:sz w:val="22"/>
          <w:szCs w:val="22"/>
          <w:lang w:val="en-GB"/>
        </w:rPr>
        <w:t xml:space="preserve"> decade, 30 percent of seagrass, 16 percent of mangrove, and 16 percent of live coral cover is lost from </w:t>
      </w:r>
      <w:r>
        <w:rPr>
          <w:sz w:val="22"/>
          <w:szCs w:val="22"/>
          <w:lang w:val="en-GB"/>
        </w:rPr>
        <w:t>this basin</w:t>
      </w:r>
      <w:r w:rsidRPr="002D3B1E">
        <w:rPr>
          <w:sz w:val="22"/>
          <w:szCs w:val="22"/>
          <w:lang w:val="en-GB"/>
        </w:rPr>
        <w:t xml:space="preserve"> due to pressures associated with unsustainable patterns of use by the 270 million people that reside </w:t>
      </w:r>
      <w:r>
        <w:rPr>
          <w:sz w:val="22"/>
          <w:szCs w:val="22"/>
          <w:lang w:val="en-GB"/>
        </w:rPr>
        <w:t>on the SCS’s coast</w:t>
      </w:r>
      <w:r w:rsidRPr="002D3B1E">
        <w:rPr>
          <w:sz w:val="22"/>
          <w:szCs w:val="22"/>
          <w:lang w:val="en-GB"/>
        </w:rPr>
        <w:t>.</w:t>
      </w:r>
    </w:p>
    <w:p w14:paraId="361FDBF4" w14:textId="77777777" w:rsidR="002D3B1E" w:rsidRDefault="002D3B1E" w:rsidP="002D3B1E">
      <w:pPr>
        <w:spacing w:after="120"/>
        <w:jc w:val="both"/>
        <w:rPr>
          <w:sz w:val="22"/>
          <w:szCs w:val="22"/>
          <w:lang w:val="en-GB"/>
        </w:rPr>
      </w:pPr>
      <w:r w:rsidRPr="002D3B1E">
        <w:rPr>
          <w:sz w:val="22"/>
          <w:szCs w:val="22"/>
          <w:lang w:val="en-GB"/>
        </w:rPr>
        <w:t>This project entitled “</w:t>
      </w:r>
      <w:r w:rsidRPr="00132162">
        <w:rPr>
          <w:i/>
          <w:sz w:val="22"/>
          <w:szCs w:val="22"/>
          <w:lang w:val="en-GB"/>
        </w:rPr>
        <w:t>Implementing the Strategic Action Programme for the South China Sea</w:t>
      </w:r>
      <w:r w:rsidRPr="002D3B1E">
        <w:rPr>
          <w:sz w:val="22"/>
          <w:szCs w:val="22"/>
          <w:lang w:val="en-GB"/>
        </w:rPr>
        <w:t xml:space="preserve">" is financed by the Global Environment Facility and is implemented by the United Nations Environment Programme. The Secretariat for the </w:t>
      </w:r>
      <w:r w:rsidRPr="00854AAD">
        <w:rPr>
          <w:sz w:val="22"/>
          <w:szCs w:val="22"/>
          <w:highlight w:val="yellow"/>
          <w:lang w:val="en-GB"/>
        </w:rPr>
        <w:t>Coordinating Body on the Seas of East Asia is executing the project regionally</w:t>
      </w:r>
      <w:r w:rsidRPr="002D3B1E">
        <w:rPr>
          <w:sz w:val="22"/>
          <w:szCs w:val="22"/>
          <w:lang w:val="en-GB"/>
        </w:rPr>
        <w:t xml:space="preserve"> in partnership with the Ministries responsible for environment in Cambodia, China, Indonesia, Philippines, Thailand and Vietnam. The overall objective of the project is to assist the governments of the participating countries in meeting the targets of the approved </w:t>
      </w:r>
      <w:r>
        <w:rPr>
          <w:sz w:val="22"/>
          <w:szCs w:val="22"/>
          <w:lang w:val="en-GB"/>
        </w:rPr>
        <w:t>SAP</w:t>
      </w:r>
      <w:r w:rsidRPr="002D3B1E">
        <w:rPr>
          <w:sz w:val="22"/>
          <w:szCs w:val="22"/>
          <w:lang w:val="en-GB"/>
        </w:rPr>
        <w:t xml:space="preserve"> through the provision of technical assistance as required in implementing national activities in support of the SAP; and the provision of strong regional co-ordination of the process of SAP implementation.</w:t>
      </w:r>
    </w:p>
    <w:p w14:paraId="7F45EE63" w14:textId="77777777" w:rsidR="002D3B1E" w:rsidRDefault="002D3B1E" w:rsidP="002D3B1E">
      <w:pPr>
        <w:spacing w:after="120"/>
        <w:jc w:val="both"/>
        <w:rPr>
          <w:sz w:val="22"/>
          <w:szCs w:val="22"/>
          <w:lang w:val="en-GB"/>
        </w:rPr>
      </w:pPr>
      <w:r w:rsidRPr="002D3B1E">
        <w:rPr>
          <w:sz w:val="22"/>
          <w:szCs w:val="22"/>
          <w:lang w:val="en-GB"/>
        </w:rPr>
        <w:t xml:space="preserve">The project design is squarely based on achieving </w:t>
      </w:r>
      <w:r>
        <w:rPr>
          <w:sz w:val="22"/>
          <w:szCs w:val="22"/>
          <w:lang w:val="en-GB"/>
        </w:rPr>
        <w:t>SAP</w:t>
      </w:r>
      <w:r w:rsidRPr="002D3B1E">
        <w:rPr>
          <w:sz w:val="22"/>
          <w:szCs w:val="22"/>
          <w:lang w:val="en-GB"/>
        </w:rPr>
        <w:t xml:space="preserve"> targets. Accordingly, project activities will result in significant environmental stress reduction via actions to: establish appropriate forms of sustainable management established for 860,000 ha of mangrove; facilitate effective management arrangements for 153,000 ha of coral reef at 82 priority sites, including a reduction in the decadal rate of degradation in live coral cover from 16 to 5 percent; establish arrangements for the conservation, management and sustainable use of 25,900 ha of known seagrass area in the South China Sea; and develop integrated management of 783,900 ha of coastal wetland at 19 sites, including habitat restoration and strengthened protection at priority wetland locations. The project will also strengthen knowledge-based action planning for the management of coastal habitats and land-based pollution, and will support consensus building on arrangements for strengthened regional cooperation in the management of the marine and coastal environment of the South China Sea.</w:t>
      </w:r>
    </w:p>
    <w:p w14:paraId="38D7487F" w14:textId="77777777" w:rsidR="002D3B1E" w:rsidRDefault="002D3B1E" w:rsidP="002D3B1E">
      <w:pPr>
        <w:spacing w:after="120"/>
        <w:jc w:val="both"/>
        <w:rPr>
          <w:sz w:val="22"/>
          <w:szCs w:val="22"/>
          <w:lang w:val="en-GB"/>
        </w:rPr>
      </w:pPr>
      <w:r w:rsidRPr="002D3B1E">
        <w:rPr>
          <w:sz w:val="22"/>
          <w:szCs w:val="22"/>
          <w:lang w:val="en-GB"/>
        </w:rPr>
        <w:t xml:space="preserve">The project also responds to calls, both globally and regionally, for more results oriented approaches to investment in environmental and natural resource management. Activities will facilitate national and regional level cooperation in tracking results of Strategic Action Programme actions. The project will also make a significant contribution to the achievement of the Aichi targets and Sustainable Development Goals. It is noted that, activities undertaken during SAP formulation and those to be implemented by the present project have </w:t>
      </w:r>
      <w:r w:rsidR="00BF4EF9">
        <w:rPr>
          <w:sz w:val="22"/>
          <w:szCs w:val="22"/>
          <w:lang w:val="en-GB"/>
        </w:rPr>
        <w:t xml:space="preserve">not, </w:t>
      </w:r>
      <w:r w:rsidRPr="002D3B1E">
        <w:rPr>
          <w:sz w:val="22"/>
          <w:szCs w:val="22"/>
          <w:lang w:val="en-GB"/>
        </w:rPr>
        <w:t>and will not</w:t>
      </w:r>
      <w:r w:rsidR="00BF4EF9">
        <w:rPr>
          <w:sz w:val="22"/>
          <w:szCs w:val="22"/>
          <w:lang w:val="en-GB"/>
        </w:rPr>
        <w:t>,</w:t>
      </w:r>
      <w:r w:rsidRPr="002D3B1E">
        <w:rPr>
          <w:sz w:val="22"/>
          <w:szCs w:val="22"/>
          <w:lang w:val="en-GB"/>
        </w:rPr>
        <w:t xml:space="preserve"> address matters relating to jurisdictional dispute. Activities of the coral reef component are restricted to coastal, or non-oceanic, coral reefs, and do not intend to blur the distinction between resolving jurisdictional matters and those aimed at meeting immediate, and perhaps dire, issues relating to the conservation of globally significant biological diversity embedded in the Strategic Action Programme targets.</w:t>
      </w:r>
    </w:p>
    <w:p w14:paraId="360505C8" w14:textId="77777777" w:rsidR="002D3B1E" w:rsidRPr="002D3B1E" w:rsidRDefault="002D3B1E" w:rsidP="002D3B1E">
      <w:pPr>
        <w:spacing w:after="120"/>
        <w:jc w:val="both"/>
        <w:rPr>
          <w:sz w:val="22"/>
          <w:szCs w:val="22"/>
          <w:lang w:val="en-GB"/>
        </w:rPr>
      </w:pPr>
    </w:p>
    <w:p w14:paraId="79BB94BB" w14:textId="77777777" w:rsidR="00F07F81" w:rsidRDefault="00D33F77" w:rsidP="00D33F77">
      <w:pPr>
        <w:spacing w:after="120"/>
        <w:rPr>
          <w:b/>
          <w:sz w:val="22"/>
          <w:szCs w:val="22"/>
          <w:lang w:val="en-GB"/>
        </w:rPr>
      </w:pPr>
      <w:r>
        <w:rPr>
          <w:b/>
          <w:sz w:val="22"/>
          <w:szCs w:val="22"/>
          <w:lang w:val="en-GB"/>
        </w:rPr>
        <w:t>1.13</w:t>
      </w:r>
      <w:r>
        <w:rPr>
          <w:b/>
          <w:sz w:val="22"/>
          <w:szCs w:val="22"/>
          <w:lang w:val="en-GB"/>
        </w:rPr>
        <w:tab/>
      </w:r>
      <w:r w:rsidR="003E7B2B">
        <w:rPr>
          <w:b/>
          <w:sz w:val="22"/>
          <w:szCs w:val="22"/>
          <w:lang w:val="en-GB"/>
        </w:rPr>
        <w:t xml:space="preserve">Executive </w:t>
      </w:r>
      <w:r w:rsidR="00F07F81">
        <w:rPr>
          <w:b/>
          <w:sz w:val="22"/>
          <w:szCs w:val="22"/>
          <w:lang w:val="en-GB"/>
        </w:rPr>
        <w:t>summary</w:t>
      </w:r>
      <w:r w:rsidR="003E7B2B">
        <w:rPr>
          <w:b/>
          <w:sz w:val="22"/>
          <w:szCs w:val="22"/>
          <w:lang w:val="en-GB"/>
        </w:rPr>
        <w:t>: linking lessons learned and evaluation findings to project design</w:t>
      </w:r>
    </w:p>
    <w:p w14:paraId="2C45CA4A" w14:textId="77777777" w:rsidR="00995864" w:rsidRDefault="00995864" w:rsidP="00F14C31">
      <w:pPr>
        <w:spacing w:after="120"/>
        <w:jc w:val="both"/>
        <w:rPr>
          <w:sz w:val="22"/>
          <w:szCs w:val="22"/>
          <w:lang w:val="en-GB"/>
        </w:rPr>
      </w:pPr>
      <w:r w:rsidRPr="00995864">
        <w:rPr>
          <w:sz w:val="22"/>
          <w:szCs w:val="22"/>
          <w:lang w:val="en-GB"/>
        </w:rPr>
        <w:t>The South China Sea is a strategic body of water surrounded by nations that are currently at the helm of industrialization and rapid economic growth in the Asia-Pacific region. Bordered by the People’s Republic of China to the north, the Republic of the Philippines to the east; Malaysia, the Republic of Singapore, the Republic of Indonesia and the Sultanate of Brunei Darussalam to the south, and the Kingdoms of Thailand and Cambodia, and the Socialist Republic of Viet Nam to the west, the South China Sea has always been central to issues of economic and political stability in Southeast Asia and adjacent regions. Today, it is central to defining environmental sustainability and food security for its coastal nations. The coastal sub-regions of these nations are home to 270 000 000 people or 5 pe</w:t>
      </w:r>
      <w:r>
        <w:rPr>
          <w:sz w:val="22"/>
          <w:szCs w:val="22"/>
          <w:lang w:val="en-GB"/>
        </w:rPr>
        <w:t>rcent of the world’s population</w:t>
      </w:r>
      <w:r w:rsidRPr="00995864">
        <w:rPr>
          <w:sz w:val="22"/>
          <w:szCs w:val="22"/>
          <w:lang w:val="en-GB"/>
        </w:rPr>
        <w:t>. About 122 major rivers drain 2.5 *106 km2 of catchments and deliver materials, including suspended sediments, nutrients and pollutants, to the South China Sea. Recent findings of the Global Environment Facility’s Transboundary Waters Assessment Programme identify coastal communities bordering the South China Sea and Gulf of Thailand as being among the most at risk globally from coastal and marine environmental degradation.</w:t>
      </w:r>
    </w:p>
    <w:p w14:paraId="0C6E3235" w14:textId="77777777" w:rsidR="00995864" w:rsidRDefault="00995864" w:rsidP="00F14C31">
      <w:pPr>
        <w:spacing w:after="120"/>
        <w:jc w:val="both"/>
        <w:rPr>
          <w:sz w:val="22"/>
          <w:szCs w:val="22"/>
          <w:lang w:val="en-GB"/>
        </w:rPr>
      </w:pPr>
      <w:r w:rsidRPr="00995864">
        <w:rPr>
          <w:sz w:val="22"/>
          <w:szCs w:val="22"/>
          <w:lang w:val="en-GB"/>
        </w:rPr>
        <w:t>Like most tropical coastlines worldwide, the dominant coastal ecosystems of the South China Sea marine basin are mangroves, coral reefs and seagrass meadows. Significant other coastal ecosystems include coastal lagoons, a common coastal landform in Viet Nam, and extensive inter-tidal unvegetated mudflats that are found in many places around the South China Sea (UNEP, 2008d). Socio-economically, culturally and aesthetically, the South China Sea, the Gulf of Thailand and regional river basins and bays form part of the common heritage of the people of the Southeast Asian region.  The region’s expanding population relies on the SCS for nutrition, livelihoods, recreation and economic pursuits (e.g., tourism), energy (e.g., oil and gas), aquaculture, pharmaceuticals, the ornamental fish trade, construction materials and ports and shipping.  The SCS region is ecologically at risk and the rates of loss of dominant coastal habitats from this marine basin are high and increasing. For example the decadal rates of loss of mangrove, seagrass, and live coral cover from the SCS are estimated to be 16 percent, 30 percent and 16 percent, respectively. Reversing this requires regional cooperation for long-term sustainability and regional growth.</w:t>
      </w:r>
    </w:p>
    <w:p w14:paraId="7A88CD01" w14:textId="77777777" w:rsidR="00995864" w:rsidRDefault="00995864" w:rsidP="00F14C31">
      <w:pPr>
        <w:spacing w:after="120"/>
        <w:jc w:val="both"/>
        <w:rPr>
          <w:sz w:val="22"/>
          <w:szCs w:val="22"/>
          <w:lang w:val="en-GB"/>
        </w:rPr>
      </w:pPr>
      <w:r w:rsidRPr="00995864">
        <w:rPr>
          <w:sz w:val="22"/>
          <w:szCs w:val="22"/>
          <w:lang w:val="en-GB"/>
        </w:rPr>
        <w:t>Accordingly, the overall goals of this project are: to maintain an environment at the regional level, in which collaboration and partnership in addressing environmental problems of the South China Sea, between all stakeholders, and at all levels is fostered and encouraged; to enhance the capacity of the participating governments to integrate environmental considerations into national development planning; and to strengthen and expand the network of scientists, government officials and civil society established under the UNEP/GEF SCS Project. The medium term objective of the project is to assist the governments of the participating countries in meeting the targets of the approved Strategic Action Programme through the provision of technical assistance as required in implementing national activities in support of the SAP; and the provision of strong regional co-ordination of the process of SAP implementation. As this project builds on a prior SAP formulation initiative, clear guidance was provided by the GEF Secretariat and the GEF’s Scientific and Technical Advisory Panel, at the time the project was endorsed for development, to the effect that; project preparation should draw as widely as possible on examples of best practices, lessons learned, and the findings of various evaluations of the SAP formulation initiative. In this connection, background Section 2.1 of this Project Document was prepared with the aim of addressing this guidance. Linkages between this situational analysis and the design of the present project are summarized below.</w:t>
      </w:r>
    </w:p>
    <w:p w14:paraId="6D2D9094" w14:textId="77777777" w:rsidR="00995864" w:rsidRDefault="003E7B2B" w:rsidP="00F14C31">
      <w:pPr>
        <w:spacing w:after="120"/>
        <w:jc w:val="both"/>
        <w:rPr>
          <w:sz w:val="22"/>
          <w:szCs w:val="22"/>
          <w:lang w:val="en-GB"/>
        </w:rPr>
      </w:pPr>
      <w:r w:rsidRPr="003E7B2B">
        <w:rPr>
          <w:sz w:val="22"/>
          <w:szCs w:val="22"/>
          <w:lang w:val="en-GB"/>
        </w:rPr>
        <w:t>Firstly and from a contextual perspective, Section 2.1.1 of the background section entitled ‘South China Sea TDA and SAP: Formulation Activities’ describes activities which enabled the initiation of epistemic multi-lateral collaboration, the identification of initial information needs to undertake the Transboundary Diagnostic Analysis for the South China Sea, the establishment of mechanisms for scientific and technical review of information and data to be used in planning, and the prioritization of transboundary problems and required interventions. It also provides an overview of the development, goals and objectives of the SCS formulation project. Importantly, effort of that initiative in the areas of epistemic community building and fostering consensus among the participating countries is described in Section 2.1.2 ‘Catalyzing Stakeholder Participation in SAP Formulation’. This section outlines experiences and lessons-learned associated with: the important steps of defining roles of national and regional entities involved in inter-governmental, multilateral environment initiatives; the process of confirming the causes of identified issues and problems; how the project management framework for the SCS project facilitated vertical and horizontal integration and the separation of scientific and political matters to enable clarity in discussion and decision-making; the importance of effective national-level networking to harness the range of knowledge and expertise to address the complexity of problems associated with transboundary water resource management; and the need for step-wise scientific and technical review of the SAP.</w:t>
      </w:r>
    </w:p>
    <w:p w14:paraId="0810694B" w14:textId="77777777" w:rsidR="002D3B1E" w:rsidRDefault="003E7B2B" w:rsidP="00F14C31">
      <w:pPr>
        <w:spacing w:after="120"/>
        <w:jc w:val="both"/>
        <w:rPr>
          <w:sz w:val="22"/>
          <w:szCs w:val="22"/>
          <w:lang w:val="en-GB"/>
        </w:rPr>
      </w:pPr>
      <w:r w:rsidRPr="003E7B2B">
        <w:rPr>
          <w:sz w:val="22"/>
          <w:szCs w:val="22"/>
          <w:lang w:val="en-GB"/>
        </w:rPr>
        <w:t xml:space="preserve">These experiences and lessons learned in the area of project organization were applied in the design of the present project and are reflected in the intervention strategy, institutional framework and in agreeing mechanisms for stakeholder participation. For example, the management structure for this SAP implementation project embodies the clear separation of scientific and technical matters from policy issues. This is aimed at fostering the veracity of the scientific and technical elements of the initiatives and minimizing the influence of political constraints on scientific issues below the levels of the Inter-Ministerial Committees within the countries and below the level of the SCS SAP Implementation Committee (equivalent to a Project Steering Committee). The evaluation of the SCS formulation project confirmed the success of this approach in ensuring that “scientific and technical considerations do not become obfuscated by political discussions”. </w:t>
      </w:r>
    </w:p>
    <w:p w14:paraId="78A40888" w14:textId="77777777" w:rsidR="003E7B2B" w:rsidRDefault="003E7B2B" w:rsidP="00F14C31">
      <w:pPr>
        <w:spacing w:after="120"/>
        <w:jc w:val="both"/>
        <w:rPr>
          <w:sz w:val="22"/>
          <w:szCs w:val="22"/>
          <w:lang w:val="en-GB"/>
        </w:rPr>
      </w:pPr>
      <w:r w:rsidRPr="003E7B2B">
        <w:rPr>
          <w:sz w:val="22"/>
          <w:szCs w:val="22"/>
          <w:lang w:val="en-GB"/>
        </w:rPr>
        <w:t xml:space="preserve">Importantly, this approach to project coordination also provides mechanisms for each individual or entity to interact with every other individual or entity, hence enhancing vertical as well as horizontal communication and interaction required to achieve consensus and the resolution of difficulties. Specific project activities will support this, including the revitalization of the national committees and regional working groups, and the operation of the Regional Scientific and Technical Committee. Similarly, the important lesson of ensuring transparency via region-wide sharing of a consensual information base is replicated in the present project design by the inclusion of targets relating to the operation of </w:t>
      </w:r>
      <w:r>
        <w:rPr>
          <w:sz w:val="22"/>
          <w:szCs w:val="22"/>
          <w:lang w:val="en-GB"/>
        </w:rPr>
        <w:t>knowledge management platforms. P</w:t>
      </w:r>
      <w:r w:rsidRPr="003E7B2B">
        <w:rPr>
          <w:sz w:val="22"/>
          <w:szCs w:val="22"/>
          <w:lang w:val="en-GB"/>
        </w:rPr>
        <w:t>erhaps the best independent recognition of these knowledge sharing approaches is demonstrated via their showcasing by the Internet company ‘Google’ which highlighted the information sharing initiatives of the SAP formulation project in its news “as a great example of how t</w:t>
      </w:r>
      <w:r>
        <w:rPr>
          <w:sz w:val="22"/>
          <w:szCs w:val="22"/>
          <w:lang w:val="en-GB"/>
        </w:rPr>
        <w:t>o connect with a wide audience”</w:t>
      </w:r>
      <w:r>
        <w:rPr>
          <w:rStyle w:val="FootnoteReference"/>
          <w:sz w:val="22"/>
          <w:szCs w:val="22"/>
          <w:lang w:val="en-GB"/>
        </w:rPr>
        <w:footnoteReference w:id="2"/>
      </w:r>
      <w:r w:rsidRPr="003E7B2B">
        <w:rPr>
          <w:sz w:val="22"/>
          <w:szCs w:val="22"/>
          <w:lang w:val="en-GB"/>
        </w:rPr>
        <w:t>.</w:t>
      </w:r>
    </w:p>
    <w:p w14:paraId="47E842A4" w14:textId="77777777" w:rsidR="003E7B2B" w:rsidRDefault="003E7B2B" w:rsidP="00F14C31">
      <w:pPr>
        <w:spacing w:after="120"/>
        <w:jc w:val="both"/>
        <w:rPr>
          <w:sz w:val="22"/>
          <w:szCs w:val="22"/>
          <w:lang w:val="en-GB"/>
        </w:rPr>
      </w:pPr>
      <w:r w:rsidRPr="003E7B2B">
        <w:rPr>
          <w:sz w:val="22"/>
          <w:szCs w:val="22"/>
          <w:lang w:val="en-GB"/>
        </w:rPr>
        <w:t>Section 2.1.3 entitled ‘Refining and Agreeing SAP Targets’ describes the iterative process undertaken to refine and agree upon SAP targets of the SCS SAP, and highlights the focus of this work on the planning of SAP interventions aimed at the simultaneous achievement of local benefit and high transboundary impact. Efforts to develop modeling tools in support of SAP formulation and the monitoring and evaluation of SAP implementation for land-based pollution management are also presented. Provided largely for contextual background, it highlights how the science-based planning fostered during SAP formulation was essential in meeting multi-lateral agreement on the regional targets priority actions for coastal habitat and land-based pollution management in this transboundary water body. It also highlights the imperative that the agreed common vision on priority locations and approaches for future habitat management and the commitments to action contained in the SAP be sustained. The national and local capacity built, and the vast repositories of management information, created through SAP formulation provide a solid foundation for SAP implementation, future planning, and monitoring and evaluation of management interventions. The present project builds on this via the planning of activities at priority sites which are squarely aimed at achieving the agreed SAP targets. The project will also build on the science-based planning fostered during SAP formulation via a range of planned activities to enhance the information-base for coastal habitat and land-based pollution management.</w:t>
      </w:r>
    </w:p>
    <w:p w14:paraId="34516386" w14:textId="77777777" w:rsidR="000D39B4" w:rsidRDefault="003E7B2B" w:rsidP="00F14C31">
      <w:pPr>
        <w:spacing w:after="120"/>
        <w:jc w:val="both"/>
        <w:rPr>
          <w:sz w:val="22"/>
          <w:szCs w:val="22"/>
          <w:lang w:val="en-GB"/>
        </w:rPr>
      </w:pPr>
      <w:r w:rsidRPr="003E7B2B">
        <w:rPr>
          <w:sz w:val="22"/>
          <w:szCs w:val="22"/>
          <w:lang w:val="en-GB"/>
        </w:rPr>
        <w:t xml:space="preserve">Lessons learned in coastal habitat management from the SCS project’s network of 23 demonstration sites are summarized in Section 2.1.4 ‘Lessons Learned in Coastal Habitat Management from the SCS Project’. Specific lessons learned relate to: the elements of successful approaches to strengthening cross-sectoral coordination and management; involvement of stakeholders in application of the fisheries refugia approach as a tool for habitat management; benefits of involving of the private sector in coastal management; approaches for building the capacity of local governments and communities for law enforcement; the outcomes from integrating traditional knowledge and practices into management planning; environmental stress reduction that can be achieved via the adoption of supplementary and alternative livelihoods as tools for improved habitat and resource management; procedures for the successful promotion of sustainable tourism in coastal areas; the realities of the rehabilitation of habitats and the promotion of sustainable aquaculture practices; and the need bilateral cooperation in managing habitats that straddle transboundary water areas. </w:t>
      </w:r>
    </w:p>
    <w:p w14:paraId="3163CC45" w14:textId="77777777" w:rsidR="003E7B2B" w:rsidRDefault="003E7B2B" w:rsidP="00F14C31">
      <w:pPr>
        <w:spacing w:after="120"/>
        <w:jc w:val="both"/>
        <w:rPr>
          <w:sz w:val="22"/>
          <w:szCs w:val="22"/>
          <w:lang w:val="en-GB"/>
        </w:rPr>
      </w:pPr>
      <w:r w:rsidRPr="003E7B2B">
        <w:rPr>
          <w:sz w:val="22"/>
          <w:szCs w:val="22"/>
          <w:lang w:val="en-GB"/>
        </w:rPr>
        <w:t>The supporting information presented in this section</w:t>
      </w:r>
      <w:r w:rsidR="000D39B4">
        <w:rPr>
          <w:sz w:val="22"/>
          <w:szCs w:val="22"/>
          <w:lang w:val="en-GB"/>
        </w:rPr>
        <w:t xml:space="preserve"> 2.1.4 </w:t>
      </w:r>
      <w:r w:rsidRPr="003E7B2B">
        <w:rPr>
          <w:sz w:val="22"/>
          <w:szCs w:val="22"/>
          <w:lang w:val="en-GB"/>
        </w:rPr>
        <w:t xml:space="preserve"> relating to the approaches and tools used for the design and management of the demonstration activities has been used to plan the approach for operationalizing site-level management of priority mangrove, coral reef, seagrass and wetlands areas targeted through SAP implementation. Similarly, the documented lessons learned will be applied in a similar manner in site-level management planning and will act as a baseline of best practices to be built upon through the present project and will be used in the development of site-level awareness and training products. The related Section 2.1.5 ‘Coastal Habitat Management: Opportunities for Replication and Scaling-up’ outlines considerations of the steps involved in the successful operationalization of targeted management interventions at coastal habitat sites. This was applied to the design of the project results framework and related work plan. Success associated with private sector engagement in mangrove management in China have in part also prompted the inclusion of planned targets relating to the establishment of private-sector partnerships and formulation of private sector investment plans in support of the implementation of the updated Strategic Action Programme.</w:t>
      </w:r>
    </w:p>
    <w:p w14:paraId="5CA03C92" w14:textId="77777777" w:rsidR="000D39B4" w:rsidRDefault="000D39B4" w:rsidP="00F14C31">
      <w:pPr>
        <w:spacing w:after="120"/>
        <w:jc w:val="both"/>
        <w:rPr>
          <w:sz w:val="22"/>
          <w:szCs w:val="22"/>
          <w:lang w:val="en-GB"/>
        </w:rPr>
      </w:pPr>
      <w:r w:rsidRPr="000D39B4">
        <w:rPr>
          <w:sz w:val="22"/>
          <w:szCs w:val="22"/>
          <w:lang w:val="en-GB"/>
        </w:rPr>
        <w:t>Important lessons from the operation of the network of demonstration sites, including the benefits associated with mechanisms established for coordination, integration, and learning are also summarised in Section 2.</w:t>
      </w:r>
      <w:r>
        <w:rPr>
          <w:sz w:val="22"/>
          <w:szCs w:val="22"/>
          <w:lang w:val="en-GB"/>
        </w:rPr>
        <w:t>15</w:t>
      </w:r>
      <w:r w:rsidRPr="000D39B4">
        <w:rPr>
          <w:sz w:val="22"/>
          <w:szCs w:val="22"/>
          <w:lang w:val="en-GB"/>
        </w:rPr>
        <w:t xml:space="preserve">. These mechanisms which included the involvement of local officials from the demonstration site localities in Regional Scientific Conferences and Mayors Round-Table meetings will be replicated and built up by the present initiative. To support the uptake of regionally accumulated scientific knowledge in policy-making and planning, the project will facilitate exchanges between government and the scientific community via biennial Regional Scientific Conferences. This will be complemented via the development and operation of a network of local government officials and operational level managers, including annual Mayors’ Round-table meetings, to share experiences and best practices in the application of science in the management of coastal habitats and land-based pollution. Local networks of community representatives will also be built into </w:t>
      </w:r>
      <w:r w:rsidR="004B5B5F">
        <w:rPr>
          <w:sz w:val="22"/>
          <w:szCs w:val="22"/>
          <w:lang w:val="en-GB"/>
        </w:rPr>
        <w:t xml:space="preserve">these coordination arrangements via incorporation of targets in the results framework that focus on the replication and scaling-up of the partnership with the GEF Small Grants Programme for SAP implementation. </w:t>
      </w:r>
    </w:p>
    <w:p w14:paraId="0A408E26" w14:textId="77777777" w:rsidR="003E7B2B" w:rsidRDefault="003E7B2B" w:rsidP="00F14C31">
      <w:pPr>
        <w:spacing w:after="120"/>
        <w:jc w:val="both"/>
        <w:rPr>
          <w:sz w:val="22"/>
          <w:szCs w:val="22"/>
          <w:lang w:val="en-GB"/>
        </w:rPr>
      </w:pPr>
      <w:r w:rsidRPr="003E7B2B">
        <w:rPr>
          <w:sz w:val="22"/>
          <w:szCs w:val="22"/>
          <w:lang w:val="en-GB"/>
        </w:rPr>
        <w:t>Section 2.1.6 ‘Land-Based Pollution in the South China Sea: Issues, Lessons Learned and Needs’ provides a brief overview of the geographical, demographic and economic context of land-based pollution in the South China Sea, a summary of land-based sources of pollution in the South China Sea, an overview of past regional initiatives addressing land-based pollution in this marine basin. It also summarises the land-based pollution activities of the SCS project (which included the regional networking of specialists, development of a regional information base for management, hotspot characterization and priority ranking, and operation of pilot activities). An overview of the innovative work of SAP formulation in agreeing frameworks for valuing the impacts of land-based pollution and modelling the carrying capacity of the SCS marine basin is presented. These tools will be applied directly in efforts to develop National Investment Plans and plan for the more effective management of heavy metal contamination of coastal waters. An important lesson learned from SCS formulation that will be carried forward in the present initiative is that the resources required to clean-up individual sources or entire hotspots is beyond the scope of a project of this size. Rather as the SAP promotes, this project will support efforts that serve as replication models or tools to strengthen regional capacity to address land-based pollution at the national level.</w:t>
      </w:r>
    </w:p>
    <w:p w14:paraId="699A0ADD" w14:textId="77777777" w:rsidR="003E7B2B" w:rsidRDefault="003E7B2B" w:rsidP="00F14C31">
      <w:pPr>
        <w:spacing w:after="120"/>
        <w:jc w:val="both"/>
        <w:rPr>
          <w:sz w:val="22"/>
          <w:szCs w:val="22"/>
          <w:lang w:val="en-GB"/>
        </w:rPr>
      </w:pPr>
      <w:r w:rsidRPr="003E7B2B">
        <w:rPr>
          <w:sz w:val="22"/>
          <w:szCs w:val="22"/>
          <w:lang w:val="en-GB"/>
        </w:rPr>
        <w:t>Of global significance to the UNEP and GEF, as well as other development organizations and donors working in field of environmental and natural resource management, is the unique methodology and procedures developed during SAP formulation to determine the economic value of the goods and services of coastal habitats, and the application of these in evaluating the cost effectiveness of regional conservation actions. Section 2.1.7 ‘National and Regional Economic Values for Ecotone Goods and Services’ contains the best available data relating to the values of goods and services from coastal habitats of the South China Sea. It also describes the standardised method for computing national and regional weighted mean values of resources and services that can be applied more widely in handling and manipulating economic valuation data from multiple locations across any time span. The techniques can be applied in any region where multiple currencies, varying exchange rates and widespread inter-locational variation in farm gate prices are found. This will be a particularly valuable tool for SAP implementation and future GEF investment in the South China Sea. The specific targets of the revised SAP have been valued or, more specifically, the incremental benefit derived from achieving the target has been valued. The values saved by achieving the targets have been compared with the costs of implementing the actions defined in the regional SAP through a cost benefit analysis. This project will build significantly on this work via efforts to strengthen the dataset and the application of the methodology to emerging issues and planning needs.</w:t>
      </w:r>
    </w:p>
    <w:p w14:paraId="559FAFED" w14:textId="77777777" w:rsidR="003E7B2B" w:rsidRDefault="003E7B2B" w:rsidP="00F14C31">
      <w:pPr>
        <w:spacing w:after="120"/>
        <w:jc w:val="both"/>
        <w:rPr>
          <w:sz w:val="22"/>
          <w:szCs w:val="22"/>
          <w:lang w:val="en-GB"/>
        </w:rPr>
      </w:pPr>
      <w:r w:rsidRPr="003E7B2B">
        <w:rPr>
          <w:sz w:val="22"/>
          <w:szCs w:val="22"/>
          <w:lang w:val="en-GB"/>
        </w:rPr>
        <w:t>The GEF’s Scientific and Technical Advisory Panel (STAP) recommended that the key evaluation finding to be addressed during project preparation was to ensure that frameworks and options for project cooperation be fully explored. In this connection, Section 2.1.8 ‘Legal Aspects of Environmental Management in the South China Sea’ summarizes the comprehensive review of legal aspects of environmental management in the South China Sea and Gulf of Thailand undertaken in preparation for the present project. This includes an overview of obligations concerning regional cooperation under global environment conventions, including: assessments of the status of international environment conventions in the South China Sea area; and summaries of obligations regarding regional cooperation under global conventions. This is complemented by an analysis of regional and sub-regional agreements and soft laws on marine environment in the South China Sea which includes: a summary of regional and sub-regional agreements and soft laws; an assessment of environmental cooperation among Southeast Asian countries; and a detailed overview of the scope and mandate of regional and sub-regional programmes and projects in the South China. This legal review is concluded with a comparative analysis of national legislation on the coastal and marine environment of the South China Sea. The latter includes: a summary of the general status and hierarchical structure of environmental legislation; a review of instruments and mechanisms utilised to protect the marine environment (e.g. legally mandated instruments and mechanisms, non-legally binding and policy instruments, and application of local practices and knowledge); and detailed summaries of national institutional arrangements for coastal and marine environmental management, including mechanisms for enforcement and compliance.</w:t>
      </w:r>
    </w:p>
    <w:p w14:paraId="6A2D09A9" w14:textId="77777777" w:rsidR="003E7B2B" w:rsidRDefault="003E7B2B" w:rsidP="00F14C31">
      <w:pPr>
        <w:spacing w:after="120"/>
        <w:jc w:val="both"/>
        <w:rPr>
          <w:sz w:val="22"/>
          <w:szCs w:val="22"/>
          <w:lang w:val="en-GB"/>
        </w:rPr>
      </w:pPr>
      <w:r w:rsidRPr="003E7B2B">
        <w:rPr>
          <w:sz w:val="22"/>
          <w:szCs w:val="22"/>
          <w:lang w:val="en-GB"/>
        </w:rPr>
        <w:t>In this connection, Section 2.1.9</w:t>
      </w:r>
      <w:r w:rsidRPr="003E7B2B">
        <w:rPr>
          <w:sz w:val="22"/>
          <w:szCs w:val="22"/>
          <w:lang w:val="en-GB"/>
        </w:rPr>
        <w:tab/>
        <w:t xml:space="preserve"> ‘Regional Cooperation for Environmental Management in the South China Sea’ a review of instruments and mechanisms for strengthening marine environmental cooperation in the South China Sea was also undertaken in preparation for this present initiative. This includes an overview of the need for cooperation, from the perspectives of ecological, legal, and socio-economic mandates. Importantly the review includes a detailed review of cooperative efforts for marine environmental protection outside of the South Sea, to identify global lessons learned and examples of best practice, and draws on the abovementioned review of legal aspects of environmental management, to present recommended options for strengthened cooperation. The review also examines the underlying challenges to regional cooperation and presents proposed requirements, or recommended fundamental elements, of efforts to strengthen cooperation. The ecological, socio-economic and political viability of each of the proposed options has also been examined and is outlined further as part of baseline section of this Project Document.</w:t>
      </w:r>
    </w:p>
    <w:p w14:paraId="5CD88E2E" w14:textId="77777777" w:rsidR="00887A36" w:rsidRDefault="003E7B2B" w:rsidP="00F14C31">
      <w:pPr>
        <w:spacing w:after="120"/>
        <w:jc w:val="both"/>
        <w:rPr>
          <w:sz w:val="22"/>
          <w:szCs w:val="22"/>
          <w:lang w:val="en-GB"/>
        </w:rPr>
      </w:pPr>
      <w:r w:rsidRPr="003E7B2B">
        <w:rPr>
          <w:sz w:val="22"/>
          <w:szCs w:val="22"/>
          <w:lang w:val="en-GB"/>
        </w:rPr>
        <w:t xml:space="preserve">Another key evaluation finding that the STAP recommended should be considered during project preparation is that the GEF "should more clearly define the role and linkages of regional mechanism/s in the context of its broader regional strategy, and ensure country and donor commitments to increasing levels of co-financing to cover the full costs of regional services by the end of the next phase of support”. In this connection, it is noted that the Ministers responsible for the environment have previously formally endorsed, at the inter-governmental level, a Strategic Action Programme for the South China Sea. A revised SAP to be signed by Ministers, aimed at continuing the SAP approach to the management of the SCS was confirmed in the preparation of this project as a key result. Similarly, participating countries have provided a high-level of input into the formulation of options for strengthening cooperation in the South China Sea, and have agreed to explore through the present project the agreement of an arrangement for longer-term cooperation. </w:t>
      </w:r>
    </w:p>
    <w:p w14:paraId="7AD3693A" w14:textId="77777777" w:rsidR="003E7B2B" w:rsidRDefault="003E7B2B" w:rsidP="00F14C31">
      <w:pPr>
        <w:spacing w:after="120"/>
        <w:jc w:val="both"/>
        <w:rPr>
          <w:sz w:val="22"/>
          <w:szCs w:val="22"/>
          <w:lang w:val="en-GB"/>
        </w:rPr>
      </w:pPr>
      <w:r w:rsidRPr="003E7B2B">
        <w:rPr>
          <w:sz w:val="22"/>
          <w:szCs w:val="22"/>
          <w:lang w:val="en-GB"/>
        </w:rPr>
        <w:t xml:space="preserve">While preparation of this project has proceeded on the basis of the recommendations of the SCS Impact Evaluation, such recommendations were not complemented by any clear policy guidance regarding a 'regional strategy' of the GEF as alluded to by the STAP. Furthermore, while the emphasis of this project is on supporting the participating countries to meet the targets of the SCS SAP, which must be considered globally significant, this STAP comment raises a pertinent point about alignment of national budget and planning processes, as well as donor support, with longer-term commitment. In this connection, it is noted that the present project has secured co-financing commitments in excess of five-fold those realized during SAP formulation, and has embedded targets in the results framework that relate to the sustainable financing of the operational, scientific and technical, and cooperative aspects of future arrangements aimed at halting environmental degradation in the South China Sea. Section 2.1.10 ‘From SAP Adoption to SAP Implementation’ provides </w:t>
      </w:r>
      <w:r>
        <w:rPr>
          <w:sz w:val="22"/>
          <w:szCs w:val="22"/>
          <w:lang w:val="en-GB"/>
        </w:rPr>
        <w:t xml:space="preserve">further </w:t>
      </w:r>
      <w:r w:rsidRPr="003E7B2B">
        <w:rPr>
          <w:sz w:val="22"/>
          <w:szCs w:val="22"/>
          <w:lang w:val="en-GB"/>
        </w:rPr>
        <w:t>contextual background information</w:t>
      </w:r>
      <w:r>
        <w:rPr>
          <w:sz w:val="22"/>
          <w:szCs w:val="22"/>
          <w:lang w:val="en-GB"/>
        </w:rPr>
        <w:t xml:space="preserve"> in this regard</w:t>
      </w:r>
      <w:r w:rsidRPr="003E7B2B">
        <w:rPr>
          <w:sz w:val="22"/>
          <w:szCs w:val="22"/>
          <w:lang w:val="en-GB"/>
        </w:rPr>
        <w:t>.</w:t>
      </w:r>
    </w:p>
    <w:p w14:paraId="1B78D334" w14:textId="77777777" w:rsidR="00887A36" w:rsidRDefault="003E7B2B" w:rsidP="00F14C31">
      <w:pPr>
        <w:spacing w:after="120"/>
        <w:jc w:val="both"/>
        <w:rPr>
          <w:sz w:val="22"/>
          <w:szCs w:val="22"/>
          <w:lang w:val="en-GB"/>
        </w:rPr>
      </w:pPr>
      <w:r w:rsidRPr="003E7B2B">
        <w:rPr>
          <w:sz w:val="22"/>
          <w:szCs w:val="22"/>
          <w:lang w:val="en-GB"/>
        </w:rPr>
        <w:t xml:space="preserve">Evaluations relating to the SCS formulation project have also focused on the need for strengthened arrangements for monitoring and evaluation of impact. Related evaluation recommendations align with the increasing emphasis on results oriented approaches to project planning, implementation, and monitoring and evaluation. Accordingly, a significant sub-component of this project will facilitate national and regional level cooperation in tracking results of Strategic Action Programme actions for coastal habitat management. Specific indicators of sustainability to be tracked relate to: the enabling environments for sustainable management; improvements to ecological and environmental state; and socio-economic impacts. Activities are designed to reach agreement on standardized methods and guidelines for habitat inventory and assessment, leading to the achievement of regional-level agreement on a harmonized results framework and analytical tool for tracking and reporting on sustainability of habitat management systems in the SCS basin. </w:t>
      </w:r>
    </w:p>
    <w:p w14:paraId="054B328F" w14:textId="77777777" w:rsidR="003E7B2B" w:rsidRDefault="003E7B2B" w:rsidP="00F14C31">
      <w:pPr>
        <w:spacing w:after="120"/>
        <w:jc w:val="both"/>
        <w:rPr>
          <w:sz w:val="22"/>
          <w:szCs w:val="22"/>
          <w:lang w:val="en-GB"/>
        </w:rPr>
      </w:pPr>
      <w:r w:rsidRPr="003E7B2B">
        <w:rPr>
          <w:sz w:val="22"/>
          <w:szCs w:val="22"/>
          <w:lang w:val="en-GB"/>
        </w:rPr>
        <w:t>Additionally, an online ‘results’ portal will be developed to support regional-level capacity building in results-oriented planning and management of coastal habitats, as well as the routine online sharing and syndication of information regarding the results of Strategic Action Programme implementation. The latter will involve online geospatial presentation of results linked to related initiatives of the GEF IW:LEARN initiative. Similarly, performance of the project with respect to indicators defined in the GEF IW tracking tool will be documented and communicated annually; effort will also be made to align the agreed reporting systems with national reporting requirements to various International conventions and the Sustainable Development Goals.</w:t>
      </w:r>
    </w:p>
    <w:p w14:paraId="30DF420F" w14:textId="77777777" w:rsidR="00887A36" w:rsidRDefault="003E7B2B" w:rsidP="00F14C31">
      <w:pPr>
        <w:spacing w:after="120"/>
        <w:jc w:val="both"/>
        <w:rPr>
          <w:sz w:val="22"/>
          <w:szCs w:val="22"/>
          <w:lang w:val="en-GB"/>
        </w:rPr>
      </w:pPr>
      <w:r w:rsidRPr="003E7B2B">
        <w:rPr>
          <w:sz w:val="22"/>
          <w:szCs w:val="22"/>
          <w:lang w:val="en-GB"/>
        </w:rPr>
        <w:t xml:space="preserve">The STAP also recommended that the project aim to make Marine Spatial Planning approaches more central to the project design. In this connection, a key guiding principle for the project identified during preparation, and outlined in the intervention strategy section of the Project Document, is the ‘Application of Marine Spatial Planning in Strategic Action Plan Implementation’ and is based firmly on: (a) the outcome document of Rio+20, entitled “The Future We Want”, in which world leaders reaffirmed the importance of area-based conservation measures, including marine protected areas, as a tool for the conservation of biological diversity and the sustainable use of its components; and (b) Aichi Biodiversity Target 11, which states that by 2020, 10 per cent of coastal and marine areas, especially areas of particular importance for biodiversity and ecosystem services, are to be conserved through effectively and equitably managed, ecologically representative and well-connected systems of protected areas and other effective area-based conservation measures.  </w:t>
      </w:r>
    </w:p>
    <w:p w14:paraId="7FF6166F" w14:textId="77777777" w:rsidR="003E7B2B" w:rsidRDefault="003E7B2B" w:rsidP="00F14C31">
      <w:pPr>
        <w:spacing w:after="120"/>
        <w:jc w:val="both"/>
        <w:rPr>
          <w:sz w:val="22"/>
          <w:szCs w:val="22"/>
          <w:lang w:val="en-GB"/>
        </w:rPr>
      </w:pPr>
      <w:r w:rsidRPr="003E7B2B">
        <w:rPr>
          <w:sz w:val="22"/>
          <w:szCs w:val="22"/>
          <w:lang w:val="en-GB"/>
        </w:rPr>
        <w:t>In this connection, project activities focused on establishing marine protected areas and other area-based conservation measures, and the effectiveness of management at these sites, will be undertaken within the broader, multi-sectoral planning context that Marine Spatial Planning approaches provide. This will improve collaboration amongst multiple users of the marine environment as a means to conserve marine and coastal biodiversity while at the same time addressing human needs, including livelihood considerations across coasts around estuaries and coral reefs, in near shore lagoon environments and mangroves and seagrass habitats. Accordingly, the project is aligned closely with the Aichi Strategic Goal C ‘To improve the status of biodiversity by safeguarding ecosystems, species and genetic diversity’. This strategic design c</w:t>
      </w:r>
      <w:r w:rsidR="00132162">
        <w:rPr>
          <w:sz w:val="22"/>
          <w:szCs w:val="22"/>
          <w:lang w:val="en-GB"/>
        </w:rPr>
        <w:t xml:space="preserve">onsideration, in part based on STAP guidance and </w:t>
      </w:r>
      <w:r w:rsidRPr="003E7B2B">
        <w:rPr>
          <w:sz w:val="22"/>
          <w:szCs w:val="22"/>
          <w:lang w:val="en-GB"/>
        </w:rPr>
        <w:t xml:space="preserve">aims to guide effective inter-linkages with the SEAFDEC/UNEP/GEF fisheries refugia initiative and other work of the project </w:t>
      </w:r>
      <w:r w:rsidR="00132162">
        <w:rPr>
          <w:sz w:val="22"/>
          <w:szCs w:val="22"/>
          <w:lang w:val="en-GB"/>
        </w:rPr>
        <w:t>on economic valuation, determining</w:t>
      </w:r>
      <w:r w:rsidRPr="003E7B2B">
        <w:rPr>
          <w:sz w:val="22"/>
          <w:szCs w:val="22"/>
          <w:lang w:val="en-GB"/>
        </w:rPr>
        <w:t xml:space="preserve"> the impact of land-based pollution of the SCS under various loading scenarios, and planning for national-level responses to issues relating to climate variability and change.</w:t>
      </w:r>
    </w:p>
    <w:p w14:paraId="1EC78A20" w14:textId="77777777" w:rsidR="003E7B2B" w:rsidRDefault="003E7B2B" w:rsidP="00F14C31">
      <w:pPr>
        <w:spacing w:after="120"/>
        <w:jc w:val="both"/>
        <w:rPr>
          <w:sz w:val="22"/>
          <w:szCs w:val="22"/>
          <w:lang w:val="en-GB"/>
        </w:rPr>
      </w:pPr>
      <w:r w:rsidRPr="003E7B2B">
        <w:rPr>
          <w:sz w:val="22"/>
          <w:szCs w:val="22"/>
          <w:lang w:val="en-GB"/>
        </w:rPr>
        <w:t>In relation to other recommendations of the GEF Secretariat, it is noted that alignment of SAP actions with CBD targets was a key consideration in SAP formulation. Accordingly, the design of the results framework for the SAP project, which focuses primarily on achievement of SAP targets, also aimed where possible to align outcomes with the Aichi process. Accordingly, this project will make significant contributions to the achievement of all Aichi Strategic Goals and more than half of the 20 Aichi targets. This is noted throughout relevant sections of the Project Document, although a detailed description of the alignment of project targets and activities with the Aichi goals and targets is provided in the section on policy conformity and anticipated Global Environmental Benefits. It is noted that the design of the project also took place in the context of the emergence of th</w:t>
      </w:r>
      <w:r>
        <w:rPr>
          <w:sz w:val="22"/>
          <w:szCs w:val="22"/>
          <w:lang w:val="en-GB"/>
        </w:rPr>
        <w:t>e Sustainable Development Goals</w:t>
      </w:r>
      <w:r w:rsidRPr="003E7B2B">
        <w:rPr>
          <w:sz w:val="22"/>
          <w:szCs w:val="22"/>
          <w:lang w:val="en-GB"/>
        </w:rPr>
        <w:t xml:space="preserve">. </w:t>
      </w:r>
    </w:p>
    <w:p w14:paraId="680AB362" w14:textId="77777777" w:rsidR="003E7B2B" w:rsidRDefault="003E7B2B" w:rsidP="00F14C31">
      <w:pPr>
        <w:spacing w:after="120"/>
        <w:jc w:val="both"/>
        <w:rPr>
          <w:sz w:val="22"/>
          <w:szCs w:val="22"/>
          <w:lang w:val="en-GB"/>
        </w:rPr>
      </w:pPr>
      <w:r w:rsidRPr="003E7B2B">
        <w:rPr>
          <w:sz w:val="22"/>
          <w:szCs w:val="22"/>
          <w:lang w:val="en-GB"/>
        </w:rPr>
        <w:t>Importantly, the project will make substantial contributions towards the achievement of the Sustainable Development Goals, specifically: (a) Goal 1: End poverty in all its forms everywhere – by ensuring that all men and women, in particular the poor and the vulnerable, have equal rights to natural resources, and by building the resilience of the poor and those in vulnerable situations via reducing their vulnerability to climate-related extreme events and other economic, social and environmental shocks and disasters; (b) Goal 12. Ensure sustainable consumption and production patterns – by contributing to the achievement of the sustainable management and efficient use of natural resources, and by supporting developing countries to strengthen their scientific and technological capacity to move towards more sustainable patterns of consumption and production; and (c) Goal 14. Conserve and sustainably use the oceans, seas and marine resources for sustainable development – by efforts aimed at sustainably managing and protecting marine and coastal ecosystems, conserving at least 10 per cent of coastal and marine areas, and by enhancing the conservation and sustainable use of oceans and their resources by implementing international law as reflected in UNCLOS, which provides the legal framework for the conservation and sustainable use of oceans and their resources, as recalled in paragraph 158 of ‘The Future We Want’.</w:t>
      </w:r>
    </w:p>
    <w:p w14:paraId="7D90948F" w14:textId="77777777" w:rsidR="003E7B2B" w:rsidRDefault="003E7B2B" w:rsidP="00F14C31">
      <w:pPr>
        <w:spacing w:after="120"/>
        <w:jc w:val="both"/>
        <w:rPr>
          <w:sz w:val="22"/>
          <w:szCs w:val="22"/>
          <w:lang w:val="en-GB"/>
        </w:rPr>
      </w:pPr>
      <w:r w:rsidRPr="003E7B2B">
        <w:rPr>
          <w:sz w:val="22"/>
          <w:szCs w:val="22"/>
          <w:lang w:val="en-GB"/>
        </w:rPr>
        <w:t>As recommended by the GEF Secretariat, the roles of stakeholders, particularly community representatives, have been more clearly defined and, importantly, mechanisms for their engagement and integration have been defined and reflected in various targets and indicators. Indeed a number of project targets relate to strengthening community stakeholder participation in SAP implementation. Mechanisms for the tracking of stakeholder participation and activities to develop ‘community to cabinet’ stakeholder engagement strategies are planned and budgeted. A key guiding principle for the project ‘Catalysing community action via locally driven solutions’ was agreed during project preparation and acknowledges that  locally-driven solutions to key issues influencing coastal sustainability and resilience are a necessity given the high levels of coastal community dependence on natural resources for nutritional security and livelihoods, a disproportionately high percentage of the world’s population residing in coastal areas of the basin, and a highly variable environment characterised by numerous coastal hazards.</w:t>
      </w:r>
    </w:p>
    <w:p w14:paraId="2EA0299C" w14:textId="77777777" w:rsidR="003E7B2B" w:rsidRDefault="003E7B2B" w:rsidP="00F14C31">
      <w:pPr>
        <w:spacing w:after="120"/>
        <w:jc w:val="both"/>
        <w:rPr>
          <w:sz w:val="22"/>
          <w:szCs w:val="22"/>
          <w:lang w:val="en-GB"/>
        </w:rPr>
      </w:pPr>
      <w:r w:rsidRPr="003E7B2B">
        <w:rPr>
          <w:sz w:val="22"/>
          <w:szCs w:val="22"/>
          <w:lang w:val="en-GB"/>
        </w:rPr>
        <w:t>Project preparation also identified a series of nine guiding principles and strategic design considerations. These include: (i) Catalysing Community Action via Locally Driven Solutions; (ii) Resolving Problems by Negotiating Outwards; (iii) Facilitating Gender Mainstreaming in SAP Implementation; (iv) Application of Marine Spatial Planning in SAP Implementation; (v) Supporting Results Oriented Planning and Action; (vi) Integrating Climate Variability and Change Considerations in National and Regional Planning; (vii) Investing in Knowledge and Human Capital; (viii) Effectively Communicating the Benefits of Integration and Lessons Learned; (ix) Promoting Public-Private Partnerships. These principles are further elaborated in the intervention strategy of Section 3 of this Project Document. The following outlines the organization of agreed project activities under the three main components of work.</w:t>
      </w:r>
    </w:p>
    <w:p w14:paraId="516922A8" w14:textId="77777777" w:rsidR="00F14C31" w:rsidRPr="00F14C31" w:rsidRDefault="00F14C31" w:rsidP="00F14C31">
      <w:pPr>
        <w:spacing w:after="120"/>
        <w:ind w:left="1440" w:hanging="1440"/>
        <w:jc w:val="both"/>
        <w:rPr>
          <w:b/>
          <w:sz w:val="22"/>
          <w:szCs w:val="22"/>
          <w:lang w:val="en-GB"/>
        </w:rPr>
      </w:pPr>
      <w:r>
        <w:rPr>
          <w:b/>
          <w:sz w:val="22"/>
          <w:szCs w:val="22"/>
          <w:lang w:val="en-GB"/>
        </w:rPr>
        <w:t>Component 1:</w:t>
      </w:r>
      <w:r>
        <w:rPr>
          <w:b/>
          <w:sz w:val="22"/>
          <w:szCs w:val="22"/>
          <w:lang w:val="en-GB"/>
        </w:rPr>
        <w:tab/>
      </w:r>
      <w:r w:rsidRPr="00F14C31">
        <w:rPr>
          <w:b/>
          <w:sz w:val="22"/>
          <w:szCs w:val="22"/>
          <w:lang w:val="en-GB"/>
        </w:rPr>
        <w:t xml:space="preserve">Reducing habitat degradation and loss via national and local reforms to achieve Strategic Action Programme targets for coastal habitat management in the South China Sea </w:t>
      </w:r>
    </w:p>
    <w:p w14:paraId="496370D4" w14:textId="77777777" w:rsidR="00F14C31" w:rsidRPr="00F14C31" w:rsidRDefault="00F14C31" w:rsidP="00F14C31">
      <w:pPr>
        <w:spacing w:after="120"/>
        <w:jc w:val="both"/>
        <w:rPr>
          <w:sz w:val="22"/>
          <w:szCs w:val="22"/>
          <w:lang w:val="en-GB"/>
        </w:rPr>
      </w:pPr>
      <w:r w:rsidRPr="00F14C31">
        <w:rPr>
          <w:b/>
          <w:i/>
          <w:sz w:val="22"/>
          <w:szCs w:val="22"/>
          <w:lang w:val="en-GB"/>
        </w:rPr>
        <w:t>Mangroves:</w:t>
      </w:r>
      <w:r w:rsidRPr="00F14C31">
        <w:rPr>
          <w:sz w:val="22"/>
          <w:szCs w:val="22"/>
          <w:lang w:val="en-GB"/>
        </w:rPr>
        <w:t xml:space="preserve"> Regional, national and local activities under this sub-component are </w:t>
      </w:r>
      <w:r w:rsidR="00BA4FE8">
        <w:rPr>
          <w:sz w:val="22"/>
          <w:szCs w:val="22"/>
          <w:lang w:val="en-GB"/>
        </w:rPr>
        <w:t>will result in the achievement of</w:t>
      </w:r>
      <w:r w:rsidRPr="00F14C31">
        <w:rPr>
          <w:sz w:val="22"/>
          <w:szCs w:val="22"/>
          <w:lang w:val="en-GB"/>
        </w:rPr>
        <w:t xml:space="preserve"> S</w:t>
      </w:r>
      <w:r w:rsidR="005B1515">
        <w:rPr>
          <w:sz w:val="22"/>
          <w:szCs w:val="22"/>
          <w:lang w:val="en-GB"/>
        </w:rPr>
        <w:t xml:space="preserve">trategic </w:t>
      </w:r>
      <w:r w:rsidRPr="00F14C31">
        <w:rPr>
          <w:sz w:val="22"/>
          <w:szCs w:val="22"/>
          <w:lang w:val="en-GB"/>
        </w:rPr>
        <w:t>A</w:t>
      </w:r>
      <w:r w:rsidR="005B1515">
        <w:rPr>
          <w:sz w:val="22"/>
          <w:szCs w:val="22"/>
          <w:lang w:val="en-GB"/>
        </w:rPr>
        <w:t xml:space="preserve">ction </w:t>
      </w:r>
      <w:r w:rsidRPr="00F14C31">
        <w:rPr>
          <w:sz w:val="22"/>
          <w:szCs w:val="22"/>
          <w:lang w:val="en-GB"/>
        </w:rPr>
        <w:t>P</w:t>
      </w:r>
      <w:r w:rsidR="005B1515">
        <w:rPr>
          <w:sz w:val="22"/>
          <w:szCs w:val="22"/>
          <w:lang w:val="en-GB"/>
        </w:rPr>
        <w:t>rogramme</w:t>
      </w:r>
      <w:r w:rsidRPr="00F14C31">
        <w:rPr>
          <w:sz w:val="22"/>
          <w:szCs w:val="22"/>
          <w:lang w:val="en-GB"/>
        </w:rPr>
        <w:t xml:space="preserve"> </w:t>
      </w:r>
      <w:r w:rsidR="00BA4FE8">
        <w:rPr>
          <w:sz w:val="22"/>
          <w:szCs w:val="22"/>
          <w:lang w:val="en-GB"/>
        </w:rPr>
        <w:t xml:space="preserve">targets </w:t>
      </w:r>
      <w:r w:rsidR="005B1515">
        <w:rPr>
          <w:sz w:val="22"/>
          <w:szCs w:val="22"/>
          <w:lang w:val="en-GB"/>
        </w:rPr>
        <w:t xml:space="preserve">for </w:t>
      </w:r>
      <w:r w:rsidR="00BA4FE8">
        <w:rPr>
          <w:sz w:val="22"/>
          <w:szCs w:val="22"/>
          <w:lang w:val="en-GB"/>
        </w:rPr>
        <w:t>mangrove</w:t>
      </w:r>
      <w:r w:rsidR="005B1515">
        <w:rPr>
          <w:sz w:val="22"/>
          <w:szCs w:val="22"/>
          <w:lang w:val="en-GB"/>
        </w:rPr>
        <w:t xml:space="preserve"> management</w:t>
      </w:r>
      <w:r w:rsidRPr="00F14C31">
        <w:rPr>
          <w:sz w:val="22"/>
          <w:szCs w:val="22"/>
          <w:lang w:val="en-GB"/>
        </w:rPr>
        <w:t>. The key anticipated outcome is the establishment of appropriate forms of sustainable management including relevant reforms of laws and regulations for 860,000 ha of mangrove bordering the SCS basin. The project also aims to support these national actions through a regionally co-ordinated programme of technical support; the objective of which is to assist countries in effectively and sustainably managing their mangrove resources. At the national level, activities will focus on</w:t>
      </w:r>
      <w:r w:rsidR="005B1515">
        <w:rPr>
          <w:sz w:val="22"/>
          <w:szCs w:val="22"/>
          <w:lang w:val="en-GB"/>
        </w:rPr>
        <w:t>:</w:t>
      </w:r>
      <w:r w:rsidRPr="00F14C31">
        <w:rPr>
          <w:sz w:val="22"/>
          <w:szCs w:val="22"/>
          <w:lang w:val="en-GB"/>
        </w:rPr>
        <w:t xml:space="preserve"> the declaration of 57,400 ha of mangrove as National Parks and Protected Areas</w:t>
      </w:r>
      <w:r w:rsidR="005B1515">
        <w:rPr>
          <w:sz w:val="22"/>
          <w:szCs w:val="22"/>
          <w:lang w:val="en-GB"/>
        </w:rPr>
        <w:t>;</w:t>
      </w:r>
      <w:r w:rsidRPr="00F14C31">
        <w:rPr>
          <w:sz w:val="22"/>
          <w:szCs w:val="22"/>
          <w:lang w:val="en-GB"/>
        </w:rPr>
        <w:t xml:space="preserve"> the designation and </w:t>
      </w:r>
      <w:r w:rsidR="00206538">
        <w:rPr>
          <w:sz w:val="22"/>
          <w:szCs w:val="22"/>
          <w:lang w:val="en-GB"/>
        </w:rPr>
        <w:t xml:space="preserve">adoption of </w:t>
      </w:r>
      <w:r w:rsidRPr="00F14C31">
        <w:rPr>
          <w:sz w:val="22"/>
          <w:szCs w:val="22"/>
          <w:lang w:val="en-GB"/>
        </w:rPr>
        <w:t>plans for the management of 166,600 ha of mangrove as non-conversion, sustainable use areas</w:t>
      </w:r>
      <w:r w:rsidR="005B1515">
        <w:rPr>
          <w:sz w:val="22"/>
          <w:szCs w:val="22"/>
          <w:lang w:val="en-GB"/>
        </w:rPr>
        <w:t>;</w:t>
      </w:r>
      <w:r w:rsidRPr="00F14C31">
        <w:rPr>
          <w:sz w:val="22"/>
          <w:szCs w:val="22"/>
          <w:lang w:val="en-GB"/>
        </w:rPr>
        <w:t xml:space="preserve"> national reform of laws and regulations for the sustainable use of 602,800 ha of mangrove forest</w:t>
      </w:r>
      <w:r w:rsidR="005B1515">
        <w:rPr>
          <w:sz w:val="22"/>
          <w:szCs w:val="22"/>
          <w:lang w:val="en-GB"/>
        </w:rPr>
        <w:t>;</w:t>
      </w:r>
      <w:r w:rsidRPr="00F14C31">
        <w:rPr>
          <w:sz w:val="22"/>
          <w:szCs w:val="22"/>
          <w:lang w:val="en-GB"/>
        </w:rPr>
        <w:t xml:space="preserve"> </w:t>
      </w:r>
      <w:r w:rsidR="00206538">
        <w:rPr>
          <w:sz w:val="22"/>
          <w:szCs w:val="22"/>
          <w:lang w:val="en-GB"/>
        </w:rPr>
        <w:t xml:space="preserve">the </w:t>
      </w:r>
      <w:r w:rsidRPr="00F14C31">
        <w:rPr>
          <w:sz w:val="22"/>
          <w:szCs w:val="22"/>
          <w:lang w:val="en-GB"/>
        </w:rPr>
        <w:t>replanting of 21,000 ha of deforested mangrove land</w:t>
      </w:r>
      <w:r w:rsidR="005B1515">
        <w:rPr>
          <w:sz w:val="22"/>
          <w:szCs w:val="22"/>
          <w:lang w:val="en-GB"/>
        </w:rPr>
        <w:t>;</w:t>
      </w:r>
      <w:r w:rsidRPr="00F14C31">
        <w:rPr>
          <w:sz w:val="22"/>
          <w:szCs w:val="22"/>
          <w:lang w:val="en-GB"/>
        </w:rPr>
        <w:t xml:space="preserve"> and </w:t>
      </w:r>
      <w:r w:rsidR="00206538">
        <w:rPr>
          <w:sz w:val="22"/>
          <w:szCs w:val="22"/>
          <w:lang w:val="en-GB"/>
        </w:rPr>
        <w:t xml:space="preserve">increased </w:t>
      </w:r>
      <w:r w:rsidRPr="00F14C31">
        <w:rPr>
          <w:sz w:val="22"/>
          <w:szCs w:val="22"/>
          <w:lang w:val="en-GB"/>
        </w:rPr>
        <w:t xml:space="preserve">biodiversity for 11,200 ha of mangrove forest via enrichment planting. </w:t>
      </w:r>
    </w:p>
    <w:p w14:paraId="06EC6124" w14:textId="77777777" w:rsidR="00F14C31" w:rsidRPr="00F14C31" w:rsidRDefault="00F14C31" w:rsidP="00F14C31">
      <w:pPr>
        <w:spacing w:after="120"/>
        <w:jc w:val="both"/>
        <w:rPr>
          <w:sz w:val="22"/>
          <w:szCs w:val="22"/>
          <w:lang w:val="en-GB"/>
        </w:rPr>
      </w:pPr>
      <w:r w:rsidRPr="00F14C31">
        <w:rPr>
          <w:b/>
          <w:i/>
          <w:sz w:val="22"/>
          <w:szCs w:val="22"/>
          <w:lang w:val="en-GB"/>
        </w:rPr>
        <w:t>Coral Reefs:</w:t>
      </w:r>
      <w:r>
        <w:rPr>
          <w:sz w:val="22"/>
          <w:szCs w:val="22"/>
          <w:lang w:val="en-GB"/>
        </w:rPr>
        <w:t xml:space="preserve"> </w:t>
      </w:r>
      <w:r w:rsidR="005B1515">
        <w:rPr>
          <w:sz w:val="22"/>
          <w:szCs w:val="22"/>
          <w:lang w:val="en-GB"/>
        </w:rPr>
        <w:t>A</w:t>
      </w:r>
      <w:r w:rsidRPr="00F14C31">
        <w:rPr>
          <w:sz w:val="22"/>
          <w:szCs w:val="22"/>
          <w:lang w:val="en-GB"/>
        </w:rPr>
        <w:t>ctions proposed under this sub-component are designed to promote good environmental governance, relevant national legislative and institutional reforms and sustainable management of coral reef ecosystems. The key anticipated outcome is</w:t>
      </w:r>
      <w:r w:rsidR="00F955EE">
        <w:rPr>
          <w:sz w:val="22"/>
          <w:szCs w:val="22"/>
          <w:lang w:val="en-GB"/>
        </w:rPr>
        <w:t xml:space="preserve"> the sustainable management of</w:t>
      </w:r>
      <w:r w:rsidRPr="00F14C31">
        <w:rPr>
          <w:sz w:val="22"/>
          <w:szCs w:val="22"/>
          <w:lang w:val="en-GB"/>
        </w:rPr>
        <w:t xml:space="preserve"> 153,000 ha of coral reef at 82 priority sites, including a reduction in the decadal rate of degradation in live coral cover from 16 to 5</w:t>
      </w:r>
      <w:r w:rsidR="005B1515">
        <w:rPr>
          <w:sz w:val="22"/>
          <w:szCs w:val="22"/>
          <w:lang w:val="en-GB"/>
        </w:rPr>
        <w:t xml:space="preserve"> percent</w:t>
      </w:r>
      <w:r w:rsidRPr="00F14C31">
        <w:rPr>
          <w:sz w:val="22"/>
          <w:szCs w:val="22"/>
          <w:lang w:val="en-GB"/>
        </w:rPr>
        <w:t xml:space="preserve">. At the  national </w:t>
      </w:r>
      <w:r w:rsidR="005B1515">
        <w:rPr>
          <w:sz w:val="22"/>
          <w:szCs w:val="22"/>
          <w:lang w:val="en-GB"/>
        </w:rPr>
        <w:t xml:space="preserve">and coral reef site </w:t>
      </w:r>
      <w:r w:rsidRPr="00F14C31">
        <w:rPr>
          <w:sz w:val="22"/>
          <w:szCs w:val="22"/>
          <w:lang w:val="en-GB"/>
        </w:rPr>
        <w:t>levels, activities will include</w:t>
      </w:r>
      <w:r w:rsidR="005B1515">
        <w:rPr>
          <w:sz w:val="22"/>
          <w:szCs w:val="22"/>
          <w:lang w:val="en-GB"/>
        </w:rPr>
        <w:t>:</w:t>
      </w:r>
      <w:r w:rsidRPr="00F14C31">
        <w:rPr>
          <w:sz w:val="22"/>
          <w:szCs w:val="22"/>
          <w:lang w:val="en-GB"/>
        </w:rPr>
        <w:t xml:space="preserve"> support</w:t>
      </w:r>
      <w:r w:rsidR="00F955EE">
        <w:rPr>
          <w:sz w:val="22"/>
          <w:szCs w:val="22"/>
          <w:lang w:val="en-GB"/>
        </w:rPr>
        <w:t xml:space="preserve"> to the</w:t>
      </w:r>
      <w:r w:rsidRPr="00F14C31">
        <w:rPr>
          <w:sz w:val="22"/>
          <w:szCs w:val="22"/>
          <w:lang w:val="en-GB"/>
        </w:rPr>
        <w:t xml:space="preserve"> building </w:t>
      </w:r>
      <w:r w:rsidR="00F955EE">
        <w:rPr>
          <w:sz w:val="22"/>
          <w:szCs w:val="22"/>
          <w:lang w:val="en-GB"/>
        </w:rPr>
        <w:t xml:space="preserve">of </w:t>
      </w:r>
      <w:r w:rsidRPr="00F14C31">
        <w:rPr>
          <w:sz w:val="22"/>
          <w:szCs w:val="22"/>
          <w:lang w:val="en-GB"/>
        </w:rPr>
        <w:t>management capacity (number/levels human resources, facilities and equipment, and sustainable financing mechanisms) for 82 coral reef sites</w:t>
      </w:r>
      <w:r w:rsidR="005B1515">
        <w:rPr>
          <w:sz w:val="22"/>
          <w:szCs w:val="22"/>
          <w:lang w:val="en-GB"/>
        </w:rPr>
        <w:t>;</w:t>
      </w:r>
      <w:r w:rsidRPr="00F14C31">
        <w:rPr>
          <w:sz w:val="22"/>
          <w:szCs w:val="22"/>
          <w:lang w:val="en-GB"/>
        </w:rPr>
        <w:t xml:space="preserve"> </w:t>
      </w:r>
      <w:r w:rsidR="00F955EE">
        <w:rPr>
          <w:sz w:val="22"/>
          <w:szCs w:val="22"/>
          <w:lang w:val="en-GB"/>
        </w:rPr>
        <w:t xml:space="preserve">actions to </w:t>
      </w:r>
      <w:r w:rsidRPr="00F14C31">
        <w:rPr>
          <w:sz w:val="22"/>
          <w:szCs w:val="22"/>
          <w:lang w:val="en-GB"/>
        </w:rPr>
        <w:t>improv</w:t>
      </w:r>
      <w:r w:rsidR="00F955EE">
        <w:rPr>
          <w:sz w:val="22"/>
          <w:szCs w:val="22"/>
          <w:lang w:val="en-GB"/>
        </w:rPr>
        <w:t>e</w:t>
      </w:r>
      <w:r w:rsidRPr="00F14C31">
        <w:rPr>
          <w:sz w:val="22"/>
          <w:szCs w:val="22"/>
          <w:lang w:val="en-GB"/>
        </w:rPr>
        <w:t xml:space="preserve"> management approaches</w:t>
      </w:r>
      <w:r w:rsidR="00F955EE">
        <w:rPr>
          <w:sz w:val="22"/>
          <w:szCs w:val="22"/>
          <w:lang w:val="en-GB"/>
        </w:rPr>
        <w:t xml:space="preserve"> </w:t>
      </w:r>
      <w:r w:rsidRPr="00F14C31">
        <w:rPr>
          <w:sz w:val="22"/>
          <w:szCs w:val="22"/>
          <w:lang w:val="en-GB"/>
        </w:rPr>
        <w:t xml:space="preserve"> </w:t>
      </w:r>
      <w:r w:rsidR="00F955EE">
        <w:rPr>
          <w:sz w:val="22"/>
          <w:szCs w:val="22"/>
          <w:lang w:val="en-GB"/>
        </w:rPr>
        <w:t xml:space="preserve">and frameworks </w:t>
      </w:r>
      <w:r w:rsidRPr="00F14C31">
        <w:rPr>
          <w:sz w:val="22"/>
          <w:szCs w:val="22"/>
          <w:lang w:val="en-GB"/>
        </w:rPr>
        <w:t>(integrated, community-based, multiple use) at 82 coral reef sites</w:t>
      </w:r>
      <w:r w:rsidR="005B1515">
        <w:rPr>
          <w:sz w:val="22"/>
          <w:szCs w:val="22"/>
          <w:lang w:val="en-GB"/>
        </w:rPr>
        <w:t>;</w:t>
      </w:r>
      <w:r w:rsidRPr="00F14C31">
        <w:rPr>
          <w:sz w:val="22"/>
          <w:szCs w:val="22"/>
          <w:lang w:val="en-GB"/>
        </w:rPr>
        <w:t xml:space="preserve"> develop</w:t>
      </w:r>
      <w:r w:rsidR="00F955EE">
        <w:rPr>
          <w:sz w:val="22"/>
          <w:szCs w:val="22"/>
          <w:lang w:val="en-GB"/>
        </w:rPr>
        <w:t>ment of</w:t>
      </w:r>
      <w:r w:rsidRPr="00F14C31">
        <w:rPr>
          <w:sz w:val="22"/>
          <w:szCs w:val="22"/>
          <w:lang w:val="en-GB"/>
        </w:rPr>
        <w:t xml:space="preserve"> management tools (licensing and permit systems, seasonal closures, zoning) in support of legal and regulatory reforms to address key threats at priority sites</w:t>
      </w:r>
      <w:r w:rsidR="005B1515">
        <w:rPr>
          <w:sz w:val="22"/>
          <w:szCs w:val="22"/>
          <w:lang w:val="en-GB"/>
        </w:rPr>
        <w:t>;</w:t>
      </w:r>
      <w:r w:rsidRPr="00F14C31">
        <w:rPr>
          <w:sz w:val="22"/>
          <w:szCs w:val="22"/>
          <w:lang w:val="en-GB"/>
        </w:rPr>
        <w:t xml:space="preserve"> and </w:t>
      </w:r>
      <w:r w:rsidR="007A5CE3">
        <w:rPr>
          <w:sz w:val="22"/>
          <w:szCs w:val="22"/>
          <w:lang w:val="en-GB"/>
        </w:rPr>
        <w:t xml:space="preserve">the </w:t>
      </w:r>
      <w:r w:rsidRPr="00F14C31">
        <w:rPr>
          <w:sz w:val="22"/>
          <w:szCs w:val="22"/>
          <w:lang w:val="en-GB"/>
        </w:rPr>
        <w:t>establish</w:t>
      </w:r>
      <w:r w:rsidR="007A5CE3">
        <w:rPr>
          <w:sz w:val="22"/>
          <w:szCs w:val="22"/>
          <w:lang w:val="en-GB"/>
        </w:rPr>
        <w:t>ment of</w:t>
      </w:r>
      <w:r w:rsidRPr="00F14C31">
        <w:rPr>
          <w:sz w:val="22"/>
          <w:szCs w:val="22"/>
          <w:lang w:val="en-GB"/>
        </w:rPr>
        <w:t xml:space="preserve"> mechanisms for monitoring management, ecological and socio-economic indicators at 82 coral reef sites.  </w:t>
      </w:r>
    </w:p>
    <w:p w14:paraId="355759AD" w14:textId="77777777" w:rsidR="00F14C31" w:rsidRPr="00F14C31" w:rsidRDefault="00F14C31" w:rsidP="00F14C31">
      <w:pPr>
        <w:spacing w:after="120"/>
        <w:jc w:val="both"/>
        <w:rPr>
          <w:sz w:val="22"/>
          <w:szCs w:val="22"/>
          <w:lang w:val="en-GB"/>
        </w:rPr>
      </w:pPr>
      <w:r w:rsidRPr="00F14C31">
        <w:rPr>
          <w:b/>
          <w:i/>
          <w:sz w:val="22"/>
          <w:szCs w:val="22"/>
          <w:lang w:val="en-GB"/>
        </w:rPr>
        <w:t>Seagrass:</w:t>
      </w:r>
      <w:r w:rsidRPr="00F14C31">
        <w:rPr>
          <w:sz w:val="22"/>
          <w:szCs w:val="22"/>
          <w:lang w:val="en-GB"/>
        </w:rPr>
        <w:t xml:space="preserve"> </w:t>
      </w:r>
      <w:r>
        <w:rPr>
          <w:sz w:val="22"/>
          <w:szCs w:val="22"/>
          <w:lang w:val="en-GB"/>
        </w:rPr>
        <w:t>A</w:t>
      </w:r>
      <w:r w:rsidRPr="00F14C31">
        <w:rPr>
          <w:sz w:val="22"/>
          <w:szCs w:val="22"/>
          <w:lang w:val="en-GB"/>
        </w:rPr>
        <w:t>ctivities will include</w:t>
      </w:r>
      <w:r w:rsidR="005B1515">
        <w:rPr>
          <w:sz w:val="22"/>
          <w:szCs w:val="22"/>
          <w:lang w:val="en-GB"/>
        </w:rPr>
        <w:t>:</w:t>
      </w:r>
      <w:r w:rsidRPr="00F14C31">
        <w:rPr>
          <w:sz w:val="22"/>
          <w:szCs w:val="22"/>
          <w:lang w:val="en-GB"/>
        </w:rPr>
        <w:t xml:space="preserve"> putting </w:t>
      </w:r>
      <w:r w:rsidR="00C8201E">
        <w:rPr>
          <w:sz w:val="22"/>
          <w:szCs w:val="22"/>
          <w:lang w:val="en-GB"/>
        </w:rPr>
        <w:t xml:space="preserve">a total of </w:t>
      </w:r>
      <w:r w:rsidR="00C8201E" w:rsidRPr="00C8201E">
        <w:rPr>
          <w:sz w:val="22"/>
          <w:szCs w:val="22"/>
          <w:lang w:val="en-GB"/>
        </w:rPr>
        <w:t xml:space="preserve">25,900 ha </w:t>
      </w:r>
      <w:r w:rsidR="00C8201E">
        <w:rPr>
          <w:sz w:val="22"/>
          <w:szCs w:val="22"/>
          <w:lang w:val="en-GB"/>
        </w:rPr>
        <w:t xml:space="preserve">of seagrass at </w:t>
      </w:r>
      <w:r w:rsidR="005B1515" w:rsidRPr="005B1515">
        <w:rPr>
          <w:sz w:val="22"/>
          <w:szCs w:val="22"/>
          <w:lang w:val="en-GB"/>
        </w:rPr>
        <w:t xml:space="preserve">twenty-one seagrass </w:t>
      </w:r>
      <w:r w:rsidR="00C8201E">
        <w:rPr>
          <w:sz w:val="22"/>
          <w:szCs w:val="22"/>
          <w:lang w:val="en-GB"/>
        </w:rPr>
        <w:t>sites</w:t>
      </w:r>
      <w:r w:rsidR="005B1515" w:rsidRPr="005B1515">
        <w:rPr>
          <w:sz w:val="22"/>
          <w:szCs w:val="22"/>
          <w:lang w:val="en-GB"/>
        </w:rPr>
        <w:t xml:space="preserve"> </w:t>
      </w:r>
      <w:r w:rsidRPr="00F14C31">
        <w:rPr>
          <w:sz w:val="22"/>
          <w:szCs w:val="22"/>
          <w:lang w:val="en-GB"/>
        </w:rPr>
        <w:t>under sustainable management with supporting laws and regulations</w:t>
      </w:r>
      <w:r w:rsidR="005B1515">
        <w:rPr>
          <w:sz w:val="22"/>
          <w:szCs w:val="22"/>
          <w:lang w:val="en-GB"/>
        </w:rPr>
        <w:t>;</w:t>
      </w:r>
      <w:r w:rsidRPr="00F14C31">
        <w:rPr>
          <w:sz w:val="22"/>
          <w:szCs w:val="22"/>
          <w:lang w:val="en-GB"/>
        </w:rPr>
        <w:t xml:space="preserve"> </w:t>
      </w:r>
      <w:r w:rsidR="00C8201E">
        <w:rPr>
          <w:sz w:val="22"/>
          <w:szCs w:val="22"/>
          <w:lang w:val="en-GB"/>
        </w:rPr>
        <w:t xml:space="preserve">the </w:t>
      </w:r>
      <w:r w:rsidRPr="00F14C31">
        <w:rPr>
          <w:sz w:val="22"/>
          <w:szCs w:val="22"/>
          <w:lang w:val="en-GB"/>
        </w:rPr>
        <w:t>amend</w:t>
      </w:r>
      <w:r w:rsidR="00C8201E">
        <w:rPr>
          <w:sz w:val="22"/>
          <w:szCs w:val="22"/>
          <w:lang w:val="en-GB"/>
        </w:rPr>
        <w:t>ment of</w:t>
      </w:r>
      <w:r w:rsidRPr="00F14C31">
        <w:rPr>
          <w:sz w:val="22"/>
          <w:szCs w:val="22"/>
          <w:lang w:val="en-GB"/>
        </w:rPr>
        <w:t xml:space="preserve"> national management plans for 7 existing MPAs with significant seagrass areas, to include specific seagrass-related management actions</w:t>
      </w:r>
      <w:r w:rsidR="005B1515">
        <w:rPr>
          <w:sz w:val="22"/>
          <w:szCs w:val="22"/>
          <w:lang w:val="en-GB"/>
        </w:rPr>
        <w:t>;</w:t>
      </w:r>
      <w:r w:rsidRPr="00F14C31">
        <w:rPr>
          <w:sz w:val="22"/>
          <w:szCs w:val="22"/>
          <w:lang w:val="en-GB"/>
        </w:rPr>
        <w:t xml:space="preserve">  designating  7 new Marine Protected Areas focusing on seagrass areas identified in the prioritized listings of </w:t>
      </w:r>
      <w:r w:rsidR="00C8201E">
        <w:rPr>
          <w:sz w:val="22"/>
          <w:szCs w:val="22"/>
          <w:lang w:val="en-GB"/>
        </w:rPr>
        <w:t xml:space="preserve">sites identified as part of the </w:t>
      </w:r>
      <w:r w:rsidR="00C8201E" w:rsidRPr="00F14C31">
        <w:rPr>
          <w:sz w:val="22"/>
          <w:szCs w:val="22"/>
          <w:lang w:val="en-GB"/>
        </w:rPr>
        <w:t xml:space="preserve"> </w:t>
      </w:r>
      <w:r w:rsidRPr="00F14C31">
        <w:rPr>
          <w:sz w:val="22"/>
          <w:szCs w:val="22"/>
          <w:lang w:val="en-GB"/>
        </w:rPr>
        <w:t xml:space="preserve">SCS </w:t>
      </w:r>
      <w:r w:rsidR="00C8201E">
        <w:rPr>
          <w:sz w:val="22"/>
          <w:szCs w:val="22"/>
          <w:lang w:val="en-GB"/>
        </w:rPr>
        <w:t>SAP formulation</w:t>
      </w:r>
      <w:r w:rsidR="005B1515">
        <w:rPr>
          <w:sz w:val="22"/>
          <w:szCs w:val="22"/>
          <w:lang w:val="en-GB"/>
        </w:rPr>
        <w:t>;</w:t>
      </w:r>
      <w:r w:rsidRPr="00F14C31">
        <w:rPr>
          <w:sz w:val="22"/>
          <w:szCs w:val="22"/>
          <w:lang w:val="en-GB"/>
        </w:rPr>
        <w:t xml:space="preserve"> and establishing mechanisms for monitoring management, ecological and socio-economic indicators at 21 </w:t>
      </w:r>
      <w:r w:rsidR="00C8201E">
        <w:rPr>
          <w:sz w:val="22"/>
          <w:szCs w:val="22"/>
          <w:lang w:val="en-GB"/>
        </w:rPr>
        <w:t xml:space="preserve">priority seagrass </w:t>
      </w:r>
      <w:r w:rsidRPr="00F14C31">
        <w:rPr>
          <w:sz w:val="22"/>
          <w:szCs w:val="22"/>
          <w:lang w:val="en-GB"/>
        </w:rPr>
        <w:t>sites.</w:t>
      </w:r>
      <w:r>
        <w:rPr>
          <w:sz w:val="22"/>
          <w:szCs w:val="22"/>
          <w:lang w:val="en-GB"/>
        </w:rPr>
        <w:t xml:space="preserve"> </w:t>
      </w:r>
      <w:r w:rsidRPr="00F14C31">
        <w:rPr>
          <w:sz w:val="22"/>
          <w:szCs w:val="22"/>
          <w:lang w:val="en-GB"/>
        </w:rPr>
        <w:t xml:space="preserve">The key anticipated outcome is the sustainable management of 25,900 ha of seagrass at 21 priority sites in the South China Sea. </w:t>
      </w:r>
    </w:p>
    <w:p w14:paraId="73181324" w14:textId="77777777" w:rsidR="00F14C31" w:rsidRPr="00F14C31" w:rsidRDefault="00F14C31" w:rsidP="00F14C31">
      <w:pPr>
        <w:spacing w:after="120"/>
        <w:jc w:val="both"/>
        <w:rPr>
          <w:sz w:val="22"/>
          <w:szCs w:val="22"/>
          <w:lang w:val="en-GB"/>
        </w:rPr>
      </w:pPr>
      <w:r w:rsidRPr="00F14C31">
        <w:rPr>
          <w:b/>
          <w:i/>
          <w:sz w:val="22"/>
          <w:szCs w:val="22"/>
          <w:lang w:val="en-GB"/>
        </w:rPr>
        <w:t>Estuaries, Brackish Water Lagoons, and Inter-Tidal Mud Flats:</w:t>
      </w:r>
      <w:r w:rsidRPr="00F14C31">
        <w:rPr>
          <w:sz w:val="22"/>
          <w:szCs w:val="22"/>
          <w:lang w:val="en-GB"/>
        </w:rPr>
        <w:t xml:space="preserve"> </w:t>
      </w:r>
      <w:r w:rsidR="005B1515">
        <w:rPr>
          <w:sz w:val="22"/>
          <w:szCs w:val="22"/>
          <w:lang w:val="en-GB"/>
        </w:rPr>
        <w:t>Project activities</w:t>
      </w:r>
      <w:r w:rsidRPr="00F14C31">
        <w:rPr>
          <w:sz w:val="22"/>
          <w:szCs w:val="22"/>
          <w:lang w:val="en-GB"/>
        </w:rPr>
        <w:t xml:space="preserve"> </w:t>
      </w:r>
      <w:r w:rsidR="005B1515">
        <w:rPr>
          <w:sz w:val="22"/>
          <w:szCs w:val="22"/>
          <w:lang w:val="en-GB"/>
        </w:rPr>
        <w:t xml:space="preserve">will </w:t>
      </w:r>
      <w:r w:rsidRPr="00F14C31">
        <w:rPr>
          <w:sz w:val="22"/>
          <w:szCs w:val="22"/>
          <w:lang w:val="en-GB"/>
        </w:rPr>
        <w:t xml:space="preserve">focus on coastal lagoons, estuaries </w:t>
      </w:r>
      <w:r w:rsidR="005B1515">
        <w:rPr>
          <w:sz w:val="22"/>
          <w:szCs w:val="22"/>
          <w:lang w:val="en-GB"/>
        </w:rPr>
        <w:t>and</w:t>
      </w:r>
      <w:r w:rsidR="005B1515" w:rsidRPr="00F14C31">
        <w:rPr>
          <w:sz w:val="22"/>
          <w:szCs w:val="22"/>
          <w:lang w:val="en-GB"/>
        </w:rPr>
        <w:t xml:space="preserve"> </w:t>
      </w:r>
      <w:r w:rsidRPr="00F14C31">
        <w:rPr>
          <w:sz w:val="22"/>
          <w:szCs w:val="22"/>
          <w:lang w:val="en-GB"/>
        </w:rPr>
        <w:t xml:space="preserve">mudflats and </w:t>
      </w:r>
      <w:r w:rsidR="003F343C">
        <w:rPr>
          <w:sz w:val="22"/>
          <w:szCs w:val="22"/>
          <w:lang w:val="en-GB"/>
        </w:rPr>
        <w:t>will result in</w:t>
      </w:r>
      <w:r w:rsidRPr="00F14C31">
        <w:rPr>
          <w:sz w:val="22"/>
          <w:szCs w:val="22"/>
          <w:lang w:val="en-GB"/>
        </w:rPr>
        <w:t xml:space="preserve"> improve</w:t>
      </w:r>
      <w:r w:rsidR="003F343C">
        <w:rPr>
          <w:sz w:val="22"/>
          <w:szCs w:val="22"/>
          <w:lang w:val="en-GB"/>
        </w:rPr>
        <w:t>d</w:t>
      </w:r>
      <w:r w:rsidRPr="00F14C31">
        <w:rPr>
          <w:sz w:val="22"/>
          <w:szCs w:val="22"/>
          <w:lang w:val="en-GB"/>
        </w:rPr>
        <w:t xml:space="preserve"> effectiveness of national policy, legal and institutional arrangements</w:t>
      </w:r>
      <w:r w:rsidR="003F343C">
        <w:rPr>
          <w:sz w:val="22"/>
          <w:szCs w:val="22"/>
          <w:lang w:val="en-GB"/>
        </w:rPr>
        <w:t>,</w:t>
      </w:r>
      <w:r w:rsidRPr="00F14C31">
        <w:rPr>
          <w:sz w:val="22"/>
          <w:szCs w:val="22"/>
          <w:lang w:val="en-GB"/>
        </w:rPr>
        <w:t xml:space="preserve"> and co-ordination</w:t>
      </w:r>
      <w:r w:rsidR="003F343C">
        <w:rPr>
          <w:sz w:val="22"/>
          <w:szCs w:val="22"/>
          <w:lang w:val="en-GB"/>
        </w:rPr>
        <w:t xml:space="preserve"> mechanisms for coastal wetland management. Specific results will </w:t>
      </w:r>
      <w:r w:rsidRPr="00F14C31">
        <w:rPr>
          <w:sz w:val="22"/>
          <w:szCs w:val="22"/>
          <w:lang w:val="en-GB"/>
        </w:rPr>
        <w:t xml:space="preserve"> </w:t>
      </w:r>
      <w:r w:rsidR="003F343C" w:rsidRPr="00F14C31">
        <w:rPr>
          <w:sz w:val="22"/>
          <w:szCs w:val="22"/>
          <w:lang w:val="en-GB"/>
        </w:rPr>
        <w:t>includ</w:t>
      </w:r>
      <w:r w:rsidR="003F343C">
        <w:rPr>
          <w:sz w:val="22"/>
          <w:szCs w:val="22"/>
          <w:lang w:val="en-GB"/>
        </w:rPr>
        <w:t>e:</w:t>
      </w:r>
      <w:r w:rsidR="003F343C" w:rsidRPr="00F14C31">
        <w:rPr>
          <w:sz w:val="22"/>
          <w:szCs w:val="22"/>
          <w:lang w:val="en-GB"/>
        </w:rPr>
        <w:t xml:space="preserve"> </w:t>
      </w:r>
      <w:r w:rsidR="003F343C">
        <w:rPr>
          <w:sz w:val="22"/>
          <w:szCs w:val="22"/>
          <w:lang w:val="en-GB"/>
        </w:rPr>
        <w:t xml:space="preserve">the </w:t>
      </w:r>
      <w:r w:rsidRPr="00F14C31">
        <w:rPr>
          <w:sz w:val="22"/>
          <w:szCs w:val="22"/>
          <w:lang w:val="en-GB"/>
        </w:rPr>
        <w:t>develop</w:t>
      </w:r>
      <w:r w:rsidR="005B1515">
        <w:rPr>
          <w:sz w:val="22"/>
          <w:szCs w:val="22"/>
          <w:lang w:val="en-GB"/>
        </w:rPr>
        <w:t>ment</w:t>
      </w:r>
      <w:r w:rsidRPr="00F14C31">
        <w:rPr>
          <w:sz w:val="22"/>
          <w:szCs w:val="22"/>
          <w:lang w:val="en-GB"/>
        </w:rPr>
        <w:t xml:space="preserve"> and implement</w:t>
      </w:r>
      <w:r w:rsidR="005B1515">
        <w:rPr>
          <w:sz w:val="22"/>
          <w:szCs w:val="22"/>
          <w:lang w:val="en-GB"/>
        </w:rPr>
        <w:t>ation of</w:t>
      </w:r>
      <w:r w:rsidRPr="00F14C31">
        <w:rPr>
          <w:sz w:val="22"/>
          <w:szCs w:val="22"/>
          <w:lang w:val="en-GB"/>
        </w:rPr>
        <w:t xml:space="preserve"> management plans for at least 3 lagoons (26,818 ha), 9 estuaries (614,680 ha), 5 tidal flats (96,903 ha), 1 peat swamp (45,700 ha) and 1 non-peat swamp (9,808 ha); </w:t>
      </w:r>
      <w:r w:rsidR="003F343C">
        <w:rPr>
          <w:sz w:val="22"/>
          <w:szCs w:val="22"/>
          <w:lang w:val="en-GB"/>
        </w:rPr>
        <w:t>the declaration of</w:t>
      </w:r>
      <w:r w:rsidRPr="00F14C31">
        <w:rPr>
          <w:sz w:val="22"/>
          <w:szCs w:val="22"/>
          <w:lang w:val="en-GB"/>
        </w:rPr>
        <w:t xml:space="preserve"> at least 7 wetland areas with protection status (i.e. non-hunting area, nature reserves, protected areas, Ramsar Sites) including </w:t>
      </w:r>
      <w:r w:rsidR="003F343C">
        <w:rPr>
          <w:sz w:val="22"/>
          <w:szCs w:val="22"/>
          <w:lang w:val="en-GB"/>
        </w:rPr>
        <w:t xml:space="preserve">the implementation of </w:t>
      </w:r>
      <w:r w:rsidRPr="00F14C31">
        <w:rPr>
          <w:sz w:val="22"/>
          <w:szCs w:val="22"/>
          <w:lang w:val="en-GB"/>
        </w:rPr>
        <w:t>the needed management reforms</w:t>
      </w:r>
      <w:r w:rsidR="008D1531">
        <w:rPr>
          <w:sz w:val="22"/>
          <w:szCs w:val="22"/>
          <w:lang w:val="en-GB"/>
        </w:rPr>
        <w:t>;</w:t>
      </w:r>
      <w:r w:rsidRPr="00F14C31">
        <w:rPr>
          <w:sz w:val="22"/>
          <w:szCs w:val="22"/>
          <w:lang w:val="en-GB"/>
        </w:rPr>
        <w:t xml:space="preserve"> </w:t>
      </w:r>
      <w:r w:rsidR="003F343C">
        <w:rPr>
          <w:sz w:val="22"/>
          <w:szCs w:val="22"/>
          <w:lang w:val="en-GB"/>
        </w:rPr>
        <w:t>the development and</w:t>
      </w:r>
      <w:r w:rsidRPr="00F14C31">
        <w:rPr>
          <w:sz w:val="22"/>
          <w:szCs w:val="22"/>
          <w:lang w:val="en-GB"/>
        </w:rPr>
        <w:t xml:space="preserve"> adopti</w:t>
      </w:r>
      <w:r w:rsidR="003F343C">
        <w:rPr>
          <w:sz w:val="22"/>
          <w:szCs w:val="22"/>
          <w:lang w:val="en-GB"/>
        </w:rPr>
        <w:t>on of</w:t>
      </w:r>
      <w:r w:rsidRPr="00F14C31">
        <w:rPr>
          <w:sz w:val="22"/>
          <w:szCs w:val="22"/>
          <w:lang w:val="en-GB"/>
        </w:rPr>
        <w:t xml:space="preserve"> a regional estuary monitoring scheme an</w:t>
      </w:r>
      <w:r>
        <w:rPr>
          <w:sz w:val="22"/>
          <w:szCs w:val="22"/>
          <w:lang w:val="en-GB"/>
        </w:rPr>
        <w:t xml:space="preserve">d its national implementation. </w:t>
      </w:r>
      <w:r w:rsidRPr="00F14C31">
        <w:rPr>
          <w:sz w:val="22"/>
          <w:szCs w:val="22"/>
          <w:lang w:val="en-GB"/>
        </w:rPr>
        <w:t xml:space="preserve">The key anticipated outcome is the </w:t>
      </w:r>
      <w:r w:rsidR="008D1531">
        <w:rPr>
          <w:sz w:val="22"/>
          <w:szCs w:val="22"/>
          <w:lang w:val="en-GB"/>
        </w:rPr>
        <w:t>i</w:t>
      </w:r>
      <w:r w:rsidRPr="00F14C31">
        <w:rPr>
          <w:sz w:val="22"/>
          <w:szCs w:val="22"/>
          <w:lang w:val="en-GB"/>
        </w:rPr>
        <w:t>ntegrated management of 783,900 ha of coastal wetland</w:t>
      </w:r>
      <w:r w:rsidR="008D1531">
        <w:rPr>
          <w:sz w:val="22"/>
          <w:szCs w:val="22"/>
          <w:lang w:val="en-GB"/>
        </w:rPr>
        <w:t>s</w:t>
      </w:r>
      <w:r w:rsidRPr="00F14C31">
        <w:rPr>
          <w:sz w:val="22"/>
          <w:szCs w:val="22"/>
          <w:lang w:val="en-GB"/>
        </w:rPr>
        <w:t xml:space="preserve"> at 19 sites</w:t>
      </w:r>
      <w:r w:rsidR="008D1531">
        <w:rPr>
          <w:sz w:val="22"/>
          <w:szCs w:val="22"/>
          <w:lang w:val="en-GB"/>
        </w:rPr>
        <w:t xml:space="preserve"> bordering the South China Sea marine basin</w:t>
      </w:r>
      <w:r w:rsidRPr="00F14C31">
        <w:rPr>
          <w:sz w:val="22"/>
          <w:szCs w:val="22"/>
          <w:lang w:val="en-GB"/>
        </w:rPr>
        <w:t>, including habitat restoration</w:t>
      </w:r>
      <w:r w:rsidR="00604298">
        <w:rPr>
          <w:sz w:val="22"/>
          <w:szCs w:val="22"/>
          <w:lang w:val="en-GB"/>
        </w:rPr>
        <w:t>,</w:t>
      </w:r>
      <w:r w:rsidRPr="00F14C31">
        <w:rPr>
          <w:sz w:val="22"/>
          <w:szCs w:val="22"/>
          <w:lang w:val="en-GB"/>
        </w:rPr>
        <w:t xml:space="preserve"> </w:t>
      </w:r>
      <w:r w:rsidR="003F343C">
        <w:rPr>
          <w:sz w:val="22"/>
          <w:szCs w:val="22"/>
          <w:lang w:val="en-GB"/>
        </w:rPr>
        <w:t xml:space="preserve">strengthened </w:t>
      </w:r>
      <w:r w:rsidRPr="00F14C31">
        <w:rPr>
          <w:sz w:val="22"/>
          <w:szCs w:val="22"/>
          <w:lang w:val="en-GB"/>
        </w:rPr>
        <w:t>protection at priority locations</w:t>
      </w:r>
      <w:r w:rsidR="00604298">
        <w:rPr>
          <w:sz w:val="22"/>
          <w:szCs w:val="22"/>
          <w:lang w:val="en-GB"/>
        </w:rPr>
        <w:t>,</w:t>
      </w:r>
      <w:r w:rsidRPr="00F14C31">
        <w:rPr>
          <w:sz w:val="22"/>
          <w:szCs w:val="22"/>
          <w:lang w:val="en-GB"/>
        </w:rPr>
        <w:t xml:space="preserve"> and </w:t>
      </w:r>
      <w:r w:rsidR="00604298">
        <w:rPr>
          <w:sz w:val="22"/>
          <w:szCs w:val="22"/>
          <w:lang w:val="en-GB"/>
        </w:rPr>
        <w:t xml:space="preserve">the enactment of </w:t>
      </w:r>
      <w:r w:rsidRPr="00F14C31">
        <w:rPr>
          <w:sz w:val="22"/>
          <w:szCs w:val="22"/>
          <w:lang w:val="en-GB"/>
        </w:rPr>
        <w:t xml:space="preserve">relevant legal and institutional reforms. </w:t>
      </w:r>
    </w:p>
    <w:p w14:paraId="7DA34F59" w14:textId="77777777" w:rsidR="00F14C31" w:rsidRPr="00F14C31" w:rsidRDefault="00F14C31" w:rsidP="00F14C31">
      <w:pPr>
        <w:spacing w:after="120"/>
        <w:ind w:left="1440" w:hanging="1440"/>
        <w:jc w:val="both"/>
        <w:rPr>
          <w:b/>
          <w:sz w:val="22"/>
          <w:szCs w:val="22"/>
          <w:lang w:val="en-GB"/>
        </w:rPr>
      </w:pPr>
      <w:r w:rsidRPr="00F14C31">
        <w:rPr>
          <w:b/>
          <w:sz w:val="22"/>
          <w:szCs w:val="22"/>
          <w:lang w:val="en-GB"/>
        </w:rPr>
        <w:t>Component 2</w:t>
      </w:r>
      <w:r>
        <w:rPr>
          <w:b/>
          <w:sz w:val="22"/>
          <w:szCs w:val="22"/>
          <w:lang w:val="en-GB"/>
        </w:rPr>
        <w:t>:</w:t>
      </w:r>
      <w:r w:rsidRPr="00F14C31">
        <w:rPr>
          <w:b/>
          <w:sz w:val="22"/>
          <w:szCs w:val="22"/>
          <w:lang w:val="en-GB"/>
        </w:rPr>
        <w:tab/>
        <w:t>Strengthening knowledge-based action planning for the management of coastal habitats and land-based pollution to reduce environmental degradation of the South China Sea</w:t>
      </w:r>
    </w:p>
    <w:p w14:paraId="7D281286" w14:textId="77777777" w:rsidR="00F14C31" w:rsidRPr="00F14C31" w:rsidRDefault="00F14C31" w:rsidP="00F14C31">
      <w:pPr>
        <w:spacing w:after="120"/>
        <w:jc w:val="both"/>
        <w:rPr>
          <w:sz w:val="22"/>
          <w:szCs w:val="22"/>
          <w:lang w:val="en-GB"/>
        </w:rPr>
      </w:pPr>
      <w:r w:rsidRPr="00F14C31">
        <w:rPr>
          <w:sz w:val="22"/>
          <w:szCs w:val="22"/>
          <w:lang w:val="en-GB"/>
        </w:rPr>
        <w:t>The components of the South China Sea Strategic Action Programme addressing coastal habitat degradation, land-based pollution, and regional cooperation each highlight the need to strengthen the science and knowledge base for action planning and management. Component 2 of th</w:t>
      </w:r>
      <w:r w:rsidR="008D1531">
        <w:rPr>
          <w:sz w:val="22"/>
          <w:szCs w:val="22"/>
          <w:lang w:val="en-GB"/>
        </w:rPr>
        <w:t>is</w:t>
      </w:r>
      <w:r w:rsidRPr="00F14C31">
        <w:rPr>
          <w:sz w:val="22"/>
          <w:szCs w:val="22"/>
          <w:lang w:val="en-GB"/>
        </w:rPr>
        <w:t xml:space="preserve"> project </w:t>
      </w:r>
      <w:r w:rsidR="00621394">
        <w:rPr>
          <w:sz w:val="22"/>
          <w:szCs w:val="22"/>
          <w:lang w:val="en-GB"/>
        </w:rPr>
        <w:t>will</w:t>
      </w:r>
      <w:r w:rsidRPr="00F14C31">
        <w:rPr>
          <w:sz w:val="22"/>
          <w:szCs w:val="22"/>
          <w:lang w:val="en-GB"/>
        </w:rPr>
        <w:t xml:space="preserve"> build on the knowledge-based action planning for the management of the marine and coastal environment of the SCS achieved during </w:t>
      </w:r>
      <w:r>
        <w:rPr>
          <w:sz w:val="22"/>
          <w:szCs w:val="22"/>
          <w:lang w:val="en-GB"/>
        </w:rPr>
        <w:t>S</w:t>
      </w:r>
      <w:r w:rsidR="008D1531">
        <w:rPr>
          <w:sz w:val="22"/>
          <w:szCs w:val="22"/>
          <w:lang w:val="en-GB"/>
        </w:rPr>
        <w:t>trategic Action Programme</w:t>
      </w:r>
      <w:r>
        <w:rPr>
          <w:sz w:val="22"/>
          <w:szCs w:val="22"/>
          <w:lang w:val="en-GB"/>
        </w:rPr>
        <w:t xml:space="preserve"> formulation</w:t>
      </w:r>
      <w:r w:rsidRPr="00F14C31">
        <w:rPr>
          <w:sz w:val="22"/>
          <w:szCs w:val="22"/>
          <w:lang w:val="en-GB"/>
        </w:rPr>
        <w:t xml:space="preserve">. Activities are designed to support consensus building on the information and data to be used in planning and implementing the required local, national and regional reforms required to address the degradation of coastal habitats, land-based pollution, and the adoption of stronger and more formal arrangements for regional co-operation in the management of the marine and coastal environment of the South China Sea. </w:t>
      </w:r>
    </w:p>
    <w:p w14:paraId="055B8F00" w14:textId="77777777" w:rsidR="00F14C31" w:rsidRPr="00F14C31" w:rsidRDefault="00F14C31" w:rsidP="00F14C31">
      <w:pPr>
        <w:spacing w:after="120"/>
        <w:jc w:val="both"/>
        <w:rPr>
          <w:sz w:val="22"/>
          <w:szCs w:val="22"/>
          <w:lang w:val="en-GB"/>
        </w:rPr>
      </w:pPr>
      <w:r w:rsidRPr="00F14C31">
        <w:rPr>
          <w:sz w:val="22"/>
          <w:szCs w:val="22"/>
          <w:lang w:val="en-GB"/>
        </w:rPr>
        <w:t xml:space="preserve">At the national level, activities of </w:t>
      </w:r>
      <w:r w:rsidR="00621394">
        <w:rPr>
          <w:sz w:val="22"/>
          <w:szCs w:val="22"/>
          <w:lang w:val="en-GB"/>
        </w:rPr>
        <w:t>Component 2</w:t>
      </w:r>
      <w:r w:rsidRPr="00F14C31">
        <w:rPr>
          <w:sz w:val="22"/>
          <w:szCs w:val="22"/>
          <w:lang w:val="en-GB"/>
        </w:rPr>
        <w:t xml:space="preserve"> both support, and build on, those implemented as part of component 1 aimed at the achievement SAP targets for habitats. For example, activities to enhance the mapping of coastal habitats through interpretation of satellite imagery</w:t>
      </w:r>
      <w:r w:rsidR="00621394">
        <w:rPr>
          <w:sz w:val="22"/>
          <w:szCs w:val="22"/>
          <w:lang w:val="en-GB"/>
        </w:rPr>
        <w:t xml:space="preserve"> and other remotely sensed information</w:t>
      </w:r>
      <w:r w:rsidRPr="00F14C31">
        <w:rPr>
          <w:sz w:val="22"/>
          <w:szCs w:val="22"/>
          <w:lang w:val="en-GB"/>
        </w:rPr>
        <w:t xml:space="preserve">, quantify the role of habitats in the </w:t>
      </w:r>
      <w:r w:rsidRPr="0043592D">
        <w:rPr>
          <w:sz w:val="22"/>
          <w:szCs w:val="22"/>
          <w:lang w:val="en-GB"/>
        </w:rPr>
        <w:t>sequestration and storage of carbon, and</w:t>
      </w:r>
      <w:r w:rsidRPr="00F14C31">
        <w:rPr>
          <w:sz w:val="22"/>
          <w:szCs w:val="22"/>
          <w:lang w:val="en-GB"/>
        </w:rPr>
        <w:t xml:space="preserve"> improve data sets for the economic valuation of habitat goods and services will be used to inform national and local consultative processes regarding the delineation of management area boundaries, management planning, and </w:t>
      </w:r>
      <w:r w:rsidR="00621394">
        <w:rPr>
          <w:sz w:val="22"/>
          <w:szCs w:val="22"/>
          <w:lang w:val="en-GB"/>
        </w:rPr>
        <w:t xml:space="preserve">the </w:t>
      </w:r>
      <w:r w:rsidRPr="00F14C31">
        <w:rPr>
          <w:sz w:val="22"/>
          <w:szCs w:val="22"/>
          <w:lang w:val="en-GB"/>
        </w:rPr>
        <w:t xml:space="preserve">reform of by-laws and ordinances for coastal habitat and resource management at the site level. Additionally, </w:t>
      </w:r>
      <w:r w:rsidR="00FF0DD6">
        <w:rPr>
          <w:sz w:val="22"/>
          <w:szCs w:val="22"/>
          <w:lang w:val="en-GB"/>
        </w:rPr>
        <w:t>the project will</w:t>
      </w:r>
      <w:r w:rsidRPr="00F14C31">
        <w:rPr>
          <w:sz w:val="22"/>
          <w:szCs w:val="22"/>
          <w:lang w:val="en-GB"/>
        </w:rPr>
        <w:t xml:space="preserve"> develop tools and mechanisms to guide the development of sustainable management systems for coastal </w:t>
      </w:r>
      <w:r w:rsidRPr="0043592D">
        <w:rPr>
          <w:sz w:val="22"/>
          <w:szCs w:val="22"/>
          <w:lang w:val="en-GB"/>
        </w:rPr>
        <w:t>habitats and land-based pollution</w:t>
      </w:r>
      <w:r w:rsidR="008D1531" w:rsidRPr="0043592D">
        <w:rPr>
          <w:sz w:val="22"/>
          <w:szCs w:val="22"/>
          <w:lang w:val="en-GB"/>
        </w:rPr>
        <w:t>. These</w:t>
      </w:r>
      <w:r w:rsidRPr="0043592D">
        <w:rPr>
          <w:sz w:val="22"/>
          <w:szCs w:val="22"/>
          <w:lang w:val="en-GB"/>
        </w:rPr>
        <w:t xml:space="preserve"> will be used to provide regional level support to operational management at the site level and</w:t>
      </w:r>
      <w:r w:rsidRPr="00F14C31">
        <w:rPr>
          <w:sz w:val="22"/>
          <w:szCs w:val="22"/>
          <w:lang w:val="en-GB"/>
        </w:rPr>
        <w:t xml:space="preserve"> in tracking the effectiveness of interventions in achieving SAP targets. Similarly, outputs of national activities associated with delivery of component 1, including the conduct of resource inventories, reviews of national and local policies and regulations, documentation of site level governance conditions, and stakeholder analyses will be used in conjunction with regional reviews of the potential impacts of sea level rise, climate change, and episodic events on coastal habitats to inform the development of updated National Action Plans, and the enactment of supporting legislation, for mangroves, coral reefs, seagrass, and wetlands.</w:t>
      </w:r>
    </w:p>
    <w:p w14:paraId="2489B144" w14:textId="77777777" w:rsidR="00F14C31" w:rsidRPr="00F14C31" w:rsidRDefault="00FF0DD6" w:rsidP="00F14C31">
      <w:pPr>
        <w:spacing w:after="120"/>
        <w:jc w:val="both"/>
        <w:rPr>
          <w:sz w:val="22"/>
          <w:szCs w:val="22"/>
          <w:lang w:val="en-GB"/>
        </w:rPr>
      </w:pPr>
      <w:r>
        <w:rPr>
          <w:sz w:val="22"/>
          <w:szCs w:val="22"/>
          <w:lang w:val="en-GB"/>
        </w:rPr>
        <w:t xml:space="preserve">The </w:t>
      </w:r>
      <w:r w:rsidR="00F14C31" w:rsidRPr="00F14C31">
        <w:rPr>
          <w:sz w:val="22"/>
          <w:szCs w:val="22"/>
          <w:lang w:val="en-GB"/>
        </w:rPr>
        <w:t>purpose of</w:t>
      </w:r>
      <w:r>
        <w:rPr>
          <w:sz w:val="22"/>
          <w:szCs w:val="22"/>
          <w:lang w:val="en-GB"/>
        </w:rPr>
        <w:t xml:space="preserve"> the</w:t>
      </w:r>
      <w:r w:rsidR="00F14C31" w:rsidRPr="00F14C31">
        <w:rPr>
          <w:sz w:val="22"/>
          <w:szCs w:val="22"/>
          <w:lang w:val="en-GB"/>
        </w:rPr>
        <w:t xml:space="preserve"> </w:t>
      </w:r>
      <w:r>
        <w:rPr>
          <w:sz w:val="22"/>
          <w:szCs w:val="22"/>
          <w:lang w:val="en-GB"/>
        </w:rPr>
        <w:t xml:space="preserve">land-based pollution component of the </w:t>
      </w:r>
      <w:r w:rsidR="00F14C31" w:rsidRPr="00F14C31">
        <w:rPr>
          <w:sz w:val="22"/>
          <w:szCs w:val="22"/>
          <w:lang w:val="en-GB"/>
        </w:rPr>
        <w:t>S</w:t>
      </w:r>
      <w:r w:rsidR="008D1531">
        <w:rPr>
          <w:sz w:val="22"/>
          <w:szCs w:val="22"/>
          <w:lang w:val="en-GB"/>
        </w:rPr>
        <w:t>trategic Action Programme</w:t>
      </w:r>
      <w:r w:rsidR="00F14C31" w:rsidRPr="00F14C31">
        <w:rPr>
          <w:sz w:val="22"/>
          <w:szCs w:val="22"/>
          <w:lang w:val="en-GB"/>
        </w:rPr>
        <w:t xml:space="preserve"> is not to finance interventions that directly reduce the load of contaminants reaching the marine environment from land-based sources</w:t>
      </w:r>
      <w:r w:rsidR="000B253D">
        <w:rPr>
          <w:sz w:val="22"/>
          <w:szCs w:val="22"/>
          <w:lang w:val="en-GB"/>
        </w:rPr>
        <w:t>.</w:t>
      </w:r>
      <w:r w:rsidR="00F14C31" w:rsidRPr="00F14C31">
        <w:rPr>
          <w:sz w:val="22"/>
          <w:szCs w:val="22"/>
          <w:lang w:val="en-GB"/>
        </w:rPr>
        <w:t xml:space="preserve"> </w:t>
      </w:r>
      <w:r w:rsidR="000B253D">
        <w:rPr>
          <w:sz w:val="22"/>
          <w:szCs w:val="22"/>
          <w:lang w:val="en-GB"/>
        </w:rPr>
        <w:t>R</w:t>
      </w:r>
      <w:r>
        <w:rPr>
          <w:sz w:val="22"/>
          <w:szCs w:val="22"/>
          <w:lang w:val="en-GB"/>
        </w:rPr>
        <w:t xml:space="preserve">ather </w:t>
      </w:r>
      <w:r w:rsidR="000B253D">
        <w:rPr>
          <w:sz w:val="22"/>
          <w:szCs w:val="22"/>
          <w:lang w:val="en-GB"/>
        </w:rPr>
        <w:t xml:space="preserve">it gives direction to </w:t>
      </w:r>
      <w:r>
        <w:rPr>
          <w:sz w:val="22"/>
          <w:szCs w:val="22"/>
          <w:lang w:val="en-GB"/>
        </w:rPr>
        <w:t xml:space="preserve">the implementation of activities </w:t>
      </w:r>
      <w:r w:rsidR="00F14C31" w:rsidRPr="00F14C31">
        <w:rPr>
          <w:sz w:val="22"/>
          <w:szCs w:val="22"/>
          <w:lang w:val="en-GB"/>
        </w:rPr>
        <w:t xml:space="preserve">to support the integration of </w:t>
      </w:r>
      <w:r w:rsidR="00F14C31" w:rsidRPr="0043592D">
        <w:rPr>
          <w:sz w:val="22"/>
          <w:szCs w:val="22"/>
          <w:lang w:val="en-GB"/>
        </w:rPr>
        <w:t>regional science with national-level policy making and planning for land-based pollution</w:t>
      </w:r>
      <w:r w:rsidR="000B253D" w:rsidRPr="0043592D">
        <w:rPr>
          <w:sz w:val="22"/>
          <w:szCs w:val="22"/>
          <w:lang w:val="en-GB"/>
        </w:rPr>
        <w:t xml:space="preserve"> management</w:t>
      </w:r>
      <w:r w:rsidR="00F14C31" w:rsidRPr="0043592D">
        <w:rPr>
          <w:sz w:val="22"/>
          <w:szCs w:val="22"/>
          <w:lang w:val="en-GB"/>
        </w:rPr>
        <w:t>. In this connection, key ou</w:t>
      </w:r>
      <w:r w:rsidRPr="0043592D">
        <w:rPr>
          <w:sz w:val="22"/>
          <w:szCs w:val="22"/>
          <w:lang w:val="en-GB"/>
        </w:rPr>
        <w:t>tcomes of component 2 include: e</w:t>
      </w:r>
      <w:r w:rsidR="00F14C31" w:rsidRPr="0043592D">
        <w:rPr>
          <w:sz w:val="22"/>
          <w:szCs w:val="22"/>
          <w:lang w:val="en-GB"/>
        </w:rPr>
        <w:t>ffective integration of regional science in the management of land-</w:t>
      </w:r>
      <w:r w:rsidRPr="0043592D">
        <w:rPr>
          <w:sz w:val="22"/>
          <w:szCs w:val="22"/>
          <w:lang w:val="en-GB"/>
        </w:rPr>
        <w:t>based pollution; and s</w:t>
      </w:r>
      <w:r w:rsidR="00F14C31" w:rsidRPr="0043592D">
        <w:rPr>
          <w:sz w:val="22"/>
          <w:szCs w:val="22"/>
          <w:lang w:val="en-GB"/>
        </w:rPr>
        <w:t xml:space="preserve">trengthened and harmonized national policies and laws, and supporting financial mechanism, for the management of </w:t>
      </w:r>
      <w:r w:rsidRPr="0043592D">
        <w:rPr>
          <w:sz w:val="22"/>
          <w:szCs w:val="22"/>
          <w:lang w:val="en-GB"/>
        </w:rPr>
        <w:t>land-based sources of pollution</w:t>
      </w:r>
      <w:r w:rsidR="00F14C31" w:rsidRPr="0043592D">
        <w:rPr>
          <w:sz w:val="22"/>
          <w:szCs w:val="22"/>
          <w:lang w:val="en-GB"/>
        </w:rPr>
        <w:t>.</w:t>
      </w:r>
      <w:r w:rsidR="00F14C31" w:rsidRPr="00F14C31">
        <w:rPr>
          <w:sz w:val="22"/>
          <w:szCs w:val="22"/>
          <w:lang w:val="en-GB"/>
        </w:rPr>
        <w:t xml:space="preserve"> </w:t>
      </w:r>
    </w:p>
    <w:p w14:paraId="5162555E" w14:textId="77777777" w:rsidR="00F14C31" w:rsidRPr="00F14C31" w:rsidRDefault="00F14C31" w:rsidP="00F14C31">
      <w:pPr>
        <w:spacing w:after="120"/>
        <w:jc w:val="both"/>
        <w:rPr>
          <w:sz w:val="22"/>
          <w:szCs w:val="22"/>
          <w:lang w:val="en-GB"/>
        </w:rPr>
      </w:pPr>
      <w:r w:rsidRPr="00F14C31">
        <w:rPr>
          <w:sz w:val="22"/>
          <w:szCs w:val="22"/>
          <w:lang w:val="en-GB"/>
        </w:rPr>
        <w:t>In particular, th</w:t>
      </w:r>
      <w:r w:rsidR="008D1531">
        <w:rPr>
          <w:sz w:val="22"/>
          <w:szCs w:val="22"/>
          <w:lang w:val="en-GB"/>
        </w:rPr>
        <w:t>is</w:t>
      </w:r>
      <w:r w:rsidRPr="00F14C31">
        <w:rPr>
          <w:sz w:val="22"/>
          <w:szCs w:val="22"/>
          <w:lang w:val="en-GB"/>
        </w:rPr>
        <w:t xml:space="preserve"> </w:t>
      </w:r>
      <w:r w:rsidR="00FF0DD6">
        <w:rPr>
          <w:sz w:val="22"/>
          <w:szCs w:val="22"/>
          <w:lang w:val="en-GB"/>
        </w:rPr>
        <w:t>project will develop and apply</w:t>
      </w:r>
      <w:r w:rsidRPr="00F14C31">
        <w:rPr>
          <w:sz w:val="22"/>
          <w:szCs w:val="22"/>
          <w:lang w:val="en-GB"/>
        </w:rPr>
        <w:t xml:space="preserve"> simple models of pollution impacts under different development scenarios for land-based activities </w:t>
      </w:r>
      <w:r w:rsidR="008D1531">
        <w:rPr>
          <w:sz w:val="22"/>
          <w:szCs w:val="22"/>
          <w:lang w:val="en-GB"/>
        </w:rPr>
        <w:t>to</w:t>
      </w:r>
      <w:r w:rsidRPr="00F14C31">
        <w:rPr>
          <w:sz w:val="22"/>
          <w:szCs w:val="22"/>
          <w:lang w:val="en-GB"/>
        </w:rPr>
        <w:t xml:space="preserve"> facilitate development decision-making by providing an indication of the sensitivity of specific coastal water bodies to varied heavy metal contaminant loadings. This work builds on related work </w:t>
      </w:r>
      <w:r w:rsidR="00515EBC">
        <w:rPr>
          <w:sz w:val="22"/>
          <w:szCs w:val="22"/>
          <w:lang w:val="en-GB"/>
        </w:rPr>
        <w:t>undertaken during SAP formulation</w:t>
      </w:r>
      <w:r w:rsidRPr="00F14C31">
        <w:rPr>
          <w:sz w:val="22"/>
          <w:szCs w:val="22"/>
          <w:lang w:val="en-GB"/>
        </w:rPr>
        <w:t xml:space="preserve"> to model the nutrient carrying capacity of the SCS marine basin under various loading scenarios. National level activities will </w:t>
      </w:r>
      <w:r w:rsidR="00515EBC">
        <w:rPr>
          <w:sz w:val="22"/>
          <w:szCs w:val="22"/>
          <w:lang w:val="en-GB"/>
        </w:rPr>
        <w:t>result in</w:t>
      </w:r>
      <w:r w:rsidRPr="00F14C31">
        <w:rPr>
          <w:sz w:val="22"/>
          <w:szCs w:val="22"/>
          <w:lang w:val="en-GB"/>
        </w:rPr>
        <w:t xml:space="preserve">: </w:t>
      </w:r>
      <w:r w:rsidR="00515EBC">
        <w:rPr>
          <w:sz w:val="22"/>
          <w:szCs w:val="22"/>
          <w:lang w:val="en-GB"/>
        </w:rPr>
        <w:t xml:space="preserve">agreement on the </w:t>
      </w:r>
      <w:r w:rsidRPr="00F14C31">
        <w:rPr>
          <w:sz w:val="22"/>
          <w:szCs w:val="22"/>
          <w:lang w:val="en-GB"/>
        </w:rPr>
        <w:t xml:space="preserve"> legislative and institutional </w:t>
      </w:r>
      <w:r w:rsidR="00515EBC">
        <w:rPr>
          <w:sz w:val="22"/>
          <w:szCs w:val="22"/>
          <w:lang w:val="en-GB"/>
        </w:rPr>
        <w:t xml:space="preserve">reforms required </w:t>
      </w:r>
      <w:r w:rsidRPr="00F14C31">
        <w:rPr>
          <w:sz w:val="22"/>
          <w:szCs w:val="22"/>
          <w:lang w:val="en-GB"/>
        </w:rPr>
        <w:t xml:space="preserve">for land-based pollution management in </w:t>
      </w:r>
      <w:r w:rsidR="00515EBC">
        <w:rPr>
          <w:sz w:val="22"/>
          <w:szCs w:val="22"/>
          <w:lang w:val="en-GB"/>
        </w:rPr>
        <w:t>areas of the South China Sea</w:t>
      </w:r>
      <w:r w:rsidRPr="00F14C31">
        <w:rPr>
          <w:sz w:val="22"/>
          <w:szCs w:val="22"/>
          <w:lang w:val="en-GB"/>
        </w:rPr>
        <w:t>; harmonization of national Standard Operating Procedures for land-based pollution control and management, including agreed sediment, biota, and water quality criteria; revis</w:t>
      </w:r>
      <w:r w:rsidR="00515EBC">
        <w:rPr>
          <w:sz w:val="22"/>
          <w:szCs w:val="22"/>
          <w:lang w:val="en-GB"/>
        </w:rPr>
        <w:t xml:space="preserve">ed </w:t>
      </w:r>
      <w:r w:rsidRPr="00F14C31">
        <w:rPr>
          <w:sz w:val="22"/>
          <w:szCs w:val="22"/>
          <w:lang w:val="en-GB"/>
        </w:rPr>
        <w:t>national/provincial policies; development, enactment and implementation of supporting regulations for land-based pollution; and updat</w:t>
      </w:r>
      <w:r w:rsidR="00515EBC">
        <w:rPr>
          <w:sz w:val="22"/>
          <w:szCs w:val="22"/>
          <w:lang w:val="en-GB"/>
        </w:rPr>
        <w:t>ed</w:t>
      </w:r>
      <w:r w:rsidRPr="00F14C31">
        <w:rPr>
          <w:sz w:val="22"/>
          <w:szCs w:val="22"/>
          <w:lang w:val="en-GB"/>
        </w:rPr>
        <w:t xml:space="preserve"> and adopt</w:t>
      </w:r>
      <w:r w:rsidR="00515EBC">
        <w:rPr>
          <w:sz w:val="22"/>
          <w:szCs w:val="22"/>
          <w:lang w:val="en-GB"/>
        </w:rPr>
        <w:t>ed</w:t>
      </w:r>
      <w:r w:rsidRPr="00F14C31">
        <w:rPr>
          <w:sz w:val="22"/>
          <w:szCs w:val="22"/>
          <w:lang w:val="en-GB"/>
        </w:rPr>
        <w:t xml:space="preserve"> of National Investment Plans for land-based pollution management in the SCS. A regional financial mechanism for </w:t>
      </w:r>
      <w:r w:rsidR="00515EBC">
        <w:rPr>
          <w:sz w:val="22"/>
          <w:szCs w:val="22"/>
          <w:lang w:val="en-GB"/>
        </w:rPr>
        <w:t xml:space="preserve">managing </w:t>
      </w:r>
      <w:r w:rsidRPr="00F14C31">
        <w:rPr>
          <w:sz w:val="22"/>
          <w:szCs w:val="22"/>
          <w:lang w:val="en-GB"/>
        </w:rPr>
        <w:t xml:space="preserve">land-based pollution </w:t>
      </w:r>
      <w:r w:rsidR="00515EBC">
        <w:rPr>
          <w:sz w:val="22"/>
          <w:szCs w:val="22"/>
          <w:lang w:val="en-GB"/>
        </w:rPr>
        <w:t>in the South China Sea</w:t>
      </w:r>
      <w:r w:rsidR="00515EBC" w:rsidRPr="00F14C31">
        <w:rPr>
          <w:sz w:val="22"/>
          <w:szCs w:val="22"/>
          <w:lang w:val="en-GB"/>
        </w:rPr>
        <w:t xml:space="preserve"> </w:t>
      </w:r>
      <w:r w:rsidRPr="00F14C31">
        <w:rPr>
          <w:sz w:val="22"/>
          <w:szCs w:val="22"/>
          <w:lang w:val="en-GB"/>
        </w:rPr>
        <w:t xml:space="preserve">will also be established. </w:t>
      </w:r>
    </w:p>
    <w:p w14:paraId="4471E4EB" w14:textId="77777777" w:rsidR="003516E7" w:rsidRDefault="00F14C31" w:rsidP="00F14C31">
      <w:pPr>
        <w:spacing w:after="120"/>
        <w:jc w:val="both"/>
        <w:rPr>
          <w:sz w:val="22"/>
          <w:szCs w:val="22"/>
          <w:lang w:val="en-GB"/>
        </w:rPr>
      </w:pPr>
      <w:r w:rsidRPr="00F14C31">
        <w:rPr>
          <w:sz w:val="22"/>
          <w:szCs w:val="22"/>
          <w:lang w:val="en-GB"/>
        </w:rPr>
        <w:t xml:space="preserve">Better economic valuation of the </w:t>
      </w:r>
      <w:r w:rsidR="00DE60A8">
        <w:rPr>
          <w:sz w:val="22"/>
          <w:szCs w:val="22"/>
          <w:lang w:val="en-GB"/>
        </w:rPr>
        <w:t xml:space="preserve">good and services of the </w:t>
      </w:r>
      <w:r w:rsidRPr="00F14C31">
        <w:rPr>
          <w:sz w:val="22"/>
          <w:szCs w:val="22"/>
          <w:lang w:val="en-GB"/>
        </w:rPr>
        <w:t xml:space="preserve">South China Sea’s </w:t>
      </w:r>
      <w:r w:rsidR="00DE60A8">
        <w:rPr>
          <w:sz w:val="22"/>
          <w:szCs w:val="22"/>
          <w:lang w:val="en-GB"/>
        </w:rPr>
        <w:t>coastal habitats</w:t>
      </w:r>
      <w:r w:rsidRPr="00F14C31">
        <w:rPr>
          <w:sz w:val="22"/>
          <w:szCs w:val="22"/>
          <w:lang w:val="en-GB"/>
        </w:rPr>
        <w:t xml:space="preserve"> is critical </w:t>
      </w:r>
      <w:r w:rsidR="00515EBC">
        <w:rPr>
          <w:sz w:val="22"/>
          <w:szCs w:val="22"/>
          <w:lang w:val="en-GB"/>
        </w:rPr>
        <w:t xml:space="preserve">for </w:t>
      </w:r>
      <w:r w:rsidR="00DE60A8">
        <w:rPr>
          <w:sz w:val="22"/>
          <w:szCs w:val="22"/>
          <w:lang w:val="en-GB"/>
        </w:rPr>
        <w:t>more sophisticated planning and in communicating with decision-makers</w:t>
      </w:r>
      <w:r w:rsidRPr="00F14C31">
        <w:rPr>
          <w:sz w:val="22"/>
          <w:szCs w:val="22"/>
          <w:lang w:val="en-GB"/>
        </w:rPr>
        <w:t xml:space="preserve">. The values determined </w:t>
      </w:r>
      <w:r w:rsidR="0044547B">
        <w:rPr>
          <w:sz w:val="22"/>
          <w:szCs w:val="22"/>
          <w:lang w:val="en-GB"/>
        </w:rPr>
        <w:t xml:space="preserve">for coastal habitat goods and services developed </w:t>
      </w:r>
      <w:r w:rsidR="00515EBC">
        <w:rPr>
          <w:sz w:val="22"/>
          <w:szCs w:val="22"/>
          <w:lang w:val="en-GB"/>
        </w:rPr>
        <w:t>during SAP formulation</w:t>
      </w:r>
      <w:r w:rsidRPr="00F14C31">
        <w:rPr>
          <w:sz w:val="22"/>
          <w:szCs w:val="22"/>
          <w:lang w:val="en-GB"/>
        </w:rPr>
        <w:t xml:space="preserve"> are incomplete since not all known goods or services from individual coastal ecosystems have been valued. One area of current weakness is that </w:t>
      </w:r>
      <w:r w:rsidR="00515EBC">
        <w:rPr>
          <w:sz w:val="22"/>
          <w:szCs w:val="22"/>
          <w:lang w:val="en-GB"/>
        </w:rPr>
        <w:t xml:space="preserve">there are </w:t>
      </w:r>
      <w:r w:rsidRPr="00F14C31">
        <w:rPr>
          <w:sz w:val="22"/>
          <w:szCs w:val="22"/>
          <w:lang w:val="en-GB"/>
        </w:rPr>
        <w:t xml:space="preserve">comparatively few existing values for the service provided by </w:t>
      </w:r>
      <w:r w:rsidR="00515EBC">
        <w:rPr>
          <w:sz w:val="22"/>
          <w:szCs w:val="22"/>
          <w:lang w:val="en-GB"/>
        </w:rPr>
        <w:t xml:space="preserve">coastal </w:t>
      </w:r>
      <w:r w:rsidRPr="00F14C31">
        <w:rPr>
          <w:sz w:val="22"/>
          <w:szCs w:val="22"/>
          <w:lang w:val="en-GB"/>
        </w:rPr>
        <w:t xml:space="preserve">habitats as nursery areas for off-shore fish and crustaceans. This is known to be a significant and major service provided by mangrove and seagrass habitats and </w:t>
      </w:r>
      <w:r w:rsidR="003516E7">
        <w:rPr>
          <w:sz w:val="22"/>
          <w:szCs w:val="22"/>
          <w:lang w:val="en-GB"/>
        </w:rPr>
        <w:t>Component 2 activities will result in the</w:t>
      </w:r>
      <w:r w:rsidRPr="00F14C31">
        <w:rPr>
          <w:sz w:val="22"/>
          <w:szCs w:val="22"/>
          <w:lang w:val="en-GB"/>
        </w:rPr>
        <w:t xml:space="preserve"> establish</w:t>
      </w:r>
      <w:r w:rsidR="003516E7">
        <w:rPr>
          <w:sz w:val="22"/>
          <w:szCs w:val="22"/>
          <w:lang w:val="en-GB"/>
        </w:rPr>
        <w:t>ment of</w:t>
      </w:r>
      <w:r w:rsidRPr="00F14C31">
        <w:rPr>
          <w:sz w:val="22"/>
          <w:szCs w:val="22"/>
          <w:lang w:val="en-GB"/>
        </w:rPr>
        <w:t xml:space="preserve"> the economic value of </w:t>
      </w:r>
      <w:r w:rsidR="003516E7">
        <w:rPr>
          <w:sz w:val="22"/>
          <w:szCs w:val="22"/>
          <w:lang w:val="en-GB"/>
        </w:rPr>
        <w:t>this service</w:t>
      </w:r>
      <w:r w:rsidRPr="00F14C31">
        <w:rPr>
          <w:sz w:val="22"/>
          <w:szCs w:val="22"/>
          <w:lang w:val="en-GB"/>
        </w:rPr>
        <w:t xml:space="preserve">. </w:t>
      </w:r>
    </w:p>
    <w:p w14:paraId="6067E92E" w14:textId="77777777" w:rsidR="00F14C31" w:rsidRPr="00F14C31" w:rsidRDefault="003516E7" w:rsidP="00F14C31">
      <w:pPr>
        <w:spacing w:after="120"/>
        <w:jc w:val="both"/>
        <w:rPr>
          <w:sz w:val="22"/>
          <w:szCs w:val="22"/>
          <w:lang w:val="en-GB"/>
        </w:rPr>
      </w:pPr>
      <w:r>
        <w:rPr>
          <w:sz w:val="22"/>
          <w:szCs w:val="22"/>
          <w:lang w:val="en-GB"/>
        </w:rPr>
        <w:t>Acivities of this project at both</w:t>
      </w:r>
      <w:r w:rsidR="00F14C31" w:rsidRPr="00F14C31">
        <w:rPr>
          <w:sz w:val="22"/>
          <w:szCs w:val="22"/>
          <w:lang w:val="en-GB"/>
        </w:rPr>
        <w:t xml:space="preserve"> the national and regional level</w:t>
      </w:r>
      <w:r>
        <w:rPr>
          <w:sz w:val="22"/>
          <w:szCs w:val="22"/>
          <w:lang w:val="en-GB"/>
        </w:rPr>
        <w:t>s</w:t>
      </w:r>
      <w:r w:rsidR="00F14C31" w:rsidRPr="00F14C31">
        <w:rPr>
          <w:sz w:val="22"/>
          <w:szCs w:val="22"/>
          <w:lang w:val="en-GB"/>
        </w:rPr>
        <w:t xml:space="preserve"> to implement the SAP will generate more extensive datasets </w:t>
      </w:r>
      <w:r>
        <w:rPr>
          <w:sz w:val="22"/>
          <w:szCs w:val="22"/>
          <w:lang w:val="en-GB"/>
        </w:rPr>
        <w:t xml:space="preserve">relating to the economic values of coastal habitat goods and services. This information will be </w:t>
      </w:r>
      <w:r w:rsidR="00F14C31" w:rsidRPr="00F14C31">
        <w:rPr>
          <w:sz w:val="22"/>
          <w:szCs w:val="22"/>
          <w:lang w:val="en-GB"/>
        </w:rPr>
        <w:t xml:space="preserve"> included in the regional dataset </w:t>
      </w:r>
      <w:r>
        <w:rPr>
          <w:sz w:val="22"/>
          <w:szCs w:val="22"/>
          <w:lang w:val="en-GB"/>
        </w:rPr>
        <w:t xml:space="preserve">and to </w:t>
      </w:r>
      <w:r w:rsidR="00F14C31" w:rsidRPr="00F14C31">
        <w:rPr>
          <w:sz w:val="22"/>
          <w:szCs w:val="22"/>
          <w:lang w:val="en-GB"/>
        </w:rPr>
        <w:t xml:space="preserve">greatly enhance the utility of </w:t>
      </w:r>
      <w:r>
        <w:rPr>
          <w:sz w:val="22"/>
          <w:szCs w:val="22"/>
          <w:lang w:val="en-GB"/>
        </w:rPr>
        <w:t>the economic valuation of coastal habitats</w:t>
      </w:r>
      <w:r w:rsidR="00F14C31" w:rsidRPr="00F14C31">
        <w:rPr>
          <w:sz w:val="22"/>
          <w:szCs w:val="22"/>
          <w:lang w:val="en-GB"/>
        </w:rPr>
        <w:t xml:space="preserve"> in determining regional priorities for action and intervention. One additional area of identified need that th</w:t>
      </w:r>
      <w:r w:rsidR="0044547B">
        <w:rPr>
          <w:sz w:val="22"/>
          <w:szCs w:val="22"/>
          <w:lang w:val="en-GB"/>
        </w:rPr>
        <w:t>is</w:t>
      </w:r>
      <w:r w:rsidR="00F14C31" w:rsidRPr="00F14C31">
        <w:rPr>
          <w:sz w:val="22"/>
          <w:szCs w:val="22"/>
          <w:lang w:val="en-GB"/>
        </w:rPr>
        <w:t xml:space="preserve"> project will address is the determination of economic losses of coastal ecosystem goods and services consequent upon coastal shipping accidents and land-based pollution damage. Component 2 </w:t>
      </w:r>
      <w:r w:rsidR="00FF0DD6">
        <w:rPr>
          <w:sz w:val="22"/>
          <w:szCs w:val="22"/>
          <w:lang w:val="en-GB"/>
        </w:rPr>
        <w:t xml:space="preserve">will </w:t>
      </w:r>
      <w:r w:rsidR="00F14C31" w:rsidRPr="00F14C31">
        <w:rPr>
          <w:sz w:val="22"/>
          <w:szCs w:val="22"/>
          <w:lang w:val="en-GB"/>
        </w:rPr>
        <w:t>therefore</w:t>
      </w:r>
      <w:r>
        <w:rPr>
          <w:sz w:val="22"/>
          <w:szCs w:val="22"/>
          <w:lang w:val="en-GB"/>
        </w:rPr>
        <w:t xml:space="preserve"> result in</w:t>
      </w:r>
      <w:r w:rsidR="00F14C31" w:rsidRPr="00F14C31">
        <w:rPr>
          <w:sz w:val="22"/>
          <w:szCs w:val="22"/>
          <w:lang w:val="en-GB"/>
        </w:rPr>
        <w:t xml:space="preserve"> improv</w:t>
      </w:r>
      <w:r>
        <w:rPr>
          <w:sz w:val="22"/>
          <w:szCs w:val="22"/>
          <w:lang w:val="en-GB"/>
        </w:rPr>
        <w:t>d</w:t>
      </w:r>
      <w:r w:rsidR="00F14C31" w:rsidRPr="00F14C31">
        <w:rPr>
          <w:sz w:val="22"/>
          <w:szCs w:val="22"/>
          <w:lang w:val="en-GB"/>
        </w:rPr>
        <w:t xml:space="preserve"> national and regional values for the Total Economic Values of coastal habitats for use in development planning and decision-making, and will make substantive contributions to the conduct of cost-benefit analyses of management options undertaken as part of national action planning for coastal habitats and land-based pollution, as well as in updating the SCS TDA and SAP. The economic valuation </w:t>
      </w:r>
      <w:r>
        <w:rPr>
          <w:sz w:val="22"/>
          <w:szCs w:val="22"/>
          <w:lang w:val="en-GB"/>
        </w:rPr>
        <w:t>activities</w:t>
      </w:r>
      <w:r w:rsidRPr="00F14C31">
        <w:rPr>
          <w:sz w:val="22"/>
          <w:szCs w:val="22"/>
          <w:lang w:val="en-GB"/>
        </w:rPr>
        <w:t xml:space="preserve"> </w:t>
      </w:r>
      <w:r w:rsidR="00F14C31" w:rsidRPr="00F14C31">
        <w:rPr>
          <w:sz w:val="22"/>
          <w:szCs w:val="22"/>
          <w:lang w:val="en-GB"/>
        </w:rPr>
        <w:t xml:space="preserve">of  </w:t>
      </w:r>
      <w:r>
        <w:rPr>
          <w:sz w:val="22"/>
          <w:szCs w:val="22"/>
          <w:lang w:val="en-GB"/>
        </w:rPr>
        <w:t>C</w:t>
      </w:r>
      <w:r w:rsidR="00F14C31" w:rsidRPr="00F14C31">
        <w:rPr>
          <w:sz w:val="22"/>
          <w:szCs w:val="22"/>
          <w:lang w:val="en-GB"/>
        </w:rPr>
        <w:t>omponent</w:t>
      </w:r>
      <w:r>
        <w:rPr>
          <w:sz w:val="22"/>
          <w:szCs w:val="22"/>
          <w:lang w:val="en-GB"/>
        </w:rPr>
        <w:t xml:space="preserve"> 2</w:t>
      </w:r>
      <w:r w:rsidR="00F14C31" w:rsidRPr="00F14C31">
        <w:rPr>
          <w:sz w:val="22"/>
          <w:szCs w:val="22"/>
          <w:lang w:val="en-GB"/>
        </w:rPr>
        <w:t xml:space="preserve"> will also build on work </w:t>
      </w:r>
      <w:r w:rsidR="00321935">
        <w:rPr>
          <w:sz w:val="22"/>
          <w:szCs w:val="22"/>
          <w:lang w:val="en-GB"/>
        </w:rPr>
        <w:t>undertaken during SAP formulation</w:t>
      </w:r>
      <w:r w:rsidR="00F14C31" w:rsidRPr="00F14C31">
        <w:rPr>
          <w:sz w:val="22"/>
          <w:szCs w:val="22"/>
          <w:lang w:val="en-GB"/>
        </w:rPr>
        <w:t xml:space="preserve"> to value the economic impacts of land-based pollution from local, national and transboundary perspectives</w:t>
      </w:r>
      <w:r w:rsidR="00321935">
        <w:rPr>
          <w:sz w:val="22"/>
          <w:szCs w:val="22"/>
          <w:lang w:val="en-GB"/>
        </w:rPr>
        <w:t>. This will be applied</w:t>
      </w:r>
      <w:r w:rsidR="00F14C31" w:rsidRPr="00F14C31">
        <w:rPr>
          <w:sz w:val="22"/>
          <w:szCs w:val="22"/>
          <w:lang w:val="en-GB"/>
        </w:rPr>
        <w:t xml:space="preserve"> to the planning of a mechanism for the sustainable financing of land-based pollutio</w:t>
      </w:r>
      <w:r w:rsidR="00FF0DD6">
        <w:rPr>
          <w:sz w:val="22"/>
          <w:szCs w:val="22"/>
          <w:lang w:val="en-GB"/>
        </w:rPr>
        <w:t xml:space="preserve">n activities </w:t>
      </w:r>
      <w:r w:rsidR="00321935">
        <w:rPr>
          <w:sz w:val="22"/>
          <w:szCs w:val="22"/>
          <w:lang w:val="en-GB"/>
        </w:rPr>
        <w:t xml:space="preserve">as part of </w:t>
      </w:r>
      <w:r w:rsidR="00FF0DD6">
        <w:rPr>
          <w:sz w:val="22"/>
          <w:szCs w:val="22"/>
          <w:lang w:val="en-GB"/>
        </w:rPr>
        <w:t>revis</w:t>
      </w:r>
      <w:r w:rsidR="00321935">
        <w:rPr>
          <w:sz w:val="22"/>
          <w:szCs w:val="22"/>
          <w:lang w:val="en-GB"/>
        </w:rPr>
        <w:t>ing the SCS</w:t>
      </w:r>
      <w:r w:rsidR="00FF0DD6">
        <w:rPr>
          <w:sz w:val="22"/>
          <w:szCs w:val="22"/>
          <w:lang w:val="en-GB"/>
        </w:rPr>
        <w:t xml:space="preserve"> SAP. </w:t>
      </w:r>
    </w:p>
    <w:p w14:paraId="0D697370" w14:textId="77777777" w:rsidR="00F14C31" w:rsidRPr="00F14C31" w:rsidRDefault="00F14C31" w:rsidP="00F14C31">
      <w:pPr>
        <w:spacing w:after="120"/>
        <w:jc w:val="both"/>
        <w:rPr>
          <w:sz w:val="22"/>
          <w:szCs w:val="22"/>
          <w:lang w:val="en-GB"/>
        </w:rPr>
      </w:pPr>
      <w:r w:rsidRPr="00F14C31">
        <w:rPr>
          <w:sz w:val="22"/>
          <w:szCs w:val="22"/>
          <w:lang w:val="en-GB"/>
        </w:rPr>
        <w:t>Activities to undertake a more contemporary Transboundary Diagnostic Analysis for the SCS basin, and linked actions to prepare an updated Strategic Action Programme for the SCS, will draw on information generated vi</w:t>
      </w:r>
      <w:r w:rsidR="00FF0DD6">
        <w:rPr>
          <w:sz w:val="22"/>
          <w:szCs w:val="22"/>
          <w:lang w:val="en-GB"/>
        </w:rPr>
        <w:t xml:space="preserve">a the abovementioned activities. </w:t>
      </w:r>
      <w:r w:rsidR="00321935">
        <w:rPr>
          <w:sz w:val="22"/>
          <w:szCs w:val="22"/>
          <w:lang w:val="en-GB"/>
        </w:rPr>
        <w:t>Additionally, as part of preparing an updated TDA and SAP, Component 2 activities will</w:t>
      </w:r>
      <w:r w:rsidRPr="00F14C31">
        <w:rPr>
          <w:sz w:val="22"/>
          <w:szCs w:val="22"/>
          <w:lang w:val="en-GB"/>
        </w:rPr>
        <w:t>: facilitat</w:t>
      </w:r>
      <w:r w:rsidR="00321935">
        <w:rPr>
          <w:sz w:val="22"/>
          <w:szCs w:val="22"/>
          <w:lang w:val="en-GB"/>
        </w:rPr>
        <w:t>e</w:t>
      </w:r>
      <w:r w:rsidRPr="00F14C31">
        <w:rPr>
          <w:sz w:val="22"/>
          <w:szCs w:val="22"/>
          <w:lang w:val="en-GB"/>
        </w:rPr>
        <w:t xml:space="preserve"> </w:t>
      </w:r>
      <w:r w:rsidR="00321935">
        <w:rPr>
          <w:sz w:val="22"/>
          <w:szCs w:val="22"/>
          <w:lang w:val="en-GB"/>
        </w:rPr>
        <w:t>a</w:t>
      </w:r>
      <w:r w:rsidR="00321935" w:rsidRPr="00F14C31">
        <w:rPr>
          <w:sz w:val="22"/>
          <w:szCs w:val="22"/>
          <w:lang w:val="en-GB"/>
        </w:rPr>
        <w:t xml:space="preserve"> </w:t>
      </w:r>
      <w:r w:rsidRPr="00F14C31">
        <w:rPr>
          <w:sz w:val="22"/>
          <w:szCs w:val="22"/>
          <w:lang w:val="en-GB"/>
        </w:rPr>
        <w:t>consultative processes to reach national and regional level consensus on contemporary issues and problems in the SCS, including the quantification of environmental compromises and the prioritization of problems; prepar</w:t>
      </w:r>
      <w:r w:rsidR="00321935">
        <w:rPr>
          <w:sz w:val="22"/>
          <w:szCs w:val="22"/>
          <w:lang w:val="en-GB"/>
        </w:rPr>
        <w:t>e</w:t>
      </w:r>
      <w:r w:rsidRPr="00F14C31">
        <w:rPr>
          <w:sz w:val="22"/>
          <w:szCs w:val="22"/>
          <w:lang w:val="en-GB"/>
        </w:rPr>
        <w:t xml:space="preserve">  guidelines and mobiliz</w:t>
      </w:r>
      <w:r w:rsidR="00321935">
        <w:rPr>
          <w:sz w:val="22"/>
          <w:szCs w:val="22"/>
          <w:lang w:val="en-GB"/>
        </w:rPr>
        <w:t>e</w:t>
      </w:r>
      <w:r w:rsidRPr="00F14C31">
        <w:rPr>
          <w:sz w:val="22"/>
          <w:szCs w:val="22"/>
          <w:lang w:val="en-GB"/>
        </w:rPr>
        <w:t xml:space="preserve">  technical support to assist with the characterization of the immediate and ultimate root causes of the problems identified</w:t>
      </w:r>
      <w:r w:rsidR="00321935">
        <w:rPr>
          <w:sz w:val="22"/>
          <w:szCs w:val="22"/>
          <w:lang w:val="en-GB"/>
        </w:rPr>
        <w:t>;</w:t>
      </w:r>
      <w:r w:rsidRPr="00F14C31">
        <w:rPr>
          <w:sz w:val="22"/>
          <w:szCs w:val="22"/>
          <w:lang w:val="en-GB"/>
        </w:rPr>
        <w:t xml:space="preserve"> </w:t>
      </w:r>
      <w:r w:rsidR="00321935">
        <w:rPr>
          <w:sz w:val="22"/>
          <w:szCs w:val="22"/>
          <w:lang w:val="en-GB"/>
        </w:rPr>
        <w:t>support</w:t>
      </w:r>
      <w:r w:rsidRPr="00F14C31">
        <w:rPr>
          <w:sz w:val="22"/>
          <w:szCs w:val="22"/>
          <w:lang w:val="en-GB"/>
        </w:rPr>
        <w:t xml:space="preserve"> consensus</w:t>
      </w:r>
      <w:r w:rsidR="00321935">
        <w:rPr>
          <w:sz w:val="22"/>
          <w:szCs w:val="22"/>
          <w:lang w:val="en-GB"/>
        </w:rPr>
        <w:t>-building</w:t>
      </w:r>
      <w:r w:rsidRPr="00F14C31">
        <w:rPr>
          <w:sz w:val="22"/>
          <w:szCs w:val="22"/>
          <w:lang w:val="en-GB"/>
        </w:rPr>
        <w:t xml:space="preserve"> on priorities for intervention, including the assessment of the comparative net benefit of options based on revised economic valuation information; and </w:t>
      </w:r>
      <w:r w:rsidR="00321935">
        <w:rPr>
          <w:sz w:val="22"/>
          <w:szCs w:val="22"/>
          <w:lang w:val="en-GB"/>
        </w:rPr>
        <w:t>identify and</w:t>
      </w:r>
      <w:r w:rsidRPr="00F14C31">
        <w:rPr>
          <w:sz w:val="22"/>
          <w:szCs w:val="22"/>
          <w:lang w:val="en-GB"/>
        </w:rPr>
        <w:t xml:space="preserve"> prioritiz</w:t>
      </w:r>
      <w:r w:rsidR="00321935">
        <w:rPr>
          <w:sz w:val="22"/>
          <w:szCs w:val="22"/>
          <w:lang w:val="en-GB"/>
        </w:rPr>
        <w:t>e</w:t>
      </w:r>
      <w:r w:rsidRPr="00F14C31">
        <w:rPr>
          <w:sz w:val="22"/>
          <w:szCs w:val="22"/>
          <w:lang w:val="en-GB"/>
        </w:rPr>
        <w:t xml:space="preserve"> national management actions to address climate variability and change for subsequent incorporation into national marine and coastal policies and plans.</w:t>
      </w:r>
    </w:p>
    <w:p w14:paraId="217E4E7B" w14:textId="77777777" w:rsidR="00F14C31" w:rsidRPr="00FF0DD6" w:rsidRDefault="00F14C31" w:rsidP="00FF0DD6">
      <w:pPr>
        <w:spacing w:after="120"/>
        <w:ind w:left="1440" w:hanging="1440"/>
        <w:jc w:val="both"/>
        <w:rPr>
          <w:b/>
          <w:sz w:val="22"/>
          <w:szCs w:val="22"/>
          <w:lang w:val="en-GB"/>
        </w:rPr>
      </w:pPr>
      <w:r w:rsidRPr="00FF0DD6">
        <w:rPr>
          <w:b/>
          <w:sz w:val="22"/>
          <w:szCs w:val="22"/>
          <w:lang w:val="en-GB"/>
        </w:rPr>
        <w:t>Component 3</w:t>
      </w:r>
      <w:r w:rsidR="00FF0DD6">
        <w:rPr>
          <w:b/>
          <w:sz w:val="22"/>
          <w:szCs w:val="22"/>
          <w:lang w:val="en-GB"/>
        </w:rPr>
        <w:t>:</w:t>
      </w:r>
      <w:r w:rsidR="00FF0DD6">
        <w:rPr>
          <w:b/>
          <w:sz w:val="22"/>
          <w:szCs w:val="22"/>
          <w:lang w:val="en-GB"/>
        </w:rPr>
        <w:tab/>
      </w:r>
      <w:r w:rsidRPr="00FF0DD6">
        <w:rPr>
          <w:b/>
          <w:sz w:val="22"/>
          <w:szCs w:val="22"/>
          <w:lang w:val="en-GB"/>
        </w:rPr>
        <w:t>Facilitating regional and national level integration and cooperation for implementation of the South China Sea Strategic Action Programme</w:t>
      </w:r>
    </w:p>
    <w:p w14:paraId="05958068" w14:textId="77777777" w:rsidR="00F14C31" w:rsidRPr="00F14C31" w:rsidRDefault="00F14C31" w:rsidP="00F14C31">
      <w:pPr>
        <w:spacing w:after="120"/>
        <w:jc w:val="both"/>
        <w:rPr>
          <w:sz w:val="22"/>
          <w:szCs w:val="22"/>
          <w:lang w:val="en-GB"/>
        </w:rPr>
      </w:pPr>
      <w:r w:rsidRPr="00F14C31">
        <w:rPr>
          <w:sz w:val="22"/>
          <w:szCs w:val="22"/>
          <w:lang w:val="en-GB"/>
        </w:rPr>
        <w:t>The South China Sea S</w:t>
      </w:r>
      <w:r w:rsidR="0044547B">
        <w:rPr>
          <w:sz w:val="22"/>
          <w:szCs w:val="22"/>
          <w:lang w:val="en-GB"/>
        </w:rPr>
        <w:t xml:space="preserve">trategic </w:t>
      </w:r>
      <w:r w:rsidRPr="00F14C31">
        <w:rPr>
          <w:sz w:val="22"/>
          <w:szCs w:val="22"/>
          <w:lang w:val="en-GB"/>
        </w:rPr>
        <w:t>A</w:t>
      </w:r>
      <w:r w:rsidR="0044547B">
        <w:rPr>
          <w:sz w:val="22"/>
          <w:szCs w:val="22"/>
          <w:lang w:val="en-GB"/>
        </w:rPr>
        <w:t xml:space="preserve">ction </w:t>
      </w:r>
      <w:r w:rsidRPr="00F14C31">
        <w:rPr>
          <w:sz w:val="22"/>
          <w:szCs w:val="22"/>
          <w:lang w:val="en-GB"/>
        </w:rPr>
        <w:t>P</w:t>
      </w:r>
      <w:r w:rsidR="0044547B">
        <w:rPr>
          <w:sz w:val="22"/>
          <w:szCs w:val="22"/>
          <w:lang w:val="en-GB"/>
        </w:rPr>
        <w:t>rogramme</w:t>
      </w:r>
      <w:r w:rsidRPr="00F14C31">
        <w:rPr>
          <w:sz w:val="22"/>
          <w:szCs w:val="22"/>
          <w:lang w:val="en-GB"/>
        </w:rPr>
        <w:t xml:space="preserve"> acknowledged the need for strengthened regional cooperation in SAP implementation</w:t>
      </w:r>
      <w:r w:rsidR="00321935">
        <w:rPr>
          <w:sz w:val="22"/>
          <w:szCs w:val="22"/>
          <w:lang w:val="en-GB"/>
        </w:rPr>
        <w:t>,</w:t>
      </w:r>
      <w:r w:rsidRPr="00F14C31">
        <w:rPr>
          <w:sz w:val="22"/>
          <w:szCs w:val="22"/>
          <w:lang w:val="en-GB"/>
        </w:rPr>
        <w:t xml:space="preserve"> as well as the adoption of stronger, financially sustainable, and more formal arrangements for regional co-operation in the longer-term management of the marine and coastal environment of the South China Sea. </w:t>
      </w:r>
      <w:r w:rsidR="00FF0DD6">
        <w:rPr>
          <w:sz w:val="22"/>
          <w:szCs w:val="22"/>
          <w:lang w:val="en-GB"/>
        </w:rPr>
        <w:t xml:space="preserve">Accordingly </w:t>
      </w:r>
      <w:r w:rsidRPr="00F14C31">
        <w:rPr>
          <w:sz w:val="22"/>
          <w:szCs w:val="22"/>
          <w:lang w:val="en-GB"/>
        </w:rPr>
        <w:t xml:space="preserve">Component 3 </w:t>
      </w:r>
      <w:r w:rsidR="00321935">
        <w:rPr>
          <w:sz w:val="22"/>
          <w:szCs w:val="22"/>
          <w:lang w:val="en-GB"/>
        </w:rPr>
        <w:t>activities will</w:t>
      </w:r>
      <w:r w:rsidRPr="00F14C31">
        <w:rPr>
          <w:sz w:val="22"/>
          <w:szCs w:val="22"/>
          <w:lang w:val="en-GB"/>
        </w:rPr>
        <w:t xml:space="preserve"> facilitat</w:t>
      </w:r>
      <w:r w:rsidR="00321935">
        <w:rPr>
          <w:sz w:val="22"/>
          <w:szCs w:val="22"/>
          <w:lang w:val="en-GB"/>
        </w:rPr>
        <w:t>e</w:t>
      </w:r>
      <w:r w:rsidRPr="00F14C31">
        <w:rPr>
          <w:sz w:val="22"/>
          <w:szCs w:val="22"/>
          <w:lang w:val="en-GB"/>
        </w:rPr>
        <w:t xml:space="preserve"> the regional and national level integration and cooperation required to generate the reforms required to reduce environmental degradation trends and guide the longer-term sustainable management of the marine and coastal environment of the South China Sea.</w:t>
      </w:r>
    </w:p>
    <w:p w14:paraId="536BC057" w14:textId="77777777" w:rsidR="00F14C31" w:rsidRPr="00F14C31" w:rsidRDefault="00F14C31" w:rsidP="00F14C31">
      <w:pPr>
        <w:spacing w:after="120"/>
        <w:jc w:val="both"/>
        <w:rPr>
          <w:sz w:val="22"/>
          <w:szCs w:val="22"/>
          <w:lang w:val="en-GB"/>
        </w:rPr>
      </w:pPr>
      <w:r w:rsidRPr="00F14C31">
        <w:rPr>
          <w:sz w:val="22"/>
          <w:szCs w:val="22"/>
          <w:lang w:val="en-GB"/>
        </w:rPr>
        <w:t xml:space="preserve">The SAP includes a number of agreed mechanisms for effective cooperation. These include the operation of a high level scientific and technical body </w:t>
      </w:r>
      <w:r w:rsidR="00321935">
        <w:rPr>
          <w:sz w:val="22"/>
          <w:szCs w:val="22"/>
          <w:lang w:val="en-GB"/>
        </w:rPr>
        <w:t>to</w:t>
      </w:r>
      <w:r w:rsidR="0044547B">
        <w:rPr>
          <w:sz w:val="22"/>
          <w:szCs w:val="22"/>
          <w:lang w:val="en-GB"/>
        </w:rPr>
        <w:t xml:space="preserve"> </w:t>
      </w:r>
      <w:r w:rsidRPr="00F14C31">
        <w:rPr>
          <w:sz w:val="22"/>
          <w:szCs w:val="22"/>
          <w:lang w:val="en-GB"/>
        </w:rPr>
        <w:t xml:space="preserve">serve as a forum for reconciling both sectorial and national interests and priorities, and to foster the incorporation of sound science into decision-making. </w:t>
      </w:r>
      <w:r w:rsidR="00817062">
        <w:rPr>
          <w:sz w:val="22"/>
          <w:szCs w:val="22"/>
          <w:lang w:val="en-GB"/>
        </w:rPr>
        <w:t xml:space="preserve">Accordingly, </w:t>
      </w:r>
      <w:r w:rsidR="00FF0DD6">
        <w:rPr>
          <w:sz w:val="22"/>
          <w:szCs w:val="22"/>
          <w:lang w:val="en-GB"/>
        </w:rPr>
        <w:t>Component 3</w:t>
      </w:r>
      <w:r w:rsidRPr="00F14C31">
        <w:rPr>
          <w:sz w:val="22"/>
          <w:szCs w:val="22"/>
          <w:lang w:val="en-GB"/>
        </w:rPr>
        <w:t xml:space="preserve"> </w:t>
      </w:r>
      <w:r w:rsidR="00817062">
        <w:rPr>
          <w:sz w:val="22"/>
          <w:szCs w:val="22"/>
          <w:lang w:val="en-GB"/>
        </w:rPr>
        <w:t xml:space="preserve">of this project </w:t>
      </w:r>
      <w:r w:rsidRPr="00F14C31">
        <w:rPr>
          <w:sz w:val="22"/>
          <w:szCs w:val="22"/>
          <w:lang w:val="en-GB"/>
        </w:rPr>
        <w:t xml:space="preserve">will meet this agreed need via operation of a Regional Scientific and Technical Committee that will act as a source of independent scientific and technical advice to policy-makers. To support the uptake of regionally accumulated scientific knowledge in policy-making and planning, </w:t>
      </w:r>
      <w:r w:rsidR="00817062">
        <w:rPr>
          <w:sz w:val="22"/>
          <w:szCs w:val="22"/>
          <w:lang w:val="en-GB"/>
        </w:rPr>
        <w:t>Component 3 activities</w:t>
      </w:r>
      <w:r w:rsidRPr="00F14C31">
        <w:rPr>
          <w:sz w:val="22"/>
          <w:szCs w:val="22"/>
          <w:lang w:val="en-GB"/>
        </w:rPr>
        <w:t xml:space="preserve"> will facilitate exchanges between government and the scientific community via biennial Regional Scientific Conferences. This will be complemented via the development and operation of a network of local government officials and operational level managers, including annual Mayors’ Round-table meetings, to share experiences and best practices in the application of </w:t>
      </w:r>
      <w:r w:rsidR="00817062">
        <w:rPr>
          <w:sz w:val="22"/>
          <w:szCs w:val="22"/>
          <w:lang w:val="en-GB"/>
        </w:rPr>
        <w:t xml:space="preserve">regionally accumulated </w:t>
      </w:r>
      <w:r w:rsidRPr="00F14C31">
        <w:rPr>
          <w:sz w:val="22"/>
          <w:szCs w:val="22"/>
          <w:lang w:val="en-GB"/>
        </w:rPr>
        <w:t>science in the management of coastal habitats and land-based pollution.</w:t>
      </w:r>
    </w:p>
    <w:p w14:paraId="67BEAA09" w14:textId="77777777" w:rsidR="00F14C31" w:rsidRPr="00F14C31" w:rsidRDefault="00F14C31" w:rsidP="00F14C31">
      <w:pPr>
        <w:spacing w:after="120"/>
        <w:jc w:val="both"/>
        <w:rPr>
          <w:sz w:val="22"/>
          <w:szCs w:val="22"/>
          <w:lang w:val="en-GB"/>
        </w:rPr>
      </w:pPr>
      <w:r w:rsidRPr="00F14C31">
        <w:rPr>
          <w:sz w:val="22"/>
          <w:szCs w:val="22"/>
          <w:lang w:val="en-GB"/>
        </w:rPr>
        <w:t xml:space="preserve">A further expected </w:t>
      </w:r>
      <w:r w:rsidR="00817062">
        <w:rPr>
          <w:sz w:val="22"/>
          <w:szCs w:val="22"/>
          <w:lang w:val="en-GB"/>
        </w:rPr>
        <w:t>result of</w:t>
      </w:r>
      <w:r w:rsidRPr="00F14C31">
        <w:rPr>
          <w:sz w:val="22"/>
          <w:szCs w:val="22"/>
          <w:lang w:val="en-GB"/>
        </w:rPr>
        <w:t xml:space="preserve"> </w:t>
      </w:r>
      <w:r w:rsidR="00817062">
        <w:rPr>
          <w:sz w:val="22"/>
          <w:szCs w:val="22"/>
          <w:lang w:val="en-GB"/>
        </w:rPr>
        <w:t>C</w:t>
      </w:r>
      <w:r w:rsidRPr="00F14C31">
        <w:rPr>
          <w:sz w:val="22"/>
          <w:szCs w:val="22"/>
          <w:lang w:val="en-GB"/>
        </w:rPr>
        <w:t>omponent</w:t>
      </w:r>
      <w:r w:rsidR="00817062">
        <w:rPr>
          <w:sz w:val="22"/>
          <w:szCs w:val="22"/>
          <w:lang w:val="en-GB"/>
        </w:rPr>
        <w:t xml:space="preserve"> 3</w:t>
      </w:r>
      <w:r w:rsidRPr="00F14C31">
        <w:rPr>
          <w:sz w:val="22"/>
          <w:szCs w:val="22"/>
          <w:lang w:val="en-GB"/>
        </w:rPr>
        <w:t xml:space="preserve"> is sub-regional cooperation in the integration of scientific knowledge and research outputs in two priority transboundary areas. The latter builds on a key innovation </w:t>
      </w:r>
      <w:r w:rsidR="00817062">
        <w:rPr>
          <w:sz w:val="22"/>
          <w:szCs w:val="22"/>
          <w:lang w:val="en-GB"/>
        </w:rPr>
        <w:t>of the SCS SAP formulation process</w:t>
      </w:r>
      <w:r w:rsidRPr="00F14C31">
        <w:rPr>
          <w:sz w:val="22"/>
          <w:szCs w:val="22"/>
          <w:lang w:val="en-GB"/>
        </w:rPr>
        <w:t xml:space="preserve"> </w:t>
      </w:r>
      <w:r w:rsidR="0044547B">
        <w:rPr>
          <w:sz w:val="22"/>
          <w:szCs w:val="22"/>
          <w:lang w:val="en-GB"/>
        </w:rPr>
        <w:t xml:space="preserve">which </w:t>
      </w:r>
      <w:r w:rsidRPr="00F14C31">
        <w:rPr>
          <w:sz w:val="22"/>
          <w:szCs w:val="22"/>
          <w:lang w:val="en-GB"/>
        </w:rPr>
        <w:t>involv</w:t>
      </w:r>
      <w:r w:rsidR="0044547B">
        <w:rPr>
          <w:sz w:val="22"/>
          <w:szCs w:val="22"/>
          <w:lang w:val="en-GB"/>
        </w:rPr>
        <w:t>ed</w:t>
      </w:r>
      <w:r w:rsidRPr="00F14C31">
        <w:rPr>
          <w:sz w:val="22"/>
          <w:szCs w:val="22"/>
          <w:lang w:val="en-GB"/>
        </w:rPr>
        <w:t xml:space="preserve"> the generation of bilateral cooperation between Cambodia and Viet Nam which led to the signing of a Memorandum of Understanding between the Provincial Governors of Kampot (Cambodia) and Kien Giang (Viet Nam) (</w:t>
      </w:r>
      <w:r w:rsidR="0044547B">
        <w:rPr>
          <w:sz w:val="22"/>
          <w:szCs w:val="22"/>
          <w:lang w:val="en-GB"/>
        </w:rPr>
        <w:t xml:space="preserve">and </w:t>
      </w:r>
      <w:r w:rsidRPr="00F14C31">
        <w:rPr>
          <w:sz w:val="22"/>
          <w:szCs w:val="22"/>
          <w:lang w:val="en-GB"/>
        </w:rPr>
        <w:t xml:space="preserve">which was subsequently formalized by the central governments of these countries) for the joint management of the environment and coastal resources of their shared transboundary water area. Activities </w:t>
      </w:r>
      <w:r w:rsidR="00817062">
        <w:rPr>
          <w:sz w:val="22"/>
          <w:szCs w:val="22"/>
          <w:lang w:val="en-GB"/>
        </w:rPr>
        <w:t>of</w:t>
      </w:r>
      <w:r w:rsidRPr="00F14C31">
        <w:rPr>
          <w:sz w:val="22"/>
          <w:szCs w:val="22"/>
          <w:lang w:val="en-GB"/>
        </w:rPr>
        <w:t xml:space="preserve"> </w:t>
      </w:r>
      <w:r w:rsidR="00817062">
        <w:rPr>
          <w:sz w:val="22"/>
          <w:szCs w:val="22"/>
          <w:lang w:val="en-GB"/>
        </w:rPr>
        <w:t>C</w:t>
      </w:r>
      <w:r w:rsidRPr="00F14C31">
        <w:rPr>
          <w:sz w:val="22"/>
          <w:szCs w:val="22"/>
          <w:lang w:val="en-GB"/>
        </w:rPr>
        <w:t xml:space="preserve">omponent </w:t>
      </w:r>
      <w:r w:rsidR="00817062">
        <w:rPr>
          <w:sz w:val="22"/>
          <w:szCs w:val="22"/>
          <w:lang w:val="en-GB"/>
        </w:rPr>
        <w:t xml:space="preserve">3 </w:t>
      </w:r>
      <w:r w:rsidRPr="00F14C31">
        <w:rPr>
          <w:sz w:val="22"/>
          <w:szCs w:val="22"/>
          <w:lang w:val="en-GB"/>
        </w:rPr>
        <w:t xml:space="preserve">will </w:t>
      </w:r>
      <w:r w:rsidR="00817062">
        <w:rPr>
          <w:sz w:val="22"/>
          <w:szCs w:val="22"/>
          <w:lang w:val="en-GB"/>
        </w:rPr>
        <w:t xml:space="preserve">result in the </w:t>
      </w:r>
      <w:r w:rsidRPr="00F14C31">
        <w:rPr>
          <w:sz w:val="22"/>
          <w:szCs w:val="22"/>
          <w:lang w:val="en-GB"/>
        </w:rPr>
        <w:t>strengthen</w:t>
      </w:r>
      <w:r w:rsidR="00817062">
        <w:rPr>
          <w:sz w:val="22"/>
          <w:szCs w:val="22"/>
          <w:lang w:val="en-GB"/>
        </w:rPr>
        <w:t>ing of</w:t>
      </w:r>
      <w:r w:rsidRPr="00F14C31">
        <w:rPr>
          <w:sz w:val="22"/>
          <w:szCs w:val="22"/>
          <w:lang w:val="en-GB"/>
        </w:rPr>
        <w:t xml:space="preserve"> this formal transboundary cooperation and facilitate its replication in an additional two transboundary areas.</w:t>
      </w:r>
    </w:p>
    <w:p w14:paraId="188E12B5" w14:textId="77777777" w:rsidR="00F14C31" w:rsidRPr="00F14C31" w:rsidRDefault="00F14C31" w:rsidP="00F14C31">
      <w:pPr>
        <w:spacing w:after="120"/>
        <w:jc w:val="both"/>
        <w:rPr>
          <w:sz w:val="22"/>
          <w:szCs w:val="22"/>
          <w:lang w:val="en-GB"/>
        </w:rPr>
      </w:pPr>
      <w:r w:rsidRPr="00F14C31">
        <w:rPr>
          <w:sz w:val="22"/>
          <w:szCs w:val="22"/>
          <w:lang w:val="en-GB"/>
        </w:rPr>
        <w:t xml:space="preserve">An additional mechanism for cooperation emphasized </w:t>
      </w:r>
      <w:r w:rsidR="0044547B">
        <w:rPr>
          <w:sz w:val="22"/>
          <w:szCs w:val="22"/>
          <w:lang w:val="en-GB"/>
        </w:rPr>
        <w:t xml:space="preserve">in </w:t>
      </w:r>
      <w:r w:rsidR="00817062">
        <w:rPr>
          <w:sz w:val="22"/>
          <w:szCs w:val="22"/>
          <w:lang w:val="en-GB"/>
        </w:rPr>
        <w:t xml:space="preserve">the agreed </w:t>
      </w:r>
      <w:r w:rsidR="0044547B">
        <w:rPr>
          <w:sz w:val="22"/>
          <w:szCs w:val="22"/>
          <w:lang w:val="en-GB"/>
        </w:rPr>
        <w:t>South China Sea</w:t>
      </w:r>
      <w:r w:rsidRPr="00F14C31">
        <w:rPr>
          <w:sz w:val="22"/>
          <w:szCs w:val="22"/>
          <w:lang w:val="en-GB"/>
        </w:rPr>
        <w:t xml:space="preserve"> S</w:t>
      </w:r>
      <w:r w:rsidR="0044547B">
        <w:rPr>
          <w:sz w:val="22"/>
          <w:szCs w:val="22"/>
          <w:lang w:val="en-GB"/>
        </w:rPr>
        <w:t>trategic Action Programme</w:t>
      </w:r>
      <w:r w:rsidRPr="00F14C31">
        <w:rPr>
          <w:sz w:val="22"/>
          <w:szCs w:val="22"/>
          <w:lang w:val="en-GB"/>
        </w:rPr>
        <w:t xml:space="preserve"> includes networking at all levels and amongst all stakeholders. In this connection, </w:t>
      </w:r>
      <w:r w:rsidR="00B566F1">
        <w:rPr>
          <w:sz w:val="22"/>
          <w:szCs w:val="22"/>
          <w:lang w:val="en-GB"/>
        </w:rPr>
        <w:t>activities</w:t>
      </w:r>
      <w:r w:rsidRPr="00F14C31">
        <w:rPr>
          <w:sz w:val="22"/>
          <w:szCs w:val="22"/>
          <w:lang w:val="en-GB"/>
        </w:rPr>
        <w:t xml:space="preserve"> </w:t>
      </w:r>
      <w:r w:rsidR="00817062">
        <w:rPr>
          <w:sz w:val="22"/>
          <w:szCs w:val="22"/>
          <w:lang w:val="en-GB"/>
        </w:rPr>
        <w:t xml:space="preserve">of Component 3 </w:t>
      </w:r>
      <w:r w:rsidRPr="00F14C31">
        <w:rPr>
          <w:sz w:val="22"/>
          <w:szCs w:val="22"/>
          <w:lang w:val="en-GB"/>
        </w:rPr>
        <w:t xml:space="preserve">will build on the intra-country and inter-country consultation and cooperation fostered </w:t>
      </w:r>
      <w:r w:rsidR="00817062">
        <w:rPr>
          <w:sz w:val="22"/>
          <w:szCs w:val="22"/>
          <w:lang w:val="en-GB"/>
        </w:rPr>
        <w:t>during SAP formulation</w:t>
      </w:r>
      <w:r w:rsidRPr="00F14C31">
        <w:rPr>
          <w:sz w:val="22"/>
          <w:szCs w:val="22"/>
          <w:lang w:val="en-GB"/>
        </w:rPr>
        <w:t xml:space="preserve"> via efforts to strengthen civil society, community organization, and private sector engagement in SAP implementation and revision. Specifically, capacity for civil society and community organization participation in SAP implementation will be strengthened via an operational partnership with </w:t>
      </w:r>
      <w:r w:rsidR="0044547B">
        <w:rPr>
          <w:sz w:val="22"/>
          <w:szCs w:val="22"/>
          <w:lang w:val="en-GB"/>
        </w:rPr>
        <w:t xml:space="preserve">the </w:t>
      </w:r>
      <w:r w:rsidRPr="00F14C31">
        <w:rPr>
          <w:sz w:val="22"/>
          <w:szCs w:val="22"/>
          <w:lang w:val="en-GB"/>
        </w:rPr>
        <w:t>GEF S</w:t>
      </w:r>
      <w:r w:rsidR="0044547B">
        <w:rPr>
          <w:sz w:val="22"/>
          <w:szCs w:val="22"/>
          <w:lang w:val="en-GB"/>
        </w:rPr>
        <w:t xml:space="preserve">mall </w:t>
      </w:r>
      <w:r w:rsidRPr="00F14C31">
        <w:rPr>
          <w:sz w:val="22"/>
          <w:szCs w:val="22"/>
          <w:lang w:val="en-GB"/>
        </w:rPr>
        <w:t>G</w:t>
      </w:r>
      <w:r w:rsidR="0044547B">
        <w:rPr>
          <w:sz w:val="22"/>
          <w:szCs w:val="22"/>
          <w:lang w:val="en-GB"/>
        </w:rPr>
        <w:t xml:space="preserve">rants </w:t>
      </w:r>
      <w:r w:rsidRPr="00F14C31">
        <w:rPr>
          <w:sz w:val="22"/>
          <w:szCs w:val="22"/>
          <w:lang w:val="en-GB"/>
        </w:rPr>
        <w:t>P</w:t>
      </w:r>
      <w:r w:rsidR="0044547B">
        <w:rPr>
          <w:sz w:val="22"/>
          <w:szCs w:val="22"/>
          <w:lang w:val="en-GB"/>
        </w:rPr>
        <w:t>rogramme</w:t>
      </w:r>
      <w:r w:rsidRPr="00F14C31">
        <w:rPr>
          <w:sz w:val="22"/>
          <w:szCs w:val="22"/>
          <w:lang w:val="en-GB"/>
        </w:rPr>
        <w:t xml:space="preserve">. </w:t>
      </w:r>
      <w:r w:rsidR="00037129">
        <w:rPr>
          <w:sz w:val="22"/>
          <w:szCs w:val="22"/>
          <w:lang w:val="en-GB"/>
        </w:rPr>
        <w:t xml:space="preserve"> Component 3 will also result in strengethed and formalized r</w:t>
      </w:r>
      <w:r w:rsidRPr="00F14C31">
        <w:rPr>
          <w:sz w:val="22"/>
          <w:szCs w:val="22"/>
          <w:lang w:val="en-GB"/>
        </w:rPr>
        <w:t xml:space="preserve">elationships between central and local governments and the private sector via development of  public-private partnerships and </w:t>
      </w:r>
      <w:r w:rsidR="00037129">
        <w:rPr>
          <w:sz w:val="22"/>
          <w:szCs w:val="22"/>
          <w:lang w:val="en-GB"/>
        </w:rPr>
        <w:t xml:space="preserve">the formulation of </w:t>
      </w:r>
      <w:r w:rsidRPr="00F14C31">
        <w:rPr>
          <w:sz w:val="22"/>
          <w:szCs w:val="22"/>
          <w:lang w:val="en-GB"/>
        </w:rPr>
        <w:t xml:space="preserve">an associated </w:t>
      </w:r>
      <w:r w:rsidR="00037129">
        <w:rPr>
          <w:sz w:val="22"/>
          <w:szCs w:val="22"/>
          <w:lang w:val="en-GB"/>
        </w:rPr>
        <w:t xml:space="preserve">private sector </w:t>
      </w:r>
      <w:r w:rsidRPr="00F14C31">
        <w:rPr>
          <w:sz w:val="22"/>
          <w:szCs w:val="22"/>
          <w:lang w:val="en-GB"/>
        </w:rPr>
        <w:t xml:space="preserve">investment plan for the implementation of the updated SAP. </w:t>
      </w:r>
    </w:p>
    <w:p w14:paraId="1D7071C3" w14:textId="77777777" w:rsidR="00F14C31" w:rsidRPr="00F14C31" w:rsidRDefault="00B566F1" w:rsidP="00F14C31">
      <w:pPr>
        <w:spacing w:after="120"/>
        <w:jc w:val="both"/>
        <w:rPr>
          <w:sz w:val="22"/>
          <w:szCs w:val="22"/>
          <w:lang w:val="en-GB"/>
        </w:rPr>
      </w:pPr>
      <w:r>
        <w:rPr>
          <w:sz w:val="22"/>
          <w:szCs w:val="22"/>
          <w:lang w:val="en-GB"/>
        </w:rPr>
        <w:t>Component 3</w:t>
      </w:r>
      <w:r w:rsidR="00F14C31" w:rsidRPr="00F14C31">
        <w:rPr>
          <w:sz w:val="22"/>
          <w:szCs w:val="22"/>
          <w:lang w:val="en-GB"/>
        </w:rPr>
        <w:t xml:space="preserve"> </w:t>
      </w:r>
      <w:r w:rsidR="00E86B69">
        <w:rPr>
          <w:sz w:val="22"/>
          <w:szCs w:val="22"/>
          <w:lang w:val="en-GB"/>
        </w:rPr>
        <w:t xml:space="preserve">activities </w:t>
      </w:r>
      <w:r w:rsidR="00F14C31" w:rsidRPr="00F14C31">
        <w:rPr>
          <w:sz w:val="22"/>
          <w:szCs w:val="22"/>
          <w:lang w:val="en-GB"/>
        </w:rPr>
        <w:t>will also revitalize and strengthen regional mechanisms for communications, knowledge exchange, and information a</w:t>
      </w:r>
      <w:r>
        <w:rPr>
          <w:sz w:val="22"/>
          <w:szCs w:val="22"/>
          <w:lang w:val="en-GB"/>
        </w:rPr>
        <w:t xml:space="preserve">nd data management and sharing. </w:t>
      </w:r>
      <w:r w:rsidR="00F14C31" w:rsidRPr="00F14C31">
        <w:rPr>
          <w:sz w:val="22"/>
          <w:szCs w:val="22"/>
          <w:lang w:val="en-GB"/>
        </w:rPr>
        <w:t xml:space="preserve">This will involve the development and implementation of a communications strategy for the delivery of targeted messaging to national level stakeholders, regional supporting organizations and projects, and donors on the results of SAP implementation and related efforts in strengthening regional cooperation. This is aimed at stimulating support and awareness of necessary policy and legal reforms and in ensuring that best practices generated at the national level are captured, shared and effectively communicated to guide the longer-term sustainability of investments. </w:t>
      </w:r>
      <w:r w:rsidR="00E86B69">
        <w:rPr>
          <w:sz w:val="22"/>
          <w:szCs w:val="22"/>
          <w:lang w:val="en-GB"/>
        </w:rPr>
        <w:t>Component 3 will also develop r</w:t>
      </w:r>
      <w:r w:rsidR="00F14C31" w:rsidRPr="00F14C31">
        <w:rPr>
          <w:sz w:val="22"/>
          <w:szCs w:val="22"/>
          <w:lang w:val="en-GB"/>
        </w:rPr>
        <w:t>egionally appropriate knowledge tools to support decision-making and planning</w:t>
      </w:r>
      <w:r w:rsidR="00E86B69">
        <w:rPr>
          <w:sz w:val="22"/>
          <w:szCs w:val="22"/>
          <w:lang w:val="en-GB"/>
        </w:rPr>
        <w:t>, including</w:t>
      </w:r>
      <w:r w:rsidR="00F14C31" w:rsidRPr="00F14C31">
        <w:rPr>
          <w:sz w:val="22"/>
          <w:szCs w:val="22"/>
          <w:lang w:val="en-GB"/>
        </w:rPr>
        <w:t xml:space="preserve"> the sustained operation of the SCS web portal &lt;www.unepscs.org&gt; and associated regional databases, which will also be linked to I</w:t>
      </w:r>
      <w:r w:rsidR="0044547B">
        <w:rPr>
          <w:sz w:val="22"/>
          <w:szCs w:val="22"/>
          <w:lang w:val="en-GB"/>
        </w:rPr>
        <w:t>W:LEARN</w:t>
      </w:r>
      <w:r w:rsidR="00F14C31" w:rsidRPr="00F14C31">
        <w:rPr>
          <w:sz w:val="22"/>
          <w:szCs w:val="22"/>
          <w:lang w:val="en-GB"/>
        </w:rPr>
        <w:t xml:space="preserve"> and other GEF </w:t>
      </w:r>
      <w:r w:rsidR="00E86B69">
        <w:rPr>
          <w:sz w:val="22"/>
          <w:szCs w:val="22"/>
          <w:lang w:val="en-GB"/>
        </w:rPr>
        <w:t>k</w:t>
      </w:r>
      <w:r w:rsidR="00E86B69" w:rsidRPr="00F14C31">
        <w:rPr>
          <w:sz w:val="22"/>
          <w:szCs w:val="22"/>
          <w:lang w:val="en-GB"/>
        </w:rPr>
        <w:t xml:space="preserve">nowledge </w:t>
      </w:r>
      <w:r w:rsidR="00F14C31" w:rsidRPr="00F14C31">
        <w:rPr>
          <w:sz w:val="22"/>
          <w:szCs w:val="22"/>
          <w:lang w:val="en-GB"/>
        </w:rPr>
        <w:t xml:space="preserve">management systems. Active engagement with GEF IW:LEARN [1% of project resources], including participation in IW conferences and </w:t>
      </w:r>
      <w:r w:rsidR="00177BC3">
        <w:rPr>
          <w:sz w:val="22"/>
          <w:szCs w:val="22"/>
          <w:lang w:val="en-GB"/>
        </w:rPr>
        <w:t xml:space="preserve">preparation of </w:t>
      </w:r>
      <w:r w:rsidR="00F14C31" w:rsidRPr="00F14C31">
        <w:rPr>
          <w:sz w:val="22"/>
          <w:szCs w:val="22"/>
          <w:lang w:val="en-GB"/>
        </w:rPr>
        <w:t>3 experience notes, will also be fostered.</w:t>
      </w:r>
    </w:p>
    <w:p w14:paraId="7DC90EAB" w14:textId="77777777" w:rsidR="00F14C31" w:rsidRPr="00F14C31" w:rsidRDefault="00F14C31" w:rsidP="00F14C31">
      <w:pPr>
        <w:spacing w:after="120"/>
        <w:jc w:val="both"/>
        <w:rPr>
          <w:sz w:val="22"/>
          <w:szCs w:val="22"/>
          <w:lang w:val="en-GB"/>
        </w:rPr>
      </w:pPr>
      <w:r w:rsidRPr="00F14C31">
        <w:rPr>
          <w:sz w:val="22"/>
          <w:szCs w:val="22"/>
          <w:lang w:val="en-GB"/>
        </w:rPr>
        <w:t>Of significance is Outcome 3.5 “</w:t>
      </w:r>
      <w:r w:rsidRPr="00F13BA4">
        <w:rPr>
          <w:i/>
          <w:sz w:val="22"/>
          <w:szCs w:val="22"/>
          <w:lang w:val="en-GB"/>
        </w:rPr>
        <w:t>Agreed arrangements for strengthened regional cooperation in the management of the marine and coastal environment of the South China Sea</w:t>
      </w:r>
      <w:r w:rsidRPr="00F14C31">
        <w:rPr>
          <w:sz w:val="22"/>
          <w:szCs w:val="22"/>
          <w:lang w:val="en-GB"/>
        </w:rPr>
        <w:t>”</w:t>
      </w:r>
      <w:r w:rsidR="00B566F1">
        <w:rPr>
          <w:sz w:val="22"/>
          <w:szCs w:val="22"/>
          <w:lang w:val="en-GB"/>
        </w:rPr>
        <w:t xml:space="preserve"> which</w:t>
      </w:r>
      <w:r w:rsidRPr="00F14C31">
        <w:rPr>
          <w:sz w:val="22"/>
          <w:szCs w:val="22"/>
          <w:lang w:val="en-GB"/>
        </w:rPr>
        <w:t xml:space="preserve"> involves the review and assessment of regional and national institutional fra</w:t>
      </w:r>
      <w:r w:rsidR="008A22DF">
        <w:rPr>
          <w:sz w:val="22"/>
          <w:szCs w:val="22"/>
          <w:lang w:val="en-GB"/>
        </w:rPr>
        <w:t xml:space="preserve">meworks and the formulation of </w:t>
      </w:r>
      <w:r w:rsidRPr="00F14C31">
        <w:rPr>
          <w:sz w:val="22"/>
          <w:szCs w:val="22"/>
          <w:lang w:val="en-GB"/>
        </w:rPr>
        <w:t>appropriate recommendations for strengthened regional coo</w:t>
      </w:r>
      <w:r w:rsidR="00177BC3">
        <w:rPr>
          <w:sz w:val="22"/>
          <w:szCs w:val="22"/>
          <w:lang w:val="en-GB"/>
        </w:rPr>
        <w:t>peration</w:t>
      </w:r>
      <w:r w:rsidRPr="00F14C31">
        <w:rPr>
          <w:sz w:val="22"/>
          <w:szCs w:val="22"/>
          <w:lang w:val="en-GB"/>
        </w:rPr>
        <w:t xml:space="preserve"> in the implementation of the SAP for the management of the marine and coastal environment of the South China Sea</w:t>
      </w:r>
      <w:r w:rsidR="00177BC3">
        <w:rPr>
          <w:sz w:val="22"/>
          <w:szCs w:val="22"/>
          <w:lang w:val="en-GB"/>
        </w:rPr>
        <w:t>. Such cooperation will</w:t>
      </w:r>
      <w:r w:rsidRPr="00F14C31">
        <w:rPr>
          <w:sz w:val="22"/>
          <w:szCs w:val="22"/>
          <w:lang w:val="en-GB"/>
        </w:rPr>
        <w:t xml:space="preserve"> foster the wise use of natural, human and financial resources whilst conforming to the ethos and culture of the region. Supporting activities include: biannual meetings of the Regional Task Force on Legal Matters to review the proposed policy, </w:t>
      </w:r>
      <w:r w:rsidR="00177BC3">
        <w:rPr>
          <w:sz w:val="22"/>
          <w:szCs w:val="22"/>
          <w:lang w:val="en-GB"/>
        </w:rPr>
        <w:t>cooperation</w:t>
      </w:r>
      <w:r w:rsidR="00177BC3" w:rsidRPr="00F14C31">
        <w:rPr>
          <w:sz w:val="22"/>
          <w:szCs w:val="22"/>
          <w:lang w:val="en-GB"/>
        </w:rPr>
        <w:t xml:space="preserve"> </w:t>
      </w:r>
      <w:r w:rsidRPr="00F14C31">
        <w:rPr>
          <w:sz w:val="22"/>
          <w:szCs w:val="22"/>
          <w:lang w:val="en-GB"/>
        </w:rPr>
        <w:t xml:space="preserve">and institutional strengthening recommendations in support of SAP implementation; the establishment and operation of National Working Groups on matters to be decided by the </w:t>
      </w:r>
      <w:r w:rsidR="00E86B69">
        <w:rPr>
          <w:sz w:val="22"/>
          <w:szCs w:val="22"/>
          <w:lang w:val="en-GB"/>
        </w:rPr>
        <w:t xml:space="preserve">participating </w:t>
      </w:r>
      <w:r w:rsidRPr="00F14C31">
        <w:rPr>
          <w:sz w:val="22"/>
          <w:szCs w:val="22"/>
          <w:lang w:val="en-GB"/>
        </w:rPr>
        <w:t xml:space="preserve">countries to support national and provincial level discussion and agreement on policy, </w:t>
      </w:r>
      <w:r w:rsidR="00177BC3">
        <w:rPr>
          <w:sz w:val="22"/>
          <w:szCs w:val="22"/>
          <w:lang w:val="en-GB"/>
        </w:rPr>
        <w:t>cooperation</w:t>
      </w:r>
      <w:r w:rsidRPr="00F14C31">
        <w:rPr>
          <w:sz w:val="22"/>
          <w:szCs w:val="22"/>
          <w:lang w:val="en-GB"/>
        </w:rPr>
        <w:t xml:space="preserve"> and institutional reforms; and reviews and evaluation of existing</w:t>
      </w:r>
      <w:r w:rsidR="00B566F1">
        <w:rPr>
          <w:sz w:val="22"/>
          <w:szCs w:val="22"/>
          <w:lang w:val="en-GB"/>
        </w:rPr>
        <w:t xml:space="preserve"> arrangements for cooperation leading to adoption of an instrument to strengthen regional cooperation for coastal and marine environmental management in the South China Sea.</w:t>
      </w:r>
    </w:p>
    <w:p w14:paraId="2544A53E" w14:textId="77777777" w:rsidR="00F07F81" w:rsidRDefault="00F07F81" w:rsidP="00E76712">
      <w:pPr>
        <w:spacing w:after="120"/>
        <w:rPr>
          <w:b/>
          <w:smallCaps/>
          <w:sz w:val="22"/>
          <w:szCs w:val="22"/>
          <w:lang w:val="en-GB"/>
        </w:rPr>
      </w:pPr>
      <w:r>
        <w:rPr>
          <w:b/>
          <w:sz w:val="22"/>
          <w:szCs w:val="22"/>
          <w:lang w:val="en-GB"/>
        </w:rPr>
        <w:br w:type="page"/>
      </w:r>
      <w:r>
        <w:rPr>
          <w:b/>
          <w:smallCaps/>
          <w:sz w:val="22"/>
          <w:szCs w:val="22"/>
          <w:lang w:val="en-GB"/>
        </w:rPr>
        <w:t>Table of Contents</w:t>
      </w:r>
    </w:p>
    <w:p w14:paraId="5583FD62" w14:textId="77777777" w:rsidR="00F07F81" w:rsidRDefault="00F07F81">
      <w:pPr>
        <w:spacing w:after="120"/>
        <w:jc w:val="center"/>
        <w:rPr>
          <w:sz w:val="22"/>
          <w:szCs w:val="22"/>
          <w:lang w:val="en-GB"/>
        </w:rPr>
      </w:pPr>
    </w:p>
    <w:p w14:paraId="439C8BD7" w14:textId="77777777" w:rsidR="00F07F81" w:rsidRDefault="00F07F81">
      <w:pPr>
        <w:pStyle w:val="TOC1"/>
        <w:rPr>
          <w:noProof/>
          <w:sz w:val="24"/>
        </w:rPr>
      </w:pPr>
      <w:r>
        <w:rPr>
          <w:b/>
          <w:szCs w:val="22"/>
          <w:lang w:val="en-GB"/>
        </w:rPr>
        <w:fldChar w:fldCharType="begin"/>
      </w:r>
      <w:r>
        <w:rPr>
          <w:b/>
          <w:szCs w:val="22"/>
          <w:lang w:val="en-GB"/>
        </w:rPr>
        <w:instrText xml:space="preserve"> TOC \o "1-4" \h \z \u </w:instrText>
      </w:r>
      <w:r>
        <w:rPr>
          <w:b/>
          <w:szCs w:val="22"/>
          <w:lang w:val="en-GB"/>
        </w:rPr>
        <w:fldChar w:fldCharType="separate"/>
      </w:r>
      <w:hyperlink w:anchor="_Toc209432638" w:history="1">
        <w:r>
          <w:rPr>
            <w:rStyle w:val="Hyperlink"/>
            <w:b/>
            <w:smallCaps/>
            <w:noProof/>
            <w:lang w:val="en-GB"/>
          </w:rPr>
          <w:t>Section 1: Project Identification</w:t>
        </w:r>
        <w:r>
          <w:rPr>
            <w:noProof/>
            <w:webHidden/>
          </w:rPr>
          <w:tab/>
        </w:r>
        <w:r>
          <w:rPr>
            <w:noProof/>
            <w:webHidden/>
          </w:rPr>
          <w:fldChar w:fldCharType="begin"/>
        </w:r>
        <w:r>
          <w:rPr>
            <w:noProof/>
            <w:webHidden/>
          </w:rPr>
          <w:instrText xml:space="preserve"> PAGEREF _Toc209432638 \h </w:instrText>
        </w:r>
        <w:r>
          <w:rPr>
            <w:noProof/>
          </w:rPr>
        </w:r>
        <w:r>
          <w:rPr>
            <w:noProof/>
            <w:webHidden/>
          </w:rPr>
          <w:fldChar w:fldCharType="separate"/>
        </w:r>
        <w:r w:rsidR="00B62FD7">
          <w:rPr>
            <w:noProof/>
            <w:webHidden/>
          </w:rPr>
          <w:t>1</w:t>
        </w:r>
        <w:r>
          <w:rPr>
            <w:noProof/>
            <w:webHidden/>
          </w:rPr>
          <w:fldChar w:fldCharType="end"/>
        </w:r>
      </w:hyperlink>
    </w:p>
    <w:p w14:paraId="67AD9EE1" w14:textId="77777777" w:rsidR="00F07F81" w:rsidRDefault="00F07F81">
      <w:pPr>
        <w:pStyle w:val="TOC1"/>
        <w:rPr>
          <w:noProof/>
          <w:sz w:val="24"/>
        </w:rPr>
      </w:pPr>
      <w:hyperlink w:anchor="_Toc209432639" w:history="1">
        <w:r>
          <w:rPr>
            <w:rStyle w:val="Hyperlink"/>
            <w:b/>
            <w:smallCaps/>
            <w:noProof/>
            <w:lang w:val="en-GB"/>
          </w:rPr>
          <w:t>Acronyms and Abbreviations</w:t>
        </w:r>
        <w:r>
          <w:rPr>
            <w:noProof/>
            <w:webHidden/>
          </w:rPr>
          <w:tab/>
        </w:r>
        <w:r>
          <w:rPr>
            <w:noProof/>
            <w:webHidden/>
          </w:rPr>
          <w:fldChar w:fldCharType="begin"/>
        </w:r>
        <w:r>
          <w:rPr>
            <w:noProof/>
            <w:webHidden/>
          </w:rPr>
          <w:instrText xml:space="preserve"> PAGEREF _Toc209432639 \h </w:instrText>
        </w:r>
        <w:r>
          <w:rPr>
            <w:noProof/>
          </w:rPr>
        </w:r>
        <w:r>
          <w:rPr>
            <w:noProof/>
            <w:webHidden/>
          </w:rPr>
          <w:fldChar w:fldCharType="separate"/>
        </w:r>
        <w:r w:rsidR="00B62FD7">
          <w:rPr>
            <w:noProof/>
            <w:webHidden/>
          </w:rPr>
          <w:t>15</w:t>
        </w:r>
        <w:r>
          <w:rPr>
            <w:noProof/>
            <w:webHidden/>
          </w:rPr>
          <w:fldChar w:fldCharType="end"/>
        </w:r>
      </w:hyperlink>
    </w:p>
    <w:p w14:paraId="0AB50D89" w14:textId="77777777" w:rsidR="00F07F81" w:rsidRDefault="00F07F81">
      <w:pPr>
        <w:pStyle w:val="TOC1"/>
        <w:rPr>
          <w:noProof/>
          <w:sz w:val="24"/>
        </w:rPr>
      </w:pPr>
      <w:hyperlink w:anchor="_Toc209432640" w:history="1">
        <w:r>
          <w:rPr>
            <w:rStyle w:val="Hyperlink"/>
            <w:b/>
            <w:smallCaps/>
            <w:noProof/>
            <w:lang w:val="en-GB"/>
          </w:rPr>
          <w:t>Section 2: Background and Situation Analysis (Baseline course of action)</w:t>
        </w:r>
        <w:r>
          <w:rPr>
            <w:noProof/>
            <w:webHidden/>
          </w:rPr>
          <w:tab/>
        </w:r>
        <w:r>
          <w:rPr>
            <w:noProof/>
            <w:webHidden/>
          </w:rPr>
          <w:fldChar w:fldCharType="begin"/>
        </w:r>
        <w:r>
          <w:rPr>
            <w:noProof/>
            <w:webHidden/>
          </w:rPr>
          <w:instrText xml:space="preserve"> PAGEREF _Toc209432640 \h </w:instrText>
        </w:r>
        <w:r>
          <w:rPr>
            <w:noProof/>
          </w:rPr>
        </w:r>
        <w:r>
          <w:rPr>
            <w:noProof/>
            <w:webHidden/>
          </w:rPr>
          <w:fldChar w:fldCharType="separate"/>
        </w:r>
        <w:r w:rsidR="00B62FD7">
          <w:rPr>
            <w:noProof/>
            <w:webHidden/>
          </w:rPr>
          <w:t>17</w:t>
        </w:r>
        <w:r>
          <w:rPr>
            <w:noProof/>
            <w:webHidden/>
          </w:rPr>
          <w:fldChar w:fldCharType="end"/>
        </w:r>
      </w:hyperlink>
    </w:p>
    <w:p w14:paraId="5ED4F48B" w14:textId="77777777" w:rsidR="00F07F81" w:rsidRDefault="00F07F81">
      <w:pPr>
        <w:pStyle w:val="TOC2"/>
        <w:tabs>
          <w:tab w:val="left" w:pos="960"/>
          <w:tab w:val="right" w:leader="dot" w:pos="9000"/>
          <w:tab w:val="right" w:leader="dot" w:pos="9062"/>
        </w:tabs>
        <w:rPr>
          <w:noProof/>
          <w:sz w:val="24"/>
        </w:rPr>
      </w:pPr>
      <w:hyperlink w:anchor="_Toc209432641" w:history="1">
        <w:r>
          <w:rPr>
            <w:rStyle w:val="Hyperlink"/>
            <w:b/>
            <w:noProof/>
            <w:lang w:val="en-GB"/>
          </w:rPr>
          <w:t>2.1.</w:t>
        </w:r>
        <w:r>
          <w:rPr>
            <w:noProof/>
            <w:sz w:val="24"/>
          </w:rPr>
          <w:tab/>
        </w:r>
        <w:r>
          <w:rPr>
            <w:rStyle w:val="Hyperlink"/>
            <w:b/>
            <w:noProof/>
            <w:lang w:val="en-GB"/>
          </w:rPr>
          <w:t>Background and context</w:t>
        </w:r>
        <w:r>
          <w:rPr>
            <w:noProof/>
            <w:webHidden/>
          </w:rPr>
          <w:tab/>
        </w:r>
        <w:r>
          <w:rPr>
            <w:noProof/>
            <w:webHidden/>
          </w:rPr>
          <w:fldChar w:fldCharType="begin"/>
        </w:r>
        <w:r>
          <w:rPr>
            <w:noProof/>
            <w:webHidden/>
          </w:rPr>
          <w:instrText xml:space="preserve"> PAGEREF _Toc209432641 \h </w:instrText>
        </w:r>
        <w:r>
          <w:rPr>
            <w:noProof/>
          </w:rPr>
        </w:r>
        <w:r>
          <w:rPr>
            <w:noProof/>
            <w:webHidden/>
          </w:rPr>
          <w:fldChar w:fldCharType="separate"/>
        </w:r>
        <w:r w:rsidR="00B62FD7">
          <w:rPr>
            <w:noProof/>
            <w:webHidden/>
          </w:rPr>
          <w:t>17</w:t>
        </w:r>
        <w:r>
          <w:rPr>
            <w:noProof/>
            <w:webHidden/>
          </w:rPr>
          <w:fldChar w:fldCharType="end"/>
        </w:r>
      </w:hyperlink>
    </w:p>
    <w:p w14:paraId="2AB6660B" w14:textId="77777777" w:rsidR="00F07F81" w:rsidRDefault="00F07F81">
      <w:pPr>
        <w:pStyle w:val="TOC2"/>
        <w:tabs>
          <w:tab w:val="left" w:pos="960"/>
          <w:tab w:val="right" w:leader="dot" w:pos="9000"/>
          <w:tab w:val="right" w:leader="dot" w:pos="9062"/>
        </w:tabs>
        <w:rPr>
          <w:noProof/>
          <w:sz w:val="24"/>
        </w:rPr>
      </w:pPr>
      <w:hyperlink w:anchor="_Toc209432642" w:history="1">
        <w:r>
          <w:rPr>
            <w:rStyle w:val="Hyperlink"/>
            <w:b/>
            <w:noProof/>
            <w:lang w:val="en-GB"/>
          </w:rPr>
          <w:t>2.2.</w:t>
        </w:r>
        <w:r>
          <w:rPr>
            <w:noProof/>
            <w:sz w:val="24"/>
          </w:rPr>
          <w:tab/>
        </w:r>
        <w:r>
          <w:rPr>
            <w:rStyle w:val="Hyperlink"/>
            <w:b/>
            <w:noProof/>
            <w:lang w:val="en-GB"/>
          </w:rPr>
          <w:t>Global significance</w:t>
        </w:r>
        <w:r>
          <w:rPr>
            <w:noProof/>
            <w:webHidden/>
          </w:rPr>
          <w:tab/>
        </w:r>
        <w:r>
          <w:rPr>
            <w:noProof/>
            <w:webHidden/>
          </w:rPr>
          <w:fldChar w:fldCharType="begin"/>
        </w:r>
        <w:r>
          <w:rPr>
            <w:noProof/>
            <w:webHidden/>
          </w:rPr>
          <w:instrText xml:space="preserve"> PAGEREF _Toc209432642 \h </w:instrText>
        </w:r>
        <w:r>
          <w:rPr>
            <w:noProof/>
          </w:rPr>
        </w:r>
        <w:r>
          <w:rPr>
            <w:noProof/>
            <w:webHidden/>
          </w:rPr>
          <w:fldChar w:fldCharType="separate"/>
        </w:r>
        <w:r w:rsidR="00B62FD7">
          <w:rPr>
            <w:noProof/>
            <w:webHidden/>
          </w:rPr>
          <w:t>85</w:t>
        </w:r>
        <w:r>
          <w:rPr>
            <w:noProof/>
            <w:webHidden/>
          </w:rPr>
          <w:fldChar w:fldCharType="end"/>
        </w:r>
      </w:hyperlink>
    </w:p>
    <w:p w14:paraId="32757CE7" w14:textId="77777777" w:rsidR="00F07F81" w:rsidRDefault="00F07F81">
      <w:pPr>
        <w:pStyle w:val="TOC2"/>
        <w:tabs>
          <w:tab w:val="left" w:pos="960"/>
          <w:tab w:val="right" w:leader="dot" w:pos="9000"/>
          <w:tab w:val="right" w:leader="dot" w:pos="9062"/>
        </w:tabs>
        <w:rPr>
          <w:noProof/>
          <w:sz w:val="24"/>
        </w:rPr>
      </w:pPr>
      <w:hyperlink w:anchor="_Toc209432643" w:history="1">
        <w:r>
          <w:rPr>
            <w:rStyle w:val="Hyperlink"/>
            <w:b/>
            <w:noProof/>
            <w:lang w:val="en-GB"/>
          </w:rPr>
          <w:t>2.3.</w:t>
        </w:r>
        <w:r>
          <w:rPr>
            <w:noProof/>
            <w:sz w:val="24"/>
          </w:rPr>
          <w:tab/>
        </w:r>
        <w:r>
          <w:rPr>
            <w:rStyle w:val="Hyperlink"/>
            <w:b/>
            <w:noProof/>
            <w:lang w:val="en-GB"/>
          </w:rPr>
          <w:t>Threats, root causes and barrier analysis</w:t>
        </w:r>
        <w:r>
          <w:rPr>
            <w:noProof/>
            <w:webHidden/>
          </w:rPr>
          <w:tab/>
        </w:r>
        <w:r>
          <w:rPr>
            <w:noProof/>
            <w:webHidden/>
          </w:rPr>
          <w:fldChar w:fldCharType="begin"/>
        </w:r>
        <w:r>
          <w:rPr>
            <w:noProof/>
            <w:webHidden/>
          </w:rPr>
          <w:instrText xml:space="preserve"> PAGEREF _Toc209432643 \h </w:instrText>
        </w:r>
        <w:r>
          <w:rPr>
            <w:noProof/>
          </w:rPr>
        </w:r>
        <w:r>
          <w:rPr>
            <w:noProof/>
            <w:webHidden/>
          </w:rPr>
          <w:fldChar w:fldCharType="separate"/>
        </w:r>
        <w:r w:rsidR="00B62FD7">
          <w:rPr>
            <w:noProof/>
            <w:webHidden/>
          </w:rPr>
          <w:t>95</w:t>
        </w:r>
        <w:r>
          <w:rPr>
            <w:noProof/>
            <w:webHidden/>
          </w:rPr>
          <w:fldChar w:fldCharType="end"/>
        </w:r>
      </w:hyperlink>
    </w:p>
    <w:p w14:paraId="604579A4" w14:textId="77777777" w:rsidR="00F07F81" w:rsidRDefault="00F07F81">
      <w:pPr>
        <w:pStyle w:val="TOC2"/>
        <w:tabs>
          <w:tab w:val="left" w:pos="960"/>
          <w:tab w:val="right" w:leader="dot" w:pos="9000"/>
          <w:tab w:val="right" w:leader="dot" w:pos="9062"/>
        </w:tabs>
        <w:rPr>
          <w:noProof/>
          <w:sz w:val="24"/>
        </w:rPr>
      </w:pPr>
      <w:hyperlink w:anchor="_Toc209432644" w:history="1">
        <w:r>
          <w:rPr>
            <w:rStyle w:val="Hyperlink"/>
            <w:b/>
            <w:noProof/>
            <w:lang w:val="en-GB"/>
          </w:rPr>
          <w:t>2.4.</w:t>
        </w:r>
        <w:r>
          <w:rPr>
            <w:noProof/>
            <w:sz w:val="24"/>
          </w:rPr>
          <w:tab/>
        </w:r>
        <w:r>
          <w:rPr>
            <w:rStyle w:val="Hyperlink"/>
            <w:b/>
            <w:noProof/>
            <w:lang w:val="en-GB"/>
          </w:rPr>
          <w:t>Institutional, sectoral and policy context</w:t>
        </w:r>
        <w:r>
          <w:rPr>
            <w:noProof/>
            <w:webHidden/>
          </w:rPr>
          <w:tab/>
        </w:r>
        <w:r>
          <w:rPr>
            <w:noProof/>
            <w:webHidden/>
          </w:rPr>
          <w:fldChar w:fldCharType="begin"/>
        </w:r>
        <w:r>
          <w:rPr>
            <w:noProof/>
            <w:webHidden/>
          </w:rPr>
          <w:instrText xml:space="preserve"> PAGEREF _Toc209432644 \h </w:instrText>
        </w:r>
        <w:r>
          <w:rPr>
            <w:noProof/>
          </w:rPr>
        </w:r>
        <w:r>
          <w:rPr>
            <w:noProof/>
            <w:webHidden/>
          </w:rPr>
          <w:fldChar w:fldCharType="separate"/>
        </w:r>
        <w:r w:rsidR="00B62FD7">
          <w:rPr>
            <w:noProof/>
            <w:webHidden/>
          </w:rPr>
          <w:t>105</w:t>
        </w:r>
        <w:r>
          <w:rPr>
            <w:noProof/>
            <w:webHidden/>
          </w:rPr>
          <w:fldChar w:fldCharType="end"/>
        </w:r>
      </w:hyperlink>
    </w:p>
    <w:p w14:paraId="64586C9B" w14:textId="77777777" w:rsidR="00F07F81" w:rsidRDefault="00F07F81">
      <w:pPr>
        <w:pStyle w:val="TOC2"/>
        <w:tabs>
          <w:tab w:val="left" w:pos="960"/>
          <w:tab w:val="right" w:leader="dot" w:pos="9000"/>
          <w:tab w:val="right" w:leader="dot" w:pos="9062"/>
        </w:tabs>
        <w:rPr>
          <w:noProof/>
          <w:sz w:val="24"/>
        </w:rPr>
      </w:pPr>
      <w:hyperlink w:anchor="_Toc209432645" w:history="1">
        <w:r>
          <w:rPr>
            <w:rStyle w:val="Hyperlink"/>
            <w:b/>
            <w:noProof/>
            <w:lang w:val="en-GB"/>
          </w:rPr>
          <w:t>2.5.</w:t>
        </w:r>
        <w:r>
          <w:rPr>
            <w:noProof/>
            <w:sz w:val="24"/>
          </w:rPr>
          <w:tab/>
        </w:r>
        <w:r>
          <w:rPr>
            <w:rStyle w:val="Hyperlink"/>
            <w:b/>
            <w:noProof/>
            <w:lang w:val="en-GB"/>
          </w:rPr>
          <w:t>Stakeholder mapping and analysis</w:t>
        </w:r>
        <w:r>
          <w:rPr>
            <w:noProof/>
            <w:webHidden/>
          </w:rPr>
          <w:tab/>
        </w:r>
        <w:r>
          <w:rPr>
            <w:noProof/>
            <w:webHidden/>
          </w:rPr>
          <w:fldChar w:fldCharType="begin"/>
        </w:r>
        <w:r>
          <w:rPr>
            <w:noProof/>
            <w:webHidden/>
          </w:rPr>
          <w:instrText xml:space="preserve"> PAGEREF _Toc209432645 \h </w:instrText>
        </w:r>
        <w:r>
          <w:rPr>
            <w:noProof/>
          </w:rPr>
        </w:r>
        <w:r>
          <w:rPr>
            <w:noProof/>
            <w:webHidden/>
          </w:rPr>
          <w:fldChar w:fldCharType="separate"/>
        </w:r>
        <w:r w:rsidR="00B62FD7">
          <w:rPr>
            <w:noProof/>
            <w:webHidden/>
          </w:rPr>
          <w:t>107</w:t>
        </w:r>
        <w:r>
          <w:rPr>
            <w:noProof/>
            <w:webHidden/>
          </w:rPr>
          <w:fldChar w:fldCharType="end"/>
        </w:r>
      </w:hyperlink>
    </w:p>
    <w:p w14:paraId="2F4B62F5" w14:textId="77777777" w:rsidR="00F07F81" w:rsidRDefault="00F07F81">
      <w:pPr>
        <w:pStyle w:val="TOC2"/>
        <w:tabs>
          <w:tab w:val="left" w:pos="960"/>
          <w:tab w:val="right" w:leader="dot" w:pos="9000"/>
          <w:tab w:val="right" w:leader="dot" w:pos="9062"/>
        </w:tabs>
        <w:rPr>
          <w:noProof/>
          <w:sz w:val="24"/>
        </w:rPr>
      </w:pPr>
      <w:hyperlink w:anchor="_Toc209432646" w:history="1">
        <w:r>
          <w:rPr>
            <w:rStyle w:val="Hyperlink"/>
            <w:b/>
            <w:noProof/>
            <w:lang w:val="en-GB"/>
          </w:rPr>
          <w:t>2.6.</w:t>
        </w:r>
        <w:r>
          <w:rPr>
            <w:noProof/>
            <w:sz w:val="24"/>
          </w:rPr>
          <w:tab/>
        </w:r>
        <w:r>
          <w:rPr>
            <w:rStyle w:val="Hyperlink"/>
            <w:b/>
            <w:noProof/>
            <w:lang w:val="en-GB"/>
          </w:rPr>
          <w:t>Baseline analysis and gaps</w:t>
        </w:r>
        <w:r>
          <w:rPr>
            <w:noProof/>
            <w:webHidden/>
          </w:rPr>
          <w:tab/>
        </w:r>
        <w:r>
          <w:rPr>
            <w:noProof/>
            <w:webHidden/>
          </w:rPr>
          <w:fldChar w:fldCharType="begin"/>
        </w:r>
        <w:r>
          <w:rPr>
            <w:noProof/>
            <w:webHidden/>
          </w:rPr>
          <w:instrText xml:space="preserve"> PAGEREF _Toc209432646 \h </w:instrText>
        </w:r>
        <w:r>
          <w:rPr>
            <w:noProof/>
          </w:rPr>
        </w:r>
        <w:r>
          <w:rPr>
            <w:noProof/>
            <w:webHidden/>
          </w:rPr>
          <w:fldChar w:fldCharType="separate"/>
        </w:r>
        <w:r w:rsidR="00B62FD7">
          <w:rPr>
            <w:noProof/>
            <w:webHidden/>
          </w:rPr>
          <w:t>112</w:t>
        </w:r>
        <w:r>
          <w:rPr>
            <w:noProof/>
            <w:webHidden/>
          </w:rPr>
          <w:fldChar w:fldCharType="end"/>
        </w:r>
      </w:hyperlink>
    </w:p>
    <w:p w14:paraId="7A201303" w14:textId="77777777" w:rsidR="00F07F81" w:rsidRDefault="00F07F81">
      <w:pPr>
        <w:pStyle w:val="TOC2"/>
        <w:tabs>
          <w:tab w:val="left" w:pos="960"/>
          <w:tab w:val="right" w:leader="dot" w:pos="9000"/>
          <w:tab w:val="right" w:leader="dot" w:pos="9062"/>
        </w:tabs>
        <w:rPr>
          <w:noProof/>
          <w:sz w:val="24"/>
        </w:rPr>
      </w:pPr>
      <w:hyperlink w:anchor="_Toc209432647" w:history="1">
        <w:r>
          <w:rPr>
            <w:rStyle w:val="Hyperlink"/>
            <w:b/>
            <w:noProof/>
            <w:lang w:val="en-GB"/>
          </w:rPr>
          <w:t>2.7.</w:t>
        </w:r>
        <w:r>
          <w:rPr>
            <w:noProof/>
            <w:sz w:val="24"/>
          </w:rPr>
          <w:tab/>
        </w:r>
        <w:r>
          <w:rPr>
            <w:rStyle w:val="Hyperlink"/>
            <w:b/>
            <w:noProof/>
            <w:lang w:val="en-GB"/>
          </w:rPr>
          <w:t>Linkages with other GEF and non-GEF interventions</w:t>
        </w:r>
        <w:r>
          <w:rPr>
            <w:noProof/>
            <w:webHidden/>
          </w:rPr>
          <w:tab/>
        </w:r>
        <w:r>
          <w:rPr>
            <w:noProof/>
            <w:webHidden/>
          </w:rPr>
          <w:fldChar w:fldCharType="begin"/>
        </w:r>
        <w:r>
          <w:rPr>
            <w:noProof/>
            <w:webHidden/>
          </w:rPr>
          <w:instrText xml:space="preserve"> PAGEREF _Toc209432647 \h </w:instrText>
        </w:r>
        <w:r>
          <w:rPr>
            <w:noProof/>
          </w:rPr>
        </w:r>
        <w:r>
          <w:rPr>
            <w:noProof/>
            <w:webHidden/>
          </w:rPr>
          <w:fldChar w:fldCharType="separate"/>
        </w:r>
        <w:r w:rsidR="00B62FD7">
          <w:rPr>
            <w:noProof/>
            <w:webHidden/>
          </w:rPr>
          <w:t>119</w:t>
        </w:r>
        <w:r>
          <w:rPr>
            <w:noProof/>
            <w:webHidden/>
          </w:rPr>
          <w:fldChar w:fldCharType="end"/>
        </w:r>
      </w:hyperlink>
    </w:p>
    <w:p w14:paraId="3B865B44" w14:textId="77777777" w:rsidR="00F07F81" w:rsidRDefault="00F07F81">
      <w:pPr>
        <w:pStyle w:val="TOC1"/>
        <w:rPr>
          <w:noProof/>
          <w:sz w:val="24"/>
        </w:rPr>
      </w:pPr>
      <w:hyperlink w:anchor="_Toc209432648" w:history="1">
        <w:r>
          <w:rPr>
            <w:rStyle w:val="Hyperlink"/>
            <w:b/>
            <w:smallCaps/>
            <w:noProof/>
            <w:lang w:val="en-GB"/>
          </w:rPr>
          <w:t>Section 3: Intervention strategy (Alternative)</w:t>
        </w:r>
        <w:r>
          <w:rPr>
            <w:noProof/>
            <w:webHidden/>
          </w:rPr>
          <w:tab/>
        </w:r>
        <w:r>
          <w:rPr>
            <w:noProof/>
            <w:webHidden/>
          </w:rPr>
          <w:fldChar w:fldCharType="begin"/>
        </w:r>
        <w:r>
          <w:rPr>
            <w:noProof/>
            <w:webHidden/>
          </w:rPr>
          <w:instrText xml:space="preserve"> PAGEREF _Toc209432648 \h </w:instrText>
        </w:r>
        <w:r>
          <w:rPr>
            <w:noProof/>
          </w:rPr>
        </w:r>
        <w:r>
          <w:rPr>
            <w:noProof/>
            <w:webHidden/>
          </w:rPr>
          <w:fldChar w:fldCharType="separate"/>
        </w:r>
        <w:r w:rsidR="00B62FD7">
          <w:rPr>
            <w:noProof/>
            <w:webHidden/>
          </w:rPr>
          <w:t>122</w:t>
        </w:r>
        <w:r>
          <w:rPr>
            <w:noProof/>
            <w:webHidden/>
          </w:rPr>
          <w:fldChar w:fldCharType="end"/>
        </w:r>
      </w:hyperlink>
    </w:p>
    <w:p w14:paraId="2C681F3D" w14:textId="77777777" w:rsidR="00F07F81" w:rsidRDefault="00F07F81">
      <w:pPr>
        <w:pStyle w:val="TOC2"/>
        <w:tabs>
          <w:tab w:val="left" w:pos="960"/>
          <w:tab w:val="right" w:leader="dot" w:pos="9000"/>
          <w:tab w:val="right" w:leader="dot" w:pos="9062"/>
        </w:tabs>
        <w:rPr>
          <w:noProof/>
          <w:sz w:val="24"/>
        </w:rPr>
      </w:pPr>
      <w:hyperlink w:anchor="_Toc209432649" w:history="1">
        <w:r>
          <w:rPr>
            <w:rStyle w:val="Hyperlink"/>
            <w:b/>
            <w:noProof/>
            <w:lang w:val="en-GB"/>
          </w:rPr>
          <w:t>3.1.</w:t>
        </w:r>
        <w:r>
          <w:rPr>
            <w:noProof/>
            <w:sz w:val="24"/>
          </w:rPr>
          <w:tab/>
        </w:r>
        <w:r>
          <w:rPr>
            <w:rStyle w:val="Hyperlink"/>
            <w:b/>
            <w:noProof/>
            <w:lang w:val="en-GB"/>
          </w:rPr>
          <w:t>Project rationale, policy conformity and expected global environmental benefits</w:t>
        </w:r>
        <w:r>
          <w:rPr>
            <w:noProof/>
            <w:webHidden/>
          </w:rPr>
          <w:tab/>
        </w:r>
        <w:r>
          <w:rPr>
            <w:noProof/>
            <w:webHidden/>
          </w:rPr>
          <w:fldChar w:fldCharType="begin"/>
        </w:r>
        <w:r>
          <w:rPr>
            <w:noProof/>
            <w:webHidden/>
          </w:rPr>
          <w:instrText xml:space="preserve"> PAGEREF _Toc209432649 \h </w:instrText>
        </w:r>
        <w:r>
          <w:rPr>
            <w:noProof/>
          </w:rPr>
        </w:r>
        <w:r>
          <w:rPr>
            <w:noProof/>
            <w:webHidden/>
          </w:rPr>
          <w:fldChar w:fldCharType="separate"/>
        </w:r>
        <w:r w:rsidR="00B62FD7">
          <w:rPr>
            <w:noProof/>
            <w:webHidden/>
          </w:rPr>
          <w:t>122</w:t>
        </w:r>
        <w:r>
          <w:rPr>
            <w:noProof/>
            <w:webHidden/>
          </w:rPr>
          <w:fldChar w:fldCharType="end"/>
        </w:r>
      </w:hyperlink>
    </w:p>
    <w:p w14:paraId="31833157" w14:textId="77777777" w:rsidR="00F07F81" w:rsidRDefault="00F07F81">
      <w:pPr>
        <w:pStyle w:val="TOC2"/>
        <w:tabs>
          <w:tab w:val="left" w:pos="960"/>
          <w:tab w:val="right" w:leader="dot" w:pos="9000"/>
          <w:tab w:val="right" w:leader="dot" w:pos="9062"/>
        </w:tabs>
        <w:rPr>
          <w:noProof/>
          <w:sz w:val="24"/>
        </w:rPr>
      </w:pPr>
      <w:hyperlink w:anchor="_Toc209432650" w:history="1">
        <w:r>
          <w:rPr>
            <w:rStyle w:val="Hyperlink"/>
            <w:b/>
            <w:noProof/>
            <w:lang w:val="en-GB"/>
          </w:rPr>
          <w:t>3.2.</w:t>
        </w:r>
        <w:r>
          <w:rPr>
            <w:noProof/>
            <w:sz w:val="24"/>
          </w:rPr>
          <w:tab/>
        </w:r>
        <w:r>
          <w:rPr>
            <w:rStyle w:val="Hyperlink"/>
            <w:b/>
            <w:noProof/>
            <w:lang w:val="en-GB"/>
          </w:rPr>
          <w:t>Project goal and objective</w:t>
        </w:r>
        <w:r>
          <w:rPr>
            <w:noProof/>
            <w:webHidden/>
          </w:rPr>
          <w:tab/>
        </w:r>
        <w:r>
          <w:rPr>
            <w:noProof/>
            <w:webHidden/>
          </w:rPr>
          <w:fldChar w:fldCharType="begin"/>
        </w:r>
        <w:r>
          <w:rPr>
            <w:noProof/>
            <w:webHidden/>
          </w:rPr>
          <w:instrText xml:space="preserve"> PAGEREF _Toc209432650 \h </w:instrText>
        </w:r>
        <w:r>
          <w:rPr>
            <w:noProof/>
          </w:rPr>
        </w:r>
        <w:r>
          <w:rPr>
            <w:noProof/>
            <w:webHidden/>
          </w:rPr>
          <w:fldChar w:fldCharType="separate"/>
        </w:r>
        <w:r w:rsidR="00B62FD7">
          <w:rPr>
            <w:noProof/>
            <w:webHidden/>
          </w:rPr>
          <w:t>123</w:t>
        </w:r>
        <w:r>
          <w:rPr>
            <w:noProof/>
            <w:webHidden/>
          </w:rPr>
          <w:fldChar w:fldCharType="end"/>
        </w:r>
      </w:hyperlink>
    </w:p>
    <w:p w14:paraId="1108A9B4" w14:textId="77777777" w:rsidR="00F07F81" w:rsidRDefault="00F07F81">
      <w:pPr>
        <w:pStyle w:val="TOC2"/>
        <w:tabs>
          <w:tab w:val="left" w:pos="960"/>
          <w:tab w:val="right" w:leader="dot" w:pos="9000"/>
          <w:tab w:val="right" w:leader="dot" w:pos="9062"/>
        </w:tabs>
        <w:rPr>
          <w:noProof/>
          <w:sz w:val="24"/>
        </w:rPr>
      </w:pPr>
      <w:hyperlink w:anchor="_Toc209432651" w:history="1">
        <w:r>
          <w:rPr>
            <w:rStyle w:val="Hyperlink"/>
            <w:b/>
            <w:noProof/>
            <w:lang w:val="en-GB"/>
          </w:rPr>
          <w:t>3.3.</w:t>
        </w:r>
        <w:r>
          <w:rPr>
            <w:noProof/>
            <w:sz w:val="24"/>
          </w:rPr>
          <w:tab/>
        </w:r>
        <w:r>
          <w:rPr>
            <w:rStyle w:val="Hyperlink"/>
            <w:b/>
            <w:noProof/>
            <w:lang w:val="en-GB"/>
          </w:rPr>
          <w:t>Project components and expected results</w:t>
        </w:r>
        <w:r>
          <w:rPr>
            <w:noProof/>
            <w:webHidden/>
          </w:rPr>
          <w:tab/>
        </w:r>
        <w:r>
          <w:rPr>
            <w:noProof/>
            <w:webHidden/>
          </w:rPr>
          <w:fldChar w:fldCharType="begin"/>
        </w:r>
        <w:r>
          <w:rPr>
            <w:noProof/>
            <w:webHidden/>
          </w:rPr>
          <w:instrText xml:space="preserve"> PAGEREF _Toc209432651 \h </w:instrText>
        </w:r>
        <w:r>
          <w:rPr>
            <w:noProof/>
          </w:rPr>
        </w:r>
        <w:r>
          <w:rPr>
            <w:noProof/>
            <w:webHidden/>
          </w:rPr>
          <w:fldChar w:fldCharType="separate"/>
        </w:r>
        <w:r w:rsidR="00B62FD7">
          <w:rPr>
            <w:noProof/>
            <w:webHidden/>
          </w:rPr>
          <w:t>128</w:t>
        </w:r>
        <w:r>
          <w:rPr>
            <w:noProof/>
            <w:webHidden/>
          </w:rPr>
          <w:fldChar w:fldCharType="end"/>
        </w:r>
      </w:hyperlink>
    </w:p>
    <w:p w14:paraId="146322BA" w14:textId="77777777" w:rsidR="00F07F81" w:rsidRDefault="00F07F81">
      <w:pPr>
        <w:pStyle w:val="TOC2"/>
        <w:tabs>
          <w:tab w:val="left" w:pos="960"/>
          <w:tab w:val="right" w:leader="dot" w:pos="9000"/>
          <w:tab w:val="right" w:leader="dot" w:pos="9062"/>
        </w:tabs>
        <w:rPr>
          <w:noProof/>
          <w:sz w:val="24"/>
        </w:rPr>
      </w:pPr>
      <w:hyperlink w:anchor="_Toc209432652" w:history="1">
        <w:r>
          <w:rPr>
            <w:rStyle w:val="Hyperlink"/>
            <w:b/>
            <w:noProof/>
            <w:lang w:val="en-GB"/>
          </w:rPr>
          <w:t>3.4.</w:t>
        </w:r>
        <w:r>
          <w:rPr>
            <w:noProof/>
            <w:sz w:val="24"/>
          </w:rPr>
          <w:tab/>
        </w:r>
        <w:r>
          <w:rPr>
            <w:rStyle w:val="Hyperlink"/>
            <w:b/>
            <w:noProof/>
            <w:lang w:val="en-GB"/>
          </w:rPr>
          <w:t>Intervention logic and key assumptions</w:t>
        </w:r>
        <w:r>
          <w:rPr>
            <w:noProof/>
            <w:webHidden/>
          </w:rPr>
          <w:tab/>
        </w:r>
        <w:r>
          <w:rPr>
            <w:noProof/>
            <w:webHidden/>
          </w:rPr>
          <w:fldChar w:fldCharType="begin"/>
        </w:r>
        <w:r>
          <w:rPr>
            <w:noProof/>
            <w:webHidden/>
          </w:rPr>
          <w:instrText xml:space="preserve"> PAGEREF _Toc209432652 \h </w:instrText>
        </w:r>
        <w:r>
          <w:rPr>
            <w:noProof/>
          </w:rPr>
        </w:r>
        <w:r>
          <w:rPr>
            <w:noProof/>
            <w:webHidden/>
          </w:rPr>
          <w:fldChar w:fldCharType="separate"/>
        </w:r>
        <w:r w:rsidR="00B62FD7">
          <w:rPr>
            <w:noProof/>
            <w:webHidden/>
          </w:rPr>
          <w:t>163</w:t>
        </w:r>
        <w:r>
          <w:rPr>
            <w:noProof/>
            <w:webHidden/>
          </w:rPr>
          <w:fldChar w:fldCharType="end"/>
        </w:r>
      </w:hyperlink>
    </w:p>
    <w:p w14:paraId="3A380639" w14:textId="77777777" w:rsidR="00F07F81" w:rsidRDefault="00F07F81">
      <w:pPr>
        <w:pStyle w:val="TOC2"/>
        <w:tabs>
          <w:tab w:val="left" w:pos="960"/>
          <w:tab w:val="right" w:leader="dot" w:pos="9000"/>
          <w:tab w:val="right" w:leader="dot" w:pos="9062"/>
        </w:tabs>
        <w:rPr>
          <w:noProof/>
          <w:sz w:val="24"/>
        </w:rPr>
      </w:pPr>
      <w:hyperlink w:anchor="_Toc209432653" w:history="1">
        <w:r>
          <w:rPr>
            <w:rStyle w:val="Hyperlink"/>
            <w:b/>
            <w:noProof/>
            <w:lang w:val="en-GB"/>
          </w:rPr>
          <w:t>3.5.</w:t>
        </w:r>
        <w:r>
          <w:rPr>
            <w:noProof/>
            <w:sz w:val="24"/>
          </w:rPr>
          <w:tab/>
        </w:r>
        <w:r>
          <w:rPr>
            <w:rStyle w:val="Hyperlink"/>
            <w:b/>
            <w:noProof/>
            <w:lang w:val="en-GB"/>
          </w:rPr>
          <w:t>Risk analysis and risk management measures</w:t>
        </w:r>
        <w:r>
          <w:rPr>
            <w:noProof/>
            <w:webHidden/>
          </w:rPr>
          <w:tab/>
        </w:r>
        <w:r>
          <w:rPr>
            <w:noProof/>
            <w:webHidden/>
          </w:rPr>
          <w:fldChar w:fldCharType="begin"/>
        </w:r>
        <w:r>
          <w:rPr>
            <w:noProof/>
            <w:webHidden/>
          </w:rPr>
          <w:instrText xml:space="preserve"> PAGEREF _Toc209432653 \h </w:instrText>
        </w:r>
        <w:r>
          <w:rPr>
            <w:noProof/>
          </w:rPr>
        </w:r>
        <w:r>
          <w:rPr>
            <w:noProof/>
            <w:webHidden/>
          </w:rPr>
          <w:fldChar w:fldCharType="separate"/>
        </w:r>
        <w:r w:rsidR="00B62FD7">
          <w:rPr>
            <w:noProof/>
            <w:webHidden/>
          </w:rPr>
          <w:t>164</w:t>
        </w:r>
        <w:r>
          <w:rPr>
            <w:noProof/>
            <w:webHidden/>
          </w:rPr>
          <w:fldChar w:fldCharType="end"/>
        </w:r>
      </w:hyperlink>
    </w:p>
    <w:p w14:paraId="12538B95" w14:textId="77777777" w:rsidR="00F07F81" w:rsidRDefault="00F07F81">
      <w:pPr>
        <w:pStyle w:val="TOC2"/>
        <w:tabs>
          <w:tab w:val="left" w:pos="960"/>
          <w:tab w:val="right" w:leader="dot" w:pos="9000"/>
          <w:tab w:val="right" w:leader="dot" w:pos="9062"/>
        </w:tabs>
        <w:rPr>
          <w:noProof/>
          <w:sz w:val="24"/>
        </w:rPr>
      </w:pPr>
      <w:hyperlink w:anchor="_Toc209432654" w:history="1">
        <w:r>
          <w:rPr>
            <w:rStyle w:val="Hyperlink"/>
            <w:b/>
            <w:noProof/>
            <w:lang w:val="en-GB"/>
          </w:rPr>
          <w:t>3.6.</w:t>
        </w:r>
        <w:r>
          <w:rPr>
            <w:noProof/>
            <w:sz w:val="24"/>
          </w:rPr>
          <w:tab/>
        </w:r>
        <w:r>
          <w:rPr>
            <w:rStyle w:val="Hyperlink"/>
            <w:b/>
            <w:noProof/>
            <w:lang w:val="en-GB"/>
          </w:rPr>
          <w:t>Consistency with national priorities or plans</w:t>
        </w:r>
        <w:r>
          <w:rPr>
            <w:noProof/>
            <w:webHidden/>
          </w:rPr>
          <w:tab/>
        </w:r>
        <w:r>
          <w:rPr>
            <w:noProof/>
            <w:webHidden/>
          </w:rPr>
          <w:fldChar w:fldCharType="begin"/>
        </w:r>
        <w:r>
          <w:rPr>
            <w:noProof/>
            <w:webHidden/>
          </w:rPr>
          <w:instrText xml:space="preserve"> PAGEREF _Toc209432654 \h </w:instrText>
        </w:r>
        <w:r>
          <w:rPr>
            <w:noProof/>
          </w:rPr>
        </w:r>
        <w:r>
          <w:rPr>
            <w:noProof/>
            <w:webHidden/>
          </w:rPr>
          <w:fldChar w:fldCharType="separate"/>
        </w:r>
        <w:r w:rsidR="00B62FD7">
          <w:rPr>
            <w:noProof/>
            <w:webHidden/>
          </w:rPr>
          <w:t>175</w:t>
        </w:r>
        <w:r>
          <w:rPr>
            <w:noProof/>
            <w:webHidden/>
          </w:rPr>
          <w:fldChar w:fldCharType="end"/>
        </w:r>
      </w:hyperlink>
    </w:p>
    <w:p w14:paraId="2A1E828F" w14:textId="77777777" w:rsidR="00F07F81" w:rsidRDefault="00F07F81">
      <w:pPr>
        <w:pStyle w:val="TOC2"/>
        <w:tabs>
          <w:tab w:val="left" w:pos="960"/>
          <w:tab w:val="right" w:leader="dot" w:pos="9000"/>
          <w:tab w:val="right" w:leader="dot" w:pos="9062"/>
        </w:tabs>
        <w:rPr>
          <w:noProof/>
          <w:sz w:val="24"/>
        </w:rPr>
      </w:pPr>
      <w:hyperlink w:anchor="_Toc209432656" w:history="1">
        <w:r>
          <w:rPr>
            <w:rStyle w:val="Hyperlink"/>
            <w:b/>
            <w:noProof/>
            <w:lang w:val="en-GB"/>
          </w:rPr>
          <w:t>3.7.</w:t>
        </w:r>
        <w:r>
          <w:rPr>
            <w:noProof/>
            <w:sz w:val="24"/>
          </w:rPr>
          <w:tab/>
        </w:r>
        <w:r>
          <w:rPr>
            <w:rStyle w:val="Hyperlink"/>
            <w:b/>
            <w:noProof/>
            <w:lang w:val="en-GB"/>
          </w:rPr>
          <w:t>Incremental cost reasoning</w:t>
        </w:r>
        <w:r>
          <w:rPr>
            <w:noProof/>
            <w:webHidden/>
          </w:rPr>
          <w:tab/>
        </w:r>
        <w:r>
          <w:rPr>
            <w:noProof/>
            <w:webHidden/>
          </w:rPr>
          <w:fldChar w:fldCharType="begin"/>
        </w:r>
        <w:r>
          <w:rPr>
            <w:noProof/>
            <w:webHidden/>
          </w:rPr>
          <w:instrText xml:space="preserve"> PAGEREF _Toc209432656 \h </w:instrText>
        </w:r>
        <w:r>
          <w:rPr>
            <w:noProof/>
          </w:rPr>
        </w:r>
        <w:r>
          <w:rPr>
            <w:noProof/>
            <w:webHidden/>
          </w:rPr>
          <w:fldChar w:fldCharType="separate"/>
        </w:r>
        <w:r w:rsidR="00B62FD7">
          <w:rPr>
            <w:noProof/>
            <w:webHidden/>
          </w:rPr>
          <w:t>175</w:t>
        </w:r>
        <w:r>
          <w:rPr>
            <w:noProof/>
            <w:webHidden/>
          </w:rPr>
          <w:fldChar w:fldCharType="end"/>
        </w:r>
      </w:hyperlink>
    </w:p>
    <w:p w14:paraId="6F8380F6" w14:textId="77777777" w:rsidR="00F07F81" w:rsidRDefault="00F07F81">
      <w:pPr>
        <w:pStyle w:val="TOC2"/>
        <w:tabs>
          <w:tab w:val="left" w:pos="960"/>
          <w:tab w:val="right" w:leader="dot" w:pos="9000"/>
          <w:tab w:val="right" w:leader="dot" w:pos="9062"/>
        </w:tabs>
        <w:rPr>
          <w:noProof/>
          <w:sz w:val="24"/>
        </w:rPr>
      </w:pPr>
      <w:hyperlink w:anchor="_Toc209432657" w:history="1">
        <w:r>
          <w:rPr>
            <w:rStyle w:val="Hyperlink"/>
            <w:b/>
            <w:noProof/>
            <w:lang w:val="en-GB"/>
          </w:rPr>
          <w:t>3.8.</w:t>
        </w:r>
        <w:r>
          <w:rPr>
            <w:noProof/>
            <w:sz w:val="24"/>
          </w:rPr>
          <w:tab/>
        </w:r>
        <w:r>
          <w:rPr>
            <w:rStyle w:val="Hyperlink"/>
            <w:b/>
            <w:noProof/>
            <w:lang w:val="en-GB"/>
          </w:rPr>
          <w:t>Sustainability</w:t>
        </w:r>
        <w:r>
          <w:rPr>
            <w:noProof/>
            <w:webHidden/>
          </w:rPr>
          <w:tab/>
        </w:r>
        <w:r>
          <w:rPr>
            <w:noProof/>
            <w:webHidden/>
          </w:rPr>
          <w:fldChar w:fldCharType="begin"/>
        </w:r>
        <w:r>
          <w:rPr>
            <w:noProof/>
            <w:webHidden/>
          </w:rPr>
          <w:instrText xml:space="preserve"> PAGEREF _Toc209432657 \h </w:instrText>
        </w:r>
        <w:r>
          <w:rPr>
            <w:noProof/>
          </w:rPr>
        </w:r>
        <w:r>
          <w:rPr>
            <w:noProof/>
            <w:webHidden/>
          </w:rPr>
          <w:fldChar w:fldCharType="separate"/>
        </w:r>
        <w:r w:rsidR="00B62FD7">
          <w:rPr>
            <w:noProof/>
            <w:webHidden/>
          </w:rPr>
          <w:t>177</w:t>
        </w:r>
        <w:r>
          <w:rPr>
            <w:noProof/>
            <w:webHidden/>
          </w:rPr>
          <w:fldChar w:fldCharType="end"/>
        </w:r>
      </w:hyperlink>
    </w:p>
    <w:p w14:paraId="22F7557B" w14:textId="77777777" w:rsidR="00F07F81" w:rsidRDefault="00F07F81">
      <w:pPr>
        <w:pStyle w:val="TOC2"/>
        <w:tabs>
          <w:tab w:val="left" w:pos="960"/>
          <w:tab w:val="right" w:leader="dot" w:pos="9000"/>
          <w:tab w:val="right" w:leader="dot" w:pos="9062"/>
        </w:tabs>
        <w:rPr>
          <w:noProof/>
          <w:sz w:val="24"/>
        </w:rPr>
      </w:pPr>
      <w:hyperlink w:anchor="_Toc209432658" w:history="1">
        <w:r>
          <w:rPr>
            <w:rStyle w:val="Hyperlink"/>
            <w:b/>
            <w:noProof/>
            <w:lang w:val="en-GB"/>
          </w:rPr>
          <w:t>3.9.</w:t>
        </w:r>
        <w:r>
          <w:rPr>
            <w:noProof/>
            <w:sz w:val="24"/>
          </w:rPr>
          <w:tab/>
        </w:r>
        <w:r>
          <w:rPr>
            <w:rStyle w:val="Hyperlink"/>
            <w:b/>
            <w:noProof/>
            <w:lang w:val="en-GB"/>
          </w:rPr>
          <w:t>Replication</w:t>
        </w:r>
        <w:r>
          <w:rPr>
            <w:noProof/>
            <w:webHidden/>
          </w:rPr>
          <w:tab/>
        </w:r>
        <w:r>
          <w:rPr>
            <w:noProof/>
            <w:webHidden/>
          </w:rPr>
          <w:fldChar w:fldCharType="begin"/>
        </w:r>
        <w:r>
          <w:rPr>
            <w:noProof/>
            <w:webHidden/>
          </w:rPr>
          <w:instrText xml:space="preserve"> PAGEREF _Toc209432658 \h </w:instrText>
        </w:r>
        <w:r>
          <w:rPr>
            <w:noProof/>
          </w:rPr>
        </w:r>
        <w:r>
          <w:rPr>
            <w:noProof/>
            <w:webHidden/>
          </w:rPr>
          <w:fldChar w:fldCharType="separate"/>
        </w:r>
        <w:r w:rsidR="00B62FD7">
          <w:rPr>
            <w:noProof/>
            <w:webHidden/>
          </w:rPr>
          <w:t>179</w:t>
        </w:r>
        <w:r>
          <w:rPr>
            <w:noProof/>
            <w:webHidden/>
          </w:rPr>
          <w:fldChar w:fldCharType="end"/>
        </w:r>
      </w:hyperlink>
    </w:p>
    <w:p w14:paraId="059709C2" w14:textId="77777777" w:rsidR="00F07F81" w:rsidRDefault="00F07F81">
      <w:pPr>
        <w:pStyle w:val="TOC2"/>
        <w:tabs>
          <w:tab w:val="left" w:pos="960"/>
          <w:tab w:val="right" w:leader="dot" w:pos="9000"/>
          <w:tab w:val="right" w:leader="dot" w:pos="9062"/>
        </w:tabs>
        <w:rPr>
          <w:noProof/>
          <w:sz w:val="24"/>
        </w:rPr>
      </w:pPr>
      <w:hyperlink w:anchor="_Toc209432659" w:history="1">
        <w:r>
          <w:rPr>
            <w:rStyle w:val="Hyperlink"/>
            <w:b/>
            <w:noProof/>
            <w:lang w:val="en-GB"/>
          </w:rPr>
          <w:t>3.10.</w:t>
        </w:r>
        <w:r>
          <w:rPr>
            <w:noProof/>
            <w:sz w:val="24"/>
          </w:rPr>
          <w:tab/>
        </w:r>
        <w:r>
          <w:rPr>
            <w:rStyle w:val="Hyperlink"/>
            <w:b/>
            <w:noProof/>
            <w:lang w:val="en-GB"/>
          </w:rPr>
          <w:t>Public awareness, communications and mainstreaming strategy</w:t>
        </w:r>
        <w:r>
          <w:rPr>
            <w:noProof/>
            <w:webHidden/>
          </w:rPr>
          <w:tab/>
        </w:r>
        <w:r>
          <w:rPr>
            <w:noProof/>
            <w:webHidden/>
          </w:rPr>
          <w:fldChar w:fldCharType="begin"/>
        </w:r>
        <w:r>
          <w:rPr>
            <w:noProof/>
            <w:webHidden/>
          </w:rPr>
          <w:instrText xml:space="preserve"> PAGEREF _Toc209432659 \h </w:instrText>
        </w:r>
        <w:r>
          <w:rPr>
            <w:noProof/>
          </w:rPr>
        </w:r>
        <w:r>
          <w:rPr>
            <w:noProof/>
            <w:webHidden/>
          </w:rPr>
          <w:fldChar w:fldCharType="separate"/>
        </w:r>
        <w:r w:rsidR="00B62FD7">
          <w:rPr>
            <w:noProof/>
            <w:webHidden/>
          </w:rPr>
          <w:t>182</w:t>
        </w:r>
        <w:r>
          <w:rPr>
            <w:noProof/>
            <w:webHidden/>
          </w:rPr>
          <w:fldChar w:fldCharType="end"/>
        </w:r>
      </w:hyperlink>
    </w:p>
    <w:p w14:paraId="0E5E0230" w14:textId="77777777" w:rsidR="00F07F81" w:rsidRDefault="00F07F81">
      <w:pPr>
        <w:pStyle w:val="TOC2"/>
        <w:tabs>
          <w:tab w:val="left" w:pos="960"/>
          <w:tab w:val="right" w:leader="dot" w:pos="9000"/>
          <w:tab w:val="right" w:leader="dot" w:pos="9062"/>
        </w:tabs>
        <w:rPr>
          <w:noProof/>
          <w:sz w:val="24"/>
        </w:rPr>
      </w:pPr>
      <w:hyperlink w:anchor="_Toc209432660" w:history="1">
        <w:r>
          <w:rPr>
            <w:rStyle w:val="Hyperlink"/>
            <w:b/>
            <w:noProof/>
            <w:lang w:val="en-GB"/>
          </w:rPr>
          <w:t>3.11.</w:t>
        </w:r>
        <w:r>
          <w:rPr>
            <w:noProof/>
            <w:sz w:val="24"/>
          </w:rPr>
          <w:tab/>
        </w:r>
        <w:r>
          <w:rPr>
            <w:rStyle w:val="Hyperlink"/>
            <w:b/>
            <w:noProof/>
            <w:lang w:val="en-GB"/>
          </w:rPr>
          <w:t>Environmental and social safeguards</w:t>
        </w:r>
        <w:r>
          <w:rPr>
            <w:noProof/>
            <w:webHidden/>
          </w:rPr>
          <w:tab/>
        </w:r>
        <w:r>
          <w:rPr>
            <w:noProof/>
            <w:webHidden/>
          </w:rPr>
          <w:fldChar w:fldCharType="begin"/>
        </w:r>
        <w:r>
          <w:rPr>
            <w:noProof/>
            <w:webHidden/>
          </w:rPr>
          <w:instrText xml:space="preserve"> PAGEREF _Toc209432660 \h </w:instrText>
        </w:r>
        <w:r>
          <w:rPr>
            <w:noProof/>
          </w:rPr>
        </w:r>
        <w:r>
          <w:rPr>
            <w:noProof/>
            <w:webHidden/>
          </w:rPr>
          <w:fldChar w:fldCharType="separate"/>
        </w:r>
        <w:r w:rsidR="00B62FD7">
          <w:rPr>
            <w:noProof/>
            <w:webHidden/>
          </w:rPr>
          <w:t>183</w:t>
        </w:r>
        <w:r>
          <w:rPr>
            <w:noProof/>
            <w:webHidden/>
          </w:rPr>
          <w:fldChar w:fldCharType="end"/>
        </w:r>
      </w:hyperlink>
    </w:p>
    <w:p w14:paraId="4786B372" w14:textId="77777777" w:rsidR="00F07F81" w:rsidRDefault="00F07F81">
      <w:pPr>
        <w:pStyle w:val="TOC1"/>
        <w:rPr>
          <w:noProof/>
          <w:sz w:val="24"/>
        </w:rPr>
      </w:pPr>
      <w:hyperlink w:anchor="_Toc209432661" w:history="1">
        <w:r>
          <w:rPr>
            <w:rStyle w:val="Hyperlink"/>
            <w:b/>
            <w:smallCaps/>
            <w:noProof/>
            <w:lang w:val="en-GB"/>
          </w:rPr>
          <w:t>Section 4: Institutiona</w:t>
        </w:r>
        <w:r>
          <w:rPr>
            <w:rStyle w:val="Hyperlink"/>
            <w:b/>
            <w:smallCaps/>
            <w:noProof/>
            <w:lang w:val="en-GB"/>
          </w:rPr>
          <w:t>l</w:t>
        </w:r>
        <w:r>
          <w:rPr>
            <w:rStyle w:val="Hyperlink"/>
            <w:b/>
            <w:smallCaps/>
            <w:noProof/>
            <w:lang w:val="en-GB"/>
          </w:rPr>
          <w:t xml:space="preserve"> Framework a</w:t>
        </w:r>
        <w:r>
          <w:rPr>
            <w:rStyle w:val="Hyperlink"/>
            <w:b/>
            <w:smallCaps/>
            <w:noProof/>
            <w:lang w:val="en-GB"/>
          </w:rPr>
          <w:t>n</w:t>
        </w:r>
        <w:r>
          <w:rPr>
            <w:rStyle w:val="Hyperlink"/>
            <w:b/>
            <w:smallCaps/>
            <w:noProof/>
            <w:lang w:val="en-GB"/>
          </w:rPr>
          <w:t>d Implementation Arrangements</w:t>
        </w:r>
        <w:r>
          <w:rPr>
            <w:noProof/>
            <w:webHidden/>
          </w:rPr>
          <w:tab/>
        </w:r>
        <w:r>
          <w:rPr>
            <w:noProof/>
            <w:webHidden/>
          </w:rPr>
          <w:fldChar w:fldCharType="begin"/>
        </w:r>
        <w:r>
          <w:rPr>
            <w:noProof/>
            <w:webHidden/>
          </w:rPr>
          <w:instrText xml:space="preserve"> PAGEREF _Toc209432661 \h </w:instrText>
        </w:r>
        <w:r>
          <w:rPr>
            <w:noProof/>
          </w:rPr>
        </w:r>
        <w:r>
          <w:rPr>
            <w:noProof/>
            <w:webHidden/>
          </w:rPr>
          <w:fldChar w:fldCharType="separate"/>
        </w:r>
        <w:r w:rsidR="00B62FD7">
          <w:rPr>
            <w:noProof/>
            <w:webHidden/>
          </w:rPr>
          <w:t>186</w:t>
        </w:r>
        <w:r>
          <w:rPr>
            <w:noProof/>
            <w:webHidden/>
          </w:rPr>
          <w:fldChar w:fldCharType="end"/>
        </w:r>
      </w:hyperlink>
    </w:p>
    <w:p w14:paraId="159EE53F" w14:textId="77777777" w:rsidR="00F07F81" w:rsidRDefault="00F07F81">
      <w:pPr>
        <w:pStyle w:val="TOC1"/>
        <w:rPr>
          <w:noProof/>
          <w:sz w:val="24"/>
        </w:rPr>
      </w:pPr>
      <w:hyperlink w:anchor="_Toc209432662" w:history="1">
        <w:r>
          <w:rPr>
            <w:rStyle w:val="Hyperlink"/>
            <w:b/>
            <w:smallCaps/>
            <w:noProof/>
            <w:lang w:val="en-GB"/>
          </w:rPr>
          <w:t>Section 5: Stakeholder participation</w:t>
        </w:r>
        <w:r>
          <w:rPr>
            <w:noProof/>
            <w:webHidden/>
          </w:rPr>
          <w:tab/>
        </w:r>
        <w:r>
          <w:rPr>
            <w:noProof/>
            <w:webHidden/>
          </w:rPr>
          <w:fldChar w:fldCharType="begin"/>
        </w:r>
        <w:r>
          <w:rPr>
            <w:noProof/>
            <w:webHidden/>
          </w:rPr>
          <w:instrText xml:space="preserve"> PAGEREF _Toc209432662 \h </w:instrText>
        </w:r>
        <w:r>
          <w:rPr>
            <w:noProof/>
          </w:rPr>
        </w:r>
        <w:r>
          <w:rPr>
            <w:noProof/>
            <w:webHidden/>
          </w:rPr>
          <w:fldChar w:fldCharType="separate"/>
        </w:r>
        <w:r w:rsidR="00B62FD7">
          <w:rPr>
            <w:noProof/>
            <w:webHidden/>
          </w:rPr>
          <w:t>191</w:t>
        </w:r>
        <w:r>
          <w:rPr>
            <w:noProof/>
            <w:webHidden/>
          </w:rPr>
          <w:fldChar w:fldCharType="end"/>
        </w:r>
      </w:hyperlink>
    </w:p>
    <w:p w14:paraId="0BCD6AA5" w14:textId="77777777" w:rsidR="00F07F81" w:rsidRDefault="00F07F81">
      <w:pPr>
        <w:pStyle w:val="TOC1"/>
        <w:rPr>
          <w:noProof/>
          <w:sz w:val="24"/>
        </w:rPr>
      </w:pPr>
      <w:hyperlink w:anchor="_Toc209432663" w:history="1">
        <w:r>
          <w:rPr>
            <w:rStyle w:val="Hyperlink"/>
            <w:b/>
            <w:smallCaps/>
            <w:noProof/>
            <w:lang w:val="en-GB"/>
          </w:rPr>
          <w:t>Section 6: Monitoring and evaluation Plan</w:t>
        </w:r>
        <w:r>
          <w:rPr>
            <w:noProof/>
            <w:webHidden/>
          </w:rPr>
          <w:tab/>
        </w:r>
        <w:r>
          <w:rPr>
            <w:noProof/>
            <w:webHidden/>
          </w:rPr>
          <w:fldChar w:fldCharType="begin"/>
        </w:r>
        <w:r>
          <w:rPr>
            <w:noProof/>
            <w:webHidden/>
          </w:rPr>
          <w:instrText xml:space="preserve"> PAGEREF _Toc209432663 \h </w:instrText>
        </w:r>
        <w:r>
          <w:rPr>
            <w:noProof/>
          </w:rPr>
        </w:r>
        <w:r>
          <w:rPr>
            <w:noProof/>
            <w:webHidden/>
          </w:rPr>
          <w:fldChar w:fldCharType="separate"/>
        </w:r>
        <w:r w:rsidR="00B62FD7">
          <w:rPr>
            <w:noProof/>
            <w:webHidden/>
          </w:rPr>
          <w:t>194</w:t>
        </w:r>
        <w:r>
          <w:rPr>
            <w:noProof/>
            <w:webHidden/>
          </w:rPr>
          <w:fldChar w:fldCharType="end"/>
        </w:r>
      </w:hyperlink>
    </w:p>
    <w:p w14:paraId="6280FDBA" w14:textId="77777777" w:rsidR="00F07F81" w:rsidRDefault="00F07F81">
      <w:pPr>
        <w:pStyle w:val="TOC1"/>
        <w:rPr>
          <w:noProof/>
          <w:sz w:val="24"/>
        </w:rPr>
      </w:pPr>
      <w:hyperlink w:anchor="_Toc209432664" w:history="1">
        <w:r>
          <w:rPr>
            <w:rStyle w:val="Hyperlink"/>
            <w:b/>
            <w:smallCaps/>
            <w:noProof/>
            <w:lang w:val="en-GB"/>
          </w:rPr>
          <w:t>Section 7: Project Financing and Budget</w:t>
        </w:r>
        <w:r>
          <w:rPr>
            <w:noProof/>
            <w:webHidden/>
          </w:rPr>
          <w:tab/>
        </w:r>
        <w:r>
          <w:rPr>
            <w:noProof/>
            <w:webHidden/>
          </w:rPr>
          <w:fldChar w:fldCharType="begin"/>
        </w:r>
        <w:r>
          <w:rPr>
            <w:noProof/>
            <w:webHidden/>
          </w:rPr>
          <w:instrText xml:space="preserve"> PAGEREF _Toc209432664 \h </w:instrText>
        </w:r>
        <w:r>
          <w:rPr>
            <w:noProof/>
          </w:rPr>
        </w:r>
        <w:r>
          <w:rPr>
            <w:noProof/>
            <w:webHidden/>
          </w:rPr>
          <w:fldChar w:fldCharType="separate"/>
        </w:r>
        <w:r w:rsidR="00B62FD7">
          <w:rPr>
            <w:noProof/>
            <w:webHidden/>
          </w:rPr>
          <w:t>196</w:t>
        </w:r>
        <w:r>
          <w:rPr>
            <w:noProof/>
            <w:webHidden/>
          </w:rPr>
          <w:fldChar w:fldCharType="end"/>
        </w:r>
      </w:hyperlink>
    </w:p>
    <w:p w14:paraId="0992B4D8" w14:textId="77777777" w:rsidR="00F07F81" w:rsidRDefault="00F07F81">
      <w:pPr>
        <w:pStyle w:val="TOC2"/>
        <w:tabs>
          <w:tab w:val="left" w:pos="960"/>
          <w:tab w:val="right" w:leader="dot" w:pos="9000"/>
          <w:tab w:val="right" w:leader="dot" w:pos="9062"/>
        </w:tabs>
        <w:rPr>
          <w:noProof/>
          <w:sz w:val="24"/>
        </w:rPr>
      </w:pPr>
      <w:hyperlink w:anchor="_Toc209432665" w:history="1">
        <w:r>
          <w:rPr>
            <w:rStyle w:val="Hyperlink"/>
            <w:b/>
            <w:noProof/>
            <w:lang w:val="en-GB"/>
          </w:rPr>
          <w:t>7.1.</w:t>
        </w:r>
        <w:r>
          <w:rPr>
            <w:noProof/>
            <w:sz w:val="24"/>
          </w:rPr>
          <w:tab/>
        </w:r>
        <w:r>
          <w:rPr>
            <w:rStyle w:val="Hyperlink"/>
            <w:b/>
            <w:noProof/>
            <w:lang w:val="en-GB"/>
          </w:rPr>
          <w:t>Overall project budget</w:t>
        </w:r>
        <w:r>
          <w:rPr>
            <w:noProof/>
            <w:webHidden/>
          </w:rPr>
          <w:tab/>
        </w:r>
        <w:r>
          <w:rPr>
            <w:noProof/>
            <w:webHidden/>
          </w:rPr>
          <w:fldChar w:fldCharType="begin"/>
        </w:r>
        <w:r>
          <w:rPr>
            <w:noProof/>
            <w:webHidden/>
          </w:rPr>
          <w:instrText xml:space="preserve"> PAGEREF _Toc209432665 \h </w:instrText>
        </w:r>
        <w:r>
          <w:rPr>
            <w:noProof/>
          </w:rPr>
        </w:r>
        <w:r>
          <w:rPr>
            <w:noProof/>
            <w:webHidden/>
          </w:rPr>
          <w:fldChar w:fldCharType="separate"/>
        </w:r>
        <w:r w:rsidR="00B62FD7">
          <w:rPr>
            <w:noProof/>
            <w:webHidden/>
          </w:rPr>
          <w:t>196</w:t>
        </w:r>
        <w:r>
          <w:rPr>
            <w:noProof/>
            <w:webHidden/>
          </w:rPr>
          <w:fldChar w:fldCharType="end"/>
        </w:r>
      </w:hyperlink>
    </w:p>
    <w:p w14:paraId="5C308800" w14:textId="77777777" w:rsidR="00F07F81" w:rsidRDefault="00F07F81">
      <w:pPr>
        <w:pStyle w:val="TOC2"/>
        <w:tabs>
          <w:tab w:val="left" w:pos="960"/>
          <w:tab w:val="right" w:leader="dot" w:pos="9000"/>
          <w:tab w:val="right" w:leader="dot" w:pos="9062"/>
        </w:tabs>
        <w:rPr>
          <w:noProof/>
          <w:sz w:val="24"/>
        </w:rPr>
      </w:pPr>
      <w:hyperlink w:anchor="_Toc209432667" w:history="1">
        <w:r>
          <w:rPr>
            <w:rStyle w:val="Hyperlink"/>
            <w:b/>
            <w:noProof/>
            <w:lang w:val="en-GB"/>
          </w:rPr>
          <w:t>7.2.</w:t>
        </w:r>
        <w:r>
          <w:rPr>
            <w:noProof/>
            <w:sz w:val="24"/>
          </w:rPr>
          <w:tab/>
        </w:r>
        <w:r>
          <w:rPr>
            <w:rStyle w:val="Hyperlink"/>
            <w:b/>
            <w:noProof/>
            <w:lang w:val="en-GB"/>
          </w:rPr>
          <w:t>Project co-financing</w:t>
        </w:r>
        <w:r>
          <w:rPr>
            <w:noProof/>
            <w:webHidden/>
          </w:rPr>
          <w:tab/>
        </w:r>
        <w:r>
          <w:rPr>
            <w:noProof/>
            <w:webHidden/>
          </w:rPr>
          <w:fldChar w:fldCharType="begin"/>
        </w:r>
        <w:r>
          <w:rPr>
            <w:noProof/>
            <w:webHidden/>
          </w:rPr>
          <w:instrText xml:space="preserve"> PAGEREF _Toc209432667 \h </w:instrText>
        </w:r>
        <w:r>
          <w:rPr>
            <w:noProof/>
          </w:rPr>
        </w:r>
        <w:r>
          <w:rPr>
            <w:noProof/>
            <w:webHidden/>
          </w:rPr>
          <w:fldChar w:fldCharType="separate"/>
        </w:r>
        <w:r w:rsidR="00B62FD7">
          <w:rPr>
            <w:noProof/>
            <w:webHidden/>
          </w:rPr>
          <w:t>196</w:t>
        </w:r>
        <w:r>
          <w:rPr>
            <w:noProof/>
            <w:webHidden/>
          </w:rPr>
          <w:fldChar w:fldCharType="end"/>
        </w:r>
      </w:hyperlink>
    </w:p>
    <w:p w14:paraId="4CDE576B" w14:textId="77777777" w:rsidR="00F07F81" w:rsidRDefault="00F07F81">
      <w:pPr>
        <w:pStyle w:val="TOC2"/>
        <w:tabs>
          <w:tab w:val="left" w:pos="960"/>
          <w:tab w:val="right" w:leader="dot" w:pos="9000"/>
          <w:tab w:val="right" w:leader="dot" w:pos="9062"/>
        </w:tabs>
        <w:rPr>
          <w:noProof/>
          <w:sz w:val="24"/>
        </w:rPr>
      </w:pPr>
      <w:hyperlink w:anchor="_Toc209432669" w:history="1">
        <w:r>
          <w:rPr>
            <w:rStyle w:val="Hyperlink"/>
            <w:b/>
            <w:noProof/>
            <w:lang w:val="en-GB"/>
          </w:rPr>
          <w:t>7.3.</w:t>
        </w:r>
        <w:r>
          <w:rPr>
            <w:noProof/>
            <w:sz w:val="24"/>
          </w:rPr>
          <w:tab/>
        </w:r>
        <w:r>
          <w:rPr>
            <w:rStyle w:val="Hyperlink"/>
            <w:b/>
            <w:noProof/>
            <w:lang w:val="en-GB"/>
          </w:rPr>
          <w:t>Project cost-effectiveness</w:t>
        </w:r>
        <w:r>
          <w:rPr>
            <w:noProof/>
            <w:webHidden/>
          </w:rPr>
          <w:tab/>
        </w:r>
        <w:r>
          <w:rPr>
            <w:noProof/>
            <w:webHidden/>
          </w:rPr>
          <w:fldChar w:fldCharType="begin"/>
        </w:r>
        <w:r>
          <w:rPr>
            <w:noProof/>
            <w:webHidden/>
          </w:rPr>
          <w:instrText xml:space="preserve"> PAGEREF _Toc209432669 \h </w:instrText>
        </w:r>
        <w:r>
          <w:rPr>
            <w:noProof/>
          </w:rPr>
        </w:r>
        <w:r>
          <w:rPr>
            <w:noProof/>
            <w:webHidden/>
          </w:rPr>
          <w:fldChar w:fldCharType="separate"/>
        </w:r>
        <w:r w:rsidR="00B62FD7">
          <w:rPr>
            <w:noProof/>
            <w:webHidden/>
          </w:rPr>
          <w:t>196</w:t>
        </w:r>
        <w:r>
          <w:rPr>
            <w:noProof/>
            <w:webHidden/>
          </w:rPr>
          <w:fldChar w:fldCharType="end"/>
        </w:r>
      </w:hyperlink>
    </w:p>
    <w:p w14:paraId="08CC8189" w14:textId="77777777" w:rsidR="00F07F81" w:rsidRDefault="00F07F81">
      <w:pPr>
        <w:pStyle w:val="TOC1"/>
        <w:rPr>
          <w:noProof/>
          <w:sz w:val="24"/>
        </w:rPr>
      </w:pPr>
      <w:hyperlink w:anchor="_Toc209432671" w:history="1">
        <w:r>
          <w:rPr>
            <w:rStyle w:val="Hyperlink"/>
            <w:b/>
            <w:smallCaps/>
            <w:noProof/>
            <w:lang w:val="en-GB"/>
          </w:rPr>
          <w:t>Appendices</w:t>
        </w:r>
        <w:r>
          <w:rPr>
            <w:noProof/>
            <w:webHidden/>
          </w:rPr>
          <w:tab/>
        </w:r>
        <w:r>
          <w:rPr>
            <w:noProof/>
            <w:webHidden/>
          </w:rPr>
          <w:tab/>
        </w:r>
        <w:r>
          <w:rPr>
            <w:noProof/>
            <w:webHidden/>
          </w:rPr>
          <w:fldChar w:fldCharType="begin"/>
        </w:r>
        <w:r>
          <w:rPr>
            <w:noProof/>
            <w:webHidden/>
          </w:rPr>
          <w:instrText xml:space="preserve"> PAGEREF _Toc209432671 \h </w:instrText>
        </w:r>
        <w:r>
          <w:rPr>
            <w:noProof/>
          </w:rPr>
        </w:r>
        <w:r>
          <w:rPr>
            <w:noProof/>
            <w:webHidden/>
          </w:rPr>
          <w:fldChar w:fldCharType="separate"/>
        </w:r>
        <w:r w:rsidR="00B62FD7">
          <w:rPr>
            <w:noProof/>
            <w:webHidden/>
          </w:rPr>
          <w:t>204</w:t>
        </w:r>
        <w:r>
          <w:rPr>
            <w:noProof/>
            <w:webHidden/>
          </w:rPr>
          <w:fldChar w:fldCharType="end"/>
        </w:r>
      </w:hyperlink>
    </w:p>
    <w:p w14:paraId="28921A32" w14:textId="77777777" w:rsidR="00F07F81" w:rsidRDefault="00F07F81">
      <w:pPr>
        <w:pStyle w:val="TOC2"/>
        <w:tabs>
          <w:tab w:val="left" w:pos="1680"/>
          <w:tab w:val="right" w:leader="dot" w:pos="9000"/>
          <w:tab w:val="right" w:leader="dot" w:pos="9062"/>
        </w:tabs>
        <w:rPr>
          <w:noProof/>
          <w:sz w:val="24"/>
        </w:rPr>
      </w:pPr>
      <w:hyperlink w:anchor="_Toc209432672" w:history="1">
        <w:r>
          <w:rPr>
            <w:rStyle w:val="Hyperlink"/>
            <w:b/>
            <w:noProof/>
            <w:lang w:val="en-GB"/>
          </w:rPr>
          <w:t>Appendix 1:</w:t>
        </w:r>
        <w:r>
          <w:rPr>
            <w:noProof/>
            <w:sz w:val="24"/>
          </w:rPr>
          <w:tab/>
        </w:r>
        <w:r>
          <w:rPr>
            <w:rStyle w:val="Hyperlink"/>
            <w:b/>
            <w:noProof/>
            <w:lang w:val="en-GB"/>
          </w:rPr>
          <w:t>Budget by project components and UNEP budget lines</w:t>
        </w:r>
        <w:r>
          <w:rPr>
            <w:noProof/>
            <w:webHidden/>
          </w:rPr>
          <w:tab/>
        </w:r>
        <w:r>
          <w:rPr>
            <w:noProof/>
            <w:webHidden/>
          </w:rPr>
          <w:fldChar w:fldCharType="begin"/>
        </w:r>
        <w:r>
          <w:rPr>
            <w:noProof/>
            <w:webHidden/>
          </w:rPr>
          <w:instrText xml:space="preserve"> PAGEREF _Toc209432672 \h </w:instrText>
        </w:r>
        <w:r>
          <w:rPr>
            <w:noProof/>
          </w:rPr>
        </w:r>
        <w:r>
          <w:rPr>
            <w:noProof/>
            <w:webHidden/>
          </w:rPr>
          <w:fldChar w:fldCharType="separate"/>
        </w:r>
        <w:r w:rsidR="00B62FD7">
          <w:rPr>
            <w:noProof/>
            <w:webHidden/>
          </w:rPr>
          <w:t>204</w:t>
        </w:r>
        <w:r>
          <w:rPr>
            <w:noProof/>
            <w:webHidden/>
          </w:rPr>
          <w:fldChar w:fldCharType="end"/>
        </w:r>
      </w:hyperlink>
    </w:p>
    <w:p w14:paraId="0803B733" w14:textId="77777777" w:rsidR="00F07F81" w:rsidRDefault="00F07F81">
      <w:pPr>
        <w:pStyle w:val="TOC2"/>
        <w:tabs>
          <w:tab w:val="left" w:pos="1680"/>
          <w:tab w:val="right" w:leader="dot" w:pos="9000"/>
          <w:tab w:val="right" w:leader="dot" w:pos="9062"/>
        </w:tabs>
        <w:rPr>
          <w:noProof/>
          <w:sz w:val="24"/>
        </w:rPr>
      </w:pPr>
      <w:hyperlink w:anchor="_Toc209432673" w:history="1">
        <w:r>
          <w:rPr>
            <w:rStyle w:val="Hyperlink"/>
            <w:b/>
            <w:noProof/>
            <w:lang w:val="en-GB"/>
          </w:rPr>
          <w:t>Appendix 2:</w:t>
        </w:r>
        <w:r>
          <w:rPr>
            <w:noProof/>
            <w:sz w:val="24"/>
          </w:rPr>
          <w:tab/>
        </w:r>
        <w:r>
          <w:rPr>
            <w:rStyle w:val="Hyperlink"/>
            <w:b/>
            <w:noProof/>
            <w:lang w:val="en-GB"/>
          </w:rPr>
          <w:t>Co-financing by source and UNEP budget lines</w:t>
        </w:r>
        <w:r>
          <w:rPr>
            <w:noProof/>
            <w:webHidden/>
          </w:rPr>
          <w:tab/>
        </w:r>
        <w:r>
          <w:rPr>
            <w:noProof/>
            <w:webHidden/>
          </w:rPr>
          <w:fldChar w:fldCharType="begin"/>
        </w:r>
        <w:r>
          <w:rPr>
            <w:noProof/>
            <w:webHidden/>
          </w:rPr>
          <w:instrText xml:space="preserve"> PAGEREF _Toc209432673 \h </w:instrText>
        </w:r>
        <w:r>
          <w:rPr>
            <w:noProof/>
          </w:rPr>
        </w:r>
        <w:r>
          <w:rPr>
            <w:noProof/>
            <w:webHidden/>
          </w:rPr>
          <w:fldChar w:fldCharType="separate"/>
        </w:r>
        <w:r w:rsidR="00B62FD7">
          <w:rPr>
            <w:noProof/>
            <w:webHidden/>
          </w:rPr>
          <w:t>204</w:t>
        </w:r>
        <w:r>
          <w:rPr>
            <w:noProof/>
            <w:webHidden/>
          </w:rPr>
          <w:fldChar w:fldCharType="end"/>
        </w:r>
      </w:hyperlink>
    </w:p>
    <w:p w14:paraId="1197DA80" w14:textId="77777777" w:rsidR="00F07F81" w:rsidRDefault="00F07F81">
      <w:pPr>
        <w:pStyle w:val="TOC2"/>
        <w:tabs>
          <w:tab w:val="left" w:pos="1680"/>
          <w:tab w:val="right" w:leader="dot" w:pos="9000"/>
          <w:tab w:val="right" w:leader="dot" w:pos="9062"/>
        </w:tabs>
        <w:rPr>
          <w:noProof/>
          <w:sz w:val="24"/>
        </w:rPr>
      </w:pPr>
      <w:hyperlink w:anchor="_Toc209432674" w:history="1">
        <w:r>
          <w:rPr>
            <w:rStyle w:val="Hyperlink"/>
            <w:b/>
            <w:noProof/>
            <w:lang w:val="en-GB"/>
          </w:rPr>
          <w:t>Appendix 3:</w:t>
        </w:r>
        <w:r>
          <w:rPr>
            <w:noProof/>
            <w:sz w:val="24"/>
          </w:rPr>
          <w:tab/>
        </w:r>
        <w:r>
          <w:rPr>
            <w:rStyle w:val="Hyperlink"/>
            <w:b/>
            <w:noProof/>
            <w:lang w:val="en-GB"/>
          </w:rPr>
          <w:t>Incremental cost analysis</w:t>
        </w:r>
        <w:r>
          <w:rPr>
            <w:noProof/>
            <w:webHidden/>
          </w:rPr>
          <w:tab/>
        </w:r>
        <w:r>
          <w:rPr>
            <w:noProof/>
            <w:webHidden/>
          </w:rPr>
          <w:fldChar w:fldCharType="begin"/>
        </w:r>
        <w:r>
          <w:rPr>
            <w:noProof/>
            <w:webHidden/>
          </w:rPr>
          <w:instrText xml:space="preserve"> PAGEREF _Toc209432674 \h </w:instrText>
        </w:r>
        <w:r>
          <w:rPr>
            <w:noProof/>
          </w:rPr>
        </w:r>
        <w:r>
          <w:rPr>
            <w:noProof/>
            <w:webHidden/>
          </w:rPr>
          <w:fldChar w:fldCharType="separate"/>
        </w:r>
        <w:r w:rsidR="00B62FD7">
          <w:rPr>
            <w:noProof/>
            <w:webHidden/>
          </w:rPr>
          <w:t>205</w:t>
        </w:r>
        <w:r>
          <w:rPr>
            <w:noProof/>
            <w:webHidden/>
          </w:rPr>
          <w:fldChar w:fldCharType="end"/>
        </w:r>
      </w:hyperlink>
    </w:p>
    <w:p w14:paraId="09A6121B" w14:textId="77777777" w:rsidR="00F07F81" w:rsidRDefault="00F07F81">
      <w:pPr>
        <w:pStyle w:val="TOC2"/>
        <w:tabs>
          <w:tab w:val="left" w:pos="1680"/>
          <w:tab w:val="right" w:leader="dot" w:pos="9000"/>
          <w:tab w:val="right" w:leader="dot" w:pos="9062"/>
        </w:tabs>
        <w:rPr>
          <w:noProof/>
          <w:sz w:val="24"/>
        </w:rPr>
      </w:pPr>
      <w:hyperlink w:anchor="_Toc209432675" w:history="1">
        <w:r>
          <w:rPr>
            <w:rStyle w:val="Hyperlink"/>
            <w:b/>
            <w:noProof/>
            <w:lang w:val="en-GB"/>
          </w:rPr>
          <w:t>Appendix 4:</w:t>
        </w:r>
        <w:r>
          <w:rPr>
            <w:noProof/>
            <w:sz w:val="24"/>
          </w:rPr>
          <w:tab/>
        </w:r>
        <w:r>
          <w:rPr>
            <w:rStyle w:val="Hyperlink"/>
            <w:b/>
            <w:noProof/>
            <w:lang w:val="en-GB"/>
          </w:rPr>
          <w:t>Results Framework</w:t>
        </w:r>
        <w:r>
          <w:rPr>
            <w:noProof/>
            <w:webHidden/>
          </w:rPr>
          <w:tab/>
        </w:r>
        <w:r>
          <w:rPr>
            <w:noProof/>
            <w:webHidden/>
          </w:rPr>
          <w:fldChar w:fldCharType="begin"/>
        </w:r>
        <w:r>
          <w:rPr>
            <w:noProof/>
            <w:webHidden/>
          </w:rPr>
          <w:instrText xml:space="preserve"> PAGEREF _Toc209432675 \h </w:instrText>
        </w:r>
        <w:r>
          <w:rPr>
            <w:noProof/>
          </w:rPr>
        </w:r>
        <w:r>
          <w:rPr>
            <w:noProof/>
            <w:webHidden/>
          </w:rPr>
          <w:fldChar w:fldCharType="separate"/>
        </w:r>
        <w:r w:rsidR="00B62FD7">
          <w:rPr>
            <w:noProof/>
            <w:webHidden/>
          </w:rPr>
          <w:t>205</w:t>
        </w:r>
        <w:r>
          <w:rPr>
            <w:noProof/>
            <w:webHidden/>
          </w:rPr>
          <w:fldChar w:fldCharType="end"/>
        </w:r>
      </w:hyperlink>
    </w:p>
    <w:p w14:paraId="431152BA" w14:textId="77777777" w:rsidR="00F07F81" w:rsidRDefault="00F07F81">
      <w:pPr>
        <w:pStyle w:val="TOC2"/>
        <w:tabs>
          <w:tab w:val="left" w:pos="1680"/>
          <w:tab w:val="right" w:leader="dot" w:pos="9000"/>
          <w:tab w:val="right" w:leader="dot" w:pos="9062"/>
        </w:tabs>
        <w:rPr>
          <w:noProof/>
          <w:sz w:val="24"/>
        </w:rPr>
      </w:pPr>
      <w:hyperlink w:anchor="_Toc209432676" w:history="1">
        <w:r>
          <w:rPr>
            <w:rStyle w:val="Hyperlink"/>
            <w:b/>
            <w:noProof/>
            <w:lang w:val="en-GB"/>
          </w:rPr>
          <w:t>Appendix 5:</w:t>
        </w:r>
        <w:r>
          <w:rPr>
            <w:noProof/>
            <w:sz w:val="24"/>
          </w:rPr>
          <w:tab/>
        </w:r>
        <w:r>
          <w:rPr>
            <w:rStyle w:val="Hyperlink"/>
            <w:b/>
            <w:noProof/>
            <w:lang w:val="en-GB"/>
          </w:rPr>
          <w:t>Workplan and timetable</w:t>
        </w:r>
        <w:r>
          <w:rPr>
            <w:noProof/>
            <w:webHidden/>
          </w:rPr>
          <w:tab/>
        </w:r>
        <w:r>
          <w:rPr>
            <w:noProof/>
            <w:webHidden/>
          </w:rPr>
          <w:fldChar w:fldCharType="begin"/>
        </w:r>
        <w:r>
          <w:rPr>
            <w:noProof/>
            <w:webHidden/>
          </w:rPr>
          <w:instrText xml:space="preserve"> PAGEREF _Toc209432676 \h </w:instrText>
        </w:r>
        <w:r>
          <w:rPr>
            <w:noProof/>
          </w:rPr>
        </w:r>
        <w:r>
          <w:rPr>
            <w:noProof/>
            <w:webHidden/>
          </w:rPr>
          <w:fldChar w:fldCharType="separate"/>
        </w:r>
        <w:r w:rsidR="00B62FD7">
          <w:rPr>
            <w:noProof/>
            <w:webHidden/>
          </w:rPr>
          <w:t>224</w:t>
        </w:r>
        <w:r>
          <w:rPr>
            <w:noProof/>
            <w:webHidden/>
          </w:rPr>
          <w:fldChar w:fldCharType="end"/>
        </w:r>
      </w:hyperlink>
    </w:p>
    <w:p w14:paraId="0A9F76E6" w14:textId="77777777" w:rsidR="00F07F81" w:rsidRDefault="00F07F81">
      <w:pPr>
        <w:pStyle w:val="TOC2"/>
        <w:tabs>
          <w:tab w:val="left" w:pos="1680"/>
          <w:tab w:val="right" w:leader="dot" w:pos="9000"/>
          <w:tab w:val="right" w:leader="dot" w:pos="9062"/>
        </w:tabs>
        <w:rPr>
          <w:noProof/>
          <w:sz w:val="24"/>
        </w:rPr>
      </w:pPr>
      <w:hyperlink w:anchor="_Toc209432677" w:history="1">
        <w:r>
          <w:rPr>
            <w:rStyle w:val="Hyperlink"/>
            <w:b/>
            <w:noProof/>
            <w:lang w:val="en-GB"/>
          </w:rPr>
          <w:t>Appendix 6:</w:t>
        </w:r>
        <w:r>
          <w:rPr>
            <w:noProof/>
            <w:sz w:val="24"/>
          </w:rPr>
          <w:tab/>
        </w:r>
        <w:r>
          <w:rPr>
            <w:rStyle w:val="Hyperlink"/>
            <w:b/>
            <w:noProof/>
            <w:lang w:val="en-GB"/>
          </w:rPr>
          <w:t>Key deliverables and benchmarks</w:t>
        </w:r>
        <w:r>
          <w:rPr>
            <w:noProof/>
            <w:webHidden/>
          </w:rPr>
          <w:tab/>
        </w:r>
        <w:r>
          <w:rPr>
            <w:noProof/>
            <w:webHidden/>
          </w:rPr>
          <w:fldChar w:fldCharType="begin"/>
        </w:r>
        <w:r>
          <w:rPr>
            <w:noProof/>
            <w:webHidden/>
          </w:rPr>
          <w:instrText xml:space="preserve"> PAGEREF _Toc209432677 \h </w:instrText>
        </w:r>
        <w:r>
          <w:rPr>
            <w:noProof/>
          </w:rPr>
        </w:r>
        <w:r>
          <w:rPr>
            <w:noProof/>
            <w:webHidden/>
          </w:rPr>
          <w:fldChar w:fldCharType="separate"/>
        </w:r>
        <w:r w:rsidR="00B62FD7">
          <w:rPr>
            <w:noProof/>
            <w:webHidden/>
          </w:rPr>
          <w:t>236</w:t>
        </w:r>
        <w:r>
          <w:rPr>
            <w:noProof/>
            <w:webHidden/>
          </w:rPr>
          <w:fldChar w:fldCharType="end"/>
        </w:r>
      </w:hyperlink>
    </w:p>
    <w:p w14:paraId="22A11A6A" w14:textId="77777777" w:rsidR="00F07F81" w:rsidRDefault="00F07F81">
      <w:pPr>
        <w:pStyle w:val="TOC2"/>
        <w:tabs>
          <w:tab w:val="left" w:pos="1680"/>
          <w:tab w:val="right" w:leader="dot" w:pos="9000"/>
          <w:tab w:val="right" w:leader="dot" w:pos="9062"/>
        </w:tabs>
        <w:rPr>
          <w:noProof/>
          <w:sz w:val="24"/>
        </w:rPr>
      </w:pPr>
      <w:hyperlink w:anchor="_Toc209432678" w:history="1">
        <w:r>
          <w:rPr>
            <w:rStyle w:val="Hyperlink"/>
            <w:b/>
            <w:noProof/>
            <w:lang w:val="en-GB"/>
          </w:rPr>
          <w:t>Appendix 7:</w:t>
        </w:r>
        <w:r>
          <w:rPr>
            <w:noProof/>
            <w:sz w:val="24"/>
          </w:rPr>
          <w:tab/>
        </w:r>
        <w:r>
          <w:rPr>
            <w:rStyle w:val="Hyperlink"/>
            <w:b/>
            <w:noProof/>
            <w:lang w:val="en-GB"/>
          </w:rPr>
          <w:t>Costed M&amp;E plan</w:t>
        </w:r>
        <w:r>
          <w:rPr>
            <w:noProof/>
            <w:webHidden/>
          </w:rPr>
          <w:tab/>
        </w:r>
        <w:r>
          <w:rPr>
            <w:noProof/>
            <w:webHidden/>
          </w:rPr>
          <w:fldChar w:fldCharType="begin"/>
        </w:r>
        <w:r>
          <w:rPr>
            <w:noProof/>
            <w:webHidden/>
          </w:rPr>
          <w:instrText xml:space="preserve"> PAGEREF _Toc209432678 \h </w:instrText>
        </w:r>
        <w:r>
          <w:rPr>
            <w:noProof/>
          </w:rPr>
        </w:r>
        <w:r>
          <w:rPr>
            <w:noProof/>
            <w:webHidden/>
          </w:rPr>
          <w:fldChar w:fldCharType="separate"/>
        </w:r>
        <w:r w:rsidR="00B62FD7">
          <w:rPr>
            <w:noProof/>
            <w:webHidden/>
          </w:rPr>
          <w:t>250</w:t>
        </w:r>
        <w:r>
          <w:rPr>
            <w:noProof/>
            <w:webHidden/>
          </w:rPr>
          <w:fldChar w:fldCharType="end"/>
        </w:r>
      </w:hyperlink>
    </w:p>
    <w:p w14:paraId="197F2B94" w14:textId="77777777" w:rsidR="00F07F81" w:rsidRDefault="00F07F81">
      <w:pPr>
        <w:pStyle w:val="TOC2"/>
        <w:tabs>
          <w:tab w:val="left" w:pos="1680"/>
          <w:tab w:val="right" w:leader="dot" w:pos="9000"/>
          <w:tab w:val="right" w:leader="dot" w:pos="9062"/>
        </w:tabs>
        <w:rPr>
          <w:noProof/>
          <w:sz w:val="24"/>
        </w:rPr>
      </w:pPr>
      <w:hyperlink w:anchor="_Toc209432679" w:history="1">
        <w:r>
          <w:rPr>
            <w:rStyle w:val="Hyperlink"/>
            <w:b/>
            <w:noProof/>
            <w:lang w:val="en-GB"/>
          </w:rPr>
          <w:t>Appendix 8:</w:t>
        </w:r>
        <w:r>
          <w:rPr>
            <w:noProof/>
            <w:sz w:val="24"/>
          </w:rPr>
          <w:tab/>
        </w:r>
        <w:r>
          <w:rPr>
            <w:rStyle w:val="Hyperlink"/>
            <w:b/>
            <w:noProof/>
            <w:lang w:val="en-GB"/>
          </w:rPr>
          <w:t>Summary of reporting requirements and responsibilities</w:t>
        </w:r>
        <w:r>
          <w:rPr>
            <w:noProof/>
            <w:webHidden/>
          </w:rPr>
          <w:tab/>
        </w:r>
        <w:r>
          <w:rPr>
            <w:noProof/>
            <w:webHidden/>
          </w:rPr>
          <w:fldChar w:fldCharType="begin"/>
        </w:r>
        <w:r>
          <w:rPr>
            <w:noProof/>
            <w:webHidden/>
          </w:rPr>
          <w:instrText xml:space="preserve"> PAGEREF _Toc209432679 \h </w:instrText>
        </w:r>
        <w:r>
          <w:rPr>
            <w:noProof/>
          </w:rPr>
        </w:r>
        <w:r>
          <w:rPr>
            <w:noProof/>
            <w:webHidden/>
          </w:rPr>
          <w:fldChar w:fldCharType="separate"/>
        </w:r>
        <w:r w:rsidR="00B62FD7">
          <w:rPr>
            <w:noProof/>
            <w:webHidden/>
          </w:rPr>
          <w:t>250</w:t>
        </w:r>
        <w:r>
          <w:rPr>
            <w:noProof/>
            <w:webHidden/>
          </w:rPr>
          <w:fldChar w:fldCharType="end"/>
        </w:r>
      </w:hyperlink>
    </w:p>
    <w:p w14:paraId="3EB782CA" w14:textId="77777777" w:rsidR="00F07F81" w:rsidRDefault="00F07F81">
      <w:pPr>
        <w:pStyle w:val="TOC2"/>
        <w:tabs>
          <w:tab w:val="left" w:pos="1680"/>
          <w:tab w:val="right" w:leader="dot" w:pos="9000"/>
          <w:tab w:val="right" w:leader="dot" w:pos="9062"/>
        </w:tabs>
        <w:rPr>
          <w:noProof/>
          <w:sz w:val="24"/>
        </w:rPr>
      </w:pPr>
      <w:hyperlink w:anchor="_Toc209432680" w:history="1">
        <w:r>
          <w:rPr>
            <w:rStyle w:val="Hyperlink"/>
            <w:b/>
            <w:noProof/>
            <w:lang w:val="en-GB"/>
          </w:rPr>
          <w:t>Appendix 9:</w:t>
        </w:r>
        <w:r>
          <w:rPr>
            <w:noProof/>
            <w:sz w:val="24"/>
          </w:rPr>
          <w:tab/>
        </w:r>
        <w:r>
          <w:rPr>
            <w:rStyle w:val="Hyperlink"/>
            <w:b/>
            <w:noProof/>
            <w:lang w:val="en-GB"/>
          </w:rPr>
          <w:t>Standard Terminal Evaluation TOR</w:t>
        </w:r>
        <w:r>
          <w:rPr>
            <w:noProof/>
            <w:webHidden/>
          </w:rPr>
          <w:tab/>
        </w:r>
        <w:r>
          <w:rPr>
            <w:noProof/>
            <w:webHidden/>
          </w:rPr>
          <w:fldChar w:fldCharType="begin"/>
        </w:r>
        <w:r>
          <w:rPr>
            <w:noProof/>
            <w:webHidden/>
          </w:rPr>
          <w:instrText xml:space="preserve"> PAGEREF _Toc209432680 \h </w:instrText>
        </w:r>
        <w:r>
          <w:rPr>
            <w:noProof/>
          </w:rPr>
        </w:r>
        <w:r>
          <w:rPr>
            <w:noProof/>
            <w:webHidden/>
          </w:rPr>
          <w:fldChar w:fldCharType="separate"/>
        </w:r>
        <w:r w:rsidR="00B62FD7">
          <w:rPr>
            <w:noProof/>
            <w:webHidden/>
          </w:rPr>
          <w:t>282</w:t>
        </w:r>
        <w:r>
          <w:rPr>
            <w:noProof/>
            <w:webHidden/>
          </w:rPr>
          <w:fldChar w:fldCharType="end"/>
        </w:r>
      </w:hyperlink>
    </w:p>
    <w:p w14:paraId="212157CD" w14:textId="77777777" w:rsidR="00F07F81" w:rsidRDefault="00F07F81">
      <w:pPr>
        <w:pStyle w:val="TOC2"/>
        <w:tabs>
          <w:tab w:val="left" w:pos="1920"/>
          <w:tab w:val="right" w:leader="dot" w:pos="9000"/>
          <w:tab w:val="right" w:leader="dot" w:pos="9062"/>
        </w:tabs>
        <w:rPr>
          <w:noProof/>
          <w:sz w:val="24"/>
        </w:rPr>
      </w:pPr>
      <w:hyperlink w:anchor="_Toc209432681" w:history="1">
        <w:r>
          <w:rPr>
            <w:rStyle w:val="Hyperlink"/>
            <w:b/>
            <w:noProof/>
            <w:lang w:val="en-GB"/>
          </w:rPr>
          <w:t>Appendix 10:</w:t>
        </w:r>
        <w:r>
          <w:rPr>
            <w:noProof/>
            <w:sz w:val="24"/>
          </w:rPr>
          <w:tab/>
        </w:r>
        <w:r>
          <w:rPr>
            <w:rStyle w:val="Hyperlink"/>
            <w:b/>
            <w:noProof/>
            <w:lang w:val="en-GB"/>
          </w:rPr>
          <w:t>Decision-making flowchart and organogram</w:t>
        </w:r>
        <w:r>
          <w:rPr>
            <w:noProof/>
            <w:webHidden/>
          </w:rPr>
          <w:tab/>
        </w:r>
        <w:r>
          <w:rPr>
            <w:noProof/>
            <w:webHidden/>
          </w:rPr>
          <w:fldChar w:fldCharType="begin"/>
        </w:r>
        <w:r>
          <w:rPr>
            <w:noProof/>
            <w:webHidden/>
          </w:rPr>
          <w:instrText xml:space="preserve"> PAGEREF _Toc209432681 \h </w:instrText>
        </w:r>
        <w:r>
          <w:rPr>
            <w:noProof/>
          </w:rPr>
        </w:r>
        <w:r>
          <w:rPr>
            <w:noProof/>
            <w:webHidden/>
          </w:rPr>
          <w:fldChar w:fldCharType="separate"/>
        </w:r>
        <w:r w:rsidR="00B62FD7">
          <w:rPr>
            <w:noProof/>
            <w:webHidden/>
          </w:rPr>
          <w:t>307</w:t>
        </w:r>
        <w:r>
          <w:rPr>
            <w:noProof/>
            <w:webHidden/>
          </w:rPr>
          <w:fldChar w:fldCharType="end"/>
        </w:r>
      </w:hyperlink>
    </w:p>
    <w:p w14:paraId="173213D7" w14:textId="77777777" w:rsidR="00F07F81" w:rsidRDefault="00F07F81">
      <w:pPr>
        <w:pStyle w:val="TOC2"/>
        <w:tabs>
          <w:tab w:val="left" w:pos="1920"/>
          <w:tab w:val="right" w:leader="dot" w:pos="9000"/>
          <w:tab w:val="right" w:leader="dot" w:pos="9062"/>
        </w:tabs>
        <w:rPr>
          <w:noProof/>
          <w:sz w:val="24"/>
        </w:rPr>
      </w:pPr>
      <w:hyperlink w:anchor="_Toc209432682" w:history="1">
        <w:r>
          <w:rPr>
            <w:rStyle w:val="Hyperlink"/>
            <w:b/>
            <w:noProof/>
            <w:lang w:val="en-GB"/>
          </w:rPr>
          <w:t>Appendix 11:</w:t>
        </w:r>
        <w:r>
          <w:rPr>
            <w:noProof/>
            <w:sz w:val="24"/>
          </w:rPr>
          <w:tab/>
        </w:r>
        <w:r>
          <w:rPr>
            <w:rStyle w:val="Hyperlink"/>
            <w:b/>
            <w:noProof/>
            <w:lang w:val="en-GB"/>
          </w:rPr>
          <w:t>Terms of Reference</w:t>
        </w:r>
        <w:r>
          <w:rPr>
            <w:noProof/>
            <w:webHidden/>
          </w:rPr>
          <w:tab/>
        </w:r>
        <w:r>
          <w:rPr>
            <w:noProof/>
            <w:webHidden/>
          </w:rPr>
          <w:fldChar w:fldCharType="begin"/>
        </w:r>
        <w:r>
          <w:rPr>
            <w:noProof/>
            <w:webHidden/>
          </w:rPr>
          <w:instrText xml:space="preserve"> PAGEREF _Toc209432682 \h </w:instrText>
        </w:r>
        <w:r>
          <w:rPr>
            <w:noProof/>
          </w:rPr>
        </w:r>
        <w:r>
          <w:rPr>
            <w:noProof/>
            <w:webHidden/>
          </w:rPr>
          <w:fldChar w:fldCharType="separate"/>
        </w:r>
        <w:r w:rsidR="00B62FD7">
          <w:rPr>
            <w:noProof/>
            <w:webHidden/>
          </w:rPr>
          <w:t>309</w:t>
        </w:r>
        <w:r>
          <w:rPr>
            <w:noProof/>
            <w:webHidden/>
          </w:rPr>
          <w:fldChar w:fldCharType="end"/>
        </w:r>
      </w:hyperlink>
    </w:p>
    <w:p w14:paraId="772FD3B4" w14:textId="77777777" w:rsidR="00F07F81" w:rsidRDefault="00F07F81">
      <w:pPr>
        <w:pStyle w:val="TOC2"/>
        <w:tabs>
          <w:tab w:val="left" w:pos="1920"/>
          <w:tab w:val="right" w:leader="dot" w:pos="9000"/>
          <w:tab w:val="right" w:leader="dot" w:pos="9062"/>
        </w:tabs>
        <w:rPr>
          <w:noProof/>
          <w:sz w:val="24"/>
        </w:rPr>
      </w:pPr>
      <w:hyperlink w:anchor="_Toc209432683" w:history="1">
        <w:r>
          <w:rPr>
            <w:rStyle w:val="Hyperlink"/>
            <w:b/>
            <w:noProof/>
            <w:lang w:val="en-GB"/>
          </w:rPr>
          <w:t>Appendix 12:</w:t>
        </w:r>
        <w:r>
          <w:rPr>
            <w:noProof/>
            <w:sz w:val="24"/>
          </w:rPr>
          <w:tab/>
        </w:r>
        <w:r>
          <w:rPr>
            <w:rStyle w:val="Hyperlink"/>
            <w:b/>
            <w:noProof/>
            <w:lang w:val="en-GB"/>
          </w:rPr>
          <w:t>Co-financing commitment letters from project partners</w:t>
        </w:r>
        <w:r>
          <w:rPr>
            <w:noProof/>
            <w:webHidden/>
          </w:rPr>
          <w:tab/>
        </w:r>
        <w:r>
          <w:rPr>
            <w:noProof/>
            <w:webHidden/>
          </w:rPr>
          <w:fldChar w:fldCharType="begin"/>
        </w:r>
        <w:r>
          <w:rPr>
            <w:noProof/>
            <w:webHidden/>
          </w:rPr>
          <w:instrText xml:space="preserve"> PAGEREF _Toc209432683 \h </w:instrText>
        </w:r>
        <w:r>
          <w:rPr>
            <w:noProof/>
          </w:rPr>
        </w:r>
        <w:r>
          <w:rPr>
            <w:noProof/>
            <w:webHidden/>
          </w:rPr>
          <w:fldChar w:fldCharType="separate"/>
        </w:r>
        <w:r w:rsidR="00B62FD7">
          <w:rPr>
            <w:noProof/>
            <w:webHidden/>
          </w:rPr>
          <w:t>334</w:t>
        </w:r>
        <w:r>
          <w:rPr>
            <w:noProof/>
            <w:webHidden/>
          </w:rPr>
          <w:fldChar w:fldCharType="end"/>
        </w:r>
      </w:hyperlink>
    </w:p>
    <w:p w14:paraId="00D98DDD" w14:textId="77777777" w:rsidR="00F07F81" w:rsidRDefault="00F07F81">
      <w:pPr>
        <w:pStyle w:val="TOC2"/>
        <w:tabs>
          <w:tab w:val="left" w:pos="1920"/>
          <w:tab w:val="right" w:leader="dot" w:pos="9000"/>
          <w:tab w:val="right" w:leader="dot" w:pos="9062"/>
        </w:tabs>
        <w:rPr>
          <w:noProof/>
          <w:sz w:val="24"/>
        </w:rPr>
      </w:pPr>
      <w:hyperlink w:anchor="_Toc209432684" w:history="1">
        <w:r>
          <w:rPr>
            <w:rStyle w:val="Hyperlink"/>
            <w:b/>
            <w:noProof/>
            <w:lang w:val="en-GB"/>
          </w:rPr>
          <w:t>Appendix 13:</w:t>
        </w:r>
        <w:r>
          <w:rPr>
            <w:noProof/>
            <w:sz w:val="24"/>
          </w:rPr>
          <w:tab/>
        </w:r>
        <w:r>
          <w:rPr>
            <w:rStyle w:val="Hyperlink"/>
            <w:b/>
            <w:noProof/>
            <w:lang w:val="en-GB"/>
          </w:rPr>
          <w:t>Endorsement letters of GEF National Focal Points</w:t>
        </w:r>
        <w:r>
          <w:rPr>
            <w:noProof/>
            <w:webHidden/>
          </w:rPr>
          <w:tab/>
        </w:r>
        <w:r>
          <w:rPr>
            <w:noProof/>
            <w:webHidden/>
          </w:rPr>
          <w:fldChar w:fldCharType="begin"/>
        </w:r>
        <w:r>
          <w:rPr>
            <w:noProof/>
            <w:webHidden/>
          </w:rPr>
          <w:instrText xml:space="preserve"> PAGEREF _Toc209432684 \h </w:instrText>
        </w:r>
        <w:r>
          <w:rPr>
            <w:noProof/>
          </w:rPr>
        </w:r>
        <w:r>
          <w:rPr>
            <w:noProof/>
            <w:webHidden/>
          </w:rPr>
          <w:fldChar w:fldCharType="separate"/>
        </w:r>
        <w:r w:rsidR="00B62FD7">
          <w:rPr>
            <w:noProof/>
            <w:webHidden/>
          </w:rPr>
          <w:t>334</w:t>
        </w:r>
        <w:r>
          <w:rPr>
            <w:noProof/>
            <w:webHidden/>
          </w:rPr>
          <w:fldChar w:fldCharType="end"/>
        </w:r>
      </w:hyperlink>
    </w:p>
    <w:p w14:paraId="3524194C" w14:textId="77777777" w:rsidR="00F07F81" w:rsidRDefault="00F07F81">
      <w:pPr>
        <w:pStyle w:val="TOC2"/>
        <w:tabs>
          <w:tab w:val="left" w:pos="1920"/>
          <w:tab w:val="right" w:leader="dot" w:pos="9000"/>
          <w:tab w:val="right" w:leader="dot" w:pos="9062"/>
        </w:tabs>
        <w:rPr>
          <w:noProof/>
          <w:sz w:val="24"/>
        </w:rPr>
      </w:pPr>
      <w:hyperlink w:anchor="_Toc209432685" w:history="1">
        <w:r>
          <w:rPr>
            <w:rStyle w:val="Hyperlink"/>
            <w:b/>
            <w:noProof/>
            <w:lang w:val="en-GB"/>
          </w:rPr>
          <w:t xml:space="preserve">Appendix 14: </w:t>
        </w:r>
        <w:r>
          <w:rPr>
            <w:noProof/>
            <w:sz w:val="24"/>
          </w:rPr>
          <w:tab/>
        </w:r>
        <w:r>
          <w:rPr>
            <w:rStyle w:val="Hyperlink"/>
            <w:b/>
            <w:noProof/>
            <w:lang w:val="en-GB"/>
          </w:rPr>
          <w:t>Draft procurement plan</w:t>
        </w:r>
        <w:r>
          <w:rPr>
            <w:noProof/>
            <w:webHidden/>
          </w:rPr>
          <w:tab/>
        </w:r>
        <w:r>
          <w:rPr>
            <w:noProof/>
            <w:webHidden/>
          </w:rPr>
          <w:fldChar w:fldCharType="begin"/>
        </w:r>
        <w:r>
          <w:rPr>
            <w:noProof/>
            <w:webHidden/>
          </w:rPr>
          <w:instrText xml:space="preserve"> PAGEREF _Toc209432685 \h </w:instrText>
        </w:r>
        <w:r>
          <w:rPr>
            <w:noProof/>
          </w:rPr>
        </w:r>
        <w:r>
          <w:rPr>
            <w:noProof/>
            <w:webHidden/>
          </w:rPr>
          <w:fldChar w:fldCharType="separate"/>
        </w:r>
        <w:r w:rsidR="00B62FD7">
          <w:rPr>
            <w:noProof/>
            <w:webHidden/>
          </w:rPr>
          <w:t>334</w:t>
        </w:r>
        <w:r>
          <w:rPr>
            <w:noProof/>
            <w:webHidden/>
          </w:rPr>
          <w:fldChar w:fldCharType="end"/>
        </w:r>
      </w:hyperlink>
    </w:p>
    <w:p w14:paraId="44EB536C" w14:textId="77777777" w:rsidR="00F07F81" w:rsidRDefault="00F07F81">
      <w:pPr>
        <w:pStyle w:val="TOC2"/>
        <w:tabs>
          <w:tab w:val="left" w:pos="1920"/>
          <w:tab w:val="right" w:leader="dot" w:pos="9000"/>
          <w:tab w:val="right" w:leader="dot" w:pos="9062"/>
        </w:tabs>
        <w:rPr>
          <w:noProof/>
          <w:sz w:val="24"/>
        </w:rPr>
      </w:pPr>
      <w:hyperlink w:anchor="_Toc209432687" w:history="1">
        <w:r>
          <w:rPr>
            <w:rStyle w:val="Hyperlink"/>
            <w:b/>
            <w:noProof/>
            <w:lang w:val="en-GB"/>
          </w:rPr>
          <w:t>Appendix 15:</w:t>
        </w:r>
        <w:r>
          <w:rPr>
            <w:noProof/>
            <w:sz w:val="24"/>
          </w:rPr>
          <w:tab/>
        </w:r>
        <w:r>
          <w:rPr>
            <w:rStyle w:val="Hyperlink"/>
            <w:b/>
            <w:noProof/>
            <w:lang w:val="en-GB"/>
          </w:rPr>
          <w:t>Tracking Tools</w:t>
        </w:r>
        <w:r>
          <w:rPr>
            <w:noProof/>
            <w:webHidden/>
          </w:rPr>
          <w:tab/>
        </w:r>
        <w:r>
          <w:rPr>
            <w:noProof/>
            <w:webHidden/>
          </w:rPr>
          <w:fldChar w:fldCharType="begin"/>
        </w:r>
        <w:r>
          <w:rPr>
            <w:noProof/>
            <w:webHidden/>
          </w:rPr>
          <w:instrText xml:space="preserve"> PAGEREF _Toc209432687 \h </w:instrText>
        </w:r>
        <w:r>
          <w:rPr>
            <w:noProof/>
          </w:rPr>
        </w:r>
        <w:r>
          <w:rPr>
            <w:noProof/>
            <w:webHidden/>
          </w:rPr>
          <w:fldChar w:fldCharType="separate"/>
        </w:r>
        <w:r w:rsidR="00B62FD7">
          <w:rPr>
            <w:noProof/>
            <w:webHidden/>
          </w:rPr>
          <w:t>334</w:t>
        </w:r>
        <w:r>
          <w:rPr>
            <w:noProof/>
            <w:webHidden/>
          </w:rPr>
          <w:fldChar w:fldCharType="end"/>
        </w:r>
      </w:hyperlink>
    </w:p>
    <w:p w14:paraId="12EC4146" w14:textId="77777777" w:rsidR="00F07F81" w:rsidRDefault="00F07F81">
      <w:pPr>
        <w:tabs>
          <w:tab w:val="right" w:leader="dot" w:pos="9000"/>
        </w:tabs>
        <w:spacing w:after="120"/>
        <w:jc w:val="center"/>
        <w:outlineLvl w:val="0"/>
        <w:rPr>
          <w:b/>
          <w:smallCaps/>
          <w:sz w:val="22"/>
          <w:szCs w:val="22"/>
          <w:lang w:val="en-GB"/>
        </w:rPr>
      </w:pPr>
      <w:r>
        <w:rPr>
          <w:b/>
          <w:sz w:val="22"/>
          <w:szCs w:val="22"/>
          <w:lang w:val="en-GB"/>
        </w:rPr>
        <w:fldChar w:fldCharType="end"/>
      </w:r>
      <w:r>
        <w:rPr>
          <w:b/>
          <w:sz w:val="22"/>
          <w:szCs w:val="22"/>
          <w:lang w:val="en-GB"/>
        </w:rPr>
        <w:br w:type="page"/>
      </w:r>
      <w:bookmarkStart w:id="11" w:name="_Toc209432639"/>
      <w:r>
        <w:rPr>
          <w:b/>
          <w:smallCaps/>
          <w:sz w:val="22"/>
          <w:szCs w:val="22"/>
          <w:lang w:val="en-GB"/>
        </w:rPr>
        <w:t>Acronyms and Abbreviations</w:t>
      </w:r>
      <w:bookmarkEnd w:id="11"/>
    </w:p>
    <w:p w14:paraId="0C90CCEF" w14:textId="77777777" w:rsidR="00F07F81" w:rsidRDefault="00F07F81">
      <w:pPr>
        <w:spacing w:after="120"/>
        <w:jc w:val="center"/>
        <w:outlineLvl w:val="0"/>
        <w:rPr>
          <w:b/>
          <w:smallCaps/>
          <w:sz w:val="22"/>
          <w:szCs w:val="22"/>
          <w:lang w:val="en-GB"/>
        </w:rPr>
      </w:pPr>
    </w:p>
    <w:tbl>
      <w:tblPr>
        <w:tblW w:w="0" w:type="auto"/>
        <w:tblLook w:val="01E0" w:firstRow="1" w:lastRow="1" w:firstColumn="1" w:lastColumn="1" w:noHBand="0" w:noVBand="0"/>
      </w:tblPr>
      <w:tblGrid>
        <w:gridCol w:w="2628"/>
        <w:gridCol w:w="6120"/>
      </w:tblGrid>
      <w:tr w:rsidR="00E93E81" w:rsidRPr="00F07F81" w14:paraId="21366E7F" w14:textId="77777777" w:rsidTr="00AE63B6">
        <w:tc>
          <w:tcPr>
            <w:tcW w:w="2628" w:type="dxa"/>
            <w:shd w:val="clear" w:color="auto" w:fill="FFFFFF"/>
          </w:tcPr>
          <w:p w14:paraId="2A12B0A3" w14:textId="77777777" w:rsidR="00E93E81" w:rsidRPr="00F91284" w:rsidRDefault="000676C2" w:rsidP="00B97976">
            <w:pPr>
              <w:rPr>
                <w:sz w:val="22"/>
                <w:szCs w:val="22"/>
              </w:rPr>
            </w:pPr>
            <w:r>
              <w:rPr>
                <w:sz w:val="22"/>
                <w:szCs w:val="22"/>
                <w:lang w:val="en-GB"/>
              </w:rPr>
              <w:t>APEC</w:t>
            </w:r>
          </w:p>
        </w:tc>
        <w:tc>
          <w:tcPr>
            <w:tcW w:w="6120" w:type="dxa"/>
            <w:shd w:val="clear" w:color="auto" w:fill="FFFFFF"/>
          </w:tcPr>
          <w:p w14:paraId="2A0F1F74" w14:textId="77777777" w:rsidR="00E93E81" w:rsidRPr="00F91284" w:rsidRDefault="0045205F" w:rsidP="00B97976">
            <w:pPr>
              <w:rPr>
                <w:sz w:val="22"/>
                <w:szCs w:val="22"/>
              </w:rPr>
            </w:pPr>
            <w:r>
              <w:rPr>
                <w:sz w:val="22"/>
                <w:szCs w:val="22"/>
                <w:lang w:val="en-GB"/>
              </w:rPr>
              <w:t>Asia-Pacific Economic Council</w:t>
            </w:r>
          </w:p>
        </w:tc>
      </w:tr>
      <w:tr w:rsidR="00E93E81" w:rsidRPr="00F07F81" w14:paraId="26BDE1E5" w14:textId="77777777" w:rsidTr="00AE63B6">
        <w:tc>
          <w:tcPr>
            <w:tcW w:w="2628" w:type="dxa"/>
            <w:shd w:val="clear" w:color="auto" w:fill="FFFFFF"/>
          </w:tcPr>
          <w:p w14:paraId="4039D14F" w14:textId="77777777" w:rsidR="00E93E81" w:rsidRPr="00F91284" w:rsidRDefault="000676C2" w:rsidP="00B97976">
            <w:pPr>
              <w:rPr>
                <w:sz w:val="22"/>
                <w:szCs w:val="22"/>
              </w:rPr>
            </w:pPr>
            <w:r>
              <w:rPr>
                <w:sz w:val="22"/>
                <w:szCs w:val="22"/>
                <w:lang w:val="en-GB"/>
              </w:rPr>
              <w:t>APEC-MRCWG</w:t>
            </w:r>
          </w:p>
        </w:tc>
        <w:tc>
          <w:tcPr>
            <w:tcW w:w="6120" w:type="dxa"/>
            <w:shd w:val="clear" w:color="auto" w:fill="FFFFFF"/>
          </w:tcPr>
          <w:p w14:paraId="051F8F02" w14:textId="77777777" w:rsidR="00E93E81" w:rsidRPr="00F91284" w:rsidRDefault="000676C2" w:rsidP="00B97976">
            <w:pPr>
              <w:rPr>
                <w:sz w:val="22"/>
                <w:szCs w:val="22"/>
              </w:rPr>
            </w:pPr>
            <w:r>
              <w:rPr>
                <w:sz w:val="22"/>
                <w:szCs w:val="22"/>
                <w:lang w:val="en-GB"/>
              </w:rPr>
              <w:t>APEC-Marine Resource Conservation Working Group</w:t>
            </w:r>
          </w:p>
        </w:tc>
      </w:tr>
      <w:tr w:rsidR="00E93E81" w:rsidRPr="00F07F81" w14:paraId="67E33CC6" w14:textId="77777777" w:rsidTr="00AE63B6">
        <w:tc>
          <w:tcPr>
            <w:tcW w:w="2628" w:type="dxa"/>
            <w:shd w:val="clear" w:color="auto" w:fill="FFFFFF"/>
          </w:tcPr>
          <w:p w14:paraId="5D8FE16F" w14:textId="77777777" w:rsidR="00E93E81" w:rsidRPr="00F91284" w:rsidRDefault="000676C2" w:rsidP="00B97976">
            <w:pPr>
              <w:rPr>
                <w:sz w:val="22"/>
                <w:szCs w:val="22"/>
              </w:rPr>
            </w:pPr>
            <w:r>
              <w:rPr>
                <w:sz w:val="22"/>
                <w:szCs w:val="22"/>
                <w:lang w:val="en-GB"/>
              </w:rPr>
              <w:t>ASEAN</w:t>
            </w:r>
          </w:p>
        </w:tc>
        <w:tc>
          <w:tcPr>
            <w:tcW w:w="6120" w:type="dxa"/>
            <w:shd w:val="clear" w:color="auto" w:fill="FFFFFF"/>
          </w:tcPr>
          <w:p w14:paraId="73C857F5" w14:textId="77777777" w:rsidR="00E93E81" w:rsidRPr="00F91284" w:rsidRDefault="000676C2" w:rsidP="000676C2">
            <w:pPr>
              <w:rPr>
                <w:sz w:val="22"/>
                <w:szCs w:val="22"/>
              </w:rPr>
            </w:pPr>
            <w:r>
              <w:rPr>
                <w:sz w:val="22"/>
                <w:szCs w:val="22"/>
                <w:lang w:val="en-GB"/>
              </w:rPr>
              <w:t>Association of South East Asian Nations</w:t>
            </w:r>
          </w:p>
        </w:tc>
      </w:tr>
      <w:tr w:rsidR="00E93E81" w:rsidRPr="00F07F81" w14:paraId="728B0E88" w14:textId="77777777" w:rsidTr="00AE63B6">
        <w:tc>
          <w:tcPr>
            <w:tcW w:w="2628" w:type="dxa"/>
            <w:shd w:val="clear" w:color="auto" w:fill="FFFFFF"/>
          </w:tcPr>
          <w:p w14:paraId="139F71FE" w14:textId="77777777" w:rsidR="00E93E81" w:rsidRPr="00F91284" w:rsidRDefault="000676C2" w:rsidP="00B97976">
            <w:pPr>
              <w:rPr>
                <w:sz w:val="22"/>
                <w:szCs w:val="22"/>
              </w:rPr>
            </w:pPr>
            <w:r>
              <w:rPr>
                <w:sz w:val="22"/>
                <w:szCs w:val="22"/>
                <w:lang w:val="en-GB"/>
              </w:rPr>
              <w:t>ASEAN+1</w:t>
            </w:r>
          </w:p>
        </w:tc>
        <w:tc>
          <w:tcPr>
            <w:tcW w:w="6120" w:type="dxa"/>
            <w:shd w:val="clear" w:color="auto" w:fill="FFFFFF"/>
          </w:tcPr>
          <w:p w14:paraId="66E4CCA0" w14:textId="77777777" w:rsidR="00E93E81" w:rsidRPr="00F91284" w:rsidRDefault="000676C2" w:rsidP="00B97976">
            <w:pPr>
              <w:rPr>
                <w:sz w:val="22"/>
                <w:szCs w:val="22"/>
              </w:rPr>
            </w:pPr>
            <w:r>
              <w:rPr>
                <w:sz w:val="22"/>
                <w:szCs w:val="22"/>
                <w:lang w:val="en-GB"/>
              </w:rPr>
              <w:t>ASEAN-China Strategic Partnership</w:t>
            </w:r>
          </w:p>
        </w:tc>
      </w:tr>
      <w:tr w:rsidR="00E93E81" w:rsidRPr="00F07F81" w14:paraId="3C9775E5" w14:textId="77777777" w:rsidTr="00AE63B6">
        <w:tc>
          <w:tcPr>
            <w:tcW w:w="2628" w:type="dxa"/>
            <w:shd w:val="clear" w:color="auto" w:fill="FFFFFF"/>
          </w:tcPr>
          <w:p w14:paraId="5BB973A3" w14:textId="77777777" w:rsidR="00E93E81" w:rsidRPr="00F91284" w:rsidRDefault="000676C2" w:rsidP="00B97976">
            <w:pPr>
              <w:rPr>
                <w:sz w:val="22"/>
                <w:szCs w:val="22"/>
              </w:rPr>
            </w:pPr>
            <w:r>
              <w:rPr>
                <w:sz w:val="22"/>
                <w:szCs w:val="22"/>
                <w:lang w:val="en-GB"/>
              </w:rPr>
              <w:t>ASEAN+3</w:t>
            </w:r>
          </w:p>
        </w:tc>
        <w:tc>
          <w:tcPr>
            <w:tcW w:w="6120" w:type="dxa"/>
            <w:shd w:val="clear" w:color="auto" w:fill="FFFFFF"/>
          </w:tcPr>
          <w:p w14:paraId="74961458" w14:textId="77777777" w:rsidR="00E93E81" w:rsidRPr="00F91284" w:rsidRDefault="000676C2" w:rsidP="00B97976">
            <w:pPr>
              <w:rPr>
                <w:sz w:val="22"/>
                <w:szCs w:val="22"/>
              </w:rPr>
            </w:pPr>
            <w:r>
              <w:rPr>
                <w:sz w:val="22"/>
                <w:szCs w:val="22"/>
                <w:lang w:val="en-GB"/>
              </w:rPr>
              <w:t>ASEAN plus China, Republic of Korea and Japan</w:t>
            </w:r>
          </w:p>
        </w:tc>
      </w:tr>
      <w:tr w:rsidR="00E93E81" w:rsidRPr="00F07F81" w14:paraId="5090E8E7" w14:textId="77777777" w:rsidTr="00AE63B6">
        <w:tc>
          <w:tcPr>
            <w:tcW w:w="2628" w:type="dxa"/>
            <w:shd w:val="clear" w:color="auto" w:fill="FFFFFF"/>
          </w:tcPr>
          <w:p w14:paraId="1992AAD6" w14:textId="77777777" w:rsidR="00E93E81" w:rsidRPr="00F91284" w:rsidRDefault="000676C2" w:rsidP="00B97976">
            <w:pPr>
              <w:rPr>
                <w:sz w:val="22"/>
                <w:szCs w:val="22"/>
              </w:rPr>
            </w:pPr>
            <w:r>
              <w:rPr>
                <w:sz w:val="22"/>
                <w:szCs w:val="22"/>
                <w:lang w:val="en-GB"/>
              </w:rPr>
              <w:t>CIDA</w:t>
            </w:r>
          </w:p>
        </w:tc>
        <w:tc>
          <w:tcPr>
            <w:tcW w:w="6120" w:type="dxa"/>
            <w:shd w:val="clear" w:color="auto" w:fill="FFFFFF"/>
          </w:tcPr>
          <w:p w14:paraId="2AB082A6" w14:textId="77777777" w:rsidR="00E93E81" w:rsidRPr="00F91284" w:rsidRDefault="000676C2" w:rsidP="00B97976">
            <w:pPr>
              <w:rPr>
                <w:sz w:val="22"/>
                <w:szCs w:val="22"/>
              </w:rPr>
            </w:pPr>
            <w:r>
              <w:rPr>
                <w:sz w:val="22"/>
                <w:szCs w:val="22"/>
                <w:lang w:val="en-GB"/>
              </w:rPr>
              <w:t>Canadian International Development Agenc</w:t>
            </w:r>
            <w:r w:rsidR="00865C2B">
              <w:rPr>
                <w:sz w:val="22"/>
                <w:szCs w:val="22"/>
                <w:lang w:val="en-GB"/>
              </w:rPr>
              <w:t>y</w:t>
            </w:r>
          </w:p>
        </w:tc>
      </w:tr>
      <w:tr w:rsidR="00E93E81" w:rsidRPr="00F07F81" w14:paraId="2F86E9E9" w14:textId="77777777" w:rsidTr="00AE63B6">
        <w:tc>
          <w:tcPr>
            <w:tcW w:w="2628" w:type="dxa"/>
            <w:shd w:val="clear" w:color="auto" w:fill="FFFFFF"/>
          </w:tcPr>
          <w:p w14:paraId="6243D483" w14:textId="77777777" w:rsidR="00E93E81" w:rsidRPr="00F91284" w:rsidRDefault="000676C2" w:rsidP="00B97976">
            <w:pPr>
              <w:rPr>
                <w:sz w:val="22"/>
                <w:szCs w:val="22"/>
              </w:rPr>
            </w:pPr>
            <w:r>
              <w:rPr>
                <w:sz w:val="22"/>
                <w:szCs w:val="22"/>
                <w:lang w:val="en-GB"/>
              </w:rPr>
              <w:t>CITES</w:t>
            </w:r>
          </w:p>
        </w:tc>
        <w:tc>
          <w:tcPr>
            <w:tcW w:w="6120" w:type="dxa"/>
            <w:shd w:val="clear" w:color="auto" w:fill="FFFFFF"/>
          </w:tcPr>
          <w:p w14:paraId="5F3C8353" w14:textId="77777777" w:rsidR="00E93E81" w:rsidRPr="00F91284" w:rsidRDefault="000676C2" w:rsidP="00B97976">
            <w:pPr>
              <w:rPr>
                <w:sz w:val="22"/>
                <w:szCs w:val="22"/>
              </w:rPr>
            </w:pPr>
            <w:r>
              <w:rPr>
                <w:sz w:val="22"/>
                <w:szCs w:val="22"/>
                <w:lang w:val="en-GB"/>
              </w:rPr>
              <w:t>Convention on Trade in Endangered Species</w:t>
            </w:r>
          </w:p>
        </w:tc>
      </w:tr>
      <w:tr w:rsidR="00DE6329" w:rsidRPr="00F07F81" w14:paraId="056958B2" w14:textId="77777777" w:rsidTr="00AE63B6">
        <w:tc>
          <w:tcPr>
            <w:tcW w:w="2628" w:type="dxa"/>
            <w:shd w:val="clear" w:color="auto" w:fill="FFFFFF"/>
          </w:tcPr>
          <w:p w14:paraId="65C8528E" w14:textId="77777777" w:rsidR="00DE6329" w:rsidRDefault="00DE6329" w:rsidP="00B97976">
            <w:pPr>
              <w:rPr>
                <w:sz w:val="22"/>
                <w:szCs w:val="22"/>
                <w:lang w:val="en-GB"/>
              </w:rPr>
            </w:pPr>
            <w:r>
              <w:rPr>
                <w:sz w:val="22"/>
                <w:szCs w:val="22"/>
                <w:lang w:val="en-GB"/>
              </w:rPr>
              <w:t>CO</w:t>
            </w:r>
          </w:p>
        </w:tc>
        <w:tc>
          <w:tcPr>
            <w:tcW w:w="6120" w:type="dxa"/>
            <w:shd w:val="clear" w:color="auto" w:fill="FFFFFF"/>
          </w:tcPr>
          <w:p w14:paraId="5113F34B" w14:textId="77777777" w:rsidR="00DE6329" w:rsidRDefault="00DE6329" w:rsidP="00B97976">
            <w:pPr>
              <w:rPr>
                <w:sz w:val="22"/>
                <w:szCs w:val="22"/>
                <w:lang w:val="en-GB"/>
              </w:rPr>
            </w:pPr>
            <w:r>
              <w:rPr>
                <w:sz w:val="22"/>
                <w:szCs w:val="22"/>
                <w:lang w:val="en-GB"/>
              </w:rPr>
              <w:t>Community Organisation</w:t>
            </w:r>
          </w:p>
        </w:tc>
      </w:tr>
      <w:tr w:rsidR="00E93E81" w:rsidRPr="00F07F81" w14:paraId="6968B36E" w14:textId="77777777" w:rsidTr="00AE63B6">
        <w:tc>
          <w:tcPr>
            <w:tcW w:w="2628" w:type="dxa"/>
            <w:shd w:val="clear" w:color="auto" w:fill="FFFFFF"/>
          </w:tcPr>
          <w:p w14:paraId="357C4CFA" w14:textId="77777777" w:rsidR="00E93E81" w:rsidRPr="00F91284" w:rsidRDefault="000676C2" w:rsidP="00B97976">
            <w:pPr>
              <w:rPr>
                <w:sz w:val="22"/>
                <w:szCs w:val="22"/>
              </w:rPr>
            </w:pPr>
            <w:r>
              <w:rPr>
                <w:sz w:val="22"/>
                <w:szCs w:val="22"/>
                <w:lang w:val="en-GB"/>
              </w:rPr>
              <w:t>COBSEA</w:t>
            </w:r>
          </w:p>
        </w:tc>
        <w:tc>
          <w:tcPr>
            <w:tcW w:w="6120" w:type="dxa"/>
            <w:shd w:val="clear" w:color="auto" w:fill="FFFFFF"/>
          </w:tcPr>
          <w:p w14:paraId="7CA1E204" w14:textId="77777777" w:rsidR="00E93E81" w:rsidRPr="00F91284" w:rsidRDefault="000676C2" w:rsidP="00B97976">
            <w:pPr>
              <w:rPr>
                <w:sz w:val="22"/>
                <w:szCs w:val="22"/>
              </w:rPr>
            </w:pPr>
            <w:r>
              <w:rPr>
                <w:sz w:val="22"/>
                <w:szCs w:val="22"/>
                <w:lang w:val="en-GB"/>
              </w:rPr>
              <w:t>Co-ordinating Body on the Seas of East Asia</w:t>
            </w:r>
          </w:p>
        </w:tc>
      </w:tr>
      <w:tr w:rsidR="00DE6329" w:rsidRPr="00F07F81" w14:paraId="1B270D6D" w14:textId="77777777" w:rsidTr="00AE63B6">
        <w:tc>
          <w:tcPr>
            <w:tcW w:w="2628" w:type="dxa"/>
            <w:shd w:val="clear" w:color="auto" w:fill="FFFFFF"/>
          </w:tcPr>
          <w:p w14:paraId="70B86617" w14:textId="77777777" w:rsidR="00DE6329" w:rsidRDefault="00DE6329" w:rsidP="00B97976">
            <w:pPr>
              <w:rPr>
                <w:sz w:val="22"/>
                <w:szCs w:val="22"/>
                <w:lang w:val="en-GB"/>
              </w:rPr>
            </w:pPr>
            <w:r>
              <w:rPr>
                <w:sz w:val="22"/>
                <w:szCs w:val="22"/>
                <w:lang w:val="en-GB"/>
              </w:rPr>
              <w:t>CSO</w:t>
            </w:r>
          </w:p>
        </w:tc>
        <w:tc>
          <w:tcPr>
            <w:tcW w:w="6120" w:type="dxa"/>
            <w:shd w:val="clear" w:color="auto" w:fill="FFFFFF"/>
          </w:tcPr>
          <w:p w14:paraId="6D31661B" w14:textId="77777777" w:rsidR="00DE6329" w:rsidRDefault="00DE6329" w:rsidP="00B97976">
            <w:pPr>
              <w:rPr>
                <w:sz w:val="22"/>
                <w:szCs w:val="22"/>
                <w:lang w:val="en-GB"/>
              </w:rPr>
            </w:pPr>
            <w:r>
              <w:rPr>
                <w:sz w:val="22"/>
                <w:szCs w:val="22"/>
                <w:lang w:val="en-GB"/>
              </w:rPr>
              <w:t>Civil Society Organisation</w:t>
            </w:r>
          </w:p>
        </w:tc>
      </w:tr>
      <w:tr w:rsidR="00E93E81" w:rsidRPr="00F07F81" w14:paraId="42EDDD7C" w14:textId="77777777" w:rsidTr="00AE63B6">
        <w:tc>
          <w:tcPr>
            <w:tcW w:w="2628" w:type="dxa"/>
            <w:shd w:val="clear" w:color="auto" w:fill="FFFFFF"/>
          </w:tcPr>
          <w:p w14:paraId="443ACC90" w14:textId="77777777" w:rsidR="00E93E81" w:rsidRPr="00F91284" w:rsidRDefault="000676C2" w:rsidP="00B97976">
            <w:pPr>
              <w:rPr>
                <w:sz w:val="22"/>
                <w:szCs w:val="22"/>
              </w:rPr>
            </w:pPr>
            <w:r>
              <w:rPr>
                <w:sz w:val="22"/>
                <w:szCs w:val="22"/>
                <w:lang w:val="en-GB"/>
              </w:rPr>
              <w:t>DANIDA</w:t>
            </w:r>
          </w:p>
        </w:tc>
        <w:tc>
          <w:tcPr>
            <w:tcW w:w="6120" w:type="dxa"/>
            <w:shd w:val="clear" w:color="auto" w:fill="FFFFFF"/>
          </w:tcPr>
          <w:p w14:paraId="1EC69279" w14:textId="77777777" w:rsidR="00E93E81" w:rsidRPr="00F91284" w:rsidRDefault="000676C2" w:rsidP="00B97976">
            <w:pPr>
              <w:rPr>
                <w:sz w:val="22"/>
                <w:szCs w:val="22"/>
              </w:rPr>
            </w:pPr>
            <w:r>
              <w:rPr>
                <w:sz w:val="22"/>
                <w:szCs w:val="22"/>
                <w:lang w:val="en-GB"/>
              </w:rPr>
              <w:t>Danish Internation Development Agency</w:t>
            </w:r>
          </w:p>
        </w:tc>
      </w:tr>
      <w:tr w:rsidR="00E93E81" w:rsidRPr="00F07F81" w14:paraId="021E2B80" w14:textId="77777777" w:rsidTr="00AE63B6">
        <w:tc>
          <w:tcPr>
            <w:tcW w:w="2628" w:type="dxa"/>
            <w:shd w:val="clear" w:color="auto" w:fill="FFFFFF"/>
          </w:tcPr>
          <w:p w14:paraId="3A56BA5C" w14:textId="77777777" w:rsidR="00E93E81" w:rsidRPr="00F91284" w:rsidRDefault="000676C2" w:rsidP="00B97976">
            <w:pPr>
              <w:rPr>
                <w:sz w:val="22"/>
                <w:szCs w:val="22"/>
              </w:rPr>
            </w:pPr>
            <w:r>
              <w:rPr>
                <w:sz w:val="22"/>
                <w:szCs w:val="22"/>
                <w:lang w:val="en-GB"/>
              </w:rPr>
              <w:t>DENR</w:t>
            </w:r>
          </w:p>
        </w:tc>
        <w:tc>
          <w:tcPr>
            <w:tcW w:w="6120" w:type="dxa"/>
            <w:shd w:val="clear" w:color="auto" w:fill="FFFFFF"/>
          </w:tcPr>
          <w:p w14:paraId="2C382CDF" w14:textId="77777777" w:rsidR="00E93E81" w:rsidRPr="00F91284" w:rsidRDefault="000676C2" w:rsidP="00B97976">
            <w:pPr>
              <w:rPr>
                <w:sz w:val="22"/>
                <w:szCs w:val="22"/>
              </w:rPr>
            </w:pPr>
            <w:r>
              <w:rPr>
                <w:sz w:val="22"/>
                <w:szCs w:val="22"/>
                <w:lang w:val="en-GB"/>
              </w:rPr>
              <w:t>Department of Natural Resources and Environment (of the Government of Philippines)</w:t>
            </w:r>
          </w:p>
        </w:tc>
      </w:tr>
      <w:tr w:rsidR="00E93E81" w:rsidRPr="00F07F81" w14:paraId="03279D14" w14:textId="77777777" w:rsidTr="00AE63B6">
        <w:tc>
          <w:tcPr>
            <w:tcW w:w="2628" w:type="dxa"/>
            <w:shd w:val="clear" w:color="auto" w:fill="FFFFFF"/>
          </w:tcPr>
          <w:p w14:paraId="5A7781B9" w14:textId="77777777" w:rsidR="00E93E81" w:rsidRPr="00F91284" w:rsidRDefault="000676C2" w:rsidP="00B97976">
            <w:pPr>
              <w:rPr>
                <w:sz w:val="22"/>
                <w:szCs w:val="22"/>
              </w:rPr>
            </w:pPr>
            <w:r>
              <w:rPr>
                <w:sz w:val="22"/>
                <w:szCs w:val="22"/>
                <w:lang w:val="en-GB"/>
              </w:rPr>
              <w:t>DEPI</w:t>
            </w:r>
          </w:p>
        </w:tc>
        <w:tc>
          <w:tcPr>
            <w:tcW w:w="6120" w:type="dxa"/>
            <w:shd w:val="clear" w:color="auto" w:fill="FFFFFF"/>
          </w:tcPr>
          <w:p w14:paraId="35B88734" w14:textId="77777777" w:rsidR="00E93E81" w:rsidRPr="00F91284" w:rsidRDefault="000676C2" w:rsidP="00B97976">
            <w:pPr>
              <w:rPr>
                <w:sz w:val="22"/>
                <w:szCs w:val="22"/>
              </w:rPr>
            </w:pPr>
            <w:r>
              <w:rPr>
                <w:sz w:val="22"/>
                <w:szCs w:val="22"/>
                <w:lang w:val="en-GB"/>
              </w:rPr>
              <w:t>Division of Environmental Policy Implementation (of UNEP)</w:t>
            </w:r>
          </w:p>
        </w:tc>
      </w:tr>
      <w:tr w:rsidR="00E93E81" w:rsidRPr="00F07F81" w14:paraId="4D24D6C4" w14:textId="77777777" w:rsidTr="00AE63B6">
        <w:tc>
          <w:tcPr>
            <w:tcW w:w="2628" w:type="dxa"/>
            <w:shd w:val="clear" w:color="auto" w:fill="FFFFFF"/>
          </w:tcPr>
          <w:p w14:paraId="21C1AACF" w14:textId="77777777" w:rsidR="00E93E81" w:rsidRPr="00F91284" w:rsidRDefault="000676C2" w:rsidP="00B97976">
            <w:pPr>
              <w:rPr>
                <w:sz w:val="22"/>
                <w:szCs w:val="22"/>
              </w:rPr>
            </w:pPr>
            <w:r>
              <w:rPr>
                <w:sz w:val="22"/>
                <w:szCs w:val="22"/>
                <w:lang w:val="en-GB"/>
              </w:rPr>
              <w:t>EAS/RCU</w:t>
            </w:r>
          </w:p>
        </w:tc>
        <w:tc>
          <w:tcPr>
            <w:tcW w:w="6120" w:type="dxa"/>
            <w:shd w:val="clear" w:color="auto" w:fill="FFFFFF"/>
          </w:tcPr>
          <w:p w14:paraId="1DC296ED" w14:textId="77777777" w:rsidR="00E93E81" w:rsidRPr="00F91284" w:rsidRDefault="000676C2" w:rsidP="00B97976">
            <w:pPr>
              <w:rPr>
                <w:sz w:val="22"/>
                <w:szCs w:val="22"/>
              </w:rPr>
            </w:pPr>
            <w:r>
              <w:rPr>
                <w:sz w:val="22"/>
                <w:szCs w:val="22"/>
                <w:lang w:val="en-GB"/>
              </w:rPr>
              <w:t>East Asian Seas Regional Coordinating Unit</w:t>
            </w:r>
          </w:p>
        </w:tc>
      </w:tr>
      <w:tr w:rsidR="000A3871" w:rsidRPr="00F07F81" w14:paraId="46F7694C" w14:textId="77777777" w:rsidTr="00AE63B6">
        <w:tc>
          <w:tcPr>
            <w:tcW w:w="2628" w:type="dxa"/>
            <w:shd w:val="clear" w:color="auto" w:fill="FFFFFF"/>
          </w:tcPr>
          <w:p w14:paraId="195000C9" w14:textId="77777777" w:rsidR="000A3871" w:rsidRDefault="000A3871" w:rsidP="00B97976">
            <w:pPr>
              <w:rPr>
                <w:sz w:val="22"/>
                <w:szCs w:val="22"/>
                <w:lang w:val="en-GB"/>
              </w:rPr>
            </w:pPr>
            <w:r>
              <w:rPr>
                <w:sz w:val="22"/>
                <w:szCs w:val="22"/>
                <w:lang w:val="en-GB"/>
              </w:rPr>
              <w:t>EBM</w:t>
            </w:r>
          </w:p>
        </w:tc>
        <w:tc>
          <w:tcPr>
            <w:tcW w:w="6120" w:type="dxa"/>
            <w:shd w:val="clear" w:color="auto" w:fill="FFFFFF"/>
          </w:tcPr>
          <w:p w14:paraId="2D3AE1DB" w14:textId="77777777" w:rsidR="000A3871" w:rsidRDefault="000A3871" w:rsidP="00B97976">
            <w:pPr>
              <w:rPr>
                <w:sz w:val="22"/>
                <w:szCs w:val="22"/>
                <w:lang w:val="en-GB"/>
              </w:rPr>
            </w:pPr>
            <w:r>
              <w:rPr>
                <w:sz w:val="22"/>
                <w:szCs w:val="22"/>
                <w:lang w:val="en-GB"/>
              </w:rPr>
              <w:t>Ecosystem-based Management</w:t>
            </w:r>
          </w:p>
        </w:tc>
      </w:tr>
      <w:tr w:rsidR="00E93E81" w:rsidRPr="00F07F81" w14:paraId="7E37B806" w14:textId="77777777" w:rsidTr="00AE63B6">
        <w:tc>
          <w:tcPr>
            <w:tcW w:w="2628" w:type="dxa"/>
            <w:shd w:val="clear" w:color="auto" w:fill="FFFFFF"/>
          </w:tcPr>
          <w:p w14:paraId="1C8F612D" w14:textId="77777777" w:rsidR="00E93E81" w:rsidRPr="00F91284" w:rsidRDefault="000676C2" w:rsidP="00B97976">
            <w:pPr>
              <w:rPr>
                <w:sz w:val="22"/>
                <w:szCs w:val="22"/>
              </w:rPr>
            </w:pPr>
            <w:r>
              <w:rPr>
                <w:sz w:val="22"/>
                <w:szCs w:val="22"/>
                <w:lang w:val="en-GB"/>
              </w:rPr>
              <w:t>EO</w:t>
            </w:r>
          </w:p>
        </w:tc>
        <w:tc>
          <w:tcPr>
            <w:tcW w:w="6120" w:type="dxa"/>
            <w:shd w:val="clear" w:color="auto" w:fill="FFFFFF"/>
          </w:tcPr>
          <w:p w14:paraId="438FC9A6" w14:textId="77777777" w:rsidR="00E93E81" w:rsidRPr="00F91284" w:rsidRDefault="000676C2" w:rsidP="00B97976">
            <w:pPr>
              <w:rPr>
                <w:sz w:val="22"/>
                <w:szCs w:val="22"/>
              </w:rPr>
            </w:pPr>
            <w:r>
              <w:rPr>
                <w:sz w:val="22"/>
                <w:szCs w:val="22"/>
                <w:lang w:val="en-GB"/>
              </w:rPr>
              <w:t>Executive Order</w:t>
            </w:r>
          </w:p>
        </w:tc>
      </w:tr>
      <w:tr w:rsidR="000676C2" w:rsidRPr="00F07F81" w14:paraId="68C8FBEE" w14:textId="77777777" w:rsidTr="00AE63B6">
        <w:tc>
          <w:tcPr>
            <w:tcW w:w="2628" w:type="dxa"/>
            <w:shd w:val="clear" w:color="auto" w:fill="FFFFFF"/>
          </w:tcPr>
          <w:p w14:paraId="3A9BAC66" w14:textId="77777777" w:rsidR="000676C2" w:rsidRDefault="000676C2" w:rsidP="00B97976">
            <w:pPr>
              <w:rPr>
                <w:sz w:val="22"/>
                <w:szCs w:val="22"/>
                <w:lang w:val="en-GB"/>
              </w:rPr>
            </w:pPr>
            <w:r>
              <w:rPr>
                <w:sz w:val="22"/>
                <w:szCs w:val="22"/>
                <w:lang w:val="en-GB"/>
              </w:rPr>
              <w:t>EOU</w:t>
            </w:r>
          </w:p>
        </w:tc>
        <w:tc>
          <w:tcPr>
            <w:tcW w:w="6120" w:type="dxa"/>
            <w:shd w:val="clear" w:color="auto" w:fill="FFFFFF"/>
          </w:tcPr>
          <w:p w14:paraId="0131A664" w14:textId="77777777" w:rsidR="000676C2" w:rsidRDefault="000676C2" w:rsidP="00B97976">
            <w:pPr>
              <w:rPr>
                <w:sz w:val="22"/>
                <w:szCs w:val="22"/>
                <w:lang w:val="en-GB"/>
              </w:rPr>
            </w:pPr>
            <w:r>
              <w:rPr>
                <w:sz w:val="22"/>
                <w:szCs w:val="22"/>
                <w:lang w:val="en-GB"/>
              </w:rPr>
              <w:t>Evaluation Office (of UNEP)</w:t>
            </w:r>
          </w:p>
        </w:tc>
      </w:tr>
      <w:tr w:rsidR="00E93E81" w:rsidRPr="00F07F81" w14:paraId="707117C4" w14:textId="77777777" w:rsidTr="00AE63B6">
        <w:tc>
          <w:tcPr>
            <w:tcW w:w="2628" w:type="dxa"/>
            <w:shd w:val="clear" w:color="auto" w:fill="FFFFFF"/>
          </w:tcPr>
          <w:p w14:paraId="0175BCBF" w14:textId="77777777" w:rsidR="00E93E81" w:rsidRPr="00F91284" w:rsidRDefault="000676C2" w:rsidP="00B97976">
            <w:pPr>
              <w:rPr>
                <w:sz w:val="22"/>
                <w:szCs w:val="22"/>
              </w:rPr>
            </w:pPr>
            <w:r>
              <w:rPr>
                <w:sz w:val="22"/>
                <w:szCs w:val="22"/>
                <w:lang w:val="en-GB"/>
              </w:rPr>
              <w:t>EU</w:t>
            </w:r>
          </w:p>
        </w:tc>
        <w:tc>
          <w:tcPr>
            <w:tcW w:w="6120" w:type="dxa"/>
            <w:shd w:val="clear" w:color="auto" w:fill="FFFFFF"/>
          </w:tcPr>
          <w:p w14:paraId="1CD69DD1" w14:textId="77777777" w:rsidR="00E93E81" w:rsidRPr="00F91284" w:rsidRDefault="000676C2" w:rsidP="00B97976">
            <w:pPr>
              <w:rPr>
                <w:sz w:val="22"/>
                <w:szCs w:val="22"/>
              </w:rPr>
            </w:pPr>
            <w:r>
              <w:rPr>
                <w:sz w:val="22"/>
                <w:szCs w:val="22"/>
                <w:lang w:val="en-GB"/>
              </w:rPr>
              <w:t>European Union</w:t>
            </w:r>
          </w:p>
        </w:tc>
      </w:tr>
      <w:tr w:rsidR="00E93E81" w:rsidRPr="00F07F81" w14:paraId="4A07F2FB" w14:textId="77777777" w:rsidTr="00AE63B6">
        <w:tc>
          <w:tcPr>
            <w:tcW w:w="2628" w:type="dxa"/>
            <w:shd w:val="clear" w:color="auto" w:fill="FFFFFF"/>
          </w:tcPr>
          <w:p w14:paraId="3DA9B26D" w14:textId="77777777" w:rsidR="00E93E81" w:rsidRPr="00F91284" w:rsidRDefault="000676C2" w:rsidP="00B97976">
            <w:pPr>
              <w:rPr>
                <w:sz w:val="22"/>
                <w:szCs w:val="22"/>
              </w:rPr>
            </w:pPr>
            <w:r>
              <w:rPr>
                <w:sz w:val="22"/>
                <w:szCs w:val="22"/>
                <w:lang w:val="en-GB"/>
              </w:rPr>
              <w:t>FAO</w:t>
            </w:r>
          </w:p>
        </w:tc>
        <w:tc>
          <w:tcPr>
            <w:tcW w:w="6120" w:type="dxa"/>
            <w:shd w:val="clear" w:color="auto" w:fill="FFFFFF"/>
          </w:tcPr>
          <w:p w14:paraId="322ED757" w14:textId="77777777" w:rsidR="00E93E81" w:rsidRPr="00F91284" w:rsidRDefault="000676C2" w:rsidP="00B97976">
            <w:pPr>
              <w:rPr>
                <w:sz w:val="22"/>
                <w:szCs w:val="22"/>
              </w:rPr>
            </w:pPr>
            <w:r>
              <w:rPr>
                <w:sz w:val="22"/>
                <w:szCs w:val="22"/>
                <w:lang w:val="en-GB"/>
              </w:rPr>
              <w:t>Food and Agriculture Organization (of the United Nations)</w:t>
            </w:r>
          </w:p>
        </w:tc>
      </w:tr>
      <w:tr w:rsidR="00E93E81" w:rsidRPr="00F07F81" w14:paraId="1E7854CE" w14:textId="77777777" w:rsidTr="00AE63B6">
        <w:tc>
          <w:tcPr>
            <w:tcW w:w="2628" w:type="dxa"/>
            <w:shd w:val="clear" w:color="auto" w:fill="FFFFFF"/>
          </w:tcPr>
          <w:p w14:paraId="2E0160E0" w14:textId="77777777" w:rsidR="00E93E81" w:rsidRPr="00F91284" w:rsidRDefault="000676C2" w:rsidP="00B97976">
            <w:pPr>
              <w:rPr>
                <w:sz w:val="22"/>
                <w:szCs w:val="22"/>
              </w:rPr>
            </w:pPr>
            <w:r>
              <w:rPr>
                <w:sz w:val="22"/>
                <w:szCs w:val="22"/>
                <w:lang w:val="en-GB"/>
              </w:rPr>
              <w:t>GEF</w:t>
            </w:r>
          </w:p>
        </w:tc>
        <w:tc>
          <w:tcPr>
            <w:tcW w:w="6120" w:type="dxa"/>
            <w:shd w:val="clear" w:color="auto" w:fill="FFFFFF"/>
          </w:tcPr>
          <w:p w14:paraId="05EE351D" w14:textId="77777777" w:rsidR="00E93E81" w:rsidRPr="00F91284" w:rsidRDefault="000676C2" w:rsidP="00B97976">
            <w:pPr>
              <w:rPr>
                <w:sz w:val="22"/>
                <w:szCs w:val="22"/>
              </w:rPr>
            </w:pPr>
            <w:r>
              <w:rPr>
                <w:sz w:val="22"/>
                <w:szCs w:val="22"/>
                <w:lang w:val="en-GB"/>
              </w:rPr>
              <w:t>Global Environment Facility</w:t>
            </w:r>
          </w:p>
        </w:tc>
      </w:tr>
      <w:tr w:rsidR="00BB73D6" w:rsidRPr="00F07F81" w14:paraId="5F2AA9BF" w14:textId="77777777" w:rsidTr="00AE63B6">
        <w:tc>
          <w:tcPr>
            <w:tcW w:w="2628" w:type="dxa"/>
            <w:shd w:val="clear" w:color="auto" w:fill="FFFFFF"/>
          </w:tcPr>
          <w:p w14:paraId="095A3051" w14:textId="77777777" w:rsidR="00BB73D6" w:rsidRPr="00F91284" w:rsidRDefault="00BB73D6" w:rsidP="00B97976">
            <w:pPr>
              <w:rPr>
                <w:sz w:val="22"/>
                <w:szCs w:val="22"/>
                <w:lang w:val="en-GB"/>
              </w:rPr>
            </w:pPr>
            <w:r>
              <w:rPr>
                <w:sz w:val="22"/>
                <w:szCs w:val="22"/>
                <w:lang w:val="en-GB"/>
              </w:rPr>
              <w:t>GIS</w:t>
            </w:r>
          </w:p>
        </w:tc>
        <w:tc>
          <w:tcPr>
            <w:tcW w:w="6120" w:type="dxa"/>
            <w:shd w:val="clear" w:color="auto" w:fill="FFFFFF"/>
          </w:tcPr>
          <w:p w14:paraId="63FC3FDB" w14:textId="77777777" w:rsidR="00BB73D6" w:rsidRPr="00F91284" w:rsidRDefault="00BB73D6" w:rsidP="00B97976">
            <w:pPr>
              <w:rPr>
                <w:sz w:val="22"/>
                <w:szCs w:val="22"/>
                <w:lang w:val="en-GB"/>
              </w:rPr>
            </w:pPr>
            <w:r>
              <w:rPr>
                <w:sz w:val="22"/>
                <w:szCs w:val="22"/>
                <w:lang w:val="en-GB"/>
              </w:rPr>
              <w:t>Geographical Information System</w:t>
            </w:r>
          </w:p>
        </w:tc>
      </w:tr>
      <w:tr w:rsidR="00866151" w:rsidRPr="00F07F81" w14:paraId="4B220D9B" w14:textId="77777777" w:rsidTr="00AE63B6">
        <w:tc>
          <w:tcPr>
            <w:tcW w:w="2628" w:type="dxa"/>
            <w:shd w:val="clear" w:color="auto" w:fill="FFFFFF"/>
          </w:tcPr>
          <w:p w14:paraId="02BEE187" w14:textId="77777777" w:rsidR="00866151" w:rsidRDefault="00866151" w:rsidP="00B97976">
            <w:pPr>
              <w:rPr>
                <w:sz w:val="22"/>
                <w:szCs w:val="22"/>
                <w:lang w:val="en-GB"/>
              </w:rPr>
            </w:pPr>
            <w:r>
              <w:rPr>
                <w:sz w:val="22"/>
                <w:szCs w:val="22"/>
                <w:lang w:val="en-GB"/>
              </w:rPr>
              <w:t>GOOS</w:t>
            </w:r>
          </w:p>
        </w:tc>
        <w:tc>
          <w:tcPr>
            <w:tcW w:w="6120" w:type="dxa"/>
            <w:shd w:val="clear" w:color="auto" w:fill="FFFFFF"/>
          </w:tcPr>
          <w:p w14:paraId="6FDEA30D" w14:textId="77777777" w:rsidR="00866151" w:rsidRDefault="00866151" w:rsidP="0071562F">
            <w:pPr>
              <w:rPr>
                <w:sz w:val="22"/>
                <w:szCs w:val="22"/>
                <w:lang w:val="en-GB"/>
              </w:rPr>
            </w:pPr>
            <w:r>
              <w:rPr>
                <w:sz w:val="22"/>
                <w:szCs w:val="22"/>
                <w:lang w:val="en-GB"/>
              </w:rPr>
              <w:t>Global Ocean Observing System</w:t>
            </w:r>
          </w:p>
        </w:tc>
      </w:tr>
      <w:tr w:rsidR="002F0E08" w:rsidRPr="00F07F81" w14:paraId="08B2C52C" w14:textId="77777777" w:rsidTr="00AE63B6">
        <w:tc>
          <w:tcPr>
            <w:tcW w:w="2628" w:type="dxa"/>
            <w:shd w:val="clear" w:color="auto" w:fill="FFFFFF"/>
          </w:tcPr>
          <w:p w14:paraId="7470C2A8" w14:textId="77777777" w:rsidR="002F0E08" w:rsidRDefault="002F0E08" w:rsidP="00B97976">
            <w:pPr>
              <w:rPr>
                <w:sz w:val="22"/>
                <w:szCs w:val="22"/>
                <w:lang w:val="en-GB"/>
              </w:rPr>
            </w:pPr>
            <w:r>
              <w:rPr>
                <w:sz w:val="22"/>
                <w:szCs w:val="22"/>
                <w:lang w:val="en-GB"/>
              </w:rPr>
              <w:t>GoT</w:t>
            </w:r>
          </w:p>
        </w:tc>
        <w:tc>
          <w:tcPr>
            <w:tcW w:w="6120" w:type="dxa"/>
            <w:shd w:val="clear" w:color="auto" w:fill="FFFFFF"/>
          </w:tcPr>
          <w:p w14:paraId="24E88E96" w14:textId="77777777" w:rsidR="002F0E08" w:rsidRDefault="002F0E08" w:rsidP="00B97976">
            <w:pPr>
              <w:rPr>
                <w:sz w:val="22"/>
                <w:szCs w:val="22"/>
                <w:lang w:val="en-GB"/>
              </w:rPr>
            </w:pPr>
            <w:r>
              <w:rPr>
                <w:sz w:val="22"/>
                <w:szCs w:val="22"/>
                <w:lang w:val="en-GB"/>
              </w:rPr>
              <w:t>Gulf of Thailand</w:t>
            </w:r>
          </w:p>
        </w:tc>
      </w:tr>
      <w:tr w:rsidR="00866151" w:rsidRPr="00F07F81" w14:paraId="04F1D2B1" w14:textId="77777777" w:rsidTr="00AE63B6">
        <w:tc>
          <w:tcPr>
            <w:tcW w:w="2628" w:type="dxa"/>
            <w:shd w:val="clear" w:color="auto" w:fill="FFFFFF"/>
          </w:tcPr>
          <w:p w14:paraId="4D42D0B2" w14:textId="77777777" w:rsidR="00866151" w:rsidRDefault="00866151" w:rsidP="00B97976">
            <w:pPr>
              <w:rPr>
                <w:sz w:val="22"/>
                <w:szCs w:val="22"/>
                <w:lang w:val="en-GB"/>
              </w:rPr>
            </w:pPr>
            <w:r>
              <w:rPr>
                <w:sz w:val="22"/>
                <w:szCs w:val="22"/>
                <w:lang w:val="en-GB"/>
              </w:rPr>
              <w:t>GPA/LBA</w:t>
            </w:r>
          </w:p>
        </w:tc>
        <w:tc>
          <w:tcPr>
            <w:tcW w:w="6120" w:type="dxa"/>
            <w:shd w:val="clear" w:color="auto" w:fill="FFFFFF"/>
          </w:tcPr>
          <w:p w14:paraId="174D20D9" w14:textId="77777777" w:rsidR="00866151" w:rsidRDefault="00866151" w:rsidP="00B97976">
            <w:pPr>
              <w:rPr>
                <w:sz w:val="22"/>
                <w:szCs w:val="22"/>
                <w:lang w:val="en-GB"/>
              </w:rPr>
            </w:pPr>
            <w:r w:rsidRPr="00866151">
              <w:rPr>
                <w:sz w:val="22"/>
                <w:szCs w:val="22"/>
                <w:lang w:val="en-GB"/>
              </w:rPr>
              <w:t>Global Programme of Action for the Protection of the Marine Environment from Land-based Pollution</w:t>
            </w:r>
          </w:p>
        </w:tc>
      </w:tr>
      <w:tr w:rsidR="00E93E81" w:rsidRPr="00F07F81" w14:paraId="65A5ADEF" w14:textId="77777777" w:rsidTr="00AE63B6">
        <w:tc>
          <w:tcPr>
            <w:tcW w:w="2628" w:type="dxa"/>
            <w:shd w:val="clear" w:color="auto" w:fill="FFFFFF"/>
          </w:tcPr>
          <w:p w14:paraId="4C2C8A12" w14:textId="77777777" w:rsidR="00E93E81" w:rsidRPr="00F91284" w:rsidRDefault="000676C2" w:rsidP="00B97976">
            <w:pPr>
              <w:rPr>
                <w:sz w:val="22"/>
                <w:szCs w:val="22"/>
              </w:rPr>
            </w:pPr>
            <w:r>
              <w:rPr>
                <w:sz w:val="22"/>
                <w:szCs w:val="22"/>
                <w:lang w:val="en-GB"/>
              </w:rPr>
              <w:t>ICM</w:t>
            </w:r>
          </w:p>
        </w:tc>
        <w:tc>
          <w:tcPr>
            <w:tcW w:w="6120" w:type="dxa"/>
            <w:shd w:val="clear" w:color="auto" w:fill="FFFFFF"/>
          </w:tcPr>
          <w:p w14:paraId="63B9B019" w14:textId="77777777" w:rsidR="00E93E81" w:rsidRPr="00F91284" w:rsidRDefault="000676C2" w:rsidP="00B97976">
            <w:pPr>
              <w:rPr>
                <w:sz w:val="22"/>
                <w:szCs w:val="22"/>
              </w:rPr>
            </w:pPr>
            <w:r>
              <w:rPr>
                <w:sz w:val="22"/>
                <w:szCs w:val="22"/>
                <w:lang w:val="en-GB"/>
              </w:rPr>
              <w:t>Integrated Coastal Management</w:t>
            </w:r>
          </w:p>
        </w:tc>
      </w:tr>
      <w:tr w:rsidR="00E93E81" w:rsidRPr="00F07F81" w14:paraId="6D280C60" w14:textId="77777777" w:rsidTr="00AE63B6">
        <w:tc>
          <w:tcPr>
            <w:tcW w:w="2628" w:type="dxa"/>
            <w:shd w:val="clear" w:color="auto" w:fill="FFFFFF"/>
          </w:tcPr>
          <w:p w14:paraId="200E9786" w14:textId="77777777" w:rsidR="00E93E81" w:rsidRPr="00F91284" w:rsidRDefault="000676C2" w:rsidP="00B97976">
            <w:pPr>
              <w:rPr>
                <w:sz w:val="22"/>
                <w:szCs w:val="22"/>
              </w:rPr>
            </w:pPr>
            <w:r>
              <w:rPr>
                <w:sz w:val="22"/>
                <w:szCs w:val="22"/>
                <w:lang w:val="en-GB"/>
              </w:rPr>
              <w:t>IMC</w:t>
            </w:r>
          </w:p>
        </w:tc>
        <w:tc>
          <w:tcPr>
            <w:tcW w:w="6120" w:type="dxa"/>
            <w:shd w:val="clear" w:color="auto" w:fill="FFFFFF"/>
          </w:tcPr>
          <w:p w14:paraId="6AD7A028" w14:textId="77777777" w:rsidR="00E93E81" w:rsidRPr="00F91284" w:rsidRDefault="00BB73D6" w:rsidP="00B97976">
            <w:pPr>
              <w:rPr>
                <w:sz w:val="22"/>
                <w:szCs w:val="22"/>
              </w:rPr>
            </w:pPr>
            <w:r>
              <w:rPr>
                <w:sz w:val="22"/>
                <w:szCs w:val="22"/>
                <w:lang w:val="en-GB"/>
              </w:rPr>
              <w:t>Inter-Ministry Committee</w:t>
            </w:r>
          </w:p>
        </w:tc>
      </w:tr>
      <w:tr w:rsidR="00E93E81" w:rsidRPr="00F07F81" w14:paraId="2973A73F" w14:textId="77777777" w:rsidTr="00AE63B6">
        <w:tc>
          <w:tcPr>
            <w:tcW w:w="2628" w:type="dxa"/>
            <w:shd w:val="clear" w:color="auto" w:fill="FFFFFF"/>
          </w:tcPr>
          <w:p w14:paraId="346FA3CE" w14:textId="77777777" w:rsidR="00E93E81" w:rsidRPr="00F91284" w:rsidRDefault="000676C2" w:rsidP="00B97976">
            <w:pPr>
              <w:rPr>
                <w:sz w:val="22"/>
                <w:szCs w:val="22"/>
              </w:rPr>
            </w:pPr>
            <w:r>
              <w:rPr>
                <w:sz w:val="22"/>
                <w:szCs w:val="22"/>
                <w:lang w:val="en-GB"/>
              </w:rPr>
              <w:t>IMO</w:t>
            </w:r>
          </w:p>
        </w:tc>
        <w:tc>
          <w:tcPr>
            <w:tcW w:w="6120" w:type="dxa"/>
            <w:shd w:val="clear" w:color="auto" w:fill="FFFFFF"/>
          </w:tcPr>
          <w:p w14:paraId="39EBE316" w14:textId="77777777" w:rsidR="00E93E81" w:rsidRPr="00F91284" w:rsidRDefault="000676C2" w:rsidP="00B97976">
            <w:pPr>
              <w:rPr>
                <w:sz w:val="22"/>
                <w:szCs w:val="22"/>
              </w:rPr>
            </w:pPr>
            <w:r>
              <w:rPr>
                <w:sz w:val="22"/>
                <w:szCs w:val="22"/>
                <w:lang w:val="en-GB"/>
              </w:rPr>
              <w:t>International Maritime Organisation</w:t>
            </w:r>
          </w:p>
        </w:tc>
      </w:tr>
      <w:tr w:rsidR="00866151" w:rsidRPr="00F07F81" w14:paraId="01F43FF3" w14:textId="77777777" w:rsidTr="00AE63B6">
        <w:tc>
          <w:tcPr>
            <w:tcW w:w="2628" w:type="dxa"/>
            <w:shd w:val="clear" w:color="auto" w:fill="FFFFFF"/>
          </w:tcPr>
          <w:p w14:paraId="54E3F713" w14:textId="77777777" w:rsidR="00866151" w:rsidRPr="00F91284" w:rsidRDefault="00866151" w:rsidP="00B97976">
            <w:pPr>
              <w:rPr>
                <w:sz w:val="22"/>
                <w:szCs w:val="22"/>
                <w:lang w:val="en-GB"/>
              </w:rPr>
            </w:pPr>
            <w:r>
              <w:rPr>
                <w:sz w:val="22"/>
                <w:szCs w:val="22"/>
                <w:lang w:val="en-GB"/>
              </w:rPr>
              <w:t>IOC WESTPAC</w:t>
            </w:r>
          </w:p>
        </w:tc>
        <w:tc>
          <w:tcPr>
            <w:tcW w:w="6120" w:type="dxa"/>
            <w:shd w:val="clear" w:color="auto" w:fill="FFFFFF"/>
          </w:tcPr>
          <w:p w14:paraId="488A6FEA" w14:textId="77777777" w:rsidR="00866151" w:rsidRPr="00F91284" w:rsidRDefault="00866151" w:rsidP="00B97976">
            <w:pPr>
              <w:rPr>
                <w:sz w:val="22"/>
                <w:szCs w:val="22"/>
                <w:lang w:val="en-GB"/>
              </w:rPr>
            </w:pPr>
            <w:r w:rsidRPr="00866151">
              <w:rPr>
                <w:sz w:val="22"/>
                <w:szCs w:val="22"/>
                <w:lang w:val="en-GB"/>
              </w:rPr>
              <w:t>Intergovernmental Oceanographic Commission Sub-commission for the Western Pacific</w:t>
            </w:r>
          </w:p>
        </w:tc>
      </w:tr>
      <w:tr w:rsidR="00E93E81" w:rsidRPr="00F07F81" w14:paraId="3277D585" w14:textId="77777777" w:rsidTr="00AE63B6">
        <w:tc>
          <w:tcPr>
            <w:tcW w:w="2628" w:type="dxa"/>
            <w:shd w:val="clear" w:color="auto" w:fill="FFFFFF"/>
          </w:tcPr>
          <w:p w14:paraId="1245FBE3" w14:textId="77777777" w:rsidR="00E93E81" w:rsidRPr="00F91284" w:rsidRDefault="000676C2" w:rsidP="00B97976">
            <w:pPr>
              <w:rPr>
                <w:sz w:val="22"/>
                <w:szCs w:val="22"/>
              </w:rPr>
            </w:pPr>
            <w:r>
              <w:rPr>
                <w:sz w:val="22"/>
                <w:szCs w:val="22"/>
                <w:lang w:val="en-GB"/>
              </w:rPr>
              <w:t>IUCN</w:t>
            </w:r>
          </w:p>
        </w:tc>
        <w:tc>
          <w:tcPr>
            <w:tcW w:w="6120" w:type="dxa"/>
            <w:shd w:val="clear" w:color="auto" w:fill="FFFFFF"/>
          </w:tcPr>
          <w:p w14:paraId="21DCE632" w14:textId="77777777" w:rsidR="00E93E81" w:rsidRPr="00F91284" w:rsidRDefault="00866151" w:rsidP="00B97976">
            <w:pPr>
              <w:rPr>
                <w:sz w:val="22"/>
                <w:szCs w:val="22"/>
              </w:rPr>
            </w:pPr>
            <w:r>
              <w:rPr>
                <w:sz w:val="22"/>
                <w:szCs w:val="22"/>
                <w:lang w:val="en-GB"/>
              </w:rPr>
              <w:t>International Union for the Conservation of Nature</w:t>
            </w:r>
          </w:p>
        </w:tc>
      </w:tr>
      <w:tr w:rsidR="00E93E81" w:rsidRPr="00F07F81" w14:paraId="47739503" w14:textId="77777777" w:rsidTr="00AE63B6">
        <w:tc>
          <w:tcPr>
            <w:tcW w:w="2628" w:type="dxa"/>
            <w:shd w:val="clear" w:color="auto" w:fill="FFFFFF"/>
          </w:tcPr>
          <w:p w14:paraId="3A47227D" w14:textId="77777777" w:rsidR="00E93E81" w:rsidRPr="00F91284" w:rsidRDefault="000676C2" w:rsidP="00B97976">
            <w:pPr>
              <w:rPr>
                <w:sz w:val="22"/>
                <w:szCs w:val="22"/>
              </w:rPr>
            </w:pPr>
            <w:r>
              <w:rPr>
                <w:sz w:val="22"/>
                <w:szCs w:val="22"/>
                <w:lang w:val="en-GB"/>
              </w:rPr>
              <w:t>IW</w:t>
            </w:r>
          </w:p>
        </w:tc>
        <w:tc>
          <w:tcPr>
            <w:tcW w:w="6120" w:type="dxa"/>
            <w:shd w:val="clear" w:color="auto" w:fill="FFFFFF"/>
          </w:tcPr>
          <w:p w14:paraId="5602E0B6" w14:textId="77777777" w:rsidR="00E93E81" w:rsidRPr="00F91284" w:rsidRDefault="00BB73D6" w:rsidP="00B97976">
            <w:pPr>
              <w:rPr>
                <w:sz w:val="22"/>
                <w:szCs w:val="22"/>
              </w:rPr>
            </w:pPr>
            <w:r>
              <w:rPr>
                <w:sz w:val="22"/>
                <w:szCs w:val="22"/>
                <w:lang w:val="en-GB"/>
              </w:rPr>
              <w:t>GEF International Waters Focal Area</w:t>
            </w:r>
          </w:p>
        </w:tc>
      </w:tr>
      <w:tr w:rsidR="00BB73D6" w:rsidRPr="00F07F81" w14:paraId="09192C5E" w14:textId="77777777" w:rsidTr="00AE63B6">
        <w:tc>
          <w:tcPr>
            <w:tcW w:w="2628" w:type="dxa"/>
            <w:shd w:val="clear" w:color="auto" w:fill="FFFFFF"/>
          </w:tcPr>
          <w:p w14:paraId="38286756" w14:textId="77777777" w:rsidR="00BB73D6" w:rsidRPr="00F91284" w:rsidRDefault="00BB73D6" w:rsidP="00B97976">
            <w:pPr>
              <w:rPr>
                <w:sz w:val="22"/>
                <w:szCs w:val="22"/>
                <w:lang w:val="en-GB"/>
              </w:rPr>
            </w:pPr>
            <w:r>
              <w:rPr>
                <w:sz w:val="22"/>
                <w:szCs w:val="22"/>
                <w:lang w:val="en-GB"/>
              </w:rPr>
              <w:t>IW:LEARN</w:t>
            </w:r>
          </w:p>
        </w:tc>
        <w:tc>
          <w:tcPr>
            <w:tcW w:w="6120" w:type="dxa"/>
            <w:shd w:val="clear" w:color="auto" w:fill="FFFFFF"/>
          </w:tcPr>
          <w:p w14:paraId="01112085" w14:textId="77777777" w:rsidR="00BB73D6" w:rsidRDefault="00BB73D6" w:rsidP="00B97976">
            <w:pPr>
              <w:rPr>
                <w:sz w:val="22"/>
                <w:szCs w:val="22"/>
                <w:lang w:val="en-GB"/>
              </w:rPr>
            </w:pPr>
            <w:r>
              <w:rPr>
                <w:sz w:val="22"/>
                <w:szCs w:val="22"/>
                <w:lang w:val="en-GB"/>
              </w:rPr>
              <w:t>International Waters Learning, Exchange and Resource Network</w:t>
            </w:r>
          </w:p>
        </w:tc>
      </w:tr>
      <w:tr w:rsidR="00866151" w:rsidRPr="00F07F81" w14:paraId="4FDABEB9" w14:textId="77777777" w:rsidTr="00AE63B6">
        <w:tc>
          <w:tcPr>
            <w:tcW w:w="2628" w:type="dxa"/>
            <w:shd w:val="clear" w:color="auto" w:fill="FFFFFF"/>
          </w:tcPr>
          <w:p w14:paraId="25C7BF69" w14:textId="77777777" w:rsidR="00866151" w:rsidRDefault="00866151" w:rsidP="00B97976">
            <w:pPr>
              <w:rPr>
                <w:sz w:val="22"/>
                <w:szCs w:val="22"/>
                <w:lang w:val="en-GB"/>
              </w:rPr>
            </w:pPr>
            <w:r>
              <w:rPr>
                <w:sz w:val="22"/>
                <w:szCs w:val="22"/>
                <w:lang w:val="en-GB"/>
              </w:rPr>
              <w:t>JODC</w:t>
            </w:r>
          </w:p>
        </w:tc>
        <w:tc>
          <w:tcPr>
            <w:tcW w:w="6120" w:type="dxa"/>
            <w:shd w:val="clear" w:color="auto" w:fill="FFFFFF"/>
          </w:tcPr>
          <w:p w14:paraId="7B06D307" w14:textId="77777777" w:rsidR="00866151" w:rsidRDefault="00866151" w:rsidP="00B97976">
            <w:pPr>
              <w:rPr>
                <w:sz w:val="22"/>
                <w:szCs w:val="22"/>
                <w:lang w:val="en-GB"/>
              </w:rPr>
            </w:pPr>
            <w:r w:rsidRPr="00866151">
              <w:rPr>
                <w:sz w:val="22"/>
                <w:szCs w:val="22"/>
                <w:lang w:val="en-GB"/>
              </w:rPr>
              <w:t>Japan Oceanographic Data Centre</w:t>
            </w:r>
          </w:p>
        </w:tc>
      </w:tr>
      <w:tr w:rsidR="00E93E81" w:rsidRPr="00F07F81" w14:paraId="369C10FB" w14:textId="77777777" w:rsidTr="00AE63B6">
        <w:tc>
          <w:tcPr>
            <w:tcW w:w="2628" w:type="dxa"/>
            <w:shd w:val="clear" w:color="auto" w:fill="FFFFFF"/>
          </w:tcPr>
          <w:p w14:paraId="15D39527" w14:textId="77777777" w:rsidR="00E93E81" w:rsidRPr="00F91284" w:rsidRDefault="000676C2" w:rsidP="00B97976">
            <w:pPr>
              <w:rPr>
                <w:sz w:val="22"/>
                <w:szCs w:val="22"/>
              </w:rPr>
            </w:pPr>
            <w:r>
              <w:rPr>
                <w:sz w:val="22"/>
                <w:szCs w:val="22"/>
                <w:lang w:val="en-GB"/>
              </w:rPr>
              <w:t>LME</w:t>
            </w:r>
          </w:p>
        </w:tc>
        <w:tc>
          <w:tcPr>
            <w:tcW w:w="6120" w:type="dxa"/>
            <w:shd w:val="clear" w:color="auto" w:fill="FFFFFF"/>
          </w:tcPr>
          <w:p w14:paraId="710DB9C1" w14:textId="77777777" w:rsidR="00E93E81" w:rsidRPr="00F91284" w:rsidRDefault="000676C2" w:rsidP="00B97976">
            <w:pPr>
              <w:rPr>
                <w:sz w:val="22"/>
                <w:szCs w:val="22"/>
              </w:rPr>
            </w:pPr>
            <w:r>
              <w:rPr>
                <w:sz w:val="22"/>
                <w:szCs w:val="22"/>
                <w:lang w:val="en-GB"/>
              </w:rPr>
              <w:t>Large Marine Ecosystem</w:t>
            </w:r>
          </w:p>
        </w:tc>
      </w:tr>
      <w:tr w:rsidR="00BB73D6" w:rsidRPr="00F07F81" w14:paraId="424E47DF" w14:textId="77777777" w:rsidTr="00AE63B6">
        <w:tc>
          <w:tcPr>
            <w:tcW w:w="2628" w:type="dxa"/>
            <w:shd w:val="clear" w:color="auto" w:fill="FFFFFF"/>
          </w:tcPr>
          <w:p w14:paraId="1C444E5E" w14:textId="77777777" w:rsidR="00BB73D6" w:rsidRPr="00F91284" w:rsidRDefault="00BB73D6" w:rsidP="00B97976">
            <w:pPr>
              <w:rPr>
                <w:sz w:val="22"/>
                <w:szCs w:val="22"/>
                <w:lang w:val="en-GB"/>
              </w:rPr>
            </w:pPr>
            <w:r>
              <w:rPr>
                <w:sz w:val="22"/>
                <w:szCs w:val="22"/>
                <w:lang w:val="en-GB"/>
              </w:rPr>
              <w:t>MPA</w:t>
            </w:r>
          </w:p>
        </w:tc>
        <w:tc>
          <w:tcPr>
            <w:tcW w:w="6120" w:type="dxa"/>
            <w:shd w:val="clear" w:color="auto" w:fill="FFFFFF"/>
          </w:tcPr>
          <w:p w14:paraId="037F362E" w14:textId="77777777" w:rsidR="00BB73D6" w:rsidRPr="00F91284" w:rsidRDefault="00BB73D6" w:rsidP="00B97976">
            <w:pPr>
              <w:rPr>
                <w:sz w:val="22"/>
                <w:szCs w:val="22"/>
                <w:lang w:val="en-GB"/>
              </w:rPr>
            </w:pPr>
            <w:r>
              <w:rPr>
                <w:sz w:val="22"/>
                <w:szCs w:val="22"/>
                <w:lang w:val="en-GB"/>
              </w:rPr>
              <w:t>Marine Protected Area</w:t>
            </w:r>
          </w:p>
        </w:tc>
      </w:tr>
      <w:tr w:rsidR="00E93E81" w:rsidRPr="00F07F81" w14:paraId="2FF3BA64" w14:textId="77777777" w:rsidTr="00AE63B6">
        <w:tc>
          <w:tcPr>
            <w:tcW w:w="2628" w:type="dxa"/>
            <w:shd w:val="clear" w:color="auto" w:fill="FFFFFF"/>
          </w:tcPr>
          <w:p w14:paraId="50280296" w14:textId="77777777" w:rsidR="00E93E81" w:rsidRPr="00F91284" w:rsidRDefault="000676C2" w:rsidP="00B97976">
            <w:pPr>
              <w:rPr>
                <w:sz w:val="22"/>
                <w:szCs w:val="22"/>
              </w:rPr>
            </w:pPr>
            <w:r>
              <w:rPr>
                <w:sz w:val="22"/>
                <w:szCs w:val="22"/>
                <w:lang w:val="en-GB"/>
              </w:rPr>
              <w:t>MoA</w:t>
            </w:r>
          </w:p>
        </w:tc>
        <w:tc>
          <w:tcPr>
            <w:tcW w:w="6120" w:type="dxa"/>
            <w:shd w:val="clear" w:color="auto" w:fill="FFFFFF"/>
          </w:tcPr>
          <w:p w14:paraId="29F826C2" w14:textId="77777777" w:rsidR="00E93E81" w:rsidRPr="00F91284" w:rsidRDefault="000676C2" w:rsidP="00B97976">
            <w:pPr>
              <w:rPr>
                <w:sz w:val="22"/>
                <w:szCs w:val="22"/>
              </w:rPr>
            </w:pPr>
            <w:r>
              <w:rPr>
                <w:sz w:val="22"/>
                <w:szCs w:val="22"/>
                <w:lang w:val="en-GB"/>
              </w:rPr>
              <w:t>Memorandum of Agreement</w:t>
            </w:r>
          </w:p>
        </w:tc>
      </w:tr>
      <w:tr w:rsidR="00E93E81" w:rsidRPr="00F07F81" w14:paraId="0F8E7763" w14:textId="77777777" w:rsidTr="00AE63B6">
        <w:tc>
          <w:tcPr>
            <w:tcW w:w="2628" w:type="dxa"/>
            <w:shd w:val="clear" w:color="auto" w:fill="FFFFFF"/>
          </w:tcPr>
          <w:p w14:paraId="344266F8" w14:textId="77777777" w:rsidR="00E93E81" w:rsidRPr="00F91284" w:rsidRDefault="000676C2" w:rsidP="00B97976">
            <w:pPr>
              <w:rPr>
                <w:sz w:val="22"/>
                <w:szCs w:val="22"/>
              </w:rPr>
            </w:pPr>
            <w:r>
              <w:rPr>
                <w:sz w:val="22"/>
                <w:szCs w:val="22"/>
                <w:lang w:val="en-GB"/>
              </w:rPr>
              <w:t>MoU</w:t>
            </w:r>
          </w:p>
        </w:tc>
        <w:tc>
          <w:tcPr>
            <w:tcW w:w="6120" w:type="dxa"/>
            <w:shd w:val="clear" w:color="auto" w:fill="FFFFFF"/>
          </w:tcPr>
          <w:p w14:paraId="72750D5C" w14:textId="77777777" w:rsidR="00E93E81" w:rsidRPr="00F91284" w:rsidRDefault="000676C2" w:rsidP="00B97976">
            <w:pPr>
              <w:rPr>
                <w:sz w:val="22"/>
                <w:szCs w:val="22"/>
              </w:rPr>
            </w:pPr>
            <w:r>
              <w:rPr>
                <w:sz w:val="22"/>
                <w:szCs w:val="22"/>
                <w:lang w:val="en-GB"/>
              </w:rPr>
              <w:t>Memorandum of Understanding</w:t>
            </w:r>
          </w:p>
        </w:tc>
      </w:tr>
      <w:tr w:rsidR="00BB73D6" w:rsidRPr="00F07F81" w14:paraId="23723434" w14:textId="77777777" w:rsidTr="00AE63B6">
        <w:tc>
          <w:tcPr>
            <w:tcW w:w="2628" w:type="dxa"/>
            <w:shd w:val="clear" w:color="auto" w:fill="FFFFFF"/>
          </w:tcPr>
          <w:p w14:paraId="6786D945" w14:textId="77777777" w:rsidR="00BB73D6" w:rsidRPr="00F91284" w:rsidRDefault="00BB73D6" w:rsidP="00B97976">
            <w:pPr>
              <w:rPr>
                <w:sz w:val="22"/>
                <w:szCs w:val="22"/>
                <w:lang w:val="en-GB"/>
              </w:rPr>
            </w:pPr>
            <w:r>
              <w:rPr>
                <w:sz w:val="22"/>
                <w:szCs w:val="22"/>
                <w:lang w:val="en-GB"/>
              </w:rPr>
              <w:t>M&amp;E</w:t>
            </w:r>
          </w:p>
        </w:tc>
        <w:tc>
          <w:tcPr>
            <w:tcW w:w="6120" w:type="dxa"/>
            <w:shd w:val="clear" w:color="auto" w:fill="FFFFFF"/>
          </w:tcPr>
          <w:p w14:paraId="3B4A10C5" w14:textId="77777777" w:rsidR="00BB73D6" w:rsidRPr="00F91284" w:rsidRDefault="00BB73D6" w:rsidP="00B97976">
            <w:pPr>
              <w:rPr>
                <w:sz w:val="22"/>
                <w:szCs w:val="22"/>
                <w:lang w:val="en-GB"/>
              </w:rPr>
            </w:pPr>
            <w:r>
              <w:rPr>
                <w:sz w:val="22"/>
                <w:szCs w:val="22"/>
                <w:lang w:val="en-GB"/>
              </w:rPr>
              <w:t>Monitoring and Evaluation</w:t>
            </w:r>
          </w:p>
        </w:tc>
      </w:tr>
      <w:tr w:rsidR="00DE6329" w:rsidRPr="00F07F81" w14:paraId="023D75B0" w14:textId="77777777" w:rsidTr="00AE63B6">
        <w:tc>
          <w:tcPr>
            <w:tcW w:w="2628" w:type="dxa"/>
            <w:shd w:val="clear" w:color="auto" w:fill="FFFFFF"/>
          </w:tcPr>
          <w:p w14:paraId="6F49722C" w14:textId="77777777" w:rsidR="00DE6329" w:rsidRDefault="00DE6329" w:rsidP="00B97976">
            <w:pPr>
              <w:rPr>
                <w:sz w:val="22"/>
                <w:szCs w:val="22"/>
                <w:lang w:val="en-GB"/>
              </w:rPr>
            </w:pPr>
            <w:r>
              <w:rPr>
                <w:sz w:val="22"/>
                <w:szCs w:val="22"/>
                <w:lang w:val="en-GB"/>
              </w:rPr>
              <w:t>MRT</w:t>
            </w:r>
          </w:p>
        </w:tc>
        <w:tc>
          <w:tcPr>
            <w:tcW w:w="6120" w:type="dxa"/>
            <w:shd w:val="clear" w:color="auto" w:fill="FFFFFF"/>
          </w:tcPr>
          <w:p w14:paraId="6FAE0688" w14:textId="77777777" w:rsidR="00DE6329" w:rsidRDefault="00DE6329" w:rsidP="00B97976">
            <w:pPr>
              <w:rPr>
                <w:sz w:val="22"/>
                <w:szCs w:val="22"/>
                <w:lang w:val="en-GB"/>
              </w:rPr>
            </w:pPr>
            <w:r>
              <w:rPr>
                <w:sz w:val="22"/>
                <w:szCs w:val="22"/>
                <w:lang w:val="en-GB"/>
              </w:rPr>
              <w:t>Mayor’s Roundtable Meeting</w:t>
            </w:r>
          </w:p>
        </w:tc>
      </w:tr>
      <w:tr w:rsidR="00E93E81" w:rsidRPr="00F07F81" w14:paraId="20490460" w14:textId="77777777" w:rsidTr="00AE63B6">
        <w:tc>
          <w:tcPr>
            <w:tcW w:w="2628" w:type="dxa"/>
            <w:shd w:val="clear" w:color="auto" w:fill="FFFFFF"/>
          </w:tcPr>
          <w:p w14:paraId="0AD8922B" w14:textId="77777777" w:rsidR="00E93E81" w:rsidRPr="00F91284" w:rsidRDefault="000676C2" w:rsidP="00B97976">
            <w:pPr>
              <w:rPr>
                <w:sz w:val="22"/>
                <w:szCs w:val="22"/>
              </w:rPr>
            </w:pPr>
            <w:r>
              <w:rPr>
                <w:sz w:val="22"/>
                <w:szCs w:val="22"/>
                <w:lang w:val="en-GB"/>
              </w:rPr>
              <w:t>NAP</w:t>
            </w:r>
          </w:p>
        </w:tc>
        <w:tc>
          <w:tcPr>
            <w:tcW w:w="6120" w:type="dxa"/>
            <w:shd w:val="clear" w:color="auto" w:fill="FFFFFF"/>
          </w:tcPr>
          <w:p w14:paraId="316C3C10" w14:textId="77777777" w:rsidR="00E93E81" w:rsidRPr="00F91284" w:rsidRDefault="000676C2" w:rsidP="00B97976">
            <w:pPr>
              <w:rPr>
                <w:sz w:val="22"/>
                <w:szCs w:val="22"/>
              </w:rPr>
            </w:pPr>
            <w:r>
              <w:rPr>
                <w:sz w:val="22"/>
                <w:szCs w:val="22"/>
                <w:lang w:val="en-GB"/>
              </w:rPr>
              <w:t>National Action Plans (developed in support of the SAP)</w:t>
            </w:r>
          </w:p>
        </w:tc>
      </w:tr>
      <w:tr w:rsidR="00E93E81" w:rsidRPr="00F07F81" w14:paraId="74CECD67" w14:textId="77777777" w:rsidTr="00AE63B6">
        <w:tc>
          <w:tcPr>
            <w:tcW w:w="2628" w:type="dxa"/>
            <w:shd w:val="clear" w:color="auto" w:fill="FFFFFF"/>
          </w:tcPr>
          <w:p w14:paraId="2C39A7E9" w14:textId="77777777" w:rsidR="00E93E81" w:rsidRPr="00F91284" w:rsidRDefault="000676C2" w:rsidP="00B97976">
            <w:pPr>
              <w:rPr>
                <w:sz w:val="22"/>
                <w:szCs w:val="22"/>
              </w:rPr>
            </w:pPr>
            <w:r>
              <w:rPr>
                <w:sz w:val="22"/>
                <w:szCs w:val="22"/>
                <w:lang w:val="en-GB"/>
              </w:rPr>
              <w:t>NBSAP</w:t>
            </w:r>
          </w:p>
        </w:tc>
        <w:tc>
          <w:tcPr>
            <w:tcW w:w="6120" w:type="dxa"/>
            <w:shd w:val="clear" w:color="auto" w:fill="FFFFFF"/>
          </w:tcPr>
          <w:p w14:paraId="3AEB6D59" w14:textId="77777777" w:rsidR="00E93E81" w:rsidRPr="00F91284" w:rsidRDefault="000676C2" w:rsidP="00B97976">
            <w:pPr>
              <w:rPr>
                <w:sz w:val="22"/>
                <w:szCs w:val="22"/>
              </w:rPr>
            </w:pPr>
            <w:r>
              <w:rPr>
                <w:sz w:val="22"/>
                <w:szCs w:val="22"/>
                <w:lang w:val="en-GB"/>
              </w:rPr>
              <w:t>National Biodiversity Strategic Action Plans</w:t>
            </w:r>
          </w:p>
        </w:tc>
      </w:tr>
      <w:tr w:rsidR="00E93E81" w:rsidRPr="00F07F81" w14:paraId="4DDA07F8" w14:textId="77777777" w:rsidTr="00AE63B6">
        <w:tc>
          <w:tcPr>
            <w:tcW w:w="2628" w:type="dxa"/>
            <w:shd w:val="clear" w:color="auto" w:fill="FFFFFF"/>
          </w:tcPr>
          <w:p w14:paraId="3CAAD750" w14:textId="77777777" w:rsidR="00E93E81" w:rsidRPr="00F91284" w:rsidRDefault="00DE6329" w:rsidP="00B97976">
            <w:pPr>
              <w:rPr>
                <w:sz w:val="22"/>
                <w:szCs w:val="22"/>
              </w:rPr>
            </w:pPr>
            <w:r>
              <w:rPr>
                <w:sz w:val="22"/>
                <w:szCs w:val="22"/>
                <w:lang w:val="en-GB"/>
              </w:rPr>
              <w:t>NFP</w:t>
            </w:r>
          </w:p>
        </w:tc>
        <w:tc>
          <w:tcPr>
            <w:tcW w:w="6120" w:type="dxa"/>
            <w:shd w:val="clear" w:color="auto" w:fill="FFFFFF"/>
          </w:tcPr>
          <w:p w14:paraId="0112EB50" w14:textId="77777777" w:rsidR="00E93E81" w:rsidRPr="00F91284" w:rsidRDefault="00BB73D6" w:rsidP="00B97976">
            <w:pPr>
              <w:rPr>
                <w:sz w:val="22"/>
                <w:szCs w:val="22"/>
              </w:rPr>
            </w:pPr>
            <w:r>
              <w:rPr>
                <w:sz w:val="22"/>
                <w:szCs w:val="22"/>
                <w:lang w:val="en-GB"/>
              </w:rPr>
              <w:t>National Focal Point</w:t>
            </w:r>
          </w:p>
        </w:tc>
      </w:tr>
      <w:tr w:rsidR="00E93E81" w:rsidRPr="00F07F81" w14:paraId="32ED8108" w14:textId="77777777" w:rsidTr="00AE63B6">
        <w:tc>
          <w:tcPr>
            <w:tcW w:w="2628" w:type="dxa"/>
            <w:shd w:val="clear" w:color="auto" w:fill="FFFFFF"/>
          </w:tcPr>
          <w:p w14:paraId="40709FDE" w14:textId="77777777" w:rsidR="00E93E81" w:rsidRPr="00F91284" w:rsidRDefault="00DE6329" w:rsidP="00B97976">
            <w:pPr>
              <w:rPr>
                <w:sz w:val="22"/>
                <w:szCs w:val="22"/>
              </w:rPr>
            </w:pPr>
            <w:r>
              <w:rPr>
                <w:sz w:val="22"/>
                <w:szCs w:val="22"/>
                <w:lang w:val="en-GB"/>
              </w:rPr>
              <w:t>NGO</w:t>
            </w:r>
          </w:p>
        </w:tc>
        <w:tc>
          <w:tcPr>
            <w:tcW w:w="6120" w:type="dxa"/>
            <w:shd w:val="clear" w:color="auto" w:fill="FFFFFF"/>
          </w:tcPr>
          <w:p w14:paraId="3BB1E6BC" w14:textId="77777777" w:rsidR="00E93E81" w:rsidRPr="00F91284" w:rsidRDefault="00DE6329" w:rsidP="00B97976">
            <w:pPr>
              <w:rPr>
                <w:sz w:val="22"/>
                <w:szCs w:val="22"/>
              </w:rPr>
            </w:pPr>
            <w:r>
              <w:rPr>
                <w:sz w:val="22"/>
                <w:szCs w:val="22"/>
                <w:lang w:val="en-GB"/>
              </w:rPr>
              <w:t>Non-Governmental Organisation</w:t>
            </w:r>
          </w:p>
        </w:tc>
      </w:tr>
      <w:tr w:rsidR="00E93E81" w:rsidRPr="00F07F81" w14:paraId="64619494" w14:textId="77777777" w:rsidTr="00AE63B6">
        <w:tc>
          <w:tcPr>
            <w:tcW w:w="2628" w:type="dxa"/>
            <w:shd w:val="clear" w:color="auto" w:fill="FFFFFF"/>
          </w:tcPr>
          <w:p w14:paraId="5C7BD55D" w14:textId="77777777" w:rsidR="00E93E81" w:rsidRPr="00F91284" w:rsidRDefault="00DE6329" w:rsidP="00B97976">
            <w:pPr>
              <w:rPr>
                <w:sz w:val="22"/>
                <w:szCs w:val="22"/>
              </w:rPr>
            </w:pPr>
            <w:r>
              <w:rPr>
                <w:sz w:val="22"/>
                <w:szCs w:val="22"/>
                <w:lang w:val="en-GB"/>
              </w:rPr>
              <w:t>NTFP</w:t>
            </w:r>
          </w:p>
        </w:tc>
        <w:tc>
          <w:tcPr>
            <w:tcW w:w="6120" w:type="dxa"/>
            <w:shd w:val="clear" w:color="auto" w:fill="FFFFFF"/>
          </w:tcPr>
          <w:p w14:paraId="15B5393D" w14:textId="77777777" w:rsidR="00E93E81" w:rsidRPr="00F91284" w:rsidRDefault="00BB73D6" w:rsidP="00B97976">
            <w:pPr>
              <w:rPr>
                <w:sz w:val="22"/>
                <w:szCs w:val="22"/>
              </w:rPr>
            </w:pPr>
            <w:r>
              <w:rPr>
                <w:sz w:val="22"/>
                <w:szCs w:val="22"/>
                <w:lang w:val="en-GB"/>
              </w:rPr>
              <w:t>National Technical Focal Point</w:t>
            </w:r>
          </w:p>
        </w:tc>
      </w:tr>
      <w:tr w:rsidR="00E93E81" w:rsidRPr="00F07F81" w14:paraId="6DE68846" w14:textId="77777777" w:rsidTr="00AE63B6">
        <w:tc>
          <w:tcPr>
            <w:tcW w:w="2628" w:type="dxa"/>
            <w:shd w:val="clear" w:color="auto" w:fill="FFFFFF"/>
          </w:tcPr>
          <w:p w14:paraId="0E8DCD2E" w14:textId="77777777" w:rsidR="00E93E81" w:rsidRPr="00F91284" w:rsidRDefault="00DE6329" w:rsidP="00B97976">
            <w:pPr>
              <w:rPr>
                <w:sz w:val="22"/>
                <w:szCs w:val="22"/>
              </w:rPr>
            </w:pPr>
            <w:r>
              <w:rPr>
                <w:sz w:val="22"/>
                <w:szCs w:val="22"/>
                <w:lang w:val="en-GB"/>
              </w:rPr>
              <w:t>NTWG</w:t>
            </w:r>
          </w:p>
        </w:tc>
        <w:tc>
          <w:tcPr>
            <w:tcW w:w="6120" w:type="dxa"/>
            <w:shd w:val="clear" w:color="auto" w:fill="FFFFFF"/>
          </w:tcPr>
          <w:p w14:paraId="71052843" w14:textId="77777777" w:rsidR="00E93E81" w:rsidRPr="00F91284" w:rsidRDefault="00BB73D6" w:rsidP="00B97976">
            <w:pPr>
              <w:rPr>
                <w:sz w:val="22"/>
                <w:szCs w:val="22"/>
              </w:rPr>
            </w:pPr>
            <w:r>
              <w:rPr>
                <w:sz w:val="22"/>
                <w:szCs w:val="22"/>
                <w:lang w:val="en-GB"/>
              </w:rPr>
              <w:t>National Technical Working Group</w:t>
            </w:r>
            <w:r w:rsidR="00E93E81" w:rsidRPr="00F91284">
              <w:rPr>
                <w:sz w:val="22"/>
                <w:szCs w:val="22"/>
                <w:lang w:val="en-GB"/>
              </w:rPr>
              <w:t xml:space="preserve"> </w:t>
            </w:r>
          </w:p>
        </w:tc>
      </w:tr>
      <w:tr w:rsidR="00E93E81" w:rsidRPr="00F07F81" w14:paraId="03747831" w14:textId="77777777" w:rsidTr="00AE63B6">
        <w:tc>
          <w:tcPr>
            <w:tcW w:w="2628" w:type="dxa"/>
            <w:shd w:val="clear" w:color="auto" w:fill="FFFFFF"/>
          </w:tcPr>
          <w:p w14:paraId="4006E209" w14:textId="77777777" w:rsidR="00E93E81" w:rsidRPr="00F91284" w:rsidRDefault="00DE6329" w:rsidP="00B97976">
            <w:pPr>
              <w:rPr>
                <w:sz w:val="22"/>
                <w:szCs w:val="22"/>
              </w:rPr>
            </w:pPr>
            <w:r>
              <w:rPr>
                <w:sz w:val="22"/>
                <w:szCs w:val="22"/>
                <w:lang w:val="en-GB"/>
              </w:rPr>
              <w:t>NWG-L</w:t>
            </w:r>
          </w:p>
        </w:tc>
        <w:tc>
          <w:tcPr>
            <w:tcW w:w="6120" w:type="dxa"/>
            <w:shd w:val="clear" w:color="auto" w:fill="FFFFFF"/>
          </w:tcPr>
          <w:p w14:paraId="631A4FCE" w14:textId="77777777" w:rsidR="00E93E81" w:rsidRPr="00F91284" w:rsidRDefault="00DE6329" w:rsidP="00B97976">
            <w:pPr>
              <w:rPr>
                <w:sz w:val="22"/>
                <w:szCs w:val="22"/>
              </w:rPr>
            </w:pPr>
            <w:r>
              <w:rPr>
                <w:sz w:val="22"/>
                <w:szCs w:val="22"/>
                <w:lang w:val="en-GB"/>
              </w:rPr>
              <w:t>National Working Groups on Legal Matters (of the SCS project)</w:t>
            </w:r>
          </w:p>
        </w:tc>
      </w:tr>
      <w:tr w:rsidR="00E93E81" w:rsidRPr="00F07F81" w14:paraId="5DF1CFD7" w14:textId="77777777" w:rsidTr="00AE63B6">
        <w:tc>
          <w:tcPr>
            <w:tcW w:w="2628" w:type="dxa"/>
            <w:shd w:val="clear" w:color="auto" w:fill="FFFFFF"/>
          </w:tcPr>
          <w:p w14:paraId="2633A7ED" w14:textId="77777777" w:rsidR="00E93E81" w:rsidRPr="00F91284" w:rsidRDefault="00DE6329" w:rsidP="00B97976">
            <w:pPr>
              <w:rPr>
                <w:sz w:val="22"/>
                <w:szCs w:val="22"/>
              </w:rPr>
            </w:pPr>
            <w:r>
              <w:rPr>
                <w:sz w:val="22"/>
                <w:szCs w:val="22"/>
                <w:lang w:val="en-GB"/>
              </w:rPr>
              <w:t>PCU</w:t>
            </w:r>
          </w:p>
        </w:tc>
        <w:tc>
          <w:tcPr>
            <w:tcW w:w="6120" w:type="dxa"/>
            <w:shd w:val="clear" w:color="auto" w:fill="FFFFFF"/>
          </w:tcPr>
          <w:p w14:paraId="26BDE473" w14:textId="77777777" w:rsidR="00E93E81" w:rsidRPr="00F91284" w:rsidRDefault="00DE6329" w:rsidP="00B97976">
            <w:pPr>
              <w:rPr>
                <w:sz w:val="22"/>
                <w:szCs w:val="22"/>
              </w:rPr>
            </w:pPr>
            <w:r>
              <w:rPr>
                <w:sz w:val="22"/>
                <w:szCs w:val="22"/>
                <w:lang w:val="en-GB"/>
              </w:rPr>
              <w:t>Project Co-ordinating Unit (of the SCS project)</w:t>
            </w:r>
          </w:p>
        </w:tc>
      </w:tr>
      <w:tr w:rsidR="00E93E81" w:rsidRPr="00F07F81" w14:paraId="311875F0" w14:textId="77777777" w:rsidTr="00AE63B6">
        <w:tc>
          <w:tcPr>
            <w:tcW w:w="2628" w:type="dxa"/>
            <w:shd w:val="clear" w:color="auto" w:fill="FFFFFF"/>
          </w:tcPr>
          <w:p w14:paraId="20BF5090" w14:textId="77777777" w:rsidR="00E93E81" w:rsidRPr="00F91284" w:rsidRDefault="00DE6329" w:rsidP="00B97976">
            <w:pPr>
              <w:rPr>
                <w:sz w:val="22"/>
                <w:szCs w:val="22"/>
              </w:rPr>
            </w:pPr>
            <w:r>
              <w:rPr>
                <w:sz w:val="22"/>
                <w:szCs w:val="22"/>
                <w:lang w:val="en-GB"/>
              </w:rPr>
              <w:t>PEMSEA</w:t>
            </w:r>
          </w:p>
        </w:tc>
        <w:tc>
          <w:tcPr>
            <w:tcW w:w="6120" w:type="dxa"/>
            <w:shd w:val="clear" w:color="auto" w:fill="FFFFFF"/>
          </w:tcPr>
          <w:p w14:paraId="6682558A" w14:textId="77777777" w:rsidR="00E93E81" w:rsidRPr="00F91284" w:rsidRDefault="00DE6329" w:rsidP="00B97976">
            <w:pPr>
              <w:rPr>
                <w:sz w:val="22"/>
                <w:szCs w:val="22"/>
              </w:rPr>
            </w:pPr>
            <w:r>
              <w:rPr>
                <w:sz w:val="22"/>
                <w:szCs w:val="22"/>
                <w:lang w:val="en-GB"/>
              </w:rPr>
              <w:t>Partnership for Environmental Management in the Seas of East Asia</w:t>
            </w:r>
          </w:p>
        </w:tc>
      </w:tr>
      <w:tr w:rsidR="00BB73D6" w:rsidRPr="00F07F81" w14:paraId="4977038B" w14:textId="77777777" w:rsidTr="00AE63B6">
        <w:tc>
          <w:tcPr>
            <w:tcW w:w="2628" w:type="dxa"/>
            <w:shd w:val="clear" w:color="auto" w:fill="FFFFFF"/>
          </w:tcPr>
          <w:p w14:paraId="127133C2" w14:textId="77777777" w:rsidR="00BB73D6" w:rsidRPr="00F91284" w:rsidRDefault="00BB73D6" w:rsidP="00B97976">
            <w:pPr>
              <w:rPr>
                <w:sz w:val="22"/>
                <w:szCs w:val="22"/>
                <w:lang w:val="en-GB"/>
              </w:rPr>
            </w:pPr>
            <w:r>
              <w:rPr>
                <w:sz w:val="22"/>
                <w:szCs w:val="22"/>
                <w:lang w:val="en-GB"/>
              </w:rPr>
              <w:t>PoW</w:t>
            </w:r>
          </w:p>
        </w:tc>
        <w:tc>
          <w:tcPr>
            <w:tcW w:w="6120" w:type="dxa"/>
            <w:shd w:val="clear" w:color="auto" w:fill="FFFFFF"/>
          </w:tcPr>
          <w:p w14:paraId="1BDB5C77" w14:textId="77777777" w:rsidR="00BB73D6" w:rsidRPr="00F91284" w:rsidRDefault="00BB73D6" w:rsidP="00B97976">
            <w:pPr>
              <w:rPr>
                <w:sz w:val="22"/>
                <w:szCs w:val="22"/>
                <w:lang w:val="en-GB"/>
              </w:rPr>
            </w:pPr>
            <w:r>
              <w:rPr>
                <w:sz w:val="22"/>
                <w:szCs w:val="22"/>
                <w:lang w:val="en-GB"/>
              </w:rPr>
              <w:t>Programme of Work</w:t>
            </w:r>
          </w:p>
        </w:tc>
      </w:tr>
      <w:tr w:rsidR="00BB73D6" w:rsidRPr="00F07F81" w14:paraId="6EE2735B" w14:textId="77777777" w:rsidTr="00AE63B6">
        <w:tc>
          <w:tcPr>
            <w:tcW w:w="2628" w:type="dxa"/>
            <w:shd w:val="clear" w:color="auto" w:fill="FFFFFF"/>
          </w:tcPr>
          <w:p w14:paraId="75CFBBD1" w14:textId="77777777" w:rsidR="00BB73D6" w:rsidRDefault="00BB73D6" w:rsidP="00B97976">
            <w:pPr>
              <w:rPr>
                <w:sz w:val="22"/>
                <w:szCs w:val="22"/>
                <w:lang w:val="en-GB"/>
              </w:rPr>
            </w:pPr>
            <w:r>
              <w:rPr>
                <w:sz w:val="22"/>
                <w:szCs w:val="22"/>
                <w:lang w:val="en-GB"/>
              </w:rPr>
              <w:t>PPO</w:t>
            </w:r>
          </w:p>
        </w:tc>
        <w:tc>
          <w:tcPr>
            <w:tcW w:w="6120" w:type="dxa"/>
            <w:shd w:val="clear" w:color="auto" w:fill="FFFFFF"/>
          </w:tcPr>
          <w:p w14:paraId="3D653657" w14:textId="77777777" w:rsidR="00BB73D6" w:rsidRDefault="00BB73D6" w:rsidP="00B97976">
            <w:pPr>
              <w:rPr>
                <w:sz w:val="22"/>
                <w:szCs w:val="22"/>
                <w:lang w:val="en-GB"/>
              </w:rPr>
            </w:pPr>
            <w:r>
              <w:rPr>
                <w:sz w:val="22"/>
                <w:szCs w:val="22"/>
                <w:lang w:val="en-GB"/>
              </w:rPr>
              <w:t>Project Plan of Operation</w:t>
            </w:r>
          </w:p>
        </w:tc>
      </w:tr>
      <w:tr w:rsidR="00E93E81" w:rsidRPr="00F07F81" w14:paraId="12ABAC74" w14:textId="77777777" w:rsidTr="00AE63B6">
        <w:tc>
          <w:tcPr>
            <w:tcW w:w="2628" w:type="dxa"/>
            <w:shd w:val="clear" w:color="auto" w:fill="FFFFFF"/>
          </w:tcPr>
          <w:p w14:paraId="00705C67" w14:textId="77777777" w:rsidR="00E93E81" w:rsidRPr="00F91284" w:rsidRDefault="00DE6329" w:rsidP="00B97976">
            <w:pPr>
              <w:rPr>
                <w:sz w:val="22"/>
                <w:szCs w:val="22"/>
              </w:rPr>
            </w:pPr>
            <w:r>
              <w:rPr>
                <w:sz w:val="22"/>
                <w:szCs w:val="22"/>
                <w:lang w:val="en-GB"/>
              </w:rPr>
              <w:t>PSC</w:t>
            </w:r>
          </w:p>
        </w:tc>
        <w:tc>
          <w:tcPr>
            <w:tcW w:w="6120" w:type="dxa"/>
            <w:shd w:val="clear" w:color="auto" w:fill="FFFFFF"/>
          </w:tcPr>
          <w:p w14:paraId="71959616" w14:textId="77777777" w:rsidR="00E93E81" w:rsidRPr="00F91284" w:rsidRDefault="00DE6329" w:rsidP="00B97976">
            <w:pPr>
              <w:rPr>
                <w:sz w:val="22"/>
                <w:szCs w:val="22"/>
              </w:rPr>
            </w:pPr>
            <w:r>
              <w:rPr>
                <w:sz w:val="22"/>
                <w:szCs w:val="22"/>
                <w:lang w:val="en-GB"/>
              </w:rPr>
              <w:t>Project Steering Committee (of the SCS project)</w:t>
            </w:r>
          </w:p>
        </w:tc>
      </w:tr>
      <w:tr w:rsidR="00E93E81" w:rsidRPr="00F07F81" w14:paraId="21B8913E" w14:textId="77777777" w:rsidTr="00AE63B6">
        <w:tc>
          <w:tcPr>
            <w:tcW w:w="2628" w:type="dxa"/>
            <w:shd w:val="clear" w:color="auto" w:fill="FFFFFF"/>
          </w:tcPr>
          <w:p w14:paraId="5F0390B7" w14:textId="77777777" w:rsidR="00E93E81" w:rsidRPr="00F91284" w:rsidRDefault="00DE6329" w:rsidP="00B97976">
            <w:pPr>
              <w:rPr>
                <w:sz w:val="22"/>
                <w:szCs w:val="22"/>
              </w:rPr>
            </w:pPr>
            <w:r>
              <w:rPr>
                <w:sz w:val="22"/>
                <w:szCs w:val="22"/>
                <w:lang w:val="en-GB"/>
              </w:rPr>
              <w:t>RSTC</w:t>
            </w:r>
          </w:p>
        </w:tc>
        <w:tc>
          <w:tcPr>
            <w:tcW w:w="6120" w:type="dxa"/>
            <w:shd w:val="clear" w:color="auto" w:fill="FFFFFF"/>
          </w:tcPr>
          <w:p w14:paraId="26D3ADA0" w14:textId="77777777" w:rsidR="00E93E81" w:rsidRPr="00F91284" w:rsidRDefault="00BB73D6" w:rsidP="00B97976">
            <w:pPr>
              <w:rPr>
                <w:sz w:val="22"/>
                <w:szCs w:val="22"/>
              </w:rPr>
            </w:pPr>
            <w:r>
              <w:rPr>
                <w:sz w:val="22"/>
                <w:szCs w:val="22"/>
                <w:lang w:val="en-GB"/>
              </w:rPr>
              <w:t>Regional Scientific and Technical Committee</w:t>
            </w:r>
          </w:p>
        </w:tc>
      </w:tr>
      <w:tr w:rsidR="00E93E81" w:rsidRPr="00F07F81" w14:paraId="2532A967" w14:textId="77777777" w:rsidTr="00AE63B6">
        <w:tc>
          <w:tcPr>
            <w:tcW w:w="2628" w:type="dxa"/>
            <w:shd w:val="clear" w:color="auto" w:fill="FFFFFF"/>
          </w:tcPr>
          <w:p w14:paraId="40A8C141" w14:textId="77777777" w:rsidR="00E93E81" w:rsidRPr="00F91284" w:rsidRDefault="00DE6329" w:rsidP="00B97976">
            <w:pPr>
              <w:rPr>
                <w:sz w:val="22"/>
                <w:szCs w:val="22"/>
              </w:rPr>
            </w:pPr>
            <w:r>
              <w:rPr>
                <w:sz w:val="22"/>
                <w:szCs w:val="22"/>
                <w:lang w:val="en-GB"/>
              </w:rPr>
              <w:t>RTF-L</w:t>
            </w:r>
          </w:p>
        </w:tc>
        <w:tc>
          <w:tcPr>
            <w:tcW w:w="6120" w:type="dxa"/>
            <w:shd w:val="clear" w:color="auto" w:fill="FFFFFF"/>
          </w:tcPr>
          <w:p w14:paraId="250AAA44" w14:textId="77777777" w:rsidR="00E93E81" w:rsidRPr="00F91284" w:rsidRDefault="00DE6329" w:rsidP="00B97976">
            <w:pPr>
              <w:rPr>
                <w:sz w:val="22"/>
                <w:szCs w:val="22"/>
              </w:rPr>
            </w:pPr>
            <w:r>
              <w:rPr>
                <w:sz w:val="22"/>
                <w:szCs w:val="22"/>
                <w:lang w:val="en-GB"/>
              </w:rPr>
              <w:t>Regional Task Force on Legal Matters</w:t>
            </w:r>
          </w:p>
        </w:tc>
      </w:tr>
      <w:tr w:rsidR="00E93E81" w:rsidRPr="00F07F81" w14:paraId="4FB9E338" w14:textId="77777777" w:rsidTr="00AE63B6">
        <w:tc>
          <w:tcPr>
            <w:tcW w:w="2628" w:type="dxa"/>
            <w:shd w:val="clear" w:color="auto" w:fill="FFFFFF"/>
          </w:tcPr>
          <w:p w14:paraId="23999ED3" w14:textId="77777777" w:rsidR="00E93E81" w:rsidRPr="00F91284" w:rsidRDefault="00DE6329" w:rsidP="00B97976">
            <w:pPr>
              <w:rPr>
                <w:sz w:val="22"/>
                <w:szCs w:val="22"/>
              </w:rPr>
            </w:pPr>
            <w:r>
              <w:rPr>
                <w:sz w:val="22"/>
                <w:szCs w:val="22"/>
                <w:lang w:val="en-GB"/>
              </w:rPr>
              <w:t>RTF-E</w:t>
            </w:r>
          </w:p>
        </w:tc>
        <w:tc>
          <w:tcPr>
            <w:tcW w:w="6120" w:type="dxa"/>
            <w:shd w:val="clear" w:color="auto" w:fill="FFFFFF"/>
          </w:tcPr>
          <w:p w14:paraId="576EC64A" w14:textId="77777777" w:rsidR="00E93E81" w:rsidRPr="00F91284" w:rsidRDefault="00DE6329" w:rsidP="00B97976">
            <w:pPr>
              <w:rPr>
                <w:sz w:val="22"/>
                <w:szCs w:val="22"/>
              </w:rPr>
            </w:pPr>
            <w:r>
              <w:rPr>
                <w:sz w:val="22"/>
                <w:szCs w:val="22"/>
                <w:lang w:val="en-GB"/>
              </w:rPr>
              <w:t>Regional Task Force on Economic Valuation</w:t>
            </w:r>
          </w:p>
        </w:tc>
      </w:tr>
      <w:tr w:rsidR="00E93E81" w:rsidRPr="00F07F81" w14:paraId="1F2CE962" w14:textId="77777777" w:rsidTr="00AE63B6">
        <w:tc>
          <w:tcPr>
            <w:tcW w:w="2628" w:type="dxa"/>
            <w:shd w:val="clear" w:color="auto" w:fill="FFFFFF"/>
          </w:tcPr>
          <w:p w14:paraId="294EA91F" w14:textId="77777777" w:rsidR="00E93E81" w:rsidRPr="00F91284" w:rsidRDefault="00DE6329" w:rsidP="00B97976">
            <w:pPr>
              <w:rPr>
                <w:sz w:val="22"/>
                <w:szCs w:val="22"/>
              </w:rPr>
            </w:pPr>
            <w:r>
              <w:rPr>
                <w:sz w:val="22"/>
                <w:szCs w:val="22"/>
                <w:lang w:val="en-GB"/>
              </w:rPr>
              <w:t>RWG-CR</w:t>
            </w:r>
          </w:p>
        </w:tc>
        <w:tc>
          <w:tcPr>
            <w:tcW w:w="6120" w:type="dxa"/>
            <w:shd w:val="clear" w:color="auto" w:fill="FFFFFF"/>
          </w:tcPr>
          <w:p w14:paraId="49BAD291" w14:textId="77777777" w:rsidR="00E93E81" w:rsidRPr="00F91284" w:rsidRDefault="00E76712" w:rsidP="00B97976">
            <w:pPr>
              <w:rPr>
                <w:sz w:val="22"/>
                <w:szCs w:val="22"/>
              </w:rPr>
            </w:pPr>
            <w:r>
              <w:rPr>
                <w:sz w:val="22"/>
                <w:szCs w:val="22"/>
                <w:lang w:val="en-GB"/>
              </w:rPr>
              <w:t>Regional Working Group on Coral Reefs</w:t>
            </w:r>
          </w:p>
        </w:tc>
      </w:tr>
      <w:tr w:rsidR="00E93E81" w:rsidRPr="00F07F81" w14:paraId="74EA2194" w14:textId="77777777" w:rsidTr="00AE63B6">
        <w:tc>
          <w:tcPr>
            <w:tcW w:w="2628" w:type="dxa"/>
            <w:shd w:val="clear" w:color="auto" w:fill="FFFFFF"/>
          </w:tcPr>
          <w:p w14:paraId="19020CE0" w14:textId="77777777" w:rsidR="00E93E81" w:rsidRPr="00F91284" w:rsidRDefault="00DE6329" w:rsidP="00B97976">
            <w:pPr>
              <w:rPr>
                <w:sz w:val="22"/>
                <w:szCs w:val="22"/>
              </w:rPr>
            </w:pPr>
            <w:r>
              <w:rPr>
                <w:sz w:val="22"/>
                <w:szCs w:val="22"/>
                <w:lang w:val="en-GB"/>
              </w:rPr>
              <w:t>RWG-M</w:t>
            </w:r>
          </w:p>
        </w:tc>
        <w:tc>
          <w:tcPr>
            <w:tcW w:w="6120" w:type="dxa"/>
            <w:shd w:val="clear" w:color="auto" w:fill="FFFFFF"/>
          </w:tcPr>
          <w:p w14:paraId="7EB4B0A8" w14:textId="77777777" w:rsidR="00E93E81" w:rsidRPr="00F91284" w:rsidRDefault="00E76712" w:rsidP="00B97976">
            <w:pPr>
              <w:rPr>
                <w:sz w:val="22"/>
                <w:szCs w:val="22"/>
              </w:rPr>
            </w:pPr>
            <w:r>
              <w:rPr>
                <w:sz w:val="22"/>
                <w:szCs w:val="22"/>
                <w:lang w:val="en-GB"/>
              </w:rPr>
              <w:t>Regional Working Group on Mangroves</w:t>
            </w:r>
          </w:p>
        </w:tc>
      </w:tr>
      <w:tr w:rsidR="00E93E81" w:rsidRPr="00F07F81" w14:paraId="1B9E234C" w14:textId="77777777" w:rsidTr="006E4336">
        <w:trPr>
          <w:trHeight w:val="261"/>
        </w:trPr>
        <w:tc>
          <w:tcPr>
            <w:tcW w:w="2628" w:type="dxa"/>
            <w:shd w:val="clear" w:color="auto" w:fill="FFFFFF"/>
          </w:tcPr>
          <w:p w14:paraId="5517110B" w14:textId="77777777" w:rsidR="00E93E81" w:rsidRPr="00F91284" w:rsidRDefault="00DE6329" w:rsidP="00B97976">
            <w:pPr>
              <w:rPr>
                <w:sz w:val="22"/>
                <w:szCs w:val="22"/>
              </w:rPr>
            </w:pPr>
            <w:r>
              <w:rPr>
                <w:sz w:val="22"/>
                <w:szCs w:val="22"/>
                <w:lang w:val="en-GB"/>
              </w:rPr>
              <w:t>RWG-SG</w:t>
            </w:r>
          </w:p>
        </w:tc>
        <w:tc>
          <w:tcPr>
            <w:tcW w:w="6120" w:type="dxa"/>
            <w:shd w:val="clear" w:color="auto" w:fill="FFFFFF"/>
          </w:tcPr>
          <w:p w14:paraId="70F5AA96" w14:textId="77777777" w:rsidR="00E93E81" w:rsidRPr="00F91284" w:rsidRDefault="00E76712" w:rsidP="00B97976">
            <w:pPr>
              <w:rPr>
                <w:sz w:val="22"/>
                <w:szCs w:val="22"/>
              </w:rPr>
            </w:pPr>
            <w:r>
              <w:rPr>
                <w:sz w:val="22"/>
                <w:szCs w:val="22"/>
                <w:lang w:val="en-GB"/>
              </w:rPr>
              <w:t>Regional Working Group on Seagrass</w:t>
            </w:r>
          </w:p>
        </w:tc>
      </w:tr>
      <w:tr w:rsidR="00E93E81" w:rsidRPr="00F07F81" w14:paraId="00574658" w14:textId="77777777" w:rsidTr="00AE63B6">
        <w:tc>
          <w:tcPr>
            <w:tcW w:w="2628" w:type="dxa"/>
            <w:shd w:val="clear" w:color="auto" w:fill="FFFFFF"/>
          </w:tcPr>
          <w:p w14:paraId="1CBCD62E" w14:textId="77777777" w:rsidR="00E93E81" w:rsidRPr="00F91284" w:rsidRDefault="00DE6329" w:rsidP="00B97976">
            <w:pPr>
              <w:rPr>
                <w:sz w:val="22"/>
                <w:szCs w:val="22"/>
              </w:rPr>
            </w:pPr>
            <w:r>
              <w:rPr>
                <w:sz w:val="22"/>
                <w:szCs w:val="22"/>
                <w:lang w:val="en-GB"/>
              </w:rPr>
              <w:t>RWG-W</w:t>
            </w:r>
          </w:p>
        </w:tc>
        <w:tc>
          <w:tcPr>
            <w:tcW w:w="6120" w:type="dxa"/>
            <w:shd w:val="clear" w:color="auto" w:fill="FFFFFF"/>
          </w:tcPr>
          <w:p w14:paraId="137165B3" w14:textId="77777777" w:rsidR="00E93E81" w:rsidRPr="00F91284" w:rsidRDefault="00E76712" w:rsidP="00B97976">
            <w:pPr>
              <w:rPr>
                <w:sz w:val="22"/>
                <w:szCs w:val="22"/>
              </w:rPr>
            </w:pPr>
            <w:r>
              <w:rPr>
                <w:sz w:val="22"/>
                <w:szCs w:val="22"/>
                <w:lang w:val="en-GB"/>
              </w:rPr>
              <w:t>Regional Working Group on Wetlands</w:t>
            </w:r>
          </w:p>
        </w:tc>
      </w:tr>
      <w:tr w:rsidR="00E93E81" w:rsidRPr="00F07F81" w14:paraId="53972FA7" w14:textId="77777777" w:rsidTr="00AE63B6">
        <w:tc>
          <w:tcPr>
            <w:tcW w:w="2628" w:type="dxa"/>
            <w:shd w:val="clear" w:color="auto" w:fill="FFFFFF"/>
          </w:tcPr>
          <w:p w14:paraId="2F3247EE" w14:textId="77777777" w:rsidR="00E93E81" w:rsidRPr="00F91284" w:rsidRDefault="00DE6329" w:rsidP="00B97976">
            <w:pPr>
              <w:rPr>
                <w:sz w:val="22"/>
                <w:szCs w:val="22"/>
              </w:rPr>
            </w:pPr>
            <w:r>
              <w:rPr>
                <w:sz w:val="22"/>
                <w:szCs w:val="22"/>
                <w:lang w:val="en-GB"/>
              </w:rPr>
              <w:t>RWG-LbP</w:t>
            </w:r>
          </w:p>
        </w:tc>
        <w:tc>
          <w:tcPr>
            <w:tcW w:w="6120" w:type="dxa"/>
            <w:shd w:val="clear" w:color="auto" w:fill="FFFFFF"/>
          </w:tcPr>
          <w:p w14:paraId="36FE4483" w14:textId="77777777" w:rsidR="00E93E81" w:rsidRPr="00F91284" w:rsidRDefault="00DE6329" w:rsidP="00B97976">
            <w:pPr>
              <w:rPr>
                <w:sz w:val="22"/>
                <w:szCs w:val="22"/>
              </w:rPr>
            </w:pPr>
            <w:r>
              <w:rPr>
                <w:sz w:val="22"/>
                <w:szCs w:val="22"/>
                <w:lang w:val="en-GB"/>
              </w:rPr>
              <w:t>Regional Working Group on Land-based Pollution</w:t>
            </w:r>
          </w:p>
        </w:tc>
      </w:tr>
      <w:tr w:rsidR="00E76712" w:rsidRPr="00F07F81" w14:paraId="5EBE095B" w14:textId="77777777" w:rsidTr="00AE63B6">
        <w:tc>
          <w:tcPr>
            <w:tcW w:w="2628" w:type="dxa"/>
            <w:shd w:val="clear" w:color="auto" w:fill="FFFFFF"/>
          </w:tcPr>
          <w:p w14:paraId="6A0C003E" w14:textId="77777777" w:rsidR="00E76712" w:rsidRPr="00F91284" w:rsidRDefault="00E76712" w:rsidP="00B97976">
            <w:pPr>
              <w:rPr>
                <w:sz w:val="22"/>
                <w:szCs w:val="22"/>
                <w:lang w:val="en-GB"/>
              </w:rPr>
            </w:pPr>
            <w:r>
              <w:rPr>
                <w:sz w:val="22"/>
                <w:szCs w:val="22"/>
                <w:lang w:val="en-GB"/>
              </w:rPr>
              <w:t>SAP</w:t>
            </w:r>
          </w:p>
        </w:tc>
        <w:tc>
          <w:tcPr>
            <w:tcW w:w="6120" w:type="dxa"/>
            <w:shd w:val="clear" w:color="auto" w:fill="FFFFFF"/>
          </w:tcPr>
          <w:p w14:paraId="69723DE9" w14:textId="77777777" w:rsidR="00E76712" w:rsidRPr="00F91284" w:rsidRDefault="00E76712" w:rsidP="00B97976">
            <w:pPr>
              <w:rPr>
                <w:sz w:val="22"/>
                <w:szCs w:val="22"/>
                <w:lang w:val="en-GB"/>
              </w:rPr>
            </w:pPr>
            <w:r>
              <w:rPr>
                <w:sz w:val="22"/>
                <w:szCs w:val="22"/>
                <w:lang w:val="en-GB"/>
              </w:rPr>
              <w:t>Strategic Action Programme for the South China Sea</w:t>
            </w:r>
          </w:p>
        </w:tc>
      </w:tr>
      <w:tr w:rsidR="00E76712" w:rsidRPr="00F07F81" w14:paraId="69844A73" w14:textId="77777777" w:rsidTr="00AE63B6">
        <w:tc>
          <w:tcPr>
            <w:tcW w:w="2628" w:type="dxa"/>
            <w:shd w:val="clear" w:color="auto" w:fill="FFFFFF"/>
          </w:tcPr>
          <w:p w14:paraId="3B79CF9C" w14:textId="77777777" w:rsidR="00E76712" w:rsidRDefault="00E76712" w:rsidP="00B97976">
            <w:pPr>
              <w:rPr>
                <w:sz w:val="22"/>
                <w:szCs w:val="22"/>
                <w:lang w:val="en-GB"/>
              </w:rPr>
            </w:pPr>
            <w:r>
              <w:rPr>
                <w:sz w:val="22"/>
                <w:szCs w:val="22"/>
                <w:lang w:val="en-GB"/>
              </w:rPr>
              <w:t>SAP-IC</w:t>
            </w:r>
          </w:p>
        </w:tc>
        <w:tc>
          <w:tcPr>
            <w:tcW w:w="6120" w:type="dxa"/>
            <w:shd w:val="clear" w:color="auto" w:fill="FFFFFF"/>
          </w:tcPr>
          <w:p w14:paraId="4B1E6E8F" w14:textId="77777777" w:rsidR="00E76712" w:rsidRDefault="00E76712" w:rsidP="00B97976">
            <w:pPr>
              <w:rPr>
                <w:sz w:val="22"/>
                <w:szCs w:val="22"/>
                <w:lang w:val="en-GB"/>
              </w:rPr>
            </w:pPr>
            <w:r>
              <w:rPr>
                <w:sz w:val="22"/>
                <w:szCs w:val="22"/>
                <w:lang w:val="en-GB"/>
              </w:rPr>
              <w:t>Strategic Action Programme Implementation Committee</w:t>
            </w:r>
          </w:p>
        </w:tc>
      </w:tr>
      <w:tr w:rsidR="00E76712" w:rsidRPr="00F07F81" w14:paraId="48E732D0" w14:textId="77777777" w:rsidTr="00AE63B6">
        <w:tc>
          <w:tcPr>
            <w:tcW w:w="2628" w:type="dxa"/>
            <w:shd w:val="clear" w:color="auto" w:fill="FFFFFF"/>
          </w:tcPr>
          <w:p w14:paraId="13290A34" w14:textId="77777777" w:rsidR="00E76712" w:rsidRDefault="00E76712" w:rsidP="00B97976">
            <w:pPr>
              <w:rPr>
                <w:sz w:val="22"/>
                <w:szCs w:val="22"/>
                <w:lang w:val="en-GB"/>
              </w:rPr>
            </w:pPr>
            <w:r>
              <w:rPr>
                <w:sz w:val="22"/>
                <w:szCs w:val="22"/>
                <w:lang w:val="en-GB"/>
              </w:rPr>
              <w:t>SAP-IU</w:t>
            </w:r>
          </w:p>
        </w:tc>
        <w:tc>
          <w:tcPr>
            <w:tcW w:w="6120" w:type="dxa"/>
            <w:shd w:val="clear" w:color="auto" w:fill="FFFFFF"/>
          </w:tcPr>
          <w:p w14:paraId="28791A00" w14:textId="77777777" w:rsidR="00E76712" w:rsidRDefault="00E76712" w:rsidP="00B97976">
            <w:pPr>
              <w:rPr>
                <w:sz w:val="22"/>
                <w:szCs w:val="22"/>
                <w:lang w:val="en-GB"/>
              </w:rPr>
            </w:pPr>
            <w:r>
              <w:rPr>
                <w:sz w:val="22"/>
                <w:szCs w:val="22"/>
                <w:lang w:val="en-GB"/>
              </w:rPr>
              <w:t>Strategic Action Programme Implementation Unit</w:t>
            </w:r>
          </w:p>
        </w:tc>
      </w:tr>
      <w:tr w:rsidR="00E76712" w:rsidRPr="00F07F81" w14:paraId="3E960B13" w14:textId="77777777" w:rsidTr="00AE63B6">
        <w:tc>
          <w:tcPr>
            <w:tcW w:w="2628" w:type="dxa"/>
            <w:shd w:val="clear" w:color="auto" w:fill="FFFFFF"/>
          </w:tcPr>
          <w:p w14:paraId="689533F8" w14:textId="77777777" w:rsidR="00E76712" w:rsidRDefault="00E76712" w:rsidP="00B97976">
            <w:pPr>
              <w:rPr>
                <w:sz w:val="22"/>
                <w:szCs w:val="22"/>
                <w:lang w:val="en-GB"/>
              </w:rPr>
            </w:pPr>
            <w:r>
              <w:rPr>
                <w:sz w:val="22"/>
                <w:szCs w:val="22"/>
                <w:lang w:val="en-GB"/>
              </w:rPr>
              <w:t>SCS</w:t>
            </w:r>
          </w:p>
        </w:tc>
        <w:tc>
          <w:tcPr>
            <w:tcW w:w="6120" w:type="dxa"/>
            <w:shd w:val="clear" w:color="auto" w:fill="FFFFFF"/>
          </w:tcPr>
          <w:p w14:paraId="3EF7AC34" w14:textId="77777777" w:rsidR="00E76712" w:rsidRDefault="00E76712" w:rsidP="00B97976">
            <w:pPr>
              <w:rPr>
                <w:sz w:val="22"/>
                <w:szCs w:val="22"/>
                <w:lang w:val="en-GB"/>
              </w:rPr>
            </w:pPr>
            <w:r>
              <w:rPr>
                <w:sz w:val="22"/>
                <w:szCs w:val="22"/>
                <w:lang w:val="en-GB"/>
              </w:rPr>
              <w:t>South China Sea</w:t>
            </w:r>
          </w:p>
        </w:tc>
      </w:tr>
      <w:tr w:rsidR="00E76712" w:rsidRPr="00F07F81" w14:paraId="5DA86CA7" w14:textId="77777777" w:rsidTr="00AE63B6">
        <w:tc>
          <w:tcPr>
            <w:tcW w:w="2628" w:type="dxa"/>
            <w:shd w:val="clear" w:color="auto" w:fill="FFFFFF"/>
          </w:tcPr>
          <w:p w14:paraId="1D33BCFC" w14:textId="77777777" w:rsidR="00E76712" w:rsidRDefault="00E76712" w:rsidP="00B97976">
            <w:pPr>
              <w:rPr>
                <w:sz w:val="22"/>
                <w:szCs w:val="22"/>
                <w:lang w:val="en-GB"/>
              </w:rPr>
            </w:pPr>
            <w:r>
              <w:rPr>
                <w:sz w:val="22"/>
                <w:szCs w:val="22"/>
                <w:lang w:val="en-GB"/>
              </w:rPr>
              <w:t>SCS Project</w:t>
            </w:r>
          </w:p>
        </w:tc>
        <w:tc>
          <w:tcPr>
            <w:tcW w:w="6120" w:type="dxa"/>
            <w:shd w:val="clear" w:color="auto" w:fill="FFFFFF"/>
          </w:tcPr>
          <w:p w14:paraId="64E5C44B" w14:textId="77777777" w:rsidR="00E76712" w:rsidRDefault="00E76712" w:rsidP="00B97976">
            <w:pPr>
              <w:rPr>
                <w:sz w:val="22"/>
                <w:szCs w:val="22"/>
                <w:lang w:val="en-GB"/>
              </w:rPr>
            </w:pPr>
            <w:r>
              <w:rPr>
                <w:sz w:val="22"/>
                <w:szCs w:val="22"/>
                <w:lang w:val="en-GB"/>
              </w:rPr>
              <w:t>UNEP/GEF project entitled “</w:t>
            </w:r>
            <w:r w:rsidRPr="00E76712">
              <w:rPr>
                <w:i/>
                <w:sz w:val="22"/>
                <w:szCs w:val="22"/>
                <w:lang w:val="en-GB"/>
              </w:rPr>
              <w:t>Reversing Environmental Degradation Trends in the South China Sea</w:t>
            </w:r>
            <w:r>
              <w:rPr>
                <w:sz w:val="22"/>
                <w:szCs w:val="22"/>
                <w:lang w:val="en-GB"/>
              </w:rPr>
              <w:t>”</w:t>
            </w:r>
          </w:p>
        </w:tc>
      </w:tr>
      <w:tr w:rsidR="00E76712" w:rsidRPr="00F07F81" w14:paraId="55CE3DDE" w14:textId="77777777" w:rsidTr="00AE63B6">
        <w:tc>
          <w:tcPr>
            <w:tcW w:w="2628" w:type="dxa"/>
            <w:shd w:val="clear" w:color="auto" w:fill="FFFFFF"/>
          </w:tcPr>
          <w:p w14:paraId="215D22BA" w14:textId="77777777" w:rsidR="00E76712" w:rsidRDefault="00E76712" w:rsidP="00B97976">
            <w:pPr>
              <w:rPr>
                <w:sz w:val="22"/>
                <w:szCs w:val="22"/>
                <w:lang w:val="en-GB"/>
              </w:rPr>
            </w:pPr>
            <w:r>
              <w:rPr>
                <w:sz w:val="22"/>
                <w:szCs w:val="22"/>
                <w:lang w:val="en-GB"/>
              </w:rPr>
              <w:t>SDGs</w:t>
            </w:r>
          </w:p>
        </w:tc>
        <w:tc>
          <w:tcPr>
            <w:tcW w:w="6120" w:type="dxa"/>
            <w:shd w:val="clear" w:color="auto" w:fill="FFFFFF"/>
          </w:tcPr>
          <w:p w14:paraId="0D0A0E2B" w14:textId="77777777" w:rsidR="00E76712" w:rsidRDefault="00E76712" w:rsidP="00B97976">
            <w:pPr>
              <w:rPr>
                <w:sz w:val="22"/>
                <w:szCs w:val="22"/>
                <w:lang w:val="en-GB"/>
              </w:rPr>
            </w:pPr>
            <w:r>
              <w:rPr>
                <w:sz w:val="22"/>
                <w:szCs w:val="22"/>
                <w:lang w:val="en-GB"/>
              </w:rPr>
              <w:t>Sustainable Development Goals</w:t>
            </w:r>
          </w:p>
        </w:tc>
      </w:tr>
      <w:tr w:rsidR="00866151" w:rsidRPr="00F07F81" w14:paraId="7D028296" w14:textId="77777777" w:rsidTr="00AE63B6">
        <w:tc>
          <w:tcPr>
            <w:tcW w:w="2628" w:type="dxa"/>
            <w:shd w:val="clear" w:color="auto" w:fill="FFFFFF"/>
          </w:tcPr>
          <w:p w14:paraId="64285AF8" w14:textId="77777777" w:rsidR="00866151" w:rsidRDefault="00866151" w:rsidP="00B97976">
            <w:pPr>
              <w:rPr>
                <w:sz w:val="22"/>
                <w:szCs w:val="22"/>
                <w:lang w:val="en-GB"/>
              </w:rPr>
            </w:pPr>
            <w:r>
              <w:rPr>
                <w:sz w:val="22"/>
                <w:szCs w:val="22"/>
                <w:lang w:val="en-GB"/>
              </w:rPr>
              <w:t>SEA</w:t>
            </w:r>
          </w:p>
        </w:tc>
        <w:tc>
          <w:tcPr>
            <w:tcW w:w="6120" w:type="dxa"/>
            <w:shd w:val="clear" w:color="auto" w:fill="FFFFFF"/>
          </w:tcPr>
          <w:p w14:paraId="7B36B674" w14:textId="77777777" w:rsidR="00866151" w:rsidRPr="00866151" w:rsidRDefault="00866151" w:rsidP="00866151">
            <w:pPr>
              <w:rPr>
                <w:sz w:val="22"/>
                <w:szCs w:val="22"/>
                <w:lang w:val="en-GB"/>
              </w:rPr>
            </w:pPr>
            <w:r>
              <w:rPr>
                <w:sz w:val="22"/>
                <w:szCs w:val="22"/>
                <w:lang w:val="en-GB"/>
              </w:rPr>
              <w:t>Specialized Executing Agency</w:t>
            </w:r>
          </w:p>
        </w:tc>
      </w:tr>
      <w:tr w:rsidR="00866151" w:rsidRPr="00F07F81" w14:paraId="75412D29" w14:textId="77777777" w:rsidTr="00AE63B6">
        <w:tc>
          <w:tcPr>
            <w:tcW w:w="2628" w:type="dxa"/>
            <w:shd w:val="clear" w:color="auto" w:fill="FFFFFF"/>
          </w:tcPr>
          <w:p w14:paraId="6458BDD5" w14:textId="77777777" w:rsidR="00866151" w:rsidRDefault="00866151" w:rsidP="00B97976">
            <w:pPr>
              <w:rPr>
                <w:sz w:val="22"/>
                <w:szCs w:val="22"/>
                <w:lang w:val="en-GB"/>
              </w:rPr>
            </w:pPr>
            <w:r>
              <w:rPr>
                <w:sz w:val="22"/>
                <w:szCs w:val="22"/>
                <w:lang w:val="en-GB"/>
              </w:rPr>
              <w:t>SEAFDEC</w:t>
            </w:r>
          </w:p>
        </w:tc>
        <w:tc>
          <w:tcPr>
            <w:tcW w:w="6120" w:type="dxa"/>
            <w:shd w:val="clear" w:color="auto" w:fill="FFFFFF"/>
          </w:tcPr>
          <w:p w14:paraId="3B7792A2" w14:textId="77777777" w:rsidR="00866151" w:rsidRPr="00866151" w:rsidRDefault="00866151" w:rsidP="00866151">
            <w:pPr>
              <w:rPr>
                <w:sz w:val="22"/>
                <w:szCs w:val="22"/>
                <w:lang w:val="en-GB"/>
              </w:rPr>
            </w:pPr>
            <w:r>
              <w:rPr>
                <w:sz w:val="22"/>
                <w:szCs w:val="22"/>
                <w:lang w:val="en-GB"/>
              </w:rPr>
              <w:t>Southeast Asian Fisheries Development Center</w:t>
            </w:r>
          </w:p>
        </w:tc>
      </w:tr>
      <w:tr w:rsidR="00866151" w:rsidRPr="00F07F81" w14:paraId="72898F9E" w14:textId="77777777" w:rsidTr="00AE63B6">
        <w:tc>
          <w:tcPr>
            <w:tcW w:w="2628" w:type="dxa"/>
            <w:shd w:val="clear" w:color="auto" w:fill="FFFFFF"/>
          </w:tcPr>
          <w:p w14:paraId="606E75B4" w14:textId="77777777" w:rsidR="00866151" w:rsidRDefault="00866151" w:rsidP="00B97976">
            <w:pPr>
              <w:rPr>
                <w:sz w:val="22"/>
                <w:szCs w:val="22"/>
                <w:lang w:val="en-GB"/>
              </w:rPr>
            </w:pPr>
            <w:r>
              <w:rPr>
                <w:sz w:val="22"/>
                <w:szCs w:val="22"/>
                <w:lang w:val="en-GB"/>
              </w:rPr>
              <w:t>SEA START RC</w:t>
            </w:r>
          </w:p>
        </w:tc>
        <w:tc>
          <w:tcPr>
            <w:tcW w:w="6120" w:type="dxa"/>
            <w:shd w:val="clear" w:color="auto" w:fill="FFFFFF"/>
          </w:tcPr>
          <w:p w14:paraId="08A66551" w14:textId="77777777" w:rsidR="00866151" w:rsidRDefault="00866151" w:rsidP="00866151">
            <w:pPr>
              <w:rPr>
                <w:sz w:val="22"/>
                <w:szCs w:val="22"/>
                <w:lang w:val="en-GB"/>
              </w:rPr>
            </w:pPr>
            <w:r w:rsidRPr="00866151">
              <w:rPr>
                <w:sz w:val="22"/>
                <w:szCs w:val="22"/>
                <w:lang w:val="en-GB"/>
              </w:rPr>
              <w:t xml:space="preserve">Southeast Asia </w:t>
            </w:r>
            <w:r>
              <w:rPr>
                <w:sz w:val="22"/>
                <w:szCs w:val="22"/>
                <w:lang w:val="en-GB"/>
              </w:rPr>
              <w:t>Regional C</w:t>
            </w:r>
            <w:r w:rsidRPr="00866151">
              <w:rPr>
                <w:sz w:val="22"/>
                <w:szCs w:val="22"/>
                <w:lang w:val="en-GB"/>
              </w:rPr>
              <w:t>entre of the Global Change System for Analysis, Research and Training</w:t>
            </w:r>
          </w:p>
        </w:tc>
      </w:tr>
      <w:tr w:rsidR="00DE6329" w:rsidRPr="00F07F81" w14:paraId="30257FDE" w14:textId="77777777" w:rsidTr="00AE63B6">
        <w:tc>
          <w:tcPr>
            <w:tcW w:w="2628" w:type="dxa"/>
            <w:shd w:val="clear" w:color="auto" w:fill="FFFFFF"/>
          </w:tcPr>
          <w:p w14:paraId="22578D45" w14:textId="77777777" w:rsidR="00DE6329" w:rsidRDefault="00DE6329" w:rsidP="0045205F">
            <w:pPr>
              <w:rPr>
                <w:sz w:val="22"/>
                <w:szCs w:val="22"/>
                <w:lang w:val="en-GB"/>
              </w:rPr>
            </w:pPr>
            <w:r>
              <w:rPr>
                <w:sz w:val="22"/>
                <w:szCs w:val="22"/>
                <w:lang w:val="en-GB"/>
              </w:rPr>
              <w:t>SGP</w:t>
            </w:r>
          </w:p>
        </w:tc>
        <w:tc>
          <w:tcPr>
            <w:tcW w:w="6120" w:type="dxa"/>
            <w:shd w:val="clear" w:color="auto" w:fill="FFFFFF"/>
          </w:tcPr>
          <w:p w14:paraId="13D36710" w14:textId="77777777" w:rsidR="00DE6329" w:rsidRDefault="00DE6329" w:rsidP="0045205F">
            <w:pPr>
              <w:rPr>
                <w:sz w:val="22"/>
                <w:szCs w:val="22"/>
                <w:lang w:val="en-GB"/>
              </w:rPr>
            </w:pPr>
            <w:r>
              <w:rPr>
                <w:sz w:val="22"/>
                <w:szCs w:val="22"/>
                <w:lang w:val="en-GB"/>
              </w:rPr>
              <w:t>Small Grants Programme of the GEF</w:t>
            </w:r>
          </w:p>
        </w:tc>
      </w:tr>
      <w:tr w:rsidR="00E76712" w:rsidRPr="00F07F81" w14:paraId="54AA2515" w14:textId="77777777" w:rsidTr="00AE63B6">
        <w:tc>
          <w:tcPr>
            <w:tcW w:w="2628" w:type="dxa"/>
            <w:shd w:val="clear" w:color="auto" w:fill="FFFFFF"/>
          </w:tcPr>
          <w:p w14:paraId="29A74430" w14:textId="77777777" w:rsidR="00E76712" w:rsidRDefault="00E76712" w:rsidP="0045205F">
            <w:pPr>
              <w:rPr>
                <w:sz w:val="22"/>
                <w:szCs w:val="22"/>
                <w:lang w:val="en-GB"/>
              </w:rPr>
            </w:pPr>
            <w:r>
              <w:rPr>
                <w:sz w:val="22"/>
                <w:szCs w:val="22"/>
                <w:lang w:val="en-GB"/>
              </w:rPr>
              <w:t>SIDA</w:t>
            </w:r>
          </w:p>
        </w:tc>
        <w:tc>
          <w:tcPr>
            <w:tcW w:w="6120" w:type="dxa"/>
            <w:shd w:val="clear" w:color="auto" w:fill="FFFFFF"/>
          </w:tcPr>
          <w:p w14:paraId="10EFA56E" w14:textId="77777777" w:rsidR="00E76712" w:rsidRDefault="00E76712" w:rsidP="0045205F">
            <w:pPr>
              <w:rPr>
                <w:sz w:val="22"/>
                <w:szCs w:val="22"/>
                <w:lang w:val="en-GB"/>
              </w:rPr>
            </w:pPr>
            <w:r>
              <w:rPr>
                <w:sz w:val="22"/>
                <w:szCs w:val="22"/>
                <w:lang w:val="en-GB"/>
              </w:rPr>
              <w:t>Swedish International Development Agency</w:t>
            </w:r>
          </w:p>
        </w:tc>
      </w:tr>
      <w:tr w:rsidR="00E76712" w:rsidRPr="00F07F81" w14:paraId="2FA2CA5C" w14:textId="77777777" w:rsidTr="00AE63B6">
        <w:tc>
          <w:tcPr>
            <w:tcW w:w="2628" w:type="dxa"/>
            <w:shd w:val="clear" w:color="auto" w:fill="FFFFFF"/>
          </w:tcPr>
          <w:p w14:paraId="1E5D7258" w14:textId="77777777" w:rsidR="00E76712" w:rsidRDefault="00E76712" w:rsidP="0045205F">
            <w:pPr>
              <w:rPr>
                <w:sz w:val="22"/>
                <w:szCs w:val="22"/>
                <w:lang w:val="en-GB"/>
              </w:rPr>
            </w:pPr>
            <w:r>
              <w:rPr>
                <w:sz w:val="22"/>
                <w:szCs w:val="22"/>
                <w:lang w:val="en-GB"/>
              </w:rPr>
              <w:t>SMART</w:t>
            </w:r>
          </w:p>
        </w:tc>
        <w:tc>
          <w:tcPr>
            <w:tcW w:w="6120" w:type="dxa"/>
            <w:shd w:val="clear" w:color="auto" w:fill="FFFFFF"/>
          </w:tcPr>
          <w:p w14:paraId="01F85A09" w14:textId="77777777" w:rsidR="00E76712" w:rsidRDefault="00E76712" w:rsidP="0045205F">
            <w:pPr>
              <w:rPr>
                <w:sz w:val="22"/>
                <w:szCs w:val="22"/>
                <w:lang w:val="en-GB"/>
              </w:rPr>
            </w:pPr>
            <w:r>
              <w:rPr>
                <w:sz w:val="22"/>
                <w:szCs w:val="22"/>
                <w:lang w:val="en-GB"/>
              </w:rPr>
              <w:t>Specific, Measurable, Achievable and Attributable, Relevant and Realistic, Time-bound, Timely, Trackable and Targeted Indicators</w:t>
            </w:r>
          </w:p>
        </w:tc>
      </w:tr>
      <w:tr w:rsidR="00D929DD" w:rsidRPr="00F07F81" w14:paraId="1774350F" w14:textId="77777777" w:rsidTr="00AE63B6">
        <w:tc>
          <w:tcPr>
            <w:tcW w:w="2628" w:type="dxa"/>
            <w:shd w:val="clear" w:color="auto" w:fill="FFFFFF"/>
          </w:tcPr>
          <w:p w14:paraId="133A0305" w14:textId="77777777" w:rsidR="00D929DD" w:rsidRDefault="00D929DD" w:rsidP="0045205F">
            <w:pPr>
              <w:rPr>
                <w:sz w:val="22"/>
                <w:szCs w:val="22"/>
                <w:lang w:val="en-GB"/>
              </w:rPr>
            </w:pPr>
            <w:r>
              <w:rPr>
                <w:sz w:val="22"/>
                <w:szCs w:val="22"/>
                <w:lang w:val="en-GB"/>
              </w:rPr>
              <w:t>TDA</w:t>
            </w:r>
          </w:p>
        </w:tc>
        <w:tc>
          <w:tcPr>
            <w:tcW w:w="6120" w:type="dxa"/>
            <w:shd w:val="clear" w:color="auto" w:fill="FFFFFF"/>
          </w:tcPr>
          <w:p w14:paraId="339287E5" w14:textId="77777777" w:rsidR="00D929DD" w:rsidRDefault="00D929DD" w:rsidP="0045205F">
            <w:pPr>
              <w:rPr>
                <w:sz w:val="22"/>
                <w:szCs w:val="22"/>
                <w:lang w:val="en-GB"/>
              </w:rPr>
            </w:pPr>
            <w:r>
              <w:rPr>
                <w:sz w:val="22"/>
                <w:szCs w:val="22"/>
                <w:lang w:val="en-GB"/>
              </w:rPr>
              <w:t>Transboundary Diagnostic Analysis</w:t>
            </w:r>
          </w:p>
        </w:tc>
      </w:tr>
      <w:tr w:rsidR="00E76712" w:rsidRPr="00F07F81" w14:paraId="5360771F" w14:textId="77777777" w:rsidTr="00AE63B6">
        <w:tc>
          <w:tcPr>
            <w:tcW w:w="2628" w:type="dxa"/>
            <w:shd w:val="clear" w:color="auto" w:fill="FFFFFF"/>
          </w:tcPr>
          <w:p w14:paraId="60244442" w14:textId="77777777" w:rsidR="00E76712" w:rsidRDefault="00E76712" w:rsidP="0045205F">
            <w:pPr>
              <w:rPr>
                <w:sz w:val="22"/>
                <w:szCs w:val="22"/>
                <w:lang w:val="en-GB"/>
              </w:rPr>
            </w:pPr>
            <w:r>
              <w:rPr>
                <w:sz w:val="22"/>
                <w:szCs w:val="22"/>
                <w:lang w:val="en-GB"/>
              </w:rPr>
              <w:t>UNEP-DEWA</w:t>
            </w:r>
          </w:p>
        </w:tc>
        <w:tc>
          <w:tcPr>
            <w:tcW w:w="6120" w:type="dxa"/>
            <w:shd w:val="clear" w:color="auto" w:fill="FFFFFF"/>
          </w:tcPr>
          <w:p w14:paraId="6A5B8093" w14:textId="77777777" w:rsidR="00E76712" w:rsidRDefault="00E76712" w:rsidP="0045205F">
            <w:pPr>
              <w:rPr>
                <w:sz w:val="22"/>
                <w:szCs w:val="22"/>
                <w:lang w:val="en-GB"/>
              </w:rPr>
            </w:pPr>
            <w:r>
              <w:rPr>
                <w:sz w:val="22"/>
                <w:szCs w:val="22"/>
                <w:lang w:val="en-GB"/>
              </w:rPr>
              <w:t>UNEP Division of Early Warning and Assessment</w:t>
            </w:r>
          </w:p>
        </w:tc>
      </w:tr>
      <w:tr w:rsidR="00E76712" w:rsidRPr="00F07F81" w14:paraId="142D0D06" w14:textId="77777777" w:rsidTr="00AE63B6">
        <w:tc>
          <w:tcPr>
            <w:tcW w:w="2628" w:type="dxa"/>
            <w:shd w:val="clear" w:color="auto" w:fill="FFFFFF"/>
          </w:tcPr>
          <w:p w14:paraId="36C6B36F" w14:textId="77777777" w:rsidR="00E76712" w:rsidRDefault="00E76712" w:rsidP="0045205F">
            <w:pPr>
              <w:rPr>
                <w:sz w:val="22"/>
                <w:szCs w:val="22"/>
                <w:lang w:val="en-GB"/>
              </w:rPr>
            </w:pPr>
            <w:r>
              <w:rPr>
                <w:sz w:val="22"/>
                <w:szCs w:val="22"/>
                <w:lang w:val="en-GB"/>
              </w:rPr>
              <w:t>UNON</w:t>
            </w:r>
          </w:p>
        </w:tc>
        <w:tc>
          <w:tcPr>
            <w:tcW w:w="6120" w:type="dxa"/>
            <w:shd w:val="clear" w:color="auto" w:fill="FFFFFF"/>
          </w:tcPr>
          <w:p w14:paraId="7FDE74A0" w14:textId="77777777" w:rsidR="00E76712" w:rsidRDefault="00E76712" w:rsidP="0045205F">
            <w:pPr>
              <w:rPr>
                <w:sz w:val="22"/>
                <w:szCs w:val="22"/>
                <w:lang w:val="en-GB"/>
              </w:rPr>
            </w:pPr>
            <w:r>
              <w:rPr>
                <w:sz w:val="22"/>
                <w:szCs w:val="22"/>
                <w:lang w:val="en-GB"/>
              </w:rPr>
              <w:t>United Nations Office at Nairobi</w:t>
            </w:r>
          </w:p>
        </w:tc>
      </w:tr>
    </w:tbl>
    <w:p w14:paraId="1F594C10" w14:textId="77777777" w:rsidR="00F07F81" w:rsidRDefault="00F07F81">
      <w:pPr>
        <w:spacing w:after="120"/>
        <w:outlineLvl w:val="0"/>
        <w:rPr>
          <w:b/>
          <w:smallCaps/>
          <w:sz w:val="22"/>
          <w:szCs w:val="22"/>
          <w:lang w:val="en-GB"/>
        </w:rPr>
      </w:pPr>
      <w:r>
        <w:rPr>
          <w:b/>
          <w:sz w:val="22"/>
          <w:szCs w:val="22"/>
          <w:lang w:val="en-GB"/>
        </w:rPr>
        <w:br w:type="page"/>
      </w:r>
      <w:bookmarkStart w:id="12" w:name="_Toc209432640"/>
      <w:r>
        <w:rPr>
          <w:b/>
          <w:smallCaps/>
          <w:sz w:val="22"/>
          <w:szCs w:val="22"/>
          <w:lang w:val="en-GB"/>
        </w:rPr>
        <w:t>Section 2: Background and Situation Analysis (Baseline course of action)</w:t>
      </w:r>
      <w:bookmarkEnd w:id="12"/>
    </w:p>
    <w:p w14:paraId="3FC7D416" w14:textId="77777777" w:rsidR="00F07F81" w:rsidRDefault="00F07F81">
      <w:pPr>
        <w:numPr>
          <w:ilvl w:val="1"/>
          <w:numId w:val="2"/>
        </w:numPr>
        <w:spacing w:after="120"/>
        <w:outlineLvl w:val="1"/>
        <w:rPr>
          <w:b/>
          <w:sz w:val="22"/>
          <w:szCs w:val="22"/>
          <w:lang w:val="en-GB"/>
        </w:rPr>
      </w:pPr>
      <w:bookmarkStart w:id="13" w:name="_Toc209432641"/>
      <w:r>
        <w:rPr>
          <w:b/>
          <w:sz w:val="22"/>
          <w:szCs w:val="22"/>
          <w:lang w:val="en-GB"/>
        </w:rPr>
        <w:t>Background and context</w:t>
      </w:r>
      <w:bookmarkEnd w:id="13"/>
    </w:p>
    <w:p w14:paraId="70201466" w14:textId="77777777" w:rsidR="00FE26BA" w:rsidRDefault="00FE26BA" w:rsidP="00FE26BA">
      <w:pPr>
        <w:numPr>
          <w:ilvl w:val="2"/>
          <w:numId w:val="2"/>
        </w:numPr>
        <w:spacing w:after="120"/>
        <w:outlineLvl w:val="1"/>
        <w:rPr>
          <w:b/>
          <w:sz w:val="22"/>
          <w:szCs w:val="22"/>
          <w:lang w:val="en-GB"/>
        </w:rPr>
      </w:pPr>
      <w:r w:rsidRPr="00FE26BA">
        <w:rPr>
          <w:b/>
          <w:sz w:val="22"/>
          <w:szCs w:val="22"/>
          <w:lang w:val="en-GB"/>
        </w:rPr>
        <w:t xml:space="preserve">South China Sea TDA and SAP: </w:t>
      </w:r>
      <w:r w:rsidR="003F2399">
        <w:rPr>
          <w:b/>
          <w:sz w:val="22"/>
          <w:szCs w:val="22"/>
          <w:lang w:val="en-GB"/>
        </w:rPr>
        <w:t>Formulation</w:t>
      </w:r>
      <w:r w:rsidR="003F2399" w:rsidRPr="00FE26BA">
        <w:rPr>
          <w:b/>
          <w:sz w:val="22"/>
          <w:szCs w:val="22"/>
          <w:lang w:val="en-GB"/>
        </w:rPr>
        <w:t xml:space="preserve"> </w:t>
      </w:r>
      <w:r w:rsidRPr="00FE26BA">
        <w:rPr>
          <w:b/>
          <w:sz w:val="22"/>
          <w:szCs w:val="22"/>
          <w:lang w:val="en-GB"/>
        </w:rPr>
        <w:t>Activities</w:t>
      </w:r>
    </w:p>
    <w:p w14:paraId="19BB870A" w14:textId="77777777" w:rsidR="00FE26BA" w:rsidRPr="00183235" w:rsidRDefault="00FE26BA" w:rsidP="00FE26BA">
      <w:pPr>
        <w:numPr>
          <w:ilvl w:val="3"/>
          <w:numId w:val="2"/>
        </w:numPr>
        <w:spacing w:after="120"/>
        <w:outlineLvl w:val="1"/>
        <w:rPr>
          <w:b/>
          <w:sz w:val="22"/>
          <w:szCs w:val="22"/>
          <w:lang w:val="en-GB"/>
        </w:rPr>
      </w:pPr>
      <w:r w:rsidRPr="00183235">
        <w:rPr>
          <w:b/>
          <w:sz w:val="22"/>
          <w:szCs w:val="22"/>
          <w:lang w:val="en-GB"/>
        </w:rPr>
        <w:t xml:space="preserve">Initiating </w:t>
      </w:r>
      <w:r w:rsidR="00667557">
        <w:rPr>
          <w:b/>
          <w:sz w:val="22"/>
          <w:szCs w:val="22"/>
          <w:lang w:val="en-GB"/>
        </w:rPr>
        <w:t xml:space="preserve">epistemic </w:t>
      </w:r>
      <w:r w:rsidRPr="00183235">
        <w:rPr>
          <w:b/>
          <w:sz w:val="22"/>
          <w:szCs w:val="22"/>
          <w:lang w:val="en-GB"/>
        </w:rPr>
        <w:t>multi-lateral collaboration</w:t>
      </w:r>
    </w:p>
    <w:p w14:paraId="4A385962" w14:textId="77777777" w:rsidR="00F07F81" w:rsidRDefault="00183235" w:rsidP="00183235">
      <w:pPr>
        <w:numPr>
          <w:ilvl w:val="0"/>
          <w:numId w:val="3"/>
        </w:numPr>
        <w:spacing w:after="120"/>
        <w:ind w:left="0" w:firstLine="0"/>
        <w:jc w:val="both"/>
        <w:rPr>
          <w:sz w:val="22"/>
          <w:szCs w:val="22"/>
          <w:lang w:val="en-GB"/>
        </w:rPr>
      </w:pPr>
      <w:r w:rsidRPr="00183235">
        <w:rPr>
          <w:sz w:val="22"/>
          <w:szCs w:val="22"/>
          <w:lang w:val="en-GB"/>
        </w:rPr>
        <w:t>The South China Sea (Figure 1) is a strategic body of water surrounded by nations that are currently at the helm of industrialization and rapid economic growth in the Asia-Pacific region. Bordered by the People’s Republic of China to the north, the Republic of the Philippines to the east; Malaysia, the Republic of Singapore, the Republic of Indonesia and the Sultanate of Brunei Darussalam to the south, and the Kingdoms of Thailand and Cambodia, and the Socialist Republic of Viet Nam to the west, the South China Sea has always been central to issues of economic and political stability in Southeast Asia and adjacent regions. Today, it is central to defining environmental sustainability and food security for its coastal nations. The coastal sub-regions of these nations are home to 270 000 000 people or 5</w:t>
      </w:r>
      <w:r w:rsidR="00177BC3">
        <w:rPr>
          <w:sz w:val="22"/>
          <w:szCs w:val="22"/>
          <w:lang w:val="en-GB"/>
        </w:rPr>
        <w:t xml:space="preserve"> percent</w:t>
      </w:r>
      <w:r w:rsidR="00177BC3" w:rsidRPr="00183235">
        <w:rPr>
          <w:sz w:val="22"/>
          <w:szCs w:val="22"/>
          <w:lang w:val="en-GB"/>
        </w:rPr>
        <w:t xml:space="preserve"> </w:t>
      </w:r>
      <w:r w:rsidRPr="00183235">
        <w:rPr>
          <w:sz w:val="22"/>
          <w:szCs w:val="22"/>
          <w:lang w:val="en-GB"/>
        </w:rPr>
        <w:t>of the world’s population</w:t>
      </w:r>
      <w:r w:rsidR="00250AB6">
        <w:rPr>
          <w:rStyle w:val="FootnoteReference"/>
          <w:sz w:val="22"/>
          <w:szCs w:val="22"/>
          <w:lang w:val="en-GB"/>
        </w:rPr>
        <w:footnoteReference w:id="3"/>
      </w:r>
      <w:r w:rsidRPr="00183235">
        <w:rPr>
          <w:sz w:val="22"/>
          <w:szCs w:val="22"/>
          <w:lang w:val="en-GB"/>
        </w:rPr>
        <w:t>. About 122</w:t>
      </w:r>
      <w:r>
        <w:rPr>
          <w:sz w:val="22"/>
          <w:szCs w:val="22"/>
          <w:lang w:val="en-GB"/>
        </w:rPr>
        <w:t xml:space="preserve"> </w:t>
      </w:r>
      <w:r w:rsidRPr="00183235">
        <w:rPr>
          <w:sz w:val="22"/>
          <w:szCs w:val="22"/>
          <w:lang w:val="en-GB"/>
        </w:rPr>
        <w:t xml:space="preserve">major rivers drain 2.5 </w:t>
      </w:r>
      <w:r>
        <w:rPr>
          <w:sz w:val="22"/>
          <w:szCs w:val="22"/>
          <w:lang w:val="en-GB"/>
        </w:rPr>
        <w:t>*</w:t>
      </w:r>
      <w:r w:rsidRPr="00183235">
        <w:rPr>
          <w:sz w:val="22"/>
          <w:szCs w:val="22"/>
          <w:lang w:val="en-GB"/>
        </w:rPr>
        <w:t>10</w:t>
      </w:r>
      <w:r w:rsidRPr="00183235">
        <w:rPr>
          <w:sz w:val="22"/>
          <w:szCs w:val="22"/>
          <w:vertAlign w:val="superscript"/>
          <w:lang w:val="en-GB"/>
        </w:rPr>
        <w:t>6</w:t>
      </w:r>
      <w:r w:rsidRPr="00183235">
        <w:rPr>
          <w:sz w:val="22"/>
          <w:szCs w:val="22"/>
          <w:lang w:val="en-GB"/>
        </w:rPr>
        <w:t xml:space="preserve"> km</w:t>
      </w:r>
      <w:r w:rsidRPr="00183235">
        <w:rPr>
          <w:sz w:val="22"/>
          <w:szCs w:val="22"/>
          <w:vertAlign w:val="superscript"/>
          <w:lang w:val="en-GB"/>
        </w:rPr>
        <w:t>2</w:t>
      </w:r>
      <w:r w:rsidRPr="00183235">
        <w:rPr>
          <w:sz w:val="22"/>
          <w:szCs w:val="22"/>
          <w:lang w:val="en-GB"/>
        </w:rPr>
        <w:t xml:space="preserve"> of catchments and deliver materials, including suspended sediments, nutrients and pollutants, to the South China Sea.</w:t>
      </w:r>
    </w:p>
    <w:p w14:paraId="6EC9DAC4" w14:textId="548EF1C8" w:rsidR="00183235" w:rsidRDefault="000741FA" w:rsidP="00F70649">
      <w:pPr>
        <w:spacing w:after="120"/>
        <w:jc w:val="center"/>
        <w:rPr>
          <w:sz w:val="22"/>
          <w:szCs w:val="22"/>
          <w:lang w:val="en-GB"/>
        </w:rPr>
      </w:pPr>
      <w:r>
        <w:rPr>
          <w:noProof/>
          <w:sz w:val="22"/>
          <w:szCs w:val="22"/>
          <w:lang w:val="en-GB"/>
        </w:rPr>
        <w:drawing>
          <wp:inline distT="0" distB="0" distL="0" distR="0" wp14:anchorId="57F9A096" wp14:editId="72196D9C">
            <wp:extent cx="4171950" cy="4692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71950" cy="4692650"/>
                    </a:xfrm>
                    <a:prstGeom prst="rect">
                      <a:avLst/>
                    </a:prstGeom>
                    <a:noFill/>
                    <a:ln>
                      <a:noFill/>
                    </a:ln>
                  </pic:spPr>
                </pic:pic>
              </a:graphicData>
            </a:graphic>
          </wp:inline>
        </w:drawing>
      </w:r>
    </w:p>
    <w:p w14:paraId="50DA8D0F" w14:textId="77777777" w:rsidR="00183235" w:rsidRPr="00183235" w:rsidRDefault="00183235" w:rsidP="00183235">
      <w:pPr>
        <w:jc w:val="center"/>
        <w:rPr>
          <w:sz w:val="21"/>
          <w:szCs w:val="21"/>
          <w:lang w:val="en-GB"/>
        </w:rPr>
      </w:pPr>
      <w:r w:rsidRPr="00183235">
        <w:rPr>
          <w:b/>
          <w:sz w:val="21"/>
          <w:szCs w:val="21"/>
          <w:lang w:val="en-GB"/>
        </w:rPr>
        <w:t>Figure 1.</w:t>
      </w:r>
      <w:r w:rsidRPr="00183235">
        <w:rPr>
          <w:sz w:val="21"/>
          <w:szCs w:val="21"/>
          <w:lang w:val="en-GB"/>
        </w:rPr>
        <w:t xml:space="preserve"> </w:t>
      </w:r>
      <w:r w:rsidR="00F70649">
        <w:rPr>
          <w:sz w:val="21"/>
          <w:szCs w:val="21"/>
          <w:lang w:val="en-GB"/>
        </w:rPr>
        <w:t>Geographical location of the South China Sea marine basin</w:t>
      </w:r>
    </w:p>
    <w:p w14:paraId="6B625C07" w14:textId="77777777" w:rsidR="00183235" w:rsidRPr="00183235" w:rsidRDefault="00183235" w:rsidP="00F70649">
      <w:pPr>
        <w:spacing w:after="120"/>
        <w:rPr>
          <w:sz w:val="21"/>
          <w:szCs w:val="21"/>
          <w:lang w:val="en-GB"/>
        </w:rPr>
      </w:pPr>
    </w:p>
    <w:p w14:paraId="377161BE" w14:textId="77777777" w:rsidR="006941D1" w:rsidRDefault="00183235" w:rsidP="00183235">
      <w:pPr>
        <w:numPr>
          <w:ilvl w:val="0"/>
          <w:numId w:val="3"/>
        </w:numPr>
        <w:spacing w:after="120"/>
        <w:ind w:left="0" w:firstLine="0"/>
        <w:jc w:val="both"/>
        <w:rPr>
          <w:sz w:val="22"/>
          <w:szCs w:val="22"/>
          <w:lang w:val="en-GB"/>
        </w:rPr>
      </w:pPr>
      <w:r w:rsidRPr="00183235">
        <w:rPr>
          <w:sz w:val="22"/>
          <w:szCs w:val="22"/>
          <w:lang w:val="en-GB"/>
        </w:rPr>
        <w:t>The pace of economic development in these countries has not been without environmental cost and, in 1981, the ASEAN countries of Southeast Asia formed the Coordinating Body for the Seas of East Asia as a forum in which environmental problems could be discussed and actions planned to mitigate the adverse environmental consequences of rapid economic development. In October 1996, UNEP, as an Implementing Agency of the Global Environment Facility (GEF), approached the GEF Secretariat with a proposal to develop a GEF-funded project encompassing the South China Sea that form</w:t>
      </w:r>
      <w:r w:rsidR="00177BC3">
        <w:rPr>
          <w:sz w:val="22"/>
          <w:szCs w:val="22"/>
          <w:lang w:val="en-GB"/>
        </w:rPr>
        <w:t>ed</w:t>
      </w:r>
      <w:r w:rsidRPr="00183235">
        <w:rPr>
          <w:sz w:val="22"/>
          <w:szCs w:val="22"/>
          <w:lang w:val="en-GB"/>
        </w:rPr>
        <w:t xml:space="preserve"> only part of the geographic coverage of the Coordinating Body for the Seas of East Asia (COBSEA). </w:t>
      </w:r>
    </w:p>
    <w:p w14:paraId="13BF90C4" w14:textId="77777777" w:rsidR="00183235" w:rsidRDefault="00183235" w:rsidP="00183235">
      <w:pPr>
        <w:numPr>
          <w:ilvl w:val="0"/>
          <w:numId w:val="3"/>
        </w:numPr>
        <w:spacing w:after="120"/>
        <w:ind w:left="0" w:firstLine="0"/>
        <w:jc w:val="both"/>
        <w:rPr>
          <w:sz w:val="22"/>
          <w:szCs w:val="22"/>
          <w:lang w:val="en-GB"/>
        </w:rPr>
      </w:pPr>
      <w:r w:rsidRPr="00183235">
        <w:rPr>
          <w:sz w:val="22"/>
          <w:szCs w:val="22"/>
          <w:lang w:val="en-GB"/>
        </w:rPr>
        <w:t>This approach was based on a request from the member governments of COBSEA that a GEF project be developed for the region to address regional environmental management. Accordingly, UNEP, through its then Coordinating Office for the GEF, developed a proposal for a GEF project in the South China Sea, including the Gulf of Thailand. This proposal conformed to the GEF approach to funding activities addressing environmental problems in large marine ecosystems.</w:t>
      </w:r>
    </w:p>
    <w:p w14:paraId="37216168" w14:textId="77777777" w:rsidR="006941D1" w:rsidRDefault="00183235" w:rsidP="00183235">
      <w:pPr>
        <w:numPr>
          <w:ilvl w:val="0"/>
          <w:numId w:val="3"/>
        </w:numPr>
        <w:autoSpaceDE w:val="0"/>
        <w:autoSpaceDN w:val="0"/>
        <w:adjustRightInd w:val="0"/>
        <w:spacing w:after="120"/>
        <w:ind w:left="0" w:firstLine="0"/>
        <w:jc w:val="both"/>
        <w:rPr>
          <w:color w:val="000000"/>
          <w:sz w:val="22"/>
          <w:szCs w:val="22"/>
        </w:rPr>
      </w:pPr>
      <w:r w:rsidRPr="00844B86">
        <w:rPr>
          <w:color w:val="000000"/>
          <w:sz w:val="22"/>
          <w:szCs w:val="22"/>
        </w:rPr>
        <w:t>The 199</w:t>
      </w:r>
      <w:r>
        <w:rPr>
          <w:color w:val="000000"/>
          <w:sz w:val="22"/>
          <w:szCs w:val="22"/>
        </w:rPr>
        <w:t>5</w:t>
      </w:r>
      <w:r w:rsidRPr="00844B86">
        <w:rPr>
          <w:color w:val="000000"/>
          <w:sz w:val="22"/>
          <w:szCs w:val="22"/>
        </w:rPr>
        <w:t xml:space="preserve"> Operational Strategy of the GEF defined the objective of its international waters focal area as “</w:t>
      </w:r>
      <w:r w:rsidRPr="00424E22">
        <w:rPr>
          <w:i/>
          <w:color w:val="000000"/>
          <w:sz w:val="22"/>
          <w:szCs w:val="22"/>
        </w:rPr>
        <w:t>to contribute primarily as a catalyst in the implementation of a more comprehensive, ecosystem-based approach to managing international waters and their drainage basins as a means to achieve global environmental benefits</w:t>
      </w:r>
      <w:r w:rsidRPr="00844B86">
        <w:rPr>
          <w:color w:val="000000"/>
          <w:sz w:val="22"/>
          <w:szCs w:val="22"/>
        </w:rPr>
        <w:t>” (</w:t>
      </w:r>
      <w:r w:rsidRPr="00F75BCA">
        <w:rPr>
          <w:sz w:val="22"/>
          <w:szCs w:val="22"/>
        </w:rPr>
        <w:t>GEF, 1996</w:t>
      </w:r>
      <w:r w:rsidRPr="00844B86">
        <w:rPr>
          <w:color w:val="000000"/>
          <w:sz w:val="22"/>
          <w:szCs w:val="22"/>
        </w:rPr>
        <w:t xml:space="preserve">). Central to this strategy and its operational programmes was the recognition that, as a first step, countries would require support in joint fact-finding in order to develop the information base required to plan sectoral reforms and investments needed to mitigate or reverse transboundary environmental degradation of specific water bodies. </w:t>
      </w:r>
    </w:p>
    <w:p w14:paraId="16A2A116" w14:textId="77777777" w:rsidR="00183235" w:rsidRPr="00844B86" w:rsidRDefault="00183235" w:rsidP="00183235">
      <w:pPr>
        <w:numPr>
          <w:ilvl w:val="0"/>
          <w:numId w:val="3"/>
        </w:numPr>
        <w:autoSpaceDE w:val="0"/>
        <w:autoSpaceDN w:val="0"/>
        <w:adjustRightInd w:val="0"/>
        <w:spacing w:after="120"/>
        <w:ind w:left="0" w:firstLine="0"/>
        <w:jc w:val="both"/>
        <w:rPr>
          <w:color w:val="000000"/>
          <w:sz w:val="22"/>
          <w:szCs w:val="22"/>
        </w:rPr>
      </w:pPr>
      <w:r w:rsidRPr="00844B86">
        <w:rPr>
          <w:color w:val="000000"/>
          <w:sz w:val="22"/>
          <w:szCs w:val="22"/>
        </w:rPr>
        <w:t>Accordingly, the first set of GEF operational programs for international waters made reference to the “</w:t>
      </w:r>
      <w:r w:rsidRPr="00424E22">
        <w:rPr>
          <w:i/>
          <w:color w:val="000000"/>
          <w:sz w:val="22"/>
          <w:szCs w:val="22"/>
        </w:rPr>
        <w:t>conduct of a transboundary diagnostic analysis (TDA) to identify priority environmental concerns</w:t>
      </w:r>
      <w:r w:rsidRPr="00844B86">
        <w:rPr>
          <w:color w:val="000000"/>
          <w:sz w:val="22"/>
          <w:szCs w:val="22"/>
        </w:rPr>
        <w:t>”</w:t>
      </w:r>
      <w:r>
        <w:rPr>
          <w:rStyle w:val="FootnoteReference"/>
          <w:color w:val="000000"/>
          <w:sz w:val="22"/>
          <w:szCs w:val="22"/>
        </w:rPr>
        <w:footnoteReference w:id="4"/>
      </w:r>
      <w:r w:rsidRPr="00844B86">
        <w:rPr>
          <w:color w:val="000066"/>
          <w:sz w:val="22"/>
          <w:szCs w:val="22"/>
        </w:rPr>
        <w:t xml:space="preserve"> </w:t>
      </w:r>
      <w:r w:rsidRPr="00844B86">
        <w:rPr>
          <w:color w:val="000000"/>
          <w:sz w:val="22"/>
          <w:szCs w:val="22"/>
        </w:rPr>
        <w:t>and the formulation of “</w:t>
      </w:r>
      <w:r w:rsidRPr="00424E22">
        <w:rPr>
          <w:i/>
          <w:color w:val="000000"/>
          <w:sz w:val="22"/>
          <w:szCs w:val="22"/>
        </w:rPr>
        <w:t>a Strategic Action Program</w:t>
      </w:r>
      <w:r w:rsidRPr="00424E22">
        <w:rPr>
          <w:i/>
          <w:color w:val="000066"/>
          <w:sz w:val="22"/>
          <w:szCs w:val="22"/>
        </w:rPr>
        <w:t xml:space="preserve"> </w:t>
      </w:r>
      <w:r w:rsidRPr="00424E22">
        <w:rPr>
          <w:i/>
          <w:color w:val="000000"/>
          <w:sz w:val="22"/>
          <w:szCs w:val="22"/>
        </w:rPr>
        <w:t>(SAP) of actions each country needs to take to address priority transboundary concerns</w:t>
      </w:r>
      <w:r w:rsidRPr="00844B86">
        <w:rPr>
          <w:color w:val="000000"/>
          <w:sz w:val="22"/>
          <w:szCs w:val="22"/>
        </w:rPr>
        <w:t>”</w:t>
      </w:r>
      <w:r w:rsidR="00424E22">
        <w:rPr>
          <w:color w:val="000000"/>
          <w:sz w:val="22"/>
          <w:szCs w:val="22"/>
        </w:rPr>
        <w:t>.</w:t>
      </w:r>
      <w:r w:rsidRPr="00844B86">
        <w:rPr>
          <w:color w:val="000000"/>
          <w:sz w:val="22"/>
          <w:szCs w:val="22"/>
        </w:rPr>
        <w:t xml:space="preserve"> The underlying rationale for this TDA and SAP approach was that, once the root causes of transboundary concerns had been identified and key threats to the given transboundary water system established, countries would collaborate in determining and agreeing upon the collective and national-level actions needed to address priority concerns.</w:t>
      </w:r>
    </w:p>
    <w:p w14:paraId="780A7559" w14:textId="77777777" w:rsidR="00424E22" w:rsidRDefault="00177BC3" w:rsidP="00424E22">
      <w:pPr>
        <w:numPr>
          <w:ilvl w:val="0"/>
          <w:numId w:val="3"/>
        </w:numPr>
        <w:spacing w:after="120"/>
        <w:ind w:left="0" w:firstLine="0"/>
        <w:jc w:val="both"/>
        <w:rPr>
          <w:sz w:val="22"/>
          <w:szCs w:val="22"/>
        </w:rPr>
      </w:pPr>
      <w:r>
        <w:rPr>
          <w:sz w:val="22"/>
          <w:szCs w:val="22"/>
        </w:rPr>
        <w:t>In this connection, t</w:t>
      </w:r>
      <w:r w:rsidR="00424E22" w:rsidRPr="00844B86">
        <w:rPr>
          <w:sz w:val="22"/>
          <w:szCs w:val="22"/>
        </w:rPr>
        <w:t>he United Nations Environme</w:t>
      </w:r>
      <w:r w:rsidR="00424E22">
        <w:rPr>
          <w:sz w:val="22"/>
          <w:szCs w:val="22"/>
        </w:rPr>
        <w:t xml:space="preserve">nt Programme (UNEP) implemented </w:t>
      </w:r>
      <w:r w:rsidR="00424E22" w:rsidRPr="00844B86">
        <w:rPr>
          <w:sz w:val="22"/>
          <w:szCs w:val="22"/>
        </w:rPr>
        <w:t>project entitled “</w:t>
      </w:r>
      <w:r w:rsidR="00424E22" w:rsidRPr="00424E22">
        <w:rPr>
          <w:i/>
          <w:sz w:val="22"/>
          <w:szCs w:val="22"/>
        </w:rPr>
        <w:t>Reversing Environmental Degradation Trends in the South China Sea and Gulf of Thailand</w:t>
      </w:r>
      <w:r w:rsidR="00424E22">
        <w:rPr>
          <w:sz w:val="22"/>
          <w:szCs w:val="22"/>
        </w:rPr>
        <w:t>”</w:t>
      </w:r>
      <w:r w:rsidR="00424E22">
        <w:rPr>
          <w:rStyle w:val="FootnoteReference"/>
          <w:sz w:val="22"/>
          <w:szCs w:val="22"/>
        </w:rPr>
        <w:footnoteReference w:id="5"/>
      </w:r>
      <w:r w:rsidR="00424E22">
        <w:rPr>
          <w:sz w:val="22"/>
          <w:szCs w:val="22"/>
        </w:rPr>
        <w:t xml:space="preserve"> supported seven </w:t>
      </w:r>
      <w:r w:rsidR="00424E22" w:rsidRPr="00844B86">
        <w:rPr>
          <w:sz w:val="22"/>
          <w:szCs w:val="22"/>
        </w:rPr>
        <w:t>riparian countries of the South China Sea through this TDA-SAP</w:t>
      </w:r>
      <w:r w:rsidR="00424E22">
        <w:rPr>
          <w:sz w:val="22"/>
          <w:szCs w:val="22"/>
        </w:rPr>
        <w:t xml:space="preserve"> </w:t>
      </w:r>
      <w:r w:rsidR="00424E22" w:rsidRPr="00844B86">
        <w:rPr>
          <w:sz w:val="22"/>
          <w:szCs w:val="22"/>
        </w:rPr>
        <w:t xml:space="preserve">process from </w:t>
      </w:r>
      <w:r w:rsidR="00077FB6">
        <w:rPr>
          <w:sz w:val="22"/>
          <w:szCs w:val="22"/>
        </w:rPr>
        <w:t>2002</w:t>
      </w:r>
      <w:r w:rsidR="00424E22" w:rsidRPr="00844B86">
        <w:rPr>
          <w:sz w:val="22"/>
          <w:szCs w:val="22"/>
        </w:rPr>
        <w:t xml:space="preserve"> to 2008. The project</w:t>
      </w:r>
      <w:r w:rsidR="00424E22">
        <w:rPr>
          <w:sz w:val="22"/>
          <w:szCs w:val="22"/>
        </w:rPr>
        <w:t xml:space="preserve"> </w:t>
      </w:r>
      <w:r w:rsidR="00424E22" w:rsidRPr="00844B86">
        <w:rPr>
          <w:sz w:val="22"/>
          <w:szCs w:val="22"/>
        </w:rPr>
        <w:t>was financed by the GEF and</w:t>
      </w:r>
      <w:r w:rsidR="00424E22">
        <w:rPr>
          <w:sz w:val="22"/>
          <w:szCs w:val="22"/>
        </w:rPr>
        <w:t xml:space="preserve"> </w:t>
      </w:r>
      <w:r w:rsidR="00424E22" w:rsidRPr="00844B86">
        <w:rPr>
          <w:sz w:val="22"/>
          <w:szCs w:val="22"/>
        </w:rPr>
        <w:t>co-financed by the parti</w:t>
      </w:r>
      <w:r w:rsidR="00424E22">
        <w:rPr>
          <w:sz w:val="22"/>
          <w:szCs w:val="22"/>
        </w:rPr>
        <w:t xml:space="preserve">cipating countries. TDA and SAP development </w:t>
      </w:r>
      <w:r w:rsidR="00424E22" w:rsidRPr="00844B86">
        <w:rPr>
          <w:sz w:val="22"/>
          <w:szCs w:val="22"/>
        </w:rPr>
        <w:t>involved the design and op</w:t>
      </w:r>
      <w:r w:rsidR="00424E22">
        <w:rPr>
          <w:sz w:val="22"/>
          <w:szCs w:val="22"/>
        </w:rPr>
        <w:t xml:space="preserve">eration of structured processes </w:t>
      </w:r>
      <w:r w:rsidR="00424E22" w:rsidRPr="00844B86">
        <w:rPr>
          <w:sz w:val="22"/>
          <w:szCs w:val="22"/>
        </w:rPr>
        <w:t>aimed at facilitating cross-sect</w:t>
      </w:r>
      <w:r w:rsidR="00424E22">
        <w:rPr>
          <w:sz w:val="22"/>
          <w:szCs w:val="22"/>
        </w:rPr>
        <w:t xml:space="preserve">oral collaboration, stakeholder </w:t>
      </w:r>
      <w:r w:rsidR="00424E22" w:rsidRPr="00844B86">
        <w:rPr>
          <w:sz w:val="22"/>
          <w:szCs w:val="22"/>
        </w:rPr>
        <w:t>participation, joint fact-findin</w:t>
      </w:r>
      <w:r w:rsidR="00424E22">
        <w:rPr>
          <w:sz w:val="22"/>
          <w:szCs w:val="22"/>
        </w:rPr>
        <w:t xml:space="preserve">g and stepwise decision-making, </w:t>
      </w:r>
      <w:r w:rsidR="00424E22" w:rsidRPr="00844B86">
        <w:rPr>
          <w:sz w:val="22"/>
          <w:szCs w:val="22"/>
        </w:rPr>
        <w:t>scientific independence and vera</w:t>
      </w:r>
      <w:r w:rsidR="00424E22">
        <w:rPr>
          <w:sz w:val="22"/>
          <w:szCs w:val="22"/>
        </w:rPr>
        <w:t xml:space="preserve">city, and transparency with the </w:t>
      </w:r>
      <w:r w:rsidR="00424E22" w:rsidRPr="00844B86">
        <w:rPr>
          <w:sz w:val="22"/>
          <w:szCs w:val="22"/>
        </w:rPr>
        <w:t>information sharing required to establi</w:t>
      </w:r>
      <w:r w:rsidR="00424E22">
        <w:rPr>
          <w:sz w:val="22"/>
          <w:szCs w:val="22"/>
        </w:rPr>
        <w:t xml:space="preserve">sh threats and to plan priority </w:t>
      </w:r>
      <w:r w:rsidR="00424E22" w:rsidRPr="00844B86">
        <w:rPr>
          <w:sz w:val="22"/>
          <w:szCs w:val="22"/>
        </w:rPr>
        <w:t>interventions in a multi-latera</w:t>
      </w:r>
      <w:r w:rsidR="00424E22">
        <w:rPr>
          <w:sz w:val="22"/>
          <w:szCs w:val="22"/>
        </w:rPr>
        <w:t xml:space="preserve">l, intergovernmental setting. A </w:t>
      </w:r>
      <w:r w:rsidR="00424E22" w:rsidRPr="00844B86">
        <w:rPr>
          <w:sz w:val="22"/>
          <w:szCs w:val="22"/>
        </w:rPr>
        <w:t>key element of these processes included the development of proce</w:t>
      </w:r>
      <w:r w:rsidR="00424E22">
        <w:rPr>
          <w:sz w:val="22"/>
          <w:szCs w:val="22"/>
        </w:rPr>
        <w:t xml:space="preserve">dures </w:t>
      </w:r>
      <w:r w:rsidR="00424E22" w:rsidRPr="00844B86">
        <w:rPr>
          <w:sz w:val="22"/>
          <w:szCs w:val="22"/>
        </w:rPr>
        <w:t>fo</w:t>
      </w:r>
      <w:r w:rsidR="00424E22">
        <w:rPr>
          <w:sz w:val="22"/>
          <w:szCs w:val="22"/>
        </w:rPr>
        <w:t xml:space="preserve">r information gathering, review and management aimed </w:t>
      </w:r>
      <w:r w:rsidR="00424E22" w:rsidRPr="00844B86">
        <w:rPr>
          <w:sz w:val="22"/>
          <w:szCs w:val="22"/>
        </w:rPr>
        <w:t>at enabling the participating countr</w:t>
      </w:r>
      <w:r w:rsidR="00424E22">
        <w:rPr>
          <w:sz w:val="22"/>
          <w:szCs w:val="22"/>
        </w:rPr>
        <w:t xml:space="preserve">ies to arrive at a consensus on </w:t>
      </w:r>
      <w:r w:rsidR="00424E22" w:rsidRPr="00844B86">
        <w:rPr>
          <w:sz w:val="22"/>
          <w:szCs w:val="22"/>
        </w:rPr>
        <w:t>a common package of information and data to be used in planning.</w:t>
      </w:r>
    </w:p>
    <w:p w14:paraId="4444C58D" w14:textId="77777777" w:rsidR="00183235" w:rsidRDefault="00424E22" w:rsidP="00424E22">
      <w:pPr>
        <w:numPr>
          <w:ilvl w:val="0"/>
          <w:numId w:val="3"/>
        </w:numPr>
        <w:spacing w:after="120"/>
        <w:ind w:left="0" w:firstLine="0"/>
        <w:jc w:val="both"/>
        <w:rPr>
          <w:sz w:val="22"/>
          <w:szCs w:val="22"/>
          <w:lang w:val="en-GB"/>
        </w:rPr>
      </w:pPr>
      <w:r w:rsidRPr="00424E22">
        <w:rPr>
          <w:sz w:val="22"/>
          <w:szCs w:val="22"/>
          <w:lang w:val="en-GB"/>
        </w:rPr>
        <w:t xml:space="preserve">The complexity of the SCS project, which involved seven countries and six major areas of activity, resulted in the establishment of a large network of institutions and individuals involved directly and indirectly in project activities. This extensive network represented numerous entry points to a large number of national level sources of data and information relating to the science and management of habitats, fisheries and land-based pollution in the South China Sea and Gulf of Thailand. Ultimately, more than 100 institutions from the region were directly involved in the execution of project activities and more than 400 institutions were involved </w:t>
      </w:r>
      <w:r w:rsidR="00177BC3">
        <w:rPr>
          <w:sz w:val="22"/>
          <w:szCs w:val="22"/>
          <w:lang w:val="en-GB"/>
        </w:rPr>
        <w:t xml:space="preserve">indirectly </w:t>
      </w:r>
      <w:r w:rsidRPr="00424E22">
        <w:rPr>
          <w:sz w:val="22"/>
          <w:szCs w:val="22"/>
          <w:lang w:val="en-GB"/>
        </w:rPr>
        <w:t xml:space="preserve">through individual participation in meetings and national level activities. Such networks of professionals with recognised expertise and competence in particular policy domains, such as environment and natural resource management, are often referred to as ‘epistemic communities’. Epistemic communities have typically arisen in settings that require analysis of a diverse and complex range of information and data to guide multilateral decision-making on issues such as security and defence, marine pollution </w:t>
      </w:r>
      <w:r w:rsidR="0003640D">
        <w:rPr>
          <w:sz w:val="22"/>
          <w:szCs w:val="22"/>
          <w:lang w:val="en-GB"/>
        </w:rPr>
        <w:t xml:space="preserve">(e.g. Jeftic, L. 1993) </w:t>
      </w:r>
      <w:r w:rsidRPr="00424E22">
        <w:rPr>
          <w:sz w:val="22"/>
          <w:szCs w:val="22"/>
          <w:lang w:val="en-GB"/>
        </w:rPr>
        <w:t xml:space="preserve">and stratospheric ozone protection (see Ruggie, 1975; Haas, 1992; </w:t>
      </w:r>
      <w:r w:rsidR="0003640D">
        <w:rPr>
          <w:sz w:val="22"/>
          <w:szCs w:val="22"/>
          <w:lang w:val="en-GB"/>
        </w:rPr>
        <w:t xml:space="preserve">Olsen and Hale, 1994); </w:t>
      </w:r>
      <w:r w:rsidRPr="00424E22">
        <w:rPr>
          <w:sz w:val="22"/>
          <w:szCs w:val="22"/>
          <w:lang w:val="en-GB"/>
        </w:rPr>
        <w:t>Zito, 2001).</w:t>
      </w:r>
    </w:p>
    <w:p w14:paraId="1D5B938F" w14:textId="77777777" w:rsidR="006941D1" w:rsidRDefault="00424E22" w:rsidP="00424E22">
      <w:pPr>
        <w:numPr>
          <w:ilvl w:val="0"/>
          <w:numId w:val="3"/>
        </w:numPr>
        <w:tabs>
          <w:tab w:val="left" w:pos="720"/>
        </w:tabs>
        <w:spacing w:after="120"/>
        <w:ind w:left="0" w:firstLine="0"/>
        <w:jc w:val="both"/>
        <w:rPr>
          <w:sz w:val="22"/>
          <w:szCs w:val="22"/>
          <w:lang w:val="en-GB"/>
        </w:rPr>
      </w:pPr>
      <w:r w:rsidRPr="00424E22">
        <w:rPr>
          <w:sz w:val="22"/>
          <w:szCs w:val="22"/>
          <w:lang w:val="en-GB"/>
        </w:rPr>
        <w:t xml:space="preserve">A key attribute in determining the degree of influence of decisions made and the advice given by epistemic communities is the level of consensus among members of the community on the set of information used in decision-making (Hass, 1989; Knorr-Cetina, 1999). While concerns for the efficacy of a consensus approach, such as possible suppression of diversity of opinion and values, have been reported in some settings (Van de Kerkhof, 2006), consensus-building was central to the operation of the SCS project. </w:t>
      </w:r>
    </w:p>
    <w:p w14:paraId="5D38868D" w14:textId="77777777" w:rsidR="00424E22" w:rsidRDefault="00424E22" w:rsidP="00424E22">
      <w:pPr>
        <w:numPr>
          <w:ilvl w:val="0"/>
          <w:numId w:val="3"/>
        </w:numPr>
        <w:tabs>
          <w:tab w:val="left" w:pos="720"/>
        </w:tabs>
        <w:spacing w:after="120"/>
        <w:ind w:left="0" w:firstLine="0"/>
        <w:jc w:val="both"/>
        <w:rPr>
          <w:sz w:val="22"/>
          <w:szCs w:val="22"/>
          <w:lang w:val="en-GB"/>
        </w:rPr>
      </w:pPr>
      <w:r w:rsidRPr="00424E22">
        <w:rPr>
          <w:sz w:val="22"/>
          <w:szCs w:val="22"/>
          <w:lang w:val="en-GB"/>
        </w:rPr>
        <w:t xml:space="preserve">As reported by Chen (2013), the complex geopolitics of the South China Sea region and the lengthy negotiations involved in the development of the SCS project required the establishment of project management procedures to support the epistemic community of scientists, resource managers, economists and lawyers in reaching consensus on the priorities for intervention in the South China Sea. The unique management framework of the SCS project with its detailed terms of reference for all involved individuals, committees and other entities, described by Pernetta and Jiang (2013), not only facilitated the flow of information and data between and among members of the network to inform the </w:t>
      </w:r>
      <w:r w:rsidR="006C0D42">
        <w:rPr>
          <w:sz w:val="22"/>
          <w:szCs w:val="22"/>
          <w:lang w:val="en-GB"/>
        </w:rPr>
        <w:t>formulation</w:t>
      </w:r>
      <w:r w:rsidR="006C0D42" w:rsidRPr="00424E22">
        <w:rPr>
          <w:sz w:val="22"/>
          <w:szCs w:val="22"/>
          <w:lang w:val="en-GB"/>
        </w:rPr>
        <w:t xml:space="preserve"> </w:t>
      </w:r>
      <w:r w:rsidRPr="00424E22">
        <w:rPr>
          <w:sz w:val="22"/>
          <w:szCs w:val="22"/>
          <w:lang w:val="en-GB"/>
        </w:rPr>
        <w:t>of the South China Sea SAP but also provided a well-defined structure within which data and information could be evaluated and consolidated at different levels.</w:t>
      </w:r>
    </w:p>
    <w:p w14:paraId="5C8EB280" w14:textId="77777777" w:rsidR="00D614B6" w:rsidRDefault="00424E22" w:rsidP="00C35350">
      <w:pPr>
        <w:numPr>
          <w:ilvl w:val="0"/>
          <w:numId w:val="3"/>
        </w:numPr>
        <w:spacing w:after="120"/>
        <w:ind w:left="0" w:firstLine="0"/>
        <w:jc w:val="both"/>
        <w:rPr>
          <w:sz w:val="22"/>
          <w:szCs w:val="22"/>
        </w:rPr>
      </w:pPr>
      <w:r w:rsidRPr="00057101">
        <w:rPr>
          <w:sz w:val="22"/>
          <w:szCs w:val="22"/>
        </w:rPr>
        <w:t>Various studies indicate</w:t>
      </w:r>
      <w:r>
        <w:rPr>
          <w:sz w:val="22"/>
          <w:szCs w:val="22"/>
        </w:rPr>
        <w:t xml:space="preserve"> that consensus building can be </w:t>
      </w:r>
      <w:r w:rsidRPr="00057101">
        <w:rPr>
          <w:sz w:val="22"/>
          <w:szCs w:val="22"/>
        </w:rPr>
        <w:t>enhanced by institution</w:t>
      </w:r>
      <w:r>
        <w:rPr>
          <w:sz w:val="22"/>
          <w:szCs w:val="22"/>
        </w:rPr>
        <w:t xml:space="preserve">alising procedures to ensure: clear definition </w:t>
      </w:r>
      <w:r w:rsidRPr="00057101">
        <w:rPr>
          <w:sz w:val="22"/>
          <w:szCs w:val="22"/>
        </w:rPr>
        <w:t>of the roles and responsibilitie</w:t>
      </w:r>
      <w:r>
        <w:rPr>
          <w:sz w:val="22"/>
          <w:szCs w:val="22"/>
        </w:rPr>
        <w:t xml:space="preserve">s of the actors involved; early identification of </w:t>
      </w:r>
      <w:r w:rsidRPr="00057101">
        <w:rPr>
          <w:sz w:val="22"/>
          <w:szCs w:val="22"/>
        </w:rPr>
        <w:t>the needs and pur</w:t>
      </w:r>
      <w:r>
        <w:rPr>
          <w:sz w:val="22"/>
          <w:szCs w:val="22"/>
        </w:rPr>
        <w:t xml:space="preserve">pose of the process; mechanisms </w:t>
      </w:r>
      <w:r w:rsidRPr="00057101">
        <w:rPr>
          <w:sz w:val="22"/>
          <w:szCs w:val="22"/>
        </w:rPr>
        <w:t>to foster and sus</w:t>
      </w:r>
      <w:r>
        <w:rPr>
          <w:sz w:val="22"/>
          <w:szCs w:val="22"/>
        </w:rPr>
        <w:t xml:space="preserve">tain stakeholder participation; scientific veracity </w:t>
      </w:r>
      <w:r w:rsidRPr="00057101">
        <w:rPr>
          <w:sz w:val="22"/>
          <w:szCs w:val="22"/>
        </w:rPr>
        <w:t>and step-wise review of informat</w:t>
      </w:r>
      <w:r>
        <w:rPr>
          <w:sz w:val="22"/>
          <w:szCs w:val="22"/>
        </w:rPr>
        <w:t xml:space="preserve">ion used; and transparency with </w:t>
      </w:r>
      <w:r w:rsidRPr="00057101">
        <w:rPr>
          <w:sz w:val="22"/>
          <w:szCs w:val="22"/>
        </w:rPr>
        <w:t>information sharing (McKinney, 198</w:t>
      </w:r>
      <w:r>
        <w:rPr>
          <w:sz w:val="22"/>
          <w:szCs w:val="22"/>
        </w:rPr>
        <w:t xml:space="preserve">8; Susskind et al., 2003; Reed, </w:t>
      </w:r>
      <w:r w:rsidRPr="00057101">
        <w:rPr>
          <w:sz w:val="22"/>
          <w:szCs w:val="22"/>
        </w:rPr>
        <w:t>2008). The SCS project paid significant att</w:t>
      </w:r>
      <w:r>
        <w:rPr>
          <w:sz w:val="22"/>
          <w:szCs w:val="22"/>
        </w:rPr>
        <w:t xml:space="preserve">ention to all of these elements </w:t>
      </w:r>
      <w:r w:rsidRPr="00057101">
        <w:rPr>
          <w:sz w:val="22"/>
          <w:szCs w:val="22"/>
        </w:rPr>
        <w:t>in establishing procedures for information gathering, review</w:t>
      </w:r>
      <w:r>
        <w:rPr>
          <w:sz w:val="22"/>
          <w:szCs w:val="22"/>
        </w:rPr>
        <w:t xml:space="preserve"> </w:t>
      </w:r>
      <w:r w:rsidRPr="00057101">
        <w:rPr>
          <w:sz w:val="22"/>
          <w:szCs w:val="22"/>
        </w:rPr>
        <w:t>and management aimed at achieving consensus</w:t>
      </w:r>
      <w:r w:rsidR="00A854A7">
        <w:rPr>
          <w:sz w:val="22"/>
          <w:szCs w:val="22"/>
        </w:rPr>
        <w:t xml:space="preserve"> in support of SAP formulation</w:t>
      </w:r>
      <w:r>
        <w:rPr>
          <w:sz w:val="22"/>
          <w:szCs w:val="22"/>
        </w:rPr>
        <w:t xml:space="preserve">. </w:t>
      </w:r>
    </w:p>
    <w:p w14:paraId="6962CC30" w14:textId="77777777" w:rsidR="00D614B6" w:rsidRPr="00D614B6" w:rsidRDefault="00D614B6" w:rsidP="00D614B6">
      <w:pPr>
        <w:numPr>
          <w:ilvl w:val="3"/>
          <w:numId w:val="2"/>
        </w:numPr>
        <w:spacing w:after="120"/>
        <w:outlineLvl w:val="1"/>
        <w:rPr>
          <w:b/>
          <w:sz w:val="22"/>
          <w:szCs w:val="22"/>
          <w:lang w:val="en-GB"/>
        </w:rPr>
      </w:pPr>
      <w:r>
        <w:rPr>
          <w:b/>
          <w:sz w:val="22"/>
          <w:szCs w:val="22"/>
          <w:lang w:val="en-GB"/>
        </w:rPr>
        <w:t>Identifying initial information needs</w:t>
      </w:r>
    </w:p>
    <w:p w14:paraId="0E4038AA" w14:textId="77777777" w:rsidR="00C35350" w:rsidRPr="00C35350" w:rsidRDefault="0067543B" w:rsidP="00C35350">
      <w:pPr>
        <w:numPr>
          <w:ilvl w:val="0"/>
          <w:numId w:val="3"/>
        </w:numPr>
        <w:spacing w:after="120"/>
        <w:ind w:left="0" w:firstLine="0"/>
        <w:jc w:val="both"/>
        <w:rPr>
          <w:sz w:val="22"/>
          <w:szCs w:val="22"/>
        </w:rPr>
      </w:pPr>
      <w:r>
        <w:rPr>
          <w:sz w:val="22"/>
          <w:szCs w:val="22"/>
        </w:rPr>
        <w:t>Initially, the</w:t>
      </w:r>
      <w:r w:rsidR="00C35350" w:rsidRPr="00C35350">
        <w:rPr>
          <w:sz w:val="22"/>
          <w:szCs w:val="22"/>
        </w:rPr>
        <w:t xml:space="preserve"> GEF provided a project development facility (PDF-B) grant of US$ 325,000 to undertake a transboundary diagnostic analysis of the water-related issues and problems of the South China Sea and to design an appropriate multi-country intervention to address priority issues. The seven participating countries</w:t>
      </w:r>
      <w:r w:rsidR="00C35350" w:rsidRPr="00C35350">
        <w:rPr>
          <w:sz w:val="22"/>
          <w:szCs w:val="22"/>
          <w:vertAlign w:val="superscript"/>
        </w:rPr>
        <w:footnoteReference w:id="6"/>
      </w:r>
      <w:r w:rsidR="00C35350" w:rsidRPr="00C35350">
        <w:rPr>
          <w:sz w:val="22"/>
          <w:szCs w:val="22"/>
        </w:rPr>
        <w:t xml:space="preserve"> each nominated a national focal point from within the ministries responsible for the environment to coordinate national inputs to this preparatory phase (UNEP, 1997).</w:t>
      </w:r>
    </w:p>
    <w:p w14:paraId="50CA8276" w14:textId="77777777" w:rsidR="00C35350" w:rsidRPr="00C35350" w:rsidRDefault="00C35350" w:rsidP="00C35350">
      <w:pPr>
        <w:numPr>
          <w:ilvl w:val="0"/>
          <w:numId w:val="3"/>
        </w:numPr>
        <w:spacing w:after="120"/>
        <w:ind w:left="0" w:firstLine="0"/>
        <w:jc w:val="both"/>
        <w:rPr>
          <w:sz w:val="22"/>
          <w:szCs w:val="22"/>
        </w:rPr>
      </w:pPr>
      <w:r w:rsidRPr="001D5392">
        <w:rPr>
          <w:sz w:val="22"/>
          <w:szCs w:val="22"/>
        </w:rPr>
        <w:t>Three meetings of national coordinators were convened b</w:t>
      </w:r>
      <w:r>
        <w:rPr>
          <w:sz w:val="22"/>
          <w:szCs w:val="22"/>
        </w:rPr>
        <w:t xml:space="preserve">etween </w:t>
      </w:r>
      <w:r w:rsidRPr="001D5392">
        <w:rPr>
          <w:sz w:val="22"/>
          <w:szCs w:val="22"/>
        </w:rPr>
        <w:t>1997 and 1999 to formul</w:t>
      </w:r>
      <w:r>
        <w:rPr>
          <w:sz w:val="22"/>
          <w:szCs w:val="22"/>
        </w:rPr>
        <w:t xml:space="preserve">ate a TDA and framework SAP for </w:t>
      </w:r>
      <w:r w:rsidRPr="001D5392">
        <w:rPr>
          <w:sz w:val="22"/>
          <w:szCs w:val="22"/>
        </w:rPr>
        <w:t>the South China Sea. These meetings i</w:t>
      </w:r>
      <w:r>
        <w:rPr>
          <w:sz w:val="22"/>
          <w:szCs w:val="22"/>
        </w:rPr>
        <w:t xml:space="preserve">nitiated information gathering, review, </w:t>
      </w:r>
      <w:r w:rsidRPr="001D5392">
        <w:rPr>
          <w:sz w:val="22"/>
          <w:szCs w:val="22"/>
        </w:rPr>
        <w:t>and support for the identif</w:t>
      </w:r>
      <w:r>
        <w:rPr>
          <w:sz w:val="22"/>
          <w:szCs w:val="22"/>
        </w:rPr>
        <w:t xml:space="preserve">ication of priority options for </w:t>
      </w:r>
      <w:r w:rsidRPr="001D5392">
        <w:rPr>
          <w:sz w:val="22"/>
          <w:szCs w:val="22"/>
        </w:rPr>
        <w:t>interve</w:t>
      </w:r>
      <w:r>
        <w:rPr>
          <w:sz w:val="22"/>
          <w:szCs w:val="22"/>
        </w:rPr>
        <w:t xml:space="preserve">ntions to address transboundary </w:t>
      </w:r>
      <w:r w:rsidRPr="001D5392">
        <w:rPr>
          <w:sz w:val="22"/>
          <w:szCs w:val="22"/>
        </w:rPr>
        <w:t>concerns. The repor</w:t>
      </w:r>
      <w:r>
        <w:rPr>
          <w:sz w:val="22"/>
          <w:szCs w:val="22"/>
        </w:rPr>
        <w:t xml:space="preserve">ts of </w:t>
      </w:r>
      <w:r w:rsidRPr="001D5392">
        <w:rPr>
          <w:sz w:val="22"/>
          <w:szCs w:val="22"/>
        </w:rPr>
        <w:t>those meetings provide a re</w:t>
      </w:r>
      <w:r>
        <w:rPr>
          <w:sz w:val="22"/>
          <w:szCs w:val="22"/>
        </w:rPr>
        <w:t xml:space="preserve">cord of key steps taken and the </w:t>
      </w:r>
      <w:r w:rsidRPr="001D5392">
        <w:rPr>
          <w:sz w:val="22"/>
          <w:szCs w:val="22"/>
        </w:rPr>
        <w:t>approach developed for the com</w:t>
      </w:r>
      <w:r>
        <w:rPr>
          <w:sz w:val="22"/>
          <w:szCs w:val="22"/>
        </w:rPr>
        <w:t xml:space="preserve">pilation, step-wise review, and </w:t>
      </w:r>
      <w:r w:rsidRPr="001D5392">
        <w:rPr>
          <w:sz w:val="22"/>
          <w:szCs w:val="22"/>
        </w:rPr>
        <w:t>analysis of i</w:t>
      </w:r>
      <w:r>
        <w:rPr>
          <w:sz w:val="22"/>
          <w:szCs w:val="22"/>
        </w:rPr>
        <w:t xml:space="preserve">nformation and data required to identify priority issues </w:t>
      </w:r>
      <w:r w:rsidRPr="001D5392">
        <w:rPr>
          <w:sz w:val="22"/>
          <w:szCs w:val="22"/>
        </w:rPr>
        <w:t>and problems, and their immediate and ultimate causes for i</w:t>
      </w:r>
      <w:r>
        <w:rPr>
          <w:sz w:val="22"/>
          <w:szCs w:val="22"/>
        </w:rPr>
        <w:t xml:space="preserve">nclusion </w:t>
      </w:r>
      <w:r w:rsidRPr="001D5392">
        <w:rPr>
          <w:sz w:val="22"/>
          <w:szCs w:val="22"/>
        </w:rPr>
        <w:t>in a TDA report. Analysis of thes</w:t>
      </w:r>
      <w:r>
        <w:rPr>
          <w:sz w:val="22"/>
          <w:szCs w:val="22"/>
        </w:rPr>
        <w:t xml:space="preserve">e causes enabled identification </w:t>
      </w:r>
      <w:r w:rsidRPr="001D5392">
        <w:rPr>
          <w:sz w:val="22"/>
          <w:szCs w:val="22"/>
        </w:rPr>
        <w:t>of the initial pr</w:t>
      </w:r>
      <w:r>
        <w:rPr>
          <w:sz w:val="22"/>
          <w:szCs w:val="22"/>
        </w:rPr>
        <w:t xml:space="preserve">iority options for intervention for inclusion in the </w:t>
      </w:r>
      <w:r w:rsidRPr="001D5392">
        <w:rPr>
          <w:sz w:val="22"/>
          <w:szCs w:val="22"/>
        </w:rPr>
        <w:t>framework SAP.</w:t>
      </w:r>
      <w:r>
        <w:rPr>
          <w:sz w:val="22"/>
          <w:szCs w:val="22"/>
        </w:rPr>
        <w:t xml:space="preserve"> </w:t>
      </w:r>
      <w:r w:rsidRPr="00C35350">
        <w:rPr>
          <w:sz w:val="22"/>
          <w:szCs w:val="22"/>
        </w:rPr>
        <w:t xml:space="preserve">The first meeting, convened in Bangkok, Thailand </w:t>
      </w:r>
      <w:r w:rsidR="001B2A74">
        <w:rPr>
          <w:sz w:val="22"/>
          <w:szCs w:val="22"/>
        </w:rPr>
        <w:t>in</w:t>
      </w:r>
      <w:r w:rsidRPr="00C35350">
        <w:rPr>
          <w:sz w:val="22"/>
          <w:szCs w:val="22"/>
        </w:rPr>
        <w:t xml:space="preserve"> 1997, was attended by national coordinators and representatives of UNEP and other supporting organisations. Discussions focused on substantive consideration of the elements for inclusion in a TDA</w:t>
      </w:r>
      <w:r w:rsidR="0067543B">
        <w:rPr>
          <w:rStyle w:val="FootnoteReference"/>
          <w:sz w:val="22"/>
          <w:szCs w:val="22"/>
        </w:rPr>
        <w:footnoteReference w:id="7"/>
      </w:r>
      <w:r w:rsidRPr="00C35350">
        <w:rPr>
          <w:sz w:val="22"/>
          <w:szCs w:val="22"/>
        </w:rPr>
        <w:t xml:space="preserve"> and SAP. </w:t>
      </w:r>
    </w:p>
    <w:p w14:paraId="03FBC542" w14:textId="77777777" w:rsidR="00424E22" w:rsidRPr="00844B86" w:rsidRDefault="00C35350" w:rsidP="00C35350">
      <w:pPr>
        <w:numPr>
          <w:ilvl w:val="0"/>
          <w:numId w:val="3"/>
        </w:numPr>
        <w:spacing w:after="120"/>
        <w:ind w:left="0" w:firstLine="0"/>
        <w:jc w:val="both"/>
        <w:rPr>
          <w:sz w:val="22"/>
          <w:szCs w:val="22"/>
        </w:rPr>
      </w:pPr>
      <w:r w:rsidRPr="00C35350">
        <w:rPr>
          <w:sz w:val="22"/>
          <w:szCs w:val="22"/>
        </w:rPr>
        <w:t xml:space="preserve">The first meeting initiated national level efforts to compile the information required to identify and analyse issues and problems relating to the South China Sea. It was agreed that the starting point in the analysis of the causal chain would be the environmental issues or problems. The analysis would then lead ultimately to their social, economic, and cultural root causes. Causal chain analyses were discussed for water related issues with transboundary significance, including freshwater scarcity, pollution, habitat and biological community modification, unsustainable exploitation </w:t>
      </w:r>
      <w:r>
        <w:rPr>
          <w:sz w:val="22"/>
          <w:szCs w:val="22"/>
        </w:rPr>
        <w:t>of fisheries, and global change</w:t>
      </w:r>
      <w:r>
        <w:rPr>
          <w:rStyle w:val="FootnoteReference"/>
          <w:sz w:val="22"/>
          <w:szCs w:val="22"/>
        </w:rPr>
        <w:footnoteReference w:id="8"/>
      </w:r>
      <w:r w:rsidRPr="00C35350">
        <w:rPr>
          <w:sz w:val="22"/>
          <w:szCs w:val="22"/>
        </w:rPr>
        <w:t>. Preliminary analyses of identified water-related issues and problems were</w:t>
      </w:r>
      <w:r>
        <w:rPr>
          <w:sz w:val="22"/>
          <w:szCs w:val="22"/>
        </w:rPr>
        <w:t xml:space="preserve"> also conducted</w:t>
      </w:r>
      <w:r>
        <w:rPr>
          <w:rStyle w:val="FootnoteReference"/>
          <w:sz w:val="22"/>
          <w:szCs w:val="22"/>
        </w:rPr>
        <w:footnoteReference w:id="9"/>
      </w:r>
      <w:r w:rsidRPr="00C35350">
        <w:rPr>
          <w:sz w:val="22"/>
          <w:szCs w:val="22"/>
        </w:rPr>
        <w:t>.</w:t>
      </w:r>
    </w:p>
    <w:p w14:paraId="6CCB2707" w14:textId="77777777" w:rsidR="00424E22" w:rsidRPr="00D614B6" w:rsidRDefault="00C35350" w:rsidP="00424E22">
      <w:pPr>
        <w:numPr>
          <w:ilvl w:val="0"/>
          <w:numId w:val="3"/>
        </w:numPr>
        <w:tabs>
          <w:tab w:val="left" w:pos="720"/>
        </w:tabs>
        <w:spacing w:after="120"/>
        <w:ind w:left="0" w:firstLine="0"/>
        <w:jc w:val="both"/>
        <w:rPr>
          <w:sz w:val="22"/>
          <w:szCs w:val="22"/>
          <w:lang w:val="en-GB"/>
        </w:rPr>
      </w:pPr>
      <w:r w:rsidRPr="00C35350">
        <w:rPr>
          <w:rFonts w:eastAsia="Calibri"/>
          <w:sz w:val="22"/>
          <w:szCs w:val="22"/>
        </w:rPr>
        <w:t xml:space="preserve">The national coordinators </w:t>
      </w:r>
      <w:r w:rsidR="0067543B">
        <w:rPr>
          <w:rFonts w:eastAsia="Calibri"/>
          <w:sz w:val="22"/>
          <w:szCs w:val="22"/>
        </w:rPr>
        <w:t>subsequently</w:t>
      </w:r>
      <w:r w:rsidRPr="00C35350">
        <w:rPr>
          <w:rFonts w:eastAsia="Calibri"/>
          <w:sz w:val="22"/>
          <w:szCs w:val="22"/>
        </w:rPr>
        <w:t xml:space="preserve"> compile</w:t>
      </w:r>
      <w:r w:rsidR="0067543B">
        <w:rPr>
          <w:rFonts w:eastAsia="Calibri"/>
          <w:sz w:val="22"/>
          <w:szCs w:val="22"/>
        </w:rPr>
        <w:t>d</w:t>
      </w:r>
      <w:r w:rsidRPr="00C35350">
        <w:rPr>
          <w:rFonts w:eastAsia="Calibri"/>
          <w:sz w:val="22"/>
          <w:szCs w:val="22"/>
        </w:rPr>
        <w:t xml:space="preserve"> national information for incorporation into national reports aimed at informing efforts to identify the extent of the sources and impacts of identified issues, as well as trends in economic development and demographic characteristics. A national report structure was agreed and included </w:t>
      </w:r>
      <w:r w:rsidRPr="00866151">
        <w:rPr>
          <w:rFonts w:eastAsia="Calibri"/>
          <w:i/>
          <w:sz w:val="22"/>
          <w:szCs w:val="22"/>
        </w:rPr>
        <w:t>inter alia</w:t>
      </w:r>
      <w:r w:rsidRPr="00C35350">
        <w:rPr>
          <w:rFonts w:eastAsia="Calibri"/>
          <w:sz w:val="22"/>
          <w:szCs w:val="22"/>
        </w:rPr>
        <w:t>: analysis of water related concerns and principal issues; analysis of the social and economic costs of identified water-related environmental issues; analysis of root causes; constraints to action; on-going and planned interventions relevant to the identified issues; proposed new interventions; and an assessment of the sectoral implications of such interventions</w:t>
      </w:r>
      <w:r w:rsidRPr="00C35350">
        <w:rPr>
          <w:rFonts w:eastAsia="Calibri"/>
          <w:sz w:val="22"/>
          <w:szCs w:val="22"/>
          <w:vertAlign w:val="superscript"/>
        </w:rPr>
        <w:footnoteReference w:id="10"/>
      </w:r>
      <w:r w:rsidRPr="00C35350">
        <w:rPr>
          <w:rFonts w:eastAsia="Calibri"/>
          <w:sz w:val="22"/>
          <w:szCs w:val="22"/>
        </w:rPr>
        <w:t>.</w:t>
      </w:r>
    </w:p>
    <w:p w14:paraId="48A51E45" w14:textId="77777777" w:rsidR="00D614B6" w:rsidRPr="00D614B6" w:rsidRDefault="00D614B6" w:rsidP="00D614B6">
      <w:pPr>
        <w:numPr>
          <w:ilvl w:val="3"/>
          <w:numId w:val="2"/>
        </w:numPr>
        <w:spacing w:after="120"/>
        <w:outlineLvl w:val="1"/>
        <w:rPr>
          <w:b/>
          <w:sz w:val="22"/>
          <w:szCs w:val="22"/>
          <w:lang w:val="en-GB"/>
        </w:rPr>
      </w:pPr>
      <w:r>
        <w:rPr>
          <w:b/>
          <w:sz w:val="22"/>
          <w:szCs w:val="22"/>
          <w:lang w:val="en-GB"/>
        </w:rPr>
        <w:t>Establishing mechanisms for scientific and technical review</w:t>
      </w:r>
    </w:p>
    <w:p w14:paraId="0187181C" w14:textId="77777777" w:rsidR="00C35350" w:rsidRPr="001D5392" w:rsidRDefault="00C35350" w:rsidP="00C35350">
      <w:pPr>
        <w:numPr>
          <w:ilvl w:val="0"/>
          <w:numId w:val="3"/>
        </w:numPr>
        <w:spacing w:after="120"/>
        <w:ind w:left="0" w:firstLine="0"/>
        <w:jc w:val="both"/>
        <w:rPr>
          <w:sz w:val="22"/>
          <w:szCs w:val="22"/>
        </w:rPr>
      </w:pPr>
      <w:r w:rsidRPr="001D5392">
        <w:rPr>
          <w:sz w:val="22"/>
          <w:szCs w:val="22"/>
        </w:rPr>
        <w:t>The second meeting was con</w:t>
      </w:r>
      <w:r>
        <w:rPr>
          <w:sz w:val="22"/>
          <w:szCs w:val="22"/>
        </w:rPr>
        <w:t xml:space="preserve">vened in Bangkok, Thailand </w:t>
      </w:r>
      <w:r w:rsidR="001B2A74">
        <w:rPr>
          <w:sz w:val="22"/>
          <w:szCs w:val="22"/>
        </w:rPr>
        <w:t>and</w:t>
      </w:r>
      <w:r w:rsidRPr="001D5392">
        <w:rPr>
          <w:sz w:val="22"/>
          <w:szCs w:val="22"/>
        </w:rPr>
        <w:t xml:space="preserve"> </w:t>
      </w:r>
      <w:r w:rsidR="001B2A74">
        <w:rPr>
          <w:sz w:val="22"/>
          <w:szCs w:val="22"/>
        </w:rPr>
        <w:t>p</w:t>
      </w:r>
      <w:r w:rsidR="001B2A74" w:rsidRPr="001D5392">
        <w:rPr>
          <w:sz w:val="22"/>
          <w:szCs w:val="22"/>
        </w:rPr>
        <w:t>articip</w:t>
      </w:r>
      <w:r w:rsidR="001B2A74">
        <w:rPr>
          <w:sz w:val="22"/>
          <w:szCs w:val="22"/>
        </w:rPr>
        <w:t xml:space="preserve">ation </w:t>
      </w:r>
      <w:r>
        <w:rPr>
          <w:sz w:val="22"/>
          <w:szCs w:val="22"/>
        </w:rPr>
        <w:t xml:space="preserve">was </w:t>
      </w:r>
      <w:r w:rsidRPr="001D5392">
        <w:rPr>
          <w:sz w:val="22"/>
          <w:szCs w:val="22"/>
        </w:rPr>
        <w:t>expanded to include national</w:t>
      </w:r>
      <w:r>
        <w:rPr>
          <w:sz w:val="22"/>
          <w:szCs w:val="22"/>
        </w:rPr>
        <w:t xml:space="preserve"> </w:t>
      </w:r>
      <w:r w:rsidRPr="001D5392">
        <w:rPr>
          <w:sz w:val="22"/>
          <w:szCs w:val="22"/>
        </w:rPr>
        <w:t>technical experts as well as senior advisors and experts from the</w:t>
      </w:r>
      <w:r>
        <w:rPr>
          <w:sz w:val="22"/>
          <w:szCs w:val="22"/>
        </w:rPr>
        <w:t xml:space="preserve"> region. </w:t>
      </w:r>
      <w:r w:rsidRPr="001D5392">
        <w:rPr>
          <w:sz w:val="22"/>
          <w:szCs w:val="22"/>
        </w:rPr>
        <w:t>In addition to an update o</w:t>
      </w:r>
      <w:r>
        <w:rPr>
          <w:sz w:val="22"/>
          <w:szCs w:val="22"/>
        </w:rPr>
        <w:t xml:space="preserve">n the status of national report </w:t>
      </w:r>
      <w:r w:rsidRPr="001D5392">
        <w:rPr>
          <w:sz w:val="22"/>
          <w:szCs w:val="22"/>
        </w:rPr>
        <w:t>preparation and TDA deve</w:t>
      </w:r>
      <w:r>
        <w:rPr>
          <w:sz w:val="22"/>
          <w:szCs w:val="22"/>
        </w:rPr>
        <w:t xml:space="preserve">lopment, the meeting introduced </w:t>
      </w:r>
      <w:r w:rsidRPr="001D5392">
        <w:rPr>
          <w:sz w:val="22"/>
          <w:szCs w:val="22"/>
        </w:rPr>
        <w:t xml:space="preserve">mechanisms for regional level </w:t>
      </w:r>
      <w:r>
        <w:rPr>
          <w:sz w:val="22"/>
          <w:szCs w:val="22"/>
        </w:rPr>
        <w:t xml:space="preserve">information sharing and review. Regional experts, </w:t>
      </w:r>
      <w:r w:rsidRPr="001D5392">
        <w:rPr>
          <w:sz w:val="22"/>
          <w:szCs w:val="22"/>
        </w:rPr>
        <w:t>for example, wer</w:t>
      </w:r>
      <w:r>
        <w:rPr>
          <w:sz w:val="22"/>
          <w:szCs w:val="22"/>
        </w:rPr>
        <w:t xml:space="preserve">e invited to update the meeting </w:t>
      </w:r>
      <w:r w:rsidRPr="001D5392">
        <w:rPr>
          <w:sz w:val="22"/>
          <w:szCs w:val="22"/>
        </w:rPr>
        <w:t>on related on-g</w:t>
      </w:r>
      <w:r>
        <w:rPr>
          <w:sz w:val="22"/>
          <w:szCs w:val="22"/>
        </w:rPr>
        <w:t xml:space="preserve">oing work in the region through presentations </w:t>
      </w:r>
      <w:r w:rsidRPr="001D5392">
        <w:rPr>
          <w:sz w:val="22"/>
          <w:szCs w:val="22"/>
        </w:rPr>
        <w:t>covering: efforts to link ecologi</w:t>
      </w:r>
      <w:r>
        <w:rPr>
          <w:sz w:val="22"/>
          <w:szCs w:val="22"/>
        </w:rPr>
        <w:t xml:space="preserve">cal and environmental values to </w:t>
      </w:r>
      <w:r w:rsidRPr="001D5392">
        <w:rPr>
          <w:sz w:val="22"/>
          <w:szCs w:val="22"/>
        </w:rPr>
        <w:t>economic values for mangrove ec</w:t>
      </w:r>
      <w:r>
        <w:rPr>
          <w:sz w:val="22"/>
          <w:szCs w:val="22"/>
        </w:rPr>
        <w:t xml:space="preserve">osystems; the work of other GEF </w:t>
      </w:r>
      <w:r w:rsidRPr="001D5392">
        <w:rPr>
          <w:sz w:val="22"/>
          <w:szCs w:val="22"/>
        </w:rPr>
        <w:t>supported initiatives</w:t>
      </w:r>
      <w:r>
        <w:rPr>
          <w:sz w:val="22"/>
          <w:szCs w:val="22"/>
        </w:rPr>
        <w:t xml:space="preserve">; and an overview of the Global Ocean </w:t>
      </w:r>
      <w:r w:rsidRPr="001D5392">
        <w:rPr>
          <w:sz w:val="22"/>
          <w:szCs w:val="22"/>
        </w:rPr>
        <w:t>Observing System.</w:t>
      </w:r>
    </w:p>
    <w:p w14:paraId="36B491E3" w14:textId="77777777" w:rsidR="00D614B6" w:rsidRDefault="00D614B6" w:rsidP="00D614B6">
      <w:pPr>
        <w:numPr>
          <w:ilvl w:val="0"/>
          <w:numId w:val="3"/>
        </w:numPr>
        <w:spacing w:after="120"/>
        <w:ind w:left="0" w:firstLine="0"/>
        <w:jc w:val="both"/>
        <w:rPr>
          <w:sz w:val="22"/>
          <w:szCs w:val="22"/>
        </w:rPr>
      </w:pPr>
      <w:r w:rsidRPr="001D5392">
        <w:rPr>
          <w:sz w:val="22"/>
          <w:szCs w:val="22"/>
        </w:rPr>
        <w:t>Draft national reports had been p</w:t>
      </w:r>
      <w:r>
        <w:rPr>
          <w:sz w:val="22"/>
          <w:szCs w:val="22"/>
        </w:rPr>
        <w:t xml:space="preserve">repared by six countries. These </w:t>
      </w:r>
      <w:r w:rsidRPr="001D5392">
        <w:rPr>
          <w:sz w:val="22"/>
          <w:szCs w:val="22"/>
        </w:rPr>
        <w:t>had been evaluated and feedback pr</w:t>
      </w:r>
      <w:r>
        <w:rPr>
          <w:sz w:val="22"/>
          <w:szCs w:val="22"/>
        </w:rPr>
        <w:t xml:space="preserve">ovided to national coordinators </w:t>
      </w:r>
      <w:r w:rsidRPr="001D5392">
        <w:rPr>
          <w:sz w:val="22"/>
          <w:szCs w:val="22"/>
        </w:rPr>
        <w:t>in advance of the second meeting. Seco</w:t>
      </w:r>
      <w:r>
        <w:rPr>
          <w:sz w:val="22"/>
          <w:szCs w:val="22"/>
        </w:rPr>
        <w:t xml:space="preserve">nd draft reports were submitted </w:t>
      </w:r>
      <w:r w:rsidRPr="001D5392">
        <w:rPr>
          <w:sz w:val="22"/>
          <w:szCs w:val="22"/>
        </w:rPr>
        <w:t>by these countries in advance</w:t>
      </w:r>
      <w:r>
        <w:rPr>
          <w:sz w:val="22"/>
          <w:szCs w:val="22"/>
        </w:rPr>
        <w:t xml:space="preserve"> of the meeting, three of which </w:t>
      </w:r>
      <w:r w:rsidRPr="001D5392">
        <w:rPr>
          <w:sz w:val="22"/>
          <w:szCs w:val="22"/>
        </w:rPr>
        <w:t>contained adequate information and</w:t>
      </w:r>
      <w:r>
        <w:rPr>
          <w:sz w:val="22"/>
          <w:szCs w:val="22"/>
        </w:rPr>
        <w:t xml:space="preserve"> a sufficient depth of analysis </w:t>
      </w:r>
      <w:r w:rsidRPr="001D5392">
        <w:rPr>
          <w:sz w:val="22"/>
          <w:szCs w:val="22"/>
        </w:rPr>
        <w:t>for use in the conduct of a regional analysis of water-rela</w:t>
      </w:r>
      <w:r>
        <w:rPr>
          <w:sz w:val="22"/>
          <w:szCs w:val="22"/>
        </w:rPr>
        <w:t xml:space="preserve">ted issues. </w:t>
      </w:r>
      <w:r w:rsidRPr="001D5392">
        <w:rPr>
          <w:sz w:val="22"/>
          <w:szCs w:val="22"/>
        </w:rPr>
        <w:t>The six reports were presented to the m</w:t>
      </w:r>
      <w:r>
        <w:rPr>
          <w:sz w:val="22"/>
          <w:szCs w:val="22"/>
        </w:rPr>
        <w:t xml:space="preserve">eeting by national coordinators </w:t>
      </w:r>
      <w:r w:rsidRPr="001D5392">
        <w:rPr>
          <w:sz w:val="22"/>
          <w:szCs w:val="22"/>
        </w:rPr>
        <w:t>and collectively re</w:t>
      </w:r>
      <w:r>
        <w:rPr>
          <w:sz w:val="22"/>
          <w:szCs w:val="22"/>
        </w:rPr>
        <w:t xml:space="preserve">viewed by the participants. The </w:t>
      </w:r>
      <w:r w:rsidRPr="001D5392">
        <w:rPr>
          <w:sz w:val="22"/>
          <w:szCs w:val="22"/>
        </w:rPr>
        <w:t>meeting highlighted several limitatio</w:t>
      </w:r>
      <w:r>
        <w:rPr>
          <w:sz w:val="22"/>
          <w:szCs w:val="22"/>
        </w:rPr>
        <w:t xml:space="preserve">ns of these reports, including: </w:t>
      </w:r>
      <w:r w:rsidRPr="001D5392">
        <w:rPr>
          <w:sz w:val="22"/>
          <w:szCs w:val="22"/>
        </w:rPr>
        <w:t>the possibility that required information had not bee</w:t>
      </w:r>
      <w:r>
        <w:rPr>
          <w:sz w:val="22"/>
          <w:szCs w:val="22"/>
        </w:rPr>
        <w:t xml:space="preserve">n compiled for </w:t>
      </w:r>
      <w:r w:rsidRPr="001D5392">
        <w:rPr>
          <w:sz w:val="22"/>
          <w:szCs w:val="22"/>
        </w:rPr>
        <w:t xml:space="preserve">use </w:t>
      </w:r>
      <w:r>
        <w:rPr>
          <w:sz w:val="22"/>
          <w:szCs w:val="22"/>
        </w:rPr>
        <w:t xml:space="preserve">in the analyses due to it being </w:t>
      </w:r>
      <w:r w:rsidRPr="001D5392">
        <w:rPr>
          <w:sz w:val="22"/>
          <w:szCs w:val="22"/>
        </w:rPr>
        <w:t>he</w:t>
      </w:r>
      <w:r>
        <w:rPr>
          <w:sz w:val="22"/>
          <w:szCs w:val="22"/>
        </w:rPr>
        <w:t xml:space="preserve">ld by national agencies not yet </w:t>
      </w:r>
      <w:r w:rsidRPr="001D5392">
        <w:rPr>
          <w:sz w:val="22"/>
          <w:szCs w:val="22"/>
        </w:rPr>
        <w:t xml:space="preserve">engaged in national consultations; </w:t>
      </w:r>
      <w:r>
        <w:rPr>
          <w:sz w:val="22"/>
          <w:szCs w:val="22"/>
        </w:rPr>
        <w:t xml:space="preserve">the need to strengthen baseline </w:t>
      </w:r>
      <w:r w:rsidRPr="001D5392">
        <w:rPr>
          <w:sz w:val="22"/>
          <w:szCs w:val="22"/>
        </w:rPr>
        <w:t xml:space="preserve">information on the socio-economic </w:t>
      </w:r>
      <w:r>
        <w:rPr>
          <w:sz w:val="22"/>
          <w:szCs w:val="22"/>
        </w:rPr>
        <w:t xml:space="preserve">implications of problems of the South China Sea; and some </w:t>
      </w:r>
      <w:r w:rsidRPr="001D5392">
        <w:rPr>
          <w:sz w:val="22"/>
          <w:szCs w:val="22"/>
        </w:rPr>
        <w:t>uncertainties regarding the science</w:t>
      </w:r>
      <w:r>
        <w:rPr>
          <w:sz w:val="22"/>
          <w:szCs w:val="22"/>
        </w:rPr>
        <w:t xml:space="preserve"> </w:t>
      </w:r>
      <w:r w:rsidRPr="001D5392">
        <w:rPr>
          <w:sz w:val="22"/>
          <w:szCs w:val="22"/>
        </w:rPr>
        <w:t>used in several studies refere</w:t>
      </w:r>
      <w:r>
        <w:rPr>
          <w:sz w:val="22"/>
          <w:szCs w:val="22"/>
        </w:rPr>
        <w:t xml:space="preserve">nced in national reports (UNEP, </w:t>
      </w:r>
      <w:r w:rsidRPr="001D5392">
        <w:rPr>
          <w:sz w:val="22"/>
          <w:szCs w:val="22"/>
        </w:rPr>
        <w:t>1998a).</w:t>
      </w:r>
    </w:p>
    <w:p w14:paraId="484D6F48" w14:textId="77777777" w:rsidR="00D614B6" w:rsidRPr="00D614B6" w:rsidRDefault="00D614B6" w:rsidP="00D614B6">
      <w:pPr>
        <w:numPr>
          <w:ilvl w:val="3"/>
          <w:numId w:val="2"/>
        </w:numPr>
        <w:spacing w:after="120"/>
        <w:outlineLvl w:val="1"/>
        <w:rPr>
          <w:b/>
          <w:sz w:val="22"/>
          <w:szCs w:val="22"/>
          <w:lang w:val="en-GB"/>
        </w:rPr>
      </w:pPr>
      <w:r>
        <w:rPr>
          <w:b/>
          <w:sz w:val="22"/>
          <w:szCs w:val="22"/>
          <w:lang w:val="en-GB"/>
        </w:rPr>
        <w:t>Prioritizing transboundary problems and required interventions</w:t>
      </w:r>
    </w:p>
    <w:p w14:paraId="5DB2FCD7" w14:textId="77777777" w:rsidR="00C35350" w:rsidRDefault="007B25D6" w:rsidP="007B25D6">
      <w:pPr>
        <w:numPr>
          <w:ilvl w:val="0"/>
          <w:numId w:val="3"/>
        </w:numPr>
        <w:tabs>
          <w:tab w:val="left" w:pos="720"/>
        </w:tabs>
        <w:spacing w:after="120"/>
        <w:ind w:left="0" w:firstLine="0"/>
        <w:jc w:val="both"/>
        <w:rPr>
          <w:sz w:val="22"/>
          <w:szCs w:val="22"/>
          <w:lang w:val="en-GB"/>
        </w:rPr>
      </w:pPr>
      <w:r w:rsidRPr="007B25D6">
        <w:rPr>
          <w:sz w:val="22"/>
          <w:szCs w:val="22"/>
          <w:lang w:val="en-GB"/>
        </w:rPr>
        <w:t>Causal chain analyses by each country for each identified water-related problem were reviewed a</w:t>
      </w:r>
      <w:r>
        <w:rPr>
          <w:sz w:val="22"/>
          <w:szCs w:val="22"/>
          <w:lang w:val="en-GB"/>
        </w:rPr>
        <w:t>nd finalised during the meeting</w:t>
      </w:r>
      <w:r>
        <w:rPr>
          <w:rStyle w:val="FootnoteReference"/>
          <w:sz w:val="22"/>
          <w:szCs w:val="22"/>
          <w:lang w:val="en-GB"/>
        </w:rPr>
        <w:footnoteReference w:id="11"/>
      </w:r>
      <w:r w:rsidRPr="007B25D6">
        <w:rPr>
          <w:sz w:val="22"/>
          <w:szCs w:val="22"/>
          <w:lang w:val="en-GB"/>
        </w:rPr>
        <w:t>. The transboundary extent of these problems was characterised and then prioritised on the basis of a Delphi-type</w:t>
      </w:r>
      <w:r w:rsidR="00DD415C">
        <w:rPr>
          <w:rStyle w:val="FootnoteReference"/>
          <w:sz w:val="22"/>
          <w:szCs w:val="22"/>
          <w:lang w:val="en-GB"/>
        </w:rPr>
        <w:footnoteReference w:id="12"/>
      </w:r>
      <w:r w:rsidR="00851981">
        <w:rPr>
          <w:sz w:val="22"/>
          <w:szCs w:val="22"/>
          <w:lang w:val="en-GB"/>
        </w:rPr>
        <w:t xml:space="preserve"> exercise</w:t>
      </w:r>
      <w:r w:rsidR="00851981">
        <w:rPr>
          <w:rStyle w:val="FootnoteReference"/>
          <w:sz w:val="22"/>
          <w:szCs w:val="22"/>
          <w:lang w:val="en-GB"/>
        </w:rPr>
        <w:footnoteReference w:id="13"/>
      </w:r>
      <w:r w:rsidRPr="007B25D6">
        <w:rPr>
          <w:sz w:val="22"/>
          <w:szCs w:val="22"/>
          <w:lang w:val="en-GB"/>
        </w:rPr>
        <w:t>. These priorities were then used as the foci for the preparation of a preliminary table of contents for the consolidated TDA report that was ultimately agreed by the national co</w:t>
      </w:r>
      <w:r w:rsidR="00851981">
        <w:rPr>
          <w:sz w:val="22"/>
          <w:szCs w:val="22"/>
          <w:lang w:val="en-GB"/>
        </w:rPr>
        <w:t>ordinators and regional experts</w:t>
      </w:r>
      <w:r w:rsidR="00851981">
        <w:rPr>
          <w:rStyle w:val="FootnoteReference"/>
          <w:sz w:val="22"/>
          <w:szCs w:val="22"/>
          <w:lang w:val="en-GB"/>
        </w:rPr>
        <w:footnoteReference w:id="14"/>
      </w:r>
      <w:r w:rsidRPr="007B25D6">
        <w:rPr>
          <w:sz w:val="22"/>
          <w:szCs w:val="22"/>
          <w:lang w:val="en-GB"/>
        </w:rPr>
        <w:t>. An initial framework SAP to address the integrated management of water-related resources and environment of the South China Sea and a template for a full size GEF project document</w:t>
      </w:r>
      <w:r w:rsidR="00851981">
        <w:rPr>
          <w:rStyle w:val="FootnoteReference"/>
          <w:sz w:val="22"/>
          <w:szCs w:val="22"/>
          <w:lang w:val="en-GB"/>
        </w:rPr>
        <w:footnoteReference w:id="15"/>
      </w:r>
      <w:r w:rsidR="00851981">
        <w:rPr>
          <w:sz w:val="22"/>
          <w:szCs w:val="22"/>
          <w:lang w:val="en-GB"/>
        </w:rPr>
        <w:t xml:space="preserve"> </w:t>
      </w:r>
      <w:r w:rsidRPr="007B25D6">
        <w:rPr>
          <w:sz w:val="22"/>
          <w:szCs w:val="22"/>
          <w:lang w:val="en-GB"/>
        </w:rPr>
        <w:t xml:space="preserve">were also discussed during the meeting. The TDA and draft SAP were presented to, and revised by, the third meeting of the national coordinators convened in </w:t>
      </w:r>
      <w:r w:rsidR="002F0E08">
        <w:rPr>
          <w:sz w:val="22"/>
          <w:szCs w:val="22"/>
          <w:lang w:val="en-GB"/>
        </w:rPr>
        <w:t>1998</w:t>
      </w:r>
      <w:r w:rsidRPr="007B25D6">
        <w:rPr>
          <w:sz w:val="22"/>
          <w:szCs w:val="22"/>
          <w:lang w:val="en-GB"/>
        </w:rPr>
        <w:t>.</w:t>
      </w:r>
    </w:p>
    <w:p w14:paraId="369A9C39" w14:textId="77777777" w:rsidR="0067543B" w:rsidRDefault="00851981" w:rsidP="00A73AC1">
      <w:pPr>
        <w:numPr>
          <w:ilvl w:val="0"/>
          <w:numId w:val="3"/>
        </w:numPr>
        <w:spacing w:after="120"/>
        <w:ind w:left="0" w:firstLine="0"/>
        <w:jc w:val="both"/>
        <w:rPr>
          <w:sz w:val="22"/>
          <w:szCs w:val="22"/>
        </w:rPr>
      </w:pPr>
      <w:r w:rsidRPr="001D5392">
        <w:rPr>
          <w:sz w:val="22"/>
          <w:szCs w:val="22"/>
        </w:rPr>
        <w:t>The national reports, the TDA a</w:t>
      </w:r>
      <w:r>
        <w:rPr>
          <w:sz w:val="22"/>
          <w:szCs w:val="22"/>
        </w:rPr>
        <w:t xml:space="preserve">nd the draft </w:t>
      </w:r>
      <w:r w:rsidR="0067543B">
        <w:rPr>
          <w:sz w:val="22"/>
          <w:szCs w:val="22"/>
        </w:rPr>
        <w:t xml:space="preserve">framework </w:t>
      </w:r>
      <w:r>
        <w:rPr>
          <w:sz w:val="22"/>
          <w:szCs w:val="22"/>
        </w:rPr>
        <w:t xml:space="preserve">SAP were </w:t>
      </w:r>
      <w:r w:rsidR="00FA0419">
        <w:rPr>
          <w:sz w:val="22"/>
          <w:szCs w:val="22"/>
        </w:rPr>
        <w:t xml:space="preserve">subsequently </w:t>
      </w:r>
      <w:r>
        <w:rPr>
          <w:sz w:val="22"/>
          <w:szCs w:val="22"/>
        </w:rPr>
        <w:t xml:space="preserve">presented </w:t>
      </w:r>
      <w:r w:rsidRPr="001D5392">
        <w:rPr>
          <w:sz w:val="22"/>
          <w:szCs w:val="22"/>
        </w:rPr>
        <w:t>to the thirteenth meeting of th</w:t>
      </w:r>
      <w:r>
        <w:rPr>
          <w:sz w:val="22"/>
          <w:szCs w:val="22"/>
        </w:rPr>
        <w:t xml:space="preserve">e Coordinating Body on the Seas </w:t>
      </w:r>
      <w:r w:rsidRPr="001D5392">
        <w:rPr>
          <w:sz w:val="22"/>
          <w:szCs w:val="22"/>
        </w:rPr>
        <w:t>of East Asia (COBSEA) convened</w:t>
      </w:r>
      <w:r>
        <w:rPr>
          <w:sz w:val="22"/>
          <w:szCs w:val="22"/>
        </w:rPr>
        <w:t xml:space="preserve"> </w:t>
      </w:r>
      <w:r w:rsidR="001B2A74">
        <w:rPr>
          <w:sz w:val="22"/>
          <w:szCs w:val="22"/>
        </w:rPr>
        <w:t>at the end of</w:t>
      </w:r>
      <w:r w:rsidRPr="001D5392">
        <w:rPr>
          <w:sz w:val="22"/>
          <w:szCs w:val="22"/>
        </w:rPr>
        <w:t xml:space="preserve"> 1998. That meetin</w:t>
      </w:r>
      <w:r>
        <w:rPr>
          <w:sz w:val="22"/>
          <w:szCs w:val="22"/>
        </w:rPr>
        <w:t xml:space="preserve">g endorsed the draft </w:t>
      </w:r>
      <w:r w:rsidR="0067543B">
        <w:rPr>
          <w:sz w:val="22"/>
          <w:szCs w:val="22"/>
        </w:rPr>
        <w:t xml:space="preserve">framework </w:t>
      </w:r>
      <w:r>
        <w:rPr>
          <w:sz w:val="22"/>
          <w:szCs w:val="22"/>
        </w:rPr>
        <w:t xml:space="preserve">SAP (UNEP, </w:t>
      </w:r>
      <w:r w:rsidRPr="001D5392">
        <w:rPr>
          <w:sz w:val="22"/>
          <w:szCs w:val="22"/>
        </w:rPr>
        <w:t>1998c). Th</w:t>
      </w:r>
      <w:r>
        <w:rPr>
          <w:sz w:val="22"/>
          <w:szCs w:val="22"/>
        </w:rPr>
        <w:t xml:space="preserve">e full project document for </w:t>
      </w:r>
      <w:r w:rsidRPr="001D5392">
        <w:rPr>
          <w:sz w:val="22"/>
          <w:szCs w:val="22"/>
        </w:rPr>
        <w:t>t</w:t>
      </w:r>
      <w:r>
        <w:rPr>
          <w:sz w:val="22"/>
          <w:szCs w:val="22"/>
        </w:rPr>
        <w:t xml:space="preserve">he SCS project was subsequently </w:t>
      </w:r>
      <w:r w:rsidRPr="001D5392">
        <w:rPr>
          <w:sz w:val="22"/>
          <w:szCs w:val="22"/>
        </w:rPr>
        <w:t xml:space="preserve">developed. Following </w:t>
      </w:r>
      <w:r>
        <w:rPr>
          <w:sz w:val="22"/>
          <w:szCs w:val="22"/>
        </w:rPr>
        <w:t xml:space="preserve">an extensive process of country </w:t>
      </w:r>
      <w:r w:rsidRPr="001D5392">
        <w:rPr>
          <w:sz w:val="22"/>
          <w:szCs w:val="22"/>
        </w:rPr>
        <w:t>consultation and endorsement, and fi</w:t>
      </w:r>
      <w:r>
        <w:rPr>
          <w:sz w:val="22"/>
          <w:szCs w:val="22"/>
        </w:rPr>
        <w:t xml:space="preserve">nal GEF Chief Executive Officer </w:t>
      </w:r>
      <w:r w:rsidRPr="001D5392">
        <w:rPr>
          <w:sz w:val="22"/>
          <w:szCs w:val="22"/>
        </w:rPr>
        <w:t>endors</w:t>
      </w:r>
      <w:r>
        <w:rPr>
          <w:sz w:val="22"/>
          <w:szCs w:val="22"/>
        </w:rPr>
        <w:t xml:space="preserve">ement in December 2001, the SCS project became </w:t>
      </w:r>
      <w:r w:rsidRPr="001D5392">
        <w:rPr>
          <w:sz w:val="22"/>
          <w:szCs w:val="22"/>
        </w:rPr>
        <w:t>operational at the time of final si</w:t>
      </w:r>
      <w:r>
        <w:rPr>
          <w:sz w:val="22"/>
          <w:szCs w:val="22"/>
        </w:rPr>
        <w:t xml:space="preserve">gnature of the project document </w:t>
      </w:r>
      <w:r w:rsidRPr="001D5392">
        <w:rPr>
          <w:sz w:val="22"/>
          <w:szCs w:val="22"/>
        </w:rPr>
        <w:t>by UNEP on 21 January 2002.</w:t>
      </w:r>
    </w:p>
    <w:p w14:paraId="6468018F" w14:textId="77777777" w:rsidR="0067543B" w:rsidRPr="00A73AC1" w:rsidRDefault="0067543B" w:rsidP="00A73AC1">
      <w:pPr>
        <w:numPr>
          <w:ilvl w:val="3"/>
          <w:numId w:val="2"/>
        </w:numPr>
        <w:spacing w:after="120"/>
        <w:outlineLvl w:val="1"/>
        <w:rPr>
          <w:b/>
          <w:sz w:val="22"/>
          <w:szCs w:val="22"/>
          <w:lang w:val="en-GB"/>
        </w:rPr>
      </w:pPr>
      <w:r>
        <w:rPr>
          <w:b/>
          <w:sz w:val="22"/>
          <w:szCs w:val="22"/>
          <w:lang w:val="en-GB"/>
        </w:rPr>
        <w:t>TDA/SAP project design</w:t>
      </w:r>
    </w:p>
    <w:p w14:paraId="0510B666" w14:textId="77777777" w:rsidR="006941D1" w:rsidRDefault="00851981" w:rsidP="00851981">
      <w:pPr>
        <w:numPr>
          <w:ilvl w:val="0"/>
          <w:numId w:val="3"/>
        </w:numPr>
        <w:spacing w:after="120"/>
        <w:ind w:left="0" w:firstLine="0"/>
        <w:jc w:val="both"/>
        <w:rPr>
          <w:sz w:val="22"/>
          <w:szCs w:val="22"/>
        </w:rPr>
      </w:pPr>
      <w:r w:rsidRPr="00841E73">
        <w:rPr>
          <w:sz w:val="22"/>
          <w:szCs w:val="22"/>
        </w:rPr>
        <w:t xml:space="preserve">The design and implementation of a </w:t>
      </w:r>
      <w:r>
        <w:rPr>
          <w:sz w:val="22"/>
          <w:szCs w:val="22"/>
        </w:rPr>
        <w:t xml:space="preserve">multilateral, intergovernmental </w:t>
      </w:r>
      <w:r w:rsidRPr="00841E73">
        <w:rPr>
          <w:sz w:val="22"/>
          <w:szCs w:val="22"/>
        </w:rPr>
        <w:t>initiative to address</w:t>
      </w:r>
      <w:r>
        <w:rPr>
          <w:sz w:val="22"/>
          <w:szCs w:val="22"/>
        </w:rPr>
        <w:t xml:space="preserve"> diverse priorities such as the </w:t>
      </w:r>
      <w:r w:rsidRPr="00841E73">
        <w:rPr>
          <w:sz w:val="22"/>
          <w:szCs w:val="22"/>
        </w:rPr>
        <w:t>loss and degradation of habitats, ove</w:t>
      </w:r>
      <w:r>
        <w:rPr>
          <w:sz w:val="22"/>
          <w:szCs w:val="22"/>
        </w:rPr>
        <w:t xml:space="preserve">r-exploitation of fisheries and land-based </w:t>
      </w:r>
      <w:r w:rsidRPr="00841E73">
        <w:rPr>
          <w:sz w:val="22"/>
          <w:szCs w:val="22"/>
        </w:rPr>
        <w:t xml:space="preserve">pollution in a shared </w:t>
      </w:r>
      <w:r>
        <w:rPr>
          <w:sz w:val="22"/>
          <w:szCs w:val="22"/>
        </w:rPr>
        <w:t xml:space="preserve">marine basin is complex. Global </w:t>
      </w:r>
      <w:r w:rsidRPr="00841E73">
        <w:rPr>
          <w:sz w:val="22"/>
          <w:szCs w:val="22"/>
        </w:rPr>
        <w:t>experience in shared water bo</w:t>
      </w:r>
      <w:r>
        <w:rPr>
          <w:sz w:val="22"/>
          <w:szCs w:val="22"/>
        </w:rPr>
        <w:t xml:space="preserve">dy management indicates that it </w:t>
      </w:r>
      <w:r w:rsidRPr="00841E73">
        <w:rPr>
          <w:sz w:val="22"/>
          <w:szCs w:val="22"/>
        </w:rPr>
        <w:t>often takes several decades b</w:t>
      </w:r>
      <w:r>
        <w:rPr>
          <w:sz w:val="22"/>
          <w:szCs w:val="22"/>
        </w:rPr>
        <w:t xml:space="preserve">efore meaningful commitments to implementing the joint </w:t>
      </w:r>
      <w:r w:rsidRPr="00841E73">
        <w:rPr>
          <w:sz w:val="22"/>
          <w:szCs w:val="22"/>
        </w:rPr>
        <w:t>manageme</w:t>
      </w:r>
      <w:r>
        <w:rPr>
          <w:sz w:val="22"/>
          <w:szCs w:val="22"/>
        </w:rPr>
        <w:t xml:space="preserve">nt required to address the root </w:t>
      </w:r>
      <w:r w:rsidRPr="00841E73">
        <w:rPr>
          <w:sz w:val="22"/>
          <w:szCs w:val="22"/>
        </w:rPr>
        <w:t>causes of transboundary wate</w:t>
      </w:r>
      <w:r>
        <w:rPr>
          <w:sz w:val="22"/>
          <w:szCs w:val="22"/>
        </w:rPr>
        <w:t xml:space="preserve">r problems can be secured, even </w:t>
      </w:r>
      <w:r w:rsidRPr="00841E73">
        <w:rPr>
          <w:sz w:val="22"/>
          <w:szCs w:val="22"/>
        </w:rPr>
        <w:t>when only a single country is inv</w:t>
      </w:r>
      <w:r>
        <w:rPr>
          <w:sz w:val="22"/>
          <w:szCs w:val="22"/>
        </w:rPr>
        <w:t xml:space="preserve">olved (e.g., the Murray Darling </w:t>
      </w:r>
      <w:r w:rsidRPr="00841E73">
        <w:rPr>
          <w:sz w:val="22"/>
          <w:szCs w:val="22"/>
        </w:rPr>
        <w:t>River system in Australia and Ches</w:t>
      </w:r>
      <w:r>
        <w:rPr>
          <w:sz w:val="22"/>
          <w:szCs w:val="22"/>
        </w:rPr>
        <w:t xml:space="preserve">apeake Bay in the United States </w:t>
      </w:r>
      <w:r w:rsidRPr="00841E73">
        <w:rPr>
          <w:sz w:val="22"/>
          <w:szCs w:val="22"/>
        </w:rPr>
        <w:t xml:space="preserve">of America). </w:t>
      </w:r>
    </w:p>
    <w:p w14:paraId="6D322CA9" w14:textId="77777777" w:rsidR="00851981" w:rsidRPr="00841E73" w:rsidRDefault="00851981" w:rsidP="00851981">
      <w:pPr>
        <w:numPr>
          <w:ilvl w:val="0"/>
          <w:numId w:val="3"/>
        </w:numPr>
        <w:spacing w:after="120"/>
        <w:ind w:left="0" w:firstLine="0"/>
        <w:jc w:val="both"/>
        <w:rPr>
          <w:sz w:val="22"/>
          <w:szCs w:val="22"/>
        </w:rPr>
      </w:pPr>
      <w:r w:rsidRPr="00841E73">
        <w:rPr>
          <w:sz w:val="22"/>
          <w:szCs w:val="22"/>
        </w:rPr>
        <w:t>The time required for t</w:t>
      </w:r>
      <w:r>
        <w:rPr>
          <w:sz w:val="22"/>
          <w:szCs w:val="22"/>
        </w:rPr>
        <w:t xml:space="preserve">hese water bodies to respond to </w:t>
      </w:r>
      <w:r w:rsidRPr="00841E73">
        <w:rPr>
          <w:sz w:val="22"/>
          <w:szCs w:val="22"/>
        </w:rPr>
        <w:t>actions aimed at reducing stress is</w:t>
      </w:r>
      <w:r>
        <w:rPr>
          <w:sz w:val="22"/>
          <w:szCs w:val="22"/>
        </w:rPr>
        <w:t xml:space="preserve"> also on the decadal time scale </w:t>
      </w:r>
      <w:r w:rsidRPr="00841E73">
        <w:rPr>
          <w:sz w:val="22"/>
          <w:szCs w:val="22"/>
        </w:rPr>
        <w:t>(Steele, 1989; Pernetta and Elder, 199</w:t>
      </w:r>
      <w:r>
        <w:rPr>
          <w:sz w:val="22"/>
          <w:szCs w:val="22"/>
        </w:rPr>
        <w:t xml:space="preserve">3). Central to these efforts is </w:t>
      </w:r>
      <w:r w:rsidRPr="00841E73">
        <w:rPr>
          <w:sz w:val="22"/>
          <w:szCs w:val="22"/>
        </w:rPr>
        <w:t>a need to establish mechanism</w:t>
      </w:r>
      <w:r>
        <w:rPr>
          <w:sz w:val="22"/>
          <w:szCs w:val="22"/>
        </w:rPr>
        <w:t xml:space="preserve">s that enable the countries and </w:t>
      </w:r>
      <w:r w:rsidRPr="00841E73">
        <w:rPr>
          <w:sz w:val="22"/>
          <w:szCs w:val="22"/>
        </w:rPr>
        <w:t>sectors involved to obtain a bette</w:t>
      </w:r>
      <w:r>
        <w:rPr>
          <w:sz w:val="22"/>
          <w:szCs w:val="22"/>
        </w:rPr>
        <w:t xml:space="preserve">r understanding of each other’s </w:t>
      </w:r>
      <w:r w:rsidRPr="00841E73">
        <w:rPr>
          <w:sz w:val="22"/>
          <w:szCs w:val="22"/>
        </w:rPr>
        <w:t>issues, build</w:t>
      </w:r>
      <w:r>
        <w:rPr>
          <w:sz w:val="22"/>
          <w:szCs w:val="22"/>
        </w:rPr>
        <w:t xml:space="preserve"> trust and confidence among the various stakeholders, </w:t>
      </w:r>
      <w:r w:rsidRPr="00841E73">
        <w:rPr>
          <w:sz w:val="22"/>
          <w:szCs w:val="22"/>
        </w:rPr>
        <w:t>and establish a common un</w:t>
      </w:r>
      <w:r>
        <w:rPr>
          <w:sz w:val="22"/>
          <w:szCs w:val="22"/>
        </w:rPr>
        <w:t xml:space="preserve">derstanding regarding water and </w:t>
      </w:r>
      <w:r w:rsidRPr="00841E73">
        <w:rPr>
          <w:sz w:val="22"/>
          <w:szCs w:val="22"/>
        </w:rPr>
        <w:t>coastal concerns (Ollila et al., 2000). Accordingly, the overall goals</w:t>
      </w:r>
      <w:r>
        <w:rPr>
          <w:sz w:val="22"/>
          <w:szCs w:val="22"/>
        </w:rPr>
        <w:t xml:space="preserve"> </w:t>
      </w:r>
      <w:r w:rsidRPr="00841E73">
        <w:rPr>
          <w:sz w:val="22"/>
          <w:szCs w:val="22"/>
        </w:rPr>
        <w:t>of the S</w:t>
      </w:r>
      <w:r>
        <w:rPr>
          <w:sz w:val="22"/>
          <w:szCs w:val="22"/>
        </w:rPr>
        <w:t xml:space="preserve">CS project focused on fostering collaboration and partnership </w:t>
      </w:r>
      <w:r w:rsidRPr="00841E73">
        <w:rPr>
          <w:sz w:val="22"/>
          <w:szCs w:val="22"/>
        </w:rPr>
        <w:t xml:space="preserve">to address environmental </w:t>
      </w:r>
      <w:r>
        <w:rPr>
          <w:sz w:val="22"/>
          <w:szCs w:val="22"/>
        </w:rPr>
        <w:t xml:space="preserve">problems of the South China Sea marine </w:t>
      </w:r>
      <w:r w:rsidRPr="00841E73">
        <w:rPr>
          <w:sz w:val="22"/>
          <w:szCs w:val="22"/>
        </w:rPr>
        <w:t>basin.</w:t>
      </w:r>
    </w:p>
    <w:p w14:paraId="38E845C8" w14:textId="77777777" w:rsidR="00851981" w:rsidRPr="00841E73" w:rsidRDefault="00851981" w:rsidP="00851981">
      <w:pPr>
        <w:numPr>
          <w:ilvl w:val="0"/>
          <w:numId w:val="3"/>
        </w:numPr>
        <w:spacing w:after="120"/>
        <w:ind w:left="0" w:firstLine="0"/>
        <w:jc w:val="both"/>
        <w:rPr>
          <w:sz w:val="22"/>
          <w:szCs w:val="22"/>
        </w:rPr>
      </w:pPr>
      <w:r w:rsidRPr="00841E73">
        <w:rPr>
          <w:sz w:val="22"/>
          <w:szCs w:val="22"/>
        </w:rPr>
        <w:t>Efforts aimed at fostering coll</w:t>
      </w:r>
      <w:r>
        <w:rPr>
          <w:sz w:val="22"/>
          <w:szCs w:val="22"/>
        </w:rPr>
        <w:t xml:space="preserve">aboration and partnership among </w:t>
      </w:r>
      <w:r w:rsidRPr="00841E73">
        <w:rPr>
          <w:sz w:val="22"/>
          <w:szCs w:val="22"/>
        </w:rPr>
        <w:t>the participating countries were initiated durin</w:t>
      </w:r>
      <w:r>
        <w:rPr>
          <w:sz w:val="22"/>
          <w:szCs w:val="22"/>
        </w:rPr>
        <w:t xml:space="preserve">g the project PDF-B </w:t>
      </w:r>
      <w:r w:rsidRPr="00841E73">
        <w:rPr>
          <w:sz w:val="22"/>
          <w:szCs w:val="22"/>
        </w:rPr>
        <w:t>phase from 1996 to 2001. The joint fa</w:t>
      </w:r>
      <w:r>
        <w:rPr>
          <w:sz w:val="22"/>
          <w:szCs w:val="22"/>
        </w:rPr>
        <w:t xml:space="preserve">ct-finding and step-wise review </w:t>
      </w:r>
      <w:r w:rsidRPr="00841E73">
        <w:rPr>
          <w:sz w:val="22"/>
          <w:szCs w:val="22"/>
        </w:rPr>
        <w:t>of national sources of informat</w:t>
      </w:r>
      <w:r>
        <w:rPr>
          <w:sz w:val="22"/>
          <w:szCs w:val="22"/>
        </w:rPr>
        <w:t xml:space="preserve">ion, the TDA, and the framework </w:t>
      </w:r>
      <w:r w:rsidRPr="00841E73">
        <w:rPr>
          <w:sz w:val="22"/>
          <w:szCs w:val="22"/>
        </w:rPr>
        <w:t>SAP assisted in building</w:t>
      </w:r>
      <w:r>
        <w:rPr>
          <w:sz w:val="22"/>
          <w:szCs w:val="22"/>
        </w:rPr>
        <w:t xml:space="preserve"> some experience in information </w:t>
      </w:r>
      <w:r w:rsidRPr="00841E73">
        <w:rPr>
          <w:sz w:val="22"/>
          <w:szCs w:val="22"/>
        </w:rPr>
        <w:t xml:space="preserve">gathering, review and analysis. Participants in </w:t>
      </w:r>
      <w:r>
        <w:rPr>
          <w:sz w:val="22"/>
          <w:szCs w:val="22"/>
        </w:rPr>
        <w:t xml:space="preserve">that process also </w:t>
      </w:r>
      <w:r w:rsidRPr="00841E73">
        <w:rPr>
          <w:sz w:val="22"/>
          <w:szCs w:val="22"/>
        </w:rPr>
        <w:t>gained familiarity with the chall</w:t>
      </w:r>
      <w:r>
        <w:rPr>
          <w:sz w:val="22"/>
          <w:szCs w:val="22"/>
        </w:rPr>
        <w:t xml:space="preserve">enges involved in compiling the </w:t>
      </w:r>
      <w:r w:rsidRPr="00841E73">
        <w:rPr>
          <w:sz w:val="22"/>
          <w:szCs w:val="22"/>
        </w:rPr>
        <w:t>nec</w:t>
      </w:r>
      <w:r>
        <w:rPr>
          <w:sz w:val="22"/>
          <w:szCs w:val="22"/>
        </w:rPr>
        <w:t xml:space="preserve">essary information and data and sharing them in a regional </w:t>
      </w:r>
      <w:r w:rsidRPr="00841E73">
        <w:rPr>
          <w:sz w:val="22"/>
          <w:szCs w:val="22"/>
        </w:rPr>
        <w:t xml:space="preserve">setting using a second </w:t>
      </w:r>
      <w:r w:rsidR="0067543B">
        <w:rPr>
          <w:sz w:val="22"/>
          <w:szCs w:val="22"/>
        </w:rPr>
        <w:t xml:space="preserve">or sometimes third </w:t>
      </w:r>
      <w:r w:rsidRPr="00841E73">
        <w:rPr>
          <w:sz w:val="22"/>
          <w:szCs w:val="22"/>
        </w:rPr>
        <w:t>langu</w:t>
      </w:r>
      <w:r>
        <w:rPr>
          <w:sz w:val="22"/>
          <w:szCs w:val="22"/>
        </w:rPr>
        <w:t xml:space="preserve">age. The development of the SCS </w:t>
      </w:r>
      <w:r w:rsidRPr="00841E73">
        <w:rPr>
          <w:sz w:val="22"/>
          <w:szCs w:val="22"/>
        </w:rPr>
        <w:t>project recognised that these initial efforts would</w:t>
      </w:r>
      <w:r>
        <w:rPr>
          <w:sz w:val="22"/>
          <w:szCs w:val="22"/>
        </w:rPr>
        <w:t xml:space="preserve"> need to be </w:t>
      </w:r>
      <w:r w:rsidRPr="00841E73">
        <w:rPr>
          <w:sz w:val="22"/>
          <w:szCs w:val="22"/>
        </w:rPr>
        <w:t>intensifie</w:t>
      </w:r>
      <w:r>
        <w:rPr>
          <w:sz w:val="22"/>
          <w:szCs w:val="22"/>
        </w:rPr>
        <w:t xml:space="preserve">d, both in terms of stakeholder involvement and the range </w:t>
      </w:r>
      <w:r w:rsidRPr="00841E73">
        <w:rPr>
          <w:sz w:val="22"/>
          <w:szCs w:val="22"/>
        </w:rPr>
        <w:t>of information used, to meet the project objectives.</w:t>
      </w:r>
    </w:p>
    <w:p w14:paraId="41C9E332" w14:textId="77777777" w:rsidR="00851981" w:rsidRPr="00841E73" w:rsidRDefault="00851981" w:rsidP="00851981">
      <w:pPr>
        <w:numPr>
          <w:ilvl w:val="0"/>
          <w:numId w:val="3"/>
        </w:numPr>
        <w:spacing w:after="120"/>
        <w:ind w:left="0" w:firstLine="0"/>
        <w:jc w:val="both"/>
        <w:rPr>
          <w:sz w:val="22"/>
          <w:szCs w:val="22"/>
        </w:rPr>
      </w:pPr>
      <w:r w:rsidRPr="00841E73">
        <w:rPr>
          <w:sz w:val="22"/>
          <w:szCs w:val="22"/>
        </w:rPr>
        <w:t>At the time of its approva</w:t>
      </w:r>
      <w:r>
        <w:rPr>
          <w:sz w:val="22"/>
          <w:szCs w:val="22"/>
        </w:rPr>
        <w:t xml:space="preserve">l by COBSEA in 1998, the member </w:t>
      </w:r>
      <w:r w:rsidRPr="00841E73">
        <w:rPr>
          <w:sz w:val="22"/>
          <w:szCs w:val="22"/>
        </w:rPr>
        <w:t>countries requested that further</w:t>
      </w:r>
      <w:r>
        <w:rPr>
          <w:sz w:val="22"/>
          <w:szCs w:val="22"/>
        </w:rPr>
        <w:t xml:space="preserve"> elaboration and development of t</w:t>
      </w:r>
      <w:r w:rsidRPr="00841E73">
        <w:rPr>
          <w:sz w:val="22"/>
          <w:szCs w:val="22"/>
        </w:rPr>
        <w:t>he framework SAP be a defined ou</w:t>
      </w:r>
      <w:r>
        <w:rPr>
          <w:sz w:val="22"/>
          <w:szCs w:val="22"/>
        </w:rPr>
        <w:t xml:space="preserve">tput from the operational phase </w:t>
      </w:r>
      <w:r w:rsidRPr="00841E73">
        <w:rPr>
          <w:sz w:val="22"/>
          <w:szCs w:val="22"/>
        </w:rPr>
        <w:t>of the project (UNEP, 1998c). Accord</w:t>
      </w:r>
      <w:r>
        <w:rPr>
          <w:sz w:val="22"/>
          <w:szCs w:val="22"/>
        </w:rPr>
        <w:t xml:space="preserve">ingly, funds from the GEF grant </w:t>
      </w:r>
      <w:r w:rsidRPr="00841E73">
        <w:rPr>
          <w:sz w:val="22"/>
          <w:szCs w:val="22"/>
        </w:rPr>
        <w:t>were allocated to a variety of activ</w:t>
      </w:r>
      <w:r>
        <w:rPr>
          <w:sz w:val="22"/>
          <w:szCs w:val="22"/>
        </w:rPr>
        <w:t xml:space="preserve">ities designed to elaborate the </w:t>
      </w:r>
      <w:r w:rsidRPr="00841E73">
        <w:rPr>
          <w:sz w:val="22"/>
          <w:szCs w:val="22"/>
        </w:rPr>
        <w:t>information base required to achieve the medium term objective of</w:t>
      </w:r>
      <w:r>
        <w:rPr>
          <w:sz w:val="22"/>
          <w:szCs w:val="22"/>
        </w:rPr>
        <w:t xml:space="preserve"> </w:t>
      </w:r>
      <w:r w:rsidRPr="00841E73">
        <w:rPr>
          <w:sz w:val="22"/>
          <w:szCs w:val="22"/>
        </w:rPr>
        <w:t>“</w:t>
      </w:r>
      <w:r w:rsidRPr="00A73AC1">
        <w:rPr>
          <w:i/>
          <w:sz w:val="22"/>
          <w:szCs w:val="22"/>
        </w:rPr>
        <w:t>elaborating and agreeing at the intergovernmental level the Strategic Action Programme encompassing specific targeted and costed actions for the longer-term, to address the priority issues and concerns</w:t>
      </w:r>
      <w:r w:rsidRPr="00841E73">
        <w:rPr>
          <w:sz w:val="22"/>
          <w:szCs w:val="22"/>
        </w:rPr>
        <w:t>”</w:t>
      </w:r>
      <w:r w:rsidR="00233CD7">
        <w:rPr>
          <w:rStyle w:val="FootnoteReference"/>
          <w:sz w:val="22"/>
          <w:szCs w:val="22"/>
        </w:rPr>
        <w:footnoteReference w:id="16"/>
      </w:r>
      <w:r w:rsidRPr="00841E73">
        <w:rPr>
          <w:sz w:val="22"/>
          <w:szCs w:val="22"/>
        </w:rPr>
        <w:t>. Projected outcomes of these activities in</w:t>
      </w:r>
      <w:r>
        <w:rPr>
          <w:sz w:val="22"/>
          <w:szCs w:val="22"/>
        </w:rPr>
        <w:t xml:space="preserve">cluded: an </w:t>
      </w:r>
      <w:r w:rsidRPr="00841E73">
        <w:rPr>
          <w:sz w:val="22"/>
          <w:szCs w:val="22"/>
        </w:rPr>
        <w:t>approved SAP based on a targeted a</w:t>
      </w:r>
      <w:r>
        <w:rPr>
          <w:sz w:val="22"/>
          <w:szCs w:val="22"/>
        </w:rPr>
        <w:t xml:space="preserve">nd costed programme of actions; </w:t>
      </w:r>
      <w:r w:rsidRPr="00841E73">
        <w:rPr>
          <w:sz w:val="22"/>
          <w:szCs w:val="22"/>
        </w:rPr>
        <w:t>a framework for improv</w:t>
      </w:r>
      <w:r>
        <w:rPr>
          <w:sz w:val="22"/>
          <w:szCs w:val="22"/>
        </w:rPr>
        <w:t xml:space="preserve">ed regional co-operation in the </w:t>
      </w:r>
      <w:r w:rsidRPr="00841E73">
        <w:rPr>
          <w:sz w:val="22"/>
          <w:szCs w:val="22"/>
        </w:rPr>
        <w:t>management of the environm</w:t>
      </w:r>
      <w:r>
        <w:rPr>
          <w:sz w:val="22"/>
          <w:szCs w:val="22"/>
        </w:rPr>
        <w:t xml:space="preserve">ent of the South China Sea; and </w:t>
      </w:r>
      <w:r w:rsidRPr="00841E73">
        <w:rPr>
          <w:sz w:val="22"/>
          <w:szCs w:val="22"/>
        </w:rPr>
        <w:t>a series of national action plans for specific habitats and issues.</w:t>
      </w:r>
    </w:p>
    <w:p w14:paraId="791DD153" w14:textId="77777777" w:rsidR="00851981" w:rsidRPr="00233CD7" w:rsidRDefault="00851981" w:rsidP="00233CD7">
      <w:pPr>
        <w:numPr>
          <w:ilvl w:val="0"/>
          <w:numId w:val="3"/>
        </w:numPr>
        <w:spacing w:after="120"/>
        <w:ind w:left="0" w:firstLine="0"/>
        <w:jc w:val="both"/>
        <w:rPr>
          <w:sz w:val="22"/>
          <w:szCs w:val="22"/>
        </w:rPr>
      </w:pPr>
      <w:r w:rsidRPr="00841E73">
        <w:rPr>
          <w:sz w:val="22"/>
          <w:szCs w:val="22"/>
        </w:rPr>
        <w:t>The project management fra</w:t>
      </w:r>
      <w:r>
        <w:rPr>
          <w:sz w:val="22"/>
          <w:szCs w:val="22"/>
        </w:rPr>
        <w:t xml:space="preserve">mework (see Pernetta and Jiang, </w:t>
      </w:r>
      <w:r w:rsidRPr="00841E73">
        <w:rPr>
          <w:sz w:val="22"/>
          <w:szCs w:val="22"/>
        </w:rPr>
        <w:t>2013) de</w:t>
      </w:r>
      <w:r>
        <w:rPr>
          <w:sz w:val="22"/>
          <w:szCs w:val="22"/>
        </w:rPr>
        <w:t xml:space="preserve">veloped for the project was, in part, designed to enable </w:t>
      </w:r>
      <w:r w:rsidRPr="00841E73">
        <w:rPr>
          <w:sz w:val="22"/>
          <w:szCs w:val="22"/>
        </w:rPr>
        <w:t xml:space="preserve">the timely and structured flow </w:t>
      </w:r>
      <w:r>
        <w:rPr>
          <w:sz w:val="22"/>
          <w:szCs w:val="22"/>
        </w:rPr>
        <w:t xml:space="preserve">of information and data between </w:t>
      </w:r>
      <w:r w:rsidRPr="00841E73">
        <w:rPr>
          <w:sz w:val="22"/>
          <w:szCs w:val="22"/>
        </w:rPr>
        <w:t>and among all partners. The first mee</w:t>
      </w:r>
      <w:r>
        <w:rPr>
          <w:sz w:val="22"/>
          <w:szCs w:val="22"/>
        </w:rPr>
        <w:t xml:space="preserve">ting of the Regional Scientific </w:t>
      </w:r>
      <w:r w:rsidRPr="00841E73">
        <w:rPr>
          <w:sz w:val="22"/>
          <w:szCs w:val="22"/>
        </w:rPr>
        <w:t>and Techni</w:t>
      </w:r>
      <w:r>
        <w:rPr>
          <w:sz w:val="22"/>
          <w:szCs w:val="22"/>
        </w:rPr>
        <w:t xml:space="preserve">cal Committee (RSTC) </w:t>
      </w:r>
      <w:r w:rsidR="00405DD2">
        <w:rPr>
          <w:sz w:val="22"/>
          <w:szCs w:val="22"/>
        </w:rPr>
        <w:t xml:space="preserve">for the SCS project </w:t>
      </w:r>
      <w:r>
        <w:rPr>
          <w:sz w:val="22"/>
          <w:szCs w:val="22"/>
        </w:rPr>
        <w:t xml:space="preserve">recognized the importance of this </w:t>
      </w:r>
      <w:r w:rsidRPr="00841E73">
        <w:rPr>
          <w:sz w:val="22"/>
          <w:szCs w:val="22"/>
        </w:rPr>
        <w:t>network of partners in assemb</w:t>
      </w:r>
      <w:r>
        <w:rPr>
          <w:sz w:val="22"/>
          <w:szCs w:val="22"/>
        </w:rPr>
        <w:t xml:space="preserve">ling additional information and </w:t>
      </w:r>
      <w:r w:rsidRPr="00841E73">
        <w:rPr>
          <w:sz w:val="22"/>
          <w:szCs w:val="22"/>
        </w:rPr>
        <w:t>data and establishing procedures for review as follows</w:t>
      </w:r>
      <w:r w:rsidR="00233CD7" w:rsidRPr="00841E73">
        <w:rPr>
          <w:sz w:val="22"/>
          <w:szCs w:val="22"/>
        </w:rPr>
        <w:t>:</w:t>
      </w:r>
      <w:r w:rsidR="00233CD7" w:rsidRPr="00233CD7">
        <w:rPr>
          <w:i/>
          <w:sz w:val="22"/>
          <w:szCs w:val="22"/>
        </w:rPr>
        <w:t xml:space="preserve"> “</w:t>
      </w:r>
      <w:r w:rsidRPr="00233CD7">
        <w:rPr>
          <w:i/>
          <w:sz w:val="22"/>
          <w:szCs w:val="22"/>
        </w:rPr>
        <w:t>The Committee instructed the Regional Working Groups to prepare a list of data/information requirements in their first meetings, together with a suggested standard format for use at the level of the national committees”</w:t>
      </w:r>
      <w:r w:rsidRPr="00591081">
        <w:rPr>
          <w:rStyle w:val="FootnoteReference"/>
          <w:i/>
          <w:sz w:val="22"/>
          <w:szCs w:val="22"/>
        </w:rPr>
        <w:footnoteReference w:id="17"/>
      </w:r>
      <w:r w:rsidR="00227D0D">
        <w:rPr>
          <w:sz w:val="22"/>
          <w:szCs w:val="22"/>
        </w:rPr>
        <w:t>; and</w:t>
      </w:r>
      <w:r w:rsidRPr="00233CD7">
        <w:rPr>
          <w:i/>
          <w:sz w:val="22"/>
          <w:szCs w:val="22"/>
        </w:rPr>
        <w:t>“The Committee also indicated that there is strong need for the National Technical Working Group, and national committees in each country to review the data/information provided in the national reports, and to provide updated data and information for the project, particularly in relation to data sources at the national level which may have been ignored during the preparation of the national</w:t>
      </w:r>
      <w:r w:rsidRPr="00233CD7">
        <w:rPr>
          <w:sz w:val="22"/>
          <w:szCs w:val="22"/>
        </w:rPr>
        <w:t xml:space="preserve"> </w:t>
      </w:r>
      <w:r w:rsidRPr="00233CD7">
        <w:rPr>
          <w:i/>
          <w:sz w:val="22"/>
          <w:szCs w:val="22"/>
        </w:rPr>
        <w:t>reports”</w:t>
      </w:r>
      <w:r w:rsidRPr="00591081">
        <w:rPr>
          <w:rStyle w:val="FootnoteReference"/>
          <w:i/>
          <w:sz w:val="22"/>
          <w:szCs w:val="22"/>
        </w:rPr>
        <w:footnoteReference w:id="18"/>
      </w:r>
      <w:r w:rsidRPr="00233CD7">
        <w:rPr>
          <w:i/>
          <w:sz w:val="22"/>
          <w:szCs w:val="22"/>
        </w:rPr>
        <w:t>.</w:t>
      </w:r>
    </w:p>
    <w:p w14:paraId="07F44708" w14:textId="77777777" w:rsidR="00405DD2" w:rsidRDefault="00405DD2" w:rsidP="00405DD2">
      <w:pPr>
        <w:numPr>
          <w:ilvl w:val="2"/>
          <w:numId w:val="2"/>
        </w:numPr>
        <w:spacing w:after="120"/>
        <w:outlineLvl w:val="1"/>
        <w:rPr>
          <w:b/>
          <w:sz w:val="22"/>
          <w:szCs w:val="22"/>
          <w:lang w:val="en-GB"/>
        </w:rPr>
      </w:pPr>
      <w:r>
        <w:rPr>
          <w:b/>
          <w:sz w:val="22"/>
          <w:szCs w:val="22"/>
          <w:lang w:val="en-GB"/>
        </w:rPr>
        <w:t xml:space="preserve">Catalyzing Stakeholder Participation in SAP </w:t>
      </w:r>
      <w:r w:rsidR="00227D0D">
        <w:rPr>
          <w:b/>
          <w:sz w:val="22"/>
          <w:szCs w:val="22"/>
          <w:lang w:val="en-GB"/>
        </w:rPr>
        <w:t>Formulation</w:t>
      </w:r>
    </w:p>
    <w:p w14:paraId="4155A458" w14:textId="77777777" w:rsidR="00405DD2" w:rsidRPr="00405DD2" w:rsidRDefault="00405DD2" w:rsidP="00405DD2">
      <w:pPr>
        <w:numPr>
          <w:ilvl w:val="3"/>
          <w:numId w:val="2"/>
        </w:numPr>
        <w:spacing w:after="120"/>
        <w:outlineLvl w:val="1"/>
        <w:rPr>
          <w:b/>
          <w:sz w:val="22"/>
          <w:szCs w:val="22"/>
          <w:lang w:val="en-GB"/>
        </w:rPr>
      </w:pPr>
      <w:r>
        <w:rPr>
          <w:b/>
          <w:sz w:val="22"/>
          <w:szCs w:val="22"/>
          <w:lang w:val="en-GB"/>
        </w:rPr>
        <w:t>Defining roles of national and regional entities</w:t>
      </w:r>
    </w:p>
    <w:p w14:paraId="0D8EA4C8" w14:textId="77777777" w:rsidR="00851981" w:rsidRDefault="00405DD2" w:rsidP="00405DD2">
      <w:pPr>
        <w:numPr>
          <w:ilvl w:val="0"/>
          <w:numId w:val="3"/>
        </w:numPr>
        <w:spacing w:after="120"/>
        <w:ind w:left="0" w:firstLine="0"/>
        <w:jc w:val="both"/>
        <w:rPr>
          <w:sz w:val="22"/>
          <w:szCs w:val="22"/>
          <w:lang w:val="en-GB"/>
        </w:rPr>
      </w:pPr>
      <w:r w:rsidRPr="00405DD2">
        <w:rPr>
          <w:sz w:val="22"/>
          <w:szCs w:val="22"/>
          <w:lang w:val="en-GB"/>
        </w:rPr>
        <w:t>A total of 31 government-designated organisations signed Memoranda of Understanding (MoUs) with UNEP to act as Specialised Executing Agencies (SEAs) for national level activities of the project</w:t>
      </w:r>
      <w:r w:rsidR="00160E78">
        <w:rPr>
          <w:sz w:val="22"/>
          <w:szCs w:val="22"/>
          <w:lang w:val="en-GB"/>
        </w:rPr>
        <w:t>.</w:t>
      </w:r>
      <w:r w:rsidRPr="00405DD2">
        <w:rPr>
          <w:sz w:val="22"/>
          <w:szCs w:val="22"/>
          <w:lang w:val="en-GB"/>
        </w:rPr>
        <w:t xml:space="preserve"> These MoUs contained detailed terms of reference for the key individuals and committees and defined the roles and responsibilities of SEAs in implementing project tasks and supporting various national and regional committees established as part of the project management framework. The original MoUs outlined sixteen preparatory phase tasks for which SEAs would be responsible. These tasks related to: establishing/revitalising and chairing national committees</w:t>
      </w:r>
      <w:r w:rsidR="00227D0D">
        <w:rPr>
          <w:sz w:val="22"/>
          <w:szCs w:val="22"/>
          <w:lang w:val="en-GB"/>
        </w:rPr>
        <w:t xml:space="preserve"> (e.g., Inter-Minsterial Committees)</w:t>
      </w:r>
      <w:r w:rsidRPr="00405DD2">
        <w:rPr>
          <w:sz w:val="22"/>
          <w:szCs w:val="22"/>
          <w:lang w:val="en-GB"/>
        </w:rPr>
        <w:t>; information and data gathering, review and management; provision of scientific and technical advice to national committees and regional working groups and task forces; development of a National Action Plan (NAP); and the revision of the regional SAP.</w:t>
      </w:r>
    </w:p>
    <w:p w14:paraId="345433D8" w14:textId="77777777" w:rsidR="00160E78" w:rsidRPr="00591081" w:rsidRDefault="00160E78" w:rsidP="00160E78">
      <w:pPr>
        <w:numPr>
          <w:ilvl w:val="0"/>
          <w:numId w:val="3"/>
        </w:numPr>
        <w:spacing w:after="120"/>
        <w:ind w:left="0" w:firstLine="0"/>
        <w:jc w:val="both"/>
        <w:rPr>
          <w:sz w:val="22"/>
          <w:szCs w:val="22"/>
        </w:rPr>
      </w:pPr>
      <w:r w:rsidRPr="00591081">
        <w:rPr>
          <w:sz w:val="22"/>
          <w:szCs w:val="22"/>
        </w:rPr>
        <w:t>The MoUs were amended durin</w:t>
      </w:r>
      <w:r>
        <w:rPr>
          <w:sz w:val="22"/>
          <w:szCs w:val="22"/>
        </w:rPr>
        <w:t xml:space="preserve">g 2004 to reflect the roles and </w:t>
      </w:r>
      <w:r w:rsidRPr="00591081">
        <w:rPr>
          <w:sz w:val="22"/>
          <w:szCs w:val="22"/>
        </w:rPr>
        <w:t>responsibilities of the SEAs duri</w:t>
      </w:r>
      <w:r>
        <w:rPr>
          <w:sz w:val="22"/>
          <w:szCs w:val="22"/>
        </w:rPr>
        <w:t xml:space="preserve">ng the operational phase of the </w:t>
      </w:r>
      <w:r w:rsidR="00227D0D">
        <w:rPr>
          <w:sz w:val="22"/>
          <w:szCs w:val="22"/>
        </w:rPr>
        <w:t xml:space="preserve">SAP formulation </w:t>
      </w:r>
      <w:r w:rsidRPr="00591081">
        <w:rPr>
          <w:sz w:val="22"/>
          <w:szCs w:val="22"/>
        </w:rPr>
        <w:t>project (2005</w:t>
      </w:r>
      <w:r w:rsidR="00227D0D">
        <w:rPr>
          <w:sz w:val="22"/>
          <w:szCs w:val="22"/>
        </w:rPr>
        <w:t>-</w:t>
      </w:r>
      <w:r w:rsidRPr="00591081">
        <w:rPr>
          <w:sz w:val="22"/>
          <w:szCs w:val="22"/>
        </w:rPr>
        <w:t>2008). Terms of Refe</w:t>
      </w:r>
      <w:r>
        <w:rPr>
          <w:sz w:val="22"/>
          <w:szCs w:val="22"/>
        </w:rPr>
        <w:t>rence</w:t>
      </w:r>
      <w:r>
        <w:rPr>
          <w:rStyle w:val="FootnoteReference"/>
          <w:sz w:val="22"/>
          <w:szCs w:val="22"/>
        </w:rPr>
        <w:footnoteReference w:id="19"/>
      </w:r>
      <w:r>
        <w:rPr>
          <w:sz w:val="22"/>
          <w:szCs w:val="22"/>
        </w:rPr>
        <w:t xml:space="preserve"> (ToR) were also clearly </w:t>
      </w:r>
      <w:r w:rsidRPr="00591081">
        <w:rPr>
          <w:sz w:val="22"/>
          <w:szCs w:val="22"/>
        </w:rPr>
        <w:t>defined at project inception for the N</w:t>
      </w:r>
      <w:r>
        <w:rPr>
          <w:sz w:val="22"/>
          <w:szCs w:val="22"/>
        </w:rPr>
        <w:t xml:space="preserve">ational Inter-Ministerial </w:t>
      </w:r>
      <w:r w:rsidRPr="00591081">
        <w:rPr>
          <w:sz w:val="22"/>
          <w:szCs w:val="22"/>
        </w:rPr>
        <w:t>Commit</w:t>
      </w:r>
      <w:r>
        <w:rPr>
          <w:sz w:val="22"/>
          <w:szCs w:val="22"/>
        </w:rPr>
        <w:t xml:space="preserve">tees (IMCs), National Technical Working Groups (NTWGs), </w:t>
      </w:r>
      <w:r w:rsidRPr="00591081">
        <w:rPr>
          <w:sz w:val="22"/>
          <w:szCs w:val="22"/>
        </w:rPr>
        <w:t>and National Committees for the c</w:t>
      </w:r>
      <w:r>
        <w:rPr>
          <w:sz w:val="22"/>
          <w:szCs w:val="22"/>
        </w:rPr>
        <w:t xml:space="preserve">omponents and activities of the </w:t>
      </w:r>
      <w:r w:rsidRPr="00591081">
        <w:rPr>
          <w:sz w:val="22"/>
          <w:szCs w:val="22"/>
        </w:rPr>
        <w:t>project. These ToR provided directio</w:t>
      </w:r>
      <w:r>
        <w:rPr>
          <w:sz w:val="22"/>
          <w:szCs w:val="22"/>
        </w:rPr>
        <w:t xml:space="preserve">n, for example, to the National Committees to compile and share </w:t>
      </w:r>
      <w:r w:rsidRPr="00591081">
        <w:rPr>
          <w:sz w:val="22"/>
          <w:szCs w:val="22"/>
        </w:rPr>
        <w:t>inf</w:t>
      </w:r>
      <w:r>
        <w:rPr>
          <w:sz w:val="22"/>
          <w:szCs w:val="22"/>
        </w:rPr>
        <w:t xml:space="preserve">ormation and data with the </w:t>
      </w:r>
      <w:r w:rsidRPr="00591081">
        <w:rPr>
          <w:sz w:val="22"/>
          <w:szCs w:val="22"/>
        </w:rPr>
        <w:t xml:space="preserve">NTWG, the Regional Working </w:t>
      </w:r>
      <w:r>
        <w:rPr>
          <w:sz w:val="22"/>
          <w:szCs w:val="22"/>
        </w:rPr>
        <w:t>Groups (RWGs) and the R</w:t>
      </w:r>
      <w:r w:rsidR="002A5CB4">
        <w:rPr>
          <w:sz w:val="22"/>
          <w:szCs w:val="22"/>
        </w:rPr>
        <w:t xml:space="preserve">egional </w:t>
      </w:r>
      <w:r>
        <w:rPr>
          <w:sz w:val="22"/>
          <w:szCs w:val="22"/>
        </w:rPr>
        <w:t>S</w:t>
      </w:r>
      <w:r w:rsidR="002A5CB4">
        <w:rPr>
          <w:sz w:val="22"/>
          <w:szCs w:val="22"/>
        </w:rPr>
        <w:t xml:space="preserve">cientific and </w:t>
      </w:r>
      <w:r>
        <w:rPr>
          <w:sz w:val="22"/>
          <w:szCs w:val="22"/>
        </w:rPr>
        <w:t>T</w:t>
      </w:r>
      <w:r w:rsidR="002A5CB4">
        <w:rPr>
          <w:sz w:val="22"/>
          <w:szCs w:val="22"/>
        </w:rPr>
        <w:t xml:space="preserve">echnical </w:t>
      </w:r>
      <w:r>
        <w:rPr>
          <w:sz w:val="22"/>
          <w:szCs w:val="22"/>
        </w:rPr>
        <w:t>C</w:t>
      </w:r>
      <w:r w:rsidR="002A5CB4">
        <w:rPr>
          <w:sz w:val="22"/>
          <w:szCs w:val="22"/>
        </w:rPr>
        <w:t>ommittee (RSTC).</w:t>
      </w:r>
      <w:r>
        <w:rPr>
          <w:sz w:val="22"/>
          <w:szCs w:val="22"/>
        </w:rPr>
        <w:t xml:space="preserve"> The </w:t>
      </w:r>
      <w:r w:rsidRPr="00591081">
        <w:rPr>
          <w:sz w:val="22"/>
          <w:szCs w:val="22"/>
        </w:rPr>
        <w:t>NTWGs were, for example, cha</w:t>
      </w:r>
      <w:r>
        <w:rPr>
          <w:sz w:val="22"/>
          <w:szCs w:val="22"/>
        </w:rPr>
        <w:t xml:space="preserve">rged with the responsibility of </w:t>
      </w:r>
      <w:r w:rsidRPr="00591081">
        <w:rPr>
          <w:sz w:val="22"/>
          <w:szCs w:val="22"/>
        </w:rPr>
        <w:t>reviewing and approving the scie</w:t>
      </w:r>
      <w:r>
        <w:rPr>
          <w:sz w:val="22"/>
          <w:szCs w:val="22"/>
        </w:rPr>
        <w:t xml:space="preserve">ntific and technical content of </w:t>
      </w:r>
      <w:r w:rsidRPr="00591081">
        <w:rPr>
          <w:sz w:val="22"/>
          <w:szCs w:val="22"/>
        </w:rPr>
        <w:t>reports from the SEAs prior to their submissio</w:t>
      </w:r>
      <w:r>
        <w:rPr>
          <w:sz w:val="22"/>
          <w:szCs w:val="22"/>
        </w:rPr>
        <w:t xml:space="preserve">n to the IMCs or </w:t>
      </w:r>
      <w:r w:rsidRPr="00591081">
        <w:rPr>
          <w:sz w:val="22"/>
          <w:szCs w:val="22"/>
        </w:rPr>
        <w:t>RWGs.</w:t>
      </w:r>
    </w:p>
    <w:p w14:paraId="1D55BF3C" w14:textId="77777777" w:rsidR="00405DD2" w:rsidRDefault="00160E78" w:rsidP="00160E78">
      <w:pPr>
        <w:numPr>
          <w:ilvl w:val="0"/>
          <w:numId w:val="3"/>
        </w:numPr>
        <w:spacing w:after="120"/>
        <w:ind w:left="0" w:firstLine="0"/>
        <w:jc w:val="both"/>
        <w:rPr>
          <w:sz w:val="22"/>
          <w:szCs w:val="22"/>
          <w:lang w:val="en-GB"/>
        </w:rPr>
      </w:pPr>
      <w:r w:rsidRPr="00160E78">
        <w:rPr>
          <w:sz w:val="22"/>
          <w:szCs w:val="22"/>
          <w:lang w:val="en-GB"/>
        </w:rPr>
        <w:t xml:space="preserve">A corresponding set of ToR were established for the RSTC and each of the RWGs established for mangroves (RWG-M), wetlands (RWG-W), coral reefs (RWG-CR), seagrass (RWG-SG), fisheries (RWG-F) and land-based pollution (RWG-LbP). The RWGs were charged with co-ordinating the work of National Committees in order to ensure the effective execution of activities in the various project components. Specific RWG activities included </w:t>
      </w:r>
      <w:r w:rsidRPr="00A73AC1">
        <w:rPr>
          <w:i/>
          <w:sz w:val="22"/>
          <w:szCs w:val="22"/>
          <w:lang w:val="en-GB"/>
        </w:rPr>
        <w:t>inter alia</w:t>
      </w:r>
      <w:r w:rsidRPr="00160E78">
        <w:rPr>
          <w:sz w:val="22"/>
          <w:szCs w:val="22"/>
          <w:lang w:val="en-GB"/>
        </w:rPr>
        <w:t xml:space="preserve">: development of criteria for determining the global, regional and transboundary significance of habitats and fish stocks; coordination of efforts to develop national meta-databases; compilation and review of information relating to economic valuation; and the stepwise review of information and data compiled by national committees. The RSTC was mandated to coordinate and review the work of the RWGs and provide sound scientific and technical advice to the </w:t>
      </w:r>
      <w:r w:rsidR="002A5CB4">
        <w:rPr>
          <w:sz w:val="22"/>
          <w:szCs w:val="22"/>
          <w:lang w:val="en-GB"/>
        </w:rPr>
        <w:t xml:space="preserve">inter-governmental </w:t>
      </w:r>
      <w:r w:rsidRPr="00160E78">
        <w:rPr>
          <w:sz w:val="22"/>
          <w:szCs w:val="22"/>
          <w:lang w:val="en-GB"/>
        </w:rPr>
        <w:t>Project Steering Committee (PSC)</w:t>
      </w:r>
      <w:r w:rsidR="001B2A74">
        <w:rPr>
          <w:sz w:val="22"/>
          <w:szCs w:val="22"/>
          <w:lang w:val="en-GB"/>
        </w:rPr>
        <w:t xml:space="preserve"> regarding SAP formulation</w:t>
      </w:r>
      <w:r w:rsidRPr="00160E78">
        <w:rPr>
          <w:sz w:val="22"/>
          <w:szCs w:val="22"/>
          <w:lang w:val="en-GB"/>
        </w:rPr>
        <w:t>.</w:t>
      </w:r>
    </w:p>
    <w:p w14:paraId="7D962B7F" w14:textId="77777777" w:rsidR="00160E78" w:rsidRPr="00160E78" w:rsidRDefault="00160E78" w:rsidP="00160E78">
      <w:pPr>
        <w:numPr>
          <w:ilvl w:val="3"/>
          <w:numId w:val="2"/>
        </w:numPr>
        <w:spacing w:after="120"/>
        <w:outlineLvl w:val="1"/>
        <w:rPr>
          <w:b/>
          <w:sz w:val="22"/>
          <w:szCs w:val="22"/>
          <w:lang w:val="en-GB"/>
        </w:rPr>
      </w:pPr>
      <w:r>
        <w:rPr>
          <w:b/>
          <w:sz w:val="22"/>
          <w:szCs w:val="22"/>
          <w:lang w:val="en-GB"/>
        </w:rPr>
        <w:t>Confirming causes of identified issues and problems</w:t>
      </w:r>
    </w:p>
    <w:p w14:paraId="050FAB04" w14:textId="77777777" w:rsidR="00160E78" w:rsidRPr="00160E78" w:rsidRDefault="00160E78" w:rsidP="00160E78">
      <w:pPr>
        <w:spacing w:after="120"/>
        <w:jc w:val="both"/>
        <w:rPr>
          <w:b/>
          <w:i/>
          <w:sz w:val="22"/>
          <w:szCs w:val="22"/>
          <w:lang w:val="en-GB"/>
        </w:rPr>
      </w:pPr>
      <w:r w:rsidRPr="00160E78">
        <w:rPr>
          <w:b/>
          <w:i/>
          <w:sz w:val="22"/>
          <w:szCs w:val="22"/>
          <w:lang w:val="en-GB"/>
        </w:rPr>
        <w:t>Agreeing information needs and specifying data fields</w:t>
      </w:r>
    </w:p>
    <w:p w14:paraId="45205FF1" w14:textId="77777777" w:rsidR="00160E78" w:rsidRDefault="00160E78" w:rsidP="00160E78">
      <w:pPr>
        <w:numPr>
          <w:ilvl w:val="0"/>
          <w:numId w:val="3"/>
        </w:numPr>
        <w:spacing w:after="120"/>
        <w:ind w:left="0" w:firstLine="0"/>
        <w:jc w:val="both"/>
        <w:rPr>
          <w:sz w:val="22"/>
          <w:szCs w:val="22"/>
          <w:lang w:val="en-GB"/>
        </w:rPr>
      </w:pPr>
      <w:r w:rsidRPr="00160E78">
        <w:rPr>
          <w:sz w:val="22"/>
          <w:szCs w:val="22"/>
          <w:lang w:val="en-GB"/>
        </w:rPr>
        <w:t>Specific information needs were discussed by the early preliminary phase meetings of each of the six RWGs convened between 2002 and 2003. The national reports and TDA were discussed and known national and regional sources of information were identified. Emphasis was placed on confirming the causes of identified issues and problems identified in the TDA via the conduct of causal chain analyses for each of the four priority habitats, fisheries and pollution. In addition to undertaking a technical and scientific analysis of the water-related issues and problems, the RSTC and RWGs worked to identify the information needed to prioritise actions in relation to maximising benefits from the investments or expenditures to be committed under the Strategic Action Programme.</w:t>
      </w:r>
    </w:p>
    <w:p w14:paraId="060D6FD4" w14:textId="77777777" w:rsidR="00160E78" w:rsidRDefault="00160E78" w:rsidP="00160E78">
      <w:pPr>
        <w:numPr>
          <w:ilvl w:val="0"/>
          <w:numId w:val="3"/>
        </w:numPr>
        <w:tabs>
          <w:tab w:val="left" w:pos="720"/>
        </w:tabs>
        <w:spacing w:after="120"/>
        <w:ind w:left="0" w:firstLine="0"/>
        <w:jc w:val="both"/>
        <w:rPr>
          <w:sz w:val="22"/>
          <w:szCs w:val="22"/>
        </w:rPr>
      </w:pPr>
      <w:r w:rsidRPr="00591081">
        <w:rPr>
          <w:sz w:val="22"/>
          <w:szCs w:val="22"/>
        </w:rPr>
        <w:t>Efforts to identify information ne</w:t>
      </w:r>
      <w:r>
        <w:rPr>
          <w:sz w:val="22"/>
          <w:szCs w:val="22"/>
        </w:rPr>
        <w:t xml:space="preserve">eds during these early meetings </w:t>
      </w:r>
      <w:r w:rsidRPr="00591081">
        <w:rPr>
          <w:sz w:val="22"/>
          <w:szCs w:val="22"/>
        </w:rPr>
        <w:t xml:space="preserve">considered the scale of </w:t>
      </w:r>
      <w:r>
        <w:rPr>
          <w:sz w:val="22"/>
          <w:szCs w:val="22"/>
        </w:rPr>
        <w:t xml:space="preserve">the </w:t>
      </w:r>
      <w:r w:rsidRPr="00591081">
        <w:rPr>
          <w:sz w:val="22"/>
          <w:szCs w:val="22"/>
        </w:rPr>
        <w:t>tra</w:t>
      </w:r>
      <w:r>
        <w:rPr>
          <w:sz w:val="22"/>
          <w:szCs w:val="22"/>
        </w:rPr>
        <w:t xml:space="preserve">nsboundary nature of particular </w:t>
      </w:r>
      <w:r w:rsidRPr="00591081">
        <w:rPr>
          <w:sz w:val="22"/>
          <w:szCs w:val="22"/>
        </w:rPr>
        <w:t>marine environmental problems</w:t>
      </w:r>
      <w:r>
        <w:rPr>
          <w:sz w:val="22"/>
          <w:szCs w:val="22"/>
        </w:rPr>
        <w:t xml:space="preserve">. The reports of those meetings </w:t>
      </w:r>
      <w:r w:rsidRPr="00591081">
        <w:rPr>
          <w:sz w:val="22"/>
          <w:szCs w:val="22"/>
        </w:rPr>
        <w:t>indicate a progressive shift in</w:t>
      </w:r>
      <w:r>
        <w:rPr>
          <w:sz w:val="22"/>
          <w:szCs w:val="22"/>
        </w:rPr>
        <w:t xml:space="preserve"> emphasis from consideration of </w:t>
      </w:r>
      <w:r w:rsidRPr="00591081">
        <w:rPr>
          <w:sz w:val="22"/>
          <w:szCs w:val="22"/>
        </w:rPr>
        <w:t>specifi</w:t>
      </w:r>
      <w:r>
        <w:rPr>
          <w:sz w:val="22"/>
          <w:szCs w:val="22"/>
        </w:rPr>
        <w:t xml:space="preserve">c national issues to those that were significant from regional </w:t>
      </w:r>
      <w:r w:rsidRPr="00591081">
        <w:rPr>
          <w:sz w:val="22"/>
          <w:szCs w:val="22"/>
        </w:rPr>
        <w:t>or global perspectives. It was emp</w:t>
      </w:r>
      <w:r>
        <w:rPr>
          <w:sz w:val="22"/>
          <w:szCs w:val="22"/>
        </w:rPr>
        <w:t xml:space="preserve">hasised that actions that solve local </w:t>
      </w:r>
      <w:r w:rsidRPr="00591081">
        <w:rPr>
          <w:sz w:val="22"/>
          <w:szCs w:val="22"/>
        </w:rPr>
        <w:t>problems and simultaneously r</w:t>
      </w:r>
      <w:r>
        <w:rPr>
          <w:sz w:val="22"/>
          <w:szCs w:val="22"/>
        </w:rPr>
        <w:t xml:space="preserve">esult in regional and/or global </w:t>
      </w:r>
      <w:r w:rsidRPr="00591081">
        <w:rPr>
          <w:sz w:val="22"/>
          <w:szCs w:val="22"/>
        </w:rPr>
        <w:t>environmental benefits will generally be of higher priority because</w:t>
      </w:r>
      <w:r>
        <w:rPr>
          <w:sz w:val="22"/>
          <w:szCs w:val="22"/>
        </w:rPr>
        <w:t xml:space="preserve"> </w:t>
      </w:r>
      <w:r w:rsidRPr="0075452E">
        <w:rPr>
          <w:sz w:val="22"/>
          <w:szCs w:val="22"/>
        </w:rPr>
        <w:t>the cumulative value of the benefi</w:t>
      </w:r>
      <w:r>
        <w:rPr>
          <w:sz w:val="22"/>
          <w:szCs w:val="22"/>
        </w:rPr>
        <w:t xml:space="preserve">ts will exceed the value of the </w:t>
      </w:r>
      <w:r w:rsidRPr="0075452E">
        <w:rPr>
          <w:sz w:val="22"/>
          <w:szCs w:val="22"/>
        </w:rPr>
        <w:t>actions having solely local effect.</w:t>
      </w:r>
    </w:p>
    <w:p w14:paraId="4C87D23C" w14:textId="77777777" w:rsidR="00ED295A" w:rsidRPr="00ED295A" w:rsidRDefault="00ED295A" w:rsidP="00ED295A">
      <w:pPr>
        <w:tabs>
          <w:tab w:val="left" w:pos="720"/>
        </w:tabs>
        <w:spacing w:after="120"/>
        <w:jc w:val="both"/>
        <w:rPr>
          <w:b/>
          <w:i/>
          <w:sz w:val="22"/>
          <w:szCs w:val="22"/>
        </w:rPr>
      </w:pPr>
      <w:r w:rsidRPr="00ED295A">
        <w:rPr>
          <w:b/>
          <w:i/>
          <w:sz w:val="22"/>
          <w:szCs w:val="22"/>
        </w:rPr>
        <w:t>Collation of regionally comparable information and data</w:t>
      </w:r>
    </w:p>
    <w:p w14:paraId="119926CF" w14:textId="77777777" w:rsidR="00160E78" w:rsidRDefault="00ED295A" w:rsidP="00ED295A">
      <w:pPr>
        <w:numPr>
          <w:ilvl w:val="0"/>
          <w:numId w:val="3"/>
        </w:numPr>
        <w:spacing w:after="120"/>
        <w:ind w:left="0" w:firstLine="0"/>
        <w:jc w:val="both"/>
        <w:rPr>
          <w:sz w:val="22"/>
          <w:szCs w:val="22"/>
          <w:lang w:val="en-GB"/>
        </w:rPr>
      </w:pPr>
      <w:r w:rsidRPr="00ED295A">
        <w:rPr>
          <w:sz w:val="22"/>
          <w:szCs w:val="22"/>
          <w:lang w:val="en-GB"/>
        </w:rPr>
        <w:t xml:space="preserve">Given the complexity of the information required to inform decision-making, several RWGs requested that a workshop be convened to develop formats for the collation of information and data. A workshop was subsequently convened in Bangkok, Thailand, during </w:t>
      </w:r>
      <w:r w:rsidR="00227D0D">
        <w:rPr>
          <w:sz w:val="22"/>
          <w:szCs w:val="22"/>
          <w:lang w:val="en-GB"/>
        </w:rPr>
        <w:t>the early phase of SAP formulation</w:t>
      </w:r>
      <w:r w:rsidRPr="00ED295A">
        <w:rPr>
          <w:sz w:val="22"/>
          <w:szCs w:val="22"/>
          <w:lang w:val="en-GB"/>
        </w:rPr>
        <w:t xml:space="preserve"> and </w:t>
      </w:r>
      <w:r w:rsidR="00227D0D">
        <w:rPr>
          <w:sz w:val="22"/>
          <w:szCs w:val="22"/>
          <w:lang w:val="en-GB"/>
        </w:rPr>
        <w:t xml:space="preserve">was </w:t>
      </w:r>
      <w:r w:rsidRPr="00ED295A">
        <w:rPr>
          <w:sz w:val="22"/>
          <w:szCs w:val="22"/>
          <w:lang w:val="en-GB"/>
        </w:rPr>
        <w:t>attended by country nominated experts, observers, and representatives of the Southeast Asia regional centre of the Global Change System for Analysis, Research and Training (SEA START RC), and the Project Coordinating Unit (PCU). This workshop developed detailed questionnaire templates for the compilation of information and data required to characterize known habitat sites and fisheries of national, regional and global significance in the South China Sea, and provide a basis for the analysis of the local and regional impacts of land-based pollution (UNEP, 2002b).</w:t>
      </w:r>
    </w:p>
    <w:p w14:paraId="3B7292F7" w14:textId="77777777" w:rsidR="00ED295A" w:rsidRDefault="00ED295A" w:rsidP="00ED295A">
      <w:pPr>
        <w:numPr>
          <w:ilvl w:val="0"/>
          <w:numId w:val="3"/>
        </w:numPr>
        <w:spacing w:after="120"/>
        <w:ind w:left="0" w:firstLine="0"/>
        <w:jc w:val="both"/>
        <w:rPr>
          <w:sz w:val="22"/>
          <w:szCs w:val="22"/>
        </w:rPr>
      </w:pPr>
      <w:r w:rsidRPr="0075452E">
        <w:rPr>
          <w:sz w:val="22"/>
          <w:szCs w:val="22"/>
        </w:rPr>
        <w:t>The habitat questionnaire t</w:t>
      </w:r>
      <w:r>
        <w:rPr>
          <w:sz w:val="22"/>
          <w:szCs w:val="22"/>
        </w:rPr>
        <w:t xml:space="preserve">emplates provided a common tool </w:t>
      </w:r>
      <w:r w:rsidRPr="0075452E">
        <w:rPr>
          <w:sz w:val="22"/>
          <w:szCs w:val="22"/>
        </w:rPr>
        <w:t xml:space="preserve">for the development of </w:t>
      </w:r>
      <w:r w:rsidR="002A5CB4">
        <w:rPr>
          <w:sz w:val="22"/>
          <w:szCs w:val="22"/>
        </w:rPr>
        <w:t xml:space="preserve">regionally </w:t>
      </w:r>
      <w:r w:rsidRPr="0075452E">
        <w:rPr>
          <w:sz w:val="22"/>
          <w:szCs w:val="22"/>
        </w:rPr>
        <w:t>comparabl</w:t>
      </w:r>
      <w:r>
        <w:rPr>
          <w:sz w:val="22"/>
          <w:szCs w:val="22"/>
        </w:rPr>
        <w:t xml:space="preserve">e national data and information </w:t>
      </w:r>
      <w:r w:rsidRPr="0075452E">
        <w:rPr>
          <w:sz w:val="22"/>
          <w:szCs w:val="22"/>
        </w:rPr>
        <w:t xml:space="preserve">sets relating to </w:t>
      </w:r>
      <w:r w:rsidRPr="00A73AC1">
        <w:rPr>
          <w:i/>
          <w:sz w:val="22"/>
          <w:szCs w:val="22"/>
        </w:rPr>
        <w:t>inter alia</w:t>
      </w:r>
      <w:r w:rsidRPr="0075452E">
        <w:rPr>
          <w:sz w:val="22"/>
          <w:szCs w:val="22"/>
        </w:rPr>
        <w:t xml:space="preserve"> the distri</w:t>
      </w:r>
      <w:r>
        <w:rPr>
          <w:sz w:val="22"/>
          <w:szCs w:val="22"/>
        </w:rPr>
        <w:t xml:space="preserve">bution and diversity of coastal </w:t>
      </w:r>
      <w:r w:rsidRPr="0075452E">
        <w:rPr>
          <w:sz w:val="22"/>
          <w:szCs w:val="22"/>
        </w:rPr>
        <w:t>habitats, the richness of habitat b</w:t>
      </w:r>
      <w:r>
        <w:rPr>
          <w:sz w:val="22"/>
          <w:szCs w:val="22"/>
        </w:rPr>
        <w:t xml:space="preserve">uilding species and hotspots of </w:t>
      </w:r>
      <w:r w:rsidRPr="0075452E">
        <w:rPr>
          <w:sz w:val="22"/>
          <w:szCs w:val="22"/>
        </w:rPr>
        <w:t>biodiv</w:t>
      </w:r>
      <w:r>
        <w:rPr>
          <w:sz w:val="22"/>
          <w:szCs w:val="22"/>
        </w:rPr>
        <w:t>ersity, present threats</w:t>
      </w:r>
      <w:r w:rsidR="002A5CB4">
        <w:rPr>
          <w:sz w:val="22"/>
          <w:szCs w:val="22"/>
        </w:rPr>
        <w:t>,</w:t>
      </w:r>
      <w:r>
        <w:rPr>
          <w:sz w:val="22"/>
          <w:szCs w:val="22"/>
        </w:rPr>
        <w:t xml:space="preserve"> and the status of management</w:t>
      </w:r>
      <w:r w:rsidR="002A5CB4">
        <w:rPr>
          <w:sz w:val="22"/>
          <w:szCs w:val="22"/>
        </w:rPr>
        <w:t xml:space="preserve"> and socio-economic circumstances at the sites</w:t>
      </w:r>
      <w:r>
        <w:rPr>
          <w:sz w:val="22"/>
          <w:szCs w:val="22"/>
        </w:rPr>
        <w:t xml:space="preserve">. The </w:t>
      </w:r>
      <w:r w:rsidRPr="0075452E">
        <w:rPr>
          <w:sz w:val="22"/>
          <w:szCs w:val="22"/>
        </w:rPr>
        <w:t>questionnaires for fisheries focused on</w:t>
      </w:r>
      <w:r>
        <w:rPr>
          <w:sz w:val="22"/>
          <w:szCs w:val="22"/>
        </w:rPr>
        <w:t xml:space="preserve"> the compilation of information </w:t>
      </w:r>
      <w:r w:rsidRPr="0075452E">
        <w:rPr>
          <w:sz w:val="22"/>
          <w:szCs w:val="22"/>
        </w:rPr>
        <w:t>and data on landings and fish</w:t>
      </w:r>
      <w:r>
        <w:rPr>
          <w:sz w:val="22"/>
          <w:szCs w:val="22"/>
        </w:rPr>
        <w:t xml:space="preserve">ing effort by fishing gear type </w:t>
      </w:r>
      <w:r w:rsidRPr="0075452E">
        <w:rPr>
          <w:sz w:val="22"/>
          <w:szCs w:val="22"/>
        </w:rPr>
        <w:t>and administrative units, the contribu</w:t>
      </w:r>
      <w:r>
        <w:rPr>
          <w:sz w:val="22"/>
          <w:szCs w:val="22"/>
        </w:rPr>
        <w:t xml:space="preserve">tion of the fisheries sector to </w:t>
      </w:r>
      <w:r w:rsidRPr="0075452E">
        <w:rPr>
          <w:sz w:val="22"/>
          <w:szCs w:val="22"/>
        </w:rPr>
        <w:t>employment and food security, identification of species of r</w:t>
      </w:r>
      <w:r>
        <w:rPr>
          <w:sz w:val="22"/>
          <w:szCs w:val="22"/>
        </w:rPr>
        <w:t xml:space="preserve">egional, global </w:t>
      </w:r>
      <w:r w:rsidRPr="0075452E">
        <w:rPr>
          <w:sz w:val="22"/>
          <w:szCs w:val="22"/>
        </w:rPr>
        <w:t>and/or transboundary signifi</w:t>
      </w:r>
      <w:r>
        <w:rPr>
          <w:sz w:val="22"/>
          <w:szCs w:val="22"/>
        </w:rPr>
        <w:t xml:space="preserve">cance, areas of significance to </w:t>
      </w:r>
      <w:r w:rsidRPr="0075452E">
        <w:rPr>
          <w:sz w:val="22"/>
          <w:szCs w:val="22"/>
        </w:rPr>
        <w:t>the maintenance of exploited fish stoc</w:t>
      </w:r>
      <w:r>
        <w:rPr>
          <w:sz w:val="22"/>
          <w:szCs w:val="22"/>
        </w:rPr>
        <w:t xml:space="preserve">ks, and threats to those areas. </w:t>
      </w:r>
      <w:r w:rsidRPr="0075452E">
        <w:rPr>
          <w:sz w:val="22"/>
          <w:szCs w:val="22"/>
        </w:rPr>
        <w:t>The land-based pollution questio</w:t>
      </w:r>
      <w:r>
        <w:rPr>
          <w:sz w:val="22"/>
          <w:szCs w:val="22"/>
        </w:rPr>
        <w:t xml:space="preserve">nnaire was directed towards the </w:t>
      </w:r>
      <w:r w:rsidRPr="0075452E">
        <w:rPr>
          <w:sz w:val="22"/>
          <w:szCs w:val="22"/>
        </w:rPr>
        <w:t>compilation of information from monitoring sta</w:t>
      </w:r>
      <w:r>
        <w:rPr>
          <w:sz w:val="22"/>
          <w:szCs w:val="22"/>
        </w:rPr>
        <w:t xml:space="preserve">tions in the South China Sea, on coastal impacts, </w:t>
      </w:r>
      <w:r w:rsidRPr="0075452E">
        <w:rPr>
          <w:sz w:val="22"/>
          <w:szCs w:val="22"/>
        </w:rPr>
        <w:t>i</w:t>
      </w:r>
      <w:r>
        <w:rPr>
          <w:sz w:val="22"/>
          <w:szCs w:val="22"/>
        </w:rPr>
        <w:t xml:space="preserve">ncluding the quality of ambient </w:t>
      </w:r>
      <w:r w:rsidRPr="0075452E">
        <w:rPr>
          <w:sz w:val="22"/>
          <w:szCs w:val="22"/>
        </w:rPr>
        <w:t>water and sediments, human healt</w:t>
      </w:r>
      <w:r>
        <w:rPr>
          <w:sz w:val="22"/>
          <w:szCs w:val="22"/>
        </w:rPr>
        <w:t xml:space="preserve">h impacts and loading data from </w:t>
      </w:r>
      <w:r w:rsidRPr="0075452E">
        <w:rPr>
          <w:sz w:val="22"/>
          <w:szCs w:val="22"/>
        </w:rPr>
        <w:t>various sources.</w:t>
      </w:r>
    </w:p>
    <w:p w14:paraId="357CD750" w14:textId="77777777" w:rsidR="00ED295A" w:rsidRDefault="00ED295A" w:rsidP="00ED295A">
      <w:pPr>
        <w:numPr>
          <w:ilvl w:val="0"/>
          <w:numId w:val="3"/>
        </w:numPr>
        <w:spacing w:after="120"/>
        <w:ind w:left="0" w:firstLine="0"/>
        <w:jc w:val="both"/>
        <w:rPr>
          <w:sz w:val="22"/>
          <w:szCs w:val="22"/>
        </w:rPr>
      </w:pPr>
      <w:r w:rsidRPr="0075452E">
        <w:rPr>
          <w:sz w:val="22"/>
          <w:szCs w:val="22"/>
        </w:rPr>
        <w:t>The questionnaires were su</w:t>
      </w:r>
      <w:r>
        <w:rPr>
          <w:sz w:val="22"/>
          <w:szCs w:val="22"/>
        </w:rPr>
        <w:t xml:space="preserve">bsequently reviewed and amended </w:t>
      </w:r>
      <w:r w:rsidRPr="0075452E">
        <w:rPr>
          <w:sz w:val="22"/>
          <w:szCs w:val="22"/>
        </w:rPr>
        <w:t>by meetings of the RWGs. For exa</w:t>
      </w:r>
      <w:r>
        <w:rPr>
          <w:sz w:val="22"/>
          <w:szCs w:val="22"/>
        </w:rPr>
        <w:t xml:space="preserve">mple, the second meeting of the </w:t>
      </w:r>
      <w:r w:rsidRPr="0075452E">
        <w:rPr>
          <w:sz w:val="22"/>
          <w:szCs w:val="22"/>
        </w:rPr>
        <w:t>RWG on mangroves discussed and a</w:t>
      </w:r>
      <w:r>
        <w:rPr>
          <w:sz w:val="22"/>
          <w:szCs w:val="22"/>
        </w:rPr>
        <w:t>greed on the list of obligate</w:t>
      </w:r>
      <w:r>
        <w:rPr>
          <w:rStyle w:val="FootnoteReference"/>
          <w:sz w:val="22"/>
          <w:szCs w:val="22"/>
        </w:rPr>
        <w:footnoteReference w:id="20"/>
      </w:r>
      <w:r>
        <w:rPr>
          <w:sz w:val="22"/>
          <w:szCs w:val="22"/>
        </w:rPr>
        <w:t xml:space="preserve"> </w:t>
      </w:r>
      <w:r w:rsidRPr="0075452E">
        <w:rPr>
          <w:sz w:val="22"/>
          <w:szCs w:val="22"/>
        </w:rPr>
        <w:t>and associated mangrove species t</w:t>
      </w:r>
      <w:r>
        <w:rPr>
          <w:sz w:val="22"/>
          <w:szCs w:val="22"/>
        </w:rPr>
        <w:t xml:space="preserve">hat would be used as indicators </w:t>
      </w:r>
      <w:r w:rsidRPr="0075452E">
        <w:rPr>
          <w:sz w:val="22"/>
          <w:szCs w:val="22"/>
        </w:rPr>
        <w:t>of bi</w:t>
      </w:r>
      <w:r>
        <w:rPr>
          <w:sz w:val="22"/>
          <w:szCs w:val="22"/>
        </w:rPr>
        <w:t xml:space="preserve">odiversity during </w:t>
      </w:r>
      <w:r w:rsidRPr="0075452E">
        <w:rPr>
          <w:sz w:val="22"/>
          <w:szCs w:val="22"/>
        </w:rPr>
        <w:t>site c</w:t>
      </w:r>
      <w:r>
        <w:rPr>
          <w:sz w:val="22"/>
          <w:szCs w:val="22"/>
        </w:rPr>
        <w:t xml:space="preserve">haracterisations (UNEP, 2002c). </w:t>
      </w:r>
      <w:r w:rsidRPr="0075452E">
        <w:rPr>
          <w:sz w:val="22"/>
          <w:szCs w:val="22"/>
        </w:rPr>
        <w:t>The corresponding meeting of</w:t>
      </w:r>
      <w:r>
        <w:rPr>
          <w:sz w:val="22"/>
          <w:szCs w:val="22"/>
        </w:rPr>
        <w:t xml:space="preserve"> the RWG on seagrass considered </w:t>
      </w:r>
      <w:r w:rsidRPr="0075452E">
        <w:rPr>
          <w:sz w:val="22"/>
          <w:szCs w:val="22"/>
        </w:rPr>
        <w:t>questionnaire fields relating to ext</w:t>
      </w:r>
      <w:r>
        <w:rPr>
          <w:sz w:val="22"/>
          <w:szCs w:val="22"/>
        </w:rPr>
        <w:t xml:space="preserve">ractive and non-extractive uses of seagrass resources and the </w:t>
      </w:r>
      <w:r w:rsidRPr="0075452E">
        <w:rPr>
          <w:sz w:val="22"/>
          <w:szCs w:val="22"/>
        </w:rPr>
        <w:t>ecolog</w:t>
      </w:r>
      <w:r>
        <w:rPr>
          <w:sz w:val="22"/>
          <w:szCs w:val="22"/>
        </w:rPr>
        <w:t xml:space="preserve">ical function of seagrass beds. </w:t>
      </w:r>
      <w:r w:rsidRPr="0075452E">
        <w:rPr>
          <w:sz w:val="22"/>
          <w:szCs w:val="22"/>
        </w:rPr>
        <w:t>The RWG-SG deemed it nece</w:t>
      </w:r>
      <w:r>
        <w:rPr>
          <w:sz w:val="22"/>
          <w:szCs w:val="22"/>
        </w:rPr>
        <w:t xml:space="preserve">ssary to include these economic valuation </w:t>
      </w:r>
      <w:r w:rsidRPr="0075452E">
        <w:rPr>
          <w:sz w:val="22"/>
          <w:szCs w:val="22"/>
        </w:rPr>
        <w:t>characteristics in the lists o</w:t>
      </w:r>
      <w:r>
        <w:rPr>
          <w:sz w:val="22"/>
          <w:szCs w:val="22"/>
        </w:rPr>
        <w:t xml:space="preserve">f data and information required </w:t>
      </w:r>
      <w:r w:rsidRPr="0075452E">
        <w:rPr>
          <w:sz w:val="22"/>
          <w:szCs w:val="22"/>
        </w:rPr>
        <w:t>for the identification and characterisation of seagrass sites. This</w:t>
      </w:r>
      <w:r>
        <w:rPr>
          <w:sz w:val="22"/>
          <w:szCs w:val="22"/>
        </w:rPr>
        <w:t xml:space="preserve"> was </w:t>
      </w:r>
      <w:r w:rsidRPr="0075452E">
        <w:rPr>
          <w:sz w:val="22"/>
          <w:szCs w:val="22"/>
        </w:rPr>
        <w:t>required to evaluate the potential benefits and costs of man</w:t>
      </w:r>
      <w:r>
        <w:rPr>
          <w:sz w:val="22"/>
          <w:szCs w:val="22"/>
        </w:rPr>
        <w:t xml:space="preserve">agement </w:t>
      </w:r>
      <w:r w:rsidRPr="0075452E">
        <w:rPr>
          <w:sz w:val="22"/>
          <w:szCs w:val="22"/>
        </w:rPr>
        <w:t>action versus a no</w:t>
      </w:r>
      <w:r>
        <w:rPr>
          <w:sz w:val="22"/>
          <w:szCs w:val="22"/>
        </w:rPr>
        <w:t xml:space="preserve"> action scenario (UNEP, 2002d). </w:t>
      </w:r>
    </w:p>
    <w:p w14:paraId="115CD9C7" w14:textId="77777777" w:rsidR="00ED295A" w:rsidRDefault="00ED295A" w:rsidP="00ED295A">
      <w:pPr>
        <w:numPr>
          <w:ilvl w:val="0"/>
          <w:numId w:val="3"/>
        </w:numPr>
        <w:spacing w:after="120"/>
        <w:ind w:left="0" w:firstLine="0"/>
        <w:jc w:val="both"/>
        <w:rPr>
          <w:sz w:val="22"/>
          <w:szCs w:val="22"/>
        </w:rPr>
      </w:pPr>
      <w:r w:rsidRPr="0075452E">
        <w:rPr>
          <w:sz w:val="22"/>
          <w:szCs w:val="22"/>
        </w:rPr>
        <w:t>Similar</w:t>
      </w:r>
      <w:r>
        <w:rPr>
          <w:sz w:val="22"/>
          <w:szCs w:val="22"/>
        </w:rPr>
        <w:t xml:space="preserve">ly, in considering the regional formats for collecting </w:t>
      </w:r>
      <w:r w:rsidRPr="0075452E">
        <w:rPr>
          <w:sz w:val="22"/>
          <w:szCs w:val="22"/>
        </w:rPr>
        <w:t>water quality data and informati</w:t>
      </w:r>
      <w:r>
        <w:rPr>
          <w:sz w:val="22"/>
          <w:szCs w:val="22"/>
        </w:rPr>
        <w:t xml:space="preserve">on, the RWG-LbP agreed that the </w:t>
      </w:r>
      <w:r w:rsidRPr="0075452E">
        <w:rPr>
          <w:sz w:val="22"/>
          <w:szCs w:val="22"/>
        </w:rPr>
        <w:t>ASEAN water quality criteria b</w:t>
      </w:r>
      <w:r>
        <w:rPr>
          <w:sz w:val="22"/>
          <w:szCs w:val="22"/>
        </w:rPr>
        <w:t xml:space="preserve">e applied, which resulted in an </w:t>
      </w:r>
      <w:r w:rsidRPr="0075452E">
        <w:rPr>
          <w:sz w:val="22"/>
          <w:szCs w:val="22"/>
        </w:rPr>
        <w:t>agreed list used by all countrie</w:t>
      </w:r>
      <w:r>
        <w:rPr>
          <w:sz w:val="22"/>
          <w:szCs w:val="22"/>
        </w:rPr>
        <w:t xml:space="preserve">s. The RWG also agreed that the </w:t>
      </w:r>
      <w:r w:rsidRPr="0075452E">
        <w:rPr>
          <w:sz w:val="22"/>
          <w:szCs w:val="22"/>
        </w:rPr>
        <w:t>standards for sediment samples</w:t>
      </w:r>
      <w:r>
        <w:rPr>
          <w:sz w:val="22"/>
          <w:szCs w:val="22"/>
        </w:rPr>
        <w:t xml:space="preserve"> and biological samples used in </w:t>
      </w:r>
      <w:r w:rsidRPr="0075452E">
        <w:rPr>
          <w:sz w:val="22"/>
          <w:szCs w:val="22"/>
        </w:rPr>
        <w:t>China, which were the only criter</w:t>
      </w:r>
      <w:r>
        <w:rPr>
          <w:sz w:val="22"/>
          <w:szCs w:val="22"/>
        </w:rPr>
        <w:t xml:space="preserve">ia adopted in the participating </w:t>
      </w:r>
      <w:r w:rsidRPr="0075452E">
        <w:rPr>
          <w:sz w:val="22"/>
          <w:szCs w:val="22"/>
        </w:rPr>
        <w:t>countries at that time, would be used as r</w:t>
      </w:r>
      <w:r>
        <w:rPr>
          <w:sz w:val="22"/>
          <w:szCs w:val="22"/>
        </w:rPr>
        <w:t xml:space="preserve">egional criteria for comparison </w:t>
      </w:r>
      <w:r w:rsidRPr="0075452E">
        <w:rPr>
          <w:sz w:val="22"/>
          <w:szCs w:val="22"/>
        </w:rPr>
        <w:t>with other relevant data</w:t>
      </w:r>
      <w:r>
        <w:rPr>
          <w:sz w:val="22"/>
          <w:szCs w:val="22"/>
        </w:rPr>
        <w:t xml:space="preserve"> and information (UNEP, 2002e).  </w:t>
      </w:r>
      <w:r w:rsidRPr="0075452E">
        <w:rPr>
          <w:sz w:val="22"/>
          <w:szCs w:val="22"/>
        </w:rPr>
        <w:t xml:space="preserve">The second meeting of the RSTC </w:t>
      </w:r>
      <w:r>
        <w:rPr>
          <w:sz w:val="22"/>
          <w:szCs w:val="22"/>
        </w:rPr>
        <w:t xml:space="preserve">considered the discussions held </w:t>
      </w:r>
      <w:r w:rsidRPr="0075452E">
        <w:rPr>
          <w:sz w:val="22"/>
          <w:szCs w:val="22"/>
        </w:rPr>
        <w:t>during preceding meetings of the RWGs on the questionnaires and</w:t>
      </w:r>
      <w:r>
        <w:rPr>
          <w:sz w:val="22"/>
          <w:szCs w:val="22"/>
        </w:rPr>
        <w:t xml:space="preserve"> </w:t>
      </w:r>
      <w:r w:rsidRPr="0075452E">
        <w:rPr>
          <w:sz w:val="22"/>
          <w:szCs w:val="22"/>
        </w:rPr>
        <w:t>urged the project’s National Techni</w:t>
      </w:r>
      <w:r>
        <w:rPr>
          <w:sz w:val="22"/>
          <w:szCs w:val="22"/>
        </w:rPr>
        <w:t xml:space="preserve">cal Focal Points to ensure that </w:t>
      </w:r>
      <w:r w:rsidRPr="0075452E">
        <w:rPr>
          <w:sz w:val="22"/>
          <w:szCs w:val="22"/>
        </w:rPr>
        <w:t>coordination and cooperation amon</w:t>
      </w:r>
      <w:r>
        <w:rPr>
          <w:sz w:val="22"/>
          <w:szCs w:val="22"/>
        </w:rPr>
        <w:t xml:space="preserve">g the various national sectoral </w:t>
      </w:r>
      <w:r w:rsidRPr="0075452E">
        <w:rPr>
          <w:sz w:val="22"/>
          <w:szCs w:val="22"/>
        </w:rPr>
        <w:t>agencies in the compilation of thi</w:t>
      </w:r>
      <w:r>
        <w:rPr>
          <w:sz w:val="22"/>
          <w:szCs w:val="22"/>
        </w:rPr>
        <w:t xml:space="preserve">s data was facilitated and that </w:t>
      </w:r>
      <w:r w:rsidRPr="0075452E">
        <w:rPr>
          <w:sz w:val="22"/>
          <w:szCs w:val="22"/>
        </w:rPr>
        <w:t xml:space="preserve">corresponding activities be included in the work plans of </w:t>
      </w:r>
      <w:r>
        <w:rPr>
          <w:sz w:val="22"/>
          <w:szCs w:val="22"/>
        </w:rPr>
        <w:t xml:space="preserve">the national </w:t>
      </w:r>
      <w:r w:rsidRPr="0075452E">
        <w:rPr>
          <w:sz w:val="22"/>
          <w:szCs w:val="22"/>
        </w:rPr>
        <w:t>committees and technical working groups (UNEP, 2002f).</w:t>
      </w:r>
      <w:r>
        <w:rPr>
          <w:sz w:val="22"/>
          <w:szCs w:val="22"/>
        </w:rPr>
        <w:t xml:space="preserve"> </w:t>
      </w:r>
    </w:p>
    <w:p w14:paraId="321B663C" w14:textId="77777777" w:rsidR="00ED295A" w:rsidRPr="00ED295A" w:rsidRDefault="00ED295A" w:rsidP="00ED295A">
      <w:pPr>
        <w:spacing w:after="120"/>
        <w:jc w:val="both"/>
        <w:rPr>
          <w:b/>
          <w:i/>
          <w:sz w:val="22"/>
          <w:szCs w:val="22"/>
        </w:rPr>
      </w:pPr>
      <w:r>
        <w:rPr>
          <w:b/>
          <w:i/>
          <w:sz w:val="22"/>
          <w:szCs w:val="22"/>
        </w:rPr>
        <w:t>Initiating the development of a regional meta-database</w:t>
      </w:r>
    </w:p>
    <w:p w14:paraId="602DD573" w14:textId="77777777" w:rsidR="00ED295A" w:rsidRDefault="00ED295A" w:rsidP="00ED295A">
      <w:pPr>
        <w:numPr>
          <w:ilvl w:val="0"/>
          <w:numId w:val="3"/>
        </w:numPr>
        <w:tabs>
          <w:tab w:val="clear" w:pos="720"/>
          <w:tab w:val="num" w:pos="900"/>
        </w:tabs>
        <w:spacing w:after="120"/>
        <w:ind w:left="0" w:firstLine="0"/>
        <w:jc w:val="both"/>
        <w:rPr>
          <w:sz w:val="22"/>
          <w:szCs w:val="22"/>
          <w:lang w:val="en-GB"/>
        </w:rPr>
      </w:pPr>
      <w:r w:rsidRPr="00ED295A">
        <w:rPr>
          <w:sz w:val="22"/>
          <w:szCs w:val="22"/>
          <w:lang w:val="en-GB"/>
        </w:rPr>
        <w:t xml:space="preserve">It was also recognised by the RWGs and the RSTC that, while many valuable data sets on coastal habitats, fisheries and land-based pollution had been previously developed in the participating countries, access to, and the sharing of, this information was often limited. Contributing to such limitations were weak data management systems in most countries, coupled with limited interaction and communication among sectors, such as between environment and fisheries departments. </w:t>
      </w:r>
      <w:r w:rsidR="00C51D53">
        <w:rPr>
          <w:sz w:val="22"/>
          <w:szCs w:val="22"/>
          <w:lang w:val="en-GB"/>
        </w:rPr>
        <w:t>This issue was considered and</w:t>
      </w:r>
      <w:r w:rsidRPr="00ED295A">
        <w:rPr>
          <w:sz w:val="22"/>
          <w:szCs w:val="22"/>
          <w:lang w:val="en-GB"/>
        </w:rPr>
        <w:t xml:space="preserve"> a regional meta-database entry form for the compilation of meta-data in relation to existing data sets</w:t>
      </w:r>
      <w:r w:rsidR="00C51D53">
        <w:rPr>
          <w:sz w:val="22"/>
          <w:szCs w:val="22"/>
          <w:lang w:val="en-GB"/>
        </w:rPr>
        <w:t xml:space="preserve"> was prepared</w:t>
      </w:r>
      <w:r w:rsidRPr="00ED295A">
        <w:rPr>
          <w:sz w:val="22"/>
          <w:szCs w:val="22"/>
          <w:lang w:val="en-GB"/>
        </w:rPr>
        <w:t xml:space="preserve"> (UNEP, 2002b). It was envisaged that a catalogue of metadata would then be made available to the project network with the aim of improving the sharing of information about data sets. The meta-data would include, for example, summary level information about the spatial and temporal coverage of data, contact details for the organisation or individual holding it, and any access limitations that might apply.</w:t>
      </w:r>
    </w:p>
    <w:p w14:paraId="59628BD2" w14:textId="77777777" w:rsidR="00ED295A" w:rsidRPr="00160E78" w:rsidRDefault="00ED295A" w:rsidP="00ED295A">
      <w:pPr>
        <w:numPr>
          <w:ilvl w:val="3"/>
          <w:numId w:val="2"/>
        </w:numPr>
        <w:spacing w:after="120"/>
        <w:outlineLvl w:val="1"/>
        <w:rPr>
          <w:b/>
          <w:sz w:val="22"/>
          <w:szCs w:val="22"/>
          <w:lang w:val="en-GB"/>
        </w:rPr>
      </w:pPr>
      <w:r>
        <w:rPr>
          <w:b/>
          <w:sz w:val="22"/>
          <w:szCs w:val="22"/>
          <w:lang w:val="en-GB"/>
        </w:rPr>
        <w:t>Importance of the project management framework</w:t>
      </w:r>
    </w:p>
    <w:p w14:paraId="349AD879" w14:textId="77777777" w:rsidR="00ED295A" w:rsidRDefault="005205CA" w:rsidP="005205CA">
      <w:pPr>
        <w:numPr>
          <w:ilvl w:val="0"/>
          <w:numId w:val="3"/>
        </w:numPr>
        <w:spacing w:after="120"/>
        <w:ind w:left="0" w:firstLine="0"/>
        <w:jc w:val="both"/>
        <w:rPr>
          <w:sz w:val="22"/>
          <w:szCs w:val="22"/>
          <w:lang w:val="en-GB"/>
        </w:rPr>
      </w:pPr>
      <w:r w:rsidRPr="005205CA">
        <w:rPr>
          <w:sz w:val="22"/>
          <w:szCs w:val="22"/>
          <w:lang w:val="en-GB"/>
        </w:rPr>
        <w:t>The project management framework</w:t>
      </w:r>
      <w:r>
        <w:rPr>
          <w:sz w:val="22"/>
          <w:szCs w:val="22"/>
          <w:lang w:val="en-GB"/>
        </w:rPr>
        <w:t xml:space="preserve"> for the SCS project</w:t>
      </w:r>
      <w:r w:rsidRPr="005205CA">
        <w:rPr>
          <w:sz w:val="22"/>
          <w:szCs w:val="22"/>
          <w:lang w:val="en-GB"/>
        </w:rPr>
        <w:t xml:space="preserve"> emphasised and fostered stakeholder participation in information collection in several ways. The opportunity for groups of specialists from each country to meet together was the simplest. Through the various national and regional committees, specialists met not just as individuals but as representatives of the community of specialists in their country. Hence, the project management framework served as a conduit for the exchange of ideas and information in two directions: upward from the national to the regional and downward from the regional to the national.</w:t>
      </w:r>
    </w:p>
    <w:p w14:paraId="336F63FD" w14:textId="77777777" w:rsidR="005205CA" w:rsidRPr="00512FBB" w:rsidRDefault="005205CA" w:rsidP="005205CA">
      <w:pPr>
        <w:numPr>
          <w:ilvl w:val="0"/>
          <w:numId w:val="3"/>
        </w:numPr>
        <w:spacing w:after="120"/>
        <w:ind w:left="0" w:firstLine="0"/>
        <w:jc w:val="both"/>
        <w:rPr>
          <w:sz w:val="22"/>
          <w:szCs w:val="22"/>
        </w:rPr>
      </w:pPr>
      <w:r w:rsidRPr="00512FBB">
        <w:rPr>
          <w:sz w:val="22"/>
          <w:szCs w:val="22"/>
        </w:rPr>
        <w:t>The National Commit</w:t>
      </w:r>
      <w:r>
        <w:rPr>
          <w:sz w:val="22"/>
          <w:szCs w:val="22"/>
        </w:rPr>
        <w:t xml:space="preserve">tees established or revitalized </w:t>
      </w:r>
      <w:r w:rsidRPr="00512FBB">
        <w:rPr>
          <w:sz w:val="22"/>
          <w:szCs w:val="22"/>
        </w:rPr>
        <w:t xml:space="preserve">by each of the </w:t>
      </w:r>
      <w:r>
        <w:rPr>
          <w:sz w:val="22"/>
          <w:szCs w:val="22"/>
        </w:rPr>
        <w:t xml:space="preserve">SEAs for the project components and subcomponents </w:t>
      </w:r>
      <w:r w:rsidRPr="00512FBB">
        <w:rPr>
          <w:sz w:val="22"/>
          <w:szCs w:val="22"/>
        </w:rPr>
        <w:t>provided the special</w:t>
      </w:r>
      <w:r>
        <w:rPr>
          <w:sz w:val="22"/>
          <w:szCs w:val="22"/>
        </w:rPr>
        <w:t xml:space="preserve">ist lower-level forums required </w:t>
      </w:r>
      <w:r w:rsidRPr="00512FBB">
        <w:rPr>
          <w:sz w:val="22"/>
          <w:szCs w:val="22"/>
        </w:rPr>
        <w:t>for the compilation and review of in</w:t>
      </w:r>
      <w:r>
        <w:rPr>
          <w:sz w:val="22"/>
          <w:szCs w:val="22"/>
        </w:rPr>
        <w:t xml:space="preserve">formation and data. As detailed </w:t>
      </w:r>
      <w:r w:rsidRPr="00512FBB">
        <w:rPr>
          <w:sz w:val="22"/>
          <w:szCs w:val="22"/>
        </w:rPr>
        <w:t>by Pernetta and Jiang (2013), too frequ</w:t>
      </w:r>
      <w:r>
        <w:rPr>
          <w:sz w:val="22"/>
          <w:szCs w:val="22"/>
        </w:rPr>
        <w:t xml:space="preserve">ently, large-scale projects, if </w:t>
      </w:r>
      <w:r w:rsidRPr="00512FBB">
        <w:rPr>
          <w:sz w:val="22"/>
          <w:szCs w:val="22"/>
        </w:rPr>
        <w:t>they create any kind of forum for scien</w:t>
      </w:r>
      <w:r>
        <w:rPr>
          <w:sz w:val="22"/>
          <w:szCs w:val="22"/>
        </w:rPr>
        <w:t xml:space="preserve">tific and technical specialists </w:t>
      </w:r>
      <w:r w:rsidRPr="00512FBB">
        <w:rPr>
          <w:sz w:val="22"/>
          <w:szCs w:val="22"/>
        </w:rPr>
        <w:t>to meet, do so in the form of a single body ad</w:t>
      </w:r>
      <w:r>
        <w:rPr>
          <w:sz w:val="22"/>
          <w:szCs w:val="22"/>
        </w:rPr>
        <w:t xml:space="preserve">vising a single political </w:t>
      </w:r>
      <w:r w:rsidRPr="00512FBB">
        <w:rPr>
          <w:sz w:val="22"/>
          <w:szCs w:val="22"/>
        </w:rPr>
        <w:t>decision-maki</w:t>
      </w:r>
      <w:r>
        <w:rPr>
          <w:sz w:val="22"/>
          <w:szCs w:val="22"/>
        </w:rPr>
        <w:t xml:space="preserve">ng body. Limitations in such an approach are rarely </w:t>
      </w:r>
      <w:r w:rsidRPr="00512FBB">
        <w:rPr>
          <w:sz w:val="22"/>
          <w:szCs w:val="22"/>
        </w:rPr>
        <w:t>considered at the project design p</w:t>
      </w:r>
      <w:r>
        <w:rPr>
          <w:sz w:val="22"/>
          <w:szCs w:val="22"/>
        </w:rPr>
        <w:t xml:space="preserve">hase as the range of scientific </w:t>
      </w:r>
      <w:r w:rsidRPr="00512FBB">
        <w:rPr>
          <w:sz w:val="22"/>
          <w:szCs w:val="22"/>
        </w:rPr>
        <w:t xml:space="preserve">information required to provide </w:t>
      </w:r>
      <w:r>
        <w:rPr>
          <w:sz w:val="22"/>
          <w:szCs w:val="22"/>
        </w:rPr>
        <w:t xml:space="preserve">a sound basis for transboundary </w:t>
      </w:r>
      <w:r w:rsidRPr="00512FBB">
        <w:rPr>
          <w:sz w:val="22"/>
          <w:szCs w:val="22"/>
        </w:rPr>
        <w:t>water resource management are not w</w:t>
      </w:r>
      <w:r>
        <w:rPr>
          <w:sz w:val="22"/>
          <w:szCs w:val="22"/>
        </w:rPr>
        <w:t xml:space="preserve">ell known. Conversely, the </w:t>
      </w:r>
      <w:r w:rsidRPr="00512FBB">
        <w:rPr>
          <w:sz w:val="22"/>
          <w:szCs w:val="22"/>
        </w:rPr>
        <w:t>creation of multiple bodies is s</w:t>
      </w:r>
      <w:r>
        <w:rPr>
          <w:sz w:val="22"/>
          <w:szCs w:val="22"/>
        </w:rPr>
        <w:t xml:space="preserve">een as being resource intensive </w:t>
      </w:r>
      <w:r w:rsidRPr="00512FBB">
        <w:rPr>
          <w:sz w:val="22"/>
          <w:szCs w:val="22"/>
        </w:rPr>
        <w:t>whilst providing little value added.</w:t>
      </w:r>
    </w:p>
    <w:p w14:paraId="535BA611" w14:textId="77777777" w:rsidR="006941D1" w:rsidRDefault="005205CA" w:rsidP="00FC7B19">
      <w:pPr>
        <w:numPr>
          <w:ilvl w:val="0"/>
          <w:numId w:val="3"/>
        </w:numPr>
        <w:spacing w:after="120"/>
        <w:ind w:left="0" w:firstLine="0"/>
        <w:jc w:val="both"/>
        <w:rPr>
          <w:sz w:val="22"/>
          <w:szCs w:val="22"/>
        </w:rPr>
      </w:pPr>
      <w:r w:rsidRPr="00512FBB">
        <w:rPr>
          <w:sz w:val="22"/>
          <w:szCs w:val="22"/>
        </w:rPr>
        <w:t xml:space="preserve">A single committee comprising </w:t>
      </w:r>
      <w:r>
        <w:rPr>
          <w:sz w:val="22"/>
          <w:szCs w:val="22"/>
        </w:rPr>
        <w:t xml:space="preserve">coral reef biologists, mangrove </w:t>
      </w:r>
      <w:r w:rsidRPr="00512FBB">
        <w:rPr>
          <w:sz w:val="22"/>
          <w:szCs w:val="22"/>
        </w:rPr>
        <w:t>foresters and seagrass scientists, for example, is unlikely to con</w:t>
      </w:r>
      <w:r>
        <w:rPr>
          <w:sz w:val="22"/>
          <w:szCs w:val="22"/>
        </w:rPr>
        <w:t xml:space="preserve">tain </w:t>
      </w:r>
      <w:r w:rsidRPr="00512FBB">
        <w:rPr>
          <w:sz w:val="22"/>
          <w:szCs w:val="22"/>
        </w:rPr>
        <w:t xml:space="preserve">adequate specialist knowledge with </w:t>
      </w:r>
      <w:r>
        <w:rPr>
          <w:sz w:val="22"/>
          <w:szCs w:val="22"/>
        </w:rPr>
        <w:t xml:space="preserve">respect to each coastal habitat </w:t>
      </w:r>
      <w:r w:rsidRPr="00512FBB">
        <w:rPr>
          <w:sz w:val="22"/>
          <w:szCs w:val="22"/>
        </w:rPr>
        <w:t>type and the implications for manageme</w:t>
      </w:r>
      <w:r>
        <w:rPr>
          <w:sz w:val="22"/>
          <w:szCs w:val="22"/>
        </w:rPr>
        <w:t xml:space="preserve">nt of the varying socioeconomic </w:t>
      </w:r>
      <w:r w:rsidRPr="00512FBB">
        <w:rPr>
          <w:sz w:val="22"/>
          <w:szCs w:val="22"/>
        </w:rPr>
        <w:t xml:space="preserve">and environmental situations </w:t>
      </w:r>
      <w:r>
        <w:rPr>
          <w:sz w:val="22"/>
          <w:szCs w:val="22"/>
        </w:rPr>
        <w:t xml:space="preserve">in all participating countries. </w:t>
      </w:r>
      <w:r w:rsidRPr="00512FBB">
        <w:rPr>
          <w:sz w:val="22"/>
          <w:szCs w:val="22"/>
        </w:rPr>
        <w:t>The nature of the environmental and ecological proces</w:t>
      </w:r>
      <w:r>
        <w:rPr>
          <w:sz w:val="22"/>
          <w:szCs w:val="22"/>
        </w:rPr>
        <w:t xml:space="preserve">ses in </w:t>
      </w:r>
      <w:r w:rsidRPr="00512FBB">
        <w:rPr>
          <w:sz w:val="22"/>
          <w:szCs w:val="22"/>
        </w:rPr>
        <w:t xml:space="preserve">coral reef, mangrove, and seagrass </w:t>
      </w:r>
      <w:r>
        <w:rPr>
          <w:sz w:val="22"/>
          <w:szCs w:val="22"/>
        </w:rPr>
        <w:t xml:space="preserve">systems, the threats they face, </w:t>
      </w:r>
      <w:r w:rsidRPr="00512FBB">
        <w:rPr>
          <w:sz w:val="22"/>
          <w:szCs w:val="22"/>
        </w:rPr>
        <w:t>and t</w:t>
      </w:r>
      <w:r>
        <w:rPr>
          <w:sz w:val="22"/>
          <w:szCs w:val="22"/>
        </w:rPr>
        <w:t xml:space="preserve">he management options for their </w:t>
      </w:r>
      <w:r w:rsidRPr="00512FBB">
        <w:rPr>
          <w:sz w:val="22"/>
          <w:szCs w:val="22"/>
        </w:rPr>
        <w:t>s</w:t>
      </w:r>
      <w:r>
        <w:rPr>
          <w:sz w:val="22"/>
          <w:szCs w:val="22"/>
        </w:rPr>
        <w:t xml:space="preserve">ustainability are fundamentally </w:t>
      </w:r>
      <w:r w:rsidRPr="00512FBB">
        <w:rPr>
          <w:sz w:val="22"/>
          <w:szCs w:val="22"/>
        </w:rPr>
        <w:t>different and, frequently,</w:t>
      </w:r>
      <w:r>
        <w:rPr>
          <w:sz w:val="22"/>
          <w:szCs w:val="22"/>
        </w:rPr>
        <w:t xml:space="preserve"> not part of the shared body of </w:t>
      </w:r>
      <w:r w:rsidRPr="00512FBB">
        <w:rPr>
          <w:sz w:val="22"/>
          <w:szCs w:val="22"/>
        </w:rPr>
        <w:t xml:space="preserve">ecological knowledge. </w:t>
      </w:r>
    </w:p>
    <w:p w14:paraId="7DFECD1D" w14:textId="77777777" w:rsidR="00FC7B19" w:rsidRPr="00FC7B19" w:rsidRDefault="005205CA" w:rsidP="00FC7B19">
      <w:pPr>
        <w:numPr>
          <w:ilvl w:val="0"/>
          <w:numId w:val="3"/>
        </w:numPr>
        <w:spacing w:after="120"/>
        <w:ind w:left="0" w:firstLine="0"/>
        <w:jc w:val="both"/>
        <w:rPr>
          <w:sz w:val="22"/>
          <w:szCs w:val="22"/>
        </w:rPr>
      </w:pPr>
      <w:r w:rsidRPr="00512FBB">
        <w:rPr>
          <w:sz w:val="22"/>
          <w:szCs w:val="22"/>
        </w:rPr>
        <w:t>The establishment of more specialised lower</w:t>
      </w:r>
      <w:r>
        <w:rPr>
          <w:sz w:val="22"/>
          <w:szCs w:val="22"/>
        </w:rPr>
        <w:t xml:space="preserve">-level </w:t>
      </w:r>
      <w:r w:rsidRPr="00512FBB">
        <w:rPr>
          <w:sz w:val="22"/>
          <w:szCs w:val="22"/>
        </w:rPr>
        <w:t>forums, i.e., National Committ</w:t>
      </w:r>
      <w:r>
        <w:rPr>
          <w:sz w:val="22"/>
          <w:szCs w:val="22"/>
        </w:rPr>
        <w:t xml:space="preserve">ees for each project component, </w:t>
      </w:r>
      <w:r w:rsidRPr="00512FBB">
        <w:rPr>
          <w:sz w:val="22"/>
          <w:szCs w:val="22"/>
        </w:rPr>
        <w:t>created opportunities for the consolid</w:t>
      </w:r>
      <w:r>
        <w:rPr>
          <w:sz w:val="22"/>
          <w:szCs w:val="22"/>
        </w:rPr>
        <w:t xml:space="preserve">ation of a wider body of highly </w:t>
      </w:r>
      <w:r w:rsidRPr="00512FBB">
        <w:rPr>
          <w:sz w:val="22"/>
          <w:szCs w:val="22"/>
        </w:rPr>
        <w:t>specialised knowledge and experienc</w:t>
      </w:r>
      <w:r>
        <w:rPr>
          <w:sz w:val="22"/>
          <w:szCs w:val="22"/>
        </w:rPr>
        <w:t xml:space="preserve">e prior to it being shared with </w:t>
      </w:r>
      <w:r w:rsidRPr="00512FBB">
        <w:rPr>
          <w:sz w:val="22"/>
          <w:szCs w:val="22"/>
        </w:rPr>
        <w:t>specialists working on other s</w:t>
      </w:r>
      <w:r>
        <w:rPr>
          <w:sz w:val="22"/>
          <w:szCs w:val="22"/>
        </w:rPr>
        <w:t>ystems. The individual members of th</w:t>
      </w:r>
      <w:r w:rsidRPr="00512FBB">
        <w:rPr>
          <w:sz w:val="22"/>
          <w:szCs w:val="22"/>
        </w:rPr>
        <w:t xml:space="preserve">e National Committees and </w:t>
      </w:r>
      <w:r>
        <w:rPr>
          <w:sz w:val="22"/>
          <w:szCs w:val="22"/>
        </w:rPr>
        <w:t xml:space="preserve">their organisations represented </w:t>
      </w:r>
      <w:r w:rsidRPr="00512FBB">
        <w:rPr>
          <w:sz w:val="22"/>
          <w:szCs w:val="22"/>
        </w:rPr>
        <w:t>a substantial resource of informa</w:t>
      </w:r>
      <w:r>
        <w:rPr>
          <w:sz w:val="22"/>
          <w:szCs w:val="22"/>
        </w:rPr>
        <w:t xml:space="preserve">tion and expertise and, through </w:t>
      </w:r>
      <w:r w:rsidRPr="00512FBB">
        <w:rPr>
          <w:sz w:val="22"/>
          <w:szCs w:val="22"/>
        </w:rPr>
        <w:t>participation in committee me</w:t>
      </w:r>
      <w:r>
        <w:rPr>
          <w:sz w:val="22"/>
          <w:szCs w:val="22"/>
        </w:rPr>
        <w:t xml:space="preserve">etings, this knowledge base was </w:t>
      </w:r>
      <w:r w:rsidRPr="00512FBB">
        <w:rPr>
          <w:sz w:val="22"/>
          <w:szCs w:val="22"/>
        </w:rPr>
        <w:t xml:space="preserve">brought to the table and provided a </w:t>
      </w:r>
      <w:r>
        <w:rPr>
          <w:sz w:val="22"/>
          <w:szCs w:val="22"/>
        </w:rPr>
        <w:t xml:space="preserve">mechanism for broad stakeholder </w:t>
      </w:r>
      <w:r w:rsidRPr="00512FBB">
        <w:rPr>
          <w:sz w:val="22"/>
          <w:szCs w:val="22"/>
        </w:rPr>
        <w:t>participation in informa</w:t>
      </w:r>
      <w:r>
        <w:rPr>
          <w:sz w:val="22"/>
          <w:szCs w:val="22"/>
        </w:rPr>
        <w:t xml:space="preserve">tion base development. All SEAs </w:t>
      </w:r>
      <w:r w:rsidRPr="00512FBB">
        <w:rPr>
          <w:sz w:val="22"/>
          <w:szCs w:val="22"/>
        </w:rPr>
        <w:t>subse</w:t>
      </w:r>
      <w:r>
        <w:rPr>
          <w:sz w:val="22"/>
          <w:szCs w:val="22"/>
        </w:rPr>
        <w:t xml:space="preserve">quently sub-contracted selected </w:t>
      </w:r>
      <w:r w:rsidRPr="00512FBB">
        <w:rPr>
          <w:sz w:val="22"/>
          <w:szCs w:val="22"/>
        </w:rPr>
        <w:t>individ</w:t>
      </w:r>
      <w:r>
        <w:rPr>
          <w:sz w:val="22"/>
          <w:szCs w:val="22"/>
        </w:rPr>
        <w:t xml:space="preserve">uals and national organisations </w:t>
      </w:r>
      <w:r w:rsidRPr="00512FBB">
        <w:rPr>
          <w:sz w:val="22"/>
          <w:szCs w:val="22"/>
        </w:rPr>
        <w:t>represented on thei</w:t>
      </w:r>
      <w:r>
        <w:rPr>
          <w:sz w:val="22"/>
          <w:szCs w:val="22"/>
        </w:rPr>
        <w:t xml:space="preserve">r committees to assist with the </w:t>
      </w:r>
      <w:r w:rsidRPr="00512FBB">
        <w:rPr>
          <w:sz w:val="22"/>
          <w:szCs w:val="22"/>
        </w:rPr>
        <w:t>execution of data-related project activities.</w:t>
      </w:r>
    </w:p>
    <w:p w14:paraId="330FC3CD" w14:textId="77777777" w:rsidR="005205CA" w:rsidRPr="00512FBB" w:rsidRDefault="005205CA" w:rsidP="005205CA">
      <w:pPr>
        <w:numPr>
          <w:ilvl w:val="0"/>
          <w:numId w:val="3"/>
        </w:numPr>
        <w:spacing w:after="120"/>
        <w:ind w:left="0" w:firstLine="0"/>
        <w:jc w:val="both"/>
        <w:rPr>
          <w:sz w:val="22"/>
          <w:szCs w:val="22"/>
        </w:rPr>
      </w:pPr>
      <w:r w:rsidRPr="00512FBB">
        <w:rPr>
          <w:sz w:val="22"/>
          <w:szCs w:val="22"/>
        </w:rPr>
        <w:t xml:space="preserve">The SEAs comprised a diverse </w:t>
      </w:r>
      <w:r>
        <w:rPr>
          <w:sz w:val="22"/>
          <w:szCs w:val="22"/>
        </w:rPr>
        <w:t xml:space="preserve">range of government ministries, </w:t>
      </w:r>
      <w:r w:rsidRPr="00512FBB">
        <w:rPr>
          <w:sz w:val="22"/>
          <w:szCs w:val="22"/>
        </w:rPr>
        <w:t>both ministries of agriculture/fo</w:t>
      </w:r>
      <w:r>
        <w:rPr>
          <w:sz w:val="22"/>
          <w:szCs w:val="22"/>
        </w:rPr>
        <w:t xml:space="preserve">restry/fisheries ministries and </w:t>
      </w:r>
      <w:r w:rsidRPr="00512FBB">
        <w:rPr>
          <w:sz w:val="22"/>
          <w:szCs w:val="22"/>
        </w:rPr>
        <w:t>ministries of natural resources/en</w:t>
      </w:r>
      <w:r>
        <w:rPr>
          <w:sz w:val="22"/>
          <w:szCs w:val="22"/>
        </w:rPr>
        <w:t xml:space="preserve">vironment, as well as specialized </w:t>
      </w:r>
      <w:r w:rsidRPr="00512FBB">
        <w:rPr>
          <w:sz w:val="22"/>
          <w:szCs w:val="22"/>
        </w:rPr>
        <w:t>institutes or centres, universities and</w:t>
      </w:r>
      <w:r>
        <w:rPr>
          <w:sz w:val="22"/>
          <w:szCs w:val="22"/>
        </w:rPr>
        <w:t xml:space="preserve"> non-governmental organisations </w:t>
      </w:r>
      <w:r w:rsidRPr="00512FBB">
        <w:rPr>
          <w:sz w:val="22"/>
          <w:szCs w:val="22"/>
        </w:rPr>
        <w:t>from the seven participat</w:t>
      </w:r>
      <w:r>
        <w:rPr>
          <w:sz w:val="22"/>
          <w:szCs w:val="22"/>
        </w:rPr>
        <w:t xml:space="preserve">ing countries (see Pernetta and </w:t>
      </w:r>
      <w:r w:rsidRPr="00512FBB">
        <w:rPr>
          <w:sz w:val="22"/>
          <w:szCs w:val="22"/>
        </w:rPr>
        <w:t>Jiang, 2013). The blend of SEA type</w:t>
      </w:r>
      <w:r>
        <w:rPr>
          <w:sz w:val="22"/>
          <w:szCs w:val="22"/>
        </w:rPr>
        <w:t xml:space="preserve">s varied by country and project </w:t>
      </w:r>
      <w:r w:rsidRPr="00512FBB">
        <w:rPr>
          <w:sz w:val="22"/>
          <w:szCs w:val="22"/>
        </w:rPr>
        <w:t>component, mainly due to inter</w:t>
      </w:r>
      <w:r>
        <w:rPr>
          <w:sz w:val="22"/>
          <w:szCs w:val="22"/>
        </w:rPr>
        <w:t xml:space="preserve">-country and inter-disciplinary </w:t>
      </w:r>
      <w:r w:rsidRPr="00512FBB">
        <w:rPr>
          <w:sz w:val="22"/>
          <w:szCs w:val="22"/>
        </w:rPr>
        <w:t>differences in the roles and responsibiliti</w:t>
      </w:r>
      <w:r>
        <w:rPr>
          <w:sz w:val="22"/>
          <w:szCs w:val="22"/>
        </w:rPr>
        <w:t xml:space="preserve">es of the types of organization </w:t>
      </w:r>
      <w:r w:rsidRPr="00512FBB">
        <w:rPr>
          <w:sz w:val="22"/>
          <w:szCs w:val="22"/>
        </w:rPr>
        <w:t>in resource and environm</w:t>
      </w:r>
      <w:r>
        <w:rPr>
          <w:sz w:val="22"/>
          <w:szCs w:val="22"/>
        </w:rPr>
        <w:t xml:space="preserve">ental management. For instance, </w:t>
      </w:r>
      <w:r w:rsidRPr="00512FBB">
        <w:rPr>
          <w:sz w:val="22"/>
          <w:szCs w:val="22"/>
        </w:rPr>
        <w:t>in Cambodia, SEAs were deriv</w:t>
      </w:r>
      <w:r>
        <w:rPr>
          <w:sz w:val="22"/>
          <w:szCs w:val="22"/>
        </w:rPr>
        <w:t xml:space="preserve">ed solely from government, with equal representation of the </w:t>
      </w:r>
      <w:r w:rsidRPr="00512FBB">
        <w:rPr>
          <w:sz w:val="22"/>
          <w:szCs w:val="22"/>
        </w:rPr>
        <w:t>agr</w:t>
      </w:r>
      <w:r>
        <w:rPr>
          <w:sz w:val="22"/>
          <w:szCs w:val="22"/>
        </w:rPr>
        <w:t xml:space="preserve">iculture/forestry/fisheries and </w:t>
      </w:r>
      <w:r w:rsidRPr="00512FBB">
        <w:rPr>
          <w:sz w:val="22"/>
          <w:szCs w:val="22"/>
        </w:rPr>
        <w:t>environment ministries. In contra</w:t>
      </w:r>
      <w:r>
        <w:rPr>
          <w:sz w:val="22"/>
          <w:szCs w:val="22"/>
        </w:rPr>
        <w:t xml:space="preserve">st, a diverse mix of government </w:t>
      </w:r>
      <w:r w:rsidRPr="00512FBB">
        <w:rPr>
          <w:sz w:val="22"/>
          <w:szCs w:val="22"/>
        </w:rPr>
        <w:t xml:space="preserve">agencies, specialised institutes </w:t>
      </w:r>
      <w:r>
        <w:rPr>
          <w:sz w:val="22"/>
          <w:szCs w:val="22"/>
        </w:rPr>
        <w:t xml:space="preserve">or centres and non-governmental organisations represented the </w:t>
      </w:r>
      <w:r w:rsidRPr="00512FBB">
        <w:rPr>
          <w:sz w:val="22"/>
          <w:szCs w:val="22"/>
        </w:rPr>
        <w:t>Indo</w:t>
      </w:r>
      <w:r>
        <w:rPr>
          <w:sz w:val="22"/>
          <w:szCs w:val="22"/>
        </w:rPr>
        <w:t xml:space="preserve">nesian SEAs. Half of Thailand’s </w:t>
      </w:r>
      <w:r w:rsidRPr="00512FBB">
        <w:rPr>
          <w:sz w:val="22"/>
          <w:szCs w:val="22"/>
        </w:rPr>
        <w:t>SEAs were universities, largely due</w:t>
      </w:r>
      <w:r>
        <w:rPr>
          <w:sz w:val="22"/>
          <w:szCs w:val="22"/>
        </w:rPr>
        <w:t xml:space="preserve"> to the highly regarded role of </w:t>
      </w:r>
      <w:r w:rsidRPr="00512FBB">
        <w:rPr>
          <w:sz w:val="22"/>
          <w:szCs w:val="22"/>
        </w:rPr>
        <w:t>academia in the science and m</w:t>
      </w:r>
      <w:r>
        <w:rPr>
          <w:sz w:val="22"/>
          <w:szCs w:val="22"/>
        </w:rPr>
        <w:t xml:space="preserve">anagement of coastal and marine </w:t>
      </w:r>
      <w:r w:rsidRPr="00512FBB">
        <w:rPr>
          <w:sz w:val="22"/>
          <w:szCs w:val="22"/>
        </w:rPr>
        <w:t>resources in Thailand.</w:t>
      </w:r>
    </w:p>
    <w:p w14:paraId="7ED76975" w14:textId="77777777" w:rsidR="005205CA" w:rsidRDefault="005205CA" w:rsidP="005205CA">
      <w:pPr>
        <w:numPr>
          <w:ilvl w:val="0"/>
          <w:numId w:val="3"/>
        </w:numPr>
        <w:spacing w:after="120"/>
        <w:ind w:left="0" w:firstLine="0"/>
        <w:jc w:val="both"/>
        <w:rPr>
          <w:sz w:val="22"/>
          <w:szCs w:val="22"/>
        </w:rPr>
      </w:pPr>
      <w:r w:rsidRPr="00512FBB">
        <w:rPr>
          <w:sz w:val="22"/>
          <w:szCs w:val="22"/>
        </w:rPr>
        <w:t>The mix of SEA types also varied w</w:t>
      </w:r>
      <w:r>
        <w:rPr>
          <w:sz w:val="22"/>
          <w:szCs w:val="22"/>
        </w:rPr>
        <w:t xml:space="preserve">idely among project components, </w:t>
      </w:r>
      <w:r w:rsidRPr="00512FBB">
        <w:rPr>
          <w:sz w:val="22"/>
          <w:szCs w:val="22"/>
        </w:rPr>
        <w:t>with the fisheries compo</w:t>
      </w:r>
      <w:r>
        <w:rPr>
          <w:sz w:val="22"/>
          <w:szCs w:val="22"/>
        </w:rPr>
        <w:t xml:space="preserve">nent SEAs represented solely by </w:t>
      </w:r>
      <w:r w:rsidRPr="00512FBB">
        <w:rPr>
          <w:sz w:val="22"/>
          <w:szCs w:val="22"/>
        </w:rPr>
        <w:t>fisheries agencies, while those for t</w:t>
      </w:r>
      <w:r>
        <w:rPr>
          <w:sz w:val="22"/>
          <w:szCs w:val="22"/>
        </w:rPr>
        <w:t xml:space="preserve">he wetlands component comprised </w:t>
      </w:r>
      <w:r w:rsidRPr="00512FBB">
        <w:rPr>
          <w:sz w:val="22"/>
          <w:szCs w:val="22"/>
        </w:rPr>
        <w:t>SEAs from environment ministries, uni</w:t>
      </w:r>
      <w:r>
        <w:rPr>
          <w:sz w:val="22"/>
          <w:szCs w:val="22"/>
        </w:rPr>
        <w:t xml:space="preserve">versities and a nongovernmental </w:t>
      </w:r>
      <w:r w:rsidRPr="00512FBB">
        <w:rPr>
          <w:sz w:val="22"/>
          <w:szCs w:val="22"/>
        </w:rPr>
        <w:t>organisation. The mand</w:t>
      </w:r>
      <w:r>
        <w:rPr>
          <w:sz w:val="22"/>
          <w:szCs w:val="22"/>
        </w:rPr>
        <w:t xml:space="preserve">ates and resource capabilities, </w:t>
      </w:r>
      <w:r w:rsidRPr="00512FBB">
        <w:rPr>
          <w:sz w:val="22"/>
          <w:szCs w:val="22"/>
        </w:rPr>
        <w:t>both human and technical, of ea</w:t>
      </w:r>
      <w:r>
        <w:rPr>
          <w:sz w:val="22"/>
          <w:szCs w:val="22"/>
        </w:rPr>
        <w:t xml:space="preserve">ch of the SEAs varied widely as </w:t>
      </w:r>
      <w:r w:rsidRPr="00512FBB">
        <w:rPr>
          <w:sz w:val="22"/>
          <w:szCs w:val="22"/>
        </w:rPr>
        <w:t>did their respective levels of exper</w:t>
      </w:r>
      <w:r>
        <w:rPr>
          <w:sz w:val="22"/>
          <w:szCs w:val="22"/>
        </w:rPr>
        <w:t xml:space="preserve">ience working in cross-sectoral </w:t>
      </w:r>
      <w:r w:rsidRPr="00512FBB">
        <w:rPr>
          <w:sz w:val="22"/>
          <w:szCs w:val="22"/>
        </w:rPr>
        <w:t>setting</w:t>
      </w:r>
      <w:r>
        <w:rPr>
          <w:sz w:val="22"/>
          <w:szCs w:val="22"/>
        </w:rPr>
        <w:t xml:space="preserve">s and in task management, e.g., preparing ToR for consultants, </w:t>
      </w:r>
      <w:r w:rsidRPr="00512FBB">
        <w:rPr>
          <w:sz w:val="22"/>
          <w:szCs w:val="22"/>
        </w:rPr>
        <w:t>letting contracts and quali</w:t>
      </w:r>
      <w:r>
        <w:rPr>
          <w:sz w:val="22"/>
          <w:szCs w:val="22"/>
        </w:rPr>
        <w:t xml:space="preserve">ty assurance of information and </w:t>
      </w:r>
      <w:r w:rsidRPr="00512FBB">
        <w:rPr>
          <w:sz w:val="22"/>
          <w:szCs w:val="22"/>
        </w:rPr>
        <w:t>data products. The support secured and the experience develo</w:t>
      </w:r>
      <w:r>
        <w:rPr>
          <w:sz w:val="22"/>
          <w:szCs w:val="22"/>
        </w:rPr>
        <w:t xml:space="preserve">ped </w:t>
      </w:r>
      <w:r w:rsidRPr="00512FBB">
        <w:rPr>
          <w:sz w:val="22"/>
          <w:szCs w:val="22"/>
        </w:rPr>
        <w:t>via th</w:t>
      </w:r>
      <w:r>
        <w:rPr>
          <w:sz w:val="22"/>
          <w:szCs w:val="22"/>
        </w:rPr>
        <w:t xml:space="preserve">e sub-contracting of members of national committees was </w:t>
      </w:r>
      <w:r w:rsidRPr="00512FBB">
        <w:rPr>
          <w:sz w:val="22"/>
          <w:szCs w:val="22"/>
        </w:rPr>
        <w:t>a key element of national coordinatio</w:t>
      </w:r>
      <w:r>
        <w:rPr>
          <w:sz w:val="22"/>
          <w:szCs w:val="22"/>
        </w:rPr>
        <w:t xml:space="preserve">n required to ensure successful </w:t>
      </w:r>
      <w:r w:rsidRPr="00512FBB">
        <w:rPr>
          <w:sz w:val="22"/>
          <w:szCs w:val="22"/>
        </w:rPr>
        <w:t>compilation of the necessary information and data.</w:t>
      </w:r>
      <w:r w:rsidR="00FC7B19">
        <w:rPr>
          <w:sz w:val="22"/>
          <w:szCs w:val="22"/>
        </w:rPr>
        <w:t xml:space="preserve"> Figure 2 below presents </w:t>
      </w:r>
      <w:r w:rsidR="00765F0F">
        <w:rPr>
          <w:sz w:val="22"/>
          <w:szCs w:val="22"/>
        </w:rPr>
        <w:t xml:space="preserve">an </w:t>
      </w:r>
      <w:r w:rsidR="00FC7B19">
        <w:rPr>
          <w:sz w:val="22"/>
          <w:szCs w:val="22"/>
        </w:rPr>
        <w:t xml:space="preserve">organogram </w:t>
      </w:r>
      <w:r w:rsidR="00765F0F">
        <w:rPr>
          <w:sz w:val="22"/>
          <w:szCs w:val="22"/>
        </w:rPr>
        <w:t xml:space="preserve">of </w:t>
      </w:r>
      <w:r w:rsidR="00FC7B19">
        <w:rPr>
          <w:sz w:val="22"/>
          <w:szCs w:val="22"/>
        </w:rPr>
        <w:t>the SCS project management framework.</w:t>
      </w:r>
    </w:p>
    <w:p w14:paraId="28F5B37A" w14:textId="161A76BD" w:rsidR="00FC7B19" w:rsidRDefault="000741FA" w:rsidP="00FC7B19">
      <w:pPr>
        <w:spacing w:after="120"/>
        <w:jc w:val="both"/>
        <w:rPr>
          <w:sz w:val="22"/>
          <w:szCs w:val="22"/>
        </w:rPr>
      </w:pPr>
      <w:r>
        <w:rPr>
          <w:noProof/>
          <w:sz w:val="22"/>
          <w:szCs w:val="22"/>
        </w:rPr>
        <w:drawing>
          <wp:inline distT="0" distB="0" distL="0" distR="0" wp14:anchorId="6B84256A" wp14:editId="41AFF36D">
            <wp:extent cx="5753100" cy="29146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3100" cy="2914650"/>
                    </a:xfrm>
                    <a:prstGeom prst="rect">
                      <a:avLst/>
                    </a:prstGeom>
                    <a:noFill/>
                    <a:ln>
                      <a:noFill/>
                    </a:ln>
                  </pic:spPr>
                </pic:pic>
              </a:graphicData>
            </a:graphic>
          </wp:inline>
        </w:drawing>
      </w:r>
    </w:p>
    <w:p w14:paraId="74F32077" w14:textId="77777777" w:rsidR="00FC7B19" w:rsidRPr="00FC7B19" w:rsidRDefault="00FC7B19" w:rsidP="00FC7B19">
      <w:pPr>
        <w:spacing w:after="120"/>
        <w:jc w:val="both"/>
        <w:rPr>
          <w:sz w:val="21"/>
          <w:szCs w:val="21"/>
        </w:rPr>
      </w:pPr>
      <w:r w:rsidRPr="00FC7B19">
        <w:rPr>
          <w:b/>
          <w:sz w:val="21"/>
          <w:szCs w:val="21"/>
        </w:rPr>
        <w:t>Figure 2.</w:t>
      </w:r>
      <w:r>
        <w:rPr>
          <w:sz w:val="21"/>
          <w:szCs w:val="21"/>
        </w:rPr>
        <w:t xml:space="preserve"> </w:t>
      </w:r>
      <w:r w:rsidR="00C51D53">
        <w:rPr>
          <w:sz w:val="21"/>
          <w:szCs w:val="21"/>
        </w:rPr>
        <w:t>M</w:t>
      </w:r>
      <w:r w:rsidRPr="00FC7B19">
        <w:rPr>
          <w:sz w:val="21"/>
          <w:szCs w:val="21"/>
        </w:rPr>
        <w:t xml:space="preserve">anagement framework for the </w:t>
      </w:r>
      <w:r w:rsidR="00C51D53">
        <w:rPr>
          <w:sz w:val="21"/>
          <w:szCs w:val="21"/>
        </w:rPr>
        <w:t xml:space="preserve">UNEP/GEF </w:t>
      </w:r>
      <w:r w:rsidRPr="00FC7B19">
        <w:rPr>
          <w:sz w:val="21"/>
          <w:szCs w:val="21"/>
        </w:rPr>
        <w:t>project “</w:t>
      </w:r>
      <w:r w:rsidRPr="00FC7B19">
        <w:rPr>
          <w:i/>
          <w:sz w:val="21"/>
          <w:szCs w:val="21"/>
        </w:rPr>
        <w:t>Reversing environmental degradation in the South China Sea and Gulf of Thailand</w:t>
      </w:r>
      <w:r w:rsidRPr="00FC7B19">
        <w:rPr>
          <w:sz w:val="21"/>
          <w:szCs w:val="21"/>
        </w:rPr>
        <w:t xml:space="preserve">”. IMC = </w:t>
      </w:r>
      <w:r w:rsidR="00C51D53">
        <w:rPr>
          <w:sz w:val="21"/>
          <w:szCs w:val="21"/>
        </w:rPr>
        <w:t>I</w:t>
      </w:r>
      <w:r w:rsidRPr="00FC7B19">
        <w:rPr>
          <w:sz w:val="21"/>
          <w:szCs w:val="21"/>
        </w:rPr>
        <w:t>nter-ministry committee;</w:t>
      </w:r>
      <w:r>
        <w:rPr>
          <w:sz w:val="21"/>
          <w:szCs w:val="21"/>
        </w:rPr>
        <w:t xml:space="preserve"> </w:t>
      </w:r>
      <w:r w:rsidRPr="00FC7B19">
        <w:rPr>
          <w:sz w:val="21"/>
          <w:szCs w:val="21"/>
        </w:rPr>
        <w:t>NTWG = National Technical Working Group; SEAs = Specialised Executing Agency; EAS/RCU = East Asia Seas Regional Coordinating Unit, of UNEP. (Green background indicates a regional body, violet a national body).</w:t>
      </w:r>
    </w:p>
    <w:p w14:paraId="2E316A92" w14:textId="77777777" w:rsidR="001D6528" w:rsidRPr="001D6528" w:rsidRDefault="001D6528" w:rsidP="001D6528">
      <w:pPr>
        <w:numPr>
          <w:ilvl w:val="3"/>
          <w:numId w:val="2"/>
        </w:numPr>
        <w:spacing w:after="120"/>
        <w:outlineLvl w:val="1"/>
        <w:rPr>
          <w:b/>
          <w:sz w:val="22"/>
          <w:szCs w:val="22"/>
          <w:lang w:val="en-GB"/>
        </w:rPr>
      </w:pPr>
      <w:r>
        <w:rPr>
          <w:b/>
          <w:sz w:val="22"/>
          <w:szCs w:val="22"/>
          <w:lang w:val="en-GB"/>
        </w:rPr>
        <w:t>Commitment of support from national networks</w:t>
      </w:r>
    </w:p>
    <w:p w14:paraId="38D227E6" w14:textId="77777777" w:rsidR="005205CA" w:rsidRDefault="00A44586" w:rsidP="00A44586">
      <w:pPr>
        <w:numPr>
          <w:ilvl w:val="0"/>
          <w:numId w:val="3"/>
        </w:numPr>
        <w:spacing w:after="120"/>
        <w:ind w:left="0" w:firstLine="0"/>
        <w:jc w:val="both"/>
        <w:rPr>
          <w:sz w:val="22"/>
          <w:szCs w:val="22"/>
          <w:lang w:val="en-GB"/>
        </w:rPr>
      </w:pPr>
      <w:r w:rsidRPr="00A44586">
        <w:rPr>
          <w:sz w:val="22"/>
          <w:szCs w:val="22"/>
          <w:lang w:val="en-GB"/>
        </w:rPr>
        <w:t>As noted above, ultimately, more than 100 institutions from the region were directly involved in the execution of project activities and more than 400 institutions were involved through individual participation in meetings. This was in a large part facilitated via the subcontracting of supporting organizations for the execution on national activities. Analysis of this subcontracting (see Paterson and Pernetta, 2013) provides some insight into the total human resource limitations of the SEAs, the extent of specialist expertise available within the SEAs, and the overall extent to which the established national networks were formally drawn upon to support information gathering and review activities. Of the 310 contracts let by the SEAs with individuals and organisations, 64 percent related to tasks associated with development of the information base required to confirm the causes of problems and in determining the comparative net benefit of options for intervention</w:t>
      </w:r>
      <w:r w:rsidR="00607488">
        <w:rPr>
          <w:sz w:val="22"/>
          <w:szCs w:val="22"/>
          <w:lang w:val="en-GB"/>
        </w:rPr>
        <w:t xml:space="preserve"> as part of SAP forumulation</w:t>
      </w:r>
      <w:r w:rsidRPr="00A44586">
        <w:rPr>
          <w:sz w:val="22"/>
          <w:szCs w:val="22"/>
          <w:lang w:val="en-GB"/>
        </w:rPr>
        <w:t>.</w:t>
      </w:r>
    </w:p>
    <w:p w14:paraId="7151799E" w14:textId="77777777" w:rsidR="00862356" w:rsidRDefault="00A44586" w:rsidP="00862356">
      <w:pPr>
        <w:numPr>
          <w:ilvl w:val="0"/>
          <w:numId w:val="3"/>
        </w:numPr>
        <w:spacing w:after="120"/>
        <w:ind w:left="0" w:firstLine="0"/>
        <w:jc w:val="both"/>
        <w:rPr>
          <w:sz w:val="22"/>
          <w:szCs w:val="22"/>
        </w:rPr>
      </w:pPr>
      <w:r w:rsidRPr="0015028B">
        <w:rPr>
          <w:sz w:val="22"/>
          <w:szCs w:val="22"/>
        </w:rPr>
        <w:t>The large number of contracts let with su</w:t>
      </w:r>
      <w:r>
        <w:rPr>
          <w:sz w:val="22"/>
          <w:szCs w:val="22"/>
        </w:rPr>
        <w:t xml:space="preserve">pporting national organisations </w:t>
      </w:r>
      <w:r w:rsidRPr="0015028B">
        <w:rPr>
          <w:sz w:val="22"/>
          <w:szCs w:val="22"/>
        </w:rPr>
        <w:t xml:space="preserve">for information collection in </w:t>
      </w:r>
      <w:r>
        <w:rPr>
          <w:sz w:val="22"/>
          <w:szCs w:val="22"/>
        </w:rPr>
        <w:t xml:space="preserve">part reflects the disaggregated </w:t>
      </w:r>
      <w:r w:rsidRPr="0015028B">
        <w:rPr>
          <w:sz w:val="22"/>
          <w:szCs w:val="22"/>
        </w:rPr>
        <w:t>nature of data and infor</w:t>
      </w:r>
      <w:r>
        <w:rPr>
          <w:sz w:val="22"/>
          <w:szCs w:val="22"/>
        </w:rPr>
        <w:t xml:space="preserve">mation holdings at the national level. It is also </w:t>
      </w:r>
      <w:r w:rsidRPr="0015028B">
        <w:rPr>
          <w:sz w:val="22"/>
          <w:szCs w:val="22"/>
        </w:rPr>
        <w:t xml:space="preserve">demonstrates the need for </w:t>
      </w:r>
      <w:r>
        <w:rPr>
          <w:sz w:val="22"/>
          <w:szCs w:val="22"/>
        </w:rPr>
        <w:t xml:space="preserve">broad stakeholder participation </w:t>
      </w:r>
      <w:r w:rsidRPr="0015028B">
        <w:rPr>
          <w:sz w:val="22"/>
          <w:szCs w:val="22"/>
        </w:rPr>
        <w:t xml:space="preserve">in </w:t>
      </w:r>
      <w:r>
        <w:rPr>
          <w:sz w:val="22"/>
          <w:szCs w:val="22"/>
        </w:rPr>
        <w:t xml:space="preserve">the compilation of the types of information required to </w:t>
      </w:r>
      <w:r w:rsidRPr="0015028B">
        <w:rPr>
          <w:sz w:val="22"/>
          <w:szCs w:val="22"/>
        </w:rPr>
        <w:t>identify the transboundary signifi</w:t>
      </w:r>
      <w:r>
        <w:rPr>
          <w:sz w:val="22"/>
          <w:szCs w:val="22"/>
        </w:rPr>
        <w:t xml:space="preserve">cance of problems, their causes </w:t>
      </w:r>
      <w:r w:rsidRPr="0015028B">
        <w:rPr>
          <w:sz w:val="22"/>
          <w:szCs w:val="22"/>
        </w:rPr>
        <w:t>and the associated priorities for int</w:t>
      </w:r>
      <w:r>
        <w:rPr>
          <w:sz w:val="22"/>
          <w:szCs w:val="22"/>
        </w:rPr>
        <w:t xml:space="preserve">ervention. The total number and </w:t>
      </w:r>
      <w:r w:rsidRPr="0015028B">
        <w:rPr>
          <w:sz w:val="22"/>
          <w:szCs w:val="22"/>
        </w:rPr>
        <w:t>low average value of the contracts l</w:t>
      </w:r>
      <w:r>
        <w:rPr>
          <w:sz w:val="22"/>
          <w:szCs w:val="22"/>
        </w:rPr>
        <w:t xml:space="preserve">et in this task area (calculated to be US$ 3383) </w:t>
      </w:r>
      <w:r w:rsidRPr="0015028B">
        <w:rPr>
          <w:sz w:val="22"/>
          <w:szCs w:val="22"/>
        </w:rPr>
        <w:t xml:space="preserve">provides some insight into the need to engage </w:t>
      </w:r>
      <w:r w:rsidR="00F91E29">
        <w:rPr>
          <w:sz w:val="22"/>
          <w:szCs w:val="22"/>
        </w:rPr>
        <w:t xml:space="preserve">a diverse range of </w:t>
      </w:r>
      <w:r w:rsidRPr="0015028B">
        <w:rPr>
          <w:sz w:val="22"/>
          <w:szCs w:val="22"/>
        </w:rPr>
        <w:t>stakeholde</w:t>
      </w:r>
      <w:r>
        <w:rPr>
          <w:sz w:val="22"/>
          <w:szCs w:val="22"/>
        </w:rPr>
        <w:t>rs in th</w:t>
      </w:r>
      <w:r w:rsidR="00F91E29">
        <w:rPr>
          <w:sz w:val="22"/>
          <w:szCs w:val="22"/>
        </w:rPr>
        <w:t>e</w:t>
      </w:r>
      <w:r>
        <w:rPr>
          <w:sz w:val="22"/>
          <w:szCs w:val="22"/>
        </w:rPr>
        <w:t xml:space="preserve"> </w:t>
      </w:r>
      <w:r w:rsidR="00F91E29">
        <w:rPr>
          <w:sz w:val="22"/>
          <w:szCs w:val="22"/>
        </w:rPr>
        <w:t xml:space="preserve">SAP formulation </w:t>
      </w:r>
      <w:r w:rsidRPr="0015028B">
        <w:rPr>
          <w:sz w:val="22"/>
          <w:szCs w:val="22"/>
        </w:rPr>
        <w:t>process. An alternative approach m</w:t>
      </w:r>
      <w:r>
        <w:rPr>
          <w:sz w:val="22"/>
          <w:szCs w:val="22"/>
        </w:rPr>
        <w:t xml:space="preserve">ay have been to let fewer large contracts with individual </w:t>
      </w:r>
      <w:r w:rsidRPr="0015028B">
        <w:rPr>
          <w:sz w:val="22"/>
          <w:szCs w:val="22"/>
        </w:rPr>
        <w:t>consultant</w:t>
      </w:r>
      <w:r>
        <w:rPr>
          <w:sz w:val="22"/>
          <w:szCs w:val="22"/>
        </w:rPr>
        <w:t xml:space="preserve">s, </w:t>
      </w:r>
      <w:r w:rsidR="00F91E29">
        <w:rPr>
          <w:sz w:val="22"/>
          <w:szCs w:val="22"/>
        </w:rPr>
        <w:t xml:space="preserve">or research institutes, </w:t>
      </w:r>
      <w:r>
        <w:rPr>
          <w:sz w:val="22"/>
          <w:szCs w:val="22"/>
        </w:rPr>
        <w:t xml:space="preserve">although it is unlikely such </w:t>
      </w:r>
      <w:r w:rsidRPr="0015028B">
        <w:rPr>
          <w:sz w:val="22"/>
          <w:szCs w:val="22"/>
        </w:rPr>
        <w:t>an approach would have</w:t>
      </w:r>
      <w:r>
        <w:rPr>
          <w:sz w:val="22"/>
          <w:szCs w:val="22"/>
        </w:rPr>
        <w:t xml:space="preserve"> enabled access to the </w:t>
      </w:r>
      <w:r w:rsidR="002B3A3C">
        <w:rPr>
          <w:sz w:val="22"/>
          <w:szCs w:val="22"/>
        </w:rPr>
        <w:t xml:space="preserve">breadth and </w:t>
      </w:r>
      <w:r>
        <w:rPr>
          <w:sz w:val="22"/>
          <w:szCs w:val="22"/>
        </w:rPr>
        <w:t>depth of information required</w:t>
      </w:r>
      <w:r w:rsidR="00607488">
        <w:rPr>
          <w:sz w:val="22"/>
          <w:szCs w:val="22"/>
        </w:rPr>
        <w:t xml:space="preserve"> to reach consensus on the common information base used for SAP formulation</w:t>
      </w:r>
      <w:r>
        <w:rPr>
          <w:sz w:val="22"/>
          <w:szCs w:val="22"/>
        </w:rPr>
        <w:t>.</w:t>
      </w:r>
      <w:r w:rsidR="00862356">
        <w:rPr>
          <w:sz w:val="22"/>
          <w:szCs w:val="22"/>
        </w:rPr>
        <w:t xml:space="preserve"> Table 1 below summarises the Specialized Executing Agencies by country.</w:t>
      </w:r>
    </w:p>
    <w:p w14:paraId="5DB3A526" w14:textId="77777777" w:rsidR="00607488" w:rsidRPr="00862356" w:rsidRDefault="00607488" w:rsidP="00862356">
      <w:pPr>
        <w:numPr>
          <w:ilvl w:val="0"/>
          <w:numId w:val="3"/>
        </w:numPr>
        <w:spacing w:after="120"/>
        <w:ind w:left="0" w:firstLine="0"/>
        <w:jc w:val="both"/>
        <w:rPr>
          <w:sz w:val="22"/>
          <w:szCs w:val="22"/>
        </w:rPr>
        <w:sectPr w:rsidR="00607488" w:rsidRPr="00862356" w:rsidSect="00064925">
          <w:footerReference w:type="even" r:id="rId11"/>
          <w:footerReference w:type="default" r:id="rId12"/>
          <w:pgSz w:w="12240" w:h="15840" w:code="1"/>
          <w:pgMar w:top="1440" w:right="1584" w:bottom="1440" w:left="1584" w:header="706" w:footer="706" w:gutter="0"/>
          <w:cols w:space="708"/>
          <w:docGrid w:linePitch="360"/>
        </w:sectPr>
      </w:pPr>
    </w:p>
    <w:p w14:paraId="4FD37B4B" w14:textId="77777777" w:rsidR="00A44586" w:rsidRPr="00862356" w:rsidRDefault="00862356" w:rsidP="00862356">
      <w:pPr>
        <w:spacing w:after="120"/>
        <w:jc w:val="both"/>
        <w:rPr>
          <w:sz w:val="21"/>
          <w:szCs w:val="21"/>
        </w:rPr>
      </w:pPr>
      <w:r w:rsidRPr="00862356">
        <w:rPr>
          <w:b/>
          <w:sz w:val="21"/>
          <w:szCs w:val="21"/>
        </w:rPr>
        <w:t>Table 1.</w:t>
      </w:r>
      <w:r w:rsidRPr="00862356">
        <w:rPr>
          <w:b/>
          <w:sz w:val="21"/>
          <w:szCs w:val="21"/>
        </w:rPr>
        <w:tab/>
      </w:r>
      <w:r w:rsidRPr="00862356">
        <w:rPr>
          <w:sz w:val="21"/>
          <w:szCs w:val="21"/>
        </w:rPr>
        <w:t xml:space="preserve">The Specialized Executing Agencies for the SCS project by country and component </w:t>
      </w:r>
    </w:p>
    <w:p w14:paraId="7F2DD9F0" w14:textId="0C538D9D" w:rsidR="00862356" w:rsidRDefault="000741FA" w:rsidP="00862356">
      <w:pPr>
        <w:spacing w:after="120"/>
        <w:jc w:val="both"/>
        <w:rPr>
          <w:sz w:val="22"/>
          <w:szCs w:val="22"/>
        </w:rPr>
        <w:sectPr w:rsidR="00862356" w:rsidSect="00064925">
          <w:pgSz w:w="15840" w:h="12240" w:orient="landscape" w:code="1"/>
          <w:pgMar w:top="1584" w:right="1440" w:bottom="1584" w:left="1440" w:header="706" w:footer="706" w:gutter="0"/>
          <w:cols w:space="708"/>
          <w:docGrid w:linePitch="360"/>
        </w:sectPr>
      </w:pPr>
      <w:r>
        <w:rPr>
          <w:noProof/>
          <w:sz w:val="22"/>
          <w:szCs w:val="22"/>
        </w:rPr>
        <w:drawing>
          <wp:inline distT="0" distB="0" distL="0" distR="0" wp14:anchorId="479C45C6" wp14:editId="0A7D8492">
            <wp:extent cx="8229600" cy="4800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229600" cy="4800600"/>
                    </a:xfrm>
                    <a:prstGeom prst="rect">
                      <a:avLst/>
                    </a:prstGeom>
                    <a:noFill/>
                    <a:ln>
                      <a:noFill/>
                    </a:ln>
                  </pic:spPr>
                </pic:pic>
              </a:graphicData>
            </a:graphic>
          </wp:inline>
        </w:drawing>
      </w:r>
    </w:p>
    <w:p w14:paraId="1D0EC965" w14:textId="77777777" w:rsidR="00A44586" w:rsidRDefault="00A44586" w:rsidP="00A44586">
      <w:pPr>
        <w:numPr>
          <w:ilvl w:val="0"/>
          <w:numId w:val="3"/>
        </w:numPr>
        <w:spacing w:after="120"/>
        <w:ind w:left="0" w:firstLine="0"/>
        <w:jc w:val="both"/>
        <w:rPr>
          <w:sz w:val="22"/>
          <w:szCs w:val="22"/>
        </w:rPr>
      </w:pPr>
      <w:r w:rsidRPr="0015028B">
        <w:rPr>
          <w:sz w:val="22"/>
          <w:szCs w:val="22"/>
        </w:rPr>
        <w:t>Efforts to foster stakeholder parti</w:t>
      </w:r>
      <w:r>
        <w:rPr>
          <w:sz w:val="22"/>
          <w:szCs w:val="22"/>
        </w:rPr>
        <w:t xml:space="preserve">cipation in </w:t>
      </w:r>
      <w:r w:rsidR="00607488">
        <w:rPr>
          <w:sz w:val="22"/>
          <w:szCs w:val="22"/>
        </w:rPr>
        <w:t>SAP formulation</w:t>
      </w:r>
      <w:r w:rsidRPr="0015028B">
        <w:rPr>
          <w:sz w:val="22"/>
          <w:szCs w:val="22"/>
        </w:rPr>
        <w:t xml:space="preserve"> were not only e</w:t>
      </w:r>
      <w:r>
        <w:rPr>
          <w:sz w:val="22"/>
          <w:szCs w:val="22"/>
        </w:rPr>
        <w:t xml:space="preserve">ffective in overcoming barriers </w:t>
      </w:r>
      <w:r w:rsidRPr="0015028B">
        <w:rPr>
          <w:sz w:val="22"/>
          <w:szCs w:val="22"/>
        </w:rPr>
        <w:t>associated with limited cross-secto</w:t>
      </w:r>
      <w:r>
        <w:rPr>
          <w:sz w:val="22"/>
          <w:szCs w:val="22"/>
        </w:rPr>
        <w:t xml:space="preserve">rial information sharing in the </w:t>
      </w:r>
      <w:r w:rsidRPr="0015028B">
        <w:rPr>
          <w:sz w:val="22"/>
          <w:szCs w:val="22"/>
        </w:rPr>
        <w:t>participating countries. Through</w:t>
      </w:r>
      <w:r>
        <w:rPr>
          <w:sz w:val="22"/>
          <w:szCs w:val="22"/>
        </w:rPr>
        <w:t xml:space="preserve"> direct involvement in national </w:t>
      </w:r>
      <w:r w:rsidRPr="0015028B">
        <w:rPr>
          <w:sz w:val="22"/>
          <w:szCs w:val="22"/>
        </w:rPr>
        <w:t>committees and the formalities ass</w:t>
      </w:r>
      <w:r>
        <w:rPr>
          <w:sz w:val="22"/>
          <w:szCs w:val="22"/>
        </w:rPr>
        <w:t xml:space="preserve">ociated with the contracting </w:t>
      </w:r>
      <w:r w:rsidRPr="0015028B">
        <w:rPr>
          <w:sz w:val="22"/>
          <w:szCs w:val="22"/>
        </w:rPr>
        <w:t>process, supporting organisati</w:t>
      </w:r>
      <w:r>
        <w:rPr>
          <w:sz w:val="22"/>
          <w:szCs w:val="22"/>
        </w:rPr>
        <w:t xml:space="preserve">ons were exposed to the how and </w:t>
      </w:r>
      <w:r w:rsidRPr="0015028B">
        <w:rPr>
          <w:sz w:val="22"/>
          <w:szCs w:val="22"/>
        </w:rPr>
        <w:t>why their information</w:t>
      </w:r>
      <w:r>
        <w:rPr>
          <w:sz w:val="22"/>
          <w:szCs w:val="22"/>
        </w:rPr>
        <w:t xml:space="preserve"> </w:t>
      </w:r>
      <w:r w:rsidRPr="0015028B">
        <w:rPr>
          <w:sz w:val="22"/>
          <w:szCs w:val="22"/>
        </w:rPr>
        <w:t>was being us</w:t>
      </w:r>
      <w:r>
        <w:rPr>
          <w:sz w:val="22"/>
          <w:szCs w:val="22"/>
        </w:rPr>
        <w:t xml:space="preserve">ed. This was not only important </w:t>
      </w:r>
      <w:r w:rsidRPr="0015028B">
        <w:rPr>
          <w:sz w:val="22"/>
          <w:szCs w:val="22"/>
        </w:rPr>
        <w:t>for generating national level support f</w:t>
      </w:r>
      <w:r>
        <w:rPr>
          <w:sz w:val="22"/>
          <w:szCs w:val="22"/>
        </w:rPr>
        <w:t xml:space="preserve">or elaboration of the framework </w:t>
      </w:r>
      <w:r w:rsidRPr="0015028B">
        <w:rPr>
          <w:sz w:val="22"/>
          <w:szCs w:val="22"/>
        </w:rPr>
        <w:t>S</w:t>
      </w:r>
      <w:r w:rsidR="002B3A3C">
        <w:rPr>
          <w:sz w:val="22"/>
          <w:szCs w:val="22"/>
        </w:rPr>
        <w:t xml:space="preserve">trategic </w:t>
      </w:r>
      <w:r w:rsidRPr="0015028B">
        <w:rPr>
          <w:sz w:val="22"/>
          <w:szCs w:val="22"/>
        </w:rPr>
        <w:t>A</w:t>
      </w:r>
      <w:r w:rsidR="002B3A3C">
        <w:rPr>
          <w:sz w:val="22"/>
          <w:szCs w:val="22"/>
        </w:rPr>
        <w:t xml:space="preserve">ction </w:t>
      </w:r>
      <w:r w:rsidRPr="0015028B">
        <w:rPr>
          <w:sz w:val="22"/>
          <w:szCs w:val="22"/>
        </w:rPr>
        <w:t>P</w:t>
      </w:r>
      <w:r w:rsidR="002B3A3C">
        <w:rPr>
          <w:sz w:val="22"/>
          <w:szCs w:val="22"/>
        </w:rPr>
        <w:t>rogramme</w:t>
      </w:r>
      <w:r w:rsidRPr="0015028B">
        <w:rPr>
          <w:sz w:val="22"/>
          <w:szCs w:val="22"/>
        </w:rPr>
        <w:t xml:space="preserve"> and supporting National A</w:t>
      </w:r>
      <w:r>
        <w:rPr>
          <w:sz w:val="22"/>
          <w:szCs w:val="22"/>
        </w:rPr>
        <w:t xml:space="preserve">ction Plans. It also provided national committee members </w:t>
      </w:r>
      <w:r w:rsidRPr="0015028B">
        <w:rPr>
          <w:sz w:val="22"/>
          <w:szCs w:val="22"/>
        </w:rPr>
        <w:t>w</w:t>
      </w:r>
      <w:r>
        <w:rPr>
          <w:sz w:val="22"/>
          <w:szCs w:val="22"/>
        </w:rPr>
        <w:t xml:space="preserve">ith substantive tasks for which </w:t>
      </w:r>
      <w:r w:rsidRPr="0015028B">
        <w:rPr>
          <w:sz w:val="22"/>
          <w:szCs w:val="22"/>
        </w:rPr>
        <w:t>they were responsible for reporting progress during meetings. The</w:t>
      </w:r>
      <w:r>
        <w:rPr>
          <w:sz w:val="22"/>
          <w:szCs w:val="22"/>
        </w:rPr>
        <w:t xml:space="preserve"> </w:t>
      </w:r>
      <w:r w:rsidRPr="0015028B">
        <w:rPr>
          <w:sz w:val="22"/>
          <w:szCs w:val="22"/>
        </w:rPr>
        <w:t>subsequent review of outputs by committee members was critical</w:t>
      </w:r>
      <w:r>
        <w:rPr>
          <w:sz w:val="22"/>
          <w:szCs w:val="22"/>
        </w:rPr>
        <w:t xml:space="preserve"> </w:t>
      </w:r>
      <w:r w:rsidRPr="0015028B">
        <w:rPr>
          <w:sz w:val="22"/>
          <w:szCs w:val="22"/>
        </w:rPr>
        <w:t>in</w:t>
      </w:r>
      <w:r>
        <w:rPr>
          <w:sz w:val="22"/>
          <w:szCs w:val="22"/>
        </w:rPr>
        <w:t xml:space="preserve"> terms of ensuring consensus on </w:t>
      </w:r>
      <w:r w:rsidRPr="0015028B">
        <w:rPr>
          <w:sz w:val="22"/>
          <w:szCs w:val="22"/>
        </w:rPr>
        <w:t xml:space="preserve">the </w:t>
      </w:r>
      <w:r>
        <w:rPr>
          <w:sz w:val="22"/>
          <w:szCs w:val="22"/>
        </w:rPr>
        <w:t xml:space="preserve">information and data to be </w:t>
      </w:r>
      <w:r w:rsidRPr="0015028B">
        <w:rPr>
          <w:sz w:val="22"/>
          <w:szCs w:val="22"/>
        </w:rPr>
        <w:t xml:space="preserve">used in subsequent steps and </w:t>
      </w:r>
      <w:r w:rsidR="00F91E29">
        <w:rPr>
          <w:sz w:val="22"/>
          <w:szCs w:val="22"/>
        </w:rPr>
        <w:t xml:space="preserve">to be </w:t>
      </w:r>
      <w:r w:rsidRPr="0015028B">
        <w:rPr>
          <w:sz w:val="22"/>
          <w:szCs w:val="22"/>
        </w:rPr>
        <w:t>sha</w:t>
      </w:r>
      <w:r>
        <w:rPr>
          <w:sz w:val="22"/>
          <w:szCs w:val="22"/>
        </w:rPr>
        <w:t xml:space="preserve">red with committees responsible </w:t>
      </w:r>
      <w:r w:rsidRPr="0015028B">
        <w:rPr>
          <w:sz w:val="22"/>
          <w:szCs w:val="22"/>
        </w:rPr>
        <w:t>for the other project components, the NTWGs, RWGs and the RSTC.</w:t>
      </w:r>
    </w:p>
    <w:p w14:paraId="5B50EF3F" w14:textId="77777777" w:rsidR="00A44586" w:rsidRDefault="00A44586" w:rsidP="00A44586">
      <w:pPr>
        <w:numPr>
          <w:ilvl w:val="3"/>
          <w:numId w:val="2"/>
        </w:numPr>
        <w:spacing w:after="120"/>
        <w:outlineLvl w:val="1"/>
        <w:rPr>
          <w:b/>
          <w:sz w:val="22"/>
          <w:szCs w:val="22"/>
          <w:lang w:val="en-GB"/>
        </w:rPr>
      </w:pPr>
      <w:r>
        <w:rPr>
          <w:b/>
          <w:sz w:val="22"/>
          <w:szCs w:val="22"/>
          <w:lang w:val="en-GB"/>
        </w:rPr>
        <w:t>Step-wise scientific and technical review of the SAP</w:t>
      </w:r>
    </w:p>
    <w:p w14:paraId="4AF72FA2" w14:textId="77777777" w:rsidR="00A44586" w:rsidRPr="00A44586" w:rsidRDefault="00A44586" w:rsidP="00A44586">
      <w:pPr>
        <w:spacing w:after="120"/>
        <w:outlineLvl w:val="1"/>
        <w:rPr>
          <w:b/>
          <w:i/>
          <w:sz w:val="22"/>
          <w:szCs w:val="22"/>
          <w:lang w:val="en-GB"/>
        </w:rPr>
      </w:pPr>
      <w:r w:rsidRPr="00A44586">
        <w:rPr>
          <w:b/>
          <w:i/>
          <w:sz w:val="22"/>
          <w:szCs w:val="22"/>
          <w:lang w:val="en-GB"/>
        </w:rPr>
        <w:t>National and review of information and data</w:t>
      </w:r>
    </w:p>
    <w:p w14:paraId="07EB3B56" w14:textId="77777777" w:rsidR="00A44586" w:rsidRPr="0015028B" w:rsidRDefault="00A44586" w:rsidP="00A44586">
      <w:pPr>
        <w:numPr>
          <w:ilvl w:val="0"/>
          <w:numId w:val="3"/>
        </w:numPr>
        <w:spacing w:after="120"/>
        <w:ind w:left="0" w:firstLine="0"/>
        <w:jc w:val="both"/>
        <w:rPr>
          <w:sz w:val="22"/>
          <w:szCs w:val="22"/>
        </w:rPr>
      </w:pPr>
      <w:r w:rsidRPr="0015028B">
        <w:rPr>
          <w:sz w:val="22"/>
          <w:szCs w:val="22"/>
        </w:rPr>
        <w:t>The project management fra</w:t>
      </w:r>
      <w:r>
        <w:rPr>
          <w:sz w:val="22"/>
          <w:szCs w:val="22"/>
        </w:rPr>
        <w:t xml:space="preserve">mework not only facilitated the </w:t>
      </w:r>
      <w:r w:rsidRPr="0015028B">
        <w:rPr>
          <w:sz w:val="22"/>
          <w:szCs w:val="22"/>
        </w:rPr>
        <w:t>collection</w:t>
      </w:r>
      <w:r>
        <w:rPr>
          <w:sz w:val="22"/>
          <w:szCs w:val="22"/>
        </w:rPr>
        <w:t xml:space="preserve"> of information and data by the SEAs and national committees </w:t>
      </w:r>
      <w:r w:rsidRPr="0015028B">
        <w:rPr>
          <w:sz w:val="22"/>
          <w:szCs w:val="22"/>
        </w:rPr>
        <w:t>but also instituted mechan</w:t>
      </w:r>
      <w:r>
        <w:rPr>
          <w:sz w:val="22"/>
          <w:szCs w:val="22"/>
        </w:rPr>
        <w:t xml:space="preserve">isms for joint fact finding and </w:t>
      </w:r>
      <w:r w:rsidRPr="0015028B">
        <w:rPr>
          <w:sz w:val="22"/>
          <w:szCs w:val="22"/>
        </w:rPr>
        <w:t>step-wise scientific and technica</w:t>
      </w:r>
      <w:r>
        <w:rPr>
          <w:sz w:val="22"/>
          <w:szCs w:val="22"/>
        </w:rPr>
        <w:t xml:space="preserve">l review. Information resources </w:t>
      </w:r>
      <w:r w:rsidRPr="0015028B">
        <w:rPr>
          <w:sz w:val="22"/>
          <w:szCs w:val="22"/>
        </w:rPr>
        <w:t>developed at t</w:t>
      </w:r>
      <w:r>
        <w:rPr>
          <w:sz w:val="22"/>
          <w:szCs w:val="22"/>
        </w:rPr>
        <w:t xml:space="preserve">he project component level were subject to national </w:t>
      </w:r>
      <w:r w:rsidRPr="0015028B">
        <w:rPr>
          <w:sz w:val="22"/>
          <w:szCs w:val="22"/>
        </w:rPr>
        <w:t>level review through National T</w:t>
      </w:r>
      <w:r>
        <w:rPr>
          <w:sz w:val="22"/>
          <w:szCs w:val="22"/>
        </w:rPr>
        <w:t xml:space="preserve">echnical Working Groups (NTWGs) </w:t>
      </w:r>
      <w:r w:rsidRPr="0015028B">
        <w:rPr>
          <w:sz w:val="22"/>
          <w:szCs w:val="22"/>
        </w:rPr>
        <w:t>prior to inclusion in the broad inf</w:t>
      </w:r>
      <w:r>
        <w:rPr>
          <w:sz w:val="22"/>
          <w:szCs w:val="22"/>
        </w:rPr>
        <w:t xml:space="preserve">ormation base used to formulate </w:t>
      </w:r>
      <w:r w:rsidRPr="0015028B">
        <w:rPr>
          <w:sz w:val="22"/>
          <w:szCs w:val="22"/>
        </w:rPr>
        <w:t>advice</w:t>
      </w:r>
      <w:r>
        <w:rPr>
          <w:sz w:val="22"/>
          <w:szCs w:val="22"/>
        </w:rPr>
        <w:t xml:space="preserve"> for national Inter-Ministerial Committees (IMCs) and </w:t>
      </w:r>
      <w:r w:rsidRPr="0015028B">
        <w:rPr>
          <w:sz w:val="22"/>
          <w:szCs w:val="22"/>
        </w:rPr>
        <w:t>regional level bodies. Thus, the h</w:t>
      </w:r>
      <w:r>
        <w:rPr>
          <w:sz w:val="22"/>
          <w:szCs w:val="22"/>
        </w:rPr>
        <w:t xml:space="preserve">ighly specialised knowledge and </w:t>
      </w:r>
      <w:r w:rsidRPr="0015028B">
        <w:rPr>
          <w:sz w:val="22"/>
          <w:szCs w:val="22"/>
        </w:rPr>
        <w:t>experience used to evaluate th</w:t>
      </w:r>
      <w:r>
        <w:rPr>
          <w:sz w:val="22"/>
          <w:szCs w:val="22"/>
        </w:rPr>
        <w:t xml:space="preserve">e status and trends in mangrove </w:t>
      </w:r>
      <w:r w:rsidRPr="0015028B">
        <w:rPr>
          <w:sz w:val="22"/>
          <w:szCs w:val="22"/>
        </w:rPr>
        <w:t>ecosystems for example, was d</w:t>
      </w:r>
      <w:r>
        <w:rPr>
          <w:sz w:val="22"/>
          <w:szCs w:val="22"/>
        </w:rPr>
        <w:t xml:space="preserve">eveloped by a group of mangrove </w:t>
      </w:r>
      <w:r w:rsidRPr="0015028B">
        <w:rPr>
          <w:sz w:val="22"/>
          <w:szCs w:val="22"/>
        </w:rPr>
        <w:t xml:space="preserve">specialists before it was shared with </w:t>
      </w:r>
      <w:r>
        <w:rPr>
          <w:sz w:val="22"/>
          <w:szCs w:val="22"/>
        </w:rPr>
        <w:t xml:space="preserve">other specialists having other, </w:t>
      </w:r>
      <w:r w:rsidRPr="0015028B">
        <w:rPr>
          <w:sz w:val="22"/>
          <w:szCs w:val="22"/>
        </w:rPr>
        <w:t>often very divergent, interests and concerns.</w:t>
      </w:r>
    </w:p>
    <w:p w14:paraId="665011C8" w14:textId="77777777" w:rsidR="00A44586" w:rsidRPr="0015028B" w:rsidRDefault="00A44586" w:rsidP="00A44586">
      <w:pPr>
        <w:numPr>
          <w:ilvl w:val="0"/>
          <w:numId w:val="3"/>
        </w:numPr>
        <w:spacing w:after="120"/>
        <w:ind w:left="0" w:firstLine="0"/>
        <w:jc w:val="both"/>
        <w:rPr>
          <w:sz w:val="22"/>
          <w:szCs w:val="22"/>
        </w:rPr>
      </w:pPr>
      <w:r w:rsidRPr="0015028B">
        <w:rPr>
          <w:sz w:val="22"/>
          <w:szCs w:val="22"/>
        </w:rPr>
        <w:t>In addition to providing a mechan</w:t>
      </w:r>
      <w:r>
        <w:rPr>
          <w:sz w:val="22"/>
          <w:szCs w:val="22"/>
        </w:rPr>
        <w:t xml:space="preserve">ism for the clear separation of </w:t>
      </w:r>
      <w:r w:rsidRPr="0015028B">
        <w:rPr>
          <w:sz w:val="22"/>
          <w:szCs w:val="22"/>
        </w:rPr>
        <w:t>scientific and political consid</w:t>
      </w:r>
      <w:r>
        <w:rPr>
          <w:sz w:val="22"/>
          <w:szCs w:val="22"/>
        </w:rPr>
        <w:t xml:space="preserve">erations, the NTWGs established </w:t>
      </w:r>
      <w:r w:rsidRPr="0015028B">
        <w:rPr>
          <w:sz w:val="22"/>
          <w:szCs w:val="22"/>
        </w:rPr>
        <w:t>national-level linkages and networ</w:t>
      </w:r>
      <w:r>
        <w:rPr>
          <w:sz w:val="22"/>
          <w:szCs w:val="22"/>
        </w:rPr>
        <w:t xml:space="preserve">king among mangrove scientists, </w:t>
      </w:r>
      <w:r w:rsidRPr="0015028B">
        <w:rPr>
          <w:sz w:val="22"/>
          <w:szCs w:val="22"/>
        </w:rPr>
        <w:t xml:space="preserve">other habitat specialists, pollution </w:t>
      </w:r>
      <w:r>
        <w:rPr>
          <w:sz w:val="22"/>
          <w:szCs w:val="22"/>
        </w:rPr>
        <w:t xml:space="preserve">experts, fisheries specialists, </w:t>
      </w:r>
      <w:r w:rsidRPr="0015028B">
        <w:rPr>
          <w:sz w:val="22"/>
          <w:szCs w:val="22"/>
        </w:rPr>
        <w:t>and lawyers and economis</w:t>
      </w:r>
      <w:r>
        <w:rPr>
          <w:sz w:val="22"/>
          <w:szCs w:val="22"/>
        </w:rPr>
        <w:t xml:space="preserve">ts. This was important from the </w:t>
      </w:r>
      <w:r w:rsidRPr="0015028B">
        <w:rPr>
          <w:sz w:val="22"/>
          <w:szCs w:val="22"/>
        </w:rPr>
        <w:t>perspective of enabling cross-secto</w:t>
      </w:r>
      <w:r>
        <w:rPr>
          <w:sz w:val="22"/>
          <w:szCs w:val="22"/>
        </w:rPr>
        <w:t xml:space="preserve">ral collaboration and the broad </w:t>
      </w:r>
      <w:r w:rsidRPr="0015028B">
        <w:rPr>
          <w:sz w:val="22"/>
          <w:szCs w:val="22"/>
        </w:rPr>
        <w:t xml:space="preserve">scientific and technical evaluation of </w:t>
      </w:r>
      <w:r>
        <w:rPr>
          <w:sz w:val="22"/>
          <w:szCs w:val="22"/>
        </w:rPr>
        <w:t xml:space="preserve">information and data. Fisheries </w:t>
      </w:r>
      <w:r w:rsidRPr="0015028B">
        <w:rPr>
          <w:sz w:val="22"/>
          <w:szCs w:val="22"/>
        </w:rPr>
        <w:t xml:space="preserve">focal points, for example, </w:t>
      </w:r>
      <w:r>
        <w:rPr>
          <w:sz w:val="22"/>
          <w:szCs w:val="22"/>
        </w:rPr>
        <w:t xml:space="preserve">were exposed to data sets being </w:t>
      </w:r>
      <w:r w:rsidRPr="0015028B">
        <w:rPr>
          <w:sz w:val="22"/>
          <w:szCs w:val="22"/>
        </w:rPr>
        <w:t>compiled by habitat specialists. Ma</w:t>
      </w:r>
      <w:r>
        <w:rPr>
          <w:sz w:val="22"/>
          <w:szCs w:val="22"/>
        </w:rPr>
        <w:t xml:space="preserve">ny of these data sets contained </w:t>
      </w:r>
      <w:r w:rsidRPr="0015028B">
        <w:rPr>
          <w:sz w:val="22"/>
          <w:szCs w:val="22"/>
        </w:rPr>
        <w:t>information relevant to the efforts of th</w:t>
      </w:r>
      <w:r>
        <w:rPr>
          <w:sz w:val="22"/>
          <w:szCs w:val="22"/>
        </w:rPr>
        <w:t xml:space="preserve">e region’s fisheries scientists </w:t>
      </w:r>
      <w:r w:rsidRPr="0015028B">
        <w:rPr>
          <w:sz w:val="22"/>
          <w:szCs w:val="22"/>
        </w:rPr>
        <w:t>and managers to identify habitat a</w:t>
      </w:r>
      <w:r>
        <w:rPr>
          <w:sz w:val="22"/>
          <w:szCs w:val="22"/>
        </w:rPr>
        <w:t xml:space="preserve">reas critical to the early life </w:t>
      </w:r>
      <w:r w:rsidRPr="0015028B">
        <w:rPr>
          <w:sz w:val="22"/>
          <w:szCs w:val="22"/>
        </w:rPr>
        <w:t>history of important species. Su</w:t>
      </w:r>
      <w:r>
        <w:rPr>
          <w:sz w:val="22"/>
          <w:szCs w:val="22"/>
        </w:rPr>
        <w:t xml:space="preserve">ch information is not routinely </w:t>
      </w:r>
      <w:r w:rsidRPr="0015028B">
        <w:rPr>
          <w:sz w:val="22"/>
          <w:szCs w:val="22"/>
        </w:rPr>
        <w:t>collected by fisheries departments</w:t>
      </w:r>
      <w:r>
        <w:rPr>
          <w:sz w:val="22"/>
          <w:szCs w:val="22"/>
        </w:rPr>
        <w:t xml:space="preserve"> and participation in the NTWGs </w:t>
      </w:r>
      <w:r w:rsidRPr="0015028B">
        <w:rPr>
          <w:sz w:val="22"/>
          <w:szCs w:val="22"/>
        </w:rPr>
        <w:t xml:space="preserve">enabled fisheries and environment </w:t>
      </w:r>
      <w:r>
        <w:rPr>
          <w:sz w:val="22"/>
          <w:szCs w:val="22"/>
        </w:rPr>
        <w:t xml:space="preserve">specialists to develop a better </w:t>
      </w:r>
      <w:r w:rsidRPr="0015028B">
        <w:rPr>
          <w:sz w:val="22"/>
          <w:szCs w:val="22"/>
        </w:rPr>
        <w:t>understanding of each other’s in</w:t>
      </w:r>
      <w:r>
        <w:rPr>
          <w:sz w:val="22"/>
          <w:szCs w:val="22"/>
        </w:rPr>
        <w:t xml:space="preserve">formation and data holdings and </w:t>
      </w:r>
      <w:r w:rsidRPr="0015028B">
        <w:rPr>
          <w:sz w:val="22"/>
          <w:szCs w:val="22"/>
        </w:rPr>
        <w:t>needs</w:t>
      </w:r>
      <w:r w:rsidR="002B3A3C">
        <w:rPr>
          <w:sz w:val="22"/>
          <w:szCs w:val="22"/>
        </w:rPr>
        <w:t>,</w:t>
      </w:r>
      <w:r>
        <w:rPr>
          <w:sz w:val="22"/>
          <w:szCs w:val="22"/>
        </w:rPr>
        <w:t xml:space="preserve"> and to identify areas in which national level information </w:t>
      </w:r>
      <w:r w:rsidRPr="0015028B">
        <w:rPr>
          <w:sz w:val="22"/>
          <w:szCs w:val="22"/>
        </w:rPr>
        <w:t>sharing could be improved.</w:t>
      </w:r>
    </w:p>
    <w:p w14:paraId="28C700B2" w14:textId="77777777" w:rsidR="00A44586" w:rsidRDefault="00A44586" w:rsidP="00A44586">
      <w:pPr>
        <w:numPr>
          <w:ilvl w:val="0"/>
          <w:numId w:val="3"/>
        </w:numPr>
        <w:spacing w:after="120"/>
        <w:ind w:left="0" w:firstLine="0"/>
        <w:jc w:val="both"/>
        <w:rPr>
          <w:sz w:val="22"/>
          <w:szCs w:val="22"/>
        </w:rPr>
      </w:pPr>
      <w:r w:rsidRPr="0015028B">
        <w:rPr>
          <w:sz w:val="22"/>
          <w:szCs w:val="22"/>
        </w:rPr>
        <w:t>The participation of the project</w:t>
      </w:r>
      <w:r>
        <w:rPr>
          <w:sz w:val="22"/>
          <w:szCs w:val="22"/>
        </w:rPr>
        <w:t xml:space="preserve"> component focal points and the </w:t>
      </w:r>
      <w:r w:rsidRPr="0015028B">
        <w:rPr>
          <w:sz w:val="22"/>
          <w:szCs w:val="22"/>
        </w:rPr>
        <w:t>national technical focal points in re</w:t>
      </w:r>
      <w:r>
        <w:rPr>
          <w:sz w:val="22"/>
          <w:szCs w:val="22"/>
        </w:rPr>
        <w:t xml:space="preserve">gular meetings of the RWGs and </w:t>
      </w:r>
      <w:r w:rsidRPr="0015028B">
        <w:rPr>
          <w:sz w:val="22"/>
          <w:szCs w:val="22"/>
        </w:rPr>
        <w:t>the RSTC established the feed</w:t>
      </w:r>
      <w:r>
        <w:rPr>
          <w:sz w:val="22"/>
          <w:szCs w:val="22"/>
        </w:rPr>
        <w:t xml:space="preserve">back loops between national and </w:t>
      </w:r>
      <w:r w:rsidRPr="0015028B">
        <w:rPr>
          <w:sz w:val="22"/>
          <w:szCs w:val="22"/>
        </w:rPr>
        <w:t>regional organs of the ma</w:t>
      </w:r>
      <w:r>
        <w:rPr>
          <w:sz w:val="22"/>
          <w:szCs w:val="22"/>
        </w:rPr>
        <w:t xml:space="preserve">nagement framework. The routine </w:t>
      </w:r>
      <w:r w:rsidRPr="0015028B">
        <w:rPr>
          <w:sz w:val="22"/>
          <w:szCs w:val="22"/>
        </w:rPr>
        <w:t>meetings of the RWGs, convened twi</w:t>
      </w:r>
      <w:r>
        <w:rPr>
          <w:sz w:val="22"/>
          <w:szCs w:val="22"/>
        </w:rPr>
        <w:t xml:space="preserve">ce a year </w:t>
      </w:r>
      <w:r w:rsidR="00F91E29">
        <w:rPr>
          <w:sz w:val="22"/>
          <w:szCs w:val="22"/>
        </w:rPr>
        <w:t xml:space="preserve"> until the project entered its operational phase when meetings were convened</w:t>
      </w:r>
      <w:r w:rsidRPr="0015028B">
        <w:rPr>
          <w:sz w:val="22"/>
          <w:szCs w:val="22"/>
        </w:rPr>
        <w:t xml:space="preserve"> annually thereafter, enabled gro</w:t>
      </w:r>
      <w:r>
        <w:rPr>
          <w:sz w:val="22"/>
          <w:szCs w:val="22"/>
        </w:rPr>
        <w:t xml:space="preserve">ups of national experts </w:t>
      </w:r>
      <w:r w:rsidRPr="0015028B">
        <w:rPr>
          <w:sz w:val="22"/>
          <w:szCs w:val="22"/>
        </w:rPr>
        <w:t>on coastal habitats, fisheries an</w:t>
      </w:r>
      <w:r>
        <w:rPr>
          <w:sz w:val="22"/>
          <w:szCs w:val="22"/>
        </w:rPr>
        <w:t xml:space="preserve">d </w:t>
      </w:r>
      <w:r w:rsidR="00F91E29">
        <w:rPr>
          <w:sz w:val="22"/>
          <w:szCs w:val="22"/>
        </w:rPr>
        <w:t xml:space="preserve">land-based </w:t>
      </w:r>
      <w:r>
        <w:rPr>
          <w:sz w:val="22"/>
          <w:szCs w:val="22"/>
        </w:rPr>
        <w:t xml:space="preserve">pollution to meet together in </w:t>
      </w:r>
      <w:r w:rsidRPr="0015028B">
        <w:rPr>
          <w:sz w:val="22"/>
          <w:szCs w:val="22"/>
        </w:rPr>
        <w:t>a regional setting. Regional Ta</w:t>
      </w:r>
      <w:r>
        <w:rPr>
          <w:sz w:val="22"/>
          <w:szCs w:val="22"/>
        </w:rPr>
        <w:t xml:space="preserve">sk Forces on economic valuation </w:t>
      </w:r>
      <w:r w:rsidRPr="0015028B">
        <w:rPr>
          <w:sz w:val="22"/>
          <w:szCs w:val="22"/>
        </w:rPr>
        <w:t>(RTF-E) and legal matters (RTF</w:t>
      </w:r>
      <w:r>
        <w:rPr>
          <w:sz w:val="22"/>
          <w:szCs w:val="22"/>
        </w:rPr>
        <w:t xml:space="preserve">-L) were established to strengthen efforts </w:t>
      </w:r>
      <w:r w:rsidRPr="0015028B">
        <w:rPr>
          <w:sz w:val="22"/>
          <w:szCs w:val="22"/>
        </w:rPr>
        <w:t xml:space="preserve">to compile and analyse </w:t>
      </w:r>
      <w:r>
        <w:rPr>
          <w:sz w:val="22"/>
          <w:szCs w:val="22"/>
        </w:rPr>
        <w:t xml:space="preserve">information relating to </w:t>
      </w:r>
      <w:r w:rsidRPr="0015028B">
        <w:rPr>
          <w:sz w:val="22"/>
          <w:szCs w:val="22"/>
        </w:rPr>
        <w:t>economic valuatio</w:t>
      </w:r>
      <w:r>
        <w:rPr>
          <w:sz w:val="22"/>
          <w:szCs w:val="22"/>
        </w:rPr>
        <w:t xml:space="preserve">n of habitats and pollution and regional arrangements </w:t>
      </w:r>
      <w:r w:rsidRPr="0015028B">
        <w:rPr>
          <w:sz w:val="22"/>
          <w:szCs w:val="22"/>
        </w:rPr>
        <w:t>for cooperation in the South China Sea.</w:t>
      </w:r>
    </w:p>
    <w:p w14:paraId="75727ABD" w14:textId="77777777" w:rsidR="00A44586" w:rsidRPr="00A44586" w:rsidRDefault="00A44586" w:rsidP="00A44586">
      <w:pPr>
        <w:spacing w:after="120"/>
        <w:jc w:val="both"/>
        <w:rPr>
          <w:b/>
          <w:i/>
          <w:sz w:val="22"/>
          <w:szCs w:val="22"/>
        </w:rPr>
      </w:pPr>
      <w:r w:rsidRPr="00A44586">
        <w:rPr>
          <w:b/>
          <w:i/>
          <w:sz w:val="22"/>
          <w:szCs w:val="22"/>
        </w:rPr>
        <w:t>Continuity of participation of national focal points in regional fora</w:t>
      </w:r>
    </w:p>
    <w:p w14:paraId="43DB88D7" w14:textId="77777777" w:rsidR="00A44586" w:rsidRPr="0015028B" w:rsidRDefault="00A44586" w:rsidP="0073459B">
      <w:pPr>
        <w:numPr>
          <w:ilvl w:val="0"/>
          <w:numId w:val="3"/>
        </w:numPr>
        <w:spacing w:after="120"/>
        <w:ind w:left="0" w:firstLine="0"/>
        <w:jc w:val="both"/>
        <w:rPr>
          <w:sz w:val="22"/>
          <w:szCs w:val="22"/>
        </w:rPr>
      </w:pPr>
      <w:r w:rsidRPr="0015028B">
        <w:rPr>
          <w:sz w:val="22"/>
          <w:szCs w:val="22"/>
        </w:rPr>
        <w:t>A key factor in the operation of such step-wise</w:t>
      </w:r>
      <w:r>
        <w:rPr>
          <w:sz w:val="22"/>
          <w:szCs w:val="22"/>
        </w:rPr>
        <w:t xml:space="preserve"> multi-lateral </w:t>
      </w:r>
      <w:r w:rsidRPr="0015028B">
        <w:rPr>
          <w:sz w:val="22"/>
          <w:szCs w:val="22"/>
        </w:rPr>
        <w:t>collaboration is the continuity of participat</w:t>
      </w:r>
      <w:r>
        <w:rPr>
          <w:sz w:val="22"/>
          <w:szCs w:val="22"/>
        </w:rPr>
        <w:t xml:space="preserve">ion of national representatives </w:t>
      </w:r>
      <w:r w:rsidRPr="0015028B">
        <w:rPr>
          <w:sz w:val="22"/>
          <w:szCs w:val="22"/>
        </w:rPr>
        <w:t xml:space="preserve">in the regional forums. </w:t>
      </w:r>
      <w:r>
        <w:rPr>
          <w:sz w:val="22"/>
          <w:szCs w:val="22"/>
        </w:rPr>
        <w:t xml:space="preserve">Senior government officials and </w:t>
      </w:r>
      <w:r w:rsidRPr="0015028B">
        <w:rPr>
          <w:sz w:val="22"/>
          <w:szCs w:val="22"/>
        </w:rPr>
        <w:t xml:space="preserve">scientists from the environment </w:t>
      </w:r>
      <w:r>
        <w:rPr>
          <w:sz w:val="22"/>
          <w:szCs w:val="22"/>
        </w:rPr>
        <w:t xml:space="preserve">and natural resource sectors in </w:t>
      </w:r>
      <w:r w:rsidRPr="0015028B">
        <w:rPr>
          <w:sz w:val="22"/>
          <w:szCs w:val="22"/>
        </w:rPr>
        <w:t>developing East Asian countries typically ca</w:t>
      </w:r>
      <w:r>
        <w:rPr>
          <w:sz w:val="22"/>
          <w:szCs w:val="22"/>
        </w:rPr>
        <w:t xml:space="preserve">rry high workloads </w:t>
      </w:r>
      <w:r w:rsidRPr="0015028B">
        <w:rPr>
          <w:sz w:val="22"/>
          <w:szCs w:val="22"/>
        </w:rPr>
        <w:t xml:space="preserve">overseeing the routine work of </w:t>
      </w:r>
      <w:r>
        <w:rPr>
          <w:sz w:val="22"/>
          <w:szCs w:val="22"/>
        </w:rPr>
        <w:t xml:space="preserve">departments, providing advisory </w:t>
      </w:r>
      <w:r w:rsidRPr="0015028B">
        <w:rPr>
          <w:sz w:val="22"/>
          <w:szCs w:val="22"/>
        </w:rPr>
        <w:t>services to Ministers and the Ca</w:t>
      </w:r>
      <w:r>
        <w:rPr>
          <w:sz w:val="22"/>
          <w:szCs w:val="22"/>
        </w:rPr>
        <w:t xml:space="preserve">binet and managing a variety of externally financed projects. </w:t>
      </w:r>
      <w:r w:rsidRPr="0015028B">
        <w:rPr>
          <w:sz w:val="22"/>
          <w:szCs w:val="22"/>
        </w:rPr>
        <w:t>Part</w:t>
      </w:r>
      <w:r>
        <w:rPr>
          <w:sz w:val="22"/>
          <w:szCs w:val="22"/>
        </w:rPr>
        <w:t xml:space="preserve">icipation in week-long regional </w:t>
      </w:r>
      <w:r w:rsidRPr="0015028B">
        <w:rPr>
          <w:sz w:val="22"/>
          <w:szCs w:val="22"/>
        </w:rPr>
        <w:t>meetings can present significant challenges</w:t>
      </w:r>
      <w:r>
        <w:rPr>
          <w:sz w:val="22"/>
          <w:szCs w:val="22"/>
        </w:rPr>
        <w:t xml:space="preserve"> to individuals in balancing </w:t>
      </w:r>
      <w:r w:rsidRPr="0015028B">
        <w:rPr>
          <w:sz w:val="22"/>
          <w:szCs w:val="22"/>
        </w:rPr>
        <w:t>time away from thei</w:t>
      </w:r>
      <w:r>
        <w:rPr>
          <w:sz w:val="22"/>
          <w:szCs w:val="22"/>
        </w:rPr>
        <w:t xml:space="preserve">r offices combined with meeting </w:t>
      </w:r>
      <w:r w:rsidRPr="0015028B">
        <w:rPr>
          <w:sz w:val="22"/>
          <w:szCs w:val="22"/>
        </w:rPr>
        <w:t>preparation with their other work commitments. Last minute</w:t>
      </w:r>
      <w:r>
        <w:rPr>
          <w:sz w:val="22"/>
          <w:szCs w:val="22"/>
        </w:rPr>
        <w:t xml:space="preserve"> </w:t>
      </w:r>
      <w:r w:rsidRPr="0015028B">
        <w:rPr>
          <w:sz w:val="22"/>
          <w:szCs w:val="22"/>
        </w:rPr>
        <w:t>cancellations and non-attendance at me</w:t>
      </w:r>
      <w:r>
        <w:rPr>
          <w:sz w:val="22"/>
          <w:szCs w:val="22"/>
        </w:rPr>
        <w:t xml:space="preserve">etings does occur, particularly </w:t>
      </w:r>
      <w:r w:rsidRPr="0015028B">
        <w:rPr>
          <w:sz w:val="22"/>
          <w:szCs w:val="22"/>
        </w:rPr>
        <w:t>in instances where the country representative do</w:t>
      </w:r>
      <w:r>
        <w:rPr>
          <w:sz w:val="22"/>
          <w:szCs w:val="22"/>
        </w:rPr>
        <w:t xml:space="preserve">es not </w:t>
      </w:r>
      <w:r w:rsidRPr="0015028B">
        <w:rPr>
          <w:sz w:val="22"/>
          <w:szCs w:val="22"/>
        </w:rPr>
        <w:t>have a vested interest in the pla</w:t>
      </w:r>
      <w:r>
        <w:rPr>
          <w:sz w:val="22"/>
          <w:szCs w:val="22"/>
        </w:rPr>
        <w:t xml:space="preserve">nned business of the meeting or </w:t>
      </w:r>
      <w:r w:rsidRPr="0015028B">
        <w:rPr>
          <w:sz w:val="22"/>
          <w:szCs w:val="22"/>
        </w:rPr>
        <w:t>some form of binding personal or p</w:t>
      </w:r>
      <w:r>
        <w:rPr>
          <w:sz w:val="22"/>
          <w:szCs w:val="22"/>
        </w:rPr>
        <w:t xml:space="preserve">rofessional obligation to other </w:t>
      </w:r>
      <w:r w:rsidRPr="0015028B">
        <w:rPr>
          <w:sz w:val="22"/>
          <w:szCs w:val="22"/>
        </w:rPr>
        <w:t>participants.</w:t>
      </w:r>
    </w:p>
    <w:p w14:paraId="581D7466" w14:textId="77777777" w:rsidR="006941D1" w:rsidRDefault="0073459B" w:rsidP="0073459B">
      <w:pPr>
        <w:numPr>
          <w:ilvl w:val="0"/>
          <w:numId w:val="3"/>
        </w:numPr>
        <w:spacing w:after="120"/>
        <w:ind w:left="0" w:firstLine="0"/>
        <w:jc w:val="both"/>
        <w:rPr>
          <w:sz w:val="22"/>
          <w:szCs w:val="22"/>
        </w:rPr>
      </w:pPr>
      <w:r w:rsidRPr="0015028B">
        <w:rPr>
          <w:sz w:val="22"/>
          <w:szCs w:val="22"/>
        </w:rPr>
        <w:t>Between 2002 and 2008, the SCS</w:t>
      </w:r>
      <w:r>
        <w:rPr>
          <w:sz w:val="22"/>
          <w:szCs w:val="22"/>
        </w:rPr>
        <w:t xml:space="preserve"> project convened a total of 69 </w:t>
      </w:r>
      <w:r w:rsidRPr="0015028B">
        <w:rPr>
          <w:sz w:val="22"/>
          <w:szCs w:val="22"/>
        </w:rPr>
        <w:t>regional working group and tas</w:t>
      </w:r>
      <w:r>
        <w:rPr>
          <w:sz w:val="22"/>
          <w:szCs w:val="22"/>
        </w:rPr>
        <w:t xml:space="preserve">k force meetings, totalling 261 </w:t>
      </w:r>
      <w:r w:rsidRPr="0015028B">
        <w:rPr>
          <w:sz w:val="22"/>
          <w:szCs w:val="22"/>
        </w:rPr>
        <w:t>formal meeting days. A broad asses</w:t>
      </w:r>
      <w:r>
        <w:rPr>
          <w:sz w:val="22"/>
          <w:szCs w:val="22"/>
        </w:rPr>
        <w:t xml:space="preserve">sment of attendance by national </w:t>
      </w:r>
      <w:r w:rsidRPr="0015028B">
        <w:rPr>
          <w:sz w:val="22"/>
          <w:szCs w:val="22"/>
        </w:rPr>
        <w:t xml:space="preserve">project focal point and task </w:t>
      </w:r>
      <w:r>
        <w:rPr>
          <w:sz w:val="22"/>
          <w:szCs w:val="22"/>
        </w:rPr>
        <w:t xml:space="preserve">force members at these meetings </w:t>
      </w:r>
      <w:r w:rsidRPr="0015028B">
        <w:rPr>
          <w:sz w:val="22"/>
          <w:szCs w:val="22"/>
        </w:rPr>
        <w:t xml:space="preserve">was </w:t>
      </w:r>
      <w:r>
        <w:rPr>
          <w:sz w:val="22"/>
          <w:szCs w:val="22"/>
        </w:rPr>
        <w:t>reported by Paterson and Pernetta (2013) and presents an</w:t>
      </w:r>
      <w:r w:rsidRPr="0015028B">
        <w:rPr>
          <w:sz w:val="22"/>
          <w:szCs w:val="22"/>
        </w:rPr>
        <w:t xml:space="preserve"> assess</w:t>
      </w:r>
      <w:r>
        <w:rPr>
          <w:sz w:val="22"/>
          <w:szCs w:val="22"/>
        </w:rPr>
        <w:t>ment of</w:t>
      </w:r>
      <w:r w:rsidRPr="0015028B">
        <w:rPr>
          <w:sz w:val="22"/>
          <w:szCs w:val="22"/>
        </w:rPr>
        <w:t xml:space="preserve"> the continuity of participation in the</w:t>
      </w:r>
      <w:r>
        <w:rPr>
          <w:sz w:val="22"/>
          <w:szCs w:val="22"/>
        </w:rPr>
        <w:t xml:space="preserve"> </w:t>
      </w:r>
      <w:r w:rsidRPr="0015028B">
        <w:rPr>
          <w:sz w:val="22"/>
          <w:szCs w:val="22"/>
        </w:rPr>
        <w:t>regional forums. On average, the attendance rate of nationally</w:t>
      </w:r>
      <w:r>
        <w:rPr>
          <w:sz w:val="22"/>
          <w:szCs w:val="22"/>
        </w:rPr>
        <w:t>-</w:t>
      </w:r>
      <w:r w:rsidRPr="0015028B">
        <w:rPr>
          <w:sz w:val="22"/>
          <w:szCs w:val="22"/>
        </w:rPr>
        <w:t>nominated</w:t>
      </w:r>
      <w:r>
        <w:rPr>
          <w:sz w:val="22"/>
          <w:szCs w:val="22"/>
        </w:rPr>
        <w:t xml:space="preserve"> </w:t>
      </w:r>
      <w:r w:rsidRPr="0015028B">
        <w:rPr>
          <w:sz w:val="22"/>
          <w:szCs w:val="22"/>
        </w:rPr>
        <w:t>focal points in re</w:t>
      </w:r>
      <w:r>
        <w:rPr>
          <w:sz w:val="22"/>
          <w:szCs w:val="22"/>
        </w:rPr>
        <w:t xml:space="preserve">gional meetings was 90 percent. </w:t>
      </w:r>
      <w:r w:rsidRPr="0015028B">
        <w:rPr>
          <w:sz w:val="22"/>
          <w:szCs w:val="22"/>
        </w:rPr>
        <w:t>Focal points were represented by al</w:t>
      </w:r>
      <w:r>
        <w:rPr>
          <w:sz w:val="22"/>
          <w:szCs w:val="22"/>
        </w:rPr>
        <w:t xml:space="preserve">ternates from their agencies on </w:t>
      </w:r>
      <w:r w:rsidRPr="0015028B">
        <w:rPr>
          <w:sz w:val="22"/>
          <w:szCs w:val="22"/>
        </w:rPr>
        <w:t>60 percent of the occasions in wh</w:t>
      </w:r>
      <w:r>
        <w:rPr>
          <w:sz w:val="22"/>
          <w:szCs w:val="22"/>
        </w:rPr>
        <w:t xml:space="preserve">ich they were unable to attend. </w:t>
      </w:r>
      <w:r w:rsidR="00F91E29">
        <w:rPr>
          <w:sz w:val="22"/>
          <w:szCs w:val="22"/>
        </w:rPr>
        <w:t xml:space="preserve">It is presented that </w:t>
      </w:r>
      <w:r w:rsidR="00840D12">
        <w:rPr>
          <w:sz w:val="22"/>
          <w:szCs w:val="22"/>
        </w:rPr>
        <w:t xml:space="preserve">the continued and sustained participation </w:t>
      </w:r>
      <w:r w:rsidR="00A66059">
        <w:rPr>
          <w:sz w:val="22"/>
          <w:szCs w:val="22"/>
        </w:rPr>
        <w:t xml:space="preserve">rates </w:t>
      </w:r>
      <w:r w:rsidR="00840D12">
        <w:rPr>
          <w:sz w:val="22"/>
          <w:szCs w:val="22"/>
        </w:rPr>
        <w:t>of national specialists in regional fora for SCS SAP formulation</w:t>
      </w:r>
      <w:r w:rsidR="00A66059">
        <w:rPr>
          <w:sz w:val="22"/>
          <w:szCs w:val="22"/>
        </w:rPr>
        <w:t xml:space="preserve"> were the highest of any SAP formulation initiative globally to date, and provide unprecedented insight into the </w:t>
      </w:r>
      <w:r w:rsidR="00E60FFC">
        <w:rPr>
          <w:sz w:val="22"/>
          <w:szCs w:val="22"/>
        </w:rPr>
        <w:t>quality of consultative processes</w:t>
      </w:r>
      <w:r w:rsidR="00A66059">
        <w:rPr>
          <w:sz w:val="22"/>
          <w:szCs w:val="22"/>
        </w:rPr>
        <w:t xml:space="preserve"> </w:t>
      </w:r>
      <w:r w:rsidR="00E60FFC">
        <w:rPr>
          <w:sz w:val="22"/>
          <w:szCs w:val="22"/>
        </w:rPr>
        <w:t>undertaken to reach</w:t>
      </w:r>
      <w:r w:rsidR="007D3CF6">
        <w:rPr>
          <w:sz w:val="22"/>
          <w:szCs w:val="22"/>
        </w:rPr>
        <w:t xml:space="preserve"> </w:t>
      </w:r>
      <w:r w:rsidR="00E60FFC">
        <w:rPr>
          <w:sz w:val="22"/>
          <w:szCs w:val="22"/>
        </w:rPr>
        <w:t>consensus</w:t>
      </w:r>
      <w:r w:rsidR="00A66059">
        <w:rPr>
          <w:sz w:val="22"/>
          <w:szCs w:val="22"/>
        </w:rPr>
        <w:t xml:space="preserve"> on the baselines and analyses of options for interventions used in agreeing SAP targets and actions</w:t>
      </w:r>
      <w:r w:rsidR="00A66059">
        <w:rPr>
          <w:rStyle w:val="FootnoteReference"/>
          <w:sz w:val="22"/>
          <w:szCs w:val="22"/>
        </w:rPr>
        <w:footnoteReference w:id="21"/>
      </w:r>
      <w:r w:rsidR="00A66059">
        <w:rPr>
          <w:sz w:val="22"/>
          <w:szCs w:val="22"/>
        </w:rPr>
        <w:t>.</w:t>
      </w:r>
    </w:p>
    <w:p w14:paraId="7D075427" w14:textId="77777777" w:rsidR="0073459B" w:rsidRDefault="0073459B" w:rsidP="0073459B">
      <w:pPr>
        <w:numPr>
          <w:ilvl w:val="0"/>
          <w:numId w:val="3"/>
        </w:numPr>
        <w:spacing w:after="120"/>
        <w:ind w:left="0" w:firstLine="0"/>
        <w:jc w:val="both"/>
        <w:rPr>
          <w:sz w:val="22"/>
          <w:szCs w:val="22"/>
        </w:rPr>
      </w:pPr>
      <w:r w:rsidRPr="0015028B">
        <w:rPr>
          <w:sz w:val="22"/>
          <w:szCs w:val="22"/>
        </w:rPr>
        <w:t>The overall non-participation rat</w:t>
      </w:r>
      <w:r>
        <w:rPr>
          <w:sz w:val="22"/>
          <w:szCs w:val="22"/>
        </w:rPr>
        <w:t xml:space="preserve">e of nationally-nominated focal </w:t>
      </w:r>
      <w:r w:rsidRPr="0015028B">
        <w:rPr>
          <w:sz w:val="22"/>
          <w:szCs w:val="22"/>
        </w:rPr>
        <w:t>points in regional working group an</w:t>
      </w:r>
      <w:r>
        <w:rPr>
          <w:sz w:val="22"/>
          <w:szCs w:val="22"/>
        </w:rPr>
        <w:t xml:space="preserve">d task force meetings (i.e., no </w:t>
      </w:r>
      <w:r w:rsidRPr="0015028B">
        <w:rPr>
          <w:sz w:val="22"/>
          <w:szCs w:val="22"/>
        </w:rPr>
        <w:t>focal point or alternate present for a given country on any meeting</w:t>
      </w:r>
      <w:r>
        <w:rPr>
          <w:sz w:val="22"/>
          <w:szCs w:val="22"/>
        </w:rPr>
        <w:t xml:space="preserve"> </w:t>
      </w:r>
      <w:r w:rsidRPr="0015028B">
        <w:rPr>
          <w:sz w:val="22"/>
          <w:szCs w:val="22"/>
        </w:rPr>
        <w:t>day) was only 4 percent of th</w:t>
      </w:r>
      <w:r>
        <w:rPr>
          <w:sz w:val="22"/>
          <w:szCs w:val="22"/>
        </w:rPr>
        <w:t xml:space="preserve">e aggregate 1718 person meeting </w:t>
      </w:r>
      <w:r w:rsidRPr="0015028B">
        <w:rPr>
          <w:sz w:val="22"/>
          <w:szCs w:val="22"/>
        </w:rPr>
        <w:t>d</w:t>
      </w:r>
      <w:r>
        <w:rPr>
          <w:sz w:val="22"/>
          <w:szCs w:val="22"/>
        </w:rPr>
        <w:t xml:space="preserve">ays. </w:t>
      </w:r>
      <w:r w:rsidRPr="0015028B">
        <w:rPr>
          <w:sz w:val="22"/>
          <w:szCs w:val="22"/>
        </w:rPr>
        <w:t xml:space="preserve">Focal points for the fisheries and </w:t>
      </w:r>
      <w:r>
        <w:rPr>
          <w:sz w:val="22"/>
          <w:szCs w:val="22"/>
        </w:rPr>
        <w:t xml:space="preserve">wetlands components contributed most to non-participation rates. In the case of </w:t>
      </w:r>
      <w:r w:rsidRPr="0015028B">
        <w:rPr>
          <w:sz w:val="22"/>
          <w:szCs w:val="22"/>
        </w:rPr>
        <w:t>fisheries, this may be explained by t</w:t>
      </w:r>
      <w:r>
        <w:rPr>
          <w:sz w:val="22"/>
          <w:szCs w:val="22"/>
        </w:rPr>
        <w:t xml:space="preserve">he large number of regional and </w:t>
      </w:r>
      <w:r w:rsidRPr="0015028B">
        <w:rPr>
          <w:sz w:val="22"/>
          <w:szCs w:val="22"/>
        </w:rPr>
        <w:t>international fisheries forums that fisheries scientists a</w:t>
      </w:r>
      <w:r>
        <w:rPr>
          <w:sz w:val="22"/>
          <w:szCs w:val="22"/>
        </w:rPr>
        <w:t xml:space="preserve">nd managers </w:t>
      </w:r>
      <w:r w:rsidRPr="0015028B">
        <w:rPr>
          <w:sz w:val="22"/>
          <w:szCs w:val="22"/>
        </w:rPr>
        <w:t xml:space="preserve">from Southeast Asia </w:t>
      </w:r>
      <w:r>
        <w:rPr>
          <w:sz w:val="22"/>
          <w:szCs w:val="22"/>
        </w:rPr>
        <w:t>are</w:t>
      </w:r>
      <w:r w:rsidRPr="0015028B">
        <w:rPr>
          <w:sz w:val="22"/>
          <w:szCs w:val="22"/>
        </w:rPr>
        <w:t xml:space="preserve"> required </w:t>
      </w:r>
      <w:r>
        <w:rPr>
          <w:sz w:val="22"/>
          <w:szCs w:val="22"/>
        </w:rPr>
        <w:t xml:space="preserve">to attend. It is also pertinent </w:t>
      </w:r>
      <w:r w:rsidRPr="0015028B">
        <w:rPr>
          <w:sz w:val="22"/>
          <w:szCs w:val="22"/>
        </w:rPr>
        <w:t>to note that the data pre</w:t>
      </w:r>
      <w:r>
        <w:rPr>
          <w:sz w:val="22"/>
          <w:szCs w:val="22"/>
        </w:rPr>
        <w:t>sented above do not include the p</w:t>
      </w:r>
      <w:r w:rsidRPr="0015028B">
        <w:rPr>
          <w:sz w:val="22"/>
          <w:szCs w:val="22"/>
        </w:rPr>
        <w:t>articipation of the various regiona</w:t>
      </w:r>
      <w:r>
        <w:rPr>
          <w:sz w:val="22"/>
          <w:szCs w:val="22"/>
        </w:rPr>
        <w:t xml:space="preserve">l expert members of the working </w:t>
      </w:r>
      <w:r w:rsidRPr="0015028B">
        <w:rPr>
          <w:sz w:val="22"/>
          <w:szCs w:val="22"/>
        </w:rPr>
        <w:t>groups and task forces in meetings. Expert members ga</w:t>
      </w:r>
      <w:r>
        <w:rPr>
          <w:sz w:val="22"/>
          <w:szCs w:val="22"/>
        </w:rPr>
        <w:t xml:space="preserve">ve their </w:t>
      </w:r>
      <w:r w:rsidRPr="0015028B">
        <w:rPr>
          <w:sz w:val="22"/>
          <w:szCs w:val="22"/>
        </w:rPr>
        <w:t>time and expertise freely to the work o</w:t>
      </w:r>
      <w:r>
        <w:rPr>
          <w:sz w:val="22"/>
          <w:szCs w:val="22"/>
        </w:rPr>
        <w:t xml:space="preserve">f the project and the estimated </w:t>
      </w:r>
      <w:r w:rsidRPr="0015028B">
        <w:rPr>
          <w:sz w:val="22"/>
          <w:szCs w:val="22"/>
        </w:rPr>
        <w:t>participation rate amongst th</w:t>
      </w:r>
      <w:r>
        <w:rPr>
          <w:sz w:val="22"/>
          <w:szCs w:val="22"/>
        </w:rPr>
        <w:t xml:space="preserve">is latter group was 94 percent. </w:t>
      </w:r>
      <w:r w:rsidRPr="0015028B">
        <w:rPr>
          <w:sz w:val="22"/>
          <w:szCs w:val="22"/>
        </w:rPr>
        <w:t>The overall non-participation ra</w:t>
      </w:r>
      <w:r>
        <w:rPr>
          <w:sz w:val="22"/>
          <w:szCs w:val="22"/>
        </w:rPr>
        <w:t xml:space="preserve">te of national focal points and </w:t>
      </w:r>
      <w:r w:rsidRPr="0015028B">
        <w:rPr>
          <w:sz w:val="22"/>
          <w:szCs w:val="22"/>
        </w:rPr>
        <w:t>regional experts combined was 3.6 percent.</w:t>
      </w:r>
      <w:r>
        <w:rPr>
          <w:sz w:val="22"/>
          <w:szCs w:val="22"/>
        </w:rPr>
        <w:t xml:space="preserve"> </w:t>
      </w:r>
    </w:p>
    <w:p w14:paraId="1D3459FA" w14:textId="77777777" w:rsidR="0073459B" w:rsidRPr="0073459B" w:rsidRDefault="0073459B" w:rsidP="0073459B">
      <w:pPr>
        <w:spacing w:after="120"/>
        <w:rPr>
          <w:b/>
          <w:i/>
          <w:sz w:val="22"/>
          <w:szCs w:val="22"/>
        </w:rPr>
      </w:pPr>
      <w:r w:rsidRPr="0073459B">
        <w:rPr>
          <w:b/>
          <w:i/>
          <w:sz w:val="22"/>
          <w:szCs w:val="22"/>
        </w:rPr>
        <w:t>Region-wide sharing of a consensual information base on the South China Sea</w:t>
      </w:r>
    </w:p>
    <w:p w14:paraId="7C6C7E65" w14:textId="77777777" w:rsidR="00A44586" w:rsidRDefault="0073459B" w:rsidP="0073459B">
      <w:pPr>
        <w:numPr>
          <w:ilvl w:val="0"/>
          <w:numId w:val="3"/>
        </w:numPr>
        <w:spacing w:after="120"/>
        <w:ind w:left="0" w:firstLine="0"/>
        <w:jc w:val="both"/>
        <w:rPr>
          <w:sz w:val="22"/>
          <w:szCs w:val="22"/>
          <w:lang w:val="en-GB"/>
        </w:rPr>
      </w:pPr>
      <w:r w:rsidRPr="0073459B">
        <w:rPr>
          <w:sz w:val="22"/>
          <w:szCs w:val="22"/>
          <w:lang w:val="en-GB"/>
        </w:rPr>
        <w:t xml:space="preserve">The information and data compiled to confirm and quantify key threats to the marine environment of the South China Sea and to determine priorities for intervention across areas of concern, such as habitat degradation and loss, over-exploitation of fisheries, and land-based pollution, were many and varied. Through the procedures outlined above, this information and data were reviewed at various levels and the feedback loops between national and regional organs of the project management framework enabled decisions to be made regarding whether or not these should be included in the common set of baseline information and data to be used in planning. This process relied on a culture of scientific independence and veracity established </w:t>
      </w:r>
      <w:r>
        <w:rPr>
          <w:sz w:val="22"/>
          <w:szCs w:val="22"/>
          <w:lang w:val="en-GB"/>
        </w:rPr>
        <w:t>in support of</w:t>
      </w:r>
      <w:r w:rsidRPr="0073459B">
        <w:rPr>
          <w:sz w:val="22"/>
          <w:szCs w:val="22"/>
          <w:lang w:val="en-GB"/>
        </w:rPr>
        <w:t xml:space="preserve"> N</w:t>
      </w:r>
      <w:r w:rsidR="002B3A3C">
        <w:rPr>
          <w:sz w:val="22"/>
          <w:szCs w:val="22"/>
          <w:lang w:val="en-GB"/>
        </w:rPr>
        <w:t xml:space="preserve">ational </w:t>
      </w:r>
      <w:r w:rsidRPr="0073459B">
        <w:rPr>
          <w:sz w:val="22"/>
          <w:szCs w:val="22"/>
          <w:lang w:val="en-GB"/>
        </w:rPr>
        <w:t>A</w:t>
      </w:r>
      <w:r w:rsidR="002B3A3C">
        <w:rPr>
          <w:sz w:val="22"/>
          <w:szCs w:val="22"/>
          <w:lang w:val="en-GB"/>
        </w:rPr>
        <w:t xml:space="preserve">ction </w:t>
      </w:r>
      <w:r w:rsidRPr="0073459B">
        <w:rPr>
          <w:sz w:val="22"/>
          <w:szCs w:val="22"/>
          <w:lang w:val="en-GB"/>
        </w:rPr>
        <w:t>P</w:t>
      </w:r>
      <w:r w:rsidR="002B3A3C">
        <w:rPr>
          <w:sz w:val="22"/>
          <w:szCs w:val="22"/>
          <w:lang w:val="en-GB"/>
        </w:rPr>
        <w:t>lan</w:t>
      </w:r>
      <w:r w:rsidRPr="0073459B">
        <w:rPr>
          <w:sz w:val="22"/>
          <w:szCs w:val="22"/>
          <w:lang w:val="en-GB"/>
        </w:rPr>
        <w:t xml:space="preserve"> and S</w:t>
      </w:r>
      <w:r w:rsidR="002B3A3C">
        <w:rPr>
          <w:sz w:val="22"/>
          <w:szCs w:val="22"/>
          <w:lang w:val="en-GB"/>
        </w:rPr>
        <w:t xml:space="preserve">trategic </w:t>
      </w:r>
      <w:r w:rsidRPr="0073459B">
        <w:rPr>
          <w:sz w:val="22"/>
          <w:szCs w:val="22"/>
          <w:lang w:val="en-GB"/>
        </w:rPr>
        <w:t>A</w:t>
      </w:r>
      <w:r w:rsidR="002B3A3C">
        <w:rPr>
          <w:sz w:val="22"/>
          <w:szCs w:val="22"/>
          <w:lang w:val="en-GB"/>
        </w:rPr>
        <w:t xml:space="preserve">ction </w:t>
      </w:r>
      <w:r w:rsidRPr="0073459B">
        <w:rPr>
          <w:sz w:val="22"/>
          <w:szCs w:val="22"/>
          <w:lang w:val="en-GB"/>
        </w:rPr>
        <w:t>P</w:t>
      </w:r>
      <w:r w:rsidR="002B3A3C">
        <w:rPr>
          <w:sz w:val="22"/>
          <w:szCs w:val="22"/>
          <w:lang w:val="en-GB"/>
        </w:rPr>
        <w:t>rogramme</w:t>
      </w:r>
      <w:r w:rsidRPr="0073459B">
        <w:rPr>
          <w:sz w:val="22"/>
          <w:szCs w:val="22"/>
          <w:lang w:val="en-GB"/>
        </w:rPr>
        <w:t xml:space="preserve"> </w:t>
      </w:r>
      <w:r w:rsidR="00590C3E">
        <w:rPr>
          <w:sz w:val="22"/>
          <w:szCs w:val="22"/>
          <w:lang w:val="en-GB"/>
        </w:rPr>
        <w:t>formulation</w:t>
      </w:r>
      <w:r w:rsidRPr="0073459B">
        <w:rPr>
          <w:sz w:val="22"/>
          <w:szCs w:val="22"/>
          <w:lang w:val="en-GB"/>
        </w:rPr>
        <w:t>.</w:t>
      </w:r>
    </w:p>
    <w:p w14:paraId="6939D9D5" w14:textId="77777777" w:rsidR="0073459B" w:rsidRPr="0015028B" w:rsidRDefault="0073459B" w:rsidP="0073459B">
      <w:pPr>
        <w:numPr>
          <w:ilvl w:val="0"/>
          <w:numId w:val="3"/>
        </w:numPr>
        <w:spacing w:after="120"/>
        <w:ind w:left="0" w:firstLine="0"/>
        <w:jc w:val="both"/>
        <w:rPr>
          <w:sz w:val="22"/>
          <w:szCs w:val="22"/>
        </w:rPr>
      </w:pPr>
      <w:r w:rsidRPr="0015028B">
        <w:rPr>
          <w:sz w:val="22"/>
          <w:szCs w:val="22"/>
        </w:rPr>
        <w:t>At the primary level, national-le</w:t>
      </w:r>
      <w:r>
        <w:rPr>
          <w:sz w:val="22"/>
          <w:szCs w:val="22"/>
        </w:rPr>
        <w:t xml:space="preserve">vel sources of information were </w:t>
      </w:r>
      <w:r w:rsidRPr="0015028B">
        <w:rPr>
          <w:sz w:val="22"/>
          <w:szCs w:val="22"/>
        </w:rPr>
        <w:t>compiled into various forms, including characterisations of habitat</w:t>
      </w:r>
      <w:r>
        <w:rPr>
          <w:sz w:val="22"/>
          <w:szCs w:val="22"/>
        </w:rPr>
        <w:t xml:space="preserve"> </w:t>
      </w:r>
      <w:r w:rsidRPr="0015028B">
        <w:rPr>
          <w:sz w:val="22"/>
          <w:szCs w:val="22"/>
        </w:rPr>
        <w:t xml:space="preserve">sites, fisheries, pollution and </w:t>
      </w:r>
      <w:r>
        <w:rPr>
          <w:sz w:val="22"/>
          <w:szCs w:val="22"/>
        </w:rPr>
        <w:t xml:space="preserve">monitoring stations, as well as national </w:t>
      </w:r>
      <w:r w:rsidRPr="0015028B">
        <w:rPr>
          <w:sz w:val="22"/>
          <w:szCs w:val="22"/>
        </w:rPr>
        <w:t>meta-data catalogues. T</w:t>
      </w:r>
      <w:r>
        <w:rPr>
          <w:sz w:val="22"/>
          <w:szCs w:val="22"/>
        </w:rPr>
        <w:t xml:space="preserve">his was accompanied by detailed </w:t>
      </w:r>
      <w:r w:rsidRPr="0015028B">
        <w:rPr>
          <w:sz w:val="22"/>
          <w:szCs w:val="22"/>
        </w:rPr>
        <w:t>de</w:t>
      </w:r>
      <w:r>
        <w:rPr>
          <w:sz w:val="22"/>
          <w:szCs w:val="22"/>
        </w:rPr>
        <w:t>sk-based reviews of past and on-</w:t>
      </w:r>
      <w:r w:rsidRPr="0015028B">
        <w:rPr>
          <w:sz w:val="22"/>
          <w:szCs w:val="22"/>
        </w:rPr>
        <w:t>g</w:t>
      </w:r>
      <w:r>
        <w:rPr>
          <w:sz w:val="22"/>
          <w:szCs w:val="22"/>
        </w:rPr>
        <w:t xml:space="preserve">oing projects, policy and legal </w:t>
      </w:r>
      <w:r w:rsidRPr="0015028B">
        <w:rPr>
          <w:sz w:val="22"/>
          <w:szCs w:val="22"/>
        </w:rPr>
        <w:t xml:space="preserve">reviews, and analysis of strategic and operational plans of </w:t>
      </w:r>
      <w:r>
        <w:rPr>
          <w:sz w:val="22"/>
          <w:szCs w:val="22"/>
        </w:rPr>
        <w:t xml:space="preserve">relevant </w:t>
      </w:r>
      <w:r w:rsidRPr="0015028B">
        <w:rPr>
          <w:sz w:val="22"/>
          <w:szCs w:val="22"/>
        </w:rPr>
        <w:t>sectoral agencies involved in environ</w:t>
      </w:r>
      <w:r>
        <w:rPr>
          <w:sz w:val="22"/>
          <w:szCs w:val="22"/>
        </w:rPr>
        <w:t xml:space="preserve">mental and </w:t>
      </w:r>
      <w:r w:rsidR="00590C3E">
        <w:rPr>
          <w:sz w:val="22"/>
          <w:szCs w:val="22"/>
        </w:rPr>
        <w:t xml:space="preserve">natural </w:t>
      </w:r>
      <w:r>
        <w:rPr>
          <w:sz w:val="22"/>
          <w:szCs w:val="22"/>
        </w:rPr>
        <w:t xml:space="preserve">resource management. To enable ease of access to the information and data </w:t>
      </w:r>
      <w:r w:rsidRPr="0015028B">
        <w:rPr>
          <w:sz w:val="22"/>
          <w:szCs w:val="22"/>
        </w:rPr>
        <w:t>compiled during the preparatory p</w:t>
      </w:r>
      <w:r>
        <w:rPr>
          <w:sz w:val="22"/>
          <w:szCs w:val="22"/>
        </w:rPr>
        <w:t xml:space="preserve">hase, a series of </w:t>
      </w:r>
      <w:r w:rsidR="00E60FFC">
        <w:rPr>
          <w:sz w:val="22"/>
          <w:szCs w:val="22"/>
        </w:rPr>
        <w:t xml:space="preserve">publications </w:t>
      </w:r>
      <w:r>
        <w:rPr>
          <w:sz w:val="22"/>
          <w:szCs w:val="22"/>
        </w:rPr>
        <w:t xml:space="preserve">were </w:t>
      </w:r>
      <w:r w:rsidRPr="0015028B">
        <w:rPr>
          <w:sz w:val="22"/>
          <w:szCs w:val="22"/>
        </w:rPr>
        <w:t>produced by the RWGs on habitats and land-based pollution. E</w:t>
      </w:r>
      <w:r>
        <w:rPr>
          <w:sz w:val="22"/>
          <w:szCs w:val="22"/>
        </w:rPr>
        <w:t xml:space="preserve">fforts </w:t>
      </w:r>
      <w:r w:rsidRPr="0015028B">
        <w:rPr>
          <w:sz w:val="22"/>
          <w:szCs w:val="22"/>
        </w:rPr>
        <w:t>to produce comprehensive</w:t>
      </w:r>
      <w:r>
        <w:rPr>
          <w:sz w:val="22"/>
          <w:szCs w:val="22"/>
        </w:rPr>
        <w:t xml:space="preserve"> national reports on mangroves, </w:t>
      </w:r>
      <w:r w:rsidRPr="0015028B">
        <w:rPr>
          <w:sz w:val="22"/>
          <w:szCs w:val="22"/>
        </w:rPr>
        <w:t>wetlands, coral reefs, seagrass, fisher</w:t>
      </w:r>
      <w:r>
        <w:rPr>
          <w:sz w:val="22"/>
          <w:szCs w:val="22"/>
        </w:rPr>
        <w:t xml:space="preserve">ies and land-based pollution in </w:t>
      </w:r>
      <w:r w:rsidRPr="0015028B">
        <w:rPr>
          <w:sz w:val="22"/>
          <w:szCs w:val="22"/>
        </w:rPr>
        <w:t>the South China Sea were initiated during the preparatory phase.</w:t>
      </w:r>
    </w:p>
    <w:p w14:paraId="6B66A501" w14:textId="77777777" w:rsidR="00335E1B" w:rsidRDefault="00335E1B" w:rsidP="00335E1B">
      <w:pPr>
        <w:numPr>
          <w:ilvl w:val="0"/>
          <w:numId w:val="3"/>
        </w:numPr>
        <w:spacing w:after="120"/>
        <w:ind w:left="0" w:firstLine="0"/>
        <w:jc w:val="both"/>
        <w:rPr>
          <w:sz w:val="22"/>
          <w:szCs w:val="22"/>
        </w:rPr>
      </w:pPr>
      <w:r w:rsidRPr="0015028B">
        <w:rPr>
          <w:sz w:val="22"/>
          <w:szCs w:val="22"/>
        </w:rPr>
        <w:t>Prepared in both national and English languages, these re</w:t>
      </w:r>
      <w:r>
        <w:rPr>
          <w:sz w:val="22"/>
          <w:szCs w:val="22"/>
        </w:rPr>
        <w:t xml:space="preserve">ports also </w:t>
      </w:r>
      <w:r w:rsidRPr="0015028B">
        <w:rPr>
          <w:sz w:val="22"/>
          <w:szCs w:val="22"/>
        </w:rPr>
        <w:t>benefited from step-wise review</w:t>
      </w:r>
      <w:r>
        <w:rPr>
          <w:sz w:val="22"/>
          <w:szCs w:val="22"/>
        </w:rPr>
        <w:t xml:space="preserve"> by national committees, NTWGs, </w:t>
      </w:r>
      <w:r w:rsidRPr="0015028B">
        <w:rPr>
          <w:sz w:val="22"/>
          <w:szCs w:val="22"/>
        </w:rPr>
        <w:t>RWGs and the RSTC. These</w:t>
      </w:r>
      <w:r>
        <w:rPr>
          <w:sz w:val="22"/>
          <w:szCs w:val="22"/>
        </w:rPr>
        <w:t xml:space="preserve"> were published and the outputs disseminated regionally and online in 2007. </w:t>
      </w:r>
      <w:r w:rsidRPr="0015028B">
        <w:rPr>
          <w:sz w:val="22"/>
          <w:szCs w:val="22"/>
        </w:rPr>
        <w:t xml:space="preserve">The raw information and </w:t>
      </w:r>
      <w:r>
        <w:rPr>
          <w:sz w:val="22"/>
          <w:szCs w:val="22"/>
        </w:rPr>
        <w:t xml:space="preserve">data, in the form of discussion and </w:t>
      </w:r>
      <w:r w:rsidRPr="0015028B">
        <w:rPr>
          <w:sz w:val="22"/>
          <w:szCs w:val="22"/>
        </w:rPr>
        <w:t>information documents, was pr</w:t>
      </w:r>
      <w:r>
        <w:rPr>
          <w:sz w:val="22"/>
          <w:szCs w:val="22"/>
        </w:rPr>
        <w:t xml:space="preserve">ovided to RWGs, RTFs, RSTC, and </w:t>
      </w:r>
      <w:r w:rsidRPr="0015028B">
        <w:rPr>
          <w:sz w:val="22"/>
          <w:szCs w:val="22"/>
        </w:rPr>
        <w:t xml:space="preserve">PSC meetings during </w:t>
      </w:r>
      <w:r w:rsidR="00E60FFC">
        <w:rPr>
          <w:sz w:val="22"/>
          <w:szCs w:val="22"/>
        </w:rPr>
        <w:t>SAP formulation</w:t>
      </w:r>
      <w:r>
        <w:rPr>
          <w:sz w:val="22"/>
          <w:szCs w:val="22"/>
        </w:rPr>
        <w:t xml:space="preserve">. The analysis of this </w:t>
      </w:r>
      <w:r w:rsidRPr="0015028B">
        <w:rPr>
          <w:sz w:val="22"/>
          <w:szCs w:val="22"/>
        </w:rPr>
        <w:t xml:space="preserve">information and the subsequent </w:t>
      </w:r>
      <w:r>
        <w:rPr>
          <w:sz w:val="22"/>
          <w:szCs w:val="22"/>
        </w:rPr>
        <w:t xml:space="preserve">reports of the meetings provide </w:t>
      </w:r>
      <w:r w:rsidRPr="0015028B">
        <w:rPr>
          <w:sz w:val="22"/>
          <w:szCs w:val="22"/>
        </w:rPr>
        <w:t xml:space="preserve">a detailed account of the steps </w:t>
      </w:r>
      <w:r>
        <w:rPr>
          <w:sz w:val="22"/>
          <w:szCs w:val="22"/>
        </w:rPr>
        <w:t xml:space="preserve">taken to arrive at consensus on </w:t>
      </w:r>
      <w:r w:rsidRPr="0015028B">
        <w:rPr>
          <w:sz w:val="22"/>
          <w:szCs w:val="22"/>
        </w:rPr>
        <w:t>va</w:t>
      </w:r>
      <w:r>
        <w:rPr>
          <w:sz w:val="22"/>
          <w:szCs w:val="22"/>
        </w:rPr>
        <w:t xml:space="preserve">rious issues and priorities for </w:t>
      </w:r>
      <w:r w:rsidRPr="0015028B">
        <w:rPr>
          <w:sz w:val="22"/>
          <w:szCs w:val="22"/>
        </w:rPr>
        <w:t>inc</w:t>
      </w:r>
      <w:r>
        <w:rPr>
          <w:sz w:val="22"/>
          <w:szCs w:val="22"/>
        </w:rPr>
        <w:t xml:space="preserve">lusion in NAPs and the regional </w:t>
      </w:r>
      <w:r w:rsidRPr="0015028B">
        <w:rPr>
          <w:sz w:val="22"/>
          <w:szCs w:val="22"/>
        </w:rPr>
        <w:t>SAP. These discussion docu</w:t>
      </w:r>
      <w:r>
        <w:rPr>
          <w:sz w:val="22"/>
          <w:szCs w:val="22"/>
        </w:rPr>
        <w:t xml:space="preserve">ments and meeting reports, each </w:t>
      </w:r>
      <w:r w:rsidRPr="0015028B">
        <w:rPr>
          <w:sz w:val="22"/>
          <w:szCs w:val="22"/>
        </w:rPr>
        <w:t>meticulously internally refer</w:t>
      </w:r>
      <w:r>
        <w:rPr>
          <w:sz w:val="22"/>
          <w:szCs w:val="22"/>
        </w:rPr>
        <w:t xml:space="preserve">enced to one another, number in </w:t>
      </w:r>
      <w:r w:rsidRPr="0015028B">
        <w:rPr>
          <w:sz w:val="22"/>
          <w:szCs w:val="22"/>
        </w:rPr>
        <w:t>excess of 1700 and, collectively, rep</w:t>
      </w:r>
      <w:r>
        <w:rPr>
          <w:sz w:val="22"/>
          <w:szCs w:val="22"/>
        </w:rPr>
        <w:t xml:space="preserve">resent possibly one of the most </w:t>
      </w:r>
      <w:r w:rsidRPr="0015028B">
        <w:rPr>
          <w:sz w:val="22"/>
          <w:szCs w:val="22"/>
        </w:rPr>
        <w:t>insightful accounts of the colla</w:t>
      </w:r>
      <w:r>
        <w:rPr>
          <w:sz w:val="22"/>
          <w:szCs w:val="22"/>
        </w:rPr>
        <w:t xml:space="preserve">borative analysis of issues and </w:t>
      </w:r>
      <w:r w:rsidRPr="0015028B">
        <w:rPr>
          <w:sz w:val="22"/>
          <w:szCs w:val="22"/>
        </w:rPr>
        <w:t xml:space="preserve">planning options for the joint </w:t>
      </w:r>
      <w:r>
        <w:rPr>
          <w:sz w:val="22"/>
          <w:szCs w:val="22"/>
        </w:rPr>
        <w:t>management of any shared marine basin globally</w:t>
      </w:r>
      <w:r>
        <w:rPr>
          <w:rStyle w:val="FootnoteReference"/>
          <w:sz w:val="22"/>
          <w:szCs w:val="22"/>
        </w:rPr>
        <w:footnoteReference w:id="22"/>
      </w:r>
      <w:r>
        <w:rPr>
          <w:sz w:val="22"/>
          <w:szCs w:val="22"/>
        </w:rPr>
        <w:t xml:space="preserve">. </w:t>
      </w:r>
      <w:r w:rsidRPr="0015028B">
        <w:rPr>
          <w:sz w:val="22"/>
          <w:szCs w:val="22"/>
        </w:rPr>
        <w:t>Building on thi</w:t>
      </w:r>
      <w:r>
        <w:rPr>
          <w:sz w:val="22"/>
          <w:szCs w:val="22"/>
        </w:rPr>
        <w:t xml:space="preserve">s extensive knowledge base, the </w:t>
      </w:r>
      <w:r w:rsidRPr="0015028B">
        <w:rPr>
          <w:sz w:val="22"/>
          <w:szCs w:val="22"/>
        </w:rPr>
        <w:t>RWGs, RTFs and RSTC each contributed to the publication of a seri</w:t>
      </w:r>
      <w:r>
        <w:rPr>
          <w:sz w:val="22"/>
          <w:szCs w:val="22"/>
        </w:rPr>
        <w:t xml:space="preserve">es </w:t>
      </w:r>
      <w:r w:rsidRPr="0015028B">
        <w:rPr>
          <w:sz w:val="22"/>
          <w:szCs w:val="22"/>
        </w:rPr>
        <w:t>of South China Sea knowledge doc</w:t>
      </w:r>
      <w:r>
        <w:rPr>
          <w:sz w:val="22"/>
          <w:szCs w:val="22"/>
        </w:rPr>
        <w:t xml:space="preserve">uments, technical publications, </w:t>
      </w:r>
      <w:r w:rsidRPr="0015028B">
        <w:rPr>
          <w:sz w:val="22"/>
          <w:szCs w:val="22"/>
        </w:rPr>
        <w:t>regional guid</w:t>
      </w:r>
      <w:r>
        <w:rPr>
          <w:sz w:val="22"/>
          <w:szCs w:val="22"/>
        </w:rPr>
        <w:t xml:space="preserve">elines, and training resources. </w:t>
      </w:r>
    </w:p>
    <w:p w14:paraId="5BD51564" w14:textId="77777777" w:rsidR="00335E1B" w:rsidRPr="0015028B" w:rsidRDefault="00335E1B" w:rsidP="00335E1B">
      <w:pPr>
        <w:numPr>
          <w:ilvl w:val="0"/>
          <w:numId w:val="3"/>
        </w:numPr>
        <w:spacing w:after="120"/>
        <w:ind w:left="0" w:firstLine="0"/>
        <w:jc w:val="both"/>
        <w:rPr>
          <w:sz w:val="22"/>
          <w:szCs w:val="22"/>
        </w:rPr>
      </w:pPr>
      <w:r w:rsidRPr="0015028B">
        <w:rPr>
          <w:sz w:val="22"/>
          <w:szCs w:val="22"/>
        </w:rPr>
        <w:t>At the time of project development a</w:t>
      </w:r>
      <w:r>
        <w:rPr>
          <w:sz w:val="22"/>
          <w:szCs w:val="22"/>
        </w:rPr>
        <w:t xml:space="preserve">nd during its early preparatory </w:t>
      </w:r>
      <w:r w:rsidRPr="0015028B">
        <w:rPr>
          <w:sz w:val="22"/>
          <w:szCs w:val="22"/>
        </w:rPr>
        <w:t xml:space="preserve">phase, the rapid proliferation </w:t>
      </w:r>
      <w:r>
        <w:rPr>
          <w:sz w:val="22"/>
          <w:szCs w:val="22"/>
        </w:rPr>
        <w:t xml:space="preserve">of the ‘blogosphere’ and online </w:t>
      </w:r>
      <w:r w:rsidRPr="0015028B">
        <w:rPr>
          <w:sz w:val="22"/>
          <w:szCs w:val="22"/>
        </w:rPr>
        <w:t>technologies during the subsequen</w:t>
      </w:r>
      <w:r>
        <w:rPr>
          <w:sz w:val="22"/>
          <w:szCs w:val="22"/>
        </w:rPr>
        <w:t xml:space="preserve">t decade was not envisaged, nor </w:t>
      </w:r>
      <w:r w:rsidRPr="0015028B">
        <w:rPr>
          <w:sz w:val="22"/>
          <w:szCs w:val="22"/>
        </w:rPr>
        <w:t>was the rapid increase in Internet</w:t>
      </w:r>
      <w:r>
        <w:rPr>
          <w:sz w:val="22"/>
          <w:szCs w:val="22"/>
        </w:rPr>
        <w:t xml:space="preserve"> use in countries bordering the </w:t>
      </w:r>
      <w:r w:rsidRPr="0015028B">
        <w:rPr>
          <w:sz w:val="22"/>
          <w:szCs w:val="22"/>
        </w:rPr>
        <w:t xml:space="preserve">South China Sea during the same </w:t>
      </w:r>
      <w:r>
        <w:rPr>
          <w:sz w:val="22"/>
          <w:szCs w:val="22"/>
        </w:rPr>
        <w:t xml:space="preserve">period. For example, the growth </w:t>
      </w:r>
      <w:r w:rsidRPr="0015028B">
        <w:rPr>
          <w:sz w:val="22"/>
          <w:szCs w:val="22"/>
        </w:rPr>
        <w:t xml:space="preserve">in the number of Internet users </w:t>
      </w:r>
      <w:r>
        <w:rPr>
          <w:sz w:val="22"/>
          <w:szCs w:val="22"/>
        </w:rPr>
        <w:t xml:space="preserve">for the participating countries </w:t>
      </w:r>
      <w:r w:rsidRPr="0015028B">
        <w:rPr>
          <w:sz w:val="22"/>
          <w:szCs w:val="22"/>
        </w:rPr>
        <w:t xml:space="preserve">ranged between 300% (Malaysia) </w:t>
      </w:r>
      <w:r>
        <w:rPr>
          <w:sz w:val="22"/>
          <w:szCs w:val="22"/>
        </w:rPr>
        <w:t>and 8</w:t>
      </w:r>
      <w:r w:rsidR="007D3CF6">
        <w:rPr>
          <w:sz w:val="22"/>
          <w:szCs w:val="22"/>
        </w:rPr>
        <w:t>,</w:t>
      </w:r>
      <w:r>
        <w:rPr>
          <w:sz w:val="22"/>
          <w:szCs w:val="22"/>
        </w:rPr>
        <w:t xml:space="preserve">510% (Viet Nam) during the </w:t>
      </w:r>
      <w:r w:rsidRPr="0015028B">
        <w:rPr>
          <w:sz w:val="22"/>
          <w:szCs w:val="22"/>
        </w:rPr>
        <w:t>first 5-years of project operation (UNEP, 2007a). Indeed, the project</w:t>
      </w:r>
      <w:r>
        <w:rPr>
          <w:sz w:val="22"/>
          <w:szCs w:val="22"/>
        </w:rPr>
        <w:t xml:space="preserve"> </w:t>
      </w:r>
      <w:r w:rsidRPr="0015028B">
        <w:rPr>
          <w:sz w:val="22"/>
          <w:szCs w:val="22"/>
        </w:rPr>
        <w:t>document did not envisage the u</w:t>
      </w:r>
      <w:r>
        <w:rPr>
          <w:sz w:val="22"/>
          <w:szCs w:val="22"/>
        </w:rPr>
        <w:t xml:space="preserve">se of such online technologies, </w:t>
      </w:r>
      <w:r w:rsidRPr="0015028B">
        <w:rPr>
          <w:sz w:val="22"/>
          <w:szCs w:val="22"/>
        </w:rPr>
        <w:t>although a basic website was creat</w:t>
      </w:r>
      <w:r>
        <w:rPr>
          <w:sz w:val="22"/>
          <w:szCs w:val="22"/>
        </w:rPr>
        <w:t xml:space="preserve">ed in 2002 to overcome problems </w:t>
      </w:r>
      <w:r w:rsidRPr="0015028B">
        <w:rPr>
          <w:sz w:val="22"/>
          <w:szCs w:val="22"/>
        </w:rPr>
        <w:t>with the electronic distri</w:t>
      </w:r>
      <w:r>
        <w:rPr>
          <w:sz w:val="22"/>
          <w:szCs w:val="22"/>
        </w:rPr>
        <w:t xml:space="preserve">bution of meeting documents and </w:t>
      </w:r>
      <w:r w:rsidRPr="0015028B">
        <w:rPr>
          <w:sz w:val="22"/>
          <w:szCs w:val="22"/>
        </w:rPr>
        <w:t>reports caused by unreliable e-mail c</w:t>
      </w:r>
      <w:r>
        <w:rPr>
          <w:sz w:val="22"/>
          <w:szCs w:val="22"/>
        </w:rPr>
        <w:t xml:space="preserve">ommunications and limited email </w:t>
      </w:r>
      <w:r w:rsidRPr="0015028B">
        <w:rPr>
          <w:sz w:val="22"/>
          <w:szCs w:val="22"/>
        </w:rPr>
        <w:t>storage space at that time.</w:t>
      </w:r>
    </w:p>
    <w:p w14:paraId="18A28B40" w14:textId="77777777" w:rsidR="00335E1B" w:rsidRDefault="00335E1B" w:rsidP="00335E1B">
      <w:pPr>
        <w:numPr>
          <w:ilvl w:val="0"/>
          <w:numId w:val="3"/>
        </w:numPr>
        <w:spacing w:after="120"/>
        <w:ind w:left="0" w:firstLine="0"/>
        <w:jc w:val="both"/>
        <w:rPr>
          <w:sz w:val="22"/>
          <w:szCs w:val="22"/>
        </w:rPr>
      </w:pPr>
      <w:r w:rsidRPr="0015028B">
        <w:rPr>
          <w:sz w:val="22"/>
          <w:szCs w:val="22"/>
        </w:rPr>
        <w:t>During the early stages of the opera</w:t>
      </w:r>
      <w:r>
        <w:rPr>
          <w:sz w:val="22"/>
          <w:szCs w:val="22"/>
        </w:rPr>
        <w:t xml:space="preserve">tional phase of the </w:t>
      </w:r>
      <w:r w:rsidR="002B3A3C">
        <w:rPr>
          <w:sz w:val="22"/>
          <w:szCs w:val="22"/>
        </w:rPr>
        <w:t xml:space="preserve">SCS </w:t>
      </w:r>
      <w:r>
        <w:rPr>
          <w:sz w:val="22"/>
          <w:szCs w:val="22"/>
        </w:rPr>
        <w:t>project</w:t>
      </w:r>
      <w:r w:rsidR="002B3A3C">
        <w:rPr>
          <w:sz w:val="22"/>
          <w:szCs w:val="22"/>
        </w:rPr>
        <w:t xml:space="preserve"> in 2005</w:t>
      </w:r>
      <w:r>
        <w:rPr>
          <w:sz w:val="22"/>
          <w:szCs w:val="22"/>
        </w:rPr>
        <w:t xml:space="preserve">, it </w:t>
      </w:r>
      <w:r w:rsidRPr="0015028B">
        <w:rPr>
          <w:sz w:val="22"/>
          <w:szCs w:val="22"/>
        </w:rPr>
        <w:t>b</w:t>
      </w:r>
      <w:r>
        <w:rPr>
          <w:sz w:val="22"/>
          <w:szCs w:val="22"/>
        </w:rPr>
        <w:t xml:space="preserve">ecame apparent that the website could be used to: improve the </w:t>
      </w:r>
      <w:r w:rsidRPr="0015028B">
        <w:rPr>
          <w:sz w:val="22"/>
          <w:szCs w:val="22"/>
        </w:rPr>
        <w:t>flow of information and data; e</w:t>
      </w:r>
      <w:r>
        <w:rPr>
          <w:sz w:val="22"/>
          <w:szCs w:val="22"/>
        </w:rPr>
        <w:t xml:space="preserve">nhance accessibility to project </w:t>
      </w:r>
      <w:r w:rsidRPr="0015028B">
        <w:rPr>
          <w:sz w:val="22"/>
          <w:szCs w:val="22"/>
        </w:rPr>
        <w:t>outputs; and facilitate the online sharing</w:t>
      </w:r>
      <w:r>
        <w:rPr>
          <w:sz w:val="22"/>
          <w:szCs w:val="22"/>
        </w:rPr>
        <w:t xml:space="preserve"> of information and experiences </w:t>
      </w:r>
      <w:r w:rsidRPr="0015028B">
        <w:rPr>
          <w:sz w:val="22"/>
          <w:szCs w:val="22"/>
        </w:rPr>
        <w:t>relating to project execution and NAP and SAP developmen</w:t>
      </w:r>
      <w:r>
        <w:rPr>
          <w:sz w:val="22"/>
          <w:szCs w:val="22"/>
        </w:rPr>
        <w:t xml:space="preserve">t. </w:t>
      </w:r>
      <w:r w:rsidRPr="0015028B">
        <w:rPr>
          <w:sz w:val="22"/>
          <w:szCs w:val="22"/>
        </w:rPr>
        <w:t xml:space="preserve">The project website was </w:t>
      </w:r>
      <w:r>
        <w:rPr>
          <w:sz w:val="22"/>
          <w:szCs w:val="22"/>
        </w:rPr>
        <w:t xml:space="preserve">subsequently redeveloped in the final quarter of 2005 </w:t>
      </w:r>
      <w:r w:rsidRPr="0015028B">
        <w:rPr>
          <w:sz w:val="22"/>
          <w:szCs w:val="22"/>
        </w:rPr>
        <w:t>using free,</w:t>
      </w:r>
      <w:r>
        <w:rPr>
          <w:sz w:val="22"/>
          <w:szCs w:val="22"/>
        </w:rPr>
        <w:t xml:space="preserve"> open source, software. Efforts </w:t>
      </w:r>
      <w:r w:rsidRPr="0015028B">
        <w:rPr>
          <w:sz w:val="22"/>
          <w:szCs w:val="22"/>
        </w:rPr>
        <w:t>thereafter focused on: the use of</w:t>
      </w:r>
      <w:r>
        <w:rPr>
          <w:sz w:val="22"/>
          <w:szCs w:val="22"/>
        </w:rPr>
        <w:t xml:space="preserve"> the website to enhance ease of </w:t>
      </w:r>
      <w:r w:rsidRPr="0015028B">
        <w:rPr>
          <w:sz w:val="22"/>
          <w:szCs w:val="22"/>
        </w:rPr>
        <w:t>accessibility to information an</w:t>
      </w:r>
      <w:r>
        <w:rPr>
          <w:sz w:val="22"/>
          <w:szCs w:val="22"/>
        </w:rPr>
        <w:t xml:space="preserve">d data products; development of </w:t>
      </w:r>
      <w:r w:rsidRPr="0015028B">
        <w:rPr>
          <w:sz w:val="22"/>
          <w:szCs w:val="22"/>
        </w:rPr>
        <w:t>intuitive and user-friendly onl</w:t>
      </w:r>
      <w:r>
        <w:rPr>
          <w:sz w:val="22"/>
          <w:szCs w:val="22"/>
        </w:rPr>
        <w:t xml:space="preserve">ine repositories and databases; </w:t>
      </w:r>
      <w:r w:rsidRPr="0015028B">
        <w:rPr>
          <w:sz w:val="22"/>
          <w:szCs w:val="22"/>
        </w:rPr>
        <w:t>building experience within the proj</w:t>
      </w:r>
      <w:r>
        <w:rPr>
          <w:sz w:val="22"/>
          <w:szCs w:val="22"/>
        </w:rPr>
        <w:t xml:space="preserve">ect’s extensive partner network </w:t>
      </w:r>
      <w:r w:rsidRPr="0015028B">
        <w:rPr>
          <w:sz w:val="22"/>
          <w:szCs w:val="22"/>
        </w:rPr>
        <w:t>in the online updating of databas</w:t>
      </w:r>
      <w:r>
        <w:rPr>
          <w:sz w:val="22"/>
          <w:szCs w:val="22"/>
        </w:rPr>
        <w:t xml:space="preserve">es and information sharing; and </w:t>
      </w:r>
      <w:r w:rsidRPr="0015028B">
        <w:rPr>
          <w:sz w:val="22"/>
          <w:szCs w:val="22"/>
        </w:rPr>
        <w:t>raising gen</w:t>
      </w:r>
      <w:r>
        <w:rPr>
          <w:sz w:val="22"/>
          <w:szCs w:val="22"/>
        </w:rPr>
        <w:t xml:space="preserve">eral awareness of the existence </w:t>
      </w:r>
      <w:r w:rsidRPr="0015028B">
        <w:rPr>
          <w:sz w:val="22"/>
          <w:szCs w:val="22"/>
        </w:rPr>
        <w:t>of the website and its</w:t>
      </w:r>
      <w:r>
        <w:rPr>
          <w:sz w:val="22"/>
          <w:szCs w:val="22"/>
        </w:rPr>
        <w:t xml:space="preserve"> </w:t>
      </w:r>
      <w:r w:rsidRPr="0015028B">
        <w:rPr>
          <w:sz w:val="22"/>
          <w:szCs w:val="22"/>
        </w:rPr>
        <w:t>information resources.</w:t>
      </w:r>
    </w:p>
    <w:p w14:paraId="2EC4DBA3" w14:textId="77777777" w:rsidR="00335E1B" w:rsidRDefault="00335E1B" w:rsidP="00335E1B">
      <w:pPr>
        <w:numPr>
          <w:ilvl w:val="0"/>
          <w:numId w:val="3"/>
        </w:numPr>
        <w:spacing w:after="120"/>
        <w:ind w:left="0" w:firstLine="0"/>
        <w:jc w:val="both"/>
        <w:rPr>
          <w:sz w:val="22"/>
          <w:szCs w:val="22"/>
        </w:rPr>
      </w:pPr>
      <w:r w:rsidRPr="005D665F">
        <w:rPr>
          <w:sz w:val="22"/>
          <w:szCs w:val="22"/>
        </w:rPr>
        <w:t>A review of the development</w:t>
      </w:r>
      <w:r>
        <w:rPr>
          <w:sz w:val="22"/>
          <w:szCs w:val="22"/>
        </w:rPr>
        <w:t xml:space="preserve">, key features and usage of the </w:t>
      </w:r>
      <w:r w:rsidRPr="005D665F">
        <w:rPr>
          <w:sz w:val="22"/>
          <w:szCs w:val="22"/>
        </w:rPr>
        <w:t>pr</w:t>
      </w:r>
      <w:r>
        <w:rPr>
          <w:sz w:val="22"/>
          <w:szCs w:val="22"/>
        </w:rPr>
        <w:t xml:space="preserve">oject databases and website was published as a South China Sea </w:t>
      </w:r>
      <w:r w:rsidRPr="005D665F">
        <w:rPr>
          <w:sz w:val="22"/>
          <w:szCs w:val="22"/>
        </w:rPr>
        <w:t>Knowledge Document in 2007 (see UNEP, 2007a</w:t>
      </w:r>
      <w:r>
        <w:rPr>
          <w:sz w:val="22"/>
          <w:szCs w:val="22"/>
        </w:rPr>
        <w:t xml:space="preserve">). Key features </w:t>
      </w:r>
      <w:r w:rsidRPr="005D665F">
        <w:rPr>
          <w:sz w:val="22"/>
          <w:szCs w:val="22"/>
        </w:rPr>
        <w:t xml:space="preserve">include inter alia: a collaborative </w:t>
      </w:r>
      <w:r>
        <w:rPr>
          <w:sz w:val="22"/>
          <w:szCs w:val="22"/>
        </w:rPr>
        <w:t xml:space="preserve">Google Earth based Geographical </w:t>
      </w:r>
      <w:r w:rsidRPr="005D665F">
        <w:rPr>
          <w:sz w:val="22"/>
          <w:szCs w:val="22"/>
        </w:rPr>
        <w:t>Information System for the manage</w:t>
      </w:r>
      <w:r>
        <w:rPr>
          <w:sz w:val="22"/>
          <w:szCs w:val="22"/>
        </w:rPr>
        <w:t xml:space="preserve">ment and update of habitat site </w:t>
      </w:r>
      <w:r w:rsidR="002B3A3C">
        <w:rPr>
          <w:sz w:val="22"/>
          <w:szCs w:val="22"/>
        </w:rPr>
        <w:t xml:space="preserve">characterization </w:t>
      </w:r>
      <w:r>
        <w:rPr>
          <w:sz w:val="22"/>
          <w:szCs w:val="22"/>
        </w:rPr>
        <w:t>data</w:t>
      </w:r>
      <w:r>
        <w:rPr>
          <w:rStyle w:val="FootnoteReference"/>
          <w:sz w:val="22"/>
          <w:szCs w:val="22"/>
        </w:rPr>
        <w:footnoteReference w:id="23"/>
      </w:r>
      <w:r w:rsidRPr="005D665F">
        <w:rPr>
          <w:sz w:val="22"/>
          <w:szCs w:val="22"/>
        </w:rPr>
        <w:t>; a regional meta-dat</w:t>
      </w:r>
      <w:r>
        <w:rPr>
          <w:sz w:val="22"/>
          <w:szCs w:val="22"/>
        </w:rPr>
        <w:t xml:space="preserve">abase catalogue of national and regional </w:t>
      </w:r>
      <w:r w:rsidRPr="005D665F">
        <w:rPr>
          <w:sz w:val="22"/>
          <w:szCs w:val="22"/>
        </w:rPr>
        <w:t>information and data sets</w:t>
      </w:r>
      <w:r>
        <w:rPr>
          <w:rStyle w:val="FootnoteReference"/>
          <w:sz w:val="22"/>
          <w:szCs w:val="22"/>
        </w:rPr>
        <w:footnoteReference w:id="24"/>
      </w:r>
      <w:r w:rsidRPr="005D665F">
        <w:rPr>
          <w:sz w:val="22"/>
          <w:szCs w:val="22"/>
        </w:rPr>
        <w:t xml:space="preserve">; an online </w:t>
      </w:r>
      <w:r>
        <w:rPr>
          <w:sz w:val="22"/>
          <w:szCs w:val="22"/>
        </w:rPr>
        <w:t xml:space="preserve">gridded (raster) based nutrient carrying capacity </w:t>
      </w:r>
      <w:r w:rsidRPr="005D665F">
        <w:rPr>
          <w:sz w:val="22"/>
          <w:szCs w:val="22"/>
        </w:rPr>
        <w:t>modellin</w:t>
      </w:r>
      <w:r>
        <w:rPr>
          <w:sz w:val="22"/>
          <w:szCs w:val="22"/>
        </w:rPr>
        <w:t xml:space="preserve">g system that links chlorophyll </w:t>
      </w:r>
      <w:r w:rsidRPr="005D665F">
        <w:rPr>
          <w:sz w:val="22"/>
          <w:szCs w:val="22"/>
        </w:rPr>
        <w:t>concentrations in specific loc</w:t>
      </w:r>
      <w:r>
        <w:rPr>
          <w:sz w:val="22"/>
          <w:szCs w:val="22"/>
        </w:rPr>
        <w:t xml:space="preserve">ations of the SCS to land-based </w:t>
      </w:r>
      <w:r w:rsidRPr="005D665F">
        <w:rPr>
          <w:sz w:val="22"/>
          <w:szCs w:val="22"/>
        </w:rPr>
        <w:t>nutrient loading</w:t>
      </w:r>
      <w:r>
        <w:rPr>
          <w:rStyle w:val="FootnoteReference"/>
          <w:sz w:val="22"/>
          <w:szCs w:val="22"/>
        </w:rPr>
        <w:footnoteReference w:id="25"/>
      </w:r>
      <w:r w:rsidRPr="005D665F">
        <w:rPr>
          <w:sz w:val="22"/>
          <w:szCs w:val="22"/>
        </w:rPr>
        <w:t>; a repository of m</w:t>
      </w:r>
      <w:r>
        <w:rPr>
          <w:sz w:val="22"/>
          <w:szCs w:val="22"/>
        </w:rPr>
        <w:t>ore than 1800 project documents and publications</w:t>
      </w:r>
      <w:r>
        <w:rPr>
          <w:rStyle w:val="FootnoteReference"/>
          <w:sz w:val="22"/>
          <w:szCs w:val="22"/>
        </w:rPr>
        <w:footnoteReference w:id="26"/>
      </w:r>
      <w:r>
        <w:rPr>
          <w:sz w:val="22"/>
          <w:szCs w:val="22"/>
        </w:rPr>
        <w:t xml:space="preserve">; a large </w:t>
      </w:r>
      <w:r w:rsidRPr="005D665F">
        <w:rPr>
          <w:sz w:val="22"/>
          <w:szCs w:val="22"/>
        </w:rPr>
        <w:t>collect</w:t>
      </w:r>
      <w:r>
        <w:rPr>
          <w:sz w:val="22"/>
          <w:szCs w:val="22"/>
        </w:rPr>
        <w:t xml:space="preserve">ion of regionally-specific </w:t>
      </w:r>
      <w:r w:rsidRPr="005D665F">
        <w:rPr>
          <w:sz w:val="22"/>
          <w:szCs w:val="22"/>
        </w:rPr>
        <w:t>training materials</w:t>
      </w:r>
      <w:r>
        <w:rPr>
          <w:rStyle w:val="FootnoteReference"/>
          <w:sz w:val="22"/>
          <w:szCs w:val="22"/>
        </w:rPr>
        <w:footnoteReference w:id="27"/>
      </w:r>
      <w:r w:rsidRPr="005D665F">
        <w:rPr>
          <w:sz w:val="22"/>
          <w:szCs w:val="22"/>
        </w:rPr>
        <w:t xml:space="preserve">; a catalogue </w:t>
      </w:r>
      <w:r>
        <w:rPr>
          <w:sz w:val="22"/>
          <w:szCs w:val="22"/>
        </w:rPr>
        <w:t xml:space="preserve">of multi-media public awareness </w:t>
      </w:r>
      <w:r w:rsidRPr="005D665F">
        <w:rPr>
          <w:sz w:val="22"/>
          <w:szCs w:val="22"/>
        </w:rPr>
        <w:t>resources</w:t>
      </w:r>
      <w:r>
        <w:rPr>
          <w:rStyle w:val="FootnoteReference"/>
          <w:sz w:val="22"/>
          <w:szCs w:val="22"/>
        </w:rPr>
        <w:footnoteReference w:id="28"/>
      </w:r>
      <w:r w:rsidRPr="005D665F">
        <w:rPr>
          <w:sz w:val="22"/>
          <w:szCs w:val="22"/>
        </w:rPr>
        <w:t>; and a lessons learned r</w:t>
      </w:r>
      <w:r>
        <w:rPr>
          <w:sz w:val="22"/>
          <w:szCs w:val="22"/>
        </w:rPr>
        <w:t>epository</w:t>
      </w:r>
      <w:r>
        <w:rPr>
          <w:rStyle w:val="FootnoteReference"/>
          <w:sz w:val="22"/>
          <w:szCs w:val="22"/>
        </w:rPr>
        <w:footnoteReference w:id="29"/>
      </w:r>
      <w:r>
        <w:rPr>
          <w:sz w:val="22"/>
          <w:szCs w:val="22"/>
        </w:rPr>
        <w:t xml:space="preserve">. Of significance is the extensive online index of </w:t>
      </w:r>
      <w:r w:rsidRPr="005D665F">
        <w:rPr>
          <w:sz w:val="22"/>
          <w:szCs w:val="22"/>
        </w:rPr>
        <w:t>national</w:t>
      </w:r>
      <w:r>
        <w:rPr>
          <w:sz w:val="22"/>
          <w:szCs w:val="22"/>
        </w:rPr>
        <w:t xml:space="preserve"> language publications produced </w:t>
      </w:r>
      <w:r w:rsidRPr="005D665F">
        <w:rPr>
          <w:sz w:val="22"/>
          <w:szCs w:val="22"/>
        </w:rPr>
        <w:t>by SEAs, national committee</w:t>
      </w:r>
      <w:r>
        <w:rPr>
          <w:sz w:val="22"/>
          <w:szCs w:val="22"/>
        </w:rPr>
        <w:t>s and demonstration projects</w:t>
      </w:r>
      <w:r>
        <w:rPr>
          <w:rStyle w:val="FootnoteReference"/>
          <w:sz w:val="22"/>
          <w:szCs w:val="22"/>
        </w:rPr>
        <w:footnoteReference w:id="30"/>
      </w:r>
      <w:r>
        <w:rPr>
          <w:sz w:val="22"/>
          <w:szCs w:val="22"/>
        </w:rPr>
        <w:t xml:space="preserve">. </w:t>
      </w:r>
      <w:r w:rsidRPr="005D665F">
        <w:rPr>
          <w:sz w:val="22"/>
          <w:szCs w:val="22"/>
        </w:rPr>
        <w:t>The wide regional and global dis</w:t>
      </w:r>
      <w:r>
        <w:rPr>
          <w:sz w:val="22"/>
          <w:szCs w:val="22"/>
        </w:rPr>
        <w:t xml:space="preserve">semination of these information </w:t>
      </w:r>
      <w:r w:rsidRPr="005D665F">
        <w:rPr>
          <w:sz w:val="22"/>
          <w:szCs w:val="22"/>
        </w:rPr>
        <w:t>r</w:t>
      </w:r>
      <w:r>
        <w:rPr>
          <w:sz w:val="22"/>
          <w:szCs w:val="22"/>
        </w:rPr>
        <w:t xml:space="preserve">esources via establishment of a partnership with Google Earth </w:t>
      </w:r>
      <w:r w:rsidR="008D5040" w:rsidRPr="005D665F">
        <w:rPr>
          <w:sz w:val="22"/>
          <w:szCs w:val="22"/>
        </w:rPr>
        <w:t>w</w:t>
      </w:r>
      <w:r w:rsidR="008D5040">
        <w:rPr>
          <w:sz w:val="22"/>
          <w:szCs w:val="22"/>
        </w:rPr>
        <w:t>as</w:t>
      </w:r>
      <w:r w:rsidR="008D5040" w:rsidRPr="005D665F">
        <w:rPr>
          <w:sz w:val="22"/>
          <w:szCs w:val="22"/>
        </w:rPr>
        <w:t xml:space="preserve"> </w:t>
      </w:r>
      <w:r w:rsidRPr="005D665F">
        <w:rPr>
          <w:sz w:val="22"/>
          <w:szCs w:val="22"/>
        </w:rPr>
        <w:t>reported in a GEF Internat</w:t>
      </w:r>
      <w:r>
        <w:rPr>
          <w:sz w:val="22"/>
          <w:szCs w:val="22"/>
        </w:rPr>
        <w:t xml:space="preserve">ional Waters Experience Note in </w:t>
      </w:r>
      <w:r w:rsidRPr="005D665F">
        <w:rPr>
          <w:sz w:val="22"/>
          <w:szCs w:val="22"/>
        </w:rPr>
        <w:t>2008 (see Paterson, 2008).</w:t>
      </w:r>
    </w:p>
    <w:p w14:paraId="512AB755" w14:textId="77777777" w:rsidR="00335E1B" w:rsidRDefault="00335E1B" w:rsidP="00335E1B">
      <w:pPr>
        <w:numPr>
          <w:ilvl w:val="2"/>
          <w:numId w:val="2"/>
        </w:numPr>
        <w:spacing w:after="120"/>
        <w:outlineLvl w:val="1"/>
        <w:rPr>
          <w:b/>
          <w:sz w:val="22"/>
          <w:szCs w:val="22"/>
          <w:lang w:val="en-GB"/>
        </w:rPr>
      </w:pPr>
      <w:r>
        <w:rPr>
          <w:b/>
          <w:sz w:val="22"/>
          <w:szCs w:val="22"/>
          <w:lang w:val="en-GB"/>
        </w:rPr>
        <w:t>Refining and Agreeing SAP Targets</w:t>
      </w:r>
    </w:p>
    <w:p w14:paraId="6EC81DC7" w14:textId="77777777" w:rsidR="00335E1B" w:rsidRPr="00335E1B" w:rsidRDefault="00335E1B" w:rsidP="00335E1B">
      <w:pPr>
        <w:numPr>
          <w:ilvl w:val="3"/>
          <w:numId w:val="2"/>
        </w:numPr>
        <w:spacing w:after="120"/>
        <w:outlineLvl w:val="1"/>
        <w:rPr>
          <w:b/>
          <w:sz w:val="22"/>
          <w:szCs w:val="22"/>
          <w:lang w:val="en-GB"/>
        </w:rPr>
      </w:pPr>
      <w:r>
        <w:rPr>
          <w:b/>
          <w:sz w:val="22"/>
          <w:szCs w:val="22"/>
          <w:lang w:val="en-GB"/>
        </w:rPr>
        <w:t>Coastal habitats: the case of mangroves</w:t>
      </w:r>
    </w:p>
    <w:p w14:paraId="0E2B5CB3" w14:textId="77777777" w:rsidR="0073459B" w:rsidRPr="00335E1B" w:rsidRDefault="00335E1B" w:rsidP="0073459B">
      <w:pPr>
        <w:numPr>
          <w:ilvl w:val="0"/>
          <w:numId w:val="3"/>
        </w:numPr>
        <w:spacing w:after="120"/>
        <w:ind w:left="0" w:firstLine="0"/>
        <w:jc w:val="both"/>
        <w:rPr>
          <w:sz w:val="22"/>
          <w:szCs w:val="22"/>
          <w:lang w:val="en-GB"/>
        </w:rPr>
      </w:pPr>
      <w:r w:rsidRPr="00136A32">
        <w:rPr>
          <w:sz w:val="22"/>
          <w:szCs w:val="22"/>
        </w:rPr>
        <w:t>The structured process of the</w:t>
      </w:r>
      <w:r>
        <w:rPr>
          <w:sz w:val="22"/>
          <w:szCs w:val="22"/>
        </w:rPr>
        <w:t xml:space="preserve"> national and regional entities working simultaneously expanded opportunities for review and </w:t>
      </w:r>
      <w:r w:rsidRPr="00136A32">
        <w:rPr>
          <w:sz w:val="22"/>
          <w:szCs w:val="22"/>
        </w:rPr>
        <w:t>learning with, for example, the RTF</w:t>
      </w:r>
      <w:r>
        <w:rPr>
          <w:sz w:val="22"/>
          <w:szCs w:val="22"/>
        </w:rPr>
        <w:t xml:space="preserve">-E providing advice on economic </w:t>
      </w:r>
      <w:r w:rsidRPr="00136A32">
        <w:rPr>
          <w:sz w:val="22"/>
          <w:szCs w:val="22"/>
        </w:rPr>
        <w:t>valuation to the biologists</w:t>
      </w:r>
      <w:r w:rsidR="007D3CF6">
        <w:rPr>
          <w:sz w:val="22"/>
          <w:szCs w:val="22"/>
        </w:rPr>
        <w:t>,</w:t>
      </w:r>
      <w:r w:rsidRPr="00136A32">
        <w:rPr>
          <w:sz w:val="22"/>
          <w:szCs w:val="22"/>
        </w:rPr>
        <w:t xml:space="preserve"> and </w:t>
      </w:r>
      <w:r>
        <w:rPr>
          <w:sz w:val="22"/>
          <w:szCs w:val="22"/>
        </w:rPr>
        <w:t xml:space="preserve">the legal specialists providing </w:t>
      </w:r>
      <w:r w:rsidRPr="00136A32">
        <w:rPr>
          <w:sz w:val="22"/>
          <w:szCs w:val="22"/>
        </w:rPr>
        <w:t>advice to the national com</w:t>
      </w:r>
      <w:r>
        <w:rPr>
          <w:sz w:val="22"/>
          <w:szCs w:val="22"/>
        </w:rPr>
        <w:t xml:space="preserve">mittees regarding needs for the </w:t>
      </w:r>
      <w:r w:rsidRPr="00136A32">
        <w:rPr>
          <w:sz w:val="22"/>
          <w:szCs w:val="22"/>
        </w:rPr>
        <w:t>strengthening of national legal</w:t>
      </w:r>
      <w:r>
        <w:rPr>
          <w:sz w:val="22"/>
          <w:szCs w:val="22"/>
        </w:rPr>
        <w:t xml:space="preserve"> regimes. This was an important element in the </w:t>
      </w:r>
      <w:r w:rsidRPr="00136A32">
        <w:rPr>
          <w:sz w:val="22"/>
          <w:szCs w:val="22"/>
        </w:rPr>
        <w:t xml:space="preserve">elaboration of the </w:t>
      </w:r>
      <w:r>
        <w:rPr>
          <w:sz w:val="22"/>
          <w:szCs w:val="22"/>
        </w:rPr>
        <w:t xml:space="preserve">regional SAP that was initiated </w:t>
      </w:r>
      <w:r w:rsidRPr="00136A32">
        <w:rPr>
          <w:sz w:val="22"/>
          <w:szCs w:val="22"/>
        </w:rPr>
        <w:t>during the fift</w:t>
      </w:r>
      <w:r>
        <w:rPr>
          <w:sz w:val="22"/>
          <w:szCs w:val="22"/>
        </w:rPr>
        <w:t xml:space="preserve">h meetings of the RWGs in 2004. During these </w:t>
      </w:r>
      <w:r w:rsidRPr="00136A32">
        <w:rPr>
          <w:sz w:val="22"/>
          <w:szCs w:val="22"/>
        </w:rPr>
        <w:t xml:space="preserve">meetings, the specific targets and </w:t>
      </w:r>
      <w:r>
        <w:rPr>
          <w:sz w:val="22"/>
          <w:szCs w:val="22"/>
        </w:rPr>
        <w:t xml:space="preserve">goals of the framework SAP were </w:t>
      </w:r>
      <w:r w:rsidRPr="00136A32">
        <w:rPr>
          <w:sz w:val="22"/>
          <w:szCs w:val="22"/>
        </w:rPr>
        <w:t>reviewed in the light of work completed and the more comprehensive</w:t>
      </w:r>
      <w:r>
        <w:rPr>
          <w:sz w:val="22"/>
          <w:szCs w:val="22"/>
        </w:rPr>
        <w:t xml:space="preserve"> </w:t>
      </w:r>
      <w:r w:rsidRPr="00136A32">
        <w:rPr>
          <w:sz w:val="22"/>
          <w:szCs w:val="22"/>
        </w:rPr>
        <w:t>information developed during the preparatory phase.</w:t>
      </w:r>
    </w:p>
    <w:p w14:paraId="308FE6D1" w14:textId="77777777" w:rsidR="00335E1B" w:rsidRDefault="00335E1B" w:rsidP="00335E1B">
      <w:pPr>
        <w:numPr>
          <w:ilvl w:val="0"/>
          <w:numId w:val="3"/>
        </w:numPr>
        <w:spacing w:after="120"/>
        <w:ind w:left="0" w:firstLine="0"/>
        <w:jc w:val="both"/>
        <w:rPr>
          <w:sz w:val="22"/>
          <w:szCs w:val="22"/>
        </w:rPr>
      </w:pPr>
      <w:r>
        <w:rPr>
          <w:sz w:val="22"/>
          <w:szCs w:val="22"/>
        </w:rPr>
        <w:t xml:space="preserve">This </w:t>
      </w:r>
      <w:r w:rsidRPr="00136A32">
        <w:rPr>
          <w:sz w:val="22"/>
          <w:szCs w:val="22"/>
        </w:rPr>
        <w:t>was followed by the step-wise scienti</w:t>
      </w:r>
      <w:r>
        <w:rPr>
          <w:sz w:val="22"/>
          <w:szCs w:val="22"/>
        </w:rPr>
        <w:t xml:space="preserve">fic and technical review of the SAP by the RWGs and </w:t>
      </w:r>
      <w:r w:rsidRPr="00136A32">
        <w:rPr>
          <w:sz w:val="22"/>
          <w:szCs w:val="22"/>
        </w:rPr>
        <w:t xml:space="preserve">RSTC at </w:t>
      </w:r>
      <w:r>
        <w:rPr>
          <w:sz w:val="22"/>
          <w:szCs w:val="22"/>
        </w:rPr>
        <w:t xml:space="preserve">the regional level, and related </w:t>
      </w:r>
      <w:r w:rsidRPr="00136A32">
        <w:rPr>
          <w:sz w:val="22"/>
          <w:szCs w:val="22"/>
        </w:rPr>
        <w:t xml:space="preserve">feedback between regional and </w:t>
      </w:r>
      <w:r>
        <w:rPr>
          <w:sz w:val="22"/>
          <w:szCs w:val="22"/>
        </w:rPr>
        <w:t xml:space="preserve">national committees on both the </w:t>
      </w:r>
      <w:r w:rsidRPr="00136A32">
        <w:rPr>
          <w:sz w:val="22"/>
          <w:szCs w:val="22"/>
        </w:rPr>
        <w:t>SAP and NAPs. For example, during</w:t>
      </w:r>
      <w:r>
        <w:rPr>
          <w:sz w:val="22"/>
          <w:szCs w:val="22"/>
        </w:rPr>
        <w:t xml:space="preserve"> its fifth meeting in September </w:t>
      </w:r>
      <w:r w:rsidRPr="00136A32">
        <w:rPr>
          <w:sz w:val="22"/>
          <w:szCs w:val="22"/>
        </w:rPr>
        <w:t>2004, the RWG on mangroves</w:t>
      </w:r>
      <w:r>
        <w:rPr>
          <w:sz w:val="22"/>
          <w:szCs w:val="22"/>
        </w:rPr>
        <w:t xml:space="preserve"> noted that most of the </w:t>
      </w:r>
      <w:r w:rsidRPr="00136A32">
        <w:rPr>
          <w:sz w:val="22"/>
          <w:szCs w:val="22"/>
        </w:rPr>
        <w:t xml:space="preserve">mangrove related activities in </w:t>
      </w:r>
      <w:r>
        <w:rPr>
          <w:sz w:val="22"/>
          <w:szCs w:val="22"/>
        </w:rPr>
        <w:t xml:space="preserve">the 1998 framework SAP had been </w:t>
      </w:r>
      <w:r w:rsidRPr="00136A32">
        <w:rPr>
          <w:sz w:val="22"/>
          <w:szCs w:val="22"/>
        </w:rPr>
        <w:t>initiated as part of the implementat</w:t>
      </w:r>
      <w:r>
        <w:rPr>
          <w:sz w:val="22"/>
          <w:szCs w:val="22"/>
        </w:rPr>
        <w:t xml:space="preserve">ion of the SCS project. Several </w:t>
      </w:r>
      <w:r w:rsidRPr="00136A32">
        <w:rPr>
          <w:sz w:val="22"/>
          <w:szCs w:val="22"/>
        </w:rPr>
        <w:t>demonstration projects were also i</w:t>
      </w:r>
      <w:r>
        <w:rPr>
          <w:sz w:val="22"/>
          <w:szCs w:val="22"/>
        </w:rPr>
        <w:t xml:space="preserve">n the process of being launched </w:t>
      </w:r>
      <w:r w:rsidRPr="00136A32">
        <w:rPr>
          <w:sz w:val="22"/>
          <w:szCs w:val="22"/>
        </w:rPr>
        <w:t>to assist in the development of bes</w:t>
      </w:r>
      <w:r>
        <w:rPr>
          <w:sz w:val="22"/>
          <w:szCs w:val="22"/>
        </w:rPr>
        <w:t xml:space="preserve">t mangrove management practices </w:t>
      </w:r>
      <w:r w:rsidRPr="00136A32">
        <w:rPr>
          <w:sz w:val="22"/>
          <w:szCs w:val="22"/>
        </w:rPr>
        <w:t>for regional sharing of e</w:t>
      </w:r>
      <w:r>
        <w:rPr>
          <w:sz w:val="22"/>
          <w:szCs w:val="22"/>
        </w:rPr>
        <w:t xml:space="preserve">xperiences and lessons learned. </w:t>
      </w:r>
    </w:p>
    <w:p w14:paraId="1B96A4B6" w14:textId="77777777" w:rsidR="00335E1B" w:rsidRPr="00136A32" w:rsidRDefault="00335E1B" w:rsidP="00335E1B">
      <w:pPr>
        <w:numPr>
          <w:ilvl w:val="0"/>
          <w:numId w:val="3"/>
        </w:numPr>
        <w:spacing w:after="120"/>
        <w:ind w:left="0" w:firstLine="0"/>
        <w:jc w:val="both"/>
        <w:rPr>
          <w:sz w:val="22"/>
          <w:szCs w:val="22"/>
        </w:rPr>
      </w:pPr>
      <w:r w:rsidRPr="00136A32">
        <w:rPr>
          <w:sz w:val="22"/>
          <w:szCs w:val="22"/>
        </w:rPr>
        <w:t>The fifth meeting of t</w:t>
      </w:r>
      <w:r>
        <w:rPr>
          <w:sz w:val="22"/>
          <w:szCs w:val="22"/>
        </w:rPr>
        <w:t xml:space="preserve">he RWG-M recommended a proposed </w:t>
      </w:r>
      <w:r w:rsidRPr="00136A32">
        <w:rPr>
          <w:sz w:val="22"/>
          <w:szCs w:val="22"/>
        </w:rPr>
        <w:t>target for the mangrove component of</w:t>
      </w:r>
      <w:r>
        <w:rPr>
          <w:sz w:val="22"/>
          <w:szCs w:val="22"/>
        </w:rPr>
        <w:t xml:space="preserve"> the revised SAP as “66% of the </w:t>
      </w:r>
      <w:r w:rsidRPr="00136A32">
        <w:rPr>
          <w:sz w:val="22"/>
          <w:szCs w:val="22"/>
        </w:rPr>
        <w:t xml:space="preserve">present area of mangroves should be </w:t>
      </w:r>
      <w:r>
        <w:rPr>
          <w:sz w:val="22"/>
          <w:szCs w:val="22"/>
        </w:rPr>
        <w:t xml:space="preserve">brought under protection by the </w:t>
      </w:r>
      <w:r w:rsidRPr="00136A32">
        <w:rPr>
          <w:sz w:val="22"/>
          <w:szCs w:val="22"/>
        </w:rPr>
        <w:t xml:space="preserve">year 2012” </w:t>
      </w:r>
      <w:r>
        <w:rPr>
          <w:sz w:val="22"/>
          <w:szCs w:val="22"/>
        </w:rPr>
        <w:t xml:space="preserve">(UNEP, 2004a). The RSTC, at its subsequent meeting in </w:t>
      </w:r>
      <w:r w:rsidRPr="00136A32">
        <w:rPr>
          <w:sz w:val="22"/>
          <w:szCs w:val="22"/>
        </w:rPr>
        <w:t>December 2004, considered this target and recommended that the</w:t>
      </w:r>
      <w:r>
        <w:rPr>
          <w:sz w:val="22"/>
          <w:szCs w:val="22"/>
        </w:rPr>
        <w:t xml:space="preserve"> </w:t>
      </w:r>
      <w:r w:rsidRPr="00136A32">
        <w:rPr>
          <w:sz w:val="22"/>
          <w:szCs w:val="22"/>
        </w:rPr>
        <w:t>RWG-M should consider the defini</w:t>
      </w:r>
      <w:r>
        <w:rPr>
          <w:sz w:val="22"/>
          <w:szCs w:val="22"/>
        </w:rPr>
        <w:t xml:space="preserve">tion of ‘protection’ and ensure </w:t>
      </w:r>
      <w:r w:rsidRPr="00136A32">
        <w:rPr>
          <w:sz w:val="22"/>
          <w:szCs w:val="22"/>
        </w:rPr>
        <w:t xml:space="preserve">common understanding of this term </w:t>
      </w:r>
      <w:r>
        <w:rPr>
          <w:sz w:val="22"/>
          <w:szCs w:val="22"/>
        </w:rPr>
        <w:t xml:space="preserve">in the region (UNEP, 2004b). It </w:t>
      </w:r>
      <w:r w:rsidRPr="00136A32">
        <w:rPr>
          <w:sz w:val="22"/>
          <w:szCs w:val="22"/>
        </w:rPr>
        <w:t>was p</w:t>
      </w:r>
      <w:r>
        <w:rPr>
          <w:sz w:val="22"/>
          <w:szCs w:val="22"/>
        </w:rPr>
        <w:t xml:space="preserve">ointed out by RSTC members from Indonesia and the Philippines </w:t>
      </w:r>
      <w:r w:rsidRPr="00136A32">
        <w:rPr>
          <w:sz w:val="22"/>
          <w:szCs w:val="22"/>
        </w:rPr>
        <w:t>that ‘protection’ in tho</w:t>
      </w:r>
      <w:r>
        <w:rPr>
          <w:sz w:val="22"/>
          <w:szCs w:val="22"/>
        </w:rPr>
        <w:t xml:space="preserve">se countries meant ‘non-use’ of </w:t>
      </w:r>
      <w:r w:rsidRPr="00136A32">
        <w:rPr>
          <w:sz w:val="22"/>
          <w:szCs w:val="22"/>
        </w:rPr>
        <w:t xml:space="preserve">mangrove timber and other </w:t>
      </w:r>
      <w:r>
        <w:rPr>
          <w:sz w:val="22"/>
          <w:szCs w:val="22"/>
        </w:rPr>
        <w:t xml:space="preserve">mangrove forest products (UNEP, </w:t>
      </w:r>
      <w:r w:rsidRPr="00136A32">
        <w:rPr>
          <w:sz w:val="22"/>
          <w:szCs w:val="22"/>
        </w:rPr>
        <w:t xml:space="preserve">2004b). During its </w:t>
      </w:r>
      <w:r>
        <w:rPr>
          <w:sz w:val="22"/>
          <w:szCs w:val="22"/>
        </w:rPr>
        <w:t xml:space="preserve">subsequent and sixth meeting in August 2005, </w:t>
      </w:r>
      <w:r w:rsidRPr="00136A32">
        <w:rPr>
          <w:sz w:val="22"/>
          <w:szCs w:val="22"/>
        </w:rPr>
        <w:t>the RWG-M used information and dat</w:t>
      </w:r>
      <w:r>
        <w:rPr>
          <w:sz w:val="22"/>
          <w:szCs w:val="22"/>
        </w:rPr>
        <w:t xml:space="preserve">a on the total area of mangrove </w:t>
      </w:r>
      <w:r w:rsidRPr="00136A32">
        <w:rPr>
          <w:sz w:val="22"/>
          <w:szCs w:val="22"/>
        </w:rPr>
        <w:t>sites under various forms of land</w:t>
      </w:r>
      <w:r>
        <w:rPr>
          <w:sz w:val="22"/>
          <w:szCs w:val="22"/>
        </w:rPr>
        <w:t xml:space="preserve">-use designation and management </w:t>
      </w:r>
      <w:r w:rsidRPr="00136A32">
        <w:rPr>
          <w:sz w:val="22"/>
          <w:szCs w:val="22"/>
        </w:rPr>
        <w:t>and the content</w:t>
      </w:r>
      <w:r>
        <w:rPr>
          <w:sz w:val="22"/>
          <w:szCs w:val="22"/>
        </w:rPr>
        <w:t xml:space="preserve">s of the draft NAPs to identify potential </w:t>
      </w:r>
      <w:r w:rsidRPr="00136A32">
        <w:rPr>
          <w:sz w:val="22"/>
          <w:szCs w:val="22"/>
        </w:rPr>
        <w:t>targets for each of the parti</w:t>
      </w:r>
      <w:r>
        <w:rPr>
          <w:sz w:val="22"/>
          <w:szCs w:val="22"/>
        </w:rPr>
        <w:t xml:space="preserve">cipating countries for mangrove </w:t>
      </w:r>
      <w:r w:rsidRPr="00136A32">
        <w:rPr>
          <w:sz w:val="22"/>
          <w:szCs w:val="22"/>
        </w:rPr>
        <w:t>management.</w:t>
      </w:r>
    </w:p>
    <w:p w14:paraId="7D39AA36" w14:textId="77777777" w:rsidR="00335E1B" w:rsidRDefault="00DF773A" w:rsidP="00DF773A">
      <w:pPr>
        <w:numPr>
          <w:ilvl w:val="0"/>
          <w:numId w:val="3"/>
        </w:numPr>
        <w:spacing w:after="120"/>
        <w:ind w:left="0" w:firstLine="0"/>
        <w:jc w:val="both"/>
        <w:rPr>
          <w:sz w:val="22"/>
          <w:szCs w:val="22"/>
        </w:rPr>
      </w:pPr>
      <w:r w:rsidRPr="00DF773A">
        <w:rPr>
          <w:sz w:val="22"/>
          <w:szCs w:val="22"/>
        </w:rPr>
        <w:t>In considering the recommendation of the preceding RSTC meeting, the RWG-M included the following two additional types of management regime to accommodate the various interpretations of the term ‘protection’: non-use of mangrove timber but extractive use of other mangrove resources; and ‘sustainable management area’ in which mangrove uses were considered to be conducted in a sustainable manner (UNEP, 2005a). In doing so, the RWG-M noted that ‘protection’ in the context of mangroves implied non-use of either mangroves or associated resources such as is found in national parks for example.</w:t>
      </w:r>
    </w:p>
    <w:p w14:paraId="2843E07D" w14:textId="77777777" w:rsidR="00DF773A" w:rsidRPr="00136A32" w:rsidRDefault="00DF773A" w:rsidP="00DF773A">
      <w:pPr>
        <w:numPr>
          <w:ilvl w:val="0"/>
          <w:numId w:val="3"/>
        </w:numPr>
        <w:spacing w:after="120"/>
        <w:ind w:left="0" w:firstLine="0"/>
        <w:jc w:val="both"/>
        <w:rPr>
          <w:sz w:val="22"/>
          <w:szCs w:val="22"/>
        </w:rPr>
      </w:pPr>
      <w:r w:rsidRPr="00136A32">
        <w:rPr>
          <w:sz w:val="22"/>
          <w:szCs w:val="22"/>
        </w:rPr>
        <w:t>Following iterations of this step-</w:t>
      </w:r>
      <w:r>
        <w:rPr>
          <w:sz w:val="22"/>
          <w:szCs w:val="22"/>
        </w:rPr>
        <w:t xml:space="preserve">wise review resulted in regional </w:t>
      </w:r>
      <w:r w:rsidRPr="00136A32">
        <w:rPr>
          <w:sz w:val="22"/>
          <w:szCs w:val="22"/>
        </w:rPr>
        <w:t xml:space="preserve">agreement </w:t>
      </w:r>
      <w:r w:rsidR="007D3CF6">
        <w:rPr>
          <w:sz w:val="22"/>
          <w:szCs w:val="22"/>
        </w:rPr>
        <w:t>in</w:t>
      </w:r>
      <w:r w:rsidRPr="00136A32">
        <w:rPr>
          <w:sz w:val="22"/>
          <w:szCs w:val="22"/>
        </w:rPr>
        <w:t xml:space="preserve"> 2007 on five categories o</w:t>
      </w:r>
      <w:r>
        <w:rPr>
          <w:sz w:val="22"/>
          <w:szCs w:val="22"/>
        </w:rPr>
        <w:t xml:space="preserve">f mangrove forest: (1) </w:t>
      </w:r>
      <w:r w:rsidRPr="00136A32">
        <w:rPr>
          <w:sz w:val="22"/>
          <w:szCs w:val="22"/>
        </w:rPr>
        <w:t xml:space="preserve">production forest, </w:t>
      </w:r>
      <w:r>
        <w:rPr>
          <w:sz w:val="22"/>
          <w:szCs w:val="22"/>
        </w:rPr>
        <w:t xml:space="preserve">used on a sustainable basis for timber and </w:t>
      </w:r>
      <w:r w:rsidRPr="00136A32">
        <w:rPr>
          <w:sz w:val="22"/>
          <w:szCs w:val="22"/>
        </w:rPr>
        <w:t xml:space="preserve">woodchip production; (2) conversion </w:t>
      </w:r>
      <w:r>
        <w:rPr>
          <w:sz w:val="22"/>
          <w:szCs w:val="22"/>
        </w:rPr>
        <w:t xml:space="preserve">forest, a category in Indonesia representing areas of </w:t>
      </w:r>
      <w:r w:rsidRPr="00136A32">
        <w:rPr>
          <w:sz w:val="22"/>
          <w:szCs w:val="22"/>
        </w:rPr>
        <w:t>mang</w:t>
      </w:r>
      <w:r>
        <w:rPr>
          <w:sz w:val="22"/>
          <w:szCs w:val="22"/>
        </w:rPr>
        <w:t xml:space="preserve">rove designated for alternative </w:t>
      </w:r>
      <w:r w:rsidRPr="00136A32">
        <w:rPr>
          <w:sz w:val="22"/>
          <w:szCs w:val="22"/>
        </w:rPr>
        <w:t>land use under current plans; (3) Parks and P</w:t>
      </w:r>
      <w:r>
        <w:rPr>
          <w:sz w:val="22"/>
          <w:szCs w:val="22"/>
        </w:rPr>
        <w:t xml:space="preserve">rotected Areas; and (4) </w:t>
      </w:r>
      <w:r w:rsidRPr="00136A32">
        <w:rPr>
          <w:sz w:val="22"/>
          <w:szCs w:val="22"/>
        </w:rPr>
        <w:t>areas in which timber extraction is n</w:t>
      </w:r>
      <w:r>
        <w:rPr>
          <w:sz w:val="22"/>
          <w:szCs w:val="22"/>
        </w:rPr>
        <w:t xml:space="preserve">ot permitted but extractive use </w:t>
      </w:r>
      <w:r w:rsidRPr="00136A32">
        <w:rPr>
          <w:sz w:val="22"/>
          <w:szCs w:val="22"/>
        </w:rPr>
        <w:t xml:space="preserve">of other resources is permitted. </w:t>
      </w:r>
      <w:r>
        <w:rPr>
          <w:sz w:val="22"/>
          <w:szCs w:val="22"/>
        </w:rPr>
        <w:t xml:space="preserve"> </w:t>
      </w:r>
      <w:r w:rsidRPr="00136A32">
        <w:rPr>
          <w:sz w:val="22"/>
          <w:szCs w:val="22"/>
        </w:rPr>
        <w:t>I</w:t>
      </w:r>
      <w:r>
        <w:rPr>
          <w:sz w:val="22"/>
          <w:szCs w:val="22"/>
        </w:rPr>
        <w:t xml:space="preserve">n the case of Thailand, another </w:t>
      </w:r>
      <w:r w:rsidRPr="00136A32">
        <w:rPr>
          <w:sz w:val="22"/>
          <w:szCs w:val="22"/>
        </w:rPr>
        <w:t>category was recognised as (5) “</w:t>
      </w:r>
      <w:r>
        <w:rPr>
          <w:sz w:val="22"/>
          <w:szCs w:val="22"/>
        </w:rPr>
        <w:t xml:space="preserve">Private land, unregulated use”. </w:t>
      </w:r>
      <w:r w:rsidRPr="00136A32">
        <w:rPr>
          <w:sz w:val="22"/>
          <w:szCs w:val="22"/>
        </w:rPr>
        <w:t>Estimates of areas of mangrove in e</w:t>
      </w:r>
      <w:r>
        <w:rPr>
          <w:sz w:val="22"/>
          <w:szCs w:val="22"/>
        </w:rPr>
        <w:t xml:space="preserve">ach of the countries subject to </w:t>
      </w:r>
      <w:r w:rsidRPr="00136A32">
        <w:rPr>
          <w:sz w:val="22"/>
          <w:szCs w:val="22"/>
        </w:rPr>
        <w:t>various f</w:t>
      </w:r>
      <w:r>
        <w:rPr>
          <w:sz w:val="22"/>
          <w:szCs w:val="22"/>
        </w:rPr>
        <w:t xml:space="preserve">orms of management were refined during subsequent </w:t>
      </w:r>
      <w:r w:rsidRPr="00136A32">
        <w:rPr>
          <w:sz w:val="22"/>
          <w:szCs w:val="22"/>
        </w:rPr>
        <w:t>RWG-M meetings following cons</w:t>
      </w:r>
      <w:r>
        <w:rPr>
          <w:sz w:val="22"/>
          <w:szCs w:val="22"/>
        </w:rPr>
        <w:t xml:space="preserve">ultations between working group </w:t>
      </w:r>
      <w:r w:rsidRPr="00136A32">
        <w:rPr>
          <w:sz w:val="22"/>
          <w:szCs w:val="22"/>
        </w:rPr>
        <w:t>members and various national counterparts.</w:t>
      </w:r>
    </w:p>
    <w:p w14:paraId="4F07F373" w14:textId="77777777" w:rsidR="00DF773A" w:rsidRDefault="00DF773A" w:rsidP="00DF773A">
      <w:pPr>
        <w:numPr>
          <w:ilvl w:val="0"/>
          <w:numId w:val="3"/>
        </w:numPr>
        <w:spacing w:after="120"/>
        <w:ind w:left="0" w:firstLine="0"/>
        <w:jc w:val="both"/>
        <w:rPr>
          <w:sz w:val="22"/>
          <w:szCs w:val="22"/>
        </w:rPr>
      </w:pPr>
      <w:r w:rsidRPr="00136A32">
        <w:rPr>
          <w:sz w:val="22"/>
          <w:szCs w:val="22"/>
        </w:rPr>
        <w:t>Similarly, in defining priority opt</w:t>
      </w:r>
      <w:r>
        <w:rPr>
          <w:sz w:val="22"/>
          <w:szCs w:val="22"/>
        </w:rPr>
        <w:t>ions for intervention, the RWG</w:t>
      </w:r>
      <w:r w:rsidR="00380384">
        <w:rPr>
          <w:sz w:val="22"/>
          <w:szCs w:val="22"/>
        </w:rPr>
        <w:t>-</w:t>
      </w:r>
      <w:r>
        <w:rPr>
          <w:sz w:val="22"/>
          <w:szCs w:val="22"/>
        </w:rPr>
        <w:t xml:space="preserve">M </w:t>
      </w:r>
      <w:r w:rsidRPr="00136A32">
        <w:rPr>
          <w:sz w:val="22"/>
          <w:szCs w:val="22"/>
        </w:rPr>
        <w:t>gave consideration to the</w:t>
      </w:r>
      <w:r>
        <w:rPr>
          <w:sz w:val="22"/>
          <w:szCs w:val="22"/>
        </w:rPr>
        <w:t xml:space="preserve"> causes of mangrove destruction </w:t>
      </w:r>
      <w:r w:rsidRPr="00136A32">
        <w:rPr>
          <w:sz w:val="22"/>
          <w:szCs w:val="22"/>
        </w:rPr>
        <w:t>identified in the TDA in the light o</w:t>
      </w:r>
      <w:r>
        <w:rPr>
          <w:sz w:val="22"/>
          <w:szCs w:val="22"/>
        </w:rPr>
        <w:t xml:space="preserve">f new information and data. The TDA in </w:t>
      </w:r>
      <w:r w:rsidRPr="00136A32">
        <w:rPr>
          <w:sz w:val="22"/>
          <w:szCs w:val="22"/>
        </w:rPr>
        <w:t>2000 had identified the c</w:t>
      </w:r>
      <w:r>
        <w:rPr>
          <w:sz w:val="22"/>
          <w:szCs w:val="22"/>
        </w:rPr>
        <w:t xml:space="preserve">onversion of mangrove forest to </w:t>
      </w:r>
      <w:r w:rsidRPr="00136A32">
        <w:rPr>
          <w:sz w:val="22"/>
          <w:szCs w:val="22"/>
        </w:rPr>
        <w:t>sites for pon</w:t>
      </w:r>
      <w:r>
        <w:rPr>
          <w:sz w:val="22"/>
          <w:szCs w:val="22"/>
        </w:rPr>
        <w:t xml:space="preserve">d aquaculture, particularly for shrimp, clear felling of </w:t>
      </w:r>
      <w:r w:rsidRPr="00136A32">
        <w:rPr>
          <w:sz w:val="22"/>
          <w:szCs w:val="22"/>
        </w:rPr>
        <w:t>timber for woodchip production, la</w:t>
      </w:r>
      <w:r>
        <w:rPr>
          <w:sz w:val="22"/>
          <w:szCs w:val="22"/>
        </w:rPr>
        <w:t xml:space="preserve">nd clearance for urban and port </w:t>
      </w:r>
      <w:r w:rsidRPr="00136A32">
        <w:rPr>
          <w:sz w:val="22"/>
          <w:szCs w:val="22"/>
        </w:rPr>
        <w:t>development and human settlem</w:t>
      </w:r>
      <w:r>
        <w:rPr>
          <w:sz w:val="22"/>
          <w:szCs w:val="22"/>
        </w:rPr>
        <w:t xml:space="preserve">ents, and the harvest of timber products for domestic use. </w:t>
      </w:r>
    </w:p>
    <w:p w14:paraId="7F136D06" w14:textId="77777777" w:rsidR="00DF773A" w:rsidRPr="00136A32" w:rsidRDefault="00DF773A" w:rsidP="00DF773A">
      <w:pPr>
        <w:numPr>
          <w:ilvl w:val="0"/>
          <w:numId w:val="3"/>
        </w:numPr>
        <w:spacing w:after="120"/>
        <w:ind w:left="0" w:firstLine="0"/>
        <w:jc w:val="both"/>
        <w:rPr>
          <w:sz w:val="22"/>
          <w:szCs w:val="22"/>
        </w:rPr>
      </w:pPr>
      <w:r>
        <w:rPr>
          <w:sz w:val="22"/>
          <w:szCs w:val="22"/>
        </w:rPr>
        <w:t xml:space="preserve">It was the </w:t>
      </w:r>
      <w:r w:rsidRPr="00136A32">
        <w:rPr>
          <w:sz w:val="22"/>
          <w:szCs w:val="22"/>
        </w:rPr>
        <w:t>consensus view of the</w:t>
      </w:r>
      <w:r>
        <w:rPr>
          <w:sz w:val="22"/>
          <w:szCs w:val="22"/>
        </w:rPr>
        <w:t xml:space="preserve"> RWG-M that, based on </w:t>
      </w:r>
      <w:r w:rsidRPr="00136A32">
        <w:rPr>
          <w:sz w:val="22"/>
          <w:szCs w:val="22"/>
        </w:rPr>
        <w:t>the comprehensive set of informatio</w:t>
      </w:r>
      <w:r>
        <w:rPr>
          <w:sz w:val="22"/>
          <w:szCs w:val="22"/>
        </w:rPr>
        <w:t xml:space="preserve">n and data it had compiled, the </w:t>
      </w:r>
      <w:r w:rsidRPr="00136A32">
        <w:rPr>
          <w:sz w:val="22"/>
          <w:szCs w:val="22"/>
        </w:rPr>
        <w:t xml:space="preserve">present causes of loss of mangrove </w:t>
      </w:r>
      <w:r>
        <w:rPr>
          <w:sz w:val="22"/>
          <w:szCs w:val="22"/>
        </w:rPr>
        <w:t xml:space="preserve">habitat are no longer dominated by </w:t>
      </w:r>
      <w:r w:rsidRPr="00136A32">
        <w:rPr>
          <w:sz w:val="22"/>
          <w:szCs w:val="22"/>
        </w:rPr>
        <w:t>shrimp culture although this re</w:t>
      </w:r>
      <w:r>
        <w:rPr>
          <w:sz w:val="22"/>
          <w:szCs w:val="22"/>
        </w:rPr>
        <w:t xml:space="preserve">mains one reason for conversion </w:t>
      </w:r>
      <w:r w:rsidRPr="00136A32">
        <w:rPr>
          <w:sz w:val="22"/>
          <w:szCs w:val="22"/>
        </w:rPr>
        <w:t>in China</w:t>
      </w:r>
      <w:r w:rsidR="00F70649">
        <w:rPr>
          <w:sz w:val="22"/>
          <w:szCs w:val="22"/>
        </w:rPr>
        <w:t xml:space="preserve"> and</w:t>
      </w:r>
      <w:r w:rsidRPr="00136A32">
        <w:rPr>
          <w:sz w:val="22"/>
          <w:szCs w:val="22"/>
        </w:rPr>
        <w:t xml:space="preserve"> Indonesia . </w:t>
      </w:r>
      <w:r>
        <w:rPr>
          <w:sz w:val="22"/>
          <w:szCs w:val="22"/>
        </w:rPr>
        <w:t xml:space="preserve">It was also recognised that the </w:t>
      </w:r>
      <w:r w:rsidRPr="00136A32">
        <w:rPr>
          <w:sz w:val="22"/>
          <w:szCs w:val="22"/>
        </w:rPr>
        <w:t>conversion of mangrove to land for</w:t>
      </w:r>
      <w:r>
        <w:rPr>
          <w:sz w:val="22"/>
          <w:szCs w:val="22"/>
        </w:rPr>
        <w:t xml:space="preserve"> industrial purposes, including </w:t>
      </w:r>
      <w:r w:rsidRPr="00136A32">
        <w:rPr>
          <w:sz w:val="22"/>
          <w:szCs w:val="22"/>
        </w:rPr>
        <w:t>harbour construction, has grown ove</w:t>
      </w:r>
      <w:r>
        <w:rPr>
          <w:sz w:val="22"/>
          <w:szCs w:val="22"/>
        </w:rPr>
        <w:t xml:space="preserve">r the last ten years and is now </w:t>
      </w:r>
      <w:r w:rsidRPr="00136A32">
        <w:rPr>
          <w:sz w:val="22"/>
          <w:szCs w:val="22"/>
        </w:rPr>
        <w:t>significant in China but of low importanc</w:t>
      </w:r>
      <w:r>
        <w:rPr>
          <w:sz w:val="22"/>
          <w:szCs w:val="22"/>
        </w:rPr>
        <w:t xml:space="preserve">e in Indonesia, the Philippines </w:t>
      </w:r>
      <w:r w:rsidRPr="00136A32">
        <w:rPr>
          <w:sz w:val="22"/>
          <w:szCs w:val="22"/>
        </w:rPr>
        <w:t>and Viet Nam, and unimpo</w:t>
      </w:r>
      <w:r>
        <w:rPr>
          <w:sz w:val="22"/>
          <w:szCs w:val="22"/>
        </w:rPr>
        <w:t xml:space="preserve">rtant in Thailand and Cambodia. </w:t>
      </w:r>
      <w:r w:rsidRPr="00136A32">
        <w:rPr>
          <w:sz w:val="22"/>
          <w:szCs w:val="22"/>
        </w:rPr>
        <w:t>Degradation of mangrove habit</w:t>
      </w:r>
      <w:r>
        <w:rPr>
          <w:sz w:val="22"/>
          <w:szCs w:val="22"/>
        </w:rPr>
        <w:t xml:space="preserve">ats as a consequence of chronic pollution from shrimp farming </w:t>
      </w:r>
      <w:r w:rsidRPr="00136A32">
        <w:rPr>
          <w:sz w:val="22"/>
          <w:szCs w:val="22"/>
        </w:rPr>
        <w:t>oper</w:t>
      </w:r>
      <w:r>
        <w:rPr>
          <w:sz w:val="22"/>
          <w:szCs w:val="22"/>
        </w:rPr>
        <w:t xml:space="preserve">ations is now more prevalent in </w:t>
      </w:r>
      <w:r w:rsidRPr="00136A32">
        <w:rPr>
          <w:sz w:val="22"/>
          <w:szCs w:val="22"/>
        </w:rPr>
        <w:t>China, Indonesia and Thailand, whils</w:t>
      </w:r>
      <w:r>
        <w:rPr>
          <w:sz w:val="22"/>
          <w:szCs w:val="22"/>
        </w:rPr>
        <w:t xml:space="preserve">t charcoal production continues </w:t>
      </w:r>
      <w:r w:rsidRPr="00136A32">
        <w:rPr>
          <w:sz w:val="22"/>
          <w:szCs w:val="22"/>
        </w:rPr>
        <w:t>to degrade mangrove in Cambodia</w:t>
      </w:r>
      <w:r>
        <w:rPr>
          <w:sz w:val="22"/>
          <w:szCs w:val="22"/>
        </w:rPr>
        <w:t xml:space="preserve">, Indonesia and the Philippines </w:t>
      </w:r>
      <w:r w:rsidRPr="00136A32">
        <w:rPr>
          <w:sz w:val="22"/>
          <w:szCs w:val="22"/>
        </w:rPr>
        <w:t>despite legislation banning</w:t>
      </w:r>
      <w:r>
        <w:rPr>
          <w:sz w:val="22"/>
          <w:szCs w:val="22"/>
        </w:rPr>
        <w:t xml:space="preserve"> all harvesting of mangroves in </w:t>
      </w:r>
      <w:r w:rsidRPr="00136A32">
        <w:rPr>
          <w:sz w:val="22"/>
          <w:szCs w:val="22"/>
        </w:rPr>
        <w:t>Cambodia and the Philippines.</w:t>
      </w:r>
      <w:r w:rsidR="00F70649">
        <w:rPr>
          <w:sz w:val="22"/>
          <w:szCs w:val="22"/>
        </w:rPr>
        <w:t xml:space="preserve"> Coastal erosion, primarily as a result of a deficit of upstream sediment supply, is </w:t>
      </w:r>
      <w:r w:rsidR="00B93F6A">
        <w:rPr>
          <w:sz w:val="22"/>
          <w:szCs w:val="22"/>
        </w:rPr>
        <w:t>increasingly becoming a contemporary cause of mangrove loss in Vietnam.</w:t>
      </w:r>
    </w:p>
    <w:p w14:paraId="274A6EC0" w14:textId="77777777" w:rsidR="00DF773A" w:rsidRDefault="00DF773A" w:rsidP="00DF773A">
      <w:pPr>
        <w:numPr>
          <w:ilvl w:val="0"/>
          <w:numId w:val="3"/>
        </w:numPr>
        <w:spacing w:after="120"/>
        <w:ind w:left="0" w:firstLine="0"/>
        <w:jc w:val="both"/>
        <w:rPr>
          <w:sz w:val="22"/>
          <w:szCs w:val="22"/>
        </w:rPr>
      </w:pPr>
      <w:r w:rsidRPr="00136A32">
        <w:rPr>
          <w:sz w:val="22"/>
          <w:szCs w:val="22"/>
        </w:rPr>
        <w:t>Thus, at the time of finalising mangrove SAP targets and priority</w:t>
      </w:r>
      <w:r>
        <w:rPr>
          <w:sz w:val="22"/>
          <w:szCs w:val="22"/>
        </w:rPr>
        <w:t xml:space="preserve"> </w:t>
      </w:r>
      <w:r w:rsidRPr="00136A32">
        <w:rPr>
          <w:sz w:val="22"/>
          <w:szCs w:val="22"/>
        </w:rPr>
        <w:t>actions, the following anthropogenic an</w:t>
      </w:r>
      <w:r>
        <w:rPr>
          <w:sz w:val="22"/>
          <w:szCs w:val="22"/>
        </w:rPr>
        <w:t xml:space="preserve">d natural threats were seen </w:t>
      </w:r>
      <w:r w:rsidRPr="00136A32">
        <w:rPr>
          <w:sz w:val="22"/>
          <w:szCs w:val="22"/>
        </w:rPr>
        <w:t>as the current priority threats to</w:t>
      </w:r>
      <w:r>
        <w:rPr>
          <w:sz w:val="22"/>
          <w:szCs w:val="22"/>
        </w:rPr>
        <w:t xml:space="preserve"> mangrove systems bordering the </w:t>
      </w:r>
      <w:r w:rsidRPr="00136A32">
        <w:rPr>
          <w:sz w:val="22"/>
          <w:szCs w:val="22"/>
        </w:rPr>
        <w:t>South China Sea. Anthropogenic th</w:t>
      </w:r>
      <w:r>
        <w:rPr>
          <w:sz w:val="22"/>
          <w:szCs w:val="22"/>
        </w:rPr>
        <w:t xml:space="preserve">reats comprise: (1) reclamation </w:t>
      </w:r>
      <w:r w:rsidRPr="00136A32">
        <w:rPr>
          <w:sz w:val="22"/>
          <w:szCs w:val="22"/>
        </w:rPr>
        <w:t>and infrastructure development; (2</w:t>
      </w:r>
      <w:r>
        <w:rPr>
          <w:sz w:val="22"/>
          <w:szCs w:val="22"/>
        </w:rPr>
        <w:t xml:space="preserve">) pollution from shrimp farming </w:t>
      </w:r>
      <w:r w:rsidRPr="00136A32">
        <w:rPr>
          <w:sz w:val="22"/>
          <w:szCs w:val="22"/>
        </w:rPr>
        <w:t>(China, Indonesia, Thailand); (3) indu</w:t>
      </w:r>
      <w:r>
        <w:rPr>
          <w:sz w:val="22"/>
          <w:szCs w:val="22"/>
        </w:rPr>
        <w:t xml:space="preserve">strial conversion (China, small </w:t>
      </w:r>
      <w:r w:rsidRPr="00136A32">
        <w:rPr>
          <w:sz w:val="22"/>
          <w:szCs w:val="22"/>
        </w:rPr>
        <w:t>in Philippines, Indonesia and Viet N</w:t>
      </w:r>
      <w:r>
        <w:rPr>
          <w:sz w:val="22"/>
          <w:szCs w:val="22"/>
        </w:rPr>
        <w:t xml:space="preserve">am, negligible in Cambodia, and </w:t>
      </w:r>
      <w:r w:rsidRPr="00136A32">
        <w:rPr>
          <w:sz w:val="22"/>
          <w:szCs w:val="22"/>
        </w:rPr>
        <w:t>Thailand); (4) charcoal production (Indonesia, Philippines and</w:t>
      </w:r>
      <w:r>
        <w:rPr>
          <w:sz w:val="22"/>
          <w:szCs w:val="22"/>
        </w:rPr>
        <w:t xml:space="preserve"> </w:t>
      </w:r>
      <w:r w:rsidRPr="00172E6F">
        <w:rPr>
          <w:sz w:val="22"/>
          <w:szCs w:val="22"/>
        </w:rPr>
        <w:t>Cambodia); and (5) conversion to shr</w:t>
      </w:r>
      <w:r>
        <w:rPr>
          <w:sz w:val="22"/>
          <w:szCs w:val="22"/>
        </w:rPr>
        <w:t xml:space="preserve">imp culture (potential longterm </w:t>
      </w:r>
      <w:r w:rsidRPr="00172E6F">
        <w:rPr>
          <w:sz w:val="22"/>
          <w:szCs w:val="22"/>
        </w:rPr>
        <w:t xml:space="preserve">threat in Viet Nam). Natural </w:t>
      </w:r>
      <w:r>
        <w:rPr>
          <w:sz w:val="22"/>
          <w:szCs w:val="22"/>
        </w:rPr>
        <w:t xml:space="preserve">threats comprise: (1) sea level </w:t>
      </w:r>
      <w:r w:rsidRPr="00172E6F">
        <w:rPr>
          <w:sz w:val="22"/>
          <w:szCs w:val="22"/>
        </w:rPr>
        <w:t xml:space="preserve">rise; and (2) </w:t>
      </w:r>
      <w:r>
        <w:rPr>
          <w:sz w:val="22"/>
          <w:szCs w:val="22"/>
        </w:rPr>
        <w:t xml:space="preserve">episodic events, e.g., tsunamis and typhoons (UNEP, </w:t>
      </w:r>
      <w:r w:rsidRPr="00172E6F">
        <w:rPr>
          <w:sz w:val="22"/>
          <w:szCs w:val="22"/>
        </w:rPr>
        <w:t xml:space="preserve">2008a). </w:t>
      </w:r>
      <w:r w:rsidR="00380384">
        <w:rPr>
          <w:sz w:val="22"/>
          <w:szCs w:val="22"/>
        </w:rPr>
        <w:t xml:space="preserve">This situation was confirmed by Vo </w:t>
      </w:r>
      <w:r w:rsidR="00380384" w:rsidRPr="00A73AC1">
        <w:rPr>
          <w:i/>
          <w:sz w:val="22"/>
          <w:szCs w:val="22"/>
        </w:rPr>
        <w:t>et al</w:t>
      </w:r>
      <w:r w:rsidR="00380384">
        <w:rPr>
          <w:sz w:val="22"/>
          <w:szCs w:val="22"/>
        </w:rPr>
        <w:t>.in 2013</w:t>
      </w:r>
      <w:r w:rsidR="00B93F6A">
        <w:rPr>
          <w:sz w:val="22"/>
          <w:szCs w:val="22"/>
        </w:rPr>
        <w:t xml:space="preserve"> with coastal erosion in </w:t>
      </w:r>
      <w:r w:rsidR="00757E85">
        <w:rPr>
          <w:sz w:val="22"/>
          <w:szCs w:val="22"/>
        </w:rPr>
        <w:t>and conversion for palm oil plantation</w:t>
      </w:r>
      <w:r w:rsidR="00B93F6A">
        <w:rPr>
          <w:sz w:val="22"/>
          <w:szCs w:val="22"/>
        </w:rPr>
        <w:t xml:space="preserve"> </w:t>
      </w:r>
      <w:r w:rsidR="00757E85">
        <w:rPr>
          <w:sz w:val="22"/>
          <w:szCs w:val="22"/>
        </w:rPr>
        <w:t xml:space="preserve">being </w:t>
      </w:r>
      <w:r w:rsidR="00B93F6A">
        <w:rPr>
          <w:sz w:val="22"/>
          <w:szCs w:val="22"/>
        </w:rPr>
        <w:t>additional cause</w:t>
      </w:r>
      <w:r w:rsidR="00757E85">
        <w:rPr>
          <w:sz w:val="22"/>
          <w:szCs w:val="22"/>
        </w:rPr>
        <w:t>s</w:t>
      </w:r>
      <w:r w:rsidR="00B93F6A">
        <w:rPr>
          <w:sz w:val="22"/>
          <w:szCs w:val="22"/>
        </w:rPr>
        <w:t xml:space="preserve"> in Vietnam</w:t>
      </w:r>
      <w:r w:rsidR="00757E85">
        <w:rPr>
          <w:sz w:val="22"/>
          <w:szCs w:val="22"/>
        </w:rPr>
        <w:t xml:space="preserve"> and Indonesia, respectively.</w:t>
      </w:r>
    </w:p>
    <w:p w14:paraId="6D87810E" w14:textId="77777777" w:rsidR="00DF773A" w:rsidRDefault="00DF773A" w:rsidP="00DF773A">
      <w:pPr>
        <w:numPr>
          <w:ilvl w:val="0"/>
          <w:numId w:val="3"/>
        </w:numPr>
        <w:spacing w:after="120"/>
        <w:ind w:left="0" w:firstLine="0"/>
        <w:jc w:val="both"/>
        <w:rPr>
          <w:sz w:val="22"/>
          <w:szCs w:val="22"/>
        </w:rPr>
      </w:pPr>
      <w:r w:rsidRPr="00172E6F">
        <w:rPr>
          <w:sz w:val="22"/>
          <w:szCs w:val="22"/>
        </w:rPr>
        <w:t xml:space="preserve">Accordingly, the revision </w:t>
      </w:r>
      <w:r>
        <w:rPr>
          <w:sz w:val="22"/>
          <w:szCs w:val="22"/>
        </w:rPr>
        <w:t xml:space="preserve">of SAP targets for mangroves in </w:t>
      </w:r>
      <w:r w:rsidRPr="00172E6F">
        <w:rPr>
          <w:sz w:val="22"/>
          <w:szCs w:val="22"/>
        </w:rPr>
        <w:t>the South C</w:t>
      </w:r>
      <w:r>
        <w:rPr>
          <w:sz w:val="22"/>
          <w:szCs w:val="22"/>
        </w:rPr>
        <w:t xml:space="preserve">hina Sea focused on identifying </w:t>
      </w:r>
      <w:r w:rsidRPr="00172E6F">
        <w:rPr>
          <w:sz w:val="22"/>
          <w:szCs w:val="22"/>
        </w:rPr>
        <w:t>mangrove areas under</w:t>
      </w:r>
      <w:r>
        <w:rPr>
          <w:sz w:val="22"/>
          <w:szCs w:val="22"/>
        </w:rPr>
        <w:t xml:space="preserve"> </w:t>
      </w:r>
      <w:r w:rsidRPr="00172E6F">
        <w:rPr>
          <w:sz w:val="22"/>
          <w:szCs w:val="22"/>
        </w:rPr>
        <w:t>various forms of management, cons</w:t>
      </w:r>
      <w:r>
        <w:rPr>
          <w:sz w:val="22"/>
          <w:szCs w:val="22"/>
        </w:rPr>
        <w:t xml:space="preserve">ideration of national realities </w:t>
      </w:r>
      <w:r w:rsidRPr="00172E6F">
        <w:rPr>
          <w:sz w:val="22"/>
          <w:szCs w:val="22"/>
        </w:rPr>
        <w:t>with respect to various threat</w:t>
      </w:r>
      <w:r>
        <w:rPr>
          <w:sz w:val="22"/>
          <w:szCs w:val="22"/>
        </w:rPr>
        <w:t xml:space="preserve">s, management capabilities, and </w:t>
      </w:r>
      <w:r w:rsidRPr="00172E6F">
        <w:rPr>
          <w:sz w:val="22"/>
          <w:szCs w:val="22"/>
        </w:rPr>
        <w:t>defining proposed are</w:t>
      </w:r>
      <w:r>
        <w:rPr>
          <w:sz w:val="22"/>
          <w:szCs w:val="22"/>
        </w:rPr>
        <w:t xml:space="preserve">as of mangrove to be subject to changes in </w:t>
      </w:r>
      <w:r w:rsidRPr="00172E6F">
        <w:rPr>
          <w:sz w:val="22"/>
          <w:szCs w:val="22"/>
        </w:rPr>
        <w:t>designation and/or managemen</w:t>
      </w:r>
      <w:r>
        <w:rPr>
          <w:sz w:val="22"/>
          <w:szCs w:val="22"/>
        </w:rPr>
        <w:t xml:space="preserve">t to address these threats.  </w:t>
      </w:r>
      <w:r w:rsidRPr="00172E6F">
        <w:rPr>
          <w:sz w:val="22"/>
          <w:szCs w:val="22"/>
        </w:rPr>
        <w:t>The target for mangroves de</w:t>
      </w:r>
      <w:r>
        <w:rPr>
          <w:sz w:val="22"/>
          <w:szCs w:val="22"/>
        </w:rPr>
        <w:t xml:space="preserve">fined in the 1998 framework SAP </w:t>
      </w:r>
      <w:r w:rsidRPr="00172E6F">
        <w:rPr>
          <w:sz w:val="22"/>
          <w:szCs w:val="22"/>
        </w:rPr>
        <w:t>was defined simply as “By 2010, to maintain the area of mangroves in</w:t>
      </w:r>
      <w:r>
        <w:rPr>
          <w:sz w:val="22"/>
          <w:szCs w:val="22"/>
        </w:rPr>
        <w:t xml:space="preserve"> th</w:t>
      </w:r>
      <w:r w:rsidRPr="00172E6F">
        <w:rPr>
          <w:sz w:val="22"/>
          <w:szCs w:val="22"/>
        </w:rPr>
        <w:t>e region at no less than 90% of the present (1998) area”</w:t>
      </w:r>
      <w:r>
        <w:rPr>
          <w:sz w:val="22"/>
          <w:szCs w:val="22"/>
        </w:rPr>
        <w:t xml:space="preserve">. Priority regional and national actions emphasised resource assessment, </w:t>
      </w:r>
      <w:r w:rsidRPr="00172E6F">
        <w:rPr>
          <w:sz w:val="22"/>
          <w:szCs w:val="22"/>
        </w:rPr>
        <w:t>reviews of management, the</w:t>
      </w:r>
      <w:r>
        <w:rPr>
          <w:sz w:val="22"/>
          <w:szCs w:val="22"/>
        </w:rPr>
        <w:t xml:space="preserve"> piloting of various management approaches </w:t>
      </w:r>
      <w:r w:rsidRPr="00172E6F">
        <w:rPr>
          <w:sz w:val="22"/>
          <w:szCs w:val="22"/>
        </w:rPr>
        <w:t>for mangroves, and aw</w:t>
      </w:r>
      <w:r>
        <w:rPr>
          <w:sz w:val="22"/>
          <w:szCs w:val="22"/>
        </w:rPr>
        <w:t xml:space="preserve">areness activities. The revised </w:t>
      </w:r>
      <w:r w:rsidRPr="00172E6F">
        <w:rPr>
          <w:sz w:val="22"/>
          <w:szCs w:val="22"/>
        </w:rPr>
        <w:t>targets in the 2008 SAP provide the platform not only to buil</w:t>
      </w:r>
      <w:r>
        <w:rPr>
          <w:sz w:val="22"/>
          <w:szCs w:val="22"/>
        </w:rPr>
        <w:t xml:space="preserve">d on </w:t>
      </w:r>
      <w:r w:rsidRPr="00172E6F">
        <w:rPr>
          <w:sz w:val="22"/>
          <w:szCs w:val="22"/>
        </w:rPr>
        <w:t>advances made during the operation</w:t>
      </w:r>
      <w:r>
        <w:rPr>
          <w:sz w:val="22"/>
          <w:szCs w:val="22"/>
        </w:rPr>
        <w:t xml:space="preserve"> of the SCS project but also to </w:t>
      </w:r>
      <w:r w:rsidRPr="00172E6F">
        <w:rPr>
          <w:sz w:val="22"/>
          <w:szCs w:val="22"/>
        </w:rPr>
        <w:t>reflect emerging trends in mangr</w:t>
      </w:r>
      <w:r>
        <w:rPr>
          <w:sz w:val="22"/>
          <w:szCs w:val="22"/>
        </w:rPr>
        <w:t xml:space="preserve">ove threats and priorities. </w:t>
      </w:r>
      <w:r w:rsidR="007D3CF6">
        <w:rPr>
          <w:sz w:val="22"/>
          <w:szCs w:val="22"/>
        </w:rPr>
        <w:t xml:space="preserve">A </w:t>
      </w:r>
      <w:r w:rsidRPr="00172E6F">
        <w:rPr>
          <w:sz w:val="22"/>
          <w:szCs w:val="22"/>
        </w:rPr>
        <w:t xml:space="preserve">target </w:t>
      </w:r>
      <w:r w:rsidR="008D5040">
        <w:rPr>
          <w:sz w:val="22"/>
          <w:szCs w:val="22"/>
        </w:rPr>
        <w:t xml:space="preserve">associated with </w:t>
      </w:r>
      <w:r w:rsidRPr="00172E6F">
        <w:rPr>
          <w:sz w:val="22"/>
          <w:szCs w:val="22"/>
        </w:rPr>
        <w:t xml:space="preserve">enrichment planting to </w:t>
      </w:r>
      <w:r>
        <w:rPr>
          <w:sz w:val="22"/>
          <w:szCs w:val="22"/>
        </w:rPr>
        <w:t xml:space="preserve">increase mangrove biodiversity, </w:t>
      </w:r>
      <w:r w:rsidRPr="00172E6F">
        <w:rPr>
          <w:sz w:val="22"/>
          <w:szCs w:val="22"/>
        </w:rPr>
        <w:t>for example, was included following lengthy consideratio</w:t>
      </w:r>
      <w:r>
        <w:rPr>
          <w:sz w:val="22"/>
          <w:szCs w:val="22"/>
        </w:rPr>
        <w:t xml:space="preserve">n by the </w:t>
      </w:r>
      <w:r w:rsidRPr="00172E6F">
        <w:rPr>
          <w:sz w:val="22"/>
          <w:szCs w:val="22"/>
        </w:rPr>
        <w:t>RWG-M of the results of largely single</w:t>
      </w:r>
      <w:r>
        <w:rPr>
          <w:sz w:val="22"/>
          <w:szCs w:val="22"/>
        </w:rPr>
        <w:t xml:space="preserve"> species mangrove reforestation </w:t>
      </w:r>
      <w:r w:rsidRPr="00172E6F">
        <w:rPr>
          <w:sz w:val="22"/>
          <w:szCs w:val="22"/>
        </w:rPr>
        <w:t>initiatives in the region during recent decades.</w:t>
      </w:r>
    </w:p>
    <w:p w14:paraId="026EF6F7" w14:textId="77777777" w:rsidR="00DF773A" w:rsidRPr="00DF773A" w:rsidRDefault="00DF773A" w:rsidP="00DF773A">
      <w:pPr>
        <w:numPr>
          <w:ilvl w:val="3"/>
          <w:numId w:val="2"/>
        </w:numPr>
        <w:spacing w:after="120"/>
        <w:outlineLvl w:val="1"/>
        <w:rPr>
          <w:b/>
          <w:sz w:val="22"/>
          <w:szCs w:val="22"/>
          <w:lang w:val="en-GB"/>
        </w:rPr>
      </w:pPr>
      <w:r>
        <w:rPr>
          <w:b/>
          <w:sz w:val="22"/>
          <w:szCs w:val="22"/>
          <w:lang w:val="en-GB"/>
        </w:rPr>
        <w:t>Planning interventions for local benefit and high transboundary impacts</w:t>
      </w:r>
    </w:p>
    <w:p w14:paraId="76052563" w14:textId="77777777" w:rsidR="00335E1B" w:rsidRDefault="00DF773A" w:rsidP="00DF773A">
      <w:pPr>
        <w:numPr>
          <w:ilvl w:val="0"/>
          <w:numId w:val="3"/>
        </w:numPr>
        <w:spacing w:after="120"/>
        <w:ind w:left="0" w:firstLine="0"/>
        <w:jc w:val="both"/>
        <w:rPr>
          <w:sz w:val="22"/>
          <w:szCs w:val="22"/>
          <w:lang w:val="en-GB"/>
        </w:rPr>
      </w:pPr>
      <w:r w:rsidRPr="00DF773A">
        <w:rPr>
          <w:sz w:val="22"/>
          <w:szCs w:val="22"/>
          <w:lang w:val="en-GB"/>
        </w:rPr>
        <w:t>The cross-sectoral collaboration in information and data collection and the joint fact finding facilitated by the project enabled detailed consideration of the need for improved integration of fisheries management and coastal habitat management. This was a key element in the planning of interventions aimed at the simultaneous achievement of local level benefits for fisheries and biodiversity that would also have transboundary impacts at regional and global levels. In addition to the step-wise consideration of this issue by the various RWGs and the RSTC, the Regional Science Conferences, convened as part of the SCS project, provided members of the project network an opportunity to collegially review and assess the project’s overall progress, to consider new ideas and to share experiences in project implementation and cross-sectoral coordination.</w:t>
      </w:r>
    </w:p>
    <w:p w14:paraId="3E7847FE" w14:textId="77777777" w:rsidR="00DF773A" w:rsidRPr="00172E6F" w:rsidRDefault="00DF773A" w:rsidP="00DF773A">
      <w:pPr>
        <w:numPr>
          <w:ilvl w:val="0"/>
          <w:numId w:val="3"/>
        </w:numPr>
        <w:spacing w:after="120"/>
        <w:ind w:left="0" w:firstLine="0"/>
        <w:jc w:val="both"/>
        <w:rPr>
          <w:sz w:val="22"/>
          <w:szCs w:val="22"/>
        </w:rPr>
      </w:pPr>
      <w:r w:rsidRPr="00172E6F">
        <w:rPr>
          <w:sz w:val="22"/>
          <w:szCs w:val="22"/>
        </w:rPr>
        <w:t>The programme of the second R</w:t>
      </w:r>
      <w:r>
        <w:rPr>
          <w:sz w:val="22"/>
          <w:szCs w:val="22"/>
        </w:rPr>
        <w:t xml:space="preserve">egional Science Conference held </w:t>
      </w:r>
      <w:r w:rsidRPr="00172E6F">
        <w:rPr>
          <w:sz w:val="22"/>
          <w:szCs w:val="22"/>
        </w:rPr>
        <w:t xml:space="preserve">in November 2005 included </w:t>
      </w:r>
      <w:r>
        <w:rPr>
          <w:sz w:val="22"/>
          <w:szCs w:val="22"/>
        </w:rPr>
        <w:t xml:space="preserve">an opportunity for RWGs for the </w:t>
      </w:r>
      <w:r w:rsidRPr="00172E6F">
        <w:rPr>
          <w:sz w:val="22"/>
          <w:szCs w:val="22"/>
        </w:rPr>
        <w:t>habitat sub-components of the project to meet w</w:t>
      </w:r>
      <w:r>
        <w:rPr>
          <w:sz w:val="22"/>
          <w:szCs w:val="22"/>
        </w:rPr>
        <w:t xml:space="preserve">ith members of </w:t>
      </w:r>
      <w:r w:rsidRPr="00172E6F">
        <w:rPr>
          <w:sz w:val="22"/>
          <w:szCs w:val="22"/>
        </w:rPr>
        <w:t>the RWG on fisheries (RWG-F) and s</w:t>
      </w:r>
      <w:r>
        <w:rPr>
          <w:sz w:val="22"/>
          <w:szCs w:val="22"/>
        </w:rPr>
        <w:t xml:space="preserve">enior fisheries advisors of the </w:t>
      </w:r>
      <w:r w:rsidRPr="00172E6F">
        <w:rPr>
          <w:sz w:val="22"/>
          <w:szCs w:val="22"/>
        </w:rPr>
        <w:t>Southeast Asian Fisheries Devel</w:t>
      </w:r>
      <w:r>
        <w:rPr>
          <w:sz w:val="22"/>
          <w:szCs w:val="22"/>
        </w:rPr>
        <w:t xml:space="preserve">opment Center (SEAFDEC) and the </w:t>
      </w:r>
      <w:r w:rsidRPr="00172E6F">
        <w:rPr>
          <w:sz w:val="22"/>
          <w:szCs w:val="22"/>
        </w:rPr>
        <w:t>Food and Agriculture Organization of</w:t>
      </w:r>
      <w:r>
        <w:rPr>
          <w:sz w:val="22"/>
          <w:szCs w:val="22"/>
        </w:rPr>
        <w:t xml:space="preserve"> the United Nations (FAO). This </w:t>
      </w:r>
      <w:r w:rsidRPr="00172E6F">
        <w:rPr>
          <w:sz w:val="22"/>
          <w:szCs w:val="22"/>
        </w:rPr>
        <w:t>event focused on the critical linkages betwe</w:t>
      </w:r>
      <w:r>
        <w:rPr>
          <w:sz w:val="22"/>
          <w:szCs w:val="22"/>
        </w:rPr>
        <w:t xml:space="preserve">en fisheries and coastal </w:t>
      </w:r>
      <w:r w:rsidRPr="00172E6F">
        <w:rPr>
          <w:sz w:val="22"/>
          <w:szCs w:val="22"/>
        </w:rPr>
        <w:t>habitats and related threats t</w:t>
      </w:r>
      <w:r>
        <w:rPr>
          <w:sz w:val="22"/>
          <w:szCs w:val="22"/>
        </w:rPr>
        <w:t xml:space="preserve">o each sector. Actions aimed at </w:t>
      </w:r>
      <w:r w:rsidRPr="00172E6F">
        <w:rPr>
          <w:sz w:val="22"/>
          <w:szCs w:val="22"/>
        </w:rPr>
        <w:t xml:space="preserve">reducing the degradation and loss </w:t>
      </w:r>
      <w:r>
        <w:rPr>
          <w:sz w:val="22"/>
          <w:szCs w:val="22"/>
        </w:rPr>
        <w:t xml:space="preserve">of habitats, the dependence and </w:t>
      </w:r>
      <w:r w:rsidRPr="00172E6F">
        <w:rPr>
          <w:sz w:val="22"/>
          <w:szCs w:val="22"/>
        </w:rPr>
        <w:t>effects of fisheries on coastal habitat</w:t>
      </w:r>
      <w:r>
        <w:rPr>
          <w:sz w:val="22"/>
          <w:szCs w:val="22"/>
        </w:rPr>
        <w:t xml:space="preserve">s, and regional policy guidance </w:t>
      </w:r>
      <w:r w:rsidRPr="00172E6F">
        <w:rPr>
          <w:sz w:val="22"/>
          <w:szCs w:val="22"/>
        </w:rPr>
        <w:t>for fisheries habitat management were all considered.</w:t>
      </w:r>
    </w:p>
    <w:p w14:paraId="276EC3F3" w14:textId="77777777" w:rsidR="00DF773A" w:rsidRPr="00172E6F" w:rsidRDefault="00DF773A" w:rsidP="00DF773A">
      <w:pPr>
        <w:numPr>
          <w:ilvl w:val="0"/>
          <w:numId w:val="3"/>
        </w:numPr>
        <w:spacing w:after="120"/>
        <w:ind w:left="0" w:firstLine="0"/>
        <w:jc w:val="both"/>
        <w:rPr>
          <w:sz w:val="22"/>
          <w:szCs w:val="22"/>
        </w:rPr>
      </w:pPr>
      <w:r w:rsidRPr="00172E6F">
        <w:rPr>
          <w:sz w:val="22"/>
          <w:szCs w:val="22"/>
        </w:rPr>
        <w:t>The dilemma the fisheries an</w:t>
      </w:r>
      <w:r>
        <w:rPr>
          <w:sz w:val="22"/>
          <w:szCs w:val="22"/>
        </w:rPr>
        <w:t xml:space="preserve">d environment sectors discussed </w:t>
      </w:r>
      <w:r w:rsidRPr="00172E6F">
        <w:rPr>
          <w:sz w:val="22"/>
          <w:szCs w:val="22"/>
        </w:rPr>
        <w:t xml:space="preserve">during the second Regional Science </w:t>
      </w:r>
      <w:r>
        <w:rPr>
          <w:sz w:val="22"/>
          <w:szCs w:val="22"/>
        </w:rPr>
        <w:t xml:space="preserve">Conference is that conservation </w:t>
      </w:r>
      <w:r w:rsidRPr="00172E6F">
        <w:rPr>
          <w:sz w:val="22"/>
          <w:szCs w:val="22"/>
        </w:rPr>
        <w:t xml:space="preserve">of habitat does not necessarily result </w:t>
      </w:r>
      <w:r>
        <w:rPr>
          <w:sz w:val="22"/>
          <w:szCs w:val="22"/>
        </w:rPr>
        <w:t xml:space="preserve">in increased fish stocks if the </w:t>
      </w:r>
      <w:r w:rsidRPr="00172E6F">
        <w:rPr>
          <w:sz w:val="22"/>
          <w:szCs w:val="22"/>
        </w:rPr>
        <w:t>conserved habitat is not of signific</w:t>
      </w:r>
      <w:r>
        <w:rPr>
          <w:sz w:val="22"/>
          <w:szCs w:val="22"/>
        </w:rPr>
        <w:t xml:space="preserve">ance to the life-cycles of the </w:t>
      </w:r>
      <w:r w:rsidRPr="00172E6F">
        <w:rPr>
          <w:sz w:val="22"/>
          <w:szCs w:val="22"/>
        </w:rPr>
        <w:t>fished species; and responsible fish</w:t>
      </w:r>
      <w:r>
        <w:rPr>
          <w:sz w:val="22"/>
          <w:szCs w:val="22"/>
        </w:rPr>
        <w:t xml:space="preserve">ing effort does not necessarily </w:t>
      </w:r>
      <w:r w:rsidRPr="00172E6F">
        <w:rPr>
          <w:sz w:val="22"/>
          <w:szCs w:val="22"/>
        </w:rPr>
        <w:t>result in improved habitat condition</w:t>
      </w:r>
      <w:r>
        <w:rPr>
          <w:sz w:val="22"/>
          <w:szCs w:val="22"/>
        </w:rPr>
        <w:t xml:space="preserve">. From an integrated management </w:t>
      </w:r>
      <w:r w:rsidRPr="00172E6F">
        <w:rPr>
          <w:sz w:val="22"/>
          <w:szCs w:val="22"/>
        </w:rPr>
        <w:t>perspective, consensus was reached</w:t>
      </w:r>
      <w:r>
        <w:rPr>
          <w:sz w:val="22"/>
          <w:szCs w:val="22"/>
        </w:rPr>
        <w:t xml:space="preserve"> that, although fish production </w:t>
      </w:r>
      <w:r w:rsidRPr="00172E6F">
        <w:rPr>
          <w:sz w:val="22"/>
          <w:szCs w:val="22"/>
        </w:rPr>
        <w:t xml:space="preserve">is intrinsically linked to the </w:t>
      </w:r>
      <w:r>
        <w:rPr>
          <w:sz w:val="22"/>
          <w:szCs w:val="22"/>
        </w:rPr>
        <w:t xml:space="preserve">quality and expanse of habitats </w:t>
      </w:r>
      <w:r w:rsidRPr="00172E6F">
        <w:rPr>
          <w:sz w:val="22"/>
          <w:szCs w:val="22"/>
        </w:rPr>
        <w:t>and the dependence of coastal c</w:t>
      </w:r>
      <w:r>
        <w:rPr>
          <w:sz w:val="22"/>
          <w:szCs w:val="22"/>
        </w:rPr>
        <w:t xml:space="preserve">ommunities on fish for food and income is </w:t>
      </w:r>
      <w:r w:rsidRPr="00172E6F">
        <w:rPr>
          <w:sz w:val="22"/>
          <w:szCs w:val="22"/>
        </w:rPr>
        <w:t>high, past approache</w:t>
      </w:r>
      <w:r>
        <w:rPr>
          <w:sz w:val="22"/>
          <w:szCs w:val="22"/>
        </w:rPr>
        <w:t xml:space="preserve">s to both fisheries and habitat </w:t>
      </w:r>
      <w:r w:rsidRPr="00172E6F">
        <w:rPr>
          <w:sz w:val="22"/>
          <w:szCs w:val="22"/>
        </w:rPr>
        <w:t>management had not adequately a</w:t>
      </w:r>
      <w:r>
        <w:rPr>
          <w:sz w:val="22"/>
          <w:szCs w:val="22"/>
        </w:rPr>
        <w:t xml:space="preserve">ddressed these linkages. It was </w:t>
      </w:r>
      <w:r w:rsidRPr="00172E6F">
        <w:rPr>
          <w:sz w:val="22"/>
          <w:szCs w:val="22"/>
        </w:rPr>
        <w:t>thus acknowledged that the e</w:t>
      </w:r>
      <w:r>
        <w:rPr>
          <w:sz w:val="22"/>
          <w:szCs w:val="22"/>
        </w:rPr>
        <w:t xml:space="preserve">ffort of the RWG-F to establish </w:t>
      </w:r>
      <w:r w:rsidRPr="00172E6F">
        <w:rPr>
          <w:sz w:val="22"/>
          <w:szCs w:val="22"/>
        </w:rPr>
        <w:t>a regional system of fisheries refugia should be focused on the</w:t>
      </w:r>
      <w:r>
        <w:rPr>
          <w:sz w:val="22"/>
          <w:szCs w:val="22"/>
        </w:rPr>
        <w:t xml:space="preserve"> </w:t>
      </w:r>
      <w:r w:rsidRPr="00172E6F">
        <w:rPr>
          <w:sz w:val="22"/>
          <w:szCs w:val="22"/>
        </w:rPr>
        <w:t>identification of areas of habitat of critical significance to the lifecycle</w:t>
      </w:r>
      <w:r>
        <w:rPr>
          <w:sz w:val="22"/>
          <w:szCs w:val="22"/>
        </w:rPr>
        <w:t xml:space="preserve"> </w:t>
      </w:r>
      <w:r w:rsidRPr="00172E6F">
        <w:rPr>
          <w:sz w:val="22"/>
          <w:szCs w:val="22"/>
        </w:rPr>
        <w:t>of important fish stocks for collaborative management by</w:t>
      </w:r>
      <w:r>
        <w:rPr>
          <w:sz w:val="22"/>
          <w:szCs w:val="22"/>
        </w:rPr>
        <w:t xml:space="preserve"> </w:t>
      </w:r>
      <w:r w:rsidRPr="00172E6F">
        <w:rPr>
          <w:sz w:val="22"/>
          <w:szCs w:val="22"/>
        </w:rPr>
        <w:t>fisheries and environment departments.</w:t>
      </w:r>
    </w:p>
    <w:p w14:paraId="5F601199" w14:textId="77777777" w:rsidR="00A66AED" w:rsidRPr="00172E6F" w:rsidRDefault="00A66AED" w:rsidP="00A66AED">
      <w:pPr>
        <w:numPr>
          <w:ilvl w:val="0"/>
          <w:numId w:val="3"/>
        </w:numPr>
        <w:spacing w:after="120"/>
        <w:ind w:left="0" w:firstLine="0"/>
        <w:jc w:val="both"/>
        <w:rPr>
          <w:sz w:val="22"/>
          <w:szCs w:val="22"/>
        </w:rPr>
      </w:pPr>
      <w:r w:rsidRPr="00172E6F">
        <w:rPr>
          <w:sz w:val="22"/>
          <w:szCs w:val="22"/>
        </w:rPr>
        <w:t>The subsequent seventh m</w:t>
      </w:r>
      <w:r>
        <w:rPr>
          <w:sz w:val="22"/>
          <w:szCs w:val="22"/>
        </w:rPr>
        <w:t xml:space="preserve">eeting of the RWG-F in May 2006 </w:t>
      </w:r>
      <w:r w:rsidRPr="00172E6F">
        <w:rPr>
          <w:sz w:val="22"/>
          <w:szCs w:val="22"/>
        </w:rPr>
        <w:t>(UNEP, 2006) initiated efforts to pre</w:t>
      </w:r>
      <w:r>
        <w:rPr>
          <w:sz w:val="22"/>
          <w:szCs w:val="22"/>
        </w:rPr>
        <w:t xml:space="preserve">pare a preliminary inventory of </w:t>
      </w:r>
      <w:r w:rsidRPr="00172E6F">
        <w:rPr>
          <w:sz w:val="22"/>
          <w:szCs w:val="22"/>
        </w:rPr>
        <w:t>known spawning areas for sig</w:t>
      </w:r>
      <w:r>
        <w:rPr>
          <w:sz w:val="22"/>
          <w:szCs w:val="22"/>
        </w:rPr>
        <w:t xml:space="preserve">nificant pelagic, demersal, and </w:t>
      </w:r>
      <w:r w:rsidRPr="00172E6F">
        <w:rPr>
          <w:sz w:val="22"/>
          <w:szCs w:val="22"/>
        </w:rPr>
        <w:t xml:space="preserve">invertebrate species in the Gulf of </w:t>
      </w:r>
      <w:r>
        <w:rPr>
          <w:sz w:val="22"/>
          <w:szCs w:val="22"/>
        </w:rPr>
        <w:t xml:space="preserve">Thailand. This meeting agreed </w:t>
      </w:r>
      <w:r w:rsidRPr="00172E6F">
        <w:rPr>
          <w:sz w:val="22"/>
          <w:szCs w:val="22"/>
        </w:rPr>
        <w:t>that fisheries focal points would co</w:t>
      </w:r>
      <w:r>
        <w:rPr>
          <w:sz w:val="22"/>
          <w:szCs w:val="22"/>
        </w:rPr>
        <w:t xml:space="preserve">ordinate with habitat component </w:t>
      </w:r>
      <w:r w:rsidRPr="00172E6F">
        <w:rPr>
          <w:sz w:val="22"/>
          <w:szCs w:val="22"/>
        </w:rPr>
        <w:t>counterparts during the inter-sessiona</w:t>
      </w:r>
      <w:r>
        <w:rPr>
          <w:sz w:val="22"/>
          <w:szCs w:val="22"/>
        </w:rPr>
        <w:t xml:space="preserve">l period to compile information </w:t>
      </w:r>
      <w:r w:rsidRPr="00172E6F">
        <w:rPr>
          <w:sz w:val="22"/>
          <w:szCs w:val="22"/>
        </w:rPr>
        <w:t>on habitat areas that act a</w:t>
      </w:r>
      <w:r>
        <w:rPr>
          <w:sz w:val="22"/>
          <w:szCs w:val="22"/>
        </w:rPr>
        <w:t xml:space="preserve">s critical spawning and nursery </w:t>
      </w:r>
      <w:r w:rsidRPr="00172E6F">
        <w:rPr>
          <w:sz w:val="22"/>
          <w:szCs w:val="22"/>
        </w:rPr>
        <w:t xml:space="preserve">areas for important fish species and, </w:t>
      </w:r>
      <w:r>
        <w:rPr>
          <w:sz w:val="22"/>
          <w:szCs w:val="22"/>
        </w:rPr>
        <w:t xml:space="preserve">specifically, to evaluate which </w:t>
      </w:r>
      <w:r w:rsidRPr="00172E6F">
        <w:rPr>
          <w:sz w:val="22"/>
          <w:szCs w:val="22"/>
        </w:rPr>
        <w:t>of the project’s habitat demonstra</w:t>
      </w:r>
      <w:r>
        <w:rPr>
          <w:sz w:val="22"/>
          <w:szCs w:val="22"/>
        </w:rPr>
        <w:t xml:space="preserve">tion sites are critical inshore </w:t>
      </w:r>
      <w:r w:rsidRPr="00172E6F">
        <w:rPr>
          <w:sz w:val="22"/>
          <w:szCs w:val="22"/>
        </w:rPr>
        <w:t>nursery refugia for important demersal species.</w:t>
      </w:r>
    </w:p>
    <w:p w14:paraId="03901000" w14:textId="77777777" w:rsidR="00A66AED" w:rsidRPr="00172E6F" w:rsidRDefault="00A66AED" w:rsidP="00A66AED">
      <w:pPr>
        <w:numPr>
          <w:ilvl w:val="0"/>
          <w:numId w:val="3"/>
        </w:numPr>
        <w:spacing w:after="120"/>
        <w:ind w:left="0" w:firstLine="0"/>
        <w:jc w:val="both"/>
        <w:rPr>
          <w:sz w:val="22"/>
          <w:szCs w:val="22"/>
        </w:rPr>
      </w:pPr>
      <w:r w:rsidRPr="00172E6F">
        <w:rPr>
          <w:sz w:val="22"/>
          <w:szCs w:val="22"/>
        </w:rPr>
        <w:t>This activity relied on a detailed revie</w:t>
      </w:r>
      <w:r>
        <w:rPr>
          <w:sz w:val="22"/>
          <w:szCs w:val="22"/>
        </w:rPr>
        <w:t xml:space="preserve">w of the collective information </w:t>
      </w:r>
      <w:r w:rsidRPr="00172E6F">
        <w:rPr>
          <w:sz w:val="22"/>
          <w:szCs w:val="22"/>
        </w:rPr>
        <w:t>base developed by the habitat</w:t>
      </w:r>
      <w:r>
        <w:rPr>
          <w:sz w:val="22"/>
          <w:szCs w:val="22"/>
        </w:rPr>
        <w:t xml:space="preserve"> sub-components, specifically: </w:t>
      </w:r>
      <w:r w:rsidRPr="00172E6F">
        <w:rPr>
          <w:sz w:val="22"/>
          <w:szCs w:val="22"/>
        </w:rPr>
        <w:t>the national reports on mangr</w:t>
      </w:r>
      <w:r>
        <w:rPr>
          <w:sz w:val="22"/>
          <w:szCs w:val="22"/>
        </w:rPr>
        <w:t xml:space="preserve">oves, wetlands, coral reefs and </w:t>
      </w:r>
      <w:r w:rsidRPr="00172E6F">
        <w:rPr>
          <w:sz w:val="22"/>
          <w:szCs w:val="22"/>
        </w:rPr>
        <w:t>seagrass; the habitat site characteris</w:t>
      </w:r>
      <w:r>
        <w:rPr>
          <w:sz w:val="22"/>
          <w:szCs w:val="22"/>
        </w:rPr>
        <w:t xml:space="preserve">ations prepared by each habitat </w:t>
      </w:r>
      <w:r w:rsidRPr="00172E6F">
        <w:rPr>
          <w:sz w:val="22"/>
          <w:szCs w:val="22"/>
        </w:rPr>
        <w:t>sub-component; information and data co</w:t>
      </w:r>
      <w:r>
        <w:rPr>
          <w:sz w:val="22"/>
          <w:szCs w:val="22"/>
        </w:rPr>
        <w:t xml:space="preserve">mpiled in habitat demonstration </w:t>
      </w:r>
      <w:r w:rsidRPr="00172E6F">
        <w:rPr>
          <w:sz w:val="22"/>
          <w:szCs w:val="22"/>
        </w:rPr>
        <w:t>site planning; the habitat sectio</w:t>
      </w:r>
      <w:r>
        <w:rPr>
          <w:sz w:val="22"/>
          <w:szCs w:val="22"/>
        </w:rPr>
        <w:t xml:space="preserve">ns of the regional metadatabase </w:t>
      </w:r>
      <w:r w:rsidRPr="00172E6F">
        <w:rPr>
          <w:sz w:val="22"/>
          <w:szCs w:val="22"/>
        </w:rPr>
        <w:t>catalogue; and the outcomes of</w:t>
      </w:r>
      <w:r>
        <w:rPr>
          <w:sz w:val="22"/>
          <w:szCs w:val="22"/>
        </w:rPr>
        <w:t xml:space="preserve"> various national consultations </w:t>
      </w:r>
      <w:r w:rsidRPr="00172E6F">
        <w:rPr>
          <w:sz w:val="22"/>
          <w:szCs w:val="22"/>
        </w:rPr>
        <w:t>on the refugia concept. Co</w:t>
      </w:r>
      <w:r>
        <w:rPr>
          <w:sz w:val="22"/>
          <w:szCs w:val="22"/>
        </w:rPr>
        <w:t xml:space="preserve">mbined with the insights gained </w:t>
      </w:r>
      <w:r w:rsidRPr="00172E6F">
        <w:rPr>
          <w:sz w:val="22"/>
          <w:szCs w:val="22"/>
        </w:rPr>
        <w:t xml:space="preserve">through improved communication </w:t>
      </w:r>
      <w:r>
        <w:rPr>
          <w:sz w:val="22"/>
          <w:szCs w:val="22"/>
        </w:rPr>
        <w:t xml:space="preserve">among fisheries and environment </w:t>
      </w:r>
      <w:r w:rsidRPr="00172E6F">
        <w:rPr>
          <w:sz w:val="22"/>
          <w:szCs w:val="22"/>
        </w:rPr>
        <w:t>specialists, this information ba</w:t>
      </w:r>
      <w:r>
        <w:rPr>
          <w:sz w:val="22"/>
          <w:szCs w:val="22"/>
        </w:rPr>
        <w:t xml:space="preserve">se represented a large source </w:t>
      </w:r>
      <w:r w:rsidRPr="00172E6F">
        <w:rPr>
          <w:sz w:val="22"/>
          <w:szCs w:val="22"/>
        </w:rPr>
        <w:t>of information on the locations of c</w:t>
      </w:r>
      <w:r>
        <w:rPr>
          <w:sz w:val="22"/>
          <w:szCs w:val="22"/>
        </w:rPr>
        <w:t xml:space="preserve">oastal habitats and their usage </w:t>
      </w:r>
      <w:r w:rsidRPr="00172E6F">
        <w:rPr>
          <w:sz w:val="22"/>
          <w:szCs w:val="22"/>
        </w:rPr>
        <w:t>by marine species that had not p</w:t>
      </w:r>
      <w:r>
        <w:rPr>
          <w:sz w:val="22"/>
          <w:szCs w:val="22"/>
        </w:rPr>
        <w:t xml:space="preserve">reviously been available to the </w:t>
      </w:r>
      <w:r w:rsidRPr="00172E6F">
        <w:rPr>
          <w:sz w:val="22"/>
          <w:szCs w:val="22"/>
        </w:rPr>
        <w:t>fisheries sector in such an accessible form.</w:t>
      </w:r>
    </w:p>
    <w:p w14:paraId="48C27550" w14:textId="77777777" w:rsidR="00A66AED" w:rsidRPr="00172E6F" w:rsidRDefault="00A66AED" w:rsidP="00A66AED">
      <w:pPr>
        <w:numPr>
          <w:ilvl w:val="0"/>
          <w:numId w:val="3"/>
        </w:numPr>
        <w:spacing w:after="120"/>
        <w:ind w:left="0" w:firstLine="0"/>
        <w:jc w:val="both"/>
        <w:rPr>
          <w:sz w:val="22"/>
          <w:szCs w:val="22"/>
        </w:rPr>
      </w:pPr>
      <w:r w:rsidRPr="00172E6F">
        <w:rPr>
          <w:sz w:val="22"/>
          <w:szCs w:val="22"/>
        </w:rPr>
        <w:t>The fisheries specialists of the</w:t>
      </w:r>
      <w:r>
        <w:rPr>
          <w:sz w:val="22"/>
          <w:szCs w:val="22"/>
        </w:rPr>
        <w:t xml:space="preserve"> RWG-F and SEAFDEC complemented </w:t>
      </w:r>
      <w:r w:rsidRPr="00172E6F">
        <w:rPr>
          <w:sz w:val="22"/>
          <w:szCs w:val="22"/>
        </w:rPr>
        <w:t>the above review with t</w:t>
      </w:r>
      <w:r>
        <w:rPr>
          <w:sz w:val="22"/>
          <w:szCs w:val="22"/>
        </w:rPr>
        <w:t xml:space="preserve">he analysis of data relating to </w:t>
      </w:r>
      <w:r w:rsidRPr="00172E6F">
        <w:rPr>
          <w:sz w:val="22"/>
          <w:szCs w:val="22"/>
        </w:rPr>
        <w:t xml:space="preserve">fish egg and larval distribution </w:t>
      </w:r>
      <w:r>
        <w:rPr>
          <w:sz w:val="22"/>
          <w:szCs w:val="22"/>
        </w:rPr>
        <w:t xml:space="preserve">and abundance generated by past </w:t>
      </w:r>
      <w:r w:rsidRPr="00172E6F">
        <w:rPr>
          <w:sz w:val="22"/>
          <w:szCs w:val="22"/>
        </w:rPr>
        <w:t xml:space="preserve">and ongoing fish early life history </w:t>
      </w:r>
      <w:r>
        <w:rPr>
          <w:sz w:val="22"/>
          <w:szCs w:val="22"/>
        </w:rPr>
        <w:t xml:space="preserve">research in the South China Sea </w:t>
      </w:r>
      <w:r w:rsidRPr="00172E6F">
        <w:rPr>
          <w:sz w:val="22"/>
          <w:szCs w:val="22"/>
        </w:rPr>
        <w:t>(UNEP, 2007c). This fish early l</w:t>
      </w:r>
      <w:r>
        <w:rPr>
          <w:sz w:val="22"/>
          <w:szCs w:val="22"/>
        </w:rPr>
        <w:t xml:space="preserve">ife history information enabled </w:t>
      </w:r>
      <w:r w:rsidRPr="00172E6F">
        <w:rPr>
          <w:sz w:val="22"/>
          <w:szCs w:val="22"/>
        </w:rPr>
        <w:t>consideration of the importance of habi</w:t>
      </w:r>
      <w:r>
        <w:rPr>
          <w:sz w:val="22"/>
          <w:szCs w:val="22"/>
        </w:rPr>
        <w:t xml:space="preserve">tat sites from the perspectives </w:t>
      </w:r>
      <w:r w:rsidRPr="00172E6F">
        <w:rPr>
          <w:sz w:val="22"/>
          <w:szCs w:val="22"/>
        </w:rPr>
        <w:t xml:space="preserve">not only of local biodiversity </w:t>
      </w:r>
      <w:r>
        <w:rPr>
          <w:sz w:val="22"/>
          <w:szCs w:val="22"/>
        </w:rPr>
        <w:t xml:space="preserve">and fisheries benefits but also </w:t>
      </w:r>
      <w:r w:rsidRPr="00172E6F">
        <w:rPr>
          <w:sz w:val="22"/>
          <w:szCs w:val="22"/>
        </w:rPr>
        <w:t>from their tra</w:t>
      </w:r>
      <w:r>
        <w:rPr>
          <w:sz w:val="22"/>
          <w:szCs w:val="22"/>
        </w:rPr>
        <w:t xml:space="preserve">nsboundary benefits in terms of </w:t>
      </w:r>
      <w:r w:rsidRPr="00172E6F">
        <w:rPr>
          <w:sz w:val="22"/>
          <w:szCs w:val="22"/>
        </w:rPr>
        <w:t>regional fish st</w:t>
      </w:r>
      <w:r>
        <w:rPr>
          <w:sz w:val="22"/>
          <w:szCs w:val="22"/>
        </w:rPr>
        <w:t xml:space="preserve">ock </w:t>
      </w:r>
      <w:r w:rsidRPr="00172E6F">
        <w:rPr>
          <w:sz w:val="22"/>
          <w:szCs w:val="22"/>
        </w:rPr>
        <w:t>sustainability and food security. Fo</w:t>
      </w:r>
      <w:r>
        <w:rPr>
          <w:sz w:val="22"/>
          <w:szCs w:val="22"/>
        </w:rPr>
        <w:t xml:space="preserve">r example, the distribution and abundance of </w:t>
      </w:r>
      <w:r w:rsidRPr="00172E6F">
        <w:rPr>
          <w:sz w:val="22"/>
          <w:szCs w:val="22"/>
        </w:rPr>
        <w:t>larvae of the regiona</w:t>
      </w:r>
      <w:r>
        <w:rPr>
          <w:sz w:val="22"/>
          <w:szCs w:val="22"/>
        </w:rPr>
        <w:t xml:space="preserve">lly significant short mackerel, </w:t>
      </w:r>
      <w:r w:rsidRPr="00172E6F">
        <w:rPr>
          <w:sz w:val="22"/>
          <w:szCs w:val="22"/>
        </w:rPr>
        <w:t xml:space="preserve">Rastrelliger </w:t>
      </w:r>
      <w:r>
        <w:rPr>
          <w:sz w:val="22"/>
          <w:szCs w:val="22"/>
        </w:rPr>
        <w:t xml:space="preserve">brachysoma, revealed only three distinct coastal locations </w:t>
      </w:r>
      <w:r w:rsidRPr="00172E6F">
        <w:rPr>
          <w:sz w:val="22"/>
          <w:szCs w:val="22"/>
        </w:rPr>
        <w:t>utilised by the early life phase of this speci</w:t>
      </w:r>
      <w:r>
        <w:rPr>
          <w:sz w:val="22"/>
          <w:szCs w:val="22"/>
        </w:rPr>
        <w:t xml:space="preserve">es, one being in the </w:t>
      </w:r>
      <w:r w:rsidRPr="00172E6F">
        <w:rPr>
          <w:sz w:val="22"/>
          <w:szCs w:val="22"/>
        </w:rPr>
        <w:t>coastal waters near Mu Koh Samui i</w:t>
      </w:r>
      <w:r>
        <w:rPr>
          <w:sz w:val="22"/>
          <w:szCs w:val="22"/>
        </w:rPr>
        <w:t xml:space="preserve">n Thailand, and two on the east </w:t>
      </w:r>
      <w:r w:rsidRPr="00172E6F">
        <w:rPr>
          <w:sz w:val="22"/>
          <w:szCs w:val="22"/>
        </w:rPr>
        <w:t>coast of Viet Nam</w:t>
      </w:r>
      <w:r>
        <w:rPr>
          <w:rStyle w:val="FootnoteReference"/>
          <w:sz w:val="22"/>
          <w:szCs w:val="22"/>
        </w:rPr>
        <w:footnoteReference w:id="31"/>
      </w:r>
      <w:r w:rsidRPr="00172E6F">
        <w:rPr>
          <w:sz w:val="22"/>
          <w:szCs w:val="22"/>
        </w:rPr>
        <w:t>.</w:t>
      </w:r>
    </w:p>
    <w:p w14:paraId="671B696F" w14:textId="77777777" w:rsidR="00A66AED" w:rsidRDefault="00A66AED" w:rsidP="00A66AED">
      <w:pPr>
        <w:numPr>
          <w:ilvl w:val="0"/>
          <w:numId w:val="3"/>
        </w:numPr>
        <w:spacing w:after="120"/>
        <w:ind w:left="0" w:firstLine="0"/>
        <w:jc w:val="both"/>
        <w:rPr>
          <w:sz w:val="22"/>
          <w:szCs w:val="22"/>
        </w:rPr>
      </w:pPr>
      <w:r w:rsidRPr="00172E6F">
        <w:rPr>
          <w:sz w:val="22"/>
          <w:szCs w:val="22"/>
        </w:rPr>
        <w:t>Thus the process of refugia s</w:t>
      </w:r>
      <w:r>
        <w:rPr>
          <w:sz w:val="22"/>
          <w:szCs w:val="22"/>
        </w:rPr>
        <w:t xml:space="preserve">ite selection acknowledged that </w:t>
      </w:r>
      <w:r w:rsidRPr="00172E6F">
        <w:rPr>
          <w:sz w:val="22"/>
          <w:szCs w:val="22"/>
        </w:rPr>
        <w:t>efforts to safeguard habitats impor</w:t>
      </w:r>
      <w:r>
        <w:rPr>
          <w:sz w:val="22"/>
          <w:szCs w:val="22"/>
        </w:rPr>
        <w:t xml:space="preserve">tant to fish life-cycles should </w:t>
      </w:r>
      <w:r w:rsidRPr="00172E6F">
        <w:rPr>
          <w:sz w:val="22"/>
          <w:szCs w:val="22"/>
        </w:rPr>
        <w:t>give priority to those sites for whi</w:t>
      </w:r>
      <w:r>
        <w:rPr>
          <w:sz w:val="22"/>
          <w:szCs w:val="22"/>
        </w:rPr>
        <w:t xml:space="preserve">ch the potential exists for the simultaneous </w:t>
      </w:r>
      <w:r w:rsidRPr="00172E6F">
        <w:rPr>
          <w:sz w:val="22"/>
          <w:szCs w:val="22"/>
        </w:rPr>
        <w:t>achievement of local bene</w:t>
      </w:r>
      <w:r>
        <w:rPr>
          <w:sz w:val="22"/>
          <w:szCs w:val="22"/>
        </w:rPr>
        <w:t xml:space="preserve">fits and positive transboundary </w:t>
      </w:r>
      <w:r w:rsidRPr="00172E6F">
        <w:rPr>
          <w:sz w:val="22"/>
          <w:szCs w:val="22"/>
        </w:rPr>
        <w:t>impacts</w:t>
      </w:r>
      <w:r>
        <w:rPr>
          <w:sz w:val="22"/>
          <w:szCs w:val="22"/>
        </w:rPr>
        <w:t xml:space="preserve">. This approach was used by the RWG-F to agree </w:t>
      </w:r>
      <w:r w:rsidRPr="00172E6F">
        <w:rPr>
          <w:sz w:val="22"/>
          <w:szCs w:val="22"/>
        </w:rPr>
        <w:t>on the selection of 14 priority sites for</w:t>
      </w:r>
      <w:r>
        <w:rPr>
          <w:sz w:val="22"/>
          <w:szCs w:val="22"/>
        </w:rPr>
        <w:t xml:space="preserve"> inclusion in an initial system </w:t>
      </w:r>
      <w:r w:rsidRPr="00172E6F">
        <w:rPr>
          <w:sz w:val="22"/>
          <w:szCs w:val="22"/>
        </w:rPr>
        <w:t>of fisherie</w:t>
      </w:r>
      <w:r>
        <w:rPr>
          <w:sz w:val="22"/>
          <w:szCs w:val="22"/>
        </w:rPr>
        <w:t xml:space="preserve">s </w:t>
      </w:r>
      <w:r w:rsidRPr="00172E6F">
        <w:rPr>
          <w:sz w:val="22"/>
          <w:szCs w:val="22"/>
        </w:rPr>
        <w:t>refugia and an addition</w:t>
      </w:r>
      <w:r>
        <w:rPr>
          <w:sz w:val="22"/>
          <w:szCs w:val="22"/>
        </w:rPr>
        <w:t xml:space="preserve">al 9 sites for which additional </w:t>
      </w:r>
      <w:r w:rsidRPr="00172E6F">
        <w:rPr>
          <w:sz w:val="22"/>
          <w:szCs w:val="22"/>
        </w:rPr>
        <w:t>information is required prior to the</w:t>
      </w:r>
      <w:r>
        <w:rPr>
          <w:sz w:val="22"/>
          <w:szCs w:val="22"/>
        </w:rPr>
        <w:t xml:space="preserve">ir inclusion in the system. The </w:t>
      </w:r>
      <w:r w:rsidRPr="00172E6F">
        <w:rPr>
          <w:sz w:val="22"/>
          <w:szCs w:val="22"/>
        </w:rPr>
        <w:t>inclusion of a refugia site at Mu Koh Sa</w:t>
      </w:r>
      <w:r>
        <w:rPr>
          <w:sz w:val="22"/>
          <w:szCs w:val="22"/>
        </w:rPr>
        <w:t xml:space="preserve">mui in the initial selection of </w:t>
      </w:r>
      <w:r w:rsidRPr="00172E6F">
        <w:rPr>
          <w:sz w:val="22"/>
          <w:szCs w:val="22"/>
        </w:rPr>
        <w:t>sites was based on both the potential benefits to local foo</w:t>
      </w:r>
      <w:r>
        <w:rPr>
          <w:sz w:val="22"/>
          <w:szCs w:val="22"/>
        </w:rPr>
        <w:t xml:space="preserve">d security </w:t>
      </w:r>
      <w:r w:rsidRPr="00172E6F">
        <w:rPr>
          <w:sz w:val="22"/>
          <w:szCs w:val="22"/>
        </w:rPr>
        <w:t>associated with effective manage</w:t>
      </w:r>
      <w:r>
        <w:rPr>
          <w:sz w:val="22"/>
          <w:szCs w:val="22"/>
        </w:rPr>
        <w:t xml:space="preserve">ment in national waters and the </w:t>
      </w:r>
      <w:r w:rsidRPr="00172E6F">
        <w:rPr>
          <w:sz w:val="22"/>
          <w:szCs w:val="22"/>
        </w:rPr>
        <w:t>potential transboundary benefit</w:t>
      </w:r>
      <w:r>
        <w:rPr>
          <w:sz w:val="22"/>
          <w:szCs w:val="22"/>
        </w:rPr>
        <w:t xml:space="preserve">s given the importance of short </w:t>
      </w:r>
      <w:r w:rsidRPr="00172E6F">
        <w:rPr>
          <w:sz w:val="22"/>
          <w:szCs w:val="22"/>
        </w:rPr>
        <w:t>mackerel to all countries of the</w:t>
      </w:r>
      <w:r>
        <w:rPr>
          <w:sz w:val="22"/>
          <w:szCs w:val="22"/>
        </w:rPr>
        <w:t xml:space="preserve"> region. Further information on </w:t>
      </w:r>
      <w:r w:rsidRPr="00172E6F">
        <w:rPr>
          <w:sz w:val="22"/>
          <w:szCs w:val="22"/>
        </w:rPr>
        <w:t>the regional fisheries re</w:t>
      </w:r>
      <w:r>
        <w:rPr>
          <w:sz w:val="22"/>
          <w:szCs w:val="22"/>
        </w:rPr>
        <w:t xml:space="preserve">fugia initiative is included in Paterson et al. </w:t>
      </w:r>
      <w:r w:rsidRPr="00172E6F">
        <w:rPr>
          <w:sz w:val="22"/>
          <w:szCs w:val="22"/>
        </w:rPr>
        <w:t>(2013).</w:t>
      </w:r>
    </w:p>
    <w:p w14:paraId="21A8AC54" w14:textId="77777777" w:rsidR="00A66AED" w:rsidRPr="00A66AED" w:rsidRDefault="00A66AED" w:rsidP="00A66AED">
      <w:pPr>
        <w:numPr>
          <w:ilvl w:val="3"/>
          <w:numId w:val="2"/>
        </w:numPr>
        <w:spacing w:after="120"/>
        <w:outlineLvl w:val="1"/>
        <w:rPr>
          <w:b/>
          <w:sz w:val="22"/>
          <w:szCs w:val="22"/>
          <w:lang w:val="en-GB"/>
        </w:rPr>
      </w:pPr>
      <w:r>
        <w:rPr>
          <w:b/>
          <w:sz w:val="22"/>
          <w:szCs w:val="22"/>
          <w:lang w:val="en-GB"/>
        </w:rPr>
        <w:t>Developing modelling tools: determining the nutrient carrying capacity of the South China Sea</w:t>
      </w:r>
    </w:p>
    <w:p w14:paraId="5EE7E6A9" w14:textId="77777777" w:rsidR="00DF773A" w:rsidRDefault="00A66AED" w:rsidP="00A66AED">
      <w:pPr>
        <w:numPr>
          <w:ilvl w:val="0"/>
          <w:numId w:val="3"/>
        </w:numPr>
        <w:spacing w:after="120"/>
        <w:ind w:left="0" w:firstLine="0"/>
        <w:jc w:val="both"/>
        <w:rPr>
          <w:sz w:val="22"/>
          <w:szCs w:val="22"/>
          <w:lang w:val="en-GB"/>
        </w:rPr>
      </w:pPr>
      <w:r w:rsidRPr="00A66AED">
        <w:rPr>
          <w:sz w:val="22"/>
          <w:szCs w:val="22"/>
          <w:lang w:val="en-GB"/>
        </w:rPr>
        <w:t>The ultimate causes of land-based pollution in the South China Sea were confirmed by the RWG-LbP to include increases in coastal population density, increased food production in the agricultural sector and increased industrialisation. The proximate causes include inadequate waste-water treatment whilst intermediate causes include inadequate standards and lack of capacity to monitor, regulate and control pollution discharges. A major contributing factor is the lack of financial resources to invest in actions addressing the causes at all levels. In analysing national information it was apparent that key sources of waste ranked as follows: domestic, agricultural, industrial, poor land-use practices, and urban solid waste. To assist with the revision of the draft SAP targets, the land-based pollution component of the SCS project aimed to evaluate the carrying/assimilation capacity of sub-regions and sensitive ecosystems and the transboundary movements of contaminants within the South China Sea.</w:t>
      </w:r>
    </w:p>
    <w:p w14:paraId="0188BA90" w14:textId="77777777" w:rsidR="00A66AED" w:rsidRPr="00172E6F" w:rsidRDefault="00A66AED" w:rsidP="00A66AED">
      <w:pPr>
        <w:numPr>
          <w:ilvl w:val="0"/>
          <w:numId w:val="3"/>
        </w:numPr>
        <w:spacing w:after="120"/>
        <w:ind w:left="0" w:firstLine="0"/>
        <w:jc w:val="both"/>
        <w:rPr>
          <w:sz w:val="22"/>
          <w:szCs w:val="22"/>
        </w:rPr>
      </w:pPr>
      <w:r w:rsidRPr="00172E6F">
        <w:rPr>
          <w:sz w:val="22"/>
          <w:szCs w:val="22"/>
        </w:rPr>
        <w:t>The fifth meeting of the RWG-</w:t>
      </w:r>
      <w:r>
        <w:rPr>
          <w:sz w:val="22"/>
          <w:szCs w:val="22"/>
        </w:rPr>
        <w:t xml:space="preserve">LbP (UNEP, 2005b) agreed to use </w:t>
      </w:r>
      <w:r w:rsidRPr="00172E6F">
        <w:rPr>
          <w:sz w:val="22"/>
          <w:szCs w:val="22"/>
        </w:rPr>
        <w:t>the ambient concentrations of co</w:t>
      </w:r>
      <w:r>
        <w:rPr>
          <w:sz w:val="22"/>
          <w:szCs w:val="22"/>
        </w:rPr>
        <w:t xml:space="preserve">ntaminants in coastal waters as </w:t>
      </w:r>
      <w:r w:rsidRPr="00172E6F">
        <w:rPr>
          <w:sz w:val="22"/>
          <w:szCs w:val="22"/>
        </w:rPr>
        <w:t>indicators of the input of con</w:t>
      </w:r>
      <w:r>
        <w:rPr>
          <w:sz w:val="22"/>
          <w:szCs w:val="22"/>
        </w:rPr>
        <w:t xml:space="preserve">taminants derived from riverine </w:t>
      </w:r>
      <w:r w:rsidRPr="00172E6F">
        <w:rPr>
          <w:sz w:val="22"/>
          <w:szCs w:val="22"/>
        </w:rPr>
        <w:t>sources. Subsequently, in conside</w:t>
      </w:r>
      <w:r>
        <w:rPr>
          <w:sz w:val="22"/>
          <w:szCs w:val="22"/>
        </w:rPr>
        <w:t xml:space="preserve">ring available information that </w:t>
      </w:r>
      <w:r w:rsidRPr="00172E6F">
        <w:rPr>
          <w:sz w:val="22"/>
          <w:szCs w:val="22"/>
        </w:rPr>
        <w:t xml:space="preserve">had been compiled by the </w:t>
      </w:r>
      <w:r>
        <w:rPr>
          <w:sz w:val="22"/>
          <w:szCs w:val="22"/>
        </w:rPr>
        <w:t xml:space="preserve">RWG-LbP, the RSTC endorsed this </w:t>
      </w:r>
      <w:r w:rsidRPr="00172E6F">
        <w:rPr>
          <w:sz w:val="22"/>
          <w:szCs w:val="22"/>
        </w:rPr>
        <w:t>approach and recommended</w:t>
      </w:r>
      <w:r>
        <w:rPr>
          <w:sz w:val="22"/>
          <w:szCs w:val="22"/>
        </w:rPr>
        <w:t xml:space="preserve"> that the RWG-LbP work with its </w:t>
      </w:r>
      <w:r w:rsidRPr="00172E6F">
        <w:rPr>
          <w:sz w:val="22"/>
          <w:szCs w:val="22"/>
        </w:rPr>
        <w:t xml:space="preserve">expert member from SEA START RC </w:t>
      </w:r>
      <w:r>
        <w:rPr>
          <w:sz w:val="22"/>
          <w:szCs w:val="22"/>
        </w:rPr>
        <w:t xml:space="preserve">to undertake a regional project </w:t>
      </w:r>
      <w:r w:rsidRPr="00172E6F">
        <w:rPr>
          <w:sz w:val="22"/>
          <w:szCs w:val="22"/>
        </w:rPr>
        <w:t>to estimate the carrying capacity of</w:t>
      </w:r>
      <w:r>
        <w:rPr>
          <w:sz w:val="22"/>
          <w:szCs w:val="22"/>
        </w:rPr>
        <w:t xml:space="preserve"> the open shelf system based on </w:t>
      </w:r>
      <w:r w:rsidRPr="00172E6F">
        <w:rPr>
          <w:sz w:val="22"/>
          <w:szCs w:val="22"/>
        </w:rPr>
        <w:t>its natural capacity to assimil</w:t>
      </w:r>
      <w:r>
        <w:rPr>
          <w:sz w:val="22"/>
          <w:szCs w:val="22"/>
        </w:rPr>
        <w:t xml:space="preserve">ate contaminants, in particular </w:t>
      </w:r>
      <w:r w:rsidRPr="00172E6F">
        <w:rPr>
          <w:sz w:val="22"/>
          <w:szCs w:val="22"/>
        </w:rPr>
        <w:t xml:space="preserve">nutrient inputs, from land. The RSTC recognised that the </w:t>
      </w:r>
      <w:r>
        <w:rPr>
          <w:sz w:val="22"/>
          <w:szCs w:val="22"/>
        </w:rPr>
        <w:t xml:space="preserve">modeling </w:t>
      </w:r>
      <w:r w:rsidRPr="00172E6F">
        <w:rPr>
          <w:sz w:val="22"/>
          <w:szCs w:val="22"/>
        </w:rPr>
        <w:t xml:space="preserve">of heavy metal inputs and impacts </w:t>
      </w:r>
      <w:r>
        <w:rPr>
          <w:sz w:val="22"/>
          <w:szCs w:val="22"/>
        </w:rPr>
        <w:t xml:space="preserve">required more reliable data for </w:t>
      </w:r>
      <w:r w:rsidRPr="00172E6F">
        <w:rPr>
          <w:sz w:val="22"/>
          <w:szCs w:val="22"/>
        </w:rPr>
        <w:t>heavy metal concentrations in co</w:t>
      </w:r>
      <w:r>
        <w:rPr>
          <w:sz w:val="22"/>
          <w:szCs w:val="22"/>
        </w:rPr>
        <w:t xml:space="preserve">astal waters and loading in the South China Sea </w:t>
      </w:r>
      <w:r w:rsidRPr="00172E6F">
        <w:rPr>
          <w:sz w:val="22"/>
          <w:szCs w:val="22"/>
        </w:rPr>
        <w:t>marine basin than are currently available.</w:t>
      </w:r>
    </w:p>
    <w:p w14:paraId="7569DFA1" w14:textId="77777777" w:rsidR="00A66AED" w:rsidRPr="00172E6F" w:rsidRDefault="00A66AED" w:rsidP="00A66AED">
      <w:pPr>
        <w:numPr>
          <w:ilvl w:val="0"/>
          <w:numId w:val="3"/>
        </w:numPr>
        <w:spacing w:after="120"/>
        <w:ind w:left="0" w:firstLine="0"/>
        <w:jc w:val="both"/>
        <w:rPr>
          <w:sz w:val="22"/>
          <w:szCs w:val="22"/>
        </w:rPr>
      </w:pPr>
      <w:r w:rsidRPr="00172E6F">
        <w:rPr>
          <w:sz w:val="22"/>
          <w:szCs w:val="22"/>
        </w:rPr>
        <w:t>The resultant modelling system provides a tool to estimate land</w:t>
      </w:r>
      <w:r>
        <w:rPr>
          <w:sz w:val="22"/>
          <w:szCs w:val="22"/>
        </w:rPr>
        <w:t xml:space="preserve">-based </w:t>
      </w:r>
      <w:r w:rsidRPr="00172E6F">
        <w:rPr>
          <w:sz w:val="22"/>
          <w:szCs w:val="22"/>
        </w:rPr>
        <w:t>nutrient loading from rivers u</w:t>
      </w:r>
      <w:r>
        <w:rPr>
          <w:sz w:val="22"/>
          <w:szCs w:val="22"/>
        </w:rPr>
        <w:t xml:space="preserve">nder data scarce scenarios. The </w:t>
      </w:r>
      <w:r w:rsidRPr="00172E6F">
        <w:rPr>
          <w:sz w:val="22"/>
          <w:szCs w:val="22"/>
        </w:rPr>
        <w:t>simulation model enables variation of n</w:t>
      </w:r>
      <w:r>
        <w:rPr>
          <w:sz w:val="22"/>
          <w:szCs w:val="22"/>
        </w:rPr>
        <w:t xml:space="preserve">utrient loading from particular </w:t>
      </w:r>
      <w:r w:rsidRPr="00172E6F">
        <w:rPr>
          <w:sz w:val="22"/>
          <w:szCs w:val="22"/>
        </w:rPr>
        <w:t>rivers, stretches of coastline</w:t>
      </w:r>
      <w:r>
        <w:rPr>
          <w:sz w:val="22"/>
          <w:szCs w:val="22"/>
        </w:rPr>
        <w:t xml:space="preserve">, or catchments to estimate the </w:t>
      </w:r>
      <w:r w:rsidRPr="00172E6F">
        <w:rPr>
          <w:sz w:val="22"/>
          <w:szCs w:val="22"/>
        </w:rPr>
        <w:t>distribution of surface chlorophyll in the South Chin</w:t>
      </w:r>
      <w:r>
        <w:rPr>
          <w:sz w:val="22"/>
          <w:szCs w:val="22"/>
        </w:rPr>
        <w:t xml:space="preserve">a Sea, or a subregion </w:t>
      </w:r>
      <w:r w:rsidRPr="00172E6F">
        <w:rPr>
          <w:sz w:val="22"/>
          <w:szCs w:val="22"/>
        </w:rPr>
        <w:t>or sub-basin therein. This ena</w:t>
      </w:r>
      <w:r>
        <w:rPr>
          <w:sz w:val="22"/>
          <w:szCs w:val="22"/>
        </w:rPr>
        <w:t xml:space="preserve">bles evaluation of the response </w:t>
      </w:r>
      <w:r w:rsidRPr="00172E6F">
        <w:rPr>
          <w:sz w:val="22"/>
          <w:szCs w:val="22"/>
        </w:rPr>
        <w:t>of phytoplankton biomass to nutr</w:t>
      </w:r>
      <w:r>
        <w:rPr>
          <w:sz w:val="22"/>
          <w:szCs w:val="22"/>
        </w:rPr>
        <w:t xml:space="preserve">ient input from land at various </w:t>
      </w:r>
      <w:r w:rsidRPr="00172E6F">
        <w:rPr>
          <w:sz w:val="22"/>
          <w:szCs w:val="22"/>
        </w:rPr>
        <w:t>spatial and temporal scales. Impor</w:t>
      </w:r>
      <w:r>
        <w:rPr>
          <w:sz w:val="22"/>
          <w:szCs w:val="22"/>
        </w:rPr>
        <w:t xml:space="preserve">tantly, the modelling system is </w:t>
      </w:r>
      <w:r w:rsidRPr="00172E6F">
        <w:rPr>
          <w:sz w:val="22"/>
          <w:szCs w:val="22"/>
        </w:rPr>
        <w:t xml:space="preserve">run entirely in Microsoft Excel, to which </w:t>
      </w:r>
      <w:r>
        <w:rPr>
          <w:sz w:val="22"/>
          <w:szCs w:val="22"/>
        </w:rPr>
        <w:t xml:space="preserve">most scientists and </w:t>
      </w:r>
      <w:r w:rsidRPr="00172E6F">
        <w:rPr>
          <w:sz w:val="22"/>
          <w:szCs w:val="22"/>
        </w:rPr>
        <w:t xml:space="preserve">managers in the South China </w:t>
      </w:r>
      <w:r>
        <w:rPr>
          <w:sz w:val="22"/>
          <w:szCs w:val="22"/>
        </w:rPr>
        <w:t xml:space="preserve">Sea region have access and with </w:t>
      </w:r>
      <w:r w:rsidRPr="00172E6F">
        <w:rPr>
          <w:sz w:val="22"/>
          <w:szCs w:val="22"/>
        </w:rPr>
        <w:t>which they are familiar. The RWG-Lb</w:t>
      </w:r>
      <w:r>
        <w:rPr>
          <w:sz w:val="22"/>
          <w:szCs w:val="22"/>
        </w:rPr>
        <w:t xml:space="preserve">P and RSTC, with the assistance </w:t>
      </w:r>
      <w:r w:rsidRPr="00172E6F">
        <w:rPr>
          <w:sz w:val="22"/>
          <w:szCs w:val="22"/>
        </w:rPr>
        <w:t>of the PCU, has facilitated the wide online dissemination of</w:t>
      </w:r>
      <w:r>
        <w:rPr>
          <w:sz w:val="22"/>
          <w:szCs w:val="22"/>
        </w:rPr>
        <w:t xml:space="preserve"> </w:t>
      </w:r>
      <w:r w:rsidRPr="00172E6F">
        <w:rPr>
          <w:sz w:val="22"/>
          <w:szCs w:val="22"/>
        </w:rPr>
        <w:t>this tool via the South China Sea project website</w:t>
      </w:r>
      <w:r>
        <w:rPr>
          <w:rStyle w:val="FootnoteReference"/>
          <w:sz w:val="22"/>
          <w:szCs w:val="22"/>
        </w:rPr>
        <w:footnoteReference w:id="32"/>
      </w:r>
      <w:r w:rsidRPr="00172E6F">
        <w:rPr>
          <w:sz w:val="22"/>
          <w:szCs w:val="22"/>
        </w:rPr>
        <w:t>.</w:t>
      </w:r>
    </w:p>
    <w:p w14:paraId="79B521F7" w14:textId="77777777" w:rsidR="00A66AED" w:rsidRDefault="00A66AED" w:rsidP="00A66AED">
      <w:pPr>
        <w:numPr>
          <w:ilvl w:val="0"/>
          <w:numId w:val="3"/>
        </w:numPr>
        <w:spacing w:after="120"/>
        <w:ind w:left="0" w:firstLine="0"/>
        <w:jc w:val="both"/>
        <w:rPr>
          <w:sz w:val="22"/>
          <w:szCs w:val="22"/>
        </w:rPr>
      </w:pPr>
      <w:r w:rsidRPr="00172E6F">
        <w:rPr>
          <w:sz w:val="22"/>
          <w:szCs w:val="22"/>
        </w:rPr>
        <w:t xml:space="preserve">The model can be run to estimate </w:t>
      </w:r>
      <w:r>
        <w:rPr>
          <w:sz w:val="22"/>
          <w:szCs w:val="22"/>
        </w:rPr>
        <w:t xml:space="preserve">the monthly ‘effective’ loading </w:t>
      </w:r>
      <w:r w:rsidRPr="00172E6F">
        <w:rPr>
          <w:sz w:val="22"/>
          <w:szCs w:val="22"/>
        </w:rPr>
        <w:t xml:space="preserve">of total nutrient from any catchment, </w:t>
      </w:r>
      <w:r>
        <w:rPr>
          <w:sz w:val="22"/>
          <w:szCs w:val="22"/>
        </w:rPr>
        <w:t xml:space="preserve">as point or non-point loadings. </w:t>
      </w:r>
      <w:r w:rsidRPr="00172E6F">
        <w:rPr>
          <w:sz w:val="22"/>
          <w:szCs w:val="22"/>
        </w:rPr>
        <w:t>This tool was critical in dem</w:t>
      </w:r>
      <w:r>
        <w:rPr>
          <w:sz w:val="22"/>
          <w:szCs w:val="22"/>
        </w:rPr>
        <w:t xml:space="preserve">onstrating that, while nutrient </w:t>
      </w:r>
      <w:r w:rsidRPr="00172E6F">
        <w:rPr>
          <w:sz w:val="22"/>
          <w:szCs w:val="22"/>
        </w:rPr>
        <w:t>pollution of the South China Sea is important from a lo</w:t>
      </w:r>
      <w:r>
        <w:rPr>
          <w:sz w:val="22"/>
          <w:szCs w:val="22"/>
        </w:rPr>
        <w:t xml:space="preserve">cal perspective, </w:t>
      </w:r>
      <w:r w:rsidRPr="00172E6F">
        <w:rPr>
          <w:sz w:val="22"/>
          <w:szCs w:val="22"/>
        </w:rPr>
        <w:t>it is not significant from t</w:t>
      </w:r>
      <w:r>
        <w:rPr>
          <w:sz w:val="22"/>
          <w:szCs w:val="22"/>
        </w:rPr>
        <w:t xml:space="preserve">he transboundary perspective of </w:t>
      </w:r>
      <w:r w:rsidRPr="00172E6F">
        <w:rPr>
          <w:sz w:val="22"/>
          <w:szCs w:val="22"/>
        </w:rPr>
        <w:t>basin-wide assimilative capacity. Priori</w:t>
      </w:r>
      <w:r>
        <w:rPr>
          <w:sz w:val="22"/>
          <w:szCs w:val="22"/>
        </w:rPr>
        <w:t xml:space="preserve">ty regional level interventions </w:t>
      </w:r>
      <w:r w:rsidRPr="00172E6F">
        <w:rPr>
          <w:sz w:val="22"/>
          <w:szCs w:val="22"/>
        </w:rPr>
        <w:t>for land-based polluti</w:t>
      </w:r>
      <w:r>
        <w:rPr>
          <w:sz w:val="22"/>
          <w:szCs w:val="22"/>
        </w:rPr>
        <w:t xml:space="preserve">on were refined on the basis of </w:t>
      </w:r>
      <w:r w:rsidRPr="00172E6F">
        <w:rPr>
          <w:sz w:val="22"/>
          <w:szCs w:val="22"/>
        </w:rPr>
        <w:t>the model predictions, and included SAP actions to in</w:t>
      </w:r>
      <w:r>
        <w:rPr>
          <w:sz w:val="22"/>
          <w:szCs w:val="22"/>
        </w:rPr>
        <w:t xml:space="preserve">vestigate the </w:t>
      </w:r>
      <w:r w:rsidRPr="00172E6F">
        <w:rPr>
          <w:sz w:val="22"/>
          <w:szCs w:val="22"/>
        </w:rPr>
        <w:t xml:space="preserve">extension of the model in the </w:t>
      </w:r>
      <w:r>
        <w:rPr>
          <w:sz w:val="22"/>
          <w:szCs w:val="22"/>
        </w:rPr>
        <w:t xml:space="preserve">estimation of total contaminant </w:t>
      </w:r>
      <w:r w:rsidRPr="00172E6F">
        <w:rPr>
          <w:sz w:val="22"/>
          <w:szCs w:val="22"/>
        </w:rPr>
        <w:t>loadi</w:t>
      </w:r>
      <w:r>
        <w:rPr>
          <w:sz w:val="22"/>
          <w:szCs w:val="22"/>
        </w:rPr>
        <w:t xml:space="preserve">ng and carrying capacity of the SCS basin using quantitative </w:t>
      </w:r>
      <w:r w:rsidRPr="00172E6F">
        <w:rPr>
          <w:sz w:val="22"/>
          <w:szCs w:val="22"/>
        </w:rPr>
        <w:t>modelling and GIS for seven heavy metals (Hg, Cd, Pb, Cu, Cr, As, Zn)</w:t>
      </w:r>
      <w:r>
        <w:rPr>
          <w:sz w:val="22"/>
          <w:szCs w:val="22"/>
        </w:rPr>
        <w:t xml:space="preserve"> </w:t>
      </w:r>
      <w:r w:rsidRPr="00172E6F">
        <w:rPr>
          <w:sz w:val="22"/>
          <w:szCs w:val="22"/>
        </w:rPr>
        <w:t>(UNEP, 2008b).</w:t>
      </w:r>
    </w:p>
    <w:p w14:paraId="34E4FD7D" w14:textId="77777777" w:rsidR="00660575" w:rsidRPr="00660575" w:rsidRDefault="00660575" w:rsidP="00660575">
      <w:pPr>
        <w:numPr>
          <w:ilvl w:val="3"/>
          <w:numId w:val="2"/>
        </w:numPr>
        <w:spacing w:after="120"/>
        <w:outlineLvl w:val="1"/>
        <w:rPr>
          <w:b/>
          <w:sz w:val="22"/>
          <w:szCs w:val="22"/>
          <w:lang w:val="en-GB"/>
        </w:rPr>
      </w:pPr>
      <w:r>
        <w:rPr>
          <w:b/>
          <w:sz w:val="22"/>
          <w:szCs w:val="22"/>
          <w:lang w:val="en-GB"/>
        </w:rPr>
        <w:t xml:space="preserve">Significance of the work of the SCS Project in Strategic Action Programme formulation </w:t>
      </w:r>
    </w:p>
    <w:p w14:paraId="4FDD6885" w14:textId="77777777" w:rsidR="00A66AED" w:rsidRDefault="00660575" w:rsidP="00660575">
      <w:pPr>
        <w:numPr>
          <w:ilvl w:val="0"/>
          <w:numId w:val="3"/>
        </w:numPr>
        <w:spacing w:after="120"/>
        <w:ind w:left="0" w:firstLine="0"/>
        <w:jc w:val="both"/>
        <w:rPr>
          <w:sz w:val="22"/>
          <w:szCs w:val="22"/>
          <w:lang w:val="en-GB"/>
        </w:rPr>
      </w:pPr>
      <w:r w:rsidRPr="00660575">
        <w:rPr>
          <w:sz w:val="22"/>
          <w:szCs w:val="22"/>
          <w:lang w:val="en-GB"/>
        </w:rPr>
        <w:t xml:space="preserve">At the time of </w:t>
      </w:r>
      <w:r w:rsidR="00380384">
        <w:rPr>
          <w:sz w:val="22"/>
          <w:szCs w:val="22"/>
          <w:lang w:val="en-GB"/>
        </w:rPr>
        <w:t xml:space="preserve">SCS </w:t>
      </w:r>
      <w:r w:rsidRPr="00660575">
        <w:rPr>
          <w:sz w:val="22"/>
          <w:szCs w:val="22"/>
          <w:lang w:val="en-GB"/>
        </w:rPr>
        <w:t>project development, the overall strategic support provided to GEF-funded international waters initiatives was to meet the incremental costs of groups of countries working together to better understand environmental influences on international waters and to work collaboratively to address them. Emphasis was also placed on building the capacity of existing national institutions to effectively participate in structured processes aimed at assembling information for use in assessing the water-related environmental problems and conflicts in their part of the basin or marine ecosystem, and sharing this information at the multi-country or regional level. This collaborative, factual analysis was deemed an essential starting point for diagnosing the root causes of stress in water systems and in identifying priority options for intervention for subsequent inclusion in targeted, costed SAPs. Accordingly, the overall goal and activities of the SCS project were aligned with these objectives.</w:t>
      </w:r>
    </w:p>
    <w:p w14:paraId="7BFF946C" w14:textId="77777777" w:rsidR="00660575" w:rsidRPr="002256D4" w:rsidRDefault="00660575" w:rsidP="00660575">
      <w:pPr>
        <w:numPr>
          <w:ilvl w:val="0"/>
          <w:numId w:val="3"/>
        </w:numPr>
        <w:spacing w:after="120"/>
        <w:ind w:left="0" w:firstLine="0"/>
        <w:jc w:val="both"/>
        <w:rPr>
          <w:sz w:val="22"/>
          <w:szCs w:val="22"/>
        </w:rPr>
      </w:pPr>
      <w:r w:rsidRPr="002256D4">
        <w:rPr>
          <w:sz w:val="22"/>
          <w:szCs w:val="22"/>
        </w:rPr>
        <w:t>The approach to the gathering, review</w:t>
      </w:r>
      <w:r>
        <w:rPr>
          <w:sz w:val="22"/>
          <w:szCs w:val="22"/>
        </w:rPr>
        <w:t xml:space="preserve">, and management of information </w:t>
      </w:r>
      <w:r w:rsidRPr="002256D4">
        <w:rPr>
          <w:sz w:val="22"/>
          <w:szCs w:val="22"/>
        </w:rPr>
        <w:t xml:space="preserve">and data </w:t>
      </w:r>
      <w:r>
        <w:rPr>
          <w:sz w:val="22"/>
          <w:szCs w:val="22"/>
        </w:rPr>
        <w:t>followed by the SCS Project</w:t>
      </w:r>
      <w:r w:rsidRPr="002256D4">
        <w:rPr>
          <w:sz w:val="22"/>
          <w:szCs w:val="22"/>
        </w:rPr>
        <w:t xml:space="preserve"> </w:t>
      </w:r>
      <w:r>
        <w:rPr>
          <w:sz w:val="22"/>
          <w:szCs w:val="22"/>
        </w:rPr>
        <w:t xml:space="preserve">in formulating the Strategic Action Programme made a significant contribution to the GEF </w:t>
      </w:r>
      <w:r w:rsidRPr="002256D4">
        <w:rPr>
          <w:sz w:val="22"/>
          <w:szCs w:val="22"/>
        </w:rPr>
        <w:t>international wa</w:t>
      </w:r>
      <w:r>
        <w:rPr>
          <w:sz w:val="22"/>
          <w:szCs w:val="22"/>
        </w:rPr>
        <w:t xml:space="preserve">ters focal area of investments. </w:t>
      </w:r>
      <w:r w:rsidRPr="002256D4">
        <w:rPr>
          <w:sz w:val="22"/>
          <w:szCs w:val="22"/>
        </w:rPr>
        <w:t>The effort of creating a regional level envi</w:t>
      </w:r>
      <w:r>
        <w:rPr>
          <w:sz w:val="22"/>
          <w:szCs w:val="22"/>
        </w:rPr>
        <w:t xml:space="preserve">ronment, in which collaboration </w:t>
      </w:r>
      <w:r w:rsidRPr="002256D4">
        <w:rPr>
          <w:sz w:val="22"/>
          <w:szCs w:val="22"/>
        </w:rPr>
        <w:t>and partnership in addressing environmental p</w:t>
      </w:r>
      <w:r>
        <w:rPr>
          <w:sz w:val="22"/>
          <w:szCs w:val="22"/>
        </w:rPr>
        <w:t xml:space="preserve">roblems </w:t>
      </w:r>
      <w:r w:rsidRPr="002256D4">
        <w:rPr>
          <w:sz w:val="22"/>
          <w:szCs w:val="22"/>
        </w:rPr>
        <w:t xml:space="preserve">of a marine basin </w:t>
      </w:r>
      <w:r>
        <w:rPr>
          <w:sz w:val="22"/>
          <w:szCs w:val="22"/>
        </w:rPr>
        <w:t xml:space="preserve">was </w:t>
      </w:r>
      <w:r w:rsidRPr="002256D4">
        <w:rPr>
          <w:sz w:val="22"/>
          <w:szCs w:val="22"/>
        </w:rPr>
        <w:t xml:space="preserve"> fost</w:t>
      </w:r>
      <w:r>
        <w:rPr>
          <w:sz w:val="22"/>
          <w:szCs w:val="22"/>
        </w:rPr>
        <w:t xml:space="preserve">ered and encouraged by the SCS Project, demonstrates the importance of </w:t>
      </w:r>
      <w:r w:rsidRPr="002256D4">
        <w:rPr>
          <w:sz w:val="22"/>
          <w:szCs w:val="22"/>
        </w:rPr>
        <w:t>broad stakeholder participation in the compilation, analysis and</w:t>
      </w:r>
      <w:r>
        <w:rPr>
          <w:sz w:val="22"/>
          <w:szCs w:val="22"/>
        </w:rPr>
        <w:t xml:space="preserve"> </w:t>
      </w:r>
      <w:r w:rsidRPr="002256D4">
        <w:rPr>
          <w:sz w:val="22"/>
          <w:szCs w:val="22"/>
        </w:rPr>
        <w:t>agreement on the information and data to be used in decision</w:t>
      </w:r>
      <w:r>
        <w:rPr>
          <w:sz w:val="22"/>
          <w:szCs w:val="22"/>
        </w:rPr>
        <w:t>-</w:t>
      </w:r>
      <w:r w:rsidRPr="002256D4">
        <w:rPr>
          <w:sz w:val="22"/>
          <w:szCs w:val="22"/>
        </w:rPr>
        <w:t>making.</w:t>
      </w:r>
    </w:p>
    <w:p w14:paraId="16EDF8D6" w14:textId="77777777" w:rsidR="00660575" w:rsidRPr="00BF50B6" w:rsidRDefault="00660575" w:rsidP="00660575">
      <w:pPr>
        <w:numPr>
          <w:ilvl w:val="0"/>
          <w:numId w:val="3"/>
        </w:numPr>
        <w:spacing w:after="120"/>
        <w:ind w:left="0" w:firstLine="0"/>
        <w:jc w:val="both"/>
        <w:rPr>
          <w:sz w:val="22"/>
          <w:szCs w:val="22"/>
        </w:rPr>
      </w:pPr>
      <w:r w:rsidRPr="002256D4">
        <w:rPr>
          <w:sz w:val="22"/>
          <w:szCs w:val="22"/>
        </w:rPr>
        <w:t xml:space="preserve">In terms of the </w:t>
      </w:r>
      <w:r>
        <w:rPr>
          <w:sz w:val="22"/>
          <w:szCs w:val="22"/>
        </w:rPr>
        <w:t xml:space="preserve">SCS </w:t>
      </w:r>
      <w:r w:rsidRPr="002256D4">
        <w:rPr>
          <w:sz w:val="22"/>
          <w:szCs w:val="22"/>
        </w:rPr>
        <w:t>project’s objective to ela</w:t>
      </w:r>
      <w:r>
        <w:rPr>
          <w:sz w:val="22"/>
          <w:szCs w:val="22"/>
        </w:rPr>
        <w:t xml:space="preserve">borate </w:t>
      </w:r>
      <w:r w:rsidRPr="002256D4">
        <w:rPr>
          <w:sz w:val="22"/>
          <w:szCs w:val="22"/>
        </w:rPr>
        <w:t xml:space="preserve">the South China Sea SAP, </w:t>
      </w:r>
      <w:r>
        <w:rPr>
          <w:sz w:val="22"/>
          <w:szCs w:val="22"/>
        </w:rPr>
        <w:t xml:space="preserve">the consensual approach adopted ensured that the selected issues and </w:t>
      </w:r>
      <w:r w:rsidRPr="002256D4">
        <w:rPr>
          <w:sz w:val="22"/>
          <w:szCs w:val="22"/>
        </w:rPr>
        <w:t xml:space="preserve">priority options </w:t>
      </w:r>
      <w:r>
        <w:rPr>
          <w:sz w:val="22"/>
          <w:szCs w:val="22"/>
        </w:rPr>
        <w:t>for action contained in the SAP are of</w:t>
      </w:r>
      <w:r w:rsidRPr="002256D4">
        <w:rPr>
          <w:sz w:val="22"/>
          <w:szCs w:val="22"/>
        </w:rPr>
        <w:t xml:space="preserve"> significan</w:t>
      </w:r>
      <w:r>
        <w:rPr>
          <w:sz w:val="22"/>
          <w:szCs w:val="22"/>
        </w:rPr>
        <w:t xml:space="preserve">ce from the perspectives of the </w:t>
      </w:r>
      <w:r w:rsidRPr="002256D4">
        <w:rPr>
          <w:sz w:val="22"/>
          <w:szCs w:val="22"/>
        </w:rPr>
        <w:t xml:space="preserve">countries involved, the water body itself, </w:t>
      </w:r>
      <w:r>
        <w:rPr>
          <w:sz w:val="22"/>
          <w:szCs w:val="22"/>
        </w:rPr>
        <w:t xml:space="preserve">and in terms of potential transboundary or global benefits. </w:t>
      </w:r>
      <w:r w:rsidRPr="002256D4">
        <w:rPr>
          <w:sz w:val="22"/>
          <w:szCs w:val="22"/>
        </w:rPr>
        <w:t>As a ‘foundational’ GEF in</w:t>
      </w:r>
      <w:r>
        <w:rPr>
          <w:sz w:val="22"/>
          <w:szCs w:val="22"/>
        </w:rPr>
        <w:t xml:space="preserve">ternational waters project, the </w:t>
      </w:r>
      <w:r w:rsidRPr="002256D4">
        <w:rPr>
          <w:sz w:val="22"/>
          <w:szCs w:val="22"/>
        </w:rPr>
        <w:t>approach established by the SCS project wa</w:t>
      </w:r>
      <w:r>
        <w:rPr>
          <w:sz w:val="22"/>
          <w:szCs w:val="22"/>
        </w:rPr>
        <w:t xml:space="preserve">s aimed at developing consensus among the </w:t>
      </w:r>
      <w:r w:rsidRPr="002256D4">
        <w:rPr>
          <w:sz w:val="22"/>
          <w:szCs w:val="22"/>
        </w:rPr>
        <w:t xml:space="preserve">participating countries </w:t>
      </w:r>
      <w:r>
        <w:rPr>
          <w:sz w:val="22"/>
          <w:szCs w:val="22"/>
        </w:rPr>
        <w:t xml:space="preserve">on the selection and use of the </w:t>
      </w:r>
      <w:r w:rsidRPr="002256D4">
        <w:rPr>
          <w:sz w:val="22"/>
          <w:szCs w:val="22"/>
        </w:rPr>
        <w:t>best available information to plan and guide investments</w:t>
      </w:r>
      <w:r>
        <w:rPr>
          <w:sz w:val="22"/>
          <w:szCs w:val="22"/>
        </w:rPr>
        <w:t>.</w:t>
      </w:r>
      <w:r w:rsidRPr="002256D4">
        <w:t xml:space="preserve"> </w:t>
      </w:r>
      <w:r>
        <w:t>The c</w:t>
      </w:r>
      <w:r>
        <w:rPr>
          <w:sz w:val="22"/>
          <w:szCs w:val="22"/>
        </w:rPr>
        <w:t xml:space="preserve">ase examples </w:t>
      </w:r>
      <w:r w:rsidRPr="002256D4">
        <w:rPr>
          <w:sz w:val="22"/>
          <w:szCs w:val="22"/>
        </w:rPr>
        <w:t>on the development of the man</w:t>
      </w:r>
      <w:r>
        <w:rPr>
          <w:sz w:val="22"/>
          <w:szCs w:val="22"/>
        </w:rPr>
        <w:t xml:space="preserve">grove, fisheries and land-based </w:t>
      </w:r>
      <w:r w:rsidRPr="002256D4">
        <w:rPr>
          <w:sz w:val="22"/>
          <w:szCs w:val="22"/>
        </w:rPr>
        <w:t xml:space="preserve">pollution components of the South China Sea SAP </w:t>
      </w:r>
      <w:r>
        <w:rPr>
          <w:sz w:val="22"/>
          <w:szCs w:val="22"/>
        </w:rPr>
        <w:t xml:space="preserve">presented above </w:t>
      </w:r>
      <w:r w:rsidRPr="002256D4">
        <w:rPr>
          <w:sz w:val="22"/>
          <w:szCs w:val="22"/>
        </w:rPr>
        <w:t>dem</w:t>
      </w:r>
      <w:r>
        <w:rPr>
          <w:sz w:val="22"/>
          <w:szCs w:val="22"/>
        </w:rPr>
        <w:t xml:space="preserve">onstrate that this was achieved and highlight </w:t>
      </w:r>
      <w:r w:rsidRPr="002256D4">
        <w:rPr>
          <w:sz w:val="22"/>
          <w:szCs w:val="22"/>
        </w:rPr>
        <w:t>the importance of establishing a</w:t>
      </w:r>
      <w:r>
        <w:rPr>
          <w:sz w:val="22"/>
          <w:szCs w:val="22"/>
        </w:rPr>
        <w:t xml:space="preserve"> consensual information base in </w:t>
      </w:r>
      <w:r w:rsidRPr="002256D4">
        <w:rPr>
          <w:sz w:val="22"/>
          <w:szCs w:val="22"/>
        </w:rPr>
        <w:t xml:space="preserve">ensuring that selected issues and </w:t>
      </w:r>
      <w:r>
        <w:rPr>
          <w:sz w:val="22"/>
          <w:szCs w:val="22"/>
        </w:rPr>
        <w:t xml:space="preserve">actions included in any SAP for </w:t>
      </w:r>
      <w:r w:rsidRPr="002256D4">
        <w:rPr>
          <w:sz w:val="22"/>
          <w:szCs w:val="22"/>
        </w:rPr>
        <w:t>a shared water body are of priorit</w:t>
      </w:r>
      <w:r>
        <w:rPr>
          <w:sz w:val="22"/>
          <w:szCs w:val="22"/>
        </w:rPr>
        <w:t xml:space="preserve">y from the perspectives of both </w:t>
      </w:r>
      <w:r w:rsidRPr="002256D4">
        <w:rPr>
          <w:sz w:val="22"/>
          <w:szCs w:val="22"/>
        </w:rPr>
        <w:t>national and transboundary benefits.</w:t>
      </w:r>
      <w:r>
        <w:rPr>
          <w:sz w:val="22"/>
          <w:szCs w:val="22"/>
        </w:rPr>
        <w:t xml:space="preserve"> </w:t>
      </w:r>
      <w:r w:rsidRPr="002256D4">
        <w:rPr>
          <w:sz w:val="22"/>
          <w:szCs w:val="22"/>
        </w:rPr>
        <w:t>The approach also built a sig</w:t>
      </w:r>
      <w:r>
        <w:rPr>
          <w:sz w:val="22"/>
          <w:szCs w:val="22"/>
        </w:rPr>
        <w:t xml:space="preserve">nificant epistemic community of </w:t>
      </w:r>
      <w:r w:rsidRPr="002256D4">
        <w:rPr>
          <w:sz w:val="22"/>
          <w:szCs w:val="22"/>
        </w:rPr>
        <w:t>scientists and resource managers ex</w:t>
      </w:r>
      <w:r>
        <w:rPr>
          <w:sz w:val="22"/>
          <w:szCs w:val="22"/>
        </w:rPr>
        <w:t xml:space="preserve">perienced in the application of </w:t>
      </w:r>
      <w:r w:rsidRPr="002256D4">
        <w:rPr>
          <w:sz w:val="22"/>
          <w:szCs w:val="22"/>
        </w:rPr>
        <w:t>such a consensual information base to t</w:t>
      </w:r>
      <w:r>
        <w:rPr>
          <w:sz w:val="22"/>
          <w:szCs w:val="22"/>
        </w:rPr>
        <w:t xml:space="preserve">he TDA/SAP process underpinning </w:t>
      </w:r>
      <w:r w:rsidRPr="002256D4">
        <w:rPr>
          <w:sz w:val="22"/>
          <w:szCs w:val="22"/>
        </w:rPr>
        <w:t>GEF investments in international</w:t>
      </w:r>
      <w:r>
        <w:rPr>
          <w:sz w:val="22"/>
          <w:szCs w:val="22"/>
        </w:rPr>
        <w:t xml:space="preserve"> </w:t>
      </w:r>
      <w:r w:rsidRPr="002256D4">
        <w:rPr>
          <w:sz w:val="22"/>
          <w:szCs w:val="22"/>
        </w:rPr>
        <w:t xml:space="preserve">waters. </w:t>
      </w:r>
    </w:p>
    <w:p w14:paraId="426FD81F" w14:textId="77777777" w:rsidR="00660575" w:rsidRDefault="00660575" w:rsidP="00660575">
      <w:pPr>
        <w:numPr>
          <w:ilvl w:val="0"/>
          <w:numId w:val="3"/>
        </w:numPr>
        <w:spacing w:after="120"/>
        <w:ind w:left="0" w:firstLine="0"/>
        <w:jc w:val="both"/>
        <w:rPr>
          <w:sz w:val="22"/>
          <w:szCs w:val="22"/>
          <w:lang w:val="en-GB"/>
        </w:rPr>
      </w:pPr>
      <w:r>
        <w:rPr>
          <w:sz w:val="22"/>
          <w:szCs w:val="22"/>
          <w:lang w:val="en-GB"/>
        </w:rPr>
        <w:t xml:space="preserve">One significant and perhaps unique element of the South China Sea SAP is inclusion of detailed economic values for coastal habitat goods and services and their use in the determination </w:t>
      </w:r>
      <w:r w:rsidR="000906DD">
        <w:rPr>
          <w:sz w:val="22"/>
          <w:szCs w:val="22"/>
          <w:lang w:val="en-GB"/>
        </w:rPr>
        <w:t>of regionally applicable Total Economic Values. These were applied in an analysis of the costs and benefits of the regional actions proposed in the SAP. In some instances for example, the SAP is clearly cost effective as a modest investment of 3 million US dollars at a regional level is associated with a net benefit of 1.5 billion US dollars per annum if the mangrove targets of the SAP are met over a 5-year investment period. The SAP development process was also unique in that a key element in the process was operation of national demonstration projects and pilot projects in coastal habitat and land-based pollution management that enable</w:t>
      </w:r>
      <w:r w:rsidR="00125099">
        <w:rPr>
          <w:sz w:val="22"/>
          <w:szCs w:val="22"/>
          <w:lang w:val="en-GB"/>
        </w:rPr>
        <w:t>d</w:t>
      </w:r>
      <w:r w:rsidR="000906DD">
        <w:rPr>
          <w:sz w:val="22"/>
          <w:szCs w:val="22"/>
          <w:lang w:val="en-GB"/>
        </w:rPr>
        <w:t xml:space="preserve"> participating countries to experiment and trial new management approaches and technologies; the results of which were used to guide national planning and the development of SAP targets. Endorsed inter-governmentally in August 2008, the SAP represents the first, and presently only, common vision of the riparian countries of the SCS regarding priority cost-effective actions aimed at reversing environmental degradation of this globally significant marine basin.</w:t>
      </w:r>
    </w:p>
    <w:p w14:paraId="57C307CF" w14:textId="77777777" w:rsidR="000906DD" w:rsidRDefault="00AB149C" w:rsidP="000906DD">
      <w:pPr>
        <w:numPr>
          <w:ilvl w:val="2"/>
          <w:numId w:val="2"/>
        </w:numPr>
        <w:spacing w:after="120"/>
        <w:outlineLvl w:val="1"/>
        <w:rPr>
          <w:b/>
          <w:sz w:val="22"/>
          <w:szCs w:val="22"/>
          <w:lang w:val="en-GB"/>
        </w:rPr>
      </w:pPr>
      <w:r>
        <w:rPr>
          <w:b/>
          <w:sz w:val="22"/>
          <w:szCs w:val="22"/>
          <w:lang w:val="en-GB"/>
        </w:rPr>
        <w:t>Lessons Learned in Coastal Habitat Management from the SCS Project</w:t>
      </w:r>
    </w:p>
    <w:p w14:paraId="700F7546" w14:textId="77777777" w:rsidR="00AB149C" w:rsidRDefault="00AB149C" w:rsidP="00AB149C">
      <w:pPr>
        <w:numPr>
          <w:ilvl w:val="3"/>
          <w:numId w:val="2"/>
        </w:numPr>
        <w:spacing w:after="120"/>
        <w:outlineLvl w:val="1"/>
        <w:rPr>
          <w:b/>
          <w:sz w:val="22"/>
          <w:szCs w:val="22"/>
          <w:lang w:val="en-GB"/>
        </w:rPr>
      </w:pPr>
      <w:r>
        <w:rPr>
          <w:b/>
          <w:sz w:val="22"/>
          <w:szCs w:val="22"/>
          <w:lang w:val="en-GB"/>
        </w:rPr>
        <w:t>The regional network of habitat demonstration sites of the SCS Project</w:t>
      </w:r>
    </w:p>
    <w:p w14:paraId="1C12FFE9" w14:textId="77777777" w:rsidR="000906DD" w:rsidRPr="00AB149C" w:rsidRDefault="00AB149C" w:rsidP="000906DD">
      <w:pPr>
        <w:spacing w:after="120"/>
        <w:jc w:val="both"/>
        <w:rPr>
          <w:b/>
          <w:i/>
          <w:sz w:val="22"/>
          <w:szCs w:val="22"/>
          <w:lang w:val="en-GB"/>
        </w:rPr>
      </w:pPr>
      <w:r w:rsidRPr="00AB149C">
        <w:rPr>
          <w:b/>
          <w:i/>
          <w:sz w:val="22"/>
          <w:szCs w:val="22"/>
          <w:lang w:val="en-GB"/>
        </w:rPr>
        <w:t>Reversing environmental degradation: goals and purpose of demonstrations</w:t>
      </w:r>
    </w:p>
    <w:p w14:paraId="1FF03C54" w14:textId="77777777" w:rsidR="00AB149C" w:rsidRDefault="00AB149C" w:rsidP="00AB149C">
      <w:pPr>
        <w:numPr>
          <w:ilvl w:val="0"/>
          <w:numId w:val="3"/>
        </w:numPr>
        <w:spacing w:after="120"/>
        <w:ind w:left="0" w:firstLine="0"/>
        <w:jc w:val="both"/>
        <w:rPr>
          <w:sz w:val="22"/>
          <w:szCs w:val="22"/>
        </w:rPr>
      </w:pPr>
      <w:r w:rsidRPr="00906ACB">
        <w:rPr>
          <w:sz w:val="22"/>
          <w:szCs w:val="22"/>
        </w:rPr>
        <w:t>The Transboundary Diagnostic A</w:t>
      </w:r>
      <w:r>
        <w:rPr>
          <w:sz w:val="22"/>
          <w:szCs w:val="22"/>
        </w:rPr>
        <w:t xml:space="preserve">nalysis for the South China Sea </w:t>
      </w:r>
      <w:r w:rsidRPr="00906ACB">
        <w:rPr>
          <w:sz w:val="22"/>
          <w:szCs w:val="22"/>
        </w:rPr>
        <w:t>identified the degradation and loss of coastal</w:t>
      </w:r>
      <w:r>
        <w:rPr>
          <w:sz w:val="22"/>
          <w:szCs w:val="22"/>
        </w:rPr>
        <w:t xml:space="preserve"> habitats, the overexploitation </w:t>
      </w:r>
      <w:r w:rsidRPr="00906ACB">
        <w:rPr>
          <w:sz w:val="22"/>
          <w:szCs w:val="22"/>
        </w:rPr>
        <w:t>of fish stocks, and land-based pollution as the priority</w:t>
      </w:r>
      <w:r>
        <w:rPr>
          <w:sz w:val="22"/>
          <w:szCs w:val="22"/>
        </w:rPr>
        <w:t xml:space="preserve"> </w:t>
      </w:r>
      <w:r w:rsidRPr="00906ACB">
        <w:rPr>
          <w:sz w:val="22"/>
          <w:szCs w:val="22"/>
        </w:rPr>
        <w:t>environmental concerns affec</w:t>
      </w:r>
      <w:r>
        <w:rPr>
          <w:sz w:val="22"/>
          <w:szCs w:val="22"/>
        </w:rPr>
        <w:t>ting this marine basin</w:t>
      </w:r>
      <w:r w:rsidRPr="00906ACB">
        <w:rPr>
          <w:sz w:val="22"/>
          <w:szCs w:val="22"/>
        </w:rPr>
        <w:t xml:space="preserve">. The framework </w:t>
      </w:r>
      <w:r>
        <w:rPr>
          <w:sz w:val="22"/>
          <w:szCs w:val="22"/>
        </w:rPr>
        <w:t xml:space="preserve">SAP for the South China Sea </w:t>
      </w:r>
      <w:r w:rsidRPr="00906ACB">
        <w:rPr>
          <w:sz w:val="22"/>
          <w:szCs w:val="22"/>
        </w:rPr>
        <w:t>ou</w:t>
      </w:r>
      <w:r>
        <w:rPr>
          <w:sz w:val="22"/>
          <w:szCs w:val="22"/>
        </w:rPr>
        <w:t xml:space="preserve">tlined a wide range of proposed </w:t>
      </w:r>
      <w:r w:rsidRPr="00906ACB">
        <w:rPr>
          <w:sz w:val="22"/>
          <w:szCs w:val="22"/>
        </w:rPr>
        <w:t>regional and national actions t</w:t>
      </w:r>
      <w:r>
        <w:rPr>
          <w:sz w:val="22"/>
          <w:szCs w:val="22"/>
        </w:rPr>
        <w:t xml:space="preserve">o address these concerns (UNEP, </w:t>
      </w:r>
      <w:r w:rsidRPr="00906ACB">
        <w:rPr>
          <w:sz w:val="22"/>
          <w:szCs w:val="22"/>
        </w:rPr>
        <w:t>1999). One such action was the</w:t>
      </w:r>
      <w:r>
        <w:rPr>
          <w:sz w:val="22"/>
          <w:szCs w:val="22"/>
        </w:rPr>
        <w:t xml:space="preserve"> establishment and operation of </w:t>
      </w:r>
      <w:r w:rsidRPr="00906ACB">
        <w:rPr>
          <w:sz w:val="22"/>
          <w:szCs w:val="22"/>
        </w:rPr>
        <w:t>demonstra</w:t>
      </w:r>
      <w:r>
        <w:rPr>
          <w:sz w:val="22"/>
          <w:szCs w:val="22"/>
        </w:rPr>
        <w:t xml:space="preserve">tion sites and pilot activities focused on the generation </w:t>
      </w:r>
      <w:r w:rsidRPr="00906ACB">
        <w:rPr>
          <w:sz w:val="22"/>
          <w:szCs w:val="22"/>
        </w:rPr>
        <w:t>of regionally applicable examples of g</w:t>
      </w:r>
      <w:r>
        <w:rPr>
          <w:sz w:val="22"/>
          <w:szCs w:val="22"/>
        </w:rPr>
        <w:t xml:space="preserve">ood practice in coastal habitat </w:t>
      </w:r>
      <w:r w:rsidRPr="00906ACB">
        <w:rPr>
          <w:sz w:val="22"/>
          <w:szCs w:val="22"/>
        </w:rPr>
        <w:t xml:space="preserve">and pollution management. Accordingly, </w:t>
      </w:r>
      <w:r>
        <w:rPr>
          <w:sz w:val="22"/>
          <w:szCs w:val="22"/>
        </w:rPr>
        <w:t>SCS project developed a series of interventions aimed at</w:t>
      </w:r>
      <w:r w:rsidRPr="00906ACB">
        <w:rPr>
          <w:sz w:val="22"/>
          <w:szCs w:val="22"/>
        </w:rPr>
        <w:t xml:space="preserve"> inter alia: the executi</w:t>
      </w:r>
      <w:r>
        <w:rPr>
          <w:sz w:val="22"/>
          <w:szCs w:val="22"/>
        </w:rPr>
        <w:t xml:space="preserve">on of demonstration projects at </w:t>
      </w:r>
      <w:r w:rsidRPr="00906ACB">
        <w:rPr>
          <w:sz w:val="22"/>
          <w:szCs w:val="22"/>
        </w:rPr>
        <w:t>three regional priority sites within e</w:t>
      </w:r>
      <w:r>
        <w:rPr>
          <w:sz w:val="22"/>
          <w:szCs w:val="22"/>
        </w:rPr>
        <w:t xml:space="preserve">ach habitat class of mangroves, </w:t>
      </w:r>
      <w:r w:rsidRPr="00906ACB">
        <w:rPr>
          <w:sz w:val="22"/>
          <w:szCs w:val="22"/>
        </w:rPr>
        <w:t>coral reefs, and seagrass; and trialling</w:t>
      </w:r>
      <w:r>
        <w:rPr>
          <w:sz w:val="22"/>
          <w:szCs w:val="22"/>
        </w:rPr>
        <w:t xml:space="preserve"> pilot management interventions </w:t>
      </w:r>
      <w:r w:rsidRPr="00906ACB">
        <w:rPr>
          <w:sz w:val="22"/>
          <w:szCs w:val="22"/>
        </w:rPr>
        <w:t xml:space="preserve">at priority pollution hot spots. </w:t>
      </w:r>
    </w:p>
    <w:p w14:paraId="5E471C35" w14:textId="77777777" w:rsidR="00AB149C" w:rsidRDefault="00AB149C" w:rsidP="00AB149C">
      <w:pPr>
        <w:numPr>
          <w:ilvl w:val="0"/>
          <w:numId w:val="3"/>
        </w:numPr>
        <w:spacing w:after="120"/>
        <w:ind w:left="0" w:firstLine="0"/>
        <w:jc w:val="both"/>
        <w:rPr>
          <w:sz w:val="22"/>
          <w:szCs w:val="22"/>
        </w:rPr>
      </w:pPr>
      <w:r w:rsidRPr="00906ACB">
        <w:rPr>
          <w:sz w:val="22"/>
          <w:szCs w:val="22"/>
        </w:rPr>
        <w:t>The SCS project’s Regional Sci</w:t>
      </w:r>
      <w:r>
        <w:rPr>
          <w:sz w:val="22"/>
          <w:szCs w:val="22"/>
        </w:rPr>
        <w:t xml:space="preserve">entific and Technical Committee (RSTC) recommended that the </w:t>
      </w:r>
      <w:r w:rsidRPr="00906ACB">
        <w:rPr>
          <w:sz w:val="22"/>
          <w:szCs w:val="22"/>
        </w:rPr>
        <w:t>demonstra</w:t>
      </w:r>
      <w:r>
        <w:rPr>
          <w:sz w:val="22"/>
          <w:szCs w:val="22"/>
        </w:rPr>
        <w:t xml:space="preserve">tion sites and pilot activities </w:t>
      </w:r>
      <w:r w:rsidRPr="00906ACB">
        <w:rPr>
          <w:sz w:val="22"/>
          <w:szCs w:val="22"/>
        </w:rPr>
        <w:t>should perform several important roles. The first was t</w:t>
      </w:r>
      <w:r>
        <w:rPr>
          <w:sz w:val="22"/>
          <w:szCs w:val="22"/>
        </w:rPr>
        <w:t xml:space="preserve">o </w:t>
      </w:r>
      <w:r w:rsidRPr="00906ACB">
        <w:rPr>
          <w:sz w:val="22"/>
          <w:szCs w:val="22"/>
        </w:rPr>
        <w:t>provide an opportunity to impl</w:t>
      </w:r>
      <w:r>
        <w:rPr>
          <w:sz w:val="22"/>
          <w:szCs w:val="22"/>
        </w:rPr>
        <w:t xml:space="preserve">ement, and experiment with, new </w:t>
      </w:r>
      <w:r w:rsidRPr="00906ACB">
        <w:rPr>
          <w:sz w:val="22"/>
          <w:szCs w:val="22"/>
        </w:rPr>
        <w:t>ma</w:t>
      </w:r>
      <w:r>
        <w:rPr>
          <w:sz w:val="22"/>
          <w:szCs w:val="22"/>
        </w:rPr>
        <w:t xml:space="preserve">nagement models and methods. It was envisaged that this </w:t>
      </w:r>
      <w:r w:rsidRPr="00906ACB">
        <w:rPr>
          <w:sz w:val="22"/>
          <w:szCs w:val="22"/>
        </w:rPr>
        <w:t>would build regional experience and capa</w:t>
      </w:r>
      <w:r>
        <w:rPr>
          <w:sz w:val="22"/>
          <w:szCs w:val="22"/>
        </w:rPr>
        <w:t xml:space="preserve">city in project implementation, </w:t>
      </w:r>
      <w:r w:rsidRPr="00906ACB">
        <w:rPr>
          <w:sz w:val="22"/>
          <w:szCs w:val="22"/>
        </w:rPr>
        <w:t>cross-sectorial coordination, and the conduct of socioeconomic</w:t>
      </w:r>
      <w:r>
        <w:rPr>
          <w:sz w:val="22"/>
          <w:szCs w:val="22"/>
        </w:rPr>
        <w:t xml:space="preserve"> </w:t>
      </w:r>
      <w:r w:rsidRPr="00906ACB">
        <w:rPr>
          <w:sz w:val="22"/>
          <w:szCs w:val="22"/>
        </w:rPr>
        <w:t>and</w:t>
      </w:r>
      <w:r>
        <w:rPr>
          <w:sz w:val="22"/>
          <w:szCs w:val="22"/>
        </w:rPr>
        <w:t xml:space="preserve"> biological surveys and studies needed to contribute </w:t>
      </w:r>
      <w:r w:rsidRPr="00906ACB">
        <w:rPr>
          <w:sz w:val="22"/>
          <w:szCs w:val="22"/>
        </w:rPr>
        <w:t xml:space="preserve">to more sustainable management of </w:t>
      </w:r>
      <w:r>
        <w:rPr>
          <w:sz w:val="22"/>
          <w:szCs w:val="22"/>
        </w:rPr>
        <w:t xml:space="preserve">coastal habitats and pollution. From this, the </w:t>
      </w:r>
      <w:r w:rsidRPr="00906ACB">
        <w:rPr>
          <w:sz w:val="22"/>
          <w:szCs w:val="22"/>
        </w:rPr>
        <w:t>knowledge, experienc</w:t>
      </w:r>
      <w:r>
        <w:rPr>
          <w:sz w:val="22"/>
          <w:szCs w:val="22"/>
        </w:rPr>
        <w:t xml:space="preserve">es and best practices generated </w:t>
      </w:r>
      <w:r w:rsidRPr="00906ACB">
        <w:rPr>
          <w:sz w:val="22"/>
          <w:szCs w:val="22"/>
        </w:rPr>
        <w:t>during proje</w:t>
      </w:r>
      <w:r>
        <w:rPr>
          <w:sz w:val="22"/>
          <w:szCs w:val="22"/>
        </w:rPr>
        <w:t xml:space="preserve">ct execution would be captured, shared, and used to </w:t>
      </w:r>
      <w:r w:rsidRPr="00906ACB">
        <w:rPr>
          <w:sz w:val="22"/>
          <w:szCs w:val="22"/>
        </w:rPr>
        <w:t>guide National Action Plan (NA</w:t>
      </w:r>
      <w:r>
        <w:rPr>
          <w:sz w:val="22"/>
          <w:szCs w:val="22"/>
        </w:rPr>
        <w:t xml:space="preserve">P) and regional SAP development and </w:t>
      </w:r>
      <w:r w:rsidRPr="00906ACB">
        <w:rPr>
          <w:sz w:val="22"/>
          <w:szCs w:val="22"/>
        </w:rPr>
        <w:t>implementation.</w:t>
      </w:r>
    </w:p>
    <w:p w14:paraId="69121836" w14:textId="77777777" w:rsidR="00AB149C" w:rsidRDefault="00AB149C" w:rsidP="00AB149C">
      <w:pPr>
        <w:numPr>
          <w:ilvl w:val="0"/>
          <w:numId w:val="3"/>
        </w:numPr>
        <w:spacing w:after="120"/>
        <w:ind w:left="0" w:firstLine="0"/>
        <w:jc w:val="both"/>
        <w:rPr>
          <w:sz w:val="22"/>
          <w:szCs w:val="22"/>
        </w:rPr>
      </w:pPr>
      <w:r w:rsidRPr="00906ACB">
        <w:rPr>
          <w:sz w:val="22"/>
          <w:szCs w:val="22"/>
        </w:rPr>
        <w:t>The implementation of the S</w:t>
      </w:r>
      <w:r>
        <w:rPr>
          <w:sz w:val="22"/>
          <w:szCs w:val="22"/>
        </w:rPr>
        <w:t xml:space="preserve">CS project was divided into two </w:t>
      </w:r>
      <w:r w:rsidRPr="00906ACB">
        <w:rPr>
          <w:sz w:val="22"/>
          <w:szCs w:val="22"/>
        </w:rPr>
        <w:t>phases: first, a preparatory phase f</w:t>
      </w:r>
      <w:r>
        <w:rPr>
          <w:sz w:val="22"/>
          <w:szCs w:val="22"/>
        </w:rPr>
        <w:t xml:space="preserve">rom 2002 to 2004 followed by an </w:t>
      </w:r>
      <w:r w:rsidRPr="00906ACB">
        <w:rPr>
          <w:sz w:val="22"/>
          <w:szCs w:val="22"/>
        </w:rPr>
        <w:t>operational phase from 2005 to 200</w:t>
      </w:r>
      <w:r>
        <w:rPr>
          <w:sz w:val="22"/>
          <w:szCs w:val="22"/>
        </w:rPr>
        <w:t xml:space="preserve">8. During its second meeting in </w:t>
      </w:r>
      <w:r w:rsidRPr="00906ACB">
        <w:rPr>
          <w:sz w:val="22"/>
          <w:szCs w:val="22"/>
        </w:rPr>
        <w:t>2002, the RSTC discussed and agreed</w:t>
      </w:r>
      <w:r>
        <w:rPr>
          <w:sz w:val="22"/>
          <w:szCs w:val="22"/>
        </w:rPr>
        <w:t xml:space="preserve"> on criteria and procedures for </w:t>
      </w:r>
      <w:r w:rsidRPr="00906ACB">
        <w:rPr>
          <w:sz w:val="22"/>
          <w:szCs w:val="22"/>
        </w:rPr>
        <w:t>the selection of habitat demonstr</w:t>
      </w:r>
      <w:r>
        <w:rPr>
          <w:sz w:val="22"/>
          <w:szCs w:val="22"/>
        </w:rPr>
        <w:t xml:space="preserve">ation sites (UNEP, 2002a). That </w:t>
      </w:r>
      <w:r w:rsidRPr="00906ACB">
        <w:rPr>
          <w:sz w:val="22"/>
          <w:szCs w:val="22"/>
        </w:rPr>
        <w:t>meeting adopted a three-step pro</w:t>
      </w:r>
      <w:r>
        <w:rPr>
          <w:sz w:val="22"/>
          <w:szCs w:val="22"/>
        </w:rPr>
        <w:t xml:space="preserve">cedure which utilised a cluster </w:t>
      </w:r>
      <w:r w:rsidRPr="00906ACB">
        <w:rPr>
          <w:sz w:val="22"/>
          <w:szCs w:val="22"/>
        </w:rPr>
        <w:t>analysis approach to rank sites acc</w:t>
      </w:r>
      <w:r>
        <w:rPr>
          <w:sz w:val="22"/>
          <w:szCs w:val="22"/>
        </w:rPr>
        <w:t xml:space="preserve">ording to their significance in </w:t>
      </w:r>
      <w:r w:rsidRPr="00906ACB">
        <w:rPr>
          <w:sz w:val="22"/>
          <w:szCs w:val="22"/>
        </w:rPr>
        <w:t>terms of biological diversity, threats, and transboundary importan</w:t>
      </w:r>
      <w:r>
        <w:rPr>
          <w:sz w:val="22"/>
          <w:szCs w:val="22"/>
        </w:rPr>
        <w:t xml:space="preserve">ce. </w:t>
      </w:r>
      <w:r w:rsidRPr="00906ACB">
        <w:rPr>
          <w:sz w:val="22"/>
          <w:szCs w:val="22"/>
        </w:rPr>
        <w:t>The Committee recommended that each of the Regional</w:t>
      </w:r>
      <w:r>
        <w:rPr>
          <w:sz w:val="22"/>
          <w:szCs w:val="22"/>
        </w:rPr>
        <w:t xml:space="preserve"> </w:t>
      </w:r>
      <w:r w:rsidRPr="00906ACB">
        <w:rPr>
          <w:sz w:val="22"/>
          <w:szCs w:val="22"/>
        </w:rPr>
        <w:t>Working Groups (RWGs) established by the SCS project for mangroves,</w:t>
      </w:r>
      <w:r>
        <w:rPr>
          <w:sz w:val="22"/>
          <w:szCs w:val="22"/>
        </w:rPr>
        <w:t xml:space="preserve"> coral reefs, seagrass and </w:t>
      </w:r>
      <w:r w:rsidRPr="00906ACB">
        <w:rPr>
          <w:sz w:val="22"/>
          <w:szCs w:val="22"/>
        </w:rPr>
        <w:t>wet</w:t>
      </w:r>
      <w:r>
        <w:rPr>
          <w:sz w:val="22"/>
          <w:szCs w:val="22"/>
        </w:rPr>
        <w:t xml:space="preserve">lands should carefully consider </w:t>
      </w:r>
      <w:r w:rsidRPr="00906ACB">
        <w:rPr>
          <w:sz w:val="22"/>
          <w:szCs w:val="22"/>
        </w:rPr>
        <w:t>the variables to be used in the analys</w:t>
      </w:r>
      <w:r>
        <w:rPr>
          <w:sz w:val="22"/>
          <w:szCs w:val="22"/>
        </w:rPr>
        <w:t xml:space="preserve">is and ranking of the potential </w:t>
      </w:r>
      <w:r w:rsidRPr="00906ACB">
        <w:rPr>
          <w:sz w:val="22"/>
          <w:szCs w:val="22"/>
        </w:rPr>
        <w:t>demonstration sites. The RWGs p</w:t>
      </w:r>
      <w:r>
        <w:rPr>
          <w:sz w:val="22"/>
          <w:szCs w:val="22"/>
        </w:rPr>
        <w:t xml:space="preserve">roceeded to finalise data sets, </w:t>
      </w:r>
      <w:r w:rsidRPr="00906ACB">
        <w:rPr>
          <w:sz w:val="22"/>
          <w:szCs w:val="22"/>
        </w:rPr>
        <w:t>cluster analyses and ranking procedu</w:t>
      </w:r>
      <w:r>
        <w:rPr>
          <w:sz w:val="22"/>
          <w:szCs w:val="22"/>
        </w:rPr>
        <w:t xml:space="preserve">res during their third round of </w:t>
      </w:r>
      <w:r w:rsidRPr="00906ACB">
        <w:rPr>
          <w:sz w:val="22"/>
          <w:szCs w:val="22"/>
        </w:rPr>
        <w:t>meetings con</w:t>
      </w:r>
      <w:r>
        <w:rPr>
          <w:sz w:val="22"/>
          <w:szCs w:val="22"/>
        </w:rPr>
        <w:t xml:space="preserve">vened in 2003 (UNEP, 2003a-d). </w:t>
      </w:r>
    </w:p>
    <w:p w14:paraId="7637AC3A" w14:textId="77777777" w:rsidR="000906DD" w:rsidRPr="00AB149C" w:rsidRDefault="00AB149C" w:rsidP="00660575">
      <w:pPr>
        <w:numPr>
          <w:ilvl w:val="0"/>
          <w:numId w:val="3"/>
        </w:numPr>
        <w:spacing w:after="120"/>
        <w:ind w:left="0" w:firstLine="0"/>
        <w:jc w:val="both"/>
        <w:rPr>
          <w:sz w:val="22"/>
          <w:szCs w:val="22"/>
          <w:lang w:val="en-GB"/>
        </w:rPr>
      </w:pPr>
      <w:r w:rsidRPr="00AB149C">
        <w:rPr>
          <w:rFonts w:eastAsia="Calibri"/>
          <w:sz w:val="22"/>
          <w:szCs w:val="22"/>
        </w:rPr>
        <w:t>At the same time, the RWGs also agreed on the criteria to be used for the ranking of priorities based on biological, social and economic characteristics.  Following considerable work on the part of the project’s national Specialised Executing Agencies (SEAs), national committees, the RWGs and the Project Co-ordinating Unit, all RWGs managed to complete the ranking process during their fourth meetings convened in the last quarter of 2003 (UNEP, 2003e-h). Eighteen of the 136 habitat sites characterised by the SCS project were prioritised for intervention</w:t>
      </w:r>
      <w:r w:rsidRPr="00AB149C">
        <w:rPr>
          <w:rFonts w:eastAsia="Calibri"/>
          <w:sz w:val="22"/>
          <w:szCs w:val="22"/>
          <w:vertAlign w:val="superscript"/>
        </w:rPr>
        <w:footnoteReference w:id="33"/>
      </w:r>
      <w:r w:rsidRPr="00AB149C">
        <w:rPr>
          <w:rFonts w:eastAsia="Calibri"/>
          <w:sz w:val="22"/>
          <w:szCs w:val="22"/>
        </w:rPr>
        <w:t xml:space="preserve">. Thereafter, the fourth RSTC meeting made recommendations regarding the selection of demonstration sites to the Project Steering Committee (PSC) (UNEP, </w:t>
      </w:r>
      <w:r w:rsidR="00125099" w:rsidRPr="00AB149C">
        <w:rPr>
          <w:rFonts w:eastAsia="Calibri"/>
          <w:sz w:val="22"/>
          <w:szCs w:val="22"/>
        </w:rPr>
        <w:t>2004</w:t>
      </w:r>
      <w:r w:rsidR="00125099">
        <w:rPr>
          <w:rFonts w:eastAsia="Calibri"/>
          <w:sz w:val="22"/>
          <w:szCs w:val="22"/>
        </w:rPr>
        <w:t>c</w:t>
      </w:r>
      <w:r w:rsidRPr="00AB149C">
        <w:rPr>
          <w:rFonts w:eastAsia="Calibri"/>
          <w:sz w:val="22"/>
          <w:szCs w:val="22"/>
        </w:rPr>
        <w:t xml:space="preserve">). The PSC, at its third meeting in March 2004, approved the funding of 11 habitat demonstration sites (four mangrove, four coral reef and three seagrass) through the GEF grant to the SCS project (UNEP, </w:t>
      </w:r>
      <w:r w:rsidR="00125099" w:rsidRPr="00AB149C">
        <w:rPr>
          <w:rFonts w:eastAsia="Calibri"/>
          <w:sz w:val="22"/>
          <w:szCs w:val="22"/>
        </w:rPr>
        <w:t>2004</w:t>
      </w:r>
      <w:r w:rsidR="00125099">
        <w:rPr>
          <w:rFonts w:eastAsia="Calibri"/>
          <w:sz w:val="22"/>
          <w:szCs w:val="22"/>
        </w:rPr>
        <w:t>d</w:t>
      </w:r>
      <w:r w:rsidRPr="00AB149C">
        <w:rPr>
          <w:rFonts w:eastAsia="Calibri"/>
          <w:sz w:val="22"/>
          <w:szCs w:val="22"/>
        </w:rPr>
        <w:t>). An additional seven habitat demonstration sites were proposed for funding via the GEF Medium-Sized Project (MSP) mechanism.</w:t>
      </w:r>
    </w:p>
    <w:p w14:paraId="50D71A64" w14:textId="77777777" w:rsidR="00AB149C" w:rsidRDefault="00AB149C" w:rsidP="00AB149C">
      <w:pPr>
        <w:numPr>
          <w:ilvl w:val="0"/>
          <w:numId w:val="3"/>
        </w:numPr>
        <w:spacing w:after="120"/>
        <w:ind w:left="0" w:firstLine="0"/>
        <w:jc w:val="both"/>
        <w:rPr>
          <w:sz w:val="22"/>
          <w:szCs w:val="22"/>
        </w:rPr>
      </w:pPr>
      <w:r w:rsidRPr="006A78A6">
        <w:rPr>
          <w:sz w:val="22"/>
          <w:szCs w:val="22"/>
        </w:rPr>
        <w:t>The primary goals identified for individual demonstration and</w:t>
      </w:r>
      <w:r>
        <w:rPr>
          <w:sz w:val="22"/>
          <w:szCs w:val="22"/>
        </w:rPr>
        <w:t xml:space="preserve"> </w:t>
      </w:r>
      <w:r w:rsidRPr="006A78A6">
        <w:rPr>
          <w:sz w:val="22"/>
          <w:szCs w:val="22"/>
        </w:rPr>
        <w:t>pilot act</w:t>
      </w:r>
      <w:r>
        <w:rPr>
          <w:sz w:val="22"/>
          <w:szCs w:val="22"/>
        </w:rPr>
        <w:t xml:space="preserve">ivities of the SCS project were </w:t>
      </w:r>
      <w:r w:rsidRPr="006A78A6">
        <w:rPr>
          <w:sz w:val="22"/>
          <w:szCs w:val="22"/>
        </w:rPr>
        <w:t>to develop experience in</w:t>
      </w:r>
      <w:r>
        <w:rPr>
          <w:sz w:val="22"/>
          <w:szCs w:val="22"/>
        </w:rPr>
        <w:t xml:space="preserve"> </w:t>
      </w:r>
      <w:r w:rsidRPr="006A78A6">
        <w:rPr>
          <w:sz w:val="22"/>
          <w:szCs w:val="22"/>
        </w:rPr>
        <w:t>implementing management actions for use in reversing environmental</w:t>
      </w:r>
      <w:r>
        <w:rPr>
          <w:sz w:val="22"/>
          <w:szCs w:val="22"/>
        </w:rPr>
        <w:t xml:space="preserve"> </w:t>
      </w:r>
      <w:r w:rsidRPr="006A78A6">
        <w:rPr>
          <w:sz w:val="22"/>
          <w:szCs w:val="22"/>
        </w:rPr>
        <w:t>degradation and demonstrating methods of reducing the</w:t>
      </w:r>
      <w:r>
        <w:rPr>
          <w:sz w:val="22"/>
          <w:szCs w:val="22"/>
        </w:rPr>
        <w:t xml:space="preserve"> </w:t>
      </w:r>
      <w:r w:rsidRPr="006A78A6">
        <w:rPr>
          <w:sz w:val="22"/>
          <w:szCs w:val="22"/>
        </w:rPr>
        <w:t>rate of degra</w:t>
      </w:r>
      <w:r>
        <w:rPr>
          <w:sz w:val="22"/>
          <w:szCs w:val="22"/>
        </w:rPr>
        <w:t xml:space="preserve">dation if they were adopted and </w:t>
      </w:r>
      <w:r w:rsidRPr="006A78A6">
        <w:rPr>
          <w:sz w:val="22"/>
          <w:szCs w:val="22"/>
        </w:rPr>
        <w:t>applied on a wider</w:t>
      </w:r>
      <w:r>
        <w:rPr>
          <w:sz w:val="22"/>
          <w:szCs w:val="22"/>
        </w:rPr>
        <w:t xml:space="preserve"> </w:t>
      </w:r>
      <w:r w:rsidRPr="006A78A6">
        <w:rPr>
          <w:sz w:val="22"/>
          <w:szCs w:val="22"/>
        </w:rPr>
        <w:t>scale. In this specific context, adverse impacts of significance were</w:t>
      </w:r>
      <w:r>
        <w:rPr>
          <w:sz w:val="22"/>
          <w:szCs w:val="22"/>
        </w:rPr>
        <w:t xml:space="preserve"> </w:t>
      </w:r>
      <w:r w:rsidRPr="006A78A6">
        <w:rPr>
          <w:sz w:val="22"/>
          <w:szCs w:val="22"/>
        </w:rPr>
        <w:t>those on the biological community structure, productivity or species</w:t>
      </w:r>
      <w:r>
        <w:rPr>
          <w:sz w:val="22"/>
          <w:szCs w:val="22"/>
        </w:rPr>
        <w:t xml:space="preserve"> </w:t>
      </w:r>
      <w:r w:rsidRPr="006A78A6">
        <w:rPr>
          <w:sz w:val="22"/>
          <w:szCs w:val="22"/>
        </w:rPr>
        <w:t>diversity of habitats through non-sustainable patterns of use</w:t>
      </w:r>
      <w:r>
        <w:rPr>
          <w:sz w:val="22"/>
          <w:szCs w:val="22"/>
        </w:rPr>
        <w:t xml:space="preserve"> </w:t>
      </w:r>
      <w:r w:rsidRPr="006A78A6">
        <w:rPr>
          <w:sz w:val="22"/>
          <w:szCs w:val="22"/>
        </w:rPr>
        <w:t>resulting in over-exploitation or pollution. The purpose of the</w:t>
      </w:r>
      <w:r>
        <w:rPr>
          <w:sz w:val="22"/>
          <w:szCs w:val="22"/>
        </w:rPr>
        <w:t xml:space="preserve"> </w:t>
      </w:r>
      <w:r w:rsidRPr="006A78A6">
        <w:rPr>
          <w:sz w:val="22"/>
          <w:szCs w:val="22"/>
        </w:rPr>
        <w:t>demonstration sites and pollution</w:t>
      </w:r>
      <w:r>
        <w:rPr>
          <w:sz w:val="22"/>
          <w:szCs w:val="22"/>
        </w:rPr>
        <w:t xml:space="preserve"> pilot activities was therefore </w:t>
      </w:r>
      <w:r w:rsidRPr="006A78A6">
        <w:rPr>
          <w:sz w:val="22"/>
          <w:szCs w:val="22"/>
        </w:rPr>
        <w:t xml:space="preserve">biodiversity related, focussing </w:t>
      </w:r>
      <w:r>
        <w:rPr>
          <w:sz w:val="22"/>
          <w:szCs w:val="22"/>
        </w:rPr>
        <w:t xml:space="preserve">on habitats and species. It was </w:t>
      </w:r>
      <w:r w:rsidRPr="006A78A6">
        <w:rPr>
          <w:sz w:val="22"/>
          <w:szCs w:val="22"/>
        </w:rPr>
        <w:t>realised that demonstration sites coul</w:t>
      </w:r>
      <w:r>
        <w:rPr>
          <w:sz w:val="22"/>
          <w:szCs w:val="22"/>
        </w:rPr>
        <w:t xml:space="preserve">d be locations where management </w:t>
      </w:r>
      <w:r w:rsidRPr="006A78A6">
        <w:rPr>
          <w:sz w:val="22"/>
          <w:szCs w:val="22"/>
        </w:rPr>
        <w:t>actions were implemented for the purposes of: maintaining</w:t>
      </w:r>
      <w:r>
        <w:rPr>
          <w:sz w:val="22"/>
          <w:szCs w:val="22"/>
        </w:rPr>
        <w:t xml:space="preserve"> </w:t>
      </w:r>
      <w:r w:rsidRPr="006A78A6">
        <w:rPr>
          <w:sz w:val="22"/>
          <w:szCs w:val="22"/>
        </w:rPr>
        <w:t>existing biodiversity; res</w:t>
      </w:r>
      <w:r>
        <w:rPr>
          <w:sz w:val="22"/>
          <w:szCs w:val="22"/>
        </w:rPr>
        <w:t xml:space="preserve">toring degraded biodiversity to </w:t>
      </w:r>
      <w:r w:rsidRPr="006A78A6">
        <w:rPr>
          <w:sz w:val="22"/>
          <w:szCs w:val="22"/>
        </w:rPr>
        <w:t>former levels; attempting t</w:t>
      </w:r>
      <w:r>
        <w:rPr>
          <w:sz w:val="22"/>
          <w:szCs w:val="22"/>
        </w:rPr>
        <w:t xml:space="preserve">o remove or reduce the cause of </w:t>
      </w:r>
      <w:r w:rsidRPr="006A78A6">
        <w:rPr>
          <w:sz w:val="22"/>
          <w:szCs w:val="22"/>
        </w:rPr>
        <w:t>degradation; or test preventative ac</w:t>
      </w:r>
      <w:r>
        <w:rPr>
          <w:sz w:val="22"/>
          <w:szCs w:val="22"/>
        </w:rPr>
        <w:t xml:space="preserve">tions that halt the adoption of </w:t>
      </w:r>
      <w:r w:rsidRPr="006A78A6">
        <w:rPr>
          <w:sz w:val="22"/>
          <w:szCs w:val="22"/>
        </w:rPr>
        <w:t>unsustainable patterns of use before they commence</w:t>
      </w:r>
      <w:r>
        <w:rPr>
          <w:sz w:val="22"/>
          <w:szCs w:val="22"/>
        </w:rPr>
        <w:t>.</w:t>
      </w:r>
    </w:p>
    <w:p w14:paraId="671C48C4" w14:textId="77777777" w:rsidR="00F02E5B" w:rsidRPr="006A78A6" w:rsidRDefault="00F02E5B" w:rsidP="00F02E5B">
      <w:pPr>
        <w:numPr>
          <w:ilvl w:val="0"/>
          <w:numId w:val="3"/>
        </w:numPr>
        <w:spacing w:after="120"/>
        <w:ind w:left="0" w:firstLine="0"/>
        <w:jc w:val="both"/>
        <w:rPr>
          <w:sz w:val="22"/>
          <w:szCs w:val="22"/>
        </w:rPr>
      </w:pPr>
      <w:r w:rsidRPr="006A78A6">
        <w:rPr>
          <w:sz w:val="22"/>
          <w:szCs w:val="22"/>
        </w:rPr>
        <w:t xml:space="preserve">The term ‘demonstration site’ </w:t>
      </w:r>
      <w:r>
        <w:rPr>
          <w:sz w:val="22"/>
          <w:szCs w:val="22"/>
        </w:rPr>
        <w:t xml:space="preserve">can be interpreted by different </w:t>
      </w:r>
      <w:r w:rsidRPr="006A78A6">
        <w:rPr>
          <w:sz w:val="22"/>
          <w:szCs w:val="22"/>
        </w:rPr>
        <w:t>individuals to mean quite dif</w:t>
      </w:r>
      <w:r>
        <w:rPr>
          <w:sz w:val="22"/>
          <w:szCs w:val="22"/>
        </w:rPr>
        <w:t xml:space="preserve">ferent things. In the design of </w:t>
      </w:r>
      <w:r w:rsidRPr="006A78A6">
        <w:rPr>
          <w:sz w:val="22"/>
          <w:szCs w:val="22"/>
        </w:rPr>
        <w:t>demonstration site and pilot activitie</w:t>
      </w:r>
      <w:r>
        <w:rPr>
          <w:sz w:val="22"/>
          <w:szCs w:val="22"/>
        </w:rPr>
        <w:t xml:space="preserve">s, the SCS project gave careful </w:t>
      </w:r>
      <w:r w:rsidRPr="006A78A6">
        <w:rPr>
          <w:sz w:val="22"/>
          <w:szCs w:val="22"/>
        </w:rPr>
        <w:t>consideration to ‘what’ would be d</w:t>
      </w:r>
      <w:r>
        <w:rPr>
          <w:sz w:val="22"/>
          <w:szCs w:val="22"/>
        </w:rPr>
        <w:t xml:space="preserve">emonstrated, to ‘whom’ it would </w:t>
      </w:r>
      <w:r w:rsidRPr="006A78A6">
        <w:rPr>
          <w:sz w:val="22"/>
          <w:szCs w:val="22"/>
        </w:rPr>
        <w:t>be demonstrated and ‘how’ it wou</w:t>
      </w:r>
      <w:r>
        <w:rPr>
          <w:sz w:val="22"/>
          <w:szCs w:val="22"/>
        </w:rPr>
        <w:t xml:space="preserve">ld be demonstrated. This led to </w:t>
      </w:r>
      <w:r w:rsidRPr="006A78A6">
        <w:rPr>
          <w:sz w:val="22"/>
          <w:szCs w:val="22"/>
        </w:rPr>
        <w:t>three classes of potential demon</w:t>
      </w:r>
      <w:r>
        <w:rPr>
          <w:sz w:val="22"/>
          <w:szCs w:val="22"/>
        </w:rPr>
        <w:t xml:space="preserve">stration sites being identified </w:t>
      </w:r>
      <w:r w:rsidRPr="006A78A6">
        <w:rPr>
          <w:sz w:val="22"/>
          <w:szCs w:val="22"/>
        </w:rPr>
        <w:t xml:space="preserve">. The first, function related sites, were identified </w:t>
      </w:r>
      <w:r>
        <w:rPr>
          <w:sz w:val="22"/>
          <w:szCs w:val="22"/>
        </w:rPr>
        <w:t xml:space="preserve">as existing sites that demonstrate </w:t>
      </w:r>
      <w:r w:rsidRPr="006A78A6">
        <w:rPr>
          <w:sz w:val="22"/>
          <w:szCs w:val="22"/>
        </w:rPr>
        <w:t>sustain</w:t>
      </w:r>
      <w:r>
        <w:rPr>
          <w:sz w:val="22"/>
          <w:szCs w:val="22"/>
        </w:rPr>
        <w:t xml:space="preserve">able use for specific purposes, </w:t>
      </w:r>
      <w:r w:rsidRPr="006A78A6">
        <w:rPr>
          <w:sz w:val="22"/>
          <w:szCs w:val="22"/>
        </w:rPr>
        <w:t>such as the 100 plus years</w:t>
      </w:r>
      <w:r>
        <w:rPr>
          <w:sz w:val="22"/>
          <w:szCs w:val="22"/>
        </w:rPr>
        <w:t xml:space="preserve"> of sustainable forestry of the </w:t>
      </w:r>
      <w:r w:rsidRPr="006A78A6">
        <w:rPr>
          <w:sz w:val="22"/>
          <w:szCs w:val="22"/>
        </w:rPr>
        <w:t xml:space="preserve">mangroves in Matang District of </w:t>
      </w:r>
      <w:r>
        <w:rPr>
          <w:sz w:val="22"/>
          <w:szCs w:val="22"/>
        </w:rPr>
        <w:t xml:space="preserve">Malaysia’s Perak State. Process </w:t>
      </w:r>
      <w:r w:rsidRPr="006A78A6">
        <w:rPr>
          <w:sz w:val="22"/>
          <w:szCs w:val="22"/>
        </w:rPr>
        <w:t>related sites were identified as those that might include ex</w:t>
      </w:r>
      <w:r>
        <w:rPr>
          <w:sz w:val="22"/>
          <w:szCs w:val="22"/>
        </w:rPr>
        <w:t xml:space="preserve">isting </w:t>
      </w:r>
      <w:r w:rsidRPr="006A78A6">
        <w:rPr>
          <w:sz w:val="22"/>
          <w:szCs w:val="22"/>
        </w:rPr>
        <w:t>sites that demonstrate innovativ</w:t>
      </w:r>
      <w:r>
        <w:rPr>
          <w:sz w:val="22"/>
          <w:szCs w:val="22"/>
        </w:rPr>
        <w:t xml:space="preserve">e management interventions and/ or </w:t>
      </w:r>
      <w:r w:rsidRPr="006A78A6">
        <w:rPr>
          <w:sz w:val="22"/>
          <w:szCs w:val="22"/>
        </w:rPr>
        <w:t>regimes at the site level. Examples</w:t>
      </w:r>
      <w:r>
        <w:rPr>
          <w:sz w:val="22"/>
          <w:szCs w:val="22"/>
        </w:rPr>
        <w:t xml:space="preserve"> identified included ecotourism </w:t>
      </w:r>
      <w:r w:rsidRPr="006A78A6">
        <w:rPr>
          <w:sz w:val="22"/>
          <w:szCs w:val="22"/>
        </w:rPr>
        <w:t>at the Waterlands Reso</w:t>
      </w:r>
      <w:r>
        <w:rPr>
          <w:sz w:val="22"/>
          <w:szCs w:val="22"/>
        </w:rPr>
        <w:t xml:space="preserve">rt in China’s Shenzhen City and </w:t>
      </w:r>
      <w:r w:rsidRPr="006A78A6">
        <w:rPr>
          <w:sz w:val="22"/>
          <w:szCs w:val="22"/>
        </w:rPr>
        <w:t>the decentralisation of responsibility for coastal resource m</w:t>
      </w:r>
      <w:r>
        <w:rPr>
          <w:sz w:val="22"/>
          <w:szCs w:val="22"/>
        </w:rPr>
        <w:t xml:space="preserve">anagement </w:t>
      </w:r>
      <w:r w:rsidRPr="006A78A6">
        <w:rPr>
          <w:sz w:val="22"/>
          <w:szCs w:val="22"/>
        </w:rPr>
        <w:t>to local government in Indone</w:t>
      </w:r>
      <w:r>
        <w:rPr>
          <w:sz w:val="22"/>
          <w:szCs w:val="22"/>
        </w:rPr>
        <w:t xml:space="preserve">sia. Problem related sites were </w:t>
      </w:r>
      <w:r w:rsidRPr="006A78A6">
        <w:rPr>
          <w:sz w:val="22"/>
          <w:szCs w:val="22"/>
        </w:rPr>
        <w:t>identified as those suitable for demo</w:t>
      </w:r>
      <w:r>
        <w:rPr>
          <w:sz w:val="22"/>
          <w:szCs w:val="22"/>
        </w:rPr>
        <w:t xml:space="preserve">nstrating new modes of managing </w:t>
      </w:r>
      <w:r w:rsidRPr="006A78A6">
        <w:rPr>
          <w:sz w:val="22"/>
          <w:szCs w:val="22"/>
        </w:rPr>
        <w:t>specific problems or causes of environmental degradation.</w:t>
      </w:r>
    </w:p>
    <w:p w14:paraId="43206A42" w14:textId="77777777" w:rsidR="00F02E5B" w:rsidRPr="006A78A6" w:rsidRDefault="00F02E5B" w:rsidP="00F02E5B">
      <w:pPr>
        <w:numPr>
          <w:ilvl w:val="0"/>
          <w:numId w:val="3"/>
        </w:numPr>
        <w:spacing w:after="120"/>
        <w:ind w:left="0" w:firstLine="0"/>
        <w:jc w:val="both"/>
        <w:rPr>
          <w:sz w:val="22"/>
          <w:szCs w:val="22"/>
        </w:rPr>
      </w:pPr>
      <w:r w:rsidRPr="006A78A6">
        <w:rPr>
          <w:sz w:val="22"/>
          <w:szCs w:val="22"/>
        </w:rPr>
        <w:t>Consideration of these classes of demonstration sites</w:t>
      </w:r>
      <w:r>
        <w:rPr>
          <w:sz w:val="22"/>
          <w:szCs w:val="22"/>
        </w:rPr>
        <w:t xml:space="preserve"> was important </w:t>
      </w:r>
      <w:r w:rsidRPr="006A78A6">
        <w:rPr>
          <w:sz w:val="22"/>
          <w:szCs w:val="22"/>
        </w:rPr>
        <w:t>in assisting participants to ga</w:t>
      </w:r>
      <w:r>
        <w:rPr>
          <w:sz w:val="22"/>
          <w:szCs w:val="22"/>
        </w:rPr>
        <w:t xml:space="preserve">in an appreciation of potential </w:t>
      </w:r>
      <w:r w:rsidRPr="006A78A6">
        <w:rPr>
          <w:sz w:val="22"/>
          <w:szCs w:val="22"/>
        </w:rPr>
        <w:t>demonstration activities, resour</w:t>
      </w:r>
      <w:r>
        <w:rPr>
          <w:sz w:val="22"/>
          <w:szCs w:val="22"/>
        </w:rPr>
        <w:t xml:space="preserve">ce requirements and challenges. </w:t>
      </w:r>
      <w:r w:rsidRPr="006A78A6">
        <w:rPr>
          <w:sz w:val="22"/>
          <w:szCs w:val="22"/>
        </w:rPr>
        <w:t xml:space="preserve">It was concluded that a </w:t>
      </w:r>
      <w:r>
        <w:rPr>
          <w:sz w:val="22"/>
          <w:szCs w:val="22"/>
        </w:rPr>
        <w:t xml:space="preserve">majority of GEF grant funds for </w:t>
      </w:r>
      <w:r w:rsidRPr="006A78A6">
        <w:rPr>
          <w:sz w:val="22"/>
          <w:szCs w:val="22"/>
        </w:rPr>
        <w:t>demonstration activiti</w:t>
      </w:r>
      <w:r>
        <w:rPr>
          <w:sz w:val="22"/>
          <w:szCs w:val="22"/>
        </w:rPr>
        <w:t xml:space="preserve">es would need to be directed at problem </w:t>
      </w:r>
      <w:r w:rsidRPr="006A78A6">
        <w:rPr>
          <w:sz w:val="22"/>
          <w:szCs w:val="22"/>
        </w:rPr>
        <w:t>related sites. These sites enab</w:t>
      </w:r>
      <w:r>
        <w:rPr>
          <w:sz w:val="22"/>
          <w:szCs w:val="22"/>
        </w:rPr>
        <w:t xml:space="preserve">le environmental problems to be addressed directly and </w:t>
      </w:r>
      <w:r w:rsidRPr="006A78A6">
        <w:rPr>
          <w:sz w:val="22"/>
          <w:szCs w:val="22"/>
        </w:rPr>
        <w:t>contr</w:t>
      </w:r>
      <w:r>
        <w:rPr>
          <w:sz w:val="22"/>
          <w:szCs w:val="22"/>
        </w:rPr>
        <w:t xml:space="preserve">ibute to the development of new </w:t>
      </w:r>
      <w:r w:rsidRPr="006A78A6">
        <w:rPr>
          <w:sz w:val="22"/>
          <w:szCs w:val="22"/>
        </w:rPr>
        <w:t>management models of w</w:t>
      </w:r>
      <w:r>
        <w:rPr>
          <w:sz w:val="22"/>
          <w:szCs w:val="22"/>
        </w:rPr>
        <w:t xml:space="preserve">ider regional and international significance. </w:t>
      </w:r>
      <w:r w:rsidRPr="006A78A6">
        <w:rPr>
          <w:sz w:val="22"/>
          <w:szCs w:val="22"/>
        </w:rPr>
        <w:t>Similarly, it was agreed t</w:t>
      </w:r>
      <w:r>
        <w:rPr>
          <w:sz w:val="22"/>
          <w:szCs w:val="22"/>
        </w:rPr>
        <w:t xml:space="preserve">hat problem related sites would </w:t>
      </w:r>
      <w:r w:rsidRPr="006A78A6">
        <w:rPr>
          <w:sz w:val="22"/>
          <w:szCs w:val="22"/>
        </w:rPr>
        <w:t>yield the types of information a</w:t>
      </w:r>
      <w:r>
        <w:rPr>
          <w:sz w:val="22"/>
          <w:szCs w:val="22"/>
        </w:rPr>
        <w:t xml:space="preserve">nd experiences on the costs and </w:t>
      </w:r>
      <w:r w:rsidRPr="006A78A6">
        <w:rPr>
          <w:sz w:val="22"/>
          <w:szCs w:val="22"/>
        </w:rPr>
        <w:t>results from site-based coastal h</w:t>
      </w:r>
      <w:r>
        <w:rPr>
          <w:sz w:val="22"/>
          <w:szCs w:val="22"/>
        </w:rPr>
        <w:t xml:space="preserve">abitat management interventions </w:t>
      </w:r>
      <w:r w:rsidRPr="006A78A6">
        <w:rPr>
          <w:sz w:val="22"/>
          <w:szCs w:val="22"/>
        </w:rPr>
        <w:t>necessary to inform the development o</w:t>
      </w:r>
      <w:r>
        <w:rPr>
          <w:sz w:val="22"/>
          <w:szCs w:val="22"/>
        </w:rPr>
        <w:t xml:space="preserve">f a realistic results framework </w:t>
      </w:r>
      <w:r w:rsidRPr="006A78A6">
        <w:rPr>
          <w:sz w:val="22"/>
          <w:szCs w:val="22"/>
        </w:rPr>
        <w:t xml:space="preserve">for the habitat components of </w:t>
      </w:r>
      <w:r>
        <w:rPr>
          <w:sz w:val="22"/>
          <w:szCs w:val="22"/>
        </w:rPr>
        <w:t xml:space="preserve">the South China Sea SAP. It was </w:t>
      </w:r>
      <w:r w:rsidRPr="006A78A6">
        <w:rPr>
          <w:sz w:val="22"/>
          <w:szCs w:val="22"/>
        </w:rPr>
        <w:t>also recognised that no areas of habi</w:t>
      </w:r>
      <w:r>
        <w:rPr>
          <w:sz w:val="22"/>
          <w:szCs w:val="22"/>
        </w:rPr>
        <w:t xml:space="preserve">tat in the South China Sea were </w:t>
      </w:r>
      <w:r w:rsidRPr="006A78A6">
        <w:rPr>
          <w:sz w:val="22"/>
          <w:szCs w:val="22"/>
        </w:rPr>
        <w:t>under collaborative management</w:t>
      </w:r>
      <w:r>
        <w:rPr>
          <w:sz w:val="22"/>
          <w:szCs w:val="22"/>
        </w:rPr>
        <w:t xml:space="preserve">, i.e., involving more than one </w:t>
      </w:r>
      <w:r w:rsidRPr="006A78A6">
        <w:rPr>
          <w:sz w:val="22"/>
          <w:szCs w:val="22"/>
        </w:rPr>
        <w:t xml:space="preserve">country. Furthermore, there were </w:t>
      </w:r>
      <w:r>
        <w:rPr>
          <w:sz w:val="22"/>
          <w:szCs w:val="22"/>
        </w:rPr>
        <w:t xml:space="preserve">no examples of areas of habitat </w:t>
      </w:r>
      <w:r w:rsidRPr="006A78A6">
        <w:rPr>
          <w:sz w:val="22"/>
          <w:szCs w:val="22"/>
        </w:rPr>
        <w:t>under management by one cou</w:t>
      </w:r>
      <w:r>
        <w:rPr>
          <w:sz w:val="22"/>
          <w:szCs w:val="22"/>
        </w:rPr>
        <w:t xml:space="preserve">ntry that provided </w:t>
      </w:r>
      <w:r w:rsidRPr="006A78A6">
        <w:rPr>
          <w:sz w:val="22"/>
          <w:szCs w:val="22"/>
        </w:rPr>
        <w:t>benefits to a second. Identification o</w:t>
      </w:r>
      <w:r>
        <w:rPr>
          <w:sz w:val="22"/>
          <w:szCs w:val="22"/>
        </w:rPr>
        <w:t xml:space="preserve">f such sites and their adoption </w:t>
      </w:r>
      <w:r w:rsidRPr="006A78A6">
        <w:rPr>
          <w:sz w:val="22"/>
          <w:szCs w:val="22"/>
        </w:rPr>
        <w:t>as demonstra</w:t>
      </w:r>
      <w:r>
        <w:rPr>
          <w:sz w:val="22"/>
          <w:szCs w:val="22"/>
        </w:rPr>
        <w:t xml:space="preserve">tion sites within the framework </w:t>
      </w:r>
      <w:r w:rsidRPr="006A78A6">
        <w:rPr>
          <w:sz w:val="22"/>
          <w:szCs w:val="22"/>
        </w:rPr>
        <w:t>of the SCS project</w:t>
      </w:r>
      <w:r>
        <w:rPr>
          <w:sz w:val="22"/>
          <w:szCs w:val="22"/>
        </w:rPr>
        <w:t xml:space="preserve"> was </w:t>
      </w:r>
      <w:r w:rsidRPr="006A78A6">
        <w:rPr>
          <w:sz w:val="22"/>
          <w:szCs w:val="22"/>
        </w:rPr>
        <w:t>promoted because such sites would</w:t>
      </w:r>
      <w:r>
        <w:rPr>
          <w:sz w:val="22"/>
          <w:szCs w:val="22"/>
        </w:rPr>
        <w:t xml:space="preserve"> likely provide both innovative </w:t>
      </w:r>
      <w:r w:rsidRPr="006A78A6">
        <w:rPr>
          <w:sz w:val="22"/>
          <w:szCs w:val="22"/>
        </w:rPr>
        <w:t>demonstrations of regional value and at</w:t>
      </w:r>
      <w:r>
        <w:rPr>
          <w:sz w:val="22"/>
          <w:szCs w:val="22"/>
        </w:rPr>
        <w:t xml:space="preserve">tract significant international </w:t>
      </w:r>
      <w:r w:rsidRPr="006A78A6">
        <w:rPr>
          <w:sz w:val="22"/>
          <w:szCs w:val="22"/>
        </w:rPr>
        <w:t>att</w:t>
      </w:r>
      <w:r>
        <w:rPr>
          <w:sz w:val="22"/>
          <w:szCs w:val="22"/>
        </w:rPr>
        <w:t>ention as replicable models for application in other regions.</w:t>
      </w:r>
    </w:p>
    <w:p w14:paraId="4D9944C3" w14:textId="77777777" w:rsidR="00F02E5B" w:rsidRDefault="00F02E5B" w:rsidP="00F02E5B">
      <w:pPr>
        <w:numPr>
          <w:ilvl w:val="0"/>
          <w:numId w:val="3"/>
        </w:numPr>
        <w:spacing w:after="120"/>
        <w:ind w:left="0" w:firstLine="0"/>
        <w:jc w:val="both"/>
        <w:rPr>
          <w:sz w:val="22"/>
          <w:szCs w:val="22"/>
        </w:rPr>
      </w:pPr>
      <w:r w:rsidRPr="006A78A6">
        <w:rPr>
          <w:sz w:val="22"/>
          <w:szCs w:val="22"/>
        </w:rPr>
        <w:t xml:space="preserve">A framework for regional </w:t>
      </w:r>
      <w:r>
        <w:rPr>
          <w:sz w:val="22"/>
          <w:szCs w:val="22"/>
        </w:rPr>
        <w:t xml:space="preserve">co-ordination, dissemination of </w:t>
      </w:r>
      <w:r w:rsidRPr="006A78A6">
        <w:rPr>
          <w:sz w:val="22"/>
          <w:szCs w:val="22"/>
        </w:rPr>
        <w:t>experience and personnel exchange between demonstrat</w:t>
      </w:r>
      <w:r>
        <w:rPr>
          <w:sz w:val="22"/>
          <w:szCs w:val="22"/>
        </w:rPr>
        <w:t xml:space="preserve">ion sites </w:t>
      </w:r>
      <w:r w:rsidRPr="006A78A6">
        <w:rPr>
          <w:sz w:val="22"/>
          <w:szCs w:val="22"/>
        </w:rPr>
        <w:t>was considered by the fourth meet</w:t>
      </w:r>
      <w:r>
        <w:rPr>
          <w:sz w:val="22"/>
          <w:szCs w:val="22"/>
        </w:rPr>
        <w:t xml:space="preserve">ing of the RSTC in 2004 and was </w:t>
      </w:r>
      <w:r w:rsidRPr="006A78A6">
        <w:rPr>
          <w:sz w:val="22"/>
          <w:szCs w:val="22"/>
        </w:rPr>
        <w:t xml:space="preserve">endorsed by the subsequent third </w:t>
      </w:r>
      <w:r>
        <w:rPr>
          <w:sz w:val="22"/>
          <w:szCs w:val="22"/>
        </w:rPr>
        <w:t xml:space="preserve">PSC meeting (UNEP, </w:t>
      </w:r>
      <w:r w:rsidR="00125099">
        <w:rPr>
          <w:sz w:val="22"/>
          <w:szCs w:val="22"/>
        </w:rPr>
        <w:t>2004d</w:t>
      </w:r>
      <w:r>
        <w:rPr>
          <w:sz w:val="22"/>
          <w:szCs w:val="22"/>
        </w:rPr>
        <w:t xml:space="preserve">). This </w:t>
      </w:r>
      <w:r w:rsidRPr="006A78A6">
        <w:rPr>
          <w:sz w:val="22"/>
          <w:szCs w:val="22"/>
        </w:rPr>
        <w:t>framework emphasised three pos</w:t>
      </w:r>
      <w:r>
        <w:rPr>
          <w:sz w:val="22"/>
          <w:szCs w:val="22"/>
        </w:rPr>
        <w:t xml:space="preserve">sible modes of dissemination of </w:t>
      </w:r>
      <w:r w:rsidRPr="006A78A6">
        <w:rPr>
          <w:sz w:val="22"/>
          <w:szCs w:val="22"/>
        </w:rPr>
        <w:t>information and experiences: exchange of personnel bet</w:t>
      </w:r>
      <w:r>
        <w:rPr>
          <w:sz w:val="22"/>
          <w:szCs w:val="22"/>
        </w:rPr>
        <w:t xml:space="preserve">ween </w:t>
      </w:r>
      <w:r w:rsidRPr="006A78A6">
        <w:rPr>
          <w:sz w:val="22"/>
          <w:szCs w:val="22"/>
        </w:rPr>
        <w:t>sites; training courses and/or works</w:t>
      </w:r>
      <w:r>
        <w:rPr>
          <w:sz w:val="22"/>
          <w:szCs w:val="22"/>
        </w:rPr>
        <w:t xml:space="preserve">hops based on the demonstration sites; and publication and </w:t>
      </w:r>
      <w:r w:rsidRPr="006A78A6">
        <w:rPr>
          <w:sz w:val="22"/>
          <w:szCs w:val="22"/>
        </w:rPr>
        <w:t>dis</w:t>
      </w:r>
      <w:r>
        <w:rPr>
          <w:sz w:val="22"/>
          <w:szCs w:val="22"/>
        </w:rPr>
        <w:t xml:space="preserve">semination of technical reports </w:t>
      </w:r>
      <w:r w:rsidRPr="006A78A6">
        <w:rPr>
          <w:sz w:val="22"/>
          <w:szCs w:val="22"/>
        </w:rPr>
        <w:t>and/or public awareness materials.</w:t>
      </w:r>
    </w:p>
    <w:p w14:paraId="0BEFBE11" w14:textId="77777777" w:rsidR="00F02E5B" w:rsidRPr="00F02E5B" w:rsidRDefault="00F02E5B" w:rsidP="00F02E5B">
      <w:pPr>
        <w:spacing w:after="120"/>
        <w:jc w:val="both"/>
        <w:rPr>
          <w:b/>
          <w:i/>
          <w:sz w:val="22"/>
          <w:szCs w:val="22"/>
        </w:rPr>
      </w:pPr>
      <w:r w:rsidRPr="00F02E5B">
        <w:rPr>
          <w:b/>
          <w:i/>
          <w:sz w:val="22"/>
          <w:szCs w:val="22"/>
        </w:rPr>
        <w:t>Causal chain analysis and project design</w:t>
      </w:r>
    </w:p>
    <w:p w14:paraId="075B41C2" w14:textId="77777777" w:rsidR="00AB149C" w:rsidRDefault="00F02E5B" w:rsidP="00F02E5B">
      <w:pPr>
        <w:numPr>
          <w:ilvl w:val="0"/>
          <w:numId w:val="3"/>
        </w:numPr>
        <w:spacing w:after="120"/>
        <w:ind w:left="0" w:firstLine="0"/>
        <w:jc w:val="both"/>
        <w:rPr>
          <w:sz w:val="22"/>
          <w:szCs w:val="22"/>
          <w:lang w:val="en-GB"/>
        </w:rPr>
      </w:pPr>
      <w:r w:rsidRPr="00F02E5B">
        <w:rPr>
          <w:sz w:val="22"/>
          <w:szCs w:val="22"/>
          <w:lang w:val="en-GB"/>
        </w:rPr>
        <w:t xml:space="preserve">At the time of demonstration project design, causal chain analysis was the recommended GEF </w:t>
      </w:r>
      <w:r>
        <w:rPr>
          <w:sz w:val="22"/>
          <w:szCs w:val="22"/>
          <w:lang w:val="en-GB"/>
        </w:rPr>
        <w:t>tool used in the identification</w:t>
      </w:r>
      <w:r w:rsidRPr="00F02E5B">
        <w:rPr>
          <w:sz w:val="22"/>
          <w:szCs w:val="22"/>
          <w:lang w:val="en-GB"/>
        </w:rPr>
        <w:t xml:space="preserve"> of the causes of change in environmental state and, accordingly, the various potential points of intervention. Optimally, all causes are identified and quantified and the potential benefits of intervention at any one point along the chain are evaluated, where possible through some</w:t>
      </w:r>
      <w:r>
        <w:rPr>
          <w:sz w:val="22"/>
          <w:szCs w:val="22"/>
          <w:lang w:val="en-GB"/>
        </w:rPr>
        <w:t xml:space="preserve"> form of cost benefit analysis</w:t>
      </w:r>
      <w:r w:rsidRPr="00F02E5B">
        <w:rPr>
          <w:sz w:val="22"/>
          <w:szCs w:val="22"/>
          <w:lang w:val="en-GB"/>
        </w:rPr>
        <w:t>. The causal chain is therefore used to provide an objective basis for selecting among different options for intervention. Preparation of a causal chain analysis was a required component of the proposals for intervention at any potential demonstration site in order to be considered for GEF grant support.</w:t>
      </w:r>
    </w:p>
    <w:p w14:paraId="52F67010" w14:textId="77777777" w:rsidR="00F02E5B" w:rsidRDefault="00F02E5B" w:rsidP="00F02E5B">
      <w:pPr>
        <w:numPr>
          <w:ilvl w:val="0"/>
          <w:numId w:val="3"/>
        </w:numPr>
        <w:spacing w:after="120"/>
        <w:ind w:left="0" w:firstLine="0"/>
        <w:jc w:val="both"/>
        <w:rPr>
          <w:sz w:val="22"/>
          <w:szCs w:val="22"/>
        </w:rPr>
      </w:pPr>
      <w:r w:rsidRPr="006A78A6">
        <w:rPr>
          <w:sz w:val="22"/>
          <w:szCs w:val="22"/>
        </w:rPr>
        <w:t xml:space="preserve">Guidelines for the preparation </w:t>
      </w:r>
      <w:r>
        <w:rPr>
          <w:sz w:val="22"/>
          <w:szCs w:val="22"/>
        </w:rPr>
        <w:t xml:space="preserve">of demonstration site proposals </w:t>
      </w:r>
      <w:r w:rsidRPr="006A78A6">
        <w:rPr>
          <w:sz w:val="22"/>
          <w:szCs w:val="22"/>
        </w:rPr>
        <w:t>were c</w:t>
      </w:r>
      <w:r>
        <w:rPr>
          <w:sz w:val="22"/>
          <w:szCs w:val="22"/>
        </w:rPr>
        <w:t xml:space="preserve">onsidered in the third round of the RWG meetings (UNEP, </w:t>
      </w:r>
      <w:r w:rsidRPr="006A78A6">
        <w:rPr>
          <w:sz w:val="22"/>
          <w:szCs w:val="22"/>
        </w:rPr>
        <w:t>2003a</w:t>
      </w:r>
      <w:r>
        <w:rPr>
          <w:sz w:val="22"/>
          <w:szCs w:val="22"/>
        </w:rPr>
        <w:t>-</w:t>
      </w:r>
      <w:r w:rsidRPr="006A78A6">
        <w:rPr>
          <w:sz w:val="22"/>
          <w:szCs w:val="22"/>
        </w:rPr>
        <w:t>d). These were used by n</w:t>
      </w:r>
      <w:r>
        <w:rPr>
          <w:sz w:val="22"/>
          <w:szCs w:val="22"/>
        </w:rPr>
        <w:t xml:space="preserve">ational SEAs in the preparation </w:t>
      </w:r>
      <w:r w:rsidRPr="006A78A6">
        <w:rPr>
          <w:sz w:val="22"/>
          <w:szCs w:val="22"/>
        </w:rPr>
        <w:t>of operational project docume</w:t>
      </w:r>
      <w:r>
        <w:rPr>
          <w:sz w:val="22"/>
          <w:szCs w:val="22"/>
        </w:rPr>
        <w:t xml:space="preserve">nts and by the PCU in preparing </w:t>
      </w:r>
      <w:r w:rsidRPr="006A78A6">
        <w:rPr>
          <w:sz w:val="22"/>
          <w:szCs w:val="22"/>
        </w:rPr>
        <w:t>technical</w:t>
      </w:r>
      <w:r>
        <w:rPr>
          <w:sz w:val="22"/>
          <w:szCs w:val="22"/>
        </w:rPr>
        <w:t xml:space="preserve"> evaluations of proposals for consideration by the RWGs, </w:t>
      </w:r>
      <w:r w:rsidRPr="006A78A6">
        <w:rPr>
          <w:sz w:val="22"/>
          <w:szCs w:val="22"/>
        </w:rPr>
        <w:t xml:space="preserve">the RSTC and the PSC. </w:t>
      </w:r>
      <w:r w:rsidR="00125099">
        <w:rPr>
          <w:sz w:val="22"/>
          <w:szCs w:val="22"/>
        </w:rPr>
        <w:t xml:space="preserve">These documents </w:t>
      </w:r>
      <w:r w:rsidRPr="006A78A6">
        <w:rPr>
          <w:sz w:val="22"/>
          <w:szCs w:val="22"/>
        </w:rPr>
        <w:t>include</w:t>
      </w:r>
      <w:r w:rsidR="00125099">
        <w:rPr>
          <w:sz w:val="22"/>
          <w:szCs w:val="22"/>
        </w:rPr>
        <w:t>d</w:t>
      </w:r>
      <w:r w:rsidRPr="006A78A6">
        <w:rPr>
          <w:sz w:val="22"/>
          <w:szCs w:val="22"/>
        </w:rPr>
        <w:t>: demonstration site summar</w:t>
      </w:r>
      <w:r>
        <w:rPr>
          <w:sz w:val="22"/>
          <w:szCs w:val="22"/>
        </w:rPr>
        <w:t xml:space="preserve">ies; site descriptions covering </w:t>
      </w:r>
      <w:r w:rsidRPr="006A78A6">
        <w:rPr>
          <w:sz w:val="22"/>
          <w:szCs w:val="22"/>
        </w:rPr>
        <w:t>both environmental and socio-eco</w:t>
      </w:r>
      <w:r>
        <w:rPr>
          <w:sz w:val="22"/>
          <w:szCs w:val="22"/>
        </w:rPr>
        <w:t xml:space="preserve">nomic factors; a description of </w:t>
      </w:r>
      <w:r w:rsidRPr="006A78A6">
        <w:rPr>
          <w:sz w:val="22"/>
          <w:szCs w:val="22"/>
        </w:rPr>
        <w:t>the goals and purpose; clear statemen</w:t>
      </w:r>
      <w:r>
        <w:rPr>
          <w:sz w:val="22"/>
          <w:szCs w:val="22"/>
        </w:rPr>
        <w:t xml:space="preserve">ts of the project rationale and </w:t>
      </w:r>
      <w:r w:rsidRPr="006A78A6">
        <w:rPr>
          <w:sz w:val="22"/>
          <w:szCs w:val="22"/>
        </w:rPr>
        <w:t>objectives; descriptions of anticipa</w:t>
      </w:r>
      <w:r>
        <w:rPr>
          <w:sz w:val="22"/>
          <w:szCs w:val="22"/>
        </w:rPr>
        <w:t xml:space="preserve">ted outcomes; detailed listings </w:t>
      </w:r>
      <w:r w:rsidRPr="006A78A6">
        <w:rPr>
          <w:sz w:val="22"/>
          <w:szCs w:val="22"/>
        </w:rPr>
        <w:t>of planned activities; sustainability</w:t>
      </w:r>
      <w:r>
        <w:rPr>
          <w:sz w:val="22"/>
          <w:szCs w:val="22"/>
        </w:rPr>
        <w:t xml:space="preserve"> analyses and risk assessments; </w:t>
      </w:r>
      <w:r w:rsidRPr="006A78A6">
        <w:rPr>
          <w:sz w:val="22"/>
          <w:szCs w:val="22"/>
        </w:rPr>
        <w:t>fully costed work plans and budgets; implementation pla</w:t>
      </w:r>
      <w:r>
        <w:rPr>
          <w:sz w:val="22"/>
          <w:szCs w:val="22"/>
        </w:rPr>
        <w:t xml:space="preserve">ns; proposed </w:t>
      </w:r>
      <w:r w:rsidRPr="006A78A6">
        <w:rPr>
          <w:sz w:val="22"/>
          <w:szCs w:val="22"/>
        </w:rPr>
        <w:t xml:space="preserve">management arrangements; </w:t>
      </w:r>
      <w:r>
        <w:rPr>
          <w:sz w:val="22"/>
          <w:szCs w:val="22"/>
        </w:rPr>
        <w:t xml:space="preserve">and information on the proposed </w:t>
      </w:r>
      <w:r w:rsidRPr="006A78A6">
        <w:rPr>
          <w:sz w:val="22"/>
          <w:szCs w:val="22"/>
        </w:rPr>
        <w:t>executing agencies. R</w:t>
      </w:r>
      <w:r>
        <w:rPr>
          <w:sz w:val="22"/>
          <w:szCs w:val="22"/>
        </w:rPr>
        <w:t xml:space="preserve">equired annexes included: fully </w:t>
      </w:r>
      <w:r w:rsidRPr="006A78A6">
        <w:rPr>
          <w:sz w:val="22"/>
          <w:szCs w:val="22"/>
        </w:rPr>
        <w:t>completed site characterisations; s</w:t>
      </w:r>
      <w:r>
        <w:rPr>
          <w:sz w:val="22"/>
          <w:szCs w:val="22"/>
        </w:rPr>
        <w:t xml:space="preserve">takeholder participation plans; </w:t>
      </w:r>
      <w:r w:rsidRPr="006A78A6">
        <w:rPr>
          <w:sz w:val="22"/>
          <w:szCs w:val="22"/>
        </w:rPr>
        <w:t>causal chain analyses; and monito</w:t>
      </w:r>
      <w:r>
        <w:rPr>
          <w:sz w:val="22"/>
          <w:szCs w:val="22"/>
        </w:rPr>
        <w:t>ring and evaluation plans</w:t>
      </w:r>
      <w:r>
        <w:rPr>
          <w:rStyle w:val="FootnoteReference"/>
          <w:sz w:val="22"/>
          <w:szCs w:val="22"/>
        </w:rPr>
        <w:footnoteReference w:id="34"/>
      </w:r>
      <w:r>
        <w:rPr>
          <w:sz w:val="22"/>
          <w:szCs w:val="22"/>
        </w:rPr>
        <w:t>.</w:t>
      </w:r>
    </w:p>
    <w:p w14:paraId="533605AE" w14:textId="77777777" w:rsidR="00F02E5B" w:rsidRPr="00F02E5B" w:rsidRDefault="00F02E5B" w:rsidP="00F02E5B">
      <w:pPr>
        <w:numPr>
          <w:ilvl w:val="3"/>
          <w:numId w:val="2"/>
        </w:numPr>
        <w:spacing w:after="120"/>
        <w:outlineLvl w:val="1"/>
        <w:rPr>
          <w:b/>
          <w:sz w:val="22"/>
          <w:szCs w:val="22"/>
          <w:lang w:val="en-GB"/>
        </w:rPr>
      </w:pPr>
      <w:r>
        <w:rPr>
          <w:b/>
          <w:sz w:val="22"/>
          <w:szCs w:val="22"/>
          <w:lang w:val="en-GB"/>
        </w:rPr>
        <w:t>Establishment of mechanisms for coordination, integration and learning</w:t>
      </w:r>
    </w:p>
    <w:p w14:paraId="5A84C551" w14:textId="77777777" w:rsidR="00F02E5B" w:rsidRDefault="00F02E5B" w:rsidP="00F02E5B">
      <w:pPr>
        <w:numPr>
          <w:ilvl w:val="0"/>
          <w:numId w:val="3"/>
        </w:numPr>
        <w:spacing w:after="120"/>
        <w:ind w:left="0" w:firstLine="0"/>
        <w:jc w:val="both"/>
        <w:rPr>
          <w:sz w:val="22"/>
          <w:szCs w:val="22"/>
          <w:lang w:val="en-GB"/>
        </w:rPr>
      </w:pPr>
      <w:r w:rsidRPr="00F02E5B">
        <w:rPr>
          <w:sz w:val="22"/>
          <w:szCs w:val="22"/>
          <w:lang w:val="en-GB"/>
        </w:rPr>
        <w:t>Under the SCS project management framework the activities of the various project components were coordinated by national committees or sub-committees. Coordination among components was the responsibility of the National Technical Working Groups (NTWGs). The Inter-Ministry Committees, the highest level of national co-ordination, were responsible for the overall co-ordination of national activities of the SCS project. It was agreed that national SEAs for the habitat sub-components would assume responsibility for demonstration sites corresponding to their respective habitat type, e.g., mangrove, coral reef, seagrass and wetlands. The NTWGs assumed responsibility for oversight of all demonstration site activities conducted in each country, both those funded through the GEF grant and those funded by other means.</w:t>
      </w:r>
    </w:p>
    <w:p w14:paraId="32929DDA" w14:textId="77777777" w:rsidR="00F02E5B" w:rsidRPr="006A78A6" w:rsidRDefault="00F02E5B" w:rsidP="00F02E5B">
      <w:pPr>
        <w:numPr>
          <w:ilvl w:val="0"/>
          <w:numId w:val="3"/>
        </w:numPr>
        <w:spacing w:after="120"/>
        <w:ind w:left="0" w:firstLine="0"/>
        <w:jc w:val="both"/>
        <w:rPr>
          <w:sz w:val="22"/>
          <w:szCs w:val="22"/>
        </w:rPr>
      </w:pPr>
      <w:r w:rsidRPr="006A78A6">
        <w:rPr>
          <w:sz w:val="22"/>
          <w:szCs w:val="22"/>
        </w:rPr>
        <w:t>At the regional level, it was ag</w:t>
      </w:r>
      <w:r>
        <w:rPr>
          <w:sz w:val="22"/>
          <w:szCs w:val="22"/>
        </w:rPr>
        <w:t xml:space="preserve">reed that the RWGs be given the </w:t>
      </w:r>
      <w:r w:rsidRPr="006A78A6">
        <w:rPr>
          <w:sz w:val="22"/>
          <w:szCs w:val="22"/>
        </w:rPr>
        <w:t xml:space="preserve">responsibility for the co-ordination of </w:t>
      </w:r>
      <w:r>
        <w:rPr>
          <w:sz w:val="22"/>
          <w:szCs w:val="22"/>
        </w:rPr>
        <w:t xml:space="preserve">activities at all demonstration </w:t>
      </w:r>
      <w:r w:rsidRPr="006A78A6">
        <w:rPr>
          <w:sz w:val="22"/>
          <w:szCs w:val="22"/>
        </w:rPr>
        <w:t>sites with the RWGs reportin</w:t>
      </w:r>
      <w:r>
        <w:rPr>
          <w:sz w:val="22"/>
          <w:szCs w:val="22"/>
        </w:rPr>
        <w:t xml:space="preserve">g to, and being advised by, the </w:t>
      </w:r>
      <w:r w:rsidRPr="006A78A6">
        <w:rPr>
          <w:sz w:val="22"/>
          <w:szCs w:val="22"/>
        </w:rPr>
        <w:t>RSTC regarding overlap, potential collaboration and/o</w:t>
      </w:r>
      <w:r>
        <w:rPr>
          <w:sz w:val="22"/>
          <w:szCs w:val="22"/>
        </w:rPr>
        <w:t xml:space="preserve">r synergy that </w:t>
      </w:r>
      <w:r w:rsidRPr="006A78A6">
        <w:rPr>
          <w:sz w:val="22"/>
          <w:szCs w:val="22"/>
        </w:rPr>
        <w:t>might be foreseen among the demons</w:t>
      </w:r>
      <w:r>
        <w:rPr>
          <w:sz w:val="22"/>
          <w:szCs w:val="22"/>
        </w:rPr>
        <w:t xml:space="preserve">tration site activities in each </w:t>
      </w:r>
      <w:r w:rsidRPr="006A78A6">
        <w:rPr>
          <w:sz w:val="22"/>
          <w:szCs w:val="22"/>
        </w:rPr>
        <w:t>component. It was further agre</w:t>
      </w:r>
      <w:r>
        <w:rPr>
          <w:sz w:val="22"/>
          <w:szCs w:val="22"/>
        </w:rPr>
        <w:t xml:space="preserve">ed that each demonstration site </w:t>
      </w:r>
      <w:r w:rsidRPr="006A78A6">
        <w:rPr>
          <w:sz w:val="22"/>
          <w:szCs w:val="22"/>
        </w:rPr>
        <w:t>have a clearly identified demonstration si</w:t>
      </w:r>
      <w:r>
        <w:rPr>
          <w:sz w:val="22"/>
          <w:szCs w:val="22"/>
        </w:rPr>
        <w:t xml:space="preserve">te manager whose responsibility </w:t>
      </w:r>
      <w:r w:rsidRPr="006A78A6">
        <w:rPr>
          <w:sz w:val="22"/>
          <w:szCs w:val="22"/>
        </w:rPr>
        <w:t>would be to report to the SEA and the n</w:t>
      </w:r>
      <w:r>
        <w:rPr>
          <w:sz w:val="22"/>
          <w:szCs w:val="22"/>
        </w:rPr>
        <w:t xml:space="preserve">ational committee </w:t>
      </w:r>
      <w:r w:rsidRPr="006A78A6">
        <w:rPr>
          <w:sz w:val="22"/>
          <w:szCs w:val="22"/>
        </w:rPr>
        <w:t>on activities being conducted at the site.</w:t>
      </w:r>
    </w:p>
    <w:p w14:paraId="3DBE7D7A" w14:textId="77777777" w:rsidR="00F02E5B" w:rsidRDefault="00F02E5B" w:rsidP="00F02E5B">
      <w:pPr>
        <w:numPr>
          <w:ilvl w:val="0"/>
          <w:numId w:val="3"/>
        </w:numPr>
        <w:spacing w:after="120"/>
        <w:ind w:left="0" w:firstLine="0"/>
        <w:jc w:val="both"/>
        <w:rPr>
          <w:sz w:val="22"/>
          <w:szCs w:val="22"/>
        </w:rPr>
      </w:pPr>
      <w:r w:rsidRPr="006A78A6">
        <w:rPr>
          <w:sz w:val="22"/>
          <w:szCs w:val="22"/>
        </w:rPr>
        <w:t>A number of common mechani</w:t>
      </w:r>
      <w:r>
        <w:rPr>
          <w:sz w:val="22"/>
          <w:szCs w:val="22"/>
        </w:rPr>
        <w:t xml:space="preserve">sms were included in the design </w:t>
      </w:r>
      <w:r w:rsidRPr="006A78A6">
        <w:rPr>
          <w:sz w:val="22"/>
          <w:szCs w:val="22"/>
        </w:rPr>
        <w:t>of all d</w:t>
      </w:r>
      <w:r>
        <w:rPr>
          <w:sz w:val="22"/>
          <w:szCs w:val="22"/>
        </w:rPr>
        <w:t xml:space="preserve">emonstration projects to assist in strengthening site level </w:t>
      </w:r>
      <w:r w:rsidRPr="006A78A6">
        <w:rPr>
          <w:sz w:val="22"/>
          <w:szCs w:val="22"/>
        </w:rPr>
        <w:t>coordination, including the establishme</w:t>
      </w:r>
      <w:r>
        <w:rPr>
          <w:sz w:val="22"/>
          <w:szCs w:val="22"/>
        </w:rPr>
        <w:t xml:space="preserve">nt of multi-sectoral management </w:t>
      </w:r>
      <w:r w:rsidRPr="006A78A6">
        <w:rPr>
          <w:sz w:val="22"/>
          <w:szCs w:val="22"/>
        </w:rPr>
        <w:t>boards. These site-based management boards were</w:t>
      </w:r>
      <w:r>
        <w:rPr>
          <w:sz w:val="22"/>
          <w:szCs w:val="22"/>
        </w:rPr>
        <w:t xml:space="preserve"> </w:t>
      </w:r>
      <w:r w:rsidRPr="006A78A6">
        <w:rPr>
          <w:sz w:val="22"/>
          <w:szCs w:val="22"/>
        </w:rPr>
        <w:t>charged with coordin</w:t>
      </w:r>
      <w:r>
        <w:rPr>
          <w:sz w:val="22"/>
          <w:szCs w:val="22"/>
        </w:rPr>
        <w:t xml:space="preserve">ating activities of the project and integrating </w:t>
      </w:r>
      <w:r w:rsidRPr="006A78A6">
        <w:rPr>
          <w:sz w:val="22"/>
          <w:szCs w:val="22"/>
        </w:rPr>
        <w:t xml:space="preserve">these with the work of other projects </w:t>
      </w:r>
      <w:r>
        <w:rPr>
          <w:sz w:val="22"/>
          <w:szCs w:val="22"/>
        </w:rPr>
        <w:t xml:space="preserve">and with the work of provincial </w:t>
      </w:r>
      <w:r w:rsidRPr="006A78A6">
        <w:rPr>
          <w:sz w:val="22"/>
          <w:szCs w:val="22"/>
        </w:rPr>
        <w:t xml:space="preserve">and local governments. </w:t>
      </w:r>
      <w:r>
        <w:rPr>
          <w:sz w:val="22"/>
          <w:szCs w:val="22"/>
        </w:rPr>
        <w:t xml:space="preserve">Membership of management boards </w:t>
      </w:r>
      <w:r w:rsidRPr="006A78A6">
        <w:rPr>
          <w:sz w:val="22"/>
          <w:szCs w:val="22"/>
        </w:rPr>
        <w:t>comprised 10 to 20 persons dr</w:t>
      </w:r>
      <w:r>
        <w:rPr>
          <w:sz w:val="22"/>
          <w:szCs w:val="22"/>
        </w:rPr>
        <w:t xml:space="preserve">awn from government departments </w:t>
      </w:r>
      <w:r w:rsidRPr="006A78A6">
        <w:rPr>
          <w:sz w:val="22"/>
          <w:szCs w:val="22"/>
        </w:rPr>
        <w:t>and national focal points for the re</w:t>
      </w:r>
      <w:r>
        <w:rPr>
          <w:sz w:val="22"/>
          <w:szCs w:val="22"/>
        </w:rPr>
        <w:t xml:space="preserve">levant habitat sub-component of </w:t>
      </w:r>
      <w:r w:rsidRPr="006A78A6">
        <w:rPr>
          <w:sz w:val="22"/>
          <w:szCs w:val="22"/>
        </w:rPr>
        <w:t>the SCS project. Many projects also i</w:t>
      </w:r>
      <w:r>
        <w:rPr>
          <w:sz w:val="22"/>
          <w:szCs w:val="22"/>
        </w:rPr>
        <w:t xml:space="preserve">nvolved NGOs, local communities </w:t>
      </w:r>
      <w:r w:rsidRPr="006A78A6">
        <w:rPr>
          <w:sz w:val="22"/>
          <w:szCs w:val="22"/>
        </w:rPr>
        <w:t>and t</w:t>
      </w:r>
      <w:r>
        <w:rPr>
          <w:sz w:val="22"/>
          <w:szCs w:val="22"/>
        </w:rPr>
        <w:t xml:space="preserve">he private sector as members of management boards. </w:t>
      </w:r>
      <w:r w:rsidRPr="006A78A6">
        <w:rPr>
          <w:sz w:val="22"/>
          <w:szCs w:val="22"/>
        </w:rPr>
        <w:t>Meetings of these groups were convened every 3</w:t>
      </w:r>
      <w:r>
        <w:rPr>
          <w:sz w:val="22"/>
          <w:szCs w:val="22"/>
        </w:rPr>
        <w:t xml:space="preserve">-6 months and </w:t>
      </w:r>
      <w:r w:rsidRPr="006A78A6">
        <w:rPr>
          <w:sz w:val="22"/>
          <w:szCs w:val="22"/>
        </w:rPr>
        <w:t>efforts were made by most projects to use local government</w:t>
      </w:r>
      <w:r>
        <w:rPr>
          <w:sz w:val="22"/>
          <w:szCs w:val="22"/>
        </w:rPr>
        <w:t xml:space="preserve"> </w:t>
      </w:r>
      <w:r w:rsidRPr="006A78A6">
        <w:rPr>
          <w:sz w:val="22"/>
          <w:szCs w:val="22"/>
        </w:rPr>
        <w:t>facilities or village venues for thes</w:t>
      </w:r>
      <w:r>
        <w:rPr>
          <w:sz w:val="22"/>
          <w:szCs w:val="22"/>
        </w:rPr>
        <w:t xml:space="preserve">e events. The latter were aimed </w:t>
      </w:r>
      <w:r w:rsidRPr="006A78A6">
        <w:rPr>
          <w:sz w:val="22"/>
          <w:szCs w:val="22"/>
        </w:rPr>
        <w:t>at strengthening linkages</w:t>
      </w:r>
      <w:r>
        <w:rPr>
          <w:sz w:val="22"/>
          <w:szCs w:val="22"/>
        </w:rPr>
        <w:t xml:space="preserve"> between the projects and local </w:t>
      </w:r>
      <w:r w:rsidRPr="006A78A6">
        <w:rPr>
          <w:sz w:val="22"/>
          <w:szCs w:val="22"/>
        </w:rPr>
        <w:t>government officials and village leaders.</w:t>
      </w:r>
    </w:p>
    <w:p w14:paraId="4FE07D86" w14:textId="77777777" w:rsidR="00F02E5B" w:rsidRDefault="00F02E5B" w:rsidP="00F02E5B">
      <w:pPr>
        <w:numPr>
          <w:ilvl w:val="0"/>
          <w:numId w:val="3"/>
        </w:numPr>
        <w:spacing w:after="120"/>
        <w:ind w:left="0" w:firstLine="0"/>
        <w:jc w:val="both"/>
        <w:rPr>
          <w:sz w:val="22"/>
          <w:szCs w:val="22"/>
        </w:rPr>
      </w:pPr>
      <w:r w:rsidRPr="00B946CA">
        <w:rPr>
          <w:sz w:val="22"/>
          <w:szCs w:val="22"/>
        </w:rPr>
        <w:t>Existing projects funded via othe</w:t>
      </w:r>
      <w:r>
        <w:rPr>
          <w:sz w:val="22"/>
          <w:szCs w:val="22"/>
        </w:rPr>
        <w:t>r sources</w:t>
      </w:r>
      <w:r>
        <w:rPr>
          <w:rStyle w:val="FootnoteReference"/>
          <w:sz w:val="22"/>
          <w:szCs w:val="22"/>
        </w:rPr>
        <w:footnoteReference w:id="35"/>
      </w:r>
      <w:r>
        <w:rPr>
          <w:sz w:val="22"/>
          <w:szCs w:val="22"/>
        </w:rPr>
        <w:t xml:space="preserve"> were invited to join </w:t>
      </w:r>
      <w:r w:rsidRPr="00B946CA">
        <w:rPr>
          <w:sz w:val="22"/>
          <w:szCs w:val="22"/>
        </w:rPr>
        <w:t>the regional network of demonst</w:t>
      </w:r>
      <w:r>
        <w:rPr>
          <w:sz w:val="22"/>
          <w:szCs w:val="22"/>
        </w:rPr>
        <w:t xml:space="preserve">ration initiatives. Support was </w:t>
      </w:r>
      <w:r w:rsidRPr="00B946CA">
        <w:rPr>
          <w:sz w:val="22"/>
          <w:szCs w:val="22"/>
        </w:rPr>
        <w:t>provided for representatives of these project</w:t>
      </w:r>
      <w:r>
        <w:rPr>
          <w:sz w:val="22"/>
          <w:szCs w:val="22"/>
        </w:rPr>
        <w:t xml:space="preserve">s to participate and </w:t>
      </w:r>
      <w:r w:rsidRPr="00B946CA">
        <w:rPr>
          <w:sz w:val="22"/>
          <w:szCs w:val="22"/>
        </w:rPr>
        <w:t>share experience and lessons learne</w:t>
      </w:r>
      <w:r>
        <w:rPr>
          <w:sz w:val="22"/>
          <w:szCs w:val="22"/>
        </w:rPr>
        <w:t xml:space="preserve">d in coastal habitat management during the Regional Scientific Conferences (RSC) and Mayors’ </w:t>
      </w:r>
      <w:r w:rsidRPr="00B946CA">
        <w:rPr>
          <w:sz w:val="22"/>
          <w:szCs w:val="22"/>
        </w:rPr>
        <w:t>Round-Table (MRT) meetings conve</w:t>
      </w:r>
      <w:r>
        <w:rPr>
          <w:sz w:val="22"/>
          <w:szCs w:val="22"/>
        </w:rPr>
        <w:t xml:space="preserve">ned as part of the SCS project. </w:t>
      </w:r>
      <w:r w:rsidRPr="00B946CA">
        <w:rPr>
          <w:sz w:val="22"/>
          <w:szCs w:val="22"/>
        </w:rPr>
        <w:t>The locations of the GEF grant supported de</w:t>
      </w:r>
      <w:r>
        <w:rPr>
          <w:sz w:val="22"/>
          <w:szCs w:val="22"/>
        </w:rPr>
        <w:t xml:space="preserve">monstration sites and </w:t>
      </w:r>
      <w:r w:rsidRPr="00B946CA">
        <w:rPr>
          <w:sz w:val="22"/>
          <w:szCs w:val="22"/>
        </w:rPr>
        <w:t>pilot activity, as well as the se</w:t>
      </w:r>
      <w:r>
        <w:rPr>
          <w:sz w:val="22"/>
          <w:szCs w:val="22"/>
        </w:rPr>
        <w:t xml:space="preserve">lf-funded habitat demonstration </w:t>
      </w:r>
      <w:r w:rsidRPr="00B946CA">
        <w:rPr>
          <w:sz w:val="22"/>
          <w:szCs w:val="22"/>
        </w:rPr>
        <w:t>projects that joined the SCS pr</w:t>
      </w:r>
      <w:r>
        <w:rPr>
          <w:sz w:val="22"/>
          <w:szCs w:val="22"/>
        </w:rPr>
        <w:t xml:space="preserve">oject network, are shown </w:t>
      </w:r>
      <w:r w:rsidRPr="00967370">
        <w:rPr>
          <w:sz w:val="22"/>
          <w:szCs w:val="22"/>
        </w:rPr>
        <w:t xml:space="preserve">in Figure </w:t>
      </w:r>
      <w:r w:rsidR="00967370" w:rsidRPr="00967370">
        <w:rPr>
          <w:sz w:val="22"/>
          <w:szCs w:val="22"/>
        </w:rPr>
        <w:t>3 below</w:t>
      </w:r>
      <w:r w:rsidRPr="00967370">
        <w:rPr>
          <w:sz w:val="22"/>
          <w:szCs w:val="22"/>
        </w:rPr>
        <w:t>.</w:t>
      </w:r>
    </w:p>
    <w:p w14:paraId="723C4D1A" w14:textId="1688B11D" w:rsidR="00967370" w:rsidRDefault="000741FA" w:rsidP="00967370">
      <w:pPr>
        <w:spacing w:after="120"/>
        <w:jc w:val="both"/>
        <w:rPr>
          <w:sz w:val="22"/>
          <w:szCs w:val="22"/>
        </w:rPr>
      </w:pPr>
      <w:r>
        <w:rPr>
          <w:noProof/>
          <w:sz w:val="22"/>
          <w:szCs w:val="22"/>
          <w:highlight w:val="yellow"/>
        </w:rPr>
        <w:drawing>
          <wp:inline distT="0" distB="0" distL="0" distR="0" wp14:anchorId="512D96EB" wp14:editId="4BCD1AC4">
            <wp:extent cx="5753100" cy="59118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53100" cy="5911850"/>
                    </a:xfrm>
                    <a:prstGeom prst="rect">
                      <a:avLst/>
                    </a:prstGeom>
                    <a:noFill/>
                    <a:ln>
                      <a:noFill/>
                    </a:ln>
                  </pic:spPr>
                </pic:pic>
              </a:graphicData>
            </a:graphic>
          </wp:inline>
        </w:drawing>
      </w:r>
    </w:p>
    <w:p w14:paraId="0E66CCF8" w14:textId="77777777" w:rsidR="00967370" w:rsidRDefault="00967370" w:rsidP="00967370">
      <w:pPr>
        <w:spacing w:after="120"/>
        <w:jc w:val="center"/>
        <w:rPr>
          <w:sz w:val="22"/>
          <w:szCs w:val="22"/>
        </w:rPr>
      </w:pPr>
      <w:r w:rsidRPr="00183235">
        <w:rPr>
          <w:b/>
          <w:sz w:val="21"/>
          <w:szCs w:val="21"/>
          <w:lang w:val="en-GB"/>
        </w:rPr>
        <w:t xml:space="preserve">Figure </w:t>
      </w:r>
      <w:r>
        <w:rPr>
          <w:b/>
          <w:sz w:val="21"/>
          <w:szCs w:val="21"/>
          <w:lang w:val="en-GB"/>
        </w:rPr>
        <w:t>3</w:t>
      </w:r>
      <w:r w:rsidRPr="00183235">
        <w:rPr>
          <w:b/>
          <w:sz w:val="21"/>
          <w:szCs w:val="21"/>
          <w:lang w:val="en-GB"/>
        </w:rPr>
        <w:t>.</w:t>
      </w:r>
      <w:r w:rsidRPr="00183235">
        <w:rPr>
          <w:sz w:val="21"/>
          <w:szCs w:val="21"/>
          <w:lang w:val="en-GB"/>
        </w:rPr>
        <w:t xml:space="preserve"> </w:t>
      </w:r>
      <w:r>
        <w:rPr>
          <w:sz w:val="21"/>
          <w:szCs w:val="21"/>
          <w:lang w:val="en-GB"/>
        </w:rPr>
        <w:t>Regional Network of Demonstration Sites Established by the SCS Project</w:t>
      </w:r>
    </w:p>
    <w:p w14:paraId="18D1F693" w14:textId="77777777" w:rsidR="006326A5" w:rsidRDefault="006326A5" w:rsidP="006326A5">
      <w:pPr>
        <w:numPr>
          <w:ilvl w:val="0"/>
          <w:numId w:val="3"/>
        </w:numPr>
        <w:spacing w:after="120"/>
        <w:ind w:left="0" w:firstLine="0"/>
        <w:jc w:val="both"/>
        <w:rPr>
          <w:sz w:val="22"/>
          <w:szCs w:val="22"/>
        </w:rPr>
      </w:pPr>
      <w:r w:rsidRPr="00B946CA">
        <w:rPr>
          <w:sz w:val="22"/>
          <w:szCs w:val="22"/>
        </w:rPr>
        <w:t>As the SCS project entered its opera</w:t>
      </w:r>
      <w:r>
        <w:rPr>
          <w:sz w:val="22"/>
          <w:szCs w:val="22"/>
        </w:rPr>
        <w:t xml:space="preserve">tional phase, it was recognized </w:t>
      </w:r>
      <w:r w:rsidRPr="00B946CA">
        <w:rPr>
          <w:sz w:val="22"/>
          <w:szCs w:val="22"/>
        </w:rPr>
        <w:t>that there was a strong ne</w:t>
      </w:r>
      <w:r>
        <w:rPr>
          <w:sz w:val="22"/>
          <w:szCs w:val="22"/>
        </w:rPr>
        <w:t xml:space="preserve">ed to establish a mechanism for </w:t>
      </w:r>
      <w:r w:rsidRPr="00B946CA">
        <w:rPr>
          <w:sz w:val="22"/>
          <w:szCs w:val="22"/>
        </w:rPr>
        <w:t>regional level dissemination of inf</w:t>
      </w:r>
      <w:r>
        <w:rPr>
          <w:sz w:val="22"/>
          <w:szCs w:val="22"/>
        </w:rPr>
        <w:t xml:space="preserve">ormation about lessons learned, </w:t>
      </w:r>
      <w:r w:rsidRPr="00B946CA">
        <w:rPr>
          <w:sz w:val="22"/>
          <w:szCs w:val="22"/>
        </w:rPr>
        <w:t>experience and best practices generat</w:t>
      </w:r>
      <w:r>
        <w:rPr>
          <w:sz w:val="22"/>
          <w:szCs w:val="22"/>
        </w:rPr>
        <w:t xml:space="preserve">ed at the site level. There was </w:t>
      </w:r>
      <w:r w:rsidRPr="00B946CA">
        <w:rPr>
          <w:sz w:val="22"/>
          <w:szCs w:val="22"/>
        </w:rPr>
        <w:t>also a need to ensure that re</w:t>
      </w:r>
      <w:r>
        <w:rPr>
          <w:sz w:val="22"/>
          <w:szCs w:val="22"/>
        </w:rPr>
        <w:t xml:space="preserve">gionally accumulated scientific </w:t>
      </w:r>
      <w:r w:rsidRPr="00B946CA">
        <w:rPr>
          <w:sz w:val="22"/>
          <w:szCs w:val="22"/>
        </w:rPr>
        <w:t>knowledge was made available to</w:t>
      </w:r>
      <w:r>
        <w:rPr>
          <w:sz w:val="22"/>
          <w:szCs w:val="22"/>
        </w:rPr>
        <w:t xml:space="preserve"> local government officials and </w:t>
      </w:r>
      <w:r w:rsidRPr="00B946CA">
        <w:rPr>
          <w:sz w:val="22"/>
          <w:szCs w:val="22"/>
        </w:rPr>
        <w:t>operational level managers in a</w:t>
      </w:r>
      <w:r>
        <w:rPr>
          <w:sz w:val="22"/>
          <w:szCs w:val="22"/>
        </w:rPr>
        <w:t xml:space="preserve">n easily accessible manner. The </w:t>
      </w:r>
      <w:r w:rsidRPr="00B946CA">
        <w:rPr>
          <w:sz w:val="22"/>
          <w:szCs w:val="22"/>
        </w:rPr>
        <w:t>approach adopted by the projectw</w:t>
      </w:r>
      <w:r>
        <w:rPr>
          <w:sz w:val="22"/>
          <w:szCs w:val="22"/>
        </w:rPr>
        <w:t xml:space="preserve">as the development of a network </w:t>
      </w:r>
      <w:r w:rsidRPr="00B946CA">
        <w:rPr>
          <w:sz w:val="22"/>
          <w:szCs w:val="22"/>
        </w:rPr>
        <w:t>of local government officials and opera</w:t>
      </w:r>
      <w:r>
        <w:rPr>
          <w:sz w:val="22"/>
          <w:szCs w:val="22"/>
        </w:rPr>
        <w:t xml:space="preserve">tional level project staff that </w:t>
      </w:r>
      <w:r w:rsidRPr="00B946CA">
        <w:rPr>
          <w:sz w:val="22"/>
          <w:szCs w:val="22"/>
        </w:rPr>
        <w:t>met annually in four MRT meeti</w:t>
      </w:r>
      <w:r>
        <w:rPr>
          <w:sz w:val="22"/>
          <w:szCs w:val="22"/>
        </w:rPr>
        <w:t xml:space="preserve">ngs convened from 2005 to 2008. </w:t>
      </w:r>
      <w:r w:rsidRPr="00B946CA">
        <w:rPr>
          <w:sz w:val="22"/>
          <w:szCs w:val="22"/>
        </w:rPr>
        <w:t>These events provided an opportunity for mayors, local gove</w:t>
      </w:r>
      <w:r>
        <w:rPr>
          <w:sz w:val="22"/>
          <w:szCs w:val="22"/>
        </w:rPr>
        <w:t xml:space="preserve">rnment </w:t>
      </w:r>
      <w:r w:rsidRPr="00B946CA">
        <w:rPr>
          <w:sz w:val="22"/>
          <w:szCs w:val="22"/>
        </w:rPr>
        <w:t>officials and habitat demon</w:t>
      </w:r>
      <w:r>
        <w:rPr>
          <w:sz w:val="22"/>
          <w:szCs w:val="22"/>
        </w:rPr>
        <w:t xml:space="preserve">stration site managers to share </w:t>
      </w:r>
      <w:r w:rsidRPr="00B946CA">
        <w:rPr>
          <w:sz w:val="22"/>
          <w:szCs w:val="22"/>
        </w:rPr>
        <w:t>experiences and examples of good</w:t>
      </w:r>
      <w:r>
        <w:rPr>
          <w:sz w:val="22"/>
          <w:szCs w:val="22"/>
        </w:rPr>
        <w:t xml:space="preserve"> practice in the implementation </w:t>
      </w:r>
      <w:r w:rsidRPr="00B946CA">
        <w:rPr>
          <w:sz w:val="22"/>
          <w:szCs w:val="22"/>
        </w:rPr>
        <w:t>of demonstration site activities a</w:t>
      </w:r>
      <w:r>
        <w:rPr>
          <w:sz w:val="22"/>
          <w:szCs w:val="22"/>
        </w:rPr>
        <w:t xml:space="preserve">nd to learn from the scientific </w:t>
      </w:r>
      <w:r w:rsidRPr="00B946CA">
        <w:rPr>
          <w:sz w:val="22"/>
          <w:szCs w:val="22"/>
        </w:rPr>
        <w:t>community at the regional l</w:t>
      </w:r>
      <w:r>
        <w:rPr>
          <w:sz w:val="22"/>
          <w:szCs w:val="22"/>
        </w:rPr>
        <w:t xml:space="preserve">evel for improved environmental </w:t>
      </w:r>
      <w:r w:rsidRPr="00B946CA">
        <w:rPr>
          <w:sz w:val="22"/>
          <w:szCs w:val="22"/>
        </w:rPr>
        <w:t>management at the site l</w:t>
      </w:r>
      <w:r>
        <w:rPr>
          <w:sz w:val="22"/>
          <w:szCs w:val="22"/>
        </w:rPr>
        <w:t xml:space="preserve">evel. These events also enabled members </w:t>
      </w:r>
      <w:r w:rsidRPr="00B946CA">
        <w:rPr>
          <w:sz w:val="22"/>
          <w:szCs w:val="22"/>
        </w:rPr>
        <w:t>of the project network to collegial</w:t>
      </w:r>
      <w:r>
        <w:rPr>
          <w:sz w:val="22"/>
          <w:szCs w:val="22"/>
        </w:rPr>
        <w:t xml:space="preserve">ly review the project’s overall </w:t>
      </w:r>
      <w:r w:rsidRPr="00B946CA">
        <w:rPr>
          <w:sz w:val="22"/>
          <w:szCs w:val="22"/>
        </w:rPr>
        <w:t>progress, accomplishments and outputs</w:t>
      </w:r>
      <w:r>
        <w:rPr>
          <w:rStyle w:val="FootnoteReference"/>
          <w:sz w:val="22"/>
          <w:szCs w:val="22"/>
        </w:rPr>
        <w:footnoteReference w:id="36"/>
      </w:r>
      <w:r w:rsidRPr="00B946CA">
        <w:rPr>
          <w:sz w:val="22"/>
          <w:szCs w:val="22"/>
        </w:rPr>
        <w:t>.</w:t>
      </w:r>
    </w:p>
    <w:p w14:paraId="49ED2CE2" w14:textId="77777777" w:rsidR="006326A5" w:rsidRPr="006326A5" w:rsidRDefault="006326A5" w:rsidP="006326A5">
      <w:pPr>
        <w:numPr>
          <w:ilvl w:val="3"/>
          <w:numId w:val="2"/>
        </w:numPr>
        <w:spacing w:after="120"/>
        <w:outlineLvl w:val="1"/>
        <w:rPr>
          <w:b/>
          <w:sz w:val="22"/>
          <w:szCs w:val="22"/>
          <w:lang w:val="en-GB"/>
        </w:rPr>
      </w:pPr>
      <w:r>
        <w:rPr>
          <w:b/>
          <w:sz w:val="22"/>
          <w:szCs w:val="22"/>
          <w:lang w:val="en-GB"/>
        </w:rPr>
        <w:t>Achievements and examples of best practice</w:t>
      </w:r>
    </w:p>
    <w:p w14:paraId="2ADFBEE2" w14:textId="77777777" w:rsidR="00F02E5B" w:rsidRDefault="006326A5" w:rsidP="006326A5">
      <w:pPr>
        <w:numPr>
          <w:ilvl w:val="0"/>
          <w:numId w:val="3"/>
        </w:numPr>
        <w:spacing w:after="120"/>
        <w:ind w:left="0" w:firstLine="0"/>
        <w:jc w:val="both"/>
        <w:rPr>
          <w:sz w:val="22"/>
          <w:szCs w:val="22"/>
          <w:lang w:val="en-GB"/>
        </w:rPr>
      </w:pPr>
      <w:r w:rsidRPr="006326A5">
        <w:rPr>
          <w:sz w:val="22"/>
          <w:szCs w:val="22"/>
          <w:lang w:val="en-GB"/>
        </w:rPr>
        <w:t>Four technical publications reviewing the status and achievements of the SCS project’s suite of habitat demonstration sites and pollution pilot activities were published during the final quarter of 2007 (see UNEP, 2007</w:t>
      </w:r>
      <w:r w:rsidR="00125099">
        <w:rPr>
          <w:sz w:val="22"/>
          <w:szCs w:val="22"/>
          <w:lang w:val="en-GB"/>
        </w:rPr>
        <w:t>c-g</w:t>
      </w:r>
      <w:r w:rsidRPr="006326A5">
        <w:rPr>
          <w:sz w:val="22"/>
          <w:szCs w:val="22"/>
          <w:lang w:val="en-GB"/>
        </w:rPr>
        <w:t>). These publications were based on the outcomes of the mid-term evaluations of the projects and were used as supporting documents in presentations on the achievements and best practices at the demonstration sites delivered during the Third MRT and RSC in November 2007. The subsequent RSTC and PSC meetings in December 2007 discussed possible mechanisms for disseminating information regarding successful experience and good practice generated at the demonstration sites. The PCU was instructed to guide demonstration and pilot activity managers through the identification and documentation of best practices a</w:t>
      </w:r>
      <w:r w:rsidR="004D18BE">
        <w:rPr>
          <w:sz w:val="22"/>
          <w:szCs w:val="22"/>
          <w:lang w:val="en-GB"/>
        </w:rPr>
        <w:t>nd</w:t>
      </w:r>
      <w:r w:rsidRPr="006326A5">
        <w:rPr>
          <w:sz w:val="22"/>
          <w:szCs w:val="22"/>
          <w:lang w:val="en-GB"/>
        </w:rPr>
        <w:t xml:space="preserve"> lessons learned. Nine notes were prepared during the first half of 2008, discussed by the subsequent meetings of the RWGs, endorsed by the ninth meeting of the RSTC, and published for dissemination during the tenth meeting of the Conference of the Contracting Parties to the Ramsar Convention o</w:t>
      </w:r>
      <w:r>
        <w:rPr>
          <w:sz w:val="22"/>
          <w:szCs w:val="22"/>
          <w:lang w:val="en-GB"/>
        </w:rPr>
        <w:t>n Wetlands in October that year</w:t>
      </w:r>
      <w:r>
        <w:rPr>
          <w:rStyle w:val="FootnoteReference"/>
          <w:sz w:val="22"/>
          <w:szCs w:val="22"/>
          <w:lang w:val="en-GB"/>
        </w:rPr>
        <w:footnoteReference w:id="37"/>
      </w:r>
      <w:r w:rsidRPr="006326A5">
        <w:rPr>
          <w:sz w:val="22"/>
          <w:szCs w:val="22"/>
          <w:lang w:val="en-GB"/>
        </w:rPr>
        <w:t>.</w:t>
      </w:r>
      <w:r>
        <w:rPr>
          <w:sz w:val="22"/>
          <w:szCs w:val="22"/>
          <w:lang w:val="en-GB"/>
        </w:rPr>
        <w:t xml:space="preserve"> </w:t>
      </w:r>
      <w:r w:rsidR="004D18BE">
        <w:rPr>
          <w:sz w:val="22"/>
          <w:szCs w:val="22"/>
          <w:lang w:val="en-GB"/>
        </w:rPr>
        <w:t xml:space="preserve">Several examples of innovation from China’s suite of demonstration projects were also published as internationally; peer-reviewed academic journal articles (see Fan </w:t>
      </w:r>
      <w:r w:rsidR="004D18BE" w:rsidRPr="0071562F">
        <w:rPr>
          <w:i/>
          <w:sz w:val="22"/>
          <w:szCs w:val="22"/>
          <w:lang w:val="en-GB"/>
        </w:rPr>
        <w:t>et al</w:t>
      </w:r>
      <w:r w:rsidR="004D18BE">
        <w:rPr>
          <w:sz w:val="22"/>
          <w:szCs w:val="22"/>
          <w:lang w:val="en-GB"/>
        </w:rPr>
        <w:t xml:space="preserve">., 2013 and Peng </w:t>
      </w:r>
      <w:r w:rsidR="004D18BE" w:rsidRPr="0071562F">
        <w:rPr>
          <w:i/>
          <w:sz w:val="22"/>
          <w:szCs w:val="22"/>
          <w:lang w:val="en-GB"/>
        </w:rPr>
        <w:t>et al</w:t>
      </w:r>
      <w:r w:rsidR="004D18BE">
        <w:rPr>
          <w:sz w:val="22"/>
          <w:szCs w:val="22"/>
          <w:lang w:val="en-GB"/>
        </w:rPr>
        <w:t xml:space="preserve">., 2013). </w:t>
      </w:r>
      <w:r>
        <w:rPr>
          <w:sz w:val="22"/>
          <w:szCs w:val="22"/>
          <w:lang w:val="en-GB"/>
        </w:rPr>
        <w:t>Examples of best practice are summarised as follows:</w:t>
      </w:r>
    </w:p>
    <w:p w14:paraId="64AAA357" w14:textId="77777777" w:rsidR="006326A5" w:rsidRPr="006326A5" w:rsidRDefault="006326A5" w:rsidP="006326A5">
      <w:pPr>
        <w:spacing w:after="120"/>
        <w:jc w:val="both"/>
        <w:rPr>
          <w:b/>
          <w:i/>
          <w:sz w:val="22"/>
          <w:szCs w:val="22"/>
          <w:lang w:val="en-GB"/>
        </w:rPr>
      </w:pPr>
      <w:r w:rsidRPr="006326A5">
        <w:rPr>
          <w:b/>
          <w:i/>
          <w:sz w:val="22"/>
          <w:szCs w:val="22"/>
          <w:lang w:val="en-GB"/>
        </w:rPr>
        <w:t>Strengthened cross-sectoral coordination and management</w:t>
      </w:r>
    </w:p>
    <w:p w14:paraId="01492623" w14:textId="77777777" w:rsidR="006326A5" w:rsidRPr="00B946CA" w:rsidRDefault="006326A5" w:rsidP="006326A5">
      <w:pPr>
        <w:numPr>
          <w:ilvl w:val="0"/>
          <w:numId w:val="3"/>
        </w:numPr>
        <w:spacing w:after="120"/>
        <w:ind w:left="0" w:firstLine="0"/>
        <w:jc w:val="both"/>
        <w:rPr>
          <w:sz w:val="22"/>
          <w:szCs w:val="22"/>
        </w:rPr>
      </w:pPr>
      <w:r w:rsidRPr="00B946CA">
        <w:rPr>
          <w:sz w:val="22"/>
          <w:szCs w:val="22"/>
        </w:rPr>
        <w:t>Initially, there was concern</w:t>
      </w:r>
      <w:r>
        <w:rPr>
          <w:sz w:val="22"/>
          <w:szCs w:val="22"/>
        </w:rPr>
        <w:t xml:space="preserve"> regarding the preponderance of </w:t>
      </w:r>
      <w:r w:rsidRPr="00B946CA">
        <w:rPr>
          <w:sz w:val="22"/>
          <w:szCs w:val="22"/>
        </w:rPr>
        <w:t>sectoral</w:t>
      </w:r>
      <w:r>
        <w:rPr>
          <w:sz w:val="22"/>
          <w:szCs w:val="22"/>
        </w:rPr>
        <w:t xml:space="preserve"> management in the region. This had created conflicts </w:t>
      </w:r>
      <w:r w:rsidRPr="00B946CA">
        <w:rPr>
          <w:sz w:val="22"/>
          <w:szCs w:val="22"/>
        </w:rPr>
        <w:t>among sectors with each sector seek</w:t>
      </w:r>
      <w:r>
        <w:rPr>
          <w:sz w:val="22"/>
          <w:szCs w:val="22"/>
        </w:rPr>
        <w:t xml:space="preserve">ing to achieve maximum benefits </w:t>
      </w:r>
      <w:r w:rsidRPr="00B946CA">
        <w:rPr>
          <w:sz w:val="22"/>
          <w:szCs w:val="22"/>
        </w:rPr>
        <w:t>for itself and not focussin</w:t>
      </w:r>
      <w:r>
        <w:rPr>
          <w:sz w:val="22"/>
          <w:szCs w:val="22"/>
        </w:rPr>
        <w:t xml:space="preserve">g on the achievement of overall </w:t>
      </w:r>
      <w:r w:rsidRPr="00B946CA">
        <w:rPr>
          <w:sz w:val="22"/>
          <w:szCs w:val="22"/>
        </w:rPr>
        <w:t xml:space="preserve">benefits to society in the exploitation of </w:t>
      </w:r>
      <w:r>
        <w:rPr>
          <w:sz w:val="22"/>
          <w:szCs w:val="22"/>
        </w:rPr>
        <w:t xml:space="preserve">habitat resources. Uncontrolled </w:t>
      </w:r>
      <w:r w:rsidRPr="00B946CA">
        <w:rPr>
          <w:sz w:val="22"/>
          <w:szCs w:val="22"/>
        </w:rPr>
        <w:t>and competitive exploitation by</w:t>
      </w:r>
      <w:r>
        <w:rPr>
          <w:sz w:val="22"/>
          <w:szCs w:val="22"/>
        </w:rPr>
        <w:t xml:space="preserve"> different sectors had resulted in habitat </w:t>
      </w:r>
      <w:r w:rsidRPr="00B946CA">
        <w:rPr>
          <w:sz w:val="22"/>
          <w:szCs w:val="22"/>
        </w:rPr>
        <w:t>degradation in many c</w:t>
      </w:r>
      <w:r>
        <w:rPr>
          <w:sz w:val="22"/>
          <w:szCs w:val="22"/>
        </w:rPr>
        <w:t xml:space="preserve">oastalwater areas bordering the </w:t>
      </w:r>
      <w:r w:rsidRPr="00B946CA">
        <w:rPr>
          <w:sz w:val="22"/>
          <w:szCs w:val="22"/>
        </w:rPr>
        <w:t>South China Sea. In order to im</w:t>
      </w:r>
      <w:r>
        <w:rPr>
          <w:sz w:val="22"/>
          <w:szCs w:val="22"/>
        </w:rPr>
        <w:t xml:space="preserve">prove management effectiveness, </w:t>
      </w:r>
      <w:r w:rsidRPr="00B946CA">
        <w:rPr>
          <w:sz w:val="22"/>
          <w:szCs w:val="22"/>
        </w:rPr>
        <w:t>most demonstration sites of the SCS projec</w:t>
      </w:r>
      <w:r>
        <w:rPr>
          <w:sz w:val="22"/>
          <w:szCs w:val="22"/>
        </w:rPr>
        <w:t xml:space="preserve">t considered how to coordinate, </w:t>
      </w:r>
      <w:r w:rsidRPr="00B946CA">
        <w:rPr>
          <w:sz w:val="22"/>
          <w:szCs w:val="22"/>
        </w:rPr>
        <w:t>integrate and maintain ac</w:t>
      </w:r>
      <w:r>
        <w:rPr>
          <w:sz w:val="22"/>
          <w:szCs w:val="22"/>
        </w:rPr>
        <w:t xml:space="preserve">tivities at the site level with </w:t>
      </w:r>
      <w:r w:rsidRPr="00B946CA">
        <w:rPr>
          <w:sz w:val="22"/>
          <w:szCs w:val="22"/>
        </w:rPr>
        <w:t>participation of all relevant stakeholders in a single framework.</w:t>
      </w:r>
    </w:p>
    <w:p w14:paraId="6E48C4E9" w14:textId="77777777" w:rsidR="006326A5" w:rsidRPr="00B946CA" w:rsidRDefault="006326A5" w:rsidP="006326A5">
      <w:pPr>
        <w:numPr>
          <w:ilvl w:val="0"/>
          <w:numId w:val="3"/>
        </w:numPr>
        <w:spacing w:after="120"/>
        <w:ind w:left="0" w:firstLine="0"/>
        <w:jc w:val="both"/>
        <w:rPr>
          <w:sz w:val="22"/>
          <w:szCs w:val="22"/>
        </w:rPr>
      </w:pPr>
      <w:r w:rsidRPr="00B946CA">
        <w:rPr>
          <w:sz w:val="22"/>
          <w:szCs w:val="22"/>
        </w:rPr>
        <w:t>A number of good practices in cross-sectoral management wer</w:t>
      </w:r>
      <w:r>
        <w:rPr>
          <w:sz w:val="22"/>
          <w:szCs w:val="22"/>
        </w:rPr>
        <w:t xml:space="preserve">e </w:t>
      </w:r>
      <w:r w:rsidRPr="00B946CA">
        <w:rPr>
          <w:sz w:val="22"/>
          <w:szCs w:val="22"/>
        </w:rPr>
        <w:t>recorded in many of the demonst</w:t>
      </w:r>
      <w:r>
        <w:rPr>
          <w:sz w:val="22"/>
          <w:szCs w:val="22"/>
        </w:rPr>
        <w:t xml:space="preserve">ration sites. For instance, the </w:t>
      </w:r>
      <w:r w:rsidRPr="00B946CA">
        <w:rPr>
          <w:sz w:val="22"/>
          <w:szCs w:val="22"/>
        </w:rPr>
        <w:t>management board for the Hepu</w:t>
      </w:r>
      <w:r>
        <w:rPr>
          <w:sz w:val="22"/>
          <w:szCs w:val="22"/>
        </w:rPr>
        <w:t xml:space="preserve"> seagrass demonstration site in </w:t>
      </w:r>
      <w:r w:rsidRPr="00B946CA">
        <w:rPr>
          <w:sz w:val="22"/>
          <w:szCs w:val="22"/>
        </w:rPr>
        <w:t>China, comprising twelve persons f</w:t>
      </w:r>
      <w:r>
        <w:rPr>
          <w:sz w:val="22"/>
          <w:szCs w:val="22"/>
        </w:rPr>
        <w:t xml:space="preserve">rom various government sectors, </w:t>
      </w:r>
      <w:r w:rsidRPr="00B946CA">
        <w:rPr>
          <w:sz w:val="22"/>
          <w:szCs w:val="22"/>
        </w:rPr>
        <w:t>was established in 2004 and has operated smoothly. The managemen</w:t>
      </w:r>
      <w:r>
        <w:rPr>
          <w:sz w:val="22"/>
          <w:szCs w:val="22"/>
        </w:rPr>
        <w:t xml:space="preserve">t </w:t>
      </w:r>
      <w:r w:rsidRPr="00B946CA">
        <w:rPr>
          <w:sz w:val="22"/>
          <w:szCs w:val="22"/>
        </w:rPr>
        <w:t>board was responsible for ove</w:t>
      </w:r>
      <w:r>
        <w:rPr>
          <w:sz w:val="22"/>
          <w:szCs w:val="22"/>
        </w:rPr>
        <w:t xml:space="preserve">rsight of the implementation of </w:t>
      </w:r>
      <w:r w:rsidRPr="00B946CA">
        <w:rPr>
          <w:sz w:val="22"/>
          <w:szCs w:val="22"/>
        </w:rPr>
        <w:t xml:space="preserve">the demonstration site activities </w:t>
      </w:r>
      <w:r>
        <w:rPr>
          <w:sz w:val="22"/>
          <w:szCs w:val="22"/>
        </w:rPr>
        <w:t xml:space="preserve">and the development of policies </w:t>
      </w:r>
      <w:r w:rsidRPr="00B946CA">
        <w:rPr>
          <w:sz w:val="22"/>
          <w:szCs w:val="22"/>
        </w:rPr>
        <w:t xml:space="preserve">and an overarching management </w:t>
      </w:r>
      <w:r>
        <w:rPr>
          <w:sz w:val="22"/>
          <w:szCs w:val="22"/>
        </w:rPr>
        <w:t xml:space="preserve">plan. The board was shown to be </w:t>
      </w:r>
      <w:r w:rsidRPr="00B946CA">
        <w:rPr>
          <w:sz w:val="22"/>
          <w:szCs w:val="22"/>
        </w:rPr>
        <w:t>an effective mechanism for ensuring cross-sectoral co-ordination.</w:t>
      </w:r>
      <w:r>
        <w:rPr>
          <w:sz w:val="22"/>
          <w:szCs w:val="22"/>
        </w:rPr>
        <w:t xml:space="preserve"> It </w:t>
      </w:r>
      <w:r w:rsidRPr="00B946CA">
        <w:rPr>
          <w:sz w:val="22"/>
          <w:szCs w:val="22"/>
        </w:rPr>
        <w:t>resulted in a multi-agency task fo</w:t>
      </w:r>
      <w:r>
        <w:rPr>
          <w:sz w:val="22"/>
          <w:szCs w:val="22"/>
        </w:rPr>
        <w:t xml:space="preserve">rce of local government bodies, </w:t>
      </w:r>
      <w:r w:rsidRPr="00B946CA">
        <w:rPr>
          <w:sz w:val="22"/>
          <w:szCs w:val="22"/>
        </w:rPr>
        <w:t>fishermen, residents and stud</w:t>
      </w:r>
      <w:r>
        <w:rPr>
          <w:sz w:val="22"/>
          <w:szCs w:val="22"/>
        </w:rPr>
        <w:t xml:space="preserve">ents being formed to physically </w:t>
      </w:r>
      <w:r w:rsidRPr="00B946CA">
        <w:rPr>
          <w:sz w:val="22"/>
          <w:szCs w:val="22"/>
        </w:rPr>
        <w:t>remove the posts and structures supp</w:t>
      </w:r>
      <w:r>
        <w:rPr>
          <w:sz w:val="22"/>
          <w:szCs w:val="22"/>
        </w:rPr>
        <w:t xml:space="preserve">orting illegal mariculture pens </w:t>
      </w:r>
      <w:r w:rsidRPr="00B946CA">
        <w:rPr>
          <w:sz w:val="22"/>
          <w:szCs w:val="22"/>
        </w:rPr>
        <w:t>and fences in the seagrass areas of the site. The first e</w:t>
      </w:r>
      <w:r>
        <w:rPr>
          <w:sz w:val="22"/>
          <w:szCs w:val="22"/>
        </w:rPr>
        <w:t xml:space="preserve">nforcement </w:t>
      </w:r>
      <w:r w:rsidRPr="00B946CA">
        <w:rPr>
          <w:sz w:val="22"/>
          <w:szCs w:val="22"/>
        </w:rPr>
        <w:t>action</w:t>
      </w:r>
      <w:r>
        <w:rPr>
          <w:sz w:val="22"/>
          <w:szCs w:val="22"/>
        </w:rPr>
        <w:t xml:space="preserve"> covered an area of 1100 ha and involved the mobilisation of </w:t>
      </w:r>
      <w:r w:rsidRPr="00B946CA">
        <w:rPr>
          <w:sz w:val="22"/>
          <w:szCs w:val="22"/>
        </w:rPr>
        <w:t xml:space="preserve">more than 300 people and 12 vessels. </w:t>
      </w:r>
      <w:r>
        <w:rPr>
          <w:sz w:val="22"/>
          <w:szCs w:val="22"/>
        </w:rPr>
        <w:t xml:space="preserve">This resulted in the removal of </w:t>
      </w:r>
      <w:r w:rsidRPr="00B946CA">
        <w:rPr>
          <w:sz w:val="22"/>
          <w:szCs w:val="22"/>
        </w:rPr>
        <w:t>more than 50,000 illegal woo</w:t>
      </w:r>
      <w:r>
        <w:rPr>
          <w:sz w:val="22"/>
          <w:szCs w:val="22"/>
        </w:rPr>
        <w:t xml:space="preserve">den posts and the </w:t>
      </w:r>
      <w:r w:rsidRPr="00B946CA">
        <w:rPr>
          <w:sz w:val="22"/>
          <w:szCs w:val="22"/>
        </w:rPr>
        <w:t>clearanc</w:t>
      </w:r>
      <w:r>
        <w:rPr>
          <w:sz w:val="22"/>
          <w:szCs w:val="22"/>
        </w:rPr>
        <w:t xml:space="preserve">e of 13 illegal mollusc culture </w:t>
      </w:r>
      <w:r w:rsidRPr="00B946CA">
        <w:rPr>
          <w:sz w:val="22"/>
          <w:szCs w:val="22"/>
        </w:rPr>
        <w:t>areas.</w:t>
      </w:r>
    </w:p>
    <w:p w14:paraId="78B70153" w14:textId="77777777" w:rsidR="006326A5" w:rsidRDefault="006326A5" w:rsidP="006326A5">
      <w:pPr>
        <w:numPr>
          <w:ilvl w:val="0"/>
          <w:numId w:val="3"/>
        </w:numPr>
        <w:spacing w:after="120"/>
        <w:ind w:left="0" w:firstLine="0"/>
        <w:jc w:val="both"/>
        <w:rPr>
          <w:sz w:val="22"/>
          <w:szCs w:val="22"/>
        </w:rPr>
      </w:pPr>
      <w:r w:rsidRPr="00B946CA">
        <w:rPr>
          <w:sz w:val="22"/>
          <w:szCs w:val="22"/>
        </w:rPr>
        <w:t>In the case of the Kampot</w:t>
      </w:r>
      <w:r>
        <w:rPr>
          <w:sz w:val="22"/>
          <w:szCs w:val="22"/>
        </w:rPr>
        <w:t xml:space="preserve"> seagrass demonstration site in </w:t>
      </w:r>
      <w:r w:rsidRPr="00B946CA">
        <w:rPr>
          <w:sz w:val="22"/>
          <w:szCs w:val="22"/>
        </w:rPr>
        <w:t>Cambodia, the first and mos</w:t>
      </w:r>
      <w:r>
        <w:rPr>
          <w:sz w:val="22"/>
          <w:szCs w:val="22"/>
        </w:rPr>
        <w:t xml:space="preserve">t important achievement was the </w:t>
      </w:r>
      <w:r w:rsidRPr="00B946CA">
        <w:rPr>
          <w:sz w:val="22"/>
          <w:szCs w:val="22"/>
        </w:rPr>
        <w:t>establishment of two multi-sect</w:t>
      </w:r>
      <w:r>
        <w:rPr>
          <w:sz w:val="22"/>
          <w:szCs w:val="22"/>
        </w:rPr>
        <w:t xml:space="preserve">oral and multi-level management </w:t>
      </w:r>
      <w:r w:rsidRPr="00B946CA">
        <w:rPr>
          <w:sz w:val="22"/>
          <w:szCs w:val="22"/>
        </w:rPr>
        <w:t>bodies for supervising an</w:t>
      </w:r>
      <w:r>
        <w:rPr>
          <w:sz w:val="22"/>
          <w:szCs w:val="22"/>
        </w:rPr>
        <w:t xml:space="preserve">d guiding the implementation of </w:t>
      </w:r>
      <w:r w:rsidRPr="00B946CA">
        <w:rPr>
          <w:sz w:val="22"/>
          <w:szCs w:val="22"/>
        </w:rPr>
        <w:t xml:space="preserve">demonstration site activities. A </w:t>
      </w:r>
      <w:r>
        <w:rPr>
          <w:sz w:val="22"/>
          <w:szCs w:val="22"/>
        </w:rPr>
        <w:t xml:space="preserve">management board and management </w:t>
      </w:r>
      <w:r w:rsidRPr="00B946CA">
        <w:rPr>
          <w:sz w:val="22"/>
          <w:szCs w:val="22"/>
        </w:rPr>
        <w:t>advisory group, compri</w:t>
      </w:r>
      <w:r>
        <w:rPr>
          <w:sz w:val="22"/>
          <w:szCs w:val="22"/>
        </w:rPr>
        <w:t xml:space="preserve">sing members of relevant public </w:t>
      </w:r>
      <w:r w:rsidRPr="00B946CA">
        <w:rPr>
          <w:sz w:val="22"/>
          <w:szCs w:val="22"/>
        </w:rPr>
        <w:t>s</w:t>
      </w:r>
      <w:r>
        <w:rPr>
          <w:sz w:val="22"/>
          <w:szCs w:val="22"/>
        </w:rPr>
        <w:t xml:space="preserve">ector organisations at national </w:t>
      </w:r>
      <w:r w:rsidRPr="00B946CA">
        <w:rPr>
          <w:sz w:val="22"/>
          <w:szCs w:val="22"/>
        </w:rPr>
        <w:t>and prov</w:t>
      </w:r>
      <w:r>
        <w:rPr>
          <w:sz w:val="22"/>
          <w:szCs w:val="22"/>
        </w:rPr>
        <w:t xml:space="preserve">incial levels, were established </w:t>
      </w:r>
      <w:r w:rsidRPr="00B946CA">
        <w:rPr>
          <w:sz w:val="22"/>
          <w:szCs w:val="22"/>
        </w:rPr>
        <w:t xml:space="preserve">by provincial declaration in </w:t>
      </w:r>
      <w:r>
        <w:rPr>
          <w:sz w:val="22"/>
          <w:szCs w:val="22"/>
        </w:rPr>
        <w:t xml:space="preserve">October 2006. These bodies were </w:t>
      </w:r>
      <w:r w:rsidRPr="00B946CA">
        <w:rPr>
          <w:sz w:val="22"/>
          <w:szCs w:val="22"/>
        </w:rPr>
        <w:t>responsible for dealing with p</w:t>
      </w:r>
      <w:r>
        <w:rPr>
          <w:sz w:val="22"/>
          <w:szCs w:val="22"/>
        </w:rPr>
        <w:t xml:space="preserve">olitical and scientific matters </w:t>
      </w:r>
      <w:r w:rsidRPr="00B946CA">
        <w:rPr>
          <w:sz w:val="22"/>
          <w:szCs w:val="22"/>
        </w:rPr>
        <w:t>re</w:t>
      </w:r>
      <w:r>
        <w:rPr>
          <w:sz w:val="22"/>
          <w:szCs w:val="22"/>
        </w:rPr>
        <w:t xml:space="preserve">spectively and convened regular meetings, both separately and </w:t>
      </w:r>
      <w:r w:rsidRPr="00B946CA">
        <w:rPr>
          <w:sz w:val="22"/>
          <w:szCs w:val="22"/>
        </w:rPr>
        <w:t>jointly, to track progress and guide th</w:t>
      </w:r>
      <w:r>
        <w:rPr>
          <w:sz w:val="22"/>
          <w:szCs w:val="22"/>
        </w:rPr>
        <w:t xml:space="preserve">e implementation of activities. </w:t>
      </w:r>
      <w:r w:rsidRPr="00B946CA">
        <w:rPr>
          <w:sz w:val="22"/>
          <w:szCs w:val="22"/>
        </w:rPr>
        <w:t>They also jointly led the development of a long-term manage</w:t>
      </w:r>
      <w:r>
        <w:rPr>
          <w:sz w:val="22"/>
          <w:szCs w:val="22"/>
        </w:rPr>
        <w:t xml:space="preserve">ment </w:t>
      </w:r>
      <w:r w:rsidRPr="00B946CA">
        <w:rPr>
          <w:sz w:val="22"/>
          <w:szCs w:val="22"/>
        </w:rPr>
        <w:t>plan based on sound scientific data and information.</w:t>
      </w:r>
    </w:p>
    <w:p w14:paraId="1FBABB13" w14:textId="77777777" w:rsidR="006326A5" w:rsidRDefault="006326A5" w:rsidP="006326A5">
      <w:pPr>
        <w:numPr>
          <w:ilvl w:val="0"/>
          <w:numId w:val="3"/>
        </w:numPr>
        <w:spacing w:after="120"/>
        <w:ind w:left="0" w:firstLine="0"/>
        <w:jc w:val="both"/>
        <w:rPr>
          <w:sz w:val="22"/>
          <w:szCs w:val="22"/>
        </w:rPr>
      </w:pPr>
      <w:r w:rsidRPr="00B946CA">
        <w:rPr>
          <w:sz w:val="22"/>
          <w:szCs w:val="22"/>
        </w:rPr>
        <w:t>For the Bolinao seagrass demonst</w:t>
      </w:r>
      <w:r>
        <w:rPr>
          <w:sz w:val="22"/>
          <w:szCs w:val="22"/>
        </w:rPr>
        <w:t xml:space="preserve">ration site in the Philippines, </w:t>
      </w:r>
      <w:r w:rsidRPr="00B946CA">
        <w:rPr>
          <w:sz w:val="22"/>
          <w:szCs w:val="22"/>
        </w:rPr>
        <w:t xml:space="preserve">the establishment and operation </w:t>
      </w:r>
      <w:r>
        <w:rPr>
          <w:sz w:val="22"/>
          <w:szCs w:val="22"/>
        </w:rPr>
        <w:t xml:space="preserve">of the Management Board created </w:t>
      </w:r>
      <w:r w:rsidRPr="00B946CA">
        <w:rPr>
          <w:sz w:val="22"/>
          <w:szCs w:val="22"/>
        </w:rPr>
        <w:t>a functional linkage among stake</w:t>
      </w:r>
      <w:r>
        <w:rPr>
          <w:sz w:val="22"/>
          <w:szCs w:val="22"/>
        </w:rPr>
        <w:t xml:space="preserve">holders and ensured that policy </w:t>
      </w:r>
      <w:r w:rsidRPr="00B946CA">
        <w:rPr>
          <w:sz w:val="22"/>
          <w:szCs w:val="22"/>
        </w:rPr>
        <w:t>was formulated in the context of</w:t>
      </w:r>
      <w:r>
        <w:rPr>
          <w:sz w:val="22"/>
          <w:szCs w:val="22"/>
        </w:rPr>
        <w:t xml:space="preserve"> a multi-sectoral approach. The </w:t>
      </w:r>
      <w:r w:rsidRPr="00B946CA">
        <w:rPr>
          <w:sz w:val="22"/>
          <w:szCs w:val="22"/>
        </w:rPr>
        <w:t>board conducted regular meetings t</w:t>
      </w:r>
      <w:r>
        <w:rPr>
          <w:sz w:val="22"/>
          <w:szCs w:val="22"/>
        </w:rPr>
        <w:t xml:space="preserve">o prepare and consider elements </w:t>
      </w:r>
      <w:r w:rsidRPr="00B946CA">
        <w:rPr>
          <w:sz w:val="22"/>
          <w:szCs w:val="22"/>
        </w:rPr>
        <w:t>of a Bolinao Seagrass</w:t>
      </w:r>
      <w:r>
        <w:rPr>
          <w:sz w:val="22"/>
          <w:szCs w:val="22"/>
        </w:rPr>
        <w:t xml:space="preserve"> Reserve Management Plan and to </w:t>
      </w:r>
      <w:r w:rsidRPr="00B946CA">
        <w:rPr>
          <w:sz w:val="22"/>
          <w:szCs w:val="22"/>
        </w:rPr>
        <w:t>prepare an ordinance for the establ</w:t>
      </w:r>
      <w:r>
        <w:rPr>
          <w:sz w:val="22"/>
          <w:szCs w:val="22"/>
        </w:rPr>
        <w:t xml:space="preserve">ishment of the Bolinao Seagrass </w:t>
      </w:r>
      <w:r w:rsidRPr="00B946CA">
        <w:rPr>
          <w:sz w:val="22"/>
          <w:szCs w:val="22"/>
        </w:rPr>
        <w:t>Reserve. A memorandum of agree</w:t>
      </w:r>
      <w:r>
        <w:rPr>
          <w:sz w:val="22"/>
          <w:szCs w:val="22"/>
        </w:rPr>
        <w:t xml:space="preserve">ment, encompassing partnerships </w:t>
      </w:r>
      <w:r w:rsidRPr="00B946CA">
        <w:rPr>
          <w:sz w:val="22"/>
          <w:szCs w:val="22"/>
        </w:rPr>
        <w:t>among and between th</w:t>
      </w:r>
      <w:r>
        <w:rPr>
          <w:sz w:val="22"/>
          <w:szCs w:val="22"/>
        </w:rPr>
        <w:t xml:space="preserve">e Bolinao Local Government, the </w:t>
      </w:r>
      <w:r w:rsidRPr="00B946CA">
        <w:rPr>
          <w:sz w:val="22"/>
          <w:szCs w:val="22"/>
        </w:rPr>
        <w:t>Bolinao Marine Ecological Fund</w:t>
      </w:r>
      <w:r>
        <w:rPr>
          <w:sz w:val="22"/>
          <w:szCs w:val="22"/>
        </w:rPr>
        <w:t xml:space="preserve"> Foundation, the Marine Science </w:t>
      </w:r>
      <w:r w:rsidRPr="00B946CA">
        <w:rPr>
          <w:sz w:val="22"/>
          <w:szCs w:val="22"/>
        </w:rPr>
        <w:t>Institute and the</w:t>
      </w:r>
      <w:r>
        <w:rPr>
          <w:sz w:val="22"/>
          <w:szCs w:val="22"/>
        </w:rPr>
        <w:t xml:space="preserve"> Bolinao seagrass demonstration </w:t>
      </w:r>
      <w:r w:rsidRPr="00B946CA">
        <w:rPr>
          <w:sz w:val="22"/>
          <w:szCs w:val="22"/>
        </w:rPr>
        <w:t>site</w:t>
      </w:r>
      <w:r>
        <w:rPr>
          <w:sz w:val="22"/>
          <w:szCs w:val="22"/>
        </w:rPr>
        <w:t xml:space="preserve"> was signed to </w:t>
      </w:r>
      <w:r w:rsidRPr="00B946CA">
        <w:rPr>
          <w:sz w:val="22"/>
          <w:szCs w:val="22"/>
        </w:rPr>
        <w:t>enhance co-ordination in marine resource management.</w:t>
      </w:r>
    </w:p>
    <w:p w14:paraId="59A78D5C" w14:textId="77777777" w:rsidR="006326A5" w:rsidRPr="006326A5" w:rsidRDefault="006326A5" w:rsidP="006326A5">
      <w:pPr>
        <w:spacing w:after="120"/>
        <w:jc w:val="both"/>
        <w:rPr>
          <w:b/>
          <w:i/>
          <w:sz w:val="22"/>
          <w:szCs w:val="22"/>
        </w:rPr>
      </w:pPr>
      <w:r w:rsidRPr="006326A5">
        <w:rPr>
          <w:b/>
          <w:i/>
          <w:sz w:val="22"/>
          <w:szCs w:val="22"/>
        </w:rPr>
        <w:t>Involvement of stakeholders in development of fisheries refugia</w:t>
      </w:r>
    </w:p>
    <w:p w14:paraId="0BE6EAE0" w14:textId="77777777" w:rsidR="006326A5" w:rsidRPr="006326A5" w:rsidRDefault="006326A5" w:rsidP="006326A5">
      <w:pPr>
        <w:numPr>
          <w:ilvl w:val="0"/>
          <w:numId w:val="3"/>
        </w:numPr>
        <w:spacing w:after="120"/>
        <w:ind w:left="0" w:firstLine="0"/>
        <w:jc w:val="both"/>
        <w:rPr>
          <w:sz w:val="22"/>
          <w:szCs w:val="22"/>
          <w:lang w:val="en-GB"/>
        </w:rPr>
      </w:pPr>
      <w:r w:rsidRPr="00B946CA">
        <w:rPr>
          <w:sz w:val="22"/>
          <w:szCs w:val="22"/>
        </w:rPr>
        <w:t>Most proposals for the develo</w:t>
      </w:r>
      <w:r>
        <w:rPr>
          <w:sz w:val="22"/>
          <w:szCs w:val="22"/>
        </w:rPr>
        <w:t>pment of Marine Protected Areas (</w:t>
      </w:r>
      <w:r w:rsidRPr="00B946CA">
        <w:rPr>
          <w:sz w:val="22"/>
          <w:szCs w:val="22"/>
        </w:rPr>
        <w:t>MPAs) in Southeast Asia have not sufficien</w:t>
      </w:r>
      <w:r>
        <w:rPr>
          <w:sz w:val="22"/>
          <w:szCs w:val="22"/>
        </w:rPr>
        <w:t xml:space="preserve">tly considered the significance </w:t>
      </w:r>
      <w:r w:rsidRPr="00B946CA">
        <w:rPr>
          <w:sz w:val="22"/>
          <w:szCs w:val="22"/>
        </w:rPr>
        <w:t>of MPAs as refuges for critic</w:t>
      </w:r>
      <w:r>
        <w:rPr>
          <w:sz w:val="22"/>
          <w:szCs w:val="22"/>
        </w:rPr>
        <w:t xml:space="preserve">al stages of the life cycles of </w:t>
      </w:r>
      <w:r w:rsidRPr="00B946CA">
        <w:rPr>
          <w:sz w:val="22"/>
          <w:szCs w:val="22"/>
        </w:rPr>
        <w:t>fisheries species. In addition, the l</w:t>
      </w:r>
      <w:r>
        <w:rPr>
          <w:sz w:val="22"/>
          <w:szCs w:val="22"/>
        </w:rPr>
        <w:t xml:space="preserve">inkage between habitats and the </w:t>
      </w:r>
      <w:r w:rsidRPr="00B946CA">
        <w:rPr>
          <w:sz w:val="22"/>
          <w:szCs w:val="22"/>
        </w:rPr>
        <w:t>life cycles of associated species has be</w:t>
      </w:r>
      <w:r>
        <w:rPr>
          <w:sz w:val="22"/>
          <w:szCs w:val="22"/>
        </w:rPr>
        <w:t xml:space="preserve">en of little concern during the </w:t>
      </w:r>
      <w:r w:rsidRPr="00B946CA">
        <w:rPr>
          <w:sz w:val="22"/>
          <w:szCs w:val="22"/>
        </w:rPr>
        <w:t>development of the management pl</w:t>
      </w:r>
      <w:r>
        <w:rPr>
          <w:sz w:val="22"/>
          <w:szCs w:val="22"/>
        </w:rPr>
        <w:t xml:space="preserve">ans of operational MPAs. Zoning </w:t>
      </w:r>
      <w:r w:rsidRPr="00B946CA">
        <w:rPr>
          <w:sz w:val="22"/>
          <w:szCs w:val="22"/>
        </w:rPr>
        <w:t>plans have been based mainly on habi</w:t>
      </w:r>
      <w:r>
        <w:rPr>
          <w:sz w:val="22"/>
          <w:szCs w:val="22"/>
        </w:rPr>
        <w:t xml:space="preserve">tat distribution and structure, </w:t>
      </w:r>
      <w:r w:rsidRPr="00B946CA">
        <w:rPr>
          <w:sz w:val="22"/>
          <w:szCs w:val="22"/>
        </w:rPr>
        <w:t>species richness, endangered species,</w:t>
      </w:r>
      <w:r>
        <w:rPr>
          <w:sz w:val="22"/>
          <w:szCs w:val="22"/>
        </w:rPr>
        <w:t xml:space="preserve"> resource use and human impacts </w:t>
      </w:r>
      <w:r w:rsidRPr="00B946CA">
        <w:rPr>
          <w:sz w:val="22"/>
          <w:szCs w:val="22"/>
        </w:rPr>
        <w:t>on resources and the enviro</w:t>
      </w:r>
      <w:r>
        <w:rPr>
          <w:sz w:val="22"/>
          <w:szCs w:val="22"/>
        </w:rPr>
        <w:t xml:space="preserve">nment. Poor management practice </w:t>
      </w:r>
      <w:r w:rsidRPr="00B946CA">
        <w:rPr>
          <w:sz w:val="22"/>
          <w:szCs w:val="22"/>
        </w:rPr>
        <w:t>has been applied to the conserva</w:t>
      </w:r>
      <w:r>
        <w:rPr>
          <w:sz w:val="22"/>
          <w:szCs w:val="22"/>
        </w:rPr>
        <w:t xml:space="preserve">tion of spawning and/or nursery grounds in operational </w:t>
      </w:r>
      <w:r w:rsidRPr="00B946CA">
        <w:rPr>
          <w:sz w:val="22"/>
          <w:szCs w:val="22"/>
        </w:rPr>
        <w:t xml:space="preserve">MPAs and, as a </w:t>
      </w:r>
      <w:r>
        <w:rPr>
          <w:sz w:val="22"/>
          <w:szCs w:val="22"/>
        </w:rPr>
        <w:t xml:space="preserve">result, the contribution of the </w:t>
      </w:r>
      <w:r w:rsidRPr="00B946CA">
        <w:rPr>
          <w:sz w:val="22"/>
          <w:szCs w:val="22"/>
        </w:rPr>
        <w:t>MPAs to the restocking of fisheries resources has been limited.</w:t>
      </w:r>
    </w:p>
    <w:p w14:paraId="34CD4ECB" w14:textId="77777777" w:rsidR="006326A5" w:rsidRPr="00B946CA" w:rsidRDefault="006326A5" w:rsidP="006326A5">
      <w:pPr>
        <w:numPr>
          <w:ilvl w:val="0"/>
          <w:numId w:val="3"/>
        </w:numPr>
        <w:spacing w:after="120"/>
        <w:ind w:left="0" w:firstLine="0"/>
        <w:jc w:val="both"/>
        <w:rPr>
          <w:sz w:val="22"/>
          <w:szCs w:val="22"/>
        </w:rPr>
      </w:pPr>
      <w:r w:rsidRPr="00B946CA">
        <w:rPr>
          <w:sz w:val="22"/>
          <w:szCs w:val="22"/>
        </w:rPr>
        <w:t>The solution to these limitations was the use of the knowledge</w:t>
      </w:r>
      <w:r>
        <w:rPr>
          <w:sz w:val="22"/>
          <w:szCs w:val="22"/>
        </w:rPr>
        <w:t xml:space="preserve"> </w:t>
      </w:r>
      <w:r w:rsidRPr="00B946CA">
        <w:rPr>
          <w:sz w:val="22"/>
          <w:szCs w:val="22"/>
        </w:rPr>
        <w:t>of local fishermen in identifying spawning and nursery area</w:t>
      </w:r>
      <w:r>
        <w:rPr>
          <w:sz w:val="22"/>
          <w:szCs w:val="22"/>
        </w:rPr>
        <w:t xml:space="preserve">s, </w:t>
      </w:r>
      <w:r w:rsidRPr="00B946CA">
        <w:rPr>
          <w:sz w:val="22"/>
          <w:szCs w:val="22"/>
        </w:rPr>
        <w:t>improving communications between l</w:t>
      </w:r>
      <w:r>
        <w:rPr>
          <w:sz w:val="22"/>
          <w:szCs w:val="22"/>
        </w:rPr>
        <w:t xml:space="preserve">ocal communities and scientists </w:t>
      </w:r>
      <w:r w:rsidRPr="00B946CA">
        <w:rPr>
          <w:sz w:val="22"/>
          <w:szCs w:val="22"/>
        </w:rPr>
        <w:t>and promoting the parti</w:t>
      </w:r>
      <w:r>
        <w:rPr>
          <w:sz w:val="22"/>
          <w:szCs w:val="22"/>
        </w:rPr>
        <w:t xml:space="preserve">cipation of local people in the </w:t>
      </w:r>
      <w:r w:rsidRPr="00B946CA">
        <w:rPr>
          <w:sz w:val="22"/>
          <w:szCs w:val="22"/>
        </w:rPr>
        <w:t>de</w:t>
      </w:r>
      <w:r>
        <w:rPr>
          <w:sz w:val="22"/>
          <w:szCs w:val="22"/>
        </w:rPr>
        <w:t xml:space="preserve">velopment and implementation of </w:t>
      </w:r>
      <w:r w:rsidRPr="00B946CA">
        <w:rPr>
          <w:sz w:val="22"/>
          <w:szCs w:val="22"/>
        </w:rPr>
        <w:t>ma</w:t>
      </w:r>
      <w:r>
        <w:rPr>
          <w:sz w:val="22"/>
          <w:szCs w:val="22"/>
        </w:rPr>
        <w:t xml:space="preserve">nagement plans and regulations. </w:t>
      </w:r>
      <w:r w:rsidRPr="00B946CA">
        <w:rPr>
          <w:sz w:val="22"/>
          <w:szCs w:val="22"/>
        </w:rPr>
        <w:t>The Phu Quoc demonstrati</w:t>
      </w:r>
      <w:r>
        <w:rPr>
          <w:sz w:val="22"/>
          <w:szCs w:val="22"/>
        </w:rPr>
        <w:t xml:space="preserve">on site in Viet Nam was selected </w:t>
      </w:r>
      <w:r w:rsidRPr="00B946CA">
        <w:rPr>
          <w:sz w:val="22"/>
          <w:szCs w:val="22"/>
        </w:rPr>
        <w:t>to apply the concept of fisheries refu</w:t>
      </w:r>
      <w:r>
        <w:rPr>
          <w:sz w:val="22"/>
          <w:szCs w:val="22"/>
        </w:rPr>
        <w:t xml:space="preserve">gia (see Paterson et al., 2013) </w:t>
      </w:r>
      <w:r w:rsidRPr="00B946CA">
        <w:rPr>
          <w:sz w:val="22"/>
          <w:szCs w:val="22"/>
        </w:rPr>
        <w:t>becaus</w:t>
      </w:r>
      <w:r>
        <w:rPr>
          <w:sz w:val="22"/>
          <w:szCs w:val="22"/>
        </w:rPr>
        <w:t xml:space="preserve">e of the importance of seagrass beds of Phu Quoc as </w:t>
      </w:r>
      <w:r w:rsidRPr="00B946CA">
        <w:rPr>
          <w:sz w:val="22"/>
          <w:szCs w:val="22"/>
        </w:rPr>
        <w:t xml:space="preserve">spawning and nursery areas for many </w:t>
      </w:r>
      <w:r>
        <w:rPr>
          <w:sz w:val="22"/>
          <w:szCs w:val="22"/>
        </w:rPr>
        <w:t xml:space="preserve">species of economic importance. These </w:t>
      </w:r>
      <w:r w:rsidRPr="00B946CA">
        <w:rPr>
          <w:sz w:val="22"/>
          <w:szCs w:val="22"/>
        </w:rPr>
        <w:t>included Strombus spp., o</w:t>
      </w:r>
      <w:r>
        <w:rPr>
          <w:sz w:val="22"/>
          <w:szCs w:val="22"/>
        </w:rPr>
        <w:t xml:space="preserve">ctopus, cuttlefish, rabbitfish, </w:t>
      </w:r>
      <w:r w:rsidRPr="00B946CA">
        <w:rPr>
          <w:sz w:val="22"/>
          <w:szCs w:val="22"/>
        </w:rPr>
        <w:t>shrimp and seahorse. A joint project for the development of a</w:t>
      </w:r>
      <w:r>
        <w:rPr>
          <w:sz w:val="22"/>
          <w:szCs w:val="22"/>
        </w:rPr>
        <w:t xml:space="preserve"> </w:t>
      </w:r>
      <w:r w:rsidRPr="00B946CA">
        <w:rPr>
          <w:sz w:val="22"/>
          <w:szCs w:val="22"/>
        </w:rPr>
        <w:t>fisheries refugium in the Ham Nin</w:t>
      </w:r>
      <w:r>
        <w:rPr>
          <w:sz w:val="22"/>
          <w:szCs w:val="22"/>
        </w:rPr>
        <w:t xml:space="preserve">h seagrass area of the Phu Quoc </w:t>
      </w:r>
      <w:r w:rsidRPr="00B946CA">
        <w:rPr>
          <w:sz w:val="22"/>
          <w:szCs w:val="22"/>
        </w:rPr>
        <w:t>site was implemented.</w:t>
      </w:r>
    </w:p>
    <w:p w14:paraId="43549D29" w14:textId="77777777" w:rsidR="00B958E4" w:rsidRDefault="00B958E4" w:rsidP="00B958E4">
      <w:pPr>
        <w:numPr>
          <w:ilvl w:val="0"/>
          <w:numId w:val="3"/>
        </w:numPr>
        <w:spacing w:after="120"/>
        <w:ind w:left="0" w:firstLine="0"/>
        <w:jc w:val="both"/>
        <w:rPr>
          <w:sz w:val="22"/>
          <w:szCs w:val="22"/>
        </w:rPr>
      </w:pPr>
      <w:r w:rsidRPr="00B946CA">
        <w:rPr>
          <w:sz w:val="22"/>
          <w:szCs w:val="22"/>
        </w:rPr>
        <w:t>This joint activity involved co-op</w:t>
      </w:r>
      <w:r>
        <w:rPr>
          <w:sz w:val="22"/>
          <w:szCs w:val="22"/>
        </w:rPr>
        <w:t xml:space="preserve">eration among the demonstration </w:t>
      </w:r>
      <w:r w:rsidRPr="00B946CA">
        <w:rPr>
          <w:sz w:val="22"/>
          <w:szCs w:val="22"/>
        </w:rPr>
        <w:t>site management board, the Viet Nam</w:t>
      </w:r>
      <w:r>
        <w:rPr>
          <w:sz w:val="22"/>
          <w:szCs w:val="22"/>
        </w:rPr>
        <w:t xml:space="preserve"> </w:t>
      </w:r>
      <w:r w:rsidRPr="00B946CA">
        <w:rPr>
          <w:sz w:val="22"/>
          <w:szCs w:val="22"/>
        </w:rPr>
        <w:t>SEA for fish</w:t>
      </w:r>
      <w:r>
        <w:rPr>
          <w:sz w:val="22"/>
          <w:szCs w:val="22"/>
        </w:rPr>
        <w:t xml:space="preserve">eries and </w:t>
      </w:r>
      <w:r w:rsidRPr="00B946CA">
        <w:rPr>
          <w:sz w:val="22"/>
          <w:szCs w:val="22"/>
        </w:rPr>
        <w:t>the provincial government. The goa</w:t>
      </w:r>
      <w:r>
        <w:rPr>
          <w:sz w:val="22"/>
          <w:szCs w:val="22"/>
        </w:rPr>
        <w:t xml:space="preserve">l of the project was to improve </w:t>
      </w:r>
      <w:r w:rsidRPr="00B946CA">
        <w:rPr>
          <w:sz w:val="22"/>
          <w:szCs w:val="22"/>
        </w:rPr>
        <w:t>the integration of fisheries an</w:t>
      </w:r>
      <w:r>
        <w:rPr>
          <w:sz w:val="22"/>
          <w:szCs w:val="22"/>
        </w:rPr>
        <w:t xml:space="preserve">d habitat management at the Phu </w:t>
      </w:r>
      <w:r w:rsidRPr="00B946CA">
        <w:rPr>
          <w:sz w:val="22"/>
          <w:szCs w:val="22"/>
        </w:rPr>
        <w:t>Quoc Island habitat demonstration</w:t>
      </w:r>
      <w:r>
        <w:rPr>
          <w:sz w:val="22"/>
          <w:szCs w:val="22"/>
        </w:rPr>
        <w:t xml:space="preserve"> site through the establishment </w:t>
      </w:r>
      <w:r w:rsidRPr="00B946CA">
        <w:rPr>
          <w:sz w:val="22"/>
          <w:szCs w:val="22"/>
        </w:rPr>
        <w:t>and management of fisheries refugia in critical spaw</w:t>
      </w:r>
      <w:r>
        <w:rPr>
          <w:sz w:val="22"/>
          <w:szCs w:val="22"/>
        </w:rPr>
        <w:t xml:space="preserve">ning and nursery areas. </w:t>
      </w:r>
      <w:r w:rsidRPr="00B946CA">
        <w:rPr>
          <w:sz w:val="22"/>
          <w:szCs w:val="22"/>
        </w:rPr>
        <w:t>These were inte</w:t>
      </w:r>
      <w:r>
        <w:rPr>
          <w:sz w:val="22"/>
          <w:szCs w:val="22"/>
        </w:rPr>
        <w:t xml:space="preserve">nded to improve the longer-term </w:t>
      </w:r>
      <w:r w:rsidRPr="00B946CA">
        <w:rPr>
          <w:sz w:val="22"/>
          <w:szCs w:val="22"/>
        </w:rPr>
        <w:t>security of sustainable fisheries yie</w:t>
      </w:r>
      <w:r>
        <w:rPr>
          <w:sz w:val="22"/>
          <w:szCs w:val="22"/>
        </w:rPr>
        <w:t xml:space="preserve">lds from Phu Quoc Island waters </w:t>
      </w:r>
      <w:r w:rsidRPr="00B946CA">
        <w:rPr>
          <w:sz w:val="22"/>
          <w:szCs w:val="22"/>
        </w:rPr>
        <w:t>and adjacent areas. The entire proces</w:t>
      </w:r>
      <w:r>
        <w:rPr>
          <w:sz w:val="22"/>
          <w:szCs w:val="22"/>
        </w:rPr>
        <w:t xml:space="preserve">s, including the identification </w:t>
      </w:r>
      <w:r w:rsidRPr="00B946CA">
        <w:rPr>
          <w:sz w:val="22"/>
          <w:szCs w:val="22"/>
        </w:rPr>
        <w:t>of critical spawning and nursery areas, prepara</w:t>
      </w:r>
      <w:r>
        <w:rPr>
          <w:sz w:val="22"/>
          <w:szCs w:val="22"/>
        </w:rPr>
        <w:t xml:space="preserve">tion of a </w:t>
      </w:r>
      <w:r w:rsidRPr="00B946CA">
        <w:rPr>
          <w:sz w:val="22"/>
          <w:szCs w:val="22"/>
        </w:rPr>
        <w:t>fisheries profi</w:t>
      </w:r>
      <w:r>
        <w:rPr>
          <w:sz w:val="22"/>
          <w:szCs w:val="22"/>
        </w:rPr>
        <w:t xml:space="preserve">le, development of a management framework and the </w:t>
      </w:r>
      <w:r w:rsidRPr="00B946CA">
        <w:rPr>
          <w:sz w:val="22"/>
          <w:szCs w:val="22"/>
        </w:rPr>
        <w:t>establishment of procedures for the</w:t>
      </w:r>
      <w:r>
        <w:rPr>
          <w:sz w:val="22"/>
          <w:szCs w:val="22"/>
        </w:rPr>
        <w:t xml:space="preserve"> enforcement and guidelines for sustainable use </w:t>
      </w:r>
      <w:r w:rsidRPr="00B946CA">
        <w:rPr>
          <w:sz w:val="22"/>
          <w:szCs w:val="22"/>
        </w:rPr>
        <w:t>and implementation o</w:t>
      </w:r>
      <w:r>
        <w:rPr>
          <w:sz w:val="22"/>
          <w:szCs w:val="22"/>
        </w:rPr>
        <w:t xml:space="preserve">f long-term operational (dayto- </w:t>
      </w:r>
      <w:r w:rsidRPr="00B946CA">
        <w:rPr>
          <w:sz w:val="22"/>
          <w:szCs w:val="22"/>
        </w:rPr>
        <w:t>day) manageme</w:t>
      </w:r>
      <w:r>
        <w:rPr>
          <w:sz w:val="22"/>
          <w:szCs w:val="22"/>
        </w:rPr>
        <w:t xml:space="preserve">nt of Ham Ninh fishery refugia, </w:t>
      </w:r>
      <w:r w:rsidRPr="00B946CA">
        <w:rPr>
          <w:sz w:val="22"/>
          <w:szCs w:val="22"/>
        </w:rPr>
        <w:t>h</w:t>
      </w:r>
      <w:r>
        <w:rPr>
          <w:sz w:val="22"/>
          <w:szCs w:val="22"/>
        </w:rPr>
        <w:t xml:space="preserve">as proceeded </w:t>
      </w:r>
      <w:r w:rsidRPr="00B946CA">
        <w:rPr>
          <w:sz w:val="22"/>
          <w:szCs w:val="22"/>
        </w:rPr>
        <w:t>with strong involvement of local fisher</w:t>
      </w:r>
      <w:r>
        <w:rPr>
          <w:sz w:val="22"/>
          <w:szCs w:val="22"/>
        </w:rPr>
        <w:t>folk</w:t>
      </w:r>
      <w:r w:rsidRPr="00B946CA">
        <w:rPr>
          <w:sz w:val="22"/>
          <w:szCs w:val="22"/>
        </w:rPr>
        <w:t>.</w:t>
      </w:r>
    </w:p>
    <w:p w14:paraId="201DF873" w14:textId="77777777" w:rsidR="00F21D23" w:rsidRPr="00F21D23" w:rsidRDefault="00F21D23" w:rsidP="00F21D23">
      <w:pPr>
        <w:spacing w:after="120"/>
        <w:jc w:val="both"/>
        <w:rPr>
          <w:b/>
          <w:i/>
          <w:sz w:val="22"/>
          <w:szCs w:val="22"/>
        </w:rPr>
      </w:pPr>
      <w:r w:rsidRPr="00F21D23">
        <w:rPr>
          <w:b/>
          <w:i/>
          <w:sz w:val="22"/>
          <w:szCs w:val="22"/>
        </w:rPr>
        <w:t>Involvement of the private sector in coastal management</w:t>
      </w:r>
    </w:p>
    <w:p w14:paraId="38D1235A" w14:textId="77777777" w:rsidR="00F21D23" w:rsidRDefault="00F21D23" w:rsidP="00F21D23">
      <w:pPr>
        <w:numPr>
          <w:ilvl w:val="0"/>
          <w:numId w:val="3"/>
        </w:numPr>
        <w:spacing w:after="120"/>
        <w:ind w:left="0" w:firstLine="0"/>
        <w:jc w:val="both"/>
        <w:rPr>
          <w:sz w:val="22"/>
          <w:szCs w:val="22"/>
        </w:rPr>
      </w:pPr>
      <w:r w:rsidRPr="00395BDE">
        <w:rPr>
          <w:sz w:val="22"/>
          <w:szCs w:val="22"/>
        </w:rPr>
        <w:t>Habitat management require</w:t>
      </w:r>
      <w:r>
        <w:rPr>
          <w:sz w:val="22"/>
          <w:szCs w:val="22"/>
        </w:rPr>
        <w:t xml:space="preserve">s sustained human and financial </w:t>
      </w:r>
      <w:r w:rsidRPr="00395BDE">
        <w:rPr>
          <w:sz w:val="22"/>
          <w:szCs w:val="22"/>
        </w:rPr>
        <w:t>capacity. However, any project is inv</w:t>
      </w:r>
      <w:r>
        <w:rPr>
          <w:sz w:val="22"/>
          <w:szCs w:val="22"/>
        </w:rPr>
        <w:t xml:space="preserve">ariably limited to a short-term </w:t>
      </w:r>
      <w:r w:rsidRPr="00395BDE">
        <w:rPr>
          <w:sz w:val="22"/>
          <w:szCs w:val="22"/>
        </w:rPr>
        <w:t>period. Furthermore, authorities</w:t>
      </w:r>
      <w:r>
        <w:rPr>
          <w:sz w:val="22"/>
          <w:szCs w:val="22"/>
        </w:rPr>
        <w:t xml:space="preserve"> appointed to undertake project </w:t>
      </w:r>
      <w:r w:rsidRPr="00395BDE">
        <w:rPr>
          <w:sz w:val="22"/>
          <w:szCs w:val="22"/>
        </w:rPr>
        <w:t>management frequently cannot complet</w:t>
      </w:r>
      <w:r>
        <w:rPr>
          <w:sz w:val="22"/>
          <w:szCs w:val="22"/>
        </w:rPr>
        <w:t xml:space="preserve">e their tasks due to inadequacy of resources. Private sector organizations conduct business </w:t>
      </w:r>
      <w:r w:rsidRPr="00395BDE">
        <w:rPr>
          <w:sz w:val="22"/>
          <w:szCs w:val="22"/>
        </w:rPr>
        <w:t xml:space="preserve">for profit and maximising </w:t>
      </w:r>
      <w:r>
        <w:rPr>
          <w:sz w:val="22"/>
          <w:szCs w:val="22"/>
        </w:rPr>
        <w:t xml:space="preserve">profits becomes a priority. The </w:t>
      </w:r>
      <w:r w:rsidRPr="00395BDE">
        <w:rPr>
          <w:sz w:val="22"/>
          <w:szCs w:val="22"/>
        </w:rPr>
        <w:t xml:space="preserve">question arises as to how to </w:t>
      </w:r>
      <w:r>
        <w:rPr>
          <w:sz w:val="22"/>
          <w:szCs w:val="22"/>
        </w:rPr>
        <w:t xml:space="preserve">encourage the private sector to </w:t>
      </w:r>
      <w:r w:rsidRPr="00395BDE">
        <w:rPr>
          <w:sz w:val="22"/>
          <w:szCs w:val="22"/>
        </w:rPr>
        <w:t>participate in</w:t>
      </w:r>
      <w:r>
        <w:rPr>
          <w:sz w:val="22"/>
          <w:szCs w:val="22"/>
        </w:rPr>
        <w:t xml:space="preserve"> habitat management activities. Governments need to </w:t>
      </w:r>
      <w:r w:rsidRPr="00395BDE">
        <w:rPr>
          <w:sz w:val="22"/>
          <w:szCs w:val="22"/>
        </w:rPr>
        <w:t>develop appropriate policies for</w:t>
      </w:r>
      <w:r>
        <w:rPr>
          <w:sz w:val="22"/>
          <w:szCs w:val="22"/>
        </w:rPr>
        <w:t xml:space="preserve"> encouraging the involvement of the private </w:t>
      </w:r>
      <w:r w:rsidRPr="00395BDE">
        <w:rPr>
          <w:sz w:val="22"/>
          <w:szCs w:val="22"/>
        </w:rPr>
        <w:t>sector in habitat manag</w:t>
      </w:r>
      <w:r>
        <w:rPr>
          <w:sz w:val="22"/>
          <w:szCs w:val="22"/>
        </w:rPr>
        <w:t xml:space="preserve">ement both to ensure management </w:t>
      </w:r>
      <w:r w:rsidRPr="00395BDE">
        <w:rPr>
          <w:sz w:val="22"/>
          <w:szCs w:val="22"/>
        </w:rPr>
        <w:t>effectiveness and commensurat</w:t>
      </w:r>
      <w:r>
        <w:rPr>
          <w:sz w:val="22"/>
          <w:szCs w:val="22"/>
        </w:rPr>
        <w:t xml:space="preserve">e profits for investors through </w:t>
      </w:r>
      <w:r w:rsidRPr="00395BDE">
        <w:rPr>
          <w:sz w:val="22"/>
          <w:szCs w:val="22"/>
        </w:rPr>
        <w:t>the sustainable use of resources. In</w:t>
      </w:r>
      <w:r>
        <w:rPr>
          <w:sz w:val="22"/>
          <w:szCs w:val="22"/>
        </w:rPr>
        <w:t xml:space="preserve">tegration of private sector and </w:t>
      </w:r>
      <w:r w:rsidRPr="00395BDE">
        <w:rPr>
          <w:sz w:val="22"/>
          <w:szCs w:val="22"/>
        </w:rPr>
        <w:t>local community interests and activities is also required.</w:t>
      </w:r>
    </w:p>
    <w:p w14:paraId="4A4609CA" w14:textId="77777777" w:rsidR="00F21D23" w:rsidRDefault="00F21D23" w:rsidP="00F21D23">
      <w:pPr>
        <w:numPr>
          <w:ilvl w:val="0"/>
          <w:numId w:val="3"/>
        </w:numPr>
        <w:spacing w:after="120"/>
        <w:ind w:left="0" w:firstLine="0"/>
        <w:jc w:val="both"/>
        <w:rPr>
          <w:sz w:val="22"/>
          <w:szCs w:val="22"/>
        </w:rPr>
      </w:pPr>
      <w:r w:rsidRPr="00395BDE">
        <w:rPr>
          <w:sz w:val="22"/>
          <w:szCs w:val="22"/>
        </w:rPr>
        <w:t>At the Fangchenggang mangrov</w:t>
      </w:r>
      <w:r>
        <w:rPr>
          <w:sz w:val="22"/>
          <w:szCs w:val="22"/>
        </w:rPr>
        <w:t xml:space="preserve">e habitat demonstration site in </w:t>
      </w:r>
      <w:r w:rsidRPr="00395BDE">
        <w:rPr>
          <w:sz w:val="22"/>
          <w:szCs w:val="22"/>
        </w:rPr>
        <w:t>southern Guan</w:t>
      </w:r>
      <w:r>
        <w:rPr>
          <w:sz w:val="22"/>
          <w:szCs w:val="22"/>
        </w:rPr>
        <w:t xml:space="preserve">gxi, China, urban </w:t>
      </w:r>
      <w:r w:rsidRPr="00395BDE">
        <w:rPr>
          <w:sz w:val="22"/>
          <w:szCs w:val="22"/>
        </w:rPr>
        <w:t>mangroves were not co</w:t>
      </w:r>
      <w:r>
        <w:rPr>
          <w:sz w:val="22"/>
          <w:szCs w:val="22"/>
        </w:rPr>
        <w:t xml:space="preserve">-located </w:t>
      </w:r>
      <w:r w:rsidRPr="00395BDE">
        <w:rPr>
          <w:sz w:val="22"/>
          <w:szCs w:val="22"/>
        </w:rPr>
        <w:t>with the local Beilun Estuary Reserv</w:t>
      </w:r>
      <w:r>
        <w:rPr>
          <w:sz w:val="22"/>
          <w:szCs w:val="22"/>
        </w:rPr>
        <w:t xml:space="preserve">e. A local developer, the Xindi </w:t>
      </w:r>
      <w:r w:rsidRPr="00395BDE">
        <w:rPr>
          <w:sz w:val="22"/>
          <w:szCs w:val="22"/>
        </w:rPr>
        <w:t>Company, planned to reclaim a l</w:t>
      </w:r>
      <w:r>
        <w:rPr>
          <w:sz w:val="22"/>
          <w:szCs w:val="22"/>
        </w:rPr>
        <w:t xml:space="preserve">arge area of unmanaged mangrove </w:t>
      </w:r>
      <w:r w:rsidRPr="00395BDE">
        <w:rPr>
          <w:sz w:val="22"/>
          <w:szCs w:val="22"/>
        </w:rPr>
        <w:t>forest for industrial use associated with th</w:t>
      </w:r>
      <w:r>
        <w:rPr>
          <w:sz w:val="22"/>
          <w:szCs w:val="22"/>
        </w:rPr>
        <w:t xml:space="preserve">e expansion of port facilities. </w:t>
      </w:r>
      <w:r w:rsidRPr="00395BDE">
        <w:rPr>
          <w:sz w:val="22"/>
          <w:szCs w:val="22"/>
        </w:rPr>
        <w:t>The operation of the demonst</w:t>
      </w:r>
      <w:r>
        <w:rPr>
          <w:sz w:val="22"/>
          <w:szCs w:val="22"/>
        </w:rPr>
        <w:t xml:space="preserve">ration led to the Xindi Company </w:t>
      </w:r>
      <w:r w:rsidRPr="00395BDE">
        <w:rPr>
          <w:sz w:val="22"/>
          <w:szCs w:val="22"/>
        </w:rPr>
        <w:t>revising these plans and</w:t>
      </w:r>
      <w:r>
        <w:rPr>
          <w:sz w:val="22"/>
          <w:szCs w:val="22"/>
        </w:rPr>
        <w:t xml:space="preserve"> agreeing to a partnership with </w:t>
      </w:r>
      <w:r w:rsidRPr="00395BDE">
        <w:rPr>
          <w:sz w:val="22"/>
          <w:szCs w:val="22"/>
        </w:rPr>
        <w:t xml:space="preserve">government </w:t>
      </w:r>
      <w:r>
        <w:rPr>
          <w:sz w:val="22"/>
          <w:szCs w:val="22"/>
        </w:rPr>
        <w:t xml:space="preserve">on mangrove conservation. Xindi invested in the </w:t>
      </w:r>
      <w:r w:rsidRPr="00395BDE">
        <w:rPr>
          <w:sz w:val="22"/>
          <w:szCs w:val="22"/>
        </w:rPr>
        <w:t>construction of a mangrove e</w:t>
      </w:r>
      <w:r>
        <w:rPr>
          <w:sz w:val="22"/>
          <w:szCs w:val="22"/>
        </w:rPr>
        <w:t xml:space="preserve">cological park within the urban mangrove area and </w:t>
      </w:r>
      <w:r w:rsidRPr="00395BDE">
        <w:rPr>
          <w:sz w:val="22"/>
          <w:szCs w:val="22"/>
        </w:rPr>
        <w:t>supported reforesta</w:t>
      </w:r>
      <w:r>
        <w:rPr>
          <w:sz w:val="22"/>
          <w:szCs w:val="22"/>
        </w:rPr>
        <w:t xml:space="preserve">tion and alternative livelihood </w:t>
      </w:r>
      <w:r w:rsidRPr="00395BDE">
        <w:rPr>
          <w:sz w:val="22"/>
          <w:szCs w:val="22"/>
        </w:rPr>
        <w:t>generation activities for improved mangrove management.</w:t>
      </w:r>
      <w:r>
        <w:rPr>
          <w:sz w:val="22"/>
          <w:szCs w:val="22"/>
        </w:rPr>
        <w:t xml:space="preserve"> </w:t>
      </w:r>
      <w:r w:rsidRPr="00395BDE">
        <w:rPr>
          <w:sz w:val="22"/>
          <w:szCs w:val="22"/>
        </w:rPr>
        <w:t>This strong private sector en</w:t>
      </w:r>
      <w:r>
        <w:rPr>
          <w:sz w:val="22"/>
          <w:szCs w:val="22"/>
        </w:rPr>
        <w:t xml:space="preserve">gagement enabled the project to </w:t>
      </w:r>
      <w:r w:rsidRPr="00395BDE">
        <w:rPr>
          <w:sz w:val="22"/>
          <w:szCs w:val="22"/>
        </w:rPr>
        <w:t>leverage additional resources from l</w:t>
      </w:r>
      <w:r>
        <w:rPr>
          <w:sz w:val="22"/>
          <w:szCs w:val="22"/>
        </w:rPr>
        <w:t xml:space="preserve">ocal and provincial governments </w:t>
      </w:r>
      <w:r w:rsidRPr="00395BDE">
        <w:rPr>
          <w:sz w:val="22"/>
          <w:szCs w:val="22"/>
        </w:rPr>
        <w:t>to scale-up mangrove mana</w:t>
      </w:r>
      <w:r>
        <w:rPr>
          <w:sz w:val="22"/>
          <w:szCs w:val="22"/>
        </w:rPr>
        <w:t xml:space="preserve">gement efforts at the site. As a </w:t>
      </w:r>
      <w:r w:rsidRPr="00395BDE">
        <w:rPr>
          <w:sz w:val="22"/>
          <w:szCs w:val="22"/>
        </w:rPr>
        <w:t>result, it is estimated that fun</w:t>
      </w:r>
      <w:r>
        <w:rPr>
          <w:sz w:val="22"/>
          <w:szCs w:val="22"/>
        </w:rPr>
        <w:t xml:space="preserve">ding for mangrove management at </w:t>
      </w:r>
      <w:r w:rsidRPr="00395BDE">
        <w:rPr>
          <w:sz w:val="22"/>
          <w:szCs w:val="22"/>
        </w:rPr>
        <w:t>the site increased 17-fold during the operation of the project.</w:t>
      </w:r>
    </w:p>
    <w:p w14:paraId="7BF258E8" w14:textId="77777777" w:rsidR="00F21D23" w:rsidRDefault="00F21D23" w:rsidP="00F21D23">
      <w:pPr>
        <w:numPr>
          <w:ilvl w:val="0"/>
          <w:numId w:val="3"/>
        </w:numPr>
        <w:spacing w:after="120"/>
        <w:ind w:left="0" w:firstLine="0"/>
        <w:jc w:val="both"/>
        <w:rPr>
          <w:sz w:val="22"/>
          <w:szCs w:val="22"/>
        </w:rPr>
      </w:pPr>
      <w:r w:rsidRPr="00395BDE">
        <w:rPr>
          <w:sz w:val="22"/>
          <w:szCs w:val="22"/>
        </w:rPr>
        <w:t>In the case of Batu Ampur</w:t>
      </w:r>
      <w:r>
        <w:rPr>
          <w:sz w:val="22"/>
          <w:szCs w:val="22"/>
        </w:rPr>
        <w:t xml:space="preserve"> mangrove demonstration site in </w:t>
      </w:r>
      <w:r w:rsidRPr="00395BDE">
        <w:rPr>
          <w:sz w:val="22"/>
          <w:szCs w:val="22"/>
        </w:rPr>
        <w:t>Indone</w:t>
      </w:r>
      <w:r>
        <w:rPr>
          <w:sz w:val="22"/>
          <w:szCs w:val="22"/>
        </w:rPr>
        <w:t xml:space="preserve">sia’s West Kalimantan Province, the strong involvement of </w:t>
      </w:r>
      <w:r w:rsidRPr="00395BDE">
        <w:rPr>
          <w:sz w:val="22"/>
          <w:szCs w:val="22"/>
        </w:rPr>
        <w:t>the provincial government in proj</w:t>
      </w:r>
      <w:r>
        <w:rPr>
          <w:sz w:val="22"/>
          <w:szCs w:val="22"/>
        </w:rPr>
        <w:t xml:space="preserve">ect activities fostered private </w:t>
      </w:r>
      <w:r w:rsidRPr="00395BDE">
        <w:rPr>
          <w:sz w:val="22"/>
          <w:szCs w:val="22"/>
        </w:rPr>
        <w:t>sector engagement in man</w:t>
      </w:r>
      <w:r>
        <w:rPr>
          <w:sz w:val="22"/>
          <w:szCs w:val="22"/>
        </w:rPr>
        <w:t xml:space="preserve">grove management. Mangrove wood </w:t>
      </w:r>
      <w:r w:rsidRPr="00395BDE">
        <w:rPr>
          <w:sz w:val="22"/>
          <w:szCs w:val="22"/>
        </w:rPr>
        <w:t xml:space="preserve">from this site was being used for the </w:t>
      </w:r>
      <w:r>
        <w:rPr>
          <w:sz w:val="22"/>
          <w:szCs w:val="22"/>
        </w:rPr>
        <w:t xml:space="preserve">production of charcoal for fuel </w:t>
      </w:r>
      <w:r w:rsidRPr="00395BDE">
        <w:rPr>
          <w:sz w:val="22"/>
          <w:szCs w:val="22"/>
        </w:rPr>
        <w:t>and this was identified as a major ca</w:t>
      </w:r>
      <w:r>
        <w:rPr>
          <w:sz w:val="22"/>
          <w:szCs w:val="22"/>
        </w:rPr>
        <w:t xml:space="preserve">use of habitat degradation. The </w:t>
      </w:r>
      <w:r w:rsidRPr="00395BDE">
        <w:rPr>
          <w:sz w:val="22"/>
          <w:szCs w:val="22"/>
        </w:rPr>
        <w:t>project focussed on the development of a</w:t>
      </w:r>
      <w:r>
        <w:rPr>
          <w:sz w:val="22"/>
          <w:szCs w:val="22"/>
        </w:rPr>
        <w:t xml:space="preserve">ppropriate kilns for converting </w:t>
      </w:r>
      <w:r w:rsidRPr="00395BDE">
        <w:rPr>
          <w:sz w:val="22"/>
          <w:szCs w:val="22"/>
        </w:rPr>
        <w:t>coconut shellwaste from cop</w:t>
      </w:r>
      <w:r>
        <w:rPr>
          <w:sz w:val="22"/>
          <w:szCs w:val="22"/>
        </w:rPr>
        <w:t xml:space="preserve">ra production into high quality </w:t>
      </w:r>
      <w:r w:rsidRPr="00395BDE">
        <w:rPr>
          <w:sz w:val="22"/>
          <w:szCs w:val="22"/>
        </w:rPr>
        <w:t xml:space="preserve">charcoal, which was collected by middlemen and sold to a </w:t>
      </w:r>
      <w:r>
        <w:rPr>
          <w:sz w:val="22"/>
          <w:szCs w:val="22"/>
        </w:rPr>
        <w:t xml:space="preserve">charcoal </w:t>
      </w:r>
      <w:r w:rsidRPr="00395BDE">
        <w:rPr>
          <w:sz w:val="22"/>
          <w:szCs w:val="22"/>
        </w:rPr>
        <w:t xml:space="preserve">briquette manufacturing company </w:t>
      </w:r>
      <w:r>
        <w:rPr>
          <w:sz w:val="22"/>
          <w:szCs w:val="22"/>
        </w:rPr>
        <w:t xml:space="preserve">in Pontianack City for ultimate </w:t>
      </w:r>
      <w:r w:rsidRPr="00395BDE">
        <w:rPr>
          <w:sz w:val="22"/>
          <w:szCs w:val="22"/>
        </w:rPr>
        <w:t>ex</w:t>
      </w:r>
      <w:r>
        <w:rPr>
          <w:sz w:val="22"/>
          <w:szCs w:val="22"/>
        </w:rPr>
        <w:t xml:space="preserve">port to Malaysia and Singapore. This resulted in a 55 percent </w:t>
      </w:r>
      <w:r w:rsidRPr="00395BDE">
        <w:rPr>
          <w:sz w:val="22"/>
          <w:szCs w:val="22"/>
        </w:rPr>
        <w:t>increase in household incomes wit</w:t>
      </w:r>
      <w:r>
        <w:rPr>
          <w:sz w:val="22"/>
          <w:szCs w:val="22"/>
        </w:rPr>
        <w:t xml:space="preserve">hin the demonstration site from </w:t>
      </w:r>
      <w:r w:rsidRPr="00395BDE">
        <w:rPr>
          <w:sz w:val="22"/>
          <w:szCs w:val="22"/>
        </w:rPr>
        <w:t>Indonesian Rupi</w:t>
      </w:r>
      <w:r>
        <w:rPr>
          <w:sz w:val="22"/>
          <w:szCs w:val="22"/>
        </w:rPr>
        <w:t>ah 503,000 to 916,000 per year</w:t>
      </w:r>
      <w:r>
        <w:rPr>
          <w:rStyle w:val="FootnoteReference"/>
          <w:sz w:val="22"/>
          <w:szCs w:val="22"/>
        </w:rPr>
        <w:footnoteReference w:id="38"/>
      </w:r>
      <w:r w:rsidRPr="00395BDE">
        <w:rPr>
          <w:sz w:val="22"/>
          <w:szCs w:val="22"/>
        </w:rPr>
        <w:t xml:space="preserve"> and an</w:t>
      </w:r>
      <w:r>
        <w:rPr>
          <w:sz w:val="22"/>
          <w:szCs w:val="22"/>
        </w:rPr>
        <w:t xml:space="preserve"> estimated </w:t>
      </w:r>
      <w:r w:rsidRPr="00395BDE">
        <w:rPr>
          <w:sz w:val="22"/>
          <w:szCs w:val="22"/>
        </w:rPr>
        <w:t>decrease in mangrove removal for charcoal production of approximately</w:t>
      </w:r>
      <w:r>
        <w:rPr>
          <w:sz w:val="22"/>
          <w:szCs w:val="22"/>
        </w:rPr>
        <w:t xml:space="preserve"> </w:t>
      </w:r>
      <w:r w:rsidRPr="00395BDE">
        <w:rPr>
          <w:sz w:val="22"/>
          <w:szCs w:val="22"/>
        </w:rPr>
        <w:t>18 ha per yea</w:t>
      </w:r>
      <w:r>
        <w:rPr>
          <w:sz w:val="22"/>
          <w:szCs w:val="22"/>
        </w:rPr>
        <w:t>r.</w:t>
      </w:r>
    </w:p>
    <w:p w14:paraId="1B49A3E9" w14:textId="77777777" w:rsidR="00F21D23" w:rsidRPr="00F21D23" w:rsidRDefault="00F21D23" w:rsidP="00F21D23">
      <w:pPr>
        <w:spacing w:after="120"/>
        <w:jc w:val="both"/>
        <w:rPr>
          <w:b/>
          <w:i/>
          <w:sz w:val="22"/>
          <w:szCs w:val="22"/>
        </w:rPr>
      </w:pPr>
      <w:r w:rsidRPr="00F21D23">
        <w:rPr>
          <w:b/>
          <w:i/>
          <w:sz w:val="22"/>
          <w:szCs w:val="22"/>
        </w:rPr>
        <w:t>Building the capacity of local governments and communities for law enforcement</w:t>
      </w:r>
    </w:p>
    <w:p w14:paraId="7321DD36" w14:textId="77777777" w:rsidR="00F21D23" w:rsidRPr="00395BDE" w:rsidRDefault="00F21D23" w:rsidP="00F21D23">
      <w:pPr>
        <w:numPr>
          <w:ilvl w:val="0"/>
          <w:numId w:val="3"/>
        </w:numPr>
        <w:spacing w:after="120"/>
        <w:ind w:left="0" w:firstLine="0"/>
        <w:jc w:val="both"/>
        <w:rPr>
          <w:sz w:val="22"/>
          <w:szCs w:val="22"/>
        </w:rPr>
      </w:pPr>
      <w:r w:rsidRPr="00395BDE">
        <w:rPr>
          <w:sz w:val="22"/>
          <w:szCs w:val="22"/>
        </w:rPr>
        <w:t>There are a number of laws and regu</w:t>
      </w:r>
      <w:r>
        <w:rPr>
          <w:sz w:val="22"/>
          <w:szCs w:val="22"/>
        </w:rPr>
        <w:t xml:space="preserve">lations delivered by government </w:t>
      </w:r>
      <w:r w:rsidRPr="00395BDE">
        <w:rPr>
          <w:sz w:val="22"/>
          <w:szCs w:val="22"/>
        </w:rPr>
        <w:t>authorities for habitat</w:t>
      </w:r>
      <w:r>
        <w:rPr>
          <w:sz w:val="22"/>
          <w:szCs w:val="22"/>
        </w:rPr>
        <w:t xml:space="preserve"> management at the national and </w:t>
      </w:r>
      <w:r w:rsidRPr="00395BDE">
        <w:rPr>
          <w:sz w:val="22"/>
          <w:szCs w:val="22"/>
        </w:rPr>
        <w:t>local levels. However, in practice</w:t>
      </w:r>
      <w:r>
        <w:rPr>
          <w:sz w:val="22"/>
          <w:szCs w:val="22"/>
        </w:rPr>
        <w:t xml:space="preserve">, enforcement always faces many </w:t>
      </w:r>
      <w:r w:rsidRPr="00395BDE">
        <w:rPr>
          <w:sz w:val="22"/>
          <w:szCs w:val="22"/>
        </w:rPr>
        <w:t>obstacles resulting in poor compl</w:t>
      </w:r>
      <w:r>
        <w:rPr>
          <w:sz w:val="22"/>
          <w:szCs w:val="22"/>
        </w:rPr>
        <w:t xml:space="preserve">iance on site. A common problem is lack of human and financial </w:t>
      </w:r>
      <w:r w:rsidRPr="00395BDE">
        <w:rPr>
          <w:sz w:val="22"/>
          <w:szCs w:val="22"/>
        </w:rPr>
        <w:t>capac</w:t>
      </w:r>
      <w:r>
        <w:rPr>
          <w:sz w:val="22"/>
          <w:szCs w:val="22"/>
        </w:rPr>
        <w:t xml:space="preserve">ity for compliance enforcement. </w:t>
      </w:r>
      <w:r w:rsidRPr="00395BDE">
        <w:rPr>
          <w:sz w:val="22"/>
          <w:szCs w:val="22"/>
        </w:rPr>
        <w:t>In order to improve enf</w:t>
      </w:r>
      <w:r>
        <w:rPr>
          <w:sz w:val="22"/>
          <w:szCs w:val="22"/>
        </w:rPr>
        <w:t xml:space="preserve">orcement, recommended solutions </w:t>
      </w:r>
      <w:r w:rsidRPr="00395BDE">
        <w:rPr>
          <w:sz w:val="22"/>
          <w:szCs w:val="22"/>
        </w:rPr>
        <w:t>typically include inter alia: appropr</w:t>
      </w:r>
      <w:r>
        <w:rPr>
          <w:sz w:val="22"/>
          <w:szCs w:val="22"/>
        </w:rPr>
        <w:t xml:space="preserve">iate mechanisms and legal bases for local government and </w:t>
      </w:r>
      <w:r w:rsidRPr="00395BDE">
        <w:rPr>
          <w:sz w:val="22"/>
          <w:szCs w:val="22"/>
        </w:rPr>
        <w:t>community</w:t>
      </w:r>
      <w:r>
        <w:rPr>
          <w:sz w:val="22"/>
          <w:szCs w:val="22"/>
        </w:rPr>
        <w:t xml:space="preserve"> involvement; financial support </w:t>
      </w:r>
      <w:r w:rsidRPr="00395BDE">
        <w:rPr>
          <w:sz w:val="22"/>
          <w:szCs w:val="22"/>
        </w:rPr>
        <w:t>from local government; mobil</w:t>
      </w:r>
      <w:r>
        <w:rPr>
          <w:sz w:val="22"/>
          <w:szCs w:val="22"/>
        </w:rPr>
        <w:t xml:space="preserve">izing funds from other sources; </w:t>
      </w:r>
      <w:r w:rsidRPr="00395BDE">
        <w:rPr>
          <w:sz w:val="22"/>
          <w:szCs w:val="22"/>
        </w:rPr>
        <w:t>training on habitat and enforce</w:t>
      </w:r>
      <w:r>
        <w:rPr>
          <w:sz w:val="22"/>
          <w:szCs w:val="22"/>
        </w:rPr>
        <w:t xml:space="preserve">ment skills; and raising public </w:t>
      </w:r>
      <w:r w:rsidRPr="00395BDE">
        <w:rPr>
          <w:sz w:val="22"/>
          <w:szCs w:val="22"/>
        </w:rPr>
        <w:t>awareness as a means of gaining community support.</w:t>
      </w:r>
    </w:p>
    <w:p w14:paraId="753049F7" w14:textId="77777777" w:rsidR="00F21D23" w:rsidRDefault="00F21D23" w:rsidP="00F21D23">
      <w:pPr>
        <w:numPr>
          <w:ilvl w:val="0"/>
          <w:numId w:val="3"/>
        </w:numPr>
        <w:spacing w:after="120"/>
        <w:ind w:left="0" w:firstLine="0"/>
        <w:jc w:val="both"/>
        <w:rPr>
          <w:sz w:val="22"/>
          <w:szCs w:val="22"/>
        </w:rPr>
      </w:pPr>
      <w:r w:rsidRPr="00395BDE">
        <w:rPr>
          <w:sz w:val="22"/>
          <w:szCs w:val="22"/>
        </w:rPr>
        <w:t>The creation of ‘sea wardens</w:t>
      </w:r>
      <w:r>
        <w:rPr>
          <w:sz w:val="22"/>
          <w:szCs w:val="22"/>
        </w:rPr>
        <w:t xml:space="preserve">’ (Bantay Daggat) for local law </w:t>
      </w:r>
      <w:r w:rsidRPr="00395BDE">
        <w:rPr>
          <w:sz w:val="22"/>
          <w:szCs w:val="22"/>
        </w:rPr>
        <w:t>enforcement in coastal manageme</w:t>
      </w:r>
      <w:r>
        <w:rPr>
          <w:sz w:val="22"/>
          <w:szCs w:val="22"/>
        </w:rPr>
        <w:t xml:space="preserve">nt was considered good practice </w:t>
      </w:r>
      <w:r w:rsidRPr="00395BDE">
        <w:rPr>
          <w:sz w:val="22"/>
          <w:szCs w:val="22"/>
        </w:rPr>
        <w:t>at the Bolinao seagrass demonstration</w:t>
      </w:r>
      <w:r>
        <w:rPr>
          <w:sz w:val="22"/>
          <w:szCs w:val="22"/>
        </w:rPr>
        <w:t xml:space="preserve"> site. The efforts of the local </w:t>
      </w:r>
      <w:r w:rsidRPr="00395BDE">
        <w:rPr>
          <w:sz w:val="22"/>
          <w:szCs w:val="22"/>
        </w:rPr>
        <w:t>government in the conservation of co</w:t>
      </w:r>
      <w:r>
        <w:rPr>
          <w:sz w:val="22"/>
          <w:szCs w:val="22"/>
        </w:rPr>
        <w:t xml:space="preserve">astal habitats were significant </w:t>
      </w:r>
      <w:r w:rsidRPr="00395BDE">
        <w:rPr>
          <w:sz w:val="22"/>
          <w:szCs w:val="22"/>
        </w:rPr>
        <w:t>and worthy of special note. Th</w:t>
      </w:r>
      <w:r>
        <w:rPr>
          <w:sz w:val="22"/>
          <w:szCs w:val="22"/>
        </w:rPr>
        <w:t xml:space="preserve">e Mayor of Bolinao Municipality </w:t>
      </w:r>
      <w:r w:rsidRPr="00395BDE">
        <w:rPr>
          <w:sz w:val="22"/>
          <w:szCs w:val="22"/>
        </w:rPr>
        <w:t>promulgated a series of municipal o</w:t>
      </w:r>
      <w:r>
        <w:rPr>
          <w:sz w:val="22"/>
          <w:szCs w:val="22"/>
        </w:rPr>
        <w:t xml:space="preserve">rdinances to establish a number </w:t>
      </w:r>
      <w:r w:rsidRPr="00395BDE">
        <w:rPr>
          <w:sz w:val="22"/>
          <w:szCs w:val="22"/>
        </w:rPr>
        <w:t xml:space="preserve">of small-scale marine protected areas </w:t>
      </w:r>
      <w:r>
        <w:rPr>
          <w:sz w:val="22"/>
          <w:szCs w:val="22"/>
        </w:rPr>
        <w:t xml:space="preserve">or sanctuaries, including 8 for </w:t>
      </w:r>
      <w:r w:rsidRPr="00395BDE">
        <w:rPr>
          <w:sz w:val="22"/>
          <w:szCs w:val="22"/>
        </w:rPr>
        <w:t>coral reefs, 8 for mangroves and 1</w:t>
      </w:r>
      <w:r>
        <w:rPr>
          <w:sz w:val="22"/>
          <w:szCs w:val="22"/>
        </w:rPr>
        <w:t xml:space="preserve"> for seagrass. Sea wardens were </w:t>
      </w:r>
      <w:r w:rsidRPr="00395BDE">
        <w:rPr>
          <w:sz w:val="22"/>
          <w:szCs w:val="22"/>
        </w:rPr>
        <w:t>appointed to enforce these o</w:t>
      </w:r>
      <w:r>
        <w:rPr>
          <w:sz w:val="22"/>
          <w:szCs w:val="22"/>
        </w:rPr>
        <w:t xml:space="preserve">rdinances. The sea wardens were </w:t>
      </w:r>
      <w:r w:rsidRPr="00395BDE">
        <w:rPr>
          <w:sz w:val="22"/>
          <w:szCs w:val="22"/>
        </w:rPr>
        <w:t>fishermen from local coastal villages. Local government prov</w:t>
      </w:r>
      <w:r>
        <w:rPr>
          <w:sz w:val="22"/>
          <w:szCs w:val="22"/>
        </w:rPr>
        <w:t xml:space="preserve">ided </w:t>
      </w:r>
      <w:r w:rsidRPr="00395BDE">
        <w:rPr>
          <w:sz w:val="22"/>
          <w:szCs w:val="22"/>
        </w:rPr>
        <w:t>them with a patrol boat and daily a</w:t>
      </w:r>
      <w:r>
        <w:rPr>
          <w:sz w:val="22"/>
          <w:szCs w:val="22"/>
        </w:rPr>
        <w:t xml:space="preserve">llowances. Through partnerships </w:t>
      </w:r>
      <w:r w:rsidRPr="00395BDE">
        <w:rPr>
          <w:sz w:val="22"/>
          <w:szCs w:val="22"/>
        </w:rPr>
        <w:t>established with related stak</w:t>
      </w:r>
      <w:r>
        <w:rPr>
          <w:sz w:val="22"/>
          <w:szCs w:val="22"/>
        </w:rPr>
        <w:t xml:space="preserve">eholders, the wardens mobilized </w:t>
      </w:r>
      <w:r w:rsidRPr="00395BDE">
        <w:rPr>
          <w:sz w:val="22"/>
          <w:szCs w:val="22"/>
        </w:rPr>
        <w:t>financial resources to equip and operat</w:t>
      </w:r>
      <w:r>
        <w:rPr>
          <w:sz w:val="22"/>
          <w:szCs w:val="22"/>
        </w:rPr>
        <w:t xml:space="preserve">e 7 motorized native outriggers (bancas) (one from the SAGIP </w:t>
      </w:r>
      <w:r w:rsidRPr="00395BDE">
        <w:rPr>
          <w:sz w:val="22"/>
          <w:szCs w:val="22"/>
        </w:rPr>
        <w:t>Project, one from the B</w:t>
      </w:r>
      <w:r>
        <w:rPr>
          <w:sz w:val="22"/>
          <w:szCs w:val="22"/>
        </w:rPr>
        <w:t xml:space="preserve">olinao </w:t>
      </w:r>
      <w:r w:rsidRPr="00395BDE">
        <w:rPr>
          <w:sz w:val="22"/>
          <w:szCs w:val="22"/>
        </w:rPr>
        <w:t xml:space="preserve">seagrass demonstration site fund </w:t>
      </w:r>
      <w:r>
        <w:rPr>
          <w:sz w:val="22"/>
          <w:szCs w:val="22"/>
        </w:rPr>
        <w:t xml:space="preserve">and five from local government) </w:t>
      </w:r>
      <w:r w:rsidRPr="00395BDE">
        <w:rPr>
          <w:sz w:val="22"/>
          <w:szCs w:val="22"/>
        </w:rPr>
        <w:t>and one speedboat donated by the N</w:t>
      </w:r>
      <w:r>
        <w:rPr>
          <w:sz w:val="22"/>
          <w:szCs w:val="22"/>
        </w:rPr>
        <w:t xml:space="preserve">ational Bureau of Fisheries and </w:t>
      </w:r>
      <w:r w:rsidRPr="00395BDE">
        <w:rPr>
          <w:sz w:val="22"/>
          <w:szCs w:val="22"/>
        </w:rPr>
        <w:t>Aquatic Resources.</w:t>
      </w:r>
    </w:p>
    <w:p w14:paraId="5892718E" w14:textId="77777777" w:rsidR="00F21D23" w:rsidRPr="00F21D23" w:rsidRDefault="00F21D23" w:rsidP="00F21D23">
      <w:pPr>
        <w:spacing w:after="120"/>
        <w:jc w:val="both"/>
        <w:rPr>
          <w:b/>
          <w:i/>
          <w:sz w:val="22"/>
          <w:szCs w:val="22"/>
        </w:rPr>
      </w:pPr>
      <w:r w:rsidRPr="00F21D23">
        <w:rPr>
          <w:b/>
          <w:i/>
          <w:sz w:val="22"/>
          <w:szCs w:val="22"/>
        </w:rPr>
        <w:t>Integration of traditional knowledge and practices into management planning</w:t>
      </w:r>
    </w:p>
    <w:p w14:paraId="051B32ED" w14:textId="77777777" w:rsidR="00F21D23" w:rsidRDefault="00F21D23" w:rsidP="00F21D23">
      <w:pPr>
        <w:numPr>
          <w:ilvl w:val="0"/>
          <w:numId w:val="3"/>
        </w:numPr>
        <w:spacing w:after="120"/>
        <w:ind w:left="0" w:firstLine="0"/>
        <w:jc w:val="both"/>
        <w:rPr>
          <w:sz w:val="22"/>
          <w:szCs w:val="22"/>
        </w:rPr>
      </w:pPr>
      <w:r w:rsidRPr="00930BE4">
        <w:rPr>
          <w:sz w:val="22"/>
          <w:szCs w:val="22"/>
        </w:rPr>
        <w:t>The coral reefs of the Belitung Islands,</w:t>
      </w:r>
      <w:r>
        <w:rPr>
          <w:sz w:val="22"/>
          <w:szCs w:val="22"/>
        </w:rPr>
        <w:t xml:space="preserve"> Indonesia, provide significant </w:t>
      </w:r>
      <w:r w:rsidRPr="00930BE4">
        <w:rPr>
          <w:sz w:val="22"/>
          <w:szCs w:val="22"/>
        </w:rPr>
        <w:t>support to a variety of uses,</w:t>
      </w:r>
      <w:r>
        <w:rPr>
          <w:sz w:val="22"/>
          <w:szCs w:val="22"/>
        </w:rPr>
        <w:t xml:space="preserve"> both direct and indirect, that </w:t>
      </w:r>
      <w:r w:rsidRPr="00930BE4">
        <w:rPr>
          <w:sz w:val="22"/>
          <w:szCs w:val="22"/>
        </w:rPr>
        <w:t>benefit the coastal communities. Coral</w:t>
      </w:r>
      <w:r>
        <w:rPr>
          <w:sz w:val="22"/>
          <w:szCs w:val="22"/>
        </w:rPr>
        <w:t xml:space="preserve"> reef fisheries in the area are </w:t>
      </w:r>
      <w:r w:rsidRPr="00930BE4">
        <w:rPr>
          <w:sz w:val="22"/>
          <w:szCs w:val="22"/>
        </w:rPr>
        <w:t>productive although coastal management is not well deve</w:t>
      </w:r>
      <w:r>
        <w:rPr>
          <w:sz w:val="22"/>
          <w:szCs w:val="22"/>
        </w:rPr>
        <w:t xml:space="preserve">loped as a </w:t>
      </w:r>
      <w:r w:rsidRPr="00930BE4">
        <w:rPr>
          <w:sz w:val="22"/>
          <w:szCs w:val="22"/>
        </w:rPr>
        <w:t>result of poor local capacity. Fishing pr</w:t>
      </w:r>
      <w:r>
        <w:rPr>
          <w:sz w:val="22"/>
          <w:szCs w:val="22"/>
        </w:rPr>
        <w:t xml:space="preserve">actices, such as the widespread </w:t>
      </w:r>
      <w:r w:rsidRPr="00930BE4">
        <w:rPr>
          <w:sz w:val="22"/>
          <w:szCs w:val="22"/>
        </w:rPr>
        <w:t>use of trawls, mostly unde</w:t>
      </w:r>
      <w:r>
        <w:rPr>
          <w:sz w:val="22"/>
          <w:szCs w:val="22"/>
        </w:rPr>
        <w:t xml:space="preserve">rtaken by foreign vessels, were </w:t>
      </w:r>
      <w:r w:rsidRPr="00930BE4">
        <w:rPr>
          <w:sz w:val="22"/>
          <w:szCs w:val="22"/>
        </w:rPr>
        <w:t xml:space="preserve">beyond government control as a </w:t>
      </w:r>
      <w:r>
        <w:rPr>
          <w:sz w:val="22"/>
          <w:szCs w:val="22"/>
        </w:rPr>
        <w:t xml:space="preserve">result of weak law enforcement, </w:t>
      </w:r>
      <w:r w:rsidRPr="00930BE4">
        <w:rPr>
          <w:sz w:val="22"/>
          <w:szCs w:val="22"/>
        </w:rPr>
        <w:t>limited facilities such as surveillance vessels, an</w:t>
      </w:r>
      <w:r>
        <w:rPr>
          <w:sz w:val="22"/>
          <w:szCs w:val="22"/>
        </w:rPr>
        <w:t xml:space="preserve">d a weak fishing </w:t>
      </w:r>
      <w:r w:rsidRPr="00930BE4">
        <w:rPr>
          <w:sz w:val="22"/>
          <w:szCs w:val="22"/>
        </w:rPr>
        <w:t>permit system. Destructive fishing</w:t>
      </w:r>
      <w:r>
        <w:rPr>
          <w:sz w:val="22"/>
          <w:szCs w:val="22"/>
        </w:rPr>
        <w:t xml:space="preserve"> techniques, such as the use of </w:t>
      </w:r>
      <w:r w:rsidRPr="00930BE4">
        <w:rPr>
          <w:sz w:val="22"/>
          <w:szCs w:val="22"/>
        </w:rPr>
        <w:t>explosive and poisons, wer</w:t>
      </w:r>
      <w:r>
        <w:rPr>
          <w:sz w:val="22"/>
          <w:szCs w:val="22"/>
        </w:rPr>
        <w:t xml:space="preserve">e also widely used at the site. </w:t>
      </w:r>
    </w:p>
    <w:p w14:paraId="7F7D5582" w14:textId="77777777" w:rsidR="00F21D23" w:rsidRPr="00930BE4" w:rsidRDefault="00F21D23" w:rsidP="00F21D23">
      <w:pPr>
        <w:numPr>
          <w:ilvl w:val="0"/>
          <w:numId w:val="3"/>
        </w:numPr>
        <w:spacing w:after="120"/>
        <w:ind w:left="0" w:firstLine="0"/>
        <w:jc w:val="both"/>
        <w:rPr>
          <w:sz w:val="22"/>
          <w:szCs w:val="22"/>
        </w:rPr>
      </w:pPr>
      <w:r w:rsidRPr="00930BE4">
        <w:rPr>
          <w:sz w:val="22"/>
          <w:szCs w:val="22"/>
        </w:rPr>
        <w:t>Selat Nasik Sub-District of In</w:t>
      </w:r>
      <w:r>
        <w:rPr>
          <w:sz w:val="22"/>
          <w:szCs w:val="22"/>
        </w:rPr>
        <w:t xml:space="preserve">donesia’s Belitung District was </w:t>
      </w:r>
      <w:r w:rsidRPr="00930BE4">
        <w:rPr>
          <w:sz w:val="22"/>
          <w:szCs w:val="22"/>
        </w:rPr>
        <w:t>selected as a coral reef demonstration site by the SC</w:t>
      </w:r>
      <w:r>
        <w:rPr>
          <w:sz w:val="22"/>
          <w:szCs w:val="22"/>
        </w:rPr>
        <w:t xml:space="preserve">S project to develop a </w:t>
      </w:r>
      <w:r w:rsidRPr="00930BE4">
        <w:rPr>
          <w:sz w:val="22"/>
          <w:szCs w:val="22"/>
        </w:rPr>
        <w:t>community-bas</w:t>
      </w:r>
      <w:r>
        <w:rPr>
          <w:sz w:val="22"/>
          <w:szCs w:val="22"/>
        </w:rPr>
        <w:t xml:space="preserve">ed management system that would </w:t>
      </w:r>
      <w:r w:rsidRPr="00930BE4">
        <w:rPr>
          <w:sz w:val="22"/>
          <w:szCs w:val="22"/>
        </w:rPr>
        <w:t>improve the s</w:t>
      </w:r>
      <w:r>
        <w:rPr>
          <w:sz w:val="22"/>
          <w:szCs w:val="22"/>
        </w:rPr>
        <w:t xml:space="preserve">ustainability of the coral reef </w:t>
      </w:r>
      <w:r w:rsidRPr="00930BE4">
        <w:rPr>
          <w:sz w:val="22"/>
          <w:szCs w:val="22"/>
        </w:rPr>
        <w:t>ecosystem as a</w:t>
      </w:r>
      <w:r>
        <w:rPr>
          <w:sz w:val="22"/>
          <w:szCs w:val="22"/>
        </w:rPr>
        <w:t xml:space="preserve"> means of </w:t>
      </w:r>
      <w:r w:rsidRPr="00930BE4">
        <w:rPr>
          <w:sz w:val="22"/>
          <w:szCs w:val="22"/>
        </w:rPr>
        <w:t>increasing community welfare and r</w:t>
      </w:r>
      <w:r>
        <w:rPr>
          <w:sz w:val="22"/>
          <w:szCs w:val="22"/>
        </w:rPr>
        <w:t xml:space="preserve">educing poverty. Initially, the </w:t>
      </w:r>
      <w:r w:rsidRPr="00930BE4">
        <w:rPr>
          <w:sz w:val="22"/>
          <w:szCs w:val="22"/>
        </w:rPr>
        <w:t>development of the resource manage</w:t>
      </w:r>
      <w:r>
        <w:rPr>
          <w:sz w:val="22"/>
          <w:szCs w:val="22"/>
        </w:rPr>
        <w:t xml:space="preserve">ment plan and local regulations </w:t>
      </w:r>
      <w:r w:rsidRPr="00930BE4">
        <w:rPr>
          <w:sz w:val="22"/>
          <w:szCs w:val="22"/>
        </w:rPr>
        <w:t>pr</w:t>
      </w:r>
      <w:r>
        <w:rPr>
          <w:sz w:val="22"/>
          <w:szCs w:val="22"/>
        </w:rPr>
        <w:t xml:space="preserve">oceeded quite slowly due to the need to compile all relevant </w:t>
      </w:r>
      <w:r w:rsidRPr="00930BE4">
        <w:rPr>
          <w:sz w:val="22"/>
          <w:szCs w:val="22"/>
        </w:rPr>
        <w:t xml:space="preserve">information and to consult with the legal </w:t>
      </w:r>
      <w:r>
        <w:rPr>
          <w:sz w:val="22"/>
          <w:szCs w:val="22"/>
        </w:rPr>
        <w:t xml:space="preserve">section of the local government </w:t>
      </w:r>
      <w:r w:rsidRPr="00930BE4">
        <w:rPr>
          <w:sz w:val="22"/>
          <w:szCs w:val="22"/>
        </w:rPr>
        <w:t>of Belitung, the head of the sub-district, village ch</w:t>
      </w:r>
      <w:r>
        <w:rPr>
          <w:sz w:val="22"/>
          <w:szCs w:val="22"/>
        </w:rPr>
        <w:t xml:space="preserve">iefs and </w:t>
      </w:r>
      <w:r w:rsidRPr="00930BE4">
        <w:rPr>
          <w:sz w:val="22"/>
          <w:szCs w:val="22"/>
        </w:rPr>
        <w:t>prom</w:t>
      </w:r>
      <w:r>
        <w:rPr>
          <w:sz w:val="22"/>
          <w:szCs w:val="22"/>
        </w:rPr>
        <w:t xml:space="preserve">inent figures in the community, </w:t>
      </w:r>
      <w:r w:rsidRPr="00930BE4">
        <w:rPr>
          <w:sz w:val="22"/>
          <w:szCs w:val="22"/>
        </w:rPr>
        <w:t>including fishermen.</w:t>
      </w:r>
    </w:p>
    <w:p w14:paraId="06464AE6" w14:textId="77777777" w:rsidR="00F21D23" w:rsidRDefault="00F21D23" w:rsidP="00F21D23">
      <w:pPr>
        <w:numPr>
          <w:ilvl w:val="0"/>
          <w:numId w:val="3"/>
        </w:numPr>
        <w:spacing w:after="120"/>
        <w:ind w:left="0" w:firstLine="0"/>
        <w:jc w:val="both"/>
        <w:rPr>
          <w:sz w:val="22"/>
          <w:szCs w:val="22"/>
        </w:rPr>
      </w:pPr>
      <w:r w:rsidRPr="00930BE4">
        <w:rPr>
          <w:sz w:val="22"/>
          <w:szCs w:val="22"/>
        </w:rPr>
        <w:t>These discussions took place a</w:t>
      </w:r>
      <w:r>
        <w:rPr>
          <w:sz w:val="22"/>
          <w:szCs w:val="22"/>
        </w:rPr>
        <w:t>gainst a background of previous</w:t>
      </w:r>
      <w:r w:rsidRPr="00930BE4">
        <w:rPr>
          <w:sz w:val="22"/>
          <w:szCs w:val="22"/>
        </w:rPr>
        <w:t>actions by the community of Bel</w:t>
      </w:r>
      <w:r>
        <w:rPr>
          <w:sz w:val="22"/>
          <w:szCs w:val="22"/>
        </w:rPr>
        <w:t xml:space="preserve">itung’s Gersik Village that had </w:t>
      </w:r>
      <w:r w:rsidRPr="00930BE4">
        <w:rPr>
          <w:sz w:val="22"/>
          <w:szCs w:val="22"/>
        </w:rPr>
        <w:t>agreed internally in 1970 to prevent the use of certain fishing g</w:t>
      </w:r>
      <w:r>
        <w:rPr>
          <w:sz w:val="22"/>
          <w:szCs w:val="22"/>
        </w:rPr>
        <w:t xml:space="preserve">ear. </w:t>
      </w:r>
      <w:r w:rsidRPr="00930BE4">
        <w:rPr>
          <w:sz w:val="22"/>
          <w:szCs w:val="22"/>
        </w:rPr>
        <w:t>The community agreement outline</w:t>
      </w:r>
      <w:r>
        <w:rPr>
          <w:sz w:val="22"/>
          <w:szCs w:val="22"/>
        </w:rPr>
        <w:t xml:space="preserve">s a number of “rules” including </w:t>
      </w:r>
      <w:r w:rsidRPr="00930BE4">
        <w:rPr>
          <w:sz w:val="22"/>
          <w:szCs w:val="22"/>
        </w:rPr>
        <w:t>the fact that anyone fishing in Gers</w:t>
      </w:r>
      <w:r>
        <w:rPr>
          <w:sz w:val="22"/>
          <w:szCs w:val="22"/>
        </w:rPr>
        <w:t xml:space="preserve">ikwaters must use the same gear </w:t>
      </w:r>
      <w:r w:rsidRPr="00930BE4">
        <w:rPr>
          <w:sz w:val="22"/>
          <w:szCs w:val="22"/>
        </w:rPr>
        <w:t xml:space="preserve">as local fishermen and banning the use </w:t>
      </w:r>
      <w:r>
        <w:rPr>
          <w:sz w:val="22"/>
          <w:szCs w:val="22"/>
        </w:rPr>
        <w:t xml:space="preserve">of light fishing. The community </w:t>
      </w:r>
      <w:r w:rsidRPr="00930BE4">
        <w:rPr>
          <w:sz w:val="22"/>
          <w:szCs w:val="22"/>
        </w:rPr>
        <w:t>of Gersik Village, specialise in line-fishing for</w:t>
      </w:r>
      <w:r>
        <w:rPr>
          <w:sz w:val="22"/>
          <w:szCs w:val="22"/>
        </w:rPr>
        <w:t xml:space="preserve"> mackerel, snapper and other pelagic </w:t>
      </w:r>
      <w:r w:rsidRPr="00930BE4">
        <w:rPr>
          <w:sz w:val="22"/>
          <w:szCs w:val="22"/>
        </w:rPr>
        <w:t>species. In a</w:t>
      </w:r>
      <w:r>
        <w:rPr>
          <w:sz w:val="22"/>
          <w:szCs w:val="22"/>
        </w:rPr>
        <w:t xml:space="preserve">ddition, they also own ‘weirs’, </w:t>
      </w:r>
      <w:r w:rsidRPr="00930BE4">
        <w:rPr>
          <w:sz w:val="22"/>
          <w:szCs w:val="22"/>
        </w:rPr>
        <w:t>or fish fences, in the water near their h</w:t>
      </w:r>
      <w:r>
        <w:rPr>
          <w:sz w:val="22"/>
          <w:szCs w:val="22"/>
        </w:rPr>
        <w:t xml:space="preserve">ouses. They believe that if all </w:t>
      </w:r>
      <w:r w:rsidRPr="00930BE4">
        <w:rPr>
          <w:sz w:val="22"/>
          <w:szCs w:val="22"/>
        </w:rPr>
        <w:t>fishermen follow their rules, th</w:t>
      </w:r>
      <w:r>
        <w:rPr>
          <w:sz w:val="22"/>
          <w:szCs w:val="22"/>
        </w:rPr>
        <w:t xml:space="preserve">e catch will be sustainable and believed that the use of lift </w:t>
      </w:r>
      <w:r w:rsidRPr="00930BE4">
        <w:rPr>
          <w:sz w:val="22"/>
          <w:szCs w:val="22"/>
        </w:rPr>
        <w:t>nets an</w:t>
      </w:r>
      <w:r>
        <w:rPr>
          <w:sz w:val="22"/>
          <w:szCs w:val="22"/>
        </w:rPr>
        <w:t xml:space="preserve">d light fishing would adversely </w:t>
      </w:r>
      <w:r w:rsidRPr="00930BE4">
        <w:rPr>
          <w:sz w:val="22"/>
          <w:szCs w:val="22"/>
        </w:rPr>
        <w:t>affect their catch. Penalties included s</w:t>
      </w:r>
      <w:r>
        <w:rPr>
          <w:sz w:val="22"/>
          <w:szCs w:val="22"/>
        </w:rPr>
        <w:t xml:space="preserve">toning, confiscation of fishing </w:t>
      </w:r>
      <w:r w:rsidRPr="00930BE4">
        <w:rPr>
          <w:sz w:val="22"/>
          <w:szCs w:val="22"/>
        </w:rPr>
        <w:t>vessels and equipment, and lifel</w:t>
      </w:r>
      <w:r>
        <w:rPr>
          <w:sz w:val="22"/>
          <w:szCs w:val="22"/>
        </w:rPr>
        <w:t xml:space="preserve">ong expulsion from the village. </w:t>
      </w:r>
    </w:p>
    <w:p w14:paraId="51B417F8" w14:textId="77777777" w:rsidR="00F21D23" w:rsidRPr="00930BE4" w:rsidRDefault="00F21D23" w:rsidP="00F21D23">
      <w:pPr>
        <w:numPr>
          <w:ilvl w:val="0"/>
          <w:numId w:val="3"/>
        </w:numPr>
        <w:spacing w:after="120"/>
        <w:ind w:left="0" w:firstLine="0"/>
        <w:jc w:val="both"/>
        <w:rPr>
          <w:sz w:val="22"/>
          <w:szCs w:val="22"/>
        </w:rPr>
      </w:pPr>
      <w:r>
        <w:rPr>
          <w:sz w:val="22"/>
          <w:szCs w:val="22"/>
        </w:rPr>
        <w:t xml:space="preserve">At the time of demonstration </w:t>
      </w:r>
      <w:r w:rsidRPr="00930BE4">
        <w:rPr>
          <w:sz w:val="22"/>
          <w:szCs w:val="22"/>
        </w:rPr>
        <w:t>si</w:t>
      </w:r>
      <w:r>
        <w:rPr>
          <w:sz w:val="22"/>
          <w:szCs w:val="22"/>
        </w:rPr>
        <w:t xml:space="preserve">te implementation, six quarrels </w:t>
      </w:r>
      <w:r w:rsidRPr="00930BE4">
        <w:rPr>
          <w:sz w:val="22"/>
          <w:szCs w:val="22"/>
        </w:rPr>
        <w:t>had previously occurred with outside fishermen, resulting initially</w:t>
      </w:r>
      <w:r>
        <w:rPr>
          <w:sz w:val="22"/>
          <w:szCs w:val="22"/>
        </w:rPr>
        <w:t xml:space="preserve"> </w:t>
      </w:r>
      <w:r w:rsidRPr="00930BE4">
        <w:rPr>
          <w:sz w:val="22"/>
          <w:szCs w:val="22"/>
        </w:rPr>
        <w:t>in warnings to the fishermen to cease fishing, followed by more</w:t>
      </w:r>
      <w:r>
        <w:rPr>
          <w:sz w:val="22"/>
          <w:szCs w:val="22"/>
        </w:rPr>
        <w:t xml:space="preserve"> </w:t>
      </w:r>
      <w:r w:rsidRPr="00930BE4">
        <w:rPr>
          <w:sz w:val="22"/>
          <w:szCs w:val="22"/>
        </w:rPr>
        <w:t>drastic actions including stoning</w:t>
      </w:r>
      <w:r>
        <w:rPr>
          <w:sz w:val="22"/>
          <w:szCs w:val="22"/>
        </w:rPr>
        <w:t xml:space="preserve"> and the impoundment of fishing </w:t>
      </w:r>
      <w:r w:rsidRPr="00930BE4">
        <w:rPr>
          <w:sz w:val="22"/>
          <w:szCs w:val="22"/>
        </w:rPr>
        <w:t>boats and gear. In the 1990s, a</w:t>
      </w:r>
      <w:r>
        <w:rPr>
          <w:sz w:val="22"/>
          <w:szCs w:val="22"/>
        </w:rPr>
        <w:t xml:space="preserve">n agreement was reached between </w:t>
      </w:r>
      <w:r w:rsidRPr="00930BE4">
        <w:rPr>
          <w:sz w:val="22"/>
          <w:szCs w:val="22"/>
        </w:rPr>
        <w:t>the local governments of Belitung</w:t>
      </w:r>
      <w:r>
        <w:rPr>
          <w:sz w:val="22"/>
          <w:szCs w:val="22"/>
        </w:rPr>
        <w:t xml:space="preserve"> District and South Bangka that </w:t>
      </w:r>
      <w:r w:rsidRPr="00930BE4">
        <w:rPr>
          <w:sz w:val="22"/>
          <w:szCs w:val="22"/>
        </w:rPr>
        <w:t>stipulated that fishermen from So</w:t>
      </w:r>
      <w:r>
        <w:rPr>
          <w:sz w:val="22"/>
          <w:szCs w:val="22"/>
        </w:rPr>
        <w:t xml:space="preserve">uth Bangka catching fish in the </w:t>
      </w:r>
      <w:r w:rsidRPr="00930BE4">
        <w:rPr>
          <w:sz w:val="22"/>
          <w:szCs w:val="22"/>
        </w:rPr>
        <w:t>waters of Gersik Village must foll</w:t>
      </w:r>
      <w:r>
        <w:rPr>
          <w:sz w:val="22"/>
          <w:szCs w:val="22"/>
        </w:rPr>
        <w:t xml:space="preserve">ow the regulations developed by </w:t>
      </w:r>
      <w:r w:rsidRPr="00930BE4">
        <w:rPr>
          <w:sz w:val="22"/>
          <w:szCs w:val="22"/>
        </w:rPr>
        <w:t>the Gersik fishermen. Several ye</w:t>
      </w:r>
      <w:r>
        <w:rPr>
          <w:sz w:val="22"/>
          <w:szCs w:val="22"/>
        </w:rPr>
        <w:t xml:space="preserve">ars later, a disagreement arose </w:t>
      </w:r>
      <w:r w:rsidRPr="00930BE4">
        <w:rPr>
          <w:sz w:val="22"/>
          <w:szCs w:val="22"/>
        </w:rPr>
        <w:t>between the fishermen of Gersik, and</w:t>
      </w:r>
      <w:r>
        <w:rPr>
          <w:sz w:val="22"/>
          <w:szCs w:val="22"/>
        </w:rPr>
        <w:t xml:space="preserve"> those of Belitung District and </w:t>
      </w:r>
      <w:r w:rsidRPr="00930BE4">
        <w:rPr>
          <w:sz w:val="22"/>
          <w:szCs w:val="22"/>
        </w:rPr>
        <w:t>Pongok, Bangka District, in w</w:t>
      </w:r>
      <w:r>
        <w:rPr>
          <w:sz w:val="22"/>
          <w:szCs w:val="22"/>
        </w:rPr>
        <w:t xml:space="preserve">hich the latter were accused of </w:t>
      </w:r>
      <w:r w:rsidRPr="00930BE4">
        <w:rPr>
          <w:sz w:val="22"/>
          <w:szCs w:val="22"/>
        </w:rPr>
        <w:t>violating this agreement. A me</w:t>
      </w:r>
      <w:r>
        <w:rPr>
          <w:sz w:val="22"/>
          <w:szCs w:val="22"/>
        </w:rPr>
        <w:t xml:space="preserve">eting was convened </w:t>
      </w:r>
      <w:r w:rsidRPr="00930BE4">
        <w:rPr>
          <w:sz w:val="22"/>
          <w:szCs w:val="22"/>
        </w:rPr>
        <w:t>in Belitung to resolve the dispu</w:t>
      </w:r>
      <w:r>
        <w:rPr>
          <w:sz w:val="22"/>
          <w:szCs w:val="22"/>
        </w:rPr>
        <w:t xml:space="preserve">te and resulted in an agreement </w:t>
      </w:r>
      <w:r w:rsidRPr="00930BE4">
        <w:rPr>
          <w:sz w:val="22"/>
          <w:szCs w:val="22"/>
        </w:rPr>
        <w:t>to adopt a series of fisheries m</w:t>
      </w:r>
      <w:r>
        <w:rPr>
          <w:sz w:val="22"/>
          <w:szCs w:val="22"/>
        </w:rPr>
        <w:t xml:space="preserve">anagement rules to restrict the </w:t>
      </w:r>
      <w:r w:rsidRPr="00930BE4">
        <w:rPr>
          <w:sz w:val="22"/>
          <w:szCs w:val="22"/>
        </w:rPr>
        <w:t>times and locations of fishing.</w:t>
      </w:r>
    </w:p>
    <w:p w14:paraId="05086AB3" w14:textId="77777777" w:rsidR="00F21D23" w:rsidRDefault="00F21D23" w:rsidP="00F21D23">
      <w:pPr>
        <w:numPr>
          <w:ilvl w:val="0"/>
          <w:numId w:val="3"/>
        </w:numPr>
        <w:spacing w:after="120"/>
        <w:ind w:left="0" w:firstLine="0"/>
        <w:jc w:val="both"/>
        <w:rPr>
          <w:sz w:val="22"/>
          <w:szCs w:val="22"/>
        </w:rPr>
      </w:pPr>
      <w:r w:rsidRPr="00930BE4">
        <w:rPr>
          <w:sz w:val="22"/>
          <w:szCs w:val="22"/>
        </w:rPr>
        <w:t>To integrate the existing agre</w:t>
      </w:r>
      <w:r>
        <w:rPr>
          <w:sz w:val="22"/>
          <w:szCs w:val="22"/>
        </w:rPr>
        <w:t xml:space="preserve">ements initiated by the fishing </w:t>
      </w:r>
      <w:r w:rsidRPr="00930BE4">
        <w:rPr>
          <w:sz w:val="22"/>
          <w:szCs w:val="22"/>
        </w:rPr>
        <w:t>community of Gersik Village in</w:t>
      </w:r>
      <w:r>
        <w:rPr>
          <w:sz w:val="22"/>
          <w:szCs w:val="22"/>
        </w:rPr>
        <w:t xml:space="preserve">to the Resource Management Plan </w:t>
      </w:r>
      <w:r w:rsidRPr="00930BE4">
        <w:rPr>
          <w:sz w:val="22"/>
          <w:szCs w:val="22"/>
        </w:rPr>
        <w:t>for the entire Selat Nasik Sub-District r</w:t>
      </w:r>
      <w:r>
        <w:rPr>
          <w:sz w:val="22"/>
          <w:szCs w:val="22"/>
        </w:rPr>
        <w:t xml:space="preserve">equired a series of activities, </w:t>
      </w:r>
      <w:r w:rsidRPr="00930BE4">
        <w:rPr>
          <w:sz w:val="22"/>
          <w:szCs w:val="22"/>
        </w:rPr>
        <w:t>including widespread consultatio</w:t>
      </w:r>
      <w:r>
        <w:rPr>
          <w:sz w:val="22"/>
          <w:szCs w:val="22"/>
        </w:rPr>
        <w:t xml:space="preserve">ns followed by preparation of a </w:t>
      </w:r>
      <w:r w:rsidRPr="00930BE4">
        <w:rPr>
          <w:sz w:val="22"/>
          <w:szCs w:val="22"/>
        </w:rPr>
        <w:t>draft Resource Management Plan incorporating zones of use</w:t>
      </w:r>
      <w:r>
        <w:rPr>
          <w:sz w:val="22"/>
          <w:szCs w:val="22"/>
        </w:rPr>
        <w:t xml:space="preserve"> </w:t>
      </w:r>
      <w:r w:rsidRPr="00930BE4">
        <w:rPr>
          <w:sz w:val="22"/>
          <w:szCs w:val="22"/>
        </w:rPr>
        <w:t>throughout the Selat Nasik Sub-Distri</w:t>
      </w:r>
      <w:r>
        <w:rPr>
          <w:sz w:val="22"/>
          <w:szCs w:val="22"/>
        </w:rPr>
        <w:t xml:space="preserve">ct. ‘Red’ zones were designated </w:t>
      </w:r>
      <w:r w:rsidRPr="00930BE4">
        <w:rPr>
          <w:sz w:val="22"/>
          <w:szCs w:val="22"/>
        </w:rPr>
        <w:t xml:space="preserve">as areas that are completely </w:t>
      </w:r>
      <w:r>
        <w:rPr>
          <w:sz w:val="22"/>
          <w:szCs w:val="22"/>
        </w:rPr>
        <w:t xml:space="preserve">protected; ‘yellow’ zones are </w:t>
      </w:r>
      <w:r w:rsidRPr="00930BE4">
        <w:rPr>
          <w:sz w:val="22"/>
          <w:szCs w:val="22"/>
        </w:rPr>
        <w:t>areas of defined and limited use</w:t>
      </w:r>
      <w:r>
        <w:rPr>
          <w:sz w:val="22"/>
          <w:szCs w:val="22"/>
        </w:rPr>
        <w:t xml:space="preserve">; while ‘green’ zones represent </w:t>
      </w:r>
      <w:r w:rsidRPr="00930BE4">
        <w:rPr>
          <w:sz w:val="22"/>
          <w:szCs w:val="22"/>
        </w:rPr>
        <w:t>areas that are open to all kinds of activiti</w:t>
      </w:r>
      <w:r>
        <w:rPr>
          <w:sz w:val="22"/>
          <w:szCs w:val="22"/>
        </w:rPr>
        <w:t xml:space="preserve">es. The community’s aspirations </w:t>
      </w:r>
      <w:r w:rsidRPr="00930BE4">
        <w:rPr>
          <w:sz w:val="22"/>
          <w:szCs w:val="22"/>
        </w:rPr>
        <w:t>and desires</w:t>
      </w:r>
      <w:r>
        <w:rPr>
          <w:sz w:val="22"/>
          <w:szCs w:val="22"/>
        </w:rPr>
        <w:t xml:space="preserve"> </w:t>
      </w:r>
      <w:r w:rsidRPr="00930BE4">
        <w:rPr>
          <w:sz w:val="22"/>
          <w:szCs w:val="22"/>
        </w:rPr>
        <w:t>were taken fully</w:t>
      </w:r>
      <w:r>
        <w:rPr>
          <w:sz w:val="22"/>
          <w:szCs w:val="22"/>
        </w:rPr>
        <w:t xml:space="preserve"> into account in defining these </w:t>
      </w:r>
      <w:r w:rsidRPr="00930BE4">
        <w:rPr>
          <w:sz w:val="22"/>
          <w:szCs w:val="22"/>
        </w:rPr>
        <w:t>zones. Once the draft plan had been</w:t>
      </w:r>
      <w:r>
        <w:rPr>
          <w:sz w:val="22"/>
          <w:szCs w:val="22"/>
        </w:rPr>
        <w:t xml:space="preserve"> prepared, public consultations </w:t>
      </w:r>
      <w:r w:rsidRPr="00930BE4">
        <w:rPr>
          <w:sz w:val="22"/>
          <w:szCs w:val="22"/>
        </w:rPr>
        <w:t>were organised with the comm</w:t>
      </w:r>
      <w:r>
        <w:rPr>
          <w:sz w:val="22"/>
          <w:szCs w:val="22"/>
        </w:rPr>
        <w:t xml:space="preserve">unities of the Selat Nasik Sub- </w:t>
      </w:r>
      <w:r w:rsidRPr="00930BE4">
        <w:rPr>
          <w:sz w:val="22"/>
          <w:szCs w:val="22"/>
        </w:rPr>
        <w:t>District, after which the draft w</w:t>
      </w:r>
      <w:r>
        <w:rPr>
          <w:sz w:val="22"/>
          <w:szCs w:val="22"/>
        </w:rPr>
        <w:t xml:space="preserve">as revised and presented to the </w:t>
      </w:r>
      <w:r w:rsidRPr="00930BE4">
        <w:rPr>
          <w:sz w:val="22"/>
          <w:szCs w:val="22"/>
        </w:rPr>
        <w:t>local government for comment an</w:t>
      </w:r>
      <w:r>
        <w:rPr>
          <w:sz w:val="22"/>
          <w:szCs w:val="22"/>
        </w:rPr>
        <w:t xml:space="preserve">d discussion. At the same time, </w:t>
      </w:r>
      <w:r w:rsidRPr="00930BE4">
        <w:rPr>
          <w:sz w:val="22"/>
          <w:szCs w:val="22"/>
        </w:rPr>
        <w:t>drafts of local regulations (Perd</w:t>
      </w:r>
      <w:r>
        <w:rPr>
          <w:sz w:val="22"/>
          <w:szCs w:val="22"/>
        </w:rPr>
        <w:t xml:space="preserve">a) on coral reef management and </w:t>
      </w:r>
      <w:r w:rsidRPr="00930BE4">
        <w:rPr>
          <w:sz w:val="22"/>
          <w:szCs w:val="22"/>
        </w:rPr>
        <w:t>fi</w:t>
      </w:r>
      <w:r>
        <w:rPr>
          <w:sz w:val="22"/>
          <w:szCs w:val="22"/>
        </w:rPr>
        <w:t xml:space="preserve">shing activities and the use of </w:t>
      </w:r>
      <w:r w:rsidRPr="00930BE4">
        <w:rPr>
          <w:sz w:val="22"/>
          <w:szCs w:val="22"/>
        </w:rPr>
        <w:t>gear</w:t>
      </w:r>
      <w:r>
        <w:rPr>
          <w:sz w:val="22"/>
          <w:szCs w:val="22"/>
        </w:rPr>
        <w:t xml:space="preserve"> based on the Gersik agreements </w:t>
      </w:r>
      <w:r w:rsidRPr="00930BE4">
        <w:rPr>
          <w:sz w:val="22"/>
          <w:szCs w:val="22"/>
        </w:rPr>
        <w:t>were considered and endo</w:t>
      </w:r>
      <w:r>
        <w:rPr>
          <w:sz w:val="22"/>
          <w:szCs w:val="22"/>
        </w:rPr>
        <w:t xml:space="preserve">rsed by the Local Government of </w:t>
      </w:r>
      <w:r w:rsidRPr="00930BE4">
        <w:rPr>
          <w:sz w:val="22"/>
          <w:szCs w:val="22"/>
        </w:rPr>
        <w:t>Belitung District.</w:t>
      </w:r>
    </w:p>
    <w:p w14:paraId="2EF21431" w14:textId="77777777" w:rsidR="00F21D23" w:rsidRPr="00F21D23" w:rsidRDefault="00F21D23" w:rsidP="00F21D23">
      <w:pPr>
        <w:spacing w:after="120"/>
        <w:jc w:val="both"/>
        <w:rPr>
          <w:b/>
          <w:i/>
          <w:sz w:val="22"/>
          <w:szCs w:val="22"/>
        </w:rPr>
      </w:pPr>
      <w:r w:rsidRPr="00F21D23">
        <w:rPr>
          <w:b/>
          <w:i/>
          <w:sz w:val="22"/>
          <w:szCs w:val="22"/>
        </w:rPr>
        <w:t>Adoption of supplementary and alternative livelihoods as tools for improved habitat and resource management</w:t>
      </w:r>
    </w:p>
    <w:p w14:paraId="17FD7A5D" w14:textId="77777777" w:rsidR="00F21D23" w:rsidRPr="00930BE4" w:rsidRDefault="00F21D23" w:rsidP="00F21D23">
      <w:pPr>
        <w:numPr>
          <w:ilvl w:val="0"/>
          <w:numId w:val="3"/>
        </w:numPr>
        <w:spacing w:after="120"/>
        <w:ind w:left="0" w:firstLine="0"/>
        <w:jc w:val="both"/>
        <w:rPr>
          <w:sz w:val="22"/>
          <w:szCs w:val="22"/>
        </w:rPr>
      </w:pPr>
      <w:r w:rsidRPr="00930BE4">
        <w:rPr>
          <w:sz w:val="22"/>
          <w:szCs w:val="22"/>
        </w:rPr>
        <w:t xml:space="preserve">Given that many coastal </w:t>
      </w:r>
      <w:r>
        <w:rPr>
          <w:sz w:val="22"/>
          <w:szCs w:val="22"/>
        </w:rPr>
        <w:t xml:space="preserve">communities bordering the South </w:t>
      </w:r>
      <w:r w:rsidRPr="00930BE4">
        <w:rPr>
          <w:sz w:val="22"/>
          <w:szCs w:val="22"/>
        </w:rPr>
        <w:t>China Sea live in poverty, much</w:t>
      </w:r>
      <w:r>
        <w:rPr>
          <w:sz w:val="22"/>
          <w:szCs w:val="22"/>
        </w:rPr>
        <w:t xml:space="preserve"> of their livelihood depends on </w:t>
      </w:r>
      <w:r w:rsidRPr="00930BE4">
        <w:rPr>
          <w:sz w:val="22"/>
          <w:szCs w:val="22"/>
        </w:rPr>
        <w:t>natural coastal resources. Resou</w:t>
      </w:r>
      <w:r>
        <w:rPr>
          <w:sz w:val="22"/>
          <w:szCs w:val="22"/>
        </w:rPr>
        <w:t xml:space="preserve">rce exploitation causes habitat </w:t>
      </w:r>
      <w:r w:rsidRPr="00930BE4">
        <w:rPr>
          <w:sz w:val="22"/>
          <w:szCs w:val="22"/>
        </w:rPr>
        <w:t>degradation because of inappropr</w:t>
      </w:r>
      <w:r>
        <w:rPr>
          <w:sz w:val="22"/>
          <w:szCs w:val="22"/>
        </w:rPr>
        <w:t xml:space="preserve">iate techniques and poor </w:t>
      </w:r>
      <w:r w:rsidRPr="00930BE4">
        <w:rPr>
          <w:sz w:val="22"/>
          <w:szCs w:val="22"/>
        </w:rPr>
        <w:t>awareness of sustainable use pra</w:t>
      </w:r>
      <w:r>
        <w:rPr>
          <w:sz w:val="22"/>
          <w:szCs w:val="22"/>
        </w:rPr>
        <w:t xml:space="preserve">ctices. Most projects regarding </w:t>
      </w:r>
      <w:r w:rsidRPr="00930BE4">
        <w:rPr>
          <w:sz w:val="22"/>
          <w:szCs w:val="22"/>
        </w:rPr>
        <w:t>habitat conservation have, therefore</w:t>
      </w:r>
      <w:r>
        <w:rPr>
          <w:sz w:val="22"/>
          <w:szCs w:val="22"/>
        </w:rPr>
        <w:t xml:space="preserve">, sought different solutions to </w:t>
      </w:r>
      <w:r w:rsidRPr="00930BE4">
        <w:rPr>
          <w:sz w:val="22"/>
          <w:szCs w:val="22"/>
        </w:rPr>
        <w:t>improve incomes and the food secur</w:t>
      </w:r>
      <w:r>
        <w:rPr>
          <w:sz w:val="22"/>
          <w:szCs w:val="22"/>
        </w:rPr>
        <w:t xml:space="preserve">ity of local communities. These </w:t>
      </w:r>
      <w:r w:rsidRPr="00930BE4">
        <w:rPr>
          <w:sz w:val="22"/>
          <w:szCs w:val="22"/>
        </w:rPr>
        <w:t>include: development of alterna</w:t>
      </w:r>
      <w:r>
        <w:rPr>
          <w:sz w:val="22"/>
          <w:szCs w:val="22"/>
        </w:rPr>
        <w:t xml:space="preserve">tive income and food generating </w:t>
      </w:r>
      <w:r w:rsidRPr="00930BE4">
        <w:rPr>
          <w:sz w:val="22"/>
          <w:szCs w:val="22"/>
        </w:rPr>
        <w:t>activities not directly dependent upo</w:t>
      </w:r>
      <w:r>
        <w:rPr>
          <w:sz w:val="22"/>
          <w:szCs w:val="22"/>
        </w:rPr>
        <w:t xml:space="preserve">n coastal habitats; training on </w:t>
      </w:r>
      <w:r w:rsidRPr="00930BE4">
        <w:rPr>
          <w:sz w:val="22"/>
          <w:szCs w:val="22"/>
        </w:rPr>
        <w:t>resource exploitation techniques,</w:t>
      </w:r>
      <w:r>
        <w:rPr>
          <w:sz w:val="22"/>
          <w:szCs w:val="22"/>
        </w:rPr>
        <w:t xml:space="preserve"> sustainable habitat protection </w:t>
      </w:r>
      <w:r w:rsidRPr="00930BE4">
        <w:rPr>
          <w:sz w:val="22"/>
          <w:szCs w:val="22"/>
        </w:rPr>
        <w:t>and adding value to fisheries products; and the sustainable</w:t>
      </w:r>
      <w:r>
        <w:rPr>
          <w:sz w:val="22"/>
          <w:szCs w:val="22"/>
        </w:rPr>
        <w:t xml:space="preserve"> use of </w:t>
      </w:r>
      <w:r w:rsidRPr="00930BE4">
        <w:rPr>
          <w:sz w:val="22"/>
          <w:szCs w:val="22"/>
        </w:rPr>
        <w:t xml:space="preserve">populations of natural living </w:t>
      </w:r>
      <w:r>
        <w:rPr>
          <w:sz w:val="22"/>
          <w:szCs w:val="22"/>
        </w:rPr>
        <w:t xml:space="preserve">resources promoted by effective </w:t>
      </w:r>
      <w:r w:rsidRPr="00930BE4">
        <w:rPr>
          <w:sz w:val="22"/>
          <w:szCs w:val="22"/>
        </w:rPr>
        <w:t>management.</w:t>
      </w:r>
    </w:p>
    <w:p w14:paraId="724BFE1A" w14:textId="77777777" w:rsidR="00CA1DE7" w:rsidRPr="00930BE4" w:rsidRDefault="00CA1DE7" w:rsidP="00CA1DE7">
      <w:pPr>
        <w:numPr>
          <w:ilvl w:val="0"/>
          <w:numId w:val="3"/>
        </w:numPr>
        <w:spacing w:after="120"/>
        <w:ind w:left="0" w:firstLine="0"/>
        <w:jc w:val="both"/>
        <w:rPr>
          <w:sz w:val="22"/>
          <w:szCs w:val="22"/>
        </w:rPr>
      </w:pPr>
      <w:r w:rsidRPr="00930BE4">
        <w:rPr>
          <w:sz w:val="22"/>
          <w:szCs w:val="22"/>
        </w:rPr>
        <w:t>Several of the SCS project demonstra</w:t>
      </w:r>
      <w:r>
        <w:rPr>
          <w:sz w:val="22"/>
          <w:szCs w:val="22"/>
        </w:rPr>
        <w:t xml:space="preserve">tion sites undertook activities </w:t>
      </w:r>
      <w:r w:rsidRPr="00930BE4">
        <w:rPr>
          <w:sz w:val="22"/>
          <w:szCs w:val="22"/>
        </w:rPr>
        <w:t>focused on the development o</w:t>
      </w:r>
      <w:r>
        <w:rPr>
          <w:sz w:val="22"/>
          <w:szCs w:val="22"/>
        </w:rPr>
        <w:t xml:space="preserve">f supplementary and alternative </w:t>
      </w:r>
      <w:r w:rsidRPr="00930BE4">
        <w:rPr>
          <w:sz w:val="22"/>
          <w:szCs w:val="22"/>
        </w:rPr>
        <w:t>livelihoods. The practices introduced at the B</w:t>
      </w:r>
      <w:r>
        <w:rPr>
          <w:sz w:val="22"/>
          <w:szCs w:val="22"/>
        </w:rPr>
        <w:t xml:space="preserve">atu Ampar site </w:t>
      </w:r>
      <w:r w:rsidRPr="00930BE4">
        <w:rPr>
          <w:sz w:val="22"/>
          <w:szCs w:val="22"/>
        </w:rPr>
        <w:t>were tools for the improvement of</w:t>
      </w:r>
      <w:r>
        <w:rPr>
          <w:sz w:val="22"/>
          <w:szCs w:val="22"/>
        </w:rPr>
        <w:t xml:space="preserve"> not only local livelihoods but </w:t>
      </w:r>
      <w:r w:rsidRPr="00930BE4">
        <w:rPr>
          <w:sz w:val="22"/>
          <w:szCs w:val="22"/>
        </w:rPr>
        <w:t>also habitat and resource manageme</w:t>
      </w:r>
      <w:r>
        <w:rPr>
          <w:sz w:val="22"/>
          <w:szCs w:val="22"/>
        </w:rPr>
        <w:t xml:space="preserve">nt. At this demonstration site, </w:t>
      </w:r>
      <w:r w:rsidRPr="00930BE4">
        <w:rPr>
          <w:sz w:val="22"/>
          <w:szCs w:val="22"/>
        </w:rPr>
        <w:t xml:space="preserve">the community largely comprises </w:t>
      </w:r>
      <w:r>
        <w:rPr>
          <w:sz w:val="22"/>
          <w:szCs w:val="22"/>
        </w:rPr>
        <w:t xml:space="preserve">farmers and fishermen dependent </w:t>
      </w:r>
      <w:r w:rsidRPr="00930BE4">
        <w:rPr>
          <w:sz w:val="22"/>
          <w:szCs w:val="22"/>
        </w:rPr>
        <w:t>on mangrove forest products and copra producti</w:t>
      </w:r>
      <w:r>
        <w:rPr>
          <w:sz w:val="22"/>
          <w:szCs w:val="22"/>
        </w:rPr>
        <w:t xml:space="preserve">on. Communities </w:t>
      </w:r>
      <w:r w:rsidRPr="00930BE4">
        <w:rPr>
          <w:sz w:val="22"/>
          <w:szCs w:val="22"/>
        </w:rPr>
        <w:t>in the Kubu and Teluk Pakedai dis</w:t>
      </w:r>
      <w:r>
        <w:rPr>
          <w:sz w:val="22"/>
          <w:szCs w:val="22"/>
        </w:rPr>
        <w:t xml:space="preserve">tricts at the site are charcoal </w:t>
      </w:r>
      <w:r w:rsidRPr="00930BE4">
        <w:rPr>
          <w:sz w:val="22"/>
          <w:szCs w:val="22"/>
        </w:rPr>
        <w:t>producers operating 135 kilns and p</w:t>
      </w:r>
      <w:r>
        <w:rPr>
          <w:sz w:val="22"/>
          <w:szCs w:val="22"/>
        </w:rPr>
        <w:t xml:space="preserve">roducing 420 tonnes of charcoal </w:t>
      </w:r>
      <w:r w:rsidRPr="00930BE4">
        <w:rPr>
          <w:sz w:val="22"/>
          <w:szCs w:val="22"/>
        </w:rPr>
        <w:t xml:space="preserve">annually. As most of </w:t>
      </w:r>
      <w:r>
        <w:rPr>
          <w:sz w:val="22"/>
          <w:szCs w:val="22"/>
        </w:rPr>
        <w:t xml:space="preserve">this charcoal was produced from </w:t>
      </w:r>
      <w:r w:rsidRPr="00930BE4">
        <w:rPr>
          <w:sz w:val="22"/>
          <w:szCs w:val="22"/>
        </w:rPr>
        <w:t>mangrove timber, a large component of the project was t</w:t>
      </w:r>
      <w:r>
        <w:rPr>
          <w:sz w:val="22"/>
          <w:szCs w:val="22"/>
        </w:rPr>
        <w:t xml:space="preserve">he </w:t>
      </w:r>
      <w:r w:rsidRPr="00930BE4">
        <w:rPr>
          <w:sz w:val="22"/>
          <w:szCs w:val="22"/>
        </w:rPr>
        <w:t>development and implementation of</w:t>
      </w:r>
      <w:r>
        <w:rPr>
          <w:sz w:val="22"/>
          <w:szCs w:val="22"/>
        </w:rPr>
        <w:t xml:space="preserve"> a business plan for production </w:t>
      </w:r>
      <w:r w:rsidRPr="00930BE4">
        <w:rPr>
          <w:sz w:val="22"/>
          <w:szCs w:val="22"/>
        </w:rPr>
        <w:t>and overseas marketing of charcoal</w:t>
      </w:r>
      <w:r>
        <w:rPr>
          <w:sz w:val="22"/>
          <w:szCs w:val="22"/>
        </w:rPr>
        <w:t xml:space="preserve"> produced from coconut shell, a </w:t>
      </w:r>
      <w:r w:rsidRPr="00930BE4">
        <w:rPr>
          <w:sz w:val="22"/>
          <w:szCs w:val="22"/>
        </w:rPr>
        <w:t>waste product from copra</w:t>
      </w:r>
      <w:r>
        <w:rPr>
          <w:sz w:val="22"/>
          <w:szCs w:val="22"/>
        </w:rPr>
        <w:t xml:space="preserve"> production</w:t>
      </w:r>
      <w:r w:rsidR="00047D6B">
        <w:rPr>
          <w:sz w:val="22"/>
          <w:szCs w:val="22"/>
        </w:rPr>
        <w:t>.</w:t>
      </w:r>
      <w:r>
        <w:rPr>
          <w:sz w:val="22"/>
          <w:szCs w:val="22"/>
        </w:rPr>
        <w:t xml:space="preserve"> The outcome of the change </w:t>
      </w:r>
      <w:r w:rsidRPr="00930BE4">
        <w:rPr>
          <w:sz w:val="22"/>
          <w:szCs w:val="22"/>
        </w:rPr>
        <w:t>from mangrove wood to coconut shell as the source of raw ma</w:t>
      </w:r>
      <w:r>
        <w:rPr>
          <w:sz w:val="22"/>
          <w:szCs w:val="22"/>
        </w:rPr>
        <w:t xml:space="preserve">terial for charcoal production </w:t>
      </w:r>
      <w:r w:rsidRPr="00930BE4">
        <w:rPr>
          <w:sz w:val="22"/>
          <w:szCs w:val="22"/>
        </w:rPr>
        <w:t>resu</w:t>
      </w:r>
      <w:r>
        <w:rPr>
          <w:sz w:val="22"/>
          <w:szCs w:val="22"/>
        </w:rPr>
        <w:t xml:space="preserve">lted in a reduction of mangrove </w:t>
      </w:r>
      <w:r w:rsidRPr="00930BE4">
        <w:rPr>
          <w:sz w:val="22"/>
          <w:szCs w:val="22"/>
        </w:rPr>
        <w:t xml:space="preserve">clearance by </w:t>
      </w:r>
      <w:r w:rsidR="00047D6B">
        <w:rPr>
          <w:sz w:val="22"/>
          <w:szCs w:val="22"/>
        </w:rPr>
        <w:t>18</w:t>
      </w:r>
      <w:r w:rsidRPr="00930BE4">
        <w:rPr>
          <w:sz w:val="22"/>
          <w:szCs w:val="22"/>
        </w:rPr>
        <w:t xml:space="preserve"> ha per annum.</w:t>
      </w:r>
    </w:p>
    <w:p w14:paraId="68600DC0" w14:textId="77777777" w:rsidR="00CA1DE7" w:rsidRDefault="00CA1DE7" w:rsidP="00CA1DE7">
      <w:pPr>
        <w:numPr>
          <w:ilvl w:val="0"/>
          <w:numId w:val="3"/>
        </w:numPr>
        <w:spacing w:after="120"/>
        <w:ind w:left="0" w:firstLine="0"/>
        <w:jc w:val="both"/>
        <w:rPr>
          <w:sz w:val="22"/>
          <w:szCs w:val="22"/>
        </w:rPr>
      </w:pPr>
      <w:r w:rsidRPr="00930BE4">
        <w:rPr>
          <w:sz w:val="22"/>
          <w:szCs w:val="22"/>
        </w:rPr>
        <w:t>Alternative livelihoods and busi</w:t>
      </w:r>
      <w:r>
        <w:rPr>
          <w:sz w:val="22"/>
          <w:szCs w:val="22"/>
        </w:rPr>
        <w:t xml:space="preserve">ness opportunities based on the </w:t>
      </w:r>
      <w:r w:rsidRPr="00930BE4">
        <w:rPr>
          <w:sz w:val="22"/>
          <w:szCs w:val="22"/>
        </w:rPr>
        <w:t>use of non-timber mangrove produc</w:t>
      </w:r>
      <w:r>
        <w:rPr>
          <w:sz w:val="22"/>
          <w:szCs w:val="22"/>
        </w:rPr>
        <w:t xml:space="preserve">ts were identified and analysed </w:t>
      </w:r>
      <w:r w:rsidRPr="00930BE4">
        <w:rPr>
          <w:sz w:val="22"/>
          <w:szCs w:val="22"/>
        </w:rPr>
        <w:t>in order to reduce mangrove cutti</w:t>
      </w:r>
      <w:r>
        <w:rPr>
          <w:sz w:val="22"/>
          <w:szCs w:val="22"/>
        </w:rPr>
        <w:t xml:space="preserve">ng. Business opportunities that </w:t>
      </w:r>
      <w:r w:rsidRPr="00930BE4">
        <w:rPr>
          <w:sz w:val="22"/>
          <w:szCs w:val="22"/>
        </w:rPr>
        <w:t>were encouraged included the produ</w:t>
      </w:r>
      <w:r>
        <w:rPr>
          <w:sz w:val="22"/>
          <w:szCs w:val="22"/>
        </w:rPr>
        <w:t xml:space="preserve">ction of coconut shell charcoal </w:t>
      </w:r>
      <w:r w:rsidRPr="00930BE4">
        <w:rPr>
          <w:sz w:val="22"/>
          <w:szCs w:val="22"/>
        </w:rPr>
        <w:t>(see above) and the culture of sof</w:t>
      </w:r>
      <w:r>
        <w:rPr>
          <w:sz w:val="22"/>
          <w:szCs w:val="22"/>
        </w:rPr>
        <w:t xml:space="preserve">t-shelled mud crab, Scylla spp. </w:t>
      </w:r>
      <w:r w:rsidRPr="00930BE4">
        <w:rPr>
          <w:sz w:val="22"/>
          <w:szCs w:val="22"/>
        </w:rPr>
        <w:t>Training and study visits were pro</w:t>
      </w:r>
      <w:r>
        <w:rPr>
          <w:sz w:val="22"/>
          <w:szCs w:val="22"/>
        </w:rPr>
        <w:t xml:space="preserve">vided to individuals from local </w:t>
      </w:r>
      <w:r w:rsidRPr="00930BE4">
        <w:rPr>
          <w:sz w:val="22"/>
          <w:szCs w:val="22"/>
        </w:rPr>
        <w:t xml:space="preserve">communities who were interested </w:t>
      </w:r>
      <w:r>
        <w:rPr>
          <w:sz w:val="22"/>
          <w:szCs w:val="22"/>
        </w:rPr>
        <w:t xml:space="preserve">in these activities. A training </w:t>
      </w:r>
      <w:r w:rsidRPr="00930BE4">
        <w:rPr>
          <w:sz w:val="22"/>
          <w:szCs w:val="22"/>
        </w:rPr>
        <w:t>course on the improvement of char</w:t>
      </w:r>
      <w:r>
        <w:rPr>
          <w:sz w:val="22"/>
          <w:szCs w:val="22"/>
        </w:rPr>
        <w:t xml:space="preserve">coal quality was also conducted </w:t>
      </w:r>
      <w:r w:rsidRPr="00930BE4">
        <w:rPr>
          <w:sz w:val="22"/>
          <w:szCs w:val="22"/>
        </w:rPr>
        <w:t>for small scale charcoal producers. In addition, the project supported</w:t>
      </w:r>
      <w:r>
        <w:rPr>
          <w:sz w:val="22"/>
          <w:szCs w:val="22"/>
        </w:rPr>
        <w:t xml:space="preserve"> </w:t>
      </w:r>
      <w:r w:rsidRPr="00930BE4">
        <w:rPr>
          <w:sz w:val="22"/>
          <w:szCs w:val="22"/>
        </w:rPr>
        <w:t>local communities in planting Leban to be used as alternative</w:t>
      </w:r>
      <w:r>
        <w:rPr>
          <w:sz w:val="22"/>
          <w:szCs w:val="22"/>
        </w:rPr>
        <w:t xml:space="preserve"> </w:t>
      </w:r>
      <w:r w:rsidRPr="00930BE4">
        <w:rPr>
          <w:sz w:val="22"/>
          <w:szCs w:val="22"/>
        </w:rPr>
        <w:t>raw material for charcoal pro</w:t>
      </w:r>
      <w:r>
        <w:rPr>
          <w:sz w:val="22"/>
          <w:szCs w:val="22"/>
        </w:rPr>
        <w:t xml:space="preserve">duction; and the development of </w:t>
      </w:r>
      <w:r w:rsidRPr="00930BE4">
        <w:rPr>
          <w:sz w:val="22"/>
          <w:szCs w:val="22"/>
        </w:rPr>
        <w:t>soft-shell crab culture. In paralle</w:t>
      </w:r>
      <w:r>
        <w:rPr>
          <w:sz w:val="22"/>
          <w:szCs w:val="22"/>
        </w:rPr>
        <w:t xml:space="preserve">l, numerous training, education </w:t>
      </w:r>
      <w:r w:rsidRPr="00930BE4">
        <w:rPr>
          <w:sz w:val="22"/>
          <w:szCs w:val="22"/>
        </w:rPr>
        <w:t>and public awareness activities</w:t>
      </w:r>
      <w:r>
        <w:rPr>
          <w:sz w:val="22"/>
          <w:szCs w:val="22"/>
        </w:rPr>
        <w:t xml:space="preserve"> were implemented including the </w:t>
      </w:r>
      <w:r w:rsidRPr="00930BE4">
        <w:rPr>
          <w:sz w:val="22"/>
          <w:szCs w:val="22"/>
        </w:rPr>
        <w:t>i</w:t>
      </w:r>
      <w:r>
        <w:rPr>
          <w:sz w:val="22"/>
          <w:szCs w:val="22"/>
        </w:rPr>
        <w:t xml:space="preserve">mprovement of charcoal quality, </w:t>
      </w:r>
      <w:r w:rsidRPr="00930BE4">
        <w:rPr>
          <w:sz w:val="22"/>
          <w:szCs w:val="22"/>
        </w:rPr>
        <w:t>management of mangrove eco</w:t>
      </w:r>
      <w:r>
        <w:rPr>
          <w:sz w:val="22"/>
          <w:szCs w:val="22"/>
        </w:rPr>
        <w:t xml:space="preserve">systems </w:t>
      </w:r>
      <w:r w:rsidRPr="00930BE4">
        <w:rPr>
          <w:sz w:val="22"/>
          <w:szCs w:val="22"/>
        </w:rPr>
        <w:t>and silvofishery techniques.</w:t>
      </w:r>
    </w:p>
    <w:p w14:paraId="47FC6494" w14:textId="77777777" w:rsidR="00CA1DE7" w:rsidRPr="00CA1DE7" w:rsidRDefault="00CA1DE7" w:rsidP="00CA1DE7">
      <w:pPr>
        <w:spacing w:after="120"/>
        <w:jc w:val="both"/>
        <w:rPr>
          <w:b/>
          <w:i/>
          <w:sz w:val="22"/>
          <w:szCs w:val="22"/>
        </w:rPr>
      </w:pPr>
      <w:r w:rsidRPr="00CA1DE7">
        <w:rPr>
          <w:b/>
          <w:i/>
          <w:sz w:val="22"/>
          <w:szCs w:val="22"/>
        </w:rPr>
        <w:t>Promotion of sustainable tourism in coastal areas</w:t>
      </w:r>
    </w:p>
    <w:p w14:paraId="38AB55D6" w14:textId="77777777" w:rsidR="00CA1DE7" w:rsidRPr="00930BE4" w:rsidRDefault="00CA1DE7" w:rsidP="00CA1DE7">
      <w:pPr>
        <w:numPr>
          <w:ilvl w:val="0"/>
          <w:numId w:val="3"/>
        </w:numPr>
        <w:spacing w:after="120"/>
        <w:ind w:left="0" w:firstLine="0"/>
        <w:jc w:val="both"/>
        <w:rPr>
          <w:sz w:val="22"/>
          <w:szCs w:val="22"/>
        </w:rPr>
      </w:pPr>
      <w:r w:rsidRPr="00930BE4">
        <w:rPr>
          <w:sz w:val="22"/>
          <w:szCs w:val="22"/>
        </w:rPr>
        <w:t>Tourism development pro</w:t>
      </w:r>
      <w:r>
        <w:rPr>
          <w:sz w:val="22"/>
          <w:szCs w:val="22"/>
        </w:rPr>
        <w:t xml:space="preserve">jects in tropical coastal areas </w:t>
      </w:r>
      <w:r w:rsidRPr="00930BE4">
        <w:rPr>
          <w:sz w:val="22"/>
          <w:szCs w:val="22"/>
        </w:rPr>
        <w:t>frequently r</w:t>
      </w:r>
      <w:r>
        <w:rPr>
          <w:sz w:val="22"/>
          <w:szCs w:val="22"/>
        </w:rPr>
        <w:t xml:space="preserve">esult in significant coral reef degradation. Studies of the </w:t>
      </w:r>
      <w:r w:rsidRPr="00930BE4">
        <w:rPr>
          <w:sz w:val="22"/>
          <w:szCs w:val="22"/>
        </w:rPr>
        <w:t>carrying capacity of tourism sites a</w:t>
      </w:r>
      <w:r>
        <w:rPr>
          <w:sz w:val="22"/>
          <w:szCs w:val="22"/>
        </w:rPr>
        <w:t xml:space="preserve">re critical in order to ensure </w:t>
      </w:r>
      <w:r w:rsidRPr="00930BE4">
        <w:rPr>
          <w:sz w:val="22"/>
          <w:szCs w:val="22"/>
        </w:rPr>
        <w:t>sustainable tourism. This wa</w:t>
      </w:r>
      <w:r>
        <w:rPr>
          <w:sz w:val="22"/>
          <w:szCs w:val="22"/>
        </w:rPr>
        <w:t xml:space="preserve">s the focus of the Mu Koh Chang </w:t>
      </w:r>
      <w:r w:rsidRPr="00930BE4">
        <w:rPr>
          <w:sz w:val="22"/>
          <w:szCs w:val="22"/>
        </w:rPr>
        <w:t>demonstration site in Thailand. Desi</w:t>
      </w:r>
      <w:r>
        <w:rPr>
          <w:sz w:val="22"/>
          <w:szCs w:val="22"/>
        </w:rPr>
        <w:t xml:space="preserve">gnated a National Park in 1982, </w:t>
      </w:r>
      <w:r w:rsidRPr="00930BE4">
        <w:rPr>
          <w:sz w:val="22"/>
          <w:szCs w:val="22"/>
        </w:rPr>
        <w:t>the Mu Koh Chang island group</w:t>
      </w:r>
      <w:r>
        <w:rPr>
          <w:sz w:val="22"/>
          <w:szCs w:val="22"/>
        </w:rPr>
        <w:t xml:space="preserve"> was subsequently designated in </w:t>
      </w:r>
      <w:r w:rsidRPr="00930BE4">
        <w:rPr>
          <w:sz w:val="22"/>
          <w:szCs w:val="22"/>
        </w:rPr>
        <w:t>2002 as an area having special or un</w:t>
      </w:r>
      <w:r>
        <w:rPr>
          <w:sz w:val="22"/>
          <w:szCs w:val="22"/>
        </w:rPr>
        <w:t xml:space="preserve">ique tourism features and </w:t>
      </w:r>
      <w:r w:rsidRPr="00930BE4">
        <w:rPr>
          <w:sz w:val="22"/>
          <w:szCs w:val="22"/>
        </w:rPr>
        <w:t>identified as a new tourism destina</w:t>
      </w:r>
      <w:r>
        <w:rPr>
          <w:sz w:val="22"/>
          <w:szCs w:val="22"/>
        </w:rPr>
        <w:t xml:space="preserve">tion in Thailand. Most tourists </w:t>
      </w:r>
      <w:r w:rsidRPr="00930BE4">
        <w:rPr>
          <w:sz w:val="22"/>
          <w:szCs w:val="22"/>
        </w:rPr>
        <w:t>who visit Mu Koh Chang are in</w:t>
      </w:r>
      <w:r>
        <w:rPr>
          <w:sz w:val="22"/>
          <w:szCs w:val="22"/>
        </w:rPr>
        <w:t xml:space="preserve">volved in snorkelling and SCUBA </w:t>
      </w:r>
      <w:r w:rsidRPr="00930BE4">
        <w:rPr>
          <w:sz w:val="22"/>
          <w:szCs w:val="22"/>
        </w:rPr>
        <w:t>diving. The number of visitor</w:t>
      </w:r>
      <w:r>
        <w:rPr>
          <w:sz w:val="22"/>
          <w:szCs w:val="22"/>
        </w:rPr>
        <w:t xml:space="preserve">s in 2007 was approximately one </w:t>
      </w:r>
      <w:r w:rsidRPr="00930BE4">
        <w:rPr>
          <w:sz w:val="22"/>
          <w:szCs w:val="22"/>
        </w:rPr>
        <w:t>million, four times the number visiting in 2003.</w:t>
      </w:r>
    </w:p>
    <w:p w14:paraId="2008C4F1" w14:textId="77777777" w:rsidR="00CA1DE7" w:rsidRPr="00930BE4" w:rsidRDefault="00CA1DE7" w:rsidP="00CA1DE7">
      <w:pPr>
        <w:numPr>
          <w:ilvl w:val="0"/>
          <w:numId w:val="3"/>
        </w:numPr>
        <w:spacing w:after="120"/>
        <w:ind w:left="0" w:firstLine="0"/>
        <w:jc w:val="both"/>
        <w:rPr>
          <w:sz w:val="22"/>
          <w:szCs w:val="22"/>
        </w:rPr>
      </w:pPr>
      <w:r w:rsidRPr="00930BE4">
        <w:rPr>
          <w:sz w:val="22"/>
          <w:szCs w:val="22"/>
        </w:rPr>
        <w:t>To develop guidelines and me</w:t>
      </w:r>
      <w:r>
        <w:rPr>
          <w:sz w:val="22"/>
          <w:szCs w:val="22"/>
        </w:rPr>
        <w:t xml:space="preserve">asures to control the number of </w:t>
      </w:r>
      <w:r w:rsidRPr="00930BE4">
        <w:rPr>
          <w:sz w:val="22"/>
          <w:szCs w:val="22"/>
        </w:rPr>
        <w:t>visitors and prevent tourism damag</w:t>
      </w:r>
      <w:r>
        <w:rPr>
          <w:sz w:val="22"/>
          <w:szCs w:val="22"/>
        </w:rPr>
        <w:t xml:space="preserve">e to the natural environment, a </w:t>
      </w:r>
      <w:r w:rsidRPr="00930BE4">
        <w:rPr>
          <w:sz w:val="22"/>
          <w:szCs w:val="22"/>
        </w:rPr>
        <w:t>study was undertaken to determine the</w:t>
      </w:r>
      <w:r>
        <w:rPr>
          <w:sz w:val="22"/>
          <w:szCs w:val="22"/>
        </w:rPr>
        <w:t xml:space="preserve"> ecological, physical, facility </w:t>
      </w:r>
      <w:r w:rsidRPr="00930BE4">
        <w:rPr>
          <w:sz w:val="22"/>
          <w:szCs w:val="22"/>
        </w:rPr>
        <w:t xml:space="preserve">and psychological carrying capacity of Mu Koh Chang. </w:t>
      </w:r>
      <w:r>
        <w:rPr>
          <w:sz w:val="22"/>
          <w:szCs w:val="22"/>
        </w:rPr>
        <w:t xml:space="preserve">For the </w:t>
      </w:r>
      <w:r w:rsidRPr="00930BE4">
        <w:rPr>
          <w:sz w:val="22"/>
          <w:szCs w:val="22"/>
        </w:rPr>
        <w:t>ecological carrying capacity the nat</w:t>
      </w:r>
      <w:r>
        <w:rPr>
          <w:sz w:val="22"/>
          <w:szCs w:val="22"/>
        </w:rPr>
        <w:t xml:space="preserve">ional park conservation targets </w:t>
      </w:r>
      <w:r w:rsidRPr="00930BE4">
        <w:rPr>
          <w:sz w:val="22"/>
          <w:szCs w:val="22"/>
        </w:rPr>
        <w:t>were taken as relative impact indic</w:t>
      </w:r>
      <w:r>
        <w:rPr>
          <w:sz w:val="22"/>
          <w:szCs w:val="22"/>
        </w:rPr>
        <w:t xml:space="preserve">ators, and existing visitor use </w:t>
      </w:r>
      <w:r w:rsidRPr="00930BE4">
        <w:rPr>
          <w:sz w:val="22"/>
          <w:szCs w:val="22"/>
        </w:rPr>
        <w:t>correlated with existing ecological i</w:t>
      </w:r>
      <w:r>
        <w:rPr>
          <w:sz w:val="22"/>
          <w:szCs w:val="22"/>
        </w:rPr>
        <w:t xml:space="preserve">mpacts. The study specified the </w:t>
      </w:r>
      <w:r w:rsidRPr="00930BE4">
        <w:rPr>
          <w:sz w:val="22"/>
          <w:szCs w:val="22"/>
        </w:rPr>
        <w:t>carrying capacity that should limit the recr</w:t>
      </w:r>
      <w:r>
        <w:rPr>
          <w:sz w:val="22"/>
          <w:szCs w:val="22"/>
        </w:rPr>
        <w:t xml:space="preserve">eational use of each site. </w:t>
      </w:r>
      <w:r w:rsidRPr="00930BE4">
        <w:rPr>
          <w:sz w:val="22"/>
          <w:szCs w:val="22"/>
        </w:rPr>
        <w:t>Conclusions from this work along</w:t>
      </w:r>
      <w:r>
        <w:rPr>
          <w:sz w:val="22"/>
          <w:szCs w:val="22"/>
        </w:rPr>
        <w:t xml:space="preserve"> with the results of a study to </w:t>
      </w:r>
      <w:r w:rsidRPr="00930BE4">
        <w:rPr>
          <w:sz w:val="22"/>
          <w:szCs w:val="22"/>
        </w:rPr>
        <w:t>determine an appropriate tourist user f</w:t>
      </w:r>
      <w:r>
        <w:rPr>
          <w:sz w:val="22"/>
          <w:szCs w:val="22"/>
        </w:rPr>
        <w:t xml:space="preserve">ee for visitors to the site are </w:t>
      </w:r>
      <w:r w:rsidRPr="00930BE4">
        <w:rPr>
          <w:sz w:val="22"/>
          <w:szCs w:val="22"/>
        </w:rPr>
        <w:t>being used in ongoing planning at the site.</w:t>
      </w:r>
    </w:p>
    <w:p w14:paraId="0B780EFF" w14:textId="77777777" w:rsidR="00CA1DE7" w:rsidRPr="00930BE4" w:rsidRDefault="00CA1DE7" w:rsidP="00CA1DE7">
      <w:pPr>
        <w:numPr>
          <w:ilvl w:val="0"/>
          <w:numId w:val="3"/>
        </w:numPr>
        <w:spacing w:after="120"/>
        <w:ind w:left="0" w:firstLine="0"/>
        <w:jc w:val="both"/>
        <w:rPr>
          <w:sz w:val="22"/>
          <w:szCs w:val="22"/>
        </w:rPr>
      </w:pPr>
      <w:r w:rsidRPr="00930BE4">
        <w:rPr>
          <w:sz w:val="22"/>
          <w:szCs w:val="22"/>
        </w:rPr>
        <w:t>The demonstration project</w:t>
      </w:r>
      <w:r>
        <w:rPr>
          <w:sz w:val="22"/>
          <w:szCs w:val="22"/>
        </w:rPr>
        <w:t xml:space="preserve"> supported activities to engage </w:t>
      </w:r>
      <w:r w:rsidRPr="00930BE4">
        <w:rPr>
          <w:sz w:val="22"/>
          <w:szCs w:val="22"/>
        </w:rPr>
        <w:t>members of local communities, incl</w:t>
      </w:r>
      <w:r>
        <w:rPr>
          <w:sz w:val="22"/>
          <w:szCs w:val="22"/>
        </w:rPr>
        <w:t xml:space="preserve">uding fishermen, in sustainable </w:t>
      </w:r>
      <w:r w:rsidRPr="00930BE4">
        <w:rPr>
          <w:sz w:val="22"/>
          <w:szCs w:val="22"/>
        </w:rPr>
        <w:t>tourism through the operation of a</w:t>
      </w:r>
      <w:r>
        <w:rPr>
          <w:sz w:val="22"/>
          <w:szCs w:val="22"/>
        </w:rPr>
        <w:t xml:space="preserve"> Local Guide Centre. Members of </w:t>
      </w:r>
      <w:r w:rsidRPr="00930BE4">
        <w:rPr>
          <w:sz w:val="22"/>
          <w:szCs w:val="22"/>
        </w:rPr>
        <w:t>this centre used small fishing boats to run short tours to coral re</w:t>
      </w:r>
      <w:r>
        <w:rPr>
          <w:sz w:val="22"/>
          <w:szCs w:val="22"/>
        </w:rPr>
        <w:t xml:space="preserve">ef </w:t>
      </w:r>
      <w:r w:rsidRPr="00930BE4">
        <w:rPr>
          <w:sz w:val="22"/>
          <w:szCs w:val="22"/>
        </w:rPr>
        <w:t>and mangrove areas. A large numb</w:t>
      </w:r>
      <w:r>
        <w:rPr>
          <w:sz w:val="22"/>
          <w:szCs w:val="22"/>
        </w:rPr>
        <w:t xml:space="preserve">er of householders in Klongson, </w:t>
      </w:r>
      <w:r w:rsidRPr="00930BE4">
        <w:rPr>
          <w:sz w:val="22"/>
          <w:szCs w:val="22"/>
        </w:rPr>
        <w:t>Daan-kao, Daan-mai and Kaibae vil</w:t>
      </w:r>
      <w:r>
        <w:rPr>
          <w:sz w:val="22"/>
          <w:szCs w:val="22"/>
        </w:rPr>
        <w:t xml:space="preserve">lages received tourist licences </w:t>
      </w:r>
      <w:r w:rsidRPr="00930BE4">
        <w:rPr>
          <w:sz w:val="22"/>
          <w:szCs w:val="22"/>
        </w:rPr>
        <w:t>from the Tourist Authority of Thai</w:t>
      </w:r>
      <w:r>
        <w:rPr>
          <w:sz w:val="22"/>
          <w:szCs w:val="22"/>
        </w:rPr>
        <w:t xml:space="preserve">land following training courses </w:t>
      </w:r>
      <w:r w:rsidRPr="00930BE4">
        <w:rPr>
          <w:sz w:val="22"/>
          <w:szCs w:val="22"/>
        </w:rPr>
        <w:t>on sustainable coral reef tourism supported by the demonst</w:t>
      </w:r>
      <w:r>
        <w:rPr>
          <w:sz w:val="22"/>
          <w:szCs w:val="22"/>
        </w:rPr>
        <w:t xml:space="preserve">ration </w:t>
      </w:r>
      <w:r w:rsidRPr="00930BE4">
        <w:rPr>
          <w:sz w:val="22"/>
          <w:szCs w:val="22"/>
        </w:rPr>
        <w:t>site. The income of local fishermen</w:t>
      </w:r>
      <w:r>
        <w:rPr>
          <w:sz w:val="22"/>
          <w:szCs w:val="22"/>
        </w:rPr>
        <w:t xml:space="preserve"> increased by around 50% partly </w:t>
      </w:r>
      <w:r w:rsidRPr="00930BE4">
        <w:rPr>
          <w:sz w:val="22"/>
          <w:szCs w:val="22"/>
        </w:rPr>
        <w:t>due to the Guide Centre being abl</w:t>
      </w:r>
      <w:r>
        <w:rPr>
          <w:sz w:val="22"/>
          <w:szCs w:val="22"/>
        </w:rPr>
        <w:t xml:space="preserve">e to make bookings avoiding the </w:t>
      </w:r>
      <w:r w:rsidRPr="00930BE4">
        <w:rPr>
          <w:sz w:val="22"/>
          <w:szCs w:val="22"/>
        </w:rPr>
        <w:t xml:space="preserve">surcharge </w:t>
      </w:r>
      <w:r>
        <w:rPr>
          <w:sz w:val="22"/>
          <w:szCs w:val="22"/>
        </w:rPr>
        <w:t xml:space="preserve">previously imposed by hotels. A mechanism to obtain </w:t>
      </w:r>
      <w:r w:rsidRPr="00930BE4">
        <w:rPr>
          <w:sz w:val="22"/>
          <w:szCs w:val="22"/>
        </w:rPr>
        <w:t>financial contributions from hotels, resorts and tour c</w:t>
      </w:r>
      <w:r>
        <w:rPr>
          <w:sz w:val="22"/>
          <w:szCs w:val="22"/>
        </w:rPr>
        <w:t xml:space="preserve">entres that </w:t>
      </w:r>
      <w:r w:rsidRPr="00930BE4">
        <w:rPr>
          <w:sz w:val="22"/>
          <w:szCs w:val="22"/>
        </w:rPr>
        <w:t>use coral reef areas for their busi</w:t>
      </w:r>
      <w:r>
        <w:rPr>
          <w:sz w:val="22"/>
          <w:szCs w:val="22"/>
        </w:rPr>
        <w:t xml:space="preserve">nesses was developed as part of </w:t>
      </w:r>
      <w:r w:rsidRPr="00930BE4">
        <w:rPr>
          <w:sz w:val="22"/>
          <w:szCs w:val="22"/>
        </w:rPr>
        <w:t>the management plan.</w:t>
      </w:r>
    </w:p>
    <w:p w14:paraId="17E3FE04" w14:textId="77777777" w:rsidR="00CA1DE7" w:rsidRDefault="00CA1DE7" w:rsidP="00CA1DE7">
      <w:pPr>
        <w:numPr>
          <w:ilvl w:val="0"/>
          <w:numId w:val="3"/>
        </w:numPr>
        <w:spacing w:after="120"/>
        <w:ind w:left="0" w:firstLine="0"/>
        <w:jc w:val="both"/>
        <w:rPr>
          <w:sz w:val="22"/>
          <w:szCs w:val="22"/>
        </w:rPr>
      </w:pPr>
      <w:r w:rsidRPr="00930BE4">
        <w:rPr>
          <w:sz w:val="22"/>
          <w:szCs w:val="22"/>
        </w:rPr>
        <w:t>To raise community and tourist aware</w:t>
      </w:r>
      <w:r>
        <w:rPr>
          <w:sz w:val="22"/>
          <w:szCs w:val="22"/>
        </w:rPr>
        <w:t xml:space="preserve">ness of coral reef restoration, </w:t>
      </w:r>
      <w:r w:rsidRPr="00930BE4">
        <w:rPr>
          <w:sz w:val="22"/>
          <w:szCs w:val="22"/>
        </w:rPr>
        <w:t>a small demonstration site for co</w:t>
      </w:r>
      <w:r>
        <w:rPr>
          <w:sz w:val="22"/>
          <w:szCs w:val="22"/>
        </w:rPr>
        <w:t xml:space="preserve">ral restoration was established </w:t>
      </w:r>
      <w:r w:rsidRPr="00930BE4">
        <w:rPr>
          <w:sz w:val="22"/>
          <w:szCs w:val="22"/>
        </w:rPr>
        <w:t xml:space="preserve">at Koh Kra Island. The site </w:t>
      </w:r>
      <w:r>
        <w:rPr>
          <w:sz w:val="22"/>
          <w:szCs w:val="22"/>
        </w:rPr>
        <w:t xml:space="preserve">size was made small for ease of </w:t>
      </w:r>
      <w:r w:rsidRPr="00930BE4">
        <w:rPr>
          <w:sz w:val="22"/>
          <w:szCs w:val="22"/>
        </w:rPr>
        <w:t>control and management for the</w:t>
      </w:r>
      <w:r>
        <w:rPr>
          <w:sz w:val="22"/>
          <w:szCs w:val="22"/>
        </w:rPr>
        <w:t xml:space="preserve"> benefit of tourism, education, </w:t>
      </w:r>
      <w:r w:rsidRPr="00930BE4">
        <w:rPr>
          <w:sz w:val="22"/>
          <w:szCs w:val="22"/>
        </w:rPr>
        <w:t xml:space="preserve">public awareness and research. </w:t>
      </w:r>
      <w:r>
        <w:rPr>
          <w:sz w:val="22"/>
          <w:szCs w:val="22"/>
        </w:rPr>
        <w:t xml:space="preserve">The techniques and methods used </w:t>
      </w:r>
      <w:r w:rsidRPr="00930BE4">
        <w:rPr>
          <w:sz w:val="22"/>
          <w:szCs w:val="22"/>
        </w:rPr>
        <w:t>were kept simple, using affordable</w:t>
      </w:r>
      <w:r>
        <w:rPr>
          <w:sz w:val="22"/>
          <w:szCs w:val="22"/>
        </w:rPr>
        <w:t xml:space="preserve"> materials available from local </w:t>
      </w:r>
      <w:r w:rsidRPr="00930BE4">
        <w:rPr>
          <w:sz w:val="22"/>
          <w:szCs w:val="22"/>
        </w:rPr>
        <w:t>suppliers and those that prov</w:t>
      </w:r>
      <w:r>
        <w:rPr>
          <w:sz w:val="22"/>
          <w:szCs w:val="22"/>
        </w:rPr>
        <w:t xml:space="preserve">ided a hard substrate for coral </w:t>
      </w:r>
      <w:r w:rsidRPr="00930BE4">
        <w:rPr>
          <w:sz w:val="22"/>
          <w:szCs w:val="22"/>
        </w:rPr>
        <w:t>recruitment. Four methods were disp</w:t>
      </w:r>
      <w:r>
        <w:rPr>
          <w:sz w:val="22"/>
          <w:szCs w:val="22"/>
        </w:rPr>
        <w:t xml:space="preserve">layed at the site: provision of </w:t>
      </w:r>
      <w:r w:rsidRPr="00930BE4">
        <w:rPr>
          <w:sz w:val="22"/>
          <w:szCs w:val="22"/>
        </w:rPr>
        <w:t>substrate in the form of pyrami</w:t>
      </w:r>
      <w:r>
        <w:rPr>
          <w:sz w:val="22"/>
          <w:szCs w:val="22"/>
        </w:rPr>
        <w:t xml:space="preserve">ds of concrete pipes; attaching </w:t>
      </w:r>
      <w:r w:rsidRPr="00930BE4">
        <w:rPr>
          <w:sz w:val="22"/>
          <w:szCs w:val="22"/>
        </w:rPr>
        <w:t xml:space="preserve">branching Acropora spp. with screws </w:t>
      </w:r>
      <w:r>
        <w:rPr>
          <w:sz w:val="22"/>
          <w:szCs w:val="22"/>
        </w:rPr>
        <w:t xml:space="preserve">to PVC pipe frames in the coral </w:t>
      </w:r>
      <w:r w:rsidRPr="00930BE4">
        <w:rPr>
          <w:sz w:val="22"/>
          <w:szCs w:val="22"/>
        </w:rPr>
        <w:t>nursery area; provision of additio</w:t>
      </w:r>
      <w:r>
        <w:rPr>
          <w:sz w:val="22"/>
          <w:szCs w:val="22"/>
        </w:rPr>
        <w:t xml:space="preserve">nal substrate using clusters of </w:t>
      </w:r>
      <w:r w:rsidRPr="00930BE4">
        <w:rPr>
          <w:sz w:val="22"/>
          <w:szCs w:val="22"/>
        </w:rPr>
        <w:t xml:space="preserve">concrete blocks to encourage </w:t>
      </w:r>
      <w:r>
        <w:rPr>
          <w:sz w:val="22"/>
          <w:szCs w:val="22"/>
        </w:rPr>
        <w:t xml:space="preserve">natural coral recruitment; and </w:t>
      </w:r>
      <w:r w:rsidRPr="00930BE4">
        <w:rPr>
          <w:sz w:val="22"/>
          <w:szCs w:val="22"/>
        </w:rPr>
        <w:t>attaching coral fragments to de</w:t>
      </w:r>
      <w:r>
        <w:rPr>
          <w:sz w:val="22"/>
          <w:szCs w:val="22"/>
        </w:rPr>
        <w:t xml:space="preserve">ad branching corals by means of </w:t>
      </w:r>
      <w:r w:rsidRPr="00930BE4">
        <w:rPr>
          <w:sz w:val="22"/>
          <w:szCs w:val="22"/>
        </w:rPr>
        <w:t>plastic straps. Underwater snorkelli</w:t>
      </w:r>
      <w:r>
        <w:rPr>
          <w:sz w:val="22"/>
          <w:szCs w:val="22"/>
        </w:rPr>
        <w:t xml:space="preserve">ng trails were also established </w:t>
      </w:r>
      <w:r w:rsidRPr="00930BE4">
        <w:rPr>
          <w:sz w:val="22"/>
          <w:szCs w:val="22"/>
        </w:rPr>
        <w:t>in order to direct visitors to unique</w:t>
      </w:r>
      <w:r>
        <w:rPr>
          <w:sz w:val="22"/>
          <w:szCs w:val="22"/>
        </w:rPr>
        <w:t xml:space="preserve"> natural features of the site’s </w:t>
      </w:r>
      <w:r w:rsidRPr="00930BE4">
        <w:rPr>
          <w:sz w:val="22"/>
          <w:szCs w:val="22"/>
        </w:rPr>
        <w:t>coral r</w:t>
      </w:r>
      <w:r>
        <w:rPr>
          <w:sz w:val="22"/>
          <w:szCs w:val="22"/>
        </w:rPr>
        <w:t xml:space="preserve">eef ecosystem. The latter acted as a tourism attraction and a </w:t>
      </w:r>
      <w:r w:rsidRPr="00930BE4">
        <w:rPr>
          <w:sz w:val="22"/>
          <w:szCs w:val="22"/>
        </w:rPr>
        <w:t>management tool for directing visitors t</w:t>
      </w:r>
      <w:r>
        <w:rPr>
          <w:sz w:val="22"/>
          <w:szCs w:val="22"/>
        </w:rPr>
        <w:t xml:space="preserve">o coral sites less sensitive to </w:t>
      </w:r>
      <w:r w:rsidRPr="00930BE4">
        <w:rPr>
          <w:sz w:val="22"/>
          <w:szCs w:val="22"/>
        </w:rPr>
        <w:t>damage.</w:t>
      </w:r>
      <w:r>
        <w:rPr>
          <w:sz w:val="22"/>
          <w:szCs w:val="22"/>
        </w:rPr>
        <w:t xml:space="preserve"> </w:t>
      </w:r>
    </w:p>
    <w:p w14:paraId="2094ADD5" w14:textId="77777777" w:rsidR="00CA1DE7" w:rsidRDefault="00CA1DE7" w:rsidP="00CA1DE7">
      <w:pPr>
        <w:numPr>
          <w:ilvl w:val="0"/>
          <w:numId w:val="3"/>
        </w:numPr>
        <w:spacing w:after="120"/>
        <w:ind w:left="0" w:firstLine="0"/>
        <w:jc w:val="both"/>
        <w:rPr>
          <w:sz w:val="22"/>
          <w:szCs w:val="22"/>
        </w:rPr>
      </w:pPr>
      <w:r w:rsidRPr="00930BE4">
        <w:rPr>
          <w:sz w:val="22"/>
          <w:szCs w:val="22"/>
        </w:rPr>
        <w:t>Public awareness activities included t</w:t>
      </w:r>
      <w:r>
        <w:rPr>
          <w:sz w:val="22"/>
          <w:szCs w:val="22"/>
        </w:rPr>
        <w:t xml:space="preserve">raining for students, </w:t>
      </w:r>
      <w:r w:rsidRPr="00930BE4">
        <w:rPr>
          <w:sz w:val="22"/>
          <w:szCs w:val="22"/>
        </w:rPr>
        <w:t xml:space="preserve">tourism operators, government staff </w:t>
      </w:r>
      <w:r>
        <w:rPr>
          <w:sz w:val="22"/>
          <w:szCs w:val="22"/>
        </w:rPr>
        <w:t xml:space="preserve">and local people on the ecology </w:t>
      </w:r>
      <w:r w:rsidRPr="00930BE4">
        <w:rPr>
          <w:sz w:val="22"/>
          <w:szCs w:val="22"/>
        </w:rPr>
        <w:t xml:space="preserve">of coral reefs and how to use </w:t>
      </w:r>
      <w:r>
        <w:rPr>
          <w:sz w:val="22"/>
          <w:szCs w:val="22"/>
        </w:rPr>
        <w:t xml:space="preserve">them sustainably. Activities to </w:t>
      </w:r>
      <w:r w:rsidRPr="00930BE4">
        <w:rPr>
          <w:sz w:val="22"/>
          <w:szCs w:val="22"/>
        </w:rPr>
        <w:t>encourage and empower volunteer gr</w:t>
      </w:r>
      <w:r>
        <w:rPr>
          <w:sz w:val="22"/>
          <w:szCs w:val="22"/>
        </w:rPr>
        <w:t xml:space="preserve">oups in coral reef conservation </w:t>
      </w:r>
      <w:r w:rsidRPr="00930BE4">
        <w:rPr>
          <w:sz w:val="22"/>
          <w:szCs w:val="22"/>
        </w:rPr>
        <w:t>were initiated and all activities emph</w:t>
      </w:r>
      <w:r>
        <w:rPr>
          <w:sz w:val="22"/>
          <w:szCs w:val="22"/>
        </w:rPr>
        <w:t xml:space="preserve">asised stakeholder </w:t>
      </w:r>
      <w:r w:rsidRPr="00930BE4">
        <w:rPr>
          <w:sz w:val="22"/>
          <w:szCs w:val="22"/>
        </w:rPr>
        <w:t xml:space="preserve">participation because a high level of </w:t>
      </w:r>
      <w:r>
        <w:rPr>
          <w:sz w:val="22"/>
          <w:szCs w:val="22"/>
        </w:rPr>
        <w:t xml:space="preserve">public participation is crucial </w:t>
      </w:r>
      <w:r w:rsidRPr="00930BE4">
        <w:rPr>
          <w:sz w:val="22"/>
          <w:szCs w:val="22"/>
        </w:rPr>
        <w:t>to successful sustainable manag</w:t>
      </w:r>
      <w:r>
        <w:rPr>
          <w:sz w:val="22"/>
          <w:szCs w:val="22"/>
        </w:rPr>
        <w:t xml:space="preserve">ement. This was critical to the </w:t>
      </w:r>
      <w:r w:rsidRPr="00930BE4">
        <w:rPr>
          <w:sz w:val="22"/>
          <w:szCs w:val="22"/>
        </w:rPr>
        <w:t xml:space="preserve">establishment of mooring buoys in </w:t>
      </w:r>
      <w:r>
        <w:rPr>
          <w:sz w:val="22"/>
          <w:szCs w:val="22"/>
        </w:rPr>
        <w:t xml:space="preserve">coral reef areas for diving and </w:t>
      </w:r>
      <w:r w:rsidRPr="00930BE4">
        <w:rPr>
          <w:sz w:val="22"/>
          <w:szCs w:val="22"/>
        </w:rPr>
        <w:t>snorkelling as a means of avoiding anc</w:t>
      </w:r>
      <w:r>
        <w:rPr>
          <w:sz w:val="22"/>
          <w:szCs w:val="22"/>
        </w:rPr>
        <w:t xml:space="preserve">hor damage to sensitive </w:t>
      </w:r>
      <w:r w:rsidRPr="00930BE4">
        <w:rPr>
          <w:sz w:val="22"/>
          <w:szCs w:val="22"/>
        </w:rPr>
        <w:t xml:space="preserve">habitats. Local volunteers also participated </w:t>
      </w:r>
      <w:r>
        <w:rPr>
          <w:sz w:val="22"/>
          <w:szCs w:val="22"/>
        </w:rPr>
        <w:t xml:space="preserve">in monitoring and surveillance, </w:t>
      </w:r>
      <w:r w:rsidRPr="00930BE4">
        <w:rPr>
          <w:sz w:val="22"/>
          <w:szCs w:val="22"/>
        </w:rPr>
        <w:t>particularly of</w:t>
      </w:r>
      <w:r>
        <w:rPr>
          <w:sz w:val="22"/>
          <w:szCs w:val="22"/>
        </w:rPr>
        <w:t xml:space="preserve"> illegal fishing activities and the on-going </w:t>
      </w:r>
      <w:r w:rsidRPr="00930BE4">
        <w:rPr>
          <w:sz w:val="22"/>
          <w:szCs w:val="22"/>
        </w:rPr>
        <w:t>collection of data on tourism activitie</w:t>
      </w:r>
      <w:r>
        <w:rPr>
          <w:sz w:val="22"/>
          <w:szCs w:val="22"/>
        </w:rPr>
        <w:t xml:space="preserve">s within the site for inclusion </w:t>
      </w:r>
      <w:r w:rsidRPr="00930BE4">
        <w:rPr>
          <w:sz w:val="22"/>
          <w:szCs w:val="22"/>
        </w:rPr>
        <w:t>in a GIS database.</w:t>
      </w:r>
    </w:p>
    <w:p w14:paraId="02DD77B5" w14:textId="77777777" w:rsidR="00CA1DE7" w:rsidRPr="00CA1DE7" w:rsidRDefault="00CA1DE7" w:rsidP="00CA1DE7">
      <w:pPr>
        <w:spacing w:after="120"/>
        <w:jc w:val="both"/>
        <w:rPr>
          <w:b/>
          <w:i/>
          <w:sz w:val="22"/>
          <w:szCs w:val="22"/>
        </w:rPr>
      </w:pPr>
      <w:r w:rsidRPr="00CA1DE7">
        <w:rPr>
          <w:b/>
          <w:i/>
          <w:sz w:val="22"/>
          <w:szCs w:val="22"/>
        </w:rPr>
        <w:t>Rehabilitation of habitats and sustainable aquaculture practices</w:t>
      </w:r>
    </w:p>
    <w:p w14:paraId="05461E7E" w14:textId="77777777" w:rsidR="00CA1DE7" w:rsidRDefault="00CA1DE7" w:rsidP="00CA1DE7">
      <w:pPr>
        <w:numPr>
          <w:ilvl w:val="0"/>
          <w:numId w:val="3"/>
        </w:numPr>
        <w:spacing w:after="120"/>
        <w:ind w:left="0" w:firstLine="0"/>
        <w:jc w:val="both"/>
        <w:rPr>
          <w:sz w:val="22"/>
          <w:szCs w:val="22"/>
        </w:rPr>
      </w:pPr>
      <w:r w:rsidRPr="00930BE4">
        <w:rPr>
          <w:sz w:val="22"/>
          <w:szCs w:val="22"/>
        </w:rPr>
        <w:t xml:space="preserve">A self-funded project namely </w:t>
      </w:r>
      <w:r>
        <w:rPr>
          <w:sz w:val="22"/>
          <w:szCs w:val="22"/>
        </w:rPr>
        <w:t xml:space="preserve">“Investigation and planning for </w:t>
      </w:r>
      <w:r w:rsidRPr="00930BE4">
        <w:rPr>
          <w:sz w:val="22"/>
          <w:szCs w:val="22"/>
        </w:rPr>
        <w:t>ecological restoration and reasonab</w:t>
      </w:r>
      <w:r>
        <w:rPr>
          <w:sz w:val="22"/>
          <w:szCs w:val="22"/>
        </w:rPr>
        <w:t xml:space="preserve">le use of resources at Con Chim </w:t>
      </w:r>
      <w:r w:rsidRPr="00930BE4">
        <w:rPr>
          <w:sz w:val="22"/>
          <w:szCs w:val="22"/>
        </w:rPr>
        <w:t>area of Thi Nai Lagoon, Vietnam” joined the SCS project networ</w:t>
      </w:r>
      <w:r>
        <w:rPr>
          <w:sz w:val="22"/>
          <w:szCs w:val="22"/>
        </w:rPr>
        <w:t xml:space="preserve">k of </w:t>
      </w:r>
      <w:r w:rsidRPr="00930BE4">
        <w:rPr>
          <w:sz w:val="22"/>
          <w:szCs w:val="22"/>
        </w:rPr>
        <w:t>demonstration sites and pilot activi</w:t>
      </w:r>
      <w:r>
        <w:rPr>
          <w:sz w:val="22"/>
          <w:szCs w:val="22"/>
        </w:rPr>
        <w:t xml:space="preserve">ties. This project was aimed at </w:t>
      </w:r>
      <w:r w:rsidRPr="00930BE4">
        <w:rPr>
          <w:sz w:val="22"/>
          <w:szCs w:val="22"/>
        </w:rPr>
        <w:t>demonstrating innovative m</w:t>
      </w:r>
      <w:r>
        <w:rPr>
          <w:sz w:val="22"/>
          <w:szCs w:val="22"/>
        </w:rPr>
        <w:t xml:space="preserve">anagement interventions for the </w:t>
      </w:r>
      <w:r w:rsidRPr="00930BE4">
        <w:rPr>
          <w:sz w:val="22"/>
          <w:szCs w:val="22"/>
        </w:rPr>
        <w:t>integration of habitat mana</w:t>
      </w:r>
      <w:r>
        <w:rPr>
          <w:sz w:val="22"/>
          <w:szCs w:val="22"/>
        </w:rPr>
        <w:t xml:space="preserve">gement and aquaculture. Thi Nai </w:t>
      </w:r>
      <w:r w:rsidRPr="00930BE4">
        <w:rPr>
          <w:sz w:val="22"/>
          <w:szCs w:val="22"/>
        </w:rPr>
        <w:t>Lagoon supports a mangrove fo</w:t>
      </w:r>
      <w:r>
        <w:rPr>
          <w:sz w:val="22"/>
          <w:szCs w:val="22"/>
        </w:rPr>
        <w:t xml:space="preserve">rest of 1000 ha with associated </w:t>
      </w:r>
      <w:r w:rsidRPr="00930BE4">
        <w:rPr>
          <w:sz w:val="22"/>
          <w:szCs w:val="22"/>
        </w:rPr>
        <w:t>seagrass b</w:t>
      </w:r>
      <w:r>
        <w:rPr>
          <w:sz w:val="22"/>
          <w:szCs w:val="22"/>
        </w:rPr>
        <w:t xml:space="preserve">eds covering an area of 200 ha. These ecosystems </w:t>
      </w:r>
      <w:r w:rsidR="00047D6B">
        <w:rPr>
          <w:sz w:val="22"/>
          <w:szCs w:val="22"/>
        </w:rPr>
        <w:t>contain</w:t>
      </w:r>
      <w:r w:rsidRPr="00930BE4">
        <w:rPr>
          <w:sz w:val="22"/>
          <w:szCs w:val="22"/>
        </w:rPr>
        <w:t xml:space="preserve"> high biodiversity and</w:t>
      </w:r>
      <w:r>
        <w:rPr>
          <w:sz w:val="22"/>
          <w:szCs w:val="22"/>
        </w:rPr>
        <w:t xml:space="preserve"> </w:t>
      </w:r>
      <w:r w:rsidR="00047D6B">
        <w:rPr>
          <w:sz w:val="22"/>
          <w:szCs w:val="22"/>
        </w:rPr>
        <w:t>support</w:t>
      </w:r>
      <w:r w:rsidRPr="00930BE4">
        <w:rPr>
          <w:sz w:val="22"/>
          <w:szCs w:val="22"/>
        </w:rPr>
        <w:t xml:space="preserve"> an abundance of aquatic specie</w:t>
      </w:r>
      <w:r>
        <w:rPr>
          <w:sz w:val="22"/>
          <w:szCs w:val="22"/>
        </w:rPr>
        <w:t xml:space="preserve">s supporting the livelihoods of </w:t>
      </w:r>
      <w:r w:rsidRPr="00930BE4">
        <w:rPr>
          <w:sz w:val="22"/>
          <w:szCs w:val="22"/>
        </w:rPr>
        <w:t>human communities adj</w:t>
      </w:r>
      <w:r>
        <w:rPr>
          <w:sz w:val="22"/>
          <w:szCs w:val="22"/>
        </w:rPr>
        <w:t xml:space="preserve">acent to the lagoon, especially the population </w:t>
      </w:r>
      <w:r w:rsidRPr="00930BE4">
        <w:rPr>
          <w:sz w:val="22"/>
          <w:szCs w:val="22"/>
        </w:rPr>
        <w:t>of Quy Nhon City. Unfortuna</w:t>
      </w:r>
      <w:r>
        <w:rPr>
          <w:sz w:val="22"/>
          <w:szCs w:val="22"/>
        </w:rPr>
        <w:t xml:space="preserve">tely, the area and condition of </w:t>
      </w:r>
      <w:r w:rsidRPr="00930BE4">
        <w:rPr>
          <w:sz w:val="22"/>
          <w:szCs w:val="22"/>
        </w:rPr>
        <w:t>the mangrove forest had been r</w:t>
      </w:r>
      <w:r>
        <w:rPr>
          <w:sz w:val="22"/>
          <w:szCs w:val="22"/>
        </w:rPr>
        <w:t xml:space="preserve">apidly degraded with as much as </w:t>
      </w:r>
      <w:r w:rsidRPr="00930BE4">
        <w:rPr>
          <w:sz w:val="22"/>
          <w:szCs w:val="22"/>
        </w:rPr>
        <w:t>one-third of the lagoon area being converted into aquaculture</w:t>
      </w:r>
      <w:r w:rsidR="00047D6B">
        <w:rPr>
          <w:sz w:val="22"/>
          <w:szCs w:val="22"/>
        </w:rPr>
        <w:t xml:space="preserve"> pond</w:t>
      </w:r>
      <w:r w:rsidRPr="00930BE4">
        <w:rPr>
          <w:sz w:val="22"/>
          <w:szCs w:val="22"/>
        </w:rPr>
        <w:t xml:space="preserve">. </w:t>
      </w:r>
    </w:p>
    <w:p w14:paraId="6E0C830B" w14:textId="77777777" w:rsidR="00CA1DE7" w:rsidRPr="00930BE4" w:rsidRDefault="00CA1DE7" w:rsidP="00CA1DE7">
      <w:pPr>
        <w:numPr>
          <w:ilvl w:val="0"/>
          <w:numId w:val="3"/>
        </w:numPr>
        <w:spacing w:after="120"/>
        <w:ind w:left="0" w:firstLine="0"/>
        <w:jc w:val="both"/>
        <w:rPr>
          <w:sz w:val="22"/>
          <w:szCs w:val="22"/>
        </w:rPr>
      </w:pPr>
      <w:r>
        <w:rPr>
          <w:sz w:val="22"/>
          <w:szCs w:val="22"/>
        </w:rPr>
        <w:t xml:space="preserve">The </w:t>
      </w:r>
      <w:r w:rsidRPr="00930BE4">
        <w:rPr>
          <w:sz w:val="22"/>
          <w:szCs w:val="22"/>
        </w:rPr>
        <w:t>increased discharge of wastes fro</w:t>
      </w:r>
      <w:r>
        <w:rPr>
          <w:sz w:val="22"/>
          <w:szCs w:val="22"/>
        </w:rPr>
        <w:t xml:space="preserve">m the city and port of Quy Nhon </w:t>
      </w:r>
      <w:r w:rsidRPr="00930BE4">
        <w:rPr>
          <w:sz w:val="22"/>
          <w:szCs w:val="22"/>
        </w:rPr>
        <w:t>and neighbouring areas has accelera</w:t>
      </w:r>
      <w:r>
        <w:rPr>
          <w:sz w:val="22"/>
          <w:szCs w:val="22"/>
        </w:rPr>
        <w:t xml:space="preserve">ted the rate of degradation (Vo et al., 2008). </w:t>
      </w:r>
      <w:r w:rsidRPr="00930BE4">
        <w:rPr>
          <w:sz w:val="22"/>
          <w:szCs w:val="22"/>
        </w:rPr>
        <w:t xml:space="preserve">The consequence of these </w:t>
      </w:r>
      <w:r>
        <w:rPr>
          <w:sz w:val="22"/>
          <w:szCs w:val="22"/>
        </w:rPr>
        <w:t xml:space="preserve">adverse changes has been marked </w:t>
      </w:r>
      <w:r w:rsidRPr="00930BE4">
        <w:rPr>
          <w:sz w:val="22"/>
          <w:szCs w:val="22"/>
        </w:rPr>
        <w:t xml:space="preserve">economic losses caused by: </w:t>
      </w:r>
      <w:r>
        <w:rPr>
          <w:sz w:val="22"/>
          <w:szCs w:val="22"/>
        </w:rPr>
        <w:t xml:space="preserve">the lagoon bottom and navigable </w:t>
      </w:r>
      <w:r w:rsidRPr="00930BE4">
        <w:rPr>
          <w:sz w:val="22"/>
          <w:szCs w:val="22"/>
        </w:rPr>
        <w:t xml:space="preserve">channels becoming shallower; </w:t>
      </w:r>
      <w:r>
        <w:rPr>
          <w:sz w:val="22"/>
          <w:szCs w:val="22"/>
        </w:rPr>
        <w:t xml:space="preserve">the aquaculture industry facing </w:t>
      </w:r>
      <w:r w:rsidRPr="00930BE4">
        <w:rPr>
          <w:sz w:val="22"/>
          <w:szCs w:val="22"/>
        </w:rPr>
        <w:t>more frequent disease outbrea</w:t>
      </w:r>
      <w:r>
        <w:rPr>
          <w:sz w:val="22"/>
          <w:szCs w:val="22"/>
        </w:rPr>
        <w:t xml:space="preserve">ks; the lagoon landscape having </w:t>
      </w:r>
      <w:r w:rsidRPr="00930BE4">
        <w:rPr>
          <w:sz w:val="22"/>
          <w:szCs w:val="22"/>
        </w:rPr>
        <w:t>been adversely affected; and</w:t>
      </w:r>
      <w:r>
        <w:rPr>
          <w:sz w:val="22"/>
          <w:szCs w:val="22"/>
        </w:rPr>
        <w:t xml:space="preserve"> bird sanctuaries having become </w:t>
      </w:r>
      <w:r w:rsidRPr="00930BE4">
        <w:rPr>
          <w:sz w:val="22"/>
          <w:szCs w:val="22"/>
        </w:rPr>
        <w:t>abandoned. These changes hav</w:t>
      </w:r>
      <w:r>
        <w:rPr>
          <w:sz w:val="22"/>
          <w:szCs w:val="22"/>
        </w:rPr>
        <w:t xml:space="preserve">e resulted in lost potential to </w:t>
      </w:r>
      <w:r w:rsidRPr="00930BE4">
        <w:rPr>
          <w:sz w:val="22"/>
          <w:szCs w:val="22"/>
        </w:rPr>
        <w:t>develop ecotourism that is regarded</w:t>
      </w:r>
      <w:r>
        <w:rPr>
          <w:sz w:val="22"/>
          <w:szCs w:val="22"/>
        </w:rPr>
        <w:t xml:space="preserve"> as a major source of potential income </w:t>
      </w:r>
      <w:r w:rsidRPr="00930BE4">
        <w:rPr>
          <w:sz w:val="22"/>
          <w:szCs w:val="22"/>
        </w:rPr>
        <w:t>for most provinces of cent</w:t>
      </w:r>
      <w:r>
        <w:rPr>
          <w:sz w:val="22"/>
          <w:szCs w:val="22"/>
        </w:rPr>
        <w:t xml:space="preserve">ral Viet Nam. It was recognized </w:t>
      </w:r>
      <w:r w:rsidRPr="00930BE4">
        <w:rPr>
          <w:sz w:val="22"/>
          <w:szCs w:val="22"/>
        </w:rPr>
        <w:t>that atte</w:t>
      </w:r>
      <w:r>
        <w:rPr>
          <w:sz w:val="22"/>
          <w:szCs w:val="22"/>
        </w:rPr>
        <w:t xml:space="preserve">mpts to solve the environmental problems of Thi Nai </w:t>
      </w:r>
      <w:r w:rsidRPr="00930BE4">
        <w:rPr>
          <w:sz w:val="22"/>
          <w:szCs w:val="22"/>
        </w:rPr>
        <w:t>lagoon required determination and</w:t>
      </w:r>
      <w:r>
        <w:rPr>
          <w:sz w:val="22"/>
          <w:szCs w:val="22"/>
        </w:rPr>
        <w:t xml:space="preserve"> a recognition of the scale and </w:t>
      </w:r>
      <w:r w:rsidRPr="00930BE4">
        <w:rPr>
          <w:sz w:val="22"/>
          <w:szCs w:val="22"/>
        </w:rPr>
        <w:t>extent of the challenges associa</w:t>
      </w:r>
      <w:r>
        <w:rPr>
          <w:sz w:val="22"/>
          <w:szCs w:val="22"/>
        </w:rPr>
        <w:t xml:space="preserve">ted with designing a management </w:t>
      </w:r>
      <w:r w:rsidRPr="00930BE4">
        <w:rPr>
          <w:sz w:val="22"/>
          <w:szCs w:val="22"/>
        </w:rPr>
        <w:t>plan that is both</w:t>
      </w:r>
      <w:r>
        <w:rPr>
          <w:sz w:val="22"/>
          <w:szCs w:val="22"/>
        </w:rPr>
        <w:t xml:space="preserve"> acceptable to all stakeholders and, at the same </w:t>
      </w:r>
      <w:r w:rsidRPr="00930BE4">
        <w:rPr>
          <w:sz w:val="22"/>
          <w:szCs w:val="22"/>
        </w:rPr>
        <w:t xml:space="preserve">time, takes into consideration the </w:t>
      </w:r>
      <w:r>
        <w:rPr>
          <w:sz w:val="22"/>
          <w:szCs w:val="22"/>
        </w:rPr>
        <w:t xml:space="preserve">environmental and socioeconomic complexities of </w:t>
      </w:r>
      <w:r w:rsidRPr="00930BE4">
        <w:rPr>
          <w:sz w:val="22"/>
          <w:szCs w:val="22"/>
        </w:rPr>
        <w:t>the</w:t>
      </w:r>
      <w:r>
        <w:rPr>
          <w:sz w:val="22"/>
          <w:szCs w:val="22"/>
        </w:rPr>
        <w:t xml:space="preserve"> lagoon system and its multiple </w:t>
      </w:r>
      <w:r w:rsidRPr="00930BE4">
        <w:rPr>
          <w:sz w:val="22"/>
          <w:szCs w:val="22"/>
        </w:rPr>
        <w:t>uses. Of particular significanc</w:t>
      </w:r>
      <w:r>
        <w:rPr>
          <w:sz w:val="22"/>
          <w:szCs w:val="22"/>
        </w:rPr>
        <w:t xml:space="preserve">e was the need for this plan to effectively </w:t>
      </w:r>
      <w:r w:rsidRPr="00930BE4">
        <w:rPr>
          <w:sz w:val="22"/>
          <w:szCs w:val="22"/>
        </w:rPr>
        <w:t>balance the need to rehabili</w:t>
      </w:r>
      <w:r>
        <w:rPr>
          <w:sz w:val="22"/>
          <w:szCs w:val="22"/>
        </w:rPr>
        <w:t xml:space="preserve">tate degraded habitats with the </w:t>
      </w:r>
      <w:r w:rsidRPr="00930BE4">
        <w:rPr>
          <w:sz w:val="22"/>
          <w:szCs w:val="22"/>
        </w:rPr>
        <w:t>continued pressure of aquaculture development.</w:t>
      </w:r>
    </w:p>
    <w:p w14:paraId="710C2177" w14:textId="77777777" w:rsidR="00CA1DE7" w:rsidRPr="00930BE4" w:rsidRDefault="00CA1DE7" w:rsidP="00CA1DE7">
      <w:pPr>
        <w:numPr>
          <w:ilvl w:val="0"/>
          <w:numId w:val="3"/>
        </w:numPr>
        <w:spacing w:after="120"/>
        <w:ind w:left="0" w:firstLine="0"/>
        <w:jc w:val="both"/>
        <w:rPr>
          <w:sz w:val="22"/>
          <w:szCs w:val="22"/>
        </w:rPr>
      </w:pPr>
      <w:r w:rsidRPr="00930BE4">
        <w:rPr>
          <w:sz w:val="22"/>
          <w:szCs w:val="22"/>
        </w:rPr>
        <w:t>A key activity at this site focu</w:t>
      </w:r>
      <w:r>
        <w:rPr>
          <w:sz w:val="22"/>
          <w:szCs w:val="22"/>
        </w:rPr>
        <w:t xml:space="preserve">sed on establishing sustainable </w:t>
      </w:r>
      <w:r w:rsidRPr="00930BE4">
        <w:rPr>
          <w:sz w:val="22"/>
          <w:szCs w:val="22"/>
        </w:rPr>
        <w:t>aquaculture practices and local li</w:t>
      </w:r>
      <w:r>
        <w:rPr>
          <w:sz w:val="22"/>
          <w:szCs w:val="22"/>
        </w:rPr>
        <w:t xml:space="preserve">velihood assistance programmes. </w:t>
      </w:r>
      <w:r w:rsidRPr="00930BE4">
        <w:rPr>
          <w:sz w:val="22"/>
          <w:szCs w:val="22"/>
        </w:rPr>
        <w:t>These included the identi</w:t>
      </w:r>
      <w:r>
        <w:rPr>
          <w:sz w:val="22"/>
          <w:szCs w:val="22"/>
        </w:rPr>
        <w:t xml:space="preserve">fication of environmentally and </w:t>
      </w:r>
      <w:r w:rsidRPr="00930BE4">
        <w:rPr>
          <w:sz w:val="22"/>
          <w:szCs w:val="22"/>
        </w:rPr>
        <w:t>economically sound aquaculture tec</w:t>
      </w:r>
      <w:r>
        <w:rPr>
          <w:sz w:val="22"/>
          <w:szCs w:val="22"/>
        </w:rPr>
        <w:t xml:space="preserve">hniques for appropriate species </w:t>
      </w:r>
      <w:r w:rsidRPr="00930BE4">
        <w:rPr>
          <w:sz w:val="22"/>
          <w:szCs w:val="22"/>
        </w:rPr>
        <w:t>that can be employed by local</w:t>
      </w:r>
      <w:r>
        <w:rPr>
          <w:sz w:val="22"/>
          <w:szCs w:val="22"/>
        </w:rPr>
        <w:t xml:space="preserve"> communities. This was based on </w:t>
      </w:r>
      <w:r w:rsidRPr="00930BE4">
        <w:rPr>
          <w:sz w:val="22"/>
          <w:szCs w:val="22"/>
        </w:rPr>
        <w:t>trials to assess various models fo</w:t>
      </w:r>
      <w:r>
        <w:rPr>
          <w:sz w:val="22"/>
          <w:szCs w:val="22"/>
        </w:rPr>
        <w:t xml:space="preserve">r multi-species culture and the </w:t>
      </w:r>
      <w:r w:rsidRPr="00930BE4">
        <w:rPr>
          <w:sz w:val="22"/>
          <w:szCs w:val="22"/>
        </w:rPr>
        <w:t>development and implementation of</w:t>
      </w:r>
      <w:r>
        <w:rPr>
          <w:sz w:val="22"/>
          <w:szCs w:val="22"/>
        </w:rPr>
        <w:t xml:space="preserve"> best practices among the local </w:t>
      </w:r>
      <w:r w:rsidRPr="00930BE4">
        <w:rPr>
          <w:sz w:val="22"/>
          <w:szCs w:val="22"/>
        </w:rPr>
        <w:t>aquaculture practitioners. In add</w:t>
      </w:r>
      <w:r>
        <w:rPr>
          <w:sz w:val="22"/>
          <w:szCs w:val="22"/>
        </w:rPr>
        <w:t xml:space="preserve">ition, through development of a </w:t>
      </w:r>
      <w:r w:rsidRPr="00930BE4">
        <w:rPr>
          <w:sz w:val="22"/>
          <w:szCs w:val="22"/>
        </w:rPr>
        <w:t>co-management system involving th</w:t>
      </w:r>
      <w:r>
        <w:rPr>
          <w:sz w:val="22"/>
          <w:szCs w:val="22"/>
        </w:rPr>
        <w:t xml:space="preserve">e local communities in planning </w:t>
      </w:r>
      <w:r w:rsidRPr="00930BE4">
        <w:rPr>
          <w:sz w:val="22"/>
          <w:szCs w:val="22"/>
        </w:rPr>
        <w:t xml:space="preserve">and implementing activities, fisher folk previously involved </w:t>
      </w:r>
      <w:r>
        <w:rPr>
          <w:sz w:val="22"/>
          <w:szCs w:val="22"/>
        </w:rPr>
        <w:t xml:space="preserve">in </w:t>
      </w:r>
      <w:r w:rsidRPr="00930BE4">
        <w:rPr>
          <w:sz w:val="22"/>
          <w:szCs w:val="22"/>
        </w:rPr>
        <w:t>destructive practices have been e</w:t>
      </w:r>
      <w:r>
        <w:rPr>
          <w:sz w:val="22"/>
          <w:szCs w:val="22"/>
        </w:rPr>
        <w:t xml:space="preserve">ncouraged to move into areas of </w:t>
      </w:r>
      <w:r w:rsidRPr="00930BE4">
        <w:rPr>
          <w:sz w:val="22"/>
          <w:szCs w:val="22"/>
        </w:rPr>
        <w:t>sustainable aquaculture prod</w:t>
      </w:r>
      <w:r>
        <w:rPr>
          <w:sz w:val="22"/>
          <w:szCs w:val="22"/>
        </w:rPr>
        <w:t xml:space="preserve">uction through the provision of funds </w:t>
      </w:r>
      <w:r w:rsidRPr="00930BE4">
        <w:rPr>
          <w:sz w:val="22"/>
          <w:szCs w:val="22"/>
        </w:rPr>
        <w:t xml:space="preserve">for the purchase of seed and grow-out </w:t>
      </w:r>
      <w:r>
        <w:rPr>
          <w:sz w:val="22"/>
          <w:szCs w:val="22"/>
        </w:rPr>
        <w:t xml:space="preserve">facilities as well as technical </w:t>
      </w:r>
      <w:r w:rsidRPr="00930BE4">
        <w:rPr>
          <w:sz w:val="22"/>
          <w:szCs w:val="22"/>
        </w:rPr>
        <w:t>assistance.</w:t>
      </w:r>
    </w:p>
    <w:p w14:paraId="796CB31C" w14:textId="77777777" w:rsidR="00CA1DE7" w:rsidRDefault="00CA1DE7" w:rsidP="00CA1DE7">
      <w:pPr>
        <w:numPr>
          <w:ilvl w:val="0"/>
          <w:numId w:val="3"/>
        </w:numPr>
        <w:spacing w:after="120"/>
        <w:ind w:left="0" w:firstLine="0"/>
        <w:jc w:val="both"/>
        <w:rPr>
          <w:sz w:val="22"/>
          <w:szCs w:val="22"/>
        </w:rPr>
      </w:pPr>
      <w:r w:rsidRPr="00930BE4">
        <w:rPr>
          <w:sz w:val="22"/>
          <w:szCs w:val="22"/>
        </w:rPr>
        <w:t>To address the problems of habitat degra</w:t>
      </w:r>
      <w:r>
        <w:rPr>
          <w:sz w:val="22"/>
          <w:szCs w:val="22"/>
        </w:rPr>
        <w:t xml:space="preserve">dation, community-based re-planting schemes for both intensive and integrated use </w:t>
      </w:r>
      <w:r w:rsidRPr="00930BE4">
        <w:rPr>
          <w:sz w:val="22"/>
          <w:szCs w:val="22"/>
        </w:rPr>
        <w:t>zones for mangroves have been</w:t>
      </w:r>
      <w:r>
        <w:rPr>
          <w:sz w:val="22"/>
          <w:szCs w:val="22"/>
        </w:rPr>
        <w:t xml:space="preserve"> developed. The local community </w:t>
      </w:r>
      <w:r w:rsidRPr="00930BE4">
        <w:rPr>
          <w:sz w:val="22"/>
          <w:szCs w:val="22"/>
        </w:rPr>
        <w:t>has been directly involved, not me</w:t>
      </w:r>
      <w:r>
        <w:rPr>
          <w:sz w:val="22"/>
          <w:szCs w:val="22"/>
        </w:rPr>
        <w:t xml:space="preserve">rely in re-planting but also in </w:t>
      </w:r>
      <w:r w:rsidRPr="00930BE4">
        <w:rPr>
          <w:sz w:val="22"/>
          <w:szCs w:val="22"/>
        </w:rPr>
        <w:t>protection and management of the newly establish</w:t>
      </w:r>
      <w:r>
        <w:rPr>
          <w:sz w:val="22"/>
          <w:szCs w:val="22"/>
        </w:rPr>
        <w:t xml:space="preserve">ed mangrove </w:t>
      </w:r>
      <w:r w:rsidRPr="00930BE4">
        <w:rPr>
          <w:sz w:val="22"/>
          <w:szCs w:val="22"/>
        </w:rPr>
        <w:t xml:space="preserve">forests. Species diversity within </w:t>
      </w:r>
      <w:r>
        <w:rPr>
          <w:sz w:val="22"/>
          <w:szCs w:val="22"/>
        </w:rPr>
        <w:t xml:space="preserve">the mangrove has been increased </w:t>
      </w:r>
      <w:r w:rsidRPr="00930BE4">
        <w:rPr>
          <w:sz w:val="22"/>
          <w:szCs w:val="22"/>
        </w:rPr>
        <w:t xml:space="preserve">through the establishment of </w:t>
      </w:r>
      <w:r>
        <w:rPr>
          <w:sz w:val="22"/>
          <w:szCs w:val="22"/>
        </w:rPr>
        <w:t xml:space="preserve">multi-species mangrove seedling </w:t>
      </w:r>
      <w:r w:rsidRPr="00930BE4">
        <w:rPr>
          <w:sz w:val="22"/>
          <w:szCs w:val="22"/>
        </w:rPr>
        <w:t xml:space="preserve">nurseries. The awareness of the </w:t>
      </w:r>
      <w:r>
        <w:rPr>
          <w:sz w:val="22"/>
          <w:szCs w:val="22"/>
        </w:rPr>
        <w:t xml:space="preserve">local communities regarding the </w:t>
      </w:r>
      <w:r w:rsidRPr="00930BE4">
        <w:rPr>
          <w:sz w:val="22"/>
          <w:szCs w:val="22"/>
        </w:rPr>
        <w:t>vulnerability of seagrass beds to destructive fishing</w:t>
      </w:r>
      <w:r>
        <w:rPr>
          <w:sz w:val="22"/>
          <w:szCs w:val="22"/>
        </w:rPr>
        <w:t xml:space="preserve"> gear has been </w:t>
      </w:r>
      <w:r w:rsidRPr="00930BE4">
        <w:rPr>
          <w:sz w:val="22"/>
          <w:szCs w:val="22"/>
        </w:rPr>
        <w:t>increased and core areas of s</w:t>
      </w:r>
      <w:r>
        <w:rPr>
          <w:sz w:val="22"/>
          <w:szCs w:val="22"/>
        </w:rPr>
        <w:t xml:space="preserve">eagrass in the lagoon have been </w:t>
      </w:r>
      <w:r w:rsidRPr="00930BE4">
        <w:rPr>
          <w:sz w:val="22"/>
          <w:szCs w:val="22"/>
        </w:rPr>
        <w:t xml:space="preserve">identified and protected. The </w:t>
      </w:r>
      <w:r>
        <w:rPr>
          <w:sz w:val="22"/>
          <w:szCs w:val="22"/>
        </w:rPr>
        <w:t xml:space="preserve">co-management approach has been </w:t>
      </w:r>
      <w:r w:rsidRPr="00930BE4">
        <w:rPr>
          <w:sz w:val="22"/>
          <w:szCs w:val="22"/>
        </w:rPr>
        <w:t>deemed a critical element of the succe</w:t>
      </w:r>
      <w:r>
        <w:rPr>
          <w:sz w:val="22"/>
          <w:szCs w:val="22"/>
        </w:rPr>
        <w:t xml:space="preserve">ss of these activities. Initial </w:t>
      </w:r>
      <w:r w:rsidRPr="00930BE4">
        <w:rPr>
          <w:sz w:val="22"/>
          <w:szCs w:val="22"/>
        </w:rPr>
        <w:t>outcomes in terms of mangrove restoration and ad</w:t>
      </w:r>
      <w:r>
        <w:rPr>
          <w:sz w:val="22"/>
          <w:szCs w:val="22"/>
        </w:rPr>
        <w:t xml:space="preserve">option of new </w:t>
      </w:r>
      <w:r w:rsidRPr="00930BE4">
        <w:rPr>
          <w:sz w:val="22"/>
          <w:szCs w:val="22"/>
        </w:rPr>
        <w:t xml:space="preserve">models of shrimp farming and oyster </w:t>
      </w:r>
      <w:r>
        <w:rPr>
          <w:sz w:val="22"/>
          <w:szCs w:val="22"/>
        </w:rPr>
        <w:t xml:space="preserve">rearing have proved successful. </w:t>
      </w:r>
      <w:r w:rsidRPr="00930BE4">
        <w:rPr>
          <w:sz w:val="22"/>
          <w:szCs w:val="22"/>
        </w:rPr>
        <w:t xml:space="preserve">Efforts to develop tourism </w:t>
      </w:r>
      <w:r>
        <w:rPr>
          <w:sz w:val="22"/>
          <w:szCs w:val="22"/>
        </w:rPr>
        <w:t xml:space="preserve">and continue the rehabilitation of mangroves and seagrass are </w:t>
      </w:r>
      <w:r w:rsidRPr="00930BE4">
        <w:rPr>
          <w:sz w:val="22"/>
          <w:szCs w:val="22"/>
        </w:rPr>
        <w:t>curre</w:t>
      </w:r>
      <w:r>
        <w:rPr>
          <w:sz w:val="22"/>
          <w:szCs w:val="22"/>
        </w:rPr>
        <w:t xml:space="preserve">ntly the focus of this site and </w:t>
      </w:r>
      <w:r w:rsidRPr="00930BE4">
        <w:rPr>
          <w:sz w:val="22"/>
          <w:szCs w:val="22"/>
        </w:rPr>
        <w:t>are aimed at the continued improvement of local livelihoods.</w:t>
      </w:r>
    </w:p>
    <w:p w14:paraId="5A203421" w14:textId="77777777" w:rsidR="00CA1DE7" w:rsidRPr="00CA1DE7" w:rsidRDefault="00CA1DE7" w:rsidP="00CA1DE7">
      <w:pPr>
        <w:spacing w:after="120"/>
        <w:jc w:val="both"/>
        <w:rPr>
          <w:b/>
          <w:i/>
          <w:sz w:val="22"/>
          <w:szCs w:val="22"/>
        </w:rPr>
      </w:pPr>
      <w:r w:rsidRPr="00CA1DE7">
        <w:rPr>
          <w:b/>
          <w:i/>
          <w:sz w:val="22"/>
          <w:szCs w:val="22"/>
        </w:rPr>
        <w:t>Bilateral cooperation for transboundary water resource management</w:t>
      </w:r>
    </w:p>
    <w:p w14:paraId="207CB2AD" w14:textId="77777777" w:rsidR="00CA1DE7" w:rsidRPr="00906075" w:rsidRDefault="00CA1DE7" w:rsidP="00CA1DE7">
      <w:pPr>
        <w:numPr>
          <w:ilvl w:val="0"/>
          <w:numId w:val="3"/>
        </w:numPr>
        <w:spacing w:after="120"/>
        <w:ind w:left="0" w:firstLine="0"/>
        <w:jc w:val="both"/>
        <w:rPr>
          <w:sz w:val="22"/>
          <w:szCs w:val="22"/>
        </w:rPr>
      </w:pPr>
      <w:r w:rsidRPr="00906075">
        <w:rPr>
          <w:sz w:val="22"/>
          <w:szCs w:val="22"/>
        </w:rPr>
        <w:t>The transboundary waters betwe</w:t>
      </w:r>
      <w:r>
        <w:rPr>
          <w:sz w:val="22"/>
          <w:szCs w:val="22"/>
        </w:rPr>
        <w:t xml:space="preserve">en the two coastal provinces of </w:t>
      </w:r>
      <w:r w:rsidRPr="00906075">
        <w:rPr>
          <w:sz w:val="22"/>
          <w:szCs w:val="22"/>
        </w:rPr>
        <w:t>Kampot in Cambodia and Kien Gian</w:t>
      </w:r>
      <w:r>
        <w:rPr>
          <w:sz w:val="22"/>
          <w:szCs w:val="22"/>
        </w:rPr>
        <w:t xml:space="preserve">g in Viet Nam are characterized </w:t>
      </w:r>
      <w:r w:rsidRPr="00906075">
        <w:rPr>
          <w:sz w:val="22"/>
          <w:szCs w:val="22"/>
        </w:rPr>
        <w:t>by shallow water conditions favou</w:t>
      </w:r>
      <w:r>
        <w:rPr>
          <w:sz w:val="22"/>
          <w:szCs w:val="22"/>
        </w:rPr>
        <w:t xml:space="preserve">rable to the growth of seagrass </w:t>
      </w:r>
      <w:r w:rsidRPr="00906075">
        <w:rPr>
          <w:sz w:val="22"/>
          <w:szCs w:val="22"/>
        </w:rPr>
        <w:t>and coral reefs, whilst the adjace</w:t>
      </w:r>
      <w:r>
        <w:rPr>
          <w:sz w:val="22"/>
          <w:szCs w:val="22"/>
        </w:rPr>
        <w:t xml:space="preserve">nt coastlines support important </w:t>
      </w:r>
      <w:r w:rsidRPr="00906075">
        <w:rPr>
          <w:sz w:val="22"/>
          <w:szCs w:val="22"/>
        </w:rPr>
        <w:t>mangrove habitats. Accordingly, th</w:t>
      </w:r>
      <w:r>
        <w:rPr>
          <w:sz w:val="22"/>
          <w:szCs w:val="22"/>
        </w:rPr>
        <w:t xml:space="preserve">e area supports abundant living </w:t>
      </w:r>
      <w:r w:rsidRPr="00906075">
        <w:rPr>
          <w:sz w:val="22"/>
          <w:szCs w:val="22"/>
        </w:rPr>
        <w:t>marine resources that sustain adjacent villages. However, increases</w:t>
      </w:r>
      <w:r>
        <w:rPr>
          <w:sz w:val="22"/>
          <w:szCs w:val="22"/>
        </w:rPr>
        <w:t xml:space="preserve"> </w:t>
      </w:r>
      <w:r w:rsidRPr="00906075">
        <w:rPr>
          <w:sz w:val="22"/>
          <w:szCs w:val="22"/>
        </w:rPr>
        <w:t>in the number of fishing boats and improved fishing gear causes</w:t>
      </w:r>
      <w:r>
        <w:rPr>
          <w:sz w:val="22"/>
          <w:szCs w:val="22"/>
        </w:rPr>
        <w:t xml:space="preserve"> </w:t>
      </w:r>
      <w:r w:rsidRPr="00906075">
        <w:rPr>
          <w:sz w:val="22"/>
          <w:szCs w:val="22"/>
        </w:rPr>
        <w:t>increasing pressure on resources an</w:t>
      </w:r>
      <w:r>
        <w:rPr>
          <w:sz w:val="22"/>
          <w:szCs w:val="22"/>
        </w:rPr>
        <w:t xml:space="preserve">d habitats that could lead to a </w:t>
      </w:r>
      <w:r w:rsidRPr="00906075">
        <w:rPr>
          <w:sz w:val="22"/>
          <w:szCs w:val="22"/>
        </w:rPr>
        <w:t>decline in fish stocks and yields. Traw</w:t>
      </w:r>
      <w:r>
        <w:rPr>
          <w:sz w:val="22"/>
          <w:szCs w:val="22"/>
        </w:rPr>
        <w:t xml:space="preserve">l fishing, which is not allowed </w:t>
      </w:r>
      <w:r w:rsidRPr="00906075">
        <w:rPr>
          <w:sz w:val="22"/>
          <w:szCs w:val="22"/>
        </w:rPr>
        <w:t>in the near-shore waters of either Cambodia o</w:t>
      </w:r>
      <w:r>
        <w:rPr>
          <w:sz w:val="22"/>
          <w:szCs w:val="22"/>
        </w:rPr>
        <w:t xml:space="preserve">r Viet Nam, occurs </w:t>
      </w:r>
      <w:r w:rsidRPr="00906075">
        <w:rPr>
          <w:sz w:val="22"/>
          <w:szCs w:val="22"/>
        </w:rPr>
        <w:t>c</w:t>
      </w:r>
      <w:r>
        <w:rPr>
          <w:sz w:val="22"/>
          <w:szCs w:val="22"/>
        </w:rPr>
        <w:t xml:space="preserve">ommonly on seagrass beds and in shallow waters of both Kampot </w:t>
      </w:r>
      <w:r w:rsidRPr="00906075">
        <w:rPr>
          <w:sz w:val="22"/>
          <w:szCs w:val="22"/>
        </w:rPr>
        <w:t>and Kien Giang provinces. The</w:t>
      </w:r>
      <w:r>
        <w:rPr>
          <w:sz w:val="22"/>
          <w:szCs w:val="22"/>
        </w:rPr>
        <w:t xml:space="preserve"> SCS project’s Regional Working </w:t>
      </w:r>
      <w:r w:rsidRPr="00906075">
        <w:rPr>
          <w:sz w:val="22"/>
          <w:szCs w:val="22"/>
        </w:rPr>
        <w:t>Group on Seagrass identified this as</w:t>
      </w:r>
      <w:r>
        <w:rPr>
          <w:sz w:val="22"/>
          <w:szCs w:val="22"/>
        </w:rPr>
        <w:t xml:space="preserve"> one of the greatest sources of damage to seagrass habitats and </w:t>
      </w:r>
      <w:r w:rsidRPr="00906075">
        <w:rPr>
          <w:sz w:val="22"/>
          <w:szCs w:val="22"/>
        </w:rPr>
        <w:t>biodiversity,</w:t>
      </w:r>
      <w:r>
        <w:rPr>
          <w:sz w:val="22"/>
          <w:szCs w:val="22"/>
        </w:rPr>
        <w:t xml:space="preserve"> particularly young </w:t>
      </w:r>
      <w:r w:rsidRPr="00906075">
        <w:rPr>
          <w:sz w:val="22"/>
          <w:szCs w:val="22"/>
        </w:rPr>
        <w:t>seagrass shoots, small juveni</w:t>
      </w:r>
      <w:r>
        <w:rPr>
          <w:sz w:val="22"/>
          <w:szCs w:val="22"/>
        </w:rPr>
        <w:t xml:space="preserve">le fauna and endangered species </w:t>
      </w:r>
      <w:r w:rsidRPr="00906075">
        <w:rPr>
          <w:sz w:val="22"/>
          <w:szCs w:val="22"/>
        </w:rPr>
        <w:t>(UNEP, 2008c). Transboundary fi</w:t>
      </w:r>
      <w:r>
        <w:rPr>
          <w:sz w:val="22"/>
          <w:szCs w:val="22"/>
        </w:rPr>
        <w:t xml:space="preserve">shing activities occur daily as </w:t>
      </w:r>
      <w:r w:rsidRPr="00906075">
        <w:rPr>
          <w:sz w:val="22"/>
          <w:szCs w:val="22"/>
        </w:rPr>
        <w:t>fishing boats from Viet Nam fish i</w:t>
      </w:r>
      <w:r>
        <w:rPr>
          <w:sz w:val="22"/>
          <w:szCs w:val="22"/>
        </w:rPr>
        <w:t xml:space="preserve">n seagrass beds adjacent to the </w:t>
      </w:r>
      <w:r w:rsidRPr="00906075">
        <w:rPr>
          <w:sz w:val="22"/>
          <w:szCs w:val="22"/>
        </w:rPr>
        <w:t>Kampot coastline and vice versa. Unfortunately</w:t>
      </w:r>
      <w:r>
        <w:rPr>
          <w:sz w:val="22"/>
          <w:szCs w:val="22"/>
        </w:rPr>
        <w:t xml:space="preserve">, fishing using explosives, </w:t>
      </w:r>
      <w:r w:rsidRPr="00906075">
        <w:rPr>
          <w:sz w:val="22"/>
          <w:szCs w:val="22"/>
        </w:rPr>
        <w:t>toxins and electricity sti</w:t>
      </w:r>
      <w:r>
        <w:rPr>
          <w:sz w:val="22"/>
          <w:szCs w:val="22"/>
        </w:rPr>
        <w:t xml:space="preserve">ll occurs in the waters of both </w:t>
      </w:r>
      <w:r w:rsidRPr="00906075">
        <w:rPr>
          <w:sz w:val="22"/>
          <w:szCs w:val="22"/>
        </w:rPr>
        <w:t>provinces.</w:t>
      </w:r>
    </w:p>
    <w:p w14:paraId="6ADF64C5" w14:textId="77777777" w:rsidR="00CA1DE7" w:rsidRPr="00906075" w:rsidRDefault="00CA1DE7" w:rsidP="00CA1DE7">
      <w:pPr>
        <w:numPr>
          <w:ilvl w:val="0"/>
          <w:numId w:val="3"/>
        </w:numPr>
        <w:spacing w:after="120"/>
        <w:ind w:left="0" w:firstLine="0"/>
        <w:jc w:val="both"/>
        <w:rPr>
          <w:sz w:val="22"/>
          <w:szCs w:val="22"/>
        </w:rPr>
      </w:pPr>
      <w:r w:rsidRPr="00906075">
        <w:rPr>
          <w:sz w:val="22"/>
          <w:szCs w:val="22"/>
        </w:rPr>
        <w:t>The SCS project identified th</w:t>
      </w:r>
      <w:r>
        <w:rPr>
          <w:sz w:val="22"/>
          <w:szCs w:val="22"/>
        </w:rPr>
        <w:t xml:space="preserve">is area as suitable for a joint </w:t>
      </w:r>
      <w:r w:rsidRPr="00906075">
        <w:rPr>
          <w:sz w:val="22"/>
          <w:szCs w:val="22"/>
        </w:rPr>
        <w:t>demonstration between the Ka</w:t>
      </w:r>
      <w:r>
        <w:rPr>
          <w:sz w:val="22"/>
          <w:szCs w:val="22"/>
        </w:rPr>
        <w:t xml:space="preserve">mpot seagrass demonstration and </w:t>
      </w:r>
      <w:r w:rsidRPr="00906075">
        <w:rPr>
          <w:sz w:val="22"/>
          <w:szCs w:val="22"/>
        </w:rPr>
        <w:t>the Phu Quoc coral reef and seagrass dem</w:t>
      </w:r>
      <w:r>
        <w:rPr>
          <w:sz w:val="22"/>
          <w:szCs w:val="22"/>
        </w:rPr>
        <w:t xml:space="preserve">onstration. Initial cooperation </w:t>
      </w:r>
      <w:r w:rsidRPr="00906075">
        <w:rPr>
          <w:sz w:val="22"/>
          <w:szCs w:val="22"/>
        </w:rPr>
        <w:t>between the two sites was constr</w:t>
      </w:r>
      <w:r>
        <w:rPr>
          <w:sz w:val="22"/>
          <w:szCs w:val="22"/>
        </w:rPr>
        <w:t xml:space="preserve">ained by a lack of coordination </w:t>
      </w:r>
      <w:r w:rsidRPr="00906075">
        <w:rPr>
          <w:sz w:val="22"/>
          <w:szCs w:val="22"/>
        </w:rPr>
        <w:t>in fisheri</w:t>
      </w:r>
      <w:r>
        <w:rPr>
          <w:sz w:val="22"/>
          <w:szCs w:val="22"/>
        </w:rPr>
        <w:t xml:space="preserve">es management and environmental </w:t>
      </w:r>
      <w:r w:rsidRPr="00906075">
        <w:rPr>
          <w:sz w:val="22"/>
          <w:szCs w:val="22"/>
        </w:rPr>
        <w:t>management. Informal trade in marine</w:t>
      </w:r>
      <w:r>
        <w:rPr>
          <w:sz w:val="22"/>
          <w:szCs w:val="22"/>
        </w:rPr>
        <w:t xml:space="preserve"> products, including endangered </w:t>
      </w:r>
      <w:r w:rsidRPr="00906075">
        <w:rPr>
          <w:sz w:val="22"/>
          <w:szCs w:val="22"/>
        </w:rPr>
        <w:t>species, occurred daily between the two province</w:t>
      </w:r>
      <w:r>
        <w:rPr>
          <w:sz w:val="22"/>
          <w:szCs w:val="22"/>
        </w:rPr>
        <w:t xml:space="preserve">s and an </w:t>
      </w:r>
      <w:r w:rsidRPr="00906075">
        <w:rPr>
          <w:sz w:val="22"/>
          <w:szCs w:val="22"/>
        </w:rPr>
        <w:t xml:space="preserve">effective mechanism for joint </w:t>
      </w:r>
      <w:r>
        <w:rPr>
          <w:sz w:val="22"/>
          <w:szCs w:val="22"/>
        </w:rPr>
        <w:t xml:space="preserve">management of fisheries had not </w:t>
      </w:r>
      <w:r w:rsidRPr="00906075">
        <w:rPr>
          <w:sz w:val="22"/>
          <w:szCs w:val="22"/>
        </w:rPr>
        <w:t>been developed. Many recent de</w:t>
      </w:r>
      <w:r>
        <w:rPr>
          <w:sz w:val="22"/>
          <w:szCs w:val="22"/>
        </w:rPr>
        <w:t xml:space="preserve">velopment projects had occurred </w:t>
      </w:r>
      <w:r w:rsidRPr="00906075">
        <w:rPr>
          <w:sz w:val="22"/>
          <w:szCs w:val="22"/>
        </w:rPr>
        <w:t>in the coastal waters of both prov</w:t>
      </w:r>
      <w:r>
        <w:rPr>
          <w:sz w:val="22"/>
          <w:szCs w:val="22"/>
        </w:rPr>
        <w:t xml:space="preserve">inces to increase the income of </w:t>
      </w:r>
      <w:r w:rsidRPr="00906075">
        <w:rPr>
          <w:sz w:val="22"/>
          <w:szCs w:val="22"/>
        </w:rPr>
        <w:t>local governments</w:t>
      </w:r>
      <w:r>
        <w:rPr>
          <w:sz w:val="22"/>
          <w:szCs w:val="22"/>
        </w:rPr>
        <w:t xml:space="preserve"> and communities. While poverty </w:t>
      </w:r>
      <w:r w:rsidRPr="00906075">
        <w:rPr>
          <w:sz w:val="22"/>
          <w:szCs w:val="22"/>
        </w:rPr>
        <w:t>alleviation</w:t>
      </w:r>
      <w:r>
        <w:rPr>
          <w:sz w:val="22"/>
          <w:szCs w:val="22"/>
        </w:rPr>
        <w:t xml:space="preserve"> was </w:t>
      </w:r>
      <w:r w:rsidRPr="00906075">
        <w:rPr>
          <w:sz w:val="22"/>
          <w:szCs w:val="22"/>
        </w:rPr>
        <w:t>the first priority of the govern</w:t>
      </w:r>
      <w:r>
        <w:rPr>
          <w:sz w:val="22"/>
          <w:szCs w:val="22"/>
        </w:rPr>
        <w:t xml:space="preserve">ments, environmental management </w:t>
      </w:r>
      <w:r w:rsidRPr="00906075">
        <w:rPr>
          <w:sz w:val="22"/>
          <w:szCs w:val="22"/>
        </w:rPr>
        <w:t>for sustainable development had</w:t>
      </w:r>
      <w:r>
        <w:rPr>
          <w:sz w:val="22"/>
          <w:szCs w:val="22"/>
        </w:rPr>
        <w:t xml:space="preserve"> not been adequately considered </w:t>
      </w:r>
      <w:r w:rsidRPr="00906075">
        <w:rPr>
          <w:sz w:val="22"/>
          <w:szCs w:val="22"/>
        </w:rPr>
        <w:t>in planning and there was a lack of harmonization between economi</w:t>
      </w:r>
      <w:r>
        <w:rPr>
          <w:sz w:val="22"/>
          <w:szCs w:val="22"/>
        </w:rPr>
        <w:t xml:space="preserve">c </w:t>
      </w:r>
      <w:r w:rsidRPr="00906075">
        <w:rPr>
          <w:sz w:val="22"/>
          <w:szCs w:val="22"/>
        </w:rPr>
        <w:t>development and enviro</w:t>
      </w:r>
      <w:r>
        <w:rPr>
          <w:sz w:val="22"/>
          <w:szCs w:val="22"/>
        </w:rPr>
        <w:t xml:space="preserve">nment management. The knowledge </w:t>
      </w:r>
      <w:r w:rsidRPr="00906075">
        <w:rPr>
          <w:sz w:val="22"/>
          <w:szCs w:val="22"/>
        </w:rPr>
        <w:t>of villagers regarding the sustain</w:t>
      </w:r>
      <w:r>
        <w:rPr>
          <w:sz w:val="22"/>
          <w:szCs w:val="22"/>
        </w:rPr>
        <w:t xml:space="preserve">able use of resources was still </w:t>
      </w:r>
      <w:r w:rsidRPr="00906075">
        <w:rPr>
          <w:sz w:val="22"/>
          <w:szCs w:val="22"/>
        </w:rPr>
        <w:t>limited and local people concentrated</w:t>
      </w:r>
      <w:r>
        <w:rPr>
          <w:sz w:val="22"/>
          <w:szCs w:val="22"/>
        </w:rPr>
        <w:t xml:space="preserve"> on securing direct benefits in </w:t>
      </w:r>
      <w:r w:rsidRPr="00906075">
        <w:rPr>
          <w:sz w:val="22"/>
          <w:szCs w:val="22"/>
        </w:rPr>
        <w:t>the short-term rather than the</w:t>
      </w:r>
      <w:r>
        <w:rPr>
          <w:sz w:val="22"/>
          <w:szCs w:val="22"/>
        </w:rPr>
        <w:t xml:space="preserve"> long-term. Law enforcement was </w:t>
      </w:r>
      <w:r w:rsidRPr="00906075">
        <w:rPr>
          <w:sz w:val="22"/>
          <w:szCs w:val="22"/>
        </w:rPr>
        <w:t>not effective due</w:t>
      </w:r>
      <w:r>
        <w:rPr>
          <w:sz w:val="22"/>
          <w:szCs w:val="22"/>
        </w:rPr>
        <w:t xml:space="preserve"> to the weak capacities of both </w:t>
      </w:r>
      <w:r w:rsidRPr="00906075">
        <w:rPr>
          <w:sz w:val="22"/>
          <w:szCs w:val="22"/>
        </w:rPr>
        <w:t>provinces.</w:t>
      </w:r>
    </w:p>
    <w:p w14:paraId="1729D62D" w14:textId="77777777" w:rsidR="00CA1DE7" w:rsidRPr="00906075" w:rsidRDefault="00CA1DE7" w:rsidP="00CA1DE7">
      <w:pPr>
        <w:numPr>
          <w:ilvl w:val="0"/>
          <w:numId w:val="3"/>
        </w:numPr>
        <w:spacing w:after="120"/>
        <w:ind w:left="0" w:firstLine="0"/>
        <w:jc w:val="both"/>
        <w:rPr>
          <w:sz w:val="22"/>
          <w:szCs w:val="22"/>
        </w:rPr>
      </w:pPr>
      <w:r w:rsidRPr="00906075">
        <w:rPr>
          <w:sz w:val="22"/>
          <w:szCs w:val="22"/>
        </w:rPr>
        <w:t>The management groups of th</w:t>
      </w:r>
      <w:r>
        <w:rPr>
          <w:sz w:val="22"/>
          <w:szCs w:val="22"/>
        </w:rPr>
        <w:t xml:space="preserve">e demonstration sites of Kampot and Kien Giang had been working </w:t>
      </w:r>
      <w:r w:rsidRPr="00906075">
        <w:rPr>
          <w:sz w:val="22"/>
          <w:szCs w:val="22"/>
        </w:rPr>
        <w:t>clo</w:t>
      </w:r>
      <w:r>
        <w:rPr>
          <w:sz w:val="22"/>
          <w:szCs w:val="22"/>
        </w:rPr>
        <w:t xml:space="preserve">sely to address these problems, </w:t>
      </w:r>
      <w:r w:rsidRPr="00906075">
        <w:rPr>
          <w:sz w:val="22"/>
          <w:szCs w:val="22"/>
        </w:rPr>
        <w:t xml:space="preserve">including how to reduce illegal </w:t>
      </w:r>
      <w:r>
        <w:rPr>
          <w:sz w:val="22"/>
          <w:szCs w:val="22"/>
        </w:rPr>
        <w:t xml:space="preserve">fishing and trade of endangered </w:t>
      </w:r>
      <w:r w:rsidRPr="00906075">
        <w:rPr>
          <w:sz w:val="22"/>
          <w:szCs w:val="22"/>
        </w:rPr>
        <w:t>species. Initial steps include</w:t>
      </w:r>
      <w:r>
        <w:rPr>
          <w:sz w:val="22"/>
          <w:szCs w:val="22"/>
        </w:rPr>
        <w:t xml:space="preserve">d the preparation of guidelines </w:t>
      </w:r>
      <w:r w:rsidRPr="00906075">
        <w:rPr>
          <w:sz w:val="22"/>
          <w:szCs w:val="22"/>
        </w:rPr>
        <w:t>for assessment and monitoring and</w:t>
      </w:r>
      <w:r>
        <w:rPr>
          <w:sz w:val="22"/>
          <w:szCs w:val="22"/>
        </w:rPr>
        <w:t xml:space="preserve"> providing training and sharing </w:t>
      </w:r>
      <w:r w:rsidRPr="00906075">
        <w:rPr>
          <w:sz w:val="22"/>
          <w:szCs w:val="22"/>
        </w:rPr>
        <w:t>information between the sites. Tra</w:t>
      </w:r>
      <w:r>
        <w:rPr>
          <w:sz w:val="22"/>
          <w:szCs w:val="22"/>
        </w:rPr>
        <w:t xml:space="preserve">ining on assessment, monitoring </w:t>
      </w:r>
      <w:r w:rsidRPr="00906075">
        <w:rPr>
          <w:sz w:val="22"/>
          <w:szCs w:val="22"/>
        </w:rPr>
        <w:t>and transplantation of seagrass was pr</w:t>
      </w:r>
      <w:r>
        <w:rPr>
          <w:sz w:val="22"/>
          <w:szCs w:val="22"/>
        </w:rPr>
        <w:t xml:space="preserve">ovided by Vietnamese scientists </w:t>
      </w:r>
      <w:r w:rsidRPr="00906075">
        <w:rPr>
          <w:sz w:val="22"/>
          <w:szCs w:val="22"/>
        </w:rPr>
        <w:t xml:space="preserve">to local staff of the Kampot </w:t>
      </w:r>
      <w:r>
        <w:rPr>
          <w:sz w:val="22"/>
          <w:szCs w:val="22"/>
        </w:rPr>
        <w:t xml:space="preserve">Provincial Government and local </w:t>
      </w:r>
      <w:r w:rsidRPr="00906075">
        <w:rPr>
          <w:sz w:val="22"/>
          <w:szCs w:val="22"/>
        </w:rPr>
        <w:t>community leaders and agreeme</w:t>
      </w:r>
      <w:r>
        <w:rPr>
          <w:sz w:val="22"/>
          <w:szCs w:val="22"/>
        </w:rPr>
        <w:t xml:space="preserve">nt reached on survey methods to </w:t>
      </w:r>
      <w:r w:rsidRPr="00906075">
        <w:rPr>
          <w:sz w:val="22"/>
          <w:szCs w:val="22"/>
        </w:rPr>
        <w:t>be used by both provinces. Both par</w:t>
      </w:r>
      <w:r>
        <w:rPr>
          <w:sz w:val="22"/>
          <w:szCs w:val="22"/>
        </w:rPr>
        <w:t xml:space="preserve">ties agreed on the software and </w:t>
      </w:r>
      <w:r w:rsidRPr="00906075">
        <w:rPr>
          <w:sz w:val="22"/>
          <w:szCs w:val="22"/>
        </w:rPr>
        <w:t>baselines for use in the joint GIS</w:t>
      </w:r>
      <w:r>
        <w:rPr>
          <w:sz w:val="22"/>
          <w:szCs w:val="22"/>
        </w:rPr>
        <w:t xml:space="preserve"> database and developed a joint </w:t>
      </w:r>
      <w:r w:rsidRPr="00906075">
        <w:rPr>
          <w:sz w:val="22"/>
          <w:szCs w:val="22"/>
        </w:rPr>
        <w:t xml:space="preserve">programme of activities for </w:t>
      </w:r>
      <w:r>
        <w:rPr>
          <w:sz w:val="22"/>
          <w:szCs w:val="22"/>
        </w:rPr>
        <w:t xml:space="preserve">funding by both governments and </w:t>
      </w:r>
      <w:r w:rsidRPr="00906075">
        <w:rPr>
          <w:sz w:val="22"/>
          <w:szCs w:val="22"/>
        </w:rPr>
        <w:t>bilateral aid and assistance agencies.</w:t>
      </w:r>
    </w:p>
    <w:p w14:paraId="3B0A3285" w14:textId="77777777" w:rsidR="00CA2F44" w:rsidRDefault="00CA2F44" w:rsidP="00CA2F44">
      <w:pPr>
        <w:numPr>
          <w:ilvl w:val="0"/>
          <w:numId w:val="3"/>
        </w:numPr>
        <w:spacing w:after="120"/>
        <w:ind w:left="0" w:firstLine="0"/>
        <w:jc w:val="both"/>
        <w:rPr>
          <w:sz w:val="22"/>
          <w:szCs w:val="22"/>
        </w:rPr>
      </w:pPr>
      <w:r w:rsidRPr="00906075">
        <w:rPr>
          <w:sz w:val="22"/>
          <w:szCs w:val="22"/>
        </w:rPr>
        <w:t xml:space="preserve">The local governments of </w:t>
      </w:r>
      <w:r>
        <w:rPr>
          <w:sz w:val="22"/>
          <w:szCs w:val="22"/>
        </w:rPr>
        <w:t xml:space="preserve">Kampot and Kien Giang provinces </w:t>
      </w:r>
      <w:r w:rsidRPr="00906075">
        <w:rPr>
          <w:sz w:val="22"/>
          <w:szCs w:val="22"/>
        </w:rPr>
        <w:t>have coop</w:t>
      </w:r>
      <w:r>
        <w:rPr>
          <w:sz w:val="22"/>
          <w:szCs w:val="22"/>
        </w:rPr>
        <w:t xml:space="preserve">erated since the early 1980s in matters of mutual interest </w:t>
      </w:r>
      <w:r w:rsidRPr="00906075">
        <w:rPr>
          <w:sz w:val="22"/>
          <w:szCs w:val="22"/>
        </w:rPr>
        <w:t>under a friendship alliance. In 200</w:t>
      </w:r>
      <w:r>
        <w:rPr>
          <w:sz w:val="22"/>
          <w:szCs w:val="22"/>
        </w:rPr>
        <w:t xml:space="preserve">3, cooperative mechanisms and </w:t>
      </w:r>
      <w:r w:rsidRPr="00906075">
        <w:rPr>
          <w:sz w:val="22"/>
          <w:szCs w:val="22"/>
        </w:rPr>
        <w:t>agreements regarding admini</w:t>
      </w:r>
      <w:r>
        <w:rPr>
          <w:sz w:val="22"/>
          <w:szCs w:val="22"/>
        </w:rPr>
        <w:t xml:space="preserve">strative management between the </w:t>
      </w:r>
      <w:r w:rsidRPr="00906075">
        <w:rPr>
          <w:sz w:val="22"/>
          <w:szCs w:val="22"/>
        </w:rPr>
        <w:t>two provincial governments were esta</w:t>
      </w:r>
      <w:r>
        <w:rPr>
          <w:sz w:val="22"/>
          <w:szCs w:val="22"/>
        </w:rPr>
        <w:t xml:space="preserve">blished and yearly consultative </w:t>
      </w:r>
      <w:r w:rsidRPr="00906075">
        <w:rPr>
          <w:sz w:val="22"/>
          <w:szCs w:val="22"/>
        </w:rPr>
        <w:t>meetings have been held to im</w:t>
      </w:r>
      <w:r>
        <w:rPr>
          <w:sz w:val="22"/>
          <w:szCs w:val="22"/>
        </w:rPr>
        <w:t xml:space="preserve">prove bilateral cooperation. In </w:t>
      </w:r>
      <w:r w:rsidRPr="00906075">
        <w:rPr>
          <w:sz w:val="22"/>
          <w:szCs w:val="22"/>
        </w:rPr>
        <w:t>2005, collaborative mechanisms to supp</w:t>
      </w:r>
      <w:r>
        <w:rPr>
          <w:sz w:val="22"/>
          <w:szCs w:val="22"/>
        </w:rPr>
        <w:t xml:space="preserve">ort natural resources and </w:t>
      </w:r>
      <w:r w:rsidRPr="00906075">
        <w:rPr>
          <w:sz w:val="22"/>
          <w:szCs w:val="22"/>
        </w:rPr>
        <w:t>habi</w:t>
      </w:r>
      <w:r>
        <w:rPr>
          <w:sz w:val="22"/>
          <w:szCs w:val="22"/>
        </w:rPr>
        <w:t xml:space="preserve">tat management were established </w:t>
      </w:r>
      <w:r w:rsidRPr="00906075">
        <w:rPr>
          <w:sz w:val="22"/>
          <w:szCs w:val="22"/>
        </w:rPr>
        <w:t>under the SCS project. Three</w:t>
      </w:r>
      <w:r>
        <w:rPr>
          <w:sz w:val="22"/>
          <w:szCs w:val="22"/>
        </w:rPr>
        <w:t xml:space="preserve"> </w:t>
      </w:r>
      <w:r w:rsidRPr="00906075">
        <w:rPr>
          <w:sz w:val="22"/>
          <w:szCs w:val="22"/>
        </w:rPr>
        <w:t>Joint Meetings between the Man</w:t>
      </w:r>
      <w:r>
        <w:rPr>
          <w:sz w:val="22"/>
          <w:szCs w:val="22"/>
        </w:rPr>
        <w:t xml:space="preserve">agement Teams of the Kampot and </w:t>
      </w:r>
      <w:r w:rsidRPr="00906075">
        <w:rPr>
          <w:sz w:val="22"/>
          <w:szCs w:val="22"/>
        </w:rPr>
        <w:t>Phu Quoc demonstration sites wer</w:t>
      </w:r>
      <w:r>
        <w:rPr>
          <w:sz w:val="22"/>
          <w:szCs w:val="22"/>
        </w:rPr>
        <w:t xml:space="preserve">e convened to discuss different </w:t>
      </w:r>
      <w:r w:rsidRPr="00906075">
        <w:rPr>
          <w:sz w:val="22"/>
          <w:szCs w:val="22"/>
        </w:rPr>
        <w:t>area</w:t>
      </w:r>
      <w:r>
        <w:rPr>
          <w:sz w:val="22"/>
          <w:szCs w:val="22"/>
        </w:rPr>
        <w:t xml:space="preserve">s of cooperation and to prepare guidelines and an operational </w:t>
      </w:r>
      <w:r w:rsidRPr="00906075">
        <w:rPr>
          <w:sz w:val="22"/>
          <w:szCs w:val="22"/>
        </w:rPr>
        <w:t>framework, encompassing the shar</w:t>
      </w:r>
      <w:r>
        <w:rPr>
          <w:sz w:val="22"/>
          <w:szCs w:val="22"/>
        </w:rPr>
        <w:t xml:space="preserve">ing of data and information. In </w:t>
      </w:r>
      <w:r w:rsidRPr="00906075">
        <w:rPr>
          <w:sz w:val="22"/>
          <w:szCs w:val="22"/>
        </w:rPr>
        <w:t>March 2008, a Memorandum of</w:t>
      </w:r>
      <w:r>
        <w:rPr>
          <w:sz w:val="22"/>
          <w:szCs w:val="22"/>
        </w:rPr>
        <w:t xml:space="preserve"> Agreement on the Framework for </w:t>
      </w:r>
      <w:r w:rsidRPr="00906075">
        <w:rPr>
          <w:sz w:val="22"/>
          <w:szCs w:val="22"/>
        </w:rPr>
        <w:t>Cooperation in the Management of</w:t>
      </w:r>
      <w:r>
        <w:rPr>
          <w:sz w:val="22"/>
          <w:szCs w:val="22"/>
        </w:rPr>
        <w:t xml:space="preserve"> Coastal Ecosystems and Natural </w:t>
      </w:r>
      <w:r w:rsidRPr="00906075">
        <w:rPr>
          <w:sz w:val="22"/>
          <w:szCs w:val="22"/>
        </w:rPr>
        <w:t>Resources between the two p</w:t>
      </w:r>
      <w:r>
        <w:rPr>
          <w:sz w:val="22"/>
          <w:szCs w:val="22"/>
        </w:rPr>
        <w:t xml:space="preserve">rovinces was signed by the Vice </w:t>
      </w:r>
      <w:r w:rsidRPr="00906075">
        <w:rPr>
          <w:sz w:val="22"/>
          <w:szCs w:val="22"/>
        </w:rPr>
        <w:t>Chairperson of the Kien Giang P</w:t>
      </w:r>
      <w:r>
        <w:rPr>
          <w:sz w:val="22"/>
          <w:szCs w:val="22"/>
        </w:rPr>
        <w:t xml:space="preserve">rovincial Peoples Committee and the Deputy Governor of Kampot. </w:t>
      </w:r>
    </w:p>
    <w:p w14:paraId="1140FEAC" w14:textId="77777777" w:rsidR="00CA2F44" w:rsidRPr="00906075" w:rsidRDefault="00CA2F44" w:rsidP="00CA2F44">
      <w:pPr>
        <w:numPr>
          <w:ilvl w:val="0"/>
          <w:numId w:val="3"/>
        </w:numPr>
        <w:spacing w:after="120"/>
        <w:ind w:left="0" w:firstLine="0"/>
        <w:jc w:val="both"/>
        <w:rPr>
          <w:sz w:val="22"/>
          <w:szCs w:val="22"/>
        </w:rPr>
      </w:pPr>
      <w:r>
        <w:rPr>
          <w:sz w:val="22"/>
          <w:szCs w:val="22"/>
        </w:rPr>
        <w:t xml:space="preserve">This agreement has now been </w:t>
      </w:r>
      <w:r w:rsidRPr="00906075">
        <w:rPr>
          <w:sz w:val="22"/>
          <w:szCs w:val="22"/>
        </w:rPr>
        <w:t>endorsed and signed by bo</w:t>
      </w:r>
      <w:r>
        <w:rPr>
          <w:sz w:val="22"/>
          <w:szCs w:val="22"/>
        </w:rPr>
        <w:t xml:space="preserve">th the Cambodian and Vietnamese Central Governments. </w:t>
      </w:r>
      <w:r w:rsidRPr="00906075">
        <w:rPr>
          <w:sz w:val="22"/>
          <w:szCs w:val="22"/>
        </w:rPr>
        <w:t>The goal of this agreement is to enh</w:t>
      </w:r>
      <w:r>
        <w:rPr>
          <w:sz w:val="22"/>
          <w:szCs w:val="22"/>
        </w:rPr>
        <w:t xml:space="preserve">ance and strengthen cooperation </w:t>
      </w:r>
      <w:r w:rsidRPr="00906075">
        <w:rPr>
          <w:sz w:val="22"/>
          <w:szCs w:val="22"/>
        </w:rPr>
        <w:t>between the two province</w:t>
      </w:r>
      <w:r>
        <w:rPr>
          <w:sz w:val="22"/>
          <w:szCs w:val="22"/>
        </w:rPr>
        <w:t xml:space="preserve">s in the fields of biodiversity </w:t>
      </w:r>
      <w:r w:rsidRPr="00906075">
        <w:rPr>
          <w:sz w:val="22"/>
          <w:szCs w:val="22"/>
        </w:rPr>
        <w:t>conservation, reversing environme</w:t>
      </w:r>
      <w:r>
        <w:rPr>
          <w:sz w:val="22"/>
          <w:szCs w:val="22"/>
        </w:rPr>
        <w:t xml:space="preserve">ntal degradation trends and the </w:t>
      </w:r>
      <w:r w:rsidRPr="00906075">
        <w:rPr>
          <w:sz w:val="22"/>
          <w:szCs w:val="22"/>
        </w:rPr>
        <w:t xml:space="preserve">sustainable use of resources, to </w:t>
      </w:r>
      <w:r>
        <w:rPr>
          <w:sz w:val="22"/>
          <w:szCs w:val="22"/>
        </w:rPr>
        <w:t xml:space="preserve">improve the livelihood of local </w:t>
      </w:r>
      <w:r w:rsidRPr="00906075">
        <w:rPr>
          <w:sz w:val="22"/>
          <w:szCs w:val="22"/>
        </w:rPr>
        <w:t>communities. The objectives of t</w:t>
      </w:r>
      <w:r>
        <w:rPr>
          <w:sz w:val="22"/>
          <w:szCs w:val="22"/>
        </w:rPr>
        <w:t xml:space="preserve">he agreement are to: strengthen </w:t>
      </w:r>
      <w:r w:rsidRPr="00906075">
        <w:rPr>
          <w:sz w:val="22"/>
          <w:szCs w:val="22"/>
        </w:rPr>
        <w:t xml:space="preserve">institutional arrangements for </w:t>
      </w:r>
      <w:r>
        <w:rPr>
          <w:sz w:val="22"/>
          <w:szCs w:val="22"/>
        </w:rPr>
        <w:t xml:space="preserve">management of natural resources </w:t>
      </w:r>
      <w:r w:rsidRPr="00906075">
        <w:rPr>
          <w:sz w:val="22"/>
          <w:szCs w:val="22"/>
        </w:rPr>
        <w:t>and the marine environment in t</w:t>
      </w:r>
      <w:r>
        <w:rPr>
          <w:sz w:val="22"/>
          <w:szCs w:val="22"/>
        </w:rPr>
        <w:t xml:space="preserve">he transboundary waters between </w:t>
      </w:r>
      <w:r w:rsidRPr="00906075">
        <w:rPr>
          <w:sz w:val="22"/>
          <w:szCs w:val="22"/>
        </w:rPr>
        <w:t xml:space="preserve">the </w:t>
      </w:r>
      <w:r>
        <w:rPr>
          <w:sz w:val="22"/>
          <w:szCs w:val="22"/>
        </w:rPr>
        <w:t xml:space="preserve">two provinces of Kien Giang and Kampot; improve the capacity </w:t>
      </w:r>
      <w:r w:rsidRPr="00906075">
        <w:rPr>
          <w:sz w:val="22"/>
          <w:szCs w:val="22"/>
        </w:rPr>
        <w:t xml:space="preserve">for natural resource and marine </w:t>
      </w:r>
      <w:r>
        <w:rPr>
          <w:sz w:val="22"/>
          <w:szCs w:val="22"/>
        </w:rPr>
        <w:t xml:space="preserve">environmental management in the </w:t>
      </w:r>
      <w:r w:rsidRPr="00906075">
        <w:rPr>
          <w:sz w:val="22"/>
          <w:szCs w:val="22"/>
        </w:rPr>
        <w:t>transboundary marine zone; en</w:t>
      </w:r>
      <w:r>
        <w:rPr>
          <w:sz w:val="22"/>
          <w:szCs w:val="22"/>
        </w:rPr>
        <w:t xml:space="preserve">hance awareness of managers and </w:t>
      </w:r>
      <w:r w:rsidRPr="00906075">
        <w:rPr>
          <w:sz w:val="22"/>
          <w:szCs w:val="22"/>
        </w:rPr>
        <w:t>local communities regarding</w:t>
      </w:r>
      <w:r>
        <w:rPr>
          <w:sz w:val="22"/>
          <w:szCs w:val="22"/>
        </w:rPr>
        <w:t xml:space="preserve"> the importance of conservation </w:t>
      </w:r>
      <w:r w:rsidRPr="00906075">
        <w:rPr>
          <w:sz w:val="22"/>
          <w:szCs w:val="22"/>
        </w:rPr>
        <w:t>within the two provinces; develop cooperative research programmes</w:t>
      </w:r>
      <w:r>
        <w:rPr>
          <w:sz w:val="22"/>
          <w:szCs w:val="22"/>
        </w:rPr>
        <w:t xml:space="preserve"> </w:t>
      </w:r>
      <w:r w:rsidRPr="00906075">
        <w:rPr>
          <w:sz w:val="22"/>
          <w:szCs w:val="22"/>
        </w:rPr>
        <w:t>and exchange information, including sharing of data and</w:t>
      </w:r>
      <w:r>
        <w:rPr>
          <w:sz w:val="22"/>
          <w:szCs w:val="22"/>
        </w:rPr>
        <w:t xml:space="preserve"> </w:t>
      </w:r>
      <w:r w:rsidRPr="00906075">
        <w:rPr>
          <w:sz w:val="22"/>
          <w:szCs w:val="22"/>
        </w:rPr>
        <w:t>da</w:t>
      </w:r>
      <w:r>
        <w:rPr>
          <w:sz w:val="22"/>
          <w:szCs w:val="22"/>
        </w:rPr>
        <w:t xml:space="preserve">tabases; and maintain financial sustainability for long-term </w:t>
      </w:r>
      <w:r w:rsidRPr="00906075">
        <w:rPr>
          <w:sz w:val="22"/>
          <w:szCs w:val="22"/>
        </w:rPr>
        <w:t>management and conservation of n</w:t>
      </w:r>
      <w:r>
        <w:rPr>
          <w:sz w:val="22"/>
          <w:szCs w:val="22"/>
        </w:rPr>
        <w:t xml:space="preserve">atural resources and the marine </w:t>
      </w:r>
      <w:r w:rsidRPr="00906075">
        <w:rPr>
          <w:sz w:val="22"/>
          <w:szCs w:val="22"/>
        </w:rPr>
        <w:t>environment in transboundary waters</w:t>
      </w:r>
      <w:r>
        <w:rPr>
          <w:rStyle w:val="FootnoteReference"/>
          <w:sz w:val="22"/>
          <w:szCs w:val="22"/>
        </w:rPr>
        <w:footnoteReference w:id="39"/>
      </w:r>
      <w:r w:rsidRPr="00906075">
        <w:rPr>
          <w:sz w:val="22"/>
          <w:szCs w:val="22"/>
        </w:rPr>
        <w:t>.</w:t>
      </w:r>
    </w:p>
    <w:p w14:paraId="0576C49C" w14:textId="77777777" w:rsidR="00CA2F44" w:rsidRDefault="00CA2F44" w:rsidP="00CA2F44">
      <w:pPr>
        <w:numPr>
          <w:ilvl w:val="0"/>
          <w:numId w:val="3"/>
        </w:numPr>
        <w:spacing w:after="120"/>
        <w:ind w:left="0" w:firstLine="0"/>
        <w:jc w:val="both"/>
        <w:rPr>
          <w:sz w:val="22"/>
          <w:szCs w:val="22"/>
        </w:rPr>
      </w:pPr>
      <w:r w:rsidRPr="00906075">
        <w:rPr>
          <w:sz w:val="22"/>
          <w:szCs w:val="22"/>
        </w:rPr>
        <w:t xml:space="preserve">Following the closure of the </w:t>
      </w:r>
      <w:r>
        <w:rPr>
          <w:sz w:val="22"/>
          <w:szCs w:val="22"/>
        </w:rPr>
        <w:t xml:space="preserve">SCS </w:t>
      </w:r>
      <w:r w:rsidRPr="00906075">
        <w:rPr>
          <w:sz w:val="22"/>
          <w:szCs w:val="22"/>
        </w:rPr>
        <w:t>project the Pr</w:t>
      </w:r>
      <w:r>
        <w:rPr>
          <w:sz w:val="22"/>
          <w:szCs w:val="22"/>
        </w:rPr>
        <w:t xml:space="preserve">ovincial governments </w:t>
      </w:r>
      <w:r w:rsidRPr="00906075">
        <w:rPr>
          <w:sz w:val="22"/>
          <w:szCs w:val="22"/>
        </w:rPr>
        <w:t>have continued to meet togethe</w:t>
      </w:r>
      <w:r>
        <w:rPr>
          <w:sz w:val="22"/>
          <w:szCs w:val="22"/>
        </w:rPr>
        <w:t xml:space="preserve">r annually without the need for </w:t>
      </w:r>
      <w:r w:rsidRPr="00906075">
        <w:rPr>
          <w:sz w:val="22"/>
          <w:szCs w:val="22"/>
        </w:rPr>
        <w:t>UNEP facilitation and the agreeme</w:t>
      </w:r>
      <w:r>
        <w:rPr>
          <w:sz w:val="22"/>
          <w:szCs w:val="22"/>
        </w:rPr>
        <w:t xml:space="preserve">nt has now been endorsed at the </w:t>
      </w:r>
      <w:r w:rsidRPr="00906075">
        <w:rPr>
          <w:sz w:val="22"/>
          <w:szCs w:val="22"/>
        </w:rPr>
        <w:t>Central Government level in each co</w:t>
      </w:r>
      <w:r>
        <w:rPr>
          <w:sz w:val="22"/>
          <w:szCs w:val="22"/>
        </w:rPr>
        <w:t xml:space="preserve">untry. The facilitation of this agreement and the cooperation </w:t>
      </w:r>
      <w:r w:rsidRPr="00906075">
        <w:rPr>
          <w:sz w:val="22"/>
          <w:szCs w:val="22"/>
        </w:rPr>
        <w:t xml:space="preserve">which </w:t>
      </w:r>
      <w:r>
        <w:rPr>
          <w:sz w:val="22"/>
          <w:szCs w:val="22"/>
        </w:rPr>
        <w:t xml:space="preserve">has taken place across national </w:t>
      </w:r>
      <w:r w:rsidRPr="00906075">
        <w:rPr>
          <w:sz w:val="22"/>
          <w:szCs w:val="22"/>
        </w:rPr>
        <w:t>boundaries represents a si</w:t>
      </w:r>
      <w:r>
        <w:rPr>
          <w:sz w:val="22"/>
          <w:szCs w:val="22"/>
        </w:rPr>
        <w:t xml:space="preserve">gnificant unplanned achievement </w:t>
      </w:r>
      <w:r w:rsidRPr="00906075">
        <w:rPr>
          <w:sz w:val="22"/>
          <w:szCs w:val="22"/>
        </w:rPr>
        <w:t>of the project.</w:t>
      </w:r>
    </w:p>
    <w:p w14:paraId="38614A06" w14:textId="77777777" w:rsidR="00CA2F44" w:rsidRDefault="00CA2F44" w:rsidP="00CA2F44">
      <w:pPr>
        <w:numPr>
          <w:ilvl w:val="2"/>
          <w:numId w:val="2"/>
        </w:numPr>
        <w:spacing w:after="120"/>
        <w:outlineLvl w:val="1"/>
        <w:rPr>
          <w:b/>
          <w:sz w:val="22"/>
          <w:szCs w:val="22"/>
          <w:lang w:val="en-GB"/>
        </w:rPr>
      </w:pPr>
      <w:r>
        <w:rPr>
          <w:b/>
          <w:sz w:val="22"/>
          <w:szCs w:val="22"/>
          <w:lang w:val="en-GB"/>
        </w:rPr>
        <w:t>Coastal Habitat Management: Opportunities for Replication and Scaling-up</w:t>
      </w:r>
    </w:p>
    <w:p w14:paraId="0761883F" w14:textId="77777777" w:rsidR="00CA2F44" w:rsidRPr="00CA2F44" w:rsidRDefault="00CA2F44" w:rsidP="00CA2F44">
      <w:pPr>
        <w:numPr>
          <w:ilvl w:val="3"/>
          <w:numId w:val="2"/>
        </w:numPr>
        <w:spacing w:after="120"/>
        <w:outlineLvl w:val="1"/>
        <w:rPr>
          <w:b/>
          <w:sz w:val="22"/>
          <w:szCs w:val="22"/>
          <w:lang w:val="en-GB"/>
        </w:rPr>
      </w:pPr>
      <w:r>
        <w:rPr>
          <w:b/>
          <w:sz w:val="22"/>
          <w:szCs w:val="22"/>
          <w:lang w:val="en-GB"/>
        </w:rPr>
        <w:t>Findings of the independent evaluations</w:t>
      </w:r>
    </w:p>
    <w:p w14:paraId="43B497FA" w14:textId="77777777" w:rsidR="00CA2F44" w:rsidRDefault="00CA2F44" w:rsidP="00CA2F44">
      <w:pPr>
        <w:numPr>
          <w:ilvl w:val="0"/>
          <w:numId w:val="3"/>
        </w:numPr>
        <w:spacing w:after="120"/>
        <w:ind w:left="0" w:firstLine="0"/>
        <w:jc w:val="both"/>
        <w:rPr>
          <w:sz w:val="22"/>
          <w:szCs w:val="22"/>
          <w:lang w:val="en-GB"/>
        </w:rPr>
      </w:pPr>
      <w:r w:rsidRPr="00CA2F44">
        <w:rPr>
          <w:sz w:val="22"/>
          <w:szCs w:val="22"/>
          <w:lang w:val="en-GB"/>
        </w:rPr>
        <w:t xml:space="preserve">The GEF has recently completed an evaluation of GEF support to achieving environmental </w:t>
      </w:r>
      <w:r>
        <w:rPr>
          <w:sz w:val="22"/>
          <w:szCs w:val="22"/>
          <w:lang w:val="en-GB"/>
        </w:rPr>
        <w:t>benefits in the South China Sea</w:t>
      </w:r>
      <w:r>
        <w:rPr>
          <w:rStyle w:val="FootnoteReference"/>
          <w:sz w:val="22"/>
          <w:szCs w:val="22"/>
          <w:lang w:val="en-GB"/>
        </w:rPr>
        <w:footnoteReference w:id="40"/>
      </w:r>
      <w:r w:rsidRPr="00CA2F44">
        <w:rPr>
          <w:sz w:val="22"/>
          <w:szCs w:val="22"/>
          <w:lang w:val="en-GB"/>
        </w:rPr>
        <w:t xml:space="preserve">. The scope of this evaluation is considerably wider that just the SCS Project and a consequence of this is that it is difficult to tease out specific elements directly relevant to an evaluation of the SCS project. Nevertheless, the report does highlight a number of significant contributions of this project to regional environmental management and highlights amongst other points the cooperative arrangements between Kampot Province in Cambodia and Kien Giang Province in Viet Nam. The independent terminal evaluation of the SCS project concluded that: </w:t>
      </w:r>
    </w:p>
    <w:p w14:paraId="0237296A" w14:textId="77777777" w:rsidR="00CA2F44" w:rsidRPr="00CA2F44" w:rsidRDefault="00CA2F44" w:rsidP="00CA2F44">
      <w:pPr>
        <w:spacing w:after="120"/>
        <w:ind w:left="720" w:right="342"/>
        <w:jc w:val="both"/>
        <w:rPr>
          <w:i/>
          <w:sz w:val="21"/>
          <w:szCs w:val="21"/>
          <w:lang w:val="en-GB"/>
        </w:rPr>
      </w:pPr>
      <w:r w:rsidRPr="00CA2F44">
        <w:rPr>
          <w:i/>
          <w:sz w:val="21"/>
          <w:szCs w:val="21"/>
          <w:lang w:val="en-GB"/>
        </w:rPr>
        <w:t xml:space="preserve">“The project has significantly contributed to regional coordination of management of the South China Sea marine and coastal environment by further developing regional networks of environmental management institutions, non-government organizations, and professionals from the seven participating countries, over and above what already existed. During the project’s lifetime these networks have functioned well, with regular meetings held and documents produced containing data on environmental status as well as issues important for ecosystem management. Project mechanisms such as the Project Steering Committee (PSC) and Regional Scientific and Technical Committee (RSTC) facilitated information exchanges between participating countries, and provided a forum for discussion of regional management issues and possible approaches to addressing or solving them.  </w:t>
      </w:r>
    </w:p>
    <w:p w14:paraId="193C87F3" w14:textId="77777777" w:rsidR="006326A5" w:rsidRDefault="00CA2F44" w:rsidP="00CA2F44">
      <w:pPr>
        <w:spacing w:after="120"/>
        <w:ind w:left="720" w:right="342"/>
        <w:jc w:val="both"/>
        <w:rPr>
          <w:i/>
          <w:sz w:val="21"/>
          <w:szCs w:val="21"/>
          <w:lang w:val="en-GB"/>
        </w:rPr>
      </w:pPr>
      <w:r w:rsidRPr="00CA2F44">
        <w:rPr>
          <w:i/>
          <w:sz w:val="21"/>
          <w:szCs w:val="21"/>
          <w:lang w:val="en-GB"/>
        </w:rPr>
        <w:t>An excellent tangible example of enhanced regional coordination is the Memorandum of Agreement (MOA) on management of transboundary coastal habitats and resources signed by Kampot province in Cambodia and Kien Giang province in Viet Nam. The Mayor’s Round Table meetings and the regional scientific conferences are further specific examples of project outputs that contributed to regional information exchange to enhance management coordination.”</w:t>
      </w:r>
    </w:p>
    <w:p w14:paraId="423830D9" w14:textId="77777777" w:rsidR="00CA2F44" w:rsidRPr="00CA2F44" w:rsidRDefault="00CA2F44" w:rsidP="00CA2F44">
      <w:pPr>
        <w:numPr>
          <w:ilvl w:val="3"/>
          <w:numId w:val="2"/>
        </w:numPr>
        <w:spacing w:after="120"/>
        <w:outlineLvl w:val="1"/>
        <w:rPr>
          <w:b/>
          <w:sz w:val="22"/>
          <w:szCs w:val="22"/>
          <w:lang w:val="en-GB"/>
        </w:rPr>
      </w:pPr>
      <w:r>
        <w:rPr>
          <w:b/>
          <w:sz w:val="22"/>
          <w:szCs w:val="22"/>
          <w:lang w:val="en-GB"/>
        </w:rPr>
        <w:t>Benefits of a dedicated planning phase</w:t>
      </w:r>
    </w:p>
    <w:p w14:paraId="00B6CED3" w14:textId="77777777" w:rsidR="00CA2F44" w:rsidRPr="00B87279" w:rsidRDefault="00B87279" w:rsidP="00CA2F44">
      <w:pPr>
        <w:numPr>
          <w:ilvl w:val="0"/>
          <w:numId w:val="3"/>
        </w:numPr>
        <w:spacing w:after="120"/>
        <w:ind w:left="0" w:firstLine="0"/>
        <w:jc w:val="both"/>
        <w:rPr>
          <w:sz w:val="22"/>
          <w:szCs w:val="22"/>
          <w:lang w:val="en-GB"/>
        </w:rPr>
      </w:pPr>
      <w:r w:rsidRPr="00C72520">
        <w:rPr>
          <w:sz w:val="22"/>
          <w:szCs w:val="22"/>
        </w:rPr>
        <w:t>The achievements and best practic</w:t>
      </w:r>
      <w:r>
        <w:rPr>
          <w:sz w:val="22"/>
          <w:szCs w:val="22"/>
        </w:rPr>
        <w:t xml:space="preserve">es outlined above were obtained </w:t>
      </w:r>
      <w:r w:rsidRPr="00C72520">
        <w:rPr>
          <w:sz w:val="22"/>
          <w:szCs w:val="22"/>
        </w:rPr>
        <w:t>duri</w:t>
      </w:r>
      <w:r>
        <w:rPr>
          <w:sz w:val="22"/>
          <w:szCs w:val="22"/>
        </w:rPr>
        <w:t xml:space="preserve">ng the operational phase of the SCS project between </w:t>
      </w:r>
      <w:r w:rsidRPr="00C72520">
        <w:rPr>
          <w:sz w:val="22"/>
          <w:szCs w:val="22"/>
        </w:rPr>
        <w:t>2005 and 2008. In reality, and as a</w:t>
      </w:r>
      <w:r>
        <w:rPr>
          <w:sz w:val="22"/>
          <w:szCs w:val="22"/>
        </w:rPr>
        <w:t xml:space="preserve"> result of administrative steps involving the </w:t>
      </w:r>
      <w:r w:rsidRPr="00C72520">
        <w:rPr>
          <w:sz w:val="22"/>
          <w:szCs w:val="22"/>
        </w:rPr>
        <w:t>revision of the Mem</w:t>
      </w:r>
      <w:r>
        <w:rPr>
          <w:sz w:val="22"/>
          <w:szCs w:val="22"/>
        </w:rPr>
        <w:t xml:space="preserve">oranda of Understanding between </w:t>
      </w:r>
      <w:r w:rsidRPr="00C72520">
        <w:rPr>
          <w:sz w:val="22"/>
          <w:szCs w:val="22"/>
        </w:rPr>
        <w:t>UNEP and the national SEA</w:t>
      </w:r>
      <w:r>
        <w:rPr>
          <w:sz w:val="22"/>
          <w:szCs w:val="22"/>
        </w:rPr>
        <w:t xml:space="preserve">s responsible for demonstration </w:t>
      </w:r>
      <w:r w:rsidRPr="00C72520">
        <w:rPr>
          <w:sz w:val="22"/>
          <w:szCs w:val="22"/>
        </w:rPr>
        <w:t>site activities to accommodate the demo</w:t>
      </w:r>
      <w:r>
        <w:rPr>
          <w:sz w:val="22"/>
          <w:szCs w:val="22"/>
        </w:rPr>
        <w:t xml:space="preserve">nstration and pilot activities, most projects </w:t>
      </w:r>
      <w:r w:rsidRPr="00C72520">
        <w:rPr>
          <w:sz w:val="22"/>
          <w:szCs w:val="22"/>
        </w:rPr>
        <w:t>were initi</w:t>
      </w:r>
      <w:r>
        <w:rPr>
          <w:sz w:val="22"/>
          <w:szCs w:val="22"/>
        </w:rPr>
        <w:t xml:space="preserve">ated and closed within a 3-year </w:t>
      </w:r>
      <w:r w:rsidRPr="00C72520">
        <w:rPr>
          <w:sz w:val="22"/>
          <w:szCs w:val="22"/>
        </w:rPr>
        <w:t>period. During this short per</w:t>
      </w:r>
      <w:r>
        <w:rPr>
          <w:sz w:val="22"/>
          <w:szCs w:val="22"/>
        </w:rPr>
        <w:t xml:space="preserve">iod, activities costing between </w:t>
      </w:r>
      <w:r w:rsidRPr="00C72520">
        <w:rPr>
          <w:sz w:val="22"/>
          <w:szCs w:val="22"/>
        </w:rPr>
        <w:t>US$300,000 to $400,000 were execute</w:t>
      </w:r>
      <w:r>
        <w:rPr>
          <w:sz w:val="22"/>
          <w:szCs w:val="22"/>
        </w:rPr>
        <w:t xml:space="preserve">d at each site with the support of GEF grant funds. An </w:t>
      </w:r>
      <w:r w:rsidRPr="00C72520">
        <w:rPr>
          <w:sz w:val="22"/>
          <w:szCs w:val="22"/>
        </w:rPr>
        <w:t>equivalent value of co-financed activities</w:t>
      </w:r>
      <w:r>
        <w:rPr>
          <w:sz w:val="22"/>
          <w:szCs w:val="22"/>
        </w:rPr>
        <w:t xml:space="preserve"> </w:t>
      </w:r>
      <w:r w:rsidRPr="00C72520">
        <w:rPr>
          <w:sz w:val="22"/>
          <w:szCs w:val="22"/>
        </w:rPr>
        <w:t xml:space="preserve">were also carried out during this </w:t>
      </w:r>
      <w:r>
        <w:rPr>
          <w:sz w:val="22"/>
          <w:szCs w:val="22"/>
        </w:rPr>
        <w:t xml:space="preserve">period. The overall delivery of </w:t>
      </w:r>
      <w:r w:rsidRPr="00C72520">
        <w:rPr>
          <w:sz w:val="22"/>
          <w:szCs w:val="22"/>
        </w:rPr>
        <w:t>on-the-ground activities at</w:t>
      </w:r>
      <w:r>
        <w:rPr>
          <w:sz w:val="22"/>
          <w:szCs w:val="22"/>
        </w:rPr>
        <w:t xml:space="preserve"> the demonstration sites can be </w:t>
      </w:r>
      <w:r w:rsidRPr="00C72520">
        <w:rPr>
          <w:sz w:val="22"/>
          <w:szCs w:val="22"/>
        </w:rPr>
        <w:t>considered as high for a multi-lat</w:t>
      </w:r>
      <w:r>
        <w:rPr>
          <w:sz w:val="22"/>
          <w:szCs w:val="22"/>
        </w:rPr>
        <w:t xml:space="preserve">eral, intergovernmental project </w:t>
      </w:r>
      <w:r w:rsidRPr="00C72520">
        <w:rPr>
          <w:sz w:val="22"/>
          <w:szCs w:val="22"/>
        </w:rPr>
        <w:t xml:space="preserve">such as the SCS project. Broad </w:t>
      </w:r>
      <w:r>
        <w:rPr>
          <w:sz w:val="22"/>
          <w:szCs w:val="22"/>
        </w:rPr>
        <w:t xml:space="preserve">cross-sectoral participation in </w:t>
      </w:r>
      <w:r w:rsidRPr="00C72520">
        <w:rPr>
          <w:sz w:val="22"/>
          <w:szCs w:val="22"/>
        </w:rPr>
        <w:t>demonstration activities, particularly t</w:t>
      </w:r>
      <w:r>
        <w:rPr>
          <w:sz w:val="22"/>
          <w:szCs w:val="22"/>
        </w:rPr>
        <w:t xml:space="preserve">hrough involvement in sitelevel management boards, was also </w:t>
      </w:r>
      <w:r w:rsidRPr="00C72520">
        <w:rPr>
          <w:sz w:val="22"/>
          <w:szCs w:val="22"/>
        </w:rPr>
        <w:t>generated during this period.</w:t>
      </w:r>
    </w:p>
    <w:p w14:paraId="00292DE7" w14:textId="77777777" w:rsidR="00B87279" w:rsidRDefault="00B87279" w:rsidP="00B87279">
      <w:pPr>
        <w:numPr>
          <w:ilvl w:val="0"/>
          <w:numId w:val="3"/>
        </w:numPr>
        <w:spacing w:after="120"/>
        <w:ind w:left="0" w:firstLine="0"/>
        <w:jc w:val="both"/>
        <w:rPr>
          <w:sz w:val="22"/>
          <w:szCs w:val="22"/>
        </w:rPr>
      </w:pPr>
      <w:r w:rsidRPr="00C72520">
        <w:rPr>
          <w:sz w:val="22"/>
          <w:szCs w:val="22"/>
        </w:rPr>
        <w:t>Specification of the conditions tha</w:t>
      </w:r>
      <w:r>
        <w:rPr>
          <w:sz w:val="22"/>
          <w:szCs w:val="22"/>
        </w:rPr>
        <w:t xml:space="preserve">t contributed to the ability of </w:t>
      </w:r>
      <w:r w:rsidRPr="00C72520">
        <w:rPr>
          <w:sz w:val="22"/>
          <w:szCs w:val="22"/>
        </w:rPr>
        <w:t>the SCS project to support this rate of del</w:t>
      </w:r>
      <w:r>
        <w:rPr>
          <w:sz w:val="22"/>
          <w:szCs w:val="22"/>
        </w:rPr>
        <w:t xml:space="preserve">ivery, the level of stakeholder </w:t>
      </w:r>
      <w:r w:rsidRPr="00C72520">
        <w:rPr>
          <w:sz w:val="22"/>
          <w:szCs w:val="22"/>
        </w:rPr>
        <w:t>participation observed and t</w:t>
      </w:r>
      <w:r>
        <w:rPr>
          <w:sz w:val="22"/>
          <w:szCs w:val="22"/>
        </w:rPr>
        <w:t xml:space="preserve">he generation of best practices </w:t>
      </w:r>
      <w:r w:rsidRPr="00C72520">
        <w:rPr>
          <w:sz w:val="22"/>
          <w:szCs w:val="22"/>
        </w:rPr>
        <w:t>through local</w:t>
      </w:r>
      <w:r>
        <w:rPr>
          <w:sz w:val="22"/>
          <w:szCs w:val="22"/>
        </w:rPr>
        <w:t xml:space="preserve"> level project execution in a 3-4 year period is </w:t>
      </w:r>
      <w:r w:rsidRPr="00C72520">
        <w:rPr>
          <w:sz w:val="22"/>
          <w:szCs w:val="22"/>
        </w:rPr>
        <w:t>relevant to the replication of the</w:t>
      </w:r>
      <w:r>
        <w:rPr>
          <w:sz w:val="22"/>
          <w:szCs w:val="22"/>
        </w:rPr>
        <w:t xml:space="preserve"> experiences of the SCS project </w:t>
      </w:r>
      <w:r w:rsidRPr="00C72520">
        <w:rPr>
          <w:sz w:val="22"/>
          <w:szCs w:val="22"/>
        </w:rPr>
        <w:t>not only in the SCS region but al</w:t>
      </w:r>
      <w:r>
        <w:rPr>
          <w:sz w:val="22"/>
          <w:szCs w:val="22"/>
        </w:rPr>
        <w:t xml:space="preserve">so elsewhere. The activities of </w:t>
      </w:r>
      <w:r w:rsidRPr="00C72520">
        <w:rPr>
          <w:sz w:val="22"/>
          <w:szCs w:val="22"/>
        </w:rPr>
        <w:t>the project’s preparatory</w:t>
      </w:r>
      <w:r>
        <w:rPr>
          <w:sz w:val="22"/>
          <w:szCs w:val="22"/>
        </w:rPr>
        <w:t xml:space="preserve"> phase, including demonstration </w:t>
      </w:r>
      <w:r w:rsidRPr="00C72520">
        <w:rPr>
          <w:sz w:val="22"/>
          <w:szCs w:val="22"/>
        </w:rPr>
        <w:t>planning and design, provide some</w:t>
      </w:r>
      <w:r>
        <w:rPr>
          <w:sz w:val="22"/>
          <w:szCs w:val="22"/>
        </w:rPr>
        <w:t xml:space="preserve"> insight. That phase focused on </w:t>
      </w:r>
      <w:r w:rsidRPr="00C72520">
        <w:rPr>
          <w:sz w:val="22"/>
          <w:szCs w:val="22"/>
        </w:rPr>
        <w:t>extensive consideration of availabl</w:t>
      </w:r>
      <w:r>
        <w:rPr>
          <w:sz w:val="22"/>
          <w:szCs w:val="22"/>
        </w:rPr>
        <w:t xml:space="preserve">e information and data relating </w:t>
      </w:r>
      <w:r w:rsidRPr="00C72520">
        <w:rPr>
          <w:sz w:val="22"/>
          <w:szCs w:val="22"/>
        </w:rPr>
        <w:t>to the environmental problem</w:t>
      </w:r>
      <w:r>
        <w:rPr>
          <w:sz w:val="22"/>
          <w:szCs w:val="22"/>
        </w:rPr>
        <w:t xml:space="preserve">s of the South China Sea, their </w:t>
      </w:r>
      <w:r w:rsidRPr="00C72520">
        <w:rPr>
          <w:sz w:val="22"/>
          <w:szCs w:val="22"/>
        </w:rPr>
        <w:t>causes and various options for th</w:t>
      </w:r>
      <w:r>
        <w:rPr>
          <w:sz w:val="22"/>
          <w:szCs w:val="22"/>
        </w:rPr>
        <w:t xml:space="preserve">eir resolution. The development of the </w:t>
      </w:r>
      <w:r w:rsidRPr="00C72520">
        <w:rPr>
          <w:sz w:val="22"/>
          <w:szCs w:val="22"/>
        </w:rPr>
        <w:t>consensual information</w:t>
      </w:r>
      <w:r>
        <w:rPr>
          <w:sz w:val="22"/>
          <w:szCs w:val="22"/>
        </w:rPr>
        <w:t xml:space="preserve"> base for planning in the South </w:t>
      </w:r>
      <w:r w:rsidRPr="00C72520">
        <w:rPr>
          <w:sz w:val="22"/>
          <w:szCs w:val="22"/>
        </w:rPr>
        <w:t>China Sea (</w:t>
      </w:r>
      <w:r>
        <w:rPr>
          <w:sz w:val="22"/>
          <w:szCs w:val="22"/>
        </w:rPr>
        <w:t xml:space="preserve">as detailed above) relied on extensive </w:t>
      </w:r>
      <w:r w:rsidRPr="00C72520">
        <w:rPr>
          <w:sz w:val="22"/>
          <w:szCs w:val="22"/>
        </w:rPr>
        <w:t>engagement of national and provincial-le</w:t>
      </w:r>
      <w:r>
        <w:rPr>
          <w:sz w:val="22"/>
          <w:szCs w:val="22"/>
        </w:rPr>
        <w:t xml:space="preserve">vel stakeholders in information collection </w:t>
      </w:r>
      <w:r w:rsidRPr="00C72520">
        <w:rPr>
          <w:sz w:val="22"/>
          <w:szCs w:val="22"/>
        </w:rPr>
        <w:t>and review. This b</w:t>
      </w:r>
      <w:r>
        <w:rPr>
          <w:sz w:val="22"/>
          <w:szCs w:val="22"/>
        </w:rPr>
        <w:t xml:space="preserve">uilt institutional and personal </w:t>
      </w:r>
      <w:r w:rsidRPr="00C72520">
        <w:rPr>
          <w:sz w:val="22"/>
          <w:szCs w:val="22"/>
        </w:rPr>
        <w:t>relations among nati</w:t>
      </w:r>
      <w:r>
        <w:rPr>
          <w:sz w:val="22"/>
          <w:szCs w:val="22"/>
        </w:rPr>
        <w:t xml:space="preserve">onal SEAs and focal points with </w:t>
      </w:r>
      <w:r w:rsidRPr="00C72520">
        <w:rPr>
          <w:sz w:val="22"/>
          <w:szCs w:val="22"/>
        </w:rPr>
        <w:t>provincial and local level managem</w:t>
      </w:r>
      <w:r>
        <w:rPr>
          <w:sz w:val="22"/>
          <w:szCs w:val="22"/>
        </w:rPr>
        <w:t xml:space="preserve">ent agencies and practitioners. </w:t>
      </w:r>
    </w:p>
    <w:p w14:paraId="46D2A1B4" w14:textId="77777777" w:rsidR="00B87279" w:rsidRPr="00C72520" w:rsidRDefault="00B87279" w:rsidP="00B87279">
      <w:pPr>
        <w:numPr>
          <w:ilvl w:val="0"/>
          <w:numId w:val="3"/>
        </w:numPr>
        <w:spacing w:after="120"/>
        <w:ind w:left="0" w:firstLine="0"/>
        <w:jc w:val="both"/>
        <w:rPr>
          <w:sz w:val="22"/>
          <w:szCs w:val="22"/>
        </w:rPr>
      </w:pPr>
      <w:r w:rsidRPr="00C72520">
        <w:rPr>
          <w:sz w:val="22"/>
          <w:szCs w:val="22"/>
        </w:rPr>
        <w:t>As a result of the networking an</w:t>
      </w:r>
      <w:r>
        <w:rPr>
          <w:sz w:val="22"/>
          <w:szCs w:val="22"/>
        </w:rPr>
        <w:t xml:space="preserve">d information sharing described </w:t>
      </w:r>
      <w:r w:rsidRPr="00C72520">
        <w:rPr>
          <w:sz w:val="22"/>
          <w:szCs w:val="22"/>
        </w:rPr>
        <w:t xml:space="preserve">above, </w:t>
      </w:r>
      <w:r>
        <w:rPr>
          <w:sz w:val="22"/>
          <w:szCs w:val="22"/>
        </w:rPr>
        <w:t xml:space="preserve">the local level counterparts of </w:t>
      </w:r>
      <w:r w:rsidRPr="00C72520">
        <w:rPr>
          <w:sz w:val="22"/>
          <w:szCs w:val="22"/>
        </w:rPr>
        <w:t>the</w:t>
      </w:r>
      <w:r>
        <w:rPr>
          <w:sz w:val="22"/>
          <w:szCs w:val="22"/>
        </w:rPr>
        <w:t xml:space="preserve"> national habitat and land-based </w:t>
      </w:r>
      <w:r w:rsidRPr="00C72520">
        <w:rPr>
          <w:sz w:val="22"/>
          <w:szCs w:val="22"/>
        </w:rPr>
        <w:t>pollution focal points had contributed to the process of site</w:t>
      </w:r>
      <w:r>
        <w:rPr>
          <w:sz w:val="22"/>
          <w:szCs w:val="22"/>
        </w:rPr>
        <w:t xml:space="preserve"> </w:t>
      </w:r>
      <w:r w:rsidRPr="00C72520">
        <w:rPr>
          <w:sz w:val="22"/>
          <w:szCs w:val="22"/>
        </w:rPr>
        <w:t xml:space="preserve">selection and felt some degree </w:t>
      </w:r>
      <w:r>
        <w:rPr>
          <w:sz w:val="22"/>
          <w:szCs w:val="22"/>
        </w:rPr>
        <w:t xml:space="preserve">of ownership of the decision to </w:t>
      </w:r>
      <w:r w:rsidRPr="00C72520">
        <w:rPr>
          <w:sz w:val="22"/>
          <w:szCs w:val="22"/>
        </w:rPr>
        <w:t>develop and operationalise a demons</w:t>
      </w:r>
      <w:r>
        <w:rPr>
          <w:sz w:val="22"/>
          <w:szCs w:val="22"/>
        </w:rPr>
        <w:t xml:space="preserve">tration site in their locality. </w:t>
      </w:r>
      <w:r w:rsidRPr="00C72520">
        <w:rPr>
          <w:sz w:val="22"/>
          <w:szCs w:val="22"/>
        </w:rPr>
        <w:t>From another perspective, the natio</w:t>
      </w:r>
      <w:r>
        <w:rPr>
          <w:sz w:val="22"/>
          <w:szCs w:val="22"/>
        </w:rPr>
        <w:t xml:space="preserve">nal focal points, through their </w:t>
      </w:r>
      <w:r w:rsidRPr="00C72520">
        <w:rPr>
          <w:sz w:val="22"/>
          <w:szCs w:val="22"/>
        </w:rPr>
        <w:t xml:space="preserve">participation in meetings of the RWGs and RSTC, had </w:t>
      </w:r>
      <w:r>
        <w:rPr>
          <w:sz w:val="22"/>
          <w:szCs w:val="22"/>
        </w:rPr>
        <w:t xml:space="preserve">an obligation </w:t>
      </w:r>
      <w:r w:rsidRPr="00C72520">
        <w:rPr>
          <w:sz w:val="22"/>
          <w:szCs w:val="22"/>
        </w:rPr>
        <w:t>to other members of those groups t</w:t>
      </w:r>
      <w:r>
        <w:rPr>
          <w:sz w:val="22"/>
          <w:szCs w:val="22"/>
        </w:rPr>
        <w:t xml:space="preserve">o ensure the timely development </w:t>
      </w:r>
      <w:r w:rsidRPr="00C72520">
        <w:rPr>
          <w:sz w:val="22"/>
          <w:szCs w:val="22"/>
        </w:rPr>
        <w:t>and initiation of demonstra</w:t>
      </w:r>
      <w:r>
        <w:rPr>
          <w:sz w:val="22"/>
          <w:szCs w:val="22"/>
        </w:rPr>
        <w:t xml:space="preserve">tion and pilot activities. This </w:t>
      </w:r>
      <w:r w:rsidRPr="00C72520">
        <w:rPr>
          <w:sz w:val="22"/>
          <w:szCs w:val="22"/>
        </w:rPr>
        <w:t>regional and national level cons</w:t>
      </w:r>
      <w:r>
        <w:rPr>
          <w:sz w:val="22"/>
          <w:szCs w:val="22"/>
        </w:rPr>
        <w:t xml:space="preserve">ensus on the priority sites for </w:t>
      </w:r>
      <w:r w:rsidRPr="00C72520">
        <w:rPr>
          <w:sz w:val="22"/>
          <w:szCs w:val="22"/>
        </w:rPr>
        <w:t>intervention, achieved as a result of the site select</w:t>
      </w:r>
      <w:r>
        <w:rPr>
          <w:sz w:val="22"/>
          <w:szCs w:val="22"/>
        </w:rPr>
        <w:t xml:space="preserve">ion process, is </w:t>
      </w:r>
      <w:r w:rsidRPr="00C72520">
        <w:rPr>
          <w:sz w:val="22"/>
          <w:szCs w:val="22"/>
        </w:rPr>
        <w:t xml:space="preserve">considered to have been essential in </w:t>
      </w:r>
      <w:r>
        <w:rPr>
          <w:sz w:val="22"/>
          <w:szCs w:val="22"/>
        </w:rPr>
        <w:t xml:space="preserve">ensuring that the project could </w:t>
      </w:r>
      <w:r w:rsidRPr="00C72520">
        <w:rPr>
          <w:sz w:val="22"/>
          <w:szCs w:val="22"/>
        </w:rPr>
        <w:t>progress smoothly from its prepar</w:t>
      </w:r>
      <w:r>
        <w:rPr>
          <w:sz w:val="22"/>
          <w:szCs w:val="22"/>
        </w:rPr>
        <w:t xml:space="preserve">atory phase to the operation of </w:t>
      </w:r>
      <w:r w:rsidRPr="00C72520">
        <w:rPr>
          <w:sz w:val="22"/>
          <w:szCs w:val="22"/>
        </w:rPr>
        <w:t>the demonstrations without object</w:t>
      </w:r>
      <w:r>
        <w:rPr>
          <w:sz w:val="22"/>
          <w:szCs w:val="22"/>
        </w:rPr>
        <w:t xml:space="preserve">ions and delay within countries </w:t>
      </w:r>
      <w:r w:rsidRPr="00C72520">
        <w:rPr>
          <w:sz w:val="22"/>
          <w:szCs w:val="22"/>
        </w:rPr>
        <w:t>or at the regional level.</w:t>
      </w:r>
    </w:p>
    <w:p w14:paraId="199250DE" w14:textId="77777777" w:rsidR="00D97EF8" w:rsidRDefault="00B87279" w:rsidP="00B87279">
      <w:pPr>
        <w:numPr>
          <w:ilvl w:val="0"/>
          <w:numId w:val="3"/>
        </w:numPr>
        <w:spacing w:after="120"/>
        <w:ind w:left="0" w:firstLine="0"/>
        <w:jc w:val="both"/>
        <w:rPr>
          <w:sz w:val="22"/>
          <w:szCs w:val="22"/>
        </w:rPr>
      </w:pPr>
      <w:r w:rsidRPr="00C72520">
        <w:rPr>
          <w:sz w:val="22"/>
          <w:szCs w:val="22"/>
        </w:rPr>
        <w:t>Activities in the preparatory pha</w:t>
      </w:r>
      <w:r>
        <w:rPr>
          <w:sz w:val="22"/>
          <w:szCs w:val="22"/>
        </w:rPr>
        <w:t xml:space="preserve">se also enabled the SCS project </w:t>
      </w:r>
      <w:r w:rsidRPr="00C72520">
        <w:rPr>
          <w:sz w:val="22"/>
          <w:szCs w:val="22"/>
        </w:rPr>
        <w:t>to develop realistic ambitions with re</w:t>
      </w:r>
      <w:r>
        <w:rPr>
          <w:sz w:val="22"/>
          <w:szCs w:val="22"/>
        </w:rPr>
        <w:t xml:space="preserve">spect to what the demonstration </w:t>
      </w:r>
      <w:r w:rsidRPr="00C72520">
        <w:rPr>
          <w:sz w:val="22"/>
          <w:szCs w:val="22"/>
        </w:rPr>
        <w:t>projects and pilot activities</w:t>
      </w:r>
      <w:r>
        <w:rPr>
          <w:sz w:val="22"/>
          <w:szCs w:val="22"/>
        </w:rPr>
        <w:t xml:space="preserve"> could conceivably achieve. For </w:t>
      </w:r>
      <w:r w:rsidRPr="00C72520">
        <w:rPr>
          <w:sz w:val="22"/>
          <w:szCs w:val="22"/>
        </w:rPr>
        <w:t>example, the decision of the RWG-L</w:t>
      </w:r>
      <w:r>
        <w:rPr>
          <w:sz w:val="22"/>
          <w:szCs w:val="22"/>
        </w:rPr>
        <w:t xml:space="preserve">bP to identify pilot activities </w:t>
      </w:r>
      <w:r w:rsidRPr="00C72520">
        <w:rPr>
          <w:sz w:val="22"/>
          <w:szCs w:val="22"/>
        </w:rPr>
        <w:t>addressing particular types of po</w:t>
      </w:r>
      <w:r>
        <w:rPr>
          <w:sz w:val="22"/>
          <w:szCs w:val="22"/>
        </w:rPr>
        <w:t xml:space="preserve">llution to serve as replication </w:t>
      </w:r>
      <w:r w:rsidRPr="00C72520">
        <w:rPr>
          <w:sz w:val="22"/>
          <w:szCs w:val="22"/>
        </w:rPr>
        <w:t xml:space="preserve">models rather than attempting </w:t>
      </w:r>
      <w:r>
        <w:rPr>
          <w:sz w:val="22"/>
          <w:szCs w:val="22"/>
        </w:rPr>
        <w:t xml:space="preserve">to clean up entire hot spots is </w:t>
      </w:r>
      <w:r w:rsidRPr="00C72520">
        <w:rPr>
          <w:sz w:val="22"/>
          <w:szCs w:val="22"/>
        </w:rPr>
        <w:t>consistent with this philospophy. Th</w:t>
      </w:r>
      <w:r>
        <w:rPr>
          <w:sz w:val="22"/>
          <w:szCs w:val="22"/>
        </w:rPr>
        <w:t xml:space="preserve">is decision relied on extensive </w:t>
      </w:r>
      <w:r w:rsidRPr="00C72520">
        <w:rPr>
          <w:sz w:val="22"/>
          <w:szCs w:val="22"/>
        </w:rPr>
        <w:t>consideration of the information and data relating to polluti</w:t>
      </w:r>
      <w:r>
        <w:rPr>
          <w:sz w:val="22"/>
          <w:szCs w:val="22"/>
        </w:rPr>
        <w:t xml:space="preserve">on hot </w:t>
      </w:r>
      <w:r w:rsidRPr="00C72520">
        <w:rPr>
          <w:sz w:val="22"/>
          <w:szCs w:val="22"/>
        </w:rPr>
        <w:t>spots, the discharges of known co</w:t>
      </w:r>
      <w:r>
        <w:rPr>
          <w:sz w:val="22"/>
          <w:szCs w:val="22"/>
        </w:rPr>
        <w:t xml:space="preserve">ntaminants and their impacts on </w:t>
      </w:r>
      <w:r w:rsidRPr="00C72520">
        <w:rPr>
          <w:sz w:val="22"/>
          <w:szCs w:val="22"/>
        </w:rPr>
        <w:t xml:space="preserve">the receiving environment. </w:t>
      </w:r>
    </w:p>
    <w:p w14:paraId="1D3513E4" w14:textId="77777777" w:rsidR="00B87279" w:rsidRDefault="00B87279" w:rsidP="00B87279">
      <w:pPr>
        <w:numPr>
          <w:ilvl w:val="0"/>
          <w:numId w:val="3"/>
        </w:numPr>
        <w:spacing w:after="120"/>
        <w:ind w:left="0" w:firstLine="0"/>
        <w:jc w:val="both"/>
        <w:rPr>
          <w:sz w:val="22"/>
          <w:szCs w:val="22"/>
        </w:rPr>
      </w:pPr>
      <w:r w:rsidRPr="00C72520">
        <w:rPr>
          <w:sz w:val="22"/>
          <w:szCs w:val="22"/>
        </w:rPr>
        <w:t>The de</w:t>
      </w:r>
      <w:r>
        <w:rPr>
          <w:sz w:val="22"/>
          <w:szCs w:val="22"/>
        </w:rPr>
        <w:t xml:space="preserve">tailed consideration by all the </w:t>
      </w:r>
      <w:r w:rsidRPr="00C72520">
        <w:rPr>
          <w:sz w:val="22"/>
          <w:szCs w:val="22"/>
        </w:rPr>
        <w:t>RWGs and the RSTC of the ‘wh</w:t>
      </w:r>
      <w:r>
        <w:rPr>
          <w:sz w:val="22"/>
          <w:szCs w:val="22"/>
        </w:rPr>
        <w:t xml:space="preserve">at’, ‘whom’ and ‘how’ described </w:t>
      </w:r>
      <w:r w:rsidRPr="00C72520">
        <w:rPr>
          <w:sz w:val="22"/>
          <w:szCs w:val="22"/>
        </w:rPr>
        <w:t xml:space="preserve">above enabled the development of a common understanding of </w:t>
      </w:r>
      <w:r>
        <w:rPr>
          <w:sz w:val="22"/>
          <w:szCs w:val="22"/>
        </w:rPr>
        <w:t xml:space="preserve">the </w:t>
      </w:r>
      <w:r w:rsidRPr="00C72520">
        <w:rPr>
          <w:sz w:val="22"/>
          <w:szCs w:val="22"/>
        </w:rPr>
        <w:t xml:space="preserve">purpose of the demonstrations. This </w:t>
      </w:r>
      <w:r>
        <w:rPr>
          <w:sz w:val="22"/>
          <w:szCs w:val="22"/>
        </w:rPr>
        <w:t xml:space="preserve">was reinforced by the extensive </w:t>
      </w:r>
      <w:r w:rsidRPr="00C72520">
        <w:rPr>
          <w:sz w:val="22"/>
          <w:szCs w:val="22"/>
        </w:rPr>
        <w:t>use of the causal chain analys</w:t>
      </w:r>
      <w:r>
        <w:rPr>
          <w:sz w:val="22"/>
          <w:szCs w:val="22"/>
        </w:rPr>
        <w:t xml:space="preserve">is approach to identify social, </w:t>
      </w:r>
      <w:r w:rsidRPr="00C72520">
        <w:rPr>
          <w:sz w:val="22"/>
          <w:szCs w:val="22"/>
        </w:rPr>
        <w:t>economic, and/or cultural root ca</w:t>
      </w:r>
      <w:r>
        <w:rPr>
          <w:sz w:val="22"/>
          <w:szCs w:val="22"/>
        </w:rPr>
        <w:t xml:space="preserve">uses of habitat degradation and </w:t>
      </w:r>
      <w:r w:rsidRPr="00C72520">
        <w:rPr>
          <w:sz w:val="22"/>
          <w:szCs w:val="22"/>
        </w:rPr>
        <w:t xml:space="preserve">loss and pollution at the selected sites and options for </w:t>
      </w:r>
      <w:r>
        <w:rPr>
          <w:sz w:val="22"/>
          <w:szCs w:val="22"/>
        </w:rPr>
        <w:t xml:space="preserve">their resolution. </w:t>
      </w:r>
      <w:r w:rsidRPr="00C72520">
        <w:rPr>
          <w:sz w:val="22"/>
          <w:szCs w:val="22"/>
        </w:rPr>
        <w:t xml:space="preserve">Whilst the conduct of these </w:t>
      </w:r>
      <w:r>
        <w:rPr>
          <w:sz w:val="22"/>
          <w:szCs w:val="22"/>
        </w:rPr>
        <w:t xml:space="preserve">analyses were difficult for all </w:t>
      </w:r>
      <w:r w:rsidRPr="00C72520">
        <w:rPr>
          <w:sz w:val="22"/>
          <w:szCs w:val="22"/>
        </w:rPr>
        <w:t>parties involved, the resultant causal webs</w:t>
      </w:r>
      <w:r>
        <w:rPr>
          <w:sz w:val="22"/>
          <w:szCs w:val="22"/>
        </w:rPr>
        <w:t xml:space="preserve"> were essential in facilitating </w:t>
      </w:r>
      <w:r w:rsidRPr="00C72520">
        <w:rPr>
          <w:sz w:val="22"/>
          <w:szCs w:val="22"/>
        </w:rPr>
        <w:t>the design of realistic and ta</w:t>
      </w:r>
      <w:r>
        <w:rPr>
          <w:sz w:val="22"/>
          <w:szCs w:val="22"/>
        </w:rPr>
        <w:t xml:space="preserve">rgeted actions at each site and </w:t>
      </w:r>
      <w:r w:rsidRPr="00C72520">
        <w:rPr>
          <w:sz w:val="22"/>
          <w:szCs w:val="22"/>
        </w:rPr>
        <w:t xml:space="preserve">acted as valuable tools for focal points </w:t>
      </w:r>
      <w:r>
        <w:rPr>
          <w:sz w:val="22"/>
          <w:szCs w:val="22"/>
        </w:rPr>
        <w:t xml:space="preserve">in communicating with </w:t>
      </w:r>
      <w:r w:rsidRPr="00C72520">
        <w:rPr>
          <w:sz w:val="22"/>
          <w:szCs w:val="22"/>
        </w:rPr>
        <w:t>national and provincial level stakeh</w:t>
      </w:r>
      <w:r>
        <w:rPr>
          <w:sz w:val="22"/>
          <w:szCs w:val="22"/>
        </w:rPr>
        <w:t xml:space="preserve">olders about the ‘what’, ‘whom’ </w:t>
      </w:r>
      <w:r w:rsidRPr="00C72520">
        <w:rPr>
          <w:sz w:val="22"/>
          <w:szCs w:val="22"/>
        </w:rPr>
        <w:t xml:space="preserve">and ‘how’ of the demonstrations. </w:t>
      </w:r>
      <w:r>
        <w:rPr>
          <w:sz w:val="22"/>
          <w:szCs w:val="22"/>
        </w:rPr>
        <w:t xml:space="preserve">This exercise is deemed to have </w:t>
      </w:r>
      <w:r w:rsidRPr="00C72520">
        <w:rPr>
          <w:sz w:val="22"/>
          <w:szCs w:val="22"/>
        </w:rPr>
        <w:t>contributed to broad stakeholder bu</w:t>
      </w:r>
      <w:r>
        <w:rPr>
          <w:sz w:val="22"/>
          <w:szCs w:val="22"/>
        </w:rPr>
        <w:t xml:space="preserve">y-in to the demonstrations that </w:t>
      </w:r>
      <w:r w:rsidRPr="00C72520">
        <w:rPr>
          <w:sz w:val="22"/>
          <w:szCs w:val="22"/>
        </w:rPr>
        <w:t>aided in their timely and efficient delivery.</w:t>
      </w:r>
    </w:p>
    <w:p w14:paraId="1848D0FF" w14:textId="77777777" w:rsidR="00B87279" w:rsidRPr="00B87279" w:rsidRDefault="00B87279" w:rsidP="00B87279">
      <w:pPr>
        <w:numPr>
          <w:ilvl w:val="3"/>
          <w:numId w:val="2"/>
        </w:numPr>
        <w:spacing w:after="120"/>
        <w:outlineLvl w:val="1"/>
        <w:rPr>
          <w:b/>
          <w:sz w:val="22"/>
          <w:szCs w:val="22"/>
          <w:lang w:val="en-GB"/>
        </w:rPr>
      </w:pPr>
      <w:r>
        <w:rPr>
          <w:b/>
          <w:sz w:val="22"/>
          <w:szCs w:val="22"/>
          <w:lang w:val="en-GB"/>
        </w:rPr>
        <w:t>Benefits of the mechanisms for coordination and integration</w:t>
      </w:r>
    </w:p>
    <w:p w14:paraId="3C867ED5" w14:textId="77777777" w:rsidR="00B87279" w:rsidRDefault="00B87279" w:rsidP="00B87279">
      <w:pPr>
        <w:numPr>
          <w:ilvl w:val="0"/>
          <w:numId w:val="3"/>
        </w:numPr>
        <w:spacing w:after="120"/>
        <w:ind w:left="0" w:firstLine="0"/>
        <w:jc w:val="both"/>
        <w:rPr>
          <w:sz w:val="22"/>
          <w:szCs w:val="22"/>
          <w:lang w:val="en-GB"/>
        </w:rPr>
      </w:pPr>
      <w:r w:rsidRPr="00B87279">
        <w:rPr>
          <w:sz w:val="22"/>
          <w:szCs w:val="22"/>
          <w:lang w:val="en-GB"/>
        </w:rPr>
        <w:t>The emphasis on stakeholder analysis during the design of demonstrations contributed to the establishment of well-represented cross-sectoral demonstration site management boards. The decision to establish these boards as locally-based committees was effective in ‘embedding’ the projects within local government and community-based governance structures and engaging stakeholders in matters relating to financial management and procurement, review of activity status and monitoring and evaluation. Involvement of community representatives on these management boards contributed to the establishment of realistic views and expectations at the site-level of what the project</w:t>
      </w:r>
      <w:r w:rsidR="00047D6B">
        <w:rPr>
          <w:sz w:val="22"/>
          <w:szCs w:val="22"/>
          <w:lang w:val="en-GB"/>
        </w:rPr>
        <w:t xml:space="preserve"> initiatives</w:t>
      </w:r>
      <w:r w:rsidRPr="00B87279">
        <w:rPr>
          <w:sz w:val="22"/>
          <w:szCs w:val="22"/>
          <w:lang w:val="en-GB"/>
        </w:rPr>
        <w:t xml:space="preserve"> were aiming to achieve. It also contributed to the planning of actions that aligned with local needs and traditions and is believed to have enhanced ownership over projects and their results. The integration of traditional practices in management planning at the Belitung coral reef site demonstrates the importance of this.</w:t>
      </w:r>
    </w:p>
    <w:p w14:paraId="0EBC9410" w14:textId="77777777" w:rsidR="00D97EF8" w:rsidRDefault="00B87279" w:rsidP="00B87279">
      <w:pPr>
        <w:numPr>
          <w:ilvl w:val="0"/>
          <w:numId w:val="3"/>
        </w:numPr>
        <w:spacing w:after="120"/>
        <w:ind w:left="0" w:firstLine="0"/>
        <w:jc w:val="both"/>
        <w:rPr>
          <w:sz w:val="22"/>
          <w:szCs w:val="22"/>
        </w:rPr>
      </w:pPr>
      <w:r w:rsidRPr="00C72520">
        <w:rPr>
          <w:sz w:val="22"/>
          <w:szCs w:val="22"/>
        </w:rPr>
        <w:t>To strengthen linkages bet</w:t>
      </w:r>
      <w:r>
        <w:rPr>
          <w:sz w:val="22"/>
          <w:szCs w:val="22"/>
        </w:rPr>
        <w:t xml:space="preserve">ween habitat demonstration site </w:t>
      </w:r>
      <w:r w:rsidRPr="00C72520">
        <w:rPr>
          <w:sz w:val="22"/>
          <w:szCs w:val="22"/>
        </w:rPr>
        <w:t>stakeholders and members of the</w:t>
      </w:r>
      <w:r>
        <w:rPr>
          <w:sz w:val="22"/>
          <w:szCs w:val="22"/>
        </w:rPr>
        <w:t xml:space="preserve"> various regional organs of the </w:t>
      </w:r>
      <w:r w:rsidRPr="00C72520">
        <w:rPr>
          <w:sz w:val="22"/>
          <w:szCs w:val="22"/>
        </w:rPr>
        <w:t>project, all RWG, Regional Task For</w:t>
      </w:r>
      <w:r>
        <w:rPr>
          <w:sz w:val="22"/>
          <w:szCs w:val="22"/>
        </w:rPr>
        <w:t xml:space="preserve">ce, RSTC, and PSC meetings were </w:t>
      </w:r>
      <w:r w:rsidRPr="00C72520">
        <w:rPr>
          <w:sz w:val="22"/>
          <w:szCs w:val="22"/>
        </w:rPr>
        <w:t>convened at the habitat demonstrati</w:t>
      </w:r>
      <w:r>
        <w:rPr>
          <w:sz w:val="22"/>
          <w:szCs w:val="22"/>
        </w:rPr>
        <w:t xml:space="preserve">on sites during the operational </w:t>
      </w:r>
      <w:r w:rsidRPr="00C72520">
        <w:rPr>
          <w:sz w:val="22"/>
          <w:szCs w:val="22"/>
        </w:rPr>
        <w:t>phase of</w:t>
      </w:r>
      <w:r>
        <w:rPr>
          <w:sz w:val="22"/>
          <w:szCs w:val="22"/>
        </w:rPr>
        <w:t xml:space="preserve"> the project. The remote </w:t>
      </w:r>
      <w:r w:rsidRPr="00C72520">
        <w:rPr>
          <w:sz w:val="22"/>
          <w:szCs w:val="22"/>
        </w:rPr>
        <w:t>loc</w:t>
      </w:r>
      <w:r>
        <w:rPr>
          <w:sz w:val="22"/>
          <w:szCs w:val="22"/>
        </w:rPr>
        <w:t xml:space="preserve">ation of almost all sites meant </w:t>
      </w:r>
      <w:r w:rsidRPr="00C72520">
        <w:rPr>
          <w:sz w:val="22"/>
          <w:szCs w:val="22"/>
        </w:rPr>
        <w:t>that meeting accommodation an</w:t>
      </w:r>
      <w:r>
        <w:rPr>
          <w:sz w:val="22"/>
          <w:szCs w:val="22"/>
        </w:rPr>
        <w:t xml:space="preserve">d venues were limited and often </w:t>
      </w:r>
      <w:r w:rsidRPr="00C72520">
        <w:rPr>
          <w:sz w:val="22"/>
          <w:szCs w:val="22"/>
        </w:rPr>
        <w:t>basic. Despite this, all meetings we</w:t>
      </w:r>
      <w:r>
        <w:rPr>
          <w:sz w:val="22"/>
          <w:szCs w:val="22"/>
        </w:rPr>
        <w:t xml:space="preserve">nt ahead as planned, </w:t>
      </w:r>
      <w:r w:rsidR="00047D6B">
        <w:rPr>
          <w:sz w:val="22"/>
          <w:szCs w:val="22"/>
        </w:rPr>
        <w:t xml:space="preserve">although </w:t>
      </w:r>
      <w:r w:rsidRPr="00C72520">
        <w:rPr>
          <w:sz w:val="22"/>
          <w:szCs w:val="22"/>
        </w:rPr>
        <w:t>oft</w:t>
      </w:r>
      <w:r>
        <w:rPr>
          <w:sz w:val="22"/>
          <w:szCs w:val="22"/>
        </w:rPr>
        <w:t xml:space="preserve">en without air-conditioning and occasionally without power for </w:t>
      </w:r>
      <w:r w:rsidRPr="00C72520">
        <w:rPr>
          <w:sz w:val="22"/>
          <w:szCs w:val="22"/>
        </w:rPr>
        <w:t xml:space="preserve">computers and projectors. This </w:t>
      </w:r>
      <w:r>
        <w:rPr>
          <w:sz w:val="22"/>
          <w:szCs w:val="22"/>
        </w:rPr>
        <w:t xml:space="preserve">action, endorsed by the PSC, is </w:t>
      </w:r>
      <w:r w:rsidRPr="00C72520">
        <w:rPr>
          <w:sz w:val="22"/>
          <w:szCs w:val="22"/>
        </w:rPr>
        <w:t>considered as having been instrumental in generating the high</w:t>
      </w:r>
      <w:r>
        <w:rPr>
          <w:sz w:val="22"/>
          <w:szCs w:val="22"/>
        </w:rPr>
        <w:t xml:space="preserve"> </w:t>
      </w:r>
      <w:r w:rsidRPr="00C72520">
        <w:rPr>
          <w:sz w:val="22"/>
          <w:szCs w:val="22"/>
        </w:rPr>
        <w:t>levels of local government commit</w:t>
      </w:r>
      <w:r>
        <w:rPr>
          <w:sz w:val="22"/>
          <w:szCs w:val="22"/>
        </w:rPr>
        <w:t xml:space="preserve">ment and support to the work of </w:t>
      </w:r>
      <w:r w:rsidRPr="00C72520">
        <w:rPr>
          <w:sz w:val="22"/>
          <w:szCs w:val="22"/>
        </w:rPr>
        <w:t xml:space="preserve">the demonstrations sites and pilot activities. </w:t>
      </w:r>
    </w:p>
    <w:p w14:paraId="7388E5C1" w14:textId="77777777" w:rsidR="00B87279" w:rsidRDefault="00B87279" w:rsidP="00B87279">
      <w:pPr>
        <w:numPr>
          <w:ilvl w:val="0"/>
          <w:numId w:val="3"/>
        </w:numPr>
        <w:spacing w:after="120"/>
        <w:ind w:left="0" w:firstLine="0"/>
        <w:jc w:val="both"/>
        <w:rPr>
          <w:sz w:val="22"/>
          <w:szCs w:val="22"/>
        </w:rPr>
      </w:pPr>
      <w:r w:rsidRPr="00C72520">
        <w:rPr>
          <w:sz w:val="22"/>
          <w:szCs w:val="22"/>
        </w:rPr>
        <w:t>Regional experts were</w:t>
      </w:r>
      <w:r>
        <w:rPr>
          <w:sz w:val="22"/>
          <w:szCs w:val="22"/>
        </w:rPr>
        <w:t xml:space="preserve"> </w:t>
      </w:r>
      <w:r w:rsidRPr="00C72520">
        <w:rPr>
          <w:sz w:val="22"/>
          <w:szCs w:val="22"/>
        </w:rPr>
        <w:t>able to share their knowledge direct</w:t>
      </w:r>
      <w:r>
        <w:rPr>
          <w:sz w:val="22"/>
          <w:szCs w:val="22"/>
        </w:rPr>
        <w:t xml:space="preserve">ly with local practitioners and </w:t>
      </w:r>
      <w:r w:rsidRPr="00C72520">
        <w:rPr>
          <w:sz w:val="22"/>
          <w:szCs w:val="22"/>
        </w:rPr>
        <w:t>learn of the unique circumstance</w:t>
      </w:r>
      <w:r>
        <w:rPr>
          <w:sz w:val="22"/>
          <w:szCs w:val="22"/>
        </w:rPr>
        <w:t xml:space="preserve">s and challenges faced by local </w:t>
      </w:r>
      <w:r w:rsidRPr="00C72520">
        <w:rPr>
          <w:sz w:val="22"/>
          <w:szCs w:val="22"/>
        </w:rPr>
        <w:t>administrations. In all cases, local gov</w:t>
      </w:r>
      <w:r>
        <w:rPr>
          <w:sz w:val="22"/>
          <w:szCs w:val="22"/>
        </w:rPr>
        <w:t xml:space="preserve">ernment officials and community </w:t>
      </w:r>
      <w:r w:rsidRPr="00C72520">
        <w:rPr>
          <w:sz w:val="22"/>
          <w:szCs w:val="22"/>
        </w:rPr>
        <w:t>representatives extended their warmest local hospit</w:t>
      </w:r>
      <w:r>
        <w:rPr>
          <w:sz w:val="22"/>
          <w:szCs w:val="22"/>
        </w:rPr>
        <w:t xml:space="preserve">ality to </w:t>
      </w:r>
      <w:r w:rsidRPr="00C72520">
        <w:rPr>
          <w:sz w:val="22"/>
          <w:szCs w:val="22"/>
        </w:rPr>
        <w:t>meeting participants and the fri</w:t>
      </w:r>
      <w:r>
        <w:rPr>
          <w:sz w:val="22"/>
          <w:szCs w:val="22"/>
        </w:rPr>
        <w:t xml:space="preserve">endships established during the </w:t>
      </w:r>
      <w:r w:rsidRPr="00C72520">
        <w:rPr>
          <w:sz w:val="22"/>
          <w:szCs w:val="22"/>
        </w:rPr>
        <w:t>course of the meetings provide</w:t>
      </w:r>
      <w:r>
        <w:rPr>
          <w:sz w:val="22"/>
          <w:szCs w:val="22"/>
        </w:rPr>
        <w:t xml:space="preserve">d opportunities for significant </w:t>
      </w:r>
      <w:r w:rsidRPr="00C72520">
        <w:rPr>
          <w:sz w:val="22"/>
          <w:szCs w:val="22"/>
        </w:rPr>
        <w:t>informal discussion of the work of t</w:t>
      </w:r>
      <w:r>
        <w:rPr>
          <w:sz w:val="22"/>
          <w:szCs w:val="22"/>
        </w:rPr>
        <w:t xml:space="preserve">he SCS project and its national </w:t>
      </w:r>
      <w:r w:rsidRPr="00C72520">
        <w:rPr>
          <w:sz w:val="22"/>
          <w:szCs w:val="22"/>
        </w:rPr>
        <w:t>and regional planning initiatives. This is also belie</w:t>
      </w:r>
      <w:r>
        <w:rPr>
          <w:sz w:val="22"/>
          <w:szCs w:val="22"/>
        </w:rPr>
        <w:t xml:space="preserve">ved to have contributed to a deeper local </w:t>
      </w:r>
      <w:r w:rsidRPr="00C72520">
        <w:rPr>
          <w:sz w:val="22"/>
          <w:szCs w:val="22"/>
        </w:rPr>
        <w:t>stake</w:t>
      </w:r>
      <w:r>
        <w:rPr>
          <w:sz w:val="22"/>
          <w:szCs w:val="22"/>
        </w:rPr>
        <w:t xml:space="preserve">holder understanding of the SCS </w:t>
      </w:r>
      <w:r w:rsidRPr="00C72520">
        <w:rPr>
          <w:sz w:val="22"/>
          <w:szCs w:val="22"/>
        </w:rPr>
        <w:t>project and the importance of effe</w:t>
      </w:r>
      <w:r>
        <w:rPr>
          <w:sz w:val="22"/>
          <w:szCs w:val="22"/>
        </w:rPr>
        <w:t xml:space="preserve">ctive management of their sites </w:t>
      </w:r>
      <w:r w:rsidRPr="00C72520">
        <w:rPr>
          <w:sz w:val="22"/>
          <w:szCs w:val="22"/>
        </w:rPr>
        <w:t>from the perspective o</w:t>
      </w:r>
      <w:r>
        <w:rPr>
          <w:sz w:val="22"/>
          <w:szCs w:val="22"/>
        </w:rPr>
        <w:t xml:space="preserve">f the broader SCS marine basin. </w:t>
      </w:r>
    </w:p>
    <w:p w14:paraId="65E302F0" w14:textId="77777777" w:rsidR="00B87279" w:rsidRDefault="00B87279" w:rsidP="00B87279">
      <w:pPr>
        <w:numPr>
          <w:ilvl w:val="0"/>
          <w:numId w:val="3"/>
        </w:numPr>
        <w:spacing w:after="120"/>
        <w:ind w:left="0" w:firstLine="0"/>
        <w:jc w:val="both"/>
        <w:rPr>
          <w:sz w:val="22"/>
          <w:szCs w:val="22"/>
        </w:rPr>
      </w:pPr>
      <w:r w:rsidRPr="00C72520">
        <w:rPr>
          <w:sz w:val="22"/>
          <w:szCs w:val="22"/>
        </w:rPr>
        <w:t>The regular review</w:t>
      </w:r>
      <w:r>
        <w:rPr>
          <w:sz w:val="22"/>
          <w:szCs w:val="22"/>
        </w:rPr>
        <w:t xml:space="preserve"> </w:t>
      </w:r>
      <w:r w:rsidRPr="00C72520">
        <w:rPr>
          <w:sz w:val="22"/>
          <w:szCs w:val="22"/>
        </w:rPr>
        <w:t xml:space="preserve">of demonstration project status by the </w:t>
      </w:r>
      <w:r>
        <w:rPr>
          <w:sz w:val="22"/>
          <w:szCs w:val="22"/>
        </w:rPr>
        <w:t xml:space="preserve">RWGs </w:t>
      </w:r>
      <w:r w:rsidRPr="00C72520">
        <w:rPr>
          <w:sz w:val="22"/>
          <w:szCs w:val="22"/>
        </w:rPr>
        <w:t>and RSTC enabled the early identificati</w:t>
      </w:r>
      <w:r>
        <w:rPr>
          <w:sz w:val="22"/>
          <w:szCs w:val="22"/>
        </w:rPr>
        <w:t xml:space="preserve">on and rectification of project </w:t>
      </w:r>
      <w:r w:rsidRPr="00C72520">
        <w:rPr>
          <w:sz w:val="22"/>
          <w:szCs w:val="22"/>
        </w:rPr>
        <w:t>management issues. For many o</w:t>
      </w:r>
      <w:r>
        <w:rPr>
          <w:sz w:val="22"/>
          <w:szCs w:val="22"/>
        </w:rPr>
        <w:t xml:space="preserve">f the responsible SEAs, the SCS </w:t>
      </w:r>
      <w:r w:rsidRPr="00C72520">
        <w:rPr>
          <w:sz w:val="22"/>
          <w:szCs w:val="22"/>
        </w:rPr>
        <w:t xml:space="preserve">project demonstrations represented the </w:t>
      </w:r>
      <w:r>
        <w:rPr>
          <w:sz w:val="22"/>
          <w:szCs w:val="22"/>
        </w:rPr>
        <w:t xml:space="preserve">first time they had implemented </w:t>
      </w:r>
      <w:r w:rsidRPr="00C72520">
        <w:rPr>
          <w:sz w:val="22"/>
          <w:szCs w:val="22"/>
        </w:rPr>
        <w:t>projects of such magnitude, e</w:t>
      </w:r>
      <w:r>
        <w:rPr>
          <w:sz w:val="22"/>
          <w:szCs w:val="22"/>
        </w:rPr>
        <w:t xml:space="preserve">specially in terms of available </w:t>
      </w:r>
      <w:r w:rsidRPr="00C72520">
        <w:rPr>
          <w:sz w:val="22"/>
          <w:szCs w:val="22"/>
        </w:rPr>
        <w:t>financial resources, the scope of activ</w:t>
      </w:r>
      <w:r>
        <w:rPr>
          <w:sz w:val="22"/>
          <w:szCs w:val="22"/>
        </w:rPr>
        <w:t xml:space="preserve">ities and the complex reporting </w:t>
      </w:r>
      <w:r w:rsidRPr="00C72520">
        <w:rPr>
          <w:sz w:val="22"/>
          <w:szCs w:val="22"/>
        </w:rPr>
        <w:t>requirements of UNEP and the G</w:t>
      </w:r>
      <w:r>
        <w:rPr>
          <w:sz w:val="22"/>
          <w:szCs w:val="22"/>
        </w:rPr>
        <w:t xml:space="preserve">EF. For example, at the time of </w:t>
      </w:r>
      <w:r w:rsidRPr="00C72520">
        <w:rPr>
          <w:sz w:val="22"/>
          <w:szCs w:val="22"/>
        </w:rPr>
        <w:t>the mid-term reviews of the demonstration projects, a total of</w:t>
      </w:r>
      <w:r>
        <w:rPr>
          <w:sz w:val="22"/>
          <w:szCs w:val="22"/>
        </w:rPr>
        <w:t xml:space="preserve"> 55% </w:t>
      </w:r>
      <w:r w:rsidRPr="00C72520">
        <w:rPr>
          <w:sz w:val="22"/>
          <w:szCs w:val="22"/>
        </w:rPr>
        <w:t>of available demonstration proj</w:t>
      </w:r>
      <w:r>
        <w:rPr>
          <w:sz w:val="22"/>
          <w:szCs w:val="22"/>
        </w:rPr>
        <w:t xml:space="preserve">ect funds had been expended. To </w:t>
      </w:r>
      <w:r w:rsidRPr="00C72520">
        <w:rPr>
          <w:sz w:val="22"/>
          <w:szCs w:val="22"/>
        </w:rPr>
        <w:t>individual project managers this inf</w:t>
      </w:r>
      <w:r>
        <w:rPr>
          <w:sz w:val="22"/>
          <w:szCs w:val="22"/>
        </w:rPr>
        <w:t xml:space="preserve">ormation was probably of little </w:t>
      </w:r>
      <w:r w:rsidRPr="00C72520">
        <w:rPr>
          <w:sz w:val="22"/>
          <w:szCs w:val="22"/>
        </w:rPr>
        <w:t>interest in the context of day-t</w:t>
      </w:r>
      <w:r>
        <w:rPr>
          <w:sz w:val="22"/>
          <w:szCs w:val="22"/>
        </w:rPr>
        <w:t xml:space="preserve">o-day challenges of stakeholder </w:t>
      </w:r>
      <w:r w:rsidRPr="00C72520">
        <w:rPr>
          <w:sz w:val="22"/>
          <w:szCs w:val="22"/>
        </w:rPr>
        <w:t>liaison and coordination, activity implementation and ov</w:t>
      </w:r>
      <w:r>
        <w:rPr>
          <w:sz w:val="22"/>
          <w:szCs w:val="22"/>
        </w:rPr>
        <w:t xml:space="preserve">ersight of </w:t>
      </w:r>
      <w:r w:rsidRPr="00C72520">
        <w:rPr>
          <w:sz w:val="22"/>
          <w:szCs w:val="22"/>
        </w:rPr>
        <w:t>contracts let with local supporting</w:t>
      </w:r>
      <w:r>
        <w:rPr>
          <w:sz w:val="22"/>
          <w:szCs w:val="22"/>
        </w:rPr>
        <w:t xml:space="preserve"> organisations and individuals. </w:t>
      </w:r>
    </w:p>
    <w:p w14:paraId="50F4ABB2" w14:textId="77777777" w:rsidR="00B87279" w:rsidRDefault="00B87279" w:rsidP="00B87279">
      <w:pPr>
        <w:numPr>
          <w:ilvl w:val="0"/>
          <w:numId w:val="3"/>
        </w:numPr>
        <w:spacing w:after="120"/>
        <w:ind w:left="0" w:firstLine="0"/>
        <w:jc w:val="both"/>
        <w:rPr>
          <w:sz w:val="22"/>
          <w:szCs w:val="22"/>
        </w:rPr>
      </w:pPr>
      <w:r w:rsidRPr="00C72520">
        <w:rPr>
          <w:sz w:val="22"/>
          <w:szCs w:val="22"/>
        </w:rPr>
        <w:t>The RWGs, however, were abl</w:t>
      </w:r>
      <w:r>
        <w:rPr>
          <w:sz w:val="22"/>
          <w:szCs w:val="22"/>
        </w:rPr>
        <w:t xml:space="preserve">e to take this information into </w:t>
      </w:r>
      <w:r w:rsidRPr="00C72520">
        <w:rPr>
          <w:sz w:val="22"/>
          <w:szCs w:val="22"/>
        </w:rPr>
        <w:t xml:space="preserve">account, together with reports </w:t>
      </w:r>
      <w:r>
        <w:rPr>
          <w:sz w:val="22"/>
          <w:szCs w:val="22"/>
        </w:rPr>
        <w:t xml:space="preserve">of the mid-term evaluations, to </w:t>
      </w:r>
      <w:r w:rsidRPr="00C72520">
        <w:rPr>
          <w:sz w:val="22"/>
          <w:szCs w:val="22"/>
        </w:rPr>
        <w:t>consider proposed courses of action to ensure timely and</w:t>
      </w:r>
      <w:r>
        <w:rPr>
          <w:sz w:val="22"/>
          <w:szCs w:val="22"/>
        </w:rPr>
        <w:t xml:space="preserve"> efficient </w:t>
      </w:r>
      <w:r w:rsidRPr="00C72520">
        <w:rPr>
          <w:sz w:val="22"/>
          <w:szCs w:val="22"/>
        </w:rPr>
        <w:t>p</w:t>
      </w:r>
      <w:r>
        <w:rPr>
          <w:sz w:val="22"/>
          <w:szCs w:val="22"/>
        </w:rPr>
        <w:t xml:space="preserve">roject completion. Such actions ranged from recommendations to </w:t>
      </w:r>
      <w:r w:rsidRPr="00C72520">
        <w:rPr>
          <w:sz w:val="22"/>
          <w:szCs w:val="22"/>
        </w:rPr>
        <w:t>resolve any financial or administrativ</w:t>
      </w:r>
      <w:r>
        <w:rPr>
          <w:sz w:val="22"/>
          <w:szCs w:val="22"/>
        </w:rPr>
        <w:t xml:space="preserve">e ‘bottlenecks’ to the exchange </w:t>
      </w:r>
      <w:r w:rsidRPr="00C72520">
        <w:rPr>
          <w:sz w:val="22"/>
          <w:szCs w:val="22"/>
        </w:rPr>
        <w:t>of personnel from one site to another t</w:t>
      </w:r>
      <w:r>
        <w:rPr>
          <w:sz w:val="22"/>
          <w:szCs w:val="22"/>
        </w:rPr>
        <w:t xml:space="preserve">o assist with technical aspects of projects. Examples of the </w:t>
      </w:r>
      <w:r w:rsidRPr="00C72520">
        <w:rPr>
          <w:sz w:val="22"/>
          <w:szCs w:val="22"/>
        </w:rPr>
        <w:t>latter incl</w:t>
      </w:r>
      <w:r>
        <w:rPr>
          <w:sz w:val="22"/>
          <w:szCs w:val="22"/>
        </w:rPr>
        <w:t xml:space="preserve">ude the deployment of </w:t>
      </w:r>
      <w:r w:rsidRPr="00C72520">
        <w:rPr>
          <w:sz w:val="22"/>
          <w:szCs w:val="22"/>
        </w:rPr>
        <w:t xml:space="preserve">scientists of Viet Nam’s Institute of </w:t>
      </w:r>
      <w:r>
        <w:rPr>
          <w:sz w:val="22"/>
          <w:szCs w:val="22"/>
        </w:rPr>
        <w:t xml:space="preserve">Oceanography to assist with the </w:t>
      </w:r>
      <w:r w:rsidRPr="00C72520">
        <w:rPr>
          <w:sz w:val="22"/>
          <w:szCs w:val="22"/>
        </w:rPr>
        <w:t>design and implementation of mo</w:t>
      </w:r>
      <w:r>
        <w:rPr>
          <w:sz w:val="22"/>
          <w:szCs w:val="22"/>
        </w:rPr>
        <w:t xml:space="preserve">nitoring at the Kampot seagrass </w:t>
      </w:r>
      <w:r w:rsidRPr="00C72520">
        <w:rPr>
          <w:sz w:val="22"/>
          <w:szCs w:val="22"/>
        </w:rPr>
        <w:t xml:space="preserve">site in Cambodia. </w:t>
      </w:r>
      <w:r>
        <w:rPr>
          <w:sz w:val="22"/>
          <w:szCs w:val="22"/>
        </w:rPr>
        <w:t xml:space="preserve"> </w:t>
      </w:r>
      <w:r w:rsidRPr="00C72520">
        <w:rPr>
          <w:sz w:val="22"/>
          <w:szCs w:val="22"/>
        </w:rPr>
        <w:t>Where neces</w:t>
      </w:r>
      <w:r>
        <w:rPr>
          <w:sz w:val="22"/>
          <w:szCs w:val="22"/>
        </w:rPr>
        <w:t xml:space="preserve">sary, recommendations were made </w:t>
      </w:r>
      <w:r w:rsidRPr="00C72520">
        <w:rPr>
          <w:sz w:val="22"/>
          <w:szCs w:val="22"/>
        </w:rPr>
        <w:t>to the RSTC for possible consideration b</w:t>
      </w:r>
      <w:r>
        <w:rPr>
          <w:sz w:val="22"/>
          <w:szCs w:val="22"/>
        </w:rPr>
        <w:t xml:space="preserve">y the PSC, although the </w:t>
      </w:r>
      <w:r w:rsidRPr="00C72520">
        <w:rPr>
          <w:sz w:val="22"/>
          <w:szCs w:val="22"/>
        </w:rPr>
        <w:t>issues were typically resolved at</w:t>
      </w:r>
      <w:r>
        <w:rPr>
          <w:sz w:val="22"/>
          <w:szCs w:val="22"/>
        </w:rPr>
        <w:t xml:space="preserve"> the level of the RWGs. The RWG </w:t>
      </w:r>
      <w:r w:rsidRPr="00C72520">
        <w:rPr>
          <w:sz w:val="22"/>
          <w:szCs w:val="22"/>
        </w:rPr>
        <w:t>review of activities and achiev</w:t>
      </w:r>
      <w:r>
        <w:rPr>
          <w:sz w:val="22"/>
          <w:szCs w:val="22"/>
        </w:rPr>
        <w:t xml:space="preserve">ements was also valuable in the </w:t>
      </w:r>
      <w:r w:rsidRPr="00C72520">
        <w:rPr>
          <w:sz w:val="22"/>
          <w:szCs w:val="22"/>
        </w:rPr>
        <w:t>planning and organisatio</w:t>
      </w:r>
      <w:r>
        <w:rPr>
          <w:sz w:val="22"/>
          <w:szCs w:val="22"/>
        </w:rPr>
        <w:t xml:space="preserve">n of study tours between sites. </w:t>
      </w:r>
    </w:p>
    <w:p w14:paraId="556BA4D4" w14:textId="77777777" w:rsidR="00B87279" w:rsidRDefault="00B87279" w:rsidP="00B87279">
      <w:pPr>
        <w:numPr>
          <w:ilvl w:val="0"/>
          <w:numId w:val="3"/>
        </w:numPr>
        <w:spacing w:after="120"/>
        <w:ind w:left="0" w:firstLine="0"/>
        <w:jc w:val="both"/>
        <w:rPr>
          <w:sz w:val="22"/>
          <w:szCs w:val="22"/>
        </w:rPr>
      </w:pPr>
      <w:r w:rsidRPr="00C72520">
        <w:rPr>
          <w:sz w:val="22"/>
          <w:szCs w:val="22"/>
        </w:rPr>
        <w:t>The role of the demonstration sites in integrati</w:t>
      </w:r>
      <w:r>
        <w:rPr>
          <w:sz w:val="22"/>
          <w:szCs w:val="22"/>
        </w:rPr>
        <w:t xml:space="preserve">ng local governments </w:t>
      </w:r>
      <w:r w:rsidRPr="00C72520">
        <w:rPr>
          <w:sz w:val="22"/>
          <w:szCs w:val="22"/>
        </w:rPr>
        <w:t>and communities within na</w:t>
      </w:r>
      <w:r>
        <w:rPr>
          <w:sz w:val="22"/>
          <w:szCs w:val="22"/>
        </w:rPr>
        <w:t xml:space="preserve">tional and regional frameworks, </w:t>
      </w:r>
      <w:r w:rsidRPr="00C72520">
        <w:rPr>
          <w:sz w:val="22"/>
          <w:szCs w:val="22"/>
        </w:rPr>
        <w:t>particularly through the MRT</w:t>
      </w:r>
      <w:r>
        <w:rPr>
          <w:sz w:val="22"/>
          <w:szCs w:val="22"/>
        </w:rPr>
        <w:t xml:space="preserve"> forums, has been identified as </w:t>
      </w:r>
      <w:r w:rsidRPr="00C72520">
        <w:rPr>
          <w:sz w:val="22"/>
          <w:szCs w:val="22"/>
        </w:rPr>
        <w:t xml:space="preserve">a key innovation of the SCS project </w:t>
      </w:r>
      <w:r>
        <w:rPr>
          <w:sz w:val="22"/>
          <w:szCs w:val="22"/>
        </w:rPr>
        <w:t xml:space="preserve">that contributed to the success </w:t>
      </w:r>
      <w:r w:rsidRPr="00C72520">
        <w:rPr>
          <w:sz w:val="22"/>
          <w:szCs w:val="22"/>
        </w:rPr>
        <w:t>of site level activities in fostering a</w:t>
      </w:r>
      <w:r>
        <w:rPr>
          <w:sz w:val="22"/>
          <w:szCs w:val="22"/>
        </w:rPr>
        <w:t xml:space="preserve"> better understanding of how to </w:t>
      </w:r>
      <w:r w:rsidRPr="00C72520">
        <w:rPr>
          <w:sz w:val="22"/>
          <w:szCs w:val="22"/>
        </w:rPr>
        <w:t>manage the environmental probl</w:t>
      </w:r>
      <w:r>
        <w:rPr>
          <w:sz w:val="22"/>
          <w:szCs w:val="22"/>
        </w:rPr>
        <w:t xml:space="preserve">ems of the South China Sea from </w:t>
      </w:r>
      <w:r w:rsidRPr="00C72520">
        <w:rPr>
          <w:sz w:val="22"/>
          <w:szCs w:val="22"/>
        </w:rPr>
        <w:t>the levels of local communities to n</w:t>
      </w:r>
      <w:r>
        <w:rPr>
          <w:sz w:val="22"/>
          <w:szCs w:val="22"/>
        </w:rPr>
        <w:t xml:space="preserve">ational governments. Two of the MRT meetings were convened in </w:t>
      </w:r>
      <w:r w:rsidRPr="00C72520">
        <w:rPr>
          <w:sz w:val="22"/>
          <w:szCs w:val="22"/>
        </w:rPr>
        <w:t>conjunction with Regional</w:t>
      </w:r>
      <w:r>
        <w:rPr>
          <w:sz w:val="22"/>
          <w:szCs w:val="22"/>
        </w:rPr>
        <w:t xml:space="preserve"> Scientific </w:t>
      </w:r>
      <w:r w:rsidRPr="00C72520">
        <w:rPr>
          <w:sz w:val="22"/>
          <w:szCs w:val="22"/>
        </w:rPr>
        <w:t>Conferences. This enabled ind</w:t>
      </w:r>
      <w:r>
        <w:rPr>
          <w:sz w:val="22"/>
          <w:szCs w:val="22"/>
        </w:rPr>
        <w:t xml:space="preserve">ividuals involved in site-level </w:t>
      </w:r>
      <w:r w:rsidRPr="00C72520">
        <w:rPr>
          <w:sz w:val="22"/>
          <w:szCs w:val="22"/>
        </w:rPr>
        <w:t>activities to participate in larger re</w:t>
      </w:r>
      <w:r>
        <w:rPr>
          <w:sz w:val="22"/>
          <w:szCs w:val="22"/>
        </w:rPr>
        <w:t xml:space="preserve">gional discussions relating to: </w:t>
      </w:r>
      <w:r w:rsidRPr="00C72520">
        <w:rPr>
          <w:sz w:val="22"/>
          <w:szCs w:val="22"/>
        </w:rPr>
        <w:t>nat</w:t>
      </w:r>
      <w:r>
        <w:rPr>
          <w:sz w:val="22"/>
          <w:szCs w:val="22"/>
        </w:rPr>
        <w:t xml:space="preserve">ional and regional benefits and achievements; the use of sound </w:t>
      </w:r>
      <w:r w:rsidRPr="00C72520">
        <w:rPr>
          <w:sz w:val="22"/>
          <w:szCs w:val="22"/>
        </w:rPr>
        <w:t>science for environmental management; and planning for successful</w:t>
      </w:r>
      <w:r>
        <w:rPr>
          <w:sz w:val="22"/>
          <w:szCs w:val="22"/>
        </w:rPr>
        <w:t xml:space="preserve"> </w:t>
      </w:r>
      <w:r w:rsidRPr="00C72520">
        <w:rPr>
          <w:sz w:val="22"/>
          <w:szCs w:val="22"/>
        </w:rPr>
        <w:t>implementation of the rev</w:t>
      </w:r>
      <w:r>
        <w:rPr>
          <w:sz w:val="22"/>
          <w:szCs w:val="22"/>
        </w:rPr>
        <w:t>ised SAP. This was commented on b</w:t>
      </w:r>
      <w:r w:rsidRPr="00C72520">
        <w:rPr>
          <w:sz w:val="22"/>
          <w:szCs w:val="22"/>
        </w:rPr>
        <w:t>y the then Deputy Executive Director</w:t>
      </w:r>
      <w:r>
        <w:rPr>
          <w:sz w:val="22"/>
          <w:szCs w:val="22"/>
        </w:rPr>
        <w:t xml:space="preserve"> of UNEP, Dr. Shafqat Kakakhel, </w:t>
      </w:r>
      <w:r w:rsidRPr="00C72520">
        <w:rPr>
          <w:sz w:val="22"/>
          <w:szCs w:val="22"/>
        </w:rPr>
        <w:t>during the third MRT meeting as follows:</w:t>
      </w:r>
      <w:r>
        <w:rPr>
          <w:sz w:val="22"/>
          <w:szCs w:val="22"/>
        </w:rPr>
        <w:t xml:space="preserve"> </w:t>
      </w:r>
    </w:p>
    <w:p w14:paraId="1D9F38B4" w14:textId="77777777" w:rsidR="00B87279" w:rsidRPr="00B87279" w:rsidRDefault="00B87279" w:rsidP="00B87279">
      <w:pPr>
        <w:spacing w:after="120"/>
        <w:ind w:left="720" w:right="346"/>
        <w:jc w:val="both"/>
        <w:rPr>
          <w:i/>
          <w:sz w:val="21"/>
          <w:szCs w:val="21"/>
        </w:rPr>
      </w:pPr>
      <w:r w:rsidRPr="00B87279">
        <w:rPr>
          <w:i/>
          <w:sz w:val="21"/>
          <w:szCs w:val="21"/>
        </w:rPr>
        <w:t>“The range of actions undertaken in the 23 demonstration sites promoted under the project is truly great, reflecting not only the diversity of cultures and social and economic conditions found in this region, but also a major feature of the South China Sea Project of course is that it is a multi-lateral project involving the active participation of all seven countries bordering the South China Sea and has forged a strong network of scientists and government officials committed to managing sustainably the marine and coastal environment of the South China Sea.”</w:t>
      </w:r>
    </w:p>
    <w:p w14:paraId="004F0326" w14:textId="77777777" w:rsidR="00B87279" w:rsidRPr="00B87279" w:rsidRDefault="00B87279" w:rsidP="00B87279">
      <w:pPr>
        <w:numPr>
          <w:ilvl w:val="0"/>
          <w:numId w:val="3"/>
        </w:numPr>
        <w:spacing w:after="120"/>
        <w:ind w:left="0" w:firstLine="0"/>
        <w:jc w:val="both"/>
        <w:rPr>
          <w:sz w:val="22"/>
          <w:szCs w:val="22"/>
        </w:rPr>
      </w:pPr>
      <w:r w:rsidRPr="00B87279">
        <w:rPr>
          <w:sz w:val="22"/>
          <w:szCs w:val="22"/>
        </w:rPr>
        <w:t>Similarly, NGO Forums facilitated by the GEF Small Grants Programme (SGP) were convened in conjunction with the third and fourth MRT meetings. National Co-ordinators of the SGP, NGO representatives from the National Small Grants Committees, the SGP Programme Specialist and PCU staff participated in these forums to explore ways in which community groups, supported through SGP, could contribute to the implementation of the revised SAP. This resulted in the development of a partnership in</w:t>
      </w:r>
      <w:r>
        <w:rPr>
          <w:sz w:val="22"/>
          <w:szCs w:val="22"/>
        </w:rPr>
        <w:t xml:space="preserve"> </w:t>
      </w:r>
      <w:r w:rsidRPr="00B87279">
        <w:rPr>
          <w:sz w:val="22"/>
          <w:szCs w:val="22"/>
        </w:rPr>
        <w:t>which site level interventions in support of SAP implementation were funded jointly by funds derived from the SCS project budget and the SGP. The results of this initiative are presented by Chen et al. (2013).</w:t>
      </w:r>
    </w:p>
    <w:p w14:paraId="72386D4B" w14:textId="77777777" w:rsidR="002F5B1E" w:rsidRDefault="002F5B1E" w:rsidP="002F5B1E">
      <w:pPr>
        <w:numPr>
          <w:ilvl w:val="0"/>
          <w:numId w:val="3"/>
        </w:numPr>
        <w:spacing w:after="120"/>
        <w:ind w:left="0" w:firstLine="0"/>
        <w:jc w:val="both"/>
        <w:rPr>
          <w:sz w:val="22"/>
          <w:szCs w:val="22"/>
        </w:rPr>
      </w:pPr>
      <w:r w:rsidRPr="005A14EA">
        <w:rPr>
          <w:sz w:val="22"/>
          <w:szCs w:val="22"/>
        </w:rPr>
        <w:t>Of particular note are initiatives to</w:t>
      </w:r>
      <w:r>
        <w:rPr>
          <w:sz w:val="22"/>
          <w:szCs w:val="22"/>
        </w:rPr>
        <w:t xml:space="preserve"> build ‘self-funded’ sites into </w:t>
      </w:r>
      <w:r w:rsidRPr="005A14EA">
        <w:rPr>
          <w:sz w:val="22"/>
          <w:szCs w:val="22"/>
        </w:rPr>
        <w:t>the regional network of demonstratio</w:t>
      </w:r>
      <w:r>
        <w:rPr>
          <w:sz w:val="22"/>
          <w:szCs w:val="22"/>
        </w:rPr>
        <w:t xml:space="preserve">ns. For example, it is unlikely </w:t>
      </w:r>
      <w:r w:rsidRPr="005A14EA">
        <w:rPr>
          <w:sz w:val="22"/>
          <w:szCs w:val="22"/>
        </w:rPr>
        <w:t>that the SCS project network a</w:t>
      </w:r>
      <w:r>
        <w:rPr>
          <w:sz w:val="22"/>
          <w:szCs w:val="22"/>
        </w:rPr>
        <w:t xml:space="preserve">nd various MRT and RSC meetings </w:t>
      </w:r>
      <w:r w:rsidRPr="005A14EA">
        <w:rPr>
          <w:sz w:val="22"/>
          <w:szCs w:val="22"/>
        </w:rPr>
        <w:t>would have been exposed to the Th</w:t>
      </w:r>
      <w:r>
        <w:rPr>
          <w:sz w:val="22"/>
          <w:szCs w:val="22"/>
        </w:rPr>
        <w:t xml:space="preserve">i Nai Lagoon initiative in Viet </w:t>
      </w:r>
      <w:r w:rsidRPr="005A14EA">
        <w:rPr>
          <w:sz w:val="22"/>
          <w:szCs w:val="22"/>
        </w:rPr>
        <w:t>Nam. This project acted as an important process demonstration</w:t>
      </w:r>
      <w:r>
        <w:rPr>
          <w:sz w:val="22"/>
          <w:szCs w:val="22"/>
        </w:rPr>
        <w:t xml:space="preserve"> </w:t>
      </w:r>
      <w:r w:rsidRPr="005A14EA">
        <w:rPr>
          <w:sz w:val="22"/>
          <w:szCs w:val="22"/>
        </w:rPr>
        <w:t>site in the framework of the SCS proje</w:t>
      </w:r>
      <w:r>
        <w:rPr>
          <w:sz w:val="22"/>
          <w:szCs w:val="22"/>
        </w:rPr>
        <w:t xml:space="preserve">ct, particularly in the context </w:t>
      </w:r>
      <w:r w:rsidRPr="005A14EA">
        <w:rPr>
          <w:sz w:val="22"/>
          <w:szCs w:val="22"/>
        </w:rPr>
        <w:t>of its demonstration of integra</w:t>
      </w:r>
      <w:r>
        <w:rPr>
          <w:sz w:val="22"/>
          <w:szCs w:val="22"/>
        </w:rPr>
        <w:t xml:space="preserve">ted mangrove rehabilitation and </w:t>
      </w:r>
      <w:r w:rsidRPr="005A14EA">
        <w:rPr>
          <w:sz w:val="22"/>
          <w:szCs w:val="22"/>
        </w:rPr>
        <w:t>sustainable aquaculture devel</w:t>
      </w:r>
      <w:r>
        <w:rPr>
          <w:sz w:val="22"/>
          <w:szCs w:val="22"/>
        </w:rPr>
        <w:t xml:space="preserve">opment. Experiences shared from </w:t>
      </w:r>
      <w:r w:rsidRPr="005A14EA">
        <w:rPr>
          <w:sz w:val="22"/>
          <w:szCs w:val="22"/>
        </w:rPr>
        <w:t xml:space="preserve">this project will likely be particularly valuable in guiding </w:t>
      </w:r>
      <w:r>
        <w:rPr>
          <w:sz w:val="22"/>
          <w:szCs w:val="22"/>
        </w:rPr>
        <w:t xml:space="preserve">activities </w:t>
      </w:r>
      <w:r w:rsidRPr="005A14EA">
        <w:rPr>
          <w:sz w:val="22"/>
          <w:szCs w:val="22"/>
        </w:rPr>
        <w:t>to achieve NAP and SAP targets ass</w:t>
      </w:r>
      <w:r>
        <w:rPr>
          <w:sz w:val="22"/>
          <w:szCs w:val="22"/>
        </w:rPr>
        <w:t xml:space="preserve">ociated with the rehabilitation of abandoned shrimp </w:t>
      </w:r>
      <w:r w:rsidRPr="005A14EA">
        <w:rPr>
          <w:sz w:val="22"/>
          <w:szCs w:val="22"/>
        </w:rPr>
        <w:t>ponds whilst</w:t>
      </w:r>
      <w:r>
        <w:rPr>
          <w:sz w:val="22"/>
          <w:szCs w:val="22"/>
        </w:rPr>
        <w:t xml:space="preserve"> balancing local needs for food </w:t>
      </w:r>
      <w:r w:rsidRPr="005A14EA">
        <w:rPr>
          <w:sz w:val="22"/>
          <w:szCs w:val="22"/>
        </w:rPr>
        <w:t>and income generation from the culture of fish and other seafood.</w:t>
      </w:r>
    </w:p>
    <w:p w14:paraId="79C5C1B1" w14:textId="77777777" w:rsidR="002F5B1E" w:rsidRPr="002F5B1E" w:rsidRDefault="002F5B1E" w:rsidP="002F5B1E">
      <w:pPr>
        <w:numPr>
          <w:ilvl w:val="3"/>
          <w:numId w:val="2"/>
        </w:numPr>
        <w:spacing w:after="120"/>
        <w:outlineLvl w:val="1"/>
        <w:rPr>
          <w:b/>
          <w:sz w:val="22"/>
          <w:szCs w:val="22"/>
          <w:lang w:val="en-GB"/>
        </w:rPr>
      </w:pPr>
      <w:r>
        <w:rPr>
          <w:b/>
          <w:sz w:val="22"/>
          <w:szCs w:val="22"/>
          <w:lang w:val="en-GB"/>
        </w:rPr>
        <w:t>Linking local action to national and regional planning</w:t>
      </w:r>
    </w:p>
    <w:p w14:paraId="32A49DA9" w14:textId="77777777" w:rsidR="00D97EF8" w:rsidRDefault="002F5B1E" w:rsidP="002F5B1E">
      <w:pPr>
        <w:numPr>
          <w:ilvl w:val="0"/>
          <w:numId w:val="3"/>
        </w:numPr>
        <w:spacing w:after="120"/>
        <w:ind w:left="0" w:firstLine="0"/>
        <w:jc w:val="both"/>
        <w:rPr>
          <w:sz w:val="22"/>
          <w:szCs w:val="22"/>
          <w:lang w:val="en-GB"/>
        </w:rPr>
      </w:pPr>
      <w:r w:rsidRPr="002F5B1E">
        <w:rPr>
          <w:sz w:val="22"/>
          <w:szCs w:val="22"/>
          <w:lang w:val="en-GB"/>
        </w:rPr>
        <w:t xml:space="preserve">The development and operation of the demonstration sites and pilot activity provided guidance to the preparation of NAPs and the revision of the SAP. The conduct of causal chain analyses and the identification of options for intervention at each site provided members of the various national committees, RWGs and the RSTC with a suite of possible actions aimed at addressing the root causes of environmental problems for inclusion in national and regional plans. Many of these actions were included in the NAPs for habitats and land-based pollution and were directed at habitat sites characterised during the demonstration site selection process. </w:t>
      </w:r>
    </w:p>
    <w:p w14:paraId="704127B2" w14:textId="77777777" w:rsidR="00B87279" w:rsidRDefault="002F5B1E" w:rsidP="002F5B1E">
      <w:pPr>
        <w:numPr>
          <w:ilvl w:val="0"/>
          <w:numId w:val="3"/>
        </w:numPr>
        <w:spacing w:after="120"/>
        <w:ind w:left="0" w:firstLine="0"/>
        <w:jc w:val="both"/>
        <w:rPr>
          <w:sz w:val="22"/>
          <w:szCs w:val="22"/>
          <w:lang w:val="en-GB"/>
        </w:rPr>
      </w:pPr>
      <w:r w:rsidRPr="002F5B1E">
        <w:rPr>
          <w:sz w:val="22"/>
          <w:szCs w:val="22"/>
          <w:lang w:val="en-GB"/>
        </w:rPr>
        <w:t>Similarly, the experience gained in the operation of the sites provided information on the realities and actual costs of site-level project implementation. This information was used at the regional level to ensure that the NAPs and SAP were realistic from the perspectives of both the timing and the costs of activities. The importance of applying this site level implementation experience on the scale of national and regional action is an important lesson learned generated by the SCS project that has potential for replication in other multilateral environmental planning projects and programmes.</w:t>
      </w:r>
    </w:p>
    <w:p w14:paraId="0E9CC690" w14:textId="77777777" w:rsidR="003C4C39" w:rsidRPr="005A14EA" w:rsidRDefault="003C4C39" w:rsidP="003C4C39">
      <w:pPr>
        <w:numPr>
          <w:ilvl w:val="0"/>
          <w:numId w:val="3"/>
        </w:numPr>
        <w:spacing w:after="120"/>
        <w:ind w:left="0" w:firstLine="0"/>
        <w:jc w:val="both"/>
        <w:rPr>
          <w:sz w:val="22"/>
          <w:szCs w:val="22"/>
        </w:rPr>
      </w:pPr>
      <w:r w:rsidRPr="005A14EA">
        <w:rPr>
          <w:sz w:val="22"/>
          <w:szCs w:val="22"/>
        </w:rPr>
        <w:t>The initial GEF strategy defined the</w:t>
      </w:r>
      <w:r>
        <w:rPr>
          <w:sz w:val="22"/>
          <w:szCs w:val="22"/>
        </w:rPr>
        <w:t xml:space="preserve"> objective of its international </w:t>
      </w:r>
      <w:r w:rsidRPr="005A14EA">
        <w:rPr>
          <w:sz w:val="22"/>
          <w:szCs w:val="22"/>
        </w:rPr>
        <w:t>waters focal area as “to contribute</w:t>
      </w:r>
      <w:r>
        <w:rPr>
          <w:sz w:val="22"/>
          <w:szCs w:val="22"/>
        </w:rPr>
        <w:t xml:space="preserve"> primarily as a catalyst in the </w:t>
      </w:r>
      <w:r w:rsidRPr="005A14EA">
        <w:rPr>
          <w:sz w:val="22"/>
          <w:szCs w:val="22"/>
        </w:rPr>
        <w:t>implementation of a more comprehe</w:t>
      </w:r>
      <w:r>
        <w:rPr>
          <w:sz w:val="22"/>
          <w:szCs w:val="22"/>
        </w:rPr>
        <w:t xml:space="preserve">nsive, ecosystem-based approach </w:t>
      </w:r>
      <w:r w:rsidRPr="005A14EA">
        <w:rPr>
          <w:sz w:val="22"/>
          <w:szCs w:val="22"/>
        </w:rPr>
        <w:t xml:space="preserve">to managing international waters and </w:t>
      </w:r>
      <w:r>
        <w:rPr>
          <w:sz w:val="22"/>
          <w:szCs w:val="22"/>
        </w:rPr>
        <w:t xml:space="preserve">their drainage basins as a </w:t>
      </w:r>
      <w:r w:rsidRPr="005A14EA">
        <w:rPr>
          <w:sz w:val="22"/>
          <w:szCs w:val="22"/>
        </w:rPr>
        <w:t>means to achieve global environme</w:t>
      </w:r>
      <w:r>
        <w:rPr>
          <w:sz w:val="22"/>
          <w:szCs w:val="22"/>
        </w:rPr>
        <w:t xml:space="preserve">ntal benefits” (GEF, 1996). The </w:t>
      </w:r>
      <w:r w:rsidRPr="005A14EA">
        <w:rPr>
          <w:sz w:val="22"/>
          <w:szCs w:val="22"/>
        </w:rPr>
        <w:t>network of demonstration sites a</w:t>
      </w:r>
      <w:r>
        <w:rPr>
          <w:sz w:val="22"/>
          <w:szCs w:val="22"/>
        </w:rPr>
        <w:t xml:space="preserve">nd pilot activities established </w:t>
      </w:r>
      <w:r w:rsidRPr="005A14EA">
        <w:rPr>
          <w:sz w:val="22"/>
          <w:szCs w:val="22"/>
        </w:rPr>
        <w:t>through the SCS project made a s</w:t>
      </w:r>
      <w:r>
        <w:rPr>
          <w:sz w:val="22"/>
          <w:szCs w:val="22"/>
        </w:rPr>
        <w:t xml:space="preserve">ignificant contribution towards </w:t>
      </w:r>
      <w:r w:rsidRPr="005A14EA">
        <w:rPr>
          <w:sz w:val="22"/>
          <w:szCs w:val="22"/>
        </w:rPr>
        <w:t>achieving this objective by developi</w:t>
      </w:r>
      <w:r>
        <w:rPr>
          <w:sz w:val="22"/>
          <w:szCs w:val="22"/>
        </w:rPr>
        <w:t xml:space="preserve">ng practical experience and </w:t>
      </w:r>
      <w:r w:rsidRPr="005A14EA">
        <w:rPr>
          <w:sz w:val="22"/>
          <w:szCs w:val="22"/>
        </w:rPr>
        <w:t>stimulating cooperation and coord</w:t>
      </w:r>
      <w:r>
        <w:rPr>
          <w:sz w:val="22"/>
          <w:szCs w:val="22"/>
        </w:rPr>
        <w:t xml:space="preserve">ination both within and between </w:t>
      </w:r>
      <w:r w:rsidRPr="005A14EA">
        <w:rPr>
          <w:sz w:val="22"/>
          <w:szCs w:val="22"/>
        </w:rPr>
        <w:t>countries. It was not anticipate</w:t>
      </w:r>
      <w:r>
        <w:rPr>
          <w:sz w:val="22"/>
          <w:szCs w:val="22"/>
        </w:rPr>
        <w:t xml:space="preserve">d that the demonstrations would </w:t>
      </w:r>
      <w:r w:rsidRPr="005A14EA">
        <w:rPr>
          <w:sz w:val="22"/>
          <w:szCs w:val="22"/>
        </w:rPr>
        <w:t xml:space="preserve">achieve measurable stress reduction </w:t>
      </w:r>
      <w:r>
        <w:rPr>
          <w:sz w:val="22"/>
          <w:szCs w:val="22"/>
        </w:rPr>
        <w:t xml:space="preserve">or environmental state benefits </w:t>
      </w:r>
      <w:r w:rsidRPr="005A14EA">
        <w:rPr>
          <w:sz w:val="22"/>
          <w:szCs w:val="22"/>
        </w:rPr>
        <w:t xml:space="preserve">during their short duration of </w:t>
      </w:r>
      <w:r>
        <w:rPr>
          <w:sz w:val="22"/>
          <w:szCs w:val="22"/>
        </w:rPr>
        <w:t xml:space="preserve">2-3 years. As a foundational </w:t>
      </w:r>
      <w:r w:rsidRPr="005A14EA">
        <w:rPr>
          <w:sz w:val="22"/>
          <w:szCs w:val="22"/>
        </w:rPr>
        <w:t>project of the GEF international wat</w:t>
      </w:r>
      <w:r>
        <w:rPr>
          <w:sz w:val="22"/>
          <w:szCs w:val="22"/>
        </w:rPr>
        <w:t xml:space="preserve">ers focal area, the SCS project </w:t>
      </w:r>
      <w:r w:rsidRPr="005A14EA">
        <w:rPr>
          <w:sz w:val="22"/>
          <w:szCs w:val="22"/>
        </w:rPr>
        <w:t>demonstrations were signi</w:t>
      </w:r>
      <w:r>
        <w:rPr>
          <w:sz w:val="22"/>
          <w:szCs w:val="22"/>
        </w:rPr>
        <w:t xml:space="preserve">ficant from the perspectives of </w:t>
      </w:r>
      <w:r w:rsidRPr="005A14EA">
        <w:rPr>
          <w:sz w:val="22"/>
          <w:szCs w:val="22"/>
        </w:rPr>
        <w:t>developing practical ex</w:t>
      </w:r>
      <w:r>
        <w:rPr>
          <w:sz w:val="22"/>
          <w:szCs w:val="22"/>
        </w:rPr>
        <w:t xml:space="preserve">perience in coastal management, </w:t>
      </w:r>
      <w:r w:rsidRPr="005A14EA">
        <w:rPr>
          <w:sz w:val="22"/>
          <w:szCs w:val="22"/>
        </w:rPr>
        <w:t>strengthen</w:t>
      </w:r>
      <w:r>
        <w:rPr>
          <w:sz w:val="22"/>
          <w:szCs w:val="22"/>
        </w:rPr>
        <w:t xml:space="preserve">ing local coordination, and the </w:t>
      </w:r>
      <w:r w:rsidRPr="005A14EA">
        <w:rPr>
          <w:sz w:val="22"/>
          <w:szCs w:val="22"/>
        </w:rPr>
        <w:t>ident</w:t>
      </w:r>
      <w:r>
        <w:rPr>
          <w:sz w:val="22"/>
          <w:szCs w:val="22"/>
        </w:rPr>
        <w:t xml:space="preserve">ification of best </w:t>
      </w:r>
      <w:r w:rsidRPr="005A14EA">
        <w:rPr>
          <w:sz w:val="22"/>
          <w:szCs w:val="22"/>
        </w:rPr>
        <w:t>practices for replication and</w:t>
      </w:r>
      <w:r>
        <w:rPr>
          <w:sz w:val="22"/>
          <w:szCs w:val="22"/>
        </w:rPr>
        <w:t xml:space="preserve"> scaling-up through NAP and SAP </w:t>
      </w:r>
      <w:r w:rsidRPr="005A14EA">
        <w:rPr>
          <w:sz w:val="22"/>
          <w:szCs w:val="22"/>
        </w:rPr>
        <w:t>implementation.</w:t>
      </w:r>
    </w:p>
    <w:p w14:paraId="2F7A2F32" w14:textId="77777777" w:rsidR="003C4C39" w:rsidRPr="005A14EA" w:rsidRDefault="003C4C39" w:rsidP="003C4C39">
      <w:pPr>
        <w:numPr>
          <w:ilvl w:val="0"/>
          <w:numId w:val="3"/>
        </w:numPr>
        <w:spacing w:after="120"/>
        <w:ind w:left="0" w:firstLine="0"/>
        <w:jc w:val="both"/>
        <w:rPr>
          <w:sz w:val="22"/>
          <w:szCs w:val="22"/>
        </w:rPr>
      </w:pPr>
      <w:r w:rsidRPr="005A14EA">
        <w:rPr>
          <w:sz w:val="22"/>
          <w:szCs w:val="22"/>
        </w:rPr>
        <w:t>The results frameworks develo</w:t>
      </w:r>
      <w:r>
        <w:rPr>
          <w:sz w:val="22"/>
          <w:szCs w:val="22"/>
        </w:rPr>
        <w:t xml:space="preserve">ped and included in the various </w:t>
      </w:r>
      <w:r w:rsidRPr="005A14EA">
        <w:rPr>
          <w:sz w:val="22"/>
          <w:szCs w:val="22"/>
        </w:rPr>
        <w:t>habitat and land-based pollution N</w:t>
      </w:r>
      <w:r>
        <w:rPr>
          <w:sz w:val="22"/>
          <w:szCs w:val="22"/>
        </w:rPr>
        <w:t xml:space="preserve">APs and the South China Sea SAP </w:t>
      </w:r>
      <w:r w:rsidRPr="005A14EA">
        <w:rPr>
          <w:sz w:val="22"/>
          <w:szCs w:val="22"/>
        </w:rPr>
        <w:t>provided specific process, stress re</w:t>
      </w:r>
      <w:r>
        <w:rPr>
          <w:sz w:val="22"/>
          <w:szCs w:val="22"/>
        </w:rPr>
        <w:t xml:space="preserve">duction and environmental state </w:t>
      </w:r>
      <w:r w:rsidRPr="005A14EA">
        <w:rPr>
          <w:sz w:val="22"/>
          <w:szCs w:val="22"/>
        </w:rPr>
        <w:t>indicators for use in monitoring and evaluating the impact of activities</w:t>
      </w:r>
      <w:r>
        <w:rPr>
          <w:sz w:val="22"/>
          <w:szCs w:val="22"/>
        </w:rPr>
        <w:t xml:space="preserve"> </w:t>
      </w:r>
      <w:r w:rsidRPr="005A14EA">
        <w:rPr>
          <w:sz w:val="22"/>
          <w:szCs w:val="22"/>
        </w:rPr>
        <w:t>conducted as part</w:t>
      </w:r>
      <w:r>
        <w:rPr>
          <w:sz w:val="22"/>
          <w:szCs w:val="22"/>
        </w:rPr>
        <w:t xml:space="preserve"> of NAP and SAP implementation. The SCS Project’s d</w:t>
      </w:r>
      <w:r w:rsidRPr="005A14EA">
        <w:rPr>
          <w:sz w:val="22"/>
          <w:szCs w:val="22"/>
        </w:rPr>
        <w:t>emonstration and pilot activities</w:t>
      </w:r>
      <w:r>
        <w:rPr>
          <w:sz w:val="22"/>
          <w:szCs w:val="22"/>
        </w:rPr>
        <w:t xml:space="preserve"> played an important role in this </w:t>
      </w:r>
      <w:r w:rsidRPr="005A14EA">
        <w:rPr>
          <w:sz w:val="22"/>
          <w:szCs w:val="22"/>
        </w:rPr>
        <w:t>staged approach to GEF investmen</w:t>
      </w:r>
      <w:r>
        <w:rPr>
          <w:sz w:val="22"/>
          <w:szCs w:val="22"/>
        </w:rPr>
        <w:t xml:space="preserve">t in international waters which </w:t>
      </w:r>
      <w:r w:rsidRPr="005A14EA">
        <w:rPr>
          <w:sz w:val="22"/>
          <w:szCs w:val="22"/>
        </w:rPr>
        <w:t>supports groups of countri</w:t>
      </w:r>
      <w:r>
        <w:rPr>
          <w:sz w:val="22"/>
          <w:szCs w:val="22"/>
        </w:rPr>
        <w:t xml:space="preserve">es to work through processes of </w:t>
      </w:r>
      <w:r w:rsidRPr="005A14EA">
        <w:rPr>
          <w:sz w:val="22"/>
          <w:szCs w:val="22"/>
        </w:rPr>
        <w:t>strengthening enabling environme</w:t>
      </w:r>
      <w:r>
        <w:rPr>
          <w:sz w:val="22"/>
          <w:szCs w:val="22"/>
        </w:rPr>
        <w:t xml:space="preserve">nts and developing foundational </w:t>
      </w:r>
      <w:r w:rsidRPr="005A14EA">
        <w:rPr>
          <w:sz w:val="22"/>
          <w:szCs w:val="22"/>
        </w:rPr>
        <w:t>capacity, testing management a</w:t>
      </w:r>
      <w:r>
        <w:rPr>
          <w:sz w:val="22"/>
          <w:szCs w:val="22"/>
        </w:rPr>
        <w:t xml:space="preserve">pproaches through demonstration </w:t>
      </w:r>
      <w:r w:rsidRPr="005A14EA">
        <w:rPr>
          <w:sz w:val="22"/>
          <w:szCs w:val="22"/>
        </w:rPr>
        <w:t>and pilo</w:t>
      </w:r>
      <w:r>
        <w:rPr>
          <w:sz w:val="22"/>
          <w:szCs w:val="22"/>
        </w:rPr>
        <w:t xml:space="preserve">t activities to inform higher level strategic planning for </w:t>
      </w:r>
      <w:r w:rsidRPr="005A14EA">
        <w:rPr>
          <w:sz w:val="22"/>
          <w:szCs w:val="22"/>
        </w:rPr>
        <w:t xml:space="preserve">transboundary water resource </w:t>
      </w:r>
      <w:r>
        <w:rPr>
          <w:sz w:val="22"/>
          <w:szCs w:val="22"/>
        </w:rPr>
        <w:t xml:space="preserve">management, and ultimately to a </w:t>
      </w:r>
      <w:r w:rsidRPr="005A14EA">
        <w:rPr>
          <w:sz w:val="22"/>
          <w:szCs w:val="22"/>
        </w:rPr>
        <w:t>SAP implementation stage dur</w:t>
      </w:r>
      <w:r>
        <w:rPr>
          <w:sz w:val="22"/>
          <w:szCs w:val="22"/>
        </w:rPr>
        <w:t xml:space="preserve">ing which successful management </w:t>
      </w:r>
      <w:r w:rsidRPr="005A14EA">
        <w:rPr>
          <w:sz w:val="22"/>
          <w:szCs w:val="22"/>
        </w:rPr>
        <w:t>approaches can be replicated and</w:t>
      </w:r>
      <w:r>
        <w:rPr>
          <w:sz w:val="22"/>
          <w:szCs w:val="22"/>
        </w:rPr>
        <w:t xml:space="preserve"> scaled-up to reduce stress and </w:t>
      </w:r>
      <w:r w:rsidRPr="005A14EA">
        <w:rPr>
          <w:sz w:val="22"/>
          <w:szCs w:val="22"/>
        </w:rPr>
        <w:t>enhance environmental state.</w:t>
      </w:r>
    </w:p>
    <w:p w14:paraId="7D71636F" w14:textId="77777777" w:rsidR="003C4C39" w:rsidRPr="005A14EA" w:rsidRDefault="003C4C39" w:rsidP="003C4C39">
      <w:pPr>
        <w:numPr>
          <w:ilvl w:val="0"/>
          <w:numId w:val="3"/>
        </w:numPr>
        <w:spacing w:after="120"/>
        <w:ind w:left="0" w:firstLine="0"/>
        <w:jc w:val="both"/>
        <w:rPr>
          <w:sz w:val="22"/>
          <w:szCs w:val="22"/>
        </w:rPr>
      </w:pPr>
      <w:r w:rsidRPr="005A14EA">
        <w:rPr>
          <w:sz w:val="22"/>
          <w:szCs w:val="22"/>
        </w:rPr>
        <w:t>The numerous best practices in</w:t>
      </w:r>
      <w:r>
        <w:rPr>
          <w:sz w:val="22"/>
          <w:szCs w:val="22"/>
        </w:rPr>
        <w:t xml:space="preserve"> coastal habitat and land-based </w:t>
      </w:r>
      <w:r w:rsidRPr="005A14EA">
        <w:rPr>
          <w:sz w:val="22"/>
          <w:szCs w:val="22"/>
        </w:rPr>
        <w:t xml:space="preserve">pollution management, summarised </w:t>
      </w:r>
      <w:r>
        <w:rPr>
          <w:sz w:val="22"/>
          <w:szCs w:val="22"/>
        </w:rPr>
        <w:t xml:space="preserve">above and </w:t>
      </w:r>
      <w:r w:rsidRPr="005A14EA">
        <w:rPr>
          <w:sz w:val="22"/>
          <w:szCs w:val="22"/>
        </w:rPr>
        <w:t>documented in greater detail in the four</w:t>
      </w:r>
      <w:r>
        <w:rPr>
          <w:sz w:val="22"/>
          <w:szCs w:val="22"/>
        </w:rPr>
        <w:t xml:space="preserve"> related technical publications </w:t>
      </w:r>
      <w:r w:rsidRPr="005A14EA">
        <w:rPr>
          <w:sz w:val="22"/>
          <w:szCs w:val="22"/>
        </w:rPr>
        <w:t>and nine lessons-learned notes, have significan</w:t>
      </w:r>
      <w:r>
        <w:rPr>
          <w:sz w:val="22"/>
          <w:szCs w:val="22"/>
        </w:rPr>
        <w:t xml:space="preserve">t potential </w:t>
      </w:r>
      <w:r w:rsidRPr="005A14EA">
        <w:rPr>
          <w:sz w:val="22"/>
          <w:szCs w:val="22"/>
        </w:rPr>
        <w:t>for replication and scaling-up, b</w:t>
      </w:r>
      <w:r>
        <w:rPr>
          <w:sz w:val="22"/>
          <w:szCs w:val="22"/>
        </w:rPr>
        <w:t xml:space="preserve">oth in the SCS marine basin and </w:t>
      </w:r>
      <w:r w:rsidRPr="005A14EA">
        <w:rPr>
          <w:sz w:val="22"/>
          <w:szCs w:val="22"/>
        </w:rPr>
        <w:t>other shallow water seas. The esta</w:t>
      </w:r>
      <w:r>
        <w:rPr>
          <w:sz w:val="22"/>
          <w:szCs w:val="22"/>
        </w:rPr>
        <w:t xml:space="preserve">blishment of the public-private partnership for mangrove </w:t>
      </w:r>
      <w:r w:rsidRPr="005A14EA">
        <w:rPr>
          <w:sz w:val="22"/>
          <w:szCs w:val="22"/>
        </w:rPr>
        <w:t>conserv</w:t>
      </w:r>
      <w:r>
        <w:rPr>
          <w:sz w:val="22"/>
          <w:szCs w:val="22"/>
        </w:rPr>
        <w:t xml:space="preserve">ation in the rapidly developing </w:t>
      </w:r>
      <w:r w:rsidRPr="005A14EA">
        <w:rPr>
          <w:sz w:val="22"/>
          <w:szCs w:val="22"/>
        </w:rPr>
        <w:t>economic hub of southern China demonstrates the i</w:t>
      </w:r>
      <w:r>
        <w:rPr>
          <w:sz w:val="22"/>
          <w:szCs w:val="22"/>
        </w:rPr>
        <w:t xml:space="preserve">mportant role </w:t>
      </w:r>
      <w:r w:rsidRPr="005A14EA">
        <w:rPr>
          <w:sz w:val="22"/>
          <w:szCs w:val="22"/>
        </w:rPr>
        <w:t>of such partnerships in expl</w:t>
      </w:r>
      <w:r>
        <w:rPr>
          <w:sz w:val="22"/>
          <w:szCs w:val="22"/>
        </w:rPr>
        <w:t xml:space="preserve">oring more effective management </w:t>
      </w:r>
      <w:r w:rsidRPr="005A14EA">
        <w:rPr>
          <w:sz w:val="22"/>
          <w:szCs w:val="22"/>
        </w:rPr>
        <w:t>mechanisms based on sound s</w:t>
      </w:r>
      <w:r>
        <w:rPr>
          <w:sz w:val="22"/>
          <w:szCs w:val="22"/>
        </w:rPr>
        <w:t xml:space="preserve">cience and community awareness. </w:t>
      </w:r>
      <w:r w:rsidRPr="005A14EA">
        <w:rPr>
          <w:sz w:val="22"/>
          <w:szCs w:val="22"/>
        </w:rPr>
        <w:t>The regional sharing of the a</w:t>
      </w:r>
      <w:r>
        <w:rPr>
          <w:sz w:val="22"/>
          <w:szCs w:val="22"/>
        </w:rPr>
        <w:t xml:space="preserve">chievements of this partnership during </w:t>
      </w:r>
      <w:r w:rsidRPr="005A14EA">
        <w:rPr>
          <w:sz w:val="22"/>
          <w:szCs w:val="22"/>
        </w:rPr>
        <w:t>meetings of the SCS project, such as the MRT and RSC, a</w:t>
      </w:r>
      <w:r>
        <w:rPr>
          <w:sz w:val="22"/>
          <w:szCs w:val="22"/>
        </w:rPr>
        <w:t xml:space="preserve">nd via the </w:t>
      </w:r>
      <w:r w:rsidRPr="005A14EA">
        <w:rPr>
          <w:sz w:val="22"/>
          <w:szCs w:val="22"/>
        </w:rPr>
        <w:t>publication of lessons learned not</w:t>
      </w:r>
      <w:r>
        <w:rPr>
          <w:sz w:val="22"/>
          <w:szCs w:val="22"/>
        </w:rPr>
        <w:t xml:space="preserve">es, for example, represents the </w:t>
      </w:r>
      <w:r w:rsidRPr="005A14EA">
        <w:rPr>
          <w:sz w:val="22"/>
          <w:szCs w:val="22"/>
        </w:rPr>
        <w:t>preparedness and commitment</w:t>
      </w:r>
      <w:r>
        <w:rPr>
          <w:sz w:val="22"/>
          <w:szCs w:val="22"/>
        </w:rPr>
        <w:t xml:space="preserve"> of both the private sector and </w:t>
      </w:r>
      <w:r w:rsidRPr="005A14EA">
        <w:rPr>
          <w:sz w:val="22"/>
          <w:szCs w:val="22"/>
        </w:rPr>
        <w:t>government to jointly engage in regional f</w:t>
      </w:r>
      <w:r>
        <w:rPr>
          <w:sz w:val="22"/>
          <w:szCs w:val="22"/>
        </w:rPr>
        <w:t xml:space="preserve">orums relating to environmental </w:t>
      </w:r>
      <w:r w:rsidRPr="005A14EA">
        <w:rPr>
          <w:sz w:val="22"/>
          <w:szCs w:val="22"/>
        </w:rPr>
        <w:t>issues in a shared water body.</w:t>
      </w:r>
    </w:p>
    <w:p w14:paraId="0200841A" w14:textId="77777777" w:rsidR="003C4C39" w:rsidRDefault="003C4C39" w:rsidP="003C4C39">
      <w:pPr>
        <w:numPr>
          <w:ilvl w:val="0"/>
          <w:numId w:val="3"/>
        </w:numPr>
        <w:spacing w:after="120"/>
        <w:ind w:left="0" w:firstLine="0"/>
        <w:jc w:val="both"/>
        <w:rPr>
          <w:sz w:val="22"/>
          <w:szCs w:val="22"/>
        </w:rPr>
      </w:pPr>
      <w:r w:rsidRPr="005A14EA">
        <w:rPr>
          <w:sz w:val="22"/>
          <w:szCs w:val="22"/>
        </w:rPr>
        <w:t xml:space="preserve">The integration of traditional </w:t>
      </w:r>
      <w:r>
        <w:rPr>
          <w:sz w:val="22"/>
          <w:szCs w:val="22"/>
        </w:rPr>
        <w:t xml:space="preserve">management practices in broader </w:t>
      </w:r>
      <w:r w:rsidRPr="005A14EA">
        <w:rPr>
          <w:sz w:val="22"/>
          <w:szCs w:val="22"/>
        </w:rPr>
        <w:t>integrated coastal planning at the Be</w:t>
      </w:r>
      <w:r>
        <w:rPr>
          <w:sz w:val="22"/>
          <w:szCs w:val="22"/>
        </w:rPr>
        <w:t xml:space="preserve">litung coral reef site has high </w:t>
      </w:r>
      <w:r w:rsidRPr="005A14EA">
        <w:rPr>
          <w:sz w:val="22"/>
          <w:szCs w:val="22"/>
        </w:rPr>
        <w:t>potential for replication. Several ot</w:t>
      </w:r>
      <w:r>
        <w:rPr>
          <w:sz w:val="22"/>
          <w:szCs w:val="22"/>
        </w:rPr>
        <w:t xml:space="preserve">her districts in Indonesia have </w:t>
      </w:r>
      <w:r w:rsidRPr="005A14EA">
        <w:rPr>
          <w:sz w:val="22"/>
          <w:szCs w:val="22"/>
        </w:rPr>
        <w:t>developed local regulations or Pe</w:t>
      </w:r>
      <w:r>
        <w:rPr>
          <w:sz w:val="22"/>
          <w:szCs w:val="22"/>
        </w:rPr>
        <w:t xml:space="preserve">rda for the management of coral </w:t>
      </w:r>
      <w:r w:rsidRPr="005A14EA">
        <w:rPr>
          <w:sz w:val="22"/>
          <w:szCs w:val="22"/>
        </w:rPr>
        <w:t>reefs and could potentially benef</w:t>
      </w:r>
      <w:r>
        <w:rPr>
          <w:sz w:val="22"/>
          <w:szCs w:val="22"/>
        </w:rPr>
        <w:t xml:space="preserve">it from the Belitung management </w:t>
      </w:r>
      <w:r w:rsidRPr="005A14EA">
        <w:rPr>
          <w:sz w:val="22"/>
          <w:szCs w:val="22"/>
        </w:rPr>
        <w:t>planning experience. Similarly, the pri</w:t>
      </w:r>
      <w:r>
        <w:rPr>
          <w:sz w:val="22"/>
          <w:szCs w:val="22"/>
        </w:rPr>
        <w:t xml:space="preserve">nciples adopted at the Belitung </w:t>
      </w:r>
      <w:r w:rsidRPr="005A14EA">
        <w:rPr>
          <w:sz w:val="22"/>
          <w:szCs w:val="22"/>
        </w:rPr>
        <w:t>site for dispute resolution amo</w:t>
      </w:r>
      <w:r>
        <w:rPr>
          <w:sz w:val="22"/>
          <w:szCs w:val="22"/>
        </w:rPr>
        <w:t xml:space="preserve">ng fishermen have potential for </w:t>
      </w:r>
      <w:r w:rsidRPr="005A14EA">
        <w:rPr>
          <w:sz w:val="22"/>
          <w:szCs w:val="22"/>
        </w:rPr>
        <w:t>replication in other areas of Indonesia’s South China Sea</w:t>
      </w:r>
      <w:r>
        <w:rPr>
          <w:sz w:val="22"/>
          <w:szCs w:val="22"/>
        </w:rPr>
        <w:t xml:space="preserve"> coast, </w:t>
      </w:r>
      <w:r w:rsidRPr="005A14EA">
        <w:rPr>
          <w:sz w:val="22"/>
          <w:szCs w:val="22"/>
        </w:rPr>
        <w:t xml:space="preserve">particularly in the Riau Islands </w:t>
      </w:r>
      <w:r>
        <w:rPr>
          <w:sz w:val="22"/>
          <w:szCs w:val="22"/>
        </w:rPr>
        <w:t xml:space="preserve">area and coastal waters of West </w:t>
      </w:r>
      <w:r w:rsidRPr="005A14EA">
        <w:rPr>
          <w:sz w:val="22"/>
          <w:szCs w:val="22"/>
        </w:rPr>
        <w:t>Kalimantan province where simil</w:t>
      </w:r>
      <w:r>
        <w:rPr>
          <w:sz w:val="22"/>
          <w:szCs w:val="22"/>
        </w:rPr>
        <w:t xml:space="preserve">ar fishing methods are used and </w:t>
      </w:r>
      <w:r w:rsidRPr="005A14EA">
        <w:rPr>
          <w:sz w:val="22"/>
          <w:szCs w:val="22"/>
        </w:rPr>
        <w:t>conflicts exist. To date, these ex</w:t>
      </w:r>
      <w:r>
        <w:rPr>
          <w:sz w:val="22"/>
          <w:szCs w:val="22"/>
        </w:rPr>
        <w:t xml:space="preserve">periences have been used in the </w:t>
      </w:r>
      <w:r w:rsidRPr="005A14EA">
        <w:rPr>
          <w:sz w:val="22"/>
          <w:szCs w:val="22"/>
        </w:rPr>
        <w:t xml:space="preserve">design of a planned fisheries initiative in Indonesia </w:t>
      </w:r>
      <w:r>
        <w:rPr>
          <w:sz w:val="22"/>
          <w:szCs w:val="22"/>
        </w:rPr>
        <w:t xml:space="preserve">aimed at </w:t>
      </w:r>
      <w:r w:rsidRPr="005A14EA">
        <w:rPr>
          <w:sz w:val="22"/>
          <w:szCs w:val="22"/>
        </w:rPr>
        <w:t xml:space="preserve">improving the management </w:t>
      </w:r>
      <w:r>
        <w:rPr>
          <w:sz w:val="22"/>
          <w:szCs w:val="22"/>
        </w:rPr>
        <w:t xml:space="preserve">of important fisheries refugia. </w:t>
      </w:r>
    </w:p>
    <w:p w14:paraId="68D886C6" w14:textId="77777777" w:rsidR="00D97EF8" w:rsidRPr="00D97EF8" w:rsidRDefault="003C4C39" w:rsidP="002F5B1E">
      <w:pPr>
        <w:numPr>
          <w:ilvl w:val="0"/>
          <w:numId w:val="3"/>
        </w:numPr>
        <w:spacing w:after="120"/>
        <w:ind w:left="0" w:firstLine="0"/>
        <w:jc w:val="both"/>
        <w:rPr>
          <w:sz w:val="22"/>
          <w:szCs w:val="22"/>
          <w:lang w:val="en-GB"/>
        </w:rPr>
      </w:pPr>
      <w:r w:rsidRPr="003C4C39">
        <w:rPr>
          <w:sz w:val="22"/>
          <w:szCs w:val="22"/>
        </w:rPr>
        <w:t xml:space="preserve">It is anticipated that the experiences gained in integrated fisheries and habitat management at the Phu Quoc demonstration site will be suitable for application in other areas of Viet Nam and the South China Sea where over-fishing and the use of inappropriate fishing gear are significant impediments to more sustainable use of fisheries resources and habitats. In the past, many marine protected areas in Southeast Asia have been promoted in terms of their potential to improve the state of fisheries and their habitats but have rarely included mechanisms to ensure the effective integration of fisheries considerations into management. In contrast, fisheries departments and ministries largely focus on securing sustainable yields from fish stocks. </w:t>
      </w:r>
    </w:p>
    <w:p w14:paraId="55B75603" w14:textId="77777777" w:rsidR="003C4C39" w:rsidRPr="003C4C39" w:rsidRDefault="003C4C39" w:rsidP="002F5B1E">
      <w:pPr>
        <w:numPr>
          <w:ilvl w:val="0"/>
          <w:numId w:val="3"/>
        </w:numPr>
        <w:spacing w:after="120"/>
        <w:ind w:left="0" w:firstLine="0"/>
        <w:jc w:val="both"/>
        <w:rPr>
          <w:sz w:val="22"/>
          <w:szCs w:val="22"/>
          <w:lang w:val="en-GB"/>
        </w:rPr>
      </w:pPr>
      <w:r w:rsidRPr="003C4C39">
        <w:rPr>
          <w:sz w:val="22"/>
          <w:szCs w:val="22"/>
        </w:rPr>
        <w:t xml:space="preserve">Experience of the Phu Quoc site suggests that cross-sectoral co-ordination can be achieved through the </w:t>
      </w:r>
      <w:r w:rsidR="00B93F6A">
        <w:rPr>
          <w:sz w:val="22"/>
          <w:szCs w:val="22"/>
        </w:rPr>
        <w:t xml:space="preserve">use of </w:t>
      </w:r>
      <w:r w:rsidRPr="003C4C39">
        <w:rPr>
          <w:sz w:val="22"/>
          <w:szCs w:val="22"/>
        </w:rPr>
        <w:t xml:space="preserve">fisheries refugia concept </w:t>
      </w:r>
      <w:r w:rsidR="00B93F6A">
        <w:rPr>
          <w:sz w:val="22"/>
          <w:szCs w:val="22"/>
        </w:rPr>
        <w:t xml:space="preserve">in Marine Protected Areas </w:t>
      </w:r>
      <w:r w:rsidRPr="003C4C39">
        <w:rPr>
          <w:sz w:val="22"/>
          <w:szCs w:val="22"/>
        </w:rPr>
        <w:t>that has provided a platform for building partnerships and enhancing communication between the environment and fisheries sectors at the provincial and local levels. Given the high rates of habitat degradation and loss in the South China Sea basin, and the impacts of fishing on soft bottom habitats such as seagrass, there exists a need to explore the scaling-up of</w:t>
      </w:r>
      <w:r w:rsidRPr="00D00A95">
        <w:t xml:space="preserve"> </w:t>
      </w:r>
      <w:r w:rsidRPr="003C4C39">
        <w:rPr>
          <w:sz w:val="22"/>
          <w:szCs w:val="22"/>
        </w:rPr>
        <w:t xml:space="preserve">such approaches in the region. Accordingly, efforts are underway to operationalise a regional system of fisheries refugia in the South China Sea </w:t>
      </w:r>
      <w:r>
        <w:rPr>
          <w:sz w:val="22"/>
          <w:szCs w:val="22"/>
        </w:rPr>
        <w:t>via an inter-linked UNEP/GEF project entitled “</w:t>
      </w:r>
      <w:r w:rsidRPr="003C4C39">
        <w:rPr>
          <w:i/>
          <w:sz w:val="22"/>
          <w:szCs w:val="22"/>
        </w:rPr>
        <w:t>Establishment and Operation of a Regional System of Fisheries Refugia in the South China Sea and the Gulf of Thailand</w:t>
      </w:r>
      <w:r>
        <w:rPr>
          <w:sz w:val="22"/>
          <w:szCs w:val="22"/>
        </w:rPr>
        <w:t>” that is being executed regional</w:t>
      </w:r>
      <w:r w:rsidR="00125099">
        <w:rPr>
          <w:sz w:val="22"/>
          <w:szCs w:val="22"/>
        </w:rPr>
        <w:t>ly</w:t>
      </w:r>
      <w:r>
        <w:rPr>
          <w:sz w:val="22"/>
          <w:szCs w:val="22"/>
        </w:rPr>
        <w:t xml:space="preserve"> by the Southeast Asian Fisheries Development Center in partnership with the national government agencies responsible for fisheries in the six participating countries</w:t>
      </w:r>
      <w:r w:rsidR="0076691C">
        <w:rPr>
          <w:sz w:val="22"/>
          <w:szCs w:val="22"/>
        </w:rPr>
        <w:t>.</w:t>
      </w:r>
    </w:p>
    <w:p w14:paraId="756B9A23" w14:textId="77777777" w:rsidR="0076691C" w:rsidRPr="00D00A95" w:rsidRDefault="0076691C" w:rsidP="0076691C">
      <w:pPr>
        <w:numPr>
          <w:ilvl w:val="0"/>
          <w:numId w:val="3"/>
        </w:numPr>
        <w:spacing w:after="120"/>
        <w:ind w:left="0" w:firstLine="0"/>
        <w:jc w:val="both"/>
        <w:rPr>
          <w:sz w:val="22"/>
          <w:szCs w:val="22"/>
        </w:rPr>
      </w:pPr>
      <w:r w:rsidRPr="00D00A95">
        <w:rPr>
          <w:sz w:val="22"/>
          <w:szCs w:val="22"/>
        </w:rPr>
        <w:t>Experiences in developing th</w:t>
      </w:r>
      <w:r>
        <w:rPr>
          <w:sz w:val="22"/>
          <w:szCs w:val="22"/>
        </w:rPr>
        <w:t xml:space="preserve">e Thi Nai sanctuary in Viet Nam </w:t>
      </w:r>
      <w:r w:rsidRPr="00D00A95">
        <w:rPr>
          <w:sz w:val="22"/>
          <w:szCs w:val="22"/>
        </w:rPr>
        <w:t>provides examples of co-man</w:t>
      </w:r>
      <w:r>
        <w:rPr>
          <w:sz w:val="22"/>
          <w:szCs w:val="22"/>
        </w:rPr>
        <w:t xml:space="preserve">agement approaches to a complex </w:t>
      </w:r>
      <w:r w:rsidRPr="00D00A95">
        <w:rPr>
          <w:sz w:val="22"/>
          <w:szCs w:val="22"/>
        </w:rPr>
        <w:t>environment and ecosystem facing</w:t>
      </w:r>
      <w:r>
        <w:rPr>
          <w:sz w:val="22"/>
          <w:szCs w:val="22"/>
        </w:rPr>
        <w:t xml:space="preserve"> threats from multiple uses. As </w:t>
      </w:r>
      <w:r w:rsidRPr="00D00A95">
        <w:rPr>
          <w:sz w:val="22"/>
          <w:szCs w:val="22"/>
        </w:rPr>
        <w:t xml:space="preserve">such, it serves as a model for potential </w:t>
      </w:r>
      <w:r>
        <w:rPr>
          <w:sz w:val="22"/>
          <w:szCs w:val="22"/>
        </w:rPr>
        <w:t xml:space="preserve">replication in other threatened </w:t>
      </w:r>
      <w:r w:rsidRPr="00D00A95">
        <w:rPr>
          <w:sz w:val="22"/>
          <w:szCs w:val="22"/>
        </w:rPr>
        <w:t>coastal lagoons both in Viet N</w:t>
      </w:r>
      <w:r>
        <w:rPr>
          <w:sz w:val="22"/>
          <w:szCs w:val="22"/>
        </w:rPr>
        <w:t xml:space="preserve">am and elsewhere in the region. </w:t>
      </w:r>
      <w:r w:rsidRPr="00D00A95">
        <w:rPr>
          <w:sz w:val="22"/>
          <w:szCs w:val="22"/>
        </w:rPr>
        <w:t xml:space="preserve">The related experience of </w:t>
      </w:r>
      <w:r>
        <w:rPr>
          <w:sz w:val="22"/>
          <w:szCs w:val="22"/>
        </w:rPr>
        <w:t xml:space="preserve">the Batu Ampur mangrove site in </w:t>
      </w:r>
      <w:r w:rsidRPr="00D00A95">
        <w:rPr>
          <w:sz w:val="22"/>
          <w:szCs w:val="22"/>
        </w:rPr>
        <w:t>developing techniques for the eval</w:t>
      </w:r>
      <w:r>
        <w:rPr>
          <w:sz w:val="22"/>
          <w:szCs w:val="22"/>
        </w:rPr>
        <w:t xml:space="preserve">uation of mangrove uses and the </w:t>
      </w:r>
      <w:r w:rsidRPr="00D00A95">
        <w:rPr>
          <w:sz w:val="22"/>
          <w:szCs w:val="22"/>
        </w:rPr>
        <w:t>estimation</w:t>
      </w:r>
      <w:r>
        <w:rPr>
          <w:sz w:val="22"/>
          <w:szCs w:val="22"/>
        </w:rPr>
        <w:t xml:space="preserve"> of economic values of mangrove resources for application </w:t>
      </w:r>
      <w:r w:rsidRPr="00D00A95">
        <w:rPr>
          <w:sz w:val="22"/>
          <w:szCs w:val="22"/>
        </w:rPr>
        <w:t xml:space="preserve">to a business plan for alternative </w:t>
      </w:r>
      <w:r>
        <w:rPr>
          <w:sz w:val="22"/>
          <w:szCs w:val="22"/>
        </w:rPr>
        <w:t xml:space="preserve">livelihood initiatives also has </w:t>
      </w:r>
      <w:r w:rsidRPr="00D00A95">
        <w:rPr>
          <w:sz w:val="22"/>
          <w:szCs w:val="22"/>
        </w:rPr>
        <w:t>high potential for use in other sett</w:t>
      </w:r>
      <w:r>
        <w:rPr>
          <w:sz w:val="22"/>
          <w:szCs w:val="22"/>
        </w:rPr>
        <w:t xml:space="preserve">ings. The model for sustainable </w:t>
      </w:r>
      <w:r w:rsidRPr="00D00A95">
        <w:rPr>
          <w:sz w:val="22"/>
          <w:szCs w:val="22"/>
        </w:rPr>
        <w:t>tourism manag</w:t>
      </w:r>
      <w:r>
        <w:rPr>
          <w:sz w:val="22"/>
          <w:szCs w:val="22"/>
        </w:rPr>
        <w:t xml:space="preserve">ement at the Mu Koh Chang coral reef site has also </w:t>
      </w:r>
      <w:r w:rsidRPr="00D00A95">
        <w:rPr>
          <w:sz w:val="22"/>
          <w:szCs w:val="22"/>
        </w:rPr>
        <w:t>assisted in the development of regional experience in multi</w:t>
      </w:r>
      <w:r>
        <w:rPr>
          <w:sz w:val="22"/>
          <w:szCs w:val="22"/>
        </w:rPr>
        <w:t xml:space="preserve">ple use </w:t>
      </w:r>
      <w:r w:rsidRPr="00D00A95">
        <w:rPr>
          <w:sz w:val="22"/>
          <w:szCs w:val="22"/>
        </w:rPr>
        <w:t>planning. For example, a group of 20 senior government officials</w:t>
      </w:r>
      <w:r>
        <w:rPr>
          <w:sz w:val="22"/>
          <w:szCs w:val="22"/>
        </w:rPr>
        <w:t xml:space="preserve"> </w:t>
      </w:r>
      <w:r w:rsidRPr="00D00A95">
        <w:rPr>
          <w:sz w:val="22"/>
          <w:szCs w:val="22"/>
        </w:rPr>
        <w:t>from Viet Nam’s coastal provinc</w:t>
      </w:r>
      <w:r>
        <w:rPr>
          <w:sz w:val="22"/>
          <w:szCs w:val="22"/>
        </w:rPr>
        <w:t xml:space="preserve">es visited Mu Koh Chang </w:t>
      </w:r>
      <w:r w:rsidR="00F75A5E">
        <w:rPr>
          <w:sz w:val="22"/>
          <w:szCs w:val="22"/>
        </w:rPr>
        <w:t>as part of an intra-regional exchange and learning initiative</w:t>
      </w:r>
      <w:r>
        <w:rPr>
          <w:sz w:val="22"/>
          <w:szCs w:val="22"/>
        </w:rPr>
        <w:t xml:space="preserve"> </w:t>
      </w:r>
      <w:r w:rsidRPr="00D00A95">
        <w:rPr>
          <w:sz w:val="22"/>
          <w:szCs w:val="22"/>
        </w:rPr>
        <w:t>and have commenced implementi</w:t>
      </w:r>
      <w:r>
        <w:rPr>
          <w:sz w:val="22"/>
          <w:szCs w:val="22"/>
        </w:rPr>
        <w:t xml:space="preserve">ng some of the innovations from </w:t>
      </w:r>
      <w:r w:rsidRPr="00D00A95">
        <w:rPr>
          <w:sz w:val="22"/>
          <w:szCs w:val="22"/>
        </w:rPr>
        <w:t>that site in the coastal provinces of southern Viet Nam.</w:t>
      </w:r>
    </w:p>
    <w:p w14:paraId="3C0523E1" w14:textId="77777777" w:rsidR="0076691C" w:rsidRDefault="0076691C" w:rsidP="0076691C">
      <w:pPr>
        <w:numPr>
          <w:ilvl w:val="0"/>
          <w:numId w:val="3"/>
        </w:numPr>
        <w:spacing w:after="120"/>
        <w:ind w:left="0" w:firstLine="0"/>
        <w:jc w:val="both"/>
        <w:rPr>
          <w:sz w:val="22"/>
          <w:szCs w:val="22"/>
        </w:rPr>
      </w:pPr>
      <w:r w:rsidRPr="00D00A95">
        <w:rPr>
          <w:sz w:val="22"/>
          <w:szCs w:val="22"/>
        </w:rPr>
        <w:t>The bilateral cooperation gener</w:t>
      </w:r>
      <w:r>
        <w:rPr>
          <w:sz w:val="22"/>
          <w:szCs w:val="22"/>
        </w:rPr>
        <w:t xml:space="preserve">ated at the transboundary sites </w:t>
      </w:r>
      <w:r w:rsidRPr="00D00A95">
        <w:rPr>
          <w:sz w:val="22"/>
          <w:szCs w:val="22"/>
        </w:rPr>
        <w:t>of Kampot in Cambodia and Kie</w:t>
      </w:r>
      <w:r>
        <w:rPr>
          <w:sz w:val="22"/>
          <w:szCs w:val="22"/>
        </w:rPr>
        <w:t xml:space="preserve">n Giang in Viet Nam provides an </w:t>
      </w:r>
      <w:r w:rsidRPr="00D00A95">
        <w:rPr>
          <w:sz w:val="22"/>
          <w:szCs w:val="22"/>
        </w:rPr>
        <w:t>excellent example of achi</w:t>
      </w:r>
      <w:r>
        <w:rPr>
          <w:sz w:val="22"/>
          <w:szCs w:val="22"/>
        </w:rPr>
        <w:t xml:space="preserve">evements in transboundary water </w:t>
      </w:r>
      <w:r w:rsidRPr="00D00A95">
        <w:rPr>
          <w:sz w:val="22"/>
          <w:szCs w:val="22"/>
        </w:rPr>
        <w:t xml:space="preserve">resource management in a marine </w:t>
      </w:r>
      <w:r>
        <w:rPr>
          <w:sz w:val="22"/>
          <w:szCs w:val="22"/>
        </w:rPr>
        <w:t xml:space="preserve">basin characterised by past and </w:t>
      </w:r>
      <w:r w:rsidRPr="00D00A95">
        <w:rPr>
          <w:sz w:val="22"/>
          <w:szCs w:val="22"/>
        </w:rPr>
        <w:t>ongoing geopolitical tensions. The e</w:t>
      </w:r>
      <w:r>
        <w:rPr>
          <w:sz w:val="22"/>
          <w:szCs w:val="22"/>
        </w:rPr>
        <w:t xml:space="preserve">lements that contributed to the </w:t>
      </w:r>
      <w:r w:rsidRPr="00D00A95">
        <w:rPr>
          <w:sz w:val="22"/>
          <w:szCs w:val="22"/>
        </w:rPr>
        <w:t>signing of the Memorandum of Unde</w:t>
      </w:r>
      <w:r>
        <w:rPr>
          <w:sz w:val="22"/>
          <w:szCs w:val="22"/>
        </w:rPr>
        <w:t xml:space="preserve">rstanding and joint commitments </w:t>
      </w:r>
      <w:r w:rsidRPr="00D00A95">
        <w:rPr>
          <w:sz w:val="22"/>
          <w:szCs w:val="22"/>
        </w:rPr>
        <w:t>for environment and natur</w:t>
      </w:r>
      <w:r>
        <w:rPr>
          <w:sz w:val="22"/>
          <w:szCs w:val="22"/>
        </w:rPr>
        <w:t xml:space="preserve">al resources management between </w:t>
      </w:r>
      <w:r w:rsidRPr="00D00A95">
        <w:rPr>
          <w:sz w:val="22"/>
          <w:szCs w:val="22"/>
        </w:rPr>
        <w:t>the two provinces are</w:t>
      </w:r>
      <w:r>
        <w:rPr>
          <w:sz w:val="22"/>
          <w:szCs w:val="22"/>
        </w:rPr>
        <w:t xml:space="preserve"> worthy of wider examination. A </w:t>
      </w:r>
      <w:r w:rsidRPr="00D00A95">
        <w:rPr>
          <w:sz w:val="22"/>
          <w:szCs w:val="22"/>
        </w:rPr>
        <w:t>salient point is that a similar initiati</w:t>
      </w:r>
      <w:r>
        <w:rPr>
          <w:sz w:val="22"/>
          <w:szCs w:val="22"/>
        </w:rPr>
        <w:t xml:space="preserve">ve to foster cooperation in the </w:t>
      </w:r>
      <w:r w:rsidRPr="00D00A95">
        <w:rPr>
          <w:sz w:val="22"/>
          <w:szCs w:val="22"/>
        </w:rPr>
        <w:t>transboundary water areas of</w:t>
      </w:r>
      <w:r>
        <w:rPr>
          <w:sz w:val="22"/>
          <w:szCs w:val="22"/>
        </w:rPr>
        <w:t xml:space="preserve"> Thailand and Cambodia was also </w:t>
      </w:r>
      <w:r w:rsidRPr="00D00A95">
        <w:rPr>
          <w:sz w:val="22"/>
          <w:szCs w:val="22"/>
        </w:rPr>
        <w:t>supported by the SCS project bu</w:t>
      </w:r>
      <w:r>
        <w:rPr>
          <w:sz w:val="22"/>
          <w:szCs w:val="22"/>
        </w:rPr>
        <w:t xml:space="preserve">t did not generate the level of </w:t>
      </w:r>
      <w:r w:rsidRPr="00D00A95">
        <w:rPr>
          <w:sz w:val="22"/>
          <w:szCs w:val="22"/>
        </w:rPr>
        <w:t>formal joint commitment re</w:t>
      </w:r>
      <w:r>
        <w:rPr>
          <w:sz w:val="22"/>
          <w:szCs w:val="22"/>
        </w:rPr>
        <w:t xml:space="preserve">ached by Cambodia and Viet Nam. </w:t>
      </w:r>
      <w:r w:rsidRPr="00D00A95">
        <w:rPr>
          <w:sz w:val="22"/>
          <w:szCs w:val="22"/>
        </w:rPr>
        <w:t>Les</w:t>
      </w:r>
      <w:r>
        <w:rPr>
          <w:sz w:val="22"/>
          <w:szCs w:val="22"/>
        </w:rPr>
        <w:t xml:space="preserve">sons from both initiatives have the potential to strengthen and </w:t>
      </w:r>
      <w:r w:rsidRPr="00D00A95">
        <w:rPr>
          <w:sz w:val="22"/>
          <w:szCs w:val="22"/>
        </w:rPr>
        <w:t>revitalise multilateral cooperatio</w:t>
      </w:r>
      <w:r>
        <w:rPr>
          <w:sz w:val="22"/>
          <w:szCs w:val="22"/>
        </w:rPr>
        <w:t xml:space="preserve">n in the mentioned areas and in other </w:t>
      </w:r>
      <w:r w:rsidRPr="00D00A95">
        <w:rPr>
          <w:sz w:val="22"/>
          <w:szCs w:val="22"/>
        </w:rPr>
        <w:t>transboundary areas o</w:t>
      </w:r>
      <w:r>
        <w:rPr>
          <w:sz w:val="22"/>
          <w:szCs w:val="22"/>
        </w:rPr>
        <w:t xml:space="preserve">f the South China Sea basin and </w:t>
      </w:r>
      <w:r w:rsidRPr="00D00A95">
        <w:rPr>
          <w:sz w:val="22"/>
          <w:szCs w:val="22"/>
        </w:rPr>
        <w:t>beyond.</w:t>
      </w:r>
    </w:p>
    <w:p w14:paraId="2C3E4F9F" w14:textId="77777777" w:rsidR="0076691C" w:rsidRDefault="0076691C" w:rsidP="0076691C">
      <w:pPr>
        <w:numPr>
          <w:ilvl w:val="2"/>
          <w:numId w:val="2"/>
        </w:numPr>
        <w:spacing w:after="120"/>
        <w:outlineLvl w:val="1"/>
        <w:rPr>
          <w:b/>
          <w:sz w:val="22"/>
          <w:szCs w:val="22"/>
          <w:lang w:val="en-GB"/>
        </w:rPr>
      </w:pPr>
      <w:r>
        <w:rPr>
          <w:b/>
          <w:sz w:val="22"/>
          <w:szCs w:val="22"/>
          <w:lang w:val="en-GB"/>
        </w:rPr>
        <w:t>Land-Based Pollution in the South China Sea: Issues, Lessons Learned and Needs</w:t>
      </w:r>
    </w:p>
    <w:p w14:paraId="6D815B47" w14:textId="77777777" w:rsidR="0076691C" w:rsidRPr="0076691C" w:rsidRDefault="0076691C" w:rsidP="0076691C">
      <w:pPr>
        <w:numPr>
          <w:ilvl w:val="3"/>
          <w:numId w:val="2"/>
        </w:numPr>
        <w:spacing w:after="120"/>
        <w:outlineLvl w:val="1"/>
        <w:rPr>
          <w:b/>
          <w:sz w:val="22"/>
          <w:szCs w:val="22"/>
          <w:lang w:val="en-GB"/>
        </w:rPr>
      </w:pPr>
      <w:r>
        <w:rPr>
          <w:b/>
          <w:sz w:val="22"/>
          <w:szCs w:val="22"/>
          <w:lang w:val="en-GB"/>
        </w:rPr>
        <w:t>Geographical, demographic and economic context</w:t>
      </w:r>
    </w:p>
    <w:p w14:paraId="1697AECD" w14:textId="77777777" w:rsidR="002F5B1E" w:rsidRDefault="0076691C" w:rsidP="0076691C">
      <w:pPr>
        <w:numPr>
          <w:ilvl w:val="0"/>
          <w:numId w:val="3"/>
        </w:numPr>
        <w:spacing w:after="120"/>
        <w:ind w:left="0" w:firstLine="0"/>
        <w:jc w:val="both"/>
        <w:rPr>
          <w:sz w:val="22"/>
          <w:szCs w:val="22"/>
          <w:lang w:val="en-GB"/>
        </w:rPr>
      </w:pPr>
      <w:r w:rsidRPr="0076691C">
        <w:rPr>
          <w:sz w:val="22"/>
          <w:szCs w:val="22"/>
          <w:lang w:val="en-GB"/>
        </w:rPr>
        <w:t>The South China Sea is located in the Indo-West Pacific between the Pacific Ocean on the East and the Indian Ocean on the West, and has an area of 3.447 million square kilometres and a maximum depth of 5,245 meters in the Manila Trench. It is situated in the region between 3</w:t>
      </w:r>
      <w:r w:rsidRPr="0076691C">
        <w:rPr>
          <w:sz w:val="22"/>
          <w:szCs w:val="22"/>
          <w:vertAlign w:val="superscript"/>
          <w:lang w:val="en-GB"/>
        </w:rPr>
        <w:t>o</w:t>
      </w:r>
      <w:r w:rsidRPr="0076691C">
        <w:rPr>
          <w:sz w:val="22"/>
          <w:szCs w:val="22"/>
          <w:lang w:val="en-GB"/>
        </w:rPr>
        <w:t xml:space="preserve"> South and 26</w:t>
      </w:r>
      <w:r w:rsidRPr="0076691C">
        <w:rPr>
          <w:sz w:val="22"/>
          <w:szCs w:val="22"/>
          <w:vertAlign w:val="superscript"/>
          <w:lang w:val="en-GB"/>
        </w:rPr>
        <w:t>o</w:t>
      </w:r>
      <w:r w:rsidRPr="0076691C">
        <w:rPr>
          <w:sz w:val="22"/>
          <w:szCs w:val="22"/>
          <w:lang w:val="en-GB"/>
        </w:rPr>
        <w:t xml:space="preserve"> North latitude and between 100</w:t>
      </w:r>
      <w:r w:rsidRPr="0076691C">
        <w:rPr>
          <w:sz w:val="22"/>
          <w:szCs w:val="22"/>
          <w:vertAlign w:val="superscript"/>
          <w:lang w:val="en-GB"/>
        </w:rPr>
        <w:t>o</w:t>
      </w:r>
      <w:r w:rsidRPr="0076691C">
        <w:rPr>
          <w:sz w:val="22"/>
          <w:szCs w:val="22"/>
          <w:lang w:val="en-GB"/>
        </w:rPr>
        <w:t xml:space="preserve"> and 121</w:t>
      </w:r>
      <w:r w:rsidRPr="0076691C">
        <w:rPr>
          <w:sz w:val="22"/>
          <w:szCs w:val="22"/>
          <w:vertAlign w:val="superscript"/>
          <w:lang w:val="en-GB"/>
        </w:rPr>
        <w:t>o</w:t>
      </w:r>
      <w:r w:rsidRPr="0076691C">
        <w:rPr>
          <w:sz w:val="22"/>
          <w:szCs w:val="22"/>
          <w:lang w:val="en-GB"/>
        </w:rPr>
        <w:t xml:space="preserve"> East longitude.  The northeastern sub-basin occupies about fifty percent of the total area of the South China Sea and includes a deep zone with abyssal plain, deep trenches and submerged peaks or guyots. There is an extensive continental shelf bordering the northern and western shores where pollution and contamination problems tend to be more prevalent than in the insular southern and eastern portions of the sea.</w:t>
      </w:r>
    </w:p>
    <w:p w14:paraId="5419B9A0" w14:textId="77777777" w:rsidR="0076691C" w:rsidRDefault="0076691C" w:rsidP="000E39BE">
      <w:pPr>
        <w:numPr>
          <w:ilvl w:val="0"/>
          <w:numId w:val="3"/>
        </w:numPr>
        <w:spacing w:after="120"/>
        <w:ind w:left="0" w:firstLine="0"/>
        <w:jc w:val="both"/>
        <w:rPr>
          <w:sz w:val="22"/>
          <w:szCs w:val="22"/>
        </w:rPr>
      </w:pPr>
      <w:r w:rsidRPr="00DC6CCB">
        <w:rPr>
          <w:sz w:val="22"/>
          <w:szCs w:val="22"/>
        </w:rPr>
        <w:t>The South China Sea is connected to the Pacific Ocean by the Taiwan, and Bashi, Straits; to the Sulu and Celebes Seas by the Mindanao and Balabac Straits; to the Indian Ocean via the Straits of Malacca; and, to the Java Sea by the Kalimantan and Gaspa Straits. The Bashi and Malacca Straits are the most important in terms of the exchange of water between the South China Sea and other water bodies. The South China Sea receives freshwater input from many rivers, and the combined discharge from the Mekong, Pearl, Red and Chao Phraya Rivers is more than a billion cubic meters per year. The largest rivers draining into the South China Sea include the Mekong and Red Rivers in South and North Viet Nam, and the Pearl River in Guangdong Province, China. Discharges from these rivers, including land-based contaminants, influence the distribution of marine habitats and resources in the South China Sea.</w:t>
      </w:r>
    </w:p>
    <w:p w14:paraId="79F31014" w14:textId="77777777" w:rsidR="000E39BE" w:rsidRPr="00DC6CCB" w:rsidRDefault="000E39BE" w:rsidP="000E39BE">
      <w:pPr>
        <w:numPr>
          <w:ilvl w:val="0"/>
          <w:numId w:val="3"/>
        </w:numPr>
        <w:tabs>
          <w:tab w:val="left" w:pos="720"/>
        </w:tabs>
        <w:spacing w:after="120"/>
        <w:ind w:left="0" w:firstLine="0"/>
        <w:jc w:val="both"/>
        <w:rPr>
          <w:sz w:val="22"/>
          <w:szCs w:val="22"/>
        </w:rPr>
      </w:pPr>
      <w:r w:rsidRPr="00DC6CCB">
        <w:rPr>
          <w:sz w:val="22"/>
          <w:szCs w:val="22"/>
        </w:rPr>
        <w:t xml:space="preserve">The South China Sea is located in the monsoon belt of Southeast Asia with two monsoon periods: the Northeast monsoon from November to March in the winter, and the Southwest monsoon from June to August is in the summer. The two inter-monsoon seasons between April and May and between September and October are transitional periods of unstable wind direction and speed. The South China Sea is influenced by typhoons which originate both inside the South China Sea and outside in the Pacific Ocean. Typhoons mainly affect the coastal areas of Taiwan, China, the Philippines and Viet Nam, and typhoon surges from 3.2 to 3.6 metres have been recorded in China and Viet Nam. </w:t>
      </w:r>
    </w:p>
    <w:p w14:paraId="7CBCD11D" w14:textId="77777777" w:rsidR="0076691C" w:rsidRPr="00664ED5" w:rsidRDefault="00664ED5" w:rsidP="000E39BE">
      <w:pPr>
        <w:numPr>
          <w:ilvl w:val="0"/>
          <w:numId w:val="3"/>
        </w:numPr>
        <w:tabs>
          <w:tab w:val="left" w:pos="720"/>
        </w:tabs>
        <w:spacing w:after="120"/>
        <w:ind w:left="0" w:firstLine="0"/>
        <w:jc w:val="both"/>
        <w:rPr>
          <w:sz w:val="22"/>
          <w:szCs w:val="22"/>
          <w:lang w:val="en-GB"/>
        </w:rPr>
      </w:pPr>
      <w:r w:rsidRPr="00DC6CCB">
        <w:rPr>
          <w:sz w:val="22"/>
          <w:szCs w:val="22"/>
        </w:rPr>
        <w:t>The tides of the South China Sea are complex in comparison with most other seas or ocean areas since there are four different tidal regimes within the basin. Semidiurnal tides only occur in the Taiwan Strait and northern Viet Nam; diurnal tides dominate in the Gulf of Tonkin, and the Gulf of Thailand while both irregular diurnal, and semi-diurnal tides are found elsewhere in the basin, the latter predominating in coastal areas of southern China, Southern Viet Nam, Eastern Malaysia, Northwest Kalimantan and in the Bashi Straits. Maximum tide level at Minjiang (China) is 7.2m; Hong Kong (China) 2.7m; Cua Ong (Viet Nam) 4.7m; Sihanoukville (Cambodia) 1.8m; Bangkok Bar (Thailand) 1.2m; East coast of Malaysia 3.5m; Singapore Straits 3.6m; Sarawak (Indonesia) 5.4m; and Manila (Philippines) 2.2m.</w:t>
      </w:r>
    </w:p>
    <w:p w14:paraId="72AF3D7E" w14:textId="77777777" w:rsidR="00664ED5" w:rsidRDefault="00664ED5" w:rsidP="00664ED5">
      <w:pPr>
        <w:numPr>
          <w:ilvl w:val="0"/>
          <w:numId w:val="3"/>
        </w:numPr>
        <w:spacing w:after="120"/>
        <w:ind w:left="0" w:firstLine="0"/>
        <w:jc w:val="both"/>
        <w:rPr>
          <w:sz w:val="22"/>
          <w:szCs w:val="22"/>
        </w:rPr>
      </w:pPr>
      <w:r w:rsidRPr="00DC6CCB">
        <w:rPr>
          <w:sz w:val="22"/>
          <w:szCs w:val="22"/>
        </w:rPr>
        <w:t>As a consequence of the monsoons; the water exchange between the South China Sea and neighbouring water bodies; and the bathymetry of the South China Sea marine basin, there are two types of residual currents in the South China Sea. During the Southwest monsoon the main current flows in a Southwest-Northeast direction along the coast of Viet Nam, and from the Malacca and Kalimantan Straits to the Bashi and Taiwan Straits, resulting in the development of clockwise currents in the southeastern portion of the South China Sea, the Gulf of Thailand, and the Gulf of Tonkin. During the Northeast monsoon, the main current also flows along the coast of Viet Nam, but in an opposite, Northeast-Southwest direction. This is strengthened by currents from the Sulu and East China Seas, resulting in an anticlockwise current in the Gulf of Thailand and the Gulf of Tonkin. Currents are generally stronger in winter than in summer, except in the Gulf of Thailand.</w:t>
      </w:r>
    </w:p>
    <w:p w14:paraId="47D703A2" w14:textId="77777777" w:rsidR="00664ED5" w:rsidRDefault="00664ED5" w:rsidP="00664ED5">
      <w:pPr>
        <w:numPr>
          <w:ilvl w:val="0"/>
          <w:numId w:val="3"/>
        </w:numPr>
        <w:spacing w:after="120"/>
        <w:ind w:left="0" w:firstLine="0"/>
        <w:jc w:val="both"/>
        <w:rPr>
          <w:sz w:val="22"/>
          <w:szCs w:val="22"/>
        </w:rPr>
      </w:pPr>
      <w:r w:rsidRPr="00DC6CCB">
        <w:rPr>
          <w:sz w:val="22"/>
          <w:szCs w:val="22"/>
        </w:rPr>
        <w:t>The countries bordering the South China Sea are some of the most densely populated and with the fastest growing economies in the world. It is estimated that more than 270 million people live in the coas</w:t>
      </w:r>
      <w:r>
        <w:rPr>
          <w:sz w:val="22"/>
          <w:szCs w:val="22"/>
        </w:rPr>
        <w:t>tal zone of the South China Sea</w:t>
      </w:r>
      <w:r w:rsidRPr="00DC6CCB">
        <w:rPr>
          <w:sz w:val="22"/>
          <w:szCs w:val="22"/>
        </w:rPr>
        <w:t>. Land-based activities are therefore the main source of contaminants and pollutants in coastal waters. Approximately 70% of contaminants entering the South China Sea are derived from coastal rivers, and include agricultural and urban run-off, industrial discharges, and discharges from ports and harbours. Coastal aquaculture is a significant and growing source of contamination, discharged directly, while inputs via groundwater have not been measured. The major categories of waste discharged into the South China Sea include domestic sewage, industrial and agricultural wastes, mining and construction wastes including sediments and mine tailings. Ship-based sources of pollution are a minor contributor to pollution problems in the South China Sea, but may have severe impacts when large volumes are released such as during major oil spills, and are significant in areas such as the Straits of Malacca where substantial volumes of shipping are concentrated during their passage from the Indian Ocean to the South China Sea.</w:t>
      </w:r>
    </w:p>
    <w:p w14:paraId="1EB3373E" w14:textId="77777777" w:rsidR="00664ED5" w:rsidRDefault="00664ED5" w:rsidP="00664ED5">
      <w:pPr>
        <w:numPr>
          <w:ilvl w:val="3"/>
          <w:numId w:val="2"/>
        </w:numPr>
        <w:spacing w:after="120"/>
        <w:outlineLvl w:val="1"/>
        <w:rPr>
          <w:b/>
          <w:sz w:val="22"/>
          <w:szCs w:val="22"/>
          <w:lang w:val="en-GB"/>
        </w:rPr>
      </w:pPr>
      <w:r>
        <w:rPr>
          <w:b/>
          <w:sz w:val="22"/>
          <w:szCs w:val="22"/>
          <w:lang w:val="en-GB"/>
        </w:rPr>
        <w:t>Land-based sources of pollution</w:t>
      </w:r>
    </w:p>
    <w:p w14:paraId="5C5B13BF" w14:textId="77777777" w:rsidR="00664ED5" w:rsidRPr="00664ED5" w:rsidRDefault="00664ED5" w:rsidP="00664ED5">
      <w:pPr>
        <w:spacing w:after="120"/>
        <w:outlineLvl w:val="1"/>
        <w:rPr>
          <w:b/>
          <w:i/>
          <w:sz w:val="22"/>
          <w:szCs w:val="22"/>
          <w:lang w:val="en-GB"/>
        </w:rPr>
      </w:pPr>
      <w:r w:rsidRPr="00664ED5">
        <w:rPr>
          <w:b/>
          <w:i/>
          <w:sz w:val="22"/>
          <w:szCs w:val="22"/>
          <w:lang w:val="en-GB"/>
        </w:rPr>
        <w:t xml:space="preserve">Domestic </w:t>
      </w:r>
      <w:r>
        <w:rPr>
          <w:b/>
          <w:i/>
          <w:sz w:val="22"/>
          <w:szCs w:val="22"/>
          <w:lang w:val="en-GB"/>
        </w:rPr>
        <w:t>s</w:t>
      </w:r>
      <w:r w:rsidRPr="00664ED5">
        <w:rPr>
          <w:b/>
          <w:i/>
          <w:sz w:val="22"/>
          <w:szCs w:val="22"/>
          <w:lang w:val="en-GB"/>
        </w:rPr>
        <w:t>ources</w:t>
      </w:r>
    </w:p>
    <w:p w14:paraId="2D117881" w14:textId="77777777" w:rsidR="00664ED5" w:rsidRDefault="00664ED5" w:rsidP="00664ED5">
      <w:pPr>
        <w:numPr>
          <w:ilvl w:val="0"/>
          <w:numId w:val="3"/>
        </w:numPr>
        <w:spacing w:after="120"/>
        <w:ind w:left="0" w:firstLine="0"/>
        <w:jc w:val="both"/>
        <w:rPr>
          <w:sz w:val="22"/>
          <w:szCs w:val="22"/>
        </w:rPr>
      </w:pPr>
      <w:r w:rsidRPr="00DC6CCB">
        <w:rPr>
          <w:sz w:val="22"/>
          <w:szCs w:val="22"/>
        </w:rPr>
        <w:t>Sewage and domestic wastes, including liquid and solid wastes are major pollutants of coastal waters. A large proportion of domestic waste in the South China Sea region is discharged directly or indirectly via rivers to the sea without proper treatment. It is estimated that the populations of countries bordering the South China Sea generate one million metric tonnes of sewage per year. The low level of sewage treatment has led to serious concern with regard to organic and nutrient pollution in the South China Sea. The high organic and nutrient content of untreated sewage leads to eutrophication, the occurrence of red-tides, and harmful algal blooms in localised areas of the coast. The consequences of this include anoxia of bottom waters, resulting in fish and benthos mass mortality. Declines in seafood quality, and public healt</w:t>
      </w:r>
      <w:r>
        <w:rPr>
          <w:sz w:val="22"/>
          <w:szCs w:val="22"/>
        </w:rPr>
        <w:t>h hazards may result from build-</w:t>
      </w:r>
      <w:r w:rsidRPr="00DC6CCB">
        <w:rPr>
          <w:sz w:val="22"/>
          <w:szCs w:val="22"/>
        </w:rPr>
        <w:t xml:space="preserve">up of toxins in maricultured seafood, particularly shellfish derived from phytoplankton in the red tides and harmful algal blooms. Domestic wastes may also introduce pathogenic bacteria, viruses and protozoa to the marine environment which can be taken up by shellfish and reintroduced into the human food chain. </w:t>
      </w:r>
    </w:p>
    <w:p w14:paraId="1248B8D8" w14:textId="77777777" w:rsidR="00664ED5" w:rsidRPr="00664ED5" w:rsidRDefault="00664ED5" w:rsidP="00664ED5">
      <w:pPr>
        <w:spacing w:after="120"/>
        <w:jc w:val="both"/>
        <w:rPr>
          <w:b/>
          <w:i/>
          <w:sz w:val="22"/>
          <w:szCs w:val="22"/>
        </w:rPr>
      </w:pPr>
      <w:r w:rsidRPr="00664ED5">
        <w:rPr>
          <w:b/>
          <w:i/>
          <w:sz w:val="22"/>
          <w:szCs w:val="22"/>
        </w:rPr>
        <w:t>Industrial sources</w:t>
      </w:r>
    </w:p>
    <w:p w14:paraId="0AE7F0FE" w14:textId="77777777" w:rsidR="00664ED5" w:rsidRDefault="00664ED5" w:rsidP="00664ED5">
      <w:pPr>
        <w:numPr>
          <w:ilvl w:val="0"/>
          <w:numId w:val="3"/>
        </w:numPr>
        <w:spacing w:after="120"/>
        <w:ind w:left="0" w:firstLine="0"/>
        <w:jc w:val="both"/>
        <w:rPr>
          <w:sz w:val="22"/>
          <w:szCs w:val="22"/>
        </w:rPr>
      </w:pPr>
      <w:r w:rsidRPr="00DC6CCB">
        <w:rPr>
          <w:sz w:val="22"/>
          <w:szCs w:val="22"/>
        </w:rPr>
        <w:t>These include liquid, solid and gaseous wastes from coastal factories involved in the manufacturing and processing of building materials, textiles, paints, food, minerals, and hydrocarbons. Most factories employ obsolete technology and processes and the waste waters discharged into the South China Sea are normally untreated or only partially treated. These wastes contain significant amounts of heavy metals, oil and organic matter which can be toxic to marine organisms.</w:t>
      </w:r>
    </w:p>
    <w:p w14:paraId="7F14EE6D" w14:textId="77777777" w:rsidR="00664ED5" w:rsidRPr="00664ED5" w:rsidRDefault="00664ED5" w:rsidP="00664ED5">
      <w:pPr>
        <w:spacing w:after="120"/>
        <w:jc w:val="both"/>
        <w:rPr>
          <w:b/>
          <w:i/>
          <w:sz w:val="22"/>
          <w:szCs w:val="22"/>
        </w:rPr>
      </w:pPr>
      <w:r w:rsidRPr="00664ED5">
        <w:rPr>
          <w:b/>
          <w:i/>
          <w:sz w:val="22"/>
          <w:szCs w:val="22"/>
        </w:rPr>
        <w:t>Port and harbour sources</w:t>
      </w:r>
    </w:p>
    <w:p w14:paraId="610BC79A" w14:textId="77777777" w:rsidR="00664ED5" w:rsidRPr="00FB5F1B" w:rsidRDefault="00664ED5" w:rsidP="00664ED5">
      <w:pPr>
        <w:numPr>
          <w:ilvl w:val="0"/>
          <w:numId w:val="3"/>
        </w:numPr>
        <w:spacing w:after="120"/>
        <w:ind w:left="0" w:firstLine="0"/>
        <w:jc w:val="both"/>
        <w:rPr>
          <w:sz w:val="22"/>
          <w:szCs w:val="22"/>
          <w:lang w:val="en-GB"/>
        </w:rPr>
      </w:pPr>
      <w:r w:rsidRPr="00DC6CCB">
        <w:rPr>
          <w:sz w:val="22"/>
          <w:szCs w:val="22"/>
        </w:rPr>
        <w:t xml:space="preserve">The South China Sea carries an enormous volume of marine transport and numerous ports and harbours have been constructed over recent decades to support international, regional and domestic maritime transport. Major wastes from ports and harbours include toxic compounds released from antifouling paints, such as tributyltin (TBT), and oil discharged from ships. Tributyltin is an effective biocide and is toxic to marine organisms at concentrations as low as one nanogram per litre. Ballast water often contains high concentrations of crude oil, which is toxic to marine organisms. It may also contain exotic organisms.  </w:t>
      </w:r>
    </w:p>
    <w:p w14:paraId="1BF55077" w14:textId="77777777" w:rsidR="00FB5F1B" w:rsidRPr="00FB5F1B" w:rsidRDefault="00FB5F1B" w:rsidP="00FB5F1B">
      <w:pPr>
        <w:spacing w:after="120"/>
        <w:jc w:val="both"/>
        <w:rPr>
          <w:b/>
          <w:i/>
          <w:sz w:val="22"/>
          <w:szCs w:val="22"/>
          <w:lang w:val="en-GB"/>
        </w:rPr>
      </w:pPr>
      <w:r w:rsidRPr="00FB5F1B">
        <w:rPr>
          <w:b/>
          <w:i/>
          <w:sz w:val="22"/>
          <w:szCs w:val="22"/>
        </w:rPr>
        <w:t>Agricultural sources</w:t>
      </w:r>
    </w:p>
    <w:p w14:paraId="2D1C9FD3" w14:textId="77777777" w:rsidR="00FB5F1B" w:rsidRDefault="00FB5F1B" w:rsidP="00FB5F1B">
      <w:pPr>
        <w:numPr>
          <w:ilvl w:val="0"/>
          <w:numId w:val="3"/>
        </w:numPr>
        <w:spacing w:after="120"/>
        <w:ind w:left="0" w:firstLine="0"/>
        <w:jc w:val="both"/>
        <w:rPr>
          <w:sz w:val="22"/>
          <w:szCs w:val="22"/>
        </w:rPr>
      </w:pPr>
      <w:r w:rsidRPr="00DC6CCB">
        <w:rPr>
          <w:sz w:val="22"/>
          <w:szCs w:val="22"/>
        </w:rPr>
        <w:t>The countries bordering the South China Sea have a substantial agricultural base. Large and increasing quantities of pesticides and chemical fertilisers are used in the region. Improper handling and application of pesticides and fertilisers has caused pollution of ground water, nearby rivers and coastal waters of the South China Sea. Fish and shellfish are extremely sensitive to pesticides, especially chlorinated hydrocarbons (e.g. the 96hLC50 value of aldrin to fish is 1 µg/L). Intensive animal husbandry is now a growing source of nutrient and organic matter contamination in the coastal waters of China, Viet Nam, Thailand and Malaysia.</w:t>
      </w:r>
      <w:r w:rsidR="00757E85">
        <w:rPr>
          <w:sz w:val="22"/>
          <w:szCs w:val="22"/>
        </w:rPr>
        <w:t xml:space="preserve">In Indonesian waters of Riau Islands and Jambi Provinces, high sediment loads are observed </w:t>
      </w:r>
      <w:r w:rsidR="00F278C5">
        <w:rPr>
          <w:sz w:val="22"/>
          <w:szCs w:val="22"/>
        </w:rPr>
        <w:t xml:space="preserve">in coastal waters due to coastal erosion </w:t>
      </w:r>
      <w:r w:rsidR="00757E85">
        <w:rPr>
          <w:sz w:val="22"/>
          <w:szCs w:val="22"/>
        </w:rPr>
        <w:t>associated with palm oil plantations</w:t>
      </w:r>
      <w:r w:rsidR="00F278C5">
        <w:rPr>
          <w:sz w:val="22"/>
          <w:szCs w:val="22"/>
        </w:rPr>
        <w:t>.</w:t>
      </w:r>
    </w:p>
    <w:p w14:paraId="3E2C3D24" w14:textId="77777777" w:rsidR="00FB5F1B" w:rsidRPr="00FB5F1B" w:rsidRDefault="00FB5F1B" w:rsidP="00FB5F1B">
      <w:pPr>
        <w:spacing w:after="120"/>
        <w:jc w:val="both"/>
        <w:rPr>
          <w:b/>
          <w:i/>
          <w:sz w:val="22"/>
          <w:szCs w:val="22"/>
        </w:rPr>
      </w:pPr>
      <w:r w:rsidRPr="00FB5F1B">
        <w:rPr>
          <w:b/>
          <w:i/>
          <w:sz w:val="22"/>
          <w:szCs w:val="22"/>
        </w:rPr>
        <w:t>Mining sources</w:t>
      </w:r>
    </w:p>
    <w:p w14:paraId="42325F9A" w14:textId="77777777" w:rsidR="00FB5F1B" w:rsidRDefault="00FB5F1B" w:rsidP="00FB5F1B">
      <w:pPr>
        <w:numPr>
          <w:ilvl w:val="0"/>
          <w:numId w:val="3"/>
        </w:numPr>
        <w:spacing w:after="120"/>
        <w:ind w:left="0" w:firstLine="0"/>
        <w:jc w:val="both"/>
        <w:rPr>
          <w:sz w:val="22"/>
          <w:szCs w:val="22"/>
        </w:rPr>
      </w:pPr>
      <w:r w:rsidRPr="00DC6CCB">
        <w:rPr>
          <w:sz w:val="22"/>
          <w:szCs w:val="22"/>
        </w:rPr>
        <w:t xml:space="preserve">The mining of coal, minerals and building materials on land can contaminate the aquatic environment. Mining wastes include the chemicals used in the extraction and primary processing of minerals, low pH water from mine settlement ponds, sediments eroded from mining areas, and heavy metals leached from mine tailings dumps and spilled during transport. Dust from Vietnamese coal mines for example has degraded coral reef and seagrass habitats in coastal waters and sediments from mining have smothered coral reefs in the Philippines. </w:t>
      </w:r>
      <w:r w:rsidR="00F278C5">
        <w:rPr>
          <w:sz w:val="22"/>
          <w:szCs w:val="22"/>
        </w:rPr>
        <w:t>Oil and gas mining is also a significant source in Indonesia.</w:t>
      </w:r>
    </w:p>
    <w:p w14:paraId="218A6266" w14:textId="77777777" w:rsidR="00FB5F1B" w:rsidRPr="00FB5F1B" w:rsidRDefault="00FB5F1B" w:rsidP="00FB5F1B">
      <w:pPr>
        <w:spacing w:after="120"/>
        <w:jc w:val="both"/>
        <w:rPr>
          <w:b/>
          <w:i/>
          <w:sz w:val="22"/>
          <w:szCs w:val="22"/>
        </w:rPr>
      </w:pPr>
      <w:r w:rsidRPr="00FB5F1B">
        <w:rPr>
          <w:b/>
          <w:i/>
          <w:sz w:val="22"/>
          <w:szCs w:val="22"/>
        </w:rPr>
        <w:t>Marine aquaculture sources</w:t>
      </w:r>
    </w:p>
    <w:p w14:paraId="54EDB985" w14:textId="77777777" w:rsidR="00FB5F1B" w:rsidRPr="00FB5F1B" w:rsidRDefault="00FB5F1B" w:rsidP="00664ED5">
      <w:pPr>
        <w:numPr>
          <w:ilvl w:val="0"/>
          <w:numId w:val="3"/>
        </w:numPr>
        <w:spacing w:after="120"/>
        <w:ind w:left="0" w:firstLine="0"/>
        <w:jc w:val="both"/>
        <w:rPr>
          <w:sz w:val="22"/>
          <w:szCs w:val="22"/>
          <w:lang w:val="en-GB"/>
        </w:rPr>
      </w:pPr>
      <w:r w:rsidRPr="00DC6CCB">
        <w:rPr>
          <w:sz w:val="22"/>
          <w:szCs w:val="22"/>
        </w:rPr>
        <w:t>The aquaculture sector has developed rapidly in Southeast Asia over recent decades, largely in response to increased global demand for fish and shrimp products. China is the world’s largest aquaculture producer much of it freshwater, whilst Thailand, Viet Nam, Indonesia and the Philippines are also amongst the world’s most important aquaculture producing countries. The major pollution problems caused by aquaculture include the discharge of faecal matter from ponds and cages, which is typically high in organic matter, nutrients, and suspended solids, and contamination from antibiotics and other drugs added to the water to treat fish and crustacean diseases. The exposure of acid sulphate soils during excavation of shrimp farm ponds and the subsequent run-off of low pH water to coastal waters during rainfall events is also an issue of concern.</w:t>
      </w:r>
    </w:p>
    <w:p w14:paraId="3EF314AF" w14:textId="77777777" w:rsidR="00FB5F1B" w:rsidRPr="00FB5F1B" w:rsidRDefault="00FB5F1B" w:rsidP="00FB5F1B">
      <w:pPr>
        <w:spacing w:after="120"/>
        <w:jc w:val="both"/>
        <w:rPr>
          <w:b/>
          <w:i/>
          <w:sz w:val="22"/>
          <w:szCs w:val="22"/>
          <w:lang w:val="en-GB"/>
        </w:rPr>
      </w:pPr>
      <w:r w:rsidRPr="00FB5F1B">
        <w:rPr>
          <w:b/>
          <w:i/>
          <w:sz w:val="22"/>
          <w:szCs w:val="22"/>
        </w:rPr>
        <w:t>Contaminants and pollutants in the South China Sea</w:t>
      </w:r>
    </w:p>
    <w:p w14:paraId="0E6D5099" w14:textId="77777777" w:rsidR="00FB5F1B" w:rsidRPr="00830C98" w:rsidRDefault="00FB5F1B" w:rsidP="00FB5F1B">
      <w:pPr>
        <w:numPr>
          <w:ilvl w:val="0"/>
          <w:numId w:val="3"/>
        </w:numPr>
        <w:spacing w:after="120"/>
        <w:ind w:left="0" w:firstLine="0"/>
        <w:jc w:val="both"/>
        <w:rPr>
          <w:sz w:val="22"/>
          <w:szCs w:val="22"/>
        </w:rPr>
      </w:pPr>
      <w:r w:rsidRPr="00830C98">
        <w:rPr>
          <w:sz w:val="22"/>
          <w:szCs w:val="22"/>
        </w:rPr>
        <w:t xml:space="preserve">Land-based contaminants enter the marine environment through either point sources such as ports, harbours, and industrial complexes or through non-point sources such as rivers or groundwater that contain agricultural run-off, liquid domestic wastes and brackish-water aquaculture contaminants. Suspended solids are mostly derived from land-clearance, logging, coastal construction and the conversion of mangrove forests for other uses. Nutrient loads are mainly derived from untreated domestic wastes from coastal cities or urban areas discharged directly into coastal water bodies or rivers with minimal levels of treatment. Fertilisers, pesticides and herbicides in farming practices are also known to enter coastal waters of the South China Sea via runoff and leaching. Increased suspended solids and nutrient loads impact the productivity of marine ecosystems with suspended solids reducing light penetration and hence photosynthesis and enhanced nutrients increasing primary productivity. Concentrations of ammonia, nitrite, nitrate, and orthophosphate, are increasing and exceed the ASEAN Marine Water Quality Criteria in many locations. Increased inputs of nutrients apparently correspond to the observed frequency of red tides and harmful algal blooms. </w:t>
      </w:r>
    </w:p>
    <w:p w14:paraId="12B9BAF4" w14:textId="77777777" w:rsidR="00FB5F1B" w:rsidRPr="00830C98" w:rsidRDefault="00FB5F1B" w:rsidP="00FB5F1B">
      <w:pPr>
        <w:numPr>
          <w:ilvl w:val="0"/>
          <w:numId w:val="3"/>
        </w:numPr>
        <w:spacing w:after="120"/>
        <w:ind w:left="0" w:firstLine="0"/>
        <w:jc w:val="both"/>
        <w:rPr>
          <w:sz w:val="22"/>
          <w:szCs w:val="22"/>
        </w:rPr>
      </w:pPr>
      <w:r w:rsidRPr="00830C98">
        <w:rPr>
          <w:sz w:val="22"/>
          <w:szCs w:val="22"/>
        </w:rPr>
        <w:t>Compared to suspended solids and nutrients, oils, heavy metals and persistent organic pollutants (POPs) pose an immediate threat to both living resources and marine ecosystems of the South China Sea.  Oil and grease pollution from land-based sources contributes about 50 % to the total oil pollution in the marine environment. The threat of oil pollution to the marine environment and resources is even greater when there are no laws or limited law enforcement. For example, in Cambodia and Viet Nam there are no regulations pertaining to the discharge of ship wastes, with most waste engine oil being discharged directly into coastal water bodies. Similarly, concentrations of oil and grease, mercury, and phenols exceed ASEAN Marine Water Quality Criteria in many coastal water areas of the South China Sea due to weak regulations and minimal monitoring and enforcement.</w:t>
      </w:r>
    </w:p>
    <w:p w14:paraId="7A45CD0C" w14:textId="77777777" w:rsidR="00FB5F1B" w:rsidRDefault="00FB5F1B" w:rsidP="00FB5F1B">
      <w:pPr>
        <w:numPr>
          <w:ilvl w:val="0"/>
          <w:numId w:val="3"/>
        </w:numPr>
        <w:spacing w:after="120"/>
        <w:ind w:left="0" w:firstLine="0"/>
        <w:jc w:val="both"/>
        <w:rPr>
          <w:sz w:val="22"/>
          <w:szCs w:val="22"/>
        </w:rPr>
      </w:pPr>
      <w:r w:rsidRPr="00830C98">
        <w:rPr>
          <w:sz w:val="22"/>
          <w:szCs w:val="22"/>
        </w:rPr>
        <w:t xml:space="preserve">Based on several studies conducted in the coastal waters of the South China Sea particularly in Thailand, the Philippines, Viet Nam, Malaysia and Indonesia it has been found that concentrations of heavy metals such as mercury (Hg), Arsenic (As) and lead (Pb) </w:t>
      </w:r>
      <w:r>
        <w:rPr>
          <w:sz w:val="22"/>
          <w:szCs w:val="22"/>
        </w:rPr>
        <w:t>are increasing rapidly</w:t>
      </w:r>
      <w:r w:rsidRPr="00830C98">
        <w:rPr>
          <w:sz w:val="22"/>
          <w:szCs w:val="22"/>
        </w:rPr>
        <w:t xml:space="preserve">. These heavy metals have potential negative impacts on the health of marine living resources and humans who consume seafood products. Sound and strategic actions are needed at all levels of government and by stakeholders to curb heavy metal pollution and accumulation in sediments and biota in the hotspots.  </w:t>
      </w:r>
    </w:p>
    <w:p w14:paraId="62D83E38" w14:textId="77777777" w:rsidR="00B8463A" w:rsidRPr="00B8463A" w:rsidRDefault="00B8463A" w:rsidP="00B8463A">
      <w:pPr>
        <w:numPr>
          <w:ilvl w:val="3"/>
          <w:numId w:val="2"/>
        </w:numPr>
        <w:spacing w:after="120"/>
        <w:outlineLvl w:val="1"/>
        <w:rPr>
          <w:b/>
          <w:sz w:val="22"/>
          <w:szCs w:val="22"/>
          <w:lang w:val="en-GB"/>
        </w:rPr>
      </w:pPr>
      <w:r>
        <w:rPr>
          <w:b/>
          <w:sz w:val="22"/>
          <w:szCs w:val="22"/>
          <w:lang w:val="en-GB"/>
        </w:rPr>
        <w:t>Past regional initiatives addressing land-based pollution in the South China Sea</w:t>
      </w:r>
    </w:p>
    <w:p w14:paraId="1CD7C3BC" w14:textId="77777777" w:rsidR="00FB5F1B" w:rsidRDefault="00B8463A" w:rsidP="00B8463A">
      <w:pPr>
        <w:numPr>
          <w:ilvl w:val="0"/>
          <w:numId w:val="3"/>
        </w:numPr>
        <w:spacing w:after="120"/>
        <w:ind w:left="0" w:firstLine="0"/>
        <w:jc w:val="both"/>
        <w:rPr>
          <w:sz w:val="22"/>
          <w:szCs w:val="22"/>
          <w:lang w:val="en-GB"/>
        </w:rPr>
      </w:pPr>
      <w:r w:rsidRPr="00B8463A">
        <w:rPr>
          <w:sz w:val="22"/>
          <w:szCs w:val="22"/>
          <w:lang w:val="en-GB"/>
        </w:rPr>
        <w:t>Over the past three decades several regional projects concerning marine pollution have been implemented by various organisations in the South China Sea region. These projects have produced useful information for marine pollution research and monitoring at the regional level and have also built capacity in the participating countries for marine pollution monitoring and management.</w:t>
      </w:r>
    </w:p>
    <w:p w14:paraId="1C7CD186" w14:textId="77777777" w:rsidR="00B8463A" w:rsidRPr="00830C98" w:rsidRDefault="00B8463A" w:rsidP="00B8463A">
      <w:pPr>
        <w:numPr>
          <w:ilvl w:val="0"/>
          <w:numId w:val="3"/>
        </w:numPr>
        <w:spacing w:after="120"/>
        <w:ind w:left="0" w:firstLine="0"/>
        <w:jc w:val="both"/>
        <w:rPr>
          <w:sz w:val="22"/>
          <w:szCs w:val="22"/>
        </w:rPr>
      </w:pPr>
      <w:r w:rsidRPr="00830C98">
        <w:rPr>
          <w:sz w:val="22"/>
          <w:szCs w:val="22"/>
        </w:rPr>
        <w:t>The Intergovernmental Oceanographic Commission Sub-commission for the Western Pacific (IOC/WESTPAC) has initiated several regional projects dealing with marine pollution research and monitoring, including an assessment of marine pollution from river inputs which resulted in a regional network of river monitoring systems to monitor nutrients inputs to the Western Pacific Ocean. This network extended over a wide geographic area from Russia in the North to Australia in the South and Fiji in the East. Two inter-calibration exercises were carried out as part of the project and training courses on analytical methods were organised for technicians and scientists from water quality laboratories within the region. The data generated from the project was transmitted to the Responsible National Data Centre for WESTPAC (Japan Oceanographic Data Centre, JODC), and relevant papers were published in the proceedings of the IOC/WESTPAC Scientific Symposia.</w:t>
      </w:r>
    </w:p>
    <w:p w14:paraId="7B7ECD6E" w14:textId="77777777" w:rsidR="00A238D9" w:rsidRPr="00830C98" w:rsidRDefault="00A238D9" w:rsidP="00A238D9">
      <w:pPr>
        <w:numPr>
          <w:ilvl w:val="0"/>
          <w:numId w:val="3"/>
        </w:numPr>
        <w:spacing w:after="120"/>
        <w:ind w:left="0" w:firstLine="0"/>
        <w:jc w:val="both"/>
        <w:rPr>
          <w:sz w:val="22"/>
          <w:szCs w:val="22"/>
        </w:rPr>
      </w:pPr>
      <w:r w:rsidRPr="00830C98">
        <w:rPr>
          <w:sz w:val="22"/>
          <w:szCs w:val="22"/>
        </w:rPr>
        <w:t xml:space="preserve">During the implementation of the global International Mussel Watch Project, IOC/WESTPAC initiated a mussel watch project to monitor pollutants such as heavy metals and pesticides in the WESTPAC region. A regional network was established, and training courses were organised. During the implementation of the project, reference materials prepared by the National Environment Research Institute, Japan were introduced to and used by the project. However, due to technical difficulties monitoring activities were only carried out in a few participating countries. The project established a mussel watch monitoring network within the region, and trained scientists from regional laboratories. </w:t>
      </w:r>
    </w:p>
    <w:p w14:paraId="4A9BE74D" w14:textId="77777777" w:rsidR="00A238D9" w:rsidRPr="00830C98" w:rsidRDefault="00A238D9" w:rsidP="00A238D9">
      <w:pPr>
        <w:numPr>
          <w:ilvl w:val="0"/>
          <w:numId w:val="3"/>
        </w:numPr>
        <w:spacing w:after="120"/>
        <w:ind w:left="0" w:firstLine="0"/>
        <w:jc w:val="both"/>
        <w:rPr>
          <w:sz w:val="22"/>
          <w:szCs w:val="22"/>
        </w:rPr>
      </w:pPr>
      <w:r w:rsidRPr="00830C98">
        <w:rPr>
          <w:sz w:val="22"/>
          <w:szCs w:val="22"/>
        </w:rPr>
        <w:t xml:space="preserve">A third activity was an assessment of pollutants from atmospheric deposition in the WESTPAC region during which some attempts to monitor the deposition of metals (Japan) and organic compounds (PAH, in Thailand) were made. The major findings of the project indicated that the inputs of nutrients to the sea via atmospheric deposition could be as significant as those from river inputs. The results of the surveys in the Yangtze River and Yellow River supported this phenomenon. </w:t>
      </w:r>
    </w:p>
    <w:p w14:paraId="5A055601" w14:textId="77777777" w:rsidR="00A238D9" w:rsidRPr="00830C98" w:rsidRDefault="00A238D9" w:rsidP="00A238D9">
      <w:pPr>
        <w:numPr>
          <w:ilvl w:val="0"/>
          <w:numId w:val="3"/>
        </w:numPr>
        <w:spacing w:after="120"/>
        <w:ind w:left="0" w:firstLine="0"/>
        <w:jc w:val="both"/>
        <w:rPr>
          <w:sz w:val="22"/>
          <w:szCs w:val="22"/>
        </w:rPr>
      </w:pPr>
      <w:r w:rsidRPr="00830C98">
        <w:rPr>
          <w:sz w:val="22"/>
          <w:szCs w:val="22"/>
        </w:rPr>
        <w:t xml:space="preserve">Following the United Nations Conference on Environment and Development (UNCED) held in 1992, the Intergovernmental Oceanographic Commission of UNESCO developed the Global Ocean Observing System (GOOS). The Intergovernmental Health of the Oceans Panel, co-sponsored by IOC and UNEP, prepared a strategy for monitoring and prevention of marine pollution. The HOTO Strategy provided scientific guidelines for marine pollution monitoring and prevention, and managing the impacts on human health. The Strategy considered not only the chemical aspects of the pollution problem, but interdisciplinary approaches were proposed to the governments and scientists engaged in the respective activities. </w:t>
      </w:r>
    </w:p>
    <w:p w14:paraId="19C146D2" w14:textId="77777777" w:rsidR="00A238D9" w:rsidRPr="00830C98" w:rsidRDefault="00A238D9" w:rsidP="00A238D9">
      <w:pPr>
        <w:numPr>
          <w:ilvl w:val="0"/>
          <w:numId w:val="3"/>
        </w:numPr>
        <w:spacing w:after="120"/>
        <w:ind w:left="0" w:firstLine="0"/>
        <w:jc w:val="both"/>
        <w:rPr>
          <w:sz w:val="22"/>
          <w:szCs w:val="22"/>
        </w:rPr>
      </w:pPr>
      <w:r w:rsidRPr="00830C98">
        <w:rPr>
          <w:sz w:val="22"/>
          <w:szCs w:val="22"/>
        </w:rPr>
        <w:t>Following the adoption of the Global Programme of Action for the Protection of the Marine Environment from Land-based Pollution (GPA/LBA) in 1992, the Regional Programme of Action for Implementation of the GPA/LBA was adopted in 1996, by the Coordinating Body for the Seas of East Asia (COBSEA). Implementation of the Regional Programme of Action has been carried out since then, including preparation of regional review, organization of relevant workshops and training courses. The primary focus of COBSEA has been on the sources of marine contamination and pollution.</w:t>
      </w:r>
      <w:r w:rsidR="001D35FF">
        <w:rPr>
          <w:sz w:val="22"/>
          <w:szCs w:val="22"/>
        </w:rPr>
        <w:t xml:space="preserve"> Linkages between the GPA and this present project will be fostered by UNEP and COBSEA as the responsible agencies for these initiatives.</w:t>
      </w:r>
    </w:p>
    <w:p w14:paraId="26C6B3B1" w14:textId="77777777" w:rsidR="00A238D9" w:rsidRDefault="00A238D9" w:rsidP="00A238D9">
      <w:pPr>
        <w:numPr>
          <w:ilvl w:val="0"/>
          <w:numId w:val="3"/>
        </w:numPr>
        <w:spacing w:after="120"/>
        <w:ind w:left="0" w:firstLine="0"/>
        <w:jc w:val="both"/>
        <w:rPr>
          <w:sz w:val="22"/>
          <w:szCs w:val="22"/>
        </w:rPr>
      </w:pPr>
      <w:r w:rsidRPr="00830C98">
        <w:rPr>
          <w:sz w:val="22"/>
          <w:szCs w:val="22"/>
        </w:rPr>
        <w:t xml:space="preserve">The Partnerships in Environmental Management for the Seas of East Asia commenced as a GEF project in 1992 and has subsequently grown and extended its operations to </w:t>
      </w:r>
      <w:r w:rsidR="00125099">
        <w:rPr>
          <w:sz w:val="22"/>
          <w:szCs w:val="22"/>
        </w:rPr>
        <w:t>broader Integrated Coastal Managament planning approaches in the region</w:t>
      </w:r>
      <w:r w:rsidRPr="00830C98">
        <w:rPr>
          <w:sz w:val="22"/>
          <w:szCs w:val="22"/>
        </w:rPr>
        <w:t>.</w:t>
      </w:r>
    </w:p>
    <w:p w14:paraId="2FE85921" w14:textId="77777777" w:rsidR="00A238D9" w:rsidRDefault="00DA4EB4" w:rsidP="00A238D9">
      <w:pPr>
        <w:numPr>
          <w:ilvl w:val="3"/>
          <w:numId w:val="2"/>
        </w:numPr>
        <w:spacing w:after="120"/>
        <w:outlineLvl w:val="1"/>
        <w:rPr>
          <w:b/>
          <w:sz w:val="22"/>
          <w:szCs w:val="22"/>
          <w:lang w:val="en-GB"/>
        </w:rPr>
      </w:pPr>
      <w:r>
        <w:rPr>
          <w:b/>
          <w:sz w:val="22"/>
          <w:szCs w:val="22"/>
          <w:lang w:val="en-GB"/>
        </w:rPr>
        <w:t xml:space="preserve">Land-based pollution activities </w:t>
      </w:r>
      <w:r w:rsidR="00A238D9">
        <w:rPr>
          <w:b/>
          <w:sz w:val="22"/>
          <w:szCs w:val="22"/>
          <w:lang w:val="en-GB"/>
        </w:rPr>
        <w:t>of the SCS project</w:t>
      </w:r>
    </w:p>
    <w:p w14:paraId="7FB019EE" w14:textId="77777777" w:rsidR="002D53EE" w:rsidRPr="002D53EE" w:rsidRDefault="002D53EE" w:rsidP="002D53EE">
      <w:pPr>
        <w:spacing w:after="120"/>
        <w:outlineLvl w:val="1"/>
        <w:rPr>
          <w:b/>
          <w:i/>
          <w:sz w:val="22"/>
          <w:szCs w:val="22"/>
          <w:lang w:val="en-GB"/>
        </w:rPr>
      </w:pPr>
      <w:r w:rsidRPr="002D53EE">
        <w:rPr>
          <w:b/>
          <w:i/>
          <w:sz w:val="22"/>
          <w:szCs w:val="22"/>
          <w:lang w:val="en-GB"/>
        </w:rPr>
        <w:t>Regional networking</w:t>
      </w:r>
    </w:p>
    <w:p w14:paraId="21DFC296" w14:textId="77777777" w:rsidR="002D53EE" w:rsidRPr="00830C98" w:rsidRDefault="002D53EE" w:rsidP="002D53EE">
      <w:pPr>
        <w:numPr>
          <w:ilvl w:val="0"/>
          <w:numId w:val="3"/>
        </w:numPr>
        <w:spacing w:after="120"/>
        <w:ind w:left="0" w:firstLine="0"/>
        <w:jc w:val="both"/>
        <w:rPr>
          <w:sz w:val="22"/>
          <w:szCs w:val="22"/>
        </w:rPr>
      </w:pPr>
      <w:r w:rsidRPr="00830C98">
        <w:rPr>
          <w:sz w:val="22"/>
          <w:szCs w:val="22"/>
        </w:rPr>
        <w:t xml:space="preserve">The Regional Working Group for Land-based Pollution (RWG-LbP) established in the first meeting held in Bangkok, Thailand, 3 - 5 April 2002, </w:t>
      </w:r>
      <w:r>
        <w:rPr>
          <w:sz w:val="22"/>
          <w:szCs w:val="22"/>
        </w:rPr>
        <w:t>was</w:t>
      </w:r>
      <w:r w:rsidRPr="00830C98">
        <w:rPr>
          <w:sz w:val="22"/>
          <w:szCs w:val="22"/>
        </w:rPr>
        <w:t xml:space="preserve"> comprised of seven Focal Points from the participating countries , two Regional Experts, and one member from the Project Co-ordinating Unit (PCU). The government designated Focal Point</w:t>
      </w:r>
      <w:r>
        <w:rPr>
          <w:sz w:val="22"/>
          <w:szCs w:val="22"/>
        </w:rPr>
        <w:t>s were contracted to provide 25 percent</w:t>
      </w:r>
      <w:r w:rsidRPr="00830C98">
        <w:rPr>
          <w:sz w:val="22"/>
          <w:szCs w:val="22"/>
        </w:rPr>
        <w:t xml:space="preserve"> of their time to the project under the Memoranda of Understanding signed between UNEP and the Specialised Executing Agency within which the focal point worked. The RWG-LbP links to other regional working groups and two regional task forces one for Economic evaluation and one for Legal Matters. </w:t>
      </w:r>
    </w:p>
    <w:p w14:paraId="2038C98A" w14:textId="77777777" w:rsidR="002D53EE" w:rsidRDefault="002D53EE" w:rsidP="002D53EE">
      <w:pPr>
        <w:numPr>
          <w:ilvl w:val="0"/>
          <w:numId w:val="3"/>
        </w:numPr>
        <w:spacing w:after="120"/>
        <w:ind w:left="0" w:firstLine="0"/>
        <w:jc w:val="both"/>
        <w:rPr>
          <w:sz w:val="22"/>
          <w:szCs w:val="22"/>
        </w:rPr>
      </w:pPr>
      <w:r w:rsidRPr="00830C98">
        <w:rPr>
          <w:sz w:val="22"/>
          <w:szCs w:val="22"/>
        </w:rPr>
        <w:t>At the national level, the national coordinators or focal points were responsible for convening regular meetings of a national land-based pollution committee or working group. National working groups for land-based pollution were developed in all participating countries, and were Chaired by the National Focal Points. A total of 126 individuals representing sixty six separate national institutions were members of these committees which ranged in size from eight to twenty six members. A total of 12 institutions or agencies with expertise in various aspects of land-based pollution were sub-contracted at the national level to assist in the completion of tasks in the MoU signed with UNEP.</w:t>
      </w:r>
    </w:p>
    <w:p w14:paraId="3D986CD4" w14:textId="77777777" w:rsidR="002D53EE" w:rsidRPr="002D53EE" w:rsidRDefault="002D53EE" w:rsidP="002D53EE">
      <w:pPr>
        <w:spacing w:after="120"/>
        <w:jc w:val="both"/>
        <w:rPr>
          <w:b/>
          <w:i/>
          <w:sz w:val="22"/>
          <w:szCs w:val="22"/>
        </w:rPr>
      </w:pPr>
      <w:r>
        <w:rPr>
          <w:b/>
          <w:i/>
          <w:sz w:val="22"/>
          <w:szCs w:val="22"/>
        </w:rPr>
        <w:t>Development of</w:t>
      </w:r>
      <w:r w:rsidRPr="002D53EE">
        <w:rPr>
          <w:b/>
          <w:i/>
          <w:sz w:val="22"/>
          <w:szCs w:val="22"/>
        </w:rPr>
        <w:t xml:space="preserve"> a regional information base for management</w:t>
      </w:r>
    </w:p>
    <w:p w14:paraId="1B93D59D" w14:textId="77777777" w:rsidR="002D53EE" w:rsidRPr="00830C98" w:rsidRDefault="002D53EE" w:rsidP="002D53EE">
      <w:pPr>
        <w:numPr>
          <w:ilvl w:val="0"/>
          <w:numId w:val="3"/>
        </w:numPr>
        <w:spacing w:after="120"/>
        <w:ind w:left="0" w:firstLine="0"/>
        <w:rPr>
          <w:sz w:val="22"/>
          <w:szCs w:val="22"/>
        </w:rPr>
      </w:pPr>
      <w:r w:rsidRPr="00830C98">
        <w:rPr>
          <w:sz w:val="22"/>
          <w:szCs w:val="22"/>
        </w:rPr>
        <w:t xml:space="preserve">A problem identified during the development phase of the South China Sea Project was that, while many valuable data sets on land-based pollution were available within the region, the sharing of this information was restricted by weak data management systems in most countries. Limited cross-sectorial integration between government ministries and departments involved in marine environment and natural resource management was also identified as a key constraint in improving the information base for the management of land-based pollution of the South China Sea. In response to this, national and regional meta-databases were compiled to enable the sharing of data about existing pollution data sets (i.e., metadata). During the period from 2003-2007, a total of 226 meta-data entries on land-based pollution data sets have been contributed to the regional online meta-database for the South China Sea (http://metadata.unepscs.org) by Cambodia (12), China (27), Indonesia (13), Thailand (28), and Viet Nam (146). </w:t>
      </w:r>
      <w:r w:rsidR="001D35FF">
        <w:rPr>
          <w:sz w:val="22"/>
          <w:szCs w:val="22"/>
        </w:rPr>
        <w:t>Additional metadata sets for the Philippines are available for incorporation in this regional database.</w:t>
      </w:r>
    </w:p>
    <w:p w14:paraId="11769E49" w14:textId="77777777" w:rsidR="002D53EE" w:rsidRDefault="002D53EE" w:rsidP="00D12CAA">
      <w:pPr>
        <w:numPr>
          <w:ilvl w:val="0"/>
          <w:numId w:val="3"/>
        </w:numPr>
        <w:spacing w:after="120"/>
        <w:ind w:left="0" w:firstLine="0"/>
        <w:jc w:val="both"/>
        <w:rPr>
          <w:sz w:val="22"/>
          <w:szCs w:val="22"/>
        </w:rPr>
      </w:pPr>
      <w:r w:rsidRPr="00830C98">
        <w:rPr>
          <w:sz w:val="22"/>
          <w:szCs w:val="22"/>
        </w:rPr>
        <w:t xml:space="preserve">The Regional Working Group on Land-Based Pollution also worked during the preparatory and operational phases of the South China Sea Project to collate data for inclusion in a regional GIS database on: the coastal impacts of pollution (ambient water quality/sediment quality); the impacts of pollution on human health; pollution loading from key rivers draining into the South China Sea basin; and land-based activities in coastal catchments of the South China Sea. However, despite the large number of water quality (539), sediment quality (99), and biota monitoring stations (21) in the South China Sea and Gulf of Thailand, very little information relating to data collected at monitoring stations was contributed to the regional GIS database by the countries (61 data sets in total). A total of 35 datasets relating to the impacts of pollution on human health, and 68 data sets relating to pollution loading from river catchments, were compiled at the regional level </w:t>
      </w:r>
      <w:r>
        <w:rPr>
          <w:sz w:val="22"/>
          <w:szCs w:val="22"/>
        </w:rPr>
        <w:t>and used in development of SAP targets for land-based pollution management</w:t>
      </w:r>
      <w:r w:rsidRPr="00830C98">
        <w:rPr>
          <w:sz w:val="22"/>
          <w:szCs w:val="22"/>
        </w:rPr>
        <w:t xml:space="preserve">. </w:t>
      </w:r>
    </w:p>
    <w:p w14:paraId="0EA31D7B" w14:textId="77777777" w:rsidR="002D53EE" w:rsidRPr="002D53EE" w:rsidRDefault="002D53EE" w:rsidP="002D53EE">
      <w:pPr>
        <w:spacing w:after="120"/>
        <w:rPr>
          <w:b/>
          <w:i/>
          <w:sz w:val="22"/>
          <w:szCs w:val="22"/>
        </w:rPr>
      </w:pPr>
      <w:r w:rsidRPr="002D53EE">
        <w:rPr>
          <w:b/>
          <w:i/>
          <w:sz w:val="22"/>
          <w:szCs w:val="22"/>
        </w:rPr>
        <w:t>Hotspot characterization and priority ranking</w:t>
      </w:r>
    </w:p>
    <w:p w14:paraId="22AEABB0" w14:textId="77777777" w:rsidR="002014E1" w:rsidRPr="00DA4EB4" w:rsidRDefault="002014E1" w:rsidP="00DA4EB4">
      <w:pPr>
        <w:numPr>
          <w:ilvl w:val="0"/>
          <w:numId w:val="3"/>
        </w:numPr>
        <w:spacing w:after="120"/>
        <w:ind w:left="0" w:firstLine="0"/>
        <w:jc w:val="both"/>
        <w:rPr>
          <w:sz w:val="22"/>
          <w:szCs w:val="22"/>
        </w:rPr>
      </w:pPr>
      <w:r w:rsidRPr="002014E1">
        <w:rPr>
          <w:sz w:val="22"/>
          <w:szCs w:val="22"/>
        </w:rPr>
        <w:t>The target identified for land-based pollution management was based on setting and maintaining region-wide water quality standards and water quality objectives which will assist in maintaining the health of coastal ecosystems. In order to achieve this goal, the SCS project adopted the marine water quality criteria adopted by the Association of South East Asian Nations (ASEAN) and the biological and sediment quality standards used in the People’s Republic of China for use in characterising potential regional “pollution hot spots”, the term which has been proposed and agreed</w:t>
      </w:r>
      <w:r>
        <w:rPr>
          <w:sz w:val="22"/>
          <w:szCs w:val="22"/>
        </w:rPr>
        <w:t xml:space="preserve"> within the context of SAP implementation a</w:t>
      </w:r>
      <w:r w:rsidRPr="00830C98">
        <w:rPr>
          <w:sz w:val="22"/>
          <w:szCs w:val="22"/>
        </w:rPr>
        <w:t>s:</w:t>
      </w:r>
      <w:r w:rsidRPr="00DA4EB4">
        <w:rPr>
          <w:i/>
          <w:sz w:val="21"/>
          <w:szCs w:val="21"/>
        </w:rPr>
        <w:t>“A limited and definable area in which there are prevailing environmental conditions attributable to anthropogenic activities that adversely affect, or threaten to affect, human health, threaten ecosystem functioning, reduce biodiversity and/or compromise resources and amenities of economic importance in a manner that would appear to warrant priority management attention”.</w:t>
      </w:r>
    </w:p>
    <w:p w14:paraId="21FD34AA" w14:textId="77777777" w:rsidR="002014E1" w:rsidRPr="00830C98" w:rsidRDefault="002014E1" w:rsidP="002014E1">
      <w:pPr>
        <w:numPr>
          <w:ilvl w:val="0"/>
          <w:numId w:val="3"/>
        </w:numPr>
        <w:spacing w:after="120"/>
        <w:ind w:left="0" w:firstLine="0"/>
        <w:jc w:val="both"/>
        <w:rPr>
          <w:sz w:val="22"/>
          <w:szCs w:val="22"/>
        </w:rPr>
      </w:pPr>
      <w:r w:rsidRPr="00830C98">
        <w:rPr>
          <w:sz w:val="22"/>
          <w:szCs w:val="22"/>
        </w:rPr>
        <w:t xml:space="preserve">The procedures employed in characterising pollution hot spots in this project partially benefited from work conducted within the preparative (PDF-B) phase of a UNEP/GEF project on the Russian Arctic. However, the refinement and augmentation of these procedures within the South China Sea project have substantially enhanced their potential replicability. The criteria for ranking hot spots were agreed by consensus and a total of 17 hotspots were characterised using the ranking system agreed </w:t>
      </w:r>
      <w:r>
        <w:rPr>
          <w:sz w:val="22"/>
          <w:szCs w:val="22"/>
        </w:rPr>
        <w:t>by the RWG-LbP</w:t>
      </w:r>
      <w:r w:rsidRPr="00830C98">
        <w:rPr>
          <w:sz w:val="22"/>
          <w:szCs w:val="22"/>
        </w:rPr>
        <w:t>.</w:t>
      </w:r>
      <w:r>
        <w:rPr>
          <w:sz w:val="22"/>
          <w:szCs w:val="22"/>
        </w:rPr>
        <w:t xml:space="preserve"> </w:t>
      </w:r>
      <w:r w:rsidRPr="00830C98">
        <w:rPr>
          <w:sz w:val="22"/>
          <w:szCs w:val="22"/>
        </w:rPr>
        <w:t xml:space="preserve">In categorising the magnitude of the problems the “impact on the marine environment” was evaluated in terms of impacts on: water quality; sediment quality; biological samples; changes in living marine organisms; and affected marine communities. Ambient water quality was itself defined in terms of: nutrients; faecal coliform bacteria; heavy metals and dissolved oxygen concentration. </w:t>
      </w:r>
    </w:p>
    <w:p w14:paraId="09DA1A4E" w14:textId="77777777" w:rsidR="002014E1" w:rsidRDefault="002014E1" w:rsidP="002014E1">
      <w:pPr>
        <w:numPr>
          <w:ilvl w:val="0"/>
          <w:numId w:val="3"/>
        </w:numPr>
        <w:spacing w:after="120"/>
        <w:ind w:left="0" w:firstLine="0"/>
        <w:jc w:val="both"/>
        <w:rPr>
          <w:sz w:val="22"/>
          <w:szCs w:val="22"/>
        </w:rPr>
      </w:pPr>
      <w:r w:rsidRPr="00830C98">
        <w:rPr>
          <w:sz w:val="22"/>
          <w:szCs w:val="22"/>
        </w:rPr>
        <w:t xml:space="preserve">Ranking of the impacts resulting from contaminants in the South China Sea marine basin suggests that the reduction in water quality is apparently the major concern, followed by biological impacts which are less well demonstrated and thirdly contamination of sediments. In terms of the contaminants themselves the most widespread and severe problems resulted from enhanced nutrient inputs whilst heavy metals were found to be a significant problem in biological samples, and sediments of certain hotspots. The results form a sound basis for selection of pilot activities addressing regionally significant impacts of specific contaminants in hot spots of the region and capacity building. </w:t>
      </w:r>
    </w:p>
    <w:p w14:paraId="0F2FCCD3" w14:textId="77777777" w:rsidR="002014E1" w:rsidRPr="002014E1" w:rsidRDefault="002014E1" w:rsidP="002014E1">
      <w:pPr>
        <w:spacing w:after="120"/>
        <w:jc w:val="both"/>
        <w:rPr>
          <w:b/>
          <w:i/>
          <w:sz w:val="22"/>
          <w:szCs w:val="22"/>
        </w:rPr>
      </w:pPr>
      <w:r w:rsidRPr="002014E1">
        <w:rPr>
          <w:b/>
          <w:i/>
          <w:sz w:val="22"/>
          <w:szCs w:val="22"/>
        </w:rPr>
        <w:t>Pilot activity</w:t>
      </w:r>
    </w:p>
    <w:p w14:paraId="37D16DC1" w14:textId="77777777" w:rsidR="002014E1" w:rsidRDefault="002014E1" w:rsidP="00125099">
      <w:pPr>
        <w:numPr>
          <w:ilvl w:val="0"/>
          <w:numId w:val="3"/>
        </w:numPr>
        <w:spacing w:after="120"/>
        <w:ind w:left="0" w:firstLine="0"/>
        <w:jc w:val="both"/>
        <w:rPr>
          <w:sz w:val="22"/>
          <w:szCs w:val="22"/>
        </w:rPr>
      </w:pPr>
      <w:r w:rsidRPr="00830C98">
        <w:rPr>
          <w:sz w:val="22"/>
          <w:szCs w:val="22"/>
        </w:rPr>
        <w:t>In evaluating potential pilot activities it was recognised that the resources available to the project were insufficient to rectify all pollution problems at even one pollution hotspot. The focus was to identify potential pilot activities that would serve as replication models addressing particular types of land-based pollution rather than to attempt the cleanup of individual sources or an entire “hotspot”. As part of this evaluation a “causal chain analysis” was conducted. A causal chain analysis is a recommended GEF tool used in the identification of the causes of change in environmental state, the level or scale of threats at a particular site, and the alternative points of intervention, along the chain of cause and effect. Optimally, all causes are identified and quantified and the potential benefits of intervention at any one point along the chain are evaluated, where possible through some form of cost benefit analysis. The causal chain therefore is used to provide an objective basis for deciding between different types of intervention at a particular site.</w:t>
      </w:r>
    </w:p>
    <w:p w14:paraId="786C5A4E" w14:textId="77777777" w:rsidR="002014E1" w:rsidRDefault="008F4245" w:rsidP="008F4245">
      <w:pPr>
        <w:numPr>
          <w:ilvl w:val="0"/>
          <w:numId w:val="3"/>
        </w:numPr>
        <w:spacing w:after="120"/>
        <w:ind w:left="0" w:firstLine="0"/>
        <w:jc w:val="both"/>
        <w:rPr>
          <w:sz w:val="22"/>
          <w:szCs w:val="22"/>
        </w:rPr>
      </w:pPr>
      <w:r>
        <w:rPr>
          <w:sz w:val="22"/>
          <w:szCs w:val="22"/>
        </w:rPr>
        <w:t>In this context, t</w:t>
      </w:r>
      <w:r w:rsidR="002014E1" w:rsidRPr="00395BDE">
        <w:rPr>
          <w:sz w:val="22"/>
          <w:szCs w:val="22"/>
        </w:rPr>
        <w:t>he environment of Bat</w:t>
      </w:r>
      <w:r w:rsidR="002014E1">
        <w:rPr>
          <w:sz w:val="22"/>
          <w:szCs w:val="22"/>
        </w:rPr>
        <w:t>am Island in Indonesia ha</w:t>
      </w:r>
      <w:r>
        <w:rPr>
          <w:sz w:val="22"/>
          <w:szCs w:val="22"/>
        </w:rPr>
        <w:t>d and continues to be</w:t>
      </w:r>
      <w:r w:rsidR="002014E1">
        <w:rPr>
          <w:sz w:val="22"/>
          <w:szCs w:val="22"/>
        </w:rPr>
        <w:t xml:space="preserve"> </w:t>
      </w:r>
      <w:r w:rsidR="002014E1" w:rsidRPr="00395BDE">
        <w:rPr>
          <w:sz w:val="22"/>
          <w:szCs w:val="22"/>
        </w:rPr>
        <w:t>degraded as a consequence of i</w:t>
      </w:r>
      <w:r w:rsidR="002014E1">
        <w:rPr>
          <w:sz w:val="22"/>
          <w:szCs w:val="22"/>
        </w:rPr>
        <w:t xml:space="preserve">ncreased population and demands </w:t>
      </w:r>
      <w:r w:rsidR="002014E1" w:rsidRPr="00395BDE">
        <w:rPr>
          <w:sz w:val="22"/>
          <w:szCs w:val="22"/>
        </w:rPr>
        <w:t>on marine resources by residents to achieve higher living standards</w:t>
      </w:r>
      <w:r w:rsidR="002014E1">
        <w:rPr>
          <w:sz w:val="22"/>
          <w:szCs w:val="22"/>
        </w:rPr>
        <w:t xml:space="preserve">. </w:t>
      </w:r>
      <w:r w:rsidR="002014E1" w:rsidRPr="00395BDE">
        <w:rPr>
          <w:sz w:val="22"/>
          <w:szCs w:val="22"/>
        </w:rPr>
        <w:t>This has led to overexploita</w:t>
      </w:r>
      <w:r w:rsidR="002014E1">
        <w:rPr>
          <w:sz w:val="22"/>
          <w:szCs w:val="22"/>
        </w:rPr>
        <w:t xml:space="preserve">tion of resources, increases in </w:t>
      </w:r>
      <w:r w:rsidR="002014E1" w:rsidRPr="00395BDE">
        <w:rPr>
          <w:sz w:val="22"/>
          <w:szCs w:val="22"/>
        </w:rPr>
        <w:t>domestic and</w:t>
      </w:r>
      <w:r w:rsidR="002014E1">
        <w:rPr>
          <w:sz w:val="22"/>
          <w:szCs w:val="22"/>
        </w:rPr>
        <w:t xml:space="preserve"> industrial wastes and physical destruction of coastal </w:t>
      </w:r>
      <w:r w:rsidR="002014E1" w:rsidRPr="00395BDE">
        <w:rPr>
          <w:sz w:val="22"/>
          <w:szCs w:val="22"/>
        </w:rPr>
        <w:t>habitats. With the support of the land</w:t>
      </w:r>
      <w:r w:rsidR="002014E1">
        <w:rPr>
          <w:sz w:val="22"/>
          <w:szCs w:val="22"/>
        </w:rPr>
        <w:t xml:space="preserve">-based pollution pilot project, </w:t>
      </w:r>
      <w:r w:rsidR="002014E1" w:rsidRPr="00395BDE">
        <w:rPr>
          <w:sz w:val="22"/>
          <w:szCs w:val="22"/>
        </w:rPr>
        <w:t>a multi-sectoral management board was established and mai</w:t>
      </w:r>
      <w:r w:rsidR="002014E1">
        <w:rPr>
          <w:sz w:val="22"/>
          <w:szCs w:val="22"/>
        </w:rPr>
        <w:t xml:space="preserve">ntained </w:t>
      </w:r>
      <w:r w:rsidR="002014E1" w:rsidRPr="00395BDE">
        <w:rPr>
          <w:sz w:val="22"/>
          <w:szCs w:val="22"/>
        </w:rPr>
        <w:t>beyond the li</w:t>
      </w:r>
      <w:r w:rsidR="002014E1">
        <w:rPr>
          <w:sz w:val="22"/>
          <w:szCs w:val="22"/>
        </w:rPr>
        <w:t xml:space="preserve">fe of the project at this site. This body not only </w:t>
      </w:r>
      <w:r w:rsidR="002014E1" w:rsidRPr="00395BDE">
        <w:rPr>
          <w:sz w:val="22"/>
          <w:szCs w:val="22"/>
        </w:rPr>
        <w:t xml:space="preserve">co-ordinated the pilot activity </w:t>
      </w:r>
      <w:r w:rsidR="002014E1">
        <w:rPr>
          <w:sz w:val="22"/>
          <w:szCs w:val="22"/>
        </w:rPr>
        <w:t xml:space="preserve">but also integrated the work of related entities in the </w:t>
      </w:r>
      <w:r w:rsidR="002014E1" w:rsidRPr="00395BDE">
        <w:rPr>
          <w:sz w:val="22"/>
          <w:szCs w:val="22"/>
        </w:rPr>
        <w:t>planning and i</w:t>
      </w:r>
      <w:r w:rsidR="002014E1">
        <w:rPr>
          <w:sz w:val="22"/>
          <w:szCs w:val="22"/>
        </w:rPr>
        <w:t xml:space="preserve">mplementation of activities for </w:t>
      </w:r>
      <w:r w:rsidR="002014E1" w:rsidRPr="00395BDE">
        <w:rPr>
          <w:sz w:val="22"/>
          <w:szCs w:val="22"/>
        </w:rPr>
        <w:t xml:space="preserve">the sustainable </w:t>
      </w:r>
      <w:r w:rsidR="002014E1">
        <w:rPr>
          <w:sz w:val="22"/>
          <w:szCs w:val="22"/>
        </w:rPr>
        <w:t xml:space="preserve">development of the entire city. </w:t>
      </w:r>
    </w:p>
    <w:p w14:paraId="6FD15054" w14:textId="77777777" w:rsidR="008F4245" w:rsidRPr="00395BDE" w:rsidRDefault="008F4245" w:rsidP="008F4245">
      <w:pPr>
        <w:numPr>
          <w:ilvl w:val="0"/>
          <w:numId w:val="3"/>
        </w:numPr>
        <w:tabs>
          <w:tab w:val="left" w:pos="720"/>
        </w:tabs>
        <w:spacing w:after="120"/>
        <w:ind w:left="0" w:firstLine="0"/>
        <w:jc w:val="both"/>
        <w:rPr>
          <w:sz w:val="22"/>
          <w:szCs w:val="22"/>
        </w:rPr>
      </w:pPr>
      <w:r w:rsidRPr="00395BDE">
        <w:rPr>
          <w:sz w:val="22"/>
          <w:szCs w:val="22"/>
        </w:rPr>
        <w:t>Th</w:t>
      </w:r>
      <w:r>
        <w:rPr>
          <w:sz w:val="22"/>
          <w:szCs w:val="22"/>
        </w:rPr>
        <w:t xml:space="preserve">is </w:t>
      </w:r>
      <w:r w:rsidRPr="00395BDE">
        <w:rPr>
          <w:sz w:val="22"/>
          <w:szCs w:val="22"/>
        </w:rPr>
        <w:t>management board sel</w:t>
      </w:r>
      <w:r>
        <w:rPr>
          <w:sz w:val="22"/>
          <w:szCs w:val="22"/>
        </w:rPr>
        <w:t xml:space="preserve">ected the peri-urban village of </w:t>
      </w:r>
      <w:r w:rsidRPr="00395BDE">
        <w:rPr>
          <w:sz w:val="22"/>
          <w:szCs w:val="22"/>
        </w:rPr>
        <w:t>Tanjung Riau on</w:t>
      </w:r>
      <w:r>
        <w:rPr>
          <w:sz w:val="22"/>
          <w:szCs w:val="22"/>
        </w:rPr>
        <w:t xml:space="preserve"> Batam Island to trial communal septic and solid </w:t>
      </w:r>
      <w:r w:rsidRPr="00395BDE">
        <w:rPr>
          <w:sz w:val="22"/>
          <w:szCs w:val="22"/>
        </w:rPr>
        <w:t>waste management systems. To m</w:t>
      </w:r>
      <w:r>
        <w:rPr>
          <w:sz w:val="22"/>
          <w:szCs w:val="22"/>
        </w:rPr>
        <w:t xml:space="preserve">anage solid wastes, the project </w:t>
      </w:r>
      <w:r w:rsidRPr="00395BDE">
        <w:rPr>
          <w:sz w:val="22"/>
          <w:szCs w:val="22"/>
        </w:rPr>
        <w:t>organised waste collections a</w:t>
      </w:r>
      <w:r>
        <w:rPr>
          <w:sz w:val="22"/>
          <w:szCs w:val="22"/>
        </w:rPr>
        <w:t xml:space="preserve">nd storage and treatment in the </w:t>
      </w:r>
      <w:r w:rsidRPr="00395BDE">
        <w:rPr>
          <w:sz w:val="22"/>
          <w:szCs w:val="22"/>
        </w:rPr>
        <w:t>village. Two hundred plastic rub</w:t>
      </w:r>
      <w:r>
        <w:rPr>
          <w:sz w:val="22"/>
          <w:szCs w:val="22"/>
        </w:rPr>
        <w:t xml:space="preserve">bish bins were provided for the </w:t>
      </w:r>
      <w:r w:rsidRPr="00395BDE">
        <w:rPr>
          <w:sz w:val="22"/>
          <w:szCs w:val="22"/>
        </w:rPr>
        <w:t>collection of solid wastes separated</w:t>
      </w:r>
      <w:r>
        <w:rPr>
          <w:sz w:val="22"/>
          <w:szCs w:val="22"/>
        </w:rPr>
        <w:t xml:space="preserve"> into organic wet materials and </w:t>
      </w:r>
      <w:r w:rsidRPr="00395BDE">
        <w:rPr>
          <w:sz w:val="22"/>
          <w:szCs w:val="22"/>
        </w:rPr>
        <w:t>non-organic dry wastes. The or</w:t>
      </w:r>
      <w:r>
        <w:rPr>
          <w:sz w:val="22"/>
          <w:szCs w:val="22"/>
        </w:rPr>
        <w:t xml:space="preserve">ganic wastes were gathered in a </w:t>
      </w:r>
      <w:r w:rsidRPr="00395BDE">
        <w:rPr>
          <w:sz w:val="22"/>
          <w:szCs w:val="22"/>
        </w:rPr>
        <w:t>temporary waste management si</w:t>
      </w:r>
      <w:r>
        <w:rPr>
          <w:sz w:val="22"/>
          <w:szCs w:val="22"/>
        </w:rPr>
        <w:t xml:space="preserve">te and used to produce compost. </w:t>
      </w:r>
      <w:r w:rsidRPr="00395BDE">
        <w:rPr>
          <w:sz w:val="22"/>
          <w:szCs w:val="22"/>
        </w:rPr>
        <w:t>A</w:t>
      </w:r>
      <w:r>
        <w:rPr>
          <w:sz w:val="22"/>
          <w:szCs w:val="22"/>
        </w:rPr>
        <w:t>round 300-</w:t>
      </w:r>
      <w:r w:rsidRPr="00395BDE">
        <w:rPr>
          <w:sz w:val="22"/>
          <w:szCs w:val="22"/>
        </w:rPr>
        <w:t>400 kg of comp</w:t>
      </w:r>
      <w:r>
        <w:rPr>
          <w:sz w:val="22"/>
          <w:szCs w:val="22"/>
        </w:rPr>
        <w:t xml:space="preserve">ost was produced per month from organic waste. The product </w:t>
      </w:r>
      <w:r w:rsidRPr="00395BDE">
        <w:rPr>
          <w:sz w:val="22"/>
          <w:szCs w:val="22"/>
        </w:rPr>
        <w:t>was use</w:t>
      </w:r>
      <w:r>
        <w:rPr>
          <w:sz w:val="22"/>
          <w:szCs w:val="22"/>
        </w:rPr>
        <w:t xml:space="preserve">d as fertiliser and provides an </w:t>
      </w:r>
      <w:r w:rsidRPr="00395BDE">
        <w:rPr>
          <w:sz w:val="22"/>
          <w:szCs w:val="22"/>
        </w:rPr>
        <w:t xml:space="preserve">additional source of income for </w:t>
      </w:r>
      <w:r>
        <w:rPr>
          <w:sz w:val="22"/>
          <w:szCs w:val="22"/>
        </w:rPr>
        <w:t xml:space="preserve">villagers and the local women’s </w:t>
      </w:r>
      <w:r w:rsidRPr="00395BDE">
        <w:rPr>
          <w:sz w:val="22"/>
          <w:szCs w:val="22"/>
        </w:rPr>
        <w:t xml:space="preserve">group. Non-organic waste was </w:t>
      </w:r>
      <w:r>
        <w:rPr>
          <w:sz w:val="22"/>
          <w:szCs w:val="22"/>
        </w:rPr>
        <w:t xml:space="preserve">transported for disposal at the </w:t>
      </w:r>
      <w:r w:rsidRPr="00395BDE">
        <w:rPr>
          <w:sz w:val="22"/>
          <w:szCs w:val="22"/>
        </w:rPr>
        <w:t>Batam city solid waste dump.</w:t>
      </w:r>
    </w:p>
    <w:p w14:paraId="4C03993B" w14:textId="77777777" w:rsidR="008F4245" w:rsidRPr="00395BDE" w:rsidRDefault="008F4245" w:rsidP="008F4245">
      <w:pPr>
        <w:numPr>
          <w:ilvl w:val="0"/>
          <w:numId w:val="3"/>
        </w:numPr>
        <w:spacing w:after="120"/>
        <w:ind w:left="0" w:firstLine="0"/>
        <w:jc w:val="both"/>
        <w:rPr>
          <w:sz w:val="22"/>
          <w:szCs w:val="22"/>
        </w:rPr>
      </w:pPr>
      <w:r w:rsidRPr="00395BDE">
        <w:rPr>
          <w:sz w:val="22"/>
          <w:szCs w:val="22"/>
        </w:rPr>
        <w:t>The project worked closely wi</w:t>
      </w:r>
      <w:r>
        <w:rPr>
          <w:sz w:val="22"/>
          <w:szCs w:val="22"/>
        </w:rPr>
        <w:t xml:space="preserve">th local communities in Tanjung </w:t>
      </w:r>
      <w:r w:rsidRPr="00395BDE">
        <w:rPr>
          <w:sz w:val="22"/>
          <w:szCs w:val="22"/>
        </w:rPr>
        <w:t>Riau village in order to address</w:t>
      </w:r>
      <w:r>
        <w:rPr>
          <w:sz w:val="22"/>
          <w:szCs w:val="22"/>
        </w:rPr>
        <w:t xml:space="preserve"> environment problems caused by </w:t>
      </w:r>
      <w:r w:rsidRPr="00395BDE">
        <w:rPr>
          <w:sz w:val="22"/>
          <w:szCs w:val="22"/>
        </w:rPr>
        <w:t>domestic waste. Ten system</w:t>
      </w:r>
      <w:r>
        <w:rPr>
          <w:sz w:val="22"/>
          <w:szCs w:val="22"/>
        </w:rPr>
        <w:t xml:space="preserve">s of communal septic tanks were </w:t>
      </w:r>
      <w:r w:rsidRPr="00395BDE">
        <w:rPr>
          <w:sz w:val="22"/>
          <w:szCs w:val="22"/>
        </w:rPr>
        <w:t>installed, ea</w:t>
      </w:r>
      <w:r>
        <w:rPr>
          <w:sz w:val="22"/>
          <w:szCs w:val="22"/>
        </w:rPr>
        <w:t>ch providing for the needs of 8-</w:t>
      </w:r>
      <w:r w:rsidRPr="00395BDE">
        <w:rPr>
          <w:sz w:val="22"/>
          <w:szCs w:val="22"/>
        </w:rPr>
        <w:t>10 famil</w:t>
      </w:r>
      <w:r>
        <w:rPr>
          <w:sz w:val="22"/>
          <w:szCs w:val="22"/>
        </w:rPr>
        <w:t xml:space="preserve">ies. The local </w:t>
      </w:r>
      <w:r w:rsidRPr="00395BDE">
        <w:rPr>
          <w:sz w:val="22"/>
          <w:szCs w:val="22"/>
        </w:rPr>
        <w:t>community offered its own land fo</w:t>
      </w:r>
      <w:r>
        <w:rPr>
          <w:sz w:val="22"/>
          <w:szCs w:val="22"/>
        </w:rPr>
        <w:t xml:space="preserve">r the placement of these tanks. </w:t>
      </w:r>
      <w:r w:rsidRPr="00395BDE">
        <w:rPr>
          <w:sz w:val="22"/>
          <w:szCs w:val="22"/>
        </w:rPr>
        <w:t>One third of householders in the</w:t>
      </w:r>
      <w:r>
        <w:rPr>
          <w:sz w:val="22"/>
          <w:szCs w:val="22"/>
        </w:rPr>
        <w:t xml:space="preserve"> village were connected to such systems </w:t>
      </w:r>
      <w:r w:rsidRPr="00395BDE">
        <w:rPr>
          <w:sz w:val="22"/>
          <w:szCs w:val="22"/>
        </w:rPr>
        <w:t>and plans were developed to r</w:t>
      </w:r>
      <w:r>
        <w:rPr>
          <w:sz w:val="22"/>
          <w:szCs w:val="22"/>
        </w:rPr>
        <w:t xml:space="preserve">eplicate this system elsewhere. </w:t>
      </w:r>
      <w:r w:rsidRPr="00395BDE">
        <w:rPr>
          <w:sz w:val="22"/>
          <w:szCs w:val="22"/>
        </w:rPr>
        <w:t>The pro</w:t>
      </w:r>
      <w:r>
        <w:rPr>
          <w:sz w:val="22"/>
          <w:szCs w:val="22"/>
        </w:rPr>
        <w:t xml:space="preserve">cess of installing septic tanks </w:t>
      </w:r>
      <w:r w:rsidRPr="00395BDE">
        <w:rPr>
          <w:sz w:val="22"/>
          <w:szCs w:val="22"/>
        </w:rPr>
        <w:t>incl</w:t>
      </w:r>
      <w:r>
        <w:rPr>
          <w:sz w:val="22"/>
          <w:szCs w:val="22"/>
        </w:rPr>
        <w:t xml:space="preserve">uded the participation </w:t>
      </w:r>
      <w:r w:rsidRPr="00395BDE">
        <w:rPr>
          <w:sz w:val="22"/>
          <w:szCs w:val="22"/>
        </w:rPr>
        <w:t>of the local communities starting from planning, design,</w:t>
      </w:r>
      <w:r>
        <w:rPr>
          <w:sz w:val="22"/>
          <w:szCs w:val="22"/>
        </w:rPr>
        <w:t xml:space="preserve"> </w:t>
      </w:r>
      <w:r w:rsidRPr="00395BDE">
        <w:rPr>
          <w:sz w:val="22"/>
          <w:szCs w:val="22"/>
        </w:rPr>
        <w:t>construction and maintenance. The system has not only improved</w:t>
      </w:r>
      <w:r>
        <w:rPr>
          <w:sz w:val="22"/>
          <w:szCs w:val="22"/>
        </w:rPr>
        <w:t xml:space="preserve"> </w:t>
      </w:r>
      <w:r w:rsidRPr="00395BDE">
        <w:rPr>
          <w:sz w:val="22"/>
          <w:szCs w:val="22"/>
        </w:rPr>
        <w:t>sanitary conditions in the vil</w:t>
      </w:r>
      <w:r>
        <w:rPr>
          <w:sz w:val="22"/>
          <w:szCs w:val="22"/>
        </w:rPr>
        <w:t xml:space="preserve">lage but also proved helpful in </w:t>
      </w:r>
      <w:r w:rsidRPr="00395BDE">
        <w:rPr>
          <w:sz w:val="22"/>
          <w:szCs w:val="22"/>
        </w:rPr>
        <w:t>enhancing awareness and generating support from the</w:t>
      </w:r>
      <w:r>
        <w:rPr>
          <w:sz w:val="22"/>
          <w:szCs w:val="22"/>
        </w:rPr>
        <w:t xml:space="preserve"> local community </w:t>
      </w:r>
      <w:r w:rsidRPr="00395BDE">
        <w:rPr>
          <w:sz w:val="22"/>
          <w:szCs w:val="22"/>
        </w:rPr>
        <w:t>for environmental manag</w:t>
      </w:r>
      <w:r>
        <w:rPr>
          <w:sz w:val="22"/>
          <w:szCs w:val="22"/>
        </w:rPr>
        <w:t xml:space="preserve">ement. The project’s management </w:t>
      </w:r>
      <w:r w:rsidRPr="00395BDE">
        <w:rPr>
          <w:sz w:val="22"/>
          <w:szCs w:val="22"/>
        </w:rPr>
        <w:t xml:space="preserve">board encouraged the scaling-up of </w:t>
      </w:r>
      <w:r>
        <w:rPr>
          <w:sz w:val="22"/>
          <w:szCs w:val="22"/>
        </w:rPr>
        <w:t xml:space="preserve">the practices of domestic waste </w:t>
      </w:r>
      <w:r w:rsidRPr="00395BDE">
        <w:rPr>
          <w:sz w:val="22"/>
          <w:szCs w:val="22"/>
        </w:rPr>
        <w:t>management in Tanjung Riau vi</w:t>
      </w:r>
      <w:r>
        <w:rPr>
          <w:sz w:val="22"/>
          <w:szCs w:val="22"/>
        </w:rPr>
        <w:t xml:space="preserve">llage to the whole island level </w:t>
      </w:r>
      <w:r w:rsidRPr="00395BDE">
        <w:rPr>
          <w:sz w:val="22"/>
          <w:szCs w:val="22"/>
        </w:rPr>
        <w:t>thro</w:t>
      </w:r>
      <w:r>
        <w:rPr>
          <w:sz w:val="22"/>
          <w:szCs w:val="22"/>
        </w:rPr>
        <w:t xml:space="preserve">ugh its inclusion as a priority </w:t>
      </w:r>
      <w:r w:rsidRPr="00395BDE">
        <w:rPr>
          <w:sz w:val="22"/>
          <w:szCs w:val="22"/>
        </w:rPr>
        <w:t>action area of Batam</w:t>
      </w:r>
      <w:r>
        <w:rPr>
          <w:sz w:val="22"/>
          <w:szCs w:val="22"/>
        </w:rPr>
        <w:t xml:space="preserve"> City’s </w:t>
      </w:r>
      <w:r w:rsidRPr="00395BDE">
        <w:rPr>
          <w:sz w:val="22"/>
          <w:szCs w:val="22"/>
        </w:rPr>
        <w:t>environmental policy.</w:t>
      </w:r>
    </w:p>
    <w:p w14:paraId="411A49DF" w14:textId="77777777" w:rsidR="008F4245" w:rsidRDefault="008F4245" w:rsidP="008F4245">
      <w:pPr>
        <w:numPr>
          <w:ilvl w:val="0"/>
          <w:numId w:val="3"/>
        </w:numPr>
        <w:tabs>
          <w:tab w:val="clear" w:pos="720"/>
          <w:tab w:val="num" w:pos="810"/>
        </w:tabs>
        <w:spacing w:after="120"/>
        <w:ind w:left="0" w:firstLine="0"/>
        <w:jc w:val="both"/>
        <w:rPr>
          <w:sz w:val="22"/>
          <w:szCs w:val="22"/>
        </w:rPr>
      </w:pPr>
      <w:r w:rsidRPr="00395BDE">
        <w:rPr>
          <w:sz w:val="22"/>
          <w:szCs w:val="22"/>
        </w:rPr>
        <w:t>The pilot activities further promoted</w:t>
      </w:r>
      <w:r>
        <w:rPr>
          <w:sz w:val="22"/>
          <w:szCs w:val="22"/>
        </w:rPr>
        <w:t xml:space="preserve"> the adoption of the Indonesian </w:t>
      </w:r>
      <w:r w:rsidRPr="00395BDE">
        <w:rPr>
          <w:sz w:val="22"/>
          <w:szCs w:val="22"/>
        </w:rPr>
        <w:t>SUPER</w:t>
      </w:r>
      <w:r>
        <w:rPr>
          <w:rStyle w:val="FootnoteReference"/>
          <w:sz w:val="22"/>
          <w:szCs w:val="22"/>
        </w:rPr>
        <w:footnoteReference w:id="41"/>
      </w:r>
      <w:r w:rsidRPr="00395BDE">
        <w:rPr>
          <w:sz w:val="22"/>
          <w:szCs w:val="22"/>
        </w:rPr>
        <w:t xml:space="preserve"> and PROPER</w:t>
      </w:r>
      <w:r>
        <w:rPr>
          <w:rStyle w:val="FootnoteReference"/>
          <w:sz w:val="22"/>
          <w:szCs w:val="22"/>
        </w:rPr>
        <w:footnoteReference w:id="42"/>
      </w:r>
      <w:r>
        <w:rPr>
          <w:sz w:val="22"/>
          <w:szCs w:val="22"/>
        </w:rPr>
        <w:t xml:space="preserve"> </w:t>
      </w:r>
      <w:r w:rsidRPr="00395BDE">
        <w:rPr>
          <w:sz w:val="22"/>
          <w:szCs w:val="22"/>
        </w:rPr>
        <w:t>pro</w:t>
      </w:r>
      <w:r>
        <w:rPr>
          <w:sz w:val="22"/>
          <w:szCs w:val="22"/>
        </w:rPr>
        <w:t xml:space="preserve">grammes that were introduced in </w:t>
      </w:r>
      <w:r w:rsidRPr="00395BDE">
        <w:rPr>
          <w:sz w:val="22"/>
          <w:szCs w:val="22"/>
        </w:rPr>
        <w:t>2002 to reduce heavy metal di</w:t>
      </w:r>
      <w:r>
        <w:rPr>
          <w:sz w:val="22"/>
          <w:szCs w:val="22"/>
        </w:rPr>
        <w:t xml:space="preserve">scharges from industry. Through </w:t>
      </w:r>
      <w:r w:rsidRPr="00395BDE">
        <w:rPr>
          <w:sz w:val="22"/>
          <w:szCs w:val="22"/>
        </w:rPr>
        <w:t>activities executed by the pilot p</w:t>
      </w:r>
      <w:r>
        <w:rPr>
          <w:sz w:val="22"/>
          <w:szCs w:val="22"/>
        </w:rPr>
        <w:t xml:space="preserve">roject, awareness of industrial </w:t>
      </w:r>
      <w:r w:rsidRPr="00395BDE">
        <w:rPr>
          <w:sz w:val="22"/>
          <w:szCs w:val="22"/>
        </w:rPr>
        <w:t>sector enterprises was significa</w:t>
      </w:r>
      <w:r>
        <w:rPr>
          <w:sz w:val="22"/>
          <w:szCs w:val="22"/>
        </w:rPr>
        <w:t xml:space="preserve">ntly improved as was compliance </w:t>
      </w:r>
      <w:r w:rsidRPr="00395BDE">
        <w:rPr>
          <w:sz w:val="22"/>
          <w:szCs w:val="22"/>
        </w:rPr>
        <w:t>with standards for the heavy m</w:t>
      </w:r>
      <w:r>
        <w:rPr>
          <w:sz w:val="22"/>
          <w:szCs w:val="22"/>
        </w:rPr>
        <w:t xml:space="preserve">etal content of wastewater. The project </w:t>
      </w:r>
      <w:r w:rsidRPr="00395BDE">
        <w:rPr>
          <w:sz w:val="22"/>
          <w:szCs w:val="22"/>
        </w:rPr>
        <w:t>was successful in working with government and industry i</w:t>
      </w:r>
      <w:r>
        <w:rPr>
          <w:sz w:val="22"/>
          <w:szCs w:val="22"/>
        </w:rPr>
        <w:t xml:space="preserve">n </w:t>
      </w:r>
      <w:r w:rsidRPr="00395BDE">
        <w:rPr>
          <w:sz w:val="22"/>
          <w:szCs w:val="22"/>
        </w:rPr>
        <w:t>clearly delineating responsibili</w:t>
      </w:r>
      <w:r>
        <w:rPr>
          <w:sz w:val="22"/>
          <w:szCs w:val="22"/>
        </w:rPr>
        <w:t xml:space="preserve">ties in the management of heavy </w:t>
      </w:r>
      <w:r w:rsidRPr="00395BDE">
        <w:rPr>
          <w:sz w:val="22"/>
          <w:szCs w:val="22"/>
        </w:rPr>
        <w:t>metal discharges. Local government u</w:t>
      </w:r>
      <w:r>
        <w:rPr>
          <w:sz w:val="22"/>
          <w:szCs w:val="22"/>
        </w:rPr>
        <w:t xml:space="preserve">ndertook control and evaluation </w:t>
      </w:r>
      <w:r w:rsidRPr="00395BDE">
        <w:rPr>
          <w:sz w:val="22"/>
          <w:szCs w:val="22"/>
        </w:rPr>
        <w:t xml:space="preserve">of environmental management in </w:t>
      </w:r>
      <w:r>
        <w:rPr>
          <w:sz w:val="22"/>
          <w:szCs w:val="22"/>
        </w:rPr>
        <w:t xml:space="preserve">industries (e.g., documentation and sea water quality) and the organisation of training </w:t>
      </w:r>
      <w:r w:rsidRPr="00395BDE">
        <w:rPr>
          <w:sz w:val="22"/>
          <w:szCs w:val="22"/>
        </w:rPr>
        <w:t>seminars for industrial sector</w:t>
      </w:r>
      <w:r>
        <w:rPr>
          <w:sz w:val="22"/>
          <w:szCs w:val="22"/>
        </w:rPr>
        <w:t xml:space="preserve"> representatives and associated </w:t>
      </w:r>
      <w:r w:rsidRPr="00395BDE">
        <w:rPr>
          <w:sz w:val="22"/>
          <w:szCs w:val="22"/>
        </w:rPr>
        <w:t>stakeholders. The industrial sector w</w:t>
      </w:r>
      <w:r>
        <w:rPr>
          <w:sz w:val="22"/>
          <w:szCs w:val="22"/>
        </w:rPr>
        <w:t xml:space="preserve">as responsible for reporting on </w:t>
      </w:r>
      <w:r w:rsidRPr="00395BDE">
        <w:rPr>
          <w:sz w:val="22"/>
          <w:szCs w:val="22"/>
        </w:rPr>
        <w:t>environmental manag</w:t>
      </w:r>
      <w:r>
        <w:rPr>
          <w:sz w:val="22"/>
          <w:szCs w:val="22"/>
        </w:rPr>
        <w:t xml:space="preserve">ement of industrial activities, ensuring </w:t>
      </w:r>
      <w:r w:rsidRPr="00395BDE">
        <w:rPr>
          <w:sz w:val="22"/>
          <w:szCs w:val="22"/>
        </w:rPr>
        <w:t>compliance with national and l</w:t>
      </w:r>
      <w:r>
        <w:rPr>
          <w:sz w:val="22"/>
          <w:szCs w:val="22"/>
        </w:rPr>
        <w:t xml:space="preserve">ocal government regulations and </w:t>
      </w:r>
      <w:r w:rsidRPr="00395BDE">
        <w:rPr>
          <w:sz w:val="22"/>
          <w:szCs w:val="22"/>
        </w:rPr>
        <w:t>monitoring sea water quality.</w:t>
      </w:r>
    </w:p>
    <w:p w14:paraId="2890B6E5" w14:textId="77777777" w:rsidR="008F4245" w:rsidRDefault="008F4245" w:rsidP="008F4245">
      <w:pPr>
        <w:numPr>
          <w:ilvl w:val="0"/>
          <w:numId w:val="3"/>
        </w:numPr>
        <w:spacing w:after="120"/>
        <w:ind w:left="0" w:firstLine="0"/>
        <w:rPr>
          <w:sz w:val="22"/>
          <w:szCs w:val="22"/>
        </w:rPr>
      </w:pPr>
      <w:r w:rsidRPr="00395BDE">
        <w:rPr>
          <w:sz w:val="22"/>
          <w:szCs w:val="22"/>
        </w:rPr>
        <w:t>A database on environmental</w:t>
      </w:r>
      <w:r>
        <w:rPr>
          <w:sz w:val="22"/>
          <w:szCs w:val="22"/>
        </w:rPr>
        <w:t xml:space="preserve"> status and management in Batam </w:t>
      </w:r>
      <w:r w:rsidRPr="00395BDE">
        <w:rPr>
          <w:sz w:val="22"/>
          <w:szCs w:val="22"/>
        </w:rPr>
        <w:t>City wa</w:t>
      </w:r>
      <w:r>
        <w:rPr>
          <w:sz w:val="22"/>
          <w:szCs w:val="22"/>
        </w:rPr>
        <w:t xml:space="preserve">s developed to include all data obtained through surveys </w:t>
      </w:r>
      <w:r w:rsidRPr="00395BDE">
        <w:rPr>
          <w:sz w:val="22"/>
          <w:szCs w:val="22"/>
        </w:rPr>
        <w:t>and monitoring made by th</w:t>
      </w:r>
      <w:r>
        <w:rPr>
          <w:sz w:val="22"/>
          <w:szCs w:val="22"/>
        </w:rPr>
        <w:t xml:space="preserve">e environmental sector and data collected </w:t>
      </w:r>
      <w:r w:rsidRPr="00395BDE">
        <w:rPr>
          <w:sz w:val="22"/>
          <w:szCs w:val="22"/>
        </w:rPr>
        <w:t>through the monitori</w:t>
      </w:r>
      <w:r>
        <w:rPr>
          <w:sz w:val="22"/>
          <w:szCs w:val="22"/>
        </w:rPr>
        <w:t xml:space="preserve">ng of industrial centres during </w:t>
      </w:r>
      <w:r w:rsidRPr="00395BDE">
        <w:rPr>
          <w:sz w:val="22"/>
          <w:szCs w:val="22"/>
        </w:rPr>
        <w:t xml:space="preserve">recent years. This database was </w:t>
      </w:r>
      <w:r>
        <w:rPr>
          <w:sz w:val="22"/>
          <w:szCs w:val="22"/>
        </w:rPr>
        <w:t xml:space="preserve">a useful tool for environmental </w:t>
      </w:r>
      <w:r w:rsidRPr="00395BDE">
        <w:rPr>
          <w:sz w:val="22"/>
          <w:szCs w:val="22"/>
        </w:rPr>
        <w:t>management in the city, for a</w:t>
      </w:r>
      <w:r>
        <w:rPr>
          <w:sz w:val="22"/>
          <w:szCs w:val="22"/>
        </w:rPr>
        <w:t xml:space="preserve">ssessing changes in environment </w:t>
      </w:r>
      <w:r w:rsidRPr="00395BDE">
        <w:rPr>
          <w:sz w:val="22"/>
          <w:szCs w:val="22"/>
        </w:rPr>
        <w:t>status and evaluati</w:t>
      </w:r>
      <w:r>
        <w:rPr>
          <w:sz w:val="22"/>
          <w:szCs w:val="22"/>
        </w:rPr>
        <w:t xml:space="preserve">ng the </w:t>
      </w:r>
      <w:r w:rsidRPr="00395BDE">
        <w:rPr>
          <w:sz w:val="22"/>
          <w:szCs w:val="22"/>
        </w:rPr>
        <w:t>effect</w:t>
      </w:r>
      <w:r>
        <w:rPr>
          <w:sz w:val="22"/>
          <w:szCs w:val="22"/>
        </w:rPr>
        <w:t xml:space="preserve">iveness of the SUPER and PROPER </w:t>
      </w:r>
      <w:r w:rsidRPr="00395BDE">
        <w:rPr>
          <w:sz w:val="22"/>
          <w:szCs w:val="22"/>
        </w:rPr>
        <w:t>programmes in terms o</w:t>
      </w:r>
      <w:r>
        <w:rPr>
          <w:sz w:val="22"/>
          <w:szCs w:val="22"/>
        </w:rPr>
        <w:t xml:space="preserve">f reductions in the heavy metal content of </w:t>
      </w:r>
      <w:r w:rsidRPr="00395BDE">
        <w:rPr>
          <w:sz w:val="22"/>
          <w:szCs w:val="22"/>
        </w:rPr>
        <w:t>wastewater discharged from industrial enterprises in the city.</w:t>
      </w:r>
    </w:p>
    <w:p w14:paraId="52C54296" w14:textId="77777777" w:rsidR="008F4245" w:rsidRDefault="008F4245" w:rsidP="008F4245">
      <w:pPr>
        <w:numPr>
          <w:ilvl w:val="0"/>
          <w:numId w:val="3"/>
        </w:numPr>
        <w:spacing w:after="120"/>
        <w:ind w:left="0" w:firstLine="0"/>
        <w:jc w:val="both"/>
        <w:rPr>
          <w:sz w:val="22"/>
          <w:szCs w:val="22"/>
        </w:rPr>
      </w:pPr>
      <w:r w:rsidRPr="00D00A95">
        <w:rPr>
          <w:sz w:val="22"/>
          <w:szCs w:val="22"/>
        </w:rPr>
        <w:t>In terms of land-based pollutio</w:t>
      </w:r>
      <w:r>
        <w:rPr>
          <w:sz w:val="22"/>
          <w:szCs w:val="22"/>
        </w:rPr>
        <w:t xml:space="preserve">n management, the potential for </w:t>
      </w:r>
      <w:r w:rsidRPr="00D00A95">
        <w:rPr>
          <w:sz w:val="22"/>
          <w:szCs w:val="22"/>
        </w:rPr>
        <w:t xml:space="preserve">replicating activities to promote </w:t>
      </w:r>
      <w:r>
        <w:rPr>
          <w:sz w:val="22"/>
          <w:szCs w:val="22"/>
        </w:rPr>
        <w:t xml:space="preserve">the SUPER and PROPER programmes </w:t>
      </w:r>
      <w:r w:rsidRPr="00D00A95">
        <w:rPr>
          <w:sz w:val="22"/>
          <w:szCs w:val="22"/>
        </w:rPr>
        <w:t xml:space="preserve">within the industrial sector is </w:t>
      </w:r>
      <w:r>
        <w:rPr>
          <w:sz w:val="22"/>
          <w:szCs w:val="22"/>
        </w:rPr>
        <w:t xml:space="preserve">high. Involvement of industrial </w:t>
      </w:r>
      <w:r w:rsidRPr="00D00A95">
        <w:rPr>
          <w:sz w:val="22"/>
          <w:szCs w:val="22"/>
        </w:rPr>
        <w:t>enterprises in environ</w:t>
      </w:r>
      <w:r>
        <w:rPr>
          <w:sz w:val="22"/>
          <w:szCs w:val="22"/>
        </w:rPr>
        <w:t xml:space="preserve">ment management in Batam serves </w:t>
      </w:r>
      <w:r w:rsidRPr="00D00A95">
        <w:rPr>
          <w:sz w:val="22"/>
          <w:szCs w:val="22"/>
        </w:rPr>
        <w:t>as a good example for wider dissemin</w:t>
      </w:r>
      <w:r>
        <w:rPr>
          <w:sz w:val="22"/>
          <w:szCs w:val="22"/>
        </w:rPr>
        <w:t xml:space="preserve">ation. Pilot-scale improvements </w:t>
      </w:r>
      <w:r w:rsidRPr="00D00A95">
        <w:rPr>
          <w:sz w:val="22"/>
          <w:szCs w:val="22"/>
        </w:rPr>
        <w:t>to domestic waste man</w:t>
      </w:r>
      <w:r>
        <w:rPr>
          <w:sz w:val="22"/>
          <w:szCs w:val="22"/>
        </w:rPr>
        <w:t xml:space="preserve">agement systems in Tanjung Riau </w:t>
      </w:r>
      <w:r w:rsidRPr="00D00A95">
        <w:rPr>
          <w:sz w:val="22"/>
          <w:szCs w:val="22"/>
        </w:rPr>
        <w:t>village on Batam Island have b</w:t>
      </w:r>
      <w:r>
        <w:rPr>
          <w:sz w:val="22"/>
          <w:szCs w:val="22"/>
        </w:rPr>
        <w:t xml:space="preserve">een scaled up by the Batam City </w:t>
      </w:r>
      <w:r w:rsidRPr="00D00A95">
        <w:rPr>
          <w:sz w:val="22"/>
          <w:szCs w:val="22"/>
        </w:rPr>
        <w:t>Government. A key experience at Ta</w:t>
      </w:r>
      <w:r>
        <w:rPr>
          <w:sz w:val="22"/>
          <w:szCs w:val="22"/>
        </w:rPr>
        <w:t xml:space="preserve">njung Riau is that solid wastes </w:t>
      </w:r>
      <w:r w:rsidRPr="00D00A95">
        <w:rPr>
          <w:sz w:val="22"/>
          <w:szCs w:val="22"/>
        </w:rPr>
        <w:t>can be used to generate incom</w:t>
      </w:r>
      <w:r>
        <w:rPr>
          <w:sz w:val="22"/>
          <w:szCs w:val="22"/>
        </w:rPr>
        <w:t xml:space="preserve">e for the community, if managed </w:t>
      </w:r>
      <w:r w:rsidRPr="00D00A95">
        <w:rPr>
          <w:sz w:val="22"/>
          <w:szCs w:val="22"/>
        </w:rPr>
        <w:t>properly. This provides a positive</w:t>
      </w:r>
      <w:r>
        <w:rPr>
          <w:sz w:val="22"/>
          <w:szCs w:val="22"/>
        </w:rPr>
        <w:t xml:space="preserve"> example for use in encouraging </w:t>
      </w:r>
      <w:r w:rsidRPr="00D00A95">
        <w:rPr>
          <w:sz w:val="22"/>
          <w:szCs w:val="22"/>
        </w:rPr>
        <w:t>other village</w:t>
      </w:r>
      <w:r>
        <w:rPr>
          <w:sz w:val="22"/>
          <w:szCs w:val="22"/>
        </w:rPr>
        <w:t xml:space="preserve">s to establish similar systems. </w:t>
      </w:r>
    </w:p>
    <w:p w14:paraId="749854B2" w14:textId="77777777" w:rsidR="008F4245" w:rsidRPr="008F4245" w:rsidRDefault="008F4245" w:rsidP="008F4245">
      <w:pPr>
        <w:spacing w:after="120"/>
        <w:jc w:val="both"/>
        <w:rPr>
          <w:b/>
          <w:i/>
          <w:sz w:val="22"/>
          <w:szCs w:val="22"/>
        </w:rPr>
      </w:pPr>
      <w:r w:rsidRPr="008F4245">
        <w:rPr>
          <w:b/>
          <w:i/>
          <w:sz w:val="22"/>
          <w:szCs w:val="22"/>
        </w:rPr>
        <w:t>Valuing the impacts of land-based pollution</w:t>
      </w:r>
    </w:p>
    <w:p w14:paraId="12F63990" w14:textId="77777777" w:rsidR="00D4327E" w:rsidRPr="00830C98" w:rsidRDefault="00D4327E" w:rsidP="00D7194D">
      <w:pPr>
        <w:numPr>
          <w:ilvl w:val="0"/>
          <w:numId w:val="3"/>
        </w:numPr>
        <w:tabs>
          <w:tab w:val="left" w:pos="720"/>
        </w:tabs>
        <w:spacing w:after="120"/>
        <w:ind w:left="0" w:firstLine="0"/>
        <w:jc w:val="both"/>
        <w:rPr>
          <w:sz w:val="22"/>
          <w:szCs w:val="22"/>
        </w:rPr>
      </w:pPr>
      <w:r w:rsidRPr="00830C98">
        <w:rPr>
          <w:sz w:val="22"/>
          <w:szCs w:val="22"/>
        </w:rPr>
        <w:t>The Regional Task Force on Economic Valuation has developed a framework for the valuation of land-based pollution impacts on c</w:t>
      </w:r>
      <w:r>
        <w:rPr>
          <w:sz w:val="22"/>
          <w:szCs w:val="22"/>
        </w:rPr>
        <w:t>oastal habitats that includes: a</w:t>
      </w:r>
      <w:r w:rsidRPr="00830C98">
        <w:rPr>
          <w:sz w:val="22"/>
          <w:szCs w:val="22"/>
        </w:rPr>
        <w:t xml:space="preserve"> checklist of the impacts of land-based pollution on coastal habitats, specifying types of pollutants and their specific impacts on the four major habitats [mangroves, coral r</w:t>
      </w:r>
      <w:r>
        <w:rPr>
          <w:sz w:val="22"/>
          <w:szCs w:val="22"/>
        </w:rPr>
        <w:t>eefs, seagrass, and wetlands]; a f</w:t>
      </w:r>
      <w:r w:rsidRPr="00830C98">
        <w:rPr>
          <w:sz w:val="22"/>
          <w:szCs w:val="22"/>
        </w:rPr>
        <w:t>ramework for valuing the impacts of land-based pollution on the four habitat types, categorising the various specific impacts in the checklist into three categories, i.e. productivi</w:t>
      </w:r>
      <w:r>
        <w:rPr>
          <w:sz w:val="22"/>
          <w:szCs w:val="22"/>
        </w:rPr>
        <w:t>ty, amenity, and human welfare; and p</w:t>
      </w:r>
      <w:r w:rsidRPr="00830C98">
        <w:rPr>
          <w:sz w:val="22"/>
          <w:szCs w:val="22"/>
        </w:rPr>
        <w:t>rocedures to undertake valuation of impacts of land-based pollution on the four habitat types, in which valuation techniques, indicator of measurement, data needed, and notes and assumptions were described for each specific impact identified in the checklist and framework.</w:t>
      </w:r>
    </w:p>
    <w:p w14:paraId="0B0AF766" w14:textId="77777777" w:rsidR="00D4327E" w:rsidRDefault="00D4327E" w:rsidP="00D7194D">
      <w:pPr>
        <w:numPr>
          <w:ilvl w:val="0"/>
          <w:numId w:val="3"/>
        </w:numPr>
        <w:spacing w:after="120"/>
        <w:ind w:left="0" w:firstLine="0"/>
        <w:jc w:val="both"/>
        <w:rPr>
          <w:sz w:val="22"/>
          <w:szCs w:val="22"/>
        </w:rPr>
      </w:pPr>
      <w:r w:rsidRPr="00830C98">
        <w:rPr>
          <w:sz w:val="22"/>
          <w:szCs w:val="22"/>
        </w:rPr>
        <w:t xml:space="preserve">The impact checklist, the framework, and the procedures for valuing the impact on the coastal habitats have been reviewed and checked by the members of all Regional Working Groups </w:t>
      </w:r>
      <w:r>
        <w:rPr>
          <w:sz w:val="22"/>
          <w:szCs w:val="22"/>
        </w:rPr>
        <w:t>and guided adoption of SAP targets. It was identified that impacts</w:t>
      </w:r>
      <w:r w:rsidRPr="00830C98">
        <w:rPr>
          <w:sz w:val="22"/>
          <w:szCs w:val="22"/>
        </w:rPr>
        <w:t xml:space="preserve"> resulting from land-based pollution either cause reductions in production of specific resources which can be measured in terms of losses in market value; in loss of ecosystem services resulting from ecosystem level impacts; and economic lossesresulting from illness of individuals eating contaminated seafood. Detailed procedures for the economic evaluation of these impacts in terms of applicable valuation techniques for: productivity, amenity value, and human welfare are provided in the guidelines for economic valuation </w:t>
      </w:r>
      <w:r>
        <w:rPr>
          <w:sz w:val="22"/>
          <w:szCs w:val="22"/>
        </w:rPr>
        <w:t xml:space="preserve">adopted by the SCS project and which underpin the cost-benefits analysis of action versus non-action presented in the SAP </w:t>
      </w:r>
      <w:r w:rsidRPr="00830C98">
        <w:rPr>
          <w:sz w:val="22"/>
          <w:szCs w:val="22"/>
        </w:rPr>
        <w:t>(</w:t>
      </w:r>
      <w:r>
        <w:rPr>
          <w:sz w:val="22"/>
          <w:szCs w:val="22"/>
        </w:rPr>
        <w:t xml:space="preserve">the adopted guidelines on economic valuation were published as </w:t>
      </w:r>
      <w:r w:rsidRPr="00830C98">
        <w:rPr>
          <w:sz w:val="22"/>
          <w:szCs w:val="22"/>
        </w:rPr>
        <w:t xml:space="preserve">UNEP, </w:t>
      </w:r>
      <w:r w:rsidR="00125099" w:rsidRPr="00830C98">
        <w:rPr>
          <w:sz w:val="22"/>
          <w:szCs w:val="22"/>
        </w:rPr>
        <w:t>2007</w:t>
      </w:r>
      <w:r w:rsidR="00125099">
        <w:rPr>
          <w:sz w:val="22"/>
          <w:szCs w:val="22"/>
        </w:rPr>
        <w:t>h</w:t>
      </w:r>
      <w:r>
        <w:rPr>
          <w:sz w:val="22"/>
          <w:szCs w:val="22"/>
        </w:rPr>
        <w:t>).</w:t>
      </w:r>
    </w:p>
    <w:p w14:paraId="3EC1AC5E" w14:textId="77777777" w:rsidR="00B47236" w:rsidRPr="00B47236" w:rsidRDefault="00B47236" w:rsidP="00B47236">
      <w:pPr>
        <w:spacing w:after="120"/>
        <w:rPr>
          <w:b/>
          <w:i/>
          <w:sz w:val="22"/>
          <w:szCs w:val="22"/>
        </w:rPr>
      </w:pPr>
      <w:r w:rsidRPr="00B47236">
        <w:rPr>
          <w:b/>
          <w:i/>
          <w:sz w:val="22"/>
          <w:szCs w:val="22"/>
        </w:rPr>
        <w:t>Modelling the carrying capacity of the SCS marine basin with respect to nutrients</w:t>
      </w:r>
    </w:p>
    <w:p w14:paraId="26FE6159" w14:textId="77777777" w:rsidR="00B47236" w:rsidRPr="00830C98" w:rsidRDefault="00B47236" w:rsidP="00B47236">
      <w:pPr>
        <w:numPr>
          <w:ilvl w:val="0"/>
          <w:numId w:val="3"/>
        </w:numPr>
        <w:spacing w:after="120"/>
        <w:ind w:left="0" w:firstLine="0"/>
        <w:jc w:val="both"/>
        <w:rPr>
          <w:sz w:val="22"/>
          <w:szCs w:val="22"/>
        </w:rPr>
      </w:pPr>
      <w:r w:rsidRPr="00830C98">
        <w:rPr>
          <w:sz w:val="22"/>
          <w:szCs w:val="22"/>
        </w:rPr>
        <w:t>As part of the overall work of the project on the impacts of land-based pollution a model was developed to evaluate the sensitivity of coastal ecosystems to changes in nutrient flux from land via rivers. The model is based on the relationship between chlorophyll and nutrient concentration and was developed by SEA START RC using river runoff data and remote sensing information of monthly chlorophyll concentration in the surface waters of the</w:t>
      </w:r>
      <w:r>
        <w:rPr>
          <w:sz w:val="22"/>
          <w:szCs w:val="22"/>
        </w:rPr>
        <w:t xml:space="preserve"> South China Sea (UNEP, 2007a). </w:t>
      </w:r>
      <w:r w:rsidRPr="00830C98">
        <w:rPr>
          <w:sz w:val="22"/>
          <w:szCs w:val="22"/>
        </w:rPr>
        <w:t>Marine water along the Philippine coast from Luzon to the Palawan Islands were found to have the highest assimilative capacity and this part of the South China Sea is never likely to become eutrophic. However, this does not apply to the potential eutrophication of bays and estuaries that were not the focus of this model. The Gulf of Thailand was also found to have a high assimilative capacity while areas with low assimilative capacity include for example the southern co</w:t>
      </w:r>
      <w:r>
        <w:rPr>
          <w:sz w:val="22"/>
          <w:szCs w:val="22"/>
        </w:rPr>
        <w:t>a</w:t>
      </w:r>
      <w:r w:rsidRPr="00830C98">
        <w:rPr>
          <w:sz w:val="22"/>
          <w:szCs w:val="22"/>
        </w:rPr>
        <w:t>st of China, central Viet Nam, Peninsular Malaysia and the Straits of Malacca (UNEP, 2007a)</w:t>
      </w:r>
      <w:r>
        <w:rPr>
          <w:sz w:val="22"/>
          <w:szCs w:val="22"/>
        </w:rPr>
        <w:t>.</w:t>
      </w:r>
    </w:p>
    <w:p w14:paraId="07E96CF3" w14:textId="77777777" w:rsidR="002014E1" w:rsidRDefault="00B47236" w:rsidP="00AF67E1">
      <w:pPr>
        <w:numPr>
          <w:ilvl w:val="0"/>
          <w:numId w:val="3"/>
        </w:numPr>
        <w:tabs>
          <w:tab w:val="left" w:pos="720"/>
        </w:tabs>
        <w:spacing w:after="120"/>
        <w:ind w:left="0" w:firstLine="0"/>
        <w:jc w:val="both"/>
        <w:rPr>
          <w:sz w:val="22"/>
          <w:szCs w:val="22"/>
        </w:rPr>
      </w:pPr>
      <w:r w:rsidRPr="00830C98">
        <w:rPr>
          <w:sz w:val="22"/>
          <w:szCs w:val="22"/>
        </w:rPr>
        <w:t xml:space="preserve">The </w:t>
      </w:r>
      <w:r>
        <w:rPr>
          <w:sz w:val="22"/>
          <w:szCs w:val="22"/>
        </w:rPr>
        <w:t xml:space="preserve">work of the SCS project in this area resulted in a </w:t>
      </w:r>
      <w:r w:rsidRPr="00830C98">
        <w:rPr>
          <w:sz w:val="22"/>
          <w:szCs w:val="22"/>
        </w:rPr>
        <w:t>tool and trained people in each country to undertake modelling of different scenarios of nutrient inputs to coastal waters. The model can be run to estimate the monthly ‘effective’ loading of total nutrient from any catchment, as point or non-point loading. The model output in chlorophyll equivalent units can be converted to nutrient elements, such as N, using a Chlorophyll to nutrient ratio. The model can be used to simulate the monthly responses of the chlorophyll biomass in any area of the South China Sea (at a resolution 0.1</w:t>
      </w:r>
      <w:r w:rsidRPr="00B47236">
        <w:rPr>
          <w:sz w:val="22"/>
          <w:szCs w:val="22"/>
          <w:vertAlign w:val="superscript"/>
        </w:rPr>
        <w:t>o</w:t>
      </w:r>
      <w:r w:rsidRPr="00830C98">
        <w:rPr>
          <w:sz w:val="22"/>
          <w:szCs w:val="22"/>
        </w:rPr>
        <w:t xml:space="preserve"> x 0.1</w:t>
      </w:r>
      <w:r w:rsidRPr="00B47236">
        <w:rPr>
          <w:sz w:val="22"/>
          <w:szCs w:val="22"/>
          <w:vertAlign w:val="superscript"/>
        </w:rPr>
        <w:t>o</w:t>
      </w:r>
      <w:r w:rsidRPr="00830C98">
        <w:rPr>
          <w:sz w:val="22"/>
          <w:szCs w:val="22"/>
        </w:rPr>
        <w:t>) to different loading scenarios and to estimate the maximum monthly load of nutrient from any selected catchment that would ensure the chlorophyll-defined biomass remains under a pre-defined limit</w:t>
      </w:r>
      <w:r>
        <w:rPr>
          <w:sz w:val="22"/>
          <w:szCs w:val="22"/>
        </w:rPr>
        <w:t xml:space="preserve">. It is reiterated that the results of this </w:t>
      </w:r>
      <w:r w:rsidR="00AF67E1">
        <w:rPr>
          <w:sz w:val="22"/>
          <w:szCs w:val="22"/>
        </w:rPr>
        <w:t xml:space="preserve">modeling </w:t>
      </w:r>
      <w:r w:rsidR="00AF67E1" w:rsidRPr="00AF67E1">
        <w:rPr>
          <w:sz w:val="22"/>
          <w:szCs w:val="22"/>
        </w:rPr>
        <w:t>demonstrating that, while nutrient pollution of the South China Sea is important from a local perspective, it is not significant from the transboundary perspective of basin-wide assimilative capacity</w:t>
      </w:r>
      <w:r w:rsidR="00077FB6">
        <w:rPr>
          <w:sz w:val="22"/>
          <w:szCs w:val="22"/>
        </w:rPr>
        <w:t>.</w:t>
      </w:r>
    </w:p>
    <w:p w14:paraId="2105630C" w14:textId="77777777" w:rsidR="00AF67E1" w:rsidRPr="00AF67E1" w:rsidRDefault="00AF67E1" w:rsidP="00AF67E1">
      <w:pPr>
        <w:numPr>
          <w:ilvl w:val="3"/>
          <w:numId w:val="2"/>
        </w:numPr>
        <w:spacing w:after="120"/>
        <w:outlineLvl w:val="1"/>
        <w:rPr>
          <w:b/>
          <w:sz w:val="22"/>
          <w:szCs w:val="22"/>
          <w:lang w:val="en-GB"/>
        </w:rPr>
      </w:pPr>
      <w:r>
        <w:rPr>
          <w:b/>
          <w:sz w:val="22"/>
          <w:szCs w:val="22"/>
          <w:lang w:val="en-GB"/>
        </w:rPr>
        <w:t>Strategy for future action to address land-based pollution</w:t>
      </w:r>
    </w:p>
    <w:p w14:paraId="66B582BF" w14:textId="77777777" w:rsidR="00B8463A" w:rsidRDefault="00AF67E1" w:rsidP="00AF67E1">
      <w:pPr>
        <w:numPr>
          <w:ilvl w:val="0"/>
          <w:numId w:val="3"/>
        </w:numPr>
        <w:spacing w:after="120"/>
        <w:ind w:left="0" w:firstLine="0"/>
        <w:jc w:val="both"/>
        <w:rPr>
          <w:sz w:val="22"/>
          <w:szCs w:val="22"/>
          <w:lang w:val="en-GB"/>
        </w:rPr>
      </w:pPr>
      <w:r w:rsidRPr="00AF67E1">
        <w:rPr>
          <w:sz w:val="22"/>
          <w:szCs w:val="22"/>
          <w:lang w:val="en-GB"/>
        </w:rPr>
        <w:t>Countries bordering the South China Sea are experiencing problems with pollutants such as nutrients and organic wastes in their coastal waters. These contaminants are derived mainly from sewage and agricultural discharge and if left unmanaged could lead to eutrophication, decline in living resources, and impacts on human health. Current land-based pollution management practices differ between countries. Most countries have environmental laws which require the establishment of standards and enforcement to ensure compliance. In order to meet standards and regulations stipulated under the law, structural facilities like waste water treatment plants are required, yet often the financial resources to invest in such infrastructure are lacking.</w:t>
      </w:r>
      <w:r>
        <w:rPr>
          <w:sz w:val="22"/>
          <w:szCs w:val="22"/>
          <w:lang w:val="en-GB"/>
        </w:rPr>
        <w:t xml:space="preserve"> The scale of action required to address issues of national pollution are being supporting through the GEF financed PEMSEA.</w:t>
      </w:r>
    </w:p>
    <w:p w14:paraId="5C65CCDA" w14:textId="77777777" w:rsidR="00AF67E1" w:rsidRPr="00830C98" w:rsidRDefault="00AF67E1" w:rsidP="00AF67E1">
      <w:pPr>
        <w:numPr>
          <w:ilvl w:val="0"/>
          <w:numId w:val="3"/>
        </w:numPr>
        <w:spacing w:after="120"/>
        <w:ind w:left="0" w:firstLine="0"/>
        <w:jc w:val="both"/>
        <w:rPr>
          <w:sz w:val="22"/>
          <w:szCs w:val="22"/>
        </w:rPr>
      </w:pPr>
      <w:r w:rsidRPr="00830C98">
        <w:rPr>
          <w:sz w:val="22"/>
          <w:szCs w:val="22"/>
        </w:rPr>
        <w:t xml:space="preserve">All countries in the region require an Environmental </w:t>
      </w:r>
      <w:r w:rsidR="00B93F6A">
        <w:rPr>
          <w:sz w:val="22"/>
          <w:szCs w:val="22"/>
        </w:rPr>
        <w:t xml:space="preserve">Impact </w:t>
      </w:r>
      <w:r w:rsidRPr="00830C98">
        <w:rPr>
          <w:sz w:val="22"/>
          <w:szCs w:val="22"/>
        </w:rPr>
        <w:t>Assessment (EIA) prior to initiating a major development project and all have programmes to increase environmental awareness, and educate the public regarding environmental issues. In addition, monitoring of pollution discharge points and water quality monitoring is also currently undert</w:t>
      </w:r>
      <w:r>
        <w:rPr>
          <w:sz w:val="22"/>
          <w:szCs w:val="22"/>
        </w:rPr>
        <w:t xml:space="preserve">aken by all countries. </w:t>
      </w:r>
      <w:r w:rsidRPr="00830C98">
        <w:rPr>
          <w:sz w:val="22"/>
          <w:szCs w:val="22"/>
        </w:rPr>
        <w:t xml:space="preserve">Although these management practices are in place some countries lack the capacity to enforce the Environmental Acts due to limited budgets and manpower. Private sector waste producers generally do not have treatment facilities resulting in a low level of compliance with standards stipulated under the law. </w:t>
      </w:r>
    </w:p>
    <w:p w14:paraId="48709D83" w14:textId="77777777" w:rsidR="00AF67E1" w:rsidRDefault="00AF67E1" w:rsidP="00AF67E1">
      <w:pPr>
        <w:numPr>
          <w:ilvl w:val="0"/>
          <w:numId w:val="3"/>
        </w:numPr>
        <w:spacing w:after="120"/>
        <w:ind w:left="0" w:firstLine="0"/>
        <w:jc w:val="both"/>
        <w:rPr>
          <w:sz w:val="22"/>
          <w:szCs w:val="22"/>
        </w:rPr>
      </w:pPr>
      <w:r w:rsidRPr="00830C98">
        <w:rPr>
          <w:sz w:val="22"/>
          <w:szCs w:val="22"/>
        </w:rPr>
        <w:t>Monitoring programmes for some countries involve extensive numbers of sites, but the data collected are not used appropriately, being used merely for the publication and dissemination of annual an</w:t>
      </w:r>
      <w:r>
        <w:rPr>
          <w:sz w:val="22"/>
          <w:szCs w:val="22"/>
        </w:rPr>
        <w:t xml:space="preserve">d environment quality reports. </w:t>
      </w:r>
      <w:r w:rsidRPr="00830C98">
        <w:rPr>
          <w:sz w:val="22"/>
          <w:szCs w:val="22"/>
        </w:rPr>
        <w:t xml:space="preserve">In order to address the key challenges and weakness in land-based pollution management, the </w:t>
      </w:r>
      <w:r>
        <w:rPr>
          <w:sz w:val="22"/>
          <w:szCs w:val="22"/>
        </w:rPr>
        <w:t xml:space="preserve">SAP promotes </w:t>
      </w:r>
      <w:r w:rsidRPr="00830C98">
        <w:rPr>
          <w:sz w:val="22"/>
          <w:szCs w:val="22"/>
        </w:rPr>
        <w:t>targets for land-based pollution including the setting and maintaining of region-wide water quality standards and water quality objectives which will assist in maintaining coastal ecosystem health.</w:t>
      </w:r>
      <w:r>
        <w:rPr>
          <w:sz w:val="22"/>
          <w:szCs w:val="22"/>
        </w:rPr>
        <w:t xml:space="preserve"> Modelling of carrying capacity of the marine basin with respect to heavy metals is among the regional priorities.</w:t>
      </w:r>
    </w:p>
    <w:p w14:paraId="23578E06" w14:textId="77777777" w:rsidR="00191B26" w:rsidRDefault="00191B26" w:rsidP="00CC7825">
      <w:pPr>
        <w:numPr>
          <w:ilvl w:val="2"/>
          <w:numId w:val="2"/>
        </w:numPr>
        <w:spacing w:after="120"/>
        <w:outlineLvl w:val="1"/>
        <w:rPr>
          <w:b/>
          <w:sz w:val="22"/>
          <w:szCs w:val="22"/>
          <w:lang w:val="en-GB"/>
        </w:rPr>
      </w:pPr>
      <w:r>
        <w:rPr>
          <w:b/>
          <w:sz w:val="22"/>
          <w:szCs w:val="22"/>
          <w:lang w:val="en-GB"/>
        </w:rPr>
        <w:t xml:space="preserve">National and Regional Economic Values for </w:t>
      </w:r>
      <w:r w:rsidR="001D35FF">
        <w:rPr>
          <w:b/>
          <w:sz w:val="22"/>
          <w:szCs w:val="22"/>
          <w:lang w:val="en-GB"/>
        </w:rPr>
        <w:t>Coastal Habitat</w:t>
      </w:r>
      <w:r>
        <w:rPr>
          <w:b/>
          <w:sz w:val="22"/>
          <w:szCs w:val="22"/>
          <w:lang w:val="en-GB"/>
        </w:rPr>
        <w:t xml:space="preserve"> Goods and Services</w:t>
      </w:r>
    </w:p>
    <w:p w14:paraId="70F03114" w14:textId="77777777" w:rsidR="00CC7825" w:rsidRPr="00CC7825" w:rsidRDefault="00CC7825" w:rsidP="00CC7825">
      <w:pPr>
        <w:numPr>
          <w:ilvl w:val="3"/>
          <w:numId w:val="2"/>
        </w:numPr>
        <w:spacing w:after="120"/>
        <w:outlineLvl w:val="1"/>
        <w:rPr>
          <w:b/>
          <w:sz w:val="22"/>
          <w:szCs w:val="22"/>
          <w:lang w:val="en-GB"/>
        </w:rPr>
      </w:pPr>
      <w:r>
        <w:rPr>
          <w:b/>
          <w:sz w:val="22"/>
          <w:szCs w:val="22"/>
          <w:lang w:val="en-GB"/>
        </w:rPr>
        <w:t>Determining regionally applicable economic values for environmental goods and services</w:t>
      </w:r>
    </w:p>
    <w:p w14:paraId="4997AF3F" w14:textId="77777777" w:rsidR="00AF67E1" w:rsidRDefault="00CC7825" w:rsidP="00CC7825">
      <w:pPr>
        <w:numPr>
          <w:ilvl w:val="0"/>
          <w:numId w:val="3"/>
        </w:numPr>
        <w:spacing w:after="120"/>
        <w:ind w:left="0" w:firstLine="0"/>
        <w:jc w:val="both"/>
        <w:rPr>
          <w:sz w:val="22"/>
          <w:szCs w:val="22"/>
          <w:lang w:val="en-GB"/>
        </w:rPr>
      </w:pPr>
      <w:r w:rsidRPr="00CC7825">
        <w:rPr>
          <w:sz w:val="22"/>
          <w:szCs w:val="22"/>
          <w:lang w:val="en-GB"/>
        </w:rPr>
        <w:t>The challenge facing the SCS project was that the only "ecosystem values" readily available were those of Costanza et al. (1997) that were based on global data and have subsequently been challenged on both economic and scientific grounds. The Project Steering Committee, composed solely of participating government representatives insisted not only that the project activities include the revision of the SAP but also the determination of regionally applicable economic values for environmental goods and services. Initially, the plan was for each national working group to review the economic data and information relating to their areas of expertise (mangroves, coral reefs, seagrass, wetlands, fisheries and land-based pollution) and to assemble data sets that would enable some form of regional analysis of values to be undertaken by the regional working groups.</w:t>
      </w:r>
    </w:p>
    <w:p w14:paraId="5B2ADBC7" w14:textId="77777777" w:rsidR="00CC7825" w:rsidRDefault="00CC7825" w:rsidP="00CC7825">
      <w:pPr>
        <w:numPr>
          <w:ilvl w:val="0"/>
          <w:numId w:val="3"/>
        </w:numPr>
        <w:spacing w:after="120"/>
        <w:ind w:left="0" w:firstLine="0"/>
        <w:jc w:val="both"/>
        <w:rPr>
          <w:sz w:val="22"/>
          <w:szCs w:val="22"/>
        </w:rPr>
      </w:pPr>
      <w:r w:rsidRPr="00A11A5C">
        <w:rPr>
          <w:sz w:val="22"/>
          <w:szCs w:val="22"/>
        </w:rPr>
        <w:t xml:space="preserve">It became apparent by the </w:t>
      </w:r>
      <w:r>
        <w:rPr>
          <w:sz w:val="22"/>
          <w:szCs w:val="22"/>
        </w:rPr>
        <w:t xml:space="preserve">end of the preparatory phase of the SCS project </w:t>
      </w:r>
      <w:r w:rsidRPr="00A11A5C">
        <w:rPr>
          <w:sz w:val="22"/>
          <w:szCs w:val="22"/>
        </w:rPr>
        <w:t>that</w:t>
      </w:r>
      <w:r>
        <w:rPr>
          <w:sz w:val="22"/>
          <w:szCs w:val="22"/>
        </w:rPr>
        <w:t>,</w:t>
      </w:r>
      <w:r w:rsidRPr="00A11A5C">
        <w:rPr>
          <w:sz w:val="22"/>
          <w:szCs w:val="22"/>
        </w:rPr>
        <w:t xml:space="preserve"> the national working groups contained specialists in the subject matter with few or no economists amongst the members. The Project Steering Committee therefore decided to establish a Regional Task Force on Economic Valuation (RTF-E) consisting of nine economists from the region charged with providing economic assistance and advice to the national and regional working groups addressing habitat, fisheries and pollution issues and determining “regionally applicable economic values for env</w:t>
      </w:r>
      <w:r>
        <w:rPr>
          <w:sz w:val="22"/>
          <w:szCs w:val="22"/>
        </w:rPr>
        <w:t xml:space="preserve">ironmental goods and services”. That task force </w:t>
      </w:r>
      <w:r w:rsidRPr="00A11A5C">
        <w:rPr>
          <w:sz w:val="22"/>
          <w:szCs w:val="22"/>
        </w:rPr>
        <w:t>reviewed the data and information assembled by the regional working groups and provided advice regarding the further elaboration and refinement of these data sets. In addition, work commenced on the development of simple guidelines for the conduct of economic valuation studies that could be applied during the implementation of demonstration site activities, particularly in support of the activities concerned with sustainable financing of the management regime and the assessment of alternative livelihoods and sources of income.</w:t>
      </w:r>
    </w:p>
    <w:p w14:paraId="163E3D9C" w14:textId="77777777" w:rsidR="00CC7825" w:rsidRPr="00722EEA" w:rsidRDefault="00CC7825" w:rsidP="00CC7825">
      <w:pPr>
        <w:numPr>
          <w:ilvl w:val="0"/>
          <w:numId w:val="3"/>
        </w:numPr>
        <w:spacing w:after="120"/>
        <w:ind w:left="0" w:firstLine="0"/>
        <w:jc w:val="both"/>
        <w:rPr>
          <w:sz w:val="22"/>
          <w:szCs w:val="22"/>
        </w:rPr>
      </w:pPr>
      <w:r>
        <w:rPr>
          <w:sz w:val="22"/>
          <w:szCs w:val="22"/>
        </w:rPr>
        <w:t xml:space="preserve">The </w:t>
      </w:r>
      <w:r w:rsidRPr="00722EEA">
        <w:rPr>
          <w:sz w:val="22"/>
          <w:szCs w:val="22"/>
        </w:rPr>
        <w:t xml:space="preserve">Project Steering Committee </w:t>
      </w:r>
      <w:r>
        <w:rPr>
          <w:sz w:val="22"/>
          <w:szCs w:val="22"/>
        </w:rPr>
        <w:t>subsequently</w:t>
      </w:r>
      <w:r w:rsidRPr="00722EEA">
        <w:rPr>
          <w:sz w:val="22"/>
          <w:szCs w:val="22"/>
        </w:rPr>
        <w:t xml:space="preserve"> allocate</w:t>
      </w:r>
      <w:r>
        <w:rPr>
          <w:sz w:val="22"/>
          <w:szCs w:val="22"/>
        </w:rPr>
        <w:t>d</w:t>
      </w:r>
      <w:r w:rsidRPr="00722EEA">
        <w:rPr>
          <w:sz w:val="22"/>
          <w:szCs w:val="22"/>
        </w:rPr>
        <w:t xml:space="preserve"> funds to the Regional Task Force to assemble an empirical dataset of economic values of goods and services provided by the coastal ecotones bordering the South China Sea. </w:t>
      </w:r>
      <w:r>
        <w:rPr>
          <w:sz w:val="22"/>
          <w:szCs w:val="22"/>
        </w:rPr>
        <w:t xml:space="preserve">The </w:t>
      </w:r>
      <w:r w:rsidRPr="00722EEA">
        <w:rPr>
          <w:sz w:val="22"/>
          <w:szCs w:val="22"/>
        </w:rPr>
        <w:t>task force assembled such data that were comprehensively reviewed during the two meetings of the Task Force convene</w:t>
      </w:r>
      <w:r>
        <w:rPr>
          <w:sz w:val="22"/>
          <w:szCs w:val="22"/>
        </w:rPr>
        <w:t xml:space="preserve">d in 2006 (UNEP, </w:t>
      </w:r>
      <w:r w:rsidR="00947B9C">
        <w:rPr>
          <w:sz w:val="22"/>
          <w:szCs w:val="22"/>
        </w:rPr>
        <w:t>2006b</w:t>
      </w:r>
      <w:r>
        <w:rPr>
          <w:sz w:val="22"/>
          <w:szCs w:val="22"/>
        </w:rPr>
        <w:t>; 2006</w:t>
      </w:r>
      <w:r w:rsidR="00947B9C">
        <w:rPr>
          <w:sz w:val="22"/>
          <w:szCs w:val="22"/>
        </w:rPr>
        <w:t>c</w:t>
      </w:r>
      <w:r>
        <w:rPr>
          <w:sz w:val="22"/>
          <w:szCs w:val="22"/>
        </w:rPr>
        <w:t xml:space="preserve">). </w:t>
      </w:r>
      <w:r w:rsidRPr="00722EEA">
        <w:rPr>
          <w:sz w:val="22"/>
          <w:szCs w:val="22"/>
        </w:rPr>
        <w:t xml:space="preserve">Data were taken from published sources in the international literature and from the “grey” literature of government reports. The focus was on data derived from studies along the coasts of the South China Sea although, in some instances, data from elsewhere in the seven participating countries were included. Data </w:t>
      </w:r>
      <w:r>
        <w:rPr>
          <w:sz w:val="22"/>
          <w:szCs w:val="22"/>
        </w:rPr>
        <w:t xml:space="preserve">used </w:t>
      </w:r>
      <w:r w:rsidRPr="00722EEA">
        <w:rPr>
          <w:sz w:val="22"/>
          <w:szCs w:val="22"/>
        </w:rPr>
        <w:t xml:space="preserve">represent “Farm Gate Prices” and this is assumed to be equivalent to the value of natural production, i.e., the value of the labour involved in harvesting is considered negligible in comparison with the “value” of the natural production. Data derived from secondary markets </w:t>
      </w:r>
      <w:r>
        <w:rPr>
          <w:sz w:val="22"/>
          <w:szCs w:val="22"/>
        </w:rPr>
        <w:t>were</w:t>
      </w:r>
      <w:r w:rsidRPr="00722EEA">
        <w:rPr>
          <w:sz w:val="22"/>
          <w:szCs w:val="22"/>
        </w:rPr>
        <w:t xml:space="preserve"> included because the value added cannot be accurately determined in most cases. </w:t>
      </w:r>
    </w:p>
    <w:p w14:paraId="6CCE34C1" w14:textId="77777777" w:rsidR="00D97EF8" w:rsidRDefault="00CC7825" w:rsidP="00CC7825">
      <w:pPr>
        <w:numPr>
          <w:ilvl w:val="0"/>
          <w:numId w:val="3"/>
        </w:numPr>
        <w:spacing w:after="120"/>
        <w:ind w:left="0" w:firstLine="0"/>
        <w:jc w:val="both"/>
        <w:rPr>
          <w:sz w:val="22"/>
          <w:szCs w:val="22"/>
        </w:rPr>
      </w:pPr>
      <w:r w:rsidRPr="00722EEA">
        <w:rPr>
          <w:sz w:val="22"/>
          <w:szCs w:val="22"/>
        </w:rPr>
        <w:t xml:space="preserve">As the </w:t>
      </w:r>
      <w:r>
        <w:rPr>
          <w:sz w:val="22"/>
          <w:szCs w:val="22"/>
        </w:rPr>
        <w:t>compiled data were</w:t>
      </w:r>
      <w:r w:rsidRPr="00722EEA">
        <w:rPr>
          <w:sz w:val="22"/>
          <w:szCs w:val="22"/>
        </w:rPr>
        <w:t xml:space="preserve"> derived from diverse studies undertaken over the course of some twenty years, the methods used to undertake the valuations differ, as</w:t>
      </w:r>
      <w:r>
        <w:rPr>
          <w:sz w:val="22"/>
          <w:szCs w:val="22"/>
        </w:rPr>
        <w:t xml:space="preserve"> did</w:t>
      </w:r>
      <w:r w:rsidRPr="00722EEA">
        <w:rPr>
          <w:sz w:val="22"/>
          <w:szCs w:val="22"/>
        </w:rPr>
        <w:t xml:space="preserve"> the forms of the actual data and information contained in the publications and reports. Every attempt </w:t>
      </w:r>
      <w:r>
        <w:rPr>
          <w:sz w:val="22"/>
          <w:szCs w:val="22"/>
        </w:rPr>
        <w:t>was</w:t>
      </w:r>
      <w:r w:rsidRPr="00722EEA">
        <w:rPr>
          <w:sz w:val="22"/>
          <w:szCs w:val="22"/>
        </w:rPr>
        <w:t xml:space="preserve"> made to ensure that the data contained in the final tabulations were based on primary data collection and did not represent merely the use of values derived elsewhere.</w:t>
      </w:r>
      <w:r>
        <w:rPr>
          <w:sz w:val="22"/>
          <w:szCs w:val="22"/>
        </w:rPr>
        <w:t xml:space="preserve"> </w:t>
      </w:r>
      <w:r w:rsidRPr="00722EEA">
        <w:rPr>
          <w:sz w:val="22"/>
          <w:szCs w:val="22"/>
        </w:rPr>
        <w:t xml:space="preserve">In order to ensure that values </w:t>
      </w:r>
      <w:r>
        <w:rPr>
          <w:sz w:val="22"/>
          <w:szCs w:val="22"/>
        </w:rPr>
        <w:t>were regionally</w:t>
      </w:r>
      <w:r w:rsidRPr="00722EEA">
        <w:rPr>
          <w:sz w:val="22"/>
          <w:szCs w:val="22"/>
        </w:rPr>
        <w:t xml:space="preserve"> comparable, all data </w:t>
      </w:r>
      <w:r>
        <w:rPr>
          <w:sz w:val="22"/>
          <w:szCs w:val="22"/>
        </w:rPr>
        <w:t>were</w:t>
      </w:r>
      <w:r w:rsidRPr="00722EEA">
        <w:rPr>
          <w:sz w:val="22"/>
          <w:szCs w:val="22"/>
        </w:rPr>
        <w:t xml:space="preserve"> expressed as production values in US dollars per hectare per annum, including the values for ecosystem services. </w:t>
      </w:r>
    </w:p>
    <w:p w14:paraId="3DCABAF6" w14:textId="77777777" w:rsidR="00CC7825" w:rsidRDefault="00CC7825" w:rsidP="00CC7825">
      <w:pPr>
        <w:numPr>
          <w:ilvl w:val="0"/>
          <w:numId w:val="3"/>
        </w:numPr>
        <w:spacing w:after="120"/>
        <w:ind w:left="0" w:firstLine="0"/>
        <w:jc w:val="both"/>
        <w:rPr>
          <w:sz w:val="22"/>
          <w:szCs w:val="22"/>
        </w:rPr>
      </w:pPr>
      <w:r w:rsidRPr="00722EEA">
        <w:rPr>
          <w:sz w:val="22"/>
          <w:szCs w:val="22"/>
        </w:rPr>
        <w:t xml:space="preserve">Values </w:t>
      </w:r>
      <w:r>
        <w:rPr>
          <w:sz w:val="22"/>
          <w:szCs w:val="22"/>
        </w:rPr>
        <w:t>were</w:t>
      </w:r>
      <w:r w:rsidRPr="00722EEA">
        <w:rPr>
          <w:sz w:val="22"/>
          <w:szCs w:val="22"/>
        </w:rPr>
        <w:t xml:space="preserve"> converted to a standard year (2005) by means of the Consumer Price Index (UNEP, </w:t>
      </w:r>
      <w:r w:rsidR="00947B9C" w:rsidRPr="00722EEA">
        <w:rPr>
          <w:sz w:val="22"/>
          <w:szCs w:val="22"/>
        </w:rPr>
        <w:t>2007</w:t>
      </w:r>
      <w:r w:rsidR="00947B9C">
        <w:rPr>
          <w:sz w:val="22"/>
          <w:szCs w:val="22"/>
        </w:rPr>
        <w:t>j</w:t>
      </w:r>
      <w:r w:rsidRPr="00722EEA">
        <w:rPr>
          <w:sz w:val="22"/>
          <w:szCs w:val="22"/>
        </w:rPr>
        <w:t xml:space="preserve">) and values in local currency </w:t>
      </w:r>
      <w:r>
        <w:rPr>
          <w:sz w:val="22"/>
          <w:szCs w:val="22"/>
        </w:rPr>
        <w:t>were</w:t>
      </w:r>
      <w:r w:rsidRPr="00722EEA">
        <w:rPr>
          <w:sz w:val="22"/>
          <w:szCs w:val="22"/>
        </w:rPr>
        <w:t xml:space="preserve"> converted to US dollars using the 2005 exchange rate. Tables 1 to 8 of Annex 4 of the report of the seventh meeting of the RTF-E (UNEP, 2007</w:t>
      </w:r>
      <w:r w:rsidR="00947B9C">
        <w:rPr>
          <w:sz w:val="22"/>
          <w:szCs w:val="22"/>
        </w:rPr>
        <w:t>j</w:t>
      </w:r>
      <w:r w:rsidRPr="00722EEA">
        <w:rPr>
          <w:sz w:val="22"/>
          <w:szCs w:val="22"/>
        </w:rPr>
        <w:t>) present the empirical data and derived values for the</w:t>
      </w:r>
      <w:r>
        <w:rPr>
          <w:sz w:val="22"/>
          <w:szCs w:val="22"/>
        </w:rPr>
        <w:t xml:space="preserve"> goods and services provided by </w:t>
      </w:r>
      <w:r w:rsidRPr="00722EEA">
        <w:rPr>
          <w:sz w:val="22"/>
          <w:szCs w:val="22"/>
        </w:rPr>
        <w:t xml:space="preserve">mangroves, coral reefs, seagrass and wetlands bordering the South China Sea. The largest volume of data relates to the mangrove habitat and these data are reproduced in Tables </w:t>
      </w:r>
      <w:r w:rsidR="00FB39A5">
        <w:rPr>
          <w:sz w:val="22"/>
          <w:szCs w:val="22"/>
        </w:rPr>
        <w:t>2</w:t>
      </w:r>
      <w:r>
        <w:rPr>
          <w:sz w:val="22"/>
          <w:szCs w:val="22"/>
        </w:rPr>
        <w:t xml:space="preserve"> and </w:t>
      </w:r>
      <w:r w:rsidR="00FB39A5">
        <w:rPr>
          <w:sz w:val="22"/>
          <w:szCs w:val="22"/>
        </w:rPr>
        <w:t>3</w:t>
      </w:r>
      <w:r w:rsidR="00B80C0C">
        <w:rPr>
          <w:sz w:val="22"/>
          <w:szCs w:val="22"/>
        </w:rPr>
        <w:t xml:space="preserve"> </w:t>
      </w:r>
      <w:r>
        <w:rPr>
          <w:sz w:val="22"/>
          <w:szCs w:val="22"/>
        </w:rPr>
        <w:t xml:space="preserve">below. </w:t>
      </w:r>
      <w:r w:rsidRPr="00722EEA">
        <w:rPr>
          <w:sz w:val="22"/>
          <w:szCs w:val="22"/>
        </w:rPr>
        <w:t>Discussion of the contents of these tables provides an overview of all the issues faced in agreeing upon the final data sets for all habitats for use in determining regional values.</w:t>
      </w:r>
    </w:p>
    <w:p w14:paraId="25734A1B" w14:textId="77777777" w:rsidR="00CC7825" w:rsidRPr="00722EEA" w:rsidRDefault="00CC7825" w:rsidP="00CC7825">
      <w:pPr>
        <w:numPr>
          <w:ilvl w:val="0"/>
          <w:numId w:val="3"/>
        </w:numPr>
        <w:spacing w:after="120"/>
        <w:ind w:left="0" w:firstLine="0"/>
        <w:jc w:val="both"/>
        <w:rPr>
          <w:sz w:val="22"/>
          <w:szCs w:val="22"/>
        </w:rPr>
      </w:pPr>
      <w:r w:rsidRPr="00722EEA">
        <w:rPr>
          <w:sz w:val="22"/>
          <w:szCs w:val="22"/>
        </w:rPr>
        <w:t xml:space="preserve">Surprisingly few data were available for either coral reefs or wetlands and </w:t>
      </w:r>
      <w:r>
        <w:rPr>
          <w:sz w:val="22"/>
          <w:szCs w:val="22"/>
        </w:rPr>
        <w:t>it was identified that this was most likely an</w:t>
      </w:r>
      <w:r w:rsidRPr="00722EEA">
        <w:rPr>
          <w:sz w:val="22"/>
          <w:szCs w:val="22"/>
        </w:rPr>
        <w:t xml:space="preserve"> artefact as scientific data and information tend to be highly compartmentalised in the participating countries and it is often not easy to access data from sources outside an individual’s own institution or organisation. The lack of data for seagrass habitats is less surprising because the actual extent of this habitat in the region </w:t>
      </w:r>
      <w:r>
        <w:rPr>
          <w:sz w:val="22"/>
          <w:szCs w:val="22"/>
        </w:rPr>
        <w:t>could not</w:t>
      </w:r>
      <w:r w:rsidRPr="00722EEA">
        <w:rPr>
          <w:sz w:val="22"/>
          <w:szCs w:val="22"/>
        </w:rPr>
        <w:t xml:space="preserve"> </w:t>
      </w:r>
      <w:r>
        <w:rPr>
          <w:sz w:val="22"/>
          <w:szCs w:val="22"/>
        </w:rPr>
        <w:t xml:space="preserve">be </w:t>
      </w:r>
      <w:r w:rsidRPr="00722EEA">
        <w:rPr>
          <w:sz w:val="22"/>
          <w:szCs w:val="22"/>
        </w:rPr>
        <w:t>accurately determined at th</w:t>
      </w:r>
      <w:r>
        <w:rPr>
          <w:sz w:val="22"/>
          <w:szCs w:val="22"/>
        </w:rPr>
        <w:t>at</w:t>
      </w:r>
      <w:r w:rsidRPr="00722EEA">
        <w:rPr>
          <w:sz w:val="22"/>
          <w:szCs w:val="22"/>
        </w:rPr>
        <w:t xml:space="preserve"> time and the numbers of scientists involved in the study of seagrass ecosystems</w:t>
      </w:r>
      <w:r w:rsidR="008165F0">
        <w:rPr>
          <w:sz w:val="22"/>
          <w:szCs w:val="22"/>
        </w:rPr>
        <w:t xml:space="preserve"> of the South China Sea marine basin</w:t>
      </w:r>
      <w:r w:rsidRPr="00722EEA">
        <w:rPr>
          <w:sz w:val="22"/>
          <w:szCs w:val="22"/>
        </w:rPr>
        <w:t xml:space="preserve"> is quite limited resulting in a comparatively small body of published literature. </w:t>
      </w:r>
    </w:p>
    <w:p w14:paraId="52EEC65F" w14:textId="77777777" w:rsidR="00FB39A5" w:rsidRDefault="00CC7825" w:rsidP="008165F0">
      <w:pPr>
        <w:numPr>
          <w:ilvl w:val="0"/>
          <w:numId w:val="3"/>
        </w:numPr>
        <w:spacing w:after="120"/>
        <w:ind w:left="0" w:firstLine="0"/>
        <w:jc w:val="both"/>
        <w:rPr>
          <w:sz w:val="22"/>
          <w:szCs w:val="22"/>
        </w:rPr>
      </w:pPr>
      <w:r w:rsidRPr="00722EEA">
        <w:rPr>
          <w:sz w:val="22"/>
          <w:szCs w:val="22"/>
        </w:rPr>
        <w:t xml:space="preserve">These data sets </w:t>
      </w:r>
      <w:r>
        <w:rPr>
          <w:sz w:val="22"/>
          <w:szCs w:val="22"/>
        </w:rPr>
        <w:t>were</w:t>
      </w:r>
      <w:r w:rsidRPr="00722EEA">
        <w:rPr>
          <w:sz w:val="22"/>
          <w:szCs w:val="22"/>
        </w:rPr>
        <w:t xml:space="preserve"> extensively discussed and reviewed by the regional task force and, where anomalies or questions remain unresolved or unanswered, the data </w:t>
      </w:r>
      <w:r>
        <w:rPr>
          <w:sz w:val="22"/>
          <w:szCs w:val="22"/>
        </w:rPr>
        <w:t>were</w:t>
      </w:r>
      <w:r w:rsidRPr="00722EEA">
        <w:rPr>
          <w:sz w:val="22"/>
          <w:szCs w:val="22"/>
        </w:rPr>
        <w:t xml:space="preserve"> excluded from further consideration. Such cel</w:t>
      </w:r>
      <w:r>
        <w:rPr>
          <w:sz w:val="22"/>
          <w:szCs w:val="22"/>
        </w:rPr>
        <w:t>ls are shaded in the</w:t>
      </w:r>
      <w:r w:rsidRPr="00722EEA">
        <w:rPr>
          <w:sz w:val="22"/>
          <w:szCs w:val="22"/>
        </w:rPr>
        <w:t xml:space="preserve"> tables</w:t>
      </w:r>
      <w:r>
        <w:rPr>
          <w:sz w:val="22"/>
          <w:szCs w:val="22"/>
        </w:rPr>
        <w:t xml:space="preserve"> presented in this section</w:t>
      </w:r>
      <w:r w:rsidRPr="00722EEA">
        <w:rPr>
          <w:sz w:val="22"/>
          <w:szCs w:val="22"/>
        </w:rPr>
        <w:t xml:space="preserve"> and it can be seen that a number of values for wild capture of fish, crab and prawns and for natural production of molluscs </w:t>
      </w:r>
      <w:r>
        <w:rPr>
          <w:sz w:val="22"/>
          <w:szCs w:val="22"/>
        </w:rPr>
        <w:t>were</w:t>
      </w:r>
      <w:r w:rsidRPr="00722EEA">
        <w:rPr>
          <w:sz w:val="22"/>
          <w:szCs w:val="22"/>
        </w:rPr>
        <w:t xml:space="preserve"> been excluded from further analysis as the values were considered by the task force to be too high to represent natural production and more likely represent production</w:t>
      </w:r>
      <w:r>
        <w:rPr>
          <w:sz w:val="22"/>
          <w:szCs w:val="22"/>
        </w:rPr>
        <w:t xml:space="preserve"> from some form of mariculture. </w:t>
      </w:r>
      <w:r w:rsidRPr="00722EEA">
        <w:rPr>
          <w:sz w:val="22"/>
          <w:szCs w:val="22"/>
        </w:rPr>
        <w:t xml:space="preserve">In the case of services, data </w:t>
      </w:r>
      <w:r w:rsidR="008165F0">
        <w:rPr>
          <w:sz w:val="22"/>
          <w:szCs w:val="22"/>
        </w:rPr>
        <w:t>were</w:t>
      </w:r>
      <w:r w:rsidRPr="00722EEA">
        <w:rPr>
          <w:sz w:val="22"/>
          <w:szCs w:val="22"/>
        </w:rPr>
        <w:t xml:space="preserve"> excluded from further consideration that </w:t>
      </w:r>
      <w:r w:rsidR="008165F0">
        <w:rPr>
          <w:sz w:val="22"/>
          <w:szCs w:val="22"/>
        </w:rPr>
        <w:t xml:space="preserve">the </w:t>
      </w:r>
      <w:r w:rsidRPr="00722EEA">
        <w:rPr>
          <w:sz w:val="22"/>
          <w:szCs w:val="22"/>
        </w:rPr>
        <w:t>task force</w:t>
      </w:r>
      <w:r w:rsidR="008165F0">
        <w:rPr>
          <w:sz w:val="22"/>
          <w:szCs w:val="22"/>
        </w:rPr>
        <w:t xml:space="preserve"> deemed</w:t>
      </w:r>
      <w:r w:rsidRPr="00722EEA">
        <w:rPr>
          <w:sz w:val="22"/>
          <w:szCs w:val="22"/>
        </w:rPr>
        <w:t xml:space="preserve"> to represent unrealistically high, or unrealistically low, values. The extremely high value for ecotourism for Youstefa Bay in Indonesia was excluded, for example, because this almost certainly represents the total annual value for all tourism at this location and not merely the value of tourism associated with the mangrove habitat in this Bay.</w:t>
      </w:r>
    </w:p>
    <w:p w14:paraId="2D3D1F2D" w14:textId="77777777" w:rsidR="00FB39A5" w:rsidRDefault="00CC7825" w:rsidP="00FB39A5">
      <w:pPr>
        <w:spacing w:after="120"/>
        <w:jc w:val="both"/>
        <w:rPr>
          <w:sz w:val="22"/>
          <w:szCs w:val="22"/>
        </w:rPr>
        <w:sectPr w:rsidR="00FB39A5" w:rsidSect="00064925">
          <w:pgSz w:w="12240" w:h="15840" w:code="1"/>
          <w:pgMar w:top="1440" w:right="1584" w:bottom="1440" w:left="1584" w:header="706" w:footer="706" w:gutter="0"/>
          <w:cols w:space="708"/>
          <w:docGrid w:linePitch="360"/>
        </w:sectPr>
      </w:pPr>
      <w:r w:rsidRPr="00722EEA">
        <w:rPr>
          <w:sz w:val="22"/>
          <w:szCs w:val="22"/>
        </w:rPr>
        <w:t xml:space="preserve"> </w:t>
      </w:r>
    </w:p>
    <w:p w14:paraId="1CE1D412" w14:textId="77777777" w:rsidR="00FB39A5" w:rsidRPr="00687722" w:rsidRDefault="00FB39A5" w:rsidP="00FB39A5">
      <w:pPr>
        <w:tabs>
          <w:tab w:val="left" w:pos="1500"/>
        </w:tabs>
        <w:spacing w:after="120"/>
        <w:ind w:left="1498" w:hanging="1498"/>
        <w:jc w:val="both"/>
        <w:rPr>
          <w:sz w:val="21"/>
          <w:szCs w:val="21"/>
          <w:lang w:val="en-GB"/>
        </w:rPr>
      </w:pPr>
      <w:r w:rsidRPr="00B80C0C">
        <w:rPr>
          <w:b/>
          <w:sz w:val="21"/>
          <w:szCs w:val="21"/>
          <w:lang w:val="en-GB"/>
        </w:rPr>
        <w:t>Table 2</w:t>
      </w:r>
      <w:r w:rsidRPr="00687722">
        <w:rPr>
          <w:sz w:val="21"/>
          <w:szCs w:val="21"/>
          <w:lang w:val="en-GB"/>
        </w:rPr>
        <w:tab/>
        <w:t>Values of goods from mangrove ecosystems at various locations bordering the South China Sea. Shaded cells include values not used in the subsequent analysis to determine national and regional weighted mean values for each resource.</w:t>
      </w:r>
    </w:p>
    <w:tbl>
      <w:tblPr>
        <w:tblW w:w="0" w:type="auto"/>
        <w:jc w:val="center"/>
        <w:tblBorders>
          <w:top w:val="single" w:sz="12" w:space="0" w:color="auto"/>
          <w:left w:val="single" w:sz="12" w:space="0" w:color="auto"/>
          <w:bottom w:val="single" w:sz="12" w:space="0" w:color="auto"/>
          <w:right w:val="single" w:sz="12" w:space="0" w:color="auto"/>
          <w:insideH w:val="single" w:sz="2" w:space="0" w:color="000000"/>
          <w:insideV w:val="single" w:sz="2" w:space="0" w:color="000000"/>
        </w:tblBorders>
        <w:tblLayout w:type="fixed"/>
        <w:tblCellMar>
          <w:left w:w="30" w:type="dxa"/>
          <w:right w:w="30" w:type="dxa"/>
        </w:tblCellMar>
        <w:tblLook w:val="0000" w:firstRow="0" w:lastRow="0" w:firstColumn="0" w:lastColumn="0" w:noHBand="0" w:noVBand="0"/>
      </w:tblPr>
      <w:tblGrid>
        <w:gridCol w:w="860"/>
        <w:gridCol w:w="859"/>
        <w:gridCol w:w="1837"/>
        <w:gridCol w:w="974"/>
        <w:gridCol w:w="779"/>
        <w:gridCol w:w="889"/>
        <w:gridCol w:w="832"/>
        <w:gridCol w:w="42"/>
        <w:gridCol w:w="1187"/>
        <w:gridCol w:w="713"/>
        <w:gridCol w:w="958"/>
        <w:gridCol w:w="1449"/>
        <w:gridCol w:w="1171"/>
        <w:gridCol w:w="1480"/>
      </w:tblGrid>
      <w:tr w:rsidR="00FB39A5" w:rsidRPr="00FB39A5" w14:paraId="63B88B14" w14:textId="77777777" w:rsidTr="00FB39A5">
        <w:tblPrEx>
          <w:tblCellMar>
            <w:top w:w="0" w:type="dxa"/>
            <w:bottom w:w="0" w:type="dxa"/>
          </w:tblCellMar>
        </w:tblPrEx>
        <w:trPr>
          <w:trHeight w:val="664"/>
          <w:jc w:val="center"/>
        </w:trPr>
        <w:tc>
          <w:tcPr>
            <w:tcW w:w="860" w:type="dxa"/>
            <w:tcBorders>
              <w:top w:val="single" w:sz="12" w:space="0" w:color="auto"/>
              <w:bottom w:val="single" w:sz="12" w:space="0" w:color="auto"/>
            </w:tcBorders>
            <w:vAlign w:val="center"/>
          </w:tcPr>
          <w:p w14:paraId="1E917E66"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Country</w:t>
            </w:r>
          </w:p>
        </w:tc>
        <w:tc>
          <w:tcPr>
            <w:tcW w:w="859" w:type="dxa"/>
            <w:tcBorders>
              <w:top w:val="single" w:sz="12" w:space="0" w:color="auto"/>
              <w:bottom w:val="single" w:sz="12" w:space="0" w:color="auto"/>
            </w:tcBorders>
            <w:vAlign w:val="center"/>
          </w:tcPr>
          <w:p w14:paraId="4EAAC9F3" w14:textId="77777777" w:rsidR="00FB39A5" w:rsidRPr="00FB39A5" w:rsidRDefault="00FB39A5" w:rsidP="00FB39A5">
            <w:pPr>
              <w:keepNext/>
              <w:jc w:val="center"/>
              <w:outlineLvl w:val="2"/>
              <w:rPr>
                <w:rFonts w:ascii="Arial" w:hAnsi="Arial" w:cs="Arial"/>
                <w:b/>
                <w:bCs/>
                <w:sz w:val="16"/>
                <w:szCs w:val="16"/>
                <w:lang w:val="en-GB" w:bidi="he-IL"/>
              </w:rPr>
            </w:pPr>
            <w:bookmarkStart w:id="14" w:name="_Toc163031976"/>
            <w:bookmarkStart w:id="15" w:name="_Toc163032103"/>
            <w:r w:rsidRPr="00FB39A5">
              <w:rPr>
                <w:rFonts w:ascii="Arial" w:hAnsi="Arial" w:cs="Arial"/>
                <w:b/>
                <w:bCs/>
                <w:sz w:val="16"/>
                <w:szCs w:val="16"/>
                <w:lang w:val="en-GB" w:bidi="he-IL"/>
              </w:rPr>
              <w:t>Year</w:t>
            </w:r>
            <w:bookmarkEnd w:id="14"/>
            <w:bookmarkEnd w:id="15"/>
          </w:p>
        </w:tc>
        <w:tc>
          <w:tcPr>
            <w:tcW w:w="1837" w:type="dxa"/>
            <w:tcBorders>
              <w:top w:val="single" w:sz="12" w:space="0" w:color="auto"/>
              <w:bottom w:val="single" w:sz="12" w:space="0" w:color="auto"/>
            </w:tcBorders>
            <w:vAlign w:val="center"/>
          </w:tcPr>
          <w:p w14:paraId="09124047"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Location</w:t>
            </w:r>
          </w:p>
        </w:tc>
        <w:tc>
          <w:tcPr>
            <w:tcW w:w="974" w:type="dxa"/>
            <w:tcBorders>
              <w:top w:val="single" w:sz="12" w:space="0" w:color="auto"/>
              <w:bottom w:val="single" w:sz="12" w:space="0" w:color="auto"/>
            </w:tcBorders>
            <w:vAlign w:val="center"/>
          </w:tcPr>
          <w:p w14:paraId="1C38A4D5"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Total Area (ha)</w:t>
            </w:r>
          </w:p>
        </w:tc>
        <w:tc>
          <w:tcPr>
            <w:tcW w:w="779" w:type="dxa"/>
            <w:tcBorders>
              <w:top w:val="single" w:sz="12" w:space="0" w:color="auto"/>
              <w:bottom w:val="single" w:sz="12" w:space="0" w:color="auto"/>
            </w:tcBorders>
            <w:vAlign w:val="center"/>
          </w:tcPr>
          <w:p w14:paraId="44184C55"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Volume (per ha)</w:t>
            </w:r>
          </w:p>
        </w:tc>
        <w:tc>
          <w:tcPr>
            <w:tcW w:w="889" w:type="dxa"/>
            <w:tcBorders>
              <w:top w:val="single" w:sz="12" w:space="0" w:color="auto"/>
              <w:bottom w:val="single" w:sz="12" w:space="0" w:color="auto"/>
            </w:tcBorders>
            <w:vAlign w:val="center"/>
          </w:tcPr>
          <w:p w14:paraId="73352142"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Unit Net Price</w:t>
            </w:r>
          </w:p>
        </w:tc>
        <w:tc>
          <w:tcPr>
            <w:tcW w:w="874" w:type="dxa"/>
            <w:gridSpan w:val="2"/>
            <w:tcBorders>
              <w:top w:val="single" w:sz="12" w:space="0" w:color="auto"/>
              <w:bottom w:val="single" w:sz="12" w:space="0" w:color="auto"/>
            </w:tcBorders>
            <w:vAlign w:val="center"/>
          </w:tcPr>
          <w:p w14:paraId="5849CCA6"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Currency</w:t>
            </w:r>
          </w:p>
        </w:tc>
        <w:tc>
          <w:tcPr>
            <w:tcW w:w="1187" w:type="dxa"/>
            <w:tcBorders>
              <w:top w:val="single" w:sz="12" w:space="0" w:color="auto"/>
              <w:bottom w:val="single" w:sz="12" w:space="0" w:color="auto"/>
            </w:tcBorders>
            <w:vAlign w:val="center"/>
          </w:tcPr>
          <w:p w14:paraId="223CD6E5"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Value</w:t>
            </w:r>
          </w:p>
          <w:p w14:paraId="130CD9D3"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(per ha)</w:t>
            </w:r>
          </w:p>
        </w:tc>
        <w:tc>
          <w:tcPr>
            <w:tcW w:w="713" w:type="dxa"/>
            <w:tcBorders>
              <w:top w:val="single" w:sz="12" w:space="0" w:color="auto"/>
              <w:bottom w:val="single" w:sz="12" w:space="0" w:color="auto"/>
            </w:tcBorders>
            <w:vAlign w:val="center"/>
          </w:tcPr>
          <w:p w14:paraId="6F0D23D4"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CPI (base 2005)</w:t>
            </w:r>
          </w:p>
        </w:tc>
        <w:tc>
          <w:tcPr>
            <w:tcW w:w="958" w:type="dxa"/>
            <w:tcBorders>
              <w:top w:val="single" w:sz="12" w:space="0" w:color="auto"/>
              <w:bottom w:val="single" w:sz="12" w:space="0" w:color="auto"/>
            </w:tcBorders>
            <w:vAlign w:val="center"/>
          </w:tcPr>
          <w:p w14:paraId="66247459"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Exchange rate 2005</w:t>
            </w:r>
          </w:p>
        </w:tc>
        <w:tc>
          <w:tcPr>
            <w:tcW w:w="1449" w:type="dxa"/>
            <w:tcBorders>
              <w:top w:val="single" w:sz="12" w:space="0" w:color="auto"/>
              <w:bottom w:val="single" w:sz="12" w:space="0" w:color="auto"/>
            </w:tcBorders>
            <w:vAlign w:val="center"/>
          </w:tcPr>
          <w:p w14:paraId="1F906FBF"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Standard National Value, 2005, per hectare in local Currency</w:t>
            </w:r>
          </w:p>
        </w:tc>
        <w:tc>
          <w:tcPr>
            <w:tcW w:w="1171" w:type="dxa"/>
            <w:tcBorders>
              <w:top w:val="single" w:sz="12" w:space="0" w:color="auto"/>
              <w:bottom w:val="single" w:sz="12" w:space="0" w:color="auto"/>
            </w:tcBorders>
            <w:vAlign w:val="center"/>
          </w:tcPr>
          <w:p w14:paraId="031BBE11"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 xml:space="preserve">Regionally comparable Value per hectare </w:t>
            </w:r>
            <w:smartTag w:uri="urn:schemas-microsoft-com:office:smarttags" w:element="place">
              <w:smartTag w:uri="urn:schemas-microsoft-com:office:smarttags" w:element="country-region">
                <w:r w:rsidRPr="00FB39A5">
                  <w:rPr>
                    <w:rFonts w:ascii="Arial" w:hAnsi="Arial" w:cs="Arial"/>
                    <w:b/>
                    <w:bCs/>
                    <w:sz w:val="16"/>
                    <w:szCs w:val="16"/>
                    <w:lang w:val="en-GB"/>
                  </w:rPr>
                  <w:t>US</w:t>
                </w:r>
              </w:smartTag>
            </w:smartTag>
            <w:r w:rsidRPr="00FB39A5">
              <w:rPr>
                <w:rFonts w:ascii="Arial" w:hAnsi="Arial" w:cs="Arial"/>
                <w:b/>
                <w:bCs/>
                <w:sz w:val="16"/>
                <w:szCs w:val="16"/>
                <w:lang w:val="en-GB"/>
              </w:rPr>
              <w:t>$</w:t>
            </w:r>
          </w:p>
        </w:tc>
        <w:tc>
          <w:tcPr>
            <w:tcW w:w="1480" w:type="dxa"/>
            <w:tcBorders>
              <w:top w:val="single" w:sz="12" w:space="0" w:color="auto"/>
              <w:bottom w:val="single" w:sz="12" w:space="0" w:color="auto"/>
            </w:tcBorders>
            <w:vAlign w:val="center"/>
          </w:tcPr>
          <w:p w14:paraId="5A57572F"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 xml:space="preserve">Total Stock Value by Locality (Area </w:t>
            </w:r>
            <w:r w:rsidRPr="00FB39A5">
              <w:rPr>
                <w:rFonts w:ascii="Arial" w:hAnsi="Arial" w:cs="Arial"/>
                <w:b/>
                <w:bCs/>
                <w:i/>
                <w:iCs/>
                <w:sz w:val="16"/>
                <w:szCs w:val="16"/>
                <w:lang w:val="en-GB"/>
              </w:rPr>
              <w:t>x</w:t>
            </w:r>
            <w:r w:rsidRPr="00FB39A5">
              <w:rPr>
                <w:rFonts w:ascii="Arial" w:hAnsi="Arial" w:cs="Arial"/>
                <w:b/>
                <w:bCs/>
                <w:sz w:val="16"/>
                <w:szCs w:val="16"/>
                <w:lang w:val="en-GB"/>
              </w:rPr>
              <w:t>Value/ha in US$)</w:t>
            </w:r>
          </w:p>
        </w:tc>
      </w:tr>
      <w:tr w:rsidR="00FB39A5" w:rsidRPr="00FB39A5" w14:paraId="0C24D79C" w14:textId="77777777" w:rsidTr="00FB39A5">
        <w:tblPrEx>
          <w:tblCellMar>
            <w:top w:w="0" w:type="dxa"/>
            <w:bottom w:w="0" w:type="dxa"/>
          </w:tblCellMar>
        </w:tblPrEx>
        <w:trPr>
          <w:trHeight w:val="50"/>
          <w:jc w:val="center"/>
        </w:trPr>
        <w:tc>
          <w:tcPr>
            <w:tcW w:w="14030" w:type="dxa"/>
            <w:gridSpan w:val="14"/>
            <w:tcBorders>
              <w:top w:val="single" w:sz="12" w:space="0" w:color="auto"/>
            </w:tcBorders>
            <w:vAlign w:val="center"/>
          </w:tcPr>
          <w:p w14:paraId="39BC696A" w14:textId="77777777" w:rsidR="00FB39A5" w:rsidRPr="00FB39A5" w:rsidRDefault="00FB39A5" w:rsidP="00FB39A5">
            <w:pPr>
              <w:tabs>
                <w:tab w:val="num" w:leader="none" w:pos="1440"/>
              </w:tabs>
              <w:jc w:val="center"/>
              <w:outlineLvl w:val="1"/>
              <w:rPr>
                <w:rFonts w:ascii="Arial" w:hAnsi="Arial" w:cs="Arial"/>
                <w:b/>
                <w:bCs/>
                <w:sz w:val="18"/>
                <w:szCs w:val="18"/>
                <w:lang w:val="en-GB"/>
              </w:rPr>
            </w:pPr>
            <w:bookmarkStart w:id="16" w:name="_Toc163031977"/>
            <w:bookmarkStart w:id="17" w:name="_Toc163032104"/>
            <w:r w:rsidRPr="00FB39A5">
              <w:rPr>
                <w:rFonts w:ascii="Arial" w:hAnsi="Arial" w:cs="Arial"/>
                <w:b/>
                <w:bCs/>
                <w:sz w:val="18"/>
                <w:szCs w:val="18"/>
                <w:lang w:val="en-GB"/>
              </w:rPr>
              <w:t>Timber M</w:t>
            </w:r>
            <w:r w:rsidRPr="00FB39A5">
              <w:rPr>
                <w:rFonts w:ascii="Arial" w:hAnsi="Arial" w:cs="Arial"/>
                <w:b/>
                <w:bCs/>
                <w:sz w:val="18"/>
                <w:szCs w:val="18"/>
                <w:vertAlign w:val="superscript"/>
                <w:lang w:val="en-GB"/>
              </w:rPr>
              <w:t>3</w:t>
            </w:r>
            <w:r w:rsidRPr="00FB39A5">
              <w:rPr>
                <w:rFonts w:ascii="Arial" w:hAnsi="Arial" w:cs="Arial"/>
                <w:b/>
                <w:bCs/>
                <w:sz w:val="18"/>
                <w:szCs w:val="18"/>
                <w:lang w:val="en-GB"/>
              </w:rPr>
              <w:t>/Ha</w:t>
            </w:r>
            <w:bookmarkEnd w:id="16"/>
            <w:bookmarkEnd w:id="17"/>
          </w:p>
        </w:tc>
      </w:tr>
      <w:tr w:rsidR="00FB39A5" w:rsidRPr="00FB39A5" w14:paraId="27289442" w14:textId="77777777" w:rsidTr="00FB39A5">
        <w:tblPrEx>
          <w:tblCellMar>
            <w:top w:w="0" w:type="dxa"/>
            <w:bottom w:w="0" w:type="dxa"/>
          </w:tblCellMar>
        </w:tblPrEx>
        <w:trPr>
          <w:trHeight w:val="191"/>
          <w:jc w:val="center"/>
        </w:trPr>
        <w:tc>
          <w:tcPr>
            <w:tcW w:w="860" w:type="dxa"/>
            <w:vAlign w:val="center"/>
          </w:tcPr>
          <w:p w14:paraId="7C7035D0"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Cambodia</w:t>
                </w:r>
              </w:smartTag>
            </w:smartTag>
          </w:p>
        </w:tc>
        <w:tc>
          <w:tcPr>
            <w:tcW w:w="859" w:type="dxa"/>
            <w:vAlign w:val="center"/>
          </w:tcPr>
          <w:p w14:paraId="77CD6AF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2006</w:t>
            </w:r>
          </w:p>
        </w:tc>
        <w:tc>
          <w:tcPr>
            <w:tcW w:w="1837" w:type="dxa"/>
            <w:vAlign w:val="center"/>
          </w:tcPr>
          <w:p w14:paraId="1E8D700E"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Peam Krasop</w:t>
            </w:r>
          </w:p>
        </w:tc>
        <w:tc>
          <w:tcPr>
            <w:tcW w:w="974" w:type="dxa"/>
            <w:vAlign w:val="center"/>
          </w:tcPr>
          <w:p w14:paraId="3310995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12,638.00</w:t>
            </w:r>
          </w:p>
        </w:tc>
        <w:tc>
          <w:tcPr>
            <w:tcW w:w="779" w:type="dxa"/>
            <w:vAlign w:val="center"/>
          </w:tcPr>
          <w:p w14:paraId="1ED7405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9.20</w:t>
            </w:r>
          </w:p>
        </w:tc>
        <w:tc>
          <w:tcPr>
            <w:tcW w:w="889" w:type="dxa"/>
            <w:vAlign w:val="center"/>
          </w:tcPr>
          <w:p w14:paraId="42CB7FF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90.00</w:t>
            </w:r>
          </w:p>
        </w:tc>
        <w:tc>
          <w:tcPr>
            <w:tcW w:w="832" w:type="dxa"/>
            <w:vAlign w:val="center"/>
          </w:tcPr>
          <w:p w14:paraId="13F8784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US$</w:t>
            </w:r>
          </w:p>
        </w:tc>
        <w:tc>
          <w:tcPr>
            <w:tcW w:w="1229" w:type="dxa"/>
            <w:gridSpan w:val="2"/>
            <w:vAlign w:val="center"/>
          </w:tcPr>
          <w:p w14:paraId="3E2AFDF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828.00</w:t>
            </w:r>
          </w:p>
        </w:tc>
        <w:tc>
          <w:tcPr>
            <w:tcW w:w="713" w:type="dxa"/>
            <w:vAlign w:val="center"/>
          </w:tcPr>
          <w:p w14:paraId="125D626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106.16</w:t>
            </w:r>
          </w:p>
        </w:tc>
        <w:tc>
          <w:tcPr>
            <w:tcW w:w="958" w:type="dxa"/>
            <w:vAlign w:val="center"/>
          </w:tcPr>
          <w:p w14:paraId="23946D9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4,187.17</w:t>
            </w:r>
          </w:p>
        </w:tc>
        <w:tc>
          <w:tcPr>
            <w:tcW w:w="1449" w:type="dxa"/>
            <w:vAlign w:val="center"/>
          </w:tcPr>
          <w:p w14:paraId="103E37B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779.95</w:t>
            </w:r>
          </w:p>
        </w:tc>
        <w:tc>
          <w:tcPr>
            <w:tcW w:w="1171" w:type="dxa"/>
            <w:vAlign w:val="center"/>
          </w:tcPr>
          <w:p w14:paraId="3DEB4D5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779.95</w:t>
            </w:r>
          </w:p>
        </w:tc>
        <w:tc>
          <w:tcPr>
            <w:tcW w:w="1480" w:type="dxa"/>
            <w:vAlign w:val="center"/>
          </w:tcPr>
          <w:p w14:paraId="07035D8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9,857,068.58</w:t>
            </w:r>
          </w:p>
        </w:tc>
      </w:tr>
      <w:tr w:rsidR="00FB39A5" w:rsidRPr="00FB39A5" w14:paraId="681983CF" w14:textId="77777777" w:rsidTr="00FB39A5">
        <w:tblPrEx>
          <w:tblCellMar>
            <w:top w:w="0" w:type="dxa"/>
            <w:bottom w:w="0" w:type="dxa"/>
          </w:tblCellMar>
        </w:tblPrEx>
        <w:trPr>
          <w:trHeight w:val="191"/>
          <w:jc w:val="center"/>
        </w:trPr>
        <w:tc>
          <w:tcPr>
            <w:tcW w:w="860" w:type="dxa"/>
            <w:vAlign w:val="center"/>
          </w:tcPr>
          <w:p w14:paraId="5ACC7DFE"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China</w:t>
                </w:r>
              </w:smartTag>
            </w:smartTag>
          </w:p>
        </w:tc>
        <w:tc>
          <w:tcPr>
            <w:tcW w:w="859" w:type="dxa"/>
            <w:vAlign w:val="center"/>
          </w:tcPr>
          <w:p w14:paraId="720A673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1837" w:type="dxa"/>
            <w:vAlign w:val="center"/>
          </w:tcPr>
          <w:p w14:paraId="1425AE8D"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Fangchenggang</w:t>
            </w:r>
          </w:p>
        </w:tc>
        <w:tc>
          <w:tcPr>
            <w:tcW w:w="974" w:type="dxa"/>
            <w:vAlign w:val="center"/>
          </w:tcPr>
          <w:p w14:paraId="04A6127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1,414.50</w:t>
            </w:r>
          </w:p>
        </w:tc>
        <w:tc>
          <w:tcPr>
            <w:tcW w:w="779" w:type="dxa"/>
            <w:vAlign w:val="center"/>
          </w:tcPr>
          <w:p w14:paraId="7220393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1.13</w:t>
            </w:r>
          </w:p>
        </w:tc>
        <w:tc>
          <w:tcPr>
            <w:tcW w:w="889" w:type="dxa"/>
            <w:vAlign w:val="center"/>
          </w:tcPr>
          <w:p w14:paraId="59411F0B" w14:textId="77777777" w:rsidR="00FB39A5" w:rsidRPr="00FB39A5" w:rsidRDefault="00FB39A5" w:rsidP="00FB39A5">
            <w:pPr>
              <w:autoSpaceDE w:val="0"/>
              <w:autoSpaceDN w:val="0"/>
              <w:adjustRightInd w:val="0"/>
              <w:jc w:val="right"/>
              <w:rPr>
                <w:rFonts w:ascii="Arial" w:hAnsi="Arial" w:cs="Arial"/>
                <w:sz w:val="18"/>
                <w:szCs w:val="18"/>
                <w:lang w:val="en-GB"/>
              </w:rPr>
            </w:pPr>
            <w:r w:rsidRPr="00FB39A5">
              <w:rPr>
                <w:rFonts w:ascii="Arial" w:hAnsi="Arial" w:cs="Arial"/>
                <w:sz w:val="18"/>
                <w:szCs w:val="18"/>
                <w:lang w:val="en-GB"/>
              </w:rPr>
              <w:t>933.45</w:t>
            </w:r>
          </w:p>
        </w:tc>
        <w:tc>
          <w:tcPr>
            <w:tcW w:w="832" w:type="dxa"/>
            <w:vAlign w:val="center"/>
          </w:tcPr>
          <w:p w14:paraId="3250DE4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RMB</w:t>
            </w:r>
          </w:p>
        </w:tc>
        <w:tc>
          <w:tcPr>
            <w:tcW w:w="1229" w:type="dxa"/>
            <w:gridSpan w:val="2"/>
            <w:vAlign w:val="center"/>
          </w:tcPr>
          <w:p w14:paraId="636B6E1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1,050.13</w:t>
            </w:r>
          </w:p>
        </w:tc>
        <w:tc>
          <w:tcPr>
            <w:tcW w:w="713" w:type="dxa"/>
            <w:vAlign w:val="center"/>
          </w:tcPr>
          <w:p w14:paraId="2B6AE8E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93.38</w:t>
            </w:r>
          </w:p>
        </w:tc>
        <w:tc>
          <w:tcPr>
            <w:tcW w:w="958" w:type="dxa"/>
            <w:vAlign w:val="center"/>
          </w:tcPr>
          <w:p w14:paraId="3F74E3F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8.20</w:t>
            </w:r>
          </w:p>
        </w:tc>
        <w:tc>
          <w:tcPr>
            <w:tcW w:w="1449" w:type="dxa"/>
            <w:vAlign w:val="center"/>
          </w:tcPr>
          <w:p w14:paraId="025B627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1,124.58</w:t>
            </w:r>
          </w:p>
        </w:tc>
        <w:tc>
          <w:tcPr>
            <w:tcW w:w="1171" w:type="dxa"/>
            <w:vAlign w:val="center"/>
          </w:tcPr>
          <w:p w14:paraId="06DD24E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137.09</w:t>
            </w:r>
          </w:p>
        </w:tc>
        <w:tc>
          <w:tcPr>
            <w:tcW w:w="1480" w:type="dxa"/>
            <w:vAlign w:val="center"/>
          </w:tcPr>
          <w:p w14:paraId="6CDCA7A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193,911.96</w:t>
            </w:r>
          </w:p>
        </w:tc>
      </w:tr>
      <w:tr w:rsidR="00FB39A5" w:rsidRPr="00FB39A5" w14:paraId="698DBC97" w14:textId="77777777" w:rsidTr="00FB39A5">
        <w:tblPrEx>
          <w:tblCellMar>
            <w:top w:w="0" w:type="dxa"/>
            <w:bottom w:w="0" w:type="dxa"/>
          </w:tblCellMar>
        </w:tblPrEx>
        <w:trPr>
          <w:trHeight w:val="191"/>
          <w:jc w:val="center"/>
        </w:trPr>
        <w:tc>
          <w:tcPr>
            <w:tcW w:w="860" w:type="dxa"/>
            <w:vAlign w:val="center"/>
          </w:tcPr>
          <w:p w14:paraId="35E28360"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Indonesia</w:t>
                </w:r>
              </w:smartTag>
            </w:smartTag>
          </w:p>
        </w:tc>
        <w:tc>
          <w:tcPr>
            <w:tcW w:w="859" w:type="dxa"/>
            <w:vAlign w:val="center"/>
          </w:tcPr>
          <w:p w14:paraId="4DD6D84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46343D43"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Youtefa</w:t>
                </w:r>
              </w:smartTag>
              <w:r w:rsidRPr="00FB39A5">
                <w:rPr>
                  <w:rFonts w:ascii="Arial" w:hAnsi="Arial" w:cs="Arial"/>
                  <w:sz w:val="12"/>
                  <w:szCs w:val="12"/>
                  <w:lang w:val="en-GB"/>
                </w:rPr>
                <w:t xml:space="preserve"> </w:t>
              </w:r>
              <w:smartTag w:uri="urn:schemas-microsoft-com:office:smarttags" w:element="PlaceType">
                <w:r w:rsidRPr="00FB39A5">
                  <w:rPr>
                    <w:rFonts w:ascii="Arial" w:hAnsi="Arial" w:cs="Arial"/>
                    <w:sz w:val="12"/>
                    <w:szCs w:val="12"/>
                    <w:lang w:val="en-GB"/>
                  </w:rPr>
                  <w:t>Bay</w:t>
                </w:r>
              </w:smartTag>
            </w:smartTag>
            <w:r w:rsidRPr="00FB39A5">
              <w:rPr>
                <w:rFonts w:ascii="Arial" w:hAnsi="Arial" w:cs="Arial"/>
                <w:sz w:val="12"/>
                <w:szCs w:val="12"/>
                <w:lang w:val="en-GB"/>
              </w:rPr>
              <w:t xml:space="preserve"> </w:t>
            </w:r>
          </w:p>
        </w:tc>
        <w:tc>
          <w:tcPr>
            <w:tcW w:w="974" w:type="dxa"/>
            <w:vAlign w:val="center"/>
          </w:tcPr>
          <w:p w14:paraId="5D1F1DE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188.00</w:t>
            </w:r>
          </w:p>
        </w:tc>
        <w:tc>
          <w:tcPr>
            <w:tcW w:w="779" w:type="dxa"/>
            <w:vAlign w:val="center"/>
          </w:tcPr>
          <w:p w14:paraId="0DCA728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130.00</w:t>
            </w:r>
          </w:p>
        </w:tc>
        <w:tc>
          <w:tcPr>
            <w:tcW w:w="889" w:type="dxa"/>
            <w:vAlign w:val="center"/>
          </w:tcPr>
          <w:p w14:paraId="2A99199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12,057.69</w:t>
            </w:r>
          </w:p>
        </w:tc>
        <w:tc>
          <w:tcPr>
            <w:tcW w:w="832" w:type="dxa"/>
            <w:vAlign w:val="center"/>
          </w:tcPr>
          <w:p w14:paraId="4E784AB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77D72E8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1,567,499.70</w:t>
            </w:r>
          </w:p>
        </w:tc>
        <w:tc>
          <w:tcPr>
            <w:tcW w:w="713" w:type="dxa"/>
            <w:vAlign w:val="center"/>
          </w:tcPr>
          <w:p w14:paraId="152138B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368A144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6A37F5E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1,731,278.66</w:t>
            </w:r>
          </w:p>
        </w:tc>
        <w:tc>
          <w:tcPr>
            <w:tcW w:w="1171" w:type="dxa"/>
            <w:vAlign w:val="center"/>
          </w:tcPr>
          <w:p w14:paraId="7FE1752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178.08</w:t>
            </w:r>
          </w:p>
        </w:tc>
        <w:tc>
          <w:tcPr>
            <w:tcW w:w="1480" w:type="dxa"/>
            <w:vAlign w:val="center"/>
          </w:tcPr>
          <w:p w14:paraId="075882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33,479.95</w:t>
            </w:r>
          </w:p>
        </w:tc>
      </w:tr>
      <w:tr w:rsidR="00FB39A5" w:rsidRPr="00FB39A5" w14:paraId="09CD900F" w14:textId="77777777" w:rsidTr="00FB39A5">
        <w:tblPrEx>
          <w:tblCellMar>
            <w:top w:w="0" w:type="dxa"/>
            <w:bottom w:w="0" w:type="dxa"/>
          </w:tblCellMar>
        </w:tblPrEx>
        <w:trPr>
          <w:trHeight w:val="191"/>
          <w:jc w:val="center"/>
        </w:trPr>
        <w:tc>
          <w:tcPr>
            <w:tcW w:w="860" w:type="dxa"/>
            <w:vAlign w:val="center"/>
          </w:tcPr>
          <w:p w14:paraId="7D88DD65"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6A2652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1F0F4D94"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r w:rsidRPr="00FB39A5">
                <w:rPr>
                  <w:rFonts w:ascii="Arial" w:hAnsi="Arial" w:cs="Arial"/>
                  <w:sz w:val="12"/>
                  <w:szCs w:val="12"/>
                  <w:lang w:val="en-GB"/>
                </w:rPr>
                <w:t>Bali</w:t>
              </w:r>
            </w:smartTag>
            <w:r w:rsidRPr="00FB39A5">
              <w:rPr>
                <w:rFonts w:ascii="Arial" w:hAnsi="Arial" w:cs="Arial"/>
                <w:sz w:val="12"/>
                <w:szCs w:val="12"/>
                <w:lang w:val="en-GB"/>
              </w:rPr>
              <w:t xml:space="preserve"> </w:t>
            </w:r>
          </w:p>
        </w:tc>
        <w:tc>
          <w:tcPr>
            <w:tcW w:w="974" w:type="dxa"/>
            <w:vAlign w:val="center"/>
          </w:tcPr>
          <w:p w14:paraId="291FFA6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9.00</w:t>
            </w:r>
          </w:p>
        </w:tc>
        <w:tc>
          <w:tcPr>
            <w:tcW w:w="779" w:type="dxa"/>
            <w:vAlign w:val="center"/>
          </w:tcPr>
          <w:p w14:paraId="4AD576B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50.00</w:t>
            </w:r>
          </w:p>
        </w:tc>
        <w:tc>
          <w:tcPr>
            <w:tcW w:w="889" w:type="dxa"/>
            <w:vAlign w:val="center"/>
          </w:tcPr>
          <w:p w14:paraId="7A3820A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27,160.00</w:t>
            </w:r>
          </w:p>
        </w:tc>
        <w:tc>
          <w:tcPr>
            <w:tcW w:w="832" w:type="dxa"/>
            <w:vAlign w:val="center"/>
          </w:tcPr>
          <w:p w14:paraId="564955C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566D56B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1,358,000.00</w:t>
            </w:r>
          </w:p>
        </w:tc>
        <w:tc>
          <w:tcPr>
            <w:tcW w:w="713" w:type="dxa"/>
            <w:vAlign w:val="center"/>
          </w:tcPr>
          <w:p w14:paraId="3BA3872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0B84247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67774EB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1,499,889.55</w:t>
            </w:r>
          </w:p>
        </w:tc>
        <w:tc>
          <w:tcPr>
            <w:tcW w:w="1171" w:type="dxa"/>
            <w:vAlign w:val="center"/>
          </w:tcPr>
          <w:p w14:paraId="6713440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154.28</w:t>
            </w:r>
          </w:p>
        </w:tc>
        <w:tc>
          <w:tcPr>
            <w:tcW w:w="1480" w:type="dxa"/>
            <w:vAlign w:val="center"/>
          </w:tcPr>
          <w:p w14:paraId="69269FC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1,388.55</w:t>
            </w:r>
          </w:p>
        </w:tc>
      </w:tr>
      <w:tr w:rsidR="00FB39A5" w:rsidRPr="00FB39A5" w14:paraId="09780FE2" w14:textId="77777777" w:rsidTr="00FB39A5">
        <w:tblPrEx>
          <w:tblCellMar>
            <w:top w:w="0" w:type="dxa"/>
            <w:bottom w:w="0" w:type="dxa"/>
          </w:tblCellMar>
        </w:tblPrEx>
        <w:trPr>
          <w:trHeight w:val="191"/>
          <w:jc w:val="center"/>
        </w:trPr>
        <w:tc>
          <w:tcPr>
            <w:tcW w:w="860" w:type="dxa"/>
            <w:vAlign w:val="center"/>
          </w:tcPr>
          <w:p w14:paraId="2E1C4A58"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E5CE2F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1C7C0522"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Karawang, </w:t>
            </w:r>
            <w:smartTag w:uri="urn:schemas-microsoft-com:office:smarttags" w:element="place">
              <w:r w:rsidRPr="00FB39A5">
                <w:rPr>
                  <w:rFonts w:ascii="Arial" w:hAnsi="Arial" w:cs="Arial"/>
                  <w:sz w:val="12"/>
                  <w:szCs w:val="12"/>
                  <w:lang w:val="en-GB"/>
                </w:rPr>
                <w:t>West Java</w:t>
              </w:r>
            </w:smartTag>
          </w:p>
        </w:tc>
        <w:tc>
          <w:tcPr>
            <w:tcW w:w="974" w:type="dxa"/>
            <w:vAlign w:val="center"/>
          </w:tcPr>
          <w:p w14:paraId="5CDDB64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1,692.40</w:t>
            </w:r>
          </w:p>
        </w:tc>
        <w:tc>
          <w:tcPr>
            <w:tcW w:w="779" w:type="dxa"/>
            <w:vAlign w:val="center"/>
          </w:tcPr>
          <w:p w14:paraId="40A796B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40.00</w:t>
            </w:r>
          </w:p>
        </w:tc>
        <w:tc>
          <w:tcPr>
            <w:tcW w:w="889" w:type="dxa"/>
            <w:vAlign w:val="center"/>
          </w:tcPr>
          <w:p w14:paraId="784DD62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52,500.00</w:t>
            </w:r>
          </w:p>
        </w:tc>
        <w:tc>
          <w:tcPr>
            <w:tcW w:w="832" w:type="dxa"/>
            <w:vAlign w:val="center"/>
          </w:tcPr>
          <w:p w14:paraId="5D1D70A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4D78AD3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2,100,000.00</w:t>
            </w:r>
          </w:p>
        </w:tc>
        <w:tc>
          <w:tcPr>
            <w:tcW w:w="713" w:type="dxa"/>
            <w:vAlign w:val="center"/>
          </w:tcPr>
          <w:p w14:paraId="299AB17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2E96CD7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6A5520A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2,319,416.83</w:t>
            </w:r>
          </w:p>
        </w:tc>
        <w:tc>
          <w:tcPr>
            <w:tcW w:w="1171" w:type="dxa"/>
            <w:vAlign w:val="center"/>
          </w:tcPr>
          <w:p w14:paraId="5ED2790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238.58</w:t>
            </w:r>
          </w:p>
        </w:tc>
        <w:tc>
          <w:tcPr>
            <w:tcW w:w="1480" w:type="dxa"/>
            <w:vAlign w:val="center"/>
          </w:tcPr>
          <w:p w14:paraId="4B7959D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403,777.17</w:t>
            </w:r>
          </w:p>
        </w:tc>
      </w:tr>
      <w:tr w:rsidR="00FB39A5" w:rsidRPr="00FB39A5" w14:paraId="2A770A46" w14:textId="77777777" w:rsidTr="00FB39A5">
        <w:tblPrEx>
          <w:tblCellMar>
            <w:top w:w="0" w:type="dxa"/>
            <w:bottom w:w="0" w:type="dxa"/>
          </w:tblCellMar>
        </w:tblPrEx>
        <w:trPr>
          <w:trHeight w:val="191"/>
          <w:jc w:val="center"/>
        </w:trPr>
        <w:tc>
          <w:tcPr>
            <w:tcW w:w="860" w:type="dxa"/>
            <w:vAlign w:val="center"/>
          </w:tcPr>
          <w:p w14:paraId="5E05F9DC"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264F65E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4F0642B6"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Marisa</w:t>
                </w:r>
              </w:smartTag>
              <w:r w:rsidRPr="00FB39A5">
                <w:rPr>
                  <w:rFonts w:ascii="Arial" w:hAnsi="Arial" w:cs="Arial"/>
                  <w:sz w:val="12"/>
                  <w:szCs w:val="12"/>
                  <w:lang w:val="en-GB"/>
                </w:rPr>
                <w:t xml:space="preserve"> </w:t>
              </w:r>
              <w:smartTag w:uri="urn:schemas-microsoft-com:office:smarttags" w:element="PlaceName">
                <w:r w:rsidRPr="00FB39A5">
                  <w:rPr>
                    <w:rFonts w:ascii="Arial" w:hAnsi="Arial" w:cs="Arial"/>
                    <w:sz w:val="12"/>
                    <w:szCs w:val="12"/>
                    <w:lang w:val="en-GB"/>
                  </w:rPr>
                  <w:t>District</w:t>
                </w:r>
              </w:smartTag>
            </w:smartTag>
            <w:r w:rsidRPr="00FB39A5">
              <w:rPr>
                <w:rFonts w:ascii="Arial" w:hAnsi="Arial" w:cs="Arial"/>
                <w:sz w:val="12"/>
                <w:szCs w:val="12"/>
                <w:lang w:val="en-GB"/>
              </w:rPr>
              <w:t>, Gorontalo</w:t>
            </w:r>
          </w:p>
        </w:tc>
        <w:tc>
          <w:tcPr>
            <w:tcW w:w="974" w:type="dxa"/>
            <w:vAlign w:val="center"/>
          </w:tcPr>
          <w:p w14:paraId="3E3A257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5,332.00</w:t>
            </w:r>
          </w:p>
        </w:tc>
        <w:tc>
          <w:tcPr>
            <w:tcW w:w="779" w:type="dxa"/>
            <w:vAlign w:val="center"/>
          </w:tcPr>
          <w:p w14:paraId="57BD49C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7.95</w:t>
            </w:r>
          </w:p>
        </w:tc>
        <w:tc>
          <w:tcPr>
            <w:tcW w:w="889" w:type="dxa"/>
            <w:shd w:val="clear" w:color="FF99CC" w:fill="auto"/>
            <w:vAlign w:val="center"/>
          </w:tcPr>
          <w:p w14:paraId="13C3826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200,000.00</w:t>
            </w:r>
          </w:p>
        </w:tc>
        <w:tc>
          <w:tcPr>
            <w:tcW w:w="832" w:type="dxa"/>
            <w:vAlign w:val="center"/>
          </w:tcPr>
          <w:p w14:paraId="4E6E649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7C16A18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1,590,000.00</w:t>
            </w:r>
          </w:p>
        </w:tc>
        <w:tc>
          <w:tcPr>
            <w:tcW w:w="713" w:type="dxa"/>
            <w:vAlign w:val="center"/>
          </w:tcPr>
          <w:p w14:paraId="0B40286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375B38F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41A4EFA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1,756,129.89</w:t>
            </w:r>
          </w:p>
        </w:tc>
        <w:tc>
          <w:tcPr>
            <w:tcW w:w="1171" w:type="dxa"/>
            <w:vAlign w:val="center"/>
          </w:tcPr>
          <w:p w14:paraId="6F8B0C5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180.64</w:t>
            </w:r>
          </w:p>
        </w:tc>
        <w:tc>
          <w:tcPr>
            <w:tcW w:w="1480" w:type="dxa"/>
            <w:vAlign w:val="center"/>
          </w:tcPr>
          <w:p w14:paraId="44667A8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963,178.35</w:t>
            </w:r>
          </w:p>
        </w:tc>
      </w:tr>
      <w:tr w:rsidR="00FB39A5" w:rsidRPr="00FB39A5" w14:paraId="512AE5E9" w14:textId="77777777" w:rsidTr="00FB39A5">
        <w:tblPrEx>
          <w:tblCellMar>
            <w:top w:w="0" w:type="dxa"/>
            <w:bottom w:w="0" w:type="dxa"/>
          </w:tblCellMar>
        </w:tblPrEx>
        <w:trPr>
          <w:trHeight w:val="191"/>
          <w:jc w:val="center"/>
        </w:trPr>
        <w:tc>
          <w:tcPr>
            <w:tcW w:w="860" w:type="dxa"/>
            <w:vAlign w:val="center"/>
          </w:tcPr>
          <w:p w14:paraId="33D1DD9F"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152FED7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2003</w:t>
            </w:r>
          </w:p>
        </w:tc>
        <w:tc>
          <w:tcPr>
            <w:tcW w:w="1837" w:type="dxa"/>
            <w:vAlign w:val="center"/>
          </w:tcPr>
          <w:p w14:paraId="6AB59365"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Kangean</w:t>
                </w:r>
              </w:smartTag>
              <w:r w:rsidRPr="00FB39A5">
                <w:rPr>
                  <w:rFonts w:ascii="Arial" w:hAnsi="Arial" w:cs="Arial"/>
                  <w:sz w:val="12"/>
                  <w:szCs w:val="12"/>
                  <w:lang w:val="en-GB"/>
                </w:rPr>
                <w:t xml:space="preserve"> </w:t>
              </w:r>
              <w:smartTag w:uri="urn:schemas-microsoft-com:office:smarttags" w:element="PlaceType">
                <w:r w:rsidRPr="00FB39A5">
                  <w:rPr>
                    <w:rFonts w:ascii="Arial" w:hAnsi="Arial" w:cs="Arial"/>
                    <w:sz w:val="12"/>
                    <w:szCs w:val="12"/>
                    <w:lang w:val="en-GB"/>
                  </w:rPr>
                  <w:t>Island</w:t>
                </w:r>
              </w:smartTag>
            </w:smartTag>
          </w:p>
        </w:tc>
        <w:tc>
          <w:tcPr>
            <w:tcW w:w="974" w:type="dxa"/>
            <w:vAlign w:val="center"/>
          </w:tcPr>
          <w:p w14:paraId="52E4672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5,716.00</w:t>
            </w:r>
          </w:p>
        </w:tc>
        <w:tc>
          <w:tcPr>
            <w:tcW w:w="779" w:type="dxa"/>
            <w:vAlign w:val="center"/>
          </w:tcPr>
          <w:p w14:paraId="1F5523D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30.76</w:t>
            </w:r>
          </w:p>
        </w:tc>
        <w:tc>
          <w:tcPr>
            <w:tcW w:w="889" w:type="dxa"/>
            <w:vAlign w:val="center"/>
          </w:tcPr>
          <w:p w14:paraId="204DF5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72,480.00</w:t>
            </w:r>
          </w:p>
        </w:tc>
        <w:tc>
          <w:tcPr>
            <w:tcW w:w="832" w:type="dxa"/>
            <w:vAlign w:val="center"/>
          </w:tcPr>
          <w:p w14:paraId="69CC76F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63FDAA7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2,229,484.80</w:t>
            </w:r>
          </w:p>
        </w:tc>
        <w:tc>
          <w:tcPr>
            <w:tcW w:w="713" w:type="dxa"/>
            <w:vAlign w:val="center"/>
          </w:tcPr>
          <w:p w14:paraId="1580856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85.22</w:t>
            </w:r>
          </w:p>
        </w:tc>
        <w:tc>
          <w:tcPr>
            <w:tcW w:w="958" w:type="dxa"/>
            <w:vAlign w:val="center"/>
          </w:tcPr>
          <w:p w14:paraId="7E8B47F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4053BBD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2,616,152.08</w:t>
            </w:r>
          </w:p>
        </w:tc>
        <w:tc>
          <w:tcPr>
            <w:tcW w:w="1171" w:type="dxa"/>
            <w:vAlign w:val="center"/>
          </w:tcPr>
          <w:p w14:paraId="675B334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269.11</w:t>
            </w:r>
          </w:p>
        </w:tc>
        <w:tc>
          <w:tcPr>
            <w:tcW w:w="1480" w:type="dxa"/>
            <w:vAlign w:val="center"/>
          </w:tcPr>
          <w:p w14:paraId="30CA04E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1,538,208.28</w:t>
            </w:r>
          </w:p>
        </w:tc>
      </w:tr>
      <w:tr w:rsidR="00FB39A5" w:rsidRPr="00FB39A5" w14:paraId="23500B29" w14:textId="77777777" w:rsidTr="00FB39A5">
        <w:tblPrEx>
          <w:tblCellMar>
            <w:top w:w="0" w:type="dxa"/>
            <w:bottom w:w="0" w:type="dxa"/>
          </w:tblCellMar>
        </w:tblPrEx>
        <w:trPr>
          <w:trHeight w:val="191"/>
          <w:jc w:val="center"/>
        </w:trPr>
        <w:tc>
          <w:tcPr>
            <w:tcW w:w="860" w:type="dxa"/>
            <w:vAlign w:val="center"/>
          </w:tcPr>
          <w:p w14:paraId="75C30D3C"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56DF9EB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2003</w:t>
            </w:r>
          </w:p>
        </w:tc>
        <w:tc>
          <w:tcPr>
            <w:tcW w:w="1837" w:type="dxa"/>
            <w:vAlign w:val="center"/>
          </w:tcPr>
          <w:p w14:paraId="5BD8F6A6"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Sikka district NTT</w:t>
            </w:r>
          </w:p>
        </w:tc>
        <w:tc>
          <w:tcPr>
            <w:tcW w:w="974" w:type="dxa"/>
            <w:vAlign w:val="center"/>
          </w:tcPr>
          <w:p w14:paraId="2D7B172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220.00</w:t>
            </w:r>
          </w:p>
        </w:tc>
        <w:tc>
          <w:tcPr>
            <w:tcW w:w="779" w:type="dxa"/>
            <w:vAlign w:val="center"/>
          </w:tcPr>
          <w:p w14:paraId="6634B6C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28.12</w:t>
            </w:r>
          </w:p>
        </w:tc>
        <w:tc>
          <w:tcPr>
            <w:tcW w:w="889" w:type="dxa"/>
            <w:vAlign w:val="center"/>
          </w:tcPr>
          <w:p w14:paraId="0F55725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88,880.00</w:t>
            </w:r>
          </w:p>
        </w:tc>
        <w:tc>
          <w:tcPr>
            <w:tcW w:w="832" w:type="dxa"/>
            <w:vAlign w:val="center"/>
          </w:tcPr>
          <w:p w14:paraId="5C1089A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017EF81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2,499,305.60</w:t>
            </w:r>
          </w:p>
        </w:tc>
        <w:tc>
          <w:tcPr>
            <w:tcW w:w="713" w:type="dxa"/>
            <w:vAlign w:val="center"/>
          </w:tcPr>
          <w:p w14:paraId="7F01157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85.22</w:t>
            </w:r>
          </w:p>
        </w:tc>
        <w:tc>
          <w:tcPr>
            <w:tcW w:w="958" w:type="dxa"/>
            <w:vAlign w:val="center"/>
          </w:tcPr>
          <w:p w14:paraId="67A1B1D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4130D6F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2,932,768.83</w:t>
            </w:r>
          </w:p>
        </w:tc>
        <w:tc>
          <w:tcPr>
            <w:tcW w:w="1171" w:type="dxa"/>
            <w:vAlign w:val="center"/>
          </w:tcPr>
          <w:p w14:paraId="09B42C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301.67</w:t>
            </w:r>
          </w:p>
        </w:tc>
        <w:tc>
          <w:tcPr>
            <w:tcW w:w="1480" w:type="dxa"/>
            <w:vAlign w:val="center"/>
          </w:tcPr>
          <w:p w14:paraId="601867B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66,368.26</w:t>
            </w:r>
          </w:p>
        </w:tc>
      </w:tr>
      <w:tr w:rsidR="00FB39A5" w:rsidRPr="00FB39A5" w14:paraId="4E21ECEF" w14:textId="77777777" w:rsidTr="00FB39A5">
        <w:tblPrEx>
          <w:tblCellMar>
            <w:top w:w="0" w:type="dxa"/>
            <w:bottom w:w="0" w:type="dxa"/>
          </w:tblCellMar>
        </w:tblPrEx>
        <w:trPr>
          <w:trHeight w:val="191"/>
          <w:jc w:val="center"/>
        </w:trPr>
        <w:tc>
          <w:tcPr>
            <w:tcW w:w="860" w:type="dxa"/>
            <w:vAlign w:val="center"/>
          </w:tcPr>
          <w:p w14:paraId="50C8ED66"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4748432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2001</w:t>
            </w:r>
          </w:p>
        </w:tc>
        <w:tc>
          <w:tcPr>
            <w:tcW w:w="1837" w:type="dxa"/>
            <w:vAlign w:val="center"/>
          </w:tcPr>
          <w:p w14:paraId="3A456552"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r w:rsidRPr="00FB39A5">
                <w:rPr>
                  <w:rFonts w:ascii="Arial" w:hAnsi="Arial" w:cs="Arial"/>
                  <w:sz w:val="12"/>
                  <w:szCs w:val="12"/>
                  <w:lang w:val="en-GB"/>
                </w:rPr>
                <w:t>Kalimantan</w:t>
              </w:r>
            </w:smartTag>
            <w:r w:rsidRPr="00FB39A5">
              <w:rPr>
                <w:rFonts w:ascii="Arial" w:hAnsi="Arial" w:cs="Arial"/>
                <w:sz w:val="12"/>
                <w:szCs w:val="12"/>
                <w:lang w:val="en-GB"/>
              </w:rPr>
              <w:t xml:space="preserve"> </w:t>
            </w:r>
          </w:p>
        </w:tc>
        <w:tc>
          <w:tcPr>
            <w:tcW w:w="974" w:type="dxa"/>
            <w:vAlign w:val="center"/>
          </w:tcPr>
          <w:p w14:paraId="134CC41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14,941.00</w:t>
            </w:r>
          </w:p>
        </w:tc>
        <w:tc>
          <w:tcPr>
            <w:tcW w:w="779" w:type="dxa"/>
            <w:vAlign w:val="center"/>
          </w:tcPr>
          <w:p w14:paraId="030AB2B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91.92</w:t>
            </w:r>
          </w:p>
        </w:tc>
        <w:tc>
          <w:tcPr>
            <w:tcW w:w="889" w:type="dxa"/>
            <w:vAlign w:val="center"/>
          </w:tcPr>
          <w:p w14:paraId="4C77F27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27,440.00</w:t>
            </w:r>
          </w:p>
        </w:tc>
        <w:tc>
          <w:tcPr>
            <w:tcW w:w="832" w:type="dxa"/>
            <w:vAlign w:val="center"/>
          </w:tcPr>
          <w:p w14:paraId="309CEDF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0F60D79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2,522,284.80</w:t>
            </w:r>
          </w:p>
        </w:tc>
        <w:tc>
          <w:tcPr>
            <w:tcW w:w="713" w:type="dxa"/>
            <w:vAlign w:val="center"/>
          </w:tcPr>
          <w:p w14:paraId="113BC00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71.46</w:t>
            </w:r>
          </w:p>
        </w:tc>
        <w:tc>
          <w:tcPr>
            <w:tcW w:w="958" w:type="dxa"/>
            <w:vAlign w:val="center"/>
          </w:tcPr>
          <w:p w14:paraId="3C42B64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665733D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3,529,645.68</w:t>
            </w:r>
          </w:p>
        </w:tc>
        <w:tc>
          <w:tcPr>
            <w:tcW w:w="1171" w:type="dxa"/>
            <w:vAlign w:val="center"/>
          </w:tcPr>
          <w:p w14:paraId="3A6D3AA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363.07</w:t>
            </w:r>
          </w:p>
        </w:tc>
        <w:tc>
          <w:tcPr>
            <w:tcW w:w="1480" w:type="dxa"/>
            <w:vAlign w:val="center"/>
          </w:tcPr>
          <w:p w14:paraId="0B6F768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5,424,637.40</w:t>
            </w:r>
          </w:p>
        </w:tc>
      </w:tr>
      <w:tr w:rsidR="00FB39A5" w:rsidRPr="00FB39A5" w14:paraId="1DF38C70" w14:textId="77777777" w:rsidTr="00FB39A5">
        <w:tblPrEx>
          <w:tblCellMar>
            <w:top w:w="0" w:type="dxa"/>
            <w:bottom w:w="0" w:type="dxa"/>
          </w:tblCellMar>
        </w:tblPrEx>
        <w:trPr>
          <w:trHeight w:val="191"/>
          <w:jc w:val="center"/>
        </w:trPr>
        <w:tc>
          <w:tcPr>
            <w:tcW w:w="860" w:type="dxa"/>
            <w:vAlign w:val="center"/>
          </w:tcPr>
          <w:p w14:paraId="068B5DE7"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2B9E089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2001</w:t>
            </w:r>
          </w:p>
        </w:tc>
        <w:tc>
          <w:tcPr>
            <w:tcW w:w="1837" w:type="dxa"/>
            <w:vAlign w:val="center"/>
          </w:tcPr>
          <w:p w14:paraId="68BB4524"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Buton, </w:t>
            </w:r>
            <w:smartTag w:uri="urn:schemas-microsoft-com:office:smarttags" w:element="place">
              <w:r w:rsidRPr="00FB39A5">
                <w:rPr>
                  <w:rFonts w:ascii="Arial" w:hAnsi="Arial" w:cs="Arial"/>
                  <w:sz w:val="12"/>
                  <w:szCs w:val="12"/>
                  <w:lang w:val="en-GB"/>
                </w:rPr>
                <w:t>Southeast Sulawesi</w:t>
              </w:r>
            </w:smartTag>
          </w:p>
        </w:tc>
        <w:tc>
          <w:tcPr>
            <w:tcW w:w="974" w:type="dxa"/>
            <w:vAlign w:val="center"/>
          </w:tcPr>
          <w:p w14:paraId="7358653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144.00</w:t>
            </w:r>
          </w:p>
        </w:tc>
        <w:tc>
          <w:tcPr>
            <w:tcW w:w="779" w:type="dxa"/>
            <w:vAlign w:val="center"/>
          </w:tcPr>
          <w:p w14:paraId="212F175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17.25</w:t>
            </w:r>
          </w:p>
        </w:tc>
        <w:tc>
          <w:tcPr>
            <w:tcW w:w="889" w:type="dxa"/>
            <w:vAlign w:val="center"/>
          </w:tcPr>
          <w:p w14:paraId="269E447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60,000.00</w:t>
            </w:r>
          </w:p>
        </w:tc>
        <w:tc>
          <w:tcPr>
            <w:tcW w:w="832" w:type="dxa"/>
            <w:vAlign w:val="center"/>
          </w:tcPr>
          <w:p w14:paraId="20B61C8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0570DB2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1,035,000.00</w:t>
            </w:r>
          </w:p>
        </w:tc>
        <w:tc>
          <w:tcPr>
            <w:tcW w:w="713" w:type="dxa"/>
            <w:vAlign w:val="center"/>
          </w:tcPr>
          <w:p w14:paraId="55935F6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71.46</w:t>
            </w:r>
          </w:p>
        </w:tc>
        <w:tc>
          <w:tcPr>
            <w:tcW w:w="958" w:type="dxa"/>
            <w:vAlign w:val="center"/>
          </w:tcPr>
          <w:p w14:paraId="11BFA0C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7F889CA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1,448,362.72</w:t>
            </w:r>
          </w:p>
        </w:tc>
        <w:tc>
          <w:tcPr>
            <w:tcW w:w="1171" w:type="dxa"/>
            <w:vAlign w:val="center"/>
          </w:tcPr>
          <w:p w14:paraId="36EEBE1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148.98</w:t>
            </w:r>
          </w:p>
        </w:tc>
        <w:tc>
          <w:tcPr>
            <w:tcW w:w="1480" w:type="dxa"/>
            <w:vAlign w:val="center"/>
          </w:tcPr>
          <w:p w14:paraId="0000135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21,453.58</w:t>
            </w:r>
          </w:p>
        </w:tc>
      </w:tr>
      <w:tr w:rsidR="00FB39A5" w:rsidRPr="00FB39A5" w14:paraId="0EF55555" w14:textId="77777777" w:rsidTr="00FB39A5">
        <w:tblPrEx>
          <w:tblCellMar>
            <w:top w:w="0" w:type="dxa"/>
            <w:bottom w:w="0" w:type="dxa"/>
          </w:tblCellMar>
        </w:tblPrEx>
        <w:trPr>
          <w:trHeight w:val="191"/>
          <w:jc w:val="center"/>
        </w:trPr>
        <w:tc>
          <w:tcPr>
            <w:tcW w:w="860" w:type="dxa"/>
            <w:vAlign w:val="center"/>
          </w:tcPr>
          <w:p w14:paraId="235F5A44"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1C169F1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1837" w:type="dxa"/>
            <w:vAlign w:val="center"/>
          </w:tcPr>
          <w:p w14:paraId="2AE244FF"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West Seram District : Area I</w:t>
            </w:r>
          </w:p>
        </w:tc>
        <w:tc>
          <w:tcPr>
            <w:tcW w:w="974" w:type="dxa"/>
            <w:vAlign w:val="center"/>
          </w:tcPr>
          <w:p w14:paraId="457DA5F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175.00</w:t>
            </w:r>
          </w:p>
        </w:tc>
        <w:tc>
          <w:tcPr>
            <w:tcW w:w="779" w:type="dxa"/>
            <w:vAlign w:val="center"/>
          </w:tcPr>
          <w:p w14:paraId="005562A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50.00</w:t>
            </w:r>
          </w:p>
        </w:tc>
        <w:tc>
          <w:tcPr>
            <w:tcW w:w="889" w:type="dxa"/>
            <w:vAlign w:val="center"/>
          </w:tcPr>
          <w:p w14:paraId="66B5892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181,000.00</w:t>
            </w:r>
          </w:p>
        </w:tc>
        <w:tc>
          <w:tcPr>
            <w:tcW w:w="832" w:type="dxa"/>
            <w:vAlign w:val="center"/>
          </w:tcPr>
          <w:p w14:paraId="5D5BDF7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2898738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9,050,000.00</w:t>
            </w:r>
          </w:p>
        </w:tc>
        <w:tc>
          <w:tcPr>
            <w:tcW w:w="713" w:type="dxa"/>
            <w:vAlign w:val="center"/>
          </w:tcPr>
          <w:p w14:paraId="7B93FA3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8" w:type="dxa"/>
            <w:vAlign w:val="center"/>
          </w:tcPr>
          <w:p w14:paraId="76F2444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47332CC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14,120,767.67</w:t>
            </w:r>
          </w:p>
        </w:tc>
        <w:tc>
          <w:tcPr>
            <w:tcW w:w="1171" w:type="dxa"/>
            <w:vAlign w:val="center"/>
          </w:tcPr>
          <w:p w14:paraId="114A341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1,452.51</w:t>
            </w:r>
          </w:p>
        </w:tc>
        <w:tc>
          <w:tcPr>
            <w:tcW w:w="1480" w:type="dxa"/>
            <w:vAlign w:val="center"/>
          </w:tcPr>
          <w:p w14:paraId="66BD807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254,188.73</w:t>
            </w:r>
          </w:p>
        </w:tc>
      </w:tr>
      <w:tr w:rsidR="00FB39A5" w:rsidRPr="00FB39A5" w14:paraId="2F0DE4B5" w14:textId="77777777" w:rsidTr="00FB39A5">
        <w:tblPrEx>
          <w:tblCellMar>
            <w:top w:w="0" w:type="dxa"/>
            <w:bottom w:w="0" w:type="dxa"/>
          </w:tblCellMar>
        </w:tblPrEx>
        <w:trPr>
          <w:trHeight w:val="113"/>
          <w:jc w:val="center"/>
        </w:trPr>
        <w:tc>
          <w:tcPr>
            <w:tcW w:w="860" w:type="dxa"/>
            <w:vAlign w:val="center"/>
          </w:tcPr>
          <w:p w14:paraId="74D74F07"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2FFC5B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1837" w:type="dxa"/>
            <w:vAlign w:val="center"/>
          </w:tcPr>
          <w:p w14:paraId="2951C9CA"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West Seram District : Area II</w:t>
            </w:r>
          </w:p>
        </w:tc>
        <w:tc>
          <w:tcPr>
            <w:tcW w:w="974" w:type="dxa"/>
            <w:vAlign w:val="center"/>
          </w:tcPr>
          <w:p w14:paraId="41B713F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706.00</w:t>
            </w:r>
          </w:p>
        </w:tc>
        <w:tc>
          <w:tcPr>
            <w:tcW w:w="779" w:type="dxa"/>
            <w:vAlign w:val="center"/>
          </w:tcPr>
          <w:p w14:paraId="2785C37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40.00</w:t>
            </w:r>
          </w:p>
        </w:tc>
        <w:tc>
          <w:tcPr>
            <w:tcW w:w="889" w:type="dxa"/>
            <w:vAlign w:val="center"/>
          </w:tcPr>
          <w:p w14:paraId="51A7C8A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181,000.00</w:t>
            </w:r>
          </w:p>
        </w:tc>
        <w:tc>
          <w:tcPr>
            <w:tcW w:w="832" w:type="dxa"/>
            <w:vAlign w:val="center"/>
          </w:tcPr>
          <w:p w14:paraId="2CC9792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48396F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7,240,000.00</w:t>
            </w:r>
          </w:p>
        </w:tc>
        <w:tc>
          <w:tcPr>
            <w:tcW w:w="713" w:type="dxa"/>
            <w:vAlign w:val="center"/>
          </w:tcPr>
          <w:p w14:paraId="5E73E95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8" w:type="dxa"/>
            <w:vAlign w:val="center"/>
          </w:tcPr>
          <w:p w14:paraId="1FCC3C9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793C982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11,296,614.14</w:t>
            </w:r>
          </w:p>
        </w:tc>
        <w:tc>
          <w:tcPr>
            <w:tcW w:w="1171" w:type="dxa"/>
            <w:vAlign w:val="center"/>
          </w:tcPr>
          <w:p w14:paraId="24A7398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1,162.01</w:t>
            </w:r>
          </w:p>
        </w:tc>
        <w:tc>
          <w:tcPr>
            <w:tcW w:w="1480" w:type="dxa"/>
            <w:vAlign w:val="center"/>
          </w:tcPr>
          <w:p w14:paraId="3E571D5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820,375.97</w:t>
            </w:r>
          </w:p>
        </w:tc>
      </w:tr>
      <w:tr w:rsidR="00FB39A5" w:rsidRPr="00FB39A5" w14:paraId="38F4047E" w14:textId="77777777" w:rsidTr="00FB39A5">
        <w:tblPrEx>
          <w:tblCellMar>
            <w:top w:w="0" w:type="dxa"/>
            <w:bottom w:w="0" w:type="dxa"/>
          </w:tblCellMar>
        </w:tblPrEx>
        <w:trPr>
          <w:trHeight w:val="191"/>
          <w:jc w:val="center"/>
        </w:trPr>
        <w:tc>
          <w:tcPr>
            <w:tcW w:w="860" w:type="dxa"/>
            <w:vAlign w:val="center"/>
          </w:tcPr>
          <w:p w14:paraId="430BB385"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32F2BEE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1837" w:type="dxa"/>
            <w:vAlign w:val="center"/>
          </w:tcPr>
          <w:p w14:paraId="25923F45"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West Seram District : Area III</w:t>
            </w:r>
          </w:p>
        </w:tc>
        <w:tc>
          <w:tcPr>
            <w:tcW w:w="974" w:type="dxa"/>
            <w:vAlign w:val="center"/>
          </w:tcPr>
          <w:p w14:paraId="7691F90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110.00</w:t>
            </w:r>
          </w:p>
        </w:tc>
        <w:tc>
          <w:tcPr>
            <w:tcW w:w="779" w:type="dxa"/>
            <w:vAlign w:val="center"/>
          </w:tcPr>
          <w:p w14:paraId="590A8B6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64.30</w:t>
            </w:r>
          </w:p>
        </w:tc>
        <w:tc>
          <w:tcPr>
            <w:tcW w:w="889" w:type="dxa"/>
            <w:vAlign w:val="center"/>
          </w:tcPr>
          <w:p w14:paraId="0491F7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181,000.00</w:t>
            </w:r>
          </w:p>
        </w:tc>
        <w:tc>
          <w:tcPr>
            <w:tcW w:w="832" w:type="dxa"/>
            <w:vAlign w:val="center"/>
          </w:tcPr>
          <w:p w14:paraId="6ECB463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07514B8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11,638,300.00</w:t>
            </w:r>
          </w:p>
        </w:tc>
        <w:tc>
          <w:tcPr>
            <w:tcW w:w="713" w:type="dxa"/>
            <w:vAlign w:val="center"/>
          </w:tcPr>
          <w:p w14:paraId="54CB3FA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8" w:type="dxa"/>
            <w:vAlign w:val="center"/>
          </w:tcPr>
          <w:p w14:paraId="1455B9B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37C194D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18,159,307.22</w:t>
            </w:r>
          </w:p>
        </w:tc>
        <w:tc>
          <w:tcPr>
            <w:tcW w:w="1171" w:type="dxa"/>
            <w:vAlign w:val="center"/>
          </w:tcPr>
          <w:p w14:paraId="1877D84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1,867.92</w:t>
            </w:r>
          </w:p>
        </w:tc>
        <w:tc>
          <w:tcPr>
            <w:tcW w:w="1480" w:type="dxa"/>
            <w:vAlign w:val="center"/>
          </w:tcPr>
          <w:p w14:paraId="48B0929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205,471.65</w:t>
            </w:r>
          </w:p>
        </w:tc>
      </w:tr>
      <w:tr w:rsidR="00FB39A5" w:rsidRPr="00FB39A5" w14:paraId="65AB58C8" w14:textId="77777777" w:rsidTr="00FB39A5">
        <w:tblPrEx>
          <w:tblCellMar>
            <w:top w:w="0" w:type="dxa"/>
            <w:bottom w:w="0" w:type="dxa"/>
          </w:tblCellMar>
        </w:tblPrEx>
        <w:trPr>
          <w:trHeight w:val="191"/>
          <w:jc w:val="center"/>
        </w:trPr>
        <w:tc>
          <w:tcPr>
            <w:tcW w:w="860" w:type="dxa"/>
            <w:vAlign w:val="center"/>
          </w:tcPr>
          <w:p w14:paraId="045D2F9E"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5F86BB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1837" w:type="dxa"/>
            <w:vAlign w:val="center"/>
          </w:tcPr>
          <w:p w14:paraId="2648D825"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Batu Ampar, </w:t>
            </w:r>
            <w:smartTag w:uri="urn:schemas-microsoft-com:office:smarttags" w:element="place">
              <w:smartTag w:uri="urn:schemas-microsoft-com:office:smarttags" w:element="City">
                <w:r w:rsidRPr="00FB39A5">
                  <w:rPr>
                    <w:rFonts w:ascii="Arial" w:hAnsi="Arial" w:cs="Arial"/>
                    <w:sz w:val="12"/>
                    <w:szCs w:val="12"/>
                    <w:lang w:val="en-GB"/>
                  </w:rPr>
                  <w:t>Pontianak</w:t>
                </w:r>
              </w:smartTag>
            </w:smartTag>
          </w:p>
        </w:tc>
        <w:tc>
          <w:tcPr>
            <w:tcW w:w="974" w:type="dxa"/>
            <w:vAlign w:val="center"/>
          </w:tcPr>
          <w:p w14:paraId="5398D1A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10,277.00</w:t>
            </w:r>
          </w:p>
        </w:tc>
        <w:tc>
          <w:tcPr>
            <w:tcW w:w="779" w:type="dxa"/>
            <w:vAlign w:val="center"/>
          </w:tcPr>
          <w:p w14:paraId="28B058E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91.92</w:t>
            </w:r>
          </w:p>
        </w:tc>
        <w:tc>
          <w:tcPr>
            <w:tcW w:w="889" w:type="dxa"/>
            <w:vAlign w:val="center"/>
          </w:tcPr>
          <w:p w14:paraId="104E555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47,498.71</w:t>
            </w:r>
          </w:p>
        </w:tc>
        <w:tc>
          <w:tcPr>
            <w:tcW w:w="832" w:type="dxa"/>
            <w:vAlign w:val="center"/>
          </w:tcPr>
          <w:p w14:paraId="282D3E9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6AC6884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4,366,081.42</w:t>
            </w:r>
          </w:p>
        </w:tc>
        <w:tc>
          <w:tcPr>
            <w:tcW w:w="713" w:type="dxa"/>
            <w:vAlign w:val="center"/>
          </w:tcPr>
          <w:p w14:paraId="5D672E2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8" w:type="dxa"/>
            <w:vAlign w:val="center"/>
          </w:tcPr>
          <w:p w14:paraId="5A62CC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1B48B91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6,812,422.25</w:t>
            </w:r>
          </w:p>
        </w:tc>
        <w:tc>
          <w:tcPr>
            <w:tcW w:w="1171" w:type="dxa"/>
            <w:vAlign w:val="center"/>
          </w:tcPr>
          <w:p w14:paraId="4FF1F5E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700.75</w:t>
            </w:r>
          </w:p>
        </w:tc>
        <w:tc>
          <w:tcPr>
            <w:tcW w:w="1480" w:type="dxa"/>
            <w:vAlign w:val="center"/>
          </w:tcPr>
          <w:p w14:paraId="1074A35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7,201,581.06</w:t>
            </w:r>
          </w:p>
        </w:tc>
      </w:tr>
      <w:tr w:rsidR="00FB39A5" w:rsidRPr="00FB39A5" w14:paraId="01D02FBD" w14:textId="77777777" w:rsidTr="00FB39A5">
        <w:tblPrEx>
          <w:tblCellMar>
            <w:top w:w="0" w:type="dxa"/>
            <w:bottom w:w="0" w:type="dxa"/>
          </w:tblCellMar>
        </w:tblPrEx>
        <w:trPr>
          <w:trHeight w:val="191"/>
          <w:jc w:val="center"/>
        </w:trPr>
        <w:tc>
          <w:tcPr>
            <w:tcW w:w="860" w:type="dxa"/>
            <w:vAlign w:val="center"/>
          </w:tcPr>
          <w:p w14:paraId="7979ED7C"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55989F6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1837" w:type="dxa"/>
            <w:vAlign w:val="center"/>
          </w:tcPr>
          <w:p w14:paraId="5B28789A"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Segara Anakan </w:t>
            </w:r>
          </w:p>
        </w:tc>
        <w:tc>
          <w:tcPr>
            <w:tcW w:w="974" w:type="dxa"/>
            <w:vAlign w:val="center"/>
          </w:tcPr>
          <w:p w14:paraId="3AA796A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8,975.00</w:t>
            </w:r>
          </w:p>
        </w:tc>
        <w:tc>
          <w:tcPr>
            <w:tcW w:w="779" w:type="dxa"/>
            <w:vAlign w:val="center"/>
          </w:tcPr>
          <w:p w14:paraId="4A4B049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17.00</w:t>
            </w:r>
          </w:p>
        </w:tc>
        <w:tc>
          <w:tcPr>
            <w:tcW w:w="889" w:type="dxa"/>
            <w:vAlign w:val="center"/>
          </w:tcPr>
          <w:p w14:paraId="3AFC0E1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10,000.00</w:t>
            </w:r>
          </w:p>
        </w:tc>
        <w:tc>
          <w:tcPr>
            <w:tcW w:w="832" w:type="dxa"/>
            <w:vAlign w:val="center"/>
          </w:tcPr>
          <w:p w14:paraId="72B55E2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32E9B0D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170,000.00</w:t>
            </w:r>
          </w:p>
        </w:tc>
        <w:tc>
          <w:tcPr>
            <w:tcW w:w="713" w:type="dxa"/>
            <w:vAlign w:val="center"/>
          </w:tcPr>
          <w:p w14:paraId="4A313A0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8" w:type="dxa"/>
            <w:vAlign w:val="center"/>
          </w:tcPr>
          <w:p w14:paraId="5D8C4BA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6A3E299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275,125.42</w:t>
            </w:r>
          </w:p>
        </w:tc>
        <w:tc>
          <w:tcPr>
            <w:tcW w:w="1171" w:type="dxa"/>
            <w:vAlign w:val="center"/>
          </w:tcPr>
          <w:p w14:paraId="6DCE785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28.30</w:t>
            </w:r>
          </w:p>
        </w:tc>
        <w:tc>
          <w:tcPr>
            <w:tcW w:w="1480" w:type="dxa"/>
            <w:vAlign w:val="center"/>
          </w:tcPr>
          <w:p w14:paraId="24EBB6C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253,994.97</w:t>
            </w:r>
          </w:p>
        </w:tc>
      </w:tr>
      <w:tr w:rsidR="00FB39A5" w:rsidRPr="00FB39A5" w14:paraId="2AB86FF0" w14:textId="77777777" w:rsidTr="00FB39A5">
        <w:tblPrEx>
          <w:tblCellMar>
            <w:top w:w="0" w:type="dxa"/>
            <w:bottom w:w="0" w:type="dxa"/>
          </w:tblCellMar>
        </w:tblPrEx>
        <w:trPr>
          <w:trHeight w:val="191"/>
          <w:jc w:val="center"/>
        </w:trPr>
        <w:tc>
          <w:tcPr>
            <w:tcW w:w="860" w:type="dxa"/>
            <w:vAlign w:val="center"/>
          </w:tcPr>
          <w:p w14:paraId="2AC41CA9"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408C3F5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1837" w:type="dxa"/>
            <w:vAlign w:val="center"/>
          </w:tcPr>
          <w:p w14:paraId="5F65A838"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Segara Anakan </w:t>
            </w:r>
          </w:p>
        </w:tc>
        <w:tc>
          <w:tcPr>
            <w:tcW w:w="974" w:type="dxa"/>
            <w:vAlign w:val="center"/>
          </w:tcPr>
          <w:p w14:paraId="59F3431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12,090.00</w:t>
            </w:r>
          </w:p>
        </w:tc>
        <w:tc>
          <w:tcPr>
            <w:tcW w:w="779" w:type="dxa"/>
            <w:vAlign w:val="center"/>
          </w:tcPr>
          <w:p w14:paraId="6462700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19.40</w:t>
            </w:r>
          </w:p>
        </w:tc>
        <w:tc>
          <w:tcPr>
            <w:tcW w:w="889" w:type="dxa"/>
            <w:vAlign w:val="center"/>
          </w:tcPr>
          <w:p w14:paraId="2F71654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50,000.00</w:t>
            </w:r>
          </w:p>
        </w:tc>
        <w:tc>
          <w:tcPr>
            <w:tcW w:w="832" w:type="dxa"/>
            <w:vAlign w:val="center"/>
          </w:tcPr>
          <w:p w14:paraId="2C467A3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26CB05F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970,000.00</w:t>
            </w:r>
          </w:p>
        </w:tc>
        <w:tc>
          <w:tcPr>
            <w:tcW w:w="713" w:type="dxa"/>
            <w:vAlign w:val="center"/>
          </w:tcPr>
          <w:p w14:paraId="55AFBB5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8" w:type="dxa"/>
            <w:vAlign w:val="center"/>
          </w:tcPr>
          <w:p w14:paraId="51B34C8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668ABE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1,569,833.31</w:t>
            </w:r>
          </w:p>
        </w:tc>
        <w:tc>
          <w:tcPr>
            <w:tcW w:w="1171" w:type="dxa"/>
            <w:vAlign w:val="center"/>
          </w:tcPr>
          <w:p w14:paraId="73B7C24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161.48</w:t>
            </w:r>
          </w:p>
        </w:tc>
        <w:tc>
          <w:tcPr>
            <w:tcW w:w="1480" w:type="dxa"/>
            <w:vAlign w:val="center"/>
          </w:tcPr>
          <w:p w14:paraId="6BA4C22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1,952,269.54</w:t>
            </w:r>
          </w:p>
        </w:tc>
      </w:tr>
      <w:tr w:rsidR="00FB39A5" w:rsidRPr="00FB39A5" w14:paraId="04DDF634" w14:textId="77777777" w:rsidTr="00FB39A5">
        <w:tblPrEx>
          <w:tblCellMar>
            <w:top w:w="0" w:type="dxa"/>
            <w:bottom w:w="0" w:type="dxa"/>
          </w:tblCellMar>
        </w:tblPrEx>
        <w:trPr>
          <w:trHeight w:val="191"/>
          <w:jc w:val="center"/>
        </w:trPr>
        <w:tc>
          <w:tcPr>
            <w:tcW w:w="860" w:type="dxa"/>
            <w:vAlign w:val="center"/>
          </w:tcPr>
          <w:p w14:paraId="00AB1F16"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3FD43AC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1837" w:type="dxa"/>
            <w:vAlign w:val="center"/>
          </w:tcPr>
          <w:p w14:paraId="4BDEB496"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Gelumbang District, </w:t>
            </w:r>
            <w:smartTag w:uri="urn:schemas-microsoft-com:office:smarttags" w:element="place">
              <w:r w:rsidRPr="00FB39A5">
                <w:rPr>
                  <w:rFonts w:ascii="Arial" w:hAnsi="Arial" w:cs="Arial"/>
                  <w:sz w:val="12"/>
                  <w:szCs w:val="12"/>
                  <w:lang w:val="en-GB"/>
                </w:rPr>
                <w:t>South Sulawesi</w:t>
              </w:r>
            </w:smartTag>
          </w:p>
        </w:tc>
        <w:tc>
          <w:tcPr>
            <w:tcW w:w="974" w:type="dxa"/>
            <w:vAlign w:val="center"/>
          </w:tcPr>
          <w:p w14:paraId="39C2C5D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9,538.00</w:t>
            </w:r>
          </w:p>
        </w:tc>
        <w:tc>
          <w:tcPr>
            <w:tcW w:w="779" w:type="dxa"/>
            <w:vAlign w:val="center"/>
          </w:tcPr>
          <w:p w14:paraId="002BCF4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20.00</w:t>
            </w:r>
          </w:p>
        </w:tc>
        <w:tc>
          <w:tcPr>
            <w:tcW w:w="889" w:type="dxa"/>
            <w:vAlign w:val="center"/>
          </w:tcPr>
          <w:p w14:paraId="2BBB7CE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60,000.00</w:t>
            </w:r>
          </w:p>
        </w:tc>
        <w:tc>
          <w:tcPr>
            <w:tcW w:w="832" w:type="dxa"/>
            <w:vAlign w:val="center"/>
          </w:tcPr>
          <w:p w14:paraId="52B4A1C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76AE7BE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1,200,000.00</w:t>
            </w:r>
          </w:p>
        </w:tc>
        <w:tc>
          <w:tcPr>
            <w:tcW w:w="713" w:type="dxa"/>
            <w:vAlign w:val="center"/>
          </w:tcPr>
          <w:p w14:paraId="1ED3FA0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8" w:type="dxa"/>
            <w:vAlign w:val="center"/>
          </w:tcPr>
          <w:p w14:paraId="452B9F8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3593043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1,942,061.82</w:t>
            </w:r>
          </w:p>
        </w:tc>
        <w:tc>
          <w:tcPr>
            <w:tcW w:w="1171" w:type="dxa"/>
            <w:vAlign w:val="center"/>
          </w:tcPr>
          <w:p w14:paraId="6415581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199.77</w:t>
            </w:r>
          </w:p>
        </w:tc>
        <w:tc>
          <w:tcPr>
            <w:tcW w:w="1480" w:type="dxa"/>
            <w:vAlign w:val="center"/>
          </w:tcPr>
          <w:p w14:paraId="21E2623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1,905,374.32</w:t>
            </w:r>
          </w:p>
        </w:tc>
      </w:tr>
      <w:tr w:rsidR="00FB39A5" w:rsidRPr="00FB39A5" w14:paraId="54140E90" w14:textId="77777777" w:rsidTr="00FB39A5">
        <w:tblPrEx>
          <w:tblCellMar>
            <w:top w:w="0" w:type="dxa"/>
            <w:bottom w:w="0" w:type="dxa"/>
          </w:tblCellMar>
        </w:tblPrEx>
        <w:trPr>
          <w:trHeight w:val="191"/>
          <w:jc w:val="center"/>
        </w:trPr>
        <w:tc>
          <w:tcPr>
            <w:tcW w:w="860" w:type="dxa"/>
            <w:vAlign w:val="center"/>
          </w:tcPr>
          <w:p w14:paraId="523ADACB"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36E8768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1998</w:t>
            </w:r>
          </w:p>
        </w:tc>
        <w:tc>
          <w:tcPr>
            <w:tcW w:w="1837" w:type="dxa"/>
            <w:vAlign w:val="center"/>
          </w:tcPr>
          <w:p w14:paraId="0F1848FA"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Tulung Selapan, </w:t>
            </w:r>
            <w:smartTag w:uri="urn:schemas-microsoft-com:office:smarttags" w:element="place">
              <w:r w:rsidRPr="00FB39A5">
                <w:rPr>
                  <w:rFonts w:ascii="Arial" w:hAnsi="Arial" w:cs="Arial"/>
                  <w:sz w:val="12"/>
                  <w:szCs w:val="12"/>
                  <w:lang w:val="en-GB"/>
                </w:rPr>
                <w:t>South Sumatra</w:t>
              </w:r>
            </w:smartTag>
            <w:r w:rsidRPr="00FB39A5">
              <w:rPr>
                <w:rFonts w:ascii="Arial" w:hAnsi="Arial" w:cs="Arial"/>
                <w:sz w:val="12"/>
                <w:szCs w:val="12"/>
                <w:lang w:val="en-GB"/>
              </w:rPr>
              <w:t xml:space="preserve"> </w:t>
            </w:r>
          </w:p>
        </w:tc>
        <w:tc>
          <w:tcPr>
            <w:tcW w:w="974" w:type="dxa"/>
            <w:vAlign w:val="center"/>
          </w:tcPr>
          <w:p w14:paraId="31B4652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8,232.00</w:t>
            </w:r>
          </w:p>
        </w:tc>
        <w:tc>
          <w:tcPr>
            <w:tcW w:w="779" w:type="dxa"/>
            <w:vAlign w:val="center"/>
          </w:tcPr>
          <w:p w14:paraId="709A5EB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64.40</w:t>
            </w:r>
          </w:p>
        </w:tc>
        <w:tc>
          <w:tcPr>
            <w:tcW w:w="889" w:type="dxa"/>
            <w:vAlign w:val="center"/>
          </w:tcPr>
          <w:p w14:paraId="6D2F82F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100,000.00</w:t>
            </w:r>
          </w:p>
        </w:tc>
        <w:tc>
          <w:tcPr>
            <w:tcW w:w="832" w:type="dxa"/>
            <w:vAlign w:val="center"/>
          </w:tcPr>
          <w:p w14:paraId="52C12A4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577EF3A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6,440,000.00</w:t>
            </w:r>
          </w:p>
        </w:tc>
        <w:tc>
          <w:tcPr>
            <w:tcW w:w="713" w:type="dxa"/>
            <w:vAlign w:val="center"/>
          </w:tcPr>
          <w:p w14:paraId="3C571B8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51.28</w:t>
            </w:r>
          </w:p>
        </w:tc>
        <w:tc>
          <w:tcPr>
            <w:tcW w:w="958" w:type="dxa"/>
            <w:vAlign w:val="center"/>
          </w:tcPr>
          <w:p w14:paraId="74C8B2A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527BC1D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12,558,502.34</w:t>
            </w:r>
          </w:p>
        </w:tc>
        <w:tc>
          <w:tcPr>
            <w:tcW w:w="1171" w:type="dxa"/>
            <w:vAlign w:val="center"/>
          </w:tcPr>
          <w:p w14:paraId="70C7F5B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1,291.81</w:t>
            </w:r>
          </w:p>
        </w:tc>
        <w:tc>
          <w:tcPr>
            <w:tcW w:w="1480" w:type="dxa"/>
            <w:vAlign w:val="center"/>
          </w:tcPr>
          <w:p w14:paraId="4229AE6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10,634,159.02</w:t>
            </w:r>
          </w:p>
        </w:tc>
      </w:tr>
      <w:tr w:rsidR="00FB39A5" w:rsidRPr="00FB39A5" w14:paraId="5BD7969C" w14:textId="77777777" w:rsidTr="00FB39A5">
        <w:tblPrEx>
          <w:tblCellMar>
            <w:top w:w="0" w:type="dxa"/>
            <w:bottom w:w="0" w:type="dxa"/>
          </w:tblCellMar>
        </w:tblPrEx>
        <w:trPr>
          <w:trHeight w:val="191"/>
          <w:jc w:val="center"/>
        </w:trPr>
        <w:tc>
          <w:tcPr>
            <w:tcW w:w="860" w:type="dxa"/>
            <w:vAlign w:val="center"/>
          </w:tcPr>
          <w:p w14:paraId="207F9B28"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5A70162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1997</w:t>
            </w:r>
          </w:p>
        </w:tc>
        <w:tc>
          <w:tcPr>
            <w:tcW w:w="1837" w:type="dxa"/>
            <w:vAlign w:val="center"/>
          </w:tcPr>
          <w:p w14:paraId="190E16EE"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Batam Rempang and </w:t>
            </w:r>
            <w:smartTag w:uri="urn:schemas-microsoft-com:office:smarttags" w:element="place">
              <w:smartTag w:uri="urn:schemas-microsoft-com:office:smarttags" w:element="PlaceName">
                <w:r w:rsidRPr="00FB39A5">
                  <w:rPr>
                    <w:rFonts w:ascii="Arial" w:hAnsi="Arial" w:cs="Arial"/>
                    <w:sz w:val="12"/>
                    <w:szCs w:val="12"/>
                    <w:lang w:val="en-GB"/>
                  </w:rPr>
                  <w:t>Galang</w:t>
                </w:r>
              </w:smartTag>
              <w:r w:rsidRPr="00FB39A5">
                <w:rPr>
                  <w:rFonts w:ascii="Arial" w:hAnsi="Arial" w:cs="Arial"/>
                  <w:sz w:val="12"/>
                  <w:szCs w:val="12"/>
                  <w:lang w:val="en-GB"/>
                </w:rPr>
                <w:t xml:space="preserve"> </w:t>
              </w:r>
              <w:smartTag w:uri="urn:schemas-microsoft-com:office:smarttags" w:element="PlaceType">
                <w:r w:rsidRPr="00FB39A5">
                  <w:rPr>
                    <w:rFonts w:ascii="Arial" w:hAnsi="Arial" w:cs="Arial"/>
                    <w:sz w:val="12"/>
                    <w:szCs w:val="12"/>
                    <w:lang w:val="en-GB"/>
                  </w:rPr>
                  <w:t>Island</w:t>
                </w:r>
              </w:smartTag>
            </w:smartTag>
          </w:p>
        </w:tc>
        <w:tc>
          <w:tcPr>
            <w:tcW w:w="974" w:type="dxa"/>
            <w:vAlign w:val="center"/>
          </w:tcPr>
          <w:p w14:paraId="4C92769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16,520.00</w:t>
            </w:r>
          </w:p>
        </w:tc>
        <w:tc>
          <w:tcPr>
            <w:tcW w:w="779" w:type="dxa"/>
            <w:vAlign w:val="center"/>
          </w:tcPr>
          <w:p w14:paraId="29DD29D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49.74</w:t>
            </w:r>
          </w:p>
        </w:tc>
        <w:tc>
          <w:tcPr>
            <w:tcW w:w="889" w:type="dxa"/>
            <w:vAlign w:val="center"/>
          </w:tcPr>
          <w:p w14:paraId="249A2D6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7,840.00</w:t>
            </w:r>
          </w:p>
        </w:tc>
        <w:tc>
          <w:tcPr>
            <w:tcW w:w="832" w:type="dxa"/>
            <w:vAlign w:val="center"/>
          </w:tcPr>
          <w:p w14:paraId="49CC0F7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347A6D0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389,961.60</w:t>
            </w:r>
          </w:p>
        </w:tc>
        <w:tc>
          <w:tcPr>
            <w:tcW w:w="713" w:type="dxa"/>
            <w:vAlign w:val="center"/>
          </w:tcPr>
          <w:p w14:paraId="57B45CE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32.38</w:t>
            </w:r>
          </w:p>
        </w:tc>
        <w:tc>
          <w:tcPr>
            <w:tcW w:w="958" w:type="dxa"/>
            <w:vAlign w:val="center"/>
          </w:tcPr>
          <w:p w14:paraId="3D5C39A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161D40B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1,204,328.60</w:t>
            </w:r>
          </w:p>
        </w:tc>
        <w:tc>
          <w:tcPr>
            <w:tcW w:w="1171" w:type="dxa"/>
            <w:vAlign w:val="center"/>
          </w:tcPr>
          <w:p w14:paraId="7B48A66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123.88</w:t>
            </w:r>
          </w:p>
        </w:tc>
        <w:tc>
          <w:tcPr>
            <w:tcW w:w="1480" w:type="dxa"/>
            <w:vAlign w:val="center"/>
          </w:tcPr>
          <w:p w14:paraId="2D24121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2,046,515.22</w:t>
            </w:r>
          </w:p>
        </w:tc>
      </w:tr>
      <w:tr w:rsidR="00FB39A5" w:rsidRPr="00FB39A5" w14:paraId="424B4794" w14:textId="77777777" w:rsidTr="00FB39A5">
        <w:tblPrEx>
          <w:tblCellMar>
            <w:top w:w="0" w:type="dxa"/>
            <w:bottom w:w="0" w:type="dxa"/>
          </w:tblCellMar>
        </w:tblPrEx>
        <w:trPr>
          <w:trHeight w:val="191"/>
          <w:jc w:val="center"/>
        </w:trPr>
        <w:tc>
          <w:tcPr>
            <w:tcW w:w="860" w:type="dxa"/>
            <w:vAlign w:val="center"/>
          </w:tcPr>
          <w:p w14:paraId="78B9C1B9"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949DB5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1996</w:t>
            </w:r>
          </w:p>
        </w:tc>
        <w:tc>
          <w:tcPr>
            <w:tcW w:w="1837" w:type="dxa"/>
            <w:vAlign w:val="center"/>
          </w:tcPr>
          <w:p w14:paraId="7171035A"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Subang District</w:t>
            </w:r>
          </w:p>
        </w:tc>
        <w:tc>
          <w:tcPr>
            <w:tcW w:w="974" w:type="dxa"/>
            <w:vAlign w:val="center"/>
          </w:tcPr>
          <w:p w14:paraId="179A96F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5,327.00</w:t>
            </w:r>
          </w:p>
        </w:tc>
        <w:tc>
          <w:tcPr>
            <w:tcW w:w="779" w:type="dxa"/>
            <w:vAlign w:val="center"/>
          </w:tcPr>
          <w:p w14:paraId="209E8AE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38.00</w:t>
            </w:r>
          </w:p>
        </w:tc>
        <w:tc>
          <w:tcPr>
            <w:tcW w:w="889" w:type="dxa"/>
            <w:vAlign w:val="center"/>
          </w:tcPr>
          <w:p w14:paraId="7D446FF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160,000.00</w:t>
            </w:r>
          </w:p>
        </w:tc>
        <w:tc>
          <w:tcPr>
            <w:tcW w:w="832" w:type="dxa"/>
            <w:vAlign w:val="center"/>
          </w:tcPr>
          <w:p w14:paraId="4588A76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268B15A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6,080,000.00</w:t>
            </w:r>
          </w:p>
        </w:tc>
        <w:tc>
          <w:tcPr>
            <w:tcW w:w="713" w:type="dxa"/>
            <w:vAlign w:val="center"/>
          </w:tcPr>
          <w:p w14:paraId="40CB5FF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30.48</w:t>
            </w:r>
          </w:p>
        </w:tc>
        <w:tc>
          <w:tcPr>
            <w:tcW w:w="958" w:type="dxa"/>
            <w:vAlign w:val="center"/>
          </w:tcPr>
          <w:p w14:paraId="552D89E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4F114B5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19,947,506.56</w:t>
            </w:r>
          </w:p>
        </w:tc>
        <w:tc>
          <w:tcPr>
            <w:tcW w:w="1171" w:type="dxa"/>
            <w:vAlign w:val="center"/>
          </w:tcPr>
          <w:p w14:paraId="65837D2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2,051.86</w:t>
            </w:r>
          </w:p>
        </w:tc>
        <w:tc>
          <w:tcPr>
            <w:tcW w:w="1480" w:type="dxa"/>
            <w:vAlign w:val="center"/>
          </w:tcPr>
          <w:p w14:paraId="00651E6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10,930,279.09</w:t>
            </w:r>
          </w:p>
        </w:tc>
      </w:tr>
      <w:tr w:rsidR="00FB39A5" w:rsidRPr="00FB39A5" w14:paraId="434A596E" w14:textId="77777777" w:rsidTr="00FB39A5">
        <w:tblPrEx>
          <w:tblCellMar>
            <w:top w:w="0" w:type="dxa"/>
            <w:bottom w:w="0" w:type="dxa"/>
          </w:tblCellMar>
        </w:tblPrEx>
        <w:trPr>
          <w:trHeight w:val="191"/>
          <w:jc w:val="center"/>
        </w:trPr>
        <w:tc>
          <w:tcPr>
            <w:tcW w:w="860" w:type="dxa"/>
            <w:vAlign w:val="center"/>
          </w:tcPr>
          <w:p w14:paraId="5D05D886"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44507A2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1991</w:t>
            </w:r>
          </w:p>
        </w:tc>
        <w:tc>
          <w:tcPr>
            <w:tcW w:w="1837" w:type="dxa"/>
            <w:vAlign w:val="center"/>
          </w:tcPr>
          <w:p w14:paraId="5E6AEC1A"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Bintuni</w:t>
                </w:r>
              </w:smartTag>
              <w:r w:rsidRPr="00FB39A5">
                <w:rPr>
                  <w:rFonts w:ascii="Arial" w:hAnsi="Arial" w:cs="Arial"/>
                  <w:sz w:val="12"/>
                  <w:szCs w:val="12"/>
                  <w:lang w:val="en-GB"/>
                </w:rPr>
                <w:t xml:space="preserve"> </w:t>
              </w:r>
              <w:smartTag w:uri="urn:schemas-microsoft-com:office:smarttags" w:element="PlaceType">
                <w:r w:rsidRPr="00FB39A5">
                  <w:rPr>
                    <w:rFonts w:ascii="Arial" w:hAnsi="Arial" w:cs="Arial"/>
                    <w:sz w:val="12"/>
                    <w:szCs w:val="12"/>
                    <w:lang w:val="en-GB"/>
                  </w:rPr>
                  <w:t>Bay</w:t>
                </w:r>
              </w:smartTag>
            </w:smartTag>
            <w:r w:rsidRPr="00FB39A5">
              <w:rPr>
                <w:rFonts w:ascii="Arial" w:hAnsi="Arial" w:cs="Arial"/>
                <w:sz w:val="12"/>
                <w:szCs w:val="12"/>
                <w:lang w:val="en-GB"/>
              </w:rPr>
              <w:t xml:space="preserve"> Papua</w:t>
            </w:r>
          </w:p>
        </w:tc>
        <w:tc>
          <w:tcPr>
            <w:tcW w:w="974" w:type="dxa"/>
            <w:vAlign w:val="center"/>
          </w:tcPr>
          <w:p w14:paraId="46F09BA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300,000.00</w:t>
            </w:r>
          </w:p>
        </w:tc>
        <w:tc>
          <w:tcPr>
            <w:tcW w:w="779" w:type="dxa"/>
            <w:vAlign w:val="center"/>
          </w:tcPr>
          <w:p w14:paraId="1790395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80.00</w:t>
            </w:r>
          </w:p>
        </w:tc>
        <w:tc>
          <w:tcPr>
            <w:tcW w:w="889" w:type="dxa"/>
            <w:vAlign w:val="center"/>
          </w:tcPr>
          <w:p w14:paraId="12F3EEF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128,000.00</w:t>
            </w:r>
          </w:p>
        </w:tc>
        <w:tc>
          <w:tcPr>
            <w:tcW w:w="832" w:type="dxa"/>
            <w:vAlign w:val="center"/>
          </w:tcPr>
          <w:p w14:paraId="3323039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614EC3B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10,240,000.00</w:t>
            </w:r>
          </w:p>
        </w:tc>
        <w:tc>
          <w:tcPr>
            <w:tcW w:w="713" w:type="dxa"/>
            <w:vAlign w:val="center"/>
          </w:tcPr>
          <w:p w14:paraId="25B69B2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20.16</w:t>
            </w:r>
          </w:p>
        </w:tc>
        <w:tc>
          <w:tcPr>
            <w:tcW w:w="958" w:type="dxa"/>
            <w:vAlign w:val="center"/>
          </w:tcPr>
          <w:p w14:paraId="696BA51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61A9A02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50,793,650.79</w:t>
            </w:r>
          </w:p>
        </w:tc>
        <w:tc>
          <w:tcPr>
            <w:tcW w:w="1171" w:type="dxa"/>
            <w:vAlign w:val="center"/>
          </w:tcPr>
          <w:p w14:paraId="4372ADF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5,224.80</w:t>
            </w:r>
          </w:p>
        </w:tc>
        <w:tc>
          <w:tcPr>
            <w:tcW w:w="1480" w:type="dxa"/>
            <w:vAlign w:val="center"/>
          </w:tcPr>
          <w:p w14:paraId="2189ECB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1,567,438,901.94</w:t>
            </w:r>
          </w:p>
        </w:tc>
      </w:tr>
      <w:tr w:rsidR="00FB39A5" w:rsidRPr="00FB39A5" w14:paraId="46C20949" w14:textId="77777777" w:rsidTr="00FB39A5">
        <w:tblPrEx>
          <w:tblCellMar>
            <w:top w:w="0" w:type="dxa"/>
            <w:bottom w:w="0" w:type="dxa"/>
          </w:tblCellMar>
        </w:tblPrEx>
        <w:trPr>
          <w:trHeight w:val="191"/>
          <w:jc w:val="center"/>
        </w:trPr>
        <w:tc>
          <w:tcPr>
            <w:tcW w:w="860" w:type="dxa"/>
            <w:vAlign w:val="center"/>
          </w:tcPr>
          <w:p w14:paraId="1655B8F7"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71A593B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1988</w:t>
            </w:r>
          </w:p>
        </w:tc>
        <w:tc>
          <w:tcPr>
            <w:tcW w:w="1837" w:type="dxa"/>
            <w:vAlign w:val="center"/>
          </w:tcPr>
          <w:p w14:paraId="78202E2A"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r w:rsidRPr="00FB39A5">
                <w:rPr>
                  <w:rFonts w:ascii="Arial" w:hAnsi="Arial" w:cs="Arial"/>
                  <w:sz w:val="12"/>
                  <w:szCs w:val="12"/>
                  <w:lang w:val="en-GB"/>
                </w:rPr>
                <w:t>Sumatra</w:t>
              </w:r>
            </w:smartTag>
          </w:p>
        </w:tc>
        <w:tc>
          <w:tcPr>
            <w:tcW w:w="974" w:type="dxa"/>
            <w:vAlign w:val="center"/>
          </w:tcPr>
          <w:p w14:paraId="0597F01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386,100.00</w:t>
            </w:r>
          </w:p>
        </w:tc>
        <w:tc>
          <w:tcPr>
            <w:tcW w:w="779" w:type="dxa"/>
            <w:vAlign w:val="center"/>
          </w:tcPr>
          <w:p w14:paraId="30E1FB9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66.00</w:t>
            </w:r>
          </w:p>
        </w:tc>
        <w:tc>
          <w:tcPr>
            <w:tcW w:w="889" w:type="dxa"/>
            <w:vAlign w:val="center"/>
          </w:tcPr>
          <w:p w14:paraId="687EB9C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7,520.00</w:t>
            </w:r>
          </w:p>
        </w:tc>
        <w:tc>
          <w:tcPr>
            <w:tcW w:w="832" w:type="dxa"/>
            <w:vAlign w:val="center"/>
          </w:tcPr>
          <w:p w14:paraId="60A92DC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29" w:type="dxa"/>
            <w:gridSpan w:val="2"/>
            <w:vAlign w:val="center"/>
          </w:tcPr>
          <w:p w14:paraId="554D1CA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496,320.00</w:t>
            </w:r>
          </w:p>
        </w:tc>
        <w:tc>
          <w:tcPr>
            <w:tcW w:w="713" w:type="dxa"/>
            <w:vAlign w:val="center"/>
          </w:tcPr>
          <w:p w14:paraId="0A502C5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16.06</w:t>
            </w:r>
          </w:p>
        </w:tc>
        <w:tc>
          <w:tcPr>
            <w:tcW w:w="958" w:type="dxa"/>
            <w:vAlign w:val="center"/>
          </w:tcPr>
          <w:p w14:paraId="40C12BD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4DBBC01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3,090,410.96</w:t>
            </w:r>
          </w:p>
        </w:tc>
        <w:tc>
          <w:tcPr>
            <w:tcW w:w="1171" w:type="dxa"/>
            <w:vAlign w:val="center"/>
          </w:tcPr>
          <w:p w14:paraId="36C4AB7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317.89</w:t>
            </w:r>
          </w:p>
        </w:tc>
        <w:tc>
          <w:tcPr>
            <w:tcW w:w="1480" w:type="dxa"/>
            <w:vAlign w:val="center"/>
          </w:tcPr>
          <w:p w14:paraId="31F2B2C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122,737,133.01</w:t>
            </w:r>
          </w:p>
        </w:tc>
      </w:tr>
      <w:tr w:rsidR="00FB39A5" w:rsidRPr="00FB39A5" w14:paraId="226B412B" w14:textId="77777777" w:rsidTr="00FB39A5">
        <w:tblPrEx>
          <w:tblCellMar>
            <w:top w:w="0" w:type="dxa"/>
            <w:bottom w:w="0" w:type="dxa"/>
          </w:tblCellMar>
        </w:tblPrEx>
        <w:trPr>
          <w:trHeight w:val="205"/>
          <w:jc w:val="center"/>
        </w:trPr>
        <w:tc>
          <w:tcPr>
            <w:tcW w:w="860" w:type="dxa"/>
            <w:vAlign w:val="center"/>
          </w:tcPr>
          <w:p w14:paraId="1CEB12CF"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Philippines</w:t>
                </w:r>
              </w:smartTag>
            </w:smartTag>
          </w:p>
        </w:tc>
        <w:tc>
          <w:tcPr>
            <w:tcW w:w="859" w:type="dxa"/>
            <w:vAlign w:val="center"/>
          </w:tcPr>
          <w:p w14:paraId="013D482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1996</w:t>
            </w:r>
          </w:p>
        </w:tc>
        <w:tc>
          <w:tcPr>
            <w:tcW w:w="1837" w:type="dxa"/>
            <w:vAlign w:val="center"/>
          </w:tcPr>
          <w:p w14:paraId="27058F15"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City">
                <w:r w:rsidRPr="00FB39A5">
                  <w:rPr>
                    <w:rFonts w:ascii="Arial" w:hAnsi="Arial" w:cs="Arial"/>
                    <w:sz w:val="12"/>
                    <w:szCs w:val="12"/>
                    <w:lang w:val="en-GB"/>
                  </w:rPr>
                  <w:t>Pagbilao</w:t>
                </w:r>
              </w:smartTag>
              <w:r w:rsidRPr="00FB39A5">
                <w:rPr>
                  <w:rFonts w:ascii="Arial" w:hAnsi="Arial" w:cs="Arial"/>
                  <w:sz w:val="12"/>
                  <w:szCs w:val="12"/>
                  <w:lang w:val="en-GB"/>
                </w:rPr>
                <w:t xml:space="preserve">, </w:t>
              </w:r>
              <w:smartTag w:uri="urn:schemas-microsoft-com:office:smarttags" w:element="country-region">
                <w:r w:rsidRPr="00FB39A5">
                  <w:rPr>
                    <w:rFonts w:ascii="Arial" w:hAnsi="Arial" w:cs="Arial"/>
                    <w:sz w:val="12"/>
                    <w:szCs w:val="12"/>
                    <w:lang w:val="en-GB"/>
                  </w:rPr>
                  <w:t>Philippines</w:t>
                </w:r>
              </w:smartTag>
            </w:smartTag>
          </w:p>
        </w:tc>
        <w:tc>
          <w:tcPr>
            <w:tcW w:w="974" w:type="dxa"/>
            <w:vAlign w:val="center"/>
          </w:tcPr>
          <w:p w14:paraId="1B4ED1B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1,440.00</w:t>
            </w:r>
          </w:p>
        </w:tc>
        <w:tc>
          <w:tcPr>
            <w:tcW w:w="779" w:type="dxa"/>
            <w:vAlign w:val="center"/>
          </w:tcPr>
          <w:p w14:paraId="39D09B4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w:t>
            </w:r>
          </w:p>
        </w:tc>
        <w:tc>
          <w:tcPr>
            <w:tcW w:w="889" w:type="dxa"/>
            <w:vAlign w:val="center"/>
          </w:tcPr>
          <w:p w14:paraId="12E1FF0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1,664.00</w:t>
            </w:r>
          </w:p>
        </w:tc>
        <w:tc>
          <w:tcPr>
            <w:tcW w:w="832" w:type="dxa"/>
            <w:vAlign w:val="center"/>
          </w:tcPr>
          <w:p w14:paraId="03014D8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PHP</w:t>
            </w:r>
          </w:p>
        </w:tc>
        <w:tc>
          <w:tcPr>
            <w:tcW w:w="1229" w:type="dxa"/>
            <w:gridSpan w:val="2"/>
            <w:vAlign w:val="center"/>
          </w:tcPr>
          <w:p w14:paraId="64078D9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6,656.00</w:t>
            </w:r>
          </w:p>
        </w:tc>
        <w:tc>
          <w:tcPr>
            <w:tcW w:w="713" w:type="dxa"/>
            <w:vAlign w:val="center"/>
          </w:tcPr>
          <w:p w14:paraId="10D0462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59.56</w:t>
            </w:r>
          </w:p>
        </w:tc>
        <w:tc>
          <w:tcPr>
            <w:tcW w:w="958" w:type="dxa"/>
            <w:vAlign w:val="center"/>
          </w:tcPr>
          <w:p w14:paraId="21213F8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55.14</w:t>
            </w:r>
          </w:p>
        </w:tc>
        <w:tc>
          <w:tcPr>
            <w:tcW w:w="1449" w:type="dxa"/>
            <w:vAlign w:val="center"/>
          </w:tcPr>
          <w:p w14:paraId="138E2E2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11,175.29</w:t>
            </w:r>
          </w:p>
        </w:tc>
        <w:tc>
          <w:tcPr>
            <w:tcW w:w="1171" w:type="dxa"/>
            <w:vAlign w:val="center"/>
          </w:tcPr>
          <w:p w14:paraId="508E46E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202.67</w:t>
            </w:r>
          </w:p>
        </w:tc>
        <w:tc>
          <w:tcPr>
            <w:tcW w:w="1480" w:type="dxa"/>
            <w:vAlign w:val="center"/>
          </w:tcPr>
          <w:p w14:paraId="7D4385A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291,846.46</w:t>
            </w:r>
          </w:p>
        </w:tc>
      </w:tr>
      <w:tr w:rsidR="00FB39A5" w:rsidRPr="00FB39A5" w14:paraId="7D147C8C" w14:textId="77777777" w:rsidTr="00FB39A5">
        <w:tblPrEx>
          <w:tblCellMar>
            <w:top w:w="0" w:type="dxa"/>
            <w:bottom w:w="0" w:type="dxa"/>
          </w:tblCellMar>
        </w:tblPrEx>
        <w:trPr>
          <w:trHeight w:val="191"/>
          <w:jc w:val="center"/>
        </w:trPr>
        <w:tc>
          <w:tcPr>
            <w:tcW w:w="860" w:type="dxa"/>
            <w:vAlign w:val="center"/>
          </w:tcPr>
          <w:p w14:paraId="07AFDEE0"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Malaysia</w:t>
                </w:r>
              </w:smartTag>
            </w:smartTag>
          </w:p>
        </w:tc>
        <w:tc>
          <w:tcPr>
            <w:tcW w:w="859" w:type="dxa"/>
            <w:vAlign w:val="center"/>
          </w:tcPr>
          <w:p w14:paraId="0105D91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1998</w:t>
            </w:r>
          </w:p>
        </w:tc>
        <w:tc>
          <w:tcPr>
            <w:tcW w:w="1837" w:type="dxa"/>
            <w:vAlign w:val="center"/>
          </w:tcPr>
          <w:p w14:paraId="58663D84"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Kuala Selangor</w:t>
            </w:r>
          </w:p>
        </w:tc>
        <w:tc>
          <w:tcPr>
            <w:tcW w:w="974" w:type="dxa"/>
            <w:vAlign w:val="center"/>
          </w:tcPr>
          <w:p w14:paraId="6552DBF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379.00</w:t>
            </w:r>
          </w:p>
        </w:tc>
        <w:tc>
          <w:tcPr>
            <w:tcW w:w="779" w:type="dxa"/>
            <w:vAlign w:val="center"/>
          </w:tcPr>
          <w:p w14:paraId="36CCED4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61.80</w:t>
            </w:r>
          </w:p>
        </w:tc>
        <w:tc>
          <w:tcPr>
            <w:tcW w:w="889" w:type="dxa"/>
            <w:vAlign w:val="center"/>
          </w:tcPr>
          <w:p w14:paraId="6EB72A6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4.12</w:t>
            </w:r>
          </w:p>
        </w:tc>
        <w:tc>
          <w:tcPr>
            <w:tcW w:w="832" w:type="dxa"/>
            <w:vAlign w:val="center"/>
          </w:tcPr>
          <w:p w14:paraId="03E3D14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RM</w:t>
            </w:r>
          </w:p>
        </w:tc>
        <w:tc>
          <w:tcPr>
            <w:tcW w:w="1229" w:type="dxa"/>
            <w:gridSpan w:val="2"/>
            <w:vAlign w:val="center"/>
          </w:tcPr>
          <w:p w14:paraId="55E0221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254.81</w:t>
            </w:r>
          </w:p>
        </w:tc>
        <w:tc>
          <w:tcPr>
            <w:tcW w:w="713" w:type="dxa"/>
            <w:vAlign w:val="center"/>
          </w:tcPr>
          <w:p w14:paraId="128917B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87.87</w:t>
            </w:r>
          </w:p>
        </w:tc>
        <w:tc>
          <w:tcPr>
            <w:tcW w:w="958" w:type="dxa"/>
            <w:vAlign w:val="center"/>
          </w:tcPr>
          <w:p w14:paraId="305F79E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3.79</w:t>
            </w:r>
          </w:p>
        </w:tc>
        <w:tc>
          <w:tcPr>
            <w:tcW w:w="1449" w:type="dxa"/>
            <w:vAlign w:val="center"/>
          </w:tcPr>
          <w:p w14:paraId="59D49C7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289.99</w:t>
            </w:r>
          </w:p>
        </w:tc>
        <w:tc>
          <w:tcPr>
            <w:tcW w:w="1171" w:type="dxa"/>
            <w:vAlign w:val="center"/>
          </w:tcPr>
          <w:p w14:paraId="4C842DC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76.54</w:t>
            </w:r>
          </w:p>
        </w:tc>
        <w:tc>
          <w:tcPr>
            <w:tcW w:w="1480" w:type="dxa"/>
            <w:vAlign w:val="center"/>
          </w:tcPr>
          <w:p w14:paraId="05DCA78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29,009.24</w:t>
            </w:r>
          </w:p>
        </w:tc>
      </w:tr>
      <w:tr w:rsidR="00FB39A5" w:rsidRPr="00FB39A5" w14:paraId="6E6476BA" w14:textId="77777777" w:rsidTr="00FB39A5">
        <w:tblPrEx>
          <w:tblCellMar>
            <w:top w:w="0" w:type="dxa"/>
            <w:bottom w:w="0" w:type="dxa"/>
          </w:tblCellMar>
        </w:tblPrEx>
        <w:trPr>
          <w:trHeight w:val="191"/>
          <w:jc w:val="center"/>
        </w:trPr>
        <w:tc>
          <w:tcPr>
            <w:tcW w:w="860" w:type="dxa"/>
            <w:vAlign w:val="center"/>
          </w:tcPr>
          <w:p w14:paraId="15FB0D22"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5B33980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1997</w:t>
            </w:r>
          </w:p>
        </w:tc>
        <w:tc>
          <w:tcPr>
            <w:tcW w:w="1837" w:type="dxa"/>
            <w:vAlign w:val="center"/>
          </w:tcPr>
          <w:p w14:paraId="655B6994"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Coast of </w:t>
            </w:r>
            <w:smartTag w:uri="urn:schemas-microsoft-com:office:smarttags" w:element="place">
              <w:r w:rsidRPr="00FB39A5">
                <w:rPr>
                  <w:rFonts w:ascii="Arial" w:hAnsi="Arial" w:cs="Arial"/>
                  <w:sz w:val="12"/>
                  <w:szCs w:val="12"/>
                  <w:lang w:val="en-GB"/>
                </w:rPr>
                <w:t>Malacca</w:t>
              </w:r>
            </w:smartTag>
          </w:p>
        </w:tc>
        <w:tc>
          <w:tcPr>
            <w:tcW w:w="974" w:type="dxa"/>
            <w:vAlign w:val="center"/>
          </w:tcPr>
          <w:p w14:paraId="7EEE3F5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78,395.00</w:t>
            </w:r>
          </w:p>
        </w:tc>
        <w:tc>
          <w:tcPr>
            <w:tcW w:w="779" w:type="dxa"/>
            <w:vAlign w:val="center"/>
          </w:tcPr>
          <w:p w14:paraId="1500A7A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N/A</w:t>
            </w:r>
          </w:p>
        </w:tc>
        <w:tc>
          <w:tcPr>
            <w:tcW w:w="889" w:type="dxa"/>
            <w:vAlign w:val="center"/>
          </w:tcPr>
          <w:p w14:paraId="552C6A3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N/A</w:t>
            </w:r>
          </w:p>
        </w:tc>
        <w:tc>
          <w:tcPr>
            <w:tcW w:w="832" w:type="dxa"/>
            <w:vAlign w:val="center"/>
          </w:tcPr>
          <w:p w14:paraId="23F4855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RM</w:t>
            </w:r>
          </w:p>
        </w:tc>
        <w:tc>
          <w:tcPr>
            <w:tcW w:w="1229" w:type="dxa"/>
            <w:gridSpan w:val="2"/>
            <w:vAlign w:val="center"/>
          </w:tcPr>
          <w:p w14:paraId="76AB687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913.36</w:t>
            </w:r>
          </w:p>
        </w:tc>
        <w:tc>
          <w:tcPr>
            <w:tcW w:w="713" w:type="dxa"/>
            <w:vAlign w:val="center"/>
          </w:tcPr>
          <w:p w14:paraId="28D46B1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83.47</w:t>
            </w:r>
          </w:p>
        </w:tc>
        <w:tc>
          <w:tcPr>
            <w:tcW w:w="958" w:type="dxa"/>
            <w:vAlign w:val="center"/>
          </w:tcPr>
          <w:p w14:paraId="781DF9F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3.79</w:t>
            </w:r>
          </w:p>
        </w:tc>
        <w:tc>
          <w:tcPr>
            <w:tcW w:w="1449" w:type="dxa"/>
            <w:vAlign w:val="center"/>
          </w:tcPr>
          <w:p w14:paraId="310C89E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1,094.24</w:t>
            </w:r>
          </w:p>
        </w:tc>
        <w:tc>
          <w:tcPr>
            <w:tcW w:w="1171" w:type="dxa"/>
            <w:vAlign w:val="center"/>
          </w:tcPr>
          <w:p w14:paraId="4913038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288.82</w:t>
            </w:r>
          </w:p>
        </w:tc>
        <w:tc>
          <w:tcPr>
            <w:tcW w:w="1480" w:type="dxa"/>
            <w:vAlign w:val="center"/>
          </w:tcPr>
          <w:p w14:paraId="797A92F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22,642,333.56</w:t>
            </w:r>
          </w:p>
        </w:tc>
      </w:tr>
      <w:tr w:rsidR="00FB39A5" w:rsidRPr="00FB39A5" w14:paraId="5D45FFB2" w14:textId="77777777" w:rsidTr="00FB39A5">
        <w:tblPrEx>
          <w:tblCellMar>
            <w:top w:w="0" w:type="dxa"/>
            <w:bottom w:w="0" w:type="dxa"/>
          </w:tblCellMar>
        </w:tblPrEx>
        <w:trPr>
          <w:trHeight w:val="191"/>
          <w:jc w:val="center"/>
        </w:trPr>
        <w:tc>
          <w:tcPr>
            <w:tcW w:w="860" w:type="dxa"/>
            <w:vAlign w:val="center"/>
          </w:tcPr>
          <w:p w14:paraId="1F2BA08E"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Viet Nam</w:t>
                </w:r>
              </w:smartTag>
            </w:smartTag>
          </w:p>
        </w:tc>
        <w:tc>
          <w:tcPr>
            <w:tcW w:w="859" w:type="dxa"/>
            <w:vAlign w:val="center"/>
          </w:tcPr>
          <w:p w14:paraId="67BB191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0FBF49DA"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Balat estuary</w:t>
            </w:r>
          </w:p>
        </w:tc>
        <w:tc>
          <w:tcPr>
            <w:tcW w:w="974" w:type="dxa"/>
            <w:vAlign w:val="center"/>
          </w:tcPr>
          <w:p w14:paraId="3880DB4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3,000.00</w:t>
            </w:r>
          </w:p>
        </w:tc>
        <w:tc>
          <w:tcPr>
            <w:tcW w:w="779" w:type="dxa"/>
            <w:vAlign w:val="center"/>
          </w:tcPr>
          <w:p w14:paraId="42691DA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8.05</w:t>
            </w:r>
          </w:p>
        </w:tc>
        <w:tc>
          <w:tcPr>
            <w:tcW w:w="889" w:type="dxa"/>
            <w:vAlign w:val="center"/>
          </w:tcPr>
          <w:p w14:paraId="55A2F72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200,000.00</w:t>
            </w:r>
          </w:p>
        </w:tc>
        <w:tc>
          <w:tcPr>
            <w:tcW w:w="832" w:type="dxa"/>
            <w:vAlign w:val="center"/>
          </w:tcPr>
          <w:p w14:paraId="67F0F73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229" w:type="dxa"/>
            <w:gridSpan w:val="2"/>
            <w:vAlign w:val="center"/>
          </w:tcPr>
          <w:p w14:paraId="224A28C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1,610,000.00</w:t>
            </w:r>
          </w:p>
        </w:tc>
        <w:tc>
          <w:tcPr>
            <w:tcW w:w="713" w:type="dxa"/>
            <w:vAlign w:val="center"/>
          </w:tcPr>
          <w:p w14:paraId="120BC5B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68ACF2B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4DE9472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1,610,000.00</w:t>
            </w:r>
          </w:p>
        </w:tc>
        <w:tc>
          <w:tcPr>
            <w:tcW w:w="1171" w:type="dxa"/>
            <w:vAlign w:val="center"/>
          </w:tcPr>
          <w:p w14:paraId="095A8A3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100.83</w:t>
            </w:r>
          </w:p>
        </w:tc>
        <w:tc>
          <w:tcPr>
            <w:tcW w:w="1480" w:type="dxa"/>
            <w:vAlign w:val="center"/>
          </w:tcPr>
          <w:p w14:paraId="71762A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302,488.76</w:t>
            </w:r>
          </w:p>
        </w:tc>
      </w:tr>
      <w:tr w:rsidR="00FB39A5" w:rsidRPr="00FB39A5" w14:paraId="05B8DC40" w14:textId="77777777" w:rsidTr="00FB39A5">
        <w:tblPrEx>
          <w:tblCellMar>
            <w:top w:w="0" w:type="dxa"/>
            <w:bottom w:w="0" w:type="dxa"/>
          </w:tblCellMar>
        </w:tblPrEx>
        <w:trPr>
          <w:trHeight w:val="191"/>
          <w:jc w:val="center"/>
        </w:trPr>
        <w:tc>
          <w:tcPr>
            <w:tcW w:w="860" w:type="dxa"/>
            <w:vAlign w:val="center"/>
          </w:tcPr>
          <w:p w14:paraId="616F2BC0"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0EE47A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503FC8E1"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CanGio</w:t>
            </w:r>
          </w:p>
        </w:tc>
        <w:tc>
          <w:tcPr>
            <w:tcW w:w="974" w:type="dxa"/>
            <w:vAlign w:val="center"/>
          </w:tcPr>
          <w:p w14:paraId="3A0A393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75,740.00</w:t>
            </w:r>
          </w:p>
        </w:tc>
        <w:tc>
          <w:tcPr>
            <w:tcW w:w="779" w:type="dxa"/>
            <w:vAlign w:val="center"/>
          </w:tcPr>
          <w:p w14:paraId="3541608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12.25</w:t>
            </w:r>
          </w:p>
        </w:tc>
        <w:tc>
          <w:tcPr>
            <w:tcW w:w="889" w:type="dxa"/>
            <w:vAlign w:val="center"/>
          </w:tcPr>
          <w:p w14:paraId="2821C0D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400,000.00</w:t>
            </w:r>
          </w:p>
        </w:tc>
        <w:tc>
          <w:tcPr>
            <w:tcW w:w="832" w:type="dxa"/>
            <w:vAlign w:val="center"/>
          </w:tcPr>
          <w:p w14:paraId="31EFB3C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229" w:type="dxa"/>
            <w:gridSpan w:val="2"/>
            <w:vAlign w:val="center"/>
          </w:tcPr>
          <w:p w14:paraId="53CF96B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4,900,000.00</w:t>
            </w:r>
          </w:p>
        </w:tc>
        <w:tc>
          <w:tcPr>
            <w:tcW w:w="713" w:type="dxa"/>
            <w:vAlign w:val="center"/>
          </w:tcPr>
          <w:p w14:paraId="5DD55BF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92.38</w:t>
            </w:r>
          </w:p>
        </w:tc>
        <w:tc>
          <w:tcPr>
            <w:tcW w:w="958" w:type="dxa"/>
            <w:vAlign w:val="center"/>
          </w:tcPr>
          <w:p w14:paraId="5D35239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5AA4099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5,304,178.39</w:t>
            </w:r>
          </w:p>
        </w:tc>
        <w:tc>
          <w:tcPr>
            <w:tcW w:w="1171" w:type="dxa"/>
            <w:vAlign w:val="center"/>
          </w:tcPr>
          <w:p w14:paraId="620FB6B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332.19</w:t>
            </w:r>
          </w:p>
        </w:tc>
        <w:tc>
          <w:tcPr>
            <w:tcW w:w="1480" w:type="dxa"/>
            <w:vAlign w:val="center"/>
          </w:tcPr>
          <w:p w14:paraId="0FE2AAA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25,159,704.55</w:t>
            </w:r>
          </w:p>
        </w:tc>
      </w:tr>
      <w:tr w:rsidR="00FB39A5" w:rsidRPr="00FB39A5" w14:paraId="6481D103" w14:textId="77777777" w:rsidTr="00FB39A5">
        <w:tblPrEx>
          <w:tblCellMar>
            <w:top w:w="0" w:type="dxa"/>
            <w:bottom w:w="0" w:type="dxa"/>
          </w:tblCellMar>
        </w:tblPrEx>
        <w:trPr>
          <w:trHeight w:val="191"/>
          <w:jc w:val="center"/>
        </w:trPr>
        <w:tc>
          <w:tcPr>
            <w:tcW w:w="860" w:type="dxa"/>
            <w:vAlign w:val="center"/>
          </w:tcPr>
          <w:p w14:paraId="1FE63D19"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5EC2A43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6C23FF9E"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CaMau</w:t>
            </w:r>
          </w:p>
        </w:tc>
        <w:tc>
          <w:tcPr>
            <w:tcW w:w="974" w:type="dxa"/>
            <w:vAlign w:val="center"/>
          </w:tcPr>
          <w:p w14:paraId="3C123E7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5,800.00</w:t>
            </w:r>
          </w:p>
        </w:tc>
        <w:tc>
          <w:tcPr>
            <w:tcW w:w="779" w:type="dxa"/>
            <w:vAlign w:val="center"/>
          </w:tcPr>
          <w:p w14:paraId="22F354F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17.00</w:t>
            </w:r>
          </w:p>
        </w:tc>
        <w:tc>
          <w:tcPr>
            <w:tcW w:w="889" w:type="dxa"/>
            <w:vAlign w:val="center"/>
          </w:tcPr>
          <w:p w14:paraId="6C104E1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370,000.00</w:t>
            </w:r>
          </w:p>
        </w:tc>
        <w:tc>
          <w:tcPr>
            <w:tcW w:w="832" w:type="dxa"/>
            <w:vAlign w:val="center"/>
          </w:tcPr>
          <w:p w14:paraId="4891B76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229" w:type="dxa"/>
            <w:gridSpan w:val="2"/>
            <w:vAlign w:val="center"/>
          </w:tcPr>
          <w:p w14:paraId="1936CB6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6,290,000.00</w:t>
            </w:r>
          </w:p>
        </w:tc>
        <w:tc>
          <w:tcPr>
            <w:tcW w:w="713" w:type="dxa"/>
            <w:vAlign w:val="center"/>
          </w:tcPr>
          <w:p w14:paraId="6626237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602B0EB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6EDFE90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6,290,000.00</w:t>
            </w:r>
          </w:p>
        </w:tc>
        <w:tc>
          <w:tcPr>
            <w:tcW w:w="1171" w:type="dxa"/>
            <w:vAlign w:val="center"/>
          </w:tcPr>
          <w:p w14:paraId="1EFAAE7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393.92</w:t>
            </w:r>
          </w:p>
        </w:tc>
        <w:tc>
          <w:tcPr>
            <w:tcW w:w="1480" w:type="dxa"/>
            <w:vAlign w:val="center"/>
          </w:tcPr>
          <w:p w14:paraId="1204FD9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2,284,760.87</w:t>
            </w:r>
          </w:p>
        </w:tc>
      </w:tr>
      <w:tr w:rsidR="00FB39A5" w:rsidRPr="00FB39A5" w14:paraId="7CD33074" w14:textId="77777777" w:rsidTr="00FB39A5">
        <w:tblPrEx>
          <w:tblCellMar>
            <w:top w:w="0" w:type="dxa"/>
            <w:bottom w:w="0" w:type="dxa"/>
          </w:tblCellMar>
        </w:tblPrEx>
        <w:trPr>
          <w:trHeight w:val="191"/>
          <w:jc w:val="center"/>
        </w:trPr>
        <w:tc>
          <w:tcPr>
            <w:tcW w:w="860" w:type="dxa"/>
            <w:vAlign w:val="center"/>
          </w:tcPr>
          <w:p w14:paraId="633C58A6"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1D21BC1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323A55EA"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SocTrang</w:t>
            </w:r>
          </w:p>
        </w:tc>
        <w:tc>
          <w:tcPr>
            <w:tcW w:w="974" w:type="dxa"/>
            <w:vAlign w:val="center"/>
          </w:tcPr>
          <w:p w14:paraId="02FEC06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1,686.60</w:t>
            </w:r>
          </w:p>
        </w:tc>
        <w:tc>
          <w:tcPr>
            <w:tcW w:w="779" w:type="dxa"/>
            <w:vAlign w:val="center"/>
          </w:tcPr>
          <w:p w14:paraId="0227494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11.52</w:t>
            </w:r>
          </w:p>
        </w:tc>
        <w:tc>
          <w:tcPr>
            <w:tcW w:w="889" w:type="dxa"/>
            <w:vAlign w:val="center"/>
          </w:tcPr>
          <w:p w14:paraId="383385F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390,000.00</w:t>
            </w:r>
          </w:p>
        </w:tc>
        <w:tc>
          <w:tcPr>
            <w:tcW w:w="832" w:type="dxa"/>
            <w:vAlign w:val="center"/>
          </w:tcPr>
          <w:p w14:paraId="2BA7E6D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229" w:type="dxa"/>
            <w:gridSpan w:val="2"/>
            <w:vAlign w:val="center"/>
          </w:tcPr>
          <w:p w14:paraId="634E9CB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4,492,800.00</w:t>
            </w:r>
          </w:p>
        </w:tc>
        <w:tc>
          <w:tcPr>
            <w:tcW w:w="713" w:type="dxa"/>
            <w:vAlign w:val="center"/>
          </w:tcPr>
          <w:p w14:paraId="59DE180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384D9E3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14BA6DC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4,492,800.00</w:t>
            </w:r>
          </w:p>
        </w:tc>
        <w:tc>
          <w:tcPr>
            <w:tcW w:w="1171" w:type="dxa"/>
            <w:vAlign w:val="center"/>
          </w:tcPr>
          <w:p w14:paraId="4F11688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281.37</w:t>
            </w:r>
          </w:p>
        </w:tc>
        <w:tc>
          <w:tcPr>
            <w:tcW w:w="1480" w:type="dxa"/>
            <w:vAlign w:val="center"/>
          </w:tcPr>
          <w:p w14:paraId="69E477C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474,560.18</w:t>
            </w:r>
          </w:p>
        </w:tc>
      </w:tr>
      <w:tr w:rsidR="00FB39A5" w:rsidRPr="00FB39A5" w14:paraId="33A2AF22" w14:textId="77777777" w:rsidTr="00FB39A5">
        <w:tblPrEx>
          <w:tblCellMar>
            <w:top w:w="0" w:type="dxa"/>
            <w:bottom w:w="0" w:type="dxa"/>
          </w:tblCellMar>
        </w:tblPrEx>
        <w:trPr>
          <w:trHeight w:val="75"/>
          <w:jc w:val="center"/>
        </w:trPr>
        <w:tc>
          <w:tcPr>
            <w:tcW w:w="14030" w:type="dxa"/>
            <w:gridSpan w:val="14"/>
            <w:vAlign w:val="center"/>
          </w:tcPr>
          <w:p w14:paraId="4CF6D052" w14:textId="77777777" w:rsidR="00FB39A5" w:rsidRPr="00FB39A5" w:rsidRDefault="00FB39A5" w:rsidP="00FB39A5">
            <w:pPr>
              <w:jc w:val="center"/>
              <w:rPr>
                <w:rFonts w:ascii="Arial" w:hAnsi="Arial"/>
                <w:b/>
                <w:sz w:val="18"/>
                <w:szCs w:val="18"/>
                <w:lang w:val="en-GB"/>
              </w:rPr>
            </w:pPr>
            <w:r w:rsidRPr="00FB39A5">
              <w:rPr>
                <w:rFonts w:ascii="Arial" w:hAnsi="Arial"/>
                <w:b/>
                <w:sz w:val="18"/>
                <w:szCs w:val="18"/>
                <w:lang w:val="en-GB"/>
              </w:rPr>
              <w:t>Firewood M</w:t>
            </w:r>
            <w:r w:rsidRPr="00FB39A5">
              <w:rPr>
                <w:rFonts w:ascii="Arial" w:hAnsi="Arial"/>
                <w:b/>
                <w:sz w:val="18"/>
                <w:szCs w:val="18"/>
                <w:vertAlign w:val="superscript"/>
                <w:lang w:val="en-GB"/>
              </w:rPr>
              <w:t>3</w:t>
            </w:r>
          </w:p>
        </w:tc>
      </w:tr>
      <w:tr w:rsidR="00FB39A5" w:rsidRPr="00FB39A5" w14:paraId="3220CCE5" w14:textId="77777777" w:rsidTr="00FB39A5">
        <w:tblPrEx>
          <w:tblCellMar>
            <w:top w:w="0" w:type="dxa"/>
            <w:bottom w:w="0" w:type="dxa"/>
          </w:tblCellMar>
        </w:tblPrEx>
        <w:trPr>
          <w:trHeight w:val="191"/>
          <w:jc w:val="center"/>
        </w:trPr>
        <w:tc>
          <w:tcPr>
            <w:tcW w:w="860" w:type="dxa"/>
            <w:vAlign w:val="center"/>
          </w:tcPr>
          <w:p w14:paraId="032580EC"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Cambodia</w:t>
                </w:r>
              </w:smartTag>
            </w:smartTag>
          </w:p>
        </w:tc>
        <w:tc>
          <w:tcPr>
            <w:tcW w:w="859" w:type="dxa"/>
            <w:vAlign w:val="center"/>
          </w:tcPr>
          <w:p w14:paraId="50CFA1D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2006</w:t>
            </w:r>
          </w:p>
        </w:tc>
        <w:tc>
          <w:tcPr>
            <w:tcW w:w="1837" w:type="dxa"/>
            <w:vAlign w:val="center"/>
          </w:tcPr>
          <w:p w14:paraId="4880B995"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Peam Krasop</w:t>
            </w:r>
          </w:p>
        </w:tc>
        <w:tc>
          <w:tcPr>
            <w:tcW w:w="974" w:type="dxa"/>
            <w:vAlign w:val="center"/>
          </w:tcPr>
          <w:p w14:paraId="0D5C590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12,638.00</w:t>
            </w:r>
          </w:p>
        </w:tc>
        <w:tc>
          <w:tcPr>
            <w:tcW w:w="779" w:type="dxa"/>
            <w:vAlign w:val="center"/>
          </w:tcPr>
          <w:p w14:paraId="2ACF46F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1.84</w:t>
            </w:r>
          </w:p>
        </w:tc>
        <w:tc>
          <w:tcPr>
            <w:tcW w:w="889" w:type="dxa"/>
            <w:vAlign w:val="center"/>
          </w:tcPr>
          <w:p w14:paraId="6CE2562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w:t>
            </w:r>
          </w:p>
        </w:tc>
        <w:tc>
          <w:tcPr>
            <w:tcW w:w="874" w:type="dxa"/>
            <w:gridSpan w:val="2"/>
            <w:vAlign w:val="center"/>
          </w:tcPr>
          <w:p w14:paraId="420F3F7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US$</w:t>
            </w:r>
          </w:p>
        </w:tc>
        <w:tc>
          <w:tcPr>
            <w:tcW w:w="1187" w:type="dxa"/>
            <w:vAlign w:val="center"/>
          </w:tcPr>
          <w:p w14:paraId="5E02FF2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18.42</w:t>
            </w:r>
          </w:p>
        </w:tc>
        <w:tc>
          <w:tcPr>
            <w:tcW w:w="713" w:type="dxa"/>
            <w:vAlign w:val="center"/>
          </w:tcPr>
          <w:p w14:paraId="3403D1E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106.16</w:t>
            </w:r>
          </w:p>
        </w:tc>
        <w:tc>
          <w:tcPr>
            <w:tcW w:w="958" w:type="dxa"/>
            <w:vAlign w:val="center"/>
          </w:tcPr>
          <w:p w14:paraId="1198C7D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4,187.17</w:t>
            </w:r>
          </w:p>
        </w:tc>
        <w:tc>
          <w:tcPr>
            <w:tcW w:w="1449" w:type="dxa"/>
            <w:vAlign w:val="center"/>
          </w:tcPr>
          <w:p w14:paraId="2D364D2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17.35</w:t>
            </w:r>
          </w:p>
        </w:tc>
        <w:tc>
          <w:tcPr>
            <w:tcW w:w="1171" w:type="dxa"/>
            <w:vAlign w:val="center"/>
          </w:tcPr>
          <w:p w14:paraId="173BB6A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17.35</w:t>
            </w:r>
          </w:p>
        </w:tc>
        <w:tc>
          <w:tcPr>
            <w:tcW w:w="1480" w:type="dxa"/>
            <w:vAlign w:val="center"/>
          </w:tcPr>
          <w:p w14:paraId="68DAEF7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219,284.06</w:t>
            </w:r>
          </w:p>
        </w:tc>
      </w:tr>
      <w:tr w:rsidR="00FB39A5" w:rsidRPr="00FB39A5" w14:paraId="336003C3" w14:textId="77777777" w:rsidTr="00FB39A5">
        <w:tblPrEx>
          <w:tblCellMar>
            <w:top w:w="0" w:type="dxa"/>
            <w:bottom w:w="0" w:type="dxa"/>
          </w:tblCellMar>
        </w:tblPrEx>
        <w:trPr>
          <w:trHeight w:val="191"/>
          <w:jc w:val="center"/>
        </w:trPr>
        <w:tc>
          <w:tcPr>
            <w:tcW w:w="860" w:type="dxa"/>
            <w:vAlign w:val="center"/>
          </w:tcPr>
          <w:p w14:paraId="2F6136EC"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Indonesia</w:t>
                </w:r>
              </w:smartTag>
            </w:smartTag>
          </w:p>
        </w:tc>
        <w:tc>
          <w:tcPr>
            <w:tcW w:w="859" w:type="dxa"/>
            <w:vAlign w:val="center"/>
          </w:tcPr>
          <w:p w14:paraId="3F84CB6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647B4BA9"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r w:rsidRPr="00FB39A5">
                <w:rPr>
                  <w:rFonts w:ascii="Arial" w:hAnsi="Arial" w:cs="Arial"/>
                  <w:sz w:val="12"/>
                  <w:szCs w:val="12"/>
                  <w:lang w:val="en-GB"/>
                </w:rPr>
                <w:t>Makassar</w:t>
              </w:r>
            </w:smartTag>
          </w:p>
        </w:tc>
        <w:tc>
          <w:tcPr>
            <w:tcW w:w="974" w:type="dxa"/>
            <w:vAlign w:val="center"/>
          </w:tcPr>
          <w:p w14:paraId="6912832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27.00</w:t>
            </w:r>
          </w:p>
        </w:tc>
        <w:tc>
          <w:tcPr>
            <w:tcW w:w="779" w:type="dxa"/>
            <w:vAlign w:val="center"/>
          </w:tcPr>
          <w:p w14:paraId="063EA3E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25.00</w:t>
            </w:r>
          </w:p>
        </w:tc>
        <w:tc>
          <w:tcPr>
            <w:tcW w:w="889" w:type="dxa"/>
            <w:vAlign w:val="center"/>
          </w:tcPr>
          <w:p w14:paraId="2C22668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183,851.85</w:t>
            </w:r>
          </w:p>
        </w:tc>
        <w:tc>
          <w:tcPr>
            <w:tcW w:w="874" w:type="dxa"/>
            <w:gridSpan w:val="2"/>
            <w:vAlign w:val="center"/>
          </w:tcPr>
          <w:p w14:paraId="3EC416D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03AC3E9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4,596,296.30</w:t>
            </w:r>
          </w:p>
        </w:tc>
        <w:tc>
          <w:tcPr>
            <w:tcW w:w="713" w:type="dxa"/>
            <w:vAlign w:val="center"/>
          </w:tcPr>
          <w:p w14:paraId="01EA31E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108A095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1A9644C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4,596,296.30</w:t>
            </w:r>
          </w:p>
        </w:tc>
        <w:tc>
          <w:tcPr>
            <w:tcW w:w="1171" w:type="dxa"/>
            <w:vAlign w:val="center"/>
          </w:tcPr>
          <w:p w14:paraId="11DA3B4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472.79</w:t>
            </w:r>
          </w:p>
        </w:tc>
        <w:tc>
          <w:tcPr>
            <w:tcW w:w="1480" w:type="dxa"/>
            <w:vAlign w:val="center"/>
          </w:tcPr>
          <w:p w14:paraId="7C21AFB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12,765.32</w:t>
            </w:r>
          </w:p>
        </w:tc>
      </w:tr>
      <w:tr w:rsidR="00FB39A5" w:rsidRPr="00FB39A5" w14:paraId="0FCDCB5C" w14:textId="77777777" w:rsidTr="00FB39A5">
        <w:tblPrEx>
          <w:tblCellMar>
            <w:top w:w="0" w:type="dxa"/>
            <w:bottom w:w="0" w:type="dxa"/>
          </w:tblCellMar>
        </w:tblPrEx>
        <w:trPr>
          <w:trHeight w:val="191"/>
          <w:jc w:val="center"/>
        </w:trPr>
        <w:tc>
          <w:tcPr>
            <w:tcW w:w="860" w:type="dxa"/>
            <w:vAlign w:val="center"/>
          </w:tcPr>
          <w:p w14:paraId="057D0D82"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297BFA8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1446359B"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Mamuju </w:t>
            </w:r>
          </w:p>
        </w:tc>
        <w:tc>
          <w:tcPr>
            <w:tcW w:w="974" w:type="dxa"/>
            <w:vAlign w:val="center"/>
          </w:tcPr>
          <w:p w14:paraId="64832FC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976.00</w:t>
            </w:r>
          </w:p>
        </w:tc>
        <w:tc>
          <w:tcPr>
            <w:tcW w:w="779" w:type="dxa"/>
            <w:vAlign w:val="center"/>
          </w:tcPr>
          <w:p w14:paraId="17CC050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70.00</w:t>
            </w:r>
          </w:p>
        </w:tc>
        <w:tc>
          <w:tcPr>
            <w:tcW w:w="889" w:type="dxa"/>
            <w:vAlign w:val="center"/>
          </w:tcPr>
          <w:p w14:paraId="08E90E4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21,183.04</w:t>
            </w:r>
          </w:p>
        </w:tc>
        <w:tc>
          <w:tcPr>
            <w:tcW w:w="874" w:type="dxa"/>
            <w:gridSpan w:val="2"/>
            <w:vAlign w:val="center"/>
          </w:tcPr>
          <w:p w14:paraId="6FD5402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630B4F9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1,482,813.00</w:t>
            </w:r>
          </w:p>
        </w:tc>
        <w:tc>
          <w:tcPr>
            <w:tcW w:w="713" w:type="dxa"/>
            <w:vAlign w:val="center"/>
          </w:tcPr>
          <w:p w14:paraId="43F946D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4D20ABE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796ED2E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1,482,813.00</w:t>
            </w:r>
          </w:p>
        </w:tc>
        <w:tc>
          <w:tcPr>
            <w:tcW w:w="1171" w:type="dxa"/>
            <w:vAlign w:val="center"/>
          </w:tcPr>
          <w:p w14:paraId="2B9D743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152.53</w:t>
            </w:r>
          </w:p>
        </w:tc>
        <w:tc>
          <w:tcPr>
            <w:tcW w:w="1480" w:type="dxa"/>
            <w:vAlign w:val="center"/>
          </w:tcPr>
          <w:p w14:paraId="527FE70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148,866.21</w:t>
            </w:r>
          </w:p>
        </w:tc>
      </w:tr>
      <w:tr w:rsidR="00FB39A5" w:rsidRPr="00FB39A5" w14:paraId="3CC79586" w14:textId="77777777" w:rsidTr="00FB39A5">
        <w:tblPrEx>
          <w:tblCellMar>
            <w:top w:w="0" w:type="dxa"/>
            <w:bottom w:w="0" w:type="dxa"/>
          </w:tblCellMar>
        </w:tblPrEx>
        <w:trPr>
          <w:trHeight w:val="191"/>
          <w:jc w:val="center"/>
        </w:trPr>
        <w:tc>
          <w:tcPr>
            <w:tcW w:w="860" w:type="dxa"/>
            <w:vAlign w:val="center"/>
          </w:tcPr>
          <w:p w14:paraId="64FF5286"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320DD12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571E4D70"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Donggala </w:t>
            </w:r>
          </w:p>
        </w:tc>
        <w:tc>
          <w:tcPr>
            <w:tcW w:w="974" w:type="dxa"/>
            <w:vAlign w:val="center"/>
          </w:tcPr>
          <w:p w14:paraId="408DB45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18,300.00</w:t>
            </w:r>
          </w:p>
        </w:tc>
        <w:tc>
          <w:tcPr>
            <w:tcW w:w="779" w:type="dxa"/>
            <w:vAlign w:val="center"/>
          </w:tcPr>
          <w:p w14:paraId="174BD0E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70.00</w:t>
            </w:r>
          </w:p>
        </w:tc>
        <w:tc>
          <w:tcPr>
            <w:tcW w:w="889" w:type="dxa"/>
            <w:vAlign w:val="center"/>
          </w:tcPr>
          <w:p w14:paraId="529A3EA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18,195.43</w:t>
            </w:r>
          </w:p>
        </w:tc>
        <w:tc>
          <w:tcPr>
            <w:tcW w:w="874" w:type="dxa"/>
            <w:gridSpan w:val="2"/>
            <w:vAlign w:val="center"/>
          </w:tcPr>
          <w:p w14:paraId="0263705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3BDA100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1,273,679.92</w:t>
            </w:r>
          </w:p>
        </w:tc>
        <w:tc>
          <w:tcPr>
            <w:tcW w:w="713" w:type="dxa"/>
            <w:vAlign w:val="center"/>
          </w:tcPr>
          <w:p w14:paraId="37A6970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0CFC729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4BC3A65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1,273,679.92</w:t>
            </w:r>
          </w:p>
        </w:tc>
        <w:tc>
          <w:tcPr>
            <w:tcW w:w="1171" w:type="dxa"/>
            <w:vAlign w:val="center"/>
          </w:tcPr>
          <w:p w14:paraId="2BD097D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131.01</w:t>
            </w:r>
          </w:p>
        </w:tc>
        <w:tc>
          <w:tcPr>
            <w:tcW w:w="1480" w:type="dxa"/>
            <w:vAlign w:val="center"/>
          </w:tcPr>
          <w:p w14:paraId="7C5DFD3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2,397,570.19</w:t>
            </w:r>
          </w:p>
        </w:tc>
      </w:tr>
      <w:tr w:rsidR="00FB39A5" w:rsidRPr="00FB39A5" w14:paraId="5A4328B1" w14:textId="77777777" w:rsidTr="00FB39A5">
        <w:tblPrEx>
          <w:tblCellMar>
            <w:top w:w="0" w:type="dxa"/>
            <w:bottom w:w="0" w:type="dxa"/>
          </w:tblCellMar>
        </w:tblPrEx>
        <w:trPr>
          <w:trHeight w:val="191"/>
          <w:jc w:val="center"/>
        </w:trPr>
        <w:tc>
          <w:tcPr>
            <w:tcW w:w="860" w:type="dxa"/>
            <w:vAlign w:val="center"/>
          </w:tcPr>
          <w:p w14:paraId="4FC0033B"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1448C83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4735173B"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Karawang, </w:t>
            </w:r>
            <w:smartTag w:uri="urn:schemas-microsoft-com:office:smarttags" w:element="place">
              <w:r w:rsidRPr="00FB39A5">
                <w:rPr>
                  <w:rFonts w:ascii="Arial" w:hAnsi="Arial" w:cs="Arial"/>
                  <w:sz w:val="12"/>
                  <w:szCs w:val="12"/>
                  <w:lang w:val="en-GB"/>
                </w:rPr>
                <w:t>West Java</w:t>
              </w:r>
            </w:smartTag>
          </w:p>
        </w:tc>
        <w:tc>
          <w:tcPr>
            <w:tcW w:w="974" w:type="dxa"/>
            <w:vAlign w:val="center"/>
          </w:tcPr>
          <w:p w14:paraId="5AC90FF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1,692.40</w:t>
            </w:r>
          </w:p>
        </w:tc>
        <w:tc>
          <w:tcPr>
            <w:tcW w:w="779" w:type="dxa"/>
            <w:vAlign w:val="center"/>
          </w:tcPr>
          <w:p w14:paraId="6E7584C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50.00</w:t>
            </w:r>
          </w:p>
        </w:tc>
        <w:tc>
          <w:tcPr>
            <w:tcW w:w="889" w:type="dxa"/>
            <w:vAlign w:val="center"/>
          </w:tcPr>
          <w:p w14:paraId="2D73227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5,600.00</w:t>
            </w:r>
          </w:p>
        </w:tc>
        <w:tc>
          <w:tcPr>
            <w:tcW w:w="874" w:type="dxa"/>
            <w:gridSpan w:val="2"/>
            <w:vAlign w:val="center"/>
          </w:tcPr>
          <w:p w14:paraId="34FE830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22F676A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280,000.00</w:t>
            </w:r>
          </w:p>
        </w:tc>
        <w:tc>
          <w:tcPr>
            <w:tcW w:w="713" w:type="dxa"/>
            <w:vAlign w:val="center"/>
          </w:tcPr>
          <w:p w14:paraId="64335C0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215D830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1B79911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309,255.58</w:t>
            </w:r>
          </w:p>
        </w:tc>
        <w:tc>
          <w:tcPr>
            <w:tcW w:w="1171" w:type="dxa"/>
            <w:vAlign w:val="center"/>
          </w:tcPr>
          <w:p w14:paraId="21C10E5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31.81</w:t>
            </w:r>
          </w:p>
        </w:tc>
        <w:tc>
          <w:tcPr>
            <w:tcW w:w="1480" w:type="dxa"/>
            <w:vAlign w:val="center"/>
          </w:tcPr>
          <w:p w14:paraId="0650867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53,836.96</w:t>
            </w:r>
          </w:p>
        </w:tc>
      </w:tr>
      <w:tr w:rsidR="00FB39A5" w:rsidRPr="00FB39A5" w14:paraId="2F9968B4" w14:textId="77777777" w:rsidTr="00FB39A5">
        <w:tblPrEx>
          <w:tblCellMar>
            <w:top w:w="0" w:type="dxa"/>
            <w:bottom w:w="0" w:type="dxa"/>
          </w:tblCellMar>
        </w:tblPrEx>
        <w:trPr>
          <w:trHeight w:val="191"/>
          <w:jc w:val="center"/>
        </w:trPr>
        <w:tc>
          <w:tcPr>
            <w:tcW w:w="860" w:type="dxa"/>
            <w:vAlign w:val="center"/>
          </w:tcPr>
          <w:p w14:paraId="5D7D079C"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2099C86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46AB1F38"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r w:rsidRPr="00FB39A5">
                <w:rPr>
                  <w:rFonts w:ascii="Arial" w:hAnsi="Arial" w:cs="Arial"/>
                  <w:sz w:val="12"/>
                  <w:szCs w:val="12"/>
                  <w:lang w:val="en-GB"/>
                </w:rPr>
                <w:t>Bali</w:t>
              </w:r>
            </w:smartTag>
          </w:p>
        </w:tc>
        <w:tc>
          <w:tcPr>
            <w:tcW w:w="974" w:type="dxa"/>
            <w:vAlign w:val="center"/>
          </w:tcPr>
          <w:p w14:paraId="2DD9797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9.00</w:t>
            </w:r>
          </w:p>
        </w:tc>
        <w:tc>
          <w:tcPr>
            <w:tcW w:w="779" w:type="dxa"/>
            <w:vAlign w:val="center"/>
          </w:tcPr>
          <w:p w14:paraId="0B15A71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20.00</w:t>
            </w:r>
          </w:p>
        </w:tc>
        <w:tc>
          <w:tcPr>
            <w:tcW w:w="889" w:type="dxa"/>
            <w:vAlign w:val="center"/>
          </w:tcPr>
          <w:p w14:paraId="58B7130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79,541.65</w:t>
            </w:r>
          </w:p>
        </w:tc>
        <w:tc>
          <w:tcPr>
            <w:tcW w:w="874" w:type="dxa"/>
            <w:gridSpan w:val="2"/>
            <w:vAlign w:val="center"/>
          </w:tcPr>
          <w:p w14:paraId="026234A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0C8A081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1,590,833.00</w:t>
            </w:r>
          </w:p>
        </w:tc>
        <w:tc>
          <w:tcPr>
            <w:tcW w:w="713" w:type="dxa"/>
            <w:vAlign w:val="center"/>
          </w:tcPr>
          <w:p w14:paraId="2664262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6B189CE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2A48D08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1,757,049.92</w:t>
            </w:r>
          </w:p>
        </w:tc>
        <w:tc>
          <w:tcPr>
            <w:tcW w:w="1171" w:type="dxa"/>
            <w:vAlign w:val="center"/>
          </w:tcPr>
          <w:p w14:paraId="4673C11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180.74</w:t>
            </w:r>
          </w:p>
        </w:tc>
        <w:tc>
          <w:tcPr>
            <w:tcW w:w="1480" w:type="dxa"/>
            <w:vAlign w:val="center"/>
          </w:tcPr>
          <w:p w14:paraId="61C3CCE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1,626.62</w:t>
            </w:r>
          </w:p>
        </w:tc>
      </w:tr>
    </w:tbl>
    <w:p w14:paraId="2B529B9B" w14:textId="77777777" w:rsidR="00FB39A5" w:rsidRPr="00687722" w:rsidRDefault="00FB39A5" w:rsidP="00FB39A5">
      <w:pPr>
        <w:tabs>
          <w:tab w:val="left" w:pos="1500"/>
        </w:tabs>
        <w:spacing w:after="120"/>
        <w:ind w:left="1430" w:hanging="1430"/>
        <w:jc w:val="both"/>
        <w:rPr>
          <w:sz w:val="21"/>
          <w:szCs w:val="21"/>
          <w:lang w:val="en-GB"/>
        </w:rPr>
      </w:pPr>
      <w:r w:rsidRPr="00FB39A5">
        <w:rPr>
          <w:rFonts w:ascii="Arial" w:hAnsi="Arial" w:cs="Arial"/>
          <w:sz w:val="20"/>
          <w:lang w:val="en-GB"/>
        </w:rPr>
        <w:br w:type="page"/>
      </w:r>
      <w:r w:rsidRPr="00687722">
        <w:rPr>
          <w:b/>
          <w:sz w:val="21"/>
          <w:szCs w:val="21"/>
          <w:lang w:val="en-GB"/>
        </w:rPr>
        <w:t xml:space="preserve">Table 2 </w:t>
      </w:r>
      <w:r w:rsidRPr="00687722">
        <w:rPr>
          <w:b/>
          <w:i/>
          <w:iCs/>
          <w:sz w:val="21"/>
          <w:szCs w:val="21"/>
          <w:lang w:val="en-GB"/>
        </w:rPr>
        <w:t>cont.</w:t>
      </w:r>
      <w:r w:rsidRPr="00687722">
        <w:rPr>
          <w:sz w:val="21"/>
          <w:szCs w:val="21"/>
          <w:lang w:val="en-GB"/>
        </w:rPr>
        <w:tab/>
        <w:t>Values of goods from mangrove ecosystems at various locations bordering the South China Sea. Shaded cells include values not used in the subsequent analysis to determine national and regional weighted mean values for each resource.</w:t>
      </w:r>
    </w:p>
    <w:tbl>
      <w:tblPr>
        <w:tblW w:w="0" w:type="auto"/>
        <w:jc w:val="center"/>
        <w:tblBorders>
          <w:top w:val="single" w:sz="12" w:space="0" w:color="auto"/>
          <w:left w:val="single" w:sz="12" w:space="0" w:color="auto"/>
          <w:bottom w:val="single" w:sz="12" w:space="0" w:color="auto"/>
          <w:right w:val="single" w:sz="12" w:space="0" w:color="auto"/>
          <w:insideH w:val="single" w:sz="2" w:space="0" w:color="000000"/>
          <w:insideV w:val="single" w:sz="2" w:space="0" w:color="000000"/>
        </w:tblBorders>
        <w:tblLayout w:type="fixed"/>
        <w:tblCellMar>
          <w:left w:w="30" w:type="dxa"/>
          <w:right w:w="30" w:type="dxa"/>
        </w:tblCellMar>
        <w:tblLook w:val="0000" w:firstRow="0" w:lastRow="0" w:firstColumn="0" w:lastColumn="0" w:noHBand="0" w:noVBand="0"/>
      </w:tblPr>
      <w:tblGrid>
        <w:gridCol w:w="860"/>
        <w:gridCol w:w="859"/>
        <w:gridCol w:w="1837"/>
        <w:gridCol w:w="974"/>
        <w:gridCol w:w="779"/>
        <w:gridCol w:w="889"/>
        <w:gridCol w:w="874"/>
        <w:gridCol w:w="1187"/>
        <w:gridCol w:w="713"/>
        <w:gridCol w:w="958"/>
        <w:gridCol w:w="1449"/>
        <w:gridCol w:w="1171"/>
        <w:gridCol w:w="1480"/>
      </w:tblGrid>
      <w:tr w:rsidR="00FB39A5" w:rsidRPr="00FB39A5" w14:paraId="78AE5558" w14:textId="77777777" w:rsidTr="00FB39A5">
        <w:tblPrEx>
          <w:tblCellMar>
            <w:top w:w="0" w:type="dxa"/>
            <w:bottom w:w="0" w:type="dxa"/>
          </w:tblCellMar>
        </w:tblPrEx>
        <w:trPr>
          <w:trHeight w:val="664"/>
          <w:jc w:val="center"/>
        </w:trPr>
        <w:tc>
          <w:tcPr>
            <w:tcW w:w="860" w:type="dxa"/>
            <w:tcBorders>
              <w:top w:val="single" w:sz="12" w:space="0" w:color="auto"/>
              <w:bottom w:val="single" w:sz="12" w:space="0" w:color="auto"/>
            </w:tcBorders>
            <w:vAlign w:val="center"/>
          </w:tcPr>
          <w:p w14:paraId="1B285776"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Country</w:t>
            </w:r>
          </w:p>
        </w:tc>
        <w:tc>
          <w:tcPr>
            <w:tcW w:w="859" w:type="dxa"/>
            <w:tcBorders>
              <w:top w:val="single" w:sz="12" w:space="0" w:color="auto"/>
              <w:bottom w:val="single" w:sz="12" w:space="0" w:color="auto"/>
            </w:tcBorders>
            <w:vAlign w:val="center"/>
          </w:tcPr>
          <w:p w14:paraId="75B00EA6" w14:textId="77777777" w:rsidR="00FB39A5" w:rsidRPr="00FB39A5" w:rsidRDefault="00FB39A5" w:rsidP="00FB39A5">
            <w:pPr>
              <w:keepNext/>
              <w:ind w:left="20"/>
              <w:jc w:val="center"/>
              <w:outlineLvl w:val="2"/>
              <w:rPr>
                <w:rFonts w:ascii="Arial" w:hAnsi="Arial" w:cs="Arial"/>
                <w:b/>
                <w:bCs/>
                <w:sz w:val="16"/>
                <w:szCs w:val="16"/>
                <w:lang w:val="en-GB" w:bidi="he-IL"/>
              </w:rPr>
            </w:pPr>
            <w:bookmarkStart w:id="18" w:name="_Toc163031978"/>
            <w:bookmarkStart w:id="19" w:name="_Toc163032105"/>
            <w:r w:rsidRPr="00FB39A5">
              <w:rPr>
                <w:rFonts w:ascii="Arial" w:hAnsi="Arial" w:cs="Arial"/>
                <w:b/>
                <w:bCs/>
                <w:sz w:val="16"/>
                <w:szCs w:val="16"/>
                <w:lang w:val="en-GB" w:bidi="he-IL"/>
              </w:rPr>
              <w:t>Year</w:t>
            </w:r>
            <w:bookmarkEnd w:id="18"/>
            <w:bookmarkEnd w:id="19"/>
          </w:p>
        </w:tc>
        <w:tc>
          <w:tcPr>
            <w:tcW w:w="1837" w:type="dxa"/>
            <w:tcBorders>
              <w:top w:val="single" w:sz="12" w:space="0" w:color="auto"/>
              <w:bottom w:val="single" w:sz="12" w:space="0" w:color="auto"/>
            </w:tcBorders>
            <w:vAlign w:val="center"/>
          </w:tcPr>
          <w:p w14:paraId="7E2EECC3"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Location</w:t>
            </w:r>
          </w:p>
        </w:tc>
        <w:tc>
          <w:tcPr>
            <w:tcW w:w="974" w:type="dxa"/>
            <w:tcBorders>
              <w:top w:val="single" w:sz="12" w:space="0" w:color="auto"/>
              <w:bottom w:val="single" w:sz="12" w:space="0" w:color="auto"/>
            </w:tcBorders>
            <w:vAlign w:val="center"/>
          </w:tcPr>
          <w:p w14:paraId="693DFBC9"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Total Area (ha)</w:t>
            </w:r>
          </w:p>
        </w:tc>
        <w:tc>
          <w:tcPr>
            <w:tcW w:w="779" w:type="dxa"/>
            <w:tcBorders>
              <w:top w:val="single" w:sz="12" w:space="0" w:color="auto"/>
              <w:bottom w:val="single" w:sz="12" w:space="0" w:color="auto"/>
            </w:tcBorders>
            <w:vAlign w:val="center"/>
          </w:tcPr>
          <w:p w14:paraId="09F12D1B"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Volume (per ha)</w:t>
            </w:r>
          </w:p>
        </w:tc>
        <w:tc>
          <w:tcPr>
            <w:tcW w:w="889" w:type="dxa"/>
            <w:tcBorders>
              <w:top w:val="single" w:sz="12" w:space="0" w:color="auto"/>
              <w:bottom w:val="single" w:sz="12" w:space="0" w:color="auto"/>
            </w:tcBorders>
            <w:vAlign w:val="center"/>
          </w:tcPr>
          <w:p w14:paraId="045C2B8B"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Unit Net Price</w:t>
            </w:r>
          </w:p>
        </w:tc>
        <w:tc>
          <w:tcPr>
            <w:tcW w:w="874" w:type="dxa"/>
            <w:tcBorders>
              <w:top w:val="single" w:sz="12" w:space="0" w:color="auto"/>
              <w:bottom w:val="single" w:sz="12" w:space="0" w:color="auto"/>
            </w:tcBorders>
            <w:vAlign w:val="center"/>
          </w:tcPr>
          <w:p w14:paraId="5EFF38F4"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Currency</w:t>
            </w:r>
          </w:p>
        </w:tc>
        <w:tc>
          <w:tcPr>
            <w:tcW w:w="1187" w:type="dxa"/>
            <w:tcBorders>
              <w:top w:val="single" w:sz="12" w:space="0" w:color="auto"/>
              <w:bottom w:val="single" w:sz="12" w:space="0" w:color="auto"/>
            </w:tcBorders>
            <w:vAlign w:val="center"/>
          </w:tcPr>
          <w:p w14:paraId="0038D118"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Value</w:t>
            </w:r>
          </w:p>
          <w:p w14:paraId="1EBA4124"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(per ha)</w:t>
            </w:r>
          </w:p>
        </w:tc>
        <w:tc>
          <w:tcPr>
            <w:tcW w:w="713" w:type="dxa"/>
            <w:tcBorders>
              <w:top w:val="single" w:sz="12" w:space="0" w:color="auto"/>
              <w:bottom w:val="single" w:sz="12" w:space="0" w:color="auto"/>
            </w:tcBorders>
            <w:vAlign w:val="center"/>
          </w:tcPr>
          <w:p w14:paraId="6A61B720"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CPI (base 2005)</w:t>
            </w:r>
          </w:p>
        </w:tc>
        <w:tc>
          <w:tcPr>
            <w:tcW w:w="958" w:type="dxa"/>
            <w:tcBorders>
              <w:top w:val="single" w:sz="12" w:space="0" w:color="auto"/>
              <w:bottom w:val="single" w:sz="12" w:space="0" w:color="auto"/>
            </w:tcBorders>
            <w:vAlign w:val="center"/>
          </w:tcPr>
          <w:p w14:paraId="41BB45EE"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Exchange rate 2005</w:t>
            </w:r>
          </w:p>
        </w:tc>
        <w:tc>
          <w:tcPr>
            <w:tcW w:w="1449" w:type="dxa"/>
            <w:tcBorders>
              <w:top w:val="single" w:sz="12" w:space="0" w:color="auto"/>
              <w:bottom w:val="single" w:sz="12" w:space="0" w:color="auto"/>
            </w:tcBorders>
            <w:vAlign w:val="center"/>
          </w:tcPr>
          <w:p w14:paraId="4876863D"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Standard National Value, 2005, per hectare in local Currency</w:t>
            </w:r>
          </w:p>
        </w:tc>
        <w:tc>
          <w:tcPr>
            <w:tcW w:w="1171" w:type="dxa"/>
            <w:tcBorders>
              <w:top w:val="single" w:sz="12" w:space="0" w:color="auto"/>
              <w:bottom w:val="single" w:sz="12" w:space="0" w:color="auto"/>
            </w:tcBorders>
            <w:vAlign w:val="center"/>
          </w:tcPr>
          <w:p w14:paraId="0608B6A5"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 xml:space="preserve">Regionally comparable Value per hectare </w:t>
            </w:r>
            <w:smartTag w:uri="urn:schemas-microsoft-com:office:smarttags" w:element="place">
              <w:smartTag w:uri="urn:schemas-microsoft-com:office:smarttags" w:element="country-region">
                <w:r w:rsidRPr="00FB39A5">
                  <w:rPr>
                    <w:rFonts w:ascii="Arial" w:hAnsi="Arial" w:cs="Arial"/>
                    <w:b/>
                    <w:bCs/>
                    <w:sz w:val="16"/>
                    <w:szCs w:val="16"/>
                    <w:lang w:val="en-GB"/>
                  </w:rPr>
                  <w:t>US</w:t>
                </w:r>
              </w:smartTag>
            </w:smartTag>
            <w:r w:rsidRPr="00FB39A5">
              <w:rPr>
                <w:rFonts w:ascii="Arial" w:hAnsi="Arial" w:cs="Arial"/>
                <w:b/>
                <w:bCs/>
                <w:sz w:val="16"/>
                <w:szCs w:val="16"/>
                <w:lang w:val="en-GB"/>
              </w:rPr>
              <w:t>$</w:t>
            </w:r>
          </w:p>
        </w:tc>
        <w:tc>
          <w:tcPr>
            <w:tcW w:w="1480" w:type="dxa"/>
            <w:tcBorders>
              <w:top w:val="single" w:sz="12" w:space="0" w:color="auto"/>
              <w:bottom w:val="single" w:sz="12" w:space="0" w:color="auto"/>
            </w:tcBorders>
            <w:vAlign w:val="center"/>
          </w:tcPr>
          <w:p w14:paraId="17537B4F"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 xml:space="preserve">Total Stock Value by Locality (Area </w:t>
            </w:r>
            <w:r w:rsidRPr="00FB39A5">
              <w:rPr>
                <w:rFonts w:ascii="Arial" w:hAnsi="Arial" w:cs="Arial"/>
                <w:b/>
                <w:bCs/>
                <w:i/>
                <w:iCs/>
                <w:sz w:val="16"/>
                <w:szCs w:val="16"/>
                <w:lang w:val="en-GB"/>
              </w:rPr>
              <w:t>x</w:t>
            </w:r>
            <w:r w:rsidRPr="00FB39A5">
              <w:rPr>
                <w:rFonts w:ascii="Arial" w:hAnsi="Arial" w:cs="Arial"/>
                <w:b/>
                <w:bCs/>
                <w:sz w:val="16"/>
                <w:szCs w:val="16"/>
                <w:lang w:val="en-GB"/>
              </w:rPr>
              <w:t>Value/ha in US$)</w:t>
            </w:r>
          </w:p>
        </w:tc>
      </w:tr>
      <w:tr w:rsidR="00FB39A5" w:rsidRPr="00FB39A5" w14:paraId="7900AAC4" w14:textId="77777777" w:rsidTr="00FB39A5">
        <w:tblPrEx>
          <w:tblCellMar>
            <w:top w:w="0" w:type="dxa"/>
            <w:bottom w:w="0" w:type="dxa"/>
          </w:tblCellMar>
        </w:tblPrEx>
        <w:trPr>
          <w:trHeight w:val="191"/>
          <w:jc w:val="center"/>
        </w:trPr>
        <w:tc>
          <w:tcPr>
            <w:tcW w:w="860" w:type="dxa"/>
            <w:vAlign w:val="center"/>
          </w:tcPr>
          <w:p w14:paraId="530D1464"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37D4313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1837" w:type="dxa"/>
            <w:vAlign w:val="center"/>
          </w:tcPr>
          <w:p w14:paraId="62720D75"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Tinanggea District, </w:t>
            </w:r>
            <w:smartTag w:uri="urn:schemas-microsoft-com:office:smarttags" w:element="place">
              <w:r w:rsidRPr="00FB39A5">
                <w:rPr>
                  <w:rFonts w:ascii="Arial" w:hAnsi="Arial" w:cs="Arial"/>
                  <w:sz w:val="12"/>
                  <w:szCs w:val="12"/>
                  <w:lang w:val="en-GB"/>
                </w:rPr>
                <w:t>SE Sulawesi</w:t>
              </w:r>
            </w:smartTag>
          </w:p>
        </w:tc>
        <w:tc>
          <w:tcPr>
            <w:tcW w:w="974" w:type="dxa"/>
            <w:vAlign w:val="center"/>
          </w:tcPr>
          <w:p w14:paraId="4C7B3DF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6,596.00</w:t>
            </w:r>
          </w:p>
        </w:tc>
        <w:tc>
          <w:tcPr>
            <w:tcW w:w="779" w:type="dxa"/>
            <w:vAlign w:val="center"/>
          </w:tcPr>
          <w:p w14:paraId="2F04D4E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25.92</w:t>
            </w:r>
          </w:p>
        </w:tc>
        <w:tc>
          <w:tcPr>
            <w:tcW w:w="889" w:type="dxa"/>
            <w:vAlign w:val="center"/>
          </w:tcPr>
          <w:p w14:paraId="6768167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9,000.00</w:t>
            </w:r>
          </w:p>
        </w:tc>
        <w:tc>
          <w:tcPr>
            <w:tcW w:w="874" w:type="dxa"/>
            <w:vAlign w:val="center"/>
          </w:tcPr>
          <w:p w14:paraId="1F32420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661AB60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233,280.00</w:t>
            </w:r>
          </w:p>
        </w:tc>
        <w:tc>
          <w:tcPr>
            <w:tcW w:w="713" w:type="dxa"/>
            <w:vAlign w:val="center"/>
          </w:tcPr>
          <w:p w14:paraId="29C5A44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79.95</w:t>
            </w:r>
          </w:p>
        </w:tc>
        <w:tc>
          <w:tcPr>
            <w:tcW w:w="958" w:type="dxa"/>
            <w:vAlign w:val="center"/>
          </w:tcPr>
          <w:p w14:paraId="1E3AFB3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57C3A61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291,782.36</w:t>
            </w:r>
          </w:p>
        </w:tc>
        <w:tc>
          <w:tcPr>
            <w:tcW w:w="1171" w:type="dxa"/>
            <w:vAlign w:val="center"/>
          </w:tcPr>
          <w:p w14:paraId="07C7ED5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30.01</w:t>
            </w:r>
          </w:p>
        </w:tc>
        <w:tc>
          <w:tcPr>
            <w:tcW w:w="1480" w:type="dxa"/>
            <w:vAlign w:val="center"/>
          </w:tcPr>
          <w:p w14:paraId="1BE9F24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197,970.11</w:t>
            </w:r>
          </w:p>
        </w:tc>
      </w:tr>
      <w:tr w:rsidR="00FB39A5" w:rsidRPr="00FB39A5" w14:paraId="4DBDB952" w14:textId="77777777" w:rsidTr="00FB39A5">
        <w:tblPrEx>
          <w:tblCellMar>
            <w:top w:w="0" w:type="dxa"/>
            <w:bottom w:w="0" w:type="dxa"/>
          </w:tblCellMar>
        </w:tblPrEx>
        <w:trPr>
          <w:trHeight w:val="191"/>
          <w:jc w:val="center"/>
        </w:trPr>
        <w:tc>
          <w:tcPr>
            <w:tcW w:w="860" w:type="dxa"/>
            <w:vAlign w:val="center"/>
          </w:tcPr>
          <w:p w14:paraId="29A40FA6"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15F9234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1837" w:type="dxa"/>
            <w:vAlign w:val="center"/>
          </w:tcPr>
          <w:p w14:paraId="11CA4730"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Talise, Minahasa</w:t>
            </w:r>
          </w:p>
        </w:tc>
        <w:tc>
          <w:tcPr>
            <w:tcW w:w="974" w:type="dxa"/>
            <w:vAlign w:val="center"/>
          </w:tcPr>
          <w:p w14:paraId="1819B6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62.00</w:t>
            </w:r>
          </w:p>
        </w:tc>
        <w:tc>
          <w:tcPr>
            <w:tcW w:w="779" w:type="dxa"/>
            <w:vAlign w:val="center"/>
          </w:tcPr>
          <w:p w14:paraId="2D75AA8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68.16</w:t>
            </w:r>
          </w:p>
        </w:tc>
        <w:tc>
          <w:tcPr>
            <w:tcW w:w="889" w:type="dxa"/>
            <w:vAlign w:val="center"/>
          </w:tcPr>
          <w:p w14:paraId="161D003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7,500.00</w:t>
            </w:r>
          </w:p>
        </w:tc>
        <w:tc>
          <w:tcPr>
            <w:tcW w:w="874" w:type="dxa"/>
            <w:vAlign w:val="center"/>
          </w:tcPr>
          <w:p w14:paraId="719D6C9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3F5C6C7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511,200.00</w:t>
            </w:r>
          </w:p>
        </w:tc>
        <w:tc>
          <w:tcPr>
            <w:tcW w:w="713" w:type="dxa"/>
            <w:vAlign w:val="center"/>
          </w:tcPr>
          <w:p w14:paraId="57BA22A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79.95</w:t>
            </w:r>
          </w:p>
        </w:tc>
        <w:tc>
          <w:tcPr>
            <w:tcW w:w="958" w:type="dxa"/>
            <w:vAlign w:val="center"/>
          </w:tcPr>
          <w:p w14:paraId="1AD0C34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55DF52E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639,399.62</w:t>
            </w:r>
          </w:p>
        </w:tc>
        <w:tc>
          <w:tcPr>
            <w:tcW w:w="1171" w:type="dxa"/>
            <w:vAlign w:val="center"/>
          </w:tcPr>
          <w:p w14:paraId="737B596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65.77</w:t>
            </w:r>
          </w:p>
        </w:tc>
        <w:tc>
          <w:tcPr>
            <w:tcW w:w="1480" w:type="dxa"/>
            <w:vAlign w:val="center"/>
          </w:tcPr>
          <w:p w14:paraId="5E21B23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4,077.78</w:t>
            </w:r>
          </w:p>
        </w:tc>
      </w:tr>
      <w:tr w:rsidR="00FB39A5" w:rsidRPr="00FB39A5" w14:paraId="0627D2C3" w14:textId="77777777" w:rsidTr="00FB39A5">
        <w:tblPrEx>
          <w:tblCellMar>
            <w:top w:w="0" w:type="dxa"/>
            <w:bottom w:w="0" w:type="dxa"/>
          </w:tblCellMar>
        </w:tblPrEx>
        <w:trPr>
          <w:trHeight w:val="191"/>
          <w:jc w:val="center"/>
        </w:trPr>
        <w:tc>
          <w:tcPr>
            <w:tcW w:w="860" w:type="dxa"/>
            <w:vAlign w:val="center"/>
          </w:tcPr>
          <w:p w14:paraId="027B6F7C"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5470A2B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1837" w:type="dxa"/>
            <w:vAlign w:val="center"/>
          </w:tcPr>
          <w:p w14:paraId="001F28F1"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Batu Ampar, </w:t>
            </w:r>
            <w:smartTag w:uri="urn:schemas-microsoft-com:office:smarttags" w:element="place">
              <w:smartTag w:uri="urn:schemas-microsoft-com:office:smarttags" w:element="City">
                <w:r w:rsidRPr="00FB39A5">
                  <w:rPr>
                    <w:rFonts w:ascii="Arial" w:hAnsi="Arial" w:cs="Arial"/>
                    <w:sz w:val="12"/>
                    <w:szCs w:val="12"/>
                    <w:lang w:val="en-GB"/>
                  </w:rPr>
                  <w:t>Pontianak</w:t>
                </w:r>
              </w:smartTag>
            </w:smartTag>
          </w:p>
        </w:tc>
        <w:tc>
          <w:tcPr>
            <w:tcW w:w="974" w:type="dxa"/>
            <w:vAlign w:val="center"/>
          </w:tcPr>
          <w:p w14:paraId="4672639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7,460.00</w:t>
            </w:r>
          </w:p>
        </w:tc>
        <w:tc>
          <w:tcPr>
            <w:tcW w:w="779" w:type="dxa"/>
            <w:vAlign w:val="center"/>
          </w:tcPr>
          <w:p w14:paraId="2D6380F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40.00</w:t>
            </w:r>
          </w:p>
        </w:tc>
        <w:tc>
          <w:tcPr>
            <w:tcW w:w="889" w:type="dxa"/>
            <w:vAlign w:val="center"/>
          </w:tcPr>
          <w:p w14:paraId="5D57FF5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4,300.00</w:t>
            </w:r>
          </w:p>
        </w:tc>
        <w:tc>
          <w:tcPr>
            <w:tcW w:w="874" w:type="dxa"/>
            <w:vAlign w:val="center"/>
          </w:tcPr>
          <w:p w14:paraId="13EB848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4D46D87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172,000.00</w:t>
            </w:r>
          </w:p>
        </w:tc>
        <w:tc>
          <w:tcPr>
            <w:tcW w:w="713" w:type="dxa"/>
            <w:vAlign w:val="center"/>
          </w:tcPr>
          <w:p w14:paraId="31EA853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8" w:type="dxa"/>
            <w:vAlign w:val="center"/>
          </w:tcPr>
          <w:p w14:paraId="0D05C68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319F102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268,372.60</w:t>
            </w:r>
          </w:p>
        </w:tc>
        <w:tc>
          <w:tcPr>
            <w:tcW w:w="1171" w:type="dxa"/>
            <w:vAlign w:val="center"/>
          </w:tcPr>
          <w:p w14:paraId="3E3C58F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27.61</w:t>
            </w:r>
          </w:p>
        </w:tc>
        <w:tc>
          <w:tcPr>
            <w:tcW w:w="1480" w:type="dxa"/>
            <w:vAlign w:val="center"/>
          </w:tcPr>
          <w:p w14:paraId="2C2E455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205,938.21</w:t>
            </w:r>
          </w:p>
        </w:tc>
      </w:tr>
      <w:tr w:rsidR="00FB39A5" w:rsidRPr="00FB39A5" w14:paraId="232B69F2" w14:textId="77777777" w:rsidTr="00FB39A5">
        <w:tblPrEx>
          <w:tblCellMar>
            <w:top w:w="0" w:type="dxa"/>
            <w:bottom w:w="0" w:type="dxa"/>
          </w:tblCellMar>
        </w:tblPrEx>
        <w:trPr>
          <w:trHeight w:val="191"/>
          <w:jc w:val="center"/>
        </w:trPr>
        <w:tc>
          <w:tcPr>
            <w:tcW w:w="860" w:type="dxa"/>
            <w:vAlign w:val="center"/>
          </w:tcPr>
          <w:p w14:paraId="40CD2B60"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1A05E5F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1837" w:type="dxa"/>
            <w:vAlign w:val="center"/>
          </w:tcPr>
          <w:p w14:paraId="6F549B6F"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Gelumbang District, </w:t>
            </w:r>
            <w:smartTag w:uri="urn:schemas-microsoft-com:office:smarttags" w:element="place">
              <w:r w:rsidRPr="00FB39A5">
                <w:rPr>
                  <w:rFonts w:ascii="Arial" w:hAnsi="Arial" w:cs="Arial"/>
                  <w:sz w:val="12"/>
                  <w:szCs w:val="12"/>
                  <w:lang w:val="en-GB"/>
                </w:rPr>
                <w:t>South Sulawesi</w:t>
              </w:r>
            </w:smartTag>
          </w:p>
        </w:tc>
        <w:tc>
          <w:tcPr>
            <w:tcW w:w="974" w:type="dxa"/>
            <w:vAlign w:val="center"/>
          </w:tcPr>
          <w:p w14:paraId="1BDBD59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9,538.00</w:t>
            </w:r>
          </w:p>
        </w:tc>
        <w:tc>
          <w:tcPr>
            <w:tcW w:w="779" w:type="dxa"/>
            <w:vAlign w:val="center"/>
          </w:tcPr>
          <w:p w14:paraId="5B9D6A1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50.00</w:t>
            </w:r>
          </w:p>
        </w:tc>
        <w:tc>
          <w:tcPr>
            <w:tcW w:w="889" w:type="dxa"/>
            <w:vAlign w:val="center"/>
          </w:tcPr>
          <w:p w14:paraId="40FC516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10,000.00</w:t>
            </w:r>
          </w:p>
        </w:tc>
        <w:tc>
          <w:tcPr>
            <w:tcW w:w="874" w:type="dxa"/>
            <w:vAlign w:val="center"/>
          </w:tcPr>
          <w:p w14:paraId="2ACB636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57B0A2A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500,000.00</w:t>
            </w:r>
          </w:p>
        </w:tc>
        <w:tc>
          <w:tcPr>
            <w:tcW w:w="713" w:type="dxa"/>
            <w:vAlign w:val="center"/>
          </w:tcPr>
          <w:p w14:paraId="2E5DE59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8" w:type="dxa"/>
            <w:vAlign w:val="center"/>
          </w:tcPr>
          <w:p w14:paraId="633EDAA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7D56327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809,192.43</w:t>
            </w:r>
          </w:p>
        </w:tc>
        <w:tc>
          <w:tcPr>
            <w:tcW w:w="1171" w:type="dxa"/>
            <w:vAlign w:val="center"/>
          </w:tcPr>
          <w:p w14:paraId="6EDB199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83.24</w:t>
            </w:r>
          </w:p>
        </w:tc>
        <w:tc>
          <w:tcPr>
            <w:tcW w:w="1480" w:type="dxa"/>
            <w:vAlign w:val="center"/>
          </w:tcPr>
          <w:p w14:paraId="667149D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793,905.96</w:t>
            </w:r>
          </w:p>
        </w:tc>
      </w:tr>
      <w:tr w:rsidR="00FB39A5" w:rsidRPr="00FB39A5" w14:paraId="03E0B905" w14:textId="77777777" w:rsidTr="00FB39A5">
        <w:tblPrEx>
          <w:tblCellMar>
            <w:top w:w="0" w:type="dxa"/>
            <w:bottom w:w="0" w:type="dxa"/>
          </w:tblCellMar>
        </w:tblPrEx>
        <w:trPr>
          <w:trHeight w:val="191"/>
          <w:jc w:val="center"/>
        </w:trPr>
        <w:tc>
          <w:tcPr>
            <w:tcW w:w="860" w:type="dxa"/>
            <w:vAlign w:val="center"/>
          </w:tcPr>
          <w:p w14:paraId="538C2767"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42D086F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1837" w:type="dxa"/>
            <w:vAlign w:val="center"/>
          </w:tcPr>
          <w:p w14:paraId="54D77951"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Segara Anakan </w:t>
            </w:r>
          </w:p>
        </w:tc>
        <w:tc>
          <w:tcPr>
            <w:tcW w:w="974" w:type="dxa"/>
            <w:vAlign w:val="center"/>
          </w:tcPr>
          <w:p w14:paraId="6955F7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7,904.00</w:t>
            </w:r>
          </w:p>
        </w:tc>
        <w:tc>
          <w:tcPr>
            <w:tcW w:w="779" w:type="dxa"/>
            <w:vAlign w:val="center"/>
          </w:tcPr>
          <w:p w14:paraId="21FF639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42.40</w:t>
            </w:r>
          </w:p>
        </w:tc>
        <w:tc>
          <w:tcPr>
            <w:tcW w:w="889" w:type="dxa"/>
            <w:vAlign w:val="center"/>
          </w:tcPr>
          <w:p w14:paraId="5D9C18D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1,013.97</w:t>
            </w:r>
          </w:p>
        </w:tc>
        <w:tc>
          <w:tcPr>
            <w:tcW w:w="874" w:type="dxa"/>
            <w:vAlign w:val="center"/>
          </w:tcPr>
          <w:p w14:paraId="487164B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4131A94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42,992.44</w:t>
            </w:r>
          </w:p>
        </w:tc>
        <w:tc>
          <w:tcPr>
            <w:tcW w:w="713" w:type="dxa"/>
            <w:vAlign w:val="center"/>
          </w:tcPr>
          <w:p w14:paraId="2938F39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8" w:type="dxa"/>
            <w:vAlign w:val="center"/>
          </w:tcPr>
          <w:p w14:paraId="08E5FB6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79E9F7C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69,578.31</w:t>
            </w:r>
          </w:p>
        </w:tc>
        <w:tc>
          <w:tcPr>
            <w:tcW w:w="1171" w:type="dxa"/>
            <w:vAlign w:val="center"/>
          </w:tcPr>
          <w:p w14:paraId="1FD28B7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7.16</w:t>
            </w:r>
          </w:p>
        </w:tc>
        <w:tc>
          <w:tcPr>
            <w:tcW w:w="1480" w:type="dxa"/>
            <w:vAlign w:val="center"/>
          </w:tcPr>
          <w:p w14:paraId="6B3C504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56,569.30</w:t>
            </w:r>
          </w:p>
        </w:tc>
      </w:tr>
      <w:tr w:rsidR="00FB39A5" w:rsidRPr="00FB39A5" w14:paraId="1C905E78" w14:textId="77777777" w:rsidTr="00FB39A5">
        <w:tblPrEx>
          <w:tblCellMar>
            <w:top w:w="0" w:type="dxa"/>
            <w:bottom w:w="0" w:type="dxa"/>
          </w:tblCellMar>
        </w:tblPrEx>
        <w:trPr>
          <w:trHeight w:val="191"/>
          <w:jc w:val="center"/>
        </w:trPr>
        <w:tc>
          <w:tcPr>
            <w:tcW w:w="860" w:type="dxa"/>
            <w:vAlign w:val="center"/>
          </w:tcPr>
          <w:p w14:paraId="5F26A6CB"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68D9998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1998</w:t>
            </w:r>
          </w:p>
        </w:tc>
        <w:tc>
          <w:tcPr>
            <w:tcW w:w="1837" w:type="dxa"/>
            <w:vAlign w:val="center"/>
          </w:tcPr>
          <w:p w14:paraId="7EE2C8F2"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Tulung Selapan, </w:t>
            </w:r>
            <w:smartTag w:uri="urn:schemas-microsoft-com:office:smarttags" w:element="place">
              <w:r w:rsidRPr="00FB39A5">
                <w:rPr>
                  <w:rFonts w:ascii="Arial" w:hAnsi="Arial" w:cs="Arial"/>
                  <w:sz w:val="12"/>
                  <w:szCs w:val="12"/>
                  <w:lang w:val="en-GB"/>
                </w:rPr>
                <w:t>South Sumatera</w:t>
              </w:r>
            </w:smartTag>
            <w:r w:rsidRPr="00FB39A5">
              <w:rPr>
                <w:rFonts w:ascii="Arial" w:hAnsi="Arial" w:cs="Arial"/>
                <w:sz w:val="12"/>
                <w:szCs w:val="12"/>
                <w:lang w:val="en-GB"/>
              </w:rPr>
              <w:t xml:space="preserve"> </w:t>
            </w:r>
          </w:p>
        </w:tc>
        <w:tc>
          <w:tcPr>
            <w:tcW w:w="974" w:type="dxa"/>
            <w:vAlign w:val="center"/>
          </w:tcPr>
          <w:p w14:paraId="5D43D90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8,232.00</w:t>
            </w:r>
          </w:p>
        </w:tc>
        <w:tc>
          <w:tcPr>
            <w:tcW w:w="779" w:type="dxa"/>
            <w:vAlign w:val="center"/>
          </w:tcPr>
          <w:p w14:paraId="0EE90D8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40.00</w:t>
            </w:r>
          </w:p>
        </w:tc>
        <w:tc>
          <w:tcPr>
            <w:tcW w:w="889" w:type="dxa"/>
            <w:vAlign w:val="center"/>
          </w:tcPr>
          <w:p w14:paraId="1DB99C5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1,250.00</w:t>
            </w:r>
          </w:p>
        </w:tc>
        <w:tc>
          <w:tcPr>
            <w:tcW w:w="874" w:type="dxa"/>
            <w:vAlign w:val="center"/>
          </w:tcPr>
          <w:p w14:paraId="74AE647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61519E1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50,000.00</w:t>
            </w:r>
          </w:p>
        </w:tc>
        <w:tc>
          <w:tcPr>
            <w:tcW w:w="713" w:type="dxa"/>
            <w:vAlign w:val="center"/>
          </w:tcPr>
          <w:p w14:paraId="132AEFA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51.28</w:t>
            </w:r>
          </w:p>
        </w:tc>
        <w:tc>
          <w:tcPr>
            <w:tcW w:w="958" w:type="dxa"/>
            <w:vAlign w:val="center"/>
          </w:tcPr>
          <w:p w14:paraId="71380FC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0EC28E7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97,503.90</w:t>
            </w:r>
          </w:p>
        </w:tc>
        <w:tc>
          <w:tcPr>
            <w:tcW w:w="1171" w:type="dxa"/>
            <w:vAlign w:val="center"/>
          </w:tcPr>
          <w:p w14:paraId="58E0ACE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10.03</w:t>
            </w:r>
          </w:p>
        </w:tc>
        <w:tc>
          <w:tcPr>
            <w:tcW w:w="1480" w:type="dxa"/>
            <w:vAlign w:val="center"/>
          </w:tcPr>
          <w:p w14:paraId="3E56A1F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82,563.35</w:t>
            </w:r>
          </w:p>
        </w:tc>
      </w:tr>
      <w:tr w:rsidR="00FB39A5" w:rsidRPr="00FB39A5" w14:paraId="317224A3" w14:textId="77777777" w:rsidTr="00FB39A5">
        <w:tblPrEx>
          <w:tblCellMar>
            <w:top w:w="0" w:type="dxa"/>
            <w:bottom w:w="0" w:type="dxa"/>
          </w:tblCellMar>
        </w:tblPrEx>
        <w:trPr>
          <w:trHeight w:val="191"/>
          <w:jc w:val="center"/>
        </w:trPr>
        <w:tc>
          <w:tcPr>
            <w:tcW w:w="860" w:type="dxa"/>
            <w:vAlign w:val="center"/>
          </w:tcPr>
          <w:p w14:paraId="6984DDFC"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Philippines</w:t>
                </w:r>
              </w:smartTag>
            </w:smartTag>
          </w:p>
        </w:tc>
        <w:tc>
          <w:tcPr>
            <w:tcW w:w="859" w:type="dxa"/>
            <w:vAlign w:val="center"/>
          </w:tcPr>
          <w:p w14:paraId="2944F5D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55975AFF"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Busuanga</w:t>
            </w:r>
          </w:p>
        </w:tc>
        <w:tc>
          <w:tcPr>
            <w:tcW w:w="974" w:type="dxa"/>
            <w:vAlign w:val="center"/>
          </w:tcPr>
          <w:p w14:paraId="2A8ABD1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1,298.50</w:t>
            </w:r>
          </w:p>
        </w:tc>
        <w:tc>
          <w:tcPr>
            <w:tcW w:w="779" w:type="dxa"/>
            <w:vAlign w:val="center"/>
          </w:tcPr>
          <w:p w14:paraId="27849D4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4.12</w:t>
            </w:r>
          </w:p>
        </w:tc>
        <w:tc>
          <w:tcPr>
            <w:tcW w:w="889" w:type="dxa"/>
            <w:vAlign w:val="center"/>
          </w:tcPr>
          <w:p w14:paraId="2593888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800.00</w:t>
            </w:r>
          </w:p>
        </w:tc>
        <w:tc>
          <w:tcPr>
            <w:tcW w:w="874" w:type="dxa"/>
            <w:vAlign w:val="center"/>
          </w:tcPr>
          <w:p w14:paraId="27E9C96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PHP</w:t>
            </w:r>
          </w:p>
        </w:tc>
        <w:tc>
          <w:tcPr>
            <w:tcW w:w="1187" w:type="dxa"/>
            <w:vAlign w:val="center"/>
          </w:tcPr>
          <w:p w14:paraId="4EDF97B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3,296.00</w:t>
            </w:r>
          </w:p>
        </w:tc>
        <w:tc>
          <w:tcPr>
            <w:tcW w:w="713" w:type="dxa"/>
            <w:vAlign w:val="center"/>
          </w:tcPr>
          <w:p w14:paraId="72CCC6A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87.67</w:t>
            </w:r>
          </w:p>
        </w:tc>
        <w:tc>
          <w:tcPr>
            <w:tcW w:w="958" w:type="dxa"/>
            <w:vAlign w:val="center"/>
          </w:tcPr>
          <w:p w14:paraId="34EF1B0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55.14</w:t>
            </w:r>
          </w:p>
        </w:tc>
        <w:tc>
          <w:tcPr>
            <w:tcW w:w="1449" w:type="dxa"/>
            <w:vAlign w:val="center"/>
          </w:tcPr>
          <w:p w14:paraId="53ED250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3,759.55</w:t>
            </w:r>
          </w:p>
        </w:tc>
        <w:tc>
          <w:tcPr>
            <w:tcW w:w="1171" w:type="dxa"/>
            <w:vAlign w:val="center"/>
          </w:tcPr>
          <w:p w14:paraId="4BB2419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68.18</w:t>
            </w:r>
          </w:p>
        </w:tc>
        <w:tc>
          <w:tcPr>
            <w:tcW w:w="1480" w:type="dxa"/>
            <w:vAlign w:val="center"/>
          </w:tcPr>
          <w:p w14:paraId="108AA1E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88,534.28</w:t>
            </w:r>
          </w:p>
        </w:tc>
      </w:tr>
      <w:tr w:rsidR="00FB39A5" w:rsidRPr="00FB39A5" w14:paraId="3C15473D" w14:textId="77777777" w:rsidTr="00FB39A5">
        <w:tblPrEx>
          <w:tblCellMar>
            <w:top w:w="0" w:type="dxa"/>
            <w:bottom w:w="0" w:type="dxa"/>
          </w:tblCellMar>
        </w:tblPrEx>
        <w:trPr>
          <w:trHeight w:val="191"/>
          <w:jc w:val="center"/>
        </w:trPr>
        <w:tc>
          <w:tcPr>
            <w:tcW w:w="860" w:type="dxa"/>
            <w:vAlign w:val="center"/>
          </w:tcPr>
          <w:p w14:paraId="02F45583"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7281435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1996</w:t>
            </w:r>
          </w:p>
        </w:tc>
        <w:tc>
          <w:tcPr>
            <w:tcW w:w="1837" w:type="dxa"/>
            <w:vAlign w:val="center"/>
          </w:tcPr>
          <w:p w14:paraId="6400C4F5"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City">
                <w:r w:rsidRPr="00FB39A5">
                  <w:rPr>
                    <w:rFonts w:ascii="Arial" w:hAnsi="Arial" w:cs="Arial"/>
                    <w:sz w:val="12"/>
                    <w:szCs w:val="12"/>
                    <w:lang w:val="en-GB"/>
                  </w:rPr>
                  <w:t>Pagbilao</w:t>
                </w:r>
              </w:smartTag>
              <w:r w:rsidRPr="00FB39A5">
                <w:rPr>
                  <w:rFonts w:ascii="Arial" w:hAnsi="Arial" w:cs="Arial"/>
                  <w:sz w:val="12"/>
                  <w:szCs w:val="12"/>
                  <w:lang w:val="en-GB"/>
                </w:rPr>
                <w:t xml:space="preserve">, </w:t>
              </w:r>
              <w:smartTag w:uri="urn:schemas-microsoft-com:office:smarttags" w:element="country-region">
                <w:r w:rsidRPr="00FB39A5">
                  <w:rPr>
                    <w:rFonts w:ascii="Arial" w:hAnsi="Arial" w:cs="Arial"/>
                    <w:sz w:val="12"/>
                    <w:szCs w:val="12"/>
                    <w:lang w:val="en-GB"/>
                  </w:rPr>
                  <w:t>Philippines</w:t>
                </w:r>
              </w:smartTag>
            </w:smartTag>
          </w:p>
        </w:tc>
        <w:tc>
          <w:tcPr>
            <w:tcW w:w="974" w:type="dxa"/>
            <w:vAlign w:val="center"/>
          </w:tcPr>
          <w:p w14:paraId="0C90DAE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1,440.00</w:t>
            </w:r>
          </w:p>
        </w:tc>
        <w:tc>
          <w:tcPr>
            <w:tcW w:w="779" w:type="dxa"/>
            <w:vAlign w:val="center"/>
          </w:tcPr>
          <w:p w14:paraId="2C297E1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w:t>
            </w:r>
          </w:p>
        </w:tc>
        <w:tc>
          <w:tcPr>
            <w:tcW w:w="889" w:type="dxa"/>
            <w:vAlign w:val="center"/>
          </w:tcPr>
          <w:p w14:paraId="4ED82E5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810.00</w:t>
            </w:r>
          </w:p>
        </w:tc>
        <w:tc>
          <w:tcPr>
            <w:tcW w:w="874" w:type="dxa"/>
            <w:vAlign w:val="center"/>
          </w:tcPr>
          <w:p w14:paraId="5675EF6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PHP</w:t>
            </w:r>
          </w:p>
        </w:tc>
        <w:tc>
          <w:tcPr>
            <w:tcW w:w="1187" w:type="dxa"/>
            <w:vAlign w:val="center"/>
          </w:tcPr>
          <w:p w14:paraId="056F418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3,240.00</w:t>
            </w:r>
          </w:p>
        </w:tc>
        <w:tc>
          <w:tcPr>
            <w:tcW w:w="713" w:type="dxa"/>
            <w:vAlign w:val="center"/>
          </w:tcPr>
          <w:p w14:paraId="1831A77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59.56</w:t>
            </w:r>
          </w:p>
        </w:tc>
        <w:tc>
          <w:tcPr>
            <w:tcW w:w="958" w:type="dxa"/>
            <w:vAlign w:val="center"/>
          </w:tcPr>
          <w:p w14:paraId="43F26EC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55.14</w:t>
            </w:r>
          </w:p>
        </w:tc>
        <w:tc>
          <w:tcPr>
            <w:tcW w:w="1449" w:type="dxa"/>
            <w:vAlign w:val="center"/>
          </w:tcPr>
          <w:p w14:paraId="468F928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5,439.89</w:t>
            </w:r>
          </w:p>
        </w:tc>
        <w:tc>
          <w:tcPr>
            <w:tcW w:w="1171" w:type="dxa"/>
            <w:vAlign w:val="center"/>
          </w:tcPr>
          <w:p w14:paraId="0CF4B8D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98.66</w:t>
            </w:r>
          </w:p>
        </w:tc>
        <w:tc>
          <w:tcPr>
            <w:tcW w:w="1480" w:type="dxa"/>
            <w:vAlign w:val="center"/>
          </w:tcPr>
          <w:p w14:paraId="236385E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142,064.68</w:t>
            </w:r>
          </w:p>
        </w:tc>
      </w:tr>
      <w:tr w:rsidR="00FB39A5" w:rsidRPr="00FB39A5" w14:paraId="0CA12871" w14:textId="77777777" w:rsidTr="00FB39A5">
        <w:tblPrEx>
          <w:tblCellMar>
            <w:top w:w="0" w:type="dxa"/>
            <w:bottom w:w="0" w:type="dxa"/>
          </w:tblCellMar>
        </w:tblPrEx>
        <w:trPr>
          <w:trHeight w:val="88"/>
          <w:jc w:val="center"/>
        </w:trPr>
        <w:tc>
          <w:tcPr>
            <w:tcW w:w="860" w:type="dxa"/>
            <w:vAlign w:val="center"/>
          </w:tcPr>
          <w:p w14:paraId="175AB1D9"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Thailand</w:t>
                </w:r>
              </w:smartTag>
            </w:smartTag>
          </w:p>
        </w:tc>
        <w:tc>
          <w:tcPr>
            <w:tcW w:w="859" w:type="dxa"/>
            <w:vAlign w:val="center"/>
          </w:tcPr>
          <w:p w14:paraId="0D659EA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1995</w:t>
            </w:r>
          </w:p>
        </w:tc>
        <w:tc>
          <w:tcPr>
            <w:tcW w:w="1837" w:type="dxa"/>
            <w:vAlign w:val="center"/>
          </w:tcPr>
          <w:p w14:paraId="0E838DAA"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Trang not included</w:t>
            </w:r>
          </w:p>
        </w:tc>
        <w:tc>
          <w:tcPr>
            <w:tcW w:w="974" w:type="dxa"/>
            <w:vAlign w:val="center"/>
          </w:tcPr>
          <w:p w14:paraId="67DE59F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35,665.28</w:t>
            </w:r>
          </w:p>
        </w:tc>
        <w:tc>
          <w:tcPr>
            <w:tcW w:w="779" w:type="dxa"/>
            <w:vAlign w:val="center"/>
          </w:tcPr>
          <w:p w14:paraId="582D72A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15.62</w:t>
            </w:r>
          </w:p>
        </w:tc>
        <w:tc>
          <w:tcPr>
            <w:tcW w:w="889" w:type="dxa"/>
            <w:vAlign w:val="center"/>
          </w:tcPr>
          <w:p w14:paraId="629547E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1,616.25</w:t>
            </w:r>
          </w:p>
        </w:tc>
        <w:tc>
          <w:tcPr>
            <w:tcW w:w="874" w:type="dxa"/>
            <w:vAlign w:val="center"/>
          </w:tcPr>
          <w:p w14:paraId="13F4B98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187" w:type="dxa"/>
            <w:vAlign w:val="center"/>
          </w:tcPr>
          <w:p w14:paraId="2E7DF12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25,245.83</w:t>
            </w:r>
          </w:p>
        </w:tc>
        <w:tc>
          <w:tcPr>
            <w:tcW w:w="713" w:type="dxa"/>
            <w:vAlign w:val="center"/>
          </w:tcPr>
          <w:p w14:paraId="3099CDE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72.65</w:t>
            </w:r>
          </w:p>
        </w:tc>
        <w:tc>
          <w:tcPr>
            <w:tcW w:w="958" w:type="dxa"/>
            <w:vAlign w:val="center"/>
          </w:tcPr>
          <w:p w14:paraId="177CAAC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449" w:type="dxa"/>
            <w:vAlign w:val="center"/>
          </w:tcPr>
          <w:p w14:paraId="24B04CF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34,749.93</w:t>
            </w:r>
          </w:p>
        </w:tc>
        <w:tc>
          <w:tcPr>
            <w:tcW w:w="1171" w:type="dxa"/>
            <w:vAlign w:val="center"/>
          </w:tcPr>
          <w:p w14:paraId="1A84795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862.15</w:t>
            </w:r>
          </w:p>
        </w:tc>
        <w:tc>
          <w:tcPr>
            <w:tcW w:w="1480" w:type="dxa"/>
            <w:vAlign w:val="center"/>
          </w:tcPr>
          <w:p w14:paraId="672EE20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30,748,845.10</w:t>
            </w:r>
          </w:p>
        </w:tc>
      </w:tr>
      <w:tr w:rsidR="00FB39A5" w:rsidRPr="00FB39A5" w14:paraId="04340489" w14:textId="77777777" w:rsidTr="00FB39A5">
        <w:tblPrEx>
          <w:tblCellMar>
            <w:top w:w="0" w:type="dxa"/>
            <w:bottom w:w="0" w:type="dxa"/>
          </w:tblCellMar>
        </w:tblPrEx>
        <w:trPr>
          <w:trHeight w:val="191"/>
          <w:jc w:val="center"/>
        </w:trPr>
        <w:tc>
          <w:tcPr>
            <w:tcW w:w="860" w:type="dxa"/>
            <w:vAlign w:val="center"/>
          </w:tcPr>
          <w:p w14:paraId="1D9935FE"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19B91AE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1993</w:t>
            </w:r>
          </w:p>
        </w:tc>
        <w:tc>
          <w:tcPr>
            <w:tcW w:w="1837" w:type="dxa"/>
            <w:vAlign w:val="center"/>
          </w:tcPr>
          <w:p w14:paraId="6D4AE524"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Ranong</w:t>
            </w:r>
          </w:p>
        </w:tc>
        <w:tc>
          <w:tcPr>
            <w:tcW w:w="974" w:type="dxa"/>
            <w:vAlign w:val="center"/>
          </w:tcPr>
          <w:p w14:paraId="6D45774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19,236.64</w:t>
            </w:r>
          </w:p>
        </w:tc>
        <w:tc>
          <w:tcPr>
            <w:tcW w:w="779" w:type="dxa"/>
            <w:vAlign w:val="center"/>
          </w:tcPr>
          <w:p w14:paraId="1CFD0F7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2.11</w:t>
            </w:r>
          </w:p>
        </w:tc>
        <w:tc>
          <w:tcPr>
            <w:tcW w:w="889" w:type="dxa"/>
            <w:vAlign w:val="center"/>
          </w:tcPr>
          <w:p w14:paraId="3346549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1,616.25</w:t>
            </w:r>
          </w:p>
        </w:tc>
        <w:tc>
          <w:tcPr>
            <w:tcW w:w="874" w:type="dxa"/>
            <w:vAlign w:val="center"/>
          </w:tcPr>
          <w:p w14:paraId="2C2900D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187" w:type="dxa"/>
            <w:vAlign w:val="center"/>
          </w:tcPr>
          <w:p w14:paraId="3C1166C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3,410.29</w:t>
            </w:r>
          </w:p>
        </w:tc>
        <w:tc>
          <w:tcPr>
            <w:tcW w:w="713" w:type="dxa"/>
            <w:vAlign w:val="center"/>
          </w:tcPr>
          <w:p w14:paraId="02A1E9F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65.37</w:t>
            </w:r>
          </w:p>
        </w:tc>
        <w:tc>
          <w:tcPr>
            <w:tcW w:w="958" w:type="dxa"/>
            <w:vAlign w:val="center"/>
          </w:tcPr>
          <w:p w14:paraId="18998F9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449" w:type="dxa"/>
            <w:vAlign w:val="center"/>
          </w:tcPr>
          <w:p w14:paraId="5627163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5,216.90</w:t>
            </w:r>
          </w:p>
        </w:tc>
        <w:tc>
          <w:tcPr>
            <w:tcW w:w="1171" w:type="dxa"/>
            <w:vAlign w:val="center"/>
          </w:tcPr>
          <w:p w14:paraId="348BEB7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129.43</w:t>
            </w:r>
          </w:p>
        </w:tc>
        <w:tc>
          <w:tcPr>
            <w:tcW w:w="1480" w:type="dxa"/>
            <w:vAlign w:val="center"/>
          </w:tcPr>
          <w:p w14:paraId="76D5D40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2,489,839.00</w:t>
            </w:r>
          </w:p>
        </w:tc>
      </w:tr>
      <w:tr w:rsidR="00FB39A5" w:rsidRPr="00FB39A5" w14:paraId="5047CB96" w14:textId="77777777" w:rsidTr="00FB39A5">
        <w:tblPrEx>
          <w:tblCellMar>
            <w:top w:w="0" w:type="dxa"/>
            <w:bottom w:w="0" w:type="dxa"/>
          </w:tblCellMar>
        </w:tblPrEx>
        <w:trPr>
          <w:trHeight w:val="191"/>
          <w:jc w:val="center"/>
        </w:trPr>
        <w:tc>
          <w:tcPr>
            <w:tcW w:w="860" w:type="dxa"/>
            <w:vAlign w:val="center"/>
          </w:tcPr>
          <w:p w14:paraId="5A9EB623"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15BE49A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1993</w:t>
            </w:r>
          </w:p>
        </w:tc>
        <w:tc>
          <w:tcPr>
            <w:tcW w:w="1837" w:type="dxa"/>
            <w:vAlign w:val="center"/>
          </w:tcPr>
          <w:p w14:paraId="401CB648"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Krabi</w:t>
            </w:r>
          </w:p>
        </w:tc>
        <w:tc>
          <w:tcPr>
            <w:tcW w:w="974" w:type="dxa"/>
            <w:vAlign w:val="center"/>
          </w:tcPr>
          <w:p w14:paraId="2889B27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28,273.48</w:t>
            </w:r>
          </w:p>
        </w:tc>
        <w:tc>
          <w:tcPr>
            <w:tcW w:w="779" w:type="dxa"/>
            <w:vAlign w:val="center"/>
          </w:tcPr>
          <w:p w14:paraId="4591201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1.49</w:t>
            </w:r>
          </w:p>
        </w:tc>
        <w:tc>
          <w:tcPr>
            <w:tcW w:w="889" w:type="dxa"/>
            <w:vAlign w:val="center"/>
          </w:tcPr>
          <w:p w14:paraId="6B8881B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1,616.25</w:t>
            </w:r>
          </w:p>
        </w:tc>
        <w:tc>
          <w:tcPr>
            <w:tcW w:w="874" w:type="dxa"/>
            <w:vAlign w:val="center"/>
          </w:tcPr>
          <w:p w14:paraId="6EE5639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187" w:type="dxa"/>
            <w:vAlign w:val="center"/>
          </w:tcPr>
          <w:p w14:paraId="712B239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2,408.20</w:t>
            </w:r>
          </w:p>
        </w:tc>
        <w:tc>
          <w:tcPr>
            <w:tcW w:w="713" w:type="dxa"/>
            <w:vAlign w:val="center"/>
          </w:tcPr>
          <w:p w14:paraId="1F00986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65.37</w:t>
            </w:r>
          </w:p>
        </w:tc>
        <w:tc>
          <w:tcPr>
            <w:tcW w:w="958" w:type="dxa"/>
            <w:vAlign w:val="center"/>
          </w:tcPr>
          <w:p w14:paraId="74E3140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449" w:type="dxa"/>
            <w:vAlign w:val="center"/>
          </w:tcPr>
          <w:p w14:paraId="46838F3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3,683.95</w:t>
            </w:r>
          </w:p>
        </w:tc>
        <w:tc>
          <w:tcPr>
            <w:tcW w:w="1171" w:type="dxa"/>
            <w:vAlign w:val="center"/>
          </w:tcPr>
          <w:p w14:paraId="4019AF1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91.40</w:t>
            </w:r>
          </w:p>
        </w:tc>
        <w:tc>
          <w:tcPr>
            <w:tcW w:w="1480" w:type="dxa"/>
            <w:vAlign w:val="center"/>
          </w:tcPr>
          <w:p w14:paraId="345F8A4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2,584,178.78</w:t>
            </w:r>
          </w:p>
        </w:tc>
      </w:tr>
      <w:tr w:rsidR="00FB39A5" w:rsidRPr="00FB39A5" w14:paraId="5B2143D0" w14:textId="77777777" w:rsidTr="00FB39A5">
        <w:tblPrEx>
          <w:tblCellMar>
            <w:top w:w="0" w:type="dxa"/>
            <w:bottom w:w="0" w:type="dxa"/>
          </w:tblCellMar>
        </w:tblPrEx>
        <w:trPr>
          <w:trHeight w:val="191"/>
          <w:jc w:val="center"/>
        </w:trPr>
        <w:tc>
          <w:tcPr>
            <w:tcW w:w="860" w:type="dxa"/>
            <w:vAlign w:val="center"/>
          </w:tcPr>
          <w:p w14:paraId="6D5A0983"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Viet Nam</w:t>
                </w:r>
              </w:smartTag>
            </w:smartTag>
          </w:p>
        </w:tc>
        <w:tc>
          <w:tcPr>
            <w:tcW w:w="859" w:type="dxa"/>
            <w:vAlign w:val="center"/>
          </w:tcPr>
          <w:p w14:paraId="322BE67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59364C02"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Balat estuary</w:t>
            </w:r>
          </w:p>
        </w:tc>
        <w:tc>
          <w:tcPr>
            <w:tcW w:w="974" w:type="dxa"/>
            <w:vAlign w:val="center"/>
          </w:tcPr>
          <w:p w14:paraId="130ED99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3,000.00</w:t>
            </w:r>
          </w:p>
        </w:tc>
        <w:tc>
          <w:tcPr>
            <w:tcW w:w="779" w:type="dxa"/>
            <w:vAlign w:val="center"/>
          </w:tcPr>
          <w:p w14:paraId="3BBD7EA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4.64</w:t>
            </w:r>
          </w:p>
        </w:tc>
        <w:tc>
          <w:tcPr>
            <w:tcW w:w="889" w:type="dxa"/>
            <w:vAlign w:val="center"/>
          </w:tcPr>
          <w:p w14:paraId="6FB05A2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195,000.00</w:t>
            </w:r>
          </w:p>
        </w:tc>
        <w:tc>
          <w:tcPr>
            <w:tcW w:w="874" w:type="dxa"/>
            <w:vAlign w:val="center"/>
          </w:tcPr>
          <w:p w14:paraId="5B7F7EA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187" w:type="dxa"/>
            <w:vAlign w:val="center"/>
          </w:tcPr>
          <w:p w14:paraId="452BC46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904,500.00</w:t>
            </w:r>
          </w:p>
        </w:tc>
        <w:tc>
          <w:tcPr>
            <w:tcW w:w="713" w:type="dxa"/>
            <w:vAlign w:val="center"/>
          </w:tcPr>
          <w:p w14:paraId="3B1BAD6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2FD7B1B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00C991E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904,500.00</w:t>
            </w:r>
          </w:p>
        </w:tc>
        <w:tc>
          <w:tcPr>
            <w:tcW w:w="1171" w:type="dxa"/>
            <w:vAlign w:val="center"/>
          </w:tcPr>
          <w:p w14:paraId="4FEEE4E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56.65</w:t>
            </w:r>
          </w:p>
        </w:tc>
        <w:tc>
          <w:tcPr>
            <w:tcW w:w="1480" w:type="dxa"/>
            <w:vAlign w:val="center"/>
          </w:tcPr>
          <w:p w14:paraId="1AD0E65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169,938.56</w:t>
            </w:r>
          </w:p>
        </w:tc>
      </w:tr>
      <w:tr w:rsidR="00FB39A5" w:rsidRPr="00FB39A5" w14:paraId="29A49A07" w14:textId="77777777" w:rsidTr="00FB39A5">
        <w:tblPrEx>
          <w:tblCellMar>
            <w:top w:w="0" w:type="dxa"/>
            <w:bottom w:w="0" w:type="dxa"/>
          </w:tblCellMar>
        </w:tblPrEx>
        <w:trPr>
          <w:trHeight w:val="191"/>
          <w:jc w:val="center"/>
        </w:trPr>
        <w:tc>
          <w:tcPr>
            <w:tcW w:w="860" w:type="dxa"/>
            <w:vAlign w:val="center"/>
          </w:tcPr>
          <w:p w14:paraId="263362D9"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1C63E1F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3EE0B758"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CanGio</w:t>
            </w:r>
          </w:p>
        </w:tc>
        <w:tc>
          <w:tcPr>
            <w:tcW w:w="974" w:type="dxa"/>
            <w:vAlign w:val="center"/>
          </w:tcPr>
          <w:p w14:paraId="4DE6730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75,740.00</w:t>
            </w:r>
          </w:p>
        </w:tc>
        <w:tc>
          <w:tcPr>
            <w:tcW w:w="779" w:type="dxa"/>
            <w:vAlign w:val="center"/>
          </w:tcPr>
          <w:p w14:paraId="1CD8898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8.18</w:t>
            </w:r>
          </w:p>
        </w:tc>
        <w:tc>
          <w:tcPr>
            <w:tcW w:w="889" w:type="dxa"/>
            <w:vAlign w:val="center"/>
          </w:tcPr>
          <w:p w14:paraId="3A209E5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325,000.00</w:t>
            </w:r>
          </w:p>
        </w:tc>
        <w:tc>
          <w:tcPr>
            <w:tcW w:w="874" w:type="dxa"/>
            <w:vAlign w:val="center"/>
          </w:tcPr>
          <w:p w14:paraId="10664B9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187" w:type="dxa"/>
            <w:vAlign w:val="center"/>
          </w:tcPr>
          <w:p w14:paraId="3F6EA23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2,658,500.00</w:t>
            </w:r>
          </w:p>
        </w:tc>
        <w:tc>
          <w:tcPr>
            <w:tcW w:w="713" w:type="dxa"/>
            <w:vAlign w:val="center"/>
          </w:tcPr>
          <w:p w14:paraId="1252FBD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92.38</w:t>
            </w:r>
          </w:p>
        </w:tc>
        <w:tc>
          <w:tcPr>
            <w:tcW w:w="958" w:type="dxa"/>
            <w:vAlign w:val="center"/>
          </w:tcPr>
          <w:p w14:paraId="14934BD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71D1DC9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2,877,787.40</w:t>
            </w:r>
          </w:p>
        </w:tc>
        <w:tc>
          <w:tcPr>
            <w:tcW w:w="1171" w:type="dxa"/>
            <w:vAlign w:val="center"/>
          </w:tcPr>
          <w:p w14:paraId="1B09348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180.23</w:t>
            </w:r>
          </w:p>
        </w:tc>
        <w:tc>
          <w:tcPr>
            <w:tcW w:w="1480" w:type="dxa"/>
            <w:vAlign w:val="center"/>
          </w:tcPr>
          <w:p w14:paraId="4B30C93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13,650,423.38</w:t>
            </w:r>
          </w:p>
        </w:tc>
      </w:tr>
      <w:tr w:rsidR="00FB39A5" w:rsidRPr="00FB39A5" w14:paraId="6816AAF0" w14:textId="77777777" w:rsidTr="00FB39A5">
        <w:tblPrEx>
          <w:tblCellMar>
            <w:top w:w="0" w:type="dxa"/>
            <w:bottom w:w="0" w:type="dxa"/>
          </w:tblCellMar>
        </w:tblPrEx>
        <w:trPr>
          <w:trHeight w:val="191"/>
          <w:jc w:val="center"/>
        </w:trPr>
        <w:tc>
          <w:tcPr>
            <w:tcW w:w="860" w:type="dxa"/>
            <w:vAlign w:val="center"/>
          </w:tcPr>
          <w:p w14:paraId="2AB5BDDC"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1941670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7D1B5E85"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CaMau</w:t>
            </w:r>
          </w:p>
        </w:tc>
        <w:tc>
          <w:tcPr>
            <w:tcW w:w="974" w:type="dxa"/>
            <w:vAlign w:val="center"/>
          </w:tcPr>
          <w:p w14:paraId="1E061DB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97,187.00</w:t>
            </w:r>
          </w:p>
        </w:tc>
        <w:tc>
          <w:tcPr>
            <w:tcW w:w="779" w:type="dxa"/>
            <w:vAlign w:val="center"/>
          </w:tcPr>
          <w:p w14:paraId="6BAF943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16.00</w:t>
            </w:r>
          </w:p>
        </w:tc>
        <w:tc>
          <w:tcPr>
            <w:tcW w:w="889" w:type="dxa"/>
            <w:vAlign w:val="center"/>
          </w:tcPr>
          <w:p w14:paraId="49D67A9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299,000.00</w:t>
            </w:r>
          </w:p>
        </w:tc>
        <w:tc>
          <w:tcPr>
            <w:tcW w:w="874" w:type="dxa"/>
            <w:vAlign w:val="center"/>
          </w:tcPr>
          <w:p w14:paraId="4429E71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187" w:type="dxa"/>
            <w:vAlign w:val="center"/>
          </w:tcPr>
          <w:p w14:paraId="16926CD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4,784,000.00</w:t>
            </w:r>
          </w:p>
        </w:tc>
        <w:tc>
          <w:tcPr>
            <w:tcW w:w="713" w:type="dxa"/>
            <w:vAlign w:val="center"/>
          </w:tcPr>
          <w:p w14:paraId="0A65482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6A8D927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54382BE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4,784,000.00</w:t>
            </w:r>
          </w:p>
        </w:tc>
        <w:tc>
          <w:tcPr>
            <w:tcW w:w="1171" w:type="dxa"/>
            <w:vAlign w:val="center"/>
          </w:tcPr>
          <w:p w14:paraId="09F92CD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299.61</w:t>
            </w:r>
          </w:p>
        </w:tc>
        <w:tc>
          <w:tcPr>
            <w:tcW w:w="1480" w:type="dxa"/>
            <w:vAlign w:val="center"/>
          </w:tcPr>
          <w:p w14:paraId="373ADC0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29,117,994.61</w:t>
            </w:r>
          </w:p>
        </w:tc>
      </w:tr>
      <w:tr w:rsidR="00FB39A5" w:rsidRPr="00FB39A5" w14:paraId="1503FB25" w14:textId="77777777" w:rsidTr="00FB39A5">
        <w:tblPrEx>
          <w:tblCellMar>
            <w:top w:w="0" w:type="dxa"/>
            <w:bottom w:w="0" w:type="dxa"/>
          </w:tblCellMar>
        </w:tblPrEx>
        <w:trPr>
          <w:trHeight w:val="191"/>
          <w:jc w:val="center"/>
        </w:trPr>
        <w:tc>
          <w:tcPr>
            <w:tcW w:w="860" w:type="dxa"/>
            <w:vAlign w:val="center"/>
          </w:tcPr>
          <w:p w14:paraId="48A8A935"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9701EF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2D5F9802"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SocTrang</w:t>
            </w:r>
          </w:p>
        </w:tc>
        <w:tc>
          <w:tcPr>
            <w:tcW w:w="974" w:type="dxa"/>
            <w:vAlign w:val="center"/>
          </w:tcPr>
          <w:p w14:paraId="47574EC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1,686.60</w:t>
            </w:r>
          </w:p>
        </w:tc>
        <w:tc>
          <w:tcPr>
            <w:tcW w:w="779" w:type="dxa"/>
            <w:vAlign w:val="center"/>
          </w:tcPr>
          <w:p w14:paraId="7B752DA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7.97</w:t>
            </w:r>
          </w:p>
        </w:tc>
        <w:tc>
          <w:tcPr>
            <w:tcW w:w="889" w:type="dxa"/>
            <w:vAlign w:val="center"/>
          </w:tcPr>
          <w:p w14:paraId="596492C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184,615.38</w:t>
            </w:r>
          </w:p>
        </w:tc>
        <w:tc>
          <w:tcPr>
            <w:tcW w:w="874" w:type="dxa"/>
            <w:vAlign w:val="center"/>
          </w:tcPr>
          <w:p w14:paraId="026041C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187" w:type="dxa"/>
            <w:vAlign w:val="center"/>
          </w:tcPr>
          <w:p w14:paraId="41C916F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1,471,384.60</w:t>
            </w:r>
          </w:p>
        </w:tc>
        <w:tc>
          <w:tcPr>
            <w:tcW w:w="713" w:type="dxa"/>
            <w:vAlign w:val="center"/>
          </w:tcPr>
          <w:p w14:paraId="5A82ABC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62046B3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5E924E8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1,471,384.60</w:t>
            </w:r>
          </w:p>
        </w:tc>
        <w:tc>
          <w:tcPr>
            <w:tcW w:w="1171" w:type="dxa"/>
            <w:vAlign w:val="center"/>
          </w:tcPr>
          <w:p w14:paraId="2DDCB08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92.15</w:t>
            </w:r>
          </w:p>
        </w:tc>
        <w:tc>
          <w:tcPr>
            <w:tcW w:w="1480" w:type="dxa"/>
            <w:vAlign w:val="center"/>
          </w:tcPr>
          <w:p w14:paraId="066CBFB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155,417.68</w:t>
            </w:r>
          </w:p>
        </w:tc>
      </w:tr>
      <w:tr w:rsidR="00FB39A5" w:rsidRPr="00FB39A5" w14:paraId="5C3FB8DC" w14:textId="77777777" w:rsidTr="00FB39A5">
        <w:tblPrEx>
          <w:tblCellMar>
            <w:top w:w="0" w:type="dxa"/>
            <w:bottom w:w="0" w:type="dxa"/>
          </w:tblCellMar>
        </w:tblPrEx>
        <w:trPr>
          <w:trHeight w:val="172"/>
          <w:jc w:val="center"/>
        </w:trPr>
        <w:tc>
          <w:tcPr>
            <w:tcW w:w="14030" w:type="dxa"/>
            <w:gridSpan w:val="13"/>
            <w:vAlign w:val="center"/>
          </w:tcPr>
          <w:p w14:paraId="54C6733C" w14:textId="77777777" w:rsidR="00FB39A5" w:rsidRPr="00FB39A5" w:rsidRDefault="00FB39A5" w:rsidP="00FB39A5">
            <w:pPr>
              <w:tabs>
                <w:tab w:val="num" w:leader="none" w:pos="1440"/>
              </w:tabs>
              <w:jc w:val="center"/>
              <w:outlineLvl w:val="1"/>
              <w:rPr>
                <w:rFonts w:ascii="Arial" w:hAnsi="Arial" w:cs="Arial"/>
                <w:b/>
                <w:bCs/>
                <w:sz w:val="18"/>
                <w:szCs w:val="18"/>
                <w:lang w:val="en-GB"/>
              </w:rPr>
            </w:pPr>
            <w:bookmarkStart w:id="20" w:name="_Toc163031979"/>
            <w:bookmarkStart w:id="21" w:name="_Toc163032106"/>
            <w:r w:rsidRPr="00FB39A5">
              <w:rPr>
                <w:rFonts w:ascii="Arial" w:hAnsi="Arial" w:cs="Arial"/>
                <w:b/>
                <w:bCs/>
                <w:sz w:val="18"/>
                <w:szCs w:val="18"/>
                <w:lang w:val="en-GB"/>
              </w:rPr>
              <w:t>Poles value per pole</w:t>
            </w:r>
            <w:bookmarkEnd w:id="20"/>
            <w:bookmarkEnd w:id="21"/>
          </w:p>
        </w:tc>
      </w:tr>
      <w:tr w:rsidR="00FB39A5" w:rsidRPr="00FB39A5" w14:paraId="771547A9" w14:textId="77777777" w:rsidTr="00FB39A5">
        <w:tblPrEx>
          <w:tblCellMar>
            <w:top w:w="0" w:type="dxa"/>
            <w:bottom w:w="0" w:type="dxa"/>
          </w:tblCellMar>
        </w:tblPrEx>
        <w:trPr>
          <w:trHeight w:val="191"/>
          <w:jc w:val="center"/>
        </w:trPr>
        <w:tc>
          <w:tcPr>
            <w:tcW w:w="860" w:type="dxa"/>
            <w:vAlign w:val="center"/>
          </w:tcPr>
          <w:p w14:paraId="13A3B7A0"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Philippines</w:t>
                </w:r>
              </w:smartTag>
            </w:smartTag>
          </w:p>
        </w:tc>
        <w:tc>
          <w:tcPr>
            <w:tcW w:w="859" w:type="dxa"/>
            <w:vAlign w:val="center"/>
          </w:tcPr>
          <w:p w14:paraId="0AC8379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3E0953C1"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Busuanga </w:t>
            </w:r>
            <w:smartTag w:uri="urn:schemas-microsoft-com:office:smarttags" w:element="place">
              <w:smartTag w:uri="urn:schemas-microsoft-com:office:smarttags" w:element="country-region">
                <w:r w:rsidRPr="00FB39A5">
                  <w:rPr>
                    <w:rFonts w:ascii="Arial" w:hAnsi="Arial" w:cs="Arial"/>
                    <w:sz w:val="12"/>
                    <w:szCs w:val="12"/>
                    <w:lang w:val="en-GB"/>
                  </w:rPr>
                  <w:t>Philippines</w:t>
                </w:r>
              </w:smartTag>
            </w:smartTag>
          </w:p>
        </w:tc>
        <w:tc>
          <w:tcPr>
            <w:tcW w:w="974" w:type="dxa"/>
            <w:vAlign w:val="center"/>
          </w:tcPr>
          <w:p w14:paraId="06DED9E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1,298.50</w:t>
            </w:r>
          </w:p>
        </w:tc>
        <w:tc>
          <w:tcPr>
            <w:tcW w:w="779" w:type="dxa"/>
            <w:vAlign w:val="center"/>
          </w:tcPr>
          <w:p w14:paraId="2E5AFF2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0.60</w:t>
            </w:r>
          </w:p>
        </w:tc>
        <w:tc>
          <w:tcPr>
            <w:tcW w:w="889" w:type="dxa"/>
            <w:vAlign w:val="center"/>
          </w:tcPr>
          <w:p w14:paraId="73FBAC3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200.00</w:t>
            </w:r>
          </w:p>
        </w:tc>
        <w:tc>
          <w:tcPr>
            <w:tcW w:w="874" w:type="dxa"/>
            <w:vAlign w:val="center"/>
          </w:tcPr>
          <w:p w14:paraId="190AE8D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PHP</w:t>
            </w:r>
          </w:p>
        </w:tc>
        <w:tc>
          <w:tcPr>
            <w:tcW w:w="1187" w:type="dxa"/>
            <w:vAlign w:val="center"/>
          </w:tcPr>
          <w:p w14:paraId="52943E5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120.00</w:t>
            </w:r>
          </w:p>
        </w:tc>
        <w:tc>
          <w:tcPr>
            <w:tcW w:w="713" w:type="dxa"/>
            <w:vAlign w:val="center"/>
          </w:tcPr>
          <w:p w14:paraId="1C27E06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92.91</w:t>
            </w:r>
          </w:p>
        </w:tc>
        <w:tc>
          <w:tcPr>
            <w:tcW w:w="958" w:type="dxa"/>
            <w:vAlign w:val="center"/>
          </w:tcPr>
          <w:p w14:paraId="40D898A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55.14</w:t>
            </w:r>
          </w:p>
        </w:tc>
        <w:tc>
          <w:tcPr>
            <w:tcW w:w="1449" w:type="dxa"/>
            <w:vAlign w:val="center"/>
          </w:tcPr>
          <w:p w14:paraId="5063F7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129.16</w:t>
            </w:r>
          </w:p>
        </w:tc>
        <w:tc>
          <w:tcPr>
            <w:tcW w:w="1171" w:type="dxa"/>
            <w:vAlign w:val="center"/>
          </w:tcPr>
          <w:p w14:paraId="261557F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2.34</w:t>
            </w:r>
          </w:p>
        </w:tc>
        <w:tc>
          <w:tcPr>
            <w:tcW w:w="1480" w:type="dxa"/>
            <w:vAlign w:val="center"/>
          </w:tcPr>
          <w:p w14:paraId="1BDC8CE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3,041.54</w:t>
            </w:r>
          </w:p>
        </w:tc>
      </w:tr>
      <w:tr w:rsidR="00FB39A5" w:rsidRPr="00FB39A5" w14:paraId="55CC8D67" w14:textId="77777777" w:rsidTr="00FB39A5">
        <w:tblPrEx>
          <w:tblCellMar>
            <w:top w:w="0" w:type="dxa"/>
            <w:bottom w:w="0" w:type="dxa"/>
          </w:tblCellMar>
        </w:tblPrEx>
        <w:trPr>
          <w:trHeight w:val="99"/>
          <w:jc w:val="center"/>
        </w:trPr>
        <w:tc>
          <w:tcPr>
            <w:tcW w:w="14030" w:type="dxa"/>
            <w:gridSpan w:val="13"/>
            <w:vAlign w:val="center"/>
          </w:tcPr>
          <w:p w14:paraId="066B19E1" w14:textId="77777777" w:rsidR="00FB39A5" w:rsidRPr="00FB39A5" w:rsidRDefault="00FB39A5" w:rsidP="00FB39A5">
            <w:pPr>
              <w:autoSpaceDE w:val="0"/>
              <w:autoSpaceDN w:val="0"/>
              <w:adjustRightInd w:val="0"/>
              <w:jc w:val="center"/>
              <w:rPr>
                <w:rFonts w:ascii="Arial" w:hAnsi="Arial" w:cs="Arial"/>
                <w:sz w:val="18"/>
                <w:szCs w:val="18"/>
                <w:lang w:val="en-GB"/>
              </w:rPr>
            </w:pPr>
            <w:r w:rsidRPr="00FB39A5">
              <w:rPr>
                <w:rFonts w:ascii="Arial" w:hAnsi="Arial" w:cs="Arial"/>
                <w:b/>
                <w:bCs/>
                <w:sz w:val="18"/>
                <w:szCs w:val="18"/>
                <w:lang w:val="en-GB"/>
              </w:rPr>
              <w:t>Charcoal Kg</w:t>
            </w:r>
          </w:p>
        </w:tc>
      </w:tr>
      <w:tr w:rsidR="00FB39A5" w:rsidRPr="00FB39A5" w14:paraId="4114968E" w14:textId="77777777" w:rsidTr="00FB39A5">
        <w:tblPrEx>
          <w:tblCellMar>
            <w:top w:w="0" w:type="dxa"/>
            <w:bottom w:w="0" w:type="dxa"/>
          </w:tblCellMar>
        </w:tblPrEx>
        <w:trPr>
          <w:trHeight w:val="75"/>
          <w:jc w:val="center"/>
        </w:trPr>
        <w:tc>
          <w:tcPr>
            <w:tcW w:w="860" w:type="dxa"/>
            <w:vAlign w:val="center"/>
          </w:tcPr>
          <w:p w14:paraId="235978E5"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Cambodia</w:t>
                </w:r>
              </w:smartTag>
            </w:smartTag>
          </w:p>
        </w:tc>
        <w:tc>
          <w:tcPr>
            <w:tcW w:w="859" w:type="dxa"/>
            <w:vAlign w:val="center"/>
          </w:tcPr>
          <w:p w14:paraId="3A7F9FD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2006</w:t>
            </w:r>
          </w:p>
        </w:tc>
        <w:tc>
          <w:tcPr>
            <w:tcW w:w="1837" w:type="dxa"/>
            <w:vAlign w:val="center"/>
          </w:tcPr>
          <w:p w14:paraId="4D22D85C"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Peam Krasop</w:t>
            </w:r>
          </w:p>
        </w:tc>
        <w:tc>
          <w:tcPr>
            <w:tcW w:w="974" w:type="dxa"/>
            <w:vAlign w:val="center"/>
          </w:tcPr>
          <w:p w14:paraId="4CD32D8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12,638.00</w:t>
            </w:r>
          </w:p>
        </w:tc>
        <w:tc>
          <w:tcPr>
            <w:tcW w:w="779" w:type="dxa"/>
            <w:vAlign w:val="center"/>
          </w:tcPr>
          <w:p w14:paraId="5C870B7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1,010.00</w:t>
            </w:r>
          </w:p>
        </w:tc>
        <w:tc>
          <w:tcPr>
            <w:tcW w:w="889" w:type="dxa"/>
            <w:vAlign w:val="center"/>
          </w:tcPr>
          <w:p w14:paraId="43CF58C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0.08</w:t>
            </w:r>
          </w:p>
        </w:tc>
        <w:tc>
          <w:tcPr>
            <w:tcW w:w="874" w:type="dxa"/>
            <w:vAlign w:val="center"/>
          </w:tcPr>
          <w:p w14:paraId="048E8D6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US$</w:t>
            </w:r>
          </w:p>
        </w:tc>
        <w:tc>
          <w:tcPr>
            <w:tcW w:w="1187" w:type="dxa"/>
            <w:vAlign w:val="center"/>
          </w:tcPr>
          <w:p w14:paraId="6BD2CB6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75.75</w:t>
            </w:r>
          </w:p>
        </w:tc>
        <w:tc>
          <w:tcPr>
            <w:tcW w:w="713" w:type="dxa"/>
            <w:vAlign w:val="center"/>
          </w:tcPr>
          <w:p w14:paraId="10D32B3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106.16</w:t>
            </w:r>
          </w:p>
        </w:tc>
        <w:tc>
          <w:tcPr>
            <w:tcW w:w="958" w:type="dxa"/>
            <w:vAlign w:val="center"/>
          </w:tcPr>
          <w:p w14:paraId="102D47A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4,187.17</w:t>
            </w:r>
          </w:p>
        </w:tc>
        <w:tc>
          <w:tcPr>
            <w:tcW w:w="1449" w:type="dxa"/>
            <w:vAlign w:val="center"/>
          </w:tcPr>
          <w:p w14:paraId="3421A7E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71.35</w:t>
            </w:r>
          </w:p>
        </w:tc>
        <w:tc>
          <w:tcPr>
            <w:tcW w:w="1171" w:type="dxa"/>
            <w:vAlign w:val="center"/>
          </w:tcPr>
          <w:p w14:paraId="0A324C0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71.39</w:t>
            </w:r>
          </w:p>
        </w:tc>
        <w:tc>
          <w:tcPr>
            <w:tcW w:w="1480" w:type="dxa"/>
            <w:vAlign w:val="center"/>
          </w:tcPr>
          <w:p w14:paraId="469AF0C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902,226.82</w:t>
            </w:r>
          </w:p>
        </w:tc>
      </w:tr>
      <w:tr w:rsidR="00FB39A5" w:rsidRPr="00FB39A5" w14:paraId="60BE9DC3" w14:textId="77777777" w:rsidTr="00FB39A5">
        <w:tblPrEx>
          <w:tblCellMar>
            <w:top w:w="0" w:type="dxa"/>
            <w:bottom w:w="0" w:type="dxa"/>
          </w:tblCellMar>
        </w:tblPrEx>
        <w:trPr>
          <w:trHeight w:val="191"/>
          <w:jc w:val="center"/>
        </w:trPr>
        <w:tc>
          <w:tcPr>
            <w:tcW w:w="860" w:type="dxa"/>
            <w:vAlign w:val="center"/>
          </w:tcPr>
          <w:p w14:paraId="4DE09443"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Indonesia</w:t>
                </w:r>
              </w:smartTag>
            </w:smartTag>
          </w:p>
        </w:tc>
        <w:tc>
          <w:tcPr>
            <w:tcW w:w="859" w:type="dxa"/>
            <w:vAlign w:val="center"/>
          </w:tcPr>
          <w:p w14:paraId="3BA49D8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353C90BF"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r w:rsidRPr="00FB39A5">
                <w:rPr>
                  <w:rFonts w:ascii="Arial" w:hAnsi="Arial" w:cs="Arial"/>
                  <w:sz w:val="12"/>
                  <w:szCs w:val="12"/>
                  <w:lang w:val="en-GB"/>
                </w:rPr>
                <w:t>Bali</w:t>
              </w:r>
            </w:smartTag>
            <w:r w:rsidRPr="00FB39A5">
              <w:rPr>
                <w:rFonts w:ascii="Arial" w:hAnsi="Arial" w:cs="Arial"/>
                <w:sz w:val="12"/>
                <w:szCs w:val="12"/>
                <w:lang w:val="en-GB"/>
              </w:rPr>
              <w:t xml:space="preserve"> </w:t>
            </w:r>
          </w:p>
        </w:tc>
        <w:tc>
          <w:tcPr>
            <w:tcW w:w="974" w:type="dxa"/>
            <w:vAlign w:val="center"/>
          </w:tcPr>
          <w:p w14:paraId="6F89D28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w:t>
            </w:r>
          </w:p>
        </w:tc>
        <w:tc>
          <w:tcPr>
            <w:tcW w:w="779" w:type="dxa"/>
            <w:vAlign w:val="center"/>
          </w:tcPr>
          <w:p w14:paraId="155DF7B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797.00</w:t>
            </w:r>
          </w:p>
        </w:tc>
        <w:tc>
          <w:tcPr>
            <w:tcW w:w="889" w:type="dxa"/>
            <w:vAlign w:val="center"/>
          </w:tcPr>
          <w:p w14:paraId="50F4A80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1,229.22</w:t>
            </w:r>
          </w:p>
        </w:tc>
        <w:tc>
          <w:tcPr>
            <w:tcW w:w="874" w:type="dxa"/>
            <w:vAlign w:val="center"/>
          </w:tcPr>
          <w:p w14:paraId="54DE129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667D129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979,688.34</w:t>
            </w:r>
          </w:p>
        </w:tc>
        <w:tc>
          <w:tcPr>
            <w:tcW w:w="713" w:type="dxa"/>
            <w:vAlign w:val="center"/>
          </w:tcPr>
          <w:p w14:paraId="673EE08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723790C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58BADD7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1,082,050.30</w:t>
            </w:r>
          </w:p>
        </w:tc>
        <w:tc>
          <w:tcPr>
            <w:tcW w:w="1171" w:type="dxa"/>
            <w:vAlign w:val="center"/>
          </w:tcPr>
          <w:p w14:paraId="13CE114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111.30</w:t>
            </w:r>
          </w:p>
        </w:tc>
        <w:tc>
          <w:tcPr>
            <w:tcW w:w="1480" w:type="dxa"/>
            <w:vAlign w:val="center"/>
          </w:tcPr>
          <w:p w14:paraId="637A2A8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445.21</w:t>
            </w:r>
          </w:p>
        </w:tc>
      </w:tr>
      <w:tr w:rsidR="00FB39A5" w:rsidRPr="00FB39A5" w14:paraId="107F6D28" w14:textId="77777777" w:rsidTr="00FB39A5">
        <w:tblPrEx>
          <w:tblCellMar>
            <w:top w:w="0" w:type="dxa"/>
            <w:bottom w:w="0" w:type="dxa"/>
          </w:tblCellMar>
        </w:tblPrEx>
        <w:trPr>
          <w:trHeight w:val="191"/>
          <w:jc w:val="center"/>
        </w:trPr>
        <w:tc>
          <w:tcPr>
            <w:tcW w:w="860" w:type="dxa"/>
            <w:vAlign w:val="center"/>
          </w:tcPr>
          <w:p w14:paraId="0BB7336F"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E3CEAE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1837" w:type="dxa"/>
            <w:vAlign w:val="center"/>
          </w:tcPr>
          <w:p w14:paraId="520BDDD5"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Batu Ampar, </w:t>
            </w:r>
            <w:smartTag w:uri="urn:schemas-microsoft-com:office:smarttags" w:element="place">
              <w:smartTag w:uri="urn:schemas-microsoft-com:office:smarttags" w:element="City">
                <w:r w:rsidRPr="00FB39A5">
                  <w:rPr>
                    <w:rFonts w:ascii="Arial" w:hAnsi="Arial" w:cs="Arial"/>
                    <w:sz w:val="12"/>
                    <w:szCs w:val="12"/>
                    <w:lang w:val="en-GB"/>
                  </w:rPr>
                  <w:t>Pontianak</w:t>
                </w:r>
              </w:smartTag>
            </w:smartTag>
          </w:p>
        </w:tc>
        <w:tc>
          <w:tcPr>
            <w:tcW w:w="974" w:type="dxa"/>
            <w:vAlign w:val="center"/>
          </w:tcPr>
          <w:p w14:paraId="2C4A064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7,460.00</w:t>
            </w:r>
          </w:p>
        </w:tc>
        <w:tc>
          <w:tcPr>
            <w:tcW w:w="779" w:type="dxa"/>
            <w:vAlign w:val="center"/>
          </w:tcPr>
          <w:p w14:paraId="2EDF99B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246.00</w:t>
            </w:r>
          </w:p>
        </w:tc>
        <w:tc>
          <w:tcPr>
            <w:tcW w:w="889" w:type="dxa"/>
            <w:vAlign w:val="center"/>
          </w:tcPr>
          <w:p w14:paraId="5319366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400.03</w:t>
            </w:r>
          </w:p>
        </w:tc>
        <w:tc>
          <w:tcPr>
            <w:tcW w:w="874" w:type="dxa"/>
            <w:vAlign w:val="center"/>
          </w:tcPr>
          <w:p w14:paraId="094A0D3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78E9454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98,407.38</w:t>
            </w:r>
          </w:p>
        </w:tc>
        <w:tc>
          <w:tcPr>
            <w:tcW w:w="713" w:type="dxa"/>
            <w:vAlign w:val="center"/>
          </w:tcPr>
          <w:p w14:paraId="28148AC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8" w:type="dxa"/>
            <w:vAlign w:val="center"/>
          </w:tcPr>
          <w:p w14:paraId="371C5B5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55E9062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153,545.61</w:t>
            </w:r>
          </w:p>
        </w:tc>
        <w:tc>
          <w:tcPr>
            <w:tcW w:w="1171" w:type="dxa"/>
            <w:vAlign w:val="center"/>
          </w:tcPr>
          <w:p w14:paraId="679DCF1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15.79</w:t>
            </w:r>
          </w:p>
        </w:tc>
        <w:tc>
          <w:tcPr>
            <w:tcW w:w="1480" w:type="dxa"/>
            <w:vAlign w:val="center"/>
          </w:tcPr>
          <w:p w14:paraId="2C1DDBA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117,824.65</w:t>
            </w:r>
          </w:p>
        </w:tc>
      </w:tr>
      <w:tr w:rsidR="00FB39A5" w:rsidRPr="00FB39A5" w14:paraId="7013DE64" w14:textId="77777777" w:rsidTr="00FB39A5">
        <w:tblPrEx>
          <w:tblCellMar>
            <w:top w:w="0" w:type="dxa"/>
            <w:bottom w:w="0" w:type="dxa"/>
          </w:tblCellMar>
        </w:tblPrEx>
        <w:trPr>
          <w:trHeight w:val="191"/>
          <w:jc w:val="center"/>
        </w:trPr>
        <w:tc>
          <w:tcPr>
            <w:tcW w:w="860" w:type="dxa"/>
            <w:vAlign w:val="center"/>
          </w:tcPr>
          <w:p w14:paraId="038B5DD1"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Philippines</w:t>
                </w:r>
              </w:smartTag>
            </w:smartTag>
          </w:p>
        </w:tc>
        <w:tc>
          <w:tcPr>
            <w:tcW w:w="859" w:type="dxa"/>
            <w:vAlign w:val="center"/>
          </w:tcPr>
          <w:p w14:paraId="149ADCF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141ABE01"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Busuanga </w:t>
            </w:r>
            <w:smartTag w:uri="urn:schemas-microsoft-com:office:smarttags" w:element="place">
              <w:smartTag w:uri="urn:schemas-microsoft-com:office:smarttags" w:element="country-region">
                <w:r w:rsidRPr="00FB39A5">
                  <w:rPr>
                    <w:rFonts w:ascii="Arial" w:hAnsi="Arial" w:cs="Arial"/>
                    <w:sz w:val="12"/>
                    <w:szCs w:val="12"/>
                    <w:lang w:val="en-GB"/>
                  </w:rPr>
                  <w:t>Philippines</w:t>
                </w:r>
              </w:smartTag>
            </w:smartTag>
          </w:p>
        </w:tc>
        <w:tc>
          <w:tcPr>
            <w:tcW w:w="974" w:type="dxa"/>
            <w:vAlign w:val="center"/>
          </w:tcPr>
          <w:p w14:paraId="60F7E58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1,298.50</w:t>
            </w:r>
          </w:p>
        </w:tc>
        <w:tc>
          <w:tcPr>
            <w:tcW w:w="779" w:type="dxa"/>
            <w:vAlign w:val="center"/>
          </w:tcPr>
          <w:p w14:paraId="212D82F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911.25</w:t>
            </w:r>
          </w:p>
        </w:tc>
        <w:tc>
          <w:tcPr>
            <w:tcW w:w="889" w:type="dxa"/>
            <w:vAlign w:val="center"/>
          </w:tcPr>
          <w:p w14:paraId="6A05775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0.04</w:t>
            </w:r>
          </w:p>
        </w:tc>
        <w:tc>
          <w:tcPr>
            <w:tcW w:w="874" w:type="dxa"/>
            <w:vAlign w:val="center"/>
          </w:tcPr>
          <w:p w14:paraId="6EC1623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PHP</w:t>
            </w:r>
          </w:p>
        </w:tc>
        <w:tc>
          <w:tcPr>
            <w:tcW w:w="1187" w:type="dxa"/>
            <w:vAlign w:val="center"/>
          </w:tcPr>
          <w:p w14:paraId="0BE17E4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36.45</w:t>
            </w:r>
          </w:p>
        </w:tc>
        <w:tc>
          <w:tcPr>
            <w:tcW w:w="713" w:type="dxa"/>
            <w:vAlign w:val="center"/>
          </w:tcPr>
          <w:p w14:paraId="64B5F00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87.67</w:t>
            </w:r>
          </w:p>
        </w:tc>
        <w:tc>
          <w:tcPr>
            <w:tcW w:w="958" w:type="dxa"/>
            <w:vAlign w:val="center"/>
          </w:tcPr>
          <w:p w14:paraId="32C57FD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55.14</w:t>
            </w:r>
          </w:p>
        </w:tc>
        <w:tc>
          <w:tcPr>
            <w:tcW w:w="1449" w:type="dxa"/>
            <w:vAlign w:val="center"/>
          </w:tcPr>
          <w:p w14:paraId="5DC6A31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41.58</w:t>
            </w:r>
          </w:p>
        </w:tc>
        <w:tc>
          <w:tcPr>
            <w:tcW w:w="1171" w:type="dxa"/>
            <w:vAlign w:val="center"/>
          </w:tcPr>
          <w:p w14:paraId="286B7B7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0.75</w:t>
            </w:r>
          </w:p>
        </w:tc>
        <w:tc>
          <w:tcPr>
            <w:tcW w:w="1480" w:type="dxa"/>
            <w:vAlign w:val="center"/>
          </w:tcPr>
          <w:p w14:paraId="3E6CD42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979.09</w:t>
            </w:r>
          </w:p>
        </w:tc>
      </w:tr>
      <w:tr w:rsidR="00FB39A5" w:rsidRPr="00FB39A5" w14:paraId="6F40304B" w14:textId="77777777" w:rsidTr="00FB39A5">
        <w:tblPrEx>
          <w:tblCellMar>
            <w:top w:w="0" w:type="dxa"/>
            <w:bottom w:w="0" w:type="dxa"/>
          </w:tblCellMar>
        </w:tblPrEx>
        <w:trPr>
          <w:trHeight w:val="184"/>
          <w:jc w:val="center"/>
        </w:trPr>
        <w:tc>
          <w:tcPr>
            <w:tcW w:w="860" w:type="dxa"/>
            <w:vAlign w:val="center"/>
          </w:tcPr>
          <w:p w14:paraId="454796B1"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666CE19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1996</w:t>
            </w:r>
          </w:p>
        </w:tc>
        <w:tc>
          <w:tcPr>
            <w:tcW w:w="1837" w:type="dxa"/>
            <w:vAlign w:val="center"/>
          </w:tcPr>
          <w:p w14:paraId="7A1716CC"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smartTag w:uri="urn:schemas-microsoft-com:office:smarttags" w:element="City">
                <w:r w:rsidRPr="00FB39A5">
                  <w:rPr>
                    <w:rFonts w:ascii="Arial" w:hAnsi="Arial" w:cs="Arial"/>
                    <w:sz w:val="12"/>
                    <w:szCs w:val="12"/>
                    <w:lang w:val="en-GB"/>
                  </w:rPr>
                  <w:t>Pagbilao</w:t>
                </w:r>
              </w:smartTag>
              <w:r w:rsidRPr="00FB39A5">
                <w:rPr>
                  <w:rFonts w:ascii="Arial" w:hAnsi="Arial" w:cs="Arial"/>
                  <w:sz w:val="12"/>
                  <w:szCs w:val="12"/>
                  <w:lang w:val="en-GB"/>
                </w:rPr>
                <w:t xml:space="preserve">, </w:t>
              </w:r>
              <w:smartTag w:uri="urn:schemas-microsoft-com:office:smarttags" w:element="country-region">
                <w:r w:rsidRPr="00FB39A5">
                  <w:rPr>
                    <w:rFonts w:ascii="Arial" w:hAnsi="Arial" w:cs="Arial"/>
                    <w:sz w:val="12"/>
                    <w:szCs w:val="12"/>
                    <w:lang w:val="en-GB"/>
                  </w:rPr>
                  <w:t>Philippines</w:t>
                </w:r>
              </w:smartTag>
            </w:smartTag>
          </w:p>
        </w:tc>
        <w:tc>
          <w:tcPr>
            <w:tcW w:w="974" w:type="dxa"/>
            <w:vAlign w:val="center"/>
          </w:tcPr>
          <w:p w14:paraId="62D2921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1,440.00</w:t>
            </w:r>
          </w:p>
        </w:tc>
        <w:tc>
          <w:tcPr>
            <w:tcW w:w="779" w:type="dxa"/>
            <w:vAlign w:val="center"/>
          </w:tcPr>
          <w:p w14:paraId="433C1BB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1,012.50</w:t>
            </w:r>
          </w:p>
        </w:tc>
        <w:tc>
          <w:tcPr>
            <w:tcW w:w="889" w:type="dxa"/>
            <w:vAlign w:val="center"/>
          </w:tcPr>
          <w:p w14:paraId="73FFB8E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0.04</w:t>
            </w:r>
          </w:p>
        </w:tc>
        <w:tc>
          <w:tcPr>
            <w:tcW w:w="874" w:type="dxa"/>
            <w:vAlign w:val="center"/>
          </w:tcPr>
          <w:p w14:paraId="34667BE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PHP</w:t>
            </w:r>
          </w:p>
        </w:tc>
        <w:tc>
          <w:tcPr>
            <w:tcW w:w="1187" w:type="dxa"/>
            <w:vAlign w:val="center"/>
          </w:tcPr>
          <w:p w14:paraId="5AACD12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35.44</w:t>
            </w:r>
          </w:p>
        </w:tc>
        <w:tc>
          <w:tcPr>
            <w:tcW w:w="713" w:type="dxa"/>
            <w:vAlign w:val="center"/>
          </w:tcPr>
          <w:p w14:paraId="32E04C1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59.56</w:t>
            </w:r>
          </w:p>
        </w:tc>
        <w:tc>
          <w:tcPr>
            <w:tcW w:w="958" w:type="dxa"/>
            <w:vAlign w:val="center"/>
          </w:tcPr>
          <w:p w14:paraId="61D2D08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55.14</w:t>
            </w:r>
          </w:p>
        </w:tc>
        <w:tc>
          <w:tcPr>
            <w:tcW w:w="1449" w:type="dxa"/>
            <w:vAlign w:val="center"/>
          </w:tcPr>
          <w:p w14:paraId="6F97FA7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59.50</w:t>
            </w:r>
          </w:p>
        </w:tc>
        <w:tc>
          <w:tcPr>
            <w:tcW w:w="1171" w:type="dxa"/>
            <w:vAlign w:val="center"/>
          </w:tcPr>
          <w:p w14:paraId="3471162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1.08</w:t>
            </w:r>
          </w:p>
        </w:tc>
        <w:tc>
          <w:tcPr>
            <w:tcW w:w="1480" w:type="dxa"/>
            <w:vAlign w:val="center"/>
          </w:tcPr>
          <w:p w14:paraId="716C9FE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1,553.94</w:t>
            </w:r>
          </w:p>
        </w:tc>
      </w:tr>
      <w:tr w:rsidR="00FB39A5" w:rsidRPr="00FB39A5" w14:paraId="2556F020" w14:textId="77777777" w:rsidTr="00FB39A5">
        <w:tblPrEx>
          <w:tblCellMar>
            <w:top w:w="0" w:type="dxa"/>
            <w:bottom w:w="0" w:type="dxa"/>
          </w:tblCellMar>
        </w:tblPrEx>
        <w:trPr>
          <w:trHeight w:val="191"/>
          <w:jc w:val="center"/>
        </w:trPr>
        <w:tc>
          <w:tcPr>
            <w:tcW w:w="860" w:type="dxa"/>
            <w:vAlign w:val="center"/>
          </w:tcPr>
          <w:p w14:paraId="0C89AE5A"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Thailand</w:t>
                </w:r>
              </w:smartTag>
            </w:smartTag>
          </w:p>
        </w:tc>
        <w:tc>
          <w:tcPr>
            <w:tcW w:w="859" w:type="dxa"/>
            <w:vAlign w:val="center"/>
          </w:tcPr>
          <w:p w14:paraId="18F264F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1980</w:t>
            </w:r>
          </w:p>
        </w:tc>
        <w:tc>
          <w:tcPr>
            <w:tcW w:w="1837" w:type="dxa"/>
            <w:vAlign w:val="center"/>
          </w:tcPr>
          <w:p w14:paraId="261879BA"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Chathaburi</w:t>
            </w:r>
          </w:p>
        </w:tc>
        <w:tc>
          <w:tcPr>
            <w:tcW w:w="974" w:type="dxa"/>
            <w:vAlign w:val="center"/>
          </w:tcPr>
          <w:p w14:paraId="1402A32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24,064.00</w:t>
            </w:r>
          </w:p>
        </w:tc>
        <w:tc>
          <w:tcPr>
            <w:tcW w:w="779" w:type="dxa"/>
            <w:vAlign w:val="center"/>
          </w:tcPr>
          <w:p w14:paraId="443A973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12.16</w:t>
            </w:r>
          </w:p>
        </w:tc>
        <w:tc>
          <w:tcPr>
            <w:tcW w:w="889" w:type="dxa"/>
            <w:vAlign w:val="center"/>
          </w:tcPr>
          <w:p w14:paraId="16C7F6B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1.67</w:t>
            </w:r>
          </w:p>
        </w:tc>
        <w:tc>
          <w:tcPr>
            <w:tcW w:w="874" w:type="dxa"/>
            <w:vAlign w:val="center"/>
          </w:tcPr>
          <w:p w14:paraId="1050AD3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187" w:type="dxa"/>
            <w:vAlign w:val="center"/>
          </w:tcPr>
          <w:p w14:paraId="0212C01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20.31</w:t>
            </w:r>
          </w:p>
        </w:tc>
        <w:tc>
          <w:tcPr>
            <w:tcW w:w="713" w:type="dxa"/>
            <w:vAlign w:val="center"/>
          </w:tcPr>
          <w:p w14:paraId="245F543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37.38</w:t>
            </w:r>
          </w:p>
        </w:tc>
        <w:tc>
          <w:tcPr>
            <w:tcW w:w="958" w:type="dxa"/>
            <w:vAlign w:val="center"/>
          </w:tcPr>
          <w:p w14:paraId="782FC95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449" w:type="dxa"/>
            <w:vAlign w:val="center"/>
          </w:tcPr>
          <w:p w14:paraId="5C4BA78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54.33</w:t>
            </w:r>
          </w:p>
        </w:tc>
        <w:tc>
          <w:tcPr>
            <w:tcW w:w="1171" w:type="dxa"/>
            <w:vAlign w:val="center"/>
          </w:tcPr>
          <w:p w14:paraId="5D67DF2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1.35</w:t>
            </w:r>
          </w:p>
        </w:tc>
        <w:tc>
          <w:tcPr>
            <w:tcW w:w="1480" w:type="dxa"/>
            <w:vAlign w:val="center"/>
          </w:tcPr>
          <w:p w14:paraId="74E8E2E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32,434.54</w:t>
            </w:r>
          </w:p>
        </w:tc>
      </w:tr>
      <w:tr w:rsidR="00FB39A5" w:rsidRPr="00FB39A5" w14:paraId="3AF7969A" w14:textId="77777777" w:rsidTr="00FB39A5">
        <w:tblPrEx>
          <w:tblCellMar>
            <w:top w:w="0" w:type="dxa"/>
            <w:bottom w:w="0" w:type="dxa"/>
          </w:tblCellMar>
        </w:tblPrEx>
        <w:trPr>
          <w:trHeight w:val="191"/>
          <w:jc w:val="center"/>
        </w:trPr>
        <w:tc>
          <w:tcPr>
            <w:tcW w:w="860" w:type="dxa"/>
            <w:vAlign w:val="center"/>
          </w:tcPr>
          <w:p w14:paraId="1346B480"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1A8740C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1980</w:t>
            </w:r>
          </w:p>
        </w:tc>
        <w:tc>
          <w:tcPr>
            <w:tcW w:w="1837" w:type="dxa"/>
            <w:vAlign w:val="center"/>
          </w:tcPr>
          <w:p w14:paraId="51CE026A"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Ranong</w:t>
            </w:r>
          </w:p>
        </w:tc>
        <w:tc>
          <w:tcPr>
            <w:tcW w:w="974" w:type="dxa"/>
            <w:vAlign w:val="center"/>
          </w:tcPr>
          <w:p w14:paraId="673F85B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22,592.00</w:t>
            </w:r>
          </w:p>
        </w:tc>
        <w:tc>
          <w:tcPr>
            <w:tcW w:w="779" w:type="dxa"/>
            <w:vAlign w:val="center"/>
          </w:tcPr>
          <w:p w14:paraId="0AF94B7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29.19</w:t>
            </w:r>
          </w:p>
        </w:tc>
        <w:tc>
          <w:tcPr>
            <w:tcW w:w="889" w:type="dxa"/>
            <w:vAlign w:val="center"/>
          </w:tcPr>
          <w:p w14:paraId="18D1F95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4.20</w:t>
            </w:r>
          </w:p>
        </w:tc>
        <w:tc>
          <w:tcPr>
            <w:tcW w:w="874" w:type="dxa"/>
            <w:vAlign w:val="center"/>
          </w:tcPr>
          <w:p w14:paraId="4A574CE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187" w:type="dxa"/>
            <w:vAlign w:val="center"/>
          </w:tcPr>
          <w:p w14:paraId="122E330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122.60</w:t>
            </w:r>
          </w:p>
        </w:tc>
        <w:tc>
          <w:tcPr>
            <w:tcW w:w="713" w:type="dxa"/>
            <w:vAlign w:val="center"/>
          </w:tcPr>
          <w:p w14:paraId="1167753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37.38</w:t>
            </w:r>
          </w:p>
        </w:tc>
        <w:tc>
          <w:tcPr>
            <w:tcW w:w="958" w:type="dxa"/>
            <w:vAlign w:val="center"/>
          </w:tcPr>
          <w:p w14:paraId="4908C69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449" w:type="dxa"/>
            <w:vAlign w:val="center"/>
          </w:tcPr>
          <w:p w14:paraId="70B7D2F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327.98</w:t>
            </w:r>
          </w:p>
        </w:tc>
        <w:tc>
          <w:tcPr>
            <w:tcW w:w="1171" w:type="dxa"/>
            <w:vAlign w:val="center"/>
          </w:tcPr>
          <w:p w14:paraId="57244EF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8.14</w:t>
            </w:r>
          </w:p>
        </w:tc>
        <w:tc>
          <w:tcPr>
            <w:tcW w:w="1480" w:type="dxa"/>
            <w:vAlign w:val="center"/>
          </w:tcPr>
          <w:p w14:paraId="26F5B39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183,834.91</w:t>
            </w:r>
          </w:p>
        </w:tc>
      </w:tr>
      <w:tr w:rsidR="00FB39A5" w:rsidRPr="00FB39A5" w14:paraId="3AF0AC1F" w14:textId="77777777" w:rsidTr="00FB39A5">
        <w:tblPrEx>
          <w:tblCellMar>
            <w:top w:w="0" w:type="dxa"/>
            <w:bottom w:w="0" w:type="dxa"/>
          </w:tblCellMar>
        </w:tblPrEx>
        <w:trPr>
          <w:trHeight w:val="191"/>
          <w:jc w:val="center"/>
        </w:trPr>
        <w:tc>
          <w:tcPr>
            <w:tcW w:w="860" w:type="dxa"/>
            <w:vAlign w:val="center"/>
          </w:tcPr>
          <w:p w14:paraId="47595741"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4975332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1980</w:t>
            </w:r>
          </w:p>
        </w:tc>
        <w:tc>
          <w:tcPr>
            <w:tcW w:w="1837" w:type="dxa"/>
            <w:vAlign w:val="center"/>
          </w:tcPr>
          <w:p w14:paraId="30373CA6"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Krabi</w:t>
            </w:r>
          </w:p>
        </w:tc>
        <w:tc>
          <w:tcPr>
            <w:tcW w:w="974" w:type="dxa"/>
            <w:vAlign w:val="center"/>
          </w:tcPr>
          <w:p w14:paraId="521E86F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31,760.00</w:t>
            </w:r>
          </w:p>
        </w:tc>
        <w:tc>
          <w:tcPr>
            <w:tcW w:w="779" w:type="dxa"/>
            <w:vAlign w:val="center"/>
          </w:tcPr>
          <w:p w14:paraId="782CA9B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18.72</w:t>
            </w:r>
          </w:p>
        </w:tc>
        <w:tc>
          <w:tcPr>
            <w:tcW w:w="889" w:type="dxa"/>
            <w:vAlign w:val="center"/>
          </w:tcPr>
          <w:p w14:paraId="6476BDB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w:t>
            </w:r>
          </w:p>
        </w:tc>
        <w:tc>
          <w:tcPr>
            <w:tcW w:w="874" w:type="dxa"/>
            <w:vAlign w:val="center"/>
          </w:tcPr>
          <w:p w14:paraId="3A59348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187" w:type="dxa"/>
            <w:vAlign w:val="center"/>
          </w:tcPr>
          <w:p w14:paraId="0B41F6F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22.46</w:t>
            </w:r>
          </w:p>
        </w:tc>
        <w:tc>
          <w:tcPr>
            <w:tcW w:w="713" w:type="dxa"/>
            <w:vAlign w:val="center"/>
          </w:tcPr>
          <w:p w14:paraId="7CAC313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37.38</w:t>
            </w:r>
          </w:p>
        </w:tc>
        <w:tc>
          <w:tcPr>
            <w:tcW w:w="958" w:type="dxa"/>
            <w:vAlign w:val="center"/>
          </w:tcPr>
          <w:p w14:paraId="74E9738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449" w:type="dxa"/>
            <w:vAlign w:val="center"/>
          </w:tcPr>
          <w:p w14:paraId="3B03079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60.10</w:t>
            </w:r>
          </w:p>
        </w:tc>
        <w:tc>
          <w:tcPr>
            <w:tcW w:w="1171" w:type="dxa"/>
            <w:vAlign w:val="center"/>
          </w:tcPr>
          <w:p w14:paraId="7E47398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1.49</w:t>
            </w:r>
          </w:p>
        </w:tc>
        <w:tc>
          <w:tcPr>
            <w:tcW w:w="1480" w:type="dxa"/>
            <w:vAlign w:val="center"/>
          </w:tcPr>
          <w:p w14:paraId="0D7775D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47,354.09</w:t>
            </w:r>
          </w:p>
        </w:tc>
      </w:tr>
      <w:tr w:rsidR="00FB39A5" w:rsidRPr="00FB39A5" w14:paraId="0A6F2F32" w14:textId="77777777" w:rsidTr="00FB39A5">
        <w:tblPrEx>
          <w:tblCellMar>
            <w:top w:w="0" w:type="dxa"/>
            <w:bottom w:w="0" w:type="dxa"/>
          </w:tblCellMar>
        </w:tblPrEx>
        <w:trPr>
          <w:trHeight w:val="191"/>
          <w:jc w:val="center"/>
        </w:trPr>
        <w:tc>
          <w:tcPr>
            <w:tcW w:w="860" w:type="dxa"/>
            <w:vAlign w:val="center"/>
          </w:tcPr>
          <w:p w14:paraId="3E07F422"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522D922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1980</w:t>
            </w:r>
          </w:p>
        </w:tc>
        <w:tc>
          <w:tcPr>
            <w:tcW w:w="1837" w:type="dxa"/>
            <w:vAlign w:val="center"/>
          </w:tcPr>
          <w:p w14:paraId="394C6E75"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Phang Nga</w:t>
            </w:r>
          </w:p>
        </w:tc>
        <w:tc>
          <w:tcPr>
            <w:tcW w:w="974" w:type="dxa"/>
            <w:vAlign w:val="center"/>
          </w:tcPr>
          <w:p w14:paraId="4436504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48,716.00</w:t>
            </w:r>
          </w:p>
        </w:tc>
        <w:tc>
          <w:tcPr>
            <w:tcW w:w="779" w:type="dxa"/>
            <w:vAlign w:val="center"/>
          </w:tcPr>
          <w:p w14:paraId="72B1879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12.30</w:t>
            </w:r>
          </w:p>
        </w:tc>
        <w:tc>
          <w:tcPr>
            <w:tcW w:w="889" w:type="dxa"/>
            <w:vAlign w:val="center"/>
          </w:tcPr>
          <w:p w14:paraId="1FAC35C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1.10</w:t>
            </w:r>
          </w:p>
        </w:tc>
        <w:tc>
          <w:tcPr>
            <w:tcW w:w="874" w:type="dxa"/>
            <w:vAlign w:val="center"/>
          </w:tcPr>
          <w:p w14:paraId="2C97DF7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187" w:type="dxa"/>
            <w:vAlign w:val="center"/>
          </w:tcPr>
          <w:p w14:paraId="5965DA8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13.53</w:t>
            </w:r>
          </w:p>
        </w:tc>
        <w:tc>
          <w:tcPr>
            <w:tcW w:w="713" w:type="dxa"/>
            <w:vAlign w:val="center"/>
          </w:tcPr>
          <w:p w14:paraId="337E8E7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37.38</w:t>
            </w:r>
          </w:p>
        </w:tc>
        <w:tc>
          <w:tcPr>
            <w:tcW w:w="958" w:type="dxa"/>
            <w:vAlign w:val="center"/>
          </w:tcPr>
          <w:p w14:paraId="192C685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449" w:type="dxa"/>
            <w:vAlign w:val="center"/>
          </w:tcPr>
          <w:p w14:paraId="57AC784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36.20</w:t>
            </w:r>
          </w:p>
        </w:tc>
        <w:tc>
          <w:tcPr>
            <w:tcW w:w="1171" w:type="dxa"/>
            <w:vAlign w:val="center"/>
          </w:tcPr>
          <w:p w14:paraId="0E8FE48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0.90</w:t>
            </w:r>
          </w:p>
        </w:tc>
        <w:tc>
          <w:tcPr>
            <w:tcW w:w="1480" w:type="dxa"/>
            <w:vAlign w:val="center"/>
          </w:tcPr>
          <w:p w14:paraId="413E347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43,748.11</w:t>
            </w:r>
          </w:p>
        </w:tc>
      </w:tr>
      <w:tr w:rsidR="00FB39A5" w:rsidRPr="00FB39A5" w14:paraId="46CBEFC1" w14:textId="77777777" w:rsidTr="00FB39A5">
        <w:tblPrEx>
          <w:tblCellMar>
            <w:top w:w="0" w:type="dxa"/>
            <w:bottom w:w="0" w:type="dxa"/>
          </w:tblCellMar>
        </w:tblPrEx>
        <w:trPr>
          <w:trHeight w:val="75"/>
          <w:jc w:val="center"/>
        </w:trPr>
        <w:tc>
          <w:tcPr>
            <w:tcW w:w="14030" w:type="dxa"/>
            <w:gridSpan w:val="13"/>
            <w:vAlign w:val="center"/>
          </w:tcPr>
          <w:p w14:paraId="6672379A" w14:textId="77777777" w:rsidR="00FB39A5" w:rsidRPr="00FB39A5" w:rsidRDefault="00FB39A5" w:rsidP="00FB39A5">
            <w:pPr>
              <w:tabs>
                <w:tab w:val="num" w:leader="none" w:pos="1440"/>
              </w:tabs>
              <w:jc w:val="center"/>
              <w:outlineLvl w:val="1"/>
              <w:rPr>
                <w:rFonts w:ascii="Arial" w:hAnsi="Arial" w:cs="Arial"/>
                <w:b/>
                <w:bCs/>
                <w:sz w:val="18"/>
                <w:szCs w:val="18"/>
                <w:lang w:val="en-GB"/>
              </w:rPr>
            </w:pPr>
            <w:bookmarkStart w:id="22" w:name="_Toc163031980"/>
            <w:bookmarkStart w:id="23" w:name="_Toc163032107"/>
            <w:r w:rsidRPr="00FB39A5">
              <w:rPr>
                <w:rFonts w:ascii="Arial" w:hAnsi="Arial" w:cs="Arial"/>
                <w:b/>
                <w:bCs/>
                <w:sz w:val="18"/>
                <w:szCs w:val="18"/>
                <w:lang w:val="en-GB"/>
              </w:rPr>
              <w:t>Leaves/palm fronds (Thatch, fodder) per frond</w:t>
            </w:r>
            <w:bookmarkEnd w:id="22"/>
            <w:bookmarkEnd w:id="23"/>
          </w:p>
        </w:tc>
      </w:tr>
      <w:tr w:rsidR="00FB39A5" w:rsidRPr="00FB39A5" w14:paraId="5C44C766" w14:textId="77777777" w:rsidTr="00FB39A5">
        <w:tblPrEx>
          <w:tblCellMar>
            <w:top w:w="0" w:type="dxa"/>
            <w:bottom w:w="0" w:type="dxa"/>
          </w:tblCellMar>
        </w:tblPrEx>
        <w:trPr>
          <w:trHeight w:val="171"/>
          <w:jc w:val="center"/>
        </w:trPr>
        <w:tc>
          <w:tcPr>
            <w:tcW w:w="860" w:type="dxa"/>
            <w:vAlign w:val="center"/>
          </w:tcPr>
          <w:p w14:paraId="18B98CAB"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Cambodia</w:t>
                </w:r>
              </w:smartTag>
            </w:smartTag>
          </w:p>
        </w:tc>
        <w:tc>
          <w:tcPr>
            <w:tcW w:w="859" w:type="dxa"/>
            <w:vAlign w:val="center"/>
          </w:tcPr>
          <w:p w14:paraId="21562F8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2006</w:t>
            </w:r>
          </w:p>
        </w:tc>
        <w:tc>
          <w:tcPr>
            <w:tcW w:w="1837" w:type="dxa"/>
            <w:vAlign w:val="center"/>
          </w:tcPr>
          <w:p w14:paraId="0269F263"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Peam Krasop</w:t>
            </w:r>
          </w:p>
        </w:tc>
        <w:tc>
          <w:tcPr>
            <w:tcW w:w="974" w:type="dxa"/>
            <w:vAlign w:val="center"/>
          </w:tcPr>
          <w:p w14:paraId="3584771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12,638.00</w:t>
            </w:r>
          </w:p>
        </w:tc>
        <w:tc>
          <w:tcPr>
            <w:tcW w:w="779" w:type="dxa"/>
            <w:vAlign w:val="center"/>
          </w:tcPr>
          <w:p w14:paraId="35DA616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14.50</w:t>
            </w:r>
          </w:p>
        </w:tc>
        <w:tc>
          <w:tcPr>
            <w:tcW w:w="889" w:type="dxa"/>
            <w:vAlign w:val="center"/>
          </w:tcPr>
          <w:p w14:paraId="15D6F93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w:t>
            </w:r>
          </w:p>
        </w:tc>
        <w:tc>
          <w:tcPr>
            <w:tcW w:w="874" w:type="dxa"/>
            <w:vAlign w:val="center"/>
          </w:tcPr>
          <w:p w14:paraId="7324970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US$</w:t>
            </w:r>
          </w:p>
        </w:tc>
        <w:tc>
          <w:tcPr>
            <w:tcW w:w="1187" w:type="dxa"/>
            <w:vAlign w:val="center"/>
          </w:tcPr>
          <w:p w14:paraId="5DC33A7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14.50</w:t>
            </w:r>
          </w:p>
        </w:tc>
        <w:tc>
          <w:tcPr>
            <w:tcW w:w="713" w:type="dxa"/>
            <w:vAlign w:val="center"/>
          </w:tcPr>
          <w:p w14:paraId="25A6CD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106.16</w:t>
            </w:r>
          </w:p>
        </w:tc>
        <w:tc>
          <w:tcPr>
            <w:tcW w:w="958" w:type="dxa"/>
            <w:vAlign w:val="center"/>
          </w:tcPr>
          <w:p w14:paraId="0B210C0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4,187.17</w:t>
            </w:r>
          </w:p>
        </w:tc>
        <w:tc>
          <w:tcPr>
            <w:tcW w:w="1449" w:type="dxa"/>
            <w:vAlign w:val="center"/>
          </w:tcPr>
          <w:p w14:paraId="0DD6441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13.66</w:t>
            </w:r>
          </w:p>
        </w:tc>
        <w:tc>
          <w:tcPr>
            <w:tcW w:w="1171" w:type="dxa"/>
            <w:vAlign w:val="center"/>
          </w:tcPr>
          <w:p w14:paraId="6FFE723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0.00</w:t>
            </w:r>
          </w:p>
        </w:tc>
        <w:tc>
          <w:tcPr>
            <w:tcW w:w="1480" w:type="dxa"/>
            <w:vAlign w:val="center"/>
          </w:tcPr>
          <w:p w14:paraId="0F7024E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41.23</w:t>
            </w:r>
          </w:p>
        </w:tc>
      </w:tr>
      <w:tr w:rsidR="00FB39A5" w:rsidRPr="00FB39A5" w14:paraId="672265E8" w14:textId="77777777" w:rsidTr="00FB39A5">
        <w:tblPrEx>
          <w:tblCellMar>
            <w:top w:w="0" w:type="dxa"/>
            <w:bottom w:w="0" w:type="dxa"/>
          </w:tblCellMar>
        </w:tblPrEx>
        <w:trPr>
          <w:trHeight w:val="191"/>
          <w:jc w:val="center"/>
        </w:trPr>
        <w:tc>
          <w:tcPr>
            <w:tcW w:w="860" w:type="dxa"/>
            <w:vAlign w:val="center"/>
          </w:tcPr>
          <w:p w14:paraId="55A27C34"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Philippines</w:t>
                </w:r>
              </w:smartTag>
            </w:smartTag>
          </w:p>
        </w:tc>
        <w:tc>
          <w:tcPr>
            <w:tcW w:w="859" w:type="dxa"/>
            <w:vAlign w:val="center"/>
          </w:tcPr>
          <w:p w14:paraId="5583C32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3AE2E7CB"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Busuanga </w:t>
            </w:r>
            <w:smartTag w:uri="urn:schemas-microsoft-com:office:smarttags" w:element="place">
              <w:smartTag w:uri="urn:schemas-microsoft-com:office:smarttags" w:element="country-region">
                <w:r w:rsidRPr="00FB39A5">
                  <w:rPr>
                    <w:rFonts w:ascii="Arial" w:hAnsi="Arial" w:cs="Arial"/>
                    <w:sz w:val="12"/>
                    <w:szCs w:val="12"/>
                    <w:lang w:val="en-GB"/>
                  </w:rPr>
                  <w:t>Philippines</w:t>
                </w:r>
              </w:smartTag>
            </w:smartTag>
          </w:p>
        </w:tc>
        <w:tc>
          <w:tcPr>
            <w:tcW w:w="974" w:type="dxa"/>
            <w:vAlign w:val="center"/>
          </w:tcPr>
          <w:p w14:paraId="2DE31FC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1,298.50</w:t>
            </w:r>
          </w:p>
        </w:tc>
        <w:tc>
          <w:tcPr>
            <w:tcW w:w="779" w:type="dxa"/>
            <w:vAlign w:val="center"/>
          </w:tcPr>
          <w:p w14:paraId="7D47D92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6.37</w:t>
            </w:r>
          </w:p>
        </w:tc>
        <w:tc>
          <w:tcPr>
            <w:tcW w:w="889" w:type="dxa"/>
            <w:vAlign w:val="center"/>
          </w:tcPr>
          <w:p w14:paraId="4861C92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w:t>
            </w:r>
          </w:p>
        </w:tc>
        <w:tc>
          <w:tcPr>
            <w:tcW w:w="874" w:type="dxa"/>
            <w:vAlign w:val="center"/>
          </w:tcPr>
          <w:p w14:paraId="6A6E312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PHP</w:t>
            </w:r>
          </w:p>
        </w:tc>
        <w:tc>
          <w:tcPr>
            <w:tcW w:w="1187" w:type="dxa"/>
            <w:vAlign w:val="center"/>
          </w:tcPr>
          <w:p w14:paraId="2061C06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31.85</w:t>
            </w:r>
          </w:p>
        </w:tc>
        <w:tc>
          <w:tcPr>
            <w:tcW w:w="713" w:type="dxa"/>
            <w:vAlign w:val="center"/>
          </w:tcPr>
          <w:p w14:paraId="611DF6B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87.67</w:t>
            </w:r>
          </w:p>
        </w:tc>
        <w:tc>
          <w:tcPr>
            <w:tcW w:w="958" w:type="dxa"/>
            <w:vAlign w:val="center"/>
          </w:tcPr>
          <w:p w14:paraId="558ED47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55.14</w:t>
            </w:r>
          </w:p>
        </w:tc>
        <w:tc>
          <w:tcPr>
            <w:tcW w:w="1449" w:type="dxa"/>
            <w:vAlign w:val="center"/>
          </w:tcPr>
          <w:p w14:paraId="637AFC4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36.33</w:t>
            </w:r>
          </w:p>
        </w:tc>
        <w:tc>
          <w:tcPr>
            <w:tcW w:w="1171" w:type="dxa"/>
            <w:vAlign w:val="center"/>
          </w:tcPr>
          <w:p w14:paraId="002E12F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0.66</w:t>
            </w:r>
          </w:p>
        </w:tc>
        <w:tc>
          <w:tcPr>
            <w:tcW w:w="1480" w:type="dxa"/>
            <w:vAlign w:val="center"/>
          </w:tcPr>
          <w:p w14:paraId="0299F39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855.53</w:t>
            </w:r>
          </w:p>
        </w:tc>
      </w:tr>
      <w:tr w:rsidR="00FB39A5" w:rsidRPr="00FB39A5" w14:paraId="214F746E" w14:textId="77777777" w:rsidTr="00FB39A5">
        <w:tblPrEx>
          <w:tblCellMar>
            <w:top w:w="0" w:type="dxa"/>
            <w:bottom w:w="0" w:type="dxa"/>
          </w:tblCellMar>
        </w:tblPrEx>
        <w:trPr>
          <w:trHeight w:val="191"/>
          <w:jc w:val="center"/>
        </w:trPr>
        <w:tc>
          <w:tcPr>
            <w:tcW w:w="860" w:type="dxa"/>
            <w:vAlign w:val="center"/>
          </w:tcPr>
          <w:p w14:paraId="2DAC6823"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4A23CBB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1996</w:t>
            </w:r>
          </w:p>
        </w:tc>
        <w:tc>
          <w:tcPr>
            <w:tcW w:w="1837" w:type="dxa"/>
            <w:vAlign w:val="center"/>
          </w:tcPr>
          <w:p w14:paraId="5A4B5D36"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smartTag w:uri="urn:schemas-microsoft-com:office:smarttags" w:element="City">
                <w:r w:rsidRPr="00FB39A5">
                  <w:rPr>
                    <w:rFonts w:ascii="Arial" w:hAnsi="Arial" w:cs="Arial"/>
                    <w:sz w:val="12"/>
                    <w:szCs w:val="12"/>
                    <w:lang w:val="en-GB"/>
                  </w:rPr>
                  <w:t>Pagbilao</w:t>
                </w:r>
              </w:smartTag>
              <w:r w:rsidRPr="00FB39A5">
                <w:rPr>
                  <w:rFonts w:ascii="Arial" w:hAnsi="Arial" w:cs="Arial"/>
                  <w:sz w:val="12"/>
                  <w:szCs w:val="12"/>
                  <w:lang w:val="en-GB"/>
                </w:rPr>
                <w:t xml:space="preserve">, </w:t>
              </w:r>
              <w:smartTag w:uri="urn:schemas-microsoft-com:office:smarttags" w:element="country-region">
                <w:r w:rsidRPr="00FB39A5">
                  <w:rPr>
                    <w:rFonts w:ascii="Arial" w:hAnsi="Arial" w:cs="Arial"/>
                    <w:sz w:val="12"/>
                    <w:szCs w:val="12"/>
                    <w:lang w:val="en-GB"/>
                  </w:rPr>
                  <w:t>Philippines</w:t>
                </w:r>
              </w:smartTag>
            </w:smartTag>
          </w:p>
        </w:tc>
        <w:tc>
          <w:tcPr>
            <w:tcW w:w="974" w:type="dxa"/>
            <w:vAlign w:val="center"/>
          </w:tcPr>
          <w:p w14:paraId="1843B4C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1,440.00</w:t>
            </w:r>
          </w:p>
        </w:tc>
        <w:tc>
          <w:tcPr>
            <w:tcW w:w="779" w:type="dxa"/>
            <w:vAlign w:val="center"/>
          </w:tcPr>
          <w:p w14:paraId="787A760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22.50</w:t>
            </w:r>
          </w:p>
        </w:tc>
        <w:tc>
          <w:tcPr>
            <w:tcW w:w="889" w:type="dxa"/>
            <w:vAlign w:val="center"/>
          </w:tcPr>
          <w:p w14:paraId="0D0DE40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4.50</w:t>
            </w:r>
          </w:p>
        </w:tc>
        <w:tc>
          <w:tcPr>
            <w:tcW w:w="874" w:type="dxa"/>
            <w:vAlign w:val="center"/>
          </w:tcPr>
          <w:p w14:paraId="68F2788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PHP</w:t>
            </w:r>
          </w:p>
        </w:tc>
        <w:tc>
          <w:tcPr>
            <w:tcW w:w="1187" w:type="dxa"/>
            <w:vAlign w:val="center"/>
          </w:tcPr>
          <w:p w14:paraId="39078B0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101.25</w:t>
            </w:r>
          </w:p>
        </w:tc>
        <w:tc>
          <w:tcPr>
            <w:tcW w:w="713" w:type="dxa"/>
            <w:vAlign w:val="center"/>
          </w:tcPr>
          <w:p w14:paraId="716E0C5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59.56</w:t>
            </w:r>
          </w:p>
        </w:tc>
        <w:tc>
          <w:tcPr>
            <w:tcW w:w="958" w:type="dxa"/>
            <w:vAlign w:val="center"/>
          </w:tcPr>
          <w:p w14:paraId="25DB922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55.14</w:t>
            </w:r>
          </w:p>
        </w:tc>
        <w:tc>
          <w:tcPr>
            <w:tcW w:w="1449" w:type="dxa"/>
            <w:vAlign w:val="center"/>
          </w:tcPr>
          <w:p w14:paraId="7382155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170.00</w:t>
            </w:r>
          </w:p>
        </w:tc>
        <w:tc>
          <w:tcPr>
            <w:tcW w:w="1171" w:type="dxa"/>
            <w:vAlign w:val="center"/>
          </w:tcPr>
          <w:p w14:paraId="607A8A0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3.08</w:t>
            </w:r>
          </w:p>
        </w:tc>
        <w:tc>
          <w:tcPr>
            <w:tcW w:w="1480" w:type="dxa"/>
            <w:vAlign w:val="center"/>
          </w:tcPr>
          <w:p w14:paraId="580DB7C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4,439.52</w:t>
            </w:r>
          </w:p>
        </w:tc>
      </w:tr>
      <w:tr w:rsidR="00FB39A5" w:rsidRPr="00FB39A5" w14:paraId="2904DB57" w14:textId="77777777" w:rsidTr="00FB39A5">
        <w:tblPrEx>
          <w:tblCellMar>
            <w:top w:w="0" w:type="dxa"/>
            <w:bottom w:w="0" w:type="dxa"/>
          </w:tblCellMar>
        </w:tblPrEx>
        <w:trPr>
          <w:trHeight w:val="122"/>
          <w:jc w:val="center"/>
        </w:trPr>
        <w:tc>
          <w:tcPr>
            <w:tcW w:w="14030" w:type="dxa"/>
            <w:gridSpan w:val="13"/>
            <w:vAlign w:val="center"/>
          </w:tcPr>
          <w:p w14:paraId="00326978" w14:textId="77777777" w:rsidR="00FB39A5" w:rsidRPr="00FB39A5" w:rsidRDefault="00FB39A5" w:rsidP="00FB39A5">
            <w:pPr>
              <w:tabs>
                <w:tab w:val="num" w:leader="none" w:pos="1440"/>
              </w:tabs>
              <w:jc w:val="center"/>
              <w:outlineLvl w:val="1"/>
              <w:rPr>
                <w:rFonts w:ascii="Arial" w:hAnsi="Arial" w:cs="Arial"/>
                <w:b/>
                <w:bCs/>
                <w:sz w:val="18"/>
                <w:szCs w:val="18"/>
                <w:lang w:val="en-GB"/>
              </w:rPr>
            </w:pPr>
            <w:bookmarkStart w:id="24" w:name="_Toc163031981"/>
            <w:bookmarkStart w:id="25" w:name="_Toc163032108"/>
            <w:r w:rsidRPr="00FB39A5">
              <w:rPr>
                <w:rFonts w:ascii="Arial" w:hAnsi="Arial" w:cs="Arial"/>
                <w:b/>
                <w:bCs/>
                <w:sz w:val="18"/>
                <w:szCs w:val="18"/>
                <w:lang w:val="en-GB"/>
              </w:rPr>
              <w:t>Fruit - propagules Kg</w:t>
            </w:r>
            <w:bookmarkEnd w:id="24"/>
            <w:bookmarkEnd w:id="25"/>
          </w:p>
        </w:tc>
      </w:tr>
      <w:tr w:rsidR="00FB39A5" w:rsidRPr="00FB39A5" w14:paraId="29637B86" w14:textId="77777777" w:rsidTr="00FB39A5">
        <w:tblPrEx>
          <w:tblCellMar>
            <w:top w:w="0" w:type="dxa"/>
            <w:bottom w:w="0" w:type="dxa"/>
          </w:tblCellMar>
        </w:tblPrEx>
        <w:trPr>
          <w:trHeight w:val="191"/>
          <w:jc w:val="center"/>
        </w:trPr>
        <w:tc>
          <w:tcPr>
            <w:tcW w:w="860" w:type="dxa"/>
            <w:vAlign w:val="center"/>
          </w:tcPr>
          <w:p w14:paraId="3A5F5BAB"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China</w:t>
                </w:r>
              </w:smartTag>
            </w:smartTag>
          </w:p>
        </w:tc>
        <w:tc>
          <w:tcPr>
            <w:tcW w:w="859" w:type="dxa"/>
            <w:vAlign w:val="center"/>
          </w:tcPr>
          <w:p w14:paraId="774C86C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1837" w:type="dxa"/>
            <w:vAlign w:val="center"/>
          </w:tcPr>
          <w:p w14:paraId="4DDBBACA"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Fangchenggang</w:t>
            </w:r>
          </w:p>
        </w:tc>
        <w:tc>
          <w:tcPr>
            <w:tcW w:w="974" w:type="dxa"/>
            <w:vAlign w:val="center"/>
          </w:tcPr>
          <w:p w14:paraId="0199B54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1,414.50</w:t>
            </w:r>
          </w:p>
        </w:tc>
        <w:tc>
          <w:tcPr>
            <w:tcW w:w="779" w:type="dxa"/>
            <w:vAlign w:val="center"/>
          </w:tcPr>
          <w:p w14:paraId="00CBE26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321.69</w:t>
            </w:r>
          </w:p>
        </w:tc>
        <w:tc>
          <w:tcPr>
            <w:tcW w:w="889" w:type="dxa"/>
            <w:vAlign w:val="center"/>
          </w:tcPr>
          <w:p w14:paraId="28B91DB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2.40</w:t>
            </w:r>
          </w:p>
        </w:tc>
        <w:tc>
          <w:tcPr>
            <w:tcW w:w="874" w:type="dxa"/>
            <w:vAlign w:val="center"/>
          </w:tcPr>
          <w:p w14:paraId="60B6302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CNY</w:t>
            </w:r>
          </w:p>
        </w:tc>
        <w:tc>
          <w:tcPr>
            <w:tcW w:w="1187" w:type="dxa"/>
            <w:vAlign w:val="center"/>
          </w:tcPr>
          <w:p w14:paraId="4862804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772.00</w:t>
            </w:r>
          </w:p>
        </w:tc>
        <w:tc>
          <w:tcPr>
            <w:tcW w:w="713" w:type="dxa"/>
            <w:vAlign w:val="center"/>
          </w:tcPr>
          <w:p w14:paraId="05E1059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93.38</w:t>
            </w:r>
          </w:p>
        </w:tc>
        <w:tc>
          <w:tcPr>
            <w:tcW w:w="958" w:type="dxa"/>
            <w:vAlign w:val="center"/>
          </w:tcPr>
          <w:p w14:paraId="24A0D9E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8.20</w:t>
            </w:r>
          </w:p>
        </w:tc>
        <w:tc>
          <w:tcPr>
            <w:tcW w:w="1449" w:type="dxa"/>
            <w:vAlign w:val="center"/>
          </w:tcPr>
          <w:p w14:paraId="49D487E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826.73</w:t>
            </w:r>
          </w:p>
        </w:tc>
        <w:tc>
          <w:tcPr>
            <w:tcW w:w="1171" w:type="dxa"/>
            <w:vAlign w:val="center"/>
          </w:tcPr>
          <w:p w14:paraId="796D7A1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100.78</w:t>
            </w:r>
          </w:p>
        </w:tc>
        <w:tc>
          <w:tcPr>
            <w:tcW w:w="1480" w:type="dxa"/>
            <w:vAlign w:val="center"/>
          </w:tcPr>
          <w:p w14:paraId="77F266E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142,553.64</w:t>
            </w:r>
          </w:p>
        </w:tc>
      </w:tr>
    </w:tbl>
    <w:p w14:paraId="68868D08" w14:textId="77777777" w:rsidR="00FB39A5" w:rsidRPr="00FB39A5" w:rsidRDefault="00FB39A5" w:rsidP="00FB39A5">
      <w:pPr>
        <w:jc w:val="both"/>
        <w:rPr>
          <w:rFonts w:ascii="Arial" w:hAnsi="Arial" w:cs="Arial"/>
          <w:sz w:val="20"/>
          <w:lang w:val="en-GB"/>
        </w:rPr>
      </w:pPr>
    </w:p>
    <w:p w14:paraId="0CDD6572" w14:textId="77777777" w:rsidR="00FB39A5" w:rsidRPr="00687722" w:rsidRDefault="00FB39A5" w:rsidP="00FB39A5">
      <w:pPr>
        <w:tabs>
          <w:tab w:val="left" w:pos="1500"/>
        </w:tabs>
        <w:spacing w:after="120"/>
        <w:ind w:left="1498" w:hanging="1498"/>
        <w:jc w:val="both"/>
        <w:rPr>
          <w:sz w:val="21"/>
          <w:szCs w:val="21"/>
          <w:lang w:val="en-GB"/>
        </w:rPr>
      </w:pPr>
      <w:r w:rsidRPr="00FB39A5">
        <w:rPr>
          <w:rFonts w:ascii="Arial" w:hAnsi="Arial" w:cs="Arial"/>
          <w:sz w:val="20"/>
          <w:lang w:val="en-GB"/>
        </w:rPr>
        <w:br w:type="page"/>
      </w:r>
      <w:r w:rsidRPr="00687722">
        <w:rPr>
          <w:b/>
          <w:sz w:val="21"/>
          <w:szCs w:val="21"/>
          <w:lang w:val="en-GB"/>
        </w:rPr>
        <w:t xml:space="preserve">Table 2 </w:t>
      </w:r>
      <w:r w:rsidRPr="00687722">
        <w:rPr>
          <w:b/>
          <w:i/>
          <w:iCs/>
          <w:sz w:val="21"/>
          <w:szCs w:val="21"/>
          <w:lang w:val="en-GB"/>
        </w:rPr>
        <w:t>cont.</w:t>
      </w:r>
      <w:r w:rsidRPr="00687722">
        <w:rPr>
          <w:sz w:val="21"/>
          <w:szCs w:val="21"/>
          <w:lang w:val="en-GB"/>
        </w:rPr>
        <w:tab/>
        <w:t>Values of goods from mangrove ecosystems at various locations bordering the South China Sea. Shaded cells include values not used in the subsequent analysis to determine national and regional weighted mean values for each resource.</w:t>
      </w:r>
    </w:p>
    <w:tbl>
      <w:tblPr>
        <w:tblW w:w="0" w:type="auto"/>
        <w:jc w:val="center"/>
        <w:tblBorders>
          <w:top w:val="single" w:sz="12" w:space="0" w:color="auto"/>
          <w:left w:val="single" w:sz="12" w:space="0" w:color="auto"/>
          <w:bottom w:val="single" w:sz="12" w:space="0" w:color="auto"/>
          <w:right w:val="single" w:sz="12" w:space="0" w:color="auto"/>
          <w:insideH w:val="single" w:sz="2" w:space="0" w:color="000000"/>
          <w:insideV w:val="single" w:sz="2" w:space="0" w:color="000000"/>
        </w:tblBorders>
        <w:tblLayout w:type="fixed"/>
        <w:tblCellMar>
          <w:left w:w="30" w:type="dxa"/>
          <w:right w:w="30" w:type="dxa"/>
        </w:tblCellMar>
        <w:tblLook w:val="0000" w:firstRow="0" w:lastRow="0" w:firstColumn="0" w:lastColumn="0" w:noHBand="0" w:noVBand="0"/>
      </w:tblPr>
      <w:tblGrid>
        <w:gridCol w:w="860"/>
        <w:gridCol w:w="859"/>
        <w:gridCol w:w="1837"/>
        <w:gridCol w:w="974"/>
        <w:gridCol w:w="779"/>
        <w:gridCol w:w="889"/>
        <w:gridCol w:w="874"/>
        <w:gridCol w:w="1187"/>
        <w:gridCol w:w="713"/>
        <w:gridCol w:w="958"/>
        <w:gridCol w:w="1449"/>
        <w:gridCol w:w="1171"/>
        <w:gridCol w:w="1480"/>
      </w:tblGrid>
      <w:tr w:rsidR="00FB39A5" w:rsidRPr="00FB39A5" w14:paraId="62FCC8A3" w14:textId="77777777" w:rsidTr="00FB39A5">
        <w:tblPrEx>
          <w:tblCellMar>
            <w:top w:w="0" w:type="dxa"/>
            <w:bottom w:w="0" w:type="dxa"/>
          </w:tblCellMar>
        </w:tblPrEx>
        <w:trPr>
          <w:trHeight w:val="664"/>
          <w:jc w:val="center"/>
        </w:trPr>
        <w:tc>
          <w:tcPr>
            <w:tcW w:w="860" w:type="dxa"/>
            <w:tcBorders>
              <w:top w:val="single" w:sz="12" w:space="0" w:color="auto"/>
              <w:bottom w:val="single" w:sz="12" w:space="0" w:color="auto"/>
            </w:tcBorders>
            <w:vAlign w:val="center"/>
          </w:tcPr>
          <w:p w14:paraId="24896B5B"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Country</w:t>
            </w:r>
          </w:p>
        </w:tc>
        <w:tc>
          <w:tcPr>
            <w:tcW w:w="859" w:type="dxa"/>
            <w:tcBorders>
              <w:top w:val="single" w:sz="12" w:space="0" w:color="auto"/>
              <w:bottom w:val="single" w:sz="12" w:space="0" w:color="auto"/>
            </w:tcBorders>
            <w:vAlign w:val="center"/>
          </w:tcPr>
          <w:p w14:paraId="46E84A97" w14:textId="77777777" w:rsidR="00FB39A5" w:rsidRPr="00FB39A5" w:rsidRDefault="00FB39A5" w:rsidP="00FB39A5">
            <w:pPr>
              <w:keepNext/>
              <w:ind w:left="20"/>
              <w:jc w:val="center"/>
              <w:outlineLvl w:val="2"/>
              <w:rPr>
                <w:rFonts w:ascii="Arial" w:hAnsi="Arial" w:cs="Arial"/>
                <w:b/>
                <w:bCs/>
                <w:sz w:val="16"/>
                <w:szCs w:val="16"/>
                <w:lang w:val="en-GB" w:bidi="he-IL"/>
              </w:rPr>
            </w:pPr>
            <w:bookmarkStart w:id="26" w:name="_Toc163031982"/>
            <w:bookmarkStart w:id="27" w:name="_Toc163032109"/>
            <w:r w:rsidRPr="00FB39A5">
              <w:rPr>
                <w:rFonts w:ascii="Arial" w:hAnsi="Arial" w:cs="Arial"/>
                <w:b/>
                <w:bCs/>
                <w:sz w:val="16"/>
                <w:szCs w:val="16"/>
                <w:lang w:val="en-GB" w:bidi="he-IL"/>
              </w:rPr>
              <w:t>Year</w:t>
            </w:r>
            <w:bookmarkEnd w:id="26"/>
            <w:bookmarkEnd w:id="27"/>
          </w:p>
        </w:tc>
        <w:tc>
          <w:tcPr>
            <w:tcW w:w="1837" w:type="dxa"/>
            <w:tcBorders>
              <w:top w:val="single" w:sz="12" w:space="0" w:color="auto"/>
              <w:bottom w:val="single" w:sz="12" w:space="0" w:color="auto"/>
            </w:tcBorders>
            <w:vAlign w:val="center"/>
          </w:tcPr>
          <w:p w14:paraId="5882561A"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Location</w:t>
            </w:r>
          </w:p>
        </w:tc>
        <w:tc>
          <w:tcPr>
            <w:tcW w:w="974" w:type="dxa"/>
            <w:tcBorders>
              <w:top w:val="single" w:sz="12" w:space="0" w:color="auto"/>
              <w:bottom w:val="single" w:sz="12" w:space="0" w:color="auto"/>
            </w:tcBorders>
            <w:vAlign w:val="center"/>
          </w:tcPr>
          <w:p w14:paraId="1B2DF5B8"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Total Area (ha)</w:t>
            </w:r>
          </w:p>
        </w:tc>
        <w:tc>
          <w:tcPr>
            <w:tcW w:w="779" w:type="dxa"/>
            <w:tcBorders>
              <w:top w:val="single" w:sz="12" w:space="0" w:color="auto"/>
              <w:bottom w:val="single" w:sz="12" w:space="0" w:color="auto"/>
            </w:tcBorders>
            <w:vAlign w:val="center"/>
          </w:tcPr>
          <w:p w14:paraId="4D385841"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Volume (per ha)</w:t>
            </w:r>
          </w:p>
        </w:tc>
        <w:tc>
          <w:tcPr>
            <w:tcW w:w="889" w:type="dxa"/>
            <w:tcBorders>
              <w:top w:val="single" w:sz="12" w:space="0" w:color="auto"/>
              <w:bottom w:val="single" w:sz="12" w:space="0" w:color="auto"/>
            </w:tcBorders>
            <w:vAlign w:val="center"/>
          </w:tcPr>
          <w:p w14:paraId="059E893D"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Unit Net Price</w:t>
            </w:r>
          </w:p>
        </w:tc>
        <w:tc>
          <w:tcPr>
            <w:tcW w:w="874" w:type="dxa"/>
            <w:tcBorders>
              <w:top w:val="single" w:sz="12" w:space="0" w:color="auto"/>
              <w:bottom w:val="single" w:sz="12" w:space="0" w:color="auto"/>
            </w:tcBorders>
            <w:vAlign w:val="center"/>
          </w:tcPr>
          <w:p w14:paraId="2E03918C"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Currency</w:t>
            </w:r>
          </w:p>
        </w:tc>
        <w:tc>
          <w:tcPr>
            <w:tcW w:w="1187" w:type="dxa"/>
            <w:tcBorders>
              <w:top w:val="single" w:sz="12" w:space="0" w:color="auto"/>
              <w:bottom w:val="single" w:sz="12" w:space="0" w:color="auto"/>
            </w:tcBorders>
            <w:vAlign w:val="center"/>
          </w:tcPr>
          <w:p w14:paraId="59F37E07"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Value</w:t>
            </w:r>
          </w:p>
          <w:p w14:paraId="6D36A809"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(per ha)</w:t>
            </w:r>
          </w:p>
        </w:tc>
        <w:tc>
          <w:tcPr>
            <w:tcW w:w="713" w:type="dxa"/>
            <w:tcBorders>
              <w:top w:val="single" w:sz="12" w:space="0" w:color="auto"/>
              <w:bottom w:val="single" w:sz="12" w:space="0" w:color="auto"/>
            </w:tcBorders>
            <w:vAlign w:val="center"/>
          </w:tcPr>
          <w:p w14:paraId="64D944C6"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CPI (base 2005)</w:t>
            </w:r>
          </w:p>
        </w:tc>
        <w:tc>
          <w:tcPr>
            <w:tcW w:w="958" w:type="dxa"/>
            <w:tcBorders>
              <w:top w:val="single" w:sz="12" w:space="0" w:color="auto"/>
              <w:bottom w:val="single" w:sz="12" w:space="0" w:color="auto"/>
            </w:tcBorders>
            <w:vAlign w:val="center"/>
          </w:tcPr>
          <w:p w14:paraId="7E304228"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Exchange rate 2005</w:t>
            </w:r>
          </w:p>
        </w:tc>
        <w:tc>
          <w:tcPr>
            <w:tcW w:w="1449" w:type="dxa"/>
            <w:tcBorders>
              <w:top w:val="single" w:sz="12" w:space="0" w:color="auto"/>
              <w:bottom w:val="single" w:sz="12" w:space="0" w:color="auto"/>
            </w:tcBorders>
            <w:vAlign w:val="center"/>
          </w:tcPr>
          <w:p w14:paraId="1C66FDC2"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Standard National Value, 2005, per hectare in local Currency</w:t>
            </w:r>
          </w:p>
        </w:tc>
        <w:tc>
          <w:tcPr>
            <w:tcW w:w="1171" w:type="dxa"/>
            <w:tcBorders>
              <w:top w:val="single" w:sz="12" w:space="0" w:color="auto"/>
              <w:bottom w:val="single" w:sz="12" w:space="0" w:color="auto"/>
            </w:tcBorders>
            <w:vAlign w:val="center"/>
          </w:tcPr>
          <w:p w14:paraId="3621AD74"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 xml:space="preserve">Regionally comparable Value per hectare </w:t>
            </w:r>
            <w:smartTag w:uri="urn:schemas-microsoft-com:office:smarttags" w:element="place">
              <w:smartTag w:uri="urn:schemas-microsoft-com:office:smarttags" w:element="country-region">
                <w:r w:rsidRPr="00FB39A5">
                  <w:rPr>
                    <w:rFonts w:ascii="Arial" w:hAnsi="Arial" w:cs="Arial"/>
                    <w:b/>
                    <w:bCs/>
                    <w:sz w:val="16"/>
                    <w:szCs w:val="16"/>
                    <w:lang w:val="en-GB"/>
                  </w:rPr>
                  <w:t>US</w:t>
                </w:r>
              </w:smartTag>
            </w:smartTag>
            <w:r w:rsidRPr="00FB39A5">
              <w:rPr>
                <w:rFonts w:ascii="Arial" w:hAnsi="Arial" w:cs="Arial"/>
                <w:b/>
                <w:bCs/>
                <w:sz w:val="16"/>
                <w:szCs w:val="16"/>
                <w:lang w:val="en-GB"/>
              </w:rPr>
              <w:t>$</w:t>
            </w:r>
          </w:p>
        </w:tc>
        <w:tc>
          <w:tcPr>
            <w:tcW w:w="1480" w:type="dxa"/>
            <w:tcBorders>
              <w:top w:val="single" w:sz="12" w:space="0" w:color="auto"/>
              <w:bottom w:val="single" w:sz="12" w:space="0" w:color="auto"/>
            </w:tcBorders>
            <w:vAlign w:val="center"/>
          </w:tcPr>
          <w:p w14:paraId="45081AE6"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 xml:space="preserve">Total Stock Value by Locality (Area </w:t>
            </w:r>
            <w:r w:rsidRPr="00FB39A5">
              <w:rPr>
                <w:rFonts w:ascii="Arial" w:hAnsi="Arial" w:cs="Arial"/>
                <w:b/>
                <w:bCs/>
                <w:i/>
                <w:iCs/>
                <w:sz w:val="16"/>
                <w:szCs w:val="16"/>
                <w:lang w:val="en-GB"/>
              </w:rPr>
              <w:t>x</w:t>
            </w:r>
            <w:r w:rsidRPr="00FB39A5">
              <w:rPr>
                <w:rFonts w:ascii="Arial" w:hAnsi="Arial" w:cs="Arial"/>
                <w:b/>
                <w:bCs/>
                <w:sz w:val="16"/>
                <w:szCs w:val="16"/>
                <w:lang w:val="en-GB"/>
              </w:rPr>
              <w:t>Value/ha in US$)</w:t>
            </w:r>
          </w:p>
        </w:tc>
      </w:tr>
      <w:tr w:rsidR="00FB39A5" w:rsidRPr="00FB39A5" w14:paraId="13277C86" w14:textId="77777777" w:rsidTr="00FB39A5">
        <w:tblPrEx>
          <w:tblCellMar>
            <w:top w:w="0" w:type="dxa"/>
            <w:bottom w:w="0" w:type="dxa"/>
          </w:tblCellMar>
        </w:tblPrEx>
        <w:trPr>
          <w:trHeight w:val="75"/>
          <w:jc w:val="center"/>
        </w:trPr>
        <w:tc>
          <w:tcPr>
            <w:tcW w:w="14030" w:type="dxa"/>
            <w:gridSpan w:val="13"/>
            <w:vAlign w:val="center"/>
          </w:tcPr>
          <w:p w14:paraId="16AA0250" w14:textId="77777777" w:rsidR="00FB39A5" w:rsidRPr="00FB39A5" w:rsidRDefault="00FB39A5" w:rsidP="00FB39A5">
            <w:pPr>
              <w:tabs>
                <w:tab w:val="num" w:leader="none" w:pos="1440"/>
              </w:tabs>
              <w:jc w:val="center"/>
              <w:outlineLvl w:val="1"/>
              <w:rPr>
                <w:rFonts w:ascii="Arial" w:hAnsi="Arial" w:cs="Arial"/>
                <w:b/>
                <w:bCs/>
                <w:sz w:val="18"/>
                <w:szCs w:val="18"/>
                <w:lang w:val="en-GB"/>
              </w:rPr>
            </w:pPr>
            <w:bookmarkStart w:id="28" w:name="_Toc163031983"/>
            <w:bookmarkStart w:id="29" w:name="_Toc163032110"/>
            <w:r w:rsidRPr="00FB39A5">
              <w:rPr>
                <w:rFonts w:ascii="Arial" w:hAnsi="Arial" w:cs="Arial"/>
                <w:b/>
                <w:bCs/>
                <w:sz w:val="18"/>
                <w:szCs w:val="18"/>
                <w:lang w:val="en-GB"/>
              </w:rPr>
              <w:t>Wildlife Values per hectare</w:t>
            </w:r>
            <w:bookmarkEnd w:id="28"/>
            <w:bookmarkEnd w:id="29"/>
          </w:p>
        </w:tc>
      </w:tr>
      <w:tr w:rsidR="00FB39A5" w:rsidRPr="00FB39A5" w14:paraId="7687F2A3" w14:textId="77777777" w:rsidTr="00FB39A5">
        <w:tblPrEx>
          <w:tblCellMar>
            <w:top w:w="0" w:type="dxa"/>
            <w:bottom w:w="0" w:type="dxa"/>
          </w:tblCellMar>
        </w:tblPrEx>
        <w:trPr>
          <w:trHeight w:val="191"/>
          <w:jc w:val="center"/>
        </w:trPr>
        <w:tc>
          <w:tcPr>
            <w:tcW w:w="860" w:type="dxa"/>
            <w:vAlign w:val="center"/>
          </w:tcPr>
          <w:p w14:paraId="6CE0E2C4"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Indonesia</w:t>
                </w:r>
              </w:smartTag>
            </w:smartTag>
          </w:p>
        </w:tc>
        <w:tc>
          <w:tcPr>
            <w:tcW w:w="859" w:type="dxa"/>
            <w:vAlign w:val="center"/>
          </w:tcPr>
          <w:p w14:paraId="0A685AF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60775108"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Youtefa</w:t>
                </w:r>
              </w:smartTag>
              <w:r w:rsidRPr="00FB39A5">
                <w:rPr>
                  <w:rFonts w:ascii="Arial" w:hAnsi="Arial" w:cs="Arial"/>
                  <w:sz w:val="12"/>
                  <w:szCs w:val="12"/>
                  <w:lang w:val="en-GB"/>
                </w:rPr>
                <w:t xml:space="preserve"> </w:t>
              </w:r>
              <w:smartTag w:uri="urn:schemas-microsoft-com:office:smarttags" w:element="PlaceType">
                <w:r w:rsidRPr="00FB39A5">
                  <w:rPr>
                    <w:rFonts w:ascii="Arial" w:hAnsi="Arial" w:cs="Arial"/>
                    <w:sz w:val="12"/>
                    <w:szCs w:val="12"/>
                    <w:lang w:val="en-GB"/>
                  </w:rPr>
                  <w:t>Bay</w:t>
                </w:r>
              </w:smartTag>
            </w:smartTag>
            <w:r w:rsidRPr="00FB39A5">
              <w:rPr>
                <w:rFonts w:ascii="Arial" w:hAnsi="Arial" w:cs="Arial"/>
                <w:sz w:val="12"/>
                <w:szCs w:val="12"/>
                <w:lang w:val="en-GB"/>
              </w:rPr>
              <w:t xml:space="preserve"> </w:t>
            </w:r>
          </w:p>
        </w:tc>
        <w:tc>
          <w:tcPr>
            <w:tcW w:w="974" w:type="dxa"/>
            <w:vAlign w:val="center"/>
          </w:tcPr>
          <w:p w14:paraId="5C6C97C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188.00</w:t>
            </w:r>
          </w:p>
        </w:tc>
        <w:tc>
          <w:tcPr>
            <w:tcW w:w="779" w:type="dxa"/>
            <w:vAlign w:val="center"/>
          </w:tcPr>
          <w:p w14:paraId="4D08123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N/A</w:t>
            </w:r>
          </w:p>
        </w:tc>
        <w:tc>
          <w:tcPr>
            <w:tcW w:w="889" w:type="dxa"/>
            <w:vAlign w:val="center"/>
          </w:tcPr>
          <w:p w14:paraId="49AF04F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N/A</w:t>
            </w:r>
          </w:p>
        </w:tc>
        <w:tc>
          <w:tcPr>
            <w:tcW w:w="874" w:type="dxa"/>
            <w:vAlign w:val="center"/>
          </w:tcPr>
          <w:p w14:paraId="5A5F75A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1B30E79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21,660.00</w:t>
            </w:r>
          </w:p>
        </w:tc>
        <w:tc>
          <w:tcPr>
            <w:tcW w:w="713" w:type="dxa"/>
            <w:vAlign w:val="center"/>
          </w:tcPr>
          <w:p w14:paraId="3E31BC5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151219D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7275F93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23,923.13</w:t>
            </w:r>
          </w:p>
        </w:tc>
        <w:tc>
          <w:tcPr>
            <w:tcW w:w="1171" w:type="dxa"/>
            <w:vAlign w:val="center"/>
          </w:tcPr>
          <w:p w14:paraId="32E7727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2.46</w:t>
            </w:r>
          </w:p>
        </w:tc>
        <w:tc>
          <w:tcPr>
            <w:tcW w:w="1480" w:type="dxa"/>
            <w:vAlign w:val="center"/>
          </w:tcPr>
          <w:p w14:paraId="741F799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462.63</w:t>
            </w:r>
          </w:p>
        </w:tc>
      </w:tr>
      <w:tr w:rsidR="00FB39A5" w:rsidRPr="00FB39A5" w14:paraId="7F952AC7" w14:textId="77777777" w:rsidTr="00FB39A5">
        <w:tblPrEx>
          <w:tblCellMar>
            <w:top w:w="0" w:type="dxa"/>
            <w:bottom w:w="0" w:type="dxa"/>
          </w:tblCellMar>
        </w:tblPrEx>
        <w:trPr>
          <w:trHeight w:val="191"/>
          <w:jc w:val="center"/>
        </w:trPr>
        <w:tc>
          <w:tcPr>
            <w:tcW w:w="860" w:type="dxa"/>
            <w:vAlign w:val="center"/>
          </w:tcPr>
          <w:p w14:paraId="58744954"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02E0DE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01D94B51"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Karawang, W. Java, Perhutani's property</w:t>
            </w:r>
          </w:p>
        </w:tc>
        <w:tc>
          <w:tcPr>
            <w:tcW w:w="974" w:type="dxa"/>
            <w:vAlign w:val="center"/>
          </w:tcPr>
          <w:p w14:paraId="082B0C7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1,292.40</w:t>
            </w:r>
          </w:p>
        </w:tc>
        <w:tc>
          <w:tcPr>
            <w:tcW w:w="779" w:type="dxa"/>
            <w:vAlign w:val="center"/>
          </w:tcPr>
          <w:p w14:paraId="7689EF4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N/A</w:t>
            </w:r>
          </w:p>
        </w:tc>
        <w:tc>
          <w:tcPr>
            <w:tcW w:w="889" w:type="dxa"/>
            <w:vAlign w:val="center"/>
          </w:tcPr>
          <w:p w14:paraId="24ACA03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N/A</w:t>
            </w:r>
          </w:p>
        </w:tc>
        <w:tc>
          <w:tcPr>
            <w:tcW w:w="874" w:type="dxa"/>
            <w:vAlign w:val="center"/>
          </w:tcPr>
          <w:p w14:paraId="0D8B292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2EB5DE4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364,000.00</w:t>
            </w:r>
          </w:p>
        </w:tc>
        <w:tc>
          <w:tcPr>
            <w:tcW w:w="713" w:type="dxa"/>
            <w:vAlign w:val="center"/>
          </w:tcPr>
          <w:p w14:paraId="121E583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3129FAF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328D7AD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402,032.25</w:t>
            </w:r>
          </w:p>
        </w:tc>
        <w:tc>
          <w:tcPr>
            <w:tcW w:w="1171" w:type="dxa"/>
            <w:vAlign w:val="center"/>
          </w:tcPr>
          <w:p w14:paraId="78ADA0C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41.35</w:t>
            </w:r>
          </w:p>
        </w:tc>
        <w:tc>
          <w:tcPr>
            <w:tcW w:w="1480" w:type="dxa"/>
            <w:vAlign w:val="center"/>
          </w:tcPr>
          <w:p w14:paraId="37FCFD7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53,446.32</w:t>
            </w:r>
          </w:p>
        </w:tc>
      </w:tr>
      <w:tr w:rsidR="00FB39A5" w:rsidRPr="00FB39A5" w14:paraId="7C026C72" w14:textId="77777777" w:rsidTr="00FB39A5">
        <w:tblPrEx>
          <w:tblCellMar>
            <w:top w:w="0" w:type="dxa"/>
            <w:bottom w:w="0" w:type="dxa"/>
          </w:tblCellMar>
        </w:tblPrEx>
        <w:trPr>
          <w:trHeight w:val="191"/>
          <w:jc w:val="center"/>
        </w:trPr>
        <w:tc>
          <w:tcPr>
            <w:tcW w:w="860" w:type="dxa"/>
            <w:vAlign w:val="center"/>
          </w:tcPr>
          <w:p w14:paraId="1896FEFE"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73C122E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5365B0F8"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Karawang, W. Java, Private property</w:t>
            </w:r>
          </w:p>
        </w:tc>
        <w:tc>
          <w:tcPr>
            <w:tcW w:w="974" w:type="dxa"/>
            <w:vAlign w:val="center"/>
          </w:tcPr>
          <w:p w14:paraId="7F42F00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400.00</w:t>
            </w:r>
          </w:p>
        </w:tc>
        <w:tc>
          <w:tcPr>
            <w:tcW w:w="779" w:type="dxa"/>
            <w:vAlign w:val="center"/>
          </w:tcPr>
          <w:p w14:paraId="45FF703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N/A</w:t>
            </w:r>
          </w:p>
        </w:tc>
        <w:tc>
          <w:tcPr>
            <w:tcW w:w="889" w:type="dxa"/>
            <w:vAlign w:val="center"/>
          </w:tcPr>
          <w:p w14:paraId="7381045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N/A</w:t>
            </w:r>
          </w:p>
        </w:tc>
        <w:tc>
          <w:tcPr>
            <w:tcW w:w="874" w:type="dxa"/>
            <w:vAlign w:val="center"/>
          </w:tcPr>
          <w:p w14:paraId="37912C7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5763B29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351,000.00</w:t>
            </w:r>
          </w:p>
        </w:tc>
        <w:tc>
          <w:tcPr>
            <w:tcW w:w="713" w:type="dxa"/>
            <w:vAlign w:val="center"/>
          </w:tcPr>
          <w:p w14:paraId="26C6164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1851851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0A6AF73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387,673.96</w:t>
            </w:r>
          </w:p>
        </w:tc>
        <w:tc>
          <w:tcPr>
            <w:tcW w:w="1171" w:type="dxa"/>
            <w:vAlign w:val="center"/>
          </w:tcPr>
          <w:p w14:paraId="449B574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39.88</w:t>
            </w:r>
          </w:p>
        </w:tc>
        <w:tc>
          <w:tcPr>
            <w:tcW w:w="1480" w:type="dxa"/>
            <w:vAlign w:val="center"/>
          </w:tcPr>
          <w:p w14:paraId="1670AF5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15,950.95</w:t>
            </w:r>
          </w:p>
        </w:tc>
      </w:tr>
      <w:tr w:rsidR="00FB39A5" w:rsidRPr="00FB39A5" w14:paraId="11FE4FB9" w14:textId="77777777" w:rsidTr="00FB39A5">
        <w:tblPrEx>
          <w:tblCellMar>
            <w:top w:w="0" w:type="dxa"/>
            <w:bottom w:w="0" w:type="dxa"/>
          </w:tblCellMar>
        </w:tblPrEx>
        <w:trPr>
          <w:trHeight w:val="191"/>
          <w:jc w:val="center"/>
        </w:trPr>
        <w:tc>
          <w:tcPr>
            <w:tcW w:w="860" w:type="dxa"/>
            <w:vAlign w:val="center"/>
          </w:tcPr>
          <w:p w14:paraId="04075032"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279C4E8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327D6C02"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Marisa</w:t>
                </w:r>
              </w:smartTag>
              <w:r w:rsidRPr="00FB39A5">
                <w:rPr>
                  <w:rFonts w:ascii="Arial" w:hAnsi="Arial" w:cs="Arial"/>
                  <w:sz w:val="12"/>
                  <w:szCs w:val="12"/>
                  <w:lang w:val="en-GB"/>
                </w:rPr>
                <w:t xml:space="preserve"> </w:t>
              </w:r>
              <w:smartTag w:uri="urn:schemas-microsoft-com:office:smarttags" w:element="PlaceName">
                <w:r w:rsidRPr="00FB39A5">
                  <w:rPr>
                    <w:rFonts w:ascii="Arial" w:hAnsi="Arial" w:cs="Arial"/>
                    <w:sz w:val="12"/>
                    <w:szCs w:val="12"/>
                    <w:lang w:val="en-GB"/>
                  </w:rPr>
                  <w:t>District</w:t>
                </w:r>
              </w:smartTag>
            </w:smartTag>
            <w:r w:rsidRPr="00FB39A5">
              <w:rPr>
                <w:rFonts w:ascii="Arial" w:hAnsi="Arial" w:cs="Arial"/>
                <w:sz w:val="12"/>
                <w:szCs w:val="12"/>
                <w:lang w:val="en-GB"/>
              </w:rPr>
              <w:t>, Gorontalo</w:t>
            </w:r>
          </w:p>
        </w:tc>
        <w:tc>
          <w:tcPr>
            <w:tcW w:w="974" w:type="dxa"/>
            <w:vAlign w:val="center"/>
          </w:tcPr>
          <w:p w14:paraId="10A54FD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5,332.00</w:t>
            </w:r>
          </w:p>
        </w:tc>
        <w:tc>
          <w:tcPr>
            <w:tcW w:w="779" w:type="dxa"/>
            <w:vAlign w:val="center"/>
          </w:tcPr>
          <w:p w14:paraId="30F486A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N/A</w:t>
            </w:r>
          </w:p>
        </w:tc>
        <w:tc>
          <w:tcPr>
            <w:tcW w:w="889" w:type="dxa"/>
            <w:vAlign w:val="center"/>
          </w:tcPr>
          <w:p w14:paraId="2FDF950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N/A</w:t>
            </w:r>
          </w:p>
        </w:tc>
        <w:tc>
          <w:tcPr>
            <w:tcW w:w="874" w:type="dxa"/>
            <w:vAlign w:val="center"/>
          </w:tcPr>
          <w:p w14:paraId="2F661DB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7B8FCBD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604,538.73</w:t>
            </w:r>
          </w:p>
        </w:tc>
        <w:tc>
          <w:tcPr>
            <w:tcW w:w="713" w:type="dxa"/>
            <w:vAlign w:val="center"/>
          </w:tcPr>
          <w:p w14:paraId="568B5AA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3B20D1C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751D238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667,703.48</w:t>
            </w:r>
          </w:p>
        </w:tc>
        <w:tc>
          <w:tcPr>
            <w:tcW w:w="1171" w:type="dxa"/>
            <w:vAlign w:val="center"/>
          </w:tcPr>
          <w:p w14:paraId="79E8B02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68.68</w:t>
            </w:r>
          </w:p>
        </w:tc>
        <w:tc>
          <w:tcPr>
            <w:tcW w:w="1480" w:type="dxa"/>
            <w:vAlign w:val="center"/>
          </w:tcPr>
          <w:p w14:paraId="6EBADEB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366,212.97</w:t>
            </w:r>
          </w:p>
        </w:tc>
      </w:tr>
      <w:tr w:rsidR="00FB39A5" w:rsidRPr="00FB39A5" w14:paraId="478A09F4" w14:textId="77777777" w:rsidTr="00FB39A5">
        <w:tblPrEx>
          <w:tblCellMar>
            <w:top w:w="0" w:type="dxa"/>
            <w:bottom w:w="0" w:type="dxa"/>
          </w:tblCellMar>
        </w:tblPrEx>
        <w:trPr>
          <w:trHeight w:val="191"/>
          <w:jc w:val="center"/>
        </w:trPr>
        <w:tc>
          <w:tcPr>
            <w:tcW w:w="860" w:type="dxa"/>
            <w:vAlign w:val="center"/>
          </w:tcPr>
          <w:p w14:paraId="644525D3"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4BC903A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1837" w:type="dxa"/>
            <w:vAlign w:val="center"/>
          </w:tcPr>
          <w:p w14:paraId="799D8B4F"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Segara Anakan </w:t>
            </w:r>
          </w:p>
        </w:tc>
        <w:tc>
          <w:tcPr>
            <w:tcW w:w="974" w:type="dxa"/>
            <w:vAlign w:val="center"/>
          </w:tcPr>
          <w:p w14:paraId="2BF642A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12,090.00</w:t>
            </w:r>
          </w:p>
        </w:tc>
        <w:tc>
          <w:tcPr>
            <w:tcW w:w="779" w:type="dxa"/>
            <w:vAlign w:val="center"/>
          </w:tcPr>
          <w:p w14:paraId="216791F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N/A</w:t>
            </w:r>
          </w:p>
        </w:tc>
        <w:tc>
          <w:tcPr>
            <w:tcW w:w="889" w:type="dxa"/>
            <w:vAlign w:val="center"/>
          </w:tcPr>
          <w:p w14:paraId="1D57FC1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N/A</w:t>
            </w:r>
          </w:p>
        </w:tc>
        <w:tc>
          <w:tcPr>
            <w:tcW w:w="874" w:type="dxa"/>
            <w:vAlign w:val="center"/>
          </w:tcPr>
          <w:p w14:paraId="536EB0C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5880CBD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24,311.00</w:t>
            </w:r>
          </w:p>
        </w:tc>
        <w:tc>
          <w:tcPr>
            <w:tcW w:w="713" w:type="dxa"/>
            <w:vAlign w:val="center"/>
          </w:tcPr>
          <w:p w14:paraId="6019A3A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8" w:type="dxa"/>
            <w:vAlign w:val="center"/>
          </w:tcPr>
          <w:p w14:paraId="52A7B9E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0794696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39,344.55</w:t>
            </w:r>
          </w:p>
        </w:tc>
        <w:tc>
          <w:tcPr>
            <w:tcW w:w="1171" w:type="dxa"/>
            <w:vAlign w:val="center"/>
          </w:tcPr>
          <w:p w14:paraId="639D5A8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4.05</w:t>
            </w:r>
          </w:p>
        </w:tc>
        <w:tc>
          <w:tcPr>
            <w:tcW w:w="1480" w:type="dxa"/>
            <w:vAlign w:val="center"/>
          </w:tcPr>
          <w:p w14:paraId="26A5F3E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48,929.51</w:t>
            </w:r>
          </w:p>
        </w:tc>
      </w:tr>
      <w:tr w:rsidR="00FB39A5" w:rsidRPr="00FB39A5" w14:paraId="1FA37307" w14:textId="77777777" w:rsidTr="00FB39A5">
        <w:tblPrEx>
          <w:tblCellMar>
            <w:top w:w="0" w:type="dxa"/>
            <w:bottom w:w="0" w:type="dxa"/>
          </w:tblCellMar>
        </w:tblPrEx>
        <w:trPr>
          <w:trHeight w:val="169"/>
          <w:jc w:val="center"/>
        </w:trPr>
        <w:tc>
          <w:tcPr>
            <w:tcW w:w="14030" w:type="dxa"/>
            <w:gridSpan w:val="13"/>
            <w:vAlign w:val="center"/>
          </w:tcPr>
          <w:p w14:paraId="15ACC237" w14:textId="77777777" w:rsidR="00FB39A5" w:rsidRPr="00FB39A5" w:rsidRDefault="00FB39A5" w:rsidP="00FB39A5">
            <w:pPr>
              <w:tabs>
                <w:tab w:val="num" w:leader="none" w:pos="1440"/>
              </w:tabs>
              <w:jc w:val="center"/>
              <w:outlineLvl w:val="1"/>
              <w:rPr>
                <w:rFonts w:ascii="Arial" w:hAnsi="Arial" w:cs="Arial"/>
                <w:b/>
                <w:bCs/>
                <w:sz w:val="18"/>
                <w:szCs w:val="18"/>
                <w:lang w:val="en-GB"/>
              </w:rPr>
            </w:pPr>
            <w:bookmarkStart w:id="30" w:name="_Toc163031984"/>
            <w:bookmarkStart w:id="31" w:name="_Toc163032111"/>
            <w:r w:rsidRPr="00FB39A5">
              <w:rPr>
                <w:rFonts w:ascii="Arial" w:hAnsi="Arial" w:cs="Arial"/>
                <w:b/>
                <w:bCs/>
                <w:sz w:val="18"/>
                <w:szCs w:val="18"/>
                <w:lang w:val="en-GB"/>
              </w:rPr>
              <w:t>Extraction for Medicine Values per hectare</w:t>
            </w:r>
            <w:bookmarkEnd w:id="30"/>
            <w:bookmarkEnd w:id="31"/>
          </w:p>
        </w:tc>
      </w:tr>
      <w:tr w:rsidR="00FB39A5" w:rsidRPr="00FB39A5" w14:paraId="4EC54991" w14:textId="77777777" w:rsidTr="00FB39A5">
        <w:tblPrEx>
          <w:tblCellMar>
            <w:top w:w="0" w:type="dxa"/>
            <w:bottom w:w="0" w:type="dxa"/>
          </w:tblCellMar>
        </w:tblPrEx>
        <w:trPr>
          <w:trHeight w:val="169"/>
          <w:jc w:val="center"/>
        </w:trPr>
        <w:tc>
          <w:tcPr>
            <w:tcW w:w="860" w:type="dxa"/>
            <w:vAlign w:val="center"/>
          </w:tcPr>
          <w:p w14:paraId="5C808C1D"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Indonesia</w:t>
                </w:r>
              </w:smartTag>
            </w:smartTag>
          </w:p>
        </w:tc>
        <w:tc>
          <w:tcPr>
            <w:tcW w:w="859" w:type="dxa"/>
            <w:vAlign w:val="center"/>
          </w:tcPr>
          <w:p w14:paraId="4A8C13B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7ADC615D"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Marisa</w:t>
                </w:r>
              </w:smartTag>
              <w:r w:rsidRPr="00FB39A5">
                <w:rPr>
                  <w:rFonts w:ascii="Arial" w:hAnsi="Arial" w:cs="Arial"/>
                  <w:sz w:val="12"/>
                  <w:szCs w:val="12"/>
                  <w:lang w:val="en-GB"/>
                </w:rPr>
                <w:t xml:space="preserve"> </w:t>
              </w:r>
              <w:smartTag w:uri="urn:schemas-microsoft-com:office:smarttags" w:element="PlaceName">
                <w:r w:rsidRPr="00FB39A5">
                  <w:rPr>
                    <w:rFonts w:ascii="Arial" w:hAnsi="Arial" w:cs="Arial"/>
                    <w:sz w:val="12"/>
                    <w:szCs w:val="12"/>
                    <w:lang w:val="en-GB"/>
                  </w:rPr>
                  <w:t>District</w:t>
                </w:r>
              </w:smartTag>
            </w:smartTag>
            <w:r w:rsidRPr="00FB39A5">
              <w:rPr>
                <w:rFonts w:ascii="Arial" w:hAnsi="Arial" w:cs="Arial"/>
                <w:sz w:val="12"/>
                <w:szCs w:val="12"/>
                <w:lang w:val="en-GB"/>
              </w:rPr>
              <w:t>, Gorontalo</w:t>
            </w:r>
          </w:p>
        </w:tc>
        <w:tc>
          <w:tcPr>
            <w:tcW w:w="974" w:type="dxa"/>
            <w:vAlign w:val="center"/>
          </w:tcPr>
          <w:p w14:paraId="7390147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5,332.00</w:t>
            </w:r>
          </w:p>
        </w:tc>
        <w:tc>
          <w:tcPr>
            <w:tcW w:w="779" w:type="dxa"/>
            <w:vAlign w:val="center"/>
          </w:tcPr>
          <w:p w14:paraId="796EC1D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20.00</w:t>
            </w:r>
          </w:p>
        </w:tc>
        <w:tc>
          <w:tcPr>
            <w:tcW w:w="889" w:type="dxa"/>
            <w:vAlign w:val="center"/>
          </w:tcPr>
          <w:p w14:paraId="2910665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155,125.00</w:t>
            </w:r>
          </w:p>
        </w:tc>
        <w:tc>
          <w:tcPr>
            <w:tcW w:w="874" w:type="dxa"/>
            <w:vAlign w:val="center"/>
          </w:tcPr>
          <w:p w14:paraId="7533322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4819045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3,102,500.00</w:t>
            </w:r>
          </w:p>
        </w:tc>
        <w:tc>
          <w:tcPr>
            <w:tcW w:w="713" w:type="dxa"/>
            <w:vAlign w:val="center"/>
          </w:tcPr>
          <w:p w14:paraId="02C8AB1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675771C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20B3FD5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3,426,662.25</w:t>
            </w:r>
          </w:p>
        </w:tc>
        <w:tc>
          <w:tcPr>
            <w:tcW w:w="1171" w:type="dxa"/>
            <w:vAlign w:val="center"/>
          </w:tcPr>
          <w:p w14:paraId="340BBA1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352.48</w:t>
            </w:r>
          </w:p>
        </w:tc>
        <w:tc>
          <w:tcPr>
            <w:tcW w:w="1480" w:type="dxa"/>
            <w:vAlign w:val="center"/>
          </w:tcPr>
          <w:p w14:paraId="40EFE8D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1,879,409.33</w:t>
            </w:r>
          </w:p>
        </w:tc>
      </w:tr>
      <w:tr w:rsidR="00FB39A5" w:rsidRPr="00FB39A5" w14:paraId="1A18F401" w14:textId="77777777" w:rsidTr="00FB39A5">
        <w:tblPrEx>
          <w:tblCellMar>
            <w:top w:w="0" w:type="dxa"/>
            <w:bottom w:w="0" w:type="dxa"/>
          </w:tblCellMar>
        </w:tblPrEx>
        <w:trPr>
          <w:trHeight w:val="191"/>
          <w:jc w:val="center"/>
        </w:trPr>
        <w:tc>
          <w:tcPr>
            <w:tcW w:w="860" w:type="dxa"/>
            <w:vAlign w:val="center"/>
          </w:tcPr>
          <w:p w14:paraId="01A40D02"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D93A43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1837" w:type="dxa"/>
            <w:vAlign w:val="center"/>
          </w:tcPr>
          <w:p w14:paraId="740FF5C6"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TNL Bunaken </w:t>
            </w:r>
          </w:p>
        </w:tc>
        <w:tc>
          <w:tcPr>
            <w:tcW w:w="974" w:type="dxa"/>
            <w:vAlign w:val="center"/>
          </w:tcPr>
          <w:p w14:paraId="235494D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2,689.00</w:t>
            </w:r>
          </w:p>
        </w:tc>
        <w:tc>
          <w:tcPr>
            <w:tcW w:w="779" w:type="dxa"/>
            <w:vAlign w:val="center"/>
          </w:tcPr>
          <w:p w14:paraId="7EDDFD1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w:t>
            </w:r>
          </w:p>
        </w:tc>
        <w:tc>
          <w:tcPr>
            <w:tcW w:w="889" w:type="dxa"/>
            <w:vAlign w:val="center"/>
          </w:tcPr>
          <w:p w14:paraId="2543ACD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92,611.70</w:t>
            </w:r>
          </w:p>
        </w:tc>
        <w:tc>
          <w:tcPr>
            <w:tcW w:w="874" w:type="dxa"/>
            <w:vAlign w:val="center"/>
          </w:tcPr>
          <w:p w14:paraId="304B224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4D6FCE8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92,611.70</w:t>
            </w:r>
          </w:p>
        </w:tc>
        <w:tc>
          <w:tcPr>
            <w:tcW w:w="713" w:type="dxa"/>
            <w:vAlign w:val="center"/>
          </w:tcPr>
          <w:p w14:paraId="5552A96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79.95</w:t>
            </w:r>
          </w:p>
        </w:tc>
        <w:tc>
          <w:tcPr>
            <w:tcW w:w="958" w:type="dxa"/>
            <w:vAlign w:val="center"/>
          </w:tcPr>
          <w:p w14:paraId="5F3962C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37904DE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115,837.02</w:t>
            </w:r>
          </w:p>
        </w:tc>
        <w:tc>
          <w:tcPr>
            <w:tcW w:w="1171" w:type="dxa"/>
            <w:vAlign w:val="center"/>
          </w:tcPr>
          <w:p w14:paraId="360890C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11.92</w:t>
            </w:r>
          </w:p>
        </w:tc>
        <w:tc>
          <w:tcPr>
            <w:tcW w:w="1480" w:type="dxa"/>
            <w:vAlign w:val="center"/>
          </w:tcPr>
          <w:p w14:paraId="01A7B6B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32,040.41</w:t>
            </w:r>
          </w:p>
        </w:tc>
      </w:tr>
      <w:tr w:rsidR="00FB39A5" w:rsidRPr="00FB39A5" w14:paraId="4FB4DCA7" w14:textId="77777777" w:rsidTr="00FB39A5">
        <w:tblPrEx>
          <w:tblCellMar>
            <w:top w:w="0" w:type="dxa"/>
            <w:bottom w:w="0" w:type="dxa"/>
          </w:tblCellMar>
        </w:tblPrEx>
        <w:trPr>
          <w:trHeight w:val="153"/>
          <w:jc w:val="center"/>
        </w:trPr>
        <w:tc>
          <w:tcPr>
            <w:tcW w:w="14030" w:type="dxa"/>
            <w:gridSpan w:val="13"/>
            <w:vAlign w:val="center"/>
          </w:tcPr>
          <w:p w14:paraId="4A559152" w14:textId="77777777" w:rsidR="00FB39A5" w:rsidRPr="00FB39A5" w:rsidRDefault="00FB39A5" w:rsidP="00FB39A5">
            <w:pPr>
              <w:tabs>
                <w:tab w:val="num" w:leader="none" w:pos="1440"/>
              </w:tabs>
              <w:jc w:val="center"/>
              <w:outlineLvl w:val="1"/>
              <w:rPr>
                <w:rFonts w:ascii="Arial" w:hAnsi="Arial" w:cs="Arial"/>
                <w:b/>
                <w:bCs/>
                <w:sz w:val="18"/>
                <w:szCs w:val="18"/>
                <w:lang w:val="en-GB"/>
              </w:rPr>
            </w:pPr>
            <w:bookmarkStart w:id="32" w:name="_Toc163031985"/>
            <w:bookmarkStart w:id="33" w:name="_Toc163032112"/>
            <w:r w:rsidRPr="00FB39A5">
              <w:rPr>
                <w:rFonts w:ascii="Arial" w:hAnsi="Arial" w:cs="Arial"/>
                <w:b/>
                <w:bCs/>
                <w:sz w:val="18"/>
                <w:szCs w:val="18"/>
                <w:lang w:val="en-GB"/>
              </w:rPr>
              <w:t>Fish capture Kg</w:t>
            </w:r>
            <w:bookmarkEnd w:id="32"/>
            <w:bookmarkEnd w:id="33"/>
          </w:p>
        </w:tc>
      </w:tr>
      <w:tr w:rsidR="00FB39A5" w:rsidRPr="00FB39A5" w14:paraId="633CD3E6" w14:textId="77777777" w:rsidTr="00FB39A5">
        <w:tblPrEx>
          <w:tblCellMar>
            <w:top w:w="0" w:type="dxa"/>
            <w:bottom w:w="0" w:type="dxa"/>
          </w:tblCellMar>
        </w:tblPrEx>
        <w:trPr>
          <w:trHeight w:val="75"/>
          <w:jc w:val="center"/>
        </w:trPr>
        <w:tc>
          <w:tcPr>
            <w:tcW w:w="860" w:type="dxa"/>
            <w:vAlign w:val="center"/>
          </w:tcPr>
          <w:p w14:paraId="6881DD5D"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China</w:t>
                </w:r>
              </w:smartTag>
            </w:smartTag>
          </w:p>
        </w:tc>
        <w:tc>
          <w:tcPr>
            <w:tcW w:w="859" w:type="dxa"/>
            <w:vAlign w:val="center"/>
          </w:tcPr>
          <w:p w14:paraId="59162BC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1837" w:type="dxa"/>
            <w:vAlign w:val="center"/>
          </w:tcPr>
          <w:p w14:paraId="429B2A58"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Fangchenggang - wild fish</w:t>
            </w:r>
          </w:p>
        </w:tc>
        <w:tc>
          <w:tcPr>
            <w:tcW w:w="974" w:type="dxa"/>
            <w:vAlign w:val="center"/>
          </w:tcPr>
          <w:p w14:paraId="55B447C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1,414.50</w:t>
            </w:r>
          </w:p>
        </w:tc>
        <w:tc>
          <w:tcPr>
            <w:tcW w:w="779" w:type="dxa"/>
            <w:vAlign w:val="center"/>
          </w:tcPr>
          <w:p w14:paraId="0031DCD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500.00</w:t>
            </w:r>
          </w:p>
        </w:tc>
        <w:tc>
          <w:tcPr>
            <w:tcW w:w="889" w:type="dxa"/>
            <w:vAlign w:val="center"/>
          </w:tcPr>
          <w:p w14:paraId="13F28F4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2.85</w:t>
            </w:r>
          </w:p>
        </w:tc>
        <w:tc>
          <w:tcPr>
            <w:tcW w:w="874" w:type="dxa"/>
            <w:vAlign w:val="center"/>
          </w:tcPr>
          <w:p w14:paraId="5B7083B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CNY</w:t>
            </w:r>
          </w:p>
        </w:tc>
        <w:tc>
          <w:tcPr>
            <w:tcW w:w="1187" w:type="dxa"/>
            <w:vAlign w:val="center"/>
          </w:tcPr>
          <w:p w14:paraId="06791C2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1,427.00</w:t>
            </w:r>
          </w:p>
        </w:tc>
        <w:tc>
          <w:tcPr>
            <w:tcW w:w="713" w:type="dxa"/>
            <w:vAlign w:val="center"/>
          </w:tcPr>
          <w:p w14:paraId="6F3939E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93.38</w:t>
            </w:r>
          </w:p>
        </w:tc>
        <w:tc>
          <w:tcPr>
            <w:tcW w:w="958" w:type="dxa"/>
            <w:vAlign w:val="center"/>
          </w:tcPr>
          <w:p w14:paraId="016F9FA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8.20</w:t>
            </w:r>
          </w:p>
        </w:tc>
        <w:tc>
          <w:tcPr>
            <w:tcW w:w="1449" w:type="dxa"/>
            <w:vAlign w:val="center"/>
          </w:tcPr>
          <w:p w14:paraId="324B79E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1,528.16</w:t>
            </w:r>
          </w:p>
        </w:tc>
        <w:tc>
          <w:tcPr>
            <w:tcW w:w="1171" w:type="dxa"/>
            <w:vAlign w:val="center"/>
          </w:tcPr>
          <w:p w14:paraId="1490059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186.29</w:t>
            </w:r>
          </w:p>
        </w:tc>
        <w:tc>
          <w:tcPr>
            <w:tcW w:w="1480" w:type="dxa"/>
            <w:vAlign w:val="center"/>
          </w:tcPr>
          <w:p w14:paraId="7432FDB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263,502.65</w:t>
            </w:r>
          </w:p>
        </w:tc>
      </w:tr>
      <w:tr w:rsidR="00FB39A5" w:rsidRPr="00FB39A5" w14:paraId="55405AC6" w14:textId="77777777" w:rsidTr="00FB39A5">
        <w:tblPrEx>
          <w:tblCellMar>
            <w:top w:w="0" w:type="dxa"/>
            <w:bottom w:w="0" w:type="dxa"/>
          </w:tblCellMar>
        </w:tblPrEx>
        <w:trPr>
          <w:trHeight w:val="191"/>
          <w:jc w:val="center"/>
        </w:trPr>
        <w:tc>
          <w:tcPr>
            <w:tcW w:w="860" w:type="dxa"/>
            <w:vAlign w:val="center"/>
          </w:tcPr>
          <w:p w14:paraId="2F9A026F"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Indonesia</w:t>
                </w:r>
              </w:smartTag>
            </w:smartTag>
          </w:p>
        </w:tc>
        <w:tc>
          <w:tcPr>
            <w:tcW w:w="859" w:type="dxa"/>
            <w:vAlign w:val="center"/>
          </w:tcPr>
          <w:p w14:paraId="425C3B0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67519285"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Mamuju </w:t>
            </w:r>
          </w:p>
        </w:tc>
        <w:tc>
          <w:tcPr>
            <w:tcW w:w="974" w:type="dxa"/>
            <w:vAlign w:val="center"/>
          </w:tcPr>
          <w:p w14:paraId="3F6EF8B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976.00</w:t>
            </w:r>
          </w:p>
        </w:tc>
        <w:tc>
          <w:tcPr>
            <w:tcW w:w="779" w:type="dxa"/>
            <w:vAlign w:val="center"/>
          </w:tcPr>
          <w:p w14:paraId="1F49779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890.93</w:t>
            </w:r>
          </w:p>
        </w:tc>
        <w:tc>
          <w:tcPr>
            <w:tcW w:w="889" w:type="dxa"/>
            <w:vAlign w:val="center"/>
          </w:tcPr>
          <w:p w14:paraId="607E1BF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2,442.40</w:t>
            </w:r>
          </w:p>
        </w:tc>
        <w:tc>
          <w:tcPr>
            <w:tcW w:w="874" w:type="dxa"/>
            <w:vAlign w:val="center"/>
          </w:tcPr>
          <w:p w14:paraId="6103EEC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6EED3C6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2,176,000.00</w:t>
            </w:r>
          </w:p>
        </w:tc>
        <w:tc>
          <w:tcPr>
            <w:tcW w:w="713" w:type="dxa"/>
            <w:vAlign w:val="center"/>
          </w:tcPr>
          <w:p w14:paraId="1E327CD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11EC9DC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3D6D81F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2,176,000.00</w:t>
            </w:r>
          </w:p>
        </w:tc>
        <w:tc>
          <w:tcPr>
            <w:tcW w:w="1171" w:type="dxa"/>
            <w:vAlign w:val="center"/>
          </w:tcPr>
          <w:p w14:paraId="2D1F635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223.83</w:t>
            </w:r>
          </w:p>
        </w:tc>
        <w:tc>
          <w:tcPr>
            <w:tcW w:w="1480" w:type="dxa"/>
            <w:vAlign w:val="center"/>
          </w:tcPr>
          <w:p w14:paraId="28335B3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218,458.35</w:t>
            </w:r>
          </w:p>
        </w:tc>
      </w:tr>
      <w:tr w:rsidR="00FB39A5" w:rsidRPr="00FB39A5" w14:paraId="6E66629E" w14:textId="77777777" w:rsidTr="00FB39A5">
        <w:tblPrEx>
          <w:tblCellMar>
            <w:top w:w="0" w:type="dxa"/>
            <w:bottom w:w="0" w:type="dxa"/>
          </w:tblCellMar>
        </w:tblPrEx>
        <w:trPr>
          <w:trHeight w:val="191"/>
          <w:jc w:val="center"/>
        </w:trPr>
        <w:tc>
          <w:tcPr>
            <w:tcW w:w="860" w:type="dxa"/>
            <w:vAlign w:val="center"/>
          </w:tcPr>
          <w:p w14:paraId="20E7446F"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63391C6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2102AF13"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Donggala </w:t>
            </w:r>
          </w:p>
        </w:tc>
        <w:tc>
          <w:tcPr>
            <w:tcW w:w="974" w:type="dxa"/>
            <w:vAlign w:val="center"/>
          </w:tcPr>
          <w:p w14:paraId="7F032CB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18,300.00</w:t>
            </w:r>
          </w:p>
        </w:tc>
        <w:tc>
          <w:tcPr>
            <w:tcW w:w="779" w:type="dxa"/>
            <w:vAlign w:val="center"/>
          </w:tcPr>
          <w:p w14:paraId="37D746E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1,246.95</w:t>
            </w:r>
          </w:p>
        </w:tc>
        <w:tc>
          <w:tcPr>
            <w:tcW w:w="889" w:type="dxa"/>
            <w:vAlign w:val="center"/>
          </w:tcPr>
          <w:p w14:paraId="58C76D9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1,346.49</w:t>
            </w:r>
          </w:p>
        </w:tc>
        <w:tc>
          <w:tcPr>
            <w:tcW w:w="874" w:type="dxa"/>
            <w:vAlign w:val="center"/>
          </w:tcPr>
          <w:p w14:paraId="75C3649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63F6B39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1,679,000.00</w:t>
            </w:r>
          </w:p>
        </w:tc>
        <w:tc>
          <w:tcPr>
            <w:tcW w:w="713" w:type="dxa"/>
            <w:vAlign w:val="center"/>
          </w:tcPr>
          <w:p w14:paraId="0A53C33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4A75641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148D559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1,679,000.00</w:t>
            </w:r>
          </w:p>
        </w:tc>
        <w:tc>
          <w:tcPr>
            <w:tcW w:w="1171" w:type="dxa"/>
            <w:tcBorders>
              <w:bottom w:val="single" w:sz="2" w:space="0" w:color="000000"/>
            </w:tcBorders>
            <w:vAlign w:val="center"/>
          </w:tcPr>
          <w:p w14:paraId="0D1870A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172.71</w:t>
            </w:r>
          </w:p>
        </w:tc>
        <w:tc>
          <w:tcPr>
            <w:tcW w:w="1480" w:type="dxa"/>
            <w:vAlign w:val="center"/>
          </w:tcPr>
          <w:p w14:paraId="7DA6430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3,160,543.15</w:t>
            </w:r>
          </w:p>
        </w:tc>
      </w:tr>
      <w:tr w:rsidR="00FB39A5" w:rsidRPr="00FB39A5" w14:paraId="7006A344" w14:textId="77777777" w:rsidTr="00FB39A5">
        <w:tblPrEx>
          <w:tblCellMar>
            <w:top w:w="0" w:type="dxa"/>
            <w:bottom w:w="0" w:type="dxa"/>
          </w:tblCellMar>
        </w:tblPrEx>
        <w:trPr>
          <w:trHeight w:val="75"/>
          <w:jc w:val="center"/>
        </w:trPr>
        <w:tc>
          <w:tcPr>
            <w:tcW w:w="860" w:type="dxa"/>
            <w:vAlign w:val="center"/>
          </w:tcPr>
          <w:p w14:paraId="68E249FF"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4C3DAC8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75119328"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Youtefa</w:t>
                </w:r>
              </w:smartTag>
              <w:r w:rsidRPr="00FB39A5">
                <w:rPr>
                  <w:rFonts w:ascii="Arial" w:hAnsi="Arial" w:cs="Arial"/>
                  <w:sz w:val="12"/>
                  <w:szCs w:val="12"/>
                  <w:lang w:val="en-GB"/>
                </w:rPr>
                <w:t xml:space="preserve"> </w:t>
              </w:r>
              <w:smartTag w:uri="urn:schemas-microsoft-com:office:smarttags" w:element="PlaceType">
                <w:r w:rsidRPr="00FB39A5">
                  <w:rPr>
                    <w:rFonts w:ascii="Arial" w:hAnsi="Arial" w:cs="Arial"/>
                    <w:sz w:val="12"/>
                    <w:szCs w:val="12"/>
                    <w:lang w:val="en-GB"/>
                  </w:rPr>
                  <w:t>Bay</w:t>
                </w:r>
              </w:smartTag>
            </w:smartTag>
            <w:r w:rsidRPr="00FB39A5">
              <w:rPr>
                <w:rFonts w:ascii="Arial" w:hAnsi="Arial" w:cs="Arial"/>
                <w:sz w:val="12"/>
                <w:szCs w:val="12"/>
                <w:lang w:val="en-GB"/>
              </w:rPr>
              <w:t xml:space="preserve"> </w:t>
            </w:r>
          </w:p>
        </w:tc>
        <w:tc>
          <w:tcPr>
            <w:tcW w:w="974" w:type="dxa"/>
            <w:vAlign w:val="center"/>
          </w:tcPr>
          <w:p w14:paraId="3E4761F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188.00</w:t>
            </w:r>
          </w:p>
        </w:tc>
        <w:tc>
          <w:tcPr>
            <w:tcW w:w="779" w:type="dxa"/>
            <w:vAlign w:val="center"/>
          </w:tcPr>
          <w:p w14:paraId="5386F58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w:t>
            </w:r>
          </w:p>
        </w:tc>
        <w:tc>
          <w:tcPr>
            <w:tcW w:w="889" w:type="dxa"/>
            <w:vAlign w:val="center"/>
          </w:tcPr>
          <w:p w14:paraId="7B856AD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w:t>
            </w:r>
          </w:p>
        </w:tc>
        <w:tc>
          <w:tcPr>
            <w:tcW w:w="874" w:type="dxa"/>
            <w:vAlign w:val="center"/>
          </w:tcPr>
          <w:p w14:paraId="485FD80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1FEF410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25,425,040.00</w:t>
            </w:r>
          </w:p>
        </w:tc>
        <w:tc>
          <w:tcPr>
            <w:tcW w:w="713" w:type="dxa"/>
            <w:vAlign w:val="center"/>
          </w:tcPr>
          <w:p w14:paraId="389DD9F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1ABFDCA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4D81D40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28,081,555.11</w:t>
            </w:r>
          </w:p>
        </w:tc>
        <w:tc>
          <w:tcPr>
            <w:tcW w:w="1171" w:type="dxa"/>
            <w:tcBorders>
              <w:top w:val="single" w:sz="2" w:space="0" w:color="000000"/>
              <w:bottom w:val="single" w:sz="2" w:space="0" w:color="000000"/>
            </w:tcBorders>
            <w:shd w:val="clear" w:color="FFFF00" w:fill="D9D9D9"/>
            <w:vAlign w:val="center"/>
          </w:tcPr>
          <w:p w14:paraId="08B0021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2,888.56</w:t>
            </w:r>
          </w:p>
        </w:tc>
        <w:tc>
          <w:tcPr>
            <w:tcW w:w="1480" w:type="dxa"/>
            <w:vAlign w:val="center"/>
          </w:tcPr>
          <w:p w14:paraId="634BDA6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543,048.90</w:t>
            </w:r>
          </w:p>
        </w:tc>
      </w:tr>
      <w:tr w:rsidR="00FB39A5" w:rsidRPr="00FB39A5" w14:paraId="5711F8F6" w14:textId="77777777" w:rsidTr="00FB39A5">
        <w:tblPrEx>
          <w:tblCellMar>
            <w:top w:w="0" w:type="dxa"/>
            <w:bottom w:w="0" w:type="dxa"/>
          </w:tblCellMar>
        </w:tblPrEx>
        <w:trPr>
          <w:trHeight w:val="191"/>
          <w:jc w:val="center"/>
        </w:trPr>
        <w:tc>
          <w:tcPr>
            <w:tcW w:w="860" w:type="dxa"/>
            <w:vAlign w:val="center"/>
          </w:tcPr>
          <w:p w14:paraId="49B25F97"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5B09EF4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272E802B"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Karawang, W. Java, Perhutani's property</w:t>
            </w:r>
          </w:p>
        </w:tc>
        <w:tc>
          <w:tcPr>
            <w:tcW w:w="974" w:type="dxa"/>
            <w:vAlign w:val="center"/>
          </w:tcPr>
          <w:p w14:paraId="3DF7BCA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1,292.40</w:t>
            </w:r>
          </w:p>
        </w:tc>
        <w:tc>
          <w:tcPr>
            <w:tcW w:w="779" w:type="dxa"/>
            <w:vAlign w:val="center"/>
          </w:tcPr>
          <w:p w14:paraId="640C192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1,262.17</w:t>
            </w:r>
          </w:p>
        </w:tc>
        <w:tc>
          <w:tcPr>
            <w:tcW w:w="889" w:type="dxa"/>
            <w:vAlign w:val="center"/>
          </w:tcPr>
          <w:p w14:paraId="3F2D842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780.40</w:t>
            </w:r>
          </w:p>
        </w:tc>
        <w:tc>
          <w:tcPr>
            <w:tcW w:w="874" w:type="dxa"/>
            <w:vAlign w:val="center"/>
          </w:tcPr>
          <w:p w14:paraId="50345CC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03D750F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985,000.00</w:t>
            </w:r>
          </w:p>
        </w:tc>
        <w:tc>
          <w:tcPr>
            <w:tcW w:w="713" w:type="dxa"/>
            <w:vAlign w:val="center"/>
          </w:tcPr>
          <w:p w14:paraId="764A39C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1897283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79ED896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1,087,916.94</w:t>
            </w:r>
          </w:p>
        </w:tc>
        <w:tc>
          <w:tcPr>
            <w:tcW w:w="1171" w:type="dxa"/>
            <w:tcBorders>
              <w:top w:val="single" w:sz="2" w:space="0" w:color="000000"/>
            </w:tcBorders>
            <w:vAlign w:val="center"/>
          </w:tcPr>
          <w:p w14:paraId="28BC6D8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111.91</w:t>
            </w:r>
          </w:p>
        </w:tc>
        <w:tc>
          <w:tcPr>
            <w:tcW w:w="1480" w:type="dxa"/>
            <w:vAlign w:val="center"/>
          </w:tcPr>
          <w:p w14:paraId="5FC3013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144,628.08</w:t>
            </w:r>
          </w:p>
        </w:tc>
      </w:tr>
      <w:tr w:rsidR="00FB39A5" w:rsidRPr="00FB39A5" w14:paraId="22493908" w14:textId="77777777" w:rsidTr="00FB39A5">
        <w:tblPrEx>
          <w:tblCellMar>
            <w:top w:w="0" w:type="dxa"/>
            <w:bottom w:w="0" w:type="dxa"/>
          </w:tblCellMar>
        </w:tblPrEx>
        <w:trPr>
          <w:trHeight w:val="191"/>
          <w:jc w:val="center"/>
        </w:trPr>
        <w:tc>
          <w:tcPr>
            <w:tcW w:w="860" w:type="dxa"/>
            <w:vAlign w:val="center"/>
          </w:tcPr>
          <w:p w14:paraId="6788E3BC"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995927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4A21B487"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Karawang, W. Java, Private property</w:t>
            </w:r>
          </w:p>
        </w:tc>
        <w:tc>
          <w:tcPr>
            <w:tcW w:w="974" w:type="dxa"/>
            <w:vAlign w:val="center"/>
          </w:tcPr>
          <w:p w14:paraId="0A17873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400.00</w:t>
            </w:r>
          </w:p>
        </w:tc>
        <w:tc>
          <w:tcPr>
            <w:tcW w:w="779" w:type="dxa"/>
            <w:vAlign w:val="center"/>
          </w:tcPr>
          <w:p w14:paraId="43AA4F1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410.54</w:t>
            </w:r>
          </w:p>
        </w:tc>
        <w:tc>
          <w:tcPr>
            <w:tcW w:w="889" w:type="dxa"/>
            <w:vAlign w:val="center"/>
          </w:tcPr>
          <w:p w14:paraId="77A8516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2,252.67</w:t>
            </w:r>
          </w:p>
        </w:tc>
        <w:tc>
          <w:tcPr>
            <w:tcW w:w="874" w:type="dxa"/>
            <w:vAlign w:val="center"/>
          </w:tcPr>
          <w:p w14:paraId="0F48FEB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7E619CC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924,800.00</w:t>
            </w:r>
          </w:p>
        </w:tc>
        <w:tc>
          <w:tcPr>
            <w:tcW w:w="713" w:type="dxa"/>
            <w:vAlign w:val="center"/>
          </w:tcPr>
          <w:p w14:paraId="01C7A13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62813DD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132EEA3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1,021,426.99</w:t>
            </w:r>
          </w:p>
        </w:tc>
        <w:tc>
          <w:tcPr>
            <w:tcW w:w="1171" w:type="dxa"/>
            <w:vAlign w:val="center"/>
          </w:tcPr>
          <w:p w14:paraId="09DBB01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105.07</w:t>
            </w:r>
          </w:p>
        </w:tc>
        <w:tc>
          <w:tcPr>
            <w:tcW w:w="1480" w:type="dxa"/>
            <w:vAlign w:val="center"/>
          </w:tcPr>
          <w:p w14:paraId="4BFF757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42,026.89</w:t>
            </w:r>
          </w:p>
        </w:tc>
      </w:tr>
      <w:tr w:rsidR="00FB39A5" w:rsidRPr="00FB39A5" w14:paraId="5CE0F2ED" w14:textId="77777777" w:rsidTr="00FB39A5">
        <w:tblPrEx>
          <w:tblCellMar>
            <w:top w:w="0" w:type="dxa"/>
            <w:bottom w:w="0" w:type="dxa"/>
          </w:tblCellMar>
        </w:tblPrEx>
        <w:trPr>
          <w:trHeight w:val="191"/>
          <w:jc w:val="center"/>
        </w:trPr>
        <w:tc>
          <w:tcPr>
            <w:tcW w:w="860" w:type="dxa"/>
            <w:vAlign w:val="center"/>
          </w:tcPr>
          <w:p w14:paraId="6E1DBE99"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625D37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742F4F6E"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Pondok Bali, Subang</w:t>
            </w:r>
          </w:p>
        </w:tc>
        <w:tc>
          <w:tcPr>
            <w:tcW w:w="974" w:type="dxa"/>
            <w:vAlign w:val="center"/>
          </w:tcPr>
          <w:p w14:paraId="560713D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225.45</w:t>
            </w:r>
          </w:p>
        </w:tc>
        <w:tc>
          <w:tcPr>
            <w:tcW w:w="779" w:type="dxa"/>
            <w:vAlign w:val="center"/>
          </w:tcPr>
          <w:p w14:paraId="688FFF4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225.33</w:t>
            </w:r>
          </w:p>
        </w:tc>
        <w:tc>
          <w:tcPr>
            <w:tcW w:w="889" w:type="dxa"/>
            <w:vAlign w:val="center"/>
          </w:tcPr>
          <w:p w14:paraId="77415C7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5,000.00</w:t>
            </w:r>
          </w:p>
        </w:tc>
        <w:tc>
          <w:tcPr>
            <w:tcW w:w="874" w:type="dxa"/>
            <w:vAlign w:val="center"/>
          </w:tcPr>
          <w:p w14:paraId="2186713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3DB144C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1,126,650.00</w:t>
            </w:r>
          </w:p>
        </w:tc>
        <w:tc>
          <w:tcPr>
            <w:tcW w:w="713" w:type="dxa"/>
            <w:vAlign w:val="center"/>
          </w:tcPr>
          <w:p w14:paraId="54A8A0A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6427BAA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6331456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1,126,650.00</w:t>
            </w:r>
          </w:p>
        </w:tc>
        <w:tc>
          <w:tcPr>
            <w:tcW w:w="1171" w:type="dxa"/>
            <w:tcBorders>
              <w:bottom w:val="single" w:sz="2" w:space="0" w:color="000000"/>
            </w:tcBorders>
            <w:vAlign w:val="center"/>
          </w:tcPr>
          <w:p w14:paraId="74416AD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115.89</w:t>
            </w:r>
          </w:p>
        </w:tc>
        <w:tc>
          <w:tcPr>
            <w:tcW w:w="1480" w:type="dxa"/>
            <w:vAlign w:val="center"/>
          </w:tcPr>
          <w:p w14:paraId="0CACD12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26,127.58</w:t>
            </w:r>
          </w:p>
        </w:tc>
      </w:tr>
      <w:tr w:rsidR="00FB39A5" w:rsidRPr="00FB39A5" w14:paraId="14CFAA9A" w14:textId="77777777" w:rsidTr="00FB39A5">
        <w:tblPrEx>
          <w:tblCellMar>
            <w:top w:w="0" w:type="dxa"/>
            <w:bottom w:w="0" w:type="dxa"/>
          </w:tblCellMar>
        </w:tblPrEx>
        <w:trPr>
          <w:trHeight w:val="191"/>
          <w:jc w:val="center"/>
        </w:trPr>
        <w:tc>
          <w:tcPr>
            <w:tcW w:w="860" w:type="dxa"/>
            <w:vAlign w:val="center"/>
          </w:tcPr>
          <w:p w14:paraId="3CD4508E"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382324F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374EC9BD"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r w:rsidRPr="00FB39A5">
                <w:rPr>
                  <w:rFonts w:ascii="Arial" w:hAnsi="Arial" w:cs="Arial"/>
                  <w:sz w:val="12"/>
                  <w:szCs w:val="12"/>
                  <w:lang w:val="en-GB"/>
                </w:rPr>
                <w:t>Bali</w:t>
              </w:r>
            </w:smartTag>
            <w:r w:rsidRPr="00FB39A5">
              <w:rPr>
                <w:rFonts w:ascii="Arial" w:hAnsi="Arial" w:cs="Arial"/>
                <w:sz w:val="12"/>
                <w:szCs w:val="12"/>
                <w:lang w:val="en-GB"/>
              </w:rPr>
              <w:t xml:space="preserve"> </w:t>
            </w:r>
          </w:p>
        </w:tc>
        <w:tc>
          <w:tcPr>
            <w:tcW w:w="974" w:type="dxa"/>
            <w:vAlign w:val="center"/>
          </w:tcPr>
          <w:p w14:paraId="649E2A9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9.00</w:t>
            </w:r>
          </w:p>
        </w:tc>
        <w:tc>
          <w:tcPr>
            <w:tcW w:w="779" w:type="dxa"/>
            <w:vAlign w:val="center"/>
          </w:tcPr>
          <w:p w14:paraId="22D5591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5,152.00</w:t>
            </w:r>
          </w:p>
        </w:tc>
        <w:tc>
          <w:tcPr>
            <w:tcW w:w="889" w:type="dxa"/>
            <w:vAlign w:val="center"/>
          </w:tcPr>
          <w:p w14:paraId="6DC6DC6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8,285.49</w:t>
            </w:r>
          </w:p>
        </w:tc>
        <w:tc>
          <w:tcPr>
            <w:tcW w:w="874" w:type="dxa"/>
            <w:vAlign w:val="center"/>
          </w:tcPr>
          <w:p w14:paraId="0103607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7997D23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42,686,857.00</w:t>
            </w:r>
          </w:p>
        </w:tc>
        <w:tc>
          <w:tcPr>
            <w:tcW w:w="713" w:type="dxa"/>
            <w:vAlign w:val="center"/>
          </w:tcPr>
          <w:p w14:paraId="5069BD1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0388DB1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3449441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47,146,959.35</w:t>
            </w:r>
          </w:p>
        </w:tc>
        <w:tc>
          <w:tcPr>
            <w:tcW w:w="1171" w:type="dxa"/>
            <w:tcBorders>
              <w:top w:val="single" w:sz="2" w:space="0" w:color="000000"/>
              <w:bottom w:val="single" w:sz="2" w:space="0" w:color="000000"/>
            </w:tcBorders>
            <w:shd w:val="clear" w:color="FFFF00" w:fill="D9D9D9"/>
            <w:vAlign w:val="center"/>
          </w:tcPr>
          <w:p w14:paraId="79C503A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4,849.69</w:t>
            </w:r>
          </w:p>
        </w:tc>
        <w:tc>
          <w:tcPr>
            <w:tcW w:w="1480" w:type="dxa"/>
            <w:vAlign w:val="center"/>
          </w:tcPr>
          <w:p w14:paraId="162B43A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43,647.17</w:t>
            </w:r>
          </w:p>
        </w:tc>
      </w:tr>
      <w:tr w:rsidR="00FB39A5" w:rsidRPr="00FB39A5" w14:paraId="6A1C4311" w14:textId="77777777" w:rsidTr="00FB39A5">
        <w:tblPrEx>
          <w:tblCellMar>
            <w:top w:w="0" w:type="dxa"/>
            <w:bottom w:w="0" w:type="dxa"/>
          </w:tblCellMar>
        </w:tblPrEx>
        <w:trPr>
          <w:trHeight w:val="191"/>
          <w:jc w:val="center"/>
        </w:trPr>
        <w:tc>
          <w:tcPr>
            <w:tcW w:w="860" w:type="dxa"/>
            <w:vAlign w:val="center"/>
          </w:tcPr>
          <w:p w14:paraId="7DD08140"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42FB740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439E18AA"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Marisa</w:t>
                </w:r>
              </w:smartTag>
              <w:r w:rsidRPr="00FB39A5">
                <w:rPr>
                  <w:rFonts w:ascii="Arial" w:hAnsi="Arial" w:cs="Arial"/>
                  <w:sz w:val="12"/>
                  <w:szCs w:val="12"/>
                  <w:lang w:val="en-GB"/>
                </w:rPr>
                <w:t xml:space="preserve"> </w:t>
              </w:r>
              <w:smartTag w:uri="urn:schemas-microsoft-com:office:smarttags" w:element="PlaceName">
                <w:r w:rsidRPr="00FB39A5">
                  <w:rPr>
                    <w:rFonts w:ascii="Arial" w:hAnsi="Arial" w:cs="Arial"/>
                    <w:sz w:val="12"/>
                    <w:szCs w:val="12"/>
                    <w:lang w:val="en-GB"/>
                  </w:rPr>
                  <w:t>District</w:t>
                </w:r>
              </w:smartTag>
            </w:smartTag>
            <w:r w:rsidRPr="00FB39A5">
              <w:rPr>
                <w:rFonts w:ascii="Arial" w:hAnsi="Arial" w:cs="Arial"/>
                <w:sz w:val="12"/>
                <w:szCs w:val="12"/>
                <w:lang w:val="en-GB"/>
              </w:rPr>
              <w:t>, Gorontalo</w:t>
            </w:r>
          </w:p>
        </w:tc>
        <w:tc>
          <w:tcPr>
            <w:tcW w:w="974" w:type="dxa"/>
            <w:vAlign w:val="center"/>
          </w:tcPr>
          <w:p w14:paraId="2325047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5,332.00</w:t>
            </w:r>
          </w:p>
        </w:tc>
        <w:tc>
          <w:tcPr>
            <w:tcW w:w="779" w:type="dxa"/>
            <w:vAlign w:val="center"/>
          </w:tcPr>
          <w:p w14:paraId="5E29AA8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819.15</w:t>
            </w:r>
          </w:p>
        </w:tc>
        <w:tc>
          <w:tcPr>
            <w:tcW w:w="889" w:type="dxa"/>
            <w:vAlign w:val="center"/>
          </w:tcPr>
          <w:p w14:paraId="7F80516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18,428.87</w:t>
            </w:r>
          </w:p>
        </w:tc>
        <w:tc>
          <w:tcPr>
            <w:tcW w:w="874" w:type="dxa"/>
            <w:vAlign w:val="center"/>
          </w:tcPr>
          <w:p w14:paraId="78BF3A5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5B2D69A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15,096,008.86</w:t>
            </w:r>
          </w:p>
        </w:tc>
        <w:tc>
          <w:tcPr>
            <w:tcW w:w="713" w:type="dxa"/>
            <w:vAlign w:val="center"/>
          </w:tcPr>
          <w:p w14:paraId="783A197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67F0754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0ECFE6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16,673,303.36</w:t>
            </w:r>
          </w:p>
        </w:tc>
        <w:tc>
          <w:tcPr>
            <w:tcW w:w="1171" w:type="dxa"/>
            <w:tcBorders>
              <w:top w:val="single" w:sz="2" w:space="0" w:color="000000"/>
            </w:tcBorders>
            <w:vAlign w:val="center"/>
          </w:tcPr>
          <w:p w14:paraId="58C5086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1,715.07</w:t>
            </w:r>
          </w:p>
        </w:tc>
        <w:tc>
          <w:tcPr>
            <w:tcW w:w="1480" w:type="dxa"/>
            <w:vAlign w:val="center"/>
          </w:tcPr>
          <w:p w14:paraId="19E10F7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9,144,747.75</w:t>
            </w:r>
          </w:p>
        </w:tc>
      </w:tr>
      <w:tr w:rsidR="00FB39A5" w:rsidRPr="00FB39A5" w14:paraId="4C8207D2" w14:textId="77777777" w:rsidTr="00FB39A5">
        <w:tblPrEx>
          <w:tblCellMar>
            <w:top w:w="0" w:type="dxa"/>
            <w:bottom w:w="0" w:type="dxa"/>
          </w:tblCellMar>
        </w:tblPrEx>
        <w:trPr>
          <w:trHeight w:val="191"/>
          <w:jc w:val="center"/>
        </w:trPr>
        <w:tc>
          <w:tcPr>
            <w:tcW w:w="860" w:type="dxa"/>
            <w:vAlign w:val="center"/>
          </w:tcPr>
          <w:p w14:paraId="5945CB66"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6598FB4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2001</w:t>
            </w:r>
          </w:p>
        </w:tc>
        <w:tc>
          <w:tcPr>
            <w:tcW w:w="1837" w:type="dxa"/>
            <w:vAlign w:val="center"/>
          </w:tcPr>
          <w:p w14:paraId="38ED5406"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Buton, </w:t>
            </w:r>
            <w:smartTag w:uri="urn:schemas-microsoft-com:office:smarttags" w:element="place">
              <w:r w:rsidRPr="00FB39A5">
                <w:rPr>
                  <w:rFonts w:ascii="Arial" w:hAnsi="Arial" w:cs="Arial"/>
                  <w:sz w:val="12"/>
                  <w:szCs w:val="12"/>
                  <w:lang w:val="en-GB"/>
                </w:rPr>
                <w:t>Southeast Sulawesi</w:t>
              </w:r>
            </w:smartTag>
            <w:r w:rsidRPr="00FB39A5">
              <w:rPr>
                <w:rFonts w:ascii="Arial" w:hAnsi="Arial" w:cs="Arial"/>
                <w:sz w:val="12"/>
                <w:szCs w:val="12"/>
                <w:lang w:val="en-GB"/>
              </w:rPr>
              <w:t xml:space="preserve"> </w:t>
            </w:r>
          </w:p>
        </w:tc>
        <w:tc>
          <w:tcPr>
            <w:tcW w:w="974" w:type="dxa"/>
            <w:vAlign w:val="center"/>
          </w:tcPr>
          <w:p w14:paraId="03BD339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144.00</w:t>
            </w:r>
          </w:p>
        </w:tc>
        <w:tc>
          <w:tcPr>
            <w:tcW w:w="779" w:type="dxa"/>
            <w:vAlign w:val="center"/>
          </w:tcPr>
          <w:p w14:paraId="0C71C1D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728.00</w:t>
            </w:r>
          </w:p>
        </w:tc>
        <w:tc>
          <w:tcPr>
            <w:tcW w:w="889" w:type="dxa"/>
            <w:vAlign w:val="center"/>
          </w:tcPr>
          <w:p w14:paraId="03250FC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3,000.00</w:t>
            </w:r>
          </w:p>
        </w:tc>
        <w:tc>
          <w:tcPr>
            <w:tcW w:w="874" w:type="dxa"/>
            <w:vAlign w:val="center"/>
          </w:tcPr>
          <w:p w14:paraId="3FD9DB4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23BE9BF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2,184,000.00</w:t>
            </w:r>
          </w:p>
        </w:tc>
        <w:tc>
          <w:tcPr>
            <w:tcW w:w="713" w:type="dxa"/>
            <w:vAlign w:val="center"/>
          </w:tcPr>
          <w:p w14:paraId="6272742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71.46</w:t>
            </w:r>
          </w:p>
        </w:tc>
        <w:tc>
          <w:tcPr>
            <w:tcW w:w="958" w:type="dxa"/>
            <w:vAlign w:val="center"/>
          </w:tcPr>
          <w:p w14:paraId="5BDDD33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67FC5B1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3,056,255.25</w:t>
            </w:r>
          </w:p>
        </w:tc>
        <w:tc>
          <w:tcPr>
            <w:tcW w:w="1171" w:type="dxa"/>
            <w:vAlign w:val="center"/>
          </w:tcPr>
          <w:p w14:paraId="573F5C1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314.38</w:t>
            </w:r>
          </w:p>
        </w:tc>
        <w:tc>
          <w:tcPr>
            <w:tcW w:w="1480" w:type="dxa"/>
            <w:vAlign w:val="center"/>
          </w:tcPr>
          <w:p w14:paraId="34BCDD4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45,270.16</w:t>
            </w:r>
          </w:p>
        </w:tc>
      </w:tr>
      <w:tr w:rsidR="00FB39A5" w:rsidRPr="00FB39A5" w14:paraId="3BF44A2C" w14:textId="77777777" w:rsidTr="00FB39A5">
        <w:tblPrEx>
          <w:tblCellMar>
            <w:top w:w="0" w:type="dxa"/>
            <w:bottom w:w="0" w:type="dxa"/>
          </w:tblCellMar>
        </w:tblPrEx>
        <w:trPr>
          <w:trHeight w:val="191"/>
          <w:jc w:val="center"/>
        </w:trPr>
        <w:tc>
          <w:tcPr>
            <w:tcW w:w="860" w:type="dxa"/>
            <w:vAlign w:val="center"/>
          </w:tcPr>
          <w:p w14:paraId="3372D603"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5788F8F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1837" w:type="dxa"/>
            <w:vAlign w:val="center"/>
          </w:tcPr>
          <w:p w14:paraId="3CC33D2C"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West Seram District </w:t>
            </w:r>
          </w:p>
        </w:tc>
        <w:tc>
          <w:tcPr>
            <w:tcW w:w="974" w:type="dxa"/>
            <w:vAlign w:val="center"/>
          </w:tcPr>
          <w:p w14:paraId="290E91F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991.00</w:t>
            </w:r>
          </w:p>
        </w:tc>
        <w:tc>
          <w:tcPr>
            <w:tcW w:w="779" w:type="dxa"/>
            <w:vAlign w:val="center"/>
          </w:tcPr>
          <w:p w14:paraId="2F03319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w:t>
            </w:r>
          </w:p>
        </w:tc>
        <w:tc>
          <w:tcPr>
            <w:tcW w:w="889" w:type="dxa"/>
            <w:vAlign w:val="center"/>
          </w:tcPr>
          <w:p w14:paraId="2892147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w:t>
            </w:r>
          </w:p>
        </w:tc>
        <w:tc>
          <w:tcPr>
            <w:tcW w:w="874" w:type="dxa"/>
            <w:vAlign w:val="center"/>
          </w:tcPr>
          <w:p w14:paraId="072721C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0348546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1,440,968.72</w:t>
            </w:r>
          </w:p>
        </w:tc>
        <w:tc>
          <w:tcPr>
            <w:tcW w:w="713" w:type="dxa"/>
            <w:vAlign w:val="center"/>
          </w:tcPr>
          <w:p w14:paraId="08DB676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8" w:type="dxa"/>
            <w:vAlign w:val="center"/>
          </w:tcPr>
          <w:p w14:paraId="641A04A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55305FC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2,248,351.88</w:t>
            </w:r>
          </w:p>
        </w:tc>
        <w:tc>
          <w:tcPr>
            <w:tcW w:w="1171" w:type="dxa"/>
            <w:vAlign w:val="center"/>
          </w:tcPr>
          <w:p w14:paraId="3BD75B4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231.27</w:t>
            </w:r>
          </w:p>
        </w:tc>
        <w:tc>
          <w:tcPr>
            <w:tcW w:w="1480" w:type="dxa"/>
            <w:vAlign w:val="center"/>
          </w:tcPr>
          <w:p w14:paraId="4FD510D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229,191.17</w:t>
            </w:r>
          </w:p>
        </w:tc>
      </w:tr>
      <w:tr w:rsidR="00FB39A5" w:rsidRPr="00FB39A5" w14:paraId="3295D5ED" w14:textId="77777777" w:rsidTr="00FB39A5">
        <w:tblPrEx>
          <w:tblCellMar>
            <w:top w:w="0" w:type="dxa"/>
            <w:bottom w:w="0" w:type="dxa"/>
          </w:tblCellMar>
        </w:tblPrEx>
        <w:trPr>
          <w:trHeight w:val="154"/>
          <w:jc w:val="center"/>
        </w:trPr>
        <w:tc>
          <w:tcPr>
            <w:tcW w:w="860" w:type="dxa"/>
            <w:vAlign w:val="center"/>
          </w:tcPr>
          <w:p w14:paraId="25CE3EB2"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7447FBC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1837" w:type="dxa"/>
            <w:vAlign w:val="center"/>
          </w:tcPr>
          <w:p w14:paraId="08937F61"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Batu Ampar, </w:t>
            </w:r>
            <w:smartTag w:uri="urn:schemas-microsoft-com:office:smarttags" w:element="place">
              <w:smartTag w:uri="urn:schemas-microsoft-com:office:smarttags" w:element="City">
                <w:r w:rsidRPr="00FB39A5">
                  <w:rPr>
                    <w:rFonts w:ascii="Arial" w:hAnsi="Arial" w:cs="Arial"/>
                    <w:sz w:val="12"/>
                    <w:szCs w:val="12"/>
                    <w:lang w:val="en-GB"/>
                  </w:rPr>
                  <w:t>Pontianak</w:t>
                </w:r>
              </w:smartTag>
            </w:smartTag>
          </w:p>
        </w:tc>
        <w:tc>
          <w:tcPr>
            <w:tcW w:w="974" w:type="dxa"/>
            <w:vAlign w:val="center"/>
          </w:tcPr>
          <w:p w14:paraId="1D8A5D9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8,800.00</w:t>
            </w:r>
          </w:p>
        </w:tc>
        <w:tc>
          <w:tcPr>
            <w:tcW w:w="779" w:type="dxa"/>
            <w:vAlign w:val="center"/>
          </w:tcPr>
          <w:p w14:paraId="603644C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8.00</w:t>
            </w:r>
          </w:p>
        </w:tc>
        <w:tc>
          <w:tcPr>
            <w:tcW w:w="889" w:type="dxa"/>
            <w:vAlign w:val="center"/>
          </w:tcPr>
          <w:p w14:paraId="1CF9399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13,797.75</w:t>
            </w:r>
          </w:p>
        </w:tc>
        <w:tc>
          <w:tcPr>
            <w:tcW w:w="874" w:type="dxa"/>
            <w:vAlign w:val="center"/>
          </w:tcPr>
          <w:p w14:paraId="20244C8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2B9785C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110,382.00</w:t>
            </w:r>
          </w:p>
        </w:tc>
        <w:tc>
          <w:tcPr>
            <w:tcW w:w="713" w:type="dxa"/>
            <w:vAlign w:val="center"/>
          </w:tcPr>
          <w:p w14:paraId="6EF3A40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8" w:type="dxa"/>
            <w:vAlign w:val="center"/>
          </w:tcPr>
          <w:p w14:paraId="13E90CC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6E9C96A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172,229.68</w:t>
            </w:r>
          </w:p>
        </w:tc>
        <w:tc>
          <w:tcPr>
            <w:tcW w:w="1171" w:type="dxa"/>
            <w:vAlign w:val="center"/>
          </w:tcPr>
          <w:p w14:paraId="084C1C0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17.72</w:t>
            </w:r>
          </w:p>
        </w:tc>
        <w:tc>
          <w:tcPr>
            <w:tcW w:w="1480" w:type="dxa"/>
            <w:vAlign w:val="center"/>
          </w:tcPr>
          <w:p w14:paraId="6ADCC59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155,901.61</w:t>
            </w:r>
          </w:p>
        </w:tc>
      </w:tr>
      <w:tr w:rsidR="00FB39A5" w:rsidRPr="00FB39A5" w14:paraId="3A5A3F4F" w14:textId="77777777" w:rsidTr="00FB39A5">
        <w:tblPrEx>
          <w:tblCellMar>
            <w:top w:w="0" w:type="dxa"/>
            <w:bottom w:w="0" w:type="dxa"/>
          </w:tblCellMar>
        </w:tblPrEx>
        <w:trPr>
          <w:trHeight w:val="191"/>
          <w:jc w:val="center"/>
        </w:trPr>
        <w:tc>
          <w:tcPr>
            <w:tcW w:w="860" w:type="dxa"/>
            <w:vAlign w:val="center"/>
          </w:tcPr>
          <w:p w14:paraId="393CC070"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6AAF4C4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1837" w:type="dxa"/>
            <w:vAlign w:val="center"/>
          </w:tcPr>
          <w:p w14:paraId="620DED1F"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Segara Anakan - Cilacap </w:t>
            </w:r>
          </w:p>
        </w:tc>
        <w:tc>
          <w:tcPr>
            <w:tcW w:w="974" w:type="dxa"/>
            <w:vAlign w:val="center"/>
          </w:tcPr>
          <w:p w14:paraId="4B4EBA5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12,090.00</w:t>
            </w:r>
          </w:p>
        </w:tc>
        <w:tc>
          <w:tcPr>
            <w:tcW w:w="779" w:type="dxa"/>
            <w:vAlign w:val="center"/>
          </w:tcPr>
          <w:p w14:paraId="264F940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63.74</w:t>
            </w:r>
          </w:p>
        </w:tc>
        <w:tc>
          <w:tcPr>
            <w:tcW w:w="889" w:type="dxa"/>
            <w:vAlign w:val="center"/>
          </w:tcPr>
          <w:p w14:paraId="55EE335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4,080.01</w:t>
            </w:r>
          </w:p>
        </w:tc>
        <w:tc>
          <w:tcPr>
            <w:tcW w:w="874" w:type="dxa"/>
            <w:vAlign w:val="center"/>
          </w:tcPr>
          <w:p w14:paraId="2E33B0C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1011698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260,060.00</w:t>
            </w:r>
          </w:p>
        </w:tc>
        <w:tc>
          <w:tcPr>
            <w:tcW w:w="713" w:type="dxa"/>
            <w:vAlign w:val="center"/>
          </w:tcPr>
          <w:p w14:paraId="070B4D5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8" w:type="dxa"/>
            <w:vAlign w:val="center"/>
          </w:tcPr>
          <w:p w14:paraId="57A2095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7E4E5F6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420,877.16</w:t>
            </w:r>
          </w:p>
        </w:tc>
        <w:tc>
          <w:tcPr>
            <w:tcW w:w="1171" w:type="dxa"/>
            <w:vAlign w:val="center"/>
          </w:tcPr>
          <w:p w14:paraId="1FAE966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43.29</w:t>
            </w:r>
          </w:p>
        </w:tc>
        <w:tc>
          <w:tcPr>
            <w:tcW w:w="1480" w:type="dxa"/>
            <w:vAlign w:val="center"/>
          </w:tcPr>
          <w:p w14:paraId="07CC0EA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523,409.50</w:t>
            </w:r>
          </w:p>
        </w:tc>
      </w:tr>
      <w:tr w:rsidR="00FB39A5" w:rsidRPr="00FB39A5" w14:paraId="29B3C271" w14:textId="77777777" w:rsidTr="00FB39A5">
        <w:tblPrEx>
          <w:tblCellMar>
            <w:top w:w="0" w:type="dxa"/>
            <w:bottom w:w="0" w:type="dxa"/>
          </w:tblCellMar>
        </w:tblPrEx>
        <w:trPr>
          <w:trHeight w:val="191"/>
          <w:jc w:val="center"/>
        </w:trPr>
        <w:tc>
          <w:tcPr>
            <w:tcW w:w="860" w:type="dxa"/>
            <w:vAlign w:val="center"/>
          </w:tcPr>
          <w:p w14:paraId="333B871A"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DBABC4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1837" w:type="dxa"/>
            <w:vAlign w:val="center"/>
          </w:tcPr>
          <w:p w14:paraId="4FD59C60"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Gelumbang District, </w:t>
            </w:r>
            <w:smartTag w:uri="urn:schemas-microsoft-com:office:smarttags" w:element="place">
              <w:r w:rsidRPr="00FB39A5">
                <w:rPr>
                  <w:rFonts w:ascii="Arial" w:hAnsi="Arial" w:cs="Arial"/>
                  <w:sz w:val="12"/>
                  <w:szCs w:val="12"/>
                  <w:lang w:val="en-GB"/>
                </w:rPr>
                <w:t>South Sulawesi</w:t>
              </w:r>
            </w:smartTag>
          </w:p>
        </w:tc>
        <w:tc>
          <w:tcPr>
            <w:tcW w:w="974" w:type="dxa"/>
            <w:vAlign w:val="center"/>
          </w:tcPr>
          <w:p w14:paraId="50DCEBA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9,538.00</w:t>
            </w:r>
          </w:p>
        </w:tc>
        <w:tc>
          <w:tcPr>
            <w:tcW w:w="779" w:type="dxa"/>
            <w:vAlign w:val="center"/>
          </w:tcPr>
          <w:p w14:paraId="4648A11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1,095.00</w:t>
            </w:r>
          </w:p>
        </w:tc>
        <w:tc>
          <w:tcPr>
            <w:tcW w:w="889" w:type="dxa"/>
            <w:vAlign w:val="center"/>
          </w:tcPr>
          <w:p w14:paraId="6B59814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3,000.00</w:t>
            </w:r>
          </w:p>
        </w:tc>
        <w:tc>
          <w:tcPr>
            <w:tcW w:w="874" w:type="dxa"/>
            <w:vAlign w:val="center"/>
          </w:tcPr>
          <w:p w14:paraId="63C1F71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2330BC9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3,285,000.00</w:t>
            </w:r>
          </w:p>
        </w:tc>
        <w:tc>
          <w:tcPr>
            <w:tcW w:w="713" w:type="dxa"/>
            <w:vAlign w:val="center"/>
          </w:tcPr>
          <w:p w14:paraId="1FBEDBA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8" w:type="dxa"/>
            <w:vAlign w:val="center"/>
          </w:tcPr>
          <w:p w14:paraId="77FD220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450F659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5,316,394.24</w:t>
            </w:r>
          </w:p>
        </w:tc>
        <w:tc>
          <w:tcPr>
            <w:tcW w:w="1171" w:type="dxa"/>
            <w:vAlign w:val="center"/>
          </w:tcPr>
          <w:p w14:paraId="7ABA60F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546.86</w:t>
            </w:r>
          </w:p>
        </w:tc>
        <w:tc>
          <w:tcPr>
            <w:tcW w:w="1480" w:type="dxa"/>
            <w:vAlign w:val="center"/>
          </w:tcPr>
          <w:p w14:paraId="5B28077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5,215,962.19</w:t>
            </w:r>
          </w:p>
        </w:tc>
      </w:tr>
      <w:tr w:rsidR="00FB39A5" w:rsidRPr="00FB39A5" w14:paraId="6A032AB3" w14:textId="77777777" w:rsidTr="00FB39A5">
        <w:tblPrEx>
          <w:tblCellMar>
            <w:top w:w="0" w:type="dxa"/>
            <w:bottom w:w="0" w:type="dxa"/>
          </w:tblCellMar>
        </w:tblPrEx>
        <w:trPr>
          <w:trHeight w:val="191"/>
          <w:jc w:val="center"/>
        </w:trPr>
        <w:tc>
          <w:tcPr>
            <w:tcW w:w="860" w:type="dxa"/>
            <w:vAlign w:val="center"/>
          </w:tcPr>
          <w:p w14:paraId="70372AD6"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Philippines</w:t>
                </w:r>
              </w:smartTag>
            </w:smartTag>
          </w:p>
        </w:tc>
        <w:tc>
          <w:tcPr>
            <w:tcW w:w="859" w:type="dxa"/>
            <w:vAlign w:val="center"/>
          </w:tcPr>
          <w:p w14:paraId="0F73400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536B9F10"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country-region">
                <w:r w:rsidRPr="00FB39A5">
                  <w:rPr>
                    <w:rFonts w:ascii="Arial" w:hAnsi="Arial" w:cs="Arial"/>
                    <w:sz w:val="12"/>
                    <w:szCs w:val="12"/>
                    <w:lang w:val="en-GB"/>
                  </w:rPr>
                  <w:t>Philippines</w:t>
                </w:r>
              </w:smartTag>
            </w:smartTag>
          </w:p>
        </w:tc>
        <w:tc>
          <w:tcPr>
            <w:tcW w:w="974" w:type="dxa"/>
            <w:vAlign w:val="center"/>
          </w:tcPr>
          <w:p w14:paraId="62C1F8D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1,298.50</w:t>
            </w:r>
          </w:p>
        </w:tc>
        <w:tc>
          <w:tcPr>
            <w:tcW w:w="779" w:type="dxa"/>
            <w:vAlign w:val="center"/>
          </w:tcPr>
          <w:p w14:paraId="4674034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4.12</w:t>
            </w:r>
          </w:p>
        </w:tc>
        <w:tc>
          <w:tcPr>
            <w:tcW w:w="889" w:type="dxa"/>
            <w:vAlign w:val="center"/>
          </w:tcPr>
          <w:p w14:paraId="6BAEBD5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41.25</w:t>
            </w:r>
          </w:p>
        </w:tc>
        <w:tc>
          <w:tcPr>
            <w:tcW w:w="874" w:type="dxa"/>
            <w:vAlign w:val="center"/>
          </w:tcPr>
          <w:p w14:paraId="29A1B64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PHP</w:t>
            </w:r>
          </w:p>
        </w:tc>
        <w:tc>
          <w:tcPr>
            <w:tcW w:w="1187" w:type="dxa"/>
            <w:vAlign w:val="center"/>
          </w:tcPr>
          <w:p w14:paraId="3BDB74C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169.95</w:t>
            </w:r>
          </w:p>
        </w:tc>
        <w:tc>
          <w:tcPr>
            <w:tcW w:w="713" w:type="dxa"/>
            <w:vAlign w:val="center"/>
          </w:tcPr>
          <w:p w14:paraId="6D1BB0B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92.91</w:t>
            </w:r>
          </w:p>
        </w:tc>
        <w:tc>
          <w:tcPr>
            <w:tcW w:w="958" w:type="dxa"/>
            <w:vAlign w:val="center"/>
          </w:tcPr>
          <w:p w14:paraId="5A58103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55.14</w:t>
            </w:r>
          </w:p>
        </w:tc>
        <w:tc>
          <w:tcPr>
            <w:tcW w:w="1449" w:type="dxa"/>
            <w:vAlign w:val="center"/>
          </w:tcPr>
          <w:p w14:paraId="7F72C17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182.92</w:t>
            </w:r>
          </w:p>
        </w:tc>
        <w:tc>
          <w:tcPr>
            <w:tcW w:w="1171" w:type="dxa"/>
            <w:vAlign w:val="center"/>
          </w:tcPr>
          <w:p w14:paraId="7074772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3.32</w:t>
            </w:r>
          </w:p>
        </w:tc>
        <w:tc>
          <w:tcPr>
            <w:tcW w:w="1480" w:type="dxa"/>
            <w:vAlign w:val="center"/>
          </w:tcPr>
          <w:p w14:paraId="3F0CD2E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4,307.59</w:t>
            </w:r>
          </w:p>
        </w:tc>
      </w:tr>
      <w:tr w:rsidR="00FB39A5" w:rsidRPr="00FB39A5" w14:paraId="79AFB0C0" w14:textId="77777777" w:rsidTr="00FB39A5">
        <w:tblPrEx>
          <w:tblCellMar>
            <w:top w:w="0" w:type="dxa"/>
            <w:bottom w:w="0" w:type="dxa"/>
          </w:tblCellMar>
        </w:tblPrEx>
        <w:trPr>
          <w:trHeight w:val="75"/>
          <w:jc w:val="center"/>
        </w:trPr>
        <w:tc>
          <w:tcPr>
            <w:tcW w:w="860" w:type="dxa"/>
            <w:vAlign w:val="center"/>
          </w:tcPr>
          <w:p w14:paraId="168A05DF"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4810049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1996</w:t>
            </w:r>
          </w:p>
        </w:tc>
        <w:tc>
          <w:tcPr>
            <w:tcW w:w="1837" w:type="dxa"/>
            <w:vAlign w:val="center"/>
          </w:tcPr>
          <w:p w14:paraId="298DFB9D"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City">
                <w:r w:rsidRPr="00FB39A5">
                  <w:rPr>
                    <w:rFonts w:ascii="Arial" w:hAnsi="Arial" w:cs="Arial"/>
                    <w:sz w:val="12"/>
                    <w:szCs w:val="12"/>
                    <w:lang w:val="en-GB"/>
                  </w:rPr>
                  <w:t>Pagbilao</w:t>
                </w:r>
              </w:smartTag>
              <w:r w:rsidRPr="00FB39A5">
                <w:rPr>
                  <w:rFonts w:ascii="Arial" w:hAnsi="Arial" w:cs="Arial"/>
                  <w:sz w:val="12"/>
                  <w:szCs w:val="12"/>
                  <w:lang w:val="en-GB"/>
                </w:rPr>
                <w:t xml:space="preserve">, </w:t>
              </w:r>
              <w:smartTag w:uri="urn:schemas-microsoft-com:office:smarttags" w:element="country-region">
                <w:r w:rsidRPr="00FB39A5">
                  <w:rPr>
                    <w:rFonts w:ascii="Arial" w:hAnsi="Arial" w:cs="Arial"/>
                    <w:sz w:val="12"/>
                    <w:szCs w:val="12"/>
                    <w:lang w:val="en-GB"/>
                  </w:rPr>
                  <w:t>Philippines</w:t>
                </w:r>
              </w:smartTag>
            </w:smartTag>
          </w:p>
        </w:tc>
        <w:tc>
          <w:tcPr>
            <w:tcW w:w="974" w:type="dxa"/>
            <w:vAlign w:val="center"/>
          </w:tcPr>
          <w:p w14:paraId="46FA842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1,440.00</w:t>
            </w:r>
          </w:p>
        </w:tc>
        <w:tc>
          <w:tcPr>
            <w:tcW w:w="779" w:type="dxa"/>
            <w:vAlign w:val="center"/>
          </w:tcPr>
          <w:p w14:paraId="13ADEA3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409.80</w:t>
            </w:r>
          </w:p>
        </w:tc>
        <w:tc>
          <w:tcPr>
            <w:tcW w:w="889" w:type="dxa"/>
            <w:vAlign w:val="center"/>
          </w:tcPr>
          <w:p w14:paraId="11FF5CC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24.28</w:t>
            </w:r>
          </w:p>
        </w:tc>
        <w:tc>
          <w:tcPr>
            <w:tcW w:w="874" w:type="dxa"/>
            <w:vAlign w:val="center"/>
          </w:tcPr>
          <w:p w14:paraId="0C982B5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PHP</w:t>
            </w:r>
          </w:p>
        </w:tc>
        <w:tc>
          <w:tcPr>
            <w:tcW w:w="1187" w:type="dxa"/>
            <w:vAlign w:val="center"/>
          </w:tcPr>
          <w:p w14:paraId="44C3A70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9,949.94</w:t>
            </w:r>
          </w:p>
        </w:tc>
        <w:tc>
          <w:tcPr>
            <w:tcW w:w="713" w:type="dxa"/>
            <w:vAlign w:val="center"/>
          </w:tcPr>
          <w:p w14:paraId="20EAE1F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59.56</w:t>
            </w:r>
          </w:p>
        </w:tc>
        <w:tc>
          <w:tcPr>
            <w:tcW w:w="958" w:type="dxa"/>
            <w:vAlign w:val="center"/>
          </w:tcPr>
          <w:p w14:paraId="6DEBFD0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55.14</w:t>
            </w:r>
          </w:p>
        </w:tc>
        <w:tc>
          <w:tcPr>
            <w:tcW w:w="1449" w:type="dxa"/>
            <w:vAlign w:val="center"/>
          </w:tcPr>
          <w:p w14:paraId="1156BAC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16,705.75</w:t>
            </w:r>
          </w:p>
        </w:tc>
        <w:tc>
          <w:tcPr>
            <w:tcW w:w="1171" w:type="dxa"/>
            <w:vAlign w:val="center"/>
          </w:tcPr>
          <w:p w14:paraId="474837D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302.97</w:t>
            </w:r>
          </w:p>
        </w:tc>
        <w:tc>
          <w:tcPr>
            <w:tcW w:w="1480" w:type="dxa"/>
            <w:vAlign w:val="center"/>
          </w:tcPr>
          <w:p w14:paraId="3892FAE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436,276.44</w:t>
            </w:r>
          </w:p>
        </w:tc>
      </w:tr>
      <w:tr w:rsidR="00FB39A5" w:rsidRPr="00FB39A5" w14:paraId="44E95D09" w14:textId="77777777" w:rsidTr="00FB39A5">
        <w:tblPrEx>
          <w:tblCellMar>
            <w:top w:w="0" w:type="dxa"/>
            <w:bottom w:w="0" w:type="dxa"/>
          </w:tblCellMar>
        </w:tblPrEx>
        <w:trPr>
          <w:trHeight w:val="191"/>
          <w:jc w:val="center"/>
        </w:trPr>
        <w:tc>
          <w:tcPr>
            <w:tcW w:w="860" w:type="dxa"/>
            <w:vAlign w:val="center"/>
          </w:tcPr>
          <w:p w14:paraId="641CB13B"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Thailand</w:t>
                </w:r>
              </w:smartTag>
            </w:smartTag>
          </w:p>
        </w:tc>
        <w:tc>
          <w:tcPr>
            <w:tcW w:w="859" w:type="dxa"/>
            <w:vAlign w:val="center"/>
          </w:tcPr>
          <w:p w14:paraId="3BC80B7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1995</w:t>
            </w:r>
          </w:p>
        </w:tc>
        <w:tc>
          <w:tcPr>
            <w:tcW w:w="1837" w:type="dxa"/>
            <w:vAlign w:val="center"/>
          </w:tcPr>
          <w:p w14:paraId="046C7E58"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Trang</w:t>
            </w:r>
          </w:p>
        </w:tc>
        <w:tc>
          <w:tcPr>
            <w:tcW w:w="974" w:type="dxa"/>
            <w:vAlign w:val="center"/>
          </w:tcPr>
          <w:p w14:paraId="5137AC9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35,665.28</w:t>
            </w:r>
          </w:p>
        </w:tc>
        <w:tc>
          <w:tcPr>
            <w:tcW w:w="779" w:type="dxa"/>
            <w:vAlign w:val="center"/>
          </w:tcPr>
          <w:p w14:paraId="5FE506A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18.98</w:t>
            </w:r>
          </w:p>
        </w:tc>
        <w:tc>
          <w:tcPr>
            <w:tcW w:w="889" w:type="dxa"/>
            <w:vAlign w:val="center"/>
          </w:tcPr>
          <w:p w14:paraId="703D20C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30.00</w:t>
            </w:r>
          </w:p>
        </w:tc>
        <w:tc>
          <w:tcPr>
            <w:tcW w:w="874" w:type="dxa"/>
            <w:vAlign w:val="center"/>
          </w:tcPr>
          <w:p w14:paraId="741FC35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187" w:type="dxa"/>
            <w:vAlign w:val="center"/>
          </w:tcPr>
          <w:p w14:paraId="0195D86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569.42</w:t>
            </w:r>
          </w:p>
        </w:tc>
        <w:tc>
          <w:tcPr>
            <w:tcW w:w="713" w:type="dxa"/>
            <w:vAlign w:val="center"/>
          </w:tcPr>
          <w:p w14:paraId="6C9C456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72.65</w:t>
            </w:r>
          </w:p>
        </w:tc>
        <w:tc>
          <w:tcPr>
            <w:tcW w:w="958" w:type="dxa"/>
            <w:vAlign w:val="center"/>
          </w:tcPr>
          <w:p w14:paraId="42206E8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3.79</w:t>
            </w:r>
          </w:p>
        </w:tc>
        <w:tc>
          <w:tcPr>
            <w:tcW w:w="1449" w:type="dxa"/>
            <w:vAlign w:val="center"/>
          </w:tcPr>
          <w:p w14:paraId="713CB6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783.79</w:t>
            </w:r>
          </w:p>
        </w:tc>
        <w:tc>
          <w:tcPr>
            <w:tcW w:w="1171" w:type="dxa"/>
            <w:tcBorders>
              <w:bottom w:val="single" w:sz="2" w:space="0" w:color="000000"/>
            </w:tcBorders>
            <w:vAlign w:val="center"/>
          </w:tcPr>
          <w:p w14:paraId="412CE3A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206.88</w:t>
            </w:r>
          </w:p>
        </w:tc>
        <w:tc>
          <w:tcPr>
            <w:tcW w:w="1480" w:type="dxa"/>
            <w:vAlign w:val="center"/>
          </w:tcPr>
          <w:p w14:paraId="72265DC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7,378,430.34</w:t>
            </w:r>
          </w:p>
        </w:tc>
      </w:tr>
      <w:tr w:rsidR="00FB39A5" w:rsidRPr="00FB39A5" w14:paraId="4025BDD8" w14:textId="77777777" w:rsidTr="00FB39A5">
        <w:tblPrEx>
          <w:tblCellMar>
            <w:top w:w="0" w:type="dxa"/>
            <w:bottom w:w="0" w:type="dxa"/>
          </w:tblCellMar>
        </w:tblPrEx>
        <w:trPr>
          <w:trHeight w:val="304"/>
          <w:jc w:val="center"/>
        </w:trPr>
        <w:tc>
          <w:tcPr>
            <w:tcW w:w="860" w:type="dxa"/>
            <w:vAlign w:val="center"/>
          </w:tcPr>
          <w:p w14:paraId="47A2FAE9"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Malaysia</w:t>
                </w:r>
              </w:smartTag>
            </w:smartTag>
          </w:p>
        </w:tc>
        <w:tc>
          <w:tcPr>
            <w:tcW w:w="859" w:type="dxa"/>
            <w:vAlign w:val="center"/>
          </w:tcPr>
          <w:p w14:paraId="528091E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1998</w:t>
            </w:r>
          </w:p>
        </w:tc>
        <w:tc>
          <w:tcPr>
            <w:tcW w:w="1837" w:type="dxa"/>
            <w:vAlign w:val="center"/>
          </w:tcPr>
          <w:p w14:paraId="296A8C9C"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Kuala Selangor District all fisheries resources</w:t>
            </w:r>
          </w:p>
        </w:tc>
        <w:tc>
          <w:tcPr>
            <w:tcW w:w="974" w:type="dxa"/>
            <w:vAlign w:val="center"/>
          </w:tcPr>
          <w:p w14:paraId="77A104E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379.00</w:t>
            </w:r>
          </w:p>
        </w:tc>
        <w:tc>
          <w:tcPr>
            <w:tcW w:w="779" w:type="dxa"/>
            <w:vAlign w:val="center"/>
          </w:tcPr>
          <w:p w14:paraId="7745EFA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3,750.00</w:t>
            </w:r>
          </w:p>
        </w:tc>
        <w:tc>
          <w:tcPr>
            <w:tcW w:w="889" w:type="dxa"/>
            <w:vAlign w:val="center"/>
          </w:tcPr>
          <w:p w14:paraId="5107BC7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3.33</w:t>
            </w:r>
          </w:p>
        </w:tc>
        <w:tc>
          <w:tcPr>
            <w:tcW w:w="874" w:type="dxa"/>
            <w:vAlign w:val="center"/>
          </w:tcPr>
          <w:p w14:paraId="30D7447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RM</w:t>
            </w:r>
          </w:p>
        </w:tc>
        <w:tc>
          <w:tcPr>
            <w:tcW w:w="1187" w:type="dxa"/>
            <w:vAlign w:val="center"/>
          </w:tcPr>
          <w:p w14:paraId="4D69FAB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12,477.50</w:t>
            </w:r>
          </w:p>
        </w:tc>
        <w:tc>
          <w:tcPr>
            <w:tcW w:w="713" w:type="dxa"/>
            <w:vAlign w:val="center"/>
          </w:tcPr>
          <w:p w14:paraId="75C34F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87.87</w:t>
            </w:r>
          </w:p>
        </w:tc>
        <w:tc>
          <w:tcPr>
            <w:tcW w:w="958" w:type="dxa"/>
            <w:vAlign w:val="center"/>
          </w:tcPr>
          <w:p w14:paraId="60C86E5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3.79</w:t>
            </w:r>
          </w:p>
        </w:tc>
        <w:tc>
          <w:tcPr>
            <w:tcW w:w="1449" w:type="dxa"/>
            <w:vAlign w:val="center"/>
          </w:tcPr>
          <w:p w14:paraId="043CD08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14,199.95</w:t>
            </w:r>
          </w:p>
        </w:tc>
        <w:tc>
          <w:tcPr>
            <w:tcW w:w="1171" w:type="dxa"/>
            <w:tcBorders>
              <w:top w:val="single" w:sz="2" w:space="0" w:color="000000"/>
              <w:bottom w:val="single" w:sz="2" w:space="0" w:color="000000"/>
            </w:tcBorders>
            <w:shd w:val="clear" w:color="FFFF00" w:fill="D9D9D9"/>
            <w:vAlign w:val="center"/>
          </w:tcPr>
          <w:p w14:paraId="2C17856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3,748.07</w:t>
            </w:r>
          </w:p>
        </w:tc>
        <w:tc>
          <w:tcPr>
            <w:tcW w:w="1480" w:type="dxa"/>
            <w:vAlign w:val="center"/>
          </w:tcPr>
          <w:p w14:paraId="1D64D40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1,420,520.18</w:t>
            </w:r>
          </w:p>
        </w:tc>
      </w:tr>
      <w:tr w:rsidR="00FB39A5" w:rsidRPr="00FB39A5" w14:paraId="5ADDBC0F" w14:textId="77777777" w:rsidTr="00FB39A5">
        <w:tblPrEx>
          <w:tblCellMar>
            <w:top w:w="0" w:type="dxa"/>
            <w:bottom w:w="0" w:type="dxa"/>
          </w:tblCellMar>
        </w:tblPrEx>
        <w:trPr>
          <w:trHeight w:val="304"/>
          <w:jc w:val="center"/>
        </w:trPr>
        <w:tc>
          <w:tcPr>
            <w:tcW w:w="860" w:type="dxa"/>
            <w:vAlign w:val="center"/>
          </w:tcPr>
          <w:p w14:paraId="02F0EA01"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6F4DD65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1997</w:t>
            </w:r>
          </w:p>
        </w:tc>
        <w:tc>
          <w:tcPr>
            <w:tcW w:w="1837" w:type="dxa"/>
            <w:vAlign w:val="center"/>
          </w:tcPr>
          <w:p w14:paraId="1825C239"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Straits of Malacca all fisheries resources</w:t>
            </w:r>
          </w:p>
        </w:tc>
        <w:tc>
          <w:tcPr>
            <w:tcW w:w="974" w:type="dxa"/>
            <w:vAlign w:val="center"/>
          </w:tcPr>
          <w:p w14:paraId="7B98C8A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78,395.00</w:t>
            </w:r>
          </w:p>
        </w:tc>
        <w:tc>
          <w:tcPr>
            <w:tcW w:w="779" w:type="dxa"/>
            <w:vAlign w:val="center"/>
          </w:tcPr>
          <w:p w14:paraId="2F57184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6.61</w:t>
            </w:r>
          </w:p>
        </w:tc>
        <w:tc>
          <w:tcPr>
            <w:tcW w:w="889" w:type="dxa"/>
            <w:vAlign w:val="center"/>
          </w:tcPr>
          <w:p w14:paraId="3B4BDCD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1,737.04</w:t>
            </w:r>
          </w:p>
        </w:tc>
        <w:tc>
          <w:tcPr>
            <w:tcW w:w="874" w:type="dxa"/>
            <w:vAlign w:val="center"/>
          </w:tcPr>
          <w:p w14:paraId="686538D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RM</w:t>
            </w:r>
          </w:p>
        </w:tc>
        <w:tc>
          <w:tcPr>
            <w:tcW w:w="1187" w:type="dxa"/>
            <w:vAlign w:val="center"/>
          </w:tcPr>
          <w:p w14:paraId="0E437F0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11,486.88</w:t>
            </w:r>
          </w:p>
        </w:tc>
        <w:tc>
          <w:tcPr>
            <w:tcW w:w="713" w:type="dxa"/>
            <w:vAlign w:val="center"/>
          </w:tcPr>
          <w:p w14:paraId="4E6D1C5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83.47</w:t>
            </w:r>
          </w:p>
        </w:tc>
        <w:tc>
          <w:tcPr>
            <w:tcW w:w="958" w:type="dxa"/>
            <w:vAlign w:val="center"/>
          </w:tcPr>
          <w:p w14:paraId="4AE5058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3.79</w:t>
            </w:r>
          </w:p>
        </w:tc>
        <w:tc>
          <w:tcPr>
            <w:tcW w:w="1449" w:type="dxa"/>
            <w:vAlign w:val="center"/>
          </w:tcPr>
          <w:p w14:paraId="4F12EB2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13,761.69</w:t>
            </w:r>
          </w:p>
        </w:tc>
        <w:tc>
          <w:tcPr>
            <w:tcW w:w="1171" w:type="dxa"/>
            <w:tcBorders>
              <w:top w:val="single" w:sz="2" w:space="0" w:color="000000"/>
              <w:bottom w:val="single" w:sz="2" w:space="0" w:color="000000"/>
            </w:tcBorders>
            <w:shd w:val="clear" w:color="FFFF00" w:fill="D9D9D9"/>
            <w:vAlign w:val="center"/>
          </w:tcPr>
          <w:p w14:paraId="23D43DD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3,632.39</w:t>
            </w:r>
          </w:p>
        </w:tc>
        <w:tc>
          <w:tcPr>
            <w:tcW w:w="1480" w:type="dxa"/>
            <w:vAlign w:val="center"/>
          </w:tcPr>
          <w:p w14:paraId="20543E1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284,761,505.39</w:t>
            </w:r>
          </w:p>
        </w:tc>
      </w:tr>
      <w:tr w:rsidR="00FB39A5" w:rsidRPr="00FB39A5" w14:paraId="2668B154" w14:textId="77777777" w:rsidTr="00FB39A5">
        <w:tblPrEx>
          <w:tblCellMar>
            <w:top w:w="0" w:type="dxa"/>
            <w:bottom w:w="0" w:type="dxa"/>
          </w:tblCellMar>
        </w:tblPrEx>
        <w:trPr>
          <w:trHeight w:val="191"/>
          <w:jc w:val="center"/>
        </w:trPr>
        <w:tc>
          <w:tcPr>
            <w:tcW w:w="860" w:type="dxa"/>
            <w:vAlign w:val="center"/>
          </w:tcPr>
          <w:p w14:paraId="078479E6"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Viet Nam</w:t>
                </w:r>
              </w:smartTag>
            </w:smartTag>
          </w:p>
        </w:tc>
        <w:tc>
          <w:tcPr>
            <w:tcW w:w="859" w:type="dxa"/>
            <w:vAlign w:val="center"/>
          </w:tcPr>
          <w:p w14:paraId="004515F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756975E8"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Ba Lat estuary</w:t>
            </w:r>
          </w:p>
        </w:tc>
        <w:tc>
          <w:tcPr>
            <w:tcW w:w="974" w:type="dxa"/>
            <w:vAlign w:val="center"/>
          </w:tcPr>
          <w:p w14:paraId="69DD2DC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2,889.00</w:t>
            </w:r>
          </w:p>
        </w:tc>
        <w:tc>
          <w:tcPr>
            <w:tcW w:w="779" w:type="dxa"/>
            <w:vAlign w:val="center"/>
          </w:tcPr>
          <w:p w14:paraId="65332F0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200.00</w:t>
            </w:r>
          </w:p>
        </w:tc>
        <w:tc>
          <w:tcPr>
            <w:tcW w:w="889" w:type="dxa"/>
            <w:vAlign w:val="center"/>
          </w:tcPr>
          <w:p w14:paraId="77A0B8D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16,000.00</w:t>
            </w:r>
          </w:p>
        </w:tc>
        <w:tc>
          <w:tcPr>
            <w:tcW w:w="874" w:type="dxa"/>
            <w:vAlign w:val="center"/>
          </w:tcPr>
          <w:p w14:paraId="6BDF4BD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187" w:type="dxa"/>
            <w:vAlign w:val="center"/>
          </w:tcPr>
          <w:p w14:paraId="706D8B8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3,200,000.00</w:t>
            </w:r>
          </w:p>
        </w:tc>
        <w:tc>
          <w:tcPr>
            <w:tcW w:w="713" w:type="dxa"/>
            <w:vAlign w:val="center"/>
          </w:tcPr>
          <w:p w14:paraId="358F008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4A141B5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006928A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3,200,000.00</w:t>
            </w:r>
          </w:p>
        </w:tc>
        <w:tc>
          <w:tcPr>
            <w:tcW w:w="1171" w:type="dxa"/>
            <w:tcBorders>
              <w:top w:val="single" w:sz="2" w:space="0" w:color="000000"/>
              <w:bottom w:val="single" w:sz="2" w:space="0" w:color="000000"/>
            </w:tcBorders>
            <w:vAlign w:val="center"/>
          </w:tcPr>
          <w:p w14:paraId="5D495EE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200.41</w:t>
            </w:r>
          </w:p>
        </w:tc>
        <w:tc>
          <w:tcPr>
            <w:tcW w:w="1480" w:type="dxa"/>
            <w:vAlign w:val="center"/>
          </w:tcPr>
          <w:p w14:paraId="62CB257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578,974.76</w:t>
            </w:r>
          </w:p>
        </w:tc>
      </w:tr>
      <w:tr w:rsidR="00FB39A5" w:rsidRPr="00FB39A5" w14:paraId="7822FA7F" w14:textId="77777777" w:rsidTr="00FB39A5">
        <w:tblPrEx>
          <w:tblCellMar>
            <w:top w:w="0" w:type="dxa"/>
            <w:bottom w:w="0" w:type="dxa"/>
          </w:tblCellMar>
        </w:tblPrEx>
        <w:trPr>
          <w:trHeight w:val="75"/>
          <w:jc w:val="center"/>
        </w:trPr>
        <w:tc>
          <w:tcPr>
            <w:tcW w:w="860" w:type="dxa"/>
            <w:vAlign w:val="center"/>
          </w:tcPr>
          <w:p w14:paraId="1967A35B"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37F2AA9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7387E043"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Can Gio</w:t>
            </w:r>
          </w:p>
        </w:tc>
        <w:tc>
          <w:tcPr>
            <w:tcW w:w="974" w:type="dxa"/>
            <w:vAlign w:val="center"/>
          </w:tcPr>
          <w:p w14:paraId="3EB3500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7,990.00</w:t>
            </w:r>
          </w:p>
        </w:tc>
        <w:tc>
          <w:tcPr>
            <w:tcW w:w="779" w:type="dxa"/>
            <w:vAlign w:val="center"/>
          </w:tcPr>
          <w:p w14:paraId="0011960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12,000.00</w:t>
            </w:r>
          </w:p>
        </w:tc>
        <w:tc>
          <w:tcPr>
            <w:tcW w:w="889" w:type="dxa"/>
            <w:vAlign w:val="center"/>
          </w:tcPr>
          <w:p w14:paraId="3DB5459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10,000.00</w:t>
            </w:r>
          </w:p>
        </w:tc>
        <w:tc>
          <w:tcPr>
            <w:tcW w:w="874" w:type="dxa"/>
            <w:vAlign w:val="center"/>
          </w:tcPr>
          <w:p w14:paraId="6E3B6A6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187" w:type="dxa"/>
            <w:vAlign w:val="center"/>
          </w:tcPr>
          <w:p w14:paraId="786EC46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120,000,000.00</w:t>
            </w:r>
          </w:p>
        </w:tc>
        <w:tc>
          <w:tcPr>
            <w:tcW w:w="713" w:type="dxa"/>
            <w:vAlign w:val="center"/>
          </w:tcPr>
          <w:p w14:paraId="4C7126A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92.38</w:t>
            </w:r>
          </w:p>
        </w:tc>
        <w:tc>
          <w:tcPr>
            <w:tcW w:w="958" w:type="dxa"/>
            <w:vAlign w:val="center"/>
          </w:tcPr>
          <w:p w14:paraId="2BE4343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6CB455F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129,898,246.37</w:t>
            </w:r>
          </w:p>
        </w:tc>
        <w:tc>
          <w:tcPr>
            <w:tcW w:w="1171" w:type="dxa"/>
            <w:tcBorders>
              <w:top w:val="single" w:sz="2" w:space="0" w:color="000000"/>
              <w:bottom w:val="single" w:sz="2" w:space="0" w:color="000000"/>
            </w:tcBorders>
            <w:shd w:val="clear" w:color="FFFF00" w:fill="D9D9D9"/>
            <w:vAlign w:val="center"/>
          </w:tcPr>
          <w:p w14:paraId="5D527D6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8,135.15</w:t>
            </w:r>
          </w:p>
        </w:tc>
        <w:tc>
          <w:tcPr>
            <w:tcW w:w="1480" w:type="dxa"/>
            <w:vAlign w:val="center"/>
          </w:tcPr>
          <w:p w14:paraId="40A0E94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64,999,824.11</w:t>
            </w:r>
          </w:p>
        </w:tc>
      </w:tr>
      <w:tr w:rsidR="00FB39A5" w:rsidRPr="00FB39A5" w14:paraId="4D165A2F" w14:textId="77777777" w:rsidTr="00FB39A5">
        <w:tblPrEx>
          <w:tblCellMar>
            <w:top w:w="0" w:type="dxa"/>
            <w:bottom w:w="0" w:type="dxa"/>
          </w:tblCellMar>
        </w:tblPrEx>
        <w:trPr>
          <w:trHeight w:val="191"/>
          <w:jc w:val="center"/>
        </w:trPr>
        <w:tc>
          <w:tcPr>
            <w:tcW w:w="860" w:type="dxa"/>
            <w:vAlign w:val="center"/>
          </w:tcPr>
          <w:p w14:paraId="70F0DDEF"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637F072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1B41F0E2"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Soc Trang</w:t>
            </w:r>
          </w:p>
        </w:tc>
        <w:tc>
          <w:tcPr>
            <w:tcW w:w="974" w:type="dxa"/>
            <w:vAlign w:val="center"/>
          </w:tcPr>
          <w:p w14:paraId="4BC2CAC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10,702.00</w:t>
            </w:r>
          </w:p>
        </w:tc>
        <w:tc>
          <w:tcPr>
            <w:tcW w:w="779" w:type="dxa"/>
            <w:vAlign w:val="center"/>
          </w:tcPr>
          <w:p w14:paraId="0AEAAC8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5,000.00</w:t>
            </w:r>
          </w:p>
        </w:tc>
        <w:tc>
          <w:tcPr>
            <w:tcW w:w="889" w:type="dxa"/>
            <w:vAlign w:val="center"/>
          </w:tcPr>
          <w:p w14:paraId="67E9AEA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10,000.00</w:t>
            </w:r>
          </w:p>
        </w:tc>
        <w:tc>
          <w:tcPr>
            <w:tcW w:w="874" w:type="dxa"/>
            <w:vAlign w:val="center"/>
          </w:tcPr>
          <w:p w14:paraId="0ADD2C6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187" w:type="dxa"/>
            <w:vAlign w:val="center"/>
          </w:tcPr>
          <w:p w14:paraId="61FE5EE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50,000,000.00</w:t>
            </w:r>
          </w:p>
        </w:tc>
        <w:tc>
          <w:tcPr>
            <w:tcW w:w="713" w:type="dxa"/>
            <w:vAlign w:val="center"/>
          </w:tcPr>
          <w:p w14:paraId="768C008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73FC82B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392ED01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50,000,000.00</w:t>
            </w:r>
          </w:p>
        </w:tc>
        <w:tc>
          <w:tcPr>
            <w:tcW w:w="1171" w:type="dxa"/>
            <w:tcBorders>
              <w:top w:val="single" w:sz="2" w:space="0" w:color="000000"/>
              <w:bottom w:val="single" w:sz="12" w:space="0" w:color="auto"/>
            </w:tcBorders>
            <w:shd w:val="clear" w:color="FFFF00" w:fill="D9D9D9"/>
            <w:vAlign w:val="center"/>
          </w:tcPr>
          <w:p w14:paraId="53F1CBB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3,131.35</w:t>
            </w:r>
          </w:p>
        </w:tc>
        <w:tc>
          <w:tcPr>
            <w:tcW w:w="1480" w:type="dxa"/>
            <w:vAlign w:val="center"/>
          </w:tcPr>
          <w:p w14:paraId="7E20D84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33,511,746.72</w:t>
            </w:r>
          </w:p>
        </w:tc>
      </w:tr>
    </w:tbl>
    <w:p w14:paraId="6D8EAC0A" w14:textId="77777777" w:rsidR="00FB39A5" w:rsidRPr="00FB39A5" w:rsidRDefault="00FB39A5" w:rsidP="00FB39A5">
      <w:pPr>
        <w:jc w:val="both"/>
        <w:rPr>
          <w:rFonts w:ascii="Arial" w:hAnsi="Arial" w:cs="Arial"/>
          <w:sz w:val="20"/>
          <w:lang w:val="en-GB"/>
        </w:rPr>
      </w:pPr>
    </w:p>
    <w:p w14:paraId="156AFC36" w14:textId="77777777" w:rsidR="00FB39A5" w:rsidRPr="00687722" w:rsidRDefault="00FB39A5" w:rsidP="00FB39A5">
      <w:pPr>
        <w:tabs>
          <w:tab w:val="left" w:pos="1500"/>
        </w:tabs>
        <w:spacing w:after="120"/>
        <w:ind w:left="1498" w:hanging="1498"/>
        <w:jc w:val="both"/>
        <w:rPr>
          <w:sz w:val="21"/>
          <w:szCs w:val="21"/>
          <w:lang w:val="en-GB"/>
        </w:rPr>
      </w:pPr>
      <w:r w:rsidRPr="00FB39A5">
        <w:rPr>
          <w:rFonts w:ascii="Arial" w:hAnsi="Arial" w:cs="Arial"/>
          <w:sz w:val="20"/>
          <w:lang w:val="en-GB"/>
        </w:rPr>
        <w:br w:type="page"/>
      </w:r>
      <w:r w:rsidRPr="00687722">
        <w:rPr>
          <w:b/>
          <w:sz w:val="21"/>
          <w:szCs w:val="21"/>
          <w:lang w:val="en-GB"/>
        </w:rPr>
        <w:t xml:space="preserve">Table 2 </w:t>
      </w:r>
      <w:r w:rsidRPr="00687722">
        <w:rPr>
          <w:b/>
          <w:i/>
          <w:iCs/>
          <w:sz w:val="21"/>
          <w:szCs w:val="21"/>
          <w:lang w:val="en-GB"/>
        </w:rPr>
        <w:t>cont.</w:t>
      </w:r>
      <w:r w:rsidRPr="00687722">
        <w:rPr>
          <w:sz w:val="21"/>
          <w:szCs w:val="21"/>
          <w:lang w:val="en-GB"/>
        </w:rPr>
        <w:tab/>
        <w:t>Values of goods from mangrove ecosystems at various locations bordering the South China Sea. Shaded cells include values not used in the subsequent analysis to determine national and regional weighted mean values for each resource.</w:t>
      </w:r>
    </w:p>
    <w:tbl>
      <w:tblPr>
        <w:tblW w:w="0" w:type="auto"/>
        <w:jc w:val="center"/>
        <w:tblBorders>
          <w:top w:val="single" w:sz="12" w:space="0" w:color="auto"/>
          <w:left w:val="single" w:sz="12" w:space="0" w:color="auto"/>
          <w:bottom w:val="single" w:sz="12" w:space="0" w:color="auto"/>
          <w:right w:val="single" w:sz="12" w:space="0" w:color="auto"/>
          <w:insideH w:val="single" w:sz="2" w:space="0" w:color="000000"/>
          <w:insideV w:val="single" w:sz="2" w:space="0" w:color="000000"/>
        </w:tblBorders>
        <w:tblLayout w:type="fixed"/>
        <w:tblCellMar>
          <w:left w:w="30" w:type="dxa"/>
          <w:right w:w="30" w:type="dxa"/>
        </w:tblCellMar>
        <w:tblLook w:val="0000" w:firstRow="0" w:lastRow="0" w:firstColumn="0" w:lastColumn="0" w:noHBand="0" w:noVBand="0"/>
      </w:tblPr>
      <w:tblGrid>
        <w:gridCol w:w="860"/>
        <w:gridCol w:w="859"/>
        <w:gridCol w:w="1837"/>
        <w:gridCol w:w="974"/>
        <w:gridCol w:w="779"/>
        <w:gridCol w:w="889"/>
        <w:gridCol w:w="874"/>
        <w:gridCol w:w="1187"/>
        <w:gridCol w:w="713"/>
        <w:gridCol w:w="958"/>
        <w:gridCol w:w="1449"/>
        <w:gridCol w:w="1171"/>
        <w:gridCol w:w="1480"/>
      </w:tblGrid>
      <w:tr w:rsidR="00FB39A5" w:rsidRPr="00FB39A5" w14:paraId="6045CD43" w14:textId="77777777" w:rsidTr="00FB39A5">
        <w:tblPrEx>
          <w:tblCellMar>
            <w:top w:w="0" w:type="dxa"/>
            <w:bottom w:w="0" w:type="dxa"/>
          </w:tblCellMar>
        </w:tblPrEx>
        <w:trPr>
          <w:trHeight w:val="664"/>
          <w:jc w:val="center"/>
        </w:trPr>
        <w:tc>
          <w:tcPr>
            <w:tcW w:w="860" w:type="dxa"/>
            <w:tcBorders>
              <w:top w:val="single" w:sz="12" w:space="0" w:color="auto"/>
              <w:bottom w:val="single" w:sz="12" w:space="0" w:color="auto"/>
            </w:tcBorders>
            <w:vAlign w:val="center"/>
          </w:tcPr>
          <w:p w14:paraId="445A71C4"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Country</w:t>
            </w:r>
          </w:p>
        </w:tc>
        <w:tc>
          <w:tcPr>
            <w:tcW w:w="859" w:type="dxa"/>
            <w:tcBorders>
              <w:top w:val="single" w:sz="12" w:space="0" w:color="auto"/>
              <w:bottom w:val="single" w:sz="12" w:space="0" w:color="auto"/>
            </w:tcBorders>
            <w:vAlign w:val="center"/>
          </w:tcPr>
          <w:p w14:paraId="5CCB5759" w14:textId="77777777" w:rsidR="00FB39A5" w:rsidRPr="00FB39A5" w:rsidRDefault="00FB39A5" w:rsidP="00FB39A5">
            <w:pPr>
              <w:keepNext/>
              <w:ind w:left="20"/>
              <w:jc w:val="center"/>
              <w:outlineLvl w:val="2"/>
              <w:rPr>
                <w:rFonts w:ascii="Arial" w:hAnsi="Arial" w:cs="Arial"/>
                <w:b/>
                <w:bCs/>
                <w:sz w:val="16"/>
                <w:szCs w:val="16"/>
                <w:lang w:val="en-GB" w:bidi="he-IL"/>
              </w:rPr>
            </w:pPr>
            <w:bookmarkStart w:id="34" w:name="_Toc163031986"/>
            <w:bookmarkStart w:id="35" w:name="_Toc163032113"/>
            <w:r w:rsidRPr="00FB39A5">
              <w:rPr>
                <w:rFonts w:ascii="Arial" w:hAnsi="Arial" w:cs="Arial"/>
                <w:b/>
                <w:bCs/>
                <w:sz w:val="16"/>
                <w:szCs w:val="16"/>
                <w:lang w:val="en-GB" w:bidi="he-IL"/>
              </w:rPr>
              <w:t>Year</w:t>
            </w:r>
            <w:bookmarkEnd w:id="34"/>
            <w:bookmarkEnd w:id="35"/>
          </w:p>
        </w:tc>
        <w:tc>
          <w:tcPr>
            <w:tcW w:w="1837" w:type="dxa"/>
            <w:tcBorders>
              <w:top w:val="single" w:sz="12" w:space="0" w:color="auto"/>
              <w:bottom w:val="single" w:sz="12" w:space="0" w:color="auto"/>
            </w:tcBorders>
            <w:vAlign w:val="center"/>
          </w:tcPr>
          <w:p w14:paraId="7FE2E7CA"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Location</w:t>
            </w:r>
          </w:p>
        </w:tc>
        <w:tc>
          <w:tcPr>
            <w:tcW w:w="974" w:type="dxa"/>
            <w:tcBorders>
              <w:top w:val="single" w:sz="12" w:space="0" w:color="auto"/>
              <w:bottom w:val="single" w:sz="12" w:space="0" w:color="auto"/>
            </w:tcBorders>
            <w:vAlign w:val="center"/>
          </w:tcPr>
          <w:p w14:paraId="3EE33741"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Total Area (Ha)</w:t>
            </w:r>
          </w:p>
        </w:tc>
        <w:tc>
          <w:tcPr>
            <w:tcW w:w="779" w:type="dxa"/>
            <w:tcBorders>
              <w:top w:val="single" w:sz="12" w:space="0" w:color="auto"/>
              <w:bottom w:val="single" w:sz="12" w:space="0" w:color="auto"/>
            </w:tcBorders>
            <w:vAlign w:val="center"/>
          </w:tcPr>
          <w:p w14:paraId="2DCB90A8"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Volume (per ha)</w:t>
            </w:r>
          </w:p>
        </w:tc>
        <w:tc>
          <w:tcPr>
            <w:tcW w:w="889" w:type="dxa"/>
            <w:tcBorders>
              <w:top w:val="single" w:sz="12" w:space="0" w:color="auto"/>
              <w:bottom w:val="single" w:sz="12" w:space="0" w:color="auto"/>
            </w:tcBorders>
            <w:vAlign w:val="center"/>
          </w:tcPr>
          <w:p w14:paraId="757940EA"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Unit Net Price</w:t>
            </w:r>
          </w:p>
        </w:tc>
        <w:tc>
          <w:tcPr>
            <w:tcW w:w="874" w:type="dxa"/>
            <w:tcBorders>
              <w:top w:val="single" w:sz="12" w:space="0" w:color="auto"/>
              <w:bottom w:val="single" w:sz="12" w:space="0" w:color="auto"/>
            </w:tcBorders>
            <w:vAlign w:val="center"/>
          </w:tcPr>
          <w:p w14:paraId="47BC4093"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Currency</w:t>
            </w:r>
          </w:p>
        </w:tc>
        <w:tc>
          <w:tcPr>
            <w:tcW w:w="1187" w:type="dxa"/>
            <w:tcBorders>
              <w:top w:val="single" w:sz="12" w:space="0" w:color="auto"/>
              <w:bottom w:val="single" w:sz="12" w:space="0" w:color="auto"/>
            </w:tcBorders>
            <w:vAlign w:val="center"/>
          </w:tcPr>
          <w:p w14:paraId="1C063314"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Value</w:t>
            </w:r>
          </w:p>
          <w:p w14:paraId="34E23A6B"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(per Ha)</w:t>
            </w:r>
          </w:p>
        </w:tc>
        <w:tc>
          <w:tcPr>
            <w:tcW w:w="713" w:type="dxa"/>
            <w:tcBorders>
              <w:top w:val="single" w:sz="12" w:space="0" w:color="auto"/>
              <w:bottom w:val="single" w:sz="12" w:space="0" w:color="auto"/>
            </w:tcBorders>
            <w:vAlign w:val="center"/>
          </w:tcPr>
          <w:p w14:paraId="65E7DE88"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CPI (base 2005)</w:t>
            </w:r>
          </w:p>
        </w:tc>
        <w:tc>
          <w:tcPr>
            <w:tcW w:w="958" w:type="dxa"/>
            <w:tcBorders>
              <w:top w:val="single" w:sz="12" w:space="0" w:color="auto"/>
              <w:bottom w:val="single" w:sz="12" w:space="0" w:color="auto"/>
            </w:tcBorders>
            <w:vAlign w:val="center"/>
          </w:tcPr>
          <w:p w14:paraId="0B50E213"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Exchange rate 2005</w:t>
            </w:r>
          </w:p>
        </w:tc>
        <w:tc>
          <w:tcPr>
            <w:tcW w:w="1449" w:type="dxa"/>
            <w:tcBorders>
              <w:top w:val="single" w:sz="12" w:space="0" w:color="auto"/>
              <w:bottom w:val="single" w:sz="12" w:space="0" w:color="auto"/>
            </w:tcBorders>
            <w:vAlign w:val="center"/>
          </w:tcPr>
          <w:p w14:paraId="38FD9E23"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Standard National Value, 2005, per hectare in local Currency</w:t>
            </w:r>
          </w:p>
        </w:tc>
        <w:tc>
          <w:tcPr>
            <w:tcW w:w="1171" w:type="dxa"/>
            <w:tcBorders>
              <w:top w:val="single" w:sz="12" w:space="0" w:color="auto"/>
              <w:bottom w:val="single" w:sz="12" w:space="0" w:color="auto"/>
            </w:tcBorders>
            <w:vAlign w:val="center"/>
          </w:tcPr>
          <w:p w14:paraId="74A87722"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 xml:space="preserve">Regionally comparable Value per hectare </w:t>
            </w:r>
            <w:smartTag w:uri="urn:schemas-microsoft-com:office:smarttags" w:element="place">
              <w:smartTag w:uri="urn:schemas-microsoft-com:office:smarttags" w:element="country-region">
                <w:r w:rsidRPr="00FB39A5">
                  <w:rPr>
                    <w:rFonts w:ascii="Arial" w:hAnsi="Arial" w:cs="Arial"/>
                    <w:b/>
                    <w:bCs/>
                    <w:sz w:val="16"/>
                    <w:szCs w:val="16"/>
                    <w:lang w:val="en-GB"/>
                  </w:rPr>
                  <w:t>US</w:t>
                </w:r>
              </w:smartTag>
            </w:smartTag>
            <w:r w:rsidRPr="00FB39A5">
              <w:rPr>
                <w:rFonts w:ascii="Arial" w:hAnsi="Arial" w:cs="Arial"/>
                <w:b/>
                <w:bCs/>
                <w:sz w:val="16"/>
                <w:szCs w:val="16"/>
                <w:lang w:val="en-GB"/>
              </w:rPr>
              <w:t>$</w:t>
            </w:r>
          </w:p>
        </w:tc>
        <w:tc>
          <w:tcPr>
            <w:tcW w:w="1480" w:type="dxa"/>
            <w:tcBorders>
              <w:top w:val="single" w:sz="12" w:space="0" w:color="auto"/>
              <w:bottom w:val="single" w:sz="12" w:space="0" w:color="auto"/>
            </w:tcBorders>
            <w:vAlign w:val="center"/>
          </w:tcPr>
          <w:p w14:paraId="7DEF4C0F"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 xml:space="preserve">Total Stock Value by Locality (Area </w:t>
            </w:r>
            <w:r w:rsidRPr="00FB39A5">
              <w:rPr>
                <w:rFonts w:ascii="Arial" w:hAnsi="Arial" w:cs="Arial"/>
                <w:b/>
                <w:bCs/>
                <w:i/>
                <w:iCs/>
                <w:sz w:val="16"/>
                <w:szCs w:val="16"/>
                <w:lang w:val="en-GB"/>
              </w:rPr>
              <w:t>x</w:t>
            </w:r>
            <w:r w:rsidRPr="00FB39A5">
              <w:rPr>
                <w:rFonts w:ascii="Arial" w:hAnsi="Arial" w:cs="Arial"/>
                <w:b/>
                <w:bCs/>
                <w:sz w:val="16"/>
                <w:szCs w:val="16"/>
                <w:lang w:val="en-GB"/>
              </w:rPr>
              <w:t>Value/Ha in US)</w:t>
            </w:r>
          </w:p>
        </w:tc>
      </w:tr>
      <w:tr w:rsidR="00FB39A5" w:rsidRPr="00FB39A5" w14:paraId="6FA4C2DB" w14:textId="77777777" w:rsidTr="00FB39A5">
        <w:tblPrEx>
          <w:tblCellMar>
            <w:top w:w="0" w:type="dxa"/>
            <w:bottom w:w="0" w:type="dxa"/>
          </w:tblCellMar>
        </w:tblPrEx>
        <w:trPr>
          <w:trHeight w:val="224"/>
          <w:jc w:val="center"/>
        </w:trPr>
        <w:tc>
          <w:tcPr>
            <w:tcW w:w="14030" w:type="dxa"/>
            <w:gridSpan w:val="13"/>
            <w:vAlign w:val="center"/>
          </w:tcPr>
          <w:p w14:paraId="70E0803E" w14:textId="77777777" w:rsidR="00FB39A5" w:rsidRPr="00FB39A5" w:rsidRDefault="00FB39A5" w:rsidP="00FB39A5">
            <w:pPr>
              <w:autoSpaceDE w:val="0"/>
              <w:autoSpaceDN w:val="0"/>
              <w:adjustRightInd w:val="0"/>
              <w:jc w:val="center"/>
              <w:rPr>
                <w:rFonts w:ascii="Arial" w:hAnsi="Arial" w:cs="Arial"/>
                <w:sz w:val="18"/>
                <w:szCs w:val="18"/>
                <w:lang w:val="en-GB"/>
              </w:rPr>
            </w:pPr>
            <w:r w:rsidRPr="00FB39A5">
              <w:rPr>
                <w:rFonts w:ascii="Arial" w:hAnsi="Arial" w:cs="Arial"/>
                <w:b/>
                <w:bCs/>
                <w:sz w:val="18"/>
                <w:szCs w:val="18"/>
                <w:lang w:val="en-GB"/>
              </w:rPr>
              <w:t>Young Milkfish kgs</w:t>
            </w:r>
          </w:p>
        </w:tc>
      </w:tr>
      <w:tr w:rsidR="00FB39A5" w:rsidRPr="00FB39A5" w14:paraId="3BDBB337" w14:textId="77777777" w:rsidTr="00FB39A5">
        <w:tblPrEx>
          <w:tblCellMar>
            <w:top w:w="0" w:type="dxa"/>
            <w:bottom w:w="0" w:type="dxa"/>
          </w:tblCellMar>
        </w:tblPrEx>
        <w:trPr>
          <w:trHeight w:val="191"/>
          <w:jc w:val="center"/>
        </w:trPr>
        <w:tc>
          <w:tcPr>
            <w:tcW w:w="860" w:type="dxa"/>
            <w:vAlign w:val="center"/>
          </w:tcPr>
          <w:p w14:paraId="1ED440F9"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Indonesia</w:t>
                </w:r>
              </w:smartTag>
            </w:smartTag>
          </w:p>
        </w:tc>
        <w:tc>
          <w:tcPr>
            <w:tcW w:w="859" w:type="dxa"/>
            <w:vAlign w:val="center"/>
          </w:tcPr>
          <w:p w14:paraId="4FCD5C3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2001</w:t>
            </w:r>
          </w:p>
        </w:tc>
        <w:tc>
          <w:tcPr>
            <w:tcW w:w="1837" w:type="dxa"/>
            <w:vAlign w:val="center"/>
          </w:tcPr>
          <w:p w14:paraId="14574F99"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Buton, </w:t>
            </w:r>
            <w:smartTag w:uri="urn:schemas-microsoft-com:office:smarttags" w:element="place">
              <w:r w:rsidRPr="00FB39A5">
                <w:rPr>
                  <w:rFonts w:ascii="Arial" w:hAnsi="Arial" w:cs="Arial"/>
                  <w:sz w:val="12"/>
                  <w:szCs w:val="12"/>
                  <w:lang w:val="en-GB"/>
                </w:rPr>
                <w:t>Southeast Sulawesi</w:t>
              </w:r>
            </w:smartTag>
            <w:r w:rsidRPr="00FB39A5">
              <w:rPr>
                <w:rFonts w:ascii="Arial" w:hAnsi="Arial" w:cs="Arial"/>
                <w:sz w:val="12"/>
                <w:szCs w:val="12"/>
                <w:lang w:val="en-GB"/>
              </w:rPr>
              <w:t xml:space="preserve"> </w:t>
            </w:r>
          </w:p>
        </w:tc>
        <w:tc>
          <w:tcPr>
            <w:tcW w:w="974" w:type="dxa"/>
            <w:vAlign w:val="center"/>
          </w:tcPr>
          <w:p w14:paraId="74955B1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144.00</w:t>
            </w:r>
          </w:p>
        </w:tc>
        <w:tc>
          <w:tcPr>
            <w:tcW w:w="779" w:type="dxa"/>
            <w:vAlign w:val="center"/>
          </w:tcPr>
          <w:p w14:paraId="20D4C8F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21,600.00</w:t>
            </w:r>
          </w:p>
        </w:tc>
        <w:tc>
          <w:tcPr>
            <w:tcW w:w="889" w:type="dxa"/>
            <w:vAlign w:val="center"/>
          </w:tcPr>
          <w:p w14:paraId="1E2E816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30.00</w:t>
            </w:r>
          </w:p>
        </w:tc>
        <w:tc>
          <w:tcPr>
            <w:tcW w:w="874" w:type="dxa"/>
            <w:vAlign w:val="center"/>
          </w:tcPr>
          <w:p w14:paraId="79260AF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437F0CA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648,000.00</w:t>
            </w:r>
          </w:p>
        </w:tc>
        <w:tc>
          <w:tcPr>
            <w:tcW w:w="713" w:type="dxa"/>
            <w:vAlign w:val="center"/>
          </w:tcPr>
          <w:p w14:paraId="7C145C2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71.46</w:t>
            </w:r>
          </w:p>
        </w:tc>
        <w:tc>
          <w:tcPr>
            <w:tcW w:w="958" w:type="dxa"/>
            <w:vAlign w:val="center"/>
          </w:tcPr>
          <w:p w14:paraId="3420DC1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6BA89C4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906,801.01</w:t>
            </w:r>
          </w:p>
        </w:tc>
        <w:tc>
          <w:tcPr>
            <w:tcW w:w="1171" w:type="dxa"/>
            <w:tcBorders>
              <w:top w:val="single" w:sz="2" w:space="0" w:color="000000"/>
              <w:bottom w:val="single" w:sz="2" w:space="0" w:color="000000"/>
            </w:tcBorders>
            <w:shd w:val="clear" w:color="FFFF00" w:fill="D9D9D9"/>
            <w:vAlign w:val="center"/>
          </w:tcPr>
          <w:p w14:paraId="3E80FB0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93.28</w:t>
            </w:r>
          </w:p>
        </w:tc>
        <w:tc>
          <w:tcPr>
            <w:tcW w:w="1480" w:type="dxa"/>
            <w:vAlign w:val="center"/>
          </w:tcPr>
          <w:p w14:paraId="752C343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13,431.81</w:t>
            </w:r>
          </w:p>
        </w:tc>
      </w:tr>
      <w:tr w:rsidR="00FB39A5" w:rsidRPr="00FB39A5" w14:paraId="14F2184C" w14:textId="77777777" w:rsidTr="00FB39A5">
        <w:tblPrEx>
          <w:tblCellMar>
            <w:top w:w="0" w:type="dxa"/>
            <w:bottom w:w="0" w:type="dxa"/>
          </w:tblCellMar>
        </w:tblPrEx>
        <w:trPr>
          <w:trHeight w:val="191"/>
          <w:jc w:val="center"/>
        </w:trPr>
        <w:tc>
          <w:tcPr>
            <w:tcW w:w="860" w:type="dxa"/>
            <w:vAlign w:val="center"/>
          </w:tcPr>
          <w:p w14:paraId="7677166D"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51A43E7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1837" w:type="dxa"/>
            <w:vAlign w:val="center"/>
          </w:tcPr>
          <w:p w14:paraId="24FC7627"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West Seram District : Area III</w:t>
            </w:r>
          </w:p>
        </w:tc>
        <w:tc>
          <w:tcPr>
            <w:tcW w:w="974" w:type="dxa"/>
            <w:vAlign w:val="center"/>
          </w:tcPr>
          <w:p w14:paraId="044D8EB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706.00</w:t>
            </w:r>
          </w:p>
        </w:tc>
        <w:tc>
          <w:tcPr>
            <w:tcW w:w="779" w:type="dxa"/>
            <w:vAlign w:val="center"/>
          </w:tcPr>
          <w:p w14:paraId="2E69909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w:t>
            </w:r>
          </w:p>
        </w:tc>
        <w:tc>
          <w:tcPr>
            <w:tcW w:w="889" w:type="dxa"/>
            <w:vAlign w:val="center"/>
          </w:tcPr>
          <w:p w14:paraId="22DD104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w:t>
            </w:r>
          </w:p>
        </w:tc>
        <w:tc>
          <w:tcPr>
            <w:tcW w:w="874" w:type="dxa"/>
            <w:vAlign w:val="center"/>
          </w:tcPr>
          <w:p w14:paraId="15C7483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1929610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234,560.91</w:t>
            </w:r>
          </w:p>
        </w:tc>
        <w:tc>
          <w:tcPr>
            <w:tcW w:w="713" w:type="dxa"/>
            <w:vAlign w:val="center"/>
          </w:tcPr>
          <w:p w14:paraId="637D4D7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8" w:type="dxa"/>
            <w:vAlign w:val="center"/>
          </w:tcPr>
          <w:p w14:paraId="5910F5D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7AB31FE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365,986.75</w:t>
            </w:r>
          </w:p>
        </w:tc>
        <w:tc>
          <w:tcPr>
            <w:tcW w:w="1171" w:type="dxa"/>
            <w:vAlign w:val="center"/>
          </w:tcPr>
          <w:p w14:paraId="44DAC31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37.65</w:t>
            </w:r>
          </w:p>
        </w:tc>
        <w:tc>
          <w:tcPr>
            <w:tcW w:w="1480" w:type="dxa"/>
            <w:vAlign w:val="center"/>
          </w:tcPr>
          <w:p w14:paraId="177C41B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26,578.47</w:t>
            </w:r>
          </w:p>
        </w:tc>
      </w:tr>
      <w:tr w:rsidR="00FB39A5" w:rsidRPr="00FB39A5" w14:paraId="69953737" w14:textId="77777777" w:rsidTr="00FB39A5">
        <w:tblPrEx>
          <w:tblCellMar>
            <w:top w:w="0" w:type="dxa"/>
            <w:bottom w:w="0" w:type="dxa"/>
          </w:tblCellMar>
        </w:tblPrEx>
        <w:trPr>
          <w:trHeight w:val="191"/>
          <w:jc w:val="center"/>
        </w:trPr>
        <w:tc>
          <w:tcPr>
            <w:tcW w:w="860" w:type="dxa"/>
            <w:vAlign w:val="center"/>
          </w:tcPr>
          <w:p w14:paraId="269AD708"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Thailand</w:t>
                </w:r>
              </w:smartTag>
            </w:smartTag>
            <w:r w:rsidRPr="00FB39A5">
              <w:rPr>
                <w:rFonts w:ascii="Arial" w:hAnsi="Arial" w:cs="Arial"/>
                <w:sz w:val="16"/>
                <w:szCs w:val="16"/>
                <w:lang w:val="en-GB"/>
              </w:rPr>
              <w:t xml:space="preserve"> </w:t>
            </w:r>
          </w:p>
        </w:tc>
        <w:tc>
          <w:tcPr>
            <w:tcW w:w="859" w:type="dxa"/>
            <w:vAlign w:val="center"/>
          </w:tcPr>
          <w:p w14:paraId="1D3802F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1997</w:t>
            </w:r>
          </w:p>
        </w:tc>
        <w:tc>
          <w:tcPr>
            <w:tcW w:w="1837" w:type="dxa"/>
            <w:vAlign w:val="center"/>
          </w:tcPr>
          <w:p w14:paraId="08D63B90"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Samut Sakorn fish larvae</w:t>
            </w:r>
          </w:p>
        </w:tc>
        <w:tc>
          <w:tcPr>
            <w:tcW w:w="974" w:type="dxa"/>
            <w:vAlign w:val="center"/>
          </w:tcPr>
          <w:p w14:paraId="1DB7AC8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1,696.00</w:t>
            </w:r>
          </w:p>
        </w:tc>
        <w:tc>
          <w:tcPr>
            <w:tcW w:w="779" w:type="dxa"/>
            <w:vAlign w:val="center"/>
          </w:tcPr>
          <w:p w14:paraId="2A6266C6" w14:textId="77777777" w:rsidR="00FB39A5" w:rsidRPr="00FB39A5" w:rsidRDefault="00FB39A5" w:rsidP="00FB39A5">
            <w:pPr>
              <w:jc w:val="center"/>
              <w:rPr>
                <w:rFonts w:ascii="Arial" w:hAnsi="Arial" w:cs="Arial"/>
                <w:sz w:val="20"/>
                <w:lang w:val="en-GB"/>
              </w:rPr>
            </w:pPr>
            <w:r w:rsidRPr="00FB39A5">
              <w:rPr>
                <w:rFonts w:ascii="Arial" w:hAnsi="Arial" w:cs="Arial"/>
                <w:sz w:val="16"/>
                <w:szCs w:val="16"/>
                <w:lang w:val="en-GB"/>
              </w:rPr>
              <w:t>N/A</w:t>
            </w:r>
          </w:p>
        </w:tc>
        <w:tc>
          <w:tcPr>
            <w:tcW w:w="889" w:type="dxa"/>
            <w:vAlign w:val="center"/>
          </w:tcPr>
          <w:p w14:paraId="1C0D8875" w14:textId="77777777" w:rsidR="00FB39A5" w:rsidRPr="00FB39A5" w:rsidRDefault="00FB39A5" w:rsidP="00FB39A5">
            <w:pPr>
              <w:jc w:val="center"/>
              <w:rPr>
                <w:rFonts w:ascii="Arial" w:hAnsi="Arial" w:cs="Arial"/>
                <w:sz w:val="20"/>
                <w:lang w:val="en-GB"/>
              </w:rPr>
            </w:pPr>
            <w:r w:rsidRPr="00FB39A5">
              <w:rPr>
                <w:rFonts w:ascii="Arial" w:hAnsi="Arial" w:cs="Arial"/>
                <w:sz w:val="16"/>
                <w:szCs w:val="16"/>
                <w:lang w:val="en-GB"/>
              </w:rPr>
              <w:t>N/A</w:t>
            </w:r>
          </w:p>
        </w:tc>
        <w:tc>
          <w:tcPr>
            <w:tcW w:w="874" w:type="dxa"/>
            <w:vAlign w:val="center"/>
          </w:tcPr>
          <w:p w14:paraId="4E38B1C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187" w:type="dxa"/>
            <w:vAlign w:val="center"/>
          </w:tcPr>
          <w:p w14:paraId="70088E0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751.78</w:t>
            </w:r>
          </w:p>
        </w:tc>
        <w:tc>
          <w:tcPr>
            <w:tcW w:w="713" w:type="dxa"/>
            <w:vAlign w:val="center"/>
          </w:tcPr>
          <w:p w14:paraId="133EB7D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81.21</w:t>
            </w:r>
          </w:p>
        </w:tc>
        <w:tc>
          <w:tcPr>
            <w:tcW w:w="958" w:type="dxa"/>
            <w:vAlign w:val="center"/>
          </w:tcPr>
          <w:p w14:paraId="681F2CE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449" w:type="dxa"/>
            <w:vAlign w:val="center"/>
          </w:tcPr>
          <w:p w14:paraId="0F09D76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925.72</w:t>
            </w:r>
          </w:p>
        </w:tc>
        <w:tc>
          <w:tcPr>
            <w:tcW w:w="1171" w:type="dxa"/>
            <w:vAlign w:val="center"/>
          </w:tcPr>
          <w:p w14:paraId="0798990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22.97</w:t>
            </w:r>
          </w:p>
        </w:tc>
        <w:tc>
          <w:tcPr>
            <w:tcW w:w="1480" w:type="dxa"/>
            <w:vAlign w:val="center"/>
          </w:tcPr>
          <w:p w14:paraId="0434686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38,952.59</w:t>
            </w:r>
          </w:p>
        </w:tc>
      </w:tr>
      <w:tr w:rsidR="00FB39A5" w:rsidRPr="00FB39A5" w14:paraId="31DE5DD2" w14:textId="77777777" w:rsidTr="00FB39A5">
        <w:tblPrEx>
          <w:tblCellMar>
            <w:top w:w="0" w:type="dxa"/>
            <w:bottom w:w="0" w:type="dxa"/>
          </w:tblCellMar>
        </w:tblPrEx>
        <w:trPr>
          <w:trHeight w:val="191"/>
          <w:jc w:val="center"/>
        </w:trPr>
        <w:tc>
          <w:tcPr>
            <w:tcW w:w="860" w:type="dxa"/>
            <w:vAlign w:val="center"/>
          </w:tcPr>
          <w:p w14:paraId="1C741AFD"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2D3C25D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1997</w:t>
            </w:r>
          </w:p>
        </w:tc>
        <w:tc>
          <w:tcPr>
            <w:tcW w:w="1837" w:type="dxa"/>
            <w:vAlign w:val="center"/>
          </w:tcPr>
          <w:p w14:paraId="778573D6"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Ranong fish larvae</w:t>
            </w:r>
          </w:p>
        </w:tc>
        <w:tc>
          <w:tcPr>
            <w:tcW w:w="974" w:type="dxa"/>
            <w:vAlign w:val="center"/>
          </w:tcPr>
          <w:p w14:paraId="55B9CFC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19,237.00</w:t>
            </w:r>
          </w:p>
        </w:tc>
        <w:tc>
          <w:tcPr>
            <w:tcW w:w="779" w:type="dxa"/>
            <w:vAlign w:val="center"/>
          </w:tcPr>
          <w:p w14:paraId="5465DD70" w14:textId="77777777" w:rsidR="00FB39A5" w:rsidRPr="00FB39A5" w:rsidRDefault="00FB39A5" w:rsidP="00FB39A5">
            <w:pPr>
              <w:jc w:val="center"/>
              <w:rPr>
                <w:rFonts w:ascii="Arial" w:hAnsi="Arial" w:cs="Arial"/>
                <w:sz w:val="20"/>
                <w:lang w:val="en-GB"/>
              </w:rPr>
            </w:pPr>
            <w:r w:rsidRPr="00FB39A5">
              <w:rPr>
                <w:rFonts w:ascii="Arial" w:hAnsi="Arial" w:cs="Arial"/>
                <w:sz w:val="16"/>
                <w:szCs w:val="16"/>
                <w:lang w:val="en-GB"/>
              </w:rPr>
              <w:t>N/A</w:t>
            </w:r>
          </w:p>
        </w:tc>
        <w:tc>
          <w:tcPr>
            <w:tcW w:w="889" w:type="dxa"/>
            <w:vAlign w:val="center"/>
          </w:tcPr>
          <w:p w14:paraId="62ECF617" w14:textId="77777777" w:rsidR="00FB39A5" w:rsidRPr="00FB39A5" w:rsidRDefault="00FB39A5" w:rsidP="00FB39A5">
            <w:pPr>
              <w:jc w:val="center"/>
              <w:rPr>
                <w:rFonts w:ascii="Arial" w:hAnsi="Arial" w:cs="Arial"/>
                <w:sz w:val="20"/>
                <w:lang w:val="en-GB"/>
              </w:rPr>
            </w:pPr>
            <w:r w:rsidRPr="00FB39A5">
              <w:rPr>
                <w:rFonts w:ascii="Arial" w:hAnsi="Arial" w:cs="Arial"/>
                <w:sz w:val="16"/>
                <w:szCs w:val="16"/>
                <w:lang w:val="en-GB"/>
              </w:rPr>
              <w:t>N/A</w:t>
            </w:r>
          </w:p>
        </w:tc>
        <w:tc>
          <w:tcPr>
            <w:tcW w:w="874" w:type="dxa"/>
            <w:vAlign w:val="center"/>
          </w:tcPr>
          <w:p w14:paraId="37A9B97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187" w:type="dxa"/>
            <w:vAlign w:val="center"/>
          </w:tcPr>
          <w:p w14:paraId="053D777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414.23</w:t>
            </w:r>
          </w:p>
        </w:tc>
        <w:tc>
          <w:tcPr>
            <w:tcW w:w="713" w:type="dxa"/>
            <w:vAlign w:val="center"/>
          </w:tcPr>
          <w:p w14:paraId="221C79D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81.21</w:t>
            </w:r>
          </w:p>
        </w:tc>
        <w:tc>
          <w:tcPr>
            <w:tcW w:w="958" w:type="dxa"/>
            <w:vAlign w:val="center"/>
          </w:tcPr>
          <w:p w14:paraId="397A87F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449" w:type="dxa"/>
            <w:vAlign w:val="center"/>
          </w:tcPr>
          <w:p w14:paraId="2CBDFEC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510.07</w:t>
            </w:r>
          </w:p>
        </w:tc>
        <w:tc>
          <w:tcPr>
            <w:tcW w:w="1171" w:type="dxa"/>
            <w:vAlign w:val="center"/>
          </w:tcPr>
          <w:p w14:paraId="0FE48E3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12.65</w:t>
            </w:r>
          </w:p>
        </w:tc>
        <w:tc>
          <w:tcPr>
            <w:tcW w:w="1480" w:type="dxa"/>
            <w:vAlign w:val="center"/>
          </w:tcPr>
          <w:p w14:paraId="4E3066A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243,443.74</w:t>
            </w:r>
          </w:p>
        </w:tc>
      </w:tr>
      <w:tr w:rsidR="00FB39A5" w:rsidRPr="00FB39A5" w14:paraId="3701C6F2" w14:textId="77777777" w:rsidTr="00FB39A5">
        <w:tblPrEx>
          <w:tblCellMar>
            <w:top w:w="0" w:type="dxa"/>
            <w:bottom w:w="0" w:type="dxa"/>
          </w:tblCellMar>
        </w:tblPrEx>
        <w:trPr>
          <w:trHeight w:val="191"/>
          <w:jc w:val="center"/>
        </w:trPr>
        <w:tc>
          <w:tcPr>
            <w:tcW w:w="860" w:type="dxa"/>
            <w:vAlign w:val="center"/>
          </w:tcPr>
          <w:p w14:paraId="3AC21CA1"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43D1101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1997</w:t>
            </w:r>
          </w:p>
        </w:tc>
        <w:tc>
          <w:tcPr>
            <w:tcW w:w="1837" w:type="dxa"/>
            <w:vAlign w:val="center"/>
          </w:tcPr>
          <w:p w14:paraId="46627C99"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Trang prawn larvae</w:t>
            </w:r>
          </w:p>
        </w:tc>
        <w:tc>
          <w:tcPr>
            <w:tcW w:w="974" w:type="dxa"/>
            <w:vAlign w:val="center"/>
          </w:tcPr>
          <w:p w14:paraId="4B52CF4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24,696.00</w:t>
            </w:r>
          </w:p>
        </w:tc>
        <w:tc>
          <w:tcPr>
            <w:tcW w:w="779" w:type="dxa"/>
            <w:vAlign w:val="center"/>
          </w:tcPr>
          <w:p w14:paraId="42E78F05" w14:textId="77777777" w:rsidR="00FB39A5" w:rsidRPr="00FB39A5" w:rsidRDefault="00FB39A5" w:rsidP="00FB39A5">
            <w:pPr>
              <w:jc w:val="center"/>
              <w:rPr>
                <w:rFonts w:ascii="Arial" w:hAnsi="Arial" w:cs="Arial"/>
                <w:sz w:val="20"/>
                <w:lang w:val="en-GB"/>
              </w:rPr>
            </w:pPr>
            <w:r w:rsidRPr="00FB39A5">
              <w:rPr>
                <w:rFonts w:ascii="Arial" w:hAnsi="Arial" w:cs="Arial"/>
                <w:sz w:val="16"/>
                <w:szCs w:val="16"/>
                <w:lang w:val="en-GB"/>
              </w:rPr>
              <w:t>N/A</w:t>
            </w:r>
          </w:p>
        </w:tc>
        <w:tc>
          <w:tcPr>
            <w:tcW w:w="889" w:type="dxa"/>
            <w:vAlign w:val="center"/>
          </w:tcPr>
          <w:p w14:paraId="486688AF" w14:textId="77777777" w:rsidR="00FB39A5" w:rsidRPr="00FB39A5" w:rsidRDefault="00FB39A5" w:rsidP="00FB39A5">
            <w:pPr>
              <w:jc w:val="center"/>
              <w:rPr>
                <w:rFonts w:ascii="Arial" w:hAnsi="Arial" w:cs="Arial"/>
                <w:sz w:val="20"/>
                <w:lang w:val="en-GB"/>
              </w:rPr>
            </w:pPr>
            <w:r w:rsidRPr="00FB39A5">
              <w:rPr>
                <w:rFonts w:ascii="Arial" w:hAnsi="Arial" w:cs="Arial"/>
                <w:sz w:val="16"/>
                <w:szCs w:val="16"/>
                <w:lang w:val="en-GB"/>
              </w:rPr>
              <w:t>N/A</w:t>
            </w:r>
          </w:p>
        </w:tc>
        <w:tc>
          <w:tcPr>
            <w:tcW w:w="874" w:type="dxa"/>
            <w:vAlign w:val="center"/>
          </w:tcPr>
          <w:p w14:paraId="2096818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187" w:type="dxa"/>
            <w:vAlign w:val="center"/>
          </w:tcPr>
          <w:p w14:paraId="48F5189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89.03</w:t>
            </w:r>
          </w:p>
        </w:tc>
        <w:tc>
          <w:tcPr>
            <w:tcW w:w="713" w:type="dxa"/>
            <w:vAlign w:val="center"/>
          </w:tcPr>
          <w:p w14:paraId="7DBCA02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81.21</w:t>
            </w:r>
          </w:p>
        </w:tc>
        <w:tc>
          <w:tcPr>
            <w:tcW w:w="958" w:type="dxa"/>
            <w:vAlign w:val="center"/>
          </w:tcPr>
          <w:p w14:paraId="4858254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449" w:type="dxa"/>
            <w:vAlign w:val="center"/>
          </w:tcPr>
          <w:p w14:paraId="789BB2A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109.63</w:t>
            </w:r>
          </w:p>
        </w:tc>
        <w:tc>
          <w:tcPr>
            <w:tcW w:w="1171" w:type="dxa"/>
            <w:vAlign w:val="center"/>
          </w:tcPr>
          <w:p w14:paraId="08213C3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2.72</w:t>
            </w:r>
          </w:p>
        </w:tc>
        <w:tc>
          <w:tcPr>
            <w:tcW w:w="1480" w:type="dxa"/>
            <w:vAlign w:val="center"/>
          </w:tcPr>
          <w:p w14:paraId="7E0F963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67,171.14</w:t>
            </w:r>
          </w:p>
        </w:tc>
      </w:tr>
      <w:tr w:rsidR="00FB39A5" w:rsidRPr="00FB39A5" w14:paraId="4A6715FB" w14:textId="77777777" w:rsidTr="00FB39A5">
        <w:tblPrEx>
          <w:tblCellMar>
            <w:top w:w="0" w:type="dxa"/>
            <w:bottom w:w="0" w:type="dxa"/>
          </w:tblCellMar>
        </w:tblPrEx>
        <w:trPr>
          <w:trHeight w:val="191"/>
          <w:jc w:val="center"/>
        </w:trPr>
        <w:tc>
          <w:tcPr>
            <w:tcW w:w="860" w:type="dxa"/>
            <w:vAlign w:val="center"/>
          </w:tcPr>
          <w:p w14:paraId="5A39F02E"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7BBFEC6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1997</w:t>
            </w:r>
          </w:p>
        </w:tc>
        <w:tc>
          <w:tcPr>
            <w:tcW w:w="1837" w:type="dxa"/>
            <w:vAlign w:val="center"/>
          </w:tcPr>
          <w:p w14:paraId="0CDC0CA6"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Samut Sakorn crab larvae</w:t>
            </w:r>
          </w:p>
        </w:tc>
        <w:tc>
          <w:tcPr>
            <w:tcW w:w="974" w:type="dxa"/>
            <w:vAlign w:val="center"/>
          </w:tcPr>
          <w:p w14:paraId="70DDF3D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1,696.00</w:t>
            </w:r>
          </w:p>
        </w:tc>
        <w:tc>
          <w:tcPr>
            <w:tcW w:w="779" w:type="dxa"/>
            <w:vAlign w:val="center"/>
          </w:tcPr>
          <w:p w14:paraId="0DDFD659" w14:textId="77777777" w:rsidR="00FB39A5" w:rsidRPr="00FB39A5" w:rsidRDefault="00FB39A5" w:rsidP="00FB39A5">
            <w:pPr>
              <w:jc w:val="center"/>
              <w:rPr>
                <w:rFonts w:ascii="Arial" w:hAnsi="Arial" w:cs="Arial"/>
                <w:sz w:val="20"/>
                <w:lang w:val="en-GB"/>
              </w:rPr>
            </w:pPr>
            <w:r w:rsidRPr="00FB39A5">
              <w:rPr>
                <w:rFonts w:ascii="Arial" w:hAnsi="Arial" w:cs="Arial"/>
                <w:sz w:val="16"/>
                <w:szCs w:val="16"/>
                <w:lang w:val="en-GB"/>
              </w:rPr>
              <w:t>N/A</w:t>
            </w:r>
          </w:p>
        </w:tc>
        <w:tc>
          <w:tcPr>
            <w:tcW w:w="889" w:type="dxa"/>
            <w:vAlign w:val="center"/>
          </w:tcPr>
          <w:p w14:paraId="5F2ECF00" w14:textId="77777777" w:rsidR="00FB39A5" w:rsidRPr="00FB39A5" w:rsidRDefault="00FB39A5" w:rsidP="00FB39A5">
            <w:pPr>
              <w:jc w:val="center"/>
              <w:rPr>
                <w:rFonts w:ascii="Arial" w:hAnsi="Arial" w:cs="Arial"/>
                <w:sz w:val="20"/>
                <w:lang w:val="en-GB"/>
              </w:rPr>
            </w:pPr>
            <w:r w:rsidRPr="00FB39A5">
              <w:rPr>
                <w:rFonts w:ascii="Arial" w:hAnsi="Arial" w:cs="Arial"/>
                <w:sz w:val="16"/>
                <w:szCs w:val="16"/>
                <w:lang w:val="en-GB"/>
              </w:rPr>
              <w:t>N/A</w:t>
            </w:r>
          </w:p>
        </w:tc>
        <w:tc>
          <w:tcPr>
            <w:tcW w:w="874" w:type="dxa"/>
            <w:vAlign w:val="center"/>
          </w:tcPr>
          <w:p w14:paraId="21C8157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187" w:type="dxa"/>
            <w:vAlign w:val="center"/>
          </w:tcPr>
          <w:p w14:paraId="13EBF6E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1,673.04</w:t>
            </w:r>
          </w:p>
        </w:tc>
        <w:tc>
          <w:tcPr>
            <w:tcW w:w="713" w:type="dxa"/>
            <w:vAlign w:val="center"/>
          </w:tcPr>
          <w:p w14:paraId="5E6BEE1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81.21</w:t>
            </w:r>
          </w:p>
        </w:tc>
        <w:tc>
          <w:tcPr>
            <w:tcW w:w="958" w:type="dxa"/>
            <w:vAlign w:val="center"/>
          </w:tcPr>
          <w:p w14:paraId="6D9A7B1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449" w:type="dxa"/>
            <w:vAlign w:val="center"/>
          </w:tcPr>
          <w:p w14:paraId="5A720AA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2,060.14</w:t>
            </w:r>
          </w:p>
        </w:tc>
        <w:tc>
          <w:tcPr>
            <w:tcW w:w="1171" w:type="dxa"/>
            <w:vAlign w:val="center"/>
          </w:tcPr>
          <w:p w14:paraId="640FCA7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51.11</w:t>
            </w:r>
          </w:p>
        </w:tc>
        <w:tc>
          <w:tcPr>
            <w:tcW w:w="1480" w:type="dxa"/>
            <w:vAlign w:val="center"/>
          </w:tcPr>
          <w:p w14:paraId="4CD60AB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86,686.58</w:t>
            </w:r>
          </w:p>
        </w:tc>
      </w:tr>
      <w:tr w:rsidR="00FB39A5" w:rsidRPr="00FB39A5" w14:paraId="2354433B" w14:textId="77777777" w:rsidTr="00FB39A5">
        <w:tblPrEx>
          <w:tblCellMar>
            <w:top w:w="0" w:type="dxa"/>
            <w:bottom w:w="0" w:type="dxa"/>
          </w:tblCellMar>
        </w:tblPrEx>
        <w:trPr>
          <w:trHeight w:val="191"/>
          <w:jc w:val="center"/>
        </w:trPr>
        <w:tc>
          <w:tcPr>
            <w:tcW w:w="860" w:type="dxa"/>
            <w:vAlign w:val="center"/>
          </w:tcPr>
          <w:p w14:paraId="6FC31ACB"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2AE7CB1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1997</w:t>
            </w:r>
          </w:p>
        </w:tc>
        <w:tc>
          <w:tcPr>
            <w:tcW w:w="1837" w:type="dxa"/>
            <w:vAlign w:val="center"/>
          </w:tcPr>
          <w:p w14:paraId="1966259E"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Ranong crab larvae</w:t>
            </w:r>
          </w:p>
        </w:tc>
        <w:tc>
          <w:tcPr>
            <w:tcW w:w="974" w:type="dxa"/>
            <w:vAlign w:val="center"/>
          </w:tcPr>
          <w:p w14:paraId="7EBDDB1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19,237.00</w:t>
            </w:r>
          </w:p>
        </w:tc>
        <w:tc>
          <w:tcPr>
            <w:tcW w:w="779" w:type="dxa"/>
            <w:vAlign w:val="center"/>
          </w:tcPr>
          <w:p w14:paraId="548AE024" w14:textId="77777777" w:rsidR="00FB39A5" w:rsidRPr="00FB39A5" w:rsidRDefault="00FB39A5" w:rsidP="00FB39A5">
            <w:pPr>
              <w:jc w:val="center"/>
              <w:rPr>
                <w:rFonts w:ascii="Arial" w:hAnsi="Arial" w:cs="Arial"/>
                <w:sz w:val="20"/>
                <w:lang w:val="en-GB"/>
              </w:rPr>
            </w:pPr>
            <w:r w:rsidRPr="00FB39A5">
              <w:rPr>
                <w:rFonts w:ascii="Arial" w:hAnsi="Arial" w:cs="Arial"/>
                <w:sz w:val="16"/>
                <w:szCs w:val="16"/>
                <w:lang w:val="en-GB"/>
              </w:rPr>
              <w:t>N/A</w:t>
            </w:r>
          </w:p>
        </w:tc>
        <w:tc>
          <w:tcPr>
            <w:tcW w:w="889" w:type="dxa"/>
            <w:vAlign w:val="center"/>
          </w:tcPr>
          <w:p w14:paraId="6EC5965F" w14:textId="77777777" w:rsidR="00FB39A5" w:rsidRPr="00FB39A5" w:rsidRDefault="00FB39A5" w:rsidP="00FB39A5">
            <w:pPr>
              <w:jc w:val="center"/>
              <w:rPr>
                <w:rFonts w:ascii="Arial" w:hAnsi="Arial" w:cs="Arial"/>
                <w:sz w:val="20"/>
                <w:lang w:val="en-GB"/>
              </w:rPr>
            </w:pPr>
            <w:r w:rsidRPr="00FB39A5">
              <w:rPr>
                <w:rFonts w:ascii="Arial" w:hAnsi="Arial" w:cs="Arial"/>
                <w:sz w:val="16"/>
                <w:szCs w:val="16"/>
                <w:lang w:val="en-GB"/>
              </w:rPr>
              <w:t>N/A</w:t>
            </w:r>
          </w:p>
        </w:tc>
        <w:tc>
          <w:tcPr>
            <w:tcW w:w="874" w:type="dxa"/>
            <w:vAlign w:val="center"/>
          </w:tcPr>
          <w:p w14:paraId="2D26BDC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187" w:type="dxa"/>
            <w:vAlign w:val="center"/>
          </w:tcPr>
          <w:p w14:paraId="424BAAD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984.82</w:t>
            </w:r>
          </w:p>
        </w:tc>
        <w:tc>
          <w:tcPr>
            <w:tcW w:w="713" w:type="dxa"/>
            <w:vAlign w:val="center"/>
          </w:tcPr>
          <w:p w14:paraId="6BE6371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81.21</w:t>
            </w:r>
          </w:p>
        </w:tc>
        <w:tc>
          <w:tcPr>
            <w:tcW w:w="958" w:type="dxa"/>
            <w:vAlign w:val="center"/>
          </w:tcPr>
          <w:p w14:paraId="79DBB17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449" w:type="dxa"/>
            <w:vAlign w:val="center"/>
          </w:tcPr>
          <w:p w14:paraId="7C34DD4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1,212.68</w:t>
            </w:r>
          </w:p>
        </w:tc>
        <w:tc>
          <w:tcPr>
            <w:tcW w:w="1171" w:type="dxa"/>
            <w:vAlign w:val="center"/>
          </w:tcPr>
          <w:p w14:paraId="131ACB8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30.09</w:t>
            </w:r>
          </w:p>
        </w:tc>
        <w:tc>
          <w:tcPr>
            <w:tcW w:w="1480" w:type="dxa"/>
            <w:vAlign w:val="center"/>
          </w:tcPr>
          <w:p w14:paraId="05FF044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578,780.53</w:t>
            </w:r>
          </w:p>
        </w:tc>
      </w:tr>
      <w:tr w:rsidR="00FB39A5" w:rsidRPr="00FB39A5" w14:paraId="204FA912" w14:textId="77777777" w:rsidTr="00FB39A5">
        <w:tblPrEx>
          <w:tblCellMar>
            <w:top w:w="0" w:type="dxa"/>
            <w:bottom w:w="0" w:type="dxa"/>
          </w:tblCellMar>
        </w:tblPrEx>
        <w:trPr>
          <w:trHeight w:val="191"/>
          <w:jc w:val="center"/>
        </w:trPr>
        <w:tc>
          <w:tcPr>
            <w:tcW w:w="860" w:type="dxa"/>
            <w:vAlign w:val="center"/>
          </w:tcPr>
          <w:p w14:paraId="72A3F8AF"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1788520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1997</w:t>
            </w:r>
          </w:p>
        </w:tc>
        <w:tc>
          <w:tcPr>
            <w:tcW w:w="1837" w:type="dxa"/>
            <w:vAlign w:val="center"/>
          </w:tcPr>
          <w:p w14:paraId="63BEB0BA"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Trang crab larvae</w:t>
            </w:r>
          </w:p>
        </w:tc>
        <w:tc>
          <w:tcPr>
            <w:tcW w:w="974" w:type="dxa"/>
            <w:vAlign w:val="center"/>
          </w:tcPr>
          <w:p w14:paraId="258EAA8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24,696.00</w:t>
            </w:r>
          </w:p>
        </w:tc>
        <w:tc>
          <w:tcPr>
            <w:tcW w:w="779" w:type="dxa"/>
            <w:vAlign w:val="center"/>
          </w:tcPr>
          <w:p w14:paraId="6D3110E0" w14:textId="77777777" w:rsidR="00FB39A5" w:rsidRPr="00FB39A5" w:rsidRDefault="00FB39A5" w:rsidP="00FB39A5">
            <w:pPr>
              <w:jc w:val="center"/>
              <w:rPr>
                <w:rFonts w:ascii="Arial" w:hAnsi="Arial" w:cs="Arial"/>
                <w:sz w:val="20"/>
                <w:lang w:val="en-GB"/>
              </w:rPr>
            </w:pPr>
            <w:r w:rsidRPr="00FB39A5">
              <w:rPr>
                <w:rFonts w:ascii="Arial" w:hAnsi="Arial" w:cs="Arial"/>
                <w:sz w:val="16"/>
                <w:szCs w:val="16"/>
                <w:lang w:val="en-GB"/>
              </w:rPr>
              <w:t>N/A</w:t>
            </w:r>
          </w:p>
        </w:tc>
        <w:tc>
          <w:tcPr>
            <w:tcW w:w="889" w:type="dxa"/>
            <w:vAlign w:val="center"/>
          </w:tcPr>
          <w:p w14:paraId="0E6149AE" w14:textId="77777777" w:rsidR="00FB39A5" w:rsidRPr="00FB39A5" w:rsidRDefault="00FB39A5" w:rsidP="00FB39A5">
            <w:pPr>
              <w:jc w:val="center"/>
              <w:rPr>
                <w:rFonts w:ascii="Arial" w:hAnsi="Arial" w:cs="Arial"/>
                <w:sz w:val="20"/>
                <w:lang w:val="en-GB"/>
              </w:rPr>
            </w:pPr>
            <w:r w:rsidRPr="00FB39A5">
              <w:rPr>
                <w:rFonts w:ascii="Arial" w:hAnsi="Arial" w:cs="Arial"/>
                <w:sz w:val="16"/>
                <w:szCs w:val="16"/>
                <w:lang w:val="en-GB"/>
              </w:rPr>
              <w:t>N/A</w:t>
            </w:r>
          </w:p>
        </w:tc>
        <w:tc>
          <w:tcPr>
            <w:tcW w:w="874" w:type="dxa"/>
            <w:vAlign w:val="center"/>
          </w:tcPr>
          <w:p w14:paraId="455445B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187" w:type="dxa"/>
            <w:vAlign w:val="center"/>
          </w:tcPr>
          <w:p w14:paraId="4D027AF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207.11</w:t>
            </w:r>
          </w:p>
        </w:tc>
        <w:tc>
          <w:tcPr>
            <w:tcW w:w="713" w:type="dxa"/>
            <w:vAlign w:val="center"/>
          </w:tcPr>
          <w:p w14:paraId="7333D2C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81.21</w:t>
            </w:r>
          </w:p>
        </w:tc>
        <w:tc>
          <w:tcPr>
            <w:tcW w:w="958" w:type="dxa"/>
            <w:vAlign w:val="center"/>
          </w:tcPr>
          <w:p w14:paraId="262B25D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449" w:type="dxa"/>
            <w:vAlign w:val="center"/>
          </w:tcPr>
          <w:p w14:paraId="60569BD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255.03</w:t>
            </w:r>
          </w:p>
        </w:tc>
        <w:tc>
          <w:tcPr>
            <w:tcW w:w="1171" w:type="dxa"/>
            <w:vAlign w:val="center"/>
          </w:tcPr>
          <w:p w14:paraId="75A65E6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6.33</w:t>
            </w:r>
          </w:p>
        </w:tc>
        <w:tc>
          <w:tcPr>
            <w:tcW w:w="1480" w:type="dxa"/>
            <w:vAlign w:val="center"/>
          </w:tcPr>
          <w:p w14:paraId="0A81601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156,259.85</w:t>
            </w:r>
          </w:p>
        </w:tc>
      </w:tr>
      <w:tr w:rsidR="00FB39A5" w:rsidRPr="00FB39A5" w14:paraId="035E4D7A" w14:textId="77777777" w:rsidTr="00FB39A5">
        <w:tblPrEx>
          <w:tblCellMar>
            <w:top w:w="0" w:type="dxa"/>
            <w:bottom w:w="0" w:type="dxa"/>
          </w:tblCellMar>
        </w:tblPrEx>
        <w:trPr>
          <w:trHeight w:val="160"/>
          <w:jc w:val="center"/>
        </w:trPr>
        <w:tc>
          <w:tcPr>
            <w:tcW w:w="14030" w:type="dxa"/>
            <w:gridSpan w:val="13"/>
            <w:vAlign w:val="center"/>
          </w:tcPr>
          <w:p w14:paraId="2B15EE28" w14:textId="77777777" w:rsidR="00FB39A5" w:rsidRPr="00FB39A5" w:rsidRDefault="00FB39A5" w:rsidP="00FB39A5">
            <w:pPr>
              <w:tabs>
                <w:tab w:val="num" w:leader="none" w:pos="1440"/>
              </w:tabs>
              <w:jc w:val="center"/>
              <w:outlineLvl w:val="1"/>
              <w:rPr>
                <w:rFonts w:ascii="Arial" w:hAnsi="Arial" w:cs="Arial"/>
                <w:b/>
                <w:bCs/>
                <w:sz w:val="18"/>
                <w:szCs w:val="18"/>
                <w:lang w:val="en-GB"/>
              </w:rPr>
            </w:pPr>
            <w:bookmarkStart w:id="36" w:name="_Toc163031987"/>
            <w:bookmarkStart w:id="37" w:name="_Toc163032114"/>
            <w:r w:rsidRPr="00FB39A5">
              <w:rPr>
                <w:rFonts w:ascii="Arial" w:hAnsi="Arial" w:cs="Arial"/>
                <w:b/>
                <w:bCs/>
                <w:sz w:val="18"/>
                <w:szCs w:val="18"/>
                <w:lang w:val="en-GB"/>
              </w:rPr>
              <w:t>Crabs Kg</w:t>
            </w:r>
            <w:bookmarkEnd w:id="36"/>
            <w:bookmarkEnd w:id="37"/>
          </w:p>
        </w:tc>
      </w:tr>
      <w:tr w:rsidR="00FB39A5" w:rsidRPr="00FB39A5" w14:paraId="763C2CEE" w14:textId="77777777" w:rsidTr="00FB39A5">
        <w:tblPrEx>
          <w:tblCellMar>
            <w:top w:w="0" w:type="dxa"/>
            <w:bottom w:w="0" w:type="dxa"/>
          </w:tblCellMar>
        </w:tblPrEx>
        <w:trPr>
          <w:trHeight w:val="75"/>
          <w:jc w:val="center"/>
        </w:trPr>
        <w:tc>
          <w:tcPr>
            <w:tcW w:w="860" w:type="dxa"/>
            <w:vAlign w:val="center"/>
          </w:tcPr>
          <w:p w14:paraId="53CEE5BC"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China</w:t>
                </w:r>
              </w:smartTag>
            </w:smartTag>
          </w:p>
        </w:tc>
        <w:tc>
          <w:tcPr>
            <w:tcW w:w="859" w:type="dxa"/>
            <w:vAlign w:val="center"/>
          </w:tcPr>
          <w:p w14:paraId="435041C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1837" w:type="dxa"/>
            <w:vAlign w:val="center"/>
          </w:tcPr>
          <w:p w14:paraId="78F83905"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Fangchenggang</w:t>
            </w:r>
          </w:p>
        </w:tc>
        <w:tc>
          <w:tcPr>
            <w:tcW w:w="974" w:type="dxa"/>
            <w:vAlign w:val="center"/>
          </w:tcPr>
          <w:p w14:paraId="65B06AD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1,414.50</w:t>
            </w:r>
          </w:p>
        </w:tc>
        <w:tc>
          <w:tcPr>
            <w:tcW w:w="779" w:type="dxa"/>
            <w:vAlign w:val="center"/>
          </w:tcPr>
          <w:p w14:paraId="3BFF242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165.00</w:t>
            </w:r>
          </w:p>
        </w:tc>
        <w:tc>
          <w:tcPr>
            <w:tcW w:w="889" w:type="dxa"/>
            <w:vAlign w:val="center"/>
          </w:tcPr>
          <w:p w14:paraId="461ABD8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9.30</w:t>
            </w:r>
          </w:p>
        </w:tc>
        <w:tc>
          <w:tcPr>
            <w:tcW w:w="874" w:type="dxa"/>
            <w:vAlign w:val="center"/>
          </w:tcPr>
          <w:p w14:paraId="0AE63B0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CNY</w:t>
            </w:r>
          </w:p>
        </w:tc>
        <w:tc>
          <w:tcPr>
            <w:tcW w:w="1187" w:type="dxa"/>
            <w:vAlign w:val="center"/>
          </w:tcPr>
          <w:p w14:paraId="3D72C0C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1,535.00</w:t>
            </w:r>
          </w:p>
        </w:tc>
        <w:tc>
          <w:tcPr>
            <w:tcW w:w="713" w:type="dxa"/>
            <w:vAlign w:val="center"/>
          </w:tcPr>
          <w:p w14:paraId="765B42B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93.38</w:t>
            </w:r>
          </w:p>
        </w:tc>
        <w:tc>
          <w:tcPr>
            <w:tcW w:w="958" w:type="dxa"/>
            <w:vAlign w:val="center"/>
          </w:tcPr>
          <w:p w14:paraId="261BB3A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8.20</w:t>
            </w:r>
          </w:p>
        </w:tc>
        <w:tc>
          <w:tcPr>
            <w:tcW w:w="1449" w:type="dxa"/>
            <w:vAlign w:val="center"/>
          </w:tcPr>
          <w:p w14:paraId="0FC7349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1,643.82</w:t>
            </w:r>
          </w:p>
        </w:tc>
        <w:tc>
          <w:tcPr>
            <w:tcW w:w="1171" w:type="dxa"/>
            <w:vAlign w:val="center"/>
          </w:tcPr>
          <w:p w14:paraId="6838ECB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200.39</w:t>
            </w:r>
          </w:p>
        </w:tc>
        <w:tc>
          <w:tcPr>
            <w:tcW w:w="1480" w:type="dxa"/>
            <w:vAlign w:val="center"/>
          </w:tcPr>
          <w:p w14:paraId="6ADE890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283,445.39</w:t>
            </w:r>
          </w:p>
        </w:tc>
      </w:tr>
      <w:tr w:rsidR="00FB39A5" w:rsidRPr="00FB39A5" w14:paraId="655F4757" w14:textId="77777777" w:rsidTr="00FB39A5">
        <w:tblPrEx>
          <w:tblCellMar>
            <w:top w:w="0" w:type="dxa"/>
            <w:bottom w:w="0" w:type="dxa"/>
          </w:tblCellMar>
        </w:tblPrEx>
        <w:trPr>
          <w:trHeight w:val="191"/>
          <w:jc w:val="center"/>
        </w:trPr>
        <w:tc>
          <w:tcPr>
            <w:tcW w:w="860" w:type="dxa"/>
            <w:vAlign w:val="center"/>
          </w:tcPr>
          <w:p w14:paraId="7D94A0AA"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Indonesia</w:t>
                </w:r>
              </w:smartTag>
            </w:smartTag>
          </w:p>
        </w:tc>
        <w:tc>
          <w:tcPr>
            <w:tcW w:w="859" w:type="dxa"/>
            <w:vAlign w:val="center"/>
          </w:tcPr>
          <w:p w14:paraId="49E4A3D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636EB30B"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r w:rsidRPr="00FB39A5">
                <w:rPr>
                  <w:rFonts w:ascii="Arial" w:hAnsi="Arial" w:cs="Arial"/>
                  <w:sz w:val="12"/>
                  <w:szCs w:val="12"/>
                  <w:lang w:val="en-GB"/>
                </w:rPr>
                <w:t>Makassar</w:t>
              </w:r>
            </w:smartTag>
          </w:p>
        </w:tc>
        <w:tc>
          <w:tcPr>
            <w:tcW w:w="974" w:type="dxa"/>
            <w:vAlign w:val="center"/>
          </w:tcPr>
          <w:p w14:paraId="28D7867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27.00</w:t>
            </w:r>
          </w:p>
        </w:tc>
        <w:tc>
          <w:tcPr>
            <w:tcW w:w="779" w:type="dxa"/>
            <w:vAlign w:val="center"/>
          </w:tcPr>
          <w:p w14:paraId="6F4E320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w:t>
            </w:r>
          </w:p>
        </w:tc>
        <w:tc>
          <w:tcPr>
            <w:tcW w:w="889" w:type="dxa"/>
            <w:vAlign w:val="center"/>
          </w:tcPr>
          <w:p w14:paraId="25E3577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17,292.90</w:t>
            </w:r>
          </w:p>
        </w:tc>
        <w:tc>
          <w:tcPr>
            <w:tcW w:w="874" w:type="dxa"/>
            <w:vAlign w:val="center"/>
          </w:tcPr>
          <w:p w14:paraId="1D9E7CC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6425489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4,779,761.90</w:t>
            </w:r>
          </w:p>
        </w:tc>
        <w:tc>
          <w:tcPr>
            <w:tcW w:w="713" w:type="dxa"/>
            <w:vAlign w:val="center"/>
          </w:tcPr>
          <w:p w14:paraId="055DA29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7433525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6FEBE65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4,779,761.90</w:t>
            </w:r>
          </w:p>
        </w:tc>
        <w:tc>
          <w:tcPr>
            <w:tcW w:w="1171" w:type="dxa"/>
            <w:vAlign w:val="center"/>
          </w:tcPr>
          <w:p w14:paraId="47F0A41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491.66</w:t>
            </w:r>
          </w:p>
        </w:tc>
        <w:tc>
          <w:tcPr>
            <w:tcW w:w="1480" w:type="dxa"/>
            <w:vAlign w:val="center"/>
          </w:tcPr>
          <w:p w14:paraId="75D41CB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13,274.86</w:t>
            </w:r>
          </w:p>
        </w:tc>
      </w:tr>
      <w:tr w:rsidR="00FB39A5" w:rsidRPr="00FB39A5" w14:paraId="31BA69C5" w14:textId="77777777" w:rsidTr="00FB39A5">
        <w:tblPrEx>
          <w:tblCellMar>
            <w:top w:w="0" w:type="dxa"/>
            <w:bottom w:w="0" w:type="dxa"/>
          </w:tblCellMar>
        </w:tblPrEx>
        <w:trPr>
          <w:trHeight w:val="191"/>
          <w:jc w:val="center"/>
        </w:trPr>
        <w:tc>
          <w:tcPr>
            <w:tcW w:w="860" w:type="dxa"/>
            <w:vAlign w:val="center"/>
          </w:tcPr>
          <w:p w14:paraId="1340B5F1"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3490902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28F70B73"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Mamuju </w:t>
            </w:r>
          </w:p>
        </w:tc>
        <w:tc>
          <w:tcPr>
            <w:tcW w:w="974" w:type="dxa"/>
            <w:vAlign w:val="center"/>
          </w:tcPr>
          <w:p w14:paraId="287F081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976.00</w:t>
            </w:r>
          </w:p>
        </w:tc>
        <w:tc>
          <w:tcPr>
            <w:tcW w:w="779" w:type="dxa"/>
            <w:vAlign w:val="center"/>
          </w:tcPr>
          <w:p w14:paraId="2C66B8A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233.13</w:t>
            </w:r>
          </w:p>
        </w:tc>
        <w:tc>
          <w:tcPr>
            <w:tcW w:w="889" w:type="dxa"/>
            <w:vAlign w:val="center"/>
          </w:tcPr>
          <w:p w14:paraId="7BC74F2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24,424.00</w:t>
            </w:r>
          </w:p>
        </w:tc>
        <w:tc>
          <w:tcPr>
            <w:tcW w:w="874" w:type="dxa"/>
            <w:vAlign w:val="center"/>
          </w:tcPr>
          <w:p w14:paraId="2835C0D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3133372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5,694,000.00</w:t>
            </w:r>
          </w:p>
        </w:tc>
        <w:tc>
          <w:tcPr>
            <w:tcW w:w="713" w:type="dxa"/>
            <w:vAlign w:val="center"/>
          </w:tcPr>
          <w:p w14:paraId="14D74DC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22CF7BC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0CCC226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5,694,000.00</w:t>
            </w:r>
          </w:p>
        </w:tc>
        <w:tc>
          <w:tcPr>
            <w:tcW w:w="1171" w:type="dxa"/>
            <w:vAlign w:val="center"/>
          </w:tcPr>
          <w:p w14:paraId="0E50FAE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585.70</w:t>
            </w:r>
          </w:p>
        </w:tc>
        <w:tc>
          <w:tcPr>
            <w:tcW w:w="1480" w:type="dxa"/>
            <w:vAlign w:val="center"/>
          </w:tcPr>
          <w:p w14:paraId="53B7155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571,646.06</w:t>
            </w:r>
          </w:p>
        </w:tc>
      </w:tr>
      <w:tr w:rsidR="00FB39A5" w:rsidRPr="00FB39A5" w14:paraId="6332072E" w14:textId="77777777" w:rsidTr="00FB39A5">
        <w:tblPrEx>
          <w:tblCellMar>
            <w:top w:w="0" w:type="dxa"/>
            <w:bottom w:w="0" w:type="dxa"/>
          </w:tblCellMar>
        </w:tblPrEx>
        <w:trPr>
          <w:trHeight w:val="191"/>
          <w:jc w:val="center"/>
        </w:trPr>
        <w:tc>
          <w:tcPr>
            <w:tcW w:w="860" w:type="dxa"/>
            <w:vAlign w:val="center"/>
          </w:tcPr>
          <w:p w14:paraId="57788920"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4631734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722159A4"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Donggala </w:t>
            </w:r>
          </w:p>
        </w:tc>
        <w:tc>
          <w:tcPr>
            <w:tcW w:w="974" w:type="dxa"/>
            <w:vAlign w:val="center"/>
          </w:tcPr>
          <w:p w14:paraId="0478CE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18,300.00</w:t>
            </w:r>
          </w:p>
        </w:tc>
        <w:tc>
          <w:tcPr>
            <w:tcW w:w="779" w:type="dxa"/>
            <w:vAlign w:val="center"/>
          </w:tcPr>
          <w:p w14:paraId="29933FE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242.24</w:t>
            </w:r>
          </w:p>
        </w:tc>
        <w:tc>
          <w:tcPr>
            <w:tcW w:w="889" w:type="dxa"/>
            <w:vAlign w:val="center"/>
          </w:tcPr>
          <w:p w14:paraId="1108404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23,424.90</w:t>
            </w:r>
          </w:p>
        </w:tc>
        <w:tc>
          <w:tcPr>
            <w:tcW w:w="874" w:type="dxa"/>
            <w:vAlign w:val="center"/>
          </w:tcPr>
          <w:p w14:paraId="04962A0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0FD7004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5,674,513.90</w:t>
            </w:r>
          </w:p>
        </w:tc>
        <w:tc>
          <w:tcPr>
            <w:tcW w:w="713" w:type="dxa"/>
            <w:vAlign w:val="center"/>
          </w:tcPr>
          <w:p w14:paraId="46332E7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348A505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3937F90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5,674,513.90</w:t>
            </w:r>
          </w:p>
        </w:tc>
        <w:tc>
          <w:tcPr>
            <w:tcW w:w="1171" w:type="dxa"/>
            <w:vAlign w:val="center"/>
          </w:tcPr>
          <w:p w14:paraId="33599E4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583.70</w:t>
            </w:r>
          </w:p>
        </w:tc>
        <w:tc>
          <w:tcPr>
            <w:tcW w:w="1480" w:type="dxa"/>
            <w:vAlign w:val="center"/>
          </w:tcPr>
          <w:p w14:paraId="101A7CC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10,681,683.15</w:t>
            </w:r>
          </w:p>
        </w:tc>
      </w:tr>
      <w:tr w:rsidR="00FB39A5" w:rsidRPr="00FB39A5" w14:paraId="4C537205" w14:textId="77777777" w:rsidTr="00FB39A5">
        <w:tblPrEx>
          <w:tblCellMar>
            <w:top w:w="0" w:type="dxa"/>
            <w:bottom w:w="0" w:type="dxa"/>
          </w:tblCellMar>
        </w:tblPrEx>
        <w:trPr>
          <w:trHeight w:val="75"/>
          <w:jc w:val="center"/>
        </w:trPr>
        <w:tc>
          <w:tcPr>
            <w:tcW w:w="860" w:type="dxa"/>
            <w:vAlign w:val="center"/>
          </w:tcPr>
          <w:p w14:paraId="114A5996"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6C5B9C3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1184EA30"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Karawang, W. Java, Perhutani's property</w:t>
            </w:r>
          </w:p>
        </w:tc>
        <w:tc>
          <w:tcPr>
            <w:tcW w:w="974" w:type="dxa"/>
            <w:vAlign w:val="center"/>
          </w:tcPr>
          <w:p w14:paraId="3318DED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1,292.40</w:t>
            </w:r>
          </w:p>
        </w:tc>
        <w:tc>
          <w:tcPr>
            <w:tcW w:w="779" w:type="dxa"/>
            <w:vAlign w:val="center"/>
          </w:tcPr>
          <w:p w14:paraId="5C28FEA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21.57</w:t>
            </w:r>
          </w:p>
        </w:tc>
        <w:tc>
          <w:tcPr>
            <w:tcW w:w="889" w:type="dxa"/>
            <w:vAlign w:val="center"/>
          </w:tcPr>
          <w:p w14:paraId="2BBDF0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22,256.70</w:t>
            </w:r>
          </w:p>
        </w:tc>
        <w:tc>
          <w:tcPr>
            <w:tcW w:w="874" w:type="dxa"/>
            <w:vAlign w:val="center"/>
          </w:tcPr>
          <w:p w14:paraId="30BCB84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52F61DE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480,000.00</w:t>
            </w:r>
          </w:p>
        </w:tc>
        <w:tc>
          <w:tcPr>
            <w:tcW w:w="713" w:type="dxa"/>
            <w:vAlign w:val="center"/>
          </w:tcPr>
          <w:p w14:paraId="46E559B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67B0A46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7EA060E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530,152.42</w:t>
            </w:r>
          </w:p>
        </w:tc>
        <w:tc>
          <w:tcPr>
            <w:tcW w:w="1171" w:type="dxa"/>
            <w:vAlign w:val="center"/>
          </w:tcPr>
          <w:p w14:paraId="69B27B6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54.53</w:t>
            </w:r>
          </w:p>
        </w:tc>
        <w:tc>
          <w:tcPr>
            <w:tcW w:w="1480" w:type="dxa"/>
            <w:vAlign w:val="center"/>
          </w:tcPr>
          <w:p w14:paraId="7F35C1A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70,478.66</w:t>
            </w:r>
          </w:p>
        </w:tc>
      </w:tr>
      <w:tr w:rsidR="00FB39A5" w:rsidRPr="00FB39A5" w14:paraId="5F358B0B" w14:textId="77777777" w:rsidTr="00FB39A5">
        <w:tblPrEx>
          <w:tblCellMar>
            <w:top w:w="0" w:type="dxa"/>
            <w:bottom w:w="0" w:type="dxa"/>
          </w:tblCellMar>
        </w:tblPrEx>
        <w:trPr>
          <w:trHeight w:val="191"/>
          <w:jc w:val="center"/>
        </w:trPr>
        <w:tc>
          <w:tcPr>
            <w:tcW w:w="860" w:type="dxa"/>
            <w:vAlign w:val="center"/>
          </w:tcPr>
          <w:p w14:paraId="384A0CF3"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BDF85A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1917BE3A"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Karawang, W. Java, Private property</w:t>
            </w:r>
          </w:p>
        </w:tc>
        <w:tc>
          <w:tcPr>
            <w:tcW w:w="974" w:type="dxa"/>
            <w:vAlign w:val="center"/>
          </w:tcPr>
          <w:p w14:paraId="3EE9670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400.00</w:t>
            </w:r>
          </w:p>
        </w:tc>
        <w:tc>
          <w:tcPr>
            <w:tcW w:w="779" w:type="dxa"/>
            <w:vAlign w:val="center"/>
          </w:tcPr>
          <w:p w14:paraId="1B22349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20.49</w:t>
            </w:r>
          </w:p>
        </w:tc>
        <w:tc>
          <w:tcPr>
            <w:tcW w:w="889" w:type="dxa"/>
            <w:vAlign w:val="center"/>
          </w:tcPr>
          <w:p w14:paraId="0A491FF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22,256.70</w:t>
            </w:r>
          </w:p>
        </w:tc>
        <w:tc>
          <w:tcPr>
            <w:tcW w:w="874" w:type="dxa"/>
            <w:vAlign w:val="center"/>
          </w:tcPr>
          <w:p w14:paraId="325AF6C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66BB14A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456,000.00</w:t>
            </w:r>
          </w:p>
        </w:tc>
        <w:tc>
          <w:tcPr>
            <w:tcW w:w="713" w:type="dxa"/>
            <w:vAlign w:val="center"/>
          </w:tcPr>
          <w:p w14:paraId="3214200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491CE8A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75165F8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503,644.80</w:t>
            </w:r>
          </w:p>
        </w:tc>
        <w:tc>
          <w:tcPr>
            <w:tcW w:w="1171" w:type="dxa"/>
            <w:tcBorders>
              <w:bottom w:val="single" w:sz="2" w:space="0" w:color="000000"/>
            </w:tcBorders>
            <w:vAlign w:val="center"/>
          </w:tcPr>
          <w:p w14:paraId="765AB5F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51.81</w:t>
            </w:r>
          </w:p>
        </w:tc>
        <w:tc>
          <w:tcPr>
            <w:tcW w:w="1480" w:type="dxa"/>
            <w:vAlign w:val="center"/>
          </w:tcPr>
          <w:p w14:paraId="1103F0B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20,722.60</w:t>
            </w:r>
          </w:p>
        </w:tc>
      </w:tr>
      <w:tr w:rsidR="00FB39A5" w:rsidRPr="00FB39A5" w14:paraId="30C854A4" w14:textId="77777777" w:rsidTr="00FB39A5">
        <w:tblPrEx>
          <w:tblCellMar>
            <w:top w:w="0" w:type="dxa"/>
            <w:bottom w:w="0" w:type="dxa"/>
          </w:tblCellMar>
        </w:tblPrEx>
        <w:trPr>
          <w:trHeight w:val="191"/>
          <w:jc w:val="center"/>
        </w:trPr>
        <w:tc>
          <w:tcPr>
            <w:tcW w:w="860" w:type="dxa"/>
            <w:vAlign w:val="center"/>
          </w:tcPr>
          <w:p w14:paraId="24240F8C"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16752C9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283BDE84"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r w:rsidRPr="00FB39A5">
                <w:rPr>
                  <w:rFonts w:ascii="Arial" w:hAnsi="Arial" w:cs="Arial"/>
                  <w:sz w:val="12"/>
                  <w:szCs w:val="12"/>
                  <w:lang w:val="en-GB"/>
                </w:rPr>
                <w:t>Bali</w:t>
              </w:r>
            </w:smartTag>
            <w:r w:rsidRPr="00FB39A5">
              <w:rPr>
                <w:rFonts w:ascii="Arial" w:hAnsi="Arial" w:cs="Arial"/>
                <w:sz w:val="12"/>
                <w:szCs w:val="12"/>
                <w:lang w:val="en-GB"/>
              </w:rPr>
              <w:t xml:space="preserve"> </w:t>
            </w:r>
          </w:p>
        </w:tc>
        <w:tc>
          <w:tcPr>
            <w:tcW w:w="974" w:type="dxa"/>
            <w:vAlign w:val="center"/>
          </w:tcPr>
          <w:p w14:paraId="1BD4430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9.00</w:t>
            </w:r>
          </w:p>
        </w:tc>
        <w:tc>
          <w:tcPr>
            <w:tcW w:w="779" w:type="dxa"/>
            <w:vAlign w:val="center"/>
          </w:tcPr>
          <w:p w14:paraId="391B10B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1,248.00</w:t>
            </w:r>
          </w:p>
        </w:tc>
        <w:tc>
          <w:tcPr>
            <w:tcW w:w="889" w:type="dxa"/>
            <w:vAlign w:val="center"/>
          </w:tcPr>
          <w:p w14:paraId="5E5C514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19,006.41</w:t>
            </w:r>
          </w:p>
        </w:tc>
        <w:tc>
          <w:tcPr>
            <w:tcW w:w="874" w:type="dxa"/>
            <w:vAlign w:val="center"/>
          </w:tcPr>
          <w:p w14:paraId="16A62D9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002FC0D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23,719,999.68</w:t>
            </w:r>
          </w:p>
        </w:tc>
        <w:tc>
          <w:tcPr>
            <w:tcW w:w="713" w:type="dxa"/>
            <w:vAlign w:val="center"/>
          </w:tcPr>
          <w:p w14:paraId="4304C5E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2929F13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4916895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26,198,365.01</w:t>
            </w:r>
          </w:p>
        </w:tc>
        <w:tc>
          <w:tcPr>
            <w:tcW w:w="1171" w:type="dxa"/>
            <w:tcBorders>
              <w:top w:val="single" w:sz="2" w:space="0" w:color="000000"/>
              <w:bottom w:val="single" w:sz="2" w:space="0" w:color="000000"/>
            </w:tcBorders>
            <w:shd w:val="clear" w:color="auto" w:fill="D9D9D9"/>
            <w:vAlign w:val="center"/>
          </w:tcPr>
          <w:p w14:paraId="00A0A73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2,694.85</w:t>
            </w:r>
          </w:p>
        </w:tc>
        <w:tc>
          <w:tcPr>
            <w:tcW w:w="1480" w:type="dxa"/>
            <w:vAlign w:val="center"/>
          </w:tcPr>
          <w:p w14:paraId="2E3B376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24,253.62</w:t>
            </w:r>
          </w:p>
        </w:tc>
      </w:tr>
      <w:tr w:rsidR="00FB39A5" w:rsidRPr="00FB39A5" w14:paraId="294EA063" w14:textId="77777777" w:rsidTr="00FB39A5">
        <w:tblPrEx>
          <w:tblCellMar>
            <w:top w:w="0" w:type="dxa"/>
            <w:bottom w:w="0" w:type="dxa"/>
          </w:tblCellMar>
        </w:tblPrEx>
        <w:trPr>
          <w:trHeight w:val="191"/>
          <w:jc w:val="center"/>
        </w:trPr>
        <w:tc>
          <w:tcPr>
            <w:tcW w:w="860" w:type="dxa"/>
            <w:vAlign w:val="center"/>
          </w:tcPr>
          <w:p w14:paraId="1063D2BD"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60984C8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4DBBB6A9"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Marisa</w:t>
                </w:r>
              </w:smartTag>
              <w:r w:rsidRPr="00FB39A5">
                <w:rPr>
                  <w:rFonts w:ascii="Arial" w:hAnsi="Arial" w:cs="Arial"/>
                  <w:sz w:val="12"/>
                  <w:szCs w:val="12"/>
                  <w:lang w:val="en-GB"/>
                </w:rPr>
                <w:t xml:space="preserve"> </w:t>
              </w:r>
              <w:smartTag w:uri="urn:schemas-microsoft-com:office:smarttags" w:element="PlaceName">
                <w:r w:rsidRPr="00FB39A5">
                  <w:rPr>
                    <w:rFonts w:ascii="Arial" w:hAnsi="Arial" w:cs="Arial"/>
                    <w:sz w:val="12"/>
                    <w:szCs w:val="12"/>
                    <w:lang w:val="en-GB"/>
                  </w:rPr>
                  <w:t>District</w:t>
                </w:r>
              </w:smartTag>
            </w:smartTag>
            <w:r w:rsidRPr="00FB39A5">
              <w:rPr>
                <w:rFonts w:ascii="Arial" w:hAnsi="Arial" w:cs="Arial"/>
                <w:sz w:val="12"/>
                <w:szCs w:val="12"/>
                <w:lang w:val="en-GB"/>
              </w:rPr>
              <w:t>, Gorontalo</w:t>
            </w:r>
          </w:p>
        </w:tc>
        <w:tc>
          <w:tcPr>
            <w:tcW w:w="974" w:type="dxa"/>
            <w:vAlign w:val="center"/>
          </w:tcPr>
          <w:p w14:paraId="355B3F9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5,332.00</w:t>
            </w:r>
          </w:p>
        </w:tc>
        <w:tc>
          <w:tcPr>
            <w:tcW w:w="779" w:type="dxa"/>
            <w:vAlign w:val="center"/>
          </w:tcPr>
          <w:p w14:paraId="08A4828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202.29</w:t>
            </w:r>
          </w:p>
        </w:tc>
        <w:tc>
          <w:tcPr>
            <w:tcW w:w="889" w:type="dxa"/>
            <w:vAlign w:val="center"/>
          </w:tcPr>
          <w:p w14:paraId="2A2FCDE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34,444.44</w:t>
            </w:r>
          </w:p>
        </w:tc>
        <w:tc>
          <w:tcPr>
            <w:tcW w:w="874" w:type="dxa"/>
            <w:vAlign w:val="center"/>
          </w:tcPr>
          <w:p w14:paraId="06FC045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0D3F787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6,967,765.77</w:t>
            </w:r>
          </w:p>
        </w:tc>
        <w:tc>
          <w:tcPr>
            <w:tcW w:w="713" w:type="dxa"/>
            <w:vAlign w:val="center"/>
          </w:tcPr>
          <w:p w14:paraId="56FE290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6F79C92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2E272A4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7,695,787.24</w:t>
            </w:r>
          </w:p>
        </w:tc>
        <w:tc>
          <w:tcPr>
            <w:tcW w:w="1171" w:type="dxa"/>
            <w:tcBorders>
              <w:top w:val="single" w:sz="2" w:space="0" w:color="000000"/>
              <w:bottom w:val="single" w:sz="2" w:space="0" w:color="000000"/>
            </w:tcBorders>
            <w:vAlign w:val="center"/>
          </w:tcPr>
          <w:p w14:paraId="2F8C929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791.61</w:t>
            </w:r>
          </w:p>
        </w:tc>
        <w:tc>
          <w:tcPr>
            <w:tcW w:w="1480" w:type="dxa"/>
            <w:vAlign w:val="center"/>
          </w:tcPr>
          <w:p w14:paraId="3EDFC32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4,220,881.22</w:t>
            </w:r>
          </w:p>
        </w:tc>
      </w:tr>
      <w:tr w:rsidR="00FB39A5" w:rsidRPr="00FB39A5" w14:paraId="0DBB1E63" w14:textId="77777777" w:rsidTr="00FB39A5">
        <w:tblPrEx>
          <w:tblCellMar>
            <w:top w:w="0" w:type="dxa"/>
            <w:bottom w:w="0" w:type="dxa"/>
          </w:tblCellMar>
        </w:tblPrEx>
        <w:trPr>
          <w:trHeight w:val="191"/>
          <w:jc w:val="center"/>
        </w:trPr>
        <w:tc>
          <w:tcPr>
            <w:tcW w:w="860" w:type="dxa"/>
            <w:vAlign w:val="center"/>
          </w:tcPr>
          <w:p w14:paraId="486BBB0C"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67F3A75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1837" w:type="dxa"/>
            <w:vAlign w:val="center"/>
          </w:tcPr>
          <w:p w14:paraId="096737E8"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Tinanggea Distric, SE Sulawesi</w:t>
            </w:r>
          </w:p>
        </w:tc>
        <w:tc>
          <w:tcPr>
            <w:tcW w:w="974" w:type="dxa"/>
            <w:vAlign w:val="center"/>
          </w:tcPr>
          <w:p w14:paraId="57D8727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6,596.00</w:t>
            </w:r>
          </w:p>
        </w:tc>
        <w:tc>
          <w:tcPr>
            <w:tcW w:w="779" w:type="dxa"/>
            <w:vAlign w:val="center"/>
          </w:tcPr>
          <w:p w14:paraId="25ABCEA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784.75</w:t>
            </w:r>
          </w:p>
        </w:tc>
        <w:tc>
          <w:tcPr>
            <w:tcW w:w="889" w:type="dxa"/>
            <w:vAlign w:val="center"/>
          </w:tcPr>
          <w:p w14:paraId="4B2439A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21,500.00</w:t>
            </w:r>
          </w:p>
        </w:tc>
        <w:tc>
          <w:tcPr>
            <w:tcW w:w="874" w:type="dxa"/>
            <w:vAlign w:val="center"/>
          </w:tcPr>
          <w:p w14:paraId="47C3C89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3CF2AF9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16,872,125.00</w:t>
            </w:r>
          </w:p>
        </w:tc>
        <w:tc>
          <w:tcPr>
            <w:tcW w:w="713" w:type="dxa"/>
            <w:vAlign w:val="center"/>
          </w:tcPr>
          <w:p w14:paraId="45479EF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79.95</w:t>
            </w:r>
          </w:p>
        </w:tc>
        <w:tc>
          <w:tcPr>
            <w:tcW w:w="958" w:type="dxa"/>
            <w:vAlign w:val="center"/>
          </w:tcPr>
          <w:p w14:paraId="67AADC9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20DCC1A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21,103,345.84</w:t>
            </w:r>
          </w:p>
        </w:tc>
        <w:tc>
          <w:tcPr>
            <w:tcW w:w="1171" w:type="dxa"/>
            <w:tcBorders>
              <w:top w:val="single" w:sz="2" w:space="0" w:color="000000"/>
              <w:bottom w:val="single" w:sz="2" w:space="0" w:color="000000"/>
            </w:tcBorders>
            <w:shd w:val="clear" w:color="auto" w:fill="D9D9D9"/>
            <w:vAlign w:val="center"/>
          </w:tcPr>
          <w:p w14:paraId="4FFD093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2,170.76</w:t>
            </w:r>
          </w:p>
        </w:tc>
        <w:tc>
          <w:tcPr>
            <w:tcW w:w="1480" w:type="dxa"/>
            <w:vAlign w:val="center"/>
          </w:tcPr>
          <w:p w14:paraId="39585B8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14,318,314.61</w:t>
            </w:r>
          </w:p>
        </w:tc>
      </w:tr>
      <w:tr w:rsidR="00FB39A5" w:rsidRPr="00FB39A5" w14:paraId="1C45E2D3" w14:textId="77777777" w:rsidTr="00FB39A5">
        <w:tblPrEx>
          <w:tblCellMar>
            <w:top w:w="0" w:type="dxa"/>
            <w:bottom w:w="0" w:type="dxa"/>
          </w:tblCellMar>
        </w:tblPrEx>
        <w:trPr>
          <w:trHeight w:val="191"/>
          <w:jc w:val="center"/>
        </w:trPr>
        <w:tc>
          <w:tcPr>
            <w:tcW w:w="860" w:type="dxa"/>
            <w:vAlign w:val="center"/>
          </w:tcPr>
          <w:p w14:paraId="5E896A1E"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58B8FCE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2001</w:t>
            </w:r>
          </w:p>
        </w:tc>
        <w:tc>
          <w:tcPr>
            <w:tcW w:w="1837" w:type="dxa"/>
            <w:vAlign w:val="center"/>
          </w:tcPr>
          <w:p w14:paraId="4BCB1B5C"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Buton, </w:t>
            </w:r>
            <w:smartTag w:uri="urn:schemas-microsoft-com:office:smarttags" w:element="place">
              <w:r w:rsidRPr="00FB39A5">
                <w:rPr>
                  <w:rFonts w:ascii="Arial" w:hAnsi="Arial" w:cs="Arial"/>
                  <w:sz w:val="12"/>
                  <w:szCs w:val="12"/>
                  <w:lang w:val="en-GB"/>
                </w:rPr>
                <w:t>Southeast Sulawesi</w:t>
              </w:r>
            </w:smartTag>
          </w:p>
        </w:tc>
        <w:tc>
          <w:tcPr>
            <w:tcW w:w="974" w:type="dxa"/>
            <w:vAlign w:val="center"/>
          </w:tcPr>
          <w:p w14:paraId="49E572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144.00</w:t>
            </w:r>
          </w:p>
        </w:tc>
        <w:tc>
          <w:tcPr>
            <w:tcW w:w="779" w:type="dxa"/>
            <w:vAlign w:val="center"/>
          </w:tcPr>
          <w:p w14:paraId="026305C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720.00</w:t>
            </w:r>
          </w:p>
        </w:tc>
        <w:tc>
          <w:tcPr>
            <w:tcW w:w="889" w:type="dxa"/>
            <w:vAlign w:val="center"/>
          </w:tcPr>
          <w:p w14:paraId="2BE08E4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10,000.00</w:t>
            </w:r>
          </w:p>
        </w:tc>
        <w:tc>
          <w:tcPr>
            <w:tcW w:w="874" w:type="dxa"/>
            <w:vAlign w:val="center"/>
          </w:tcPr>
          <w:p w14:paraId="60BE6F5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04C1522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7,200,000.00</w:t>
            </w:r>
          </w:p>
        </w:tc>
        <w:tc>
          <w:tcPr>
            <w:tcW w:w="713" w:type="dxa"/>
            <w:vAlign w:val="center"/>
          </w:tcPr>
          <w:p w14:paraId="0778EF2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71.46</w:t>
            </w:r>
          </w:p>
        </w:tc>
        <w:tc>
          <w:tcPr>
            <w:tcW w:w="958" w:type="dxa"/>
            <w:vAlign w:val="center"/>
          </w:tcPr>
          <w:p w14:paraId="457B1D8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1F28C20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10,075,566.75</w:t>
            </w:r>
          </w:p>
        </w:tc>
        <w:tc>
          <w:tcPr>
            <w:tcW w:w="1171" w:type="dxa"/>
            <w:tcBorders>
              <w:top w:val="single" w:sz="2" w:space="0" w:color="000000"/>
              <w:bottom w:val="single" w:sz="2" w:space="0" w:color="000000"/>
            </w:tcBorders>
            <w:shd w:val="clear" w:color="auto" w:fill="D9D9D9"/>
            <w:vAlign w:val="center"/>
          </w:tcPr>
          <w:p w14:paraId="79A73A6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1,036.40</w:t>
            </w:r>
          </w:p>
        </w:tc>
        <w:tc>
          <w:tcPr>
            <w:tcW w:w="1480" w:type="dxa"/>
            <w:vAlign w:val="center"/>
          </w:tcPr>
          <w:p w14:paraId="1F79BC9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149,242.29</w:t>
            </w:r>
          </w:p>
        </w:tc>
      </w:tr>
      <w:tr w:rsidR="00FB39A5" w:rsidRPr="00FB39A5" w14:paraId="3B3E0403" w14:textId="77777777" w:rsidTr="00FB39A5">
        <w:tblPrEx>
          <w:tblCellMar>
            <w:top w:w="0" w:type="dxa"/>
            <w:bottom w:w="0" w:type="dxa"/>
          </w:tblCellMar>
        </w:tblPrEx>
        <w:trPr>
          <w:trHeight w:val="191"/>
          <w:jc w:val="center"/>
        </w:trPr>
        <w:tc>
          <w:tcPr>
            <w:tcW w:w="860" w:type="dxa"/>
            <w:vAlign w:val="center"/>
          </w:tcPr>
          <w:p w14:paraId="401B81EF"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7A547A0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1837" w:type="dxa"/>
            <w:vAlign w:val="center"/>
          </w:tcPr>
          <w:p w14:paraId="15DA2DF8"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West Seram District : Area I</w:t>
            </w:r>
          </w:p>
        </w:tc>
        <w:tc>
          <w:tcPr>
            <w:tcW w:w="974" w:type="dxa"/>
            <w:vAlign w:val="center"/>
          </w:tcPr>
          <w:p w14:paraId="6E224B3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175.00</w:t>
            </w:r>
          </w:p>
        </w:tc>
        <w:tc>
          <w:tcPr>
            <w:tcW w:w="779" w:type="dxa"/>
            <w:vAlign w:val="center"/>
          </w:tcPr>
          <w:p w14:paraId="34ADAD0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16.43</w:t>
            </w:r>
          </w:p>
        </w:tc>
        <w:tc>
          <w:tcPr>
            <w:tcW w:w="889" w:type="dxa"/>
            <w:vAlign w:val="center"/>
          </w:tcPr>
          <w:p w14:paraId="05D3597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10,000.00</w:t>
            </w:r>
          </w:p>
        </w:tc>
        <w:tc>
          <w:tcPr>
            <w:tcW w:w="874" w:type="dxa"/>
            <w:vAlign w:val="center"/>
          </w:tcPr>
          <w:p w14:paraId="181C942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1B6C9F8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164,300.00</w:t>
            </w:r>
          </w:p>
        </w:tc>
        <w:tc>
          <w:tcPr>
            <w:tcW w:w="713" w:type="dxa"/>
            <w:vAlign w:val="center"/>
          </w:tcPr>
          <w:p w14:paraId="313074C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8" w:type="dxa"/>
            <w:vAlign w:val="center"/>
          </w:tcPr>
          <w:p w14:paraId="2AFBD5E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1A48A9F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256,358.25</w:t>
            </w:r>
          </w:p>
        </w:tc>
        <w:tc>
          <w:tcPr>
            <w:tcW w:w="1171" w:type="dxa"/>
            <w:tcBorders>
              <w:top w:val="single" w:sz="2" w:space="0" w:color="000000"/>
            </w:tcBorders>
            <w:vAlign w:val="center"/>
          </w:tcPr>
          <w:p w14:paraId="70AD86C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26.37</w:t>
            </w:r>
          </w:p>
        </w:tc>
        <w:tc>
          <w:tcPr>
            <w:tcW w:w="1480" w:type="dxa"/>
            <w:vAlign w:val="center"/>
          </w:tcPr>
          <w:p w14:paraId="4C17770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4,614.72</w:t>
            </w:r>
          </w:p>
        </w:tc>
      </w:tr>
      <w:tr w:rsidR="00FB39A5" w:rsidRPr="00FB39A5" w14:paraId="44E73BF9" w14:textId="77777777" w:rsidTr="00FB39A5">
        <w:tblPrEx>
          <w:tblCellMar>
            <w:top w:w="0" w:type="dxa"/>
            <w:bottom w:w="0" w:type="dxa"/>
          </w:tblCellMar>
        </w:tblPrEx>
        <w:trPr>
          <w:trHeight w:val="191"/>
          <w:jc w:val="center"/>
        </w:trPr>
        <w:tc>
          <w:tcPr>
            <w:tcW w:w="860" w:type="dxa"/>
            <w:vAlign w:val="center"/>
          </w:tcPr>
          <w:p w14:paraId="552CB0F8"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2E8DF7A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1837" w:type="dxa"/>
            <w:vAlign w:val="center"/>
          </w:tcPr>
          <w:p w14:paraId="1763A308"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West Seram District : Area II</w:t>
            </w:r>
          </w:p>
        </w:tc>
        <w:tc>
          <w:tcPr>
            <w:tcW w:w="974" w:type="dxa"/>
            <w:vAlign w:val="center"/>
          </w:tcPr>
          <w:p w14:paraId="6472350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706.00</w:t>
            </w:r>
          </w:p>
        </w:tc>
        <w:tc>
          <w:tcPr>
            <w:tcW w:w="779" w:type="dxa"/>
            <w:vAlign w:val="center"/>
          </w:tcPr>
          <w:p w14:paraId="0C6A61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3.38</w:t>
            </w:r>
          </w:p>
        </w:tc>
        <w:tc>
          <w:tcPr>
            <w:tcW w:w="889" w:type="dxa"/>
            <w:vAlign w:val="center"/>
          </w:tcPr>
          <w:p w14:paraId="6827AE4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10,000.00</w:t>
            </w:r>
          </w:p>
        </w:tc>
        <w:tc>
          <w:tcPr>
            <w:tcW w:w="874" w:type="dxa"/>
            <w:vAlign w:val="center"/>
          </w:tcPr>
          <w:p w14:paraId="55555E9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471A924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33,800.00</w:t>
            </w:r>
          </w:p>
        </w:tc>
        <w:tc>
          <w:tcPr>
            <w:tcW w:w="713" w:type="dxa"/>
            <w:vAlign w:val="center"/>
          </w:tcPr>
          <w:p w14:paraId="616BB72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8" w:type="dxa"/>
            <w:vAlign w:val="center"/>
          </w:tcPr>
          <w:p w14:paraId="7C5EB79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58B7482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52,738.34</w:t>
            </w:r>
          </w:p>
        </w:tc>
        <w:tc>
          <w:tcPr>
            <w:tcW w:w="1171" w:type="dxa"/>
            <w:vAlign w:val="center"/>
          </w:tcPr>
          <w:p w14:paraId="0A57972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5.42</w:t>
            </w:r>
          </w:p>
        </w:tc>
        <w:tc>
          <w:tcPr>
            <w:tcW w:w="1480" w:type="dxa"/>
            <w:vAlign w:val="center"/>
          </w:tcPr>
          <w:p w14:paraId="5D4F43C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3,829.93</w:t>
            </w:r>
          </w:p>
        </w:tc>
      </w:tr>
      <w:tr w:rsidR="00FB39A5" w:rsidRPr="00FB39A5" w14:paraId="25E7D6BC" w14:textId="77777777" w:rsidTr="00FB39A5">
        <w:tblPrEx>
          <w:tblCellMar>
            <w:top w:w="0" w:type="dxa"/>
            <w:bottom w:w="0" w:type="dxa"/>
          </w:tblCellMar>
        </w:tblPrEx>
        <w:trPr>
          <w:trHeight w:val="191"/>
          <w:jc w:val="center"/>
        </w:trPr>
        <w:tc>
          <w:tcPr>
            <w:tcW w:w="860" w:type="dxa"/>
            <w:vAlign w:val="center"/>
          </w:tcPr>
          <w:p w14:paraId="75F498C5"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4395AB3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1837" w:type="dxa"/>
            <w:vAlign w:val="center"/>
          </w:tcPr>
          <w:p w14:paraId="5FD52062"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West Seram District : Area III</w:t>
            </w:r>
          </w:p>
        </w:tc>
        <w:tc>
          <w:tcPr>
            <w:tcW w:w="974" w:type="dxa"/>
            <w:vAlign w:val="center"/>
          </w:tcPr>
          <w:p w14:paraId="0E48488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110.00</w:t>
            </w:r>
          </w:p>
        </w:tc>
        <w:tc>
          <w:tcPr>
            <w:tcW w:w="779" w:type="dxa"/>
            <w:vAlign w:val="center"/>
          </w:tcPr>
          <w:p w14:paraId="0613900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86.73</w:t>
            </w:r>
          </w:p>
        </w:tc>
        <w:tc>
          <w:tcPr>
            <w:tcW w:w="889" w:type="dxa"/>
            <w:vAlign w:val="center"/>
          </w:tcPr>
          <w:p w14:paraId="378A2C3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10,000.00</w:t>
            </w:r>
          </w:p>
        </w:tc>
        <w:tc>
          <w:tcPr>
            <w:tcW w:w="874" w:type="dxa"/>
            <w:vAlign w:val="center"/>
          </w:tcPr>
          <w:p w14:paraId="4ACF56F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0F47BD1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867,300.00</w:t>
            </w:r>
          </w:p>
        </w:tc>
        <w:tc>
          <w:tcPr>
            <w:tcW w:w="713" w:type="dxa"/>
            <w:vAlign w:val="center"/>
          </w:tcPr>
          <w:p w14:paraId="4E2DC4C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8" w:type="dxa"/>
            <w:vAlign w:val="center"/>
          </w:tcPr>
          <w:p w14:paraId="4CE3646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4A8EC5C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1,353,253.24</w:t>
            </w:r>
          </w:p>
        </w:tc>
        <w:tc>
          <w:tcPr>
            <w:tcW w:w="1171" w:type="dxa"/>
            <w:vAlign w:val="center"/>
          </w:tcPr>
          <w:p w14:paraId="6245B29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139.20</w:t>
            </w:r>
          </w:p>
        </w:tc>
        <w:tc>
          <w:tcPr>
            <w:tcW w:w="1480" w:type="dxa"/>
            <w:vAlign w:val="center"/>
          </w:tcPr>
          <w:p w14:paraId="26E1222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15,311.99</w:t>
            </w:r>
          </w:p>
        </w:tc>
      </w:tr>
      <w:tr w:rsidR="00FB39A5" w:rsidRPr="00FB39A5" w14:paraId="013D9CDC" w14:textId="77777777" w:rsidTr="00FB39A5">
        <w:tblPrEx>
          <w:tblCellMar>
            <w:top w:w="0" w:type="dxa"/>
            <w:bottom w:w="0" w:type="dxa"/>
          </w:tblCellMar>
        </w:tblPrEx>
        <w:trPr>
          <w:trHeight w:val="191"/>
          <w:jc w:val="center"/>
        </w:trPr>
        <w:tc>
          <w:tcPr>
            <w:tcW w:w="860" w:type="dxa"/>
            <w:vAlign w:val="center"/>
          </w:tcPr>
          <w:p w14:paraId="4A25B659"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23D15C2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1837" w:type="dxa"/>
            <w:vAlign w:val="center"/>
          </w:tcPr>
          <w:p w14:paraId="31CA4779"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Batu Ampar, </w:t>
            </w:r>
            <w:smartTag w:uri="urn:schemas-microsoft-com:office:smarttags" w:element="place">
              <w:smartTag w:uri="urn:schemas-microsoft-com:office:smarttags" w:element="City">
                <w:r w:rsidRPr="00FB39A5">
                  <w:rPr>
                    <w:rFonts w:ascii="Arial" w:hAnsi="Arial" w:cs="Arial"/>
                    <w:sz w:val="12"/>
                    <w:szCs w:val="12"/>
                    <w:lang w:val="en-GB"/>
                  </w:rPr>
                  <w:t>Pontianak</w:t>
                </w:r>
              </w:smartTag>
            </w:smartTag>
          </w:p>
        </w:tc>
        <w:tc>
          <w:tcPr>
            <w:tcW w:w="974" w:type="dxa"/>
            <w:vAlign w:val="center"/>
          </w:tcPr>
          <w:p w14:paraId="3824C2F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10,277.00</w:t>
            </w:r>
          </w:p>
        </w:tc>
        <w:tc>
          <w:tcPr>
            <w:tcW w:w="779" w:type="dxa"/>
            <w:vAlign w:val="center"/>
          </w:tcPr>
          <w:p w14:paraId="7558B86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25.00</w:t>
            </w:r>
          </w:p>
        </w:tc>
        <w:tc>
          <w:tcPr>
            <w:tcW w:w="889" w:type="dxa"/>
            <w:vAlign w:val="center"/>
          </w:tcPr>
          <w:p w14:paraId="67A6269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8,405.48</w:t>
            </w:r>
          </w:p>
        </w:tc>
        <w:tc>
          <w:tcPr>
            <w:tcW w:w="874" w:type="dxa"/>
            <w:vAlign w:val="center"/>
          </w:tcPr>
          <w:p w14:paraId="6C24836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4FD1872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210,137.00</w:t>
            </w:r>
          </w:p>
        </w:tc>
        <w:tc>
          <w:tcPr>
            <w:tcW w:w="713" w:type="dxa"/>
            <w:vAlign w:val="center"/>
          </w:tcPr>
          <w:p w14:paraId="343B4F9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8" w:type="dxa"/>
            <w:vAlign w:val="center"/>
          </w:tcPr>
          <w:p w14:paraId="62684A6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55FC7F9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327,877.98</w:t>
            </w:r>
          </w:p>
        </w:tc>
        <w:tc>
          <w:tcPr>
            <w:tcW w:w="1171" w:type="dxa"/>
            <w:vAlign w:val="center"/>
          </w:tcPr>
          <w:p w14:paraId="52B7494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33.73</w:t>
            </w:r>
          </w:p>
        </w:tc>
        <w:tc>
          <w:tcPr>
            <w:tcW w:w="1480" w:type="dxa"/>
            <w:vAlign w:val="center"/>
          </w:tcPr>
          <w:p w14:paraId="5C81F91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346,607.97</w:t>
            </w:r>
          </w:p>
        </w:tc>
      </w:tr>
      <w:tr w:rsidR="00FB39A5" w:rsidRPr="00FB39A5" w14:paraId="3131F09E" w14:textId="77777777" w:rsidTr="00FB39A5">
        <w:tblPrEx>
          <w:tblCellMar>
            <w:top w:w="0" w:type="dxa"/>
            <w:bottom w:w="0" w:type="dxa"/>
          </w:tblCellMar>
        </w:tblPrEx>
        <w:trPr>
          <w:trHeight w:val="191"/>
          <w:jc w:val="center"/>
        </w:trPr>
        <w:tc>
          <w:tcPr>
            <w:tcW w:w="860" w:type="dxa"/>
            <w:vAlign w:val="center"/>
          </w:tcPr>
          <w:p w14:paraId="33B74B8F"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19DA8A2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1837" w:type="dxa"/>
            <w:vAlign w:val="center"/>
          </w:tcPr>
          <w:p w14:paraId="6FF32ABC"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Segara Anakan </w:t>
            </w:r>
          </w:p>
        </w:tc>
        <w:tc>
          <w:tcPr>
            <w:tcW w:w="974" w:type="dxa"/>
            <w:vAlign w:val="center"/>
          </w:tcPr>
          <w:p w14:paraId="5EBB5CB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7,904.00</w:t>
            </w:r>
          </w:p>
        </w:tc>
        <w:tc>
          <w:tcPr>
            <w:tcW w:w="779" w:type="dxa"/>
            <w:vAlign w:val="center"/>
          </w:tcPr>
          <w:p w14:paraId="54E044E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9.40</w:t>
            </w:r>
          </w:p>
        </w:tc>
        <w:tc>
          <w:tcPr>
            <w:tcW w:w="889" w:type="dxa"/>
            <w:vAlign w:val="center"/>
          </w:tcPr>
          <w:p w14:paraId="3AC1024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14,339.57</w:t>
            </w:r>
          </w:p>
        </w:tc>
        <w:tc>
          <w:tcPr>
            <w:tcW w:w="874" w:type="dxa"/>
            <w:vAlign w:val="center"/>
          </w:tcPr>
          <w:p w14:paraId="198130E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0C3D5F2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134,791.96</w:t>
            </w:r>
          </w:p>
        </w:tc>
        <w:tc>
          <w:tcPr>
            <w:tcW w:w="713" w:type="dxa"/>
            <w:vAlign w:val="center"/>
          </w:tcPr>
          <w:p w14:paraId="29789AE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8" w:type="dxa"/>
            <w:vAlign w:val="center"/>
          </w:tcPr>
          <w:p w14:paraId="12DBAF8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10E930C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218,145.27</w:t>
            </w:r>
          </w:p>
        </w:tc>
        <w:tc>
          <w:tcPr>
            <w:tcW w:w="1171" w:type="dxa"/>
            <w:vAlign w:val="center"/>
          </w:tcPr>
          <w:p w14:paraId="5CFFE86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22.44</w:t>
            </w:r>
          </w:p>
        </w:tc>
        <w:tc>
          <w:tcPr>
            <w:tcW w:w="1480" w:type="dxa"/>
            <w:vAlign w:val="center"/>
          </w:tcPr>
          <w:p w14:paraId="6083892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177,358.77</w:t>
            </w:r>
          </w:p>
        </w:tc>
      </w:tr>
      <w:tr w:rsidR="00FB39A5" w:rsidRPr="00FB39A5" w14:paraId="3CBE3118" w14:textId="77777777" w:rsidTr="00FB39A5">
        <w:tblPrEx>
          <w:tblCellMar>
            <w:top w:w="0" w:type="dxa"/>
            <w:bottom w:w="0" w:type="dxa"/>
          </w:tblCellMar>
        </w:tblPrEx>
        <w:trPr>
          <w:trHeight w:val="191"/>
          <w:jc w:val="center"/>
        </w:trPr>
        <w:tc>
          <w:tcPr>
            <w:tcW w:w="860" w:type="dxa"/>
            <w:vAlign w:val="center"/>
          </w:tcPr>
          <w:p w14:paraId="63E8A780"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6F6ECBF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1998</w:t>
            </w:r>
          </w:p>
        </w:tc>
        <w:tc>
          <w:tcPr>
            <w:tcW w:w="1837" w:type="dxa"/>
            <w:vAlign w:val="center"/>
          </w:tcPr>
          <w:p w14:paraId="089497BC"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Tulung Selapan, </w:t>
            </w:r>
            <w:smartTag w:uri="urn:schemas-microsoft-com:office:smarttags" w:element="place">
              <w:r w:rsidRPr="00FB39A5">
                <w:rPr>
                  <w:rFonts w:ascii="Arial" w:hAnsi="Arial" w:cs="Arial"/>
                  <w:sz w:val="12"/>
                  <w:szCs w:val="12"/>
                  <w:lang w:val="en-GB"/>
                </w:rPr>
                <w:t>South Sumatera</w:t>
              </w:r>
            </w:smartTag>
            <w:r w:rsidRPr="00FB39A5">
              <w:rPr>
                <w:rFonts w:ascii="Arial" w:hAnsi="Arial" w:cs="Arial"/>
                <w:sz w:val="12"/>
                <w:szCs w:val="12"/>
                <w:lang w:val="en-GB"/>
              </w:rPr>
              <w:t xml:space="preserve"> </w:t>
            </w:r>
          </w:p>
        </w:tc>
        <w:tc>
          <w:tcPr>
            <w:tcW w:w="974" w:type="dxa"/>
            <w:vAlign w:val="center"/>
          </w:tcPr>
          <w:p w14:paraId="478DAD4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8,232.00</w:t>
            </w:r>
          </w:p>
        </w:tc>
        <w:tc>
          <w:tcPr>
            <w:tcW w:w="779" w:type="dxa"/>
            <w:vAlign w:val="center"/>
          </w:tcPr>
          <w:p w14:paraId="213DA6E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0.20</w:t>
            </w:r>
          </w:p>
        </w:tc>
        <w:tc>
          <w:tcPr>
            <w:tcW w:w="889" w:type="dxa"/>
            <w:vAlign w:val="center"/>
          </w:tcPr>
          <w:p w14:paraId="5537EC0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6,000.00</w:t>
            </w:r>
          </w:p>
        </w:tc>
        <w:tc>
          <w:tcPr>
            <w:tcW w:w="874" w:type="dxa"/>
            <w:vAlign w:val="center"/>
          </w:tcPr>
          <w:p w14:paraId="5D662CF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33D805E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1,200.00</w:t>
            </w:r>
          </w:p>
        </w:tc>
        <w:tc>
          <w:tcPr>
            <w:tcW w:w="713" w:type="dxa"/>
            <w:vAlign w:val="center"/>
          </w:tcPr>
          <w:p w14:paraId="01683B2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51.28</w:t>
            </w:r>
          </w:p>
        </w:tc>
        <w:tc>
          <w:tcPr>
            <w:tcW w:w="958" w:type="dxa"/>
            <w:vAlign w:val="center"/>
          </w:tcPr>
          <w:p w14:paraId="16B209C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472E037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2,340.09</w:t>
            </w:r>
          </w:p>
        </w:tc>
        <w:tc>
          <w:tcPr>
            <w:tcW w:w="1171" w:type="dxa"/>
            <w:vAlign w:val="center"/>
          </w:tcPr>
          <w:p w14:paraId="4B48C2D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0.24</w:t>
            </w:r>
          </w:p>
        </w:tc>
        <w:tc>
          <w:tcPr>
            <w:tcW w:w="1480" w:type="dxa"/>
            <w:vAlign w:val="center"/>
          </w:tcPr>
          <w:p w14:paraId="41678DF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1,981.52</w:t>
            </w:r>
          </w:p>
        </w:tc>
      </w:tr>
      <w:tr w:rsidR="00FB39A5" w:rsidRPr="00FB39A5" w14:paraId="66FCBFE2" w14:textId="77777777" w:rsidTr="00FB39A5">
        <w:tblPrEx>
          <w:tblCellMar>
            <w:top w:w="0" w:type="dxa"/>
            <w:bottom w:w="0" w:type="dxa"/>
          </w:tblCellMar>
        </w:tblPrEx>
        <w:trPr>
          <w:trHeight w:val="191"/>
          <w:jc w:val="center"/>
        </w:trPr>
        <w:tc>
          <w:tcPr>
            <w:tcW w:w="860" w:type="dxa"/>
            <w:vAlign w:val="center"/>
          </w:tcPr>
          <w:p w14:paraId="676E42ED"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Philippines</w:t>
                </w:r>
              </w:smartTag>
            </w:smartTag>
          </w:p>
        </w:tc>
        <w:tc>
          <w:tcPr>
            <w:tcW w:w="859" w:type="dxa"/>
            <w:vAlign w:val="center"/>
          </w:tcPr>
          <w:p w14:paraId="0C0A7CC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0962A43C"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country-region">
                <w:r w:rsidRPr="00FB39A5">
                  <w:rPr>
                    <w:rFonts w:ascii="Arial" w:hAnsi="Arial" w:cs="Arial"/>
                    <w:sz w:val="12"/>
                    <w:szCs w:val="12"/>
                    <w:lang w:val="en-GB"/>
                  </w:rPr>
                  <w:t>Philippines</w:t>
                </w:r>
              </w:smartTag>
            </w:smartTag>
          </w:p>
        </w:tc>
        <w:tc>
          <w:tcPr>
            <w:tcW w:w="974" w:type="dxa"/>
            <w:vAlign w:val="center"/>
          </w:tcPr>
          <w:p w14:paraId="28434A8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1,298.50</w:t>
            </w:r>
          </w:p>
        </w:tc>
        <w:tc>
          <w:tcPr>
            <w:tcW w:w="779" w:type="dxa"/>
            <w:vAlign w:val="center"/>
          </w:tcPr>
          <w:p w14:paraId="388E970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5.24</w:t>
            </w:r>
          </w:p>
        </w:tc>
        <w:tc>
          <w:tcPr>
            <w:tcW w:w="889" w:type="dxa"/>
            <w:vAlign w:val="center"/>
          </w:tcPr>
          <w:p w14:paraId="5145932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126.00</w:t>
            </w:r>
          </w:p>
        </w:tc>
        <w:tc>
          <w:tcPr>
            <w:tcW w:w="874" w:type="dxa"/>
            <w:vAlign w:val="center"/>
          </w:tcPr>
          <w:p w14:paraId="752C342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PHP</w:t>
            </w:r>
          </w:p>
        </w:tc>
        <w:tc>
          <w:tcPr>
            <w:tcW w:w="1187" w:type="dxa"/>
            <w:vAlign w:val="center"/>
          </w:tcPr>
          <w:p w14:paraId="3BD9EAA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660.24</w:t>
            </w:r>
          </w:p>
        </w:tc>
        <w:tc>
          <w:tcPr>
            <w:tcW w:w="713" w:type="dxa"/>
            <w:vAlign w:val="center"/>
          </w:tcPr>
          <w:p w14:paraId="320CCA5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95.66</w:t>
            </w:r>
          </w:p>
        </w:tc>
        <w:tc>
          <w:tcPr>
            <w:tcW w:w="958" w:type="dxa"/>
            <w:vAlign w:val="center"/>
          </w:tcPr>
          <w:p w14:paraId="2FBB16C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55.14</w:t>
            </w:r>
          </w:p>
        </w:tc>
        <w:tc>
          <w:tcPr>
            <w:tcW w:w="1449" w:type="dxa"/>
            <w:vAlign w:val="center"/>
          </w:tcPr>
          <w:p w14:paraId="376528A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690.19</w:t>
            </w:r>
          </w:p>
        </w:tc>
        <w:tc>
          <w:tcPr>
            <w:tcW w:w="1171" w:type="dxa"/>
            <w:tcBorders>
              <w:bottom w:val="single" w:sz="2" w:space="0" w:color="000000"/>
            </w:tcBorders>
            <w:vAlign w:val="center"/>
          </w:tcPr>
          <w:p w14:paraId="3ED58B8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12.52</w:t>
            </w:r>
          </w:p>
        </w:tc>
        <w:tc>
          <w:tcPr>
            <w:tcW w:w="1480" w:type="dxa"/>
            <w:vAlign w:val="center"/>
          </w:tcPr>
          <w:p w14:paraId="2155788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16,253.49</w:t>
            </w:r>
          </w:p>
        </w:tc>
      </w:tr>
      <w:tr w:rsidR="00FB39A5" w:rsidRPr="00FB39A5" w14:paraId="15FE62F5" w14:textId="77777777" w:rsidTr="00FB39A5">
        <w:tblPrEx>
          <w:tblCellMar>
            <w:top w:w="0" w:type="dxa"/>
            <w:bottom w:w="0" w:type="dxa"/>
          </w:tblCellMar>
        </w:tblPrEx>
        <w:trPr>
          <w:trHeight w:val="191"/>
          <w:jc w:val="center"/>
        </w:trPr>
        <w:tc>
          <w:tcPr>
            <w:tcW w:w="860" w:type="dxa"/>
            <w:vAlign w:val="center"/>
          </w:tcPr>
          <w:p w14:paraId="095A24D6"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6243D02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1996</w:t>
            </w:r>
          </w:p>
        </w:tc>
        <w:tc>
          <w:tcPr>
            <w:tcW w:w="1837" w:type="dxa"/>
            <w:vAlign w:val="center"/>
          </w:tcPr>
          <w:p w14:paraId="5E953AAA"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City">
                <w:r w:rsidRPr="00FB39A5">
                  <w:rPr>
                    <w:rFonts w:ascii="Arial" w:hAnsi="Arial" w:cs="Arial"/>
                    <w:sz w:val="12"/>
                    <w:szCs w:val="12"/>
                    <w:lang w:val="en-GB"/>
                  </w:rPr>
                  <w:t>Pagbilao</w:t>
                </w:r>
              </w:smartTag>
              <w:r w:rsidRPr="00FB39A5">
                <w:rPr>
                  <w:rFonts w:ascii="Arial" w:hAnsi="Arial" w:cs="Arial"/>
                  <w:sz w:val="12"/>
                  <w:szCs w:val="12"/>
                  <w:lang w:val="en-GB"/>
                </w:rPr>
                <w:t xml:space="preserve">, </w:t>
              </w:r>
              <w:smartTag w:uri="urn:schemas-microsoft-com:office:smarttags" w:element="country-region">
                <w:r w:rsidRPr="00FB39A5">
                  <w:rPr>
                    <w:rFonts w:ascii="Arial" w:hAnsi="Arial" w:cs="Arial"/>
                    <w:sz w:val="12"/>
                    <w:szCs w:val="12"/>
                    <w:lang w:val="en-GB"/>
                  </w:rPr>
                  <w:t>Philippines</w:t>
                </w:r>
              </w:smartTag>
            </w:smartTag>
          </w:p>
        </w:tc>
        <w:tc>
          <w:tcPr>
            <w:tcW w:w="974" w:type="dxa"/>
            <w:vAlign w:val="center"/>
          </w:tcPr>
          <w:p w14:paraId="1DF8651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1,440.00</w:t>
            </w:r>
          </w:p>
        </w:tc>
        <w:tc>
          <w:tcPr>
            <w:tcW w:w="779" w:type="dxa"/>
            <w:vAlign w:val="center"/>
          </w:tcPr>
          <w:p w14:paraId="5D4A512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694.60</w:t>
            </w:r>
          </w:p>
        </w:tc>
        <w:tc>
          <w:tcPr>
            <w:tcW w:w="889" w:type="dxa"/>
            <w:vAlign w:val="center"/>
          </w:tcPr>
          <w:p w14:paraId="071861C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7.60</w:t>
            </w:r>
          </w:p>
        </w:tc>
        <w:tc>
          <w:tcPr>
            <w:tcW w:w="874" w:type="dxa"/>
            <w:vAlign w:val="center"/>
          </w:tcPr>
          <w:p w14:paraId="4D6B8E2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PHP</w:t>
            </w:r>
          </w:p>
        </w:tc>
        <w:tc>
          <w:tcPr>
            <w:tcW w:w="1187" w:type="dxa"/>
            <w:vAlign w:val="center"/>
          </w:tcPr>
          <w:p w14:paraId="3239EC0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5,278.96</w:t>
            </w:r>
          </w:p>
        </w:tc>
        <w:tc>
          <w:tcPr>
            <w:tcW w:w="713" w:type="dxa"/>
            <w:vAlign w:val="center"/>
          </w:tcPr>
          <w:p w14:paraId="73208B4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59.56</w:t>
            </w:r>
          </w:p>
        </w:tc>
        <w:tc>
          <w:tcPr>
            <w:tcW w:w="958" w:type="dxa"/>
            <w:vAlign w:val="center"/>
          </w:tcPr>
          <w:p w14:paraId="428D031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55.14</w:t>
            </w:r>
          </w:p>
        </w:tc>
        <w:tc>
          <w:tcPr>
            <w:tcW w:w="1449" w:type="dxa"/>
            <w:vAlign w:val="center"/>
          </w:tcPr>
          <w:p w14:paraId="36BCFFA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8,863.26</w:t>
            </w:r>
          </w:p>
        </w:tc>
        <w:tc>
          <w:tcPr>
            <w:tcW w:w="1171" w:type="dxa"/>
            <w:tcBorders>
              <w:top w:val="single" w:sz="2" w:space="0" w:color="000000"/>
              <w:bottom w:val="single" w:sz="2" w:space="0" w:color="000000"/>
            </w:tcBorders>
            <w:shd w:val="clear" w:color="FFFF00" w:fill="D9D9D9"/>
            <w:vAlign w:val="center"/>
          </w:tcPr>
          <w:p w14:paraId="0BA838C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160.74</w:t>
            </w:r>
          </w:p>
        </w:tc>
        <w:tc>
          <w:tcPr>
            <w:tcW w:w="1480" w:type="dxa"/>
            <w:vAlign w:val="center"/>
          </w:tcPr>
          <w:p w14:paraId="4F9804D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231,467.22</w:t>
            </w:r>
          </w:p>
        </w:tc>
      </w:tr>
      <w:tr w:rsidR="00FB39A5" w:rsidRPr="00FB39A5" w14:paraId="507688F7" w14:textId="77777777" w:rsidTr="00FB39A5">
        <w:tblPrEx>
          <w:tblCellMar>
            <w:top w:w="0" w:type="dxa"/>
            <w:bottom w:w="0" w:type="dxa"/>
          </w:tblCellMar>
        </w:tblPrEx>
        <w:trPr>
          <w:trHeight w:val="191"/>
          <w:jc w:val="center"/>
        </w:trPr>
        <w:tc>
          <w:tcPr>
            <w:tcW w:w="860" w:type="dxa"/>
            <w:vAlign w:val="center"/>
          </w:tcPr>
          <w:p w14:paraId="5B2702FB"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Thailand</w:t>
                </w:r>
              </w:smartTag>
            </w:smartTag>
          </w:p>
        </w:tc>
        <w:tc>
          <w:tcPr>
            <w:tcW w:w="859" w:type="dxa"/>
            <w:vAlign w:val="center"/>
          </w:tcPr>
          <w:p w14:paraId="02AA36F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1995</w:t>
            </w:r>
          </w:p>
        </w:tc>
        <w:tc>
          <w:tcPr>
            <w:tcW w:w="1837" w:type="dxa"/>
            <w:vAlign w:val="center"/>
          </w:tcPr>
          <w:p w14:paraId="570A9AA2"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Trang</w:t>
            </w:r>
          </w:p>
        </w:tc>
        <w:tc>
          <w:tcPr>
            <w:tcW w:w="974" w:type="dxa"/>
            <w:vAlign w:val="center"/>
          </w:tcPr>
          <w:p w14:paraId="4CDB25F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35,665.28</w:t>
            </w:r>
          </w:p>
        </w:tc>
        <w:tc>
          <w:tcPr>
            <w:tcW w:w="779" w:type="dxa"/>
            <w:vAlign w:val="center"/>
          </w:tcPr>
          <w:p w14:paraId="0E4BB7B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7.71</w:t>
            </w:r>
          </w:p>
        </w:tc>
        <w:tc>
          <w:tcPr>
            <w:tcW w:w="889" w:type="dxa"/>
            <w:vAlign w:val="center"/>
          </w:tcPr>
          <w:p w14:paraId="09D4AD0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85.00</w:t>
            </w:r>
          </w:p>
        </w:tc>
        <w:tc>
          <w:tcPr>
            <w:tcW w:w="874" w:type="dxa"/>
            <w:vAlign w:val="center"/>
          </w:tcPr>
          <w:p w14:paraId="3EFF619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187" w:type="dxa"/>
            <w:vAlign w:val="center"/>
          </w:tcPr>
          <w:p w14:paraId="66502C4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655.35</w:t>
            </w:r>
          </w:p>
        </w:tc>
        <w:tc>
          <w:tcPr>
            <w:tcW w:w="713" w:type="dxa"/>
            <w:vAlign w:val="center"/>
          </w:tcPr>
          <w:p w14:paraId="2CBFB01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72.65</w:t>
            </w:r>
          </w:p>
        </w:tc>
        <w:tc>
          <w:tcPr>
            <w:tcW w:w="958" w:type="dxa"/>
            <w:vAlign w:val="center"/>
          </w:tcPr>
          <w:p w14:paraId="50D3CF8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449" w:type="dxa"/>
            <w:vAlign w:val="center"/>
          </w:tcPr>
          <w:p w14:paraId="68CC5D9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902.06</w:t>
            </w:r>
          </w:p>
        </w:tc>
        <w:tc>
          <w:tcPr>
            <w:tcW w:w="1171" w:type="dxa"/>
            <w:tcBorders>
              <w:top w:val="single" w:sz="2" w:space="0" w:color="000000"/>
              <w:bottom w:val="single" w:sz="2" w:space="0" w:color="000000"/>
            </w:tcBorders>
            <w:vAlign w:val="center"/>
          </w:tcPr>
          <w:p w14:paraId="032EEF2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22.38</w:t>
            </w:r>
          </w:p>
        </w:tc>
        <w:tc>
          <w:tcPr>
            <w:tcW w:w="1480" w:type="dxa"/>
            <w:vAlign w:val="center"/>
          </w:tcPr>
          <w:p w14:paraId="3A9A673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798,201.51</w:t>
            </w:r>
          </w:p>
        </w:tc>
      </w:tr>
      <w:tr w:rsidR="00FB39A5" w:rsidRPr="00FB39A5" w14:paraId="5B3BA530" w14:textId="77777777" w:rsidTr="00FB39A5">
        <w:tblPrEx>
          <w:tblCellMar>
            <w:top w:w="0" w:type="dxa"/>
            <w:bottom w:w="0" w:type="dxa"/>
          </w:tblCellMar>
        </w:tblPrEx>
        <w:trPr>
          <w:trHeight w:val="191"/>
          <w:jc w:val="center"/>
        </w:trPr>
        <w:tc>
          <w:tcPr>
            <w:tcW w:w="860" w:type="dxa"/>
            <w:vAlign w:val="center"/>
          </w:tcPr>
          <w:p w14:paraId="6E71505B"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Viet Nam</w:t>
                </w:r>
              </w:smartTag>
            </w:smartTag>
          </w:p>
        </w:tc>
        <w:tc>
          <w:tcPr>
            <w:tcW w:w="859" w:type="dxa"/>
            <w:vAlign w:val="center"/>
          </w:tcPr>
          <w:p w14:paraId="0C24B11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76AA86E9"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Balat estuary</w:t>
            </w:r>
          </w:p>
        </w:tc>
        <w:tc>
          <w:tcPr>
            <w:tcW w:w="974" w:type="dxa"/>
            <w:vAlign w:val="center"/>
          </w:tcPr>
          <w:p w14:paraId="0706846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2,889.00</w:t>
            </w:r>
          </w:p>
        </w:tc>
        <w:tc>
          <w:tcPr>
            <w:tcW w:w="779" w:type="dxa"/>
            <w:vAlign w:val="center"/>
          </w:tcPr>
          <w:p w14:paraId="2011D1F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260.00</w:t>
            </w:r>
          </w:p>
        </w:tc>
        <w:tc>
          <w:tcPr>
            <w:tcW w:w="889" w:type="dxa"/>
            <w:vAlign w:val="center"/>
          </w:tcPr>
          <w:p w14:paraId="66B097D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80,000.00</w:t>
            </w:r>
          </w:p>
        </w:tc>
        <w:tc>
          <w:tcPr>
            <w:tcW w:w="874" w:type="dxa"/>
            <w:vAlign w:val="center"/>
          </w:tcPr>
          <w:p w14:paraId="1FBE0C4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187" w:type="dxa"/>
            <w:vAlign w:val="center"/>
          </w:tcPr>
          <w:p w14:paraId="58E95B8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20,800,000.00</w:t>
            </w:r>
          </w:p>
        </w:tc>
        <w:tc>
          <w:tcPr>
            <w:tcW w:w="713" w:type="dxa"/>
            <w:vAlign w:val="center"/>
          </w:tcPr>
          <w:p w14:paraId="0B69272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5C10E11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0E97C68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20,800,000.00</w:t>
            </w:r>
          </w:p>
        </w:tc>
        <w:tc>
          <w:tcPr>
            <w:tcW w:w="1171" w:type="dxa"/>
            <w:tcBorders>
              <w:top w:val="single" w:sz="2" w:space="0" w:color="000000"/>
              <w:bottom w:val="single" w:sz="2" w:space="0" w:color="000000"/>
            </w:tcBorders>
            <w:shd w:val="clear" w:color="FFFF00" w:fill="D9D9D9"/>
            <w:vAlign w:val="center"/>
          </w:tcPr>
          <w:p w14:paraId="6FA747E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1,302.64</w:t>
            </w:r>
          </w:p>
        </w:tc>
        <w:tc>
          <w:tcPr>
            <w:tcW w:w="1480" w:type="dxa"/>
            <w:vAlign w:val="center"/>
          </w:tcPr>
          <w:p w14:paraId="7F7F8C7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3,763,335.96</w:t>
            </w:r>
          </w:p>
        </w:tc>
      </w:tr>
      <w:tr w:rsidR="00FB39A5" w:rsidRPr="00FB39A5" w14:paraId="339DDF53" w14:textId="77777777" w:rsidTr="00FB39A5">
        <w:tblPrEx>
          <w:tblCellMar>
            <w:top w:w="0" w:type="dxa"/>
            <w:bottom w:w="0" w:type="dxa"/>
          </w:tblCellMar>
        </w:tblPrEx>
        <w:trPr>
          <w:trHeight w:val="170"/>
          <w:jc w:val="center"/>
        </w:trPr>
        <w:tc>
          <w:tcPr>
            <w:tcW w:w="14030" w:type="dxa"/>
            <w:gridSpan w:val="13"/>
            <w:vAlign w:val="center"/>
          </w:tcPr>
          <w:p w14:paraId="1A3D100F" w14:textId="77777777" w:rsidR="00FB39A5" w:rsidRPr="00FB39A5" w:rsidRDefault="00FB39A5" w:rsidP="00FB39A5">
            <w:pPr>
              <w:tabs>
                <w:tab w:val="num" w:leader="none" w:pos="1440"/>
              </w:tabs>
              <w:jc w:val="center"/>
              <w:outlineLvl w:val="1"/>
              <w:rPr>
                <w:rFonts w:ascii="Arial" w:hAnsi="Arial" w:cs="Arial"/>
                <w:b/>
                <w:bCs/>
                <w:sz w:val="18"/>
                <w:szCs w:val="18"/>
                <w:lang w:val="en-GB"/>
              </w:rPr>
            </w:pPr>
            <w:bookmarkStart w:id="38" w:name="_Toc163031988"/>
            <w:bookmarkStart w:id="39" w:name="_Toc163032115"/>
            <w:r w:rsidRPr="00FB39A5">
              <w:rPr>
                <w:rFonts w:ascii="Arial" w:hAnsi="Arial" w:cs="Arial"/>
                <w:b/>
                <w:bCs/>
                <w:sz w:val="18"/>
                <w:szCs w:val="18"/>
                <w:lang w:val="en-GB"/>
              </w:rPr>
              <w:t>Prawn Kg</w:t>
            </w:r>
            <w:bookmarkEnd w:id="38"/>
            <w:bookmarkEnd w:id="39"/>
          </w:p>
        </w:tc>
      </w:tr>
      <w:tr w:rsidR="00FB39A5" w:rsidRPr="00FB39A5" w14:paraId="3D02C34E" w14:textId="77777777" w:rsidTr="00FB39A5">
        <w:tblPrEx>
          <w:tblCellMar>
            <w:top w:w="0" w:type="dxa"/>
            <w:bottom w:w="0" w:type="dxa"/>
          </w:tblCellMar>
        </w:tblPrEx>
        <w:trPr>
          <w:trHeight w:val="99"/>
          <w:jc w:val="center"/>
        </w:trPr>
        <w:tc>
          <w:tcPr>
            <w:tcW w:w="860" w:type="dxa"/>
            <w:vAlign w:val="center"/>
          </w:tcPr>
          <w:p w14:paraId="4A8D3EC1"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China</w:t>
                </w:r>
              </w:smartTag>
            </w:smartTag>
          </w:p>
        </w:tc>
        <w:tc>
          <w:tcPr>
            <w:tcW w:w="859" w:type="dxa"/>
            <w:vAlign w:val="center"/>
          </w:tcPr>
          <w:p w14:paraId="27AD568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1837" w:type="dxa"/>
            <w:vAlign w:val="center"/>
          </w:tcPr>
          <w:p w14:paraId="3FDCEF14"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Fangchenggang</w:t>
            </w:r>
          </w:p>
        </w:tc>
        <w:tc>
          <w:tcPr>
            <w:tcW w:w="974" w:type="dxa"/>
            <w:vAlign w:val="center"/>
          </w:tcPr>
          <w:p w14:paraId="19CCA60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1,414.50</w:t>
            </w:r>
          </w:p>
        </w:tc>
        <w:tc>
          <w:tcPr>
            <w:tcW w:w="779" w:type="dxa"/>
            <w:vAlign w:val="center"/>
          </w:tcPr>
          <w:p w14:paraId="5B0A83F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34.50</w:t>
            </w:r>
          </w:p>
        </w:tc>
        <w:tc>
          <w:tcPr>
            <w:tcW w:w="889" w:type="dxa"/>
            <w:vAlign w:val="center"/>
          </w:tcPr>
          <w:p w14:paraId="3D751BE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30.00</w:t>
            </w:r>
          </w:p>
        </w:tc>
        <w:tc>
          <w:tcPr>
            <w:tcW w:w="874" w:type="dxa"/>
            <w:vAlign w:val="center"/>
          </w:tcPr>
          <w:p w14:paraId="50BD4FB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CNY</w:t>
            </w:r>
          </w:p>
        </w:tc>
        <w:tc>
          <w:tcPr>
            <w:tcW w:w="1187" w:type="dxa"/>
            <w:vAlign w:val="center"/>
          </w:tcPr>
          <w:p w14:paraId="09A788D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1,035.00</w:t>
            </w:r>
          </w:p>
        </w:tc>
        <w:tc>
          <w:tcPr>
            <w:tcW w:w="713" w:type="dxa"/>
            <w:vAlign w:val="center"/>
          </w:tcPr>
          <w:p w14:paraId="7B39F29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93.38</w:t>
            </w:r>
          </w:p>
        </w:tc>
        <w:tc>
          <w:tcPr>
            <w:tcW w:w="958" w:type="dxa"/>
            <w:vAlign w:val="center"/>
          </w:tcPr>
          <w:p w14:paraId="791BFA5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8.20</w:t>
            </w:r>
          </w:p>
        </w:tc>
        <w:tc>
          <w:tcPr>
            <w:tcW w:w="1449" w:type="dxa"/>
            <w:vAlign w:val="center"/>
          </w:tcPr>
          <w:p w14:paraId="4160E9D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1,108.37</w:t>
            </w:r>
          </w:p>
        </w:tc>
        <w:tc>
          <w:tcPr>
            <w:tcW w:w="1171" w:type="dxa"/>
            <w:vAlign w:val="center"/>
          </w:tcPr>
          <w:p w14:paraId="3DF813D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135.11</w:t>
            </w:r>
          </w:p>
        </w:tc>
        <w:tc>
          <w:tcPr>
            <w:tcW w:w="1480" w:type="dxa"/>
            <w:vAlign w:val="center"/>
          </w:tcPr>
          <w:p w14:paraId="711E933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191,117.90</w:t>
            </w:r>
          </w:p>
        </w:tc>
      </w:tr>
      <w:tr w:rsidR="00FB39A5" w:rsidRPr="00FB39A5" w14:paraId="7B11094F" w14:textId="77777777" w:rsidTr="00FB39A5">
        <w:tblPrEx>
          <w:tblCellMar>
            <w:top w:w="0" w:type="dxa"/>
            <w:bottom w:w="0" w:type="dxa"/>
          </w:tblCellMar>
        </w:tblPrEx>
        <w:trPr>
          <w:trHeight w:val="191"/>
          <w:jc w:val="center"/>
        </w:trPr>
        <w:tc>
          <w:tcPr>
            <w:tcW w:w="860" w:type="dxa"/>
            <w:vAlign w:val="center"/>
          </w:tcPr>
          <w:p w14:paraId="2E0B59D5"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Indonesia</w:t>
                </w:r>
              </w:smartTag>
            </w:smartTag>
          </w:p>
        </w:tc>
        <w:tc>
          <w:tcPr>
            <w:tcW w:w="859" w:type="dxa"/>
            <w:vAlign w:val="center"/>
          </w:tcPr>
          <w:p w14:paraId="048219B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0E2088ED"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r w:rsidRPr="00FB39A5">
                <w:rPr>
                  <w:rFonts w:ascii="Arial" w:hAnsi="Arial" w:cs="Arial"/>
                  <w:sz w:val="12"/>
                  <w:szCs w:val="12"/>
                  <w:lang w:val="en-GB"/>
                </w:rPr>
                <w:t>Makassar</w:t>
              </w:r>
            </w:smartTag>
          </w:p>
        </w:tc>
        <w:tc>
          <w:tcPr>
            <w:tcW w:w="974" w:type="dxa"/>
            <w:vAlign w:val="center"/>
          </w:tcPr>
          <w:p w14:paraId="1131959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27.00</w:t>
            </w:r>
          </w:p>
        </w:tc>
        <w:tc>
          <w:tcPr>
            <w:tcW w:w="779" w:type="dxa"/>
            <w:vAlign w:val="center"/>
          </w:tcPr>
          <w:p w14:paraId="36454D4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162.00</w:t>
            </w:r>
          </w:p>
        </w:tc>
        <w:tc>
          <w:tcPr>
            <w:tcW w:w="889" w:type="dxa"/>
            <w:vAlign w:val="center"/>
          </w:tcPr>
          <w:p w14:paraId="1BB25AD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17,292.90</w:t>
            </w:r>
          </w:p>
        </w:tc>
        <w:tc>
          <w:tcPr>
            <w:tcW w:w="874" w:type="dxa"/>
            <w:vAlign w:val="center"/>
          </w:tcPr>
          <w:p w14:paraId="2453868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335BD6A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2,801,375.00</w:t>
            </w:r>
          </w:p>
        </w:tc>
        <w:tc>
          <w:tcPr>
            <w:tcW w:w="713" w:type="dxa"/>
            <w:vAlign w:val="center"/>
          </w:tcPr>
          <w:p w14:paraId="6545E18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44EA390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689BCAB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2,801,375.00</w:t>
            </w:r>
          </w:p>
        </w:tc>
        <w:tc>
          <w:tcPr>
            <w:tcW w:w="1171" w:type="dxa"/>
            <w:vAlign w:val="center"/>
          </w:tcPr>
          <w:p w14:paraId="3BBBC4C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288.16</w:t>
            </w:r>
          </w:p>
        </w:tc>
        <w:tc>
          <w:tcPr>
            <w:tcW w:w="1480" w:type="dxa"/>
            <w:vAlign w:val="center"/>
          </w:tcPr>
          <w:p w14:paraId="2D784C3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7,780.28</w:t>
            </w:r>
          </w:p>
        </w:tc>
      </w:tr>
      <w:tr w:rsidR="00FB39A5" w:rsidRPr="00FB39A5" w14:paraId="1F34DA05" w14:textId="77777777" w:rsidTr="00FB39A5">
        <w:tblPrEx>
          <w:tblCellMar>
            <w:top w:w="0" w:type="dxa"/>
            <w:bottom w:w="0" w:type="dxa"/>
          </w:tblCellMar>
        </w:tblPrEx>
        <w:trPr>
          <w:trHeight w:val="191"/>
          <w:jc w:val="center"/>
        </w:trPr>
        <w:tc>
          <w:tcPr>
            <w:tcW w:w="860" w:type="dxa"/>
            <w:vAlign w:val="center"/>
          </w:tcPr>
          <w:p w14:paraId="579F1D66"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E37BC1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0B3725EF"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Mamuju </w:t>
            </w:r>
          </w:p>
        </w:tc>
        <w:tc>
          <w:tcPr>
            <w:tcW w:w="974" w:type="dxa"/>
            <w:vAlign w:val="center"/>
          </w:tcPr>
          <w:p w14:paraId="5DB6ED0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976.00</w:t>
            </w:r>
          </w:p>
        </w:tc>
        <w:tc>
          <w:tcPr>
            <w:tcW w:w="779" w:type="dxa"/>
            <w:vAlign w:val="center"/>
          </w:tcPr>
          <w:p w14:paraId="4DB12AD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132.84</w:t>
            </w:r>
          </w:p>
        </w:tc>
        <w:tc>
          <w:tcPr>
            <w:tcW w:w="889" w:type="dxa"/>
            <w:vAlign w:val="center"/>
          </w:tcPr>
          <w:p w14:paraId="20C67F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24,424.00</w:t>
            </w:r>
          </w:p>
        </w:tc>
        <w:tc>
          <w:tcPr>
            <w:tcW w:w="874" w:type="dxa"/>
            <w:vAlign w:val="center"/>
          </w:tcPr>
          <w:p w14:paraId="7A10B7C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6E6802F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3,244,444.44</w:t>
            </w:r>
          </w:p>
        </w:tc>
        <w:tc>
          <w:tcPr>
            <w:tcW w:w="713" w:type="dxa"/>
            <w:vAlign w:val="center"/>
          </w:tcPr>
          <w:p w14:paraId="2746D9A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6418DBB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28B20BF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3,244,444.44</w:t>
            </w:r>
          </w:p>
        </w:tc>
        <w:tc>
          <w:tcPr>
            <w:tcW w:w="1171" w:type="dxa"/>
            <w:vAlign w:val="center"/>
          </w:tcPr>
          <w:p w14:paraId="5180FE2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333.73</w:t>
            </w:r>
          </w:p>
        </w:tc>
        <w:tc>
          <w:tcPr>
            <w:tcW w:w="1480" w:type="dxa"/>
            <w:vAlign w:val="center"/>
          </w:tcPr>
          <w:p w14:paraId="5CA41E8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325,724.25</w:t>
            </w:r>
          </w:p>
        </w:tc>
      </w:tr>
      <w:tr w:rsidR="00FB39A5" w:rsidRPr="00FB39A5" w14:paraId="1472FE5B" w14:textId="77777777" w:rsidTr="00FB39A5">
        <w:tblPrEx>
          <w:tblCellMar>
            <w:top w:w="0" w:type="dxa"/>
            <w:bottom w:w="0" w:type="dxa"/>
          </w:tblCellMar>
        </w:tblPrEx>
        <w:trPr>
          <w:trHeight w:val="191"/>
          <w:jc w:val="center"/>
        </w:trPr>
        <w:tc>
          <w:tcPr>
            <w:tcW w:w="860" w:type="dxa"/>
            <w:vAlign w:val="center"/>
          </w:tcPr>
          <w:p w14:paraId="499CC0A4"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1D9730B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4C34ADDA"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Donggala </w:t>
            </w:r>
          </w:p>
        </w:tc>
        <w:tc>
          <w:tcPr>
            <w:tcW w:w="974" w:type="dxa"/>
            <w:vAlign w:val="center"/>
          </w:tcPr>
          <w:p w14:paraId="1BFE681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18,300.00</w:t>
            </w:r>
          </w:p>
        </w:tc>
        <w:tc>
          <w:tcPr>
            <w:tcW w:w="779" w:type="dxa"/>
            <w:vAlign w:val="center"/>
          </w:tcPr>
          <w:p w14:paraId="09EB7F9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182.53</w:t>
            </w:r>
          </w:p>
        </w:tc>
        <w:tc>
          <w:tcPr>
            <w:tcW w:w="889" w:type="dxa"/>
            <w:vAlign w:val="center"/>
          </w:tcPr>
          <w:p w14:paraId="2A8B744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23,424.90</w:t>
            </w:r>
          </w:p>
        </w:tc>
        <w:tc>
          <w:tcPr>
            <w:tcW w:w="874" w:type="dxa"/>
            <w:vAlign w:val="center"/>
          </w:tcPr>
          <w:p w14:paraId="42F914F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68A56E7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4,275,714.29</w:t>
            </w:r>
          </w:p>
        </w:tc>
        <w:tc>
          <w:tcPr>
            <w:tcW w:w="713" w:type="dxa"/>
            <w:vAlign w:val="center"/>
          </w:tcPr>
          <w:p w14:paraId="2D8CA4C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079B1BD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64872ED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4,275,714.29</w:t>
            </w:r>
          </w:p>
        </w:tc>
        <w:tc>
          <w:tcPr>
            <w:tcW w:w="1171" w:type="dxa"/>
            <w:vAlign w:val="center"/>
          </w:tcPr>
          <w:p w14:paraId="311CC8F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439.81</w:t>
            </w:r>
          </w:p>
        </w:tc>
        <w:tc>
          <w:tcPr>
            <w:tcW w:w="1480" w:type="dxa"/>
            <w:vAlign w:val="center"/>
          </w:tcPr>
          <w:p w14:paraId="38579EC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8,048,588.14</w:t>
            </w:r>
          </w:p>
        </w:tc>
      </w:tr>
      <w:tr w:rsidR="00FB39A5" w:rsidRPr="00FB39A5" w14:paraId="6EECE3F9" w14:textId="77777777" w:rsidTr="00FB39A5">
        <w:tblPrEx>
          <w:tblCellMar>
            <w:top w:w="0" w:type="dxa"/>
            <w:bottom w:w="0" w:type="dxa"/>
          </w:tblCellMar>
        </w:tblPrEx>
        <w:trPr>
          <w:trHeight w:val="191"/>
          <w:jc w:val="center"/>
        </w:trPr>
        <w:tc>
          <w:tcPr>
            <w:tcW w:w="860" w:type="dxa"/>
            <w:vAlign w:val="center"/>
          </w:tcPr>
          <w:p w14:paraId="1A94962B"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5151B06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45EA70BC"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Karawang, W. Java, Perhutani's property</w:t>
            </w:r>
          </w:p>
        </w:tc>
        <w:tc>
          <w:tcPr>
            <w:tcW w:w="974" w:type="dxa"/>
            <w:vAlign w:val="center"/>
          </w:tcPr>
          <w:p w14:paraId="4DF3B10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1,292.40</w:t>
            </w:r>
          </w:p>
        </w:tc>
        <w:tc>
          <w:tcPr>
            <w:tcW w:w="779" w:type="dxa"/>
            <w:vAlign w:val="center"/>
          </w:tcPr>
          <w:p w14:paraId="18DBB72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102.50</w:t>
            </w:r>
          </w:p>
        </w:tc>
        <w:tc>
          <w:tcPr>
            <w:tcW w:w="889" w:type="dxa"/>
            <w:vAlign w:val="center"/>
          </w:tcPr>
          <w:p w14:paraId="400F44C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22,256.70</w:t>
            </w:r>
          </w:p>
        </w:tc>
        <w:tc>
          <w:tcPr>
            <w:tcW w:w="874" w:type="dxa"/>
            <w:vAlign w:val="center"/>
          </w:tcPr>
          <w:p w14:paraId="24CED47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2DBAE12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2,281,250.00</w:t>
            </w:r>
          </w:p>
        </w:tc>
        <w:tc>
          <w:tcPr>
            <w:tcW w:w="713" w:type="dxa"/>
            <w:vAlign w:val="center"/>
          </w:tcPr>
          <w:p w14:paraId="755D81C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1F48372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3078FC9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2,519,604.59</w:t>
            </w:r>
          </w:p>
        </w:tc>
        <w:tc>
          <w:tcPr>
            <w:tcW w:w="1171" w:type="dxa"/>
            <w:vAlign w:val="center"/>
          </w:tcPr>
          <w:p w14:paraId="2C7EAE0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259.17</w:t>
            </w:r>
          </w:p>
        </w:tc>
        <w:tc>
          <w:tcPr>
            <w:tcW w:w="1480" w:type="dxa"/>
            <w:vAlign w:val="center"/>
          </w:tcPr>
          <w:p w14:paraId="12E8255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334,957.17</w:t>
            </w:r>
          </w:p>
        </w:tc>
      </w:tr>
    </w:tbl>
    <w:p w14:paraId="10F2CD35" w14:textId="77777777" w:rsidR="00FB39A5" w:rsidRPr="00FB39A5" w:rsidRDefault="00FB39A5" w:rsidP="00FB39A5">
      <w:pPr>
        <w:jc w:val="both"/>
        <w:rPr>
          <w:rFonts w:ascii="Arial" w:hAnsi="Arial" w:cs="Arial"/>
          <w:sz w:val="20"/>
          <w:lang w:val="en-GB"/>
        </w:rPr>
      </w:pPr>
    </w:p>
    <w:p w14:paraId="4DB72692" w14:textId="77777777" w:rsidR="00FB39A5" w:rsidRPr="00687722" w:rsidRDefault="00FB39A5" w:rsidP="00FB39A5">
      <w:pPr>
        <w:tabs>
          <w:tab w:val="left" w:pos="1500"/>
        </w:tabs>
        <w:spacing w:after="120"/>
        <w:ind w:left="1498" w:hanging="1498"/>
        <w:jc w:val="both"/>
        <w:rPr>
          <w:sz w:val="21"/>
          <w:szCs w:val="21"/>
          <w:lang w:val="en-GB"/>
        </w:rPr>
      </w:pPr>
      <w:r w:rsidRPr="00FB39A5">
        <w:rPr>
          <w:rFonts w:ascii="Arial" w:hAnsi="Arial" w:cs="Arial"/>
          <w:sz w:val="20"/>
          <w:lang w:val="en-GB"/>
        </w:rPr>
        <w:br w:type="page"/>
      </w:r>
      <w:r w:rsidRPr="00687722">
        <w:rPr>
          <w:b/>
          <w:sz w:val="21"/>
          <w:szCs w:val="21"/>
          <w:lang w:val="en-GB"/>
        </w:rPr>
        <w:t>Table 2</w:t>
      </w:r>
      <w:r w:rsidRPr="00687722">
        <w:rPr>
          <w:b/>
          <w:i/>
          <w:iCs/>
          <w:sz w:val="21"/>
          <w:szCs w:val="21"/>
          <w:lang w:val="en-GB"/>
        </w:rPr>
        <w:t xml:space="preserve"> cont.</w:t>
      </w:r>
      <w:r w:rsidRPr="00687722">
        <w:rPr>
          <w:sz w:val="21"/>
          <w:szCs w:val="21"/>
          <w:lang w:val="en-GB"/>
        </w:rPr>
        <w:tab/>
        <w:t>Values of goods from mangrove ecosystems at various locations bordering the South China Sea. Shaded cells include values not used in the subsequent analysis to determine national and regional weighted mean values for each resource.</w:t>
      </w:r>
    </w:p>
    <w:tbl>
      <w:tblPr>
        <w:tblW w:w="0" w:type="auto"/>
        <w:jc w:val="center"/>
        <w:tblBorders>
          <w:top w:val="single" w:sz="12" w:space="0" w:color="auto"/>
          <w:left w:val="single" w:sz="12" w:space="0" w:color="auto"/>
          <w:bottom w:val="single" w:sz="12" w:space="0" w:color="auto"/>
          <w:right w:val="single" w:sz="12" w:space="0" w:color="auto"/>
          <w:insideH w:val="single" w:sz="2" w:space="0" w:color="000000"/>
          <w:insideV w:val="single" w:sz="2" w:space="0" w:color="000000"/>
        </w:tblBorders>
        <w:tblLayout w:type="fixed"/>
        <w:tblCellMar>
          <w:left w:w="30" w:type="dxa"/>
          <w:right w:w="30" w:type="dxa"/>
        </w:tblCellMar>
        <w:tblLook w:val="0000" w:firstRow="0" w:lastRow="0" w:firstColumn="0" w:lastColumn="0" w:noHBand="0" w:noVBand="0"/>
      </w:tblPr>
      <w:tblGrid>
        <w:gridCol w:w="860"/>
        <w:gridCol w:w="859"/>
        <w:gridCol w:w="1837"/>
        <w:gridCol w:w="974"/>
        <w:gridCol w:w="779"/>
        <w:gridCol w:w="889"/>
        <w:gridCol w:w="874"/>
        <w:gridCol w:w="1187"/>
        <w:gridCol w:w="713"/>
        <w:gridCol w:w="958"/>
        <w:gridCol w:w="1449"/>
        <w:gridCol w:w="1171"/>
        <w:gridCol w:w="1480"/>
      </w:tblGrid>
      <w:tr w:rsidR="00FB39A5" w:rsidRPr="00FB39A5" w14:paraId="48D69ED9" w14:textId="77777777" w:rsidTr="00FB39A5">
        <w:tblPrEx>
          <w:tblCellMar>
            <w:top w:w="0" w:type="dxa"/>
            <w:bottom w:w="0" w:type="dxa"/>
          </w:tblCellMar>
        </w:tblPrEx>
        <w:trPr>
          <w:trHeight w:val="664"/>
          <w:jc w:val="center"/>
        </w:trPr>
        <w:tc>
          <w:tcPr>
            <w:tcW w:w="860" w:type="dxa"/>
            <w:tcBorders>
              <w:top w:val="single" w:sz="12" w:space="0" w:color="auto"/>
              <w:bottom w:val="single" w:sz="12" w:space="0" w:color="auto"/>
            </w:tcBorders>
            <w:vAlign w:val="center"/>
          </w:tcPr>
          <w:p w14:paraId="064F9159"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Country</w:t>
            </w:r>
          </w:p>
        </w:tc>
        <w:tc>
          <w:tcPr>
            <w:tcW w:w="859" w:type="dxa"/>
            <w:tcBorders>
              <w:top w:val="single" w:sz="12" w:space="0" w:color="auto"/>
              <w:bottom w:val="single" w:sz="12" w:space="0" w:color="auto"/>
            </w:tcBorders>
            <w:vAlign w:val="center"/>
          </w:tcPr>
          <w:p w14:paraId="3587C2CC" w14:textId="77777777" w:rsidR="00FB39A5" w:rsidRPr="00FB39A5" w:rsidRDefault="00FB39A5" w:rsidP="00FB39A5">
            <w:pPr>
              <w:keepNext/>
              <w:ind w:left="20"/>
              <w:jc w:val="center"/>
              <w:outlineLvl w:val="2"/>
              <w:rPr>
                <w:rFonts w:ascii="Arial" w:hAnsi="Arial" w:cs="Arial"/>
                <w:b/>
                <w:bCs/>
                <w:sz w:val="16"/>
                <w:szCs w:val="16"/>
                <w:lang w:val="en-GB" w:bidi="he-IL"/>
              </w:rPr>
            </w:pPr>
            <w:bookmarkStart w:id="40" w:name="_Toc163031989"/>
            <w:bookmarkStart w:id="41" w:name="_Toc163032116"/>
            <w:r w:rsidRPr="00FB39A5">
              <w:rPr>
                <w:rFonts w:ascii="Arial" w:hAnsi="Arial" w:cs="Arial"/>
                <w:b/>
                <w:bCs/>
                <w:sz w:val="16"/>
                <w:szCs w:val="16"/>
                <w:lang w:val="en-GB" w:bidi="he-IL"/>
              </w:rPr>
              <w:t>Year</w:t>
            </w:r>
            <w:bookmarkEnd w:id="40"/>
            <w:bookmarkEnd w:id="41"/>
          </w:p>
        </w:tc>
        <w:tc>
          <w:tcPr>
            <w:tcW w:w="1837" w:type="dxa"/>
            <w:tcBorders>
              <w:top w:val="single" w:sz="12" w:space="0" w:color="auto"/>
              <w:bottom w:val="single" w:sz="12" w:space="0" w:color="auto"/>
            </w:tcBorders>
            <w:vAlign w:val="center"/>
          </w:tcPr>
          <w:p w14:paraId="3448E02E"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Location</w:t>
            </w:r>
          </w:p>
        </w:tc>
        <w:tc>
          <w:tcPr>
            <w:tcW w:w="974" w:type="dxa"/>
            <w:tcBorders>
              <w:top w:val="single" w:sz="12" w:space="0" w:color="auto"/>
              <w:bottom w:val="single" w:sz="12" w:space="0" w:color="auto"/>
            </w:tcBorders>
            <w:vAlign w:val="center"/>
          </w:tcPr>
          <w:p w14:paraId="6ACD16E8"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Total Area (Ha)</w:t>
            </w:r>
          </w:p>
        </w:tc>
        <w:tc>
          <w:tcPr>
            <w:tcW w:w="779" w:type="dxa"/>
            <w:tcBorders>
              <w:top w:val="single" w:sz="12" w:space="0" w:color="auto"/>
              <w:bottom w:val="single" w:sz="12" w:space="0" w:color="auto"/>
            </w:tcBorders>
            <w:vAlign w:val="center"/>
          </w:tcPr>
          <w:p w14:paraId="58F4A616"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Volume (per ha)</w:t>
            </w:r>
          </w:p>
        </w:tc>
        <w:tc>
          <w:tcPr>
            <w:tcW w:w="889" w:type="dxa"/>
            <w:tcBorders>
              <w:top w:val="single" w:sz="12" w:space="0" w:color="auto"/>
              <w:bottom w:val="single" w:sz="12" w:space="0" w:color="auto"/>
            </w:tcBorders>
            <w:vAlign w:val="center"/>
          </w:tcPr>
          <w:p w14:paraId="3C9471BC"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Unit Net Price</w:t>
            </w:r>
          </w:p>
        </w:tc>
        <w:tc>
          <w:tcPr>
            <w:tcW w:w="874" w:type="dxa"/>
            <w:tcBorders>
              <w:top w:val="single" w:sz="12" w:space="0" w:color="auto"/>
              <w:bottom w:val="single" w:sz="12" w:space="0" w:color="auto"/>
            </w:tcBorders>
            <w:vAlign w:val="center"/>
          </w:tcPr>
          <w:p w14:paraId="25DC07AC"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Currency</w:t>
            </w:r>
          </w:p>
        </w:tc>
        <w:tc>
          <w:tcPr>
            <w:tcW w:w="1187" w:type="dxa"/>
            <w:tcBorders>
              <w:top w:val="single" w:sz="12" w:space="0" w:color="auto"/>
              <w:bottom w:val="single" w:sz="12" w:space="0" w:color="auto"/>
            </w:tcBorders>
            <w:vAlign w:val="center"/>
          </w:tcPr>
          <w:p w14:paraId="051F2B2D"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Value</w:t>
            </w:r>
          </w:p>
          <w:p w14:paraId="17C82116"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(per Ha)</w:t>
            </w:r>
          </w:p>
        </w:tc>
        <w:tc>
          <w:tcPr>
            <w:tcW w:w="713" w:type="dxa"/>
            <w:tcBorders>
              <w:top w:val="single" w:sz="12" w:space="0" w:color="auto"/>
              <w:bottom w:val="single" w:sz="12" w:space="0" w:color="auto"/>
            </w:tcBorders>
            <w:vAlign w:val="center"/>
          </w:tcPr>
          <w:p w14:paraId="73AA0442"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CPI (base 2005)</w:t>
            </w:r>
          </w:p>
        </w:tc>
        <w:tc>
          <w:tcPr>
            <w:tcW w:w="958" w:type="dxa"/>
            <w:tcBorders>
              <w:top w:val="single" w:sz="12" w:space="0" w:color="auto"/>
              <w:bottom w:val="single" w:sz="12" w:space="0" w:color="auto"/>
            </w:tcBorders>
            <w:vAlign w:val="center"/>
          </w:tcPr>
          <w:p w14:paraId="5C724BD0"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Exchange rate 2005</w:t>
            </w:r>
          </w:p>
        </w:tc>
        <w:tc>
          <w:tcPr>
            <w:tcW w:w="1449" w:type="dxa"/>
            <w:tcBorders>
              <w:top w:val="single" w:sz="12" w:space="0" w:color="auto"/>
              <w:bottom w:val="single" w:sz="12" w:space="0" w:color="auto"/>
            </w:tcBorders>
            <w:vAlign w:val="center"/>
          </w:tcPr>
          <w:p w14:paraId="27D363E0"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Standard National Value, 2005, per hectare in local Currency</w:t>
            </w:r>
          </w:p>
        </w:tc>
        <w:tc>
          <w:tcPr>
            <w:tcW w:w="1171" w:type="dxa"/>
            <w:tcBorders>
              <w:top w:val="single" w:sz="12" w:space="0" w:color="auto"/>
              <w:bottom w:val="single" w:sz="12" w:space="0" w:color="auto"/>
            </w:tcBorders>
            <w:vAlign w:val="center"/>
          </w:tcPr>
          <w:p w14:paraId="73AB3EC5"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 xml:space="preserve">Regionally comparable Value per hectare </w:t>
            </w:r>
            <w:smartTag w:uri="urn:schemas-microsoft-com:office:smarttags" w:element="place">
              <w:smartTag w:uri="urn:schemas-microsoft-com:office:smarttags" w:element="country-region">
                <w:r w:rsidRPr="00FB39A5">
                  <w:rPr>
                    <w:rFonts w:ascii="Arial" w:hAnsi="Arial" w:cs="Arial"/>
                    <w:b/>
                    <w:bCs/>
                    <w:sz w:val="16"/>
                    <w:szCs w:val="16"/>
                    <w:lang w:val="en-GB"/>
                  </w:rPr>
                  <w:t>US</w:t>
                </w:r>
              </w:smartTag>
            </w:smartTag>
            <w:r w:rsidRPr="00FB39A5">
              <w:rPr>
                <w:rFonts w:ascii="Arial" w:hAnsi="Arial" w:cs="Arial"/>
                <w:b/>
                <w:bCs/>
                <w:sz w:val="16"/>
                <w:szCs w:val="16"/>
                <w:lang w:val="en-GB"/>
              </w:rPr>
              <w:t>$</w:t>
            </w:r>
          </w:p>
        </w:tc>
        <w:tc>
          <w:tcPr>
            <w:tcW w:w="1480" w:type="dxa"/>
            <w:tcBorders>
              <w:top w:val="single" w:sz="12" w:space="0" w:color="auto"/>
              <w:bottom w:val="single" w:sz="12" w:space="0" w:color="auto"/>
            </w:tcBorders>
            <w:vAlign w:val="center"/>
          </w:tcPr>
          <w:p w14:paraId="0B9406D4"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 xml:space="preserve">Total Stock Value by Locality (Area </w:t>
            </w:r>
            <w:r w:rsidRPr="00FB39A5">
              <w:rPr>
                <w:rFonts w:ascii="Arial" w:hAnsi="Arial" w:cs="Arial"/>
                <w:b/>
                <w:bCs/>
                <w:i/>
                <w:iCs/>
                <w:sz w:val="16"/>
                <w:szCs w:val="16"/>
                <w:lang w:val="en-GB"/>
              </w:rPr>
              <w:t>x</w:t>
            </w:r>
            <w:r w:rsidRPr="00FB39A5">
              <w:rPr>
                <w:rFonts w:ascii="Arial" w:hAnsi="Arial" w:cs="Arial"/>
                <w:b/>
                <w:bCs/>
                <w:sz w:val="16"/>
                <w:szCs w:val="16"/>
                <w:lang w:val="en-GB"/>
              </w:rPr>
              <w:t>Value/Ha in US)</w:t>
            </w:r>
          </w:p>
        </w:tc>
      </w:tr>
      <w:tr w:rsidR="00FB39A5" w:rsidRPr="00FB39A5" w14:paraId="28F47C59" w14:textId="77777777" w:rsidTr="00FB39A5">
        <w:tblPrEx>
          <w:tblCellMar>
            <w:top w:w="0" w:type="dxa"/>
            <w:bottom w:w="0" w:type="dxa"/>
          </w:tblCellMar>
        </w:tblPrEx>
        <w:trPr>
          <w:trHeight w:val="191"/>
          <w:jc w:val="center"/>
        </w:trPr>
        <w:tc>
          <w:tcPr>
            <w:tcW w:w="860" w:type="dxa"/>
            <w:vAlign w:val="center"/>
          </w:tcPr>
          <w:p w14:paraId="6C98CEA2"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3D3C1AF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45E2F774"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Karawang, W. Java, Private property</w:t>
            </w:r>
          </w:p>
        </w:tc>
        <w:tc>
          <w:tcPr>
            <w:tcW w:w="974" w:type="dxa"/>
            <w:vAlign w:val="center"/>
          </w:tcPr>
          <w:p w14:paraId="2F3BFDC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400.00</w:t>
            </w:r>
          </w:p>
        </w:tc>
        <w:tc>
          <w:tcPr>
            <w:tcW w:w="779" w:type="dxa"/>
            <w:vAlign w:val="center"/>
          </w:tcPr>
          <w:p w14:paraId="2B84611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83.68</w:t>
            </w:r>
          </w:p>
        </w:tc>
        <w:tc>
          <w:tcPr>
            <w:tcW w:w="889" w:type="dxa"/>
            <w:vAlign w:val="center"/>
          </w:tcPr>
          <w:p w14:paraId="108D6B0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22,256.70</w:t>
            </w:r>
          </w:p>
        </w:tc>
        <w:tc>
          <w:tcPr>
            <w:tcW w:w="874" w:type="dxa"/>
            <w:vAlign w:val="center"/>
          </w:tcPr>
          <w:p w14:paraId="1C4EA8F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10B47D3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1,862,500.00</w:t>
            </w:r>
          </w:p>
        </w:tc>
        <w:tc>
          <w:tcPr>
            <w:tcW w:w="713" w:type="dxa"/>
            <w:vAlign w:val="center"/>
          </w:tcPr>
          <w:p w14:paraId="7733B7D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162164D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1A255D0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2,057,101.83</w:t>
            </w:r>
          </w:p>
        </w:tc>
        <w:tc>
          <w:tcPr>
            <w:tcW w:w="1171" w:type="dxa"/>
            <w:vAlign w:val="center"/>
          </w:tcPr>
          <w:p w14:paraId="266D8FE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211.60</w:t>
            </w:r>
          </w:p>
        </w:tc>
        <w:tc>
          <w:tcPr>
            <w:tcW w:w="1480" w:type="dxa"/>
            <w:vAlign w:val="center"/>
          </w:tcPr>
          <w:p w14:paraId="5435A47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84,640.01</w:t>
            </w:r>
          </w:p>
        </w:tc>
      </w:tr>
      <w:tr w:rsidR="00FB39A5" w:rsidRPr="00FB39A5" w14:paraId="3C5B31F8" w14:textId="77777777" w:rsidTr="00FB39A5">
        <w:tblPrEx>
          <w:tblCellMar>
            <w:top w:w="0" w:type="dxa"/>
            <w:bottom w:w="0" w:type="dxa"/>
          </w:tblCellMar>
        </w:tblPrEx>
        <w:trPr>
          <w:trHeight w:val="191"/>
          <w:jc w:val="center"/>
        </w:trPr>
        <w:tc>
          <w:tcPr>
            <w:tcW w:w="860" w:type="dxa"/>
            <w:vAlign w:val="center"/>
          </w:tcPr>
          <w:p w14:paraId="46531E80"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7DC5E8D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2C837AB8"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Pondok Bali, Subang </w:t>
            </w:r>
          </w:p>
        </w:tc>
        <w:tc>
          <w:tcPr>
            <w:tcW w:w="974" w:type="dxa"/>
            <w:vAlign w:val="center"/>
          </w:tcPr>
          <w:p w14:paraId="4B07B83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225.00</w:t>
            </w:r>
          </w:p>
        </w:tc>
        <w:tc>
          <w:tcPr>
            <w:tcW w:w="779" w:type="dxa"/>
            <w:vAlign w:val="center"/>
          </w:tcPr>
          <w:p w14:paraId="0233DC5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288.85</w:t>
            </w:r>
          </w:p>
        </w:tc>
        <w:tc>
          <w:tcPr>
            <w:tcW w:w="889" w:type="dxa"/>
            <w:vAlign w:val="center"/>
          </w:tcPr>
          <w:p w14:paraId="1A99E4A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15,000.00</w:t>
            </w:r>
          </w:p>
        </w:tc>
        <w:tc>
          <w:tcPr>
            <w:tcW w:w="874" w:type="dxa"/>
            <w:vAlign w:val="center"/>
          </w:tcPr>
          <w:p w14:paraId="1CE6BB9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5AB721D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4,332,750.00</w:t>
            </w:r>
          </w:p>
        </w:tc>
        <w:tc>
          <w:tcPr>
            <w:tcW w:w="713" w:type="dxa"/>
            <w:vAlign w:val="center"/>
          </w:tcPr>
          <w:p w14:paraId="3E99FF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34E6467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012AE9A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4,332,750.00</w:t>
            </w:r>
          </w:p>
        </w:tc>
        <w:tc>
          <w:tcPr>
            <w:tcW w:w="1171" w:type="dxa"/>
            <w:tcBorders>
              <w:bottom w:val="single" w:sz="2" w:space="0" w:color="000000"/>
            </w:tcBorders>
            <w:vAlign w:val="center"/>
          </w:tcPr>
          <w:p w14:paraId="66516C2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445.68</w:t>
            </w:r>
          </w:p>
        </w:tc>
        <w:tc>
          <w:tcPr>
            <w:tcW w:w="1480" w:type="dxa"/>
            <w:vAlign w:val="center"/>
          </w:tcPr>
          <w:p w14:paraId="5CAEE38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100,278.10</w:t>
            </w:r>
          </w:p>
        </w:tc>
      </w:tr>
      <w:tr w:rsidR="00FB39A5" w:rsidRPr="00FB39A5" w14:paraId="03603EEF" w14:textId="77777777" w:rsidTr="00FB39A5">
        <w:tblPrEx>
          <w:tblCellMar>
            <w:top w:w="0" w:type="dxa"/>
            <w:bottom w:w="0" w:type="dxa"/>
          </w:tblCellMar>
        </w:tblPrEx>
        <w:trPr>
          <w:trHeight w:val="191"/>
          <w:jc w:val="center"/>
        </w:trPr>
        <w:tc>
          <w:tcPr>
            <w:tcW w:w="860" w:type="dxa"/>
            <w:vAlign w:val="center"/>
          </w:tcPr>
          <w:p w14:paraId="1198C9F8"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2D88DE8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76CD93B1"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r w:rsidRPr="00FB39A5">
                <w:rPr>
                  <w:rFonts w:ascii="Arial" w:hAnsi="Arial" w:cs="Arial"/>
                  <w:sz w:val="12"/>
                  <w:szCs w:val="12"/>
                  <w:lang w:val="en-GB"/>
                </w:rPr>
                <w:t>Bali</w:t>
              </w:r>
            </w:smartTag>
            <w:r w:rsidRPr="00FB39A5">
              <w:rPr>
                <w:rFonts w:ascii="Arial" w:hAnsi="Arial" w:cs="Arial"/>
                <w:sz w:val="12"/>
                <w:szCs w:val="12"/>
                <w:lang w:val="en-GB"/>
              </w:rPr>
              <w:t xml:space="preserve"> </w:t>
            </w:r>
          </w:p>
        </w:tc>
        <w:tc>
          <w:tcPr>
            <w:tcW w:w="974" w:type="dxa"/>
            <w:vAlign w:val="center"/>
          </w:tcPr>
          <w:p w14:paraId="47A7E5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9.00</w:t>
            </w:r>
          </w:p>
        </w:tc>
        <w:tc>
          <w:tcPr>
            <w:tcW w:w="779" w:type="dxa"/>
            <w:vAlign w:val="center"/>
          </w:tcPr>
          <w:p w14:paraId="0F18CD9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1,248.00</w:t>
            </w:r>
          </w:p>
        </w:tc>
        <w:tc>
          <w:tcPr>
            <w:tcW w:w="889" w:type="dxa"/>
            <w:vAlign w:val="center"/>
          </w:tcPr>
          <w:p w14:paraId="459377D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11,995.73</w:t>
            </w:r>
          </w:p>
        </w:tc>
        <w:tc>
          <w:tcPr>
            <w:tcW w:w="874" w:type="dxa"/>
            <w:vAlign w:val="center"/>
          </w:tcPr>
          <w:p w14:paraId="45693B1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710D905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14,970,667.00</w:t>
            </w:r>
          </w:p>
        </w:tc>
        <w:tc>
          <w:tcPr>
            <w:tcW w:w="713" w:type="dxa"/>
            <w:vAlign w:val="center"/>
          </w:tcPr>
          <w:p w14:paraId="30682EE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27DC3C2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46FC245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16,534,865.25</w:t>
            </w:r>
          </w:p>
        </w:tc>
        <w:tc>
          <w:tcPr>
            <w:tcW w:w="1171" w:type="dxa"/>
            <w:tcBorders>
              <w:top w:val="single" w:sz="2" w:space="0" w:color="000000"/>
              <w:bottom w:val="single" w:sz="2" w:space="0" w:color="000000"/>
            </w:tcBorders>
            <w:shd w:val="clear" w:color="FFFF00" w:fill="D9D9D9"/>
            <w:vAlign w:val="center"/>
          </w:tcPr>
          <w:p w14:paraId="520A1F3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1,700.83</w:t>
            </w:r>
          </w:p>
        </w:tc>
        <w:tc>
          <w:tcPr>
            <w:tcW w:w="1480" w:type="dxa"/>
            <w:vAlign w:val="center"/>
          </w:tcPr>
          <w:p w14:paraId="695BD75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15,307.46</w:t>
            </w:r>
          </w:p>
        </w:tc>
      </w:tr>
      <w:tr w:rsidR="00FB39A5" w:rsidRPr="00FB39A5" w14:paraId="38291D6F" w14:textId="77777777" w:rsidTr="00FB39A5">
        <w:tblPrEx>
          <w:tblCellMar>
            <w:top w:w="0" w:type="dxa"/>
            <w:bottom w:w="0" w:type="dxa"/>
          </w:tblCellMar>
        </w:tblPrEx>
        <w:trPr>
          <w:trHeight w:val="191"/>
          <w:jc w:val="center"/>
        </w:trPr>
        <w:tc>
          <w:tcPr>
            <w:tcW w:w="860" w:type="dxa"/>
            <w:vAlign w:val="center"/>
          </w:tcPr>
          <w:p w14:paraId="1E5AF7A5"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22DB3DD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4FE07D8E"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Marisa</w:t>
                </w:r>
              </w:smartTag>
              <w:r w:rsidRPr="00FB39A5">
                <w:rPr>
                  <w:rFonts w:ascii="Arial" w:hAnsi="Arial" w:cs="Arial"/>
                  <w:sz w:val="12"/>
                  <w:szCs w:val="12"/>
                  <w:lang w:val="en-GB"/>
                </w:rPr>
                <w:t xml:space="preserve"> </w:t>
              </w:r>
              <w:smartTag w:uri="urn:schemas-microsoft-com:office:smarttags" w:element="PlaceName">
                <w:r w:rsidRPr="00FB39A5">
                  <w:rPr>
                    <w:rFonts w:ascii="Arial" w:hAnsi="Arial" w:cs="Arial"/>
                    <w:sz w:val="12"/>
                    <w:szCs w:val="12"/>
                    <w:lang w:val="en-GB"/>
                  </w:rPr>
                  <w:t>District</w:t>
                </w:r>
              </w:smartTag>
            </w:smartTag>
            <w:r w:rsidRPr="00FB39A5">
              <w:rPr>
                <w:rFonts w:ascii="Arial" w:hAnsi="Arial" w:cs="Arial"/>
                <w:sz w:val="12"/>
                <w:szCs w:val="12"/>
                <w:lang w:val="en-GB"/>
              </w:rPr>
              <w:t xml:space="preserve">, Gorontalo - Windu </w:t>
            </w:r>
          </w:p>
        </w:tc>
        <w:tc>
          <w:tcPr>
            <w:tcW w:w="974" w:type="dxa"/>
            <w:vAlign w:val="center"/>
          </w:tcPr>
          <w:p w14:paraId="723D949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5,332.00</w:t>
            </w:r>
          </w:p>
        </w:tc>
        <w:tc>
          <w:tcPr>
            <w:tcW w:w="779" w:type="dxa"/>
            <w:vAlign w:val="center"/>
          </w:tcPr>
          <w:p w14:paraId="3F7B37A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44.12</w:t>
            </w:r>
          </w:p>
        </w:tc>
        <w:tc>
          <w:tcPr>
            <w:tcW w:w="889" w:type="dxa"/>
            <w:vAlign w:val="center"/>
          </w:tcPr>
          <w:p w14:paraId="7513F6B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85,000.00</w:t>
            </w:r>
          </w:p>
        </w:tc>
        <w:tc>
          <w:tcPr>
            <w:tcW w:w="874" w:type="dxa"/>
            <w:vAlign w:val="center"/>
          </w:tcPr>
          <w:p w14:paraId="19ED730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45636AC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3,750,200.00</w:t>
            </w:r>
          </w:p>
        </w:tc>
        <w:tc>
          <w:tcPr>
            <w:tcW w:w="713" w:type="dxa"/>
            <w:vAlign w:val="center"/>
          </w:tcPr>
          <w:p w14:paraId="1205135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67C3B46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59ED2F1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4,142,036.67</w:t>
            </w:r>
          </w:p>
        </w:tc>
        <w:tc>
          <w:tcPr>
            <w:tcW w:w="1171" w:type="dxa"/>
            <w:tcBorders>
              <w:top w:val="single" w:sz="2" w:space="0" w:color="000000"/>
            </w:tcBorders>
            <w:vAlign w:val="center"/>
          </w:tcPr>
          <w:p w14:paraId="7B350E8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426.06</w:t>
            </w:r>
          </w:p>
        </w:tc>
        <w:tc>
          <w:tcPr>
            <w:tcW w:w="1480" w:type="dxa"/>
            <w:vAlign w:val="center"/>
          </w:tcPr>
          <w:p w14:paraId="3D7B243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2,271,768.21</w:t>
            </w:r>
          </w:p>
        </w:tc>
      </w:tr>
      <w:tr w:rsidR="00FB39A5" w:rsidRPr="00FB39A5" w14:paraId="1F3FE44E" w14:textId="77777777" w:rsidTr="00FB39A5">
        <w:tblPrEx>
          <w:tblCellMar>
            <w:top w:w="0" w:type="dxa"/>
            <w:bottom w:w="0" w:type="dxa"/>
          </w:tblCellMar>
        </w:tblPrEx>
        <w:trPr>
          <w:trHeight w:val="191"/>
          <w:jc w:val="center"/>
        </w:trPr>
        <w:tc>
          <w:tcPr>
            <w:tcW w:w="860" w:type="dxa"/>
            <w:vAlign w:val="center"/>
          </w:tcPr>
          <w:p w14:paraId="1C5B01CB"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6A6093B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1610FFC6"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Marisa</w:t>
                </w:r>
              </w:smartTag>
              <w:r w:rsidRPr="00FB39A5">
                <w:rPr>
                  <w:rFonts w:ascii="Arial" w:hAnsi="Arial" w:cs="Arial"/>
                  <w:sz w:val="12"/>
                  <w:szCs w:val="12"/>
                  <w:lang w:val="en-GB"/>
                </w:rPr>
                <w:t xml:space="preserve"> </w:t>
              </w:r>
              <w:smartTag w:uri="urn:schemas-microsoft-com:office:smarttags" w:element="PlaceName">
                <w:r w:rsidRPr="00FB39A5">
                  <w:rPr>
                    <w:rFonts w:ascii="Arial" w:hAnsi="Arial" w:cs="Arial"/>
                    <w:sz w:val="12"/>
                    <w:szCs w:val="12"/>
                    <w:lang w:val="en-GB"/>
                  </w:rPr>
                  <w:t>District</w:t>
                </w:r>
              </w:smartTag>
            </w:smartTag>
            <w:r w:rsidRPr="00FB39A5">
              <w:rPr>
                <w:rFonts w:ascii="Arial" w:hAnsi="Arial" w:cs="Arial"/>
                <w:sz w:val="12"/>
                <w:szCs w:val="12"/>
                <w:lang w:val="en-GB"/>
              </w:rPr>
              <w:t>, Gorontalo - Putih</w:t>
            </w:r>
          </w:p>
        </w:tc>
        <w:tc>
          <w:tcPr>
            <w:tcW w:w="974" w:type="dxa"/>
            <w:vAlign w:val="center"/>
          </w:tcPr>
          <w:p w14:paraId="25310C4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5,332.00</w:t>
            </w:r>
          </w:p>
        </w:tc>
        <w:tc>
          <w:tcPr>
            <w:tcW w:w="779" w:type="dxa"/>
            <w:vAlign w:val="center"/>
          </w:tcPr>
          <w:p w14:paraId="65B1906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14.71</w:t>
            </w:r>
          </w:p>
        </w:tc>
        <w:tc>
          <w:tcPr>
            <w:tcW w:w="889" w:type="dxa"/>
            <w:vAlign w:val="center"/>
          </w:tcPr>
          <w:p w14:paraId="67FCD21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20,000.00</w:t>
            </w:r>
          </w:p>
        </w:tc>
        <w:tc>
          <w:tcPr>
            <w:tcW w:w="874" w:type="dxa"/>
            <w:vAlign w:val="center"/>
          </w:tcPr>
          <w:p w14:paraId="6914E26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613E2A4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294,200.00</w:t>
            </w:r>
          </w:p>
        </w:tc>
        <w:tc>
          <w:tcPr>
            <w:tcW w:w="713" w:type="dxa"/>
            <w:vAlign w:val="center"/>
          </w:tcPr>
          <w:p w14:paraId="28EA0EF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364BD8C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16C8A1C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324,939.25</w:t>
            </w:r>
          </w:p>
        </w:tc>
        <w:tc>
          <w:tcPr>
            <w:tcW w:w="1171" w:type="dxa"/>
            <w:tcBorders>
              <w:bottom w:val="single" w:sz="2" w:space="0" w:color="000000"/>
            </w:tcBorders>
            <w:vAlign w:val="center"/>
          </w:tcPr>
          <w:p w14:paraId="29F3852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33.42</w:t>
            </w:r>
          </w:p>
        </w:tc>
        <w:tc>
          <w:tcPr>
            <w:tcW w:w="1480" w:type="dxa"/>
            <w:vAlign w:val="center"/>
          </w:tcPr>
          <w:p w14:paraId="7E47B03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178,218.28</w:t>
            </w:r>
          </w:p>
        </w:tc>
      </w:tr>
      <w:tr w:rsidR="00FB39A5" w:rsidRPr="00FB39A5" w14:paraId="0A96D6A8" w14:textId="77777777" w:rsidTr="00FB39A5">
        <w:tblPrEx>
          <w:tblCellMar>
            <w:top w:w="0" w:type="dxa"/>
            <w:bottom w:w="0" w:type="dxa"/>
          </w:tblCellMar>
        </w:tblPrEx>
        <w:trPr>
          <w:trHeight w:val="191"/>
          <w:jc w:val="center"/>
        </w:trPr>
        <w:tc>
          <w:tcPr>
            <w:tcW w:w="860" w:type="dxa"/>
            <w:vAlign w:val="center"/>
          </w:tcPr>
          <w:p w14:paraId="71265255"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66318A7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1837" w:type="dxa"/>
            <w:vAlign w:val="center"/>
          </w:tcPr>
          <w:p w14:paraId="15995C7C"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Tinanggea Distric, Southeast </w:t>
            </w:r>
            <w:smartTag w:uri="urn:schemas-microsoft-com:office:smarttags" w:element="place">
              <w:r w:rsidRPr="00FB39A5">
                <w:rPr>
                  <w:rFonts w:ascii="Arial" w:hAnsi="Arial" w:cs="Arial"/>
                  <w:sz w:val="12"/>
                  <w:szCs w:val="12"/>
                  <w:lang w:val="en-GB"/>
                </w:rPr>
                <w:t>Sulawesi</w:t>
              </w:r>
            </w:smartTag>
          </w:p>
        </w:tc>
        <w:tc>
          <w:tcPr>
            <w:tcW w:w="974" w:type="dxa"/>
            <w:vAlign w:val="center"/>
          </w:tcPr>
          <w:p w14:paraId="377DBA7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6,596.00</w:t>
            </w:r>
          </w:p>
        </w:tc>
        <w:tc>
          <w:tcPr>
            <w:tcW w:w="779" w:type="dxa"/>
            <w:vAlign w:val="center"/>
          </w:tcPr>
          <w:p w14:paraId="6D66602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9,187.00</w:t>
            </w:r>
          </w:p>
        </w:tc>
        <w:tc>
          <w:tcPr>
            <w:tcW w:w="889" w:type="dxa"/>
            <w:vAlign w:val="center"/>
          </w:tcPr>
          <w:p w14:paraId="0B82E57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12,500.00</w:t>
            </w:r>
          </w:p>
        </w:tc>
        <w:tc>
          <w:tcPr>
            <w:tcW w:w="874" w:type="dxa"/>
            <w:vAlign w:val="center"/>
          </w:tcPr>
          <w:p w14:paraId="37A9323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70F9103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114,837,500.00</w:t>
            </w:r>
          </w:p>
        </w:tc>
        <w:tc>
          <w:tcPr>
            <w:tcW w:w="713" w:type="dxa"/>
            <w:vAlign w:val="center"/>
          </w:tcPr>
          <w:p w14:paraId="1DF122A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71.46</w:t>
            </w:r>
          </w:p>
        </w:tc>
        <w:tc>
          <w:tcPr>
            <w:tcW w:w="958" w:type="dxa"/>
            <w:vAlign w:val="center"/>
          </w:tcPr>
          <w:p w14:paraId="46CBD59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14CE933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160,701,791.21</w:t>
            </w:r>
          </w:p>
        </w:tc>
        <w:tc>
          <w:tcPr>
            <w:tcW w:w="1171" w:type="dxa"/>
            <w:tcBorders>
              <w:top w:val="single" w:sz="2" w:space="0" w:color="000000"/>
              <w:bottom w:val="single" w:sz="2" w:space="0" w:color="000000"/>
            </w:tcBorders>
            <w:shd w:val="clear" w:color="FFFF00" w:fill="D9D9D9"/>
            <w:vAlign w:val="center"/>
          </w:tcPr>
          <w:p w14:paraId="53F1B09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16,530.30</w:t>
            </w:r>
          </w:p>
        </w:tc>
        <w:tc>
          <w:tcPr>
            <w:tcW w:w="1480" w:type="dxa"/>
            <w:vAlign w:val="center"/>
          </w:tcPr>
          <w:p w14:paraId="7A1173D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109,033,838.65</w:t>
            </w:r>
          </w:p>
        </w:tc>
      </w:tr>
      <w:tr w:rsidR="00FB39A5" w:rsidRPr="00FB39A5" w14:paraId="64DA3769" w14:textId="77777777" w:rsidTr="00FB39A5">
        <w:tblPrEx>
          <w:tblCellMar>
            <w:top w:w="0" w:type="dxa"/>
            <w:bottom w:w="0" w:type="dxa"/>
          </w:tblCellMar>
        </w:tblPrEx>
        <w:trPr>
          <w:trHeight w:val="191"/>
          <w:jc w:val="center"/>
        </w:trPr>
        <w:tc>
          <w:tcPr>
            <w:tcW w:w="860" w:type="dxa"/>
            <w:vAlign w:val="center"/>
          </w:tcPr>
          <w:p w14:paraId="57B597C3"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6C8BFE8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2001</w:t>
            </w:r>
          </w:p>
        </w:tc>
        <w:tc>
          <w:tcPr>
            <w:tcW w:w="1837" w:type="dxa"/>
            <w:vAlign w:val="center"/>
          </w:tcPr>
          <w:p w14:paraId="51B0C0C9"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Buton, </w:t>
            </w:r>
            <w:smartTag w:uri="urn:schemas-microsoft-com:office:smarttags" w:element="place">
              <w:r w:rsidRPr="00FB39A5">
                <w:rPr>
                  <w:rFonts w:ascii="Arial" w:hAnsi="Arial" w:cs="Arial"/>
                  <w:sz w:val="12"/>
                  <w:szCs w:val="12"/>
                  <w:lang w:val="en-GB"/>
                </w:rPr>
                <w:t>SE Sulawesi</w:t>
              </w:r>
            </w:smartTag>
            <w:r w:rsidRPr="00FB39A5">
              <w:rPr>
                <w:rFonts w:ascii="Arial" w:hAnsi="Arial" w:cs="Arial"/>
                <w:sz w:val="12"/>
                <w:szCs w:val="12"/>
                <w:lang w:val="en-GB"/>
              </w:rPr>
              <w:t xml:space="preserve">  - Udang Windu</w:t>
            </w:r>
          </w:p>
        </w:tc>
        <w:tc>
          <w:tcPr>
            <w:tcW w:w="974" w:type="dxa"/>
            <w:vAlign w:val="center"/>
          </w:tcPr>
          <w:p w14:paraId="04E0B1F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144.00</w:t>
            </w:r>
          </w:p>
        </w:tc>
        <w:tc>
          <w:tcPr>
            <w:tcW w:w="779" w:type="dxa"/>
            <w:vAlign w:val="center"/>
          </w:tcPr>
          <w:p w14:paraId="3B182D7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640.00</w:t>
            </w:r>
          </w:p>
        </w:tc>
        <w:tc>
          <w:tcPr>
            <w:tcW w:w="889" w:type="dxa"/>
            <w:vAlign w:val="center"/>
          </w:tcPr>
          <w:p w14:paraId="29960FA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35,000.00</w:t>
            </w:r>
          </w:p>
        </w:tc>
        <w:tc>
          <w:tcPr>
            <w:tcW w:w="874" w:type="dxa"/>
            <w:vAlign w:val="center"/>
          </w:tcPr>
          <w:p w14:paraId="7CE3E53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4DDE58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22,400,000.00</w:t>
            </w:r>
          </w:p>
        </w:tc>
        <w:tc>
          <w:tcPr>
            <w:tcW w:w="713" w:type="dxa"/>
            <w:vAlign w:val="center"/>
          </w:tcPr>
          <w:p w14:paraId="65F09D5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71.46</w:t>
            </w:r>
          </w:p>
        </w:tc>
        <w:tc>
          <w:tcPr>
            <w:tcW w:w="958" w:type="dxa"/>
            <w:vAlign w:val="center"/>
          </w:tcPr>
          <w:p w14:paraId="5AD1A76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380F806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31,346,207.67</w:t>
            </w:r>
          </w:p>
        </w:tc>
        <w:tc>
          <w:tcPr>
            <w:tcW w:w="1171" w:type="dxa"/>
            <w:tcBorders>
              <w:top w:val="single" w:sz="2" w:space="0" w:color="000000"/>
              <w:bottom w:val="single" w:sz="2" w:space="0" w:color="000000"/>
            </w:tcBorders>
            <w:shd w:val="clear" w:color="FFFF00" w:fill="D9D9D9"/>
            <w:vAlign w:val="center"/>
          </w:tcPr>
          <w:p w14:paraId="45BE619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3,224.37</w:t>
            </w:r>
          </w:p>
        </w:tc>
        <w:tc>
          <w:tcPr>
            <w:tcW w:w="1480" w:type="dxa"/>
            <w:vAlign w:val="center"/>
          </w:tcPr>
          <w:p w14:paraId="33B293B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464,309.36</w:t>
            </w:r>
          </w:p>
        </w:tc>
      </w:tr>
      <w:tr w:rsidR="00FB39A5" w:rsidRPr="00FB39A5" w14:paraId="71D9217E" w14:textId="77777777" w:rsidTr="00FB39A5">
        <w:tblPrEx>
          <w:tblCellMar>
            <w:top w:w="0" w:type="dxa"/>
            <w:bottom w:w="0" w:type="dxa"/>
          </w:tblCellMar>
        </w:tblPrEx>
        <w:trPr>
          <w:trHeight w:val="191"/>
          <w:jc w:val="center"/>
        </w:trPr>
        <w:tc>
          <w:tcPr>
            <w:tcW w:w="860" w:type="dxa"/>
            <w:vAlign w:val="center"/>
          </w:tcPr>
          <w:p w14:paraId="228CA61E"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8CD80C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2001</w:t>
            </w:r>
          </w:p>
        </w:tc>
        <w:tc>
          <w:tcPr>
            <w:tcW w:w="1837" w:type="dxa"/>
            <w:vAlign w:val="center"/>
          </w:tcPr>
          <w:p w14:paraId="4ED113E6"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Buton, SEt </w:t>
            </w:r>
            <w:smartTag w:uri="urn:schemas-microsoft-com:office:smarttags" w:element="place">
              <w:r w:rsidRPr="00FB39A5">
                <w:rPr>
                  <w:rFonts w:ascii="Arial" w:hAnsi="Arial" w:cs="Arial"/>
                  <w:sz w:val="12"/>
                  <w:szCs w:val="12"/>
                  <w:lang w:val="en-GB"/>
                </w:rPr>
                <w:t>Sulawesi</w:t>
              </w:r>
            </w:smartTag>
            <w:r w:rsidRPr="00FB39A5">
              <w:rPr>
                <w:rFonts w:ascii="Arial" w:hAnsi="Arial" w:cs="Arial"/>
                <w:sz w:val="12"/>
                <w:szCs w:val="12"/>
                <w:lang w:val="en-GB"/>
              </w:rPr>
              <w:t xml:space="preserve">  - Udang Putih</w:t>
            </w:r>
          </w:p>
        </w:tc>
        <w:tc>
          <w:tcPr>
            <w:tcW w:w="974" w:type="dxa"/>
            <w:vAlign w:val="center"/>
          </w:tcPr>
          <w:p w14:paraId="45F549B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144.00</w:t>
            </w:r>
          </w:p>
        </w:tc>
        <w:tc>
          <w:tcPr>
            <w:tcW w:w="779" w:type="dxa"/>
            <w:vAlign w:val="center"/>
          </w:tcPr>
          <w:p w14:paraId="6E194E7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60.00</w:t>
            </w:r>
          </w:p>
        </w:tc>
        <w:tc>
          <w:tcPr>
            <w:tcW w:w="889" w:type="dxa"/>
            <w:vAlign w:val="center"/>
          </w:tcPr>
          <w:p w14:paraId="5BE4F1E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15,000.00</w:t>
            </w:r>
          </w:p>
        </w:tc>
        <w:tc>
          <w:tcPr>
            <w:tcW w:w="874" w:type="dxa"/>
            <w:vAlign w:val="center"/>
          </w:tcPr>
          <w:p w14:paraId="79219C6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197A526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900,000.00</w:t>
            </w:r>
          </w:p>
        </w:tc>
        <w:tc>
          <w:tcPr>
            <w:tcW w:w="713" w:type="dxa"/>
            <w:vAlign w:val="center"/>
          </w:tcPr>
          <w:p w14:paraId="04B7B60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71.46</w:t>
            </w:r>
          </w:p>
        </w:tc>
        <w:tc>
          <w:tcPr>
            <w:tcW w:w="958" w:type="dxa"/>
            <w:vAlign w:val="center"/>
          </w:tcPr>
          <w:p w14:paraId="16CFBD8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3AA6D5B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1,259,445.84</w:t>
            </w:r>
          </w:p>
        </w:tc>
        <w:tc>
          <w:tcPr>
            <w:tcW w:w="1171" w:type="dxa"/>
            <w:tcBorders>
              <w:top w:val="single" w:sz="2" w:space="0" w:color="000000"/>
            </w:tcBorders>
            <w:vAlign w:val="center"/>
          </w:tcPr>
          <w:p w14:paraId="2D616FA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129.55</w:t>
            </w:r>
          </w:p>
        </w:tc>
        <w:tc>
          <w:tcPr>
            <w:tcW w:w="1480" w:type="dxa"/>
            <w:vAlign w:val="center"/>
          </w:tcPr>
          <w:p w14:paraId="0E05068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18,655.29</w:t>
            </w:r>
          </w:p>
        </w:tc>
      </w:tr>
      <w:tr w:rsidR="00FB39A5" w:rsidRPr="00FB39A5" w14:paraId="1897F671" w14:textId="77777777" w:rsidTr="00FB39A5">
        <w:tblPrEx>
          <w:tblCellMar>
            <w:top w:w="0" w:type="dxa"/>
            <w:bottom w:w="0" w:type="dxa"/>
          </w:tblCellMar>
        </w:tblPrEx>
        <w:trPr>
          <w:trHeight w:val="191"/>
          <w:jc w:val="center"/>
        </w:trPr>
        <w:tc>
          <w:tcPr>
            <w:tcW w:w="860" w:type="dxa"/>
            <w:vAlign w:val="center"/>
          </w:tcPr>
          <w:p w14:paraId="31E6C98C"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7DCED38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1837" w:type="dxa"/>
            <w:vAlign w:val="center"/>
          </w:tcPr>
          <w:p w14:paraId="0296C44F"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Batu Ampar, </w:t>
            </w:r>
            <w:smartTag w:uri="urn:schemas-microsoft-com:office:smarttags" w:element="place">
              <w:smartTag w:uri="urn:schemas-microsoft-com:office:smarttags" w:element="City">
                <w:r w:rsidRPr="00FB39A5">
                  <w:rPr>
                    <w:rFonts w:ascii="Arial" w:hAnsi="Arial" w:cs="Arial"/>
                    <w:sz w:val="12"/>
                    <w:szCs w:val="12"/>
                    <w:lang w:val="en-GB"/>
                  </w:rPr>
                  <w:t>Pontianak</w:t>
                </w:r>
              </w:smartTag>
            </w:smartTag>
          </w:p>
        </w:tc>
        <w:tc>
          <w:tcPr>
            <w:tcW w:w="974" w:type="dxa"/>
            <w:vAlign w:val="center"/>
          </w:tcPr>
          <w:p w14:paraId="6CF5B66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9,800.00</w:t>
            </w:r>
          </w:p>
        </w:tc>
        <w:tc>
          <w:tcPr>
            <w:tcW w:w="779" w:type="dxa"/>
            <w:vAlign w:val="center"/>
          </w:tcPr>
          <w:p w14:paraId="2962A37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17.60</w:t>
            </w:r>
          </w:p>
        </w:tc>
        <w:tc>
          <w:tcPr>
            <w:tcW w:w="889" w:type="dxa"/>
            <w:vAlign w:val="center"/>
          </w:tcPr>
          <w:p w14:paraId="482629A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34,688.18</w:t>
            </w:r>
          </w:p>
        </w:tc>
        <w:tc>
          <w:tcPr>
            <w:tcW w:w="874" w:type="dxa"/>
            <w:vAlign w:val="center"/>
          </w:tcPr>
          <w:p w14:paraId="7B18DD8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03F8946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610,511.97</w:t>
            </w:r>
          </w:p>
        </w:tc>
        <w:tc>
          <w:tcPr>
            <w:tcW w:w="713" w:type="dxa"/>
            <w:vAlign w:val="center"/>
          </w:tcPr>
          <w:p w14:paraId="726160E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8" w:type="dxa"/>
            <w:vAlign w:val="center"/>
          </w:tcPr>
          <w:p w14:paraId="1CD0181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7639535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952,585.38</w:t>
            </w:r>
          </w:p>
        </w:tc>
        <w:tc>
          <w:tcPr>
            <w:tcW w:w="1171" w:type="dxa"/>
            <w:vAlign w:val="center"/>
          </w:tcPr>
          <w:p w14:paraId="103E3B4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97.99</w:t>
            </w:r>
          </w:p>
        </w:tc>
        <w:tc>
          <w:tcPr>
            <w:tcW w:w="1480" w:type="dxa"/>
            <w:vAlign w:val="center"/>
          </w:tcPr>
          <w:p w14:paraId="3E748ED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960,262.40</w:t>
            </w:r>
          </w:p>
        </w:tc>
      </w:tr>
      <w:tr w:rsidR="00FB39A5" w:rsidRPr="00FB39A5" w14:paraId="19907311" w14:textId="77777777" w:rsidTr="00FB39A5">
        <w:tblPrEx>
          <w:tblCellMar>
            <w:top w:w="0" w:type="dxa"/>
            <w:bottom w:w="0" w:type="dxa"/>
          </w:tblCellMar>
        </w:tblPrEx>
        <w:trPr>
          <w:trHeight w:val="191"/>
          <w:jc w:val="center"/>
        </w:trPr>
        <w:tc>
          <w:tcPr>
            <w:tcW w:w="860" w:type="dxa"/>
            <w:vAlign w:val="center"/>
          </w:tcPr>
          <w:p w14:paraId="18D612F6"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67A22CE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1837" w:type="dxa"/>
            <w:vAlign w:val="center"/>
          </w:tcPr>
          <w:p w14:paraId="53A162F9"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Segara Anakan </w:t>
            </w:r>
          </w:p>
        </w:tc>
        <w:tc>
          <w:tcPr>
            <w:tcW w:w="974" w:type="dxa"/>
            <w:vAlign w:val="center"/>
          </w:tcPr>
          <w:p w14:paraId="715EC81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7,904.00</w:t>
            </w:r>
          </w:p>
        </w:tc>
        <w:tc>
          <w:tcPr>
            <w:tcW w:w="779" w:type="dxa"/>
            <w:vAlign w:val="center"/>
          </w:tcPr>
          <w:p w14:paraId="5C3002A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122.20</w:t>
            </w:r>
          </w:p>
        </w:tc>
        <w:tc>
          <w:tcPr>
            <w:tcW w:w="889" w:type="dxa"/>
            <w:vAlign w:val="center"/>
          </w:tcPr>
          <w:p w14:paraId="38E3E10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17,222.72</w:t>
            </w:r>
          </w:p>
        </w:tc>
        <w:tc>
          <w:tcPr>
            <w:tcW w:w="874" w:type="dxa"/>
            <w:vAlign w:val="center"/>
          </w:tcPr>
          <w:p w14:paraId="193D4B4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5F7E767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2,104,616.00</w:t>
            </w:r>
          </w:p>
        </w:tc>
        <w:tc>
          <w:tcPr>
            <w:tcW w:w="713" w:type="dxa"/>
            <w:vAlign w:val="center"/>
          </w:tcPr>
          <w:p w14:paraId="119323C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8" w:type="dxa"/>
            <w:vAlign w:val="center"/>
          </w:tcPr>
          <w:p w14:paraId="54D112E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73CF719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3,406,078.65</w:t>
            </w:r>
          </w:p>
        </w:tc>
        <w:tc>
          <w:tcPr>
            <w:tcW w:w="1171" w:type="dxa"/>
            <w:vAlign w:val="center"/>
          </w:tcPr>
          <w:p w14:paraId="7846E01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350.36</w:t>
            </w:r>
          </w:p>
        </w:tc>
        <w:tc>
          <w:tcPr>
            <w:tcW w:w="1480" w:type="dxa"/>
            <w:vAlign w:val="center"/>
          </w:tcPr>
          <w:p w14:paraId="520EB70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2,769,246.03</w:t>
            </w:r>
          </w:p>
        </w:tc>
      </w:tr>
      <w:tr w:rsidR="00FB39A5" w:rsidRPr="00FB39A5" w14:paraId="555FE8C2" w14:textId="77777777" w:rsidTr="00FB39A5">
        <w:tblPrEx>
          <w:tblCellMar>
            <w:top w:w="0" w:type="dxa"/>
            <w:bottom w:w="0" w:type="dxa"/>
          </w:tblCellMar>
        </w:tblPrEx>
        <w:trPr>
          <w:trHeight w:val="75"/>
          <w:jc w:val="center"/>
        </w:trPr>
        <w:tc>
          <w:tcPr>
            <w:tcW w:w="860" w:type="dxa"/>
            <w:vAlign w:val="center"/>
          </w:tcPr>
          <w:p w14:paraId="559B1FC0"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3B1DFB0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1837" w:type="dxa"/>
            <w:vAlign w:val="center"/>
          </w:tcPr>
          <w:p w14:paraId="0833A25F"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Segara Anakan </w:t>
            </w:r>
          </w:p>
        </w:tc>
        <w:tc>
          <w:tcPr>
            <w:tcW w:w="974" w:type="dxa"/>
            <w:vAlign w:val="center"/>
          </w:tcPr>
          <w:p w14:paraId="3FE8C8C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12,090.00</w:t>
            </w:r>
          </w:p>
        </w:tc>
        <w:tc>
          <w:tcPr>
            <w:tcW w:w="779" w:type="dxa"/>
            <w:vAlign w:val="center"/>
          </w:tcPr>
          <w:p w14:paraId="606BC2A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92.57</w:t>
            </w:r>
          </w:p>
        </w:tc>
        <w:tc>
          <w:tcPr>
            <w:tcW w:w="889" w:type="dxa"/>
            <w:vAlign w:val="center"/>
          </w:tcPr>
          <w:p w14:paraId="21174F4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19,254.81</w:t>
            </w:r>
          </w:p>
        </w:tc>
        <w:tc>
          <w:tcPr>
            <w:tcW w:w="874" w:type="dxa"/>
            <w:vAlign w:val="center"/>
          </w:tcPr>
          <w:p w14:paraId="1648D24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02B88B5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1,782,417.76</w:t>
            </w:r>
          </w:p>
        </w:tc>
        <w:tc>
          <w:tcPr>
            <w:tcW w:w="713" w:type="dxa"/>
            <w:vAlign w:val="center"/>
          </w:tcPr>
          <w:p w14:paraId="7CC691B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8" w:type="dxa"/>
            <w:vAlign w:val="center"/>
          </w:tcPr>
          <w:p w14:paraId="68D14F7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40E31A6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2,884,637.90</w:t>
            </w:r>
          </w:p>
        </w:tc>
        <w:tc>
          <w:tcPr>
            <w:tcW w:w="1171" w:type="dxa"/>
            <w:vAlign w:val="center"/>
          </w:tcPr>
          <w:p w14:paraId="6378601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296.72</w:t>
            </w:r>
          </w:p>
        </w:tc>
        <w:tc>
          <w:tcPr>
            <w:tcW w:w="1480" w:type="dxa"/>
            <w:vAlign w:val="center"/>
          </w:tcPr>
          <w:p w14:paraId="1C0A620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3,587,381.33</w:t>
            </w:r>
          </w:p>
        </w:tc>
      </w:tr>
      <w:tr w:rsidR="00FB39A5" w:rsidRPr="00FB39A5" w14:paraId="13CF741D" w14:textId="77777777" w:rsidTr="00FB39A5">
        <w:tblPrEx>
          <w:tblCellMar>
            <w:top w:w="0" w:type="dxa"/>
            <w:bottom w:w="0" w:type="dxa"/>
          </w:tblCellMar>
        </w:tblPrEx>
        <w:trPr>
          <w:trHeight w:val="191"/>
          <w:jc w:val="center"/>
        </w:trPr>
        <w:tc>
          <w:tcPr>
            <w:tcW w:w="860" w:type="dxa"/>
            <w:vAlign w:val="center"/>
          </w:tcPr>
          <w:p w14:paraId="5B712D1F"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1FDCE58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1998</w:t>
            </w:r>
          </w:p>
        </w:tc>
        <w:tc>
          <w:tcPr>
            <w:tcW w:w="1837" w:type="dxa"/>
            <w:vAlign w:val="center"/>
          </w:tcPr>
          <w:p w14:paraId="785DB7F7"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Tulung Selapan, </w:t>
            </w:r>
            <w:smartTag w:uri="urn:schemas-microsoft-com:office:smarttags" w:element="place">
              <w:r w:rsidRPr="00FB39A5">
                <w:rPr>
                  <w:rFonts w:ascii="Arial" w:hAnsi="Arial" w:cs="Arial"/>
                  <w:sz w:val="12"/>
                  <w:szCs w:val="12"/>
                  <w:lang w:val="en-GB"/>
                </w:rPr>
                <w:t>South Sumatera</w:t>
              </w:r>
            </w:smartTag>
            <w:r w:rsidRPr="00FB39A5">
              <w:rPr>
                <w:rFonts w:ascii="Arial" w:hAnsi="Arial" w:cs="Arial"/>
                <w:sz w:val="12"/>
                <w:szCs w:val="12"/>
                <w:lang w:val="en-GB"/>
              </w:rPr>
              <w:t xml:space="preserve"> </w:t>
            </w:r>
          </w:p>
        </w:tc>
        <w:tc>
          <w:tcPr>
            <w:tcW w:w="974" w:type="dxa"/>
            <w:vAlign w:val="center"/>
          </w:tcPr>
          <w:p w14:paraId="3E6775B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8,232.00</w:t>
            </w:r>
          </w:p>
        </w:tc>
        <w:tc>
          <w:tcPr>
            <w:tcW w:w="779" w:type="dxa"/>
            <w:vAlign w:val="center"/>
          </w:tcPr>
          <w:p w14:paraId="221BD86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9.08</w:t>
            </w:r>
          </w:p>
        </w:tc>
        <w:tc>
          <w:tcPr>
            <w:tcW w:w="889" w:type="dxa"/>
            <w:vAlign w:val="center"/>
          </w:tcPr>
          <w:p w14:paraId="2149C8F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25,000.00</w:t>
            </w:r>
          </w:p>
        </w:tc>
        <w:tc>
          <w:tcPr>
            <w:tcW w:w="874" w:type="dxa"/>
            <w:vAlign w:val="center"/>
          </w:tcPr>
          <w:p w14:paraId="26AFE55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44FD9E6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227,000.00</w:t>
            </w:r>
          </w:p>
        </w:tc>
        <w:tc>
          <w:tcPr>
            <w:tcW w:w="713" w:type="dxa"/>
            <w:vAlign w:val="center"/>
          </w:tcPr>
          <w:p w14:paraId="50B3D6C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51.28</w:t>
            </w:r>
          </w:p>
        </w:tc>
        <w:tc>
          <w:tcPr>
            <w:tcW w:w="958" w:type="dxa"/>
            <w:vAlign w:val="center"/>
          </w:tcPr>
          <w:p w14:paraId="1E434A9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1691427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442,667.71</w:t>
            </w:r>
          </w:p>
        </w:tc>
        <w:tc>
          <w:tcPr>
            <w:tcW w:w="1171" w:type="dxa"/>
            <w:vAlign w:val="center"/>
          </w:tcPr>
          <w:p w14:paraId="5DAFD79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45.53</w:t>
            </w:r>
          </w:p>
        </w:tc>
        <w:tc>
          <w:tcPr>
            <w:tcW w:w="1480" w:type="dxa"/>
            <w:vAlign w:val="center"/>
          </w:tcPr>
          <w:p w14:paraId="3DEEF8E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374,837.59</w:t>
            </w:r>
          </w:p>
        </w:tc>
      </w:tr>
      <w:tr w:rsidR="00FB39A5" w:rsidRPr="00FB39A5" w14:paraId="5E706891" w14:textId="77777777" w:rsidTr="00FB39A5">
        <w:tblPrEx>
          <w:tblCellMar>
            <w:top w:w="0" w:type="dxa"/>
            <w:bottom w:w="0" w:type="dxa"/>
          </w:tblCellMar>
        </w:tblPrEx>
        <w:trPr>
          <w:trHeight w:val="191"/>
          <w:jc w:val="center"/>
        </w:trPr>
        <w:tc>
          <w:tcPr>
            <w:tcW w:w="860" w:type="dxa"/>
            <w:vAlign w:val="center"/>
          </w:tcPr>
          <w:p w14:paraId="18A626DF"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Philippines</w:t>
                </w:r>
              </w:smartTag>
            </w:smartTag>
          </w:p>
        </w:tc>
        <w:tc>
          <w:tcPr>
            <w:tcW w:w="859" w:type="dxa"/>
            <w:vAlign w:val="center"/>
          </w:tcPr>
          <w:p w14:paraId="392E048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3570FF92"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City">
                <w:r w:rsidRPr="00FB39A5">
                  <w:rPr>
                    <w:rFonts w:ascii="Arial" w:hAnsi="Arial" w:cs="Arial"/>
                    <w:sz w:val="12"/>
                    <w:szCs w:val="12"/>
                    <w:lang w:val="en-GB"/>
                  </w:rPr>
                  <w:t>Busuanga</w:t>
                </w:r>
              </w:smartTag>
              <w:r w:rsidRPr="00FB39A5">
                <w:rPr>
                  <w:rFonts w:ascii="Arial" w:hAnsi="Arial" w:cs="Arial"/>
                  <w:sz w:val="12"/>
                  <w:szCs w:val="12"/>
                  <w:lang w:val="en-GB"/>
                </w:rPr>
                <w:t xml:space="preserve">, </w:t>
              </w:r>
              <w:smartTag w:uri="urn:schemas-microsoft-com:office:smarttags" w:element="country-region">
                <w:r w:rsidRPr="00FB39A5">
                  <w:rPr>
                    <w:rFonts w:ascii="Arial" w:hAnsi="Arial" w:cs="Arial"/>
                    <w:sz w:val="12"/>
                    <w:szCs w:val="12"/>
                    <w:lang w:val="en-GB"/>
                  </w:rPr>
                  <w:t>Philippines</w:t>
                </w:r>
              </w:smartTag>
            </w:smartTag>
          </w:p>
        </w:tc>
        <w:tc>
          <w:tcPr>
            <w:tcW w:w="974" w:type="dxa"/>
            <w:vAlign w:val="center"/>
          </w:tcPr>
          <w:p w14:paraId="4B094AE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1,298.50</w:t>
            </w:r>
          </w:p>
        </w:tc>
        <w:tc>
          <w:tcPr>
            <w:tcW w:w="779" w:type="dxa"/>
            <w:vAlign w:val="center"/>
          </w:tcPr>
          <w:p w14:paraId="3E8C132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1.88</w:t>
            </w:r>
          </w:p>
        </w:tc>
        <w:tc>
          <w:tcPr>
            <w:tcW w:w="889" w:type="dxa"/>
            <w:vAlign w:val="center"/>
          </w:tcPr>
          <w:p w14:paraId="1EC6B93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300.00</w:t>
            </w:r>
          </w:p>
        </w:tc>
        <w:tc>
          <w:tcPr>
            <w:tcW w:w="874" w:type="dxa"/>
            <w:vAlign w:val="center"/>
          </w:tcPr>
          <w:p w14:paraId="48BB95B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PHP</w:t>
            </w:r>
          </w:p>
        </w:tc>
        <w:tc>
          <w:tcPr>
            <w:tcW w:w="1187" w:type="dxa"/>
            <w:vAlign w:val="center"/>
          </w:tcPr>
          <w:p w14:paraId="5F6AA20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564.00</w:t>
            </w:r>
          </w:p>
        </w:tc>
        <w:tc>
          <w:tcPr>
            <w:tcW w:w="713" w:type="dxa"/>
            <w:vAlign w:val="center"/>
          </w:tcPr>
          <w:p w14:paraId="18D6FAF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92.91</w:t>
            </w:r>
          </w:p>
        </w:tc>
        <w:tc>
          <w:tcPr>
            <w:tcW w:w="958" w:type="dxa"/>
            <w:vAlign w:val="center"/>
          </w:tcPr>
          <w:p w14:paraId="0A671C2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55.14</w:t>
            </w:r>
          </w:p>
        </w:tc>
        <w:tc>
          <w:tcPr>
            <w:tcW w:w="1449" w:type="dxa"/>
            <w:vAlign w:val="center"/>
          </w:tcPr>
          <w:p w14:paraId="30AF6A5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607.04</w:t>
            </w:r>
          </w:p>
        </w:tc>
        <w:tc>
          <w:tcPr>
            <w:tcW w:w="1171" w:type="dxa"/>
            <w:tcBorders>
              <w:bottom w:val="single" w:sz="2" w:space="0" w:color="000000"/>
            </w:tcBorders>
            <w:vAlign w:val="center"/>
          </w:tcPr>
          <w:p w14:paraId="548E8C1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11.01</w:t>
            </w:r>
          </w:p>
        </w:tc>
        <w:tc>
          <w:tcPr>
            <w:tcW w:w="1480" w:type="dxa"/>
            <w:vAlign w:val="center"/>
          </w:tcPr>
          <w:p w14:paraId="7BA0AF4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14,295.26</w:t>
            </w:r>
          </w:p>
        </w:tc>
      </w:tr>
      <w:tr w:rsidR="00FB39A5" w:rsidRPr="00FB39A5" w14:paraId="48B3A2B2" w14:textId="77777777" w:rsidTr="00FB39A5">
        <w:tblPrEx>
          <w:tblCellMar>
            <w:top w:w="0" w:type="dxa"/>
            <w:bottom w:w="0" w:type="dxa"/>
          </w:tblCellMar>
        </w:tblPrEx>
        <w:trPr>
          <w:trHeight w:val="191"/>
          <w:jc w:val="center"/>
        </w:trPr>
        <w:tc>
          <w:tcPr>
            <w:tcW w:w="860" w:type="dxa"/>
            <w:vAlign w:val="center"/>
          </w:tcPr>
          <w:p w14:paraId="19686A9B"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55CE6D5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1996</w:t>
            </w:r>
          </w:p>
        </w:tc>
        <w:tc>
          <w:tcPr>
            <w:tcW w:w="1837" w:type="dxa"/>
            <w:vAlign w:val="center"/>
          </w:tcPr>
          <w:p w14:paraId="6B4467F5"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City">
                <w:r w:rsidRPr="00FB39A5">
                  <w:rPr>
                    <w:rFonts w:ascii="Arial" w:hAnsi="Arial" w:cs="Arial"/>
                    <w:sz w:val="12"/>
                    <w:szCs w:val="12"/>
                    <w:lang w:val="en-GB"/>
                  </w:rPr>
                  <w:t>Pagbilao</w:t>
                </w:r>
              </w:smartTag>
              <w:r w:rsidRPr="00FB39A5">
                <w:rPr>
                  <w:rFonts w:ascii="Arial" w:hAnsi="Arial" w:cs="Arial"/>
                  <w:sz w:val="12"/>
                  <w:szCs w:val="12"/>
                  <w:lang w:val="en-GB"/>
                </w:rPr>
                <w:t xml:space="preserve">, </w:t>
              </w:r>
              <w:smartTag w:uri="urn:schemas-microsoft-com:office:smarttags" w:element="country-region">
                <w:r w:rsidRPr="00FB39A5">
                  <w:rPr>
                    <w:rFonts w:ascii="Arial" w:hAnsi="Arial" w:cs="Arial"/>
                    <w:sz w:val="12"/>
                    <w:szCs w:val="12"/>
                    <w:lang w:val="en-GB"/>
                  </w:rPr>
                  <w:t>Philippines</w:t>
                </w:r>
              </w:smartTag>
            </w:smartTag>
          </w:p>
        </w:tc>
        <w:tc>
          <w:tcPr>
            <w:tcW w:w="974" w:type="dxa"/>
            <w:vAlign w:val="center"/>
          </w:tcPr>
          <w:p w14:paraId="3A55104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1,440.00</w:t>
            </w:r>
          </w:p>
        </w:tc>
        <w:tc>
          <w:tcPr>
            <w:tcW w:w="779" w:type="dxa"/>
            <w:vAlign w:val="center"/>
          </w:tcPr>
          <w:p w14:paraId="6C5F1BD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1,226.90</w:t>
            </w:r>
          </w:p>
        </w:tc>
        <w:tc>
          <w:tcPr>
            <w:tcW w:w="889" w:type="dxa"/>
            <w:vAlign w:val="center"/>
          </w:tcPr>
          <w:p w14:paraId="17BBAD9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200.00</w:t>
            </w:r>
          </w:p>
        </w:tc>
        <w:tc>
          <w:tcPr>
            <w:tcW w:w="874" w:type="dxa"/>
            <w:vAlign w:val="center"/>
          </w:tcPr>
          <w:p w14:paraId="16006E5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PHP</w:t>
            </w:r>
          </w:p>
        </w:tc>
        <w:tc>
          <w:tcPr>
            <w:tcW w:w="1187" w:type="dxa"/>
            <w:vAlign w:val="center"/>
          </w:tcPr>
          <w:p w14:paraId="29953D8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245,380.00</w:t>
            </w:r>
          </w:p>
        </w:tc>
        <w:tc>
          <w:tcPr>
            <w:tcW w:w="713" w:type="dxa"/>
            <w:vAlign w:val="center"/>
          </w:tcPr>
          <w:p w14:paraId="5D65E93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59.56</w:t>
            </w:r>
          </w:p>
        </w:tc>
        <w:tc>
          <w:tcPr>
            <w:tcW w:w="958" w:type="dxa"/>
            <w:vAlign w:val="center"/>
          </w:tcPr>
          <w:p w14:paraId="29B0AAE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55.14</w:t>
            </w:r>
          </w:p>
        </w:tc>
        <w:tc>
          <w:tcPr>
            <w:tcW w:w="1449" w:type="dxa"/>
            <w:vAlign w:val="center"/>
          </w:tcPr>
          <w:p w14:paraId="799994D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411,987.91</w:t>
            </w:r>
          </w:p>
        </w:tc>
        <w:tc>
          <w:tcPr>
            <w:tcW w:w="1171" w:type="dxa"/>
            <w:tcBorders>
              <w:top w:val="single" w:sz="2" w:space="0" w:color="000000"/>
              <w:bottom w:val="single" w:sz="2" w:space="0" w:color="000000"/>
            </w:tcBorders>
            <w:shd w:val="clear" w:color="FFFF00" w:fill="D9D9D9"/>
            <w:vAlign w:val="center"/>
          </w:tcPr>
          <w:p w14:paraId="13F0FBE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7,471.67</w:t>
            </w:r>
          </w:p>
        </w:tc>
        <w:tc>
          <w:tcPr>
            <w:tcW w:w="1480" w:type="dxa"/>
            <w:vAlign w:val="center"/>
          </w:tcPr>
          <w:p w14:paraId="1EFC1B6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10,759,207.47</w:t>
            </w:r>
          </w:p>
        </w:tc>
      </w:tr>
      <w:tr w:rsidR="00FB39A5" w:rsidRPr="00FB39A5" w14:paraId="6A76FCDC" w14:textId="77777777" w:rsidTr="00FB39A5">
        <w:tblPrEx>
          <w:tblCellMar>
            <w:top w:w="0" w:type="dxa"/>
            <w:bottom w:w="0" w:type="dxa"/>
          </w:tblCellMar>
        </w:tblPrEx>
        <w:trPr>
          <w:trHeight w:val="191"/>
          <w:jc w:val="center"/>
        </w:trPr>
        <w:tc>
          <w:tcPr>
            <w:tcW w:w="860" w:type="dxa"/>
            <w:vAlign w:val="center"/>
          </w:tcPr>
          <w:p w14:paraId="2E755890"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Thailand</w:t>
                </w:r>
              </w:smartTag>
            </w:smartTag>
          </w:p>
        </w:tc>
        <w:tc>
          <w:tcPr>
            <w:tcW w:w="859" w:type="dxa"/>
            <w:vAlign w:val="center"/>
          </w:tcPr>
          <w:p w14:paraId="66D3543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2003</w:t>
            </w:r>
          </w:p>
        </w:tc>
        <w:tc>
          <w:tcPr>
            <w:tcW w:w="1837" w:type="dxa"/>
            <w:vAlign w:val="center"/>
          </w:tcPr>
          <w:p w14:paraId="5453B6BF"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Chanthaburi</w:t>
            </w:r>
          </w:p>
        </w:tc>
        <w:tc>
          <w:tcPr>
            <w:tcW w:w="974" w:type="dxa"/>
            <w:vAlign w:val="center"/>
          </w:tcPr>
          <w:p w14:paraId="2A96B0A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192.00</w:t>
            </w:r>
          </w:p>
        </w:tc>
        <w:tc>
          <w:tcPr>
            <w:tcW w:w="779" w:type="dxa"/>
            <w:vAlign w:val="center"/>
          </w:tcPr>
          <w:p w14:paraId="7202D1E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43.17</w:t>
            </w:r>
          </w:p>
        </w:tc>
        <w:tc>
          <w:tcPr>
            <w:tcW w:w="889" w:type="dxa"/>
            <w:vAlign w:val="center"/>
          </w:tcPr>
          <w:p w14:paraId="713B545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130.00</w:t>
            </w:r>
          </w:p>
        </w:tc>
        <w:tc>
          <w:tcPr>
            <w:tcW w:w="874" w:type="dxa"/>
            <w:vAlign w:val="center"/>
          </w:tcPr>
          <w:p w14:paraId="0C1FB47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187" w:type="dxa"/>
            <w:vAlign w:val="center"/>
          </w:tcPr>
          <w:p w14:paraId="375B4D3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5,611.45</w:t>
            </w:r>
          </w:p>
        </w:tc>
        <w:tc>
          <w:tcPr>
            <w:tcW w:w="713" w:type="dxa"/>
            <w:vAlign w:val="center"/>
          </w:tcPr>
          <w:p w14:paraId="44AE06D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93.08</w:t>
            </w:r>
          </w:p>
        </w:tc>
        <w:tc>
          <w:tcPr>
            <w:tcW w:w="958" w:type="dxa"/>
            <w:vAlign w:val="center"/>
          </w:tcPr>
          <w:p w14:paraId="6349CB2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449" w:type="dxa"/>
            <w:vAlign w:val="center"/>
          </w:tcPr>
          <w:p w14:paraId="2103C84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6,028.63</w:t>
            </w:r>
          </w:p>
        </w:tc>
        <w:tc>
          <w:tcPr>
            <w:tcW w:w="1171" w:type="dxa"/>
            <w:tcBorders>
              <w:top w:val="single" w:sz="2" w:space="0" w:color="000000"/>
              <w:bottom w:val="single" w:sz="2" w:space="0" w:color="000000"/>
            </w:tcBorders>
            <w:vAlign w:val="center"/>
          </w:tcPr>
          <w:p w14:paraId="2927F4B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149.57</w:t>
            </w:r>
          </w:p>
        </w:tc>
        <w:tc>
          <w:tcPr>
            <w:tcW w:w="1480" w:type="dxa"/>
            <w:vAlign w:val="center"/>
          </w:tcPr>
          <w:p w14:paraId="7CE4A41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28,717.67</w:t>
            </w:r>
          </w:p>
        </w:tc>
      </w:tr>
      <w:tr w:rsidR="00FB39A5" w:rsidRPr="00FB39A5" w14:paraId="055BB7A0" w14:textId="77777777" w:rsidTr="00FB39A5">
        <w:tblPrEx>
          <w:tblCellMar>
            <w:top w:w="0" w:type="dxa"/>
            <w:bottom w:w="0" w:type="dxa"/>
          </w:tblCellMar>
        </w:tblPrEx>
        <w:trPr>
          <w:trHeight w:val="191"/>
          <w:jc w:val="center"/>
        </w:trPr>
        <w:tc>
          <w:tcPr>
            <w:tcW w:w="860" w:type="dxa"/>
            <w:vAlign w:val="center"/>
          </w:tcPr>
          <w:p w14:paraId="71CF7848"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Viet Nam</w:t>
                </w:r>
              </w:smartTag>
            </w:smartTag>
          </w:p>
        </w:tc>
        <w:tc>
          <w:tcPr>
            <w:tcW w:w="859" w:type="dxa"/>
            <w:vAlign w:val="center"/>
          </w:tcPr>
          <w:p w14:paraId="3F4665B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0AB98F47"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Balat estuary</w:t>
            </w:r>
          </w:p>
        </w:tc>
        <w:tc>
          <w:tcPr>
            <w:tcW w:w="974" w:type="dxa"/>
            <w:vAlign w:val="center"/>
          </w:tcPr>
          <w:p w14:paraId="0BBA503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2,889.00</w:t>
            </w:r>
          </w:p>
        </w:tc>
        <w:tc>
          <w:tcPr>
            <w:tcW w:w="779" w:type="dxa"/>
            <w:vAlign w:val="center"/>
          </w:tcPr>
          <w:p w14:paraId="05A3208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1,500.00</w:t>
            </w:r>
          </w:p>
        </w:tc>
        <w:tc>
          <w:tcPr>
            <w:tcW w:w="889" w:type="dxa"/>
            <w:vAlign w:val="center"/>
          </w:tcPr>
          <w:p w14:paraId="5E237B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70,000.00</w:t>
            </w:r>
          </w:p>
        </w:tc>
        <w:tc>
          <w:tcPr>
            <w:tcW w:w="874" w:type="dxa"/>
            <w:vAlign w:val="center"/>
          </w:tcPr>
          <w:p w14:paraId="124256F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187" w:type="dxa"/>
            <w:vAlign w:val="center"/>
          </w:tcPr>
          <w:p w14:paraId="160F2A2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105,000,000.00</w:t>
            </w:r>
          </w:p>
        </w:tc>
        <w:tc>
          <w:tcPr>
            <w:tcW w:w="713" w:type="dxa"/>
            <w:vAlign w:val="center"/>
          </w:tcPr>
          <w:p w14:paraId="5ED2087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3A9CA53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2679ECF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105,000,000.00</w:t>
            </w:r>
          </w:p>
        </w:tc>
        <w:tc>
          <w:tcPr>
            <w:tcW w:w="1171" w:type="dxa"/>
            <w:tcBorders>
              <w:top w:val="single" w:sz="2" w:space="0" w:color="000000"/>
              <w:bottom w:val="single" w:sz="2" w:space="0" w:color="000000"/>
            </w:tcBorders>
            <w:shd w:val="clear" w:color="FFFF00" w:fill="D9D9D9"/>
            <w:vAlign w:val="center"/>
          </w:tcPr>
          <w:p w14:paraId="2E859BD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6,575.84</w:t>
            </w:r>
          </w:p>
        </w:tc>
        <w:tc>
          <w:tcPr>
            <w:tcW w:w="1480" w:type="dxa"/>
            <w:vAlign w:val="center"/>
          </w:tcPr>
          <w:p w14:paraId="56B8A9E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18,997,609.43</w:t>
            </w:r>
          </w:p>
        </w:tc>
      </w:tr>
      <w:tr w:rsidR="00FB39A5" w:rsidRPr="00FB39A5" w14:paraId="7B98A691" w14:textId="77777777" w:rsidTr="00FB39A5">
        <w:tblPrEx>
          <w:tblCellMar>
            <w:top w:w="0" w:type="dxa"/>
            <w:bottom w:w="0" w:type="dxa"/>
          </w:tblCellMar>
        </w:tblPrEx>
        <w:trPr>
          <w:trHeight w:val="191"/>
          <w:jc w:val="center"/>
        </w:trPr>
        <w:tc>
          <w:tcPr>
            <w:tcW w:w="860" w:type="dxa"/>
            <w:vAlign w:val="center"/>
          </w:tcPr>
          <w:p w14:paraId="2AA03664"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5F5355D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1B103BAC"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Can Gio</w:t>
            </w:r>
          </w:p>
        </w:tc>
        <w:tc>
          <w:tcPr>
            <w:tcW w:w="974" w:type="dxa"/>
            <w:vAlign w:val="center"/>
          </w:tcPr>
          <w:p w14:paraId="58CDFBE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7,990.00</w:t>
            </w:r>
          </w:p>
        </w:tc>
        <w:tc>
          <w:tcPr>
            <w:tcW w:w="779" w:type="dxa"/>
            <w:vAlign w:val="center"/>
          </w:tcPr>
          <w:p w14:paraId="7146365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4,000.00</w:t>
            </w:r>
          </w:p>
        </w:tc>
        <w:tc>
          <w:tcPr>
            <w:tcW w:w="889" w:type="dxa"/>
            <w:vAlign w:val="center"/>
          </w:tcPr>
          <w:p w14:paraId="2D9EBA5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65,000.00</w:t>
            </w:r>
          </w:p>
        </w:tc>
        <w:tc>
          <w:tcPr>
            <w:tcW w:w="874" w:type="dxa"/>
            <w:vAlign w:val="center"/>
          </w:tcPr>
          <w:p w14:paraId="3D603BD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187" w:type="dxa"/>
            <w:vAlign w:val="center"/>
          </w:tcPr>
          <w:p w14:paraId="2FE511A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260,000,000.00</w:t>
            </w:r>
          </w:p>
        </w:tc>
        <w:tc>
          <w:tcPr>
            <w:tcW w:w="713" w:type="dxa"/>
            <w:vAlign w:val="center"/>
          </w:tcPr>
          <w:p w14:paraId="01E23BD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92.38</w:t>
            </w:r>
          </w:p>
        </w:tc>
        <w:tc>
          <w:tcPr>
            <w:tcW w:w="958" w:type="dxa"/>
            <w:vAlign w:val="center"/>
          </w:tcPr>
          <w:p w14:paraId="5F1F2FC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4A77C7D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281,446,200.48</w:t>
            </w:r>
          </w:p>
        </w:tc>
        <w:tc>
          <w:tcPr>
            <w:tcW w:w="1171" w:type="dxa"/>
            <w:tcBorders>
              <w:top w:val="single" w:sz="2" w:space="0" w:color="000000"/>
              <w:bottom w:val="single" w:sz="2" w:space="0" w:color="000000"/>
            </w:tcBorders>
            <w:shd w:val="clear" w:color="FFFF00" w:fill="D9D9D9"/>
            <w:vAlign w:val="center"/>
          </w:tcPr>
          <w:p w14:paraId="703B8EC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17,626.15</w:t>
            </w:r>
          </w:p>
        </w:tc>
        <w:tc>
          <w:tcPr>
            <w:tcW w:w="1480" w:type="dxa"/>
            <w:vAlign w:val="center"/>
          </w:tcPr>
          <w:p w14:paraId="37E231A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140,832,952.23</w:t>
            </w:r>
          </w:p>
        </w:tc>
      </w:tr>
      <w:tr w:rsidR="00FB39A5" w:rsidRPr="00FB39A5" w14:paraId="39D4CC4B" w14:textId="77777777" w:rsidTr="00FB39A5">
        <w:tblPrEx>
          <w:tblCellMar>
            <w:top w:w="0" w:type="dxa"/>
            <w:bottom w:w="0" w:type="dxa"/>
          </w:tblCellMar>
        </w:tblPrEx>
        <w:trPr>
          <w:trHeight w:val="191"/>
          <w:jc w:val="center"/>
        </w:trPr>
        <w:tc>
          <w:tcPr>
            <w:tcW w:w="860" w:type="dxa"/>
            <w:vAlign w:val="center"/>
          </w:tcPr>
          <w:p w14:paraId="2A3AF805"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3349AEA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2CBE50E1"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Ca Mau</w:t>
            </w:r>
          </w:p>
        </w:tc>
        <w:tc>
          <w:tcPr>
            <w:tcW w:w="974" w:type="dxa"/>
            <w:vAlign w:val="center"/>
          </w:tcPr>
          <w:p w14:paraId="1C31862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247,510.00</w:t>
            </w:r>
          </w:p>
        </w:tc>
        <w:tc>
          <w:tcPr>
            <w:tcW w:w="779" w:type="dxa"/>
            <w:vAlign w:val="center"/>
          </w:tcPr>
          <w:p w14:paraId="32F46BC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4,000.00</w:t>
            </w:r>
          </w:p>
        </w:tc>
        <w:tc>
          <w:tcPr>
            <w:tcW w:w="889" w:type="dxa"/>
            <w:vAlign w:val="center"/>
          </w:tcPr>
          <w:p w14:paraId="65D74A1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60,000.00</w:t>
            </w:r>
          </w:p>
        </w:tc>
        <w:tc>
          <w:tcPr>
            <w:tcW w:w="874" w:type="dxa"/>
            <w:vAlign w:val="center"/>
          </w:tcPr>
          <w:p w14:paraId="0F42594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187" w:type="dxa"/>
            <w:vAlign w:val="center"/>
          </w:tcPr>
          <w:p w14:paraId="7F67DB7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240,000,000.00</w:t>
            </w:r>
          </w:p>
        </w:tc>
        <w:tc>
          <w:tcPr>
            <w:tcW w:w="713" w:type="dxa"/>
            <w:vAlign w:val="center"/>
          </w:tcPr>
          <w:p w14:paraId="4E5B934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2A2D572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2875E0B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240,000,000.00</w:t>
            </w:r>
          </w:p>
        </w:tc>
        <w:tc>
          <w:tcPr>
            <w:tcW w:w="1171" w:type="dxa"/>
            <w:tcBorders>
              <w:top w:val="single" w:sz="2" w:space="0" w:color="000000"/>
              <w:bottom w:val="single" w:sz="2" w:space="0" w:color="000000"/>
            </w:tcBorders>
            <w:shd w:val="clear" w:color="FFFF00" w:fill="D9D9D9"/>
            <w:vAlign w:val="center"/>
          </w:tcPr>
          <w:p w14:paraId="4D39B87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15,030.50</w:t>
            </w:r>
          </w:p>
        </w:tc>
        <w:tc>
          <w:tcPr>
            <w:tcW w:w="1480" w:type="dxa"/>
            <w:vAlign w:val="center"/>
          </w:tcPr>
          <w:p w14:paraId="3A67C3F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3,720,198,436.09</w:t>
            </w:r>
          </w:p>
        </w:tc>
      </w:tr>
      <w:tr w:rsidR="00FB39A5" w:rsidRPr="00FB39A5" w14:paraId="41F1FFF5" w14:textId="77777777" w:rsidTr="00FB39A5">
        <w:tblPrEx>
          <w:tblCellMar>
            <w:top w:w="0" w:type="dxa"/>
            <w:bottom w:w="0" w:type="dxa"/>
          </w:tblCellMar>
        </w:tblPrEx>
        <w:trPr>
          <w:trHeight w:val="191"/>
          <w:jc w:val="center"/>
        </w:trPr>
        <w:tc>
          <w:tcPr>
            <w:tcW w:w="860" w:type="dxa"/>
            <w:vAlign w:val="center"/>
          </w:tcPr>
          <w:p w14:paraId="33AE279F"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3B32D87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28A69DE1"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Soc Trang</w:t>
            </w:r>
          </w:p>
        </w:tc>
        <w:tc>
          <w:tcPr>
            <w:tcW w:w="974" w:type="dxa"/>
            <w:vAlign w:val="center"/>
          </w:tcPr>
          <w:p w14:paraId="1B037C0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43,311.00</w:t>
            </w:r>
          </w:p>
        </w:tc>
        <w:tc>
          <w:tcPr>
            <w:tcW w:w="779" w:type="dxa"/>
            <w:vAlign w:val="center"/>
          </w:tcPr>
          <w:p w14:paraId="6FB9263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3,200.00</w:t>
            </w:r>
          </w:p>
        </w:tc>
        <w:tc>
          <w:tcPr>
            <w:tcW w:w="889" w:type="dxa"/>
            <w:vAlign w:val="center"/>
          </w:tcPr>
          <w:p w14:paraId="2CFB6BB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70,000.00</w:t>
            </w:r>
          </w:p>
        </w:tc>
        <w:tc>
          <w:tcPr>
            <w:tcW w:w="874" w:type="dxa"/>
            <w:vAlign w:val="center"/>
          </w:tcPr>
          <w:p w14:paraId="445F0DD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187" w:type="dxa"/>
            <w:vAlign w:val="center"/>
          </w:tcPr>
          <w:p w14:paraId="0DA2AED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224,000,000.00</w:t>
            </w:r>
          </w:p>
        </w:tc>
        <w:tc>
          <w:tcPr>
            <w:tcW w:w="713" w:type="dxa"/>
            <w:vAlign w:val="center"/>
          </w:tcPr>
          <w:p w14:paraId="351A881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55E371E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1194C64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224,000,000.00</w:t>
            </w:r>
          </w:p>
        </w:tc>
        <w:tc>
          <w:tcPr>
            <w:tcW w:w="1171" w:type="dxa"/>
            <w:tcBorders>
              <w:top w:val="single" w:sz="2" w:space="0" w:color="000000"/>
              <w:bottom w:val="single" w:sz="2" w:space="0" w:color="000000"/>
            </w:tcBorders>
            <w:shd w:val="clear" w:color="FFFF00" w:fill="D9D9D9"/>
            <w:vAlign w:val="center"/>
          </w:tcPr>
          <w:p w14:paraId="1387E0E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14,028.46</w:t>
            </w:r>
          </w:p>
        </w:tc>
        <w:tc>
          <w:tcPr>
            <w:tcW w:w="1480" w:type="dxa"/>
            <w:vAlign w:val="center"/>
          </w:tcPr>
          <w:p w14:paraId="5ECB8D2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607,586,818.72</w:t>
            </w:r>
          </w:p>
        </w:tc>
      </w:tr>
      <w:tr w:rsidR="00FB39A5" w:rsidRPr="00FB39A5" w14:paraId="08B5F870" w14:textId="77777777" w:rsidTr="00FB39A5">
        <w:tblPrEx>
          <w:tblCellMar>
            <w:top w:w="0" w:type="dxa"/>
            <w:bottom w:w="0" w:type="dxa"/>
          </w:tblCellMar>
        </w:tblPrEx>
        <w:trPr>
          <w:trHeight w:val="142"/>
          <w:jc w:val="center"/>
        </w:trPr>
        <w:tc>
          <w:tcPr>
            <w:tcW w:w="14030" w:type="dxa"/>
            <w:gridSpan w:val="13"/>
            <w:vAlign w:val="center"/>
          </w:tcPr>
          <w:p w14:paraId="7BF53317" w14:textId="77777777" w:rsidR="00FB39A5" w:rsidRPr="00FB39A5" w:rsidRDefault="00FB39A5" w:rsidP="00FB39A5">
            <w:pPr>
              <w:tabs>
                <w:tab w:val="num" w:leader="none" w:pos="1440"/>
              </w:tabs>
              <w:jc w:val="center"/>
              <w:outlineLvl w:val="1"/>
              <w:rPr>
                <w:rFonts w:ascii="Arial" w:hAnsi="Arial" w:cs="Arial"/>
                <w:b/>
                <w:bCs/>
                <w:sz w:val="18"/>
                <w:szCs w:val="18"/>
                <w:lang w:val="en-GB"/>
              </w:rPr>
            </w:pPr>
            <w:bookmarkStart w:id="42" w:name="_Toc163031990"/>
            <w:bookmarkStart w:id="43" w:name="_Toc163032117"/>
            <w:r w:rsidRPr="00FB39A5">
              <w:rPr>
                <w:rFonts w:ascii="Arial" w:hAnsi="Arial" w:cs="Arial"/>
                <w:b/>
                <w:bCs/>
                <w:sz w:val="18"/>
                <w:szCs w:val="18"/>
                <w:lang w:val="en-GB"/>
              </w:rPr>
              <w:t>Eels kg</w:t>
            </w:r>
            <w:bookmarkEnd w:id="42"/>
            <w:bookmarkEnd w:id="43"/>
          </w:p>
        </w:tc>
      </w:tr>
      <w:tr w:rsidR="00FB39A5" w:rsidRPr="00FB39A5" w14:paraId="52500520" w14:textId="77777777" w:rsidTr="00FB39A5">
        <w:tblPrEx>
          <w:tblCellMar>
            <w:top w:w="0" w:type="dxa"/>
            <w:bottom w:w="0" w:type="dxa"/>
          </w:tblCellMar>
        </w:tblPrEx>
        <w:trPr>
          <w:trHeight w:val="191"/>
          <w:jc w:val="center"/>
        </w:trPr>
        <w:tc>
          <w:tcPr>
            <w:tcW w:w="860" w:type="dxa"/>
            <w:vAlign w:val="center"/>
          </w:tcPr>
          <w:p w14:paraId="48089690"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Indonesia</w:t>
                </w:r>
              </w:smartTag>
            </w:smartTag>
          </w:p>
        </w:tc>
        <w:tc>
          <w:tcPr>
            <w:tcW w:w="859" w:type="dxa"/>
            <w:vAlign w:val="center"/>
          </w:tcPr>
          <w:p w14:paraId="0C84DCC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6017205A"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Karawang, W. Java, Perhutani's property</w:t>
            </w:r>
          </w:p>
        </w:tc>
        <w:tc>
          <w:tcPr>
            <w:tcW w:w="974" w:type="dxa"/>
            <w:vAlign w:val="center"/>
          </w:tcPr>
          <w:p w14:paraId="7240F6E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1,292.40</w:t>
            </w:r>
          </w:p>
        </w:tc>
        <w:tc>
          <w:tcPr>
            <w:tcW w:w="779" w:type="dxa"/>
            <w:vAlign w:val="center"/>
          </w:tcPr>
          <w:p w14:paraId="414D16C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75.60</w:t>
            </w:r>
          </w:p>
        </w:tc>
        <w:tc>
          <w:tcPr>
            <w:tcW w:w="889" w:type="dxa"/>
            <w:vAlign w:val="center"/>
          </w:tcPr>
          <w:p w14:paraId="457054F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5,000.00</w:t>
            </w:r>
          </w:p>
        </w:tc>
        <w:tc>
          <w:tcPr>
            <w:tcW w:w="874" w:type="dxa"/>
            <w:vAlign w:val="center"/>
          </w:tcPr>
          <w:p w14:paraId="0178852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0799524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378,000.00</w:t>
            </w:r>
          </w:p>
        </w:tc>
        <w:tc>
          <w:tcPr>
            <w:tcW w:w="713" w:type="dxa"/>
            <w:vAlign w:val="center"/>
          </w:tcPr>
          <w:p w14:paraId="1FF66C9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4BB00F4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3C468D5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417,495.03</w:t>
            </w:r>
          </w:p>
        </w:tc>
        <w:tc>
          <w:tcPr>
            <w:tcW w:w="1171" w:type="dxa"/>
            <w:vAlign w:val="center"/>
          </w:tcPr>
          <w:p w14:paraId="79A823E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42.94</w:t>
            </w:r>
          </w:p>
        </w:tc>
        <w:tc>
          <w:tcPr>
            <w:tcW w:w="1480" w:type="dxa"/>
            <w:vAlign w:val="center"/>
          </w:tcPr>
          <w:p w14:paraId="4276600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55,501.94</w:t>
            </w:r>
          </w:p>
        </w:tc>
      </w:tr>
      <w:tr w:rsidR="00FB39A5" w:rsidRPr="00FB39A5" w14:paraId="3F69BA7B" w14:textId="77777777" w:rsidTr="00FB39A5">
        <w:tblPrEx>
          <w:tblCellMar>
            <w:top w:w="0" w:type="dxa"/>
            <w:bottom w:w="0" w:type="dxa"/>
          </w:tblCellMar>
        </w:tblPrEx>
        <w:trPr>
          <w:trHeight w:val="191"/>
          <w:jc w:val="center"/>
        </w:trPr>
        <w:tc>
          <w:tcPr>
            <w:tcW w:w="860" w:type="dxa"/>
            <w:vAlign w:val="center"/>
          </w:tcPr>
          <w:p w14:paraId="62E1891F"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15644B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65966A15"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Karawang, W. Java, Private property</w:t>
            </w:r>
          </w:p>
        </w:tc>
        <w:tc>
          <w:tcPr>
            <w:tcW w:w="974" w:type="dxa"/>
            <w:vAlign w:val="center"/>
          </w:tcPr>
          <w:p w14:paraId="5670866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400.00</w:t>
            </w:r>
          </w:p>
        </w:tc>
        <w:tc>
          <w:tcPr>
            <w:tcW w:w="779" w:type="dxa"/>
            <w:vAlign w:val="center"/>
          </w:tcPr>
          <w:p w14:paraId="35E16D3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64.00</w:t>
            </w:r>
          </w:p>
        </w:tc>
        <w:tc>
          <w:tcPr>
            <w:tcW w:w="889" w:type="dxa"/>
            <w:vAlign w:val="center"/>
          </w:tcPr>
          <w:p w14:paraId="2426E51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5,000.00</w:t>
            </w:r>
          </w:p>
        </w:tc>
        <w:tc>
          <w:tcPr>
            <w:tcW w:w="874" w:type="dxa"/>
            <w:vAlign w:val="center"/>
          </w:tcPr>
          <w:p w14:paraId="032F799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4F58BF0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320,000.00</w:t>
            </w:r>
          </w:p>
        </w:tc>
        <w:tc>
          <w:tcPr>
            <w:tcW w:w="713" w:type="dxa"/>
            <w:vAlign w:val="center"/>
          </w:tcPr>
          <w:p w14:paraId="1AA5E86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69D0CAD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0A02B91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353,434.95</w:t>
            </w:r>
          </w:p>
        </w:tc>
        <w:tc>
          <w:tcPr>
            <w:tcW w:w="1171" w:type="dxa"/>
            <w:vAlign w:val="center"/>
          </w:tcPr>
          <w:p w14:paraId="2584053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36.36</w:t>
            </w:r>
          </w:p>
        </w:tc>
        <w:tc>
          <w:tcPr>
            <w:tcW w:w="1480" w:type="dxa"/>
            <w:vAlign w:val="center"/>
          </w:tcPr>
          <w:p w14:paraId="54C908F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14,542.18</w:t>
            </w:r>
          </w:p>
        </w:tc>
      </w:tr>
      <w:tr w:rsidR="00FB39A5" w:rsidRPr="00FB39A5" w14:paraId="37F63EB0" w14:textId="77777777" w:rsidTr="00FB39A5">
        <w:tblPrEx>
          <w:tblCellMar>
            <w:top w:w="0" w:type="dxa"/>
            <w:bottom w:w="0" w:type="dxa"/>
          </w:tblCellMar>
        </w:tblPrEx>
        <w:trPr>
          <w:trHeight w:val="244"/>
          <w:jc w:val="center"/>
        </w:trPr>
        <w:tc>
          <w:tcPr>
            <w:tcW w:w="14030" w:type="dxa"/>
            <w:gridSpan w:val="13"/>
            <w:vAlign w:val="center"/>
          </w:tcPr>
          <w:p w14:paraId="5623D6DA" w14:textId="77777777" w:rsidR="00FB39A5" w:rsidRPr="00FB39A5" w:rsidRDefault="00FB39A5" w:rsidP="00FB39A5">
            <w:pPr>
              <w:autoSpaceDE w:val="0"/>
              <w:autoSpaceDN w:val="0"/>
              <w:adjustRightInd w:val="0"/>
              <w:jc w:val="center"/>
              <w:rPr>
                <w:rFonts w:ascii="Arial" w:hAnsi="Arial" w:cs="Arial"/>
                <w:sz w:val="18"/>
                <w:szCs w:val="18"/>
                <w:lang w:val="en-GB"/>
              </w:rPr>
            </w:pPr>
            <w:r w:rsidRPr="00FB39A5">
              <w:rPr>
                <w:rFonts w:ascii="Arial" w:hAnsi="Arial" w:cs="Arial"/>
                <w:b/>
                <w:bCs/>
                <w:sz w:val="18"/>
                <w:szCs w:val="18"/>
                <w:lang w:val="en-GB"/>
              </w:rPr>
              <w:t>Shellfish kg</w:t>
            </w:r>
          </w:p>
        </w:tc>
      </w:tr>
      <w:tr w:rsidR="00FB39A5" w:rsidRPr="00FB39A5" w14:paraId="09C393C9" w14:textId="77777777" w:rsidTr="00FB39A5">
        <w:tblPrEx>
          <w:tblCellMar>
            <w:top w:w="0" w:type="dxa"/>
            <w:bottom w:w="0" w:type="dxa"/>
          </w:tblCellMar>
        </w:tblPrEx>
        <w:trPr>
          <w:trHeight w:val="186"/>
          <w:jc w:val="center"/>
        </w:trPr>
        <w:tc>
          <w:tcPr>
            <w:tcW w:w="860" w:type="dxa"/>
            <w:vAlign w:val="center"/>
          </w:tcPr>
          <w:p w14:paraId="7CCFC970"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Indonesia</w:t>
                </w:r>
              </w:smartTag>
            </w:smartTag>
            <w:r w:rsidRPr="00FB39A5">
              <w:rPr>
                <w:rFonts w:ascii="Arial" w:hAnsi="Arial" w:cs="Arial"/>
                <w:sz w:val="16"/>
                <w:szCs w:val="16"/>
                <w:lang w:val="en-GB"/>
              </w:rPr>
              <w:t xml:space="preserve"> </w:t>
            </w:r>
          </w:p>
        </w:tc>
        <w:tc>
          <w:tcPr>
            <w:tcW w:w="859" w:type="dxa"/>
            <w:vAlign w:val="center"/>
          </w:tcPr>
          <w:p w14:paraId="4A6FD64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3F7C6717"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r w:rsidRPr="00FB39A5">
                <w:rPr>
                  <w:rFonts w:ascii="Arial" w:hAnsi="Arial" w:cs="Arial"/>
                  <w:sz w:val="12"/>
                  <w:szCs w:val="12"/>
                  <w:lang w:val="en-GB"/>
                </w:rPr>
                <w:t>Bali</w:t>
              </w:r>
            </w:smartTag>
            <w:r w:rsidRPr="00FB39A5">
              <w:rPr>
                <w:rFonts w:ascii="Arial" w:hAnsi="Arial" w:cs="Arial"/>
                <w:sz w:val="12"/>
                <w:szCs w:val="12"/>
                <w:lang w:val="en-GB"/>
              </w:rPr>
              <w:t xml:space="preserve"> </w:t>
            </w:r>
          </w:p>
        </w:tc>
        <w:tc>
          <w:tcPr>
            <w:tcW w:w="974" w:type="dxa"/>
            <w:vAlign w:val="center"/>
          </w:tcPr>
          <w:p w14:paraId="228BBC8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9.00</w:t>
            </w:r>
          </w:p>
        </w:tc>
        <w:tc>
          <w:tcPr>
            <w:tcW w:w="779" w:type="dxa"/>
            <w:vAlign w:val="center"/>
          </w:tcPr>
          <w:p w14:paraId="65CBE1A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302.50</w:t>
            </w:r>
          </w:p>
        </w:tc>
        <w:tc>
          <w:tcPr>
            <w:tcW w:w="889" w:type="dxa"/>
            <w:vAlign w:val="center"/>
          </w:tcPr>
          <w:p w14:paraId="599CAB5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6,869.01</w:t>
            </w:r>
          </w:p>
        </w:tc>
        <w:tc>
          <w:tcPr>
            <w:tcW w:w="874" w:type="dxa"/>
            <w:vAlign w:val="center"/>
          </w:tcPr>
          <w:p w14:paraId="6A671DF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10F5B7B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2,077,875.53</w:t>
            </w:r>
          </w:p>
        </w:tc>
        <w:tc>
          <w:tcPr>
            <w:tcW w:w="713" w:type="dxa"/>
            <w:vAlign w:val="center"/>
          </w:tcPr>
          <w:p w14:paraId="3D95D4A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380BD71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3947980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2,294,980.70</w:t>
            </w:r>
          </w:p>
        </w:tc>
        <w:tc>
          <w:tcPr>
            <w:tcW w:w="1171" w:type="dxa"/>
            <w:vAlign w:val="center"/>
          </w:tcPr>
          <w:p w14:paraId="0AA0E68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236.07</w:t>
            </w:r>
          </w:p>
        </w:tc>
        <w:tc>
          <w:tcPr>
            <w:tcW w:w="1480" w:type="dxa"/>
            <w:vAlign w:val="center"/>
          </w:tcPr>
          <w:p w14:paraId="59B82DD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2,124.62</w:t>
            </w:r>
          </w:p>
        </w:tc>
      </w:tr>
      <w:tr w:rsidR="00FB39A5" w:rsidRPr="00FB39A5" w14:paraId="3E40AEFA" w14:textId="77777777" w:rsidTr="00FB39A5">
        <w:tblPrEx>
          <w:tblCellMar>
            <w:top w:w="0" w:type="dxa"/>
            <w:bottom w:w="0" w:type="dxa"/>
          </w:tblCellMar>
        </w:tblPrEx>
        <w:trPr>
          <w:trHeight w:val="191"/>
          <w:jc w:val="center"/>
        </w:trPr>
        <w:tc>
          <w:tcPr>
            <w:tcW w:w="860" w:type="dxa"/>
            <w:vAlign w:val="center"/>
          </w:tcPr>
          <w:p w14:paraId="2F09311B"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0EAD9D4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357820D6"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Marisa</w:t>
                </w:r>
              </w:smartTag>
              <w:r w:rsidRPr="00FB39A5">
                <w:rPr>
                  <w:rFonts w:ascii="Arial" w:hAnsi="Arial" w:cs="Arial"/>
                  <w:sz w:val="12"/>
                  <w:szCs w:val="12"/>
                  <w:lang w:val="en-GB"/>
                </w:rPr>
                <w:t xml:space="preserve"> </w:t>
              </w:r>
              <w:smartTag w:uri="urn:schemas-microsoft-com:office:smarttags" w:element="PlaceName">
                <w:r w:rsidRPr="00FB39A5">
                  <w:rPr>
                    <w:rFonts w:ascii="Arial" w:hAnsi="Arial" w:cs="Arial"/>
                    <w:sz w:val="12"/>
                    <w:szCs w:val="12"/>
                    <w:lang w:val="en-GB"/>
                  </w:rPr>
                  <w:t>District</w:t>
                </w:r>
              </w:smartTag>
            </w:smartTag>
            <w:r w:rsidRPr="00FB39A5">
              <w:rPr>
                <w:rFonts w:ascii="Arial" w:hAnsi="Arial" w:cs="Arial"/>
                <w:sz w:val="12"/>
                <w:szCs w:val="12"/>
                <w:lang w:val="en-GB"/>
              </w:rPr>
              <w:t>, Gorontalo</w:t>
            </w:r>
          </w:p>
        </w:tc>
        <w:tc>
          <w:tcPr>
            <w:tcW w:w="974" w:type="dxa"/>
            <w:vAlign w:val="center"/>
          </w:tcPr>
          <w:p w14:paraId="5C907C5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5,332.00</w:t>
            </w:r>
          </w:p>
        </w:tc>
        <w:tc>
          <w:tcPr>
            <w:tcW w:w="779" w:type="dxa"/>
            <w:vAlign w:val="center"/>
          </w:tcPr>
          <w:p w14:paraId="2E001F0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32.50</w:t>
            </w:r>
          </w:p>
        </w:tc>
        <w:tc>
          <w:tcPr>
            <w:tcW w:w="889" w:type="dxa"/>
            <w:vAlign w:val="center"/>
          </w:tcPr>
          <w:p w14:paraId="55B42E0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5,000.00</w:t>
            </w:r>
          </w:p>
        </w:tc>
        <w:tc>
          <w:tcPr>
            <w:tcW w:w="874" w:type="dxa"/>
            <w:vAlign w:val="center"/>
          </w:tcPr>
          <w:p w14:paraId="7C57C45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187" w:type="dxa"/>
            <w:vAlign w:val="center"/>
          </w:tcPr>
          <w:p w14:paraId="4E146E7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162,500.00</w:t>
            </w:r>
          </w:p>
        </w:tc>
        <w:tc>
          <w:tcPr>
            <w:tcW w:w="713" w:type="dxa"/>
            <w:vAlign w:val="center"/>
          </w:tcPr>
          <w:p w14:paraId="00DD8BF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8" w:type="dxa"/>
            <w:vAlign w:val="center"/>
          </w:tcPr>
          <w:p w14:paraId="4E4E5A7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449" w:type="dxa"/>
            <w:vAlign w:val="center"/>
          </w:tcPr>
          <w:p w14:paraId="2EF07C3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179,478.68</w:t>
            </w:r>
          </w:p>
        </w:tc>
        <w:tc>
          <w:tcPr>
            <w:tcW w:w="1171" w:type="dxa"/>
            <w:vAlign w:val="center"/>
          </w:tcPr>
          <w:p w14:paraId="5ADB17A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18.46</w:t>
            </w:r>
          </w:p>
        </w:tc>
        <w:tc>
          <w:tcPr>
            <w:tcW w:w="1480" w:type="dxa"/>
            <w:vAlign w:val="center"/>
          </w:tcPr>
          <w:p w14:paraId="22269C2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98,438.04</w:t>
            </w:r>
          </w:p>
        </w:tc>
      </w:tr>
      <w:tr w:rsidR="00FB39A5" w:rsidRPr="00FB39A5" w14:paraId="33A41260" w14:textId="77777777" w:rsidTr="00FB39A5">
        <w:tblPrEx>
          <w:tblCellMar>
            <w:top w:w="0" w:type="dxa"/>
            <w:bottom w:w="0" w:type="dxa"/>
          </w:tblCellMar>
        </w:tblPrEx>
        <w:trPr>
          <w:trHeight w:val="191"/>
          <w:jc w:val="center"/>
        </w:trPr>
        <w:tc>
          <w:tcPr>
            <w:tcW w:w="860" w:type="dxa"/>
            <w:vAlign w:val="center"/>
          </w:tcPr>
          <w:p w14:paraId="52857281"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Thailand</w:t>
                </w:r>
              </w:smartTag>
            </w:smartTag>
          </w:p>
        </w:tc>
        <w:tc>
          <w:tcPr>
            <w:tcW w:w="859" w:type="dxa"/>
            <w:vAlign w:val="center"/>
          </w:tcPr>
          <w:p w14:paraId="648695D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2003</w:t>
            </w:r>
          </w:p>
        </w:tc>
        <w:tc>
          <w:tcPr>
            <w:tcW w:w="1837" w:type="dxa"/>
            <w:vAlign w:val="center"/>
          </w:tcPr>
          <w:p w14:paraId="1A2FC7FB"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Bang Khun Thien</w:t>
            </w:r>
          </w:p>
        </w:tc>
        <w:tc>
          <w:tcPr>
            <w:tcW w:w="974" w:type="dxa"/>
            <w:vAlign w:val="center"/>
          </w:tcPr>
          <w:p w14:paraId="36179E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192.00</w:t>
            </w:r>
          </w:p>
        </w:tc>
        <w:tc>
          <w:tcPr>
            <w:tcW w:w="779" w:type="dxa"/>
            <w:vAlign w:val="center"/>
          </w:tcPr>
          <w:p w14:paraId="4322EF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352.69</w:t>
            </w:r>
          </w:p>
        </w:tc>
        <w:tc>
          <w:tcPr>
            <w:tcW w:w="889" w:type="dxa"/>
            <w:vAlign w:val="center"/>
          </w:tcPr>
          <w:p w14:paraId="2E476DA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41.11</w:t>
            </w:r>
          </w:p>
        </w:tc>
        <w:tc>
          <w:tcPr>
            <w:tcW w:w="874" w:type="dxa"/>
            <w:vAlign w:val="center"/>
          </w:tcPr>
          <w:p w14:paraId="0545953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187" w:type="dxa"/>
            <w:vAlign w:val="center"/>
          </w:tcPr>
          <w:p w14:paraId="5979ABF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14,499.09</w:t>
            </w:r>
          </w:p>
        </w:tc>
        <w:tc>
          <w:tcPr>
            <w:tcW w:w="713" w:type="dxa"/>
            <w:vAlign w:val="center"/>
          </w:tcPr>
          <w:p w14:paraId="2BC6951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93.08</w:t>
            </w:r>
          </w:p>
        </w:tc>
        <w:tc>
          <w:tcPr>
            <w:tcW w:w="958" w:type="dxa"/>
            <w:vAlign w:val="center"/>
          </w:tcPr>
          <w:p w14:paraId="7C52914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449" w:type="dxa"/>
            <w:vAlign w:val="center"/>
          </w:tcPr>
          <w:p w14:paraId="069D6A8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15,577.02</w:t>
            </w:r>
          </w:p>
        </w:tc>
        <w:tc>
          <w:tcPr>
            <w:tcW w:w="1171" w:type="dxa"/>
            <w:vAlign w:val="center"/>
          </w:tcPr>
          <w:p w14:paraId="600B926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386.47</w:t>
            </w:r>
          </w:p>
        </w:tc>
        <w:tc>
          <w:tcPr>
            <w:tcW w:w="1480" w:type="dxa"/>
            <w:vAlign w:val="center"/>
          </w:tcPr>
          <w:p w14:paraId="36FD6F5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74,201.87</w:t>
            </w:r>
          </w:p>
        </w:tc>
      </w:tr>
      <w:tr w:rsidR="00FB39A5" w:rsidRPr="00FB39A5" w14:paraId="655ED5B7" w14:textId="77777777" w:rsidTr="00FB39A5">
        <w:tblPrEx>
          <w:tblCellMar>
            <w:top w:w="0" w:type="dxa"/>
            <w:bottom w:w="0" w:type="dxa"/>
          </w:tblCellMar>
        </w:tblPrEx>
        <w:trPr>
          <w:trHeight w:val="191"/>
          <w:jc w:val="center"/>
        </w:trPr>
        <w:tc>
          <w:tcPr>
            <w:tcW w:w="860" w:type="dxa"/>
            <w:vAlign w:val="center"/>
          </w:tcPr>
          <w:p w14:paraId="3861BD33"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Philippines</w:t>
                </w:r>
              </w:smartTag>
            </w:smartTag>
          </w:p>
        </w:tc>
        <w:tc>
          <w:tcPr>
            <w:tcW w:w="859" w:type="dxa"/>
            <w:vAlign w:val="center"/>
          </w:tcPr>
          <w:p w14:paraId="18A41C9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6AE92571"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smartTag w:uri="urn:schemas-microsoft-com:office:smarttags" w:element="country-region">
                <w:r w:rsidRPr="00FB39A5">
                  <w:rPr>
                    <w:rFonts w:ascii="Arial" w:hAnsi="Arial" w:cs="Arial"/>
                    <w:sz w:val="12"/>
                    <w:szCs w:val="12"/>
                    <w:lang w:val="en-GB"/>
                  </w:rPr>
                  <w:t>Philippines</w:t>
                </w:r>
              </w:smartTag>
            </w:smartTag>
            <w:r w:rsidRPr="00FB39A5">
              <w:rPr>
                <w:rFonts w:ascii="Arial" w:hAnsi="Arial" w:cs="Arial"/>
                <w:sz w:val="12"/>
                <w:szCs w:val="12"/>
                <w:lang w:val="en-GB"/>
              </w:rPr>
              <w:t xml:space="preserve"> (MUSSELS)</w:t>
            </w:r>
          </w:p>
        </w:tc>
        <w:tc>
          <w:tcPr>
            <w:tcW w:w="974" w:type="dxa"/>
            <w:vAlign w:val="center"/>
          </w:tcPr>
          <w:p w14:paraId="0D4E4B6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1,298.50</w:t>
            </w:r>
          </w:p>
        </w:tc>
        <w:tc>
          <w:tcPr>
            <w:tcW w:w="779" w:type="dxa"/>
            <w:vAlign w:val="center"/>
          </w:tcPr>
          <w:p w14:paraId="0FB0535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2.62</w:t>
            </w:r>
          </w:p>
        </w:tc>
        <w:tc>
          <w:tcPr>
            <w:tcW w:w="889" w:type="dxa"/>
            <w:vAlign w:val="center"/>
          </w:tcPr>
          <w:p w14:paraId="7A78FF2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30.00</w:t>
            </w:r>
          </w:p>
        </w:tc>
        <w:tc>
          <w:tcPr>
            <w:tcW w:w="874" w:type="dxa"/>
            <w:vAlign w:val="center"/>
          </w:tcPr>
          <w:p w14:paraId="0EE2366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PHP</w:t>
            </w:r>
          </w:p>
        </w:tc>
        <w:tc>
          <w:tcPr>
            <w:tcW w:w="1187" w:type="dxa"/>
            <w:vAlign w:val="center"/>
          </w:tcPr>
          <w:p w14:paraId="174D7A7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78.60</w:t>
            </w:r>
          </w:p>
        </w:tc>
        <w:tc>
          <w:tcPr>
            <w:tcW w:w="713" w:type="dxa"/>
            <w:vAlign w:val="center"/>
          </w:tcPr>
          <w:p w14:paraId="125FDC6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92.91</w:t>
            </w:r>
          </w:p>
        </w:tc>
        <w:tc>
          <w:tcPr>
            <w:tcW w:w="958" w:type="dxa"/>
            <w:vAlign w:val="center"/>
          </w:tcPr>
          <w:p w14:paraId="0298407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55.14</w:t>
            </w:r>
          </w:p>
        </w:tc>
        <w:tc>
          <w:tcPr>
            <w:tcW w:w="1449" w:type="dxa"/>
            <w:vAlign w:val="center"/>
          </w:tcPr>
          <w:p w14:paraId="25ED697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84.60</w:t>
            </w:r>
          </w:p>
        </w:tc>
        <w:tc>
          <w:tcPr>
            <w:tcW w:w="1171" w:type="dxa"/>
            <w:vAlign w:val="center"/>
          </w:tcPr>
          <w:p w14:paraId="1FF41DC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1.53</w:t>
            </w:r>
          </w:p>
        </w:tc>
        <w:tc>
          <w:tcPr>
            <w:tcW w:w="1480" w:type="dxa"/>
            <w:vAlign w:val="center"/>
          </w:tcPr>
          <w:p w14:paraId="73281FF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1,992.21</w:t>
            </w:r>
          </w:p>
        </w:tc>
      </w:tr>
      <w:tr w:rsidR="00FB39A5" w:rsidRPr="00FB39A5" w14:paraId="2ABE5154" w14:textId="77777777" w:rsidTr="00FB39A5">
        <w:tblPrEx>
          <w:tblCellMar>
            <w:top w:w="0" w:type="dxa"/>
            <w:bottom w:w="0" w:type="dxa"/>
          </w:tblCellMar>
        </w:tblPrEx>
        <w:trPr>
          <w:trHeight w:val="191"/>
          <w:jc w:val="center"/>
        </w:trPr>
        <w:tc>
          <w:tcPr>
            <w:tcW w:w="860" w:type="dxa"/>
            <w:vAlign w:val="center"/>
          </w:tcPr>
          <w:p w14:paraId="0239B3E9"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7AB7B0B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7403F3E3"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smartTag w:uri="urn:schemas-microsoft-com:office:smarttags" w:element="country-region">
                <w:r w:rsidRPr="00FB39A5">
                  <w:rPr>
                    <w:rFonts w:ascii="Arial" w:hAnsi="Arial" w:cs="Arial"/>
                    <w:sz w:val="12"/>
                    <w:szCs w:val="12"/>
                    <w:lang w:val="en-GB"/>
                  </w:rPr>
                  <w:t>Philippines</w:t>
                </w:r>
              </w:smartTag>
            </w:smartTag>
            <w:r w:rsidRPr="00FB39A5">
              <w:rPr>
                <w:rFonts w:ascii="Arial" w:hAnsi="Arial" w:cs="Arial"/>
                <w:sz w:val="12"/>
                <w:szCs w:val="12"/>
                <w:lang w:val="en-GB"/>
              </w:rPr>
              <w:t xml:space="preserve"> (Shellfish- "KIBAW"</w:t>
            </w:r>
          </w:p>
        </w:tc>
        <w:tc>
          <w:tcPr>
            <w:tcW w:w="974" w:type="dxa"/>
            <w:vAlign w:val="center"/>
          </w:tcPr>
          <w:p w14:paraId="56B0494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1,298.50</w:t>
            </w:r>
          </w:p>
        </w:tc>
        <w:tc>
          <w:tcPr>
            <w:tcW w:w="779" w:type="dxa"/>
            <w:vAlign w:val="center"/>
          </w:tcPr>
          <w:p w14:paraId="43F7B50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6.75</w:t>
            </w:r>
          </w:p>
        </w:tc>
        <w:tc>
          <w:tcPr>
            <w:tcW w:w="889" w:type="dxa"/>
            <w:vAlign w:val="center"/>
          </w:tcPr>
          <w:p w14:paraId="10E7D88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20.00</w:t>
            </w:r>
          </w:p>
        </w:tc>
        <w:tc>
          <w:tcPr>
            <w:tcW w:w="874" w:type="dxa"/>
            <w:vAlign w:val="center"/>
          </w:tcPr>
          <w:p w14:paraId="2969B15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PHP</w:t>
            </w:r>
          </w:p>
        </w:tc>
        <w:tc>
          <w:tcPr>
            <w:tcW w:w="1187" w:type="dxa"/>
            <w:vAlign w:val="center"/>
          </w:tcPr>
          <w:p w14:paraId="56C546B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135.00</w:t>
            </w:r>
          </w:p>
        </w:tc>
        <w:tc>
          <w:tcPr>
            <w:tcW w:w="713" w:type="dxa"/>
            <w:vAlign w:val="center"/>
          </w:tcPr>
          <w:p w14:paraId="693610A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92.91</w:t>
            </w:r>
          </w:p>
        </w:tc>
        <w:tc>
          <w:tcPr>
            <w:tcW w:w="958" w:type="dxa"/>
            <w:vAlign w:val="center"/>
          </w:tcPr>
          <w:p w14:paraId="5A2A99E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55.14</w:t>
            </w:r>
          </w:p>
        </w:tc>
        <w:tc>
          <w:tcPr>
            <w:tcW w:w="1449" w:type="dxa"/>
            <w:vAlign w:val="center"/>
          </w:tcPr>
          <w:p w14:paraId="2F5F4A0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145.30</w:t>
            </w:r>
          </w:p>
        </w:tc>
        <w:tc>
          <w:tcPr>
            <w:tcW w:w="1171" w:type="dxa"/>
            <w:vAlign w:val="center"/>
          </w:tcPr>
          <w:p w14:paraId="75A8965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2.64</w:t>
            </w:r>
          </w:p>
        </w:tc>
        <w:tc>
          <w:tcPr>
            <w:tcW w:w="1480" w:type="dxa"/>
            <w:vAlign w:val="center"/>
          </w:tcPr>
          <w:p w14:paraId="5F9D25C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3,421.74</w:t>
            </w:r>
          </w:p>
        </w:tc>
      </w:tr>
      <w:tr w:rsidR="00FB39A5" w:rsidRPr="00FB39A5" w14:paraId="73F13DA2" w14:textId="77777777" w:rsidTr="00FB39A5">
        <w:tblPrEx>
          <w:tblCellMar>
            <w:top w:w="0" w:type="dxa"/>
            <w:bottom w:w="0" w:type="dxa"/>
          </w:tblCellMar>
        </w:tblPrEx>
        <w:trPr>
          <w:trHeight w:val="191"/>
          <w:jc w:val="center"/>
        </w:trPr>
        <w:tc>
          <w:tcPr>
            <w:tcW w:w="860" w:type="dxa"/>
            <w:vAlign w:val="center"/>
          </w:tcPr>
          <w:p w14:paraId="6242D2CA"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China</w:t>
                </w:r>
              </w:smartTag>
            </w:smartTag>
          </w:p>
        </w:tc>
        <w:tc>
          <w:tcPr>
            <w:tcW w:w="859" w:type="dxa"/>
            <w:vAlign w:val="center"/>
          </w:tcPr>
          <w:p w14:paraId="389D6FF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1837" w:type="dxa"/>
            <w:vAlign w:val="center"/>
          </w:tcPr>
          <w:p w14:paraId="0ADD35BE"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Fangchenggang</w:t>
            </w:r>
          </w:p>
        </w:tc>
        <w:tc>
          <w:tcPr>
            <w:tcW w:w="974" w:type="dxa"/>
            <w:vAlign w:val="center"/>
          </w:tcPr>
          <w:p w14:paraId="636379C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1,414.50</w:t>
            </w:r>
          </w:p>
        </w:tc>
        <w:tc>
          <w:tcPr>
            <w:tcW w:w="779" w:type="dxa"/>
            <w:vAlign w:val="center"/>
          </w:tcPr>
          <w:p w14:paraId="7A4403F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260.00</w:t>
            </w:r>
          </w:p>
        </w:tc>
        <w:tc>
          <w:tcPr>
            <w:tcW w:w="889" w:type="dxa"/>
            <w:vAlign w:val="center"/>
          </w:tcPr>
          <w:p w14:paraId="1E58DC7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33.61</w:t>
            </w:r>
          </w:p>
        </w:tc>
        <w:tc>
          <w:tcPr>
            <w:tcW w:w="874" w:type="dxa"/>
            <w:vAlign w:val="center"/>
          </w:tcPr>
          <w:p w14:paraId="520DC06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CNY</w:t>
            </w:r>
          </w:p>
        </w:tc>
        <w:tc>
          <w:tcPr>
            <w:tcW w:w="1187" w:type="dxa"/>
            <w:vAlign w:val="center"/>
          </w:tcPr>
          <w:p w14:paraId="749C0C9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8,738.00</w:t>
            </w:r>
          </w:p>
        </w:tc>
        <w:tc>
          <w:tcPr>
            <w:tcW w:w="713" w:type="dxa"/>
            <w:vAlign w:val="center"/>
          </w:tcPr>
          <w:p w14:paraId="219B9B0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93.38</w:t>
            </w:r>
          </w:p>
        </w:tc>
        <w:tc>
          <w:tcPr>
            <w:tcW w:w="958" w:type="dxa"/>
            <w:vAlign w:val="center"/>
          </w:tcPr>
          <w:p w14:paraId="6998235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8.11</w:t>
            </w:r>
          </w:p>
        </w:tc>
        <w:tc>
          <w:tcPr>
            <w:tcW w:w="1449" w:type="dxa"/>
            <w:vAlign w:val="center"/>
          </w:tcPr>
          <w:p w14:paraId="0C91278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9,357.46</w:t>
            </w:r>
          </w:p>
        </w:tc>
        <w:tc>
          <w:tcPr>
            <w:tcW w:w="1171" w:type="dxa"/>
            <w:tcBorders>
              <w:bottom w:val="single" w:sz="2" w:space="0" w:color="000000"/>
            </w:tcBorders>
            <w:vAlign w:val="center"/>
          </w:tcPr>
          <w:p w14:paraId="37A6859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1,153.82</w:t>
            </w:r>
          </w:p>
        </w:tc>
        <w:tc>
          <w:tcPr>
            <w:tcW w:w="1480" w:type="dxa"/>
            <w:vAlign w:val="center"/>
          </w:tcPr>
          <w:p w14:paraId="0A5EDA8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1,632,075.59</w:t>
            </w:r>
          </w:p>
        </w:tc>
      </w:tr>
      <w:tr w:rsidR="00FB39A5" w:rsidRPr="00FB39A5" w14:paraId="4F786CC4" w14:textId="77777777" w:rsidTr="00FB39A5">
        <w:tblPrEx>
          <w:tblCellMar>
            <w:top w:w="0" w:type="dxa"/>
            <w:bottom w:w="0" w:type="dxa"/>
          </w:tblCellMar>
        </w:tblPrEx>
        <w:trPr>
          <w:trHeight w:val="191"/>
          <w:jc w:val="center"/>
        </w:trPr>
        <w:tc>
          <w:tcPr>
            <w:tcW w:w="860" w:type="dxa"/>
            <w:vAlign w:val="center"/>
          </w:tcPr>
          <w:p w14:paraId="08D66797"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Viet Nam</w:t>
                </w:r>
              </w:smartTag>
            </w:smartTag>
          </w:p>
        </w:tc>
        <w:tc>
          <w:tcPr>
            <w:tcW w:w="859" w:type="dxa"/>
            <w:vAlign w:val="center"/>
          </w:tcPr>
          <w:p w14:paraId="2450C98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1837" w:type="dxa"/>
            <w:vAlign w:val="center"/>
          </w:tcPr>
          <w:p w14:paraId="4A4FDFF6"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Ba Lat estuary</w:t>
            </w:r>
          </w:p>
        </w:tc>
        <w:tc>
          <w:tcPr>
            <w:tcW w:w="974" w:type="dxa"/>
            <w:vAlign w:val="center"/>
          </w:tcPr>
          <w:p w14:paraId="754FC8B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2,889.00</w:t>
            </w:r>
          </w:p>
        </w:tc>
        <w:tc>
          <w:tcPr>
            <w:tcW w:w="779" w:type="dxa"/>
            <w:vAlign w:val="center"/>
          </w:tcPr>
          <w:p w14:paraId="10D4FBD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12,000.00</w:t>
            </w:r>
          </w:p>
        </w:tc>
        <w:tc>
          <w:tcPr>
            <w:tcW w:w="889" w:type="dxa"/>
            <w:vAlign w:val="center"/>
          </w:tcPr>
          <w:p w14:paraId="55CE204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5,200.00</w:t>
            </w:r>
          </w:p>
        </w:tc>
        <w:tc>
          <w:tcPr>
            <w:tcW w:w="874" w:type="dxa"/>
            <w:vAlign w:val="center"/>
          </w:tcPr>
          <w:p w14:paraId="5FB90DF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187" w:type="dxa"/>
            <w:vAlign w:val="center"/>
          </w:tcPr>
          <w:p w14:paraId="5959DC8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62,400,000.00</w:t>
            </w:r>
          </w:p>
        </w:tc>
        <w:tc>
          <w:tcPr>
            <w:tcW w:w="713" w:type="dxa"/>
            <w:vAlign w:val="center"/>
          </w:tcPr>
          <w:p w14:paraId="676EF7E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8" w:type="dxa"/>
            <w:vAlign w:val="center"/>
          </w:tcPr>
          <w:p w14:paraId="2729E56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0D51D9D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62,400,000.00</w:t>
            </w:r>
          </w:p>
        </w:tc>
        <w:tc>
          <w:tcPr>
            <w:tcW w:w="1171" w:type="dxa"/>
            <w:tcBorders>
              <w:top w:val="single" w:sz="2" w:space="0" w:color="000000"/>
              <w:bottom w:val="single" w:sz="2" w:space="0" w:color="000000"/>
            </w:tcBorders>
            <w:shd w:val="clear" w:color="FFFF00" w:fill="D9D9D9"/>
            <w:vAlign w:val="center"/>
          </w:tcPr>
          <w:p w14:paraId="181EBC8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3,907.93</w:t>
            </w:r>
          </w:p>
        </w:tc>
        <w:tc>
          <w:tcPr>
            <w:tcW w:w="1480" w:type="dxa"/>
            <w:vAlign w:val="center"/>
          </w:tcPr>
          <w:p w14:paraId="6E33ACC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11,290,007.89</w:t>
            </w:r>
          </w:p>
        </w:tc>
      </w:tr>
      <w:tr w:rsidR="00FB39A5" w:rsidRPr="00FB39A5" w14:paraId="70EA4C94" w14:textId="77777777" w:rsidTr="00FB39A5">
        <w:tblPrEx>
          <w:tblCellMar>
            <w:top w:w="0" w:type="dxa"/>
            <w:bottom w:w="0" w:type="dxa"/>
          </w:tblCellMar>
        </w:tblPrEx>
        <w:trPr>
          <w:trHeight w:val="191"/>
          <w:jc w:val="center"/>
        </w:trPr>
        <w:tc>
          <w:tcPr>
            <w:tcW w:w="860" w:type="dxa"/>
            <w:vAlign w:val="center"/>
          </w:tcPr>
          <w:p w14:paraId="59F17BA2" w14:textId="77777777" w:rsidR="00FB39A5" w:rsidRPr="00FB39A5" w:rsidRDefault="00FB39A5" w:rsidP="00FB39A5">
            <w:pPr>
              <w:autoSpaceDE w:val="0"/>
              <w:autoSpaceDN w:val="0"/>
              <w:adjustRightInd w:val="0"/>
              <w:jc w:val="right"/>
              <w:rPr>
                <w:rFonts w:ascii="Arial" w:hAnsi="Arial" w:cs="Arial"/>
                <w:sz w:val="16"/>
                <w:szCs w:val="16"/>
                <w:lang w:val="en-GB"/>
              </w:rPr>
            </w:pPr>
          </w:p>
        </w:tc>
        <w:tc>
          <w:tcPr>
            <w:tcW w:w="859" w:type="dxa"/>
            <w:vAlign w:val="center"/>
          </w:tcPr>
          <w:p w14:paraId="2020ED4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2A3BF7E4"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Can Gio oysters</w:t>
            </w:r>
          </w:p>
        </w:tc>
        <w:tc>
          <w:tcPr>
            <w:tcW w:w="974" w:type="dxa"/>
            <w:vAlign w:val="center"/>
          </w:tcPr>
          <w:p w14:paraId="59A1AEA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7,990.00</w:t>
            </w:r>
          </w:p>
        </w:tc>
        <w:tc>
          <w:tcPr>
            <w:tcW w:w="779" w:type="dxa"/>
            <w:vAlign w:val="center"/>
          </w:tcPr>
          <w:p w14:paraId="2AB6522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5,000.00</w:t>
            </w:r>
          </w:p>
        </w:tc>
        <w:tc>
          <w:tcPr>
            <w:tcW w:w="889" w:type="dxa"/>
            <w:vAlign w:val="center"/>
          </w:tcPr>
          <w:p w14:paraId="2F7A63F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2,500.00</w:t>
            </w:r>
          </w:p>
        </w:tc>
        <w:tc>
          <w:tcPr>
            <w:tcW w:w="874" w:type="dxa"/>
            <w:vAlign w:val="center"/>
          </w:tcPr>
          <w:p w14:paraId="055973E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VND</w:t>
            </w:r>
          </w:p>
        </w:tc>
        <w:tc>
          <w:tcPr>
            <w:tcW w:w="1187" w:type="dxa"/>
            <w:vAlign w:val="center"/>
          </w:tcPr>
          <w:p w14:paraId="53C09D8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12,500,000.00</w:t>
            </w:r>
          </w:p>
        </w:tc>
        <w:tc>
          <w:tcPr>
            <w:tcW w:w="713" w:type="dxa"/>
            <w:vAlign w:val="center"/>
          </w:tcPr>
          <w:p w14:paraId="1F68A68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92.38</w:t>
            </w:r>
          </w:p>
        </w:tc>
        <w:tc>
          <w:tcPr>
            <w:tcW w:w="958" w:type="dxa"/>
            <w:vAlign w:val="center"/>
          </w:tcPr>
          <w:p w14:paraId="0CCA4CE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15,967.54</w:t>
            </w:r>
          </w:p>
        </w:tc>
        <w:tc>
          <w:tcPr>
            <w:tcW w:w="1449" w:type="dxa"/>
            <w:vAlign w:val="center"/>
          </w:tcPr>
          <w:p w14:paraId="47F455E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13,531,067.33</w:t>
            </w:r>
          </w:p>
        </w:tc>
        <w:tc>
          <w:tcPr>
            <w:tcW w:w="1171" w:type="dxa"/>
            <w:tcBorders>
              <w:top w:val="single" w:sz="2" w:space="0" w:color="000000"/>
              <w:bottom w:val="single" w:sz="2" w:space="0" w:color="000000"/>
            </w:tcBorders>
            <w:shd w:val="clear" w:color="FFFF00" w:fill="D9D9D9"/>
            <w:vAlign w:val="center"/>
          </w:tcPr>
          <w:p w14:paraId="038FD2D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847.41</w:t>
            </w:r>
          </w:p>
        </w:tc>
        <w:tc>
          <w:tcPr>
            <w:tcW w:w="1480" w:type="dxa"/>
            <w:vAlign w:val="center"/>
          </w:tcPr>
          <w:p w14:paraId="3F99234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6,770,815.01</w:t>
            </w:r>
          </w:p>
        </w:tc>
      </w:tr>
      <w:tr w:rsidR="00FB39A5" w:rsidRPr="00FB39A5" w14:paraId="016372C4" w14:textId="77777777" w:rsidTr="00FB39A5">
        <w:tblPrEx>
          <w:tblCellMar>
            <w:top w:w="0" w:type="dxa"/>
            <w:bottom w:w="0" w:type="dxa"/>
          </w:tblCellMar>
        </w:tblPrEx>
        <w:trPr>
          <w:trHeight w:val="90"/>
          <w:jc w:val="center"/>
        </w:trPr>
        <w:tc>
          <w:tcPr>
            <w:tcW w:w="14030" w:type="dxa"/>
            <w:gridSpan w:val="13"/>
            <w:vAlign w:val="center"/>
          </w:tcPr>
          <w:p w14:paraId="6788AD0B" w14:textId="77777777" w:rsidR="00FB39A5" w:rsidRPr="00FB39A5" w:rsidRDefault="00FB39A5" w:rsidP="00FB39A5">
            <w:pPr>
              <w:tabs>
                <w:tab w:val="num" w:leader="none" w:pos="1440"/>
              </w:tabs>
              <w:jc w:val="center"/>
              <w:outlineLvl w:val="1"/>
              <w:rPr>
                <w:rFonts w:ascii="Arial" w:hAnsi="Arial" w:cs="Arial"/>
                <w:b/>
                <w:bCs/>
                <w:sz w:val="18"/>
                <w:szCs w:val="18"/>
                <w:lang w:val="en-GB"/>
              </w:rPr>
            </w:pPr>
            <w:bookmarkStart w:id="44" w:name="_Toc163031991"/>
            <w:bookmarkStart w:id="45" w:name="_Toc163032118"/>
            <w:smartTag w:uri="urn:schemas-microsoft-com:office:smarttags" w:element="place">
              <w:smartTag w:uri="urn:schemas-microsoft-com:office:smarttags" w:element="City">
                <w:r w:rsidRPr="00FB39A5">
                  <w:rPr>
                    <w:rFonts w:ascii="Arial" w:hAnsi="Arial" w:cs="Arial"/>
                    <w:b/>
                    <w:bCs/>
                    <w:sz w:val="18"/>
                    <w:szCs w:val="18"/>
                    <w:lang w:val="en-GB"/>
                  </w:rPr>
                  <w:t>Worms</w:t>
                </w:r>
              </w:smartTag>
            </w:smartTag>
            <w:r w:rsidRPr="00FB39A5">
              <w:rPr>
                <w:rFonts w:ascii="Arial" w:hAnsi="Arial" w:cs="Arial"/>
                <w:b/>
                <w:bCs/>
                <w:sz w:val="18"/>
                <w:szCs w:val="18"/>
                <w:lang w:val="en-GB"/>
              </w:rPr>
              <w:t xml:space="preserve"> Kg</w:t>
            </w:r>
            <w:bookmarkEnd w:id="44"/>
            <w:bookmarkEnd w:id="45"/>
          </w:p>
        </w:tc>
      </w:tr>
      <w:tr w:rsidR="00FB39A5" w:rsidRPr="00FB39A5" w14:paraId="7AC1B396" w14:textId="77777777" w:rsidTr="00FB39A5">
        <w:tblPrEx>
          <w:tblCellMar>
            <w:top w:w="0" w:type="dxa"/>
            <w:bottom w:w="0" w:type="dxa"/>
          </w:tblCellMar>
        </w:tblPrEx>
        <w:trPr>
          <w:trHeight w:val="191"/>
          <w:jc w:val="center"/>
        </w:trPr>
        <w:tc>
          <w:tcPr>
            <w:tcW w:w="860" w:type="dxa"/>
            <w:vAlign w:val="center"/>
          </w:tcPr>
          <w:p w14:paraId="5F366EAA"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China</w:t>
                </w:r>
              </w:smartTag>
            </w:smartTag>
          </w:p>
        </w:tc>
        <w:tc>
          <w:tcPr>
            <w:tcW w:w="859" w:type="dxa"/>
            <w:vAlign w:val="center"/>
          </w:tcPr>
          <w:p w14:paraId="4640691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1837" w:type="dxa"/>
            <w:vAlign w:val="center"/>
          </w:tcPr>
          <w:p w14:paraId="300B9967"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Fangchenggang</w:t>
            </w:r>
          </w:p>
        </w:tc>
        <w:tc>
          <w:tcPr>
            <w:tcW w:w="974" w:type="dxa"/>
            <w:vAlign w:val="center"/>
          </w:tcPr>
          <w:p w14:paraId="4808D14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1,414.50</w:t>
            </w:r>
          </w:p>
        </w:tc>
        <w:tc>
          <w:tcPr>
            <w:tcW w:w="779" w:type="dxa"/>
            <w:vAlign w:val="center"/>
          </w:tcPr>
          <w:p w14:paraId="1552120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1,190.00</w:t>
            </w:r>
          </w:p>
        </w:tc>
        <w:tc>
          <w:tcPr>
            <w:tcW w:w="889" w:type="dxa"/>
            <w:vAlign w:val="center"/>
          </w:tcPr>
          <w:p w14:paraId="088A399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16.62</w:t>
            </w:r>
          </w:p>
        </w:tc>
        <w:tc>
          <w:tcPr>
            <w:tcW w:w="874" w:type="dxa"/>
            <w:vAlign w:val="center"/>
          </w:tcPr>
          <w:p w14:paraId="39D0EFD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CNY</w:t>
            </w:r>
          </w:p>
        </w:tc>
        <w:tc>
          <w:tcPr>
            <w:tcW w:w="1187" w:type="dxa"/>
            <w:vAlign w:val="center"/>
          </w:tcPr>
          <w:p w14:paraId="1F8CC5B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19,781.00</w:t>
            </w:r>
          </w:p>
        </w:tc>
        <w:tc>
          <w:tcPr>
            <w:tcW w:w="713" w:type="dxa"/>
            <w:vAlign w:val="center"/>
          </w:tcPr>
          <w:p w14:paraId="768AF94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93.38</w:t>
            </w:r>
          </w:p>
        </w:tc>
        <w:tc>
          <w:tcPr>
            <w:tcW w:w="958" w:type="dxa"/>
            <w:vAlign w:val="center"/>
          </w:tcPr>
          <w:p w14:paraId="4C8A81F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8.20</w:t>
            </w:r>
          </w:p>
        </w:tc>
        <w:tc>
          <w:tcPr>
            <w:tcW w:w="1449" w:type="dxa"/>
            <w:vAlign w:val="center"/>
          </w:tcPr>
          <w:p w14:paraId="78A8EB1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21,183.34</w:t>
            </w:r>
          </w:p>
        </w:tc>
        <w:tc>
          <w:tcPr>
            <w:tcW w:w="1171" w:type="dxa"/>
            <w:vAlign w:val="center"/>
          </w:tcPr>
          <w:p w14:paraId="0350F0E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2,582.30</w:t>
            </w:r>
          </w:p>
        </w:tc>
        <w:tc>
          <w:tcPr>
            <w:tcW w:w="1480" w:type="dxa"/>
            <w:vAlign w:val="center"/>
          </w:tcPr>
          <w:p w14:paraId="5336DCC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3,652,660.10</w:t>
            </w:r>
          </w:p>
        </w:tc>
      </w:tr>
      <w:tr w:rsidR="00FB39A5" w:rsidRPr="00FB39A5" w14:paraId="4F39EDA3" w14:textId="77777777" w:rsidTr="00FB39A5">
        <w:tblPrEx>
          <w:tblCellMar>
            <w:top w:w="0" w:type="dxa"/>
            <w:bottom w:w="0" w:type="dxa"/>
          </w:tblCellMar>
        </w:tblPrEx>
        <w:trPr>
          <w:trHeight w:val="191"/>
          <w:jc w:val="center"/>
        </w:trPr>
        <w:tc>
          <w:tcPr>
            <w:tcW w:w="860" w:type="dxa"/>
            <w:vAlign w:val="center"/>
          </w:tcPr>
          <w:p w14:paraId="74136FC9"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Philippines</w:t>
                </w:r>
              </w:smartTag>
            </w:smartTag>
          </w:p>
        </w:tc>
        <w:tc>
          <w:tcPr>
            <w:tcW w:w="859" w:type="dxa"/>
            <w:vAlign w:val="center"/>
          </w:tcPr>
          <w:p w14:paraId="28B45A3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1837" w:type="dxa"/>
            <w:vAlign w:val="center"/>
          </w:tcPr>
          <w:p w14:paraId="29F6EFD7"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smartTag w:uri="urn:schemas-microsoft-com:office:smarttags" w:element="country-region">
                <w:r w:rsidRPr="00FB39A5">
                  <w:rPr>
                    <w:rFonts w:ascii="Arial" w:hAnsi="Arial" w:cs="Arial"/>
                    <w:sz w:val="12"/>
                    <w:szCs w:val="12"/>
                    <w:lang w:val="en-GB"/>
                  </w:rPr>
                  <w:t>Philippines</w:t>
                </w:r>
              </w:smartTag>
            </w:smartTag>
          </w:p>
        </w:tc>
        <w:tc>
          <w:tcPr>
            <w:tcW w:w="974" w:type="dxa"/>
            <w:vAlign w:val="center"/>
          </w:tcPr>
          <w:p w14:paraId="015BD37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1,298.50</w:t>
            </w:r>
          </w:p>
        </w:tc>
        <w:tc>
          <w:tcPr>
            <w:tcW w:w="779" w:type="dxa"/>
            <w:vAlign w:val="center"/>
          </w:tcPr>
          <w:p w14:paraId="3ACD27B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1.13</w:t>
            </w:r>
          </w:p>
        </w:tc>
        <w:tc>
          <w:tcPr>
            <w:tcW w:w="889" w:type="dxa"/>
            <w:vAlign w:val="center"/>
          </w:tcPr>
          <w:p w14:paraId="6B79985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20.00</w:t>
            </w:r>
          </w:p>
        </w:tc>
        <w:tc>
          <w:tcPr>
            <w:tcW w:w="874" w:type="dxa"/>
            <w:vAlign w:val="center"/>
          </w:tcPr>
          <w:p w14:paraId="32D6D08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PHP</w:t>
            </w:r>
          </w:p>
        </w:tc>
        <w:tc>
          <w:tcPr>
            <w:tcW w:w="1187" w:type="dxa"/>
            <w:vAlign w:val="center"/>
          </w:tcPr>
          <w:p w14:paraId="760B5D8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22.60</w:t>
            </w:r>
          </w:p>
        </w:tc>
        <w:tc>
          <w:tcPr>
            <w:tcW w:w="713" w:type="dxa"/>
            <w:vAlign w:val="center"/>
          </w:tcPr>
          <w:p w14:paraId="2D0F051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92.91</w:t>
            </w:r>
          </w:p>
        </w:tc>
        <w:tc>
          <w:tcPr>
            <w:tcW w:w="958" w:type="dxa"/>
            <w:vAlign w:val="center"/>
          </w:tcPr>
          <w:p w14:paraId="34440F1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55.14</w:t>
            </w:r>
          </w:p>
        </w:tc>
        <w:tc>
          <w:tcPr>
            <w:tcW w:w="1449" w:type="dxa"/>
            <w:vAlign w:val="center"/>
          </w:tcPr>
          <w:p w14:paraId="3202B76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24.32</w:t>
            </w:r>
          </w:p>
        </w:tc>
        <w:tc>
          <w:tcPr>
            <w:tcW w:w="1171" w:type="dxa"/>
            <w:vAlign w:val="center"/>
          </w:tcPr>
          <w:p w14:paraId="2D419A3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0.44</w:t>
            </w:r>
          </w:p>
        </w:tc>
        <w:tc>
          <w:tcPr>
            <w:tcW w:w="1480" w:type="dxa"/>
            <w:vAlign w:val="center"/>
          </w:tcPr>
          <w:p w14:paraId="48C52C1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572.82</w:t>
            </w:r>
          </w:p>
        </w:tc>
      </w:tr>
    </w:tbl>
    <w:p w14:paraId="7C5E5A48" w14:textId="77777777" w:rsidR="00FB39A5" w:rsidRPr="00FB39A5" w:rsidRDefault="00FB39A5" w:rsidP="00FB39A5">
      <w:pPr>
        <w:jc w:val="both"/>
        <w:rPr>
          <w:rFonts w:ascii="Arial" w:hAnsi="Arial" w:cs="Arial"/>
          <w:sz w:val="20"/>
          <w:lang w:val="en-GB"/>
        </w:rPr>
      </w:pPr>
    </w:p>
    <w:p w14:paraId="4ABA74B7" w14:textId="77777777" w:rsidR="00FB39A5" w:rsidRPr="00687722" w:rsidRDefault="00FB39A5" w:rsidP="00FB39A5">
      <w:pPr>
        <w:tabs>
          <w:tab w:val="left" w:pos="1400"/>
        </w:tabs>
        <w:spacing w:after="120"/>
        <w:ind w:left="1397" w:hanging="1497"/>
        <w:jc w:val="both"/>
        <w:rPr>
          <w:sz w:val="21"/>
          <w:szCs w:val="21"/>
          <w:lang w:val="en-GB"/>
        </w:rPr>
      </w:pPr>
      <w:r w:rsidRPr="00FB39A5">
        <w:rPr>
          <w:rFonts w:ascii="Arial" w:hAnsi="Arial" w:cs="Arial"/>
          <w:sz w:val="20"/>
          <w:lang w:val="en-GB"/>
        </w:rPr>
        <w:br w:type="page"/>
      </w:r>
      <w:r w:rsidRPr="00687722">
        <w:rPr>
          <w:b/>
          <w:sz w:val="21"/>
          <w:szCs w:val="21"/>
          <w:lang w:val="en-GB"/>
        </w:rPr>
        <w:t>Table 3</w:t>
      </w:r>
      <w:r w:rsidRPr="00687722">
        <w:rPr>
          <w:sz w:val="21"/>
          <w:szCs w:val="21"/>
          <w:lang w:val="en-GB"/>
        </w:rPr>
        <w:tab/>
        <w:t>Values of services from mangrove ecosystems at various locations bordering the South China Sea. Values in the shaded cells were not used in the subsequent analysis to determine national and regional weighted mean values for each service.</w:t>
      </w:r>
    </w:p>
    <w:tbl>
      <w:tblPr>
        <w:tblW w:w="1422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911"/>
        <w:gridCol w:w="701"/>
        <w:gridCol w:w="2118"/>
        <w:gridCol w:w="1000"/>
        <w:gridCol w:w="800"/>
        <w:gridCol w:w="1200"/>
        <w:gridCol w:w="600"/>
        <w:gridCol w:w="955"/>
        <w:gridCol w:w="1387"/>
        <w:gridCol w:w="1553"/>
        <w:gridCol w:w="1600"/>
        <w:gridCol w:w="1400"/>
      </w:tblGrid>
      <w:tr w:rsidR="00FB39A5" w:rsidRPr="00FB39A5" w14:paraId="090D4EA9" w14:textId="77777777" w:rsidTr="00FB39A5">
        <w:tblPrEx>
          <w:tblCellMar>
            <w:top w:w="0" w:type="dxa"/>
            <w:bottom w:w="0" w:type="dxa"/>
          </w:tblCellMar>
        </w:tblPrEx>
        <w:trPr>
          <w:trHeight w:val="468"/>
          <w:jc w:val="center"/>
        </w:trPr>
        <w:tc>
          <w:tcPr>
            <w:tcW w:w="911" w:type="dxa"/>
            <w:tcBorders>
              <w:top w:val="single" w:sz="12" w:space="0" w:color="auto"/>
              <w:bottom w:val="single" w:sz="12" w:space="0" w:color="auto"/>
            </w:tcBorders>
            <w:vAlign w:val="center"/>
          </w:tcPr>
          <w:p w14:paraId="6E1C745B" w14:textId="77777777" w:rsidR="00FB39A5" w:rsidRPr="00FB39A5" w:rsidRDefault="00FB39A5" w:rsidP="00FB39A5">
            <w:pPr>
              <w:autoSpaceDE w:val="0"/>
              <w:autoSpaceDN w:val="0"/>
              <w:adjustRightInd w:val="0"/>
              <w:jc w:val="both"/>
              <w:rPr>
                <w:rFonts w:ascii="Arial" w:hAnsi="Arial" w:cs="Arial"/>
                <w:b/>
                <w:sz w:val="16"/>
                <w:szCs w:val="16"/>
                <w:lang w:val="en-GB"/>
              </w:rPr>
            </w:pPr>
            <w:r w:rsidRPr="00FB39A5">
              <w:rPr>
                <w:rFonts w:ascii="Arial" w:hAnsi="Arial" w:cs="Arial"/>
                <w:b/>
                <w:sz w:val="16"/>
                <w:szCs w:val="16"/>
                <w:lang w:val="en-GB"/>
              </w:rPr>
              <w:t>Country</w:t>
            </w:r>
          </w:p>
        </w:tc>
        <w:tc>
          <w:tcPr>
            <w:tcW w:w="701" w:type="dxa"/>
            <w:tcBorders>
              <w:top w:val="single" w:sz="12" w:space="0" w:color="auto"/>
              <w:bottom w:val="single" w:sz="12" w:space="0" w:color="auto"/>
            </w:tcBorders>
            <w:vAlign w:val="center"/>
          </w:tcPr>
          <w:p w14:paraId="54A8CC21" w14:textId="77777777" w:rsidR="00FB39A5" w:rsidRPr="00FB39A5" w:rsidRDefault="00FB39A5" w:rsidP="00FB39A5">
            <w:pPr>
              <w:autoSpaceDE w:val="0"/>
              <w:autoSpaceDN w:val="0"/>
              <w:adjustRightInd w:val="0"/>
              <w:jc w:val="center"/>
              <w:rPr>
                <w:rFonts w:ascii="Arial" w:hAnsi="Arial" w:cs="Arial"/>
                <w:b/>
                <w:sz w:val="16"/>
                <w:szCs w:val="16"/>
                <w:lang w:val="en-GB"/>
              </w:rPr>
            </w:pPr>
            <w:r w:rsidRPr="00FB39A5">
              <w:rPr>
                <w:rFonts w:ascii="Arial" w:hAnsi="Arial" w:cs="Arial"/>
                <w:b/>
                <w:sz w:val="16"/>
                <w:szCs w:val="16"/>
                <w:lang w:val="en-GB"/>
              </w:rPr>
              <w:t>Year</w:t>
            </w:r>
          </w:p>
        </w:tc>
        <w:tc>
          <w:tcPr>
            <w:tcW w:w="2118" w:type="dxa"/>
            <w:tcBorders>
              <w:top w:val="single" w:sz="12" w:space="0" w:color="auto"/>
              <w:bottom w:val="single" w:sz="12" w:space="0" w:color="auto"/>
            </w:tcBorders>
            <w:vAlign w:val="center"/>
          </w:tcPr>
          <w:p w14:paraId="6AABFE9A"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Location</w:t>
            </w:r>
          </w:p>
        </w:tc>
        <w:tc>
          <w:tcPr>
            <w:tcW w:w="1000" w:type="dxa"/>
            <w:tcBorders>
              <w:top w:val="single" w:sz="12" w:space="0" w:color="auto"/>
              <w:bottom w:val="single" w:sz="12" w:space="0" w:color="auto"/>
            </w:tcBorders>
            <w:vAlign w:val="center"/>
          </w:tcPr>
          <w:p w14:paraId="63535A5F"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Total Area (Ha)</w:t>
            </w:r>
          </w:p>
        </w:tc>
        <w:tc>
          <w:tcPr>
            <w:tcW w:w="800" w:type="dxa"/>
            <w:tcBorders>
              <w:top w:val="single" w:sz="12" w:space="0" w:color="auto"/>
              <w:bottom w:val="single" w:sz="12" w:space="0" w:color="auto"/>
            </w:tcBorders>
            <w:vAlign w:val="center"/>
          </w:tcPr>
          <w:p w14:paraId="0FBED518" w14:textId="77777777" w:rsidR="00FB39A5" w:rsidRPr="00FB39A5" w:rsidRDefault="00FB39A5" w:rsidP="00FB39A5">
            <w:pPr>
              <w:autoSpaceDE w:val="0"/>
              <w:autoSpaceDN w:val="0"/>
              <w:adjustRightInd w:val="0"/>
              <w:jc w:val="center"/>
              <w:rPr>
                <w:rFonts w:ascii="Arial" w:hAnsi="Arial" w:cs="Arial"/>
                <w:b/>
                <w:sz w:val="16"/>
                <w:szCs w:val="16"/>
                <w:lang w:val="en-GB"/>
              </w:rPr>
            </w:pPr>
            <w:r w:rsidRPr="00FB39A5">
              <w:rPr>
                <w:rFonts w:ascii="Arial" w:hAnsi="Arial" w:cs="Arial"/>
                <w:b/>
                <w:sz w:val="16"/>
                <w:szCs w:val="16"/>
                <w:lang w:val="en-GB"/>
              </w:rPr>
              <w:t>Currency</w:t>
            </w:r>
          </w:p>
        </w:tc>
        <w:tc>
          <w:tcPr>
            <w:tcW w:w="1200" w:type="dxa"/>
            <w:tcBorders>
              <w:top w:val="single" w:sz="12" w:space="0" w:color="auto"/>
              <w:bottom w:val="single" w:sz="12" w:space="0" w:color="auto"/>
            </w:tcBorders>
            <w:vAlign w:val="center"/>
          </w:tcPr>
          <w:p w14:paraId="2701A062"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Value per Ha Local currency</w:t>
            </w:r>
          </w:p>
        </w:tc>
        <w:tc>
          <w:tcPr>
            <w:tcW w:w="600" w:type="dxa"/>
            <w:tcBorders>
              <w:top w:val="single" w:sz="12" w:space="0" w:color="auto"/>
              <w:bottom w:val="single" w:sz="12" w:space="0" w:color="auto"/>
            </w:tcBorders>
            <w:vAlign w:val="center"/>
          </w:tcPr>
          <w:p w14:paraId="04729EF4"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CPI (base 2005)</w:t>
            </w:r>
          </w:p>
        </w:tc>
        <w:tc>
          <w:tcPr>
            <w:tcW w:w="955" w:type="dxa"/>
            <w:tcBorders>
              <w:top w:val="single" w:sz="12" w:space="0" w:color="auto"/>
              <w:bottom w:val="single" w:sz="12" w:space="0" w:color="auto"/>
            </w:tcBorders>
            <w:vAlign w:val="center"/>
          </w:tcPr>
          <w:p w14:paraId="3C48B7D4"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2005 Exchange Rate</w:t>
            </w:r>
          </w:p>
        </w:tc>
        <w:tc>
          <w:tcPr>
            <w:tcW w:w="1387" w:type="dxa"/>
            <w:tcBorders>
              <w:top w:val="single" w:sz="12" w:space="0" w:color="auto"/>
              <w:bottom w:val="single" w:sz="12" w:space="0" w:color="auto"/>
            </w:tcBorders>
            <w:vAlign w:val="center"/>
          </w:tcPr>
          <w:p w14:paraId="4CC11AE7"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Valuation Method</w:t>
            </w:r>
          </w:p>
        </w:tc>
        <w:tc>
          <w:tcPr>
            <w:tcW w:w="1553" w:type="dxa"/>
            <w:tcBorders>
              <w:top w:val="single" w:sz="12" w:space="0" w:color="auto"/>
              <w:bottom w:val="single" w:sz="12" w:space="0" w:color="auto"/>
            </w:tcBorders>
            <w:vAlign w:val="center"/>
          </w:tcPr>
          <w:p w14:paraId="2731F66C"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Standard National Value, 2005, per hectare in local Currency</w:t>
            </w:r>
          </w:p>
        </w:tc>
        <w:tc>
          <w:tcPr>
            <w:tcW w:w="1600" w:type="dxa"/>
            <w:tcBorders>
              <w:top w:val="single" w:sz="12" w:space="0" w:color="auto"/>
              <w:bottom w:val="single" w:sz="12" w:space="0" w:color="auto"/>
            </w:tcBorders>
            <w:shd w:val="clear" w:color="FFFF00" w:fill="auto"/>
            <w:vAlign w:val="center"/>
          </w:tcPr>
          <w:p w14:paraId="42C7534B"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 xml:space="preserve">Regionally comparable Value per hectare </w:t>
            </w:r>
            <w:smartTag w:uri="urn:schemas-microsoft-com:office:smarttags" w:element="place">
              <w:smartTag w:uri="urn:schemas-microsoft-com:office:smarttags" w:element="country-region">
                <w:r w:rsidRPr="00FB39A5">
                  <w:rPr>
                    <w:rFonts w:ascii="Arial" w:hAnsi="Arial" w:cs="Arial"/>
                    <w:b/>
                    <w:bCs/>
                    <w:sz w:val="16"/>
                    <w:szCs w:val="16"/>
                    <w:lang w:val="en-GB"/>
                  </w:rPr>
                  <w:t>US</w:t>
                </w:r>
              </w:smartTag>
            </w:smartTag>
            <w:r w:rsidRPr="00FB39A5">
              <w:rPr>
                <w:rFonts w:ascii="Arial" w:hAnsi="Arial" w:cs="Arial"/>
                <w:b/>
                <w:bCs/>
                <w:sz w:val="16"/>
                <w:szCs w:val="16"/>
                <w:lang w:val="en-GB"/>
              </w:rPr>
              <w:t>$</w:t>
            </w:r>
          </w:p>
        </w:tc>
        <w:tc>
          <w:tcPr>
            <w:tcW w:w="1400" w:type="dxa"/>
            <w:tcBorders>
              <w:top w:val="single" w:sz="12" w:space="0" w:color="auto"/>
              <w:bottom w:val="single" w:sz="12" w:space="0" w:color="auto"/>
            </w:tcBorders>
            <w:vAlign w:val="center"/>
          </w:tcPr>
          <w:p w14:paraId="73D337B7"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Total Value by Locality</w:t>
            </w:r>
          </w:p>
        </w:tc>
      </w:tr>
      <w:tr w:rsidR="00FB39A5" w:rsidRPr="00FB39A5" w14:paraId="3D9CE0AA" w14:textId="77777777" w:rsidTr="00FB39A5">
        <w:tblPrEx>
          <w:tblCellMar>
            <w:top w:w="0" w:type="dxa"/>
            <w:bottom w:w="0" w:type="dxa"/>
          </w:tblCellMar>
        </w:tblPrEx>
        <w:trPr>
          <w:trHeight w:val="70"/>
          <w:jc w:val="center"/>
        </w:trPr>
        <w:tc>
          <w:tcPr>
            <w:tcW w:w="14225" w:type="dxa"/>
            <w:gridSpan w:val="12"/>
            <w:tcBorders>
              <w:top w:val="single" w:sz="12" w:space="0" w:color="auto"/>
            </w:tcBorders>
            <w:vAlign w:val="center"/>
          </w:tcPr>
          <w:p w14:paraId="5E8F6184" w14:textId="77777777" w:rsidR="00FB39A5" w:rsidRPr="00FB39A5" w:rsidRDefault="00FB39A5" w:rsidP="00FB39A5">
            <w:pPr>
              <w:autoSpaceDE w:val="0"/>
              <w:autoSpaceDN w:val="0"/>
              <w:adjustRightInd w:val="0"/>
              <w:jc w:val="center"/>
              <w:rPr>
                <w:rFonts w:ascii="Arial" w:hAnsi="Arial" w:cs="Arial"/>
                <w:b/>
                <w:sz w:val="18"/>
                <w:szCs w:val="18"/>
                <w:lang w:val="en-GB"/>
              </w:rPr>
            </w:pPr>
            <w:r w:rsidRPr="00FB39A5">
              <w:rPr>
                <w:rFonts w:ascii="Arial" w:hAnsi="Arial" w:cs="Arial"/>
                <w:b/>
                <w:sz w:val="18"/>
                <w:szCs w:val="18"/>
                <w:lang w:val="en-GB"/>
              </w:rPr>
              <w:t>Ecotourism</w:t>
            </w:r>
          </w:p>
        </w:tc>
      </w:tr>
      <w:tr w:rsidR="00FB39A5" w:rsidRPr="00FB39A5" w14:paraId="1B482FD3" w14:textId="77777777" w:rsidTr="00FB39A5">
        <w:tblPrEx>
          <w:tblCellMar>
            <w:top w:w="0" w:type="dxa"/>
            <w:bottom w:w="0" w:type="dxa"/>
          </w:tblCellMar>
        </w:tblPrEx>
        <w:trPr>
          <w:trHeight w:val="80"/>
          <w:jc w:val="center"/>
        </w:trPr>
        <w:tc>
          <w:tcPr>
            <w:tcW w:w="911" w:type="dxa"/>
            <w:vAlign w:val="center"/>
          </w:tcPr>
          <w:p w14:paraId="4663C02F"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Indonesia</w:t>
                </w:r>
              </w:smartTag>
            </w:smartTag>
          </w:p>
        </w:tc>
        <w:tc>
          <w:tcPr>
            <w:tcW w:w="701" w:type="dxa"/>
            <w:vAlign w:val="center"/>
          </w:tcPr>
          <w:p w14:paraId="7BD0B08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2118" w:type="dxa"/>
            <w:vAlign w:val="center"/>
          </w:tcPr>
          <w:p w14:paraId="101102A3"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Youtefa</w:t>
                </w:r>
              </w:smartTag>
              <w:r w:rsidRPr="00FB39A5">
                <w:rPr>
                  <w:rFonts w:ascii="Arial" w:hAnsi="Arial" w:cs="Arial"/>
                  <w:sz w:val="12"/>
                  <w:szCs w:val="12"/>
                  <w:lang w:val="en-GB"/>
                </w:rPr>
                <w:t xml:space="preserve"> </w:t>
              </w:r>
              <w:smartTag w:uri="urn:schemas-microsoft-com:office:smarttags" w:element="PlaceType">
                <w:r w:rsidRPr="00FB39A5">
                  <w:rPr>
                    <w:rFonts w:ascii="Arial" w:hAnsi="Arial" w:cs="Arial"/>
                    <w:sz w:val="12"/>
                    <w:szCs w:val="12"/>
                    <w:lang w:val="en-GB"/>
                  </w:rPr>
                  <w:t>Bay</w:t>
                </w:r>
              </w:smartTag>
            </w:smartTag>
            <w:r w:rsidRPr="00FB39A5">
              <w:rPr>
                <w:rFonts w:ascii="Arial" w:hAnsi="Arial" w:cs="Arial"/>
                <w:sz w:val="12"/>
                <w:szCs w:val="12"/>
                <w:lang w:val="en-GB"/>
              </w:rPr>
              <w:t xml:space="preserve"> (</w:t>
            </w:r>
            <w:r w:rsidRPr="00FB39A5">
              <w:rPr>
                <w:rFonts w:ascii="Arial" w:hAnsi="Arial" w:cs="Arial"/>
                <w:b/>
                <w:bCs/>
                <w:sz w:val="12"/>
                <w:szCs w:val="12"/>
                <w:lang w:val="en-GB"/>
              </w:rPr>
              <w:t>not included</w:t>
            </w:r>
            <w:r w:rsidRPr="00FB39A5">
              <w:rPr>
                <w:rFonts w:ascii="Arial" w:hAnsi="Arial" w:cs="Arial"/>
                <w:sz w:val="12"/>
                <w:szCs w:val="12"/>
                <w:lang w:val="en-GB"/>
              </w:rPr>
              <w:t>)</w:t>
            </w:r>
          </w:p>
        </w:tc>
        <w:tc>
          <w:tcPr>
            <w:tcW w:w="1000" w:type="dxa"/>
            <w:vAlign w:val="center"/>
          </w:tcPr>
          <w:p w14:paraId="779EE7B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w:t>
            </w:r>
          </w:p>
        </w:tc>
        <w:tc>
          <w:tcPr>
            <w:tcW w:w="800" w:type="dxa"/>
            <w:vAlign w:val="center"/>
          </w:tcPr>
          <w:p w14:paraId="262CB37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1BEDE7D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203,400,011.25</w:t>
            </w:r>
          </w:p>
        </w:tc>
        <w:tc>
          <w:tcPr>
            <w:tcW w:w="600" w:type="dxa"/>
            <w:vAlign w:val="center"/>
          </w:tcPr>
          <w:p w14:paraId="10E34C5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5" w:type="dxa"/>
            <w:vAlign w:val="center"/>
          </w:tcPr>
          <w:p w14:paraId="7AF4726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0ED5E09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Travel cost</w:t>
            </w:r>
          </w:p>
        </w:tc>
        <w:tc>
          <w:tcPr>
            <w:tcW w:w="1553" w:type="dxa"/>
            <w:vAlign w:val="center"/>
          </w:tcPr>
          <w:p w14:paraId="3E15CE6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224,652,099.90</w:t>
            </w:r>
          </w:p>
        </w:tc>
        <w:tc>
          <w:tcPr>
            <w:tcW w:w="1600" w:type="dxa"/>
            <w:tcBorders>
              <w:top w:val="single" w:sz="4" w:space="0" w:color="auto"/>
              <w:bottom w:val="single" w:sz="4" w:space="0" w:color="auto"/>
            </w:tcBorders>
            <w:shd w:val="clear" w:color="FFFF00" w:fill="D9D9D9"/>
            <w:vAlign w:val="center"/>
          </w:tcPr>
          <w:p w14:paraId="659C458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23,108.43</w:t>
            </w:r>
          </w:p>
        </w:tc>
        <w:tc>
          <w:tcPr>
            <w:tcW w:w="1400" w:type="dxa"/>
            <w:vAlign w:val="center"/>
          </w:tcPr>
          <w:p w14:paraId="3724D69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92,433.72</w:t>
            </w:r>
          </w:p>
        </w:tc>
      </w:tr>
      <w:tr w:rsidR="00FB39A5" w:rsidRPr="00FB39A5" w14:paraId="11A7CB73" w14:textId="77777777" w:rsidTr="00FB39A5">
        <w:tblPrEx>
          <w:tblCellMar>
            <w:top w:w="0" w:type="dxa"/>
            <w:bottom w:w="0" w:type="dxa"/>
          </w:tblCellMar>
        </w:tblPrEx>
        <w:trPr>
          <w:trHeight w:val="160"/>
          <w:jc w:val="center"/>
        </w:trPr>
        <w:tc>
          <w:tcPr>
            <w:tcW w:w="911" w:type="dxa"/>
            <w:vAlign w:val="center"/>
          </w:tcPr>
          <w:p w14:paraId="3B5F7F81"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59AB472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2118" w:type="dxa"/>
            <w:vAlign w:val="center"/>
          </w:tcPr>
          <w:p w14:paraId="1AD4EA4D"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Segara Anakan </w:t>
            </w:r>
          </w:p>
        </w:tc>
        <w:tc>
          <w:tcPr>
            <w:tcW w:w="1000" w:type="dxa"/>
            <w:vAlign w:val="center"/>
          </w:tcPr>
          <w:p w14:paraId="752D449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12,089.99</w:t>
            </w:r>
          </w:p>
        </w:tc>
        <w:tc>
          <w:tcPr>
            <w:tcW w:w="800" w:type="dxa"/>
            <w:vAlign w:val="center"/>
          </w:tcPr>
          <w:p w14:paraId="64AE478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0CFACFB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18,508.40</w:t>
            </w:r>
          </w:p>
        </w:tc>
        <w:tc>
          <w:tcPr>
            <w:tcW w:w="600" w:type="dxa"/>
            <w:vAlign w:val="center"/>
          </w:tcPr>
          <w:p w14:paraId="0CFECEB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5" w:type="dxa"/>
            <w:vAlign w:val="center"/>
          </w:tcPr>
          <w:p w14:paraId="264CD6F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6CDE7F3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Travel cost</w:t>
            </w:r>
          </w:p>
        </w:tc>
        <w:tc>
          <w:tcPr>
            <w:tcW w:w="1553" w:type="dxa"/>
            <w:vAlign w:val="center"/>
          </w:tcPr>
          <w:p w14:paraId="2EC34C8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29,953.71</w:t>
            </w:r>
          </w:p>
        </w:tc>
        <w:tc>
          <w:tcPr>
            <w:tcW w:w="1600" w:type="dxa"/>
            <w:vAlign w:val="center"/>
          </w:tcPr>
          <w:p w14:paraId="155ABD8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3.08</w:t>
            </w:r>
          </w:p>
        </w:tc>
        <w:tc>
          <w:tcPr>
            <w:tcW w:w="1400" w:type="dxa"/>
            <w:vAlign w:val="center"/>
          </w:tcPr>
          <w:p w14:paraId="552543D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37,250.88</w:t>
            </w:r>
          </w:p>
        </w:tc>
      </w:tr>
      <w:tr w:rsidR="00FB39A5" w:rsidRPr="00FB39A5" w14:paraId="2B50EDEE" w14:textId="77777777" w:rsidTr="00FB39A5">
        <w:tblPrEx>
          <w:tblCellMar>
            <w:top w:w="0" w:type="dxa"/>
            <w:bottom w:w="0" w:type="dxa"/>
          </w:tblCellMar>
        </w:tblPrEx>
        <w:trPr>
          <w:trHeight w:val="80"/>
          <w:jc w:val="center"/>
        </w:trPr>
        <w:tc>
          <w:tcPr>
            <w:tcW w:w="911" w:type="dxa"/>
            <w:vAlign w:val="center"/>
          </w:tcPr>
          <w:p w14:paraId="6D34AD6D"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18EE26B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2118" w:type="dxa"/>
            <w:vAlign w:val="center"/>
          </w:tcPr>
          <w:p w14:paraId="034FCE31"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Gelumbang District, </w:t>
            </w:r>
            <w:smartTag w:uri="urn:schemas-microsoft-com:office:smarttags" w:element="place">
              <w:r w:rsidRPr="00FB39A5">
                <w:rPr>
                  <w:rFonts w:ascii="Arial" w:hAnsi="Arial" w:cs="Arial"/>
                  <w:sz w:val="12"/>
                  <w:szCs w:val="12"/>
                  <w:lang w:val="en-GB"/>
                </w:rPr>
                <w:t>South Sulawesi</w:t>
              </w:r>
            </w:smartTag>
          </w:p>
        </w:tc>
        <w:tc>
          <w:tcPr>
            <w:tcW w:w="1000" w:type="dxa"/>
            <w:vAlign w:val="center"/>
          </w:tcPr>
          <w:p w14:paraId="27A5D88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9,538.00</w:t>
            </w:r>
          </w:p>
        </w:tc>
        <w:tc>
          <w:tcPr>
            <w:tcW w:w="800" w:type="dxa"/>
            <w:vAlign w:val="center"/>
          </w:tcPr>
          <w:p w14:paraId="206FE19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7F2E8A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790,889.08</w:t>
            </w:r>
          </w:p>
        </w:tc>
        <w:tc>
          <w:tcPr>
            <w:tcW w:w="600" w:type="dxa"/>
            <w:vAlign w:val="center"/>
          </w:tcPr>
          <w:p w14:paraId="3780EA9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5" w:type="dxa"/>
            <w:vAlign w:val="center"/>
          </w:tcPr>
          <w:p w14:paraId="67B3591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666D01A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Travel cost</w:t>
            </w:r>
          </w:p>
        </w:tc>
        <w:tc>
          <w:tcPr>
            <w:tcW w:w="1553" w:type="dxa"/>
            <w:vAlign w:val="center"/>
          </w:tcPr>
          <w:p w14:paraId="7EE6002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1,279,962.91</w:t>
            </w:r>
          </w:p>
        </w:tc>
        <w:tc>
          <w:tcPr>
            <w:tcW w:w="1600" w:type="dxa"/>
            <w:vAlign w:val="center"/>
          </w:tcPr>
          <w:p w14:paraId="58A165E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131.66</w:t>
            </w:r>
          </w:p>
        </w:tc>
        <w:tc>
          <w:tcPr>
            <w:tcW w:w="1400" w:type="dxa"/>
            <w:vAlign w:val="center"/>
          </w:tcPr>
          <w:p w14:paraId="42CF71E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1,255,783.12</w:t>
            </w:r>
          </w:p>
        </w:tc>
      </w:tr>
      <w:tr w:rsidR="00FB39A5" w:rsidRPr="00FB39A5" w14:paraId="3EE85D4A" w14:textId="77777777" w:rsidTr="00FB39A5">
        <w:tblPrEx>
          <w:tblCellMar>
            <w:top w:w="0" w:type="dxa"/>
            <w:bottom w:w="0" w:type="dxa"/>
          </w:tblCellMar>
        </w:tblPrEx>
        <w:trPr>
          <w:trHeight w:val="70"/>
          <w:jc w:val="center"/>
        </w:trPr>
        <w:tc>
          <w:tcPr>
            <w:tcW w:w="14225" w:type="dxa"/>
            <w:gridSpan w:val="12"/>
            <w:vAlign w:val="center"/>
          </w:tcPr>
          <w:p w14:paraId="5AC47C7B" w14:textId="77777777" w:rsidR="00FB39A5" w:rsidRPr="00FB39A5" w:rsidRDefault="00FB39A5" w:rsidP="00FB39A5">
            <w:pPr>
              <w:autoSpaceDE w:val="0"/>
              <w:autoSpaceDN w:val="0"/>
              <w:adjustRightInd w:val="0"/>
              <w:jc w:val="center"/>
              <w:rPr>
                <w:rFonts w:ascii="Arial" w:hAnsi="Arial" w:cs="Arial"/>
                <w:sz w:val="18"/>
                <w:szCs w:val="18"/>
                <w:lang w:val="en-GB"/>
              </w:rPr>
            </w:pPr>
            <w:r w:rsidRPr="00FB39A5">
              <w:rPr>
                <w:rFonts w:ascii="Arial" w:hAnsi="Arial" w:cs="Arial"/>
                <w:b/>
                <w:bCs/>
                <w:sz w:val="18"/>
                <w:szCs w:val="18"/>
                <w:lang w:val="en-GB"/>
              </w:rPr>
              <w:t>Nursery ground</w:t>
            </w:r>
          </w:p>
        </w:tc>
      </w:tr>
      <w:tr w:rsidR="00FB39A5" w:rsidRPr="00FB39A5" w14:paraId="1CF8A55F" w14:textId="77777777" w:rsidTr="00FB39A5">
        <w:tblPrEx>
          <w:tblCellMar>
            <w:top w:w="0" w:type="dxa"/>
            <w:bottom w:w="0" w:type="dxa"/>
          </w:tblCellMar>
        </w:tblPrEx>
        <w:trPr>
          <w:trHeight w:val="179"/>
          <w:jc w:val="center"/>
        </w:trPr>
        <w:tc>
          <w:tcPr>
            <w:tcW w:w="911" w:type="dxa"/>
            <w:vAlign w:val="center"/>
          </w:tcPr>
          <w:p w14:paraId="734FBB38"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China</w:t>
                </w:r>
              </w:smartTag>
            </w:smartTag>
          </w:p>
        </w:tc>
        <w:tc>
          <w:tcPr>
            <w:tcW w:w="701" w:type="dxa"/>
            <w:vAlign w:val="center"/>
          </w:tcPr>
          <w:p w14:paraId="54CE3D4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2118" w:type="dxa"/>
            <w:vAlign w:val="center"/>
          </w:tcPr>
          <w:p w14:paraId="07123A18"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Fangchenggang, Guangxi</w:t>
            </w:r>
          </w:p>
        </w:tc>
        <w:tc>
          <w:tcPr>
            <w:tcW w:w="1000" w:type="dxa"/>
            <w:vAlign w:val="center"/>
          </w:tcPr>
          <w:p w14:paraId="614B680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1,414.50</w:t>
            </w:r>
          </w:p>
        </w:tc>
        <w:tc>
          <w:tcPr>
            <w:tcW w:w="800" w:type="dxa"/>
            <w:vAlign w:val="center"/>
          </w:tcPr>
          <w:p w14:paraId="24E204E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RMB</w:t>
            </w:r>
          </w:p>
        </w:tc>
        <w:tc>
          <w:tcPr>
            <w:tcW w:w="1200" w:type="dxa"/>
            <w:vAlign w:val="center"/>
          </w:tcPr>
          <w:p w14:paraId="0DE29BD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9,762.00</w:t>
            </w:r>
          </w:p>
        </w:tc>
        <w:tc>
          <w:tcPr>
            <w:tcW w:w="600" w:type="dxa"/>
            <w:vAlign w:val="center"/>
          </w:tcPr>
          <w:p w14:paraId="49802D2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93.38</w:t>
            </w:r>
          </w:p>
        </w:tc>
        <w:tc>
          <w:tcPr>
            <w:tcW w:w="955" w:type="dxa"/>
            <w:vAlign w:val="center"/>
          </w:tcPr>
          <w:p w14:paraId="555088D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8.20</w:t>
            </w:r>
          </w:p>
        </w:tc>
        <w:tc>
          <w:tcPr>
            <w:tcW w:w="1387" w:type="dxa"/>
            <w:vAlign w:val="center"/>
          </w:tcPr>
          <w:p w14:paraId="0D9F1E0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market price</w:t>
            </w:r>
          </w:p>
        </w:tc>
        <w:tc>
          <w:tcPr>
            <w:tcW w:w="1553" w:type="dxa"/>
            <w:vAlign w:val="center"/>
          </w:tcPr>
          <w:p w14:paraId="2C502F5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10,454.06</w:t>
            </w:r>
          </w:p>
        </w:tc>
        <w:tc>
          <w:tcPr>
            <w:tcW w:w="1600" w:type="dxa"/>
            <w:tcBorders>
              <w:bottom w:val="single" w:sz="4" w:space="0" w:color="auto"/>
            </w:tcBorders>
            <w:vAlign w:val="center"/>
          </w:tcPr>
          <w:p w14:paraId="1B35D27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1,274.37</w:t>
            </w:r>
          </w:p>
        </w:tc>
        <w:tc>
          <w:tcPr>
            <w:tcW w:w="1400" w:type="dxa"/>
            <w:vAlign w:val="center"/>
          </w:tcPr>
          <w:p w14:paraId="7AD6C96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1,802,601.88</w:t>
            </w:r>
          </w:p>
        </w:tc>
      </w:tr>
      <w:tr w:rsidR="00FB39A5" w:rsidRPr="00FB39A5" w14:paraId="692BC0F5" w14:textId="77777777" w:rsidTr="00FB39A5">
        <w:tblPrEx>
          <w:tblCellMar>
            <w:top w:w="0" w:type="dxa"/>
            <w:bottom w:w="0" w:type="dxa"/>
          </w:tblCellMar>
        </w:tblPrEx>
        <w:trPr>
          <w:trHeight w:val="84"/>
          <w:jc w:val="center"/>
        </w:trPr>
        <w:tc>
          <w:tcPr>
            <w:tcW w:w="911" w:type="dxa"/>
            <w:vAlign w:val="center"/>
          </w:tcPr>
          <w:p w14:paraId="09ECEF3A"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Indonesia</w:t>
                </w:r>
              </w:smartTag>
            </w:smartTag>
          </w:p>
        </w:tc>
        <w:tc>
          <w:tcPr>
            <w:tcW w:w="701" w:type="dxa"/>
            <w:vAlign w:val="center"/>
          </w:tcPr>
          <w:p w14:paraId="61A2430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2118" w:type="dxa"/>
            <w:vAlign w:val="center"/>
          </w:tcPr>
          <w:p w14:paraId="28F193BF"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r w:rsidRPr="00FB39A5">
                <w:rPr>
                  <w:rFonts w:ascii="Arial" w:hAnsi="Arial" w:cs="Arial"/>
                  <w:sz w:val="12"/>
                  <w:szCs w:val="12"/>
                  <w:lang w:val="en-GB"/>
                </w:rPr>
                <w:t>Makassar</w:t>
              </w:r>
            </w:smartTag>
          </w:p>
        </w:tc>
        <w:tc>
          <w:tcPr>
            <w:tcW w:w="1000" w:type="dxa"/>
            <w:vAlign w:val="center"/>
          </w:tcPr>
          <w:p w14:paraId="56BDCF1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27.00</w:t>
            </w:r>
          </w:p>
        </w:tc>
        <w:tc>
          <w:tcPr>
            <w:tcW w:w="800" w:type="dxa"/>
            <w:vAlign w:val="center"/>
          </w:tcPr>
          <w:p w14:paraId="4ABDA05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67BDB37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120,707.76</w:t>
            </w:r>
          </w:p>
        </w:tc>
        <w:tc>
          <w:tcPr>
            <w:tcW w:w="600" w:type="dxa"/>
            <w:vAlign w:val="center"/>
          </w:tcPr>
          <w:p w14:paraId="739A2E4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5" w:type="dxa"/>
            <w:vAlign w:val="center"/>
          </w:tcPr>
          <w:p w14:paraId="7CEF0C8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79C1494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CVM</w:t>
            </w:r>
          </w:p>
        </w:tc>
        <w:tc>
          <w:tcPr>
            <w:tcW w:w="1553" w:type="dxa"/>
            <w:vAlign w:val="center"/>
          </w:tcPr>
          <w:p w14:paraId="0724EA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120,707.76</w:t>
            </w:r>
          </w:p>
        </w:tc>
        <w:tc>
          <w:tcPr>
            <w:tcW w:w="1600" w:type="dxa"/>
            <w:tcBorders>
              <w:top w:val="single" w:sz="4" w:space="0" w:color="auto"/>
              <w:bottom w:val="single" w:sz="4" w:space="0" w:color="auto"/>
            </w:tcBorders>
            <w:shd w:val="clear" w:color="FFFF00" w:fill="D9D9D9"/>
            <w:vAlign w:val="center"/>
          </w:tcPr>
          <w:p w14:paraId="2E3F7C8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12.42</w:t>
            </w:r>
          </w:p>
        </w:tc>
        <w:tc>
          <w:tcPr>
            <w:tcW w:w="1400" w:type="dxa"/>
            <w:vAlign w:val="center"/>
          </w:tcPr>
          <w:p w14:paraId="5498135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335.24</w:t>
            </w:r>
          </w:p>
        </w:tc>
      </w:tr>
      <w:tr w:rsidR="00FB39A5" w:rsidRPr="00FB39A5" w14:paraId="6E26D511" w14:textId="77777777" w:rsidTr="00FB39A5">
        <w:tblPrEx>
          <w:tblCellMar>
            <w:top w:w="0" w:type="dxa"/>
            <w:bottom w:w="0" w:type="dxa"/>
          </w:tblCellMar>
        </w:tblPrEx>
        <w:trPr>
          <w:trHeight w:val="80"/>
          <w:jc w:val="center"/>
        </w:trPr>
        <w:tc>
          <w:tcPr>
            <w:tcW w:w="911" w:type="dxa"/>
            <w:vAlign w:val="center"/>
          </w:tcPr>
          <w:p w14:paraId="4E965F9A"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79DE86A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2118" w:type="dxa"/>
            <w:vAlign w:val="center"/>
          </w:tcPr>
          <w:p w14:paraId="68E0FAED"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Mamuju </w:t>
            </w:r>
          </w:p>
        </w:tc>
        <w:tc>
          <w:tcPr>
            <w:tcW w:w="1000" w:type="dxa"/>
            <w:vAlign w:val="center"/>
          </w:tcPr>
          <w:p w14:paraId="1A0747E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975.50</w:t>
            </w:r>
          </w:p>
        </w:tc>
        <w:tc>
          <w:tcPr>
            <w:tcW w:w="800" w:type="dxa"/>
            <w:vAlign w:val="center"/>
          </w:tcPr>
          <w:p w14:paraId="245EB27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5FF1BD5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3,922.57</w:t>
            </w:r>
          </w:p>
        </w:tc>
        <w:tc>
          <w:tcPr>
            <w:tcW w:w="600" w:type="dxa"/>
            <w:vAlign w:val="center"/>
          </w:tcPr>
          <w:p w14:paraId="57F8EC2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5" w:type="dxa"/>
            <w:vAlign w:val="center"/>
          </w:tcPr>
          <w:p w14:paraId="038937B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422B384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CVM</w:t>
            </w:r>
          </w:p>
        </w:tc>
        <w:tc>
          <w:tcPr>
            <w:tcW w:w="1553" w:type="dxa"/>
            <w:vAlign w:val="center"/>
          </w:tcPr>
          <w:p w14:paraId="0F19E81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3,922.57</w:t>
            </w:r>
          </w:p>
        </w:tc>
        <w:tc>
          <w:tcPr>
            <w:tcW w:w="1600" w:type="dxa"/>
            <w:tcBorders>
              <w:top w:val="single" w:sz="4" w:space="0" w:color="auto"/>
              <w:bottom w:val="single" w:sz="4" w:space="0" w:color="auto"/>
            </w:tcBorders>
            <w:shd w:val="clear" w:color="FFFF00" w:fill="D9D9D9"/>
            <w:vAlign w:val="center"/>
          </w:tcPr>
          <w:p w14:paraId="6FEA537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0.40</w:t>
            </w:r>
          </w:p>
        </w:tc>
        <w:tc>
          <w:tcPr>
            <w:tcW w:w="1400" w:type="dxa"/>
            <w:vAlign w:val="center"/>
          </w:tcPr>
          <w:p w14:paraId="0B91A9A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393.60</w:t>
            </w:r>
          </w:p>
        </w:tc>
      </w:tr>
      <w:tr w:rsidR="00FB39A5" w:rsidRPr="00FB39A5" w14:paraId="3D523B69" w14:textId="77777777" w:rsidTr="00FB39A5">
        <w:tblPrEx>
          <w:tblCellMar>
            <w:top w:w="0" w:type="dxa"/>
            <w:bottom w:w="0" w:type="dxa"/>
          </w:tblCellMar>
        </w:tblPrEx>
        <w:trPr>
          <w:trHeight w:val="80"/>
          <w:jc w:val="center"/>
        </w:trPr>
        <w:tc>
          <w:tcPr>
            <w:tcW w:w="911" w:type="dxa"/>
            <w:vAlign w:val="center"/>
          </w:tcPr>
          <w:p w14:paraId="62C8E61C"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5030A09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2118" w:type="dxa"/>
            <w:vAlign w:val="center"/>
          </w:tcPr>
          <w:p w14:paraId="748E2B61"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Donggala </w:t>
            </w:r>
          </w:p>
        </w:tc>
        <w:tc>
          <w:tcPr>
            <w:tcW w:w="1000" w:type="dxa"/>
            <w:vAlign w:val="center"/>
          </w:tcPr>
          <w:p w14:paraId="0D23169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18,300.00</w:t>
            </w:r>
          </w:p>
        </w:tc>
        <w:tc>
          <w:tcPr>
            <w:tcW w:w="800" w:type="dxa"/>
            <w:vAlign w:val="center"/>
          </w:tcPr>
          <w:p w14:paraId="1627279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7726287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196.38</w:t>
            </w:r>
          </w:p>
        </w:tc>
        <w:tc>
          <w:tcPr>
            <w:tcW w:w="600" w:type="dxa"/>
            <w:vAlign w:val="center"/>
          </w:tcPr>
          <w:p w14:paraId="0DEC277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5" w:type="dxa"/>
            <w:vAlign w:val="center"/>
          </w:tcPr>
          <w:p w14:paraId="37B1E0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3DFAE52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CVM</w:t>
            </w:r>
          </w:p>
        </w:tc>
        <w:tc>
          <w:tcPr>
            <w:tcW w:w="1553" w:type="dxa"/>
            <w:vAlign w:val="center"/>
          </w:tcPr>
          <w:p w14:paraId="5D34D35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196.38</w:t>
            </w:r>
          </w:p>
        </w:tc>
        <w:tc>
          <w:tcPr>
            <w:tcW w:w="1600" w:type="dxa"/>
            <w:tcBorders>
              <w:top w:val="single" w:sz="4" w:space="0" w:color="auto"/>
              <w:bottom w:val="single" w:sz="4" w:space="0" w:color="auto"/>
            </w:tcBorders>
            <w:shd w:val="clear" w:color="FFFF00" w:fill="D9D9D9"/>
            <w:vAlign w:val="center"/>
          </w:tcPr>
          <w:p w14:paraId="4E9BAA5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0.02</w:t>
            </w:r>
          </w:p>
        </w:tc>
        <w:tc>
          <w:tcPr>
            <w:tcW w:w="1400" w:type="dxa"/>
            <w:vAlign w:val="center"/>
          </w:tcPr>
          <w:p w14:paraId="44E26BE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369.66</w:t>
            </w:r>
          </w:p>
        </w:tc>
      </w:tr>
      <w:tr w:rsidR="00FB39A5" w:rsidRPr="00FB39A5" w14:paraId="5C558611" w14:textId="77777777" w:rsidTr="00FB39A5">
        <w:tblPrEx>
          <w:tblCellMar>
            <w:top w:w="0" w:type="dxa"/>
            <w:bottom w:w="0" w:type="dxa"/>
          </w:tblCellMar>
        </w:tblPrEx>
        <w:trPr>
          <w:trHeight w:val="70"/>
          <w:jc w:val="center"/>
        </w:trPr>
        <w:tc>
          <w:tcPr>
            <w:tcW w:w="911" w:type="dxa"/>
            <w:vAlign w:val="center"/>
          </w:tcPr>
          <w:p w14:paraId="16BDF15B"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0FE0EB1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2118" w:type="dxa"/>
            <w:vAlign w:val="center"/>
          </w:tcPr>
          <w:p w14:paraId="42A82361"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Pondok Bali </w:t>
            </w:r>
          </w:p>
        </w:tc>
        <w:tc>
          <w:tcPr>
            <w:tcW w:w="1000" w:type="dxa"/>
            <w:vAlign w:val="center"/>
          </w:tcPr>
          <w:p w14:paraId="47621F6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225.45</w:t>
            </w:r>
          </w:p>
        </w:tc>
        <w:tc>
          <w:tcPr>
            <w:tcW w:w="800" w:type="dxa"/>
            <w:vAlign w:val="center"/>
          </w:tcPr>
          <w:p w14:paraId="1A5B59C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3D8F28D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2,540.70</w:t>
            </w:r>
          </w:p>
        </w:tc>
        <w:tc>
          <w:tcPr>
            <w:tcW w:w="600" w:type="dxa"/>
            <w:vAlign w:val="center"/>
          </w:tcPr>
          <w:p w14:paraId="381D9C6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5" w:type="dxa"/>
            <w:vAlign w:val="center"/>
          </w:tcPr>
          <w:p w14:paraId="6305603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604957E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CVM</w:t>
            </w:r>
          </w:p>
        </w:tc>
        <w:tc>
          <w:tcPr>
            <w:tcW w:w="1553" w:type="dxa"/>
            <w:vAlign w:val="center"/>
          </w:tcPr>
          <w:p w14:paraId="78BD1F2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2,540.70</w:t>
            </w:r>
          </w:p>
        </w:tc>
        <w:tc>
          <w:tcPr>
            <w:tcW w:w="1600" w:type="dxa"/>
            <w:tcBorders>
              <w:top w:val="single" w:sz="4" w:space="0" w:color="auto"/>
              <w:bottom w:val="single" w:sz="4" w:space="0" w:color="auto"/>
            </w:tcBorders>
            <w:shd w:val="clear" w:color="FFFF00" w:fill="D9D9D9"/>
            <w:vAlign w:val="center"/>
          </w:tcPr>
          <w:p w14:paraId="0A61729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0.26</w:t>
            </w:r>
          </w:p>
        </w:tc>
        <w:tc>
          <w:tcPr>
            <w:tcW w:w="1400" w:type="dxa"/>
            <w:vAlign w:val="center"/>
          </w:tcPr>
          <w:p w14:paraId="5775C6B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58.92</w:t>
            </w:r>
          </w:p>
        </w:tc>
      </w:tr>
      <w:tr w:rsidR="00FB39A5" w:rsidRPr="00FB39A5" w14:paraId="4374C5C9" w14:textId="77777777" w:rsidTr="00FB39A5">
        <w:tblPrEx>
          <w:tblCellMar>
            <w:top w:w="0" w:type="dxa"/>
            <w:bottom w:w="0" w:type="dxa"/>
          </w:tblCellMar>
        </w:tblPrEx>
        <w:trPr>
          <w:trHeight w:val="70"/>
          <w:jc w:val="center"/>
        </w:trPr>
        <w:tc>
          <w:tcPr>
            <w:tcW w:w="911" w:type="dxa"/>
            <w:vAlign w:val="center"/>
          </w:tcPr>
          <w:p w14:paraId="5805125E"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559E71F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2118" w:type="dxa"/>
            <w:vAlign w:val="center"/>
          </w:tcPr>
          <w:p w14:paraId="3A871E6C"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r w:rsidRPr="00FB39A5">
                <w:rPr>
                  <w:rFonts w:ascii="Arial" w:hAnsi="Arial" w:cs="Arial"/>
                  <w:sz w:val="12"/>
                  <w:szCs w:val="12"/>
                  <w:lang w:val="en-GB"/>
                </w:rPr>
                <w:t>Bali</w:t>
              </w:r>
            </w:smartTag>
            <w:r w:rsidRPr="00FB39A5">
              <w:rPr>
                <w:rFonts w:ascii="Arial" w:hAnsi="Arial" w:cs="Arial"/>
                <w:sz w:val="12"/>
                <w:szCs w:val="12"/>
                <w:lang w:val="en-GB"/>
              </w:rPr>
              <w:t xml:space="preserve"> </w:t>
            </w:r>
          </w:p>
        </w:tc>
        <w:tc>
          <w:tcPr>
            <w:tcW w:w="1000" w:type="dxa"/>
            <w:vAlign w:val="center"/>
          </w:tcPr>
          <w:p w14:paraId="6CA6DB3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9.00</w:t>
            </w:r>
          </w:p>
        </w:tc>
        <w:tc>
          <w:tcPr>
            <w:tcW w:w="800" w:type="dxa"/>
            <w:vAlign w:val="center"/>
          </w:tcPr>
          <w:p w14:paraId="5834BFD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7AB0ACD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67,013.00</w:t>
            </w:r>
          </w:p>
        </w:tc>
        <w:tc>
          <w:tcPr>
            <w:tcW w:w="600" w:type="dxa"/>
            <w:vAlign w:val="center"/>
          </w:tcPr>
          <w:p w14:paraId="66E3991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5" w:type="dxa"/>
            <w:vAlign w:val="center"/>
          </w:tcPr>
          <w:p w14:paraId="44759B5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6ED44B9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CVM</w:t>
            </w:r>
          </w:p>
        </w:tc>
        <w:tc>
          <w:tcPr>
            <w:tcW w:w="1553" w:type="dxa"/>
            <w:vAlign w:val="center"/>
          </w:tcPr>
          <w:p w14:paraId="6164BF8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74,014.80</w:t>
            </w:r>
          </w:p>
        </w:tc>
        <w:tc>
          <w:tcPr>
            <w:tcW w:w="1600" w:type="dxa"/>
            <w:tcBorders>
              <w:top w:val="single" w:sz="4" w:space="0" w:color="auto"/>
              <w:bottom w:val="single" w:sz="4" w:space="0" w:color="auto"/>
            </w:tcBorders>
            <w:shd w:val="clear" w:color="FFFF00" w:fill="D9D9D9"/>
            <w:vAlign w:val="center"/>
          </w:tcPr>
          <w:p w14:paraId="7114E95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7.61</w:t>
            </w:r>
          </w:p>
        </w:tc>
        <w:tc>
          <w:tcPr>
            <w:tcW w:w="1400" w:type="dxa"/>
            <w:vAlign w:val="center"/>
          </w:tcPr>
          <w:p w14:paraId="4A47E6F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68.52</w:t>
            </w:r>
          </w:p>
        </w:tc>
      </w:tr>
      <w:tr w:rsidR="00FB39A5" w:rsidRPr="00FB39A5" w14:paraId="7D1047E5" w14:textId="77777777" w:rsidTr="00FB39A5">
        <w:tblPrEx>
          <w:tblCellMar>
            <w:top w:w="0" w:type="dxa"/>
            <w:bottom w:w="0" w:type="dxa"/>
          </w:tblCellMar>
        </w:tblPrEx>
        <w:trPr>
          <w:trHeight w:val="253"/>
          <w:jc w:val="center"/>
        </w:trPr>
        <w:tc>
          <w:tcPr>
            <w:tcW w:w="911" w:type="dxa"/>
            <w:vAlign w:val="center"/>
          </w:tcPr>
          <w:p w14:paraId="71D47600"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7EBFD0D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2118" w:type="dxa"/>
            <w:vAlign w:val="center"/>
          </w:tcPr>
          <w:p w14:paraId="1FBC99A9"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Karawang, W. Java Perhutani's property</w:t>
            </w:r>
          </w:p>
        </w:tc>
        <w:tc>
          <w:tcPr>
            <w:tcW w:w="1000" w:type="dxa"/>
            <w:vAlign w:val="center"/>
          </w:tcPr>
          <w:p w14:paraId="215FA71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1,292.40</w:t>
            </w:r>
          </w:p>
        </w:tc>
        <w:tc>
          <w:tcPr>
            <w:tcW w:w="800" w:type="dxa"/>
            <w:vAlign w:val="center"/>
          </w:tcPr>
          <w:p w14:paraId="6D9AB84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639C9D9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7,269,454.28</w:t>
            </w:r>
          </w:p>
        </w:tc>
        <w:tc>
          <w:tcPr>
            <w:tcW w:w="600" w:type="dxa"/>
            <w:vAlign w:val="center"/>
          </w:tcPr>
          <w:p w14:paraId="0A557D7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5" w:type="dxa"/>
            <w:vAlign w:val="center"/>
          </w:tcPr>
          <w:p w14:paraId="0CBA59F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641AA44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Shadow Project</w:t>
            </w:r>
          </w:p>
        </w:tc>
        <w:tc>
          <w:tcPr>
            <w:tcW w:w="1553" w:type="dxa"/>
            <w:vAlign w:val="center"/>
          </w:tcPr>
          <w:p w14:paraId="6D1E586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8,028,997.44</w:t>
            </w:r>
          </w:p>
        </w:tc>
        <w:tc>
          <w:tcPr>
            <w:tcW w:w="1600" w:type="dxa"/>
            <w:tcBorders>
              <w:top w:val="single" w:sz="4" w:space="0" w:color="auto"/>
            </w:tcBorders>
            <w:vAlign w:val="center"/>
          </w:tcPr>
          <w:p w14:paraId="4031F18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825.89</w:t>
            </w:r>
          </w:p>
        </w:tc>
        <w:tc>
          <w:tcPr>
            <w:tcW w:w="1400" w:type="dxa"/>
            <w:vAlign w:val="center"/>
          </w:tcPr>
          <w:p w14:paraId="570BDC5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1,067,377.90</w:t>
            </w:r>
          </w:p>
        </w:tc>
      </w:tr>
      <w:tr w:rsidR="00FB39A5" w:rsidRPr="00FB39A5" w14:paraId="0E632BBA" w14:textId="77777777" w:rsidTr="00FB39A5">
        <w:tblPrEx>
          <w:tblCellMar>
            <w:top w:w="0" w:type="dxa"/>
            <w:bottom w:w="0" w:type="dxa"/>
          </w:tblCellMar>
        </w:tblPrEx>
        <w:trPr>
          <w:trHeight w:val="118"/>
          <w:jc w:val="center"/>
        </w:trPr>
        <w:tc>
          <w:tcPr>
            <w:tcW w:w="911" w:type="dxa"/>
            <w:vAlign w:val="center"/>
          </w:tcPr>
          <w:p w14:paraId="74A32409"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31AA534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2118" w:type="dxa"/>
            <w:vAlign w:val="center"/>
          </w:tcPr>
          <w:p w14:paraId="6E4879F7"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Karawang, W. Java Private property</w:t>
            </w:r>
          </w:p>
        </w:tc>
        <w:tc>
          <w:tcPr>
            <w:tcW w:w="1000" w:type="dxa"/>
            <w:vAlign w:val="center"/>
          </w:tcPr>
          <w:p w14:paraId="6D7BF00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400.00</w:t>
            </w:r>
          </w:p>
        </w:tc>
        <w:tc>
          <w:tcPr>
            <w:tcW w:w="800" w:type="dxa"/>
            <w:vAlign w:val="center"/>
          </w:tcPr>
          <w:p w14:paraId="46B3A9E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75893A9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7,269,454.28</w:t>
            </w:r>
          </w:p>
        </w:tc>
        <w:tc>
          <w:tcPr>
            <w:tcW w:w="600" w:type="dxa"/>
            <w:vAlign w:val="center"/>
          </w:tcPr>
          <w:p w14:paraId="2C9A680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90.67</w:t>
            </w:r>
          </w:p>
        </w:tc>
        <w:tc>
          <w:tcPr>
            <w:tcW w:w="955" w:type="dxa"/>
            <w:vAlign w:val="center"/>
          </w:tcPr>
          <w:p w14:paraId="3A94FFF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012BE45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Shadow Project</w:t>
            </w:r>
          </w:p>
        </w:tc>
        <w:tc>
          <w:tcPr>
            <w:tcW w:w="1553" w:type="dxa"/>
            <w:vAlign w:val="center"/>
          </w:tcPr>
          <w:p w14:paraId="0BE3E0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8,017,485.70</w:t>
            </w:r>
          </w:p>
        </w:tc>
        <w:tc>
          <w:tcPr>
            <w:tcW w:w="1600" w:type="dxa"/>
            <w:vAlign w:val="center"/>
          </w:tcPr>
          <w:p w14:paraId="4022DB7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824.70</w:t>
            </w:r>
          </w:p>
        </w:tc>
        <w:tc>
          <w:tcPr>
            <w:tcW w:w="1400" w:type="dxa"/>
            <w:vAlign w:val="center"/>
          </w:tcPr>
          <w:p w14:paraId="144AA33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329,881.62</w:t>
            </w:r>
          </w:p>
        </w:tc>
      </w:tr>
      <w:tr w:rsidR="00FB39A5" w:rsidRPr="00FB39A5" w14:paraId="31FFA7DD" w14:textId="77777777" w:rsidTr="00FB39A5">
        <w:tblPrEx>
          <w:tblCellMar>
            <w:top w:w="0" w:type="dxa"/>
            <w:bottom w:w="0" w:type="dxa"/>
          </w:tblCellMar>
        </w:tblPrEx>
        <w:trPr>
          <w:trHeight w:val="80"/>
          <w:jc w:val="center"/>
        </w:trPr>
        <w:tc>
          <w:tcPr>
            <w:tcW w:w="911" w:type="dxa"/>
            <w:vAlign w:val="center"/>
          </w:tcPr>
          <w:p w14:paraId="0D913665"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16E0808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2003</w:t>
            </w:r>
          </w:p>
        </w:tc>
        <w:tc>
          <w:tcPr>
            <w:tcW w:w="2118" w:type="dxa"/>
            <w:vAlign w:val="center"/>
          </w:tcPr>
          <w:p w14:paraId="3DAFB1F4"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Kangean</w:t>
                </w:r>
              </w:smartTag>
              <w:r w:rsidRPr="00FB39A5">
                <w:rPr>
                  <w:rFonts w:ascii="Arial" w:hAnsi="Arial" w:cs="Arial"/>
                  <w:sz w:val="12"/>
                  <w:szCs w:val="12"/>
                  <w:lang w:val="en-GB"/>
                </w:rPr>
                <w:t xml:space="preserve"> </w:t>
              </w:r>
              <w:smartTag w:uri="urn:schemas-microsoft-com:office:smarttags" w:element="PlaceType">
                <w:r w:rsidRPr="00FB39A5">
                  <w:rPr>
                    <w:rFonts w:ascii="Arial" w:hAnsi="Arial" w:cs="Arial"/>
                    <w:sz w:val="12"/>
                    <w:szCs w:val="12"/>
                    <w:lang w:val="en-GB"/>
                  </w:rPr>
                  <w:t>Island</w:t>
                </w:r>
              </w:smartTag>
            </w:smartTag>
            <w:r w:rsidRPr="00FB39A5">
              <w:rPr>
                <w:rFonts w:ascii="Arial" w:hAnsi="Arial" w:cs="Arial"/>
                <w:sz w:val="12"/>
                <w:szCs w:val="12"/>
                <w:lang w:val="en-GB"/>
              </w:rPr>
              <w:t xml:space="preserve"> </w:t>
            </w:r>
          </w:p>
        </w:tc>
        <w:tc>
          <w:tcPr>
            <w:tcW w:w="1000" w:type="dxa"/>
            <w:vAlign w:val="center"/>
          </w:tcPr>
          <w:p w14:paraId="184AC19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1,887.00</w:t>
            </w:r>
          </w:p>
        </w:tc>
        <w:tc>
          <w:tcPr>
            <w:tcW w:w="800" w:type="dxa"/>
            <w:vAlign w:val="center"/>
          </w:tcPr>
          <w:p w14:paraId="06F1C9E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04DB42B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7,112,000.00</w:t>
            </w:r>
          </w:p>
        </w:tc>
        <w:tc>
          <w:tcPr>
            <w:tcW w:w="600" w:type="dxa"/>
            <w:vAlign w:val="center"/>
          </w:tcPr>
          <w:p w14:paraId="6A9A346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85.22</w:t>
            </w:r>
          </w:p>
        </w:tc>
        <w:tc>
          <w:tcPr>
            <w:tcW w:w="955" w:type="dxa"/>
            <w:vAlign w:val="center"/>
          </w:tcPr>
          <w:p w14:paraId="38D829E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57CD6E3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Shadow Project</w:t>
            </w:r>
          </w:p>
        </w:tc>
        <w:tc>
          <w:tcPr>
            <w:tcW w:w="1553" w:type="dxa"/>
            <w:vAlign w:val="center"/>
          </w:tcPr>
          <w:p w14:paraId="7F0B381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8,345,458.81</w:t>
            </w:r>
          </w:p>
        </w:tc>
        <w:tc>
          <w:tcPr>
            <w:tcW w:w="1600" w:type="dxa"/>
            <w:vAlign w:val="center"/>
          </w:tcPr>
          <w:p w14:paraId="6C74601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858.44</w:t>
            </w:r>
          </w:p>
        </w:tc>
        <w:tc>
          <w:tcPr>
            <w:tcW w:w="1400" w:type="dxa"/>
            <w:vAlign w:val="center"/>
          </w:tcPr>
          <w:p w14:paraId="47981F9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1,619,877.06</w:t>
            </w:r>
          </w:p>
        </w:tc>
      </w:tr>
      <w:tr w:rsidR="00FB39A5" w:rsidRPr="00FB39A5" w14:paraId="2A7D2747" w14:textId="77777777" w:rsidTr="00FB39A5">
        <w:tblPrEx>
          <w:tblCellMar>
            <w:top w:w="0" w:type="dxa"/>
            <w:bottom w:w="0" w:type="dxa"/>
          </w:tblCellMar>
        </w:tblPrEx>
        <w:trPr>
          <w:trHeight w:val="80"/>
          <w:jc w:val="center"/>
        </w:trPr>
        <w:tc>
          <w:tcPr>
            <w:tcW w:w="911" w:type="dxa"/>
            <w:vAlign w:val="center"/>
          </w:tcPr>
          <w:p w14:paraId="37D786E1"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625E250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2003</w:t>
            </w:r>
          </w:p>
        </w:tc>
        <w:tc>
          <w:tcPr>
            <w:tcW w:w="2118" w:type="dxa"/>
            <w:vAlign w:val="center"/>
          </w:tcPr>
          <w:p w14:paraId="50C05038"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Sikka district NTT</w:t>
            </w:r>
          </w:p>
        </w:tc>
        <w:tc>
          <w:tcPr>
            <w:tcW w:w="1000" w:type="dxa"/>
            <w:vAlign w:val="center"/>
          </w:tcPr>
          <w:p w14:paraId="7CD24EC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74.00</w:t>
            </w:r>
          </w:p>
        </w:tc>
        <w:tc>
          <w:tcPr>
            <w:tcW w:w="800" w:type="dxa"/>
            <w:vAlign w:val="center"/>
          </w:tcPr>
          <w:p w14:paraId="2B2531B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4CF0F20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7,112,000.00</w:t>
            </w:r>
          </w:p>
        </w:tc>
        <w:tc>
          <w:tcPr>
            <w:tcW w:w="600" w:type="dxa"/>
            <w:vAlign w:val="center"/>
          </w:tcPr>
          <w:p w14:paraId="5282BBE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85.22</w:t>
            </w:r>
          </w:p>
        </w:tc>
        <w:tc>
          <w:tcPr>
            <w:tcW w:w="955" w:type="dxa"/>
            <w:vAlign w:val="center"/>
          </w:tcPr>
          <w:p w14:paraId="7C6E9AC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3A35922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Shadow Project</w:t>
            </w:r>
          </w:p>
        </w:tc>
        <w:tc>
          <w:tcPr>
            <w:tcW w:w="1553" w:type="dxa"/>
            <w:vAlign w:val="center"/>
          </w:tcPr>
          <w:p w14:paraId="34358AC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8,345,458.81</w:t>
            </w:r>
          </w:p>
        </w:tc>
        <w:tc>
          <w:tcPr>
            <w:tcW w:w="1600" w:type="dxa"/>
            <w:tcBorders>
              <w:bottom w:val="single" w:sz="4" w:space="0" w:color="auto"/>
            </w:tcBorders>
            <w:vAlign w:val="center"/>
          </w:tcPr>
          <w:p w14:paraId="051B057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858.44</w:t>
            </w:r>
          </w:p>
        </w:tc>
        <w:tc>
          <w:tcPr>
            <w:tcW w:w="1400" w:type="dxa"/>
            <w:vAlign w:val="center"/>
          </w:tcPr>
          <w:p w14:paraId="78AD46A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63,524.59</w:t>
            </w:r>
          </w:p>
        </w:tc>
      </w:tr>
      <w:tr w:rsidR="00FB39A5" w:rsidRPr="00FB39A5" w14:paraId="15706933" w14:textId="77777777" w:rsidTr="00FB39A5">
        <w:tblPrEx>
          <w:tblCellMar>
            <w:top w:w="0" w:type="dxa"/>
            <w:bottom w:w="0" w:type="dxa"/>
          </w:tblCellMar>
        </w:tblPrEx>
        <w:trPr>
          <w:trHeight w:val="153"/>
          <w:jc w:val="center"/>
        </w:trPr>
        <w:tc>
          <w:tcPr>
            <w:tcW w:w="911" w:type="dxa"/>
            <w:vAlign w:val="center"/>
          </w:tcPr>
          <w:p w14:paraId="1E588CC3"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461CD0A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2003</w:t>
            </w:r>
          </w:p>
        </w:tc>
        <w:tc>
          <w:tcPr>
            <w:tcW w:w="2118" w:type="dxa"/>
            <w:vAlign w:val="center"/>
          </w:tcPr>
          <w:p w14:paraId="5A7CAEBE"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Belanakan, Subang</w:t>
            </w:r>
          </w:p>
        </w:tc>
        <w:tc>
          <w:tcPr>
            <w:tcW w:w="1000" w:type="dxa"/>
            <w:vAlign w:val="center"/>
          </w:tcPr>
          <w:p w14:paraId="7C488B5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287.75</w:t>
            </w:r>
          </w:p>
        </w:tc>
        <w:tc>
          <w:tcPr>
            <w:tcW w:w="800" w:type="dxa"/>
            <w:vAlign w:val="center"/>
          </w:tcPr>
          <w:p w14:paraId="061633B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1CC9D1D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65,550.00</w:t>
            </w:r>
          </w:p>
        </w:tc>
        <w:tc>
          <w:tcPr>
            <w:tcW w:w="600" w:type="dxa"/>
            <w:vAlign w:val="center"/>
          </w:tcPr>
          <w:p w14:paraId="0584C67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85.22</w:t>
            </w:r>
          </w:p>
        </w:tc>
        <w:tc>
          <w:tcPr>
            <w:tcW w:w="955" w:type="dxa"/>
            <w:vAlign w:val="center"/>
          </w:tcPr>
          <w:p w14:paraId="51BF233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2CB5E5B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CVM</w:t>
            </w:r>
          </w:p>
        </w:tc>
        <w:tc>
          <w:tcPr>
            <w:tcW w:w="1553" w:type="dxa"/>
            <w:vAlign w:val="center"/>
          </w:tcPr>
          <w:p w14:paraId="593A924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76,918.56</w:t>
            </w:r>
          </w:p>
        </w:tc>
        <w:tc>
          <w:tcPr>
            <w:tcW w:w="1600" w:type="dxa"/>
            <w:tcBorders>
              <w:top w:val="single" w:sz="4" w:space="0" w:color="auto"/>
              <w:bottom w:val="single" w:sz="4" w:space="0" w:color="auto"/>
            </w:tcBorders>
            <w:shd w:val="clear" w:color="FFFF00" w:fill="D9D9D9"/>
            <w:vAlign w:val="center"/>
          </w:tcPr>
          <w:p w14:paraId="370B27E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7.91</w:t>
            </w:r>
          </w:p>
        </w:tc>
        <w:tc>
          <w:tcPr>
            <w:tcW w:w="1400" w:type="dxa"/>
            <w:vAlign w:val="center"/>
          </w:tcPr>
          <w:p w14:paraId="4206AEE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2,276.70</w:t>
            </w:r>
          </w:p>
        </w:tc>
      </w:tr>
      <w:tr w:rsidR="00FB39A5" w:rsidRPr="00FB39A5" w14:paraId="6990F016" w14:textId="77777777" w:rsidTr="00FB39A5">
        <w:tblPrEx>
          <w:tblCellMar>
            <w:top w:w="0" w:type="dxa"/>
            <w:bottom w:w="0" w:type="dxa"/>
          </w:tblCellMar>
        </w:tblPrEx>
        <w:trPr>
          <w:trHeight w:val="240"/>
          <w:jc w:val="center"/>
        </w:trPr>
        <w:tc>
          <w:tcPr>
            <w:tcW w:w="911" w:type="dxa"/>
            <w:vAlign w:val="center"/>
          </w:tcPr>
          <w:p w14:paraId="1480937C"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23A6BA3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2001</w:t>
            </w:r>
          </w:p>
        </w:tc>
        <w:tc>
          <w:tcPr>
            <w:tcW w:w="2118" w:type="dxa"/>
            <w:vAlign w:val="center"/>
          </w:tcPr>
          <w:p w14:paraId="4E4386DB"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Buton, </w:t>
            </w:r>
            <w:smartTag w:uri="urn:schemas-microsoft-com:office:smarttags" w:element="place">
              <w:r w:rsidRPr="00FB39A5">
                <w:rPr>
                  <w:rFonts w:ascii="Arial" w:hAnsi="Arial" w:cs="Arial"/>
                  <w:sz w:val="12"/>
                  <w:szCs w:val="12"/>
                  <w:lang w:val="en-GB"/>
                </w:rPr>
                <w:t>Southeast Sulawesi</w:t>
              </w:r>
            </w:smartTag>
            <w:r w:rsidRPr="00FB39A5">
              <w:rPr>
                <w:rFonts w:ascii="Arial" w:hAnsi="Arial" w:cs="Arial"/>
                <w:sz w:val="12"/>
                <w:szCs w:val="12"/>
                <w:lang w:val="en-GB"/>
              </w:rPr>
              <w:t xml:space="preserve"> </w:t>
            </w:r>
          </w:p>
        </w:tc>
        <w:tc>
          <w:tcPr>
            <w:tcW w:w="1000" w:type="dxa"/>
            <w:vAlign w:val="center"/>
          </w:tcPr>
          <w:p w14:paraId="0F99717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144.00</w:t>
            </w:r>
          </w:p>
        </w:tc>
        <w:tc>
          <w:tcPr>
            <w:tcW w:w="800" w:type="dxa"/>
            <w:vAlign w:val="center"/>
          </w:tcPr>
          <w:p w14:paraId="0CA2263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43A0D2D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9,739,596.57</w:t>
            </w:r>
          </w:p>
        </w:tc>
        <w:tc>
          <w:tcPr>
            <w:tcW w:w="600" w:type="dxa"/>
            <w:vAlign w:val="center"/>
          </w:tcPr>
          <w:p w14:paraId="0BC63BA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71.46</w:t>
            </w:r>
          </w:p>
        </w:tc>
        <w:tc>
          <w:tcPr>
            <w:tcW w:w="955" w:type="dxa"/>
            <w:vAlign w:val="center"/>
          </w:tcPr>
          <w:p w14:paraId="4EEC626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5D88856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Shadow Project</w:t>
            </w:r>
          </w:p>
        </w:tc>
        <w:tc>
          <w:tcPr>
            <w:tcW w:w="1553" w:type="dxa"/>
            <w:vAlign w:val="center"/>
          </w:tcPr>
          <w:p w14:paraId="597294C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13,629,438.25</w:t>
            </w:r>
          </w:p>
        </w:tc>
        <w:tc>
          <w:tcPr>
            <w:tcW w:w="1600" w:type="dxa"/>
            <w:tcBorders>
              <w:top w:val="single" w:sz="4" w:space="0" w:color="auto"/>
              <w:bottom w:val="single" w:sz="4" w:space="0" w:color="auto"/>
            </w:tcBorders>
            <w:vAlign w:val="center"/>
          </w:tcPr>
          <w:p w14:paraId="1BC2D11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1,401.97</w:t>
            </w:r>
          </w:p>
        </w:tc>
        <w:tc>
          <w:tcPr>
            <w:tcW w:w="1400" w:type="dxa"/>
            <w:vAlign w:val="center"/>
          </w:tcPr>
          <w:p w14:paraId="1BDC32A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201,883.30</w:t>
            </w:r>
          </w:p>
        </w:tc>
      </w:tr>
      <w:tr w:rsidR="00FB39A5" w:rsidRPr="00FB39A5" w14:paraId="1B670A91" w14:textId="77777777" w:rsidTr="00FB39A5">
        <w:tblPrEx>
          <w:tblCellMar>
            <w:top w:w="0" w:type="dxa"/>
            <w:bottom w:w="0" w:type="dxa"/>
          </w:tblCellMar>
        </w:tblPrEx>
        <w:trPr>
          <w:trHeight w:val="161"/>
          <w:jc w:val="center"/>
        </w:trPr>
        <w:tc>
          <w:tcPr>
            <w:tcW w:w="911" w:type="dxa"/>
            <w:vAlign w:val="center"/>
          </w:tcPr>
          <w:p w14:paraId="785762A4"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4B7027F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2001</w:t>
            </w:r>
          </w:p>
        </w:tc>
        <w:tc>
          <w:tcPr>
            <w:tcW w:w="2118" w:type="dxa"/>
            <w:vAlign w:val="center"/>
          </w:tcPr>
          <w:p w14:paraId="28B8ED7E"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r w:rsidRPr="00FB39A5">
                <w:rPr>
                  <w:rFonts w:ascii="Arial" w:hAnsi="Arial" w:cs="Arial"/>
                  <w:sz w:val="12"/>
                  <w:szCs w:val="12"/>
                  <w:lang w:val="en-GB"/>
                </w:rPr>
                <w:t>Kalimantan</w:t>
              </w:r>
            </w:smartTag>
            <w:r w:rsidRPr="00FB39A5">
              <w:rPr>
                <w:rFonts w:ascii="Arial" w:hAnsi="Arial" w:cs="Arial"/>
                <w:sz w:val="12"/>
                <w:szCs w:val="12"/>
                <w:lang w:val="en-GB"/>
              </w:rPr>
              <w:t xml:space="preserve"> </w:t>
            </w:r>
          </w:p>
        </w:tc>
        <w:tc>
          <w:tcPr>
            <w:tcW w:w="1000" w:type="dxa"/>
            <w:vAlign w:val="center"/>
          </w:tcPr>
          <w:p w14:paraId="597BC34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14,941.00</w:t>
            </w:r>
          </w:p>
        </w:tc>
        <w:tc>
          <w:tcPr>
            <w:tcW w:w="800" w:type="dxa"/>
            <w:vAlign w:val="center"/>
          </w:tcPr>
          <w:p w14:paraId="7C005A9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349FD86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720,000.00</w:t>
            </w:r>
          </w:p>
        </w:tc>
        <w:tc>
          <w:tcPr>
            <w:tcW w:w="600" w:type="dxa"/>
            <w:vAlign w:val="center"/>
          </w:tcPr>
          <w:p w14:paraId="733DABF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71.46</w:t>
            </w:r>
          </w:p>
        </w:tc>
        <w:tc>
          <w:tcPr>
            <w:tcW w:w="955" w:type="dxa"/>
            <w:vAlign w:val="center"/>
          </w:tcPr>
          <w:p w14:paraId="1FFB776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0D1F8AE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CVM</w:t>
            </w:r>
          </w:p>
        </w:tc>
        <w:tc>
          <w:tcPr>
            <w:tcW w:w="1553" w:type="dxa"/>
            <w:vAlign w:val="center"/>
          </w:tcPr>
          <w:p w14:paraId="0E20580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1,007,556.68</w:t>
            </w:r>
          </w:p>
        </w:tc>
        <w:tc>
          <w:tcPr>
            <w:tcW w:w="1600" w:type="dxa"/>
            <w:tcBorders>
              <w:top w:val="single" w:sz="4" w:space="0" w:color="auto"/>
              <w:bottom w:val="single" w:sz="4" w:space="0" w:color="auto"/>
            </w:tcBorders>
            <w:shd w:val="clear" w:color="FFFF00" w:fill="D9D9D9"/>
            <w:vAlign w:val="center"/>
          </w:tcPr>
          <w:p w14:paraId="09DE8A9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103.64</w:t>
            </w:r>
          </w:p>
        </w:tc>
        <w:tc>
          <w:tcPr>
            <w:tcW w:w="1400" w:type="dxa"/>
            <w:vAlign w:val="center"/>
          </w:tcPr>
          <w:p w14:paraId="3976BE1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1,548,492.43</w:t>
            </w:r>
          </w:p>
        </w:tc>
      </w:tr>
      <w:tr w:rsidR="00FB39A5" w:rsidRPr="00FB39A5" w14:paraId="28338BEB" w14:textId="77777777" w:rsidTr="00FB39A5">
        <w:tblPrEx>
          <w:tblCellMar>
            <w:top w:w="0" w:type="dxa"/>
            <w:bottom w:w="0" w:type="dxa"/>
          </w:tblCellMar>
        </w:tblPrEx>
        <w:trPr>
          <w:trHeight w:val="240"/>
          <w:jc w:val="center"/>
        </w:trPr>
        <w:tc>
          <w:tcPr>
            <w:tcW w:w="911" w:type="dxa"/>
            <w:vAlign w:val="center"/>
          </w:tcPr>
          <w:p w14:paraId="5B0D1578"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1FFD90A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2118" w:type="dxa"/>
            <w:vAlign w:val="center"/>
          </w:tcPr>
          <w:p w14:paraId="5DA364BB"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West Seram District : Area I</w:t>
            </w:r>
          </w:p>
        </w:tc>
        <w:tc>
          <w:tcPr>
            <w:tcW w:w="1000" w:type="dxa"/>
            <w:vAlign w:val="center"/>
          </w:tcPr>
          <w:p w14:paraId="605C42C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175.00</w:t>
            </w:r>
          </w:p>
        </w:tc>
        <w:tc>
          <w:tcPr>
            <w:tcW w:w="800" w:type="dxa"/>
            <w:vAlign w:val="center"/>
          </w:tcPr>
          <w:p w14:paraId="4E79EAB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362F1B7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2,719,214.00</w:t>
            </w:r>
          </w:p>
        </w:tc>
        <w:tc>
          <w:tcPr>
            <w:tcW w:w="600" w:type="dxa"/>
            <w:vAlign w:val="center"/>
          </w:tcPr>
          <w:p w14:paraId="483D970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5" w:type="dxa"/>
            <w:vAlign w:val="center"/>
          </w:tcPr>
          <w:p w14:paraId="7DD77F2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4F35909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Shadow Project</w:t>
            </w:r>
          </w:p>
        </w:tc>
        <w:tc>
          <w:tcPr>
            <w:tcW w:w="1553" w:type="dxa"/>
            <w:vAlign w:val="center"/>
          </w:tcPr>
          <w:p w14:paraId="54F9159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4,242,805.43</w:t>
            </w:r>
          </w:p>
        </w:tc>
        <w:tc>
          <w:tcPr>
            <w:tcW w:w="1600" w:type="dxa"/>
            <w:tcBorders>
              <w:top w:val="single" w:sz="4" w:space="0" w:color="auto"/>
            </w:tcBorders>
            <w:vAlign w:val="center"/>
          </w:tcPr>
          <w:p w14:paraId="72BF5F0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436.43</w:t>
            </w:r>
          </w:p>
        </w:tc>
        <w:tc>
          <w:tcPr>
            <w:tcW w:w="1400" w:type="dxa"/>
            <w:vAlign w:val="center"/>
          </w:tcPr>
          <w:p w14:paraId="32ACBF4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76,374.98</w:t>
            </w:r>
          </w:p>
        </w:tc>
      </w:tr>
      <w:tr w:rsidR="00FB39A5" w:rsidRPr="00FB39A5" w14:paraId="47390C1C" w14:textId="77777777" w:rsidTr="00FB39A5">
        <w:tblPrEx>
          <w:tblCellMar>
            <w:top w:w="0" w:type="dxa"/>
            <w:bottom w:w="0" w:type="dxa"/>
          </w:tblCellMar>
        </w:tblPrEx>
        <w:trPr>
          <w:trHeight w:val="240"/>
          <w:jc w:val="center"/>
        </w:trPr>
        <w:tc>
          <w:tcPr>
            <w:tcW w:w="911" w:type="dxa"/>
            <w:vAlign w:val="center"/>
          </w:tcPr>
          <w:p w14:paraId="5C8B90E2"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7142181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2118" w:type="dxa"/>
            <w:vAlign w:val="center"/>
          </w:tcPr>
          <w:p w14:paraId="0FA45E4B"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West Seram District : Area II</w:t>
            </w:r>
          </w:p>
        </w:tc>
        <w:tc>
          <w:tcPr>
            <w:tcW w:w="1000" w:type="dxa"/>
            <w:vAlign w:val="center"/>
          </w:tcPr>
          <w:p w14:paraId="2FC20EA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706.00</w:t>
            </w:r>
          </w:p>
        </w:tc>
        <w:tc>
          <w:tcPr>
            <w:tcW w:w="800" w:type="dxa"/>
            <w:vAlign w:val="center"/>
          </w:tcPr>
          <w:p w14:paraId="42B816D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2B514CF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2,550,141.64</w:t>
            </w:r>
          </w:p>
        </w:tc>
        <w:tc>
          <w:tcPr>
            <w:tcW w:w="600" w:type="dxa"/>
            <w:vAlign w:val="center"/>
          </w:tcPr>
          <w:p w14:paraId="69015F5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5" w:type="dxa"/>
            <w:vAlign w:val="center"/>
          </w:tcPr>
          <w:p w14:paraId="74B26EE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7C54A06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Shadow Project</w:t>
            </w:r>
          </w:p>
        </w:tc>
        <w:tc>
          <w:tcPr>
            <w:tcW w:w="1553" w:type="dxa"/>
            <w:vAlign w:val="center"/>
          </w:tcPr>
          <w:p w14:paraId="55997FC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3,979,000.84</w:t>
            </w:r>
          </w:p>
        </w:tc>
        <w:tc>
          <w:tcPr>
            <w:tcW w:w="1600" w:type="dxa"/>
            <w:vAlign w:val="center"/>
          </w:tcPr>
          <w:p w14:paraId="7CC7EDB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409.29</w:t>
            </w:r>
          </w:p>
        </w:tc>
        <w:tc>
          <w:tcPr>
            <w:tcW w:w="1400" w:type="dxa"/>
            <w:vAlign w:val="center"/>
          </w:tcPr>
          <w:p w14:paraId="1CF6E84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288,960.63</w:t>
            </w:r>
          </w:p>
        </w:tc>
      </w:tr>
      <w:tr w:rsidR="00FB39A5" w:rsidRPr="00FB39A5" w14:paraId="28079C2F" w14:textId="77777777" w:rsidTr="00FB39A5">
        <w:tblPrEx>
          <w:tblCellMar>
            <w:top w:w="0" w:type="dxa"/>
            <w:bottom w:w="0" w:type="dxa"/>
          </w:tblCellMar>
        </w:tblPrEx>
        <w:trPr>
          <w:trHeight w:val="70"/>
          <w:jc w:val="center"/>
        </w:trPr>
        <w:tc>
          <w:tcPr>
            <w:tcW w:w="911" w:type="dxa"/>
            <w:vAlign w:val="center"/>
          </w:tcPr>
          <w:p w14:paraId="729269BB"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75EF29C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2118" w:type="dxa"/>
            <w:vAlign w:val="center"/>
          </w:tcPr>
          <w:p w14:paraId="7322F1C9"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West Seram District : Area III</w:t>
            </w:r>
          </w:p>
        </w:tc>
        <w:tc>
          <w:tcPr>
            <w:tcW w:w="1000" w:type="dxa"/>
            <w:vAlign w:val="center"/>
          </w:tcPr>
          <w:p w14:paraId="1EA2B04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110.00</w:t>
            </w:r>
          </w:p>
        </w:tc>
        <w:tc>
          <w:tcPr>
            <w:tcW w:w="800" w:type="dxa"/>
            <w:vAlign w:val="center"/>
          </w:tcPr>
          <w:p w14:paraId="6251117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5B18109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2,550,909.09</w:t>
            </w:r>
          </w:p>
        </w:tc>
        <w:tc>
          <w:tcPr>
            <w:tcW w:w="600" w:type="dxa"/>
            <w:vAlign w:val="center"/>
          </w:tcPr>
          <w:p w14:paraId="4541758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5" w:type="dxa"/>
            <w:vAlign w:val="center"/>
          </w:tcPr>
          <w:p w14:paraId="7B4796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0460361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Shadow Project</w:t>
            </w:r>
          </w:p>
        </w:tc>
        <w:tc>
          <w:tcPr>
            <w:tcW w:w="1553" w:type="dxa"/>
            <w:vAlign w:val="center"/>
          </w:tcPr>
          <w:p w14:paraId="7A07F52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3,980,198.30</w:t>
            </w:r>
          </w:p>
        </w:tc>
        <w:tc>
          <w:tcPr>
            <w:tcW w:w="1600" w:type="dxa"/>
            <w:tcBorders>
              <w:bottom w:val="single" w:sz="4" w:space="0" w:color="auto"/>
            </w:tcBorders>
            <w:vAlign w:val="center"/>
          </w:tcPr>
          <w:p w14:paraId="1E53FEF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409.42</w:t>
            </w:r>
          </w:p>
        </w:tc>
        <w:tc>
          <w:tcPr>
            <w:tcW w:w="1400" w:type="dxa"/>
            <w:vAlign w:val="center"/>
          </w:tcPr>
          <w:p w14:paraId="1768BC2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45,035.74</w:t>
            </w:r>
          </w:p>
        </w:tc>
      </w:tr>
      <w:tr w:rsidR="00FB39A5" w:rsidRPr="00FB39A5" w14:paraId="7CD0EA82" w14:textId="77777777" w:rsidTr="00FB39A5">
        <w:tblPrEx>
          <w:tblCellMar>
            <w:top w:w="0" w:type="dxa"/>
            <w:bottom w:w="0" w:type="dxa"/>
          </w:tblCellMar>
        </w:tblPrEx>
        <w:trPr>
          <w:trHeight w:val="121"/>
          <w:jc w:val="center"/>
        </w:trPr>
        <w:tc>
          <w:tcPr>
            <w:tcW w:w="911" w:type="dxa"/>
            <w:vAlign w:val="center"/>
          </w:tcPr>
          <w:p w14:paraId="46FF7364"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50FAA5A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2118" w:type="dxa"/>
            <w:vAlign w:val="center"/>
          </w:tcPr>
          <w:p w14:paraId="3AB11DAE"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Batu Ampar, </w:t>
            </w:r>
            <w:smartTag w:uri="urn:schemas-microsoft-com:office:smarttags" w:element="place">
              <w:smartTag w:uri="urn:schemas-microsoft-com:office:smarttags" w:element="City">
                <w:r w:rsidRPr="00FB39A5">
                  <w:rPr>
                    <w:rFonts w:ascii="Arial" w:hAnsi="Arial" w:cs="Arial"/>
                    <w:sz w:val="12"/>
                    <w:szCs w:val="12"/>
                    <w:lang w:val="en-GB"/>
                  </w:rPr>
                  <w:t>Pontianak</w:t>
                </w:r>
              </w:smartTag>
            </w:smartTag>
          </w:p>
        </w:tc>
        <w:tc>
          <w:tcPr>
            <w:tcW w:w="1000" w:type="dxa"/>
            <w:vAlign w:val="center"/>
          </w:tcPr>
          <w:p w14:paraId="37CC704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13,900.00</w:t>
            </w:r>
          </w:p>
        </w:tc>
        <w:tc>
          <w:tcPr>
            <w:tcW w:w="800" w:type="dxa"/>
            <w:vAlign w:val="center"/>
          </w:tcPr>
          <w:p w14:paraId="38FC4C5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4209FC8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1,078,305.67</w:t>
            </w:r>
          </w:p>
        </w:tc>
        <w:tc>
          <w:tcPr>
            <w:tcW w:w="600" w:type="dxa"/>
            <w:vAlign w:val="center"/>
          </w:tcPr>
          <w:p w14:paraId="1428923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5" w:type="dxa"/>
            <w:vAlign w:val="center"/>
          </w:tcPr>
          <w:p w14:paraId="737F22E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6F6AAB3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market price</w:t>
            </w:r>
          </w:p>
        </w:tc>
        <w:tc>
          <w:tcPr>
            <w:tcW w:w="1553" w:type="dxa"/>
            <w:vAlign w:val="center"/>
          </w:tcPr>
          <w:p w14:paraId="6A3853B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1,682,486.61</w:t>
            </w:r>
          </w:p>
        </w:tc>
        <w:tc>
          <w:tcPr>
            <w:tcW w:w="1600" w:type="dxa"/>
            <w:tcBorders>
              <w:top w:val="single" w:sz="4" w:space="0" w:color="auto"/>
              <w:bottom w:val="single" w:sz="4" w:space="0" w:color="auto"/>
            </w:tcBorders>
            <w:shd w:val="clear" w:color="FFFF00" w:fill="D9D9D9"/>
            <w:vAlign w:val="center"/>
          </w:tcPr>
          <w:p w14:paraId="0DEFBC5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173.07</w:t>
            </w:r>
          </w:p>
        </w:tc>
        <w:tc>
          <w:tcPr>
            <w:tcW w:w="1400" w:type="dxa"/>
            <w:vAlign w:val="center"/>
          </w:tcPr>
          <w:p w14:paraId="411925E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2,405,616.29</w:t>
            </w:r>
          </w:p>
        </w:tc>
      </w:tr>
      <w:tr w:rsidR="00FB39A5" w:rsidRPr="00FB39A5" w14:paraId="7A6414EA" w14:textId="77777777" w:rsidTr="00FB39A5">
        <w:tblPrEx>
          <w:tblCellMar>
            <w:top w:w="0" w:type="dxa"/>
            <w:bottom w:w="0" w:type="dxa"/>
          </w:tblCellMar>
        </w:tblPrEx>
        <w:trPr>
          <w:trHeight w:val="70"/>
          <w:jc w:val="center"/>
        </w:trPr>
        <w:tc>
          <w:tcPr>
            <w:tcW w:w="911" w:type="dxa"/>
            <w:vAlign w:val="center"/>
          </w:tcPr>
          <w:p w14:paraId="75C16F44"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18D66F3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2118" w:type="dxa"/>
            <w:vAlign w:val="center"/>
          </w:tcPr>
          <w:p w14:paraId="7575D0B8"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Segara Anakan </w:t>
            </w:r>
          </w:p>
        </w:tc>
        <w:tc>
          <w:tcPr>
            <w:tcW w:w="1000" w:type="dxa"/>
            <w:vAlign w:val="center"/>
          </w:tcPr>
          <w:p w14:paraId="43D51C1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12,089.99</w:t>
            </w:r>
          </w:p>
        </w:tc>
        <w:tc>
          <w:tcPr>
            <w:tcW w:w="800" w:type="dxa"/>
            <w:vAlign w:val="center"/>
          </w:tcPr>
          <w:p w14:paraId="61A3013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4572353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74,769.00</w:t>
            </w:r>
          </w:p>
        </w:tc>
        <w:tc>
          <w:tcPr>
            <w:tcW w:w="600" w:type="dxa"/>
            <w:vAlign w:val="center"/>
          </w:tcPr>
          <w:p w14:paraId="496FFBC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5" w:type="dxa"/>
            <w:vAlign w:val="center"/>
          </w:tcPr>
          <w:p w14:paraId="681A229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4DAD978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market price</w:t>
            </w:r>
          </w:p>
        </w:tc>
        <w:tc>
          <w:tcPr>
            <w:tcW w:w="1553" w:type="dxa"/>
            <w:vAlign w:val="center"/>
          </w:tcPr>
          <w:p w14:paraId="179BEBD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121,005.02</w:t>
            </w:r>
          </w:p>
        </w:tc>
        <w:tc>
          <w:tcPr>
            <w:tcW w:w="1600" w:type="dxa"/>
            <w:tcBorders>
              <w:top w:val="single" w:sz="4" w:space="0" w:color="auto"/>
              <w:bottom w:val="single" w:sz="4" w:space="0" w:color="auto"/>
            </w:tcBorders>
            <w:shd w:val="clear" w:color="FFFF00" w:fill="D9D9D9"/>
            <w:vAlign w:val="center"/>
          </w:tcPr>
          <w:p w14:paraId="53B46FD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12.45</w:t>
            </w:r>
          </w:p>
        </w:tc>
        <w:tc>
          <w:tcPr>
            <w:tcW w:w="1400" w:type="dxa"/>
            <w:vAlign w:val="center"/>
          </w:tcPr>
          <w:p w14:paraId="4C33CD9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150,483.63</w:t>
            </w:r>
          </w:p>
        </w:tc>
      </w:tr>
      <w:tr w:rsidR="00FB39A5" w:rsidRPr="00FB39A5" w14:paraId="5A3A4850" w14:textId="77777777" w:rsidTr="00FB39A5">
        <w:tblPrEx>
          <w:tblCellMar>
            <w:top w:w="0" w:type="dxa"/>
            <w:bottom w:w="0" w:type="dxa"/>
          </w:tblCellMar>
        </w:tblPrEx>
        <w:trPr>
          <w:trHeight w:val="70"/>
          <w:jc w:val="center"/>
        </w:trPr>
        <w:tc>
          <w:tcPr>
            <w:tcW w:w="911" w:type="dxa"/>
            <w:vAlign w:val="center"/>
          </w:tcPr>
          <w:p w14:paraId="6C835223"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04F2EFB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1998</w:t>
            </w:r>
          </w:p>
        </w:tc>
        <w:tc>
          <w:tcPr>
            <w:tcW w:w="2118" w:type="dxa"/>
            <w:vAlign w:val="center"/>
          </w:tcPr>
          <w:p w14:paraId="76E41C91"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Tulung Selapan, </w:t>
            </w:r>
            <w:smartTag w:uri="urn:schemas-microsoft-com:office:smarttags" w:element="place">
              <w:r w:rsidRPr="00FB39A5">
                <w:rPr>
                  <w:rFonts w:ascii="Arial" w:hAnsi="Arial" w:cs="Arial"/>
                  <w:sz w:val="12"/>
                  <w:szCs w:val="12"/>
                  <w:lang w:val="en-GB"/>
                </w:rPr>
                <w:t>South Sumatera</w:t>
              </w:r>
            </w:smartTag>
            <w:r w:rsidRPr="00FB39A5">
              <w:rPr>
                <w:rFonts w:ascii="Arial" w:hAnsi="Arial" w:cs="Arial"/>
                <w:sz w:val="12"/>
                <w:szCs w:val="12"/>
                <w:lang w:val="en-GB"/>
              </w:rPr>
              <w:t xml:space="preserve"> </w:t>
            </w:r>
          </w:p>
        </w:tc>
        <w:tc>
          <w:tcPr>
            <w:tcW w:w="1000" w:type="dxa"/>
            <w:vAlign w:val="center"/>
          </w:tcPr>
          <w:p w14:paraId="2828F0F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8,232.00</w:t>
            </w:r>
          </w:p>
        </w:tc>
        <w:tc>
          <w:tcPr>
            <w:tcW w:w="800" w:type="dxa"/>
            <w:vAlign w:val="center"/>
          </w:tcPr>
          <w:p w14:paraId="45B2261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5E6C878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3,432,000.00</w:t>
            </w:r>
          </w:p>
        </w:tc>
        <w:tc>
          <w:tcPr>
            <w:tcW w:w="600" w:type="dxa"/>
            <w:vAlign w:val="center"/>
          </w:tcPr>
          <w:p w14:paraId="0497A52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51.28</w:t>
            </w:r>
          </w:p>
        </w:tc>
        <w:tc>
          <w:tcPr>
            <w:tcW w:w="955" w:type="dxa"/>
            <w:vAlign w:val="center"/>
          </w:tcPr>
          <w:p w14:paraId="48A7869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5DE3E66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Shadow Project</w:t>
            </w:r>
          </w:p>
        </w:tc>
        <w:tc>
          <w:tcPr>
            <w:tcW w:w="1553" w:type="dxa"/>
            <w:vAlign w:val="center"/>
          </w:tcPr>
          <w:p w14:paraId="0B0B3EE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6,692,667.71</w:t>
            </w:r>
          </w:p>
        </w:tc>
        <w:tc>
          <w:tcPr>
            <w:tcW w:w="1600" w:type="dxa"/>
            <w:tcBorders>
              <w:top w:val="single" w:sz="4" w:space="0" w:color="auto"/>
            </w:tcBorders>
            <w:vAlign w:val="center"/>
          </w:tcPr>
          <w:p w14:paraId="49783DC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688.43</w:t>
            </w:r>
          </w:p>
        </w:tc>
        <w:tc>
          <w:tcPr>
            <w:tcW w:w="1400" w:type="dxa"/>
            <w:vAlign w:val="center"/>
          </w:tcPr>
          <w:p w14:paraId="24E7587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5,667,148.10</w:t>
            </w:r>
          </w:p>
        </w:tc>
      </w:tr>
      <w:tr w:rsidR="00FB39A5" w:rsidRPr="00FB39A5" w14:paraId="2BBB64B9" w14:textId="77777777" w:rsidTr="00FB39A5">
        <w:tblPrEx>
          <w:tblCellMar>
            <w:top w:w="0" w:type="dxa"/>
            <w:bottom w:w="0" w:type="dxa"/>
          </w:tblCellMar>
        </w:tblPrEx>
        <w:trPr>
          <w:trHeight w:val="70"/>
          <w:jc w:val="center"/>
        </w:trPr>
        <w:tc>
          <w:tcPr>
            <w:tcW w:w="911" w:type="dxa"/>
            <w:vAlign w:val="center"/>
          </w:tcPr>
          <w:p w14:paraId="08F518E8"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3DC928B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1996</w:t>
            </w:r>
          </w:p>
        </w:tc>
        <w:tc>
          <w:tcPr>
            <w:tcW w:w="2118" w:type="dxa"/>
            <w:vAlign w:val="center"/>
          </w:tcPr>
          <w:p w14:paraId="692BC34E"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Subang district </w:t>
            </w:r>
          </w:p>
        </w:tc>
        <w:tc>
          <w:tcPr>
            <w:tcW w:w="1000" w:type="dxa"/>
            <w:vAlign w:val="center"/>
          </w:tcPr>
          <w:p w14:paraId="4EF0647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5,327.00</w:t>
            </w:r>
          </w:p>
        </w:tc>
        <w:tc>
          <w:tcPr>
            <w:tcW w:w="800" w:type="dxa"/>
            <w:vAlign w:val="center"/>
          </w:tcPr>
          <w:p w14:paraId="774B475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1DFC456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2,850,000.00</w:t>
            </w:r>
          </w:p>
        </w:tc>
        <w:tc>
          <w:tcPr>
            <w:tcW w:w="600" w:type="dxa"/>
            <w:vAlign w:val="center"/>
          </w:tcPr>
          <w:p w14:paraId="71FF127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30.48</w:t>
            </w:r>
          </w:p>
        </w:tc>
        <w:tc>
          <w:tcPr>
            <w:tcW w:w="955" w:type="dxa"/>
            <w:vAlign w:val="center"/>
          </w:tcPr>
          <w:p w14:paraId="6174A38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52B2E17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Shadow Project</w:t>
            </w:r>
          </w:p>
        </w:tc>
        <w:tc>
          <w:tcPr>
            <w:tcW w:w="1553" w:type="dxa"/>
            <w:vAlign w:val="center"/>
          </w:tcPr>
          <w:p w14:paraId="337F6CA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9,350,393.70</w:t>
            </w:r>
          </w:p>
        </w:tc>
        <w:tc>
          <w:tcPr>
            <w:tcW w:w="1600" w:type="dxa"/>
            <w:vAlign w:val="center"/>
          </w:tcPr>
          <w:p w14:paraId="3A77991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961.81</w:t>
            </w:r>
          </w:p>
        </w:tc>
        <w:tc>
          <w:tcPr>
            <w:tcW w:w="1400" w:type="dxa"/>
            <w:vAlign w:val="center"/>
          </w:tcPr>
          <w:p w14:paraId="19389BB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5,123,568.32</w:t>
            </w:r>
          </w:p>
        </w:tc>
      </w:tr>
      <w:tr w:rsidR="00FB39A5" w:rsidRPr="00FB39A5" w14:paraId="4718459D" w14:textId="77777777" w:rsidTr="00FB39A5">
        <w:tblPrEx>
          <w:tblCellMar>
            <w:top w:w="0" w:type="dxa"/>
            <w:bottom w:w="0" w:type="dxa"/>
          </w:tblCellMar>
        </w:tblPrEx>
        <w:trPr>
          <w:trHeight w:val="70"/>
          <w:jc w:val="center"/>
        </w:trPr>
        <w:tc>
          <w:tcPr>
            <w:tcW w:w="14225" w:type="dxa"/>
            <w:gridSpan w:val="12"/>
            <w:vAlign w:val="center"/>
          </w:tcPr>
          <w:p w14:paraId="4F13D67C" w14:textId="77777777" w:rsidR="00FB39A5" w:rsidRPr="00FB39A5" w:rsidRDefault="00FB39A5" w:rsidP="00FB39A5">
            <w:pPr>
              <w:tabs>
                <w:tab w:val="num" w:leader="none" w:pos="1440"/>
              </w:tabs>
              <w:jc w:val="center"/>
              <w:outlineLvl w:val="1"/>
              <w:rPr>
                <w:rFonts w:ascii="Arial" w:hAnsi="Arial" w:cs="Arial"/>
                <w:b/>
                <w:bCs/>
                <w:sz w:val="18"/>
                <w:szCs w:val="18"/>
                <w:lang w:val="en-GB"/>
              </w:rPr>
            </w:pPr>
            <w:bookmarkStart w:id="46" w:name="_Toc163031992"/>
            <w:bookmarkStart w:id="47" w:name="_Toc163032119"/>
            <w:r w:rsidRPr="00FB39A5">
              <w:rPr>
                <w:rFonts w:ascii="Arial" w:hAnsi="Arial" w:cs="Arial"/>
                <w:b/>
                <w:bCs/>
                <w:sz w:val="18"/>
                <w:szCs w:val="18"/>
                <w:lang w:val="en-GB"/>
              </w:rPr>
              <w:t>Nutrient - Sediment Retention</w:t>
            </w:r>
            <w:bookmarkEnd w:id="46"/>
            <w:bookmarkEnd w:id="47"/>
          </w:p>
        </w:tc>
      </w:tr>
      <w:tr w:rsidR="00FB39A5" w:rsidRPr="00FB39A5" w14:paraId="66B6E5DF" w14:textId="77777777" w:rsidTr="00FB39A5">
        <w:tblPrEx>
          <w:tblCellMar>
            <w:top w:w="0" w:type="dxa"/>
            <w:bottom w:w="0" w:type="dxa"/>
          </w:tblCellMar>
        </w:tblPrEx>
        <w:trPr>
          <w:trHeight w:val="70"/>
          <w:jc w:val="center"/>
        </w:trPr>
        <w:tc>
          <w:tcPr>
            <w:tcW w:w="911" w:type="dxa"/>
            <w:vAlign w:val="center"/>
          </w:tcPr>
          <w:p w14:paraId="09336776"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China</w:t>
                </w:r>
              </w:smartTag>
            </w:smartTag>
          </w:p>
        </w:tc>
        <w:tc>
          <w:tcPr>
            <w:tcW w:w="701" w:type="dxa"/>
            <w:vAlign w:val="center"/>
          </w:tcPr>
          <w:p w14:paraId="1414E20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2118" w:type="dxa"/>
            <w:vAlign w:val="center"/>
          </w:tcPr>
          <w:p w14:paraId="002FD6F3"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Fangchenggang</w:t>
            </w:r>
          </w:p>
        </w:tc>
        <w:tc>
          <w:tcPr>
            <w:tcW w:w="1000" w:type="dxa"/>
            <w:vAlign w:val="center"/>
          </w:tcPr>
          <w:p w14:paraId="4655E8C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1,414.50</w:t>
            </w:r>
          </w:p>
        </w:tc>
        <w:tc>
          <w:tcPr>
            <w:tcW w:w="800" w:type="dxa"/>
            <w:vAlign w:val="center"/>
          </w:tcPr>
          <w:p w14:paraId="68D0764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RMB</w:t>
            </w:r>
          </w:p>
        </w:tc>
        <w:tc>
          <w:tcPr>
            <w:tcW w:w="1200" w:type="dxa"/>
            <w:vAlign w:val="center"/>
          </w:tcPr>
          <w:p w14:paraId="20569BC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86,902.00</w:t>
            </w:r>
          </w:p>
        </w:tc>
        <w:tc>
          <w:tcPr>
            <w:tcW w:w="600" w:type="dxa"/>
            <w:vAlign w:val="center"/>
          </w:tcPr>
          <w:p w14:paraId="35A2B8D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93.38</w:t>
            </w:r>
          </w:p>
        </w:tc>
        <w:tc>
          <w:tcPr>
            <w:tcW w:w="955" w:type="dxa"/>
            <w:vAlign w:val="center"/>
          </w:tcPr>
          <w:p w14:paraId="3E992B7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8.20</w:t>
            </w:r>
          </w:p>
        </w:tc>
        <w:tc>
          <w:tcPr>
            <w:tcW w:w="1387" w:type="dxa"/>
            <w:vAlign w:val="center"/>
          </w:tcPr>
          <w:p w14:paraId="1525C35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market price</w:t>
            </w:r>
          </w:p>
        </w:tc>
        <w:tc>
          <w:tcPr>
            <w:tcW w:w="1553" w:type="dxa"/>
            <w:vAlign w:val="center"/>
          </w:tcPr>
          <w:p w14:paraId="64C36FD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93,062.75</w:t>
            </w:r>
          </w:p>
        </w:tc>
        <w:tc>
          <w:tcPr>
            <w:tcW w:w="1600" w:type="dxa"/>
            <w:vAlign w:val="center"/>
          </w:tcPr>
          <w:p w14:paraId="38A579E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11,344.56</w:t>
            </w:r>
          </w:p>
        </w:tc>
        <w:tc>
          <w:tcPr>
            <w:tcW w:w="1400" w:type="dxa"/>
            <w:vAlign w:val="center"/>
          </w:tcPr>
          <w:p w14:paraId="3F421F4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16,046,886.80</w:t>
            </w:r>
          </w:p>
        </w:tc>
      </w:tr>
      <w:tr w:rsidR="00FB39A5" w:rsidRPr="00FB39A5" w14:paraId="611AF9BA" w14:textId="77777777" w:rsidTr="00FB39A5">
        <w:tblPrEx>
          <w:tblCellMar>
            <w:top w:w="0" w:type="dxa"/>
            <w:bottom w:w="0" w:type="dxa"/>
          </w:tblCellMar>
        </w:tblPrEx>
        <w:trPr>
          <w:trHeight w:val="70"/>
          <w:jc w:val="center"/>
        </w:trPr>
        <w:tc>
          <w:tcPr>
            <w:tcW w:w="14225" w:type="dxa"/>
            <w:gridSpan w:val="12"/>
            <w:vAlign w:val="center"/>
          </w:tcPr>
          <w:p w14:paraId="119D7840" w14:textId="77777777" w:rsidR="00FB39A5" w:rsidRPr="00FB39A5" w:rsidRDefault="00FB39A5" w:rsidP="00FB39A5">
            <w:pPr>
              <w:autoSpaceDE w:val="0"/>
              <w:autoSpaceDN w:val="0"/>
              <w:adjustRightInd w:val="0"/>
              <w:jc w:val="center"/>
              <w:rPr>
                <w:rFonts w:ascii="Arial" w:hAnsi="Arial" w:cs="Arial"/>
                <w:sz w:val="18"/>
                <w:szCs w:val="18"/>
                <w:lang w:val="en-GB"/>
              </w:rPr>
            </w:pPr>
            <w:r w:rsidRPr="00FB39A5">
              <w:rPr>
                <w:rFonts w:ascii="Arial" w:hAnsi="Arial" w:cs="Arial"/>
                <w:b/>
                <w:bCs/>
                <w:sz w:val="18"/>
                <w:szCs w:val="18"/>
                <w:lang w:val="en-GB"/>
              </w:rPr>
              <w:t>Coastal protection (replacement values divided by 25 years to provide annual benefit)</w:t>
            </w:r>
          </w:p>
        </w:tc>
      </w:tr>
      <w:tr w:rsidR="00FB39A5" w:rsidRPr="00FB39A5" w14:paraId="757B9B66" w14:textId="77777777" w:rsidTr="00FB39A5">
        <w:tblPrEx>
          <w:tblCellMar>
            <w:top w:w="0" w:type="dxa"/>
            <w:bottom w:w="0" w:type="dxa"/>
          </w:tblCellMar>
        </w:tblPrEx>
        <w:trPr>
          <w:trHeight w:val="80"/>
          <w:jc w:val="center"/>
        </w:trPr>
        <w:tc>
          <w:tcPr>
            <w:tcW w:w="911" w:type="dxa"/>
            <w:vAlign w:val="center"/>
          </w:tcPr>
          <w:p w14:paraId="62EB438A"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China</w:t>
                </w:r>
              </w:smartTag>
            </w:smartTag>
          </w:p>
        </w:tc>
        <w:tc>
          <w:tcPr>
            <w:tcW w:w="701" w:type="dxa"/>
            <w:vAlign w:val="center"/>
          </w:tcPr>
          <w:p w14:paraId="768ADF5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2118" w:type="dxa"/>
            <w:vAlign w:val="center"/>
          </w:tcPr>
          <w:p w14:paraId="48A7277B"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Fangchenggang</w:t>
            </w:r>
          </w:p>
        </w:tc>
        <w:tc>
          <w:tcPr>
            <w:tcW w:w="1000" w:type="dxa"/>
            <w:vAlign w:val="center"/>
          </w:tcPr>
          <w:p w14:paraId="4FA284E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1,414.50</w:t>
            </w:r>
          </w:p>
        </w:tc>
        <w:tc>
          <w:tcPr>
            <w:tcW w:w="800" w:type="dxa"/>
            <w:vAlign w:val="center"/>
          </w:tcPr>
          <w:p w14:paraId="28D18F5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RMB</w:t>
            </w:r>
          </w:p>
        </w:tc>
        <w:tc>
          <w:tcPr>
            <w:tcW w:w="1200" w:type="dxa"/>
            <w:vAlign w:val="center"/>
          </w:tcPr>
          <w:p w14:paraId="0A7525B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8,000.00</w:t>
            </w:r>
          </w:p>
        </w:tc>
        <w:tc>
          <w:tcPr>
            <w:tcW w:w="600" w:type="dxa"/>
            <w:vAlign w:val="center"/>
          </w:tcPr>
          <w:p w14:paraId="4B34DC4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93.38</w:t>
            </w:r>
          </w:p>
        </w:tc>
        <w:tc>
          <w:tcPr>
            <w:tcW w:w="955" w:type="dxa"/>
            <w:vAlign w:val="center"/>
          </w:tcPr>
          <w:p w14:paraId="45F2B6B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8.20</w:t>
            </w:r>
          </w:p>
        </w:tc>
        <w:tc>
          <w:tcPr>
            <w:tcW w:w="1387" w:type="dxa"/>
            <w:vAlign w:val="center"/>
          </w:tcPr>
          <w:p w14:paraId="0B57F25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replacement Cost</w:t>
            </w:r>
          </w:p>
        </w:tc>
        <w:tc>
          <w:tcPr>
            <w:tcW w:w="1553" w:type="dxa"/>
            <w:vAlign w:val="center"/>
          </w:tcPr>
          <w:p w14:paraId="47F9542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8,567.14</w:t>
            </w:r>
          </w:p>
        </w:tc>
        <w:tc>
          <w:tcPr>
            <w:tcW w:w="1600" w:type="dxa"/>
            <w:tcBorders>
              <w:bottom w:val="single" w:sz="4" w:space="0" w:color="auto"/>
            </w:tcBorders>
            <w:vAlign w:val="center"/>
          </w:tcPr>
          <w:p w14:paraId="431EB78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1,044.35</w:t>
            </w:r>
          </w:p>
        </w:tc>
        <w:tc>
          <w:tcPr>
            <w:tcW w:w="1400" w:type="dxa"/>
            <w:vAlign w:val="center"/>
          </w:tcPr>
          <w:p w14:paraId="0C74BCC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1,477,239.81</w:t>
            </w:r>
          </w:p>
        </w:tc>
      </w:tr>
      <w:tr w:rsidR="00FB39A5" w:rsidRPr="00FB39A5" w14:paraId="2E53F06A" w14:textId="77777777" w:rsidTr="00FB39A5">
        <w:tblPrEx>
          <w:tblCellMar>
            <w:top w:w="0" w:type="dxa"/>
            <w:bottom w:w="0" w:type="dxa"/>
          </w:tblCellMar>
        </w:tblPrEx>
        <w:trPr>
          <w:trHeight w:val="70"/>
          <w:jc w:val="center"/>
        </w:trPr>
        <w:tc>
          <w:tcPr>
            <w:tcW w:w="911" w:type="dxa"/>
            <w:vAlign w:val="center"/>
          </w:tcPr>
          <w:p w14:paraId="22058839"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Indonesia</w:t>
                </w:r>
              </w:smartTag>
            </w:smartTag>
          </w:p>
        </w:tc>
        <w:tc>
          <w:tcPr>
            <w:tcW w:w="701" w:type="dxa"/>
            <w:vAlign w:val="center"/>
          </w:tcPr>
          <w:p w14:paraId="4947C96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2118" w:type="dxa"/>
            <w:vAlign w:val="center"/>
          </w:tcPr>
          <w:p w14:paraId="62062DF6" w14:textId="77777777" w:rsidR="00FB39A5" w:rsidRPr="00FB39A5" w:rsidRDefault="00FB39A5" w:rsidP="00FB39A5">
            <w:pPr>
              <w:autoSpaceDE w:val="0"/>
              <w:autoSpaceDN w:val="0"/>
              <w:adjustRightInd w:val="0"/>
              <w:rPr>
                <w:rFonts w:ascii="Arial" w:hAnsi="Arial" w:cs="Arial"/>
                <w:sz w:val="12"/>
                <w:szCs w:val="12"/>
                <w:lang w:val="en-GB"/>
              </w:rPr>
            </w:pPr>
            <w:smartTag w:uri="urn:schemas-microsoft-com:office:smarttags" w:element="place">
              <w:r w:rsidRPr="00FB39A5">
                <w:rPr>
                  <w:rFonts w:ascii="Arial" w:hAnsi="Arial" w:cs="Arial"/>
                  <w:sz w:val="12"/>
                  <w:szCs w:val="12"/>
                  <w:lang w:val="en-GB"/>
                </w:rPr>
                <w:t>Makassar</w:t>
              </w:r>
            </w:smartTag>
          </w:p>
        </w:tc>
        <w:tc>
          <w:tcPr>
            <w:tcW w:w="1000" w:type="dxa"/>
            <w:vAlign w:val="center"/>
          </w:tcPr>
          <w:p w14:paraId="221E236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27.00</w:t>
            </w:r>
          </w:p>
        </w:tc>
        <w:tc>
          <w:tcPr>
            <w:tcW w:w="800" w:type="dxa"/>
            <w:vAlign w:val="center"/>
          </w:tcPr>
          <w:p w14:paraId="794071D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385B4B7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83,532,059.26</w:t>
            </w:r>
          </w:p>
        </w:tc>
        <w:tc>
          <w:tcPr>
            <w:tcW w:w="600" w:type="dxa"/>
            <w:vAlign w:val="center"/>
          </w:tcPr>
          <w:p w14:paraId="216C289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5" w:type="dxa"/>
            <w:vAlign w:val="center"/>
          </w:tcPr>
          <w:p w14:paraId="4D5F1B4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54A7340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replacement Cost</w:t>
            </w:r>
          </w:p>
        </w:tc>
        <w:tc>
          <w:tcPr>
            <w:tcW w:w="1553" w:type="dxa"/>
            <w:vAlign w:val="center"/>
          </w:tcPr>
          <w:p w14:paraId="2D83252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83,532,059.26</w:t>
            </w:r>
          </w:p>
        </w:tc>
        <w:tc>
          <w:tcPr>
            <w:tcW w:w="1600" w:type="dxa"/>
            <w:tcBorders>
              <w:top w:val="single" w:sz="4" w:space="0" w:color="auto"/>
              <w:bottom w:val="single" w:sz="4" w:space="0" w:color="auto"/>
            </w:tcBorders>
            <w:shd w:val="clear" w:color="FFFF00" w:fill="D9D9D9"/>
            <w:vAlign w:val="center"/>
          </w:tcPr>
          <w:p w14:paraId="1B35A07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8,592.37</w:t>
            </w:r>
          </w:p>
        </w:tc>
        <w:tc>
          <w:tcPr>
            <w:tcW w:w="1400" w:type="dxa"/>
            <w:vAlign w:val="center"/>
          </w:tcPr>
          <w:p w14:paraId="7358BCE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231,994.07</w:t>
            </w:r>
          </w:p>
        </w:tc>
      </w:tr>
      <w:tr w:rsidR="00FB39A5" w:rsidRPr="00FB39A5" w14:paraId="06EBEF8E" w14:textId="77777777" w:rsidTr="00FB39A5">
        <w:tblPrEx>
          <w:tblCellMar>
            <w:top w:w="0" w:type="dxa"/>
            <w:bottom w:w="0" w:type="dxa"/>
          </w:tblCellMar>
        </w:tblPrEx>
        <w:trPr>
          <w:trHeight w:val="70"/>
          <w:jc w:val="center"/>
        </w:trPr>
        <w:tc>
          <w:tcPr>
            <w:tcW w:w="911" w:type="dxa"/>
            <w:vAlign w:val="center"/>
          </w:tcPr>
          <w:p w14:paraId="653AEE25"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20CEE0E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2118" w:type="dxa"/>
            <w:vAlign w:val="center"/>
          </w:tcPr>
          <w:p w14:paraId="3B96C121"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Mamuju </w:t>
            </w:r>
          </w:p>
        </w:tc>
        <w:tc>
          <w:tcPr>
            <w:tcW w:w="1000" w:type="dxa"/>
            <w:vAlign w:val="center"/>
          </w:tcPr>
          <w:p w14:paraId="217BE63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976.00</w:t>
            </w:r>
          </w:p>
        </w:tc>
        <w:tc>
          <w:tcPr>
            <w:tcW w:w="800" w:type="dxa"/>
            <w:vAlign w:val="center"/>
          </w:tcPr>
          <w:p w14:paraId="293B433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618E652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4,485,291.92</w:t>
            </w:r>
          </w:p>
        </w:tc>
        <w:tc>
          <w:tcPr>
            <w:tcW w:w="600" w:type="dxa"/>
            <w:vAlign w:val="center"/>
          </w:tcPr>
          <w:p w14:paraId="2ECB70A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5" w:type="dxa"/>
            <w:vAlign w:val="center"/>
          </w:tcPr>
          <w:p w14:paraId="4DAD3DD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0A2B0B8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replacement cost</w:t>
            </w:r>
          </w:p>
        </w:tc>
        <w:tc>
          <w:tcPr>
            <w:tcW w:w="1553" w:type="dxa"/>
            <w:vAlign w:val="center"/>
          </w:tcPr>
          <w:p w14:paraId="3066BF8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4,485,291.92</w:t>
            </w:r>
          </w:p>
        </w:tc>
        <w:tc>
          <w:tcPr>
            <w:tcW w:w="1600" w:type="dxa"/>
            <w:tcBorders>
              <w:top w:val="single" w:sz="4" w:space="0" w:color="auto"/>
            </w:tcBorders>
            <w:vAlign w:val="center"/>
          </w:tcPr>
          <w:p w14:paraId="70CF0E7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461.37</w:t>
            </w:r>
          </w:p>
        </w:tc>
        <w:tc>
          <w:tcPr>
            <w:tcW w:w="1400" w:type="dxa"/>
            <w:vAlign w:val="center"/>
          </w:tcPr>
          <w:p w14:paraId="526BA6D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450,298.47</w:t>
            </w:r>
          </w:p>
        </w:tc>
      </w:tr>
      <w:tr w:rsidR="00FB39A5" w:rsidRPr="00FB39A5" w14:paraId="6B0386FB" w14:textId="77777777" w:rsidTr="00FB39A5">
        <w:tblPrEx>
          <w:tblCellMar>
            <w:top w:w="0" w:type="dxa"/>
            <w:bottom w:w="0" w:type="dxa"/>
          </w:tblCellMar>
        </w:tblPrEx>
        <w:trPr>
          <w:trHeight w:val="70"/>
          <w:jc w:val="center"/>
        </w:trPr>
        <w:tc>
          <w:tcPr>
            <w:tcW w:w="911" w:type="dxa"/>
            <w:vAlign w:val="center"/>
          </w:tcPr>
          <w:p w14:paraId="2451DA94"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733B17E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2118" w:type="dxa"/>
            <w:vAlign w:val="center"/>
          </w:tcPr>
          <w:p w14:paraId="3D103B2D"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 xml:space="preserve">Donggala </w:t>
            </w:r>
          </w:p>
        </w:tc>
        <w:tc>
          <w:tcPr>
            <w:tcW w:w="1000" w:type="dxa"/>
            <w:vAlign w:val="center"/>
          </w:tcPr>
          <w:p w14:paraId="32BB13C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18,300.00</w:t>
            </w:r>
          </w:p>
        </w:tc>
        <w:tc>
          <w:tcPr>
            <w:tcW w:w="800" w:type="dxa"/>
            <w:vAlign w:val="center"/>
          </w:tcPr>
          <w:p w14:paraId="4DF2786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6A011F3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110,919.62</w:t>
            </w:r>
          </w:p>
        </w:tc>
        <w:tc>
          <w:tcPr>
            <w:tcW w:w="600" w:type="dxa"/>
            <w:vAlign w:val="center"/>
          </w:tcPr>
          <w:p w14:paraId="4816819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5" w:type="dxa"/>
            <w:vAlign w:val="center"/>
          </w:tcPr>
          <w:p w14:paraId="2276D2E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4384C4B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replacement cost</w:t>
            </w:r>
          </w:p>
        </w:tc>
        <w:tc>
          <w:tcPr>
            <w:tcW w:w="1553" w:type="dxa"/>
            <w:vAlign w:val="center"/>
          </w:tcPr>
          <w:p w14:paraId="577BD5E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110,919.62</w:t>
            </w:r>
          </w:p>
        </w:tc>
        <w:tc>
          <w:tcPr>
            <w:tcW w:w="1600" w:type="dxa"/>
            <w:vAlign w:val="center"/>
          </w:tcPr>
          <w:p w14:paraId="44C90F6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11.41</w:t>
            </w:r>
          </w:p>
        </w:tc>
        <w:tc>
          <w:tcPr>
            <w:tcW w:w="1400" w:type="dxa"/>
            <w:vAlign w:val="center"/>
          </w:tcPr>
          <w:p w14:paraId="706197A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208,794.67</w:t>
            </w:r>
          </w:p>
        </w:tc>
      </w:tr>
      <w:tr w:rsidR="00FB39A5" w:rsidRPr="00FB39A5" w14:paraId="3ABD436C" w14:textId="77777777" w:rsidTr="00FB39A5">
        <w:tblPrEx>
          <w:tblCellMar>
            <w:top w:w="0" w:type="dxa"/>
            <w:bottom w:w="0" w:type="dxa"/>
          </w:tblCellMar>
        </w:tblPrEx>
        <w:trPr>
          <w:trHeight w:val="240"/>
          <w:jc w:val="center"/>
        </w:trPr>
        <w:tc>
          <w:tcPr>
            <w:tcW w:w="911" w:type="dxa"/>
            <w:vAlign w:val="center"/>
          </w:tcPr>
          <w:p w14:paraId="015E36B6"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16658A6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2118" w:type="dxa"/>
            <w:vAlign w:val="center"/>
          </w:tcPr>
          <w:p w14:paraId="507B8AA7"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Karawang, W. Java Perhutani's property</w:t>
            </w:r>
          </w:p>
        </w:tc>
        <w:tc>
          <w:tcPr>
            <w:tcW w:w="1000" w:type="dxa"/>
            <w:vAlign w:val="center"/>
          </w:tcPr>
          <w:p w14:paraId="2E8309F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16,000.00</w:t>
            </w:r>
          </w:p>
        </w:tc>
        <w:tc>
          <w:tcPr>
            <w:tcW w:w="800" w:type="dxa"/>
            <w:vAlign w:val="center"/>
          </w:tcPr>
          <w:p w14:paraId="74220A1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58E9170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415,380.00</w:t>
            </w:r>
          </w:p>
        </w:tc>
        <w:tc>
          <w:tcPr>
            <w:tcW w:w="600" w:type="dxa"/>
            <w:vAlign w:val="center"/>
          </w:tcPr>
          <w:p w14:paraId="0124395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5" w:type="dxa"/>
            <w:vAlign w:val="center"/>
          </w:tcPr>
          <w:p w14:paraId="65B8660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6E2E961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replacement cost</w:t>
            </w:r>
          </w:p>
        </w:tc>
        <w:tc>
          <w:tcPr>
            <w:tcW w:w="1553" w:type="dxa"/>
            <w:vAlign w:val="center"/>
          </w:tcPr>
          <w:p w14:paraId="0C42136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458,780.65</w:t>
            </w:r>
          </w:p>
        </w:tc>
        <w:tc>
          <w:tcPr>
            <w:tcW w:w="1600" w:type="dxa"/>
            <w:vAlign w:val="center"/>
          </w:tcPr>
          <w:p w14:paraId="5DF039A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47.19</w:t>
            </w:r>
          </w:p>
        </w:tc>
        <w:tc>
          <w:tcPr>
            <w:tcW w:w="1400" w:type="dxa"/>
            <w:vAlign w:val="center"/>
          </w:tcPr>
          <w:p w14:paraId="63E09B9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755,066.17</w:t>
            </w:r>
          </w:p>
        </w:tc>
      </w:tr>
      <w:tr w:rsidR="00FB39A5" w:rsidRPr="00FB39A5" w14:paraId="6470EE73" w14:textId="77777777" w:rsidTr="00FB39A5">
        <w:tblPrEx>
          <w:tblCellMar>
            <w:top w:w="0" w:type="dxa"/>
            <w:bottom w:w="0" w:type="dxa"/>
          </w:tblCellMar>
        </w:tblPrEx>
        <w:trPr>
          <w:trHeight w:val="240"/>
          <w:jc w:val="center"/>
        </w:trPr>
        <w:tc>
          <w:tcPr>
            <w:tcW w:w="911" w:type="dxa"/>
            <w:vAlign w:val="center"/>
          </w:tcPr>
          <w:p w14:paraId="09D06B17"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701" w:type="dxa"/>
            <w:vAlign w:val="center"/>
          </w:tcPr>
          <w:p w14:paraId="1BA9179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2118" w:type="dxa"/>
            <w:vAlign w:val="center"/>
          </w:tcPr>
          <w:p w14:paraId="40F9D0B8" w14:textId="77777777" w:rsidR="00FB39A5" w:rsidRPr="00FB39A5" w:rsidRDefault="00FB39A5" w:rsidP="00FB39A5">
            <w:pPr>
              <w:autoSpaceDE w:val="0"/>
              <w:autoSpaceDN w:val="0"/>
              <w:adjustRightInd w:val="0"/>
              <w:ind w:right="-11"/>
              <w:rPr>
                <w:rFonts w:ascii="Arial" w:hAnsi="Arial" w:cs="Arial"/>
                <w:sz w:val="12"/>
                <w:szCs w:val="12"/>
                <w:lang w:val="en-GB"/>
              </w:rPr>
            </w:pPr>
            <w:r w:rsidRPr="00FB39A5">
              <w:rPr>
                <w:rFonts w:ascii="Arial" w:hAnsi="Arial" w:cs="Arial"/>
                <w:sz w:val="12"/>
                <w:szCs w:val="12"/>
                <w:lang w:val="en-GB"/>
              </w:rPr>
              <w:t>Karawang, W.t Java Private property</w:t>
            </w:r>
          </w:p>
        </w:tc>
        <w:tc>
          <w:tcPr>
            <w:tcW w:w="1000" w:type="dxa"/>
            <w:vAlign w:val="center"/>
          </w:tcPr>
          <w:p w14:paraId="4AC901C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7,200.00</w:t>
            </w:r>
          </w:p>
        </w:tc>
        <w:tc>
          <w:tcPr>
            <w:tcW w:w="800" w:type="dxa"/>
            <w:vAlign w:val="center"/>
          </w:tcPr>
          <w:p w14:paraId="1C560E7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2C7545D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403,849.44</w:t>
            </w:r>
          </w:p>
        </w:tc>
        <w:tc>
          <w:tcPr>
            <w:tcW w:w="600" w:type="dxa"/>
            <w:vAlign w:val="center"/>
          </w:tcPr>
          <w:p w14:paraId="2A0530C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5" w:type="dxa"/>
            <w:vAlign w:val="center"/>
          </w:tcPr>
          <w:p w14:paraId="242E37A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1C1A2CA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replacement cost</w:t>
            </w:r>
          </w:p>
        </w:tc>
        <w:tc>
          <w:tcPr>
            <w:tcW w:w="1553" w:type="dxa"/>
            <w:vAlign w:val="center"/>
          </w:tcPr>
          <w:p w14:paraId="332FEFD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446,045.33</w:t>
            </w:r>
          </w:p>
        </w:tc>
        <w:tc>
          <w:tcPr>
            <w:tcW w:w="1600" w:type="dxa"/>
            <w:vAlign w:val="center"/>
          </w:tcPr>
          <w:p w14:paraId="5110D78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45.88</w:t>
            </w:r>
          </w:p>
        </w:tc>
        <w:tc>
          <w:tcPr>
            <w:tcW w:w="1400" w:type="dxa"/>
            <w:vAlign w:val="center"/>
          </w:tcPr>
          <w:p w14:paraId="0E2960B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330,347.81</w:t>
            </w:r>
          </w:p>
        </w:tc>
      </w:tr>
    </w:tbl>
    <w:p w14:paraId="5B78B008" w14:textId="77777777" w:rsidR="00FB39A5" w:rsidRPr="00FB39A5" w:rsidRDefault="00FB39A5" w:rsidP="00FB39A5">
      <w:pPr>
        <w:tabs>
          <w:tab w:val="left" w:pos="1400"/>
        </w:tabs>
        <w:spacing w:after="120"/>
        <w:ind w:left="1397" w:hanging="1497"/>
        <w:jc w:val="both"/>
        <w:rPr>
          <w:rFonts w:ascii="Arial" w:hAnsi="Arial" w:cs="Arial"/>
          <w:b/>
          <w:bCs/>
          <w:sz w:val="20"/>
          <w:lang w:val="en-GB"/>
        </w:rPr>
      </w:pPr>
    </w:p>
    <w:p w14:paraId="4005FF38" w14:textId="77777777" w:rsidR="00FB39A5" w:rsidRPr="00687722" w:rsidRDefault="00FB39A5" w:rsidP="00FB39A5">
      <w:pPr>
        <w:tabs>
          <w:tab w:val="left" w:pos="1400"/>
        </w:tabs>
        <w:spacing w:after="120"/>
        <w:ind w:left="1397" w:hanging="1497"/>
        <w:jc w:val="both"/>
        <w:rPr>
          <w:sz w:val="21"/>
          <w:szCs w:val="21"/>
          <w:lang w:val="en-GB"/>
        </w:rPr>
      </w:pPr>
      <w:r w:rsidRPr="00FB39A5">
        <w:rPr>
          <w:rFonts w:ascii="Arial" w:hAnsi="Arial" w:cs="Arial"/>
          <w:b/>
          <w:bCs/>
          <w:sz w:val="20"/>
          <w:lang w:val="en-GB"/>
        </w:rPr>
        <w:br w:type="page"/>
      </w:r>
      <w:r w:rsidRPr="00687722">
        <w:rPr>
          <w:b/>
          <w:sz w:val="21"/>
          <w:szCs w:val="21"/>
          <w:lang w:val="en-GB"/>
        </w:rPr>
        <w:t xml:space="preserve">Table 3 </w:t>
      </w:r>
      <w:r w:rsidRPr="00687722">
        <w:rPr>
          <w:b/>
          <w:i/>
          <w:iCs/>
          <w:sz w:val="21"/>
          <w:szCs w:val="21"/>
          <w:lang w:val="en-GB"/>
        </w:rPr>
        <w:t>cont.</w:t>
      </w:r>
      <w:r w:rsidRPr="00687722">
        <w:rPr>
          <w:sz w:val="21"/>
          <w:szCs w:val="21"/>
          <w:lang w:val="en-GB"/>
        </w:rPr>
        <w:tab/>
        <w:t>Values of services from mangrove ecosystems at various locations bordering the South China Sea. Values in the shaded cells were not used in the subsequent analysis to determine national and regional weighted mean values for each service.</w:t>
      </w:r>
    </w:p>
    <w:tbl>
      <w:tblPr>
        <w:tblW w:w="1422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910"/>
        <w:gridCol w:w="602"/>
        <w:gridCol w:w="2218"/>
        <w:gridCol w:w="1000"/>
        <w:gridCol w:w="800"/>
        <w:gridCol w:w="1200"/>
        <w:gridCol w:w="600"/>
        <w:gridCol w:w="955"/>
        <w:gridCol w:w="1387"/>
        <w:gridCol w:w="1553"/>
        <w:gridCol w:w="1600"/>
        <w:gridCol w:w="1400"/>
      </w:tblGrid>
      <w:tr w:rsidR="00FB39A5" w:rsidRPr="00FB39A5" w14:paraId="609C147A" w14:textId="77777777" w:rsidTr="00FB39A5">
        <w:tblPrEx>
          <w:tblCellMar>
            <w:top w:w="0" w:type="dxa"/>
            <w:bottom w:w="0" w:type="dxa"/>
          </w:tblCellMar>
        </w:tblPrEx>
        <w:trPr>
          <w:trHeight w:val="468"/>
          <w:jc w:val="center"/>
        </w:trPr>
        <w:tc>
          <w:tcPr>
            <w:tcW w:w="911" w:type="dxa"/>
            <w:tcBorders>
              <w:top w:val="single" w:sz="12" w:space="0" w:color="auto"/>
              <w:bottom w:val="single" w:sz="12" w:space="0" w:color="auto"/>
            </w:tcBorders>
            <w:vAlign w:val="center"/>
          </w:tcPr>
          <w:p w14:paraId="411CD8CB" w14:textId="77777777" w:rsidR="00FB39A5" w:rsidRPr="00FB39A5" w:rsidRDefault="00FB39A5" w:rsidP="00FB39A5">
            <w:pPr>
              <w:autoSpaceDE w:val="0"/>
              <w:autoSpaceDN w:val="0"/>
              <w:adjustRightInd w:val="0"/>
              <w:jc w:val="both"/>
              <w:rPr>
                <w:rFonts w:ascii="Arial" w:hAnsi="Arial" w:cs="Arial"/>
                <w:b/>
                <w:sz w:val="16"/>
                <w:szCs w:val="16"/>
                <w:lang w:val="en-GB"/>
              </w:rPr>
            </w:pPr>
            <w:r w:rsidRPr="00FB39A5">
              <w:rPr>
                <w:rFonts w:ascii="Arial" w:hAnsi="Arial" w:cs="Arial"/>
                <w:b/>
                <w:sz w:val="16"/>
                <w:szCs w:val="16"/>
                <w:lang w:val="en-GB"/>
              </w:rPr>
              <w:t>Country</w:t>
            </w:r>
          </w:p>
        </w:tc>
        <w:tc>
          <w:tcPr>
            <w:tcW w:w="603" w:type="dxa"/>
            <w:tcBorders>
              <w:top w:val="single" w:sz="12" w:space="0" w:color="auto"/>
              <w:bottom w:val="single" w:sz="12" w:space="0" w:color="auto"/>
            </w:tcBorders>
            <w:vAlign w:val="center"/>
          </w:tcPr>
          <w:p w14:paraId="0AB5A83C" w14:textId="77777777" w:rsidR="00FB39A5" w:rsidRPr="00FB39A5" w:rsidRDefault="00FB39A5" w:rsidP="00FB39A5">
            <w:pPr>
              <w:autoSpaceDE w:val="0"/>
              <w:autoSpaceDN w:val="0"/>
              <w:adjustRightInd w:val="0"/>
              <w:jc w:val="center"/>
              <w:rPr>
                <w:rFonts w:ascii="Arial" w:hAnsi="Arial" w:cs="Arial"/>
                <w:b/>
                <w:sz w:val="16"/>
                <w:szCs w:val="16"/>
                <w:lang w:val="en-GB"/>
              </w:rPr>
            </w:pPr>
            <w:r w:rsidRPr="00FB39A5">
              <w:rPr>
                <w:rFonts w:ascii="Arial" w:hAnsi="Arial" w:cs="Arial"/>
                <w:b/>
                <w:sz w:val="16"/>
                <w:szCs w:val="16"/>
                <w:lang w:val="en-GB"/>
              </w:rPr>
              <w:t>Year</w:t>
            </w:r>
          </w:p>
        </w:tc>
        <w:tc>
          <w:tcPr>
            <w:tcW w:w="2216" w:type="dxa"/>
            <w:tcBorders>
              <w:top w:val="single" w:sz="12" w:space="0" w:color="auto"/>
              <w:bottom w:val="single" w:sz="12" w:space="0" w:color="auto"/>
            </w:tcBorders>
            <w:vAlign w:val="center"/>
          </w:tcPr>
          <w:p w14:paraId="7603BA05"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Location</w:t>
            </w:r>
          </w:p>
        </w:tc>
        <w:tc>
          <w:tcPr>
            <w:tcW w:w="1000" w:type="dxa"/>
            <w:tcBorders>
              <w:top w:val="single" w:sz="12" w:space="0" w:color="auto"/>
              <w:bottom w:val="single" w:sz="12" w:space="0" w:color="auto"/>
            </w:tcBorders>
            <w:vAlign w:val="center"/>
          </w:tcPr>
          <w:p w14:paraId="080442D0"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Total Area (Ha)</w:t>
            </w:r>
          </w:p>
        </w:tc>
        <w:tc>
          <w:tcPr>
            <w:tcW w:w="800" w:type="dxa"/>
            <w:tcBorders>
              <w:top w:val="single" w:sz="12" w:space="0" w:color="auto"/>
              <w:bottom w:val="single" w:sz="12" w:space="0" w:color="auto"/>
            </w:tcBorders>
            <w:vAlign w:val="center"/>
          </w:tcPr>
          <w:p w14:paraId="2683D5BE" w14:textId="77777777" w:rsidR="00FB39A5" w:rsidRPr="00FB39A5" w:rsidRDefault="00FB39A5" w:rsidP="00FB39A5">
            <w:pPr>
              <w:autoSpaceDE w:val="0"/>
              <w:autoSpaceDN w:val="0"/>
              <w:adjustRightInd w:val="0"/>
              <w:jc w:val="center"/>
              <w:rPr>
                <w:rFonts w:ascii="Arial" w:hAnsi="Arial" w:cs="Arial"/>
                <w:b/>
                <w:sz w:val="16"/>
                <w:szCs w:val="16"/>
                <w:lang w:val="en-GB"/>
              </w:rPr>
            </w:pPr>
            <w:r w:rsidRPr="00FB39A5">
              <w:rPr>
                <w:rFonts w:ascii="Arial" w:hAnsi="Arial" w:cs="Arial"/>
                <w:b/>
                <w:sz w:val="16"/>
                <w:szCs w:val="16"/>
                <w:lang w:val="en-GB"/>
              </w:rPr>
              <w:t>Currency</w:t>
            </w:r>
          </w:p>
        </w:tc>
        <w:tc>
          <w:tcPr>
            <w:tcW w:w="1200" w:type="dxa"/>
            <w:tcBorders>
              <w:top w:val="single" w:sz="12" w:space="0" w:color="auto"/>
              <w:bottom w:val="single" w:sz="12" w:space="0" w:color="auto"/>
            </w:tcBorders>
            <w:vAlign w:val="center"/>
          </w:tcPr>
          <w:p w14:paraId="2AABABFF"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Value per Ha Local currency</w:t>
            </w:r>
          </w:p>
        </w:tc>
        <w:tc>
          <w:tcPr>
            <w:tcW w:w="600" w:type="dxa"/>
            <w:tcBorders>
              <w:top w:val="single" w:sz="12" w:space="0" w:color="auto"/>
              <w:bottom w:val="single" w:sz="12" w:space="0" w:color="auto"/>
            </w:tcBorders>
            <w:vAlign w:val="center"/>
          </w:tcPr>
          <w:p w14:paraId="16F2248A"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CPI (base 2005)</w:t>
            </w:r>
          </w:p>
        </w:tc>
        <w:tc>
          <w:tcPr>
            <w:tcW w:w="955" w:type="dxa"/>
            <w:tcBorders>
              <w:top w:val="single" w:sz="12" w:space="0" w:color="auto"/>
              <w:bottom w:val="single" w:sz="12" w:space="0" w:color="auto"/>
            </w:tcBorders>
            <w:vAlign w:val="center"/>
          </w:tcPr>
          <w:p w14:paraId="62707FDF"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2005 Exchange Rate</w:t>
            </w:r>
          </w:p>
        </w:tc>
        <w:tc>
          <w:tcPr>
            <w:tcW w:w="1387" w:type="dxa"/>
            <w:tcBorders>
              <w:top w:val="single" w:sz="12" w:space="0" w:color="auto"/>
              <w:bottom w:val="single" w:sz="12" w:space="0" w:color="auto"/>
            </w:tcBorders>
            <w:vAlign w:val="center"/>
          </w:tcPr>
          <w:p w14:paraId="10E681A1"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Valuation Method</w:t>
            </w:r>
          </w:p>
        </w:tc>
        <w:tc>
          <w:tcPr>
            <w:tcW w:w="1553" w:type="dxa"/>
            <w:tcBorders>
              <w:top w:val="single" w:sz="12" w:space="0" w:color="auto"/>
              <w:bottom w:val="single" w:sz="12" w:space="0" w:color="auto"/>
            </w:tcBorders>
            <w:vAlign w:val="center"/>
          </w:tcPr>
          <w:p w14:paraId="7607BB60"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Standard National Value, 2005, per hectare in local Currency</w:t>
            </w:r>
          </w:p>
        </w:tc>
        <w:tc>
          <w:tcPr>
            <w:tcW w:w="1600" w:type="dxa"/>
            <w:tcBorders>
              <w:top w:val="single" w:sz="12" w:space="0" w:color="auto"/>
              <w:bottom w:val="single" w:sz="12" w:space="0" w:color="auto"/>
            </w:tcBorders>
            <w:shd w:val="clear" w:color="FFFF00" w:fill="auto"/>
            <w:vAlign w:val="center"/>
          </w:tcPr>
          <w:p w14:paraId="21AC536E"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 xml:space="preserve">Regionally comparable Value per hectare </w:t>
            </w:r>
            <w:smartTag w:uri="urn:schemas-microsoft-com:office:smarttags" w:element="place">
              <w:smartTag w:uri="urn:schemas-microsoft-com:office:smarttags" w:element="country-region">
                <w:r w:rsidRPr="00FB39A5">
                  <w:rPr>
                    <w:rFonts w:ascii="Arial" w:hAnsi="Arial" w:cs="Arial"/>
                    <w:b/>
                    <w:bCs/>
                    <w:sz w:val="16"/>
                    <w:szCs w:val="16"/>
                    <w:lang w:val="en-GB"/>
                  </w:rPr>
                  <w:t>US</w:t>
                </w:r>
              </w:smartTag>
            </w:smartTag>
            <w:r w:rsidRPr="00FB39A5">
              <w:rPr>
                <w:rFonts w:ascii="Arial" w:hAnsi="Arial" w:cs="Arial"/>
                <w:b/>
                <w:bCs/>
                <w:sz w:val="16"/>
                <w:szCs w:val="16"/>
                <w:lang w:val="en-GB"/>
              </w:rPr>
              <w:t>$</w:t>
            </w:r>
          </w:p>
        </w:tc>
        <w:tc>
          <w:tcPr>
            <w:tcW w:w="1400" w:type="dxa"/>
            <w:tcBorders>
              <w:top w:val="single" w:sz="12" w:space="0" w:color="auto"/>
              <w:bottom w:val="single" w:sz="12" w:space="0" w:color="auto"/>
            </w:tcBorders>
            <w:vAlign w:val="center"/>
          </w:tcPr>
          <w:p w14:paraId="6B0958AF"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Total Value by Locality</w:t>
            </w:r>
          </w:p>
        </w:tc>
      </w:tr>
      <w:tr w:rsidR="00FB39A5" w:rsidRPr="00FB39A5" w14:paraId="0A9A4F9C" w14:textId="77777777" w:rsidTr="00FB39A5">
        <w:tblPrEx>
          <w:tblCellMar>
            <w:top w:w="0" w:type="dxa"/>
            <w:bottom w:w="0" w:type="dxa"/>
          </w:tblCellMar>
        </w:tblPrEx>
        <w:trPr>
          <w:trHeight w:val="93"/>
          <w:jc w:val="center"/>
        </w:trPr>
        <w:tc>
          <w:tcPr>
            <w:tcW w:w="911" w:type="dxa"/>
            <w:tcBorders>
              <w:top w:val="single" w:sz="12" w:space="0" w:color="auto"/>
            </w:tcBorders>
            <w:vAlign w:val="center"/>
          </w:tcPr>
          <w:p w14:paraId="5ECA8388"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tcBorders>
              <w:top w:val="single" w:sz="12" w:space="0" w:color="auto"/>
            </w:tcBorders>
            <w:vAlign w:val="center"/>
          </w:tcPr>
          <w:p w14:paraId="1A24D1E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2219" w:type="dxa"/>
            <w:tcBorders>
              <w:top w:val="single" w:sz="12" w:space="0" w:color="auto"/>
            </w:tcBorders>
            <w:vAlign w:val="center"/>
          </w:tcPr>
          <w:p w14:paraId="11942D35"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Marisa</w:t>
                </w:r>
              </w:smartTag>
              <w:r w:rsidRPr="00FB39A5">
                <w:rPr>
                  <w:rFonts w:ascii="Arial" w:hAnsi="Arial" w:cs="Arial"/>
                  <w:sz w:val="12"/>
                  <w:szCs w:val="12"/>
                  <w:lang w:val="en-GB"/>
                </w:rPr>
                <w:t xml:space="preserve"> </w:t>
              </w:r>
              <w:smartTag w:uri="urn:schemas-microsoft-com:office:smarttags" w:element="PlaceName">
                <w:r w:rsidRPr="00FB39A5">
                  <w:rPr>
                    <w:rFonts w:ascii="Arial" w:hAnsi="Arial" w:cs="Arial"/>
                    <w:sz w:val="12"/>
                    <w:szCs w:val="12"/>
                    <w:lang w:val="en-GB"/>
                  </w:rPr>
                  <w:t>District</w:t>
                </w:r>
              </w:smartTag>
            </w:smartTag>
            <w:r w:rsidRPr="00FB39A5">
              <w:rPr>
                <w:rFonts w:ascii="Arial" w:hAnsi="Arial" w:cs="Arial"/>
                <w:sz w:val="12"/>
                <w:szCs w:val="12"/>
                <w:lang w:val="en-GB"/>
              </w:rPr>
              <w:t>, Gorontalo</w:t>
            </w:r>
          </w:p>
        </w:tc>
        <w:tc>
          <w:tcPr>
            <w:tcW w:w="1000" w:type="dxa"/>
            <w:tcBorders>
              <w:top w:val="single" w:sz="12" w:space="0" w:color="auto"/>
            </w:tcBorders>
            <w:vAlign w:val="center"/>
          </w:tcPr>
          <w:p w14:paraId="7C9711E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5,332.00</w:t>
            </w:r>
          </w:p>
        </w:tc>
        <w:tc>
          <w:tcPr>
            <w:tcW w:w="800" w:type="dxa"/>
            <w:tcBorders>
              <w:top w:val="single" w:sz="12" w:space="0" w:color="auto"/>
            </w:tcBorders>
            <w:vAlign w:val="center"/>
          </w:tcPr>
          <w:p w14:paraId="4A95FDD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tcBorders>
              <w:top w:val="single" w:sz="12" w:space="0" w:color="auto"/>
            </w:tcBorders>
            <w:vAlign w:val="center"/>
          </w:tcPr>
          <w:p w14:paraId="773718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1,815,650.00</w:t>
            </w:r>
          </w:p>
        </w:tc>
        <w:tc>
          <w:tcPr>
            <w:tcW w:w="600" w:type="dxa"/>
            <w:tcBorders>
              <w:top w:val="single" w:sz="12" w:space="0" w:color="auto"/>
            </w:tcBorders>
            <w:vAlign w:val="center"/>
          </w:tcPr>
          <w:p w14:paraId="17AE6EA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5" w:type="dxa"/>
            <w:tcBorders>
              <w:top w:val="single" w:sz="12" w:space="0" w:color="auto"/>
            </w:tcBorders>
            <w:vAlign w:val="center"/>
          </w:tcPr>
          <w:p w14:paraId="19D869A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tcBorders>
              <w:top w:val="single" w:sz="12" w:space="0" w:color="auto"/>
            </w:tcBorders>
            <w:vAlign w:val="center"/>
          </w:tcPr>
          <w:p w14:paraId="1E5A8CE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replacement cost</w:t>
            </w:r>
          </w:p>
        </w:tc>
        <w:tc>
          <w:tcPr>
            <w:tcW w:w="1553" w:type="dxa"/>
            <w:tcBorders>
              <w:top w:val="single" w:sz="12" w:space="0" w:color="auto"/>
            </w:tcBorders>
            <w:vAlign w:val="center"/>
          </w:tcPr>
          <w:p w14:paraId="12DC543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2,005,356.75</w:t>
            </w:r>
          </w:p>
        </w:tc>
        <w:tc>
          <w:tcPr>
            <w:tcW w:w="1600" w:type="dxa"/>
            <w:tcBorders>
              <w:top w:val="single" w:sz="12" w:space="0" w:color="auto"/>
            </w:tcBorders>
            <w:vAlign w:val="center"/>
          </w:tcPr>
          <w:p w14:paraId="29974A6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206.28</w:t>
            </w:r>
          </w:p>
        </w:tc>
        <w:tc>
          <w:tcPr>
            <w:tcW w:w="1400" w:type="dxa"/>
            <w:tcBorders>
              <w:top w:val="single" w:sz="12" w:space="0" w:color="auto"/>
            </w:tcBorders>
            <w:vAlign w:val="center"/>
          </w:tcPr>
          <w:p w14:paraId="2C0D058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1,099,870.93</w:t>
            </w:r>
          </w:p>
        </w:tc>
      </w:tr>
      <w:tr w:rsidR="00FB39A5" w:rsidRPr="00FB39A5" w14:paraId="486E0ADC" w14:textId="77777777" w:rsidTr="00FB39A5">
        <w:tblPrEx>
          <w:tblCellMar>
            <w:top w:w="0" w:type="dxa"/>
            <w:bottom w:w="0" w:type="dxa"/>
          </w:tblCellMar>
        </w:tblPrEx>
        <w:trPr>
          <w:trHeight w:val="70"/>
          <w:jc w:val="center"/>
        </w:trPr>
        <w:tc>
          <w:tcPr>
            <w:tcW w:w="911" w:type="dxa"/>
            <w:vAlign w:val="center"/>
          </w:tcPr>
          <w:p w14:paraId="5CECCA4B"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0319890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2003</w:t>
            </w:r>
          </w:p>
        </w:tc>
        <w:tc>
          <w:tcPr>
            <w:tcW w:w="2219" w:type="dxa"/>
            <w:vAlign w:val="center"/>
          </w:tcPr>
          <w:p w14:paraId="05AB571F"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Kangean island</w:t>
            </w:r>
          </w:p>
        </w:tc>
        <w:tc>
          <w:tcPr>
            <w:tcW w:w="1000" w:type="dxa"/>
            <w:vAlign w:val="center"/>
          </w:tcPr>
          <w:p w14:paraId="1939F7D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1,708.00</w:t>
            </w:r>
          </w:p>
        </w:tc>
        <w:tc>
          <w:tcPr>
            <w:tcW w:w="800" w:type="dxa"/>
            <w:vAlign w:val="center"/>
          </w:tcPr>
          <w:p w14:paraId="5FE69B3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2CDD519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14,000,000.00</w:t>
            </w:r>
          </w:p>
        </w:tc>
        <w:tc>
          <w:tcPr>
            <w:tcW w:w="600" w:type="dxa"/>
            <w:vAlign w:val="center"/>
          </w:tcPr>
          <w:p w14:paraId="418F6C9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85.22</w:t>
            </w:r>
          </w:p>
        </w:tc>
        <w:tc>
          <w:tcPr>
            <w:tcW w:w="955" w:type="dxa"/>
            <w:vAlign w:val="center"/>
          </w:tcPr>
          <w:p w14:paraId="36459DD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27C4474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replacement cost</w:t>
            </w:r>
          </w:p>
        </w:tc>
        <w:tc>
          <w:tcPr>
            <w:tcW w:w="1553" w:type="dxa"/>
            <w:vAlign w:val="center"/>
          </w:tcPr>
          <w:p w14:paraId="2FEF14E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16,428,068.53</w:t>
            </w:r>
          </w:p>
        </w:tc>
        <w:tc>
          <w:tcPr>
            <w:tcW w:w="1600" w:type="dxa"/>
            <w:vAlign w:val="center"/>
          </w:tcPr>
          <w:p w14:paraId="0202D9C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1,689.84</w:t>
            </w:r>
          </w:p>
        </w:tc>
        <w:tc>
          <w:tcPr>
            <w:tcW w:w="1400" w:type="dxa"/>
            <w:vAlign w:val="center"/>
          </w:tcPr>
          <w:p w14:paraId="4268C58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2,886,252.42</w:t>
            </w:r>
          </w:p>
        </w:tc>
      </w:tr>
      <w:tr w:rsidR="00FB39A5" w:rsidRPr="00FB39A5" w14:paraId="1BA186F0" w14:textId="77777777" w:rsidTr="00FB39A5">
        <w:tblPrEx>
          <w:tblCellMar>
            <w:top w:w="0" w:type="dxa"/>
            <w:bottom w:w="0" w:type="dxa"/>
          </w:tblCellMar>
        </w:tblPrEx>
        <w:trPr>
          <w:trHeight w:val="70"/>
          <w:jc w:val="center"/>
        </w:trPr>
        <w:tc>
          <w:tcPr>
            <w:tcW w:w="911" w:type="dxa"/>
            <w:vAlign w:val="center"/>
          </w:tcPr>
          <w:p w14:paraId="40A3635A"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57274DD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2219" w:type="dxa"/>
            <w:vAlign w:val="center"/>
          </w:tcPr>
          <w:p w14:paraId="19E1D1ED"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TNL Bunaken </w:t>
            </w:r>
          </w:p>
        </w:tc>
        <w:tc>
          <w:tcPr>
            <w:tcW w:w="1000" w:type="dxa"/>
            <w:vAlign w:val="center"/>
          </w:tcPr>
          <w:p w14:paraId="073F3A0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160,700.00</w:t>
            </w:r>
          </w:p>
        </w:tc>
        <w:tc>
          <w:tcPr>
            <w:tcW w:w="800" w:type="dxa"/>
            <w:vAlign w:val="center"/>
          </w:tcPr>
          <w:p w14:paraId="1FA1081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7FC0180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3,432,000.00</w:t>
            </w:r>
          </w:p>
        </w:tc>
        <w:tc>
          <w:tcPr>
            <w:tcW w:w="600" w:type="dxa"/>
            <w:vAlign w:val="center"/>
          </w:tcPr>
          <w:p w14:paraId="0766647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79.95</w:t>
            </w:r>
          </w:p>
        </w:tc>
        <w:tc>
          <w:tcPr>
            <w:tcW w:w="955" w:type="dxa"/>
            <w:vAlign w:val="center"/>
          </w:tcPr>
          <w:p w14:paraId="7E28EB6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02DB441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replacement cost</w:t>
            </w:r>
          </w:p>
        </w:tc>
        <w:tc>
          <w:tcPr>
            <w:tcW w:w="1553" w:type="dxa"/>
            <w:vAlign w:val="center"/>
          </w:tcPr>
          <w:p w14:paraId="30CF8AB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4,292,682.93</w:t>
            </w:r>
          </w:p>
        </w:tc>
        <w:tc>
          <w:tcPr>
            <w:tcW w:w="1600" w:type="dxa"/>
            <w:vAlign w:val="center"/>
          </w:tcPr>
          <w:p w14:paraId="25091AA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441.56</w:t>
            </w:r>
          </w:p>
        </w:tc>
        <w:tc>
          <w:tcPr>
            <w:tcW w:w="1400" w:type="dxa"/>
            <w:vAlign w:val="center"/>
          </w:tcPr>
          <w:p w14:paraId="694F209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70,958,532.54</w:t>
            </w:r>
          </w:p>
        </w:tc>
      </w:tr>
      <w:tr w:rsidR="00FB39A5" w:rsidRPr="00FB39A5" w14:paraId="35A52809" w14:textId="77777777" w:rsidTr="00FB39A5">
        <w:tblPrEx>
          <w:tblCellMar>
            <w:top w:w="0" w:type="dxa"/>
            <w:bottom w:w="0" w:type="dxa"/>
          </w:tblCellMar>
        </w:tblPrEx>
        <w:trPr>
          <w:trHeight w:val="70"/>
          <w:jc w:val="center"/>
        </w:trPr>
        <w:tc>
          <w:tcPr>
            <w:tcW w:w="911" w:type="dxa"/>
            <w:vAlign w:val="center"/>
          </w:tcPr>
          <w:p w14:paraId="1EC26F5E"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24373C3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2001</w:t>
            </w:r>
          </w:p>
        </w:tc>
        <w:tc>
          <w:tcPr>
            <w:tcW w:w="2219" w:type="dxa"/>
            <w:vAlign w:val="center"/>
          </w:tcPr>
          <w:p w14:paraId="760F0138"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r w:rsidRPr="00FB39A5">
                <w:rPr>
                  <w:rFonts w:ascii="Arial" w:hAnsi="Arial" w:cs="Arial"/>
                  <w:sz w:val="12"/>
                  <w:szCs w:val="12"/>
                  <w:lang w:val="en-GB"/>
                </w:rPr>
                <w:t>Kalimantan</w:t>
              </w:r>
            </w:smartTag>
            <w:r w:rsidRPr="00FB39A5">
              <w:rPr>
                <w:rFonts w:ascii="Arial" w:hAnsi="Arial" w:cs="Arial"/>
                <w:sz w:val="12"/>
                <w:szCs w:val="12"/>
                <w:lang w:val="en-GB"/>
              </w:rPr>
              <w:t xml:space="preserve"> </w:t>
            </w:r>
          </w:p>
        </w:tc>
        <w:tc>
          <w:tcPr>
            <w:tcW w:w="1000" w:type="dxa"/>
            <w:vAlign w:val="center"/>
          </w:tcPr>
          <w:p w14:paraId="38AEB4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14,941.00</w:t>
            </w:r>
          </w:p>
        </w:tc>
        <w:tc>
          <w:tcPr>
            <w:tcW w:w="800" w:type="dxa"/>
            <w:vAlign w:val="center"/>
          </w:tcPr>
          <w:p w14:paraId="214A005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2EFCF2E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3,816,000.00</w:t>
            </w:r>
          </w:p>
        </w:tc>
        <w:tc>
          <w:tcPr>
            <w:tcW w:w="600" w:type="dxa"/>
            <w:vAlign w:val="center"/>
          </w:tcPr>
          <w:p w14:paraId="38FFA98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71.46</w:t>
            </w:r>
          </w:p>
        </w:tc>
        <w:tc>
          <w:tcPr>
            <w:tcW w:w="955" w:type="dxa"/>
            <w:vAlign w:val="center"/>
          </w:tcPr>
          <w:p w14:paraId="4317E54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06C2CB7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replacement cost</w:t>
            </w:r>
          </w:p>
        </w:tc>
        <w:tc>
          <w:tcPr>
            <w:tcW w:w="1553" w:type="dxa"/>
            <w:vAlign w:val="center"/>
          </w:tcPr>
          <w:p w14:paraId="7A03D6A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5,340,050.38</w:t>
            </w:r>
          </w:p>
        </w:tc>
        <w:tc>
          <w:tcPr>
            <w:tcW w:w="1600" w:type="dxa"/>
            <w:vAlign w:val="center"/>
          </w:tcPr>
          <w:p w14:paraId="004E1F9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549.29</w:t>
            </w:r>
          </w:p>
        </w:tc>
        <w:tc>
          <w:tcPr>
            <w:tcW w:w="1400" w:type="dxa"/>
            <w:vAlign w:val="center"/>
          </w:tcPr>
          <w:p w14:paraId="501E4E0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8,207,009.90</w:t>
            </w:r>
          </w:p>
        </w:tc>
      </w:tr>
      <w:tr w:rsidR="00FB39A5" w:rsidRPr="00FB39A5" w14:paraId="6BC80899" w14:textId="77777777" w:rsidTr="00FB39A5">
        <w:tblPrEx>
          <w:tblCellMar>
            <w:top w:w="0" w:type="dxa"/>
            <w:bottom w:w="0" w:type="dxa"/>
          </w:tblCellMar>
        </w:tblPrEx>
        <w:trPr>
          <w:trHeight w:val="70"/>
          <w:jc w:val="center"/>
        </w:trPr>
        <w:tc>
          <w:tcPr>
            <w:tcW w:w="911" w:type="dxa"/>
            <w:vAlign w:val="center"/>
          </w:tcPr>
          <w:p w14:paraId="1BFDA4EF"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6CAD191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2219" w:type="dxa"/>
            <w:vAlign w:val="center"/>
          </w:tcPr>
          <w:p w14:paraId="47A9B239"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Ameth</w:t>
                </w:r>
              </w:smartTag>
              <w:r w:rsidRPr="00FB39A5">
                <w:rPr>
                  <w:rFonts w:ascii="Arial" w:hAnsi="Arial" w:cs="Arial"/>
                  <w:sz w:val="12"/>
                  <w:szCs w:val="12"/>
                  <w:lang w:val="en-GB"/>
                </w:rPr>
                <w:t xml:space="preserve"> </w:t>
              </w:r>
              <w:smartTag w:uri="urn:schemas-microsoft-com:office:smarttags" w:element="PlaceType">
                <w:r w:rsidRPr="00FB39A5">
                  <w:rPr>
                    <w:rFonts w:ascii="Arial" w:hAnsi="Arial" w:cs="Arial"/>
                    <w:sz w:val="12"/>
                    <w:szCs w:val="12"/>
                    <w:lang w:val="en-GB"/>
                  </w:rPr>
                  <w:t>Village</w:t>
                </w:r>
              </w:smartTag>
            </w:smartTag>
            <w:r w:rsidRPr="00FB39A5">
              <w:rPr>
                <w:rFonts w:ascii="Arial" w:hAnsi="Arial" w:cs="Arial"/>
                <w:sz w:val="12"/>
                <w:szCs w:val="12"/>
                <w:lang w:val="en-GB"/>
              </w:rPr>
              <w:t>, Malluku</w:t>
            </w:r>
          </w:p>
        </w:tc>
        <w:tc>
          <w:tcPr>
            <w:tcW w:w="1000" w:type="dxa"/>
            <w:vAlign w:val="center"/>
          </w:tcPr>
          <w:p w14:paraId="5427073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8,500.00</w:t>
            </w:r>
          </w:p>
        </w:tc>
        <w:tc>
          <w:tcPr>
            <w:tcW w:w="800" w:type="dxa"/>
            <w:vAlign w:val="center"/>
          </w:tcPr>
          <w:p w14:paraId="784C2F3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1DBBCB8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255,000.00</w:t>
            </w:r>
          </w:p>
        </w:tc>
        <w:tc>
          <w:tcPr>
            <w:tcW w:w="600" w:type="dxa"/>
            <w:vAlign w:val="center"/>
          </w:tcPr>
          <w:p w14:paraId="487B308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5" w:type="dxa"/>
            <w:vAlign w:val="center"/>
          </w:tcPr>
          <w:p w14:paraId="3901F0B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1A7C09A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replacement cost</w:t>
            </w:r>
          </w:p>
        </w:tc>
        <w:tc>
          <w:tcPr>
            <w:tcW w:w="1553" w:type="dxa"/>
            <w:vAlign w:val="center"/>
          </w:tcPr>
          <w:p w14:paraId="238BF4F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397,877.98</w:t>
            </w:r>
          </w:p>
        </w:tc>
        <w:tc>
          <w:tcPr>
            <w:tcW w:w="1600" w:type="dxa"/>
            <w:vAlign w:val="center"/>
          </w:tcPr>
          <w:p w14:paraId="4B4237C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40.93</w:t>
            </w:r>
          </w:p>
        </w:tc>
        <w:tc>
          <w:tcPr>
            <w:tcW w:w="1400" w:type="dxa"/>
            <w:vAlign w:val="center"/>
          </w:tcPr>
          <w:p w14:paraId="4663553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347,879.45</w:t>
            </w:r>
          </w:p>
        </w:tc>
      </w:tr>
      <w:tr w:rsidR="00FB39A5" w:rsidRPr="00FB39A5" w14:paraId="0A3118F3" w14:textId="77777777" w:rsidTr="00FB39A5">
        <w:tblPrEx>
          <w:tblCellMar>
            <w:top w:w="0" w:type="dxa"/>
            <w:bottom w:w="0" w:type="dxa"/>
          </w:tblCellMar>
        </w:tblPrEx>
        <w:trPr>
          <w:trHeight w:val="70"/>
          <w:jc w:val="center"/>
        </w:trPr>
        <w:tc>
          <w:tcPr>
            <w:tcW w:w="911" w:type="dxa"/>
            <w:vAlign w:val="center"/>
          </w:tcPr>
          <w:p w14:paraId="73FEC094"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0F2ED64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2219" w:type="dxa"/>
            <w:vAlign w:val="center"/>
          </w:tcPr>
          <w:p w14:paraId="12DFBDB6"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Batu Ampar, </w:t>
            </w:r>
            <w:smartTag w:uri="urn:schemas-microsoft-com:office:smarttags" w:element="place">
              <w:smartTag w:uri="urn:schemas-microsoft-com:office:smarttags" w:element="City">
                <w:r w:rsidRPr="00FB39A5">
                  <w:rPr>
                    <w:rFonts w:ascii="Arial" w:hAnsi="Arial" w:cs="Arial"/>
                    <w:sz w:val="12"/>
                    <w:szCs w:val="12"/>
                    <w:lang w:val="en-GB"/>
                  </w:rPr>
                  <w:t>Pontianak</w:t>
                </w:r>
              </w:smartTag>
            </w:smartTag>
          </w:p>
        </w:tc>
        <w:tc>
          <w:tcPr>
            <w:tcW w:w="1000" w:type="dxa"/>
            <w:vAlign w:val="center"/>
          </w:tcPr>
          <w:p w14:paraId="2C7DA70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127,600.00</w:t>
            </w:r>
          </w:p>
        </w:tc>
        <w:tc>
          <w:tcPr>
            <w:tcW w:w="800" w:type="dxa"/>
            <w:vAlign w:val="center"/>
          </w:tcPr>
          <w:p w14:paraId="6B7D0B4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3725D5C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4,163,880.00</w:t>
            </w:r>
          </w:p>
        </w:tc>
        <w:tc>
          <w:tcPr>
            <w:tcW w:w="600" w:type="dxa"/>
            <w:vAlign w:val="center"/>
          </w:tcPr>
          <w:p w14:paraId="4186A48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5" w:type="dxa"/>
            <w:vAlign w:val="center"/>
          </w:tcPr>
          <w:p w14:paraId="6562D78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1BF4873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replacement cost</w:t>
            </w:r>
          </w:p>
        </w:tc>
        <w:tc>
          <w:tcPr>
            <w:tcW w:w="1553" w:type="dxa"/>
            <w:vAlign w:val="center"/>
          </w:tcPr>
          <w:p w14:paraId="0EF3B23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6,496,926.20</w:t>
            </w:r>
          </w:p>
        </w:tc>
        <w:tc>
          <w:tcPr>
            <w:tcW w:w="1600" w:type="dxa"/>
            <w:vAlign w:val="center"/>
          </w:tcPr>
          <w:p w14:paraId="3608465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668.29</w:t>
            </w:r>
          </w:p>
        </w:tc>
        <w:tc>
          <w:tcPr>
            <w:tcW w:w="1400" w:type="dxa"/>
            <w:vAlign w:val="center"/>
          </w:tcPr>
          <w:p w14:paraId="767F3C1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85,274,375.08</w:t>
            </w:r>
          </w:p>
        </w:tc>
      </w:tr>
      <w:tr w:rsidR="00FB39A5" w:rsidRPr="00FB39A5" w14:paraId="0FEF614B" w14:textId="77777777" w:rsidTr="00FB39A5">
        <w:tblPrEx>
          <w:tblCellMar>
            <w:top w:w="0" w:type="dxa"/>
            <w:bottom w:w="0" w:type="dxa"/>
          </w:tblCellMar>
        </w:tblPrEx>
        <w:trPr>
          <w:trHeight w:val="70"/>
          <w:jc w:val="center"/>
        </w:trPr>
        <w:tc>
          <w:tcPr>
            <w:tcW w:w="911" w:type="dxa"/>
            <w:vAlign w:val="center"/>
          </w:tcPr>
          <w:p w14:paraId="1896C69F"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6B4E78E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2219" w:type="dxa"/>
            <w:vAlign w:val="center"/>
          </w:tcPr>
          <w:p w14:paraId="3C81507F"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Segara Anakan </w:t>
            </w:r>
          </w:p>
        </w:tc>
        <w:tc>
          <w:tcPr>
            <w:tcW w:w="1000" w:type="dxa"/>
            <w:vAlign w:val="center"/>
          </w:tcPr>
          <w:p w14:paraId="47F9E77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12,090.00</w:t>
            </w:r>
          </w:p>
        </w:tc>
        <w:tc>
          <w:tcPr>
            <w:tcW w:w="800" w:type="dxa"/>
            <w:vAlign w:val="center"/>
          </w:tcPr>
          <w:p w14:paraId="5932679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7DBD337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3,195,105.47</w:t>
            </w:r>
          </w:p>
        </w:tc>
        <w:tc>
          <w:tcPr>
            <w:tcW w:w="600" w:type="dxa"/>
            <w:vAlign w:val="center"/>
          </w:tcPr>
          <w:p w14:paraId="5E6C691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5" w:type="dxa"/>
            <w:vAlign w:val="center"/>
          </w:tcPr>
          <w:p w14:paraId="0008AA2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6773FA8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replacement cost</w:t>
            </w:r>
          </w:p>
        </w:tc>
        <w:tc>
          <w:tcPr>
            <w:tcW w:w="1553" w:type="dxa"/>
            <w:vAlign w:val="center"/>
          </w:tcPr>
          <w:p w14:paraId="675FB40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5,170,910.29</w:t>
            </w:r>
          </w:p>
        </w:tc>
        <w:tc>
          <w:tcPr>
            <w:tcW w:w="1600" w:type="dxa"/>
            <w:vAlign w:val="center"/>
          </w:tcPr>
          <w:p w14:paraId="5D8AA95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531.90</w:t>
            </w:r>
          </w:p>
        </w:tc>
        <w:tc>
          <w:tcPr>
            <w:tcW w:w="1400" w:type="dxa"/>
            <w:vAlign w:val="center"/>
          </w:tcPr>
          <w:p w14:paraId="2B8E5F6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6,430,625.85</w:t>
            </w:r>
          </w:p>
        </w:tc>
      </w:tr>
      <w:tr w:rsidR="00FB39A5" w:rsidRPr="00FB39A5" w14:paraId="017567A8" w14:textId="77777777" w:rsidTr="00FB39A5">
        <w:tblPrEx>
          <w:tblCellMar>
            <w:top w:w="0" w:type="dxa"/>
            <w:bottom w:w="0" w:type="dxa"/>
          </w:tblCellMar>
        </w:tblPrEx>
        <w:trPr>
          <w:trHeight w:val="70"/>
          <w:jc w:val="center"/>
        </w:trPr>
        <w:tc>
          <w:tcPr>
            <w:tcW w:w="911" w:type="dxa"/>
            <w:vAlign w:val="center"/>
          </w:tcPr>
          <w:p w14:paraId="6D74306B"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1D725F3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2219" w:type="dxa"/>
            <w:vAlign w:val="center"/>
          </w:tcPr>
          <w:p w14:paraId="47BBEC57"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Gelumbang District, </w:t>
            </w:r>
            <w:smartTag w:uri="urn:schemas-microsoft-com:office:smarttags" w:element="place">
              <w:r w:rsidRPr="00FB39A5">
                <w:rPr>
                  <w:rFonts w:ascii="Arial" w:hAnsi="Arial" w:cs="Arial"/>
                  <w:sz w:val="12"/>
                  <w:szCs w:val="12"/>
                  <w:lang w:val="en-GB"/>
                </w:rPr>
                <w:t>South Sulawesi</w:t>
              </w:r>
            </w:smartTag>
          </w:p>
        </w:tc>
        <w:tc>
          <w:tcPr>
            <w:tcW w:w="1000" w:type="dxa"/>
            <w:vAlign w:val="center"/>
          </w:tcPr>
          <w:p w14:paraId="0F66AF4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9,538.00</w:t>
            </w:r>
          </w:p>
        </w:tc>
        <w:tc>
          <w:tcPr>
            <w:tcW w:w="800" w:type="dxa"/>
            <w:vAlign w:val="center"/>
          </w:tcPr>
          <w:p w14:paraId="715E2EC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45362E5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1,641,000.00</w:t>
            </w:r>
          </w:p>
        </w:tc>
        <w:tc>
          <w:tcPr>
            <w:tcW w:w="600" w:type="dxa"/>
            <w:vAlign w:val="center"/>
          </w:tcPr>
          <w:p w14:paraId="4A9B839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5" w:type="dxa"/>
            <w:vAlign w:val="center"/>
          </w:tcPr>
          <w:p w14:paraId="4B14DBA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7A3A6EC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replacement cost</w:t>
            </w:r>
          </w:p>
        </w:tc>
        <w:tc>
          <w:tcPr>
            <w:tcW w:w="1553" w:type="dxa"/>
            <w:vAlign w:val="center"/>
          </w:tcPr>
          <w:p w14:paraId="2EB99AF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2,655,769.54</w:t>
            </w:r>
          </w:p>
        </w:tc>
        <w:tc>
          <w:tcPr>
            <w:tcW w:w="1600" w:type="dxa"/>
            <w:vAlign w:val="center"/>
          </w:tcPr>
          <w:p w14:paraId="217AF68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273.18</w:t>
            </w:r>
          </w:p>
        </w:tc>
        <w:tc>
          <w:tcPr>
            <w:tcW w:w="1400" w:type="dxa"/>
            <w:vAlign w:val="center"/>
          </w:tcPr>
          <w:p w14:paraId="0550A27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2,605,599.38</w:t>
            </w:r>
          </w:p>
        </w:tc>
      </w:tr>
      <w:tr w:rsidR="00FB39A5" w:rsidRPr="00FB39A5" w14:paraId="7D084981" w14:textId="77777777" w:rsidTr="00FB39A5">
        <w:tblPrEx>
          <w:tblCellMar>
            <w:top w:w="0" w:type="dxa"/>
            <w:bottom w:w="0" w:type="dxa"/>
          </w:tblCellMar>
        </w:tblPrEx>
        <w:trPr>
          <w:trHeight w:val="70"/>
          <w:jc w:val="center"/>
        </w:trPr>
        <w:tc>
          <w:tcPr>
            <w:tcW w:w="911" w:type="dxa"/>
            <w:vAlign w:val="center"/>
          </w:tcPr>
          <w:p w14:paraId="101642E5"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4110FAC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1996</w:t>
            </w:r>
          </w:p>
        </w:tc>
        <w:tc>
          <w:tcPr>
            <w:tcW w:w="2219" w:type="dxa"/>
            <w:vAlign w:val="center"/>
          </w:tcPr>
          <w:p w14:paraId="43714A05"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Subang district</w:t>
            </w:r>
          </w:p>
        </w:tc>
        <w:tc>
          <w:tcPr>
            <w:tcW w:w="1000" w:type="dxa"/>
            <w:vAlign w:val="center"/>
          </w:tcPr>
          <w:p w14:paraId="6C3179E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5,327.00</w:t>
            </w:r>
          </w:p>
        </w:tc>
        <w:tc>
          <w:tcPr>
            <w:tcW w:w="800" w:type="dxa"/>
            <w:vAlign w:val="center"/>
          </w:tcPr>
          <w:p w14:paraId="411F90A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72FE285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3,500,000.00</w:t>
            </w:r>
          </w:p>
        </w:tc>
        <w:tc>
          <w:tcPr>
            <w:tcW w:w="600" w:type="dxa"/>
            <w:vAlign w:val="center"/>
          </w:tcPr>
          <w:p w14:paraId="1B5F911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30.48</w:t>
            </w:r>
          </w:p>
        </w:tc>
        <w:tc>
          <w:tcPr>
            <w:tcW w:w="955" w:type="dxa"/>
            <w:vAlign w:val="center"/>
          </w:tcPr>
          <w:p w14:paraId="3C4DEB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144CDCA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replacement cost</w:t>
            </w:r>
          </w:p>
        </w:tc>
        <w:tc>
          <w:tcPr>
            <w:tcW w:w="1553" w:type="dxa"/>
            <w:vAlign w:val="center"/>
          </w:tcPr>
          <w:p w14:paraId="63B9033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11,482,939.63</w:t>
            </w:r>
          </w:p>
        </w:tc>
        <w:tc>
          <w:tcPr>
            <w:tcW w:w="1600" w:type="dxa"/>
            <w:vAlign w:val="center"/>
          </w:tcPr>
          <w:p w14:paraId="4BBE844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1,181.17</w:t>
            </w:r>
          </w:p>
        </w:tc>
        <w:tc>
          <w:tcPr>
            <w:tcW w:w="1400" w:type="dxa"/>
            <w:vAlign w:val="center"/>
          </w:tcPr>
          <w:p w14:paraId="66E5129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6,292,101.45</w:t>
            </w:r>
          </w:p>
        </w:tc>
      </w:tr>
      <w:tr w:rsidR="00FB39A5" w:rsidRPr="00FB39A5" w14:paraId="49F2CC16" w14:textId="77777777" w:rsidTr="00FB39A5">
        <w:tblPrEx>
          <w:tblCellMar>
            <w:top w:w="0" w:type="dxa"/>
            <w:bottom w:w="0" w:type="dxa"/>
          </w:tblCellMar>
        </w:tblPrEx>
        <w:trPr>
          <w:trHeight w:val="70"/>
          <w:jc w:val="center"/>
        </w:trPr>
        <w:tc>
          <w:tcPr>
            <w:tcW w:w="911" w:type="dxa"/>
            <w:vAlign w:val="center"/>
          </w:tcPr>
          <w:p w14:paraId="41F8E1B5"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03F7C2B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1988</w:t>
            </w:r>
          </w:p>
        </w:tc>
        <w:tc>
          <w:tcPr>
            <w:tcW w:w="2219" w:type="dxa"/>
            <w:vAlign w:val="center"/>
          </w:tcPr>
          <w:p w14:paraId="52F661F0"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r w:rsidRPr="00FB39A5">
                <w:rPr>
                  <w:rFonts w:ascii="Arial" w:hAnsi="Arial" w:cs="Arial"/>
                  <w:sz w:val="12"/>
                  <w:szCs w:val="12"/>
                  <w:lang w:val="en-GB"/>
                </w:rPr>
                <w:t>Sumatra</w:t>
              </w:r>
            </w:smartTag>
          </w:p>
        </w:tc>
        <w:tc>
          <w:tcPr>
            <w:tcW w:w="1000" w:type="dxa"/>
            <w:vAlign w:val="center"/>
          </w:tcPr>
          <w:p w14:paraId="5118248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386,100.00</w:t>
            </w:r>
          </w:p>
        </w:tc>
        <w:tc>
          <w:tcPr>
            <w:tcW w:w="800" w:type="dxa"/>
            <w:vAlign w:val="center"/>
          </w:tcPr>
          <w:p w14:paraId="263D4D6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18CFD29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1,815,000.00</w:t>
            </w:r>
          </w:p>
        </w:tc>
        <w:tc>
          <w:tcPr>
            <w:tcW w:w="600" w:type="dxa"/>
            <w:vAlign w:val="center"/>
          </w:tcPr>
          <w:p w14:paraId="77CDF69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51.28</w:t>
            </w:r>
          </w:p>
        </w:tc>
        <w:tc>
          <w:tcPr>
            <w:tcW w:w="955" w:type="dxa"/>
            <w:vAlign w:val="center"/>
          </w:tcPr>
          <w:p w14:paraId="3378F61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42867D7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replacement cost</w:t>
            </w:r>
          </w:p>
        </w:tc>
        <w:tc>
          <w:tcPr>
            <w:tcW w:w="1553" w:type="dxa"/>
            <w:vAlign w:val="center"/>
          </w:tcPr>
          <w:p w14:paraId="3C89252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3,539,391.58</w:t>
            </w:r>
          </w:p>
        </w:tc>
        <w:tc>
          <w:tcPr>
            <w:tcW w:w="1600" w:type="dxa"/>
            <w:vAlign w:val="center"/>
          </w:tcPr>
          <w:p w14:paraId="74628BC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364.07</w:t>
            </w:r>
          </w:p>
        </w:tc>
        <w:tc>
          <w:tcPr>
            <w:tcW w:w="1400" w:type="dxa"/>
            <w:vAlign w:val="center"/>
          </w:tcPr>
          <w:p w14:paraId="039A1A6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140,568,610.57</w:t>
            </w:r>
          </w:p>
        </w:tc>
      </w:tr>
      <w:tr w:rsidR="00FB39A5" w:rsidRPr="00FB39A5" w14:paraId="40FA26D1" w14:textId="77777777" w:rsidTr="00FB39A5">
        <w:tblPrEx>
          <w:tblCellMar>
            <w:top w:w="0" w:type="dxa"/>
            <w:bottom w:w="0" w:type="dxa"/>
          </w:tblCellMar>
        </w:tblPrEx>
        <w:trPr>
          <w:trHeight w:val="70"/>
          <w:jc w:val="center"/>
        </w:trPr>
        <w:tc>
          <w:tcPr>
            <w:tcW w:w="911" w:type="dxa"/>
            <w:vAlign w:val="center"/>
          </w:tcPr>
          <w:p w14:paraId="028C4176"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Thailand</w:t>
                </w:r>
              </w:smartTag>
            </w:smartTag>
          </w:p>
        </w:tc>
        <w:tc>
          <w:tcPr>
            <w:tcW w:w="600" w:type="dxa"/>
            <w:vAlign w:val="center"/>
          </w:tcPr>
          <w:p w14:paraId="59B7FAB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1998</w:t>
            </w:r>
          </w:p>
        </w:tc>
        <w:tc>
          <w:tcPr>
            <w:tcW w:w="2219" w:type="dxa"/>
            <w:vAlign w:val="center"/>
          </w:tcPr>
          <w:p w14:paraId="02196CAA"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Surathanee</w:t>
            </w:r>
          </w:p>
        </w:tc>
        <w:tc>
          <w:tcPr>
            <w:tcW w:w="1000" w:type="dxa"/>
            <w:vAlign w:val="center"/>
          </w:tcPr>
          <w:p w14:paraId="246A72C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400.00</w:t>
            </w:r>
          </w:p>
        </w:tc>
        <w:tc>
          <w:tcPr>
            <w:tcW w:w="800" w:type="dxa"/>
            <w:vAlign w:val="center"/>
          </w:tcPr>
          <w:p w14:paraId="22C1040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200" w:type="dxa"/>
            <w:vAlign w:val="center"/>
          </w:tcPr>
          <w:p w14:paraId="61C5181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77,775.00</w:t>
            </w:r>
          </w:p>
        </w:tc>
        <w:tc>
          <w:tcPr>
            <w:tcW w:w="600" w:type="dxa"/>
            <w:vAlign w:val="center"/>
          </w:tcPr>
          <w:p w14:paraId="613A6BD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87.77</w:t>
            </w:r>
          </w:p>
        </w:tc>
        <w:tc>
          <w:tcPr>
            <w:tcW w:w="955" w:type="dxa"/>
            <w:vAlign w:val="center"/>
          </w:tcPr>
          <w:p w14:paraId="194730F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387" w:type="dxa"/>
            <w:vAlign w:val="center"/>
          </w:tcPr>
          <w:p w14:paraId="5B2ED0E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replacement cost</w:t>
            </w:r>
          </w:p>
        </w:tc>
        <w:tc>
          <w:tcPr>
            <w:tcW w:w="1553" w:type="dxa"/>
            <w:vAlign w:val="center"/>
          </w:tcPr>
          <w:p w14:paraId="2E11A90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88,612.28</w:t>
            </w:r>
          </w:p>
        </w:tc>
        <w:tc>
          <w:tcPr>
            <w:tcW w:w="1600" w:type="dxa"/>
            <w:vAlign w:val="center"/>
          </w:tcPr>
          <w:p w14:paraId="768D58D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2,198.48</w:t>
            </w:r>
          </w:p>
        </w:tc>
        <w:tc>
          <w:tcPr>
            <w:tcW w:w="1400" w:type="dxa"/>
            <w:vAlign w:val="center"/>
          </w:tcPr>
          <w:p w14:paraId="279602E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879,393.26</w:t>
            </w:r>
          </w:p>
        </w:tc>
      </w:tr>
      <w:tr w:rsidR="00FB39A5" w:rsidRPr="00FB39A5" w14:paraId="16977429" w14:textId="77777777" w:rsidTr="00FB39A5">
        <w:tblPrEx>
          <w:tblCellMar>
            <w:top w:w="0" w:type="dxa"/>
            <w:bottom w:w="0" w:type="dxa"/>
          </w:tblCellMar>
        </w:tblPrEx>
        <w:trPr>
          <w:trHeight w:val="85"/>
          <w:jc w:val="center"/>
        </w:trPr>
        <w:tc>
          <w:tcPr>
            <w:tcW w:w="14225" w:type="dxa"/>
            <w:gridSpan w:val="12"/>
            <w:vAlign w:val="center"/>
          </w:tcPr>
          <w:p w14:paraId="57B00407" w14:textId="77777777" w:rsidR="00FB39A5" w:rsidRPr="00FB39A5" w:rsidRDefault="00FB39A5" w:rsidP="00FB39A5">
            <w:pPr>
              <w:autoSpaceDE w:val="0"/>
              <w:autoSpaceDN w:val="0"/>
              <w:adjustRightInd w:val="0"/>
              <w:jc w:val="center"/>
              <w:rPr>
                <w:rFonts w:ascii="Arial" w:hAnsi="Arial" w:cs="Arial"/>
                <w:sz w:val="18"/>
                <w:szCs w:val="18"/>
                <w:lang w:val="en-GB"/>
              </w:rPr>
            </w:pPr>
            <w:r w:rsidRPr="00FB39A5">
              <w:rPr>
                <w:rFonts w:ascii="Arial" w:hAnsi="Arial" w:cs="Arial"/>
                <w:b/>
                <w:bCs/>
                <w:sz w:val="18"/>
                <w:szCs w:val="18"/>
                <w:lang w:val="en-GB"/>
              </w:rPr>
              <w:t>Windbreak (40%of coastal defence costs)</w:t>
            </w:r>
          </w:p>
        </w:tc>
      </w:tr>
      <w:tr w:rsidR="00FB39A5" w:rsidRPr="00FB39A5" w14:paraId="54463CDC" w14:textId="77777777" w:rsidTr="00FB39A5">
        <w:tblPrEx>
          <w:tblCellMar>
            <w:top w:w="0" w:type="dxa"/>
            <w:bottom w:w="0" w:type="dxa"/>
          </w:tblCellMar>
        </w:tblPrEx>
        <w:trPr>
          <w:trHeight w:val="70"/>
          <w:jc w:val="center"/>
        </w:trPr>
        <w:tc>
          <w:tcPr>
            <w:tcW w:w="911" w:type="dxa"/>
            <w:vAlign w:val="center"/>
          </w:tcPr>
          <w:p w14:paraId="4B5006C9"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China</w:t>
                </w:r>
              </w:smartTag>
            </w:smartTag>
          </w:p>
        </w:tc>
        <w:tc>
          <w:tcPr>
            <w:tcW w:w="600" w:type="dxa"/>
            <w:vAlign w:val="center"/>
          </w:tcPr>
          <w:p w14:paraId="5821283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2219" w:type="dxa"/>
            <w:vAlign w:val="center"/>
          </w:tcPr>
          <w:p w14:paraId="0B105545"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Fangchenggang</w:t>
            </w:r>
          </w:p>
        </w:tc>
        <w:tc>
          <w:tcPr>
            <w:tcW w:w="1000" w:type="dxa"/>
            <w:vAlign w:val="center"/>
          </w:tcPr>
          <w:p w14:paraId="0CA3EDA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1,414.50</w:t>
            </w:r>
          </w:p>
        </w:tc>
        <w:tc>
          <w:tcPr>
            <w:tcW w:w="800" w:type="dxa"/>
            <w:vAlign w:val="center"/>
          </w:tcPr>
          <w:p w14:paraId="07E0818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RMB</w:t>
            </w:r>
          </w:p>
        </w:tc>
        <w:tc>
          <w:tcPr>
            <w:tcW w:w="1200" w:type="dxa"/>
            <w:vAlign w:val="center"/>
          </w:tcPr>
          <w:p w14:paraId="4AD6B0F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9,194.73</w:t>
            </w:r>
          </w:p>
        </w:tc>
        <w:tc>
          <w:tcPr>
            <w:tcW w:w="600" w:type="dxa"/>
            <w:vAlign w:val="center"/>
          </w:tcPr>
          <w:p w14:paraId="294F32F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93.38</w:t>
            </w:r>
          </w:p>
        </w:tc>
        <w:tc>
          <w:tcPr>
            <w:tcW w:w="955" w:type="dxa"/>
            <w:vAlign w:val="center"/>
          </w:tcPr>
          <w:p w14:paraId="5E64168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8.20</w:t>
            </w:r>
          </w:p>
        </w:tc>
        <w:tc>
          <w:tcPr>
            <w:tcW w:w="1387" w:type="dxa"/>
            <w:vAlign w:val="center"/>
          </w:tcPr>
          <w:p w14:paraId="40C06A1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market price</w:t>
            </w:r>
          </w:p>
        </w:tc>
        <w:tc>
          <w:tcPr>
            <w:tcW w:w="1553" w:type="dxa"/>
            <w:vAlign w:val="center"/>
          </w:tcPr>
          <w:p w14:paraId="30B1FD2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9,846.57</w:t>
            </w:r>
          </w:p>
        </w:tc>
        <w:tc>
          <w:tcPr>
            <w:tcW w:w="1600" w:type="dxa"/>
            <w:vAlign w:val="center"/>
          </w:tcPr>
          <w:p w14:paraId="37494EA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1,200.32</w:t>
            </w:r>
          </w:p>
        </w:tc>
        <w:tc>
          <w:tcPr>
            <w:tcW w:w="1400" w:type="dxa"/>
            <w:vAlign w:val="center"/>
          </w:tcPr>
          <w:p w14:paraId="125B512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1,697,852.66</w:t>
            </w:r>
          </w:p>
        </w:tc>
      </w:tr>
      <w:tr w:rsidR="00FB39A5" w:rsidRPr="00FB39A5" w14:paraId="0FD06454" w14:textId="77777777" w:rsidTr="00FB39A5">
        <w:tblPrEx>
          <w:tblCellMar>
            <w:top w:w="0" w:type="dxa"/>
            <w:bottom w:w="0" w:type="dxa"/>
          </w:tblCellMar>
        </w:tblPrEx>
        <w:trPr>
          <w:trHeight w:val="219"/>
          <w:jc w:val="center"/>
        </w:trPr>
        <w:tc>
          <w:tcPr>
            <w:tcW w:w="14225" w:type="dxa"/>
            <w:gridSpan w:val="12"/>
            <w:vAlign w:val="center"/>
          </w:tcPr>
          <w:p w14:paraId="25999406" w14:textId="77777777" w:rsidR="00FB39A5" w:rsidRPr="00FB39A5" w:rsidRDefault="00FB39A5" w:rsidP="00FB39A5">
            <w:pPr>
              <w:autoSpaceDE w:val="0"/>
              <w:autoSpaceDN w:val="0"/>
              <w:adjustRightInd w:val="0"/>
              <w:jc w:val="center"/>
              <w:rPr>
                <w:rFonts w:ascii="Arial" w:hAnsi="Arial" w:cs="Arial"/>
                <w:sz w:val="18"/>
                <w:szCs w:val="18"/>
                <w:lang w:val="en-GB"/>
              </w:rPr>
            </w:pPr>
            <w:r w:rsidRPr="00FB39A5">
              <w:rPr>
                <w:rFonts w:ascii="Arial" w:hAnsi="Arial" w:cs="Arial"/>
                <w:b/>
                <w:bCs/>
                <w:sz w:val="18"/>
                <w:szCs w:val="18"/>
                <w:lang w:val="en-GB"/>
              </w:rPr>
              <w:t>Carbon sequestration (carbon fixed per hectare per annum)</w:t>
            </w:r>
          </w:p>
        </w:tc>
      </w:tr>
      <w:tr w:rsidR="00FB39A5" w:rsidRPr="00FB39A5" w14:paraId="2A5E51F1" w14:textId="77777777" w:rsidTr="00FB39A5">
        <w:tblPrEx>
          <w:tblCellMar>
            <w:top w:w="0" w:type="dxa"/>
            <w:bottom w:w="0" w:type="dxa"/>
          </w:tblCellMar>
        </w:tblPrEx>
        <w:trPr>
          <w:trHeight w:val="70"/>
          <w:jc w:val="center"/>
        </w:trPr>
        <w:tc>
          <w:tcPr>
            <w:tcW w:w="911" w:type="dxa"/>
            <w:vAlign w:val="center"/>
          </w:tcPr>
          <w:p w14:paraId="48A59C31"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China</w:t>
                </w:r>
              </w:smartTag>
            </w:smartTag>
          </w:p>
        </w:tc>
        <w:tc>
          <w:tcPr>
            <w:tcW w:w="600" w:type="dxa"/>
            <w:vAlign w:val="center"/>
          </w:tcPr>
          <w:p w14:paraId="1465EE0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2219" w:type="dxa"/>
            <w:vAlign w:val="center"/>
          </w:tcPr>
          <w:p w14:paraId="256A31EE"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Fangchenggang</w:t>
            </w:r>
          </w:p>
        </w:tc>
        <w:tc>
          <w:tcPr>
            <w:tcW w:w="1000" w:type="dxa"/>
            <w:vAlign w:val="center"/>
          </w:tcPr>
          <w:p w14:paraId="760A3CB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1,414.50</w:t>
            </w:r>
          </w:p>
        </w:tc>
        <w:tc>
          <w:tcPr>
            <w:tcW w:w="800" w:type="dxa"/>
            <w:vAlign w:val="center"/>
          </w:tcPr>
          <w:p w14:paraId="01C74C3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RMB</w:t>
            </w:r>
          </w:p>
        </w:tc>
        <w:tc>
          <w:tcPr>
            <w:tcW w:w="1200" w:type="dxa"/>
            <w:vAlign w:val="center"/>
          </w:tcPr>
          <w:p w14:paraId="55C37B7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2,500.56</w:t>
            </w:r>
          </w:p>
        </w:tc>
        <w:tc>
          <w:tcPr>
            <w:tcW w:w="600" w:type="dxa"/>
            <w:vAlign w:val="center"/>
          </w:tcPr>
          <w:p w14:paraId="4764B23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93.38</w:t>
            </w:r>
          </w:p>
        </w:tc>
        <w:tc>
          <w:tcPr>
            <w:tcW w:w="955" w:type="dxa"/>
            <w:vAlign w:val="center"/>
          </w:tcPr>
          <w:p w14:paraId="7D15CFF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8.20</w:t>
            </w:r>
          </w:p>
        </w:tc>
        <w:tc>
          <w:tcPr>
            <w:tcW w:w="1387" w:type="dxa"/>
            <w:vAlign w:val="center"/>
          </w:tcPr>
          <w:p w14:paraId="48D8AE8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market price</w:t>
            </w:r>
          </w:p>
        </w:tc>
        <w:tc>
          <w:tcPr>
            <w:tcW w:w="1553" w:type="dxa"/>
            <w:vAlign w:val="center"/>
          </w:tcPr>
          <w:p w14:paraId="3BABF22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2,677.83</w:t>
            </w:r>
          </w:p>
        </w:tc>
        <w:tc>
          <w:tcPr>
            <w:tcW w:w="1600" w:type="dxa"/>
            <w:vAlign w:val="center"/>
          </w:tcPr>
          <w:p w14:paraId="4E762AE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326.43</w:t>
            </w:r>
          </w:p>
        </w:tc>
        <w:tc>
          <w:tcPr>
            <w:tcW w:w="1400" w:type="dxa"/>
            <w:vAlign w:val="center"/>
          </w:tcPr>
          <w:p w14:paraId="265873C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461,740.85</w:t>
            </w:r>
          </w:p>
        </w:tc>
      </w:tr>
      <w:tr w:rsidR="00FB39A5" w:rsidRPr="00FB39A5" w14:paraId="4122AB40" w14:textId="77777777" w:rsidTr="00FB39A5">
        <w:tblPrEx>
          <w:tblCellMar>
            <w:top w:w="0" w:type="dxa"/>
            <w:bottom w:w="0" w:type="dxa"/>
          </w:tblCellMar>
        </w:tblPrEx>
        <w:trPr>
          <w:trHeight w:val="70"/>
          <w:jc w:val="center"/>
        </w:trPr>
        <w:tc>
          <w:tcPr>
            <w:tcW w:w="911" w:type="dxa"/>
            <w:vAlign w:val="center"/>
          </w:tcPr>
          <w:p w14:paraId="7F7A4A50"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Indonesia</w:t>
                </w:r>
              </w:smartTag>
            </w:smartTag>
          </w:p>
        </w:tc>
        <w:tc>
          <w:tcPr>
            <w:tcW w:w="600" w:type="dxa"/>
            <w:vAlign w:val="center"/>
          </w:tcPr>
          <w:p w14:paraId="1181CF0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2001</w:t>
            </w:r>
          </w:p>
        </w:tc>
        <w:tc>
          <w:tcPr>
            <w:tcW w:w="2219" w:type="dxa"/>
            <w:vAlign w:val="center"/>
          </w:tcPr>
          <w:p w14:paraId="3BEF4197"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r w:rsidRPr="00FB39A5">
                <w:rPr>
                  <w:rFonts w:ascii="Arial" w:hAnsi="Arial" w:cs="Arial"/>
                  <w:sz w:val="12"/>
                  <w:szCs w:val="12"/>
                  <w:lang w:val="en-GB"/>
                </w:rPr>
                <w:t>Kalimantan</w:t>
              </w:r>
            </w:smartTag>
            <w:r w:rsidRPr="00FB39A5">
              <w:rPr>
                <w:rFonts w:ascii="Arial" w:hAnsi="Arial" w:cs="Arial"/>
                <w:sz w:val="12"/>
                <w:szCs w:val="12"/>
                <w:lang w:val="en-GB"/>
              </w:rPr>
              <w:t xml:space="preserve"> </w:t>
            </w:r>
          </w:p>
        </w:tc>
        <w:tc>
          <w:tcPr>
            <w:tcW w:w="1000" w:type="dxa"/>
            <w:vAlign w:val="center"/>
          </w:tcPr>
          <w:p w14:paraId="64B40AB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14,941.00</w:t>
            </w:r>
          </w:p>
        </w:tc>
        <w:tc>
          <w:tcPr>
            <w:tcW w:w="800" w:type="dxa"/>
            <w:vAlign w:val="center"/>
          </w:tcPr>
          <w:p w14:paraId="6A0C8FB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7EF2028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222,008.00</w:t>
            </w:r>
          </w:p>
        </w:tc>
        <w:tc>
          <w:tcPr>
            <w:tcW w:w="600" w:type="dxa"/>
            <w:vAlign w:val="center"/>
          </w:tcPr>
          <w:p w14:paraId="25588F0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71.46</w:t>
            </w:r>
          </w:p>
        </w:tc>
        <w:tc>
          <w:tcPr>
            <w:tcW w:w="955" w:type="dxa"/>
            <w:vAlign w:val="center"/>
          </w:tcPr>
          <w:p w14:paraId="5172BA4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396045D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market price</w:t>
            </w:r>
          </w:p>
        </w:tc>
        <w:tc>
          <w:tcPr>
            <w:tcW w:w="1553" w:type="dxa"/>
            <w:vAlign w:val="center"/>
          </w:tcPr>
          <w:p w14:paraId="3D6487C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310,674.50</w:t>
            </w:r>
          </w:p>
        </w:tc>
        <w:tc>
          <w:tcPr>
            <w:tcW w:w="1600" w:type="dxa"/>
            <w:vAlign w:val="center"/>
          </w:tcPr>
          <w:p w14:paraId="54BA818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31.96</w:t>
            </w:r>
          </w:p>
        </w:tc>
        <w:tc>
          <w:tcPr>
            <w:tcW w:w="1400" w:type="dxa"/>
            <w:vAlign w:val="center"/>
          </w:tcPr>
          <w:p w14:paraId="120767B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477,469.04</w:t>
            </w:r>
          </w:p>
        </w:tc>
      </w:tr>
      <w:tr w:rsidR="00FB39A5" w:rsidRPr="00FB39A5" w14:paraId="3233091F" w14:textId="77777777" w:rsidTr="00FB39A5">
        <w:tblPrEx>
          <w:tblCellMar>
            <w:top w:w="0" w:type="dxa"/>
            <w:bottom w:w="0" w:type="dxa"/>
          </w:tblCellMar>
        </w:tblPrEx>
        <w:trPr>
          <w:trHeight w:val="70"/>
          <w:jc w:val="center"/>
        </w:trPr>
        <w:tc>
          <w:tcPr>
            <w:tcW w:w="911" w:type="dxa"/>
            <w:vAlign w:val="center"/>
          </w:tcPr>
          <w:p w14:paraId="6A1092EF"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18E1CF1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2219" w:type="dxa"/>
            <w:vAlign w:val="center"/>
          </w:tcPr>
          <w:p w14:paraId="29D361C8"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Segara Anakan </w:t>
            </w:r>
          </w:p>
        </w:tc>
        <w:tc>
          <w:tcPr>
            <w:tcW w:w="1000" w:type="dxa"/>
            <w:vAlign w:val="center"/>
          </w:tcPr>
          <w:p w14:paraId="2D5AEBC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8,975.00</w:t>
            </w:r>
          </w:p>
        </w:tc>
        <w:tc>
          <w:tcPr>
            <w:tcW w:w="800" w:type="dxa"/>
            <w:vAlign w:val="center"/>
          </w:tcPr>
          <w:p w14:paraId="14132A8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3E522CB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282,900.00</w:t>
            </w:r>
          </w:p>
        </w:tc>
        <w:tc>
          <w:tcPr>
            <w:tcW w:w="600" w:type="dxa"/>
            <w:vAlign w:val="center"/>
          </w:tcPr>
          <w:p w14:paraId="718B50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5" w:type="dxa"/>
            <w:vAlign w:val="center"/>
          </w:tcPr>
          <w:p w14:paraId="0896C36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1AD1E75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market price</w:t>
            </w:r>
          </w:p>
        </w:tc>
        <w:tc>
          <w:tcPr>
            <w:tcW w:w="1553" w:type="dxa"/>
            <w:vAlign w:val="center"/>
          </w:tcPr>
          <w:p w14:paraId="01A571B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457,841.07</w:t>
            </w:r>
          </w:p>
        </w:tc>
        <w:tc>
          <w:tcPr>
            <w:tcW w:w="1600" w:type="dxa"/>
            <w:vAlign w:val="center"/>
          </w:tcPr>
          <w:p w14:paraId="4308434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47.09</w:t>
            </w:r>
          </w:p>
        </w:tc>
        <w:tc>
          <w:tcPr>
            <w:tcW w:w="1400" w:type="dxa"/>
            <w:vAlign w:val="center"/>
          </w:tcPr>
          <w:p w14:paraId="2F0A1E2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422,677.52</w:t>
            </w:r>
          </w:p>
        </w:tc>
      </w:tr>
      <w:tr w:rsidR="00FB39A5" w:rsidRPr="00FB39A5" w14:paraId="4E5E82FB" w14:textId="77777777" w:rsidTr="00FB39A5">
        <w:tblPrEx>
          <w:tblCellMar>
            <w:top w:w="0" w:type="dxa"/>
            <w:bottom w:w="0" w:type="dxa"/>
          </w:tblCellMar>
        </w:tblPrEx>
        <w:trPr>
          <w:trHeight w:val="70"/>
          <w:jc w:val="center"/>
        </w:trPr>
        <w:tc>
          <w:tcPr>
            <w:tcW w:w="911" w:type="dxa"/>
            <w:vAlign w:val="center"/>
          </w:tcPr>
          <w:p w14:paraId="6AF1AD05"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548792F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1996</w:t>
            </w:r>
          </w:p>
        </w:tc>
        <w:tc>
          <w:tcPr>
            <w:tcW w:w="2219" w:type="dxa"/>
            <w:vAlign w:val="center"/>
          </w:tcPr>
          <w:p w14:paraId="701D511C"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Subang district</w:t>
            </w:r>
          </w:p>
        </w:tc>
        <w:tc>
          <w:tcPr>
            <w:tcW w:w="1000" w:type="dxa"/>
            <w:vAlign w:val="center"/>
          </w:tcPr>
          <w:p w14:paraId="2FBDA16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5,327.00</w:t>
            </w:r>
          </w:p>
        </w:tc>
        <w:tc>
          <w:tcPr>
            <w:tcW w:w="800" w:type="dxa"/>
            <w:vAlign w:val="center"/>
          </w:tcPr>
          <w:p w14:paraId="18E5943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3A737A0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222,200.00</w:t>
            </w:r>
          </w:p>
        </w:tc>
        <w:tc>
          <w:tcPr>
            <w:tcW w:w="600" w:type="dxa"/>
            <w:vAlign w:val="center"/>
          </w:tcPr>
          <w:p w14:paraId="7B1DA1B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30.48</w:t>
            </w:r>
          </w:p>
        </w:tc>
        <w:tc>
          <w:tcPr>
            <w:tcW w:w="955" w:type="dxa"/>
            <w:vAlign w:val="center"/>
          </w:tcPr>
          <w:p w14:paraId="3AD2637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343DBE1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market price</w:t>
            </w:r>
          </w:p>
        </w:tc>
        <w:tc>
          <w:tcPr>
            <w:tcW w:w="1553" w:type="dxa"/>
            <w:vAlign w:val="center"/>
          </w:tcPr>
          <w:p w14:paraId="3FB2629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729,002.62</w:t>
            </w:r>
          </w:p>
        </w:tc>
        <w:tc>
          <w:tcPr>
            <w:tcW w:w="1600" w:type="dxa"/>
            <w:vAlign w:val="center"/>
          </w:tcPr>
          <w:p w14:paraId="397D9D8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74.99</w:t>
            </w:r>
          </w:p>
        </w:tc>
        <w:tc>
          <w:tcPr>
            <w:tcW w:w="1400" w:type="dxa"/>
            <w:vAlign w:val="center"/>
          </w:tcPr>
          <w:p w14:paraId="2310963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399,458.55</w:t>
            </w:r>
          </w:p>
        </w:tc>
      </w:tr>
      <w:tr w:rsidR="00FB39A5" w:rsidRPr="00FB39A5" w14:paraId="5A489868" w14:textId="77777777" w:rsidTr="00FB39A5">
        <w:tblPrEx>
          <w:tblCellMar>
            <w:top w:w="0" w:type="dxa"/>
            <w:bottom w:w="0" w:type="dxa"/>
          </w:tblCellMar>
        </w:tblPrEx>
        <w:trPr>
          <w:trHeight w:val="70"/>
          <w:jc w:val="center"/>
        </w:trPr>
        <w:tc>
          <w:tcPr>
            <w:tcW w:w="911" w:type="dxa"/>
            <w:vAlign w:val="center"/>
          </w:tcPr>
          <w:p w14:paraId="1AD3C555"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494601C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1991</w:t>
            </w:r>
          </w:p>
        </w:tc>
        <w:tc>
          <w:tcPr>
            <w:tcW w:w="2219" w:type="dxa"/>
            <w:vAlign w:val="center"/>
          </w:tcPr>
          <w:p w14:paraId="1DC010F5"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Bintuni</w:t>
                </w:r>
              </w:smartTag>
              <w:r w:rsidRPr="00FB39A5">
                <w:rPr>
                  <w:rFonts w:ascii="Arial" w:hAnsi="Arial" w:cs="Arial"/>
                  <w:sz w:val="12"/>
                  <w:szCs w:val="12"/>
                  <w:lang w:val="en-GB"/>
                </w:rPr>
                <w:t xml:space="preserve"> </w:t>
              </w:r>
              <w:smartTag w:uri="urn:schemas-microsoft-com:office:smarttags" w:element="PlaceType">
                <w:r w:rsidRPr="00FB39A5">
                  <w:rPr>
                    <w:rFonts w:ascii="Arial" w:hAnsi="Arial" w:cs="Arial"/>
                    <w:sz w:val="12"/>
                    <w:szCs w:val="12"/>
                    <w:lang w:val="en-GB"/>
                  </w:rPr>
                  <w:t>BaY</w:t>
                </w:r>
              </w:smartTag>
            </w:smartTag>
          </w:p>
        </w:tc>
        <w:tc>
          <w:tcPr>
            <w:tcW w:w="1000" w:type="dxa"/>
            <w:vAlign w:val="center"/>
          </w:tcPr>
          <w:p w14:paraId="6C5747A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300,000.00</w:t>
            </w:r>
          </w:p>
        </w:tc>
        <w:tc>
          <w:tcPr>
            <w:tcW w:w="800" w:type="dxa"/>
            <w:vAlign w:val="center"/>
          </w:tcPr>
          <w:p w14:paraId="6B653B9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25AC135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289,825.00</w:t>
            </w:r>
          </w:p>
        </w:tc>
        <w:tc>
          <w:tcPr>
            <w:tcW w:w="600" w:type="dxa"/>
            <w:vAlign w:val="center"/>
          </w:tcPr>
          <w:p w14:paraId="556F5B8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20.16</w:t>
            </w:r>
          </w:p>
        </w:tc>
        <w:tc>
          <w:tcPr>
            <w:tcW w:w="955" w:type="dxa"/>
            <w:vAlign w:val="center"/>
          </w:tcPr>
          <w:p w14:paraId="2C164EB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6ED676B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market price</w:t>
            </w:r>
          </w:p>
        </w:tc>
        <w:tc>
          <w:tcPr>
            <w:tcW w:w="1553" w:type="dxa"/>
            <w:vAlign w:val="center"/>
          </w:tcPr>
          <w:p w14:paraId="3494C86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1,437,624.01</w:t>
            </w:r>
          </w:p>
        </w:tc>
        <w:tc>
          <w:tcPr>
            <w:tcW w:w="1600" w:type="dxa"/>
            <w:vAlign w:val="center"/>
          </w:tcPr>
          <w:p w14:paraId="4AD82E2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147.88</w:t>
            </w:r>
          </w:p>
        </w:tc>
        <w:tc>
          <w:tcPr>
            <w:tcW w:w="1400" w:type="dxa"/>
            <w:vAlign w:val="center"/>
          </w:tcPr>
          <w:p w14:paraId="626F13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44,363,572.24</w:t>
            </w:r>
          </w:p>
        </w:tc>
      </w:tr>
      <w:tr w:rsidR="00FB39A5" w:rsidRPr="00FB39A5" w14:paraId="69DBA265" w14:textId="77777777" w:rsidTr="00FB39A5">
        <w:tblPrEx>
          <w:tblCellMar>
            <w:top w:w="0" w:type="dxa"/>
            <w:bottom w:w="0" w:type="dxa"/>
          </w:tblCellMar>
        </w:tblPrEx>
        <w:trPr>
          <w:trHeight w:val="70"/>
          <w:jc w:val="center"/>
        </w:trPr>
        <w:tc>
          <w:tcPr>
            <w:tcW w:w="911" w:type="dxa"/>
            <w:vAlign w:val="center"/>
          </w:tcPr>
          <w:p w14:paraId="2E0BB1E3"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11B41EB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1989</w:t>
            </w:r>
          </w:p>
        </w:tc>
        <w:tc>
          <w:tcPr>
            <w:tcW w:w="2219" w:type="dxa"/>
            <w:vAlign w:val="center"/>
          </w:tcPr>
          <w:p w14:paraId="460B36BC"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r w:rsidRPr="00FB39A5">
                <w:rPr>
                  <w:rFonts w:ascii="Arial" w:hAnsi="Arial" w:cs="Arial"/>
                  <w:sz w:val="12"/>
                  <w:szCs w:val="12"/>
                  <w:lang w:val="en-GB"/>
                </w:rPr>
                <w:t>Sumatra</w:t>
              </w:r>
            </w:smartTag>
          </w:p>
        </w:tc>
        <w:tc>
          <w:tcPr>
            <w:tcW w:w="1000" w:type="dxa"/>
            <w:vAlign w:val="center"/>
          </w:tcPr>
          <w:p w14:paraId="373FA57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386,100.00</w:t>
            </w:r>
          </w:p>
        </w:tc>
        <w:tc>
          <w:tcPr>
            <w:tcW w:w="800" w:type="dxa"/>
            <w:vAlign w:val="center"/>
          </w:tcPr>
          <w:p w14:paraId="1FBC621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190AB56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159,400.00</w:t>
            </w:r>
          </w:p>
        </w:tc>
        <w:tc>
          <w:tcPr>
            <w:tcW w:w="600" w:type="dxa"/>
            <w:vAlign w:val="center"/>
          </w:tcPr>
          <w:p w14:paraId="4ADD6BE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17.09</w:t>
            </w:r>
          </w:p>
        </w:tc>
        <w:tc>
          <w:tcPr>
            <w:tcW w:w="955" w:type="dxa"/>
            <w:vAlign w:val="center"/>
          </w:tcPr>
          <w:p w14:paraId="2B8288E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49CB51B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market price</w:t>
            </w:r>
          </w:p>
        </w:tc>
        <w:tc>
          <w:tcPr>
            <w:tcW w:w="1553" w:type="dxa"/>
            <w:vAlign w:val="center"/>
          </w:tcPr>
          <w:p w14:paraId="180B027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932,709.19</w:t>
            </w:r>
          </w:p>
        </w:tc>
        <w:tc>
          <w:tcPr>
            <w:tcW w:w="1600" w:type="dxa"/>
            <w:vAlign w:val="center"/>
          </w:tcPr>
          <w:p w14:paraId="796999E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95.94</w:t>
            </w:r>
          </w:p>
        </w:tc>
        <w:tc>
          <w:tcPr>
            <w:tcW w:w="1400" w:type="dxa"/>
            <w:vAlign w:val="center"/>
          </w:tcPr>
          <w:p w14:paraId="6341AEC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37,042,986.52</w:t>
            </w:r>
          </w:p>
        </w:tc>
      </w:tr>
      <w:tr w:rsidR="00FB39A5" w:rsidRPr="00FB39A5" w14:paraId="5DC505A2" w14:textId="77777777" w:rsidTr="00FB39A5">
        <w:tblPrEx>
          <w:tblCellMar>
            <w:top w:w="0" w:type="dxa"/>
            <w:bottom w:w="0" w:type="dxa"/>
          </w:tblCellMar>
        </w:tblPrEx>
        <w:trPr>
          <w:trHeight w:val="70"/>
          <w:jc w:val="center"/>
        </w:trPr>
        <w:tc>
          <w:tcPr>
            <w:tcW w:w="911" w:type="dxa"/>
            <w:vAlign w:val="center"/>
          </w:tcPr>
          <w:p w14:paraId="29F1F82D"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Thailand</w:t>
                </w:r>
              </w:smartTag>
            </w:smartTag>
          </w:p>
        </w:tc>
        <w:tc>
          <w:tcPr>
            <w:tcW w:w="600" w:type="dxa"/>
            <w:vAlign w:val="center"/>
          </w:tcPr>
          <w:p w14:paraId="42CA970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1998</w:t>
            </w:r>
          </w:p>
        </w:tc>
        <w:tc>
          <w:tcPr>
            <w:tcW w:w="2219" w:type="dxa"/>
            <w:vAlign w:val="center"/>
          </w:tcPr>
          <w:p w14:paraId="71101E8F"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Surathanee</w:t>
            </w:r>
          </w:p>
        </w:tc>
        <w:tc>
          <w:tcPr>
            <w:tcW w:w="1000" w:type="dxa"/>
            <w:vAlign w:val="center"/>
          </w:tcPr>
          <w:p w14:paraId="1271574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400.00</w:t>
            </w:r>
          </w:p>
        </w:tc>
        <w:tc>
          <w:tcPr>
            <w:tcW w:w="800" w:type="dxa"/>
            <w:vAlign w:val="center"/>
          </w:tcPr>
          <w:p w14:paraId="212EE87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Baht</w:t>
            </w:r>
          </w:p>
        </w:tc>
        <w:tc>
          <w:tcPr>
            <w:tcW w:w="1200" w:type="dxa"/>
            <w:vAlign w:val="center"/>
          </w:tcPr>
          <w:p w14:paraId="1F99A9C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2,136.81</w:t>
            </w:r>
          </w:p>
        </w:tc>
        <w:tc>
          <w:tcPr>
            <w:tcW w:w="600" w:type="dxa"/>
            <w:vAlign w:val="center"/>
          </w:tcPr>
          <w:p w14:paraId="6512EAC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87.77</w:t>
            </w:r>
          </w:p>
        </w:tc>
        <w:tc>
          <w:tcPr>
            <w:tcW w:w="955" w:type="dxa"/>
            <w:vAlign w:val="center"/>
          </w:tcPr>
          <w:p w14:paraId="21C5593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40.31</w:t>
            </w:r>
          </w:p>
        </w:tc>
        <w:tc>
          <w:tcPr>
            <w:tcW w:w="1387" w:type="dxa"/>
            <w:vAlign w:val="center"/>
          </w:tcPr>
          <w:p w14:paraId="2AFD528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market price</w:t>
            </w:r>
          </w:p>
        </w:tc>
        <w:tc>
          <w:tcPr>
            <w:tcW w:w="1553" w:type="dxa"/>
            <w:vAlign w:val="center"/>
          </w:tcPr>
          <w:p w14:paraId="5354B97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2,434.56</w:t>
            </w:r>
          </w:p>
        </w:tc>
        <w:tc>
          <w:tcPr>
            <w:tcW w:w="1600" w:type="dxa"/>
            <w:vAlign w:val="center"/>
          </w:tcPr>
          <w:p w14:paraId="745B3C8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60.40</w:t>
            </w:r>
          </w:p>
        </w:tc>
        <w:tc>
          <w:tcPr>
            <w:tcW w:w="1400" w:type="dxa"/>
            <w:vAlign w:val="center"/>
          </w:tcPr>
          <w:p w14:paraId="6B2DF96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24,160.67</w:t>
            </w:r>
          </w:p>
        </w:tc>
      </w:tr>
      <w:tr w:rsidR="00FB39A5" w:rsidRPr="00FB39A5" w14:paraId="4B1355F8" w14:textId="77777777" w:rsidTr="00FB39A5">
        <w:tblPrEx>
          <w:tblCellMar>
            <w:top w:w="0" w:type="dxa"/>
            <w:bottom w:w="0" w:type="dxa"/>
          </w:tblCellMar>
        </w:tblPrEx>
        <w:trPr>
          <w:trHeight w:val="80"/>
          <w:jc w:val="center"/>
        </w:trPr>
        <w:tc>
          <w:tcPr>
            <w:tcW w:w="14225" w:type="dxa"/>
            <w:gridSpan w:val="12"/>
            <w:vAlign w:val="center"/>
          </w:tcPr>
          <w:p w14:paraId="6A75FA61" w14:textId="77777777" w:rsidR="00FB39A5" w:rsidRPr="00FB39A5" w:rsidRDefault="00FB39A5" w:rsidP="00FB39A5">
            <w:pPr>
              <w:tabs>
                <w:tab w:val="num" w:leader="none" w:pos="1440"/>
              </w:tabs>
              <w:jc w:val="center"/>
              <w:outlineLvl w:val="1"/>
              <w:rPr>
                <w:rFonts w:ascii="Arial" w:hAnsi="Arial" w:cs="Arial"/>
                <w:b/>
                <w:bCs/>
                <w:sz w:val="18"/>
                <w:szCs w:val="18"/>
                <w:lang w:val="en-GB"/>
              </w:rPr>
            </w:pPr>
            <w:bookmarkStart w:id="48" w:name="_Toc163031993"/>
            <w:bookmarkStart w:id="49" w:name="_Toc163032120"/>
            <w:r w:rsidRPr="00FB39A5">
              <w:rPr>
                <w:rFonts w:ascii="Arial" w:hAnsi="Arial" w:cs="Arial"/>
                <w:b/>
                <w:bCs/>
                <w:sz w:val="18"/>
                <w:szCs w:val="18"/>
                <w:lang w:val="en-GB"/>
              </w:rPr>
              <w:t>Oxygen release</w:t>
            </w:r>
            <w:bookmarkEnd w:id="48"/>
            <w:bookmarkEnd w:id="49"/>
          </w:p>
        </w:tc>
      </w:tr>
      <w:tr w:rsidR="00FB39A5" w:rsidRPr="00FB39A5" w14:paraId="63DE4AA2" w14:textId="77777777" w:rsidTr="00FB39A5">
        <w:tblPrEx>
          <w:tblCellMar>
            <w:top w:w="0" w:type="dxa"/>
            <w:bottom w:w="0" w:type="dxa"/>
          </w:tblCellMar>
        </w:tblPrEx>
        <w:trPr>
          <w:trHeight w:val="80"/>
          <w:jc w:val="center"/>
        </w:trPr>
        <w:tc>
          <w:tcPr>
            <w:tcW w:w="911" w:type="dxa"/>
            <w:vAlign w:val="center"/>
          </w:tcPr>
          <w:p w14:paraId="3FD5F92A"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China</w:t>
                </w:r>
              </w:smartTag>
            </w:smartTag>
          </w:p>
        </w:tc>
        <w:tc>
          <w:tcPr>
            <w:tcW w:w="600" w:type="dxa"/>
            <w:vAlign w:val="center"/>
          </w:tcPr>
          <w:p w14:paraId="0EC4939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2219" w:type="dxa"/>
            <w:vAlign w:val="center"/>
          </w:tcPr>
          <w:p w14:paraId="265E6E02"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Fangchenggang</w:t>
            </w:r>
          </w:p>
        </w:tc>
        <w:tc>
          <w:tcPr>
            <w:tcW w:w="1000" w:type="dxa"/>
            <w:vAlign w:val="center"/>
          </w:tcPr>
          <w:p w14:paraId="0FAF030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1,414.50</w:t>
            </w:r>
          </w:p>
        </w:tc>
        <w:tc>
          <w:tcPr>
            <w:tcW w:w="800" w:type="dxa"/>
            <w:vAlign w:val="center"/>
          </w:tcPr>
          <w:p w14:paraId="4813847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RMB</w:t>
            </w:r>
          </w:p>
        </w:tc>
        <w:tc>
          <w:tcPr>
            <w:tcW w:w="1200" w:type="dxa"/>
            <w:vAlign w:val="center"/>
          </w:tcPr>
          <w:p w14:paraId="2FCCFB0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3,331.00</w:t>
            </w:r>
          </w:p>
        </w:tc>
        <w:tc>
          <w:tcPr>
            <w:tcW w:w="600" w:type="dxa"/>
            <w:vAlign w:val="center"/>
          </w:tcPr>
          <w:p w14:paraId="65C63D4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93.38</w:t>
            </w:r>
          </w:p>
        </w:tc>
        <w:tc>
          <w:tcPr>
            <w:tcW w:w="955" w:type="dxa"/>
            <w:vAlign w:val="center"/>
          </w:tcPr>
          <w:p w14:paraId="012A174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8.20</w:t>
            </w:r>
          </w:p>
        </w:tc>
        <w:tc>
          <w:tcPr>
            <w:tcW w:w="1387" w:type="dxa"/>
            <w:vAlign w:val="center"/>
          </w:tcPr>
          <w:p w14:paraId="46CAC42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market price</w:t>
            </w:r>
          </w:p>
        </w:tc>
        <w:tc>
          <w:tcPr>
            <w:tcW w:w="1553" w:type="dxa"/>
            <w:vAlign w:val="center"/>
          </w:tcPr>
          <w:p w14:paraId="6BD3ADB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3,567.14</w:t>
            </w:r>
          </w:p>
        </w:tc>
        <w:tc>
          <w:tcPr>
            <w:tcW w:w="1600" w:type="dxa"/>
            <w:vAlign w:val="center"/>
          </w:tcPr>
          <w:p w14:paraId="32BCF8F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434.84</w:t>
            </w:r>
          </w:p>
        </w:tc>
        <w:tc>
          <w:tcPr>
            <w:tcW w:w="1400" w:type="dxa"/>
            <w:vAlign w:val="center"/>
          </w:tcPr>
          <w:p w14:paraId="16A8C6C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615,085.73</w:t>
            </w:r>
          </w:p>
        </w:tc>
      </w:tr>
      <w:tr w:rsidR="00FB39A5" w:rsidRPr="00FB39A5" w14:paraId="36EFCD94" w14:textId="77777777" w:rsidTr="00FB39A5">
        <w:tblPrEx>
          <w:tblCellMar>
            <w:top w:w="0" w:type="dxa"/>
            <w:bottom w:w="0" w:type="dxa"/>
          </w:tblCellMar>
        </w:tblPrEx>
        <w:trPr>
          <w:trHeight w:val="80"/>
          <w:jc w:val="center"/>
        </w:trPr>
        <w:tc>
          <w:tcPr>
            <w:tcW w:w="14225" w:type="dxa"/>
            <w:gridSpan w:val="12"/>
            <w:vAlign w:val="center"/>
          </w:tcPr>
          <w:p w14:paraId="61E2053D" w14:textId="77777777" w:rsidR="00FB39A5" w:rsidRPr="00FB39A5" w:rsidRDefault="00FB39A5" w:rsidP="00FB39A5">
            <w:pPr>
              <w:tabs>
                <w:tab w:val="num" w:leader="none" w:pos="1440"/>
              </w:tabs>
              <w:jc w:val="center"/>
              <w:outlineLvl w:val="1"/>
              <w:rPr>
                <w:rFonts w:ascii="Arial" w:hAnsi="Arial" w:cs="Arial"/>
                <w:b/>
                <w:bCs/>
                <w:sz w:val="18"/>
                <w:szCs w:val="18"/>
                <w:lang w:val="en-GB"/>
              </w:rPr>
            </w:pPr>
            <w:bookmarkStart w:id="50" w:name="_Toc163031994"/>
            <w:bookmarkStart w:id="51" w:name="_Toc163032121"/>
            <w:r w:rsidRPr="00FB39A5">
              <w:rPr>
                <w:rFonts w:ascii="Arial" w:hAnsi="Arial" w:cs="Arial"/>
                <w:b/>
                <w:bCs/>
                <w:sz w:val="18"/>
                <w:szCs w:val="18"/>
                <w:lang w:val="en-GB"/>
              </w:rPr>
              <w:t>Option value – biodiversity</w:t>
            </w:r>
            <w:bookmarkEnd w:id="50"/>
            <w:bookmarkEnd w:id="51"/>
          </w:p>
        </w:tc>
      </w:tr>
      <w:tr w:rsidR="00FB39A5" w:rsidRPr="00FB39A5" w14:paraId="444A0FF4" w14:textId="77777777" w:rsidTr="00FB39A5">
        <w:tblPrEx>
          <w:tblCellMar>
            <w:top w:w="0" w:type="dxa"/>
            <w:bottom w:w="0" w:type="dxa"/>
          </w:tblCellMar>
        </w:tblPrEx>
        <w:trPr>
          <w:trHeight w:val="210"/>
          <w:jc w:val="center"/>
        </w:trPr>
        <w:tc>
          <w:tcPr>
            <w:tcW w:w="911" w:type="dxa"/>
            <w:vAlign w:val="center"/>
          </w:tcPr>
          <w:p w14:paraId="28AE6721"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Indonesia</w:t>
                </w:r>
              </w:smartTag>
            </w:smartTag>
            <w:r w:rsidRPr="00FB39A5">
              <w:rPr>
                <w:rFonts w:ascii="Arial" w:hAnsi="Arial" w:cs="Arial"/>
                <w:sz w:val="16"/>
                <w:szCs w:val="16"/>
                <w:lang w:val="en-GB"/>
              </w:rPr>
              <w:t xml:space="preserve"> </w:t>
            </w:r>
          </w:p>
        </w:tc>
        <w:tc>
          <w:tcPr>
            <w:tcW w:w="600" w:type="dxa"/>
            <w:vAlign w:val="center"/>
          </w:tcPr>
          <w:p w14:paraId="45B737F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2219" w:type="dxa"/>
            <w:vAlign w:val="center"/>
          </w:tcPr>
          <w:p w14:paraId="20EA52C0"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r w:rsidRPr="00FB39A5">
                <w:rPr>
                  <w:rFonts w:ascii="Arial" w:hAnsi="Arial" w:cs="Arial"/>
                  <w:sz w:val="12"/>
                  <w:szCs w:val="12"/>
                  <w:lang w:val="en-GB"/>
                </w:rPr>
                <w:t>Makassar</w:t>
              </w:r>
            </w:smartTag>
          </w:p>
        </w:tc>
        <w:tc>
          <w:tcPr>
            <w:tcW w:w="1000" w:type="dxa"/>
            <w:vAlign w:val="center"/>
          </w:tcPr>
          <w:p w14:paraId="587551B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27.00</w:t>
            </w:r>
          </w:p>
        </w:tc>
        <w:tc>
          <w:tcPr>
            <w:tcW w:w="800" w:type="dxa"/>
            <w:vAlign w:val="center"/>
          </w:tcPr>
          <w:p w14:paraId="27CBA0C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49E3FC5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156,855.00</w:t>
            </w:r>
          </w:p>
        </w:tc>
        <w:tc>
          <w:tcPr>
            <w:tcW w:w="600" w:type="dxa"/>
            <w:vAlign w:val="center"/>
          </w:tcPr>
          <w:p w14:paraId="4A5352D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5" w:type="dxa"/>
            <w:vAlign w:val="center"/>
          </w:tcPr>
          <w:p w14:paraId="799EE54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5FCE3AA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05AC96C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156,855.00</w:t>
            </w:r>
          </w:p>
        </w:tc>
        <w:tc>
          <w:tcPr>
            <w:tcW w:w="1600" w:type="dxa"/>
            <w:vAlign w:val="center"/>
          </w:tcPr>
          <w:p w14:paraId="4921D53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16.13</w:t>
            </w:r>
          </w:p>
        </w:tc>
        <w:tc>
          <w:tcPr>
            <w:tcW w:w="1400" w:type="dxa"/>
            <w:vAlign w:val="center"/>
          </w:tcPr>
          <w:p w14:paraId="31FCA4C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435.63</w:t>
            </w:r>
          </w:p>
        </w:tc>
      </w:tr>
      <w:tr w:rsidR="00FB39A5" w:rsidRPr="00FB39A5" w14:paraId="246CEDC8" w14:textId="77777777" w:rsidTr="00FB39A5">
        <w:tblPrEx>
          <w:tblCellMar>
            <w:top w:w="0" w:type="dxa"/>
            <w:bottom w:w="0" w:type="dxa"/>
          </w:tblCellMar>
        </w:tblPrEx>
        <w:trPr>
          <w:trHeight w:val="240"/>
          <w:jc w:val="center"/>
        </w:trPr>
        <w:tc>
          <w:tcPr>
            <w:tcW w:w="911" w:type="dxa"/>
            <w:vAlign w:val="center"/>
          </w:tcPr>
          <w:p w14:paraId="6852DD2E"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4DFC09D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2219" w:type="dxa"/>
            <w:vAlign w:val="center"/>
          </w:tcPr>
          <w:p w14:paraId="591399E2"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Mamuju </w:t>
            </w:r>
          </w:p>
        </w:tc>
        <w:tc>
          <w:tcPr>
            <w:tcW w:w="1000" w:type="dxa"/>
            <w:vAlign w:val="center"/>
          </w:tcPr>
          <w:p w14:paraId="6003663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976.00</w:t>
            </w:r>
          </w:p>
        </w:tc>
        <w:tc>
          <w:tcPr>
            <w:tcW w:w="800" w:type="dxa"/>
            <w:vAlign w:val="center"/>
          </w:tcPr>
          <w:p w14:paraId="7D743FA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6FBA483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500,558.80</w:t>
            </w:r>
          </w:p>
        </w:tc>
        <w:tc>
          <w:tcPr>
            <w:tcW w:w="600" w:type="dxa"/>
            <w:vAlign w:val="center"/>
          </w:tcPr>
          <w:p w14:paraId="587298C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5" w:type="dxa"/>
            <w:vAlign w:val="center"/>
          </w:tcPr>
          <w:p w14:paraId="3F5C599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54E6F33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3B0E5A2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500,558.80</w:t>
            </w:r>
          </w:p>
        </w:tc>
        <w:tc>
          <w:tcPr>
            <w:tcW w:w="1600" w:type="dxa"/>
            <w:vAlign w:val="center"/>
          </w:tcPr>
          <w:p w14:paraId="30A47E3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51.49</w:t>
            </w:r>
          </w:p>
        </w:tc>
        <w:tc>
          <w:tcPr>
            <w:tcW w:w="1400" w:type="dxa"/>
            <w:vAlign w:val="center"/>
          </w:tcPr>
          <w:p w14:paraId="318A5F0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50,253.33</w:t>
            </w:r>
          </w:p>
        </w:tc>
      </w:tr>
      <w:tr w:rsidR="00FB39A5" w:rsidRPr="00FB39A5" w14:paraId="538720EA" w14:textId="77777777" w:rsidTr="00FB39A5">
        <w:tblPrEx>
          <w:tblCellMar>
            <w:top w:w="0" w:type="dxa"/>
            <w:bottom w:w="0" w:type="dxa"/>
          </w:tblCellMar>
        </w:tblPrEx>
        <w:trPr>
          <w:trHeight w:val="240"/>
          <w:jc w:val="center"/>
        </w:trPr>
        <w:tc>
          <w:tcPr>
            <w:tcW w:w="911" w:type="dxa"/>
            <w:vAlign w:val="center"/>
          </w:tcPr>
          <w:p w14:paraId="01EAE1C2"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2AE3899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2005</w:t>
            </w:r>
          </w:p>
        </w:tc>
        <w:tc>
          <w:tcPr>
            <w:tcW w:w="2219" w:type="dxa"/>
            <w:vAlign w:val="center"/>
          </w:tcPr>
          <w:p w14:paraId="762370CD"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Donggala </w:t>
            </w:r>
          </w:p>
        </w:tc>
        <w:tc>
          <w:tcPr>
            <w:tcW w:w="1000" w:type="dxa"/>
            <w:vAlign w:val="center"/>
          </w:tcPr>
          <w:p w14:paraId="48AB69B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18,300.00</w:t>
            </w:r>
          </w:p>
        </w:tc>
        <w:tc>
          <w:tcPr>
            <w:tcW w:w="800" w:type="dxa"/>
            <w:vAlign w:val="center"/>
          </w:tcPr>
          <w:p w14:paraId="7303C4C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72A1200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154,365.00</w:t>
            </w:r>
          </w:p>
        </w:tc>
        <w:tc>
          <w:tcPr>
            <w:tcW w:w="600" w:type="dxa"/>
            <w:vAlign w:val="center"/>
          </w:tcPr>
          <w:p w14:paraId="2A573BB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100.00</w:t>
            </w:r>
          </w:p>
        </w:tc>
        <w:tc>
          <w:tcPr>
            <w:tcW w:w="955" w:type="dxa"/>
            <w:vAlign w:val="center"/>
          </w:tcPr>
          <w:p w14:paraId="6F9A766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13BC491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394D004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154,365.00</w:t>
            </w:r>
          </w:p>
        </w:tc>
        <w:tc>
          <w:tcPr>
            <w:tcW w:w="1600" w:type="dxa"/>
            <w:vAlign w:val="center"/>
          </w:tcPr>
          <w:p w14:paraId="5A0F6B9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15.88</w:t>
            </w:r>
          </w:p>
        </w:tc>
        <w:tc>
          <w:tcPr>
            <w:tcW w:w="1400" w:type="dxa"/>
            <w:vAlign w:val="center"/>
          </w:tcPr>
          <w:p w14:paraId="1CA07A7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290,576.08</w:t>
            </w:r>
          </w:p>
        </w:tc>
      </w:tr>
      <w:tr w:rsidR="00FB39A5" w:rsidRPr="00FB39A5" w14:paraId="49A0DF19" w14:textId="77777777" w:rsidTr="00FB39A5">
        <w:tblPrEx>
          <w:tblCellMar>
            <w:top w:w="0" w:type="dxa"/>
            <w:bottom w:w="0" w:type="dxa"/>
          </w:tblCellMar>
        </w:tblPrEx>
        <w:trPr>
          <w:trHeight w:val="240"/>
          <w:jc w:val="center"/>
        </w:trPr>
        <w:tc>
          <w:tcPr>
            <w:tcW w:w="911" w:type="dxa"/>
            <w:vAlign w:val="center"/>
          </w:tcPr>
          <w:p w14:paraId="02068A40"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4FF2798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2219" w:type="dxa"/>
            <w:vAlign w:val="center"/>
          </w:tcPr>
          <w:p w14:paraId="242D7722"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Youtefa</w:t>
                </w:r>
              </w:smartTag>
              <w:r w:rsidRPr="00FB39A5">
                <w:rPr>
                  <w:rFonts w:ascii="Arial" w:hAnsi="Arial" w:cs="Arial"/>
                  <w:sz w:val="12"/>
                  <w:szCs w:val="12"/>
                  <w:lang w:val="en-GB"/>
                </w:rPr>
                <w:t xml:space="preserve"> </w:t>
              </w:r>
              <w:smartTag w:uri="urn:schemas-microsoft-com:office:smarttags" w:element="PlaceType">
                <w:r w:rsidRPr="00FB39A5">
                  <w:rPr>
                    <w:rFonts w:ascii="Arial" w:hAnsi="Arial" w:cs="Arial"/>
                    <w:sz w:val="12"/>
                    <w:szCs w:val="12"/>
                    <w:lang w:val="en-GB"/>
                  </w:rPr>
                  <w:t>Bay</w:t>
                </w:r>
              </w:smartTag>
            </w:smartTag>
          </w:p>
        </w:tc>
        <w:tc>
          <w:tcPr>
            <w:tcW w:w="1000" w:type="dxa"/>
            <w:vAlign w:val="center"/>
          </w:tcPr>
          <w:p w14:paraId="7F400F3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188.00</w:t>
            </w:r>
          </w:p>
        </w:tc>
        <w:tc>
          <w:tcPr>
            <w:tcW w:w="800" w:type="dxa"/>
            <w:vAlign w:val="center"/>
          </w:tcPr>
          <w:p w14:paraId="5794B63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7F1EC13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142,500.00</w:t>
            </w:r>
          </w:p>
        </w:tc>
        <w:tc>
          <w:tcPr>
            <w:tcW w:w="600" w:type="dxa"/>
            <w:vAlign w:val="center"/>
          </w:tcPr>
          <w:p w14:paraId="59E7D43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5" w:type="dxa"/>
            <w:vAlign w:val="center"/>
          </w:tcPr>
          <w:p w14:paraId="2DC43B0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5C199CF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5DA686C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157,389.00</w:t>
            </w:r>
          </w:p>
        </w:tc>
        <w:tc>
          <w:tcPr>
            <w:tcW w:w="1600" w:type="dxa"/>
            <w:vAlign w:val="center"/>
          </w:tcPr>
          <w:p w14:paraId="588CF66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16.19</w:t>
            </w:r>
          </w:p>
        </w:tc>
        <w:tc>
          <w:tcPr>
            <w:tcW w:w="1400" w:type="dxa"/>
            <w:vAlign w:val="center"/>
          </w:tcPr>
          <w:p w14:paraId="32D5A82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3,043.63</w:t>
            </w:r>
          </w:p>
        </w:tc>
      </w:tr>
      <w:tr w:rsidR="00FB39A5" w:rsidRPr="00FB39A5" w14:paraId="4B775548" w14:textId="77777777" w:rsidTr="00FB39A5">
        <w:tblPrEx>
          <w:tblCellMar>
            <w:top w:w="0" w:type="dxa"/>
            <w:bottom w:w="0" w:type="dxa"/>
          </w:tblCellMar>
        </w:tblPrEx>
        <w:trPr>
          <w:trHeight w:val="240"/>
          <w:jc w:val="center"/>
        </w:trPr>
        <w:tc>
          <w:tcPr>
            <w:tcW w:w="911" w:type="dxa"/>
            <w:vAlign w:val="center"/>
          </w:tcPr>
          <w:p w14:paraId="3B9B9062"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59FED25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2219" w:type="dxa"/>
            <w:vAlign w:val="center"/>
          </w:tcPr>
          <w:p w14:paraId="1FD78203"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Karawang, W. Java Perhutani's property</w:t>
            </w:r>
          </w:p>
        </w:tc>
        <w:tc>
          <w:tcPr>
            <w:tcW w:w="1000" w:type="dxa"/>
            <w:vAlign w:val="center"/>
          </w:tcPr>
          <w:p w14:paraId="29A367F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1,292.40</w:t>
            </w:r>
          </w:p>
        </w:tc>
        <w:tc>
          <w:tcPr>
            <w:tcW w:w="800" w:type="dxa"/>
            <w:vAlign w:val="center"/>
          </w:tcPr>
          <w:p w14:paraId="7CD8FF8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2BD05EE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135,262.50</w:t>
            </w:r>
          </w:p>
        </w:tc>
        <w:tc>
          <w:tcPr>
            <w:tcW w:w="600" w:type="dxa"/>
            <w:vAlign w:val="center"/>
          </w:tcPr>
          <w:p w14:paraId="73D56A8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5" w:type="dxa"/>
            <w:vAlign w:val="center"/>
          </w:tcPr>
          <w:p w14:paraId="5D63C59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57A0B72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4B9E557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149,395.29</w:t>
            </w:r>
          </w:p>
        </w:tc>
        <w:tc>
          <w:tcPr>
            <w:tcW w:w="1600" w:type="dxa"/>
            <w:vAlign w:val="center"/>
          </w:tcPr>
          <w:p w14:paraId="14408B7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15.37</w:t>
            </w:r>
          </w:p>
        </w:tc>
        <w:tc>
          <w:tcPr>
            <w:tcW w:w="1400" w:type="dxa"/>
            <w:vAlign w:val="center"/>
          </w:tcPr>
          <w:p w14:paraId="0B33560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19,860.67</w:t>
            </w:r>
          </w:p>
        </w:tc>
      </w:tr>
      <w:tr w:rsidR="00FB39A5" w:rsidRPr="00FB39A5" w14:paraId="57904EF3" w14:textId="77777777" w:rsidTr="00FB39A5">
        <w:tblPrEx>
          <w:tblCellMar>
            <w:top w:w="0" w:type="dxa"/>
            <w:bottom w:w="0" w:type="dxa"/>
          </w:tblCellMar>
        </w:tblPrEx>
        <w:trPr>
          <w:trHeight w:val="240"/>
          <w:jc w:val="center"/>
        </w:trPr>
        <w:tc>
          <w:tcPr>
            <w:tcW w:w="911" w:type="dxa"/>
            <w:vAlign w:val="center"/>
          </w:tcPr>
          <w:p w14:paraId="3C0F7ABB"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38E42E0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2219" w:type="dxa"/>
            <w:vAlign w:val="center"/>
          </w:tcPr>
          <w:p w14:paraId="24C69112" w14:textId="77777777" w:rsidR="00FB39A5" w:rsidRPr="00FB39A5" w:rsidRDefault="00FB39A5" w:rsidP="00FB39A5">
            <w:pPr>
              <w:autoSpaceDE w:val="0"/>
              <w:autoSpaceDN w:val="0"/>
              <w:adjustRightInd w:val="0"/>
              <w:rPr>
                <w:rFonts w:ascii="Arial" w:hAnsi="Arial" w:cs="Arial"/>
                <w:sz w:val="12"/>
                <w:szCs w:val="12"/>
                <w:lang w:val="en-GB"/>
              </w:rPr>
            </w:pPr>
            <w:r w:rsidRPr="00FB39A5">
              <w:rPr>
                <w:rFonts w:ascii="Arial" w:hAnsi="Arial" w:cs="Arial"/>
                <w:sz w:val="12"/>
                <w:szCs w:val="12"/>
                <w:lang w:val="en-GB"/>
              </w:rPr>
              <w:t>Karawang, W.t Java Private property</w:t>
            </w:r>
          </w:p>
        </w:tc>
        <w:tc>
          <w:tcPr>
            <w:tcW w:w="1000" w:type="dxa"/>
            <w:vAlign w:val="center"/>
          </w:tcPr>
          <w:p w14:paraId="70B820C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400.00</w:t>
            </w:r>
          </w:p>
        </w:tc>
        <w:tc>
          <w:tcPr>
            <w:tcW w:w="800" w:type="dxa"/>
            <w:vAlign w:val="center"/>
          </w:tcPr>
          <w:p w14:paraId="62CF3A5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42FD8B0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135,262.50</w:t>
            </w:r>
          </w:p>
        </w:tc>
        <w:tc>
          <w:tcPr>
            <w:tcW w:w="600" w:type="dxa"/>
            <w:vAlign w:val="center"/>
          </w:tcPr>
          <w:p w14:paraId="13CC1FB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5" w:type="dxa"/>
            <w:vAlign w:val="center"/>
          </w:tcPr>
          <w:p w14:paraId="18EA10A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668D36E5"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527FEEC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149,395.29</w:t>
            </w:r>
          </w:p>
        </w:tc>
        <w:tc>
          <w:tcPr>
            <w:tcW w:w="1600" w:type="dxa"/>
            <w:vAlign w:val="center"/>
          </w:tcPr>
          <w:p w14:paraId="10F8C86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15.37</w:t>
            </w:r>
          </w:p>
        </w:tc>
        <w:tc>
          <w:tcPr>
            <w:tcW w:w="1400" w:type="dxa"/>
            <w:vAlign w:val="center"/>
          </w:tcPr>
          <w:p w14:paraId="332CC50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6,146.91</w:t>
            </w:r>
          </w:p>
        </w:tc>
      </w:tr>
      <w:tr w:rsidR="00FB39A5" w:rsidRPr="00FB39A5" w14:paraId="7942A016" w14:textId="77777777" w:rsidTr="00FB39A5">
        <w:tblPrEx>
          <w:tblCellMar>
            <w:top w:w="0" w:type="dxa"/>
            <w:bottom w:w="0" w:type="dxa"/>
          </w:tblCellMar>
        </w:tblPrEx>
        <w:trPr>
          <w:trHeight w:val="240"/>
          <w:jc w:val="center"/>
        </w:trPr>
        <w:tc>
          <w:tcPr>
            <w:tcW w:w="911" w:type="dxa"/>
            <w:vAlign w:val="center"/>
          </w:tcPr>
          <w:p w14:paraId="5631A834"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4A0EAA4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2004</w:t>
            </w:r>
          </w:p>
        </w:tc>
        <w:tc>
          <w:tcPr>
            <w:tcW w:w="2219" w:type="dxa"/>
            <w:vAlign w:val="center"/>
          </w:tcPr>
          <w:p w14:paraId="2FA677E0"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Marisa</w:t>
                </w:r>
              </w:smartTag>
              <w:r w:rsidRPr="00FB39A5">
                <w:rPr>
                  <w:rFonts w:ascii="Arial" w:hAnsi="Arial" w:cs="Arial"/>
                  <w:sz w:val="12"/>
                  <w:szCs w:val="12"/>
                  <w:lang w:val="en-GB"/>
                </w:rPr>
                <w:t xml:space="preserve"> </w:t>
              </w:r>
              <w:smartTag w:uri="urn:schemas-microsoft-com:office:smarttags" w:element="PlaceName">
                <w:r w:rsidRPr="00FB39A5">
                  <w:rPr>
                    <w:rFonts w:ascii="Arial" w:hAnsi="Arial" w:cs="Arial"/>
                    <w:sz w:val="12"/>
                    <w:szCs w:val="12"/>
                    <w:lang w:val="en-GB"/>
                  </w:rPr>
                  <w:t>District</w:t>
                </w:r>
              </w:smartTag>
            </w:smartTag>
            <w:r w:rsidRPr="00FB39A5">
              <w:rPr>
                <w:rFonts w:ascii="Arial" w:hAnsi="Arial" w:cs="Arial"/>
                <w:sz w:val="12"/>
                <w:szCs w:val="12"/>
                <w:lang w:val="en-GB"/>
              </w:rPr>
              <w:t>, Gorontalo</w:t>
            </w:r>
          </w:p>
        </w:tc>
        <w:tc>
          <w:tcPr>
            <w:tcW w:w="1000" w:type="dxa"/>
            <w:vAlign w:val="center"/>
          </w:tcPr>
          <w:p w14:paraId="2051944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5,332.00</w:t>
            </w:r>
          </w:p>
        </w:tc>
        <w:tc>
          <w:tcPr>
            <w:tcW w:w="800" w:type="dxa"/>
            <w:vAlign w:val="center"/>
          </w:tcPr>
          <w:p w14:paraId="74B35C8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1FF2CD3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375,000.00</w:t>
            </w:r>
          </w:p>
        </w:tc>
        <w:tc>
          <w:tcPr>
            <w:tcW w:w="600" w:type="dxa"/>
            <w:vAlign w:val="center"/>
          </w:tcPr>
          <w:p w14:paraId="40B6925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90.54</w:t>
            </w:r>
          </w:p>
        </w:tc>
        <w:tc>
          <w:tcPr>
            <w:tcW w:w="955" w:type="dxa"/>
            <w:vAlign w:val="center"/>
          </w:tcPr>
          <w:p w14:paraId="3719D12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7479971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77A52F1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414,181.58</w:t>
            </w:r>
          </w:p>
        </w:tc>
        <w:tc>
          <w:tcPr>
            <w:tcW w:w="1600" w:type="dxa"/>
            <w:vAlign w:val="center"/>
          </w:tcPr>
          <w:p w14:paraId="170D070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42.60</w:t>
            </w:r>
          </w:p>
        </w:tc>
        <w:tc>
          <w:tcPr>
            <w:tcW w:w="1400" w:type="dxa"/>
            <w:vAlign w:val="center"/>
          </w:tcPr>
          <w:p w14:paraId="69D3B13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227,164.71</w:t>
            </w:r>
          </w:p>
        </w:tc>
      </w:tr>
      <w:tr w:rsidR="00FB39A5" w:rsidRPr="00FB39A5" w14:paraId="63076EFF" w14:textId="77777777" w:rsidTr="00FB39A5">
        <w:tblPrEx>
          <w:tblCellMar>
            <w:top w:w="0" w:type="dxa"/>
            <w:bottom w:w="0" w:type="dxa"/>
          </w:tblCellMar>
        </w:tblPrEx>
        <w:trPr>
          <w:trHeight w:val="139"/>
          <w:jc w:val="center"/>
        </w:trPr>
        <w:tc>
          <w:tcPr>
            <w:tcW w:w="911" w:type="dxa"/>
            <w:vAlign w:val="center"/>
          </w:tcPr>
          <w:p w14:paraId="0C0457AB"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1DA3EF5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2003</w:t>
            </w:r>
          </w:p>
        </w:tc>
        <w:tc>
          <w:tcPr>
            <w:tcW w:w="2219" w:type="dxa"/>
            <w:vAlign w:val="center"/>
          </w:tcPr>
          <w:p w14:paraId="3521F3F6"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Derawan</w:t>
                </w:r>
              </w:smartTag>
              <w:r w:rsidRPr="00FB39A5">
                <w:rPr>
                  <w:rFonts w:ascii="Arial" w:hAnsi="Arial" w:cs="Arial"/>
                  <w:sz w:val="12"/>
                  <w:szCs w:val="12"/>
                  <w:lang w:val="en-GB"/>
                </w:rPr>
                <w:t xml:space="preserve"> </w:t>
              </w:r>
              <w:smartTag w:uri="urn:schemas-microsoft-com:office:smarttags" w:element="PlaceType">
                <w:r w:rsidRPr="00FB39A5">
                  <w:rPr>
                    <w:rFonts w:ascii="Arial" w:hAnsi="Arial" w:cs="Arial"/>
                    <w:sz w:val="12"/>
                    <w:szCs w:val="12"/>
                    <w:lang w:val="en-GB"/>
                  </w:rPr>
                  <w:t>Island</w:t>
                </w:r>
              </w:smartTag>
            </w:smartTag>
            <w:r w:rsidRPr="00FB39A5">
              <w:rPr>
                <w:rFonts w:ascii="Arial" w:hAnsi="Arial" w:cs="Arial"/>
                <w:sz w:val="12"/>
                <w:szCs w:val="12"/>
                <w:lang w:val="en-GB"/>
              </w:rPr>
              <w:t xml:space="preserve"> </w:t>
            </w:r>
          </w:p>
        </w:tc>
        <w:tc>
          <w:tcPr>
            <w:tcW w:w="1000" w:type="dxa"/>
            <w:vAlign w:val="center"/>
          </w:tcPr>
          <w:p w14:paraId="7298FAE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44.60</w:t>
            </w:r>
          </w:p>
        </w:tc>
        <w:tc>
          <w:tcPr>
            <w:tcW w:w="800" w:type="dxa"/>
            <w:vAlign w:val="center"/>
          </w:tcPr>
          <w:p w14:paraId="71DE8E9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0212127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2,867,680.00</w:t>
            </w:r>
          </w:p>
        </w:tc>
        <w:tc>
          <w:tcPr>
            <w:tcW w:w="600" w:type="dxa"/>
            <w:vAlign w:val="center"/>
          </w:tcPr>
          <w:p w14:paraId="0A5A918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85.22</w:t>
            </w:r>
          </w:p>
        </w:tc>
        <w:tc>
          <w:tcPr>
            <w:tcW w:w="955" w:type="dxa"/>
            <w:vAlign w:val="center"/>
          </w:tcPr>
          <w:p w14:paraId="4F8DDA6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0FFFD97B"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6546FFD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3,365,031.68</w:t>
            </w:r>
          </w:p>
        </w:tc>
        <w:tc>
          <w:tcPr>
            <w:tcW w:w="1600" w:type="dxa"/>
            <w:vAlign w:val="center"/>
          </w:tcPr>
          <w:p w14:paraId="6FD2229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346.14</w:t>
            </w:r>
          </w:p>
        </w:tc>
        <w:tc>
          <w:tcPr>
            <w:tcW w:w="1400" w:type="dxa"/>
            <w:vAlign w:val="center"/>
          </w:tcPr>
          <w:p w14:paraId="6B84DC6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15,437.75</w:t>
            </w:r>
          </w:p>
        </w:tc>
      </w:tr>
      <w:tr w:rsidR="00FB39A5" w:rsidRPr="00FB39A5" w14:paraId="7647E176" w14:textId="77777777" w:rsidTr="00FB39A5">
        <w:tblPrEx>
          <w:tblCellMar>
            <w:top w:w="0" w:type="dxa"/>
            <w:bottom w:w="0" w:type="dxa"/>
          </w:tblCellMar>
        </w:tblPrEx>
        <w:trPr>
          <w:trHeight w:val="240"/>
          <w:jc w:val="center"/>
        </w:trPr>
        <w:tc>
          <w:tcPr>
            <w:tcW w:w="911" w:type="dxa"/>
            <w:vAlign w:val="center"/>
          </w:tcPr>
          <w:p w14:paraId="2F3A0CEC"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vAlign w:val="center"/>
          </w:tcPr>
          <w:p w14:paraId="610E7CD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2003</w:t>
            </w:r>
          </w:p>
        </w:tc>
        <w:tc>
          <w:tcPr>
            <w:tcW w:w="2219" w:type="dxa"/>
            <w:vAlign w:val="center"/>
          </w:tcPr>
          <w:p w14:paraId="03D94744"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Pulau Derawan</w:t>
            </w:r>
          </w:p>
        </w:tc>
        <w:tc>
          <w:tcPr>
            <w:tcW w:w="1000" w:type="dxa"/>
            <w:vAlign w:val="center"/>
          </w:tcPr>
          <w:p w14:paraId="418F9D6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44.60</w:t>
            </w:r>
          </w:p>
        </w:tc>
        <w:tc>
          <w:tcPr>
            <w:tcW w:w="800" w:type="dxa"/>
            <w:vAlign w:val="center"/>
          </w:tcPr>
          <w:p w14:paraId="3D97080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661C05E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2,867,680.00</w:t>
            </w:r>
          </w:p>
        </w:tc>
        <w:tc>
          <w:tcPr>
            <w:tcW w:w="600" w:type="dxa"/>
            <w:vAlign w:val="center"/>
          </w:tcPr>
          <w:p w14:paraId="5C1B577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85.22</w:t>
            </w:r>
          </w:p>
        </w:tc>
        <w:tc>
          <w:tcPr>
            <w:tcW w:w="955" w:type="dxa"/>
            <w:vAlign w:val="center"/>
          </w:tcPr>
          <w:p w14:paraId="1FF672C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4C9EF9C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09E09F2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3,365,031.68</w:t>
            </w:r>
          </w:p>
        </w:tc>
        <w:tc>
          <w:tcPr>
            <w:tcW w:w="1600" w:type="dxa"/>
            <w:vAlign w:val="center"/>
          </w:tcPr>
          <w:p w14:paraId="0945A76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346.14</w:t>
            </w:r>
          </w:p>
        </w:tc>
        <w:tc>
          <w:tcPr>
            <w:tcW w:w="1400" w:type="dxa"/>
            <w:vAlign w:val="center"/>
          </w:tcPr>
          <w:p w14:paraId="5034024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15,437.75</w:t>
            </w:r>
          </w:p>
        </w:tc>
      </w:tr>
    </w:tbl>
    <w:p w14:paraId="3EA16840" w14:textId="77777777" w:rsidR="00FB39A5" w:rsidRPr="00FB39A5" w:rsidRDefault="00FB39A5" w:rsidP="00FB39A5">
      <w:pPr>
        <w:tabs>
          <w:tab w:val="left" w:pos="1400"/>
        </w:tabs>
        <w:spacing w:after="120"/>
        <w:ind w:left="1397" w:hanging="1497"/>
        <w:jc w:val="both"/>
        <w:rPr>
          <w:rFonts w:ascii="Arial" w:hAnsi="Arial" w:cs="Arial"/>
          <w:b/>
          <w:bCs/>
          <w:sz w:val="20"/>
          <w:lang w:val="en-GB"/>
        </w:rPr>
      </w:pPr>
    </w:p>
    <w:p w14:paraId="512926CE" w14:textId="77777777" w:rsidR="00FB39A5" w:rsidRPr="00687722" w:rsidRDefault="00FB39A5" w:rsidP="00FB39A5">
      <w:pPr>
        <w:tabs>
          <w:tab w:val="left" w:pos="1400"/>
        </w:tabs>
        <w:spacing w:after="120"/>
        <w:ind w:left="1397" w:hanging="1497"/>
        <w:jc w:val="both"/>
        <w:rPr>
          <w:sz w:val="21"/>
          <w:szCs w:val="21"/>
          <w:lang w:val="en-GB"/>
        </w:rPr>
      </w:pPr>
      <w:r w:rsidRPr="00FB39A5">
        <w:rPr>
          <w:rFonts w:ascii="Arial" w:hAnsi="Arial" w:cs="Arial"/>
          <w:b/>
          <w:bCs/>
          <w:sz w:val="20"/>
          <w:lang w:val="en-GB"/>
        </w:rPr>
        <w:br w:type="page"/>
      </w:r>
      <w:r w:rsidRPr="00687722">
        <w:rPr>
          <w:b/>
          <w:bCs/>
          <w:sz w:val="21"/>
          <w:szCs w:val="21"/>
          <w:lang w:val="en-GB"/>
        </w:rPr>
        <w:t xml:space="preserve">Table 3 </w:t>
      </w:r>
      <w:r w:rsidRPr="00687722">
        <w:rPr>
          <w:b/>
          <w:bCs/>
          <w:i/>
          <w:iCs/>
          <w:sz w:val="21"/>
          <w:szCs w:val="21"/>
          <w:lang w:val="en-GB"/>
        </w:rPr>
        <w:t>cont.</w:t>
      </w:r>
      <w:r w:rsidRPr="00687722">
        <w:rPr>
          <w:bCs/>
          <w:sz w:val="21"/>
          <w:szCs w:val="21"/>
          <w:lang w:val="en-GB"/>
        </w:rPr>
        <w:tab/>
        <w:t>Values of services from mangrove ecosystems at various locations bordering the South China Sea. Values in the shaded cells were not used in the subsequent analysis to determine national and regional weighted mean values for each service.</w:t>
      </w:r>
    </w:p>
    <w:tbl>
      <w:tblPr>
        <w:tblW w:w="1422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911"/>
        <w:gridCol w:w="591"/>
        <w:gridCol w:w="9"/>
        <w:gridCol w:w="2219"/>
        <w:gridCol w:w="1000"/>
        <w:gridCol w:w="800"/>
        <w:gridCol w:w="1200"/>
        <w:gridCol w:w="600"/>
        <w:gridCol w:w="955"/>
        <w:gridCol w:w="1387"/>
        <w:gridCol w:w="1553"/>
        <w:gridCol w:w="1600"/>
        <w:gridCol w:w="1400"/>
      </w:tblGrid>
      <w:tr w:rsidR="00FB39A5" w:rsidRPr="00FB39A5" w14:paraId="6E06B866" w14:textId="77777777" w:rsidTr="00FB39A5">
        <w:tblPrEx>
          <w:tblCellMar>
            <w:top w:w="0" w:type="dxa"/>
            <w:bottom w:w="0" w:type="dxa"/>
          </w:tblCellMar>
        </w:tblPrEx>
        <w:trPr>
          <w:trHeight w:val="468"/>
          <w:jc w:val="center"/>
        </w:trPr>
        <w:tc>
          <w:tcPr>
            <w:tcW w:w="911" w:type="dxa"/>
            <w:tcBorders>
              <w:top w:val="single" w:sz="12" w:space="0" w:color="auto"/>
              <w:bottom w:val="single" w:sz="12" w:space="0" w:color="auto"/>
            </w:tcBorders>
            <w:vAlign w:val="center"/>
          </w:tcPr>
          <w:p w14:paraId="32C29895" w14:textId="77777777" w:rsidR="00FB39A5" w:rsidRPr="00FB39A5" w:rsidRDefault="00FB39A5" w:rsidP="00FB39A5">
            <w:pPr>
              <w:autoSpaceDE w:val="0"/>
              <w:autoSpaceDN w:val="0"/>
              <w:adjustRightInd w:val="0"/>
              <w:jc w:val="both"/>
              <w:rPr>
                <w:rFonts w:ascii="Arial" w:hAnsi="Arial" w:cs="Arial"/>
                <w:b/>
                <w:sz w:val="16"/>
                <w:szCs w:val="16"/>
                <w:lang w:val="en-GB"/>
              </w:rPr>
            </w:pPr>
            <w:r w:rsidRPr="00FB39A5">
              <w:rPr>
                <w:rFonts w:ascii="Arial" w:hAnsi="Arial" w:cs="Arial"/>
                <w:b/>
                <w:sz w:val="16"/>
                <w:szCs w:val="16"/>
                <w:lang w:val="en-GB"/>
              </w:rPr>
              <w:t>Country</w:t>
            </w:r>
          </w:p>
        </w:tc>
        <w:tc>
          <w:tcPr>
            <w:tcW w:w="591" w:type="dxa"/>
            <w:tcBorders>
              <w:top w:val="single" w:sz="12" w:space="0" w:color="auto"/>
              <w:bottom w:val="single" w:sz="12" w:space="0" w:color="auto"/>
            </w:tcBorders>
            <w:vAlign w:val="center"/>
          </w:tcPr>
          <w:p w14:paraId="6E646D9C" w14:textId="77777777" w:rsidR="00FB39A5" w:rsidRPr="00FB39A5" w:rsidRDefault="00FB39A5" w:rsidP="00FB39A5">
            <w:pPr>
              <w:autoSpaceDE w:val="0"/>
              <w:autoSpaceDN w:val="0"/>
              <w:adjustRightInd w:val="0"/>
              <w:jc w:val="center"/>
              <w:rPr>
                <w:rFonts w:ascii="Arial" w:hAnsi="Arial" w:cs="Arial"/>
                <w:b/>
                <w:sz w:val="16"/>
                <w:szCs w:val="16"/>
                <w:lang w:val="en-GB"/>
              </w:rPr>
            </w:pPr>
            <w:r w:rsidRPr="00FB39A5">
              <w:rPr>
                <w:rFonts w:ascii="Arial" w:hAnsi="Arial" w:cs="Arial"/>
                <w:b/>
                <w:sz w:val="16"/>
                <w:szCs w:val="16"/>
                <w:lang w:val="en-GB"/>
              </w:rPr>
              <w:t>Year</w:t>
            </w:r>
          </w:p>
        </w:tc>
        <w:tc>
          <w:tcPr>
            <w:tcW w:w="2228" w:type="dxa"/>
            <w:gridSpan w:val="2"/>
            <w:tcBorders>
              <w:top w:val="single" w:sz="12" w:space="0" w:color="auto"/>
              <w:bottom w:val="single" w:sz="12" w:space="0" w:color="auto"/>
            </w:tcBorders>
            <w:vAlign w:val="center"/>
          </w:tcPr>
          <w:p w14:paraId="1DCDDF94"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Location</w:t>
            </w:r>
          </w:p>
        </w:tc>
        <w:tc>
          <w:tcPr>
            <w:tcW w:w="1000" w:type="dxa"/>
            <w:tcBorders>
              <w:top w:val="single" w:sz="12" w:space="0" w:color="auto"/>
              <w:bottom w:val="single" w:sz="12" w:space="0" w:color="auto"/>
            </w:tcBorders>
            <w:vAlign w:val="center"/>
          </w:tcPr>
          <w:p w14:paraId="7E06E570"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Total Area (Ha)</w:t>
            </w:r>
          </w:p>
        </w:tc>
        <w:tc>
          <w:tcPr>
            <w:tcW w:w="800" w:type="dxa"/>
            <w:tcBorders>
              <w:top w:val="single" w:sz="12" w:space="0" w:color="auto"/>
              <w:bottom w:val="single" w:sz="12" w:space="0" w:color="auto"/>
            </w:tcBorders>
            <w:vAlign w:val="center"/>
          </w:tcPr>
          <w:p w14:paraId="699CEE20" w14:textId="77777777" w:rsidR="00FB39A5" w:rsidRPr="00FB39A5" w:rsidRDefault="00FB39A5" w:rsidP="00FB39A5">
            <w:pPr>
              <w:autoSpaceDE w:val="0"/>
              <w:autoSpaceDN w:val="0"/>
              <w:adjustRightInd w:val="0"/>
              <w:jc w:val="center"/>
              <w:rPr>
                <w:rFonts w:ascii="Arial" w:hAnsi="Arial" w:cs="Arial"/>
                <w:b/>
                <w:sz w:val="16"/>
                <w:szCs w:val="16"/>
                <w:lang w:val="en-GB"/>
              </w:rPr>
            </w:pPr>
            <w:r w:rsidRPr="00FB39A5">
              <w:rPr>
                <w:rFonts w:ascii="Arial" w:hAnsi="Arial" w:cs="Arial"/>
                <w:b/>
                <w:sz w:val="16"/>
                <w:szCs w:val="16"/>
                <w:lang w:val="en-GB"/>
              </w:rPr>
              <w:t>Currency</w:t>
            </w:r>
          </w:p>
        </w:tc>
        <w:tc>
          <w:tcPr>
            <w:tcW w:w="1200" w:type="dxa"/>
            <w:tcBorders>
              <w:top w:val="single" w:sz="12" w:space="0" w:color="auto"/>
              <w:bottom w:val="single" w:sz="12" w:space="0" w:color="auto"/>
            </w:tcBorders>
            <w:vAlign w:val="center"/>
          </w:tcPr>
          <w:p w14:paraId="446825F4"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Value per Ha Local currency</w:t>
            </w:r>
          </w:p>
        </w:tc>
        <w:tc>
          <w:tcPr>
            <w:tcW w:w="600" w:type="dxa"/>
            <w:tcBorders>
              <w:top w:val="single" w:sz="12" w:space="0" w:color="auto"/>
              <w:bottom w:val="single" w:sz="12" w:space="0" w:color="auto"/>
            </w:tcBorders>
            <w:vAlign w:val="center"/>
          </w:tcPr>
          <w:p w14:paraId="6A84E3CB"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CPI (base 2005)</w:t>
            </w:r>
          </w:p>
        </w:tc>
        <w:tc>
          <w:tcPr>
            <w:tcW w:w="955" w:type="dxa"/>
            <w:tcBorders>
              <w:top w:val="single" w:sz="12" w:space="0" w:color="auto"/>
              <w:bottom w:val="single" w:sz="12" w:space="0" w:color="auto"/>
            </w:tcBorders>
            <w:vAlign w:val="center"/>
          </w:tcPr>
          <w:p w14:paraId="0723E101"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2005 Exchange Rate</w:t>
            </w:r>
          </w:p>
        </w:tc>
        <w:tc>
          <w:tcPr>
            <w:tcW w:w="1387" w:type="dxa"/>
            <w:tcBorders>
              <w:top w:val="single" w:sz="12" w:space="0" w:color="auto"/>
              <w:bottom w:val="single" w:sz="12" w:space="0" w:color="auto"/>
            </w:tcBorders>
            <w:vAlign w:val="center"/>
          </w:tcPr>
          <w:p w14:paraId="067B9951"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Valuation Method</w:t>
            </w:r>
          </w:p>
        </w:tc>
        <w:tc>
          <w:tcPr>
            <w:tcW w:w="1553" w:type="dxa"/>
            <w:tcBorders>
              <w:top w:val="single" w:sz="12" w:space="0" w:color="auto"/>
              <w:bottom w:val="single" w:sz="12" w:space="0" w:color="auto"/>
            </w:tcBorders>
            <w:vAlign w:val="center"/>
          </w:tcPr>
          <w:p w14:paraId="4EB56382"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Standard National Value, 2005, per hectare in local Currency</w:t>
            </w:r>
          </w:p>
        </w:tc>
        <w:tc>
          <w:tcPr>
            <w:tcW w:w="1600" w:type="dxa"/>
            <w:tcBorders>
              <w:top w:val="single" w:sz="12" w:space="0" w:color="auto"/>
              <w:bottom w:val="single" w:sz="12" w:space="0" w:color="auto"/>
            </w:tcBorders>
            <w:shd w:val="clear" w:color="FFFF00" w:fill="auto"/>
            <w:vAlign w:val="center"/>
          </w:tcPr>
          <w:p w14:paraId="1FB75D14"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 xml:space="preserve">Regionally comparable Value per hectare </w:t>
            </w:r>
            <w:smartTag w:uri="urn:schemas-microsoft-com:office:smarttags" w:element="place">
              <w:smartTag w:uri="urn:schemas-microsoft-com:office:smarttags" w:element="country-region">
                <w:r w:rsidRPr="00FB39A5">
                  <w:rPr>
                    <w:rFonts w:ascii="Arial" w:hAnsi="Arial" w:cs="Arial"/>
                    <w:b/>
                    <w:bCs/>
                    <w:sz w:val="16"/>
                    <w:szCs w:val="16"/>
                    <w:lang w:val="en-GB"/>
                  </w:rPr>
                  <w:t>US</w:t>
                </w:r>
              </w:smartTag>
            </w:smartTag>
            <w:r w:rsidRPr="00FB39A5">
              <w:rPr>
                <w:rFonts w:ascii="Arial" w:hAnsi="Arial" w:cs="Arial"/>
                <w:b/>
                <w:bCs/>
                <w:sz w:val="16"/>
                <w:szCs w:val="16"/>
                <w:lang w:val="en-GB"/>
              </w:rPr>
              <w:t>$</w:t>
            </w:r>
          </w:p>
        </w:tc>
        <w:tc>
          <w:tcPr>
            <w:tcW w:w="1400" w:type="dxa"/>
            <w:tcBorders>
              <w:top w:val="single" w:sz="12" w:space="0" w:color="auto"/>
              <w:bottom w:val="single" w:sz="12" w:space="0" w:color="auto"/>
            </w:tcBorders>
            <w:vAlign w:val="center"/>
          </w:tcPr>
          <w:p w14:paraId="587A7C7D" w14:textId="77777777" w:rsidR="00FB39A5" w:rsidRPr="00FB39A5" w:rsidRDefault="00FB39A5" w:rsidP="00FB39A5">
            <w:pPr>
              <w:autoSpaceDE w:val="0"/>
              <w:autoSpaceDN w:val="0"/>
              <w:adjustRightInd w:val="0"/>
              <w:jc w:val="center"/>
              <w:rPr>
                <w:rFonts w:ascii="Arial" w:hAnsi="Arial" w:cs="Arial"/>
                <w:b/>
                <w:bCs/>
                <w:sz w:val="16"/>
                <w:szCs w:val="16"/>
                <w:lang w:val="en-GB"/>
              </w:rPr>
            </w:pPr>
            <w:r w:rsidRPr="00FB39A5">
              <w:rPr>
                <w:rFonts w:ascii="Arial" w:hAnsi="Arial" w:cs="Arial"/>
                <w:b/>
                <w:bCs/>
                <w:sz w:val="16"/>
                <w:szCs w:val="16"/>
                <w:lang w:val="en-GB"/>
              </w:rPr>
              <w:t>Total Value by Locality</w:t>
            </w:r>
          </w:p>
        </w:tc>
      </w:tr>
      <w:tr w:rsidR="00FB39A5" w:rsidRPr="00FB39A5" w14:paraId="639AB103" w14:textId="77777777" w:rsidTr="00FB39A5">
        <w:tblPrEx>
          <w:tblCellMar>
            <w:top w:w="0" w:type="dxa"/>
            <w:bottom w:w="0" w:type="dxa"/>
          </w:tblCellMar>
        </w:tblPrEx>
        <w:trPr>
          <w:trHeight w:val="240"/>
          <w:jc w:val="center"/>
        </w:trPr>
        <w:tc>
          <w:tcPr>
            <w:tcW w:w="911" w:type="dxa"/>
            <w:tcBorders>
              <w:top w:val="single" w:sz="12" w:space="0" w:color="auto"/>
            </w:tcBorders>
            <w:vAlign w:val="center"/>
          </w:tcPr>
          <w:p w14:paraId="12DD1DF7"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Indonesia</w:t>
                </w:r>
              </w:smartTag>
            </w:smartTag>
          </w:p>
        </w:tc>
        <w:tc>
          <w:tcPr>
            <w:tcW w:w="600" w:type="dxa"/>
            <w:gridSpan w:val="2"/>
            <w:tcBorders>
              <w:top w:val="single" w:sz="12" w:space="0" w:color="auto"/>
            </w:tcBorders>
            <w:vAlign w:val="center"/>
          </w:tcPr>
          <w:p w14:paraId="47D3386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2219" w:type="dxa"/>
            <w:tcBorders>
              <w:top w:val="single" w:sz="12" w:space="0" w:color="auto"/>
            </w:tcBorders>
            <w:vAlign w:val="center"/>
          </w:tcPr>
          <w:p w14:paraId="0D281061"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TNL Bunaken </w:t>
            </w:r>
          </w:p>
        </w:tc>
        <w:tc>
          <w:tcPr>
            <w:tcW w:w="1000" w:type="dxa"/>
            <w:tcBorders>
              <w:top w:val="single" w:sz="12" w:space="0" w:color="auto"/>
            </w:tcBorders>
            <w:vAlign w:val="center"/>
          </w:tcPr>
          <w:p w14:paraId="550912D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2,689.00</w:t>
            </w:r>
          </w:p>
        </w:tc>
        <w:tc>
          <w:tcPr>
            <w:tcW w:w="800" w:type="dxa"/>
            <w:tcBorders>
              <w:top w:val="single" w:sz="12" w:space="0" w:color="auto"/>
            </w:tcBorders>
            <w:vAlign w:val="center"/>
          </w:tcPr>
          <w:p w14:paraId="58254F8C"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tcBorders>
              <w:top w:val="single" w:sz="12" w:space="0" w:color="auto"/>
            </w:tcBorders>
            <w:vAlign w:val="center"/>
          </w:tcPr>
          <w:p w14:paraId="2A698E9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12,000,000.00</w:t>
            </w:r>
          </w:p>
        </w:tc>
        <w:tc>
          <w:tcPr>
            <w:tcW w:w="600" w:type="dxa"/>
            <w:tcBorders>
              <w:top w:val="single" w:sz="12" w:space="0" w:color="auto"/>
            </w:tcBorders>
            <w:vAlign w:val="center"/>
          </w:tcPr>
          <w:p w14:paraId="2E9023C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79.95</w:t>
            </w:r>
          </w:p>
        </w:tc>
        <w:tc>
          <w:tcPr>
            <w:tcW w:w="955" w:type="dxa"/>
            <w:tcBorders>
              <w:top w:val="single" w:sz="12" w:space="0" w:color="auto"/>
            </w:tcBorders>
            <w:vAlign w:val="center"/>
          </w:tcPr>
          <w:p w14:paraId="6ABA4D5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tcBorders>
              <w:top w:val="single" w:sz="12" w:space="0" w:color="auto"/>
            </w:tcBorders>
            <w:vAlign w:val="center"/>
          </w:tcPr>
          <w:p w14:paraId="08368CC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tcBorders>
              <w:top w:val="single" w:sz="12" w:space="0" w:color="auto"/>
            </w:tcBorders>
            <w:vAlign w:val="center"/>
          </w:tcPr>
          <w:p w14:paraId="2FC282C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15,009,380.86</w:t>
            </w:r>
          </w:p>
        </w:tc>
        <w:tc>
          <w:tcPr>
            <w:tcW w:w="1600" w:type="dxa"/>
            <w:tcBorders>
              <w:top w:val="single" w:sz="12" w:space="0" w:color="auto"/>
            </w:tcBorders>
            <w:vAlign w:val="center"/>
          </w:tcPr>
          <w:p w14:paraId="5420151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1,543.91</w:t>
            </w:r>
          </w:p>
        </w:tc>
        <w:tc>
          <w:tcPr>
            <w:tcW w:w="1400" w:type="dxa"/>
            <w:tcBorders>
              <w:top w:val="single" w:sz="12" w:space="0" w:color="auto"/>
            </w:tcBorders>
            <w:vAlign w:val="center"/>
          </w:tcPr>
          <w:p w14:paraId="6DD6C6E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4,151,581.02</w:t>
            </w:r>
          </w:p>
        </w:tc>
      </w:tr>
      <w:tr w:rsidR="00FB39A5" w:rsidRPr="00FB39A5" w14:paraId="0834BA01" w14:textId="77777777" w:rsidTr="00FB39A5">
        <w:tblPrEx>
          <w:tblCellMar>
            <w:top w:w="0" w:type="dxa"/>
            <w:bottom w:w="0" w:type="dxa"/>
          </w:tblCellMar>
        </w:tblPrEx>
        <w:trPr>
          <w:trHeight w:val="240"/>
          <w:jc w:val="center"/>
        </w:trPr>
        <w:tc>
          <w:tcPr>
            <w:tcW w:w="911" w:type="dxa"/>
            <w:vAlign w:val="center"/>
          </w:tcPr>
          <w:p w14:paraId="4085B966"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gridSpan w:val="2"/>
            <w:vAlign w:val="center"/>
          </w:tcPr>
          <w:p w14:paraId="65265AD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2219" w:type="dxa"/>
            <w:vAlign w:val="center"/>
          </w:tcPr>
          <w:p w14:paraId="0B76D8D3"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Tinanggea, </w:t>
            </w:r>
            <w:smartTag w:uri="urn:schemas-microsoft-com:office:smarttags" w:element="place">
              <w:r w:rsidRPr="00FB39A5">
                <w:rPr>
                  <w:rFonts w:ascii="Arial" w:hAnsi="Arial" w:cs="Arial"/>
                  <w:sz w:val="12"/>
                  <w:szCs w:val="12"/>
                  <w:lang w:val="en-GB"/>
                </w:rPr>
                <w:t>Southeast Sulawesi</w:t>
              </w:r>
            </w:smartTag>
          </w:p>
        </w:tc>
        <w:tc>
          <w:tcPr>
            <w:tcW w:w="1000" w:type="dxa"/>
            <w:vAlign w:val="center"/>
          </w:tcPr>
          <w:p w14:paraId="6968C26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6,596.00</w:t>
            </w:r>
          </w:p>
        </w:tc>
        <w:tc>
          <w:tcPr>
            <w:tcW w:w="800" w:type="dxa"/>
            <w:vAlign w:val="center"/>
          </w:tcPr>
          <w:p w14:paraId="72F712F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0BA0030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147,606.69</w:t>
            </w:r>
          </w:p>
        </w:tc>
        <w:tc>
          <w:tcPr>
            <w:tcW w:w="600" w:type="dxa"/>
            <w:vAlign w:val="center"/>
          </w:tcPr>
          <w:p w14:paraId="14A1B18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79.95</w:t>
            </w:r>
          </w:p>
        </w:tc>
        <w:tc>
          <w:tcPr>
            <w:tcW w:w="955" w:type="dxa"/>
            <w:vAlign w:val="center"/>
          </w:tcPr>
          <w:p w14:paraId="1A23B36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66A539F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6BADE5F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184,623.75</w:t>
            </w:r>
          </w:p>
        </w:tc>
        <w:tc>
          <w:tcPr>
            <w:tcW w:w="1600" w:type="dxa"/>
            <w:vAlign w:val="center"/>
          </w:tcPr>
          <w:p w14:paraId="095C0CC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18.99</w:t>
            </w:r>
          </w:p>
        </w:tc>
        <w:tc>
          <w:tcPr>
            <w:tcW w:w="1400" w:type="dxa"/>
            <w:vAlign w:val="center"/>
          </w:tcPr>
          <w:p w14:paraId="2B62CBE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125,264.54</w:t>
            </w:r>
          </w:p>
        </w:tc>
      </w:tr>
      <w:tr w:rsidR="00FB39A5" w:rsidRPr="00FB39A5" w14:paraId="7C3FE585" w14:textId="77777777" w:rsidTr="00FB39A5">
        <w:tblPrEx>
          <w:tblCellMar>
            <w:top w:w="0" w:type="dxa"/>
            <w:bottom w:w="0" w:type="dxa"/>
          </w:tblCellMar>
        </w:tblPrEx>
        <w:trPr>
          <w:trHeight w:val="240"/>
          <w:jc w:val="center"/>
        </w:trPr>
        <w:tc>
          <w:tcPr>
            <w:tcW w:w="911" w:type="dxa"/>
            <w:vAlign w:val="center"/>
          </w:tcPr>
          <w:p w14:paraId="69D07979"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gridSpan w:val="2"/>
            <w:vAlign w:val="center"/>
          </w:tcPr>
          <w:p w14:paraId="7DD1113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2001</w:t>
            </w:r>
          </w:p>
        </w:tc>
        <w:tc>
          <w:tcPr>
            <w:tcW w:w="2219" w:type="dxa"/>
            <w:vAlign w:val="center"/>
          </w:tcPr>
          <w:p w14:paraId="588F3BC8"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r w:rsidRPr="00FB39A5">
                <w:rPr>
                  <w:rFonts w:ascii="Arial" w:hAnsi="Arial" w:cs="Arial"/>
                  <w:sz w:val="12"/>
                  <w:szCs w:val="12"/>
                  <w:lang w:val="en-GB"/>
                </w:rPr>
                <w:t>Kalimantan</w:t>
              </w:r>
            </w:smartTag>
            <w:r w:rsidRPr="00FB39A5">
              <w:rPr>
                <w:rFonts w:ascii="Arial" w:hAnsi="Arial" w:cs="Arial"/>
                <w:sz w:val="12"/>
                <w:szCs w:val="12"/>
                <w:lang w:val="en-GB"/>
              </w:rPr>
              <w:t xml:space="preserve"> </w:t>
            </w:r>
          </w:p>
        </w:tc>
        <w:tc>
          <w:tcPr>
            <w:tcW w:w="1000" w:type="dxa"/>
            <w:vAlign w:val="center"/>
          </w:tcPr>
          <w:p w14:paraId="09F553C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14,941.00</w:t>
            </w:r>
          </w:p>
        </w:tc>
        <w:tc>
          <w:tcPr>
            <w:tcW w:w="800" w:type="dxa"/>
            <w:vAlign w:val="center"/>
          </w:tcPr>
          <w:p w14:paraId="239BD741"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2C9DA9E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123,760.00</w:t>
            </w:r>
          </w:p>
        </w:tc>
        <w:tc>
          <w:tcPr>
            <w:tcW w:w="600" w:type="dxa"/>
            <w:vAlign w:val="center"/>
          </w:tcPr>
          <w:p w14:paraId="378C2C8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71.46</w:t>
            </w:r>
          </w:p>
        </w:tc>
        <w:tc>
          <w:tcPr>
            <w:tcW w:w="955" w:type="dxa"/>
            <w:vAlign w:val="center"/>
          </w:tcPr>
          <w:p w14:paraId="1796266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764CA0B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74BFC35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173,187.80</w:t>
            </w:r>
          </w:p>
        </w:tc>
        <w:tc>
          <w:tcPr>
            <w:tcW w:w="1600" w:type="dxa"/>
            <w:vAlign w:val="center"/>
          </w:tcPr>
          <w:p w14:paraId="7BB58F2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17.81</w:t>
            </w:r>
          </w:p>
        </w:tc>
        <w:tc>
          <w:tcPr>
            <w:tcW w:w="1400" w:type="dxa"/>
            <w:vAlign w:val="center"/>
          </w:tcPr>
          <w:p w14:paraId="7F4103E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266,168.64</w:t>
            </w:r>
          </w:p>
        </w:tc>
      </w:tr>
      <w:tr w:rsidR="00FB39A5" w:rsidRPr="00FB39A5" w14:paraId="514CDEA1" w14:textId="77777777" w:rsidTr="00FB39A5">
        <w:tblPrEx>
          <w:tblCellMar>
            <w:top w:w="0" w:type="dxa"/>
            <w:bottom w:w="0" w:type="dxa"/>
          </w:tblCellMar>
        </w:tblPrEx>
        <w:trPr>
          <w:trHeight w:val="240"/>
          <w:jc w:val="center"/>
        </w:trPr>
        <w:tc>
          <w:tcPr>
            <w:tcW w:w="911" w:type="dxa"/>
            <w:vAlign w:val="center"/>
          </w:tcPr>
          <w:p w14:paraId="3A552477"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gridSpan w:val="2"/>
            <w:vAlign w:val="center"/>
          </w:tcPr>
          <w:p w14:paraId="6F64BA8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2219" w:type="dxa"/>
            <w:vAlign w:val="center"/>
          </w:tcPr>
          <w:p w14:paraId="0654A9F5"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West Seram District </w:t>
            </w:r>
          </w:p>
        </w:tc>
        <w:tc>
          <w:tcPr>
            <w:tcW w:w="1000" w:type="dxa"/>
            <w:vAlign w:val="center"/>
          </w:tcPr>
          <w:p w14:paraId="7908D87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991.00</w:t>
            </w:r>
          </w:p>
        </w:tc>
        <w:tc>
          <w:tcPr>
            <w:tcW w:w="800" w:type="dxa"/>
            <w:vAlign w:val="center"/>
          </w:tcPr>
          <w:p w14:paraId="636563D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43B3E67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1,019,500.00</w:t>
            </w:r>
          </w:p>
        </w:tc>
        <w:tc>
          <w:tcPr>
            <w:tcW w:w="600" w:type="dxa"/>
            <w:vAlign w:val="center"/>
          </w:tcPr>
          <w:p w14:paraId="679DB91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5" w:type="dxa"/>
            <w:vAlign w:val="center"/>
          </w:tcPr>
          <w:p w14:paraId="28D1F72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1A045B0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3425FC8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1,590,731.78</w:t>
            </w:r>
          </w:p>
        </w:tc>
        <w:tc>
          <w:tcPr>
            <w:tcW w:w="1600" w:type="dxa"/>
            <w:vAlign w:val="center"/>
          </w:tcPr>
          <w:p w14:paraId="3055BC1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163.63</w:t>
            </w:r>
          </w:p>
        </w:tc>
        <w:tc>
          <w:tcPr>
            <w:tcW w:w="1400" w:type="dxa"/>
            <w:vAlign w:val="center"/>
          </w:tcPr>
          <w:p w14:paraId="641D40D4"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162,155.08</w:t>
            </w:r>
          </w:p>
        </w:tc>
      </w:tr>
      <w:tr w:rsidR="00FB39A5" w:rsidRPr="00FB39A5" w14:paraId="6C373384" w14:textId="77777777" w:rsidTr="00FB39A5">
        <w:tblPrEx>
          <w:tblCellMar>
            <w:top w:w="0" w:type="dxa"/>
            <w:bottom w:w="0" w:type="dxa"/>
          </w:tblCellMar>
        </w:tblPrEx>
        <w:trPr>
          <w:trHeight w:val="240"/>
          <w:jc w:val="center"/>
        </w:trPr>
        <w:tc>
          <w:tcPr>
            <w:tcW w:w="911" w:type="dxa"/>
            <w:vAlign w:val="center"/>
          </w:tcPr>
          <w:p w14:paraId="0D05A99F"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gridSpan w:val="2"/>
            <w:vAlign w:val="center"/>
          </w:tcPr>
          <w:p w14:paraId="2D48F82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2000</w:t>
            </w:r>
          </w:p>
        </w:tc>
        <w:tc>
          <w:tcPr>
            <w:tcW w:w="2219" w:type="dxa"/>
            <w:vAlign w:val="center"/>
          </w:tcPr>
          <w:p w14:paraId="6364BD44"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Batu Ampar, </w:t>
            </w:r>
            <w:smartTag w:uri="urn:schemas-microsoft-com:office:smarttags" w:element="place">
              <w:smartTag w:uri="urn:schemas-microsoft-com:office:smarttags" w:element="City">
                <w:r w:rsidRPr="00FB39A5">
                  <w:rPr>
                    <w:rFonts w:ascii="Arial" w:hAnsi="Arial" w:cs="Arial"/>
                    <w:sz w:val="12"/>
                    <w:szCs w:val="12"/>
                    <w:lang w:val="en-GB"/>
                  </w:rPr>
                  <w:t>Pontianak</w:t>
                </w:r>
              </w:smartTag>
            </w:smartTag>
          </w:p>
        </w:tc>
        <w:tc>
          <w:tcPr>
            <w:tcW w:w="1000" w:type="dxa"/>
            <w:vAlign w:val="center"/>
          </w:tcPr>
          <w:p w14:paraId="2ABDD66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13,900.00</w:t>
            </w:r>
          </w:p>
        </w:tc>
        <w:tc>
          <w:tcPr>
            <w:tcW w:w="800" w:type="dxa"/>
            <w:vAlign w:val="center"/>
          </w:tcPr>
          <w:p w14:paraId="4FD65108"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6BEF7B2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123,750.00</w:t>
            </w:r>
          </w:p>
        </w:tc>
        <w:tc>
          <w:tcPr>
            <w:tcW w:w="600" w:type="dxa"/>
            <w:vAlign w:val="center"/>
          </w:tcPr>
          <w:p w14:paraId="5D55039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64.09</w:t>
            </w:r>
          </w:p>
        </w:tc>
        <w:tc>
          <w:tcPr>
            <w:tcW w:w="955" w:type="dxa"/>
            <w:vAlign w:val="center"/>
          </w:tcPr>
          <w:p w14:paraId="217802D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1411A80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0468F289"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193,087.85</w:t>
            </w:r>
          </w:p>
        </w:tc>
        <w:tc>
          <w:tcPr>
            <w:tcW w:w="1600" w:type="dxa"/>
            <w:vAlign w:val="center"/>
          </w:tcPr>
          <w:p w14:paraId="492D364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19.86</w:t>
            </w:r>
          </w:p>
        </w:tc>
        <w:tc>
          <w:tcPr>
            <w:tcW w:w="1400" w:type="dxa"/>
            <w:vAlign w:val="center"/>
          </w:tcPr>
          <w:p w14:paraId="6687363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276,076.65</w:t>
            </w:r>
          </w:p>
        </w:tc>
      </w:tr>
      <w:tr w:rsidR="00FB39A5" w:rsidRPr="00FB39A5" w14:paraId="1E79968B" w14:textId="77777777" w:rsidTr="00FB39A5">
        <w:tblPrEx>
          <w:tblCellMar>
            <w:top w:w="0" w:type="dxa"/>
            <w:bottom w:w="0" w:type="dxa"/>
          </w:tblCellMar>
        </w:tblPrEx>
        <w:trPr>
          <w:trHeight w:val="240"/>
          <w:jc w:val="center"/>
        </w:trPr>
        <w:tc>
          <w:tcPr>
            <w:tcW w:w="911" w:type="dxa"/>
            <w:vAlign w:val="center"/>
          </w:tcPr>
          <w:p w14:paraId="1CC04BDC"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gridSpan w:val="2"/>
            <w:vAlign w:val="center"/>
          </w:tcPr>
          <w:p w14:paraId="182B08F9"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2219" w:type="dxa"/>
            <w:vAlign w:val="center"/>
          </w:tcPr>
          <w:p w14:paraId="4603E7F6"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Gelumbang District, </w:t>
            </w:r>
            <w:smartTag w:uri="urn:schemas-microsoft-com:office:smarttags" w:element="place">
              <w:r w:rsidRPr="00FB39A5">
                <w:rPr>
                  <w:rFonts w:ascii="Arial" w:hAnsi="Arial" w:cs="Arial"/>
                  <w:sz w:val="12"/>
                  <w:szCs w:val="12"/>
                  <w:lang w:val="en-GB"/>
                </w:rPr>
                <w:t>South Sulawesi</w:t>
              </w:r>
            </w:smartTag>
          </w:p>
        </w:tc>
        <w:tc>
          <w:tcPr>
            <w:tcW w:w="1000" w:type="dxa"/>
            <w:vAlign w:val="center"/>
          </w:tcPr>
          <w:p w14:paraId="1EE6A85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9,538.00</w:t>
            </w:r>
          </w:p>
        </w:tc>
        <w:tc>
          <w:tcPr>
            <w:tcW w:w="800" w:type="dxa"/>
            <w:vAlign w:val="center"/>
          </w:tcPr>
          <w:p w14:paraId="11D55253"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3FC3F48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243,751.31</w:t>
            </w:r>
          </w:p>
        </w:tc>
        <w:tc>
          <w:tcPr>
            <w:tcW w:w="600" w:type="dxa"/>
            <w:vAlign w:val="center"/>
          </w:tcPr>
          <w:p w14:paraId="5B887F4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5" w:type="dxa"/>
            <w:vAlign w:val="center"/>
          </w:tcPr>
          <w:p w14:paraId="1E870B3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3DC67A6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02527C1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394,483.43</w:t>
            </w:r>
          </w:p>
        </w:tc>
        <w:tc>
          <w:tcPr>
            <w:tcW w:w="1600" w:type="dxa"/>
            <w:vAlign w:val="center"/>
          </w:tcPr>
          <w:p w14:paraId="316F3A7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40.58</w:t>
            </w:r>
          </w:p>
        </w:tc>
        <w:tc>
          <w:tcPr>
            <w:tcW w:w="1400" w:type="dxa"/>
            <w:vAlign w:val="center"/>
          </w:tcPr>
          <w:p w14:paraId="13221B2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387,031.24</w:t>
            </w:r>
          </w:p>
        </w:tc>
      </w:tr>
      <w:tr w:rsidR="00FB39A5" w:rsidRPr="00FB39A5" w14:paraId="6B8E13FD" w14:textId="77777777" w:rsidTr="00FB39A5">
        <w:tblPrEx>
          <w:tblCellMar>
            <w:top w:w="0" w:type="dxa"/>
            <w:bottom w:w="0" w:type="dxa"/>
          </w:tblCellMar>
        </w:tblPrEx>
        <w:trPr>
          <w:trHeight w:val="240"/>
          <w:jc w:val="center"/>
        </w:trPr>
        <w:tc>
          <w:tcPr>
            <w:tcW w:w="911" w:type="dxa"/>
            <w:vAlign w:val="center"/>
          </w:tcPr>
          <w:p w14:paraId="39911C60"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gridSpan w:val="2"/>
            <w:vAlign w:val="center"/>
          </w:tcPr>
          <w:p w14:paraId="0EFA6C7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1999</w:t>
            </w:r>
          </w:p>
        </w:tc>
        <w:tc>
          <w:tcPr>
            <w:tcW w:w="2219" w:type="dxa"/>
            <w:vAlign w:val="center"/>
          </w:tcPr>
          <w:p w14:paraId="381FBFB0"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 xml:space="preserve">Segara Anakan </w:t>
            </w:r>
          </w:p>
        </w:tc>
        <w:tc>
          <w:tcPr>
            <w:tcW w:w="1000" w:type="dxa"/>
            <w:vAlign w:val="center"/>
          </w:tcPr>
          <w:p w14:paraId="35098E1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12,090.00</w:t>
            </w:r>
          </w:p>
        </w:tc>
        <w:tc>
          <w:tcPr>
            <w:tcW w:w="800" w:type="dxa"/>
            <w:vAlign w:val="center"/>
          </w:tcPr>
          <w:p w14:paraId="4A9CE950"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00AF7D8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146,700.00</w:t>
            </w:r>
          </w:p>
        </w:tc>
        <w:tc>
          <w:tcPr>
            <w:tcW w:w="600" w:type="dxa"/>
            <w:vAlign w:val="center"/>
          </w:tcPr>
          <w:p w14:paraId="67705BB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61.79</w:t>
            </w:r>
          </w:p>
        </w:tc>
        <w:tc>
          <w:tcPr>
            <w:tcW w:w="955" w:type="dxa"/>
            <w:vAlign w:val="center"/>
          </w:tcPr>
          <w:p w14:paraId="5C7C79D7"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2E5B0F0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765CB59E"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237,417.06</w:t>
            </w:r>
          </w:p>
        </w:tc>
        <w:tc>
          <w:tcPr>
            <w:tcW w:w="1600" w:type="dxa"/>
            <w:vAlign w:val="center"/>
          </w:tcPr>
          <w:p w14:paraId="5DB0571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24.42</w:t>
            </w:r>
          </w:p>
        </w:tc>
        <w:tc>
          <w:tcPr>
            <w:tcW w:w="1400" w:type="dxa"/>
            <w:vAlign w:val="center"/>
          </w:tcPr>
          <w:p w14:paraId="5109444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295,255.61</w:t>
            </w:r>
          </w:p>
        </w:tc>
      </w:tr>
      <w:tr w:rsidR="00FB39A5" w:rsidRPr="00FB39A5" w14:paraId="1A6F33E4" w14:textId="77777777" w:rsidTr="00FB39A5">
        <w:tblPrEx>
          <w:tblCellMar>
            <w:top w:w="0" w:type="dxa"/>
            <w:bottom w:w="0" w:type="dxa"/>
          </w:tblCellMar>
        </w:tblPrEx>
        <w:trPr>
          <w:trHeight w:val="240"/>
          <w:jc w:val="center"/>
        </w:trPr>
        <w:tc>
          <w:tcPr>
            <w:tcW w:w="911" w:type="dxa"/>
            <w:vAlign w:val="center"/>
          </w:tcPr>
          <w:p w14:paraId="44A1BED4"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gridSpan w:val="2"/>
            <w:vAlign w:val="center"/>
          </w:tcPr>
          <w:p w14:paraId="0C22B6D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1996</w:t>
            </w:r>
          </w:p>
        </w:tc>
        <w:tc>
          <w:tcPr>
            <w:tcW w:w="2219" w:type="dxa"/>
            <w:vAlign w:val="center"/>
          </w:tcPr>
          <w:p w14:paraId="2ACD1832"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Subang district</w:t>
            </w:r>
          </w:p>
        </w:tc>
        <w:tc>
          <w:tcPr>
            <w:tcW w:w="1000" w:type="dxa"/>
            <w:vAlign w:val="center"/>
          </w:tcPr>
          <w:p w14:paraId="1925F19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5,327.00</w:t>
            </w:r>
          </w:p>
        </w:tc>
        <w:tc>
          <w:tcPr>
            <w:tcW w:w="800" w:type="dxa"/>
            <w:vAlign w:val="center"/>
          </w:tcPr>
          <w:p w14:paraId="5FB1BC8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409AEB0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115,200.00</w:t>
            </w:r>
          </w:p>
        </w:tc>
        <w:tc>
          <w:tcPr>
            <w:tcW w:w="600" w:type="dxa"/>
            <w:vAlign w:val="center"/>
          </w:tcPr>
          <w:p w14:paraId="1238214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30.48</w:t>
            </w:r>
          </w:p>
        </w:tc>
        <w:tc>
          <w:tcPr>
            <w:tcW w:w="955" w:type="dxa"/>
            <w:vAlign w:val="center"/>
          </w:tcPr>
          <w:p w14:paraId="0E6236B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68D965E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7727A9A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377,952.76</w:t>
            </w:r>
          </w:p>
        </w:tc>
        <w:tc>
          <w:tcPr>
            <w:tcW w:w="1600" w:type="dxa"/>
            <w:vAlign w:val="center"/>
          </w:tcPr>
          <w:p w14:paraId="47A38DB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38.88</w:t>
            </w:r>
          </w:p>
        </w:tc>
        <w:tc>
          <w:tcPr>
            <w:tcW w:w="1400" w:type="dxa"/>
            <w:vAlign w:val="center"/>
          </w:tcPr>
          <w:p w14:paraId="68803B4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207,100.02</w:t>
            </w:r>
          </w:p>
        </w:tc>
      </w:tr>
      <w:tr w:rsidR="00FB39A5" w:rsidRPr="00FB39A5" w14:paraId="092EA92B" w14:textId="77777777" w:rsidTr="00FB39A5">
        <w:tblPrEx>
          <w:tblCellMar>
            <w:top w:w="0" w:type="dxa"/>
            <w:bottom w:w="0" w:type="dxa"/>
          </w:tblCellMar>
        </w:tblPrEx>
        <w:trPr>
          <w:trHeight w:val="265"/>
          <w:jc w:val="center"/>
        </w:trPr>
        <w:tc>
          <w:tcPr>
            <w:tcW w:w="911" w:type="dxa"/>
            <w:vAlign w:val="center"/>
          </w:tcPr>
          <w:p w14:paraId="37267989"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gridSpan w:val="2"/>
            <w:vAlign w:val="center"/>
          </w:tcPr>
          <w:p w14:paraId="5A115017"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1991</w:t>
            </w:r>
          </w:p>
        </w:tc>
        <w:tc>
          <w:tcPr>
            <w:tcW w:w="2219" w:type="dxa"/>
            <w:vAlign w:val="center"/>
          </w:tcPr>
          <w:p w14:paraId="653A5B98"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smartTag w:uri="urn:schemas-microsoft-com:office:smarttags" w:element="PlaceName">
                <w:r w:rsidRPr="00FB39A5">
                  <w:rPr>
                    <w:rFonts w:ascii="Arial" w:hAnsi="Arial" w:cs="Arial"/>
                    <w:sz w:val="12"/>
                    <w:szCs w:val="12"/>
                    <w:lang w:val="en-GB"/>
                  </w:rPr>
                  <w:t>Bintuni</w:t>
                </w:r>
              </w:smartTag>
              <w:r w:rsidRPr="00FB39A5">
                <w:rPr>
                  <w:rFonts w:ascii="Arial" w:hAnsi="Arial" w:cs="Arial"/>
                  <w:sz w:val="12"/>
                  <w:szCs w:val="12"/>
                  <w:lang w:val="en-GB"/>
                </w:rPr>
                <w:t xml:space="preserve"> </w:t>
              </w:r>
              <w:smartTag w:uri="urn:schemas-microsoft-com:office:smarttags" w:element="PlaceType">
                <w:r w:rsidRPr="00FB39A5">
                  <w:rPr>
                    <w:rFonts w:ascii="Arial" w:hAnsi="Arial" w:cs="Arial"/>
                    <w:sz w:val="12"/>
                    <w:szCs w:val="12"/>
                    <w:lang w:val="en-GB"/>
                  </w:rPr>
                  <w:t>BaY</w:t>
                </w:r>
              </w:smartTag>
            </w:smartTag>
          </w:p>
        </w:tc>
        <w:tc>
          <w:tcPr>
            <w:tcW w:w="1000" w:type="dxa"/>
            <w:vAlign w:val="center"/>
          </w:tcPr>
          <w:p w14:paraId="0AD8BCE0"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44.60</w:t>
            </w:r>
          </w:p>
        </w:tc>
        <w:tc>
          <w:tcPr>
            <w:tcW w:w="800" w:type="dxa"/>
            <w:vAlign w:val="center"/>
          </w:tcPr>
          <w:p w14:paraId="37D28B02"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232B96F5"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37,500.00</w:t>
            </w:r>
          </w:p>
        </w:tc>
        <w:tc>
          <w:tcPr>
            <w:tcW w:w="600" w:type="dxa"/>
            <w:vAlign w:val="center"/>
          </w:tcPr>
          <w:p w14:paraId="5A4AF69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20.16</w:t>
            </w:r>
          </w:p>
        </w:tc>
        <w:tc>
          <w:tcPr>
            <w:tcW w:w="955" w:type="dxa"/>
            <w:vAlign w:val="center"/>
          </w:tcPr>
          <w:p w14:paraId="08E1F00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5EC2A7E4"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6CAFC41F"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186,011.90</w:t>
            </w:r>
          </w:p>
        </w:tc>
        <w:tc>
          <w:tcPr>
            <w:tcW w:w="1600" w:type="dxa"/>
            <w:vAlign w:val="center"/>
          </w:tcPr>
          <w:p w14:paraId="2E03C17D"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19.13</w:t>
            </w:r>
          </w:p>
        </w:tc>
        <w:tc>
          <w:tcPr>
            <w:tcW w:w="1400" w:type="dxa"/>
            <w:vAlign w:val="center"/>
          </w:tcPr>
          <w:p w14:paraId="6122A55C"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853.37</w:t>
            </w:r>
          </w:p>
        </w:tc>
      </w:tr>
      <w:tr w:rsidR="00FB39A5" w:rsidRPr="00FB39A5" w14:paraId="717BA33D" w14:textId="77777777" w:rsidTr="00FB39A5">
        <w:tblPrEx>
          <w:tblCellMar>
            <w:top w:w="0" w:type="dxa"/>
            <w:bottom w:w="0" w:type="dxa"/>
          </w:tblCellMar>
        </w:tblPrEx>
        <w:trPr>
          <w:trHeight w:val="240"/>
          <w:jc w:val="center"/>
        </w:trPr>
        <w:tc>
          <w:tcPr>
            <w:tcW w:w="911" w:type="dxa"/>
            <w:vAlign w:val="center"/>
          </w:tcPr>
          <w:p w14:paraId="5E1C9BEE" w14:textId="77777777" w:rsidR="00FB39A5" w:rsidRPr="00FB39A5" w:rsidRDefault="00FB39A5" w:rsidP="00FB39A5">
            <w:pPr>
              <w:autoSpaceDE w:val="0"/>
              <w:autoSpaceDN w:val="0"/>
              <w:adjustRightInd w:val="0"/>
              <w:jc w:val="both"/>
              <w:rPr>
                <w:rFonts w:ascii="Arial" w:hAnsi="Arial" w:cs="Arial"/>
                <w:sz w:val="16"/>
                <w:szCs w:val="16"/>
                <w:lang w:val="en-GB"/>
              </w:rPr>
            </w:pPr>
          </w:p>
        </w:tc>
        <w:tc>
          <w:tcPr>
            <w:tcW w:w="600" w:type="dxa"/>
            <w:gridSpan w:val="2"/>
            <w:vAlign w:val="center"/>
          </w:tcPr>
          <w:p w14:paraId="0A96D3FA"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1989</w:t>
            </w:r>
          </w:p>
        </w:tc>
        <w:tc>
          <w:tcPr>
            <w:tcW w:w="2219" w:type="dxa"/>
            <w:vAlign w:val="center"/>
          </w:tcPr>
          <w:p w14:paraId="574EE17B" w14:textId="77777777" w:rsidR="00FB39A5" w:rsidRPr="00FB39A5" w:rsidRDefault="00FB39A5" w:rsidP="00FB39A5">
            <w:pPr>
              <w:autoSpaceDE w:val="0"/>
              <w:autoSpaceDN w:val="0"/>
              <w:adjustRightInd w:val="0"/>
              <w:jc w:val="both"/>
              <w:rPr>
                <w:rFonts w:ascii="Arial" w:hAnsi="Arial" w:cs="Arial"/>
                <w:sz w:val="12"/>
                <w:szCs w:val="12"/>
                <w:lang w:val="en-GB"/>
              </w:rPr>
            </w:pPr>
            <w:smartTag w:uri="urn:schemas-microsoft-com:office:smarttags" w:element="place">
              <w:r w:rsidRPr="00FB39A5">
                <w:rPr>
                  <w:rFonts w:ascii="Arial" w:hAnsi="Arial" w:cs="Arial"/>
                  <w:sz w:val="12"/>
                  <w:szCs w:val="12"/>
                  <w:lang w:val="en-GB"/>
                </w:rPr>
                <w:t>Sumatra</w:t>
              </w:r>
            </w:smartTag>
          </w:p>
        </w:tc>
        <w:tc>
          <w:tcPr>
            <w:tcW w:w="1000" w:type="dxa"/>
            <w:vAlign w:val="center"/>
          </w:tcPr>
          <w:p w14:paraId="082D065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44.60</w:t>
            </w:r>
          </w:p>
        </w:tc>
        <w:tc>
          <w:tcPr>
            <w:tcW w:w="800" w:type="dxa"/>
            <w:vAlign w:val="center"/>
          </w:tcPr>
          <w:p w14:paraId="425955EE"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Rupiah</w:t>
            </w:r>
          </w:p>
        </w:tc>
        <w:tc>
          <w:tcPr>
            <w:tcW w:w="1200" w:type="dxa"/>
            <w:vAlign w:val="center"/>
          </w:tcPr>
          <w:p w14:paraId="78425DE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37,500.00</w:t>
            </w:r>
          </w:p>
        </w:tc>
        <w:tc>
          <w:tcPr>
            <w:tcW w:w="600" w:type="dxa"/>
            <w:vAlign w:val="center"/>
          </w:tcPr>
          <w:p w14:paraId="25187973"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17.09</w:t>
            </w:r>
          </w:p>
        </w:tc>
        <w:tc>
          <w:tcPr>
            <w:tcW w:w="955" w:type="dxa"/>
            <w:vAlign w:val="center"/>
          </w:tcPr>
          <w:p w14:paraId="36F7FC3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9,721.65</w:t>
            </w:r>
          </w:p>
        </w:tc>
        <w:tc>
          <w:tcPr>
            <w:tcW w:w="1387" w:type="dxa"/>
            <w:vAlign w:val="center"/>
          </w:tcPr>
          <w:p w14:paraId="629439E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benefit transfer</w:t>
            </w:r>
          </w:p>
        </w:tc>
        <w:tc>
          <w:tcPr>
            <w:tcW w:w="1553" w:type="dxa"/>
            <w:vAlign w:val="center"/>
          </w:tcPr>
          <w:p w14:paraId="6B7E1DE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219,426.57</w:t>
            </w:r>
          </w:p>
        </w:tc>
        <w:tc>
          <w:tcPr>
            <w:tcW w:w="1600" w:type="dxa"/>
            <w:vAlign w:val="center"/>
          </w:tcPr>
          <w:p w14:paraId="604EB9C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22.57</w:t>
            </w:r>
          </w:p>
        </w:tc>
        <w:tc>
          <w:tcPr>
            <w:tcW w:w="1400" w:type="dxa"/>
            <w:vAlign w:val="center"/>
          </w:tcPr>
          <w:p w14:paraId="473904D8"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1,006.66</w:t>
            </w:r>
          </w:p>
        </w:tc>
      </w:tr>
      <w:tr w:rsidR="00FB39A5" w:rsidRPr="00FB39A5" w14:paraId="38CE1D35" w14:textId="77777777" w:rsidTr="00FB39A5">
        <w:tblPrEx>
          <w:tblCellMar>
            <w:top w:w="0" w:type="dxa"/>
            <w:bottom w:w="0" w:type="dxa"/>
          </w:tblCellMar>
        </w:tblPrEx>
        <w:trPr>
          <w:trHeight w:val="243"/>
          <w:jc w:val="center"/>
        </w:trPr>
        <w:tc>
          <w:tcPr>
            <w:tcW w:w="14225" w:type="dxa"/>
            <w:gridSpan w:val="13"/>
            <w:vAlign w:val="center"/>
          </w:tcPr>
          <w:p w14:paraId="2F325405" w14:textId="77777777" w:rsidR="00FB39A5" w:rsidRPr="00FB39A5" w:rsidRDefault="00FB39A5" w:rsidP="00FB39A5">
            <w:pPr>
              <w:autoSpaceDE w:val="0"/>
              <w:autoSpaceDN w:val="0"/>
              <w:adjustRightInd w:val="0"/>
              <w:jc w:val="center"/>
              <w:rPr>
                <w:rFonts w:ascii="Arial" w:hAnsi="Arial" w:cs="Arial"/>
                <w:sz w:val="18"/>
                <w:szCs w:val="18"/>
                <w:lang w:val="en-GB"/>
              </w:rPr>
            </w:pPr>
            <w:r w:rsidRPr="00FB39A5">
              <w:rPr>
                <w:rFonts w:ascii="Arial" w:hAnsi="Arial" w:cs="Arial"/>
                <w:b/>
                <w:bCs/>
                <w:sz w:val="18"/>
                <w:szCs w:val="18"/>
                <w:lang w:val="en-GB"/>
              </w:rPr>
              <w:t>Aesthetic (5% of land prices)</w:t>
            </w:r>
          </w:p>
        </w:tc>
      </w:tr>
      <w:tr w:rsidR="00FB39A5" w:rsidRPr="00FB39A5" w14:paraId="29CA4CD3" w14:textId="77777777" w:rsidTr="00FB39A5">
        <w:tblPrEx>
          <w:tblCellMar>
            <w:top w:w="0" w:type="dxa"/>
            <w:bottom w:w="0" w:type="dxa"/>
          </w:tblCellMar>
        </w:tblPrEx>
        <w:trPr>
          <w:trHeight w:val="80"/>
          <w:jc w:val="center"/>
        </w:trPr>
        <w:tc>
          <w:tcPr>
            <w:tcW w:w="911" w:type="dxa"/>
            <w:vAlign w:val="center"/>
          </w:tcPr>
          <w:p w14:paraId="5643487A" w14:textId="77777777" w:rsidR="00FB39A5" w:rsidRPr="00FB39A5" w:rsidRDefault="00FB39A5" w:rsidP="00FB39A5">
            <w:pPr>
              <w:autoSpaceDE w:val="0"/>
              <w:autoSpaceDN w:val="0"/>
              <w:adjustRightInd w:val="0"/>
              <w:jc w:val="both"/>
              <w:rPr>
                <w:rFonts w:ascii="Arial" w:hAnsi="Arial" w:cs="Arial"/>
                <w:sz w:val="16"/>
                <w:szCs w:val="16"/>
                <w:lang w:val="en-GB"/>
              </w:rPr>
            </w:pPr>
            <w:smartTag w:uri="urn:schemas-microsoft-com:office:smarttags" w:element="place">
              <w:smartTag w:uri="urn:schemas-microsoft-com:office:smarttags" w:element="country-region">
                <w:r w:rsidRPr="00FB39A5">
                  <w:rPr>
                    <w:rFonts w:ascii="Arial" w:hAnsi="Arial" w:cs="Arial"/>
                    <w:sz w:val="16"/>
                    <w:szCs w:val="16"/>
                    <w:lang w:val="en-GB"/>
                  </w:rPr>
                  <w:t>China</w:t>
                </w:r>
              </w:smartTag>
            </w:smartTag>
          </w:p>
        </w:tc>
        <w:tc>
          <w:tcPr>
            <w:tcW w:w="600" w:type="dxa"/>
            <w:gridSpan w:val="2"/>
            <w:vAlign w:val="center"/>
          </w:tcPr>
          <w:p w14:paraId="6E40626F"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2002</w:t>
            </w:r>
          </w:p>
        </w:tc>
        <w:tc>
          <w:tcPr>
            <w:tcW w:w="2219" w:type="dxa"/>
            <w:vAlign w:val="center"/>
          </w:tcPr>
          <w:p w14:paraId="370D2EAA" w14:textId="77777777" w:rsidR="00FB39A5" w:rsidRPr="00FB39A5" w:rsidRDefault="00FB39A5" w:rsidP="00FB39A5">
            <w:pPr>
              <w:autoSpaceDE w:val="0"/>
              <w:autoSpaceDN w:val="0"/>
              <w:adjustRightInd w:val="0"/>
              <w:jc w:val="both"/>
              <w:rPr>
                <w:rFonts w:ascii="Arial" w:hAnsi="Arial" w:cs="Arial"/>
                <w:sz w:val="12"/>
                <w:szCs w:val="12"/>
                <w:lang w:val="en-GB"/>
              </w:rPr>
            </w:pPr>
            <w:r w:rsidRPr="00FB39A5">
              <w:rPr>
                <w:rFonts w:ascii="Arial" w:hAnsi="Arial" w:cs="Arial"/>
                <w:sz w:val="12"/>
                <w:szCs w:val="12"/>
                <w:lang w:val="en-GB"/>
              </w:rPr>
              <w:t>Fangchenggang</w:t>
            </w:r>
          </w:p>
        </w:tc>
        <w:tc>
          <w:tcPr>
            <w:tcW w:w="1000" w:type="dxa"/>
            <w:vAlign w:val="center"/>
          </w:tcPr>
          <w:p w14:paraId="0FC410C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1,414.50</w:t>
            </w:r>
          </w:p>
        </w:tc>
        <w:tc>
          <w:tcPr>
            <w:tcW w:w="800" w:type="dxa"/>
            <w:vAlign w:val="center"/>
          </w:tcPr>
          <w:p w14:paraId="6FC4F7D6"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RMB</w:t>
            </w:r>
          </w:p>
        </w:tc>
        <w:tc>
          <w:tcPr>
            <w:tcW w:w="1200" w:type="dxa"/>
            <w:vAlign w:val="center"/>
          </w:tcPr>
          <w:p w14:paraId="7264C081"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14,300.00</w:t>
            </w:r>
          </w:p>
        </w:tc>
        <w:tc>
          <w:tcPr>
            <w:tcW w:w="600" w:type="dxa"/>
            <w:vAlign w:val="center"/>
          </w:tcPr>
          <w:p w14:paraId="1E3A0722"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93.38</w:t>
            </w:r>
          </w:p>
        </w:tc>
        <w:tc>
          <w:tcPr>
            <w:tcW w:w="955" w:type="dxa"/>
            <w:vAlign w:val="center"/>
          </w:tcPr>
          <w:p w14:paraId="333056FA"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8.20</w:t>
            </w:r>
          </w:p>
        </w:tc>
        <w:tc>
          <w:tcPr>
            <w:tcW w:w="1387" w:type="dxa"/>
            <w:vAlign w:val="center"/>
          </w:tcPr>
          <w:p w14:paraId="6085946D" w14:textId="77777777" w:rsidR="00FB39A5" w:rsidRPr="00FB39A5" w:rsidRDefault="00FB39A5" w:rsidP="00FB39A5">
            <w:pPr>
              <w:autoSpaceDE w:val="0"/>
              <w:autoSpaceDN w:val="0"/>
              <w:adjustRightInd w:val="0"/>
              <w:jc w:val="center"/>
              <w:rPr>
                <w:rFonts w:ascii="Arial" w:hAnsi="Arial" w:cs="Arial"/>
                <w:sz w:val="16"/>
                <w:szCs w:val="16"/>
                <w:lang w:val="en-GB"/>
              </w:rPr>
            </w:pPr>
            <w:r w:rsidRPr="00FB39A5">
              <w:rPr>
                <w:rFonts w:ascii="Arial" w:hAnsi="Arial" w:cs="Arial"/>
                <w:sz w:val="16"/>
                <w:szCs w:val="16"/>
                <w:lang w:val="en-GB"/>
              </w:rPr>
              <w:t>Hedonic Price</w:t>
            </w:r>
          </w:p>
        </w:tc>
        <w:tc>
          <w:tcPr>
            <w:tcW w:w="1553" w:type="dxa"/>
            <w:vAlign w:val="center"/>
          </w:tcPr>
          <w:p w14:paraId="7F9C111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15,313.77</w:t>
            </w:r>
          </w:p>
        </w:tc>
        <w:tc>
          <w:tcPr>
            <w:tcW w:w="1600" w:type="dxa"/>
            <w:vAlign w:val="center"/>
          </w:tcPr>
          <w:p w14:paraId="21492E26"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1,866.78</w:t>
            </w:r>
          </w:p>
        </w:tc>
        <w:tc>
          <w:tcPr>
            <w:tcW w:w="1400" w:type="dxa"/>
            <w:vAlign w:val="center"/>
          </w:tcPr>
          <w:p w14:paraId="0F7C2CAB" w14:textId="77777777" w:rsidR="00FB39A5" w:rsidRPr="00FB39A5" w:rsidRDefault="00FB39A5" w:rsidP="00FB39A5">
            <w:pPr>
              <w:autoSpaceDE w:val="0"/>
              <w:autoSpaceDN w:val="0"/>
              <w:adjustRightInd w:val="0"/>
              <w:jc w:val="right"/>
              <w:rPr>
                <w:rFonts w:ascii="Arial" w:hAnsi="Arial" w:cs="Arial"/>
                <w:sz w:val="16"/>
                <w:szCs w:val="16"/>
                <w:lang w:val="en-GB"/>
              </w:rPr>
            </w:pPr>
            <w:r w:rsidRPr="00FB39A5">
              <w:rPr>
                <w:rFonts w:ascii="Arial" w:hAnsi="Arial" w:cs="Arial"/>
                <w:sz w:val="16"/>
                <w:szCs w:val="16"/>
                <w:lang w:val="en-GB"/>
              </w:rPr>
              <w:t>2,640,566.17</w:t>
            </w:r>
          </w:p>
        </w:tc>
      </w:tr>
    </w:tbl>
    <w:p w14:paraId="50F2170A" w14:textId="77777777" w:rsidR="00FB39A5" w:rsidRPr="00FB39A5" w:rsidRDefault="00FB39A5" w:rsidP="00FB39A5">
      <w:pPr>
        <w:jc w:val="both"/>
        <w:rPr>
          <w:rFonts w:ascii="Arial" w:hAnsi="Arial" w:cs="Arial"/>
          <w:sz w:val="20"/>
          <w:lang w:val="en-GB"/>
        </w:rPr>
      </w:pPr>
    </w:p>
    <w:p w14:paraId="726AB30C" w14:textId="77777777" w:rsidR="00FB39A5" w:rsidRDefault="00FB39A5" w:rsidP="00FB39A5">
      <w:pPr>
        <w:spacing w:after="120"/>
        <w:jc w:val="both"/>
        <w:rPr>
          <w:sz w:val="22"/>
          <w:szCs w:val="22"/>
        </w:rPr>
        <w:sectPr w:rsidR="00FB39A5" w:rsidSect="00064925">
          <w:pgSz w:w="15840" w:h="12240" w:orient="landscape" w:code="1"/>
          <w:pgMar w:top="1584" w:right="1440" w:bottom="1584" w:left="1440" w:header="706" w:footer="706" w:gutter="0"/>
          <w:cols w:space="708"/>
          <w:docGrid w:linePitch="360"/>
        </w:sectPr>
      </w:pPr>
    </w:p>
    <w:p w14:paraId="0263BA17" w14:textId="77777777" w:rsidR="008165F0" w:rsidRDefault="008165F0" w:rsidP="008165F0">
      <w:pPr>
        <w:numPr>
          <w:ilvl w:val="0"/>
          <w:numId w:val="3"/>
        </w:numPr>
        <w:spacing w:after="120"/>
        <w:ind w:left="0" w:firstLine="0"/>
        <w:jc w:val="both"/>
        <w:rPr>
          <w:sz w:val="22"/>
          <w:szCs w:val="22"/>
        </w:rPr>
      </w:pPr>
      <w:r w:rsidRPr="00722EEA">
        <w:rPr>
          <w:sz w:val="22"/>
          <w:szCs w:val="22"/>
        </w:rPr>
        <w:t>The valuation of the nursery function of mangroves is of some interest as apparently, in no case, has any attempt been made to value the natural production resulting from the use of mangroves by off-shore demersal fish and crustaceans as nursery areas. This is somewhat surprising in that McNae, for example, was able to demonstrate as early as 1974 a strong correlation between the off-shore catch of penaeid shrimp and the area of mangrove on the adjacent coastline (McNae, 1974) and such relationships could have been used to value this function. In contrast, valuations have been done either in terms of the market value of larval fish and crustaceans caught in the mangrove area for sale to mariculture farmers or through a shadow pricing method using the costs of producing such larvae through other means. Neither of these methods can be considered ideal, nor do they actually represent a “true” evaluation of the “nursery function”; nevertheless, they were used in the absence of other data.</w:t>
      </w:r>
    </w:p>
    <w:p w14:paraId="46E6B908" w14:textId="77777777" w:rsidR="00621620" w:rsidRPr="00621620" w:rsidRDefault="00621620" w:rsidP="00621620">
      <w:pPr>
        <w:numPr>
          <w:ilvl w:val="3"/>
          <w:numId w:val="2"/>
        </w:numPr>
        <w:spacing w:after="120"/>
        <w:outlineLvl w:val="1"/>
        <w:rPr>
          <w:b/>
          <w:sz w:val="22"/>
          <w:szCs w:val="22"/>
          <w:lang w:val="en-GB"/>
        </w:rPr>
      </w:pPr>
      <w:r>
        <w:rPr>
          <w:b/>
          <w:sz w:val="22"/>
          <w:szCs w:val="22"/>
          <w:lang w:val="en-GB"/>
        </w:rPr>
        <w:t>Determination of weighted mean national values</w:t>
      </w:r>
    </w:p>
    <w:p w14:paraId="1C5535FD" w14:textId="77777777" w:rsidR="008165F0" w:rsidRPr="00271535" w:rsidRDefault="008165F0" w:rsidP="00D7194D">
      <w:pPr>
        <w:numPr>
          <w:ilvl w:val="0"/>
          <w:numId w:val="3"/>
        </w:numPr>
        <w:spacing w:after="120"/>
        <w:ind w:left="0" w:firstLine="0"/>
        <w:jc w:val="both"/>
        <w:rPr>
          <w:sz w:val="22"/>
          <w:szCs w:val="22"/>
        </w:rPr>
      </w:pPr>
      <w:r w:rsidRPr="00722EEA">
        <w:rPr>
          <w:sz w:val="22"/>
          <w:szCs w:val="22"/>
        </w:rPr>
        <w:t xml:space="preserve">Examination of any one portion of this dataset </w:t>
      </w:r>
      <w:r w:rsidR="00077FB6" w:rsidRPr="00722EEA">
        <w:rPr>
          <w:sz w:val="22"/>
          <w:szCs w:val="22"/>
        </w:rPr>
        <w:t>reveal</w:t>
      </w:r>
      <w:r w:rsidR="00077FB6">
        <w:rPr>
          <w:sz w:val="22"/>
          <w:szCs w:val="22"/>
        </w:rPr>
        <w:t>ed</w:t>
      </w:r>
      <w:r w:rsidR="00077FB6" w:rsidRPr="00722EEA">
        <w:rPr>
          <w:sz w:val="22"/>
          <w:szCs w:val="22"/>
        </w:rPr>
        <w:t xml:space="preserve"> </w:t>
      </w:r>
      <w:r w:rsidRPr="00722EEA">
        <w:rPr>
          <w:sz w:val="22"/>
          <w:szCs w:val="22"/>
        </w:rPr>
        <w:t>wide variation in farm gate prices. Mangrove timber from Indonesia, for example, apparently varies from US$ 76 to in excess of US$ 5,000 per cubic metre. In this instance, a weak but significant negative correlation exists between the value per cubic metre and the stock or more precisely the area of mangrove. This issue of widely differing prices within each country is addressed through the calculation of weighted mean national values.</w:t>
      </w:r>
      <w:r>
        <w:rPr>
          <w:sz w:val="22"/>
          <w:szCs w:val="22"/>
        </w:rPr>
        <w:t xml:space="preserve"> </w:t>
      </w:r>
      <w:r w:rsidRPr="00271535">
        <w:rPr>
          <w:sz w:val="22"/>
          <w:szCs w:val="22"/>
        </w:rPr>
        <w:t>As is well known, farm gate prices for environmental goods vary within countries reflecting both the local supply and the demand. Where blood cockle beds (</w:t>
      </w:r>
      <w:r w:rsidRPr="00A73AC1">
        <w:rPr>
          <w:i/>
          <w:sz w:val="22"/>
          <w:szCs w:val="22"/>
        </w:rPr>
        <w:t>Anadara granosa</w:t>
      </w:r>
      <w:r w:rsidRPr="00271535">
        <w:rPr>
          <w:sz w:val="22"/>
          <w:szCs w:val="22"/>
        </w:rPr>
        <w:t xml:space="preserve">), for example, are located in close proximity to a centre of population, the unit farm gate price is higher than when an equivalent sized resource is located farther away. </w:t>
      </w:r>
    </w:p>
    <w:p w14:paraId="0C04D95F" w14:textId="77777777" w:rsidR="00FB39A5" w:rsidRDefault="008165F0" w:rsidP="00C27D0E">
      <w:pPr>
        <w:numPr>
          <w:ilvl w:val="0"/>
          <w:numId w:val="3"/>
        </w:numPr>
        <w:spacing w:after="120"/>
        <w:ind w:left="0" w:firstLine="0"/>
        <w:jc w:val="both"/>
        <w:rPr>
          <w:sz w:val="22"/>
          <w:szCs w:val="22"/>
        </w:rPr>
      </w:pPr>
      <w:r w:rsidRPr="00271535">
        <w:rPr>
          <w:sz w:val="22"/>
          <w:szCs w:val="22"/>
        </w:rPr>
        <w:t>In order to address this problem of the wide variation in prices within one country, the RTF-E decided to weight the data from each location and determine a “Weighted Mean National Value” that reflected both the prices for the same resource at each location and the “stock” of that resource at the same locations. Hence, the price at location A was multiplied by the stock (or area where the stock could not be estimated) in area A and this value was added to other values determined for locations B, C, etc. The summation was then divided by the total stock for which prices were available, thus providing the Weighted Mean National Value. This results in a national value that reflects the totality of the national stock rather than being a simple arithmetic average of all values.</w:t>
      </w:r>
      <w:r>
        <w:rPr>
          <w:sz w:val="22"/>
          <w:szCs w:val="22"/>
        </w:rPr>
        <w:t xml:space="preserve"> </w:t>
      </w:r>
      <w:r w:rsidRPr="00271535">
        <w:rPr>
          <w:sz w:val="22"/>
          <w:szCs w:val="22"/>
        </w:rPr>
        <w:t xml:space="preserve">Tables </w:t>
      </w:r>
      <w:r w:rsidR="00077FB6">
        <w:rPr>
          <w:sz w:val="22"/>
          <w:szCs w:val="22"/>
        </w:rPr>
        <w:t>4</w:t>
      </w:r>
      <w:r w:rsidR="00077FB6" w:rsidRPr="00271535">
        <w:rPr>
          <w:sz w:val="22"/>
          <w:szCs w:val="22"/>
        </w:rPr>
        <w:t xml:space="preserve"> </w:t>
      </w:r>
      <w:r w:rsidRPr="00271535">
        <w:rPr>
          <w:sz w:val="22"/>
          <w:szCs w:val="22"/>
        </w:rPr>
        <w:t xml:space="preserve">to </w:t>
      </w:r>
      <w:r w:rsidR="00077FB6">
        <w:rPr>
          <w:sz w:val="22"/>
          <w:szCs w:val="22"/>
        </w:rPr>
        <w:t>7</w:t>
      </w:r>
      <w:r w:rsidR="00077FB6" w:rsidRPr="00271535">
        <w:rPr>
          <w:sz w:val="22"/>
          <w:szCs w:val="22"/>
        </w:rPr>
        <w:t xml:space="preserve"> </w:t>
      </w:r>
      <w:r w:rsidRPr="00271535">
        <w:rPr>
          <w:sz w:val="22"/>
          <w:szCs w:val="22"/>
        </w:rPr>
        <w:t>present the weighted mean national and weighted mean regional values for mangroves, coral reefs, seagrass and wetlands respectively.</w:t>
      </w:r>
    </w:p>
    <w:p w14:paraId="3113B64E" w14:textId="77777777" w:rsidR="00621620" w:rsidRPr="00621620" w:rsidRDefault="00621620" w:rsidP="00621620">
      <w:pPr>
        <w:numPr>
          <w:ilvl w:val="3"/>
          <w:numId w:val="2"/>
        </w:numPr>
        <w:spacing w:after="120"/>
        <w:outlineLvl w:val="1"/>
        <w:rPr>
          <w:b/>
          <w:sz w:val="22"/>
          <w:szCs w:val="22"/>
          <w:lang w:val="en-GB"/>
        </w:rPr>
      </w:pPr>
      <w:r>
        <w:rPr>
          <w:b/>
          <w:sz w:val="22"/>
          <w:szCs w:val="22"/>
          <w:lang w:val="en-GB"/>
        </w:rPr>
        <w:t>Determination of weighted mean regional values</w:t>
      </w:r>
    </w:p>
    <w:p w14:paraId="5C4588EE" w14:textId="77777777" w:rsidR="00C27D0E" w:rsidRDefault="00C27D0E" w:rsidP="00B61A8B">
      <w:pPr>
        <w:numPr>
          <w:ilvl w:val="0"/>
          <w:numId w:val="3"/>
        </w:numPr>
        <w:spacing w:after="120"/>
        <w:ind w:left="0" w:firstLine="0"/>
        <w:jc w:val="both"/>
        <w:rPr>
          <w:sz w:val="22"/>
          <w:szCs w:val="22"/>
        </w:rPr>
      </w:pPr>
      <w:r w:rsidRPr="00404C7D">
        <w:rPr>
          <w:sz w:val="22"/>
          <w:szCs w:val="22"/>
        </w:rPr>
        <w:t>The determination of weighted mean regional values was undertaken in a similar manner to the computation of weighted mean national values but using data and information concerning the total stock (or area) in each country and the weighted mean national values. Thus, the weighted mean national value for each resource was multiplied by the stock for each country and the resultant values summed, then divided by the total stock (or area) of the habitat</w:t>
      </w:r>
      <w:r>
        <w:rPr>
          <w:sz w:val="22"/>
          <w:szCs w:val="22"/>
        </w:rPr>
        <w:t xml:space="preserve"> bordering the South China Sea. </w:t>
      </w:r>
      <w:r w:rsidRPr="00404C7D">
        <w:rPr>
          <w:sz w:val="22"/>
          <w:szCs w:val="22"/>
        </w:rPr>
        <w:t>The absence of values in a particular table may reflect one of two circumsta</w:t>
      </w:r>
      <w:r>
        <w:rPr>
          <w:sz w:val="22"/>
          <w:szCs w:val="22"/>
        </w:rPr>
        <w:t xml:space="preserve">nces: (a) first, and most </w:t>
      </w:r>
      <w:r w:rsidRPr="00404C7D">
        <w:rPr>
          <w:sz w:val="22"/>
          <w:szCs w:val="22"/>
        </w:rPr>
        <w:t>commonly, no data for farm gate prices and hence no value could be found for that resource</w:t>
      </w:r>
      <w:r>
        <w:rPr>
          <w:sz w:val="22"/>
          <w:szCs w:val="22"/>
        </w:rPr>
        <w:t xml:space="preserve"> in the country concerned; and, (2) s</w:t>
      </w:r>
      <w:r w:rsidRPr="00404C7D">
        <w:rPr>
          <w:sz w:val="22"/>
          <w:szCs w:val="22"/>
        </w:rPr>
        <w:t xml:space="preserve">econdly, that a particular resource is not used in the country concerned. </w:t>
      </w:r>
    </w:p>
    <w:p w14:paraId="72A2EDF2" w14:textId="77777777" w:rsidR="00B61A8B" w:rsidRPr="00404C7D" w:rsidRDefault="00B61A8B" w:rsidP="00B61A8B">
      <w:pPr>
        <w:numPr>
          <w:ilvl w:val="0"/>
          <w:numId w:val="3"/>
        </w:numPr>
        <w:spacing w:after="120"/>
        <w:ind w:left="0" w:firstLine="0"/>
        <w:jc w:val="both"/>
        <w:rPr>
          <w:sz w:val="22"/>
          <w:szCs w:val="22"/>
        </w:rPr>
      </w:pPr>
      <w:r w:rsidRPr="00404C7D">
        <w:rPr>
          <w:sz w:val="22"/>
          <w:szCs w:val="22"/>
        </w:rPr>
        <w:t xml:space="preserve">An example of the latter is the case of sipunculid worms that are highly prized in China and also eaten to a lesser extent in the Philippines but which are not consumed in the other countries of the region. Consequently, there are no market values from Cambodia, Indonesia, Malaysia, Thailand and Viet Nam reflecting the fact that these worms are not eaten and do not enter the market in these countries. Sipunculid worms are, however, found in all mangrove areas in all countries. The contribution of the weighted mean regional value for sipunculid worms to the total economic value of mangrove production in the region is therefore much smaller than if a benefits transfer method of determining value were used to value the entire South China Sea stock of sipunculid worms. </w:t>
      </w:r>
    </w:p>
    <w:p w14:paraId="6F8F54CC" w14:textId="77777777" w:rsidR="00FB39A5" w:rsidRDefault="00FB39A5" w:rsidP="00B61A8B">
      <w:pPr>
        <w:tabs>
          <w:tab w:val="num" w:pos="720"/>
        </w:tabs>
        <w:spacing w:after="120"/>
        <w:jc w:val="both"/>
        <w:rPr>
          <w:sz w:val="22"/>
          <w:szCs w:val="22"/>
        </w:rPr>
        <w:sectPr w:rsidR="00FB39A5" w:rsidSect="00064925">
          <w:pgSz w:w="12240" w:h="15840" w:code="1"/>
          <w:pgMar w:top="1440" w:right="1584" w:bottom="1440" w:left="1584" w:header="706" w:footer="706" w:gutter="0"/>
          <w:cols w:space="708"/>
          <w:docGrid w:linePitch="360"/>
        </w:sectPr>
      </w:pPr>
    </w:p>
    <w:p w14:paraId="68B507EC" w14:textId="77777777" w:rsidR="00FB39A5" w:rsidRPr="00C27D0E" w:rsidRDefault="00FB39A5" w:rsidP="00C27D0E">
      <w:pPr>
        <w:tabs>
          <w:tab w:val="left" w:pos="1100"/>
        </w:tabs>
        <w:spacing w:after="120"/>
        <w:ind w:left="1094" w:hanging="1094"/>
        <w:jc w:val="both"/>
        <w:rPr>
          <w:sz w:val="21"/>
          <w:szCs w:val="21"/>
          <w:lang w:val="en-GB"/>
        </w:rPr>
      </w:pPr>
      <w:r w:rsidRPr="00C27D0E">
        <w:rPr>
          <w:b/>
          <w:bCs/>
          <w:sz w:val="21"/>
          <w:szCs w:val="21"/>
          <w:lang w:val="en-GB"/>
        </w:rPr>
        <w:t xml:space="preserve">Table </w:t>
      </w:r>
      <w:r w:rsidR="00C27D0E" w:rsidRPr="00C27D0E">
        <w:rPr>
          <w:b/>
          <w:bCs/>
          <w:sz w:val="21"/>
          <w:szCs w:val="21"/>
          <w:lang w:val="en-GB"/>
        </w:rPr>
        <w:t>4</w:t>
      </w:r>
      <w:r w:rsidRPr="00C27D0E">
        <w:rPr>
          <w:bCs/>
          <w:sz w:val="21"/>
          <w:szCs w:val="21"/>
          <w:lang w:val="en-GB"/>
        </w:rPr>
        <w:tab/>
        <w:t>Weighted mean national and regional values for the per hectare annual production of goods and services by mangroves bordering the South China Sea.</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40"/>
        <w:gridCol w:w="1200"/>
        <w:gridCol w:w="1320"/>
        <w:gridCol w:w="1440"/>
        <w:gridCol w:w="1440"/>
        <w:gridCol w:w="1200"/>
        <w:gridCol w:w="1320"/>
        <w:gridCol w:w="1200"/>
        <w:gridCol w:w="1380"/>
      </w:tblGrid>
      <w:tr w:rsidR="00FB39A5" w:rsidRPr="00FB39A5" w14:paraId="69E35455" w14:textId="77777777" w:rsidTr="00FB39A5">
        <w:tblPrEx>
          <w:tblCellMar>
            <w:top w:w="0" w:type="dxa"/>
            <w:bottom w:w="0" w:type="dxa"/>
          </w:tblCellMar>
        </w:tblPrEx>
        <w:trPr>
          <w:trHeight w:val="90"/>
          <w:jc w:val="center"/>
        </w:trPr>
        <w:tc>
          <w:tcPr>
            <w:tcW w:w="3540" w:type="dxa"/>
            <w:tcBorders>
              <w:top w:val="single" w:sz="12" w:space="0" w:color="auto"/>
              <w:bottom w:val="single" w:sz="12" w:space="0" w:color="auto"/>
            </w:tcBorders>
            <w:vAlign w:val="center"/>
          </w:tcPr>
          <w:p w14:paraId="03FDE5A5"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r w:rsidRPr="00FB39A5">
              <w:rPr>
                <w:rFonts w:ascii="Arial" w:hAnsi="Arial" w:cs="Arial"/>
                <w:b/>
                <w:bCs/>
                <w:color w:val="000000"/>
                <w:sz w:val="18"/>
                <w:szCs w:val="18"/>
                <w:lang w:val="en-GB"/>
              </w:rPr>
              <w:t>Mangrove Goods</w:t>
            </w:r>
          </w:p>
        </w:tc>
        <w:tc>
          <w:tcPr>
            <w:tcW w:w="1200" w:type="dxa"/>
            <w:tcBorders>
              <w:top w:val="single" w:sz="12" w:space="0" w:color="auto"/>
              <w:bottom w:val="single" w:sz="12" w:space="0" w:color="auto"/>
            </w:tcBorders>
            <w:vAlign w:val="center"/>
          </w:tcPr>
          <w:p w14:paraId="3E5F968D"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Cambodia</w:t>
                </w:r>
              </w:smartTag>
            </w:smartTag>
          </w:p>
        </w:tc>
        <w:tc>
          <w:tcPr>
            <w:tcW w:w="1320" w:type="dxa"/>
            <w:tcBorders>
              <w:top w:val="single" w:sz="12" w:space="0" w:color="auto"/>
              <w:bottom w:val="single" w:sz="12" w:space="0" w:color="auto"/>
            </w:tcBorders>
            <w:vAlign w:val="center"/>
          </w:tcPr>
          <w:p w14:paraId="741F6E1F"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China</w:t>
                </w:r>
              </w:smartTag>
            </w:smartTag>
          </w:p>
        </w:tc>
        <w:tc>
          <w:tcPr>
            <w:tcW w:w="1440" w:type="dxa"/>
            <w:tcBorders>
              <w:top w:val="single" w:sz="12" w:space="0" w:color="auto"/>
              <w:bottom w:val="single" w:sz="12" w:space="0" w:color="auto"/>
            </w:tcBorders>
            <w:vAlign w:val="center"/>
          </w:tcPr>
          <w:p w14:paraId="74D07F5D"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Indonesia</w:t>
                </w:r>
              </w:smartTag>
            </w:smartTag>
          </w:p>
        </w:tc>
        <w:tc>
          <w:tcPr>
            <w:tcW w:w="1440" w:type="dxa"/>
            <w:tcBorders>
              <w:top w:val="single" w:sz="12" w:space="0" w:color="auto"/>
              <w:bottom w:val="single" w:sz="12" w:space="0" w:color="auto"/>
            </w:tcBorders>
            <w:vAlign w:val="center"/>
          </w:tcPr>
          <w:p w14:paraId="7DB30665"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Malaysia</w:t>
                </w:r>
              </w:smartTag>
            </w:smartTag>
          </w:p>
        </w:tc>
        <w:tc>
          <w:tcPr>
            <w:tcW w:w="1200" w:type="dxa"/>
            <w:tcBorders>
              <w:top w:val="single" w:sz="12" w:space="0" w:color="auto"/>
              <w:bottom w:val="single" w:sz="12" w:space="0" w:color="auto"/>
            </w:tcBorders>
            <w:vAlign w:val="center"/>
          </w:tcPr>
          <w:p w14:paraId="58095B62"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Philippines</w:t>
                </w:r>
              </w:smartTag>
            </w:smartTag>
          </w:p>
        </w:tc>
        <w:tc>
          <w:tcPr>
            <w:tcW w:w="1320" w:type="dxa"/>
            <w:tcBorders>
              <w:top w:val="single" w:sz="12" w:space="0" w:color="auto"/>
              <w:bottom w:val="single" w:sz="12" w:space="0" w:color="auto"/>
            </w:tcBorders>
            <w:vAlign w:val="center"/>
          </w:tcPr>
          <w:p w14:paraId="7A03A0D4"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Thailand</w:t>
                </w:r>
              </w:smartTag>
            </w:smartTag>
          </w:p>
        </w:tc>
        <w:tc>
          <w:tcPr>
            <w:tcW w:w="1200" w:type="dxa"/>
            <w:tcBorders>
              <w:top w:val="single" w:sz="12" w:space="0" w:color="auto"/>
              <w:bottom w:val="single" w:sz="12" w:space="0" w:color="auto"/>
            </w:tcBorders>
            <w:vAlign w:val="center"/>
          </w:tcPr>
          <w:p w14:paraId="783DEA3C"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Viet Nam</w:t>
                </w:r>
              </w:smartTag>
            </w:smartTag>
          </w:p>
        </w:tc>
        <w:tc>
          <w:tcPr>
            <w:tcW w:w="1380" w:type="dxa"/>
            <w:tcBorders>
              <w:top w:val="single" w:sz="12" w:space="0" w:color="auto"/>
              <w:bottom w:val="single" w:sz="12" w:space="0" w:color="auto"/>
            </w:tcBorders>
            <w:vAlign w:val="center"/>
          </w:tcPr>
          <w:p w14:paraId="7A4FFE7F"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r w:rsidRPr="00FB39A5">
              <w:rPr>
                <w:rFonts w:ascii="Arial" w:hAnsi="Arial" w:cs="Arial"/>
                <w:b/>
                <w:bCs/>
                <w:color w:val="000000"/>
                <w:sz w:val="18"/>
                <w:szCs w:val="18"/>
                <w:lang w:val="en-GB"/>
              </w:rPr>
              <w:t>Regional</w:t>
            </w:r>
          </w:p>
        </w:tc>
      </w:tr>
      <w:tr w:rsidR="00FB39A5" w:rsidRPr="00FB39A5" w14:paraId="15110861" w14:textId="77777777" w:rsidTr="00FB39A5">
        <w:tblPrEx>
          <w:tblCellMar>
            <w:top w:w="0" w:type="dxa"/>
            <w:bottom w:w="0" w:type="dxa"/>
          </w:tblCellMar>
        </w:tblPrEx>
        <w:trPr>
          <w:trHeight w:val="121"/>
          <w:jc w:val="center"/>
        </w:trPr>
        <w:tc>
          <w:tcPr>
            <w:tcW w:w="3540" w:type="dxa"/>
            <w:tcBorders>
              <w:top w:val="single" w:sz="12" w:space="0" w:color="auto"/>
            </w:tcBorders>
            <w:vAlign w:val="center"/>
          </w:tcPr>
          <w:p w14:paraId="51272701"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Timber</w:t>
            </w:r>
          </w:p>
        </w:tc>
        <w:tc>
          <w:tcPr>
            <w:tcW w:w="1200" w:type="dxa"/>
            <w:tcBorders>
              <w:top w:val="single" w:sz="12" w:space="0" w:color="auto"/>
            </w:tcBorders>
            <w:vAlign w:val="center"/>
          </w:tcPr>
          <w:p w14:paraId="6610414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779.95</w:t>
            </w:r>
          </w:p>
        </w:tc>
        <w:tc>
          <w:tcPr>
            <w:tcW w:w="1320" w:type="dxa"/>
            <w:tcBorders>
              <w:top w:val="single" w:sz="12" w:space="0" w:color="auto"/>
            </w:tcBorders>
            <w:vAlign w:val="center"/>
          </w:tcPr>
          <w:p w14:paraId="18A6356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137.07</w:t>
            </w:r>
          </w:p>
        </w:tc>
        <w:tc>
          <w:tcPr>
            <w:tcW w:w="1440" w:type="dxa"/>
            <w:tcBorders>
              <w:top w:val="single" w:sz="12" w:space="0" w:color="auto"/>
            </w:tcBorders>
            <w:vAlign w:val="center"/>
          </w:tcPr>
          <w:p w14:paraId="3B5BE27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73.55</w:t>
            </w:r>
          </w:p>
        </w:tc>
        <w:tc>
          <w:tcPr>
            <w:tcW w:w="1440" w:type="dxa"/>
            <w:tcBorders>
              <w:top w:val="single" w:sz="12" w:space="0" w:color="auto"/>
            </w:tcBorders>
            <w:vAlign w:val="center"/>
          </w:tcPr>
          <w:p w14:paraId="4F0B1F6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9.59</w:t>
            </w:r>
          </w:p>
        </w:tc>
        <w:tc>
          <w:tcPr>
            <w:tcW w:w="1200" w:type="dxa"/>
            <w:tcBorders>
              <w:top w:val="single" w:sz="12" w:space="0" w:color="auto"/>
            </w:tcBorders>
            <w:vAlign w:val="center"/>
          </w:tcPr>
          <w:p w14:paraId="78C1AE0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202.67</w:t>
            </w:r>
          </w:p>
        </w:tc>
        <w:tc>
          <w:tcPr>
            <w:tcW w:w="1320" w:type="dxa"/>
            <w:tcBorders>
              <w:top w:val="single" w:sz="12" w:space="0" w:color="auto"/>
            </w:tcBorders>
            <w:vAlign w:val="center"/>
          </w:tcPr>
          <w:p w14:paraId="393D3D8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tcBorders>
              <w:top w:val="single" w:sz="12" w:space="0" w:color="auto"/>
            </w:tcBorders>
            <w:vAlign w:val="center"/>
          </w:tcPr>
          <w:p w14:paraId="7D6EEDF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10.91</w:t>
            </w:r>
          </w:p>
        </w:tc>
        <w:tc>
          <w:tcPr>
            <w:tcW w:w="1380" w:type="dxa"/>
            <w:tcBorders>
              <w:top w:val="single" w:sz="12" w:space="0" w:color="auto"/>
            </w:tcBorders>
            <w:vAlign w:val="center"/>
          </w:tcPr>
          <w:p w14:paraId="23ABE8DC"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73.45</w:t>
            </w:r>
          </w:p>
        </w:tc>
      </w:tr>
      <w:tr w:rsidR="00FB39A5" w:rsidRPr="00FB39A5" w14:paraId="2EC08E4D" w14:textId="77777777" w:rsidTr="00FB39A5">
        <w:tblPrEx>
          <w:tblCellMar>
            <w:top w:w="0" w:type="dxa"/>
            <w:bottom w:w="0" w:type="dxa"/>
          </w:tblCellMar>
        </w:tblPrEx>
        <w:trPr>
          <w:trHeight w:val="85"/>
          <w:jc w:val="center"/>
        </w:trPr>
        <w:tc>
          <w:tcPr>
            <w:tcW w:w="3540" w:type="dxa"/>
            <w:vAlign w:val="center"/>
          </w:tcPr>
          <w:p w14:paraId="497B3D84"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Firewood</w:t>
            </w:r>
          </w:p>
        </w:tc>
        <w:tc>
          <w:tcPr>
            <w:tcW w:w="1200" w:type="dxa"/>
            <w:vAlign w:val="center"/>
          </w:tcPr>
          <w:p w14:paraId="17F3C75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17.35</w:t>
            </w:r>
          </w:p>
        </w:tc>
        <w:tc>
          <w:tcPr>
            <w:tcW w:w="1320" w:type="dxa"/>
            <w:vAlign w:val="center"/>
          </w:tcPr>
          <w:p w14:paraId="7E33655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14C49E4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65.06</w:t>
            </w:r>
          </w:p>
        </w:tc>
        <w:tc>
          <w:tcPr>
            <w:tcW w:w="1440" w:type="dxa"/>
            <w:vAlign w:val="center"/>
          </w:tcPr>
          <w:p w14:paraId="55F9605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5AF0B85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84.21</w:t>
            </w:r>
          </w:p>
        </w:tc>
        <w:tc>
          <w:tcPr>
            <w:tcW w:w="1320" w:type="dxa"/>
            <w:vAlign w:val="center"/>
          </w:tcPr>
          <w:p w14:paraId="5FDC2B2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106.80</w:t>
            </w:r>
          </w:p>
        </w:tc>
        <w:tc>
          <w:tcPr>
            <w:tcW w:w="1200" w:type="dxa"/>
            <w:vAlign w:val="center"/>
          </w:tcPr>
          <w:p w14:paraId="1C6F8F2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242.63</w:t>
            </w:r>
          </w:p>
        </w:tc>
        <w:tc>
          <w:tcPr>
            <w:tcW w:w="1380" w:type="dxa"/>
            <w:vAlign w:val="center"/>
          </w:tcPr>
          <w:p w14:paraId="7ED439F6"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2.08</w:t>
            </w:r>
          </w:p>
        </w:tc>
      </w:tr>
      <w:tr w:rsidR="00FB39A5" w:rsidRPr="00FB39A5" w14:paraId="46B8C652" w14:textId="77777777" w:rsidTr="00FB39A5">
        <w:tblPrEx>
          <w:tblCellMar>
            <w:top w:w="0" w:type="dxa"/>
            <w:bottom w:w="0" w:type="dxa"/>
          </w:tblCellMar>
        </w:tblPrEx>
        <w:trPr>
          <w:trHeight w:val="85"/>
          <w:jc w:val="center"/>
        </w:trPr>
        <w:tc>
          <w:tcPr>
            <w:tcW w:w="3540" w:type="dxa"/>
            <w:vAlign w:val="center"/>
          </w:tcPr>
          <w:p w14:paraId="2C1FE43C"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Poles</w:t>
            </w:r>
          </w:p>
        </w:tc>
        <w:tc>
          <w:tcPr>
            <w:tcW w:w="1200" w:type="dxa"/>
            <w:vAlign w:val="center"/>
          </w:tcPr>
          <w:p w14:paraId="5E83977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795720A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1E8D624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30FFA73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5ABFB58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2.34</w:t>
            </w:r>
          </w:p>
        </w:tc>
        <w:tc>
          <w:tcPr>
            <w:tcW w:w="1320" w:type="dxa"/>
            <w:vAlign w:val="center"/>
          </w:tcPr>
          <w:p w14:paraId="07A3411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1D04519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49BBDA76"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0.06</w:t>
            </w:r>
          </w:p>
        </w:tc>
      </w:tr>
      <w:tr w:rsidR="00FB39A5" w:rsidRPr="00FB39A5" w14:paraId="2079DBCA" w14:textId="77777777" w:rsidTr="00FB39A5">
        <w:tblPrEx>
          <w:tblCellMar>
            <w:top w:w="0" w:type="dxa"/>
            <w:bottom w:w="0" w:type="dxa"/>
          </w:tblCellMar>
        </w:tblPrEx>
        <w:trPr>
          <w:trHeight w:val="85"/>
          <w:jc w:val="center"/>
        </w:trPr>
        <w:tc>
          <w:tcPr>
            <w:tcW w:w="3540" w:type="dxa"/>
            <w:vAlign w:val="center"/>
          </w:tcPr>
          <w:p w14:paraId="399D0F62"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Charcoal</w:t>
            </w:r>
          </w:p>
        </w:tc>
        <w:tc>
          <w:tcPr>
            <w:tcW w:w="1200" w:type="dxa"/>
            <w:vAlign w:val="center"/>
          </w:tcPr>
          <w:p w14:paraId="5963E30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71.39</w:t>
            </w:r>
          </w:p>
        </w:tc>
        <w:tc>
          <w:tcPr>
            <w:tcW w:w="1320" w:type="dxa"/>
            <w:vAlign w:val="center"/>
          </w:tcPr>
          <w:p w14:paraId="6809D89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5CC5F5A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15.85</w:t>
            </w:r>
          </w:p>
        </w:tc>
        <w:tc>
          <w:tcPr>
            <w:tcW w:w="1440" w:type="dxa"/>
            <w:vAlign w:val="center"/>
          </w:tcPr>
          <w:p w14:paraId="316E3D1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6D29ABD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0.92</w:t>
            </w:r>
          </w:p>
        </w:tc>
        <w:tc>
          <w:tcPr>
            <w:tcW w:w="1320" w:type="dxa"/>
            <w:vAlign w:val="center"/>
          </w:tcPr>
          <w:p w14:paraId="72B30C5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2.42</w:t>
            </w:r>
          </w:p>
        </w:tc>
        <w:tc>
          <w:tcPr>
            <w:tcW w:w="1200" w:type="dxa"/>
            <w:vAlign w:val="center"/>
          </w:tcPr>
          <w:p w14:paraId="59ED0AF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75CBA4B0"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0.43</w:t>
            </w:r>
          </w:p>
        </w:tc>
      </w:tr>
      <w:tr w:rsidR="00FB39A5" w:rsidRPr="00FB39A5" w14:paraId="3C6D8D67" w14:textId="77777777" w:rsidTr="00FB39A5">
        <w:tblPrEx>
          <w:tblCellMar>
            <w:top w:w="0" w:type="dxa"/>
            <w:bottom w:w="0" w:type="dxa"/>
          </w:tblCellMar>
        </w:tblPrEx>
        <w:trPr>
          <w:trHeight w:val="85"/>
          <w:jc w:val="center"/>
        </w:trPr>
        <w:tc>
          <w:tcPr>
            <w:tcW w:w="3540" w:type="dxa"/>
            <w:vAlign w:val="center"/>
          </w:tcPr>
          <w:p w14:paraId="7DF1A4ED"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Leaves/palm fronds (Thatch, fodder)</w:t>
            </w:r>
          </w:p>
        </w:tc>
        <w:tc>
          <w:tcPr>
            <w:tcW w:w="1200" w:type="dxa"/>
            <w:vAlign w:val="center"/>
          </w:tcPr>
          <w:p w14:paraId="3A51226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13.66</w:t>
            </w:r>
          </w:p>
        </w:tc>
        <w:tc>
          <w:tcPr>
            <w:tcW w:w="1320" w:type="dxa"/>
            <w:vAlign w:val="center"/>
          </w:tcPr>
          <w:p w14:paraId="55A2225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480C115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1200FC4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4ADA53C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1.93</w:t>
            </w:r>
          </w:p>
        </w:tc>
        <w:tc>
          <w:tcPr>
            <w:tcW w:w="1320" w:type="dxa"/>
            <w:vAlign w:val="center"/>
          </w:tcPr>
          <w:p w14:paraId="34CCF76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363BD26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30049FA7"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0.27</w:t>
            </w:r>
          </w:p>
        </w:tc>
      </w:tr>
      <w:tr w:rsidR="00FB39A5" w:rsidRPr="00FB39A5" w14:paraId="0ED4306C" w14:textId="77777777" w:rsidTr="00FB39A5">
        <w:tblPrEx>
          <w:tblCellMar>
            <w:top w:w="0" w:type="dxa"/>
            <w:bottom w:w="0" w:type="dxa"/>
          </w:tblCellMar>
        </w:tblPrEx>
        <w:trPr>
          <w:trHeight w:val="85"/>
          <w:jc w:val="center"/>
        </w:trPr>
        <w:tc>
          <w:tcPr>
            <w:tcW w:w="3540" w:type="dxa"/>
            <w:vAlign w:val="center"/>
          </w:tcPr>
          <w:p w14:paraId="51D68A0C"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Fruit/propagules</w:t>
            </w:r>
          </w:p>
        </w:tc>
        <w:tc>
          <w:tcPr>
            <w:tcW w:w="1200" w:type="dxa"/>
            <w:vAlign w:val="center"/>
          </w:tcPr>
          <w:p w14:paraId="2E7AE23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3B44915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100.78</w:t>
            </w:r>
          </w:p>
        </w:tc>
        <w:tc>
          <w:tcPr>
            <w:tcW w:w="1440" w:type="dxa"/>
            <w:vAlign w:val="center"/>
          </w:tcPr>
          <w:p w14:paraId="5087EBF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0974B2F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5D02326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385370C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74197AD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1089BAE9"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0.59</w:t>
            </w:r>
          </w:p>
        </w:tc>
      </w:tr>
      <w:tr w:rsidR="00FB39A5" w:rsidRPr="00FB39A5" w14:paraId="7E9D8592" w14:textId="77777777" w:rsidTr="00FB39A5">
        <w:tblPrEx>
          <w:tblCellMar>
            <w:top w:w="0" w:type="dxa"/>
            <w:bottom w:w="0" w:type="dxa"/>
          </w:tblCellMar>
        </w:tblPrEx>
        <w:trPr>
          <w:trHeight w:val="85"/>
          <w:jc w:val="center"/>
        </w:trPr>
        <w:tc>
          <w:tcPr>
            <w:tcW w:w="3540" w:type="dxa"/>
            <w:vAlign w:val="center"/>
          </w:tcPr>
          <w:p w14:paraId="7D52666A"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Bark (tanning &amp; dyes)</w:t>
            </w:r>
          </w:p>
        </w:tc>
        <w:tc>
          <w:tcPr>
            <w:tcW w:w="1200" w:type="dxa"/>
            <w:vAlign w:val="center"/>
          </w:tcPr>
          <w:p w14:paraId="5D2FDFC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10A8A51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30D24E5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0F14BB3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295F3C1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45913C0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6FB80A0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02652DDF"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0.00</w:t>
            </w:r>
          </w:p>
        </w:tc>
      </w:tr>
      <w:tr w:rsidR="00FB39A5" w:rsidRPr="00FB39A5" w14:paraId="756677E9" w14:textId="77777777" w:rsidTr="00FB39A5">
        <w:tblPrEx>
          <w:tblCellMar>
            <w:top w:w="0" w:type="dxa"/>
            <w:bottom w:w="0" w:type="dxa"/>
          </w:tblCellMar>
        </w:tblPrEx>
        <w:trPr>
          <w:trHeight w:val="85"/>
          <w:jc w:val="center"/>
        </w:trPr>
        <w:tc>
          <w:tcPr>
            <w:tcW w:w="3540" w:type="dxa"/>
            <w:vAlign w:val="center"/>
          </w:tcPr>
          <w:p w14:paraId="7C1A2FC5"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Medicine</w:t>
            </w:r>
          </w:p>
        </w:tc>
        <w:tc>
          <w:tcPr>
            <w:tcW w:w="1200" w:type="dxa"/>
            <w:vAlign w:val="center"/>
          </w:tcPr>
          <w:p w14:paraId="13A7818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1C21776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4AEE965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238.31</w:t>
            </w:r>
          </w:p>
        </w:tc>
        <w:tc>
          <w:tcPr>
            <w:tcW w:w="1440" w:type="dxa"/>
            <w:vAlign w:val="center"/>
          </w:tcPr>
          <w:p w14:paraId="3E096A7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0A46CE5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5966E1C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5AEF968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346DDA8F"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172.52</w:t>
            </w:r>
          </w:p>
        </w:tc>
      </w:tr>
      <w:tr w:rsidR="00FB39A5" w:rsidRPr="00FB39A5" w14:paraId="0E9EDE42" w14:textId="77777777" w:rsidTr="00FB39A5">
        <w:tblPrEx>
          <w:tblCellMar>
            <w:top w:w="0" w:type="dxa"/>
            <w:bottom w:w="0" w:type="dxa"/>
          </w:tblCellMar>
        </w:tblPrEx>
        <w:trPr>
          <w:trHeight w:val="85"/>
          <w:jc w:val="center"/>
        </w:trPr>
        <w:tc>
          <w:tcPr>
            <w:tcW w:w="3540" w:type="dxa"/>
            <w:vAlign w:val="center"/>
          </w:tcPr>
          <w:p w14:paraId="77132F49" w14:textId="77777777" w:rsidR="00FB39A5" w:rsidRPr="00B62FD7" w:rsidRDefault="00FB39A5" w:rsidP="00FB39A5">
            <w:pPr>
              <w:autoSpaceDE w:val="0"/>
              <w:autoSpaceDN w:val="0"/>
              <w:adjustRightInd w:val="0"/>
              <w:jc w:val="both"/>
              <w:rPr>
                <w:rFonts w:ascii="Arial" w:hAnsi="Arial" w:cs="Arial"/>
                <w:b/>
                <w:bCs/>
                <w:color w:val="000000"/>
                <w:sz w:val="16"/>
                <w:szCs w:val="16"/>
                <w:lang w:val="pt-BR"/>
              </w:rPr>
            </w:pPr>
            <w:r w:rsidRPr="00B62FD7">
              <w:rPr>
                <w:rFonts w:ascii="Arial" w:hAnsi="Arial" w:cs="Arial"/>
                <w:b/>
                <w:bCs/>
                <w:color w:val="000000"/>
                <w:sz w:val="16"/>
                <w:szCs w:val="16"/>
                <w:lang w:val="pt-BR"/>
              </w:rPr>
              <w:t>Sap (sugar, alcohol, Acetic acid)</w:t>
            </w:r>
          </w:p>
        </w:tc>
        <w:tc>
          <w:tcPr>
            <w:tcW w:w="1200" w:type="dxa"/>
            <w:vAlign w:val="center"/>
          </w:tcPr>
          <w:p w14:paraId="3609F74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3760776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0AD2442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3F8D3E7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28A170A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546CB82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69E25E9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2C533181"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0.00</w:t>
            </w:r>
          </w:p>
        </w:tc>
      </w:tr>
      <w:tr w:rsidR="00FB39A5" w:rsidRPr="00FB39A5" w14:paraId="35D0C040" w14:textId="77777777" w:rsidTr="00FB39A5">
        <w:tblPrEx>
          <w:tblCellMar>
            <w:top w:w="0" w:type="dxa"/>
            <w:bottom w:w="0" w:type="dxa"/>
          </w:tblCellMar>
        </w:tblPrEx>
        <w:trPr>
          <w:trHeight w:val="85"/>
          <w:jc w:val="center"/>
        </w:trPr>
        <w:tc>
          <w:tcPr>
            <w:tcW w:w="3540" w:type="dxa"/>
            <w:vAlign w:val="center"/>
          </w:tcPr>
          <w:p w14:paraId="7FC14CE2"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Wood tar</w:t>
            </w:r>
          </w:p>
        </w:tc>
        <w:tc>
          <w:tcPr>
            <w:tcW w:w="1200" w:type="dxa"/>
            <w:vAlign w:val="center"/>
          </w:tcPr>
          <w:p w14:paraId="35AF822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2921A66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0AFA98A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4ABE746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0784E02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0F96E86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2B5E2A1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568134BB"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0.00</w:t>
            </w:r>
          </w:p>
        </w:tc>
      </w:tr>
      <w:tr w:rsidR="00FB39A5" w:rsidRPr="00FB39A5" w14:paraId="1C81A731" w14:textId="77777777" w:rsidTr="00FB39A5">
        <w:tblPrEx>
          <w:tblCellMar>
            <w:top w:w="0" w:type="dxa"/>
            <w:bottom w:w="0" w:type="dxa"/>
          </w:tblCellMar>
        </w:tblPrEx>
        <w:trPr>
          <w:trHeight w:val="85"/>
          <w:jc w:val="center"/>
        </w:trPr>
        <w:tc>
          <w:tcPr>
            <w:tcW w:w="3540" w:type="dxa"/>
            <w:vAlign w:val="center"/>
          </w:tcPr>
          <w:p w14:paraId="246C3AAF"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Fish capture</w:t>
            </w:r>
          </w:p>
        </w:tc>
        <w:tc>
          <w:tcPr>
            <w:tcW w:w="1200" w:type="dxa"/>
            <w:vAlign w:val="center"/>
          </w:tcPr>
          <w:p w14:paraId="6714007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056304F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186.29</w:t>
            </w:r>
          </w:p>
        </w:tc>
        <w:tc>
          <w:tcPr>
            <w:tcW w:w="1440" w:type="dxa"/>
            <w:vAlign w:val="center"/>
          </w:tcPr>
          <w:p w14:paraId="42C1430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281.88</w:t>
            </w:r>
          </w:p>
        </w:tc>
        <w:tc>
          <w:tcPr>
            <w:tcW w:w="1440" w:type="dxa"/>
            <w:vAlign w:val="center"/>
          </w:tcPr>
          <w:p w14:paraId="0B3452B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7155BF5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160.89</w:t>
            </w:r>
          </w:p>
        </w:tc>
        <w:tc>
          <w:tcPr>
            <w:tcW w:w="1320" w:type="dxa"/>
            <w:vAlign w:val="center"/>
          </w:tcPr>
          <w:p w14:paraId="0199974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206.88</w:t>
            </w:r>
          </w:p>
        </w:tc>
        <w:tc>
          <w:tcPr>
            <w:tcW w:w="1200" w:type="dxa"/>
            <w:vAlign w:val="center"/>
          </w:tcPr>
          <w:p w14:paraId="7C4CC38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200.41</w:t>
            </w:r>
          </w:p>
        </w:tc>
        <w:tc>
          <w:tcPr>
            <w:tcW w:w="1380" w:type="dxa"/>
            <w:vAlign w:val="center"/>
          </w:tcPr>
          <w:p w14:paraId="27F5D1E3"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230.64</w:t>
            </w:r>
          </w:p>
        </w:tc>
      </w:tr>
      <w:tr w:rsidR="00FB39A5" w:rsidRPr="00FB39A5" w14:paraId="4809F6A6" w14:textId="77777777" w:rsidTr="00FB39A5">
        <w:tblPrEx>
          <w:tblCellMar>
            <w:top w:w="0" w:type="dxa"/>
            <w:bottom w:w="0" w:type="dxa"/>
          </w:tblCellMar>
        </w:tblPrEx>
        <w:trPr>
          <w:trHeight w:val="85"/>
          <w:jc w:val="center"/>
        </w:trPr>
        <w:tc>
          <w:tcPr>
            <w:tcW w:w="3540" w:type="dxa"/>
            <w:vAlign w:val="center"/>
          </w:tcPr>
          <w:p w14:paraId="34F7BF58"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Fish fry</w:t>
            </w:r>
          </w:p>
        </w:tc>
        <w:tc>
          <w:tcPr>
            <w:tcW w:w="1200" w:type="dxa"/>
            <w:vAlign w:val="center"/>
          </w:tcPr>
          <w:p w14:paraId="1F7463D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4F26226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05022B8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47.07</w:t>
            </w:r>
          </w:p>
        </w:tc>
        <w:tc>
          <w:tcPr>
            <w:tcW w:w="1440" w:type="dxa"/>
            <w:vAlign w:val="center"/>
          </w:tcPr>
          <w:p w14:paraId="3F4C7B5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7423786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0FCF57D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51.11</w:t>
            </w:r>
          </w:p>
        </w:tc>
        <w:tc>
          <w:tcPr>
            <w:tcW w:w="1200" w:type="dxa"/>
            <w:vAlign w:val="center"/>
          </w:tcPr>
          <w:p w14:paraId="206AC61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3B3DAC5B"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37.43</w:t>
            </w:r>
          </w:p>
        </w:tc>
      </w:tr>
      <w:tr w:rsidR="00FB39A5" w:rsidRPr="00FB39A5" w14:paraId="6C1AFF14" w14:textId="77777777" w:rsidTr="00FB39A5">
        <w:tblPrEx>
          <w:tblCellMar>
            <w:top w:w="0" w:type="dxa"/>
            <w:bottom w:w="0" w:type="dxa"/>
          </w:tblCellMar>
        </w:tblPrEx>
        <w:trPr>
          <w:trHeight w:val="85"/>
          <w:jc w:val="center"/>
        </w:trPr>
        <w:tc>
          <w:tcPr>
            <w:tcW w:w="3540" w:type="dxa"/>
            <w:vAlign w:val="center"/>
          </w:tcPr>
          <w:p w14:paraId="4148251B"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Eels</w:t>
            </w:r>
          </w:p>
        </w:tc>
        <w:tc>
          <w:tcPr>
            <w:tcW w:w="1200" w:type="dxa"/>
            <w:vAlign w:val="center"/>
          </w:tcPr>
          <w:p w14:paraId="07C45EB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1373620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4C83CF6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41.39</w:t>
            </w:r>
          </w:p>
        </w:tc>
        <w:tc>
          <w:tcPr>
            <w:tcW w:w="1440" w:type="dxa"/>
            <w:vAlign w:val="center"/>
          </w:tcPr>
          <w:p w14:paraId="77B872B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7A16B21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53BA4EA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2D684F1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15AEC07C"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30.21</w:t>
            </w:r>
          </w:p>
        </w:tc>
      </w:tr>
      <w:tr w:rsidR="00FB39A5" w:rsidRPr="00FB39A5" w14:paraId="6E677D4C" w14:textId="77777777" w:rsidTr="00FB39A5">
        <w:tblPrEx>
          <w:tblCellMar>
            <w:top w:w="0" w:type="dxa"/>
            <w:bottom w:w="0" w:type="dxa"/>
          </w:tblCellMar>
        </w:tblPrEx>
        <w:trPr>
          <w:trHeight w:val="85"/>
          <w:jc w:val="center"/>
        </w:trPr>
        <w:tc>
          <w:tcPr>
            <w:tcW w:w="3540" w:type="dxa"/>
            <w:vAlign w:val="center"/>
          </w:tcPr>
          <w:p w14:paraId="62B89EA5"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Crab capture</w:t>
            </w:r>
          </w:p>
        </w:tc>
        <w:tc>
          <w:tcPr>
            <w:tcW w:w="1200" w:type="dxa"/>
            <w:vAlign w:val="center"/>
          </w:tcPr>
          <w:p w14:paraId="5FAB0DD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403F9CA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200.39</w:t>
            </w:r>
          </w:p>
        </w:tc>
        <w:tc>
          <w:tcPr>
            <w:tcW w:w="1440" w:type="dxa"/>
            <w:vAlign w:val="center"/>
          </w:tcPr>
          <w:p w14:paraId="636A2D9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266.67</w:t>
            </w:r>
          </w:p>
        </w:tc>
        <w:tc>
          <w:tcPr>
            <w:tcW w:w="1440" w:type="dxa"/>
            <w:vAlign w:val="center"/>
          </w:tcPr>
          <w:p w14:paraId="7B6452D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52CB29D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12.52</w:t>
            </w:r>
          </w:p>
        </w:tc>
        <w:tc>
          <w:tcPr>
            <w:tcW w:w="1320" w:type="dxa"/>
            <w:vAlign w:val="center"/>
          </w:tcPr>
          <w:p w14:paraId="57121E2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22.38</w:t>
            </w:r>
          </w:p>
        </w:tc>
        <w:tc>
          <w:tcPr>
            <w:tcW w:w="1200" w:type="dxa"/>
            <w:vAlign w:val="center"/>
          </w:tcPr>
          <w:p w14:paraId="6D1BF60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64BAD418"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199.46</w:t>
            </w:r>
          </w:p>
        </w:tc>
      </w:tr>
      <w:tr w:rsidR="00FB39A5" w:rsidRPr="00FB39A5" w14:paraId="36BE5339" w14:textId="77777777" w:rsidTr="00FB39A5">
        <w:tblPrEx>
          <w:tblCellMar>
            <w:top w:w="0" w:type="dxa"/>
            <w:bottom w:w="0" w:type="dxa"/>
          </w:tblCellMar>
        </w:tblPrEx>
        <w:trPr>
          <w:trHeight w:val="85"/>
          <w:jc w:val="center"/>
        </w:trPr>
        <w:tc>
          <w:tcPr>
            <w:tcW w:w="3540" w:type="dxa"/>
            <w:vAlign w:val="center"/>
          </w:tcPr>
          <w:p w14:paraId="133ED1FC"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Prawn capture</w:t>
            </w:r>
          </w:p>
        </w:tc>
        <w:tc>
          <w:tcPr>
            <w:tcW w:w="1200" w:type="dxa"/>
            <w:vAlign w:val="center"/>
          </w:tcPr>
          <w:p w14:paraId="6C0A704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678376A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135.11</w:t>
            </w:r>
          </w:p>
        </w:tc>
        <w:tc>
          <w:tcPr>
            <w:tcW w:w="1440" w:type="dxa"/>
            <w:vAlign w:val="center"/>
          </w:tcPr>
          <w:p w14:paraId="396B59C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272.33</w:t>
            </w:r>
          </w:p>
        </w:tc>
        <w:tc>
          <w:tcPr>
            <w:tcW w:w="1440" w:type="dxa"/>
            <w:vAlign w:val="center"/>
          </w:tcPr>
          <w:p w14:paraId="666100B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32652DE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11.01</w:t>
            </w:r>
          </w:p>
        </w:tc>
        <w:tc>
          <w:tcPr>
            <w:tcW w:w="1320" w:type="dxa"/>
            <w:vAlign w:val="center"/>
          </w:tcPr>
          <w:p w14:paraId="6E9E739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149.57</w:t>
            </w:r>
          </w:p>
        </w:tc>
        <w:tc>
          <w:tcPr>
            <w:tcW w:w="1200" w:type="dxa"/>
            <w:vAlign w:val="center"/>
          </w:tcPr>
          <w:p w14:paraId="4FC674E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0B7F892E"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210.19</w:t>
            </w:r>
          </w:p>
        </w:tc>
      </w:tr>
      <w:tr w:rsidR="00FB39A5" w:rsidRPr="00FB39A5" w14:paraId="5ACB5B85" w14:textId="77777777" w:rsidTr="00FB39A5">
        <w:tblPrEx>
          <w:tblCellMar>
            <w:top w:w="0" w:type="dxa"/>
            <w:bottom w:w="0" w:type="dxa"/>
          </w:tblCellMar>
        </w:tblPrEx>
        <w:trPr>
          <w:trHeight w:val="85"/>
          <w:jc w:val="center"/>
        </w:trPr>
        <w:tc>
          <w:tcPr>
            <w:tcW w:w="3540" w:type="dxa"/>
            <w:vAlign w:val="center"/>
          </w:tcPr>
          <w:p w14:paraId="3E8B7D4F"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Shellfish collection</w:t>
            </w:r>
          </w:p>
        </w:tc>
        <w:tc>
          <w:tcPr>
            <w:tcW w:w="1200" w:type="dxa"/>
            <w:vAlign w:val="center"/>
          </w:tcPr>
          <w:p w14:paraId="0853241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789CE29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1,153.82</w:t>
            </w:r>
          </w:p>
        </w:tc>
        <w:tc>
          <w:tcPr>
            <w:tcW w:w="1440" w:type="dxa"/>
            <w:vAlign w:val="center"/>
          </w:tcPr>
          <w:p w14:paraId="35ACCEC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18.83</w:t>
            </w:r>
          </w:p>
        </w:tc>
        <w:tc>
          <w:tcPr>
            <w:tcW w:w="1440" w:type="dxa"/>
            <w:vAlign w:val="center"/>
          </w:tcPr>
          <w:p w14:paraId="4186B80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684F0D2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2.08</w:t>
            </w:r>
          </w:p>
        </w:tc>
        <w:tc>
          <w:tcPr>
            <w:tcW w:w="1320" w:type="dxa"/>
            <w:vAlign w:val="center"/>
          </w:tcPr>
          <w:p w14:paraId="3BB79F5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386.47</w:t>
            </w:r>
          </w:p>
        </w:tc>
        <w:tc>
          <w:tcPr>
            <w:tcW w:w="1200" w:type="dxa"/>
            <w:vAlign w:val="center"/>
          </w:tcPr>
          <w:p w14:paraId="0E691CE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7186C89E"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55.26</w:t>
            </w:r>
          </w:p>
        </w:tc>
      </w:tr>
      <w:tr w:rsidR="00FB39A5" w:rsidRPr="00FB39A5" w14:paraId="5B29AFBB" w14:textId="77777777" w:rsidTr="00FB39A5">
        <w:tblPrEx>
          <w:tblCellMar>
            <w:top w:w="0" w:type="dxa"/>
            <w:bottom w:w="0" w:type="dxa"/>
          </w:tblCellMar>
        </w:tblPrEx>
        <w:trPr>
          <w:trHeight w:val="85"/>
          <w:jc w:val="center"/>
        </w:trPr>
        <w:tc>
          <w:tcPr>
            <w:tcW w:w="3540" w:type="dxa"/>
            <w:vAlign w:val="center"/>
          </w:tcPr>
          <w:p w14:paraId="4682DC8D"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All Fisheries resources</w:t>
            </w:r>
          </w:p>
        </w:tc>
        <w:tc>
          <w:tcPr>
            <w:tcW w:w="1200" w:type="dxa"/>
            <w:vAlign w:val="center"/>
          </w:tcPr>
          <w:p w14:paraId="2553E1E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1E0DCB6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12413DF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6BF3A0E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3,632.95</w:t>
            </w:r>
          </w:p>
        </w:tc>
        <w:tc>
          <w:tcPr>
            <w:tcW w:w="1200" w:type="dxa"/>
            <w:vAlign w:val="center"/>
          </w:tcPr>
          <w:p w14:paraId="7C71564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2308966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1B7F8DF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077629AE"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513.54</w:t>
            </w:r>
          </w:p>
        </w:tc>
      </w:tr>
      <w:tr w:rsidR="00FB39A5" w:rsidRPr="00FB39A5" w14:paraId="4A310CAA" w14:textId="77777777" w:rsidTr="00FB39A5">
        <w:tblPrEx>
          <w:tblCellMar>
            <w:top w:w="0" w:type="dxa"/>
            <w:bottom w:w="0" w:type="dxa"/>
          </w:tblCellMar>
        </w:tblPrEx>
        <w:trPr>
          <w:trHeight w:val="85"/>
          <w:jc w:val="center"/>
        </w:trPr>
        <w:tc>
          <w:tcPr>
            <w:tcW w:w="3540" w:type="dxa"/>
            <w:vAlign w:val="center"/>
          </w:tcPr>
          <w:p w14:paraId="694789A0"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Insect and larvae collection</w:t>
            </w:r>
          </w:p>
        </w:tc>
        <w:tc>
          <w:tcPr>
            <w:tcW w:w="1200" w:type="dxa"/>
            <w:vAlign w:val="center"/>
          </w:tcPr>
          <w:p w14:paraId="7877A02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204800F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055AB77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043D03A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33C1288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143DAD1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1D2665E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65215119"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0.00</w:t>
            </w:r>
          </w:p>
        </w:tc>
      </w:tr>
      <w:tr w:rsidR="00FB39A5" w:rsidRPr="00FB39A5" w14:paraId="56D75763" w14:textId="77777777" w:rsidTr="00FB39A5">
        <w:tblPrEx>
          <w:tblCellMar>
            <w:top w:w="0" w:type="dxa"/>
            <w:bottom w:w="0" w:type="dxa"/>
          </w:tblCellMar>
        </w:tblPrEx>
        <w:trPr>
          <w:trHeight w:val="85"/>
          <w:jc w:val="center"/>
        </w:trPr>
        <w:tc>
          <w:tcPr>
            <w:tcW w:w="3540" w:type="dxa"/>
            <w:vAlign w:val="center"/>
          </w:tcPr>
          <w:p w14:paraId="56BFB4C4"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smartTag w:uri="urn:schemas-microsoft-com:office:smarttags" w:element="place">
              <w:smartTag w:uri="urn:schemas-microsoft-com:office:smarttags" w:element="City">
                <w:r w:rsidRPr="00FB39A5">
                  <w:rPr>
                    <w:rFonts w:ascii="Arial" w:hAnsi="Arial" w:cs="Arial"/>
                    <w:b/>
                    <w:bCs/>
                    <w:color w:val="000000"/>
                    <w:sz w:val="16"/>
                    <w:szCs w:val="16"/>
                    <w:lang w:val="en-GB"/>
                  </w:rPr>
                  <w:t>Worms</w:t>
                </w:r>
              </w:smartTag>
            </w:smartTag>
          </w:p>
        </w:tc>
        <w:tc>
          <w:tcPr>
            <w:tcW w:w="1200" w:type="dxa"/>
            <w:vAlign w:val="center"/>
          </w:tcPr>
          <w:p w14:paraId="1386A95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301AEB7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2,582.30</w:t>
            </w:r>
          </w:p>
        </w:tc>
        <w:tc>
          <w:tcPr>
            <w:tcW w:w="1440" w:type="dxa"/>
            <w:vAlign w:val="center"/>
          </w:tcPr>
          <w:p w14:paraId="13C7CF9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7373461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2853EA3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0.44</w:t>
            </w:r>
          </w:p>
        </w:tc>
        <w:tc>
          <w:tcPr>
            <w:tcW w:w="1320" w:type="dxa"/>
            <w:vAlign w:val="center"/>
          </w:tcPr>
          <w:p w14:paraId="364C48E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2796478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4B42A596"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40.66</w:t>
            </w:r>
          </w:p>
        </w:tc>
      </w:tr>
      <w:tr w:rsidR="00FB39A5" w:rsidRPr="00FB39A5" w14:paraId="268D342F" w14:textId="77777777" w:rsidTr="00FB39A5">
        <w:tblPrEx>
          <w:tblCellMar>
            <w:top w:w="0" w:type="dxa"/>
            <w:bottom w:w="0" w:type="dxa"/>
          </w:tblCellMar>
        </w:tblPrEx>
        <w:trPr>
          <w:trHeight w:val="85"/>
          <w:jc w:val="center"/>
        </w:trPr>
        <w:tc>
          <w:tcPr>
            <w:tcW w:w="3540" w:type="dxa"/>
            <w:vAlign w:val="center"/>
          </w:tcPr>
          <w:p w14:paraId="1E406063"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Wildlife</w:t>
            </w:r>
          </w:p>
        </w:tc>
        <w:tc>
          <w:tcPr>
            <w:tcW w:w="1200" w:type="dxa"/>
            <w:vAlign w:val="center"/>
          </w:tcPr>
          <w:p w14:paraId="26BE6D4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72727F2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2D83DC0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25.13</w:t>
            </w:r>
          </w:p>
        </w:tc>
        <w:tc>
          <w:tcPr>
            <w:tcW w:w="1440" w:type="dxa"/>
            <w:vAlign w:val="center"/>
          </w:tcPr>
          <w:p w14:paraId="369C8D2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2EDFC2C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593FE2D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02EE6C2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0FB825C2"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18.19</w:t>
            </w:r>
          </w:p>
        </w:tc>
      </w:tr>
      <w:tr w:rsidR="00FB39A5" w:rsidRPr="00FB39A5" w14:paraId="1AC2C9A4" w14:textId="77777777" w:rsidTr="00FB39A5">
        <w:tblPrEx>
          <w:tblCellMar>
            <w:top w:w="0" w:type="dxa"/>
            <w:bottom w:w="0" w:type="dxa"/>
          </w:tblCellMar>
        </w:tblPrEx>
        <w:trPr>
          <w:trHeight w:val="104"/>
          <w:jc w:val="center"/>
        </w:trPr>
        <w:tc>
          <w:tcPr>
            <w:tcW w:w="3540" w:type="dxa"/>
            <w:vAlign w:val="center"/>
          </w:tcPr>
          <w:p w14:paraId="1217BC1B"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Zooplankton</w:t>
            </w:r>
          </w:p>
        </w:tc>
        <w:tc>
          <w:tcPr>
            <w:tcW w:w="1200" w:type="dxa"/>
            <w:vAlign w:val="center"/>
          </w:tcPr>
          <w:p w14:paraId="339800C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6963534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227F658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0C659FA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31AA1CA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66196CA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786B5CB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49D21029"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0.00</w:t>
            </w:r>
          </w:p>
        </w:tc>
      </w:tr>
      <w:tr w:rsidR="00FB39A5" w:rsidRPr="00FB39A5" w14:paraId="08049445" w14:textId="77777777" w:rsidTr="00FB39A5">
        <w:tblPrEx>
          <w:tblCellMar>
            <w:top w:w="0" w:type="dxa"/>
            <w:bottom w:w="0" w:type="dxa"/>
          </w:tblCellMar>
        </w:tblPrEx>
        <w:trPr>
          <w:trHeight w:val="85"/>
          <w:jc w:val="center"/>
        </w:trPr>
        <w:tc>
          <w:tcPr>
            <w:tcW w:w="3540" w:type="dxa"/>
            <w:vAlign w:val="center"/>
          </w:tcPr>
          <w:p w14:paraId="3DBE5CC3"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Jellyfish</w:t>
            </w:r>
          </w:p>
        </w:tc>
        <w:tc>
          <w:tcPr>
            <w:tcW w:w="1200" w:type="dxa"/>
            <w:vAlign w:val="center"/>
          </w:tcPr>
          <w:p w14:paraId="4AF989E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622CD77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6D53851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3825A36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16FAEE4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3392F7C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2839323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3547368D"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0.00</w:t>
            </w:r>
          </w:p>
        </w:tc>
      </w:tr>
      <w:tr w:rsidR="00FB39A5" w:rsidRPr="00FB39A5" w14:paraId="087A0202" w14:textId="77777777" w:rsidTr="00FB39A5">
        <w:tblPrEx>
          <w:tblCellMar>
            <w:top w:w="0" w:type="dxa"/>
            <w:bottom w:w="0" w:type="dxa"/>
          </w:tblCellMar>
        </w:tblPrEx>
        <w:trPr>
          <w:trHeight w:val="85"/>
          <w:jc w:val="center"/>
        </w:trPr>
        <w:tc>
          <w:tcPr>
            <w:tcW w:w="3540" w:type="dxa"/>
            <w:vAlign w:val="center"/>
          </w:tcPr>
          <w:p w14:paraId="32B8D4C3"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Honey &amp; wax</w:t>
            </w:r>
          </w:p>
        </w:tc>
        <w:tc>
          <w:tcPr>
            <w:tcW w:w="1200" w:type="dxa"/>
            <w:vAlign w:val="center"/>
          </w:tcPr>
          <w:p w14:paraId="77C7116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2AF4ABF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0774DD2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2954AEC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30C2F0E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41A170A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696B146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4BFB7310"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0.00</w:t>
            </w:r>
          </w:p>
        </w:tc>
      </w:tr>
      <w:tr w:rsidR="00FB39A5" w:rsidRPr="00FB39A5" w14:paraId="00B8FBF5" w14:textId="77777777" w:rsidTr="00FB39A5">
        <w:tblPrEx>
          <w:tblCellMar>
            <w:top w:w="0" w:type="dxa"/>
            <w:bottom w:w="0" w:type="dxa"/>
          </w:tblCellMar>
        </w:tblPrEx>
        <w:trPr>
          <w:trHeight w:val="85"/>
          <w:jc w:val="center"/>
        </w:trPr>
        <w:tc>
          <w:tcPr>
            <w:tcW w:w="3540" w:type="dxa"/>
            <w:vAlign w:val="center"/>
          </w:tcPr>
          <w:p w14:paraId="4BABCE5C"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Algae</w:t>
            </w:r>
          </w:p>
        </w:tc>
        <w:tc>
          <w:tcPr>
            <w:tcW w:w="1200" w:type="dxa"/>
            <w:vAlign w:val="center"/>
          </w:tcPr>
          <w:p w14:paraId="19186BC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58EB684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5A0CC52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36F48D6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5EE1D4F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18B460E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5AF533F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0BD836BF"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0.00</w:t>
            </w:r>
          </w:p>
        </w:tc>
      </w:tr>
      <w:tr w:rsidR="00FB39A5" w:rsidRPr="00FB39A5" w14:paraId="3FFE4B08" w14:textId="77777777" w:rsidTr="00FB39A5">
        <w:tblPrEx>
          <w:tblCellMar>
            <w:top w:w="0" w:type="dxa"/>
            <w:bottom w:w="0" w:type="dxa"/>
          </w:tblCellMar>
        </w:tblPrEx>
        <w:trPr>
          <w:trHeight w:val="120"/>
          <w:jc w:val="center"/>
        </w:trPr>
        <w:tc>
          <w:tcPr>
            <w:tcW w:w="3540" w:type="dxa"/>
            <w:vAlign w:val="center"/>
          </w:tcPr>
          <w:p w14:paraId="53A68CD1"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Total value of goods US$ per Ha</w:t>
            </w:r>
          </w:p>
        </w:tc>
        <w:tc>
          <w:tcPr>
            <w:tcW w:w="1200" w:type="dxa"/>
            <w:vAlign w:val="center"/>
          </w:tcPr>
          <w:p w14:paraId="37750B37"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882.35</w:t>
            </w:r>
          </w:p>
        </w:tc>
        <w:tc>
          <w:tcPr>
            <w:tcW w:w="1320" w:type="dxa"/>
            <w:vAlign w:val="center"/>
          </w:tcPr>
          <w:p w14:paraId="203C0164"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4,495.76</w:t>
            </w:r>
          </w:p>
        </w:tc>
        <w:tc>
          <w:tcPr>
            <w:tcW w:w="1440" w:type="dxa"/>
            <w:vAlign w:val="center"/>
          </w:tcPr>
          <w:p w14:paraId="390E2CF3"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1,346.06</w:t>
            </w:r>
          </w:p>
        </w:tc>
        <w:tc>
          <w:tcPr>
            <w:tcW w:w="1440" w:type="dxa"/>
            <w:vAlign w:val="center"/>
          </w:tcPr>
          <w:p w14:paraId="6FDF3506"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3,642.54</w:t>
            </w:r>
          </w:p>
        </w:tc>
        <w:tc>
          <w:tcPr>
            <w:tcW w:w="1200" w:type="dxa"/>
            <w:vAlign w:val="center"/>
          </w:tcPr>
          <w:p w14:paraId="610223B5"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479.02</w:t>
            </w:r>
          </w:p>
        </w:tc>
        <w:tc>
          <w:tcPr>
            <w:tcW w:w="1320" w:type="dxa"/>
            <w:vAlign w:val="center"/>
          </w:tcPr>
          <w:p w14:paraId="2A20D2C3"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925.63</w:t>
            </w:r>
          </w:p>
        </w:tc>
        <w:tc>
          <w:tcPr>
            <w:tcW w:w="1200" w:type="dxa"/>
            <w:vAlign w:val="center"/>
          </w:tcPr>
          <w:p w14:paraId="48424DEB"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453.95</w:t>
            </w:r>
          </w:p>
        </w:tc>
        <w:tc>
          <w:tcPr>
            <w:tcW w:w="1380" w:type="dxa"/>
            <w:vAlign w:val="center"/>
          </w:tcPr>
          <w:p w14:paraId="32B40A5C"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1,584.97</w:t>
            </w:r>
          </w:p>
        </w:tc>
      </w:tr>
      <w:tr w:rsidR="00FB39A5" w:rsidRPr="00FB39A5" w14:paraId="0A66D499" w14:textId="77777777" w:rsidTr="00FB39A5">
        <w:tblPrEx>
          <w:tblCellMar>
            <w:top w:w="0" w:type="dxa"/>
            <w:bottom w:w="0" w:type="dxa"/>
          </w:tblCellMar>
        </w:tblPrEx>
        <w:trPr>
          <w:trHeight w:val="65"/>
          <w:jc w:val="center"/>
        </w:trPr>
        <w:tc>
          <w:tcPr>
            <w:tcW w:w="3540" w:type="dxa"/>
            <w:vAlign w:val="center"/>
          </w:tcPr>
          <w:p w14:paraId="1991430E" w14:textId="77777777" w:rsidR="00FB39A5" w:rsidRPr="00FB39A5" w:rsidRDefault="00FB39A5" w:rsidP="00FB39A5">
            <w:pPr>
              <w:autoSpaceDE w:val="0"/>
              <w:autoSpaceDN w:val="0"/>
              <w:adjustRightInd w:val="0"/>
              <w:jc w:val="both"/>
              <w:rPr>
                <w:rFonts w:ascii="Arial" w:hAnsi="Arial" w:cs="Arial"/>
                <w:b/>
                <w:color w:val="000000"/>
                <w:sz w:val="12"/>
                <w:szCs w:val="12"/>
                <w:lang w:val="en-GB"/>
              </w:rPr>
            </w:pPr>
          </w:p>
        </w:tc>
        <w:tc>
          <w:tcPr>
            <w:tcW w:w="1200" w:type="dxa"/>
            <w:vAlign w:val="center"/>
          </w:tcPr>
          <w:p w14:paraId="74C63F0F" w14:textId="77777777" w:rsidR="00FB39A5" w:rsidRPr="00FB39A5" w:rsidRDefault="00FB39A5" w:rsidP="00FB39A5">
            <w:pPr>
              <w:autoSpaceDE w:val="0"/>
              <w:autoSpaceDN w:val="0"/>
              <w:adjustRightInd w:val="0"/>
              <w:jc w:val="right"/>
              <w:rPr>
                <w:rFonts w:ascii="Arial" w:hAnsi="Arial" w:cs="Arial"/>
                <w:b/>
                <w:color w:val="000000"/>
                <w:sz w:val="12"/>
                <w:szCs w:val="12"/>
                <w:lang w:val="en-GB"/>
              </w:rPr>
            </w:pPr>
          </w:p>
        </w:tc>
        <w:tc>
          <w:tcPr>
            <w:tcW w:w="1320" w:type="dxa"/>
            <w:vAlign w:val="center"/>
          </w:tcPr>
          <w:p w14:paraId="746E0D85" w14:textId="77777777" w:rsidR="00FB39A5" w:rsidRPr="00FB39A5" w:rsidRDefault="00FB39A5" w:rsidP="00FB39A5">
            <w:pPr>
              <w:autoSpaceDE w:val="0"/>
              <w:autoSpaceDN w:val="0"/>
              <w:adjustRightInd w:val="0"/>
              <w:jc w:val="right"/>
              <w:rPr>
                <w:rFonts w:ascii="Arial" w:hAnsi="Arial" w:cs="Arial"/>
                <w:b/>
                <w:color w:val="000000"/>
                <w:sz w:val="12"/>
                <w:szCs w:val="12"/>
                <w:lang w:val="en-GB"/>
              </w:rPr>
            </w:pPr>
          </w:p>
        </w:tc>
        <w:tc>
          <w:tcPr>
            <w:tcW w:w="1440" w:type="dxa"/>
            <w:vAlign w:val="center"/>
          </w:tcPr>
          <w:p w14:paraId="3D0996E3" w14:textId="77777777" w:rsidR="00FB39A5" w:rsidRPr="00FB39A5" w:rsidRDefault="00FB39A5" w:rsidP="00FB39A5">
            <w:pPr>
              <w:autoSpaceDE w:val="0"/>
              <w:autoSpaceDN w:val="0"/>
              <w:adjustRightInd w:val="0"/>
              <w:jc w:val="right"/>
              <w:rPr>
                <w:rFonts w:ascii="Arial" w:hAnsi="Arial" w:cs="Arial"/>
                <w:b/>
                <w:color w:val="000000"/>
                <w:sz w:val="12"/>
                <w:szCs w:val="12"/>
                <w:lang w:val="en-GB"/>
              </w:rPr>
            </w:pPr>
          </w:p>
        </w:tc>
        <w:tc>
          <w:tcPr>
            <w:tcW w:w="1440" w:type="dxa"/>
            <w:vAlign w:val="center"/>
          </w:tcPr>
          <w:p w14:paraId="33EE47C6" w14:textId="77777777" w:rsidR="00FB39A5" w:rsidRPr="00FB39A5" w:rsidRDefault="00FB39A5" w:rsidP="00FB39A5">
            <w:pPr>
              <w:autoSpaceDE w:val="0"/>
              <w:autoSpaceDN w:val="0"/>
              <w:adjustRightInd w:val="0"/>
              <w:jc w:val="right"/>
              <w:rPr>
                <w:rFonts w:ascii="Arial" w:hAnsi="Arial" w:cs="Arial"/>
                <w:b/>
                <w:color w:val="000000"/>
                <w:sz w:val="12"/>
                <w:szCs w:val="12"/>
                <w:lang w:val="en-GB"/>
              </w:rPr>
            </w:pPr>
          </w:p>
        </w:tc>
        <w:tc>
          <w:tcPr>
            <w:tcW w:w="1200" w:type="dxa"/>
            <w:vAlign w:val="center"/>
          </w:tcPr>
          <w:p w14:paraId="57445171" w14:textId="77777777" w:rsidR="00FB39A5" w:rsidRPr="00FB39A5" w:rsidRDefault="00FB39A5" w:rsidP="00FB39A5">
            <w:pPr>
              <w:autoSpaceDE w:val="0"/>
              <w:autoSpaceDN w:val="0"/>
              <w:adjustRightInd w:val="0"/>
              <w:jc w:val="right"/>
              <w:rPr>
                <w:rFonts w:ascii="Arial" w:hAnsi="Arial" w:cs="Arial"/>
                <w:b/>
                <w:color w:val="000000"/>
                <w:sz w:val="12"/>
                <w:szCs w:val="12"/>
                <w:lang w:val="en-GB"/>
              </w:rPr>
            </w:pPr>
          </w:p>
        </w:tc>
        <w:tc>
          <w:tcPr>
            <w:tcW w:w="1320" w:type="dxa"/>
            <w:vAlign w:val="center"/>
          </w:tcPr>
          <w:p w14:paraId="72F54612" w14:textId="77777777" w:rsidR="00FB39A5" w:rsidRPr="00FB39A5" w:rsidRDefault="00FB39A5" w:rsidP="00FB39A5">
            <w:pPr>
              <w:autoSpaceDE w:val="0"/>
              <w:autoSpaceDN w:val="0"/>
              <w:adjustRightInd w:val="0"/>
              <w:jc w:val="right"/>
              <w:rPr>
                <w:rFonts w:ascii="Arial" w:hAnsi="Arial" w:cs="Arial"/>
                <w:b/>
                <w:color w:val="000000"/>
                <w:sz w:val="12"/>
                <w:szCs w:val="12"/>
                <w:lang w:val="en-GB"/>
              </w:rPr>
            </w:pPr>
          </w:p>
        </w:tc>
        <w:tc>
          <w:tcPr>
            <w:tcW w:w="1200" w:type="dxa"/>
            <w:vAlign w:val="center"/>
          </w:tcPr>
          <w:p w14:paraId="468E2191" w14:textId="77777777" w:rsidR="00FB39A5" w:rsidRPr="00FB39A5" w:rsidRDefault="00FB39A5" w:rsidP="00FB39A5">
            <w:pPr>
              <w:autoSpaceDE w:val="0"/>
              <w:autoSpaceDN w:val="0"/>
              <w:adjustRightInd w:val="0"/>
              <w:jc w:val="right"/>
              <w:rPr>
                <w:rFonts w:ascii="Arial" w:hAnsi="Arial" w:cs="Arial"/>
                <w:b/>
                <w:color w:val="000000"/>
                <w:sz w:val="12"/>
                <w:szCs w:val="12"/>
                <w:lang w:val="en-GB"/>
              </w:rPr>
            </w:pPr>
          </w:p>
        </w:tc>
        <w:tc>
          <w:tcPr>
            <w:tcW w:w="1380" w:type="dxa"/>
            <w:vAlign w:val="center"/>
          </w:tcPr>
          <w:p w14:paraId="55AA896C" w14:textId="77777777" w:rsidR="00FB39A5" w:rsidRPr="00FB39A5" w:rsidRDefault="00FB39A5" w:rsidP="00FB39A5">
            <w:pPr>
              <w:autoSpaceDE w:val="0"/>
              <w:autoSpaceDN w:val="0"/>
              <w:adjustRightInd w:val="0"/>
              <w:jc w:val="right"/>
              <w:rPr>
                <w:rFonts w:ascii="Arial" w:hAnsi="Arial" w:cs="Arial"/>
                <w:b/>
                <w:color w:val="000000"/>
                <w:sz w:val="12"/>
                <w:szCs w:val="12"/>
                <w:lang w:val="en-GB"/>
              </w:rPr>
            </w:pPr>
          </w:p>
        </w:tc>
      </w:tr>
      <w:tr w:rsidR="00FB39A5" w:rsidRPr="00FB39A5" w14:paraId="77862998" w14:textId="77777777" w:rsidTr="00FB39A5">
        <w:tblPrEx>
          <w:tblCellMar>
            <w:top w:w="0" w:type="dxa"/>
            <w:bottom w:w="0" w:type="dxa"/>
          </w:tblCellMar>
        </w:tblPrEx>
        <w:trPr>
          <w:trHeight w:val="85"/>
          <w:jc w:val="center"/>
        </w:trPr>
        <w:tc>
          <w:tcPr>
            <w:tcW w:w="3540" w:type="dxa"/>
            <w:vAlign w:val="center"/>
          </w:tcPr>
          <w:p w14:paraId="25F69553" w14:textId="77777777" w:rsidR="00FB39A5" w:rsidRPr="00FB39A5" w:rsidRDefault="00FB39A5" w:rsidP="00FB39A5">
            <w:pPr>
              <w:autoSpaceDE w:val="0"/>
              <w:autoSpaceDN w:val="0"/>
              <w:adjustRightInd w:val="0"/>
              <w:jc w:val="center"/>
              <w:rPr>
                <w:rFonts w:ascii="Arial" w:hAnsi="Arial" w:cs="Arial"/>
                <w:b/>
                <w:color w:val="000000"/>
                <w:sz w:val="18"/>
                <w:szCs w:val="18"/>
                <w:lang w:val="en-GB"/>
              </w:rPr>
            </w:pPr>
            <w:r w:rsidRPr="00FB39A5">
              <w:rPr>
                <w:rFonts w:ascii="Arial" w:hAnsi="Arial" w:cs="Arial"/>
                <w:b/>
                <w:color w:val="000000"/>
                <w:sz w:val="18"/>
                <w:szCs w:val="18"/>
                <w:lang w:val="en-GB"/>
              </w:rPr>
              <w:t>Mangrove Services</w:t>
            </w:r>
          </w:p>
        </w:tc>
        <w:tc>
          <w:tcPr>
            <w:tcW w:w="1200" w:type="dxa"/>
            <w:vAlign w:val="center"/>
          </w:tcPr>
          <w:p w14:paraId="7FCB5D47"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320" w:type="dxa"/>
            <w:vAlign w:val="center"/>
          </w:tcPr>
          <w:p w14:paraId="37C65B9D"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440" w:type="dxa"/>
            <w:vAlign w:val="center"/>
          </w:tcPr>
          <w:p w14:paraId="4FB56263"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440" w:type="dxa"/>
            <w:vAlign w:val="center"/>
          </w:tcPr>
          <w:p w14:paraId="7C8C4D52"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200" w:type="dxa"/>
            <w:vAlign w:val="center"/>
          </w:tcPr>
          <w:p w14:paraId="2D7F4F6E"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320" w:type="dxa"/>
            <w:vAlign w:val="center"/>
          </w:tcPr>
          <w:p w14:paraId="0817068E"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200" w:type="dxa"/>
            <w:vAlign w:val="center"/>
          </w:tcPr>
          <w:p w14:paraId="76633605"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380" w:type="dxa"/>
            <w:vAlign w:val="center"/>
          </w:tcPr>
          <w:p w14:paraId="571C661C"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r>
      <w:tr w:rsidR="00FB39A5" w:rsidRPr="00FB39A5" w14:paraId="203F703C" w14:textId="77777777" w:rsidTr="00FB39A5">
        <w:tblPrEx>
          <w:tblCellMar>
            <w:top w:w="0" w:type="dxa"/>
            <w:bottom w:w="0" w:type="dxa"/>
          </w:tblCellMar>
        </w:tblPrEx>
        <w:trPr>
          <w:trHeight w:val="128"/>
          <w:jc w:val="center"/>
        </w:trPr>
        <w:tc>
          <w:tcPr>
            <w:tcW w:w="3540" w:type="dxa"/>
            <w:vAlign w:val="center"/>
          </w:tcPr>
          <w:p w14:paraId="70F69BDC"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Ecotourism</w:t>
            </w:r>
          </w:p>
        </w:tc>
        <w:tc>
          <w:tcPr>
            <w:tcW w:w="1200" w:type="dxa"/>
            <w:vAlign w:val="center"/>
          </w:tcPr>
          <w:p w14:paraId="3FC639A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329DFFA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7265708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59.79</w:t>
            </w:r>
          </w:p>
        </w:tc>
        <w:tc>
          <w:tcPr>
            <w:tcW w:w="1440" w:type="dxa"/>
            <w:vAlign w:val="center"/>
          </w:tcPr>
          <w:p w14:paraId="389BA49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460721A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1AA3F9B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1FAF8B5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2C825D3B"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43.28</w:t>
            </w:r>
          </w:p>
        </w:tc>
      </w:tr>
      <w:tr w:rsidR="00FB39A5" w:rsidRPr="00FB39A5" w14:paraId="6AF07AF9" w14:textId="77777777" w:rsidTr="00FB39A5">
        <w:tblPrEx>
          <w:tblCellMar>
            <w:top w:w="0" w:type="dxa"/>
            <w:bottom w:w="0" w:type="dxa"/>
          </w:tblCellMar>
        </w:tblPrEx>
        <w:trPr>
          <w:trHeight w:val="113"/>
          <w:jc w:val="center"/>
        </w:trPr>
        <w:tc>
          <w:tcPr>
            <w:tcW w:w="3540" w:type="dxa"/>
            <w:vAlign w:val="center"/>
          </w:tcPr>
          <w:p w14:paraId="3CC1726F"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Nursery Function</w:t>
            </w:r>
          </w:p>
        </w:tc>
        <w:tc>
          <w:tcPr>
            <w:tcW w:w="1200" w:type="dxa"/>
            <w:vAlign w:val="center"/>
          </w:tcPr>
          <w:p w14:paraId="644FCE7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64B153C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1,274.37</w:t>
            </w:r>
          </w:p>
        </w:tc>
        <w:tc>
          <w:tcPr>
            <w:tcW w:w="1440" w:type="dxa"/>
            <w:vAlign w:val="center"/>
          </w:tcPr>
          <w:p w14:paraId="01E8906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781.50</w:t>
            </w:r>
          </w:p>
        </w:tc>
        <w:tc>
          <w:tcPr>
            <w:tcW w:w="1440" w:type="dxa"/>
            <w:vAlign w:val="center"/>
          </w:tcPr>
          <w:p w14:paraId="51F88A5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46E0446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24AC627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0449E9D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229C8D96"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573.23</w:t>
            </w:r>
          </w:p>
        </w:tc>
      </w:tr>
      <w:tr w:rsidR="00FB39A5" w:rsidRPr="00FB39A5" w14:paraId="5125A8FE" w14:textId="77777777" w:rsidTr="00FB39A5">
        <w:tblPrEx>
          <w:tblCellMar>
            <w:top w:w="0" w:type="dxa"/>
            <w:bottom w:w="0" w:type="dxa"/>
          </w:tblCellMar>
        </w:tblPrEx>
        <w:trPr>
          <w:trHeight w:val="97"/>
          <w:jc w:val="center"/>
        </w:trPr>
        <w:tc>
          <w:tcPr>
            <w:tcW w:w="3540" w:type="dxa"/>
            <w:vAlign w:val="center"/>
          </w:tcPr>
          <w:p w14:paraId="26AA873D"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Sediment retention</w:t>
            </w:r>
          </w:p>
        </w:tc>
        <w:tc>
          <w:tcPr>
            <w:tcW w:w="1200" w:type="dxa"/>
            <w:vAlign w:val="center"/>
          </w:tcPr>
          <w:p w14:paraId="7712EE7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2C53847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11,344.56</w:t>
            </w:r>
          </w:p>
        </w:tc>
        <w:tc>
          <w:tcPr>
            <w:tcW w:w="1440" w:type="dxa"/>
            <w:vAlign w:val="center"/>
          </w:tcPr>
          <w:p w14:paraId="1B0D309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640D80D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7513D71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152EC52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3E4D329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3299CBA1"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66.43</w:t>
            </w:r>
          </w:p>
        </w:tc>
      </w:tr>
      <w:tr w:rsidR="00FB39A5" w:rsidRPr="00FB39A5" w14:paraId="282D3EF4" w14:textId="77777777" w:rsidTr="00FB39A5">
        <w:tblPrEx>
          <w:tblCellMar>
            <w:top w:w="0" w:type="dxa"/>
            <w:bottom w:w="0" w:type="dxa"/>
          </w:tblCellMar>
        </w:tblPrEx>
        <w:trPr>
          <w:trHeight w:val="85"/>
          <w:jc w:val="center"/>
        </w:trPr>
        <w:tc>
          <w:tcPr>
            <w:tcW w:w="3540" w:type="dxa"/>
            <w:vAlign w:val="center"/>
          </w:tcPr>
          <w:p w14:paraId="2CD0F962"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Coastal Protection</w:t>
            </w:r>
          </w:p>
        </w:tc>
        <w:tc>
          <w:tcPr>
            <w:tcW w:w="1200" w:type="dxa"/>
            <w:vAlign w:val="center"/>
          </w:tcPr>
          <w:p w14:paraId="67FBE7A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45F32E0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1,044.35</w:t>
            </w:r>
          </w:p>
        </w:tc>
        <w:tc>
          <w:tcPr>
            <w:tcW w:w="1440" w:type="dxa"/>
            <w:vAlign w:val="center"/>
          </w:tcPr>
          <w:p w14:paraId="1D3A01D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421.56</w:t>
            </w:r>
          </w:p>
        </w:tc>
        <w:tc>
          <w:tcPr>
            <w:tcW w:w="1440" w:type="dxa"/>
            <w:vAlign w:val="center"/>
          </w:tcPr>
          <w:p w14:paraId="55653E2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280EBFC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58E00C0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2,198.48</w:t>
            </w:r>
          </w:p>
        </w:tc>
        <w:tc>
          <w:tcPr>
            <w:tcW w:w="1200" w:type="dxa"/>
            <w:vAlign w:val="center"/>
          </w:tcPr>
          <w:p w14:paraId="263B825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5403930D"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443.85</w:t>
            </w:r>
          </w:p>
        </w:tc>
      </w:tr>
      <w:tr w:rsidR="00FB39A5" w:rsidRPr="00FB39A5" w14:paraId="30CDE309" w14:textId="77777777" w:rsidTr="00FB39A5">
        <w:tblPrEx>
          <w:tblCellMar>
            <w:top w:w="0" w:type="dxa"/>
            <w:bottom w:w="0" w:type="dxa"/>
          </w:tblCellMar>
        </w:tblPrEx>
        <w:trPr>
          <w:trHeight w:val="85"/>
          <w:jc w:val="center"/>
        </w:trPr>
        <w:tc>
          <w:tcPr>
            <w:tcW w:w="3540" w:type="dxa"/>
            <w:vAlign w:val="center"/>
          </w:tcPr>
          <w:p w14:paraId="6AD4D953"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Windbreak</w:t>
            </w:r>
          </w:p>
        </w:tc>
        <w:tc>
          <w:tcPr>
            <w:tcW w:w="1200" w:type="dxa"/>
            <w:vAlign w:val="center"/>
          </w:tcPr>
          <w:p w14:paraId="02A2385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24575C4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1,200.32</w:t>
            </w:r>
          </w:p>
        </w:tc>
        <w:tc>
          <w:tcPr>
            <w:tcW w:w="1440" w:type="dxa"/>
            <w:vAlign w:val="center"/>
          </w:tcPr>
          <w:p w14:paraId="467D173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47F0ABF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7702F14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46EF585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671C946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4E7670B0"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7.03</w:t>
            </w:r>
          </w:p>
        </w:tc>
      </w:tr>
      <w:tr w:rsidR="00FB39A5" w:rsidRPr="00FB39A5" w14:paraId="11B4DA67" w14:textId="77777777" w:rsidTr="00FB39A5">
        <w:tblPrEx>
          <w:tblCellMar>
            <w:top w:w="0" w:type="dxa"/>
            <w:bottom w:w="0" w:type="dxa"/>
          </w:tblCellMar>
        </w:tblPrEx>
        <w:trPr>
          <w:trHeight w:val="85"/>
          <w:jc w:val="center"/>
        </w:trPr>
        <w:tc>
          <w:tcPr>
            <w:tcW w:w="3540" w:type="dxa"/>
            <w:vAlign w:val="center"/>
          </w:tcPr>
          <w:p w14:paraId="658B949A"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Carbon Sequestration</w:t>
            </w:r>
          </w:p>
        </w:tc>
        <w:tc>
          <w:tcPr>
            <w:tcW w:w="1200" w:type="dxa"/>
            <w:vAlign w:val="center"/>
          </w:tcPr>
          <w:p w14:paraId="36D0CAF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0307123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326.43</w:t>
            </w:r>
          </w:p>
        </w:tc>
        <w:tc>
          <w:tcPr>
            <w:tcW w:w="1440" w:type="dxa"/>
            <w:vAlign w:val="center"/>
          </w:tcPr>
          <w:p w14:paraId="415383F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115.62</w:t>
            </w:r>
          </w:p>
        </w:tc>
        <w:tc>
          <w:tcPr>
            <w:tcW w:w="1440" w:type="dxa"/>
            <w:vAlign w:val="center"/>
          </w:tcPr>
          <w:p w14:paraId="3BFA00A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00F815C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486870F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60.40</w:t>
            </w:r>
          </w:p>
        </w:tc>
        <w:tc>
          <w:tcPr>
            <w:tcW w:w="1200" w:type="dxa"/>
            <w:vAlign w:val="center"/>
          </w:tcPr>
          <w:p w14:paraId="69C1E53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4E82F9C5"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89.26</w:t>
            </w:r>
          </w:p>
        </w:tc>
      </w:tr>
      <w:tr w:rsidR="00FB39A5" w:rsidRPr="00FB39A5" w14:paraId="4A37D54C" w14:textId="77777777" w:rsidTr="00FB39A5">
        <w:tblPrEx>
          <w:tblCellMar>
            <w:top w:w="0" w:type="dxa"/>
            <w:bottom w:w="0" w:type="dxa"/>
          </w:tblCellMar>
        </w:tblPrEx>
        <w:trPr>
          <w:trHeight w:val="85"/>
          <w:jc w:val="center"/>
        </w:trPr>
        <w:tc>
          <w:tcPr>
            <w:tcW w:w="3540" w:type="dxa"/>
            <w:vAlign w:val="center"/>
          </w:tcPr>
          <w:p w14:paraId="622B611B"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Oxygen Production</w:t>
            </w:r>
          </w:p>
        </w:tc>
        <w:tc>
          <w:tcPr>
            <w:tcW w:w="1200" w:type="dxa"/>
            <w:vAlign w:val="center"/>
          </w:tcPr>
          <w:p w14:paraId="353931C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6E37B1D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434.84</w:t>
            </w:r>
          </w:p>
        </w:tc>
        <w:tc>
          <w:tcPr>
            <w:tcW w:w="1440" w:type="dxa"/>
            <w:vAlign w:val="center"/>
          </w:tcPr>
          <w:p w14:paraId="69AEDD1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7465E1E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039732A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5A7E25D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347DF99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5FDD5CA3"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2.55</w:t>
            </w:r>
          </w:p>
        </w:tc>
      </w:tr>
      <w:tr w:rsidR="00FB39A5" w:rsidRPr="00FB39A5" w14:paraId="3E9EB8A9" w14:textId="77777777" w:rsidTr="00FB39A5">
        <w:tblPrEx>
          <w:tblCellMar>
            <w:top w:w="0" w:type="dxa"/>
            <w:bottom w:w="0" w:type="dxa"/>
          </w:tblCellMar>
        </w:tblPrEx>
        <w:trPr>
          <w:trHeight w:val="85"/>
          <w:jc w:val="center"/>
        </w:trPr>
        <w:tc>
          <w:tcPr>
            <w:tcW w:w="3540" w:type="dxa"/>
            <w:vAlign w:val="center"/>
          </w:tcPr>
          <w:p w14:paraId="5AFE96A8"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Option Value</w:t>
            </w:r>
          </w:p>
        </w:tc>
        <w:tc>
          <w:tcPr>
            <w:tcW w:w="1200" w:type="dxa"/>
            <w:vAlign w:val="center"/>
          </w:tcPr>
          <w:p w14:paraId="73E680E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6CEBD78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2EB896D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70.07</w:t>
            </w:r>
          </w:p>
        </w:tc>
        <w:tc>
          <w:tcPr>
            <w:tcW w:w="1440" w:type="dxa"/>
            <w:vAlign w:val="center"/>
          </w:tcPr>
          <w:p w14:paraId="7A7F512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015934F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56519B8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13C7916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6A223D83"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50.73</w:t>
            </w:r>
          </w:p>
        </w:tc>
      </w:tr>
      <w:tr w:rsidR="00FB39A5" w:rsidRPr="00FB39A5" w14:paraId="3D43E57C" w14:textId="77777777" w:rsidTr="00FB39A5">
        <w:tblPrEx>
          <w:tblCellMar>
            <w:top w:w="0" w:type="dxa"/>
            <w:bottom w:w="0" w:type="dxa"/>
          </w:tblCellMar>
        </w:tblPrEx>
        <w:trPr>
          <w:trHeight w:val="85"/>
          <w:jc w:val="center"/>
        </w:trPr>
        <w:tc>
          <w:tcPr>
            <w:tcW w:w="3540" w:type="dxa"/>
            <w:vAlign w:val="center"/>
          </w:tcPr>
          <w:p w14:paraId="6A1EFEB6"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Aesthetic Value</w:t>
            </w:r>
          </w:p>
        </w:tc>
        <w:tc>
          <w:tcPr>
            <w:tcW w:w="1200" w:type="dxa"/>
            <w:vAlign w:val="center"/>
          </w:tcPr>
          <w:p w14:paraId="421E8BB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28E2F87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1,866.78</w:t>
            </w:r>
          </w:p>
        </w:tc>
        <w:tc>
          <w:tcPr>
            <w:tcW w:w="1440" w:type="dxa"/>
            <w:vAlign w:val="center"/>
          </w:tcPr>
          <w:p w14:paraId="2663F42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6399879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13F320B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7139FDA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00" w:type="dxa"/>
            <w:vAlign w:val="center"/>
          </w:tcPr>
          <w:p w14:paraId="58C55B0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80" w:type="dxa"/>
            <w:vAlign w:val="center"/>
          </w:tcPr>
          <w:p w14:paraId="264196D3"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10.93</w:t>
            </w:r>
          </w:p>
        </w:tc>
      </w:tr>
      <w:tr w:rsidR="00FB39A5" w:rsidRPr="00FB39A5" w14:paraId="47854356" w14:textId="77777777" w:rsidTr="00FB39A5">
        <w:tblPrEx>
          <w:tblCellMar>
            <w:top w:w="0" w:type="dxa"/>
            <w:bottom w:w="0" w:type="dxa"/>
          </w:tblCellMar>
        </w:tblPrEx>
        <w:trPr>
          <w:trHeight w:val="85"/>
          <w:jc w:val="center"/>
        </w:trPr>
        <w:tc>
          <w:tcPr>
            <w:tcW w:w="3540" w:type="dxa"/>
            <w:vAlign w:val="center"/>
          </w:tcPr>
          <w:p w14:paraId="70C78ECD"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Total value of services US$ per Ha</w:t>
            </w:r>
          </w:p>
        </w:tc>
        <w:tc>
          <w:tcPr>
            <w:tcW w:w="1200" w:type="dxa"/>
            <w:vAlign w:val="center"/>
          </w:tcPr>
          <w:p w14:paraId="32BE36A0"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0.00</w:t>
            </w:r>
          </w:p>
        </w:tc>
        <w:tc>
          <w:tcPr>
            <w:tcW w:w="1320" w:type="dxa"/>
            <w:vAlign w:val="center"/>
          </w:tcPr>
          <w:p w14:paraId="46425E2F"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17,491.67</w:t>
            </w:r>
          </w:p>
        </w:tc>
        <w:tc>
          <w:tcPr>
            <w:tcW w:w="1440" w:type="dxa"/>
            <w:vAlign w:val="center"/>
          </w:tcPr>
          <w:p w14:paraId="7B24048B"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1,448.53</w:t>
            </w:r>
          </w:p>
        </w:tc>
        <w:tc>
          <w:tcPr>
            <w:tcW w:w="1440" w:type="dxa"/>
            <w:vAlign w:val="center"/>
          </w:tcPr>
          <w:p w14:paraId="2FCF2FAC"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0.00</w:t>
            </w:r>
          </w:p>
        </w:tc>
        <w:tc>
          <w:tcPr>
            <w:tcW w:w="1200" w:type="dxa"/>
            <w:vAlign w:val="center"/>
          </w:tcPr>
          <w:p w14:paraId="3A64B7F8"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0.00</w:t>
            </w:r>
          </w:p>
        </w:tc>
        <w:tc>
          <w:tcPr>
            <w:tcW w:w="1320" w:type="dxa"/>
            <w:vAlign w:val="center"/>
          </w:tcPr>
          <w:p w14:paraId="44F280CE"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2,258.88</w:t>
            </w:r>
          </w:p>
        </w:tc>
        <w:tc>
          <w:tcPr>
            <w:tcW w:w="1200" w:type="dxa"/>
            <w:vAlign w:val="center"/>
          </w:tcPr>
          <w:p w14:paraId="26444544"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0.00</w:t>
            </w:r>
          </w:p>
        </w:tc>
        <w:tc>
          <w:tcPr>
            <w:tcW w:w="1380" w:type="dxa"/>
            <w:vAlign w:val="center"/>
          </w:tcPr>
          <w:p w14:paraId="242200CB"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1,287.28</w:t>
            </w:r>
          </w:p>
        </w:tc>
      </w:tr>
      <w:tr w:rsidR="00FB39A5" w:rsidRPr="00FB39A5" w14:paraId="2665C92D" w14:textId="77777777" w:rsidTr="00FB39A5">
        <w:tblPrEx>
          <w:tblCellMar>
            <w:top w:w="0" w:type="dxa"/>
            <w:bottom w:w="0" w:type="dxa"/>
          </w:tblCellMar>
        </w:tblPrEx>
        <w:trPr>
          <w:trHeight w:val="102"/>
          <w:jc w:val="center"/>
        </w:trPr>
        <w:tc>
          <w:tcPr>
            <w:tcW w:w="3540" w:type="dxa"/>
            <w:vAlign w:val="center"/>
          </w:tcPr>
          <w:p w14:paraId="5E75210B" w14:textId="77777777" w:rsidR="00FB39A5" w:rsidRPr="00FB39A5" w:rsidRDefault="00FB39A5" w:rsidP="00FB39A5">
            <w:pPr>
              <w:autoSpaceDE w:val="0"/>
              <w:autoSpaceDN w:val="0"/>
              <w:adjustRightInd w:val="0"/>
              <w:jc w:val="right"/>
              <w:rPr>
                <w:rFonts w:ascii="Arial" w:hAnsi="Arial" w:cs="Arial"/>
                <w:color w:val="000000"/>
                <w:sz w:val="12"/>
                <w:szCs w:val="12"/>
                <w:lang w:val="en-GB"/>
              </w:rPr>
            </w:pPr>
          </w:p>
        </w:tc>
        <w:tc>
          <w:tcPr>
            <w:tcW w:w="1200" w:type="dxa"/>
            <w:vAlign w:val="center"/>
          </w:tcPr>
          <w:p w14:paraId="4E8184ED" w14:textId="77777777" w:rsidR="00FB39A5" w:rsidRPr="00FB39A5" w:rsidRDefault="00FB39A5" w:rsidP="00FB39A5">
            <w:pPr>
              <w:autoSpaceDE w:val="0"/>
              <w:autoSpaceDN w:val="0"/>
              <w:adjustRightInd w:val="0"/>
              <w:jc w:val="right"/>
              <w:rPr>
                <w:rFonts w:ascii="Arial" w:hAnsi="Arial" w:cs="Arial"/>
                <w:color w:val="000000"/>
                <w:sz w:val="12"/>
                <w:szCs w:val="12"/>
                <w:lang w:val="en-GB"/>
              </w:rPr>
            </w:pPr>
          </w:p>
        </w:tc>
        <w:tc>
          <w:tcPr>
            <w:tcW w:w="1320" w:type="dxa"/>
            <w:vAlign w:val="center"/>
          </w:tcPr>
          <w:p w14:paraId="59D56172" w14:textId="77777777" w:rsidR="00FB39A5" w:rsidRPr="00FB39A5" w:rsidRDefault="00FB39A5" w:rsidP="00FB39A5">
            <w:pPr>
              <w:autoSpaceDE w:val="0"/>
              <w:autoSpaceDN w:val="0"/>
              <w:adjustRightInd w:val="0"/>
              <w:jc w:val="right"/>
              <w:rPr>
                <w:rFonts w:ascii="Arial" w:hAnsi="Arial" w:cs="Arial"/>
                <w:color w:val="000000"/>
                <w:sz w:val="12"/>
                <w:szCs w:val="12"/>
                <w:lang w:val="en-GB"/>
              </w:rPr>
            </w:pPr>
          </w:p>
        </w:tc>
        <w:tc>
          <w:tcPr>
            <w:tcW w:w="1440" w:type="dxa"/>
            <w:vAlign w:val="center"/>
          </w:tcPr>
          <w:p w14:paraId="6A083B16" w14:textId="77777777" w:rsidR="00FB39A5" w:rsidRPr="00FB39A5" w:rsidRDefault="00FB39A5" w:rsidP="00FB39A5">
            <w:pPr>
              <w:autoSpaceDE w:val="0"/>
              <w:autoSpaceDN w:val="0"/>
              <w:adjustRightInd w:val="0"/>
              <w:jc w:val="right"/>
              <w:rPr>
                <w:rFonts w:ascii="Arial" w:hAnsi="Arial" w:cs="Arial"/>
                <w:color w:val="000000"/>
                <w:sz w:val="12"/>
                <w:szCs w:val="12"/>
                <w:lang w:val="en-GB"/>
              </w:rPr>
            </w:pPr>
          </w:p>
        </w:tc>
        <w:tc>
          <w:tcPr>
            <w:tcW w:w="1440" w:type="dxa"/>
            <w:vAlign w:val="center"/>
          </w:tcPr>
          <w:p w14:paraId="58CFB1AD" w14:textId="77777777" w:rsidR="00FB39A5" w:rsidRPr="00FB39A5" w:rsidRDefault="00FB39A5" w:rsidP="00FB39A5">
            <w:pPr>
              <w:autoSpaceDE w:val="0"/>
              <w:autoSpaceDN w:val="0"/>
              <w:adjustRightInd w:val="0"/>
              <w:jc w:val="right"/>
              <w:rPr>
                <w:rFonts w:ascii="Arial" w:hAnsi="Arial" w:cs="Arial"/>
                <w:color w:val="000000"/>
                <w:sz w:val="12"/>
                <w:szCs w:val="12"/>
                <w:lang w:val="en-GB"/>
              </w:rPr>
            </w:pPr>
          </w:p>
        </w:tc>
        <w:tc>
          <w:tcPr>
            <w:tcW w:w="1200" w:type="dxa"/>
            <w:vAlign w:val="center"/>
          </w:tcPr>
          <w:p w14:paraId="32E02F43" w14:textId="77777777" w:rsidR="00FB39A5" w:rsidRPr="00FB39A5" w:rsidRDefault="00FB39A5" w:rsidP="00FB39A5">
            <w:pPr>
              <w:autoSpaceDE w:val="0"/>
              <w:autoSpaceDN w:val="0"/>
              <w:adjustRightInd w:val="0"/>
              <w:jc w:val="right"/>
              <w:rPr>
                <w:rFonts w:ascii="Arial" w:hAnsi="Arial" w:cs="Arial"/>
                <w:color w:val="000000"/>
                <w:sz w:val="12"/>
                <w:szCs w:val="12"/>
                <w:lang w:val="en-GB"/>
              </w:rPr>
            </w:pPr>
          </w:p>
        </w:tc>
        <w:tc>
          <w:tcPr>
            <w:tcW w:w="1320" w:type="dxa"/>
            <w:vAlign w:val="center"/>
          </w:tcPr>
          <w:p w14:paraId="5D81E904" w14:textId="77777777" w:rsidR="00FB39A5" w:rsidRPr="00FB39A5" w:rsidRDefault="00FB39A5" w:rsidP="00FB39A5">
            <w:pPr>
              <w:autoSpaceDE w:val="0"/>
              <w:autoSpaceDN w:val="0"/>
              <w:adjustRightInd w:val="0"/>
              <w:jc w:val="right"/>
              <w:rPr>
                <w:rFonts w:ascii="Arial" w:hAnsi="Arial" w:cs="Arial"/>
                <w:color w:val="000000"/>
                <w:sz w:val="12"/>
                <w:szCs w:val="12"/>
                <w:lang w:val="en-GB"/>
              </w:rPr>
            </w:pPr>
          </w:p>
        </w:tc>
        <w:tc>
          <w:tcPr>
            <w:tcW w:w="1200" w:type="dxa"/>
            <w:vAlign w:val="center"/>
          </w:tcPr>
          <w:p w14:paraId="5BD529D3" w14:textId="77777777" w:rsidR="00FB39A5" w:rsidRPr="00FB39A5" w:rsidRDefault="00FB39A5" w:rsidP="00FB39A5">
            <w:pPr>
              <w:autoSpaceDE w:val="0"/>
              <w:autoSpaceDN w:val="0"/>
              <w:adjustRightInd w:val="0"/>
              <w:jc w:val="right"/>
              <w:rPr>
                <w:rFonts w:ascii="Arial" w:hAnsi="Arial" w:cs="Arial"/>
                <w:color w:val="000000"/>
                <w:sz w:val="12"/>
                <w:szCs w:val="12"/>
                <w:lang w:val="en-GB"/>
              </w:rPr>
            </w:pPr>
          </w:p>
        </w:tc>
        <w:tc>
          <w:tcPr>
            <w:tcW w:w="1380" w:type="dxa"/>
            <w:vAlign w:val="center"/>
          </w:tcPr>
          <w:p w14:paraId="1BB268A9" w14:textId="77777777" w:rsidR="00FB39A5" w:rsidRPr="00FB39A5" w:rsidRDefault="00FB39A5" w:rsidP="00FB39A5">
            <w:pPr>
              <w:autoSpaceDE w:val="0"/>
              <w:autoSpaceDN w:val="0"/>
              <w:adjustRightInd w:val="0"/>
              <w:jc w:val="right"/>
              <w:rPr>
                <w:rFonts w:ascii="Arial" w:hAnsi="Arial" w:cs="Arial"/>
                <w:color w:val="000000"/>
                <w:sz w:val="12"/>
                <w:szCs w:val="12"/>
                <w:lang w:val="en-GB"/>
              </w:rPr>
            </w:pPr>
          </w:p>
        </w:tc>
      </w:tr>
      <w:tr w:rsidR="00FB39A5" w:rsidRPr="00FB39A5" w14:paraId="59EC64D5" w14:textId="77777777" w:rsidTr="00FB39A5">
        <w:tblPrEx>
          <w:tblCellMar>
            <w:top w:w="0" w:type="dxa"/>
            <w:bottom w:w="0" w:type="dxa"/>
          </w:tblCellMar>
        </w:tblPrEx>
        <w:trPr>
          <w:trHeight w:val="65"/>
          <w:jc w:val="center"/>
        </w:trPr>
        <w:tc>
          <w:tcPr>
            <w:tcW w:w="3540" w:type="dxa"/>
            <w:vAlign w:val="center"/>
          </w:tcPr>
          <w:p w14:paraId="29E39C84"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Grand Total Goods and Services</w:t>
            </w:r>
          </w:p>
        </w:tc>
        <w:tc>
          <w:tcPr>
            <w:tcW w:w="1200" w:type="dxa"/>
            <w:vAlign w:val="center"/>
          </w:tcPr>
          <w:p w14:paraId="1BF82D47"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882.35</w:t>
            </w:r>
          </w:p>
        </w:tc>
        <w:tc>
          <w:tcPr>
            <w:tcW w:w="1320" w:type="dxa"/>
            <w:vAlign w:val="center"/>
          </w:tcPr>
          <w:p w14:paraId="1AEDAE8C"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21,987.43</w:t>
            </w:r>
          </w:p>
        </w:tc>
        <w:tc>
          <w:tcPr>
            <w:tcW w:w="1440" w:type="dxa"/>
            <w:vAlign w:val="center"/>
          </w:tcPr>
          <w:p w14:paraId="2B4DFBB7"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2,794.59</w:t>
            </w:r>
          </w:p>
        </w:tc>
        <w:tc>
          <w:tcPr>
            <w:tcW w:w="1440" w:type="dxa"/>
            <w:vAlign w:val="center"/>
          </w:tcPr>
          <w:p w14:paraId="69BE6090"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3,642.54</w:t>
            </w:r>
          </w:p>
        </w:tc>
        <w:tc>
          <w:tcPr>
            <w:tcW w:w="1200" w:type="dxa"/>
            <w:vAlign w:val="center"/>
          </w:tcPr>
          <w:p w14:paraId="478B6049"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479.02</w:t>
            </w:r>
          </w:p>
        </w:tc>
        <w:tc>
          <w:tcPr>
            <w:tcW w:w="1320" w:type="dxa"/>
            <w:vAlign w:val="center"/>
          </w:tcPr>
          <w:p w14:paraId="48F9A08B"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3,184.51</w:t>
            </w:r>
          </w:p>
        </w:tc>
        <w:tc>
          <w:tcPr>
            <w:tcW w:w="1200" w:type="dxa"/>
            <w:vAlign w:val="center"/>
          </w:tcPr>
          <w:p w14:paraId="2B90CE09"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453.95</w:t>
            </w:r>
          </w:p>
        </w:tc>
        <w:tc>
          <w:tcPr>
            <w:tcW w:w="1380" w:type="dxa"/>
            <w:vAlign w:val="center"/>
          </w:tcPr>
          <w:p w14:paraId="6D3D0B6E"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2,872.25</w:t>
            </w:r>
          </w:p>
        </w:tc>
      </w:tr>
      <w:tr w:rsidR="00FB39A5" w:rsidRPr="00FB39A5" w14:paraId="715D6385" w14:textId="77777777" w:rsidTr="00FB39A5">
        <w:tblPrEx>
          <w:tblCellMar>
            <w:top w:w="0" w:type="dxa"/>
            <w:bottom w:w="0" w:type="dxa"/>
          </w:tblCellMar>
        </w:tblPrEx>
        <w:trPr>
          <w:trHeight w:val="65"/>
          <w:jc w:val="center"/>
        </w:trPr>
        <w:tc>
          <w:tcPr>
            <w:tcW w:w="3540" w:type="dxa"/>
            <w:vAlign w:val="center"/>
          </w:tcPr>
          <w:p w14:paraId="5CE5328B"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Total Area of Mangrove Ha</w:t>
            </w:r>
          </w:p>
        </w:tc>
        <w:tc>
          <w:tcPr>
            <w:tcW w:w="1200" w:type="dxa"/>
            <w:vAlign w:val="center"/>
          </w:tcPr>
          <w:p w14:paraId="5FD0DF4D" w14:textId="77777777" w:rsidR="00FB39A5" w:rsidRPr="00FB39A5" w:rsidRDefault="00FB39A5" w:rsidP="00FB39A5">
            <w:pPr>
              <w:jc w:val="right"/>
              <w:rPr>
                <w:rFonts w:ascii="Arial" w:hAnsi="Arial" w:cs="Arial"/>
                <w:b/>
                <w:sz w:val="18"/>
                <w:szCs w:val="18"/>
                <w:lang w:val="en-GB"/>
              </w:rPr>
            </w:pPr>
            <w:r w:rsidRPr="00FB39A5">
              <w:rPr>
                <w:rFonts w:ascii="Arial" w:hAnsi="Arial" w:cs="Arial"/>
                <w:b/>
                <w:sz w:val="18"/>
                <w:szCs w:val="18"/>
                <w:lang w:val="en-GB"/>
              </w:rPr>
              <w:t>72,350</w:t>
            </w:r>
          </w:p>
        </w:tc>
        <w:tc>
          <w:tcPr>
            <w:tcW w:w="1320" w:type="dxa"/>
            <w:vAlign w:val="center"/>
          </w:tcPr>
          <w:p w14:paraId="6B1380E2" w14:textId="77777777" w:rsidR="00FB39A5" w:rsidRPr="00FB39A5" w:rsidRDefault="00FB39A5" w:rsidP="00FB39A5">
            <w:pPr>
              <w:jc w:val="right"/>
              <w:rPr>
                <w:rFonts w:ascii="Arial" w:hAnsi="Arial" w:cs="Arial"/>
                <w:b/>
                <w:sz w:val="18"/>
                <w:szCs w:val="18"/>
                <w:lang w:val="en-GB"/>
              </w:rPr>
            </w:pPr>
            <w:r w:rsidRPr="00FB39A5">
              <w:rPr>
                <w:rFonts w:ascii="Arial" w:hAnsi="Arial" w:cs="Arial"/>
                <w:b/>
                <w:sz w:val="18"/>
                <w:szCs w:val="18"/>
                <w:lang w:val="en-GB"/>
              </w:rPr>
              <w:t>23,446</w:t>
            </w:r>
          </w:p>
        </w:tc>
        <w:tc>
          <w:tcPr>
            <w:tcW w:w="1440" w:type="dxa"/>
            <w:vAlign w:val="center"/>
          </w:tcPr>
          <w:p w14:paraId="66445E3A" w14:textId="77777777" w:rsidR="00FB39A5" w:rsidRPr="00FB39A5" w:rsidRDefault="00FB39A5" w:rsidP="00FB39A5">
            <w:pPr>
              <w:jc w:val="right"/>
              <w:rPr>
                <w:rFonts w:ascii="Arial" w:hAnsi="Arial" w:cs="Arial"/>
                <w:b/>
                <w:sz w:val="18"/>
                <w:szCs w:val="18"/>
                <w:lang w:val="en-GB"/>
              </w:rPr>
            </w:pPr>
            <w:r w:rsidRPr="00FB39A5">
              <w:rPr>
                <w:rFonts w:ascii="Arial" w:hAnsi="Arial" w:cs="Arial"/>
                <w:b/>
                <w:sz w:val="18"/>
                <w:szCs w:val="18"/>
                <w:lang w:val="en-GB"/>
              </w:rPr>
              <w:t>934,000</w:t>
            </w:r>
          </w:p>
        </w:tc>
        <w:tc>
          <w:tcPr>
            <w:tcW w:w="1440" w:type="dxa"/>
            <w:vAlign w:val="center"/>
          </w:tcPr>
          <w:p w14:paraId="67DFC849" w14:textId="77777777" w:rsidR="00FB39A5" w:rsidRPr="00FB39A5" w:rsidRDefault="00FB39A5" w:rsidP="00FB39A5">
            <w:pPr>
              <w:jc w:val="right"/>
              <w:rPr>
                <w:rFonts w:ascii="Arial" w:hAnsi="Arial" w:cs="Arial"/>
                <w:b/>
                <w:sz w:val="18"/>
                <w:szCs w:val="18"/>
                <w:lang w:val="en-GB"/>
              </w:rPr>
            </w:pPr>
            <w:r w:rsidRPr="00FB39A5">
              <w:rPr>
                <w:rFonts w:ascii="Arial" w:hAnsi="Arial" w:cs="Arial"/>
                <w:b/>
                <w:sz w:val="18"/>
                <w:szCs w:val="18"/>
                <w:lang w:val="en-GB"/>
              </w:rPr>
              <w:t>532,100</w:t>
            </w:r>
          </w:p>
        </w:tc>
        <w:tc>
          <w:tcPr>
            <w:tcW w:w="1200" w:type="dxa"/>
            <w:vAlign w:val="center"/>
          </w:tcPr>
          <w:p w14:paraId="0F1383F8" w14:textId="77777777" w:rsidR="00FB39A5" w:rsidRPr="00FB39A5" w:rsidRDefault="00FB39A5" w:rsidP="00FB39A5">
            <w:pPr>
              <w:jc w:val="right"/>
              <w:rPr>
                <w:rFonts w:ascii="Arial" w:hAnsi="Arial" w:cs="Arial"/>
                <w:b/>
                <w:sz w:val="18"/>
                <w:szCs w:val="18"/>
                <w:lang w:val="en-GB"/>
              </w:rPr>
            </w:pPr>
            <w:r w:rsidRPr="00FB39A5">
              <w:rPr>
                <w:rFonts w:ascii="Arial" w:hAnsi="Arial" w:cs="Arial"/>
                <w:b/>
                <w:sz w:val="18"/>
                <w:szCs w:val="18"/>
                <w:lang w:val="en-GB"/>
              </w:rPr>
              <w:t>28,014</w:t>
            </w:r>
          </w:p>
        </w:tc>
        <w:tc>
          <w:tcPr>
            <w:tcW w:w="1320" w:type="dxa"/>
            <w:vAlign w:val="center"/>
          </w:tcPr>
          <w:p w14:paraId="7ABA86B3" w14:textId="77777777" w:rsidR="00FB39A5" w:rsidRPr="00FB39A5" w:rsidRDefault="00FB39A5" w:rsidP="00FB39A5">
            <w:pPr>
              <w:jc w:val="right"/>
              <w:rPr>
                <w:rFonts w:ascii="Arial" w:hAnsi="Arial" w:cs="Arial"/>
                <w:b/>
                <w:sz w:val="18"/>
                <w:szCs w:val="18"/>
                <w:lang w:val="en-GB"/>
              </w:rPr>
            </w:pPr>
            <w:r w:rsidRPr="00FB39A5">
              <w:rPr>
                <w:rFonts w:ascii="Arial" w:hAnsi="Arial" w:cs="Arial"/>
                <w:b/>
                <w:sz w:val="18"/>
                <w:szCs w:val="18"/>
                <w:lang w:val="en-GB"/>
              </w:rPr>
              <w:t>62,618</w:t>
            </w:r>
          </w:p>
        </w:tc>
        <w:tc>
          <w:tcPr>
            <w:tcW w:w="1200" w:type="dxa"/>
            <w:vAlign w:val="center"/>
          </w:tcPr>
          <w:p w14:paraId="60CE776A" w14:textId="77777777" w:rsidR="00FB39A5" w:rsidRPr="00FB39A5" w:rsidRDefault="00FB39A5" w:rsidP="00FB39A5">
            <w:pPr>
              <w:jc w:val="right"/>
              <w:rPr>
                <w:rFonts w:ascii="Arial" w:hAnsi="Arial" w:cs="Arial"/>
                <w:b/>
                <w:sz w:val="18"/>
                <w:szCs w:val="18"/>
                <w:lang w:val="en-GB"/>
              </w:rPr>
            </w:pPr>
            <w:r w:rsidRPr="00FB39A5">
              <w:rPr>
                <w:rFonts w:ascii="Arial" w:hAnsi="Arial" w:cs="Arial"/>
                <w:b/>
                <w:sz w:val="18"/>
                <w:szCs w:val="18"/>
                <w:lang w:val="en-GB"/>
              </w:rPr>
              <w:t>156,608</w:t>
            </w:r>
          </w:p>
        </w:tc>
        <w:tc>
          <w:tcPr>
            <w:tcW w:w="1380" w:type="dxa"/>
            <w:vAlign w:val="center"/>
          </w:tcPr>
          <w:p w14:paraId="6BC7F70B" w14:textId="77777777" w:rsidR="00FB39A5" w:rsidRPr="00FB39A5" w:rsidRDefault="00FB39A5" w:rsidP="00FB39A5">
            <w:pPr>
              <w:jc w:val="right"/>
              <w:rPr>
                <w:rFonts w:ascii="Arial" w:hAnsi="Arial" w:cs="Arial"/>
                <w:b/>
                <w:bCs/>
                <w:sz w:val="18"/>
                <w:szCs w:val="18"/>
                <w:lang w:val="en-GB"/>
              </w:rPr>
            </w:pPr>
            <w:r w:rsidRPr="00FB39A5">
              <w:rPr>
                <w:rFonts w:ascii="Arial" w:hAnsi="Arial" w:cs="Arial"/>
                <w:b/>
                <w:bCs/>
                <w:sz w:val="18"/>
                <w:szCs w:val="18"/>
                <w:lang w:val="en-GB"/>
              </w:rPr>
              <w:t>1,809,136.00</w:t>
            </w:r>
          </w:p>
        </w:tc>
      </w:tr>
      <w:tr w:rsidR="00FB39A5" w:rsidRPr="00FB39A5" w14:paraId="49C7D7B1" w14:textId="77777777" w:rsidTr="00FB39A5">
        <w:tblPrEx>
          <w:tblCellMar>
            <w:top w:w="0" w:type="dxa"/>
            <w:bottom w:w="0" w:type="dxa"/>
          </w:tblCellMar>
        </w:tblPrEx>
        <w:trPr>
          <w:trHeight w:val="65"/>
          <w:jc w:val="center"/>
        </w:trPr>
        <w:tc>
          <w:tcPr>
            <w:tcW w:w="3540" w:type="dxa"/>
            <w:vAlign w:val="center"/>
          </w:tcPr>
          <w:p w14:paraId="26BFCF58"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Value of Total Annual Production US$</w:t>
            </w:r>
          </w:p>
        </w:tc>
        <w:tc>
          <w:tcPr>
            <w:tcW w:w="1200" w:type="dxa"/>
            <w:vAlign w:val="center"/>
          </w:tcPr>
          <w:p w14:paraId="27821758" w14:textId="77777777" w:rsidR="00FB39A5" w:rsidRPr="00FB39A5" w:rsidRDefault="00FB39A5" w:rsidP="00FB39A5">
            <w:pPr>
              <w:jc w:val="right"/>
              <w:rPr>
                <w:rFonts w:ascii="Arial" w:hAnsi="Arial" w:cs="Arial"/>
                <w:b/>
                <w:sz w:val="18"/>
                <w:szCs w:val="18"/>
                <w:lang w:val="en-GB"/>
              </w:rPr>
            </w:pPr>
            <w:r w:rsidRPr="00FB39A5">
              <w:rPr>
                <w:rFonts w:ascii="Arial" w:hAnsi="Arial" w:cs="Arial"/>
                <w:b/>
                <w:sz w:val="18"/>
                <w:szCs w:val="18"/>
                <w:lang w:val="en-GB"/>
              </w:rPr>
              <w:t>63,838,022</w:t>
            </w:r>
          </w:p>
        </w:tc>
        <w:tc>
          <w:tcPr>
            <w:tcW w:w="1320" w:type="dxa"/>
            <w:vAlign w:val="center"/>
          </w:tcPr>
          <w:p w14:paraId="44C66389" w14:textId="77777777" w:rsidR="00FB39A5" w:rsidRPr="00FB39A5" w:rsidRDefault="00FB39A5" w:rsidP="00FB39A5">
            <w:pPr>
              <w:jc w:val="right"/>
              <w:rPr>
                <w:rFonts w:ascii="Arial" w:hAnsi="Arial" w:cs="Arial"/>
                <w:b/>
                <w:sz w:val="18"/>
                <w:szCs w:val="18"/>
                <w:lang w:val="en-GB"/>
              </w:rPr>
            </w:pPr>
            <w:r w:rsidRPr="00FB39A5">
              <w:rPr>
                <w:rFonts w:ascii="Arial" w:hAnsi="Arial" w:cs="Arial"/>
                <w:b/>
                <w:sz w:val="18"/>
                <w:szCs w:val="18"/>
                <w:lang w:val="en-GB"/>
              </w:rPr>
              <w:t>515,517,394</w:t>
            </w:r>
          </w:p>
        </w:tc>
        <w:tc>
          <w:tcPr>
            <w:tcW w:w="1440" w:type="dxa"/>
            <w:vAlign w:val="center"/>
          </w:tcPr>
          <w:p w14:paraId="09E54D13" w14:textId="77777777" w:rsidR="00FB39A5" w:rsidRPr="00FB39A5" w:rsidRDefault="00FB39A5" w:rsidP="00FB39A5">
            <w:pPr>
              <w:jc w:val="right"/>
              <w:rPr>
                <w:rFonts w:ascii="Arial" w:hAnsi="Arial" w:cs="Arial"/>
                <w:b/>
                <w:sz w:val="18"/>
                <w:szCs w:val="18"/>
                <w:lang w:val="en-GB"/>
              </w:rPr>
            </w:pPr>
            <w:r w:rsidRPr="00FB39A5">
              <w:rPr>
                <w:rFonts w:ascii="Arial" w:hAnsi="Arial" w:cs="Arial"/>
                <w:b/>
                <w:sz w:val="18"/>
                <w:szCs w:val="18"/>
                <w:lang w:val="en-GB"/>
              </w:rPr>
              <w:t>2,610,142,421</w:t>
            </w:r>
          </w:p>
        </w:tc>
        <w:tc>
          <w:tcPr>
            <w:tcW w:w="1440" w:type="dxa"/>
            <w:vAlign w:val="center"/>
          </w:tcPr>
          <w:p w14:paraId="3CCA7E43" w14:textId="77777777" w:rsidR="00FB39A5" w:rsidRPr="00FB39A5" w:rsidRDefault="00FB39A5" w:rsidP="00FB39A5">
            <w:pPr>
              <w:jc w:val="right"/>
              <w:rPr>
                <w:rFonts w:ascii="Arial" w:hAnsi="Arial" w:cs="Arial"/>
                <w:b/>
                <w:sz w:val="18"/>
                <w:szCs w:val="18"/>
                <w:lang w:val="en-GB"/>
              </w:rPr>
            </w:pPr>
            <w:r w:rsidRPr="00FB39A5">
              <w:rPr>
                <w:rFonts w:ascii="Arial" w:hAnsi="Arial" w:cs="Arial"/>
                <w:b/>
                <w:sz w:val="18"/>
                <w:szCs w:val="18"/>
                <w:lang w:val="en-GB"/>
              </w:rPr>
              <w:t>1,938,197,499</w:t>
            </w:r>
          </w:p>
        </w:tc>
        <w:tc>
          <w:tcPr>
            <w:tcW w:w="1200" w:type="dxa"/>
            <w:vAlign w:val="center"/>
          </w:tcPr>
          <w:p w14:paraId="3F5A9832" w14:textId="77777777" w:rsidR="00FB39A5" w:rsidRPr="00FB39A5" w:rsidRDefault="00FB39A5" w:rsidP="00FB39A5">
            <w:pPr>
              <w:jc w:val="right"/>
              <w:rPr>
                <w:rFonts w:ascii="Arial" w:hAnsi="Arial" w:cs="Arial"/>
                <w:b/>
                <w:sz w:val="18"/>
                <w:szCs w:val="18"/>
                <w:lang w:val="en-GB"/>
              </w:rPr>
            </w:pPr>
            <w:r w:rsidRPr="00FB39A5">
              <w:rPr>
                <w:rFonts w:ascii="Arial" w:hAnsi="Arial" w:cs="Arial"/>
                <w:b/>
                <w:sz w:val="18"/>
                <w:szCs w:val="18"/>
                <w:lang w:val="en-GB"/>
              </w:rPr>
              <w:t>13,419,183</w:t>
            </w:r>
          </w:p>
        </w:tc>
        <w:tc>
          <w:tcPr>
            <w:tcW w:w="1320" w:type="dxa"/>
            <w:vAlign w:val="center"/>
          </w:tcPr>
          <w:p w14:paraId="118D976D" w14:textId="77777777" w:rsidR="00FB39A5" w:rsidRPr="00FB39A5" w:rsidRDefault="00FB39A5" w:rsidP="00FB39A5">
            <w:pPr>
              <w:jc w:val="right"/>
              <w:rPr>
                <w:rFonts w:ascii="Arial" w:hAnsi="Arial" w:cs="Arial"/>
                <w:b/>
                <w:sz w:val="18"/>
                <w:szCs w:val="18"/>
                <w:lang w:val="en-GB"/>
              </w:rPr>
            </w:pPr>
            <w:r w:rsidRPr="00FB39A5">
              <w:rPr>
                <w:rFonts w:ascii="Arial" w:hAnsi="Arial" w:cs="Arial"/>
                <w:b/>
                <w:sz w:val="18"/>
                <w:szCs w:val="18"/>
                <w:lang w:val="en-GB"/>
              </w:rPr>
              <w:t>199,407,799</w:t>
            </w:r>
          </w:p>
        </w:tc>
        <w:tc>
          <w:tcPr>
            <w:tcW w:w="1200" w:type="dxa"/>
            <w:vAlign w:val="center"/>
          </w:tcPr>
          <w:p w14:paraId="7FF6DB3A" w14:textId="77777777" w:rsidR="00FB39A5" w:rsidRPr="00FB39A5" w:rsidRDefault="00FB39A5" w:rsidP="00FB39A5">
            <w:pPr>
              <w:jc w:val="right"/>
              <w:rPr>
                <w:rFonts w:ascii="Arial" w:hAnsi="Arial" w:cs="Arial"/>
                <w:b/>
                <w:sz w:val="18"/>
                <w:szCs w:val="18"/>
                <w:lang w:val="en-GB"/>
              </w:rPr>
            </w:pPr>
            <w:r w:rsidRPr="00FB39A5">
              <w:rPr>
                <w:rFonts w:ascii="Arial" w:hAnsi="Arial" w:cs="Arial"/>
                <w:b/>
                <w:sz w:val="18"/>
                <w:szCs w:val="18"/>
                <w:lang w:val="en-GB"/>
              </w:rPr>
              <w:t>71,091,633</w:t>
            </w:r>
          </w:p>
        </w:tc>
        <w:tc>
          <w:tcPr>
            <w:tcW w:w="1380" w:type="dxa"/>
            <w:vAlign w:val="center"/>
          </w:tcPr>
          <w:p w14:paraId="3C454DD6" w14:textId="77777777" w:rsidR="00FB39A5" w:rsidRPr="00FB39A5" w:rsidRDefault="00FB39A5" w:rsidP="00FB39A5">
            <w:pPr>
              <w:jc w:val="right"/>
              <w:rPr>
                <w:rFonts w:ascii="Arial" w:hAnsi="Arial" w:cs="Arial"/>
                <w:b/>
                <w:bCs/>
                <w:sz w:val="18"/>
                <w:szCs w:val="18"/>
                <w:lang w:val="en-GB"/>
              </w:rPr>
            </w:pPr>
            <w:r w:rsidRPr="00FB39A5">
              <w:rPr>
                <w:rFonts w:ascii="Arial" w:hAnsi="Arial" w:cs="Arial"/>
                <w:b/>
                <w:bCs/>
                <w:sz w:val="18"/>
                <w:szCs w:val="18"/>
                <w:lang w:val="en-GB"/>
              </w:rPr>
              <w:t>5,196,296,711</w:t>
            </w:r>
          </w:p>
        </w:tc>
      </w:tr>
    </w:tbl>
    <w:p w14:paraId="12AA900C" w14:textId="77777777" w:rsidR="00FB39A5" w:rsidRPr="00FB39A5" w:rsidRDefault="00FB39A5" w:rsidP="00FB39A5">
      <w:pPr>
        <w:tabs>
          <w:tab w:val="left" w:pos="1200"/>
        </w:tabs>
        <w:jc w:val="both"/>
        <w:rPr>
          <w:rFonts w:ascii="Arial" w:hAnsi="Arial"/>
          <w:b/>
          <w:bCs/>
          <w:sz w:val="19"/>
          <w:szCs w:val="19"/>
          <w:lang w:val="en-GB"/>
        </w:rPr>
      </w:pPr>
    </w:p>
    <w:p w14:paraId="3464E1AB" w14:textId="77777777" w:rsidR="00FB39A5" w:rsidRPr="00C27D0E" w:rsidRDefault="00FB39A5" w:rsidP="00C27D0E">
      <w:pPr>
        <w:tabs>
          <w:tab w:val="left" w:pos="1170"/>
        </w:tabs>
        <w:spacing w:after="120"/>
        <w:ind w:left="1170" w:hanging="1170"/>
        <w:jc w:val="both"/>
        <w:rPr>
          <w:bCs/>
          <w:sz w:val="21"/>
          <w:szCs w:val="21"/>
          <w:lang w:val="en-GB"/>
        </w:rPr>
      </w:pPr>
      <w:r w:rsidRPr="00C27D0E">
        <w:rPr>
          <w:b/>
          <w:bCs/>
          <w:sz w:val="21"/>
          <w:szCs w:val="21"/>
          <w:lang w:val="en-GB"/>
        </w:rPr>
        <w:t xml:space="preserve">Table </w:t>
      </w:r>
      <w:r w:rsidR="00C27D0E" w:rsidRPr="00C27D0E">
        <w:rPr>
          <w:b/>
          <w:bCs/>
          <w:sz w:val="21"/>
          <w:szCs w:val="21"/>
          <w:lang w:val="en-GB"/>
        </w:rPr>
        <w:t>5</w:t>
      </w:r>
      <w:r w:rsidRPr="00C27D0E">
        <w:rPr>
          <w:bCs/>
          <w:sz w:val="21"/>
          <w:szCs w:val="21"/>
          <w:lang w:val="en-GB"/>
        </w:rPr>
        <w:tab/>
        <w:t>Weighted mean national and regional values for the per hectare annual production of goods and services by coral reefs bordering the South China Sea.</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0"/>
        <w:gridCol w:w="1177"/>
        <w:gridCol w:w="1367"/>
        <w:gridCol w:w="1010"/>
        <w:gridCol w:w="1390"/>
        <w:gridCol w:w="1320"/>
        <w:gridCol w:w="1320"/>
        <w:gridCol w:w="1440"/>
      </w:tblGrid>
      <w:tr w:rsidR="00FB39A5" w:rsidRPr="00FB39A5" w14:paraId="69C8F950" w14:textId="77777777" w:rsidTr="00FB39A5">
        <w:tblPrEx>
          <w:tblCellMar>
            <w:top w:w="0" w:type="dxa"/>
            <w:bottom w:w="0" w:type="dxa"/>
          </w:tblCellMar>
        </w:tblPrEx>
        <w:trPr>
          <w:trHeight w:val="247"/>
          <w:jc w:val="center"/>
        </w:trPr>
        <w:tc>
          <w:tcPr>
            <w:tcW w:w="4740" w:type="dxa"/>
            <w:tcBorders>
              <w:top w:val="single" w:sz="12" w:space="0" w:color="auto"/>
              <w:bottom w:val="single" w:sz="12" w:space="0" w:color="auto"/>
            </w:tcBorders>
            <w:vAlign w:val="center"/>
          </w:tcPr>
          <w:p w14:paraId="1D3237A3" w14:textId="77777777" w:rsidR="00FB39A5" w:rsidRPr="00FB39A5" w:rsidRDefault="00FB39A5" w:rsidP="00FB39A5">
            <w:pPr>
              <w:autoSpaceDE w:val="0"/>
              <w:autoSpaceDN w:val="0"/>
              <w:adjustRightInd w:val="0"/>
              <w:jc w:val="center"/>
              <w:rPr>
                <w:rFonts w:ascii="Arial" w:hAnsi="Arial" w:cs="Arial"/>
                <w:color w:val="000000"/>
                <w:sz w:val="16"/>
                <w:szCs w:val="16"/>
                <w:lang w:val="en-GB"/>
              </w:rPr>
            </w:pPr>
          </w:p>
        </w:tc>
        <w:tc>
          <w:tcPr>
            <w:tcW w:w="1177" w:type="dxa"/>
            <w:tcBorders>
              <w:top w:val="single" w:sz="12" w:space="0" w:color="auto"/>
              <w:bottom w:val="single" w:sz="12" w:space="0" w:color="auto"/>
            </w:tcBorders>
            <w:vAlign w:val="center"/>
          </w:tcPr>
          <w:p w14:paraId="2A8D2BE0"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Cambodia</w:t>
                </w:r>
              </w:smartTag>
            </w:smartTag>
          </w:p>
        </w:tc>
        <w:tc>
          <w:tcPr>
            <w:tcW w:w="1367" w:type="dxa"/>
            <w:tcBorders>
              <w:top w:val="single" w:sz="12" w:space="0" w:color="auto"/>
              <w:bottom w:val="single" w:sz="12" w:space="0" w:color="auto"/>
            </w:tcBorders>
            <w:vAlign w:val="center"/>
          </w:tcPr>
          <w:p w14:paraId="04D90B0B"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Indonesia</w:t>
                </w:r>
              </w:smartTag>
            </w:smartTag>
          </w:p>
        </w:tc>
        <w:tc>
          <w:tcPr>
            <w:tcW w:w="1010" w:type="dxa"/>
            <w:tcBorders>
              <w:top w:val="single" w:sz="12" w:space="0" w:color="auto"/>
              <w:bottom w:val="single" w:sz="12" w:space="0" w:color="auto"/>
            </w:tcBorders>
            <w:vAlign w:val="center"/>
          </w:tcPr>
          <w:p w14:paraId="1589503C"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Malaysia</w:t>
                </w:r>
              </w:smartTag>
            </w:smartTag>
          </w:p>
        </w:tc>
        <w:tc>
          <w:tcPr>
            <w:tcW w:w="1390" w:type="dxa"/>
            <w:tcBorders>
              <w:top w:val="single" w:sz="12" w:space="0" w:color="auto"/>
              <w:bottom w:val="single" w:sz="12" w:space="0" w:color="auto"/>
            </w:tcBorders>
            <w:vAlign w:val="center"/>
          </w:tcPr>
          <w:p w14:paraId="4FD7B9DB"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Philippines</w:t>
                </w:r>
              </w:smartTag>
            </w:smartTag>
          </w:p>
        </w:tc>
        <w:tc>
          <w:tcPr>
            <w:tcW w:w="1320" w:type="dxa"/>
            <w:tcBorders>
              <w:top w:val="single" w:sz="12" w:space="0" w:color="auto"/>
              <w:bottom w:val="single" w:sz="12" w:space="0" w:color="auto"/>
            </w:tcBorders>
            <w:vAlign w:val="center"/>
          </w:tcPr>
          <w:p w14:paraId="2201D8E8"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Thailand</w:t>
                </w:r>
              </w:smartTag>
            </w:smartTag>
          </w:p>
        </w:tc>
        <w:tc>
          <w:tcPr>
            <w:tcW w:w="1320" w:type="dxa"/>
            <w:tcBorders>
              <w:top w:val="single" w:sz="12" w:space="0" w:color="auto"/>
              <w:bottom w:val="single" w:sz="12" w:space="0" w:color="auto"/>
            </w:tcBorders>
            <w:vAlign w:val="center"/>
          </w:tcPr>
          <w:p w14:paraId="3BEB07A9"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Viet Nam</w:t>
                </w:r>
              </w:smartTag>
            </w:smartTag>
          </w:p>
        </w:tc>
        <w:tc>
          <w:tcPr>
            <w:tcW w:w="1440" w:type="dxa"/>
            <w:tcBorders>
              <w:top w:val="single" w:sz="12" w:space="0" w:color="auto"/>
              <w:bottom w:val="single" w:sz="12" w:space="0" w:color="auto"/>
            </w:tcBorders>
            <w:vAlign w:val="center"/>
          </w:tcPr>
          <w:p w14:paraId="4291ADE5"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r w:rsidRPr="00FB39A5">
              <w:rPr>
                <w:rFonts w:ascii="Arial" w:hAnsi="Arial" w:cs="Arial"/>
                <w:b/>
                <w:bCs/>
                <w:color w:val="000000"/>
                <w:sz w:val="18"/>
                <w:szCs w:val="18"/>
                <w:lang w:val="en-GB"/>
              </w:rPr>
              <w:t>Regional</w:t>
            </w:r>
          </w:p>
        </w:tc>
      </w:tr>
      <w:tr w:rsidR="00FB39A5" w:rsidRPr="00FB39A5" w14:paraId="258724E1" w14:textId="77777777" w:rsidTr="00FB39A5">
        <w:tblPrEx>
          <w:tblCellMar>
            <w:top w:w="0" w:type="dxa"/>
            <w:bottom w:w="0" w:type="dxa"/>
          </w:tblCellMar>
        </w:tblPrEx>
        <w:trPr>
          <w:trHeight w:val="65"/>
          <w:jc w:val="center"/>
        </w:trPr>
        <w:tc>
          <w:tcPr>
            <w:tcW w:w="4740" w:type="dxa"/>
            <w:tcBorders>
              <w:top w:val="single" w:sz="12" w:space="0" w:color="auto"/>
            </w:tcBorders>
            <w:vAlign w:val="center"/>
          </w:tcPr>
          <w:p w14:paraId="5E116B12" w14:textId="77777777" w:rsidR="00FB39A5" w:rsidRPr="00FB39A5" w:rsidRDefault="00FB39A5" w:rsidP="00FB39A5">
            <w:pPr>
              <w:autoSpaceDE w:val="0"/>
              <w:autoSpaceDN w:val="0"/>
              <w:adjustRightInd w:val="0"/>
              <w:jc w:val="center"/>
              <w:rPr>
                <w:rFonts w:ascii="Arial" w:hAnsi="Arial" w:cs="Arial"/>
                <w:b/>
                <w:bCs/>
                <w:color w:val="000000"/>
                <w:sz w:val="16"/>
                <w:szCs w:val="16"/>
                <w:lang w:val="en-GB"/>
              </w:rPr>
            </w:pPr>
            <w:r w:rsidRPr="00FB39A5">
              <w:rPr>
                <w:rFonts w:ascii="Arial" w:hAnsi="Arial" w:cs="Arial"/>
                <w:b/>
                <w:bCs/>
                <w:color w:val="000000"/>
                <w:sz w:val="16"/>
                <w:szCs w:val="16"/>
                <w:lang w:val="en-GB"/>
              </w:rPr>
              <w:t>Coral Reef Goods</w:t>
            </w:r>
          </w:p>
        </w:tc>
        <w:tc>
          <w:tcPr>
            <w:tcW w:w="1177" w:type="dxa"/>
            <w:tcBorders>
              <w:top w:val="single" w:sz="12" w:space="0" w:color="auto"/>
            </w:tcBorders>
            <w:vAlign w:val="center"/>
          </w:tcPr>
          <w:p w14:paraId="5D4578C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367" w:type="dxa"/>
            <w:tcBorders>
              <w:top w:val="single" w:sz="12" w:space="0" w:color="auto"/>
            </w:tcBorders>
            <w:vAlign w:val="center"/>
          </w:tcPr>
          <w:p w14:paraId="4D37C2C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010" w:type="dxa"/>
            <w:tcBorders>
              <w:top w:val="single" w:sz="12" w:space="0" w:color="auto"/>
            </w:tcBorders>
            <w:vAlign w:val="center"/>
          </w:tcPr>
          <w:p w14:paraId="6F37837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390" w:type="dxa"/>
            <w:tcBorders>
              <w:top w:val="single" w:sz="12" w:space="0" w:color="auto"/>
            </w:tcBorders>
            <w:vAlign w:val="center"/>
          </w:tcPr>
          <w:p w14:paraId="3FBB30C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320" w:type="dxa"/>
            <w:tcBorders>
              <w:top w:val="single" w:sz="12" w:space="0" w:color="auto"/>
            </w:tcBorders>
            <w:vAlign w:val="center"/>
          </w:tcPr>
          <w:p w14:paraId="0B4B970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320" w:type="dxa"/>
            <w:tcBorders>
              <w:top w:val="single" w:sz="12" w:space="0" w:color="auto"/>
            </w:tcBorders>
            <w:vAlign w:val="center"/>
          </w:tcPr>
          <w:p w14:paraId="6DED41E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440" w:type="dxa"/>
            <w:tcBorders>
              <w:top w:val="single" w:sz="12" w:space="0" w:color="auto"/>
            </w:tcBorders>
            <w:vAlign w:val="center"/>
          </w:tcPr>
          <w:p w14:paraId="42071A42"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p>
        </w:tc>
      </w:tr>
      <w:tr w:rsidR="00FB39A5" w:rsidRPr="00FB39A5" w14:paraId="4B35DC61" w14:textId="77777777" w:rsidTr="00FB39A5">
        <w:tblPrEx>
          <w:tblCellMar>
            <w:top w:w="0" w:type="dxa"/>
            <w:bottom w:w="0" w:type="dxa"/>
          </w:tblCellMar>
        </w:tblPrEx>
        <w:trPr>
          <w:trHeight w:val="65"/>
          <w:jc w:val="center"/>
        </w:trPr>
        <w:tc>
          <w:tcPr>
            <w:tcW w:w="4740" w:type="dxa"/>
            <w:vAlign w:val="center"/>
          </w:tcPr>
          <w:p w14:paraId="4C9E897B"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Capture Fisheries (food and aquarium fish)</w:t>
            </w:r>
          </w:p>
        </w:tc>
        <w:tc>
          <w:tcPr>
            <w:tcW w:w="1177" w:type="dxa"/>
            <w:vAlign w:val="center"/>
          </w:tcPr>
          <w:p w14:paraId="790D00E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67" w:type="dxa"/>
            <w:vAlign w:val="center"/>
          </w:tcPr>
          <w:p w14:paraId="02E9B51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285.49</w:t>
            </w:r>
          </w:p>
        </w:tc>
        <w:tc>
          <w:tcPr>
            <w:tcW w:w="1010" w:type="dxa"/>
            <w:vAlign w:val="center"/>
          </w:tcPr>
          <w:p w14:paraId="5AD49B9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29624CE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150.98</w:t>
            </w:r>
          </w:p>
        </w:tc>
        <w:tc>
          <w:tcPr>
            <w:tcW w:w="1320" w:type="dxa"/>
            <w:vAlign w:val="center"/>
          </w:tcPr>
          <w:p w14:paraId="3B2CD7E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4263127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6DC8CB8D"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108.31</w:t>
            </w:r>
          </w:p>
        </w:tc>
      </w:tr>
      <w:tr w:rsidR="00FB39A5" w:rsidRPr="00FB39A5" w14:paraId="7082A901" w14:textId="77777777" w:rsidTr="00FB39A5">
        <w:tblPrEx>
          <w:tblCellMar>
            <w:top w:w="0" w:type="dxa"/>
            <w:bottom w:w="0" w:type="dxa"/>
          </w:tblCellMar>
        </w:tblPrEx>
        <w:trPr>
          <w:trHeight w:val="65"/>
          <w:jc w:val="center"/>
        </w:trPr>
        <w:tc>
          <w:tcPr>
            <w:tcW w:w="4740" w:type="dxa"/>
            <w:vAlign w:val="center"/>
          </w:tcPr>
          <w:p w14:paraId="6C544E53"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Shrimp</w:t>
            </w:r>
          </w:p>
        </w:tc>
        <w:tc>
          <w:tcPr>
            <w:tcW w:w="1177" w:type="dxa"/>
            <w:vAlign w:val="center"/>
          </w:tcPr>
          <w:p w14:paraId="794DC53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67" w:type="dxa"/>
            <w:vAlign w:val="center"/>
          </w:tcPr>
          <w:p w14:paraId="379444A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10" w:type="dxa"/>
            <w:vAlign w:val="center"/>
          </w:tcPr>
          <w:p w14:paraId="4E1B450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0734603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7F5BA75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7A2FCFD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1745EC30"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r>
      <w:tr w:rsidR="00FB39A5" w:rsidRPr="00FB39A5" w14:paraId="17D97420" w14:textId="77777777" w:rsidTr="00FB39A5">
        <w:tblPrEx>
          <w:tblCellMar>
            <w:top w:w="0" w:type="dxa"/>
            <w:bottom w:w="0" w:type="dxa"/>
          </w:tblCellMar>
        </w:tblPrEx>
        <w:trPr>
          <w:trHeight w:val="65"/>
          <w:jc w:val="center"/>
        </w:trPr>
        <w:tc>
          <w:tcPr>
            <w:tcW w:w="4740" w:type="dxa"/>
            <w:vAlign w:val="center"/>
          </w:tcPr>
          <w:p w14:paraId="5F9A74B6"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Shellfish collection</w:t>
            </w:r>
          </w:p>
        </w:tc>
        <w:tc>
          <w:tcPr>
            <w:tcW w:w="1177" w:type="dxa"/>
            <w:vAlign w:val="center"/>
          </w:tcPr>
          <w:p w14:paraId="437C52F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67" w:type="dxa"/>
            <w:vAlign w:val="center"/>
          </w:tcPr>
          <w:p w14:paraId="1386C5D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10" w:type="dxa"/>
            <w:vAlign w:val="center"/>
          </w:tcPr>
          <w:p w14:paraId="345F835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4F3F9FF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56E79E8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0EB9101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6CABDA0F"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r>
      <w:tr w:rsidR="00FB39A5" w:rsidRPr="00FB39A5" w14:paraId="5C8856E8" w14:textId="77777777" w:rsidTr="00FB39A5">
        <w:tblPrEx>
          <w:tblCellMar>
            <w:top w:w="0" w:type="dxa"/>
            <w:bottom w:w="0" w:type="dxa"/>
          </w:tblCellMar>
        </w:tblPrEx>
        <w:trPr>
          <w:trHeight w:val="65"/>
          <w:jc w:val="center"/>
        </w:trPr>
        <w:tc>
          <w:tcPr>
            <w:tcW w:w="4740" w:type="dxa"/>
            <w:vAlign w:val="center"/>
          </w:tcPr>
          <w:p w14:paraId="0C48C113"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Molluscs</w:t>
            </w:r>
          </w:p>
        </w:tc>
        <w:tc>
          <w:tcPr>
            <w:tcW w:w="1177" w:type="dxa"/>
            <w:vAlign w:val="center"/>
          </w:tcPr>
          <w:p w14:paraId="5E23BA6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67" w:type="dxa"/>
            <w:vAlign w:val="center"/>
          </w:tcPr>
          <w:p w14:paraId="1BB2428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10" w:type="dxa"/>
            <w:vAlign w:val="center"/>
          </w:tcPr>
          <w:p w14:paraId="20B00C3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1CD1708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29D696A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285E539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45B8C5C8"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r>
      <w:tr w:rsidR="00FB39A5" w:rsidRPr="00FB39A5" w14:paraId="53E2B5C1" w14:textId="77777777" w:rsidTr="00FB39A5">
        <w:tblPrEx>
          <w:tblCellMar>
            <w:top w:w="0" w:type="dxa"/>
            <w:bottom w:w="0" w:type="dxa"/>
          </w:tblCellMar>
        </w:tblPrEx>
        <w:trPr>
          <w:trHeight w:val="76"/>
          <w:jc w:val="center"/>
        </w:trPr>
        <w:tc>
          <w:tcPr>
            <w:tcW w:w="4740" w:type="dxa"/>
            <w:vAlign w:val="center"/>
          </w:tcPr>
          <w:p w14:paraId="757AE688"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Sea Cucumbers</w:t>
            </w:r>
          </w:p>
        </w:tc>
        <w:tc>
          <w:tcPr>
            <w:tcW w:w="1177" w:type="dxa"/>
            <w:vAlign w:val="center"/>
          </w:tcPr>
          <w:p w14:paraId="06EAF0F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67" w:type="dxa"/>
            <w:vAlign w:val="center"/>
          </w:tcPr>
          <w:p w14:paraId="7E2AC31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10" w:type="dxa"/>
            <w:vAlign w:val="center"/>
          </w:tcPr>
          <w:p w14:paraId="498B2C4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7B2DD72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28A525E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62ABE44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7760B3E8"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r>
      <w:tr w:rsidR="00FB39A5" w:rsidRPr="00FB39A5" w14:paraId="05C6D710" w14:textId="77777777" w:rsidTr="00FB39A5">
        <w:tblPrEx>
          <w:tblCellMar>
            <w:top w:w="0" w:type="dxa"/>
            <w:bottom w:w="0" w:type="dxa"/>
          </w:tblCellMar>
        </w:tblPrEx>
        <w:trPr>
          <w:trHeight w:val="65"/>
          <w:jc w:val="center"/>
        </w:trPr>
        <w:tc>
          <w:tcPr>
            <w:tcW w:w="4740" w:type="dxa"/>
            <w:vAlign w:val="center"/>
          </w:tcPr>
          <w:p w14:paraId="3B638B4C"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Echinoderms-Sea urchins</w:t>
            </w:r>
          </w:p>
        </w:tc>
        <w:tc>
          <w:tcPr>
            <w:tcW w:w="1177" w:type="dxa"/>
            <w:vAlign w:val="center"/>
          </w:tcPr>
          <w:p w14:paraId="74E3C8C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67" w:type="dxa"/>
            <w:vAlign w:val="center"/>
          </w:tcPr>
          <w:p w14:paraId="619BA41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10" w:type="dxa"/>
            <w:vAlign w:val="center"/>
          </w:tcPr>
          <w:p w14:paraId="2AF3AA3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60D5532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72E4A75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48F54F3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05ED9056"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r>
      <w:tr w:rsidR="00FB39A5" w:rsidRPr="00FB39A5" w14:paraId="0DB76770" w14:textId="77777777" w:rsidTr="00FB39A5">
        <w:tblPrEx>
          <w:tblCellMar>
            <w:top w:w="0" w:type="dxa"/>
            <w:bottom w:w="0" w:type="dxa"/>
          </w:tblCellMar>
        </w:tblPrEx>
        <w:trPr>
          <w:trHeight w:val="65"/>
          <w:jc w:val="center"/>
        </w:trPr>
        <w:tc>
          <w:tcPr>
            <w:tcW w:w="4740" w:type="dxa"/>
            <w:vAlign w:val="center"/>
          </w:tcPr>
          <w:p w14:paraId="38352D8C"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Coral - Building materials m3</w:t>
            </w:r>
          </w:p>
        </w:tc>
        <w:tc>
          <w:tcPr>
            <w:tcW w:w="1177" w:type="dxa"/>
            <w:vAlign w:val="center"/>
          </w:tcPr>
          <w:p w14:paraId="6B21183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67" w:type="dxa"/>
            <w:vAlign w:val="center"/>
          </w:tcPr>
          <w:p w14:paraId="6FAA02D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482.81</w:t>
            </w:r>
          </w:p>
        </w:tc>
        <w:tc>
          <w:tcPr>
            <w:tcW w:w="1010" w:type="dxa"/>
            <w:vAlign w:val="center"/>
          </w:tcPr>
          <w:p w14:paraId="683ADED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3584EDD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47A579B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323A6FA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06DAA9F9"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25.28</w:t>
            </w:r>
          </w:p>
        </w:tc>
      </w:tr>
      <w:tr w:rsidR="00FB39A5" w:rsidRPr="00FB39A5" w14:paraId="66537FF1" w14:textId="77777777" w:rsidTr="00FB39A5">
        <w:tblPrEx>
          <w:tblCellMar>
            <w:top w:w="0" w:type="dxa"/>
            <w:bottom w:w="0" w:type="dxa"/>
          </w:tblCellMar>
        </w:tblPrEx>
        <w:trPr>
          <w:trHeight w:val="65"/>
          <w:jc w:val="center"/>
        </w:trPr>
        <w:tc>
          <w:tcPr>
            <w:tcW w:w="4740" w:type="dxa"/>
            <w:vAlign w:val="center"/>
          </w:tcPr>
          <w:p w14:paraId="5007ED15"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Coral (curio trade)</w:t>
            </w:r>
          </w:p>
        </w:tc>
        <w:tc>
          <w:tcPr>
            <w:tcW w:w="1177" w:type="dxa"/>
            <w:vAlign w:val="center"/>
          </w:tcPr>
          <w:p w14:paraId="5B1F1DB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67" w:type="dxa"/>
            <w:vAlign w:val="center"/>
          </w:tcPr>
          <w:p w14:paraId="53C3BC3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10" w:type="dxa"/>
            <w:vAlign w:val="center"/>
          </w:tcPr>
          <w:p w14:paraId="17184F7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1AAC642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628A747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74A4078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53C276C7"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r>
      <w:tr w:rsidR="00FB39A5" w:rsidRPr="00FB39A5" w14:paraId="4ED77BC4" w14:textId="77777777" w:rsidTr="00FB39A5">
        <w:tblPrEx>
          <w:tblCellMar>
            <w:top w:w="0" w:type="dxa"/>
            <w:bottom w:w="0" w:type="dxa"/>
          </w:tblCellMar>
        </w:tblPrEx>
        <w:trPr>
          <w:trHeight w:val="65"/>
          <w:jc w:val="center"/>
        </w:trPr>
        <w:tc>
          <w:tcPr>
            <w:tcW w:w="4740" w:type="dxa"/>
            <w:vAlign w:val="center"/>
          </w:tcPr>
          <w:p w14:paraId="2C601D9D"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Seaweed</w:t>
            </w:r>
          </w:p>
        </w:tc>
        <w:tc>
          <w:tcPr>
            <w:tcW w:w="1177" w:type="dxa"/>
            <w:vAlign w:val="center"/>
          </w:tcPr>
          <w:p w14:paraId="7E5CDA6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67" w:type="dxa"/>
            <w:vAlign w:val="center"/>
          </w:tcPr>
          <w:p w14:paraId="4B34E2B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10" w:type="dxa"/>
            <w:vAlign w:val="center"/>
          </w:tcPr>
          <w:p w14:paraId="46E9584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00EC433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02DB109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291722A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77994ACC"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r>
      <w:tr w:rsidR="00FB39A5" w:rsidRPr="00FB39A5" w14:paraId="73CE0F63" w14:textId="77777777" w:rsidTr="00FB39A5">
        <w:tblPrEx>
          <w:tblCellMar>
            <w:top w:w="0" w:type="dxa"/>
            <w:bottom w:w="0" w:type="dxa"/>
          </w:tblCellMar>
        </w:tblPrEx>
        <w:trPr>
          <w:trHeight w:val="65"/>
          <w:jc w:val="center"/>
        </w:trPr>
        <w:tc>
          <w:tcPr>
            <w:tcW w:w="4740" w:type="dxa"/>
            <w:vAlign w:val="center"/>
          </w:tcPr>
          <w:p w14:paraId="3BB3F5FB"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Total Value Goods US$ per Ha</w:t>
            </w:r>
          </w:p>
        </w:tc>
        <w:tc>
          <w:tcPr>
            <w:tcW w:w="1177" w:type="dxa"/>
            <w:vAlign w:val="center"/>
          </w:tcPr>
          <w:p w14:paraId="01F0679E"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367" w:type="dxa"/>
            <w:vAlign w:val="center"/>
          </w:tcPr>
          <w:p w14:paraId="7EC3CC2C"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768.30</w:t>
            </w:r>
          </w:p>
        </w:tc>
        <w:tc>
          <w:tcPr>
            <w:tcW w:w="1010" w:type="dxa"/>
            <w:vAlign w:val="center"/>
          </w:tcPr>
          <w:p w14:paraId="387CA188"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390" w:type="dxa"/>
            <w:vAlign w:val="center"/>
          </w:tcPr>
          <w:p w14:paraId="204DBE64"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150.98</w:t>
            </w:r>
          </w:p>
        </w:tc>
        <w:tc>
          <w:tcPr>
            <w:tcW w:w="1320" w:type="dxa"/>
            <w:vAlign w:val="center"/>
          </w:tcPr>
          <w:p w14:paraId="618DCFF4"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320" w:type="dxa"/>
            <w:vAlign w:val="center"/>
          </w:tcPr>
          <w:p w14:paraId="186FA460"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440" w:type="dxa"/>
            <w:vAlign w:val="center"/>
          </w:tcPr>
          <w:p w14:paraId="0E01BD76"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133.59</w:t>
            </w:r>
          </w:p>
        </w:tc>
      </w:tr>
      <w:tr w:rsidR="00FB39A5" w:rsidRPr="00FB39A5" w14:paraId="379B4051" w14:textId="77777777" w:rsidTr="00FB39A5">
        <w:tblPrEx>
          <w:tblCellMar>
            <w:top w:w="0" w:type="dxa"/>
            <w:bottom w:w="0" w:type="dxa"/>
          </w:tblCellMar>
        </w:tblPrEx>
        <w:trPr>
          <w:trHeight w:val="65"/>
          <w:jc w:val="center"/>
        </w:trPr>
        <w:tc>
          <w:tcPr>
            <w:tcW w:w="4740" w:type="dxa"/>
            <w:vAlign w:val="center"/>
          </w:tcPr>
          <w:p w14:paraId="433139A8" w14:textId="77777777" w:rsidR="00FB39A5" w:rsidRPr="00FB39A5" w:rsidRDefault="00FB39A5" w:rsidP="00FB39A5">
            <w:pPr>
              <w:autoSpaceDE w:val="0"/>
              <w:autoSpaceDN w:val="0"/>
              <w:adjustRightInd w:val="0"/>
              <w:jc w:val="both"/>
              <w:rPr>
                <w:rFonts w:ascii="Arial" w:hAnsi="Arial" w:cs="Arial"/>
                <w:b/>
                <w:color w:val="000000"/>
                <w:sz w:val="16"/>
                <w:szCs w:val="16"/>
                <w:lang w:val="en-GB"/>
              </w:rPr>
            </w:pPr>
          </w:p>
        </w:tc>
        <w:tc>
          <w:tcPr>
            <w:tcW w:w="1177" w:type="dxa"/>
            <w:vAlign w:val="center"/>
          </w:tcPr>
          <w:p w14:paraId="527DC310" w14:textId="77777777" w:rsidR="00FB39A5" w:rsidRPr="00FB39A5" w:rsidRDefault="00FB39A5" w:rsidP="00FB39A5">
            <w:pPr>
              <w:autoSpaceDE w:val="0"/>
              <w:autoSpaceDN w:val="0"/>
              <w:adjustRightInd w:val="0"/>
              <w:jc w:val="right"/>
              <w:rPr>
                <w:rFonts w:ascii="Arial" w:hAnsi="Arial" w:cs="Arial"/>
                <w:b/>
                <w:color w:val="000000"/>
                <w:sz w:val="16"/>
                <w:szCs w:val="16"/>
                <w:lang w:val="en-GB"/>
              </w:rPr>
            </w:pPr>
          </w:p>
        </w:tc>
        <w:tc>
          <w:tcPr>
            <w:tcW w:w="1367" w:type="dxa"/>
            <w:vAlign w:val="center"/>
          </w:tcPr>
          <w:p w14:paraId="3DB11F45" w14:textId="77777777" w:rsidR="00FB39A5" w:rsidRPr="00FB39A5" w:rsidRDefault="00FB39A5" w:rsidP="00FB39A5">
            <w:pPr>
              <w:autoSpaceDE w:val="0"/>
              <w:autoSpaceDN w:val="0"/>
              <w:adjustRightInd w:val="0"/>
              <w:jc w:val="right"/>
              <w:rPr>
                <w:rFonts w:ascii="Arial" w:hAnsi="Arial" w:cs="Arial"/>
                <w:b/>
                <w:color w:val="000000"/>
                <w:sz w:val="16"/>
                <w:szCs w:val="16"/>
                <w:lang w:val="en-GB"/>
              </w:rPr>
            </w:pPr>
          </w:p>
        </w:tc>
        <w:tc>
          <w:tcPr>
            <w:tcW w:w="1010" w:type="dxa"/>
            <w:vAlign w:val="center"/>
          </w:tcPr>
          <w:p w14:paraId="4F096777" w14:textId="77777777" w:rsidR="00FB39A5" w:rsidRPr="00FB39A5" w:rsidRDefault="00FB39A5" w:rsidP="00FB39A5">
            <w:pPr>
              <w:autoSpaceDE w:val="0"/>
              <w:autoSpaceDN w:val="0"/>
              <w:adjustRightInd w:val="0"/>
              <w:jc w:val="right"/>
              <w:rPr>
                <w:rFonts w:ascii="Arial" w:hAnsi="Arial" w:cs="Arial"/>
                <w:b/>
                <w:color w:val="000000"/>
                <w:sz w:val="16"/>
                <w:szCs w:val="16"/>
                <w:lang w:val="en-GB"/>
              </w:rPr>
            </w:pPr>
          </w:p>
        </w:tc>
        <w:tc>
          <w:tcPr>
            <w:tcW w:w="1390" w:type="dxa"/>
            <w:vAlign w:val="center"/>
          </w:tcPr>
          <w:p w14:paraId="36D3326C" w14:textId="77777777" w:rsidR="00FB39A5" w:rsidRPr="00FB39A5" w:rsidRDefault="00FB39A5" w:rsidP="00FB39A5">
            <w:pPr>
              <w:autoSpaceDE w:val="0"/>
              <w:autoSpaceDN w:val="0"/>
              <w:adjustRightInd w:val="0"/>
              <w:jc w:val="right"/>
              <w:rPr>
                <w:rFonts w:ascii="Arial" w:hAnsi="Arial" w:cs="Arial"/>
                <w:b/>
                <w:color w:val="000000"/>
                <w:sz w:val="16"/>
                <w:szCs w:val="16"/>
                <w:lang w:val="en-GB"/>
              </w:rPr>
            </w:pPr>
          </w:p>
        </w:tc>
        <w:tc>
          <w:tcPr>
            <w:tcW w:w="1320" w:type="dxa"/>
            <w:vAlign w:val="center"/>
          </w:tcPr>
          <w:p w14:paraId="5F422C2E" w14:textId="77777777" w:rsidR="00FB39A5" w:rsidRPr="00FB39A5" w:rsidRDefault="00FB39A5" w:rsidP="00FB39A5">
            <w:pPr>
              <w:autoSpaceDE w:val="0"/>
              <w:autoSpaceDN w:val="0"/>
              <w:adjustRightInd w:val="0"/>
              <w:jc w:val="right"/>
              <w:rPr>
                <w:rFonts w:ascii="Arial" w:hAnsi="Arial" w:cs="Arial"/>
                <w:b/>
                <w:color w:val="000000"/>
                <w:sz w:val="16"/>
                <w:szCs w:val="16"/>
                <w:lang w:val="en-GB"/>
              </w:rPr>
            </w:pPr>
          </w:p>
        </w:tc>
        <w:tc>
          <w:tcPr>
            <w:tcW w:w="1320" w:type="dxa"/>
            <w:vAlign w:val="center"/>
          </w:tcPr>
          <w:p w14:paraId="08A5BD7A" w14:textId="77777777" w:rsidR="00FB39A5" w:rsidRPr="00FB39A5" w:rsidRDefault="00FB39A5" w:rsidP="00FB39A5">
            <w:pPr>
              <w:autoSpaceDE w:val="0"/>
              <w:autoSpaceDN w:val="0"/>
              <w:adjustRightInd w:val="0"/>
              <w:jc w:val="right"/>
              <w:rPr>
                <w:rFonts w:ascii="Arial" w:hAnsi="Arial" w:cs="Arial"/>
                <w:b/>
                <w:color w:val="000000"/>
                <w:sz w:val="16"/>
                <w:szCs w:val="16"/>
                <w:lang w:val="en-GB"/>
              </w:rPr>
            </w:pPr>
          </w:p>
        </w:tc>
        <w:tc>
          <w:tcPr>
            <w:tcW w:w="1440" w:type="dxa"/>
            <w:vAlign w:val="center"/>
          </w:tcPr>
          <w:p w14:paraId="59629FD9" w14:textId="77777777" w:rsidR="00FB39A5" w:rsidRPr="00FB39A5" w:rsidRDefault="00FB39A5" w:rsidP="00FB39A5">
            <w:pPr>
              <w:autoSpaceDE w:val="0"/>
              <w:autoSpaceDN w:val="0"/>
              <w:adjustRightInd w:val="0"/>
              <w:jc w:val="right"/>
              <w:rPr>
                <w:rFonts w:ascii="Arial" w:hAnsi="Arial" w:cs="Arial"/>
                <w:b/>
                <w:color w:val="000000"/>
                <w:sz w:val="16"/>
                <w:szCs w:val="16"/>
                <w:lang w:val="en-GB"/>
              </w:rPr>
            </w:pPr>
          </w:p>
        </w:tc>
      </w:tr>
      <w:tr w:rsidR="00FB39A5" w:rsidRPr="00FB39A5" w14:paraId="16F667E3" w14:textId="77777777" w:rsidTr="00FB39A5">
        <w:tblPrEx>
          <w:tblCellMar>
            <w:top w:w="0" w:type="dxa"/>
            <w:bottom w:w="0" w:type="dxa"/>
          </w:tblCellMar>
        </w:tblPrEx>
        <w:trPr>
          <w:trHeight w:val="65"/>
          <w:jc w:val="center"/>
        </w:trPr>
        <w:tc>
          <w:tcPr>
            <w:tcW w:w="4740" w:type="dxa"/>
            <w:vAlign w:val="center"/>
          </w:tcPr>
          <w:p w14:paraId="59FF4043" w14:textId="77777777" w:rsidR="00FB39A5" w:rsidRPr="00FB39A5" w:rsidRDefault="00FB39A5" w:rsidP="00FB39A5">
            <w:pPr>
              <w:autoSpaceDE w:val="0"/>
              <w:autoSpaceDN w:val="0"/>
              <w:adjustRightInd w:val="0"/>
              <w:jc w:val="center"/>
              <w:rPr>
                <w:rFonts w:ascii="Arial" w:hAnsi="Arial" w:cs="Arial"/>
                <w:b/>
                <w:color w:val="000000"/>
                <w:sz w:val="16"/>
                <w:szCs w:val="16"/>
                <w:lang w:val="en-GB"/>
              </w:rPr>
            </w:pPr>
            <w:r w:rsidRPr="00FB39A5">
              <w:rPr>
                <w:rFonts w:ascii="Arial" w:hAnsi="Arial" w:cs="Arial"/>
                <w:b/>
                <w:color w:val="000000"/>
                <w:sz w:val="16"/>
                <w:szCs w:val="16"/>
                <w:lang w:val="en-GB"/>
              </w:rPr>
              <w:t>Coral Reef Services</w:t>
            </w:r>
          </w:p>
        </w:tc>
        <w:tc>
          <w:tcPr>
            <w:tcW w:w="1177" w:type="dxa"/>
            <w:vAlign w:val="center"/>
          </w:tcPr>
          <w:p w14:paraId="30512634" w14:textId="77777777" w:rsidR="00FB39A5" w:rsidRPr="00FB39A5" w:rsidRDefault="00FB39A5" w:rsidP="00FB39A5">
            <w:pPr>
              <w:autoSpaceDE w:val="0"/>
              <w:autoSpaceDN w:val="0"/>
              <w:adjustRightInd w:val="0"/>
              <w:jc w:val="center"/>
              <w:rPr>
                <w:rFonts w:ascii="Arial" w:hAnsi="Arial" w:cs="Arial"/>
                <w:b/>
                <w:color w:val="000000"/>
                <w:sz w:val="16"/>
                <w:szCs w:val="16"/>
                <w:lang w:val="en-GB"/>
              </w:rPr>
            </w:pPr>
          </w:p>
        </w:tc>
        <w:tc>
          <w:tcPr>
            <w:tcW w:w="1367" w:type="dxa"/>
            <w:vAlign w:val="center"/>
          </w:tcPr>
          <w:p w14:paraId="343366E4" w14:textId="77777777" w:rsidR="00FB39A5" w:rsidRPr="00FB39A5" w:rsidRDefault="00FB39A5" w:rsidP="00FB39A5">
            <w:pPr>
              <w:autoSpaceDE w:val="0"/>
              <w:autoSpaceDN w:val="0"/>
              <w:adjustRightInd w:val="0"/>
              <w:jc w:val="center"/>
              <w:rPr>
                <w:rFonts w:ascii="Arial" w:hAnsi="Arial" w:cs="Arial"/>
                <w:b/>
                <w:color w:val="000000"/>
                <w:sz w:val="16"/>
                <w:szCs w:val="16"/>
                <w:lang w:val="en-GB"/>
              </w:rPr>
            </w:pPr>
          </w:p>
        </w:tc>
        <w:tc>
          <w:tcPr>
            <w:tcW w:w="1010" w:type="dxa"/>
            <w:vAlign w:val="center"/>
          </w:tcPr>
          <w:p w14:paraId="32FF160A" w14:textId="77777777" w:rsidR="00FB39A5" w:rsidRPr="00FB39A5" w:rsidRDefault="00FB39A5" w:rsidP="00FB39A5">
            <w:pPr>
              <w:autoSpaceDE w:val="0"/>
              <w:autoSpaceDN w:val="0"/>
              <w:adjustRightInd w:val="0"/>
              <w:jc w:val="center"/>
              <w:rPr>
                <w:rFonts w:ascii="Arial" w:hAnsi="Arial" w:cs="Arial"/>
                <w:b/>
                <w:color w:val="000000"/>
                <w:sz w:val="16"/>
                <w:szCs w:val="16"/>
                <w:lang w:val="en-GB"/>
              </w:rPr>
            </w:pPr>
          </w:p>
        </w:tc>
        <w:tc>
          <w:tcPr>
            <w:tcW w:w="1390" w:type="dxa"/>
            <w:vAlign w:val="center"/>
          </w:tcPr>
          <w:p w14:paraId="7EFD55F8" w14:textId="77777777" w:rsidR="00FB39A5" w:rsidRPr="00FB39A5" w:rsidRDefault="00FB39A5" w:rsidP="00FB39A5">
            <w:pPr>
              <w:autoSpaceDE w:val="0"/>
              <w:autoSpaceDN w:val="0"/>
              <w:adjustRightInd w:val="0"/>
              <w:jc w:val="center"/>
              <w:rPr>
                <w:rFonts w:ascii="Arial" w:hAnsi="Arial" w:cs="Arial"/>
                <w:b/>
                <w:color w:val="000000"/>
                <w:sz w:val="16"/>
                <w:szCs w:val="16"/>
                <w:lang w:val="en-GB"/>
              </w:rPr>
            </w:pPr>
          </w:p>
        </w:tc>
        <w:tc>
          <w:tcPr>
            <w:tcW w:w="1320" w:type="dxa"/>
            <w:vAlign w:val="center"/>
          </w:tcPr>
          <w:p w14:paraId="57D81137" w14:textId="77777777" w:rsidR="00FB39A5" w:rsidRPr="00FB39A5" w:rsidRDefault="00FB39A5" w:rsidP="00FB39A5">
            <w:pPr>
              <w:autoSpaceDE w:val="0"/>
              <w:autoSpaceDN w:val="0"/>
              <w:adjustRightInd w:val="0"/>
              <w:jc w:val="center"/>
              <w:rPr>
                <w:rFonts w:ascii="Arial" w:hAnsi="Arial" w:cs="Arial"/>
                <w:b/>
                <w:color w:val="000000"/>
                <w:sz w:val="16"/>
                <w:szCs w:val="16"/>
                <w:lang w:val="en-GB"/>
              </w:rPr>
            </w:pPr>
          </w:p>
        </w:tc>
        <w:tc>
          <w:tcPr>
            <w:tcW w:w="1320" w:type="dxa"/>
            <w:vAlign w:val="center"/>
          </w:tcPr>
          <w:p w14:paraId="17194A38" w14:textId="77777777" w:rsidR="00FB39A5" w:rsidRPr="00FB39A5" w:rsidRDefault="00FB39A5" w:rsidP="00FB39A5">
            <w:pPr>
              <w:autoSpaceDE w:val="0"/>
              <w:autoSpaceDN w:val="0"/>
              <w:adjustRightInd w:val="0"/>
              <w:jc w:val="center"/>
              <w:rPr>
                <w:rFonts w:ascii="Arial" w:hAnsi="Arial" w:cs="Arial"/>
                <w:b/>
                <w:color w:val="000000"/>
                <w:sz w:val="16"/>
                <w:szCs w:val="16"/>
                <w:lang w:val="en-GB"/>
              </w:rPr>
            </w:pPr>
          </w:p>
        </w:tc>
        <w:tc>
          <w:tcPr>
            <w:tcW w:w="1440" w:type="dxa"/>
            <w:vAlign w:val="center"/>
          </w:tcPr>
          <w:p w14:paraId="4040F4A6" w14:textId="77777777" w:rsidR="00FB39A5" w:rsidRPr="00FB39A5" w:rsidRDefault="00FB39A5" w:rsidP="00FB39A5">
            <w:pPr>
              <w:autoSpaceDE w:val="0"/>
              <w:autoSpaceDN w:val="0"/>
              <w:adjustRightInd w:val="0"/>
              <w:jc w:val="center"/>
              <w:rPr>
                <w:rFonts w:ascii="Arial" w:hAnsi="Arial" w:cs="Arial"/>
                <w:b/>
                <w:color w:val="000000"/>
                <w:sz w:val="16"/>
                <w:szCs w:val="16"/>
                <w:lang w:val="en-GB"/>
              </w:rPr>
            </w:pPr>
          </w:p>
        </w:tc>
      </w:tr>
      <w:tr w:rsidR="00FB39A5" w:rsidRPr="00FB39A5" w14:paraId="464ADA49" w14:textId="77777777" w:rsidTr="00FB39A5">
        <w:tblPrEx>
          <w:tblCellMar>
            <w:top w:w="0" w:type="dxa"/>
            <w:bottom w:w="0" w:type="dxa"/>
          </w:tblCellMar>
        </w:tblPrEx>
        <w:trPr>
          <w:trHeight w:val="65"/>
          <w:jc w:val="center"/>
        </w:trPr>
        <w:tc>
          <w:tcPr>
            <w:tcW w:w="4740" w:type="dxa"/>
            <w:vAlign w:val="center"/>
          </w:tcPr>
          <w:p w14:paraId="05FC324E"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Coral Reef Tourism</w:t>
            </w:r>
          </w:p>
        </w:tc>
        <w:tc>
          <w:tcPr>
            <w:tcW w:w="1177" w:type="dxa"/>
            <w:vAlign w:val="center"/>
          </w:tcPr>
          <w:p w14:paraId="37228EB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67" w:type="dxa"/>
            <w:vAlign w:val="center"/>
          </w:tcPr>
          <w:p w14:paraId="43C9B4A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10" w:type="dxa"/>
            <w:vAlign w:val="center"/>
          </w:tcPr>
          <w:p w14:paraId="2C256BE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32A8431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270.19</w:t>
            </w:r>
          </w:p>
        </w:tc>
        <w:tc>
          <w:tcPr>
            <w:tcW w:w="1320" w:type="dxa"/>
            <w:vAlign w:val="center"/>
          </w:tcPr>
          <w:p w14:paraId="7C22DDE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7,149.70</w:t>
            </w:r>
          </w:p>
        </w:tc>
        <w:tc>
          <w:tcPr>
            <w:tcW w:w="1320" w:type="dxa"/>
            <w:vAlign w:val="center"/>
          </w:tcPr>
          <w:p w14:paraId="60A9217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964.17</w:t>
            </w:r>
          </w:p>
        </w:tc>
        <w:tc>
          <w:tcPr>
            <w:tcW w:w="1440" w:type="dxa"/>
            <w:vAlign w:val="center"/>
          </w:tcPr>
          <w:p w14:paraId="5374E38F"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1,024.62</w:t>
            </w:r>
          </w:p>
        </w:tc>
      </w:tr>
      <w:tr w:rsidR="00FB39A5" w:rsidRPr="00FB39A5" w14:paraId="0E2D8FCA" w14:textId="77777777" w:rsidTr="00FB39A5">
        <w:tblPrEx>
          <w:tblCellMar>
            <w:top w:w="0" w:type="dxa"/>
            <w:bottom w:w="0" w:type="dxa"/>
          </w:tblCellMar>
        </w:tblPrEx>
        <w:trPr>
          <w:trHeight w:val="112"/>
          <w:jc w:val="center"/>
        </w:trPr>
        <w:tc>
          <w:tcPr>
            <w:tcW w:w="4740" w:type="dxa"/>
            <w:vAlign w:val="center"/>
          </w:tcPr>
          <w:p w14:paraId="40A50D98"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Research</w:t>
            </w:r>
          </w:p>
        </w:tc>
        <w:tc>
          <w:tcPr>
            <w:tcW w:w="1177" w:type="dxa"/>
            <w:vAlign w:val="center"/>
          </w:tcPr>
          <w:p w14:paraId="1707495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67" w:type="dxa"/>
            <w:vAlign w:val="center"/>
          </w:tcPr>
          <w:p w14:paraId="0D95BFF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10" w:type="dxa"/>
            <w:vAlign w:val="center"/>
          </w:tcPr>
          <w:p w14:paraId="44F2180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1690D8A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4DD542A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096B10C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6B6EA144"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p>
        </w:tc>
      </w:tr>
      <w:tr w:rsidR="00FB39A5" w:rsidRPr="00FB39A5" w14:paraId="11DBCDA5" w14:textId="77777777" w:rsidTr="00FB39A5">
        <w:tblPrEx>
          <w:tblCellMar>
            <w:top w:w="0" w:type="dxa"/>
            <w:bottom w:w="0" w:type="dxa"/>
          </w:tblCellMar>
        </w:tblPrEx>
        <w:trPr>
          <w:trHeight w:val="82"/>
          <w:jc w:val="center"/>
        </w:trPr>
        <w:tc>
          <w:tcPr>
            <w:tcW w:w="4740" w:type="dxa"/>
            <w:vAlign w:val="center"/>
          </w:tcPr>
          <w:p w14:paraId="04F1E305"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Beach Protection</w:t>
            </w:r>
          </w:p>
        </w:tc>
        <w:tc>
          <w:tcPr>
            <w:tcW w:w="1177" w:type="dxa"/>
            <w:vAlign w:val="center"/>
          </w:tcPr>
          <w:p w14:paraId="4E9EF7D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67" w:type="dxa"/>
            <w:vAlign w:val="center"/>
          </w:tcPr>
          <w:p w14:paraId="4397598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7,330.56</w:t>
            </w:r>
          </w:p>
        </w:tc>
        <w:tc>
          <w:tcPr>
            <w:tcW w:w="1010" w:type="dxa"/>
            <w:vAlign w:val="center"/>
          </w:tcPr>
          <w:p w14:paraId="2051BEF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7B181BC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66EE08B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54D13E8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7A57B586"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383.80</w:t>
            </w:r>
          </w:p>
        </w:tc>
      </w:tr>
      <w:tr w:rsidR="00FB39A5" w:rsidRPr="00FB39A5" w14:paraId="0D0775D5" w14:textId="77777777" w:rsidTr="00FB39A5">
        <w:tblPrEx>
          <w:tblCellMar>
            <w:top w:w="0" w:type="dxa"/>
            <w:bottom w:w="0" w:type="dxa"/>
          </w:tblCellMar>
        </w:tblPrEx>
        <w:trPr>
          <w:trHeight w:val="65"/>
          <w:jc w:val="center"/>
        </w:trPr>
        <w:tc>
          <w:tcPr>
            <w:tcW w:w="4740" w:type="dxa"/>
            <w:vAlign w:val="center"/>
          </w:tcPr>
          <w:p w14:paraId="386CDF13"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Biodiversity Option Value</w:t>
            </w:r>
          </w:p>
        </w:tc>
        <w:tc>
          <w:tcPr>
            <w:tcW w:w="1177" w:type="dxa"/>
            <w:vAlign w:val="center"/>
          </w:tcPr>
          <w:p w14:paraId="43B6B53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67" w:type="dxa"/>
            <w:vAlign w:val="center"/>
          </w:tcPr>
          <w:p w14:paraId="5352EC9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10.57</w:t>
            </w:r>
          </w:p>
        </w:tc>
        <w:tc>
          <w:tcPr>
            <w:tcW w:w="1010" w:type="dxa"/>
            <w:vAlign w:val="center"/>
          </w:tcPr>
          <w:p w14:paraId="2F4B9FD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033F06E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23F83D3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20" w:type="dxa"/>
            <w:vAlign w:val="center"/>
          </w:tcPr>
          <w:p w14:paraId="0551E99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40" w:type="dxa"/>
            <w:vAlign w:val="center"/>
          </w:tcPr>
          <w:p w14:paraId="3279FDB9"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0.55</w:t>
            </w:r>
          </w:p>
        </w:tc>
      </w:tr>
      <w:tr w:rsidR="00FB39A5" w:rsidRPr="00FB39A5" w14:paraId="5BD73B62" w14:textId="77777777" w:rsidTr="00FB39A5">
        <w:tblPrEx>
          <w:tblCellMar>
            <w:top w:w="0" w:type="dxa"/>
            <w:bottom w:w="0" w:type="dxa"/>
          </w:tblCellMar>
        </w:tblPrEx>
        <w:trPr>
          <w:trHeight w:val="65"/>
          <w:jc w:val="center"/>
        </w:trPr>
        <w:tc>
          <w:tcPr>
            <w:tcW w:w="4740" w:type="dxa"/>
            <w:vAlign w:val="center"/>
          </w:tcPr>
          <w:p w14:paraId="724014C3"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Total Value Services US$ per Ha</w:t>
            </w:r>
          </w:p>
        </w:tc>
        <w:tc>
          <w:tcPr>
            <w:tcW w:w="1177" w:type="dxa"/>
            <w:vAlign w:val="center"/>
          </w:tcPr>
          <w:p w14:paraId="1F69795F"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367" w:type="dxa"/>
            <w:vAlign w:val="center"/>
          </w:tcPr>
          <w:p w14:paraId="2C620728"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7,341.13</w:t>
            </w:r>
          </w:p>
        </w:tc>
        <w:tc>
          <w:tcPr>
            <w:tcW w:w="1010" w:type="dxa"/>
            <w:vAlign w:val="center"/>
          </w:tcPr>
          <w:p w14:paraId="47B9549C"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390" w:type="dxa"/>
            <w:vAlign w:val="center"/>
          </w:tcPr>
          <w:p w14:paraId="2BEFBEAA"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270.19</w:t>
            </w:r>
          </w:p>
        </w:tc>
        <w:tc>
          <w:tcPr>
            <w:tcW w:w="1320" w:type="dxa"/>
            <w:vAlign w:val="center"/>
          </w:tcPr>
          <w:p w14:paraId="27723901"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7,149.70</w:t>
            </w:r>
          </w:p>
        </w:tc>
        <w:tc>
          <w:tcPr>
            <w:tcW w:w="1320" w:type="dxa"/>
            <w:vAlign w:val="center"/>
          </w:tcPr>
          <w:p w14:paraId="6401AC82"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964.17</w:t>
            </w:r>
          </w:p>
        </w:tc>
        <w:tc>
          <w:tcPr>
            <w:tcW w:w="1440" w:type="dxa"/>
            <w:vAlign w:val="center"/>
          </w:tcPr>
          <w:p w14:paraId="2F43EC91"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1,408.97</w:t>
            </w:r>
          </w:p>
        </w:tc>
      </w:tr>
      <w:tr w:rsidR="00FB39A5" w:rsidRPr="00FB39A5" w14:paraId="15B08738" w14:textId="77777777" w:rsidTr="00FB39A5">
        <w:tblPrEx>
          <w:tblCellMar>
            <w:top w:w="0" w:type="dxa"/>
            <w:bottom w:w="0" w:type="dxa"/>
          </w:tblCellMar>
        </w:tblPrEx>
        <w:trPr>
          <w:trHeight w:val="65"/>
          <w:jc w:val="center"/>
        </w:trPr>
        <w:tc>
          <w:tcPr>
            <w:tcW w:w="4740" w:type="dxa"/>
            <w:vAlign w:val="center"/>
          </w:tcPr>
          <w:p w14:paraId="6B0E0E18"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p>
        </w:tc>
        <w:tc>
          <w:tcPr>
            <w:tcW w:w="1177" w:type="dxa"/>
            <w:vAlign w:val="center"/>
          </w:tcPr>
          <w:p w14:paraId="153F935A"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p>
        </w:tc>
        <w:tc>
          <w:tcPr>
            <w:tcW w:w="1367" w:type="dxa"/>
            <w:vAlign w:val="center"/>
          </w:tcPr>
          <w:p w14:paraId="43049513"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p>
        </w:tc>
        <w:tc>
          <w:tcPr>
            <w:tcW w:w="1010" w:type="dxa"/>
            <w:vAlign w:val="center"/>
          </w:tcPr>
          <w:p w14:paraId="21D7C848"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p>
        </w:tc>
        <w:tc>
          <w:tcPr>
            <w:tcW w:w="1390" w:type="dxa"/>
            <w:vAlign w:val="center"/>
          </w:tcPr>
          <w:p w14:paraId="6E2B257B"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p>
        </w:tc>
        <w:tc>
          <w:tcPr>
            <w:tcW w:w="1320" w:type="dxa"/>
            <w:vAlign w:val="center"/>
          </w:tcPr>
          <w:p w14:paraId="0849C9C9"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p>
        </w:tc>
        <w:tc>
          <w:tcPr>
            <w:tcW w:w="1320" w:type="dxa"/>
            <w:vAlign w:val="center"/>
          </w:tcPr>
          <w:p w14:paraId="11CEDF4A"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p>
        </w:tc>
        <w:tc>
          <w:tcPr>
            <w:tcW w:w="1440" w:type="dxa"/>
            <w:vAlign w:val="center"/>
          </w:tcPr>
          <w:p w14:paraId="4858E75C"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p>
        </w:tc>
      </w:tr>
      <w:tr w:rsidR="00FB39A5" w:rsidRPr="00FB39A5" w14:paraId="29377EB4" w14:textId="77777777" w:rsidTr="00FB39A5">
        <w:tblPrEx>
          <w:tblCellMar>
            <w:top w:w="0" w:type="dxa"/>
            <w:bottom w:w="0" w:type="dxa"/>
          </w:tblCellMar>
        </w:tblPrEx>
        <w:trPr>
          <w:trHeight w:val="114"/>
          <w:jc w:val="center"/>
        </w:trPr>
        <w:tc>
          <w:tcPr>
            <w:tcW w:w="4740" w:type="dxa"/>
            <w:vAlign w:val="center"/>
          </w:tcPr>
          <w:p w14:paraId="30403E2B" w14:textId="77777777" w:rsidR="00FB39A5" w:rsidRPr="00FB39A5" w:rsidRDefault="00FB39A5" w:rsidP="00FB39A5">
            <w:pPr>
              <w:autoSpaceDE w:val="0"/>
              <w:autoSpaceDN w:val="0"/>
              <w:adjustRightInd w:val="0"/>
              <w:jc w:val="both"/>
              <w:rPr>
                <w:rFonts w:ascii="Arial" w:hAnsi="Arial" w:cs="Arial"/>
                <w:b/>
                <w:bCs/>
                <w:color w:val="000000"/>
                <w:sz w:val="18"/>
                <w:szCs w:val="18"/>
                <w:lang w:val="en-GB"/>
              </w:rPr>
            </w:pPr>
            <w:r w:rsidRPr="00FB39A5">
              <w:rPr>
                <w:rFonts w:ascii="Arial" w:hAnsi="Arial" w:cs="Arial"/>
                <w:b/>
                <w:bCs/>
                <w:color w:val="000000"/>
                <w:sz w:val="18"/>
                <w:szCs w:val="18"/>
                <w:lang w:val="en-GB"/>
              </w:rPr>
              <w:t>Total Value Goods and Services US$</w:t>
            </w:r>
          </w:p>
        </w:tc>
        <w:tc>
          <w:tcPr>
            <w:tcW w:w="1177" w:type="dxa"/>
            <w:vAlign w:val="center"/>
          </w:tcPr>
          <w:p w14:paraId="2B9DD4C2"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367" w:type="dxa"/>
            <w:vAlign w:val="center"/>
          </w:tcPr>
          <w:p w14:paraId="60F7E7D9"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8,109.43</w:t>
            </w:r>
          </w:p>
        </w:tc>
        <w:tc>
          <w:tcPr>
            <w:tcW w:w="1010" w:type="dxa"/>
            <w:vAlign w:val="center"/>
          </w:tcPr>
          <w:p w14:paraId="218653B7"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390" w:type="dxa"/>
            <w:vAlign w:val="center"/>
          </w:tcPr>
          <w:p w14:paraId="39464BD4"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421.17</w:t>
            </w:r>
          </w:p>
        </w:tc>
        <w:tc>
          <w:tcPr>
            <w:tcW w:w="1320" w:type="dxa"/>
            <w:vAlign w:val="center"/>
          </w:tcPr>
          <w:p w14:paraId="58D7CE45"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7,149.70</w:t>
            </w:r>
          </w:p>
        </w:tc>
        <w:tc>
          <w:tcPr>
            <w:tcW w:w="1320" w:type="dxa"/>
            <w:vAlign w:val="center"/>
          </w:tcPr>
          <w:p w14:paraId="6A110721"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964.17</w:t>
            </w:r>
          </w:p>
        </w:tc>
        <w:tc>
          <w:tcPr>
            <w:tcW w:w="1440" w:type="dxa"/>
            <w:vAlign w:val="center"/>
          </w:tcPr>
          <w:p w14:paraId="2A4B6391"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1,542.56</w:t>
            </w:r>
          </w:p>
        </w:tc>
      </w:tr>
      <w:tr w:rsidR="00FB39A5" w:rsidRPr="00FB39A5" w14:paraId="4F726D15" w14:textId="77777777" w:rsidTr="00FB39A5">
        <w:tblPrEx>
          <w:tblCellMar>
            <w:top w:w="0" w:type="dxa"/>
            <w:bottom w:w="0" w:type="dxa"/>
          </w:tblCellMar>
        </w:tblPrEx>
        <w:trPr>
          <w:trHeight w:val="250"/>
          <w:jc w:val="center"/>
        </w:trPr>
        <w:tc>
          <w:tcPr>
            <w:tcW w:w="4740" w:type="dxa"/>
            <w:vAlign w:val="center"/>
          </w:tcPr>
          <w:p w14:paraId="51048EBD" w14:textId="77777777" w:rsidR="00FB39A5" w:rsidRPr="00FB39A5" w:rsidRDefault="00FB39A5" w:rsidP="00FB39A5">
            <w:pPr>
              <w:autoSpaceDE w:val="0"/>
              <w:autoSpaceDN w:val="0"/>
              <w:adjustRightInd w:val="0"/>
              <w:jc w:val="both"/>
              <w:rPr>
                <w:rFonts w:ascii="Arial" w:hAnsi="Arial" w:cs="Arial"/>
                <w:b/>
                <w:color w:val="000000"/>
                <w:sz w:val="18"/>
                <w:szCs w:val="18"/>
                <w:lang w:val="en-GB"/>
              </w:rPr>
            </w:pPr>
            <w:r w:rsidRPr="00FB39A5">
              <w:rPr>
                <w:rFonts w:ascii="Arial" w:hAnsi="Arial" w:cs="Arial"/>
                <w:b/>
                <w:color w:val="000000"/>
                <w:sz w:val="18"/>
                <w:szCs w:val="18"/>
                <w:lang w:val="en-GB"/>
              </w:rPr>
              <w:t xml:space="preserve">Total coral reef area in the </w:t>
            </w:r>
            <w:smartTag w:uri="urn:schemas-microsoft-com:office:smarttags" w:element="place">
              <w:r w:rsidRPr="00FB39A5">
                <w:rPr>
                  <w:rFonts w:ascii="Arial" w:hAnsi="Arial" w:cs="Arial"/>
                  <w:b/>
                  <w:color w:val="000000"/>
                  <w:sz w:val="18"/>
                  <w:szCs w:val="18"/>
                  <w:lang w:val="en-GB"/>
                </w:rPr>
                <w:t>South China Sea</w:t>
              </w:r>
            </w:smartTag>
            <w:r w:rsidRPr="00FB39A5">
              <w:rPr>
                <w:rFonts w:ascii="Arial" w:hAnsi="Arial" w:cs="Arial"/>
                <w:b/>
                <w:color w:val="000000"/>
                <w:sz w:val="18"/>
                <w:szCs w:val="18"/>
                <w:lang w:val="en-GB"/>
              </w:rPr>
              <w:t xml:space="preserve"> (ha)</w:t>
            </w:r>
          </w:p>
        </w:tc>
        <w:tc>
          <w:tcPr>
            <w:tcW w:w="1177" w:type="dxa"/>
            <w:vAlign w:val="center"/>
          </w:tcPr>
          <w:p w14:paraId="36E4D036"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2,807</w:t>
            </w:r>
          </w:p>
        </w:tc>
        <w:tc>
          <w:tcPr>
            <w:tcW w:w="1367" w:type="dxa"/>
            <w:vAlign w:val="center"/>
          </w:tcPr>
          <w:p w14:paraId="03148282"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39,287</w:t>
            </w:r>
          </w:p>
        </w:tc>
        <w:tc>
          <w:tcPr>
            <w:tcW w:w="1010" w:type="dxa"/>
            <w:vAlign w:val="center"/>
          </w:tcPr>
          <w:p w14:paraId="44DF755D"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44,276</w:t>
            </w:r>
          </w:p>
        </w:tc>
        <w:tc>
          <w:tcPr>
            <w:tcW w:w="1390" w:type="dxa"/>
            <w:vAlign w:val="center"/>
          </w:tcPr>
          <w:p w14:paraId="4BA65D35"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464,000</w:t>
            </w:r>
          </w:p>
        </w:tc>
        <w:tc>
          <w:tcPr>
            <w:tcW w:w="1320" w:type="dxa"/>
            <w:vAlign w:val="center"/>
          </w:tcPr>
          <w:p w14:paraId="4852A4BA"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90,000</w:t>
            </w:r>
          </w:p>
        </w:tc>
        <w:tc>
          <w:tcPr>
            <w:tcW w:w="1320" w:type="dxa"/>
            <w:vAlign w:val="center"/>
          </w:tcPr>
          <w:p w14:paraId="258651AF"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110,000</w:t>
            </w:r>
          </w:p>
        </w:tc>
        <w:tc>
          <w:tcPr>
            <w:tcW w:w="1440" w:type="dxa"/>
            <w:vAlign w:val="center"/>
          </w:tcPr>
          <w:p w14:paraId="2CF85F72"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750,307</w:t>
            </w:r>
          </w:p>
        </w:tc>
      </w:tr>
      <w:tr w:rsidR="00FB39A5" w:rsidRPr="00FB39A5" w14:paraId="1D89DC85" w14:textId="77777777" w:rsidTr="00FB39A5">
        <w:tblPrEx>
          <w:tblCellMar>
            <w:top w:w="0" w:type="dxa"/>
            <w:bottom w:w="0" w:type="dxa"/>
          </w:tblCellMar>
        </w:tblPrEx>
        <w:trPr>
          <w:trHeight w:val="190"/>
          <w:jc w:val="center"/>
        </w:trPr>
        <w:tc>
          <w:tcPr>
            <w:tcW w:w="4740" w:type="dxa"/>
            <w:vAlign w:val="center"/>
          </w:tcPr>
          <w:p w14:paraId="73CFA235"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Value of Total Annual Production US$</w:t>
            </w:r>
          </w:p>
        </w:tc>
        <w:tc>
          <w:tcPr>
            <w:tcW w:w="1177" w:type="dxa"/>
            <w:vAlign w:val="center"/>
          </w:tcPr>
          <w:p w14:paraId="7F8EB473"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color w:val="000000"/>
                <w:sz w:val="18"/>
                <w:szCs w:val="18"/>
                <w:lang w:val="en-GB"/>
              </w:rPr>
              <w:t>0</w:t>
            </w:r>
          </w:p>
        </w:tc>
        <w:tc>
          <w:tcPr>
            <w:tcW w:w="1367" w:type="dxa"/>
            <w:vAlign w:val="center"/>
          </w:tcPr>
          <w:p w14:paraId="20ADA0E2"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color w:val="000000"/>
                <w:sz w:val="18"/>
                <w:szCs w:val="18"/>
                <w:lang w:val="en-GB"/>
              </w:rPr>
              <w:t>318,595,042</w:t>
            </w:r>
          </w:p>
        </w:tc>
        <w:tc>
          <w:tcPr>
            <w:tcW w:w="1010" w:type="dxa"/>
            <w:vAlign w:val="center"/>
          </w:tcPr>
          <w:p w14:paraId="4001B061"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0</w:t>
            </w:r>
          </w:p>
        </w:tc>
        <w:tc>
          <w:tcPr>
            <w:tcW w:w="1390" w:type="dxa"/>
            <w:vAlign w:val="center"/>
          </w:tcPr>
          <w:p w14:paraId="1BD84E82"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195,422,880</w:t>
            </w:r>
          </w:p>
        </w:tc>
        <w:tc>
          <w:tcPr>
            <w:tcW w:w="1320" w:type="dxa"/>
            <w:vAlign w:val="center"/>
          </w:tcPr>
          <w:p w14:paraId="54489FD3"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643,473,000</w:t>
            </w:r>
          </w:p>
        </w:tc>
        <w:tc>
          <w:tcPr>
            <w:tcW w:w="1320" w:type="dxa"/>
            <w:vAlign w:val="center"/>
          </w:tcPr>
          <w:p w14:paraId="01285040"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106,058,248</w:t>
            </w:r>
          </w:p>
        </w:tc>
        <w:tc>
          <w:tcPr>
            <w:tcW w:w="1440" w:type="dxa"/>
            <w:vAlign w:val="center"/>
          </w:tcPr>
          <w:p w14:paraId="029B5EA0"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1,157,393,756</w:t>
            </w:r>
          </w:p>
        </w:tc>
      </w:tr>
    </w:tbl>
    <w:p w14:paraId="4CDDA8BA" w14:textId="77777777" w:rsidR="00FB39A5" w:rsidRPr="00FB39A5" w:rsidRDefault="00FB39A5" w:rsidP="00FB39A5">
      <w:pPr>
        <w:jc w:val="both"/>
        <w:rPr>
          <w:rFonts w:ascii="Arial" w:hAnsi="Arial"/>
          <w:sz w:val="20"/>
          <w:lang w:val="en-GB"/>
        </w:rPr>
      </w:pPr>
    </w:p>
    <w:p w14:paraId="6E9EC0EB" w14:textId="77777777" w:rsidR="00FB39A5" w:rsidRPr="00FB39A5" w:rsidRDefault="00FB39A5" w:rsidP="00FB39A5">
      <w:pPr>
        <w:jc w:val="both"/>
        <w:rPr>
          <w:rFonts w:ascii="Arial" w:hAnsi="Arial"/>
          <w:sz w:val="20"/>
          <w:lang w:val="en-GB"/>
        </w:rPr>
      </w:pPr>
    </w:p>
    <w:p w14:paraId="5B5BFBB1" w14:textId="77777777" w:rsidR="00FB39A5" w:rsidRPr="00C27D0E" w:rsidRDefault="00FB39A5" w:rsidP="00FB39A5">
      <w:pPr>
        <w:spacing w:after="120"/>
        <w:ind w:left="1500" w:right="218" w:hanging="1200"/>
        <w:jc w:val="both"/>
        <w:rPr>
          <w:bCs/>
          <w:sz w:val="21"/>
          <w:szCs w:val="21"/>
          <w:lang w:val="en-GB"/>
        </w:rPr>
      </w:pPr>
      <w:r w:rsidRPr="00FB39A5">
        <w:rPr>
          <w:rFonts w:ascii="Arial" w:hAnsi="Arial"/>
          <w:sz w:val="20"/>
          <w:lang w:val="en-GB"/>
        </w:rPr>
        <w:br w:type="page"/>
      </w:r>
      <w:r w:rsidRPr="00C27D0E">
        <w:rPr>
          <w:b/>
          <w:bCs/>
          <w:sz w:val="21"/>
          <w:szCs w:val="21"/>
          <w:lang w:val="en-GB"/>
        </w:rPr>
        <w:t xml:space="preserve">Table </w:t>
      </w:r>
      <w:r w:rsidR="00C27D0E" w:rsidRPr="00C27D0E">
        <w:rPr>
          <w:b/>
          <w:bCs/>
          <w:sz w:val="21"/>
          <w:szCs w:val="21"/>
          <w:lang w:val="en-GB"/>
        </w:rPr>
        <w:t>6</w:t>
      </w:r>
      <w:r w:rsidRPr="00C27D0E">
        <w:rPr>
          <w:bCs/>
          <w:sz w:val="21"/>
          <w:szCs w:val="21"/>
          <w:lang w:val="en-GB"/>
        </w:rPr>
        <w:tab/>
        <w:t>Weighted mean national and regional values for the per hectare annual production of goods and services of seagrass meadows bordering the South China Sea.</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37"/>
        <w:gridCol w:w="1121"/>
        <w:gridCol w:w="1120"/>
        <w:gridCol w:w="1252"/>
        <w:gridCol w:w="1025"/>
        <w:gridCol w:w="1255"/>
        <w:gridCol w:w="1121"/>
        <w:gridCol w:w="1120"/>
        <w:gridCol w:w="1121"/>
      </w:tblGrid>
      <w:tr w:rsidR="00FB39A5" w:rsidRPr="00FB39A5" w14:paraId="104FF715" w14:textId="77777777" w:rsidTr="00FB39A5">
        <w:tblPrEx>
          <w:tblCellMar>
            <w:top w:w="0" w:type="dxa"/>
            <w:bottom w:w="0" w:type="dxa"/>
          </w:tblCellMar>
        </w:tblPrEx>
        <w:trPr>
          <w:trHeight w:val="247"/>
          <w:jc w:val="center"/>
        </w:trPr>
        <w:tc>
          <w:tcPr>
            <w:tcW w:w="4337" w:type="dxa"/>
            <w:tcBorders>
              <w:top w:val="single" w:sz="12" w:space="0" w:color="auto"/>
              <w:bottom w:val="single" w:sz="12" w:space="0" w:color="auto"/>
            </w:tcBorders>
          </w:tcPr>
          <w:p w14:paraId="72D3AD1C" w14:textId="77777777" w:rsidR="00FB39A5" w:rsidRPr="00FB39A5" w:rsidRDefault="00FB39A5" w:rsidP="00FB39A5">
            <w:pPr>
              <w:autoSpaceDE w:val="0"/>
              <w:autoSpaceDN w:val="0"/>
              <w:adjustRightInd w:val="0"/>
              <w:jc w:val="center"/>
              <w:rPr>
                <w:rFonts w:ascii="Arial" w:hAnsi="Arial" w:cs="Arial"/>
                <w:color w:val="000000"/>
                <w:sz w:val="16"/>
                <w:szCs w:val="16"/>
                <w:lang w:val="en-GB"/>
              </w:rPr>
            </w:pPr>
          </w:p>
        </w:tc>
        <w:tc>
          <w:tcPr>
            <w:tcW w:w="1121" w:type="dxa"/>
            <w:tcBorders>
              <w:top w:val="single" w:sz="12" w:space="0" w:color="auto"/>
              <w:bottom w:val="single" w:sz="12" w:space="0" w:color="auto"/>
            </w:tcBorders>
          </w:tcPr>
          <w:p w14:paraId="3DA4F605"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Cambodia</w:t>
                </w:r>
              </w:smartTag>
            </w:smartTag>
          </w:p>
        </w:tc>
        <w:tc>
          <w:tcPr>
            <w:tcW w:w="1120" w:type="dxa"/>
            <w:tcBorders>
              <w:top w:val="single" w:sz="12" w:space="0" w:color="auto"/>
              <w:bottom w:val="single" w:sz="12" w:space="0" w:color="auto"/>
            </w:tcBorders>
          </w:tcPr>
          <w:p w14:paraId="7C7EF88D"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China</w:t>
                </w:r>
              </w:smartTag>
            </w:smartTag>
          </w:p>
        </w:tc>
        <w:tc>
          <w:tcPr>
            <w:tcW w:w="1252" w:type="dxa"/>
            <w:tcBorders>
              <w:top w:val="single" w:sz="12" w:space="0" w:color="auto"/>
              <w:bottom w:val="single" w:sz="12" w:space="0" w:color="auto"/>
            </w:tcBorders>
          </w:tcPr>
          <w:p w14:paraId="2E123827"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Indonesia</w:t>
                </w:r>
              </w:smartTag>
            </w:smartTag>
          </w:p>
        </w:tc>
        <w:tc>
          <w:tcPr>
            <w:tcW w:w="1025" w:type="dxa"/>
            <w:tcBorders>
              <w:top w:val="single" w:sz="12" w:space="0" w:color="auto"/>
              <w:bottom w:val="single" w:sz="12" w:space="0" w:color="auto"/>
            </w:tcBorders>
          </w:tcPr>
          <w:p w14:paraId="0C00FE9F"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Malaysia</w:t>
                </w:r>
              </w:smartTag>
            </w:smartTag>
          </w:p>
        </w:tc>
        <w:tc>
          <w:tcPr>
            <w:tcW w:w="1255" w:type="dxa"/>
            <w:tcBorders>
              <w:top w:val="single" w:sz="12" w:space="0" w:color="auto"/>
              <w:bottom w:val="single" w:sz="12" w:space="0" w:color="auto"/>
            </w:tcBorders>
          </w:tcPr>
          <w:p w14:paraId="1D34D40F"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Philippines</w:t>
                </w:r>
              </w:smartTag>
            </w:smartTag>
          </w:p>
        </w:tc>
        <w:tc>
          <w:tcPr>
            <w:tcW w:w="1121" w:type="dxa"/>
            <w:tcBorders>
              <w:top w:val="single" w:sz="12" w:space="0" w:color="auto"/>
              <w:bottom w:val="single" w:sz="12" w:space="0" w:color="auto"/>
            </w:tcBorders>
          </w:tcPr>
          <w:p w14:paraId="0EB80311"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Thailand</w:t>
                </w:r>
              </w:smartTag>
            </w:smartTag>
          </w:p>
        </w:tc>
        <w:tc>
          <w:tcPr>
            <w:tcW w:w="1120" w:type="dxa"/>
            <w:tcBorders>
              <w:top w:val="single" w:sz="12" w:space="0" w:color="auto"/>
              <w:bottom w:val="single" w:sz="12" w:space="0" w:color="auto"/>
            </w:tcBorders>
          </w:tcPr>
          <w:p w14:paraId="445A5ED2"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Viet Nam</w:t>
                </w:r>
              </w:smartTag>
            </w:smartTag>
          </w:p>
        </w:tc>
        <w:tc>
          <w:tcPr>
            <w:tcW w:w="1121" w:type="dxa"/>
            <w:tcBorders>
              <w:top w:val="single" w:sz="12" w:space="0" w:color="auto"/>
              <w:bottom w:val="single" w:sz="12" w:space="0" w:color="auto"/>
            </w:tcBorders>
          </w:tcPr>
          <w:p w14:paraId="59F4683E"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r w:rsidRPr="00FB39A5">
              <w:rPr>
                <w:rFonts w:ascii="Arial" w:hAnsi="Arial" w:cs="Arial"/>
                <w:b/>
                <w:bCs/>
                <w:color w:val="000000"/>
                <w:sz w:val="18"/>
                <w:szCs w:val="18"/>
                <w:lang w:val="en-GB"/>
              </w:rPr>
              <w:t>Regional</w:t>
            </w:r>
          </w:p>
        </w:tc>
      </w:tr>
      <w:tr w:rsidR="00FB39A5" w:rsidRPr="00FB39A5" w14:paraId="22AE3BDD" w14:textId="77777777" w:rsidTr="00FB39A5">
        <w:tblPrEx>
          <w:tblCellMar>
            <w:top w:w="0" w:type="dxa"/>
            <w:bottom w:w="0" w:type="dxa"/>
          </w:tblCellMar>
        </w:tblPrEx>
        <w:trPr>
          <w:trHeight w:val="114"/>
          <w:jc w:val="center"/>
        </w:trPr>
        <w:tc>
          <w:tcPr>
            <w:tcW w:w="4337" w:type="dxa"/>
            <w:tcBorders>
              <w:top w:val="single" w:sz="12" w:space="0" w:color="auto"/>
            </w:tcBorders>
          </w:tcPr>
          <w:p w14:paraId="66C68AF6"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r w:rsidRPr="00FB39A5">
              <w:rPr>
                <w:rFonts w:ascii="Arial" w:hAnsi="Arial" w:cs="Arial"/>
                <w:b/>
                <w:bCs/>
                <w:color w:val="000000"/>
                <w:sz w:val="18"/>
                <w:szCs w:val="18"/>
                <w:lang w:val="en-GB"/>
              </w:rPr>
              <w:t>Seagrass Goods</w:t>
            </w:r>
          </w:p>
        </w:tc>
        <w:tc>
          <w:tcPr>
            <w:tcW w:w="1121" w:type="dxa"/>
            <w:tcBorders>
              <w:top w:val="single" w:sz="12" w:space="0" w:color="auto"/>
            </w:tcBorders>
          </w:tcPr>
          <w:p w14:paraId="69CDF142" w14:textId="77777777" w:rsidR="00FB39A5" w:rsidRPr="00FB39A5" w:rsidRDefault="00FB39A5" w:rsidP="00FB39A5">
            <w:pPr>
              <w:autoSpaceDE w:val="0"/>
              <w:autoSpaceDN w:val="0"/>
              <w:adjustRightInd w:val="0"/>
              <w:jc w:val="right"/>
              <w:rPr>
                <w:rFonts w:ascii="Arial" w:hAnsi="Arial" w:cs="Arial"/>
                <w:color w:val="000000"/>
                <w:sz w:val="18"/>
                <w:szCs w:val="18"/>
                <w:lang w:val="en-GB"/>
              </w:rPr>
            </w:pPr>
          </w:p>
        </w:tc>
        <w:tc>
          <w:tcPr>
            <w:tcW w:w="1120" w:type="dxa"/>
            <w:tcBorders>
              <w:top w:val="single" w:sz="12" w:space="0" w:color="auto"/>
            </w:tcBorders>
          </w:tcPr>
          <w:p w14:paraId="1CAD4E6A" w14:textId="77777777" w:rsidR="00FB39A5" w:rsidRPr="00FB39A5" w:rsidRDefault="00FB39A5" w:rsidP="00FB39A5">
            <w:pPr>
              <w:autoSpaceDE w:val="0"/>
              <w:autoSpaceDN w:val="0"/>
              <w:adjustRightInd w:val="0"/>
              <w:jc w:val="right"/>
              <w:rPr>
                <w:rFonts w:ascii="Arial" w:hAnsi="Arial" w:cs="Arial"/>
                <w:color w:val="000000"/>
                <w:sz w:val="18"/>
                <w:szCs w:val="18"/>
                <w:lang w:val="en-GB"/>
              </w:rPr>
            </w:pPr>
          </w:p>
        </w:tc>
        <w:tc>
          <w:tcPr>
            <w:tcW w:w="1252" w:type="dxa"/>
            <w:tcBorders>
              <w:top w:val="single" w:sz="12" w:space="0" w:color="auto"/>
            </w:tcBorders>
          </w:tcPr>
          <w:p w14:paraId="3FA5FF64" w14:textId="77777777" w:rsidR="00FB39A5" w:rsidRPr="00FB39A5" w:rsidRDefault="00FB39A5" w:rsidP="00FB39A5">
            <w:pPr>
              <w:autoSpaceDE w:val="0"/>
              <w:autoSpaceDN w:val="0"/>
              <w:adjustRightInd w:val="0"/>
              <w:jc w:val="right"/>
              <w:rPr>
                <w:rFonts w:ascii="Arial" w:hAnsi="Arial" w:cs="Arial"/>
                <w:color w:val="000000"/>
                <w:sz w:val="18"/>
                <w:szCs w:val="18"/>
                <w:lang w:val="en-GB"/>
              </w:rPr>
            </w:pPr>
          </w:p>
        </w:tc>
        <w:tc>
          <w:tcPr>
            <w:tcW w:w="1025" w:type="dxa"/>
            <w:tcBorders>
              <w:top w:val="single" w:sz="12" w:space="0" w:color="auto"/>
            </w:tcBorders>
          </w:tcPr>
          <w:p w14:paraId="5E4372B9" w14:textId="77777777" w:rsidR="00FB39A5" w:rsidRPr="00FB39A5" w:rsidRDefault="00FB39A5" w:rsidP="00FB39A5">
            <w:pPr>
              <w:autoSpaceDE w:val="0"/>
              <w:autoSpaceDN w:val="0"/>
              <w:adjustRightInd w:val="0"/>
              <w:jc w:val="right"/>
              <w:rPr>
                <w:rFonts w:ascii="Arial" w:hAnsi="Arial" w:cs="Arial"/>
                <w:color w:val="000000"/>
                <w:sz w:val="18"/>
                <w:szCs w:val="18"/>
                <w:lang w:val="en-GB"/>
              </w:rPr>
            </w:pPr>
          </w:p>
        </w:tc>
        <w:tc>
          <w:tcPr>
            <w:tcW w:w="1255" w:type="dxa"/>
            <w:tcBorders>
              <w:top w:val="single" w:sz="12" w:space="0" w:color="auto"/>
            </w:tcBorders>
          </w:tcPr>
          <w:p w14:paraId="5C95036A" w14:textId="77777777" w:rsidR="00FB39A5" w:rsidRPr="00FB39A5" w:rsidRDefault="00FB39A5" w:rsidP="00FB39A5">
            <w:pPr>
              <w:autoSpaceDE w:val="0"/>
              <w:autoSpaceDN w:val="0"/>
              <w:adjustRightInd w:val="0"/>
              <w:jc w:val="right"/>
              <w:rPr>
                <w:rFonts w:ascii="Arial" w:hAnsi="Arial" w:cs="Arial"/>
                <w:color w:val="000000"/>
                <w:sz w:val="18"/>
                <w:szCs w:val="18"/>
                <w:lang w:val="en-GB"/>
              </w:rPr>
            </w:pPr>
          </w:p>
        </w:tc>
        <w:tc>
          <w:tcPr>
            <w:tcW w:w="1121" w:type="dxa"/>
            <w:tcBorders>
              <w:top w:val="single" w:sz="12" w:space="0" w:color="auto"/>
            </w:tcBorders>
          </w:tcPr>
          <w:p w14:paraId="5BB0DC0A" w14:textId="77777777" w:rsidR="00FB39A5" w:rsidRPr="00FB39A5" w:rsidRDefault="00FB39A5" w:rsidP="00FB39A5">
            <w:pPr>
              <w:autoSpaceDE w:val="0"/>
              <w:autoSpaceDN w:val="0"/>
              <w:adjustRightInd w:val="0"/>
              <w:jc w:val="right"/>
              <w:rPr>
                <w:rFonts w:ascii="Arial" w:hAnsi="Arial" w:cs="Arial"/>
                <w:color w:val="000000"/>
                <w:sz w:val="18"/>
                <w:szCs w:val="18"/>
                <w:lang w:val="en-GB"/>
              </w:rPr>
            </w:pPr>
          </w:p>
        </w:tc>
        <w:tc>
          <w:tcPr>
            <w:tcW w:w="1120" w:type="dxa"/>
            <w:tcBorders>
              <w:top w:val="single" w:sz="12" w:space="0" w:color="auto"/>
            </w:tcBorders>
          </w:tcPr>
          <w:p w14:paraId="2AF64001" w14:textId="77777777" w:rsidR="00FB39A5" w:rsidRPr="00FB39A5" w:rsidRDefault="00FB39A5" w:rsidP="00FB39A5">
            <w:pPr>
              <w:autoSpaceDE w:val="0"/>
              <w:autoSpaceDN w:val="0"/>
              <w:adjustRightInd w:val="0"/>
              <w:jc w:val="right"/>
              <w:rPr>
                <w:rFonts w:ascii="Arial" w:hAnsi="Arial" w:cs="Arial"/>
                <w:color w:val="000000"/>
                <w:sz w:val="18"/>
                <w:szCs w:val="18"/>
                <w:lang w:val="en-GB"/>
              </w:rPr>
            </w:pPr>
          </w:p>
        </w:tc>
        <w:tc>
          <w:tcPr>
            <w:tcW w:w="1121" w:type="dxa"/>
            <w:tcBorders>
              <w:top w:val="single" w:sz="12" w:space="0" w:color="auto"/>
            </w:tcBorders>
          </w:tcPr>
          <w:p w14:paraId="44022E12"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p>
        </w:tc>
      </w:tr>
      <w:tr w:rsidR="00FB39A5" w:rsidRPr="00FB39A5" w14:paraId="6D435816" w14:textId="77777777" w:rsidTr="00FB39A5">
        <w:tblPrEx>
          <w:tblCellMar>
            <w:top w:w="0" w:type="dxa"/>
            <w:bottom w:w="0" w:type="dxa"/>
          </w:tblCellMar>
        </w:tblPrEx>
        <w:trPr>
          <w:trHeight w:val="114"/>
          <w:jc w:val="center"/>
        </w:trPr>
        <w:tc>
          <w:tcPr>
            <w:tcW w:w="4337" w:type="dxa"/>
          </w:tcPr>
          <w:p w14:paraId="113B402A"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Capture Fisheries (food and aquarium fish)</w:t>
            </w:r>
          </w:p>
        </w:tc>
        <w:tc>
          <w:tcPr>
            <w:tcW w:w="1121" w:type="dxa"/>
          </w:tcPr>
          <w:p w14:paraId="29194B8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452.15</w:t>
            </w:r>
          </w:p>
        </w:tc>
        <w:tc>
          <w:tcPr>
            <w:tcW w:w="1120" w:type="dxa"/>
          </w:tcPr>
          <w:p w14:paraId="4A740DD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176.33</w:t>
            </w:r>
          </w:p>
        </w:tc>
        <w:tc>
          <w:tcPr>
            <w:tcW w:w="1252" w:type="dxa"/>
          </w:tcPr>
          <w:p w14:paraId="614455C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159BE7F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191E064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34.84</w:t>
            </w:r>
          </w:p>
        </w:tc>
        <w:tc>
          <w:tcPr>
            <w:tcW w:w="1121" w:type="dxa"/>
          </w:tcPr>
          <w:p w14:paraId="2FE3CA0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50CB430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20D6D8AE"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222.92</w:t>
            </w:r>
          </w:p>
        </w:tc>
      </w:tr>
      <w:tr w:rsidR="00FB39A5" w:rsidRPr="00FB39A5" w14:paraId="50B2D097" w14:textId="77777777" w:rsidTr="00FB39A5">
        <w:tblPrEx>
          <w:tblCellMar>
            <w:top w:w="0" w:type="dxa"/>
            <w:bottom w:w="0" w:type="dxa"/>
          </w:tblCellMar>
        </w:tblPrEx>
        <w:trPr>
          <w:trHeight w:val="247"/>
          <w:jc w:val="center"/>
        </w:trPr>
        <w:tc>
          <w:tcPr>
            <w:tcW w:w="4337" w:type="dxa"/>
          </w:tcPr>
          <w:p w14:paraId="4B972BC4"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Shrimp</w:t>
            </w:r>
          </w:p>
        </w:tc>
        <w:tc>
          <w:tcPr>
            <w:tcW w:w="1121" w:type="dxa"/>
          </w:tcPr>
          <w:p w14:paraId="0176EE1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96.14</w:t>
            </w:r>
          </w:p>
        </w:tc>
        <w:tc>
          <w:tcPr>
            <w:tcW w:w="1120" w:type="dxa"/>
          </w:tcPr>
          <w:p w14:paraId="4A9809A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158.82</w:t>
            </w:r>
          </w:p>
        </w:tc>
        <w:tc>
          <w:tcPr>
            <w:tcW w:w="1252" w:type="dxa"/>
          </w:tcPr>
          <w:p w14:paraId="45B6E85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14FD32E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50963F6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2F0A2AF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341EADC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17FC9A29"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48.29</w:t>
            </w:r>
          </w:p>
        </w:tc>
      </w:tr>
      <w:tr w:rsidR="00FB39A5" w:rsidRPr="00FB39A5" w14:paraId="79BF2BAD" w14:textId="77777777" w:rsidTr="00FB39A5">
        <w:tblPrEx>
          <w:tblCellMar>
            <w:top w:w="0" w:type="dxa"/>
            <w:bottom w:w="0" w:type="dxa"/>
          </w:tblCellMar>
        </w:tblPrEx>
        <w:trPr>
          <w:trHeight w:val="247"/>
          <w:jc w:val="center"/>
        </w:trPr>
        <w:tc>
          <w:tcPr>
            <w:tcW w:w="4337" w:type="dxa"/>
          </w:tcPr>
          <w:p w14:paraId="76F90572"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Crabs</w:t>
            </w:r>
          </w:p>
        </w:tc>
        <w:tc>
          <w:tcPr>
            <w:tcW w:w="1121" w:type="dxa"/>
          </w:tcPr>
          <w:p w14:paraId="4A52E96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117.00</w:t>
            </w:r>
          </w:p>
        </w:tc>
        <w:tc>
          <w:tcPr>
            <w:tcW w:w="1120" w:type="dxa"/>
          </w:tcPr>
          <w:p w14:paraId="69D0684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2" w:type="dxa"/>
          </w:tcPr>
          <w:p w14:paraId="7B3D92E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0438C43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10CB486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61A608A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39A81D4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017828BA"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53.63</w:t>
            </w:r>
          </w:p>
        </w:tc>
      </w:tr>
      <w:tr w:rsidR="00FB39A5" w:rsidRPr="00FB39A5" w14:paraId="7C3B32FC" w14:textId="77777777" w:rsidTr="00FB39A5">
        <w:tblPrEx>
          <w:tblCellMar>
            <w:top w:w="0" w:type="dxa"/>
            <w:bottom w:w="0" w:type="dxa"/>
          </w:tblCellMar>
        </w:tblPrEx>
        <w:trPr>
          <w:trHeight w:val="247"/>
          <w:jc w:val="center"/>
        </w:trPr>
        <w:tc>
          <w:tcPr>
            <w:tcW w:w="4337" w:type="dxa"/>
          </w:tcPr>
          <w:p w14:paraId="35FB9053"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Crustaceans</w:t>
            </w:r>
          </w:p>
        </w:tc>
        <w:tc>
          <w:tcPr>
            <w:tcW w:w="1121" w:type="dxa"/>
          </w:tcPr>
          <w:p w14:paraId="0EDC849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3CD65BE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2" w:type="dxa"/>
          </w:tcPr>
          <w:p w14:paraId="0691AE9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1DE3139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2B729D8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67124DE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4443C5E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117.54</w:t>
            </w:r>
          </w:p>
        </w:tc>
        <w:tc>
          <w:tcPr>
            <w:tcW w:w="1121" w:type="dxa"/>
          </w:tcPr>
          <w:p w14:paraId="770B013B"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14.24</w:t>
            </w:r>
          </w:p>
        </w:tc>
      </w:tr>
      <w:tr w:rsidR="00FB39A5" w:rsidRPr="00FB39A5" w14:paraId="34BB5592" w14:textId="77777777" w:rsidTr="00FB39A5">
        <w:tblPrEx>
          <w:tblCellMar>
            <w:top w:w="0" w:type="dxa"/>
            <w:bottom w:w="0" w:type="dxa"/>
          </w:tblCellMar>
        </w:tblPrEx>
        <w:trPr>
          <w:trHeight w:val="247"/>
          <w:jc w:val="center"/>
        </w:trPr>
        <w:tc>
          <w:tcPr>
            <w:tcW w:w="4337" w:type="dxa"/>
          </w:tcPr>
          <w:p w14:paraId="061FE5D0"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Shellfish/Molluscs collection</w:t>
            </w:r>
          </w:p>
        </w:tc>
        <w:tc>
          <w:tcPr>
            <w:tcW w:w="1121" w:type="dxa"/>
          </w:tcPr>
          <w:p w14:paraId="10BFFE3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12.04</w:t>
            </w:r>
          </w:p>
        </w:tc>
        <w:tc>
          <w:tcPr>
            <w:tcW w:w="1120" w:type="dxa"/>
          </w:tcPr>
          <w:p w14:paraId="3088001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2" w:type="dxa"/>
          </w:tcPr>
          <w:p w14:paraId="6C7814B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55C0CB8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604D333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0CB1B24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1810E83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399.30</w:t>
            </w:r>
          </w:p>
        </w:tc>
        <w:tc>
          <w:tcPr>
            <w:tcW w:w="1121" w:type="dxa"/>
          </w:tcPr>
          <w:p w14:paraId="5BAA70EF"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53.91</w:t>
            </w:r>
          </w:p>
        </w:tc>
      </w:tr>
      <w:tr w:rsidR="00FB39A5" w:rsidRPr="00FB39A5" w14:paraId="45D73425" w14:textId="77777777" w:rsidTr="00FB39A5">
        <w:tblPrEx>
          <w:tblCellMar>
            <w:top w:w="0" w:type="dxa"/>
            <w:bottom w:w="0" w:type="dxa"/>
          </w:tblCellMar>
        </w:tblPrEx>
        <w:trPr>
          <w:trHeight w:val="247"/>
          <w:jc w:val="center"/>
        </w:trPr>
        <w:tc>
          <w:tcPr>
            <w:tcW w:w="4337" w:type="dxa"/>
          </w:tcPr>
          <w:p w14:paraId="11CE863A"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Acorn worms</w:t>
            </w:r>
          </w:p>
        </w:tc>
        <w:tc>
          <w:tcPr>
            <w:tcW w:w="1121" w:type="dxa"/>
          </w:tcPr>
          <w:p w14:paraId="3B001DC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0E83832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794.10</w:t>
            </w:r>
          </w:p>
        </w:tc>
        <w:tc>
          <w:tcPr>
            <w:tcW w:w="1252" w:type="dxa"/>
          </w:tcPr>
          <w:p w14:paraId="664A846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53C5F6C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6C97F85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1D1F249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4ECB2F1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63DA395B"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21.10</w:t>
            </w:r>
          </w:p>
        </w:tc>
      </w:tr>
      <w:tr w:rsidR="00FB39A5" w:rsidRPr="00FB39A5" w14:paraId="222E992C" w14:textId="77777777" w:rsidTr="00FB39A5">
        <w:tblPrEx>
          <w:tblCellMar>
            <w:top w:w="0" w:type="dxa"/>
            <w:bottom w:w="0" w:type="dxa"/>
          </w:tblCellMar>
        </w:tblPrEx>
        <w:trPr>
          <w:trHeight w:val="247"/>
          <w:jc w:val="center"/>
        </w:trPr>
        <w:tc>
          <w:tcPr>
            <w:tcW w:w="4337" w:type="dxa"/>
          </w:tcPr>
          <w:p w14:paraId="6BF85258"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Seaweed-algae</w:t>
            </w:r>
          </w:p>
        </w:tc>
        <w:tc>
          <w:tcPr>
            <w:tcW w:w="1121" w:type="dxa"/>
          </w:tcPr>
          <w:p w14:paraId="307BF12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508.67</w:t>
            </w:r>
          </w:p>
        </w:tc>
        <w:tc>
          <w:tcPr>
            <w:tcW w:w="1120" w:type="dxa"/>
          </w:tcPr>
          <w:p w14:paraId="1DE04B4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584.69</w:t>
            </w:r>
          </w:p>
        </w:tc>
        <w:tc>
          <w:tcPr>
            <w:tcW w:w="1252" w:type="dxa"/>
          </w:tcPr>
          <w:p w14:paraId="40B3B26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48D0500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7A9A9C8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18745A5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42BA66F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36.40</w:t>
            </w:r>
          </w:p>
        </w:tc>
        <w:tc>
          <w:tcPr>
            <w:tcW w:w="1121" w:type="dxa"/>
          </w:tcPr>
          <w:p w14:paraId="040DD846"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253.11</w:t>
            </w:r>
          </w:p>
        </w:tc>
      </w:tr>
      <w:tr w:rsidR="00FB39A5" w:rsidRPr="00FB39A5" w14:paraId="70CB73A0" w14:textId="77777777" w:rsidTr="00FB39A5">
        <w:tblPrEx>
          <w:tblCellMar>
            <w:top w:w="0" w:type="dxa"/>
            <w:bottom w:w="0" w:type="dxa"/>
          </w:tblCellMar>
        </w:tblPrEx>
        <w:trPr>
          <w:trHeight w:val="247"/>
          <w:jc w:val="center"/>
        </w:trPr>
        <w:tc>
          <w:tcPr>
            <w:tcW w:w="4337" w:type="dxa"/>
          </w:tcPr>
          <w:p w14:paraId="70B6F91C"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Seagrass fertiliser</w:t>
            </w:r>
          </w:p>
        </w:tc>
        <w:tc>
          <w:tcPr>
            <w:tcW w:w="1121" w:type="dxa"/>
          </w:tcPr>
          <w:p w14:paraId="367F95F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57A9FDA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2" w:type="dxa"/>
          </w:tcPr>
          <w:p w14:paraId="2F73C07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06AC3B5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186CB6A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1DA89DF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68C07FB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29.12</w:t>
            </w:r>
          </w:p>
        </w:tc>
        <w:tc>
          <w:tcPr>
            <w:tcW w:w="1121" w:type="dxa"/>
          </w:tcPr>
          <w:p w14:paraId="3BEF9247"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3.53</w:t>
            </w:r>
          </w:p>
        </w:tc>
      </w:tr>
      <w:tr w:rsidR="00FB39A5" w:rsidRPr="00FB39A5" w14:paraId="33C64604" w14:textId="77777777" w:rsidTr="00FB39A5">
        <w:tblPrEx>
          <w:tblCellMar>
            <w:top w:w="0" w:type="dxa"/>
            <w:bottom w:w="0" w:type="dxa"/>
          </w:tblCellMar>
        </w:tblPrEx>
        <w:trPr>
          <w:trHeight w:val="247"/>
          <w:jc w:val="center"/>
        </w:trPr>
        <w:tc>
          <w:tcPr>
            <w:tcW w:w="4337" w:type="dxa"/>
          </w:tcPr>
          <w:p w14:paraId="481FA60E"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Handicrafts</w:t>
            </w:r>
          </w:p>
        </w:tc>
        <w:tc>
          <w:tcPr>
            <w:tcW w:w="1121" w:type="dxa"/>
          </w:tcPr>
          <w:p w14:paraId="0132345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7E0EAB7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559.84</w:t>
            </w:r>
          </w:p>
        </w:tc>
        <w:tc>
          <w:tcPr>
            <w:tcW w:w="1252" w:type="dxa"/>
          </w:tcPr>
          <w:p w14:paraId="13D6025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142411C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46CAE12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702C512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6F3364D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21B18EF6"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14.87</w:t>
            </w:r>
          </w:p>
        </w:tc>
      </w:tr>
      <w:tr w:rsidR="00FB39A5" w:rsidRPr="00FB39A5" w14:paraId="68BA92B9" w14:textId="77777777" w:rsidTr="00FB39A5">
        <w:tblPrEx>
          <w:tblCellMar>
            <w:top w:w="0" w:type="dxa"/>
            <w:bottom w:w="0" w:type="dxa"/>
          </w:tblCellMar>
        </w:tblPrEx>
        <w:trPr>
          <w:trHeight w:val="247"/>
          <w:jc w:val="center"/>
        </w:trPr>
        <w:tc>
          <w:tcPr>
            <w:tcW w:w="4337" w:type="dxa"/>
          </w:tcPr>
          <w:p w14:paraId="5878C857"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Cosmetics</w:t>
            </w:r>
          </w:p>
        </w:tc>
        <w:tc>
          <w:tcPr>
            <w:tcW w:w="1121" w:type="dxa"/>
          </w:tcPr>
          <w:p w14:paraId="2CAA96F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276F122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1,007.76</w:t>
            </w:r>
          </w:p>
        </w:tc>
        <w:tc>
          <w:tcPr>
            <w:tcW w:w="1252" w:type="dxa"/>
          </w:tcPr>
          <w:p w14:paraId="6B18E68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3551440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09AC93B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3CACC4E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4B09B1F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4DFC7252"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26.78</w:t>
            </w:r>
          </w:p>
        </w:tc>
      </w:tr>
      <w:tr w:rsidR="00FB39A5" w:rsidRPr="00FB39A5" w14:paraId="7DD2D949" w14:textId="77777777" w:rsidTr="00FB39A5">
        <w:tblPrEx>
          <w:tblCellMar>
            <w:top w:w="0" w:type="dxa"/>
            <w:bottom w:w="0" w:type="dxa"/>
          </w:tblCellMar>
        </w:tblPrEx>
        <w:trPr>
          <w:trHeight w:val="247"/>
          <w:jc w:val="center"/>
        </w:trPr>
        <w:tc>
          <w:tcPr>
            <w:tcW w:w="4337" w:type="dxa"/>
          </w:tcPr>
          <w:p w14:paraId="589BA25D" w14:textId="77777777" w:rsidR="00FB39A5" w:rsidRPr="00FB39A5" w:rsidRDefault="00FB39A5" w:rsidP="00FB39A5">
            <w:pPr>
              <w:autoSpaceDE w:val="0"/>
              <w:autoSpaceDN w:val="0"/>
              <w:adjustRightInd w:val="0"/>
              <w:jc w:val="both"/>
              <w:rPr>
                <w:rFonts w:ascii="Arial" w:hAnsi="Arial" w:cs="Arial"/>
                <w:b/>
                <w:bCs/>
                <w:color w:val="000000"/>
                <w:sz w:val="18"/>
                <w:szCs w:val="18"/>
                <w:lang w:val="en-GB"/>
              </w:rPr>
            </w:pPr>
            <w:r w:rsidRPr="00FB39A5">
              <w:rPr>
                <w:rFonts w:ascii="Arial" w:hAnsi="Arial" w:cs="Arial"/>
                <w:b/>
                <w:bCs/>
                <w:color w:val="000000"/>
                <w:sz w:val="18"/>
                <w:szCs w:val="18"/>
                <w:lang w:val="en-GB"/>
              </w:rPr>
              <w:t>Total Value of Goods US$ per Ha</w:t>
            </w:r>
          </w:p>
        </w:tc>
        <w:tc>
          <w:tcPr>
            <w:tcW w:w="1121" w:type="dxa"/>
          </w:tcPr>
          <w:p w14:paraId="65B0BDD9"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1,186.00</w:t>
            </w:r>
          </w:p>
        </w:tc>
        <w:tc>
          <w:tcPr>
            <w:tcW w:w="1120" w:type="dxa"/>
          </w:tcPr>
          <w:p w14:paraId="48701588"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3,281.53</w:t>
            </w:r>
          </w:p>
        </w:tc>
        <w:tc>
          <w:tcPr>
            <w:tcW w:w="1252" w:type="dxa"/>
          </w:tcPr>
          <w:p w14:paraId="0EF6EB3C"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025" w:type="dxa"/>
          </w:tcPr>
          <w:p w14:paraId="31AB14B2"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255" w:type="dxa"/>
          </w:tcPr>
          <w:p w14:paraId="0B45B77A"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34.84</w:t>
            </w:r>
          </w:p>
        </w:tc>
        <w:tc>
          <w:tcPr>
            <w:tcW w:w="1121" w:type="dxa"/>
          </w:tcPr>
          <w:p w14:paraId="0C9C6963"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120" w:type="dxa"/>
          </w:tcPr>
          <w:p w14:paraId="6783B8EE"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582.36</w:t>
            </w:r>
          </w:p>
        </w:tc>
        <w:tc>
          <w:tcPr>
            <w:tcW w:w="1121" w:type="dxa"/>
          </w:tcPr>
          <w:p w14:paraId="435A649E"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712.38</w:t>
            </w:r>
          </w:p>
        </w:tc>
      </w:tr>
      <w:tr w:rsidR="00FB39A5" w:rsidRPr="00FB39A5" w14:paraId="6A3B2AB2" w14:textId="77777777" w:rsidTr="00FB39A5">
        <w:tblPrEx>
          <w:tblCellMar>
            <w:top w:w="0" w:type="dxa"/>
            <w:bottom w:w="0" w:type="dxa"/>
          </w:tblCellMar>
        </w:tblPrEx>
        <w:trPr>
          <w:trHeight w:val="247"/>
          <w:jc w:val="center"/>
        </w:trPr>
        <w:tc>
          <w:tcPr>
            <w:tcW w:w="4337" w:type="dxa"/>
          </w:tcPr>
          <w:p w14:paraId="1CE6C83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121" w:type="dxa"/>
          </w:tcPr>
          <w:p w14:paraId="5C9AF79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120" w:type="dxa"/>
          </w:tcPr>
          <w:p w14:paraId="401A068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252" w:type="dxa"/>
          </w:tcPr>
          <w:p w14:paraId="4178F6E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025" w:type="dxa"/>
          </w:tcPr>
          <w:p w14:paraId="58A4ECE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255" w:type="dxa"/>
          </w:tcPr>
          <w:p w14:paraId="4A217D3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121" w:type="dxa"/>
          </w:tcPr>
          <w:p w14:paraId="01CC6C6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120" w:type="dxa"/>
          </w:tcPr>
          <w:p w14:paraId="1A67C70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121" w:type="dxa"/>
          </w:tcPr>
          <w:p w14:paraId="1A4BD51B"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p>
        </w:tc>
      </w:tr>
      <w:tr w:rsidR="00FB39A5" w:rsidRPr="00FB39A5" w14:paraId="49274DED" w14:textId="77777777" w:rsidTr="00FB39A5">
        <w:tblPrEx>
          <w:tblCellMar>
            <w:top w:w="0" w:type="dxa"/>
            <w:bottom w:w="0" w:type="dxa"/>
          </w:tblCellMar>
        </w:tblPrEx>
        <w:trPr>
          <w:trHeight w:val="247"/>
          <w:jc w:val="center"/>
        </w:trPr>
        <w:tc>
          <w:tcPr>
            <w:tcW w:w="4337" w:type="dxa"/>
          </w:tcPr>
          <w:p w14:paraId="7AE1F036" w14:textId="77777777" w:rsidR="00FB39A5" w:rsidRPr="00FB39A5" w:rsidRDefault="00FB39A5" w:rsidP="00FB39A5">
            <w:pPr>
              <w:autoSpaceDE w:val="0"/>
              <w:autoSpaceDN w:val="0"/>
              <w:adjustRightInd w:val="0"/>
              <w:jc w:val="center"/>
              <w:rPr>
                <w:rFonts w:ascii="Arial" w:hAnsi="Arial" w:cs="Arial"/>
                <w:b/>
                <w:color w:val="000000"/>
                <w:sz w:val="18"/>
                <w:szCs w:val="18"/>
                <w:lang w:val="en-GB"/>
              </w:rPr>
            </w:pPr>
            <w:r w:rsidRPr="00FB39A5">
              <w:rPr>
                <w:rFonts w:ascii="Arial" w:hAnsi="Arial" w:cs="Arial"/>
                <w:b/>
                <w:color w:val="000000"/>
                <w:sz w:val="18"/>
                <w:szCs w:val="18"/>
                <w:lang w:val="en-GB"/>
              </w:rPr>
              <w:t>Seagrass Services</w:t>
            </w:r>
          </w:p>
        </w:tc>
        <w:tc>
          <w:tcPr>
            <w:tcW w:w="1121" w:type="dxa"/>
          </w:tcPr>
          <w:p w14:paraId="48C949FE"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120" w:type="dxa"/>
          </w:tcPr>
          <w:p w14:paraId="6D287135"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252" w:type="dxa"/>
          </w:tcPr>
          <w:p w14:paraId="438BF996"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025" w:type="dxa"/>
          </w:tcPr>
          <w:p w14:paraId="6BF2C8BB"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255" w:type="dxa"/>
          </w:tcPr>
          <w:p w14:paraId="5C0B9495"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121" w:type="dxa"/>
          </w:tcPr>
          <w:p w14:paraId="435012A3"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120" w:type="dxa"/>
          </w:tcPr>
          <w:p w14:paraId="71E7D060"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121" w:type="dxa"/>
          </w:tcPr>
          <w:p w14:paraId="6531F8EB"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p>
        </w:tc>
      </w:tr>
      <w:tr w:rsidR="00FB39A5" w:rsidRPr="00FB39A5" w14:paraId="2429D0FF" w14:textId="77777777" w:rsidTr="00FB39A5">
        <w:tblPrEx>
          <w:tblCellMar>
            <w:top w:w="0" w:type="dxa"/>
            <w:bottom w:w="0" w:type="dxa"/>
          </w:tblCellMar>
        </w:tblPrEx>
        <w:trPr>
          <w:trHeight w:val="247"/>
          <w:jc w:val="center"/>
        </w:trPr>
        <w:tc>
          <w:tcPr>
            <w:tcW w:w="4337" w:type="dxa"/>
          </w:tcPr>
          <w:p w14:paraId="03E54EEC"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Seagrass Tourism</w:t>
            </w:r>
          </w:p>
        </w:tc>
        <w:tc>
          <w:tcPr>
            <w:tcW w:w="1121" w:type="dxa"/>
          </w:tcPr>
          <w:p w14:paraId="0F1174B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2BB6BD0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2" w:type="dxa"/>
          </w:tcPr>
          <w:p w14:paraId="1C7DE89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2550D42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28E7BA3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5CDF352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7A07185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1,264.13</w:t>
            </w:r>
          </w:p>
        </w:tc>
        <w:tc>
          <w:tcPr>
            <w:tcW w:w="1121" w:type="dxa"/>
          </w:tcPr>
          <w:p w14:paraId="7D3CE4FE"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153.20</w:t>
            </w:r>
          </w:p>
        </w:tc>
      </w:tr>
      <w:tr w:rsidR="00FB39A5" w:rsidRPr="00FB39A5" w14:paraId="6D259FA8" w14:textId="77777777" w:rsidTr="00FB39A5">
        <w:tblPrEx>
          <w:tblCellMar>
            <w:top w:w="0" w:type="dxa"/>
            <w:bottom w:w="0" w:type="dxa"/>
          </w:tblCellMar>
        </w:tblPrEx>
        <w:trPr>
          <w:trHeight w:val="247"/>
          <w:jc w:val="center"/>
        </w:trPr>
        <w:tc>
          <w:tcPr>
            <w:tcW w:w="4337" w:type="dxa"/>
          </w:tcPr>
          <w:p w14:paraId="73438FB0"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Research</w:t>
            </w:r>
          </w:p>
        </w:tc>
        <w:tc>
          <w:tcPr>
            <w:tcW w:w="1121" w:type="dxa"/>
          </w:tcPr>
          <w:p w14:paraId="01EC56F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62D0F74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57.83</w:t>
            </w:r>
          </w:p>
        </w:tc>
        <w:tc>
          <w:tcPr>
            <w:tcW w:w="1252" w:type="dxa"/>
          </w:tcPr>
          <w:p w14:paraId="05AC405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3C2BE06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7A4DAB9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10BD5CB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4B9B62D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232C14C5"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1.54</w:t>
            </w:r>
          </w:p>
        </w:tc>
      </w:tr>
      <w:tr w:rsidR="00FB39A5" w:rsidRPr="00FB39A5" w14:paraId="10E7A630" w14:textId="77777777" w:rsidTr="00FB39A5">
        <w:tblPrEx>
          <w:tblCellMar>
            <w:top w:w="0" w:type="dxa"/>
            <w:bottom w:w="0" w:type="dxa"/>
          </w:tblCellMar>
        </w:tblPrEx>
        <w:trPr>
          <w:trHeight w:val="247"/>
          <w:jc w:val="center"/>
        </w:trPr>
        <w:tc>
          <w:tcPr>
            <w:tcW w:w="4337" w:type="dxa"/>
          </w:tcPr>
          <w:p w14:paraId="576AE4EB"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Beach Protection</w:t>
            </w:r>
          </w:p>
        </w:tc>
        <w:tc>
          <w:tcPr>
            <w:tcW w:w="1121" w:type="dxa"/>
          </w:tcPr>
          <w:p w14:paraId="3ADCF2F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4963027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1,190.80</w:t>
            </w:r>
          </w:p>
        </w:tc>
        <w:tc>
          <w:tcPr>
            <w:tcW w:w="1252" w:type="dxa"/>
          </w:tcPr>
          <w:p w14:paraId="76637E2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61EB8AF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243EF5A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1E63E6C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799966F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0D0EEEB1"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58.41</w:t>
            </w:r>
          </w:p>
        </w:tc>
      </w:tr>
      <w:tr w:rsidR="00FB39A5" w:rsidRPr="00FB39A5" w14:paraId="2E9561A3" w14:textId="77777777" w:rsidTr="00FB39A5">
        <w:tblPrEx>
          <w:tblCellMar>
            <w:top w:w="0" w:type="dxa"/>
            <w:bottom w:w="0" w:type="dxa"/>
          </w:tblCellMar>
        </w:tblPrEx>
        <w:trPr>
          <w:trHeight w:val="247"/>
          <w:jc w:val="center"/>
        </w:trPr>
        <w:tc>
          <w:tcPr>
            <w:tcW w:w="4337" w:type="dxa"/>
          </w:tcPr>
          <w:p w14:paraId="21DF4785"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Nursery Function</w:t>
            </w:r>
          </w:p>
        </w:tc>
        <w:tc>
          <w:tcPr>
            <w:tcW w:w="1121" w:type="dxa"/>
          </w:tcPr>
          <w:p w14:paraId="0DC7891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3AE4088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1,966.79</w:t>
            </w:r>
          </w:p>
        </w:tc>
        <w:tc>
          <w:tcPr>
            <w:tcW w:w="1252" w:type="dxa"/>
          </w:tcPr>
          <w:p w14:paraId="592831E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7610603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6D47CEE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76D98BA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12CF326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414.64</w:t>
            </w:r>
          </w:p>
        </w:tc>
        <w:tc>
          <w:tcPr>
            <w:tcW w:w="1121" w:type="dxa"/>
          </w:tcPr>
          <w:p w14:paraId="31CD5DD4"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102.51</w:t>
            </w:r>
          </w:p>
        </w:tc>
      </w:tr>
      <w:tr w:rsidR="00FB39A5" w:rsidRPr="00FB39A5" w14:paraId="5180494C" w14:textId="77777777" w:rsidTr="00FB39A5">
        <w:tblPrEx>
          <w:tblCellMar>
            <w:top w:w="0" w:type="dxa"/>
            <w:bottom w:w="0" w:type="dxa"/>
          </w:tblCellMar>
        </w:tblPrEx>
        <w:trPr>
          <w:trHeight w:val="247"/>
          <w:jc w:val="center"/>
        </w:trPr>
        <w:tc>
          <w:tcPr>
            <w:tcW w:w="4337" w:type="dxa"/>
          </w:tcPr>
          <w:p w14:paraId="33CF78F7"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Biodiversity Option Value</w:t>
            </w:r>
          </w:p>
        </w:tc>
        <w:tc>
          <w:tcPr>
            <w:tcW w:w="1121" w:type="dxa"/>
          </w:tcPr>
          <w:p w14:paraId="396071E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43FE5A0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439.02</w:t>
            </w:r>
          </w:p>
        </w:tc>
        <w:tc>
          <w:tcPr>
            <w:tcW w:w="1252" w:type="dxa"/>
          </w:tcPr>
          <w:p w14:paraId="0FD161D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6EA43D8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2DD8CFD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71A936E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03AC1BA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7CAE9B14"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11.66</w:t>
            </w:r>
          </w:p>
        </w:tc>
      </w:tr>
      <w:tr w:rsidR="00FB39A5" w:rsidRPr="00FB39A5" w14:paraId="2ADFFD95" w14:textId="77777777" w:rsidTr="00FB39A5">
        <w:tblPrEx>
          <w:tblCellMar>
            <w:top w:w="0" w:type="dxa"/>
            <w:bottom w:w="0" w:type="dxa"/>
          </w:tblCellMar>
        </w:tblPrEx>
        <w:trPr>
          <w:trHeight w:val="247"/>
          <w:jc w:val="center"/>
        </w:trPr>
        <w:tc>
          <w:tcPr>
            <w:tcW w:w="4337" w:type="dxa"/>
          </w:tcPr>
          <w:p w14:paraId="4188CC57"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Turtle Nesting beaches</w:t>
            </w:r>
          </w:p>
        </w:tc>
        <w:tc>
          <w:tcPr>
            <w:tcW w:w="1121" w:type="dxa"/>
          </w:tcPr>
          <w:p w14:paraId="3813F66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70DFB9B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2" w:type="dxa"/>
          </w:tcPr>
          <w:p w14:paraId="51E53A9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6206604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29A8ED1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509D89D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4,097.93</w:t>
            </w:r>
          </w:p>
        </w:tc>
        <w:tc>
          <w:tcPr>
            <w:tcW w:w="1120" w:type="dxa"/>
          </w:tcPr>
          <w:p w14:paraId="46BEC7B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1FFF9410"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141.82</w:t>
            </w:r>
          </w:p>
        </w:tc>
      </w:tr>
      <w:tr w:rsidR="00FB39A5" w:rsidRPr="00FB39A5" w14:paraId="7E6028E4" w14:textId="77777777" w:rsidTr="00FB39A5">
        <w:tblPrEx>
          <w:tblCellMar>
            <w:top w:w="0" w:type="dxa"/>
            <w:bottom w:w="0" w:type="dxa"/>
          </w:tblCellMar>
        </w:tblPrEx>
        <w:trPr>
          <w:trHeight w:val="247"/>
          <w:jc w:val="center"/>
        </w:trPr>
        <w:tc>
          <w:tcPr>
            <w:tcW w:w="4337" w:type="dxa"/>
          </w:tcPr>
          <w:p w14:paraId="6E1019D0"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Carbon sequestration</w:t>
            </w:r>
          </w:p>
        </w:tc>
        <w:tc>
          <w:tcPr>
            <w:tcW w:w="1121" w:type="dxa"/>
          </w:tcPr>
          <w:p w14:paraId="7ABB34D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7AE7656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2.26</w:t>
            </w:r>
          </w:p>
        </w:tc>
        <w:tc>
          <w:tcPr>
            <w:tcW w:w="1252" w:type="dxa"/>
          </w:tcPr>
          <w:p w14:paraId="1A2B563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0B97AF2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552690C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438E066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3A996A6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2A93ACFD"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0.06</w:t>
            </w:r>
          </w:p>
        </w:tc>
      </w:tr>
      <w:tr w:rsidR="00FB39A5" w:rsidRPr="00FB39A5" w14:paraId="0CD08BAA" w14:textId="77777777" w:rsidTr="00FB39A5">
        <w:tblPrEx>
          <w:tblCellMar>
            <w:top w:w="0" w:type="dxa"/>
            <w:bottom w:w="0" w:type="dxa"/>
          </w:tblCellMar>
        </w:tblPrEx>
        <w:trPr>
          <w:trHeight w:val="247"/>
          <w:jc w:val="center"/>
        </w:trPr>
        <w:tc>
          <w:tcPr>
            <w:tcW w:w="4337" w:type="dxa"/>
          </w:tcPr>
          <w:p w14:paraId="4A0DC1DE" w14:textId="77777777" w:rsidR="00FB39A5" w:rsidRPr="00FB39A5" w:rsidRDefault="00C27D0E" w:rsidP="00FB39A5">
            <w:pPr>
              <w:autoSpaceDE w:val="0"/>
              <w:autoSpaceDN w:val="0"/>
              <w:adjustRightInd w:val="0"/>
              <w:jc w:val="both"/>
              <w:rPr>
                <w:rFonts w:ascii="Arial" w:hAnsi="Arial" w:cs="Arial"/>
                <w:b/>
                <w:bCs/>
                <w:color w:val="000000"/>
                <w:sz w:val="16"/>
                <w:szCs w:val="16"/>
                <w:lang w:val="en-GB"/>
              </w:rPr>
            </w:pPr>
            <w:r>
              <w:rPr>
                <w:rFonts w:ascii="Arial" w:hAnsi="Arial" w:cs="Arial"/>
                <w:b/>
                <w:bCs/>
                <w:color w:val="000000"/>
                <w:sz w:val="16"/>
                <w:szCs w:val="16"/>
                <w:lang w:val="en-GB"/>
              </w:rPr>
              <w:t>W</w:t>
            </w:r>
            <w:r w:rsidR="00FB39A5" w:rsidRPr="00FB39A5">
              <w:rPr>
                <w:rFonts w:ascii="Arial" w:hAnsi="Arial" w:cs="Arial"/>
                <w:b/>
                <w:bCs/>
                <w:color w:val="000000"/>
                <w:sz w:val="16"/>
                <w:szCs w:val="16"/>
                <w:lang w:val="en-GB"/>
              </w:rPr>
              <w:t>ater quality-nutrient removal</w:t>
            </w:r>
          </w:p>
        </w:tc>
        <w:tc>
          <w:tcPr>
            <w:tcW w:w="1121" w:type="dxa"/>
          </w:tcPr>
          <w:p w14:paraId="0CD3320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1D33CC6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38.54</w:t>
            </w:r>
          </w:p>
        </w:tc>
        <w:tc>
          <w:tcPr>
            <w:tcW w:w="1252" w:type="dxa"/>
          </w:tcPr>
          <w:p w14:paraId="67346CC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613E937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38AD2A4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663AE58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7C83D3F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68688559"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1.02</w:t>
            </w:r>
          </w:p>
        </w:tc>
      </w:tr>
      <w:tr w:rsidR="00FB39A5" w:rsidRPr="00FB39A5" w14:paraId="2C3E455A" w14:textId="77777777" w:rsidTr="00FB39A5">
        <w:tblPrEx>
          <w:tblCellMar>
            <w:top w:w="0" w:type="dxa"/>
            <w:bottom w:w="0" w:type="dxa"/>
          </w:tblCellMar>
        </w:tblPrEx>
        <w:trPr>
          <w:trHeight w:val="247"/>
          <w:jc w:val="center"/>
        </w:trPr>
        <w:tc>
          <w:tcPr>
            <w:tcW w:w="4337" w:type="dxa"/>
          </w:tcPr>
          <w:p w14:paraId="378AB48D"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Oxygen release</w:t>
            </w:r>
          </w:p>
        </w:tc>
        <w:tc>
          <w:tcPr>
            <w:tcW w:w="1121" w:type="dxa"/>
          </w:tcPr>
          <w:p w14:paraId="5F3D5D1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5029FDD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3.71</w:t>
            </w:r>
          </w:p>
        </w:tc>
        <w:tc>
          <w:tcPr>
            <w:tcW w:w="1252" w:type="dxa"/>
          </w:tcPr>
          <w:p w14:paraId="75FC3F4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25" w:type="dxa"/>
          </w:tcPr>
          <w:p w14:paraId="691471A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55" w:type="dxa"/>
          </w:tcPr>
          <w:p w14:paraId="50587B5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6D7FAAF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0" w:type="dxa"/>
          </w:tcPr>
          <w:p w14:paraId="55CFA09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21" w:type="dxa"/>
          </w:tcPr>
          <w:p w14:paraId="194FFA33"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0.10</w:t>
            </w:r>
          </w:p>
        </w:tc>
      </w:tr>
      <w:tr w:rsidR="00FB39A5" w:rsidRPr="00FB39A5" w14:paraId="25EEB956" w14:textId="77777777" w:rsidTr="00FB39A5">
        <w:tblPrEx>
          <w:tblCellMar>
            <w:top w:w="0" w:type="dxa"/>
            <w:bottom w:w="0" w:type="dxa"/>
          </w:tblCellMar>
        </w:tblPrEx>
        <w:trPr>
          <w:trHeight w:val="247"/>
          <w:jc w:val="center"/>
        </w:trPr>
        <w:tc>
          <w:tcPr>
            <w:tcW w:w="4337" w:type="dxa"/>
          </w:tcPr>
          <w:p w14:paraId="6BF76AD4" w14:textId="77777777" w:rsidR="00FB39A5" w:rsidRPr="00FB39A5" w:rsidRDefault="00FB39A5" w:rsidP="00FB39A5">
            <w:pPr>
              <w:autoSpaceDE w:val="0"/>
              <w:autoSpaceDN w:val="0"/>
              <w:adjustRightInd w:val="0"/>
              <w:jc w:val="both"/>
              <w:rPr>
                <w:rFonts w:ascii="Arial" w:hAnsi="Arial" w:cs="Arial"/>
                <w:b/>
                <w:bCs/>
                <w:color w:val="000000"/>
                <w:sz w:val="18"/>
                <w:szCs w:val="18"/>
                <w:lang w:val="en-GB"/>
              </w:rPr>
            </w:pPr>
            <w:r w:rsidRPr="00FB39A5">
              <w:rPr>
                <w:rFonts w:ascii="Arial" w:hAnsi="Arial" w:cs="Arial"/>
                <w:b/>
                <w:bCs/>
                <w:color w:val="000000"/>
                <w:sz w:val="18"/>
                <w:szCs w:val="18"/>
                <w:lang w:val="en-GB"/>
              </w:rPr>
              <w:t>Total Value of Services US$ per Ha</w:t>
            </w:r>
          </w:p>
        </w:tc>
        <w:tc>
          <w:tcPr>
            <w:tcW w:w="1121" w:type="dxa"/>
          </w:tcPr>
          <w:p w14:paraId="0DCA3EC1"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120" w:type="dxa"/>
          </w:tcPr>
          <w:p w14:paraId="22D62FC8"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3,656.70</w:t>
            </w:r>
          </w:p>
        </w:tc>
        <w:tc>
          <w:tcPr>
            <w:tcW w:w="1252" w:type="dxa"/>
          </w:tcPr>
          <w:p w14:paraId="0DF3D1F1"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025" w:type="dxa"/>
          </w:tcPr>
          <w:p w14:paraId="5DC9CC90"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255" w:type="dxa"/>
          </w:tcPr>
          <w:p w14:paraId="21B98B21"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121" w:type="dxa"/>
          </w:tcPr>
          <w:p w14:paraId="661B2A28"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4,097.93</w:t>
            </w:r>
          </w:p>
        </w:tc>
        <w:tc>
          <w:tcPr>
            <w:tcW w:w="1120" w:type="dxa"/>
          </w:tcPr>
          <w:p w14:paraId="3B2D3113"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1,678.77</w:t>
            </w:r>
          </w:p>
        </w:tc>
        <w:tc>
          <w:tcPr>
            <w:tcW w:w="1121" w:type="dxa"/>
          </w:tcPr>
          <w:p w14:paraId="4FC078FF"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469.21</w:t>
            </w:r>
          </w:p>
        </w:tc>
      </w:tr>
      <w:tr w:rsidR="00FB39A5" w:rsidRPr="00FB39A5" w14:paraId="1AE5B38B" w14:textId="77777777" w:rsidTr="00FB39A5">
        <w:tblPrEx>
          <w:tblCellMar>
            <w:top w:w="0" w:type="dxa"/>
            <w:bottom w:w="0" w:type="dxa"/>
          </w:tblCellMar>
        </w:tblPrEx>
        <w:trPr>
          <w:trHeight w:val="247"/>
          <w:jc w:val="center"/>
        </w:trPr>
        <w:tc>
          <w:tcPr>
            <w:tcW w:w="4337" w:type="dxa"/>
          </w:tcPr>
          <w:p w14:paraId="5248E4E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121" w:type="dxa"/>
          </w:tcPr>
          <w:p w14:paraId="5181F810"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p>
        </w:tc>
        <w:tc>
          <w:tcPr>
            <w:tcW w:w="1120" w:type="dxa"/>
          </w:tcPr>
          <w:p w14:paraId="0216539C"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p>
        </w:tc>
        <w:tc>
          <w:tcPr>
            <w:tcW w:w="1252" w:type="dxa"/>
          </w:tcPr>
          <w:p w14:paraId="2D923A53"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p>
        </w:tc>
        <w:tc>
          <w:tcPr>
            <w:tcW w:w="1025" w:type="dxa"/>
          </w:tcPr>
          <w:p w14:paraId="5DD453E6"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p>
        </w:tc>
        <w:tc>
          <w:tcPr>
            <w:tcW w:w="1255" w:type="dxa"/>
          </w:tcPr>
          <w:p w14:paraId="35A395EB"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p>
        </w:tc>
        <w:tc>
          <w:tcPr>
            <w:tcW w:w="1121" w:type="dxa"/>
          </w:tcPr>
          <w:p w14:paraId="5FBB1968"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p>
        </w:tc>
        <w:tc>
          <w:tcPr>
            <w:tcW w:w="1120" w:type="dxa"/>
          </w:tcPr>
          <w:p w14:paraId="27CA9E19"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p>
        </w:tc>
        <w:tc>
          <w:tcPr>
            <w:tcW w:w="1121" w:type="dxa"/>
          </w:tcPr>
          <w:p w14:paraId="231FED77"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p>
        </w:tc>
      </w:tr>
      <w:tr w:rsidR="00FB39A5" w:rsidRPr="00FB39A5" w14:paraId="3F06D5E5" w14:textId="77777777" w:rsidTr="00FB39A5">
        <w:tblPrEx>
          <w:tblCellMar>
            <w:top w:w="0" w:type="dxa"/>
            <w:bottom w:w="0" w:type="dxa"/>
          </w:tblCellMar>
        </w:tblPrEx>
        <w:trPr>
          <w:trHeight w:val="247"/>
          <w:jc w:val="center"/>
        </w:trPr>
        <w:tc>
          <w:tcPr>
            <w:tcW w:w="4337" w:type="dxa"/>
          </w:tcPr>
          <w:p w14:paraId="79258FA5" w14:textId="77777777" w:rsidR="00FB39A5" w:rsidRPr="00FB39A5" w:rsidRDefault="00FB39A5" w:rsidP="00FB39A5">
            <w:pPr>
              <w:autoSpaceDE w:val="0"/>
              <w:autoSpaceDN w:val="0"/>
              <w:adjustRightInd w:val="0"/>
              <w:jc w:val="both"/>
              <w:rPr>
                <w:rFonts w:ascii="Arial" w:hAnsi="Arial" w:cs="Arial"/>
                <w:b/>
                <w:bCs/>
                <w:color w:val="000000"/>
                <w:sz w:val="18"/>
                <w:szCs w:val="18"/>
                <w:lang w:val="en-GB"/>
              </w:rPr>
            </w:pPr>
            <w:r w:rsidRPr="00FB39A5">
              <w:rPr>
                <w:rFonts w:ascii="Arial" w:hAnsi="Arial" w:cs="Arial"/>
                <w:b/>
                <w:bCs/>
                <w:color w:val="000000"/>
                <w:sz w:val="18"/>
                <w:szCs w:val="18"/>
                <w:lang w:val="en-GB"/>
              </w:rPr>
              <w:t>Grand Total Goods and Services Value US$</w:t>
            </w:r>
          </w:p>
        </w:tc>
        <w:tc>
          <w:tcPr>
            <w:tcW w:w="1121" w:type="dxa"/>
          </w:tcPr>
          <w:p w14:paraId="310496F7"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1,186.00</w:t>
            </w:r>
          </w:p>
        </w:tc>
        <w:tc>
          <w:tcPr>
            <w:tcW w:w="1120" w:type="dxa"/>
          </w:tcPr>
          <w:p w14:paraId="18205C79"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6,938.23</w:t>
            </w:r>
          </w:p>
        </w:tc>
        <w:tc>
          <w:tcPr>
            <w:tcW w:w="1252" w:type="dxa"/>
          </w:tcPr>
          <w:p w14:paraId="2C884029"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025" w:type="dxa"/>
          </w:tcPr>
          <w:p w14:paraId="02123333"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255" w:type="dxa"/>
          </w:tcPr>
          <w:p w14:paraId="0F42D7E3"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34.84</w:t>
            </w:r>
          </w:p>
        </w:tc>
        <w:tc>
          <w:tcPr>
            <w:tcW w:w="1121" w:type="dxa"/>
          </w:tcPr>
          <w:p w14:paraId="1260E754"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4,097.93</w:t>
            </w:r>
          </w:p>
        </w:tc>
        <w:tc>
          <w:tcPr>
            <w:tcW w:w="1120" w:type="dxa"/>
          </w:tcPr>
          <w:p w14:paraId="2A972D0D"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2,261.13</w:t>
            </w:r>
          </w:p>
        </w:tc>
        <w:tc>
          <w:tcPr>
            <w:tcW w:w="1121" w:type="dxa"/>
          </w:tcPr>
          <w:p w14:paraId="04A813A8"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1,181.59</w:t>
            </w:r>
          </w:p>
        </w:tc>
      </w:tr>
      <w:tr w:rsidR="00FB39A5" w:rsidRPr="00FB39A5" w14:paraId="6F812634" w14:textId="77777777" w:rsidTr="00FB39A5">
        <w:tblPrEx>
          <w:tblCellMar>
            <w:top w:w="0" w:type="dxa"/>
            <w:bottom w:w="0" w:type="dxa"/>
          </w:tblCellMar>
        </w:tblPrEx>
        <w:trPr>
          <w:trHeight w:val="247"/>
          <w:jc w:val="center"/>
        </w:trPr>
        <w:tc>
          <w:tcPr>
            <w:tcW w:w="4337" w:type="dxa"/>
          </w:tcPr>
          <w:p w14:paraId="04487F12" w14:textId="77777777" w:rsidR="00FB39A5" w:rsidRPr="00FB39A5" w:rsidRDefault="00FB39A5" w:rsidP="00FB39A5">
            <w:pPr>
              <w:autoSpaceDE w:val="0"/>
              <w:autoSpaceDN w:val="0"/>
              <w:adjustRightInd w:val="0"/>
              <w:jc w:val="both"/>
              <w:rPr>
                <w:rFonts w:ascii="Arial" w:hAnsi="Arial" w:cs="Arial"/>
                <w:b/>
                <w:bCs/>
                <w:color w:val="000000"/>
                <w:sz w:val="18"/>
                <w:szCs w:val="18"/>
                <w:lang w:val="en-GB"/>
              </w:rPr>
            </w:pPr>
            <w:r w:rsidRPr="00FB39A5">
              <w:rPr>
                <w:rFonts w:ascii="Arial" w:hAnsi="Arial" w:cs="Arial"/>
                <w:b/>
                <w:bCs/>
                <w:color w:val="000000"/>
                <w:sz w:val="18"/>
                <w:szCs w:val="18"/>
                <w:lang w:val="en-GB"/>
              </w:rPr>
              <w:t>Total known areas of seagrass</w:t>
            </w:r>
          </w:p>
        </w:tc>
        <w:tc>
          <w:tcPr>
            <w:tcW w:w="1121" w:type="dxa"/>
          </w:tcPr>
          <w:p w14:paraId="6C3F96F3"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33,814</w:t>
            </w:r>
          </w:p>
        </w:tc>
        <w:tc>
          <w:tcPr>
            <w:tcW w:w="1120" w:type="dxa"/>
          </w:tcPr>
          <w:p w14:paraId="5E8ED812"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1,960</w:t>
            </w:r>
          </w:p>
        </w:tc>
        <w:tc>
          <w:tcPr>
            <w:tcW w:w="1252" w:type="dxa"/>
          </w:tcPr>
          <w:p w14:paraId="290404AE"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3,035</w:t>
            </w:r>
          </w:p>
        </w:tc>
        <w:tc>
          <w:tcPr>
            <w:tcW w:w="1025" w:type="dxa"/>
          </w:tcPr>
          <w:p w14:paraId="1A344E65"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222</w:t>
            </w:r>
          </w:p>
        </w:tc>
        <w:tc>
          <w:tcPr>
            <w:tcW w:w="1255" w:type="dxa"/>
          </w:tcPr>
          <w:p w14:paraId="63B04198"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23,245</w:t>
            </w:r>
          </w:p>
        </w:tc>
        <w:tc>
          <w:tcPr>
            <w:tcW w:w="1121" w:type="dxa"/>
          </w:tcPr>
          <w:p w14:paraId="7BD15A4D"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2,553</w:t>
            </w:r>
          </w:p>
        </w:tc>
        <w:tc>
          <w:tcPr>
            <w:tcW w:w="1120" w:type="dxa"/>
          </w:tcPr>
          <w:p w14:paraId="2982465E"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8,940</w:t>
            </w:r>
          </w:p>
        </w:tc>
        <w:tc>
          <w:tcPr>
            <w:tcW w:w="1121" w:type="dxa"/>
          </w:tcPr>
          <w:p w14:paraId="05D24A83"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73,769</w:t>
            </w:r>
          </w:p>
        </w:tc>
      </w:tr>
      <w:tr w:rsidR="00FB39A5" w:rsidRPr="00FB39A5" w14:paraId="3D3E8F19" w14:textId="77777777" w:rsidTr="00FB39A5">
        <w:tblPrEx>
          <w:tblCellMar>
            <w:top w:w="0" w:type="dxa"/>
            <w:bottom w:w="0" w:type="dxa"/>
          </w:tblCellMar>
        </w:tblPrEx>
        <w:trPr>
          <w:trHeight w:val="247"/>
          <w:jc w:val="center"/>
        </w:trPr>
        <w:tc>
          <w:tcPr>
            <w:tcW w:w="4337" w:type="dxa"/>
          </w:tcPr>
          <w:p w14:paraId="48A395F2" w14:textId="77777777" w:rsidR="00FB39A5" w:rsidRPr="00FB39A5" w:rsidRDefault="00FB39A5" w:rsidP="00FB39A5">
            <w:pPr>
              <w:autoSpaceDE w:val="0"/>
              <w:autoSpaceDN w:val="0"/>
              <w:adjustRightInd w:val="0"/>
              <w:jc w:val="both"/>
              <w:rPr>
                <w:rFonts w:ascii="Arial" w:hAnsi="Arial" w:cs="Arial"/>
                <w:b/>
                <w:bCs/>
                <w:color w:val="000000"/>
                <w:sz w:val="18"/>
                <w:szCs w:val="18"/>
                <w:lang w:val="en-GB"/>
              </w:rPr>
            </w:pPr>
            <w:r w:rsidRPr="00FB39A5">
              <w:rPr>
                <w:rFonts w:ascii="Arial" w:hAnsi="Arial" w:cs="Arial"/>
                <w:b/>
                <w:bCs/>
                <w:color w:val="000000"/>
                <w:sz w:val="18"/>
                <w:szCs w:val="18"/>
                <w:lang w:val="en-GB"/>
              </w:rPr>
              <w:t xml:space="preserve">Value of total Annual production in US$ </w:t>
            </w:r>
          </w:p>
        </w:tc>
        <w:tc>
          <w:tcPr>
            <w:tcW w:w="1121" w:type="dxa"/>
          </w:tcPr>
          <w:p w14:paraId="46BC44E6"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40,103,435</w:t>
            </w:r>
          </w:p>
        </w:tc>
        <w:tc>
          <w:tcPr>
            <w:tcW w:w="1120" w:type="dxa"/>
          </w:tcPr>
          <w:p w14:paraId="3FABF92E"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13,598,940</w:t>
            </w:r>
          </w:p>
        </w:tc>
        <w:tc>
          <w:tcPr>
            <w:tcW w:w="1252" w:type="dxa"/>
          </w:tcPr>
          <w:p w14:paraId="43833A72"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0</w:t>
            </w:r>
          </w:p>
        </w:tc>
        <w:tc>
          <w:tcPr>
            <w:tcW w:w="1025" w:type="dxa"/>
          </w:tcPr>
          <w:p w14:paraId="1C65EE00"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0</w:t>
            </w:r>
          </w:p>
        </w:tc>
        <w:tc>
          <w:tcPr>
            <w:tcW w:w="1255" w:type="dxa"/>
          </w:tcPr>
          <w:p w14:paraId="0D682D86"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809,766</w:t>
            </w:r>
          </w:p>
        </w:tc>
        <w:tc>
          <w:tcPr>
            <w:tcW w:w="1121" w:type="dxa"/>
          </w:tcPr>
          <w:p w14:paraId="70A73802"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10,462,004</w:t>
            </w:r>
          </w:p>
        </w:tc>
        <w:tc>
          <w:tcPr>
            <w:tcW w:w="1120" w:type="dxa"/>
          </w:tcPr>
          <w:p w14:paraId="5A1C85C2"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20,214,500</w:t>
            </w:r>
          </w:p>
        </w:tc>
        <w:tc>
          <w:tcPr>
            <w:tcW w:w="1121" w:type="dxa"/>
          </w:tcPr>
          <w:p w14:paraId="13444603"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87,164,402</w:t>
            </w:r>
          </w:p>
        </w:tc>
      </w:tr>
    </w:tbl>
    <w:p w14:paraId="240479CA" w14:textId="77777777" w:rsidR="00FB39A5" w:rsidRPr="00FB39A5" w:rsidRDefault="00FB39A5" w:rsidP="00FB39A5">
      <w:pPr>
        <w:jc w:val="both"/>
        <w:rPr>
          <w:rFonts w:ascii="Arial" w:hAnsi="Arial"/>
          <w:sz w:val="20"/>
          <w:lang w:val="en-GB"/>
        </w:rPr>
      </w:pPr>
    </w:p>
    <w:p w14:paraId="5AC10DB4" w14:textId="77777777" w:rsidR="00FB39A5" w:rsidRPr="00C27D0E" w:rsidRDefault="00FB39A5" w:rsidP="00FB39A5">
      <w:pPr>
        <w:tabs>
          <w:tab w:val="left" w:pos="1200"/>
        </w:tabs>
        <w:spacing w:after="120"/>
        <w:ind w:left="1195" w:hanging="1195"/>
        <w:jc w:val="both"/>
        <w:rPr>
          <w:bCs/>
          <w:sz w:val="21"/>
          <w:szCs w:val="21"/>
          <w:lang w:val="en-GB"/>
        </w:rPr>
      </w:pPr>
      <w:r w:rsidRPr="00FB39A5">
        <w:rPr>
          <w:rFonts w:ascii="Arial" w:hAnsi="Arial"/>
          <w:sz w:val="20"/>
          <w:lang w:val="en-GB"/>
        </w:rPr>
        <w:br w:type="page"/>
      </w:r>
      <w:r w:rsidRPr="00C27D0E">
        <w:rPr>
          <w:b/>
          <w:bCs/>
          <w:sz w:val="21"/>
          <w:szCs w:val="21"/>
          <w:lang w:val="en-GB"/>
        </w:rPr>
        <w:t>Table</w:t>
      </w:r>
      <w:r w:rsidR="00C27D0E">
        <w:rPr>
          <w:b/>
          <w:bCs/>
          <w:sz w:val="21"/>
          <w:szCs w:val="21"/>
          <w:lang w:val="en-GB"/>
        </w:rPr>
        <w:t xml:space="preserve"> </w:t>
      </w:r>
      <w:r w:rsidR="00C27D0E" w:rsidRPr="00C27D0E">
        <w:rPr>
          <w:b/>
          <w:bCs/>
          <w:sz w:val="21"/>
          <w:szCs w:val="21"/>
          <w:lang w:val="en-GB"/>
        </w:rPr>
        <w:t>7</w:t>
      </w:r>
      <w:r w:rsidRPr="00C27D0E">
        <w:rPr>
          <w:bCs/>
          <w:sz w:val="21"/>
          <w:szCs w:val="21"/>
          <w:lang w:val="en-GB"/>
        </w:rPr>
        <w:tab/>
        <w:t>Weighted mean national and regional values for the per hectare annual production of goods and services of wetlands</w:t>
      </w:r>
      <w:r w:rsidRPr="00C27D0E">
        <w:rPr>
          <w:bCs/>
          <w:sz w:val="21"/>
          <w:szCs w:val="21"/>
          <w:vertAlign w:val="superscript"/>
          <w:lang w:val="en-GB"/>
        </w:rPr>
        <w:footnoteReference w:id="43"/>
      </w:r>
      <w:r w:rsidRPr="00C27D0E">
        <w:rPr>
          <w:bCs/>
          <w:sz w:val="21"/>
          <w:szCs w:val="21"/>
          <w:lang w:val="en-GB"/>
        </w:rPr>
        <w:t xml:space="preserve"> bordering the South China Sea.</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69"/>
        <w:gridCol w:w="1136"/>
        <w:gridCol w:w="1140"/>
        <w:gridCol w:w="1066"/>
        <w:gridCol w:w="969"/>
        <w:gridCol w:w="1282"/>
        <w:gridCol w:w="1345"/>
        <w:gridCol w:w="1390"/>
        <w:gridCol w:w="1478"/>
      </w:tblGrid>
      <w:tr w:rsidR="00FB39A5" w:rsidRPr="00FB39A5" w14:paraId="4DDDE9FA" w14:textId="77777777" w:rsidTr="00FB39A5">
        <w:tblPrEx>
          <w:tblCellMar>
            <w:top w:w="0" w:type="dxa"/>
            <w:bottom w:w="0" w:type="dxa"/>
          </w:tblCellMar>
        </w:tblPrEx>
        <w:trPr>
          <w:trHeight w:val="247"/>
          <w:jc w:val="center"/>
        </w:trPr>
        <w:tc>
          <w:tcPr>
            <w:tcW w:w="4169" w:type="dxa"/>
            <w:tcBorders>
              <w:top w:val="single" w:sz="12" w:space="0" w:color="auto"/>
              <w:bottom w:val="single" w:sz="12" w:space="0" w:color="auto"/>
            </w:tcBorders>
            <w:vAlign w:val="center"/>
          </w:tcPr>
          <w:p w14:paraId="3B378BA1"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p>
        </w:tc>
        <w:tc>
          <w:tcPr>
            <w:tcW w:w="1136" w:type="dxa"/>
            <w:tcBorders>
              <w:top w:val="single" w:sz="12" w:space="0" w:color="auto"/>
              <w:bottom w:val="single" w:sz="12" w:space="0" w:color="auto"/>
            </w:tcBorders>
            <w:vAlign w:val="center"/>
          </w:tcPr>
          <w:p w14:paraId="5CF48623"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Cambodia</w:t>
                </w:r>
              </w:smartTag>
            </w:smartTag>
          </w:p>
        </w:tc>
        <w:tc>
          <w:tcPr>
            <w:tcW w:w="1140" w:type="dxa"/>
            <w:tcBorders>
              <w:top w:val="single" w:sz="12" w:space="0" w:color="auto"/>
              <w:bottom w:val="single" w:sz="12" w:space="0" w:color="auto"/>
            </w:tcBorders>
            <w:vAlign w:val="center"/>
          </w:tcPr>
          <w:p w14:paraId="2BCAE713"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China</w:t>
                </w:r>
              </w:smartTag>
            </w:smartTag>
          </w:p>
        </w:tc>
        <w:tc>
          <w:tcPr>
            <w:tcW w:w="1066" w:type="dxa"/>
            <w:tcBorders>
              <w:top w:val="single" w:sz="12" w:space="0" w:color="auto"/>
              <w:bottom w:val="single" w:sz="12" w:space="0" w:color="auto"/>
            </w:tcBorders>
            <w:vAlign w:val="center"/>
          </w:tcPr>
          <w:p w14:paraId="220F8F22"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Indonesia</w:t>
                </w:r>
              </w:smartTag>
            </w:smartTag>
          </w:p>
        </w:tc>
        <w:tc>
          <w:tcPr>
            <w:tcW w:w="969" w:type="dxa"/>
            <w:tcBorders>
              <w:top w:val="single" w:sz="12" w:space="0" w:color="auto"/>
              <w:bottom w:val="single" w:sz="12" w:space="0" w:color="auto"/>
            </w:tcBorders>
            <w:vAlign w:val="center"/>
          </w:tcPr>
          <w:p w14:paraId="49F2CCEA"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Malaysia</w:t>
                </w:r>
              </w:smartTag>
            </w:smartTag>
          </w:p>
        </w:tc>
        <w:tc>
          <w:tcPr>
            <w:tcW w:w="1282" w:type="dxa"/>
            <w:tcBorders>
              <w:top w:val="single" w:sz="12" w:space="0" w:color="auto"/>
              <w:bottom w:val="single" w:sz="12" w:space="0" w:color="auto"/>
            </w:tcBorders>
            <w:vAlign w:val="center"/>
          </w:tcPr>
          <w:p w14:paraId="02AC0461"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Philippines</w:t>
                </w:r>
              </w:smartTag>
            </w:smartTag>
          </w:p>
        </w:tc>
        <w:tc>
          <w:tcPr>
            <w:tcW w:w="1345" w:type="dxa"/>
            <w:tcBorders>
              <w:top w:val="single" w:sz="12" w:space="0" w:color="auto"/>
              <w:bottom w:val="single" w:sz="12" w:space="0" w:color="auto"/>
            </w:tcBorders>
            <w:vAlign w:val="center"/>
          </w:tcPr>
          <w:p w14:paraId="1C30A8C6"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Thailand</w:t>
                </w:r>
              </w:smartTag>
            </w:smartTag>
          </w:p>
        </w:tc>
        <w:tc>
          <w:tcPr>
            <w:tcW w:w="1390" w:type="dxa"/>
            <w:tcBorders>
              <w:top w:val="single" w:sz="12" w:space="0" w:color="auto"/>
              <w:bottom w:val="single" w:sz="12" w:space="0" w:color="auto"/>
            </w:tcBorders>
            <w:vAlign w:val="center"/>
          </w:tcPr>
          <w:p w14:paraId="11C77BDE"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smartTag w:uri="urn:schemas-microsoft-com:office:smarttags" w:element="place">
              <w:smartTag w:uri="urn:schemas-microsoft-com:office:smarttags" w:element="country-region">
                <w:r w:rsidRPr="00FB39A5">
                  <w:rPr>
                    <w:rFonts w:ascii="Arial" w:hAnsi="Arial" w:cs="Arial"/>
                    <w:b/>
                    <w:bCs/>
                    <w:color w:val="000000"/>
                    <w:sz w:val="18"/>
                    <w:szCs w:val="18"/>
                    <w:lang w:val="en-GB"/>
                  </w:rPr>
                  <w:t>Viet Nam</w:t>
                </w:r>
              </w:smartTag>
            </w:smartTag>
          </w:p>
        </w:tc>
        <w:tc>
          <w:tcPr>
            <w:tcW w:w="1478" w:type="dxa"/>
            <w:tcBorders>
              <w:top w:val="single" w:sz="12" w:space="0" w:color="auto"/>
              <w:bottom w:val="single" w:sz="12" w:space="0" w:color="auto"/>
            </w:tcBorders>
            <w:vAlign w:val="center"/>
          </w:tcPr>
          <w:p w14:paraId="2CE7A627"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r w:rsidRPr="00FB39A5">
              <w:rPr>
                <w:rFonts w:ascii="Arial" w:hAnsi="Arial" w:cs="Arial"/>
                <w:b/>
                <w:bCs/>
                <w:color w:val="000000"/>
                <w:sz w:val="18"/>
                <w:szCs w:val="18"/>
                <w:lang w:val="en-GB"/>
              </w:rPr>
              <w:t>Regional</w:t>
            </w:r>
          </w:p>
        </w:tc>
      </w:tr>
      <w:tr w:rsidR="00FB39A5" w:rsidRPr="00FB39A5" w14:paraId="70EAF9D9" w14:textId="77777777" w:rsidTr="00FB39A5">
        <w:tblPrEx>
          <w:tblCellMar>
            <w:top w:w="0" w:type="dxa"/>
            <w:bottom w:w="0" w:type="dxa"/>
          </w:tblCellMar>
        </w:tblPrEx>
        <w:trPr>
          <w:trHeight w:val="100"/>
          <w:jc w:val="center"/>
        </w:trPr>
        <w:tc>
          <w:tcPr>
            <w:tcW w:w="4169" w:type="dxa"/>
            <w:tcBorders>
              <w:top w:val="single" w:sz="12" w:space="0" w:color="auto"/>
            </w:tcBorders>
            <w:vAlign w:val="center"/>
          </w:tcPr>
          <w:p w14:paraId="5566046B" w14:textId="77777777" w:rsidR="00FB39A5" w:rsidRPr="00FB39A5" w:rsidRDefault="00FB39A5" w:rsidP="00FB39A5">
            <w:pPr>
              <w:autoSpaceDE w:val="0"/>
              <w:autoSpaceDN w:val="0"/>
              <w:adjustRightInd w:val="0"/>
              <w:jc w:val="center"/>
              <w:rPr>
                <w:rFonts w:ascii="Arial" w:hAnsi="Arial" w:cs="Arial"/>
                <w:b/>
                <w:bCs/>
                <w:color w:val="000000"/>
                <w:sz w:val="18"/>
                <w:szCs w:val="18"/>
                <w:lang w:val="en-GB"/>
              </w:rPr>
            </w:pPr>
            <w:r w:rsidRPr="00FB39A5">
              <w:rPr>
                <w:rFonts w:ascii="Arial" w:hAnsi="Arial" w:cs="Arial"/>
                <w:b/>
                <w:bCs/>
                <w:color w:val="000000"/>
                <w:sz w:val="18"/>
                <w:szCs w:val="18"/>
                <w:lang w:val="en-GB"/>
              </w:rPr>
              <w:t>Wetland Goods</w:t>
            </w:r>
          </w:p>
        </w:tc>
        <w:tc>
          <w:tcPr>
            <w:tcW w:w="1136" w:type="dxa"/>
            <w:tcBorders>
              <w:top w:val="single" w:sz="12" w:space="0" w:color="auto"/>
            </w:tcBorders>
            <w:vAlign w:val="center"/>
          </w:tcPr>
          <w:p w14:paraId="45C46C97" w14:textId="77777777" w:rsidR="00FB39A5" w:rsidRPr="00FB39A5" w:rsidRDefault="00FB39A5" w:rsidP="00FB39A5">
            <w:pPr>
              <w:autoSpaceDE w:val="0"/>
              <w:autoSpaceDN w:val="0"/>
              <w:adjustRightInd w:val="0"/>
              <w:jc w:val="right"/>
              <w:rPr>
                <w:rFonts w:ascii="Arial" w:hAnsi="Arial" w:cs="Arial"/>
                <w:color w:val="000000"/>
                <w:sz w:val="18"/>
                <w:szCs w:val="18"/>
                <w:lang w:val="en-GB"/>
              </w:rPr>
            </w:pPr>
          </w:p>
        </w:tc>
        <w:tc>
          <w:tcPr>
            <w:tcW w:w="1140" w:type="dxa"/>
            <w:tcBorders>
              <w:top w:val="single" w:sz="12" w:space="0" w:color="auto"/>
            </w:tcBorders>
            <w:vAlign w:val="center"/>
          </w:tcPr>
          <w:p w14:paraId="1B86B007" w14:textId="77777777" w:rsidR="00FB39A5" w:rsidRPr="00FB39A5" w:rsidRDefault="00FB39A5" w:rsidP="00FB39A5">
            <w:pPr>
              <w:autoSpaceDE w:val="0"/>
              <w:autoSpaceDN w:val="0"/>
              <w:adjustRightInd w:val="0"/>
              <w:jc w:val="right"/>
              <w:rPr>
                <w:rFonts w:ascii="Arial" w:hAnsi="Arial" w:cs="Arial"/>
                <w:color w:val="000000"/>
                <w:sz w:val="18"/>
                <w:szCs w:val="18"/>
                <w:lang w:val="en-GB"/>
              </w:rPr>
            </w:pPr>
          </w:p>
        </w:tc>
        <w:tc>
          <w:tcPr>
            <w:tcW w:w="1066" w:type="dxa"/>
            <w:tcBorders>
              <w:top w:val="single" w:sz="12" w:space="0" w:color="auto"/>
            </w:tcBorders>
            <w:vAlign w:val="center"/>
          </w:tcPr>
          <w:p w14:paraId="191BC7D9" w14:textId="77777777" w:rsidR="00FB39A5" w:rsidRPr="00FB39A5" w:rsidRDefault="00FB39A5" w:rsidP="00FB39A5">
            <w:pPr>
              <w:autoSpaceDE w:val="0"/>
              <w:autoSpaceDN w:val="0"/>
              <w:adjustRightInd w:val="0"/>
              <w:jc w:val="right"/>
              <w:rPr>
                <w:rFonts w:ascii="Arial" w:hAnsi="Arial" w:cs="Arial"/>
                <w:color w:val="000000"/>
                <w:sz w:val="18"/>
                <w:szCs w:val="18"/>
                <w:lang w:val="en-GB"/>
              </w:rPr>
            </w:pPr>
          </w:p>
        </w:tc>
        <w:tc>
          <w:tcPr>
            <w:tcW w:w="969" w:type="dxa"/>
            <w:tcBorders>
              <w:top w:val="single" w:sz="12" w:space="0" w:color="auto"/>
            </w:tcBorders>
            <w:vAlign w:val="center"/>
          </w:tcPr>
          <w:p w14:paraId="59CE985D" w14:textId="77777777" w:rsidR="00FB39A5" w:rsidRPr="00FB39A5" w:rsidRDefault="00FB39A5" w:rsidP="00FB39A5">
            <w:pPr>
              <w:autoSpaceDE w:val="0"/>
              <w:autoSpaceDN w:val="0"/>
              <w:adjustRightInd w:val="0"/>
              <w:jc w:val="right"/>
              <w:rPr>
                <w:rFonts w:ascii="Arial" w:hAnsi="Arial" w:cs="Arial"/>
                <w:color w:val="000000"/>
                <w:sz w:val="18"/>
                <w:szCs w:val="18"/>
                <w:lang w:val="en-GB"/>
              </w:rPr>
            </w:pPr>
          </w:p>
        </w:tc>
        <w:tc>
          <w:tcPr>
            <w:tcW w:w="1282" w:type="dxa"/>
            <w:tcBorders>
              <w:top w:val="single" w:sz="12" w:space="0" w:color="auto"/>
            </w:tcBorders>
            <w:vAlign w:val="center"/>
          </w:tcPr>
          <w:p w14:paraId="65B7FB07" w14:textId="77777777" w:rsidR="00FB39A5" w:rsidRPr="00FB39A5" w:rsidRDefault="00FB39A5" w:rsidP="00FB39A5">
            <w:pPr>
              <w:autoSpaceDE w:val="0"/>
              <w:autoSpaceDN w:val="0"/>
              <w:adjustRightInd w:val="0"/>
              <w:jc w:val="right"/>
              <w:rPr>
                <w:rFonts w:ascii="Arial" w:hAnsi="Arial" w:cs="Arial"/>
                <w:color w:val="000000"/>
                <w:sz w:val="18"/>
                <w:szCs w:val="18"/>
                <w:lang w:val="en-GB"/>
              </w:rPr>
            </w:pPr>
          </w:p>
        </w:tc>
        <w:tc>
          <w:tcPr>
            <w:tcW w:w="1345" w:type="dxa"/>
            <w:tcBorders>
              <w:top w:val="single" w:sz="12" w:space="0" w:color="auto"/>
            </w:tcBorders>
            <w:vAlign w:val="center"/>
          </w:tcPr>
          <w:p w14:paraId="5E26342D" w14:textId="77777777" w:rsidR="00FB39A5" w:rsidRPr="00FB39A5" w:rsidRDefault="00FB39A5" w:rsidP="00FB39A5">
            <w:pPr>
              <w:autoSpaceDE w:val="0"/>
              <w:autoSpaceDN w:val="0"/>
              <w:adjustRightInd w:val="0"/>
              <w:jc w:val="right"/>
              <w:rPr>
                <w:rFonts w:ascii="Arial" w:hAnsi="Arial" w:cs="Arial"/>
                <w:color w:val="000000"/>
                <w:sz w:val="18"/>
                <w:szCs w:val="18"/>
                <w:lang w:val="en-GB"/>
              </w:rPr>
            </w:pPr>
          </w:p>
        </w:tc>
        <w:tc>
          <w:tcPr>
            <w:tcW w:w="1390" w:type="dxa"/>
            <w:tcBorders>
              <w:top w:val="single" w:sz="12" w:space="0" w:color="auto"/>
            </w:tcBorders>
            <w:vAlign w:val="center"/>
          </w:tcPr>
          <w:p w14:paraId="7AAC8D1E" w14:textId="77777777" w:rsidR="00FB39A5" w:rsidRPr="00FB39A5" w:rsidRDefault="00FB39A5" w:rsidP="00FB39A5">
            <w:pPr>
              <w:autoSpaceDE w:val="0"/>
              <w:autoSpaceDN w:val="0"/>
              <w:adjustRightInd w:val="0"/>
              <w:jc w:val="right"/>
              <w:rPr>
                <w:rFonts w:ascii="Arial" w:hAnsi="Arial" w:cs="Arial"/>
                <w:color w:val="000000"/>
                <w:sz w:val="18"/>
                <w:szCs w:val="18"/>
                <w:lang w:val="en-GB"/>
              </w:rPr>
            </w:pPr>
          </w:p>
        </w:tc>
        <w:tc>
          <w:tcPr>
            <w:tcW w:w="1478" w:type="dxa"/>
            <w:tcBorders>
              <w:top w:val="single" w:sz="12" w:space="0" w:color="auto"/>
            </w:tcBorders>
            <w:vAlign w:val="center"/>
          </w:tcPr>
          <w:p w14:paraId="48AEB1E2"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p>
        </w:tc>
      </w:tr>
      <w:tr w:rsidR="00FB39A5" w:rsidRPr="00FB39A5" w14:paraId="0E72CB2F" w14:textId="77777777" w:rsidTr="00FB39A5">
        <w:tblPrEx>
          <w:tblCellMar>
            <w:top w:w="0" w:type="dxa"/>
            <w:bottom w:w="0" w:type="dxa"/>
          </w:tblCellMar>
        </w:tblPrEx>
        <w:trPr>
          <w:trHeight w:val="100"/>
          <w:jc w:val="center"/>
        </w:trPr>
        <w:tc>
          <w:tcPr>
            <w:tcW w:w="4169" w:type="dxa"/>
            <w:vAlign w:val="center"/>
          </w:tcPr>
          <w:p w14:paraId="017FF65E"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Timber</w:t>
            </w:r>
          </w:p>
        </w:tc>
        <w:tc>
          <w:tcPr>
            <w:tcW w:w="1136" w:type="dxa"/>
            <w:vAlign w:val="center"/>
          </w:tcPr>
          <w:p w14:paraId="251B236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1D2AFE0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92.58</w:t>
            </w:r>
          </w:p>
        </w:tc>
        <w:tc>
          <w:tcPr>
            <w:tcW w:w="1066" w:type="dxa"/>
            <w:vAlign w:val="center"/>
          </w:tcPr>
          <w:p w14:paraId="1560AB2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3891B28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487A69E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1B3C988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7EB4714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147.53</w:t>
            </w:r>
          </w:p>
        </w:tc>
        <w:tc>
          <w:tcPr>
            <w:tcW w:w="1478" w:type="dxa"/>
            <w:vAlign w:val="center"/>
          </w:tcPr>
          <w:p w14:paraId="6B6B4CEB"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14.23</w:t>
            </w:r>
          </w:p>
        </w:tc>
      </w:tr>
      <w:tr w:rsidR="00FB39A5" w:rsidRPr="00FB39A5" w14:paraId="75551704" w14:textId="77777777" w:rsidTr="00FB39A5">
        <w:tblPrEx>
          <w:tblCellMar>
            <w:top w:w="0" w:type="dxa"/>
            <w:bottom w:w="0" w:type="dxa"/>
          </w:tblCellMar>
        </w:tblPrEx>
        <w:trPr>
          <w:trHeight w:val="65"/>
          <w:jc w:val="center"/>
        </w:trPr>
        <w:tc>
          <w:tcPr>
            <w:tcW w:w="4169" w:type="dxa"/>
            <w:vAlign w:val="center"/>
          </w:tcPr>
          <w:p w14:paraId="64E98EA2"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Firewood</w:t>
            </w:r>
          </w:p>
        </w:tc>
        <w:tc>
          <w:tcPr>
            <w:tcW w:w="1136" w:type="dxa"/>
            <w:vAlign w:val="center"/>
          </w:tcPr>
          <w:p w14:paraId="6F11BE6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16C288A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66" w:type="dxa"/>
            <w:vAlign w:val="center"/>
          </w:tcPr>
          <w:p w14:paraId="400145A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0BDA39D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4DE8BD1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74AB4E6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6AECD6C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135.04</w:t>
            </w:r>
          </w:p>
        </w:tc>
        <w:tc>
          <w:tcPr>
            <w:tcW w:w="1478" w:type="dxa"/>
            <w:vAlign w:val="center"/>
          </w:tcPr>
          <w:p w14:paraId="1AF99EFD"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12.61</w:t>
            </w:r>
          </w:p>
        </w:tc>
      </w:tr>
      <w:tr w:rsidR="00FB39A5" w:rsidRPr="00FB39A5" w14:paraId="185A0F42" w14:textId="77777777" w:rsidTr="00FB39A5">
        <w:tblPrEx>
          <w:tblCellMar>
            <w:top w:w="0" w:type="dxa"/>
            <w:bottom w:w="0" w:type="dxa"/>
          </w:tblCellMar>
        </w:tblPrEx>
        <w:trPr>
          <w:trHeight w:val="65"/>
          <w:jc w:val="center"/>
        </w:trPr>
        <w:tc>
          <w:tcPr>
            <w:tcW w:w="4169" w:type="dxa"/>
            <w:vAlign w:val="center"/>
          </w:tcPr>
          <w:p w14:paraId="5C60DCC0"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Charcoal</w:t>
            </w:r>
          </w:p>
        </w:tc>
        <w:tc>
          <w:tcPr>
            <w:tcW w:w="1136" w:type="dxa"/>
            <w:vAlign w:val="center"/>
          </w:tcPr>
          <w:p w14:paraId="0B01ABF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5A2EB9A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66" w:type="dxa"/>
            <w:vAlign w:val="center"/>
          </w:tcPr>
          <w:p w14:paraId="4D95523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747F452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518C756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147FFB7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0CDE7C9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5.87</w:t>
            </w:r>
          </w:p>
        </w:tc>
        <w:tc>
          <w:tcPr>
            <w:tcW w:w="1478" w:type="dxa"/>
            <w:vAlign w:val="center"/>
          </w:tcPr>
          <w:p w14:paraId="4E5E7277"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0.55</w:t>
            </w:r>
          </w:p>
        </w:tc>
      </w:tr>
      <w:tr w:rsidR="00FB39A5" w:rsidRPr="00FB39A5" w14:paraId="10CD1D6B" w14:textId="77777777" w:rsidTr="00FB39A5">
        <w:tblPrEx>
          <w:tblCellMar>
            <w:top w:w="0" w:type="dxa"/>
            <w:bottom w:w="0" w:type="dxa"/>
          </w:tblCellMar>
        </w:tblPrEx>
        <w:trPr>
          <w:trHeight w:val="65"/>
          <w:jc w:val="center"/>
        </w:trPr>
        <w:tc>
          <w:tcPr>
            <w:tcW w:w="4169" w:type="dxa"/>
            <w:vAlign w:val="center"/>
          </w:tcPr>
          <w:p w14:paraId="52080A27"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Leaves/palm fronds (Thatch, fodder)</w:t>
            </w:r>
          </w:p>
        </w:tc>
        <w:tc>
          <w:tcPr>
            <w:tcW w:w="1136" w:type="dxa"/>
            <w:vAlign w:val="center"/>
          </w:tcPr>
          <w:p w14:paraId="197A565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054EBE6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66" w:type="dxa"/>
            <w:vAlign w:val="center"/>
          </w:tcPr>
          <w:p w14:paraId="38EACF0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231625E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23B9C6C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290B4CF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21.84</w:t>
            </w:r>
          </w:p>
        </w:tc>
        <w:tc>
          <w:tcPr>
            <w:tcW w:w="1390" w:type="dxa"/>
            <w:vAlign w:val="center"/>
          </w:tcPr>
          <w:p w14:paraId="3194213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78" w:type="dxa"/>
            <w:vAlign w:val="center"/>
          </w:tcPr>
          <w:p w14:paraId="1ACBA030"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1.43</w:t>
            </w:r>
          </w:p>
        </w:tc>
      </w:tr>
      <w:tr w:rsidR="00FB39A5" w:rsidRPr="00FB39A5" w14:paraId="1AFFDDFA" w14:textId="77777777" w:rsidTr="00FB39A5">
        <w:tblPrEx>
          <w:tblCellMar>
            <w:top w:w="0" w:type="dxa"/>
            <w:bottom w:w="0" w:type="dxa"/>
          </w:tblCellMar>
        </w:tblPrEx>
        <w:trPr>
          <w:trHeight w:val="65"/>
          <w:jc w:val="center"/>
        </w:trPr>
        <w:tc>
          <w:tcPr>
            <w:tcW w:w="4169" w:type="dxa"/>
            <w:vAlign w:val="center"/>
          </w:tcPr>
          <w:p w14:paraId="27EE4C64"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Medicine</w:t>
            </w:r>
          </w:p>
        </w:tc>
        <w:tc>
          <w:tcPr>
            <w:tcW w:w="1136" w:type="dxa"/>
            <w:vAlign w:val="center"/>
          </w:tcPr>
          <w:p w14:paraId="7BF56CD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115D967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66" w:type="dxa"/>
            <w:vAlign w:val="center"/>
          </w:tcPr>
          <w:p w14:paraId="4E62917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3673AFE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0F307F8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5297FCA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2BC4AAD9"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22.51</w:t>
            </w:r>
          </w:p>
        </w:tc>
        <w:tc>
          <w:tcPr>
            <w:tcW w:w="1478" w:type="dxa"/>
            <w:vAlign w:val="center"/>
          </w:tcPr>
          <w:p w14:paraId="32DB1D4D"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2.10</w:t>
            </w:r>
          </w:p>
        </w:tc>
      </w:tr>
      <w:tr w:rsidR="00FB39A5" w:rsidRPr="00FB39A5" w14:paraId="4D57853E" w14:textId="77777777" w:rsidTr="00FB39A5">
        <w:tblPrEx>
          <w:tblCellMar>
            <w:top w:w="0" w:type="dxa"/>
            <w:bottom w:w="0" w:type="dxa"/>
          </w:tblCellMar>
        </w:tblPrEx>
        <w:trPr>
          <w:trHeight w:val="65"/>
          <w:jc w:val="center"/>
        </w:trPr>
        <w:tc>
          <w:tcPr>
            <w:tcW w:w="4169" w:type="dxa"/>
            <w:vAlign w:val="center"/>
          </w:tcPr>
          <w:p w14:paraId="64F392D7"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Fish capture</w:t>
            </w:r>
          </w:p>
        </w:tc>
        <w:tc>
          <w:tcPr>
            <w:tcW w:w="1136" w:type="dxa"/>
            <w:vAlign w:val="center"/>
          </w:tcPr>
          <w:p w14:paraId="6F5525D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3099538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109.66</w:t>
            </w:r>
          </w:p>
        </w:tc>
        <w:tc>
          <w:tcPr>
            <w:tcW w:w="1066" w:type="dxa"/>
            <w:vAlign w:val="center"/>
          </w:tcPr>
          <w:p w14:paraId="0525C19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1480F1D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31CA5DC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3B7BAC1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438.67</w:t>
            </w:r>
          </w:p>
        </w:tc>
        <w:tc>
          <w:tcPr>
            <w:tcW w:w="1390" w:type="dxa"/>
            <w:vAlign w:val="center"/>
          </w:tcPr>
          <w:p w14:paraId="1286260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966.93</w:t>
            </w:r>
          </w:p>
        </w:tc>
        <w:tc>
          <w:tcPr>
            <w:tcW w:w="1478" w:type="dxa"/>
            <w:vAlign w:val="center"/>
          </w:tcPr>
          <w:p w14:paraId="3F6CD5EC"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119.53</w:t>
            </w:r>
          </w:p>
        </w:tc>
      </w:tr>
      <w:tr w:rsidR="00FB39A5" w:rsidRPr="00FB39A5" w14:paraId="65ECB48B" w14:textId="77777777" w:rsidTr="00FB39A5">
        <w:tblPrEx>
          <w:tblCellMar>
            <w:top w:w="0" w:type="dxa"/>
            <w:bottom w:w="0" w:type="dxa"/>
          </w:tblCellMar>
        </w:tblPrEx>
        <w:trPr>
          <w:trHeight w:val="65"/>
          <w:jc w:val="center"/>
        </w:trPr>
        <w:tc>
          <w:tcPr>
            <w:tcW w:w="4169" w:type="dxa"/>
            <w:vAlign w:val="center"/>
          </w:tcPr>
          <w:p w14:paraId="319F7271"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Crab capture</w:t>
            </w:r>
          </w:p>
        </w:tc>
        <w:tc>
          <w:tcPr>
            <w:tcW w:w="1136" w:type="dxa"/>
            <w:vAlign w:val="center"/>
          </w:tcPr>
          <w:p w14:paraId="4CF6278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1A563A2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192.55</w:t>
            </w:r>
          </w:p>
        </w:tc>
        <w:tc>
          <w:tcPr>
            <w:tcW w:w="1066" w:type="dxa"/>
            <w:vAlign w:val="center"/>
          </w:tcPr>
          <w:p w14:paraId="7901F68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5B5ABB3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42CDB6C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68E8C84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4559290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78" w:type="dxa"/>
            <w:vAlign w:val="center"/>
          </w:tcPr>
          <w:p w14:paraId="088809CD"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0.93</w:t>
            </w:r>
          </w:p>
        </w:tc>
      </w:tr>
      <w:tr w:rsidR="00FB39A5" w:rsidRPr="00FB39A5" w14:paraId="759737CC" w14:textId="77777777" w:rsidTr="00FB39A5">
        <w:tblPrEx>
          <w:tblCellMar>
            <w:top w:w="0" w:type="dxa"/>
            <w:bottom w:w="0" w:type="dxa"/>
          </w:tblCellMar>
        </w:tblPrEx>
        <w:trPr>
          <w:trHeight w:val="65"/>
          <w:jc w:val="center"/>
        </w:trPr>
        <w:tc>
          <w:tcPr>
            <w:tcW w:w="4169" w:type="dxa"/>
            <w:vAlign w:val="center"/>
          </w:tcPr>
          <w:p w14:paraId="44D725BE"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Wildlife</w:t>
            </w:r>
          </w:p>
        </w:tc>
        <w:tc>
          <w:tcPr>
            <w:tcW w:w="1136" w:type="dxa"/>
            <w:vAlign w:val="center"/>
          </w:tcPr>
          <w:p w14:paraId="0CCFBD6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18A2921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66" w:type="dxa"/>
            <w:vAlign w:val="center"/>
          </w:tcPr>
          <w:p w14:paraId="2FCAEBC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16C4C57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15D8C76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38661AA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4.38</w:t>
            </w:r>
          </w:p>
        </w:tc>
        <w:tc>
          <w:tcPr>
            <w:tcW w:w="1390" w:type="dxa"/>
            <w:vAlign w:val="center"/>
          </w:tcPr>
          <w:p w14:paraId="40192B8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78" w:type="dxa"/>
            <w:vAlign w:val="center"/>
          </w:tcPr>
          <w:p w14:paraId="20A85A26"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0.29</w:t>
            </w:r>
          </w:p>
        </w:tc>
      </w:tr>
      <w:tr w:rsidR="00FB39A5" w:rsidRPr="00FB39A5" w14:paraId="45ED4315" w14:textId="77777777" w:rsidTr="00FB39A5">
        <w:tblPrEx>
          <w:tblCellMar>
            <w:top w:w="0" w:type="dxa"/>
            <w:bottom w:w="0" w:type="dxa"/>
          </w:tblCellMar>
        </w:tblPrEx>
        <w:trPr>
          <w:trHeight w:val="65"/>
          <w:jc w:val="center"/>
        </w:trPr>
        <w:tc>
          <w:tcPr>
            <w:tcW w:w="4169" w:type="dxa"/>
            <w:vAlign w:val="center"/>
          </w:tcPr>
          <w:p w14:paraId="45447EB3"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Honey &amp; wax</w:t>
            </w:r>
          </w:p>
        </w:tc>
        <w:tc>
          <w:tcPr>
            <w:tcW w:w="1136" w:type="dxa"/>
            <w:vAlign w:val="center"/>
          </w:tcPr>
          <w:p w14:paraId="6FBD80F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5408E80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66" w:type="dxa"/>
            <w:vAlign w:val="center"/>
          </w:tcPr>
          <w:p w14:paraId="74B966C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07A88FC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68A1653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12B5D71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65093F7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164.18</w:t>
            </w:r>
          </w:p>
        </w:tc>
        <w:tc>
          <w:tcPr>
            <w:tcW w:w="1478" w:type="dxa"/>
            <w:vAlign w:val="center"/>
          </w:tcPr>
          <w:p w14:paraId="2ED53F61"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15.34</w:t>
            </w:r>
          </w:p>
        </w:tc>
      </w:tr>
      <w:tr w:rsidR="00FB39A5" w:rsidRPr="00FB39A5" w14:paraId="0C541CCC" w14:textId="77777777" w:rsidTr="00FB39A5">
        <w:tblPrEx>
          <w:tblCellMar>
            <w:top w:w="0" w:type="dxa"/>
            <w:bottom w:w="0" w:type="dxa"/>
          </w:tblCellMar>
        </w:tblPrEx>
        <w:trPr>
          <w:trHeight w:val="247"/>
          <w:jc w:val="center"/>
        </w:trPr>
        <w:tc>
          <w:tcPr>
            <w:tcW w:w="4169" w:type="dxa"/>
            <w:vAlign w:val="center"/>
          </w:tcPr>
          <w:p w14:paraId="3A33441C" w14:textId="77777777" w:rsidR="00FB39A5" w:rsidRPr="00FB39A5" w:rsidRDefault="00FB39A5" w:rsidP="00FB39A5">
            <w:pPr>
              <w:autoSpaceDE w:val="0"/>
              <w:autoSpaceDN w:val="0"/>
              <w:adjustRightInd w:val="0"/>
              <w:jc w:val="both"/>
              <w:rPr>
                <w:rFonts w:ascii="Arial" w:hAnsi="Arial" w:cs="Arial"/>
                <w:b/>
                <w:bCs/>
                <w:color w:val="000000"/>
                <w:sz w:val="18"/>
                <w:szCs w:val="18"/>
                <w:lang w:val="en-GB"/>
              </w:rPr>
            </w:pPr>
            <w:r w:rsidRPr="00FB39A5">
              <w:rPr>
                <w:rFonts w:ascii="Arial" w:hAnsi="Arial" w:cs="Arial"/>
                <w:b/>
                <w:bCs/>
                <w:color w:val="000000"/>
                <w:sz w:val="18"/>
                <w:szCs w:val="18"/>
                <w:lang w:val="en-GB"/>
              </w:rPr>
              <w:t>Total Goods US$ per Ha</w:t>
            </w:r>
          </w:p>
        </w:tc>
        <w:tc>
          <w:tcPr>
            <w:tcW w:w="1136" w:type="dxa"/>
            <w:vAlign w:val="center"/>
          </w:tcPr>
          <w:p w14:paraId="5BC8CAF3"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140" w:type="dxa"/>
            <w:vAlign w:val="center"/>
          </w:tcPr>
          <w:p w14:paraId="411EB1E1"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394.79</w:t>
            </w:r>
          </w:p>
        </w:tc>
        <w:tc>
          <w:tcPr>
            <w:tcW w:w="1066" w:type="dxa"/>
            <w:vAlign w:val="center"/>
          </w:tcPr>
          <w:p w14:paraId="519AEA44"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969" w:type="dxa"/>
            <w:vAlign w:val="center"/>
          </w:tcPr>
          <w:p w14:paraId="3F1A1143"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282" w:type="dxa"/>
            <w:vAlign w:val="center"/>
          </w:tcPr>
          <w:p w14:paraId="66151A05"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345" w:type="dxa"/>
            <w:vAlign w:val="center"/>
          </w:tcPr>
          <w:p w14:paraId="5294141F"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464.89</w:t>
            </w:r>
          </w:p>
        </w:tc>
        <w:tc>
          <w:tcPr>
            <w:tcW w:w="1390" w:type="dxa"/>
            <w:vAlign w:val="center"/>
          </w:tcPr>
          <w:p w14:paraId="15D4CF18"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1,442.05</w:t>
            </w:r>
          </w:p>
        </w:tc>
        <w:tc>
          <w:tcPr>
            <w:tcW w:w="1478" w:type="dxa"/>
            <w:vAlign w:val="center"/>
          </w:tcPr>
          <w:p w14:paraId="2019796D"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167.00</w:t>
            </w:r>
          </w:p>
        </w:tc>
      </w:tr>
      <w:tr w:rsidR="00FB39A5" w:rsidRPr="00FB39A5" w14:paraId="61136659" w14:textId="77777777" w:rsidTr="00FB39A5">
        <w:tblPrEx>
          <w:tblCellMar>
            <w:top w:w="0" w:type="dxa"/>
            <w:bottom w:w="0" w:type="dxa"/>
          </w:tblCellMar>
        </w:tblPrEx>
        <w:trPr>
          <w:trHeight w:val="65"/>
          <w:jc w:val="center"/>
        </w:trPr>
        <w:tc>
          <w:tcPr>
            <w:tcW w:w="4169" w:type="dxa"/>
            <w:vAlign w:val="center"/>
          </w:tcPr>
          <w:p w14:paraId="11E17B8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136" w:type="dxa"/>
            <w:vAlign w:val="center"/>
          </w:tcPr>
          <w:p w14:paraId="124DA7F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140" w:type="dxa"/>
            <w:vAlign w:val="center"/>
          </w:tcPr>
          <w:p w14:paraId="48317D1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066" w:type="dxa"/>
            <w:vAlign w:val="center"/>
          </w:tcPr>
          <w:p w14:paraId="2D994E8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969" w:type="dxa"/>
            <w:vAlign w:val="center"/>
          </w:tcPr>
          <w:p w14:paraId="6D65483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282" w:type="dxa"/>
            <w:vAlign w:val="center"/>
          </w:tcPr>
          <w:p w14:paraId="6191076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345" w:type="dxa"/>
            <w:vAlign w:val="center"/>
          </w:tcPr>
          <w:p w14:paraId="13D6D48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390" w:type="dxa"/>
            <w:vAlign w:val="center"/>
          </w:tcPr>
          <w:p w14:paraId="33A37F5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478" w:type="dxa"/>
            <w:vAlign w:val="center"/>
          </w:tcPr>
          <w:p w14:paraId="225990C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r>
      <w:tr w:rsidR="00FB39A5" w:rsidRPr="00FB39A5" w14:paraId="5881D1EF" w14:textId="77777777" w:rsidTr="00FB39A5">
        <w:tblPrEx>
          <w:tblCellMar>
            <w:top w:w="0" w:type="dxa"/>
            <w:bottom w:w="0" w:type="dxa"/>
          </w:tblCellMar>
        </w:tblPrEx>
        <w:trPr>
          <w:trHeight w:val="65"/>
          <w:jc w:val="center"/>
        </w:trPr>
        <w:tc>
          <w:tcPr>
            <w:tcW w:w="4169" w:type="dxa"/>
            <w:vAlign w:val="center"/>
          </w:tcPr>
          <w:p w14:paraId="404A588C" w14:textId="77777777" w:rsidR="00FB39A5" w:rsidRPr="00FB39A5" w:rsidRDefault="00FB39A5" w:rsidP="00FB39A5">
            <w:pPr>
              <w:autoSpaceDE w:val="0"/>
              <w:autoSpaceDN w:val="0"/>
              <w:adjustRightInd w:val="0"/>
              <w:jc w:val="center"/>
              <w:rPr>
                <w:rFonts w:ascii="Arial" w:hAnsi="Arial" w:cs="Arial"/>
                <w:b/>
                <w:color w:val="000000"/>
                <w:sz w:val="18"/>
                <w:szCs w:val="18"/>
                <w:lang w:val="en-GB"/>
              </w:rPr>
            </w:pPr>
            <w:r w:rsidRPr="00FB39A5">
              <w:rPr>
                <w:rFonts w:ascii="Arial" w:hAnsi="Arial" w:cs="Arial"/>
                <w:b/>
                <w:color w:val="000000"/>
                <w:sz w:val="18"/>
                <w:szCs w:val="18"/>
                <w:lang w:val="en-GB"/>
              </w:rPr>
              <w:t>Wetland Services</w:t>
            </w:r>
          </w:p>
        </w:tc>
        <w:tc>
          <w:tcPr>
            <w:tcW w:w="1136" w:type="dxa"/>
            <w:vAlign w:val="center"/>
          </w:tcPr>
          <w:p w14:paraId="7F33C221"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140" w:type="dxa"/>
            <w:vAlign w:val="center"/>
          </w:tcPr>
          <w:p w14:paraId="7FAB72EE"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066" w:type="dxa"/>
            <w:vAlign w:val="center"/>
          </w:tcPr>
          <w:p w14:paraId="6F6519E8"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969" w:type="dxa"/>
            <w:vAlign w:val="center"/>
          </w:tcPr>
          <w:p w14:paraId="149FC674"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282" w:type="dxa"/>
            <w:vAlign w:val="center"/>
          </w:tcPr>
          <w:p w14:paraId="508D1CA4"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345" w:type="dxa"/>
            <w:vAlign w:val="center"/>
          </w:tcPr>
          <w:p w14:paraId="5090AAE0"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390" w:type="dxa"/>
            <w:vAlign w:val="center"/>
          </w:tcPr>
          <w:p w14:paraId="58F83169"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c>
          <w:tcPr>
            <w:tcW w:w="1478" w:type="dxa"/>
            <w:vAlign w:val="center"/>
          </w:tcPr>
          <w:p w14:paraId="448C6169"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p>
        </w:tc>
      </w:tr>
      <w:tr w:rsidR="00FB39A5" w:rsidRPr="00FB39A5" w14:paraId="20258A4B" w14:textId="77777777" w:rsidTr="00FB39A5">
        <w:tblPrEx>
          <w:tblCellMar>
            <w:top w:w="0" w:type="dxa"/>
            <w:bottom w:w="0" w:type="dxa"/>
          </w:tblCellMar>
        </w:tblPrEx>
        <w:trPr>
          <w:trHeight w:val="67"/>
          <w:jc w:val="center"/>
        </w:trPr>
        <w:tc>
          <w:tcPr>
            <w:tcW w:w="4169" w:type="dxa"/>
            <w:vAlign w:val="center"/>
          </w:tcPr>
          <w:p w14:paraId="075FA108"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Ecotourism</w:t>
            </w:r>
          </w:p>
        </w:tc>
        <w:tc>
          <w:tcPr>
            <w:tcW w:w="1136" w:type="dxa"/>
            <w:vAlign w:val="center"/>
          </w:tcPr>
          <w:p w14:paraId="7AB1764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0512D7B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294.46</w:t>
            </w:r>
          </w:p>
        </w:tc>
        <w:tc>
          <w:tcPr>
            <w:tcW w:w="1066" w:type="dxa"/>
            <w:vAlign w:val="center"/>
          </w:tcPr>
          <w:p w14:paraId="3EE92B6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12336F5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5A43B47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726F6B8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75.45</w:t>
            </w:r>
          </w:p>
        </w:tc>
        <w:tc>
          <w:tcPr>
            <w:tcW w:w="1390" w:type="dxa"/>
            <w:vAlign w:val="center"/>
          </w:tcPr>
          <w:p w14:paraId="377E327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26.62</w:t>
            </w:r>
          </w:p>
        </w:tc>
        <w:tc>
          <w:tcPr>
            <w:tcW w:w="1478" w:type="dxa"/>
            <w:vAlign w:val="center"/>
          </w:tcPr>
          <w:p w14:paraId="7F6350F4"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8.84</w:t>
            </w:r>
          </w:p>
        </w:tc>
      </w:tr>
      <w:tr w:rsidR="00FB39A5" w:rsidRPr="00FB39A5" w14:paraId="576BFDB0" w14:textId="77777777" w:rsidTr="00FB39A5">
        <w:tblPrEx>
          <w:tblCellMar>
            <w:top w:w="0" w:type="dxa"/>
            <w:bottom w:w="0" w:type="dxa"/>
          </w:tblCellMar>
        </w:tblPrEx>
        <w:trPr>
          <w:trHeight w:val="65"/>
          <w:jc w:val="center"/>
        </w:trPr>
        <w:tc>
          <w:tcPr>
            <w:tcW w:w="4169" w:type="dxa"/>
            <w:vAlign w:val="center"/>
          </w:tcPr>
          <w:p w14:paraId="5B371737"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Research &amp; Education</w:t>
            </w:r>
          </w:p>
        </w:tc>
        <w:tc>
          <w:tcPr>
            <w:tcW w:w="1136" w:type="dxa"/>
            <w:vAlign w:val="center"/>
          </w:tcPr>
          <w:p w14:paraId="6B828D1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0A6CA692"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954.54</w:t>
            </w:r>
          </w:p>
        </w:tc>
        <w:tc>
          <w:tcPr>
            <w:tcW w:w="1066" w:type="dxa"/>
            <w:vAlign w:val="center"/>
          </w:tcPr>
          <w:p w14:paraId="053EED7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5A2860B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5A143E8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55B085C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70092C5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78" w:type="dxa"/>
            <w:vAlign w:val="center"/>
          </w:tcPr>
          <w:p w14:paraId="2AF6C18D"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4.61</w:t>
            </w:r>
          </w:p>
        </w:tc>
      </w:tr>
      <w:tr w:rsidR="00FB39A5" w:rsidRPr="00FB39A5" w14:paraId="25B5F764" w14:textId="77777777" w:rsidTr="00FB39A5">
        <w:tblPrEx>
          <w:tblCellMar>
            <w:top w:w="0" w:type="dxa"/>
            <w:bottom w:w="0" w:type="dxa"/>
          </w:tblCellMar>
        </w:tblPrEx>
        <w:trPr>
          <w:trHeight w:val="65"/>
          <w:jc w:val="center"/>
        </w:trPr>
        <w:tc>
          <w:tcPr>
            <w:tcW w:w="4169" w:type="dxa"/>
            <w:vAlign w:val="center"/>
          </w:tcPr>
          <w:p w14:paraId="64F01D01"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Migratory species</w:t>
            </w:r>
          </w:p>
        </w:tc>
        <w:tc>
          <w:tcPr>
            <w:tcW w:w="1136" w:type="dxa"/>
            <w:vAlign w:val="center"/>
          </w:tcPr>
          <w:p w14:paraId="6A95A7E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0A57EC8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373.62</w:t>
            </w:r>
          </w:p>
        </w:tc>
        <w:tc>
          <w:tcPr>
            <w:tcW w:w="1066" w:type="dxa"/>
            <w:vAlign w:val="center"/>
          </w:tcPr>
          <w:p w14:paraId="6A1A41D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0C5DFCC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0CB62B7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43AD51C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6B276DA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78" w:type="dxa"/>
            <w:vAlign w:val="center"/>
          </w:tcPr>
          <w:p w14:paraId="62A66D2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1.80</w:t>
            </w:r>
          </w:p>
        </w:tc>
      </w:tr>
      <w:tr w:rsidR="00FB39A5" w:rsidRPr="00FB39A5" w14:paraId="5AC17478" w14:textId="77777777" w:rsidTr="00FB39A5">
        <w:tblPrEx>
          <w:tblCellMar>
            <w:top w:w="0" w:type="dxa"/>
            <w:bottom w:w="0" w:type="dxa"/>
          </w:tblCellMar>
        </w:tblPrEx>
        <w:trPr>
          <w:trHeight w:val="65"/>
          <w:jc w:val="center"/>
        </w:trPr>
        <w:tc>
          <w:tcPr>
            <w:tcW w:w="4169" w:type="dxa"/>
            <w:vAlign w:val="center"/>
          </w:tcPr>
          <w:p w14:paraId="50E06DBA"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Sediment retention</w:t>
            </w:r>
          </w:p>
        </w:tc>
        <w:tc>
          <w:tcPr>
            <w:tcW w:w="1136" w:type="dxa"/>
            <w:vAlign w:val="center"/>
          </w:tcPr>
          <w:p w14:paraId="4CDE4D7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074EA05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66" w:type="dxa"/>
            <w:vAlign w:val="center"/>
          </w:tcPr>
          <w:p w14:paraId="6E6A798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05C5324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79264F3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4DB9DC2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6E3EAE3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78" w:type="dxa"/>
            <w:vAlign w:val="center"/>
          </w:tcPr>
          <w:p w14:paraId="75AF223D"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r>
      <w:tr w:rsidR="00FB39A5" w:rsidRPr="00FB39A5" w14:paraId="308C4DA6" w14:textId="77777777" w:rsidTr="00FB39A5">
        <w:tblPrEx>
          <w:tblCellMar>
            <w:top w:w="0" w:type="dxa"/>
            <w:bottom w:w="0" w:type="dxa"/>
          </w:tblCellMar>
        </w:tblPrEx>
        <w:trPr>
          <w:trHeight w:val="98"/>
          <w:jc w:val="center"/>
        </w:trPr>
        <w:tc>
          <w:tcPr>
            <w:tcW w:w="4169" w:type="dxa"/>
            <w:vAlign w:val="center"/>
          </w:tcPr>
          <w:p w14:paraId="4A9E189A"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Nutrient retention</w:t>
            </w:r>
          </w:p>
        </w:tc>
        <w:tc>
          <w:tcPr>
            <w:tcW w:w="1136" w:type="dxa"/>
            <w:vAlign w:val="center"/>
          </w:tcPr>
          <w:p w14:paraId="2E22B33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04416A8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0.52</w:t>
            </w:r>
          </w:p>
        </w:tc>
        <w:tc>
          <w:tcPr>
            <w:tcW w:w="1066" w:type="dxa"/>
            <w:vAlign w:val="center"/>
          </w:tcPr>
          <w:p w14:paraId="5CA1271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2D6694D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53681DD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5C4DD45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30D7E48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78" w:type="dxa"/>
            <w:vAlign w:val="center"/>
          </w:tcPr>
          <w:p w14:paraId="6566B721" w14:textId="77777777" w:rsidR="00FB39A5" w:rsidRPr="00FB39A5" w:rsidRDefault="00FB39A5" w:rsidP="00FB39A5">
            <w:pPr>
              <w:autoSpaceDE w:val="0"/>
              <w:autoSpaceDN w:val="0"/>
              <w:adjustRightInd w:val="0"/>
              <w:jc w:val="right"/>
              <w:rPr>
                <w:rFonts w:ascii="Arial" w:hAnsi="Arial" w:cs="Arial"/>
                <w:b/>
                <w:bCs/>
                <w:color w:val="000000"/>
                <w:sz w:val="16"/>
                <w:szCs w:val="16"/>
                <w:lang w:val="en-GB"/>
              </w:rPr>
            </w:pPr>
            <w:r w:rsidRPr="00FB39A5">
              <w:rPr>
                <w:rFonts w:ascii="Arial" w:hAnsi="Arial" w:cs="Arial"/>
                <w:b/>
                <w:bCs/>
                <w:color w:val="000000"/>
                <w:sz w:val="16"/>
                <w:szCs w:val="16"/>
                <w:lang w:val="en-GB"/>
              </w:rPr>
              <w:t>0.00252</w:t>
            </w:r>
          </w:p>
        </w:tc>
      </w:tr>
      <w:tr w:rsidR="00FB39A5" w:rsidRPr="00FB39A5" w14:paraId="76883758" w14:textId="77777777" w:rsidTr="00FB39A5">
        <w:tblPrEx>
          <w:tblCellMar>
            <w:top w:w="0" w:type="dxa"/>
            <w:bottom w:w="0" w:type="dxa"/>
          </w:tblCellMar>
        </w:tblPrEx>
        <w:trPr>
          <w:trHeight w:val="65"/>
          <w:jc w:val="center"/>
        </w:trPr>
        <w:tc>
          <w:tcPr>
            <w:tcW w:w="4169" w:type="dxa"/>
            <w:vAlign w:val="center"/>
          </w:tcPr>
          <w:p w14:paraId="118B98EC"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Coastal Protection</w:t>
            </w:r>
          </w:p>
        </w:tc>
        <w:tc>
          <w:tcPr>
            <w:tcW w:w="1136" w:type="dxa"/>
            <w:vAlign w:val="center"/>
          </w:tcPr>
          <w:p w14:paraId="3376516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5D1CC03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66" w:type="dxa"/>
            <w:vAlign w:val="center"/>
          </w:tcPr>
          <w:p w14:paraId="3305FC5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07AEFFC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5F96810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2BDFE0CD"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46BFDF5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78" w:type="dxa"/>
            <w:vAlign w:val="center"/>
          </w:tcPr>
          <w:p w14:paraId="49E87974"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r>
      <w:tr w:rsidR="00FB39A5" w:rsidRPr="00FB39A5" w14:paraId="38B229C1" w14:textId="77777777" w:rsidTr="00FB39A5">
        <w:tblPrEx>
          <w:tblCellMar>
            <w:top w:w="0" w:type="dxa"/>
            <w:bottom w:w="0" w:type="dxa"/>
          </w:tblCellMar>
        </w:tblPrEx>
        <w:trPr>
          <w:trHeight w:val="65"/>
          <w:jc w:val="center"/>
        </w:trPr>
        <w:tc>
          <w:tcPr>
            <w:tcW w:w="4169" w:type="dxa"/>
            <w:vAlign w:val="center"/>
          </w:tcPr>
          <w:p w14:paraId="62C033DC"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Windbreak</w:t>
            </w:r>
          </w:p>
        </w:tc>
        <w:tc>
          <w:tcPr>
            <w:tcW w:w="1136" w:type="dxa"/>
            <w:vAlign w:val="center"/>
          </w:tcPr>
          <w:p w14:paraId="029279B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4854C99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66" w:type="dxa"/>
            <w:vAlign w:val="center"/>
          </w:tcPr>
          <w:p w14:paraId="77C734D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30443FA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4549DDA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3DC830A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43FFFF6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78" w:type="dxa"/>
            <w:vAlign w:val="center"/>
          </w:tcPr>
          <w:p w14:paraId="4EF56F0D"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r>
      <w:tr w:rsidR="00FB39A5" w:rsidRPr="00FB39A5" w14:paraId="326F35BC" w14:textId="77777777" w:rsidTr="00FB39A5">
        <w:tblPrEx>
          <w:tblCellMar>
            <w:top w:w="0" w:type="dxa"/>
            <w:bottom w:w="0" w:type="dxa"/>
          </w:tblCellMar>
        </w:tblPrEx>
        <w:trPr>
          <w:trHeight w:val="65"/>
          <w:jc w:val="center"/>
        </w:trPr>
        <w:tc>
          <w:tcPr>
            <w:tcW w:w="4169" w:type="dxa"/>
            <w:vAlign w:val="center"/>
          </w:tcPr>
          <w:p w14:paraId="25F89766"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Carbon Sequestration</w:t>
            </w:r>
          </w:p>
        </w:tc>
        <w:tc>
          <w:tcPr>
            <w:tcW w:w="1136" w:type="dxa"/>
            <w:vAlign w:val="center"/>
          </w:tcPr>
          <w:p w14:paraId="4CD4E61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1E8AF4F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140.61</w:t>
            </w:r>
          </w:p>
        </w:tc>
        <w:tc>
          <w:tcPr>
            <w:tcW w:w="1066" w:type="dxa"/>
            <w:vAlign w:val="center"/>
          </w:tcPr>
          <w:p w14:paraId="53E56D7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23A47898"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77B33250"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309E11C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3B1C327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78" w:type="dxa"/>
            <w:vAlign w:val="center"/>
          </w:tcPr>
          <w:p w14:paraId="43C9DEA5"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0.68</w:t>
            </w:r>
          </w:p>
        </w:tc>
      </w:tr>
      <w:tr w:rsidR="00FB39A5" w:rsidRPr="00FB39A5" w14:paraId="6D1B7C46" w14:textId="77777777" w:rsidTr="00FB39A5">
        <w:tblPrEx>
          <w:tblCellMar>
            <w:top w:w="0" w:type="dxa"/>
            <w:bottom w:w="0" w:type="dxa"/>
          </w:tblCellMar>
        </w:tblPrEx>
        <w:trPr>
          <w:trHeight w:val="144"/>
          <w:jc w:val="center"/>
        </w:trPr>
        <w:tc>
          <w:tcPr>
            <w:tcW w:w="4169" w:type="dxa"/>
            <w:vAlign w:val="center"/>
          </w:tcPr>
          <w:p w14:paraId="6F6D464F"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Oxygen Production</w:t>
            </w:r>
          </w:p>
        </w:tc>
        <w:tc>
          <w:tcPr>
            <w:tcW w:w="1136" w:type="dxa"/>
            <w:vAlign w:val="center"/>
          </w:tcPr>
          <w:p w14:paraId="4E2F3CC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053CB1A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66" w:type="dxa"/>
            <w:vAlign w:val="center"/>
          </w:tcPr>
          <w:p w14:paraId="047764E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7367A01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6975F4A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6D37005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7214A50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78" w:type="dxa"/>
            <w:vAlign w:val="center"/>
          </w:tcPr>
          <w:p w14:paraId="1D0BE9F7"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r>
      <w:tr w:rsidR="00FB39A5" w:rsidRPr="00FB39A5" w14:paraId="726D05CC" w14:textId="77777777" w:rsidTr="00FB39A5">
        <w:tblPrEx>
          <w:tblCellMar>
            <w:top w:w="0" w:type="dxa"/>
            <w:bottom w:w="0" w:type="dxa"/>
          </w:tblCellMar>
        </w:tblPrEx>
        <w:trPr>
          <w:trHeight w:val="65"/>
          <w:jc w:val="center"/>
        </w:trPr>
        <w:tc>
          <w:tcPr>
            <w:tcW w:w="4169" w:type="dxa"/>
            <w:vAlign w:val="center"/>
          </w:tcPr>
          <w:p w14:paraId="527B7793"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Option Value</w:t>
            </w:r>
          </w:p>
        </w:tc>
        <w:tc>
          <w:tcPr>
            <w:tcW w:w="1136" w:type="dxa"/>
            <w:vAlign w:val="center"/>
          </w:tcPr>
          <w:p w14:paraId="65A71CD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570A472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66" w:type="dxa"/>
            <w:vAlign w:val="center"/>
          </w:tcPr>
          <w:p w14:paraId="4058CEAE"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29FDBA6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05E60A45"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6524B9A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0.13</w:t>
            </w:r>
          </w:p>
        </w:tc>
        <w:tc>
          <w:tcPr>
            <w:tcW w:w="1390" w:type="dxa"/>
            <w:vAlign w:val="center"/>
          </w:tcPr>
          <w:p w14:paraId="4CF32B8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478" w:type="dxa"/>
            <w:vAlign w:val="center"/>
          </w:tcPr>
          <w:p w14:paraId="27DA07E1"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0.01</w:t>
            </w:r>
          </w:p>
        </w:tc>
      </w:tr>
      <w:tr w:rsidR="00FB39A5" w:rsidRPr="00FB39A5" w14:paraId="3E9A69C8" w14:textId="77777777" w:rsidTr="00FB39A5">
        <w:tblPrEx>
          <w:tblCellMar>
            <w:top w:w="0" w:type="dxa"/>
            <w:bottom w:w="0" w:type="dxa"/>
          </w:tblCellMar>
        </w:tblPrEx>
        <w:trPr>
          <w:trHeight w:val="65"/>
          <w:jc w:val="center"/>
        </w:trPr>
        <w:tc>
          <w:tcPr>
            <w:tcW w:w="4169" w:type="dxa"/>
            <w:vAlign w:val="center"/>
          </w:tcPr>
          <w:p w14:paraId="5B8452C0" w14:textId="77777777" w:rsidR="00FB39A5" w:rsidRPr="00FB39A5" w:rsidRDefault="00FB39A5" w:rsidP="00FB39A5">
            <w:pPr>
              <w:autoSpaceDE w:val="0"/>
              <w:autoSpaceDN w:val="0"/>
              <w:adjustRightInd w:val="0"/>
              <w:jc w:val="both"/>
              <w:rPr>
                <w:rFonts w:ascii="Arial" w:hAnsi="Arial" w:cs="Arial"/>
                <w:b/>
                <w:bCs/>
                <w:color w:val="000000"/>
                <w:sz w:val="16"/>
                <w:szCs w:val="16"/>
                <w:lang w:val="en-GB"/>
              </w:rPr>
            </w:pPr>
            <w:r w:rsidRPr="00FB39A5">
              <w:rPr>
                <w:rFonts w:ascii="Arial" w:hAnsi="Arial" w:cs="Arial"/>
                <w:b/>
                <w:bCs/>
                <w:color w:val="000000"/>
                <w:sz w:val="16"/>
                <w:szCs w:val="16"/>
                <w:lang w:val="en-GB"/>
              </w:rPr>
              <w:t>Aesthetic Value</w:t>
            </w:r>
          </w:p>
        </w:tc>
        <w:tc>
          <w:tcPr>
            <w:tcW w:w="1136" w:type="dxa"/>
            <w:vAlign w:val="center"/>
          </w:tcPr>
          <w:p w14:paraId="7E678276"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140" w:type="dxa"/>
            <w:vAlign w:val="center"/>
          </w:tcPr>
          <w:p w14:paraId="6404EC9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066" w:type="dxa"/>
            <w:vAlign w:val="center"/>
          </w:tcPr>
          <w:p w14:paraId="2BF54349"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969" w:type="dxa"/>
            <w:vAlign w:val="center"/>
          </w:tcPr>
          <w:p w14:paraId="7B23069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282" w:type="dxa"/>
            <w:vAlign w:val="center"/>
          </w:tcPr>
          <w:p w14:paraId="09C16644"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45" w:type="dxa"/>
            <w:vAlign w:val="center"/>
          </w:tcPr>
          <w:p w14:paraId="5B7CFF37"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0.00</w:t>
            </w:r>
          </w:p>
        </w:tc>
        <w:tc>
          <w:tcPr>
            <w:tcW w:w="1390" w:type="dxa"/>
            <w:vAlign w:val="center"/>
          </w:tcPr>
          <w:p w14:paraId="6557C9E1"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r w:rsidRPr="00FB39A5">
              <w:rPr>
                <w:rFonts w:ascii="Arial" w:hAnsi="Arial" w:cs="Arial"/>
                <w:color w:val="000000"/>
                <w:sz w:val="16"/>
                <w:szCs w:val="16"/>
                <w:lang w:val="en-GB"/>
              </w:rPr>
              <w:t>1,201.32</w:t>
            </w:r>
          </w:p>
        </w:tc>
        <w:tc>
          <w:tcPr>
            <w:tcW w:w="1478" w:type="dxa"/>
            <w:vAlign w:val="center"/>
          </w:tcPr>
          <w:p w14:paraId="73E8A1F7"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112.21</w:t>
            </w:r>
          </w:p>
        </w:tc>
      </w:tr>
      <w:tr w:rsidR="00FB39A5" w:rsidRPr="00FB39A5" w14:paraId="100A33EC" w14:textId="77777777" w:rsidTr="00FB39A5">
        <w:tblPrEx>
          <w:tblCellMar>
            <w:top w:w="0" w:type="dxa"/>
            <w:bottom w:w="0" w:type="dxa"/>
          </w:tblCellMar>
        </w:tblPrEx>
        <w:trPr>
          <w:trHeight w:val="247"/>
          <w:jc w:val="center"/>
        </w:trPr>
        <w:tc>
          <w:tcPr>
            <w:tcW w:w="4169" w:type="dxa"/>
            <w:vAlign w:val="center"/>
          </w:tcPr>
          <w:p w14:paraId="44D8EA9C" w14:textId="77777777" w:rsidR="00FB39A5" w:rsidRPr="00FB39A5" w:rsidRDefault="00FB39A5" w:rsidP="00FB39A5">
            <w:pPr>
              <w:autoSpaceDE w:val="0"/>
              <w:autoSpaceDN w:val="0"/>
              <w:adjustRightInd w:val="0"/>
              <w:jc w:val="both"/>
              <w:rPr>
                <w:rFonts w:ascii="Arial" w:hAnsi="Arial" w:cs="Arial"/>
                <w:b/>
                <w:bCs/>
                <w:color w:val="000000"/>
                <w:sz w:val="20"/>
                <w:lang w:val="en-GB"/>
              </w:rPr>
            </w:pPr>
            <w:r w:rsidRPr="00FB39A5">
              <w:rPr>
                <w:rFonts w:ascii="Arial" w:hAnsi="Arial" w:cs="Arial"/>
                <w:b/>
                <w:bCs/>
                <w:color w:val="000000"/>
                <w:sz w:val="20"/>
                <w:lang w:val="en-GB"/>
              </w:rPr>
              <w:t>Total Services US$ per Ha</w:t>
            </w:r>
          </w:p>
        </w:tc>
        <w:tc>
          <w:tcPr>
            <w:tcW w:w="1136" w:type="dxa"/>
            <w:vAlign w:val="center"/>
          </w:tcPr>
          <w:p w14:paraId="50AD2B0D"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140" w:type="dxa"/>
            <w:vAlign w:val="center"/>
          </w:tcPr>
          <w:p w14:paraId="1E597D66"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1,763.75</w:t>
            </w:r>
          </w:p>
        </w:tc>
        <w:tc>
          <w:tcPr>
            <w:tcW w:w="1066" w:type="dxa"/>
            <w:vAlign w:val="center"/>
          </w:tcPr>
          <w:p w14:paraId="6A2C6634"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969" w:type="dxa"/>
            <w:vAlign w:val="center"/>
          </w:tcPr>
          <w:p w14:paraId="4459C2EA"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282" w:type="dxa"/>
            <w:vAlign w:val="center"/>
          </w:tcPr>
          <w:p w14:paraId="429765AC"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345" w:type="dxa"/>
            <w:vAlign w:val="center"/>
          </w:tcPr>
          <w:p w14:paraId="45244915"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75.58</w:t>
            </w:r>
          </w:p>
        </w:tc>
        <w:tc>
          <w:tcPr>
            <w:tcW w:w="1390" w:type="dxa"/>
            <w:vAlign w:val="center"/>
          </w:tcPr>
          <w:p w14:paraId="1C147D0D"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1,227.94</w:t>
            </w:r>
          </w:p>
        </w:tc>
        <w:tc>
          <w:tcPr>
            <w:tcW w:w="1478" w:type="dxa"/>
            <w:vAlign w:val="center"/>
          </w:tcPr>
          <w:p w14:paraId="590E2E11"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128.15</w:t>
            </w:r>
          </w:p>
        </w:tc>
      </w:tr>
      <w:tr w:rsidR="00FB39A5" w:rsidRPr="00FB39A5" w14:paraId="7829DA9D" w14:textId="77777777" w:rsidTr="00FB39A5">
        <w:tblPrEx>
          <w:tblCellMar>
            <w:top w:w="0" w:type="dxa"/>
            <w:bottom w:w="0" w:type="dxa"/>
          </w:tblCellMar>
        </w:tblPrEx>
        <w:trPr>
          <w:trHeight w:val="247"/>
          <w:jc w:val="center"/>
        </w:trPr>
        <w:tc>
          <w:tcPr>
            <w:tcW w:w="4169" w:type="dxa"/>
            <w:vAlign w:val="center"/>
          </w:tcPr>
          <w:p w14:paraId="72768DDE" w14:textId="77777777" w:rsidR="00FB39A5" w:rsidRPr="00FB39A5" w:rsidRDefault="00FB39A5" w:rsidP="00FB39A5">
            <w:pPr>
              <w:autoSpaceDE w:val="0"/>
              <w:autoSpaceDN w:val="0"/>
              <w:adjustRightInd w:val="0"/>
              <w:jc w:val="right"/>
              <w:rPr>
                <w:rFonts w:ascii="Arial" w:hAnsi="Arial" w:cs="Arial"/>
                <w:color w:val="000000"/>
                <w:sz w:val="20"/>
                <w:lang w:val="en-GB"/>
              </w:rPr>
            </w:pPr>
          </w:p>
        </w:tc>
        <w:tc>
          <w:tcPr>
            <w:tcW w:w="1136" w:type="dxa"/>
            <w:vAlign w:val="center"/>
          </w:tcPr>
          <w:p w14:paraId="492D732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140" w:type="dxa"/>
            <w:vAlign w:val="center"/>
          </w:tcPr>
          <w:p w14:paraId="6FA6D85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066" w:type="dxa"/>
            <w:vAlign w:val="center"/>
          </w:tcPr>
          <w:p w14:paraId="6EC728AC"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969" w:type="dxa"/>
            <w:vAlign w:val="center"/>
          </w:tcPr>
          <w:p w14:paraId="69703403"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282" w:type="dxa"/>
            <w:vAlign w:val="center"/>
          </w:tcPr>
          <w:p w14:paraId="108835BA"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345" w:type="dxa"/>
            <w:vAlign w:val="center"/>
          </w:tcPr>
          <w:p w14:paraId="5481E3DB"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390" w:type="dxa"/>
            <w:vAlign w:val="center"/>
          </w:tcPr>
          <w:p w14:paraId="160F26BF" w14:textId="77777777" w:rsidR="00FB39A5" w:rsidRPr="00FB39A5" w:rsidRDefault="00FB39A5" w:rsidP="00FB39A5">
            <w:pPr>
              <w:autoSpaceDE w:val="0"/>
              <w:autoSpaceDN w:val="0"/>
              <w:adjustRightInd w:val="0"/>
              <w:jc w:val="right"/>
              <w:rPr>
                <w:rFonts w:ascii="Arial" w:hAnsi="Arial" w:cs="Arial"/>
                <w:color w:val="000000"/>
                <w:sz w:val="16"/>
                <w:szCs w:val="16"/>
                <w:lang w:val="en-GB"/>
              </w:rPr>
            </w:pPr>
          </w:p>
        </w:tc>
        <w:tc>
          <w:tcPr>
            <w:tcW w:w="1478" w:type="dxa"/>
            <w:vAlign w:val="center"/>
          </w:tcPr>
          <w:p w14:paraId="5E4E2D39"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p>
        </w:tc>
      </w:tr>
      <w:tr w:rsidR="00FB39A5" w:rsidRPr="00FB39A5" w14:paraId="37B0B60D" w14:textId="77777777" w:rsidTr="00FB39A5">
        <w:tblPrEx>
          <w:tblCellMar>
            <w:top w:w="0" w:type="dxa"/>
            <w:bottom w:w="0" w:type="dxa"/>
          </w:tblCellMar>
        </w:tblPrEx>
        <w:trPr>
          <w:trHeight w:val="262"/>
          <w:jc w:val="center"/>
        </w:trPr>
        <w:tc>
          <w:tcPr>
            <w:tcW w:w="4169" w:type="dxa"/>
            <w:vAlign w:val="center"/>
          </w:tcPr>
          <w:p w14:paraId="78B4C35A" w14:textId="77777777" w:rsidR="00FB39A5" w:rsidRPr="00FB39A5" w:rsidRDefault="00FB39A5" w:rsidP="00FB39A5">
            <w:pPr>
              <w:autoSpaceDE w:val="0"/>
              <w:autoSpaceDN w:val="0"/>
              <w:adjustRightInd w:val="0"/>
              <w:jc w:val="both"/>
              <w:rPr>
                <w:rFonts w:ascii="Arial" w:hAnsi="Arial" w:cs="Arial"/>
                <w:b/>
                <w:bCs/>
                <w:color w:val="000000"/>
                <w:sz w:val="18"/>
                <w:szCs w:val="18"/>
                <w:lang w:val="en-GB"/>
              </w:rPr>
            </w:pPr>
            <w:r w:rsidRPr="00FB39A5">
              <w:rPr>
                <w:rFonts w:ascii="Arial" w:hAnsi="Arial" w:cs="Arial"/>
                <w:b/>
                <w:bCs/>
                <w:color w:val="000000"/>
                <w:sz w:val="18"/>
                <w:szCs w:val="18"/>
                <w:lang w:val="en-GB"/>
              </w:rPr>
              <w:t>Grand Total Goods and Services Value US$</w:t>
            </w:r>
          </w:p>
        </w:tc>
        <w:tc>
          <w:tcPr>
            <w:tcW w:w="1136" w:type="dxa"/>
            <w:vAlign w:val="center"/>
          </w:tcPr>
          <w:p w14:paraId="49B73986"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140" w:type="dxa"/>
            <w:vAlign w:val="center"/>
          </w:tcPr>
          <w:p w14:paraId="15269DD4"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2,158.54</w:t>
            </w:r>
          </w:p>
        </w:tc>
        <w:tc>
          <w:tcPr>
            <w:tcW w:w="1066" w:type="dxa"/>
            <w:vAlign w:val="center"/>
          </w:tcPr>
          <w:p w14:paraId="058180D2"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969" w:type="dxa"/>
            <w:vAlign w:val="center"/>
          </w:tcPr>
          <w:p w14:paraId="5437B19C"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282" w:type="dxa"/>
            <w:vAlign w:val="center"/>
          </w:tcPr>
          <w:p w14:paraId="77A585C9"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0.00</w:t>
            </w:r>
          </w:p>
        </w:tc>
        <w:tc>
          <w:tcPr>
            <w:tcW w:w="1345" w:type="dxa"/>
            <w:vAlign w:val="center"/>
          </w:tcPr>
          <w:p w14:paraId="240A613D"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540.47</w:t>
            </w:r>
          </w:p>
        </w:tc>
        <w:tc>
          <w:tcPr>
            <w:tcW w:w="1390" w:type="dxa"/>
            <w:vAlign w:val="center"/>
          </w:tcPr>
          <w:p w14:paraId="3D412652"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2,670.00</w:t>
            </w:r>
          </w:p>
        </w:tc>
        <w:tc>
          <w:tcPr>
            <w:tcW w:w="1478" w:type="dxa"/>
            <w:vAlign w:val="center"/>
          </w:tcPr>
          <w:p w14:paraId="0767E45F"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295.15</w:t>
            </w:r>
          </w:p>
        </w:tc>
      </w:tr>
      <w:tr w:rsidR="00FB39A5" w:rsidRPr="00FB39A5" w14:paraId="3C190956" w14:textId="77777777" w:rsidTr="00FB39A5">
        <w:tblPrEx>
          <w:tblCellMar>
            <w:top w:w="0" w:type="dxa"/>
            <w:bottom w:w="0" w:type="dxa"/>
          </w:tblCellMar>
        </w:tblPrEx>
        <w:trPr>
          <w:trHeight w:val="247"/>
          <w:jc w:val="center"/>
        </w:trPr>
        <w:tc>
          <w:tcPr>
            <w:tcW w:w="4169" w:type="dxa"/>
            <w:vAlign w:val="center"/>
          </w:tcPr>
          <w:p w14:paraId="1144EAA4" w14:textId="77777777" w:rsidR="00FB39A5" w:rsidRPr="00FB39A5" w:rsidRDefault="00FB39A5" w:rsidP="00FB39A5">
            <w:pPr>
              <w:autoSpaceDE w:val="0"/>
              <w:autoSpaceDN w:val="0"/>
              <w:adjustRightInd w:val="0"/>
              <w:jc w:val="both"/>
              <w:rPr>
                <w:rFonts w:ascii="Arial" w:hAnsi="Arial" w:cs="Arial"/>
                <w:b/>
                <w:bCs/>
                <w:color w:val="000000"/>
                <w:sz w:val="18"/>
                <w:szCs w:val="18"/>
                <w:lang w:val="en-GB"/>
              </w:rPr>
            </w:pPr>
            <w:r w:rsidRPr="00FB39A5">
              <w:rPr>
                <w:rFonts w:ascii="Arial" w:hAnsi="Arial" w:cs="Arial"/>
                <w:b/>
                <w:bCs/>
                <w:color w:val="000000"/>
                <w:sz w:val="18"/>
                <w:szCs w:val="18"/>
                <w:lang w:val="en-GB"/>
              </w:rPr>
              <w:t>Total known areas of wetlands</w:t>
            </w:r>
          </w:p>
        </w:tc>
        <w:tc>
          <w:tcPr>
            <w:tcW w:w="1136" w:type="dxa"/>
            <w:vAlign w:val="center"/>
          </w:tcPr>
          <w:p w14:paraId="1BEA47DC"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77,202</w:t>
            </w:r>
          </w:p>
        </w:tc>
        <w:tc>
          <w:tcPr>
            <w:tcW w:w="1140" w:type="dxa"/>
            <w:vAlign w:val="center"/>
          </w:tcPr>
          <w:p w14:paraId="05D371D5"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20,276</w:t>
            </w:r>
          </w:p>
        </w:tc>
        <w:tc>
          <w:tcPr>
            <w:tcW w:w="1066" w:type="dxa"/>
            <w:vAlign w:val="center"/>
          </w:tcPr>
          <w:p w14:paraId="1BC2A09E"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3,252,780</w:t>
            </w:r>
          </w:p>
        </w:tc>
        <w:tc>
          <w:tcPr>
            <w:tcW w:w="969" w:type="dxa"/>
            <w:vAlign w:val="center"/>
          </w:tcPr>
          <w:p w14:paraId="149895A2"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0</w:t>
            </w:r>
          </w:p>
        </w:tc>
        <w:tc>
          <w:tcPr>
            <w:tcW w:w="1282" w:type="dxa"/>
            <w:vAlign w:val="center"/>
          </w:tcPr>
          <w:p w14:paraId="3CB11F39"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183,818</w:t>
            </w:r>
          </w:p>
        </w:tc>
        <w:tc>
          <w:tcPr>
            <w:tcW w:w="1345" w:type="dxa"/>
            <w:vAlign w:val="center"/>
          </w:tcPr>
          <w:p w14:paraId="7207B076"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274,653</w:t>
            </w:r>
          </w:p>
        </w:tc>
        <w:tc>
          <w:tcPr>
            <w:tcW w:w="1390" w:type="dxa"/>
            <w:vAlign w:val="center"/>
          </w:tcPr>
          <w:p w14:paraId="2C098825"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392,416</w:t>
            </w:r>
          </w:p>
        </w:tc>
        <w:tc>
          <w:tcPr>
            <w:tcW w:w="1478" w:type="dxa"/>
            <w:vAlign w:val="center"/>
          </w:tcPr>
          <w:p w14:paraId="04B8AEDD" w14:textId="77777777" w:rsidR="00FB39A5" w:rsidRPr="00FB39A5" w:rsidRDefault="00FB39A5" w:rsidP="00FB39A5">
            <w:pPr>
              <w:autoSpaceDE w:val="0"/>
              <w:autoSpaceDN w:val="0"/>
              <w:adjustRightInd w:val="0"/>
              <w:jc w:val="right"/>
              <w:rPr>
                <w:rFonts w:ascii="Arial" w:hAnsi="Arial" w:cs="Arial"/>
                <w:b/>
                <w:bCs/>
                <w:color w:val="000000"/>
                <w:sz w:val="18"/>
                <w:szCs w:val="18"/>
                <w:lang w:val="en-GB"/>
              </w:rPr>
            </w:pPr>
            <w:r w:rsidRPr="00FB39A5">
              <w:rPr>
                <w:rFonts w:ascii="Arial" w:hAnsi="Arial" w:cs="Arial"/>
                <w:b/>
                <w:bCs/>
                <w:color w:val="000000"/>
                <w:sz w:val="18"/>
                <w:szCs w:val="18"/>
                <w:lang w:val="en-GB"/>
              </w:rPr>
              <w:t>4,201,145</w:t>
            </w:r>
          </w:p>
        </w:tc>
      </w:tr>
      <w:tr w:rsidR="00FB39A5" w:rsidRPr="00FB39A5" w14:paraId="03E4B752" w14:textId="77777777" w:rsidTr="00FB39A5">
        <w:tblPrEx>
          <w:tblCellMar>
            <w:top w:w="0" w:type="dxa"/>
            <w:bottom w:w="0" w:type="dxa"/>
          </w:tblCellMar>
        </w:tblPrEx>
        <w:trPr>
          <w:trHeight w:val="247"/>
          <w:jc w:val="center"/>
        </w:trPr>
        <w:tc>
          <w:tcPr>
            <w:tcW w:w="4169" w:type="dxa"/>
            <w:vAlign w:val="center"/>
          </w:tcPr>
          <w:p w14:paraId="2787F2CC" w14:textId="77777777" w:rsidR="00FB39A5" w:rsidRPr="00FB39A5" w:rsidRDefault="00FB39A5" w:rsidP="00FB39A5">
            <w:pPr>
              <w:autoSpaceDE w:val="0"/>
              <w:autoSpaceDN w:val="0"/>
              <w:adjustRightInd w:val="0"/>
              <w:jc w:val="both"/>
              <w:rPr>
                <w:rFonts w:ascii="Arial" w:hAnsi="Arial" w:cs="Arial"/>
                <w:b/>
                <w:bCs/>
                <w:color w:val="000000"/>
                <w:sz w:val="18"/>
                <w:szCs w:val="18"/>
                <w:lang w:val="en-GB"/>
              </w:rPr>
            </w:pPr>
            <w:r w:rsidRPr="00FB39A5">
              <w:rPr>
                <w:rFonts w:ascii="Arial" w:hAnsi="Arial" w:cs="Arial"/>
                <w:b/>
                <w:bCs/>
                <w:color w:val="000000"/>
                <w:sz w:val="18"/>
                <w:szCs w:val="18"/>
                <w:lang w:val="en-GB"/>
              </w:rPr>
              <w:t xml:space="preserve">Value of total annual production in US$ </w:t>
            </w:r>
          </w:p>
        </w:tc>
        <w:tc>
          <w:tcPr>
            <w:tcW w:w="1136" w:type="dxa"/>
            <w:vAlign w:val="center"/>
          </w:tcPr>
          <w:p w14:paraId="257A4BAF"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0.00</w:t>
            </w:r>
          </w:p>
        </w:tc>
        <w:tc>
          <w:tcPr>
            <w:tcW w:w="1140" w:type="dxa"/>
            <w:vAlign w:val="center"/>
          </w:tcPr>
          <w:p w14:paraId="5FB64EAA"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43,766,563</w:t>
            </w:r>
          </w:p>
        </w:tc>
        <w:tc>
          <w:tcPr>
            <w:tcW w:w="1066" w:type="dxa"/>
            <w:vAlign w:val="center"/>
          </w:tcPr>
          <w:p w14:paraId="6FF4C4A5"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0.00</w:t>
            </w:r>
          </w:p>
        </w:tc>
        <w:tc>
          <w:tcPr>
            <w:tcW w:w="969" w:type="dxa"/>
            <w:vAlign w:val="center"/>
          </w:tcPr>
          <w:p w14:paraId="1C28D592"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0.00</w:t>
            </w:r>
          </w:p>
        </w:tc>
        <w:tc>
          <w:tcPr>
            <w:tcW w:w="1282" w:type="dxa"/>
            <w:vAlign w:val="center"/>
          </w:tcPr>
          <w:p w14:paraId="6595FD9B"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0.00</w:t>
            </w:r>
          </w:p>
        </w:tc>
        <w:tc>
          <w:tcPr>
            <w:tcW w:w="1345" w:type="dxa"/>
            <w:vAlign w:val="center"/>
          </w:tcPr>
          <w:p w14:paraId="462F0CA8"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148,440,949</w:t>
            </w:r>
          </w:p>
        </w:tc>
        <w:tc>
          <w:tcPr>
            <w:tcW w:w="1390" w:type="dxa"/>
            <w:vAlign w:val="center"/>
          </w:tcPr>
          <w:p w14:paraId="160571B5"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1,047,749,247</w:t>
            </w:r>
          </w:p>
        </w:tc>
        <w:tc>
          <w:tcPr>
            <w:tcW w:w="1478" w:type="dxa"/>
            <w:vAlign w:val="center"/>
          </w:tcPr>
          <w:p w14:paraId="69E7FD13" w14:textId="77777777" w:rsidR="00FB39A5" w:rsidRPr="00FB39A5" w:rsidRDefault="00FB39A5" w:rsidP="00FB39A5">
            <w:pPr>
              <w:autoSpaceDE w:val="0"/>
              <w:autoSpaceDN w:val="0"/>
              <w:adjustRightInd w:val="0"/>
              <w:jc w:val="right"/>
              <w:rPr>
                <w:rFonts w:ascii="Arial" w:hAnsi="Arial" w:cs="Arial"/>
                <w:b/>
                <w:color w:val="000000"/>
                <w:sz w:val="18"/>
                <w:szCs w:val="18"/>
                <w:lang w:val="en-GB"/>
              </w:rPr>
            </w:pPr>
            <w:r w:rsidRPr="00FB39A5">
              <w:rPr>
                <w:rFonts w:ascii="Arial" w:hAnsi="Arial" w:cs="Arial"/>
                <w:b/>
                <w:color w:val="000000"/>
                <w:sz w:val="18"/>
                <w:szCs w:val="18"/>
                <w:lang w:val="en-GB"/>
              </w:rPr>
              <w:t>1,239,956,427</w:t>
            </w:r>
          </w:p>
        </w:tc>
      </w:tr>
    </w:tbl>
    <w:p w14:paraId="78596A1A" w14:textId="77777777" w:rsidR="00FB39A5" w:rsidRPr="00FB39A5" w:rsidRDefault="00FB39A5" w:rsidP="00FB39A5">
      <w:pPr>
        <w:jc w:val="both"/>
        <w:rPr>
          <w:rFonts w:ascii="Arial" w:hAnsi="Arial"/>
          <w:sz w:val="20"/>
          <w:lang w:val="en-GB"/>
        </w:rPr>
      </w:pPr>
    </w:p>
    <w:p w14:paraId="194852D2" w14:textId="77777777" w:rsidR="00FB39A5" w:rsidRDefault="00FB39A5" w:rsidP="00FB39A5">
      <w:pPr>
        <w:spacing w:after="120"/>
        <w:jc w:val="both"/>
        <w:rPr>
          <w:sz w:val="22"/>
          <w:szCs w:val="22"/>
        </w:rPr>
        <w:sectPr w:rsidR="00FB39A5" w:rsidSect="00064925">
          <w:pgSz w:w="15840" w:h="12240" w:orient="landscape" w:code="1"/>
          <w:pgMar w:top="1584" w:right="1440" w:bottom="1584" w:left="1440" w:header="706" w:footer="706" w:gutter="0"/>
          <w:cols w:space="708"/>
          <w:docGrid w:linePitch="360"/>
        </w:sectPr>
      </w:pPr>
    </w:p>
    <w:p w14:paraId="069E0102" w14:textId="77777777" w:rsidR="00B61A8B" w:rsidRDefault="00B61A8B" w:rsidP="00B61A8B">
      <w:pPr>
        <w:numPr>
          <w:ilvl w:val="0"/>
          <w:numId w:val="3"/>
        </w:numPr>
        <w:spacing w:after="120"/>
        <w:ind w:left="0" w:firstLine="0"/>
        <w:jc w:val="both"/>
        <w:rPr>
          <w:sz w:val="22"/>
          <w:szCs w:val="22"/>
        </w:rPr>
      </w:pPr>
      <w:r w:rsidRPr="00404C7D">
        <w:rPr>
          <w:sz w:val="22"/>
          <w:szCs w:val="22"/>
        </w:rPr>
        <w:t xml:space="preserve">In the case of mangrove “fruit” or propagules, the value from China represents the price of </w:t>
      </w:r>
      <w:r w:rsidRPr="007770F4">
        <w:rPr>
          <w:i/>
          <w:sz w:val="22"/>
          <w:szCs w:val="22"/>
        </w:rPr>
        <w:t>Avicennia marina</w:t>
      </w:r>
      <w:r w:rsidRPr="00404C7D">
        <w:rPr>
          <w:sz w:val="22"/>
          <w:szCs w:val="22"/>
        </w:rPr>
        <w:t xml:space="preserve"> propagules that are used in soup and other dishes in southern China and are apparently not eaten elsewhere in the region. Propagules of other species are processed as sweets and eaten in Thailand but no farm gate price is available from that country. What is interesting is the apparent absence of a market for mangrove propagules in countries where propagules are purchased from local villagers for use in re-forestation and re-planting schemes. During the sixth meeting of the regional Working Group on Mangroves (UNEP, </w:t>
      </w:r>
      <w:r w:rsidR="00947B9C" w:rsidRPr="00404C7D">
        <w:rPr>
          <w:sz w:val="22"/>
          <w:szCs w:val="22"/>
        </w:rPr>
        <w:t>200</w:t>
      </w:r>
      <w:r w:rsidR="00947B9C">
        <w:rPr>
          <w:sz w:val="22"/>
          <w:szCs w:val="22"/>
        </w:rPr>
        <w:t>5a</w:t>
      </w:r>
      <w:r w:rsidRPr="00404C7D">
        <w:rPr>
          <w:sz w:val="22"/>
          <w:szCs w:val="22"/>
        </w:rPr>
        <w:t>), there was a discussion regarding the value and sale of propagules during which it was noted that propagules from the Batu Ampur demonstration site were being sold for replanting elsewhere in West Kalimantan at a price for Rhizophora of 1$ for 200 propagules. In Thailand and Viet Nam the price was cited at around 1$ for 100 propagules, whilst in the Philippines the price was higher at 1$ for 50 propagules. Markets thus do exist for these products but values are apparently not formally recorded in the literature.</w:t>
      </w:r>
    </w:p>
    <w:p w14:paraId="76995E79" w14:textId="77777777" w:rsidR="00621620" w:rsidRPr="00621620" w:rsidRDefault="00621620" w:rsidP="00621620">
      <w:pPr>
        <w:numPr>
          <w:ilvl w:val="3"/>
          <w:numId w:val="2"/>
        </w:numPr>
        <w:spacing w:after="120"/>
        <w:outlineLvl w:val="1"/>
        <w:rPr>
          <w:b/>
          <w:sz w:val="22"/>
          <w:szCs w:val="22"/>
          <w:lang w:val="en-GB"/>
        </w:rPr>
      </w:pPr>
      <w:r>
        <w:rPr>
          <w:b/>
          <w:sz w:val="22"/>
          <w:szCs w:val="22"/>
          <w:lang w:val="en-GB"/>
        </w:rPr>
        <w:t>Determination of Total Economic Value (TEV)</w:t>
      </w:r>
    </w:p>
    <w:p w14:paraId="74CA435C" w14:textId="77777777" w:rsidR="00B61A8B" w:rsidRDefault="00B61A8B" w:rsidP="00B61A8B">
      <w:pPr>
        <w:numPr>
          <w:ilvl w:val="0"/>
          <w:numId w:val="3"/>
        </w:numPr>
        <w:spacing w:after="120"/>
        <w:ind w:left="0" w:firstLine="0"/>
        <w:jc w:val="both"/>
        <w:rPr>
          <w:sz w:val="22"/>
          <w:szCs w:val="22"/>
          <w:lang w:val="en-GB"/>
        </w:rPr>
      </w:pPr>
      <w:r w:rsidRPr="00A52809">
        <w:rPr>
          <w:sz w:val="22"/>
          <w:szCs w:val="22"/>
          <w:lang w:val="en-GB"/>
        </w:rPr>
        <w:t xml:space="preserve">The </w:t>
      </w:r>
      <w:r>
        <w:rPr>
          <w:sz w:val="22"/>
          <w:szCs w:val="22"/>
          <w:lang w:val="en-GB"/>
        </w:rPr>
        <w:t xml:space="preserve">SCS project </w:t>
      </w:r>
      <w:r w:rsidRPr="00A52809">
        <w:rPr>
          <w:sz w:val="22"/>
          <w:szCs w:val="22"/>
          <w:lang w:val="en-GB"/>
        </w:rPr>
        <w:t>task force agreed that the Total Economic Value of the habitats bordering the South China Sea should be estimated as the summation of the values of all goods and services produced by each habitat on an annual basis. The summation of the regionally weighted values therefore represents the Total Economic Value of the annual production per hectare, whilst the Total Economic Value for the entire area of each habitat is derived from the product of this value multiplied by the total area of the habitat bordering the South China Sea.</w:t>
      </w:r>
      <w:r>
        <w:rPr>
          <w:sz w:val="22"/>
          <w:szCs w:val="22"/>
          <w:lang w:val="en-GB"/>
        </w:rPr>
        <w:t xml:space="preserve"> </w:t>
      </w:r>
      <w:r w:rsidRPr="00A52809">
        <w:rPr>
          <w:sz w:val="22"/>
          <w:szCs w:val="22"/>
          <w:lang w:val="en-GB"/>
        </w:rPr>
        <w:t>In the case of mangroves, the annual values of production per hectare for both goods and services varies from 450 US dollars in Viet Nam and the Philippines to in excess of 21,000 US dollars in the case of China. The latter value reflects the high value for the service of sediment retention by mangroves determined by the difference in annual cost of dredging of the Fangchenggang Port before and after removal of mangroves. As the total area of mangrove in China is only 23 thousand hectares compared with nearly 2 million hectares along the Indonesian coast of the South China Sea, this very high value does not distort the regional value for this service which computes at a modest 66 US dollars per hectare annually.</w:t>
      </w:r>
    </w:p>
    <w:p w14:paraId="0E8726EC" w14:textId="77777777" w:rsidR="00B61A8B" w:rsidRDefault="00B61A8B" w:rsidP="00B61A8B">
      <w:pPr>
        <w:numPr>
          <w:ilvl w:val="0"/>
          <w:numId w:val="3"/>
        </w:numPr>
        <w:spacing w:after="120"/>
        <w:ind w:left="0" w:firstLine="0"/>
        <w:jc w:val="both"/>
        <w:rPr>
          <w:sz w:val="22"/>
          <w:szCs w:val="22"/>
          <w:lang w:val="en-GB"/>
        </w:rPr>
      </w:pPr>
      <w:r w:rsidRPr="00A52809">
        <w:rPr>
          <w:sz w:val="22"/>
          <w:szCs w:val="22"/>
          <w:lang w:val="en-GB"/>
        </w:rPr>
        <w:t>The most comprehensive dataset is that for mangroves, whilst the least comprehensive are those for coral reefs and wetlands. Only three national datasets were found for coral reef goods and, in the case of wetlands, the bulk of the data are from Viet Nam. This results in a regional value of coral reef production of a modest 1,500 US dollars per hectare per annum and for wetlands of around 300 US dollars per hectare per annum. These should be compared with the regional value for mangrove of nearly three thousand dollars per hectare and the value of 1,118 US dollars per hectare for seagrass meadows. On first principles, one might expect the value of mangrove goods to exceed those for coral reefs and seagrass because the former will include values for mangrove timber and other direct derivatives that have few, if any, equivalents in coral reef and seagrass habitats. In contrast, one would expect that the service values for coral reefs would be greater than those for the other three habitats given the extensive coral reef tourism in the region.</w:t>
      </w:r>
    </w:p>
    <w:p w14:paraId="71ECE101" w14:textId="77777777" w:rsidR="00B61A8B" w:rsidRDefault="00B61A8B" w:rsidP="00B61A8B">
      <w:pPr>
        <w:numPr>
          <w:ilvl w:val="0"/>
          <w:numId w:val="3"/>
        </w:numPr>
        <w:spacing w:after="120"/>
        <w:ind w:left="0" w:firstLine="0"/>
        <w:jc w:val="both"/>
        <w:rPr>
          <w:sz w:val="22"/>
          <w:szCs w:val="22"/>
          <w:lang w:val="en-GB"/>
        </w:rPr>
      </w:pPr>
      <w:r w:rsidRPr="00A52809">
        <w:rPr>
          <w:sz w:val="22"/>
          <w:szCs w:val="22"/>
          <w:lang w:val="en-GB"/>
        </w:rPr>
        <w:t xml:space="preserve">Examination of the value of total annual production of goods and services by the four habitats from areas bordering the South China Sea demonstrates unequivocally the importance of mangroves in this region. The total annual value of mangrove </w:t>
      </w:r>
      <w:r>
        <w:rPr>
          <w:sz w:val="22"/>
          <w:szCs w:val="22"/>
          <w:lang w:val="en-GB"/>
        </w:rPr>
        <w:t xml:space="preserve">production exceeds 5.1 billion </w:t>
      </w:r>
      <w:r w:rsidRPr="00A52809">
        <w:rPr>
          <w:sz w:val="22"/>
          <w:szCs w:val="22"/>
          <w:lang w:val="en-GB"/>
        </w:rPr>
        <w:t>US dollars annually compared with around 1.2 billion for wetlands and coral reefs and a mere 86 million US</w:t>
      </w:r>
      <w:r>
        <w:rPr>
          <w:sz w:val="22"/>
          <w:szCs w:val="22"/>
          <w:lang w:val="en-GB"/>
        </w:rPr>
        <w:t xml:space="preserve"> dollars for seagrass habitats. </w:t>
      </w:r>
      <w:r w:rsidRPr="00A52809">
        <w:rPr>
          <w:sz w:val="22"/>
          <w:szCs w:val="22"/>
          <w:lang w:val="en-GB"/>
        </w:rPr>
        <w:t xml:space="preserve">It is important to recognise that the values for goods and services, both individually and collectively, are extremely conservative as a consequence of the manner in which they have been calculated using weighted means. Where data are lacking for a good or service from one country, the consequence will be a lowering of the weighted mean regional value. Given the absence of values for many goods and services in each habitat, the values are likely to be as low as 50% or less of the real value. For comparison, the values derived by Costanza et </w:t>
      </w:r>
      <w:r>
        <w:rPr>
          <w:sz w:val="22"/>
          <w:szCs w:val="22"/>
          <w:lang w:val="en-GB"/>
        </w:rPr>
        <w:t>al. are presented along-</w:t>
      </w:r>
      <w:r w:rsidRPr="00A52809">
        <w:rPr>
          <w:sz w:val="22"/>
          <w:szCs w:val="22"/>
          <w:lang w:val="en-GB"/>
        </w:rPr>
        <w:t xml:space="preserve">side those from the </w:t>
      </w:r>
      <w:r>
        <w:rPr>
          <w:sz w:val="22"/>
          <w:szCs w:val="22"/>
          <w:lang w:val="en-GB"/>
        </w:rPr>
        <w:t>work of the SCS project on economic valuation</w:t>
      </w:r>
      <w:r w:rsidRPr="00A52809">
        <w:rPr>
          <w:sz w:val="22"/>
          <w:szCs w:val="22"/>
          <w:lang w:val="en-GB"/>
        </w:rPr>
        <w:t xml:space="preserve"> in the following table.</w:t>
      </w:r>
    </w:p>
    <w:p w14:paraId="2780E930" w14:textId="77777777" w:rsidR="00B61A8B" w:rsidRPr="00687722" w:rsidRDefault="00B61A8B" w:rsidP="00B61A8B">
      <w:pPr>
        <w:tabs>
          <w:tab w:val="left" w:pos="1080"/>
        </w:tabs>
        <w:spacing w:after="120"/>
        <w:ind w:left="1080" w:hanging="1080"/>
        <w:rPr>
          <w:bCs/>
          <w:sz w:val="21"/>
          <w:szCs w:val="21"/>
        </w:rPr>
      </w:pPr>
      <w:r w:rsidRPr="00687722">
        <w:rPr>
          <w:b/>
          <w:bCs/>
          <w:sz w:val="21"/>
          <w:szCs w:val="21"/>
        </w:rPr>
        <w:t xml:space="preserve">Table </w:t>
      </w:r>
      <w:r w:rsidR="00A02857" w:rsidRPr="00687722">
        <w:rPr>
          <w:b/>
          <w:bCs/>
          <w:sz w:val="21"/>
          <w:szCs w:val="21"/>
        </w:rPr>
        <w:t>8</w:t>
      </w:r>
      <w:r w:rsidRPr="00687722">
        <w:rPr>
          <w:bCs/>
          <w:sz w:val="21"/>
          <w:szCs w:val="21"/>
        </w:rPr>
        <w:tab/>
        <w:t xml:space="preserve">Comparison of the Total Economic Value of coastal habitats as determined by Costanza </w:t>
      </w:r>
      <w:r w:rsidRPr="00687722">
        <w:rPr>
          <w:bCs/>
          <w:i/>
          <w:sz w:val="21"/>
          <w:szCs w:val="21"/>
        </w:rPr>
        <w:t>et al.</w:t>
      </w:r>
      <w:r w:rsidRPr="00687722">
        <w:rPr>
          <w:bCs/>
          <w:sz w:val="21"/>
          <w:szCs w:val="21"/>
        </w:rPr>
        <w:t xml:space="preserve"> 1997 and during </w:t>
      </w:r>
      <w:r w:rsidR="00621620" w:rsidRPr="00687722">
        <w:rPr>
          <w:bCs/>
          <w:sz w:val="21"/>
          <w:szCs w:val="21"/>
        </w:rPr>
        <w:t>the SCS project work on economic valuation</w:t>
      </w:r>
      <w:r w:rsidRPr="00687722">
        <w:rPr>
          <w:bCs/>
          <w:sz w:val="21"/>
          <w:szCs w:val="21"/>
        </w:rPr>
        <w:t>.</w:t>
      </w:r>
    </w:p>
    <w:tbl>
      <w:tblPr>
        <w:tblW w:w="9832" w:type="dxa"/>
        <w:jc w:val="center"/>
        <w:tblLook w:val="01E0" w:firstRow="1" w:lastRow="1" w:firstColumn="1" w:lastColumn="1" w:noHBand="0" w:noVBand="0"/>
      </w:tblPr>
      <w:tblGrid>
        <w:gridCol w:w="1728"/>
        <w:gridCol w:w="1648"/>
        <w:gridCol w:w="1612"/>
        <w:gridCol w:w="1559"/>
        <w:gridCol w:w="2049"/>
        <w:gridCol w:w="1960"/>
      </w:tblGrid>
      <w:tr w:rsidR="00B61A8B" w:rsidRPr="00B21B24" w14:paraId="579546E9" w14:textId="77777777" w:rsidTr="00B3115F">
        <w:trPr>
          <w:jc w:val="center"/>
        </w:trPr>
        <w:tc>
          <w:tcPr>
            <w:tcW w:w="1728" w:type="dxa"/>
            <w:vMerge w:val="restart"/>
            <w:tcBorders>
              <w:top w:val="nil"/>
              <w:left w:val="nil"/>
              <w:bottom w:val="single" w:sz="12" w:space="0" w:color="auto"/>
              <w:right w:val="single" w:sz="12" w:space="0" w:color="auto"/>
            </w:tcBorders>
            <w:shd w:val="clear" w:color="auto" w:fill="auto"/>
            <w:vAlign w:val="center"/>
          </w:tcPr>
          <w:p w14:paraId="177E99CD" w14:textId="77777777" w:rsidR="00B61A8B" w:rsidRPr="00B21B24" w:rsidRDefault="00B61A8B" w:rsidP="00B21B24">
            <w:pPr>
              <w:tabs>
                <w:tab w:val="left" w:pos="1200"/>
              </w:tabs>
              <w:ind w:left="720"/>
              <w:rPr>
                <w:rFonts w:ascii="Arial" w:hAnsi="Arial" w:cs="Arial"/>
                <w:sz w:val="16"/>
                <w:szCs w:val="16"/>
                <w:lang w:val="en-GB"/>
              </w:rPr>
            </w:pPr>
            <w:bookmarkStart w:id="52" w:name="OLE_LINK1"/>
          </w:p>
        </w:tc>
        <w:tc>
          <w:tcPr>
            <w:tcW w:w="1648" w:type="dxa"/>
            <w:vMerge w:val="restart"/>
            <w:tcBorders>
              <w:top w:val="single" w:sz="12" w:space="0" w:color="auto"/>
              <w:left w:val="single" w:sz="12" w:space="0" w:color="auto"/>
              <w:bottom w:val="single" w:sz="8" w:space="0" w:color="auto"/>
              <w:right w:val="single" w:sz="8" w:space="0" w:color="auto"/>
            </w:tcBorders>
            <w:shd w:val="clear" w:color="auto" w:fill="auto"/>
            <w:vAlign w:val="center"/>
          </w:tcPr>
          <w:p w14:paraId="6EDF0C43" w14:textId="77777777" w:rsidR="00B61A8B" w:rsidRPr="00B21B24" w:rsidRDefault="00B61A8B" w:rsidP="00B21B24">
            <w:pPr>
              <w:tabs>
                <w:tab w:val="left" w:pos="1200"/>
              </w:tabs>
              <w:ind w:left="720"/>
              <w:jc w:val="center"/>
              <w:rPr>
                <w:rFonts w:ascii="Arial" w:hAnsi="Arial" w:cs="Arial"/>
                <w:sz w:val="16"/>
                <w:szCs w:val="16"/>
                <w:lang w:val="en-GB"/>
              </w:rPr>
            </w:pPr>
            <w:r w:rsidRPr="00B21B24">
              <w:rPr>
                <w:rFonts w:ascii="Arial" w:hAnsi="Arial" w:cs="Arial"/>
                <w:sz w:val="16"/>
                <w:szCs w:val="16"/>
                <w:lang w:val="en-GB"/>
              </w:rPr>
              <w:t>Area ha</w:t>
            </w:r>
          </w:p>
        </w:tc>
        <w:tc>
          <w:tcPr>
            <w:tcW w:w="3171" w:type="dxa"/>
            <w:gridSpan w:val="2"/>
            <w:tcBorders>
              <w:top w:val="single" w:sz="12" w:space="0" w:color="auto"/>
              <w:left w:val="single" w:sz="8" w:space="0" w:color="auto"/>
              <w:bottom w:val="single" w:sz="4" w:space="0" w:color="auto"/>
              <w:right w:val="single" w:sz="8" w:space="0" w:color="auto"/>
            </w:tcBorders>
            <w:shd w:val="clear" w:color="auto" w:fill="auto"/>
            <w:vAlign w:val="center"/>
          </w:tcPr>
          <w:p w14:paraId="7DE6486B" w14:textId="77777777" w:rsidR="00B61A8B" w:rsidRPr="00B21B24" w:rsidRDefault="00B61A8B" w:rsidP="00B21B24">
            <w:pPr>
              <w:tabs>
                <w:tab w:val="left" w:pos="1200"/>
              </w:tabs>
              <w:ind w:left="720"/>
              <w:jc w:val="center"/>
              <w:rPr>
                <w:rFonts w:ascii="Arial" w:hAnsi="Arial" w:cs="Arial"/>
                <w:sz w:val="16"/>
                <w:szCs w:val="16"/>
                <w:lang w:val="en-GB"/>
              </w:rPr>
            </w:pPr>
            <w:r w:rsidRPr="00B21B24">
              <w:rPr>
                <w:rFonts w:ascii="Arial" w:hAnsi="Arial" w:cs="Arial"/>
                <w:sz w:val="16"/>
                <w:szCs w:val="16"/>
                <w:lang w:val="en-GB"/>
              </w:rPr>
              <w:t>US$ per hectare per annum</w:t>
            </w:r>
          </w:p>
        </w:tc>
        <w:tc>
          <w:tcPr>
            <w:tcW w:w="3285" w:type="dxa"/>
            <w:gridSpan w:val="2"/>
            <w:tcBorders>
              <w:top w:val="single" w:sz="12" w:space="0" w:color="auto"/>
              <w:left w:val="single" w:sz="8" w:space="0" w:color="auto"/>
              <w:bottom w:val="single" w:sz="4" w:space="0" w:color="auto"/>
              <w:right w:val="single" w:sz="12" w:space="0" w:color="auto"/>
            </w:tcBorders>
            <w:shd w:val="clear" w:color="auto" w:fill="auto"/>
            <w:vAlign w:val="center"/>
          </w:tcPr>
          <w:p w14:paraId="0675283C" w14:textId="77777777" w:rsidR="00B61A8B" w:rsidRPr="00B21B24" w:rsidRDefault="00B61A8B" w:rsidP="00B21B24">
            <w:pPr>
              <w:tabs>
                <w:tab w:val="left" w:pos="1200"/>
              </w:tabs>
              <w:ind w:left="720"/>
              <w:jc w:val="center"/>
              <w:rPr>
                <w:rFonts w:ascii="Arial" w:hAnsi="Arial" w:cs="Arial"/>
                <w:sz w:val="16"/>
                <w:szCs w:val="16"/>
                <w:lang w:val="en-GB"/>
              </w:rPr>
            </w:pPr>
            <w:r w:rsidRPr="00B21B24">
              <w:rPr>
                <w:rFonts w:ascii="Arial" w:hAnsi="Arial" w:cs="Arial"/>
                <w:sz w:val="16"/>
                <w:szCs w:val="16"/>
                <w:lang w:val="en-GB"/>
              </w:rPr>
              <w:t xml:space="preserve">Total Economic Values </w:t>
            </w:r>
          </w:p>
        </w:tc>
      </w:tr>
      <w:tr w:rsidR="00B61A8B" w:rsidRPr="00B21B24" w14:paraId="3A45D40B" w14:textId="77777777" w:rsidTr="00B3115F">
        <w:trPr>
          <w:jc w:val="center"/>
        </w:trPr>
        <w:tc>
          <w:tcPr>
            <w:tcW w:w="1728" w:type="dxa"/>
            <w:vMerge/>
            <w:tcBorders>
              <w:top w:val="single" w:sz="12" w:space="0" w:color="auto"/>
              <w:left w:val="nil"/>
              <w:bottom w:val="single" w:sz="12" w:space="0" w:color="auto"/>
              <w:right w:val="single" w:sz="12" w:space="0" w:color="auto"/>
            </w:tcBorders>
            <w:shd w:val="clear" w:color="auto" w:fill="auto"/>
            <w:vAlign w:val="center"/>
          </w:tcPr>
          <w:p w14:paraId="14CE2C91" w14:textId="77777777" w:rsidR="00B61A8B" w:rsidRPr="00B21B24" w:rsidRDefault="00B61A8B" w:rsidP="00B21B24">
            <w:pPr>
              <w:tabs>
                <w:tab w:val="left" w:pos="1200"/>
              </w:tabs>
              <w:ind w:left="720"/>
              <w:rPr>
                <w:rFonts w:ascii="Arial" w:hAnsi="Arial" w:cs="Arial"/>
                <w:sz w:val="16"/>
                <w:szCs w:val="16"/>
                <w:lang w:val="en-GB"/>
              </w:rPr>
            </w:pPr>
          </w:p>
        </w:tc>
        <w:tc>
          <w:tcPr>
            <w:tcW w:w="1648" w:type="dxa"/>
            <w:vMerge/>
            <w:tcBorders>
              <w:top w:val="single" w:sz="8" w:space="0" w:color="auto"/>
              <w:left w:val="single" w:sz="12" w:space="0" w:color="auto"/>
              <w:bottom w:val="single" w:sz="12" w:space="0" w:color="auto"/>
              <w:right w:val="single" w:sz="8" w:space="0" w:color="auto"/>
            </w:tcBorders>
            <w:shd w:val="clear" w:color="auto" w:fill="auto"/>
            <w:vAlign w:val="center"/>
          </w:tcPr>
          <w:p w14:paraId="44907AEF" w14:textId="77777777" w:rsidR="00B61A8B" w:rsidRPr="00B21B24" w:rsidRDefault="00B61A8B" w:rsidP="00B21B24">
            <w:pPr>
              <w:tabs>
                <w:tab w:val="left" w:pos="1200"/>
              </w:tabs>
              <w:ind w:left="720"/>
              <w:rPr>
                <w:rFonts w:ascii="Arial" w:hAnsi="Arial" w:cs="Arial"/>
                <w:sz w:val="16"/>
                <w:szCs w:val="16"/>
                <w:lang w:val="en-GB"/>
              </w:rPr>
            </w:pPr>
          </w:p>
        </w:tc>
        <w:tc>
          <w:tcPr>
            <w:tcW w:w="1612" w:type="dxa"/>
            <w:tcBorders>
              <w:top w:val="single" w:sz="4" w:space="0" w:color="auto"/>
              <w:left w:val="single" w:sz="8" w:space="0" w:color="auto"/>
              <w:bottom w:val="single" w:sz="12" w:space="0" w:color="auto"/>
              <w:right w:val="single" w:sz="8" w:space="0" w:color="auto"/>
            </w:tcBorders>
            <w:shd w:val="clear" w:color="auto" w:fill="auto"/>
            <w:vAlign w:val="center"/>
          </w:tcPr>
          <w:p w14:paraId="75C90EDE" w14:textId="77777777" w:rsidR="00B61A8B" w:rsidRPr="00B21B24" w:rsidRDefault="00B61A8B" w:rsidP="00B21B24">
            <w:pPr>
              <w:tabs>
                <w:tab w:val="left" w:pos="1200"/>
              </w:tabs>
              <w:ind w:left="720"/>
              <w:jc w:val="center"/>
              <w:rPr>
                <w:rFonts w:ascii="Arial" w:hAnsi="Arial" w:cs="Arial"/>
                <w:sz w:val="16"/>
                <w:szCs w:val="16"/>
                <w:lang w:val="en-GB"/>
              </w:rPr>
            </w:pPr>
            <w:r w:rsidRPr="00B21B24">
              <w:rPr>
                <w:rFonts w:ascii="Arial" w:hAnsi="Arial" w:cs="Arial"/>
                <w:sz w:val="16"/>
                <w:szCs w:val="16"/>
                <w:lang w:val="en-GB"/>
              </w:rPr>
              <w:t xml:space="preserve">Costanza </w:t>
            </w:r>
            <w:r w:rsidRPr="00B21B24">
              <w:rPr>
                <w:rFonts w:ascii="Arial" w:hAnsi="Arial" w:cs="Arial"/>
                <w:i/>
                <w:sz w:val="16"/>
                <w:szCs w:val="16"/>
                <w:lang w:val="en-GB"/>
              </w:rPr>
              <w:t>et al</w:t>
            </w:r>
          </w:p>
        </w:tc>
        <w:tc>
          <w:tcPr>
            <w:tcW w:w="1559" w:type="dxa"/>
            <w:tcBorders>
              <w:top w:val="single" w:sz="4" w:space="0" w:color="auto"/>
              <w:left w:val="single" w:sz="8" w:space="0" w:color="auto"/>
              <w:bottom w:val="single" w:sz="12" w:space="0" w:color="auto"/>
              <w:right w:val="single" w:sz="8" w:space="0" w:color="auto"/>
            </w:tcBorders>
            <w:shd w:val="clear" w:color="auto" w:fill="auto"/>
            <w:vAlign w:val="center"/>
          </w:tcPr>
          <w:p w14:paraId="3D4C5801" w14:textId="77777777" w:rsidR="00B61A8B" w:rsidRPr="00B21B24" w:rsidRDefault="00A02857" w:rsidP="00B21B24">
            <w:pPr>
              <w:tabs>
                <w:tab w:val="left" w:pos="1200"/>
              </w:tabs>
              <w:ind w:left="416" w:firstLine="304"/>
              <w:jc w:val="center"/>
              <w:rPr>
                <w:rFonts w:ascii="Arial" w:hAnsi="Arial" w:cs="Arial"/>
                <w:sz w:val="16"/>
                <w:szCs w:val="16"/>
                <w:lang w:val="en-GB"/>
              </w:rPr>
            </w:pPr>
            <w:r w:rsidRPr="00B21B24">
              <w:rPr>
                <w:rFonts w:ascii="Arial" w:hAnsi="Arial" w:cs="Arial"/>
                <w:sz w:val="16"/>
                <w:szCs w:val="16"/>
                <w:lang w:val="en-GB"/>
              </w:rPr>
              <w:t xml:space="preserve">SCS project </w:t>
            </w:r>
            <w:r w:rsidR="00B61A8B" w:rsidRPr="00B21B24">
              <w:rPr>
                <w:rFonts w:ascii="Arial" w:hAnsi="Arial" w:cs="Arial"/>
                <w:sz w:val="16"/>
                <w:szCs w:val="16"/>
                <w:lang w:val="en-GB"/>
              </w:rPr>
              <w:t>study</w:t>
            </w:r>
          </w:p>
        </w:tc>
        <w:tc>
          <w:tcPr>
            <w:tcW w:w="2049" w:type="dxa"/>
            <w:tcBorders>
              <w:top w:val="single" w:sz="4" w:space="0" w:color="auto"/>
              <w:left w:val="single" w:sz="8" w:space="0" w:color="auto"/>
              <w:bottom w:val="single" w:sz="12" w:space="0" w:color="auto"/>
              <w:right w:val="single" w:sz="8" w:space="0" w:color="auto"/>
            </w:tcBorders>
            <w:shd w:val="clear" w:color="auto" w:fill="auto"/>
            <w:vAlign w:val="center"/>
          </w:tcPr>
          <w:p w14:paraId="34D8F3DC" w14:textId="77777777" w:rsidR="00B61A8B" w:rsidRPr="00B21B24" w:rsidRDefault="00B61A8B" w:rsidP="00B21B24">
            <w:pPr>
              <w:tabs>
                <w:tab w:val="left" w:pos="1200"/>
              </w:tabs>
              <w:ind w:left="720"/>
              <w:jc w:val="center"/>
              <w:rPr>
                <w:rFonts w:ascii="Arial" w:hAnsi="Arial" w:cs="Arial"/>
                <w:i/>
                <w:sz w:val="16"/>
                <w:szCs w:val="16"/>
                <w:lang w:val="en-GB"/>
              </w:rPr>
            </w:pPr>
            <w:r w:rsidRPr="00B21B24">
              <w:rPr>
                <w:rFonts w:ascii="Arial" w:hAnsi="Arial" w:cs="Arial"/>
                <w:i/>
                <w:sz w:val="16"/>
                <w:szCs w:val="16"/>
                <w:lang w:val="en-GB"/>
              </w:rPr>
              <w:t>Costanza et al</w:t>
            </w:r>
          </w:p>
        </w:tc>
        <w:tc>
          <w:tcPr>
            <w:tcW w:w="1236" w:type="dxa"/>
            <w:tcBorders>
              <w:top w:val="single" w:sz="4" w:space="0" w:color="auto"/>
              <w:left w:val="single" w:sz="8" w:space="0" w:color="auto"/>
              <w:bottom w:val="single" w:sz="12" w:space="0" w:color="auto"/>
              <w:right w:val="single" w:sz="12" w:space="0" w:color="auto"/>
            </w:tcBorders>
            <w:shd w:val="clear" w:color="auto" w:fill="auto"/>
            <w:vAlign w:val="center"/>
          </w:tcPr>
          <w:p w14:paraId="020FFC11" w14:textId="77777777" w:rsidR="00B61A8B" w:rsidRPr="00B21B24" w:rsidRDefault="00A02857" w:rsidP="00B21B24">
            <w:pPr>
              <w:tabs>
                <w:tab w:val="left" w:pos="1200"/>
              </w:tabs>
              <w:ind w:left="720"/>
              <w:jc w:val="center"/>
              <w:rPr>
                <w:rFonts w:ascii="Arial" w:hAnsi="Arial" w:cs="Arial"/>
                <w:sz w:val="16"/>
                <w:szCs w:val="16"/>
                <w:lang w:val="en-GB"/>
              </w:rPr>
            </w:pPr>
            <w:r w:rsidRPr="00B21B24">
              <w:rPr>
                <w:rFonts w:ascii="Arial" w:hAnsi="Arial" w:cs="Arial"/>
                <w:sz w:val="16"/>
                <w:szCs w:val="16"/>
                <w:lang w:val="en-GB"/>
              </w:rPr>
              <w:t>SCS project study</w:t>
            </w:r>
          </w:p>
        </w:tc>
      </w:tr>
      <w:tr w:rsidR="00B61A8B" w:rsidRPr="00B21B24" w14:paraId="67804EC5" w14:textId="77777777" w:rsidTr="00B3115F">
        <w:trPr>
          <w:jc w:val="center"/>
        </w:trPr>
        <w:tc>
          <w:tcPr>
            <w:tcW w:w="1728" w:type="dxa"/>
            <w:tcBorders>
              <w:top w:val="single" w:sz="12" w:space="0" w:color="auto"/>
              <w:left w:val="single" w:sz="12" w:space="0" w:color="auto"/>
              <w:bottom w:val="single" w:sz="8" w:space="0" w:color="auto"/>
              <w:right w:val="single" w:sz="12" w:space="0" w:color="auto"/>
            </w:tcBorders>
            <w:shd w:val="clear" w:color="auto" w:fill="auto"/>
            <w:vAlign w:val="center"/>
          </w:tcPr>
          <w:p w14:paraId="23E488DC" w14:textId="77777777" w:rsidR="00B61A8B" w:rsidRPr="00B21B24" w:rsidRDefault="00B61A8B" w:rsidP="00B21B24">
            <w:pPr>
              <w:tabs>
                <w:tab w:val="left" w:pos="1200"/>
              </w:tabs>
              <w:ind w:left="720"/>
              <w:rPr>
                <w:rFonts w:ascii="Arial" w:hAnsi="Arial" w:cs="Arial"/>
                <w:sz w:val="16"/>
                <w:szCs w:val="16"/>
                <w:lang w:val="en-GB"/>
              </w:rPr>
            </w:pPr>
            <w:r w:rsidRPr="00B21B24">
              <w:rPr>
                <w:rFonts w:ascii="Arial" w:hAnsi="Arial" w:cs="Arial"/>
                <w:sz w:val="16"/>
                <w:szCs w:val="16"/>
                <w:lang w:val="en-GB"/>
              </w:rPr>
              <w:t>Mangroves</w:t>
            </w:r>
          </w:p>
        </w:tc>
        <w:tc>
          <w:tcPr>
            <w:tcW w:w="1648" w:type="dxa"/>
            <w:tcBorders>
              <w:top w:val="single" w:sz="12" w:space="0" w:color="auto"/>
              <w:left w:val="single" w:sz="12" w:space="0" w:color="auto"/>
              <w:bottom w:val="single" w:sz="8" w:space="0" w:color="auto"/>
              <w:right w:val="single" w:sz="8" w:space="0" w:color="auto"/>
            </w:tcBorders>
            <w:shd w:val="clear" w:color="auto" w:fill="auto"/>
            <w:vAlign w:val="center"/>
          </w:tcPr>
          <w:p w14:paraId="116328C1" w14:textId="77777777" w:rsidR="00B61A8B" w:rsidRPr="00B21B24" w:rsidRDefault="00B61A8B" w:rsidP="00B21B24">
            <w:pPr>
              <w:tabs>
                <w:tab w:val="left" w:pos="1200"/>
              </w:tabs>
              <w:ind w:left="720"/>
              <w:jc w:val="right"/>
              <w:rPr>
                <w:rFonts w:ascii="Arial" w:hAnsi="Arial" w:cs="Arial"/>
                <w:sz w:val="16"/>
                <w:szCs w:val="16"/>
                <w:lang w:val="en-GB"/>
              </w:rPr>
            </w:pPr>
            <w:r w:rsidRPr="00B21B24">
              <w:rPr>
                <w:rFonts w:ascii="Arial" w:hAnsi="Arial" w:cs="Arial"/>
                <w:color w:val="000000"/>
                <w:sz w:val="16"/>
                <w:szCs w:val="16"/>
                <w:lang w:val="en-GB"/>
              </w:rPr>
              <w:t>1,799,136</w:t>
            </w:r>
          </w:p>
        </w:tc>
        <w:tc>
          <w:tcPr>
            <w:tcW w:w="1612" w:type="dxa"/>
            <w:tcBorders>
              <w:top w:val="single" w:sz="12" w:space="0" w:color="auto"/>
              <w:left w:val="single" w:sz="8" w:space="0" w:color="auto"/>
              <w:bottom w:val="single" w:sz="8" w:space="0" w:color="auto"/>
              <w:right w:val="single" w:sz="8" w:space="0" w:color="auto"/>
            </w:tcBorders>
            <w:shd w:val="clear" w:color="auto" w:fill="auto"/>
            <w:vAlign w:val="center"/>
          </w:tcPr>
          <w:p w14:paraId="241F3CDF" w14:textId="77777777" w:rsidR="00B61A8B" w:rsidRPr="00B21B24" w:rsidRDefault="00B61A8B" w:rsidP="00B21B24">
            <w:pPr>
              <w:tabs>
                <w:tab w:val="left" w:pos="1200"/>
              </w:tabs>
              <w:ind w:left="720"/>
              <w:jc w:val="right"/>
              <w:rPr>
                <w:rFonts w:ascii="Arial" w:hAnsi="Arial" w:cs="Arial"/>
                <w:sz w:val="16"/>
                <w:szCs w:val="16"/>
                <w:lang w:val="en-GB"/>
              </w:rPr>
            </w:pPr>
            <w:r w:rsidRPr="00B21B24">
              <w:rPr>
                <w:rFonts w:ascii="Arial" w:hAnsi="Arial" w:cs="Arial"/>
                <w:sz w:val="16"/>
                <w:szCs w:val="16"/>
                <w:lang w:val="en-GB"/>
              </w:rPr>
              <w:t>9,990</w:t>
            </w:r>
          </w:p>
        </w:tc>
        <w:tc>
          <w:tcPr>
            <w:tcW w:w="1559" w:type="dxa"/>
            <w:tcBorders>
              <w:top w:val="single" w:sz="12" w:space="0" w:color="auto"/>
              <w:left w:val="single" w:sz="8" w:space="0" w:color="auto"/>
              <w:bottom w:val="single" w:sz="8" w:space="0" w:color="auto"/>
              <w:right w:val="single" w:sz="8" w:space="0" w:color="auto"/>
            </w:tcBorders>
            <w:shd w:val="clear" w:color="auto" w:fill="auto"/>
            <w:vAlign w:val="center"/>
          </w:tcPr>
          <w:p w14:paraId="5D6EF8CC" w14:textId="77777777" w:rsidR="00B61A8B" w:rsidRPr="00B21B24" w:rsidRDefault="00B61A8B" w:rsidP="00B21B24">
            <w:pPr>
              <w:tabs>
                <w:tab w:val="left" w:pos="1200"/>
              </w:tabs>
              <w:ind w:left="720"/>
              <w:jc w:val="right"/>
              <w:rPr>
                <w:rFonts w:ascii="Arial" w:hAnsi="Arial" w:cs="Arial"/>
                <w:sz w:val="16"/>
                <w:szCs w:val="16"/>
                <w:lang w:val="en-GB"/>
              </w:rPr>
            </w:pPr>
            <w:r w:rsidRPr="00B21B24">
              <w:rPr>
                <w:rFonts w:ascii="Arial" w:hAnsi="Arial" w:cs="Arial"/>
                <w:bCs/>
                <w:color w:val="000000"/>
                <w:sz w:val="16"/>
                <w:szCs w:val="16"/>
                <w:lang w:val="en-GB"/>
              </w:rPr>
              <w:t>2,872.25</w:t>
            </w:r>
          </w:p>
        </w:tc>
        <w:tc>
          <w:tcPr>
            <w:tcW w:w="2049" w:type="dxa"/>
            <w:tcBorders>
              <w:top w:val="single" w:sz="12" w:space="0" w:color="auto"/>
              <w:left w:val="single" w:sz="8" w:space="0" w:color="auto"/>
              <w:bottom w:val="single" w:sz="8" w:space="0" w:color="auto"/>
              <w:right w:val="single" w:sz="8" w:space="0" w:color="auto"/>
            </w:tcBorders>
            <w:shd w:val="clear" w:color="auto" w:fill="auto"/>
            <w:vAlign w:val="bottom"/>
          </w:tcPr>
          <w:p w14:paraId="054B9662" w14:textId="77777777" w:rsidR="00B61A8B" w:rsidRPr="00B21B24" w:rsidRDefault="00B61A8B" w:rsidP="00B21B24">
            <w:pPr>
              <w:ind w:left="720"/>
              <w:jc w:val="right"/>
              <w:rPr>
                <w:rFonts w:ascii="Arial" w:hAnsi="Arial" w:cs="Arial"/>
                <w:sz w:val="16"/>
                <w:szCs w:val="16"/>
                <w:lang w:val="en-GB"/>
              </w:rPr>
            </w:pPr>
            <w:r w:rsidRPr="00B21B24">
              <w:rPr>
                <w:rFonts w:ascii="Arial" w:hAnsi="Arial" w:cs="Arial"/>
                <w:sz w:val="16"/>
                <w:szCs w:val="16"/>
                <w:lang w:val="en-GB"/>
              </w:rPr>
              <w:t>17,973,368,640</w:t>
            </w:r>
          </w:p>
        </w:tc>
        <w:tc>
          <w:tcPr>
            <w:tcW w:w="1236" w:type="dxa"/>
            <w:tcBorders>
              <w:top w:val="single" w:sz="12" w:space="0" w:color="auto"/>
              <w:left w:val="single" w:sz="8" w:space="0" w:color="auto"/>
              <w:bottom w:val="single" w:sz="8" w:space="0" w:color="auto"/>
              <w:right w:val="single" w:sz="12" w:space="0" w:color="auto"/>
            </w:tcBorders>
            <w:shd w:val="clear" w:color="auto" w:fill="auto"/>
            <w:vAlign w:val="bottom"/>
          </w:tcPr>
          <w:p w14:paraId="3FD4F323" w14:textId="77777777" w:rsidR="00B61A8B" w:rsidRPr="00B21B24" w:rsidRDefault="00B61A8B" w:rsidP="00B21B24">
            <w:pPr>
              <w:ind w:left="720"/>
              <w:jc w:val="right"/>
              <w:rPr>
                <w:rFonts w:ascii="Arial" w:hAnsi="Arial" w:cs="Arial"/>
                <w:sz w:val="16"/>
                <w:szCs w:val="16"/>
                <w:lang w:val="en-GB"/>
              </w:rPr>
            </w:pPr>
            <w:r w:rsidRPr="00B21B24">
              <w:rPr>
                <w:rFonts w:ascii="Arial" w:hAnsi="Arial" w:cs="Arial"/>
                <w:sz w:val="16"/>
                <w:szCs w:val="16"/>
                <w:lang w:val="en-GB"/>
              </w:rPr>
              <w:t>5,167,568,376</w:t>
            </w:r>
          </w:p>
        </w:tc>
      </w:tr>
      <w:tr w:rsidR="00B61A8B" w:rsidRPr="00B21B24" w14:paraId="4C3D9E48" w14:textId="77777777" w:rsidTr="00B3115F">
        <w:trPr>
          <w:jc w:val="center"/>
        </w:trPr>
        <w:tc>
          <w:tcPr>
            <w:tcW w:w="1728" w:type="dxa"/>
            <w:tcBorders>
              <w:top w:val="single" w:sz="8" w:space="0" w:color="auto"/>
              <w:left w:val="single" w:sz="12" w:space="0" w:color="auto"/>
              <w:bottom w:val="single" w:sz="8" w:space="0" w:color="auto"/>
              <w:right w:val="single" w:sz="12" w:space="0" w:color="auto"/>
            </w:tcBorders>
            <w:shd w:val="clear" w:color="auto" w:fill="auto"/>
            <w:vAlign w:val="center"/>
          </w:tcPr>
          <w:p w14:paraId="405AB93A" w14:textId="77777777" w:rsidR="00B61A8B" w:rsidRPr="00B21B24" w:rsidRDefault="00B61A8B" w:rsidP="00B21B24">
            <w:pPr>
              <w:tabs>
                <w:tab w:val="left" w:pos="1200"/>
              </w:tabs>
              <w:ind w:left="720"/>
              <w:rPr>
                <w:rFonts w:ascii="Arial" w:hAnsi="Arial" w:cs="Arial"/>
                <w:sz w:val="16"/>
                <w:szCs w:val="16"/>
                <w:lang w:val="en-GB"/>
              </w:rPr>
            </w:pPr>
            <w:r w:rsidRPr="00B21B24">
              <w:rPr>
                <w:rFonts w:ascii="Arial" w:hAnsi="Arial" w:cs="Arial"/>
                <w:sz w:val="16"/>
                <w:szCs w:val="16"/>
                <w:lang w:val="en-GB"/>
              </w:rPr>
              <w:t>Coral reefs</w:t>
            </w:r>
          </w:p>
        </w:tc>
        <w:tc>
          <w:tcPr>
            <w:tcW w:w="1648" w:type="dxa"/>
            <w:tcBorders>
              <w:top w:val="single" w:sz="8" w:space="0" w:color="auto"/>
              <w:left w:val="single" w:sz="12" w:space="0" w:color="auto"/>
              <w:bottom w:val="single" w:sz="8" w:space="0" w:color="auto"/>
              <w:right w:val="single" w:sz="8" w:space="0" w:color="auto"/>
            </w:tcBorders>
            <w:shd w:val="clear" w:color="auto" w:fill="auto"/>
            <w:vAlign w:val="center"/>
          </w:tcPr>
          <w:p w14:paraId="7380C1DB" w14:textId="77777777" w:rsidR="00B61A8B" w:rsidRPr="00B21B24" w:rsidRDefault="00B61A8B" w:rsidP="00B21B24">
            <w:pPr>
              <w:tabs>
                <w:tab w:val="left" w:pos="1200"/>
              </w:tabs>
              <w:ind w:left="720"/>
              <w:jc w:val="right"/>
              <w:rPr>
                <w:rFonts w:ascii="Arial" w:hAnsi="Arial" w:cs="Arial"/>
                <w:sz w:val="16"/>
                <w:szCs w:val="16"/>
                <w:lang w:val="en-GB"/>
              </w:rPr>
            </w:pPr>
            <w:r w:rsidRPr="00B21B24">
              <w:rPr>
                <w:rFonts w:ascii="Arial" w:hAnsi="Arial" w:cs="Arial"/>
                <w:color w:val="000000"/>
                <w:sz w:val="16"/>
                <w:szCs w:val="16"/>
                <w:lang w:val="en-GB"/>
              </w:rPr>
              <w:t>750,307</w:t>
            </w:r>
          </w:p>
        </w:tc>
        <w:tc>
          <w:tcPr>
            <w:tcW w:w="1612" w:type="dxa"/>
            <w:tcBorders>
              <w:top w:val="single" w:sz="8" w:space="0" w:color="auto"/>
              <w:left w:val="single" w:sz="8" w:space="0" w:color="auto"/>
              <w:bottom w:val="single" w:sz="8" w:space="0" w:color="auto"/>
              <w:right w:val="single" w:sz="8" w:space="0" w:color="auto"/>
            </w:tcBorders>
            <w:shd w:val="clear" w:color="auto" w:fill="auto"/>
            <w:vAlign w:val="center"/>
          </w:tcPr>
          <w:p w14:paraId="2D99DBF5" w14:textId="77777777" w:rsidR="00B61A8B" w:rsidRPr="00B21B24" w:rsidRDefault="00B61A8B" w:rsidP="00B21B24">
            <w:pPr>
              <w:tabs>
                <w:tab w:val="left" w:pos="1200"/>
              </w:tabs>
              <w:ind w:left="720"/>
              <w:jc w:val="right"/>
              <w:rPr>
                <w:rFonts w:ascii="Arial" w:hAnsi="Arial" w:cs="Arial"/>
                <w:sz w:val="16"/>
                <w:szCs w:val="16"/>
                <w:lang w:val="en-GB"/>
              </w:rPr>
            </w:pPr>
            <w:r w:rsidRPr="00B21B24">
              <w:rPr>
                <w:rFonts w:ascii="Arial" w:hAnsi="Arial" w:cs="Arial"/>
                <w:sz w:val="16"/>
                <w:szCs w:val="16"/>
                <w:lang w:val="en-GB"/>
              </w:rPr>
              <w:t>6,076</w:t>
            </w:r>
          </w:p>
        </w:tc>
        <w:tc>
          <w:tcPr>
            <w:tcW w:w="1559" w:type="dxa"/>
            <w:tcBorders>
              <w:top w:val="single" w:sz="8" w:space="0" w:color="auto"/>
              <w:left w:val="single" w:sz="8" w:space="0" w:color="auto"/>
              <w:bottom w:val="single" w:sz="8" w:space="0" w:color="auto"/>
              <w:right w:val="single" w:sz="8" w:space="0" w:color="auto"/>
            </w:tcBorders>
            <w:shd w:val="clear" w:color="auto" w:fill="auto"/>
            <w:vAlign w:val="center"/>
          </w:tcPr>
          <w:p w14:paraId="029800FA" w14:textId="77777777" w:rsidR="00B61A8B" w:rsidRPr="00B21B24" w:rsidRDefault="00B61A8B" w:rsidP="00B21B24">
            <w:pPr>
              <w:tabs>
                <w:tab w:val="left" w:pos="1200"/>
              </w:tabs>
              <w:ind w:left="720"/>
              <w:jc w:val="right"/>
              <w:rPr>
                <w:rFonts w:ascii="Arial" w:hAnsi="Arial" w:cs="Arial"/>
                <w:sz w:val="16"/>
                <w:szCs w:val="16"/>
                <w:lang w:val="en-GB"/>
              </w:rPr>
            </w:pPr>
            <w:r w:rsidRPr="00B21B24">
              <w:rPr>
                <w:rFonts w:ascii="Arial" w:hAnsi="Arial" w:cs="Arial"/>
                <w:bCs/>
                <w:color w:val="000000"/>
                <w:sz w:val="16"/>
                <w:szCs w:val="16"/>
                <w:lang w:val="en-GB"/>
              </w:rPr>
              <w:t>1,542.56</w:t>
            </w:r>
          </w:p>
        </w:tc>
        <w:tc>
          <w:tcPr>
            <w:tcW w:w="2049" w:type="dxa"/>
            <w:tcBorders>
              <w:top w:val="single" w:sz="8" w:space="0" w:color="auto"/>
              <w:left w:val="single" w:sz="8" w:space="0" w:color="auto"/>
              <w:bottom w:val="single" w:sz="8" w:space="0" w:color="auto"/>
              <w:right w:val="single" w:sz="8" w:space="0" w:color="auto"/>
            </w:tcBorders>
            <w:shd w:val="clear" w:color="auto" w:fill="auto"/>
            <w:vAlign w:val="bottom"/>
          </w:tcPr>
          <w:p w14:paraId="1C6A286D" w14:textId="77777777" w:rsidR="00B61A8B" w:rsidRPr="00B21B24" w:rsidRDefault="00B61A8B" w:rsidP="00B21B24">
            <w:pPr>
              <w:ind w:left="720"/>
              <w:jc w:val="right"/>
              <w:rPr>
                <w:rFonts w:ascii="Arial" w:hAnsi="Arial" w:cs="Arial"/>
                <w:sz w:val="16"/>
                <w:szCs w:val="16"/>
                <w:lang w:val="en-GB"/>
              </w:rPr>
            </w:pPr>
            <w:r w:rsidRPr="00B21B24">
              <w:rPr>
                <w:rFonts w:ascii="Arial" w:hAnsi="Arial" w:cs="Arial"/>
                <w:sz w:val="16"/>
                <w:szCs w:val="16"/>
                <w:lang w:val="en-GB"/>
              </w:rPr>
              <w:t>4,558,865,332</w:t>
            </w:r>
          </w:p>
        </w:tc>
        <w:tc>
          <w:tcPr>
            <w:tcW w:w="1236" w:type="dxa"/>
            <w:tcBorders>
              <w:top w:val="single" w:sz="8" w:space="0" w:color="auto"/>
              <w:left w:val="single" w:sz="8" w:space="0" w:color="auto"/>
              <w:bottom w:val="single" w:sz="8" w:space="0" w:color="auto"/>
              <w:right w:val="single" w:sz="12" w:space="0" w:color="auto"/>
            </w:tcBorders>
            <w:shd w:val="clear" w:color="auto" w:fill="auto"/>
            <w:vAlign w:val="bottom"/>
          </w:tcPr>
          <w:p w14:paraId="2F9D9A85" w14:textId="77777777" w:rsidR="00B61A8B" w:rsidRPr="00B21B24" w:rsidRDefault="00B61A8B" w:rsidP="00B21B24">
            <w:pPr>
              <w:ind w:left="720"/>
              <w:jc w:val="right"/>
              <w:rPr>
                <w:rFonts w:ascii="Arial" w:hAnsi="Arial" w:cs="Arial"/>
                <w:sz w:val="16"/>
                <w:szCs w:val="16"/>
                <w:lang w:val="en-GB"/>
              </w:rPr>
            </w:pPr>
            <w:r w:rsidRPr="00B21B24">
              <w:rPr>
                <w:rFonts w:ascii="Arial" w:hAnsi="Arial" w:cs="Arial"/>
                <w:sz w:val="16"/>
                <w:szCs w:val="16"/>
                <w:lang w:val="en-GB"/>
              </w:rPr>
              <w:t>1,157,393,566</w:t>
            </w:r>
          </w:p>
        </w:tc>
      </w:tr>
      <w:tr w:rsidR="00B61A8B" w:rsidRPr="00B21B24" w14:paraId="174C5AAA" w14:textId="77777777" w:rsidTr="00B3115F">
        <w:trPr>
          <w:jc w:val="center"/>
        </w:trPr>
        <w:tc>
          <w:tcPr>
            <w:tcW w:w="1728" w:type="dxa"/>
            <w:tcBorders>
              <w:top w:val="single" w:sz="8" w:space="0" w:color="auto"/>
              <w:left w:val="single" w:sz="12" w:space="0" w:color="auto"/>
              <w:bottom w:val="single" w:sz="8" w:space="0" w:color="auto"/>
              <w:right w:val="single" w:sz="12" w:space="0" w:color="auto"/>
            </w:tcBorders>
            <w:shd w:val="clear" w:color="auto" w:fill="auto"/>
            <w:vAlign w:val="center"/>
          </w:tcPr>
          <w:p w14:paraId="72EE124F" w14:textId="77777777" w:rsidR="00B61A8B" w:rsidRPr="00B21B24" w:rsidRDefault="00B61A8B" w:rsidP="00B21B24">
            <w:pPr>
              <w:tabs>
                <w:tab w:val="left" w:pos="1200"/>
              </w:tabs>
              <w:ind w:left="720"/>
              <w:rPr>
                <w:rFonts w:ascii="Arial" w:hAnsi="Arial" w:cs="Arial"/>
                <w:sz w:val="16"/>
                <w:szCs w:val="16"/>
                <w:lang w:val="en-GB"/>
              </w:rPr>
            </w:pPr>
            <w:r w:rsidRPr="00B21B24">
              <w:rPr>
                <w:rFonts w:ascii="Arial" w:hAnsi="Arial" w:cs="Arial"/>
                <w:sz w:val="16"/>
                <w:szCs w:val="16"/>
                <w:lang w:val="en-GB"/>
              </w:rPr>
              <w:t>Seagrass</w:t>
            </w:r>
          </w:p>
        </w:tc>
        <w:tc>
          <w:tcPr>
            <w:tcW w:w="1648" w:type="dxa"/>
            <w:tcBorders>
              <w:top w:val="single" w:sz="8" w:space="0" w:color="auto"/>
              <w:left w:val="single" w:sz="12" w:space="0" w:color="auto"/>
              <w:bottom w:val="single" w:sz="8" w:space="0" w:color="auto"/>
              <w:right w:val="single" w:sz="8" w:space="0" w:color="auto"/>
            </w:tcBorders>
            <w:shd w:val="clear" w:color="auto" w:fill="auto"/>
            <w:vAlign w:val="center"/>
          </w:tcPr>
          <w:p w14:paraId="32415EF4" w14:textId="77777777" w:rsidR="00B61A8B" w:rsidRPr="00B21B24" w:rsidRDefault="00B61A8B" w:rsidP="00B21B24">
            <w:pPr>
              <w:tabs>
                <w:tab w:val="left" w:pos="1200"/>
              </w:tabs>
              <w:ind w:left="720"/>
              <w:jc w:val="right"/>
              <w:rPr>
                <w:rFonts w:ascii="Arial" w:hAnsi="Arial" w:cs="Arial"/>
                <w:sz w:val="16"/>
                <w:szCs w:val="16"/>
                <w:lang w:val="en-GB"/>
              </w:rPr>
            </w:pPr>
            <w:r w:rsidRPr="00B21B24">
              <w:rPr>
                <w:rFonts w:ascii="Arial" w:hAnsi="Arial" w:cs="Arial"/>
                <w:color w:val="000000"/>
                <w:sz w:val="16"/>
                <w:szCs w:val="16"/>
                <w:lang w:val="en-GB"/>
              </w:rPr>
              <w:t>73,769</w:t>
            </w:r>
          </w:p>
        </w:tc>
        <w:tc>
          <w:tcPr>
            <w:tcW w:w="1612" w:type="dxa"/>
            <w:tcBorders>
              <w:top w:val="single" w:sz="8" w:space="0" w:color="auto"/>
              <w:left w:val="single" w:sz="8" w:space="0" w:color="auto"/>
              <w:bottom w:val="single" w:sz="8" w:space="0" w:color="auto"/>
              <w:right w:val="single" w:sz="8" w:space="0" w:color="auto"/>
            </w:tcBorders>
            <w:shd w:val="clear" w:color="auto" w:fill="auto"/>
            <w:vAlign w:val="center"/>
          </w:tcPr>
          <w:p w14:paraId="10E49308" w14:textId="77777777" w:rsidR="00B61A8B" w:rsidRPr="00B21B24" w:rsidRDefault="00B61A8B" w:rsidP="00B21B24">
            <w:pPr>
              <w:tabs>
                <w:tab w:val="left" w:pos="1200"/>
              </w:tabs>
              <w:ind w:left="720"/>
              <w:jc w:val="right"/>
              <w:rPr>
                <w:rFonts w:ascii="Arial" w:hAnsi="Arial" w:cs="Arial"/>
                <w:sz w:val="16"/>
                <w:szCs w:val="16"/>
                <w:lang w:val="en-GB"/>
              </w:rPr>
            </w:pPr>
            <w:r w:rsidRPr="00B21B24">
              <w:rPr>
                <w:rFonts w:ascii="Univers" w:hAnsi="Univers"/>
                <w:sz w:val="16"/>
                <w:szCs w:val="16"/>
                <w:lang w:val="en-GB"/>
              </w:rPr>
              <w:t>22,400</w:t>
            </w:r>
          </w:p>
        </w:tc>
        <w:tc>
          <w:tcPr>
            <w:tcW w:w="1559" w:type="dxa"/>
            <w:tcBorders>
              <w:top w:val="single" w:sz="8" w:space="0" w:color="auto"/>
              <w:left w:val="single" w:sz="8" w:space="0" w:color="auto"/>
              <w:bottom w:val="single" w:sz="8" w:space="0" w:color="auto"/>
              <w:right w:val="single" w:sz="8" w:space="0" w:color="auto"/>
            </w:tcBorders>
            <w:shd w:val="clear" w:color="auto" w:fill="auto"/>
            <w:vAlign w:val="center"/>
          </w:tcPr>
          <w:p w14:paraId="2BE94BF6" w14:textId="77777777" w:rsidR="00B61A8B" w:rsidRPr="00B21B24" w:rsidRDefault="00B61A8B" w:rsidP="00B21B24">
            <w:pPr>
              <w:tabs>
                <w:tab w:val="left" w:pos="1200"/>
              </w:tabs>
              <w:ind w:left="720"/>
              <w:jc w:val="right"/>
              <w:rPr>
                <w:rFonts w:ascii="Arial" w:hAnsi="Arial" w:cs="Arial"/>
                <w:sz w:val="16"/>
                <w:szCs w:val="16"/>
                <w:lang w:val="en-GB"/>
              </w:rPr>
            </w:pPr>
            <w:r w:rsidRPr="00B21B24">
              <w:rPr>
                <w:rFonts w:ascii="Arial" w:hAnsi="Arial" w:cs="Arial"/>
                <w:bCs/>
                <w:color w:val="000000"/>
                <w:sz w:val="16"/>
                <w:szCs w:val="16"/>
                <w:lang w:val="en-GB"/>
              </w:rPr>
              <w:t>1,181.59</w:t>
            </w:r>
          </w:p>
        </w:tc>
        <w:tc>
          <w:tcPr>
            <w:tcW w:w="2049" w:type="dxa"/>
            <w:tcBorders>
              <w:top w:val="single" w:sz="8" w:space="0" w:color="auto"/>
              <w:left w:val="single" w:sz="8" w:space="0" w:color="auto"/>
              <w:bottom w:val="single" w:sz="8" w:space="0" w:color="auto"/>
              <w:right w:val="single" w:sz="8" w:space="0" w:color="auto"/>
            </w:tcBorders>
            <w:shd w:val="clear" w:color="auto" w:fill="auto"/>
            <w:vAlign w:val="bottom"/>
          </w:tcPr>
          <w:p w14:paraId="3013DCBB" w14:textId="77777777" w:rsidR="00B61A8B" w:rsidRPr="00B21B24" w:rsidRDefault="00B61A8B" w:rsidP="00B21B24">
            <w:pPr>
              <w:ind w:left="720"/>
              <w:jc w:val="right"/>
              <w:rPr>
                <w:rFonts w:ascii="Arial" w:hAnsi="Arial" w:cs="Arial"/>
                <w:sz w:val="16"/>
                <w:szCs w:val="16"/>
                <w:lang w:val="en-GB"/>
              </w:rPr>
            </w:pPr>
            <w:r w:rsidRPr="00B21B24">
              <w:rPr>
                <w:rFonts w:ascii="Arial" w:hAnsi="Arial" w:cs="Arial"/>
                <w:sz w:val="16"/>
                <w:szCs w:val="16"/>
                <w:lang w:val="en-GB"/>
              </w:rPr>
              <w:t>1,652,425,600</w:t>
            </w:r>
          </w:p>
        </w:tc>
        <w:tc>
          <w:tcPr>
            <w:tcW w:w="1236" w:type="dxa"/>
            <w:tcBorders>
              <w:top w:val="single" w:sz="8" w:space="0" w:color="auto"/>
              <w:left w:val="single" w:sz="8" w:space="0" w:color="auto"/>
              <w:bottom w:val="single" w:sz="8" w:space="0" w:color="auto"/>
              <w:right w:val="single" w:sz="12" w:space="0" w:color="auto"/>
            </w:tcBorders>
            <w:shd w:val="clear" w:color="auto" w:fill="auto"/>
            <w:vAlign w:val="bottom"/>
          </w:tcPr>
          <w:p w14:paraId="0507CCE7" w14:textId="77777777" w:rsidR="00B61A8B" w:rsidRPr="00B21B24" w:rsidRDefault="00B61A8B" w:rsidP="00B21B24">
            <w:pPr>
              <w:ind w:left="720"/>
              <w:jc w:val="right"/>
              <w:rPr>
                <w:rFonts w:ascii="Arial" w:hAnsi="Arial" w:cs="Arial"/>
                <w:sz w:val="16"/>
                <w:szCs w:val="16"/>
                <w:lang w:val="en-GB"/>
              </w:rPr>
            </w:pPr>
            <w:r w:rsidRPr="00B21B24">
              <w:rPr>
                <w:rFonts w:ascii="Arial" w:hAnsi="Arial" w:cs="Arial"/>
                <w:sz w:val="16"/>
                <w:szCs w:val="16"/>
                <w:lang w:val="en-GB"/>
              </w:rPr>
              <w:t>87,164,713</w:t>
            </w:r>
          </w:p>
        </w:tc>
      </w:tr>
      <w:tr w:rsidR="00B61A8B" w:rsidRPr="00B21B24" w14:paraId="71C11351" w14:textId="77777777" w:rsidTr="00B3115F">
        <w:trPr>
          <w:jc w:val="center"/>
        </w:trPr>
        <w:tc>
          <w:tcPr>
            <w:tcW w:w="1728" w:type="dxa"/>
            <w:tcBorders>
              <w:top w:val="single" w:sz="8" w:space="0" w:color="auto"/>
              <w:left w:val="single" w:sz="12" w:space="0" w:color="auto"/>
              <w:bottom w:val="single" w:sz="12" w:space="0" w:color="auto"/>
              <w:right w:val="single" w:sz="12" w:space="0" w:color="auto"/>
            </w:tcBorders>
            <w:shd w:val="clear" w:color="auto" w:fill="auto"/>
            <w:vAlign w:val="center"/>
          </w:tcPr>
          <w:p w14:paraId="673EEDB1" w14:textId="77777777" w:rsidR="00B61A8B" w:rsidRPr="00B21B24" w:rsidRDefault="00B61A8B" w:rsidP="00B21B24">
            <w:pPr>
              <w:tabs>
                <w:tab w:val="left" w:pos="1200"/>
              </w:tabs>
              <w:ind w:left="720"/>
              <w:rPr>
                <w:rFonts w:ascii="Arial" w:hAnsi="Arial" w:cs="Arial"/>
                <w:sz w:val="16"/>
                <w:szCs w:val="16"/>
                <w:lang w:val="en-GB"/>
              </w:rPr>
            </w:pPr>
            <w:r w:rsidRPr="00B21B24">
              <w:rPr>
                <w:rFonts w:ascii="Arial" w:hAnsi="Arial" w:cs="Arial"/>
                <w:sz w:val="16"/>
                <w:szCs w:val="16"/>
                <w:lang w:val="en-GB"/>
              </w:rPr>
              <w:t>“Wetlands”</w:t>
            </w:r>
          </w:p>
        </w:tc>
        <w:tc>
          <w:tcPr>
            <w:tcW w:w="1648" w:type="dxa"/>
            <w:tcBorders>
              <w:top w:val="single" w:sz="8" w:space="0" w:color="auto"/>
              <w:left w:val="single" w:sz="12" w:space="0" w:color="auto"/>
              <w:bottom w:val="single" w:sz="12" w:space="0" w:color="auto"/>
              <w:right w:val="single" w:sz="8" w:space="0" w:color="auto"/>
            </w:tcBorders>
            <w:shd w:val="clear" w:color="auto" w:fill="auto"/>
            <w:vAlign w:val="center"/>
          </w:tcPr>
          <w:p w14:paraId="74319982" w14:textId="77777777" w:rsidR="00B61A8B" w:rsidRPr="00B21B24" w:rsidRDefault="00B61A8B" w:rsidP="00B21B24">
            <w:pPr>
              <w:tabs>
                <w:tab w:val="left" w:pos="1200"/>
              </w:tabs>
              <w:ind w:left="720"/>
              <w:jc w:val="right"/>
              <w:rPr>
                <w:rFonts w:ascii="Arial" w:hAnsi="Arial" w:cs="Arial"/>
                <w:sz w:val="16"/>
                <w:szCs w:val="16"/>
                <w:lang w:val="en-GB"/>
              </w:rPr>
            </w:pPr>
            <w:r w:rsidRPr="00B21B24">
              <w:rPr>
                <w:rFonts w:ascii="Arial" w:hAnsi="Arial" w:cs="Arial"/>
                <w:bCs/>
                <w:color w:val="000000"/>
                <w:sz w:val="16"/>
                <w:szCs w:val="16"/>
                <w:lang w:val="en-GB"/>
              </w:rPr>
              <w:t>4,201,145</w:t>
            </w:r>
          </w:p>
        </w:tc>
        <w:tc>
          <w:tcPr>
            <w:tcW w:w="1612" w:type="dxa"/>
            <w:tcBorders>
              <w:top w:val="single" w:sz="8" w:space="0" w:color="auto"/>
              <w:left w:val="single" w:sz="8" w:space="0" w:color="auto"/>
              <w:bottom w:val="single" w:sz="12" w:space="0" w:color="auto"/>
              <w:right w:val="single" w:sz="8" w:space="0" w:color="auto"/>
            </w:tcBorders>
            <w:shd w:val="clear" w:color="auto" w:fill="auto"/>
            <w:vAlign w:val="center"/>
          </w:tcPr>
          <w:p w14:paraId="2DDAF3E2" w14:textId="77777777" w:rsidR="00B61A8B" w:rsidRPr="00B21B24" w:rsidRDefault="00B61A8B" w:rsidP="00B21B24">
            <w:pPr>
              <w:tabs>
                <w:tab w:val="left" w:pos="1200"/>
              </w:tabs>
              <w:ind w:left="720"/>
              <w:jc w:val="right"/>
              <w:rPr>
                <w:rFonts w:ascii="Arial" w:hAnsi="Arial" w:cs="Arial"/>
                <w:sz w:val="16"/>
                <w:szCs w:val="16"/>
                <w:lang w:val="en-GB"/>
              </w:rPr>
            </w:pPr>
            <w:r w:rsidRPr="00B21B24">
              <w:rPr>
                <w:rFonts w:ascii="Univers" w:hAnsi="Univers"/>
                <w:sz w:val="16"/>
                <w:szCs w:val="16"/>
                <w:lang w:val="en-GB"/>
              </w:rPr>
              <w:t>14,785</w:t>
            </w:r>
          </w:p>
        </w:tc>
        <w:tc>
          <w:tcPr>
            <w:tcW w:w="1559" w:type="dxa"/>
            <w:tcBorders>
              <w:top w:val="single" w:sz="8" w:space="0" w:color="auto"/>
              <w:left w:val="single" w:sz="8" w:space="0" w:color="auto"/>
              <w:bottom w:val="single" w:sz="12" w:space="0" w:color="auto"/>
              <w:right w:val="single" w:sz="8" w:space="0" w:color="auto"/>
            </w:tcBorders>
            <w:shd w:val="clear" w:color="auto" w:fill="auto"/>
            <w:vAlign w:val="center"/>
          </w:tcPr>
          <w:p w14:paraId="43CAEF0E" w14:textId="77777777" w:rsidR="00B61A8B" w:rsidRPr="00B21B24" w:rsidRDefault="00B61A8B" w:rsidP="00B21B24">
            <w:pPr>
              <w:tabs>
                <w:tab w:val="left" w:pos="1200"/>
              </w:tabs>
              <w:ind w:left="720"/>
              <w:jc w:val="right"/>
              <w:rPr>
                <w:rFonts w:ascii="Arial" w:hAnsi="Arial" w:cs="Arial"/>
                <w:sz w:val="16"/>
                <w:szCs w:val="16"/>
                <w:lang w:val="en-GB"/>
              </w:rPr>
            </w:pPr>
            <w:r w:rsidRPr="00B21B24">
              <w:rPr>
                <w:rFonts w:ascii="Arial" w:hAnsi="Arial" w:cs="Arial"/>
                <w:bCs/>
                <w:color w:val="000000"/>
                <w:sz w:val="16"/>
                <w:szCs w:val="16"/>
                <w:lang w:val="en-GB"/>
              </w:rPr>
              <w:t>295.15</w:t>
            </w:r>
          </w:p>
        </w:tc>
        <w:tc>
          <w:tcPr>
            <w:tcW w:w="2049" w:type="dxa"/>
            <w:tcBorders>
              <w:top w:val="single" w:sz="8" w:space="0" w:color="auto"/>
              <w:left w:val="single" w:sz="8" w:space="0" w:color="auto"/>
              <w:bottom w:val="single" w:sz="12" w:space="0" w:color="auto"/>
              <w:right w:val="single" w:sz="8" w:space="0" w:color="auto"/>
            </w:tcBorders>
            <w:shd w:val="clear" w:color="auto" w:fill="auto"/>
            <w:vAlign w:val="bottom"/>
          </w:tcPr>
          <w:p w14:paraId="5B41D0A3" w14:textId="77777777" w:rsidR="00B61A8B" w:rsidRPr="00B21B24" w:rsidRDefault="00B61A8B" w:rsidP="00B21B24">
            <w:pPr>
              <w:ind w:left="720"/>
              <w:jc w:val="right"/>
              <w:rPr>
                <w:rFonts w:ascii="Arial" w:hAnsi="Arial" w:cs="Arial"/>
                <w:sz w:val="16"/>
                <w:szCs w:val="16"/>
                <w:lang w:val="en-GB"/>
              </w:rPr>
            </w:pPr>
            <w:r w:rsidRPr="00B21B24">
              <w:rPr>
                <w:rFonts w:ascii="Arial" w:hAnsi="Arial" w:cs="Arial"/>
                <w:sz w:val="16"/>
                <w:szCs w:val="16"/>
                <w:lang w:val="en-GB"/>
              </w:rPr>
              <w:t>62,113,928,825</w:t>
            </w:r>
          </w:p>
        </w:tc>
        <w:tc>
          <w:tcPr>
            <w:tcW w:w="1236" w:type="dxa"/>
            <w:tcBorders>
              <w:top w:val="single" w:sz="8" w:space="0" w:color="auto"/>
              <w:left w:val="single" w:sz="8" w:space="0" w:color="auto"/>
              <w:bottom w:val="single" w:sz="12" w:space="0" w:color="auto"/>
              <w:right w:val="single" w:sz="12" w:space="0" w:color="auto"/>
            </w:tcBorders>
            <w:shd w:val="clear" w:color="auto" w:fill="auto"/>
            <w:vAlign w:val="bottom"/>
          </w:tcPr>
          <w:p w14:paraId="06EDF448" w14:textId="77777777" w:rsidR="00B61A8B" w:rsidRPr="00B21B24" w:rsidRDefault="00B61A8B" w:rsidP="00B21B24">
            <w:pPr>
              <w:ind w:left="720"/>
              <w:jc w:val="right"/>
              <w:rPr>
                <w:rFonts w:ascii="Arial" w:hAnsi="Arial" w:cs="Arial"/>
                <w:sz w:val="16"/>
                <w:szCs w:val="16"/>
                <w:lang w:val="en-GB"/>
              </w:rPr>
            </w:pPr>
            <w:r w:rsidRPr="00B21B24">
              <w:rPr>
                <w:rFonts w:ascii="Arial" w:hAnsi="Arial" w:cs="Arial"/>
                <w:sz w:val="16"/>
                <w:szCs w:val="16"/>
                <w:lang w:val="en-GB"/>
              </w:rPr>
              <w:t>1,239,967,947</w:t>
            </w:r>
          </w:p>
        </w:tc>
      </w:tr>
      <w:bookmarkEnd w:id="52"/>
    </w:tbl>
    <w:p w14:paraId="170F0E3A" w14:textId="77777777" w:rsidR="00B61A8B" w:rsidRDefault="00B61A8B" w:rsidP="00621620">
      <w:pPr>
        <w:jc w:val="both"/>
        <w:rPr>
          <w:sz w:val="22"/>
          <w:szCs w:val="22"/>
          <w:lang w:val="en-GB"/>
        </w:rPr>
      </w:pPr>
    </w:p>
    <w:p w14:paraId="37A18E07" w14:textId="77777777" w:rsidR="00B61A8B" w:rsidRPr="00A52809" w:rsidRDefault="00621620" w:rsidP="00621620">
      <w:pPr>
        <w:numPr>
          <w:ilvl w:val="0"/>
          <w:numId w:val="3"/>
        </w:numPr>
        <w:spacing w:after="120"/>
        <w:ind w:left="0" w:firstLine="0"/>
        <w:jc w:val="both"/>
        <w:rPr>
          <w:sz w:val="22"/>
          <w:szCs w:val="22"/>
          <w:lang w:val="en-GB"/>
        </w:rPr>
      </w:pPr>
      <w:r w:rsidRPr="00621620">
        <w:rPr>
          <w:sz w:val="22"/>
          <w:szCs w:val="22"/>
          <w:lang w:val="en-GB"/>
        </w:rPr>
        <w:t>In all four cases, the values cited by Costanza et al. 1997 are greater than those determined in the present study and consequently would result in Total Economic Values ranging from 3 to 22 times greater than those determined in the present instance. It is important to recognise, however, that the two sets of values are not directly comparable since those of Costanza et al. relate to capital values whilst those of the present study reflect annual production values.</w:t>
      </w:r>
      <w:r w:rsidR="00687722">
        <w:rPr>
          <w:sz w:val="22"/>
          <w:szCs w:val="22"/>
          <w:lang w:val="en-GB"/>
        </w:rPr>
        <w:t xml:space="preserve"> Uniquely in the context of a foundational GEF International Waters TDA/SAP project, these values were applied in an analysis of the costs and benefits of the regional actions proposed in the Strategic Action Programme. </w:t>
      </w:r>
    </w:p>
    <w:p w14:paraId="4BD27CE8" w14:textId="77777777" w:rsidR="00CC7825" w:rsidRPr="00687722" w:rsidRDefault="00687722" w:rsidP="00CC7825">
      <w:pPr>
        <w:numPr>
          <w:ilvl w:val="0"/>
          <w:numId w:val="3"/>
        </w:numPr>
        <w:spacing w:after="120"/>
        <w:ind w:left="0" w:firstLine="0"/>
        <w:jc w:val="both"/>
        <w:rPr>
          <w:sz w:val="22"/>
          <w:szCs w:val="22"/>
          <w:lang w:val="en-GB"/>
        </w:rPr>
      </w:pPr>
      <w:r>
        <w:rPr>
          <w:sz w:val="22"/>
          <w:szCs w:val="22"/>
        </w:rPr>
        <w:t>Furthermore, w</w:t>
      </w:r>
      <w:r w:rsidRPr="00573A83">
        <w:rPr>
          <w:sz w:val="22"/>
          <w:szCs w:val="22"/>
        </w:rPr>
        <w:t>hat has resulted from this work is a standardised method for computing national and regional weighted mean values of resources and services that can be applied more widely in handling and manipulating economic valuation data from multiple locations across any time span. The techniques can be applied in any region where multiple currencies, varying exchange rates and widespread inter-locational variation</w:t>
      </w:r>
      <w:r>
        <w:rPr>
          <w:sz w:val="22"/>
          <w:szCs w:val="22"/>
        </w:rPr>
        <w:t xml:space="preserve"> in farm gate prices are found. </w:t>
      </w:r>
      <w:r w:rsidRPr="00573A83">
        <w:rPr>
          <w:sz w:val="22"/>
          <w:szCs w:val="22"/>
        </w:rPr>
        <w:t xml:space="preserve">The specific targets of the revised SAP have been valued or, more specifically, the incremental benefit derived from achieving the target has been valued. The values saved by achieving the targets have been compared with the costs of implementing the actions defined in the regional SAP through a cost benefit analysis (see Annex 6 of </w:t>
      </w:r>
      <w:r w:rsidR="00F11038">
        <w:rPr>
          <w:sz w:val="22"/>
          <w:szCs w:val="22"/>
        </w:rPr>
        <w:t>UNEP, 2007j</w:t>
      </w:r>
      <w:r>
        <w:rPr>
          <w:sz w:val="22"/>
          <w:szCs w:val="22"/>
        </w:rPr>
        <w:t xml:space="preserve"> for details of the methodologies and procedures use to conduct the cost benefit analysis</w:t>
      </w:r>
      <w:r w:rsidRPr="00573A83">
        <w:rPr>
          <w:sz w:val="22"/>
          <w:szCs w:val="22"/>
        </w:rPr>
        <w:t>).</w:t>
      </w:r>
      <w:r>
        <w:rPr>
          <w:sz w:val="22"/>
          <w:szCs w:val="22"/>
        </w:rPr>
        <w:t xml:space="preserve"> This work</w:t>
      </w:r>
      <w:r w:rsidR="007770F4">
        <w:rPr>
          <w:sz w:val="22"/>
          <w:szCs w:val="22"/>
        </w:rPr>
        <w:t xml:space="preserve"> of the TDA/SAP SCS project</w:t>
      </w:r>
      <w:r>
        <w:rPr>
          <w:sz w:val="22"/>
          <w:szCs w:val="22"/>
        </w:rPr>
        <w:t xml:space="preserve"> has also been published as a paper in the internationally peer-reviewed journal Ocean and Coastal Management (see Pernetta </w:t>
      </w:r>
      <w:r w:rsidRPr="00687722">
        <w:rPr>
          <w:i/>
          <w:sz w:val="22"/>
          <w:szCs w:val="22"/>
        </w:rPr>
        <w:t>et al</w:t>
      </w:r>
      <w:r>
        <w:rPr>
          <w:sz w:val="22"/>
          <w:szCs w:val="22"/>
        </w:rPr>
        <w:t>., 2013).</w:t>
      </w:r>
    </w:p>
    <w:p w14:paraId="650EAC5E" w14:textId="77777777" w:rsidR="00B80C0C" w:rsidRDefault="00B80C0C" w:rsidP="00B80C0C">
      <w:pPr>
        <w:numPr>
          <w:ilvl w:val="2"/>
          <w:numId w:val="2"/>
        </w:numPr>
        <w:spacing w:after="120"/>
        <w:outlineLvl w:val="1"/>
        <w:rPr>
          <w:b/>
          <w:sz w:val="22"/>
          <w:szCs w:val="22"/>
          <w:lang w:val="en-GB"/>
        </w:rPr>
      </w:pPr>
      <w:r>
        <w:rPr>
          <w:b/>
          <w:sz w:val="22"/>
          <w:szCs w:val="22"/>
          <w:lang w:val="en-GB"/>
        </w:rPr>
        <w:t>Legal Aspects of Environmental Management in the South China Sea</w:t>
      </w:r>
    </w:p>
    <w:p w14:paraId="7EF7750D" w14:textId="77777777" w:rsidR="009B2205" w:rsidRPr="009B2205" w:rsidRDefault="009B2205" w:rsidP="009B2205">
      <w:pPr>
        <w:numPr>
          <w:ilvl w:val="0"/>
          <w:numId w:val="3"/>
        </w:numPr>
        <w:spacing w:after="120"/>
        <w:ind w:left="0" w:firstLine="0"/>
        <w:jc w:val="both"/>
        <w:rPr>
          <w:sz w:val="22"/>
          <w:szCs w:val="22"/>
          <w:lang w:val="en-GB"/>
        </w:rPr>
      </w:pPr>
      <w:r w:rsidRPr="009B2205">
        <w:rPr>
          <w:sz w:val="22"/>
          <w:szCs w:val="22"/>
          <w:lang w:val="en-GB"/>
        </w:rPr>
        <w:t xml:space="preserve">As noted in previous sections of this Project Document, the margins of the South China marine basin have experienced high rates of economic growth and rapid urbanisation over the past five decades. Each country has actively and in certain respects very successfully pursued a goal of economic development sometimes at the expense of environmental quality. Industrialisation, urbanisation, and population growth along the coastlines are the main driving forces of marine environmental degradation in the South China Sea. According to the Transboundary Diagnostic Analysis, approximately 69% of the original mangrove forest area was destroyed during the </w:t>
      </w:r>
      <w:r w:rsidR="004234AC">
        <w:rPr>
          <w:sz w:val="22"/>
          <w:szCs w:val="22"/>
          <w:lang w:val="en-GB"/>
        </w:rPr>
        <w:t>20th</w:t>
      </w:r>
      <w:r w:rsidR="004234AC" w:rsidRPr="009B2205">
        <w:rPr>
          <w:sz w:val="22"/>
          <w:szCs w:val="22"/>
          <w:lang w:val="en-GB"/>
        </w:rPr>
        <w:t xml:space="preserve"> </w:t>
      </w:r>
      <w:r w:rsidRPr="009B2205">
        <w:rPr>
          <w:sz w:val="22"/>
          <w:szCs w:val="22"/>
          <w:lang w:val="en-GB"/>
        </w:rPr>
        <w:t>century. Serious land-based pollution is generated by coastal industrial activities and has resulted in the increasing occurrence of red tides in some parts of the marine basin. The three most important environmental concerns identified in the TDA are: loss and degradation of coastal habitats; over-exploitation of living marine resources; and land-based pollution. The environmental degradation of the South China Sea has significant transboundary implications due to the ecological interdependence of sub-basins and the sea’s globally significant biological diversity; and poses a serious challenge to the sustainable development of the littoral countries.</w:t>
      </w:r>
    </w:p>
    <w:p w14:paraId="76526AEE" w14:textId="77777777" w:rsidR="00D97EF8" w:rsidRDefault="00E532DB" w:rsidP="00E532DB">
      <w:pPr>
        <w:numPr>
          <w:ilvl w:val="0"/>
          <w:numId w:val="3"/>
        </w:numPr>
        <w:spacing w:after="120"/>
        <w:ind w:left="0" w:firstLine="0"/>
        <w:jc w:val="both"/>
        <w:rPr>
          <w:bCs/>
          <w:sz w:val="22"/>
          <w:szCs w:val="22"/>
          <w:lang w:val="en-GB"/>
        </w:rPr>
      </w:pPr>
      <w:r w:rsidRPr="005C72B4">
        <w:rPr>
          <w:bCs/>
          <w:sz w:val="22"/>
          <w:szCs w:val="22"/>
          <w:lang w:val="en-GB"/>
        </w:rPr>
        <w:t xml:space="preserve">Legal instruments play a key role in ensuring the sustainable management of coastal habitats, preventing marine pollution, and prohibiting certain fishing activities, which threaten the marine environment of the South China Sea. Recognising the importance of the legal issues in marine environmental management, the Project Steering Committee of the </w:t>
      </w:r>
      <w:r w:rsidRPr="00E532DB">
        <w:rPr>
          <w:bCs/>
          <w:sz w:val="22"/>
          <w:szCs w:val="22"/>
          <w:lang w:val="en-GB"/>
        </w:rPr>
        <w:t xml:space="preserve">SCS Project </w:t>
      </w:r>
      <w:r w:rsidRPr="005C72B4">
        <w:rPr>
          <w:bCs/>
          <w:sz w:val="22"/>
          <w:szCs w:val="22"/>
          <w:lang w:val="en-GB"/>
        </w:rPr>
        <w:t>created a Regional Task Force on Legal Matters to strengthen the legal aspects of the project.</w:t>
      </w:r>
      <w:r w:rsidRPr="00E532DB">
        <w:rPr>
          <w:bCs/>
          <w:sz w:val="22"/>
          <w:szCs w:val="22"/>
          <w:lang w:val="en-GB"/>
        </w:rPr>
        <w:t xml:space="preserve"> </w:t>
      </w:r>
      <w:r w:rsidRPr="005C72B4">
        <w:rPr>
          <w:bCs/>
          <w:sz w:val="22"/>
          <w:szCs w:val="22"/>
          <w:lang w:val="en-GB"/>
        </w:rPr>
        <w:t xml:space="preserve">The Task Force took a gradual approach to exploring possible ways to strengthen the legal aspects of </w:t>
      </w:r>
      <w:r w:rsidR="004234AC">
        <w:rPr>
          <w:bCs/>
          <w:sz w:val="22"/>
          <w:szCs w:val="22"/>
          <w:lang w:val="en-GB"/>
        </w:rPr>
        <w:t>coastal and marine environmental management</w:t>
      </w:r>
      <w:r w:rsidRPr="005C72B4">
        <w:rPr>
          <w:bCs/>
          <w:sz w:val="22"/>
          <w:szCs w:val="22"/>
          <w:lang w:val="en-GB"/>
        </w:rPr>
        <w:t xml:space="preserve">, by first reviewing signatory states’ obligations for regional co-operation under major global environmental conventions. In considering the countries’ existing obligations for regional co-operation, the Task Force collectively reviewed the status of existing regional cooperative mechanisms and instruments, including regional agreements and soft laws, and suggested that great potential exists for countries bordering the South China Sea to strengthen regional co-operation on marine environmental management. </w:t>
      </w:r>
    </w:p>
    <w:p w14:paraId="52DD2C5D" w14:textId="77777777" w:rsidR="00E532DB" w:rsidRDefault="00E532DB" w:rsidP="00E532DB">
      <w:pPr>
        <w:numPr>
          <w:ilvl w:val="0"/>
          <w:numId w:val="3"/>
        </w:numPr>
        <w:spacing w:after="120"/>
        <w:ind w:left="0" w:firstLine="0"/>
        <w:jc w:val="both"/>
        <w:rPr>
          <w:bCs/>
          <w:sz w:val="22"/>
          <w:szCs w:val="22"/>
          <w:lang w:val="en-GB"/>
        </w:rPr>
      </w:pPr>
      <w:r w:rsidRPr="005C72B4">
        <w:rPr>
          <w:bCs/>
          <w:sz w:val="22"/>
          <w:szCs w:val="22"/>
          <w:lang w:val="en-GB"/>
        </w:rPr>
        <w:t>The Task Force further reviewed national legislation, and conducted a comparative analysis of national environmental legislation regarding major issues/themes of interest, and to identify strengths and weaknesses of national legislation so that countries with a less well developed legislative base could derive lessons from countries with more comprehensive legislation.</w:t>
      </w:r>
      <w:r w:rsidRPr="00E532DB">
        <w:rPr>
          <w:bCs/>
          <w:sz w:val="22"/>
          <w:szCs w:val="22"/>
          <w:lang w:val="en-GB"/>
        </w:rPr>
        <w:t xml:space="preserve"> As part of SAP development, the task force published a comprehensive review of legal matters relating to environmental management in the South China Sea and Gulf of Thailand which is presented in three parts: </w:t>
      </w:r>
      <w:r w:rsidRPr="005C72B4">
        <w:rPr>
          <w:bCs/>
          <w:sz w:val="22"/>
          <w:szCs w:val="22"/>
          <w:lang w:val="en-GB"/>
        </w:rPr>
        <w:t xml:space="preserve">a review of the obligations of signatory states regarding regional co-operation on environmental protection; a review of regional and sub-regional agreements and soft laws regarding environmental protection with relevance to the South China Sea; and a comparative analysis of the national legislation of the seven countries bordering the South China Sea that </w:t>
      </w:r>
      <w:r w:rsidRPr="00E532DB">
        <w:rPr>
          <w:bCs/>
          <w:sz w:val="22"/>
          <w:szCs w:val="22"/>
          <w:lang w:val="en-GB"/>
        </w:rPr>
        <w:t>endorsed the SAP at the intergovernmental level</w:t>
      </w:r>
      <w:r w:rsidRPr="00E532DB">
        <w:rPr>
          <w:rStyle w:val="FootnoteReference"/>
          <w:bCs/>
          <w:sz w:val="22"/>
          <w:szCs w:val="22"/>
          <w:lang w:val="en-GB"/>
        </w:rPr>
        <w:footnoteReference w:id="44"/>
      </w:r>
      <w:r w:rsidRPr="00E532DB">
        <w:rPr>
          <w:bCs/>
          <w:sz w:val="22"/>
          <w:szCs w:val="22"/>
          <w:lang w:val="en-GB"/>
        </w:rPr>
        <w:t xml:space="preserve">. The key findings of this report were </w:t>
      </w:r>
      <w:r>
        <w:rPr>
          <w:bCs/>
          <w:sz w:val="22"/>
          <w:szCs w:val="22"/>
          <w:lang w:val="en-GB"/>
        </w:rPr>
        <w:t xml:space="preserve">also recently </w:t>
      </w:r>
      <w:r w:rsidRPr="00E532DB">
        <w:rPr>
          <w:bCs/>
          <w:sz w:val="22"/>
          <w:szCs w:val="22"/>
          <w:lang w:val="en-GB"/>
        </w:rPr>
        <w:t>published, together with a contemporaneous assessment of legal issues affecting environmental management in this marine basin, as a paper in the internationally peer-reviewed journal Ocean and Coastal Management</w:t>
      </w:r>
      <w:r w:rsidRPr="00E532DB">
        <w:rPr>
          <w:rStyle w:val="FootnoteReference"/>
          <w:bCs/>
          <w:sz w:val="22"/>
          <w:szCs w:val="22"/>
          <w:lang w:val="en-GB"/>
        </w:rPr>
        <w:footnoteReference w:id="45"/>
      </w:r>
      <w:r w:rsidRPr="00E532DB">
        <w:rPr>
          <w:bCs/>
          <w:sz w:val="22"/>
          <w:szCs w:val="22"/>
          <w:lang w:val="en-GB"/>
        </w:rPr>
        <w:t>.</w:t>
      </w:r>
    </w:p>
    <w:p w14:paraId="09FBC807" w14:textId="77777777" w:rsidR="00E532DB" w:rsidRPr="00E532DB" w:rsidRDefault="00E532DB" w:rsidP="00E532DB">
      <w:pPr>
        <w:numPr>
          <w:ilvl w:val="2"/>
          <w:numId w:val="2"/>
        </w:numPr>
        <w:spacing w:after="120"/>
        <w:outlineLvl w:val="1"/>
        <w:rPr>
          <w:b/>
          <w:sz w:val="22"/>
          <w:szCs w:val="22"/>
          <w:lang w:val="en-GB"/>
        </w:rPr>
      </w:pPr>
      <w:r>
        <w:rPr>
          <w:b/>
          <w:sz w:val="22"/>
          <w:szCs w:val="22"/>
          <w:lang w:val="en-GB"/>
        </w:rPr>
        <w:t>Regional Cooperation for Environmental Management in the South China Sea</w:t>
      </w:r>
    </w:p>
    <w:p w14:paraId="1B3558A9" w14:textId="77777777" w:rsidR="00687722" w:rsidRDefault="00EC4FFE" w:rsidP="00EC4FFE">
      <w:pPr>
        <w:numPr>
          <w:ilvl w:val="0"/>
          <w:numId w:val="3"/>
        </w:numPr>
        <w:spacing w:after="120"/>
        <w:ind w:left="0" w:firstLine="0"/>
        <w:jc w:val="both"/>
        <w:rPr>
          <w:sz w:val="22"/>
          <w:szCs w:val="22"/>
          <w:lang w:val="en-GB"/>
        </w:rPr>
      </w:pPr>
      <w:r w:rsidRPr="00EC4FFE">
        <w:rPr>
          <w:sz w:val="22"/>
          <w:szCs w:val="22"/>
          <w:lang w:val="en-GB"/>
        </w:rPr>
        <w:t xml:space="preserve">The environment of the South China Sea continues to degrade despite actions taken at the national, sub-regional and regional levels. Part of the problem stems from the transboundary marine problems in the region and their impact on the ecosystems and resources of the South China Sea. This provides the ecological impetus for co-operation that is also based on the fact that the region is a large marine ecosystem with intrinsic integrity and inter-connections between all trophic levels. Fish and other migratory species do not recognise national boundaries, and the loss of endangered species in one area has not only regional but global significance. Due to the inherent conflict between the boundaries of the ecological system and man-made, national boundaries, </w:t>
      </w:r>
      <w:r w:rsidR="00B93F6A">
        <w:rPr>
          <w:sz w:val="22"/>
          <w:szCs w:val="22"/>
          <w:lang w:val="en-GB"/>
        </w:rPr>
        <w:t xml:space="preserve">it is necessary to establish an effective regional coordination mechanism to address transboundary issues and </w:t>
      </w:r>
      <w:r w:rsidRPr="00EC4FFE">
        <w:rPr>
          <w:sz w:val="22"/>
          <w:szCs w:val="22"/>
          <w:lang w:val="en-GB"/>
        </w:rPr>
        <w:t>countries must co-operate to meet the challenges to managing and sustainably using the shared ecological system.</w:t>
      </w:r>
    </w:p>
    <w:p w14:paraId="689713FF" w14:textId="77777777" w:rsidR="00EC4FFE" w:rsidRDefault="00EC4FFE" w:rsidP="00EC4FFE">
      <w:pPr>
        <w:numPr>
          <w:ilvl w:val="0"/>
          <w:numId w:val="3"/>
        </w:numPr>
        <w:spacing w:after="120"/>
        <w:ind w:left="0" w:firstLine="0"/>
        <w:jc w:val="both"/>
        <w:rPr>
          <w:sz w:val="22"/>
          <w:szCs w:val="22"/>
        </w:rPr>
      </w:pPr>
      <w:r w:rsidRPr="00002136">
        <w:rPr>
          <w:sz w:val="22"/>
          <w:szCs w:val="22"/>
        </w:rPr>
        <w:t>These ecological issues are compounded by gaps in regional co-operation, which exist despite the ratification of many international conventions, which contain the legal basis for regional collaboration. Moreover, the present instruments and mechanisms for regional co-operation in the management of the marine and coastal environment of the South China Sea area are neither extensive nor well developed. While a number of sub-regional agreements or soft laws have been developed and numerous bi-lateral agreements have been entered into by, all governments individually and severally, there exists no overarching regional agreement governing the management of the marine enviro</w:t>
      </w:r>
      <w:r>
        <w:rPr>
          <w:sz w:val="22"/>
          <w:szCs w:val="22"/>
        </w:rPr>
        <w:t xml:space="preserve">nmental in the South China Sea. </w:t>
      </w:r>
      <w:r w:rsidRPr="00002136">
        <w:rPr>
          <w:sz w:val="22"/>
          <w:szCs w:val="22"/>
        </w:rPr>
        <w:t>The necessity for co-operation is reinforced by the need to prevent wastage of scarce financial resources that result from duplication of actions by countries in the region and the need to ensure that regional efforts are co-ordinated and effective. This in turn depends on the efficacy of related national actions which form the foundations of regional action and co-operation.</w:t>
      </w:r>
    </w:p>
    <w:p w14:paraId="06E71E38" w14:textId="77777777" w:rsidR="00EC4FFE" w:rsidRDefault="00EC4FFE" w:rsidP="00EC4FFE">
      <w:pPr>
        <w:numPr>
          <w:ilvl w:val="0"/>
          <w:numId w:val="3"/>
        </w:numPr>
        <w:spacing w:after="120"/>
        <w:ind w:left="0" w:firstLine="0"/>
        <w:jc w:val="both"/>
        <w:rPr>
          <w:sz w:val="22"/>
          <w:szCs w:val="22"/>
          <w:lang w:val="en-GB"/>
        </w:rPr>
      </w:pPr>
      <w:r w:rsidRPr="00002136">
        <w:rPr>
          <w:sz w:val="22"/>
          <w:szCs w:val="22"/>
          <w:lang w:val="en-GB"/>
        </w:rPr>
        <w:t>Despite the widespread recognition of the necessity to promote formal inter-governmental regional co-operation, there exist some common obstacles to strengthening existing mechanisms or forging new ones for regional co-operation. These identified obstacles include:</w:t>
      </w:r>
    </w:p>
    <w:p w14:paraId="6B7EF221" w14:textId="77777777" w:rsidR="00EC4FFE" w:rsidRPr="00002136" w:rsidRDefault="00EC4FFE" w:rsidP="004B053A">
      <w:pPr>
        <w:numPr>
          <w:ilvl w:val="0"/>
          <w:numId w:val="14"/>
        </w:numPr>
        <w:tabs>
          <w:tab w:val="num" w:pos="700"/>
        </w:tabs>
        <w:rPr>
          <w:sz w:val="22"/>
          <w:szCs w:val="22"/>
          <w:lang w:val="en-GB"/>
        </w:rPr>
      </w:pPr>
      <w:r w:rsidRPr="00002136">
        <w:rPr>
          <w:bCs/>
          <w:sz w:val="22"/>
          <w:szCs w:val="22"/>
          <w:lang w:val="en-GB"/>
        </w:rPr>
        <w:t>Financial constraints; continued long-term financing;</w:t>
      </w:r>
    </w:p>
    <w:p w14:paraId="001BC724" w14:textId="77777777" w:rsidR="00EC4FFE" w:rsidRPr="00002136" w:rsidRDefault="00EC4FFE" w:rsidP="004B053A">
      <w:pPr>
        <w:numPr>
          <w:ilvl w:val="0"/>
          <w:numId w:val="14"/>
        </w:numPr>
        <w:tabs>
          <w:tab w:val="num" w:pos="700"/>
        </w:tabs>
        <w:rPr>
          <w:sz w:val="22"/>
          <w:szCs w:val="22"/>
          <w:lang w:val="en-GB"/>
        </w:rPr>
      </w:pPr>
      <w:r w:rsidRPr="00002136">
        <w:rPr>
          <w:bCs/>
          <w:sz w:val="22"/>
          <w:szCs w:val="22"/>
          <w:lang w:val="en-GB"/>
        </w:rPr>
        <w:t xml:space="preserve">Lack of understanding of the root causes of regional marine environmental problems; </w:t>
      </w:r>
    </w:p>
    <w:p w14:paraId="44B359F7" w14:textId="77777777" w:rsidR="00EC4FFE" w:rsidRPr="00002136" w:rsidRDefault="00EC4FFE" w:rsidP="004B053A">
      <w:pPr>
        <w:numPr>
          <w:ilvl w:val="0"/>
          <w:numId w:val="14"/>
        </w:numPr>
        <w:tabs>
          <w:tab w:val="num" w:pos="700"/>
        </w:tabs>
        <w:rPr>
          <w:sz w:val="22"/>
          <w:szCs w:val="22"/>
          <w:lang w:val="en-GB"/>
        </w:rPr>
      </w:pPr>
      <w:r w:rsidRPr="00002136">
        <w:rPr>
          <w:sz w:val="22"/>
          <w:szCs w:val="22"/>
          <w:lang w:val="en-GB"/>
        </w:rPr>
        <w:t>Lack of consideration of long-term impacts;</w:t>
      </w:r>
    </w:p>
    <w:p w14:paraId="2F8F20D0" w14:textId="77777777" w:rsidR="00EC4FFE" w:rsidRPr="00002136" w:rsidRDefault="00EC4FFE" w:rsidP="004B053A">
      <w:pPr>
        <w:numPr>
          <w:ilvl w:val="0"/>
          <w:numId w:val="14"/>
        </w:numPr>
        <w:tabs>
          <w:tab w:val="num" w:pos="700"/>
        </w:tabs>
        <w:rPr>
          <w:sz w:val="22"/>
          <w:szCs w:val="22"/>
          <w:lang w:val="en-GB"/>
        </w:rPr>
      </w:pPr>
      <w:r w:rsidRPr="00002136">
        <w:rPr>
          <w:bCs/>
          <w:sz w:val="22"/>
          <w:szCs w:val="22"/>
          <w:lang w:val="en-GB"/>
        </w:rPr>
        <w:t>Inability to predict the impacts of future threats;</w:t>
      </w:r>
    </w:p>
    <w:p w14:paraId="20EAA9C0" w14:textId="77777777" w:rsidR="00EC4FFE" w:rsidRPr="00002136" w:rsidRDefault="00EC4FFE" w:rsidP="004B053A">
      <w:pPr>
        <w:numPr>
          <w:ilvl w:val="0"/>
          <w:numId w:val="14"/>
        </w:numPr>
        <w:tabs>
          <w:tab w:val="num" w:pos="700"/>
        </w:tabs>
        <w:rPr>
          <w:sz w:val="22"/>
          <w:szCs w:val="22"/>
          <w:lang w:val="en-GB"/>
        </w:rPr>
      </w:pPr>
      <w:r w:rsidRPr="00002136">
        <w:rPr>
          <w:bCs/>
          <w:sz w:val="22"/>
          <w:szCs w:val="22"/>
          <w:lang w:val="en-GB"/>
        </w:rPr>
        <w:t xml:space="preserve">Lack of a regional and global perspective; </w:t>
      </w:r>
    </w:p>
    <w:p w14:paraId="657EEA96" w14:textId="77777777" w:rsidR="00EC4FFE" w:rsidRPr="00002136" w:rsidRDefault="00EC4FFE" w:rsidP="004B053A">
      <w:pPr>
        <w:numPr>
          <w:ilvl w:val="0"/>
          <w:numId w:val="14"/>
        </w:numPr>
        <w:tabs>
          <w:tab w:val="num" w:pos="700"/>
        </w:tabs>
        <w:rPr>
          <w:sz w:val="22"/>
          <w:szCs w:val="22"/>
          <w:lang w:val="en-GB"/>
        </w:rPr>
      </w:pPr>
      <w:r w:rsidRPr="00002136">
        <w:rPr>
          <w:bCs/>
          <w:sz w:val="22"/>
          <w:szCs w:val="22"/>
          <w:lang w:val="en-GB"/>
        </w:rPr>
        <w:t xml:space="preserve">Lack of respect and recognition of regional expertise among some high-level decision-makers; </w:t>
      </w:r>
    </w:p>
    <w:p w14:paraId="50FA7367" w14:textId="77777777" w:rsidR="00EC4FFE" w:rsidRPr="00002136" w:rsidRDefault="00EC4FFE" w:rsidP="004B053A">
      <w:pPr>
        <w:numPr>
          <w:ilvl w:val="0"/>
          <w:numId w:val="14"/>
        </w:numPr>
        <w:tabs>
          <w:tab w:val="num" w:pos="700"/>
        </w:tabs>
        <w:rPr>
          <w:sz w:val="22"/>
          <w:szCs w:val="22"/>
          <w:lang w:val="en-GB"/>
        </w:rPr>
      </w:pPr>
      <w:r w:rsidRPr="00002136">
        <w:rPr>
          <w:bCs/>
          <w:sz w:val="22"/>
          <w:szCs w:val="22"/>
          <w:lang w:val="en-GB"/>
        </w:rPr>
        <w:t xml:space="preserve">Lack of a regional political consensus; </w:t>
      </w:r>
    </w:p>
    <w:p w14:paraId="332A1A60" w14:textId="77777777" w:rsidR="00EC4FFE" w:rsidRPr="00002136" w:rsidRDefault="00EC4FFE" w:rsidP="004B053A">
      <w:pPr>
        <w:numPr>
          <w:ilvl w:val="0"/>
          <w:numId w:val="14"/>
        </w:numPr>
        <w:tabs>
          <w:tab w:val="num" w:pos="700"/>
        </w:tabs>
        <w:rPr>
          <w:sz w:val="22"/>
          <w:szCs w:val="22"/>
          <w:lang w:val="en-GB"/>
        </w:rPr>
      </w:pPr>
      <w:r w:rsidRPr="00002136">
        <w:rPr>
          <w:bCs/>
          <w:sz w:val="22"/>
          <w:szCs w:val="22"/>
          <w:lang w:val="en-GB"/>
        </w:rPr>
        <w:t>Lack of a regional network and mechanism for action; and,</w:t>
      </w:r>
    </w:p>
    <w:p w14:paraId="71429430" w14:textId="77777777" w:rsidR="00EC4FFE" w:rsidRPr="00EC4FFE" w:rsidRDefault="00EC4FFE" w:rsidP="004B053A">
      <w:pPr>
        <w:numPr>
          <w:ilvl w:val="0"/>
          <w:numId w:val="14"/>
        </w:numPr>
        <w:tabs>
          <w:tab w:val="num" w:pos="700"/>
        </w:tabs>
        <w:spacing w:after="120"/>
        <w:ind w:left="850" w:hanging="490"/>
        <w:rPr>
          <w:sz w:val="22"/>
          <w:szCs w:val="22"/>
          <w:lang w:val="en-GB"/>
        </w:rPr>
      </w:pPr>
      <w:r w:rsidRPr="00002136">
        <w:rPr>
          <w:bCs/>
          <w:sz w:val="22"/>
          <w:szCs w:val="22"/>
          <w:lang w:val="en-GB"/>
        </w:rPr>
        <w:t>Lack of understanding of the benefits of regional co-operation.</w:t>
      </w:r>
    </w:p>
    <w:p w14:paraId="223BE1F0" w14:textId="77777777" w:rsidR="00EC4FFE" w:rsidRDefault="00EC4FFE" w:rsidP="00EC4FFE">
      <w:pPr>
        <w:numPr>
          <w:ilvl w:val="0"/>
          <w:numId w:val="3"/>
        </w:numPr>
        <w:spacing w:after="120"/>
        <w:ind w:left="0" w:firstLine="0"/>
        <w:jc w:val="both"/>
        <w:rPr>
          <w:sz w:val="22"/>
          <w:szCs w:val="22"/>
          <w:lang w:val="en-GB"/>
        </w:rPr>
      </w:pPr>
      <w:r w:rsidRPr="00EC4FFE">
        <w:rPr>
          <w:sz w:val="22"/>
          <w:szCs w:val="22"/>
          <w:lang w:val="en-GB"/>
        </w:rPr>
        <w:t>In identifying ways to overcome the obstacles the Regional Task Force on Legal Matters (RTF-L) of the SCS project conducted a number of reviews including: a review of states obligations to co-operate regionally under existing multi-lateral environmental agreements; a comparative review of national legislation relating to coastal habitats and pollution; a review of existing regional and sub-regional legal agreements in the field of marine environmental management.  In addition the RTF-L commissioned a study by a regional consultant, of instruments and mechanisms used elsewhere for strengthening and enhancing regional co-operation in the management of the marine environment. As part of this study a questionnaire was administered to various regional entities around the world regarding the effectiveness or otherwise of their existing instruments and mechanisms, the responses suggest that:</w:t>
      </w:r>
    </w:p>
    <w:p w14:paraId="6E576843" w14:textId="77777777" w:rsidR="00AE6550" w:rsidRPr="00002136" w:rsidRDefault="00AE6550" w:rsidP="004B053A">
      <w:pPr>
        <w:numPr>
          <w:ilvl w:val="0"/>
          <w:numId w:val="15"/>
        </w:numPr>
        <w:rPr>
          <w:sz w:val="22"/>
          <w:szCs w:val="22"/>
          <w:lang w:val="en-GB"/>
        </w:rPr>
      </w:pPr>
      <w:r w:rsidRPr="00002136">
        <w:rPr>
          <w:sz w:val="22"/>
          <w:szCs w:val="22"/>
          <w:lang w:val="en-GB"/>
        </w:rPr>
        <w:t xml:space="preserve">Regional legal agreements are the most influential instruments, in strengthening regional     co-operation and fostering regional stability and confidence building among the countries; </w:t>
      </w:r>
    </w:p>
    <w:p w14:paraId="2A47B566" w14:textId="77777777" w:rsidR="00AE6550" w:rsidRPr="00002136" w:rsidRDefault="00AE6550" w:rsidP="004B053A">
      <w:pPr>
        <w:numPr>
          <w:ilvl w:val="0"/>
          <w:numId w:val="15"/>
        </w:numPr>
        <w:rPr>
          <w:sz w:val="22"/>
          <w:szCs w:val="22"/>
          <w:lang w:val="en-GB"/>
        </w:rPr>
      </w:pPr>
      <w:r w:rsidRPr="00002136">
        <w:rPr>
          <w:sz w:val="22"/>
          <w:szCs w:val="22"/>
          <w:lang w:val="en-GB"/>
        </w:rPr>
        <w:t xml:space="preserve">The ecological effectiveness and economic efficiency of regional co-operation are necessary to avoid the waste of scarce financial resources; </w:t>
      </w:r>
    </w:p>
    <w:p w14:paraId="1C06C2A1" w14:textId="77777777" w:rsidR="00AE6550" w:rsidRPr="00002136" w:rsidRDefault="00AE6550" w:rsidP="004B053A">
      <w:pPr>
        <w:numPr>
          <w:ilvl w:val="0"/>
          <w:numId w:val="15"/>
        </w:numPr>
        <w:rPr>
          <w:sz w:val="22"/>
          <w:szCs w:val="22"/>
          <w:lang w:val="en-GB"/>
        </w:rPr>
      </w:pPr>
      <w:r w:rsidRPr="00002136">
        <w:rPr>
          <w:sz w:val="22"/>
          <w:szCs w:val="22"/>
          <w:lang w:val="en-GB"/>
        </w:rPr>
        <w:t>A process-oriented focus to improving the effectiveness of actions and implementation is appropriate for regional cooperation;</w:t>
      </w:r>
    </w:p>
    <w:p w14:paraId="4A655349" w14:textId="77777777" w:rsidR="00AE6550" w:rsidRPr="00002136" w:rsidRDefault="00AE6550" w:rsidP="004B053A">
      <w:pPr>
        <w:numPr>
          <w:ilvl w:val="0"/>
          <w:numId w:val="15"/>
        </w:numPr>
        <w:rPr>
          <w:sz w:val="22"/>
          <w:szCs w:val="22"/>
          <w:lang w:val="en-GB"/>
        </w:rPr>
      </w:pPr>
      <w:r w:rsidRPr="00002136">
        <w:rPr>
          <w:sz w:val="22"/>
          <w:szCs w:val="22"/>
          <w:lang w:val="en-GB"/>
        </w:rPr>
        <w:t>A strong, proactive institutional mechanism empowered to act effectively, results in the most effective regional co-operation: and lastly;</w:t>
      </w:r>
    </w:p>
    <w:p w14:paraId="2C38E539" w14:textId="77777777" w:rsidR="00AE6550" w:rsidRPr="00AE6550" w:rsidRDefault="00AE6550" w:rsidP="004B053A">
      <w:pPr>
        <w:numPr>
          <w:ilvl w:val="0"/>
          <w:numId w:val="15"/>
        </w:numPr>
        <w:spacing w:after="120"/>
        <w:rPr>
          <w:sz w:val="22"/>
          <w:szCs w:val="22"/>
          <w:lang w:val="en-GB"/>
        </w:rPr>
      </w:pPr>
      <w:r w:rsidRPr="00002136">
        <w:rPr>
          <w:sz w:val="22"/>
          <w:szCs w:val="22"/>
          <w:lang w:val="en-GB"/>
        </w:rPr>
        <w:t>That regional co-operation may take many forms, but it must be appropriate to the regional ethos and culture.</w:t>
      </w:r>
    </w:p>
    <w:p w14:paraId="1DBE7D0C" w14:textId="77777777" w:rsidR="00AE6550" w:rsidRDefault="00AE6550" w:rsidP="00AE6550">
      <w:pPr>
        <w:numPr>
          <w:ilvl w:val="0"/>
          <w:numId w:val="3"/>
        </w:numPr>
        <w:spacing w:after="120"/>
        <w:ind w:left="0" w:firstLine="0"/>
        <w:jc w:val="both"/>
        <w:rPr>
          <w:sz w:val="22"/>
          <w:szCs w:val="22"/>
          <w:lang w:val="en-GB"/>
        </w:rPr>
      </w:pPr>
      <w:r w:rsidRPr="00AE6550">
        <w:rPr>
          <w:sz w:val="22"/>
          <w:szCs w:val="22"/>
          <w:lang w:val="en-GB"/>
        </w:rPr>
        <w:t xml:space="preserve">The RTF-L also conducted a survey and carried out consultations at national level to gauge views among government and non-government organisations on the level and effectiveness of co-operation in the South China and whether an alternative mechanism is needed to enhance co-operation in marine environment management in the region. The results of the surveys and a comparative analysis of national views is given in Annex 5 “Comparative Analysis of Countries Perspectives from informal National Consultations” of the Report of the Fifth Meeting of the RTF-L. Based on the results of the review and national consultation, and notwithstanding the outcomes of the commissioned study the RTF-L was of the opinion that the optimum way forward in this region at </w:t>
      </w:r>
      <w:r w:rsidR="00F11038">
        <w:rPr>
          <w:sz w:val="22"/>
          <w:szCs w:val="22"/>
          <w:lang w:val="en-GB"/>
        </w:rPr>
        <w:t>hat</w:t>
      </w:r>
      <w:r w:rsidRPr="00AE6550">
        <w:rPr>
          <w:sz w:val="22"/>
          <w:szCs w:val="22"/>
          <w:lang w:val="en-GB"/>
        </w:rPr>
        <w:t xml:space="preserve"> time was the preparation of a non-legally binding framework.</w:t>
      </w:r>
      <w:r>
        <w:rPr>
          <w:sz w:val="22"/>
          <w:szCs w:val="22"/>
          <w:lang w:val="en-GB"/>
        </w:rPr>
        <w:t xml:space="preserve"> A comprehensive review of instruments and mechanisms for strengthening marine environmental cooperation in the South China Sea</w:t>
      </w:r>
      <w:r>
        <w:rPr>
          <w:rStyle w:val="FootnoteReference"/>
          <w:sz w:val="22"/>
          <w:szCs w:val="22"/>
          <w:lang w:val="en-GB"/>
        </w:rPr>
        <w:footnoteReference w:id="46"/>
      </w:r>
      <w:r>
        <w:rPr>
          <w:sz w:val="22"/>
          <w:szCs w:val="22"/>
          <w:lang w:val="en-GB"/>
        </w:rPr>
        <w:t xml:space="preserve"> was published as part of SAP </w:t>
      </w:r>
      <w:r w:rsidR="003D0B90">
        <w:rPr>
          <w:sz w:val="22"/>
          <w:szCs w:val="22"/>
          <w:lang w:val="en-GB"/>
        </w:rPr>
        <w:t xml:space="preserve">formulation </w:t>
      </w:r>
      <w:r>
        <w:rPr>
          <w:sz w:val="22"/>
          <w:szCs w:val="22"/>
          <w:lang w:val="en-GB"/>
        </w:rPr>
        <w:t>and underpins the recommended proposed mechanisms for regional cooperation in the agreed SAP.</w:t>
      </w:r>
    </w:p>
    <w:p w14:paraId="2FCFF7D2" w14:textId="77777777" w:rsidR="00AE6550" w:rsidRDefault="00AE6550" w:rsidP="00AE6550">
      <w:pPr>
        <w:numPr>
          <w:ilvl w:val="0"/>
          <w:numId w:val="3"/>
        </w:numPr>
        <w:spacing w:after="120"/>
        <w:ind w:left="0" w:firstLine="0"/>
        <w:jc w:val="both"/>
        <w:rPr>
          <w:sz w:val="22"/>
          <w:szCs w:val="22"/>
          <w:lang w:val="en-GB"/>
        </w:rPr>
      </w:pPr>
      <w:r>
        <w:rPr>
          <w:sz w:val="22"/>
          <w:szCs w:val="22"/>
          <w:lang w:val="en-GB"/>
        </w:rPr>
        <w:t xml:space="preserve">The intergovernmentally endorsed Strategic Action Framework recommends that the development of any such framework </w:t>
      </w:r>
      <w:r w:rsidRPr="00705A6B">
        <w:rPr>
          <w:sz w:val="22"/>
          <w:szCs w:val="22"/>
          <w:lang w:val="en-GB"/>
        </w:rPr>
        <w:t>must be functional and effective in resolving environmental problems and fostering strong regional cooperation and coordination of appropr</w:t>
      </w:r>
      <w:r>
        <w:rPr>
          <w:sz w:val="22"/>
          <w:szCs w:val="22"/>
          <w:lang w:val="en-GB"/>
        </w:rPr>
        <w:t>iate cost-effective actions. It was agreed further in the SAP that the</w:t>
      </w:r>
      <w:r w:rsidRPr="00705A6B">
        <w:rPr>
          <w:sz w:val="22"/>
          <w:szCs w:val="22"/>
          <w:lang w:val="en-GB"/>
        </w:rPr>
        <w:t xml:space="preserve"> framework must include, </w:t>
      </w:r>
      <w:r w:rsidRPr="00705A6B">
        <w:rPr>
          <w:i/>
          <w:sz w:val="22"/>
          <w:szCs w:val="22"/>
          <w:lang w:val="en-GB"/>
        </w:rPr>
        <w:t>inter alia</w:t>
      </w:r>
      <w:r w:rsidRPr="00705A6B">
        <w:rPr>
          <w:sz w:val="22"/>
          <w:szCs w:val="22"/>
          <w:lang w:val="en-GB"/>
        </w:rPr>
        <w:t>:</w:t>
      </w:r>
    </w:p>
    <w:p w14:paraId="5863118C" w14:textId="77777777" w:rsidR="00AE6550" w:rsidRPr="00AE6550" w:rsidRDefault="00AE6550" w:rsidP="004B053A">
      <w:pPr>
        <w:numPr>
          <w:ilvl w:val="0"/>
          <w:numId w:val="17"/>
        </w:numPr>
        <w:jc w:val="both"/>
        <w:rPr>
          <w:sz w:val="22"/>
          <w:szCs w:val="22"/>
          <w:lang w:val="en-GB"/>
        </w:rPr>
      </w:pPr>
      <w:r w:rsidRPr="00AE6550">
        <w:rPr>
          <w:sz w:val="22"/>
          <w:szCs w:val="22"/>
          <w:lang w:val="en-GB"/>
        </w:rPr>
        <w:t xml:space="preserve">Sound science.  The use of sound science must be incorporated into policy-making processes and underpin decisions to foster ecological and economic soundness.  </w:t>
      </w:r>
    </w:p>
    <w:p w14:paraId="6BA51507" w14:textId="77777777" w:rsidR="00AE6550" w:rsidRPr="00AE6550" w:rsidRDefault="00AE6550" w:rsidP="004B053A">
      <w:pPr>
        <w:numPr>
          <w:ilvl w:val="0"/>
          <w:numId w:val="17"/>
        </w:numPr>
        <w:jc w:val="both"/>
        <w:rPr>
          <w:sz w:val="22"/>
          <w:szCs w:val="22"/>
          <w:lang w:val="en-GB"/>
        </w:rPr>
      </w:pPr>
      <w:r w:rsidRPr="00AE6550">
        <w:rPr>
          <w:sz w:val="22"/>
          <w:szCs w:val="22"/>
          <w:lang w:val="en-GB"/>
        </w:rPr>
        <w:t xml:space="preserve">Ecologically effective actions.  It is increasingly recognised that many laws, policies and actions are ineffective in terms of ecological improvements.  Ecological ineffectiveness also results in waste of scarce financial resources.  Ecologically effective actions must be based on sound science and not on perceptions. </w:t>
      </w:r>
    </w:p>
    <w:p w14:paraId="3724A055" w14:textId="77777777" w:rsidR="00AE6550" w:rsidRPr="00AE6550" w:rsidRDefault="00AE6550" w:rsidP="004B053A">
      <w:pPr>
        <w:numPr>
          <w:ilvl w:val="0"/>
          <w:numId w:val="17"/>
        </w:numPr>
        <w:jc w:val="both"/>
        <w:rPr>
          <w:sz w:val="22"/>
          <w:szCs w:val="22"/>
          <w:lang w:val="en-GB"/>
        </w:rPr>
      </w:pPr>
      <w:r w:rsidRPr="00AE6550">
        <w:rPr>
          <w:sz w:val="22"/>
          <w:szCs w:val="22"/>
          <w:lang w:val="en-GB"/>
        </w:rPr>
        <w:t>Cost effective actions.</w:t>
      </w:r>
    </w:p>
    <w:p w14:paraId="1327C136" w14:textId="77777777" w:rsidR="00AE6550" w:rsidRPr="00AE6550" w:rsidRDefault="00AE6550" w:rsidP="004B053A">
      <w:pPr>
        <w:numPr>
          <w:ilvl w:val="0"/>
          <w:numId w:val="17"/>
        </w:numPr>
        <w:jc w:val="both"/>
        <w:rPr>
          <w:sz w:val="22"/>
          <w:szCs w:val="22"/>
          <w:lang w:val="en-GB"/>
        </w:rPr>
      </w:pPr>
      <w:r w:rsidRPr="00AE6550">
        <w:rPr>
          <w:sz w:val="22"/>
          <w:szCs w:val="22"/>
          <w:lang w:val="en-GB"/>
        </w:rPr>
        <w:t xml:space="preserve">Economic valuation.  Economic valuation of environmental goods and services as a tool for sound development planning.  </w:t>
      </w:r>
    </w:p>
    <w:p w14:paraId="772BF068" w14:textId="77777777" w:rsidR="00AE6550" w:rsidRPr="00AE6550" w:rsidRDefault="00AE6550" w:rsidP="004B053A">
      <w:pPr>
        <w:numPr>
          <w:ilvl w:val="0"/>
          <w:numId w:val="16"/>
        </w:numPr>
        <w:jc w:val="both"/>
        <w:rPr>
          <w:sz w:val="22"/>
          <w:szCs w:val="22"/>
          <w:lang w:val="en-GB"/>
        </w:rPr>
      </w:pPr>
      <w:r w:rsidRPr="00AE6550">
        <w:rPr>
          <w:sz w:val="22"/>
          <w:szCs w:val="22"/>
          <w:lang w:val="en-GB"/>
        </w:rPr>
        <w:t xml:space="preserve">Knowledge-based decision-making.  This entails gathering all relevant information for the purpose of making effective decisions.  Studies indicate that working toward a consensual knowledge-base for decision-making purposes improves the effectiveness of decisions and it also improves cooperation.   </w:t>
      </w:r>
    </w:p>
    <w:p w14:paraId="6BB2C408" w14:textId="77777777" w:rsidR="00AE6550" w:rsidRPr="00AE6550" w:rsidRDefault="00AE6550" w:rsidP="004B053A">
      <w:pPr>
        <w:numPr>
          <w:ilvl w:val="0"/>
          <w:numId w:val="16"/>
        </w:numPr>
        <w:jc w:val="both"/>
        <w:rPr>
          <w:sz w:val="22"/>
          <w:szCs w:val="22"/>
          <w:lang w:val="en-GB"/>
        </w:rPr>
      </w:pPr>
      <w:r w:rsidRPr="00AE6550">
        <w:rPr>
          <w:sz w:val="22"/>
          <w:szCs w:val="22"/>
          <w:lang w:val="en-GB"/>
        </w:rPr>
        <w:t xml:space="preserve">Consensual knowledge-base.  Promoting and building a consensual knowledge base (a base of information that the parties agree is applicable) facilitates cooperation and decision-making processes.  This is particularly true where progress on regional cooperation is stalled or slowed due to complexities or uncertainty surrounding the issue. </w:t>
      </w:r>
    </w:p>
    <w:p w14:paraId="441769A8" w14:textId="77777777" w:rsidR="00AE6550" w:rsidRPr="00AE6550" w:rsidRDefault="00AE6550" w:rsidP="004B053A">
      <w:pPr>
        <w:numPr>
          <w:ilvl w:val="0"/>
          <w:numId w:val="16"/>
        </w:numPr>
        <w:jc w:val="both"/>
        <w:rPr>
          <w:sz w:val="22"/>
          <w:szCs w:val="22"/>
          <w:lang w:val="en-GB"/>
        </w:rPr>
      </w:pPr>
      <w:r w:rsidRPr="00AE6550">
        <w:rPr>
          <w:sz w:val="22"/>
          <w:szCs w:val="22"/>
          <w:lang w:val="en-GB"/>
        </w:rPr>
        <w:t xml:space="preserve">Communication.  The </w:t>
      </w:r>
      <w:r w:rsidR="003D0B90">
        <w:rPr>
          <w:sz w:val="22"/>
          <w:szCs w:val="22"/>
          <w:lang w:val="en-GB"/>
        </w:rPr>
        <w:t>need to strengthen</w:t>
      </w:r>
      <w:r w:rsidRPr="00AE6550">
        <w:rPr>
          <w:sz w:val="22"/>
          <w:szCs w:val="22"/>
          <w:lang w:val="en-GB"/>
        </w:rPr>
        <w:t xml:space="preserve"> effective vertical and horizontal communication has been identified as a serious impediment to effective cooperation.  </w:t>
      </w:r>
    </w:p>
    <w:p w14:paraId="513D2A85" w14:textId="77777777" w:rsidR="00AE6550" w:rsidRPr="00AE6550" w:rsidRDefault="00AE6550" w:rsidP="004B053A">
      <w:pPr>
        <w:numPr>
          <w:ilvl w:val="0"/>
          <w:numId w:val="16"/>
        </w:numPr>
        <w:jc w:val="both"/>
        <w:rPr>
          <w:sz w:val="22"/>
          <w:szCs w:val="22"/>
          <w:lang w:val="en-GB"/>
        </w:rPr>
      </w:pPr>
      <w:r w:rsidRPr="00AE6550">
        <w:rPr>
          <w:sz w:val="22"/>
          <w:szCs w:val="22"/>
          <w:lang w:val="en-GB"/>
        </w:rPr>
        <w:t xml:space="preserve">Periodic assessment and review and revision or instruments or actions as required.  Significant amounts of money and valuable resources are wasted due to the failure to assess or review laws, policies, mechanisms and measures to ensure they are effective or even implemented.  Where assessments indicate problems, it is imperative that revisions are undertaken. </w:t>
      </w:r>
    </w:p>
    <w:p w14:paraId="32951E03" w14:textId="77777777" w:rsidR="00AE6550" w:rsidRDefault="00AE6550" w:rsidP="004B053A">
      <w:pPr>
        <w:numPr>
          <w:ilvl w:val="0"/>
          <w:numId w:val="16"/>
        </w:numPr>
        <w:spacing w:after="120"/>
        <w:jc w:val="both"/>
        <w:rPr>
          <w:sz w:val="22"/>
          <w:szCs w:val="22"/>
          <w:lang w:val="en-GB"/>
        </w:rPr>
      </w:pPr>
      <w:r w:rsidRPr="00AE6550">
        <w:rPr>
          <w:sz w:val="22"/>
          <w:szCs w:val="22"/>
          <w:lang w:val="en-GB"/>
        </w:rPr>
        <w:t>Adaptive management.  This provides a flexible approach that allows for the inclusion of new information.</w:t>
      </w:r>
    </w:p>
    <w:p w14:paraId="1DAD2FEF" w14:textId="77777777" w:rsidR="00AE6550" w:rsidRDefault="00406643" w:rsidP="00406643">
      <w:pPr>
        <w:numPr>
          <w:ilvl w:val="2"/>
          <w:numId w:val="2"/>
        </w:numPr>
        <w:spacing w:after="120"/>
        <w:outlineLvl w:val="1"/>
        <w:rPr>
          <w:b/>
          <w:sz w:val="22"/>
          <w:szCs w:val="22"/>
          <w:lang w:val="en-GB"/>
        </w:rPr>
      </w:pPr>
      <w:r>
        <w:rPr>
          <w:b/>
          <w:sz w:val="22"/>
          <w:szCs w:val="22"/>
          <w:lang w:val="en-GB"/>
        </w:rPr>
        <w:t>From SAP Adoption to SAP Implementation</w:t>
      </w:r>
    </w:p>
    <w:p w14:paraId="1814AB4F" w14:textId="77777777" w:rsidR="00D11D8D" w:rsidRPr="00406643" w:rsidRDefault="00D11D8D" w:rsidP="00D11D8D">
      <w:pPr>
        <w:numPr>
          <w:ilvl w:val="3"/>
          <w:numId w:val="2"/>
        </w:numPr>
        <w:spacing w:after="120"/>
        <w:outlineLvl w:val="1"/>
        <w:rPr>
          <w:b/>
          <w:sz w:val="22"/>
          <w:szCs w:val="22"/>
          <w:lang w:val="en-GB"/>
        </w:rPr>
      </w:pPr>
      <w:r>
        <w:rPr>
          <w:b/>
          <w:sz w:val="22"/>
          <w:szCs w:val="22"/>
          <w:lang w:val="en-GB"/>
        </w:rPr>
        <w:t>Sustainability of SCS project outcomes</w:t>
      </w:r>
    </w:p>
    <w:p w14:paraId="6BFCB41D" w14:textId="77777777" w:rsidR="00AE6550" w:rsidRDefault="00D11D8D" w:rsidP="00D11D8D">
      <w:pPr>
        <w:numPr>
          <w:ilvl w:val="0"/>
          <w:numId w:val="3"/>
        </w:numPr>
        <w:spacing w:after="120"/>
        <w:ind w:left="0" w:firstLine="0"/>
        <w:jc w:val="both"/>
        <w:rPr>
          <w:sz w:val="22"/>
          <w:szCs w:val="22"/>
          <w:lang w:val="en-GB"/>
        </w:rPr>
      </w:pPr>
      <w:r w:rsidRPr="00D11D8D">
        <w:rPr>
          <w:sz w:val="22"/>
          <w:szCs w:val="22"/>
          <w:lang w:val="en-GB"/>
        </w:rPr>
        <w:t xml:space="preserve">One measure of success of a project is the extent to which benefits realized during project execution are sustained following its closure. In this regard, the </w:t>
      </w:r>
      <w:r w:rsidR="007770F4">
        <w:rPr>
          <w:sz w:val="22"/>
          <w:szCs w:val="22"/>
          <w:lang w:val="en-GB"/>
        </w:rPr>
        <w:t>SCS</w:t>
      </w:r>
      <w:r w:rsidRPr="00D11D8D">
        <w:rPr>
          <w:sz w:val="22"/>
          <w:szCs w:val="22"/>
          <w:lang w:val="en-GB"/>
        </w:rPr>
        <w:t xml:space="preserve"> project must rank fairly highly in that management action initiated at the demonstration sites has continued at nearly all of them. Of particular note is the outcome of the joint demonstration site operated by Kampot Province in Cambodia and by Kien Giang Province in Viet Nam. At the time that the Project Steering Committee approved the demonstration sites, both Viet Nam and Cambodia requested the PCU to assist in establishing the programme of</w:t>
      </w:r>
      <w:r>
        <w:rPr>
          <w:sz w:val="22"/>
          <w:szCs w:val="22"/>
          <w:lang w:val="en-GB"/>
        </w:rPr>
        <w:t xml:space="preserve"> </w:t>
      </w:r>
      <w:r w:rsidRPr="00D11D8D">
        <w:rPr>
          <w:sz w:val="22"/>
          <w:szCs w:val="22"/>
          <w:lang w:val="en-GB"/>
        </w:rPr>
        <w:t>work and promoting collaboration.</w:t>
      </w:r>
    </w:p>
    <w:p w14:paraId="5896A223" w14:textId="77777777" w:rsidR="00D11D8D" w:rsidRDefault="00D11D8D" w:rsidP="00D11D8D">
      <w:pPr>
        <w:numPr>
          <w:ilvl w:val="0"/>
          <w:numId w:val="3"/>
        </w:numPr>
        <w:spacing w:after="120"/>
        <w:ind w:left="0" w:firstLine="0"/>
        <w:jc w:val="both"/>
        <w:rPr>
          <w:sz w:val="22"/>
          <w:szCs w:val="22"/>
        </w:rPr>
      </w:pPr>
      <w:r w:rsidRPr="00F64043">
        <w:rPr>
          <w:sz w:val="22"/>
          <w:szCs w:val="22"/>
        </w:rPr>
        <w:t xml:space="preserve">During the project, a series of joint </w:t>
      </w:r>
      <w:r>
        <w:rPr>
          <w:sz w:val="22"/>
          <w:szCs w:val="22"/>
        </w:rPr>
        <w:t xml:space="preserve">meetings attended by provincial </w:t>
      </w:r>
      <w:r w:rsidRPr="00F64043">
        <w:rPr>
          <w:sz w:val="22"/>
          <w:szCs w:val="22"/>
        </w:rPr>
        <w:t>g</w:t>
      </w:r>
      <w:r>
        <w:rPr>
          <w:sz w:val="22"/>
          <w:szCs w:val="22"/>
        </w:rPr>
        <w:t xml:space="preserve">overnment officials, scientists </w:t>
      </w:r>
      <w:r w:rsidRPr="00F64043">
        <w:rPr>
          <w:sz w:val="22"/>
          <w:szCs w:val="22"/>
        </w:rPr>
        <w:t>a</w:t>
      </w:r>
      <w:r>
        <w:rPr>
          <w:sz w:val="22"/>
          <w:szCs w:val="22"/>
        </w:rPr>
        <w:t xml:space="preserve">nd managers from both countries </w:t>
      </w:r>
      <w:r w:rsidRPr="00F64043">
        <w:rPr>
          <w:sz w:val="22"/>
          <w:szCs w:val="22"/>
        </w:rPr>
        <w:t>were convened under the auspices of the P</w:t>
      </w:r>
      <w:r>
        <w:rPr>
          <w:sz w:val="22"/>
          <w:szCs w:val="22"/>
        </w:rPr>
        <w:t xml:space="preserve">CU. These culminated in </w:t>
      </w:r>
      <w:r w:rsidRPr="00F64043">
        <w:rPr>
          <w:sz w:val="22"/>
          <w:szCs w:val="22"/>
        </w:rPr>
        <w:t>the signing of a joint memo</w:t>
      </w:r>
      <w:r>
        <w:rPr>
          <w:sz w:val="22"/>
          <w:szCs w:val="22"/>
        </w:rPr>
        <w:t xml:space="preserve">randum of agreement between the </w:t>
      </w:r>
      <w:r w:rsidRPr="00F64043">
        <w:rPr>
          <w:sz w:val="22"/>
          <w:szCs w:val="22"/>
        </w:rPr>
        <w:t>Deputy Governors of both province</w:t>
      </w:r>
      <w:r>
        <w:rPr>
          <w:sz w:val="22"/>
          <w:szCs w:val="22"/>
        </w:rPr>
        <w:t xml:space="preserve">s that encompassed an agreement </w:t>
      </w:r>
      <w:r w:rsidRPr="00F64043">
        <w:rPr>
          <w:sz w:val="22"/>
          <w:szCs w:val="22"/>
        </w:rPr>
        <w:t>on the regulation of cross b</w:t>
      </w:r>
      <w:r>
        <w:rPr>
          <w:sz w:val="22"/>
          <w:szCs w:val="22"/>
        </w:rPr>
        <w:t xml:space="preserve">order trade in marine products, </w:t>
      </w:r>
      <w:r w:rsidRPr="00F64043">
        <w:rPr>
          <w:sz w:val="22"/>
          <w:szCs w:val="22"/>
        </w:rPr>
        <w:t>joint programmes of action and the mechanisms fo</w:t>
      </w:r>
      <w:r>
        <w:rPr>
          <w:sz w:val="22"/>
          <w:szCs w:val="22"/>
        </w:rPr>
        <w:t xml:space="preserve">r funding them. </w:t>
      </w:r>
      <w:r w:rsidRPr="00F64043">
        <w:rPr>
          <w:sz w:val="22"/>
          <w:szCs w:val="22"/>
        </w:rPr>
        <w:t>Fo</w:t>
      </w:r>
      <w:r>
        <w:rPr>
          <w:sz w:val="22"/>
          <w:szCs w:val="22"/>
        </w:rPr>
        <w:t xml:space="preserve">llowing closure of the project, </w:t>
      </w:r>
      <w:r w:rsidRPr="00F64043">
        <w:rPr>
          <w:sz w:val="22"/>
          <w:szCs w:val="22"/>
        </w:rPr>
        <w:t>annual</w:t>
      </w:r>
      <w:r>
        <w:rPr>
          <w:sz w:val="22"/>
          <w:szCs w:val="22"/>
        </w:rPr>
        <w:t xml:space="preserve"> meetings between these two </w:t>
      </w:r>
      <w:r w:rsidRPr="00F64043">
        <w:rPr>
          <w:sz w:val="22"/>
          <w:szCs w:val="22"/>
        </w:rPr>
        <w:t>provincial governments have cont</w:t>
      </w:r>
      <w:r>
        <w:rPr>
          <w:sz w:val="22"/>
          <w:szCs w:val="22"/>
        </w:rPr>
        <w:t xml:space="preserve">inued and the agreement has now </w:t>
      </w:r>
      <w:r w:rsidRPr="00F64043">
        <w:rPr>
          <w:sz w:val="22"/>
          <w:szCs w:val="22"/>
        </w:rPr>
        <w:t>been endorsed by the central governments of both countries.</w:t>
      </w:r>
    </w:p>
    <w:p w14:paraId="25D6FE3F" w14:textId="77777777" w:rsidR="00D11D8D" w:rsidRDefault="00D11D8D" w:rsidP="00D11D8D">
      <w:pPr>
        <w:numPr>
          <w:ilvl w:val="0"/>
          <w:numId w:val="3"/>
        </w:numPr>
        <w:spacing w:after="120"/>
        <w:ind w:left="0" w:firstLine="0"/>
        <w:jc w:val="both"/>
        <w:rPr>
          <w:sz w:val="22"/>
          <w:szCs w:val="22"/>
        </w:rPr>
      </w:pPr>
      <w:r w:rsidRPr="00F64043">
        <w:rPr>
          <w:sz w:val="22"/>
          <w:szCs w:val="22"/>
        </w:rPr>
        <w:t xml:space="preserve">The procedures used in the selection of demonstration sites </w:t>
      </w:r>
      <w:r>
        <w:rPr>
          <w:sz w:val="22"/>
          <w:szCs w:val="22"/>
        </w:rPr>
        <w:t xml:space="preserve">for </w:t>
      </w:r>
      <w:r w:rsidRPr="00F64043">
        <w:rPr>
          <w:sz w:val="22"/>
          <w:szCs w:val="22"/>
        </w:rPr>
        <w:t>th</w:t>
      </w:r>
      <w:r>
        <w:rPr>
          <w:sz w:val="22"/>
          <w:szCs w:val="22"/>
        </w:rPr>
        <w:t xml:space="preserve">e project have been used at the </w:t>
      </w:r>
      <w:r w:rsidRPr="00F64043">
        <w:rPr>
          <w:sz w:val="22"/>
          <w:szCs w:val="22"/>
        </w:rPr>
        <w:t>nat</w:t>
      </w:r>
      <w:r>
        <w:rPr>
          <w:sz w:val="22"/>
          <w:szCs w:val="22"/>
        </w:rPr>
        <w:t xml:space="preserve">ional level in Viet Nam and the </w:t>
      </w:r>
      <w:r w:rsidRPr="00F64043">
        <w:rPr>
          <w:sz w:val="22"/>
          <w:szCs w:val="22"/>
        </w:rPr>
        <w:t>Philippines in prioritising s</w:t>
      </w:r>
      <w:r>
        <w:rPr>
          <w:sz w:val="22"/>
          <w:szCs w:val="22"/>
        </w:rPr>
        <w:t xml:space="preserve">ites for national intervention. Furthermore, </w:t>
      </w:r>
      <w:r w:rsidRPr="00F64043">
        <w:rPr>
          <w:sz w:val="22"/>
          <w:szCs w:val="22"/>
        </w:rPr>
        <w:t>the management board establi</w:t>
      </w:r>
      <w:r>
        <w:rPr>
          <w:sz w:val="22"/>
          <w:szCs w:val="22"/>
        </w:rPr>
        <w:t xml:space="preserve">shed for the Hepu seagrass site in China has been accepted </w:t>
      </w:r>
      <w:r w:rsidRPr="00F64043">
        <w:rPr>
          <w:sz w:val="22"/>
          <w:szCs w:val="22"/>
        </w:rPr>
        <w:t>by the local governmen</w:t>
      </w:r>
      <w:r>
        <w:rPr>
          <w:sz w:val="22"/>
          <w:szCs w:val="22"/>
        </w:rPr>
        <w:t xml:space="preserve">t as a model for </w:t>
      </w:r>
      <w:r w:rsidRPr="00F64043">
        <w:rPr>
          <w:sz w:val="22"/>
          <w:szCs w:val="22"/>
        </w:rPr>
        <w:t>future management of various area</w:t>
      </w:r>
      <w:r>
        <w:rPr>
          <w:sz w:val="22"/>
          <w:szCs w:val="22"/>
        </w:rPr>
        <w:t xml:space="preserve">s of conservation interest. The </w:t>
      </w:r>
      <w:r w:rsidRPr="00F64043">
        <w:rPr>
          <w:sz w:val="22"/>
          <w:szCs w:val="22"/>
        </w:rPr>
        <w:t>active involvement of provinci</w:t>
      </w:r>
      <w:r>
        <w:rPr>
          <w:sz w:val="22"/>
          <w:szCs w:val="22"/>
        </w:rPr>
        <w:t xml:space="preserve">al and local governments in the </w:t>
      </w:r>
      <w:r w:rsidRPr="00F64043">
        <w:rPr>
          <w:sz w:val="22"/>
          <w:szCs w:val="22"/>
        </w:rPr>
        <w:t>demonstration site activi</w:t>
      </w:r>
      <w:r>
        <w:rPr>
          <w:sz w:val="22"/>
          <w:szCs w:val="22"/>
        </w:rPr>
        <w:t xml:space="preserve">ties at Hepu and Fangchenggang, </w:t>
      </w:r>
      <w:r w:rsidRPr="00F64043">
        <w:rPr>
          <w:sz w:val="22"/>
          <w:szCs w:val="22"/>
        </w:rPr>
        <w:t>including their initial designation as provincial conse</w:t>
      </w:r>
      <w:r>
        <w:rPr>
          <w:sz w:val="22"/>
          <w:szCs w:val="22"/>
        </w:rPr>
        <w:t xml:space="preserve">rvation areas </w:t>
      </w:r>
      <w:r w:rsidRPr="00F64043">
        <w:rPr>
          <w:sz w:val="22"/>
          <w:szCs w:val="22"/>
        </w:rPr>
        <w:t>has resulted, ultimately, in t</w:t>
      </w:r>
      <w:r>
        <w:rPr>
          <w:sz w:val="22"/>
          <w:szCs w:val="22"/>
        </w:rPr>
        <w:t xml:space="preserve">heir being accepted as national </w:t>
      </w:r>
      <w:r w:rsidRPr="00F64043">
        <w:rPr>
          <w:sz w:val="22"/>
          <w:szCs w:val="22"/>
        </w:rPr>
        <w:t>mangrove a</w:t>
      </w:r>
      <w:r>
        <w:rPr>
          <w:sz w:val="22"/>
          <w:szCs w:val="22"/>
        </w:rPr>
        <w:t xml:space="preserve">nd seagrass reserves. In China, such a designation </w:t>
      </w:r>
      <w:r w:rsidRPr="00F64043">
        <w:rPr>
          <w:sz w:val="22"/>
          <w:szCs w:val="22"/>
        </w:rPr>
        <w:t>automatically means that central</w:t>
      </w:r>
      <w:r>
        <w:rPr>
          <w:sz w:val="22"/>
          <w:szCs w:val="22"/>
        </w:rPr>
        <w:t xml:space="preserve"> government funds are allocated </w:t>
      </w:r>
      <w:r w:rsidRPr="00F64043">
        <w:rPr>
          <w:sz w:val="22"/>
          <w:szCs w:val="22"/>
        </w:rPr>
        <w:t xml:space="preserve">for the management of these areas. </w:t>
      </w:r>
      <w:r>
        <w:rPr>
          <w:sz w:val="22"/>
          <w:szCs w:val="22"/>
        </w:rPr>
        <w:t xml:space="preserve">In both cases, the construction </w:t>
      </w:r>
      <w:r w:rsidRPr="00F64043">
        <w:rPr>
          <w:sz w:val="22"/>
          <w:szCs w:val="22"/>
        </w:rPr>
        <w:t xml:space="preserve">of ‘learning centres’ funded by the </w:t>
      </w:r>
      <w:r>
        <w:rPr>
          <w:sz w:val="22"/>
          <w:szCs w:val="22"/>
        </w:rPr>
        <w:t xml:space="preserve">provincial government has meant </w:t>
      </w:r>
      <w:r w:rsidRPr="00F64043">
        <w:rPr>
          <w:sz w:val="22"/>
          <w:szCs w:val="22"/>
        </w:rPr>
        <w:t>that information on the ecology and</w:t>
      </w:r>
      <w:r>
        <w:rPr>
          <w:sz w:val="22"/>
          <w:szCs w:val="22"/>
        </w:rPr>
        <w:t xml:space="preserve"> significance of these critical </w:t>
      </w:r>
      <w:r w:rsidRPr="00F64043">
        <w:rPr>
          <w:sz w:val="22"/>
          <w:szCs w:val="22"/>
        </w:rPr>
        <w:t>habitats has been made widely available to the local s</w:t>
      </w:r>
      <w:r>
        <w:rPr>
          <w:sz w:val="22"/>
          <w:szCs w:val="22"/>
        </w:rPr>
        <w:t xml:space="preserve">chool children </w:t>
      </w:r>
      <w:r w:rsidRPr="00F64043">
        <w:rPr>
          <w:sz w:val="22"/>
          <w:szCs w:val="22"/>
        </w:rPr>
        <w:t>and civil society at large. Both le</w:t>
      </w:r>
      <w:r>
        <w:rPr>
          <w:sz w:val="22"/>
          <w:szCs w:val="22"/>
        </w:rPr>
        <w:t xml:space="preserve">arning centres are supported by </w:t>
      </w:r>
      <w:r w:rsidRPr="00F64043">
        <w:rPr>
          <w:sz w:val="22"/>
          <w:szCs w:val="22"/>
        </w:rPr>
        <w:t>institutions actively engaged in</w:t>
      </w:r>
      <w:r>
        <w:rPr>
          <w:sz w:val="22"/>
          <w:szCs w:val="22"/>
        </w:rPr>
        <w:t xml:space="preserve"> mangrove and seagrass research </w:t>
      </w:r>
      <w:r w:rsidRPr="00F64043">
        <w:rPr>
          <w:sz w:val="22"/>
          <w:szCs w:val="22"/>
        </w:rPr>
        <w:t xml:space="preserve">and management. A number of </w:t>
      </w:r>
      <w:r>
        <w:rPr>
          <w:sz w:val="22"/>
          <w:szCs w:val="22"/>
        </w:rPr>
        <w:t xml:space="preserve">the other projects included the </w:t>
      </w:r>
      <w:r w:rsidRPr="00F64043">
        <w:rPr>
          <w:sz w:val="22"/>
          <w:szCs w:val="22"/>
        </w:rPr>
        <w:t>generation of public awareness and education mater</w:t>
      </w:r>
      <w:r>
        <w:rPr>
          <w:sz w:val="22"/>
          <w:szCs w:val="22"/>
        </w:rPr>
        <w:t xml:space="preserve">ials amongst </w:t>
      </w:r>
      <w:r w:rsidRPr="00F64043">
        <w:rPr>
          <w:sz w:val="22"/>
          <w:szCs w:val="22"/>
        </w:rPr>
        <w:t>their activities. The coral reef site at</w:t>
      </w:r>
      <w:r>
        <w:rPr>
          <w:sz w:val="22"/>
          <w:szCs w:val="22"/>
        </w:rPr>
        <w:t xml:space="preserve"> Belitung, Indonesia, generated </w:t>
      </w:r>
      <w:r w:rsidRPr="00F64043">
        <w:rPr>
          <w:sz w:val="22"/>
          <w:szCs w:val="22"/>
        </w:rPr>
        <w:t>materials on coral reef ecology th</w:t>
      </w:r>
      <w:r>
        <w:rPr>
          <w:sz w:val="22"/>
          <w:szCs w:val="22"/>
        </w:rPr>
        <w:t xml:space="preserve">at were ultimately incorporated </w:t>
      </w:r>
      <w:r w:rsidRPr="00F64043">
        <w:rPr>
          <w:sz w:val="22"/>
          <w:szCs w:val="22"/>
        </w:rPr>
        <w:t>into the school curriculum at the provincial level.</w:t>
      </w:r>
    </w:p>
    <w:p w14:paraId="43E46F15" w14:textId="77777777" w:rsidR="00D11D8D" w:rsidRDefault="00D11D8D" w:rsidP="00D11D8D">
      <w:pPr>
        <w:numPr>
          <w:ilvl w:val="0"/>
          <w:numId w:val="3"/>
        </w:numPr>
        <w:spacing w:after="120"/>
        <w:ind w:left="0" w:firstLine="0"/>
        <w:jc w:val="both"/>
        <w:rPr>
          <w:sz w:val="22"/>
          <w:szCs w:val="22"/>
        </w:rPr>
      </w:pPr>
      <w:r w:rsidRPr="00F64043">
        <w:rPr>
          <w:sz w:val="22"/>
          <w:szCs w:val="22"/>
        </w:rPr>
        <w:t xml:space="preserve">At a more </w:t>
      </w:r>
      <w:r w:rsidR="003D0B90">
        <w:rPr>
          <w:sz w:val="22"/>
          <w:szCs w:val="22"/>
        </w:rPr>
        <w:t>operational</w:t>
      </w:r>
      <w:r w:rsidR="003D0B90" w:rsidRPr="00F64043">
        <w:rPr>
          <w:sz w:val="22"/>
          <w:szCs w:val="22"/>
        </w:rPr>
        <w:t xml:space="preserve"> </w:t>
      </w:r>
      <w:r w:rsidRPr="00F64043">
        <w:rPr>
          <w:sz w:val="22"/>
          <w:szCs w:val="22"/>
        </w:rPr>
        <w:t>level, many of the activities at the demonstration</w:t>
      </w:r>
      <w:r>
        <w:rPr>
          <w:sz w:val="22"/>
          <w:szCs w:val="22"/>
        </w:rPr>
        <w:t xml:space="preserve"> </w:t>
      </w:r>
      <w:r w:rsidRPr="00F64043">
        <w:rPr>
          <w:sz w:val="22"/>
          <w:szCs w:val="22"/>
        </w:rPr>
        <w:t>sites have been continued by the local communities partly</w:t>
      </w:r>
      <w:r>
        <w:rPr>
          <w:sz w:val="22"/>
          <w:szCs w:val="22"/>
        </w:rPr>
        <w:t xml:space="preserve"> </w:t>
      </w:r>
      <w:r w:rsidRPr="00F64043">
        <w:rPr>
          <w:sz w:val="22"/>
          <w:szCs w:val="22"/>
        </w:rPr>
        <w:t>because they have resulted in increased income whilst at the same</w:t>
      </w:r>
      <w:r>
        <w:rPr>
          <w:sz w:val="22"/>
          <w:szCs w:val="22"/>
        </w:rPr>
        <w:t xml:space="preserve"> </w:t>
      </w:r>
      <w:r w:rsidRPr="00F64043">
        <w:rPr>
          <w:sz w:val="22"/>
          <w:szCs w:val="22"/>
        </w:rPr>
        <w:t>time providing environmental benefits. The use of coconut shells in</w:t>
      </w:r>
      <w:r>
        <w:rPr>
          <w:sz w:val="22"/>
          <w:szCs w:val="22"/>
        </w:rPr>
        <w:t xml:space="preserve"> </w:t>
      </w:r>
      <w:r w:rsidRPr="00F64043">
        <w:rPr>
          <w:sz w:val="22"/>
          <w:szCs w:val="22"/>
        </w:rPr>
        <w:t>Batu Ampur,</w:t>
      </w:r>
      <w:r>
        <w:rPr>
          <w:sz w:val="22"/>
          <w:szCs w:val="22"/>
        </w:rPr>
        <w:t xml:space="preserve"> </w:t>
      </w:r>
      <w:r w:rsidRPr="00F64043">
        <w:rPr>
          <w:sz w:val="22"/>
          <w:szCs w:val="22"/>
        </w:rPr>
        <w:t>West Kalimantan, for the manufacture of charcoal as a</w:t>
      </w:r>
      <w:r>
        <w:rPr>
          <w:sz w:val="22"/>
          <w:szCs w:val="22"/>
        </w:rPr>
        <w:t xml:space="preserve"> </w:t>
      </w:r>
      <w:r w:rsidRPr="00F64043">
        <w:rPr>
          <w:sz w:val="22"/>
          <w:szCs w:val="22"/>
        </w:rPr>
        <w:t>substitute for mangrove wood has resulted in a thriving local trade</w:t>
      </w:r>
      <w:r>
        <w:rPr>
          <w:sz w:val="22"/>
          <w:szCs w:val="22"/>
        </w:rPr>
        <w:t xml:space="preserve"> </w:t>
      </w:r>
      <w:r w:rsidRPr="00F64043">
        <w:rPr>
          <w:sz w:val="22"/>
          <w:szCs w:val="22"/>
        </w:rPr>
        <w:t>in coconut charcoal outside the area of production. The involvement</w:t>
      </w:r>
      <w:r>
        <w:rPr>
          <w:sz w:val="22"/>
          <w:szCs w:val="22"/>
        </w:rPr>
        <w:t xml:space="preserve"> </w:t>
      </w:r>
      <w:r w:rsidRPr="00F64043">
        <w:rPr>
          <w:sz w:val="22"/>
          <w:szCs w:val="22"/>
        </w:rPr>
        <w:t>of the Provincial Government fostered the establishment of a</w:t>
      </w:r>
      <w:r>
        <w:rPr>
          <w:sz w:val="22"/>
          <w:szCs w:val="22"/>
        </w:rPr>
        <w:t xml:space="preserve"> </w:t>
      </w:r>
      <w:r w:rsidRPr="005B7F22">
        <w:rPr>
          <w:sz w:val="22"/>
          <w:szCs w:val="22"/>
        </w:rPr>
        <w:t>factory to produce charcoal briq</w:t>
      </w:r>
      <w:r>
        <w:rPr>
          <w:sz w:val="22"/>
          <w:szCs w:val="22"/>
        </w:rPr>
        <w:t xml:space="preserve">uettes that are now exported to </w:t>
      </w:r>
      <w:r w:rsidRPr="005B7F22">
        <w:rPr>
          <w:sz w:val="22"/>
          <w:szCs w:val="22"/>
        </w:rPr>
        <w:t>Singapore and Malaysia. This has</w:t>
      </w:r>
      <w:r>
        <w:rPr>
          <w:sz w:val="22"/>
          <w:szCs w:val="22"/>
        </w:rPr>
        <w:t xml:space="preserve"> generated increased income for </w:t>
      </w:r>
      <w:r w:rsidRPr="005B7F22">
        <w:rPr>
          <w:sz w:val="22"/>
          <w:szCs w:val="22"/>
        </w:rPr>
        <w:t>the mangrove dependent communities within the project area. In</w:t>
      </w:r>
      <w:r>
        <w:rPr>
          <w:sz w:val="22"/>
          <w:szCs w:val="22"/>
        </w:rPr>
        <w:t xml:space="preserve"> </w:t>
      </w:r>
      <w:r w:rsidRPr="005B7F22">
        <w:rPr>
          <w:sz w:val="22"/>
          <w:szCs w:val="22"/>
        </w:rPr>
        <w:t xml:space="preserve">Batam, the project designed to address solid waste disposal </w:t>
      </w:r>
      <w:r>
        <w:rPr>
          <w:sz w:val="22"/>
          <w:szCs w:val="22"/>
        </w:rPr>
        <w:t xml:space="preserve">in ‘stilt’ </w:t>
      </w:r>
      <w:r w:rsidRPr="005B7F22">
        <w:rPr>
          <w:sz w:val="22"/>
          <w:szCs w:val="22"/>
        </w:rPr>
        <w:t>villages has also provided a source of in</w:t>
      </w:r>
      <w:r>
        <w:rPr>
          <w:sz w:val="22"/>
          <w:szCs w:val="22"/>
        </w:rPr>
        <w:t xml:space="preserve">come in terms of the generation </w:t>
      </w:r>
      <w:r w:rsidRPr="005B7F22">
        <w:rPr>
          <w:sz w:val="22"/>
          <w:szCs w:val="22"/>
        </w:rPr>
        <w:t>of organic compost from h</w:t>
      </w:r>
      <w:r>
        <w:rPr>
          <w:sz w:val="22"/>
          <w:szCs w:val="22"/>
        </w:rPr>
        <w:t xml:space="preserve">ousehold wastes that is sold to </w:t>
      </w:r>
      <w:r w:rsidRPr="005B7F22">
        <w:rPr>
          <w:sz w:val="22"/>
          <w:szCs w:val="22"/>
        </w:rPr>
        <w:t>provide income to the women of</w:t>
      </w:r>
      <w:r>
        <w:rPr>
          <w:sz w:val="22"/>
          <w:szCs w:val="22"/>
        </w:rPr>
        <w:t xml:space="preserve"> the fishing community in which </w:t>
      </w:r>
      <w:r w:rsidRPr="005B7F22">
        <w:rPr>
          <w:sz w:val="22"/>
          <w:szCs w:val="22"/>
        </w:rPr>
        <w:t>the project was developed. In Fanchenggang, China, th</w:t>
      </w:r>
      <w:r>
        <w:rPr>
          <w:sz w:val="22"/>
          <w:szCs w:val="22"/>
        </w:rPr>
        <w:t xml:space="preserve">e project </w:t>
      </w:r>
      <w:r w:rsidRPr="005B7F22">
        <w:rPr>
          <w:sz w:val="22"/>
          <w:szCs w:val="22"/>
        </w:rPr>
        <w:t>supported a small activity to trial</w:t>
      </w:r>
      <w:r>
        <w:rPr>
          <w:sz w:val="22"/>
          <w:szCs w:val="22"/>
        </w:rPr>
        <w:t xml:space="preserve"> eco-farming in mangrove areas, </w:t>
      </w:r>
      <w:r w:rsidRPr="005B7F22">
        <w:rPr>
          <w:sz w:val="22"/>
          <w:szCs w:val="22"/>
        </w:rPr>
        <w:t>the idea being to develop a non-d</w:t>
      </w:r>
      <w:r>
        <w:rPr>
          <w:sz w:val="22"/>
          <w:szCs w:val="22"/>
        </w:rPr>
        <w:t xml:space="preserve">estructive, non-invasive way of </w:t>
      </w:r>
      <w:r w:rsidRPr="005B7F22">
        <w:rPr>
          <w:sz w:val="22"/>
          <w:szCs w:val="22"/>
        </w:rPr>
        <w:t>increasing the value of annual product</w:t>
      </w:r>
      <w:r>
        <w:rPr>
          <w:sz w:val="22"/>
          <w:szCs w:val="22"/>
        </w:rPr>
        <w:t xml:space="preserve">ion. The initial success of the </w:t>
      </w:r>
      <w:r w:rsidRPr="005B7F22">
        <w:rPr>
          <w:sz w:val="22"/>
          <w:szCs w:val="22"/>
        </w:rPr>
        <w:t>t</w:t>
      </w:r>
      <w:r>
        <w:rPr>
          <w:sz w:val="22"/>
          <w:szCs w:val="22"/>
        </w:rPr>
        <w:t xml:space="preserve">rials led to further investment </w:t>
      </w:r>
      <w:r w:rsidRPr="005B7F22">
        <w:rPr>
          <w:sz w:val="22"/>
          <w:szCs w:val="22"/>
        </w:rPr>
        <w:t>and extensi</w:t>
      </w:r>
      <w:r>
        <w:rPr>
          <w:sz w:val="22"/>
          <w:szCs w:val="22"/>
        </w:rPr>
        <w:t xml:space="preserve">on of the techniques as </w:t>
      </w:r>
      <w:r w:rsidRPr="005B7F22">
        <w:rPr>
          <w:sz w:val="22"/>
          <w:szCs w:val="22"/>
        </w:rPr>
        <w:t xml:space="preserve">reported in Fan </w:t>
      </w:r>
      <w:r w:rsidRPr="00866151">
        <w:rPr>
          <w:i/>
          <w:sz w:val="22"/>
          <w:szCs w:val="22"/>
        </w:rPr>
        <w:t>et al</w:t>
      </w:r>
      <w:r w:rsidRPr="005B7F22">
        <w:rPr>
          <w:sz w:val="22"/>
          <w:szCs w:val="22"/>
        </w:rPr>
        <w:t>., (2013).</w:t>
      </w:r>
    </w:p>
    <w:p w14:paraId="2D865B50" w14:textId="77777777" w:rsidR="00D11D8D" w:rsidRPr="00275DB8" w:rsidRDefault="00D11D8D" w:rsidP="00D11D8D">
      <w:pPr>
        <w:numPr>
          <w:ilvl w:val="0"/>
          <w:numId w:val="3"/>
        </w:numPr>
        <w:spacing w:after="120"/>
        <w:ind w:left="0" w:firstLine="0"/>
        <w:jc w:val="both"/>
        <w:rPr>
          <w:sz w:val="22"/>
          <w:szCs w:val="22"/>
          <w:lang w:val="en-GB"/>
        </w:rPr>
      </w:pPr>
      <w:r w:rsidRPr="005B7F22">
        <w:rPr>
          <w:sz w:val="22"/>
          <w:szCs w:val="22"/>
        </w:rPr>
        <w:t>The manner in which the fisherie</w:t>
      </w:r>
      <w:r>
        <w:rPr>
          <w:sz w:val="22"/>
          <w:szCs w:val="22"/>
        </w:rPr>
        <w:t xml:space="preserve">s refugia approach to improving </w:t>
      </w:r>
      <w:r w:rsidRPr="005B7F22">
        <w:rPr>
          <w:sz w:val="22"/>
          <w:szCs w:val="22"/>
        </w:rPr>
        <w:t>fisheries conservation and production</w:t>
      </w:r>
      <w:r>
        <w:rPr>
          <w:sz w:val="22"/>
          <w:szCs w:val="22"/>
        </w:rPr>
        <w:t xml:space="preserve"> was enthusiastically adopted </w:t>
      </w:r>
      <w:r w:rsidRPr="005B7F22">
        <w:rPr>
          <w:sz w:val="22"/>
          <w:szCs w:val="22"/>
        </w:rPr>
        <w:t>by local communities in the G</w:t>
      </w:r>
      <w:r>
        <w:rPr>
          <w:sz w:val="22"/>
          <w:szCs w:val="22"/>
        </w:rPr>
        <w:t xml:space="preserve">ulf of Thailand has resulted in the </w:t>
      </w:r>
      <w:r w:rsidRPr="005B7F22">
        <w:rPr>
          <w:sz w:val="22"/>
          <w:szCs w:val="22"/>
        </w:rPr>
        <w:t>wider adoption of the concept in othe</w:t>
      </w:r>
      <w:r>
        <w:rPr>
          <w:sz w:val="22"/>
          <w:szCs w:val="22"/>
        </w:rPr>
        <w:t xml:space="preserve">r areas of the South China Sea, </w:t>
      </w:r>
      <w:r w:rsidRPr="005B7F22">
        <w:rPr>
          <w:sz w:val="22"/>
          <w:szCs w:val="22"/>
        </w:rPr>
        <w:t>and in other areas of the Philippines outside the region.</w:t>
      </w:r>
      <w:r>
        <w:rPr>
          <w:sz w:val="22"/>
          <w:szCs w:val="22"/>
        </w:rPr>
        <w:t xml:space="preserve"> The endorsement of a full-sized UNEP/GEF International Waters project to operationalize a regional a system of fisheries refugia</w:t>
      </w:r>
      <w:r w:rsidR="00DF5A84">
        <w:rPr>
          <w:sz w:val="22"/>
          <w:szCs w:val="22"/>
        </w:rPr>
        <w:t>, and the Southeast Asian Fisheries Development Center’s efforts in partnership with the Ministries responsible for fisheries,</w:t>
      </w:r>
      <w:r>
        <w:rPr>
          <w:sz w:val="22"/>
          <w:szCs w:val="22"/>
        </w:rPr>
        <w:t xml:space="preserve"> is further evidence of support</w:t>
      </w:r>
      <w:r w:rsidR="007770F4">
        <w:rPr>
          <w:sz w:val="22"/>
          <w:szCs w:val="22"/>
        </w:rPr>
        <w:t xml:space="preserve"> to this approach</w:t>
      </w:r>
      <w:r w:rsidR="00275DB8">
        <w:rPr>
          <w:sz w:val="22"/>
          <w:szCs w:val="22"/>
        </w:rPr>
        <w:t>.</w:t>
      </w:r>
    </w:p>
    <w:p w14:paraId="1669C802" w14:textId="77777777" w:rsidR="00275DB8" w:rsidRPr="00275DB8" w:rsidRDefault="00275DB8" w:rsidP="00275DB8">
      <w:pPr>
        <w:numPr>
          <w:ilvl w:val="3"/>
          <w:numId w:val="2"/>
        </w:numPr>
        <w:spacing w:after="120"/>
        <w:outlineLvl w:val="1"/>
        <w:rPr>
          <w:b/>
          <w:sz w:val="22"/>
          <w:szCs w:val="22"/>
          <w:lang w:val="en-GB"/>
        </w:rPr>
      </w:pPr>
      <w:r>
        <w:rPr>
          <w:b/>
          <w:sz w:val="22"/>
          <w:szCs w:val="22"/>
          <w:lang w:val="en-GB"/>
        </w:rPr>
        <w:t>Development of a GEF-financed SAP implementation project</w:t>
      </w:r>
    </w:p>
    <w:p w14:paraId="732AB430" w14:textId="77777777" w:rsidR="00275DB8" w:rsidRDefault="00275DB8" w:rsidP="00275DB8">
      <w:pPr>
        <w:numPr>
          <w:ilvl w:val="0"/>
          <w:numId w:val="3"/>
        </w:numPr>
        <w:spacing w:after="120"/>
        <w:ind w:left="0" w:firstLine="0"/>
        <w:jc w:val="both"/>
        <w:rPr>
          <w:sz w:val="22"/>
          <w:szCs w:val="22"/>
          <w:lang w:val="en-GB"/>
        </w:rPr>
      </w:pPr>
      <w:r w:rsidRPr="00275DB8">
        <w:rPr>
          <w:sz w:val="22"/>
          <w:szCs w:val="22"/>
          <w:lang w:val="en-GB"/>
        </w:rPr>
        <w:t>At the time of project closure</w:t>
      </w:r>
      <w:r w:rsidR="007770F4">
        <w:rPr>
          <w:sz w:val="22"/>
          <w:szCs w:val="22"/>
          <w:lang w:val="en-GB"/>
        </w:rPr>
        <w:t xml:space="preserve"> in January 2009</w:t>
      </w:r>
      <w:r w:rsidRPr="00275DB8">
        <w:rPr>
          <w:sz w:val="22"/>
          <w:szCs w:val="22"/>
          <w:lang w:val="en-GB"/>
        </w:rPr>
        <w:t>, all governments had endorsed the revised, updated and expanded Strategic Action Programme. A major question that arose during preparation of the present project is that why, given the multitudes of successes of the foundational TDA/SAP project, did UNEP and the GEF not proceed immediately with support for the implementation of the SAP as a mechanism to further strengthen the cooperation, understanding and mutual trust that had been established through the project?</w:t>
      </w:r>
    </w:p>
    <w:p w14:paraId="484F8FDF" w14:textId="77777777" w:rsidR="00275DB8" w:rsidRPr="00275DB8" w:rsidRDefault="00275DB8" w:rsidP="00275DB8">
      <w:pPr>
        <w:numPr>
          <w:ilvl w:val="0"/>
          <w:numId w:val="3"/>
        </w:numPr>
        <w:spacing w:after="120"/>
        <w:ind w:left="0" w:firstLine="0"/>
        <w:jc w:val="both"/>
        <w:rPr>
          <w:sz w:val="22"/>
          <w:szCs w:val="22"/>
          <w:lang w:val="en-GB"/>
        </w:rPr>
      </w:pPr>
      <w:r w:rsidRPr="005B7F22">
        <w:rPr>
          <w:sz w:val="22"/>
          <w:szCs w:val="22"/>
        </w:rPr>
        <w:t xml:space="preserve">The question as to why UNEP </w:t>
      </w:r>
      <w:r>
        <w:rPr>
          <w:sz w:val="22"/>
          <w:szCs w:val="22"/>
        </w:rPr>
        <w:t xml:space="preserve">and the GEF did not immediately </w:t>
      </w:r>
      <w:r w:rsidRPr="005B7F22">
        <w:rPr>
          <w:sz w:val="22"/>
          <w:szCs w:val="22"/>
        </w:rPr>
        <w:t>continue support for the SAP im</w:t>
      </w:r>
      <w:r>
        <w:rPr>
          <w:sz w:val="22"/>
          <w:szCs w:val="22"/>
        </w:rPr>
        <w:t xml:space="preserve">plementation and its associated </w:t>
      </w:r>
      <w:r w:rsidRPr="005B7F22">
        <w:rPr>
          <w:sz w:val="22"/>
          <w:szCs w:val="22"/>
        </w:rPr>
        <w:t>mechanisms for collaboration can o</w:t>
      </w:r>
      <w:r>
        <w:rPr>
          <w:sz w:val="22"/>
          <w:szCs w:val="22"/>
        </w:rPr>
        <w:t xml:space="preserve">nly be answered definitively by </w:t>
      </w:r>
      <w:r w:rsidRPr="005B7F22">
        <w:rPr>
          <w:sz w:val="22"/>
          <w:szCs w:val="22"/>
        </w:rPr>
        <w:t>those two entities. However, a nu</w:t>
      </w:r>
      <w:r>
        <w:rPr>
          <w:sz w:val="22"/>
          <w:szCs w:val="22"/>
        </w:rPr>
        <w:t xml:space="preserve">mber of possible reasons can be </w:t>
      </w:r>
      <w:r w:rsidRPr="005B7F22">
        <w:rPr>
          <w:sz w:val="22"/>
          <w:szCs w:val="22"/>
        </w:rPr>
        <w:t>conceived. Around the time of closu</w:t>
      </w:r>
      <w:r>
        <w:rPr>
          <w:sz w:val="22"/>
          <w:szCs w:val="22"/>
        </w:rPr>
        <w:t xml:space="preserve">re of the project, the GEF, for </w:t>
      </w:r>
      <w:r w:rsidRPr="005B7F22">
        <w:rPr>
          <w:sz w:val="22"/>
          <w:szCs w:val="22"/>
        </w:rPr>
        <w:t>reasons of financial constraint, was acc</w:t>
      </w:r>
      <w:r>
        <w:rPr>
          <w:sz w:val="22"/>
          <w:szCs w:val="22"/>
        </w:rPr>
        <w:t xml:space="preserve">epting no new project proposals </w:t>
      </w:r>
      <w:r w:rsidRPr="005B7F22">
        <w:rPr>
          <w:sz w:val="22"/>
          <w:szCs w:val="22"/>
        </w:rPr>
        <w:t>in international waters for t</w:t>
      </w:r>
      <w:r>
        <w:rPr>
          <w:sz w:val="22"/>
          <w:szCs w:val="22"/>
        </w:rPr>
        <w:t xml:space="preserve">he period up to June 2009. That </w:t>
      </w:r>
      <w:r w:rsidRPr="005B7F22">
        <w:rPr>
          <w:sz w:val="22"/>
          <w:szCs w:val="22"/>
        </w:rPr>
        <w:t>moratorium continued into t</w:t>
      </w:r>
      <w:r>
        <w:rPr>
          <w:sz w:val="22"/>
          <w:szCs w:val="22"/>
        </w:rPr>
        <w:t xml:space="preserve">he next phase of </w:t>
      </w:r>
      <w:r w:rsidR="007770F4">
        <w:rPr>
          <w:sz w:val="22"/>
          <w:szCs w:val="22"/>
        </w:rPr>
        <w:t xml:space="preserve">the </w:t>
      </w:r>
      <w:r>
        <w:rPr>
          <w:sz w:val="22"/>
          <w:szCs w:val="22"/>
        </w:rPr>
        <w:t xml:space="preserve">GEF for around </w:t>
      </w:r>
      <w:r w:rsidRPr="005B7F22">
        <w:rPr>
          <w:sz w:val="22"/>
          <w:szCs w:val="22"/>
        </w:rPr>
        <w:t>eighteen months (i.e., until Oct 2010).</w:t>
      </w:r>
      <w:r>
        <w:rPr>
          <w:sz w:val="22"/>
          <w:szCs w:val="22"/>
        </w:rPr>
        <w:t xml:space="preserve"> Thereafter, the GEF Evaluation </w:t>
      </w:r>
      <w:r w:rsidRPr="005B7F22">
        <w:rPr>
          <w:sz w:val="22"/>
          <w:szCs w:val="22"/>
        </w:rPr>
        <w:t xml:space="preserve">Office initiated a major review </w:t>
      </w:r>
      <w:r>
        <w:rPr>
          <w:sz w:val="22"/>
          <w:szCs w:val="22"/>
        </w:rPr>
        <w:t xml:space="preserve">of GEF investments in East Asia </w:t>
      </w:r>
      <w:r w:rsidRPr="005B7F22">
        <w:rPr>
          <w:sz w:val="22"/>
          <w:szCs w:val="22"/>
        </w:rPr>
        <w:t>with a view to rationalising G</w:t>
      </w:r>
      <w:r>
        <w:rPr>
          <w:sz w:val="22"/>
          <w:szCs w:val="22"/>
        </w:rPr>
        <w:t xml:space="preserve">EF investments in water-related </w:t>
      </w:r>
      <w:r w:rsidRPr="005B7F22">
        <w:rPr>
          <w:sz w:val="22"/>
          <w:szCs w:val="22"/>
        </w:rPr>
        <w:t>projects in the region</w:t>
      </w:r>
      <w:r w:rsidR="00F14778">
        <w:rPr>
          <w:sz w:val="22"/>
          <w:szCs w:val="22"/>
        </w:rPr>
        <w:t xml:space="preserve"> and indicated that no support would be provided to initiatives in the South China Sea until the conclusion of the review</w:t>
      </w:r>
      <w:r w:rsidRPr="005B7F22">
        <w:rPr>
          <w:sz w:val="22"/>
          <w:szCs w:val="22"/>
        </w:rPr>
        <w:t>. The final report of th</w:t>
      </w:r>
      <w:r w:rsidR="00DF5A84">
        <w:rPr>
          <w:sz w:val="22"/>
          <w:szCs w:val="22"/>
        </w:rPr>
        <w:t>at</w:t>
      </w:r>
      <w:r w:rsidRPr="005B7F22">
        <w:rPr>
          <w:sz w:val="22"/>
          <w:szCs w:val="22"/>
        </w:rPr>
        <w:t xml:space="preserve"> evaluation and review</w:t>
      </w:r>
      <w:r>
        <w:rPr>
          <w:sz w:val="22"/>
          <w:szCs w:val="22"/>
        </w:rPr>
        <w:t xml:space="preserve"> was </w:t>
      </w:r>
      <w:r w:rsidRPr="005B7F22">
        <w:rPr>
          <w:sz w:val="22"/>
          <w:szCs w:val="22"/>
        </w:rPr>
        <w:t xml:space="preserve">only made public </w:t>
      </w:r>
      <w:r>
        <w:rPr>
          <w:sz w:val="22"/>
          <w:szCs w:val="22"/>
        </w:rPr>
        <w:t xml:space="preserve">early in 2013; consequently the </w:t>
      </w:r>
      <w:r w:rsidRPr="005B7F22">
        <w:rPr>
          <w:sz w:val="22"/>
          <w:szCs w:val="22"/>
        </w:rPr>
        <w:t xml:space="preserve">GEF </w:t>
      </w:r>
      <w:r>
        <w:rPr>
          <w:sz w:val="22"/>
          <w:szCs w:val="22"/>
        </w:rPr>
        <w:t>faced its own internal delays in</w:t>
      </w:r>
      <w:r w:rsidRPr="005B7F22">
        <w:rPr>
          <w:sz w:val="22"/>
          <w:szCs w:val="22"/>
        </w:rPr>
        <w:t xml:space="preserve"> consider</w:t>
      </w:r>
      <w:r>
        <w:rPr>
          <w:sz w:val="22"/>
          <w:szCs w:val="22"/>
        </w:rPr>
        <w:t>ing</w:t>
      </w:r>
      <w:r w:rsidRPr="005B7F22">
        <w:rPr>
          <w:sz w:val="22"/>
          <w:szCs w:val="22"/>
        </w:rPr>
        <w:t xml:space="preserve"> furth</w:t>
      </w:r>
      <w:r>
        <w:rPr>
          <w:sz w:val="22"/>
          <w:szCs w:val="22"/>
        </w:rPr>
        <w:t xml:space="preserve">er support to activities in the </w:t>
      </w:r>
      <w:r w:rsidRPr="005B7F22">
        <w:rPr>
          <w:sz w:val="22"/>
          <w:szCs w:val="22"/>
        </w:rPr>
        <w:t>South China Sea.</w:t>
      </w:r>
    </w:p>
    <w:p w14:paraId="2F4F305C" w14:textId="77777777" w:rsidR="00275DB8" w:rsidRDefault="00275DB8" w:rsidP="006B46B2">
      <w:pPr>
        <w:numPr>
          <w:ilvl w:val="0"/>
          <w:numId w:val="3"/>
        </w:numPr>
        <w:spacing w:after="120"/>
        <w:ind w:left="0" w:firstLine="0"/>
        <w:jc w:val="both"/>
        <w:rPr>
          <w:sz w:val="22"/>
          <w:szCs w:val="22"/>
        </w:rPr>
      </w:pPr>
      <w:r w:rsidRPr="005B7F22">
        <w:rPr>
          <w:sz w:val="22"/>
          <w:szCs w:val="22"/>
        </w:rPr>
        <w:t>During the s</w:t>
      </w:r>
      <w:r>
        <w:rPr>
          <w:sz w:val="22"/>
          <w:szCs w:val="22"/>
        </w:rPr>
        <w:t xml:space="preserve">ame period, UNEP was undergoing </w:t>
      </w:r>
      <w:r w:rsidRPr="005B7F22">
        <w:rPr>
          <w:sz w:val="22"/>
          <w:szCs w:val="22"/>
        </w:rPr>
        <w:t xml:space="preserve">internal management and financial </w:t>
      </w:r>
      <w:r>
        <w:rPr>
          <w:sz w:val="22"/>
          <w:szCs w:val="22"/>
        </w:rPr>
        <w:t xml:space="preserve">difficulties with what was then </w:t>
      </w:r>
      <w:r w:rsidRPr="005B7F22">
        <w:rPr>
          <w:sz w:val="22"/>
          <w:szCs w:val="22"/>
        </w:rPr>
        <w:t>the Division of Global Environ</w:t>
      </w:r>
      <w:r>
        <w:rPr>
          <w:sz w:val="22"/>
          <w:szCs w:val="22"/>
        </w:rPr>
        <w:t xml:space="preserve">ment Facility Coordination that resulted in a </w:t>
      </w:r>
      <w:r w:rsidRPr="005B7F22">
        <w:rPr>
          <w:sz w:val="22"/>
          <w:szCs w:val="22"/>
        </w:rPr>
        <w:t>restructuring such t</w:t>
      </w:r>
      <w:r>
        <w:rPr>
          <w:sz w:val="22"/>
          <w:szCs w:val="22"/>
        </w:rPr>
        <w:t xml:space="preserve">hat the division was dismantled </w:t>
      </w:r>
      <w:r w:rsidRPr="005B7F22">
        <w:rPr>
          <w:sz w:val="22"/>
          <w:szCs w:val="22"/>
        </w:rPr>
        <w:t>and the staffing absorbed into ot</w:t>
      </w:r>
      <w:r>
        <w:rPr>
          <w:sz w:val="22"/>
          <w:szCs w:val="22"/>
        </w:rPr>
        <w:t xml:space="preserve">her UNEP divisions. During this </w:t>
      </w:r>
      <w:r w:rsidRPr="005B7F22">
        <w:rPr>
          <w:sz w:val="22"/>
          <w:szCs w:val="22"/>
        </w:rPr>
        <w:t>hiatus UNEP did not appoint anyone t</w:t>
      </w:r>
      <w:r>
        <w:rPr>
          <w:sz w:val="22"/>
          <w:szCs w:val="22"/>
        </w:rPr>
        <w:t xml:space="preserve">o assume overall responsibility </w:t>
      </w:r>
      <w:r w:rsidRPr="005B7F22">
        <w:rPr>
          <w:sz w:val="22"/>
          <w:szCs w:val="22"/>
        </w:rPr>
        <w:t>for GEF International</w:t>
      </w:r>
      <w:r>
        <w:rPr>
          <w:sz w:val="22"/>
          <w:szCs w:val="22"/>
        </w:rPr>
        <w:t xml:space="preserve"> </w:t>
      </w:r>
      <w:r w:rsidRPr="005B7F22">
        <w:rPr>
          <w:sz w:val="22"/>
          <w:szCs w:val="22"/>
        </w:rPr>
        <w:t>Wa</w:t>
      </w:r>
      <w:r>
        <w:rPr>
          <w:sz w:val="22"/>
          <w:szCs w:val="22"/>
        </w:rPr>
        <w:t xml:space="preserve">ters matters. The period was also characterized by a high turn-over staff within UNEP’s COBSEA, the organization </w:t>
      </w:r>
      <w:r w:rsidR="007770F4">
        <w:rPr>
          <w:sz w:val="22"/>
          <w:szCs w:val="22"/>
        </w:rPr>
        <w:t>responsible for oversight and coordination of</w:t>
      </w:r>
      <w:r>
        <w:rPr>
          <w:sz w:val="22"/>
          <w:szCs w:val="22"/>
        </w:rPr>
        <w:t xml:space="preserve"> SAP implementation, and UNEP staff members posted to the Asia-Pacific regional office with responsibility to support project preparation.  As a result, UNEP interest in</w:t>
      </w:r>
      <w:r w:rsidRPr="005B7F22">
        <w:rPr>
          <w:sz w:val="22"/>
          <w:szCs w:val="22"/>
        </w:rPr>
        <w:t xml:space="preserve"> South China Sea SAP </w:t>
      </w:r>
      <w:r>
        <w:rPr>
          <w:sz w:val="22"/>
          <w:szCs w:val="22"/>
        </w:rPr>
        <w:t xml:space="preserve">implementation waned until efforts were made to revitalize the development of a SAP implementation project in 2014. Following approval by the GEF CEO to proceed with the development of this project, UNEPs administrative capacity to execute preparatory activities </w:t>
      </w:r>
      <w:r w:rsidR="007770F4">
        <w:rPr>
          <w:sz w:val="22"/>
          <w:szCs w:val="22"/>
        </w:rPr>
        <w:t xml:space="preserve">was </w:t>
      </w:r>
      <w:r>
        <w:rPr>
          <w:sz w:val="22"/>
          <w:szCs w:val="22"/>
        </w:rPr>
        <w:t xml:space="preserve">severely constrained </w:t>
      </w:r>
      <w:r w:rsidR="007770F4">
        <w:rPr>
          <w:sz w:val="22"/>
          <w:szCs w:val="22"/>
        </w:rPr>
        <w:t xml:space="preserve">for a period exceeding 18 months </w:t>
      </w:r>
      <w:r>
        <w:rPr>
          <w:sz w:val="22"/>
          <w:szCs w:val="22"/>
        </w:rPr>
        <w:t>as a result of a long and tumultuous transition to the new UN-wide administrative and financial system UMOJA.</w:t>
      </w:r>
    </w:p>
    <w:p w14:paraId="0BFF04CE" w14:textId="77777777" w:rsidR="00275DB8" w:rsidRDefault="00275DB8" w:rsidP="006B46B2">
      <w:pPr>
        <w:numPr>
          <w:ilvl w:val="0"/>
          <w:numId w:val="3"/>
        </w:numPr>
        <w:spacing w:after="120"/>
        <w:ind w:left="0" w:firstLine="0"/>
        <w:jc w:val="both"/>
        <w:rPr>
          <w:sz w:val="22"/>
          <w:szCs w:val="22"/>
          <w:lang w:val="en-GB"/>
        </w:rPr>
      </w:pPr>
      <w:r>
        <w:rPr>
          <w:sz w:val="22"/>
          <w:szCs w:val="22"/>
        </w:rPr>
        <w:t xml:space="preserve">The above is not intended as a criticism of neither UNEP nor the GEF; rather it presents an account of the realities of operating initiatives of this magnitude within the framework of the International system. The result has been a loss of momentum and awareness within the participating countries regarding SAP implementation. This has been further influenced by significant structural reforms of some national agencies involved and the turn-over of staff which </w:t>
      </w:r>
      <w:r w:rsidR="00DF5A84">
        <w:rPr>
          <w:sz w:val="22"/>
          <w:szCs w:val="22"/>
        </w:rPr>
        <w:t xml:space="preserve">one would expect to </w:t>
      </w:r>
      <w:r>
        <w:rPr>
          <w:sz w:val="22"/>
          <w:szCs w:val="22"/>
        </w:rPr>
        <w:t>occur over a 7-year period</w:t>
      </w:r>
      <w:r w:rsidR="00F14778">
        <w:rPr>
          <w:sz w:val="22"/>
          <w:szCs w:val="22"/>
        </w:rPr>
        <w:t xml:space="preserve"> </w:t>
      </w:r>
      <w:r w:rsidR="00DF5A84">
        <w:rPr>
          <w:sz w:val="22"/>
          <w:szCs w:val="22"/>
        </w:rPr>
        <w:t xml:space="preserve">such as </w:t>
      </w:r>
      <w:r w:rsidR="00F14778">
        <w:rPr>
          <w:sz w:val="22"/>
          <w:szCs w:val="22"/>
        </w:rPr>
        <w:t xml:space="preserve">from </w:t>
      </w:r>
      <w:r w:rsidR="00DF5A84">
        <w:rPr>
          <w:sz w:val="22"/>
          <w:szCs w:val="22"/>
        </w:rPr>
        <w:t xml:space="preserve">when the </w:t>
      </w:r>
      <w:r w:rsidR="00F14778">
        <w:rPr>
          <w:sz w:val="22"/>
          <w:szCs w:val="22"/>
        </w:rPr>
        <w:t xml:space="preserve">SAP </w:t>
      </w:r>
      <w:r w:rsidR="00DF5A84">
        <w:rPr>
          <w:sz w:val="22"/>
          <w:szCs w:val="22"/>
        </w:rPr>
        <w:t>was adopted until</w:t>
      </w:r>
      <w:r w:rsidR="00F14778">
        <w:rPr>
          <w:sz w:val="22"/>
          <w:szCs w:val="22"/>
        </w:rPr>
        <w:t xml:space="preserve"> present</w:t>
      </w:r>
      <w:r>
        <w:rPr>
          <w:sz w:val="22"/>
          <w:szCs w:val="22"/>
        </w:rPr>
        <w:t xml:space="preserve">. It is indeed testament to the scientific veracity, epistemic community building and approach to documenting project outcomes which were fostered by the Project Co-ordinating Unit for the SCS project that the </w:t>
      </w:r>
      <w:r w:rsidR="004873FE">
        <w:rPr>
          <w:sz w:val="22"/>
          <w:szCs w:val="22"/>
        </w:rPr>
        <w:t xml:space="preserve">preparation </w:t>
      </w:r>
      <w:r>
        <w:rPr>
          <w:sz w:val="22"/>
          <w:szCs w:val="22"/>
        </w:rPr>
        <w:t xml:space="preserve">of this SAP implementation </w:t>
      </w:r>
      <w:r w:rsidR="004873FE">
        <w:rPr>
          <w:sz w:val="22"/>
          <w:szCs w:val="22"/>
        </w:rPr>
        <w:t>P</w:t>
      </w:r>
      <w:r>
        <w:rPr>
          <w:sz w:val="22"/>
          <w:szCs w:val="22"/>
        </w:rPr>
        <w:t xml:space="preserve">roject </w:t>
      </w:r>
      <w:r w:rsidR="004873FE">
        <w:rPr>
          <w:sz w:val="22"/>
          <w:szCs w:val="22"/>
        </w:rPr>
        <w:t xml:space="preserve">Document </w:t>
      </w:r>
      <w:r>
        <w:rPr>
          <w:sz w:val="22"/>
          <w:szCs w:val="22"/>
        </w:rPr>
        <w:t xml:space="preserve">could be </w:t>
      </w:r>
      <w:r w:rsidR="004873FE">
        <w:rPr>
          <w:sz w:val="22"/>
          <w:szCs w:val="22"/>
        </w:rPr>
        <w:t xml:space="preserve">undertaken </w:t>
      </w:r>
      <w:r>
        <w:rPr>
          <w:sz w:val="22"/>
          <w:szCs w:val="22"/>
        </w:rPr>
        <w:t xml:space="preserve">on the basis of perhaps the most comprehensive baseline of information and data for any shared marine-basin globally. It is also a testament to </w:t>
      </w:r>
      <w:r w:rsidR="006B46B2">
        <w:rPr>
          <w:sz w:val="22"/>
          <w:szCs w:val="22"/>
        </w:rPr>
        <w:t>the patience, mutual trust and understanding</w:t>
      </w:r>
      <w:r>
        <w:rPr>
          <w:sz w:val="22"/>
          <w:szCs w:val="22"/>
        </w:rPr>
        <w:t xml:space="preserve"> of all parties involved, attributes that are at the very center of the International Waters strategy of the GEF. The South China Sea region has also not been without its difficulties </w:t>
      </w:r>
      <w:r w:rsidR="00DF5A84">
        <w:rPr>
          <w:sz w:val="22"/>
          <w:szCs w:val="22"/>
        </w:rPr>
        <w:t>during this period</w:t>
      </w:r>
      <w:r>
        <w:rPr>
          <w:sz w:val="22"/>
          <w:szCs w:val="22"/>
        </w:rPr>
        <w:t xml:space="preserve">. Territorial disputes, skirmishes and increasing political tensions have been reported by International and national media outlets in </w:t>
      </w:r>
      <w:r w:rsidR="00F14778">
        <w:rPr>
          <w:sz w:val="22"/>
          <w:szCs w:val="22"/>
        </w:rPr>
        <w:t xml:space="preserve">the </w:t>
      </w:r>
      <w:r>
        <w:rPr>
          <w:sz w:val="22"/>
          <w:szCs w:val="22"/>
        </w:rPr>
        <w:t xml:space="preserve">riparian countries. While the latter issues have never been the concern of the SCS project, nor </w:t>
      </w:r>
      <w:r w:rsidR="006B46B2">
        <w:rPr>
          <w:sz w:val="22"/>
          <w:szCs w:val="22"/>
        </w:rPr>
        <w:t xml:space="preserve">will </w:t>
      </w:r>
      <w:r w:rsidR="00F14778">
        <w:rPr>
          <w:sz w:val="22"/>
          <w:szCs w:val="22"/>
        </w:rPr>
        <w:t xml:space="preserve">they </w:t>
      </w:r>
      <w:r w:rsidR="006B46B2">
        <w:rPr>
          <w:sz w:val="22"/>
          <w:szCs w:val="22"/>
        </w:rPr>
        <w:t xml:space="preserve">be addressed by </w:t>
      </w:r>
      <w:r>
        <w:rPr>
          <w:sz w:val="22"/>
          <w:szCs w:val="22"/>
        </w:rPr>
        <w:t>this SCS SAP implementation project</w:t>
      </w:r>
      <w:r w:rsidR="006B46B2">
        <w:rPr>
          <w:sz w:val="22"/>
          <w:szCs w:val="22"/>
        </w:rPr>
        <w:t xml:space="preserve"> in any way or form</w:t>
      </w:r>
      <w:r>
        <w:rPr>
          <w:sz w:val="22"/>
          <w:szCs w:val="22"/>
        </w:rPr>
        <w:t xml:space="preserve">, the </w:t>
      </w:r>
      <w:r w:rsidR="003B7C13">
        <w:rPr>
          <w:sz w:val="22"/>
          <w:szCs w:val="22"/>
        </w:rPr>
        <w:t xml:space="preserve">commitment </w:t>
      </w:r>
      <w:r>
        <w:rPr>
          <w:sz w:val="22"/>
          <w:szCs w:val="22"/>
        </w:rPr>
        <w:t>among the countries</w:t>
      </w:r>
      <w:r w:rsidR="003B7C13">
        <w:rPr>
          <w:sz w:val="22"/>
          <w:szCs w:val="22"/>
        </w:rPr>
        <w:t xml:space="preserve"> to cooperate</w:t>
      </w:r>
      <w:r>
        <w:rPr>
          <w:sz w:val="22"/>
          <w:szCs w:val="22"/>
        </w:rPr>
        <w:t xml:space="preserve"> in the area of coastal and ma</w:t>
      </w:r>
      <w:r w:rsidR="006B46B2">
        <w:rPr>
          <w:sz w:val="22"/>
          <w:szCs w:val="22"/>
        </w:rPr>
        <w:t>rine environmental management remains highly</w:t>
      </w:r>
      <w:r>
        <w:rPr>
          <w:sz w:val="22"/>
          <w:szCs w:val="22"/>
        </w:rPr>
        <w:t xml:space="preserve"> significant.</w:t>
      </w:r>
    </w:p>
    <w:p w14:paraId="5167FBF9" w14:textId="77777777" w:rsidR="00F07F81" w:rsidRDefault="00F07F81">
      <w:pPr>
        <w:numPr>
          <w:ilvl w:val="1"/>
          <w:numId w:val="2"/>
        </w:numPr>
        <w:spacing w:after="120"/>
        <w:outlineLvl w:val="1"/>
        <w:rPr>
          <w:b/>
          <w:sz w:val="22"/>
          <w:szCs w:val="22"/>
          <w:lang w:val="en-GB"/>
        </w:rPr>
      </w:pPr>
      <w:bookmarkStart w:id="53" w:name="_Toc209432642"/>
      <w:r>
        <w:rPr>
          <w:b/>
          <w:sz w:val="22"/>
          <w:szCs w:val="22"/>
          <w:lang w:val="en-GB"/>
        </w:rPr>
        <w:t>Global significance</w:t>
      </w:r>
      <w:bookmarkEnd w:id="53"/>
    </w:p>
    <w:p w14:paraId="1D3A4E95" w14:textId="77777777" w:rsidR="00484C30" w:rsidRDefault="00484C30" w:rsidP="00484C30">
      <w:pPr>
        <w:numPr>
          <w:ilvl w:val="2"/>
          <w:numId w:val="2"/>
        </w:numPr>
        <w:spacing w:after="120"/>
        <w:outlineLvl w:val="1"/>
        <w:rPr>
          <w:b/>
          <w:sz w:val="22"/>
          <w:szCs w:val="22"/>
          <w:lang w:val="en-GB"/>
        </w:rPr>
      </w:pPr>
      <w:r>
        <w:rPr>
          <w:b/>
          <w:sz w:val="22"/>
          <w:szCs w:val="22"/>
          <w:lang w:val="en-GB"/>
        </w:rPr>
        <w:t>The South China Sea Marine Basin</w:t>
      </w:r>
    </w:p>
    <w:p w14:paraId="60E57CC6" w14:textId="77777777" w:rsidR="00F07F81" w:rsidRDefault="00484C30" w:rsidP="00484C30">
      <w:pPr>
        <w:numPr>
          <w:ilvl w:val="0"/>
          <w:numId w:val="3"/>
        </w:numPr>
        <w:spacing w:after="120"/>
        <w:ind w:left="0" w:firstLine="0"/>
        <w:jc w:val="both"/>
        <w:rPr>
          <w:sz w:val="22"/>
          <w:szCs w:val="22"/>
          <w:lang w:val="en-GB"/>
        </w:rPr>
      </w:pPr>
      <w:r w:rsidRPr="00484C30">
        <w:rPr>
          <w:sz w:val="22"/>
          <w:szCs w:val="22"/>
          <w:lang w:val="en-GB"/>
        </w:rPr>
        <w:t>The Indo-West Pacific marine biogeographic province has long been recognized as the global centre of marine tropical biodiversity. Forty-five mangrove species out of a global total of 51 (Spalding et al., 1997); 50 of 70 coral genera (Tomascik et al., 1997); 20 of 50 seagrass species (Sudara et al., 1994); and 7 of 9 giant clam species (Tomascik et al., 1997) are found in the nearshore areas of the South China Sea</w:t>
      </w:r>
      <w:r>
        <w:rPr>
          <w:rStyle w:val="FootnoteReference"/>
          <w:sz w:val="22"/>
          <w:szCs w:val="22"/>
          <w:lang w:val="en-GB"/>
        </w:rPr>
        <w:footnoteReference w:id="47"/>
      </w:r>
      <w:r w:rsidRPr="00484C30">
        <w:rPr>
          <w:sz w:val="22"/>
          <w:szCs w:val="22"/>
          <w:lang w:val="en-GB"/>
        </w:rPr>
        <w:t xml:space="preserve">. Compared to the Atlantic, the tropical Indo- West Pacific is highly diverse. Only 5 mangrove species and some 35 coral species are found in the Atlantic compared with the 45 mangrove species and 450 coral species recorded from the South China Sea (UNEP, </w:t>
      </w:r>
      <w:r w:rsidR="004873FE" w:rsidRPr="00484C30">
        <w:rPr>
          <w:sz w:val="22"/>
          <w:szCs w:val="22"/>
          <w:lang w:val="en-GB"/>
        </w:rPr>
        <w:t>200</w:t>
      </w:r>
      <w:r w:rsidR="004873FE">
        <w:rPr>
          <w:sz w:val="22"/>
          <w:szCs w:val="22"/>
          <w:lang w:val="en-GB"/>
        </w:rPr>
        <w:t>8c</w:t>
      </w:r>
      <w:r w:rsidRPr="00484C30">
        <w:rPr>
          <w:sz w:val="22"/>
          <w:szCs w:val="22"/>
          <w:lang w:val="en-GB"/>
        </w:rPr>
        <w:t>, 200</w:t>
      </w:r>
      <w:r w:rsidR="004873FE">
        <w:rPr>
          <w:sz w:val="22"/>
          <w:szCs w:val="22"/>
          <w:lang w:val="en-GB"/>
        </w:rPr>
        <w:t>7l</w:t>
      </w:r>
      <w:r w:rsidRPr="00484C30">
        <w:rPr>
          <w:sz w:val="22"/>
          <w:szCs w:val="22"/>
          <w:lang w:val="en-GB"/>
        </w:rPr>
        <w:t>).</w:t>
      </w:r>
    </w:p>
    <w:p w14:paraId="5EF09F2E" w14:textId="77777777" w:rsidR="00484C30" w:rsidRDefault="00484C30" w:rsidP="00484C30">
      <w:pPr>
        <w:numPr>
          <w:ilvl w:val="0"/>
          <w:numId w:val="3"/>
        </w:numPr>
        <w:spacing w:after="120"/>
        <w:ind w:left="0" w:firstLine="0"/>
        <w:jc w:val="both"/>
        <w:rPr>
          <w:sz w:val="22"/>
          <w:szCs w:val="22"/>
        </w:rPr>
      </w:pPr>
      <w:r w:rsidRPr="00F97495">
        <w:rPr>
          <w:sz w:val="22"/>
          <w:szCs w:val="22"/>
        </w:rPr>
        <w:t xml:space="preserve">Like most tropical coastlines </w:t>
      </w:r>
      <w:r>
        <w:rPr>
          <w:sz w:val="22"/>
          <w:szCs w:val="22"/>
        </w:rPr>
        <w:t xml:space="preserve">worldwide, the dominant coastal </w:t>
      </w:r>
      <w:r w:rsidRPr="00F97495">
        <w:rPr>
          <w:sz w:val="22"/>
          <w:szCs w:val="22"/>
        </w:rPr>
        <w:t>ecosystems of the South China Sea marine basin are mangroves</w:t>
      </w:r>
      <w:r>
        <w:rPr>
          <w:sz w:val="22"/>
          <w:szCs w:val="22"/>
        </w:rPr>
        <w:t xml:space="preserve">, </w:t>
      </w:r>
      <w:r w:rsidRPr="00F97495">
        <w:rPr>
          <w:sz w:val="22"/>
          <w:szCs w:val="22"/>
        </w:rPr>
        <w:t>coral reefs and seagrass meadows. Signi</w:t>
      </w:r>
      <w:r>
        <w:rPr>
          <w:sz w:val="22"/>
          <w:szCs w:val="22"/>
        </w:rPr>
        <w:t xml:space="preserve">ficant other coastal ecosystems </w:t>
      </w:r>
      <w:r w:rsidRPr="00F97495">
        <w:rPr>
          <w:sz w:val="22"/>
          <w:szCs w:val="22"/>
        </w:rPr>
        <w:t xml:space="preserve">include coastal lagoons, a </w:t>
      </w:r>
      <w:r>
        <w:rPr>
          <w:sz w:val="22"/>
          <w:szCs w:val="22"/>
        </w:rPr>
        <w:t xml:space="preserve">common coastal landform in Viet </w:t>
      </w:r>
      <w:r w:rsidRPr="00F97495">
        <w:rPr>
          <w:sz w:val="22"/>
          <w:szCs w:val="22"/>
        </w:rPr>
        <w:t>Nam, and extensive inter-tidal unve</w:t>
      </w:r>
      <w:r>
        <w:rPr>
          <w:sz w:val="22"/>
          <w:szCs w:val="22"/>
        </w:rPr>
        <w:t xml:space="preserve">getated mudflats that are found </w:t>
      </w:r>
      <w:r w:rsidRPr="00F97495">
        <w:rPr>
          <w:sz w:val="22"/>
          <w:szCs w:val="22"/>
        </w:rPr>
        <w:t xml:space="preserve">in many places around the South China Sea (UNEP, </w:t>
      </w:r>
      <w:r w:rsidR="004873FE" w:rsidRPr="00F97495">
        <w:rPr>
          <w:sz w:val="22"/>
          <w:szCs w:val="22"/>
        </w:rPr>
        <w:t>2008</w:t>
      </w:r>
      <w:r w:rsidR="004873FE">
        <w:rPr>
          <w:sz w:val="22"/>
          <w:szCs w:val="22"/>
        </w:rPr>
        <w:t>d</w:t>
      </w:r>
      <w:r w:rsidRPr="00F97495">
        <w:rPr>
          <w:sz w:val="22"/>
          <w:szCs w:val="22"/>
        </w:rPr>
        <w:t xml:space="preserve">). </w:t>
      </w:r>
      <w:r w:rsidRPr="00002136">
        <w:rPr>
          <w:sz w:val="22"/>
          <w:szCs w:val="22"/>
        </w:rPr>
        <w:t>Socio-economically, culturally and aes</w:t>
      </w:r>
      <w:r w:rsidR="000F7E5C">
        <w:rPr>
          <w:sz w:val="22"/>
          <w:szCs w:val="22"/>
        </w:rPr>
        <w:t>thetically, the South China Sea</w:t>
      </w:r>
      <w:r w:rsidR="00540983">
        <w:rPr>
          <w:sz w:val="22"/>
          <w:szCs w:val="22"/>
        </w:rPr>
        <w:t xml:space="preserve">, the Gulf of Thailand </w:t>
      </w:r>
      <w:r w:rsidRPr="00002136">
        <w:rPr>
          <w:sz w:val="22"/>
          <w:szCs w:val="22"/>
        </w:rPr>
        <w:t xml:space="preserve">and regional river basins and bays form part of the common heritage of the people of the Southeast Asian region.  The region’s expanding population relies on the SCS for nutrition, recreation and economic pursuits (e.g., tourism), energy (e.g., oil and gas), aquaculture, pharmaceuticals, </w:t>
      </w:r>
      <w:r w:rsidR="00A77F56">
        <w:rPr>
          <w:sz w:val="22"/>
          <w:szCs w:val="22"/>
        </w:rPr>
        <w:t xml:space="preserve">the </w:t>
      </w:r>
      <w:r w:rsidRPr="00002136">
        <w:rPr>
          <w:sz w:val="22"/>
          <w:szCs w:val="22"/>
        </w:rPr>
        <w:t>ornamental fish trade, construction materials and ports and shipping.  The SCS region is ecologically at risk.  Reversing this requires regional cooperation for long-term sustainability and regional growth.</w:t>
      </w:r>
    </w:p>
    <w:p w14:paraId="50178D17" w14:textId="77777777" w:rsidR="00484C30" w:rsidRPr="00484C30" w:rsidRDefault="00484C30" w:rsidP="00484C30">
      <w:pPr>
        <w:numPr>
          <w:ilvl w:val="2"/>
          <w:numId w:val="2"/>
        </w:numPr>
        <w:spacing w:after="120"/>
        <w:outlineLvl w:val="1"/>
        <w:rPr>
          <w:b/>
          <w:sz w:val="22"/>
          <w:szCs w:val="22"/>
          <w:lang w:val="en-GB"/>
        </w:rPr>
      </w:pPr>
      <w:r>
        <w:rPr>
          <w:b/>
          <w:sz w:val="22"/>
          <w:szCs w:val="22"/>
          <w:lang w:val="en-GB"/>
        </w:rPr>
        <w:t>Mangroves</w:t>
      </w:r>
    </w:p>
    <w:p w14:paraId="328C7BFB" w14:textId="77777777" w:rsidR="00484C30" w:rsidRDefault="00484C30" w:rsidP="00484C30">
      <w:pPr>
        <w:numPr>
          <w:ilvl w:val="0"/>
          <w:numId w:val="3"/>
        </w:numPr>
        <w:spacing w:after="120"/>
        <w:ind w:left="0" w:firstLine="0"/>
        <w:jc w:val="both"/>
        <w:rPr>
          <w:sz w:val="22"/>
          <w:szCs w:val="22"/>
          <w:lang w:val="en-GB"/>
        </w:rPr>
      </w:pPr>
      <w:r w:rsidRPr="00484C30">
        <w:rPr>
          <w:sz w:val="22"/>
          <w:szCs w:val="22"/>
          <w:lang w:val="en-GB"/>
        </w:rPr>
        <w:t xml:space="preserve">The South China Sea is considered to be one of two global hotspots of mangrove diversity (Polidoro et al., 2010; </w:t>
      </w:r>
      <w:r w:rsidR="00F00EEB">
        <w:rPr>
          <w:sz w:val="22"/>
          <w:szCs w:val="22"/>
          <w:lang w:val="en-GB"/>
        </w:rPr>
        <w:t>Vo et al., 2013</w:t>
      </w:r>
      <w:r w:rsidRPr="00484C30">
        <w:rPr>
          <w:sz w:val="22"/>
          <w:szCs w:val="22"/>
          <w:lang w:val="en-GB"/>
        </w:rPr>
        <w:t xml:space="preserve">). According to data generated through the SCS project, the largest total area of mangrove on the South China Sea coast is observed in Indonesia (934,000 ha), followed by Malaysia (532,000 ha) and Viet Nam(157,000 ha). The combined area of mangrove observed on the South China Sea coastlines of Cambodia, China, the Philippines and Thailand is less than 150,000 ha (Table 1). The total area of mangrove on the South China Sea coast of all countries combined is estimated to be 1,770,000 ha (UNEP, </w:t>
      </w:r>
      <w:r w:rsidR="00F00EEB" w:rsidRPr="00484C30">
        <w:rPr>
          <w:sz w:val="22"/>
          <w:szCs w:val="22"/>
          <w:lang w:val="en-GB"/>
        </w:rPr>
        <w:t>2008</w:t>
      </w:r>
      <w:r w:rsidR="00F00EEB">
        <w:rPr>
          <w:sz w:val="22"/>
          <w:szCs w:val="22"/>
          <w:lang w:val="en-GB"/>
        </w:rPr>
        <w:t>c</w:t>
      </w:r>
      <w:r w:rsidRPr="00484C30">
        <w:rPr>
          <w:sz w:val="22"/>
          <w:szCs w:val="22"/>
          <w:lang w:val="en-GB"/>
        </w:rPr>
        <w:t>), representing 11.4% of the world’s remaining 15.5 million ha of mangrove forest</w:t>
      </w:r>
      <w:r w:rsidR="00DF5A84">
        <w:rPr>
          <w:sz w:val="22"/>
          <w:szCs w:val="22"/>
          <w:lang w:val="en-GB"/>
        </w:rPr>
        <w:t xml:space="preserve"> (Vo et al., 2013)</w:t>
      </w:r>
      <w:r w:rsidRPr="00484C30">
        <w:rPr>
          <w:sz w:val="22"/>
          <w:szCs w:val="22"/>
          <w:lang w:val="en-GB"/>
        </w:rPr>
        <w:t>.</w:t>
      </w:r>
    </w:p>
    <w:p w14:paraId="527D10BE" w14:textId="77777777" w:rsidR="00484C30" w:rsidRPr="00484C30" w:rsidRDefault="00484C30" w:rsidP="00484C30">
      <w:pPr>
        <w:numPr>
          <w:ilvl w:val="0"/>
          <w:numId w:val="3"/>
        </w:numPr>
        <w:tabs>
          <w:tab w:val="clear" w:pos="720"/>
          <w:tab w:val="num" w:pos="810"/>
        </w:tabs>
        <w:spacing w:after="120"/>
        <w:ind w:left="0" w:firstLine="0"/>
        <w:jc w:val="both"/>
        <w:rPr>
          <w:sz w:val="22"/>
          <w:szCs w:val="22"/>
        </w:rPr>
      </w:pPr>
      <w:r w:rsidRPr="00F97495">
        <w:rPr>
          <w:sz w:val="22"/>
          <w:szCs w:val="22"/>
        </w:rPr>
        <w:t>In terms of mangrove species r</w:t>
      </w:r>
      <w:r>
        <w:rPr>
          <w:sz w:val="22"/>
          <w:szCs w:val="22"/>
        </w:rPr>
        <w:t xml:space="preserve">ichness, the greatest number of </w:t>
      </w:r>
      <w:r w:rsidRPr="00F97495">
        <w:rPr>
          <w:sz w:val="22"/>
          <w:szCs w:val="22"/>
        </w:rPr>
        <w:t>true mangroves are observed in</w:t>
      </w:r>
      <w:r>
        <w:rPr>
          <w:sz w:val="22"/>
          <w:szCs w:val="22"/>
        </w:rPr>
        <w:t xml:space="preserve"> Malaysia, where 41 species are </w:t>
      </w:r>
      <w:r w:rsidRPr="00F97495">
        <w:rPr>
          <w:sz w:val="22"/>
          <w:szCs w:val="22"/>
        </w:rPr>
        <w:t>recorded, followed by</w:t>
      </w:r>
      <w:r>
        <w:rPr>
          <w:sz w:val="22"/>
          <w:szCs w:val="22"/>
        </w:rPr>
        <w:t xml:space="preserve"> Indonesia and Viet Nam with 37 </w:t>
      </w:r>
      <w:r w:rsidRPr="00F97495">
        <w:rPr>
          <w:sz w:val="22"/>
          <w:szCs w:val="22"/>
        </w:rPr>
        <w:t xml:space="preserve">species each (UNEP, </w:t>
      </w:r>
      <w:r w:rsidR="00F00EEB" w:rsidRPr="00F97495">
        <w:rPr>
          <w:sz w:val="22"/>
          <w:szCs w:val="22"/>
        </w:rPr>
        <w:t>2008</w:t>
      </w:r>
      <w:r w:rsidR="00F00EEB">
        <w:rPr>
          <w:sz w:val="22"/>
          <w:szCs w:val="22"/>
        </w:rPr>
        <w:t>c</w:t>
      </w:r>
      <w:r>
        <w:rPr>
          <w:sz w:val="22"/>
          <w:szCs w:val="22"/>
        </w:rPr>
        <w:t xml:space="preserve">). The RWG on mangroves (RWG-M) </w:t>
      </w:r>
      <w:r w:rsidRPr="00F97495">
        <w:rPr>
          <w:sz w:val="22"/>
          <w:szCs w:val="22"/>
        </w:rPr>
        <w:t>identified that the richness of true ma</w:t>
      </w:r>
      <w:r>
        <w:rPr>
          <w:sz w:val="22"/>
          <w:szCs w:val="22"/>
        </w:rPr>
        <w:t xml:space="preserve">ngrove species is comparatively </w:t>
      </w:r>
      <w:r w:rsidRPr="00F97495">
        <w:rPr>
          <w:sz w:val="22"/>
          <w:szCs w:val="22"/>
        </w:rPr>
        <w:t>lower in the Philippines, Thaila</w:t>
      </w:r>
      <w:r>
        <w:rPr>
          <w:sz w:val="22"/>
          <w:szCs w:val="22"/>
        </w:rPr>
        <w:t xml:space="preserve">nd and China and ranges between </w:t>
      </w:r>
      <w:r w:rsidRPr="00F97495">
        <w:rPr>
          <w:sz w:val="22"/>
          <w:szCs w:val="22"/>
        </w:rPr>
        <w:t>26 and 28 species</w:t>
      </w:r>
      <w:r w:rsidR="00A77F56">
        <w:rPr>
          <w:sz w:val="22"/>
          <w:szCs w:val="22"/>
        </w:rPr>
        <w:t xml:space="preserve">, while </w:t>
      </w:r>
      <w:r w:rsidR="00A77F56" w:rsidRPr="00F97495">
        <w:rPr>
          <w:sz w:val="22"/>
          <w:szCs w:val="22"/>
        </w:rPr>
        <w:t>16 species of true mangroves occur in Ca</w:t>
      </w:r>
      <w:r w:rsidR="00A77F56">
        <w:rPr>
          <w:sz w:val="22"/>
          <w:szCs w:val="22"/>
        </w:rPr>
        <w:t>mbodia</w:t>
      </w:r>
      <w:r w:rsidRPr="00F97495">
        <w:rPr>
          <w:sz w:val="22"/>
          <w:szCs w:val="22"/>
        </w:rPr>
        <w:t xml:space="preserve">(UNEP, </w:t>
      </w:r>
      <w:r w:rsidR="00F00EEB" w:rsidRPr="00F97495">
        <w:rPr>
          <w:sz w:val="22"/>
          <w:szCs w:val="22"/>
        </w:rPr>
        <w:t>2</w:t>
      </w:r>
      <w:r w:rsidR="00F00EEB">
        <w:rPr>
          <w:sz w:val="22"/>
          <w:szCs w:val="22"/>
        </w:rPr>
        <w:t>008c</w:t>
      </w:r>
      <w:r>
        <w:rPr>
          <w:sz w:val="22"/>
          <w:szCs w:val="22"/>
        </w:rPr>
        <w:t>) (</w:t>
      </w:r>
      <w:r w:rsidR="00A77F56">
        <w:rPr>
          <w:sz w:val="22"/>
          <w:szCs w:val="22"/>
        </w:rPr>
        <w:t xml:space="preserve">see </w:t>
      </w:r>
      <w:r>
        <w:rPr>
          <w:sz w:val="22"/>
          <w:szCs w:val="22"/>
        </w:rPr>
        <w:t xml:space="preserve">Table 1). Investigation </w:t>
      </w:r>
      <w:r w:rsidRPr="00F97495">
        <w:rPr>
          <w:sz w:val="22"/>
          <w:szCs w:val="22"/>
        </w:rPr>
        <w:t>of the latitudinal variation</w:t>
      </w:r>
      <w:r>
        <w:rPr>
          <w:sz w:val="22"/>
          <w:szCs w:val="22"/>
        </w:rPr>
        <w:t xml:space="preserve"> in the number of true mangrove </w:t>
      </w:r>
      <w:r w:rsidRPr="00F97495">
        <w:rPr>
          <w:sz w:val="22"/>
          <w:szCs w:val="22"/>
        </w:rPr>
        <w:t>species in Viet Nam indicates an in</w:t>
      </w:r>
      <w:r>
        <w:rPr>
          <w:sz w:val="22"/>
          <w:szCs w:val="22"/>
        </w:rPr>
        <w:t xml:space="preserve">crease in the number of species </w:t>
      </w:r>
      <w:r w:rsidRPr="00F97495">
        <w:rPr>
          <w:sz w:val="22"/>
          <w:szCs w:val="22"/>
        </w:rPr>
        <w:t>from higher to lower latitudes, e.g., 14</w:t>
      </w:r>
      <w:r>
        <w:rPr>
          <w:sz w:val="22"/>
          <w:szCs w:val="22"/>
        </w:rPr>
        <w:t xml:space="preserve"> species in the Gulf of Tonkin, </w:t>
      </w:r>
      <w:r w:rsidRPr="00F97495">
        <w:rPr>
          <w:sz w:val="22"/>
          <w:szCs w:val="22"/>
        </w:rPr>
        <w:t>18 species in mid-central Viet N</w:t>
      </w:r>
      <w:r>
        <w:rPr>
          <w:sz w:val="22"/>
          <w:szCs w:val="22"/>
        </w:rPr>
        <w:t xml:space="preserve">am, 23 species in south-central </w:t>
      </w:r>
      <w:r w:rsidRPr="00F97495">
        <w:rPr>
          <w:sz w:val="22"/>
          <w:szCs w:val="22"/>
        </w:rPr>
        <w:t>waters, and 33 species in the D</w:t>
      </w:r>
      <w:r>
        <w:rPr>
          <w:sz w:val="22"/>
          <w:szCs w:val="22"/>
        </w:rPr>
        <w:t xml:space="preserve">ong Nai and Mekong estuaries in </w:t>
      </w:r>
      <w:r w:rsidRPr="00F97495">
        <w:rPr>
          <w:sz w:val="22"/>
          <w:szCs w:val="22"/>
        </w:rPr>
        <w:t>the south (Vo, 2010). Similarly, there exists considerable variation</w:t>
      </w:r>
      <w:r>
        <w:rPr>
          <w:sz w:val="22"/>
          <w:szCs w:val="22"/>
        </w:rPr>
        <w:t xml:space="preserve"> </w:t>
      </w:r>
      <w:r w:rsidRPr="00F97495">
        <w:rPr>
          <w:sz w:val="22"/>
          <w:szCs w:val="22"/>
        </w:rPr>
        <w:t>in the eastern and western Gulf of Thailand, with species richness</w:t>
      </w:r>
      <w:r>
        <w:rPr>
          <w:sz w:val="22"/>
          <w:szCs w:val="22"/>
        </w:rPr>
        <w:t xml:space="preserve"> being lower </w:t>
      </w:r>
      <w:r w:rsidRPr="00F97495">
        <w:rPr>
          <w:sz w:val="22"/>
          <w:szCs w:val="22"/>
        </w:rPr>
        <w:t xml:space="preserve">in the eastern Gulf (18 </w:t>
      </w:r>
      <w:r>
        <w:rPr>
          <w:sz w:val="22"/>
          <w:szCs w:val="22"/>
        </w:rPr>
        <w:t xml:space="preserve">and 16 species recorded in Gulf </w:t>
      </w:r>
      <w:r w:rsidRPr="00F97495">
        <w:rPr>
          <w:sz w:val="22"/>
          <w:szCs w:val="22"/>
        </w:rPr>
        <w:t>of Thailand waters of Viet Nam and Cambodia, respect</w:t>
      </w:r>
      <w:r>
        <w:rPr>
          <w:sz w:val="22"/>
          <w:szCs w:val="22"/>
        </w:rPr>
        <w:t xml:space="preserve">ively) </w:t>
      </w:r>
      <w:r w:rsidRPr="00F97495">
        <w:rPr>
          <w:sz w:val="22"/>
          <w:szCs w:val="22"/>
        </w:rPr>
        <w:t>compared to Thai</w:t>
      </w:r>
      <w:r>
        <w:rPr>
          <w:sz w:val="22"/>
          <w:szCs w:val="22"/>
        </w:rPr>
        <w:t xml:space="preserve"> </w:t>
      </w:r>
      <w:r w:rsidRPr="00F97495">
        <w:rPr>
          <w:sz w:val="22"/>
          <w:szCs w:val="22"/>
        </w:rPr>
        <w:t>waters in the</w:t>
      </w:r>
      <w:r>
        <w:rPr>
          <w:sz w:val="22"/>
          <w:szCs w:val="22"/>
        </w:rPr>
        <w:t xml:space="preserve"> </w:t>
      </w:r>
      <w:r w:rsidRPr="00F97495">
        <w:rPr>
          <w:sz w:val="22"/>
          <w:szCs w:val="22"/>
        </w:rPr>
        <w:t>West where 27 species are observed</w:t>
      </w:r>
      <w:r>
        <w:rPr>
          <w:sz w:val="22"/>
          <w:szCs w:val="22"/>
        </w:rPr>
        <w:t xml:space="preserve"> </w:t>
      </w:r>
      <w:r w:rsidRPr="00484C30">
        <w:rPr>
          <w:sz w:val="22"/>
          <w:szCs w:val="22"/>
        </w:rPr>
        <w:t xml:space="preserve">(UNEP, </w:t>
      </w:r>
      <w:r w:rsidR="00F00EEB" w:rsidRPr="00484C30">
        <w:rPr>
          <w:sz w:val="22"/>
          <w:szCs w:val="22"/>
        </w:rPr>
        <w:t>2008</w:t>
      </w:r>
      <w:r w:rsidR="00F00EEB">
        <w:rPr>
          <w:sz w:val="22"/>
          <w:szCs w:val="22"/>
        </w:rPr>
        <w:t>c</w:t>
      </w:r>
      <w:r w:rsidRPr="00484C30">
        <w:rPr>
          <w:sz w:val="22"/>
          <w:szCs w:val="22"/>
        </w:rPr>
        <w:t xml:space="preserve">). </w:t>
      </w:r>
    </w:p>
    <w:p w14:paraId="22F82A95" w14:textId="77777777" w:rsidR="00484C30" w:rsidRDefault="00484C30" w:rsidP="00484C30">
      <w:pPr>
        <w:numPr>
          <w:ilvl w:val="0"/>
          <w:numId w:val="3"/>
        </w:numPr>
        <w:spacing w:after="120"/>
        <w:ind w:left="0" w:firstLine="0"/>
        <w:jc w:val="both"/>
        <w:rPr>
          <w:sz w:val="22"/>
          <w:szCs w:val="22"/>
        </w:rPr>
      </w:pPr>
      <w:r w:rsidRPr="00F97495">
        <w:rPr>
          <w:sz w:val="22"/>
          <w:szCs w:val="22"/>
        </w:rPr>
        <w:t>Analysis of data compiled in th</w:t>
      </w:r>
      <w:r>
        <w:rPr>
          <w:sz w:val="22"/>
          <w:szCs w:val="22"/>
        </w:rPr>
        <w:t xml:space="preserve">e National Reports on Mangroves (UNEP, </w:t>
      </w:r>
      <w:r w:rsidR="00F00EEB">
        <w:rPr>
          <w:sz w:val="22"/>
          <w:szCs w:val="22"/>
        </w:rPr>
        <w:t>2008c</w:t>
      </w:r>
      <w:r>
        <w:rPr>
          <w:sz w:val="22"/>
          <w:szCs w:val="22"/>
        </w:rPr>
        <w:t xml:space="preserve">) and </w:t>
      </w:r>
      <w:r w:rsidRPr="00F97495">
        <w:rPr>
          <w:sz w:val="22"/>
          <w:szCs w:val="22"/>
        </w:rPr>
        <w:t>Chan et al. (19</w:t>
      </w:r>
      <w:r>
        <w:rPr>
          <w:sz w:val="22"/>
          <w:szCs w:val="22"/>
        </w:rPr>
        <w:t xml:space="preserve">96) indicates that the southern </w:t>
      </w:r>
      <w:r w:rsidRPr="00F97495">
        <w:rPr>
          <w:sz w:val="22"/>
          <w:szCs w:val="22"/>
        </w:rPr>
        <w:t xml:space="preserve">part of the South China Sea is a regional </w:t>
      </w:r>
      <w:r>
        <w:rPr>
          <w:sz w:val="22"/>
          <w:szCs w:val="22"/>
        </w:rPr>
        <w:t xml:space="preserve">hotspot in terms of </w:t>
      </w:r>
      <w:r w:rsidRPr="00F97495">
        <w:rPr>
          <w:sz w:val="22"/>
          <w:szCs w:val="22"/>
        </w:rPr>
        <w:t>mangrove area. More than 550,0</w:t>
      </w:r>
      <w:r>
        <w:rPr>
          <w:sz w:val="22"/>
          <w:szCs w:val="22"/>
        </w:rPr>
        <w:t xml:space="preserve">00 ha and 86,900 ha of mangrove </w:t>
      </w:r>
      <w:r w:rsidRPr="00F97495">
        <w:rPr>
          <w:sz w:val="22"/>
          <w:szCs w:val="22"/>
        </w:rPr>
        <w:t>are observed in Indonesia’s Ria</w:t>
      </w:r>
      <w:r>
        <w:rPr>
          <w:sz w:val="22"/>
          <w:szCs w:val="22"/>
        </w:rPr>
        <w:t xml:space="preserve">u and West Kalimantan Provinces </w:t>
      </w:r>
      <w:r w:rsidRPr="00F97495">
        <w:rPr>
          <w:sz w:val="22"/>
          <w:szCs w:val="22"/>
        </w:rPr>
        <w:t>respectively, whereas Malaysia’s Sarawak and Sabah regions</w:t>
      </w:r>
      <w:r>
        <w:rPr>
          <w:sz w:val="22"/>
          <w:szCs w:val="22"/>
        </w:rPr>
        <w:t xml:space="preserve"> </w:t>
      </w:r>
      <w:r w:rsidRPr="00A41336">
        <w:rPr>
          <w:sz w:val="22"/>
          <w:szCs w:val="22"/>
        </w:rPr>
        <w:t>contain mangrove areas of 167,000 ha and 365,000 ha r</w:t>
      </w:r>
      <w:r>
        <w:rPr>
          <w:sz w:val="22"/>
          <w:szCs w:val="22"/>
        </w:rPr>
        <w:t xml:space="preserve">espectively. </w:t>
      </w:r>
      <w:r w:rsidRPr="00A41336">
        <w:rPr>
          <w:sz w:val="22"/>
          <w:szCs w:val="22"/>
        </w:rPr>
        <w:t xml:space="preserve">In contrast, the total area </w:t>
      </w:r>
      <w:r>
        <w:rPr>
          <w:sz w:val="22"/>
          <w:szCs w:val="22"/>
        </w:rPr>
        <w:t xml:space="preserve">of mangrove along the Malaysian </w:t>
      </w:r>
      <w:r w:rsidRPr="00A41336">
        <w:rPr>
          <w:sz w:val="22"/>
          <w:szCs w:val="22"/>
        </w:rPr>
        <w:t xml:space="preserve">peninsular is approximately </w:t>
      </w:r>
      <w:r>
        <w:rPr>
          <w:sz w:val="22"/>
          <w:szCs w:val="22"/>
        </w:rPr>
        <w:t xml:space="preserve">3,500 ha. Mangrove areas become </w:t>
      </w:r>
      <w:r w:rsidRPr="00A41336">
        <w:rPr>
          <w:sz w:val="22"/>
          <w:szCs w:val="22"/>
        </w:rPr>
        <w:t>more extensive northward in t</w:t>
      </w:r>
      <w:r>
        <w:rPr>
          <w:sz w:val="22"/>
          <w:szCs w:val="22"/>
        </w:rPr>
        <w:t xml:space="preserve">he eastern Gulf of Thailand and </w:t>
      </w:r>
      <w:r w:rsidRPr="00A41336">
        <w:rPr>
          <w:sz w:val="22"/>
          <w:szCs w:val="22"/>
        </w:rPr>
        <w:t xml:space="preserve">southern Viet Nam. In terms of areal extent, notable mangrove </w:t>
      </w:r>
      <w:r>
        <w:rPr>
          <w:sz w:val="22"/>
          <w:szCs w:val="22"/>
        </w:rPr>
        <w:t xml:space="preserve">sites </w:t>
      </w:r>
      <w:r w:rsidRPr="00A41336">
        <w:rPr>
          <w:sz w:val="22"/>
          <w:szCs w:val="22"/>
        </w:rPr>
        <w:t>are located in: Trat and Chantaburi Pr</w:t>
      </w:r>
      <w:r>
        <w:rPr>
          <w:sz w:val="22"/>
          <w:szCs w:val="22"/>
        </w:rPr>
        <w:t xml:space="preserve">ovinces in Thailand, with total </w:t>
      </w:r>
      <w:r w:rsidRPr="00A41336">
        <w:rPr>
          <w:sz w:val="22"/>
          <w:szCs w:val="22"/>
        </w:rPr>
        <w:t>areas of 9</w:t>
      </w:r>
      <w:r w:rsidR="00A77F56">
        <w:rPr>
          <w:sz w:val="22"/>
          <w:szCs w:val="22"/>
        </w:rPr>
        <w:t>,</w:t>
      </w:r>
      <w:r w:rsidRPr="00A41336">
        <w:rPr>
          <w:sz w:val="22"/>
          <w:szCs w:val="22"/>
        </w:rPr>
        <w:t xml:space="preserve">500 ha and 12,500 </w:t>
      </w:r>
      <w:r>
        <w:rPr>
          <w:sz w:val="22"/>
          <w:szCs w:val="22"/>
        </w:rPr>
        <w:t xml:space="preserve">ha respectively; Peam Krasop in </w:t>
      </w:r>
      <w:r w:rsidRPr="00A41336">
        <w:rPr>
          <w:sz w:val="22"/>
          <w:szCs w:val="22"/>
        </w:rPr>
        <w:t>Cambodia’s Koh Ko</w:t>
      </w:r>
      <w:r>
        <w:rPr>
          <w:sz w:val="22"/>
          <w:szCs w:val="22"/>
        </w:rPr>
        <w:t xml:space="preserve">ng Province (25,800 ha); and Ca Mau in the </w:t>
      </w:r>
      <w:r w:rsidRPr="00A41336">
        <w:rPr>
          <w:sz w:val="22"/>
          <w:szCs w:val="22"/>
        </w:rPr>
        <w:t xml:space="preserve">southern Mekong estuary (58,000 ha) and Can Gio in the Dong </w:t>
      </w:r>
      <w:r>
        <w:rPr>
          <w:sz w:val="22"/>
          <w:szCs w:val="22"/>
        </w:rPr>
        <w:t xml:space="preserve">Nai estuary (34,500 ha) in </w:t>
      </w:r>
      <w:r w:rsidRPr="00A41336">
        <w:rPr>
          <w:sz w:val="22"/>
          <w:szCs w:val="22"/>
        </w:rPr>
        <w:t>Viet Nam.</w:t>
      </w:r>
    </w:p>
    <w:p w14:paraId="25865CA3" w14:textId="77777777" w:rsidR="00484C30" w:rsidRPr="000E3A36" w:rsidRDefault="00484C30" w:rsidP="00484C30">
      <w:pPr>
        <w:ind w:left="1440" w:hanging="1440"/>
        <w:rPr>
          <w:rFonts w:cs="Angsana New"/>
          <w:sz w:val="21"/>
          <w:szCs w:val="21"/>
          <w:lang w:val="en-GB" w:bidi="th-TH"/>
        </w:rPr>
      </w:pPr>
      <w:r w:rsidRPr="000E3A36">
        <w:rPr>
          <w:rFonts w:cs="Angsana New"/>
          <w:b/>
          <w:sz w:val="21"/>
          <w:szCs w:val="21"/>
          <w:lang w:val="en-GB" w:bidi="th-TH"/>
        </w:rPr>
        <w:t xml:space="preserve">Table </w:t>
      </w:r>
      <w:r>
        <w:rPr>
          <w:rFonts w:cs="Angsana New"/>
          <w:b/>
          <w:sz w:val="21"/>
          <w:szCs w:val="21"/>
          <w:lang w:val="en-GB" w:bidi="th-TH"/>
        </w:rPr>
        <w:t>9</w:t>
      </w:r>
      <w:r w:rsidRPr="000E3A36">
        <w:rPr>
          <w:rFonts w:cs="Angsana New"/>
          <w:sz w:val="21"/>
          <w:szCs w:val="21"/>
          <w:lang w:val="en-GB" w:bidi="th-TH"/>
        </w:rPr>
        <w:t xml:space="preserve"> </w:t>
      </w:r>
      <w:r w:rsidRPr="000E3A36">
        <w:rPr>
          <w:rFonts w:cs="Angsana New"/>
          <w:sz w:val="21"/>
          <w:szCs w:val="21"/>
          <w:lang w:val="en-GB" w:bidi="th-TH"/>
        </w:rPr>
        <w:tab/>
        <w:t xml:space="preserve">Approximate total area (values rounded to three significant figures) and species richness of mangroves bordering the South China Sea determined by the RWG-M (UNEP, </w:t>
      </w:r>
      <w:r w:rsidR="00F00EEB" w:rsidRPr="000E3A36">
        <w:rPr>
          <w:rFonts w:cs="Angsana New"/>
          <w:sz w:val="21"/>
          <w:szCs w:val="21"/>
          <w:lang w:val="en-GB" w:bidi="th-TH"/>
        </w:rPr>
        <w:t>2008</w:t>
      </w:r>
      <w:r w:rsidR="00F00EEB">
        <w:rPr>
          <w:rFonts w:cs="Angsana New"/>
          <w:sz w:val="21"/>
          <w:szCs w:val="21"/>
          <w:lang w:val="en-GB" w:bidi="th-TH"/>
        </w:rPr>
        <w:t>c</w:t>
      </w:r>
      <w:r w:rsidRPr="000E3A36">
        <w:rPr>
          <w:rFonts w:cs="Angsana New"/>
          <w:sz w:val="21"/>
          <w:szCs w:val="21"/>
          <w:lang w:val="en-GB" w:bidi="th-TH"/>
        </w:rPr>
        <w:t>)</w:t>
      </w:r>
    </w:p>
    <w:p w14:paraId="2E9CB022" w14:textId="77777777" w:rsidR="00484C30" w:rsidRPr="000E3A36" w:rsidRDefault="00484C30" w:rsidP="00484C30">
      <w:pPr>
        <w:ind w:left="1440" w:hanging="1440"/>
        <w:rPr>
          <w:rFonts w:cs="Angsana New"/>
          <w:sz w:val="22"/>
          <w:szCs w:val="22"/>
          <w:lang w:val="en-GB" w:bidi="th-TH"/>
        </w:rPr>
      </w:pPr>
    </w:p>
    <w:tbl>
      <w:tblPr>
        <w:tblW w:w="0" w:type="auto"/>
        <w:tblInd w:w="1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6"/>
        <w:gridCol w:w="2324"/>
        <w:gridCol w:w="2300"/>
      </w:tblGrid>
      <w:tr w:rsidR="00484C30" w:rsidRPr="000E3A36" w14:paraId="51DBCF9D" w14:textId="77777777" w:rsidTr="00B21B24">
        <w:tc>
          <w:tcPr>
            <w:tcW w:w="1776" w:type="dxa"/>
          </w:tcPr>
          <w:p w14:paraId="4C1DD6CD" w14:textId="77777777" w:rsidR="00484C30" w:rsidRPr="00484C30" w:rsidRDefault="00484C30" w:rsidP="00B21B24">
            <w:pPr>
              <w:jc w:val="center"/>
              <w:rPr>
                <w:rFonts w:cs="Angsana New"/>
                <w:b/>
                <w:sz w:val="21"/>
                <w:szCs w:val="21"/>
                <w:lang w:val="en-GB" w:bidi="th-TH"/>
              </w:rPr>
            </w:pPr>
            <w:r w:rsidRPr="00484C30">
              <w:rPr>
                <w:rFonts w:cs="Angsana New"/>
                <w:b/>
                <w:sz w:val="21"/>
                <w:szCs w:val="21"/>
                <w:lang w:val="en-GB" w:bidi="th-TH"/>
              </w:rPr>
              <w:t>Country</w:t>
            </w:r>
          </w:p>
        </w:tc>
        <w:tc>
          <w:tcPr>
            <w:tcW w:w="2324" w:type="dxa"/>
          </w:tcPr>
          <w:p w14:paraId="2FC65722" w14:textId="77777777" w:rsidR="00484C30" w:rsidRPr="00484C30" w:rsidRDefault="00484C30" w:rsidP="00B21B24">
            <w:pPr>
              <w:jc w:val="center"/>
              <w:rPr>
                <w:rFonts w:cs="Angsana New"/>
                <w:b/>
                <w:sz w:val="21"/>
                <w:szCs w:val="21"/>
                <w:lang w:val="en-GB" w:bidi="th-TH"/>
              </w:rPr>
            </w:pPr>
            <w:r w:rsidRPr="00484C30">
              <w:rPr>
                <w:rFonts w:cs="Angsana New"/>
                <w:b/>
                <w:sz w:val="21"/>
                <w:szCs w:val="21"/>
                <w:lang w:val="en-GB" w:bidi="th-TH"/>
              </w:rPr>
              <w:t>Area of</w:t>
            </w:r>
          </w:p>
          <w:p w14:paraId="670972F7" w14:textId="77777777" w:rsidR="00484C30" w:rsidRPr="00484C30" w:rsidRDefault="00484C30" w:rsidP="00B21B24">
            <w:pPr>
              <w:jc w:val="center"/>
              <w:rPr>
                <w:rFonts w:cs="Angsana New"/>
                <w:b/>
                <w:sz w:val="21"/>
                <w:szCs w:val="21"/>
                <w:lang w:val="en-GB" w:bidi="th-TH"/>
              </w:rPr>
            </w:pPr>
            <w:r w:rsidRPr="00484C30">
              <w:rPr>
                <w:rFonts w:cs="Angsana New"/>
                <w:b/>
                <w:sz w:val="21"/>
                <w:szCs w:val="21"/>
                <w:lang w:val="en-GB" w:bidi="th-TH"/>
              </w:rPr>
              <w:t>mangroves (ha)</w:t>
            </w:r>
          </w:p>
        </w:tc>
        <w:tc>
          <w:tcPr>
            <w:tcW w:w="2300" w:type="dxa"/>
          </w:tcPr>
          <w:p w14:paraId="708C4FBC" w14:textId="77777777" w:rsidR="00484C30" w:rsidRPr="00484C30" w:rsidRDefault="00484C30" w:rsidP="00B21B24">
            <w:pPr>
              <w:jc w:val="center"/>
              <w:rPr>
                <w:rFonts w:cs="Angsana New"/>
                <w:b/>
                <w:sz w:val="21"/>
                <w:szCs w:val="21"/>
                <w:lang w:val="en-GB" w:bidi="th-TH"/>
              </w:rPr>
            </w:pPr>
            <w:r w:rsidRPr="00484C30">
              <w:rPr>
                <w:rFonts w:cs="Angsana New"/>
                <w:b/>
                <w:sz w:val="21"/>
                <w:szCs w:val="21"/>
                <w:lang w:val="en-GB" w:bidi="th-TH"/>
              </w:rPr>
              <w:t>Number of true mangrove species</w:t>
            </w:r>
          </w:p>
        </w:tc>
      </w:tr>
      <w:tr w:rsidR="00484C30" w:rsidRPr="000E3A36" w14:paraId="21E1FBEB" w14:textId="77777777" w:rsidTr="00B21B24">
        <w:tc>
          <w:tcPr>
            <w:tcW w:w="1776" w:type="dxa"/>
          </w:tcPr>
          <w:p w14:paraId="78B89EA9" w14:textId="77777777" w:rsidR="00484C30" w:rsidRPr="00484C30" w:rsidRDefault="00484C30" w:rsidP="00B21B24">
            <w:pPr>
              <w:rPr>
                <w:rFonts w:cs="Angsana New"/>
                <w:sz w:val="21"/>
                <w:szCs w:val="21"/>
                <w:lang w:val="en-GB" w:bidi="th-TH"/>
              </w:rPr>
            </w:pPr>
            <w:r w:rsidRPr="00484C30">
              <w:rPr>
                <w:rFonts w:cs="Angsana New"/>
                <w:sz w:val="21"/>
                <w:szCs w:val="21"/>
                <w:lang w:val="en-GB" w:bidi="th-TH"/>
              </w:rPr>
              <w:t>Cambodia</w:t>
            </w:r>
          </w:p>
        </w:tc>
        <w:tc>
          <w:tcPr>
            <w:tcW w:w="2324" w:type="dxa"/>
          </w:tcPr>
          <w:p w14:paraId="5DABB76C" w14:textId="77777777" w:rsidR="00484C30" w:rsidRPr="00484C30" w:rsidRDefault="00484C30" w:rsidP="00B21B24">
            <w:pPr>
              <w:jc w:val="center"/>
              <w:rPr>
                <w:rFonts w:cs="Angsana New"/>
                <w:sz w:val="21"/>
                <w:szCs w:val="21"/>
                <w:lang w:val="en-GB" w:bidi="th-TH"/>
              </w:rPr>
            </w:pPr>
            <w:r w:rsidRPr="00484C30">
              <w:rPr>
                <w:rFonts w:cs="Angsana New"/>
                <w:sz w:val="21"/>
                <w:szCs w:val="21"/>
                <w:lang w:val="en-GB" w:bidi="th-TH"/>
              </w:rPr>
              <w:t>72,300</w:t>
            </w:r>
          </w:p>
        </w:tc>
        <w:tc>
          <w:tcPr>
            <w:tcW w:w="2300" w:type="dxa"/>
          </w:tcPr>
          <w:p w14:paraId="1FA89828" w14:textId="77777777" w:rsidR="00484C30" w:rsidRPr="00484C30" w:rsidRDefault="00484C30" w:rsidP="00B21B24">
            <w:pPr>
              <w:jc w:val="center"/>
              <w:rPr>
                <w:rFonts w:cs="Angsana New"/>
                <w:sz w:val="21"/>
                <w:szCs w:val="21"/>
                <w:lang w:val="en-GB" w:bidi="th-TH"/>
              </w:rPr>
            </w:pPr>
            <w:r w:rsidRPr="00484C30">
              <w:rPr>
                <w:rFonts w:cs="Angsana New"/>
                <w:sz w:val="21"/>
                <w:szCs w:val="21"/>
                <w:lang w:val="en-GB" w:bidi="th-TH"/>
              </w:rPr>
              <w:t>16</w:t>
            </w:r>
          </w:p>
        </w:tc>
      </w:tr>
      <w:tr w:rsidR="00484C30" w:rsidRPr="000E3A36" w14:paraId="50543985" w14:textId="77777777" w:rsidTr="00B21B24">
        <w:tc>
          <w:tcPr>
            <w:tcW w:w="1776" w:type="dxa"/>
          </w:tcPr>
          <w:p w14:paraId="758A217D" w14:textId="77777777" w:rsidR="00484C30" w:rsidRPr="00484C30" w:rsidRDefault="00484C30" w:rsidP="00B21B24">
            <w:pPr>
              <w:rPr>
                <w:rFonts w:cs="Angsana New"/>
                <w:sz w:val="21"/>
                <w:szCs w:val="21"/>
                <w:lang w:val="en-GB" w:bidi="th-TH"/>
              </w:rPr>
            </w:pPr>
            <w:r w:rsidRPr="00484C30">
              <w:rPr>
                <w:rFonts w:cs="Angsana New"/>
                <w:sz w:val="21"/>
                <w:szCs w:val="21"/>
                <w:lang w:val="en-GB" w:bidi="th-TH"/>
              </w:rPr>
              <w:t>China</w:t>
            </w:r>
          </w:p>
        </w:tc>
        <w:tc>
          <w:tcPr>
            <w:tcW w:w="2324" w:type="dxa"/>
          </w:tcPr>
          <w:p w14:paraId="4F339E50" w14:textId="77777777" w:rsidR="00484C30" w:rsidRPr="00484C30" w:rsidRDefault="00484C30" w:rsidP="00B21B24">
            <w:pPr>
              <w:jc w:val="center"/>
              <w:rPr>
                <w:rFonts w:cs="Angsana New"/>
                <w:sz w:val="21"/>
                <w:szCs w:val="21"/>
                <w:lang w:val="en-GB" w:bidi="th-TH"/>
              </w:rPr>
            </w:pPr>
            <w:r w:rsidRPr="00484C30">
              <w:rPr>
                <w:rFonts w:cs="Angsana New"/>
                <w:sz w:val="21"/>
                <w:szCs w:val="21"/>
                <w:lang w:val="en-GB" w:bidi="th-TH"/>
              </w:rPr>
              <w:t>23,400</w:t>
            </w:r>
          </w:p>
        </w:tc>
        <w:tc>
          <w:tcPr>
            <w:tcW w:w="2300" w:type="dxa"/>
          </w:tcPr>
          <w:p w14:paraId="0A4D3E1B" w14:textId="77777777" w:rsidR="00484C30" w:rsidRPr="00484C30" w:rsidRDefault="00484C30" w:rsidP="00B21B24">
            <w:pPr>
              <w:jc w:val="center"/>
              <w:rPr>
                <w:rFonts w:cs="Angsana New"/>
                <w:sz w:val="21"/>
                <w:szCs w:val="21"/>
                <w:lang w:val="en-GB" w:bidi="th-TH"/>
              </w:rPr>
            </w:pPr>
            <w:r w:rsidRPr="00484C30">
              <w:rPr>
                <w:rFonts w:cs="Angsana New"/>
                <w:sz w:val="21"/>
                <w:szCs w:val="21"/>
                <w:lang w:val="en-GB" w:bidi="th-TH"/>
              </w:rPr>
              <w:t>26</w:t>
            </w:r>
          </w:p>
        </w:tc>
      </w:tr>
      <w:tr w:rsidR="00484C30" w:rsidRPr="000E3A36" w14:paraId="31FD295D" w14:textId="77777777" w:rsidTr="00B21B24">
        <w:tc>
          <w:tcPr>
            <w:tcW w:w="1776" w:type="dxa"/>
          </w:tcPr>
          <w:p w14:paraId="4A2F877F" w14:textId="77777777" w:rsidR="00484C30" w:rsidRPr="00484C30" w:rsidRDefault="00484C30" w:rsidP="00B21B24">
            <w:pPr>
              <w:rPr>
                <w:rFonts w:cs="Angsana New"/>
                <w:sz w:val="21"/>
                <w:szCs w:val="21"/>
                <w:lang w:val="en-GB" w:bidi="th-TH"/>
              </w:rPr>
            </w:pPr>
            <w:r w:rsidRPr="00484C30">
              <w:rPr>
                <w:rFonts w:cs="Angsana New"/>
                <w:sz w:val="21"/>
                <w:szCs w:val="21"/>
                <w:lang w:val="en-GB" w:bidi="th-TH"/>
              </w:rPr>
              <w:t>Indonesia</w:t>
            </w:r>
          </w:p>
        </w:tc>
        <w:tc>
          <w:tcPr>
            <w:tcW w:w="2324" w:type="dxa"/>
          </w:tcPr>
          <w:p w14:paraId="1C6DE75C" w14:textId="77777777" w:rsidR="00484C30" w:rsidRPr="00484C30" w:rsidRDefault="00484C30" w:rsidP="00B21B24">
            <w:pPr>
              <w:jc w:val="center"/>
              <w:rPr>
                <w:rFonts w:cs="Angsana New"/>
                <w:sz w:val="21"/>
                <w:szCs w:val="21"/>
                <w:lang w:val="en-GB" w:bidi="th-TH"/>
              </w:rPr>
            </w:pPr>
            <w:r w:rsidRPr="00484C30">
              <w:rPr>
                <w:rFonts w:cs="Angsana New"/>
                <w:sz w:val="21"/>
                <w:szCs w:val="21"/>
                <w:lang w:val="en-GB" w:bidi="th-TH"/>
              </w:rPr>
              <w:t>934,000</w:t>
            </w:r>
          </w:p>
        </w:tc>
        <w:tc>
          <w:tcPr>
            <w:tcW w:w="2300" w:type="dxa"/>
          </w:tcPr>
          <w:p w14:paraId="3F516E31" w14:textId="77777777" w:rsidR="00484C30" w:rsidRPr="00484C30" w:rsidRDefault="00484C30" w:rsidP="00B21B24">
            <w:pPr>
              <w:jc w:val="center"/>
              <w:rPr>
                <w:rFonts w:cs="Angsana New"/>
                <w:sz w:val="21"/>
                <w:szCs w:val="21"/>
                <w:lang w:val="en-GB" w:bidi="th-TH"/>
              </w:rPr>
            </w:pPr>
            <w:r w:rsidRPr="00484C30">
              <w:rPr>
                <w:rFonts w:cs="Angsana New"/>
                <w:sz w:val="21"/>
                <w:szCs w:val="21"/>
                <w:lang w:val="en-GB" w:bidi="th-TH"/>
              </w:rPr>
              <w:t>37</w:t>
            </w:r>
          </w:p>
        </w:tc>
      </w:tr>
      <w:tr w:rsidR="00484C30" w:rsidRPr="000E3A36" w14:paraId="09E80114" w14:textId="77777777" w:rsidTr="00B21B24">
        <w:tc>
          <w:tcPr>
            <w:tcW w:w="1776" w:type="dxa"/>
          </w:tcPr>
          <w:p w14:paraId="5828AD46" w14:textId="77777777" w:rsidR="00484C30" w:rsidRPr="00484C30" w:rsidRDefault="00484C30" w:rsidP="00B21B24">
            <w:pPr>
              <w:rPr>
                <w:rFonts w:cs="Angsana New"/>
                <w:sz w:val="21"/>
                <w:szCs w:val="21"/>
                <w:lang w:val="en-GB" w:bidi="th-TH"/>
              </w:rPr>
            </w:pPr>
            <w:r w:rsidRPr="00484C30">
              <w:rPr>
                <w:rFonts w:cs="Angsana New"/>
                <w:sz w:val="21"/>
                <w:szCs w:val="21"/>
                <w:lang w:val="en-GB" w:bidi="th-TH"/>
              </w:rPr>
              <w:t>Malaysia</w:t>
            </w:r>
          </w:p>
        </w:tc>
        <w:tc>
          <w:tcPr>
            <w:tcW w:w="2324" w:type="dxa"/>
          </w:tcPr>
          <w:p w14:paraId="2B8C4420" w14:textId="77777777" w:rsidR="00484C30" w:rsidRPr="00484C30" w:rsidRDefault="00484C30" w:rsidP="00B21B24">
            <w:pPr>
              <w:jc w:val="center"/>
              <w:rPr>
                <w:rFonts w:cs="Angsana New"/>
                <w:sz w:val="21"/>
                <w:szCs w:val="21"/>
                <w:lang w:val="en-GB" w:bidi="th-TH"/>
              </w:rPr>
            </w:pPr>
            <w:r w:rsidRPr="00484C30">
              <w:rPr>
                <w:rFonts w:cs="Angsana New"/>
                <w:sz w:val="21"/>
                <w:szCs w:val="21"/>
                <w:lang w:val="en-GB" w:bidi="th-TH"/>
              </w:rPr>
              <w:t>532,000</w:t>
            </w:r>
          </w:p>
        </w:tc>
        <w:tc>
          <w:tcPr>
            <w:tcW w:w="2300" w:type="dxa"/>
          </w:tcPr>
          <w:p w14:paraId="3F1E5678" w14:textId="77777777" w:rsidR="00484C30" w:rsidRPr="00484C30" w:rsidRDefault="00484C30" w:rsidP="00B21B24">
            <w:pPr>
              <w:jc w:val="center"/>
              <w:rPr>
                <w:rFonts w:cs="Angsana New"/>
                <w:sz w:val="21"/>
                <w:szCs w:val="21"/>
                <w:lang w:val="en-GB" w:bidi="th-TH"/>
              </w:rPr>
            </w:pPr>
            <w:r w:rsidRPr="00484C30">
              <w:rPr>
                <w:rFonts w:cs="Angsana New"/>
                <w:sz w:val="21"/>
                <w:szCs w:val="21"/>
                <w:lang w:val="en-GB" w:bidi="th-TH"/>
              </w:rPr>
              <w:t>42</w:t>
            </w:r>
          </w:p>
        </w:tc>
      </w:tr>
      <w:tr w:rsidR="00484C30" w:rsidRPr="000E3A36" w14:paraId="4C0FB7EA" w14:textId="77777777" w:rsidTr="00B21B24">
        <w:tc>
          <w:tcPr>
            <w:tcW w:w="1776" w:type="dxa"/>
          </w:tcPr>
          <w:p w14:paraId="247E1AAF" w14:textId="77777777" w:rsidR="00484C30" w:rsidRPr="00484C30" w:rsidRDefault="00484C30" w:rsidP="00B21B24">
            <w:pPr>
              <w:rPr>
                <w:rFonts w:cs="Angsana New"/>
                <w:sz w:val="21"/>
                <w:szCs w:val="21"/>
                <w:lang w:val="en-GB" w:bidi="th-TH"/>
              </w:rPr>
            </w:pPr>
            <w:r w:rsidRPr="00484C30">
              <w:rPr>
                <w:rFonts w:cs="Angsana New"/>
                <w:sz w:val="21"/>
                <w:szCs w:val="21"/>
                <w:lang w:val="en-GB" w:bidi="th-TH"/>
              </w:rPr>
              <w:t>Philippines</w:t>
            </w:r>
          </w:p>
        </w:tc>
        <w:tc>
          <w:tcPr>
            <w:tcW w:w="2324" w:type="dxa"/>
          </w:tcPr>
          <w:p w14:paraId="14D26AD1" w14:textId="77777777" w:rsidR="00484C30" w:rsidRPr="00484C30" w:rsidRDefault="00484C30" w:rsidP="00B21B24">
            <w:pPr>
              <w:jc w:val="center"/>
              <w:rPr>
                <w:rFonts w:cs="Angsana New"/>
                <w:sz w:val="21"/>
                <w:szCs w:val="21"/>
                <w:lang w:val="en-GB" w:bidi="th-TH"/>
              </w:rPr>
            </w:pPr>
            <w:r w:rsidRPr="00484C30">
              <w:rPr>
                <w:rFonts w:cs="Angsana New"/>
                <w:sz w:val="21"/>
                <w:szCs w:val="21"/>
                <w:lang w:val="en-GB" w:bidi="th-TH"/>
              </w:rPr>
              <w:t>23,400</w:t>
            </w:r>
          </w:p>
        </w:tc>
        <w:tc>
          <w:tcPr>
            <w:tcW w:w="2300" w:type="dxa"/>
          </w:tcPr>
          <w:p w14:paraId="67589317" w14:textId="77777777" w:rsidR="00484C30" w:rsidRPr="00484C30" w:rsidRDefault="00484C30" w:rsidP="00B21B24">
            <w:pPr>
              <w:jc w:val="center"/>
              <w:rPr>
                <w:rFonts w:cs="Angsana New"/>
                <w:sz w:val="21"/>
                <w:szCs w:val="21"/>
                <w:lang w:val="en-GB" w:bidi="th-TH"/>
              </w:rPr>
            </w:pPr>
            <w:r w:rsidRPr="00484C30">
              <w:rPr>
                <w:rFonts w:cs="Angsana New"/>
                <w:sz w:val="21"/>
                <w:szCs w:val="21"/>
                <w:lang w:val="en-GB" w:bidi="th-TH"/>
              </w:rPr>
              <w:t>28</w:t>
            </w:r>
          </w:p>
        </w:tc>
      </w:tr>
      <w:tr w:rsidR="00484C30" w:rsidRPr="000E3A36" w14:paraId="5B13B8D7" w14:textId="77777777" w:rsidTr="00B21B24">
        <w:tc>
          <w:tcPr>
            <w:tcW w:w="1776" w:type="dxa"/>
          </w:tcPr>
          <w:p w14:paraId="120F6EB1" w14:textId="77777777" w:rsidR="00484C30" w:rsidRPr="00484C30" w:rsidRDefault="00484C30" w:rsidP="00B21B24">
            <w:pPr>
              <w:rPr>
                <w:rFonts w:cs="Angsana New"/>
                <w:sz w:val="21"/>
                <w:szCs w:val="21"/>
                <w:lang w:val="en-GB" w:bidi="th-TH"/>
              </w:rPr>
            </w:pPr>
            <w:r w:rsidRPr="00484C30">
              <w:rPr>
                <w:rFonts w:cs="Angsana New"/>
                <w:sz w:val="21"/>
                <w:szCs w:val="21"/>
                <w:lang w:val="en-GB" w:bidi="th-TH"/>
              </w:rPr>
              <w:t>Thailand</w:t>
            </w:r>
          </w:p>
        </w:tc>
        <w:tc>
          <w:tcPr>
            <w:tcW w:w="2324" w:type="dxa"/>
          </w:tcPr>
          <w:p w14:paraId="7516383E" w14:textId="77777777" w:rsidR="00484C30" w:rsidRPr="00484C30" w:rsidRDefault="00484C30" w:rsidP="00B21B24">
            <w:pPr>
              <w:jc w:val="center"/>
              <w:rPr>
                <w:rFonts w:cs="Angsana New"/>
                <w:sz w:val="21"/>
                <w:szCs w:val="21"/>
                <w:lang w:val="en-GB" w:bidi="th-TH"/>
              </w:rPr>
            </w:pPr>
            <w:r w:rsidRPr="00484C30">
              <w:rPr>
                <w:rFonts w:cs="Angsana New"/>
                <w:sz w:val="21"/>
                <w:szCs w:val="21"/>
                <w:lang w:val="en-GB" w:bidi="th-TH"/>
              </w:rPr>
              <w:t>28,000</w:t>
            </w:r>
          </w:p>
        </w:tc>
        <w:tc>
          <w:tcPr>
            <w:tcW w:w="2300" w:type="dxa"/>
          </w:tcPr>
          <w:p w14:paraId="70788859" w14:textId="77777777" w:rsidR="00484C30" w:rsidRPr="00484C30" w:rsidRDefault="00484C30" w:rsidP="00B21B24">
            <w:pPr>
              <w:jc w:val="center"/>
              <w:rPr>
                <w:rFonts w:cs="Angsana New"/>
                <w:sz w:val="21"/>
                <w:szCs w:val="21"/>
                <w:lang w:val="en-GB" w:bidi="th-TH"/>
              </w:rPr>
            </w:pPr>
            <w:r w:rsidRPr="00484C30">
              <w:rPr>
                <w:rFonts w:cs="Angsana New"/>
                <w:sz w:val="21"/>
                <w:szCs w:val="21"/>
                <w:lang w:val="en-GB" w:bidi="th-TH"/>
              </w:rPr>
              <w:t>27</w:t>
            </w:r>
          </w:p>
        </w:tc>
      </w:tr>
      <w:tr w:rsidR="00484C30" w:rsidRPr="000E3A36" w14:paraId="66485BB4" w14:textId="77777777" w:rsidTr="00B21B24">
        <w:tc>
          <w:tcPr>
            <w:tcW w:w="1776" w:type="dxa"/>
          </w:tcPr>
          <w:p w14:paraId="1EA6E959" w14:textId="77777777" w:rsidR="00484C30" w:rsidRPr="00484C30" w:rsidRDefault="00484C30" w:rsidP="00B21B24">
            <w:pPr>
              <w:rPr>
                <w:rFonts w:cs="Angsana New"/>
                <w:sz w:val="21"/>
                <w:szCs w:val="21"/>
                <w:lang w:val="en-GB" w:bidi="th-TH"/>
              </w:rPr>
            </w:pPr>
            <w:r w:rsidRPr="00484C30">
              <w:rPr>
                <w:rFonts w:cs="Angsana New"/>
                <w:sz w:val="21"/>
                <w:szCs w:val="21"/>
                <w:lang w:val="en-GB" w:bidi="th-TH"/>
              </w:rPr>
              <w:t>Viet Nam</w:t>
            </w:r>
          </w:p>
        </w:tc>
        <w:tc>
          <w:tcPr>
            <w:tcW w:w="2324" w:type="dxa"/>
          </w:tcPr>
          <w:p w14:paraId="0452BBA0" w14:textId="77777777" w:rsidR="00484C30" w:rsidRPr="00484C30" w:rsidRDefault="00484C30" w:rsidP="00B21B24">
            <w:pPr>
              <w:jc w:val="center"/>
              <w:rPr>
                <w:rFonts w:cs="Angsana New"/>
                <w:sz w:val="21"/>
                <w:szCs w:val="21"/>
                <w:lang w:val="en-GB" w:bidi="th-TH"/>
              </w:rPr>
            </w:pPr>
            <w:r w:rsidRPr="00484C30">
              <w:rPr>
                <w:rFonts w:cs="Angsana New"/>
                <w:sz w:val="21"/>
                <w:szCs w:val="21"/>
                <w:lang w:val="en-GB" w:bidi="th-TH"/>
              </w:rPr>
              <w:t>157,000</w:t>
            </w:r>
          </w:p>
        </w:tc>
        <w:tc>
          <w:tcPr>
            <w:tcW w:w="2300" w:type="dxa"/>
          </w:tcPr>
          <w:p w14:paraId="74F496C1" w14:textId="77777777" w:rsidR="00484C30" w:rsidRPr="00484C30" w:rsidRDefault="00484C30" w:rsidP="00B21B24">
            <w:pPr>
              <w:jc w:val="center"/>
              <w:rPr>
                <w:rFonts w:cs="Angsana New"/>
                <w:sz w:val="21"/>
                <w:szCs w:val="21"/>
                <w:lang w:val="en-GB" w:bidi="th-TH"/>
              </w:rPr>
            </w:pPr>
            <w:r w:rsidRPr="00484C30">
              <w:rPr>
                <w:rFonts w:cs="Angsana New"/>
                <w:sz w:val="21"/>
                <w:szCs w:val="21"/>
                <w:lang w:val="en-GB" w:bidi="th-TH"/>
              </w:rPr>
              <w:t>37</w:t>
            </w:r>
          </w:p>
        </w:tc>
      </w:tr>
      <w:tr w:rsidR="00484C30" w:rsidRPr="000E3A36" w14:paraId="4255B05F" w14:textId="77777777" w:rsidTr="00B21B24">
        <w:tc>
          <w:tcPr>
            <w:tcW w:w="1776" w:type="dxa"/>
          </w:tcPr>
          <w:p w14:paraId="00F2F052" w14:textId="77777777" w:rsidR="00484C30" w:rsidRPr="00484C30" w:rsidRDefault="00484C30" w:rsidP="00B21B24">
            <w:pPr>
              <w:rPr>
                <w:rFonts w:cs="Angsana New"/>
                <w:sz w:val="21"/>
                <w:szCs w:val="21"/>
                <w:lang w:val="en-GB" w:bidi="th-TH"/>
              </w:rPr>
            </w:pPr>
            <w:r w:rsidRPr="00484C30">
              <w:rPr>
                <w:rFonts w:cs="Angsana New"/>
                <w:sz w:val="21"/>
                <w:szCs w:val="21"/>
                <w:lang w:val="en-GB" w:bidi="th-TH"/>
              </w:rPr>
              <w:t>Total</w:t>
            </w:r>
          </w:p>
        </w:tc>
        <w:tc>
          <w:tcPr>
            <w:tcW w:w="2324" w:type="dxa"/>
          </w:tcPr>
          <w:p w14:paraId="02FA2ACC" w14:textId="77777777" w:rsidR="00484C30" w:rsidRPr="00484C30" w:rsidRDefault="00484C30" w:rsidP="00B21B24">
            <w:pPr>
              <w:jc w:val="center"/>
              <w:rPr>
                <w:rFonts w:cs="Angsana New"/>
                <w:sz w:val="21"/>
                <w:szCs w:val="21"/>
                <w:lang w:val="en-GB" w:bidi="th-TH"/>
              </w:rPr>
            </w:pPr>
            <w:r w:rsidRPr="00484C30">
              <w:rPr>
                <w:rFonts w:cs="Angsana New"/>
                <w:sz w:val="21"/>
                <w:szCs w:val="21"/>
                <w:lang w:val="en-GB" w:bidi="th-TH"/>
              </w:rPr>
              <w:t>1,770,000</w:t>
            </w:r>
          </w:p>
        </w:tc>
        <w:tc>
          <w:tcPr>
            <w:tcW w:w="2300" w:type="dxa"/>
          </w:tcPr>
          <w:p w14:paraId="52487FA5" w14:textId="77777777" w:rsidR="00484C30" w:rsidRPr="00484C30" w:rsidRDefault="00484C30" w:rsidP="00B21B24">
            <w:pPr>
              <w:jc w:val="center"/>
              <w:rPr>
                <w:rFonts w:cs="Angsana New"/>
                <w:sz w:val="21"/>
                <w:szCs w:val="21"/>
                <w:lang w:val="en-GB" w:bidi="th-TH"/>
              </w:rPr>
            </w:pPr>
            <w:r w:rsidRPr="00484C30">
              <w:rPr>
                <w:rFonts w:cs="Angsana New"/>
                <w:sz w:val="21"/>
                <w:szCs w:val="21"/>
                <w:lang w:val="en-GB" w:bidi="th-TH"/>
              </w:rPr>
              <w:t>45</w:t>
            </w:r>
          </w:p>
        </w:tc>
      </w:tr>
    </w:tbl>
    <w:p w14:paraId="6C5C0C6B" w14:textId="77777777" w:rsidR="00484C30" w:rsidRDefault="00484C30" w:rsidP="00484C30">
      <w:pPr>
        <w:rPr>
          <w:sz w:val="22"/>
          <w:szCs w:val="22"/>
        </w:rPr>
      </w:pPr>
    </w:p>
    <w:p w14:paraId="225551E5" w14:textId="77777777" w:rsidR="00484C30" w:rsidRPr="00484C30" w:rsidRDefault="00484C30" w:rsidP="00484C30">
      <w:pPr>
        <w:numPr>
          <w:ilvl w:val="2"/>
          <w:numId w:val="2"/>
        </w:numPr>
        <w:spacing w:after="120"/>
        <w:outlineLvl w:val="1"/>
        <w:rPr>
          <w:b/>
          <w:sz w:val="22"/>
          <w:szCs w:val="22"/>
          <w:lang w:val="en-GB"/>
        </w:rPr>
      </w:pPr>
      <w:r>
        <w:rPr>
          <w:b/>
          <w:sz w:val="22"/>
          <w:szCs w:val="22"/>
          <w:lang w:val="en-GB"/>
        </w:rPr>
        <w:t>Coral reefs</w:t>
      </w:r>
    </w:p>
    <w:p w14:paraId="3E337CC2" w14:textId="77777777" w:rsidR="00484C30" w:rsidRDefault="00484C30" w:rsidP="0077092C">
      <w:pPr>
        <w:numPr>
          <w:ilvl w:val="0"/>
          <w:numId w:val="3"/>
        </w:numPr>
        <w:spacing w:after="120"/>
        <w:ind w:left="0" w:firstLine="0"/>
        <w:jc w:val="both"/>
        <w:rPr>
          <w:sz w:val="22"/>
          <w:szCs w:val="22"/>
          <w:lang w:val="en-GB"/>
        </w:rPr>
      </w:pPr>
      <w:r w:rsidRPr="00484C30">
        <w:rPr>
          <w:sz w:val="22"/>
          <w:szCs w:val="22"/>
          <w:lang w:val="en-GB"/>
        </w:rPr>
        <w:t>Southeast Asia is recognised as the global centre of coral reefs, both in terms of areal extent and species diversity. An estimated 1/3 of the Earth’s coral reefs (91,700 of 284,000 sq. km) are located in the seas of Southeast Asia (Burke et al., 2002). Fringing reefs are well developed away from the major river estuaries, particularly in the Philippines and the central and southern areas of the South China Sea. All major reef types from fringing, patch or platform reefs and atolls occur in the South China Sea</w:t>
      </w:r>
      <w:r w:rsidR="009F60FC">
        <w:rPr>
          <w:rStyle w:val="FootnoteReference"/>
          <w:sz w:val="22"/>
          <w:szCs w:val="22"/>
          <w:lang w:val="en-GB"/>
        </w:rPr>
        <w:footnoteReference w:id="48"/>
      </w:r>
      <w:r w:rsidRPr="00484C30">
        <w:rPr>
          <w:sz w:val="22"/>
          <w:szCs w:val="22"/>
          <w:lang w:val="en-GB"/>
        </w:rPr>
        <w:t xml:space="preserve">. Based on data compiled by members of the Regional Working Group on Coral Reefs (RWG-CR) (UNEP, </w:t>
      </w:r>
      <w:r w:rsidR="00F00EEB" w:rsidRPr="00484C30">
        <w:rPr>
          <w:sz w:val="22"/>
          <w:szCs w:val="22"/>
          <w:lang w:val="en-GB"/>
        </w:rPr>
        <w:t>2007</w:t>
      </w:r>
      <w:r w:rsidR="00F00EEB">
        <w:rPr>
          <w:sz w:val="22"/>
          <w:szCs w:val="22"/>
          <w:lang w:val="en-GB"/>
        </w:rPr>
        <w:t>l</w:t>
      </w:r>
      <w:r w:rsidRPr="00484C30">
        <w:rPr>
          <w:sz w:val="22"/>
          <w:szCs w:val="22"/>
          <w:lang w:val="en-GB"/>
        </w:rPr>
        <w:t>), approximately 750,000 ha of coral reef has been identified in the South China Sea coastal waters of the following six countries: Cambodia (2807 ha); Indonesia (39,300 ha); Malaysia (43,400 ha); the Philippines (464,000 ha); Thailand (90,000 ha); and Viet Nam (110,000 ha). The area of coral reefs in the waters of the South China Sea countries/ territories that did not participate in the coral reef activities of the SCS project were reported by Burke et al. (2002) as follows: China (90,000 ha); Taiwan (70,000 ha); Brunei Darussalam (20,000 ha); and Singapore (5500 ha). Accordingly, the total area of coral reefs in the coastal waters bordering the South China Sea is approximately 930,000 ha.</w:t>
      </w:r>
    </w:p>
    <w:p w14:paraId="5845EBA7" w14:textId="77777777" w:rsidR="0077092C" w:rsidRDefault="0077092C" w:rsidP="0077092C">
      <w:pPr>
        <w:numPr>
          <w:ilvl w:val="0"/>
          <w:numId w:val="3"/>
        </w:numPr>
        <w:spacing w:after="120"/>
        <w:ind w:left="0" w:firstLine="0"/>
        <w:jc w:val="both"/>
        <w:rPr>
          <w:sz w:val="22"/>
          <w:szCs w:val="22"/>
        </w:rPr>
      </w:pPr>
      <w:r w:rsidRPr="00A41336">
        <w:rPr>
          <w:sz w:val="22"/>
          <w:szCs w:val="22"/>
        </w:rPr>
        <w:t>Large coastal coral reef areas w</w:t>
      </w:r>
      <w:r>
        <w:rPr>
          <w:sz w:val="22"/>
          <w:szCs w:val="22"/>
        </w:rPr>
        <w:t xml:space="preserve">ere identified by the RWG-CR to </w:t>
      </w:r>
      <w:r w:rsidRPr="00A41336">
        <w:rPr>
          <w:sz w:val="22"/>
          <w:szCs w:val="22"/>
        </w:rPr>
        <w:t xml:space="preserve">be located at the following South </w:t>
      </w:r>
      <w:r>
        <w:rPr>
          <w:sz w:val="22"/>
          <w:szCs w:val="22"/>
        </w:rPr>
        <w:t xml:space="preserve">China Sea sites: Ninh Hai (Ninh </w:t>
      </w:r>
      <w:r w:rsidRPr="00A41336">
        <w:rPr>
          <w:sz w:val="22"/>
          <w:szCs w:val="22"/>
        </w:rPr>
        <w:t>Thuan) (1070 ha), Ca Na Bay</w:t>
      </w:r>
      <w:r>
        <w:rPr>
          <w:sz w:val="22"/>
          <w:szCs w:val="22"/>
        </w:rPr>
        <w:t xml:space="preserve"> (2270 ha), and Con Dao Islands </w:t>
      </w:r>
      <w:r w:rsidRPr="00A41336">
        <w:rPr>
          <w:sz w:val="22"/>
          <w:szCs w:val="22"/>
        </w:rPr>
        <w:t xml:space="preserve">(1000 ha) in Viet Nam; Muh Ko </w:t>
      </w:r>
      <w:r>
        <w:rPr>
          <w:sz w:val="22"/>
          <w:szCs w:val="22"/>
        </w:rPr>
        <w:t xml:space="preserve">Chang (18,700 ha), Muh Ko Samui </w:t>
      </w:r>
      <w:r w:rsidRPr="00A41336">
        <w:rPr>
          <w:sz w:val="22"/>
          <w:szCs w:val="22"/>
        </w:rPr>
        <w:t>(39,000 ha) and Mu Koh Samei (420</w:t>
      </w:r>
      <w:r>
        <w:rPr>
          <w:sz w:val="22"/>
          <w:szCs w:val="22"/>
        </w:rPr>
        <w:t xml:space="preserve">0 ha) in Thailand; Palau Redang </w:t>
      </w:r>
      <w:r w:rsidRPr="00A41336">
        <w:rPr>
          <w:sz w:val="22"/>
          <w:szCs w:val="22"/>
        </w:rPr>
        <w:t>(2550 ha), Palau Perhentian B</w:t>
      </w:r>
      <w:r>
        <w:rPr>
          <w:sz w:val="22"/>
          <w:szCs w:val="22"/>
        </w:rPr>
        <w:t xml:space="preserve">esar (1820 ha) and Palau Tioman </w:t>
      </w:r>
      <w:r w:rsidRPr="00A41336">
        <w:rPr>
          <w:sz w:val="22"/>
          <w:szCs w:val="22"/>
        </w:rPr>
        <w:t>(5023 ha) in Malaysia; Anambas</w:t>
      </w:r>
      <w:r>
        <w:rPr>
          <w:sz w:val="22"/>
          <w:szCs w:val="22"/>
        </w:rPr>
        <w:t xml:space="preserve"> (6260 ha), Barelang dan Bintan </w:t>
      </w:r>
      <w:r w:rsidRPr="00A41336">
        <w:rPr>
          <w:sz w:val="22"/>
          <w:szCs w:val="22"/>
        </w:rPr>
        <w:t>(615</w:t>
      </w:r>
      <w:r>
        <w:rPr>
          <w:sz w:val="22"/>
          <w:szCs w:val="22"/>
        </w:rPr>
        <w:t>0 ha) and Natuna (15,900 ha) in Indonesia; and the Bolinao/</w:t>
      </w:r>
      <w:r w:rsidRPr="00A41336">
        <w:rPr>
          <w:sz w:val="22"/>
          <w:szCs w:val="22"/>
        </w:rPr>
        <w:t>Lingayen Gulf (9560 ha), Calamian</w:t>
      </w:r>
      <w:r>
        <w:rPr>
          <w:sz w:val="22"/>
          <w:szCs w:val="22"/>
        </w:rPr>
        <w:t xml:space="preserve">es Group of Islands (18,200 ha) </w:t>
      </w:r>
      <w:r w:rsidRPr="00A41336">
        <w:rPr>
          <w:sz w:val="22"/>
          <w:szCs w:val="22"/>
        </w:rPr>
        <w:t>and El Nido, Palawa</w:t>
      </w:r>
      <w:r>
        <w:rPr>
          <w:sz w:val="22"/>
          <w:szCs w:val="22"/>
        </w:rPr>
        <w:t xml:space="preserve">n (4250 ha) in the Philippines. </w:t>
      </w:r>
      <w:r w:rsidRPr="00A41336">
        <w:rPr>
          <w:sz w:val="22"/>
          <w:szCs w:val="22"/>
        </w:rPr>
        <w:t xml:space="preserve">In terms of species richness, the </w:t>
      </w:r>
      <w:r>
        <w:rPr>
          <w:sz w:val="22"/>
          <w:szCs w:val="22"/>
        </w:rPr>
        <w:t xml:space="preserve">southern and eastern coastlines </w:t>
      </w:r>
      <w:r w:rsidRPr="00A41336">
        <w:rPr>
          <w:sz w:val="22"/>
          <w:szCs w:val="22"/>
        </w:rPr>
        <w:t>of the South China Sea fall within t</w:t>
      </w:r>
      <w:r>
        <w:rPr>
          <w:sz w:val="22"/>
          <w:szCs w:val="22"/>
        </w:rPr>
        <w:t xml:space="preserve">he so-called coral triangle and </w:t>
      </w:r>
      <w:r w:rsidRPr="00A41336">
        <w:rPr>
          <w:sz w:val="22"/>
          <w:szCs w:val="22"/>
        </w:rPr>
        <w:t>within the isopangeneric contour of</w:t>
      </w:r>
      <w:r>
        <w:rPr>
          <w:sz w:val="22"/>
          <w:szCs w:val="22"/>
        </w:rPr>
        <w:t xml:space="preserve"> 70 coral genera (Veron, 1995). </w:t>
      </w:r>
      <w:r w:rsidRPr="00A41336">
        <w:rPr>
          <w:sz w:val="22"/>
          <w:szCs w:val="22"/>
        </w:rPr>
        <w:t>Comparative analysis of the</w:t>
      </w:r>
      <w:r>
        <w:rPr>
          <w:sz w:val="22"/>
          <w:szCs w:val="22"/>
        </w:rPr>
        <w:t xml:space="preserve"> distribution of maximum marine </w:t>
      </w:r>
      <w:r w:rsidRPr="00A41336">
        <w:rPr>
          <w:sz w:val="22"/>
          <w:szCs w:val="22"/>
        </w:rPr>
        <w:t>biodiversity for various taxono</w:t>
      </w:r>
      <w:r>
        <w:rPr>
          <w:sz w:val="22"/>
          <w:szCs w:val="22"/>
        </w:rPr>
        <w:t xml:space="preserve">mic groups has been reviewed by </w:t>
      </w:r>
      <w:r w:rsidRPr="00A41336">
        <w:rPr>
          <w:sz w:val="22"/>
          <w:szCs w:val="22"/>
        </w:rPr>
        <w:t>Hoeksema (2007) who notes that</w:t>
      </w:r>
      <w:r>
        <w:rPr>
          <w:sz w:val="22"/>
          <w:szCs w:val="22"/>
        </w:rPr>
        <w:t xml:space="preserve"> different authors have defined </w:t>
      </w:r>
      <w:r w:rsidRPr="00A41336">
        <w:rPr>
          <w:sz w:val="22"/>
          <w:szCs w:val="22"/>
        </w:rPr>
        <w:t>different ‘triangles’ and applied diff</w:t>
      </w:r>
      <w:r>
        <w:rPr>
          <w:sz w:val="22"/>
          <w:szCs w:val="22"/>
        </w:rPr>
        <w:t xml:space="preserve">erent names to this ‘centre’ of </w:t>
      </w:r>
      <w:r w:rsidRPr="00A41336">
        <w:rPr>
          <w:sz w:val="22"/>
          <w:szCs w:val="22"/>
        </w:rPr>
        <w:t>marine biodiversity. Some of t</w:t>
      </w:r>
      <w:r>
        <w:rPr>
          <w:sz w:val="22"/>
          <w:szCs w:val="22"/>
        </w:rPr>
        <w:t xml:space="preserve">hese triangles only include the </w:t>
      </w:r>
      <w:r w:rsidRPr="00A41336">
        <w:rPr>
          <w:sz w:val="22"/>
          <w:szCs w:val="22"/>
        </w:rPr>
        <w:t xml:space="preserve">eastern side of the South China </w:t>
      </w:r>
      <w:r>
        <w:rPr>
          <w:sz w:val="22"/>
          <w:szCs w:val="22"/>
        </w:rPr>
        <w:t xml:space="preserve">Sea, while others encompass the </w:t>
      </w:r>
      <w:r w:rsidRPr="00A41336">
        <w:rPr>
          <w:sz w:val="22"/>
          <w:szCs w:val="22"/>
        </w:rPr>
        <w:t>southern half of the South Chin</w:t>
      </w:r>
      <w:r>
        <w:rPr>
          <w:sz w:val="22"/>
          <w:szCs w:val="22"/>
        </w:rPr>
        <w:t xml:space="preserve">a Sea. </w:t>
      </w:r>
    </w:p>
    <w:p w14:paraId="0D6E42F5" w14:textId="77777777" w:rsidR="0077092C" w:rsidRDefault="0077092C" w:rsidP="0077092C">
      <w:pPr>
        <w:numPr>
          <w:ilvl w:val="0"/>
          <w:numId w:val="3"/>
        </w:numPr>
        <w:spacing w:after="120"/>
        <w:ind w:left="0" w:firstLine="0"/>
        <w:jc w:val="both"/>
        <w:rPr>
          <w:sz w:val="22"/>
          <w:szCs w:val="22"/>
        </w:rPr>
      </w:pPr>
      <w:r>
        <w:rPr>
          <w:sz w:val="22"/>
          <w:szCs w:val="22"/>
        </w:rPr>
        <w:t xml:space="preserve">As a consequence of more </w:t>
      </w:r>
      <w:r w:rsidRPr="00A41336">
        <w:rPr>
          <w:sz w:val="22"/>
          <w:szCs w:val="22"/>
        </w:rPr>
        <w:t xml:space="preserve">recent surveys in Viet Nam (Vo </w:t>
      </w:r>
      <w:r>
        <w:rPr>
          <w:sz w:val="22"/>
          <w:szCs w:val="22"/>
        </w:rPr>
        <w:t xml:space="preserve">et al., </w:t>
      </w:r>
      <w:r w:rsidR="00F00EEB">
        <w:rPr>
          <w:sz w:val="22"/>
          <w:szCs w:val="22"/>
        </w:rPr>
        <w:t>2013</w:t>
      </w:r>
      <w:r>
        <w:rPr>
          <w:sz w:val="22"/>
          <w:szCs w:val="22"/>
        </w:rPr>
        <w:t>), it has been</w:t>
      </w:r>
      <w:r w:rsidRPr="00A41336">
        <w:rPr>
          <w:sz w:val="22"/>
          <w:szCs w:val="22"/>
        </w:rPr>
        <w:t xml:space="preserve"> recommende</w:t>
      </w:r>
      <w:r>
        <w:rPr>
          <w:sz w:val="22"/>
          <w:szCs w:val="22"/>
        </w:rPr>
        <w:t xml:space="preserve">d that this contour be expanded </w:t>
      </w:r>
      <w:r w:rsidRPr="00A41336">
        <w:rPr>
          <w:sz w:val="22"/>
          <w:szCs w:val="22"/>
        </w:rPr>
        <w:t>westwards to cover the south-</w:t>
      </w:r>
      <w:r>
        <w:rPr>
          <w:sz w:val="22"/>
          <w:szCs w:val="22"/>
        </w:rPr>
        <w:t xml:space="preserve">central waters of Viet Nam thus </w:t>
      </w:r>
      <w:r w:rsidRPr="00A41336">
        <w:rPr>
          <w:sz w:val="22"/>
          <w:szCs w:val="22"/>
        </w:rPr>
        <w:t xml:space="preserve">corresponding more closely </w:t>
      </w:r>
      <w:r>
        <w:rPr>
          <w:sz w:val="22"/>
          <w:szCs w:val="22"/>
        </w:rPr>
        <w:t xml:space="preserve">to the coral triangle delimited </w:t>
      </w:r>
      <w:r w:rsidRPr="00A41336">
        <w:rPr>
          <w:sz w:val="22"/>
          <w:szCs w:val="22"/>
        </w:rPr>
        <w:t>by Briggs (2005a,b). The recent finding of the hard coral Leptoseris</w:t>
      </w:r>
      <w:r>
        <w:rPr>
          <w:sz w:val="22"/>
          <w:szCs w:val="22"/>
        </w:rPr>
        <w:t xml:space="preserve"> </w:t>
      </w:r>
      <w:r w:rsidRPr="00A41336">
        <w:rPr>
          <w:sz w:val="22"/>
          <w:szCs w:val="22"/>
        </w:rPr>
        <w:t>kalayaanensis in Nha Trang (we</w:t>
      </w:r>
      <w:r>
        <w:rPr>
          <w:sz w:val="22"/>
          <w:szCs w:val="22"/>
        </w:rPr>
        <w:t xml:space="preserve">sternmost location in the South </w:t>
      </w:r>
      <w:r w:rsidRPr="00A41336">
        <w:rPr>
          <w:sz w:val="22"/>
          <w:szCs w:val="22"/>
        </w:rPr>
        <w:t>China Sea), the Northeast Investigat</w:t>
      </w:r>
      <w:r>
        <w:rPr>
          <w:sz w:val="22"/>
          <w:szCs w:val="22"/>
        </w:rPr>
        <w:t xml:space="preserve">or Shoal (Kalayaan islands) and </w:t>
      </w:r>
      <w:r w:rsidRPr="00A41336">
        <w:rPr>
          <w:sz w:val="22"/>
          <w:szCs w:val="22"/>
        </w:rPr>
        <w:t>North Danger</w:t>
      </w:r>
      <w:r w:rsidR="00540983">
        <w:rPr>
          <w:sz w:val="22"/>
          <w:szCs w:val="22"/>
        </w:rPr>
        <w:t xml:space="preserve"> Reefs </w:t>
      </w:r>
      <w:r>
        <w:rPr>
          <w:sz w:val="22"/>
          <w:szCs w:val="22"/>
        </w:rPr>
        <w:t xml:space="preserve">complex indicate that little is </w:t>
      </w:r>
      <w:r w:rsidRPr="00A41336">
        <w:rPr>
          <w:sz w:val="22"/>
          <w:szCs w:val="22"/>
        </w:rPr>
        <w:t xml:space="preserve">known about the coral fauna of the </w:t>
      </w:r>
      <w:r>
        <w:rPr>
          <w:sz w:val="22"/>
          <w:szCs w:val="22"/>
        </w:rPr>
        <w:t xml:space="preserve">South China Sea relevant to the </w:t>
      </w:r>
      <w:r w:rsidRPr="00A41336">
        <w:rPr>
          <w:sz w:val="22"/>
          <w:szCs w:val="22"/>
        </w:rPr>
        <w:t>positioning of the northwe</w:t>
      </w:r>
      <w:r>
        <w:rPr>
          <w:sz w:val="22"/>
          <w:szCs w:val="22"/>
        </w:rPr>
        <w:t xml:space="preserve">stern boundary of the centre of </w:t>
      </w:r>
      <w:r w:rsidRPr="00A41336">
        <w:rPr>
          <w:sz w:val="22"/>
          <w:szCs w:val="22"/>
        </w:rPr>
        <w:t>maximum coral species richnes</w:t>
      </w:r>
      <w:r>
        <w:rPr>
          <w:sz w:val="22"/>
          <w:szCs w:val="22"/>
        </w:rPr>
        <w:t xml:space="preserve">s, the Coral Triangle (Hoeksema </w:t>
      </w:r>
      <w:r w:rsidRPr="00A41336">
        <w:rPr>
          <w:sz w:val="22"/>
          <w:szCs w:val="22"/>
        </w:rPr>
        <w:t xml:space="preserve">et al., 2010). In terms of diversity at </w:t>
      </w:r>
      <w:r>
        <w:rPr>
          <w:sz w:val="22"/>
          <w:szCs w:val="22"/>
        </w:rPr>
        <w:t xml:space="preserve">individual localities, hotspots </w:t>
      </w:r>
      <w:r w:rsidRPr="00A41336">
        <w:rPr>
          <w:sz w:val="22"/>
          <w:szCs w:val="22"/>
        </w:rPr>
        <w:t>of coral species richness occur at Nha Trang (Viet Nam) with 351</w:t>
      </w:r>
      <w:r>
        <w:rPr>
          <w:sz w:val="22"/>
          <w:szCs w:val="22"/>
        </w:rPr>
        <w:t xml:space="preserve"> </w:t>
      </w:r>
      <w:r w:rsidRPr="00A41336">
        <w:rPr>
          <w:sz w:val="22"/>
          <w:szCs w:val="22"/>
        </w:rPr>
        <w:t>specie</w:t>
      </w:r>
      <w:r>
        <w:rPr>
          <w:sz w:val="22"/>
          <w:szCs w:val="22"/>
        </w:rPr>
        <w:t xml:space="preserve">s (Vo et al., 2002) and El Nido (Palawan, Philippines) with 305 </w:t>
      </w:r>
      <w:r w:rsidRPr="00A41336">
        <w:rPr>
          <w:sz w:val="22"/>
          <w:szCs w:val="22"/>
        </w:rPr>
        <w:t xml:space="preserve">species (UNEP, </w:t>
      </w:r>
      <w:r w:rsidR="0088438A" w:rsidRPr="00A41336">
        <w:rPr>
          <w:sz w:val="22"/>
          <w:szCs w:val="22"/>
        </w:rPr>
        <w:t>2007</w:t>
      </w:r>
      <w:r w:rsidR="0088438A">
        <w:rPr>
          <w:sz w:val="22"/>
          <w:szCs w:val="22"/>
        </w:rPr>
        <w:t>l</w:t>
      </w:r>
      <w:r w:rsidRPr="00A41336">
        <w:rPr>
          <w:sz w:val="22"/>
          <w:szCs w:val="22"/>
        </w:rPr>
        <w:t>) and Bolinao (Philippines) with 322 speci</w:t>
      </w:r>
      <w:r>
        <w:rPr>
          <w:sz w:val="22"/>
          <w:szCs w:val="22"/>
        </w:rPr>
        <w:t xml:space="preserve">es </w:t>
      </w:r>
      <w:r w:rsidRPr="00A41336">
        <w:rPr>
          <w:sz w:val="22"/>
          <w:szCs w:val="22"/>
        </w:rPr>
        <w:t>(Licuanan, 2009). Records of m</w:t>
      </w:r>
      <w:r>
        <w:rPr>
          <w:sz w:val="22"/>
          <w:szCs w:val="22"/>
        </w:rPr>
        <w:t xml:space="preserve">ore than 200 species occur at a number of sites in Viet Nam, Indonesia and the Philippines </w:t>
      </w:r>
      <w:r w:rsidRPr="00A41336">
        <w:rPr>
          <w:sz w:val="22"/>
          <w:szCs w:val="22"/>
        </w:rPr>
        <w:t>(UNEP, 2007</w:t>
      </w:r>
      <w:r w:rsidR="0088438A">
        <w:rPr>
          <w:sz w:val="22"/>
          <w:szCs w:val="22"/>
        </w:rPr>
        <w:t>l</w:t>
      </w:r>
      <w:r w:rsidRPr="00A41336">
        <w:rPr>
          <w:sz w:val="22"/>
          <w:szCs w:val="22"/>
        </w:rPr>
        <w:t>)</w:t>
      </w:r>
      <w:r>
        <w:rPr>
          <w:sz w:val="22"/>
          <w:szCs w:val="22"/>
        </w:rPr>
        <w:t xml:space="preserve">, and Malaysia (Yaman, personal </w:t>
      </w:r>
      <w:r w:rsidRPr="00A41336">
        <w:rPr>
          <w:sz w:val="22"/>
          <w:szCs w:val="22"/>
        </w:rPr>
        <w:t>communication).</w:t>
      </w:r>
      <w:r w:rsidR="00923686">
        <w:rPr>
          <w:sz w:val="22"/>
          <w:szCs w:val="22"/>
        </w:rPr>
        <w:t xml:space="preserve"> Verde Island passage, for example, is considered a globally significant hotpsot of coral reef associated species.</w:t>
      </w:r>
    </w:p>
    <w:p w14:paraId="5A0B69F3" w14:textId="77777777" w:rsidR="00383874" w:rsidRPr="003B7C13" w:rsidRDefault="00383874" w:rsidP="003B7C13">
      <w:pPr>
        <w:numPr>
          <w:ilvl w:val="2"/>
          <w:numId w:val="2"/>
        </w:numPr>
        <w:spacing w:after="120"/>
        <w:outlineLvl w:val="1"/>
        <w:rPr>
          <w:b/>
          <w:sz w:val="22"/>
          <w:szCs w:val="22"/>
          <w:lang w:val="en-GB"/>
        </w:rPr>
      </w:pPr>
      <w:r>
        <w:rPr>
          <w:b/>
          <w:sz w:val="22"/>
          <w:szCs w:val="22"/>
          <w:lang w:val="en-GB"/>
        </w:rPr>
        <w:t>Seagrass</w:t>
      </w:r>
    </w:p>
    <w:p w14:paraId="02EC6AEB" w14:textId="77777777" w:rsidR="00383874" w:rsidRPr="00A41336" w:rsidRDefault="00383874" w:rsidP="00383874">
      <w:pPr>
        <w:numPr>
          <w:ilvl w:val="0"/>
          <w:numId w:val="3"/>
        </w:numPr>
        <w:spacing w:after="120"/>
        <w:ind w:left="0" w:firstLine="0"/>
        <w:jc w:val="both"/>
        <w:rPr>
          <w:sz w:val="22"/>
          <w:szCs w:val="22"/>
        </w:rPr>
      </w:pPr>
      <w:r w:rsidRPr="00A41336">
        <w:rPr>
          <w:sz w:val="22"/>
          <w:szCs w:val="22"/>
        </w:rPr>
        <w:t>The</w:t>
      </w:r>
      <w:r>
        <w:rPr>
          <w:sz w:val="22"/>
          <w:szCs w:val="22"/>
        </w:rPr>
        <w:t xml:space="preserve"> </w:t>
      </w:r>
      <w:r w:rsidRPr="00A41336">
        <w:rPr>
          <w:sz w:val="22"/>
          <w:szCs w:val="22"/>
        </w:rPr>
        <w:t>World Atlas of Seagrasses (</w:t>
      </w:r>
      <w:r>
        <w:rPr>
          <w:sz w:val="22"/>
          <w:szCs w:val="22"/>
        </w:rPr>
        <w:t xml:space="preserve">Green and Short, 2003) provides </w:t>
      </w:r>
      <w:r w:rsidRPr="00A41336">
        <w:rPr>
          <w:sz w:val="22"/>
          <w:szCs w:val="22"/>
        </w:rPr>
        <w:t>information on the world’s seagrass habi</w:t>
      </w:r>
      <w:r>
        <w:rPr>
          <w:sz w:val="22"/>
          <w:szCs w:val="22"/>
        </w:rPr>
        <w:t xml:space="preserve">tats globally and, incorporates </w:t>
      </w:r>
      <w:r w:rsidRPr="00A41336">
        <w:rPr>
          <w:sz w:val="22"/>
          <w:szCs w:val="22"/>
        </w:rPr>
        <w:t>their status in the c</w:t>
      </w:r>
      <w:r>
        <w:rPr>
          <w:sz w:val="22"/>
          <w:szCs w:val="22"/>
        </w:rPr>
        <w:t xml:space="preserve">ontext of environmental change. </w:t>
      </w:r>
      <w:r w:rsidRPr="00A41336">
        <w:rPr>
          <w:sz w:val="22"/>
          <w:szCs w:val="22"/>
        </w:rPr>
        <w:t>There are, however, still substantial</w:t>
      </w:r>
      <w:r>
        <w:rPr>
          <w:sz w:val="22"/>
          <w:szCs w:val="22"/>
        </w:rPr>
        <w:t xml:space="preserve"> information gaps for the South China Sea. The SCS project </w:t>
      </w:r>
      <w:r w:rsidRPr="00A41336">
        <w:rPr>
          <w:sz w:val="22"/>
          <w:szCs w:val="22"/>
        </w:rPr>
        <w:t xml:space="preserve">worked to </w:t>
      </w:r>
      <w:r>
        <w:rPr>
          <w:sz w:val="22"/>
          <w:szCs w:val="22"/>
        </w:rPr>
        <w:t xml:space="preserve">develop the first comprehensive </w:t>
      </w:r>
      <w:r w:rsidRPr="00A41336">
        <w:rPr>
          <w:sz w:val="22"/>
          <w:szCs w:val="22"/>
        </w:rPr>
        <w:t>seagrass data set f</w:t>
      </w:r>
      <w:r w:rsidR="00910FFC">
        <w:rPr>
          <w:sz w:val="22"/>
          <w:szCs w:val="22"/>
        </w:rPr>
        <w:t>or</w:t>
      </w:r>
      <w:r w:rsidRPr="00A41336">
        <w:rPr>
          <w:sz w:val="22"/>
          <w:szCs w:val="22"/>
        </w:rPr>
        <w:t xml:space="preserve"> this bas</w:t>
      </w:r>
      <w:r>
        <w:rPr>
          <w:sz w:val="22"/>
          <w:szCs w:val="22"/>
        </w:rPr>
        <w:t xml:space="preserve">in, including characterisations </w:t>
      </w:r>
      <w:r w:rsidRPr="00A41336">
        <w:rPr>
          <w:sz w:val="22"/>
          <w:szCs w:val="22"/>
        </w:rPr>
        <w:t>for seagrass sites and the fi</w:t>
      </w:r>
      <w:r>
        <w:rPr>
          <w:sz w:val="22"/>
          <w:szCs w:val="22"/>
        </w:rPr>
        <w:t xml:space="preserve">rst ever seagrass data sets and </w:t>
      </w:r>
      <w:r w:rsidRPr="00A41336">
        <w:rPr>
          <w:sz w:val="22"/>
          <w:szCs w:val="22"/>
        </w:rPr>
        <w:t xml:space="preserve">maps for China (UNEP, </w:t>
      </w:r>
      <w:r w:rsidR="0088438A" w:rsidRPr="00A41336">
        <w:rPr>
          <w:sz w:val="22"/>
          <w:szCs w:val="22"/>
        </w:rPr>
        <w:t>2008</w:t>
      </w:r>
      <w:r w:rsidR="0088438A">
        <w:rPr>
          <w:sz w:val="22"/>
          <w:szCs w:val="22"/>
        </w:rPr>
        <w:t>e</w:t>
      </w:r>
      <w:r w:rsidRPr="00A41336">
        <w:rPr>
          <w:sz w:val="22"/>
          <w:szCs w:val="22"/>
        </w:rPr>
        <w:t xml:space="preserve">). </w:t>
      </w:r>
      <w:r w:rsidR="00910FFC">
        <w:rPr>
          <w:sz w:val="22"/>
          <w:szCs w:val="22"/>
        </w:rPr>
        <w:t>It is recognized</w:t>
      </w:r>
      <w:r>
        <w:rPr>
          <w:sz w:val="22"/>
          <w:szCs w:val="22"/>
        </w:rPr>
        <w:t xml:space="preserve">, however, </w:t>
      </w:r>
      <w:r w:rsidR="00910FFC">
        <w:rPr>
          <w:sz w:val="22"/>
          <w:szCs w:val="22"/>
        </w:rPr>
        <w:t xml:space="preserve">that these data, </w:t>
      </w:r>
      <w:r>
        <w:rPr>
          <w:sz w:val="22"/>
          <w:szCs w:val="22"/>
        </w:rPr>
        <w:t xml:space="preserve">based on </w:t>
      </w:r>
      <w:r w:rsidRPr="00A41336">
        <w:rPr>
          <w:sz w:val="22"/>
          <w:szCs w:val="22"/>
        </w:rPr>
        <w:t>field surveys at known seagrass lo</w:t>
      </w:r>
      <w:r>
        <w:rPr>
          <w:sz w:val="22"/>
          <w:szCs w:val="22"/>
        </w:rPr>
        <w:t xml:space="preserve">cations in SCS countries ado </w:t>
      </w:r>
      <w:r w:rsidRPr="00A41336">
        <w:rPr>
          <w:sz w:val="22"/>
          <w:szCs w:val="22"/>
        </w:rPr>
        <w:t>not reflect the total distribution of s</w:t>
      </w:r>
      <w:r>
        <w:rPr>
          <w:sz w:val="22"/>
          <w:szCs w:val="22"/>
        </w:rPr>
        <w:t xml:space="preserve">eagrass or seagrass beds in the </w:t>
      </w:r>
      <w:r w:rsidRPr="00A41336">
        <w:rPr>
          <w:sz w:val="22"/>
          <w:szCs w:val="22"/>
        </w:rPr>
        <w:t>riparian countries. Some algori</w:t>
      </w:r>
      <w:r>
        <w:rPr>
          <w:sz w:val="22"/>
          <w:szCs w:val="22"/>
        </w:rPr>
        <w:t xml:space="preserve">thms for mapping seagrass using </w:t>
      </w:r>
      <w:r w:rsidRPr="00A41336">
        <w:rPr>
          <w:sz w:val="22"/>
          <w:szCs w:val="22"/>
        </w:rPr>
        <w:t>remote sensing have been developed but have not yet been</w:t>
      </w:r>
      <w:r>
        <w:rPr>
          <w:sz w:val="22"/>
          <w:szCs w:val="22"/>
        </w:rPr>
        <w:t xml:space="preserve"> applied </w:t>
      </w:r>
      <w:r w:rsidRPr="00A41336">
        <w:rPr>
          <w:sz w:val="22"/>
          <w:szCs w:val="22"/>
        </w:rPr>
        <w:t xml:space="preserve">to the entire South China Sea coastline (UNEP, </w:t>
      </w:r>
      <w:r w:rsidR="0088438A" w:rsidRPr="00A41336">
        <w:rPr>
          <w:sz w:val="22"/>
          <w:szCs w:val="22"/>
        </w:rPr>
        <w:t>2008</w:t>
      </w:r>
      <w:r w:rsidR="0088438A">
        <w:rPr>
          <w:sz w:val="22"/>
          <w:szCs w:val="22"/>
        </w:rPr>
        <w:t>b</w:t>
      </w:r>
      <w:r w:rsidRPr="00A41336">
        <w:rPr>
          <w:sz w:val="22"/>
          <w:szCs w:val="22"/>
        </w:rPr>
        <w:t>).</w:t>
      </w:r>
    </w:p>
    <w:p w14:paraId="42CE7277" w14:textId="77777777" w:rsidR="00383874" w:rsidRPr="00A41336" w:rsidRDefault="00383874" w:rsidP="00383874">
      <w:pPr>
        <w:numPr>
          <w:ilvl w:val="0"/>
          <w:numId w:val="3"/>
        </w:numPr>
        <w:spacing w:after="120"/>
        <w:ind w:left="0" w:firstLine="0"/>
        <w:jc w:val="both"/>
        <w:rPr>
          <w:sz w:val="22"/>
          <w:szCs w:val="22"/>
        </w:rPr>
      </w:pPr>
      <w:r w:rsidRPr="00A41336">
        <w:rPr>
          <w:sz w:val="22"/>
          <w:szCs w:val="22"/>
        </w:rPr>
        <w:t>Of the approximately 60 seagra</w:t>
      </w:r>
      <w:r>
        <w:rPr>
          <w:sz w:val="22"/>
          <w:szCs w:val="22"/>
        </w:rPr>
        <w:t xml:space="preserve">ss species described worldwide, </w:t>
      </w:r>
      <w:r w:rsidRPr="00A41336">
        <w:rPr>
          <w:sz w:val="22"/>
          <w:szCs w:val="22"/>
        </w:rPr>
        <w:t>18 species are found in the coastal</w:t>
      </w:r>
      <w:r>
        <w:rPr>
          <w:sz w:val="22"/>
          <w:szCs w:val="22"/>
        </w:rPr>
        <w:t xml:space="preserve"> waters of the South China Sea. </w:t>
      </w:r>
      <w:r w:rsidRPr="00A41336">
        <w:rPr>
          <w:sz w:val="22"/>
          <w:szCs w:val="22"/>
        </w:rPr>
        <w:t>The numbers of seagrass species</w:t>
      </w:r>
      <w:r>
        <w:rPr>
          <w:sz w:val="22"/>
          <w:szCs w:val="22"/>
        </w:rPr>
        <w:t xml:space="preserve"> known to occur in each country </w:t>
      </w:r>
      <w:r w:rsidRPr="00A41336">
        <w:rPr>
          <w:sz w:val="22"/>
          <w:szCs w:val="22"/>
        </w:rPr>
        <w:t>are: Cambodia, 9; China, 8; Indones</w:t>
      </w:r>
      <w:r>
        <w:rPr>
          <w:sz w:val="22"/>
          <w:szCs w:val="22"/>
        </w:rPr>
        <w:t xml:space="preserve">ia, 12; Malaysia, 14; Thailand, </w:t>
      </w:r>
      <w:r w:rsidRPr="00A41336">
        <w:rPr>
          <w:sz w:val="22"/>
          <w:szCs w:val="22"/>
        </w:rPr>
        <w:t xml:space="preserve">12; Philippines,15; and Viet Nam, 14 </w:t>
      </w:r>
      <w:r>
        <w:rPr>
          <w:sz w:val="22"/>
          <w:szCs w:val="22"/>
        </w:rPr>
        <w:t xml:space="preserve">(UNEP, </w:t>
      </w:r>
      <w:r w:rsidR="0088438A">
        <w:rPr>
          <w:sz w:val="22"/>
          <w:szCs w:val="22"/>
        </w:rPr>
        <w:t>2008e</w:t>
      </w:r>
      <w:r>
        <w:rPr>
          <w:sz w:val="22"/>
          <w:szCs w:val="22"/>
        </w:rPr>
        <w:t xml:space="preserve">). Halophila is the </w:t>
      </w:r>
      <w:r w:rsidRPr="00A41336">
        <w:rPr>
          <w:sz w:val="22"/>
          <w:szCs w:val="22"/>
        </w:rPr>
        <w:t>most diverse and widespread gen</w:t>
      </w:r>
      <w:r>
        <w:rPr>
          <w:sz w:val="22"/>
          <w:szCs w:val="22"/>
        </w:rPr>
        <w:t xml:space="preserve">us in coastal waters throughout </w:t>
      </w:r>
      <w:r w:rsidRPr="00A41336">
        <w:rPr>
          <w:sz w:val="22"/>
          <w:szCs w:val="22"/>
        </w:rPr>
        <w:t>the region. The coastlines of the northern sub-region, in</w:t>
      </w:r>
      <w:r>
        <w:rPr>
          <w:sz w:val="22"/>
          <w:szCs w:val="22"/>
        </w:rPr>
        <w:t xml:space="preserve"> China and </w:t>
      </w:r>
      <w:r w:rsidRPr="00A41336">
        <w:rPr>
          <w:sz w:val="22"/>
          <w:szCs w:val="22"/>
        </w:rPr>
        <w:t>northern Viet Nam, have characteristi</w:t>
      </w:r>
      <w:r>
        <w:rPr>
          <w:sz w:val="22"/>
          <w:szCs w:val="22"/>
        </w:rPr>
        <w:t xml:space="preserve">cs of subtropical areas and the </w:t>
      </w:r>
      <w:r w:rsidRPr="00A41336">
        <w:rPr>
          <w:sz w:val="22"/>
          <w:szCs w:val="22"/>
        </w:rPr>
        <w:t>species include Zostera j</w:t>
      </w:r>
      <w:r>
        <w:rPr>
          <w:sz w:val="22"/>
          <w:szCs w:val="22"/>
        </w:rPr>
        <w:t xml:space="preserve">aponica together with Halophila beccarii, </w:t>
      </w:r>
      <w:r w:rsidRPr="00A41336">
        <w:rPr>
          <w:sz w:val="22"/>
          <w:szCs w:val="22"/>
        </w:rPr>
        <w:t>Halophila ovalis, Halophila decipien</w:t>
      </w:r>
      <w:r>
        <w:rPr>
          <w:sz w:val="22"/>
          <w:szCs w:val="22"/>
        </w:rPr>
        <w:t xml:space="preserve">s, Enhalus acoroides, Thalassia </w:t>
      </w:r>
      <w:r w:rsidRPr="00A41336">
        <w:rPr>
          <w:sz w:val="22"/>
          <w:szCs w:val="22"/>
        </w:rPr>
        <w:t xml:space="preserve">hemprichii, Halodule pinifolia, Halodule </w:t>
      </w:r>
      <w:r>
        <w:rPr>
          <w:sz w:val="22"/>
          <w:szCs w:val="22"/>
        </w:rPr>
        <w:t xml:space="preserve">uninervis, Cymodocea </w:t>
      </w:r>
      <w:r w:rsidRPr="00A41336">
        <w:rPr>
          <w:sz w:val="22"/>
          <w:szCs w:val="22"/>
        </w:rPr>
        <w:t>rotundata and Ruppia maritime (UNE</w:t>
      </w:r>
      <w:r>
        <w:rPr>
          <w:sz w:val="22"/>
          <w:szCs w:val="22"/>
        </w:rPr>
        <w:t xml:space="preserve">P, </w:t>
      </w:r>
      <w:r w:rsidR="0088438A">
        <w:rPr>
          <w:sz w:val="22"/>
          <w:szCs w:val="22"/>
        </w:rPr>
        <w:t>2008e</w:t>
      </w:r>
      <w:r>
        <w:rPr>
          <w:sz w:val="22"/>
          <w:szCs w:val="22"/>
        </w:rPr>
        <w:t xml:space="preserve">). All but the first of </w:t>
      </w:r>
      <w:r w:rsidRPr="00A41336">
        <w:rPr>
          <w:sz w:val="22"/>
          <w:szCs w:val="22"/>
        </w:rPr>
        <w:t>these species are widespread through</w:t>
      </w:r>
      <w:r>
        <w:rPr>
          <w:sz w:val="22"/>
          <w:szCs w:val="22"/>
        </w:rPr>
        <w:t xml:space="preserve">out the South China Sea region. </w:t>
      </w:r>
      <w:r w:rsidRPr="00A41336">
        <w:rPr>
          <w:sz w:val="22"/>
          <w:szCs w:val="22"/>
        </w:rPr>
        <w:t>Additional seagrass specie</w:t>
      </w:r>
      <w:r>
        <w:rPr>
          <w:sz w:val="22"/>
          <w:szCs w:val="22"/>
        </w:rPr>
        <w:t xml:space="preserve">s recorded in the tropical zone </w:t>
      </w:r>
      <w:r w:rsidRPr="00A41336">
        <w:rPr>
          <w:sz w:val="22"/>
          <w:szCs w:val="22"/>
        </w:rPr>
        <w:t>include Halophila spinul</w:t>
      </w:r>
      <w:r>
        <w:rPr>
          <w:sz w:val="22"/>
          <w:szCs w:val="22"/>
        </w:rPr>
        <w:t xml:space="preserve">osa, Halophila minor, Cymodocea serrulata, </w:t>
      </w:r>
      <w:r w:rsidRPr="00A41336">
        <w:rPr>
          <w:sz w:val="22"/>
          <w:szCs w:val="22"/>
        </w:rPr>
        <w:t xml:space="preserve">Syringodium isoetifolium and </w:t>
      </w:r>
      <w:r>
        <w:rPr>
          <w:sz w:val="22"/>
          <w:szCs w:val="22"/>
        </w:rPr>
        <w:t xml:space="preserve">Thalassodendron ciliatum (UNEP, </w:t>
      </w:r>
      <w:r w:rsidR="0088438A">
        <w:rPr>
          <w:sz w:val="22"/>
          <w:szCs w:val="22"/>
        </w:rPr>
        <w:t>2008e</w:t>
      </w:r>
      <w:r w:rsidRPr="00A41336">
        <w:rPr>
          <w:sz w:val="22"/>
          <w:szCs w:val="22"/>
        </w:rPr>
        <w:t>).</w:t>
      </w:r>
    </w:p>
    <w:p w14:paraId="050A28D0" w14:textId="77777777" w:rsidR="00383874" w:rsidRPr="00A41336" w:rsidRDefault="00383874" w:rsidP="00383874">
      <w:pPr>
        <w:numPr>
          <w:ilvl w:val="0"/>
          <w:numId w:val="3"/>
        </w:numPr>
        <w:spacing w:after="120"/>
        <w:ind w:left="0" w:firstLine="0"/>
        <w:jc w:val="both"/>
        <w:rPr>
          <w:sz w:val="22"/>
          <w:szCs w:val="22"/>
        </w:rPr>
      </w:pPr>
      <w:r w:rsidRPr="00A41336">
        <w:rPr>
          <w:sz w:val="22"/>
          <w:szCs w:val="22"/>
        </w:rPr>
        <w:t>The sub-tropical species Z. jap</w:t>
      </w:r>
      <w:r>
        <w:rPr>
          <w:sz w:val="22"/>
          <w:szCs w:val="22"/>
        </w:rPr>
        <w:t xml:space="preserve">onica often forms mono-specific </w:t>
      </w:r>
      <w:r w:rsidRPr="00A41336">
        <w:rPr>
          <w:sz w:val="22"/>
          <w:szCs w:val="22"/>
        </w:rPr>
        <w:t>seagrass beds and has been recorded in Tieshan Bay and Pe</w:t>
      </w:r>
      <w:r>
        <w:rPr>
          <w:sz w:val="22"/>
          <w:szCs w:val="22"/>
        </w:rPr>
        <w:t xml:space="preserve">arl </w:t>
      </w:r>
      <w:r w:rsidRPr="00A41336">
        <w:rPr>
          <w:sz w:val="22"/>
          <w:szCs w:val="22"/>
        </w:rPr>
        <w:t>Bay, Guangxi Province, and Hong Kon</w:t>
      </w:r>
      <w:r>
        <w:rPr>
          <w:sz w:val="22"/>
          <w:szCs w:val="22"/>
        </w:rPr>
        <w:t xml:space="preserve">g, China. Its distribution also </w:t>
      </w:r>
      <w:r w:rsidRPr="00A41336">
        <w:rPr>
          <w:sz w:val="22"/>
          <w:szCs w:val="22"/>
        </w:rPr>
        <w:t>extends down to northern and cent</w:t>
      </w:r>
      <w:r>
        <w:rPr>
          <w:sz w:val="22"/>
          <w:szCs w:val="22"/>
        </w:rPr>
        <w:t xml:space="preserve">ral Viet Nam and its occurrence </w:t>
      </w:r>
      <w:r w:rsidRPr="00A41336">
        <w:rPr>
          <w:sz w:val="22"/>
          <w:szCs w:val="22"/>
        </w:rPr>
        <w:t>in Binh Dinh Province represents</w:t>
      </w:r>
      <w:r>
        <w:rPr>
          <w:sz w:val="22"/>
          <w:szCs w:val="22"/>
        </w:rPr>
        <w:t xml:space="preserve"> the southernmost limit of this </w:t>
      </w:r>
      <w:r w:rsidRPr="00A41336">
        <w:rPr>
          <w:sz w:val="22"/>
          <w:szCs w:val="22"/>
        </w:rPr>
        <w:t>temperate species in the Indo-west Pacific. Of the tropi</w:t>
      </w:r>
      <w:r>
        <w:rPr>
          <w:sz w:val="22"/>
          <w:szCs w:val="22"/>
        </w:rPr>
        <w:t xml:space="preserve">cal species, T. </w:t>
      </w:r>
      <w:r w:rsidRPr="00A41336">
        <w:rPr>
          <w:sz w:val="22"/>
          <w:szCs w:val="22"/>
        </w:rPr>
        <w:t>ciliatum is generally found in seagr</w:t>
      </w:r>
      <w:r>
        <w:rPr>
          <w:sz w:val="22"/>
          <w:szCs w:val="22"/>
        </w:rPr>
        <w:t>ass beds from the intertidal to the low sub-tidal zone (2-</w:t>
      </w:r>
      <w:r w:rsidRPr="00A41336">
        <w:rPr>
          <w:sz w:val="22"/>
          <w:szCs w:val="22"/>
        </w:rPr>
        <w:t>17 m) in</w:t>
      </w:r>
      <w:r>
        <w:rPr>
          <w:sz w:val="22"/>
          <w:szCs w:val="22"/>
        </w:rPr>
        <w:t xml:space="preserve"> the eastern part of Indonesia, </w:t>
      </w:r>
      <w:r w:rsidRPr="00A41336">
        <w:rPr>
          <w:sz w:val="22"/>
          <w:szCs w:val="22"/>
        </w:rPr>
        <w:t>and the southern and western shores o</w:t>
      </w:r>
      <w:r>
        <w:rPr>
          <w:sz w:val="22"/>
          <w:szCs w:val="22"/>
        </w:rPr>
        <w:t xml:space="preserve">f the Philippines. This species </w:t>
      </w:r>
      <w:r w:rsidRPr="00A41336">
        <w:rPr>
          <w:sz w:val="22"/>
          <w:szCs w:val="22"/>
        </w:rPr>
        <w:t>also occurs in the seagrass beds in C</w:t>
      </w:r>
      <w:r>
        <w:rPr>
          <w:sz w:val="22"/>
          <w:szCs w:val="22"/>
        </w:rPr>
        <w:t xml:space="preserve">on Dao, southern Viet Nam. </w:t>
      </w:r>
      <w:r w:rsidRPr="00A41336">
        <w:rPr>
          <w:sz w:val="22"/>
          <w:szCs w:val="22"/>
        </w:rPr>
        <w:t>In the Phili</w:t>
      </w:r>
      <w:r>
        <w:rPr>
          <w:sz w:val="22"/>
          <w:szCs w:val="22"/>
        </w:rPr>
        <w:t xml:space="preserve">ppines, it has been reported in Cuyo Island, the northernmost </w:t>
      </w:r>
      <w:r w:rsidRPr="00A41336">
        <w:rPr>
          <w:sz w:val="22"/>
          <w:szCs w:val="22"/>
        </w:rPr>
        <w:t xml:space="preserve">limit of its distribution </w:t>
      </w:r>
      <w:r>
        <w:rPr>
          <w:sz w:val="22"/>
          <w:szCs w:val="22"/>
        </w:rPr>
        <w:t xml:space="preserve">in the Indo-west Pacific (UNEP, </w:t>
      </w:r>
      <w:r w:rsidR="0088438A" w:rsidRPr="00A41336">
        <w:rPr>
          <w:sz w:val="22"/>
          <w:szCs w:val="22"/>
        </w:rPr>
        <w:t>2008</w:t>
      </w:r>
      <w:r w:rsidR="0088438A">
        <w:rPr>
          <w:sz w:val="22"/>
          <w:szCs w:val="22"/>
        </w:rPr>
        <w:t>e</w:t>
      </w:r>
      <w:r w:rsidRPr="00A41336">
        <w:rPr>
          <w:sz w:val="22"/>
          <w:szCs w:val="22"/>
        </w:rPr>
        <w:t>).</w:t>
      </w:r>
    </w:p>
    <w:p w14:paraId="71CC550E" w14:textId="77777777" w:rsidR="00383874" w:rsidRDefault="00383874" w:rsidP="00383874">
      <w:pPr>
        <w:numPr>
          <w:ilvl w:val="0"/>
          <w:numId w:val="3"/>
        </w:numPr>
        <w:ind w:left="0" w:firstLine="0"/>
        <w:jc w:val="both"/>
        <w:rPr>
          <w:sz w:val="22"/>
          <w:szCs w:val="22"/>
        </w:rPr>
      </w:pPr>
      <w:r w:rsidRPr="00A41336">
        <w:rPr>
          <w:sz w:val="22"/>
          <w:szCs w:val="22"/>
        </w:rPr>
        <w:t xml:space="preserve">The largest areas of seagrass </w:t>
      </w:r>
      <w:r>
        <w:rPr>
          <w:sz w:val="22"/>
          <w:szCs w:val="22"/>
        </w:rPr>
        <w:t xml:space="preserve">meadows identified in the South </w:t>
      </w:r>
      <w:r w:rsidRPr="00A41336">
        <w:rPr>
          <w:sz w:val="22"/>
          <w:szCs w:val="22"/>
        </w:rPr>
        <w:t>China Sea to date are in the coast</w:t>
      </w:r>
      <w:r>
        <w:rPr>
          <w:sz w:val="22"/>
          <w:szCs w:val="22"/>
        </w:rPr>
        <w:t xml:space="preserve">al waters of Kampot Province in </w:t>
      </w:r>
      <w:r w:rsidRPr="00A41336">
        <w:rPr>
          <w:sz w:val="22"/>
          <w:szCs w:val="22"/>
        </w:rPr>
        <w:t xml:space="preserve">Cambodia (25,200 ha), Cape Bolinao </w:t>
      </w:r>
      <w:r>
        <w:rPr>
          <w:sz w:val="22"/>
          <w:szCs w:val="22"/>
        </w:rPr>
        <w:t xml:space="preserve">in the Philippines (22,400 ha), </w:t>
      </w:r>
      <w:r w:rsidRPr="00A41336">
        <w:rPr>
          <w:sz w:val="22"/>
          <w:szCs w:val="22"/>
        </w:rPr>
        <w:t>Phu Quoc and neighbouring islan</w:t>
      </w:r>
      <w:r>
        <w:rPr>
          <w:sz w:val="22"/>
          <w:szCs w:val="22"/>
        </w:rPr>
        <w:t xml:space="preserve">ds in Viet Nam (12,500 ha), and </w:t>
      </w:r>
      <w:r w:rsidRPr="00A41336">
        <w:rPr>
          <w:sz w:val="22"/>
          <w:szCs w:val="22"/>
        </w:rPr>
        <w:t>East Bintan in Indonesia (2000 h</w:t>
      </w:r>
      <w:r>
        <w:rPr>
          <w:sz w:val="22"/>
          <w:szCs w:val="22"/>
        </w:rPr>
        <w:t xml:space="preserve">a) (UNEP, </w:t>
      </w:r>
      <w:r w:rsidR="0088438A">
        <w:rPr>
          <w:sz w:val="22"/>
          <w:szCs w:val="22"/>
        </w:rPr>
        <w:t>2008e</w:t>
      </w:r>
      <w:r>
        <w:rPr>
          <w:sz w:val="22"/>
          <w:szCs w:val="22"/>
        </w:rPr>
        <w:t xml:space="preserve">; Vo, 2010). The </w:t>
      </w:r>
      <w:r w:rsidRPr="00A41336">
        <w:rPr>
          <w:sz w:val="22"/>
          <w:szCs w:val="22"/>
        </w:rPr>
        <w:t>transboundary water area</w:t>
      </w:r>
      <w:r>
        <w:rPr>
          <w:sz w:val="22"/>
          <w:szCs w:val="22"/>
        </w:rPr>
        <w:t xml:space="preserve"> between Cambodia and Viet Nam, including </w:t>
      </w:r>
      <w:r w:rsidRPr="00A41336">
        <w:rPr>
          <w:sz w:val="22"/>
          <w:szCs w:val="22"/>
        </w:rPr>
        <w:t>the large connected</w:t>
      </w:r>
      <w:r>
        <w:rPr>
          <w:sz w:val="22"/>
          <w:szCs w:val="22"/>
        </w:rPr>
        <w:t xml:space="preserve"> seagrass meadows of Kampot and </w:t>
      </w:r>
      <w:r w:rsidRPr="00A41336">
        <w:rPr>
          <w:sz w:val="22"/>
          <w:szCs w:val="22"/>
        </w:rPr>
        <w:t>Phu Quoc, contain possibly the la</w:t>
      </w:r>
      <w:r>
        <w:rPr>
          <w:sz w:val="22"/>
          <w:szCs w:val="22"/>
        </w:rPr>
        <w:t xml:space="preserve">rgest seagrass bed in the South </w:t>
      </w:r>
      <w:r w:rsidRPr="00A41336">
        <w:rPr>
          <w:sz w:val="22"/>
          <w:szCs w:val="22"/>
        </w:rPr>
        <w:t>China Sea (37,000 ha) and play a</w:t>
      </w:r>
      <w:r>
        <w:rPr>
          <w:sz w:val="22"/>
          <w:szCs w:val="22"/>
        </w:rPr>
        <w:t xml:space="preserve"> globally significant role as a </w:t>
      </w:r>
      <w:r w:rsidRPr="00A41336">
        <w:rPr>
          <w:sz w:val="22"/>
          <w:szCs w:val="22"/>
        </w:rPr>
        <w:t>critical fisheries refugia for fish sto</w:t>
      </w:r>
      <w:r>
        <w:rPr>
          <w:sz w:val="22"/>
          <w:szCs w:val="22"/>
        </w:rPr>
        <w:t xml:space="preserve">cks of significance to regional </w:t>
      </w:r>
      <w:r w:rsidRPr="00A41336">
        <w:rPr>
          <w:sz w:val="22"/>
          <w:szCs w:val="22"/>
        </w:rPr>
        <w:t>food security (see Pat</w:t>
      </w:r>
      <w:r>
        <w:rPr>
          <w:sz w:val="22"/>
          <w:szCs w:val="22"/>
        </w:rPr>
        <w:t xml:space="preserve">erson et al., </w:t>
      </w:r>
      <w:r w:rsidR="0088438A">
        <w:rPr>
          <w:sz w:val="22"/>
          <w:szCs w:val="22"/>
        </w:rPr>
        <w:t>2013</w:t>
      </w:r>
      <w:r>
        <w:rPr>
          <w:sz w:val="22"/>
          <w:szCs w:val="22"/>
        </w:rPr>
        <w:t xml:space="preserve">). The record of 10 species of </w:t>
      </w:r>
      <w:r w:rsidRPr="00A41336">
        <w:rPr>
          <w:sz w:val="22"/>
          <w:szCs w:val="22"/>
        </w:rPr>
        <w:t>seagrasses and a dugong popul</w:t>
      </w:r>
      <w:r>
        <w:rPr>
          <w:sz w:val="22"/>
          <w:szCs w:val="22"/>
        </w:rPr>
        <w:t xml:space="preserve">ation (combined list from UNEP, </w:t>
      </w:r>
      <w:r w:rsidR="0088438A">
        <w:rPr>
          <w:sz w:val="22"/>
          <w:szCs w:val="22"/>
        </w:rPr>
        <w:t>2008e</w:t>
      </w:r>
      <w:r>
        <w:rPr>
          <w:sz w:val="22"/>
          <w:szCs w:val="22"/>
        </w:rPr>
        <w:t xml:space="preserve">; Tu Thi Lan </w:t>
      </w:r>
      <w:r w:rsidRPr="00A41336">
        <w:rPr>
          <w:sz w:val="22"/>
          <w:szCs w:val="22"/>
        </w:rPr>
        <w:t xml:space="preserve">Huong et al., 2002) </w:t>
      </w:r>
      <w:r>
        <w:rPr>
          <w:sz w:val="22"/>
          <w:szCs w:val="22"/>
        </w:rPr>
        <w:t xml:space="preserve">at this locality also indicates </w:t>
      </w:r>
      <w:r w:rsidRPr="00A41336">
        <w:rPr>
          <w:sz w:val="22"/>
          <w:szCs w:val="22"/>
        </w:rPr>
        <w:t>the importance o</w:t>
      </w:r>
      <w:r>
        <w:rPr>
          <w:sz w:val="22"/>
          <w:szCs w:val="22"/>
        </w:rPr>
        <w:t xml:space="preserve">f these transboundary waters to regional </w:t>
      </w:r>
      <w:r w:rsidRPr="00A41336">
        <w:rPr>
          <w:sz w:val="22"/>
          <w:szCs w:val="22"/>
        </w:rPr>
        <w:t>biodiversity conservation.</w:t>
      </w:r>
    </w:p>
    <w:p w14:paraId="46E7DB58" w14:textId="77777777" w:rsidR="00383874" w:rsidRDefault="00383874" w:rsidP="00383874">
      <w:pPr>
        <w:jc w:val="both"/>
        <w:rPr>
          <w:sz w:val="22"/>
          <w:szCs w:val="22"/>
        </w:rPr>
      </w:pPr>
    </w:p>
    <w:p w14:paraId="47D6901E" w14:textId="77777777" w:rsidR="00383874" w:rsidRPr="00383874" w:rsidRDefault="00383874" w:rsidP="00383874">
      <w:pPr>
        <w:numPr>
          <w:ilvl w:val="2"/>
          <w:numId w:val="2"/>
        </w:numPr>
        <w:spacing w:after="120"/>
        <w:outlineLvl w:val="1"/>
        <w:rPr>
          <w:b/>
          <w:sz w:val="22"/>
          <w:szCs w:val="22"/>
          <w:lang w:val="en-GB"/>
        </w:rPr>
      </w:pPr>
      <w:r>
        <w:rPr>
          <w:b/>
          <w:sz w:val="22"/>
          <w:szCs w:val="22"/>
          <w:lang w:val="en-GB"/>
        </w:rPr>
        <w:t xml:space="preserve">Fisheries </w:t>
      </w:r>
    </w:p>
    <w:p w14:paraId="0D639DE0" w14:textId="77777777" w:rsidR="0077092C" w:rsidRDefault="00383874" w:rsidP="00383874">
      <w:pPr>
        <w:numPr>
          <w:ilvl w:val="0"/>
          <w:numId w:val="3"/>
        </w:numPr>
        <w:spacing w:after="120"/>
        <w:ind w:left="0" w:firstLine="0"/>
        <w:jc w:val="both"/>
        <w:rPr>
          <w:sz w:val="22"/>
          <w:szCs w:val="22"/>
          <w:lang w:val="en-GB"/>
        </w:rPr>
      </w:pPr>
      <w:r w:rsidRPr="00383874">
        <w:rPr>
          <w:sz w:val="22"/>
          <w:szCs w:val="22"/>
          <w:lang w:val="en-GB"/>
        </w:rPr>
        <w:t>The South China Sea also supports a significant world fishery that is important to the food security of, and as a source of export income for, Southeast Asian countries. Landings from this area contribute approximately 10 percent of reported global fisheries production per annum and make significant contributions to the economies of countries bordering the Gulf of Thailand and the South China Sea. This is significant considering that capture fisheries production in Southeast Asia, including landings from both Indian and Pacific Oceans, ranges between 14-16 million tonnes per annum, which represents approximately 18 percent of marine capture fisheries production worldwide. Thailand, Viet Nam, and Indonesia are among the top five fish exporting countries in the Asia-Pacific region, and the riparian countries of the SCS marine basin produce 23 percent of the world tuna catch and almost three-quarters of the world’s canned tuna. The majority of fisheries are small-scale in nature, and fish are landed in a large number of decentralised locations for distribution through complex marketing networks at the community level.</w:t>
      </w:r>
    </w:p>
    <w:p w14:paraId="41AC5F16" w14:textId="77777777" w:rsidR="00383874" w:rsidRPr="007A15C5" w:rsidRDefault="00383874" w:rsidP="00B639F3">
      <w:pPr>
        <w:numPr>
          <w:ilvl w:val="0"/>
          <w:numId w:val="3"/>
        </w:numPr>
        <w:tabs>
          <w:tab w:val="left" w:pos="720"/>
        </w:tabs>
        <w:spacing w:after="120"/>
        <w:ind w:left="0" w:firstLine="0"/>
        <w:jc w:val="both"/>
        <w:rPr>
          <w:sz w:val="22"/>
          <w:szCs w:val="22"/>
        </w:rPr>
      </w:pPr>
      <w:r w:rsidRPr="007A15C5">
        <w:rPr>
          <w:sz w:val="22"/>
          <w:szCs w:val="22"/>
        </w:rPr>
        <w:t>The majority of Southeast Asian countries are among the top 20 capture fisheries producing countries in the world, with some experiencing annual increases in production of up to 5 percent. Pelagic fishes dominate landings by volume and value, as most demersal fisheries are over-exploited. It is well accepted, however, that regional fisheries statistics rarely reflect: (a) production from small-scale coastal fisheries, (b) the high level participation of coastal communities in fishing, or (c) the social and economic importance of artisanal and subsistence fishing to coastal communities. Fish stocks of this basin are subject to high levels of fishing effort, such that stocks of most economically important species are considered to be fully fished or overexploited. Increasing global demand for fisheries products, and the dependence of coastal communities on fish for food and income results in continued increases in fishing effort. This has led to an increasing dependence of the artisanal sector on small pelagic species due to declining availability of demersal species.</w:t>
      </w:r>
    </w:p>
    <w:p w14:paraId="0CC89820" w14:textId="77777777" w:rsidR="00B639F3" w:rsidRDefault="00B639F3" w:rsidP="00B639F3">
      <w:pPr>
        <w:numPr>
          <w:ilvl w:val="0"/>
          <w:numId w:val="3"/>
        </w:numPr>
        <w:spacing w:after="120"/>
        <w:ind w:left="0" w:firstLine="0"/>
        <w:jc w:val="both"/>
        <w:rPr>
          <w:sz w:val="22"/>
          <w:szCs w:val="22"/>
        </w:rPr>
      </w:pPr>
      <w:r w:rsidRPr="007A15C5">
        <w:rPr>
          <w:sz w:val="22"/>
          <w:szCs w:val="22"/>
        </w:rPr>
        <w:t>Declining fish availability, coupled with over-capacity and the dependence of the small-scale sector on coastal fisheries for income generation, has led to the adoption of destructive fishing practices by some fishers in order to maintain incomes and food production in the short-term. Fisheries trends suggest that production from capture fisheries will decline over coming years unless total fishing effort and capacity are reduced. The obvious problem in the reduction of fishing capacity is that most fisheries are small-scale with the majority of participants (and their families) being highly dependent on fisheries for income, food and well-being.</w:t>
      </w:r>
      <w:r w:rsidR="00B93F6A">
        <w:rPr>
          <w:sz w:val="22"/>
          <w:szCs w:val="22"/>
        </w:rPr>
        <w:t xml:space="preserve"> Fisheries issues in the context of Strategic Action Programme implementation are being addressed by the UNEP/GEF project entitled “Establisment and Operation of a Rgional System of Fisheries Refugia in the South China Sea and Gulf of Thailand”.</w:t>
      </w:r>
    </w:p>
    <w:p w14:paraId="0680C1E5" w14:textId="77777777" w:rsidR="00B639F3" w:rsidRPr="00B639F3" w:rsidRDefault="00B639F3" w:rsidP="00B639F3">
      <w:pPr>
        <w:numPr>
          <w:ilvl w:val="2"/>
          <w:numId w:val="2"/>
        </w:numPr>
        <w:spacing w:after="120"/>
        <w:outlineLvl w:val="1"/>
        <w:rPr>
          <w:b/>
          <w:sz w:val="22"/>
          <w:szCs w:val="22"/>
          <w:lang w:val="en-GB"/>
        </w:rPr>
      </w:pPr>
      <w:r>
        <w:rPr>
          <w:b/>
          <w:sz w:val="22"/>
          <w:szCs w:val="22"/>
          <w:lang w:val="en-GB"/>
        </w:rPr>
        <w:t xml:space="preserve">Aquaculture production </w:t>
      </w:r>
    </w:p>
    <w:p w14:paraId="149B1F7F" w14:textId="77777777" w:rsidR="00B639F3" w:rsidRDefault="00910FFC" w:rsidP="00B639F3">
      <w:pPr>
        <w:numPr>
          <w:ilvl w:val="0"/>
          <w:numId w:val="3"/>
        </w:numPr>
        <w:spacing w:after="120"/>
        <w:ind w:left="0" w:firstLine="0"/>
        <w:jc w:val="both"/>
        <w:rPr>
          <w:sz w:val="22"/>
          <w:szCs w:val="22"/>
          <w:lang w:val="en-GB"/>
        </w:rPr>
      </w:pPr>
      <w:r>
        <w:rPr>
          <w:sz w:val="22"/>
          <w:szCs w:val="22"/>
          <w:lang w:val="en-GB"/>
        </w:rPr>
        <w:t xml:space="preserve">China (41 million tonnes), </w:t>
      </w:r>
      <w:r w:rsidR="00B639F3" w:rsidRPr="00B639F3">
        <w:rPr>
          <w:sz w:val="22"/>
          <w:szCs w:val="22"/>
          <w:lang w:val="en-GB"/>
        </w:rPr>
        <w:t>Viet Nam (</w:t>
      </w:r>
      <w:r w:rsidR="0002503B">
        <w:rPr>
          <w:sz w:val="22"/>
          <w:szCs w:val="22"/>
          <w:lang w:val="en-GB"/>
        </w:rPr>
        <w:t>3</w:t>
      </w:r>
      <w:r w:rsidR="00B639F3" w:rsidRPr="00B639F3">
        <w:rPr>
          <w:sz w:val="22"/>
          <w:szCs w:val="22"/>
          <w:lang w:val="en-GB"/>
        </w:rPr>
        <w:t xml:space="preserve"> million tonnes), </w:t>
      </w:r>
      <w:r w:rsidR="0002503B">
        <w:rPr>
          <w:sz w:val="22"/>
          <w:szCs w:val="22"/>
          <w:lang w:val="en-GB"/>
        </w:rPr>
        <w:t xml:space="preserve">Indonesia (3 million tonnes) and </w:t>
      </w:r>
      <w:r w:rsidR="00B639F3" w:rsidRPr="00B639F3">
        <w:rPr>
          <w:sz w:val="22"/>
          <w:szCs w:val="22"/>
          <w:lang w:val="en-GB"/>
        </w:rPr>
        <w:t xml:space="preserve">Thailand (1.2 million tonnes) are among the top </w:t>
      </w:r>
      <w:r w:rsidR="0002503B">
        <w:rPr>
          <w:sz w:val="22"/>
          <w:szCs w:val="22"/>
          <w:lang w:val="en-GB"/>
        </w:rPr>
        <w:t>ten</w:t>
      </w:r>
      <w:r w:rsidR="0002503B" w:rsidRPr="00B639F3">
        <w:rPr>
          <w:sz w:val="22"/>
          <w:szCs w:val="22"/>
          <w:lang w:val="en-GB"/>
        </w:rPr>
        <w:t xml:space="preserve"> </w:t>
      </w:r>
      <w:r w:rsidR="00B639F3" w:rsidRPr="00B639F3">
        <w:rPr>
          <w:sz w:val="22"/>
          <w:szCs w:val="22"/>
          <w:lang w:val="en-GB"/>
        </w:rPr>
        <w:t>aquaculture producers by volume worldwide, and in the top ten aquaculture producing states by value</w:t>
      </w:r>
      <w:r w:rsidR="00231A5E">
        <w:rPr>
          <w:sz w:val="22"/>
          <w:szCs w:val="22"/>
          <w:lang w:val="en-GB"/>
        </w:rPr>
        <w:t xml:space="preserve"> (FAO, 2014)</w:t>
      </w:r>
      <w:r w:rsidR="00B639F3" w:rsidRPr="00B639F3">
        <w:rPr>
          <w:sz w:val="22"/>
          <w:szCs w:val="22"/>
          <w:lang w:val="en-GB"/>
        </w:rPr>
        <w:t xml:space="preserve">. In Southeast Asia, highly priced crustaceans account for 47 percent of total aquaculture production by value. </w:t>
      </w:r>
      <w:r w:rsidR="0002503B">
        <w:rPr>
          <w:sz w:val="22"/>
          <w:szCs w:val="22"/>
          <w:lang w:val="en-GB"/>
        </w:rPr>
        <w:t>Four</w:t>
      </w:r>
      <w:r w:rsidR="0002503B" w:rsidRPr="00B639F3">
        <w:rPr>
          <w:sz w:val="22"/>
          <w:szCs w:val="22"/>
          <w:lang w:val="en-GB"/>
        </w:rPr>
        <w:t xml:space="preserve"> </w:t>
      </w:r>
      <w:r w:rsidR="00B639F3" w:rsidRPr="00B639F3">
        <w:rPr>
          <w:sz w:val="22"/>
          <w:szCs w:val="22"/>
          <w:lang w:val="en-GB"/>
        </w:rPr>
        <w:t xml:space="preserve">of the </w:t>
      </w:r>
      <w:r w:rsidR="0002503B">
        <w:rPr>
          <w:sz w:val="22"/>
          <w:szCs w:val="22"/>
          <w:lang w:val="en-GB"/>
        </w:rPr>
        <w:t>five</w:t>
      </w:r>
      <w:r w:rsidR="00B639F3" w:rsidRPr="00B639F3">
        <w:rPr>
          <w:sz w:val="22"/>
          <w:szCs w:val="22"/>
          <w:lang w:val="en-GB"/>
        </w:rPr>
        <w:t xml:space="preserve"> top shrimp producers in the world are states bordering the South China Sea (</w:t>
      </w:r>
      <w:r w:rsidR="0002503B">
        <w:rPr>
          <w:sz w:val="22"/>
          <w:szCs w:val="22"/>
          <w:lang w:val="en-GB"/>
        </w:rPr>
        <w:t>China</w:t>
      </w:r>
      <w:r w:rsidR="00B639F3" w:rsidRPr="00B639F3">
        <w:rPr>
          <w:sz w:val="22"/>
          <w:szCs w:val="22"/>
          <w:lang w:val="en-GB"/>
        </w:rPr>
        <w:t xml:space="preserve">, first; </w:t>
      </w:r>
      <w:r w:rsidR="0002503B">
        <w:rPr>
          <w:sz w:val="22"/>
          <w:szCs w:val="22"/>
          <w:lang w:val="en-GB"/>
        </w:rPr>
        <w:t>Thailand</w:t>
      </w:r>
      <w:r w:rsidR="00B639F3" w:rsidRPr="00B639F3">
        <w:rPr>
          <w:sz w:val="22"/>
          <w:szCs w:val="22"/>
          <w:lang w:val="en-GB"/>
        </w:rPr>
        <w:t xml:space="preserve">, second; </w:t>
      </w:r>
      <w:r w:rsidR="0002503B">
        <w:rPr>
          <w:sz w:val="22"/>
          <w:szCs w:val="22"/>
          <w:lang w:val="en-GB"/>
        </w:rPr>
        <w:t>Viet Nam</w:t>
      </w:r>
      <w:r w:rsidR="00B639F3" w:rsidRPr="00B639F3">
        <w:rPr>
          <w:sz w:val="22"/>
          <w:szCs w:val="22"/>
          <w:lang w:val="en-GB"/>
        </w:rPr>
        <w:t xml:space="preserve">, third; </w:t>
      </w:r>
      <w:r w:rsidR="0002503B">
        <w:rPr>
          <w:sz w:val="22"/>
          <w:szCs w:val="22"/>
          <w:lang w:val="en-GB"/>
        </w:rPr>
        <w:t>and Indonesia</w:t>
      </w:r>
      <w:r w:rsidR="00B639F3" w:rsidRPr="00B639F3">
        <w:rPr>
          <w:sz w:val="22"/>
          <w:szCs w:val="22"/>
          <w:lang w:val="en-GB"/>
        </w:rPr>
        <w:t xml:space="preserve">, </w:t>
      </w:r>
      <w:r w:rsidR="0002503B">
        <w:rPr>
          <w:sz w:val="22"/>
          <w:szCs w:val="22"/>
          <w:lang w:val="en-GB"/>
        </w:rPr>
        <w:t>fourth</w:t>
      </w:r>
      <w:r w:rsidR="00231A5E">
        <w:rPr>
          <w:sz w:val="22"/>
          <w:szCs w:val="22"/>
          <w:lang w:val="en-GB"/>
        </w:rPr>
        <w:t>, whereas t</w:t>
      </w:r>
      <w:r w:rsidR="0002503B">
        <w:rPr>
          <w:sz w:val="22"/>
          <w:szCs w:val="22"/>
          <w:lang w:val="en-GB"/>
        </w:rPr>
        <w:t>he Philippines is among the world’s top ten shrimp producing countries</w:t>
      </w:r>
      <w:r w:rsidR="00231A5E">
        <w:rPr>
          <w:sz w:val="22"/>
          <w:szCs w:val="22"/>
          <w:lang w:val="en-GB"/>
        </w:rPr>
        <w:t xml:space="preserve"> (FAO, 2014)</w:t>
      </w:r>
      <w:r w:rsidR="0002503B">
        <w:rPr>
          <w:sz w:val="22"/>
          <w:szCs w:val="22"/>
          <w:lang w:val="en-GB"/>
        </w:rPr>
        <w:t xml:space="preserve">. </w:t>
      </w:r>
      <w:r w:rsidR="00B639F3" w:rsidRPr="00B639F3">
        <w:rPr>
          <w:sz w:val="22"/>
          <w:szCs w:val="22"/>
          <w:lang w:val="en-GB"/>
        </w:rPr>
        <w:t xml:space="preserve"> Giant Tiger shrimp (Penaeus monodon) is the top produced species, although this position is being challenged by increased production of white leg shrimp (Penaeus vannamei) by all countries, except Cambodia. The high dependence of the aquaculture sector on marine shrimp production has, and continues to contribute, to the loss of habitats bordering the South China Sea. Shrimp pond construction and the release of waste water from shrimp farms also contribute to localised coastal water quality problems, particularly in areas of </w:t>
      </w:r>
      <w:r w:rsidR="00231A5E">
        <w:rPr>
          <w:sz w:val="22"/>
          <w:szCs w:val="22"/>
          <w:lang w:val="en-GB"/>
        </w:rPr>
        <w:t xml:space="preserve">south-central Viet Nam and </w:t>
      </w:r>
      <w:r w:rsidR="00B639F3" w:rsidRPr="00B639F3">
        <w:rPr>
          <w:sz w:val="22"/>
          <w:szCs w:val="22"/>
          <w:lang w:val="en-GB"/>
        </w:rPr>
        <w:t>the western Gulf of Thailand</w:t>
      </w:r>
      <w:r w:rsidR="00231A5E">
        <w:rPr>
          <w:sz w:val="22"/>
          <w:szCs w:val="22"/>
          <w:lang w:val="en-GB"/>
        </w:rPr>
        <w:t xml:space="preserve"> (UNEP, 2008c)</w:t>
      </w:r>
      <w:r w:rsidR="00B639F3" w:rsidRPr="00B639F3">
        <w:rPr>
          <w:sz w:val="22"/>
          <w:szCs w:val="22"/>
          <w:lang w:val="en-GB"/>
        </w:rPr>
        <w:t>.</w:t>
      </w:r>
    </w:p>
    <w:p w14:paraId="1E14128C" w14:textId="77777777" w:rsidR="00B639F3" w:rsidRPr="00B639F3" w:rsidRDefault="00D47287" w:rsidP="00B639F3">
      <w:pPr>
        <w:numPr>
          <w:ilvl w:val="2"/>
          <w:numId w:val="2"/>
        </w:numPr>
        <w:spacing w:after="120"/>
        <w:outlineLvl w:val="1"/>
        <w:rPr>
          <w:b/>
          <w:sz w:val="22"/>
          <w:szCs w:val="22"/>
          <w:lang w:val="en-GB"/>
        </w:rPr>
      </w:pPr>
      <w:r>
        <w:rPr>
          <w:b/>
          <w:sz w:val="22"/>
          <w:szCs w:val="22"/>
          <w:lang w:val="en-GB"/>
        </w:rPr>
        <w:t>Goods and services derived from coastal habitats</w:t>
      </w:r>
    </w:p>
    <w:p w14:paraId="03183C4F" w14:textId="77777777" w:rsidR="00383874" w:rsidRDefault="00D47287" w:rsidP="00B639F3">
      <w:pPr>
        <w:numPr>
          <w:ilvl w:val="0"/>
          <w:numId w:val="3"/>
        </w:numPr>
        <w:spacing w:after="120"/>
        <w:ind w:left="0" w:firstLine="0"/>
        <w:jc w:val="both"/>
        <w:rPr>
          <w:sz w:val="22"/>
          <w:szCs w:val="22"/>
          <w:lang w:val="en-GB"/>
        </w:rPr>
      </w:pPr>
      <w:r>
        <w:rPr>
          <w:sz w:val="22"/>
          <w:szCs w:val="22"/>
          <w:lang w:val="en-GB"/>
        </w:rPr>
        <w:t>The South China Sea’s</w:t>
      </w:r>
      <w:r w:rsidR="00B639F3" w:rsidRPr="00B639F3">
        <w:rPr>
          <w:sz w:val="22"/>
          <w:szCs w:val="22"/>
          <w:lang w:val="en-GB"/>
        </w:rPr>
        <w:t xml:space="preserve"> globally significant, stock of genetic, specific and ecosystem diversity is currently suffering severe degradation and loss and the threats are increasing rather than decreasing due to rapid and extensive coastal development, habitat removal and modification, pollution, overharvesting of marine living resources, and poor planning resulting in enhanced vulnerability of coastal systems to episodic and extreme weather events. When coastal ecosystems and habitats are destroyed and replaced by other forms of land use, not only are the species of plants and animals lost but also many services provided by these systems are adversely impacted. Degradation of coastal habitats therefore results in loss of both direct and indirect economic values that support socio-economic development at both local and national scales.</w:t>
      </w:r>
    </w:p>
    <w:p w14:paraId="53CE660F" w14:textId="77777777" w:rsidR="00182A95" w:rsidRPr="00925148" w:rsidRDefault="00925148" w:rsidP="00182A95">
      <w:pPr>
        <w:spacing w:after="120"/>
        <w:jc w:val="both"/>
        <w:rPr>
          <w:b/>
          <w:i/>
          <w:sz w:val="22"/>
          <w:szCs w:val="22"/>
          <w:lang w:val="en-GB"/>
        </w:rPr>
      </w:pPr>
      <w:r w:rsidRPr="00925148">
        <w:rPr>
          <w:b/>
          <w:i/>
          <w:sz w:val="22"/>
          <w:szCs w:val="22"/>
          <w:lang w:val="en-GB"/>
        </w:rPr>
        <w:t xml:space="preserve">Mangrove </w:t>
      </w:r>
      <w:r w:rsidR="00F75BCA">
        <w:rPr>
          <w:b/>
          <w:i/>
          <w:sz w:val="22"/>
          <w:szCs w:val="22"/>
          <w:lang w:val="en-GB"/>
        </w:rPr>
        <w:t>goods and services</w:t>
      </w:r>
    </w:p>
    <w:p w14:paraId="302E329B" w14:textId="77777777" w:rsidR="00D47287" w:rsidRPr="00925148" w:rsidRDefault="00D47287" w:rsidP="00D47287">
      <w:pPr>
        <w:numPr>
          <w:ilvl w:val="0"/>
          <w:numId w:val="3"/>
        </w:numPr>
        <w:snapToGrid w:val="0"/>
        <w:spacing w:after="120"/>
        <w:ind w:left="0" w:firstLine="0"/>
        <w:jc w:val="both"/>
        <w:rPr>
          <w:bCs/>
          <w:sz w:val="22"/>
          <w:szCs w:val="22"/>
        </w:rPr>
      </w:pPr>
      <w:r w:rsidRPr="00925148">
        <w:rPr>
          <w:bCs/>
          <w:sz w:val="22"/>
          <w:szCs w:val="22"/>
        </w:rPr>
        <w:t>Table 1</w:t>
      </w:r>
      <w:r w:rsidR="00182A95" w:rsidRPr="00925148">
        <w:rPr>
          <w:bCs/>
          <w:sz w:val="22"/>
          <w:szCs w:val="22"/>
        </w:rPr>
        <w:t>0</w:t>
      </w:r>
      <w:r w:rsidRPr="00925148">
        <w:rPr>
          <w:bCs/>
          <w:sz w:val="22"/>
          <w:szCs w:val="22"/>
        </w:rPr>
        <w:t xml:space="preserve"> indicates that extractive uses of mangrove ecosystems include direct use of the mangrove plants themselves, together with direct use of the secondary consumers and decomposers that are dependent upon the primary production of the mangrove trees. The use of mangrove trees for timber, poles, fuelwood, charcoal production, thatch and fodder are widespread activities throughout the region, whilst the use of mangrove propagules (fruits) for human consumption, bark for tanning, Nipa sap for alcohol, and use of mangrove associates for medicines are more restricted uses, characteristic of certain locations. </w:t>
      </w:r>
    </w:p>
    <w:p w14:paraId="77583707" w14:textId="77777777" w:rsidR="00182A95" w:rsidRPr="00182A95" w:rsidRDefault="00182A95" w:rsidP="00182A95">
      <w:pPr>
        <w:tabs>
          <w:tab w:val="left" w:pos="1980"/>
        </w:tabs>
        <w:snapToGrid w:val="0"/>
        <w:spacing w:after="120"/>
        <w:ind w:left="907" w:hanging="907"/>
        <w:rPr>
          <w:sz w:val="21"/>
          <w:szCs w:val="21"/>
        </w:rPr>
      </w:pPr>
      <w:r w:rsidRPr="00182A95">
        <w:rPr>
          <w:b/>
          <w:sz w:val="21"/>
          <w:szCs w:val="21"/>
        </w:rPr>
        <w:t>Table 10</w:t>
      </w:r>
      <w:r w:rsidRPr="00182A95">
        <w:rPr>
          <w:b/>
          <w:sz w:val="21"/>
          <w:szCs w:val="21"/>
        </w:rPr>
        <w:tab/>
      </w:r>
      <w:r w:rsidRPr="00182A95">
        <w:rPr>
          <w:sz w:val="21"/>
          <w:szCs w:val="21"/>
        </w:rPr>
        <w:t>Summary of Extractive and Non-extractive Direct Uses of Coastal Habitat</w:t>
      </w:r>
      <w:r w:rsidR="00231A5E">
        <w:rPr>
          <w:sz w:val="21"/>
          <w:szCs w:val="21"/>
        </w:rPr>
        <w:t>s of the South China Sea</w:t>
      </w:r>
      <w:r w:rsidRPr="00182A95">
        <w:rPr>
          <w:sz w:val="21"/>
          <w:szCs w:val="21"/>
        </w:rPr>
        <w:t xml:space="preserve">. </w:t>
      </w:r>
    </w:p>
    <w:tbl>
      <w:tblPr>
        <w:tblW w:w="9211"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1417"/>
        <w:gridCol w:w="2567"/>
        <w:gridCol w:w="1995"/>
        <w:gridCol w:w="1619"/>
        <w:gridCol w:w="1613"/>
      </w:tblGrid>
      <w:tr w:rsidR="00182A95" w:rsidRPr="00766319" w14:paraId="719B82A6" w14:textId="77777777" w:rsidTr="00182A95">
        <w:tblPrEx>
          <w:tblCellMar>
            <w:top w:w="0" w:type="dxa"/>
            <w:bottom w:w="0" w:type="dxa"/>
          </w:tblCellMar>
        </w:tblPrEx>
        <w:trPr>
          <w:cantSplit/>
          <w:jc w:val="center"/>
        </w:trPr>
        <w:tc>
          <w:tcPr>
            <w:tcW w:w="1433" w:type="dxa"/>
            <w:tcBorders>
              <w:top w:val="single" w:sz="12" w:space="0" w:color="auto"/>
              <w:left w:val="single" w:sz="12" w:space="0" w:color="auto"/>
              <w:bottom w:val="single" w:sz="12" w:space="0" w:color="auto"/>
            </w:tcBorders>
            <w:vAlign w:val="center"/>
          </w:tcPr>
          <w:p w14:paraId="0E43F5C4" w14:textId="77777777" w:rsidR="00182A95" w:rsidRPr="00182A95" w:rsidRDefault="00182A95" w:rsidP="005B6B53">
            <w:pPr>
              <w:pStyle w:val="Heading8"/>
              <w:jc w:val="left"/>
            </w:pPr>
            <w:r w:rsidRPr="00182A95">
              <w:t>Extractive Uses</w:t>
            </w:r>
          </w:p>
        </w:tc>
        <w:tc>
          <w:tcPr>
            <w:tcW w:w="2612" w:type="dxa"/>
            <w:tcBorders>
              <w:top w:val="single" w:sz="12" w:space="0" w:color="auto"/>
              <w:bottom w:val="single" w:sz="12" w:space="0" w:color="auto"/>
            </w:tcBorders>
            <w:vAlign w:val="center"/>
          </w:tcPr>
          <w:p w14:paraId="60381B2C" w14:textId="77777777" w:rsidR="00182A95" w:rsidRPr="00182A95" w:rsidRDefault="00182A95" w:rsidP="005B6B53">
            <w:pPr>
              <w:jc w:val="center"/>
              <w:rPr>
                <w:rFonts w:ascii="Arial" w:hAnsi="Arial" w:cs="Arial"/>
                <w:b/>
                <w:bCs/>
                <w:sz w:val="16"/>
                <w:szCs w:val="16"/>
              </w:rPr>
            </w:pPr>
            <w:r w:rsidRPr="00182A95">
              <w:rPr>
                <w:rFonts w:ascii="Arial" w:hAnsi="Arial" w:cs="Arial"/>
                <w:b/>
                <w:bCs/>
                <w:sz w:val="16"/>
                <w:szCs w:val="16"/>
              </w:rPr>
              <w:t>Mangroves</w:t>
            </w:r>
          </w:p>
        </w:tc>
        <w:tc>
          <w:tcPr>
            <w:tcW w:w="2036" w:type="dxa"/>
            <w:tcBorders>
              <w:top w:val="single" w:sz="12" w:space="0" w:color="auto"/>
              <w:bottom w:val="single" w:sz="12" w:space="0" w:color="auto"/>
            </w:tcBorders>
            <w:vAlign w:val="center"/>
          </w:tcPr>
          <w:p w14:paraId="63773EF3" w14:textId="77777777" w:rsidR="00182A95" w:rsidRPr="00182A95" w:rsidRDefault="00182A95" w:rsidP="005B6B53">
            <w:pPr>
              <w:tabs>
                <w:tab w:val="left" w:pos="439"/>
              </w:tabs>
              <w:jc w:val="center"/>
              <w:rPr>
                <w:rFonts w:ascii="Arial" w:hAnsi="Arial" w:cs="Arial"/>
                <w:b/>
                <w:bCs/>
                <w:sz w:val="16"/>
                <w:szCs w:val="16"/>
              </w:rPr>
            </w:pPr>
            <w:r w:rsidRPr="00182A95">
              <w:rPr>
                <w:rFonts w:ascii="Arial" w:hAnsi="Arial" w:cs="Arial"/>
                <w:b/>
                <w:bCs/>
                <w:sz w:val="16"/>
                <w:szCs w:val="16"/>
              </w:rPr>
              <w:t>Coral Reefs</w:t>
            </w:r>
          </w:p>
        </w:tc>
        <w:tc>
          <w:tcPr>
            <w:tcW w:w="1619" w:type="dxa"/>
            <w:tcBorders>
              <w:top w:val="single" w:sz="12" w:space="0" w:color="auto"/>
              <w:bottom w:val="single" w:sz="12" w:space="0" w:color="auto"/>
            </w:tcBorders>
            <w:vAlign w:val="center"/>
          </w:tcPr>
          <w:p w14:paraId="70B6D38E" w14:textId="77777777" w:rsidR="00182A95" w:rsidRPr="00182A95" w:rsidRDefault="00182A95" w:rsidP="005B6B53">
            <w:pPr>
              <w:jc w:val="center"/>
              <w:rPr>
                <w:rFonts w:ascii="Arial" w:hAnsi="Arial" w:cs="Arial"/>
                <w:b/>
                <w:bCs/>
                <w:sz w:val="16"/>
                <w:szCs w:val="16"/>
              </w:rPr>
            </w:pPr>
            <w:r w:rsidRPr="00182A95">
              <w:rPr>
                <w:rFonts w:ascii="Arial" w:hAnsi="Arial" w:cs="Arial"/>
                <w:b/>
                <w:bCs/>
                <w:sz w:val="16"/>
                <w:szCs w:val="16"/>
              </w:rPr>
              <w:t>Seagrass</w:t>
            </w:r>
          </w:p>
        </w:tc>
        <w:tc>
          <w:tcPr>
            <w:tcW w:w="1511" w:type="dxa"/>
            <w:tcBorders>
              <w:top w:val="single" w:sz="12" w:space="0" w:color="auto"/>
              <w:bottom w:val="single" w:sz="12" w:space="0" w:color="auto"/>
              <w:right w:val="single" w:sz="12" w:space="0" w:color="auto"/>
            </w:tcBorders>
            <w:vAlign w:val="center"/>
          </w:tcPr>
          <w:p w14:paraId="30DEE247" w14:textId="77777777" w:rsidR="00182A95" w:rsidRPr="00182A95" w:rsidRDefault="00182A95" w:rsidP="005B6B53">
            <w:pPr>
              <w:jc w:val="center"/>
              <w:rPr>
                <w:rFonts w:ascii="Arial" w:hAnsi="Arial" w:cs="Arial"/>
                <w:b/>
                <w:bCs/>
                <w:sz w:val="16"/>
                <w:szCs w:val="16"/>
              </w:rPr>
            </w:pPr>
            <w:r w:rsidRPr="00182A95">
              <w:rPr>
                <w:rFonts w:ascii="Arial" w:hAnsi="Arial" w:cs="Arial"/>
                <w:b/>
                <w:bCs/>
                <w:sz w:val="16"/>
                <w:szCs w:val="16"/>
              </w:rPr>
              <w:t>Wetlands</w:t>
            </w:r>
          </w:p>
        </w:tc>
      </w:tr>
      <w:tr w:rsidR="00182A95" w:rsidRPr="00766319" w14:paraId="003E4AC3" w14:textId="77777777" w:rsidTr="00182A95">
        <w:tblPrEx>
          <w:tblCellMar>
            <w:top w:w="0" w:type="dxa"/>
            <w:bottom w:w="0" w:type="dxa"/>
          </w:tblCellMar>
        </w:tblPrEx>
        <w:trPr>
          <w:cantSplit/>
          <w:jc w:val="center"/>
        </w:trPr>
        <w:tc>
          <w:tcPr>
            <w:tcW w:w="1433" w:type="dxa"/>
            <w:vMerge w:val="restart"/>
            <w:tcBorders>
              <w:top w:val="single" w:sz="12" w:space="0" w:color="auto"/>
              <w:left w:val="single" w:sz="12" w:space="0" w:color="auto"/>
              <w:bottom w:val="single" w:sz="6" w:space="0" w:color="auto"/>
            </w:tcBorders>
          </w:tcPr>
          <w:p w14:paraId="75F017BB" w14:textId="77777777" w:rsidR="00182A95" w:rsidRPr="00182A95" w:rsidRDefault="00182A95" w:rsidP="005B6B53">
            <w:pPr>
              <w:ind w:right="-95"/>
              <w:rPr>
                <w:rFonts w:ascii="Arial" w:hAnsi="Arial" w:cs="Arial"/>
                <w:b/>
                <w:bCs/>
                <w:sz w:val="16"/>
                <w:szCs w:val="16"/>
              </w:rPr>
            </w:pPr>
            <w:r w:rsidRPr="00182A95">
              <w:rPr>
                <w:rFonts w:ascii="Arial" w:hAnsi="Arial" w:cs="Arial"/>
                <w:b/>
                <w:bCs/>
                <w:sz w:val="16"/>
                <w:szCs w:val="16"/>
              </w:rPr>
              <w:t>Vegetable Products</w:t>
            </w:r>
          </w:p>
        </w:tc>
        <w:tc>
          <w:tcPr>
            <w:tcW w:w="2612" w:type="dxa"/>
            <w:tcBorders>
              <w:top w:val="single" w:sz="12" w:space="0" w:color="auto"/>
            </w:tcBorders>
            <w:vAlign w:val="center"/>
          </w:tcPr>
          <w:p w14:paraId="16CB63D6" w14:textId="77777777" w:rsidR="00182A95" w:rsidRPr="00182A95" w:rsidRDefault="00182A95" w:rsidP="005B6B53">
            <w:pPr>
              <w:rPr>
                <w:rFonts w:ascii="Arial" w:hAnsi="Arial" w:cs="Arial"/>
                <w:sz w:val="16"/>
                <w:szCs w:val="16"/>
              </w:rPr>
            </w:pPr>
            <w:r w:rsidRPr="00182A95">
              <w:rPr>
                <w:rFonts w:ascii="Arial" w:hAnsi="Arial" w:cs="Arial"/>
                <w:sz w:val="16"/>
                <w:szCs w:val="16"/>
              </w:rPr>
              <w:t>Timber</w:t>
            </w:r>
          </w:p>
        </w:tc>
        <w:tc>
          <w:tcPr>
            <w:tcW w:w="2036" w:type="dxa"/>
            <w:tcBorders>
              <w:top w:val="single" w:sz="12" w:space="0" w:color="auto"/>
            </w:tcBorders>
            <w:vAlign w:val="center"/>
          </w:tcPr>
          <w:p w14:paraId="13C1C8CF" w14:textId="77777777" w:rsidR="00182A95" w:rsidRPr="00182A95" w:rsidRDefault="00182A95" w:rsidP="005B6B53">
            <w:pPr>
              <w:tabs>
                <w:tab w:val="left" w:pos="439"/>
              </w:tabs>
              <w:rPr>
                <w:rFonts w:ascii="Arial" w:hAnsi="Arial" w:cs="Arial"/>
                <w:sz w:val="16"/>
                <w:szCs w:val="16"/>
              </w:rPr>
            </w:pPr>
            <w:r w:rsidRPr="00182A95">
              <w:rPr>
                <w:rFonts w:ascii="Arial" w:hAnsi="Arial" w:cs="Arial"/>
                <w:sz w:val="16"/>
                <w:szCs w:val="16"/>
              </w:rPr>
              <w:t xml:space="preserve">Building materials, curios </w:t>
            </w:r>
          </w:p>
        </w:tc>
        <w:tc>
          <w:tcPr>
            <w:tcW w:w="1619" w:type="dxa"/>
            <w:tcBorders>
              <w:top w:val="single" w:sz="12" w:space="0" w:color="auto"/>
            </w:tcBorders>
            <w:vAlign w:val="center"/>
          </w:tcPr>
          <w:p w14:paraId="0C416C4B" w14:textId="77777777" w:rsidR="00182A95" w:rsidRPr="00182A95" w:rsidRDefault="00182A95" w:rsidP="00182A95">
            <w:pPr>
              <w:rPr>
                <w:rFonts w:ascii="Arial" w:hAnsi="Arial" w:cs="Arial"/>
                <w:i/>
                <w:iCs/>
                <w:sz w:val="16"/>
                <w:szCs w:val="16"/>
              </w:rPr>
            </w:pPr>
            <w:r w:rsidRPr="00182A95">
              <w:rPr>
                <w:rFonts w:ascii="Arial" w:hAnsi="Arial" w:cs="Arial"/>
                <w:i/>
                <w:iCs/>
                <w:sz w:val="16"/>
                <w:szCs w:val="16"/>
              </w:rPr>
              <w:t>N/A</w:t>
            </w:r>
          </w:p>
        </w:tc>
        <w:tc>
          <w:tcPr>
            <w:tcW w:w="1511" w:type="dxa"/>
            <w:tcBorders>
              <w:top w:val="single" w:sz="12" w:space="0" w:color="auto"/>
              <w:right w:val="single" w:sz="12" w:space="0" w:color="auto"/>
            </w:tcBorders>
            <w:vAlign w:val="center"/>
          </w:tcPr>
          <w:p w14:paraId="44E42A79" w14:textId="77777777" w:rsidR="00182A95" w:rsidRPr="00182A95" w:rsidRDefault="00182A95" w:rsidP="00182A95">
            <w:pPr>
              <w:rPr>
                <w:rFonts w:ascii="Arial" w:hAnsi="Arial" w:cs="Arial"/>
                <w:sz w:val="16"/>
                <w:szCs w:val="16"/>
              </w:rPr>
            </w:pPr>
            <w:r w:rsidRPr="00182A95">
              <w:rPr>
                <w:rFonts w:ascii="Arial" w:hAnsi="Arial" w:cs="Arial"/>
                <w:sz w:val="16"/>
                <w:szCs w:val="16"/>
              </w:rPr>
              <w:t>Timber</w:t>
            </w:r>
          </w:p>
        </w:tc>
      </w:tr>
      <w:tr w:rsidR="00182A95" w:rsidRPr="00766319" w14:paraId="155AD2D3"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70C6D668" w14:textId="77777777" w:rsidR="00182A95" w:rsidRPr="00182A95" w:rsidRDefault="00182A95" w:rsidP="005B6B53">
            <w:pPr>
              <w:rPr>
                <w:rFonts w:ascii="Arial" w:hAnsi="Arial" w:cs="Arial"/>
                <w:sz w:val="16"/>
                <w:szCs w:val="16"/>
              </w:rPr>
            </w:pPr>
          </w:p>
        </w:tc>
        <w:tc>
          <w:tcPr>
            <w:tcW w:w="2612" w:type="dxa"/>
            <w:vAlign w:val="center"/>
          </w:tcPr>
          <w:p w14:paraId="171C3D22" w14:textId="77777777" w:rsidR="00182A95" w:rsidRPr="00182A95" w:rsidRDefault="00182A95" w:rsidP="005B6B53">
            <w:pPr>
              <w:rPr>
                <w:rFonts w:ascii="Arial" w:hAnsi="Arial" w:cs="Arial"/>
                <w:sz w:val="16"/>
                <w:szCs w:val="16"/>
              </w:rPr>
            </w:pPr>
            <w:r w:rsidRPr="00182A95">
              <w:rPr>
                <w:rFonts w:ascii="Arial" w:hAnsi="Arial" w:cs="Arial"/>
                <w:sz w:val="16"/>
                <w:szCs w:val="16"/>
              </w:rPr>
              <w:t>Firewood</w:t>
            </w:r>
          </w:p>
        </w:tc>
        <w:tc>
          <w:tcPr>
            <w:tcW w:w="2036" w:type="dxa"/>
            <w:vAlign w:val="center"/>
          </w:tcPr>
          <w:p w14:paraId="3162120D" w14:textId="77777777" w:rsidR="00182A95" w:rsidRPr="00182A95" w:rsidRDefault="00182A95" w:rsidP="005B6B53">
            <w:pPr>
              <w:tabs>
                <w:tab w:val="left" w:pos="439"/>
              </w:tabs>
              <w:rPr>
                <w:rFonts w:ascii="Arial" w:hAnsi="Arial" w:cs="Arial"/>
                <w:i/>
                <w:iCs/>
                <w:sz w:val="16"/>
                <w:szCs w:val="16"/>
              </w:rPr>
            </w:pPr>
            <w:r w:rsidRPr="00182A95">
              <w:rPr>
                <w:rFonts w:ascii="Arial" w:hAnsi="Arial" w:cs="Arial"/>
                <w:i/>
                <w:iCs/>
                <w:sz w:val="16"/>
                <w:szCs w:val="16"/>
              </w:rPr>
              <w:t>N/A</w:t>
            </w:r>
          </w:p>
        </w:tc>
        <w:tc>
          <w:tcPr>
            <w:tcW w:w="1619" w:type="dxa"/>
            <w:vAlign w:val="center"/>
          </w:tcPr>
          <w:p w14:paraId="1A5B4841" w14:textId="77777777" w:rsidR="00182A95" w:rsidRPr="00182A95" w:rsidRDefault="00182A95" w:rsidP="00182A95">
            <w:pPr>
              <w:rPr>
                <w:rFonts w:ascii="Arial" w:hAnsi="Arial" w:cs="Arial"/>
                <w:i/>
                <w:iCs/>
                <w:sz w:val="16"/>
                <w:szCs w:val="16"/>
              </w:rPr>
            </w:pPr>
            <w:r w:rsidRPr="00182A95">
              <w:rPr>
                <w:rFonts w:ascii="Arial" w:hAnsi="Arial" w:cs="Arial"/>
                <w:i/>
                <w:iCs/>
                <w:sz w:val="16"/>
                <w:szCs w:val="16"/>
              </w:rPr>
              <w:t>N/A</w:t>
            </w:r>
          </w:p>
        </w:tc>
        <w:tc>
          <w:tcPr>
            <w:tcW w:w="1511" w:type="dxa"/>
            <w:tcBorders>
              <w:right w:val="single" w:sz="12" w:space="0" w:color="auto"/>
            </w:tcBorders>
            <w:vAlign w:val="center"/>
          </w:tcPr>
          <w:p w14:paraId="3AEF9CB0" w14:textId="77777777" w:rsidR="00182A95" w:rsidRPr="00182A95" w:rsidRDefault="00182A95" w:rsidP="00182A95">
            <w:pPr>
              <w:rPr>
                <w:rFonts w:ascii="Arial" w:hAnsi="Arial" w:cs="Arial"/>
                <w:sz w:val="16"/>
                <w:szCs w:val="16"/>
              </w:rPr>
            </w:pPr>
            <w:r w:rsidRPr="00182A95">
              <w:rPr>
                <w:rFonts w:ascii="Arial" w:hAnsi="Arial" w:cs="Arial"/>
                <w:sz w:val="16"/>
                <w:szCs w:val="16"/>
              </w:rPr>
              <w:t xml:space="preserve">Firewood </w:t>
            </w:r>
          </w:p>
        </w:tc>
      </w:tr>
      <w:tr w:rsidR="00182A95" w:rsidRPr="00766319" w14:paraId="6D464199"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585695AF" w14:textId="77777777" w:rsidR="00182A95" w:rsidRPr="00182A95" w:rsidRDefault="00182A95" w:rsidP="005B6B53">
            <w:pPr>
              <w:rPr>
                <w:rFonts w:ascii="Arial" w:hAnsi="Arial" w:cs="Arial"/>
                <w:sz w:val="16"/>
                <w:szCs w:val="16"/>
              </w:rPr>
            </w:pPr>
          </w:p>
        </w:tc>
        <w:tc>
          <w:tcPr>
            <w:tcW w:w="2612" w:type="dxa"/>
            <w:vAlign w:val="center"/>
          </w:tcPr>
          <w:p w14:paraId="0CB93AC9" w14:textId="77777777" w:rsidR="00182A95" w:rsidRPr="00182A95" w:rsidRDefault="00182A95" w:rsidP="005B6B53">
            <w:pPr>
              <w:rPr>
                <w:rFonts w:ascii="Arial" w:hAnsi="Arial" w:cs="Arial"/>
                <w:sz w:val="16"/>
                <w:szCs w:val="16"/>
              </w:rPr>
            </w:pPr>
            <w:r w:rsidRPr="00182A95">
              <w:rPr>
                <w:rFonts w:ascii="Arial" w:hAnsi="Arial" w:cs="Arial"/>
                <w:sz w:val="16"/>
                <w:szCs w:val="16"/>
              </w:rPr>
              <w:t>Poles</w:t>
            </w:r>
          </w:p>
        </w:tc>
        <w:tc>
          <w:tcPr>
            <w:tcW w:w="2036" w:type="dxa"/>
            <w:vAlign w:val="center"/>
          </w:tcPr>
          <w:p w14:paraId="3910ED30" w14:textId="77777777" w:rsidR="00182A95" w:rsidRPr="00182A95" w:rsidRDefault="00182A95" w:rsidP="005B6B53">
            <w:pPr>
              <w:tabs>
                <w:tab w:val="left" w:pos="439"/>
              </w:tabs>
              <w:rPr>
                <w:rFonts w:ascii="Arial" w:hAnsi="Arial" w:cs="Arial"/>
                <w:i/>
                <w:iCs/>
                <w:sz w:val="16"/>
                <w:szCs w:val="16"/>
              </w:rPr>
            </w:pPr>
            <w:r w:rsidRPr="00182A95">
              <w:rPr>
                <w:rFonts w:ascii="Arial" w:hAnsi="Arial" w:cs="Arial"/>
                <w:i/>
                <w:iCs/>
                <w:sz w:val="16"/>
                <w:szCs w:val="16"/>
              </w:rPr>
              <w:t>N/A</w:t>
            </w:r>
          </w:p>
        </w:tc>
        <w:tc>
          <w:tcPr>
            <w:tcW w:w="1619" w:type="dxa"/>
            <w:vAlign w:val="center"/>
          </w:tcPr>
          <w:p w14:paraId="59681ECE" w14:textId="77777777" w:rsidR="00182A95" w:rsidRPr="00182A95" w:rsidRDefault="00182A95" w:rsidP="00182A95">
            <w:pPr>
              <w:rPr>
                <w:rFonts w:ascii="Arial" w:hAnsi="Arial" w:cs="Arial"/>
                <w:i/>
                <w:iCs/>
                <w:sz w:val="16"/>
                <w:szCs w:val="16"/>
              </w:rPr>
            </w:pPr>
            <w:r w:rsidRPr="00182A95">
              <w:rPr>
                <w:rFonts w:ascii="Arial" w:hAnsi="Arial" w:cs="Arial"/>
                <w:i/>
                <w:iCs/>
                <w:sz w:val="16"/>
                <w:szCs w:val="16"/>
              </w:rPr>
              <w:t>N/A</w:t>
            </w:r>
          </w:p>
        </w:tc>
        <w:tc>
          <w:tcPr>
            <w:tcW w:w="1511" w:type="dxa"/>
            <w:tcBorders>
              <w:right w:val="single" w:sz="12" w:space="0" w:color="auto"/>
            </w:tcBorders>
            <w:vAlign w:val="center"/>
          </w:tcPr>
          <w:p w14:paraId="0A72B2E9" w14:textId="77777777" w:rsidR="00182A95" w:rsidRPr="00182A95" w:rsidRDefault="00182A95" w:rsidP="00182A95">
            <w:pPr>
              <w:rPr>
                <w:rFonts w:ascii="Arial" w:hAnsi="Arial" w:cs="Arial"/>
                <w:sz w:val="16"/>
                <w:szCs w:val="16"/>
              </w:rPr>
            </w:pPr>
            <w:r w:rsidRPr="00182A95">
              <w:rPr>
                <w:rFonts w:ascii="Arial" w:hAnsi="Arial" w:cs="Arial"/>
                <w:sz w:val="16"/>
                <w:szCs w:val="16"/>
              </w:rPr>
              <w:t>Poles</w:t>
            </w:r>
          </w:p>
        </w:tc>
      </w:tr>
      <w:tr w:rsidR="00182A95" w:rsidRPr="00766319" w14:paraId="2D84A0FD"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3B4F8A2F" w14:textId="77777777" w:rsidR="00182A95" w:rsidRPr="00182A95" w:rsidRDefault="00182A95" w:rsidP="005B6B53">
            <w:pPr>
              <w:rPr>
                <w:rFonts w:ascii="Arial" w:hAnsi="Arial" w:cs="Arial"/>
                <w:sz w:val="16"/>
                <w:szCs w:val="16"/>
              </w:rPr>
            </w:pPr>
          </w:p>
        </w:tc>
        <w:tc>
          <w:tcPr>
            <w:tcW w:w="2612" w:type="dxa"/>
            <w:vAlign w:val="center"/>
          </w:tcPr>
          <w:p w14:paraId="757513CC" w14:textId="77777777" w:rsidR="00182A95" w:rsidRPr="00182A95" w:rsidRDefault="00182A95" w:rsidP="005B6B53">
            <w:pPr>
              <w:rPr>
                <w:rFonts w:ascii="Arial" w:hAnsi="Arial" w:cs="Arial"/>
                <w:sz w:val="16"/>
                <w:szCs w:val="16"/>
              </w:rPr>
            </w:pPr>
            <w:r w:rsidRPr="00182A95">
              <w:rPr>
                <w:rFonts w:ascii="Arial" w:hAnsi="Arial" w:cs="Arial"/>
                <w:sz w:val="16"/>
                <w:szCs w:val="16"/>
              </w:rPr>
              <w:t>Charcoal</w:t>
            </w:r>
          </w:p>
        </w:tc>
        <w:tc>
          <w:tcPr>
            <w:tcW w:w="2036" w:type="dxa"/>
            <w:vAlign w:val="center"/>
          </w:tcPr>
          <w:p w14:paraId="27857A70" w14:textId="77777777" w:rsidR="00182A95" w:rsidRPr="00182A95" w:rsidRDefault="00182A95" w:rsidP="005B6B53">
            <w:pPr>
              <w:tabs>
                <w:tab w:val="left" w:pos="439"/>
              </w:tabs>
              <w:rPr>
                <w:rFonts w:ascii="Arial" w:hAnsi="Arial" w:cs="Arial"/>
                <w:sz w:val="16"/>
                <w:szCs w:val="16"/>
              </w:rPr>
            </w:pPr>
            <w:r w:rsidRPr="00182A95">
              <w:rPr>
                <w:rFonts w:ascii="Arial" w:hAnsi="Arial" w:cs="Arial"/>
                <w:sz w:val="16"/>
                <w:szCs w:val="16"/>
              </w:rPr>
              <w:t>Quick lime</w:t>
            </w:r>
          </w:p>
        </w:tc>
        <w:tc>
          <w:tcPr>
            <w:tcW w:w="1619" w:type="dxa"/>
            <w:vAlign w:val="center"/>
          </w:tcPr>
          <w:p w14:paraId="46B6E1F2" w14:textId="77777777" w:rsidR="00182A95" w:rsidRPr="00182A95" w:rsidRDefault="00182A95" w:rsidP="00182A95">
            <w:pPr>
              <w:rPr>
                <w:rFonts w:ascii="Arial" w:hAnsi="Arial" w:cs="Arial"/>
                <w:i/>
                <w:iCs/>
                <w:sz w:val="16"/>
                <w:szCs w:val="16"/>
              </w:rPr>
            </w:pPr>
            <w:r w:rsidRPr="00182A95">
              <w:rPr>
                <w:rFonts w:ascii="Arial" w:hAnsi="Arial" w:cs="Arial"/>
                <w:i/>
                <w:iCs/>
                <w:sz w:val="16"/>
                <w:szCs w:val="16"/>
              </w:rPr>
              <w:t>N/A</w:t>
            </w:r>
          </w:p>
        </w:tc>
        <w:tc>
          <w:tcPr>
            <w:tcW w:w="1511" w:type="dxa"/>
            <w:tcBorders>
              <w:right w:val="single" w:sz="12" w:space="0" w:color="auto"/>
            </w:tcBorders>
            <w:vAlign w:val="center"/>
          </w:tcPr>
          <w:p w14:paraId="7106D0C9" w14:textId="77777777" w:rsidR="00182A95" w:rsidRPr="00182A95" w:rsidRDefault="00182A95" w:rsidP="00182A95">
            <w:pPr>
              <w:rPr>
                <w:rFonts w:ascii="Arial" w:hAnsi="Arial" w:cs="Arial"/>
                <w:sz w:val="16"/>
                <w:szCs w:val="16"/>
              </w:rPr>
            </w:pPr>
            <w:r w:rsidRPr="00182A95">
              <w:rPr>
                <w:rFonts w:ascii="Arial" w:hAnsi="Arial" w:cs="Arial"/>
                <w:sz w:val="16"/>
                <w:szCs w:val="16"/>
              </w:rPr>
              <w:t>Charcoal</w:t>
            </w:r>
          </w:p>
        </w:tc>
      </w:tr>
      <w:tr w:rsidR="00182A95" w:rsidRPr="00766319" w14:paraId="4FC8DA1D"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5420C806" w14:textId="77777777" w:rsidR="00182A95" w:rsidRPr="00182A95" w:rsidRDefault="00182A95" w:rsidP="005B6B53">
            <w:pPr>
              <w:rPr>
                <w:rFonts w:ascii="Arial" w:hAnsi="Arial" w:cs="Arial"/>
                <w:sz w:val="16"/>
                <w:szCs w:val="16"/>
              </w:rPr>
            </w:pPr>
          </w:p>
        </w:tc>
        <w:tc>
          <w:tcPr>
            <w:tcW w:w="2612" w:type="dxa"/>
            <w:vAlign w:val="center"/>
          </w:tcPr>
          <w:p w14:paraId="08A67E47" w14:textId="77777777" w:rsidR="00182A95" w:rsidRPr="00182A95" w:rsidRDefault="00182A95" w:rsidP="00EF7288">
            <w:pPr>
              <w:rPr>
                <w:rFonts w:ascii="Arial" w:hAnsi="Arial" w:cs="Arial"/>
                <w:sz w:val="16"/>
                <w:szCs w:val="16"/>
              </w:rPr>
            </w:pPr>
            <w:r w:rsidRPr="00182A95">
              <w:rPr>
                <w:rFonts w:ascii="Arial" w:hAnsi="Arial" w:cs="Arial"/>
                <w:sz w:val="16"/>
                <w:szCs w:val="16"/>
              </w:rPr>
              <w:t>Leaves/palm fronds (</w:t>
            </w:r>
            <w:r w:rsidRPr="00182A95">
              <w:rPr>
                <w:rFonts w:ascii="Arial" w:hAnsi="Arial" w:cs="Arial"/>
                <w:i/>
                <w:iCs/>
                <w:sz w:val="16"/>
                <w:szCs w:val="16"/>
              </w:rPr>
              <w:t>thatch/fodder</w:t>
            </w:r>
            <w:r w:rsidRPr="00182A95">
              <w:rPr>
                <w:rFonts w:ascii="Arial" w:hAnsi="Arial" w:cs="Arial"/>
                <w:sz w:val="16"/>
                <w:szCs w:val="16"/>
              </w:rPr>
              <w:t>)</w:t>
            </w:r>
          </w:p>
        </w:tc>
        <w:tc>
          <w:tcPr>
            <w:tcW w:w="2036" w:type="dxa"/>
            <w:vAlign w:val="center"/>
          </w:tcPr>
          <w:p w14:paraId="76471313" w14:textId="77777777" w:rsidR="00182A95" w:rsidRPr="00182A95" w:rsidRDefault="00182A95" w:rsidP="005B6B53">
            <w:pPr>
              <w:tabs>
                <w:tab w:val="left" w:pos="439"/>
              </w:tabs>
              <w:rPr>
                <w:rFonts w:ascii="Arial" w:hAnsi="Arial" w:cs="Arial"/>
                <w:sz w:val="16"/>
                <w:szCs w:val="16"/>
              </w:rPr>
            </w:pPr>
            <w:r w:rsidRPr="00182A95">
              <w:rPr>
                <w:rFonts w:ascii="Arial" w:hAnsi="Arial" w:cs="Arial"/>
                <w:i/>
                <w:iCs/>
                <w:sz w:val="16"/>
                <w:szCs w:val="16"/>
              </w:rPr>
              <w:t>N/A</w:t>
            </w:r>
          </w:p>
        </w:tc>
        <w:tc>
          <w:tcPr>
            <w:tcW w:w="1619" w:type="dxa"/>
            <w:vAlign w:val="center"/>
          </w:tcPr>
          <w:p w14:paraId="1FB3C354" w14:textId="77777777" w:rsidR="00182A95" w:rsidRPr="00182A95" w:rsidRDefault="00182A95" w:rsidP="00182A95">
            <w:pPr>
              <w:rPr>
                <w:rFonts w:ascii="Arial" w:hAnsi="Arial" w:cs="Arial"/>
                <w:sz w:val="16"/>
                <w:szCs w:val="16"/>
              </w:rPr>
            </w:pPr>
            <w:r w:rsidRPr="00182A95">
              <w:rPr>
                <w:rFonts w:ascii="Arial" w:hAnsi="Arial" w:cs="Arial"/>
                <w:sz w:val="16"/>
                <w:szCs w:val="16"/>
              </w:rPr>
              <w:t>Handicraft (woven)</w:t>
            </w:r>
          </w:p>
        </w:tc>
        <w:tc>
          <w:tcPr>
            <w:tcW w:w="1511" w:type="dxa"/>
            <w:tcBorders>
              <w:right w:val="single" w:sz="12" w:space="0" w:color="auto"/>
            </w:tcBorders>
            <w:vAlign w:val="center"/>
          </w:tcPr>
          <w:p w14:paraId="4E593812" w14:textId="77777777" w:rsidR="00182A95" w:rsidRPr="00182A95" w:rsidRDefault="00182A95" w:rsidP="00182A95">
            <w:pPr>
              <w:rPr>
                <w:rFonts w:ascii="Arial" w:hAnsi="Arial" w:cs="Arial"/>
                <w:sz w:val="16"/>
                <w:szCs w:val="16"/>
              </w:rPr>
            </w:pPr>
            <w:r w:rsidRPr="00182A95">
              <w:rPr>
                <w:rFonts w:ascii="Arial" w:hAnsi="Arial" w:cs="Arial"/>
                <w:sz w:val="16"/>
                <w:szCs w:val="16"/>
              </w:rPr>
              <w:t>Leaves/Thatch</w:t>
            </w:r>
          </w:p>
        </w:tc>
      </w:tr>
      <w:tr w:rsidR="00182A95" w:rsidRPr="00766319" w14:paraId="444A508F"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676460A0" w14:textId="77777777" w:rsidR="00182A95" w:rsidRPr="00182A95" w:rsidRDefault="00182A95" w:rsidP="005B6B53">
            <w:pPr>
              <w:rPr>
                <w:rFonts w:ascii="Arial" w:hAnsi="Arial" w:cs="Arial"/>
                <w:sz w:val="16"/>
                <w:szCs w:val="16"/>
              </w:rPr>
            </w:pPr>
          </w:p>
        </w:tc>
        <w:tc>
          <w:tcPr>
            <w:tcW w:w="2612" w:type="dxa"/>
            <w:vAlign w:val="center"/>
          </w:tcPr>
          <w:p w14:paraId="10DBCF04" w14:textId="77777777" w:rsidR="00182A95" w:rsidRPr="00182A95" w:rsidRDefault="00182A95" w:rsidP="005B6B53">
            <w:pPr>
              <w:rPr>
                <w:rFonts w:ascii="Arial" w:hAnsi="Arial" w:cs="Arial"/>
                <w:sz w:val="16"/>
                <w:szCs w:val="16"/>
              </w:rPr>
            </w:pPr>
            <w:r w:rsidRPr="00182A95">
              <w:rPr>
                <w:rFonts w:ascii="Arial" w:hAnsi="Arial" w:cs="Arial"/>
                <w:sz w:val="16"/>
                <w:szCs w:val="16"/>
              </w:rPr>
              <w:t>Fruits/propagules</w:t>
            </w:r>
          </w:p>
        </w:tc>
        <w:tc>
          <w:tcPr>
            <w:tcW w:w="2036" w:type="dxa"/>
            <w:vAlign w:val="center"/>
          </w:tcPr>
          <w:p w14:paraId="5BA18DB7" w14:textId="77777777" w:rsidR="00182A95" w:rsidRPr="00182A95" w:rsidRDefault="00182A95" w:rsidP="005B6B53">
            <w:pPr>
              <w:tabs>
                <w:tab w:val="left" w:pos="439"/>
              </w:tabs>
              <w:rPr>
                <w:rFonts w:ascii="Arial" w:hAnsi="Arial" w:cs="Arial"/>
                <w:sz w:val="16"/>
                <w:szCs w:val="16"/>
              </w:rPr>
            </w:pPr>
            <w:r w:rsidRPr="00182A95">
              <w:rPr>
                <w:rFonts w:ascii="Arial" w:hAnsi="Arial" w:cs="Arial"/>
                <w:sz w:val="16"/>
                <w:szCs w:val="16"/>
              </w:rPr>
              <w:t>Algae</w:t>
            </w:r>
          </w:p>
        </w:tc>
        <w:tc>
          <w:tcPr>
            <w:tcW w:w="1619" w:type="dxa"/>
            <w:vAlign w:val="center"/>
          </w:tcPr>
          <w:p w14:paraId="5FC68756" w14:textId="77777777" w:rsidR="00182A95" w:rsidRPr="00182A95" w:rsidRDefault="00182A95" w:rsidP="00182A95">
            <w:pPr>
              <w:rPr>
                <w:rFonts w:ascii="Arial" w:hAnsi="Arial" w:cs="Arial"/>
                <w:sz w:val="16"/>
                <w:szCs w:val="16"/>
              </w:rPr>
            </w:pPr>
            <w:r w:rsidRPr="00182A95">
              <w:rPr>
                <w:rFonts w:ascii="Arial" w:hAnsi="Arial" w:cs="Arial"/>
                <w:sz w:val="16"/>
                <w:szCs w:val="16"/>
              </w:rPr>
              <w:t>Seeds Food</w:t>
            </w:r>
          </w:p>
        </w:tc>
        <w:tc>
          <w:tcPr>
            <w:tcW w:w="1511" w:type="dxa"/>
            <w:tcBorders>
              <w:right w:val="single" w:sz="12" w:space="0" w:color="auto"/>
            </w:tcBorders>
            <w:vAlign w:val="center"/>
          </w:tcPr>
          <w:p w14:paraId="5E42D09F" w14:textId="77777777" w:rsidR="00182A95" w:rsidRPr="00182A95" w:rsidRDefault="00182A95" w:rsidP="00182A95">
            <w:pPr>
              <w:rPr>
                <w:rFonts w:ascii="Arial" w:hAnsi="Arial" w:cs="Arial"/>
                <w:sz w:val="16"/>
                <w:szCs w:val="16"/>
              </w:rPr>
            </w:pPr>
            <w:r w:rsidRPr="00182A95">
              <w:rPr>
                <w:rFonts w:ascii="Arial" w:hAnsi="Arial" w:cs="Arial"/>
                <w:sz w:val="16"/>
                <w:szCs w:val="16"/>
              </w:rPr>
              <w:t>Fruits</w:t>
            </w:r>
          </w:p>
        </w:tc>
      </w:tr>
      <w:tr w:rsidR="00182A95" w:rsidRPr="00766319" w14:paraId="0C427383"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72014DE5" w14:textId="77777777" w:rsidR="00182A95" w:rsidRPr="00182A95" w:rsidRDefault="00182A95" w:rsidP="005B6B53">
            <w:pPr>
              <w:rPr>
                <w:rFonts w:ascii="Arial" w:hAnsi="Arial" w:cs="Arial"/>
                <w:sz w:val="16"/>
                <w:szCs w:val="16"/>
              </w:rPr>
            </w:pPr>
          </w:p>
        </w:tc>
        <w:tc>
          <w:tcPr>
            <w:tcW w:w="2612" w:type="dxa"/>
            <w:vAlign w:val="center"/>
          </w:tcPr>
          <w:p w14:paraId="37164320" w14:textId="77777777" w:rsidR="00182A95" w:rsidRPr="00182A95" w:rsidRDefault="00182A95" w:rsidP="005B6B53">
            <w:pPr>
              <w:rPr>
                <w:rFonts w:ascii="Arial" w:hAnsi="Arial" w:cs="Arial"/>
                <w:sz w:val="16"/>
                <w:szCs w:val="16"/>
              </w:rPr>
            </w:pPr>
            <w:r w:rsidRPr="00182A95">
              <w:rPr>
                <w:rFonts w:ascii="Arial" w:hAnsi="Arial" w:cs="Arial"/>
                <w:sz w:val="16"/>
                <w:szCs w:val="16"/>
              </w:rPr>
              <w:t>Bark (</w:t>
            </w:r>
            <w:r w:rsidRPr="00182A95">
              <w:rPr>
                <w:rFonts w:ascii="Arial" w:hAnsi="Arial" w:cs="Arial"/>
                <w:i/>
                <w:iCs/>
                <w:sz w:val="16"/>
                <w:szCs w:val="16"/>
              </w:rPr>
              <w:t>Tannin and dyes)</w:t>
            </w:r>
          </w:p>
        </w:tc>
        <w:tc>
          <w:tcPr>
            <w:tcW w:w="2036" w:type="dxa"/>
            <w:vAlign w:val="center"/>
          </w:tcPr>
          <w:p w14:paraId="6C1A030E" w14:textId="77777777" w:rsidR="00182A95" w:rsidRPr="00182A95" w:rsidRDefault="00182A95" w:rsidP="005B6B53">
            <w:pPr>
              <w:tabs>
                <w:tab w:val="left" w:pos="439"/>
              </w:tabs>
              <w:rPr>
                <w:rFonts w:ascii="Arial" w:hAnsi="Arial" w:cs="Arial"/>
                <w:i/>
                <w:iCs/>
                <w:sz w:val="16"/>
                <w:szCs w:val="16"/>
              </w:rPr>
            </w:pPr>
            <w:r w:rsidRPr="00182A95">
              <w:rPr>
                <w:rFonts w:ascii="Arial" w:hAnsi="Arial" w:cs="Arial"/>
                <w:i/>
                <w:iCs/>
                <w:sz w:val="16"/>
                <w:szCs w:val="16"/>
              </w:rPr>
              <w:t>N/A</w:t>
            </w:r>
          </w:p>
        </w:tc>
        <w:tc>
          <w:tcPr>
            <w:tcW w:w="1619" w:type="dxa"/>
            <w:vAlign w:val="center"/>
          </w:tcPr>
          <w:p w14:paraId="3CF42786" w14:textId="77777777" w:rsidR="00182A95" w:rsidRPr="00182A95" w:rsidRDefault="00182A95" w:rsidP="00182A95">
            <w:pPr>
              <w:rPr>
                <w:rFonts w:ascii="Arial" w:hAnsi="Arial" w:cs="Arial"/>
                <w:i/>
                <w:iCs/>
                <w:sz w:val="16"/>
                <w:szCs w:val="16"/>
              </w:rPr>
            </w:pPr>
            <w:r w:rsidRPr="00182A95">
              <w:rPr>
                <w:rFonts w:ascii="Arial" w:hAnsi="Arial" w:cs="Arial"/>
                <w:i/>
                <w:iCs/>
                <w:sz w:val="16"/>
                <w:szCs w:val="16"/>
              </w:rPr>
              <w:t>N/A</w:t>
            </w:r>
          </w:p>
        </w:tc>
        <w:tc>
          <w:tcPr>
            <w:tcW w:w="1511" w:type="dxa"/>
            <w:tcBorders>
              <w:right w:val="single" w:sz="12" w:space="0" w:color="auto"/>
            </w:tcBorders>
            <w:vAlign w:val="center"/>
          </w:tcPr>
          <w:p w14:paraId="7D9D07D5" w14:textId="77777777" w:rsidR="00182A95" w:rsidRPr="00182A95" w:rsidRDefault="00182A95" w:rsidP="00182A95">
            <w:pPr>
              <w:rPr>
                <w:rFonts w:ascii="Arial" w:hAnsi="Arial" w:cs="Arial"/>
                <w:sz w:val="16"/>
                <w:szCs w:val="16"/>
              </w:rPr>
            </w:pPr>
            <w:r w:rsidRPr="00182A95">
              <w:rPr>
                <w:rFonts w:ascii="Arial" w:hAnsi="Arial" w:cs="Arial"/>
                <w:sz w:val="16"/>
                <w:szCs w:val="16"/>
              </w:rPr>
              <w:t>Tanning Bark</w:t>
            </w:r>
          </w:p>
        </w:tc>
      </w:tr>
      <w:tr w:rsidR="00182A95" w:rsidRPr="00766319" w14:paraId="17250CC2"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6C562940" w14:textId="77777777" w:rsidR="00182A95" w:rsidRPr="00182A95" w:rsidRDefault="00182A95" w:rsidP="005B6B53">
            <w:pPr>
              <w:rPr>
                <w:rFonts w:ascii="Arial" w:hAnsi="Arial" w:cs="Arial"/>
                <w:i/>
                <w:iCs/>
                <w:sz w:val="16"/>
                <w:szCs w:val="16"/>
              </w:rPr>
            </w:pPr>
          </w:p>
        </w:tc>
        <w:tc>
          <w:tcPr>
            <w:tcW w:w="2612" w:type="dxa"/>
            <w:vAlign w:val="center"/>
          </w:tcPr>
          <w:p w14:paraId="40797316" w14:textId="77777777" w:rsidR="00182A95" w:rsidRPr="00182A95" w:rsidRDefault="00182A95" w:rsidP="005B6B53">
            <w:pPr>
              <w:rPr>
                <w:rFonts w:ascii="Arial" w:hAnsi="Arial" w:cs="Arial"/>
                <w:i/>
                <w:iCs/>
                <w:sz w:val="16"/>
                <w:szCs w:val="16"/>
              </w:rPr>
            </w:pPr>
            <w:r w:rsidRPr="00182A95">
              <w:rPr>
                <w:rFonts w:ascii="Arial" w:hAnsi="Arial" w:cs="Arial"/>
                <w:i/>
                <w:iCs/>
                <w:sz w:val="16"/>
                <w:szCs w:val="16"/>
              </w:rPr>
              <w:t>Medicine</w:t>
            </w:r>
          </w:p>
        </w:tc>
        <w:tc>
          <w:tcPr>
            <w:tcW w:w="2036" w:type="dxa"/>
            <w:vAlign w:val="center"/>
          </w:tcPr>
          <w:p w14:paraId="0E40F022" w14:textId="77777777" w:rsidR="00182A95" w:rsidRPr="00182A95" w:rsidRDefault="00182A95" w:rsidP="005B6B53">
            <w:pPr>
              <w:rPr>
                <w:rFonts w:ascii="Arial" w:hAnsi="Arial" w:cs="Arial"/>
                <w:i/>
                <w:iCs/>
                <w:sz w:val="16"/>
                <w:szCs w:val="16"/>
              </w:rPr>
            </w:pPr>
            <w:r w:rsidRPr="00182A95">
              <w:rPr>
                <w:rFonts w:ascii="Arial" w:hAnsi="Arial" w:cs="Arial"/>
                <w:sz w:val="16"/>
                <w:szCs w:val="16"/>
              </w:rPr>
              <w:t>Bioactive substance</w:t>
            </w:r>
          </w:p>
        </w:tc>
        <w:tc>
          <w:tcPr>
            <w:tcW w:w="1619" w:type="dxa"/>
            <w:vAlign w:val="center"/>
          </w:tcPr>
          <w:p w14:paraId="6C48F35C" w14:textId="77777777" w:rsidR="00182A95" w:rsidRPr="00182A95" w:rsidRDefault="00182A95" w:rsidP="00182A95">
            <w:pPr>
              <w:rPr>
                <w:rFonts w:ascii="Arial" w:hAnsi="Arial" w:cs="Arial"/>
                <w:i/>
                <w:iCs/>
                <w:sz w:val="16"/>
                <w:szCs w:val="16"/>
              </w:rPr>
            </w:pPr>
            <w:r w:rsidRPr="00182A95">
              <w:rPr>
                <w:rFonts w:ascii="Arial" w:hAnsi="Arial" w:cs="Arial"/>
                <w:sz w:val="16"/>
                <w:szCs w:val="16"/>
              </w:rPr>
              <w:t>Medicine</w:t>
            </w:r>
          </w:p>
        </w:tc>
        <w:tc>
          <w:tcPr>
            <w:tcW w:w="1511" w:type="dxa"/>
            <w:tcBorders>
              <w:right w:val="single" w:sz="12" w:space="0" w:color="auto"/>
            </w:tcBorders>
            <w:vAlign w:val="center"/>
          </w:tcPr>
          <w:p w14:paraId="45ACF44D" w14:textId="77777777" w:rsidR="00182A95" w:rsidRPr="00182A95" w:rsidRDefault="00182A95" w:rsidP="00182A95">
            <w:pPr>
              <w:rPr>
                <w:rFonts w:ascii="Arial" w:hAnsi="Arial" w:cs="Arial"/>
                <w:sz w:val="16"/>
                <w:szCs w:val="16"/>
              </w:rPr>
            </w:pPr>
            <w:r w:rsidRPr="00182A95">
              <w:rPr>
                <w:rFonts w:ascii="Arial" w:hAnsi="Arial" w:cs="Arial"/>
                <w:sz w:val="16"/>
                <w:szCs w:val="16"/>
              </w:rPr>
              <w:t>Medicine</w:t>
            </w:r>
          </w:p>
        </w:tc>
      </w:tr>
      <w:tr w:rsidR="00182A95" w:rsidRPr="00766319" w14:paraId="0F3355C2"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03673FB4" w14:textId="77777777" w:rsidR="00182A95" w:rsidRPr="00182A95" w:rsidRDefault="00182A95" w:rsidP="005B6B53">
            <w:pPr>
              <w:rPr>
                <w:rFonts w:ascii="Arial" w:hAnsi="Arial" w:cs="Arial"/>
                <w:sz w:val="16"/>
                <w:szCs w:val="16"/>
              </w:rPr>
            </w:pPr>
          </w:p>
        </w:tc>
        <w:tc>
          <w:tcPr>
            <w:tcW w:w="2612" w:type="dxa"/>
            <w:vAlign w:val="center"/>
          </w:tcPr>
          <w:p w14:paraId="2B038BF9" w14:textId="77777777" w:rsidR="00182A95" w:rsidRPr="00B62FD7" w:rsidRDefault="00182A95" w:rsidP="005B6B53">
            <w:pPr>
              <w:rPr>
                <w:rFonts w:ascii="Arial" w:hAnsi="Arial" w:cs="Arial"/>
                <w:sz w:val="16"/>
                <w:szCs w:val="16"/>
                <w:lang w:val="pt-BR"/>
              </w:rPr>
            </w:pPr>
            <w:r w:rsidRPr="00B62FD7">
              <w:rPr>
                <w:rFonts w:ascii="Arial" w:hAnsi="Arial" w:cs="Arial"/>
                <w:sz w:val="16"/>
                <w:szCs w:val="16"/>
                <w:lang w:val="pt-BR"/>
              </w:rPr>
              <w:t xml:space="preserve">Sap </w:t>
            </w:r>
            <w:r w:rsidRPr="00B62FD7">
              <w:rPr>
                <w:rFonts w:ascii="Arial" w:hAnsi="Arial" w:cs="Arial"/>
                <w:i/>
                <w:iCs/>
                <w:sz w:val="16"/>
                <w:szCs w:val="16"/>
                <w:lang w:val="pt-BR"/>
              </w:rPr>
              <w:t>(sugar, Alcohol, Acetic acid)</w:t>
            </w:r>
          </w:p>
        </w:tc>
        <w:tc>
          <w:tcPr>
            <w:tcW w:w="2036" w:type="dxa"/>
            <w:vAlign w:val="center"/>
          </w:tcPr>
          <w:p w14:paraId="421D900C" w14:textId="77777777" w:rsidR="00182A95" w:rsidRPr="00182A95" w:rsidRDefault="00182A95" w:rsidP="005B6B53">
            <w:pPr>
              <w:rPr>
                <w:rFonts w:ascii="Arial" w:hAnsi="Arial" w:cs="Arial"/>
                <w:sz w:val="16"/>
                <w:szCs w:val="16"/>
              </w:rPr>
            </w:pPr>
            <w:r w:rsidRPr="00182A95">
              <w:rPr>
                <w:rFonts w:ascii="Arial" w:hAnsi="Arial" w:cs="Arial"/>
                <w:i/>
                <w:iCs/>
                <w:sz w:val="16"/>
                <w:szCs w:val="16"/>
              </w:rPr>
              <w:t>N/A</w:t>
            </w:r>
          </w:p>
        </w:tc>
        <w:tc>
          <w:tcPr>
            <w:tcW w:w="1619" w:type="dxa"/>
            <w:vAlign w:val="center"/>
          </w:tcPr>
          <w:p w14:paraId="032BE5DE" w14:textId="77777777" w:rsidR="00182A95" w:rsidRPr="00182A95" w:rsidRDefault="00182A95" w:rsidP="00182A95">
            <w:pPr>
              <w:rPr>
                <w:rFonts w:ascii="Arial" w:hAnsi="Arial" w:cs="Arial"/>
                <w:sz w:val="16"/>
                <w:szCs w:val="16"/>
              </w:rPr>
            </w:pPr>
            <w:r w:rsidRPr="00182A95">
              <w:rPr>
                <w:rFonts w:ascii="Arial" w:hAnsi="Arial" w:cs="Arial"/>
                <w:i/>
                <w:iCs/>
                <w:sz w:val="16"/>
                <w:szCs w:val="16"/>
              </w:rPr>
              <w:t>N/A</w:t>
            </w:r>
          </w:p>
        </w:tc>
        <w:tc>
          <w:tcPr>
            <w:tcW w:w="1511" w:type="dxa"/>
            <w:tcBorders>
              <w:right w:val="single" w:sz="12" w:space="0" w:color="auto"/>
            </w:tcBorders>
            <w:vAlign w:val="center"/>
          </w:tcPr>
          <w:p w14:paraId="461E3064" w14:textId="77777777" w:rsidR="00182A95" w:rsidRPr="00182A95" w:rsidRDefault="00182A95" w:rsidP="00182A95">
            <w:pPr>
              <w:rPr>
                <w:rFonts w:ascii="Arial" w:hAnsi="Arial" w:cs="Arial"/>
                <w:sz w:val="16"/>
                <w:szCs w:val="16"/>
              </w:rPr>
            </w:pPr>
            <w:r w:rsidRPr="00182A95">
              <w:rPr>
                <w:rFonts w:ascii="Arial" w:hAnsi="Arial" w:cs="Arial"/>
                <w:i/>
                <w:iCs/>
                <w:sz w:val="16"/>
                <w:szCs w:val="16"/>
              </w:rPr>
              <w:t>N/A?</w:t>
            </w:r>
          </w:p>
        </w:tc>
      </w:tr>
      <w:tr w:rsidR="00182A95" w:rsidRPr="00766319" w14:paraId="4AF6789C" w14:textId="77777777" w:rsidTr="00182A95">
        <w:tblPrEx>
          <w:tblCellMar>
            <w:top w:w="0" w:type="dxa"/>
            <w:bottom w:w="0" w:type="dxa"/>
          </w:tblCellMar>
        </w:tblPrEx>
        <w:trPr>
          <w:cantSplit/>
          <w:trHeight w:val="152"/>
          <w:jc w:val="center"/>
        </w:trPr>
        <w:tc>
          <w:tcPr>
            <w:tcW w:w="1433" w:type="dxa"/>
            <w:vMerge/>
            <w:tcBorders>
              <w:top w:val="nil"/>
              <w:left w:val="single" w:sz="12" w:space="0" w:color="auto"/>
              <w:bottom w:val="single" w:sz="6" w:space="0" w:color="auto"/>
            </w:tcBorders>
          </w:tcPr>
          <w:p w14:paraId="3F6DAD66" w14:textId="77777777" w:rsidR="00182A95" w:rsidRPr="00182A95" w:rsidRDefault="00182A95" w:rsidP="005B6B53">
            <w:pPr>
              <w:rPr>
                <w:rFonts w:ascii="Arial" w:hAnsi="Arial" w:cs="Arial"/>
                <w:i/>
                <w:iCs/>
                <w:sz w:val="16"/>
                <w:szCs w:val="16"/>
              </w:rPr>
            </w:pPr>
          </w:p>
        </w:tc>
        <w:tc>
          <w:tcPr>
            <w:tcW w:w="2612" w:type="dxa"/>
            <w:vAlign w:val="center"/>
          </w:tcPr>
          <w:p w14:paraId="6DA1E530" w14:textId="77777777" w:rsidR="00182A95" w:rsidRPr="00182A95" w:rsidRDefault="00182A95" w:rsidP="005B6B53">
            <w:pPr>
              <w:rPr>
                <w:rFonts w:ascii="Arial" w:hAnsi="Arial" w:cs="Arial"/>
                <w:i/>
                <w:iCs/>
                <w:sz w:val="16"/>
                <w:szCs w:val="16"/>
              </w:rPr>
            </w:pPr>
            <w:r w:rsidRPr="00182A95">
              <w:rPr>
                <w:rFonts w:ascii="Arial" w:hAnsi="Arial" w:cs="Arial"/>
                <w:i/>
                <w:iCs/>
                <w:sz w:val="16"/>
                <w:szCs w:val="16"/>
              </w:rPr>
              <w:t>Wood tar</w:t>
            </w:r>
          </w:p>
        </w:tc>
        <w:tc>
          <w:tcPr>
            <w:tcW w:w="2036" w:type="dxa"/>
            <w:vAlign w:val="center"/>
          </w:tcPr>
          <w:p w14:paraId="76E2590C" w14:textId="77777777" w:rsidR="00182A95" w:rsidRPr="00182A95" w:rsidRDefault="00182A95" w:rsidP="005B6B53">
            <w:pPr>
              <w:rPr>
                <w:rFonts w:ascii="Arial" w:hAnsi="Arial" w:cs="Arial"/>
                <w:i/>
                <w:iCs/>
                <w:sz w:val="16"/>
                <w:szCs w:val="16"/>
              </w:rPr>
            </w:pPr>
            <w:r w:rsidRPr="00182A95">
              <w:rPr>
                <w:rFonts w:ascii="Arial" w:hAnsi="Arial" w:cs="Arial"/>
                <w:i/>
                <w:iCs/>
                <w:sz w:val="16"/>
                <w:szCs w:val="16"/>
              </w:rPr>
              <w:t>N/A</w:t>
            </w:r>
          </w:p>
        </w:tc>
        <w:tc>
          <w:tcPr>
            <w:tcW w:w="1619" w:type="dxa"/>
            <w:vAlign w:val="center"/>
          </w:tcPr>
          <w:p w14:paraId="647F0FE0" w14:textId="77777777" w:rsidR="00182A95" w:rsidRPr="00182A95" w:rsidRDefault="00182A95" w:rsidP="00182A95">
            <w:pPr>
              <w:rPr>
                <w:rFonts w:ascii="Arial" w:hAnsi="Arial" w:cs="Arial"/>
                <w:i/>
                <w:iCs/>
                <w:sz w:val="16"/>
                <w:szCs w:val="16"/>
              </w:rPr>
            </w:pPr>
            <w:r w:rsidRPr="00182A95">
              <w:rPr>
                <w:rFonts w:ascii="Arial" w:hAnsi="Arial" w:cs="Arial"/>
                <w:i/>
                <w:iCs/>
                <w:sz w:val="16"/>
                <w:szCs w:val="16"/>
              </w:rPr>
              <w:t>N/A</w:t>
            </w:r>
          </w:p>
        </w:tc>
        <w:tc>
          <w:tcPr>
            <w:tcW w:w="1511" w:type="dxa"/>
            <w:tcBorders>
              <w:right w:val="single" w:sz="12" w:space="0" w:color="auto"/>
            </w:tcBorders>
            <w:vAlign w:val="center"/>
          </w:tcPr>
          <w:p w14:paraId="79910194" w14:textId="77777777" w:rsidR="00182A95" w:rsidRPr="00182A95" w:rsidRDefault="00182A95" w:rsidP="00182A95">
            <w:pPr>
              <w:rPr>
                <w:rFonts w:ascii="Arial" w:hAnsi="Arial" w:cs="Arial"/>
                <w:i/>
                <w:iCs/>
                <w:sz w:val="16"/>
                <w:szCs w:val="16"/>
              </w:rPr>
            </w:pPr>
            <w:r w:rsidRPr="00182A95">
              <w:rPr>
                <w:rFonts w:ascii="Arial" w:hAnsi="Arial" w:cs="Arial"/>
                <w:i/>
                <w:iCs/>
                <w:sz w:val="16"/>
                <w:szCs w:val="16"/>
              </w:rPr>
              <w:t>N/A?</w:t>
            </w:r>
          </w:p>
        </w:tc>
      </w:tr>
      <w:tr w:rsidR="00182A95" w:rsidRPr="00766319" w14:paraId="6E315AD7" w14:textId="77777777" w:rsidTr="00182A95">
        <w:tblPrEx>
          <w:tblCellMar>
            <w:top w:w="0" w:type="dxa"/>
            <w:bottom w:w="0" w:type="dxa"/>
          </w:tblCellMar>
        </w:tblPrEx>
        <w:trPr>
          <w:cantSplit/>
          <w:trHeight w:val="152"/>
          <w:jc w:val="center"/>
        </w:trPr>
        <w:tc>
          <w:tcPr>
            <w:tcW w:w="1433" w:type="dxa"/>
            <w:vMerge/>
            <w:tcBorders>
              <w:top w:val="nil"/>
              <w:left w:val="single" w:sz="12" w:space="0" w:color="auto"/>
              <w:bottom w:val="single" w:sz="6" w:space="0" w:color="auto"/>
            </w:tcBorders>
          </w:tcPr>
          <w:p w14:paraId="6C7DDD99" w14:textId="77777777" w:rsidR="00182A95" w:rsidRPr="00182A95" w:rsidRDefault="00182A95" w:rsidP="005B6B53">
            <w:pPr>
              <w:rPr>
                <w:rFonts w:ascii="Arial" w:hAnsi="Arial" w:cs="Arial"/>
                <w:i/>
                <w:iCs/>
                <w:sz w:val="16"/>
                <w:szCs w:val="16"/>
              </w:rPr>
            </w:pPr>
          </w:p>
        </w:tc>
        <w:tc>
          <w:tcPr>
            <w:tcW w:w="2612" w:type="dxa"/>
            <w:vAlign w:val="center"/>
          </w:tcPr>
          <w:p w14:paraId="33AB2A1F" w14:textId="77777777" w:rsidR="00182A95" w:rsidRPr="00182A95" w:rsidRDefault="00182A95" w:rsidP="005B6B53">
            <w:pPr>
              <w:rPr>
                <w:rFonts w:ascii="Arial" w:hAnsi="Arial" w:cs="Arial"/>
                <w:i/>
                <w:iCs/>
                <w:sz w:val="16"/>
                <w:szCs w:val="16"/>
              </w:rPr>
            </w:pPr>
          </w:p>
        </w:tc>
        <w:tc>
          <w:tcPr>
            <w:tcW w:w="2036" w:type="dxa"/>
            <w:vAlign w:val="center"/>
          </w:tcPr>
          <w:p w14:paraId="487BC4B2" w14:textId="77777777" w:rsidR="00182A95" w:rsidRPr="00182A95" w:rsidRDefault="00182A95" w:rsidP="005B6B53">
            <w:pPr>
              <w:rPr>
                <w:rFonts w:ascii="Arial" w:hAnsi="Arial" w:cs="Arial"/>
                <w:i/>
                <w:iCs/>
                <w:sz w:val="16"/>
                <w:szCs w:val="16"/>
              </w:rPr>
            </w:pPr>
          </w:p>
        </w:tc>
        <w:tc>
          <w:tcPr>
            <w:tcW w:w="1619" w:type="dxa"/>
            <w:vAlign w:val="center"/>
          </w:tcPr>
          <w:p w14:paraId="4F35CDE9" w14:textId="77777777" w:rsidR="00182A95" w:rsidRPr="00182A95" w:rsidRDefault="00182A95" w:rsidP="00182A95">
            <w:pPr>
              <w:rPr>
                <w:rFonts w:ascii="Arial" w:hAnsi="Arial" w:cs="Arial"/>
                <w:i/>
                <w:iCs/>
                <w:sz w:val="16"/>
                <w:szCs w:val="16"/>
              </w:rPr>
            </w:pPr>
            <w:r w:rsidRPr="00182A95">
              <w:rPr>
                <w:rFonts w:ascii="Arial" w:hAnsi="Arial" w:cs="Arial"/>
                <w:sz w:val="16"/>
                <w:szCs w:val="16"/>
              </w:rPr>
              <w:t>Fertilizer</w:t>
            </w:r>
          </w:p>
        </w:tc>
        <w:tc>
          <w:tcPr>
            <w:tcW w:w="1511" w:type="dxa"/>
            <w:tcBorders>
              <w:right w:val="single" w:sz="12" w:space="0" w:color="auto"/>
            </w:tcBorders>
            <w:vAlign w:val="center"/>
          </w:tcPr>
          <w:p w14:paraId="5E29370A" w14:textId="77777777" w:rsidR="00182A95" w:rsidRPr="00182A95" w:rsidRDefault="00182A95" w:rsidP="00182A95">
            <w:pPr>
              <w:rPr>
                <w:rFonts w:ascii="Arial" w:hAnsi="Arial" w:cs="Arial"/>
                <w:sz w:val="16"/>
                <w:szCs w:val="16"/>
              </w:rPr>
            </w:pPr>
            <w:r w:rsidRPr="00182A95">
              <w:rPr>
                <w:rFonts w:ascii="Arial" w:hAnsi="Arial" w:cs="Arial"/>
                <w:sz w:val="16"/>
                <w:szCs w:val="16"/>
              </w:rPr>
              <w:t>Peat/energy</w:t>
            </w:r>
          </w:p>
        </w:tc>
      </w:tr>
      <w:tr w:rsidR="00182A95" w:rsidRPr="00766319" w14:paraId="39FA4C81" w14:textId="77777777" w:rsidTr="00182A95">
        <w:tblPrEx>
          <w:tblCellMar>
            <w:top w:w="0" w:type="dxa"/>
            <w:bottom w:w="0" w:type="dxa"/>
          </w:tblCellMar>
        </w:tblPrEx>
        <w:trPr>
          <w:cantSplit/>
          <w:jc w:val="center"/>
        </w:trPr>
        <w:tc>
          <w:tcPr>
            <w:tcW w:w="1433" w:type="dxa"/>
            <w:vMerge w:val="restart"/>
            <w:tcBorders>
              <w:top w:val="nil"/>
              <w:left w:val="single" w:sz="12" w:space="0" w:color="auto"/>
              <w:bottom w:val="single" w:sz="6" w:space="0" w:color="auto"/>
            </w:tcBorders>
          </w:tcPr>
          <w:p w14:paraId="7676CCA2" w14:textId="77777777" w:rsidR="00182A95" w:rsidRPr="00182A95" w:rsidRDefault="00182A95" w:rsidP="005B6B53">
            <w:pPr>
              <w:pStyle w:val="Heading6"/>
              <w:jc w:val="left"/>
              <w:rPr>
                <w:rFonts w:ascii="Arial" w:hAnsi="Arial" w:cs="Arial"/>
                <w:sz w:val="16"/>
                <w:szCs w:val="16"/>
              </w:rPr>
            </w:pPr>
            <w:r w:rsidRPr="00182A95">
              <w:rPr>
                <w:rFonts w:ascii="Arial" w:hAnsi="Arial" w:cs="Arial"/>
                <w:sz w:val="16"/>
                <w:szCs w:val="16"/>
              </w:rPr>
              <w:t>Animal Products</w:t>
            </w:r>
          </w:p>
        </w:tc>
        <w:tc>
          <w:tcPr>
            <w:tcW w:w="2612" w:type="dxa"/>
            <w:vAlign w:val="center"/>
          </w:tcPr>
          <w:p w14:paraId="46955DA9" w14:textId="77777777" w:rsidR="00182A95" w:rsidRPr="00182A95" w:rsidRDefault="00182A95" w:rsidP="005B6B53">
            <w:pPr>
              <w:rPr>
                <w:rFonts w:ascii="Arial" w:hAnsi="Arial" w:cs="Arial"/>
                <w:sz w:val="16"/>
                <w:szCs w:val="16"/>
              </w:rPr>
            </w:pPr>
          </w:p>
        </w:tc>
        <w:tc>
          <w:tcPr>
            <w:tcW w:w="2036" w:type="dxa"/>
            <w:vAlign w:val="center"/>
          </w:tcPr>
          <w:p w14:paraId="6B36EB24" w14:textId="77777777" w:rsidR="00182A95" w:rsidRPr="00182A95" w:rsidRDefault="00182A95" w:rsidP="005B6B53">
            <w:pPr>
              <w:rPr>
                <w:rFonts w:ascii="Arial" w:hAnsi="Arial" w:cs="Arial"/>
                <w:sz w:val="16"/>
                <w:szCs w:val="16"/>
              </w:rPr>
            </w:pPr>
          </w:p>
        </w:tc>
        <w:tc>
          <w:tcPr>
            <w:tcW w:w="1619" w:type="dxa"/>
            <w:vAlign w:val="center"/>
          </w:tcPr>
          <w:p w14:paraId="34E7C09C" w14:textId="77777777" w:rsidR="00182A95" w:rsidRPr="00182A95" w:rsidRDefault="00182A95" w:rsidP="00182A95">
            <w:pPr>
              <w:rPr>
                <w:rFonts w:ascii="Arial" w:hAnsi="Arial" w:cs="Arial"/>
                <w:sz w:val="16"/>
                <w:szCs w:val="16"/>
              </w:rPr>
            </w:pPr>
          </w:p>
        </w:tc>
        <w:tc>
          <w:tcPr>
            <w:tcW w:w="1511" w:type="dxa"/>
            <w:tcBorders>
              <w:right w:val="single" w:sz="12" w:space="0" w:color="auto"/>
            </w:tcBorders>
            <w:vAlign w:val="center"/>
          </w:tcPr>
          <w:p w14:paraId="39D4F651" w14:textId="77777777" w:rsidR="00182A95" w:rsidRPr="00182A95" w:rsidRDefault="00182A95" w:rsidP="00182A95">
            <w:pPr>
              <w:rPr>
                <w:rFonts w:ascii="Arial" w:hAnsi="Arial" w:cs="Arial"/>
                <w:sz w:val="16"/>
                <w:szCs w:val="16"/>
              </w:rPr>
            </w:pPr>
          </w:p>
        </w:tc>
      </w:tr>
      <w:tr w:rsidR="00182A95" w:rsidRPr="00766319" w14:paraId="22CF1334"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5255CADA" w14:textId="77777777" w:rsidR="00182A95" w:rsidRPr="00182A95" w:rsidRDefault="00182A95" w:rsidP="005B6B53">
            <w:pPr>
              <w:rPr>
                <w:rFonts w:ascii="Arial" w:hAnsi="Arial" w:cs="Arial"/>
                <w:sz w:val="16"/>
                <w:szCs w:val="16"/>
              </w:rPr>
            </w:pPr>
          </w:p>
        </w:tc>
        <w:tc>
          <w:tcPr>
            <w:tcW w:w="2612" w:type="dxa"/>
            <w:vAlign w:val="center"/>
          </w:tcPr>
          <w:p w14:paraId="4053ECCE" w14:textId="77777777" w:rsidR="00182A95" w:rsidRPr="00182A95" w:rsidRDefault="00182A95" w:rsidP="005B6B53">
            <w:pPr>
              <w:rPr>
                <w:rFonts w:ascii="Arial" w:hAnsi="Arial" w:cs="Arial"/>
                <w:sz w:val="16"/>
                <w:szCs w:val="16"/>
              </w:rPr>
            </w:pPr>
            <w:r w:rsidRPr="00182A95">
              <w:rPr>
                <w:rFonts w:ascii="Arial" w:hAnsi="Arial" w:cs="Arial"/>
                <w:sz w:val="16"/>
                <w:szCs w:val="16"/>
              </w:rPr>
              <w:t>Fish capture</w:t>
            </w:r>
          </w:p>
        </w:tc>
        <w:tc>
          <w:tcPr>
            <w:tcW w:w="2036" w:type="dxa"/>
            <w:vAlign w:val="center"/>
          </w:tcPr>
          <w:p w14:paraId="6EB06BFB" w14:textId="77777777" w:rsidR="00182A95" w:rsidRPr="00182A95" w:rsidRDefault="00182A95" w:rsidP="00182A95">
            <w:pPr>
              <w:rPr>
                <w:rFonts w:ascii="Arial" w:hAnsi="Arial" w:cs="Arial"/>
                <w:sz w:val="16"/>
                <w:szCs w:val="16"/>
              </w:rPr>
            </w:pPr>
            <w:r>
              <w:rPr>
                <w:rFonts w:ascii="Arial" w:hAnsi="Arial" w:cs="Arial"/>
                <w:sz w:val="16"/>
                <w:szCs w:val="16"/>
              </w:rPr>
              <w:t>Fish (food /</w:t>
            </w:r>
            <w:r w:rsidRPr="00182A95">
              <w:rPr>
                <w:rFonts w:ascii="Arial" w:hAnsi="Arial" w:cs="Arial"/>
                <w:sz w:val="16"/>
                <w:szCs w:val="16"/>
              </w:rPr>
              <w:t>aquarium)</w:t>
            </w:r>
          </w:p>
        </w:tc>
        <w:tc>
          <w:tcPr>
            <w:tcW w:w="1619" w:type="dxa"/>
            <w:vAlign w:val="center"/>
          </w:tcPr>
          <w:p w14:paraId="012B7187" w14:textId="77777777" w:rsidR="00182A95" w:rsidRPr="00182A95" w:rsidRDefault="00182A95" w:rsidP="00182A95">
            <w:pPr>
              <w:rPr>
                <w:rFonts w:ascii="Arial" w:hAnsi="Arial" w:cs="Arial"/>
                <w:sz w:val="16"/>
                <w:szCs w:val="16"/>
              </w:rPr>
            </w:pPr>
            <w:r w:rsidRPr="00182A95">
              <w:rPr>
                <w:rFonts w:ascii="Arial" w:hAnsi="Arial" w:cs="Arial"/>
                <w:sz w:val="16"/>
                <w:szCs w:val="16"/>
              </w:rPr>
              <w:t>Fish</w:t>
            </w:r>
          </w:p>
        </w:tc>
        <w:tc>
          <w:tcPr>
            <w:tcW w:w="1511" w:type="dxa"/>
            <w:tcBorders>
              <w:right w:val="single" w:sz="12" w:space="0" w:color="auto"/>
            </w:tcBorders>
            <w:vAlign w:val="center"/>
          </w:tcPr>
          <w:p w14:paraId="7AAEE689" w14:textId="77777777" w:rsidR="00182A95" w:rsidRPr="00182A95" w:rsidRDefault="00182A95" w:rsidP="00182A95">
            <w:pPr>
              <w:rPr>
                <w:rFonts w:ascii="Arial" w:hAnsi="Arial" w:cs="Arial"/>
                <w:sz w:val="16"/>
                <w:szCs w:val="16"/>
              </w:rPr>
            </w:pPr>
            <w:r w:rsidRPr="00182A95">
              <w:rPr>
                <w:rFonts w:ascii="Arial" w:hAnsi="Arial" w:cs="Arial"/>
                <w:sz w:val="16"/>
                <w:szCs w:val="16"/>
              </w:rPr>
              <w:t>Fish</w:t>
            </w:r>
          </w:p>
        </w:tc>
      </w:tr>
      <w:tr w:rsidR="00182A95" w:rsidRPr="00766319" w14:paraId="746657A8"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7D207373" w14:textId="77777777" w:rsidR="00182A95" w:rsidRPr="00182A95" w:rsidRDefault="00182A95" w:rsidP="005B6B53">
            <w:pPr>
              <w:rPr>
                <w:rFonts w:ascii="Arial" w:hAnsi="Arial" w:cs="Arial"/>
                <w:sz w:val="16"/>
                <w:szCs w:val="16"/>
              </w:rPr>
            </w:pPr>
          </w:p>
        </w:tc>
        <w:tc>
          <w:tcPr>
            <w:tcW w:w="2612" w:type="dxa"/>
            <w:vAlign w:val="center"/>
          </w:tcPr>
          <w:p w14:paraId="60FA0081" w14:textId="77777777" w:rsidR="00182A95" w:rsidRPr="00182A95" w:rsidRDefault="00182A95" w:rsidP="005B6B53">
            <w:pPr>
              <w:rPr>
                <w:rFonts w:ascii="Arial" w:hAnsi="Arial" w:cs="Arial"/>
                <w:sz w:val="16"/>
                <w:szCs w:val="16"/>
              </w:rPr>
            </w:pPr>
            <w:r w:rsidRPr="00182A95">
              <w:rPr>
                <w:rFonts w:ascii="Arial" w:hAnsi="Arial" w:cs="Arial"/>
                <w:sz w:val="16"/>
                <w:szCs w:val="16"/>
              </w:rPr>
              <w:t>Crab capture</w:t>
            </w:r>
          </w:p>
        </w:tc>
        <w:tc>
          <w:tcPr>
            <w:tcW w:w="2036" w:type="dxa"/>
            <w:vAlign w:val="center"/>
          </w:tcPr>
          <w:p w14:paraId="71F24D45" w14:textId="77777777" w:rsidR="00182A95" w:rsidRPr="00182A95" w:rsidRDefault="00182A95" w:rsidP="005B6B53">
            <w:pPr>
              <w:tabs>
                <w:tab w:val="left" w:pos="439"/>
              </w:tabs>
              <w:rPr>
                <w:rFonts w:ascii="Arial" w:hAnsi="Arial" w:cs="Arial"/>
                <w:sz w:val="16"/>
                <w:szCs w:val="16"/>
              </w:rPr>
            </w:pPr>
          </w:p>
        </w:tc>
        <w:tc>
          <w:tcPr>
            <w:tcW w:w="1619" w:type="dxa"/>
            <w:vAlign w:val="center"/>
          </w:tcPr>
          <w:p w14:paraId="778B4C4B" w14:textId="77777777" w:rsidR="00182A95" w:rsidRPr="00182A95" w:rsidRDefault="00182A95" w:rsidP="00182A95">
            <w:pPr>
              <w:rPr>
                <w:rFonts w:ascii="Arial" w:hAnsi="Arial" w:cs="Arial"/>
                <w:iCs/>
                <w:sz w:val="16"/>
                <w:szCs w:val="16"/>
              </w:rPr>
            </w:pPr>
            <w:r w:rsidRPr="00182A95">
              <w:rPr>
                <w:rFonts w:ascii="Arial" w:hAnsi="Arial" w:cs="Arial"/>
                <w:bCs/>
                <w:iCs/>
                <w:sz w:val="16"/>
                <w:szCs w:val="16"/>
              </w:rPr>
              <w:t>Swimming crabs</w:t>
            </w:r>
          </w:p>
        </w:tc>
        <w:tc>
          <w:tcPr>
            <w:tcW w:w="1511" w:type="dxa"/>
            <w:tcBorders>
              <w:right w:val="single" w:sz="12" w:space="0" w:color="auto"/>
            </w:tcBorders>
            <w:vAlign w:val="center"/>
          </w:tcPr>
          <w:p w14:paraId="35FADFBE" w14:textId="77777777" w:rsidR="00182A95" w:rsidRPr="00182A95" w:rsidRDefault="00182A95" w:rsidP="00182A95">
            <w:pPr>
              <w:rPr>
                <w:rFonts w:ascii="Arial" w:hAnsi="Arial" w:cs="Arial"/>
                <w:sz w:val="16"/>
                <w:szCs w:val="16"/>
              </w:rPr>
            </w:pPr>
            <w:r w:rsidRPr="00182A95">
              <w:rPr>
                <w:rFonts w:ascii="Arial" w:hAnsi="Arial" w:cs="Arial"/>
                <w:sz w:val="16"/>
                <w:szCs w:val="16"/>
              </w:rPr>
              <w:t xml:space="preserve">Crab </w:t>
            </w:r>
          </w:p>
        </w:tc>
      </w:tr>
      <w:tr w:rsidR="00182A95" w:rsidRPr="00766319" w14:paraId="5B2960EC"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153DCDDB" w14:textId="77777777" w:rsidR="00182A95" w:rsidRPr="00182A95" w:rsidRDefault="00182A95" w:rsidP="005B6B53">
            <w:pPr>
              <w:rPr>
                <w:rFonts w:ascii="Arial" w:hAnsi="Arial" w:cs="Arial"/>
                <w:sz w:val="16"/>
                <w:szCs w:val="16"/>
              </w:rPr>
            </w:pPr>
          </w:p>
        </w:tc>
        <w:tc>
          <w:tcPr>
            <w:tcW w:w="2612" w:type="dxa"/>
            <w:vAlign w:val="center"/>
          </w:tcPr>
          <w:p w14:paraId="7F0F0DEA" w14:textId="77777777" w:rsidR="00182A95" w:rsidRPr="00182A95" w:rsidRDefault="00182A95" w:rsidP="005B6B53">
            <w:pPr>
              <w:rPr>
                <w:rFonts w:ascii="Arial" w:hAnsi="Arial" w:cs="Arial"/>
                <w:sz w:val="16"/>
                <w:szCs w:val="16"/>
              </w:rPr>
            </w:pPr>
            <w:r w:rsidRPr="00182A95">
              <w:rPr>
                <w:rFonts w:ascii="Arial" w:hAnsi="Arial" w:cs="Arial"/>
                <w:sz w:val="16"/>
                <w:szCs w:val="16"/>
              </w:rPr>
              <w:t>Prawn capture</w:t>
            </w:r>
          </w:p>
        </w:tc>
        <w:tc>
          <w:tcPr>
            <w:tcW w:w="2036" w:type="dxa"/>
            <w:vAlign w:val="center"/>
          </w:tcPr>
          <w:p w14:paraId="7F95D585" w14:textId="77777777" w:rsidR="00182A95" w:rsidRPr="00182A95" w:rsidRDefault="00182A95" w:rsidP="005B6B53">
            <w:pPr>
              <w:tabs>
                <w:tab w:val="left" w:pos="439"/>
              </w:tabs>
              <w:rPr>
                <w:rFonts w:ascii="Arial" w:hAnsi="Arial" w:cs="Arial"/>
                <w:sz w:val="16"/>
                <w:szCs w:val="16"/>
              </w:rPr>
            </w:pPr>
            <w:r w:rsidRPr="00182A95">
              <w:rPr>
                <w:rFonts w:ascii="Arial" w:hAnsi="Arial" w:cs="Arial"/>
                <w:sz w:val="16"/>
                <w:szCs w:val="16"/>
              </w:rPr>
              <w:t>Crustacean</w:t>
            </w:r>
          </w:p>
        </w:tc>
        <w:tc>
          <w:tcPr>
            <w:tcW w:w="1619" w:type="dxa"/>
            <w:vAlign w:val="center"/>
          </w:tcPr>
          <w:p w14:paraId="322D57E9" w14:textId="77777777" w:rsidR="00182A95" w:rsidRPr="00182A95" w:rsidRDefault="00182A95" w:rsidP="00182A95">
            <w:pPr>
              <w:pStyle w:val="Heading7"/>
              <w:rPr>
                <w:b w:val="0"/>
                <w:iCs/>
                <w:sz w:val="16"/>
                <w:szCs w:val="16"/>
              </w:rPr>
            </w:pPr>
            <w:r w:rsidRPr="00182A95">
              <w:rPr>
                <w:b w:val="0"/>
                <w:iCs/>
                <w:sz w:val="16"/>
                <w:szCs w:val="16"/>
              </w:rPr>
              <w:t>Prawn capture</w:t>
            </w:r>
          </w:p>
        </w:tc>
        <w:tc>
          <w:tcPr>
            <w:tcW w:w="1511" w:type="dxa"/>
            <w:tcBorders>
              <w:right w:val="single" w:sz="12" w:space="0" w:color="auto"/>
            </w:tcBorders>
            <w:vAlign w:val="center"/>
          </w:tcPr>
          <w:p w14:paraId="10926495" w14:textId="77777777" w:rsidR="00182A95" w:rsidRPr="00182A95" w:rsidRDefault="00182A95" w:rsidP="00182A95">
            <w:pPr>
              <w:rPr>
                <w:rFonts w:ascii="Arial" w:hAnsi="Arial" w:cs="Arial"/>
                <w:sz w:val="16"/>
                <w:szCs w:val="16"/>
              </w:rPr>
            </w:pPr>
            <w:r w:rsidRPr="00182A95">
              <w:rPr>
                <w:rFonts w:ascii="Arial" w:hAnsi="Arial" w:cs="Arial"/>
                <w:sz w:val="16"/>
                <w:szCs w:val="16"/>
              </w:rPr>
              <w:t>Prawn</w:t>
            </w:r>
          </w:p>
        </w:tc>
      </w:tr>
      <w:tr w:rsidR="00182A95" w:rsidRPr="00766319" w14:paraId="6B933559"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5D7831CC" w14:textId="77777777" w:rsidR="00182A95" w:rsidRPr="00182A95" w:rsidRDefault="00182A95" w:rsidP="005B6B53">
            <w:pPr>
              <w:rPr>
                <w:rFonts w:ascii="Arial" w:hAnsi="Arial" w:cs="Arial"/>
                <w:sz w:val="16"/>
                <w:szCs w:val="16"/>
              </w:rPr>
            </w:pPr>
          </w:p>
        </w:tc>
        <w:tc>
          <w:tcPr>
            <w:tcW w:w="2612" w:type="dxa"/>
            <w:vAlign w:val="center"/>
          </w:tcPr>
          <w:p w14:paraId="671B46CF" w14:textId="77777777" w:rsidR="00182A95" w:rsidRPr="00182A95" w:rsidRDefault="00182A95" w:rsidP="005B6B53">
            <w:pPr>
              <w:rPr>
                <w:rFonts w:ascii="Arial" w:hAnsi="Arial" w:cs="Arial"/>
                <w:sz w:val="16"/>
                <w:szCs w:val="16"/>
              </w:rPr>
            </w:pPr>
            <w:r w:rsidRPr="00182A95">
              <w:rPr>
                <w:rFonts w:ascii="Arial" w:hAnsi="Arial" w:cs="Arial"/>
                <w:sz w:val="16"/>
                <w:szCs w:val="16"/>
              </w:rPr>
              <w:t>Shellfish collection</w:t>
            </w:r>
          </w:p>
        </w:tc>
        <w:tc>
          <w:tcPr>
            <w:tcW w:w="2036" w:type="dxa"/>
            <w:vAlign w:val="center"/>
          </w:tcPr>
          <w:p w14:paraId="1C785C07" w14:textId="77777777" w:rsidR="00182A95" w:rsidRPr="00182A95" w:rsidRDefault="00182A95" w:rsidP="005B6B53">
            <w:pPr>
              <w:rPr>
                <w:rFonts w:ascii="Arial" w:hAnsi="Arial" w:cs="Arial"/>
                <w:sz w:val="16"/>
                <w:szCs w:val="16"/>
              </w:rPr>
            </w:pPr>
            <w:r w:rsidRPr="00182A95">
              <w:rPr>
                <w:rFonts w:ascii="Arial" w:hAnsi="Arial" w:cs="Arial"/>
                <w:sz w:val="16"/>
                <w:szCs w:val="16"/>
              </w:rPr>
              <w:t>Molluscs</w:t>
            </w:r>
          </w:p>
        </w:tc>
        <w:tc>
          <w:tcPr>
            <w:tcW w:w="1619" w:type="dxa"/>
            <w:vAlign w:val="center"/>
          </w:tcPr>
          <w:p w14:paraId="506F3070" w14:textId="77777777" w:rsidR="00182A95" w:rsidRPr="00182A95" w:rsidRDefault="00182A95" w:rsidP="00182A95">
            <w:pPr>
              <w:pStyle w:val="Heading7"/>
              <w:rPr>
                <w:b w:val="0"/>
                <w:iCs/>
                <w:sz w:val="16"/>
                <w:szCs w:val="16"/>
              </w:rPr>
            </w:pPr>
            <w:r w:rsidRPr="00182A95">
              <w:rPr>
                <w:b w:val="0"/>
                <w:iCs/>
                <w:sz w:val="16"/>
                <w:szCs w:val="16"/>
              </w:rPr>
              <w:t>Molluscs</w:t>
            </w:r>
          </w:p>
        </w:tc>
        <w:tc>
          <w:tcPr>
            <w:tcW w:w="1511" w:type="dxa"/>
            <w:tcBorders>
              <w:right w:val="single" w:sz="12" w:space="0" w:color="auto"/>
            </w:tcBorders>
            <w:vAlign w:val="center"/>
          </w:tcPr>
          <w:p w14:paraId="54A225DB" w14:textId="77777777" w:rsidR="00182A95" w:rsidRPr="00182A95" w:rsidRDefault="00182A95" w:rsidP="00182A95">
            <w:pPr>
              <w:rPr>
                <w:rFonts w:ascii="Arial" w:hAnsi="Arial" w:cs="Arial"/>
                <w:sz w:val="16"/>
                <w:szCs w:val="16"/>
              </w:rPr>
            </w:pPr>
            <w:r w:rsidRPr="00182A95">
              <w:rPr>
                <w:rFonts w:ascii="Arial" w:hAnsi="Arial" w:cs="Arial"/>
                <w:sz w:val="16"/>
                <w:szCs w:val="16"/>
              </w:rPr>
              <w:t>Molluscs</w:t>
            </w:r>
          </w:p>
        </w:tc>
      </w:tr>
      <w:tr w:rsidR="00182A95" w:rsidRPr="00766319" w14:paraId="5DE07902"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09727BAA" w14:textId="77777777" w:rsidR="00182A95" w:rsidRPr="00182A95" w:rsidRDefault="00182A95" w:rsidP="005B6B53">
            <w:pPr>
              <w:rPr>
                <w:rFonts w:ascii="Arial" w:hAnsi="Arial" w:cs="Arial"/>
                <w:sz w:val="16"/>
                <w:szCs w:val="16"/>
              </w:rPr>
            </w:pPr>
          </w:p>
        </w:tc>
        <w:tc>
          <w:tcPr>
            <w:tcW w:w="2612" w:type="dxa"/>
            <w:vAlign w:val="center"/>
          </w:tcPr>
          <w:p w14:paraId="07FEE4A1" w14:textId="77777777" w:rsidR="00182A95" w:rsidRPr="00182A95" w:rsidRDefault="00182A95" w:rsidP="005B6B53">
            <w:pPr>
              <w:rPr>
                <w:rFonts w:ascii="Arial" w:hAnsi="Arial" w:cs="Arial"/>
                <w:sz w:val="16"/>
                <w:szCs w:val="16"/>
              </w:rPr>
            </w:pPr>
            <w:r w:rsidRPr="00182A95">
              <w:rPr>
                <w:rFonts w:ascii="Arial" w:hAnsi="Arial" w:cs="Arial"/>
                <w:sz w:val="16"/>
                <w:szCs w:val="16"/>
              </w:rPr>
              <w:t>Insect and larvae capture</w:t>
            </w:r>
          </w:p>
        </w:tc>
        <w:tc>
          <w:tcPr>
            <w:tcW w:w="2036" w:type="dxa"/>
            <w:vAlign w:val="center"/>
          </w:tcPr>
          <w:p w14:paraId="5895ACFC" w14:textId="77777777" w:rsidR="00182A95" w:rsidRPr="00182A95" w:rsidRDefault="00182A95" w:rsidP="005B6B53">
            <w:pPr>
              <w:rPr>
                <w:rFonts w:ascii="Arial" w:hAnsi="Arial" w:cs="Arial"/>
                <w:sz w:val="16"/>
                <w:szCs w:val="16"/>
              </w:rPr>
            </w:pPr>
          </w:p>
        </w:tc>
        <w:tc>
          <w:tcPr>
            <w:tcW w:w="1619" w:type="dxa"/>
            <w:vAlign w:val="center"/>
          </w:tcPr>
          <w:p w14:paraId="011A17BE" w14:textId="77777777" w:rsidR="00182A95" w:rsidRPr="00182A95" w:rsidRDefault="00182A95" w:rsidP="00182A95">
            <w:pPr>
              <w:rPr>
                <w:rFonts w:ascii="Arial" w:hAnsi="Arial" w:cs="Arial"/>
                <w:iCs/>
                <w:sz w:val="16"/>
                <w:szCs w:val="16"/>
              </w:rPr>
            </w:pPr>
          </w:p>
        </w:tc>
        <w:tc>
          <w:tcPr>
            <w:tcW w:w="1511" w:type="dxa"/>
            <w:tcBorders>
              <w:right w:val="single" w:sz="12" w:space="0" w:color="auto"/>
            </w:tcBorders>
            <w:vAlign w:val="center"/>
          </w:tcPr>
          <w:p w14:paraId="610D7F7B" w14:textId="77777777" w:rsidR="00182A95" w:rsidRPr="00182A95" w:rsidRDefault="00182A95" w:rsidP="00182A95">
            <w:pPr>
              <w:rPr>
                <w:rFonts w:ascii="Arial" w:hAnsi="Arial" w:cs="Arial"/>
                <w:sz w:val="16"/>
                <w:szCs w:val="16"/>
              </w:rPr>
            </w:pPr>
          </w:p>
        </w:tc>
      </w:tr>
      <w:tr w:rsidR="00182A95" w:rsidRPr="00766319" w14:paraId="226D80E5"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078F398A" w14:textId="77777777" w:rsidR="00182A95" w:rsidRPr="00182A95" w:rsidRDefault="00182A95" w:rsidP="005B6B53">
            <w:pPr>
              <w:rPr>
                <w:rFonts w:ascii="Arial" w:hAnsi="Arial" w:cs="Arial"/>
                <w:sz w:val="16"/>
                <w:szCs w:val="16"/>
              </w:rPr>
            </w:pPr>
          </w:p>
        </w:tc>
        <w:tc>
          <w:tcPr>
            <w:tcW w:w="2612" w:type="dxa"/>
            <w:vAlign w:val="center"/>
          </w:tcPr>
          <w:p w14:paraId="1C9F279F" w14:textId="77777777" w:rsidR="00182A95" w:rsidRPr="00182A95" w:rsidRDefault="00182A95" w:rsidP="005B6B53">
            <w:pPr>
              <w:rPr>
                <w:rFonts w:ascii="Arial" w:hAnsi="Arial" w:cs="Arial"/>
                <w:sz w:val="16"/>
                <w:szCs w:val="16"/>
              </w:rPr>
            </w:pPr>
            <w:r w:rsidRPr="00182A95">
              <w:rPr>
                <w:rFonts w:ascii="Arial" w:hAnsi="Arial" w:cs="Arial"/>
                <w:sz w:val="16"/>
                <w:szCs w:val="16"/>
              </w:rPr>
              <w:t>Worms</w:t>
            </w:r>
          </w:p>
        </w:tc>
        <w:tc>
          <w:tcPr>
            <w:tcW w:w="2036" w:type="dxa"/>
            <w:vAlign w:val="center"/>
          </w:tcPr>
          <w:p w14:paraId="20BFB2FD" w14:textId="77777777" w:rsidR="00182A95" w:rsidRPr="00182A95" w:rsidRDefault="00182A95" w:rsidP="005B6B53">
            <w:pPr>
              <w:rPr>
                <w:rFonts w:ascii="Arial" w:hAnsi="Arial" w:cs="Arial"/>
                <w:sz w:val="16"/>
                <w:szCs w:val="16"/>
              </w:rPr>
            </w:pPr>
            <w:r w:rsidRPr="00182A95">
              <w:rPr>
                <w:rFonts w:ascii="Arial" w:hAnsi="Arial" w:cs="Arial"/>
                <w:sz w:val="16"/>
                <w:szCs w:val="16"/>
              </w:rPr>
              <w:t>Echinoderm</w:t>
            </w:r>
          </w:p>
        </w:tc>
        <w:tc>
          <w:tcPr>
            <w:tcW w:w="1619" w:type="dxa"/>
            <w:vAlign w:val="center"/>
          </w:tcPr>
          <w:p w14:paraId="75425E89" w14:textId="77777777" w:rsidR="00182A95" w:rsidRPr="00182A95" w:rsidRDefault="00182A95" w:rsidP="00182A95">
            <w:pPr>
              <w:pStyle w:val="Heading7"/>
              <w:rPr>
                <w:b w:val="0"/>
                <w:iCs/>
                <w:sz w:val="16"/>
                <w:szCs w:val="16"/>
              </w:rPr>
            </w:pPr>
            <w:r w:rsidRPr="00182A95">
              <w:rPr>
                <w:b w:val="0"/>
                <w:iCs/>
                <w:sz w:val="16"/>
                <w:szCs w:val="16"/>
              </w:rPr>
              <w:t>Echinoderm</w:t>
            </w:r>
          </w:p>
        </w:tc>
        <w:tc>
          <w:tcPr>
            <w:tcW w:w="1511" w:type="dxa"/>
            <w:tcBorders>
              <w:right w:val="single" w:sz="12" w:space="0" w:color="auto"/>
            </w:tcBorders>
            <w:vAlign w:val="center"/>
          </w:tcPr>
          <w:p w14:paraId="0E31AAAE" w14:textId="77777777" w:rsidR="00182A95" w:rsidRPr="00182A95" w:rsidRDefault="00182A95" w:rsidP="00182A95">
            <w:pPr>
              <w:rPr>
                <w:rFonts w:ascii="Arial" w:hAnsi="Arial" w:cs="Arial"/>
                <w:color w:val="000000"/>
                <w:sz w:val="16"/>
                <w:szCs w:val="16"/>
              </w:rPr>
            </w:pPr>
            <w:r w:rsidRPr="00182A95">
              <w:rPr>
                <w:rFonts w:ascii="Arial" w:hAnsi="Arial" w:cs="Arial"/>
                <w:sz w:val="16"/>
                <w:szCs w:val="16"/>
              </w:rPr>
              <w:t>Worms</w:t>
            </w:r>
          </w:p>
        </w:tc>
      </w:tr>
      <w:tr w:rsidR="00182A95" w:rsidRPr="00766319" w14:paraId="4A96515F"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5DF6A70F" w14:textId="77777777" w:rsidR="00182A95" w:rsidRPr="00182A95" w:rsidRDefault="00182A95" w:rsidP="005B6B53">
            <w:pPr>
              <w:rPr>
                <w:rFonts w:ascii="Arial" w:hAnsi="Arial" w:cs="Arial"/>
                <w:sz w:val="16"/>
                <w:szCs w:val="16"/>
              </w:rPr>
            </w:pPr>
          </w:p>
        </w:tc>
        <w:tc>
          <w:tcPr>
            <w:tcW w:w="2612" w:type="dxa"/>
            <w:vAlign w:val="center"/>
          </w:tcPr>
          <w:p w14:paraId="5A73CA6E" w14:textId="77777777" w:rsidR="00182A95" w:rsidRPr="00182A95" w:rsidRDefault="00182A95" w:rsidP="005B6B53">
            <w:pPr>
              <w:rPr>
                <w:rFonts w:ascii="Arial" w:hAnsi="Arial" w:cs="Arial"/>
                <w:sz w:val="16"/>
                <w:szCs w:val="16"/>
              </w:rPr>
            </w:pPr>
            <w:r w:rsidRPr="00182A95">
              <w:rPr>
                <w:rFonts w:ascii="Arial" w:hAnsi="Arial" w:cs="Arial"/>
                <w:sz w:val="16"/>
                <w:szCs w:val="16"/>
              </w:rPr>
              <w:t>Wildlife hunting</w:t>
            </w:r>
          </w:p>
        </w:tc>
        <w:tc>
          <w:tcPr>
            <w:tcW w:w="2036" w:type="dxa"/>
            <w:vAlign w:val="center"/>
          </w:tcPr>
          <w:p w14:paraId="2729D1F4" w14:textId="77777777" w:rsidR="00182A95" w:rsidRPr="00182A95" w:rsidRDefault="00182A95" w:rsidP="005B6B53">
            <w:pPr>
              <w:rPr>
                <w:rFonts w:ascii="Arial" w:hAnsi="Arial" w:cs="Arial"/>
                <w:sz w:val="16"/>
                <w:szCs w:val="16"/>
              </w:rPr>
            </w:pPr>
          </w:p>
        </w:tc>
        <w:tc>
          <w:tcPr>
            <w:tcW w:w="1619" w:type="dxa"/>
            <w:vAlign w:val="center"/>
          </w:tcPr>
          <w:p w14:paraId="0A683803" w14:textId="77777777" w:rsidR="00182A95" w:rsidRPr="00182A95" w:rsidRDefault="00182A95" w:rsidP="00182A95">
            <w:pPr>
              <w:rPr>
                <w:rFonts w:ascii="Arial" w:hAnsi="Arial" w:cs="Arial"/>
                <w:sz w:val="16"/>
                <w:szCs w:val="16"/>
              </w:rPr>
            </w:pPr>
          </w:p>
        </w:tc>
        <w:tc>
          <w:tcPr>
            <w:tcW w:w="1511" w:type="dxa"/>
            <w:tcBorders>
              <w:right w:val="single" w:sz="12" w:space="0" w:color="auto"/>
            </w:tcBorders>
            <w:vAlign w:val="center"/>
          </w:tcPr>
          <w:p w14:paraId="5B3991AC" w14:textId="77777777" w:rsidR="00182A95" w:rsidRPr="00182A95" w:rsidRDefault="00182A95" w:rsidP="00182A95">
            <w:pPr>
              <w:rPr>
                <w:rFonts w:ascii="Arial" w:hAnsi="Arial" w:cs="Arial"/>
                <w:sz w:val="16"/>
                <w:szCs w:val="16"/>
              </w:rPr>
            </w:pPr>
            <w:r w:rsidRPr="00182A95">
              <w:rPr>
                <w:rFonts w:ascii="Arial" w:hAnsi="Arial" w:cs="Arial"/>
                <w:sz w:val="16"/>
                <w:szCs w:val="16"/>
              </w:rPr>
              <w:t>Wildlife</w:t>
            </w:r>
          </w:p>
        </w:tc>
      </w:tr>
      <w:tr w:rsidR="00182A95" w:rsidRPr="00766319" w14:paraId="366061A0"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03BC73D8" w14:textId="77777777" w:rsidR="00182A95" w:rsidRPr="00182A95" w:rsidRDefault="00182A95" w:rsidP="005B6B53">
            <w:pPr>
              <w:rPr>
                <w:rFonts w:ascii="Arial" w:hAnsi="Arial" w:cs="Arial"/>
                <w:sz w:val="16"/>
                <w:szCs w:val="16"/>
              </w:rPr>
            </w:pPr>
          </w:p>
        </w:tc>
        <w:tc>
          <w:tcPr>
            <w:tcW w:w="2612" w:type="dxa"/>
            <w:vAlign w:val="center"/>
          </w:tcPr>
          <w:p w14:paraId="6FB4E023" w14:textId="77777777" w:rsidR="00182A95" w:rsidRPr="00182A95" w:rsidRDefault="00182A95" w:rsidP="005B6B53">
            <w:pPr>
              <w:rPr>
                <w:rFonts w:ascii="Arial" w:hAnsi="Arial" w:cs="Arial"/>
                <w:sz w:val="16"/>
                <w:szCs w:val="16"/>
              </w:rPr>
            </w:pPr>
            <w:r w:rsidRPr="00182A95">
              <w:rPr>
                <w:rFonts w:ascii="Arial" w:hAnsi="Arial" w:cs="Arial"/>
                <w:sz w:val="16"/>
                <w:szCs w:val="16"/>
              </w:rPr>
              <w:t>Zooplankton (koey)</w:t>
            </w:r>
          </w:p>
        </w:tc>
        <w:tc>
          <w:tcPr>
            <w:tcW w:w="2036" w:type="dxa"/>
            <w:vAlign w:val="center"/>
          </w:tcPr>
          <w:p w14:paraId="0907812D" w14:textId="77777777" w:rsidR="00182A95" w:rsidRPr="00182A95" w:rsidRDefault="00182A95" w:rsidP="005B6B53">
            <w:pPr>
              <w:rPr>
                <w:rFonts w:ascii="Arial" w:hAnsi="Arial" w:cs="Arial"/>
                <w:sz w:val="16"/>
                <w:szCs w:val="16"/>
              </w:rPr>
            </w:pPr>
          </w:p>
        </w:tc>
        <w:tc>
          <w:tcPr>
            <w:tcW w:w="1619" w:type="dxa"/>
            <w:vAlign w:val="center"/>
          </w:tcPr>
          <w:p w14:paraId="7FF34288" w14:textId="77777777" w:rsidR="00182A95" w:rsidRPr="00182A95" w:rsidRDefault="00182A95" w:rsidP="00182A95">
            <w:pPr>
              <w:rPr>
                <w:rFonts w:ascii="Arial" w:hAnsi="Arial" w:cs="Arial"/>
                <w:sz w:val="16"/>
                <w:szCs w:val="16"/>
              </w:rPr>
            </w:pPr>
          </w:p>
        </w:tc>
        <w:tc>
          <w:tcPr>
            <w:tcW w:w="1511" w:type="dxa"/>
            <w:tcBorders>
              <w:right w:val="single" w:sz="12" w:space="0" w:color="auto"/>
            </w:tcBorders>
            <w:vAlign w:val="center"/>
          </w:tcPr>
          <w:p w14:paraId="324C5B89" w14:textId="77777777" w:rsidR="00182A95" w:rsidRPr="00182A95" w:rsidRDefault="00182A95" w:rsidP="00182A95">
            <w:pPr>
              <w:rPr>
                <w:rFonts w:ascii="Arial" w:hAnsi="Arial" w:cs="Arial"/>
                <w:sz w:val="16"/>
                <w:szCs w:val="16"/>
              </w:rPr>
            </w:pPr>
          </w:p>
        </w:tc>
      </w:tr>
      <w:tr w:rsidR="00182A95" w:rsidRPr="00766319" w14:paraId="7F92A896"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2A8DFC36" w14:textId="77777777" w:rsidR="00182A95" w:rsidRPr="00182A95" w:rsidRDefault="00182A95" w:rsidP="005B6B53">
            <w:pPr>
              <w:rPr>
                <w:rFonts w:ascii="Arial" w:hAnsi="Arial" w:cs="Arial"/>
                <w:sz w:val="16"/>
                <w:szCs w:val="16"/>
              </w:rPr>
            </w:pPr>
          </w:p>
        </w:tc>
        <w:tc>
          <w:tcPr>
            <w:tcW w:w="2612" w:type="dxa"/>
            <w:vAlign w:val="center"/>
          </w:tcPr>
          <w:p w14:paraId="2411693A" w14:textId="77777777" w:rsidR="00182A95" w:rsidRPr="00182A95" w:rsidRDefault="00182A95" w:rsidP="005B6B53">
            <w:pPr>
              <w:rPr>
                <w:rFonts w:ascii="Arial" w:hAnsi="Arial" w:cs="Arial"/>
                <w:sz w:val="16"/>
                <w:szCs w:val="16"/>
              </w:rPr>
            </w:pPr>
            <w:r w:rsidRPr="00182A95">
              <w:rPr>
                <w:rFonts w:ascii="Arial" w:hAnsi="Arial" w:cs="Arial"/>
                <w:sz w:val="16"/>
                <w:szCs w:val="16"/>
              </w:rPr>
              <w:t>Jellyfish</w:t>
            </w:r>
          </w:p>
        </w:tc>
        <w:tc>
          <w:tcPr>
            <w:tcW w:w="2036" w:type="dxa"/>
            <w:vAlign w:val="center"/>
          </w:tcPr>
          <w:p w14:paraId="4AFEA618" w14:textId="77777777" w:rsidR="00182A95" w:rsidRPr="00182A95" w:rsidRDefault="00182A95" w:rsidP="005B6B53">
            <w:pPr>
              <w:rPr>
                <w:rFonts w:ascii="Arial" w:hAnsi="Arial" w:cs="Arial"/>
                <w:sz w:val="16"/>
                <w:szCs w:val="16"/>
              </w:rPr>
            </w:pPr>
          </w:p>
        </w:tc>
        <w:tc>
          <w:tcPr>
            <w:tcW w:w="1619" w:type="dxa"/>
            <w:vAlign w:val="center"/>
          </w:tcPr>
          <w:p w14:paraId="2636C043" w14:textId="77777777" w:rsidR="00182A95" w:rsidRPr="00182A95" w:rsidRDefault="00182A95" w:rsidP="00182A95">
            <w:pPr>
              <w:rPr>
                <w:rFonts w:ascii="Arial" w:hAnsi="Arial" w:cs="Arial"/>
                <w:sz w:val="16"/>
                <w:szCs w:val="16"/>
              </w:rPr>
            </w:pPr>
          </w:p>
        </w:tc>
        <w:tc>
          <w:tcPr>
            <w:tcW w:w="1511" w:type="dxa"/>
            <w:tcBorders>
              <w:right w:val="single" w:sz="12" w:space="0" w:color="auto"/>
            </w:tcBorders>
            <w:vAlign w:val="center"/>
          </w:tcPr>
          <w:p w14:paraId="1D7A8024" w14:textId="77777777" w:rsidR="00182A95" w:rsidRPr="00182A95" w:rsidRDefault="00182A95" w:rsidP="00182A95">
            <w:pPr>
              <w:rPr>
                <w:rFonts w:ascii="Arial" w:hAnsi="Arial" w:cs="Arial"/>
                <w:sz w:val="16"/>
                <w:szCs w:val="16"/>
              </w:rPr>
            </w:pPr>
          </w:p>
        </w:tc>
      </w:tr>
      <w:tr w:rsidR="00182A95" w:rsidRPr="00766319" w14:paraId="0BEF146E"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6" w:space="0" w:color="auto"/>
            </w:tcBorders>
          </w:tcPr>
          <w:p w14:paraId="385A7595" w14:textId="77777777" w:rsidR="00182A95" w:rsidRPr="00182A95" w:rsidRDefault="00182A95" w:rsidP="005B6B53">
            <w:pPr>
              <w:rPr>
                <w:rFonts w:ascii="Arial" w:hAnsi="Arial" w:cs="Arial"/>
                <w:sz w:val="16"/>
                <w:szCs w:val="16"/>
              </w:rPr>
            </w:pPr>
          </w:p>
        </w:tc>
        <w:tc>
          <w:tcPr>
            <w:tcW w:w="2612" w:type="dxa"/>
            <w:vAlign w:val="center"/>
          </w:tcPr>
          <w:p w14:paraId="015DAEF9" w14:textId="77777777" w:rsidR="00182A95" w:rsidRPr="00182A95" w:rsidRDefault="00182A95" w:rsidP="005B6B53">
            <w:pPr>
              <w:rPr>
                <w:rFonts w:ascii="Arial" w:hAnsi="Arial" w:cs="Arial"/>
                <w:sz w:val="16"/>
                <w:szCs w:val="16"/>
              </w:rPr>
            </w:pPr>
            <w:r w:rsidRPr="00182A95">
              <w:rPr>
                <w:rFonts w:ascii="Arial" w:hAnsi="Arial" w:cs="Arial"/>
                <w:sz w:val="16"/>
                <w:szCs w:val="16"/>
              </w:rPr>
              <w:t>Bees, honey, and wax</w:t>
            </w:r>
          </w:p>
        </w:tc>
        <w:tc>
          <w:tcPr>
            <w:tcW w:w="2036" w:type="dxa"/>
            <w:vAlign w:val="center"/>
          </w:tcPr>
          <w:p w14:paraId="020E31C5" w14:textId="77777777" w:rsidR="00182A95" w:rsidRPr="00182A95" w:rsidRDefault="00182A95" w:rsidP="005B6B53">
            <w:pPr>
              <w:rPr>
                <w:rFonts w:ascii="Arial" w:hAnsi="Arial" w:cs="Arial"/>
                <w:sz w:val="16"/>
                <w:szCs w:val="16"/>
              </w:rPr>
            </w:pPr>
          </w:p>
        </w:tc>
        <w:tc>
          <w:tcPr>
            <w:tcW w:w="1619" w:type="dxa"/>
            <w:vAlign w:val="center"/>
          </w:tcPr>
          <w:p w14:paraId="75980597" w14:textId="77777777" w:rsidR="00182A95" w:rsidRPr="00182A95" w:rsidRDefault="00182A95" w:rsidP="00182A95">
            <w:pPr>
              <w:rPr>
                <w:rFonts w:ascii="Arial" w:hAnsi="Arial" w:cs="Arial"/>
                <w:sz w:val="16"/>
                <w:szCs w:val="16"/>
              </w:rPr>
            </w:pPr>
          </w:p>
        </w:tc>
        <w:tc>
          <w:tcPr>
            <w:tcW w:w="1511" w:type="dxa"/>
            <w:tcBorders>
              <w:right w:val="single" w:sz="12" w:space="0" w:color="auto"/>
            </w:tcBorders>
            <w:vAlign w:val="center"/>
          </w:tcPr>
          <w:p w14:paraId="641B71F1" w14:textId="77777777" w:rsidR="00182A95" w:rsidRPr="00182A95" w:rsidRDefault="00182A95" w:rsidP="00182A95">
            <w:pPr>
              <w:rPr>
                <w:rFonts w:ascii="Arial" w:hAnsi="Arial" w:cs="Arial"/>
                <w:sz w:val="16"/>
                <w:szCs w:val="16"/>
              </w:rPr>
            </w:pPr>
          </w:p>
        </w:tc>
      </w:tr>
      <w:tr w:rsidR="00182A95" w:rsidRPr="00766319" w14:paraId="6854A744" w14:textId="77777777" w:rsidTr="00182A95">
        <w:tblPrEx>
          <w:tblCellMar>
            <w:top w:w="0" w:type="dxa"/>
            <w:bottom w:w="0" w:type="dxa"/>
          </w:tblCellMar>
        </w:tblPrEx>
        <w:trPr>
          <w:cantSplit/>
          <w:jc w:val="center"/>
        </w:trPr>
        <w:tc>
          <w:tcPr>
            <w:tcW w:w="1433" w:type="dxa"/>
            <w:vMerge/>
            <w:tcBorders>
              <w:top w:val="nil"/>
              <w:left w:val="single" w:sz="12" w:space="0" w:color="auto"/>
              <w:bottom w:val="single" w:sz="12" w:space="0" w:color="auto"/>
            </w:tcBorders>
          </w:tcPr>
          <w:p w14:paraId="6DEF6652" w14:textId="77777777" w:rsidR="00182A95" w:rsidRPr="00182A95" w:rsidRDefault="00182A95" w:rsidP="005B6B53">
            <w:pPr>
              <w:rPr>
                <w:rFonts w:ascii="Arial" w:hAnsi="Arial" w:cs="Arial"/>
                <w:sz w:val="16"/>
                <w:szCs w:val="16"/>
              </w:rPr>
            </w:pPr>
          </w:p>
        </w:tc>
        <w:tc>
          <w:tcPr>
            <w:tcW w:w="2612" w:type="dxa"/>
            <w:tcBorders>
              <w:bottom w:val="single" w:sz="12" w:space="0" w:color="auto"/>
            </w:tcBorders>
            <w:vAlign w:val="center"/>
          </w:tcPr>
          <w:p w14:paraId="143557FF" w14:textId="77777777" w:rsidR="00182A95" w:rsidRPr="00182A95" w:rsidRDefault="00182A95" w:rsidP="005B6B53">
            <w:pPr>
              <w:rPr>
                <w:rFonts w:ascii="Arial" w:hAnsi="Arial" w:cs="Arial"/>
                <w:sz w:val="16"/>
                <w:szCs w:val="16"/>
              </w:rPr>
            </w:pPr>
            <w:r w:rsidRPr="00182A95">
              <w:rPr>
                <w:rFonts w:ascii="Arial" w:hAnsi="Arial" w:cs="Arial"/>
                <w:sz w:val="16"/>
                <w:szCs w:val="16"/>
              </w:rPr>
              <w:t>Seaweed</w:t>
            </w:r>
          </w:p>
        </w:tc>
        <w:tc>
          <w:tcPr>
            <w:tcW w:w="2036" w:type="dxa"/>
            <w:tcBorders>
              <w:bottom w:val="single" w:sz="12" w:space="0" w:color="auto"/>
            </w:tcBorders>
            <w:vAlign w:val="center"/>
          </w:tcPr>
          <w:p w14:paraId="5D7D7D05" w14:textId="77777777" w:rsidR="00182A95" w:rsidRPr="00182A95" w:rsidRDefault="00182A95" w:rsidP="005B6B53">
            <w:pPr>
              <w:rPr>
                <w:rFonts w:ascii="Arial" w:hAnsi="Arial" w:cs="Arial"/>
                <w:sz w:val="16"/>
                <w:szCs w:val="16"/>
              </w:rPr>
            </w:pPr>
          </w:p>
        </w:tc>
        <w:tc>
          <w:tcPr>
            <w:tcW w:w="1619" w:type="dxa"/>
            <w:tcBorders>
              <w:bottom w:val="single" w:sz="12" w:space="0" w:color="auto"/>
            </w:tcBorders>
            <w:vAlign w:val="center"/>
          </w:tcPr>
          <w:p w14:paraId="3232092D" w14:textId="77777777" w:rsidR="00182A95" w:rsidRPr="00182A95" w:rsidRDefault="00182A95" w:rsidP="00182A95">
            <w:pPr>
              <w:rPr>
                <w:rFonts w:ascii="Arial" w:hAnsi="Arial" w:cs="Arial"/>
                <w:sz w:val="16"/>
                <w:szCs w:val="16"/>
              </w:rPr>
            </w:pPr>
          </w:p>
        </w:tc>
        <w:tc>
          <w:tcPr>
            <w:tcW w:w="1511" w:type="dxa"/>
            <w:tcBorders>
              <w:bottom w:val="single" w:sz="12" w:space="0" w:color="auto"/>
              <w:right w:val="single" w:sz="12" w:space="0" w:color="auto"/>
            </w:tcBorders>
            <w:vAlign w:val="center"/>
          </w:tcPr>
          <w:p w14:paraId="4496CD74" w14:textId="77777777" w:rsidR="00182A95" w:rsidRPr="00182A95" w:rsidRDefault="00182A95" w:rsidP="00182A95">
            <w:pPr>
              <w:rPr>
                <w:rFonts w:ascii="Arial" w:hAnsi="Arial" w:cs="Arial"/>
                <w:sz w:val="16"/>
                <w:szCs w:val="16"/>
              </w:rPr>
            </w:pPr>
          </w:p>
        </w:tc>
      </w:tr>
      <w:tr w:rsidR="00182A95" w:rsidRPr="00766319" w14:paraId="3DB6487E" w14:textId="77777777" w:rsidTr="00182A95">
        <w:tblPrEx>
          <w:tblCellMar>
            <w:top w:w="0" w:type="dxa"/>
            <w:bottom w:w="0" w:type="dxa"/>
          </w:tblCellMar>
        </w:tblPrEx>
        <w:trPr>
          <w:cantSplit/>
          <w:jc w:val="center"/>
        </w:trPr>
        <w:tc>
          <w:tcPr>
            <w:tcW w:w="1433" w:type="dxa"/>
            <w:vMerge w:val="restart"/>
            <w:tcBorders>
              <w:top w:val="single" w:sz="12" w:space="0" w:color="auto"/>
              <w:left w:val="single" w:sz="12" w:space="0" w:color="auto"/>
              <w:bottom w:val="single" w:sz="12" w:space="0" w:color="auto"/>
            </w:tcBorders>
          </w:tcPr>
          <w:p w14:paraId="12A1CA86" w14:textId="77777777" w:rsidR="00182A95" w:rsidRPr="00182A95" w:rsidRDefault="00182A95" w:rsidP="005B6B53">
            <w:pPr>
              <w:ind w:right="-108"/>
              <w:rPr>
                <w:rFonts w:ascii="Arial" w:hAnsi="Arial" w:cs="Arial"/>
                <w:b/>
                <w:bCs/>
                <w:sz w:val="16"/>
                <w:szCs w:val="16"/>
              </w:rPr>
            </w:pPr>
            <w:r w:rsidRPr="00182A95">
              <w:rPr>
                <w:rFonts w:ascii="Arial" w:hAnsi="Arial" w:cs="Arial"/>
                <w:b/>
                <w:bCs/>
                <w:sz w:val="16"/>
                <w:szCs w:val="16"/>
              </w:rPr>
              <w:t>Non-extractive Uses</w:t>
            </w:r>
          </w:p>
        </w:tc>
        <w:tc>
          <w:tcPr>
            <w:tcW w:w="2612" w:type="dxa"/>
            <w:tcBorders>
              <w:top w:val="single" w:sz="12" w:space="0" w:color="auto"/>
              <w:bottom w:val="single" w:sz="12" w:space="0" w:color="auto"/>
            </w:tcBorders>
            <w:vAlign w:val="center"/>
          </w:tcPr>
          <w:p w14:paraId="63E342F4" w14:textId="77777777" w:rsidR="00182A95" w:rsidRPr="00182A95" w:rsidRDefault="00182A95" w:rsidP="005B6B53">
            <w:pPr>
              <w:jc w:val="center"/>
              <w:rPr>
                <w:rFonts w:ascii="Arial" w:hAnsi="Arial" w:cs="Arial"/>
                <w:b/>
                <w:bCs/>
                <w:sz w:val="16"/>
                <w:szCs w:val="16"/>
              </w:rPr>
            </w:pPr>
            <w:r w:rsidRPr="00182A95">
              <w:rPr>
                <w:rFonts w:ascii="Arial" w:hAnsi="Arial" w:cs="Arial"/>
                <w:b/>
                <w:bCs/>
                <w:sz w:val="16"/>
                <w:szCs w:val="16"/>
              </w:rPr>
              <w:t>Mangroves</w:t>
            </w:r>
          </w:p>
        </w:tc>
        <w:tc>
          <w:tcPr>
            <w:tcW w:w="2036" w:type="dxa"/>
            <w:tcBorders>
              <w:top w:val="single" w:sz="12" w:space="0" w:color="auto"/>
              <w:bottom w:val="single" w:sz="12" w:space="0" w:color="auto"/>
            </w:tcBorders>
            <w:vAlign w:val="center"/>
          </w:tcPr>
          <w:p w14:paraId="208C8766" w14:textId="77777777" w:rsidR="00182A95" w:rsidRPr="00182A95" w:rsidRDefault="00182A95" w:rsidP="005B6B53">
            <w:pPr>
              <w:tabs>
                <w:tab w:val="left" w:pos="439"/>
              </w:tabs>
              <w:jc w:val="center"/>
              <w:rPr>
                <w:rFonts w:ascii="Arial" w:hAnsi="Arial" w:cs="Arial"/>
                <w:b/>
                <w:bCs/>
                <w:sz w:val="16"/>
                <w:szCs w:val="16"/>
              </w:rPr>
            </w:pPr>
            <w:r w:rsidRPr="00182A95">
              <w:rPr>
                <w:rFonts w:ascii="Arial" w:hAnsi="Arial" w:cs="Arial"/>
                <w:b/>
                <w:bCs/>
                <w:sz w:val="16"/>
                <w:szCs w:val="16"/>
              </w:rPr>
              <w:t>Coral Reefs</w:t>
            </w:r>
          </w:p>
        </w:tc>
        <w:tc>
          <w:tcPr>
            <w:tcW w:w="1619" w:type="dxa"/>
            <w:tcBorders>
              <w:top w:val="single" w:sz="12" w:space="0" w:color="auto"/>
              <w:bottom w:val="single" w:sz="12" w:space="0" w:color="auto"/>
            </w:tcBorders>
            <w:vAlign w:val="center"/>
          </w:tcPr>
          <w:p w14:paraId="4A331817" w14:textId="77777777" w:rsidR="00182A95" w:rsidRPr="00182A95" w:rsidRDefault="00182A95" w:rsidP="00182A95">
            <w:pPr>
              <w:rPr>
                <w:rFonts w:ascii="Arial" w:hAnsi="Arial" w:cs="Arial"/>
                <w:b/>
                <w:bCs/>
                <w:sz w:val="16"/>
                <w:szCs w:val="16"/>
              </w:rPr>
            </w:pPr>
            <w:r w:rsidRPr="00182A95">
              <w:rPr>
                <w:rFonts w:ascii="Arial" w:hAnsi="Arial" w:cs="Arial"/>
                <w:b/>
                <w:bCs/>
                <w:sz w:val="16"/>
                <w:szCs w:val="16"/>
              </w:rPr>
              <w:t>Seagrass</w:t>
            </w:r>
          </w:p>
        </w:tc>
        <w:tc>
          <w:tcPr>
            <w:tcW w:w="1511" w:type="dxa"/>
            <w:tcBorders>
              <w:top w:val="single" w:sz="12" w:space="0" w:color="auto"/>
              <w:bottom w:val="single" w:sz="12" w:space="0" w:color="auto"/>
              <w:right w:val="single" w:sz="12" w:space="0" w:color="auto"/>
            </w:tcBorders>
            <w:vAlign w:val="center"/>
          </w:tcPr>
          <w:p w14:paraId="25300180" w14:textId="77777777" w:rsidR="00182A95" w:rsidRPr="00182A95" w:rsidRDefault="00182A95" w:rsidP="00182A95">
            <w:pPr>
              <w:rPr>
                <w:rFonts w:ascii="Arial" w:hAnsi="Arial" w:cs="Arial"/>
                <w:b/>
                <w:bCs/>
                <w:sz w:val="16"/>
                <w:szCs w:val="16"/>
              </w:rPr>
            </w:pPr>
            <w:r w:rsidRPr="00182A95">
              <w:rPr>
                <w:rFonts w:ascii="Arial" w:hAnsi="Arial" w:cs="Arial"/>
                <w:b/>
                <w:bCs/>
                <w:sz w:val="16"/>
                <w:szCs w:val="16"/>
              </w:rPr>
              <w:t>Wetlands</w:t>
            </w:r>
          </w:p>
        </w:tc>
      </w:tr>
      <w:tr w:rsidR="00182A95" w:rsidRPr="00766319" w14:paraId="44F7A25A" w14:textId="77777777" w:rsidTr="00182A95">
        <w:tblPrEx>
          <w:tblCellMar>
            <w:top w:w="0" w:type="dxa"/>
            <w:bottom w:w="0" w:type="dxa"/>
          </w:tblCellMar>
        </w:tblPrEx>
        <w:trPr>
          <w:cantSplit/>
          <w:jc w:val="center"/>
        </w:trPr>
        <w:tc>
          <w:tcPr>
            <w:tcW w:w="1433" w:type="dxa"/>
            <w:vMerge/>
            <w:tcBorders>
              <w:top w:val="single" w:sz="12" w:space="0" w:color="auto"/>
              <w:left w:val="single" w:sz="12" w:space="0" w:color="auto"/>
            </w:tcBorders>
            <w:vAlign w:val="center"/>
          </w:tcPr>
          <w:p w14:paraId="1507DE12" w14:textId="77777777" w:rsidR="00182A95" w:rsidRPr="00182A95" w:rsidRDefault="00182A95" w:rsidP="005B6B53">
            <w:pPr>
              <w:jc w:val="right"/>
              <w:rPr>
                <w:rFonts w:ascii="Arial" w:hAnsi="Arial" w:cs="Arial"/>
                <w:sz w:val="16"/>
                <w:szCs w:val="16"/>
              </w:rPr>
            </w:pPr>
          </w:p>
        </w:tc>
        <w:tc>
          <w:tcPr>
            <w:tcW w:w="2612" w:type="dxa"/>
            <w:tcBorders>
              <w:top w:val="single" w:sz="12" w:space="0" w:color="auto"/>
            </w:tcBorders>
            <w:vAlign w:val="center"/>
          </w:tcPr>
          <w:p w14:paraId="69DF1946" w14:textId="77777777" w:rsidR="00182A95" w:rsidRPr="00182A95" w:rsidRDefault="00182A95" w:rsidP="005B6B53">
            <w:pPr>
              <w:rPr>
                <w:rFonts w:ascii="Arial" w:hAnsi="Arial" w:cs="Arial"/>
                <w:sz w:val="16"/>
                <w:szCs w:val="16"/>
              </w:rPr>
            </w:pPr>
            <w:r w:rsidRPr="00182A95">
              <w:rPr>
                <w:rFonts w:ascii="Arial" w:hAnsi="Arial" w:cs="Arial"/>
                <w:sz w:val="16"/>
                <w:szCs w:val="16"/>
              </w:rPr>
              <w:t>Tourism/recreation</w:t>
            </w:r>
          </w:p>
        </w:tc>
        <w:tc>
          <w:tcPr>
            <w:tcW w:w="2036" w:type="dxa"/>
            <w:tcBorders>
              <w:top w:val="single" w:sz="12" w:space="0" w:color="auto"/>
            </w:tcBorders>
            <w:vAlign w:val="center"/>
          </w:tcPr>
          <w:p w14:paraId="2ED9903C" w14:textId="77777777" w:rsidR="00182A95" w:rsidRPr="00182A95" w:rsidRDefault="00182A95" w:rsidP="005B6B53">
            <w:pPr>
              <w:tabs>
                <w:tab w:val="left" w:pos="439"/>
              </w:tabs>
              <w:rPr>
                <w:rFonts w:ascii="Arial" w:hAnsi="Arial" w:cs="Arial"/>
                <w:sz w:val="16"/>
                <w:szCs w:val="16"/>
              </w:rPr>
            </w:pPr>
            <w:r w:rsidRPr="00182A95">
              <w:rPr>
                <w:rFonts w:ascii="Arial" w:hAnsi="Arial" w:cs="Arial"/>
                <w:sz w:val="16"/>
                <w:szCs w:val="16"/>
              </w:rPr>
              <w:t>Tourism/ recreation</w:t>
            </w:r>
          </w:p>
        </w:tc>
        <w:tc>
          <w:tcPr>
            <w:tcW w:w="1619" w:type="dxa"/>
            <w:tcBorders>
              <w:top w:val="single" w:sz="12" w:space="0" w:color="auto"/>
            </w:tcBorders>
            <w:vAlign w:val="center"/>
          </w:tcPr>
          <w:p w14:paraId="6B7F26A9" w14:textId="77777777" w:rsidR="00182A95" w:rsidRPr="00182A95" w:rsidRDefault="00182A95" w:rsidP="00182A95">
            <w:pPr>
              <w:rPr>
                <w:rFonts w:ascii="Arial" w:hAnsi="Arial" w:cs="Arial"/>
                <w:sz w:val="16"/>
                <w:szCs w:val="16"/>
              </w:rPr>
            </w:pPr>
            <w:r w:rsidRPr="00182A95">
              <w:rPr>
                <w:rFonts w:ascii="Arial" w:hAnsi="Arial" w:cs="Arial"/>
                <w:sz w:val="16"/>
                <w:szCs w:val="16"/>
              </w:rPr>
              <w:t>Tourism/Recreation</w:t>
            </w:r>
          </w:p>
        </w:tc>
        <w:tc>
          <w:tcPr>
            <w:tcW w:w="1511" w:type="dxa"/>
            <w:tcBorders>
              <w:top w:val="single" w:sz="12" w:space="0" w:color="auto"/>
              <w:right w:val="single" w:sz="12" w:space="0" w:color="auto"/>
            </w:tcBorders>
            <w:vAlign w:val="center"/>
          </w:tcPr>
          <w:p w14:paraId="07FB0B92" w14:textId="77777777" w:rsidR="00182A95" w:rsidRPr="00182A95" w:rsidRDefault="00182A95" w:rsidP="00182A95">
            <w:pPr>
              <w:rPr>
                <w:rFonts w:ascii="Arial" w:hAnsi="Arial" w:cs="Arial"/>
                <w:sz w:val="16"/>
                <w:szCs w:val="16"/>
              </w:rPr>
            </w:pPr>
            <w:r w:rsidRPr="00182A95">
              <w:rPr>
                <w:rFonts w:ascii="Arial" w:hAnsi="Arial" w:cs="Arial"/>
                <w:sz w:val="16"/>
                <w:szCs w:val="16"/>
              </w:rPr>
              <w:t>Tourism/Recreation</w:t>
            </w:r>
          </w:p>
        </w:tc>
      </w:tr>
      <w:tr w:rsidR="00182A95" w:rsidRPr="00766319" w14:paraId="18CE5EAA" w14:textId="77777777" w:rsidTr="00182A95">
        <w:tblPrEx>
          <w:tblCellMar>
            <w:top w:w="0" w:type="dxa"/>
            <w:bottom w:w="0" w:type="dxa"/>
          </w:tblCellMar>
        </w:tblPrEx>
        <w:trPr>
          <w:cantSplit/>
          <w:jc w:val="center"/>
        </w:trPr>
        <w:tc>
          <w:tcPr>
            <w:tcW w:w="1433" w:type="dxa"/>
            <w:vMerge/>
            <w:tcBorders>
              <w:left w:val="single" w:sz="12" w:space="0" w:color="auto"/>
            </w:tcBorders>
            <w:vAlign w:val="center"/>
          </w:tcPr>
          <w:p w14:paraId="6B1C2704" w14:textId="77777777" w:rsidR="00182A95" w:rsidRPr="00182A95" w:rsidRDefault="00182A95" w:rsidP="005B6B53">
            <w:pPr>
              <w:jc w:val="right"/>
              <w:rPr>
                <w:rFonts w:ascii="Arial" w:hAnsi="Arial" w:cs="Arial"/>
                <w:sz w:val="16"/>
                <w:szCs w:val="16"/>
              </w:rPr>
            </w:pPr>
          </w:p>
        </w:tc>
        <w:tc>
          <w:tcPr>
            <w:tcW w:w="2612" w:type="dxa"/>
            <w:vAlign w:val="center"/>
          </w:tcPr>
          <w:p w14:paraId="3211B9DE" w14:textId="77777777" w:rsidR="00182A95" w:rsidRPr="00182A95" w:rsidRDefault="00182A95" w:rsidP="005B6B53">
            <w:pPr>
              <w:rPr>
                <w:rFonts w:ascii="Arial" w:hAnsi="Arial" w:cs="Arial"/>
                <w:sz w:val="16"/>
                <w:szCs w:val="16"/>
              </w:rPr>
            </w:pPr>
            <w:r w:rsidRPr="00182A95">
              <w:rPr>
                <w:rFonts w:ascii="Arial" w:hAnsi="Arial" w:cs="Arial"/>
                <w:sz w:val="16"/>
                <w:szCs w:val="16"/>
              </w:rPr>
              <w:t>Transport</w:t>
            </w:r>
          </w:p>
        </w:tc>
        <w:tc>
          <w:tcPr>
            <w:tcW w:w="2036" w:type="dxa"/>
            <w:vAlign w:val="center"/>
          </w:tcPr>
          <w:p w14:paraId="6D144566" w14:textId="77777777" w:rsidR="00182A95" w:rsidRPr="00182A95" w:rsidRDefault="00182A95" w:rsidP="005B6B53">
            <w:pPr>
              <w:tabs>
                <w:tab w:val="left" w:pos="439"/>
              </w:tabs>
              <w:rPr>
                <w:rFonts w:ascii="Arial" w:hAnsi="Arial" w:cs="Arial"/>
                <w:sz w:val="16"/>
                <w:szCs w:val="16"/>
              </w:rPr>
            </w:pPr>
          </w:p>
        </w:tc>
        <w:tc>
          <w:tcPr>
            <w:tcW w:w="1619" w:type="dxa"/>
            <w:vAlign w:val="center"/>
          </w:tcPr>
          <w:p w14:paraId="3DB74C65" w14:textId="77777777" w:rsidR="00182A95" w:rsidRPr="00182A95" w:rsidRDefault="00182A95" w:rsidP="00182A95">
            <w:pPr>
              <w:rPr>
                <w:rFonts w:ascii="Arial" w:hAnsi="Arial" w:cs="Arial"/>
                <w:sz w:val="16"/>
                <w:szCs w:val="16"/>
              </w:rPr>
            </w:pPr>
          </w:p>
        </w:tc>
        <w:tc>
          <w:tcPr>
            <w:tcW w:w="1511" w:type="dxa"/>
            <w:tcBorders>
              <w:right w:val="single" w:sz="12" w:space="0" w:color="auto"/>
            </w:tcBorders>
            <w:vAlign w:val="center"/>
          </w:tcPr>
          <w:p w14:paraId="3BFA9FB9" w14:textId="77777777" w:rsidR="00182A95" w:rsidRPr="00182A95" w:rsidRDefault="00182A95" w:rsidP="00182A95">
            <w:pPr>
              <w:rPr>
                <w:rFonts w:ascii="Arial" w:hAnsi="Arial" w:cs="Arial"/>
                <w:sz w:val="16"/>
                <w:szCs w:val="16"/>
              </w:rPr>
            </w:pPr>
            <w:r w:rsidRPr="00182A95">
              <w:rPr>
                <w:rFonts w:ascii="Arial" w:hAnsi="Arial" w:cs="Arial"/>
                <w:sz w:val="16"/>
                <w:szCs w:val="16"/>
              </w:rPr>
              <w:t>Transportation</w:t>
            </w:r>
          </w:p>
        </w:tc>
      </w:tr>
      <w:tr w:rsidR="00182A95" w:rsidRPr="00766319" w14:paraId="4C7740EC" w14:textId="77777777" w:rsidTr="00182A95">
        <w:tblPrEx>
          <w:tblCellMar>
            <w:top w:w="0" w:type="dxa"/>
            <w:bottom w:w="0" w:type="dxa"/>
          </w:tblCellMar>
        </w:tblPrEx>
        <w:trPr>
          <w:cantSplit/>
          <w:jc w:val="center"/>
        </w:trPr>
        <w:tc>
          <w:tcPr>
            <w:tcW w:w="1433" w:type="dxa"/>
            <w:vMerge/>
            <w:tcBorders>
              <w:left w:val="single" w:sz="12" w:space="0" w:color="auto"/>
            </w:tcBorders>
            <w:vAlign w:val="center"/>
          </w:tcPr>
          <w:p w14:paraId="40126D29" w14:textId="77777777" w:rsidR="00182A95" w:rsidRPr="00182A95" w:rsidRDefault="00182A95" w:rsidP="005B6B53">
            <w:pPr>
              <w:jc w:val="right"/>
              <w:rPr>
                <w:rFonts w:ascii="Arial" w:hAnsi="Arial" w:cs="Arial"/>
                <w:sz w:val="16"/>
                <w:szCs w:val="16"/>
              </w:rPr>
            </w:pPr>
          </w:p>
        </w:tc>
        <w:tc>
          <w:tcPr>
            <w:tcW w:w="2612" w:type="dxa"/>
            <w:vAlign w:val="center"/>
          </w:tcPr>
          <w:p w14:paraId="1DF289B9" w14:textId="77777777" w:rsidR="00182A95" w:rsidRPr="00182A95" w:rsidRDefault="00182A95" w:rsidP="005B6B53">
            <w:pPr>
              <w:rPr>
                <w:rFonts w:ascii="Arial" w:hAnsi="Arial" w:cs="Arial"/>
                <w:sz w:val="16"/>
                <w:szCs w:val="16"/>
              </w:rPr>
            </w:pPr>
            <w:r w:rsidRPr="00182A95">
              <w:rPr>
                <w:rFonts w:ascii="Arial" w:hAnsi="Arial" w:cs="Arial"/>
                <w:sz w:val="16"/>
                <w:szCs w:val="16"/>
              </w:rPr>
              <w:t>Education</w:t>
            </w:r>
          </w:p>
        </w:tc>
        <w:tc>
          <w:tcPr>
            <w:tcW w:w="2036" w:type="dxa"/>
            <w:vAlign w:val="center"/>
          </w:tcPr>
          <w:p w14:paraId="7C9A5126" w14:textId="77777777" w:rsidR="00182A95" w:rsidRPr="00182A95" w:rsidRDefault="00182A95" w:rsidP="005B6B53">
            <w:pPr>
              <w:tabs>
                <w:tab w:val="left" w:pos="439"/>
              </w:tabs>
              <w:rPr>
                <w:rFonts w:ascii="Arial" w:hAnsi="Arial" w:cs="Arial"/>
                <w:sz w:val="16"/>
                <w:szCs w:val="16"/>
              </w:rPr>
            </w:pPr>
            <w:r w:rsidRPr="00182A95">
              <w:rPr>
                <w:rFonts w:ascii="Arial" w:hAnsi="Arial" w:cs="Arial"/>
                <w:sz w:val="16"/>
                <w:szCs w:val="16"/>
              </w:rPr>
              <w:t>Education</w:t>
            </w:r>
          </w:p>
        </w:tc>
        <w:tc>
          <w:tcPr>
            <w:tcW w:w="1619" w:type="dxa"/>
            <w:vAlign w:val="center"/>
          </w:tcPr>
          <w:p w14:paraId="472821EE" w14:textId="77777777" w:rsidR="00182A95" w:rsidRPr="00182A95" w:rsidRDefault="00182A95" w:rsidP="00182A95">
            <w:pPr>
              <w:rPr>
                <w:rFonts w:ascii="Arial" w:hAnsi="Arial" w:cs="Arial"/>
                <w:sz w:val="16"/>
                <w:szCs w:val="16"/>
              </w:rPr>
            </w:pPr>
            <w:r w:rsidRPr="00182A95">
              <w:rPr>
                <w:rFonts w:ascii="Arial" w:hAnsi="Arial" w:cs="Arial"/>
                <w:sz w:val="16"/>
                <w:szCs w:val="16"/>
              </w:rPr>
              <w:t>Education</w:t>
            </w:r>
          </w:p>
        </w:tc>
        <w:tc>
          <w:tcPr>
            <w:tcW w:w="1511" w:type="dxa"/>
            <w:tcBorders>
              <w:right w:val="single" w:sz="12" w:space="0" w:color="auto"/>
            </w:tcBorders>
            <w:vAlign w:val="center"/>
          </w:tcPr>
          <w:p w14:paraId="69AA7C81" w14:textId="77777777" w:rsidR="00182A95" w:rsidRPr="00182A95" w:rsidRDefault="00182A95" w:rsidP="00182A95">
            <w:pPr>
              <w:rPr>
                <w:rFonts w:ascii="Arial" w:hAnsi="Arial" w:cs="Arial"/>
                <w:sz w:val="16"/>
                <w:szCs w:val="16"/>
              </w:rPr>
            </w:pPr>
            <w:r w:rsidRPr="00182A95">
              <w:rPr>
                <w:rFonts w:ascii="Arial" w:hAnsi="Arial" w:cs="Arial"/>
                <w:sz w:val="16"/>
                <w:szCs w:val="16"/>
              </w:rPr>
              <w:t>Education</w:t>
            </w:r>
          </w:p>
        </w:tc>
      </w:tr>
      <w:tr w:rsidR="00182A95" w:rsidRPr="00766319" w14:paraId="48AEBA89" w14:textId="77777777" w:rsidTr="00182A95">
        <w:tblPrEx>
          <w:tblCellMar>
            <w:top w:w="0" w:type="dxa"/>
            <w:bottom w:w="0" w:type="dxa"/>
          </w:tblCellMar>
        </w:tblPrEx>
        <w:trPr>
          <w:cantSplit/>
          <w:jc w:val="center"/>
        </w:trPr>
        <w:tc>
          <w:tcPr>
            <w:tcW w:w="1433" w:type="dxa"/>
            <w:vMerge/>
            <w:tcBorders>
              <w:left w:val="single" w:sz="12" w:space="0" w:color="auto"/>
            </w:tcBorders>
            <w:vAlign w:val="center"/>
          </w:tcPr>
          <w:p w14:paraId="16027255" w14:textId="77777777" w:rsidR="00182A95" w:rsidRPr="00182A95" w:rsidRDefault="00182A95" w:rsidP="005B6B53">
            <w:pPr>
              <w:jc w:val="right"/>
              <w:rPr>
                <w:rFonts w:ascii="Arial" w:hAnsi="Arial" w:cs="Arial"/>
                <w:sz w:val="16"/>
                <w:szCs w:val="16"/>
              </w:rPr>
            </w:pPr>
          </w:p>
        </w:tc>
        <w:tc>
          <w:tcPr>
            <w:tcW w:w="2612" w:type="dxa"/>
            <w:vAlign w:val="center"/>
          </w:tcPr>
          <w:p w14:paraId="76E8DD20" w14:textId="77777777" w:rsidR="00182A95" w:rsidRPr="00182A95" w:rsidRDefault="00182A95" w:rsidP="005B6B53">
            <w:pPr>
              <w:rPr>
                <w:rFonts w:ascii="Arial" w:hAnsi="Arial" w:cs="Arial"/>
                <w:sz w:val="16"/>
                <w:szCs w:val="16"/>
              </w:rPr>
            </w:pPr>
            <w:r w:rsidRPr="00182A95">
              <w:rPr>
                <w:rFonts w:ascii="Arial" w:hAnsi="Arial" w:cs="Arial"/>
                <w:sz w:val="16"/>
                <w:szCs w:val="16"/>
              </w:rPr>
              <w:t>Research</w:t>
            </w:r>
          </w:p>
        </w:tc>
        <w:tc>
          <w:tcPr>
            <w:tcW w:w="2036" w:type="dxa"/>
            <w:vAlign w:val="center"/>
          </w:tcPr>
          <w:p w14:paraId="5E7801F2" w14:textId="77777777" w:rsidR="00182A95" w:rsidRPr="00182A95" w:rsidRDefault="00182A95" w:rsidP="005B6B53">
            <w:pPr>
              <w:tabs>
                <w:tab w:val="left" w:pos="439"/>
              </w:tabs>
              <w:rPr>
                <w:rFonts w:ascii="Arial" w:hAnsi="Arial" w:cs="Arial"/>
                <w:sz w:val="16"/>
                <w:szCs w:val="16"/>
              </w:rPr>
            </w:pPr>
            <w:r w:rsidRPr="00182A95">
              <w:rPr>
                <w:rFonts w:ascii="Arial" w:hAnsi="Arial" w:cs="Arial"/>
                <w:sz w:val="16"/>
                <w:szCs w:val="16"/>
              </w:rPr>
              <w:t>Research</w:t>
            </w:r>
          </w:p>
        </w:tc>
        <w:tc>
          <w:tcPr>
            <w:tcW w:w="1619" w:type="dxa"/>
            <w:vAlign w:val="center"/>
          </w:tcPr>
          <w:p w14:paraId="3CEF7B5A" w14:textId="77777777" w:rsidR="00182A95" w:rsidRPr="00182A95" w:rsidRDefault="00182A95" w:rsidP="00182A95">
            <w:pPr>
              <w:rPr>
                <w:rFonts w:ascii="Arial" w:hAnsi="Arial" w:cs="Arial"/>
                <w:sz w:val="16"/>
                <w:szCs w:val="16"/>
              </w:rPr>
            </w:pPr>
            <w:r w:rsidRPr="00182A95">
              <w:rPr>
                <w:rFonts w:ascii="Arial" w:hAnsi="Arial" w:cs="Arial"/>
                <w:sz w:val="16"/>
                <w:szCs w:val="16"/>
              </w:rPr>
              <w:t>Research</w:t>
            </w:r>
          </w:p>
        </w:tc>
        <w:tc>
          <w:tcPr>
            <w:tcW w:w="1511" w:type="dxa"/>
            <w:tcBorders>
              <w:right w:val="single" w:sz="12" w:space="0" w:color="auto"/>
            </w:tcBorders>
            <w:vAlign w:val="center"/>
          </w:tcPr>
          <w:p w14:paraId="4A5C0EC0" w14:textId="77777777" w:rsidR="00182A95" w:rsidRPr="00182A95" w:rsidRDefault="00182A95" w:rsidP="00182A95">
            <w:pPr>
              <w:rPr>
                <w:rFonts w:ascii="Arial" w:hAnsi="Arial" w:cs="Arial"/>
                <w:sz w:val="16"/>
                <w:szCs w:val="16"/>
              </w:rPr>
            </w:pPr>
            <w:r w:rsidRPr="00182A95">
              <w:rPr>
                <w:rFonts w:ascii="Arial" w:hAnsi="Arial" w:cs="Arial"/>
                <w:sz w:val="16"/>
                <w:szCs w:val="16"/>
              </w:rPr>
              <w:t>Research</w:t>
            </w:r>
          </w:p>
        </w:tc>
      </w:tr>
      <w:tr w:rsidR="00182A95" w:rsidRPr="00766319" w14:paraId="22864E64" w14:textId="77777777" w:rsidTr="00182A95">
        <w:tblPrEx>
          <w:tblCellMar>
            <w:top w:w="0" w:type="dxa"/>
            <w:bottom w:w="0" w:type="dxa"/>
          </w:tblCellMar>
        </w:tblPrEx>
        <w:trPr>
          <w:cantSplit/>
          <w:jc w:val="center"/>
        </w:trPr>
        <w:tc>
          <w:tcPr>
            <w:tcW w:w="1433" w:type="dxa"/>
            <w:vMerge/>
            <w:tcBorders>
              <w:left w:val="single" w:sz="12" w:space="0" w:color="auto"/>
            </w:tcBorders>
            <w:vAlign w:val="center"/>
          </w:tcPr>
          <w:p w14:paraId="7236EAFD" w14:textId="77777777" w:rsidR="00182A95" w:rsidRPr="00182A95" w:rsidRDefault="00182A95" w:rsidP="005B6B53">
            <w:pPr>
              <w:jc w:val="right"/>
              <w:rPr>
                <w:rFonts w:ascii="Arial" w:hAnsi="Arial" w:cs="Arial"/>
                <w:sz w:val="16"/>
                <w:szCs w:val="16"/>
              </w:rPr>
            </w:pPr>
          </w:p>
        </w:tc>
        <w:tc>
          <w:tcPr>
            <w:tcW w:w="2612" w:type="dxa"/>
            <w:vAlign w:val="center"/>
          </w:tcPr>
          <w:p w14:paraId="3FE1E837" w14:textId="77777777" w:rsidR="00182A95" w:rsidRPr="00182A95" w:rsidRDefault="00182A95" w:rsidP="005B6B53">
            <w:pPr>
              <w:rPr>
                <w:rFonts w:ascii="Arial" w:hAnsi="Arial" w:cs="Arial"/>
                <w:sz w:val="16"/>
                <w:szCs w:val="16"/>
              </w:rPr>
            </w:pPr>
            <w:r w:rsidRPr="00182A95">
              <w:rPr>
                <w:rFonts w:ascii="Arial" w:hAnsi="Arial" w:cs="Arial"/>
                <w:sz w:val="16"/>
                <w:szCs w:val="16"/>
              </w:rPr>
              <w:t>Fish culture</w:t>
            </w:r>
          </w:p>
        </w:tc>
        <w:tc>
          <w:tcPr>
            <w:tcW w:w="2036" w:type="dxa"/>
            <w:vMerge w:val="restart"/>
            <w:vAlign w:val="center"/>
          </w:tcPr>
          <w:p w14:paraId="58966D01" w14:textId="77777777" w:rsidR="00182A95" w:rsidRPr="00182A95" w:rsidRDefault="00182A95" w:rsidP="005B6B53">
            <w:pPr>
              <w:tabs>
                <w:tab w:val="left" w:pos="439"/>
              </w:tabs>
              <w:rPr>
                <w:rFonts w:ascii="Arial" w:hAnsi="Arial" w:cs="Arial"/>
                <w:sz w:val="16"/>
                <w:szCs w:val="16"/>
              </w:rPr>
            </w:pPr>
            <w:r w:rsidRPr="00182A95">
              <w:rPr>
                <w:rFonts w:ascii="Arial" w:hAnsi="Arial" w:cs="Arial"/>
                <w:sz w:val="16"/>
                <w:szCs w:val="16"/>
              </w:rPr>
              <w:t>Mariculture</w:t>
            </w:r>
          </w:p>
        </w:tc>
        <w:tc>
          <w:tcPr>
            <w:tcW w:w="1619" w:type="dxa"/>
            <w:vAlign w:val="center"/>
          </w:tcPr>
          <w:p w14:paraId="1DE0B634" w14:textId="77777777" w:rsidR="00182A95" w:rsidRPr="00182A95" w:rsidRDefault="00182A95" w:rsidP="00182A95">
            <w:pPr>
              <w:rPr>
                <w:rFonts w:ascii="Arial" w:hAnsi="Arial" w:cs="Arial"/>
                <w:sz w:val="16"/>
                <w:szCs w:val="16"/>
              </w:rPr>
            </w:pPr>
          </w:p>
        </w:tc>
        <w:tc>
          <w:tcPr>
            <w:tcW w:w="1511" w:type="dxa"/>
            <w:tcBorders>
              <w:right w:val="single" w:sz="12" w:space="0" w:color="auto"/>
            </w:tcBorders>
            <w:vAlign w:val="center"/>
          </w:tcPr>
          <w:p w14:paraId="50BA9F83" w14:textId="77777777" w:rsidR="00182A95" w:rsidRPr="00182A95" w:rsidRDefault="00182A95" w:rsidP="00182A95">
            <w:pPr>
              <w:rPr>
                <w:rFonts w:ascii="Arial" w:hAnsi="Arial" w:cs="Arial"/>
                <w:sz w:val="16"/>
                <w:szCs w:val="16"/>
              </w:rPr>
            </w:pPr>
            <w:r w:rsidRPr="00182A95">
              <w:rPr>
                <w:rFonts w:ascii="Arial" w:hAnsi="Arial" w:cs="Arial"/>
                <w:sz w:val="16"/>
                <w:szCs w:val="16"/>
              </w:rPr>
              <w:t>Agriculture</w:t>
            </w:r>
          </w:p>
        </w:tc>
      </w:tr>
      <w:tr w:rsidR="00182A95" w:rsidRPr="00766319" w14:paraId="1D1261E4" w14:textId="77777777" w:rsidTr="00182A95">
        <w:tblPrEx>
          <w:tblCellMar>
            <w:top w:w="0" w:type="dxa"/>
            <w:bottom w:w="0" w:type="dxa"/>
          </w:tblCellMar>
        </w:tblPrEx>
        <w:trPr>
          <w:cantSplit/>
          <w:jc w:val="center"/>
        </w:trPr>
        <w:tc>
          <w:tcPr>
            <w:tcW w:w="1433" w:type="dxa"/>
            <w:vMerge/>
            <w:tcBorders>
              <w:left w:val="single" w:sz="12" w:space="0" w:color="auto"/>
            </w:tcBorders>
            <w:vAlign w:val="center"/>
          </w:tcPr>
          <w:p w14:paraId="157A1817" w14:textId="77777777" w:rsidR="00182A95" w:rsidRPr="00182A95" w:rsidRDefault="00182A95" w:rsidP="005B6B53">
            <w:pPr>
              <w:jc w:val="right"/>
              <w:rPr>
                <w:rFonts w:ascii="Arial" w:hAnsi="Arial" w:cs="Arial"/>
                <w:sz w:val="16"/>
                <w:szCs w:val="16"/>
              </w:rPr>
            </w:pPr>
          </w:p>
        </w:tc>
        <w:tc>
          <w:tcPr>
            <w:tcW w:w="2612" w:type="dxa"/>
            <w:vAlign w:val="center"/>
          </w:tcPr>
          <w:p w14:paraId="07FAE1F5" w14:textId="77777777" w:rsidR="00182A95" w:rsidRPr="00182A95" w:rsidRDefault="00182A95" w:rsidP="005B6B53">
            <w:pPr>
              <w:rPr>
                <w:rFonts w:ascii="Arial" w:hAnsi="Arial" w:cs="Arial"/>
                <w:sz w:val="16"/>
                <w:szCs w:val="16"/>
              </w:rPr>
            </w:pPr>
            <w:r w:rsidRPr="00182A95">
              <w:rPr>
                <w:rFonts w:ascii="Arial" w:hAnsi="Arial" w:cs="Arial"/>
                <w:sz w:val="16"/>
                <w:szCs w:val="16"/>
              </w:rPr>
              <w:t>Crab culture</w:t>
            </w:r>
          </w:p>
        </w:tc>
        <w:tc>
          <w:tcPr>
            <w:tcW w:w="2036" w:type="dxa"/>
            <w:vMerge/>
            <w:vAlign w:val="center"/>
          </w:tcPr>
          <w:p w14:paraId="3EBB1EF0" w14:textId="77777777" w:rsidR="00182A95" w:rsidRPr="00182A95" w:rsidRDefault="00182A95" w:rsidP="005B6B53">
            <w:pPr>
              <w:tabs>
                <w:tab w:val="left" w:pos="439"/>
              </w:tabs>
              <w:rPr>
                <w:rFonts w:ascii="Arial" w:hAnsi="Arial" w:cs="Arial"/>
                <w:sz w:val="16"/>
                <w:szCs w:val="16"/>
              </w:rPr>
            </w:pPr>
          </w:p>
        </w:tc>
        <w:tc>
          <w:tcPr>
            <w:tcW w:w="1619" w:type="dxa"/>
            <w:vAlign w:val="center"/>
          </w:tcPr>
          <w:p w14:paraId="2B9EBA1A" w14:textId="77777777" w:rsidR="00182A95" w:rsidRPr="00182A95" w:rsidRDefault="00182A95" w:rsidP="005B6B53">
            <w:pPr>
              <w:rPr>
                <w:rFonts w:ascii="Arial" w:hAnsi="Arial" w:cs="Arial"/>
                <w:sz w:val="16"/>
                <w:szCs w:val="16"/>
              </w:rPr>
            </w:pPr>
          </w:p>
        </w:tc>
        <w:tc>
          <w:tcPr>
            <w:tcW w:w="1511" w:type="dxa"/>
            <w:tcBorders>
              <w:right w:val="single" w:sz="12" w:space="0" w:color="auto"/>
            </w:tcBorders>
            <w:vAlign w:val="center"/>
          </w:tcPr>
          <w:p w14:paraId="035633EB" w14:textId="77777777" w:rsidR="00182A95" w:rsidRPr="00182A95" w:rsidRDefault="00182A95" w:rsidP="00182A95">
            <w:pPr>
              <w:rPr>
                <w:rFonts w:ascii="Arial" w:hAnsi="Arial" w:cs="Arial"/>
                <w:sz w:val="16"/>
                <w:szCs w:val="16"/>
              </w:rPr>
            </w:pPr>
            <w:r w:rsidRPr="00182A95">
              <w:rPr>
                <w:rFonts w:ascii="Arial" w:hAnsi="Arial" w:cs="Arial"/>
                <w:sz w:val="16"/>
                <w:szCs w:val="16"/>
              </w:rPr>
              <w:t>Aquaculture</w:t>
            </w:r>
          </w:p>
        </w:tc>
      </w:tr>
      <w:tr w:rsidR="00182A95" w:rsidRPr="00766319" w14:paraId="2899958A" w14:textId="77777777" w:rsidTr="00182A95">
        <w:tblPrEx>
          <w:tblCellMar>
            <w:top w:w="0" w:type="dxa"/>
            <w:bottom w:w="0" w:type="dxa"/>
          </w:tblCellMar>
        </w:tblPrEx>
        <w:trPr>
          <w:cantSplit/>
          <w:jc w:val="center"/>
        </w:trPr>
        <w:tc>
          <w:tcPr>
            <w:tcW w:w="1433" w:type="dxa"/>
            <w:vMerge/>
            <w:tcBorders>
              <w:left w:val="single" w:sz="12" w:space="0" w:color="auto"/>
            </w:tcBorders>
            <w:vAlign w:val="center"/>
          </w:tcPr>
          <w:p w14:paraId="65421F0C" w14:textId="77777777" w:rsidR="00182A95" w:rsidRPr="00182A95" w:rsidRDefault="00182A95" w:rsidP="005B6B53">
            <w:pPr>
              <w:jc w:val="right"/>
              <w:rPr>
                <w:rFonts w:ascii="Arial" w:hAnsi="Arial" w:cs="Arial"/>
                <w:sz w:val="16"/>
                <w:szCs w:val="16"/>
              </w:rPr>
            </w:pPr>
          </w:p>
        </w:tc>
        <w:tc>
          <w:tcPr>
            <w:tcW w:w="2612" w:type="dxa"/>
            <w:vAlign w:val="center"/>
          </w:tcPr>
          <w:p w14:paraId="34AE0A8B" w14:textId="77777777" w:rsidR="00182A95" w:rsidRPr="00182A95" w:rsidRDefault="00182A95" w:rsidP="005B6B53">
            <w:pPr>
              <w:rPr>
                <w:rFonts w:ascii="Arial" w:hAnsi="Arial" w:cs="Arial"/>
                <w:sz w:val="16"/>
                <w:szCs w:val="16"/>
              </w:rPr>
            </w:pPr>
            <w:r w:rsidRPr="00182A95">
              <w:rPr>
                <w:rFonts w:ascii="Arial" w:hAnsi="Arial" w:cs="Arial"/>
                <w:sz w:val="16"/>
                <w:szCs w:val="16"/>
              </w:rPr>
              <w:t>Prawn culture</w:t>
            </w:r>
          </w:p>
        </w:tc>
        <w:tc>
          <w:tcPr>
            <w:tcW w:w="2036" w:type="dxa"/>
            <w:vMerge/>
            <w:vAlign w:val="center"/>
          </w:tcPr>
          <w:p w14:paraId="13D741A7" w14:textId="77777777" w:rsidR="00182A95" w:rsidRPr="00182A95" w:rsidRDefault="00182A95" w:rsidP="005B6B53">
            <w:pPr>
              <w:tabs>
                <w:tab w:val="left" w:pos="439"/>
              </w:tabs>
              <w:rPr>
                <w:rFonts w:ascii="Arial" w:hAnsi="Arial" w:cs="Arial"/>
                <w:sz w:val="16"/>
                <w:szCs w:val="16"/>
              </w:rPr>
            </w:pPr>
          </w:p>
        </w:tc>
        <w:tc>
          <w:tcPr>
            <w:tcW w:w="1619" w:type="dxa"/>
            <w:vAlign w:val="center"/>
          </w:tcPr>
          <w:p w14:paraId="43FE5E43" w14:textId="77777777" w:rsidR="00182A95" w:rsidRPr="00182A95" w:rsidRDefault="00182A95" w:rsidP="005B6B53">
            <w:pPr>
              <w:rPr>
                <w:rFonts w:ascii="Arial" w:hAnsi="Arial" w:cs="Arial"/>
                <w:sz w:val="16"/>
                <w:szCs w:val="16"/>
              </w:rPr>
            </w:pPr>
          </w:p>
        </w:tc>
        <w:tc>
          <w:tcPr>
            <w:tcW w:w="1511" w:type="dxa"/>
            <w:tcBorders>
              <w:right w:val="single" w:sz="12" w:space="0" w:color="auto"/>
            </w:tcBorders>
            <w:vAlign w:val="center"/>
          </w:tcPr>
          <w:p w14:paraId="10730BD5" w14:textId="77777777" w:rsidR="00182A95" w:rsidRPr="00182A95" w:rsidRDefault="00182A95" w:rsidP="005B6B53">
            <w:pPr>
              <w:rPr>
                <w:rFonts w:ascii="Arial" w:hAnsi="Arial" w:cs="Arial"/>
                <w:sz w:val="16"/>
                <w:szCs w:val="16"/>
              </w:rPr>
            </w:pPr>
          </w:p>
        </w:tc>
      </w:tr>
      <w:tr w:rsidR="00182A95" w:rsidRPr="00766319" w14:paraId="1BDD117D" w14:textId="77777777" w:rsidTr="00182A95">
        <w:tblPrEx>
          <w:tblCellMar>
            <w:top w:w="0" w:type="dxa"/>
            <w:bottom w:w="0" w:type="dxa"/>
          </w:tblCellMar>
        </w:tblPrEx>
        <w:trPr>
          <w:cantSplit/>
          <w:trHeight w:val="195"/>
          <w:jc w:val="center"/>
        </w:trPr>
        <w:tc>
          <w:tcPr>
            <w:tcW w:w="1433" w:type="dxa"/>
            <w:vMerge/>
            <w:tcBorders>
              <w:left w:val="single" w:sz="12" w:space="0" w:color="auto"/>
              <w:bottom w:val="single" w:sz="12" w:space="0" w:color="auto"/>
            </w:tcBorders>
            <w:vAlign w:val="center"/>
          </w:tcPr>
          <w:p w14:paraId="270A9A96" w14:textId="77777777" w:rsidR="00182A95" w:rsidRPr="00182A95" w:rsidRDefault="00182A95" w:rsidP="005B6B53">
            <w:pPr>
              <w:jc w:val="right"/>
              <w:rPr>
                <w:rFonts w:ascii="Arial" w:hAnsi="Arial" w:cs="Arial"/>
                <w:sz w:val="16"/>
                <w:szCs w:val="16"/>
              </w:rPr>
            </w:pPr>
          </w:p>
        </w:tc>
        <w:tc>
          <w:tcPr>
            <w:tcW w:w="2612" w:type="dxa"/>
            <w:tcBorders>
              <w:bottom w:val="single" w:sz="12" w:space="0" w:color="auto"/>
            </w:tcBorders>
            <w:vAlign w:val="center"/>
          </w:tcPr>
          <w:p w14:paraId="5CD942F5" w14:textId="77777777" w:rsidR="00182A95" w:rsidRPr="00182A95" w:rsidRDefault="00182A95" w:rsidP="005B6B53">
            <w:pPr>
              <w:rPr>
                <w:rFonts w:ascii="Arial" w:hAnsi="Arial" w:cs="Arial"/>
                <w:sz w:val="16"/>
                <w:szCs w:val="16"/>
              </w:rPr>
            </w:pPr>
            <w:r w:rsidRPr="00182A95">
              <w:rPr>
                <w:rFonts w:ascii="Arial" w:hAnsi="Arial" w:cs="Arial"/>
                <w:sz w:val="16"/>
                <w:szCs w:val="16"/>
              </w:rPr>
              <w:t>Other aquaculture (pearls)</w:t>
            </w:r>
          </w:p>
        </w:tc>
        <w:tc>
          <w:tcPr>
            <w:tcW w:w="2036" w:type="dxa"/>
            <w:vMerge/>
            <w:tcBorders>
              <w:bottom w:val="single" w:sz="12" w:space="0" w:color="auto"/>
            </w:tcBorders>
            <w:vAlign w:val="center"/>
          </w:tcPr>
          <w:p w14:paraId="15EAA260" w14:textId="77777777" w:rsidR="00182A95" w:rsidRPr="00182A95" w:rsidRDefault="00182A95" w:rsidP="005B6B53">
            <w:pPr>
              <w:tabs>
                <w:tab w:val="left" w:pos="439"/>
              </w:tabs>
              <w:rPr>
                <w:rFonts w:ascii="Arial" w:hAnsi="Arial" w:cs="Arial"/>
                <w:sz w:val="16"/>
                <w:szCs w:val="16"/>
              </w:rPr>
            </w:pPr>
          </w:p>
        </w:tc>
        <w:tc>
          <w:tcPr>
            <w:tcW w:w="1619" w:type="dxa"/>
            <w:tcBorders>
              <w:bottom w:val="single" w:sz="12" w:space="0" w:color="auto"/>
            </w:tcBorders>
            <w:vAlign w:val="center"/>
          </w:tcPr>
          <w:p w14:paraId="6563E988" w14:textId="77777777" w:rsidR="00182A95" w:rsidRPr="00182A95" w:rsidRDefault="00182A95" w:rsidP="005B6B53">
            <w:pPr>
              <w:rPr>
                <w:rFonts w:ascii="Arial" w:hAnsi="Arial" w:cs="Arial"/>
                <w:sz w:val="16"/>
                <w:szCs w:val="16"/>
              </w:rPr>
            </w:pPr>
          </w:p>
        </w:tc>
        <w:tc>
          <w:tcPr>
            <w:tcW w:w="1511" w:type="dxa"/>
            <w:tcBorders>
              <w:bottom w:val="single" w:sz="12" w:space="0" w:color="auto"/>
              <w:right w:val="single" w:sz="12" w:space="0" w:color="auto"/>
            </w:tcBorders>
            <w:vAlign w:val="center"/>
          </w:tcPr>
          <w:p w14:paraId="4502EA23" w14:textId="77777777" w:rsidR="00182A95" w:rsidRPr="00182A95" w:rsidRDefault="00182A95" w:rsidP="005B6B53">
            <w:pPr>
              <w:rPr>
                <w:rFonts w:ascii="Arial" w:hAnsi="Arial" w:cs="Arial"/>
                <w:sz w:val="16"/>
                <w:szCs w:val="16"/>
              </w:rPr>
            </w:pPr>
          </w:p>
        </w:tc>
      </w:tr>
    </w:tbl>
    <w:p w14:paraId="0AF4BAE9" w14:textId="77777777" w:rsidR="00182A95" w:rsidRPr="00766319" w:rsidRDefault="00182A95" w:rsidP="00182A95">
      <w:pPr>
        <w:snapToGrid w:val="0"/>
        <w:jc w:val="both"/>
        <w:rPr>
          <w:bCs/>
        </w:rPr>
      </w:pPr>
    </w:p>
    <w:p w14:paraId="69B32F98" w14:textId="77777777" w:rsidR="00182A95" w:rsidRPr="00925148" w:rsidRDefault="00182A95" w:rsidP="00182A95">
      <w:pPr>
        <w:numPr>
          <w:ilvl w:val="0"/>
          <w:numId w:val="3"/>
        </w:numPr>
        <w:spacing w:after="120"/>
        <w:ind w:left="0" w:firstLine="0"/>
        <w:jc w:val="both"/>
        <w:rPr>
          <w:bCs/>
          <w:sz w:val="22"/>
          <w:szCs w:val="22"/>
        </w:rPr>
      </w:pPr>
      <w:r w:rsidRPr="00925148">
        <w:rPr>
          <w:bCs/>
          <w:sz w:val="22"/>
          <w:szCs w:val="22"/>
        </w:rPr>
        <w:t xml:space="preserve">Similarly, the direct uses of many secondary producers dependent upon the mangrove primary production are widespread throughout the region. The mud-crab </w:t>
      </w:r>
      <w:r w:rsidRPr="00925148">
        <w:rPr>
          <w:bCs/>
          <w:i/>
          <w:iCs/>
          <w:sz w:val="22"/>
          <w:szCs w:val="22"/>
        </w:rPr>
        <w:t xml:space="preserve">(Scylla </w:t>
      </w:r>
      <w:r w:rsidRPr="00925148">
        <w:rPr>
          <w:bCs/>
          <w:sz w:val="22"/>
          <w:szCs w:val="22"/>
        </w:rPr>
        <w:t>spp.</w:t>
      </w:r>
      <w:r w:rsidRPr="00925148">
        <w:rPr>
          <w:bCs/>
          <w:i/>
          <w:iCs/>
          <w:sz w:val="22"/>
          <w:szCs w:val="22"/>
        </w:rPr>
        <w:t xml:space="preserve">) </w:t>
      </w:r>
      <w:r w:rsidRPr="00925148">
        <w:rPr>
          <w:bCs/>
          <w:sz w:val="22"/>
          <w:szCs w:val="22"/>
        </w:rPr>
        <w:t xml:space="preserve">penaeid shrimp, and a wide variety of fish and shell-fish, such as </w:t>
      </w:r>
      <w:r w:rsidRPr="00925148">
        <w:rPr>
          <w:bCs/>
          <w:i/>
          <w:iCs/>
          <w:sz w:val="22"/>
          <w:szCs w:val="22"/>
        </w:rPr>
        <w:t>Crassostrea</w:t>
      </w:r>
      <w:r w:rsidRPr="00925148">
        <w:rPr>
          <w:bCs/>
          <w:sz w:val="22"/>
          <w:szCs w:val="22"/>
        </w:rPr>
        <w:t xml:space="preserve"> species, are exploited wherever they are found. The mangrove clam </w:t>
      </w:r>
      <w:r w:rsidRPr="00925148">
        <w:rPr>
          <w:bCs/>
          <w:i/>
          <w:iCs/>
          <w:sz w:val="22"/>
          <w:szCs w:val="22"/>
        </w:rPr>
        <w:t>Geloina coaxans</w:t>
      </w:r>
      <w:r w:rsidRPr="00925148">
        <w:rPr>
          <w:bCs/>
          <w:sz w:val="22"/>
          <w:szCs w:val="22"/>
        </w:rPr>
        <w:t xml:space="preserve"> and the cockle </w:t>
      </w:r>
      <w:r w:rsidRPr="00925148">
        <w:rPr>
          <w:bCs/>
          <w:i/>
          <w:iCs/>
          <w:sz w:val="22"/>
          <w:szCs w:val="22"/>
        </w:rPr>
        <w:t>Anadara granosa</w:t>
      </w:r>
      <w:r w:rsidRPr="00925148">
        <w:rPr>
          <w:bCs/>
          <w:sz w:val="22"/>
          <w:szCs w:val="22"/>
        </w:rPr>
        <w:t xml:space="preserve"> are eaten throughout the region and are found in muddy substrates, often in close proximity to mangrove areas. In some locations specific organisms are exploited depending upon their distribution and abundance. Hence mangroves backed by freshwater swamp forest often provide abundant wildlife, while honey, sipunculid worms, insect larvae, jellyfish, and in some rare instances zooplankton are directly exploited in mangrove areas. In Trat Province, Thailand, Sesarmid crabs are exploited in the back mangroves for production of “pickled” crabs, an essential ingredient of “</w:t>
      </w:r>
      <w:r w:rsidRPr="00925148">
        <w:rPr>
          <w:bCs/>
          <w:i/>
          <w:iCs/>
          <w:sz w:val="22"/>
          <w:szCs w:val="22"/>
        </w:rPr>
        <w:t>Som Tham</w:t>
      </w:r>
      <w:r w:rsidRPr="00925148">
        <w:rPr>
          <w:bCs/>
          <w:sz w:val="22"/>
          <w:szCs w:val="22"/>
        </w:rPr>
        <w:t>”, green papaya salad.</w:t>
      </w:r>
    </w:p>
    <w:p w14:paraId="1A35C7D7" w14:textId="77777777" w:rsidR="00182A95" w:rsidRPr="00925148" w:rsidRDefault="00182A95" w:rsidP="00182A95">
      <w:pPr>
        <w:numPr>
          <w:ilvl w:val="0"/>
          <w:numId w:val="3"/>
        </w:numPr>
        <w:spacing w:after="120"/>
        <w:ind w:left="0" w:firstLine="0"/>
        <w:jc w:val="both"/>
        <w:rPr>
          <w:bCs/>
          <w:sz w:val="22"/>
          <w:szCs w:val="22"/>
        </w:rPr>
      </w:pPr>
      <w:r w:rsidRPr="00925148">
        <w:rPr>
          <w:bCs/>
          <w:sz w:val="22"/>
          <w:szCs w:val="22"/>
        </w:rPr>
        <w:t xml:space="preserve">Widespread non-extractive uses of mangroves include their use as venues for tourism and recreation, educational and research purposes, and for various types of mariculture of fish, crabs and prawns in the creeks that meander through mangroves, or in the ocean in front of mangrove areas that do not involve destruction or clearance of the mangrove forest itself. In China, pearl farming takes place along the South China Sea coastline, and the quality and quantity of pearls produced can be directly related to the presence or absence of mangroves along the adjacent coast. Tourism activities include kayaking along the mangrove-lined creeks and nocturnal visits to observe fireflies. Local authorities and community groups in many areas have now constructed boardwalks through the mangroves allowing easy access for both tourists and school parties. </w:t>
      </w:r>
    </w:p>
    <w:p w14:paraId="1C4052FB" w14:textId="77777777" w:rsidR="00182A95" w:rsidRPr="00925148" w:rsidRDefault="00182A95" w:rsidP="00182A95">
      <w:pPr>
        <w:numPr>
          <w:ilvl w:val="0"/>
          <w:numId w:val="3"/>
        </w:numPr>
        <w:spacing w:after="120"/>
        <w:ind w:left="0" w:firstLine="0"/>
        <w:jc w:val="both"/>
        <w:rPr>
          <w:bCs/>
          <w:sz w:val="22"/>
          <w:szCs w:val="22"/>
        </w:rPr>
      </w:pPr>
      <w:r w:rsidRPr="00925148">
        <w:rPr>
          <w:bCs/>
          <w:sz w:val="22"/>
          <w:szCs w:val="22"/>
        </w:rPr>
        <w:t xml:space="preserve">In addition to the direct use of mangrove habitats and their associated resources, mangroves provide a number of environmental and biological services, whilst some areas have particular social, cultural or historical significance, all of these attributes must be valued if a total economic value for a particular mangrove area is to be determined. The importance of mangroves to shoreline protection, prevention of erosion, and flood protection, has been well demonstrated by the impacts of the 2005 tsunami, which were more pronounced in coastal areas where vegetation had been cleared than in areas where intact mangrove stands remained. Where the inputs of allocthonous (land-derived) sediments are high, mangroves may in some instances trap sufficient sediment to cause shoreline accretion and an increase in land area. In addition, mangrove forests provide protection against strong winds, including typhoons, and sequester carbon in the accumulating anaerobic soils and as a temporary sink in the biomass of the trees themselves. </w:t>
      </w:r>
    </w:p>
    <w:p w14:paraId="6ABC32C9" w14:textId="77777777" w:rsidR="000143D3" w:rsidRPr="00925148" w:rsidRDefault="000143D3" w:rsidP="000143D3">
      <w:pPr>
        <w:numPr>
          <w:ilvl w:val="0"/>
          <w:numId w:val="3"/>
        </w:numPr>
        <w:spacing w:after="120"/>
        <w:ind w:left="0" w:firstLine="0"/>
        <w:jc w:val="both"/>
        <w:rPr>
          <w:bCs/>
          <w:sz w:val="22"/>
          <w:szCs w:val="22"/>
        </w:rPr>
      </w:pPr>
      <w:r w:rsidRPr="00925148">
        <w:rPr>
          <w:bCs/>
          <w:sz w:val="22"/>
          <w:szCs w:val="22"/>
        </w:rPr>
        <w:t xml:space="preserve">The role of mangroves as a natural filter for land-based materials results from the trapping of fine suspended sediments, and their removal from the water column, as a consequence of the physical slowing of water flow through the mangrove root systems. This leads ultimately to both upward and seaward accretion of the land surface and to, less turbid water immediately in front of mangrove stands. Not only is the suspended sediment trapped within the mangrove system but adsorbed and associated contaminants are trapped leading to an overall improvement in coastal water quality. In addition, mangroves remove nutrients from the water column. </w:t>
      </w:r>
    </w:p>
    <w:p w14:paraId="50F52D6C" w14:textId="77777777" w:rsidR="000143D3" w:rsidRPr="00925148" w:rsidRDefault="000143D3" w:rsidP="000143D3">
      <w:pPr>
        <w:numPr>
          <w:ilvl w:val="0"/>
          <w:numId w:val="3"/>
        </w:numPr>
        <w:spacing w:after="120"/>
        <w:ind w:left="0" w:firstLine="0"/>
        <w:jc w:val="both"/>
        <w:rPr>
          <w:bCs/>
          <w:sz w:val="22"/>
          <w:szCs w:val="22"/>
        </w:rPr>
      </w:pPr>
      <w:r w:rsidRPr="00925148">
        <w:rPr>
          <w:bCs/>
          <w:sz w:val="22"/>
          <w:szCs w:val="22"/>
        </w:rPr>
        <w:t>Mangroves serve as nursery and spawning grounds for a number of marine fish and penaeid shrimps and the volume of the off-shore trawl catch of shrimp can be directly related to the area of mangroves on the adjacent shoreline. Juveniles of the giant freshwater prawn (</w:t>
      </w:r>
      <w:r w:rsidRPr="00925148">
        <w:rPr>
          <w:bCs/>
          <w:i/>
          <w:iCs/>
          <w:sz w:val="22"/>
          <w:szCs w:val="22"/>
        </w:rPr>
        <w:t xml:space="preserve">Macrobrachium </w:t>
      </w:r>
      <w:r w:rsidRPr="00925148">
        <w:rPr>
          <w:bCs/>
          <w:sz w:val="22"/>
          <w:szCs w:val="22"/>
        </w:rPr>
        <w:t>spp.</w:t>
      </w:r>
      <w:r w:rsidRPr="00925148">
        <w:rPr>
          <w:bCs/>
          <w:i/>
          <w:iCs/>
          <w:sz w:val="22"/>
          <w:szCs w:val="22"/>
        </w:rPr>
        <w:t xml:space="preserve">) </w:t>
      </w:r>
      <w:r w:rsidRPr="00925148">
        <w:rPr>
          <w:bCs/>
          <w:sz w:val="22"/>
          <w:szCs w:val="22"/>
        </w:rPr>
        <w:t xml:space="preserve">may be found in the landward margins of mangrove swamps. Estuarine fish of subsistence and commercial significance in the region include the milk-fish, </w:t>
      </w:r>
      <w:r w:rsidRPr="00925148">
        <w:rPr>
          <w:bCs/>
          <w:i/>
          <w:iCs/>
          <w:sz w:val="22"/>
          <w:szCs w:val="22"/>
        </w:rPr>
        <w:t>Chanos chanos</w:t>
      </w:r>
      <w:r w:rsidRPr="00925148">
        <w:rPr>
          <w:bCs/>
          <w:sz w:val="22"/>
          <w:szCs w:val="22"/>
        </w:rPr>
        <w:t xml:space="preserve"> and the Barramundi or sea bass, </w:t>
      </w:r>
      <w:r w:rsidRPr="00925148">
        <w:rPr>
          <w:bCs/>
          <w:i/>
          <w:iCs/>
          <w:sz w:val="22"/>
          <w:szCs w:val="22"/>
        </w:rPr>
        <w:t>Lates calcarifer.</w:t>
      </w:r>
      <w:r w:rsidRPr="00925148">
        <w:rPr>
          <w:bCs/>
          <w:sz w:val="22"/>
          <w:szCs w:val="22"/>
        </w:rPr>
        <w:t xml:space="preserve"> In terms of their services to biological diversity mangroves provide habitat to both endangered and migratory species of birds, and in some areas land vertebrates including reptiles such as the estuarine or salt-water crocodile. The diversity of true and associated mangroves species is higher around the margins of the South China Sea than anywhere else world-wide. In some specific locations mangroves have particular social or cultural significance as for example in the vicinity of Fangchenggang, China where mature, </w:t>
      </w:r>
      <w:r w:rsidRPr="00925148">
        <w:rPr>
          <w:bCs/>
          <w:i/>
          <w:iCs/>
          <w:sz w:val="22"/>
          <w:szCs w:val="22"/>
        </w:rPr>
        <w:t>Avicennia marina</w:t>
      </w:r>
      <w:r w:rsidRPr="00925148">
        <w:rPr>
          <w:bCs/>
          <w:sz w:val="22"/>
          <w:szCs w:val="22"/>
        </w:rPr>
        <w:t xml:space="preserve"> are conserved by, the local communities, due to their Feng Shui properties.</w:t>
      </w:r>
    </w:p>
    <w:p w14:paraId="68DC715B" w14:textId="77777777" w:rsidR="00EF7288" w:rsidRPr="00925148" w:rsidRDefault="00F75BCA" w:rsidP="00EF7288">
      <w:pPr>
        <w:spacing w:after="120"/>
        <w:jc w:val="both"/>
        <w:rPr>
          <w:b/>
          <w:bCs/>
          <w:i/>
          <w:sz w:val="22"/>
          <w:szCs w:val="22"/>
        </w:rPr>
      </w:pPr>
      <w:r>
        <w:rPr>
          <w:b/>
          <w:bCs/>
          <w:i/>
          <w:sz w:val="22"/>
          <w:szCs w:val="22"/>
        </w:rPr>
        <w:t>Coral reef goods and services</w:t>
      </w:r>
    </w:p>
    <w:p w14:paraId="6BF5AA30" w14:textId="77777777" w:rsidR="002E0625" w:rsidRPr="00925148" w:rsidRDefault="002E0625" w:rsidP="002E0625">
      <w:pPr>
        <w:numPr>
          <w:ilvl w:val="0"/>
          <w:numId w:val="3"/>
        </w:numPr>
        <w:spacing w:after="120"/>
        <w:ind w:left="0" w:firstLine="0"/>
        <w:jc w:val="both"/>
        <w:rPr>
          <w:sz w:val="22"/>
          <w:szCs w:val="22"/>
          <w:lang w:val="en-GB"/>
        </w:rPr>
      </w:pPr>
      <w:r w:rsidRPr="00925148">
        <w:rPr>
          <w:sz w:val="22"/>
          <w:szCs w:val="22"/>
          <w:lang w:val="en-GB"/>
        </w:rPr>
        <w:t xml:space="preserve">Coral reefs are one of the most biologically diverse shallow water marine habitats in the world, and are host to an extraordinary variety of marine plants and animals. Coral reefs provide essential fish habitats, support endangered and threatened species, and serve as nursery and spawning areas for a variety of species. They are a significant source of food, provide income and employment through tourism and marine recreation, and offer countless other benefits to humans, including supplying compounds for pharmaceuticals.  The uses of coral reefs </w:t>
      </w:r>
      <w:r w:rsidR="00231A5E">
        <w:rPr>
          <w:sz w:val="22"/>
          <w:szCs w:val="22"/>
          <w:lang w:val="en-GB"/>
        </w:rPr>
        <w:t xml:space="preserve">in the South China Sea </w:t>
      </w:r>
      <w:r w:rsidRPr="00925148">
        <w:rPr>
          <w:sz w:val="22"/>
          <w:szCs w:val="22"/>
          <w:lang w:val="en-GB"/>
        </w:rPr>
        <w:t>can be categorised into four kinds of uses: direct uses (extractive and non-extractive uses) (Table 1</w:t>
      </w:r>
      <w:r w:rsidR="008E0E5A" w:rsidRPr="00925148">
        <w:rPr>
          <w:sz w:val="22"/>
          <w:szCs w:val="22"/>
          <w:lang w:val="en-GB"/>
        </w:rPr>
        <w:t>0</w:t>
      </w:r>
      <w:r w:rsidRPr="00925148">
        <w:rPr>
          <w:sz w:val="22"/>
          <w:szCs w:val="22"/>
          <w:lang w:val="en-GB"/>
        </w:rPr>
        <w:t>), environmental services, biological diversity services, and social/</w:t>
      </w:r>
      <w:r w:rsidR="008E0E5A" w:rsidRPr="00925148">
        <w:rPr>
          <w:sz w:val="22"/>
          <w:szCs w:val="22"/>
          <w:lang w:val="en-GB"/>
        </w:rPr>
        <w:t>cultural significance (Table 11</w:t>
      </w:r>
      <w:r w:rsidRPr="00925148">
        <w:rPr>
          <w:sz w:val="22"/>
          <w:szCs w:val="22"/>
          <w:lang w:val="en-GB"/>
        </w:rPr>
        <w:t>).</w:t>
      </w:r>
    </w:p>
    <w:p w14:paraId="4A8EF67D" w14:textId="77777777" w:rsidR="008E0E5A" w:rsidRPr="00925148" w:rsidRDefault="008E0E5A" w:rsidP="002E0625">
      <w:pPr>
        <w:numPr>
          <w:ilvl w:val="0"/>
          <w:numId w:val="3"/>
        </w:numPr>
        <w:spacing w:after="120"/>
        <w:ind w:left="0" w:firstLine="0"/>
        <w:jc w:val="both"/>
        <w:rPr>
          <w:sz w:val="22"/>
          <w:szCs w:val="22"/>
          <w:lang w:val="en-GB"/>
        </w:rPr>
      </w:pPr>
      <w:r w:rsidRPr="00925148">
        <w:rPr>
          <w:bCs/>
          <w:sz w:val="22"/>
          <w:szCs w:val="22"/>
        </w:rPr>
        <w:t xml:space="preserve">Coastal communities have directly extracted materials and resources from coral reefs for generations. The hermatypic corals themselves are used as building materials and for making quicklime, a practice which is now less prevalent than in the past. </w:t>
      </w:r>
      <w:r w:rsidRPr="00925148">
        <w:rPr>
          <w:sz w:val="22"/>
          <w:szCs w:val="22"/>
        </w:rPr>
        <w:t>An important aspect of coral reefs from the perspective of coastal communities is their contribution to capture fisheries. Reef systems provide shelter to smaller fish and invertebrates and habitat essential as nursery and breeding grounds. Some pelagic fish species such as the “jacks” are found as juveniles in the vicinity of coral reefs. It has been suggested that in Malaysia approximately 40 percent of the commercial fish caught within 30 nautical miles from shore originate from or, make use of, coral reefs</w:t>
      </w:r>
      <w:r w:rsidR="00231A5E">
        <w:rPr>
          <w:sz w:val="22"/>
          <w:szCs w:val="22"/>
        </w:rPr>
        <w:t xml:space="preserve"> (Paterson et al., 2013)</w:t>
      </w:r>
      <w:r w:rsidRPr="00925148">
        <w:rPr>
          <w:sz w:val="22"/>
          <w:szCs w:val="22"/>
        </w:rPr>
        <w:t>.</w:t>
      </w:r>
    </w:p>
    <w:p w14:paraId="6992E769" w14:textId="77777777" w:rsidR="008E0E5A" w:rsidRPr="00925148" w:rsidRDefault="008E0E5A" w:rsidP="008E0E5A">
      <w:pPr>
        <w:numPr>
          <w:ilvl w:val="0"/>
          <w:numId w:val="3"/>
        </w:numPr>
        <w:spacing w:after="120"/>
        <w:ind w:left="0" w:firstLine="0"/>
        <w:jc w:val="both"/>
        <w:rPr>
          <w:color w:val="222222"/>
          <w:sz w:val="22"/>
          <w:szCs w:val="22"/>
        </w:rPr>
      </w:pPr>
      <w:r w:rsidRPr="00925148">
        <w:rPr>
          <w:sz w:val="22"/>
          <w:szCs w:val="22"/>
        </w:rPr>
        <w:t xml:space="preserve">Indirect uses of coral reefs include tourism and recreation, education and research, and mariculture which is often practiced in sheltered lagoonal areas of reef systems. </w:t>
      </w:r>
      <w:r w:rsidRPr="00925148">
        <w:rPr>
          <w:color w:val="222222"/>
          <w:sz w:val="22"/>
          <w:szCs w:val="22"/>
        </w:rPr>
        <w:t>Reef-based tourism is essentially a non-extractive industry that attracts millions of divers and snorkelers to Southeast Asia each year, and contributes significantly to the economies of countries such as Thailand, the Philippines, Malaysia and Indonesia. Coral reefs provide scientists and researchers with a coastal habitat that has high biological diversity, and c</w:t>
      </w:r>
      <w:r w:rsidRPr="00925148">
        <w:rPr>
          <w:sz w:val="22"/>
          <w:szCs w:val="22"/>
        </w:rPr>
        <w:t xml:space="preserve">oral formations can be used to reconstruct past climates and storm patterns. </w:t>
      </w:r>
      <w:r w:rsidRPr="00925148">
        <w:rPr>
          <w:color w:val="222222"/>
          <w:sz w:val="22"/>
          <w:szCs w:val="22"/>
        </w:rPr>
        <w:t>The</w:t>
      </w:r>
      <w:r w:rsidR="00231A5E">
        <w:rPr>
          <w:color w:val="222222"/>
          <w:sz w:val="22"/>
          <w:szCs w:val="22"/>
        </w:rPr>
        <w:t>y</w:t>
      </w:r>
      <w:r w:rsidRPr="00925148">
        <w:rPr>
          <w:color w:val="222222"/>
          <w:sz w:val="22"/>
          <w:szCs w:val="22"/>
        </w:rPr>
        <w:t xml:space="preserve"> also serve as a source of natural products which are in high demand from the international pharmaceutical companies for testing as bioactive compounds. </w:t>
      </w:r>
    </w:p>
    <w:p w14:paraId="43C4845B" w14:textId="77777777" w:rsidR="008E0E5A" w:rsidRPr="00925148" w:rsidRDefault="008E0E5A" w:rsidP="008E0E5A">
      <w:pPr>
        <w:numPr>
          <w:ilvl w:val="0"/>
          <w:numId w:val="3"/>
        </w:numPr>
        <w:tabs>
          <w:tab w:val="left" w:pos="720"/>
          <w:tab w:val="num" w:pos="990"/>
        </w:tabs>
        <w:spacing w:after="120"/>
        <w:ind w:left="0" w:firstLine="0"/>
        <w:jc w:val="both"/>
        <w:rPr>
          <w:sz w:val="22"/>
          <w:szCs w:val="22"/>
        </w:rPr>
      </w:pPr>
      <w:r w:rsidRPr="00925148">
        <w:rPr>
          <w:sz w:val="22"/>
          <w:szCs w:val="22"/>
        </w:rPr>
        <w:t>Coral reefs provide significant “sinks” of biological diversity and support numerous species restricted to such habitats. The reef structure itself is important as a buffer against wave action thus providing protection to beaches on the coast, and as sources of the “white sand” that is so attractive to tourists.</w:t>
      </w:r>
    </w:p>
    <w:p w14:paraId="65166F66" w14:textId="77777777" w:rsidR="008E0E5A" w:rsidRPr="00925148" w:rsidRDefault="00925148" w:rsidP="00925148">
      <w:pPr>
        <w:spacing w:after="120"/>
        <w:jc w:val="both"/>
        <w:rPr>
          <w:b/>
          <w:i/>
          <w:sz w:val="22"/>
          <w:szCs w:val="22"/>
          <w:lang w:val="en-GB"/>
        </w:rPr>
      </w:pPr>
      <w:r w:rsidRPr="00925148">
        <w:rPr>
          <w:b/>
          <w:i/>
          <w:sz w:val="22"/>
          <w:szCs w:val="22"/>
          <w:lang w:val="en-GB"/>
        </w:rPr>
        <w:t xml:space="preserve">Seagrass </w:t>
      </w:r>
      <w:r w:rsidR="00F75BCA">
        <w:rPr>
          <w:b/>
          <w:i/>
          <w:sz w:val="22"/>
          <w:szCs w:val="22"/>
          <w:lang w:val="en-GB"/>
        </w:rPr>
        <w:t>goods and services</w:t>
      </w:r>
    </w:p>
    <w:p w14:paraId="28BC7BD1" w14:textId="77777777" w:rsidR="00925148" w:rsidRPr="00925148" w:rsidRDefault="00925148" w:rsidP="00925148">
      <w:pPr>
        <w:numPr>
          <w:ilvl w:val="0"/>
          <w:numId w:val="3"/>
        </w:numPr>
        <w:autoSpaceDE w:val="0"/>
        <w:autoSpaceDN w:val="0"/>
        <w:adjustRightInd w:val="0"/>
        <w:spacing w:after="120"/>
        <w:ind w:left="0" w:firstLine="0"/>
        <w:jc w:val="both"/>
        <w:rPr>
          <w:sz w:val="22"/>
          <w:szCs w:val="22"/>
        </w:rPr>
      </w:pPr>
      <w:r w:rsidRPr="00925148">
        <w:rPr>
          <w:sz w:val="22"/>
          <w:szCs w:val="22"/>
        </w:rPr>
        <w:t xml:space="preserve">As in the case of the two habitats previously considered seagrass beds provide the basis for sustainable livelihoods in many coastal communities bordering the South China Sea. The range of uses to which the seagrass itself can be put by coastal communities is fewer than in the case of mangroves but includes its use for fertiliser in coastal agriculture, and as raw material for the production of woven handicrafts, including chair seats, mats and baskets. Direct use of seagrass for human consumption is limited in the region being restricted to the experimental production of cookies from seeds of </w:t>
      </w:r>
      <w:r w:rsidRPr="00925148">
        <w:rPr>
          <w:i/>
          <w:iCs/>
          <w:sz w:val="22"/>
          <w:szCs w:val="22"/>
        </w:rPr>
        <w:t>Halophila</w:t>
      </w:r>
      <w:r w:rsidRPr="00925148">
        <w:rPr>
          <w:sz w:val="22"/>
          <w:szCs w:val="22"/>
        </w:rPr>
        <w:t xml:space="preserve"> in the Philippines. Seagrass is used directly as a covering for wounds in many coastal communities and some species are used in the preparation of traditional medicines. </w:t>
      </w:r>
    </w:p>
    <w:p w14:paraId="61E6B9A5" w14:textId="77777777" w:rsidR="00925148" w:rsidRPr="00925148" w:rsidRDefault="00925148" w:rsidP="00925148">
      <w:pPr>
        <w:numPr>
          <w:ilvl w:val="0"/>
          <w:numId w:val="3"/>
        </w:numPr>
        <w:autoSpaceDE w:val="0"/>
        <w:autoSpaceDN w:val="0"/>
        <w:adjustRightInd w:val="0"/>
        <w:spacing w:after="120"/>
        <w:ind w:left="0" w:firstLine="0"/>
        <w:jc w:val="both"/>
        <w:rPr>
          <w:sz w:val="22"/>
          <w:szCs w:val="22"/>
        </w:rPr>
      </w:pPr>
      <w:r w:rsidRPr="00925148">
        <w:rPr>
          <w:sz w:val="22"/>
          <w:szCs w:val="22"/>
        </w:rPr>
        <w:t xml:space="preserve">Of far greater significance however, is the use of secondary consumers that rely on the high primary productivity and production that characterise tropical seagrass communities. These include a variety of resident fishes including many species in the family Siganidae, echinoderms such as the sea urchin, </w:t>
      </w:r>
      <w:r w:rsidRPr="00925148">
        <w:rPr>
          <w:i/>
          <w:iCs/>
          <w:sz w:val="22"/>
          <w:szCs w:val="22"/>
        </w:rPr>
        <w:t>Tripneustes gratilla</w:t>
      </w:r>
      <w:r w:rsidRPr="00925148">
        <w:rPr>
          <w:sz w:val="22"/>
          <w:szCs w:val="22"/>
        </w:rPr>
        <w:t xml:space="preserve"> whose eggs are exploited both for subsistence and commercial production, and molluscs such as the strombid gastropods in particular </w:t>
      </w:r>
      <w:r w:rsidRPr="00925148">
        <w:rPr>
          <w:i/>
          <w:iCs/>
          <w:sz w:val="22"/>
          <w:szCs w:val="22"/>
        </w:rPr>
        <w:t xml:space="preserve">Strombus carnarium, </w:t>
      </w:r>
      <w:r w:rsidRPr="00925148">
        <w:rPr>
          <w:sz w:val="22"/>
          <w:szCs w:val="22"/>
        </w:rPr>
        <w:t>which is widespread along the southern margins of the South China Sea. The sea horses, permanent residents of seagrass beds are commercially threatened along the northern margins of the South China Sea as primary ingredients in various Chinese and Vietnamese traditional medicines and alcoholic drinks.</w:t>
      </w:r>
    </w:p>
    <w:p w14:paraId="6B6CDC09" w14:textId="77777777" w:rsidR="00925148" w:rsidRPr="00925148" w:rsidRDefault="00925148" w:rsidP="00925148">
      <w:pPr>
        <w:numPr>
          <w:ilvl w:val="0"/>
          <w:numId w:val="3"/>
        </w:numPr>
        <w:autoSpaceDE w:val="0"/>
        <w:autoSpaceDN w:val="0"/>
        <w:adjustRightInd w:val="0"/>
        <w:spacing w:after="120"/>
        <w:ind w:left="0" w:firstLine="0"/>
        <w:jc w:val="both"/>
        <w:rPr>
          <w:sz w:val="22"/>
          <w:szCs w:val="22"/>
        </w:rPr>
      </w:pPr>
      <w:r w:rsidRPr="00925148">
        <w:rPr>
          <w:bCs/>
          <w:sz w:val="22"/>
          <w:szCs w:val="22"/>
        </w:rPr>
        <w:t>Non-extractive uses of seagrass beds include tourism and recreation, research and education although these are generally not as well developed as in the case of coral reefs, the generally sheltered lagoon environments in which seagrass beds occur are used as areas for water sports and snorkelling. In some areas seaweed culture is practiced in coral reef and seagrass habitats, whilst in the Philippines healthy seagrass beds are used as grow-out areas in giant clam culture.</w:t>
      </w:r>
    </w:p>
    <w:p w14:paraId="4A423117" w14:textId="77777777" w:rsidR="00925148" w:rsidRPr="00925148" w:rsidRDefault="00925148" w:rsidP="00925148">
      <w:pPr>
        <w:numPr>
          <w:ilvl w:val="0"/>
          <w:numId w:val="3"/>
        </w:numPr>
        <w:autoSpaceDE w:val="0"/>
        <w:autoSpaceDN w:val="0"/>
        <w:adjustRightInd w:val="0"/>
        <w:spacing w:after="120"/>
        <w:ind w:left="0" w:firstLine="0"/>
        <w:jc w:val="both"/>
        <w:rPr>
          <w:sz w:val="22"/>
          <w:szCs w:val="22"/>
        </w:rPr>
      </w:pPr>
      <w:r w:rsidRPr="00925148">
        <w:rPr>
          <w:color w:val="000000"/>
          <w:sz w:val="22"/>
          <w:szCs w:val="22"/>
        </w:rPr>
        <w:t xml:space="preserve">Seagrass beds provide a variety of environmental services including reduced erosion of sub-tidal substrates. </w:t>
      </w:r>
      <w:r w:rsidRPr="00925148">
        <w:rPr>
          <w:sz w:val="22"/>
          <w:szCs w:val="22"/>
        </w:rPr>
        <w:t>Seagrass species trap and stabilise suspended sediment providing benefit to adjacent coral reefs by reducing suspended sediment loads in the water. The dense root systems and extensive rhizomes of some seagrass species form an interlocked mat that prevents erosion of the sub-tidal substratum, which may be especially important during storms and hurricanes. As in the case of mangroves the trapping of sediment derived from land-based sources results in significant removal of adsorbed contaminants, which are stored in the sediments.</w:t>
      </w:r>
    </w:p>
    <w:p w14:paraId="686227E1" w14:textId="77777777" w:rsidR="00925148" w:rsidRPr="00925148" w:rsidRDefault="00925148" w:rsidP="00925148">
      <w:pPr>
        <w:numPr>
          <w:ilvl w:val="0"/>
          <w:numId w:val="3"/>
        </w:numPr>
        <w:autoSpaceDE w:val="0"/>
        <w:autoSpaceDN w:val="0"/>
        <w:adjustRightInd w:val="0"/>
        <w:spacing w:after="120"/>
        <w:ind w:left="0" w:firstLine="0"/>
        <w:jc w:val="both"/>
        <w:rPr>
          <w:sz w:val="22"/>
          <w:szCs w:val="22"/>
        </w:rPr>
      </w:pPr>
      <w:r w:rsidRPr="00925148">
        <w:rPr>
          <w:sz w:val="22"/>
          <w:szCs w:val="22"/>
        </w:rPr>
        <w:t>Seagrass feature high rates of primary production and hence exhibit high rates of oxygen production, which is released to the surrounding waters. Consequently seagrass species can remove elevated levels of nutrients through enhanced primary production. However excessive inputs of nutrients result in fouling of the seagrass leaves by algae and interferes with photosynthesis thus having an adverse impact on primary production and the health of the system. Although seagrass primary production is only 1% of ocean total primary production it may be responsible for as much as 12% of the total amount of carbon stored in ocean sediments. This suggests that seagrass beds may play a role in the regulation of the global carbon cycle.</w:t>
      </w:r>
    </w:p>
    <w:p w14:paraId="18A0CB7E" w14:textId="77777777" w:rsidR="00925148" w:rsidRPr="00925148" w:rsidRDefault="00925148" w:rsidP="00925148">
      <w:pPr>
        <w:numPr>
          <w:ilvl w:val="0"/>
          <w:numId w:val="3"/>
        </w:numPr>
        <w:spacing w:after="120"/>
        <w:ind w:left="0" w:firstLine="0"/>
        <w:jc w:val="both"/>
        <w:rPr>
          <w:color w:val="000000"/>
          <w:sz w:val="22"/>
          <w:szCs w:val="22"/>
        </w:rPr>
      </w:pPr>
      <w:r w:rsidRPr="00925148">
        <w:rPr>
          <w:sz w:val="22"/>
          <w:szCs w:val="22"/>
        </w:rPr>
        <w:t>Seagrass beds serve as nursery and spawning grounds for fish that constitute important constituents of the offshore demersal fish catch. Some species move into and out of seagrass beds over their life history, while others live their entire lives in association with seagrass beds.</w:t>
      </w:r>
      <w:bookmarkStart w:id="54" w:name="fishes"/>
      <w:r w:rsidRPr="00925148">
        <w:rPr>
          <w:sz w:val="22"/>
          <w:szCs w:val="22"/>
        </w:rPr>
        <w:t xml:space="preserve"> In addition, seagrass forms the bulk of the diet of the endangered dugong and some marine turtle species whilst some seagrass areas are important feeding grounds for migratory birds. </w:t>
      </w:r>
      <w:bookmarkEnd w:id="54"/>
      <w:r w:rsidRPr="00925148">
        <w:rPr>
          <w:sz w:val="22"/>
          <w:szCs w:val="22"/>
        </w:rPr>
        <w:t>Tiger prawns settle in seagrass beds at the post-larval stage (3-4 weeks) and remain until they become adults while many endeavour prawns also spend their juvenile life stages in the seagrass habitat.</w:t>
      </w:r>
      <w:r w:rsidRPr="00925148">
        <w:rPr>
          <w:color w:val="000000"/>
          <w:sz w:val="22"/>
          <w:szCs w:val="22"/>
        </w:rPr>
        <w:t xml:space="preserve"> Seagrass meadows provide an ideal environment for juvenile fish and invertebrates to conceal themselves from predators, whilst seagrass leaves serve as areas for attachment of larvae and eggs</w:t>
      </w:r>
      <w:r w:rsidRPr="00925148">
        <w:rPr>
          <w:sz w:val="22"/>
          <w:szCs w:val="22"/>
        </w:rPr>
        <w:t xml:space="preserve"> and for filter-feeding animals like bryozoans, sponges, and forams</w:t>
      </w:r>
      <w:r w:rsidRPr="00925148">
        <w:rPr>
          <w:color w:val="000000"/>
          <w:sz w:val="22"/>
          <w:szCs w:val="22"/>
        </w:rPr>
        <w:t xml:space="preserve">. </w:t>
      </w:r>
    </w:p>
    <w:p w14:paraId="6BAB51B3" w14:textId="77777777" w:rsidR="00925148" w:rsidRPr="00925148" w:rsidRDefault="00925148" w:rsidP="00925148">
      <w:pPr>
        <w:numPr>
          <w:ilvl w:val="0"/>
          <w:numId w:val="3"/>
        </w:numPr>
        <w:spacing w:after="120"/>
        <w:ind w:left="0" w:firstLine="0"/>
        <w:jc w:val="both"/>
        <w:rPr>
          <w:sz w:val="22"/>
          <w:szCs w:val="22"/>
        </w:rPr>
      </w:pPr>
      <w:r w:rsidRPr="00925148">
        <w:rPr>
          <w:sz w:val="22"/>
          <w:szCs w:val="22"/>
        </w:rPr>
        <w:t xml:space="preserve">While seagrass beds serve as ideal </w:t>
      </w:r>
      <w:r w:rsidRPr="00925148">
        <w:rPr>
          <w:i/>
          <w:iCs/>
          <w:sz w:val="22"/>
          <w:szCs w:val="22"/>
        </w:rPr>
        <w:t>refugia</w:t>
      </w:r>
      <w:r w:rsidRPr="00925148">
        <w:rPr>
          <w:sz w:val="22"/>
          <w:szCs w:val="22"/>
        </w:rPr>
        <w:t xml:space="preserve"> for juvenile and small adult fish to escape from larger predators, many in-faunal organisms (animals living in soft sea bottom sediments) also live within seagrass meadows. Species such as clams, worms, crabs, and echinoderms, like starfishes, sea cucumbers, and sea urchins, use the buffering capabilities of seagrass to provide a refuge from strong currents. The dense network of roots established by seagrass also helps deter predators from digging through the substratum in search of in-faunal prey organisms. </w:t>
      </w:r>
    </w:p>
    <w:p w14:paraId="266A3152" w14:textId="77777777" w:rsidR="00925148" w:rsidRPr="00925148" w:rsidRDefault="00925148" w:rsidP="00925148">
      <w:pPr>
        <w:pStyle w:val="BodyText3"/>
        <w:numPr>
          <w:ilvl w:val="0"/>
          <w:numId w:val="3"/>
        </w:numPr>
        <w:ind w:left="0" w:firstLine="0"/>
        <w:rPr>
          <w:rFonts w:ascii="Times New Roman" w:hAnsi="Times New Roman"/>
          <w:bCs/>
          <w:sz w:val="22"/>
          <w:szCs w:val="22"/>
        </w:rPr>
      </w:pPr>
      <w:r w:rsidRPr="00925148">
        <w:rPr>
          <w:rFonts w:ascii="Times New Roman" w:hAnsi="Times New Roman"/>
          <w:bCs/>
          <w:sz w:val="22"/>
          <w:szCs w:val="22"/>
        </w:rPr>
        <w:t xml:space="preserve">As in the case of mangroves the seagrass beds of the South China Sea are the most biologically diverse worldwide, as such they represent a significant store of biological diversity having value of transboundary significance. Whilst many coastal communities use the resources derived from seagrass habitats both directly and indirectly and hence are, to varying degrees dependent upon the health of the system, seagrass is not generally of particular social or cultural significance although the organisms associated with the habitat such as dugong and marine turtles may be in some locations. </w:t>
      </w:r>
    </w:p>
    <w:p w14:paraId="52F2E2D7" w14:textId="77777777" w:rsidR="00EF7288" w:rsidRDefault="00EF7288" w:rsidP="00925148">
      <w:pPr>
        <w:tabs>
          <w:tab w:val="num" w:pos="720"/>
        </w:tabs>
        <w:spacing w:after="120"/>
        <w:jc w:val="both"/>
        <w:rPr>
          <w:sz w:val="22"/>
          <w:szCs w:val="22"/>
          <w:lang w:val="en-GB"/>
        </w:rPr>
      </w:pPr>
    </w:p>
    <w:p w14:paraId="4AF539F5" w14:textId="77777777" w:rsidR="00925148" w:rsidRDefault="00925148" w:rsidP="00925148">
      <w:pPr>
        <w:tabs>
          <w:tab w:val="num" w:pos="720"/>
        </w:tabs>
        <w:spacing w:after="120"/>
        <w:jc w:val="both"/>
        <w:rPr>
          <w:sz w:val="22"/>
          <w:szCs w:val="22"/>
          <w:lang w:val="en-GB"/>
        </w:rPr>
        <w:sectPr w:rsidR="00925148" w:rsidSect="00064925">
          <w:pgSz w:w="12240" w:h="15840" w:code="1"/>
          <w:pgMar w:top="1440" w:right="1584" w:bottom="1440" w:left="1584" w:header="706" w:footer="706" w:gutter="0"/>
          <w:cols w:space="708"/>
          <w:docGrid w:linePitch="360"/>
        </w:sectPr>
      </w:pPr>
    </w:p>
    <w:p w14:paraId="3CBD3C67" w14:textId="77777777" w:rsidR="00EF7288" w:rsidRDefault="00EF7288" w:rsidP="00EF7288">
      <w:pPr>
        <w:spacing w:after="120"/>
        <w:jc w:val="both"/>
        <w:rPr>
          <w:sz w:val="22"/>
          <w:szCs w:val="22"/>
          <w:lang w:val="en-GB"/>
        </w:rPr>
      </w:pPr>
    </w:p>
    <w:p w14:paraId="42C31170" w14:textId="77777777" w:rsidR="00EF7288" w:rsidRDefault="00EF7288" w:rsidP="00EF7288">
      <w:pPr>
        <w:spacing w:after="120"/>
        <w:jc w:val="both"/>
        <w:rPr>
          <w:sz w:val="22"/>
          <w:szCs w:val="22"/>
          <w:lang w:val="en-GB"/>
        </w:rPr>
      </w:pPr>
    </w:p>
    <w:p w14:paraId="5080BD3E" w14:textId="77777777" w:rsidR="00EF7288" w:rsidRPr="00EF7288" w:rsidRDefault="00EF7288" w:rsidP="00EF7288">
      <w:pPr>
        <w:tabs>
          <w:tab w:val="left" w:pos="1440"/>
        </w:tabs>
        <w:ind w:left="1440" w:hanging="1440"/>
        <w:rPr>
          <w:rFonts w:ascii="Arial" w:hAnsi="Arial" w:cs="Angsana New"/>
          <w:bCs/>
          <w:sz w:val="20"/>
          <w:szCs w:val="20"/>
          <w:lang w:val="en-GB"/>
        </w:rPr>
      </w:pPr>
    </w:p>
    <w:p w14:paraId="75E8DF44" w14:textId="77777777" w:rsidR="00EF7288" w:rsidRPr="00EF7288" w:rsidRDefault="00EF7288" w:rsidP="00EF7288">
      <w:pPr>
        <w:tabs>
          <w:tab w:val="left" w:pos="1080"/>
        </w:tabs>
        <w:ind w:left="1440" w:hanging="1440"/>
        <w:rPr>
          <w:bCs/>
          <w:sz w:val="21"/>
          <w:szCs w:val="21"/>
          <w:lang w:val="en-GB"/>
        </w:rPr>
      </w:pPr>
      <w:r w:rsidRPr="00EF7288">
        <w:rPr>
          <w:b/>
          <w:bCs/>
          <w:sz w:val="21"/>
          <w:szCs w:val="21"/>
          <w:lang w:val="en-GB"/>
        </w:rPr>
        <w:t>Table 11</w:t>
      </w:r>
      <w:r w:rsidRPr="00EF7288">
        <w:rPr>
          <w:bCs/>
          <w:sz w:val="21"/>
          <w:szCs w:val="21"/>
          <w:lang w:val="en-GB"/>
        </w:rPr>
        <w:t xml:space="preserve"> </w:t>
      </w:r>
      <w:r w:rsidRPr="00EF7288">
        <w:rPr>
          <w:bCs/>
          <w:sz w:val="21"/>
          <w:szCs w:val="21"/>
          <w:lang w:val="en-GB"/>
        </w:rPr>
        <w:tab/>
      </w:r>
      <w:r w:rsidRPr="00EF7288">
        <w:rPr>
          <w:bCs/>
          <w:sz w:val="21"/>
          <w:szCs w:val="21"/>
          <w:lang w:val="en-GB"/>
        </w:rPr>
        <w:tab/>
        <w:t>Summary of Environmental and Biological Services, Social and Cultural Significance of Coastal Habitat Types Bordering the South China Sea.</w:t>
      </w:r>
    </w:p>
    <w:p w14:paraId="01CA3B8D" w14:textId="77777777" w:rsidR="00EF7288" w:rsidRPr="00EF7288" w:rsidRDefault="00EF7288" w:rsidP="00EF7288">
      <w:pPr>
        <w:rPr>
          <w:rFonts w:ascii="Arial" w:hAnsi="Arial" w:cs="Angsana New"/>
          <w:bCs/>
          <w:sz w:val="20"/>
          <w:szCs w:val="20"/>
          <w:lang w:val="en-GB"/>
        </w:rPr>
      </w:pP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2558"/>
        <w:gridCol w:w="2596"/>
        <w:gridCol w:w="2856"/>
        <w:gridCol w:w="2057"/>
        <w:gridCol w:w="2878"/>
      </w:tblGrid>
      <w:tr w:rsidR="00EF7288" w:rsidRPr="00EF7288" w14:paraId="41759AD0" w14:textId="77777777" w:rsidTr="005B6B53">
        <w:tblPrEx>
          <w:tblCellMar>
            <w:top w:w="0" w:type="dxa"/>
            <w:bottom w:w="0" w:type="dxa"/>
          </w:tblCellMar>
        </w:tblPrEx>
        <w:trPr>
          <w:jc w:val="center"/>
        </w:trPr>
        <w:tc>
          <w:tcPr>
            <w:tcW w:w="2708" w:type="dxa"/>
            <w:tcBorders>
              <w:top w:val="nil"/>
              <w:left w:val="nil"/>
              <w:bottom w:val="single" w:sz="12" w:space="0" w:color="auto"/>
              <w:right w:val="single" w:sz="12" w:space="0" w:color="auto"/>
            </w:tcBorders>
            <w:vAlign w:val="center"/>
          </w:tcPr>
          <w:p w14:paraId="465B4FD6" w14:textId="77777777" w:rsidR="00EF7288" w:rsidRPr="00EF7288" w:rsidRDefault="00EF7288" w:rsidP="00EF7288">
            <w:pPr>
              <w:rPr>
                <w:rFonts w:ascii="Arial" w:hAnsi="Arial" w:cs="Angsana New"/>
                <w:b/>
                <w:sz w:val="16"/>
                <w:szCs w:val="20"/>
                <w:lang w:val="en-GB"/>
              </w:rPr>
            </w:pPr>
          </w:p>
        </w:tc>
        <w:tc>
          <w:tcPr>
            <w:tcW w:w="2750" w:type="dxa"/>
            <w:tcBorders>
              <w:top w:val="single" w:sz="12" w:space="0" w:color="auto"/>
              <w:left w:val="single" w:sz="12" w:space="0" w:color="auto"/>
              <w:bottom w:val="single" w:sz="12" w:space="0" w:color="auto"/>
            </w:tcBorders>
            <w:vAlign w:val="center"/>
          </w:tcPr>
          <w:p w14:paraId="3812A6C0" w14:textId="77777777" w:rsidR="00EF7288" w:rsidRPr="00EF7288" w:rsidRDefault="00EF7288" w:rsidP="00EF7288">
            <w:pPr>
              <w:jc w:val="center"/>
              <w:rPr>
                <w:rFonts w:ascii="Arial" w:hAnsi="Arial" w:cs="Angsana New"/>
                <w:b/>
                <w:sz w:val="16"/>
                <w:szCs w:val="20"/>
                <w:lang w:val="en-GB"/>
              </w:rPr>
            </w:pPr>
            <w:r w:rsidRPr="00EF7288">
              <w:rPr>
                <w:rFonts w:ascii="Arial" w:hAnsi="Arial" w:cs="Angsana New"/>
                <w:b/>
                <w:sz w:val="16"/>
                <w:szCs w:val="20"/>
                <w:lang w:val="en-GB"/>
              </w:rPr>
              <w:t>Mangroves</w:t>
            </w:r>
          </w:p>
        </w:tc>
        <w:tc>
          <w:tcPr>
            <w:tcW w:w="3085" w:type="dxa"/>
            <w:tcBorders>
              <w:top w:val="single" w:sz="12" w:space="0" w:color="auto"/>
              <w:bottom w:val="single" w:sz="12" w:space="0" w:color="auto"/>
            </w:tcBorders>
            <w:vAlign w:val="center"/>
          </w:tcPr>
          <w:p w14:paraId="3E93F4B5" w14:textId="77777777" w:rsidR="00EF7288" w:rsidRPr="00EF7288" w:rsidRDefault="00EF7288" w:rsidP="00EF7288">
            <w:pPr>
              <w:tabs>
                <w:tab w:val="left" w:pos="439"/>
              </w:tabs>
              <w:jc w:val="center"/>
              <w:rPr>
                <w:rFonts w:ascii="Arial" w:hAnsi="Arial" w:cs="Angsana New"/>
                <w:b/>
                <w:sz w:val="16"/>
                <w:szCs w:val="20"/>
                <w:lang w:val="en-GB"/>
              </w:rPr>
            </w:pPr>
            <w:r w:rsidRPr="00EF7288">
              <w:rPr>
                <w:rFonts w:ascii="Arial" w:hAnsi="Arial" w:cs="Angsana New"/>
                <w:b/>
                <w:sz w:val="16"/>
                <w:szCs w:val="20"/>
                <w:lang w:val="en-GB"/>
              </w:rPr>
              <w:t>Coral Reefs</w:t>
            </w:r>
          </w:p>
        </w:tc>
        <w:tc>
          <w:tcPr>
            <w:tcW w:w="2147" w:type="dxa"/>
            <w:tcBorders>
              <w:top w:val="single" w:sz="12" w:space="0" w:color="auto"/>
              <w:bottom w:val="single" w:sz="12" w:space="0" w:color="auto"/>
            </w:tcBorders>
            <w:vAlign w:val="center"/>
          </w:tcPr>
          <w:p w14:paraId="4D1F9F3E" w14:textId="77777777" w:rsidR="00EF7288" w:rsidRPr="00EF7288" w:rsidRDefault="00EF7288" w:rsidP="00EF7288">
            <w:pPr>
              <w:jc w:val="center"/>
              <w:rPr>
                <w:rFonts w:ascii="Arial" w:hAnsi="Arial" w:cs="Angsana New"/>
                <w:b/>
                <w:sz w:val="16"/>
                <w:szCs w:val="16"/>
                <w:lang w:val="en-GB"/>
              </w:rPr>
            </w:pPr>
            <w:r w:rsidRPr="00EF7288">
              <w:rPr>
                <w:rFonts w:ascii="Arial" w:hAnsi="Arial" w:cs="Angsana New"/>
                <w:b/>
                <w:sz w:val="16"/>
                <w:szCs w:val="16"/>
                <w:lang w:val="en-GB"/>
              </w:rPr>
              <w:t>Seagrass</w:t>
            </w:r>
          </w:p>
        </w:tc>
        <w:tc>
          <w:tcPr>
            <w:tcW w:w="3070" w:type="dxa"/>
            <w:tcBorders>
              <w:top w:val="single" w:sz="12" w:space="0" w:color="auto"/>
              <w:bottom w:val="single" w:sz="12" w:space="0" w:color="auto"/>
              <w:right w:val="single" w:sz="12" w:space="0" w:color="auto"/>
            </w:tcBorders>
            <w:vAlign w:val="center"/>
          </w:tcPr>
          <w:p w14:paraId="512CDF0B" w14:textId="77777777" w:rsidR="00EF7288" w:rsidRPr="00EF7288" w:rsidRDefault="00EF7288" w:rsidP="00EF7288">
            <w:pPr>
              <w:jc w:val="center"/>
              <w:rPr>
                <w:rFonts w:ascii="Arial" w:hAnsi="Arial" w:cs="Angsana New"/>
                <w:b/>
                <w:sz w:val="16"/>
                <w:szCs w:val="16"/>
                <w:lang w:val="en-GB"/>
              </w:rPr>
            </w:pPr>
            <w:r w:rsidRPr="00EF7288">
              <w:rPr>
                <w:rFonts w:ascii="Arial" w:hAnsi="Arial" w:cs="Angsana New"/>
                <w:b/>
                <w:sz w:val="16"/>
                <w:szCs w:val="16"/>
                <w:lang w:val="en-GB"/>
              </w:rPr>
              <w:t>Wetlands</w:t>
            </w:r>
          </w:p>
        </w:tc>
      </w:tr>
      <w:tr w:rsidR="00EF7288" w:rsidRPr="00EF7288" w14:paraId="65B8E0B8" w14:textId="77777777" w:rsidTr="005B6B53">
        <w:tblPrEx>
          <w:tblCellMar>
            <w:top w:w="0" w:type="dxa"/>
            <w:bottom w:w="0" w:type="dxa"/>
          </w:tblCellMar>
        </w:tblPrEx>
        <w:trPr>
          <w:cantSplit/>
          <w:jc w:val="center"/>
        </w:trPr>
        <w:tc>
          <w:tcPr>
            <w:tcW w:w="2708" w:type="dxa"/>
            <w:vMerge w:val="restart"/>
            <w:tcBorders>
              <w:top w:val="single" w:sz="12" w:space="0" w:color="auto"/>
              <w:left w:val="single" w:sz="12" w:space="0" w:color="auto"/>
              <w:bottom w:val="single" w:sz="6" w:space="0" w:color="auto"/>
            </w:tcBorders>
          </w:tcPr>
          <w:p w14:paraId="57C0F407" w14:textId="77777777" w:rsidR="00EF7288" w:rsidRPr="00EF7288" w:rsidRDefault="00EF7288" w:rsidP="00EF7288">
            <w:pPr>
              <w:rPr>
                <w:rFonts w:ascii="Arial" w:hAnsi="Arial" w:cs="Angsana New"/>
                <w:bCs/>
                <w:sz w:val="16"/>
                <w:szCs w:val="20"/>
                <w:lang w:val="en-GB"/>
              </w:rPr>
            </w:pPr>
            <w:r w:rsidRPr="00EF7288">
              <w:rPr>
                <w:rFonts w:ascii="Arial" w:hAnsi="Arial" w:cs="Angsana New"/>
                <w:b/>
                <w:bCs/>
                <w:sz w:val="18"/>
                <w:szCs w:val="20"/>
                <w:lang w:val="en-GB"/>
              </w:rPr>
              <w:t>Environmental services</w:t>
            </w:r>
          </w:p>
        </w:tc>
        <w:tc>
          <w:tcPr>
            <w:tcW w:w="2750" w:type="dxa"/>
            <w:tcBorders>
              <w:top w:val="single" w:sz="12" w:space="0" w:color="auto"/>
              <w:bottom w:val="single" w:sz="6" w:space="0" w:color="auto"/>
            </w:tcBorders>
            <w:vAlign w:val="center"/>
          </w:tcPr>
          <w:p w14:paraId="205EA1E9" w14:textId="77777777" w:rsidR="00EF7288" w:rsidRPr="00EF7288" w:rsidRDefault="00EF7288" w:rsidP="00EF7288">
            <w:pPr>
              <w:rPr>
                <w:rFonts w:ascii="Arial" w:hAnsi="Arial" w:cs="Angsana New"/>
                <w:b/>
                <w:bCs/>
                <w:sz w:val="18"/>
                <w:szCs w:val="20"/>
                <w:lang w:val="en-GB"/>
              </w:rPr>
            </w:pPr>
            <w:r w:rsidRPr="00EF7288">
              <w:rPr>
                <w:rFonts w:ascii="Arial" w:hAnsi="Arial" w:cs="Angsana New"/>
                <w:bCs/>
                <w:sz w:val="16"/>
                <w:szCs w:val="20"/>
                <w:lang w:val="en-GB"/>
              </w:rPr>
              <w:t>Shoreline/erosion prevention</w:t>
            </w:r>
          </w:p>
        </w:tc>
        <w:tc>
          <w:tcPr>
            <w:tcW w:w="3085" w:type="dxa"/>
            <w:tcBorders>
              <w:top w:val="single" w:sz="12" w:space="0" w:color="auto"/>
              <w:bottom w:val="single" w:sz="6" w:space="0" w:color="auto"/>
            </w:tcBorders>
            <w:vAlign w:val="center"/>
          </w:tcPr>
          <w:p w14:paraId="69763AAA" w14:textId="77777777" w:rsidR="00EF7288" w:rsidRPr="00EF7288" w:rsidRDefault="00EF7288" w:rsidP="00EF7288">
            <w:pPr>
              <w:tabs>
                <w:tab w:val="left" w:pos="439"/>
              </w:tabs>
              <w:rPr>
                <w:rFonts w:ascii="Arial" w:hAnsi="Arial" w:cs="Angsana New"/>
                <w:bCs/>
                <w:sz w:val="16"/>
                <w:szCs w:val="20"/>
                <w:lang w:val="en-GB"/>
              </w:rPr>
            </w:pPr>
            <w:r w:rsidRPr="00EF7288">
              <w:rPr>
                <w:rFonts w:ascii="Arial" w:hAnsi="Arial" w:cs="Angsana New"/>
                <w:bCs/>
                <w:sz w:val="16"/>
                <w:szCs w:val="20"/>
                <w:lang w:val="en-GB"/>
              </w:rPr>
              <w:t>Beach protection</w:t>
            </w:r>
          </w:p>
        </w:tc>
        <w:tc>
          <w:tcPr>
            <w:tcW w:w="2147" w:type="dxa"/>
            <w:tcBorders>
              <w:top w:val="single" w:sz="12" w:space="0" w:color="auto"/>
              <w:bottom w:val="single" w:sz="6" w:space="0" w:color="auto"/>
            </w:tcBorders>
            <w:vAlign w:val="center"/>
          </w:tcPr>
          <w:p w14:paraId="77B56F7C" w14:textId="77777777" w:rsidR="00EF7288" w:rsidRPr="00EF7288" w:rsidRDefault="00EF7288" w:rsidP="00EF7288">
            <w:pPr>
              <w:rPr>
                <w:rFonts w:ascii="Arial" w:hAnsi="Arial" w:cs="Angsana New"/>
                <w:bCs/>
                <w:sz w:val="16"/>
                <w:szCs w:val="16"/>
                <w:lang w:val="en-GB"/>
              </w:rPr>
            </w:pPr>
            <w:r w:rsidRPr="00EF7288">
              <w:rPr>
                <w:rFonts w:ascii="Arial" w:hAnsi="Arial" w:cs="Angsana New"/>
                <w:bCs/>
                <w:sz w:val="16"/>
                <w:szCs w:val="16"/>
                <w:lang w:val="en-GB"/>
              </w:rPr>
              <w:t>Shoreline protection</w:t>
            </w:r>
            <w:r w:rsidRPr="00EF7288">
              <w:rPr>
                <w:rFonts w:ascii="Arial" w:hAnsi="Arial" w:cs="Angsana New"/>
                <w:bCs/>
                <w:color w:val="000000"/>
                <w:sz w:val="16"/>
                <w:szCs w:val="16"/>
                <w:lang w:val="en-GB"/>
              </w:rPr>
              <w:t xml:space="preserve"> Erosion prevention</w:t>
            </w:r>
          </w:p>
        </w:tc>
        <w:tc>
          <w:tcPr>
            <w:tcW w:w="3070" w:type="dxa"/>
            <w:tcBorders>
              <w:top w:val="single" w:sz="12" w:space="0" w:color="auto"/>
              <w:bottom w:val="single" w:sz="6" w:space="0" w:color="auto"/>
              <w:right w:val="single" w:sz="12" w:space="0" w:color="auto"/>
            </w:tcBorders>
            <w:vAlign w:val="center"/>
          </w:tcPr>
          <w:p w14:paraId="0682DF30" w14:textId="77777777" w:rsidR="00EF7288" w:rsidRPr="00EF7288" w:rsidRDefault="00EF7288" w:rsidP="00EF7288">
            <w:pPr>
              <w:rPr>
                <w:rFonts w:ascii="Arial" w:hAnsi="Arial" w:cs="Angsana New"/>
                <w:bCs/>
                <w:sz w:val="16"/>
                <w:szCs w:val="16"/>
                <w:lang w:val="en-GB"/>
              </w:rPr>
            </w:pPr>
            <w:r w:rsidRPr="00EF7288">
              <w:rPr>
                <w:rFonts w:ascii="Arial" w:hAnsi="Arial" w:cs="Angsana New"/>
                <w:bCs/>
                <w:sz w:val="16"/>
                <w:szCs w:val="16"/>
                <w:lang w:val="en-GB"/>
              </w:rPr>
              <w:t>Shoreline protection</w:t>
            </w:r>
          </w:p>
        </w:tc>
      </w:tr>
      <w:tr w:rsidR="00EF7288" w:rsidRPr="00EF7288" w14:paraId="7A75726E" w14:textId="77777777" w:rsidTr="005B6B53">
        <w:tblPrEx>
          <w:tblCellMar>
            <w:top w:w="0" w:type="dxa"/>
            <w:bottom w:w="0" w:type="dxa"/>
          </w:tblCellMar>
        </w:tblPrEx>
        <w:trPr>
          <w:cantSplit/>
          <w:jc w:val="center"/>
        </w:trPr>
        <w:tc>
          <w:tcPr>
            <w:tcW w:w="2708" w:type="dxa"/>
            <w:vMerge/>
            <w:tcBorders>
              <w:top w:val="single" w:sz="6" w:space="0" w:color="auto"/>
              <w:left w:val="single" w:sz="12" w:space="0" w:color="auto"/>
              <w:bottom w:val="single" w:sz="6" w:space="0" w:color="auto"/>
            </w:tcBorders>
          </w:tcPr>
          <w:p w14:paraId="0091DA19" w14:textId="77777777" w:rsidR="00EF7288" w:rsidRPr="00EF7288" w:rsidRDefault="00EF7288" w:rsidP="00EF7288">
            <w:pPr>
              <w:rPr>
                <w:rFonts w:ascii="Arial" w:hAnsi="Arial" w:cs="Angsana New"/>
                <w:bCs/>
                <w:sz w:val="16"/>
                <w:szCs w:val="20"/>
                <w:lang w:val="en-GB"/>
              </w:rPr>
            </w:pPr>
          </w:p>
        </w:tc>
        <w:tc>
          <w:tcPr>
            <w:tcW w:w="2750" w:type="dxa"/>
            <w:tcBorders>
              <w:top w:val="single" w:sz="6" w:space="0" w:color="auto"/>
              <w:bottom w:val="single" w:sz="6" w:space="0" w:color="auto"/>
            </w:tcBorders>
            <w:vAlign w:val="center"/>
          </w:tcPr>
          <w:p w14:paraId="7668B018" w14:textId="77777777" w:rsidR="00EF7288" w:rsidRPr="00EF7288" w:rsidRDefault="00EF7288" w:rsidP="00EF7288">
            <w:pPr>
              <w:rPr>
                <w:rFonts w:ascii="Arial" w:hAnsi="Arial" w:cs="Angsana New"/>
                <w:bCs/>
                <w:sz w:val="16"/>
                <w:szCs w:val="20"/>
                <w:lang w:val="en-GB"/>
              </w:rPr>
            </w:pPr>
            <w:r w:rsidRPr="00EF7288">
              <w:rPr>
                <w:rFonts w:ascii="Arial" w:hAnsi="Arial" w:cs="Angsana New"/>
                <w:bCs/>
                <w:sz w:val="16"/>
                <w:szCs w:val="20"/>
                <w:lang w:val="en-GB"/>
              </w:rPr>
              <w:t>Flood protection</w:t>
            </w:r>
          </w:p>
        </w:tc>
        <w:tc>
          <w:tcPr>
            <w:tcW w:w="3085" w:type="dxa"/>
            <w:tcBorders>
              <w:top w:val="single" w:sz="6" w:space="0" w:color="auto"/>
              <w:bottom w:val="single" w:sz="6" w:space="0" w:color="auto"/>
            </w:tcBorders>
            <w:vAlign w:val="center"/>
          </w:tcPr>
          <w:p w14:paraId="29387FB5"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2147" w:type="dxa"/>
            <w:tcBorders>
              <w:top w:val="single" w:sz="6" w:space="0" w:color="auto"/>
              <w:bottom w:val="single" w:sz="6" w:space="0" w:color="auto"/>
            </w:tcBorders>
            <w:vAlign w:val="center"/>
          </w:tcPr>
          <w:p w14:paraId="778812D9"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3070" w:type="dxa"/>
            <w:tcBorders>
              <w:top w:val="single" w:sz="6" w:space="0" w:color="auto"/>
              <w:bottom w:val="single" w:sz="6" w:space="0" w:color="auto"/>
              <w:right w:val="single" w:sz="12" w:space="0" w:color="auto"/>
            </w:tcBorders>
            <w:vAlign w:val="center"/>
          </w:tcPr>
          <w:p w14:paraId="3A4815B4" w14:textId="77777777" w:rsidR="00EF7288" w:rsidRPr="00EF7288" w:rsidRDefault="00EF7288" w:rsidP="00EF7288">
            <w:pPr>
              <w:rPr>
                <w:rFonts w:ascii="Arial" w:hAnsi="Arial" w:cs="Angsana New"/>
                <w:bCs/>
                <w:color w:val="000000"/>
                <w:sz w:val="16"/>
                <w:szCs w:val="16"/>
                <w:lang w:val="en-GB"/>
              </w:rPr>
            </w:pPr>
            <w:r w:rsidRPr="00EF7288">
              <w:rPr>
                <w:rFonts w:ascii="Arial" w:hAnsi="Arial" w:cs="Angsana New"/>
                <w:bCs/>
                <w:color w:val="000000"/>
                <w:sz w:val="16"/>
                <w:szCs w:val="16"/>
                <w:lang w:val="en-GB"/>
              </w:rPr>
              <w:t>Flood Control</w:t>
            </w:r>
          </w:p>
        </w:tc>
      </w:tr>
      <w:tr w:rsidR="00EF7288" w:rsidRPr="00EF7288" w14:paraId="79B1FD09" w14:textId="77777777" w:rsidTr="005B6B53">
        <w:tblPrEx>
          <w:tblCellMar>
            <w:top w:w="0" w:type="dxa"/>
            <w:bottom w:w="0" w:type="dxa"/>
          </w:tblCellMar>
        </w:tblPrEx>
        <w:trPr>
          <w:cantSplit/>
          <w:jc w:val="center"/>
        </w:trPr>
        <w:tc>
          <w:tcPr>
            <w:tcW w:w="2708" w:type="dxa"/>
            <w:vMerge/>
            <w:tcBorders>
              <w:top w:val="single" w:sz="6" w:space="0" w:color="auto"/>
              <w:left w:val="single" w:sz="12" w:space="0" w:color="auto"/>
              <w:bottom w:val="single" w:sz="6" w:space="0" w:color="auto"/>
            </w:tcBorders>
          </w:tcPr>
          <w:p w14:paraId="06B3D037" w14:textId="77777777" w:rsidR="00EF7288" w:rsidRPr="00EF7288" w:rsidRDefault="00EF7288" w:rsidP="00EF7288">
            <w:pPr>
              <w:rPr>
                <w:rFonts w:ascii="Arial" w:hAnsi="Arial" w:cs="Angsana New"/>
                <w:bCs/>
                <w:sz w:val="16"/>
                <w:szCs w:val="20"/>
                <w:lang w:val="en-GB"/>
              </w:rPr>
            </w:pPr>
          </w:p>
        </w:tc>
        <w:tc>
          <w:tcPr>
            <w:tcW w:w="2750" w:type="dxa"/>
            <w:tcBorders>
              <w:top w:val="single" w:sz="6" w:space="0" w:color="auto"/>
              <w:bottom w:val="single" w:sz="6" w:space="0" w:color="auto"/>
            </w:tcBorders>
            <w:vAlign w:val="center"/>
          </w:tcPr>
          <w:p w14:paraId="3B4770F9" w14:textId="77777777" w:rsidR="00EF7288" w:rsidRPr="00EF7288" w:rsidRDefault="00EF7288" w:rsidP="00EF7288">
            <w:pPr>
              <w:rPr>
                <w:rFonts w:ascii="Arial" w:hAnsi="Arial" w:cs="Angsana New"/>
                <w:bCs/>
                <w:sz w:val="16"/>
                <w:szCs w:val="20"/>
                <w:lang w:val="en-GB"/>
              </w:rPr>
            </w:pPr>
            <w:r w:rsidRPr="00EF7288">
              <w:rPr>
                <w:rFonts w:ascii="Arial" w:hAnsi="Arial" w:cs="Angsana New"/>
                <w:bCs/>
                <w:sz w:val="16"/>
                <w:szCs w:val="20"/>
                <w:lang w:val="en-GB"/>
              </w:rPr>
              <w:t>Windbreak</w:t>
            </w:r>
          </w:p>
        </w:tc>
        <w:tc>
          <w:tcPr>
            <w:tcW w:w="3085" w:type="dxa"/>
            <w:tcBorders>
              <w:top w:val="single" w:sz="6" w:space="0" w:color="auto"/>
              <w:bottom w:val="single" w:sz="6" w:space="0" w:color="auto"/>
            </w:tcBorders>
            <w:vAlign w:val="center"/>
          </w:tcPr>
          <w:p w14:paraId="3EC5D3A1"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2147" w:type="dxa"/>
            <w:tcBorders>
              <w:top w:val="single" w:sz="6" w:space="0" w:color="auto"/>
              <w:bottom w:val="single" w:sz="6" w:space="0" w:color="auto"/>
            </w:tcBorders>
            <w:vAlign w:val="center"/>
          </w:tcPr>
          <w:p w14:paraId="465492CB"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3070" w:type="dxa"/>
            <w:tcBorders>
              <w:top w:val="single" w:sz="6" w:space="0" w:color="auto"/>
              <w:bottom w:val="single" w:sz="6" w:space="0" w:color="auto"/>
              <w:right w:val="single" w:sz="12" w:space="0" w:color="auto"/>
            </w:tcBorders>
            <w:vAlign w:val="center"/>
          </w:tcPr>
          <w:p w14:paraId="35903E47" w14:textId="77777777" w:rsidR="00EF7288" w:rsidRPr="00EF7288" w:rsidRDefault="00EF7288" w:rsidP="00EF7288">
            <w:pPr>
              <w:rPr>
                <w:rFonts w:ascii="Arial" w:hAnsi="Arial" w:cs="Angsana New"/>
                <w:bCs/>
                <w:sz w:val="16"/>
                <w:szCs w:val="16"/>
                <w:lang w:val="en-GB"/>
              </w:rPr>
            </w:pPr>
            <w:r w:rsidRPr="00EF7288">
              <w:rPr>
                <w:rFonts w:ascii="Arial" w:hAnsi="Arial" w:cs="Angsana New"/>
                <w:bCs/>
                <w:sz w:val="16"/>
                <w:szCs w:val="16"/>
                <w:lang w:val="en-GB"/>
              </w:rPr>
              <w:t>Windbreak</w:t>
            </w:r>
          </w:p>
        </w:tc>
      </w:tr>
      <w:tr w:rsidR="00EF7288" w:rsidRPr="00EF7288" w14:paraId="6A72A436" w14:textId="77777777" w:rsidTr="005B6B53">
        <w:tblPrEx>
          <w:tblCellMar>
            <w:top w:w="0" w:type="dxa"/>
            <w:bottom w:w="0" w:type="dxa"/>
          </w:tblCellMar>
        </w:tblPrEx>
        <w:trPr>
          <w:cantSplit/>
          <w:jc w:val="center"/>
        </w:trPr>
        <w:tc>
          <w:tcPr>
            <w:tcW w:w="2708" w:type="dxa"/>
            <w:vMerge/>
            <w:tcBorders>
              <w:top w:val="single" w:sz="6" w:space="0" w:color="auto"/>
              <w:left w:val="single" w:sz="12" w:space="0" w:color="auto"/>
              <w:bottom w:val="single" w:sz="6" w:space="0" w:color="auto"/>
            </w:tcBorders>
          </w:tcPr>
          <w:p w14:paraId="3C453AE8" w14:textId="77777777" w:rsidR="00EF7288" w:rsidRPr="00EF7288" w:rsidRDefault="00EF7288" w:rsidP="00EF7288">
            <w:pPr>
              <w:rPr>
                <w:rFonts w:ascii="Arial" w:hAnsi="Arial" w:cs="Angsana New"/>
                <w:bCs/>
                <w:sz w:val="16"/>
                <w:szCs w:val="20"/>
                <w:lang w:val="en-GB" w:eastAsia="ja-JP"/>
              </w:rPr>
            </w:pPr>
          </w:p>
        </w:tc>
        <w:tc>
          <w:tcPr>
            <w:tcW w:w="2750" w:type="dxa"/>
            <w:tcBorders>
              <w:top w:val="single" w:sz="6" w:space="0" w:color="auto"/>
              <w:bottom w:val="single" w:sz="6" w:space="0" w:color="auto"/>
            </w:tcBorders>
            <w:vAlign w:val="center"/>
          </w:tcPr>
          <w:p w14:paraId="46F19AD7" w14:textId="77777777" w:rsidR="00EF7288" w:rsidRPr="00EF7288" w:rsidRDefault="00EF7288" w:rsidP="00EF7288">
            <w:pPr>
              <w:rPr>
                <w:rFonts w:ascii="Arial" w:hAnsi="Arial" w:cs="Angsana New"/>
                <w:bCs/>
                <w:sz w:val="16"/>
                <w:szCs w:val="20"/>
                <w:lang w:val="en-GB" w:eastAsia="ja-JP"/>
              </w:rPr>
            </w:pPr>
            <w:r w:rsidRPr="00EF7288">
              <w:rPr>
                <w:rFonts w:ascii="Arial" w:hAnsi="Arial" w:cs="Angsana New"/>
                <w:bCs/>
                <w:sz w:val="16"/>
                <w:szCs w:val="20"/>
                <w:lang w:val="en-GB" w:eastAsia="ja-JP"/>
              </w:rPr>
              <w:t>Carbon sequestration</w:t>
            </w:r>
          </w:p>
        </w:tc>
        <w:tc>
          <w:tcPr>
            <w:tcW w:w="3085" w:type="dxa"/>
            <w:tcBorders>
              <w:top w:val="single" w:sz="6" w:space="0" w:color="auto"/>
              <w:bottom w:val="single" w:sz="6" w:space="0" w:color="auto"/>
            </w:tcBorders>
            <w:vAlign w:val="center"/>
          </w:tcPr>
          <w:p w14:paraId="3DCE0BAA" w14:textId="77777777" w:rsidR="00EF7288" w:rsidRPr="00EF7288" w:rsidRDefault="00EF7288" w:rsidP="00EF7288">
            <w:pPr>
              <w:tabs>
                <w:tab w:val="left" w:pos="439"/>
              </w:tabs>
              <w:rPr>
                <w:rFonts w:ascii="Arial" w:hAnsi="Arial" w:cs="Angsana New"/>
                <w:bCs/>
                <w:sz w:val="16"/>
                <w:szCs w:val="20"/>
                <w:lang w:val="en-GB"/>
              </w:rPr>
            </w:pPr>
            <w:r w:rsidRPr="00EF7288">
              <w:rPr>
                <w:rFonts w:ascii="Arial" w:hAnsi="Arial" w:cs="Angsana New"/>
                <w:bCs/>
                <w:sz w:val="16"/>
                <w:szCs w:val="20"/>
                <w:lang w:val="en-GB"/>
              </w:rPr>
              <w:t>Carbon sequestration</w:t>
            </w:r>
          </w:p>
        </w:tc>
        <w:tc>
          <w:tcPr>
            <w:tcW w:w="2147" w:type="dxa"/>
            <w:tcBorders>
              <w:top w:val="single" w:sz="6" w:space="0" w:color="auto"/>
              <w:bottom w:val="single" w:sz="6" w:space="0" w:color="auto"/>
            </w:tcBorders>
            <w:vAlign w:val="center"/>
          </w:tcPr>
          <w:p w14:paraId="24A23F44" w14:textId="77777777" w:rsidR="00EF7288" w:rsidRPr="00EF7288" w:rsidRDefault="00EF7288" w:rsidP="00EF7288">
            <w:pPr>
              <w:rPr>
                <w:rFonts w:ascii="Arial" w:hAnsi="Arial" w:cs="Angsana New"/>
                <w:bCs/>
                <w:sz w:val="16"/>
                <w:szCs w:val="16"/>
                <w:lang w:val="en-GB"/>
              </w:rPr>
            </w:pPr>
            <w:r w:rsidRPr="00EF7288">
              <w:rPr>
                <w:rFonts w:ascii="Arial" w:hAnsi="Arial" w:cs="Angsana New"/>
                <w:bCs/>
                <w:sz w:val="16"/>
                <w:szCs w:val="16"/>
                <w:lang w:val="en-GB"/>
              </w:rPr>
              <w:t>Carbon sequestration</w:t>
            </w:r>
          </w:p>
        </w:tc>
        <w:tc>
          <w:tcPr>
            <w:tcW w:w="3070" w:type="dxa"/>
            <w:tcBorders>
              <w:top w:val="single" w:sz="6" w:space="0" w:color="auto"/>
              <w:bottom w:val="single" w:sz="6" w:space="0" w:color="auto"/>
              <w:right w:val="single" w:sz="12" w:space="0" w:color="auto"/>
            </w:tcBorders>
            <w:vAlign w:val="center"/>
          </w:tcPr>
          <w:p w14:paraId="7F61EA9E" w14:textId="77777777" w:rsidR="00EF7288" w:rsidRPr="00EF7288" w:rsidRDefault="00EF7288" w:rsidP="00EF7288">
            <w:pPr>
              <w:rPr>
                <w:rFonts w:ascii="Arial" w:hAnsi="Arial" w:cs="Angsana New"/>
                <w:bCs/>
                <w:sz w:val="16"/>
                <w:szCs w:val="16"/>
                <w:lang w:val="en-GB"/>
              </w:rPr>
            </w:pPr>
            <w:r w:rsidRPr="00EF7288">
              <w:rPr>
                <w:rFonts w:ascii="Arial" w:hAnsi="Arial" w:cs="Angsana New"/>
                <w:bCs/>
                <w:sz w:val="16"/>
                <w:szCs w:val="16"/>
                <w:lang w:val="en-GB"/>
              </w:rPr>
              <w:t>Carbon sequestration</w:t>
            </w:r>
          </w:p>
        </w:tc>
      </w:tr>
      <w:tr w:rsidR="00EF7288" w:rsidRPr="00EF7288" w14:paraId="66C979C9" w14:textId="77777777" w:rsidTr="005B6B53">
        <w:tblPrEx>
          <w:tblCellMar>
            <w:top w:w="0" w:type="dxa"/>
            <w:bottom w:w="0" w:type="dxa"/>
          </w:tblCellMar>
        </w:tblPrEx>
        <w:trPr>
          <w:cantSplit/>
          <w:jc w:val="center"/>
        </w:trPr>
        <w:tc>
          <w:tcPr>
            <w:tcW w:w="2708" w:type="dxa"/>
            <w:vMerge/>
            <w:tcBorders>
              <w:top w:val="single" w:sz="6" w:space="0" w:color="auto"/>
              <w:left w:val="single" w:sz="12" w:space="0" w:color="auto"/>
              <w:bottom w:val="single" w:sz="6" w:space="0" w:color="auto"/>
            </w:tcBorders>
          </w:tcPr>
          <w:p w14:paraId="4B128C59" w14:textId="77777777" w:rsidR="00EF7288" w:rsidRPr="00EF7288" w:rsidRDefault="00EF7288" w:rsidP="00EF7288">
            <w:pPr>
              <w:rPr>
                <w:rFonts w:ascii="Arial" w:hAnsi="Arial" w:cs="Angsana New"/>
                <w:bCs/>
                <w:sz w:val="16"/>
                <w:szCs w:val="20"/>
                <w:lang w:val="en-GB" w:eastAsia="ja-JP"/>
              </w:rPr>
            </w:pPr>
          </w:p>
        </w:tc>
        <w:tc>
          <w:tcPr>
            <w:tcW w:w="2750" w:type="dxa"/>
            <w:tcBorders>
              <w:top w:val="single" w:sz="6" w:space="0" w:color="auto"/>
              <w:bottom w:val="single" w:sz="6" w:space="0" w:color="auto"/>
            </w:tcBorders>
            <w:vAlign w:val="center"/>
          </w:tcPr>
          <w:p w14:paraId="219F1F48" w14:textId="77777777" w:rsidR="00EF7288" w:rsidRPr="00EF7288" w:rsidRDefault="00EF7288" w:rsidP="00EF7288">
            <w:pPr>
              <w:rPr>
                <w:rFonts w:ascii="Arial" w:hAnsi="Arial" w:cs="Angsana New"/>
                <w:bCs/>
                <w:sz w:val="16"/>
                <w:szCs w:val="20"/>
                <w:lang w:val="en-GB" w:eastAsia="ja-JP"/>
              </w:rPr>
            </w:pPr>
            <w:r w:rsidRPr="00EF7288">
              <w:rPr>
                <w:rFonts w:ascii="Arial" w:hAnsi="Arial" w:cs="Angsana New"/>
                <w:bCs/>
                <w:sz w:val="16"/>
                <w:szCs w:val="20"/>
                <w:lang w:val="en-GB" w:eastAsia="ja-JP"/>
              </w:rPr>
              <w:t>Water purification (Prevention of saline water intrusion)</w:t>
            </w:r>
          </w:p>
        </w:tc>
        <w:tc>
          <w:tcPr>
            <w:tcW w:w="3085" w:type="dxa"/>
            <w:tcBorders>
              <w:top w:val="single" w:sz="6" w:space="0" w:color="auto"/>
              <w:bottom w:val="single" w:sz="6" w:space="0" w:color="auto"/>
            </w:tcBorders>
            <w:vAlign w:val="center"/>
          </w:tcPr>
          <w:p w14:paraId="707FC4AD"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2147" w:type="dxa"/>
            <w:tcBorders>
              <w:top w:val="single" w:sz="6" w:space="0" w:color="auto"/>
              <w:bottom w:val="single" w:sz="6" w:space="0" w:color="auto"/>
            </w:tcBorders>
            <w:vAlign w:val="center"/>
          </w:tcPr>
          <w:p w14:paraId="70A9118A" w14:textId="77777777" w:rsidR="00EF7288" w:rsidRPr="00EF7288" w:rsidRDefault="00EF7288" w:rsidP="00EF7288">
            <w:pPr>
              <w:rPr>
                <w:rFonts w:ascii="Arial" w:hAnsi="Arial" w:cs="Angsana New"/>
                <w:bCs/>
                <w:sz w:val="16"/>
                <w:szCs w:val="16"/>
                <w:lang w:val="en-GB"/>
              </w:rPr>
            </w:pPr>
            <w:r w:rsidRPr="00EF7288">
              <w:rPr>
                <w:rFonts w:ascii="Arial" w:hAnsi="Arial" w:cs="Angsana New"/>
                <w:bCs/>
                <w:sz w:val="16"/>
                <w:szCs w:val="16"/>
                <w:lang w:val="en-GB"/>
              </w:rPr>
              <w:t>Water purification</w:t>
            </w:r>
            <w:r w:rsidRPr="00EF7288">
              <w:rPr>
                <w:rFonts w:ascii="Arial" w:hAnsi="Arial" w:cs="Angsana New"/>
                <w:bCs/>
                <w:color w:val="000000"/>
                <w:sz w:val="16"/>
                <w:szCs w:val="16"/>
                <w:lang w:val="en-GB"/>
              </w:rPr>
              <w:t xml:space="preserve"> Waste catchment</w:t>
            </w:r>
          </w:p>
        </w:tc>
        <w:tc>
          <w:tcPr>
            <w:tcW w:w="3070" w:type="dxa"/>
            <w:tcBorders>
              <w:top w:val="single" w:sz="6" w:space="0" w:color="auto"/>
              <w:bottom w:val="single" w:sz="6" w:space="0" w:color="auto"/>
              <w:right w:val="single" w:sz="12" w:space="0" w:color="auto"/>
            </w:tcBorders>
            <w:vAlign w:val="center"/>
          </w:tcPr>
          <w:p w14:paraId="2112BC2B" w14:textId="77777777" w:rsidR="00EF7288" w:rsidRPr="00EF7288" w:rsidRDefault="00EF7288" w:rsidP="00EF7288">
            <w:pPr>
              <w:rPr>
                <w:rFonts w:ascii="Arial" w:hAnsi="Arial" w:cs="Angsana New"/>
                <w:bCs/>
                <w:sz w:val="16"/>
                <w:szCs w:val="16"/>
                <w:lang w:val="en-GB"/>
              </w:rPr>
            </w:pPr>
            <w:r w:rsidRPr="00EF7288">
              <w:rPr>
                <w:rFonts w:ascii="Arial" w:hAnsi="Arial" w:cs="Angsana New"/>
                <w:bCs/>
                <w:sz w:val="16"/>
                <w:szCs w:val="16"/>
                <w:lang w:val="en-GB"/>
              </w:rPr>
              <w:t>Water purification</w:t>
            </w:r>
            <w:r w:rsidRPr="00EF7288">
              <w:rPr>
                <w:rFonts w:ascii="Arial" w:hAnsi="Arial" w:cs="Angsana New"/>
                <w:bCs/>
                <w:color w:val="000000"/>
                <w:sz w:val="16"/>
                <w:szCs w:val="16"/>
                <w:lang w:val="en-GB"/>
              </w:rPr>
              <w:t xml:space="preserve"> prevention of salt water intrusion </w:t>
            </w:r>
            <w:r w:rsidRPr="00EF7288">
              <w:rPr>
                <w:rFonts w:ascii="Arial" w:hAnsi="Arial" w:cs="Angsana New"/>
                <w:bCs/>
                <w:sz w:val="16"/>
                <w:szCs w:val="16"/>
                <w:lang w:val="en-GB"/>
              </w:rPr>
              <w:t xml:space="preserve">&amp; ground water recharge </w:t>
            </w:r>
          </w:p>
        </w:tc>
      </w:tr>
      <w:tr w:rsidR="00EF7288" w:rsidRPr="00EF7288" w14:paraId="54C7759A" w14:textId="77777777" w:rsidTr="005B6B53">
        <w:tblPrEx>
          <w:tblCellMar>
            <w:top w:w="0" w:type="dxa"/>
            <w:bottom w:w="0" w:type="dxa"/>
          </w:tblCellMar>
        </w:tblPrEx>
        <w:trPr>
          <w:cantSplit/>
          <w:jc w:val="center"/>
        </w:trPr>
        <w:tc>
          <w:tcPr>
            <w:tcW w:w="2708" w:type="dxa"/>
            <w:vMerge/>
            <w:tcBorders>
              <w:top w:val="single" w:sz="6" w:space="0" w:color="auto"/>
              <w:left w:val="single" w:sz="12" w:space="0" w:color="auto"/>
              <w:bottom w:val="single" w:sz="6" w:space="0" w:color="auto"/>
            </w:tcBorders>
          </w:tcPr>
          <w:p w14:paraId="5A520EC0" w14:textId="77777777" w:rsidR="00EF7288" w:rsidRPr="00EF7288" w:rsidRDefault="00EF7288" w:rsidP="00EF7288">
            <w:pPr>
              <w:ind w:right="-154"/>
              <w:rPr>
                <w:rFonts w:ascii="Arial" w:hAnsi="Arial" w:cs="Angsana New"/>
                <w:bCs/>
                <w:sz w:val="16"/>
                <w:szCs w:val="20"/>
                <w:lang w:val="en-GB" w:eastAsia="ja-JP"/>
              </w:rPr>
            </w:pPr>
          </w:p>
        </w:tc>
        <w:tc>
          <w:tcPr>
            <w:tcW w:w="2750" w:type="dxa"/>
            <w:tcBorders>
              <w:top w:val="single" w:sz="6" w:space="0" w:color="auto"/>
              <w:bottom w:val="single" w:sz="6" w:space="0" w:color="auto"/>
            </w:tcBorders>
            <w:vAlign w:val="center"/>
          </w:tcPr>
          <w:p w14:paraId="190CC9D3" w14:textId="77777777" w:rsidR="00EF7288" w:rsidRPr="00EF7288" w:rsidRDefault="00EF7288" w:rsidP="00EF7288">
            <w:pPr>
              <w:ind w:right="-154"/>
              <w:rPr>
                <w:rFonts w:ascii="Arial" w:hAnsi="Arial" w:cs="Angsana New"/>
                <w:bCs/>
                <w:sz w:val="16"/>
                <w:szCs w:val="20"/>
                <w:lang w:val="en-GB" w:eastAsia="ja-JP"/>
              </w:rPr>
            </w:pPr>
            <w:r w:rsidRPr="00EF7288">
              <w:rPr>
                <w:rFonts w:ascii="Arial" w:hAnsi="Arial" w:cs="Angsana New"/>
                <w:bCs/>
                <w:sz w:val="16"/>
                <w:szCs w:val="20"/>
                <w:lang w:val="en-GB" w:eastAsia="ja-JP"/>
              </w:rPr>
              <w:t>Sediment, Contaminant, Nutrient removal/storage</w:t>
            </w:r>
          </w:p>
        </w:tc>
        <w:tc>
          <w:tcPr>
            <w:tcW w:w="3085" w:type="dxa"/>
            <w:tcBorders>
              <w:top w:val="single" w:sz="6" w:space="0" w:color="auto"/>
              <w:bottom w:val="single" w:sz="6" w:space="0" w:color="auto"/>
            </w:tcBorders>
            <w:vAlign w:val="center"/>
          </w:tcPr>
          <w:p w14:paraId="1AA7509D"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2147" w:type="dxa"/>
            <w:tcBorders>
              <w:top w:val="single" w:sz="6" w:space="0" w:color="auto"/>
              <w:bottom w:val="single" w:sz="6" w:space="0" w:color="auto"/>
            </w:tcBorders>
            <w:vAlign w:val="center"/>
          </w:tcPr>
          <w:p w14:paraId="1FCC49EA" w14:textId="77777777" w:rsidR="00EF7288" w:rsidRPr="00EF7288" w:rsidRDefault="00EF7288" w:rsidP="00EF7288">
            <w:pPr>
              <w:rPr>
                <w:rFonts w:ascii="Arial" w:hAnsi="Arial" w:cs="Angsana New"/>
                <w:bCs/>
                <w:sz w:val="16"/>
                <w:szCs w:val="16"/>
                <w:lang w:val="en-GB"/>
              </w:rPr>
            </w:pPr>
            <w:r w:rsidRPr="00EF7288">
              <w:rPr>
                <w:rFonts w:ascii="Arial" w:hAnsi="Arial" w:cs="Angsana New"/>
                <w:bCs/>
                <w:sz w:val="16"/>
                <w:szCs w:val="16"/>
                <w:lang w:val="en-GB"/>
              </w:rPr>
              <w:t>Sediment and nutrient retention</w:t>
            </w:r>
          </w:p>
        </w:tc>
        <w:tc>
          <w:tcPr>
            <w:tcW w:w="3070" w:type="dxa"/>
            <w:tcBorders>
              <w:top w:val="single" w:sz="6" w:space="0" w:color="auto"/>
              <w:bottom w:val="single" w:sz="6" w:space="0" w:color="auto"/>
              <w:right w:val="single" w:sz="12" w:space="0" w:color="auto"/>
            </w:tcBorders>
            <w:vAlign w:val="center"/>
          </w:tcPr>
          <w:p w14:paraId="7B3C564B" w14:textId="77777777" w:rsidR="00EF7288" w:rsidRPr="00EF7288" w:rsidRDefault="00EF7288" w:rsidP="00EF7288">
            <w:pPr>
              <w:rPr>
                <w:rFonts w:ascii="Arial" w:hAnsi="Arial" w:cs="Angsana New"/>
                <w:bCs/>
                <w:sz w:val="16"/>
                <w:szCs w:val="16"/>
                <w:lang w:val="en-GB"/>
              </w:rPr>
            </w:pPr>
            <w:r w:rsidRPr="00EF7288">
              <w:rPr>
                <w:rFonts w:ascii="Arial" w:hAnsi="Arial" w:cs="Angsana New"/>
                <w:bCs/>
                <w:color w:val="000000"/>
                <w:sz w:val="16"/>
                <w:szCs w:val="16"/>
                <w:lang w:val="en-GB"/>
              </w:rPr>
              <w:t>Sediment and Nutrient Retention and Export</w:t>
            </w:r>
          </w:p>
        </w:tc>
      </w:tr>
      <w:tr w:rsidR="00EF7288" w:rsidRPr="00EF7288" w14:paraId="54DF39C4" w14:textId="77777777" w:rsidTr="005B6B53">
        <w:tblPrEx>
          <w:tblCellMar>
            <w:top w:w="0" w:type="dxa"/>
            <w:bottom w:w="0" w:type="dxa"/>
          </w:tblCellMar>
        </w:tblPrEx>
        <w:trPr>
          <w:cantSplit/>
          <w:jc w:val="center"/>
        </w:trPr>
        <w:tc>
          <w:tcPr>
            <w:tcW w:w="2708" w:type="dxa"/>
            <w:vMerge/>
            <w:tcBorders>
              <w:top w:val="single" w:sz="6" w:space="0" w:color="auto"/>
              <w:left w:val="single" w:sz="12" w:space="0" w:color="auto"/>
              <w:bottom w:val="single" w:sz="6" w:space="0" w:color="auto"/>
            </w:tcBorders>
          </w:tcPr>
          <w:p w14:paraId="02F7869E" w14:textId="77777777" w:rsidR="00EF7288" w:rsidRPr="00EF7288" w:rsidRDefault="00EF7288" w:rsidP="00EF7288">
            <w:pPr>
              <w:rPr>
                <w:rFonts w:ascii="Arial" w:hAnsi="Arial" w:cs="Angsana New"/>
                <w:bCs/>
                <w:sz w:val="16"/>
                <w:szCs w:val="20"/>
                <w:lang w:val="en-GB" w:eastAsia="ja-JP"/>
              </w:rPr>
            </w:pPr>
          </w:p>
        </w:tc>
        <w:tc>
          <w:tcPr>
            <w:tcW w:w="2750" w:type="dxa"/>
            <w:tcBorders>
              <w:top w:val="single" w:sz="6" w:space="0" w:color="auto"/>
              <w:bottom w:val="single" w:sz="6" w:space="0" w:color="auto"/>
            </w:tcBorders>
            <w:vAlign w:val="center"/>
          </w:tcPr>
          <w:p w14:paraId="6CF3FD90" w14:textId="77777777" w:rsidR="00EF7288" w:rsidRPr="00EF7288" w:rsidRDefault="00EF7288" w:rsidP="00EF7288">
            <w:pPr>
              <w:rPr>
                <w:rFonts w:ascii="Arial" w:hAnsi="Arial" w:cs="Angsana New"/>
                <w:bCs/>
                <w:sz w:val="16"/>
                <w:szCs w:val="20"/>
                <w:lang w:val="en-GB" w:eastAsia="ja-JP"/>
              </w:rPr>
            </w:pPr>
            <w:r w:rsidRPr="00EF7288">
              <w:rPr>
                <w:rFonts w:ascii="Arial" w:hAnsi="Arial" w:cs="Angsana New"/>
                <w:bCs/>
                <w:sz w:val="16"/>
                <w:szCs w:val="20"/>
                <w:lang w:val="en-GB" w:eastAsia="ja-JP"/>
              </w:rPr>
              <w:t xml:space="preserve">Oxygen release </w:t>
            </w:r>
          </w:p>
        </w:tc>
        <w:tc>
          <w:tcPr>
            <w:tcW w:w="3085" w:type="dxa"/>
            <w:tcBorders>
              <w:top w:val="single" w:sz="6" w:space="0" w:color="auto"/>
              <w:bottom w:val="single" w:sz="6" w:space="0" w:color="auto"/>
            </w:tcBorders>
            <w:vAlign w:val="center"/>
          </w:tcPr>
          <w:p w14:paraId="675376EC" w14:textId="77777777" w:rsidR="00EF7288" w:rsidRPr="00EF7288" w:rsidRDefault="00EF7288" w:rsidP="00EF7288">
            <w:pPr>
              <w:tabs>
                <w:tab w:val="left" w:pos="439"/>
              </w:tabs>
              <w:rPr>
                <w:rFonts w:ascii="Arial" w:hAnsi="Arial" w:cs="Angsana New"/>
                <w:bCs/>
                <w:sz w:val="16"/>
                <w:szCs w:val="20"/>
                <w:lang w:val="en-GB"/>
              </w:rPr>
            </w:pPr>
            <w:r w:rsidRPr="00EF7288">
              <w:rPr>
                <w:rFonts w:ascii="Arial" w:hAnsi="Arial" w:cs="Angsana New"/>
                <w:bCs/>
                <w:sz w:val="16"/>
                <w:szCs w:val="20"/>
                <w:lang w:val="en-GB"/>
              </w:rPr>
              <w:t>Climate change record</w:t>
            </w:r>
          </w:p>
        </w:tc>
        <w:tc>
          <w:tcPr>
            <w:tcW w:w="2147" w:type="dxa"/>
            <w:tcBorders>
              <w:top w:val="single" w:sz="6" w:space="0" w:color="auto"/>
              <w:bottom w:val="single" w:sz="6" w:space="0" w:color="auto"/>
            </w:tcBorders>
            <w:vAlign w:val="center"/>
          </w:tcPr>
          <w:p w14:paraId="08062503" w14:textId="77777777" w:rsidR="00EF7288" w:rsidRPr="00EF7288" w:rsidRDefault="00EF7288" w:rsidP="00EF7288">
            <w:pPr>
              <w:rPr>
                <w:rFonts w:ascii="Arial" w:hAnsi="Arial" w:cs="Angsana New"/>
                <w:bCs/>
                <w:sz w:val="16"/>
                <w:szCs w:val="16"/>
                <w:lang w:val="en-GB"/>
              </w:rPr>
            </w:pPr>
            <w:r w:rsidRPr="00EF7288">
              <w:rPr>
                <w:rFonts w:ascii="Arial" w:hAnsi="Arial" w:cs="Angsana New"/>
                <w:bCs/>
                <w:sz w:val="16"/>
                <w:szCs w:val="16"/>
                <w:lang w:val="en-GB"/>
              </w:rPr>
              <w:t>Oxygen release</w:t>
            </w:r>
          </w:p>
        </w:tc>
        <w:tc>
          <w:tcPr>
            <w:tcW w:w="3070" w:type="dxa"/>
            <w:tcBorders>
              <w:top w:val="single" w:sz="6" w:space="0" w:color="auto"/>
              <w:bottom w:val="single" w:sz="6" w:space="0" w:color="auto"/>
              <w:right w:val="single" w:sz="12" w:space="0" w:color="auto"/>
            </w:tcBorders>
            <w:vAlign w:val="center"/>
          </w:tcPr>
          <w:p w14:paraId="6EC69F6E" w14:textId="77777777" w:rsidR="00EF7288" w:rsidRPr="00EF7288" w:rsidRDefault="00EF7288" w:rsidP="00EF7288">
            <w:pPr>
              <w:rPr>
                <w:rFonts w:ascii="Arial" w:hAnsi="Arial" w:cs="Angsana New"/>
                <w:bCs/>
                <w:color w:val="000000"/>
                <w:sz w:val="16"/>
                <w:szCs w:val="16"/>
                <w:lang w:val="en-GB"/>
              </w:rPr>
            </w:pPr>
            <w:r w:rsidRPr="00EF7288">
              <w:rPr>
                <w:rFonts w:ascii="Arial" w:hAnsi="Arial" w:cs="Angsana New"/>
                <w:bCs/>
                <w:sz w:val="16"/>
                <w:szCs w:val="16"/>
                <w:lang w:val="en-GB"/>
              </w:rPr>
              <w:t>Oxygen release</w:t>
            </w:r>
          </w:p>
        </w:tc>
      </w:tr>
      <w:tr w:rsidR="00EF7288" w:rsidRPr="00EF7288" w14:paraId="4C548B22" w14:textId="77777777" w:rsidTr="005B6B53">
        <w:tblPrEx>
          <w:tblCellMar>
            <w:top w:w="0" w:type="dxa"/>
            <w:bottom w:w="0" w:type="dxa"/>
          </w:tblCellMar>
        </w:tblPrEx>
        <w:trPr>
          <w:cantSplit/>
          <w:jc w:val="center"/>
        </w:trPr>
        <w:tc>
          <w:tcPr>
            <w:tcW w:w="2708" w:type="dxa"/>
            <w:vMerge/>
            <w:tcBorders>
              <w:top w:val="single" w:sz="6" w:space="0" w:color="auto"/>
              <w:left w:val="single" w:sz="12" w:space="0" w:color="auto"/>
              <w:bottom w:val="single" w:sz="6" w:space="0" w:color="auto"/>
            </w:tcBorders>
          </w:tcPr>
          <w:p w14:paraId="12B80952" w14:textId="77777777" w:rsidR="00EF7288" w:rsidRPr="00EF7288" w:rsidRDefault="00EF7288" w:rsidP="00EF7288">
            <w:pPr>
              <w:rPr>
                <w:rFonts w:ascii="Arial" w:hAnsi="Arial" w:cs="Angsana New"/>
                <w:bCs/>
                <w:sz w:val="16"/>
                <w:szCs w:val="20"/>
                <w:lang w:val="en-GB" w:eastAsia="ja-JP"/>
              </w:rPr>
            </w:pPr>
          </w:p>
        </w:tc>
        <w:tc>
          <w:tcPr>
            <w:tcW w:w="2750" w:type="dxa"/>
            <w:tcBorders>
              <w:top w:val="single" w:sz="6" w:space="0" w:color="auto"/>
              <w:bottom w:val="single" w:sz="6" w:space="0" w:color="auto"/>
            </w:tcBorders>
            <w:vAlign w:val="center"/>
          </w:tcPr>
          <w:p w14:paraId="394A3E98" w14:textId="77777777" w:rsidR="00EF7288" w:rsidRPr="00EF7288" w:rsidRDefault="00EF7288" w:rsidP="00EF7288">
            <w:pPr>
              <w:rPr>
                <w:rFonts w:ascii="Arial" w:hAnsi="Arial" w:cs="Angsana New"/>
                <w:bCs/>
                <w:sz w:val="16"/>
                <w:szCs w:val="20"/>
                <w:lang w:val="en-GB" w:eastAsia="ja-JP"/>
              </w:rPr>
            </w:pPr>
            <w:r w:rsidRPr="00EF7288">
              <w:rPr>
                <w:rFonts w:ascii="Arial" w:hAnsi="Arial" w:cs="Angsana New"/>
                <w:bCs/>
                <w:sz w:val="16"/>
                <w:szCs w:val="20"/>
                <w:lang w:val="en-GB" w:eastAsia="ja-JP"/>
              </w:rPr>
              <w:t>Nursery feeding area</w:t>
            </w:r>
          </w:p>
        </w:tc>
        <w:tc>
          <w:tcPr>
            <w:tcW w:w="3085" w:type="dxa"/>
            <w:tcBorders>
              <w:top w:val="single" w:sz="6" w:space="0" w:color="auto"/>
              <w:bottom w:val="single" w:sz="6" w:space="0" w:color="auto"/>
            </w:tcBorders>
            <w:vAlign w:val="center"/>
          </w:tcPr>
          <w:p w14:paraId="705022B6" w14:textId="77777777" w:rsidR="00EF7288" w:rsidRPr="00EF7288" w:rsidRDefault="00EF7288" w:rsidP="00EF7288">
            <w:pPr>
              <w:tabs>
                <w:tab w:val="left" w:pos="439"/>
              </w:tabs>
              <w:rPr>
                <w:rFonts w:ascii="Arial" w:hAnsi="Arial" w:cs="Angsana New"/>
                <w:bCs/>
                <w:sz w:val="16"/>
                <w:szCs w:val="20"/>
                <w:lang w:val="en-GB"/>
              </w:rPr>
            </w:pPr>
            <w:r w:rsidRPr="00EF7288">
              <w:rPr>
                <w:rFonts w:ascii="Arial" w:hAnsi="Arial" w:cs="Angsana New"/>
                <w:bCs/>
                <w:sz w:val="16"/>
                <w:szCs w:val="20"/>
                <w:lang w:val="en-GB"/>
              </w:rPr>
              <w:t>Nursery ground</w:t>
            </w:r>
          </w:p>
        </w:tc>
        <w:tc>
          <w:tcPr>
            <w:tcW w:w="2147" w:type="dxa"/>
            <w:tcBorders>
              <w:top w:val="single" w:sz="6" w:space="0" w:color="auto"/>
              <w:bottom w:val="single" w:sz="6" w:space="0" w:color="auto"/>
            </w:tcBorders>
            <w:vAlign w:val="center"/>
          </w:tcPr>
          <w:p w14:paraId="4D50839F" w14:textId="77777777" w:rsidR="00EF7288" w:rsidRPr="00EF7288" w:rsidRDefault="00EF7288" w:rsidP="00EF7288">
            <w:pPr>
              <w:rPr>
                <w:rFonts w:ascii="Arial" w:hAnsi="Arial" w:cs="Angsana New"/>
                <w:bCs/>
                <w:color w:val="000000"/>
                <w:sz w:val="16"/>
                <w:szCs w:val="16"/>
                <w:lang w:val="en-GB"/>
              </w:rPr>
            </w:pPr>
            <w:r w:rsidRPr="00EF7288">
              <w:rPr>
                <w:rFonts w:ascii="Arial" w:hAnsi="Arial" w:cs="Angsana New"/>
                <w:bCs/>
                <w:sz w:val="16"/>
                <w:szCs w:val="16"/>
                <w:lang w:val="en-GB"/>
              </w:rPr>
              <w:t>Nursery area</w:t>
            </w:r>
          </w:p>
        </w:tc>
        <w:tc>
          <w:tcPr>
            <w:tcW w:w="3070" w:type="dxa"/>
            <w:tcBorders>
              <w:top w:val="single" w:sz="6" w:space="0" w:color="auto"/>
              <w:bottom w:val="single" w:sz="6" w:space="0" w:color="auto"/>
              <w:right w:val="single" w:sz="12" w:space="0" w:color="auto"/>
            </w:tcBorders>
            <w:vAlign w:val="center"/>
          </w:tcPr>
          <w:p w14:paraId="24D64CFF" w14:textId="77777777" w:rsidR="00EF7288" w:rsidRPr="00EF7288" w:rsidRDefault="00EF7288" w:rsidP="00EF7288">
            <w:pPr>
              <w:rPr>
                <w:rFonts w:ascii="Arial" w:hAnsi="Arial" w:cs="Angsana New"/>
                <w:bCs/>
                <w:color w:val="000000"/>
                <w:sz w:val="16"/>
                <w:szCs w:val="16"/>
                <w:lang w:val="en-GB"/>
              </w:rPr>
            </w:pPr>
            <w:r w:rsidRPr="00EF7288">
              <w:rPr>
                <w:rFonts w:ascii="Arial" w:hAnsi="Arial" w:cs="Angsana New"/>
                <w:bCs/>
                <w:sz w:val="16"/>
                <w:szCs w:val="16"/>
                <w:lang w:val="en-GB"/>
              </w:rPr>
              <w:t>Nursery area</w:t>
            </w:r>
            <w:r w:rsidRPr="00EF7288">
              <w:rPr>
                <w:rFonts w:ascii="Arial" w:hAnsi="Arial" w:cs="Angsana New"/>
                <w:bCs/>
                <w:color w:val="000000"/>
                <w:sz w:val="16"/>
                <w:szCs w:val="16"/>
                <w:lang w:val="en-GB"/>
              </w:rPr>
              <w:t xml:space="preserve"> </w:t>
            </w:r>
          </w:p>
        </w:tc>
      </w:tr>
      <w:tr w:rsidR="00EF7288" w:rsidRPr="00EF7288" w14:paraId="4C8AFB6D" w14:textId="77777777" w:rsidTr="005B6B53">
        <w:tblPrEx>
          <w:tblCellMar>
            <w:top w:w="0" w:type="dxa"/>
            <w:bottom w:w="0" w:type="dxa"/>
          </w:tblCellMar>
        </w:tblPrEx>
        <w:trPr>
          <w:cantSplit/>
          <w:jc w:val="center"/>
        </w:trPr>
        <w:tc>
          <w:tcPr>
            <w:tcW w:w="2708" w:type="dxa"/>
            <w:vMerge/>
            <w:tcBorders>
              <w:top w:val="single" w:sz="6" w:space="0" w:color="auto"/>
              <w:left w:val="single" w:sz="12" w:space="0" w:color="auto"/>
              <w:bottom w:val="single" w:sz="6" w:space="0" w:color="auto"/>
            </w:tcBorders>
          </w:tcPr>
          <w:p w14:paraId="626A6F8A" w14:textId="77777777" w:rsidR="00EF7288" w:rsidRPr="00EF7288" w:rsidRDefault="00EF7288" w:rsidP="00EF7288">
            <w:pPr>
              <w:rPr>
                <w:rFonts w:ascii="Arial" w:hAnsi="Arial" w:cs="Angsana New"/>
                <w:bCs/>
                <w:sz w:val="16"/>
                <w:szCs w:val="20"/>
                <w:lang w:val="en-GB" w:eastAsia="ja-JP"/>
              </w:rPr>
            </w:pPr>
          </w:p>
        </w:tc>
        <w:tc>
          <w:tcPr>
            <w:tcW w:w="2750" w:type="dxa"/>
            <w:tcBorders>
              <w:top w:val="single" w:sz="6" w:space="0" w:color="auto"/>
              <w:bottom w:val="single" w:sz="6" w:space="0" w:color="auto"/>
            </w:tcBorders>
            <w:vAlign w:val="center"/>
          </w:tcPr>
          <w:p w14:paraId="2845F952" w14:textId="77777777" w:rsidR="00EF7288" w:rsidRPr="00EF7288" w:rsidRDefault="00EF7288" w:rsidP="00EF7288">
            <w:pPr>
              <w:rPr>
                <w:rFonts w:ascii="Arial" w:hAnsi="Arial" w:cs="Angsana New"/>
                <w:bCs/>
                <w:sz w:val="16"/>
                <w:szCs w:val="20"/>
                <w:lang w:val="en-GB" w:eastAsia="ja-JP"/>
              </w:rPr>
            </w:pPr>
            <w:r w:rsidRPr="00EF7288">
              <w:rPr>
                <w:rFonts w:ascii="Arial" w:hAnsi="Arial" w:cs="Angsana New"/>
                <w:bCs/>
                <w:sz w:val="16"/>
                <w:szCs w:val="20"/>
                <w:lang w:val="en-GB" w:eastAsia="ja-JP"/>
              </w:rPr>
              <w:t xml:space="preserve">Shoreline accretion/Land increase </w:t>
            </w:r>
          </w:p>
        </w:tc>
        <w:tc>
          <w:tcPr>
            <w:tcW w:w="3085" w:type="dxa"/>
            <w:tcBorders>
              <w:top w:val="single" w:sz="6" w:space="0" w:color="auto"/>
              <w:bottom w:val="single" w:sz="6" w:space="0" w:color="auto"/>
            </w:tcBorders>
            <w:vAlign w:val="center"/>
          </w:tcPr>
          <w:p w14:paraId="1F7A7FC1"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2147" w:type="dxa"/>
            <w:tcBorders>
              <w:top w:val="single" w:sz="6" w:space="0" w:color="auto"/>
              <w:bottom w:val="single" w:sz="6" w:space="0" w:color="auto"/>
            </w:tcBorders>
            <w:vAlign w:val="center"/>
          </w:tcPr>
          <w:p w14:paraId="3983D519"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3070" w:type="dxa"/>
            <w:tcBorders>
              <w:top w:val="single" w:sz="6" w:space="0" w:color="auto"/>
              <w:bottom w:val="single" w:sz="6" w:space="0" w:color="auto"/>
              <w:right w:val="single" w:sz="12" w:space="0" w:color="auto"/>
            </w:tcBorders>
            <w:vAlign w:val="center"/>
          </w:tcPr>
          <w:p w14:paraId="1192EC96"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r>
      <w:tr w:rsidR="00EF7288" w:rsidRPr="00EF7288" w14:paraId="37384574" w14:textId="77777777" w:rsidTr="005B6B53">
        <w:tblPrEx>
          <w:tblCellMar>
            <w:top w:w="0" w:type="dxa"/>
            <w:bottom w:w="0" w:type="dxa"/>
          </w:tblCellMar>
        </w:tblPrEx>
        <w:trPr>
          <w:cantSplit/>
          <w:jc w:val="center"/>
        </w:trPr>
        <w:tc>
          <w:tcPr>
            <w:tcW w:w="2708" w:type="dxa"/>
            <w:vMerge/>
            <w:tcBorders>
              <w:top w:val="single" w:sz="6" w:space="0" w:color="auto"/>
              <w:left w:val="single" w:sz="12" w:space="0" w:color="auto"/>
              <w:bottom w:val="single" w:sz="6" w:space="0" w:color="auto"/>
            </w:tcBorders>
          </w:tcPr>
          <w:p w14:paraId="0ADC62A3" w14:textId="77777777" w:rsidR="00EF7288" w:rsidRPr="00EF7288" w:rsidRDefault="00EF7288" w:rsidP="00EF7288">
            <w:pPr>
              <w:rPr>
                <w:rFonts w:ascii="Arial" w:hAnsi="Arial" w:cs="Angsana New"/>
                <w:b/>
                <w:iCs/>
                <w:sz w:val="18"/>
                <w:szCs w:val="20"/>
                <w:lang w:val="en-GB" w:eastAsia="ja-JP"/>
              </w:rPr>
            </w:pPr>
          </w:p>
        </w:tc>
        <w:tc>
          <w:tcPr>
            <w:tcW w:w="2750" w:type="dxa"/>
            <w:tcBorders>
              <w:top w:val="single" w:sz="6" w:space="0" w:color="auto"/>
              <w:bottom w:val="single" w:sz="6" w:space="0" w:color="auto"/>
            </w:tcBorders>
            <w:vAlign w:val="center"/>
          </w:tcPr>
          <w:p w14:paraId="43C0B91E"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3085" w:type="dxa"/>
            <w:tcBorders>
              <w:top w:val="single" w:sz="6" w:space="0" w:color="auto"/>
              <w:bottom w:val="single" w:sz="6" w:space="0" w:color="auto"/>
            </w:tcBorders>
            <w:vAlign w:val="center"/>
          </w:tcPr>
          <w:p w14:paraId="538A8CB0"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2147" w:type="dxa"/>
            <w:tcBorders>
              <w:top w:val="single" w:sz="6" w:space="0" w:color="auto"/>
              <w:bottom w:val="single" w:sz="6" w:space="0" w:color="auto"/>
            </w:tcBorders>
            <w:vAlign w:val="center"/>
          </w:tcPr>
          <w:p w14:paraId="05441F25"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3070" w:type="dxa"/>
            <w:tcBorders>
              <w:top w:val="single" w:sz="6" w:space="0" w:color="auto"/>
              <w:bottom w:val="single" w:sz="6" w:space="0" w:color="auto"/>
              <w:right w:val="single" w:sz="12" w:space="0" w:color="auto"/>
            </w:tcBorders>
            <w:vAlign w:val="center"/>
          </w:tcPr>
          <w:p w14:paraId="216B94CD" w14:textId="77777777" w:rsidR="00EF7288" w:rsidRPr="00EF7288" w:rsidRDefault="00EF7288" w:rsidP="00EF7288">
            <w:pPr>
              <w:rPr>
                <w:rFonts w:ascii="Arial" w:hAnsi="Arial" w:cs="Angsana New"/>
                <w:bCs/>
                <w:color w:val="000000"/>
                <w:sz w:val="16"/>
                <w:szCs w:val="16"/>
                <w:lang w:val="en-GB"/>
              </w:rPr>
            </w:pPr>
            <w:r w:rsidRPr="00EF7288">
              <w:rPr>
                <w:rFonts w:ascii="Arial" w:hAnsi="Arial" w:cs="Angsana New"/>
                <w:bCs/>
                <w:color w:val="000000"/>
                <w:sz w:val="16"/>
                <w:szCs w:val="16"/>
                <w:lang w:val="en-GB"/>
              </w:rPr>
              <w:t>Climate Change Mitigation</w:t>
            </w:r>
          </w:p>
        </w:tc>
      </w:tr>
      <w:tr w:rsidR="00EF7288" w:rsidRPr="00EF7288" w14:paraId="40CD531F" w14:textId="77777777" w:rsidTr="005B6B53">
        <w:tblPrEx>
          <w:tblCellMar>
            <w:top w:w="0" w:type="dxa"/>
            <w:bottom w:w="0" w:type="dxa"/>
          </w:tblCellMar>
        </w:tblPrEx>
        <w:trPr>
          <w:cantSplit/>
          <w:jc w:val="center"/>
        </w:trPr>
        <w:tc>
          <w:tcPr>
            <w:tcW w:w="2708" w:type="dxa"/>
            <w:vMerge/>
            <w:tcBorders>
              <w:top w:val="single" w:sz="6" w:space="0" w:color="auto"/>
              <w:left w:val="single" w:sz="12" w:space="0" w:color="auto"/>
              <w:bottom w:val="single" w:sz="6" w:space="0" w:color="auto"/>
            </w:tcBorders>
          </w:tcPr>
          <w:p w14:paraId="04CD49D6" w14:textId="77777777" w:rsidR="00EF7288" w:rsidRPr="00EF7288" w:rsidRDefault="00EF7288" w:rsidP="00EF7288">
            <w:pPr>
              <w:rPr>
                <w:rFonts w:ascii="Arial" w:hAnsi="Arial" w:cs="Angsana New"/>
                <w:b/>
                <w:iCs/>
                <w:sz w:val="18"/>
                <w:szCs w:val="20"/>
                <w:lang w:val="en-GB" w:eastAsia="ja-JP"/>
              </w:rPr>
            </w:pPr>
          </w:p>
        </w:tc>
        <w:tc>
          <w:tcPr>
            <w:tcW w:w="2750" w:type="dxa"/>
            <w:tcBorders>
              <w:top w:val="single" w:sz="6" w:space="0" w:color="auto"/>
              <w:bottom w:val="single" w:sz="6" w:space="0" w:color="auto"/>
            </w:tcBorders>
            <w:vAlign w:val="center"/>
          </w:tcPr>
          <w:p w14:paraId="52965049"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3085" w:type="dxa"/>
            <w:tcBorders>
              <w:top w:val="single" w:sz="6" w:space="0" w:color="auto"/>
              <w:bottom w:val="single" w:sz="6" w:space="0" w:color="auto"/>
            </w:tcBorders>
            <w:vAlign w:val="center"/>
          </w:tcPr>
          <w:p w14:paraId="6B92ED8A"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2147" w:type="dxa"/>
            <w:tcBorders>
              <w:top w:val="single" w:sz="6" w:space="0" w:color="auto"/>
              <w:bottom w:val="single" w:sz="6" w:space="0" w:color="auto"/>
            </w:tcBorders>
            <w:vAlign w:val="center"/>
          </w:tcPr>
          <w:p w14:paraId="7EAFABFC"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3070" w:type="dxa"/>
            <w:tcBorders>
              <w:top w:val="single" w:sz="6" w:space="0" w:color="auto"/>
              <w:bottom w:val="single" w:sz="6" w:space="0" w:color="auto"/>
              <w:right w:val="single" w:sz="12" w:space="0" w:color="auto"/>
            </w:tcBorders>
            <w:vAlign w:val="center"/>
          </w:tcPr>
          <w:p w14:paraId="3465CF45" w14:textId="77777777" w:rsidR="00EF7288" w:rsidRPr="00EF7288" w:rsidRDefault="00EF7288" w:rsidP="00EF7288">
            <w:pPr>
              <w:rPr>
                <w:rFonts w:ascii="Arial" w:hAnsi="Arial" w:cs="Angsana New"/>
                <w:bCs/>
                <w:color w:val="000000"/>
                <w:sz w:val="16"/>
                <w:szCs w:val="16"/>
                <w:lang w:val="en-GB"/>
              </w:rPr>
            </w:pPr>
            <w:r w:rsidRPr="00EF7288">
              <w:rPr>
                <w:rFonts w:ascii="Arial" w:hAnsi="Arial" w:cs="Angsana New"/>
                <w:bCs/>
                <w:color w:val="000000"/>
                <w:sz w:val="16"/>
                <w:szCs w:val="16"/>
                <w:lang w:val="en-GB"/>
              </w:rPr>
              <w:t>Water supply (subsistence value)</w:t>
            </w:r>
          </w:p>
        </w:tc>
      </w:tr>
      <w:tr w:rsidR="00EF7288" w:rsidRPr="00EF7288" w14:paraId="766E274D" w14:textId="77777777" w:rsidTr="005B6B53">
        <w:tblPrEx>
          <w:tblCellMar>
            <w:top w:w="0" w:type="dxa"/>
            <w:bottom w:w="0" w:type="dxa"/>
          </w:tblCellMar>
        </w:tblPrEx>
        <w:trPr>
          <w:cantSplit/>
          <w:jc w:val="center"/>
        </w:trPr>
        <w:tc>
          <w:tcPr>
            <w:tcW w:w="2708" w:type="dxa"/>
            <w:vMerge w:val="restart"/>
            <w:tcBorders>
              <w:top w:val="single" w:sz="6" w:space="0" w:color="auto"/>
              <w:left w:val="single" w:sz="12" w:space="0" w:color="auto"/>
              <w:bottom w:val="single" w:sz="6" w:space="0" w:color="auto"/>
            </w:tcBorders>
          </w:tcPr>
          <w:p w14:paraId="1FFAA9ED" w14:textId="77777777" w:rsidR="00EF7288" w:rsidRPr="00EF7288" w:rsidRDefault="00EF7288" w:rsidP="00EF7288">
            <w:pPr>
              <w:rPr>
                <w:rFonts w:ascii="Arial" w:hAnsi="Arial" w:cs="Angsana New"/>
                <w:b/>
                <w:iCs/>
                <w:sz w:val="18"/>
                <w:szCs w:val="20"/>
                <w:lang w:val="en-GB" w:eastAsia="ja-JP"/>
              </w:rPr>
            </w:pPr>
            <w:r w:rsidRPr="00EF7288">
              <w:rPr>
                <w:rFonts w:ascii="Arial" w:hAnsi="Arial" w:cs="Angsana New"/>
                <w:b/>
                <w:iCs/>
                <w:sz w:val="18"/>
                <w:szCs w:val="20"/>
                <w:lang w:val="en-GB" w:eastAsia="ja-JP"/>
              </w:rPr>
              <w:t>Biological diversity services</w:t>
            </w:r>
          </w:p>
        </w:tc>
        <w:tc>
          <w:tcPr>
            <w:tcW w:w="2750" w:type="dxa"/>
            <w:tcBorders>
              <w:top w:val="single" w:sz="6" w:space="0" w:color="auto"/>
              <w:bottom w:val="single" w:sz="6" w:space="0" w:color="auto"/>
            </w:tcBorders>
            <w:vAlign w:val="center"/>
          </w:tcPr>
          <w:p w14:paraId="6E559E85" w14:textId="77777777" w:rsidR="00EF7288" w:rsidRPr="00EF7288" w:rsidRDefault="00EF7288" w:rsidP="00EF7288">
            <w:pPr>
              <w:rPr>
                <w:rFonts w:ascii="Arial" w:hAnsi="Arial" w:cs="Angsana New"/>
                <w:bCs/>
                <w:sz w:val="16"/>
                <w:szCs w:val="20"/>
                <w:lang w:val="en-GB" w:eastAsia="ja-JP"/>
              </w:rPr>
            </w:pPr>
            <w:r w:rsidRPr="00EF7288">
              <w:rPr>
                <w:rFonts w:ascii="Arial" w:hAnsi="Arial" w:cs="Angsana New"/>
                <w:bCs/>
                <w:sz w:val="16"/>
                <w:szCs w:val="20"/>
                <w:lang w:val="en-GB" w:eastAsia="ja-JP"/>
              </w:rPr>
              <w:t>Existence values of species, genes, and communities</w:t>
            </w:r>
          </w:p>
        </w:tc>
        <w:tc>
          <w:tcPr>
            <w:tcW w:w="3085" w:type="dxa"/>
            <w:tcBorders>
              <w:top w:val="single" w:sz="6" w:space="0" w:color="auto"/>
              <w:bottom w:val="single" w:sz="6" w:space="0" w:color="auto"/>
            </w:tcBorders>
            <w:vAlign w:val="center"/>
          </w:tcPr>
          <w:p w14:paraId="65AF41B6" w14:textId="77777777" w:rsidR="00EF7288" w:rsidRPr="00EF7288" w:rsidRDefault="00EF7288" w:rsidP="00EF7288">
            <w:pPr>
              <w:tabs>
                <w:tab w:val="left" w:pos="439"/>
              </w:tabs>
              <w:rPr>
                <w:rFonts w:ascii="Arial" w:hAnsi="Arial" w:cs="Angsana New"/>
                <w:bCs/>
                <w:sz w:val="16"/>
                <w:szCs w:val="20"/>
                <w:lang w:val="en-GB"/>
              </w:rPr>
            </w:pPr>
            <w:r w:rsidRPr="00EF7288">
              <w:rPr>
                <w:rFonts w:ascii="Arial" w:hAnsi="Arial" w:cs="Angsana New"/>
                <w:bCs/>
                <w:sz w:val="16"/>
                <w:szCs w:val="20"/>
                <w:lang w:val="en-GB"/>
              </w:rPr>
              <w:t>Biodiversity Storage</w:t>
            </w:r>
          </w:p>
        </w:tc>
        <w:tc>
          <w:tcPr>
            <w:tcW w:w="2147" w:type="dxa"/>
            <w:tcBorders>
              <w:top w:val="single" w:sz="6" w:space="0" w:color="auto"/>
              <w:bottom w:val="single" w:sz="6" w:space="0" w:color="auto"/>
            </w:tcBorders>
            <w:vAlign w:val="center"/>
          </w:tcPr>
          <w:p w14:paraId="0F78C474" w14:textId="77777777" w:rsidR="00EF7288" w:rsidRPr="00EF7288" w:rsidRDefault="00EF7288" w:rsidP="00EF7288">
            <w:pPr>
              <w:rPr>
                <w:rFonts w:ascii="Arial" w:hAnsi="Arial" w:cs="Angsana New"/>
                <w:bCs/>
                <w:color w:val="000000"/>
                <w:sz w:val="16"/>
                <w:szCs w:val="16"/>
                <w:lang w:val="en-GB"/>
              </w:rPr>
            </w:pPr>
            <w:r w:rsidRPr="00EF7288">
              <w:rPr>
                <w:rFonts w:ascii="Arial" w:hAnsi="Arial" w:cs="Angsana New"/>
                <w:bCs/>
                <w:sz w:val="16"/>
                <w:szCs w:val="16"/>
                <w:lang w:val="en-GB"/>
              </w:rPr>
              <w:t>Biological diversity</w:t>
            </w:r>
          </w:p>
        </w:tc>
        <w:tc>
          <w:tcPr>
            <w:tcW w:w="3070" w:type="dxa"/>
            <w:tcBorders>
              <w:top w:val="single" w:sz="6" w:space="0" w:color="auto"/>
              <w:bottom w:val="single" w:sz="6" w:space="0" w:color="auto"/>
              <w:right w:val="single" w:sz="12" w:space="0" w:color="auto"/>
            </w:tcBorders>
            <w:vAlign w:val="center"/>
          </w:tcPr>
          <w:p w14:paraId="271547BF" w14:textId="77777777" w:rsidR="00EF7288" w:rsidRPr="00EF7288" w:rsidRDefault="00EF7288" w:rsidP="00EF7288">
            <w:pPr>
              <w:rPr>
                <w:rFonts w:ascii="Arial" w:hAnsi="Arial" w:cs="Angsana New"/>
                <w:bCs/>
                <w:sz w:val="16"/>
                <w:szCs w:val="16"/>
                <w:lang w:val="en-GB"/>
              </w:rPr>
            </w:pPr>
            <w:r w:rsidRPr="00EF7288">
              <w:rPr>
                <w:rFonts w:ascii="Arial" w:hAnsi="Arial" w:cs="Angsana New"/>
                <w:bCs/>
                <w:sz w:val="16"/>
                <w:szCs w:val="16"/>
                <w:lang w:val="en-GB"/>
              </w:rPr>
              <w:t>Biological diversity (existence value of species, genes and communities)</w:t>
            </w:r>
          </w:p>
        </w:tc>
      </w:tr>
      <w:tr w:rsidR="00EF7288" w:rsidRPr="00EF7288" w14:paraId="5A71D062" w14:textId="77777777" w:rsidTr="005B6B53">
        <w:tblPrEx>
          <w:tblCellMar>
            <w:top w:w="0" w:type="dxa"/>
            <w:bottom w:w="0" w:type="dxa"/>
          </w:tblCellMar>
        </w:tblPrEx>
        <w:trPr>
          <w:cantSplit/>
          <w:jc w:val="center"/>
        </w:trPr>
        <w:tc>
          <w:tcPr>
            <w:tcW w:w="2708" w:type="dxa"/>
            <w:vMerge/>
            <w:tcBorders>
              <w:top w:val="single" w:sz="6" w:space="0" w:color="auto"/>
              <w:left w:val="single" w:sz="12" w:space="0" w:color="auto"/>
              <w:bottom w:val="single" w:sz="6" w:space="0" w:color="auto"/>
            </w:tcBorders>
          </w:tcPr>
          <w:p w14:paraId="7AE6A8A9" w14:textId="77777777" w:rsidR="00EF7288" w:rsidRPr="00EF7288" w:rsidRDefault="00EF7288" w:rsidP="00EF7288">
            <w:pPr>
              <w:rPr>
                <w:rFonts w:ascii="Arial" w:hAnsi="Arial" w:cs="Angsana New"/>
                <w:b/>
                <w:iCs/>
                <w:sz w:val="18"/>
                <w:szCs w:val="20"/>
                <w:lang w:val="en-GB" w:eastAsia="ja-JP"/>
              </w:rPr>
            </w:pPr>
          </w:p>
        </w:tc>
        <w:tc>
          <w:tcPr>
            <w:tcW w:w="2750" w:type="dxa"/>
            <w:tcBorders>
              <w:top w:val="single" w:sz="6" w:space="0" w:color="auto"/>
              <w:bottom w:val="single" w:sz="6" w:space="0" w:color="auto"/>
            </w:tcBorders>
            <w:vAlign w:val="center"/>
          </w:tcPr>
          <w:p w14:paraId="7DE1469D" w14:textId="77777777" w:rsidR="00EF7288" w:rsidRPr="00EF7288" w:rsidRDefault="00EF7288" w:rsidP="00EF7288">
            <w:pPr>
              <w:rPr>
                <w:rFonts w:ascii="Arial" w:hAnsi="Arial" w:cs="Angsana New"/>
                <w:bCs/>
                <w:sz w:val="16"/>
                <w:szCs w:val="16"/>
                <w:lang w:val="en-GB"/>
              </w:rPr>
            </w:pPr>
            <w:r w:rsidRPr="00EF7288">
              <w:rPr>
                <w:rFonts w:ascii="Arial" w:hAnsi="Arial" w:cs="Angsana New"/>
                <w:bCs/>
                <w:sz w:val="16"/>
                <w:szCs w:val="16"/>
                <w:lang w:val="en-GB"/>
              </w:rPr>
              <w:t>Migratory species</w:t>
            </w:r>
          </w:p>
        </w:tc>
        <w:tc>
          <w:tcPr>
            <w:tcW w:w="3085" w:type="dxa"/>
            <w:tcBorders>
              <w:top w:val="single" w:sz="6" w:space="0" w:color="auto"/>
              <w:bottom w:val="single" w:sz="6" w:space="0" w:color="auto"/>
            </w:tcBorders>
            <w:vAlign w:val="center"/>
          </w:tcPr>
          <w:p w14:paraId="465EF28A" w14:textId="77777777" w:rsidR="00EF7288" w:rsidRPr="00EF7288" w:rsidRDefault="00EF7288" w:rsidP="00EF7288">
            <w:pPr>
              <w:tabs>
                <w:tab w:val="left" w:pos="439"/>
              </w:tabs>
              <w:rPr>
                <w:rFonts w:ascii="Arial" w:hAnsi="Arial" w:cs="Angsana New"/>
                <w:bCs/>
                <w:sz w:val="16"/>
                <w:szCs w:val="20"/>
                <w:lang w:val="en-GB"/>
              </w:rPr>
            </w:pPr>
            <w:r w:rsidRPr="00EF7288">
              <w:rPr>
                <w:rFonts w:ascii="Arial" w:hAnsi="Arial" w:cs="Angsana New"/>
                <w:bCs/>
                <w:sz w:val="16"/>
                <w:szCs w:val="20"/>
                <w:lang w:val="en-GB"/>
              </w:rPr>
              <w:t>Secondary producers</w:t>
            </w:r>
          </w:p>
        </w:tc>
        <w:tc>
          <w:tcPr>
            <w:tcW w:w="2147" w:type="dxa"/>
            <w:tcBorders>
              <w:top w:val="single" w:sz="6" w:space="0" w:color="auto"/>
              <w:bottom w:val="single" w:sz="6" w:space="0" w:color="auto"/>
            </w:tcBorders>
            <w:vAlign w:val="center"/>
          </w:tcPr>
          <w:p w14:paraId="438B7B90"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3070" w:type="dxa"/>
            <w:tcBorders>
              <w:top w:val="single" w:sz="6" w:space="0" w:color="auto"/>
              <w:bottom w:val="single" w:sz="6" w:space="0" w:color="auto"/>
              <w:right w:val="single" w:sz="12" w:space="0" w:color="auto"/>
            </w:tcBorders>
            <w:vAlign w:val="center"/>
          </w:tcPr>
          <w:p w14:paraId="59101E93" w14:textId="77777777" w:rsidR="00EF7288" w:rsidRPr="00EF7288" w:rsidRDefault="00EF7288" w:rsidP="00EF7288">
            <w:pPr>
              <w:rPr>
                <w:rFonts w:ascii="Arial" w:hAnsi="Arial" w:cs="Angsana New"/>
                <w:bCs/>
                <w:sz w:val="16"/>
                <w:szCs w:val="16"/>
                <w:lang w:val="en-GB"/>
              </w:rPr>
            </w:pPr>
            <w:r w:rsidRPr="00EF7288">
              <w:rPr>
                <w:rFonts w:ascii="Arial" w:hAnsi="Arial" w:cs="Angsana New"/>
                <w:bCs/>
                <w:sz w:val="16"/>
                <w:szCs w:val="16"/>
                <w:lang w:val="en-GB"/>
              </w:rPr>
              <w:t>Migratory species</w:t>
            </w:r>
          </w:p>
        </w:tc>
      </w:tr>
      <w:tr w:rsidR="00EF7288" w:rsidRPr="00EF7288" w14:paraId="05EB7026" w14:textId="77777777" w:rsidTr="005B6B53">
        <w:tblPrEx>
          <w:tblCellMar>
            <w:top w:w="0" w:type="dxa"/>
            <w:bottom w:w="0" w:type="dxa"/>
          </w:tblCellMar>
        </w:tblPrEx>
        <w:trPr>
          <w:cantSplit/>
          <w:jc w:val="center"/>
        </w:trPr>
        <w:tc>
          <w:tcPr>
            <w:tcW w:w="2708" w:type="dxa"/>
            <w:vMerge/>
            <w:tcBorders>
              <w:top w:val="single" w:sz="6" w:space="0" w:color="auto"/>
              <w:left w:val="single" w:sz="12" w:space="0" w:color="auto"/>
              <w:bottom w:val="single" w:sz="6" w:space="0" w:color="auto"/>
            </w:tcBorders>
          </w:tcPr>
          <w:p w14:paraId="5B54176B" w14:textId="77777777" w:rsidR="00EF7288" w:rsidRPr="00EF7288" w:rsidRDefault="00EF7288" w:rsidP="00EF7288">
            <w:pPr>
              <w:rPr>
                <w:rFonts w:ascii="Arial" w:hAnsi="Arial" w:cs="Angsana New"/>
                <w:b/>
                <w:iCs/>
                <w:sz w:val="18"/>
                <w:szCs w:val="20"/>
                <w:lang w:val="en-GB" w:eastAsia="ja-JP"/>
              </w:rPr>
            </w:pPr>
          </w:p>
        </w:tc>
        <w:tc>
          <w:tcPr>
            <w:tcW w:w="2750" w:type="dxa"/>
            <w:tcBorders>
              <w:top w:val="single" w:sz="6" w:space="0" w:color="auto"/>
              <w:bottom w:val="single" w:sz="6" w:space="0" w:color="auto"/>
            </w:tcBorders>
            <w:vAlign w:val="center"/>
          </w:tcPr>
          <w:p w14:paraId="44133937" w14:textId="77777777" w:rsidR="00EF7288" w:rsidRPr="00EF7288" w:rsidRDefault="00EF7288" w:rsidP="00EF7288">
            <w:pPr>
              <w:rPr>
                <w:rFonts w:ascii="Arial" w:hAnsi="Arial" w:cs="Angsana New"/>
                <w:bCs/>
                <w:sz w:val="16"/>
                <w:szCs w:val="16"/>
                <w:lang w:val="en-GB"/>
              </w:rPr>
            </w:pPr>
            <w:r w:rsidRPr="00EF7288">
              <w:rPr>
                <w:rFonts w:ascii="Arial" w:hAnsi="Arial" w:cs="Angsana New"/>
                <w:bCs/>
                <w:sz w:val="16"/>
                <w:szCs w:val="16"/>
                <w:lang w:val="en-GB"/>
              </w:rPr>
              <w:t>Endangered Species</w:t>
            </w:r>
          </w:p>
        </w:tc>
        <w:tc>
          <w:tcPr>
            <w:tcW w:w="3085" w:type="dxa"/>
            <w:tcBorders>
              <w:top w:val="single" w:sz="6" w:space="0" w:color="auto"/>
              <w:bottom w:val="single" w:sz="6" w:space="0" w:color="auto"/>
            </w:tcBorders>
            <w:vAlign w:val="center"/>
          </w:tcPr>
          <w:p w14:paraId="3086C88D" w14:textId="77777777" w:rsidR="00EF7288" w:rsidRPr="00EF7288" w:rsidRDefault="00EF7288" w:rsidP="00EF7288">
            <w:pPr>
              <w:tabs>
                <w:tab w:val="left" w:pos="439"/>
              </w:tabs>
              <w:rPr>
                <w:rFonts w:ascii="Arial" w:hAnsi="Arial" w:cs="Angsana New"/>
                <w:bCs/>
                <w:sz w:val="16"/>
                <w:szCs w:val="20"/>
                <w:lang w:val="en-GB"/>
              </w:rPr>
            </w:pPr>
            <w:r w:rsidRPr="00EF7288">
              <w:rPr>
                <w:rFonts w:ascii="Arial" w:hAnsi="Arial" w:cs="Angsana New"/>
                <w:bCs/>
                <w:sz w:val="16"/>
                <w:szCs w:val="20"/>
                <w:lang w:val="en-GB"/>
              </w:rPr>
              <w:t>Food sources for other biota</w:t>
            </w:r>
          </w:p>
        </w:tc>
        <w:tc>
          <w:tcPr>
            <w:tcW w:w="2147" w:type="dxa"/>
            <w:tcBorders>
              <w:top w:val="single" w:sz="6" w:space="0" w:color="auto"/>
              <w:bottom w:val="single" w:sz="6" w:space="0" w:color="auto"/>
            </w:tcBorders>
            <w:vAlign w:val="center"/>
          </w:tcPr>
          <w:p w14:paraId="3DC88D55"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3070" w:type="dxa"/>
            <w:tcBorders>
              <w:top w:val="single" w:sz="6" w:space="0" w:color="auto"/>
              <w:bottom w:val="single" w:sz="6" w:space="0" w:color="auto"/>
              <w:right w:val="single" w:sz="12" w:space="0" w:color="auto"/>
            </w:tcBorders>
            <w:vAlign w:val="center"/>
          </w:tcPr>
          <w:p w14:paraId="51E2D3FD" w14:textId="77777777" w:rsidR="00EF7288" w:rsidRPr="00EF7288" w:rsidRDefault="00EF7288" w:rsidP="00EF7288">
            <w:pPr>
              <w:rPr>
                <w:rFonts w:ascii="Arial" w:hAnsi="Arial" w:cs="Angsana New"/>
                <w:bCs/>
                <w:sz w:val="16"/>
                <w:szCs w:val="16"/>
                <w:lang w:val="en-GB"/>
              </w:rPr>
            </w:pPr>
            <w:r w:rsidRPr="00EF7288">
              <w:rPr>
                <w:rFonts w:ascii="Arial" w:hAnsi="Arial" w:cs="Angsana New"/>
                <w:bCs/>
                <w:sz w:val="16"/>
                <w:szCs w:val="16"/>
                <w:lang w:val="en-GB"/>
              </w:rPr>
              <w:t>Endangered Species</w:t>
            </w:r>
          </w:p>
        </w:tc>
      </w:tr>
      <w:tr w:rsidR="00EF7288" w:rsidRPr="00EF7288" w14:paraId="1A22801E" w14:textId="77777777" w:rsidTr="005B6B53">
        <w:tblPrEx>
          <w:tblCellMar>
            <w:top w:w="0" w:type="dxa"/>
            <w:bottom w:w="0" w:type="dxa"/>
          </w:tblCellMar>
        </w:tblPrEx>
        <w:trPr>
          <w:cantSplit/>
          <w:jc w:val="center"/>
        </w:trPr>
        <w:tc>
          <w:tcPr>
            <w:tcW w:w="2708" w:type="dxa"/>
            <w:vMerge/>
            <w:tcBorders>
              <w:top w:val="single" w:sz="6" w:space="0" w:color="auto"/>
              <w:left w:val="single" w:sz="12" w:space="0" w:color="auto"/>
              <w:bottom w:val="single" w:sz="6" w:space="0" w:color="auto"/>
            </w:tcBorders>
          </w:tcPr>
          <w:p w14:paraId="343A101D" w14:textId="77777777" w:rsidR="00EF7288" w:rsidRPr="00EF7288" w:rsidRDefault="00EF7288" w:rsidP="00EF7288">
            <w:pPr>
              <w:rPr>
                <w:rFonts w:ascii="Arial" w:hAnsi="Arial" w:cs="Angsana New"/>
                <w:b/>
                <w:iCs/>
                <w:sz w:val="18"/>
                <w:szCs w:val="20"/>
                <w:lang w:val="en-GB" w:eastAsia="ja-JP"/>
              </w:rPr>
            </w:pPr>
          </w:p>
        </w:tc>
        <w:tc>
          <w:tcPr>
            <w:tcW w:w="2750" w:type="dxa"/>
            <w:tcBorders>
              <w:top w:val="single" w:sz="6" w:space="0" w:color="auto"/>
              <w:bottom w:val="single" w:sz="6" w:space="0" w:color="auto"/>
            </w:tcBorders>
            <w:vAlign w:val="center"/>
          </w:tcPr>
          <w:p w14:paraId="3288E5C1" w14:textId="77777777" w:rsidR="00EF7288" w:rsidRPr="00EF7288" w:rsidRDefault="00EF7288" w:rsidP="00EF7288">
            <w:pPr>
              <w:rPr>
                <w:rFonts w:ascii="Arial" w:hAnsi="Arial" w:cs="Angsana New"/>
                <w:b/>
                <w:iCs/>
                <w:sz w:val="18"/>
                <w:szCs w:val="20"/>
                <w:lang w:val="en-GB" w:eastAsia="ja-JP"/>
              </w:rPr>
            </w:pPr>
            <w:r w:rsidRPr="00EF7288">
              <w:rPr>
                <w:rFonts w:ascii="Arial" w:hAnsi="Arial" w:cs="Angsana New"/>
                <w:bCs/>
                <w:sz w:val="16"/>
                <w:szCs w:val="20"/>
                <w:lang w:val="en-GB" w:eastAsia="ja-JP"/>
              </w:rPr>
              <w:t>Ecosystem Existence values</w:t>
            </w:r>
          </w:p>
        </w:tc>
        <w:tc>
          <w:tcPr>
            <w:tcW w:w="3085" w:type="dxa"/>
            <w:tcBorders>
              <w:top w:val="single" w:sz="6" w:space="0" w:color="auto"/>
              <w:bottom w:val="single" w:sz="6" w:space="0" w:color="auto"/>
            </w:tcBorders>
            <w:vAlign w:val="center"/>
          </w:tcPr>
          <w:p w14:paraId="48E2DFF3" w14:textId="77777777" w:rsidR="00EF7288" w:rsidRPr="00EF7288" w:rsidRDefault="00EF7288" w:rsidP="00EF7288">
            <w:pPr>
              <w:tabs>
                <w:tab w:val="left" w:pos="439"/>
              </w:tabs>
              <w:rPr>
                <w:rFonts w:ascii="Arial" w:hAnsi="Arial" w:cs="Angsana New"/>
                <w:bCs/>
                <w:sz w:val="16"/>
                <w:szCs w:val="20"/>
                <w:lang w:val="en-GB"/>
              </w:rPr>
            </w:pPr>
            <w:r w:rsidRPr="00EF7288">
              <w:rPr>
                <w:rFonts w:ascii="Arial" w:hAnsi="Arial" w:cs="Angsana New"/>
                <w:bCs/>
                <w:sz w:val="16"/>
                <w:szCs w:val="20"/>
                <w:lang w:val="en-GB"/>
              </w:rPr>
              <w:t xml:space="preserve">Coral reef </w:t>
            </w:r>
            <w:r w:rsidRPr="00EF7288">
              <w:rPr>
                <w:rFonts w:ascii="Arial" w:hAnsi="Arial" w:cs="Angsana New"/>
                <w:bCs/>
                <w:sz w:val="16"/>
                <w:szCs w:val="20"/>
                <w:lang w:val="en-GB" w:eastAsia="ja-JP"/>
              </w:rPr>
              <w:t>Ecosystem Existence values</w:t>
            </w:r>
          </w:p>
        </w:tc>
        <w:tc>
          <w:tcPr>
            <w:tcW w:w="2147" w:type="dxa"/>
            <w:tcBorders>
              <w:top w:val="single" w:sz="6" w:space="0" w:color="auto"/>
              <w:bottom w:val="single" w:sz="6" w:space="0" w:color="auto"/>
            </w:tcBorders>
            <w:vAlign w:val="center"/>
          </w:tcPr>
          <w:p w14:paraId="42B64804"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3070" w:type="dxa"/>
            <w:tcBorders>
              <w:top w:val="single" w:sz="6" w:space="0" w:color="auto"/>
              <w:bottom w:val="single" w:sz="6" w:space="0" w:color="auto"/>
              <w:right w:val="single" w:sz="12" w:space="0" w:color="auto"/>
            </w:tcBorders>
            <w:vAlign w:val="center"/>
          </w:tcPr>
          <w:p w14:paraId="65F59A04" w14:textId="77777777" w:rsidR="00EF7288" w:rsidRPr="00EF7288" w:rsidRDefault="00EF7288" w:rsidP="00EF7288">
            <w:pPr>
              <w:rPr>
                <w:rFonts w:ascii="Arial" w:hAnsi="Arial" w:cs="Angsana New"/>
                <w:bCs/>
                <w:iCs/>
                <w:sz w:val="16"/>
                <w:szCs w:val="16"/>
                <w:lang w:val="en-GB"/>
              </w:rPr>
            </w:pPr>
            <w:r w:rsidRPr="00EF7288">
              <w:rPr>
                <w:rFonts w:ascii="Arial" w:hAnsi="Arial" w:cs="Angsana New"/>
                <w:bCs/>
                <w:iCs/>
                <w:sz w:val="16"/>
                <w:szCs w:val="16"/>
                <w:lang w:val="en-GB"/>
              </w:rPr>
              <w:t>Wetlands Ecosystem Existence Value</w:t>
            </w:r>
          </w:p>
        </w:tc>
      </w:tr>
      <w:tr w:rsidR="00EF7288" w:rsidRPr="00EF7288" w14:paraId="3082BC54" w14:textId="77777777" w:rsidTr="005B6B53">
        <w:tblPrEx>
          <w:tblCellMar>
            <w:top w:w="0" w:type="dxa"/>
            <w:bottom w:w="0" w:type="dxa"/>
          </w:tblCellMar>
        </w:tblPrEx>
        <w:trPr>
          <w:cantSplit/>
          <w:jc w:val="center"/>
        </w:trPr>
        <w:tc>
          <w:tcPr>
            <w:tcW w:w="2708" w:type="dxa"/>
            <w:vMerge w:val="restart"/>
            <w:tcBorders>
              <w:top w:val="single" w:sz="6" w:space="0" w:color="auto"/>
              <w:left w:val="single" w:sz="12" w:space="0" w:color="auto"/>
              <w:bottom w:val="single" w:sz="6" w:space="0" w:color="auto"/>
            </w:tcBorders>
          </w:tcPr>
          <w:p w14:paraId="3899D19F" w14:textId="77777777" w:rsidR="00EF7288" w:rsidRPr="00EF7288" w:rsidRDefault="00EF7288" w:rsidP="00EF7288">
            <w:pPr>
              <w:rPr>
                <w:rFonts w:ascii="Arial" w:hAnsi="Arial" w:cs="Angsana New"/>
                <w:b/>
                <w:iCs/>
                <w:sz w:val="18"/>
                <w:szCs w:val="20"/>
                <w:lang w:val="en-GB" w:eastAsia="ja-JP"/>
              </w:rPr>
            </w:pPr>
            <w:r w:rsidRPr="00EF7288">
              <w:rPr>
                <w:rFonts w:ascii="Arial" w:hAnsi="Arial" w:cs="Angsana New"/>
                <w:b/>
                <w:iCs/>
                <w:sz w:val="18"/>
                <w:szCs w:val="20"/>
                <w:lang w:val="en-GB" w:eastAsia="ja-JP"/>
              </w:rPr>
              <w:t>Social/cultural significance</w:t>
            </w:r>
            <w:r w:rsidRPr="00EF7288">
              <w:rPr>
                <w:rFonts w:ascii="Arial" w:hAnsi="Arial" w:cs="Angsana New"/>
                <w:bCs/>
                <w:sz w:val="16"/>
                <w:szCs w:val="20"/>
                <w:lang w:val="en-GB" w:eastAsia="ja-JP"/>
              </w:rPr>
              <w:t xml:space="preserve"> </w:t>
            </w:r>
          </w:p>
        </w:tc>
        <w:tc>
          <w:tcPr>
            <w:tcW w:w="2750" w:type="dxa"/>
            <w:tcBorders>
              <w:top w:val="single" w:sz="6" w:space="0" w:color="auto"/>
              <w:bottom w:val="single" w:sz="6" w:space="0" w:color="auto"/>
            </w:tcBorders>
            <w:vAlign w:val="center"/>
          </w:tcPr>
          <w:p w14:paraId="000B889F" w14:textId="77777777" w:rsidR="00EF7288" w:rsidRPr="00EF7288" w:rsidRDefault="00EF7288" w:rsidP="00EF7288">
            <w:pPr>
              <w:rPr>
                <w:rFonts w:ascii="Arial" w:hAnsi="Arial" w:cs="Angsana New"/>
                <w:bCs/>
                <w:sz w:val="16"/>
                <w:szCs w:val="20"/>
                <w:lang w:val="en-GB" w:eastAsia="ja-JP"/>
              </w:rPr>
            </w:pPr>
            <w:r w:rsidRPr="00EF7288">
              <w:rPr>
                <w:rFonts w:ascii="Arial" w:hAnsi="Arial" w:cs="Angsana New"/>
                <w:bCs/>
                <w:sz w:val="16"/>
                <w:szCs w:val="20"/>
                <w:lang w:val="en-GB" w:eastAsia="ja-JP"/>
              </w:rPr>
              <w:t>Religious/spiritual significance</w:t>
            </w:r>
          </w:p>
        </w:tc>
        <w:tc>
          <w:tcPr>
            <w:tcW w:w="3085" w:type="dxa"/>
            <w:tcBorders>
              <w:top w:val="single" w:sz="6" w:space="0" w:color="auto"/>
              <w:bottom w:val="single" w:sz="6" w:space="0" w:color="auto"/>
            </w:tcBorders>
            <w:vAlign w:val="center"/>
          </w:tcPr>
          <w:p w14:paraId="5584F6A8"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2147" w:type="dxa"/>
            <w:tcBorders>
              <w:top w:val="single" w:sz="6" w:space="0" w:color="auto"/>
              <w:bottom w:val="single" w:sz="6" w:space="0" w:color="auto"/>
            </w:tcBorders>
            <w:vAlign w:val="center"/>
          </w:tcPr>
          <w:p w14:paraId="68F75C07"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3070" w:type="dxa"/>
            <w:tcBorders>
              <w:top w:val="single" w:sz="6" w:space="0" w:color="auto"/>
              <w:bottom w:val="single" w:sz="6" w:space="0" w:color="auto"/>
              <w:right w:val="single" w:sz="12" w:space="0" w:color="auto"/>
            </w:tcBorders>
            <w:vAlign w:val="center"/>
          </w:tcPr>
          <w:p w14:paraId="74926D94" w14:textId="77777777" w:rsidR="00EF7288" w:rsidRPr="00EF7288" w:rsidRDefault="00EF7288" w:rsidP="00EF7288">
            <w:pPr>
              <w:rPr>
                <w:rFonts w:ascii="Arial" w:hAnsi="Arial" w:cs="Angsana New"/>
                <w:bCs/>
                <w:sz w:val="16"/>
                <w:szCs w:val="16"/>
                <w:lang w:val="en-GB"/>
              </w:rPr>
            </w:pPr>
            <w:r w:rsidRPr="00EF7288">
              <w:rPr>
                <w:rFonts w:ascii="Arial" w:hAnsi="Arial" w:cs="Angsana New"/>
                <w:bCs/>
                <w:sz w:val="16"/>
                <w:szCs w:val="16"/>
                <w:lang w:val="en-GB"/>
              </w:rPr>
              <w:t>Religious/spiritual significance</w:t>
            </w:r>
          </w:p>
        </w:tc>
      </w:tr>
      <w:tr w:rsidR="00EF7288" w:rsidRPr="00EF7288" w14:paraId="2BFDA370" w14:textId="77777777" w:rsidTr="005B6B53">
        <w:tblPrEx>
          <w:tblCellMar>
            <w:top w:w="0" w:type="dxa"/>
            <w:bottom w:w="0" w:type="dxa"/>
          </w:tblCellMar>
        </w:tblPrEx>
        <w:trPr>
          <w:cantSplit/>
          <w:jc w:val="center"/>
        </w:trPr>
        <w:tc>
          <w:tcPr>
            <w:tcW w:w="2708" w:type="dxa"/>
            <w:vMerge/>
            <w:tcBorders>
              <w:top w:val="single" w:sz="6" w:space="0" w:color="auto"/>
              <w:left w:val="single" w:sz="12" w:space="0" w:color="auto"/>
              <w:bottom w:val="single" w:sz="6" w:space="0" w:color="auto"/>
            </w:tcBorders>
            <w:vAlign w:val="center"/>
          </w:tcPr>
          <w:p w14:paraId="227FBC35" w14:textId="77777777" w:rsidR="00EF7288" w:rsidRPr="00EF7288" w:rsidRDefault="00EF7288" w:rsidP="00EF7288">
            <w:pPr>
              <w:rPr>
                <w:rFonts w:ascii="Arial" w:hAnsi="Arial" w:cs="Angsana New"/>
                <w:bCs/>
                <w:sz w:val="16"/>
                <w:szCs w:val="20"/>
                <w:lang w:val="en-GB" w:eastAsia="ja-JP"/>
              </w:rPr>
            </w:pPr>
          </w:p>
        </w:tc>
        <w:tc>
          <w:tcPr>
            <w:tcW w:w="2750" w:type="dxa"/>
            <w:tcBorders>
              <w:top w:val="single" w:sz="6" w:space="0" w:color="auto"/>
              <w:bottom w:val="single" w:sz="6" w:space="0" w:color="auto"/>
            </w:tcBorders>
            <w:vAlign w:val="center"/>
          </w:tcPr>
          <w:p w14:paraId="196400FE" w14:textId="77777777" w:rsidR="00EF7288" w:rsidRPr="00EF7288" w:rsidRDefault="00EF7288" w:rsidP="00EF7288">
            <w:pPr>
              <w:rPr>
                <w:rFonts w:ascii="Arial" w:hAnsi="Arial" w:cs="Angsana New"/>
                <w:bCs/>
                <w:sz w:val="16"/>
                <w:szCs w:val="20"/>
                <w:lang w:val="en-GB" w:eastAsia="ja-JP"/>
              </w:rPr>
            </w:pPr>
            <w:r w:rsidRPr="00EF7288">
              <w:rPr>
                <w:rFonts w:ascii="Arial" w:hAnsi="Arial" w:cs="Angsana New"/>
                <w:bCs/>
                <w:sz w:val="16"/>
                <w:szCs w:val="20"/>
                <w:lang w:val="en-GB" w:eastAsia="ja-JP"/>
              </w:rPr>
              <w:t>Historical importance</w:t>
            </w:r>
          </w:p>
        </w:tc>
        <w:tc>
          <w:tcPr>
            <w:tcW w:w="3085" w:type="dxa"/>
            <w:tcBorders>
              <w:top w:val="single" w:sz="6" w:space="0" w:color="auto"/>
              <w:bottom w:val="single" w:sz="6" w:space="0" w:color="auto"/>
            </w:tcBorders>
            <w:vAlign w:val="center"/>
          </w:tcPr>
          <w:p w14:paraId="2C86CB8B"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2147" w:type="dxa"/>
            <w:tcBorders>
              <w:top w:val="single" w:sz="6" w:space="0" w:color="auto"/>
              <w:bottom w:val="single" w:sz="6" w:space="0" w:color="auto"/>
            </w:tcBorders>
            <w:vAlign w:val="center"/>
          </w:tcPr>
          <w:p w14:paraId="4A3B60F9"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3070" w:type="dxa"/>
            <w:tcBorders>
              <w:top w:val="single" w:sz="6" w:space="0" w:color="auto"/>
              <w:bottom w:val="single" w:sz="6" w:space="0" w:color="auto"/>
              <w:right w:val="single" w:sz="12" w:space="0" w:color="auto"/>
            </w:tcBorders>
            <w:vAlign w:val="center"/>
          </w:tcPr>
          <w:p w14:paraId="63040340" w14:textId="77777777" w:rsidR="00EF7288" w:rsidRPr="00EF7288" w:rsidRDefault="00EF7288" w:rsidP="00EF7288">
            <w:pPr>
              <w:rPr>
                <w:rFonts w:ascii="Arial" w:hAnsi="Arial" w:cs="Angsana New"/>
                <w:bCs/>
                <w:sz w:val="16"/>
                <w:szCs w:val="16"/>
                <w:lang w:val="en-GB"/>
              </w:rPr>
            </w:pPr>
            <w:r w:rsidRPr="00EF7288">
              <w:rPr>
                <w:rFonts w:ascii="Arial" w:hAnsi="Arial" w:cs="Angsana New"/>
                <w:bCs/>
                <w:sz w:val="16"/>
                <w:szCs w:val="16"/>
                <w:lang w:val="en-GB"/>
              </w:rPr>
              <w:t>Historical importance</w:t>
            </w:r>
          </w:p>
        </w:tc>
      </w:tr>
      <w:tr w:rsidR="00EF7288" w:rsidRPr="00EF7288" w14:paraId="7AB0FADE" w14:textId="77777777" w:rsidTr="005B6B53">
        <w:tblPrEx>
          <w:tblCellMar>
            <w:top w:w="0" w:type="dxa"/>
            <w:bottom w:w="0" w:type="dxa"/>
          </w:tblCellMar>
        </w:tblPrEx>
        <w:trPr>
          <w:cantSplit/>
          <w:jc w:val="center"/>
        </w:trPr>
        <w:tc>
          <w:tcPr>
            <w:tcW w:w="2708" w:type="dxa"/>
            <w:vMerge/>
            <w:tcBorders>
              <w:top w:val="single" w:sz="6" w:space="0" w:color="auto"/>
              <w:left w:val="single" w:sz="12" w:space="0" w:color="auto"/>
              <w:bottom w:val="single" w:sz="6" w:space="0" w:color="auto"/>
            </w:tcBorders>
            <w:vAlign w:val="center"/>
          </w:tcPr>
          <w:p w14:paraId="3C73DCD3" w14:textId="77777777" w:rsidR="00EF7288" w:rsidRPr="00EF7288" w:rsidRDefault="00EF7288" w:rsidP="00EF7288">
            <w:pPr>
              <w:rPr>
                <w:rFonts w:ascii="Arial" w:hAnsi="Arial" w:cs="Angsana New"/>
                <w:bCs/>
                <w:sz w:val="16"/>
                <w:szCs w:val="20"/>
                <w:lang w:val="en-GB" w:eastAsia="ja-JP"/>
              </w:rPr>
            </w:pPr>
          </w:p>
        </w:tc>
        <w:tc>
          <w:tcPr>
            <w:tcW w:w="2750" w:type="dxa"/>
            <w:tcBorders>
              <w:top w:val="single" w:sz="6" w:space="0" w:color="auto"/>
              <w:bottom w:val="single" w:sz="6" w:space="0" w:color="auto"/>
            </w:tcBorders>
            <w:vAlign w:val="center"/>
          </w:tcPr>
          <w:p w14:paraId="43EB5C06" w14:textId="77777777" w:rsidR="00EF7288" w:rsidRPr="00EF7288" w:rsidRDefault="00EF7288" w:rsidP="00EF7288">
            <w:pPr>
              <w:rPr>
                <w:rFonts w:ascii="Arial" w:hAnsi="Arial" w:cs="Angsana New"/>
                <w:b/>
                <w:iCs/>
                <w:sz w:val="18"/>
                <w:szCs w:val="20"/>
                <w:lang w:val="en-GB" w:eastAsia="ja-JP"/>
              </w:rPr>
            </w:pPr>
            <w:r w:rsidRPr="00EF7288">
              <w:rPr>
                <w:rFonts w:ascii="Arial" w:hAnsi="Arial" w:cs="Angsana New"/>
                <w:bCs/>
                <w:sz w:val="16"/>
                <w:szCs w:val="20"/>
                <w:lang w:val="en-GB" w:eastAsia="ja-JP"/>
              </w:rPr>
              <w:t>Presence of distinctive human activities</w:t>
            </w:r>
          </w:p>
        </w:tc>
        <w:tc>
          <w:tcPr>
            <w:tcW w:w="3085" w:type="dxa"/>
            <w:tcBorders>
              <w:top w:val="single" w:sz="6" w:space="0" w:color="auto"/>
              <w:bottom w:val="single" w:sz="6" w:space="0" w:color="auto"/>
            </w:tcBorders>
            <w:vAlign w:val="center"/>
          </w:tcPr>
          <w:p w14:paraId="3736360F"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2147" w:type="dxa"/>
            <w:tcBorders>
              <w:top w:val="single" w:sz="6" w:space="0" w:color="auto"/>
              <w:bottom w:val="single" w:sz="6" w:space="0" w:color="auto"/>
            </w:tcBorders>
            <w:vAlign w:val="center"/>
          </w:tcPr>
          <w:p w14:paraId="35C4BC29" w14:textId="77777777" w:rsidR="00EF7288" w:rsidRPr="00EF7288" w:rsidRDefault="00EF7288" w:rsidP="00EF7288">
            <w:pPr>
              <w:tabs>
                <w:tab w:val="left" w:pos="439"/>
              </w:tabs>
              <w:rPr>
                <w:rFonts w:ascii="Arial" w:hAnsi="Arial" w:cs="Angsana New"/>
                <w:bCs/>
                <w:i/>
                <w:iCs/>
                <w:sz w:val="16"/>
                <w:szCs w:val="20"/>
                <w:lang w:val="en-GB"/>
              </w:rPr>
            </w:pPr>
            <w:r w:rsidRPr="00EF7288">
              <w:rPr>
                <w:rFonts w:ascii="Arial" w:hAnsi="Arial" w:cs="Angsana New"/>
                <w:bCs/>
                <w:i/>
                <w:iCs/>
                <w:sz w:val="16"/>
                <w:szCs w:val="20"/>
                <w:lang w:val="en-GB"/>
              </w:rPr>
              <w:t>N/A</w:t>
            </w:r>
          </w:p>
        </w:tc>
        <w:tc>
          <w:tcPr>
            <w:tcW w:w="3070" w:type="dxa"/>
            <w:tcBorders>
              <w:top w:val="single" w:sz="6" w:space="0" w:color="auto"/>
              <w:bottom w:val="single" w:sz="6" w:space="0" w:color="auto"/>
              <w:right w:val="single" w:sz="12" w:space="0" w:color="auto"/>
            </w:tcBorders>
            <w:vAlign w:val="center"/>
          </w:tcPr>
          <w:p w14:paraId="57733B26" w14:textId="77777777" w:rsidR="00EF7288" w:rsidRPr="00EF7288" w:rsidRDefault="00EF7288" w:rsidP="00EF7288">
            <w:pPr>
              <w:rPr>
                <w:rFonts w:ascii="Arial" w:hAnsi="Arial" w:cs="Angsana New"/>
                <w:bCs/>
                <w:iCs/>
                <w:sz w:val="16"/>
                <w:szCs w:val="16"/>
                <w:lang w:val="en-GB"/>
              </w:rPr>
            </w:pPr>
          </w:p>
        </w:tc>
      </w:tr>
      <w:tr w:rsidR="00EF7288" w:rsidRPr="00EF7288" w14:paraId="21A5FA65" w14:textId="77777777" w:rsidTr="005B6B53">
        <w:tblPrEx>
          <w:tblCellMar>
            <w:top w:w="0" w:type="dxa"/>
            <w:bottom w:w="0" w:type="dxa"/>
          </w:tblCellMar>
        </w:tblPrEx>
        <w:trPr>
          <w:cantSplit/>
          <w:jc w:val="center"/>
        </w:trPr>
        <w:tc>
          <w:tcPr>
            <w:tcW w:w="2708" w:type="dxa"/>
            <w:vMerge/>
            <w:tcBorders>
              <w:top w:val="single" w:sz="6" w:space="0" w:color="auto"/>
              <w:left w:val="single" w:sz="12" w:space="0" w:color="auto"/>
              <w:bottom w:val="single" w:sz="12" w:space="0" w:color="auto"/>
            </w:tcBorders>
            <w:vAlign w:val="center"/>
          </w:tcPr>
          <w:p w14:paraId="7294FD39" w14:textId="77777777" w:rsidR="00EF7288" w:rsidRPr="00EF7288" w:rsidRDefault="00EF7288" w:rsidP="00EF7288">
            <w:pPr>
              <w:rPr>
                <w:rFonts w:ascii="Arial" w:hAnsi="Arial" w:cs="Angsana New"/>
                <w:bCs/>
                <w:sz w:val="16"/>
                <w:szCs w:val="20"/>
                <w:lang w:val="en-GB"/>
              </w:rPr>
            </w:pPr>
          </w:p>
        </w:tc>
        <w:tc>
          <w:tcPr>
            <w:tcW w:w="2750" w:type="dxa"/>
            <w:tcBorders>
              <w:top w:val="single" w:sz="6" w:space="0" w:color="auto"/>
              <w:bottom w:val="single" w:sz="12" w:space="0" w:color="auto"/>
            </w:tcBorders>
            <w:vAlign w:val="center"/>
          </w:tcPr>
          <w:p w14:paraId="58C3672C" w14:textId="77777777" w:rsidR="00EF7288" w:rsidRPr="00EF7288" w:rsidRDefault="00EF7288" w:rsidP="00EF7288">
            <w:pPr>
              <w:rPr>
                <w:rFonts w:ascii="Arial" w:hAnsi="Arial" w:cs="Angsana New"/>
                <w:bCs/>
                <w:sz w:val="16"/>
                <w:szCs w:val="20"/>
                <w:lang w:val="en-GB"/>
              </w:rPr>
            </w:pPr>
            <w:r w:rsidRPr="00EF7288">
              <w:rPr>
                <w:rFonts w:ascii="Arial" w:hAnsi="Arial" w:cs="Angsana New"/>
                <w:bCs/>
                <w:sz w:val="16"/>
                <w:szCs w:val="20"/>
                <w:lang w:val="en-GB"/>
              </w:rPr>
              <w:t>Aesthetic</w:t>
            </w:r>
          </w:p>
        </w:tc>
        <w:tc>
          <w:tcPr>
            <w:tcW w:w="3085" w:type="dxa"/>
            <w:tcBorders>
              <w:top w:val="single" w:sz="6" w:space="0" w:color="auto"/>
              <w:bottom w:val="single" w:sz="12" w:space="0" w:color="auto"/>
            </w:tcBorders>
            <w:vAlign w:val="center"/>
          </w:tcPr>
          <w:p w14:paraId="5B59D960" w14:textId="77777777" w:rsidR="00EF7288" w:rsidRPr="00EF7288" w:rsidRDefault="00EF7288" w:rsidP="00EF7288">
            <w:pPr>
              <w:tabs>
                <w:tab w:val="left" w:pos="439"/>
              </w:tabs>
              <w:rPr>
                <w:rFonts w:ascii="Arial" w:hAnsi="Arial" w:cs="Angsana New"/>
                <w:bCs/>
                <w:sz w:val="16"/>
                <w:szCs w:val="20"/>
                <w:lang w:val="en-GB"/>
              </w:rPr>
            </w:pPr>
            <w:r w:rsidRPr="00EF7288">
              <w:rPr>
                <w:rFonts w:ascii="Arial" w:hAnsi="Arial" w:cs="Angsana New"/>
                <w:bCs/>
                <w:sz w:val="16"/>
                <w:szCs w:val="20"/>
                <w:lang w:val="en-GB"/>
              </w:rPr>
              <w:t>Aesthetic</w:t>
            </w:r>
          </w:p>
        </w:tc>
        <w:tc>
          <w:tcPr>
            <w:tcW w:w="2147" w:type="dxa"/>
            <w:tcBorders>
              <w:top w:val="single" w:sz="6" w:space="0" w:color="auto"/>
              <w:bottom w:val="single" w:sz="12" w:space="0" w:color="auto"/>
            </w:tcBorders>
            <w:vAlign w:val="center"/>
          </w:tcPr>
          <w:p w14:paraId="20F52247" w14:textId="77777777" w:rsidR="00EF7288" w:rsidRPr="00EF7288" w:rsidRDefault="00EF7288" w:rsidP="00EF7288">
            <w:pPr>
              <w:rPr>
                <w:rFonts w:ascii="Arial" w:hAnsi="Arial" w:cs="Angsana New"/>
                <w:bCs/>
                <w:sz w:val="20"/>
                <w:szCs w:val="20"/>
                <w:lang w:val="en-GB"/>
              </w:rPr>
            </w:pPr>
            <w:r w:rsidRPr="00EF7288">
              <w:rPr>
                <w:rFonts w:ascii="Arial" w:hAnsi="Arial" w:cs="Angsana New"/>
                <w:bCs/>
                <w:sz w:val="16"/>
                <w:szCs w:val="16"/>
                <w:lang w:val="en-GB"/>
              </w:rPr>
              <w:t>Aesthetic/culture</w:t>
            </w:r>
          </w:p>
        </w:tc>
        <w:tc>
          <w:tcPr>
            <w:tcW w:w="3070" w:type="dxa"/>
            <w:tcBorders>
              <w:top w:val="single" w:sz="6" w:space="0" w:color="auto"/>
              <w:bottom w:val="single" w:sz="12" w:space="0" w:color="auto"/>
              <w:right w:val="single" w:sz="12" w:space="0" w:color="auto"/>
            </w:tcBorders>
            <w:vAlign w:val="center"/>
          </w:tcPr>
          <w:p w14:paraId="7730AE91" w14:textId="77777777" w:rsidR="00EF7288" w:rsidRPr="00EF7288" w:rsidRDefault="00EF7288" w:rsidP="00EF7288">
            <w:pPr>
              <w:rPr>
                <w:rFonts w:ascii="Arial" w:hAnsi="Arial" w:cs="Angsana New"/>
                <w:bCs/>
                <w:color w:val="000000"/>
                <w:sz w:val="16"/>
                <w:szCs w:val="16"/>
                <w:lang w:val="en-GB"/>
              </w:rPr>
            </w:pPr>
            <w:r w:rsidRPr="00EF7288">
              <w:rPr>
                <w:rFonts w:ascii="Arial" w:hAnsi="Arial" w:cs="Angsana New"/>
                <w:bCs/>
                <w:iCs/>
                <w:sz w:val="16"/>
                <w:szCs w:val="16"/>
                <w:lang w:val="en-GB"/>
              </w:rPr>
              <w:t>Aesthetic</w:t>
            </w:r>
          </w:p>
        </w:tc>
      </w:tr>
    </w:tbl>
    <w:p w14:paraId="7783C922" w14:textId="77777777" w:rsidR="00EF7288" w:rsidRPr="00EF7288" w:rsidRDefault="00EF7288" w:rsidP="00EF7288">
      <w:pPr>
        <w:rPr>
          <w:rFonts w:ascii="Arial" w:hAnsi="Arial" w:cs="Angsana New"/>
          <w:bCs/>
          <w:sz w:val="20"/>
          <w:szCs w:val="20"/>
          <w:lang w:val="en-GB"/>
        </w:rPr>
      </w:pPr>
    </w:p>
    <w:p w14:paraId="15C81264" w14:textId="77777777" w:rsidR="00EF7288" w:rsidRDefault="00EF7288" w:rsidP="00EF7288">
      <w:pPr>
        <w:spacing w:after="120"/>
        <w:jc w:val="both"/>
        <w:rPr>
          <w:sz w:val="22"/>
          <w:szCs w:val="22"/>
          <w:lang w:val="en-GB"/>
        </w:rPr>
        <w:sectPr w:rsidR="00EF7288" w:rsidSect="00064925">
          <w:pgSz w:w="15840" w:h="12240" w:orient="landscape" w:code="1"/>
          <w:pgMar w:top="1584" w:right="1440" w:bottom="1584" w:left="1440" w:header="706" w:footer="706" w:gutter="0"/>
          <w:cols w:space="708"/>
          <w:docGrid w:linePitch="360"/>
        </w:sectPr>
      </w:pPr>
    </w:p>
    <w:p w14:paraId="377655AE" w14:textId="77777777" w:rsidR="00F07F81" w:rsidRDefault="00F07F81">
      <w:pPr>
        <w:numPr>
          <w:ilvl w:val="1"/>
          <w:numId w:val="2"/>
        </w:numPr>
        <w:spacing w:after="120"/>
        <w:outlineLvl w:val="1"/>
        <w:rPr>
          <w:b/>
          <w:sz w:val="22"/>
          <w:szCs w:val="22"/>
          <w:lang w:val="en-GB"/>
        </w:rPr>
      </w:pPr>
      <w:bookmarkStart w:id="55" w:name="_Toc209432643"/>
      <w:r>
        <w:rPr>
          <w:b/>
          <w:sz w:val="22"/>
          <w:szCs w:val="22"/>
          <w:lang w:val="en-GB"/>
        </w:rPr>
        <w:t>Threats, root causes and barrier analysis</w:t>
      </w:r>
      <w:bookmarkEnd w:id="55"/>
    </w:p>
    <w:p w14:paraId="51C1B566" w14:textId="77777777" w:rsidR="00CA2867" w:rsidRDefault="00CA2867" w:rsidP="00CA2867">
      <w:pPr>
        <w:numPr>
          <w:ilvl w:val="2"/>
          <w:numId w:val="2"/>
        </w:numPr>
        <w:spacing w:after="120"/>
        <w:outlineLvl w:val="1"/>
        <w:rPr>
          <w:b/>
          <w:sz w:val="22"/>
          <w:szCs w:val="22"/>
          <w:lang w:val="en-GB"/>
        </w:rPr>
      </w:pPr>
      <w:r>
        <w:rPr>
          <w:b/>
          <w:sz w:val="22"/>
          <w:szCs w:val="22"/>
          <w:lang w:val="en-GB"/>
        </w:rPr>
        <w:t>Threats to dominant coastal habitats</w:t>
      </w:r>
    </w:p>
    <w:p w14:paraId="0F58E4F2" w14:textId="77777777" w:rsidR="00CA2867" w:rsidRDefault="00CA2867" w:rsidP="00CA2867">
      <w:pPr>
        <w:numPr>
          <w:ilvl w:val="3"/>
          <w:numId w:val="2"/>
        </w:numPr>
        <w:spacing w:after="120"/>
        <w:outlineLvl w:val="1"/>
        <w:rPr>
          <w:b/>
          <w:sz w:val="22"/>
          <w:szCs w:val="22"/>
          <w:lang w:val="en-GB"/>
        </w:rPr>
      </w:pPr>
      <w:r>
        <w:rPr>
          <w:b/>
          <w:sz w:val="22"/>
          <w:szCs w:val="22"/>
          <w:lang w:val="en-GB"/>
        </w:rPr>
        <w:t>Threats to mangroves</w:t>
      </w:r>
    </w:p>
    <w:p w14:paraId="6053D80D" w14:textId="77777777" w:rsidR="00F07F81" w:rsidRDefault="00CA2867" w:rsidP="00CA2867">
      <w:pPr>
        <w:numPr>
          <w:ilvl w:val="0"/>
          <w:numId w:val="3"/>
        </w:numPr>
        <w:spacing w:after="120"/>
        <w:ind w:left="0" w:firstLine="0"/>
        <w:jc w:val="both"/>
        <w:rPr>
          <w:sz w:val="22"/>
          <w:szCs w:val="22"/>
          <w:lang w:val="en-GB"/>
        </w:rPr>
      </w:pPr>
      <w:r w:rsidRPr="00CA2867">
        <w:rPr>
          <w:sz w:val="22"/>
          <w:szCs w:val="22"/>
          <w:lang w:val="en-GB"/>
        </w:rPr>
        <w:t xml:space="preserve">Around 30% of the world’s remaining mangrove is found in the countries participating in the SCS project and 11% of the world’s total is found along the margins of the South China Sea marine basin (Polidoro, et al., 2010; Spalding, et.al., 2010; UNEP, </w:t>
      </w:r>
      <w:r w:rsidR="0088438A" w:rsidRPr="00CA2867">
        <w:rPr>
          <w:sz w:val="22"/>
          <w:szCs w:val="22"/>
          <w:lang w:val="en-GB"/>
        </w:rPr>
        <w:t>2008</w:t>
      </w:r>
      <w:r w:rsidR="0088438A">
        <w:rPr>
          <w:sz w:val="22"/>
          <w:szCs w:val="22"/>
          <w:lang w:val="en-GB"/>
        </w:rPr>
        <w:t>c</w:t>
      </w:r>
      <w:r w:rsidRPr="00CA2867">
        <w:rPr>
          <w:sz w:val="22"/>
          <w:szCs w:val="22"/>
          <w:lang w:val="en-GB"/>
        </w:rPr>
        <w:t xml:space="preserve">). Rates of loss are generally higher along the South China Sea coastlines than elsewhere in the seven countries participating in the SCS project. For example, around 80% of the mangrove bordering the Gulf of Thailand has been lost compared with only around 20% on the Andaman Sea coast of Thailand (UNEP, </w:t>
      </w:r>
      <w:r w:rsidR="0088438A" w:rsidRPr="00CA2867">
        <w:rPr>
          <w:sz w:val="22"/>
          <w:szCs w:val="22"/>
          <w:lang w:val="en-GB"/>
        </w:rPr>
        <w:t>20</w:t>
      </w:r>
      <w:r w:rsidR="0088438A">
        <w:rPr>
          <w:sz w:val="22"/>
          <w:szCs w:val="22"/>
          <w:lang w:val="en-GB"/>
        </w:rPr>
        <w:t>08c</w:t>
      </w:r>
      <w:r w:rsidRPr="00CA2867">
        <w:rPr>
          <w:sz w:val="22"/>
          <w:szCs w:val="22"/>
          <w:lang w:val="en-GB"/>
        </w:rPr>
        <w:t xml:space="preserve">). The annual rates of loss in the seven countries between 1990 and 2000 were greater than the world average (Table </w:t>
      </w:r>
      <w:r w:rsidR="00925148">
        <w:rPr>
          <w:sz w:val="22"/>
          <w:szCs w:val="22"/>
          <w:lang w:val="en-GB"/>
        </w:rPr>
        <w:t>12</w:t>
      </w:r>
      <w:r w:rsidRPr="00CA2867">
        <w:rPr>
          <w:sz w:val="22"/>
          <w:szCs w:val="22"/>
          <w:lang w:val="en-GB"/>
        </w:rPr>
        <w:t xml:space="preserve">). Such losses represent a loss of global biological diversity that must be a matter of global concern (UNEP, </w:t>
      </w:r>
      <w:r w:rsidR="0088438A" w:rsidRPr="00CA2867">
        <w:rPr>
          <w:sz w:val="22"/>
          <w:szCs w:val="22"/>
          <w:lang w:val="en-GB"/>
        </w:rPr>
        <w:t>200</w:t>
      </w:r>
      <w:r w:rsidR="0088438A">
        <w:rPr>
          <w:sz w:val="22"/>
          <w:szCs w:val="22"/>
          <w:lang w:val="en-GB"/>
        </w:rPr>
        <w:t>8c</w:t>
      </w:r>
      <w:r w:rsidRPr="00CA2867">
        <w:rPr>
          <w:sz w:val="22"/>
          <w:szCs w:val="22"/>
          <w:lang w:val="en-GB"/>
        </w:rPr>
        <w:t xml:space="preserve">). The total area of mangrove lost in the participating countries over different time spans (70 years for the Philippines) was estimated in 1998 at 4.2 million ha suggesting that over half of the original mangrove bordering the South China Sea had been lost during the last century. The RWG-M estimated the ongoing decadal rate of loss of mangroves from the South China Sea basin in 2007 as 16% (UNEP, </w:t>
      </w:r>
      <w:r w:rsidR="0088438A" w:rsidRPr="00CA2867">
        <w:rPr>
          <w:sz w:val="22"/>
          <w:szCs w:val="22"/>
          <w:lang w:val="en-GB"/>
        </w:rPr>
        <w:t>2008</w:t>
      </w:r>
      <w:r w:rsidR="0088438A">
        <w:rPr>
          <w:sz w:val="22"/>
          <w:szCs w:val="22"/>
          <w:lang w:val="en-GB"/>
        </w:rPr>
        <w:t>c</w:t>
      </w:r>
      <w:r w:rsidRPr="00CA2867">
        <w:rPr>
          <w:sz w:val="22"/>
          <w:szCs w:val="22"/>
          <w:lang w:val="en-GB"/>
        </w:rPr>
        <w:t>).</w:t>
      </w:r>
    </w:p>
    <w:p w14:paraId="0B945726" w14:textId="77777777" w:rsidR="00CA2867" w:rsidRPr="000E3A36" w:rsidRDefault="00CA2867" w:rsidP="00CA2867">
      <w:pPr>
        <w:spacing w:after="120"/>
        <w:ind w:left="1440" w:hanging="1440"/>
        <w:rPr>
          <w:rFonts w:cs="Angsana New"/>
          <w:sz w:val="21"/>
          <w:szCs w:val="21"/>
          <w:lang w:val="en-GB" w:bidi="th-TH"/>
        </w:rPr>
      </w:pPr>
      <w:r w:rsidRPr="000E3A36">
        <w:rPr>
          <w:rFonts w:cs="Angsana New"/>
          <w:b/>
          <w:sz w:val="21"/>
          <w:szCs w:val="21"/>
          <w:lang w:val="en-GB" w:bidi="th-TH"/>
        </w:rPr>
        <w:t xml:space="preserve">Table </w:t>
      </w:r>
      <w:r>
        <w:rPr>
          <w:rFonts w:cs="Angsana New"/>
          <w:b/>
          <w:sz w:val="21"/>
          <w:szCs w:val="21"/>
          <w:lang w:val="en-GB" w:bidi="th-TH"/>
        </w:rPr>
        <w:t>1</w:t>
      </w:r>
      <w:r w:rsidR="00925148">
        <w:rPr>
          <w:rFonts w:cs="Angsana New"/>
          <w:b/>
          <w:sz w:val="21"/>
          <w:szCs w:val="21"/>
          <w:lang w:val="en-GB" w:bidi="th-TH"/>
        </w:rPr>
        <w:t>2</w:t>
      </w:r>
      <w:r w:rsidRPr="000E3A36">
        <w:rPr>
          <w:rFonts w:cs="Angsana New"/>
          <w:sz w:val="21"/>
          <w:szCs w:val="21"/>
          <w:lang w:val="en-GB" w:bidi="th-TH"/>
        </w:rPr>
        <w:tab/>
        <w:t xml:space="preserve">Estimates of area (ha) (rounded to three significant figures) and rates of loss of mangrove habitat in seven countries bordering the South China Sea (based on UNEP, </w:t>
      </w:r>
      <w:r w:rsidR="0088438A" w:rsidRPr="000E3A36">
        <w:rPr>
          <w:rFonts w:cs="Angsana New"/>
          <w:sz w:val="21"/>
          <w:szCs w:val="21"/>
          <w:lang w:val="en-GB" w:bidi="th-TH"/>
        </w:rPr>
        <w:t>200</w:t>
      </w:r>
      <w:r w:rsidR="0088438A">
        <w:rPr>
          <w:rFonts w:cs="Angsana New"/>
          <w:sz w:val="21"/>
          <w:szCs w:val="21"/>
          <w:lang w:val="en-GB" w:bidi="th-TH"/>
        </w:rPr>
        <w:t>8b</w:t>
      </w:r>
      <w:r w:rsidRPr="000E3A36">
        <w:rPr>
          <w:rFonts w:cs="Angsana New"/>
          <w:sz w:val="21"/>
          <w:szCs w:val="21"/>
          <w:lang w:val="en-GB" w:bidi="th-TH"/>
        </w:rPr>
        <w:t>)</w:t>
      </w:r>
    </w:p>
    <w:tbl>
      <w:tblPr>
        <w:tblW w:w="8841" w:type="dxa"/>
        <w:jc w:val="center"/>
        <w:tblLayout w:type="fixed"/>
        <w:tblCellMar>
          <w:left w:w="0" w:type="dxa"/>
          <w:right w:w="0" w:type="dxa"/>
        </w:tblCellMar>
        <w:tblLook w:val="0000" w:firstRow="0" w:lastRow="0" w:firstColumn="0" w:lastColumn="0" w:noHBand="0" w:noVBand="0"/>
      </w:tblPr>
      <w:tblGrid>
        <w:gridCol w:w="1126"/>
        <w:gridCol w:w="1006"/>
        <w:gridCol w:w="775"/>
        <w:gridCol w:w="901"/>
        <w:gridCol w:w="956"/>
        <w:gridCol w:w="1000"/>
        <w:gridCol w:w="1100"/>
        <w:gridCol w:w="1034"/>
        <w:gridCol w:w="943"/>
      </w:tblGrid>
      <w:tr w:rsidR="00CA2867" w:rsidRPr="000E3A36" w14:paraId="47C86153" w14:textId="77777777" w:rsidTr="003B6CDA">
        <w:trPr>
          <w:cantSplit/>
          <w:trHeight w:val="345"/>
          <w:jc w:val="center"/>
        </w:trPr>
        <w:tc>
          <w:tcPr>
            <w:tcW w:w="1126" w:type="dxa"/>
            <w:vMerge w:val="restart"/>
            <w:tcBorders>
              <w:bottom w:val="single" w:sz="12" w:space="0" w:color="auto"/>
              <w:right w:val="single" w:sz="12" w:space="0" w:color="auto"/>
            </w:tcBorders>
            <w:noWrap/>
            <w:tcMar>
              <w:top w:w="15" w:type="dxa"/>
              <w:left w:w="15" w:type="dxa"/>
              <w:bottom w:w="0" w:type="dxa"/>
              <w:right w:w="15" w:type="dxa"/>
            </w:tcMar>
            <w:vAlign w:val="center"/>
          </w:tcPr>
          <w:p w14:paraId="54DFF9E9" w14:textId="77777777" w:rsidR="00CA2867" w:rsidRPr="000E3A36" w:rsidRDefault="00CA2867" w:rsidP="003B6CDA">
            <w:pPr>
              <w:rPr>
                <w:b/>
                <w:bCs/>
                <w:sz w:val="16"/>
                <w:lang w:val="en-GB" w:bidi="th-TH"/>
              </w:rPr>
            </w:pPr>
          </w:p>
        </w:tc>
        <w:tc>
          <w:tcPr>
            <w:tcW w:w="1006" w:type="dxa"/>
            <w:vMerge w:val="restart"/>
            <w:tcBorders>
              <w:top w:val="single" w:sz="12" w:space="0" w:color="auto"/>
              <w:left w:val="single" w:sz="12" w:space="0" w:color="auto"/>
              <w:right w:val="single" w:sz="4" w:space="0" w:color="auto"/>
            </w:tcBorders>
            <w:noWrap/>
            <w:tcMar>
              <w:top w:w="15" w:type="dxa"/>
              <w:left w:w="15" w:type="dxa"/>
              <w:bottom w:w="0" w:type="dxa"/>
              <w:right w:w="15" w:type="dxa"/>
            </w:tcMar>
            <w:vAlign w:val="center"/>
          </w:tcPr>
          <w:p w14:paraId="2F8346D2" w14:textId="77777777" w:rsidR="00CA2867" w:rsidRPr="000E3A36" w:rsidRDefault="00CA2867" w:rsidP="003B6CDA">
            <w:pPr>
              <w:ind w:right="65"/>
              <w:jc w:val="center"/>
              <w:rPr>
                <w:b/>
                <w:bCs/>
                <w:sz w:val="17"/>
                <w:szCs w:val="17"/>
                <w:lang w:val="en-GB" w:bidi="th-TH"/>
              </w:rPr>
            </w:pPr>
            <w:r w:rsidRPr="000E3A36">
              <w:rPr>
                <w:b/>
                <w:bCs/>
                <w:sz w:val="17"/>
                <w:szCs w:val="17"/>
                <w:lang w:val="en-GB" w:bidi="th-TH"/>
              </w:rPr>
              <w:t xml:space="preserve">Recent global estimate </w:t>
            </w:r>
          </w:p>
          <w:p w14:paraId="5A40C4B3" w14:textId="77777777" w:rsidR="00CA2867" w:rsidRPr="000E3A36" w:rsidRDefault="00CA2867" w:rsidP="003B6CDA">
            <w:pPr>
              <w:ind w:right="65"/>
              <w:jc w:val="center"/>
              <w:rPr>
                <w:b/>
                <w:bCs/>
                <w:sz w:val="17"/>
                <w:szCs w:val="17"/>
                <w:lang w:val="en-GB" w:bidi="th-TH"/>
              </w:rPr>
            </w:pPr>
            <w:r w:rsidRPr="000E3A36">
              <w:rPr>
                <w:b/>
                <w:bCs/>
                <w:sz w:val="17"/>
                <w:szCs w:val="17"/>
                <w:lang w:val="en-GB" w:bidi="th-TH"/>
              </w:rPr>
              <w:t>ha</w:t>
            </w:r>
          </w:p>
        </w:tc>
        <w:tc>
          <w:tcPr>
            <w:tcW w:w="775" w:type="dxa"/>
            <w:vMerge w:val="restart"/>
            <w:tcBorders>
              <w:top w:val="single" w:sz="12" w:space="0" w:color="auto"/>
              <w:left w:val="single" w:sz="4" w:space="0" w:color="auto"/>
              <w:right w:val="single" w:sz="4" w:space="0" w:color="auto"/>
            </w:tcBorders>
            <w:noWrap/>
            <w:tcMar>
              <w:top w:w="15" w:type="dxa"/>
              <w:left w:w="15" w:type="dxa"/>
              <w:bottom w:w="0" w:type="dxa"/>
              <w:right w:w="15" w:type="dxa"/>
            </w:tcMar>
            <w:vAlign w:val="center"/>
          </w:tcPr>
          <w:p w14:paraId="01C6DBC6" w14:textId="77777777" w:rsidR="00CA2867" w:rsidRPr="000E3A36" w:rsidRDefault="00CA2867" w:rsidP="003B6CDA">
            <w:pPr>
              <w:ind w:right="65"/>
              <w:jc w:val="center"/>
              <w:rPr>
                <w:b/>
                <w:bCs/>
                <w:sz w:val="17"/>
                <w:szCs w:val="17"/>
                <w:lang w:val="en-GB" w:bidi="th-TH"/>
              </w:rPr>
            </w:pPr>
            <w:r w:rsidRPr="000E3A36">
              <w:rPr>
                <w:b/>
                <w:bCs/>
                <w:sz w:val="17"/>
                <w:szCs w:val="17"/>
                <w:lang w:val="en-GB" w:bidi="th-TH"/>
              </w:rPr>
              <w:t>Date of global estimate</w:t>
            </w:r>
          </w:p>
        </w:tc>
        <w:tc>
          <w:tcPr>
            <w:tcW w:w="2857" w:type="dxa"/>
            <w:gridSpan w:val="3"/>
            <w:tcBorders>
              <w:top w:val="single" w:sz="12" w:space="0" w:color="auto"/>
              <w:left w:val="single" w:sz="4" w:space="0" w:color="auto"/>
              <w:bottom w:val="single" w:sz="4" w:space="0" w:color="auto"/>
              <w:right w:val="single" w:sz="12" w:space="0" w:color="auto"/>
            </w:tcBorders>
            <w:noWrap/>
            <w:tcMar>
              <w:top w:w="15" w:type="dxa"/>
              <w:left w:w="15" w:type="dxa"/>
              <w:bottom w:w="0" w:type="dxa"/>
              <w:right w:w="15" w:type="dxa"/>
            </w:tcMar>
            <w:vAlign w:val="center"/>
          </w:tcPr>
          <w:p w14:paraId="44E9FF1D" w14:textId="77777777" w:rsidR="00CA2867" w:rsidRPr="000E3A36" w:rsidRDefault="00CA2867" w:rsidP="003B6CDA">
            <w:pPr>
              <w:ind w:right="65"/>
              <w:jc w:val="center"/>
              <w:rPr>
                <w:sz w:val="17"/>
                <w:szCs w:val="17"/>
                <w:lang w:val="en-GB" w:bidi="th-TH"/>
              </w:rPr>
            </w:pPr>
            <w:r w:rsidRPr="000E3A36">
              <w:rPr>
                <w:rFonts w:eastAsia="Arial Unicode MS"/>
                <w:b/>
                <w:bCs/>
                <w:sz w:val="17"/>
                <w:szCs w:val="17"/>
                <w:lang w:val="en-GB" w:bidi="th-TH"/>
              </w:rPr>
              <w:t>National Estimates of total mangrove area</w:t>
            </w:r>
          </w:p>
        </w:tc>
        <w:tc>
          <w:tcPr>
            <w:tcW w:w="1100" w:type="dxa"/>
            <w:vMerge w:val="restart"/>
            <w:tcBorders>
              <w:top w:val="single" w:sz="12" w:space="0" w:color="auto"/>
              <w:left w:val="single" w:sz="12" w:space="0" w:color="auto"/>
              <w:right w:val="single" w:sz="12" w:space="0" w:color="auto"/>
            </w:tcBorders>
            <w:vAlign w:val="center"/>
          </w:tcPr>
          <w:p w14:paraId="5FECE09D" w14:textId="77777777" w:rsidR="00CA2867" w:rsidRPr="000E3A36" w:rsidRDefault="00CA2867" w:rsidP="003B6CDA">
            <w:pPr>
              <w:ind w:right="65"/>
              <w:jc w:val="center"/>
              <w:rPr>
                <w:b/>
                <w:bCs/>
                <w:sz w:val="17"/>
                <w:szCs w:val="17"/>
                <w:lang w:val="en-GB" w:bidi="th-TH"/>
              </w:rPr>
            </w:pPr>
            <w:r w:rsidRPr="000E3A36">
              <w:rPr>
                <w:b/>
                <w:bCs/>
                <w:sz w:val="17"/>
                <w:szCs w:val="17"/>
                <w:lang w:val="en-GB" w:bidi="th-TH"/>
              </w:rPr>
              <w:t>Current South China Sea area</w:t>
            </w:r>
          </w:p>
          <w:p w14:paraId="1D71D927" w14:textId="77777777" w:rsidR="00CA2867" w:rsidRPr="000E3A36" w:rsidRDefault="00CA2867" w:rsidP="003B6CDA">
            <w:pPr>
              <w:ind w:right="65"/>
              <w:jc w:val="center"/>
              <w:rPr>
                <w:sz w:val="17"/>
                <w:szCs w:val="17"/>
                <w:lang w:val="en-GB" w:bidi="th-TH"/>
              </w:rPr>
            </w:pPr>
            <w:r w:rsidRPr="000E3A36">
              <w:rPr>
                <w:b/>
                <w:bCs/>
                <w:sz w:val="17"/>
                <w:szCs w:val="17"/>
                <w:lang w:val="en-GB" w:bidi="th-TH"/>
              </w:rPr>
              <w:t>ha</w:t>
            </w:r>
          </w:p>
        </w:tc>
        <w:tc>
          <w:tcPr>
            <w:tcW w:w="1977" w:type="dxa"/>
            <w:gridSpan w:val="2"/>
            <w:tcBorders>
              <w:top w:val="single" w:sz="12" w:space="0" w:color="auto"/>
              <w:left w:val="single" w:sz="12" w:space="0" w:color="auto"/>
              <w:bottom w:val="single" w:sz="4" w:space="0" w:color="auto"/>
              <w:right w:val="single" w:sz="12" w:space="0" w:color="auto"/>
            </w:tcBorders>
            <w:noWrap/>
            <w:tcMar>
              <w:top w:w="15" w:type="dxa"/>
              <w:left w:w="15" w:type="dxa"/>
              <w:bottom w:w="0" w:type="dxa"/>
              <w:right w:w="15" w:type="dxa"/>
            </w:tcMar>
            <w:vAlign w:val="center"/>
          </w:tcPr>
          <w:p w14:paraId="33A47925" w14:textId="77777777" w:rsidR="00CA2867" w:rsidRPr="000E3A36" w:rsidRDefault="00CA2867" w:rsidP="003B6CDA">
            <w:pPr>
              <w:keepNext/>
              <w:jc w:val="center"/>
              <w:rPr>
                <w:b/>
                <w:bCs/>
                <w:sz w:val="17"/>
                <w:szCs w:val="17"/>
                <w:lang w:val="en-GB" w:bidi="he-IL"/>
              </w:rPr>
            </w:pPr>
            <w:bookmarkStart w:id="56" w:name="_Toc173721964"/>
            <w:bookmarkStart w:id="57" w:name="_Toc182740852"/>
            <w:bookmarkStart w:id="58" w:name="_Toc187120281"/>
            <w:bookmarkStart w:id="59" w:name="_Toc401925298"/>
            <w:bookmarkStart w:id="60" w:name="_Toc401930835"/>
            <w:r w:rsidRPr="000E3A36">
              <w:rPr>
                <w:b/>
                <w:bCs/>
                <w:sz w:val="17"/>
                <w:szCs w:val="17"/>
                <w:lang w:val="en-GB" w:bidi="he-IL"/>
              </w:rPr>
              <w:t>Rate of loss per year</w:t>
            </w:r>
            <w:bookmarkEnd w:id="56"/>
            <w:bookmarkEnd w:id="57"/>
            <w:bookmarkEnd w:id="58"/>
            <w:r w:rsidRPr="000E3A36">
              <w:rPr>
                <w:b/>
                <w:bCs/>
                <w:sz w:val="17"/>
                <w:szCs w:val="17"/>
                <w:lang w:val="en-GB" w:bidi="he-IL"/>
              </w:rPr>
              <w:t xml:space="preserve"> %</w:t>
            </w:r>
            <w:bookmarkEnd w:id="59"/>
            <w:bookmarkEnd w:id="60"/>
          </w:p>
        </w:tc>
      </w:tr>
      <w:tr w:rsidR="00CA2867" w:rsidRPr="000E3A36" w14:paraId="013D8F67" w14:textId="77777777" w:rsidTr="003B6CDA">
        <w:trPr>
          <w:cantSplit/>
          <w:trHeight w:val="63"/>
          <w:jc w:val="center"/>
        </w:trPr>
        <w:tc>
          <w:tcPr>
            <w:tcW w:w="1126" w:type="dxa"/>
            <w:vMerge/>
            <w:tcBorders>
              <w:bottom w:val="single" w:sz="12" w:space="0" w:color="auto"/>
              <w:right w:val="single" w:sz="12" w:space="0" w:color="auto"/>
            </w:tcBorders>
            <w:noWrap/>
            <w:tcMar>
              <w:top w:w="15" w:type="dxa"/>
              <w:left w:w="15" w:type="dxa"/>
              <w:bottom w:w="0" w:type="dxa"/>
              <w:right w:w="15" w:type="dxa"/>
            </w:tcMar>
            <w:vAlign w:val="center"/>
          </w:tcPr>
          <w:p w14:paraId="6D4A81AB" w14:textId="77777777" w:rsidR="00CA2867" w:rsidRPr="000E3A36" w:rsidRDefault="00CA2867" w:rsidP="003B6CDA">
            <w:pPr>
              <w:rPr>
                <w:b/>
                <w:bCs/>
                <w:sz w:val="16"/>
                <w:lang w:val="en-GB" w:bidi="th-TH"/>
              </w:rPr>
            </w:pPr>
          </w:p>
        </w:tc>
        <w:tc>
          <w:tcPr>
            <w:tcW w:w="1006" w:type="dxa"/>
            <w:vMerge/>
            <w:tcBorders>
              <w:left w:val="single" w:sz="12" w:space="0" w:color="auto"/>
              <w:bottom w:val="single" w:sz="4" w:space="0" w:color="auto"/>
              <w:right w:val="single" w:sz="4" w:space="0" w:color="auto"/>
            </w:tcBorders>
            <w:noWrap/>
            <w:tcMar>
              <w:top w:w="15" w:type="dxa"/>
              <w:left w:w="15" w:type="dxa"/>
              <w:bottom w:w="0" w:type="dxa"/>
              <w:right w:w="15" w:type="dxa"/>
            </w:tcMar>
            <w:vAlign w:val="center"/>
          </w:tcPr>
          <w:p w14:paraId="5E5D7920" w14:textId="77777777" w:rsidR="00CA2867" w:rsidRPr="000E3A36" w:rsidRDefault="00CA2867" w:rsidP="003B6CDA">
            <w:pPr>
              <w:ind w:right="65"/>
              <w:jc w:val="center"/>
              <w:rPr>
                <w:sz w:val="17"/>
                <w:szCs w:val="17"/>
                <w:lang w:val="en-GB" w:bidi="th-TH"/>
              </w:rPr>
            </w:pPr>
          </w:p>
        </w:tc>
        <w:tc>
          <w:tcPr>
            <w:tcW w:w="775" w:type="dxa"/>
            <w:vMerge/>
            <w:tcBorders>
              <w:left w:val="single" w:sz="4" w:space="0" w:color="auto"/>
              <w:bottom w:val="single" w:sz="4" w:space="0" w:color="auto"/>
              <w:right w:val="single" w:sz="4" w:space="0" w:color="auto"/>
            </w:tcBorders>
            <w:noWrap/>
            <w:tcMar>
              <w:top w:w="15" w:type="dxa"/>
              <w:left w:w="15" w:type="dxa"/>
              <w:bottom w:w="0" w:type="dxa"/>
              <w:right w:w="15" w:type="dxa"/>
            </w:tcMar>
            <w:vAlign w:val="center"/>
          </w:tcPr>
          <w:p w14:paraId="42FCB224" w14:textId="77777777" w:rsidR="00CA2867" w:rsidRPr="000E3A36" w:rsidRDefault="00CA2867" w:rsidP="003B6CDA">
            <w:pPr>
              <w:ind w:right="65"/>
              <w:jc w:val="center"/>
              <w:rPr>
                <w:sz w:val="17"/>
                <w:szCs w:val="17"/>
                <w:lang w:val="en-GB" w:bidi="th-TH"/>
              </w:rPr>
            </w:pPr>
          </w:p>
        </w:tc>
        <w:tc>
          <w:tcPr>
            <w:tcW w:w="901" w:type="dxa"/>
            <w:tcBorders>
              <w:top w:val="single" w:sz="12"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34AF008" w14:textId="77777777" w:rsidR="00CA2867" w:rsidRPr="000E3A36" w:rsidRDefault="00CA2867" w:rsidP="003B6CDA">
            <w:pPr>
              <w:jc w:val="center"/>
              <w:rPr>
                <w:b/>
                <w:bCs/>
                <w:sz w:val="17"/>
                <w:szCs w:val="17"/>
                <w:lang w:val="en-GB" w:bidi="th-TH"/>
              </w:rPr>
            </w:pPr>
            <w:r w:rsidRPr="000E3A36">
              <w:rPr>
                <w:b/>
                <w:bCs/>
                <w:sz w:val="17"/>
                <w:szCs w:val="17"/>
                <w:lang w:val="en-GB" w:bidi="th-TH"/>
              </w:rPr>
              <w:t>1980</w:t>
            </w:r>
          </w:p>
          <w:p w14:paraId="1CE764C2" w14:textId="77777777" w:rsidR="00CA2867" w:rsidRPr="000E3A36" w:rsidRDefault="00CA2867" w:rsidP="003B6CDA">
            <w:pPr>
              <w:jc w:val="center"/>
              <w:rPr>
                <w:rFonts w:eastAsia="Arial Unicode MS"/>
                <w:b/>
                <w:bCs/>
                <w:sz w:val="17"/>
                <w:szCs w:val="17"/>
                <w:lang w:val="en-GB" w:bidi="th-TH"/>
              </w:rPr>
            </w:pPr>
            <w:r w:rsidRPr="000E3A36">
              <w:rPr>
                <w:b/>
                <w:bCs/>
                <w:sz w:val="17"/>
                <w:szCs w:val="17"/>
                <w:lang w:val="en-GB" w:bidi="th-TH"/>
              </w:rPr>
              <w:t>ha</w:t>
            </w:r>
          </w:p>
        </w:tc>
        <w:tc>
          <w:tcPr>
            <w:tcW w:w="956" w:type="dxa"/>
            <w:tcBorders>
              <w:top w:val="single" w:sz="12"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4113812" w14:textId="77777777" w:rsidR="00CA2867" w:rsidRPr="000E3A36" w:rsidRDefault="00CA2867" w:rsidP="003B6CDA">
            <w:pPr>
              <w:jc w:val="center"/>
              <w:rPr>
                <w:b/>
                <w:bCs/>
                <w:sz w:val="17"/>
                <w:szCs w:val="17"/>
                <w:lang w:val="en-GB" w:bidi="th-TH"/>
              </w:rPr>
            </w:pPr>
            <w:r w:rsidRPr="000E3A36">
              <w:rPr>
                <w:b/>
                <w:bCs/>
                <w:sz w:val="17"/>
                <w:szCs w:val="17"/>
                <w:lang w:val="en-GB" w:bidi="th-TH"/>
              </w:rPr>
              <w:t>1990</w:t>
            </w:r>
          </w:p>
          <w:p w14:paraId="53A10353" w14:textId="77777777" w:rsidR="00CA2867" w:rsidRPr="000E3A36" w:rsidRDefault="00CA2867" w:rsidP="003B6CDA">
            <w:pPr>
              <w:jc w:val="center"/>
              <w:rPr>
                <w:rFonts w:eastAsia="Arial Unicode MS"/>
                <w:b/>
                <w:bCs/>
                <w:sz w:val="17"/>
                <w:szCs w:val="17"/>
                <w:lang w:val="en-GB" w:bidi="th-TH"/>
              </w:rPr>
            </w:pPr>
            <w:r w:rsidRPr="000E3A36">
              <w:rPr>
                <w:b/>
                <w:bCs/>
                <w:sz w:val="17"/>
                <w:szCs w:val="17"/>
                <w:lang w:val="en-GB" w:bidi="th-TH"/>
              </w:rPr>
              <w:t>ha</w:t>
            </w:r>
          </w:p>
        </w:tc>
        <w:tc>
          <w:tcPr>
            <w:tcW w:w="1000" w:type="dxa"/>
            <w:tcBorders>
              <w:top w:val="single" w:sz="12" w:space="0" w:color="auto"/>
              <w:left w:val="single" w:sz="4" w:space="0" w:color="auto"/>
              <w:bottom w:val="single" w:sz="4" w:space="0" w:color="auto"/>
              <w:right w:val="single" w:sz="12" w:space="0" w:color="auto"/>
            </w:tcBorders>
            <w:noWrap/>
            <w:tcMar>
              <w:top w:w="15" w:type="dxa"/>
              <w:left w:w="15" w:type="dxa"/>
              <w:bottom w:w="0" w:type="dxa"/>
              <w:right w:w="15" w:type="dxa"/>
            </w:tcMar>
            <w:vAlign w:val="center"/>
          </w:tcPr>
          <w:p w14:paraId="6309597F" w14:textId="77777777" w:rsidR="00CA2867" w:rsidRPr="000E3A36" w:rsidRDefault="00CA2867" w:rsidP="003B6CDA">
            <w:pPr>
              <w:jc w:val="center"/>
              <w:rPr>
                <w:b/>
                <w:bCs/>
                <w:sz w:val="17"/>
                <w:szCs w:val="17"/>
                <w:lang w:val="en-GB" w:bidi="th-TH"/>
              </w:rPr>
            </w:pPr>
            <w:r w:rsidRPr="000E3A36">
              <w:rPr>
                <w:b/>
                <w:bCs/>
                <w:sz w:val="17"/>
                <w:szCs w:val="17"/>
                <w:lang w:val="en-GB" w:bidi="th-TH"/>
              </w:rPr>
              <w:t>2000</w:t>
            </w:r>
          </w:p>
          <w:p w14:paraId="78BB4EE0" w14:textId="77777777" w:rsidR="00CA2867" w:rsidRPr="000E3A36" w:rsidRDefault="00CA2867" w:rsidP="003B6CDA">
            <w:pPr>
              <w:jc w:val="center"/>
              <w:rPr>
                <w:rFonts w:eastAsia="Arial Unicode MS"/>
                <w:b/>
                <w:bCs/>
                <w:sz w:val="17"/>
                <w:szCs w:val="17"/>
                <w:lang w:val="en-GB" w:bidi="th-TH"/>
              </w:rPr>
            </w:pPr>
            <w:r w:rsidRPr="000E3A36">
              <w:rPr>
                <w:b/>
                <w:bCs/>
                <w:sz w:val="17"/>
                <w:szCs w:val="17"/>
                <w:lang w:val="en-GB" w:bidi="th-TH"/>
              </w:rPr>
              <w:t>ha</w:t>
            </w:r>
          </w:p>
        </w:tc>
        <w:tc>
          <w:tcPr>
            <w:tcW w:w="1100" w:type="dxa"/>
            <w:vMerge/>
            <w:tcBorders>
              <w:left w:val="single" w:sz="12" w:space="0" w:color="auto"/>
              <w:bottom w:val="single" w:sz="4" w:space="0" w:color="auto"/>
              <w:right w:val="single" w:sz="12" w:space="0" w:color="auto"/>
            </w:tcBorders>
            <w:vAlign w:val="center"/>
          </w:tcPr>
          <w:p w14:paraId="44CDDD3D" w14:textId="77777777" w:rsidR="00CA2867" w:rsidRPr="000E3A36" w:rsidRDefault="00CA2867" w:rsidP="003B6CDA">
            <w:pPr>
              <w:ind w:right="65"/>
              <w:jc w:val="right"/>
              <w:rPr>
                <w:sz w:val="17"/>
                <w:szCs w:val="17"/>
                <w:lang w:val="en-GB" w:bidi="th-TH"/>
              </w:rPr>
            </w:pPr>
          </w:p>
        </w:tc>
        <w:tc>
          <w:tcPr>
            <w:tcW w:w="1034" w:type="dxa"/>
            <w:tcBorders>
              <w:top w:val="single" w:sz="12" w:space="0" w:color="auto"/>
              <w:left w:val="single" w:sz="12" w:space="0" w:color="auto"/>
              <w:bottom w:val="single" w:sz="4" w:space="0" w:color="auto"/>
              <w:right w:val="single" w:sz="4" w:space="0" w:color="auto"/>
            </w:tcBorders>
            <w:noWrap/>
            <w:tcMar>
              <w:top w:w="15" w:type="dxa"/>
              <w:left w:w="15" w:type="dxa"/>
              <w:bottom w:w="0" w:type="dxa"/>
              <w:right w:w="15" w:type="dxa"/>
            </w:tcMar>
            <w:vAlign w:val="center"/>
          </w:tcPr>
          <w:p w14:paraId="28AD3C5C" w14:textId="77777777" w:rsidR="00CA2867" w:rsidRPr="000E3A36" w:rsidRDefault="00CA2867" w:rsidP="003B6CDA">
            <w:pPr>
              <w:ind w:right="65"/>
              <w:jc w:val="center"/>
              <w:rPr>
                <w:b/>
                <w:bCs/>
                <w:sz w:val="17"/>
                <w:szCs w:val="17"/>
                <w:lang w:val="en-GB" w:bidi="th-TH"/>
              </w:rPr>
            </w:pPr>
            <w:r w:rsidRPr="000E3A36">
              <w:rPr>
                <w:b/>
                <w:bCs/>
                <w:sz w:val="17"/>
                <w:szCs w:val="17"/>
                <w:lang w:val="en-GB" w:bidi="th-TH"/>
              </w:rPr>
              <w:t>1980 - 1990</w:t>
            </w:r>
          </w:p>
        </w:tc>
        <w:tc>
          <w:tcPr>
            <w:tcW w:w="943" w:type="dxa"/>
            <w:tcBorders>
              <w:top w:val="single" w:sz="12" w:space="0" w:color="auto"/>
              <w:left w:val="single" w:sz="4" w:space="0" w:color="auto"/>
              <w:bottom w:val="single" w:sz="4" w:space="0" w:color="auto"/>
              <w:right w:val="single" w:sz="12" w:space="0" w:color="auto"/>
            </w:tcBorders>
            <w:noWrap/>
            <w:tcMar>
              <w:top w:w="15" w:type="dxa"/>
              <w:left w:w="15" w:type="dxa"/>
              <w:bottom w:w="0" w:type="dxa"/>
              <w:right w:w="15" w:type="dxa"/>
            </w:tcMar>
            <w:vAlign w:val="center"/>
          </w:tcPr>
          <w:p w14:paraId="18F16F0A" w14:textId="77777777" w:rsidR="00CA2867" w:rsidRPr="000E3A36" w:rsidRDefault="00CA2867" w:rsidP="003B6CDA">
            <w:pPr>
              <w:ind w:right="65"/>
              <w:jc w:val="center"/>
              <w:rPr>
                <w:b/>
                <w:bCs/>
                <w:sz w:val="17"/>
                <w:szCs w:val="17"/>
                <w:lang w:val="en-GB" w:bidi="th-TH"/>
              </w:rPr>
            </w:pPr>
            <w:r w:rsidRPr="000E3A36">
              <w:rPr>
                <w:b/>
                <w:bCs/>
                <w:sz w:val="17"/>
                <w:szCs w:val="17"/>
                <w:lang w:val="en-GB" w:bidi="th-TH"/>
              </w:rPr>
              <w:t>1990-2000</w:t>
            </w:r>
          </w:p>
        </w:tc>
      </w:tr>
      <w:tr w:rsidR="00CA2867" w:rsidRPr="000E3A36" w14:paraId="6B06CCB3" w14:textId="77777777" w:rsidTr="003B6CDA">
        <w:trPr>
          <w:trHeight w:val="143"/>
          <w:jc w:val="center"/>
        </w:trPr>
        <w:tc>
          <w:tcPr>
            <w:tcW w:w="1126" w:type="dxa"/>
            <w:tcBorders>
              <w:top w:val="single" w:sz="12" w:space="0" w:color="auto"/>
              <w:left w:val="single" w:sz="12" w:space="0" w:color="auto"/>
              <w:bottom w:val="single" w:sz="4" w:space="0" w:color="auto"/>
              <w:right w:val="single" w:sz="12" w:space="0" w:color="auto"/>
            </w:tcBorders>
            <w:noWrap/>
            <w:tcMar>
              <w:top w:w="15" w:type="dxa"/>
              <w:left w:w="15" w:type="dxa"/>
              <w:bottom w:w="0" w:type="dxa"/>
              <w:right w:w="15" w:type="dxa"/>
            </w:tcMar>
            <w:vAlign w:val="center"/>
          </w:tcPr>
          <w:p w14:paraId="31B321CF" w14:textId="77777777" w:rsidR="00CA2867" w:rsidRPr="000E3A36" w:rsidRDefault="00CA2867" w:rsidP="003B6CDA">
            <w:pPr>
              <w:rPr>
                <w:rFonts w:eastAsia="Arial Unicode MS"/>
                <w:b/>
                <w:bCs/>
                <w:sz w:val="17"/>
                <w:szCs w:val="17"/>
                <w:lang w:val="en-GB" w:bidi="th-TH"/>
              </w:rPr>
            </w:pPr>
            <w:bookmarkStart w:id="61" w:name="_Hlk340121120"/>
            <w:r w:rsidRPr="000E3A36">
              <w:rPr>
                <w:b/>
                <w:bCs/>
                <w:sz w:val="17"/>
                <w:szCs w:val="17"/>
                <w:lang w:val="en-GB" w:bidi="th-TH"/>
              </w:rPr>
              <w:t>Cambodia</w:t>
            </w:r>
          </w:p>
        </w:tc>
        <w:tc>
          <w:tcPr>
            <w:tcW w:w="1006" w:type="dxa"/>
            <w:tcBorders>
              <w:top w:val="single" w:sz="12" w:space="0" w:color="auto"/>
              <w:left w:val="single" w:sz="12" w:space="0" w:color="auto"/>
              <w:bottom w:val="single" w:sz="4" w:space="0" w:color="auto"/>
              <w:right w:val="single" w:sz="4" w:space="0" w:color="auto"/>
            </w:tcBorders>
            <w:noWrap/>
            <w:tcMar>
              <w:top w:w="15" w:type="dxa"/>
              <w:left w:w="15" w:type="dxa"/>
              <w:bottom w:w="0" w:type="dxa"/>
              <w:right w:w="15" w:type="dxa"/>
            </w:tcMar>
            <w:vAlign w:val="center"/>
          </w:tcPr>
          <w:p w14:paraId="4024CF4D"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72,800</w:t>
            </w:r>
          </w:p>
        </w:tc>
        <w:tc>
          <w:tcPr>
            <w:tcW w:w="775" w:type="dxa"/>
            <w:tcBorders>
              <w:top w:val="single" w:sz="12"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5F319ECA" w14:textId="77777777" w:rsidR="00CA2867" w:rsidRPr="000E3A36" w:rsidRDefault="00CA2867" w:rsidP="003B6CDA">
            <w:pPr>
              <w:ind w:right="65"/>
              <w:jc w:val="center"/>
              <w:rPr>
                <w:rFonts w:eastAsia="Arial Unicode MS"/>
                <w:sz w:val="17"/>
                <w:szCs w:val="17"/>
                <w:lang w:val="en-GB" w:bidi="th-TH"/>
              </w:rPr>
            </w:pPr>
            <w:r w:rsidRPr="000E3A36">
              <w:rPr>
                <w:sz w:val="17"/>
                <w:szCs w:val="17"/>
                <w:lang w:val="en-GB" w:bidi="th-TH"/>
              </w:rPr>
              <w:t>1997</w:t>
            </w:r>
          </w:p>
        </w:tc>
        <w:tc>
          <w:tcPr>
            <w:tcW w:w="901" w:type="dxa"/>
            <w:tcBorders>
              <w:top w:val="single" w:sz="12"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0DA59D6D"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83,000</w:t>
            </w:r>
          </w:p>
        </w:tc>
        <w:tc>
          <w:tcPr>
            <w:tcW w:w="956" w:type="dxa"/>
            <w:tcBorders>
              <w:top w:val="single" w:sz="12"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595239C"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74,600</w:t>
            </w:r>
          </w:p>
        </w:tc>
        <w:tc>
          <w:tcPr>
            <w:tcW w:w="1000" w:type="dxa"/>
            <w:tcBorders>
              <w:top w:val="single" w:sz="12" w:space="0" w:color="auto"/>
              <w:left w:val="single" w:sz="4" w:space="0" w:color="auto"/>
              <w:bottom w:val="single" w:sz="4" w:space="0" w:color="auto"/>
              <w:right w:val="single" w:sz="12" w:space="0" w:color="auto"/>
            </w:tcBorders>
            <w:noWrap/>
            <w:tcMar>
              <w:top w:w="15" w:type="dxa"/>
              <w:left w:w="15" w:type="dxa"/>
              <w:bottom w:w="0" w:type="dxa"/>
              <w:right w:w="15" w:type="dxa"/>
            </w:tcMar>
            <w:vAlign w:val="center"/>
          </w:tcPr>
          <w:p w14:paraId="6583D64F"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63,700</w:t>
            </w:r>
          </w:p>
        </w:tc>
        <w:tc>
          <w:tcPr>
            <w:tcW w:w="1100" w:type="dxa"/>
            <w:tcBorders>
              <w:top w:val="single" w:sz="12" w:space="0" w:color="auto"/>
              <w:left w:val="single" w:sz="12" w:space="0" w:color="auto"/>
              <w:bottom w:val="single" w:sz="4" w:space="0" w:color="auto"/>
              <w:right w:val="single" w:sz="12" w:space="0" w:color="auto"/>
            </w:tcBorders>
            <w:vAlign w:val="center"/>
          </w:tcPr>
          <w:p w14:paraId="0DC18F36" w14:textId="77777777" w:rsidR="00CA2867" w:rsidRPr="000E3A36" w:rsidRDefault="00CA2867" w:rsidP="003B6CDA">
            <w:pPr>
              <w:ind w:right="65"/>
              <w:jc w:val="right"/>
              <w:rPr>
                <w:sz w:val="17"/>
                <w:szCs w:val="17"/>
                <w:lang w:val="en-GB" w:bidi="th-TH"/>
              </w:rPr>
            </w:pPr>
            <w:r w:rsidRPr="000E3A36">
              <w:rPr>
                <w:sz w:val="17"/>
                <w:szCs w:val="17"/>
                <w:lang w:val="en-GB" w:bidi="th-TH"/>
              </w:rPr>
              <w:t>72,400</w:t>
            </w:r>
          </w:p>
        </w:tc>
        <w:tc>
          <w:tcPr>
            <w:tcW w:w="1034" w:type="dxa"/>
            <w:tcBorders>
              <w:top w:val="single" w:sz="12" w:space="0" w:color="auto"/>
              <w:left w:val="single" w:sz="12" w:space="0" w:color="auto"/>
              <w:bottom w:val="single" w:sz="4" w:space="0" w:color="auto"/>
              <w:right w:val="single" w:sz="4" w:space="0" w:color="auto"/>
            </w:tcBorders>
            <w:noWrap/>
            <w:tcMar>
              <w:top w:w="15" w:type="dxa"/>
              <w:left w:w="15" w:type="dxa"/>
              <w:bottom w:w="0" w:type="dxa"/>
              <w:right w:w="15" w:type="dxa"/>
            </w:tcMar>
            <w:vAlign w:val="bottom"/>
          </w:tcPr>
          <w:p w14:paraId="559FBD6B"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-1.01</w:t>
            </w:r>
          </w:p>
        </w:tc>
        <w:tc>
          <w:tcPr>
            <w:tcW w:w="943" w:type="dxa"/>
            <w:tcBorders>
              <w:top w:val="single" w:sz="12" w:space="0" w:color="auto"/>
              <w:left w:val="single" w:sz="4" w:space="0" w:color="auto"/>
              <w:bottom w:val="single" w:sz="4" w:space="0" w:color="auto"/>
              <w:right w:val="single" w:sz="12" w:space="0" w:color="auto"/>
            </w:tcBorders>
            <w:noWrap/>
            <w:tcMar>
              <w:top w:w="15" w:type="dxa"/>
              <w:left w:w="15" w:type="dxa"/>
              <w:bottom w:w="0" w:type="dxa"/>
              <w:right w:w="15" w:type="dxa"/>
            </w:tcMar>
            <w:vAlign w:val="bottom"/>
          </w:tcPr>
          <w:p w14:paraId="6C32918D"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-1.46</w:t>
            </w:r>
          </w:p>
        </w:tc>
      </w:tr>
      <w:tr w:rsidR="00CA2867" w:rsidRPr="000E3A36" w14:paraId="11ECBFDE" w14:textId="77777777" w:rsidTr="003B6CDA">
        <w:trPr>
          <w:trHeight w:val="55"/>
          <w:jc w:val="center"/>
        </w:trPr>
        <w:tc>
          <w:tcPr>
            <w:tcW w:w="1126" w:type="dxa"/>
            <w:tcBorders>
              <w:top w:val="single" w:sz="4" w:space="0" w:color="auto"/>
              <w:left w:val="single" w:sz="12" w:space="0" w:color="auto"/>
              <w:bottom w:val="single" w:sz="4" w:space="0" w:color="auto"/>
              <w:right w:val="single" w:sz="12" w:space="0" w:color="auto"/>
            </w:tcBorders>
            <w:noWrap/>
            <w:tcMar>
              <w:top w:w="15" w:type="dxa"/>
              <w:left w:w="15" w:type="dxa"/>
              <w:bottom w:w="0" w:type="dxa"/>
              <w:right w:w="15" w:type="dxa"/>
            </w:tcMar>
            <w:vAlign w:val="center"/>
          </w:tcPr>
          <w:p w14:paraId="7EE7E03E" w14:textId="77777777" w:rsidR="00CA2867" w:rsidRPr="000E3A36" w:rsidRDefault="00CA2867" w:rsidP="003B6CDA">
            <w:pPr>
              <w:rPr>
                <w:rFonts w:eastAsia="Arial Unicode MS"/>
                <w:b/>
                <w:bCs/>
                <w:sz w:val="17"/>
                <w:szCs w:val="17"/>
                <w:lang w:val="en-GB" w:bidi="th-TH"/>
              </w:rPr>
            </w:pPr>
            <w:r w:rsidRPr="000E3A36">
              <w:rPr>
                <w:b/>
                <w:bCs/>
                <w:sz w:val="17"/>
                <w:szCs w:val="17"/>
                <w:lang w:val="en-GB" w:bidi="th-TH"/>
              </w:rPr>
              <w:t>China</w:t>
            </w:r>
          </w:p>
        </w:tc>
        <w:tc>
          <w:tcPr>
            <w:tcW w:w="1006" w:type="dxa"/>
            <w:tcBorders>
              <w:top w:val="single" w:sz="4" w:space="0" w:color="auto"/>
              <w:left w:val="single" w:sz="12" w:space="0" w:color="auto"/>
              <w:bottom w:val="single" w:sz="4" w:space="0" w:color="auto"/>
              <w:right w:val="single" w:sz="4" w:space="0" w:color="auto"/>
            </w:tcBorders>
            <w:noWrap/>
            <w:tcMar>
              <w:top w:w="15" w:type="dxa"/>
              <w:left w:w="15" w:type="dxa"/>
              <w:bottom w:w="0" w:type="dxa"/>
              <w:right w:w="15" w:type="dxa"/>
            </w:tcMar>
            <w:vAlign w:val="center"/>
          </w:tcPr>
          <w:p w14:paraId="2092960C"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36,900</w:t>
            </w:r>
          </w:p>
        </w:tc>
        <w:tc>
          <w:tcPr>
            <w:tcW w:w="775"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32931703" w14:textId="77777777" w:rsidR="00CA2867" w:rsidRPr="000E3A36" w:rsidRDefault="00CA2867" w:rsidP="003B6CDA">
            <w:pPr>
              <w:ind w:right="65"/>
              <w:jc w:val="center"/>
              <w:rPr>
                <w:rFonts w:eastAsia="Arial Unicode MS"/>
                <w:sz w:val="17"/>
                <w:szCs w:val="17"/>
                <w:lang w:val="en-GB" w:bidi="th-TH"/>
              </w:rPr>
            </w:pPr>
            <w:r w:rsidRPr="000E3A36">
              <w:rPr>
                <w:sz w:val="17"/>
                <w:szCs w:val="17"/>
                <w:lang w:val="en-GB" w:bidi="th-TH"/>
              </w:rPr>
              <w:t>1994</w:t>
            </w:r>
          </w:p>
        </w:tc>
        <w:tc>
          <w:tcPr>
            <w:tcW w:w="90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4FE6A0F6"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65,900</w:t>
            </w:r>
          </w:p>
        </w:tc>
        <w:tc>
          <w:tcPr>
            <w:tcW w:w="956"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5DB9D329"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44,800</w:t>
            </w:r>
          </w:p>
        </w:tc>
        <w:tc>
          <w:tcPr>
            <w:tcW w:w="1000" w:type="dxa"/>
            <w:tcBorders>
              <w:top w:val="single" w:sz="4" w:space="0" w:color="auto"/>
              <w:left w:val="single" w:sz="4" w:space="0" w:color="auto"/>
              <w:bottom w:val="single" w:sz="4" w:space="0" w:color="auto"/>
              <w:right w:val="single" w:sz="12" w:space="0" w:color="auto"/>
            </w:tcBorders>
            <w:noWrap/>
            <w:tcMar>
              <w:top w:w="15" w:type="dxa"/>
              <w:left w:w="15" w:type="dxa"/>
              <w:bottom w:w="0" w:type="dxa"/>
              <w:right w:w="15" w:type="dxa"/>
            </w:tcMar>
            <w:vAlign w:val="center"/>
          </w:tcPr>
          <w:p w14:paraId="3CE6A4E9"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23,700</w:t>
            </w:r>
          </w:p>
        </w:tc>
        <w:tc>
          <w:tcPr>
            <w:tcW w:w="1100" w:type="dxa"/>
            <w:tcBorders>
              <w:top w:val="single" w:sz="4" w:space="0" w:color="auto"/>
              <w:left w:val="single" w:sz="12" w:space="0" w:color="auto"/>
              <w:bottom w:val="single" w:sz="4" w:space="0" w:color="auto"/>
              <w:right w:val="single" w:sz="12" w:space="0" w:color="auto"/>
            </w:tcBorders>
            <w:vAlign w:val="center"/>
          </w:tcPr>
          <w:p w14:paraId="77515063" w14:textId="77777777" w:rsidR="00CA2867" w:rsidRPr="000E3A36" w:rsidRDefault="00CA2867" w:rsidP="003B6CDA">
            <w:pPr>
              <w:ind w:right="65"/>
              <w:jc w:val="right"/>
              <w:rPr>
                <w:sz w:val="17"/>
                <w:szCs w:val="17"/>
                <w:lang w:val="en-GB" w:bidi="th-TH"/>
              </w:rPr>
            </w:pPr>
            <w:r w:rsidRPr="000E3A36">
              <w:rPr>
                <w:sz w:val="17"/>
                <w:szCs w:val="17"/>
                <w:lang w:val="en-GB" w:bidi="th-TH"/>
              </w:rPr>
              <w:t>23,400</w:t>
            </w:r>
          </w:p>
        </w:tc>
        <w:tc>
          <w:tcPr>
            <w:tcW w:w="1034" w:type="dxa"/>
            <w:tcBorders>
              <w:top w:val="single" w:sz="4" w:space="0" w:color="auto"/>
              <w:left w:val="single" w:sz="12" w:space="0" w:color="auto"/>
              <w:bottom w:val="single" w:sz="4" w:space="0" w:color="auto"/>
              <w:right w:val="single" w:sz="4" w:space="0" w:color="auto"/>
            </w:tcBorders>
            <w:noWrap/>
            <w:tcMar>
              <w:top w:w="15" w:type="dxa"/>
              <w:left w:w="15" w:type="dxa"/>
              <w:bottom w:w="0" w:type="dxa"/>
              <w:right w:w="15" w:type="dxa"/>
            </w:tcMar>
            <w:vAlign w:val="bottom"/>
          </w:tcPr>
          <w:p w14:paraId="0585ECB1"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-3.20</w:t>
            </w:r>
          </w:p>
        </w:tc>
        <w:tc>
          <w:tcPr>
            <w:tcW w:w="943" w:type="dxa"/>
            <w:tcBorders>
              <w:top w:val="single" w:sz="4" w:space="0" w:color="auto"/>
              <w:left w:val="single" w:sz="4" w:space="0" w:color="auto"/>
              <w:bottom w:val="single" w:sz="4" w:space="0" w:color="auto"/>
              <w:right w:val="single" w:sz="12" w:space="0" w:color="auto"/>
            </w:tcBorders>
            <w:noWrap/>
            <w:tcMar>
              <w:top w:w="15" w:type="dxa"/>
              <w:left w:w="15" w:type="dxa"/>
              <w:bottom w:w="0" w:type="dxa"/>
              <w:right w:w="15" w:type="dxa"/>
            </w:tcMar>
            <w:vAlign w:val="bottom"/>
          </w:tcPr>
          <w:p w14:paraId="7DD5E630"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-4.71</w:t>
            </w:r>
          </w:p>
        </w:tc>
      </w:tr>
      <w:tr w:rsidR="00CA2867" w:rsidRPr="000E3A36" w14:paraId="33583513" w14:textId="77777777" w:rsidTr="003B6CDA">
        <w:trPr>
          <w:trHeight w:val="144"/>
          <w:jc w:val="center"/>
        </w:trPr>
        <w:tc>
          <w:tcPr>
            <w:tcW w:w="1126" w:type="dxa"/>
            <w:tcBorders>
              <w:top w:val="single" w:sz="4" w:space="0" w:color="auto"/>
              <w:left w:val="single" w:sz="12" w:space="0" w:color="auto"/>
              <w:bottom w:val="single" w:sz="4" w:space="0" w:color="auto"/>
              <w:right w:val="single" w:sz="12" w:space="0" w:color="auto"/>
            </w:tcBorders>
            <w:noWrap/>
            <w:tcMar>
              <w:top w:w="15" w:type="dxa"/>
              <w:left w:w="15" w:type="dxa"/>
              <w:bottom w:w="0" w:type="dxa"/>
              <w:right w:w="15" w:type="dxa"/>
            </w:tcMar>
            <w:vAlign w:val="center"/>
          </w:tcPr>
          <w:p w14:paraId="42896803" w14:textId="77777777" w:rsidR="00CA2867" w:rsidRPr="000E3A36" w:rsidRDefault="00CA2867" w:rsidP="003B6CDA">
            <w:pPr>
              <w:rPr>
                <w:rFonts w:eastAsia="Arial Unicode MS"/>
                <w:b/>
                <w:bCs/>
                <w:sz w:val="17"/>
                <w:szCs w:val="17"/>
                <w:lang w:val="en-GB" w:bidi="th-TH"/>
              </w:rPr>
            </w:pPr>
            <w:r w:rsidRPr="000E3A36">
              <w:rPr>
                <w:b/>
                <w:bCs/>
                <w:sz w:val="17"/>
                <w:szCs w:val="17"/>
                <w:lang w:val="en-GB" w:bidi="th-TH"/>
              </w:rPr>
              <w:t>Indonesia</w:t>
            </w:r>
          </w:p>
        </w:tc>
        <w:tc>
          <w:tcPr>
            <w:tcW w:w="1006" w:type="dxa"/>
            <w:tcBorders>
              <w:top w:val="single" w:sz="4" w:space="0" w:color="auto"/>
              <w:left w:val="single" w:sz="12" w:space="0" w:color="auto"/>
              <w:bottom w:val="single" w:sz="4" w:space="0" w:color="auto"/>
              <w:right w:val="single" w:sz="4" w:space="0" w:color="auto"/>
            </w:tcBorders>
            <w:noWrap/>
            <w:tcMar>
              <w:top w:w="15" w:type="dxa"/>
              <w:left w:w="15" w:type="dxa"/>
              <w:bottom w:w="0" w:type="dxa"/>
              <w:right w:w="15" w:type="dxa"/>
            </w:tcMar>
            <w:vAlign w:val="center"/>
          </w:tcPr>
          <w:p w14:paraId="2C68160E"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3,490,000</w:t>
            </w:r>
          </w:p>
        </w:tc>
        <w:tc>
          <w:tcPr>
            <w:tcW w:w="775"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3022DE32" w14:textId="77777777" w:rsidR="00CA2867" w:rsidRPr="000E3A36" w:rsidRDefault="00CA2867" w:rsidP="003B6CDA">
            <w:pPr>
              <w:ind w:right="65"/>
              <w:jc w:val="center"/>
              <w:rPr>
                <w:rFonts w:eastAsia="Arial Unicode MS"/>
                <w:sz w:val="17"/>
                <w:szCs w:val="17"/>
                <w:lang w:val="en-GB" w:bidi="th-TH"/>
              </w:rPr>
            </w:pPr>
            <w:r w:rsidRPr="000E3A36">
              <w:rPr>
                <w:sz w:val="17"/>
                <w:szCs w:val="17"/>
                <w:lang w:val="en-GB" w:bidi="th-TH"/>
              </w:rPr>
              <w:t>1988</w:t>
            </w:r>
          </w:p>
        </w:tc>
        <w:tc>
          <w:tcPr>
            <w:tcW w:w="90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44B2E61A"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4,250,000</w:t>
            </w:r>
          </w:p>
        </w:tc>
        <w:tc>
          <w:tcPr>
            <w:tcW w:w="956"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E32474B"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3,530,000</w:t>
            </w:r>
          </w:p>
        </w:tc>
        <w:tc>
          <w:tcPr>
            <w:tcW w:w="1000" w:type="dxa"/>
            <w:tcBorders>
              <w:top w:val="single" w:sz="4" w:space="0" w:color="auto"/>
              <w:left w:val="single" w:sz="4" w:space="0" w:color="auto"/>
              <w:bottom w:val="single" w:sz="4" w:space="0" w:color="auto"/>
              <w:right w:val="single" w:sz="12" w:space="0" w:color="auto"/>
            </w:tcBorders>
            <w:noWrap/>
            <w:tcMar>
              <w:top w:w="15" w:type="dxa"/>
              <w:left w:w="15" w:type="dxa"/>
              <w:bottom w:w="0" w:type="dxa"/>
              <w:right w:w="15" w:type="dxa"/>
            </w:tcMar>
            <w:vAlign w:val="center"/>
          </w:tcPr>
          <w:p w14:paraId="09E5C58B"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2,930,000</w:t>
            </w:r>
          </w:p>
        </w:tc>
        <w:tc>
          <w:tcPr>
            <w:tcW w:w="1100" w:type="dxa"/>
            <w:tcBorders>
              <w:top w:val="single" w:sz="4" w:space="0" w:color="auto"/>
              <w:left w:val="single" w:sz="12" w:space="0" w:color="auto"/>
              <w:bottom w:val="single" w:sz="4" w:space="0" w:color="auto"/>
              <w:right w:val="single" w:sz="12" w:space="0" w:color="auto"/>
            </w:tcBorders>
            <w:vAlign w:val="center"/>
          </w:tcPr>
          <w:p w14:paraId="4ED808F0" w14:textId="77777777" w:rsidR="00CA2867" w:rsidRPr="000E3A36" w:rsidRDefault="00CA2867" w:rsidP="003B6CDA">
            <w:pPr>
              <w:ind w:right="65"/>
              <w:jc w:val="right"/>
              <w:rPr>
                <w:sz w:val="17"/>
                <w:szCs w:val="17"/>
                <w:lang w:val="en-GB" w:bidi="th-TH"/>
              </w:rPr>
            </w:pPr>
            <w:r w:rsidRPr="000E3A36">
              <w:rPr>
                <w:sz w:val="17"/>
                <w:szCs w:val="17"/>
                <w:lang w:val="en-GB" w:bidi="th-TH"/>
              </w:rPr>
              <w:t>934,000</w:t>
            </w:r>
          </w:p>
        </w:tc>
        <w:tc>
          <w:tcPr>
            <w:tcW w:w="1034" w:type="dxa"/>
            <w:tcBorders>
              <w:top w:val="single" w:sz="4" w:space="0" w:color="auto"/>
              <w:left w:val="single" w:sz="12" w:space="0" w:color="auto"/>
              <w:bottom w:val="single" w:sz="4" w:space="0" w:color="auto"/>
              <w:right w:val="single" w:sz="4" w:space="0" w:color="auto"/>
            </w:tcBorders>
            <w:noWrap/>
            <w:tcMar>
              <w:top w:w="15" w:type="dxa"/>
              <w:left w:w="15" w:type="dxa"/>
              <w:bottom w:w="0" w:type="dxa"/>
              <w:right w:w="15" w:type="dxa"/>
            </w:tcMar>
            <w:vAlign w:val="bottom"/>
          </w:tcPr>
          <w:p w14:paraId="50DBB5CE"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-1.70</w:t>
            </w:r>
          </w:p>
        </w:tc>
        <w:tc>
          <w:tcPr>
            <w:tcW w:w="943" w:type="dxa"/>
            <w:tcBorders>
              <w:top w:val="single" w:sz="4" w:space="0" w:color="auto"/>
              <w:left w:val="single" w:sz="4" w:space="0" w:color="auto"/>
              <w:bottom w:val="single" w:sz="4" w:space="0" w:color="auto"/>
              <w:right w:val="single" w:sz="12" w:space="0" w:color="auto"/>
            </w:tcBorders>
            <w:noWrap/>
            <w:tcMar>
              <w:top w:w="15" w:type="dxa"/>
              <w:left w:w="15" w:type="dxa"/>
              <w:bottom w:w="0" w:type="dxa"/>
              <w:right w:w="15" w:type="dxa"/>
            </w:tcMar>
            <w:vAlign w:val="bottom"/>
          </w:tcPr>
          <w:p w14:paraId="17DA78C7"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-1.70</w:t>
            </w:r>
          </w:p>
        </w:tc>
      </w:tr>
      <w:tr w:rsidR="00CA2867" w:rsidRPr="000E3A36" w14:paraId="402F265C" w14:textId="77777777" w:rsidTr="003B6CDA">
        <w:trPr>
          <w:trHeight w:val="55"/>
          <w:jc w:val="center"/>
        </w:trPr>
        <w:tc>
          <w:tcPr>
            <w:tcW w:w="1126" w:type="dxa"/>
            <w:tcBorders>
              <w:top w:val="single" w:sz="4" w:space="0" w:color="auto"/>
              <w:left w:val="single" w:sz="12" w:space="0" w:color="auto"/>
              <w:bottom w:val="single" w:sz="4" w:space="0" w:color="auto"/>
              <w:right w:val="single" w:sz="12" w:space="0" w:color="auto"/>
            </w:tcBorders>
            <w:noWrap/>
            <w:tcMar>
              <w:top w:w="15" w:type="dxa"/>
              <w:left w:w="15" w:type="dxa"/>
              <w:bottom w:w="0" w:type="dxa"/>
              <w:right w:w="15" w:type="dxa"/>
            </w:tcMar>
            <w:vAlign w:val="center"/>
          </w:tcPr>
          <w:p w14:paraId="59F8D804" w14:textId="77777777" w:rsidR="00CA2867" w:rsidRPr="000E3A36" w:rsidRDefault="00CA2867" w:rsidP="003B6CDA">
            <w:pPr>
              <w:rPr>
                <w:rFonts w:eastAsia="Arial Unicode MS"/>
                <w:b/>
                <w:bCs/>
                <w:sz w:val="17"/>
                <w:szCs w:val="17"/>
                <w:lang w:val="en-GB" w:bidi="th-TH"/>
              </w:rPr>
            </w:pPr>
            <w:r w:rsidRPr="000E3A36">
              <w:rPr>
                <w:b/>
                <w:bCs/>
                <w:sz w:val="17"/>
                <w:szCs w:val="17"/>
                <w:lang w:val="en-GB" w:bidi="th-TH"/>
              </w:rPr>
              <w:t>Malaysia</w:t>
            </w:r>
          </w:p>
        </w:tc>
        <w:tc>
          <w:tcPr>
            <w:tcW w:w="1006" w:type="dxa"/>
            <w:tcBorders>
              <w:top w:val="single" w:sz="4" w:space="0" w:color="auto"/>
              <w:left w:val="single" w:sz="12" w:space="0" w:color="auto"/>
              <w:bottom w:val="single" w:sz="4" w:space="0" w:color="auto"/>
              <w:right w:val="single" w:sz="4" w:space="0" w:color="auto"/>
            </w:tcBorders>
            <w:noWrap/>
            <w:tcMar>
              <w:top w:w="15" w:type="dxa"/>
              <w:left w:w="15" w:type="dxa"/>
              <w:bottom w:w="0" w:type="dxa"/>
              <w:right w:w="15" w:type="dxa"/>
            </w:tcMar>
            <w:vAlign w:val="center"/>
          </w:tcPr>
          <w:p w14:paraId="3A84018C"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587,000</w:t>
            </w:r>
          </w:p>
        </w:tc>
        <w:tc>
          <w:tcPr>
            <w:tcW w:w="775"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53C2781" w14:textId="77777777" w:rsidR="00CA2867" w:rsidRPr="000E3A36" w:rsidRDefault="00CA2867" w:rsidP="003B6CDA">
            <w:pPr>
              <w:ind w:right="65"/>
              <w:jc w:val="center"/>
              <w:rPr>
                <w:rFonts w:eastAsia="Arial Unicode MS"/>
                <w:sz w:val="17"/>
                <w:szCs w:val="17"/>
                <w:lang w:val="en-GB" w:bidi="th-TH"/>
              </w:rPr>
            </w:pPr>
            <w:r w:rsidRPr="000E3A36">
              <w:rPr>
                <w:sz w:val="17"/>
                <w:szCs w:val="17"/>
                <w:lang w:val="en-GB" w:bidi="th-TH"/>
              </w:rPr>
              <w:t>1995</w:t>
            </w:r>
          </w:p>
        </w:tc>
        <w:tc>
          <w:tcPr>
            <w:tcW w:w="90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FC4834A"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669,000</w:t>
            </w:r>
          </w:p>
        </w:tc>
        <w:tc>
          <w:tcPr>
            <w:tcW w:w="956"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50ED7870"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621,000</w:t>
            </w:r>
          </w:p>
        </w:tc>
        <w:tc>
          <w:tcPr>
            <w:tcW w:w="1000" w:type="dxa"/>
            <w:tcBorders>
              <w:top w:val="single" w:sz="4" w:space="0" w:color="auto"/>
              <w:left w:val="single" w:sz="4" w:space="0" w:color="auto"/>
              <w:bottom w:val="single" w:sz="4" w:space="0" w:color="auto"/>
              <w:right w:val="single" w:sz="12" w:space="0" w:color="auto"/>
            </w:tcBorders>
            <w:noWrap/>
            <w:tcMar>
              <w:top w:w="15" w:type="dxa"/>
              <w:left w:w="15" w:type="dxa"/>
              <w:bottom w:w="0" w:type="dxa"/>
              <w:right w:w="15" w:type="dxa"/>
            </w:tcMar>
            <w:vAlign w:val="center"/>
          </w:tcPr>
          <w:p w14:paraId="41323043"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572,000</w:t>
            </w:r>
          </w:p>
        </w:tc>
        <w:tc>
          <w:tcPr>
            <w:tcW w:w="1100" w:type="dxa"/>
            <w:tcBorders>
              <w:top w:val="single" w:sz="4" w:space="0" w:color="auto"/>
              <w:left w:val="single" w:sz="12" w:space="0" w:color="auto"/>
              <w:bottom w:val="single" w:sz="4" w:space="0" w:color="auto"/>
              <w:right w:val="single" w:sz="12" w:space="0" w:color="auto"/>
            </w:tcBorders>
            <w:vAlign w:val="center"/>
          </w:tcPr>
          <w:p w14:paraId="3D72506F" w14:textId="77777777" w:rsidR="00CA2867" w:rsidRPr="000E3A36" w:rsidRDefault="00CA2867" w:rsidP="003B6CDA">
            <w:pPr>
              <w:ind w:right="65"/>
              <w:jc w:val="right"/>
              <w:rPr>
                <w:sz w:val="17"/>
                <w:szCs w:val="17"/>
                <w:lang w:val="en-GB" w:bidi="th-TH"/>
              </w:rPr>
            </w:pPr>
            <w:r w:rsidRPr="000E3A36">
              <w:rPr>
                <w:sz w:val="17"/>
                <w:szCs w:val="17"/>
                <w:lang w:val="en-GB" w:bidi="th-TH"/>
              </w:rPr>
              <w:t>532,000</w:t>
            </w:r>
          </w:p>
        </w:tc>
        <w:tc>
          <w:tcPr>
            <w:tcW w:w="1034" w:type="dxa"/>
            <w:tcBorders>
              <w:top w:val="single" w:sz="4" w:space="0" w:color="auto"/>
              <w:left w:val="single" w:sz="12" w:space="0" w:color="auto"/>
              <w:bottom w:val="single" w:sz="4" w:space="0" w:color="auto"/>
              <w:right w:val="single" w:sz="4" w:space="0" w:color="auto"/>
            </w:tcBorders>
            <w:noWrap/>
            <w:tcMar>
              <w:top w:w="15" w:type="dxa"/>
              <w:left w:w="15" w:type="dxa"/>
              <w:bottom w:w="0" w:type="dxa"/>
              <w:right w:w="15" w:type="dxa"/>
            </w:tcMar>
            <w:vAlign w:val="bottom"/>
          </w:tcPr>
          <w:p w14:paraId="658480D9"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-0.72</w:t>
            </w:r>
          </w:p>
        </w:tc>
        <w:tc>
          <w:tcPr>
            <w:tcW w:w="943" w:type="dxa"/>
            <w:tcBorders>
              <w:top w:val="single" w:sz="4" w:space="0" w:color="auto"/>
              <w:left w:val="single" w:sz="4" w:space="0" w:color="auto"/>
              <w:bottom w:val="single" w:sz="4" w:space="0" w:color="auto"/>
              <w:right w:val="single" w:sz="12" w:space="0" w:color="auto"/>
            </w:tcBorders>
            <w:noWrap/>
            <w:tcMar>
              <w:top w:w="15" w:type="dxa"/>
              <w:left w:w="15" w:type="dxa"/>
              <w:bottom w:w="0" w:type="dxa"/>
              <w:right w:w="15" w:type="dxa"/>
            </w:tcMar>
            <w:vAlign w:val="bottom"/>
          </w:tcPr>
          <w:p w14:paraId="274FEC76"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-0.78</w:t>
            </w:r>
          </w:p>
        </w:tc>
      </w:tr>
      <w:tr w:rsidR="00CA2867" w:rsidRPr="000E3A36" w14:paraId="1D5DBB43" w14:textId="77777777" w:rsidTr="003B6CDA">
        <w:trPr>
          <w:trHeight w:val="110"/>
          <w:jc w:val="center"/>
        </w:trPr>
        <w:tc>
          <w:tcPr>
            <w:tcW w:w="1126" w:type="dxa"/>
            <w:tcBorders>
              <w:top w:val="single" w:sz="4" w:space="0" w:color="auto"/>
              <w:left w:val="single" w:sz="12" w:space="0" w:color="auto"/>
              <w:bottom w:val="single" w:sz="4" w:space="0" w:color="auto"/>
              <w:right w:val="single" w:sz="12" w:space="0" w:color="auto"/>
            </w:tcBorders>
            <w:noWrap/>
            <w:tcMar>
              <w:top w:w="15" w:type="dxa"/>
              <w:left w:w="15" w:type="dxa"/>
              <w:bottom w:w="0" w:type="dxa"/>
              <w:right w:w="15" w:type="dxa"/>
            </w:tcMar>
            <w:vAlign w:val="center"/>
          </w:tcPr>
          <w:p w14:paraId="6BDF79CD" w14:textId="77777777" w:rsidR="00CA2867" w:rsidRPr="000E3A36" w:rsidRDefault="00CA2867" w:rsidP="003B6CDA">
            <w:pPr>
              <w:rPr>
                <w:rFonts w:eastAsia="Arial Unicode MS"/>
                <w:b/>
                <w:bCs/>
                <w:sz w:val="17"/>
                <w:szCs w:val="17"/>
                <w:lang w:val="en-GB" w:bidi="th-TH"/>
              </w:rPr>
            </w:pPr>
            <w:r w:rsidRPr="000E3A36">
              <w:rPr>
                <w:b/>
                <w:bCs/>
                <w:sz w:val="17"/>
                <w:szCs w:val="17"/>
                <w:lang w:val="en-GB" w:bidi="th-TH"/>
              </w:rPr>
              <w:t>Philippines</w:t>
            </w:r>
          </w:p>
        </w:tc>
        <w:tc>
          <w:tcPr>
            <w:tcW w:w="1006" w:type="dxa"/>
            <w:tcBorders>
              <w:top w:val="single" w:sz="4" w:space="0" w:color="auto"/>
              <w:left w:val="single" w:sz="12" w:space="0" w:color="auto"/>
              <w:bottom w:val="single" w:sz="4" w:space="0" w:color="auto"/>
              <w:right w:val="single" w:sz="4" w:space="0" w:color="auto"/>
            </w:tcBorders>
            <w:noWrap/>
            <w:tcMar>
              <w:top w:w="15" w:type="dxa"/>
              <w:left w:w="15" w:type="dxa"/>
              <w:bottom w:w="0" w:type="dxa"/>
              <w:right w:w="15" w:type="dxa"/>
            </w:tcMar>
            <w:vAlign w:val="center"/>
          </w:tcPr>
          <w:p w14:paraId="77509A44"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128,000</w:t>
            </w:r>
          </w:p>
        </w:tc>
        <w:tc>
          <w:tcPr>
            <w:tcW w:w="775"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6A3B1903" w14:textId="77777777" w:rsidR="00CA2867" w:rsidRPr="000E3A36" w:rsidRDefault="00CA2867" w:rsidP="003B6CDA">
            <w:pPr>
              <w:ind w:right="65"/>
              <w:jc w:val="center"/>
              <w:rPr>
                <w:rFonts w:eastAsia="Arial Unicode MS"/>
                <w:sz w:val="17"/>
                <w:szCs w:val="17"/>
                <w:lang w:val="en-GB" w:bidi="th-TH"/>
              </w:rPr>
            </w:pPr>
            <w:r w:rsidRPr="000E3A36">
              <w:rPr>
                <w:sz w:val="17"/>
                <w:szCs w:val="17"/>
                <w:lang w:val="en-GB" w:bidi="th-TH"/>
              </w:rPr>
              <w:t>1990</w:t>
            </w:r>
          </w:p>
        </w:tc>
        <w:tc>
          <w:tcPr>
            <w:tcW w:w="90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83B8119"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207,000</w:t>
            </w:r>
          </w:p>
        </w:tc>
        <w:tc>
          <w:tcPr>
            <w:tcW w:w="956"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DD48356"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123,000</w:t>
            </w:r>
          </w:p>
        </w:tc>
        <w:tc>
          <w:tcPr>
            <w:tcW w:w="1000" w:type="dxa"/>
            <w:tcBorders>
              <w:top w:val="single" w:sz="4" w:space="0" w:color="auto"/>
              <w:left w:val="single" w:sz="4" w:space="0" w:color="auto"/>
              <w:bottom w:val="single" w:sz="4" w:space="0" w:color="auto"/>
              <w:right w:val="single" w:sz="12" w:space="0" w:color="auto"/>
            </w:tcBorders>
            <w:noWrap/>
            <w:tcMar>
              <w:top w:w="15" w:type="dxa"/>
              <w:left w:w="15" w:type="dxa"/>
              <w:bottom w:w="0" w:type="dxa"/>
              <w:right w:w="15" w:type="dxa"/>
            </w:tcMar>
            <w:vAlign w:val="center"/>
          </w:tcPr>
          <w:p w14:paraId="7CBF3967"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110,000</w:t>
            </w:r>
          </w:p>
        </w:tc>
        <w:tc>
          <w:tcPr>
            <w:tcW w:w="1100" w:type="dxa"/>
            <w:tcBorders>
              <w:top w:val="single" w:sz="4" w:space="0" w:color="auto"/>
              <w:left w:val="single" w:sz="12" w:space="0" w:color="auto"/>
              <w:bottom w:val="single" w:sz="4" w:space="0" w:color="auto"/>
              <w:right w:val="single" w:sz="12" w:space="0" w:color="auto"/>
            </w:tcBorders>
            <w:vAlign w:val="center"/>
          </w:tcPr>
          <w:p w14:paraId="4F0A2957" w14:textId="77777777" w:rsidR="00CA2867" w:rsidRPr="000E3A36" w:rsidRDefault="00CA2867" w:rsidP="003B6CDA">
            <w:pPr>
              <w:ind w:right="65"/>
              <w:jc w:val="right"/>
              <w:rPr>
                <w:sz w:val="17"/>
                <w:szCs w:val="17"/>
                <w:lang w:val="en-GB" w:bidi="th-TH"/>
              </w:rPr>
            </w:pPr>
            <w:r w:rsidRPr="000E3A36">
              <w:rPr>
                <w:sz w:val="17"/>
                <w:szCs w:val="17"/>
                <w:lang w:val="en-GB" w:bidi="th-TH"/>
              </w:rPr>
              <w:t>28,000</w:t>
            </w:r>
          </w:p>
        </w:tc>
        <w:tc>
          <w:tcPr>
            <w:tcW w:w="1034" w:type="dxa"/>
            <w:tcBorders>
              <w:top w:val="single" w:sz="4" w:space="0" w:color="auto"/>
              <w:left w:val="single" w:sz="12" w:space="0" w:color="auto"/>
              <w:bottom w:val="single" w:sz="4" w:space="0" w:color="auto"/>
              <w:right w:val="single" w:sz="4" w:space="0" w:color="auto"/>
            </w:tcBorders>
            <w:noWrap/>
            <w:tcMar>
              <w:top w:w="15" w:type="dxa"/>
              <w:left w:w="15" w:type="dxa"/>
              <w:bottom w:w="0" w:type="dxa"/>
              <w:right w:w="15" w:type="dxa"/>
            </w:tcMar>
            <w:vAlign w:val="bottom"/>
          </w:tcPr>
          <w:p w14:paraId="53E0D16F"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-4.02</w:t>
            </w:r>
          </w:p>
        </w:tc>
        <w:tc>
          <w:tcPr>
            <w:tcW w:w="943" w:type="dxa"/>
            <w:tcBorders>
              <w:top w:val="single" w:sz="4" w:space="0" w:color="auto"/>
              <w:left w:val="single" w:sz="4" w:space="0" w:color="auto"/>
              <w:bottom w:val="single" w:sz="4" w:space="0" w:color="auto"/>
              <w:right w:val="single" w:sz="12" w:space="0" w:color="auto"/>
            </w:tcBorders>
            <w:noWrap/>
            <w:tcMar>
              <w:top w:w="15" w:type="dxa"/>
              <w:left w:w="15" w:type="dxa"/>
              <w:bottom w:w="0" w:type="dxa"/>
              <w:right w:w="15" w:type="dxa"/>
            </w:tcMar>
            <w:vAlign w:val="bottom"/>
          </w:tcPr>
          <w:p w14:paraId="72CF7F90"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-1.11</w:t>
            </w:r>
          </w:p>
        </w:tc>
      </w:tr>
      <w:tr w:rsidR="00CA2867" w:rsidRPr="000E3A36" w14:paraId="7B890AC2" w14:textId="77777777" w:rsidTr="003B6CDA">
        <w:trPr>
          <w:trHeight w:val="190"/>
          <w:jc w:val="center"/>
        </w:trPr>
        <w:tc>
          <w:tcPr>
            <w:tcW w:w="1126" w:type="dxa"/>
            <w:tcBorders>
              <w:top w:val="single" w:sz="4" w:space="0" w:color="auto"/>
              <w:left w:val="single" w:sz="12" w:space="0" w:color="auto"/>
              <w:bottom w:val="single" w:sz="4" w:space="0" w:color="auto"/>
              <w:right w:val="single" w:sz="12" w:space="0" w:color="auto"/>
            </w:tcBorders>
            <w:noWrap/>
            <w:tcMar>
              <w:top w:w="15" w:type="dxa"/>
              <w:left w:w="15" w:type="dxa"/>
              <w:bottom w:w="0" w:type="dxa"/>
              <w:right w:w="15" w:type="dxa"/>
            </w:tcMar>
            <w:vAlign w:val="center"/>
          </w:tcPr>
          <w:p w14:paraId="2FE5CE3C" w14:textId="77777777" w:rsidR="00CA2867" w:rsidRPr="000E3A36" w:rsidRDefault="00CA2867" w:rsidP="003B6CDA">
            <w:pPr>
              <w:rPr>
                <w:rFonts w:eastAsia="Arial Unicode MS"/>
                <w:b/>
                <w:bCs/>
                <w:sz w:val="17"/>
                <w:szCs w:val="17"/>
                <w:lang w:val="en-GB" w:bidi="th-TH"/>
              </w:rPr>
            </w:pPr>
            <w:r w:rsidRPr="000E3A36">
              <w:rPr>
                <w:b/>
                <w:bCs/>
                <w:sz w:val="17"/>
                <w:szCs w:val="17"/>
                <w:lang w:val="en-GB" w:bidi="th-TH"/>
              </w:rPr>
              <w:t>Thailand</w:t>
            </w:r>
          </w:p>
        </w:tc>
        <w:tc>
          <w:tcPr>
            <w:tcW w:w="1006" w:type="dxa"/>
            <w:tcBorders>
              <w:top w:val="single" w:sz="4" w:space="0" w:color="auto"/>
              <w:left w:val="single" w:sz="12" w:space="0" w:color="auto"/>
              <w:bottom w:val="single" w:sz="4" w:space="0" w:color="auto"/>
              <w:right w:val="single" w:sz="4" w:space="0" w:color="auto"/>
            </w:tcBorders>
            <w:noWrap/>
            <w:tcMar>
              <w:top w:w="15" w:type="dxa"/>
              <w:left w:w="15" w:type="dxa"/>
              <w:bottom w:w="0" w:type="dxa"/>
              <w:right w:w="15" w:type="dxa"/>
            </w:tcMar>
            <w:vAlign w:val="center"/>
          </w:tcPr>
          <w:p w14:paraId="1E25A5EC"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244,000</w:t>
            </w:r>
          </w:p>
        </w:tc>
        <w:tc>
          <w:tcPr>
            <w:tcW w:w="775"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55B0536" w14:textId="77777777" w:rsidR="00CA2867" w:rsidRPr="000E3A36" w:rsidRDefault="00CA2867" w:rsidP="003B6CDA">
            <w:pPr>
              <w:ind w:right="65"/>
              <w:jc w:val="center"/>
              <w:rPr>
                <w:rFonts w:eastAsia="Arial Unicode MS"/>
                <w:sz w:val="17"/>
                <w:szCs w:val="17"/>
                <w:lang w:val="en-GB" w:bidi="th-TH"/>
              </w:rPr>
            </w:pPr>
            <w:r w:rsidRPr="000E3A36">
              <w:rPr>
                <w:sz w:val="17"/>
                <w:szCs w:val="17"/>
                <w:lang w:val="en-GB" w:bidi="th-TH"/>
              </w:rPr>
              <w:t>2000</w:t>
            </w:r>
          </w:p>
        </w:tc>
        <w:tc>
          <w:tcPr>
            <w:tcW w:w="90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FE39E1E"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286,000</w:t>
            </w:r>
          </w:p>
        </w:tc>
        <w:tc>
          <w:tcPr>
            <w:tcW w:w="956"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4A35B2E6"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262,000</w:t>
            </w:r>
          </w:p>
        </w:tc>
        <w:tc>
          <w:tcPr>
            <w:tcW w:w="1000" w:type="dxa"/>
            <w:tcBorders>
              <w:top w:val="single" w:sz="4" w:space="0" w:color="auto"/>
              <w:left w:val="single" w:sz="4" w:space="0" w:color="auto"/>
              <w:bottom w:val="single" w:sz="4" w:space="0" w:color="auto"/>
              <w:right w:val="single" w:sz="12" w:space="0" w:color="auto"/>
            </w:tcBorders>
            <w:noWrap/>
            <w:tcMar>
              <w:top w:w="15" w:type="dxa"/>
              <w:left w:w="15" w:type="dxa"/>
              <w:bottom w:w="0" w:type="dxa"/>
              <w:right w:w="15" w:type="dxa"/>
            </w:tcMar>
            <w:vAlign w:val="center"/>
          </w:tcPr>
          <w:p w14:paraId="091CFEC5"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244,000</w:t>
            </w:r>
          </w:p>
        </w:tc>
        <w:tc>
          <w:tcPr>
            <w:tcW w:w="1100" w:type="dxa"/>
            <w:tcBorders>
              <w:top w:val="single" w:sz="4" w:space="0" w:color="auto"/>
              <w:left w:val="single" w:sz="12" w:space="0" w:color="auto"/>
              <w:bottom w:val="single" w:sz="4" w:space="0" w:color="auto"/>
              <w:right w:val="single" w:sz="12" w:space="0" w:color="auto"/>
            </w:tcBorders>
            <w:vAlign w:val="center"/>
          </w:tcPr>
          <w:p w14:paraId="38667D8B" w14:textId="77777777" w:rsidR="00CA2867" w:rsidRPr="000E3A36" w:rsidRDefault="00CA2867" w:rsidP="003B6CDA">
            <w:pPr>
              <w:ind w:right="65"/>
              <w:jc w:val="right"/>
              <w:rPr>
                <w:sz w:val="17"/>
                <w:szCs w:val="17"/>
                <w:lang w:val="en-GB" w:bidi="th-TH"/>
              </w:rPr>
            </w:pPr>
            <w:r w:rsidRPr="000E3A36">
              <w:rPr>
                <w:sz w:val="17"/>
                <w:szCs w:val="17"/>
                <w:lang w:val="en-GB" w:bidi="th-TH"/>
              </w:rPr>
              <w:t>62,600</w:t>
            </w:r>
          </w:p>
        </w:tc>
        <w:tc>
          <w:tcPr>
            <w:tcW w:w="1034" w:type="dxa"/>
            <w:tcBorders>
              <w:top w:val="single" w:sz="4" w:space="0" w:color="auto"/>
              <w:left w:val="single" w:sz="12" w:space="0" w:color="auto"/>
              <w:bottom w:val="single" w:sz="4" w:space="0" w:color="auto"/>
              <w:right w:val="single" w:sz="4" w:space="0" w:color="auto"/>
            </w:tcBorders>
            <w:noWrap/>
            <w:tcMar>
              <w:top w:w="15" w:type="dxa"/>
              <w:left w:w="15" w:type="dxa"/>
              <w:bottom w:w="0" w:type="dxa"/>
              <w:right w:w="15" w:type="dxa"/>
            </w:tcMar>
            <w:vAlign w:val="bottom"/>
          </w:tcPr>
          <w:p w14:paraId="4EEB1D41"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-0.82</w:t>
            </w:r>
          </w:p>
        </w:tc>
        <w:tc>
          <w:tcPr>
            <w:tcW w:w="943" w:type="dxa"/>
            <w:tcBorders>
              <w:top w:val="single" w:sz="4" w:space="0" w:color="auto"/>
              <w:left w:val="single" w:sz="4" w:space="0" w:color="auto"/>
              <w:bottom w:val="single" w:sz="4" w:space="0" w:color="auto"/>
              <w:right w:val="single" w:sz="12" w:space="0" w:color="auto"/>
            </w:tcBorders>
            <w:noWrap/>
            <w:tcMar>
              <w:top w:w="15" w:type="dxa"/>
              <w:left w:w="15" w:type="dxa"/>
              <w:bottom w:w="0" w:type="dxa"/>
              <w:right w:w="15" w:type="dxa"/>
            </w:tcMar>
            <w:vAlign w:val="bottom"/>
          </w:tcPr>
          <w:p w14:paraId="2CCE25B3"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-0.69</w:t>
            </w:r>
          </w:p>
        </w:tc>
      </w:tr>
      <w:tr w:rsidR="00CA2867" w:rsidRPr="000E3A36" w14:paraId="1AD43C38" w14:textId="77777777" w:rsidTr="003B6CDA">
        <w:trPr>
          <w:trHeight w:val="90"/>
          <w:jc w:val="center"/>
        </w:trPr>
        <w:tc>
          <w:tcPr>
            <w:tcW w:w="1126" w:type="dxa"/>
            <w:tcBorders>
              <w:top w:val="single" w:sz="4" w:space="0" w:color="auto"/>
              <w:left w:val="single" w:sz="12" w:space="0" w:color="auto"/>
              <w:bottom w:val="single" w:sz="4" w:space="0" w:color="auto"/>
              <w:right w:val="single" w:sz="12" w:space="0" w:color="auto"/>
            </w:tcBorders>
            <w:noWrap/>
            <w:tcMar>
              <w:top w:w="15" w:type="dxa"/>
              <w:left w:w="15" w:type="dxa"/>
              <w:bottom w:w="0" w:type="dxa"/>
              <w:right w:w="15" w:type="dxa"/>
            </w:tcMar>
            <w:vAlign w:val="center"/>
          </w:tcPr>
          <w:p w14:paraId="536EA04C" w14:textId="77777777" w:rsidR="00CA2867" w:rsidRPr="000E3A36" w:rsidRDefault="00CA2867" w:rsidP="003B6CDA">
            <w:pPr>
              <w:rPr>
                <w:rFonts w:eastAsia="Arial Unicode MS"/>
                <w:b/>
                <w:bCs/>
                <w:sz w:val="17"/>
                <w:szCs w:val="17"/>
                <w:lang w:val="en-GB" w:bidi="th-TH"/>
              </w:rPr>
            </w:pPr>
            <w:r w:rsidRPr="000E3A36">
              <w:rPr>
                <w:b/>
                <w:bCs/>
                <w:sz w:val="17"/>
                <w:szCs w:val="17"/>
                <w:lang w:val="en-GB" w:bidi="th-TH"/>
              </w:rPr>
              <w:t>Viet Nam</w:t>
            </w:r>
          </w:p>
        </w:tc>
        <w:tc>
          <w:tcPr>
            <w:tcW w:w="1006" w:type="dxa"/>
            <w:tcBorders>
              <w:top w:val="single" w:sz="4" w:space="0" w:color="auto"/>
              <w:left w:val="single" w:sz="12" w:space="0" w:color="auto"/>
              <w:bottom w:val="single" w:sz="4" w:space="0" w:color="auto"/>
              <w:right w:val="single" w:sz="4" w:space="0" w:color="auto"/>
            </w:tcBorders>
            <w:noWrap/>
            <w:tcMar>
              <w:top w:w="15" w:type="dxa"/>
              <w:left w:w="15" w:type="dxa"/>
              <w:bottom w:w="0" w:type="dxa"/>
              <w:right w:w="15" w:type="dxa"/>
            </w:tcMar>
            <w:vAlign w:val="center"/>
          </w:tcPr>
          <w:p w14:paraId="56086C22"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253,000</w:t>
            </w:r>
          </w:p>
        </w:tc>
        <w:tc>
          <w:tcPr>
            <w:tcW w:w="775"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C293D1B" w14:textId="77777777" w:rsidR="00CA2867" w:rsidRPr="000E3A36" w:rsidRDefault="00CA2867" w:rsidP="003B6CDA">
            <w:pPr>
              <w:ind w:right="65"/>
              <w:jc w:val="center"/>
              <w:rPr>
                <w:rFonts w:eastAsia="Arial Unicode MS"/>
                <w:sz w:val="17"/>
                <w:szCs w:val="17"/>
                <w:lang w:val="en-GB" w:bidi="th-TH"/>
              </w:rPr>
            </w:pPr>
            <w:r w:rsidRPr="000E3A36">
              <w:rPr>
                <w:sz w:val="17"/>
                <w:szCs w:val="17"/>
                <w:lang w:val="en-GB" w:bidi="th-TH"/>
              </w:rPr>
              <w:t>1983</w:t>
            </w:r>
          </w:p>
        </w:tc>
        <w:tc>
          <w:tcPr>
            <w:tcW w:w="90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519E5BC"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227,000</w:t>
            </w:r>
          </w:p>
        </w:tc>
        <w:tc>
          <w:tcPr>
            <w:tcW w:w="956"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D8F4E96"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165,000</w:t>
            </w:r>
          </w:p>
        </w:tc>
        <w:tc>
          <w:tcPr>
            <w:tcW w:w="1000" w:type="dxa"/>
            <w:tcBorders>
              <w:top w:val="single" w:sz="4" w:space="0" w:color="auto"/>
              <w:left w:val="single" w:sz="4" w:space="0" w:color="auto"/>
              <w:bottom w:val="single" w:sz="4" w:space="0" w:color="auto"/>
              <w:right w:val="single" w:sz="12" w:space="0" w:color="auto"/>
            </w:tcBorders>
            <w:noWrap/>
            <w:tcMar>
              <w:top w:w="15" w:type="dxa"/>
              <w:left w:w="15" w:type="dxa"/>
              <w:bottom w:w="0" w:type="dxa"/>
              <w:right w:w="15" w:type="dxa"/>
            </w:tcMar>
            <w:vAlign w:val="center"/>
          </w:tcPr>
          <w:p w14:paraId="7DC6C2E7"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157,000</w:t>
            </w:r>
          </w:p>
        </w:tc>
        <w:tc>
          <w:tcPr>
            <w:tcW w:w="1100" w:type="dxa"/>
            <w:tcBorders>
              <w:top w:val="single" w:sz="4" w:space="0" w:color="auto"/>
              <w:left w:val="single" w:sz="12" w:space="0" w:color="auto"/>
              <w:bottom w:val="single" w:sz="4" w:space="0" w:color="auto"/>
              <w:right w:val="single" w:sz="12" w:space="0" w:color="auto"/>
            </w:tcBorders>
            <w:vAlign w:val="center"/>
          </w:tcPr>
          <w:p w14:paraId="4D302635" w14:textId="77777777" w:rsidR="00CA2867" w:rsidRPr="000E3A36" w:rsidRDefault="00CA2867" w:rsidP="003B6CDA">
            <w:pPr>
              <w:ind w:right="65"/>
              <w:jc w:val="right"/>
              <w:rPr>
                <w:sz w:val="17"/>
                <w:szCs w:val="17"/>
                <w:lang w:val="en-GB" w:bidi="th-TH"/>
              </w:rPr>
            </w:pPr>
            <w:r w:rsidRPr="000E3A36">
              <w:rPr>
                <w:sz w:val="17"/>
                <w:szCs w:val="17"/>
                <w:lang w:val="en-GB" w:bidi="th-TH"/>
              </w:rPr>
              <w:t>157,000</w:t>
            </w:r>
          </w:p>
        </w:tc>
        <w:tc>
          <w:tcPr>
            <w:tcW w:w="1034" w:type="dxa"/>
            <w:tcBorders>
              <w:top w:val="single" w:sz="4" w:space="0" w:color="auto"/>
              <w:left w:val="single" w:sz="12" w:space="0" w:color="auto"/>
              <w:bottom w:val="single" w:sz="4" w:space="0" w:color="auto"/>
              <w:right w:val="single" w:sz="4" w:space="0" w:color="auto"/>
            </w:tcBorders>
            <w:noWrap/>
            <w:tcMar>
              <w:top w:w="15" w:type="dxa"/>
              <w:left w:w="15" w:type="dxa"/>
              <w:bottom w:w="0" w:type="dxa"/>
              <w:right w:w="15" w:type="dxa"/>
            </w:tcMar>
            <w:vAlign w:val="bottom"/>
          </w:tcPr>
          <w:p w14:paraId="4B3696B2"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-2.73</w:t>
            </w:r>
          </w:p>
        </w:tc>
        <w:tc>
          <w:tcPr>
            <w:tcW w:w="943" w:type="dxa"/>
            <w:tcBorders>
              <w:top w:val="single" w:sz="4" w:space="0" w:color="auto"/>
              <w:left w:val="single" w:sz="4" w:space="0" w:color="auto"/>
              <w:bottom w:val="single" w:sz="4" w:space="0" w:color="auto"/>
              <w:right w:val="single" w:sz="12" w:space="0" w:color="auto"/>
            </w:tcBorders>
            <w:noWrap/>
            <w:tcMar>
              <w:top w:w="15" w:type="dxa"/>
              <w:left w:w="15" w:type="dxa"/>
              <w:bottom w:w="0" w:type="dxa"/>
              <w:right w:w="15" w:type="dxa"/>
            </w:tcMar>
            <w:vAlign w:val="bottom"/>
          </w:tcPr>
          <w:p w14:paraId="08400388"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-0.51</w:t>
            </w:r>
          </w:p>
        </w:tc>
      </w:tr>
      <w:tr w:rsidR="00CA2867" w:rsidRPr="000E3A36" w14:paraId="413A9BDF" w14:textId="77777777" w:rsidTr="003B6CDA">
        <w:trPr>
          <w:trHeight w:val="55"/>
          <w:jc w:val="center"/>
        </w:trPr>
        <w:tc>
          <w:tcPr>
            <w:tcW w:w="1126" w:type="dxa"/>
            <w:tcBorders>
              <w:top w:val="single" w:sz="4" w:space="0" w:color="auto"/>
              <w:left w:val="single" w:sz="12" w:space="0" w:color="auto"/>
              <w:bottom w:val="single" w:sz="12" w:space="0" w:color="auto"/>
              <w:right w:val="single" w:sz="12" w:space="0" w:color="auto"/>
            </w:tcBorders>
            <w:noWrap/>
            <w:tcMar>
              <w:top w:w="15" w:type="dxa"/>
              <w:left w:w="15" w:type="dxa"/>
              <w:bottom w:w="0" w:type="dxa"/>
              <w:right w:w="15" w:type="dxa"/>
            </w:tcMar>
            <w:vAlign w:val="center"/>
          </w:tcPr>
          <w:p w14:paraId="5B16F294" w14:textId="77777777" w:rsidR="00CA2867" w:rsidRPr="000E3A36" w:rsidRDefault="00CA2867" w:rsidP="003B6CDA">
            <w:pPr>
              <w:ind w:right="65"/>
              <w:jc w:val="right"/>
              <w:rPr>
                <w:rFonts w:eastAsia="Arial Unicode MS"/>
                <w:b/>
                <w:bCs/>
                <w:sz w:val="17"/>
                <w:szCs w:val="17"/>
                <w:lang w:val="en-GB" w:bidi="th-TH"/>
              </w:rPr>
            </w:pPr>
            <w:r w:rsidRPr="000E3A36">
              <w:rPr>
                <w:rFonts w:eastAsia="Arial Unicode MS"/>
                <w:b/>
                <w:bCs/>
                <w:sz w:val="17"/>
                <w:szCs w:val="17"/>
                <w:lang w:val="en-GB" w:bidi="th-TH"/>
              </w:rPr>
              <w:t>Total</w:t>
            </w:r>
          </w:p>
        </w:tc>
        <w:tc>
          <w:tcPr>
            <w:tcW w:w="1006" w:type="dxa"/>
            <w:tcBorders>
              <w:top w:val="single" w:sz="4" w:space="0" w:color="auto"/>
              <w:left w:val="single" w:sz="12" w:space="0" w:color="auto"/>
              <w:bottom w:val="single" w:sz="12" w:space="0" w:color="auto"/>
              <w:right w:val="single" w:sz="4" w:space="0" w:color="auto"/>
            </w:tcBorders>
            <w:noWrap/>
            <w:tcMar>
              <w:top w:w="15" w:type="dxa"/>
              <w:left w:w="15" w:type="dxa"/>
              <w:bottom w:w="0" w:type="dxa"/>
              <w:right w:w="15" w:type="dxa"/>
            </w:tcMar>
            <w:vAlign w:val="bottom"/>
          </w:tcPr>
          <w:p w14:paraId="1A65077C" w14:textId="77777777" w:rsidR="00CA2867" w:rsidRPr="000E3A36" w:rsidRDefault="00CA2867" w:rsidP="003B6CDA">
            <w:pPr>
              <w:jc w:val="right"/>
              <w:rPr>
                <w:rFonts w:eastAsia="Arial Unicode MS"/>
                <w:sz w:val="17"/>
                <w:szCs w:val="17"/>
                <w:lang w:val="en-GB" w:bidi="th-TH"/>
              </w:rPr>
            </w:pPr>
            <w:r w:rsidRPr="000E3A36">
              <w:rPr>
                <w:sz w:val="17"/>
                <w:szCs w:val="17"/>
                <w:lang w:val="en-GB" w:bidi="th-TH"/>
              </w:rPr>
              <w:fldChar w:fldCharType="begin"/>
            </w:r>
            <w:r w:rsidRPr="000E3A36">
              <w:rPr>
                <w:sz w:val="17"/>
                <w:szCs w:val="17"/>
                <w:lang w:val="en-GB" w:bidi="th-TH"/>
              </w:rPr>
              <w:instrText xml:space="preserve"> =SUM(ABOVE) </w:instrText>
            </w:r>
            <w:r w:rsidRPr="000E3A36">
              <w:rPr>
                <w:sz w:val="17"/>
                <w:szCs w:val="17"/>
                <w:lang w:val="en-GB" w:bidi="th-TH"/>
              </w:rPr>
              <w:fldChar w:fldCharType="separate"/>
            </w:r>
            <w:r w:rsidRPr="000E3A36">
              <w:rPr>
                <w:sz w:val="17"/>
                <w:szCs w:val="17"/>
                <w:lang w:val="en-GB" w:bidi="th-TH"/>
              </w:rPr>
              <w:t>4,810,</w:t>
            </w:r>
            <w:r w:rsidRPr="000E3A36">
              <w:rPr>
                <w:sz w:val="17"/>
                <w:szCs w:val="17"/>
                <w:lang w:val="en-GB" w:bidi="th-TH"/>
              </w:rPr>
              <w:fldChar w:fldCharType="end"/>
            </w:r>
            <w:r w:rsidRPr="000E3A36">
              <w:rPr>
                <w:sz w:val="17"/>
                <w:szCs w:val="17"/>
                <w:lang w:val="en-GB" w:bidi="th-TH"/>
              </w:rPr>
              <w:t>000</w:t>
            </w:r>
          </w:p>
        </w:tc>
        <w:tc>
          <w:tcPr>
            <w:tcW w:w="775"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tcPr>
          <w:p w14:paraId="30DCF338" w14:textId="77777777" w:rsidR="00CA2867" w:rsidRPr="000E3A36" w:rsidRDefault="00CA2867" w:rsidP="003B6CDA">
            <w:pPr>
              <w:jc w:val="right"/>
              <w:rPr>
                <w:rFonts w:eastAsia="Arial Unicode MS"/>
                <w:sz w:val="17"/>
                <w:szCs w:val="17"/>
                <w:lang w:val="en-GB" w:bidi="th-TH"/>
              </w:rPr>
            </w:pPr>
          </w:p>
        </w:tc>
        <w:tc>
          <w:tcPr>
            <w:tcW w:w="901"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tcPr>
          <w:p w14:paraId="276B76A6" w14:textId="77777777" w:rsidR="00CA2867" w:rsidRPr="000E3A36" w:rsidRDefault="00CA2867" w:rsidP="003B6CDA">
            <w:pPr>
              <w:jc w:val="right"/>
              <w:rPr>
                <w:rFonts w:eastAsia="Arial Unicode MS"/>
                <w:sz w:val="17"/>
                <w:szCs w:val="17"/>
                <w:lang w:val="en-GB" w:bidi="th-TH"/>
              </w:rPr>
            </w:pPr>
            <w:r w:rsidRPr="000E3A36">
              <w:rPr>
                <w:sz w:val="17"/>
                <w:szCs w:val="17"/>
                <w:lang w:val="en-GB" w:bidi="th-TH"/>
              </w:rPr>
              <w:t>5,790,000</w:t>
            </w:r>
          </w:p>
        </w:tc>
        <w:tc>
          <w:tcPr>
            <w:tcW w:w="956"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tcPr>
          <w:p w14:paraId="60B386D5" w14:textId="77777777" w:rsidR="00CA2867" w:rsidRPr="000E3A36" w:rsidRDefault="00CA2867" w:rsidP="003B6CDA">
            <w:pPr>
              <w:jc w:val="right"/>
              <w:rPr>
                <w:rFonts w:eastAsia="Arial Unicode MS"/>
                <w:sz w:val="17"/>
                <w:szCs w:val="17"/>
                <w:lang w:val="en-GB" w:bidi="th-TH"/>
              </w:rPr>
            </w:pPr>
            <w:r w:rsidRPr="000E3A36">
              <w:rPr>
                <w:sz w:val="17"/>
                <w:szCs w:val="17"/>
                <w:lang w:val="en-GB" w:bidi="th-TH"/>
              </w:rPr>
              <w:t>4,820,000</w:t>
            </w:r>
          </w:p>
        </w:tc>
        <w:tc>
          <w:tcPr>
            <w:tcW w:w="1000" w:type="dxa"/>
            <w:tcBorders>
              <w:top w:val="single" w:sz="4" w:space="0" w:color="auto"/>
              <w:left w:val="single" w:sz="4" w:space="0" w:color="auto"/>
              <w:bottom w:val="single" w:sz="12" w:space="0" w:color="auto"/>
              <w:right w:val="single" w:sz="12" w:space="0" w:color="auto"/>
            </w:tcBorders>
            <w:noWrap/>
            <w:tcMar>
              <w:top w:w="15" w:type="dxa"/>
              <w:left w:w="15" w:type="dxa"/>
              <w:bottom w:w="0" w:type="dxa"/>
              <w:right w:w="15" w:type="dxa"/>
            </w:tcMar>
            <w:vAlign w:val="bottom"/>
          </w:tcPr>
          <w:p w14:paraId="624892FC" w14:textId="77777777" w:rsidR="00CA2867" w:rsidRPr="000E3A36" w:rsidRDefault="00CA2867" w:rsidP="003B6CDA">
            <w:pPr>
              <w:jc w:val="right"/>
              <w:rPr>
                <w:rFonts w:eastAsia="Arial Unicode MS"/>
                <w:sz w:val="17"/>
                <w:szCs w:val="17"/>
                <w:lang w:val="en-GB" w:bidi="th-TH"/>
              </w:rPr>
            </w:pPr>
            <w:r w:rsidRPr="000E3A36">
              <w:rPr>
                <w:sz w:val="17"/>
                <w:szCs w:val="17"/>
                <w:lang w:val="en-GB" w:bidi="th-TH"/>
              </w:rPr>
              <w:t>4,100,000</w:t>
            </w:r>
          </w:p>
        </w:tc>
        <w:tc>
          <w:tcPr>
            <w:tcW w:w="1100" w:type="dxa"/>
            <w:tcBorders>
              <w:top w:val="single" w:sz="4" w:space="0" w:color="auto"/>
              <w:left w:val="single" w:sz="12" w:space="0" w:color="auto"/>
              <w:bottom w:val="single" w:sz="12" w:space="0" w:color="auto"/>
              <w:right w:val="single" w:sz="12" w:space="0" w:color="auto"/>
            </w:tcBorders>
            <w:vAlign w:val="bottom"/>
          </w:tcPr>
          <w:p w14:paraId="153BC62F" w14:textId="77777777" w:rsidR="00CA2867" w:rsidRPr="000E3A36" w:rsidRDefault="00CA2867" w:rsidP="003B6CDA">
            <w:pPr>
              <w:jc w:val="right"/>
              <w:rPr>
                <w:rFonts w:eastAsia="Arial Unicode MS"/>
                <w:sz w:val="17"/>
                <w:szCs w:val="17"/>
                <w:lang w:val="en-GB" w:bidi="th-TH"/>
              </w:rPr>
            </w:pPr>
            <w:r w:rsidRPr="000E3A36">
              <w:rPr>
                <w:color w:val="000000"/>
                <w:sz w:val="17"/>
                <w:szCs w:val="17"/>
                <w:lang w:val="en-GB" w:bidi="th-TH"/>
              </w:rPr>
              <w:t>1,770,000</w:t>
            </w:r>
          </w:p>
        </w:tc>
        <w:tc>
          <w:tcPr>
            <w:tcW w:w="1034" w:type="dxa"/>
            <w:tcBorders>
              <w:top w:val="single" w:sz="4" w:space="0" w:color="auto"/>
              <w:left w:val="single" w:sz="12" w:space="0" w:color="auto"/>
              <w:bottom w:val="single" w:sz="12" w:space="0" w:color="auto"/>
              <w:right w:val="single" w:sz="4" w:space="0" w:color="auto"/>
            </w:tcBorders>
            <w:noWrap/>
            <w:tcMar>
              <w:top w:w="15" w:type="dxa"/>
              <w:left w:w="15" w:type="dxa"/>
              <w:bottom w:w="0" w:type="dxa"/>
              <w:right w:w="15" w:type="dxa"/>
            </w:tcMar>
            <w:vAlign w:val="bottom"/>
          </w:tcPr>
          <w:p w14:paraId="312EBD7C"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-1.67</w:t>
            </w:r>
          </w:p>
        </w:tc>
        <w:tc>
          <w:tcPr>
            <w:tcW w:w="943" w:type="dxa"/>
            <w:tcBorders>
              <w:top w:val="single" w:sz="4" w:space="0" w:color="auto"/>
              <w:left w:val="single" w:sz="4" w:space="0" w:color="auto"/>
              <w:bottom w:val="single" w:sz="12" w:space="0" w:color="auto"/>
              <w:right w:val="single" w:sz="12" w:space="0" w:color="auto"/>
            </w:tcBorders>
            <w:noWrap/>
            <w:tcMar>
              <w:top w:w="15" w:type="dxa"/>
              <w:left w:w="15" w:type="dxa"/>
              <w:bottom w:w="0" w:type="dxa"/>
              <w:right w:w="15" w:type="dxa"/>
            </w:tcMar>
            <w:vAlign w:val="bottom"/>
          </w:tcPr>
          <w:p w14:paraId="692811AA"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-1.61</w:t>
            </w:r>
          </w:p>
        </w:tc>
      </w:tr>
      <w:bookmarkEnd w:id="61"/>
      <w:tr w:rsidR="00CA2867" w:rsidRPr="000E3A36" w14:paraId="2A55BAD1" w14:textId="77777777" w:rsidTr="003B6CDA">
        <w:trPr>
          <w:trHeight w:val="50"/>
          <w:jc w:val="center"/>
        </w:trPr>
        <w:tc>
          <w:tcPr>
            <w:tcW w:w="1126" w:type="dxa"/>
            <w:tcBorders>
              <w:top w:val="single" w:sz="12" w:space="0" w:color="auto"/>
              <w:left w:val="single" w:sz="12" w:space="0" w:color="auto"/>
              <w:bottom w:val="single" w:sz="4" w:space="0" w:color="auto"/>
              <w:right w:val="single" w:sz="12" w:space="0" w:color="auto"/>
            </w:tcBorders>
            <w:noWrap/>
            <w:tcMar>
              <w:top w:w="15" w:type="dxa"/>
              <w:left w:w="15" w:type="dxa"/>
              <w:bottom w:w="0" w:type="dxa"/>
              <w:right w:w="15" w:type="dxa"/>
            </w:tcMar>
            <w:vAlign w:val="center"/>
          </w:tcPr>
          <w:p w14:paraId="007A902F" w14:textId="77777777" w:rsidR="00CA2867" w:rsidRPr="000E3A36" w:rsidRDefault="00CA2867" w:rsidP="003B6CDA">
            <w:pPr>
              <w:rPr>
                <w:rFonts w:eastAsia="Arial Unicode MS"/>
                <w:b/>
                <w:bCs/>
                <w:sz w:val="17"/>
                <w:szCs w:val="17"/>
                <w:lang w:val="en-GB" w:bidi="th-TH"/>
              </w:rPr>
            </w:pPr>
            <w:r w:rsidRPr="000E3A36">
              <w:rPr>
                <w:b/>
                <w:bCs/>
                <w:sz w:val="17"/>
                <w:szCs w:val="17"/>
                <w:lang w:val="en-GB" w:bidi="th-TH"/>
              </w:rPr>
              <w:t>World</w:t>
            </w:r>
          </w:p>
        </w:tc>
        <w:tc>
          <w:tcPr>
            <w:tcW w:w="1006" w:type="dxa"/>
            <w:tcBorders>
              <w:top w:val="single" w:sz="12" w:space="0" w:color="auto"/>
              <w:left w:val="single" w:sz="12" w:space="0" w:color="auto"/>
              <w:bottom w:val="single" w:sz="4" w:space="0" w:color="auto"/>
              <w:right w:val="single" w:sz="4" w:space="0" w:color="auto"/>
            </w:tcBorders>
            <w:noWrap/>
            <w:tcMar>
              <w:top w:w="15" w:type="dxa"/>
              <w:left w:w="15" w:type="dxa"/>
              <w:bottom w:w="0" w:type="dxa"/>
              <w:right w:w="15" w:type="dxa"/>
            </w:tcMar>
            <w:vAlign w:val="center"/>
          </w:tcPr>
          <w:p w14:paraId="78FA0A33"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15,800,000</w:t>
            </w:r>
          </w:p>
        </w:tc>
        <w:tc>
          <w:tcPr>
            <w:tcW w:w="775" w:type="dxa"/>
            <w:tcBorders>
              <w:top w:val="single" w:sz="12"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B665066" w14:textId="77777777" w:rsidR="00CA2867" w:rsidRPr="000E3A36" w:rsidRDefault="00CA2867" w:rsidP="003B6CDA">
            <w:pPr>
              <w:ind w:right="65"/>
              <w:jc w:val="center"/>
              <w:rPr>
                <w:rFonts w:eastAsia="Arial Unicode MS"/>
                <w:sz w:val="17"/>
                <w:szCs w:val="17"/>
                <w:lang w:val="en-GB" w:bidi="th-TH"/>
              </w:rPr>
            </w:pPr>
            <w:r w:rsidRPr="000E3A36">
              <w:rPr>
                <w:sz w:val="17"/>
                <w:szCs w:val="17"/>
                <w:lang w:val="en-GB" w:bidi="th-TH"/>
              </w:rPr>
              <w:t>1992</w:t>
            </w:r>
          </w:p>
        </w:tc>
        <w:tc>
          <w:tcPr>
            <w:tcW w:w="901" w:type="dxa"/>
            <w:tcBorders>
              <w:top w:val="single" w:sz="12"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0F272077"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19,800,000</w:t>
            </w:r>
          </w:p>
        </w:tc>
        <w:tc>
          <w:tcPr>
            <w:tcW w:w="956" w:type="dxa"/>
            <w:tcBorders>
              <w:top w:val="single" w:sz="12"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6B152CAD"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16,400,000</w:t>
            </w:r>
          </w:p>
        </w:tc>
        <w:tc>
          <w:tcPr>
            <w:tcW w:w="1000" w:type="dxa"/>
            <w:tcBorders>
              <w:top w:val="single" w:sz="12" w:space="0" w:color="auto"/>
              <w:left w:val="single" w:sz="4" w:space="0" w:color="auto"/>
              <w:bottom w:val="single" w:sz="4" w:space="0" w:color="auto"/>
              <w:right w:val="single" w:sz="12" w:space="0" w:color="auto"/>
            </w:tcBorders>
            <w:noWrap/>
            <w:tcMar>
              <w:top w:w="15" w:type="dxa"/>
              <w:left w:w="15" w:type="dxa"/>
              <w:bottom w:w="0" w:type="dxa"/>
              <w:right w:w="15" w:type="dxa"/>
            </w:tcMar>
            <w:vAlign w:val="center"/>
          </w:tcPr>
          <w:p w14:paraId="265FD293" w14:textId="77777777" w:rsidR="00CA2867" w:rsidRPr="000E3A36" w:rsidRDefault="00CA2867" w:rsidP="003B6CDA">
            <w:pPr>
              <w:ind w:right="65"/>
              <w:jc w:val="right"/>
              <w:rPr>
                <w:rFonts w:eastAsia="Arial Unicode MS"/>
                <w:sz w:val="17"/>
                <w:szCs w:val="17"/>
                <w:lang w:val="en-GB" w:bidi="th-TH"/>
              </w:rPr>
            </w:pPr>
            <w:r w:rsidRPr="000E3A36">
              <w:rPr>
                <w:sz w:val="17"/>
                <w:szCs w:val="17"/>
                <w:lang w:val="en-GB" w:bidi="th-TH"/>
              </w:rPr>
              <w:t>14,700,000</w:t>
            </w:r>
          </w:p>
        </w:tc>
        <w:tc>
          <w:tcPr>
            <w:tcW w:w="1100" w:type="dxa"/>
            <w:tcBorders>
              <w:top w:val="single" w:sz="12" w:space="0" w:color="auto"/>
              <w:left w:val="single" w:sz="12" w:space="0" w:color="auto"/>
              <w:bottom w:val="single" w:sz="4" w:space="0" w:color="auto"/>
              <w:right w:val="single" w:sz="12" w:space="0" w:color="auto"/>
            </w:tcBorders>
            <w:vAlign w:val="center"/>
          </w:tcPr>
          <w:p w14:paraId="451E1044" w14:textId="77777777" w:rsidR="00CA2867" w:rsidRPr="000E3A36" w:rsidRDefault="00CA2867" w:rsidP="003B6CDA">
            <w:pPr>
              <w:ind w:right="65"/>
              <w:jc w:val="right"/>
              <w:rPr>
                <w:sz w:val="17"/>
                <w:szCs w:val="17"/>
                <w:lang w:val="en-GB" w:bidi="th-TH"/>
              </w:rPr>
            </w:pPr>
            <w:r w:rsidRPr="000E3A36">
              <w:rPr>
                <w:sz w:val="17"/>
                <w:szCs w:val="17"/>
                <w:lang w:val="en-GB" w:bidi="th-TH"/>
              </w:rPr>
              <w:t>3,579,400</w:t>
            </w:r>
          </w:p>
        </w:tc>
        <w:tc>
          <w:tcPr>
            <w:tcW w:w="1034" w:type="dxa"/>
            <w:tcBorders>
              <w:top w:val="single" w:sz="12" w:space="0" w:color="auto"/>
              <w:left w:val="single" w:sz="12" w:space="0" w:color="auto"/>
              <w:bottom w:val="single" w:sz="12" w:space="0" w:color="auto"/>
              <w:right w:val="single" w:sz="4" w:space="0" w:color="auto"/>
            </w:tcBorders>
            <w:noWrap/>
            <w:tcMar>
              <w:top w:w="15" w:type="dxa"/>
              <w:left w:w="15" w:type="dxa"/>
              <w:bottom w:w="0" w:type="dxa"/>
              <w:right w:w="15" w:type="dxa"/>
            </w:tcMar>
            <w:vAlign w:val="bottom"/>
          </w:tcPr>
          <w:p w14:paraId="2D62E9C1"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-1.74</w:t>
            </w:r>
          </w:p>
        </w:tc>
        <w:tc>
          <w:tcPr>
            <w:tcW w:w="943" w:type="dxa"/>
            <w:tcBorders>
              <w:top w:val="single" w:sz="12" w:space="0" w:color="auto"/>
              <w:left w:val="single" w:sz="4" w:space="0" w:color="auto"/>
              <w:bottom w:val="single" w:sz="12" w:space="0" w:color="auto"/>
              <w:right w:val="single" w:sz="12" w:space="0" w:color="auto"/>
            </w:tcBorders>
            <w:noWrap/>
            <w:tcMar>
              <w:top w:w="15" w:type="dxa"/>
              <w:left w:w="15" w:type="dxa"/>
              <w:bottom w:w="0" w:type="dxa"/>
              <w:right w:w="15" w:type="dxa"/>
            </w:tcMar>
            <w:vAlign w:val="bottom"/>
          </w:tcPr>
          <w:p w14:paraId="46AE5DEA" w14:textId="77777777" w:rsidR="00CA2867" w:rsidRPr="000E3A36" w:rsidRDefault="00CA2867" w:rsidP="003B6CDA">
            <w:pPr>
              <w:ind w:right="288"/>
              <w:jc w:val="right"/>
              <w:rPr>
                <w:rFonts w:eastAsia="Arial Unicode MS"/>
                <w:sz w:val="17"/>
                <w:szCs w:val="17"/>
                <w:lang w:val="en-GB" w:bidi="th-TH"/>
              </w:rPr>
            </w:pPr>
            <w:r w:rsidRPr="000E3A36">
              <w:rPr>
                <w:sz w:val="17"/>
                <w:szCs w:val="17"/>
                <w:lang w:val="en-GB" w:bidi="th-TH"/>
              </w:rPr>
              <w:t>-1.04</w:t>
            </w:r>
          </w:p>
        </w:tc>
      </w:tr>
      <w:tr w:rsidR="00CA2867" w:rsidRPr="000E3A36" w14:paraId="3C72D7B6" w14:textId="77777777" w:rsidTr="003B6CDA">
        <w:trPr>
          <w:trHeight w:val="45"/>
          <w:jc w:val="center"/>
        </w:trPr>
        <w:tc>
          <w:tcPr>
            <w:tcW w:w="1126" w:type="dxa"/>
            <w:tcBorders>
              <w:top w:val="single" w:sz="4" w:space="0" w:color="auto"/>
              <w:left w:val="single" w:sz="12" w:space="0" w:color="auto"/>
              <w:bottom w:val="single" w:sz="12" w:space="0" w:color="auto"/>
              <w:right w:val="single" w:sz="12" w:space="0" w:color="auto"/>
            </w:tcBorders>
            <w:noWrap/>
            <w:tcMar>
              <w:top w:w="15" w:type="dxa"/>
              <w:left w:w="15" w:type="dxa"/>
              <w:bottom w:w="0" w:type="dxa"/>
              <w:right w:w="15" w:type="dxa"/>
            </w:tcMar>
            <w:vAlign w:val="center"/>
          </w:tcPr>
          <w:p w14:paraId="35ECB17A" w14:textId="77777777" w:rsidR="00CA2867" w:rsidRPr="000E3A36" w:rsidRDefault="00CA2867" w:rsidP="003B6CDA">
            <w:pPr>
              <w:rPr>
                <w:rFonts w:eastAsia="Arial Unicode MS"/>
                <w:b/>
                <w:bCs/>
                <w:sz w:val="17"/>
                <w:szCs w:val="17"/>
                <w:lang w:val="en-GB" w:bidi="th-TH"/>
              </w:rPr>
            </w:pPr>
            <w:r w:rsidRPr="000E3A36">
              <w:rPr>
                <w:b/>
                <w:bCs/>
                <w:sz w:val="17"/>
                <w:szCs w:val="17"/>
                <w:lang w:val="en-GB" w:bidi="th-TH"/>
              </w:rPr>
              <w:t>% world total</w:t>
            </w:r>
          </w:p>
        </w:tc>
        <w:tc>
          <w:tcPr>
            <w:tcW w:w="1006" w:type="dxa"/>
            <w:tcBorders>
              <w:top w:val="single" w:sz="4" w:space="0" w:color="auto"/>
              <w:left w:val="single" w:sz="12" w:space="0" w:color="auto"/>
              <w:bottom w:val="single" w:sz="12" w:space="0" w:color="auto"/>
              <w:right w:val="single" w:sz="4" w:space="0" w:color="auto"/>
            </w:tcBorders>
            <w:noWrap/>
            <w:tcMar>
              <w:top w:w="15" w:type="dxa"/>
              <w:left w:w="15" w:type="dxa"/>
              <w:bottom w:w="0" w:type="dxa"/>
              <w:right w:w="15" w:type="dxa"/>
            </w:tcMar>
          </w:tcPr>
          <w:p w14:paraId="54616F15" w14:textId="77777777" w:rsidR="00CA2867" w:rsidRPr="000E3A36" w:rsidRDefault="00CA2867" w:rsidP="003B6CDA">
            <w:pPr>
              <w:autoSpaceDE w:val="0"/>
              <w:autoSpaceDN w:val="0"/>
              <w:adjustRightInd w:val="0"/>
              <w:jc w:val="right"/>
              <w:rPr>
                <w:color w:val="000000"/>
                <w:sz w:val="17"/>
                <w:szCs w:val="17"/>
                <w:lang w:val="en-GB" w:bidi="th-TH"/>
              </w:rPr>
            </w:pPr>
            <w:r w:rsidRPr="000E3A36">
              <w:rPr>
                <w:color w:val="000000"/>
                <w:sz w:val="17"/>
                <w:szCs w:val="17"/>
                <w:lang w:val="en-GB" w:bidi="th-TH"/>
              </w:rPr>
              <w:t>30.5</w:t>
            </w:r>
          </w:p>
        </w:tc>
        <w:tc>
          <w:tcPr>
            <w:tcW w:w="775"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tcPr>
          <w:p w14:paraId="38EF69B2" w14:textId="77777777" w:rsidR="00CA2867" w:rsidRPr="000E3A36" w:rsidRDefault="00CA2867" w:rsidP="003B6CDA">
            <w:pPr>
              <w:autoSpaceDE w:val="0"/>
              <w:autoSpaceDN w:val="0"/>
              <w:adjustRightInd w:val="0"/>
              <w:jc w:val="right"/>
              <w:rPr>
                <w:color w:val="000000"/>
                <w:sz w:val="17"/>
                <w:szCs w:val="17"/>
                <w:lang w:val="en-GB" w:bidi="th-TH"/>
              </w:rPr>
            </w:pPr>
          </w:p>
        </w:tc>
        <w:tc>
          <w:tcPr>
            <w:tcW w:w="901"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tcPr>
          <w:p w14:paraId="53B6AF2C" w14:textId="77777777" w:rsidR="00CA2867" w:rsidRPr="000E3A36" w:rsidRDefault="00CA2867" w:rsidP="003B6CDA">
            <w:pPr>
              <w:autoSpaceDE w:val="0"/>
              <w:autoSpaceDN w:val="0"/>
              <w:adjustRightInd w:val="0"/>
              <w:jc w:val="right"/>
              <w:rPr>
                <w:color w:val="000000"/>
                <w:sz w:val="17"/>
                <w:szCs w:val="17"/>
                <w:lang w:val="en-GB" w:bidi="th-TH"/>
              </w:rPr>
            </w:pPr>
            <w:r w:rsidRPr="000E3A36">
              <w:rPr>
                <w:color w:val="000000"/>
                <w:sz w:val="17"/>
                <w:szCs w:val="17"/>
                <w:lang w:val="en-GB" w:bidi="th-TH"/>
              </w:rPr>
              <w:t>29.2</w:t>
            </w:r>
          </w:p>
        </w:tc>
        <w:tc>
          <w:tcPr>
            <w:tcW w:w="956"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tcPr>
          <w:p w14:paraId="226B1F33" w14:textId="77777777" w:rsidR="00CA2867" w:rsidRPr="000E3A36" w:rsidRDefault="00CA2867" w:rsidP="003B6CDA">
            <w:pPr>
              <w:autoSpaceDE w:val="0"/>
              <w:autoSpaceDN w:val="0"/>
              <w:adjustRightInd w:val="0"/>
              <w:jc w:val="right"/>
              <w:rPr>
                <w:color w:val="000000"/>
                <w:sz w:val="17"/>
                <w:szCs w:val="17"/>
                <w:lang w:val="en-GB" w:bidi="th-TH"/>
              </w:rPr>
            </w:pPr>
            <w:r w:rsidRPr="000E3A36">
              <w:rPr>
                <w:color w:val="000000"/>
                <w:sz w:val="17"/>
                <w:szCs w:val="17"/>
                <w:lang w:val="en-GB" w:bidi="th-TH"/>
              </w:rPr>
              <w:t>29.4</w:t>
            </w:r>
          </w:p>
        </w:tc>
        <w:tc>
          <w:tcPr>
            <w:tcW w:w="1000" w:type="dxa"/>
            <w:tcBorders>
              <w:top w:val="single" w:sz="4" w:space="0" w:color="auto"/>
              <w:left w:val="single" w:sz="4" w:space="0" w:color="auto"/>
              <w:bottom w:val="single" w:sz="12" w:space="0" w:color="auto"/>
              <w:right w:val="single" w:sz="12" w:space="0" w:color="auto"/>
            </w:tcBorders>
            <w:noWrap/>
            <w:tcMar>
              <w:top w:w="15" w:type="dxa"/>
              <w:left w:w="15" w:type="dxa"/>
              <w:bottom w:w="0" w:type="dxa"/>
              <w:right w:w="15" w:type="dxa"/>
            </w:tcMar>
          </w:tcPr>
          <w:p w14:paraId="0298B6CE" w14:textId="77777777" w:rsidR="00CA2867" w:rsidRPr="000E3A36" w:rsidRDefault="00CA2867" w:rsidP="003B6CDA">
            <w:pPr>
              <w:autoSpaceDE w:val="0"/>
              <w:autoSpaceDN w:val="0"/>
              <w:adjustRightInd w:val="0"/>
              <w:jc w:val="right"/>
              <w:rPr>
                <w:color w:val="000000"/>
                <w:sz w:val="17"/>
                <w:szCs w:val="17"/>
                <w:lang w:val="en-GB" w:bidi="th-TH"/>
              </w:rPr>
            </w:pPr>
            <w:r w:rsidRPr="000E3A36">
              <w:rPr>
                <w:color w:val="000000"/>
                <w:sz w:val="17"/>
                <w:szCs w:val="17"/>
                <w:lang w:val="en-GB" w:bidi="th-TH"/>
              </w:rPr>
              <w:t>27.8</w:t>
            </w:r>
          </w:p>
        </w:tc>
        <w:tc>
          <w:tcPr>
            <w:tcW w:w="1100" w:type="dxa"/>
            <w:tcBorders>
              <w:top w:val="single" w:sz="4" w:space="0" w:color="auto"/>
              <w:left w:val="single" w:sz="12" w:space="0" w:color="auto"/>
              <w:bottom w:val="single" w:sz="12" w:space="0" w:color="auto"/>
              <w:right w:val="single" w:sz="12" w:space="0" w:color="auto"/>
            </w:tcBorders>
          </w:tcPr>
          <w:p w14:paraId="37A9B70E" w14:textId="77777777" w:rsidR="00CA2867" w:rsidRPr="000E3A36" w:rsidRDefault="00CA2867" w:rsidP="003B6CDA">
            <w:pPr>
              <w:autoSpaceDE w:val="0"/>
              <w:autoSpaceDN w:val="0"/>
              <w:adjustRightInd w:val="0"/>
              <w:jc w:val="right"/>
              <w:rPr>
                <w:color w:val="000000"/>
                <w:sz w:val="17"/>
                <w:szCs w:val="17"/>
                <w:lang w:val="en-GB" w:bidi="th-TH"/>
              </w:rPr>
            </w:pPr>
            <w:r w:rsidRPr="000E3A36">
              <w:rPr>
                <w:color w:val="000000"/>
                <w:sz w:val="17"/>
                <w:szCs w:val="17"/>
                <w:lang w:val="en-GB" w:bidi="th-TH"/>
              </w:rPr>
              <w:t>11.4</w:t>
            </w:r>
          </w:p>
        </w:tc>
        <w:tc>
          <w:tcPr>
            <w:tcW w:w="1034" w:type="dxa"/>
            <w:tcBorders>
              <w:top w:val="single" w:sz="12" w:space="0" w:color="auto"/>
              <w:left w:val="single" w:sz="12" w:space="0" w:color="auto"/>
            </w:tcBorders>
            <w:noWrap/>
            <w:tcMar>
              <w:top w:w="15" w:type="dxa"/>
              <w:left w:w="15" w:type="dxa"/>
              <w:bottom w:w="0" w:type="dxa"/>
              <w:right w:w="15" w:type="dxa"/>
            </w:tcMar>
            <w:vAlign w:val="center"/>
          </w:tcPr>
          <w:p w14:paraId="04E0731A" w14:textId="77777777" w:rsidR="00CA2867" w:rsidRPr="000E3A36" w:rsidRDefault="00CA2867" w:rsidP="003B6CDA">
            <w:pPr>
              <w:ind w:right="65"/>
              <w:rPr>
                <w:rFonts w:eastAsia="Arial Unicode MS"/>
                <w:sz w:val="17"/>
                <w:szCs w:val="17"/>
                <w:lang w:val="en-GB" w:bidi="th-TH"/>
              </w:rPr>
            </w:pPr>
          </w:p>
        </w:tc>
        <w:tc>
          <w:tcPr>
            <w:tcW w:w="943" w:type="dxa"/>
            <w:tcBorders>
              <w:top w:val="single" w:sz="12" w:space="0" w:color="auto"/>
            </w:tcBorders>
            <w:noWrap/>
            <w:tcMar>
              <w:top w:w="15" w:type="dxa"/>
              <w:left w:w="15" w:type="dxa"/>
              <w:bottom w:w="0" w:type="dxa"/>
              <w:right w:w="15" w:type="dxa"/>
            </w:tcMar>
            <w:vAlign w:val="center"/>
          </w:tcPr>
          <w:p w14:paraId="31AC5CDA" w14:textId="77777777" w:rsidR="00CA2867" w:rsidRPr="000E3A36" w:rsidRDefault="00CA2867" w:rsidP="003B6CDA">
            <w:pPr>
              <w:ind w:right="65"/>
              <w:rPr>
                <w:rFonts w:eastAsia="Arial Unicode MS"/>
                <w:sz w:val="17"/>
                <w:szCs w:val="17"/>
                <w:lang w:val="en-GB" w:bidi="th-TH"/>
              </w:rPr>
            </w:pPr>
          </w:p>
        </w:tc>
      </w:tr>
    </w:tbl>
    <w:p w14:paraId="1CCA23A8" w14:textId="77777777" w:rsidR="00CA2867" w:rsidRPr="000E3A36" w:rsidRDefault="00CA2867" w:rsidP="00290E3D">
      <w:pPr>
        <w:numPr>
          <w:ilvl w:val="0"/>
          <w:numId w:val="3"/>
        </w:numPr>
        <w:spacing w:before="120" w:after="120"/>
        <w:ind w:left="0" w:firstLine="0"/>
        <w:jc w:val="both"/>
        <w:rPr>
          <w:rFonts w:cs="Angsana New"/>
          <w:sz w:val="22"/>
          <w:szCs w:val="22"/>
          <w:lang w:val="en-GB" w:bidi="th-TH"/>
        </w:rPr>
      </w:pPr>
      <w:r w:rsidRPr="000E3A36">
        <w:rPr>
          <w:rFonts w:cs="Angsana New"/>
          <w:sz w:val="22"/>
          <w:szCs w:val="22"/>
          <w:lang w:val="en-GB" w:bidi="th-TH"/>
        </w:rPr>
        <w:t xml:space="preserve">The causes of mangrove destruction identified in the TDA along the coastlines bordering the South China Sea included conversion to pond aquaculture, particularly for shrimp, clear felling of timber for woodchip production, land clearance for urban and port development and human settlements, and harvest of timber products for domestic use (Talaue-McManus, 2000; UNEP, </w:t>
      </w:r>
      <w:r w:rsidR="0088438A" w:rsidRPr="000E3A36">
        <w:rPr>
          <w:rFonts w:cs="Angsana New"/>
          <w:sz w:val="22"/>
          <w:szCs w:val="22"/>
          <w:lang w:val="en-GB" w:bidi="th-TH"/>
        </w:rPr>
        <w:t>200</w:t>
      </w:r>
      <w:r w:rsidR="0088438A">
        <w:rPr>
          <w:rFonts w:cs="Angsana New"/>
          <w:sz w:val="22"/>
          <w:szCs w:val="22"/>
          <w:lang w:val="en-GB" w:bidi="th-TH"/>
        </w:rPr>
        <w:t>8b</w:t>
      </w:r>
      <w:r w:rsidRPr="000E3A36">
        <w:rPr>
          <w:rFonts w:cs="Angsana New"/>
          <w:sz w:val="22"/>
          <w:szCs w:val="22"/>
          <w:lang w:val="en-GB" w:bidi="th-TH"/>
        </w:rPr>
        <w:t>). Contemporary causes of loss of mangrove habitat are no longer dominated by shrimp culture although this remains one cause in China</w:t>
      </w:r>
      <w:r w:rsidR="00164068">
        <w:rPr>
          <w:rFonts w:cs="Angsana New"/>
          <w:sz w:val="22"/>
          <w:szCs w:val="22"/>
          <w:lang w:val="en-GB" w:bidi="th-TH"/>
        </w:rPr>
        <w:t xml:space="preserve"> and</w:t>
      </w:r>
      <w:r w:rsidRPr="000E3A36">
        <w:rPr>
          <w:rFonts w:cs="Angsana New"/>
          <w:sz w:val="22"/>
          <w:szCs w:val="22"/>
          <w:lang w:val="en-GB" w:bidi="th-TH"/>
        </w:rPr>
        <w:t xml:space="preserve"> Indonesia (UNEP, 2008b). Conversion of mangrove to land for industrial purposes (including harbour construction) has grown over the last ten years and is now significant in China, but of low importance in Indonesia, the Philippines and Viet Nam, and unimportant in Thailand and Cambodia (UNEP, </w:t>
      </w:r>
      <w:r w:rsidR="0088438A" w:rsidRPr="000E3A36">
        <w:rPr>
          <w:rFonts w:cs="Angsana New"/>
          <w:sz w:val="22"/>
          <w:szCs w:val="22"/>
          <w:lang w:val="en-GB" w:bidi="th-TH"/>
        </w:rPr>
        <w:t>200</w:t>
      </w:r>
      <w:r w:rsidR="0088438A">
        <w:rPr>
          <w:rFonts w:cs="Angsana New"/>
          <w:sz w:val="22"/>
          <w:szCs w:val="22"/>
          <w:lang w:val="en-GB" w:bidi="th-TH"/>
        </w:rPr>
        <w:t>8b</w:t>
      </w:r>
      <w:r w:rsidRPr="000E3A36">
        <w:rPr>
          <w:rFonts w:cs="Angsana New"/>
          <w:sz w:val="22"/>
          <w:szCs w:val="22"/>
          <w:lang w:val="en-GB" w:bidi="th-TH"/>
        </w:rPr>
        <w:t xml:space="preserve">). </w:t>
      </w:r>
    </w:p>
    <w:p w14:paraId="11C6A2E6" w14:textId="77777777" w:rsidR="00290E3D" w:rsidRPr="000E3A36" w:rsidRDefault="00290E3D" w:rsidP="00290E3D">
      <w:pPr>
        <w:numPr>
          <w:ilvl w:val="0"/>
          <w:numId w:val="3"/>
        </w:numPr>
        <w:spacing w:after="120"/>
        <w:ind w:left="0" w:firstLine="0"/>
        <w:jc w:val="both"/>
        <w:rPr>
          <w:rFonts w:cs="Angsana New"/>
          <w:sz w:val="22"/>
          <w:szCs w:val="22"/>
          <w:lang w:val="en-GB" w:bidi="th-TH"/>
        </w:rPr>
      </w:pPr>
      <w:r w:rsidRPr="000E3A36">
        <w:rPr>
          <w:rFonts w:cs="Angsana New"/>
          <w:sz w:val="22"/>
          <w:szCs w:val="22"/>
          <w:lang w:val="en-GB" w:bidi="th-TH"/>
        </w:rPr>
        <w:t xml:space="preserve">Degradation of mangrove habitats as a consequence of chronic pollution from shrimp farming operations is now more prevalent in China, Indonesia and Thailand, whilst charcoal production continues to degrade mangrove in Cambodia, Indonesia and the Philippines despite legislation banning all harvesting of mangroves in Cambodia and the Philippines (UNEP, </w:t>
      </w:r>
      <w:r w:rsidR="0088438A" w:rsidRPr="000E3A36">
        <w:rPr>
          <w:rFonts w:cs="Angsana New"/>
          <w:sz w:val="22"/>
          <w:szCs w:val="22"/>
          <w:lang w:val="en-GB" w:bidi="th-TH"/>
        </w:rPr>
        <w:t>2008</w:t>
      </w:r>
      <w:r w:rsidR="0088438A">
        <w:rPr>
          <w:rFonts w:cs="Angsana New"/>
          <w:sz w:val="22"/>
          <w:szCs w:val="22"/>
          <w:lang w:val="en-GB" w:bidi="th-TH"/>
        </w:rPr>
        <w:t>b</w:t>
      </w:r>
      <w:r w:rsidRPr="000E3A36">
        <w:rPr>
          <w:rFonts w:cs="Angsana New"/>
          <w:sz w:val="22"/>
          <w:szCs w:val="22"/>
          <w:lang w:val="en-GB" w:bidi="th-TH"/>
        </w:rPr>
        <w:t xml:space="preserve">). At a regional level, the following are seen as the current anthropogenic threats to mangrove systems bordering the South China Sea: reclamation and infrastructure development; pollution from shrimp farming (China, Indonesia, Thailand); and conversion to industrial uses (China, small in the Philippines, Indonesia and Viet Nam, negligible in Cambodia and Thailand). </w:t>
      </w:r>
      <w:r w:rsidR="00164068">
        <w:rPr>
          <w:rFonts w:cs="Angsana New"/>
          <w:sz w:val="22"/>
          <w:szCs w:val="22"/>
          <w:lang w:val="en-GB" w:bidi="th-TH"/>
        </w:rPr>
        <w:t>Degradation of mangrove habitat as a result of coastal erosion caused by a deficit of upstream sediment supply is a contemporary issue in Vietnam</w:t>
      </w:r>
      <w:r w:rsidR="00F278C5">
        <w:rPr>
          <w:rFonts w:cs="Angsana New"/>
          <w:sz w:val="22"/>
          <w:szCs w:val="22"/>
          <w:lang w:val="en-GB" w:bidi="th-TH"/>
        </w:rPr>
        <w:t>. Similarly conversion of mangrove for palm oil plantations is a contemporary threat in Indonesia.</w:t>
      </w:r>
      <w:r w:rsidR="00164068">
        <w:rPr>
          <w:rFonts w:cs="Angsana New"/>
          <w:sz w:val="22"/>
          <w:szCs w:val="22"/>
          <w:lang w:val="en-GB" w:bidi="th-TH"/>
        </w:rPr>
        <w:t xml:space="preserve"> </w:t>
      </w:r>
      <w:r w:rsidRPr="000E3A36">
        <w:rPr>
          <w:rFonts w:cs="Angsana New"/>
          <w:sz w:val="22"/>
          <w:szCs w:val="22"/>
          <w:lang w:val="en-GB" w:bidi="th-TH"/>
        </w:rPr>
        <w:t xml:space="preserve">Natural threats include sea level rise and episodic threats, including tsunamis and typhoons (UNEP, </w:t>
      </w:r>
      <w:r w:rsidR="0088438A" w:rsidRPr="000E3A36">
        <w:rPr>
          <w:rFonts w:cs="Angsana New"/>
          <w:sz w:val="22"/>
          <w:szCs w:val="22"/>
          <w:lang w:val="en-GB" w:bidi="th-TH"/>
        </w:rPr>
        <w:t>2008</w:t>
      </w:r>
      <w:r w:rsidR="0088438A">
        <w:rPr>
          <w:rFonts w:cs="Angsana New"/>
          <w:sz w:val="22"/>
          <w:szCs w:val="22"/>
          <w:lang w:val="en-GB" w:bidi="th-TH"/>
        </w:rPr>
        <w:t>b</w:t>
      </w:r>
      <w:r w:rsidRPr="000E3A36">
        <w:rPr>
          <w:rFonts w:cs="Angsana New"/>
          <w:sz w:val="22"/>
          <w:szCs w:val="22"/>
          <w:lang w:val="en-GB" w:bidi="th-TH"/>
        </w:rPr>
        <w:t>).</w:t>
      </w:r>
    </w:p>
    <w:p w14:paraId="0C64143F" w14:textId="77777777" w:rsidR="00290E3D" w:rsidRPr="000E3A36" w:rsidRDefault="00290E3D" w:rsidP="00290E3D">
      <w:pPr>
        <w:numPr>
          <w:ilvl w:val="0"/>
          <w:numId w:val="3"/>
        </w:numPr>
        <w:spacing w:after="120"/>
        <w:ind w:left="0" w:firstLine="0"/>
        <w:jc w:val="both"/>
        <w:rPr>
          <w:rFonts w:cs="Angsana New"/>
          <w:sz w:val="22"/>
          <w:szCs w:val="22"/>
          <w:lang w:val="en-GB" w:bidi="th-TH"/>
        </w:rPr>
      </w:pPr>
      <w:r w:rsidRPr="000E3A36">
        <w:rPr>
          <w:rFonts w:cs="Angsana New"/>
          <w:sz w:val="22"/>
          <w:szCs w:val="22"/>
          <w:lang w:val="en-GB" w:bidi="th-TH"/>
        </w:rPr>
        <w:t xml:space="preserve">Transboundary influences are seen through the global trade in shrimp, for example. The high level of world demand for shrimp is driven by demand in Japan, North America and Europe. This demand essentially sets the world price for shrimp such that economic incentives for the conversion of “non-productive” mangrove habitats operate at both the local and national levels in the producing countries. Opportunities for hard currency income and economic development fuel the motives at the national level while individual producers, at least in the short-term, derive considerable cash income from cutting mangrove and converting it to shrimp ponds (UNEP, </w:t>
      </w:r>
      <w:r w:rsidR="0088438A" w:rsidRPr="000E3A36">
        <w:rPr>
          <w:rFonts w:cs="Angsana New"/>
          <w:sz w:val="22"/>
          <w:szCs w:val="22"/>
          <w:lang w:val="en-GB" w:bidi="th-TH"/>
        </w:rPr>
        <w:t>2008</w:t>
      </w:r>
      <w:r w:rsidR="0088438A">
        <w:rPr>
          <w:rFonts w:cs="Angsana New"/>
          <w:sz w:val="22"/>
          <w:szCs w:val="22"/>
          <w:lang w:val="en-GB" w:bidi="th-TH"/>
        </w:rPr>
        <w:t>b</w:t>
      </w:r>
      <w:r w:rsidRPr="000E3A36">
        <w:rPr>
          <w:rFonts w:cs="Angsana New"/>
          <w:sz w:val="22"/>
          <w:szCs w:val="22"/>
          <w:lang w:val="en-GB" w:bidi="th-TH"/>
        </w:rPr>
        <w:t>).</w:t>
      </w:r>
    </w:p>
    <w:p w14:paraId="76695B52" w14:textId="77777777" w:rsidR="00203C08" w:rsidRDefault="00203C08" w:rsidP="00203C08">
      <w:pPr>
        <w:numPr>
          <w:ilvl w:val="0"/>
          <w:numId w:val="3"/>
        </w:numPr>
        <w:spacing w:after="120"/>
        <w:ind w:left="0" w:firstLine="0"/>
        <w:jc w:val="both"/>
        <w:rPr>
          <w:rFonts w:cs="Angsana New"/>
          <w:sz w:val="22"/>
          <w:szCs w:val="22"/>
          <w:lang w:val="en-GB" w:bidi="th-TH"/>
        </w:rPr>
      </w:pPr>
      <w:r w:rsidRPr="000E3A36">
        <w:rPr>
          <w:rFonts w:cs="Angsana New"/>
          <w:sz w:val="22"/>
          <w:szCs w:val="22"/>
          <w:lang w:val="en-GB" w:bidi="th-TH"/>
        </w:rPr>
        <w:t xml:space="preserve">On a smaller scale, trade in charcoal derived from mangrove in Cambodia to Thailand was, until very recently, a major cause of mangrove loss in the areas of Cambodia close to the Thai border. This market appears to have declined somewhat over the last five years under the influence of more widespread use of cheap and convenient liquefied natural gas in Thailand (UNEP, </w:t>
      </w:r>
      <w:r w:rsidR="0088438A" w:rsidRPr="000E3A36">
        <w:rPr>
          <w:rFonts w:cs="Angsana New"/>
          <w:sz w:val="22"/>
          <w:szCs w:val="22"/>
          <w:lang w:val="en-GB" w:bidi="th-TH"/>
        </w:rPr>
        <w:t>2008</w:t>
      </w:r>
      <w:r w:rsidR="0088438A">
        <w:rPr>
          <w:rFonts w:cs="Angsana New"/>
          <w:sz w:val="22"/>
          <w:szCs w:val="22"/>
          <w:lang w:val="en-GB" w:bidi="th-TH"/>
        </w:rPr>
        <w:t>b</w:t>
      </w:r>
      <w:r w:rsidRPr="000E3A36">
        <w:rPr>
          <w:rFonts w:cs="Angsana New"/>
          <w:sz w:val="22"/>
          <w:szCs w:val="22"/>
          <w:lang w:val="en-GB" w:bidi="th-TH"/>
        </w:rPr>
        <w:t>). When mangrove forests are destroyed and replaced by alternative forms of land use, not only are the species of plants and animals lost but also many services provided by mangrove systems are lost as well. This is well recognised in Viet Nam where the function of coastal vegetation, particularly mangroves, is considered a vital service with measurable economic benefits as a protection against hurricane damage and marine based flooding. Mangrove degradation causes losses in direct and indirect economic values that support socio-economic development on both local and national scales.</w:t>
      </w:r>
    </w:p>
    <w:p w14:paraId="42E15FF6" w14:textId="77777777" w:rsidR="00A345CE" w:rsidRDefault="00A345CE" w:rsidP="00A345CE">
      <w:pPr>
        <w:numPr>
          <w:ilvl w:val="3"/>
          <w:numId w:val="2"/>
        </w:numPr>
        <w:spacing w:after="120"/>
        <w:outlineLvl w:val="1"/>
        <w:rPr>
          <w:b/>
          <w:sz w:val="22"/>
          <w:szCs w:val="22"/>
          <w:lang w:val="en-GB"/>
        </w:rPr>
      </w:pPr>
      <w:r>
        <w:rPr>
          <w:b/>
          <w:sz w:val="22"/>
          <w:szCs w:val="22"/>
          <w:lang w:val="en-GB"/>
        </w:rPr>
        <w:t>Threats to coral reefs</w:t>
      </w:r>
    </w:p>
    <w:p w14:paraId="5B2B2DEB" w14:textId="77777777" w:rsidR="00CA2867" w:rsidRDefault="00A345CE" w:rsidP="00A345CE">
      <w:pPr>
        <w:numPr>
          <w:ilvl w:val="0"/>
          <w:numId w:val="3"/>
        </w:numPr>
        <w:spacing w:before="120" w:after="120"/>
        <w:ind w:left="0" w:firstLine="0"/>
        <w:jc w:val="both"/>
        <w:rPr>
          <w:sz w:val="22"/>
          <w:szCs w:val="22"/>
          <w:lang w:val="en-GB"/>
        </w:rPr>
      </w:pPr>
      <w:r w:rsidRPr="00A345CE">
        <w:rPr>
          <w:sz w:val="22"/>
          <w:szCs w:val="22"/>
          <w:lang w:val="en-GB"/>
        </w:rPr>
        <w:t xml:space="preserve">Not only are the coral reefs of South East Asia the most biologically diverse and productive reef ecosystems in the world but they are also the most threatened and damaged  with unprecedented rates of destruction from anthropogenic pressures that have accelerated over recent decades (Tun et al., 2004; UNEP, </w:t>
      </w:r>
      <w:r w:rsidR="0088438A" w:rsidRPr="00A345CE">
        <w:rPr>
          <w:sz w:val="22"/>
          <w:szCs w:val="22"/>
          <w:lang w:val="en-GB"/>
        </w:rPr>
        <w:t>200</w:t>
      </w:r>
      <w:r w:rsidR="0088438A">
        <w:rPr>
          <w:sz w:val="22"/>
          <w:szCs w:val="22"/>
          <w:lang w:val="en-GB"/>
        </w:rPr>
        <w:t>8b</w:t>
      </w:r>
      <w:r w:rsidRPr="00A345CE">
        <w:rPr>
          <w:sz w:val="22"/>
          <w:szCs w:val="22"/>
          <w:lang w:val="en-GB"/>
        </w:rPr>
        <w:t xml:space="preserve">). The RWG-CR  identified regionally significant threats to coral reefs in the South China Sea as being over-fishing, use of destructive fishing techniques, pollution (mainly eutrophication) and increased sedimentation (Table </w:t>
      </w:r>
      <w:r>
        <w:rPr>
          <w:sz w:val="22"/>
          <w:szCs w:val="22"/>
          <w:lang w:val="en-GB"/>
        </w:rPr>
        <w:t>1</w:t>
      </w:r>
      <w:r w:rsidR="00796B4F">
        <w:rPr>
          <w:sz w:val="22"/>
          <w:szCs w:val="22"/>
          <w:lang w:val="en-GB"/>
        </w:rPr>
        <w:t>3</w:t>
      </w:r>
      <w:r w:rsidRPr="00A345CE">
        <w:rPr>
          <w:sz w:val="22"/>
          <w:szCs w:val="22"/>
          <w:lang w:val="en-GB"/>
        </w:rPr>
        <w:t xml:space="preserve">) (UNEP, </w:t>
      </w:r>
      <w:r w:rsidR="0088438A" w:rsidRPr="00A345CE">
        <w:rPr>
          <w:sz w:val="22"/>
          <w:szCs w:val="22"/>
          <w:lang w:val="en-GB"/>
        </w:rPr>
        <w:t>200</w:t>
      </w:r>
      <w:r w:rsidR="0088438A">
        <w:rPr>
          <w:sz w:val="22"/>
          <w:szCs w:val="22"/>
          <w:lang w:val="en-GB"/>
        </w:rPr>
        <w:t>8b</w:t>
      </w:r>
      <w:r w:rsidRPr="00A345CE">
        <w:rPr>
          <w:sz w:val="22"/>
          <w:szCs w:val="22"/>
          <w:lang w:val="en-GB"/>
        </w:rPr>
        <w:t>). Indirect causes of these threats are unsustainable practices in the fisheries sector, coastal development</w:t>
      </w:r>
      <w:r w:rsidR="00923686">
        <w:rPr>
          <w:sz w:val="22"/>
          <w:szCs w:val="22"/>
          <w:lang w:val="en-GB"/>
        </w:rPr>
        <w:t xml:space="preserve"> and reclamation</w:t>
      </w:r>
      <w:r w:rsidRPr="00A345CE">
        <w:rPr>
          <w:sz w:val="22"/>
          <w:szCs w:val="22"/>
          <w:lang w:val="en-GB"/>
        </w:rPr>
        <w:t xml:space="preserve">, deforestation and unsustainable tourism. Coral bleaching </w:t>
      </w:r>
      <w:r w:rsidR="00923686">
        <w:rPr>
          <w:sz w:val="22"/>
          <w:szCs w:val="22"/>
          <w:lang w:val="en-GB"/>
        </w:rPr>
        <w:t>and ocean acidification are</w:t>
      </w:r>
      <w:r w:rsidRPr="00A345CE">
        <w:rPr>
          <w:sz w:val="22"/>
          <w:szCs w:val="22"/>
          <w:lang w:val="en-GB"/>
        </w:rPr>
        <w:t xml:space="preserve"> also considered serious threat</w:t>
      </w:r>
      <w:r w:rsidR="00923686">
        <w:rPr>
          <w:sz w:val="22"/>
          <w:szCs w:val="22"/>
          <w:lang w:val="en-GB"/>
        </w:rPr>
        <w:t>s</w:t>
      </w:r>
      <w:r w:rsidRPr="00A345CE">
        <w:rPr>
          <w:sz w:val="22"/>
          <w:szCs w:val="22"/>
          <w:lang w:val="en-GB"/>
        </w:rPr>
        <w:t xml:space="preserve"> to coral reefs in the region. The RWG-CR of the SCS project estimated the ongoing decadal rate of loss of coral reef from the South</w:t>
      </w:r>
      <w:r w:rsidR="00461B68">
        <w:rPr>
          <w:sz w:val="22"/>
          <w:szCs w:val="22"/>
          <w:lang w:val="en-GB"/>
        </w:rPr>
        <w:t xml:space="preserve"> China Sea basin in 2007 as 16%</w:t>
      </w:r>
      <w:r w:rsidRPr="00A345CE">
        <w:rPr>
          <w:sz w:val="22"/>
          <w:szCs w:val="22"/>
          <w:lang w:val="en-GB"/>
        </w:rPr>
        <w:t>.</w:t>
      </w:r>
    </w:p>
    <w:p w14:paraId="228D6A23" w14:textId="77777777" w:rsidR="00A345CE" w:rsidRPr="000E3A36" w:rsidRDefault="00A345CE" w:rsidP="00A345CE">
      <w:pPr>
        <w:spacing w:after="120"/>
        <w:ind w:left="1440" w:hanging="1440"/>
        <w:rPr>
          <w:rFonts w:cs="Angsana New"/>
          <w:sz w:val="21"/>
          <w:szCs w:val="21"/>
          <w:lang w:val="en-GB" w:bidi="th-TH"/>
        </w:rPr>
      </w:pPr>
      <w:r w:rsidRPr="000E3A36">
        <w:rPr>
          <w:rFonts w:cs="Angsana New"/>
          <w:b/>
          <w:sz w:val="21"/>
          <w:szCs w:val="21"/>
          <w:lang w:val="en-GB" w:bidi="th-TH"/>
        </w:rPr>
        <w:t xml:space="preserve">Table </w:t>
      </w:r>
      <w:r>
        <w:rPr>
          <w:rFonts w:cs="Angsana New"/>
          <w:b/>
          <w:sz w:val="21"/>
          <w:szCs w:val="21"/>
          <w:lang w:val="en-GB" w:bidi="th-TH"/>
        </w:rPr>
        <w:t>1</w:t>
      </w:r>
      <w:r w:rsidR="00796B4F">
        <w:rPr>
          <w:rFonts w:cs="Angsana New"/>
          <w:b/>
          <w:sz w:val="21"/>
          <w:szCs w:val="21"/>
          <w:lang w:val="en-GB" w:bidi="th-TH"/>
        </w:rPr>
        <w:t>3</w:t>
      </w:r>
      <w:r w:rsidRPr="000E3A36">
        <w:rPr>
          <w:rFonts w:cs="Angsana New"/>
          <w:b/>
          <w:sz w:val="21"/>
          <w:szCs w:val="21"/>
          <w:lang w:val="en-GB" w:bidi="th-TH"/>
        </w:rPr>
        <w:tab/>
      </w:r>
      <w:r w:rsidRPr="000E3A36">
        <w:rPr>
          <w:rFonts w:cs="Angsana New"/>
          <w:sz w:val="21"/>
          <w:szCs w:val="21"/>
          <w:lang w:val="en-GB" w:bidi="th-TH"/>
        </w:rPr>
        <w:t xml:space="preserve">Prioritisation of the Threats to Coral Reefs Bordering the South China Sea (excluding China) (based on UNEP, </w:t>
      </w:r>
      <w:r w:rsidR="00803406" w:rsidRPr="000E3A36">
        <w:rPr>
          <w:rFonts w:cs="Angsana New"/>
          <w:sz w:val="21"/>
          <w:szCs w:val="21"/>
          <w:lang w:val="en-GB" w:bidi="th-TH"/>
        </w:rPr>
        <w:t>200</w:t>
      </w:r>
      <w:r w:rsidR="00803406">
        <w:rPr>
          <w:rFonts w:cs="Angsana New"/>
          <w:sz w:val="21"/>
          <w:szCs w:val="21"/>
          <w:lang w:val="en-GB" w:bidi="th-TH"/>
        </w:rPr>
        <w:t>8b</w:t>
      </w:r>
      <w:r w:rsidRPr="000E3A36">
        <w:rPr>
          <w:rFonts w:cs="Angsana New"/>
          <w:sz w:val="21"/>
          <w:szCs w:val="21"/>
          <w:lang w:val="en-GB" w:bidi="th-TH"/>
        </w:rPr>
        <w:t>)</w:t>
      </w:r>
    </w:p>
    <w:tbl>
      <w:tblPr>
        <w:tblW w:w="9375" w:type="dxa"/>
        <w:jc w:val="center"/>
        <w:tblLayout w:type="fixed"/>
        <w:tblCellMar>
          <w:left w:w="0" w:type="dxa"/>
          <w:right w:w="0" w:type="dxa"/>
        </w:tblCellMar>
        <w:tblLook w:val="0000" w:firstRow="0" w:lastRow="0" w:firstColumn="0" w:lastColumn="0" w:noHBand="0" w:noVBand="0"/>
      </w:tblPr>
      <w:tblGrid>
        <w:gridCol w:w="2735"/>
        <w:gridCol w:w="418"/>
        <w:gridCol w:w="12"/>
        <w:gridCol w:w="506"/>
        <w:gridCol w:w="34"/>
        <w:gridCol w:w="360"/>
        <w:gridCol w:w="28"/>
        <w:gridCol w:w="502"/>
        <w:gridCol w:w="16"/>
        <w:gridCol w:w="6"/>
        <w:gridCol w:w="412"/>
        <w:gridCol w:w="26"/>
        <w:gridCol w:w="450"/>
        <w:gridCol w:w="7"/>
        <w:gridCol w:w="418"/>
        <w:gridCol w:w="25"/>
        <w:gridCol w:w="605"/>
        <w:gridCol w:w="25"/>
        <w:gridCol w:w="450"/>
        <w:gridCol w:w="65"/>
        <w:gridCol w:w="565"/>
        <w:gridCol w:w="429"/>
        <w:gridCol w:w="21"/>
        <w:gridCol w:w="540"/>
        <w:gridCol w:w="720"/>
      </w:tblGrid>
      <w:tr w:rsidR="00A345CE" w:rsidRPr="000E3A36" w14:paraId="1F317492" w14:textId="77777777" w:rsidTr="003B6CDA">
        <w:trPr>
          <w:trHeight w:val="162"/>
          <w:jc w:val="center"/>
        </w:trPr>
        <w:tc>
          <w:tcPr>
            <w:tcW w:w="2735" w:type="dxa"/>
            <w:tcBorders>
              <w:top w:val="single" w:sz="12" w:space="0" w:color="auto"/>
              <w:left w:val="single" w:sz="12" w:space="0" w:color="auto"/>
              <w:bottom w:val="single" w:sz="4" w:space="0" w:color="auto"/>
              <w:right w:val="single" w:sz="4" w:space="0" w:color="auto"/>
            </w:tcBorders>
            <w:noWrap/>
            <w:tcMar>
              <w:top w:w="15" w:type="dxa"/>
              <w:left w:w="15" w:type="dxa"/>
              <w:bottom w:w="0" w:type="dxa"/>
              <w:right w:w="15" w:type="dxa"/>
            </w:tcMar>
            <w:vAlign w:val="center"/>
          </w:tcPr>
          <w:p w14:paraId="262D8B6C" w14:textId="77777777" w:rsidR="00A345CE" w:rsidRPr="000E3A36" w:rsidRDefault="00A345CE" w:rsidP="003B6CDA">
            <w:pPr>
              <w:jc w:val="center"/>
              <w:rPr>
                <w:b/>
                <w:bCs/>
                <w:sz w:val="17"/>
                <w:szCs w:val="17"/>
                <w:lang w:val="en-GB" w:bidi="th-TH"/>
              </w:rPr>
            </w:pPr>
          </w:p>
        </w:tc>
        <w:tc>
          <w:tcPr>
            <w:tcW w:w="970" w:type="dxa"/>
            <w:gridSpan w:val="4"/>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3C4A6562" w14:textId="77777777" w:rsidR="00A345CE" w:rsidRPr="000E3A36" w:rsidRDefault="00A345CE" w:rsidP="003B6CDA">
            <w:pPr>
              <w:jc w:val="center"/>
              <w:rPr>
                <w:rFonts w:eastAsia="Arial Unicode MS"/>
                <w:i/>
                <w:iCs/>
                <w:sz w:val="17"/>
                <w:szCs w:val="17"/>
                <w:lang w:val="en-GB" w:bidi="th-TH"/>
              </w:rPr>
            </w:pPr>
            <w:r w:rsidRPr="000E3A36">
              <w:rPr>
                <w:b/>
                <w:bCs/>
                <w:sz w:val="17"/>
                <w:szCs w:val="17"/>
                <w:lang w:val="en-GB" w:bidi="th-TH"/>
              </w:rPr>
              <w:t>Cambodia</w:t>
            </w:r>
          </w:p>
        </w:tc>
        <w:tc>
          <w:tcPr>
            <w:tcW w:w="890" w:type="dxa"/>
            <w:gridSpan w:val="3"/>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0D202E75" w14:textId="77777777" w:rsidR="00A345CE" w:rsidRPr="000E3A36" w:rsidRDefault="00A345CE" w:rsidP="003B6CDA">
            <w:pPr>
              <w:jc w:val="center"/>
              <w:rPr>
                <w:rFonts w:eastAsia="Arial Unicode MS"/>
                <w:sz w:val="17"/>
                <w:szCs w:val="17"/>
                <w:lang w:val="en-GB" w:bidi="th-TH"/>
              </w:rPr>
            </w:pPr>
            <w:r w:rsidRPr="000E3A36">
              <w:rPr>
                <w:b/>
                <w:bCs/>
                <w:sz w:val="17"/>
                <w:szCs w:val="17"/>
                <w:lang w:val="en-GB" w:bidi="th-TH"/>
              </w:rPr>
              <w:t>Indonesia</w:t>
            </w:r>
          </w:p>
        </w:tc>
        <w:tc>
          <w:tcPr>
            <w:tcW w:w="910" w:type="dxa"/>
            <w:gridSpan w:val="5"/>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26A2E76B" w14:textId="77777777" w:rsidR="00A345CE" w:rsidRPr="000E3A36" w:rsidRDefault="00A345CE" w:rsidP="003B6CDA">
            <w:pPr>
              <w:jc w:val="center"/>
              <w:rPr>
                <w:rFonts w:eastAsia="Arial Unicode MS"/>
                <w:sz w:val="17"/>
                <w:szCs w:val="17"/>
                <w:lang w:val="en-GB" w:bidi="th-TH"/>
              </w:rPr>
            </w:pPr>
            <w:r w:rsidRPr="000E3A36">
              <w:rPr>
                <w:b/>
                <w:bCs/>
                <w:sz w:val="17"/>
                <w:szCs w:val="17"/>
                <w:lang w:val="en-GB" w:bidi="th-TH"/>
              </w:rPr>
              <w:t>Malaysia</w:t>
            </w:r>
          </w:p>
        </w:tc>
        <w:tc>
          <w:tcPr>
            <w:tcW w:w="1080" w:type="dxa"/>
            <w:gridSpan w:val="5"/>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5294AE17" w14:textId="77777777" w:rsidR="00A345CE" w:rsidRPr="000E3A36" w:rsidRDefault="00A345CE" w:rsidP="003B6CDA">
            <w:pPr>
              <w:jc w:val="center"/>
              <w:rPr>
                <w:rFonts w:eastAsia="Arial Unicode MS"/>
                <w:sz w:val="17"/>
                <w:szCs w:val="17"/>
                <w:lang w:val="en-GB" w:bidi="th-TH"/>
              </w:rPr>
            </w:pPr>
            <w:r w:rsidRPr="000E3A36">
              <w:rPr>
                <w:b/>
                <w:bCs/>
                <w:sz w:val="17"/>
                <w:szCs w:val="17"/>
                <w:lang w:val="en-GB" w:bidi="th-TH"/>
              </w:rPr>
              <w:t>Philippines</w:t>
            </w:r>
          </w:p>
        </w:tc>
        <w:tc>
          <w:tcPr>
            <w:tcW w:w="1080" w:type="dxa"/>
            <w:gridSpan w:val="3"/>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2CE7875E" w14:textId="77777777" w:rsidR="00A345CE" w:rsidRPr="000E3A36" w:rsidRDefault="00A345CE" w:rsidP="003B6CDA">
            <w:pPr>
              <w:jc w:val="center"/>
              <w:rPr>
                <w:rFonts w:eastAsia="Arial Unicode MS"/>
                <w:sz w:val="17"/>
                <w:szCs w:val="17"/>
                <w:lang w:val="en-GB" w:bidi="th-TH"/>
              </w:rPr>
            </w:pPr>
            <w:r w:rsidRPr="000E3A36">
              <w:rPr>
                <w:b/>
                <w:bCs/>
                <w:sz w:val="17"/>
                <w:szCs w:val="17"/>
                <w:lang w:val="en-GB" w:bidi="th-TH"/>
              </w:rPr>
              <w:t>Thailand</w:t>
            </w:r>
          </w:p>
        </w:tc>
        <w:tc>
          <w:tcPr>
            <w:tcW w:w="990" w:type="dxa"/>
            <w:gridSpan w:val="3"/>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4940E0EA" w14:textId="77777777" w:rsidR="00A345CE" w:rsidRPr="000E3A36" w:rsidRDefault="00A345CE" w:rsidP="003B6CDA">
            <w:pPr>
              <w:jc w:val="center"/>
              <w:rPr>
                <w:rFonts w:eastAsia="Arial Unicode MS"/>
                <w:sz w:val="17"/>
                <w:szCs w:val="17"/>
                <w:lang w:val="en-GB" w:bidi="th-TH"/>
              </w:rPr>
            </w:pPr>
            <w:r w:rsidRPr="000E3A36">
              <w:rPr>
                <w:b/>
                <w:bCs/>
                <w:sz w:val="17"/>
                <w:szCs w:val="17"/>
                <w:lang w:val="en-GB" w:bidi="th-TH"/>
              </w:rPr>
              <w:t>Viet Nam</w:t>
            </w:r>
          </w:p>
        </w:tc>
        <w:tc>
          <w:tcPr>
            <w:tcW w:w="720" w:type="dxa"/>
            <w:tcBorders>
              <w:top w:val="single" w:sz="12" w:space="0" w:color="auto"/>
              <w:left w:val="nil"/>
              <w:bottom w:val="single" w:sz="4" w:space="0" w:color="auto"/>
              <w:right w:val="single" w:sz="12" w:space="0" w:color="auto"/>
            </w:tcBorders>
            <w:noWrap/>
            <w:tcMar>
              <w:top w:w="15" w:type="dxa"/>
              <w:left w:w="15" w:type="dxa"/>
              <w:bottom w:w="0" w:type="dxa"/>
              <w:right w:w="15" w:type="dxa"/>
            </w:tcMar>
            <w:vAlign w:val="center"/>
          </w:tcPr>
          <w:p w14:paraId="59013A96" w14:textId="77777777" w:rsidR="00A345CE" w:rsidRPr="000E3A36" w:rsidRDefault="00A345CE" w:rsidP="003B6CDA">
            <w:pPr>
              <w:jc w:val="center"/>
              <w:rPr>
                <w:rFonts w:eastAsia="Arial Unicode MS"/>
                <w:sz w:val="17"/>
                <w:szCs w:val="17"/>
                <w:lang w:val="en-GB" w:bidi="th-TH"/>
              </w:rPr>
            </w:pPr>
            <w:r w:rsidRPr="000E3A36">
              <w:rPr>
                <w:b/>
                <w:bCs/>
                <w:sz w:val="17"/>
                <w:szCs w:val="17"/>
                <w:lang w:val="en-GB" w:bidi="th-TH"/>
              </w:rPr>
              <w:t>Region</w:t>
            </w:r>
          </w:p>
        </w:tc>
      </w:tr>
      <w:tr w:rsidR="00A345CE" w:rsidRPr="000E3A36" w14:paraId="18C2F09D" w14:textId="77777777" w:rsidTr="003B6CDA">
        <w:trPr>
          <w:trHeight w:val="342"/>
          <w:jc w:val="center"/>
        </w:trPr>
        <w:tc>
          <w:tcPr>
            <w:tcW w:w="2735" w:type="dxa"/>
            <w:tcBorders>
              <w:top w:val="single" w:sz="12" w:space="0" w:color="auto"/>
              <w:left w:val="single" w:sz="12" w:space="0" w:color="auto"/>
              <w:bottom w:val="single" w:sz="4" w:space="0" w:color="auto"/>
              <w:right w:val="single" w:sz="4" w:space="0" w:color="auto"/>
            </w:tcBorders>
            <w:noWrap/>
            <w:tcMar>
              <w:top w:w="15" w:type="dxa"/>
              <w:left w:w="15" w:type="dxa"/>
              <w:bottom w:w="0" w:type="dxa"/>
              <w:right w:w="15" w:type="dxa"/>
            </w:tcMar>
            <w:vAlign w:val="center"/>
          </w:tcPr>
          <w:p w14:paraId="4751C3FB" w14:textId="77777777" w:rsidR="00A345CE" w:rsidRPr="000E3A36" w:rsidRDefault="00A345CE" w:rsidP="003B6CDA">
            <w:pPr>
              <w:rPr>
                <w:b/>
                <w:bCs/>
                <w:sz w:val="17"/>
                <w:szCs w:val="17"/>
                <w:lang w:val="en-GB" w:bidi="th-TH"/>
              </w:rPr>
            </w:pPr>
          </w:p>
        </w:tc>
        <w:tc>
          <w:tcPr>
            <w:tcW w:w="418" w:type="dxa"/>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26D83DD7" w14:textId="77777777" w:rsidR="00A345CE" w:rsidRPr="000E3A36" w:rsidRDefault="00A345CE" w:rsidP="003B6CDA">
            <w:pPr>
              <w:jc w:val="both"/>
              <w:rPr>
                <w:rFonts w:eastAsia="Arial Unicode MS"/>
                <w:i/>
                <w:iCs/>
                <w:sz w:val="17"/>
                <w:szCs w:val="17"/>
                <w:lang w:val="en-GB" w:bidi="th-TH"/>
              </w:rPr>
            </w:pPr>
            <w:r w:rsidRPr="000E3A36">
              <w:rPr>
                <w:sz w:val="17"/>
                <w:szCs w:val="17"/>
                <w:lang w:val="en-GB" w:bidi="th-TH"/>
              </w:rPr>
              <w:t>Rank</w:t>
            </w:r>
          </w:p>
        </w:tc>
        <w:tc>
          <w:tcPr>
            <w:tcW w:w="518" w:type="dxa"/>
            <w:gridSpan w:val="2"/>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50C929C9" w14:textId="77777777" w:rsidR="00A345CE" w:rsidRPr="000E3A36" w:rsidRDefault="00A345CE" w:rsidP="003B6CDA">
            <w:pPr>
              <w:jc w:val="both"/>
              <w:rPr>
                <w:rFonts w:eastAsia="Arial Unicode MS"/>
                <w:i/>
                <w:iCs/>
                <w:sz w:val="17"/>
                <w:szCs w:val="17"/>
                <w:lang w:val="en-GB" w:bidi="th-TH"/>
              </w:rPr>
            </w:pPr>
            <w:r w:rsidRPr="000E3A36">
              <w:rPr>
                <w:sz w:val="17"/>
                <w:szCs w:val="17"/>
                <w:lang w:val="en-GB" w:bidi="th-TH"/>
              </w:rPr>
              <w:t>Score</w:t>
            </w:r>
          </w:p>
        </w:tc>
        <w:tc>
          <w:tcPr>
            <w:tcW w:w="422" w:type="dxa"/>
            <w:gridSpan w:val="3"/>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5054E533" w14:textId="77777777" w:rsidR="00A345CE" w:rsidRPr="000E3A36" w:rsidRDefault="00A345CE" w:rsidP="003B6CDA">
            <w:pPr>
              <w:rPr>
                <w:rFonts w:eastAsia="Arial Unicode MS"/>
                <w:sz w:val="17"/>
                <w:szCs w:val="17"/>
                <w:lang w:val="en-GB" w:bidi="th-TH"/>
              </w:rPr>
            </w:pPr>
            <w:r w:rsidRPr="000E3A36">
              <w:rPr>
                <w:sz w:val="17"/>
                <w:szCs w:val="17"/>
                <w:lang w:val="en-GB" w:bidi="th-TH"/>
              </w:rPr>
              <w:t>Rank</w:t>
            </w:r>
          </w:p>
        </w:tc>
        <w:tc>
          <w:tcPr>
            <w:tcW w:w="518" w:type="dxa"/>
            <w:gridSpan w:val="2"/>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63E9C5EB" w14:textId="77777777" w:rsidR="00A345CE" w:rsidRPr="000E3A36" w:rsidRDefault="00A345CE" w:rsidP="003B6CDA">
            <w:pPr>
              <w:rPr>
                <w:rFonts w:eastAsia="Arial Unicode MS"/>
                <w:sz w:val="17"/>
                <w:szCs w:val="17"/>
                <w:lang w:val="en-GB" w:bidi="th-TH"/>
              </w:rPr>
            </w:pPr>
            <w:r w:rsidRPr="000E3A36">
              <w:rPr>
                <w:sz w:val="17"/>
                <w:szCs w:val="17"/>
                <w:lang w:val="en-GB" w:bidi="th-TH"/>
              </w:rPr>
              <w:t>Score</w:t>
            </w:r>
          </w:p>
        </w:tc>
        <w:tc>
          <w:tcPr>
            <w:tcW w:w="418" w:type="dxa"/>
            <w:gridSpan w:val="2"/>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1A5AB3E5" w14:textId="77777777" w:rsidR="00A345CE" w:rsidRPr="000E3A36" w:rsidRDefault="00A345CE" w:rsidP="003B6CDA">
            <w:pPr>
              <w:rPr>
                <w:rFonts w:eastAsia="Arial Unicode MS"/>
                <w:sz w:val="17"/>
                <w:szCs w:val="17"/>
                <w:lang w:val="en-GB" w:bidi="th-TH"/>
              </w:rPr>
            </w:pPr>
            <w:r w:rsidRPr="000E3A36">
              <w:rPr>
                <w:sz w:val="17"/>
                <w:szCs w:val="17"/>
                <w:lang w:val="en-GB" w:bidi="th-TH"/>
              </w:rPr>
              <w:t>Rank</w:t>
            </w:r>
          </w:p>
        </w:tc>
        <w:tc>
          <w:tcPr>
            <w:tcW w:w="483" w:type="dxa"/>
            <w:gridSpan w:val="3"/>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24B424C5" w14:textId="77777777" w:rsidR="00A345CE" w:rsidRPr="000E3A36" w:rsidRDefault="00A345CE" w:rsidP="003B6CDA">
            <w:pPr>
              <w:rPr>
                <w:rFonts w:eastAsia="Arial Unicode MS"/>
                <w:sz w:val="17"/>
                <w:szCs w:val="17"/>
                <w:lang w:val="en-GB" w:bidi="th-TH"/>
              </w:rPr>
            </w:pPr>
            <w:r w:rsidRPr="000E3A36">
              <w:rPr>
                <w:sz w:val="17"/>
                <w:szCs w:val="17"/>
                <w:lang w:val="en-GB" w:bidi="th-TH"/>
              </w:rPr>
              <w:t>Score</w:t>
            </w:r>
          </w:p>
        </w:tc>
        <w:tc>
          <w:tcPr>
            <w:tcW w:w="418" w:type="dxa"/>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2DF36578" w14:textId="77777777" w:rsidR="00A345CE" w:rsidRPr="000E3A36" w:rsidRDefault="00A345CE" w:rsidP="003B6CDA">
            <w:pPr>
              <w:rPr>
                <w:rFonts w:eastAsia="Arial Unicode MS"/>
                <w:sz w:val="17"/>
                <w:szCs w:val="17"/>
                <w:lang w:val="en-GB" w:bidi="th-TH"/>
              </w:rPr>
            </w:pPr>
            <w:r w:rsidRPr="000E3A36">
              <w:rPr>
                <w:sz w:val="17"/>
                <w:szCs w:val="17"/>
                <w:lang w:val="en-GB" w:bidi="th-TH"/>
              </w:rPr>
              <w:t>Rank</w:t>
            </w:r>
          </w:p>
        </w:tc>
        <w:tc>
          <w:tcPr>
            <w:tcW w:w="630" w:type="dxa"/>
            <w:gridSpan w:val="2"/>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6D888681" w14:textId="77777777" w:rsidR="00A345CE" w:rsidRPr="000E3A36" w:rsidRDefault="00A345CE" w:rsidP="003B6CDA">
            <w:pPr>
              <w:rPr>
                <w:rFonts w:eastAsia="Arial Unicode MS"/>
                <w:sz w:val="17"/>
                <w:szCs w:val="17"/>
                <w:lang w:val="en-GB" w:bidi="th-TH"/>
              </w:rPr>
            </w:pPr>
            <w:r w:rsidRPr="000E3A36">
              <w:rPr>
                <w:sz w:val="17"/>
                <w:szCs w:val="17"/>
                <w:lang w:val="en-GB" w:bidi="th-TH"/>
              </w:rPr>
              <w:t>Score</w:t>
            </w:r>
          </w:p>
        </w:tc>
        <w:tc>
          <w:tcPr>
            <w:tcW w:w="540" w:type="dxa"/>
            <w:gridSpan w:val="3"/>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299D01DE" w14:textId="77777777" w:rsidR="00A345CE" w:rsidRPr="000E3A36" w:rsidRDefault="00A345CE" w:rsidP="003B6CDA">
            <w:pPr>
              <w:rPr>
                <w:rFonts w:eastAsia="Arial Unicode MS"/>
                <w:sz w:val="17"/>
                <w:szCs w:val="17"/>
                <w:lang w:val="en-GB" w:bidi="th-TH"/>
              </w:rPr>
            </w:pPr>
            <w:r w:rsidRPr="000E3A36">
              <w:rPr>
                <w:sz w:val="17"/>
                <w:szCs w:val="17"/>
                <w:lang w:val="en-GB" w:bidi="th-TH"/>
              </w:rPr>
              <w:t>Rank</w:t>
            </w:r>
          </w:p>
        </w:tc>
        <w:tc>
          <w:tcPr>
            <w:tcW w:w="565" w:type="dxa"/>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075D76FF" w14:textId="77777777" w:rsidR="00A345CE" w:rsidRPr="000E3A36" w:rsidRDefault="00A345CE" w:rsidP="003B6CDA">
            <w:pPr>
              <w:rPr>
                <w:rFonts w:eastAsia="Arial Unicode MS"/>
                <w:sz w:val="17"/>
                <w:szCs w:val="17"/>
                <w:lang w:val="en-GB" w:bidi="th-TH"/>
              </w:rPr>
            </w:pPr>
            <w:r w:rsidRPr="000E3A36">
              <w:rPr>
                <w:sz w:val="17"/>
                <w:szCs w:val="17"/>
                <w:lang w:val="en-GB" w:bidi="th-TH"/>
              </w:rPr>
              <w:t>Score</w:t>
            </w:r>
          </w:p>
        </w:tc>
        <w:tc>
          <w:tcPr>
            <w:tcW w:w="450" w:type="dxa"/>
            <w:gridSpan w:val="2"/>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27AAC3D8" w14:textId="77777777" w:rsidR="00A345CE" w:rsidRPr="000E3A36" w:rsidRDefault="00A345CE" w:rsidP="003B6CDA">
            <w:pPr>
              <w:rPr>
                <w:rFonts w:eastAsia="Arial Unicode MS"/>
                <w:sz w:val="17"/>
                <w:szCs w:val="17"/>
                <w:lang w:val="en-GB" w:bidi="th-TH"/>
              </w:rPr>
            </w:pPr>
            <w:r w:rsidRPr="000E3A36">
              <w:rPr>
                <w:sz w:val="17"/>
                <w:szCs w:val="17"/>
                <w:lang w:val="en-GB" w:bidi="th-TH"/>
              </w:rPr>
              <w:t>Rank</w:t>
            </w:r>
          </w:p>
        </w:tc>
        <w:tc>
          <w:tcPr>
            <w:tcW w:w="540" w:type="dxa"/>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5D27F994" w14:textId="77777777" w:rsidR="00A345CE" w:rsidRPr="000E3A36" w:rsidRDefault="00A345CE" w:rsidP="003B6CDA">
            <w:pPr>
              <w:rPr>
                <w:rFonts w:eastAsia="Arial Unicode MS"/>
                <w:sz w:val="17"/>
                <w:szCs w:val="17"/>
                <w:lang w:val="en-GB" w:bidi="th-TH"/>
              </w:rPr>
            </w:pPr>
            <w:r w:rsidRPr="000E3A36">
              <w:rPr>
                <w:sz w:val="17"/>
                <w:szCs w:val="17"/>
                <w:lang w:val="en-GB" w:bidi="th-TH"/>
              </w:rPr>
              <w:t>Score</w:t>
            </w:r>
          </w:p>
        </w:tc>
        <w:tc>
          <w:tcPr>
            <w:tcW w:w="720" w:type="dxa"/>
            <w:tcBorders>
              <w:top w:val="single" w:sz="12" w:space="0" w:color="auto"/>
              <w:left w:val="nil"/>
              <w:bottom w:val="single" w:sz="4" w:space="0" w:color="auto"/>
              <w:right w:val="single" w:sz="12" w:space="0" w:color="auto"/>
            </w:tcBorders>
            <w:noWrap/>
            <w:tcMar>
              <w:top w:w="15" w:type="dxa"/>
              <w:left w:w="15" w:type="dxa"/>
              <w:bottom w:w="0" w:type="dxa"/>
              <w:right w:w="15" w:type="dxa"/>
            </w:tcMar>
            <w:vAlign w:val="center"/>
          </w:tcPr>
          <w:p w14:paraId="619E80E0" w14:textId="77777777" w:rsidR="00A345CE" w:rsidRPr="000E3A36" w:rsidRDefault="00A345CE" w:rsidP="003B6CDA">
            <w:pPr>
              <w:rPr>
                <w:rFonts w:eastAsia="Arial Unicode MS"/>
                <w:sz w:val="17"/>
                <w:szCs w:val="17"/>
                <w:lang w:val="en-GB" w:bidi="th-TH"/>
              </w:rPr>
            </w:pPr>
            <w:r w:rsidRPr="000E3A36">
              <w:rPr>
                <w:sz w:val="17"/>
                <w:szCs w:val="17"/>
                <w:lang w:val="en-GB" w:bidi="th-TH"/>
              </w:rPr>
              <w:t>Weighted Score</w:t>
            </w:r>
          </w:p>
        </w:tc>
      </w:tr>
      <w:tr w:rsidR="00A345CE" w:rsidRPr="000E3A36" w14:paraId="04762224" w14:textId="77777777" w:rsidTr="003B6CDA">
        <w:trPr>
          <w:jc w:val="center"/>
        </w:trPr>
        <w:tc>
          <w:tcPr>
            <w:tcW w:w="2735" w:type="dxa"/>
            <w:tcBorders>
              <w:top w:val="single" w:sz="12" w:space="0" w:color="auto"/>
              <w:left w:val="single" w:sz="12" w:space="0" w:color="auto"/>
              <w:bottom w:val="single" w:sz="4" w:space="0" w:color="auto"/>
              <w:right w:val="single" w:sz="4" w:space="0" w:color="auto"/>
            </w:tcBorders>
            <w:noWrap/>
            <w:tcMar>
              <w:top w:w="15" w:type="dxa"/>
              <w:left w:w="15" w:type="dxa"/>
              <w:bottom w:w="0" w:type="dxa"/>
              <w:right w:w="15" w:type="dxa"/>
            </w:tcMar>
            <w:vAlign w:val="center"/>
          </w:tcPr>
          <w:p w14:paraId="09956558" w14:textId="77777777" w:rsidR="00A345CE" w:rsidRPr="000E3A36" w:rsidRDefault="00A345CE" w:rsidP="003B6CDA">
            <w:pPr>
              <w:rPr>
                <w:rFonts w:eastAsia="Arial Unicode MS"/>
                <w:b/>
                <w:bCs/>
                <w:sz w:val="17"/>
                <w:szCs w:val="17"/>
                <w:lang w:val="en-GB" w:bidi="th-TH"/>
              </w:rPr>
            </w:pPr>
            <w:r w:rsidRPr="000E3A36">
              <w:rPr>
                <w:b/>
                <w:bCs/>
                <w:sz w:val="17"/>
                <w:szCs w:val="17"/>
                <w:lang w:val="en-GB" w:bidi="th-TH"/>
              </w:rPr>
              <w:t>Direct threats</w:t>
            </w:r>
          </w:p>
        </w:tc>
        <w:tc>
          <w:tcPr>
            <w:tcW w:w="418" w:type="dxa"/>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435D9E2F" w14:textId="77777777" w:rsidR="00A345CE" w:rsidRPr="000E3A36" w:rsidRDefault="00A345CE" w:rsidP="003B6CDA">
            <w:pPr>
              <w:jc w:val="both"/>
              <w:rPr>
                <w:rFonts w:eastAsia="Arial Unicode MS"/>
                <w:i/>
                <w:iCs/>
                <w:sz w:val="17"/>
                <w:szCs w:val="17"/>
                <w:lang w:val="en-GB" w:bidi="th-TH"/>
              </w:rPr>
            </w:pPr>
          </w:p>
        </w:tc>
        <w:tc>
          <w:tcPr>
            <w:tcW w:w="518" w:type="dxa"/>
            <w:gridSpan w:val="2"/>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798A5A45" w14:textId="77777777" w:rsidR="00A345CE" w:rsidRPr="000E3A36" w:rsidRDefault="00A345CE" w:rsidP="003B6CDA">
            <w:pPr>
              <w:jc w:val="both"/>
              <w:rPr>
                <w:rFonts w:eastAsia="Arial Unicode MS"/>
                <w:i/>
                <w:iCs/>
                <w:sz w:val="17"/>
                <w:szCs w:val="17"/>
                <w:lang w:val="en-GB" w:bidi="th-TH"/>
              </w:rPr>
            </w:pPr>
          </w:p>
        </w:tc>
        <w:tc>
          <w:tcPr>
            <w:tcW w:w="422" w:type="dxa"/>
            <w:gridSpan w:val="3"/>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4BB60A2B" w14:textId="77777777" w:rsidR="00A345CE" w:rsidRPr="000E3A36" w:rsidRDefault="00A345CE" w:rsidP="003B6CDA">
            <w:pPr>
              <w:rPr>
                <w:rFonts w:eastAsia="Arial Unicode MS"/>
                <w:sz w:val="17"/>
                <w:szCs w:val="17"/>
                <w:lang w:val="en-GB" w:bidi="th-TH"/>
              </w:rPr>
            </w:pPr>
          </w:p>
        </w:tc>
        <w:tc>
          <w:tcPr>
            <w:tcW w:w="518" w:type="dxa"/>
            <w:gridSpan w:val="2"/>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21B0EC43" w14:textId="77777777" w:rsidR="00A345CE" w:rsidRPr="000E3A36" w:rsidRDefault="00A345CE" w:rsidP="003B6CDA">
            <w:pPr>
              <w:rPr>
                <w:rFonts w:eastAsia="Arial Unicode MS"/>
                <w:sz w:val="17"/>
                <w:szCs w:val="17"/>
                <w:lang w:val="en-GB" w:bidi="th-TH"/>
              </w:rPr>
            </w:pPr>
          </w:p>
        </w:tc>
        <w:tc>
          <w:tcPr>
            <w:tcW w:w="418" w:type="dxa"/>
            <w:gridSpan w:val="2"/>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1B649B9C" w14:textId="77777777" w:rsidR="00A345CE" w:rsidRPr="000E3A36" w:rsidRDefault="00A345CE" w:rsidP="003B6CDA">
            <w:pPr>
              <w:rPr>
                <w:rFonts w:eastAsia="Arial Unicode MS"/>
                <w:sz w:val="17"/>
                <w:szCs w:val="17"/>
                <w:lang w:val="en-GB" w:bidi="th-TH"/>
              </w:rPr>
            </w:pPr>
          </w:p>
        </w:tc>
        <w:tc>
          <w:tcPr>
            <w:tcW w:w="483" w:type="dxa"/>
            <w:gridSpan w:val="3"/>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7DB27E45" w14:textId="77777777" w:rsidR="00A345CE" w:rsidRPr="000E3A36" w:rsidRDefault="00A345CE" w:rsidP="003B6CDA">
            <w:pPr>
              <w:rPr>
                <w:rFonts w:eastAsia="Arial Unicode MS"/>
                <w:sz w:val="17"/>
                <w:szCs w:val="17"/>
                <w:lang w:val="en-GB" w:bidi="th-TH"/>
              </w:rPr>
            </w:pPr>
          </w:p>
        </w:tc>
        <w:tc>
          <w:tcPr>
            <w:tcW w:w="418" w:type="dxa"/>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43A30BA9" w14:textId="77777777" w:rsidR="00A345CE" w:rsidRPr="000E3A36" w:rsidRDefault="00A345CE" w:rsidP="003B6CDA">
            <w:pPr>
              <w:rPr>
                <w:rFonts w:eastAsia="Arial Unicode MS"/>
                <w:sz w:val="17"/>
                <w:szCs w:val="17"/>
                <w:lang w:val="en-GB" w:bidi="th-TH"/>
              </w:rPr>
            </w:pPr>
          </w:p>
        </w:tc>
        <w:tc>
          <w:tcPr>
            <w:tcW w:w="630" w:type="dxa"/>
            <w:gridSpan w:val="2"/>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61033021" w14:textId="77777777" w:rsidR="00A345CE" w:rsidRPr="000E3A36" w:rsidRDefault="00A345CE" w:rsidP="003B6CDA">
            <w:pPr>
              <w:rPr>
                <w:rFonts w:eastAsia="Arial Unicode MS"/>
                <w:sz w:val="17"/>
                <w:szCs w:val="17"/>
                <w:lang w:val="en-GB" w:bidi="th-TH"/>
              </w:rPr>
            </w:pPr>
          </w:p>
        </w:tc>
        <w:tc>
          <w:tcPr>
            <w:tcW w:w="540" w:type="dxa"/>
            <w:gridSpan w:val="3"/>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525A44BE" w14:textId="77777777" w:rsidR="00A345CE" w:rsidRPr="000E3A36" w:rsidRDefault="00A345CE" w:rsidP="003B6CDA">
            <w:pPr>
              <w:rPr>
                <w:rFonts w:eastAsia="Arial Unicode MS"/>
                <w:sz w:val="17"/>
                <w:szCs w:val="17"/>
                <w:lang w:val="en-GB" w:bidi="th-TH"/>
              </w:rPr>
            </w:pPr>
          </w:p>
        </w:tc>
        <w:tc>
          <w:tcPr>
            <w:tcW w:w="565" w:type="dxa"/>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6C0C164C" w14:textId="77777777" w:rsidR="00A345CE" w:rsidRPr="000E3A36" w:rsidRDefault="00A345CE" w:rsidP="003B6CDA">
            <w:pPr>
              <w:rPr>
                <w:rFonts w:eastAsia="Arial Unicode MS"/>
                <w:sz w:val="17"/>
                <w:szCs w:val="17"/>
                <w:lang w:val="en-GB" w:bidi="th-TH"/>
              </w:rPr>
            </w:pPr>
          </w:p>
        </w:tc>
        <w:tc>
          <w:tcPr>
            <w:tcW w:w="450" w:type="dxa"/>
            <w:gridSpan w:val="2"/>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26C04351" w14:textId="77777777" w:rsidR="00A345CE" w:rsidRPr="000E3A36" w:rsidRDefault="00A345CE" w:rsidP="003B6CDA">
            <w:pPr>
              <w:rPr>
                <w:rFonts w:eastAsia="Arial Unicode MS"/>
                <w:sz w:val="17"/>
                <w:szCs w:val="17"/>
                <w:lang w:val="en-GB" w:bidi="th-TH"/>
              </w:rPr>
            </w:pPr>
          </w:p>
        </w:tc>
        <w:tc>
          <w:tcPr>
            <w:tcW w:w="540" w:type="dxa"/>
            <w:tcBorders>
              <w:top w:val="single" w:sz="12" w:space="0" w:color="auto"/>
              <w:left w:val="nil"/>
              <w:bottom w:val="single" w:sz="4" w:space="0" w:color="auto"/>
              <w:right w:val="single" w:sz="4" w:space="0" w:color="auto"/>
            </w:tcBorders>
            <w:noWrap/>
            <w:tcMar>
              <w:top w:w="15" w:type="dxa"/>
              <w:left w:w="15" w:type="dxa"/>
              <w:bottom w:w="0" w:type="dxa"/>
              <w:right w:w="15" w:type="dxa"/>
            </w:tcMar>
            <w:vAlign w:val="center"/>
          </w:tcPr>
          <w:p w14:paraId="38E34EDF" w14:textId="77777777" w:rsidR="00A345CE" w:rsidRPr="000E3A36" w:rsidRDefault="00A345CE" w:rsidP="003B6CDA">
            <w:pPr>
              <w:rPr>
                <w:rFonts w:eastAsia="Arial Unicode MS"/>
                <w:sz w:val="17"/>
                <w:szCs w:val="17"/>
                <w:lang w:val="en-GB" w:bidi="th-TH"/>
              </w:rPr>
            </w:pPr>
          </w:p>
        </w:tc>
        <w:tc>
          <w:tcPr>
            <w:tcW w:w="720" w:type="dxa"/>
            <w:tcBorders>
              <w:top w:val="single" w:sz="12" w:space="0" w:color="auto"/>
              <w:left w:val="nil"/>
              <w:bottom w:val="single" w:sz="4" w:space="0" w:color="auto"/>
              <w:right w:val="single" w:sz="12" w:space="0" w:color="auto"/>
            </w:tcBorders>
            <w:noWrap/>
            <w:tcMar>
              <w:top w:w="15" w:type="dxa"/>
              <w:left w:w="15" w:type="dxa"/>
              <w:bottom w:w="0" w:type="dxa"/>
              <w:right w:w="15" w:type="dxa"/>
            </w:tcMar>
            <w:vAlign w:val="center"/>
          </w:tcPr>
          <w:p w14:paraId="03558FB1" w14:textId="77777777" w:rsidR="00A345CE" w:rsidRPr="000E3A36" w:rsidRDefault="00A345CE" w:rsidP="003B6CDA">
            <w:pPr>
              <w:rPr>
                <w:rFonts w:eastAsia="Arial Unicode MS"/>
                <w:sz w:val="17"/>
                <w:szCs w:val="17"/>
                <w:lang w:val="en-GB" w:bidi="th-TH"/>
              </w:rPr>
            </w:pPr>
          </w:p>
        </w:tc>
      </w:tr>
      <w:tr w:rsidR="00A345CE" w:rsidRPr="000E3A36" w14:paraId="2E286E65" w14:textId="77777777" w:rsidTr="003B6CDA">
        <w:trPr>
          <w:jc w:val="center"/>
        </w:trPr>
        <w:tc>
          <w:tcPr>
            <w:tcW w:w="2735" w:type="dxa"/>
            <w:tcBorders>
              <w:top w:val="nil"/>
              <w:left w:val="single" w:sz="12" w:space="0" w:color="auto"/>
              <w:bottom w:val="single" w:sz="4" w:space="0" w:color="auto"/>
              <w:right w:val="single" w:sz="4" w:space="0" w:color="auto"/>
            </w:tcBorders>
            <w:noWrap/>
            <w:tcMar>
              <w:top w:w="15" w:type="dxa"/>
              <w:left w:w="15" w:type="dxa"/>
              <w:bottom w:w="0" w:type="dxa"/>
              <w:right w:w="15" w:type="dxa"/>
            </w:tcMar>
            <w:vAlign w:val="center"/>
          </w:tcPr>
          <w:p w14:paraId="43087254" w14:textId="77777777" w:rsidR="00A345CE" w:rsidRPr="000E3A36" w:rsidRDefault="00A345CE" w:rsidP="003B6CDA">
            <w:pPr>
              <w:rPr>
                <w:rFonts w:eastAsia="Arial Unicode MS"/>
                <w:sz w:val="17"/>
                <w:szCs w:val="17"/>
                <w:lang w:val="en-GB"/>
              </w:rPr>
            </w:pPr>
            <w:r w:rsidRPr="000E3A36">
              <w:rPr>
                <w:sz w:val="17"/>
                <w:szCs w:val="17"/>
                <w:lang w:val="en-GB"/>
              </w:rPr>
              <w:t>Over-fishing</w:t>
            </w:r>
          </w:p>
        </w:tc>
        <w:tc>
          <w:tcPr>
            <w:tcW w:w="418"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616E3A6" w14:textId="77777777" w:rsidR="00A345CE" w:rsidRPr="000E3A36" w:rsidRDefault="00A345CE" w:rsidP="003B6CDA">
            <w:pPr>
              <w:jc w:val="center"/>
              <w:rPr>
                <w:sz w:val="17"/>
                <w:szCs w:val="17"/>
                <w:lang w:val="en-GB"/>
              </w:rPr>
            </w:pPr>
            <w:r w:rsidRPr="000E3A36">
              <w:rPr>
                <w:sz w:val="17"/>
                <w:szCs w:val="17"/>
                <w:lang w:val="en-GB"/>
              </w:rPr>
              <w:t>1</w:t>
            </w:r>
          </w:p>
        </w:tc>
        <w:tc>
          <w:tcPr>
            <w:tcW w:w="5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272816B2" w14:textId="77777777" w:rsidR="00A345CE" w:rsidRPr="000E3A36" w:rsidRDefault="00A345CE" w:rsidP="003B6CDA">
            <w:pPr>
              <w:ind w:right="72"/>
              <w:jc w:val="right"/>
              <w:rPr>
                <w:rFonts w:eastAsia="Arial Unicode MS"/>
                <w:sz w:val="17"/>
                <w:szCs w:val="17"/>
                <w:lang w:val="en-GB" w:bidi="th-TH"/>
              </w:rPr>
            </w:pPr>
            <w:r w:rsidRPr="000E3A36">
              <w:rPr>
                <w:sz w:val="17"/>
                <w:szCs w:val="17"/>
                <w:lang w:val="en-GB" w:bidi="th-TH"/>
              </w:rPr>
              <w:t>0.4</w:t>
            </w:r>
          </w:p>
        </w:tc>
        <w:tc>
          <w:tcPr>
            <w:tcW w:w="422"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47FB77C4" w14:textId="77777777" w:rsidR="00A345CE" w:rsidRPr="000E3A36" w:rsidRDefault="00A345CE" w:rsidP="003B6CDA">
            <w:pPr>
              <w:jc w:val="center"/>
              <w:rPr>
                <w:sz w:val="17"/>
                <w:szCs w:val="17"/>
                <w:lang w:val="en-GB"/>
              </w:rPr>
            </w:pPr>
            <w:r w:rsidRPr="000E3A36">
              <w:rPr>
                <w:sz w:val="17"/>
                <w:szCs w:val="17"/>
                <w:lang w:val="en-GB"/>
              </w:rPr>
              <w:t>1</w:t>
            </w:r>
          </w:p>
        </w:tc>
        <w:tc>
          <w:tcPr>
            <w:tcW w:w="5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152E7086" w14:textId="77777777" w:rsidR="00A345CE" w:rsidRPr="000E3A36" w:rsidRDefault="00A345CE" w:rsidP="003B6CDA">
            <w:pPr>
              <w:ind w:right="72"/>
              <w:jc w:val="right"/>
              <w:rPr>
                <w:sz w:val="17"/>
                <w:szCs w:val="17"/>
                <w:lang w:val="en-GB" w:bidi="th-TH"/>
              </w:rPr>
            </w:pPr>
            <w:r w:rsidRPr="000E3A36">
              <w:rPr>
                <w:sz w:val="17"/>
                <w:szCs w:val="17"/>
                <w:lang w:val="en-GB" w:bidi="th-TH"/>
              </w:rPr>
              <w:t>5.2</w:t>
            </w:r>
          </w:p>
        </w:tc>
        <w:tc>
          <w:tcPr>
            <w:tcW w:w="4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319F81BF" w14:textId="77777777" w:rsidR="00A345CE" w:rsidRPr="000E3A36" w:rsidRDefault="00A345CE" w:rsidP="003B6CDA">
            <w:pPr>
              <w:jc w:val="center"/>
              <w:rPr>
                <w:sz w:val="17"/>
                <w:szCs w:val="17"/>
                <w:lang w:val="en-GB"/>
              </w:rPr>
            </w:pPr>
            <w:r w:rsidRPr="000E3A36">
              <w:rPr>
                <w:sz w:val="17"/>
                <w:szCs w:val="17"/>
                <w:lang w:val="en-GB"/>
              </w:rPr>
              <w:t>5</w:t>
            </w:r>
          </w:p>
        </w:tc>
        <w:tc>
          <w:tcPr>
            <w:tcW w:w="483"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4F4157A6" w14:textId="77777777" w:rsidR="00A345CE" w:rsidRPr="000E3A36" w:rsidRDefault="00A345CE" w:rsidP="003B6CDA">
            <w:pPr>
              <w:ind w:right="72"/>
              <w:jc w:val="right"/>
              <w:rPr>
                <w:sz w:val="17"/>
                <w:szCs w:val="17"/>
                <w:lang w:val="en-GB" w:bidi="th-TH"/>
              </w:rPr>
            </w:pPr>
            <w:r w:rsidRPr="000E3A36">
              <w:rPr>
                <w:sz w:val="17"/>
                <w:szCs w:val="17"/>
                <w:lang w:val="en-GB" w:bidi="th-TH"/>
              </w:rPr>
              <w:t>29.0</w:t>
            </w:r>
          </w:p>
        </w:tc>
        <w:tc>
          <w:tcPr>
            <w:tcW w:w="418"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8CC5E4A" w14:textId="77777777" w:rsidR="00A345CE" w:rsidRPr="000E3A36" w:rsidRDefault="00A345CE" w:rsidP="003B6CDA">
            <w:pPr>
              <w:jc w:val="center"/>
              <w:rPr>
                <w:sz w:val="17"/>
                <w:szCs w:val="17"/>
                <w:lang w:val="en-GB"/>
              </w:rPr>
            </w:pPr>
            <w:r w:rsidRPr="000E3A36">
              <w:rPr>
                <w:sz w:val="17"/>
                <w:szCs w:val="17"/>
                <w:lang w:val="en-GB"/>
              </w:rPr>
              <w:t>1</w:t>
            </w:r>
          </w:p>
        </w:tc>
        <w:tc>
          <w:tcPr>
            <w:tcW w:w="63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7349EE55" w14:textId="77777777" w:rsidR="00A345CE" w:rsidRPr="000E3A36" w:rsidRDefault="00A345CE" w:rsidP="003B6CDA">
            <w:pPr>
              <w:ind w:right="72"/>
              <w:jc w:val="right"/>
              <w:rPr>
                <w:sz w:val="17"/>
                <w:szCs w:val="17"/>
                <w:lang w:val="en-GB" w:bidi="th-TH"/>
              </w:rPr>
            </w:pPr>
            <w:r w:rsidRPr="000E3A36">
              <w:rPr>
                <w:sz w:val="17"/>
                <w:szCs w:val="17"/>
                <w:lang w:val="en-GB" w:bidi="th-TH"/>
              </w:rPr>
              <w:t>61.9</w:t>
            </w:r>
          </w:p>
        </w:tc>
        <w:tc>
          <w:tcPr>
            <w:tcW w:w="540"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76492E95" w14:textId="77777777" w:rsidR="00A345CE" w:rsidRPr="000E3A36" w:rsidRDefault="00A345CE" w:rsidP="003B6CDA">
            <w:pPr>
              <w:jc w:val="center"/>
              <w:rPr>
                <w:sz w:val="17"/>
                <w:szCs w:val="17"/>
                <w:lang w:val="en-GB"/>
              </w:rPr>
            </w:pPr>
            <w:r w:rsidRPr="000E3A36">
              <w:rPr>
                <w:sz w:val="17"/>
                <w:szCs w:val="17"/>
                <w:lang w:val="en-GB"/>
              </w:rPr>
              <w:t>7</w:t>
            </w:r>
          </w:p>
        </w:tc>
        <w:tc>
          <w:tcPr>
            <w:tcW w:w="565"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08D0622" w14:textId="77777777" w:rsidR="00A345CE" w:rsidRPr="000E3A36" w:rsidRDefault="00A345CE" w:rsidP="003B6CDA">
            <w:pPr>
              <w:ind w:right="72"/>
              <w:jc w:val="right"/>
              <w:rPr>
                <w:sz w:val="17"/>
                <w:szCs w:val="17"/>
                <w:lang w:val="en-GB" w:bidi="th-TH"/>
              </w:rPr>
            </w:pPr>
            <w:r w:rsidRPr="000E3A36">
              <w:rPr>
                <w:sz w:val="17"/>
                <w:szCs w:val="17"/>
                <w:lang w:val="en-GB" w:bidi="th-TH"/>
              </w:rPr>
              <w:t>84.07</w:t>
            </w:r>
          </w:p>
        </w:tc>
        <w:tc>
          <w:tcPr>
            <w:tcW w:w="45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6D3137DE" w14:textId="77777777" w:rsidR="00A345CE" w:rsidRPr="000E3A36" w:rsidRDefault="00A345CE" w:rsidP="003B6CDA">
            <w:pPr>
              <w:jc w:val="center"/>
              <w:rPr>
                <w:sz w:val="17"/>
                <w:szCs w:val="17"/>
                <w:lang w:val="en-GB"/>
              </w:rPr>
            </w:pPr>
            <w:r w:rsidRPr="000E3A36">
              <w:rPr>
                <w:sz w:val="17"/>
                <w:szCs w:val="17"/>
                <w:lang w:val="en-GB"/>
              </w:rPr>
              <w:t>1</w:t>
            </w:r>
          </w:p>
        </w:tc>
        <w:tc>
          <w:tcPr>
            <w:tcW w:w="54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43920AF" w14:textId="77777777" w:rsidR="00A345CE" w:rsidRPr="000E3A36" w:rsidRDefault="00A345CE" w:rsidP="003B6CDA">
            <w:pPr>
              <w:ind w:right="36"/>
              <w:jc w:val="right"/>
              <w:rPr>
                <w:rFonts w:eastAsia="Arial Unicode MS"/>
                <w:sz w:val="17"/>
                <w:szCs w:val="17"/>
                <w:lang w:val="en-GB" w:bidi="th-TH"/>
              </w:rPr>
            </w:pPr>
            <w:r w:rsidRPr="000E3A36">
              <w:rPr>
                <w:sz w:val="17"/>
                <w:szCs w:val="17"/>
                <w:lang w:val="en-GB" w:bidi="th-TH"/>
              </w:rPr>
              <w:t>14.69</w:t>
            </w:r>
          </w:p>
        </w:tc>
        <w:tc>
          <w:tcPr>
            <w:tcW w:w="720" w:type="dxa"/>
            <w:tcBorders>
              <w:top w:val="single" w:sz="4" w:space="0" w:color="auto"/>
              <w:left w:val="nil"/>
              <w:bottom w:val="single" w:sz="4" w:space="0" w:color="auto"/>
              <w:right w:val="single" w:sz="12" w:space="0" w:color="auto"/>
            </w:tcBorders>
            <w:noWrap/>
            <w:tcMar>
              <w:top w:w="15" w:type="dxa"/>
              <w:left w:w="15" w:type="dxa"/>
              <w:bottom w:w="0" w:type="dxa"/>
              <w:right w:w="15" w:type="dxa"/>
            </w:tcMar>
            <w:vAlign w:val="center"/>
          </w:tcPr>
          <w:p w14:paraId="6EA795BD" w14:textId="77777777" w:rsidR="00A345CE" w:rsidRPr="000E3A36" w:rsidRDefault="00A345CE" w:rsidP="003B6CDA">
            <w:pPr>
              <w:ind w:right="72"/>
              <w:jc w:val="right"/>
              <w:rPr>
                <w:sz w:val="17"/>
                <w:szCs w:val="17"/>
                <w:lang w:val="en-GB" w:bidi="th-TH"/>
              </w:rPr>
            </w:pPr>
            <w:r w:rsidRPr="000E3A36">
              <w:rPr>
                <w:sz w:val="17"/>
                <w:szCs w:val="17"/>
                <w:lang w:val="en-GB" w:bidi="th-TH"/>
              </w:rPr>
              <w:t>195.2</w:t>
            </w:r>
          </w:p>
        </w:tc>
      </w:tr>
      <w:tr w:rsidR="00A345CE" w:rsidRPr="000E3A36" w14:paraId="1361C99F" w14:textId="77777777" w:rsidTr="003B6CDA">
        <w:trPr>
          <w:jc w:val="center"/>
        </w:trPr>
        <w:tc>
          <w:tcPr>
            <w:tcW w:w="2735" w:type="dxa"/>
            <w:tcBorders>
              <w:top w:val="nil"/>
              <w:left w:val="single" w:sz="12" w:space="0" w:color="auto"/>
              <w:bottom w:val="single" w:sz="4" w:space="0" w:color="auto"/>
              <w:right w:val="single" w:sz="4" w:space="0" w:color="auto"/>
            </w:tcBorders>
            <w:noWrap/>
            <w:tcMar>
              <w:top w:w="15" w:type="dxa"/>
              <w:left w:w="15" w:type="dxa"/>
              <w:bottom w:w="0" w:type="dxa"/>
              <w:right w:w="15" w:type="dxa"/>
            </w:tcMar>
            <w:vAlign w:val="center"/>
          </w:tcPr>
          <w:p w14:paraId="601FE08C" w14:textId="77777777" w:rsidR="00A345CE" w:rsidRPr="000E3A36" w:rsidRDefault="00A345CE" w:rsidP="003B6CDA">
            <w:pPr>
              <w:rPr>
                <w:rFonts w:eastAsia="Arial Unicode MS"/>
                <w:sz w:val="17"/>
                <w:szCs w:val="17"/>
                <w:lang w:val="en-GB" w:bidi="th-TH"/>
              </w:rPr>
            </w:pPr>
            <w:r w:rsidRPr="000E3A36">
              <w:rPr>
                <w:sz w:val="17"/>
                <w:szCs w:val="17"/>
                <w:lang w:val="en-GB" w:bidi="th-TH"/>
              </w:rPr>
              <w:t>Destructive fishing</w:t>
            </w:r>
          </w:p>
        </w:tc>
        <w:tc>
          <w:tcPr>
            <w:tcW w:w="418"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1F63C1E"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2</w:t>
            </w:r>
          </w:p>
        </w:tc>
        <w:tc>
          <w:tcPr>
            <w:tcW w:w="5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1E6D1BE6" w14:textId="77777777" w:rsidR="00A345CE" w:rsidRPr="000E3A36" w:rsidRDefault="00A345CE" w:rsidP="003B6CDA">
            <w:pPr>
              <w:ind w:right="72"/>
              <w:jc w:val="right"/>
              <w:rPr>
                <w:rFonts w:eastAsia="Arial Unicode MS"/>
                <w:sz w:val="17"/>
                <w:szCs w:val="17"/>
                <w:lang w:val="en-GB" w:bidi="th-TH"/>
              </w:rPr>
            </w:pPr>
            <w:r w:rsidRPr="000E3A36">
              <w:rPr>
                <w:sz w:val="17"/>
                <w:szCs w:val="17"/>
                <w:lang w:val="en-GB" w:bidi="th-TH"/>
              </w:rPr>
              <w:t>0.7</w:t>
            </w:r>
          </w:p>
        </w:tc>
        <w:tc>
          <w:tcPr>
            <w:tcW w:w="422"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5AD40797"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2</w:t>
            </w:r>
          </w:p>
        </w:tc>
        <w:tc>
          <w:tcPr>
            <w:tcW w:w="5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13341F2C" w14:textId="77777777" w:rsidR="00A345CE" w:rsidRPr="000E3A36" w:rsidRDefault="00A345CE" w:rsidP="003B6CDA">
            <w:pPr>
              <w:ind w:right="72"/>
              <w:jc w:val="right"/>
              <w:rPr>
                <w:sz w:val="17"/>
                <w:szCs w:val="17"/>
                <w:lang w:val="en-GB" w:bidi="th-TH"/>
              </w:rPr>
            </w:pPr>
            <w:r w:rsidRPr="000E3A36">
              <w:rPr>
                <w:sz w:val="17"/>
                <w:szCs w:val="17"/>
                <w:lang w:val="en-GB" w:bidi="th-TH"/>
              </w:rPr>
              <w:t>10.5</w:t>
            </w:r>
          </w:p>
        </w:tc>
        <w:tc>
          <w:tcPr>
            <w:tcW w:w="4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519CA35D"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2</w:t>
            </w:r>
          </w:p>
        </w:tc>
        <w:tc>
          <w:tcPr>
            <w:tcW w:w="483"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01341276" w14:textId="77777777" w:rsidR="00A345CE" w:rsidRPr="000E3A36" w:rsidRDefault="00A345CE" w:rsidP="003B6CDA">
            <w:pPr>
              <w:ind w:right="72"/>
              <w:jc w:val="right"/>
              <w:rPr>
                <w:sz w:val="17"/>
                <w:szCs w:val="17"/>
                <w:lang w:val="en-GB" w:bidi="th-TH"/>
              </w:rPr>
            </w:pPr>
            <w:r w:rsidRPr="000E3A36">
              <w:rPr>
                <w:sz w:val="17"/>
                <w:szCs w:val="17"/>
                <w:lang w:val="en-GB" w:bidi="th-TH"/>
              </w:rPr>
              <w:t>11.6</w:t>
            </w:r>
          </w:p>
        </w:tc>
        <w:tc>
          <w:tcPr>
            <w:tcW w:w="418"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5B4ED04"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2</w:t>
            </w:r>
          </w:p>
        </w:tc>
        <w:tc>
          <w:tcPr>
            <w:tcW w:w="63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48F59C7A" w14:textId="77777777" w:rsidR="00A345CE" w:rsidRPr="000E3A36" w:rsidRDefault="00A345CE" w:rsidP="003B6CDA">
            <w:pPr>
              <w:ind w:right="72"/>
              <w:jc w:val="right"/>
              <w:rPr>
                <w:sz w:val="17"/>
                <w:szCs w:val="17"/>
                <w:lang w:val="en-GB" w:bidi="th-TH"/>
              </w:rPr>
            </w:pPr>
            <w:r w:rsidRPr="000E3A36">
              <w:rPr>
                <w:sz w:val="17"/>
                <w:szCs w:val="17"/>
                <w:lang w:val="en-GB" w:bidi="th-TH"/>
              </w:rPr>
              <w:t>123.8</w:t>
            </w:r>
          </w:p>
        </w:tc>
        <w:tc>
          <w:tcPr>
            <w:tcW w:w="540"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1180DA73"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5</w:t>
            </w:r>
          </w:p>
        </w:tc>
        <w:tc>
          <w:tcPr>
            <w:tcW w:w="565"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749375C" w14:textId="77777777" w:rsidR="00A345CE" w:rsidRPr="000E3A36" w:rsidRDefault="00A345CE" w:rsidP="003B6CDA">
            <w:pPr>
              <w:ind w:right="72"/>
              <w:jc w:val="right"/>
              <w:rPr>
                <w:sz w:val="17"/>
                <w:szCs w:val="17"/>
                <w:lang w:val="en-GB" w:bidi="th-TH"/>
              </w:rPr>
            </w:pPr>
            <w:r w:rsidRPr="000E3A36">
              <w:rPr>
                <w:sz w:val="17"/>
                <w:szCs w:val="17"/>
                <w:lang w:val="en-GB" w:bidi="th-TH"/>
              </w:rPr>
              <w:t>60.05</w:t>
            </w:r>
          </w:p>
        </w:tc>
        <w:tc>
          <w:tcPr>
            <w:tcW w:w="45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6EDD8622"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2</w:t>
            </w:r>
          </w:p>
        </w:tc>
        <w:tc>
          <w:tcPr>
            <w:tcW w:w="54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36FABA8" w14:textId="77777777" w:rsidR="00A345CE" w:rsidRPr="000E3A36" w:rsidRDefault="00A345CE" w:rsidP="003B6CDA">
            <w:pPr>
              <w:ind w:right="36"/>
              <w:jc w:val="right"/>
              <w:rPr>
                <w:rFonts w:eastAsia="Arial Unicode MS"/>
                <w:sz w:val="17"/>
                <w:szCs w:val="17"/>
                <w:lang w:val="en-GB" w:bidi="th-TH"/>
              </w:rPr>
            </w:pPr>
            <w:r w:rsidRPr="000E3A36">
              <w:rPr>
                <w:sz w:val="17"/>
                <w:szCs w:val="17"/>
                <w:lang w:val="en-GB" w:bidi="th-TH"/>
              </w:rPr>
              <w:t>29.38</w:t>
            </w:r>
          </w:p>
        </w:tc>
        <w:tc>
          <w:tcPr>
            <w:tcW w:w="720" w:type="dxa"/>
            <w:tcBorders>
              <w:top w:val="single" w:sz="4" w:space="0" w:color="auto"/>
              <w:left w:val="nil"/>
              <w:bottom w:val="single" w:sz="4" w:space="0" w:color="auto"/>
              <w:right w:val="single" w:sz="12" w:space="0" w:color="auto"/>
            </w:tcBorders>
            <w:noWrap/>
            <w:tcMar>
              <w:top w:w="15" w:type="dxa"/>
              <w:left w:w="15" w:type="dxa"/>
              <w:bottom w:w="0" w:type="dxa"/>
              <w:right w:w="15" w:type="dxa"/>
            </w:tcMar>
            <w:vAlign w:val="center"/>
          </w:tcPr>
          <w:p w14:paraId="2E1915B0" w14:textId="77777777" w:rsidR="00A345CE" w:rsidRPr="000E3A36" w:rsidRDefault="00A345CE" w:rsidP="003B6CDA">
            <w:pPr>
              <w:ind w:right="72"/>
              <w:jc w:val="right"/>
              <w:rPr>
                <w:sz w:val="17"/>
                <w:szCs w:val="17"/>
                <w:lang w:val="en-GB" w:bidi="th-TH"/>
              </w:rPr>
            </w:pPr>
            <w:r w:rsidRPr="000E3A36">
              <w:rPr>
                <w:sz w:val="17"/>
                <w:szCs w:val="17"/>
                <w:lang w:val="en-GB" w:bidi="th-TH"/>
              </w:rPr>
              <w:t>236.1</w:t>
            </w:r>
          </w:p>
        </w:tc>
      </w:tr>
      <w:tr w:rsidR="00A345CE" w:rsidRPr="000E3A36" w14:paraId="0A984874" w14:textId="77777777" w:rsidTr="003B6CDA">
        <w:trPr>
          <w:jc w:val="center"/>
        </w:trPr>
        <w:tc>
          <w:tcPr>
            <w:tcW w:w="2735" w:type="dxa"/>
            <w:tcBorders>
              <w:top w:val="nil"/>
              <w:left w:val="single" w:sz="12" w:space="0" w:color="auto"/>
              <w:bottom w:val="single" w:sz="4" w:space="0" w:color="auto"/>
              <w:right w:val="single" w:sz="4" w:space="0" w:color="auto"/>
            </w:tcBorders>
            <w:noWrap/>
            <w:tcMar>
              <w:top w:w="15" w:type="dxa"/>
              <w:left w:w="15" w:type="dxa"/>
              <w:bottom w:w="0" w:type="dxa"/>
              <w:right w:w="15" w:type="dxa"/>
            </w:tcMar>
            <w:vAlign w:val="center"/>
          </w:tcPr>
          <w:p w14:paraId="29809395" w14:textId="77777777" w:rsidR="00A345CE" w:rsidRPr="000E3A36" w:rsidRDefault="00A345CE" w:rsidP="003B6CDA">
            <w:pPr>
              <w:rPr>
                <w:rFonts w:eastAsia="Arial Unicode MS"/>
                <w:sz w:val="17"/>
                <w:szCs w:val="17"/>
                <w:lang w:val="en-GB" w:bidi="th-TH"/>
              </w:rPr>
            </w:pPr>
            <w:r w:rsidRPr="000E3A36">
              <w:rPr>
                <w:bCs/>
                <w:sz w:val="17"/>
                <w:szCs w:val="17"/>
                <w:lang w:val="en-GB" w:bidi="th-TH"/>
              </w:rPr>
              <w:t>Sedimentation</w:t>
            </w:r>
          </w:p>
        </w:tc>
        <w:tc>
          <w:tcPr>
            <w:tcW w:w="418"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4AA8528"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5</w:t>
            </w:r>
          </w:p>
        </w:tc>
        <w:tc>
          <w:tcPr>
            <w:tcW w:w="5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5CC33B0D" w14:textId="77777777" w:rsidR="00A345CE" w:rsidRPr="000E3A36" w:rsidRDefault="00A345CE" w:rsidP="003B6CDA">
            <w:pPr>
              <w:ind w:right="72"/>
              <w:jc w:val="right"/>
              <w:rPr>
                <w:rFonts w:eastAsia="Arial Unicode MS"/>
                <w:sz w:val="17"/>
                <w:szCs w:val="17"/>
                <w:lang w:val="en-GB" w:bidi="th-TH"/>
              </w:rPr>
            </w:pPr>
            <w:r w:rsidRPr="000E3A36">
              <w:rPr>
                <w:sz w:val="17"/>
                <w:szCs w:val="17"/>
                <w:lang w:val="en-GB" w:bidi="th-TH"/>
              </w:rPr>
              <w:t>1.9</w:t>
            </w:r>
          </w:p>
        </w:tc>
        <w:tc>
          <w:tcPr>
            <w:tcW w:w="422"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48BD54AA"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4</w:t>
            </w:r>
          </w:p>
        </w:tc>
        <w:tc>
          <w:tcPr>
            <w:tcW w:w="5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2265C9AA" w14:textId="77777777" w:rsidR="00A345CE" w:rsidRPr="000E3A36" w:rsidRDefault="00A345CE" w:rsidP="003B6CDA">
            <w:pPr>
              <w:ind w:right="72"/>
              <w:jc w:val="right"/>
              <w:rPr>
                <w:sz w:val="17"/>
                <w:szCs w:val="17"/>
                <w:lang w:val="en-GB" w:bidi="th-TH"/>
              </w:rPr>
            </w:pPr>
            <w:r w:rsidRPr="000E3A36">
              <w:rPr>
                <w:sz w:val="17"/>
                <w:szCs w:val="17"/>
                <w:lang w:val="en-GB" w:bidi="th-TH"/>
              </w:rPr>
              <w:t>21.0</w:t>
            </w:r>
          </w:p>
        </w:tc>
        <w:tc>
          <w:tcPr>
            <w:tcW w:w="4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35F6324F"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1</w:t>
            </w:r>
          </w:p>
        </w:tc>
        <w:tc>
          <w:tcPr>
            <w:tcW w:w="483"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40F4D957" w14:textId="77777777" w:rsidR="00A345CE" w:rsidRPr="000E3A36" w:rsidRDefault="00A345CE" w:rsidP="003B6CDA">
            <w:pPr>
              <w:ind w:right="72"/>
              <w:jc w:val="right"/>
              <w:rPr>
                <w:sz w:val="17"/>
                <w:szCs w:val="17"/>
                <w:lang w:val="en-GB" w:bidi="th-TH"/>
              </w:rPr>
            </w:pPr>
            <w:r w:rsidRPr="000E3A36">
              <w:rPr>
                <w:sz w:val="17"/>
                <w:szCs w:val="17"/>
                <w:lang w:val="en-GB" w:bidi="th-TH"/>
              </w:rPr>
              <w:t>5.8</w:t>
            </w:r>
          </w:p>
        </w:tc>
        <w:tc>
          <w:tcPr>
            <w:tcW w:w="418"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C42B3E1"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3</w:t>
            </w:r>
          </w:p>
        </w:tc>
        <w:tc>
          <w:tcPr>
            <w:tcW w:w="63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75FB66F9" w14:textId="77777777" w:rsidR="00A345CE" w:rsidRPr="000E3A36" w:rsidRDefault="00A345CE" w:rsidP="003B6CDA">
            <w:pPr>
              <w:ind w:right="72"/>
              <w:jc w:val="right"/>
              <w:rPr>
                <w:sz w:val="17"/>
                <w:szCs w:val="17"/>
                <w:lang w:val="en-GB" w:bidi="th-TH"/>
              </w:rPr>
            </w:pPr>
            <w:r w:rsidRPr="000E3A36">
              <w:rPr>
                <w:sz w:val="17"/>
                <w:szCs w:val="17"/>
                <w:lang w:val="en-GB" w:bidi="th-TH"/>
              </w:rPr>
              <w:t>185.7</w:t>
            </w:r>
          </w:p>
        </w:tc>
        <w:tc>
          <w:tcPr>
            <w:tcW w:w="540"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48AA4D0D"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4</w:t>
            </w:r>
          </w:p>
        </w:tc>
        <w:tc>
          <w:tcPr>
            <w:tcW w:w="565"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85AC975" w14:textId="77777777" w:rsidR="00A345CE" w:rsidRPr="000E3A36" w:rsidRDefault="00A345CE" w:rsidP="003B6CDA">
            <w:pPr>
              <w:ind w:right="72"/>
              <w:jc w:val="right"/>
              <w:rPr>
                <w:sz w:val="17"/>
                <w:szCs w:val="17"/>
                <w:lang w:val="en-GB" w:bidi="th-TH"/>
              </w:rPr>
            </w:pPr>
            <w:r w:rsidRPr="000E3A36">
              <w:rPr>
                <w:sz w:val="17"/>
                <w:szCs w:val="17"/>
                <w:lang w:val="en-GB" w:bidi="th-TH"/>
              </w:rPr>
              <w:t>48.04</w:t>
            </w:r>
          </w:p>
        </w:tc>
        <w:tc>
          <w:tcPr>
            <w:tcW w:w="45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5DEF7042"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3</w:t>
            </w:r>
          </w:p>
        </w:tc>
        <w:tc>
          <w:tcPr>
            <w:tcW w:w="54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5B27D40" w14:textId="77777777" w:rsidR="00A345CE" w:rsidRPr="000E3A36" w:rsidRDefault="00A345CE" w:rsidP="003B6CDA">
            <w:pPr>
              <w:ind w:right="36"/>
              <w:jc w:val="right"/>
              <w:rPr>
                <w:rFonts w:eastAsia="Arial Unicode MS"/>
                <w:sz w:val="17"/>
                <w:szCs w:val="17"/>
                <w:lang w:val="en-GB" w:bidi="th-TH"/>
              </w:rPr>
            </w:pPr>
            <w:r w:rsidRPr="000E3A36">
              <w:rPr>
                <w:sz w:val="17"/>
                <w:szCs w:val="17"/>
                <w:lang w:val="en-GB" w:bidi="th-TH"/>
              </w:rPr>
              <w:t>44.04</w:t>
            </w:r>
          </w:p>
        </w:tc>
        <w:tc>
          <w:tcPr>
            <w:tcW w:w="720" w:type="dxa"/>
            <w:tcBorders>
              <w:top w:val="single" w:sz="4" w:space="0" w:color="auto"/>
              <w:left w:val="nil"/>
              <w:bottom w:val="single" w:sz="4" w:space="0" w:color="auto"/>
              <w:right w:val="single" w:sz="12" w:space="0" w:color="auto"/>
            </w:tcBorders>
            <w:noWrap/>
            <w:tcMar>
              <w:top w:w="15" w:type="dxa"/>
              <w:left w:w="15" w:type="dxa"/>
              <w:bottom w:w="0" w:type="dxa"/>
              <w:right w:w="15" w:type="dxa"/>
            </w:tcMar>
            <w:vAlign w:val="center"/>
          </w:tcPr>
          <w:p w14:paraId="6B7BE1F4" w14:textId="77777777" w:rsidR="00A345CE" w:rsidRPr="000E3A36" w:rsidRDefault="00A345CE" w:rsidP="003B6CDA">
            <w:pPr>
              <w:ind w:right="72"/>
              <w:jc w:val="right"/>
              <w:rPr>
                <w:sz w:val="17"/>
                <w:szCs w:val="17"/>
                <w:lang w:val="en-GB" w:bidi="th-TH"/>
              </w:rPr>
            </w:pPr>
            <w:r w:rsidRPr="000E3A36">
              <w:rPr>
                <w:sz w:val="17"/>
                <w:szCs w:val="17"/>
                <w:lang w:val="en-GB" w:bidi="th-TH"/>
              </w:rPr>
              <w:t>306.4</w:t>
            </w:r>
          </w:p>
        </w:tc>
      </w:tr>
      <w:tr w:rsidR="00A345CE" w:rsidRPr="000E3A36" w14:paraId="314B3A4F" w14:textId="77777777" w:rsidTr="003B6CDA">
        <w:trPr>
          <w:jc w:val="center"/>
        </w:trPr>
        <w:tc>
          <w:tcPr>
            <w:tcW w:w="2735" w:type="dxa"/>
            <w:tcBorders>
              <w:top w:val="nil"/>
              <w:left w:val="single" w:sz="12" w:space="0" w:color="auto"/>
              <w:bottom w:val="single" w:sz="4" w:space="0" w:color="auto"/>
              <w:right w:val="single" w:sz="4" w:space="0" w:color="auto"/>
            </w:tcBorders>
            <w:noWrap/>
            <w:tcMar>
              <w:top w:w="15" w:type="dxa"/>
              <w:left w:w="15" w:type="dxa"/>
              <w:bottom w:w="0" w:type="dxa"/>
              <w:right w:w="15" w:type="dxa"/>
            </w:tcMar>
            <w:vAlign w:val="center"/>
          </w:tcPr>
          <w:p w14:paraId="0F203288" w14:textId="77777777" w:rsidR="00A345CE" w:rsidRPr="000E3A36" w:rsidRDefault="00A345CE" w:rsidP="003B6CDA">
            <w:pPr>
              <w:rPr>
                <w:rFonts w:eastAsia="Arial Unicode MS"/>
                <w:sz w:val="17"/>
                <w:szCs w:val="17"/>
                <w:lang w:val="en-GB" w:bidi="th-TH"/>
              </w:rPr>
            </w:pPr>
            <w:r w:rsidRPr="000E3A36">
              <w:rPr>
                <w:bCs/>
                <w:sz w:val="17"/>
                <w:szCs w:val="17"/>
                <w:lang w:val="en-GB" w:bidi="th-TH"/>
              </w:rPr>
              <w:t>Pollution (Eutrophication)</w:t>
            </w:r>
          </w:p>
        </w:tc>
        <w:tc>
          <w:tcPr>
            <w:tcW w:w="418"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13F3B35"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4</w:t>
            </w:r>
          </w:p>
        </w:tc>
        <w:tc>
          <w:tcPr>
            <w:tcW w:w="5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51CF5C1C" w14:textId="77777777" w:rsidR="00A345CE" w:rsidRPr="000E3A36" w:rsidRDefault="00A345CE" w:rsidP="003B6CDA">
            <w:pPr>
              <w:ind w:right="72"/>
              <w:jc w:val="right"/>
              <w:rPr>
                <w:rFonts w:eastAsia="Arial Unicode MS"/>
                <w:sz w:val="17"/>
                <w:szCs w:val="17"/>
                <w:lang w:val="en-GB" w:bidi="th-TH"/>
              </w:rPr>
            </w:pPr>
            <w:r w:rsidRPr="000E3A36">
              <w:rPr>
                <w:sz w:val="17"/>
                <w:szCs w:val="17"/>
                <w:lang w:val="en-GB" w:bidi="th-TH"/>
              </w:rPr>
              <w:t>1.5</w:t>
            </w:r>
          </w:p>
        </w:tc>
        <w:tc>
          <w:tcPr>
            <w:tcW w:w="422"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1B0D81AE"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5</w:t>
            </w:r>
          </w:p>
        </w:tc>
        <w:tc>
          <w:tcPr>
            <w:tcW w:w="5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7034AC13" w14:textId="77777777" w:rsidR="00A345CE" w:rsidRPr="000E3A36" w:rsidRDefault="00A345CE" w:rsidP="003B6CDA">
            <w:pPr>
              <w:ind w:right="72"/>
              <w:jc w:val="right"/>
              <w:rPr>
                <w:sz w:val="17"/>
                <w:szCs w:val="17"/>
                <w:lang w:val="en-GB" w:bidi="th-TH"/>
              </w:rPr>
            </w:pPr>
            <w:r w:rsidRPr="000E3A36">
              <w:rPr>
                <w:sz w:val="17"/>
                <w:szCs w:val="17"/>
                <w:lang w:val="en-GB" w:bidi="th-TH"/>
              </w:rPr>
              <w:t>26.2</w:t>
            </w:r>
          </w:p>
        </w:tc>
        <w:tc>
          <w:tcPr>
            <w:tcW w:w="4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2FBA5A20"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4</w:t>
            </w:r>
          </w:p>
        </w:tc>
        <w:tc>
          <w:tcPr>
            <w:tcW w:w="483"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1B2055F8" w14:textId="77777777" w:rsidR="00A345CE" w:rsidRPr="000E3A36" w:rsidRDefault="00A345CE" w:rsidP="003B6CDA">
            <w:pPr>
              <w:ind w:right="72"/>
              <w:jc w:val="right"/>
              <w:rPr>
                <w:sz w:val="17"/>
                <w:szCs w:val="17"/>
                <w:lang w:val="en-GB" w:bidi="th-TH"/>
              </w:rPr>
            </w:pPr>
            <w:r w:rsidRPr="000E3A36">
              <w:rPr>
                <w:sz w:val="17"/>
                <w:szCs w:val="17"/>
                <w:lang w:val="en-GB" w:bidi="th-TH"/>
              </w:rPr>
              <w:t>23.2</w:t>
            </w:r>
          </w:p>
        </w:tc>
        <w:tc>
          <w:tcPr>
            <w:tcW w:w="418"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28EC47D"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5</w:t>
            </w:r>
          </w:p>
        </w:tc>
        <w:tc>
          <w:tcPr>
            <w:tcW w:w="63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7A14CE7E" w14:textId="77777777" w:rsidR="00A345CE" w:rsidRPr="000E3A36" w:rsidRDefault="00A345CE" w:rsidP="003B6CDA">
            <w:pPr>
              <w:ind w:right="72"/>
              <w:jc w:val="right"/>
              <w:rPr>
                <w:sz w:val="17"/>
                <w:szCs w:val="17"/>
                <w:lang w:val="en-GB" w:bidi="th-TH"/>
              </w:rPr>
            </w:pPr>
            <w:r w:rsidRPr="000E3A36">
              <w:rPr>
                <w:sz w:val="17"/>
                <w:szCs w:val="17"/>
                <w:lang w:val="en-GB" w:bidi="th-TH"/>
              </w:rPr>
              <w:t>309.6</w:t>
            </w:r>
          </w:p>
        </w:tc>
        <w:tc>
          <w:tcPr>
            <w:tcW w:w="540"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0B42A4DF"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6</w:t>
            </w:r>
          </w:p>
        </w:tc>
        <w:tc>
          <w:tcPr>
            <w:tcW w:w="565"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6BBC479" w14:textId="77777777" w:rsidR="00A345CE" w:rsidRPr="000E3A36" w:rsidRDefault="00A345CE" w:rsidP="003B6CDA">
            <w:pPr>
              <w:ind w:right="72"/>
              <w:jc w:val="right"/>
              <w:rPr>
                <w:sz w:val="17"/>
                <w:szCs w:val="17"/>
                <w:lang w:val="en-GB" w:bidi="th-TH"/>
              </w:rPr>
            </w:pPr>
            <w:r w:rsidRPr="000E3A36">
              <w:rPr>
                <w:sz w:val="17"/>
                <w:szCs w:val="17"/>
                <w:lang w:val="en-GB" w:bidi="th-TH"/>
              </w:rPr>
              <w:t>72.06</w:t>
            </w:r>
          </w:p>
        </w:tc>
        <w:tc>
          <w:tcPr>
            <w:tcW w:w="45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3C6D180B"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4</w:t>
            </w:r>
          </w:p>
        </w:tc>
        <w:tc>
          <w:tcPr>
            <w:tcW w:w="54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0403FC7" w14:textId="77777777" w:rsidR="00A345CE" w:rsidRPr="000E3A36" w:rsidRDefault="00A345CE" w:rsidP="003B6CDA">
            <w:pPr>
              <w:ind w:right="36"/>
              <w:jc w:val="right"/>
              <w:rPr>
                <w:rFonts w:eastAsia="Arial Unicode MS"/>
                <w:sz w:val="17"/>
                <w:szCs w:val="17"/>
                <w:lang w:val="en-GB" w:bidi="th-TH"/>
              </w:rPr>
            </w:pPr>
            <w:r w:rsidRPr="000E3A36">
              <w:rPr>
                <w:sz w:val="17"/>
                <w:szCs w:val="17"/>
                <w:lang w:val="en-GB" w:bidi="th-TH"/>
              </w:rPr>
              <w:t>58.72</w:t>
            </w:r>
          </w:p>
        </w:tc>
        <w:tc>
          <w:tcPr>
            <w:tcW w:w="720" w:type="dxa"/>
            <w:tcBorders>
              <w:top w:val="single" w:sz="4" w:space="0" w:color="auto"/>
              <w:left w:val="nil"/>
              <w:bottom w:val="single" w:sz="4" w:space="0" w:color="auto"/>
              <w:right w:val="single" w:sz="12" w:space="0" w:color="auto"/>
            </w:tcBorders>
            <w:noWrap/>
            <w:tcMar>
              <w:top w:w="15" w:type="dxa"/>
              <w:left w:w="15" w:type="dxa"/>
              <w:bottom w:w="0" w:type="dxa"/>
              <w:right w:w="15" w:type="dxa"/>
            </w:tcMar>
            <w:vAlign w:val="center"/>
          </w:tcPr>
          <w:p w14:paraId="7BDB90B4" w14:textId="77777777" w:rsidR="00A345CE" w:rsidRPr="000E3A36" w:rsidRDefault="00A345CE" w:rsidP="003B6CDA">
            <w:pPr>
              <w:ind w:right="72"/>
              <w:jc w:val="right"/>
              <w:rPr>
                <w:sz w:val="17"/>
                <w:szCs w:val="17"/>
                <w:lang w:val="en-GB" w:bidi="th-TH"/>
              </w:rPr>
            </w:pPr>
            <w:r w:rsidRPr="000E3A36">
              <w:rPr>
                <w:sz w:val="17"/>
                <w:szCs w:val="17"/>
                <w:lang w:val="en-GB" w:bidi="th-TH"/>
              </w:rPr>
              <w:t>491.2</w:t>
            </w:r>
          </w:p>
        </w:tc>
      </w:tr>
      <w:tr w:rsidR="00A345CE" w:rsidRPr="000E3A36" w14:paraId="23B783FC" w14:textId="77777777" w:rsidTr="003B6CDA">
        <w:trPr>
          <w:jc w:val="center"/>
        </w:trPr>
        <w:tc>
          <w:tcPr>
            <w:tcW w:w="2735" w:type="dxa"/>
            <w:tcBorders>
              <w:top w:val="nil"/>
              <w:left w:val="single" w:sz="12" w:space="0" w:color="auto"/>
              <w:bottom w:val="single" w:sz="4" w:space="0" w:color="auto"/>
              <w:right w:val="single" w:sz="4" w:space="0" w:color="auto"/>
            </w:tcBorders>
            <w:noWrap/>
            <w:tcMar>
              <w:top w:w="15" w:type="dxa"/>
              <w:left w:w="15" w:type="dxa"/>
              <w:bottom w:w="0" w:type="dxa"/>
              <w:right w:w="15" w:type="dxa"/>
            </w:tcMar>
            <w:vAlign w:val="center"/>
          </w:tcPr>
          <w:p w14:paraId="2E08B859" w14:textId="77777777" w:rsidR="00A345CE" w:rsidRPr="000E3A36" w:rsidRDefault="00A345CE" w:rsidP="003B6CDA">
            <w:pPr>
              <w:rPr>
                <w:rFonts w:eastAsia="Arial Unicode MS"/>
                <w:sz w:val="17"/>
                <w:szCs w:val="17"/>
                <w:lang w:val="en-GB" w:bidi="th-TH"/>
              </w:rPr>
            </w:pPr>
            <w:r w:rsidRPr="000E3A36">
              <w:rPr>
                <w:bCs/>
                <w:sz w:val="17"/>
                <w:szCs w:val="17"/>
                <w:lang w:val="en-GB" w:bidi="th-TH"/>
              </w:rPr>
              <w:t xml:space="preserve">Coral bleaching </w:t>
            </w:r>
          </w:p>
        </w:tc>
        <w:tc>
          <w:tcPr>
            <w:tcW w:w="418"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F950B65"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8</w:t>
            </w:r>
          </w:p>
        </w:tc>
        <w:tc>
          <w:tcPr>
            <w:tcW w:w="5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33E2EC19" w14:textId="77777777" w:rsidR="00A345CE" w:rsidRPr="000E3A36" w:rsidRDefault="00A345CE" w:rsidP="003B6CDA">
            <w:pPr>
              <w:ind w:right="72"/>
              <w:jc w:val="right"/>
              <w:rPr>
                <w:rFonts w:eastAsia="Arial Unicode MS"/>
                <w:sz w:val="17"/>
                <w:szCs w:val="17"/>
                <w:lang w:val="en-GB" w:bidi="th-TH"/>
              </w:rPr>
            </w:pPr>
            <w:r w:rsidRPr="000E3A36">
              <w:rPr>
                <w:sz w:val="17"/>
                <w:szCs w:val="17"/>
                <w:lang w:val="en-GB" w:bidi="th-TH"/>
              </w:rPr>
              <w:t>3.0</w:t>
            </w:r>
          </w:p>
        </w:tc>
        <w:tc>
          <w:tcPr>
            <w:tcW w:w="422"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23883CB9"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3</w:t>
            </w:r>
          </w:p>
        </w:tc>
        <w:tc>
          <w:tcPr>
            <w:tcW w:w="5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3C8E3D2E" w14:textId="77777777" w:rsidR="00A345CE" w:rsidRPr="000E3A36" w:rsidRDefault="00A345CE" w:rsidP="003B6CDA">
            <w:pPr>
              <w:ind w:right="72"/>
              <w:jc w:val="right"/>
              <w:rPr>
                <w:sz w:val="17"/>
                <w:szCs w:val="17"/>
                <w:lang w:val="en-GB" w:bidi="th-TH"/>
              </w:rPr>
            </w:pPr>
            <w:r w:rsidRPr="000E3A36">
              <w:rPr>
                <w:sz w:val="17"/>
                <w:szCs w:val="17"/>
                <w:lang w:val="en-GB" w:bidi="th-TH"/>
              </w:rPr>
              <w:t>15.7</w:t>
            </w:r>
          </w:p>
        </w:tc>
        <w:tc>
          <w:tcPr>
            <w:tcW w:w="4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37CDDB7D"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7</w:t>
            </w:r>
          </w:p>
        </w:tc>
        <w:tc>
          <w:tcPr>
            <w:tcW w:w="483"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6F6A12B7" w14:textId="77777777" w:rsidR="00A345CE" w:rsidRPr="000E3A36" w:rsidRDefault="00A345CE" w:rsidP="003B6CDA">
            <w:pPr>
              <w:ind w:right="72"/>
              <w:jc w:val="right"/>
              <w:rPr>
                <w:sz w:val="17"/>
                <w:szCs w:val="17"/>
                <w:lang w:val="en-GB" w:bidi="th-TH"/>
              </w:rPr>
            </w:pPr>
            <w:r w:rsidRPr="000E3A36">
              <w:rPr>
                <w:sz w:val="17"/>
                <w:szCs w:val="17"/>
                <w:lang w:val="en-GB" w:bidi="th-TH"/>
              </w:rPr>
              <w:t>40.5</w:t>
            </w:r>
          </w:p>
        </w:tc>
        <w:tc>
          <w:tcPr>
            <w:tcW w:w="418"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35CDB2F"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9</w:t>
            </w:r>
          </w:p>
        </w:tc>
        <w:tc>
          <w:tcPr>
            <w:tcW w:w="63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2C5178B6" w14:textId="77777777" w:rsidR="00A345CE" w:rsidRPr="000E3A36" w:rsidRDefault="00A345CE" w:rsidP="003B6CDA">
            <w:pPr>
              <w:ind w:right="72"/>
              <w:jc w:val="right"/>
              <w:rPr>
                <w:sz w:val="17"/>
                <w:szCs w:val="17"/>
                <w:lang w:val="en-GB" w:bidi="th-TH"/>
              </w:rPr>
            </w:pPr>
            <w:r w:rsidRPr="000E3A36">
              <w:rPr>
                <w:sz w:val="17"/>
                <w:szCs w:val="17"/>
                <w:lang w:val="en-GB" w:bidi="th-TH"/>
              </w:rPr>
              <w:t>557.2</w:t>
            </w:r>
          </w:p>
        </w:tc>
        <w:tc>
          <w:tcPr>
            <w:tcW w:w="540"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4C90A167"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1</w:t>
            </w:r>
          </w:p>
        </w:tc>
        <w:tc>
          <w:tcPr>
            <w:tcW w:w="565"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38CCA9A" w14:textId="77777777" w:rsidR="00A345CE" w:rsidRPr="000E3A36" w:rsidRDefault="00A345CE" w:rsidP="003B6CDA">
            <w:pPr>
              <w:ind w:right="72"/>
              <w:jc w:val="right"/>
              <w:rPr>
                <w:sz w:val="17"/>
                <w:szCs w:val="17"/>
                <w:lang w:val="en-GB" w:bidi="th-TH"/>
              </w:rPr>
            </w:pPr>
            <w:r w:rsidRPr="000E3A36">
              <w:rPr>
                <w:sz w:val="17"/>
                <w:szCs w:val="17"/>
                <w:lang w:val="en-GB" w:bidi="th-TH"/>
              </w:rPr>
              <w:t>12.01</w:t>
            </w:r>
          </w:p>
        </w:tc>
        <w:tc>
          <w:tcPr>
            <w:tcW w:w="45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2B455C26"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5</w:t>
            </w:r>
          </w:p>
        </w:tc>
        <w:tc>
          <w:tcPr>
            <w:tcW w:w="54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EECEE5B" w14:textId="77777777" w:rsidR="00A345CE" w:rsidRPr="000E3A36" w:rsidRDefault="00A345CE" w:rsidP="003B6CDA">
            <w:pPr>
              <w:ind w:right="36"/>
              <w:jc w:val="right"/>
              <w:rPr>
                <w:rFonts w:eastAsia="Arial Unicode MS"/>
                <w:sz w:val="17"/>
                <w:szCs w:val="17"/>
                <w:lang w:val="en-GB" w:bidi="th-TH"/>
              </w:rPr>
            </w:pPr>
            <w:r w:rsidRPr="000E3A36">
              <w:rPr>
                <w:sz w:val="17"/>
                <w:szCs w:val="17"/>
                <w:lang w:val="en-GB" w:bidi="th-TH"/>
              </w:rPr>
              <w:t>73.4</w:t>
            </w:r>
          </w:p>
        </w:tc>
        <w:tc>
          <w:tcPr>
            <w:tcW w:w="720" w:type="dxa"/>
            <w:tcBorders>
              <w:top w:val="single" w:sz="4" w:space="0" w:color="auto"/>
              <w:left w:val="nil"/>
              <w:bottom w:val="single" w:sz="4" w:space="0" w:color="auto"/>
              <w:right w:val="single" w:sz="12" w:space="0" w:color="auto"/>
            </w:tcBorders>
            <w:noWrap/>
            <w:tcMar>
              <w:top w:w="15" w:type="dxa"/>
              <w:left w:w="15" w:type="dxa"/>
              <w:bottom w:w="0" w:type="dxa"/>
              <w:right w:w="15" w:type="dxa"/>
            </w:tcMar>
            <w:vAlign w:val="center"/>
          </w:tcPr>
          <w:p w14:paraId="0280D6A7" w14:textId="77777777" w:rsidR="00A345CE" w:rsidRPr="000E3A36" w:rsidRDefault="00A345CE" w:rsidP="003B6CDA">
            <w:pPr>
              <w:ind w:right="72"/>
              <w:jc w:val="right"/>
              <w:rPr>
                <w:sz w:val="17"/>
                <w:szCs w:val="17"/>
                <w:lang w:val="en-GB" w:bidi="th-TH"/>
              </w:rPr>
            </w:pPr>
            <w:r w:rsidRPr="000E3A36">
              <w:rPr>
                <w:sz w:val="17"/>
                <w:szCs w:val="17"/>
                <w:lang w:val="en-GB" w:bidi="th-TH"/>
              </w:rPr>
              <w:t>701.8</w:t>
            </w:r>
          </w:p>
        </w:tc>
      </w:tr>
      <w:tr w:rsidR="00A345CE" w:rsidRPr="000E3A36" w14:paraId="72246AC4" w14:textId="77777777" w:rsidTr="003B6CDA">
        <w:trPr>
          <w:jc w:val="center"/>
        </w:trPr>
        <w:tc>
          <w:tcPr>
            <w:tcW w:w="2735" w:type="dxa"/>
            <w:tcBorders>
              <w:top w:val="nil"/>
              <w:left w:val="single" w:sz="12" w:space="0" w:color="auto"/>
              <w:bottom w:val="single" w:sz="4" w:space="0" w:color="auto"/>
              <w:right w:val="single" w:sz="4" w:space="0" w:color="auto"/>
            </w:tcBorders>
            <w:noWrap/>
            <w:tcMar>
              <w:top w:w="15" w:type="dxa"/>
              <w:left w:w="15" w:type="dxa"/>
              <w:bottom w:w="0" w:type="dxa"/>
              <w:right w:w="15" w:type="dxa"/>
            </w:tcMar>
            <w:vAlign w:val="center"/>
          </w:tcPr>
          <w:p w14:paraId="524F20AE" w14:textId="77777777" w:rsidR="00A345CE" w:rsidRPr="000E3A36" w:rsidRDefault="00A345CE" w:rsidP="003B6CDA">
            <w:pPr>
              <w:rPr>
                <w:rFonts w:eastAsia="Arial Unicode MS"/>
                <w:b/>
                <w:bCs/>
                <w:sz w:val="17"/>
                <w:szCs w:val="17"/>
                <w:lang w:val="en-GB" w:bidi="th-TH"/>
              </w:rPr>
            </w:pPr>
            <w:r w:rsidRPr="000E3A36">
              <w:rPr>
                <w:b/>
                <w:bCs/>
                <w:sz w:val="17"/>
                <w:szCs w:val="17"/>
                <w:lang w:val="en-GB" w:bidi="th-TH"/>
              </w:rPr>
              <w:t>Indirect  threats</w:t>
            </w:r>
          </w:p>
        </w:tc>
        <w:tc>
          <w:tcPr>
            <w:tcW w:w="418"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0A5A4A7" w14:textId="77777777" w:rsidR="00A345CE" w:rsidRPr="000E3A36" w:rsidRDefault="00A345CE" w:rsidP="003B6CDA">
            <w:pPr>
              <w:jc w:val="center"/>
              <w:rPr>
                <w:rFonts w:eastAsia="Arial Unicode MS"/>
                <w:sz w:val="17"/>
                <w:szCs w:val="17"/>
                <w:lang w:val="en-GB" w:bidi="th-TH"/>
              </w:rPr>
            </w:pPr>
          </w:p>
        </w:tc>
        <w:tc>
          <w:tcPr>
            <w:tcW w:w="5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2DAA74A9" w14:textId="77777777" w:rsidR="00A345CE" w:rsidRPr="000E3A36" w:rsidRDefault="00A345CE" w:rsidP="003B6CDA">
            <w:pPr>
              <w:ind w:right="72"/>
              <w:jc w:val="right"/>
              <w:rPr>
                <w:rFonts w:eastAsia="Arial Unicode MS"/>
                <w:sz w:val="17"/>
                <w:szCs w:val="17"/>
                <w:lang w:val="en-GB" w:bidi="th-TH"/>
              </w:rPr>
            </w:pPr>
          </w:p>
        </w:tc>
        <w:tc>
          <w:tcPr>
            <w:tcW w:w="422"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7F4A30A3" w14:textId="77777777" w:rsidR="00A345CE" w:rsidRPr="000E3A36" w:rsidRDefault="00A345CE" w:rsidP="003B6CDA">
            <w:pPr>
              <w:jc w:val="center"/>
              <w:rPr>
                <w:rFonts w:eastAsia="Arial Unicode MS"/>
                <w:sz w:val="17"/>
                <w:szCs w:val="17"/>
                <w:lang w:val="en-GB" w:bidi="th-TH"/>
              </w:rPr>
            </w:pPr>
          </w:p>
        </w:tc>
        <w:tc>
          <w:tcPr>
            <w:tcW w:w="5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5C38D4B9" w14:textId="77777777" w:rsidR="00A345CE" w:rsidRPr="000E3A36" w:rsidRDefault="00A345CE" w:rsidP="003B6CDA">
            <w:pPr>
              <w:ind w:right="72"/>
              <w:jc w:val="right"/>
              <w:rPr>
                <w:sz w:val="17"/>
                <w:szCs w:val="17"/>
                <w:lang w:val="en-GB" w:bidi="th-TH"/>
              </w:rPr>
            </w:pPr>
          </w:p>
        </w:tc>
        <w:tc>
          <w:tcPr>
            <w:tcW w:w="41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0B45B2A0" w14:textId="77777777" w:rsidR="00A345CE" w:rsidRPr="000E3A36" w:rsidRDefault="00A345CE" w:rsidP="003B6CDA">
            <w:pPr>
              <w:jc w:val="center"/>
              <w:rPr>
                <w:rFonts w:eastAsia="Arial Unicode MS"/>
                <w:sz w:val="17"/>
                <w:szCs w:val="17"/>
                <w:lang w:val="en-GB" w:bidi="th-TH"/>
              </w:rPr>
            </w:pPr>
          </w:p>
        </w:tc>
        <w:tc>
          <w:tcPr>
            <w:tcW w:w="483"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0BE24971" w14:textId="77777777" w:rsidR="00A345CE" w:rsidRPr="000E3A36" w:rsidRDefault="00A345CE" w:rsidP="003B6CDA">
            <w:pPr>
              <w:ind w:right="72"/>
              <w:jc w:val="right"/>
              <w:rPr>
                <w:sz w:val="17"/>
                <w:szCs w:val="17"/>
                <w:lang w:val="en-GB" w:bidi="th-TH"/>
              </w:rPr>
            </w:pPr>
          </w:p>
        </w:tc>
        <w:tc>
          <w:tcPr>
            <w:tcW w:w="418"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3283910" w14:textId="77777777" w:rsidR="00A345CE" w:rsidRPr="000E3A36" w:rsidRDefault="00A345CE" w:rsidP="003B6CDA">
            <w:pPr>
              <w:jc w:val="center"/>
              <w:rPr>
                <w:rFonts w:eastAsia="Arial Unicode MS"/>
                <w:sz w:val="17"/>
                <w:szCs w:val="17"/>
                <w:lang w:val="en-GB" w:bidi="th-TH"/>
              </w:rPr>
            </w:pPr>
          </w:p>
        </w:tc>
        <w:tc>
          <w:tcPr>
            <w:tcW w:w="63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3921D974" w14:textId="77777777" w:rsidR="00A345CE" w:rsidRPr="000E3A36" w:rsidRDefault="00A345CE" w:rsidP="003B6CDA">
            <w:pPr>
              <w:ind w:right="72"/>
              <w:jc w:val="right"/>
              <w:rPr>
                <w:sz w:val="17"/>
                <w:szCs w:val="17"/>
                <w:lang w:val="en-GB" w:bidi="th-TH"/>
              </w:rPr>
            </w:pPr>
          </w:p>
        </w:tc>
        <w:tc>
          <w:tcPr>
            <w:tcW w:w="540"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62A00B49" w14:textId="77777777" w:rsidR="00A345CE" w:rsidRPr="000E3A36" w:rsidRDefault="00A345CE" w:rsidP="003B6CDA">
            <w:pPr>
              <w:jc w:val="center"/>
              <w:rPr>
                <w:rFonts w:eastAsia="Arial Unicode MS"/>
                <w:sz w:val="17"/>
                <w:szCs w:val="17"/>
                <w:lang w:val="en-GB" w:bidi="th-TH"/>
              </w:rPr>
            </w:pPr>
          </w:p>
        </w:tc>
        <w:tc>
          <w:tcPr>
            <w:tcW w:w="565"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0DDDFB0" w14:textId="77777777" w:rsidR="00A345CE" w:rsidRPr="000E3A36" w:rsidRDefault="00A345CE" w:rsidP="003B6CDA">
            <w:pPr>
              <w:ind w:right="72"/>
              <w:jc w:val="right"/>
              <w:rPr>
                <w:sz w:val="17"/>
                <w:szCs w:val="17"/>
                <w:lang w:val="en-GB" w:bidi="th-TH"/>
              </w:rPr>
            </w:pPr>
          </w:p>
        </w:tc>
        <w:tc>
          <w:tcPr>
            <w:tcW w:w="45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4ADB398E" w14:textId="77777777" w:rsidR="00A345CE" w:rsidRPr="000E3A36" w:rsidRDefault="00A345CE" w:rsidP="003B6CDA">
            <w:pPr>
              <w:jc w:val="center"/>
              <w:rPr>
                <w:rFonts w:eastAsia="Arial Unicode MS"/>
                <w:sz w:val="17"/>
                <w:szCs w:val="17"/>
                <w:lang w:val="en-GB" w:bidi="th-TH"/>
              </w:rPr>
            </w:pPr>
          </w:p>
        </w:tc>
        <w:tc>
          <w:tcPr>
            <w:tcW w:w="54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73BD586" w14:textId="77777777" w:rsidR="00A345CE" w:rsidRPr="000E3A36" w:rsidRDefault="00A345CE" w:rsidP="003B6CDA">
            <w:pPr>
              <w:ind w:right="36"/>
              <w:jc w:val="right"/>
              <w:rPr>
                <w:rFonts w:eastAsia="Arial Unicode MS"/>
                <w:sz w:val="17"/>
                <w:szCs w:val="17"/>
                <w:lang w:val="en-GB" w:bidi="th-TH"/>
              </w:rPr>
            </w:pPr>
          </w:p>
        </w:tc>
        <w:tc>
          <w:tcPr>
            <w:tcW w:w="720" w:type="dxa"/>
            <w:tcBorders>
              <w:top w:val="single" w:sz="4" w:space="0" w:color="auto"/>
              <w:left w:val="nil"/>
              <w:bottom w:val="single" w:sz="4" w:space="0" w:color="auto"/>
              <w:right w:val="single" w:sz="12" w:space="0" w:color="auto"/>
            </w:tcBorders>
            <w:noWrap/>
            <w:tcMar>
              <w:top w:w="15" w:type="dxa"/>
              <w:left w:w="15" w:type="dxa"/>
              <w:bottom w:w="0" w:type="dxa"/>
              <w:right w:w="15" w:type="dxa"/>
            </w:tcMar>
            <w:vAlign w:val="center"/>
          </w:tcPr>
          <w:p w14:paraId="2D7B66D3" w14:textId="77777777" w:rsidR="00A345CE" w:rsidRPr="000E3A36" w:rsidRDefault="00A345CE" w:rsidP="003B6CDA">
            <w:pPr>
              <w:ind w:right="72"/>
              <w:jc w:val="right"/>
              <w:rPr>
                <w:sz w:val="17"/>
                <w:szCs w:val="17"/>
                <w:lang w:val="en-GB" w:bidi="th-TH"/>
              </w:rPr>
            </w:pPr>
          </w:p>
        </w:tc>
      </w:tr>
      <w:tr w:rsidR="00A345CE" w:rsidRPr="000E3A36" w14:paraId="71BD166B" w14:textId="77777777" w:rsidTr="003B6CDA">
        <w:trPr>
          <w:jc w:val="center"/>
        </w:trPr>
        <w:tc>
          <w:tcPr>
            <w:tcW w:w="2735" w:type="dxa"/>
            <w:tcBorders>
              <w:top w:val="nil"/>
              <w:left w:val="single" w:sz="12" w:space="0" w:color="auto"/>
              <w:bottom w:val="single" w:sz="4" w:space="0" w:color="auto"/>
              <w:right w:val="single" w:sz="4" w:space="0" w:color="auto"/>
            </w:tcBorders>
            <w:noWrap/>
            <w:tcMar>
              <w:top w:w="15" w:type="dxa"/>
              <w:left w:w="15" w:type="dxa"/>
              <w:bottom w:w="0" w:type="dxa"/>
              <w:right w:w="15" w:type="dxa"/>
            </w:tcMar>
            <w:vAlign w:val="center"/>
          </w:tcPr>
          <w:p w14:paraId="7A20D14B" w14:textId="77777777" w:rsidR="00A345CE" w:rsidRPr="000E3A36" w:rsidRDefault="00A345CE" w:rsidP="003B6CDA">
            <w:pPr>
              <w:rPr>
                <w:rFonts w:eastAsia="Arial Unicode MS"/>
                <w:sz w:val="17"/>
                <w:szCs w:val="17"/>
                <w:lang w:val="en-GB" w:bidi="th-TH"/>
              </w:rPr>
            </w:pPr>
            <w:r w:rsidRPr="000E3A36">
              <w:rPr>
                <w:sz w:val="17"/>
                <w:szCs w:val="17"/>
                <w:lang w:val="en-GB" w:bidi="th-TH"/>
              </w:rPr>
              <w:t>Unsustainable fisheries and aquaculture</w:t>
            </w:r>
          </w:p>
        </w:tc>
        <w:tc>
          <w:tcPr>
            <w:tcW w:w="43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580A2042"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3</w:t>
            </w:r>
          </w:p>
        </w:tc>
        <w:tc>
          <w:tcPr>
            <w:tcW w:w="54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1784611D" w14:textId="77777777" w:rsidR="00A345CE" w:rsidRPr="000E3A36" w:rsidRDefault="00A345CE" w:rsidP="003B6CDA">
            <w:pPr>
              <w:ind w:right="72"/>
              <w:jc w:val="right"/>
              <w:rPr>
                <w:rFonts w:eastAsia="Arial Unicode MS"/>
                <w:sz w:val="17"/>
                <w:szCs w:val="17"/>
                <w:lang w:val="en-GB" w:bidi="th-TH"/>
              </w:rPr>
            </w:pPr>
            <w:r w:rsidRPr="000E3A36">
              <w:rPr>
                <w:sz w:val="17"/>
                <w:szCs w:val="17"/>
                <w:lang w:val="en-GB" w:bidi="th-TH"/>
              </w:rPr>
              <w:t>1.1</w:t>
            </w:r>
          </w:p>
        </w:tc>
        <w:tc>
          <w:tcPr>
            <w:tcW w:w="36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C8E66E8"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8</w:t>
            </w:r>
          </w:p>
        </w:tc>
        <w:tc>
          <w:tcPr>
            <w:tcW w:w="552" w:type="dxa"/>
            <w:gridSpan w:val="4"/>
            <w:tcBorders>
              <w:top w:val="nil"/>
              <w:left w:val="nil"/>
              <w:bottom w:val="single" w:sz="4" w:space="0" w:color="auto"/>
              <w:right w:val="single" w:sz="4" w:space="0" w:color="auto"/>
            </w:tcBorders>
            <w:noWrap/>
            <w:tcMar>
              <w:top w:w="15" w:type="dxa"/>
              <w:left w:w="15" w:type="dxa"/>
              <w:bottom w:w="0" w:type="dxa"/>
              <w:right w:w="15" w:type="dxa"/>
            </w:tcMar>
            <w:vAlign w:val="center"/>
          </w:tcPr>
          <w:p w14:paraId="0E0EB62A" w14:textId="77777777" w:rsidR="00A345CE" w:rsidRPr="000E3A36" w:rsidRDefault="00A345CE" w:rsidP="003B6CDA">
            <w:pPr>
              <w:ind w:right="72"/>
              <w:jc w:val="right"/>
              <w:rPr>
                <w:sz w:val="17"/>
                <w:szCs w:val="17"/>
                <w:lang w:val="en-GB" w:bidi="th-TH"/>
              </w:rPr>
            </w:pPr>
            <w:r w:rsidRPr="000E3A36">
              <w:rPr>
                <w:sz w:val="17"/>
                <w:szCs w:val="17"/>
                <w:lang w:val="en-GB" w:bidi="th-TH"/>
              </w:rPr>
              <w:t>41.9</w:t>
            </w:r>
          </w:p>
        </w:tc>
        <w:tc>
          <w:tcPr>
            <w:tcW w:w="43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656F219A"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9</w:t>
            </w:r>
          </w:p>
        </w:tc>
        <w:tc>
          <w:tcPr>
            <w:tcW w:w="45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369018F" w14:textId="77777777" w:rsidR="00A345CE" w:rsidRPr="000E3A36" w:rsidRDefault="00A345CE" w:rsidP="003B6CDA">
            <w:pPr>
              <w:ind w:right="72"/>
              <w:jc w:val="right"/>
              <w:rPr>
                <w:sz w:val="17"/>
                <w:szCs w:val="17"/>
                <w:lang w:val="en-GB" w:bidi="th-TH"/>
              </w:rPr>
            </w:pPr>
            <w:r w:rsidRPr="000E3A36">
              <w:rPr>
                <w:sz w:val="17"/>
                <w:szCs w:val="17"/>
                <w:lang w:val="en-GB" w:bidi="th-TH"/>
              </w:rPr>
              <w:t>52.1</w:t>
            </w:r>
          </w:p>
        </w:tc>
        <w:tc>
          <w:tcPr>
            <w:tcW w:w="450"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1E6DCB61"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4</w:t>
            </w:r>
          </w:p>
        </w:tc>
        <w:tc>
          <w:tcPr>
            <w:tcW w:w="63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75200899" w14:textId="77777777" w:rsidR="00A345CE" w:rsidRPr="000E3A36" w:rsidRDefault="00A345CE" w:rsidP="003B6CDA">
            <w:pPr>
              <w:ind w:right="72"/>
              <w:jc w:val="right"/>
              <w:rPr>
                <w:sz w:val="17"/>
                <w:szCs w:val="17"/>
                <w:lang w:val="en-GB" w:bidi="th-TH"/>
              </w:rPr>
            </w:pPr>
            <w:r w:rsidRPr="000E3A36">
              <w:rPr>
                <w:sz w:val="17"/>
                <w:szCs w:val="17"/>
                <w:lang w:val="en-GB" w:bidi="th-TH"/>
              </w:rPr>
              <w:t>247.6</w:t>
            </w:r>
          </w:p>
        </w:tc>
        <w:tc>
          <w:tcPr>
            <w:tcW w:w="45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8F6D6E8" w14:textId="77777777" w:rsidR="00A345CE" w:rsidRPr="000E3A36" w:rsidRDefault="00A345CE" w:rsidP="003B6CDA">
            <w:pPr>
              <w:jc w:val="center"/>
              <w:rPr>
                <w:rFonts w:eastAsia="Arial Unicode MS"/>
                <w:sz w:val="17"/>
                <w:szCs w:val="17"/>
                <w:lang w:val="en-GB" w:bidi="th-TH"/>
              </w:rPr>
            </w:pPr>
            <w:r w:rsidRPr="000E3A36">
              <w:rPr>
                <w:sz w:val="17"/>
                <w:szCs w:val="17"/>
                <w:lang w:val="en-GB" w:bidi="th-TH"/>
              </w:rPr>
              <w:t>8</w:t>
            </w:r>
          </w:p>
        </w:tc>
        <w:tc>
          <w:tcPr>
            <w:tcW w:w="63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609F6FE6" w14:textId="77777777" w:rsidR="00A345CE" w:rsidRPr="000E3A36" w:rsidRDefault="00A345CE" w:rsidP="003B6CDA">
            <w:pPr>
              <w:ind w:right="72"/>
              <w:jc w:val="right"/>
              <w:rPr>
                <w:sz w:val="17"/>
                <w:szCs w:val="17"/>
                <w:lang w:val="en-GB" w:bidi="th-TH"/>
              </w:rPr>
            </w:pPr>
            <w:r w:rsidRPr="000E3A36">
              <w:rPr>
                <w:sz w:val="17"/>
                <w:szCs w:val="17"/>
                <w:lang w:val="en-GB" w:bidi="th-TH"/>
              </w:rPr>
              <w:t>96.08</w:t>
            </w:r>
          </w:p>
        </w:tc>
        <w:tc>
          <w:tcPr>
            <w:tcW w:w="42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F94C0CA"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8</w:t>
            </w:r>
          </w:p>
        </w:tc>
        <w:tc>
          <w:tcPr>
            <w:tcW w:w="561"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68B4F759" w14:textId="77777777" w:rsidR="00A345CE" w:rsidRPr="000E3A36" w:rsidRDefault="00A345CE" w:rsidP="003B6CDA">
            <w:pPr>
              <w:tabs>
                <w:tab w:val="left" w:pos="1440"/>
                <w:tab w:val="right" w:leader="dot" w:pos="9000"/>
              </w:tabs>
              <w:ind w:right="36"/>
              <w:jc w:val="right"/>
              <w:rPr>
                <w:rFonts w:eastAsia="Arial Unicode MS"/>
                <w:sz w:val="17"/>
                <w:szCs w:val="17"/>
                <w:lang w:val="en-GB" w:bidi="th-TH"/>
              </w:rPr>
            </w:pPr>
            <w:r w:rsidRPr="000E3A36">
              <w:rPr>
                <w:sz w:val="17"/>
                <w:szCs w:val="17"/>
                <w:lang w:val="en-GB" w:bidi="th-TH"/>
              </w:rPr>
              <w:t>117.4</w:t>
            </w:r>
          </w:p>
        </w:tc>
        <w:tc>
          <w:tcPr>
            <w:tcW w:w="720" w:type="dxa"/>
            <w:tcBorders>
              <w:top w:val="single" w:sz="4" w:space="0" w:color="auto"/>
              <w:left w:val="nil"/>
              <w:bottom w:val="single" w:sz="4" w:space="0" w:color="auto"/>
              <w:right w:val="single" w:sz="12" w:space="0" w:color="auto"/>
            </w:tcBorders>
            <w:noWrap/>
            <w:tcMar>
              <w:top w:w="15" w:type="dxa"/>
              <w:left w:w="15" w:type="dxa"/>
              <w:bottom w:w="0" w:type="dxa"/>
              <w:right w:w="15" w:type="dxa"/>
            </w:tcMar>
            <w:vAlign w:val="center"/>
          </w:tcPr>
          <w:p w14:paraId="0181F5BD"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556.3</w:t>
            </w:r>
          </w:p>
        </w:tc>
      </w:tr>
      <w:tr w:rsidR="00A345CE" w:rsidRPr="000E3A36" w14:paraId="0FF876E0" w14:textId="77777777" w:rsidTr="003B6CDA">
        <w:trPr>
          <w:jc w:val="center"/>
        </w:trPr>
        <w:tc>
          <w:tcPr>
            <w:tcW w:w="2735" w:type="dxa"/>
            <w:tcBorders>
              <w:top w:val="nil"/>
              <w:left w:val="single" w:sz="12" w:space="0" w:color="auto"/>
              <w:bottom w:val="single" w:sz="4" w:space="0" w:color="auto"/>
              <w:right w:val="single" w:sz="4" w:space="0" w:color="auto"/>
            </w:tcBorders>
            <w:noWrap/>
            <w:tcMar>
              <w:top w:w="15" w:type="dxa"/>
              <w:left w:w="15" w:type="dxa"/>
              <w:bottom w:w="0" w:type="dxa"/>
              <w:right w:w="15" w:type="dxa"/>
            </w:tcMar>
            <w:vAlign w:val="center"/>
          </w:tcPr>
          <w:p w14:paraId="7E120100" w14:textId="77777777" w:rsidR="00A345CE" w:rsidRPr="000E3A36" w:rsidRDefault="00A345CE" w:rsidP="003B6CDA">
            <w:pPr>
              <w:tabs>
                <w:tab w:val="left" w:pos="1440"/>
                <w:tab w:val="right" w:leader="dot" w:pos="9000"/>
              </w:tabs>
              <w:rPr>
                <w:rFonts w:eastAsia="Arial Unicode MS"/>
                <w:sz w:val="17"/>
                <w:szCs w:val="17"/>
                <w:lang w:val="en-GB" w:bidi="th-TH"/>
              </w:rPr>
            </w:pPr>
            <w:r w:rsidRPr="000E3A36">
              <w:rPr>
                <w:bCs/>
                <w:sz w:val="17"/>
                <w:szCs w:val="17"/>
                <w:lang w:val="en-GB" w:bidi="th-TH"/>
              </w:rPr>
              <w:t>Coastal development</w:t>
            </w:r>
          </w:p>
        </w:tc>
        <w:tc>
          <w:tcPr>
            <w:tcW w:w="43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13BD6B97"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6</w:t>
            </w:r>
          </w:p>
        </w:tc>
        <w:tc>
          <w:tcPr>
            <w:tcW w:w="54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64D54CCE" w14:textId="77777777" w:rsidR="00A345CE" w:rsidRPr="000E3A36" w:rsidRDefault="00A345CE" w:rsidP="003B6CDA">
            <w:pPr>
              <w:tabs>
                <w:tab w:val="left" w:pos="1440"/>
                <w:tab w:val="right" w:leader="dot" w:pos="9000"/>
              </w:tabs>
              <w:ind w:right="72"/>
              <w:jc w:val="right"/>
              <w:rPr>
                <w:rFonts w:eastAsia="Arial Unicode MS"/>
                <w:sz w:val="17"/>
                <w:szCs w:val="17"/>
                <w:lang w:val="en-GB" w:bidi="th-TH"/>
              </w:rPr>
            </w:pPr>
            <w:r w:rsidRPr="000E3A36">
              <w:rPr>
                <w:sz w:val="17"/>
                <w:szCs w:val="17"/>
                <w:lang w:val="en-GB" w:bidi="th-TH"/>
              </w:rPr>
              <w:t>2.2</w:t>
            </w:r>
          </w:p>
        </w:tc>
        <w:tc>
          <w:tcPr>
            <w:tcW w:w="36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5F06994"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7</w:t>
            </w:r>
          </w:p>
        </w:tc>
        <w:tc>
          <w:tcPr>
            <w:tcW w:w="552" w:type="dxa"/>
            <w:gridSpan w:val="4"/>
            <w:tcBorders>
              <w:top w:val="nil"/>
              <w:left w:val="nil"/>
              <w:bottom w:val="single" w:sz="4" w:space="0" w:color="auto"/>
              <w:right w:val="single" w:sz="4" w:space="0" w:color="auto"/>
            </w:tcBorders>
            <w:noWrap/>
            <w:tcMar>
              <w:top w:w="15" w:type="dxa"/>
              <w:left w:w="15" w:type="dxa"/>
              <w:bottom w:w="0" w:type="dxa"/>
              <w:right w:w="15" w:type="dxa"/>
            </w:tcMar>
            <w:vAlign w:val="center"/>
          </w:tcPr>
          <w:p w14:paraId="530F3E70"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36.7</w:t>
            </w:r>
          </w:p>
        </w:tc>
        <w:tc>
          <w:tcPr>
            <w:tcW w:w="43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0ADB2934"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6</w:t>
            </w:r>
          </w:p>
        </w:tc>
        <w:tc>
          <w:tcPr>
            <w:tcW w:w="45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4C8738E"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34.7</w:t>
            </w:r>
          </w:p>
        </w:tc>
        <w:tc>
          <w:tcPr>
            <w:tcW w:w="450"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6905C2E2"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6</w:t>
            </w:r>
          </w:p>
        </w:tc>
        <w:tc>
          <w:tcPr>
            <w:tcW w:w="63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1D125010"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371.5</w:t>
            </w:r>
          </w:p>
        </w:tc>
        <w:tc>
          <w:tcPr>
            <w:tcW w:w="45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296483B"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3</w:t>
            </w:r>
          </w:p>
        </w:tc>
        <w:tc>
          <w:tcPr>
            <w:tcW w:w="63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3A5DF825"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36.03</w:t>
            </w:r>
          </w:p>
        </w:tc>
        <w:tc>
          <w:tcPr>
            <w:tcW w:w="42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2056ED2"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6</w:t>
            </w:r>
          </w:p>
        </w:tc>
        <w:tc>
          <w:tcPr>
            <w:tcW w:w="561"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65793DC9" w14:textId="77777777" w:rsidR="00A345CE" w:rsidRPr="000E3A36" w:rsidRDefault="00A345CE" w:rsidP="003B6CDA">
            <w:pPr>
              <w:tabs>
                <w:tab w:val="left" w:pos="1440"/>
                <w:tab w:val="right" w:leader="dot" w:pos="9000"/>
              </w:tabs>
              <w:ind w:right="36"/>
              <w:jc w:val="right"/>
              <w:rPr>
                <w:rFonts w:eastAsia="Arial Unicode MS"/>
                <w:sz w:val="17"/>
                <w:szCs w:val="17"/>
                <w:lang w:val="en-GB" w:bidi="th-TH"/>
              </w:rPr>
            </w:pPr>
            <w:r w:rsidRPr="000E3A36">
              <w:rPr>
                <w:sz w:val="17"/>
                <w:szCs w:val="17"/>
                <w:lang w:val="en-GB" w:bidi="th-TH"/>
              </w:rPr>
              <w:t>88.08</w:t>
            </w:r>
          </w:p>
        </w:tc>
        <w:tc>
          <w:tcPr>
            <w:tcW w:w="720" w:type="dxa"/>
            <w:tcBorders>
              <w:top w:val="single" w:sz="4" w:space="0" w:color="auto"/>
              <w:left w:val="nil"/>
              <w:bottom w:val="single" w:sz="4" w:space="0" w:color="auto"/>
              <w:right w:val="single" w:sz="12" w:space="0" w:color="auto"/>
            </w:tcBorders>
            <w:noWrap/>
            <w:tcMar>
              <w:top w:w="15" w:type="dxa"/>
              <w:left w:w="15" w:type="dxa"/>
              <w:bottom w:w="0" w:type="dxa"/>
              <w:right w:w="15" w:type="dxa"/>
            </w:tcMar>
            <w:vAlign w:val="center"/>
          </w:tcPr>
          <w:p w14:paraId="77443D81"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569.2</w:t>
            </w:r>
          </w:p>
        </w:tc>
      </w:tr>
      <w:tr w:rsidR="00A345CE" w:rsidRPr="000E3A36" w14:paraId="3B1F87E8" w14:textId="77777777" w:rsidTr="003B6CDA">
        <w:trPr>
          <w:jc w:val="center"/>
        </w:trPr>
        <w:tc>
          <w:tcPr>
            <w:tcW w:w="2735" w:type="dxa"/>
            <w:tcBorders>
              <w:top w:val="nil"/>
              <w:left w:val="single" w:sz="12" w:space="0" w:color="auto"/>
              <w:bottom w:val="single" w:sz="4" w:space="0" w:color="auto"/>
              <w:right w:val="single" w:sz="4" w:space="0" w:color="auto"/>
            </w:tcBorders>
            <w:noWrap/>
            <w:tcMar>
              <w:top w:w="15" w:type="dxa"/>
              <w:left w:w="15" w:type="dxa"/>
              <w:bottom w:w="0" w:type="dxa"/>
              <w:right w:w="15" w:type="dxa"/>
            </w:tcMar>
            <w:vAlign w:val="center"/>
          </w:tcPr>
          <w:p w14:paraId="49F53056" w14:textId="77777777" w:rsidR="00A345CE" w:rsidRPr="000E3A36" w:rsidRDefault="00A345CE" w:rsidP="003B6CDA">
            <w:pPr>
              <w:tabs>
                <w:tab w:val="left" w:pos="1440"/>
                <w:tab w:val="right" w:leader="dot" w:pos="9000"/>
              </w:tabs>
              <w:rPr>
                <w:rFonts w:eastAsia="Arial Unicode MS"/>
                <w:sz w:val="17"/>
                <w:szCs w:val="17"/>
                <w:lang w:val="en-GB" w:bidi="th-TH"/>
              </w:rPr>
            </w:pPr>
            <w:r w:rsidRPr="000E3A36">
              <w:rPr>
                <w:bCs/>
                <w:sz w:val="17"/>
                <w:szCs w:val="17"/>
                <w:lang w:val="en-GB" w:bidi="th-TH"/>
              </w:rPr>
              <w:t>Unsustainable tourism</w:t>
            </w:r>
          </w:p>
        </w:tc>
        <w:tc>
          <w:tcPr>
            <w:tcW w:w="43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5E4C3F96"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9</w:t>
            </w:r>
          </w:p>
        </w:tc>
        <w:tc>
          <w:tcPr>
            <w:tcW w:w="54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2E30505C" w14:textId="77777777" w:rsidR="00A345CE" w:rsidRPr="000E3A36" w:rsidRDefault="00A345CE" w:rsidP="003B6CDA">
            <w:pPr>
              <w:tabs>
                <w:tab w:val="left" w:pos="1440"/>
                <w:tab w:val="right" w:leader="dot" w:pos="9000"/>
              </w:tabs>
              <w:ind w:right="72"/>
              <w:jc w:val="right"/>
              <w:rPr>
                <w:rFonts w:eastAsia="Arial Unicode MS"/>
                <w:sz w:val="17"/>
                <w:szCs w:val="17"/>
                <w:lang w:val="en-GB" w:bidi="th-TH"/>
              </w:rPr>
            </w:pPr>
            <w:r w:rsidRPr="000E3A36">
              <w:rPr>
                <w:sz w:val="17"/>
                <w:szCs w:val="17"/>
                <w:lang w:val="en-GB" w:bidi="th-TH"/>
              </w:rPr>
              <w:t>3.3</w:t>
            </w:r>
          </w:p>
        </w:tc>
        <w:tc>
          <w:tcPr>
            <w:tcW w:w="36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E879E5C"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9</w:t>
            </w:r>
          </w:p>
        </w:tc>
        <w:tc>
          <w:tcPr>
            <w:tcW w:w="552" w:type="dxa"/>
            <w:gridSpan w:val="4"/>
            <w:tcBorders>
              <w:top w:val="nil"/>
              <w:left w:val="nil"/>
              <w:bottom w:val="single" w:sz="4" w:space="0" w:color="auto"/>
              <w:right w:val="single" w:sz="4" w:space="0" w:color="auto"/>
            </w:tcBorders>
            <w:noWrap/>
            <w:tcMar>
              <w:top w:w="15" w:type="dxa"/>
              <w:left w:w="15" w:type="dxa"/>
              <w:bottom w:w="0" w:type="dxa"/>
              <w:right w:w="15" w:type="dxa"/>
            </w:tcMar>
            <w:vAlign w:val="center"/>
          </w:tcPr>
          <w:p w14:paraId="03D2E719"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47.2</w:t>
            </w:r>
          </w:p>
        </w:tc>
        <w:tc>
          <w:tcPr>
            <w:tcW w:w="438"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4CF85BFC"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3</w:t>
            </w:r>
          </w:p>
        </w:tc>
        <w:tc>
          <w:tcPr>
            <w:tcW w:w="45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EEDAB56"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17.4</w:t>
            </w:r>
          </w:p>
        </w:tc>
        <w:tc>
          <w:tcPr>
            <w:tcW w:w="450" w:type="dxa"/>
            <w:gridSpan w:val="3"/>
            <w:tcBorders>
              <w:top w:val="nil"/>
              <w:left w:val="nil"/>
              <w:bottom w:val="single" w:sz="4" w:space="0" w:color="auto"/>
              <w:right w:val="single" w:sz="4" w:space="0" w:color="auto"/>
            </w:tcBorders>
            <w:noWrap/>
            <w:tcMar>
              <w:top w:w="15" w:type="dxa"/>
              <w:left w:w="15" w:type="dxa"/>
              <w:bottom w:w="0" w:type="dxa"/>
              <w:right w:w="15" w:type="dxa"/>
            </w:tcMar>
            <w:vAlign w:val="center"/>
          </w:tcPr>
          <w:p w14:paraId="2ED2E573"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8</w:t>
            </w:r>
          </w:p>
        </w:tc>
        <w:tc>
          <w:tcPr>
            <w:tcW w:w="63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6BB93322"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495.3</w:t>
            </w:r>
          </w:p>
        </w:tc>
        <w:tc>
          <w:tcPr>
            <w:tcW w:w="45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AEB8EB2"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2</w:t>
            </w:r>
          </w:p>
        </w:tc>
        <w:tc>
          <w:tcPr>
            <w:tcW w:w="630"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79CE1981"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24.02</w:t>
            </w:r>
          </w:p>
        </w:tc>
        <w:tc>
          <w:tcPr>
            <w:tcW w:w="42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2B557B5"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9</w:t>
            </w:r>
          </w:p>
        </w:tc>
        <w:tc>
          <w:tcPr>
            <w:tcW w:w="561" w:type="dxa"/>
            <w:gridSpan w:val="2"/>
            <w:tcBorders>
              <w:top w:val="nil"/>
              <w:left w:val="nil"/>
              <w:bottom w:val="single" w:sz="4" w:space="0" w:color="auto"/>
              <w:right w:val="single" w:sz="4" w:space="0" w:color="auto"/>
            </w:tcBorders>
            <w:noWrap/>
            <w:tcMar>
              <w:top w:w="15" w:type="dxa"/>
              <w:left w:w="15" w:type="dxa"/>
              <w:bottom w:w="0" w:type="dxa"/>
              <w:right w:w="15" w:type="dxa"/>
            </w:tcMar>
            <w:vAlign w:val="center"/>
          </w:tcPr>
          <w:p w14:paraId="31F29FAF" w14:textId="77777777" w:rsidR="00A345CE" w:rsidRPr="000E3A36" w:rsidRDefault="00A345CE" w:rsidP="003B6CDA">
            <w:pPr>
              <w:tabs>
                <w:tab w:val="left" w:pos="1440"/>
                <w:tab w:val="right" w:leader="dot" w:pos="9000"/>
              </w:tabs>
              <w:ind w:right="36"/>
              <w:jc w:val="right"/>
              <w:rPr>
                <w:rFonts w:eastAsia="Arial Unicode MS"/>
                <w:sz w:val="17"/>
                <w:szCs w:val="17"/>
                <w:lang w:val="en-GB" w:bidi="th-TH"/>
              </w:rPr>
            </w:pPr>
            <w:r w:rsidRPr="000E3A36">
              <w:rPr>
                <w:sz w:val="17"/>
                <w:szCs w:val="17"/>
                <w:lang w:val="en-GB" w:bidi="th-TH"/>
              </w:rPr>
              <w:t>132.1</w:t>
            </w:r>
          </w:p>
        </w:tc>
        <w:tc>
          <w:tcPr>
            <w:tcW w:w="720" w:type="dxa"/>
            <w:tcBorders>
              <w:top w:val="single" w:sz="4" w:space="0" w:color="auto"/>
              <w:left w:val="nil"/>
              <w:bottom w:val="single" w:sz="4" w:space="0" w:color="auto"/>
              <w:right w:val="single" w:sz="12" w:space="0" w:color="auto"/>
            </w:tcBorders>
            <w:noWrap/>
            <w:tcMar>
              <w:top w:w="15" w:type="dxa"/>
              <w:left w:w="15" w:type="dxa"/>
              <w:bottom w:w="0" w:type="dxa"/>
              <w:right w:w="15" w:type="dxa"/>
            </w:tcMar>
            <w:vAlign w:val="center"/>
          </w:tcPr>
          <w:p w14:paraId="43E4C9D3"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719.3</w:t>
            </w:r>
          </w:p>
        </w:tc>
      </w:tr>
      <w:tr w:rsidR="00A345CE" w:rsidRPr="000E3A36" w14:paraId="5B42F500" w14:textId="77777777" w:rsidTr="003B6CDA">
        <w:trPr>
          <w:jc w:val="center"/>
        </w:trPr>
        <w:tc>
          <w:tcPr>
            <w:tcW w:w="2735" w:type="dxa"/>
            <w:tcBorders>
              <w:top w:val="single" w:sz="4" w:space="0" w:color="auto"/>
              <w:left w:val="single" w:sz="12" w:space="0" w:color="auto"/>
              <w:bottom w:val="single" w:sz="4" w:space="0" w:color="auto"/>
              <w:right w:val="single" w:sz="4" w:space="0" w:color="auto"/>
            </w:tcBorders>
            <w:noWrap/>
            <w:tcMar>
              <w:top w:w="15" w:type="dxa"/>
              <w:left w:w="15" w:type="dxa"/>
              <w:bottom w:w="0" w:type="dxa"/>
              <w:right w:w="15" w:type="dxa"/>
            </w:tcMar>
            <w:vAlign w:val="center"/>
          </w:tcPr>
          <w:p w14:paraId="43ADAA78" w14:textId="77777777" w:rsidR="00A345CE" w:rsidRPr="000E3A36" w:rsidRDefault="00A345CE" w:rsidP="003B6CDA">
            <w:pPr>
              <w:tabs>
                <w:tab w:val="left" w:pos="1440"/>
                <w:tab w:val="right" w:leader="dot" w:pos="9000"/>
              </w:tabs>
              <w:rPr>
                <w:rFonts w:eastAsia="Arial Unicode MS"/>
                <w:sz w:val="17"/>
                <w:szCs w:val="17"/>
                <w:lang w:val="en-GB" w:bidi="th-TH"/>
              </w:rPr>
            </w:pPr>
            <w:r w:rsidRPr="000E3A36">
              <w:rPr>
                <w:bCs/>
                <w:sz w:val="17"/>
                <w:szCs w:val="17"/>
                <w:lang w:val="en-GB" w:bidi="th-TH"/>
              </w:rPr>
              <w:t>Deforestation on upland areas</w:t>
            </w:r>
          </w:p>
        </w:tc>
        <w:tc>
          <w:tcPr>
            <w:tcW w:w="430" w:type="dxa"/>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871999A"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7</w:t>
            </w:r>
          </w:p>
        </w:tc>
        <w:tc>
          <w:tcPr>
            <w:tcW w:w="540" w:type="dxa"/>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91EAB3F" w14:textId="77777777" w:rsidR="00A345CE" w:rsidRPr="000E3A36" w:rsidRDefault="00A345CE" w:rsidP="003B6CDA">
            <w:pPr>
              <w:tabs>
                <w:tab w:val="left" w:pos="1440"/>
                <w:tab w:val="right" w:leader="dot" w:pos="9000"/>
              </w:tabs>
              <w:ind w:right="72"/>
              <w:jc w:val="right"/>
              <w:rPr>
                <w:rFonts w:eastAsia="Arial Unicode MS"/>
                <w:sz w:val="17"/>
                <w:szCs w:val="17"/>
                <w:lang w:val="en-GB" w:bidi="th-TH"/>
              </w:rPr>
            </w:pPr>
            <w:r w:rsidRPr="000E3A36">
              <w:rPr>
                <w:sz w:val="17"/>
                <w:szCs w:val="17"/>
                <w:lang w:val="en-GB" w:bidi="th-TH"/>
              </w:rPr>
              <w:t>2.6</w:t>
            </w:r>
          </w:p>
        </w:tc>
        <w:tc>
          <w:tcPr>
            <w:tcW w:w="36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89C64EE"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6</w:t>
            </w:r>
          </w:p>
        </w:tc>
        <w:tc>
          <w:tcPr>
            <w:tcW w:w="552" w:type="dxa"/>
            <w:gridSpan w:val="4"/>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2D8DE85"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31.4</w:t>
            </w:r>
          </w:p>
        </w:tc>
        <w:tc>
          <w:tcPr>
            <w:tcW w:w="438" w:type="dxa"/>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4DD68E9"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8</w:t>
            </w:r>
          </w:p>
        </w:tc>
        <w:tc>
          <w:tcPr>
            <w:tcW w:w="45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D0E8F42"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46.3</w:t>
            </w:r>
          </w:p>
        </w:tc>
        <w:tc>
          <w:tcPr>
            <w:tcW w:w="450" w:type="dxa"/>
            <w:gridSpan w:val="3"/>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29A9DEF"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7</w:t>
            </w:r>
          </w:p>
        </w:tc>
        <w:tc>
          <w:tcPr>
            <w:tcW w:w="630" w:type="dxa"/>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0A9B431"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433.4</w:t>
            </w:r>
          </w:p>
        </w:tc>
        <w:tc>
          <w:tcPr>
            <w:tcW w:w="45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9727186"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9</w:t>
            </w:r>
          </w:p>
        </w:tc>
        <w:tc>
          <w:tcPr>
            <w:tcW w:w="630" w:type="dxa"/>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67A0497"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108.09</w:t>
            </w:r>
          </w:p>
        </w:tc>
        <w:tc>
          <w:tcPr>
            <w:tcW w:w="429"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20EBF57" w14:textId="77777777" w:rsidR="00A345CE" w:rsidRPr="000E3A36" w:rsidRDefault="00A345CE" w:rsidP="003B6CDA">
            <w:pPr>
              <w:tabs>
                <w:tab w:val="left" w:pos="1440"/>
                <w:tab w:val="right" w:leader="dot" w:pos="9000"/>
              </w:tabs>
              <w:jc w:val="center"/>
              <w:rPr>
                <w:rFonts w:eastAsia="Arial Unicode MS"/>
                <w:sz w:val="17"/>
                <w:szCs w:val="17"/>
                <w:lang w:val="en-GB" w:bidi="th-TH"/>
              </w:rPr>
            </w:pPr>
            <w:r w:rsidRPr="000E3A36">
              <w:rPr>
                <w:sz w:val="17"/>
                <w:szCs w:val="17"/>
                <w:lang w:val="en-GB" w:bidi="th-TH"/>
              </w:rPr>
              <w:t>7</w:t>
            </w:r>
          </w:p>
        </w:tc>
        <w:tc>
          <w:tcPr>
            <w:tcW w:w="561" w:type="dxa"/>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ACF4611" w14:textId="77777777" w:rsidR="00A345CE" w:rsidRPr="000E3A36" w:rsidRDefault="00A345CE" w:rsidP="003B6CDA">
            <w:pPr>
              <w:tabs>
                <w:tab w:val="left" w:pos="1440"/>
                <w:tab w:val="right" w:leader="dot" w:pos="9000"/>
              </w:tabs>
              <w:ind w:right="36"/>
              <w:jc w:val="right"/>
              <w:rPr>
                <w:rFonts w:eastAsia="Arial Unicode MS"/>
                <w:sz w:val="17"/>
                <w:szCs w:val="17"/>
                <w:lang w:val="en-GB" w:bidi="th-TH"/>
              </w:rPr>
            </w:pPr>
            <w:r w:rsidRPr="000E3A36">
              <w:rPr>
                <w:sz w:val="17"/>
                <w:szCs w:val="17"/>
                <w:lang w:val="en-GB" w:bidi="th-TH"/>
              </w:rPr>
              <w:t>102.8</w:t>
            </w:r>
          </w:p>
        </w:tc>
        <w:tc>
          <w:tcPr>
            <w:tcW w:w="720" w:type="dxa"/>
            <w:tcBorders>
              <w:top w:val="single" w:sz="4" w:space="0" w:color="auto"/>
              <w:left w:val="nil"/>
              <w:bottom w:val="single" w:sz="4" w:space="0" w:color="auto"/>
              <w:right w:val="single" w:sz="12" w:space="0" w:color="auto"/>
            </w:tcBorders>
            <w:noWrap/>
            <w:tcMar>
              <w:top w:w="15" w:type="dxa"/>
              <w:left w:w="15" w:type="dxa"/>
              <w:bottom w:w="0" w:type="dxa"/>
              <w:right w:w="15" w:type="dxa"/>
            </w:tcMar>
            <w:vAlign w:val="center"/>
          </w:tcPr>
          <w:p w14:paraId="2CBFF5BC"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724.6</w:t>
            </w:r>
          </w:p>
        </w:tc>
      </w:tr>
      <w:tr w:rsidR="00A345CE" w:rsidRPr="000E3A36" w14:paraId="180F4DB8" w14:textId="77777777" w:rsidTr="003B6CDA">
        <w:trPr>
          <w:trHeight w:val="92"/>
          <w:jc w:val="center"/>
        </w:trPr>
        <w:tc>
          <w:tcPr>
            <w:tcW w:w="2735" w:type="dxa"/>
            <w:tcBorders>
              <w:top w:val="single" w:sz="4" w:space="0" w:color="auto"/>
              <w:left w:val="single" w:sz="12" w:space="0" w:color="auto"/>
              <w:bottom w:val="single" w:sz="4" w:space="0" w:color="auto"/>
              <w:right w:val="single" w:sz="4" w:space="0" w:color="auto"/>
            </w:tcBorders>
            <w:noWrap/>
            <w:tcMar>
              <w:top w:w="15" w:type="dxa"/>
              <w:left w:w="15" w:type="dxa"/>
              <w:bottom w:w="0" w:type="dxa"/>
              <w:right w:w="15" w:type="dxa"/>
            </w:tcMar>
            <w:vAlign w:val="center"/>
          </w:tcPr>
          <w:p w14:paraId="32BDFAAF" w14:textId="77777777" w:rsidR="00A345CE" w:rsidRPr="000E3A36" w:rsidRDefault="00A345CE" w:rsidP="003B6CDA">
            <w:pPr>
              <w:tabs>
                <w:tab w:val="left" w:pos="1440"/>
                <w:tab w:val="right" w:leader="dot" w:pos="9000"/>
              </w:tabs>
              <w:rPr>
                <w:bCs/>
                <w:sz w:val="17"/>
                <w:szCs w:val="17"/>
                <w:lang w:val="en-GB" w:bidi="th-TH"/>
              </w:rPr>
            </w:pPr>
            <w:r w:rsidRPr="000E3A36">
              <w:rPr>
                <w:sz w:val="17"/>
                <w:szCs w:val="17"/>
                <w:lang w:val="en-GB" w:bidi="th-TH"/>
              </w:rPr>
              <w:t>Total area of coral reefs</w:t>
            </w:r>
            <w:r w:rsidRPr="000E3A36">
              <w:rPr>
                <w:sz w:val="17"/>
                <w:szCs w:val="17"/>
                <w:vertAlign w:val="superscript"/>
                <w:lang w:val="en-GB" w:bidi="th-TH"/>
              </w:rPr>
              <w:footnoteReference w:id="49"/>
            </w:r>
            <w:r w:rsidRPr="000E3A36">
              <w:rPr>
                <w:sz w:val="17"/>
                <w:szCs w:val="17"/>
                <w:lang w:val="en-GB" w:bidi="th-TH"/>
              </w:rPr>
              <w:t xml:space="preserve"> </w:t>
            </w:r>
          </w:p>
        </w:tc>
        <w:tc>
          <w:tcPr>
            <w:tcW w:w="970" w:type="dxa"/>
            <w:gridSpan w:val="4"/>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D46E4D0" w14:textId="77777777" w:rsidR="00A345CE" w:rsidRPr="000E3A36" w:rsidRDefault="00A345CE" w:rsidP="003B6CDA">
            <w:pPr>
              <w:tabs>
                <w:tab w:val="left" w:pos="1440"/>
                <w:tab w:val="right" w:leader="dot" w:pos="9000"/>
              </w:tabs>
              <w:ind w:right="72"/>
              <w:jc w:val="center"/>
              <w:rPr>
                <w:sz w:val="17"/>
                <w:szCs w:val="17"/>
                <w:lang w:val="en-GB" w:bidi="th-TH"/>
              </w:rPr>
            </w:pPr>
            <w:r w:rsidRPr="000E3A36">
              <w:rPr>
                <w:sz w:val="17"/>
                <w:szCs w:val="17"/>
                <w:lang w:val="en-GB" w:bidi="th-TH"/>
              </w:rPr>
              <w:t>2,810</w:t>
            </w:r>
          </w:p>
        </w:tc>
        <w:tc>
          <w:tcPr>
            <w:tcW w:w="912" w:type="dxa"/>
            <w:gridSpan w:val="5"/>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3C4E636" w14:textId="77777777" w:rsidR="00A345CE" w:rsidRPr="000E3A36" w:rsidRDefault="00A345CE" w:rsidP="003B6CDA">
            <w:pPr>
              <w:tabs>
                <w:tab w:val="left" w:pos="1440"/>
                <w:tab w:val="right" w:leader="dot" w:pos="9000"/>
              </w:tabs>
              <w:ind w:right="72"/>
              <w:jc w:val="center"/>
              <w:rPr>
                <w:sz w:val="17"/>
                <w:szCs w:val="17"/>
                <w:lang w:val="en-GB" w:bidi="th-TH"/>
              </w:rPr>
            </w:pPr>
            <w:r w:rsidRPr="000E3A36">
              <w:rPr>
                <w:sz w:val="17"/>
                <w:szCs w:val="17"/>
                <w:lang w:val="en-GB" w:bidi="th-TH"/>
              </w:rPr>
              <w:t>39,300</w:t>
            </w:r>
          </w:p>
        </w:tc>
        <w:tc>
          <w:tcPr>
            <w:tcW w:w="888" w:type="dxa"/>
            <w:gridSpan w:val="3"/>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3C09FFA" w14:textId="77777777" w:rsidR="00A345CE" w:rsidRPr="000E3A36" w:rsidRDefault="00A345CE" w:rsidP="003B6CDA">
            <w:pPr>
              <w:tabs>
                <w:tab w:val="left" w:pos="1440"/>
                <w:tab w:val="right" w:leader="dot" w:pos="9000"/>
              </w:tabs>
              <w:ind w:right="72"/>
              <w:jc w:val="center"/>
              <w:rPr>
                <w:sz w:val="17"/>
                <w:szCs w:val="17"/>
                <w:lang w:val="en-GB" w:bidi="th-TH"/>
              </w:rPr>
            </w:pPr>
            <w:r w:rsidRPr="000E3A36">
              <w:rPr>
                <w:sz w:val="17"/>
                <w:szCs w:val="17"/>
                <w:lang w:val="en-GB" w:bidi="th-TH"/>
              </w:rPr>
              <w:t>43,400</w:t>
            </w:r>
          </w:p>
        </w:tc>
        <w:tc>
          <w:tcPr>
            <w:tcW w:w="1080" w:type="dxa"/>
            <w:gridSpan w:val="5"/>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FC6050C" w14:textId="77777777" w:rsidR="00A345CE" w:rsidRPr="000E3A36" w:rsidRDefault="00A345CE" w:rsidP="003B6CDA">
            <w:pPr>
              <w:tabs>
                <w:tab w:val="left" w:pos="1440"/>
                <w:tab w:val="right" w:leader="dot" w:pos="9000"/>
              </w:tabs>
              <w:ind w:right="72"/>
              <w:jc w:val="center"/>
              <w:rPr>
                <w:sz w:val="17"/>
                <w:szCs w:val="17"/>
                <w:lang w:val="en-GB" w:bidi="th-TH"/>
              </w:rPr>
            </w:pPr>
            <w:r w:rsidRPr="000E3A36">
              <w:rPr>
                <w:sz w:val="17"/>
                <w:szCs w:val="17"/>
                <w:lang w:val="en-GB" w:bidi="th-TH"/>
              </w:rPr>
              <w:t>464,000</w:t>
            </w:r>
          </w:p>
        </w:tc>
        <w:tc>
          <w:tcPr>
            <w:tcW w:w="1080" w:type="dxa"/>
            <w:gridSpan w:val="3"/>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ABC8549" w14:textId="77777777" w:rsidR="00A345CE" w:rsidRPr="000E3A36" w:rsidRDefault="00A345CE" w:rsidP="003B6CDA">
            <w:pPr>
              <w:tabs>
                <w:tab w:val="left" w:pos="1440"/>
                <w:tab w:val="right" w:leader="dot" w:pos="9000"/>
              </w:tabs>
              <w:ind w:right="72"/>
              <w:jc w:val="center"/>
              <w:rPr>
                <w:sz w:val="17"/>
                <w:szCs w:val="17"/>
                <w:lang w:val="en-GB" w:bidi="th-TH"/>
              </w:rPr>
            </w:pPr>
            <w:r w:rsidRPr="000E3A36">
              <w:rPr>
                <w:sz w:val="17"/>
                <w:szCs w:val="17"/>
                <w:lang w:val="en-GB" w:bidi="th-TH"/>
              </w:rPr>
              <w:t>90,000</w:t>
            </w:r>
          </w:p>
        </w:tc>
        <w:tc>
          <w:tcPr>
            <w:tcW w:w="990" w:type="dxa"/>
            <w:gridSpan w:val="3"/>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D5218E3" w14:textId="77777777" w:rsidR="00A345CE" w:rsidRPr="000E3A36" w:rsidRDefault="00A345CE" w:rsidP="003B6CDA">
            <w:pPr>
              <w:tabs>
                <w:tab w:val="left" w:pos="1440"/>
                <w:tab w:val="right" w:leader="dot" w:pos="9000"/>
              </w:tabs>
              <w:ind w:right="36"/>
              <w:jc w:val="center"/>
              <w:rPr>
                <w:sz w:val="17"/>
                <w:szCs w:val="17"/>
                <w:lang w:val="en-GB" w:bidi="th-TH"/>
              </w:rPr>
            </w:pPr>
            <w:r w:rsidRPr="000E3A36">
              <w:rPr>
                <w:sz w:val="17"/>
                <w:szCs w:val="17"/>
                <w:lang w:val="en-GB" w:bidi="th-TH"/>
              </w:rPr>
              <w:t>110,000</w:t>
            </w:r>
          </w:p>
        </w:tc>
        <w:tc>
          <w:tcPr>
            <w:tcW w:w="720" w:type="dxa"/>
            <w:tcBorders>
              <w:top w:val="single" w:sz="4" w:space="0" w:color="auto"/>
              <w:left w:val="nil"/>
              <w:bottom w:val="single" w:sz="4" w:space="0" w:color="auto"/>
              <w:right w:val="single" w:sz="12" w:space="0" w:color="auto"/>
            </w:tcBorders>
            <w:noWrap/>
            <w:tcMar>
              <w:top w:w="15" w:type="dxa"/>
              <w:left w:w="15" w:type="dxa"/>
              <w:bottom w:w="0" w:type="dxa"/>
              <w:right w:w="15" w:type="dxa"/>
            </w:tcMar>
            <w:vAlign w:val="center"/>
          </w:tcPr>
          <w:p w14:paraId="11918E5D"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749,500</w:t>
            </w:r>
          </w:p>
        </w:tc>
      </w:tr>
      <w:tr w:rsidR="00A345CE" w:rsidRPr="000E3A36" w14:paraId="649FF41B" w14:textId="77777777" w:rsidTr="003B6CDA">
        <w:trPr>
          <w:jc w:val="center"/>
        </w:trPr>
        <w:tc>
          <w:tcPr>
            <w:tcW w:w="2735" w:type="dxa"/>
            <w:tcBorders>
              <w:top w:val="single" w:sz="4" w:space="0" w:color="auto"/>
              <w:left w:val="single" w:sz="12" w:space="0" w:color="auto"/>
              <w:bottom w:val="single" w:sz="12" w:space="0" w:color="auto"/>
              <w:right w:val="single" w:sz="4" w:space="0" w:color="auto"/>
            </w:tcBorders>
            <w:noWrap/>
            <w:tcMar>
              <w:top w:w="15" w:type="dxa"/>
              <w:left w:w="15" w:type="dxa"/>
              <w:bottom w:w="0" w:type="dxa"/>
              <w:right w:w="15" w:type="dxa"/>
            </w:tcMar>
            <w:vAlign w:val="center"/>
          </w:tcPr>
          <w:p w14:paraId="1E254DB5" w14:textId="77777777" w:rsidR="00A345CE" w:rsidRPr="000E3A36" w:rsidRDefault="00A345CE" w:rsidP="003B6CDA">
            <w:pPr>
              <w:tabs>
                <w:tab w:val="left" w:pos="1440"/>
                <w:tab w:val="right" w:leader="dot" w:pos="9000"/>
              </w:tabs>
              <w:rPr>
                <w:bCs/>
                <w:sz w:val="17"/>
                <w:szCs w:val="17"/>
                <w:lang w:val="en-GB" w:bidi="th-TH"/>
              </w:rPr>
            </w:pPr>
            <w:r w:rsidRPr="000E3A36">
              <w:rPr>
                <w:sz w:val="17"/>
                <w:szCs w:val="17"/>
                <w:lang w:val="en-GB" w:bidi="th-TH"/>
              </w:rPr>
              <w:t>Proportion of total coral reef area</w:t>
            </w:r>
          </w:p>
        </w:tc>
        <w:tc>
          <w:tcPr>
            <w:tcW w:w="970" w:type="dxa"/>
            <w:gridSpan w:val="4"/>
            <w:tcBorders>
              <w:top w:val="single" w:sz="4" w:space="0" w:color="auto"/>
              <w:left w:val="nil"/>
              <w:bottom w:val="single" w:sz="12" w:space="0" w:color="auto"/>
              <w:right w:val="single" w:sz="4" w:space="0" w:color="auto"/>
            </w:tcBorders>
            <w:noWrap/>
            <w:tcMar>
              <w:top w:w="15" w:type="dxa"/>
              <w:left w:w="15" w:type="dxa"/>
              <w:bottom w:w="0" w:type="dxa"/>
              <w:right w:w="15" w:type="dxa"/>
            </w:tcMar>
            <w:vAlign w:val="center"/>
          </w:tcPr>
          <w:p w14:paraId="1822E5A2"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0.37</w:t>
            </w:r>
          </w:p>
        </w:tc>
        <w:tc>
          <w:tcPr>
            <w:tcW w:w="912" w:type="dxa"/>
            <w:gridSpan w:val="5"/>
            <w:tcBorders>
              <w:top w:val="single" w:sz="4" w:space="0" w:color="auto"/>
              <w:left w:val="nil"/>
              <w:bottom w:val="single" w:sz="12" w:space="0" w:color="auto"/>
              <w:right w:val="single" w:sz="4" w:space="0" w:color="auto"/>
            </w:tcBorders>
            <w:noWrap/>
            <w:tcMar>
              <w:top w:w="15" w:type="dxa"/>
              <w:left w:w="15" w:type="dxa"/>
              <w:bottom w:w="0" w:type="dxa"/>
              <w:right w:w="15" w:type="dxa"/>
            </w:tcMar>
            <w:vAlign w:val="center"/>
          </w:tcPr>
          <w:p w14:paraId="0DD03944"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5.24</w:t>
            </w:r>
          </w:p>
        </w:tc>
        <w:tc>
          <w:tcPr>
            <w:tcW w:w="888" w:type="dxa"/>
            <w:gridSpan w:val="3"/>
            <w:tcBorders>
              <w:top w:val="single" w:sz="4" w:space="0" w:color="auto"/>
              <w:left w:val="nil"/>
              <w:bottom w:val="single" w:sz="12" w:space="0" w:color="auto"/>
              <w:right w:val="single" w:sz="4" w:space="0" w:color="auto"/>
            </w:tcBorders>
            <w:noWrap/>
            <w:tcMar>
              <w:top w:w="15" w:type="dxa"/>
              <w:left w:w="15" w:type="dxa"/>
              <w:bottom w:w="0" w:type="dxa"/>
              <w:right w:w="15" w:type="dxa"/>
            </w:tcMar>
            <w:vAlign w:val="center"/>
          </w:tcPr>
          <w:p w14:paraId="0831AF23"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rPr>
              <w:t>5.79</w:t>
            </w:r>
          </w:p>
        </w:tc>
        <w:tc>
          <w:tcPr>
            <w:tcW w:w="1080" w:type="dxa"/>
            <w:gridSpan w:val="5"/>
            <w:tcBorders>
              <w:top w:val="single" w:sz="4" w:space="0" w:color="auto"/>
              <w:left w:val="nil"/>
              <w:bottom w:val="single" w:sz="12" w:space="0" w:color="auto"/>
              <w:right w:val="single" w:sz="4" w:space="0" w:color="auto"/>
            </w:tcBorders>
            <w:noWrap/>
            <w:tcMar>
              <w:top w:w="15" w:type="dxa"/>
              <w:left w:w="15" w:type="dxa"/>
              <w:bottom w:w="0" w:type="dxa"/>
              <w:right w:w="15" w:type="dxa"/>
            </w:tcMar>
            <w:vAlign w:val="center"/>
          </w:tcPr>
          <w:p w14:paraId="7518857D"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61.91</w:t>
            </w:r>
          </w:p>
        </w:tc>
        <w:tc>
          <w:tcPr>
            <w:tcW w:w="1080" w:type="dxa"/>
            <w:gridSpan w:val="3"/>
            <w:tcBorders>
              <w:top w:val="single" w:sz="4" w:space="0" w:color="auto"/>
              <w:left w:val="nil"/>
              <w:bottom w:val="single" w:sz="12" w:space="0" w:color="auto"/>
              <w:right w:val="single" w:sz="4" w:space="0" w:color="auto"/>
            </w:tcBorders>
            <w:noWrap/>
            <w:tcMar>
              <w:top w:w="15" w:type="dxa"/>
              <w:left w:w="15" w:type="dxa"/>
              <w:bottom w:w="0" w:type="dxa"/>
              <w:right w:w="15" w:type="dxa"/>
            </w:tcMar>
            <w:vAlign w:val="center"/>
          </w:tcPr>
          <w:p w14:paraId="48C5F9F5" w14:textId="77777777" w:rsidR="00A345CE" w:rsidRPr="000E3A36" w:rsidRDefault="00A345CE" w:rsidP="003B6CDA">
            <w:pPr>
              <w:tabs>
                <w:tab w:val="left" w:pos="1440"/>
                <w:tab w:val="right" w:leader="dot" w:pos="9000"/>
              </w:tabs>
              <w:ind w:right="72"/>
              <w:jc w:val="right"/>
              <w:rPr>
                <w:sz w:val="17"/>
                <w:szCs w:val="17"/>
                <w:lang w:val="en-GB" w:bidi="th-TH"/>
              </w:rPr>
            </w:pPr>
            <w:r w:rsidRPr="000E3A36">
              <w:rPr>
                <w:sz w:val="17"/>
                <w:szCs w:val="17"/>
                <w:lang w:val="en-GB" w:bidi="th-TH"/>
              </w:rPr>
              <w:t>12.01</w:t>
            </w:r>
          </w:p>
        </w:tc>
        <w:tc>
          <w:tcPr>
            <w:tcW w:w="990" w:type="dxa"/>
            <w:gridSpan w:val="3"/>
            <w:tcBorders>
              <w:top w:val="single" w:sz="4" w:space="0" w:color="auto"/>
              <w:left w:val="nil"/>
              <w:bottom w:val="single" w:sz="12" w:space="0" w:color="auto"/>
              <w:right w:val="single" w:sz="4" w:space="0" w:color="auto"/>
            </w:tcBorders>
            <w:noWrap/>
            <w:tcMar>
              <w:top w:w="15" w:type="dxa"/>
              <w:left w:w="15" w:type="dxa"/>
              <w:bottom w:w="0" w:type="dxa"/>
              <w:right w:w="15" w:type="dxa"/>
            </w:tcMar>
            <w:vAlign w:val="center"/>
          </w:tcPr>
          <w:p w14:paraId="6E12F50E" w14:textId="77777777" w:rsidR="00A345CE" w:rsidRPr="000E3A36" w:rsidRDefault="00A345CE" w:rsidP="003B6CDA">
            <w:pPr>
              <w:tabs>
                <w:tab w:val="left" w:pos="1440"/>
                <w:tab w:val="right" w:leader="dot" w:pos="9000"/>
              </w:tabs>
              <w:ind w:right="36"/>
              <w:jc w:val="right"/>
              <w:rPr>
                <w:sz w:val="17"/>
                <w:szCs w:val="17"/>
                <w:lang w:val="en-GB" w:bidi="th-TH"/>
              </w:rPr>
            </w:pPr>
            <w:r w:rsidRPr="000E3A36">
              <w:rPr>
                <w:sz w:val="17"/>
                <w:szCs w:val="17"/>
                <w:lang w:val="en-GB" w:bidi="th-TH"/>
              </w:rPr>
              <w:t>14.68</w:t>
            </w:r>
          </w:p>
        </w:tc>
        <w:tc>
          <w:tcPr>
            <w:tcW w:w="720" w:type="dxa"/>
            <w:tcBorders>
              <w:top w:val="single" w:sz="4" w:space="0" w:color="auto"/>
              <w:left w:val="nil"/>
              <w:bottom w:val="single" w:sz="12" w:space="0" w:color="auto"/>
              <w:right w:val="single" w:sz="12" w:space="0" w:color="auto"/>
            </w:tcBorders>
            <w:noWrap/>
            <w:tcMar>
              <w:top w:w="15" w:type="dxa"/>
              <w:left w:w="15" w:type="dxa"/>
              <w:bottom w:w="0" w:type="dxa"/>
              <w:right w:w="15" w:type="dxa"/>
            </w:tcMar>
            <w:vAlign w:val="center"/>
          </w:tcPr>
          <w:p w14:paraId="68501E1C" w14:textId="77777777" w:rsidR="00A345CE" w:rsidRPr="000E3A36" w:rsidRDefault="00A345CE" w:rsidP="003B6CDA">
            <w:pPr>
              <w:ind w:right="72"/>
              <w:jc w:val="right"/>
              <w:rPr>
                <w:sz w:val="17"/>
                <w:szCs w:val="17"/>
                <w:lang w:val="en-GB" w:bidi="th-TH"/>
              </w:rPr>
            </w:pPr>
          </w:p>
        </w:tc>
      </w:tr>
    </w:tbl>
    <w:p w14:paraId="6764AB23" w14:textId="77777777" w:rsidR="00A345CE" w:rsidRDefault="00A345CE" w:rsidP="00A345CE">
      <w:pPr>
        <w:numPr>
          <w:ilvl w:val="0"/>
          <w:numId w:val="3"/>
        </w:numPr>
        <w:spacing w:before="120" w:after="120"/>
        <w:ind w:left="0" w:firstLine="0"/>
        <w:jc w:val="both"/>
        <w:rPr>
          <w:rFonts w:cs="Angsana New"/>
          <w:sz w:val="22"/>
          <w:szCs w:val="22"/>
          <w:lang w:val="en-GB" w:bidi="th-TH"/>
        </w:rPr>
      </w:pPr>
      <w:r>
        <w:rPr>
          <w:rFonts w:cs="Angsana New"/>
          <w:sz w:val="22"/>
          <w:szCs w:val="22"/>
          <w:lang w:val="en-GB" w:bidi="th-TH"/>
        </w:rPr>
        <w:t>Table 1</w:t>
      </w:r>
      <w:r w:rsidR="00796B4F">
        <w:rPr>
          <w:rFonts w:cs="Angsana New"/>
          <w:sz w:val="22"/>
          <w:szCs w:val="22"/>
          <w:lang w:val="en-GB" w:bidi="th-TH"/>
        </w:rPr>
        <w:t>3</w:t>
      </w:r>
      <w:r w:rsidRPr="000E3A36">
        <w:rPr>
          <w:rFonts w:cs="Angsana New"/>
          <w:sz w:val="22"/>
          <w:szCs w:val="22"/>
          <w:lang w:val="en-GB" w:bidi="th-TH"/>
        </w:rPr>
        <w:t xml:space="preserve"> presents the threats ranked for each country from 1 to 9 with 1 representing the most serious and 9 representing the least serious threat. The ratio of the coral reef area in each country compared to the total area for the South China Sea (excluding China) was used to weight the individual country ranks resulting in a regionally weighted score. The weighted scores suggest that, on a regional scale, the most serious threat is over-fishing; followed by destructive fishing; sedimentation; pollution; unsustainable fisheries practices; coastal development; coral bleaching; unsustainable tourism; and, finally, deforestation on upland areas. </w:t>
      </w:r>
      <w:r w:rsidR="00F278C5">
        <w:rPr>
          <w:rFonts w:cs="Angsana New"/>
          <w:sz w:val="22"/>
          <w:szCs w:val="22"/>
          <w:lang w:val="en-GB" w:bidi="th-TH"/>
        </w:rPr>
        <w:t xml:space="preserve">Domestic solid waste and the use of coral for building materials are additional threats in densely inhabitated areas of Indonesia, including Batam. </w:t>
      </w:r>
      <w:r w:rsidRPr="000E3A36">
        <w:rPr>
          <w:rFonts w:cs="Angsana New"/>
          <w:sz w:val="22"/>
          <w:szCs w:val="22"/>
          <w:lang w:val="en-GB" w:bidi="th-TH"/>
        </w:rPr>
        <w:t xml:space="preserve">Extensive bleaching in the entire region occurred in 1998 and bleaching with high severity was observed in the Gulf of Thailand and the south-west South China Sea (from south Viet Nam to Singapore) in 2010 (Tun </w:t>
      </w:r>
      <w:r w:rsidRPr="000E3A36">
        <w:rPr>
          <w:rFonts w:cs="Angsana New"/>
          <w:i/>
          <w:iCs/>
          <w:sz w:val="22"/>
          <w:szCs w:val="22"/>
          <w:lang w:val="en-GB" w:bidi="th-TH"/>
        </w:rPr>
        <w:t>et al</w:t>
      </w:r>
      <w:r w:rsidRPr="000E3A36">
        <w:rPr>
          <w:rFonts w:cs="Angsana New"/>
          <w:sz w:val="22"/>
          <w:szCs w:val="22"/>
          <w:lang w:val="en-GB" w:bidi="th-TH"/>
        </w:rPr>
        <w:t xml:space="preserve">., 2010). </w:t>
      </w:r>
    </w:p>
    <w:p w14:paraId="1C065D2C" w14:textId="77777777" w:rsidR="0067083C" w:rsidRPr="0067083C" w:rsidRDefault="0067083C" w:rsidP="0067083C">
      <w:pPr>
        <w:numPr>
          <w:ilvl w:val="3"/>
          <w:numId w:val="2"/>
        </w:numPr>
        <w:spacing w:after="120"/>
        <w:outlineLvl w:val="1"/>
        <w:rPr>
          <w:b/>
          <w:sz w:val="22"/>
          <w:szCs w:val="22"/>
          <w:lang w:val="en-GB"/>
        </w:rPr>
      </w:pPr>
      <w:r>
        <w:rPr>
          <w:b/>
          <w:sz w:val="22"/>
          <w:szCs w:val="22"/>
          <w:lang w:val="en-GB"/>
        </w:rPr>
        <w:t>Threats to seagrass</w:t>
      </w:r>
    </w:p>
    <w:p w14:paraId="3B311356" w14:textId="77777777" w:rsidR="00A345CE" w:rsidRDefault="0067083C" w:rsidP="0067083C">
      <w:pPr>
        <w:numPr>
          <w:ilvl w:val="0"/>
          <w:numId w:val="3"/>
        </w:numPr>
        <w:spacing w:before="120" w:after="120"/>
        <w:ind w:left="0" w:firstLine="0"/>
        <w:jc w:val="both"/>
        <w:rPr>
          <w:sz w:val="22"/>
          <w:szCs w:val="22"/>
          <w:lang w:val="en-GB"/>
        </w:rPr>
      </w:pPr>
      <w:r w:rsidRPr="0067083C">
        <w:rPr>
          <w:sz w:val="22"/>
          <w:szCs w:val="22"/>
          <w:lang w:val="en-GB"/>
        </w:rPr>
        <w:t xml:space="preserve">In the South China Sea region, there has been a rapid rate of seagrass loss in recent years. Indonesia has lost about 30-40% of its seagrass beds with as much as 60% being destroyed around Java. In Singapore, the patchy seagrass habitats have suffered severe damage largely through burial under landfill operations. In Thailand, losses of seagrass beds amount to about 20-30% and in the Philippines it is about 30-50%. The Regional Working Group on seagrass (RWG-SG) identified six threats to seagrass including: use of destructive fishing gears such as push nets and demersal trawl nets; increased sedimentation from coastal development; waste water effluent discharges; </w:t>
      </w:r>
      <w:r w:rsidR="00F278C5">
        <w:rPr>
          <w:sz w:val="22"/>
          <w:szCs w:val="22"/>
          <w:lang w:val="en-GB"/>
        </w:rPr>
        <w:t xml:space="preserve">domestic solid waste; </w:t>
      </w:r>
      <w:r w:rsidRPr="0067083C">
        <w:rPr>
          <w:sz w:val="22"/>
          <w:szCs w:val="22"/>
          <w:lang w:val="en-GB"/>
        </w:rPr>
        <w:t xml:space="preserve">nutrient discharges and runoff; </w:t>
      </w:r>
      <w:r w:rsidR="00923686">
        <w:rPr>
          <w:sz w:val="22"/>
          <w:szCs w:val="22"/>
          <w:lang w:val="en-GB"/>
        </w:rPr>
        <w:t xml:space="preserve">conversion to other uses and sedimentation associated with </w:t>
      </w:r>
      <w:r w:rsidRPr="0067083C">
        <w:rPr>
          <w:sz w:val="22"/>
          <w:szCs w:val="22"/>
          <w:lang w:val="en-GB"/>
        </w:rPr>
        <w:t xml:space="preserve">coastal construction; and over-fishing (UNEP, </w:t>
      </w:r>
      <w:r w:rsidR="00803406" w:rsidRPr="0067083C">
        <w:rPr>
          <w:sz w:val="22"/>
          <w:szCs w:val="22"/>
          <w:lang w:val="en-GB"/>
        </w:rPr>
        <w:t>200</w:t>
      </w:r>
      <w:r w:rsidR="00803406">
        <w:rPr>
          <w:sz w:val="22"/>
          <w:szCs w:val="22"/>
          <w:lang w:val="en-GB"/>
        </w:rPr>
        <w:t>8b</w:t>
      </w:r>
      <w:r w:rsidRPr="0067083C">
        <w:rPr>
          <w:sz w:val="22"/>
          <w:szCs w:val="22"/>
          <w:lang w:val="en-GB"/>
        </w:rPr>
        <w:t xml:space="preserve">). The RWG-SG of the SCS project estimated the ongoing decadal rate of loss of seagrass habitat in the South China Sea basin in 2006 as approximately 30% (UNEP, </w:t>
      </w:r>
      <w:r w:rsidR="00803406" w:rsidRPr="0067083C">
        <w:rPr>
          <w:sz w:val="22"/>
          <w:szCs w:val="22"/>
          <w:lang w:val="en-GB"/>
        </w:rPr>
        <w:t>200</w:t>
      </w:r>
      <w:r w:rsidR="00803406">
        <w:rPr>
          <w:sz w:val="22"/>
          <w:szCs w:val="22"/>
          <w:lang w:val="en-GB"/>
        </w:rPr>
        <w:t>8b</w:t>
      </w:r>
      <w:r w:rsidRPr="0067083C">
        <w:rPr>
          <w:sz w:val="22"/>
          <w:szCs w:val="22"/>
          <w:lang w:val="en-GB"/>
        </w:rPr>
        <w:t xml:space="preserve">; UNEP, </w:t>
      </w:r>
      <w:r w:rsidR="00803406" w:rsidRPr="0067083C">
        <w:rPr>
          <w:sz w:val="22"/>
          <w:szCs w:val="22"/>
          <w:lang w:val="en-GB"/>
        </w:rPr>
        <w:t>2008</w:t>
      </w:r>
      <w:r w:rsidR="00803406">
        <w:rPr>
          <w:sz w:val="22"/>
          <w:szCs w:val="22"/>
          <w:lang w:val="en-GB"/>
        </w:rPr>
        <w:t>e</w:t>
      </w:r>
      <w:r w:rsidRPr="0067083C">
        <w:rPr>
          <w:sz w:val="22"/>
          <w:szCs w:val="22"/>
          <w:lang w:val="en-GB"/>
        </w:rPr>
        <w:t>).</w:t>
      </w:r>
    </w:p>
    <w:p w14:paraId="64BFA67A" w14:textId="77777777" w:rsidR="0067083C" w:rsidRDefault="0067083C" w:rsidP="0067083C">
      <w:pPr>
        <w:numPr>
          <w:ilvl w:val="0"/>
          <w:numId w:val="3"/>
        </w:numPr>
        <w:spacing w:after="120"/>
        <w:ind w:left="0" w:firstLine="0"/>
        <w:jc w:val="both"/>
        <w:rPr>
          <w:rFonts w:cs="Angsana New"/>
          <w:sz w:val="22"/>
          <w:szCs w:val="22"/>
          <w:lang w:val="en-GB" w:bidi="th-TH"/>
        </w:rPr>
      </w:pPr>
      <w:r w:rsidRPr="000E3A36">
        <w:rPr>
          <w:rFonts w:cs="Angsana New"/>
          <w:sz w:val="22"/>
          <w:szCs w:val="22"/>
          <w:lang w:val="en-GB" w:bidi="th-TH"/>
        </w:rPr>
        <w:t xml:space="preserve">Focal points from each country were asked to rank the relative importance of the six threats outlined in the previous paragraph. The regional significance of each threat was determined by the rank for each threat weighted by the proportion of the area of seagrass in the country concerned compared with the total for the region. The resulting values were summed to produce the regionally weighted total, which is inversely related to the regional significance (small values are more significant than larger values). The relative importance of the threats from a regional perspective is summarised in Table </w:t>
      </w:r>
      <w:r>
        <w:rPr>
          <w:rFonts w:cs="Angsana New"/>
          <w:sz w:val="22"/>
          <w:szCs w:val="22"/>
          <w:lang w:val="en-GB" w:bidi="th-TH"/>
        </w:rPr>
        <w:t>1</w:t>
      </w:r>
      <w:r w:rsidR="00796B4F">
        <w:rPr>
          <w:rFonts w:cs="Angsana New"/>
          <w:sz w:val="22"/>
          <w:szCs w:val="22"/>
          <w:lang w:val="en-GB" w:bidi="th-TH"/>
        </w:rPr>
        <w:t>4</w:t>
      </w:r>
      <w:r w:rsidRPr="000E3A36">
        <w:rPr>
          <w:rFonts w:cs="Angsana New"/>
          <w:sz w:val="22"/>
          <w:szCs w:val="22"/>
          <w:lang w:val="en-GB" w:bidi="th-TH"/>
        </w:rPr>
        <w:t xml:space="preserve">. The impacts of destructive fishing techniques are of particularly concern as seagrass habitat supports extensive populations of rabbit fish, crustaceans and sea urchins of subsistence and commercial significance. The national reports on seagrass indicate various local-level threats, including extensive reclamation for tourist and port development at a number of locations in the eastern Malaysian Peninsular and Puerto Galera in the Philippines, shrimp culture in the Liusha area of China and Thuy Trieu lagoon in Viet Nam, and fresh water inputs from irrigation and land clearance in Pattani Bay (Thailand) (UNEP, </w:t>
      </w:r>
      <w:r w:rsidR="00803406" w:rsidRPr="000E3A36">
        <w:rPr>
          <w:rFonts w:cs="Angsana New"/>
          <w:sz w:val="22"/>
          <w:szCs w:val="22"/>
          <w:lang w:val="en-GB" w:bidi="th-TH"/>
        </w:rPr>
        <w:t>2008</w:t>
      </w:r>
      <w:r w:rsidR="00803406">
        <w:rPr>
          <w:rFonts w:cs="Angsana New"/>
          <w:sz w:val="22"/>
          <w:szCs w:val="22"/>
          <w:lang w:val="en-GB" w:bidi="th-TH"/>
        </w:rPr>
        <w:t>e</w:t>
      </w:r>
      <w:r w:rsidRPr="000E3A36">
        <w:rPr>
          <w:rFonts w:cs="Angsana New"/>
          <w:sz w:val="22"/>
          <w:szCs w:val="22"/>
          <w:lang w:val="en-GB" w:bidi="th-TH"/>
        </w:rPr>
        <w:t>).</w:t>
      </w:r>
    </w:p>
    <w:p w14:paraId="2762872A" w14:textId="77777777" w:rsidR="003B6CDA" w:rsidRPr="003B6CDA" w:rsidRDefault="003B6CDA" w:rsidP="003B6CDA">
      <w:pPr>
        <w:numPr>
          <w:ilvl w:val="3"/>
          <w:numId w:val="2"/>
        </w:numPr>
        <w:spacing w:after="120"/>
        <w:outlineLvl w:val="1"/>
        <w:rPr>
          <w:b/>
          <w:sz w:val="22"/>
          <w:szCs w:val="22"/>
          <w:lang w:val="en-GB"/>
        </w:rPr>
      </w:pPr>
      <w:r>
        <w:rPr>
          <w:b/>
          <w:sz w:val="22"/>
          <w:szCs w:val="22"/>
          <w:lang w:val="en-GB"/>
        </w:rPr>
        <w:t>Threats to wetlands</w:t>
      </w:r>
    </w:p>
    <w:p w14:paraId="09E81EDE" w14:textId="77777777" w:rsidR="00813C19" w:rsidRPr="00813C19" w:rsidRDefault="00813C19" w:rsidP="00813C19">
      <w:pPr>
        <w:numPr>
          <w:ilvl w:val="0"/>
          <w:numId w:val="3"/>
        </w:numPr>
        <w:spacing w:after="120"/>
        <w:ind w:left="0" w:firstLine="0"/>
        <w:jc w:val="both"/>
        <w:rPr>
          <w:rFonts w:cs="Angsana New"/>
          <w:sz w:val="22"/>
          <w:szCs w:val="22"/>
          <w:lang w:val="en-GB" w:bidi="th-TH"/>
        </w:rPr>
      </w:pPr>
      <w:r w:rsidRPr="00813C19">
        <w:rPr>
          <w:sz w:val="22"/>
          <w:szCs w:val="22"/>
        </w:rPr>
        <w:t>Population growth, and urbanisation of the coastal fringe, combined with rapid economic growth in the South China Sea region places tremendous pressure on coastal wetland ecosystems. Major threats to the coastal wetlands bordering the South China Sea can be grouped as follows: loss of wetland areas through conversion for agriculture, aquaculture, port and harbor development, human settlement, tourist development, urbanization, industrialization. Wetland ecosystems are also highly degraded as a result of</w:t>
      </w:r>
      <w:r w:rsidRPr="00813C19">
        <w:rPr>
          <w:sz w:val="22"/>
          <w:szCs w:val="22"/>
        </w:rPr>
        <w:tab/>
        <w:t xml:space="preserve">over-exploitation of living resources, use of inappropriate fishing techniques and gear, pollution, deforestation in upland area, invasive species, global trends and natural episodic events such as sea-level rise, typhoons and tsunami. </w:t>
      </w:r>
      <w:r w:rsidR="00F278C5">
        <w:rPr>
          <w:sz w:val="22"/>
          <w:szCs w:val="22"/>
        </w:rPr>
        <w:t xml:space="preserve">In Indonesia, the conversion of wetland areas for palm oil plantations presents a high threat to coastal wetlands bordering the South China Sea. </w:t>
      </w:r>
      <w:r w:rsidRPr="00813C19">
        <w:rPr>
          <w:sz w:val="22"/>
          <w:szCs w:val="22"/>
        </w:rPr>
        <w:t>Overall it has been estimated that that around 30% of coastal wetlands are lost in Southeast Asia each decade giving an approximate annual loss in value of 3% per annum.</w:t>
      </w:r>
    </w:p>
    <w:p w14:paraId="28F4DE80" w14:textId="77777777" w:rsidR="00813C19" w:rsidRPr="00813C19" w:rsidRDefault="00813C19" w:rsidP="00813C19">
      <w:pPr>
        <w:numPr>
          <w:ilvl w:val="2"/>
          <w:numId w:val="2"/>
        </w:numPr>
        <w:spacing w:after="120"/>
        <w:outlineLvl w:val="1"/>
        <w:rPr>
          <w:b/>
          <w:sz w:val="22"/>
          <w:szCs w:val="22"/>
          <w:lang w:val="en-GB"/>
        </w:rPr>
      </w:pPr>
      <w:r>
        <w:rPr>
          <w:b/>
          <w:sz w:val="22"/>
          <w:szCs w:val="22"/>
          <w:lang w:val="en-GB"/>
        </w:rPr>
        <w:t>Threats from land-based pollution</w:t>
      </w:r>
    </w:p>
    <w:p w14:paraId="5508A2A6" w14:textId="77777777" w:rsidR="00813C19" w:rsidRPr="0041492D" w:rsidRDefault="00813C19" w:rsidP="00813C19">
      <w:pPr>
        <w:spacing w:after="120"/>
        <w:jc w:val="both"/>
        <w:rPr>
          <w:sz w:val="22"/>
          <w:szCs w:val="22"/>
        </w:rPr>
      </w:pPr>
      <w:r w:rsidRPr="0041492D">
        <w:rPr>
          <w:sz w:val="22"/>
          <w:szCs w:val="22"/>
        </w:rPr>
        <w:t xml:space="preserve">Excessive nutrient loads and suspended solids are among the most common problems arising from land-based pollution in the coastal waters of countries bordering the South China Sea. High concentrations of suspended solids largely result from poor land-use practices, including logging activities and conversion of forests in upland areas. On the other hand, high nutrient loads mainly result from untreated domestic wastes, and waste from intensive animal husbandry that are directly discharged into the receiving water bodies. Both types of contaminant impact the ecological functioning of coastal ecosystems. In addition, heavy metals such mercury (Hg), Arsenic (As) and lead (Pb), have tended to increase in both biota and sediments in coastal waters of the </w:t>
      </w:r>
      <w:smartTag w:uri="urn:schemas-microsoft-com:office:smarttags" w:element="place">
        <w:r w:rsidRPr="0041492D">
          <w:rPr>
            <w:sz w:val="22"/>
            <w:szCs w:val="22"/>
          </w:rPr>
          <w:t>South China Sea</w:t>
        </w:r>
      </w:smartTag>
      <w:r w:rsidRPr="0041492D">
        <w:rPr>
          <w:sz w:val="22"/>
          <w:szCs w:val="22"/>
        </w:rPr>
        <w:t xml:space="preserve"> during the last decade. </w:t>
      </w:r>
      <w:r w:rsidRPr="0041492D">
        <w:rPr>
          <w:iCs/>
          <w:sz w:val="22"/>
          <w:szCs w:val="22"/>
        </w:rPr>
        <w:t xml:space="preserve">The contaminants entering the marine environment have a number of impacts in terms of </w:t>
      </w:r>
      <w:r w:rsidRPr="0041492D">
        <w:rPr>
          <w:sz w:val="22"/>
          <w:szCs w:val="22"/>
        </w:rPr>
        <w:t>living resource and ecosystem degradation and potential impacts on aquaculture, food quality of export products, and human health. It must however be pointed out that almost all these pollutants are localised. Modelling of the spread of nutrients (</w:t>
      </w:r>
      <w:r w:rsidR="00796B4F">
        <w:rPr>
          <w:sz w:val="22"/>
          <w:szCs w:val="22"/>
        </w:rPr>
        <w:t xml:space="preserve">see </w:t>
      </w:r>
      <w:r w:rsidRPr="0041492D">
        <w:rPr>
          <w:sz w:val="22"/>
          <w:szCs w:val="22"/>
        </w:rPr>
        <w:t>UNEP, 2007</w:t>
      </w:r>
      <w:r w:rsidR="00803406">
        <w:rPr>
          <w:sz w:val="22"/>
          <w:szCs w:val="22"/>
        </w:rPr>
        <w:t>i</w:t>
      </w:r>
      <w:r w:rsidRPr="0041492D">
        <w:rPr>
          <w:sz w:val="22"/>
          <w:szCs w:val="22"/>
        </w:rPr>
        <w:t>) strongly suggests present and projected pollution rates will have minimal effects on the South China Sea and Gulf of Thailand as a whole.</w:t>
      </w:r>
    </w:p>
    <w:p w14:paraId="4754A574" w14:textId="77777777" w:rsidR="0067083C" w:rsidRPr="00796B4F" w:rsidRDefault="006B6786" w:rsidP="0067083C">
      <w:pPr>
        <w:numPr>
          <w:ilvl w:val="0"/>
          <w:numId w:val="3"/>
        </w:numPr>
        <w:spacing w:after="120"/>
        <w:ind w:left="0" w:firstLine="0"/>
        <w:jc w:val="both"/>
        <w:rPr>
          <w:rFonts w:cs="Angsana New"/>
          <w:sz w:val="22"/>
          <w:szCs w:val="22"/>
          <w:lang w:val="en-GB" w:bidi="th-TH"/>
        </w:rPr>
      </w:pPr>
      <w:r w:rsidRPr="00796B4F">
        <w:rPr>
          <w:sz w:val="22"/>
          <w:szCs w:val="22"/>
        </w:rPr>
        <w:t>Table 1</w:t>
      </w:r>
      <w:r w:rsidR="00796B4F">
        <w:rPr>
          <w:sz w:val="22"/>
          <w:szCs w:val="22"/>
        </w:rPr>
        <w:t>5</w:t>
      </w:r>
      <w:r w:rsidRPr="00796B4F">
        <w:rPr>
          <w:sz w:val="22"/>
          <w:szCs w:val="22"/>
        </w:rPr>
        <w:t xml:space="preserve"> provides a checklist of potential impacts of various types of contaminant on coastal habitats relevant to South China Sea </w:t>
      </w:r>
      <w:r w:rsidR="00C03EEE">
        <w:rPr>
          <w:sz w:val="22"/>
          <w:szCs w:val="22"/>
        </w:rPr>
        <w:t>SAP implementation</w:t>
      </w:r>
      <w:r w:rsidRPr="00796B4F">
        <w:rPr>
          <w:sz w:val="22"/>
          <w:szCs w:val="22"/>
        </w:rPr>
        <w:t>, namely mangroves, coral reefs, seagrass and coastal wetlands. The impacts of land-based pollution on coastal habitats are complex and intertwined, but essentially they fall into three classes from the perspective of changes in economic value, namely: productivity/production, amenity and human welfare. Table 1</w:t>
      </w:r>
      <w:r w:rsidR="00796B4F">
        <w:rPr>
          <w:sz w:val="22"/>
          <w:szCs w:val="22"/>
        </w:rPr>
        <w:t>6</w:t>
      </w:r>
      <w:r w:rsidRPr="00796B4F">
        <w:rPr>
          <w:sz w:val="22"/>
          <w:szCs w:val="22"/>
        </w:rPr>
        <w:t xml:space="preserve"> provides a checklist of the occurrence or non-occurrence of impacts in each habitat in terms of changes to productivity, amenity and human welfare. </w:t>
      </w:r>
    </w:p>
    <w:p w14:paraId="155C233E" w14:textId="77777777" w:rsidR="00312FD5" w:rsidRPr="00813C19" w:rsidRDefault="00312FD5" w:rsidP="00312FD5">
      <w:pPr>
        <w:numPr>
          <w:ilvl w:val="2"/>
          <w:numId w:val="2"/>
        </w:numPr>
        <w:spacing w:after="120"/>
        <w:outlineLvl w:val="1"/>
        <w:rPr>
          <w:b/>
          <w:sz w:val="22"/>
          <w:szCs w:val="22"/>
          <w:lang w:val="en-GB"/>
        </w:rPr>
      </w:pPr>
      <w:r>
        <w:rPr>
          <w:b/>
          <w:sz w:val="22"/>
          <w:szCs w:val="22"/>
          <w:lang w:val="en-GB"/>
        </w:rPr>
        <w:t>Threats from fisheries</w:t>
      </w:r>
    </w:p>
    <w:p w14:paraId="0AC0BBAC" w14:textId="77777777" w:rsidR="006B6786" w:rsidRPr="00796B4F" w:rsidRDefault="00312FD5" w:rsidP="0067083C">
      <w:pPr>
        <w:numPr>
          <w:ilvl w:val="0"/>
          <w:numId w:val="3"/>
        </w:numPr>
        <w:spacing w:after="120"/>
        <w:ind w:left="0" w:firstLine="0"/>
        <w:jc w:val="both"/>
        <w:rPr>
          <w:rFonts w:cs="Angsana New"/>
          <w:sz w:val="22"/>
          <w:szCs w:val="22"/>
          <w:lang w:val="en-GB" w:bidi="th-TH"/>
        </w:rPr>
      </w:pPr>
      <w:r w:rsidRPr="00796B4F">
        <w:rPr>
          <w:rFonts w:cs="Angsana New"/>
          <w:sz w:val="22"/>
          <w:szCs w:val="22"/>
          <w:lang w:val="en-GB" w:bidi="th-TH"/>
        </w:rPr>
        <w:t>Over-capacity in commercial and small-scale fisheries, and the combined problem of over-exploitation, is an enduring issue facing regional fisheries. The impacts of over-capitalisation and over-exploitation are magnified by the use of subsidies and the dependence of coastal communities on fish resources for income, as well as food and nutritional security. For example, the Phu Quoc Island district of Vietnam is significant in terms of its coral reef and seagrass ecosystems, overall employment in Vietnam’s marine capture fisheries, fisheries production and related export earnings, and tourism (both domestic and international). However, over-capitalisation and over-exploitation are issues that not only threaten the sustainability of fisheries in the area, but also the coral reef and seagrass habitats upon which fisheries and other sectors (e.g. tourism) depend.</w:t>
      </w:r>
    </w:p>
    <w:p w14:paraId="1EEC672A" w14:textId="77777777" w:rsidR="00312FD5" w:rsidRPr="00796B4F" w:rsidRDefault="00312FD5" w:rsidP="00312FD5">
      <w:pPr>
        <w:numPr>
          <w:ilvl w:val="0"/>
          <w:numId w:val="3"/>
        </w:numPr>
        <w:spacing w:after="120"/>
        <w:ind w:left="0" w:firstLine="0"/>
        <w:jc w:val="both"/>
        <w:rPr>
          <w:rFonts w:cs="Angsana New"/>
          <w:sz w:val="22"/>
          <w:szCs w:val="22"/>
          <w:lang w:val="en-GB" w:bidi="th-TH"/>
        </w:rPr>
      </w:pPr>
      <w:r w:rsidRPr="00796B4F">
        <w:rPr>
          <w:rFonts w:cs="Angsana New"/>
          <w:sz w:val="22"/>
          <w:szCs w:val="22"/>
          <w:lang w:val="en-GB" w:bidi="th-TH"/>
        </w:rPr>
        <w:t xml:space="preserve">The number of fishing vessels and total engine capacity (hp) in the area has increased rapidly over recent decades, and although there has been a general increase in landings throughout this period, catch per unit of effort (CPUE) has declined significantly. Recent interviews with </w:t>
      </w:r>
      <w:r w:rsidR="00E76032" w:rsidRPr="00796B4F">
        <w:rPr>
          <w:rFonts w:cs="Angsana New"/>
          <w:sz w:val="22"/>
          <w:szCs w:val="22"/>
          <w:lang w:val="en-GB" w:bidi="th-TH"/>
        </w:rPr>
        <w:t>fisher</w:t>
      </w:r>
      <w:r w:rsidR="00E76032">
        <w:rPr>
          <w:rFonts w:cs="Angsana New"/>
          <w:sz w:val="22"/>
          <w:szCs w:val="22"/>
          <w:lang w:val="en-GB" w:bidi="th-TH"/>
        </w:rPr>
        <w:t>folk</w:t>
      </w:r>
      <w:r w:rsidR="00E76032" w:rsidRPr="00796B4F">
        <w:rPr>
          <w:rFonts w:cs="Angsana New"/>
          <w:sz w:val="22"/>
          <w:szCs w:val="22"/>
          <w:lang w:val="en-GB" w:bidi="th-TH"/>
        </w:rPr>
        <w:t xml:space="preserve"> </w:t>
      </w:r>
      <w:r w:rsidRPr="00796B4F">
        <w:rPr>
          <w:rFonts w:cs="Angsana New"/>
          <w:sz w:val="22"/>
          <w:szCs w:val="22"/>
          <w:lang w:val="en-GB" w:bidi="th-TH"/>
        </w:rPr>
        <w:t>suggest that fisheries yields in the area have declined by 50 to 70 percent in the past five years. Rapid growth in the number of high-powered boats in the district has put heavy pressure on marine resources, especially in shallow waters surrounding the islands, and the subsequent diminishing returns on investment in fishing is believed to be driving the increased occurrence of destructive fishing events.</w:t>
      </w:r>
    </w:p>
    <w:p w14:paraId="6E3E7A24" w14:textId="77777777" w:rsidR="00E32D8D" w:rsidRPr="00796B4F" w:rsidRDefault="00AA5CD8" w:rsidP="00E32D8D">
      <w:pPr>
        <w:numPr>
          <w:ilvl w:val="0"/>
          <w:numId w:val="3"/>
        </w:numPr>
        <w:spacing w:after="120"/>
        <w:ind w:left="0" w:firstLine="0"/>
        <w:jc w:val="both"/>
        <w:rPr>
          <w:sz w:val="22"/>
          <w:szCs w:val="22"/>
        </w:rPr>
      </w:pPr>
      <w:r w:rsidRPr="00796B4F">
        <w:rPr>
          <w:sz w:val="22"/>
          <w:szCs w:val="22"/>
        </w:rPr>
        <w:t xml:space="preserve">The use of destructive </w:t>
      </w:r>
      <w:r w:rsidR="00E32D8D" w:rsidRPr="00796B4F">
        <w:rPr>
          <w:sz w:val="22"/>
          <w:szCs w:val="22"/>
        </w:rPr>
        <w:t>and unselective fishing gear and practices is prevalent across a range of fisheries and habitat types in the South China Sea. For example, destructive and/or unsustainable fishing gear and practices have been identified as key threats to fish stocks and their habitats in the mangrove areas at Trat in Thailand and at Batu Ampur in Indonesia, the extensive seagrass areas of Bolinao in the Philippines and Kampot in Cambodia, and at the regionally significant coral reef areas at Belitung in Indonesia, Masinloc in the Philippines and Phu Quoc in Vietnam.</w:t>
      </w:r>
    </w:p>
    <w:p w14:paraId="6DE0A6A5" w14:textId="77777777" w:rsidR="00E32D8D" w:rsidRDefault="00E32D8D" w:rsidP="00E32D8D">
      <w:pPr>
        <w:numPr>
          <w:ilvl w:val="0"/>
          <w:numId w:val="3"/>
        </w:numPr>
        <w:spacing w:after="120"/>
        <w:ind w:left="0" w:firstLine="0"/>
        <w:jc w:val="both"/>
        <w:rPr>
          <w:sz w:val="22"/>
          <w:szCs w:val="22"/>
        </w:rPr>
      </w:pPr>
      <w:r w:rsidRPr="00814636">
        <w:rPr>
          <w:sz w:val="22"/>
          <w:szCs w:val="22"/>
        </w:rPr>
        <w:t>Push netting and inshore trawl fishing cause habitat impacts and selectivity issues. Catches in these gear types from inshore waters are largely composed of juveniles, and at high fishing effort levels are thought to contribute to growth over-fishing in South China Sea basin. Such a situation hinders fisheries management efforts which largely focus on development of sustainable livelihoods, and is a key threat in inshore where push nets are used extensively over seagrass beds to take juveniles of the economically important species.</w:t>
      </w:r>
    </w:p>
    <w:p w14:paraId="5E65F39D" w14:textId="77777777" w:rsidR="00E32D8D" w:rsidRPr="00814636" w:rsidRDefault="00E32D8D" w:rsidP="00E32D8D">
      <w:pPr>
        <w:numPr>
          <w:ilvl w:val="0"/>
          <w:numId w:val="3"/>
        </w:numPr>
        <w:spacing w:after="120"/>
        <w:ind w:left="0" w:firstLine="0"/>
        <w:jc w:val="both"/>
        <w:rPr>
          <w:sz w:val="22"/>
          <w:szCs w:val="22"/>
        </w:rPr>
      </w:pPr>
      <w:r w:rsidRPr="00814636">
        <w:rPr>
          <w:sz w:val="22"/>
          <w:szCs w:val="22"/>
        </w:rPr>
        <w:t>Digging and gleaning of seagrass beds and mangrove forests is an area of concern at a majority of the priority refugia sites in the South China Sea. Growing demand for seafood in local markets has resulted in a marked increase over recent years in the number of people digging for sipunculid worms, gastropods, and crustaceans in the seagrass beds, leading to damage of seagrass plants, de-stabilisation of sediments (and subsequent erosion), and the over-exploitation of benthic organisms. Intensive digging and grazing in some mangrove areas is considered to be contributing to the occurrence of dwarf, low-density mangrove stands at several sites due to disturbance of mangrove roots and seedlings.</w:t>
      </w:r>
    </w:p>
    <w:p w14:paraId="083FA8A1" w14:textId="77777777" w:rsidR="00E32D8D" w:rsidRDefault="00E32D8D" w:rsidP="00E32D8D">
      <w:pPr>
        <w:numPr>
          <w:ilvl w:val="0"/>
          <w:numId w:val="3"/>
        </w:numPr>
        <w:spacing w:after="120"/>
        <w:ind w:left="0" w:firstLine="0"/>
        <w:jc w:val="both"/>
        <w:rPr>
          <w:sz w:val="22"/>
          <w:szCs w:val="22"/>
        </w:rPr>
      </w:pPr>
      <w:r w:rsidRPr="00814636">
        <w:rPr>
          <w:sz w:val="22"/>
          <w:szCs w:val="22"/>
        </w:rPr>
        <w:t>Blast fishing, poisons, and unselective fishing gears/practices are well-known and documented threats to fisheries and habitats in nearly all areas of the South China Sea. These fishing practices often result in mortalities of a wide range of size-classes of target and non-target species, contributing to both growth and recruitment over fishing. The effects of blasting on the physical structure of coral communities is of particular concern, and the occurrence of blast fishing “craters” on heavily blasted reefs has a major impact on coral reef associated fish assemblages. Non-selective fishing gears, such as trammel nets, are utilised in most fished coral reef areas along the South China Sea coast. The growing need to minimise the impacts of such practices on critical habitats necessitates the development of best practices in the management of these problems.</w:t>
      </w:r>
      <w:r w:rsidR="003C5456">
        <w:rPr>
          <w:sz w:val="22"/>
          <w:szCs w:val="22"/>
        </w:rPr>
        <w:t xml:space="preserve"> A framework </w:t>
      </w:r>
      <w:r w:rsidR="00E76032">
        <w:rPr>
          <w:sz w:val="22"/>
          <w:szCs w:val="22"/>
        </w:rPr>
        <w:t xml:space="preserve">produced </w:t>
      </w:r>
      <w:r w:rsidR="003C5456">
        <w:rPr>
          <w:sz w:val="22"/>
          <w:szCs w:val="22"/>
        </w:rPr>
        <w:t>by the SCS project for assessing the ecosystem effects of fishing and aquaculture activities in the South China Sea is presented in Tables 1</w:t>
      </w:r>
      <w:r w:rsidR="00796B4F">
        <w:rPr>
          <w:sz w:val="22"/>
          <w:szCs w:val="22"/>
        </w:rPr>
        <w:t>7</w:t>
      </w:r>
      <w:r w:rsidR="003C5456">
        <w:rPr>
          <w:sz w:val="22"/>
          <w:szCs w:val="22"/>
        </w:rPr>
        <w:t>a-b.</w:t>
      </w:r>
    </w:p>
    <w:p w14:paraId="0D34CCC2" w14:textId="77777777" w:rsidR="00E32D8D" w:rsidRDefault="00E32D8D" w:rsidP="003C5456">
      <w:pPr>
        <w:numPr>
          <w:ilvl w:val="0"/>
          <w:numId w:val="3"/>
        </w:numPr>
        <w:spacing w:after="120"/>
        <w:ind w:left="0" w:firstLine="0"/>
        <w:jc w:val="both"/>
        <w:rPr>
          <w:sz w:val="22"/>
          <w:szCs w:val="22"/>
        </w:rPr>
      </w:pPr>
      <w:r w:rsidRPr="00814636">
        <w:rPr>
          <w:sz w:val="22"/>
          <w:szCs w:val="22"/>
        </w:rPr>
        <w:t>Illegal, unr</w:t>
      </w:r>
      <w:r>
        <w:rPr>
          <w:sz w:val="22"/>
          <w:szCs w:val="22"/>
        </w:rPr>
        <w:t>egulated and unreported fishing, p</w:t>
      </w:r>
      <w:r w:rsidRPr="00814636">
        <w:rPr>
          <w:sz w:val="22"/>
          <w:szCs w:val="22"/>
        </w:rPr>
        <w:t>articularly the use of illegal and destructive fishing gear is common in many areas of the South China Sea. The illegal encroachment of foreign fishing vessels into national waters, and the conduct of large commercial fishing operations in inshore areas set aside for small-scale fishers is common throughout the region. However, the illegal fishing problem is complicated by poor definitions of “illegal” fishing gear and operations in fisheries law, low-level community awareness of the effects of unsustainable fisheries, and minimal resources for monitoring, control, and surveillance (MCS). While this issue is being addressed by broader regional programmes operated by FAO and SEAFDEC, local application of regional guidance on IUU management in the production and implementation of management plans for refugia sites has been identified as a priority.</w:t>
      </w:r>
      <w:r w:rsidR="00164068">
        <w:rPr>
          <w:sz w:val="22"/>
          <w:szCs w:val="22"/>
        </w:rPr>
        <w:t xml:space="preserve"> Regional coordination of efforts to address threats from fisheries is presently being addressed by the UNEP/GEF project entitled “Establishment and Operation of a Regional System of Fisheries Refugia in the South China Sea and Gulf of Thailand”.</w:t>
      </w:r>
    </w:p>
    <w:p w14:paraId="3D9FDEA8" w14:textId="77777777" w:rsidR="008B0EA5" w:rsidRPr="008B0EA5" w:rsidRDefault="008B0EA5" w:rsidP="008B0EA5">
      <w:pPr>
        <w:spacing w:after="120"/>
        <w:jc w:val="both"/>
        <w:rPr>
          <w:b/>
          <w:sz w:val="22"/>
          <w:szCs w:val="22"/>
        </w:rPr>
      </w:pPr>
      <w:r w:rsidRPr="008B0EA5">
        <w:rPr>
          <w:b/>
          <w:sz w:val="22"/>
          <w:szCs w:val="22"/>
        </w:rPr>
        <w:t>Threats associated with climate variability and change</w:t>
      </w:r>
    </w:p>
    <w:p w14:paraId="392DA501" w14:textId="77777777" w:rsidR="00C06C96" w:rsidRDefault="00C06C96" w:rsidP="00C06C96">
      <w:pPr>
        <w:numPr>
          <w:ilvl w:val="0"/>
          <w:numId w:val="3"/>
        </w:numPr>
        <w:spacing w:after="120"/>
        <w:ind w:left="0" w:firstLine="0"/>
        <w:jc w:val="both"/>
        <w:rPr>
          <w:sz w:val="22"/>
          <w:szCs w:val="22"/>
        </w:rPr>
      </w:pPr>
      <w:r w:rsidRPr="00C06C96">
        <w:rPr>
          <w:sz w:val="22"/>
          <w:szCs w:val="22"/>
        </w:rPr>
        <w:t>Coastal communities of the South China Sea riparian countries live in and continuously adapt to dynamic and often difficult climatic environments. Shallow tropical marine environments such as the coastal areas of the South China Sea are inherently vulnerable to the extremes of climate variability, and this vulnerability has compelled East Asia’s coastal communities over time to build a level of resilience to extreme weather events. However today, population growth and social changes have created a situation where many communities are far less prepared for the floods, extended droughts, and storms that remain an ongoing feature of the region.</w:t>
      </w:r>
    </w:p>
    <w:p w14:paraId="271FE644" w14:textId="77777777" w:rsidR="00C06C96" w:rsidRDefault="00C06C96" w:rsidP="0071562F">
      <w:pPr>
        <w:numPr>
          <w:ilvl w:val="0"/>
          <w:numId w:val="3"/>
        </w:numPr>
        <w:spacing w:after="120"/>
        <w:ind w:left="0" w:firstLine="0"/>
        <w:jc w:val="both"/>
        <w:rPr>
          <w:sz w:val="22"/>
          <w:szCs w:val="22"/>
        </w:rPr>
      </w:pPr>
      <w:r w:rsidRPr="00C06C96">
        <w:rPr>
          <w:sz w:val="22"/>
          <w:szCs w:val="22"/>
        </w:rPr>
        <w:t>In this regard, the uncertainty and extremes of climate variability compound and exacerbate the social and economic challenges faced by coastal communities of East Asia. Large-scale features such as the Inter-tropical Convergence Zone and the West Pacific Monsoon drive the seasonal variations in rainfall experienced by Pacific Island Countries, including wet and dry seasons. Together, they influence rainfall, winds, tropical cyclones, ocean currents and other aspects of the weather and climate. While these features drive the wet and dry seasons experienced annually in most of the riparian countries of the South China, the single greatest factor affecting climate variability from year to year is the El Niño/La Niña Southern Oscillation, or ENSO. This cycle of warming and cooling of sea surface temperatures of the Western Pacific has a profound effect on the hydrological cycle of East Asian countries, driving periods of drought and elevated rainfall across the region.</w:t>
      </w:r>
    </w:p>
    <w:p w14:paraId="0DD17C73" w14:textId="77777777" w:rsidR="00C06C96" w:rsidRDefault="00C06C96" w:rsidP="0071562F">
      <w:pPr>
        <w:numPr>
          <w:ilvl w:val="0"/>
          <w:numId w:val="3"/>
        </w:numPr>
        <w:spacing w:after="120"/>
        <w:ind w:left="0" w:firstLine="0"/>
        <w:jc w:val="both"/>
        <w:rPr>
          <w:sz w:val="22"/>
          <w:szCs w:val="22"/>
        </w:rPr>
      </w:pPr>
      <w:r w:rsidRPr="00C06C96">
        <w:rPr>
          <w:sz w:val="22"/>
          <w:szCs w:val="22"/>
        </w:rPr>
        <w:t>The effects of the ENSO cycle are not restricted to drought. It is also a driver of periods of elevated rainfall and rainfall intensity, and plays a role in both suppressing and stimulating the propagation and severity of tropical cyclones, all of which have significant impacts on the people and economies of coastal communities. However, while regional understanding of climate variability and change has improved considerably over the past years, this improvement has not translated into a corresponding increase in community resilience.</w:t>
      </w:r>
    </w:p>
    <w:p w14:paraId="389FEEAA" w14:textId="77777777" w:rsidR="00C06C96" w:rsidRDefault="00C06C96" w:rsidP="0071562F">
      <w:pPr>
        <w:numPr>
          <w:ilvl w:val="0"/>
          <w:numId w:val="3"/>
        </w:numPr>
        <w:spacing w:after="120"/>
        <w:ind w:left="0" w:firstLine="0"/>
        <w:jc w:val="both"/>
        <w:rPr>
          <w:sz w:val="22"/>
          <w:szCs w:val="22"/>
        </w:rPr>
      </w:pPr>
      <w:r w:rsidRPr="00C06C96">
        <w:rPr>
          <w:sz w:val="22"/>
          <w:szCs w:val="22"/>
        </w:rPr>
        <w:t>Key geophysical issues associated with climate variability and change, particularly those associated with anticipate sea-level rise, relate to coastal inundation, coastal flooding, changes to coastal geomorphology, saline intrusion, water table elevation, compression of the marine/terrestrial transition, and turbidity. It is anticipated that permanent coastal inundation may be expected to occur to a significant extent in areas where the coastal profile is flat or gently sloping. The extent and nature of coastal land loss will be the subject of related activities of the present project. Inundation may be expected to be economically significant in the region, given the distribution of fertile agriculture areas at or close to present sea-level; coastal infrastructure, including aquaculture facilities, which lie in close proximity to the sea and the large number of coastal communities living immediately adjacent to the coast. It is anticipated that this will place significant pressure on low-lying wetlands, with a corresponding decrease in species richness and diversity in many areas.</w:t>
      </w:r>
    </w:p>
    <w:p w14:paraId="6A93D402" w14:textId="77777777" w:rsidR="00C06C96" w:rsidRDefault="00C06C96" w:rsidP="0071562F">
      <w:pPr>
        <w:numPr>
          <w:ilvl w:val="0"/>
          <w:numId w:val="3"/>
        </w:numPr>
        <w:spacing w:after="120"/>
        <w:ind w:left="0" w:firstLine="0"/>
        <w:jc w:val="both"/>
        <w:rPr>
          <w:sz w:val="22"/>
          <w:szCs w:val="22"/>
        </w:rPr>
      </w:pPr>
      <w:r w:rsidRPr="00C06C96">
        <w:rPr>
          <w:sz w:val="22"/>
          <w:szCs w:val="22"/>
        </w:rPr>
        <w:t>Inundation of coastal agriculture areas is already resulting in a progressing shift of locations of these activities into coastal watersheds with consequent increases in erosion and soil fertility problems. By and large the large estuarine/deltaic systems in the region are backed by relatively flat coastal plains, coastal regression may be extensive in such areas resulting in reduced habitats for some species of conservation significance. Episodic flooding of the coastal zone may be expected to increase both in frequency and geographically as a consequence of increased cyclonic/typhoon activity. Flooding can be expected to have impacts on storm water drainage and sewage disposal systems both in urban and peri-urban areas. Extension of periods of the periods of inundation may render coastal areas, particularly in areas of beach ridges backed swamp unusable in the long-term.</w:t>
      </w:r>
    </w:p>
    <w:p w14:paraId="44395247" w14:textId="77777777" w:rsidR="003B6D0D" w:rsidRDefault="003B6D0D" w:rsidP="0071562F">
      <w:pPr>
        <w:numPr>
          <w:ilvl w:val="0"/>
          <w:numId w:val="3"/>
        </w:numPr>
        <w:spacing w:after="120"/>
        <w:ind w:left="0" w:firstLine="0"/>
        <w:jc w:val="both"/>
        <w:rPr>
          <w:sz w:val="22"/>
          <w:szCs w:val="22"/>
        </w:rPr>
      </w:pPr>
      <w:r w:rsidRPr="003B6D0D">
        <w:rPr>
          <w:sz w:val="22"/>
          <w:szCs w:val="22"/>
        </w:rPr>
        <w:t>Overall, beaches of the South China Sea coast with a stable beach plan form which currently receive sediments inuts via longshore drift will, under increased sea level receive lower inputs of sediments resulting in consequent beach erosion and shoreline retreat. The extent of this retreat will depend on the profile of the terrestrial/marine inter-face and the current importance of sediments derived from longshore drift. Depending on the rate of sediment input into the coastal system from riverine sources the system can be expected to stabilize only if sea level itself stabilizes, and only following filling of the transitory sinks in the system (estuarine, and beach sinks). In areas of reduced rainfall riverine sediment inputs may be reduced further exacerbating coastal erosion. In areas of higher rainfall riverine sediment inputs may not be significantly increased depending on the nature of the vegetation cover. Additionally, beach plan forms will be changed by changing wave patterns resulting from modification of regional and sub-regional wind patterns. Such changes will be of significance for coastal marine communities, particularly seagrass meadows, coral flats and algal beds.</w:t>
      </w:r>
    </w:p>
    <w:p w14:paraId="661649CE" w14:textId="77777777" w:rsidR="003B6D0D" w:rsidRDefault="003B6D0D" w:rsidP="0071562F">
      <w:pPr>
        <w:numPr>
          <w:ilvl w:val="0"/>
          <w:numId w:val="3"/>
        </w:numPr>
        <w:spacing w:after="120"/>
        <w:ind w:left="0" w:firstLine="0"/>
        <w:jc w:val="both"/>
        <w:rPr>
          <w:sz w:val="22"/>
          <w:szCs w:val="22"/>
        </w:rPr>
      </w:pPr>
      <w:r w:rsidRPr="003B6D0D">
        <w:rPr>
          <w:sz w:val="22"/>
          <w:szCs w:val="22"/>
        </w:rPr>
        <w:t>In estuarine areas an inland extension of the tidal prism may be expected. In coastal plains saltwater contamination of the groundwater may have profound effects on both the suitability of areas for human occupation and upon the nature of the vegetation. A rise in sea level will also cause a rise in the water table which may have important consequences for freshwater lenses which currently float on saline water bodies. Such influences are also linked to compression of the marine/terrestrial transition, particularly in areas currently having a flat coastal plain, where changes in coastal vegetation following sea level rise and inundation may be dramatic. Zonation is likely to be compressed, particularly in mangrove areas, resulting not only in an overall reduction in the extent of such transitional habitats but extensive reduction in the seaward sides. Such coastal habitat reduction will result in important changes to the distribution and abundance of species of subsistence and economic importance, and a general loss of estuarine/mangrove species. In general, declines in both individual species abundance and species richness are anticipated. Increased turbidity, linked to more intense or frequent rainfall, will also likely affect shallow water primary producers, including corals, seagrass and macro-algae.</w:t>
      </w:r>
    </w:p>
    <w:p w14:paraId="001A3FC7" w14:textId="77777777" w:rsidR="003C5456" w:rsidRPr="003C5456" w:rsidRDefault="003C5456" w:rsidP="003C5456">
      <w:pPr>
        <w:numPr>
          <w:ilvl w:val="2"/>
          <w:numId w:val="2"/>
        </w:numPr>
        <w:spacing w:after="120"/>
        <w:outlineLvl w:val="1"/>
        <w:rPr>
          <w:b/>
          <w:sz w:val="22"/>
          <w:szCs w:val="22"/>
          <w:lang w:val="en-GB"/>
        </w:rPr>
      </w:pPr>
      <w:r>
        <w:rPr>
          <w:b/>
          <w:sz w:val="22"/>
          <w:szCs w:val="22"/>
          <w:lang w:val="en-GB"/>
        </w:rPr>
        <w:t>Root causes</w:t>
      </w:r>
    </w:p>
    <w:p w14:paraId="0A0D63E7" w14:textId="77777777" w:rsidR="00312FD5" w:rsidRPr="00F16B78" w:rsidRDefault="00AA5CD8" w:rsidP="00796B4F">
      <w:pPr>
        <w:numPr>
          <w:ilvl w:val="0"/>
          <w:numId w:val="3"/>
        </w:numPr>
        <w:spacing w:after="120"/>
        <w:ind w:left="0" w:firstLine="0"/>
        <w:jc w:val="both"/>
        <w:rPr>
          <w:rFonts w:cs="Angsana New"/>
          <w:sz w:val="22"/>
          <w:szCs w:val="22"/>
          <w:lang w:val="en-GB" w:bidi="th-TH"/>
        </w:rPr>
      </w:pPr>
      <w:r w:rsidRPr="00430C41">
        <w:rPr>
          <w:sz w:val="22"/>
          <w:szCs w:val="22"/>
        </w:rPr>
        <w:t xml:space="preserve">The TDA </w:t>
      </w:r>
      <w:r>
        <w:rPr>
          <w:sz w:val="22"/>
          <w:szCs w:val="22"/>
        </w:rPr>
        <w:t>and SAP process confirmed</w:t>
      </w:r>
      <w:r w:rsidRPr="00430C41">
        <w:rPr>
          <w:sz w:val="22"/>
          <w:szCs w:val="22"/>
        </w:rPr>
        <w:t xml:space="preserve"> the root cause of coastal environmental degradation </w:t>
      </w:r>
      <w:r>
        <w:rPr>
          <w:sz w:val="22"/>
          <w:szCs w:val="22"/>
        </w:rPr>
        <w:t>as</w:t>
      </w:r>
      <w:r w:rsidRPr="00430C41">
        <w:rPr>
          <w:sz w:val="22"/>
          <w:szCs w:val="22"/>
        </w:rPr>
        <w:t xml:space="preserve"> present density and growth of coastal populations. A total of 270 million people live in the coastal sub-regions of the seven countries covered by this project. The population is concentrated in 93 cities with over 100,000 inhabitants and the weighted mean population growth rate in the coastal zone is 2.17%, indicative of doubling of populations in 32 years. In Cambodia, Indonesia and </w:t>
      </w:r>
      <w:r w:rsidR="00AF30C2">
        <w:rPr>
          <w:sz w:val="22"/>
          <w:szCs w:val="22"/>
        </w:rPr>
        <w:t>the Philippines</w:t>
      </w:r>
      <w:r w:rsidRPr="00430C41">
        <w:rPr>
          <w:sz w:val="22"/>
          <w:szCs w:val="22"/>
        </w:rPr>
        <w:t>, growth rates in the coastal sub-regions are 1.5 to 2.0 times the national growth rates. Coastal tourism, increasing fisheries development, and oil exploration and exploitation, are among the major economic driving forces behind this dramatic increase in coastal populations.</w:t>
      </w:r>
    </w:p>
    <w:p w14:paraId="3EBE47A5" w14:textId="77777777" w:rsidR="00F16B78" w:rsidRPr="00F16B78" w:rsidRDefault="00F16B78" w:rsidP="00796B4F">
      <w:pPr>
        <w:numPr>
          <w:ilvl w:val="2"/>
          <w:numId w:val="2"/>
        </w:numPr>
        <w:spacing w:after="120"/>
        <w:jc w:val="both"/>
        <w:outlineLvl w:val="1"/>
        <w:rPr>
          <w:b/>
          <w:sz w:val="22"/>
          <w:szCs w:val="22"/>
          <w:lang w:val="en-GB"/>
        </w:rPr>
      </w:pPr>
      <w:r>
        <w:rPr>
          <w:b/>
          <w:sz w:val="22"/>
          <w:szCs w:val="22"/>
          <w:lang w:val="en-GB"/>
        </w:rPr>
        <w:t>Barriers</w:t>
      </w:r>
    </w:p>
    <w:p w14:paraId="24CF6C09" w14:textId="77777777" w:rsidR="00F16B78" w:rsidRPr="00796B4F" w:rsidRDefault="00F16B78" w:rsidP="00796B4F">
      <w:pPr>
        <w:jc w:val="both"/>
        <w:rPr>
          <w:sz w:val="22"/>
          <w:szCs w:val="22"/>
        </w:rPr>
      </w:pPr>
      <w:r>
        <w:rPr>
          <w:sz w:val="22"/>
          <w:szCs w:val="22"/>
        </w:rPr>
        <w:t>The</w:t>
      </w:r>
      <w:r w:rsidRPr="005A3891">
        <w:rPr>
          <w:sz w:val="22"/>
          <w:szCs w:val="22"/>
        </w:rPr>
        <w:t xml:space="preserve"> obvious barrier in terms of environmental and natural resource governance and mana</w:t>
      </w:r>
      <w:r>
        <w:rPr>
          <w:sz w:val="22"/>
          <w:szCs w:val="22"/>
        </w:rPr>
        <w:t xml:space="preserve">gement is that environment, natural resource management and coastal infrastructure </w:t>
      </w:r>
      <w:r w:rsidRPr="005A3891">
        <w:rPr>
          <w:sz w:val="22"/>
          <w:szCs w:val="22"/>
        </w:rPr>
        <w:t xml:space="preserve">are treated as separate sectors for planning and </w:t>
      </w:r>
      <w:r>
        <w:rPr>
          <w:sz w:val="22"/>
          <w:szCs w:val="22"/>
        </w:rPr>
        <w:t>management purposes leading to: o</w:t>
      </w:r>
      <w:r w:rsidRPr="005A3891">
        <w:rPr>
          <w:sz w:val="22"/>
          <w:szCs w:val="22"/>
        </w:rPr>
        <w:t>verlapping or conflicting mandates between different ministries, as in the case of fisheries and environment for example, where internal mechanisms for managing the impacts of fishing practices on habitats and the phys</w:t>
      </w:r>
      <w:r>
        <w:rPr>
          <w:sz w:val="22"/>
          <w:szCs w:val="22"/>
        </w:rPr>
        <w:t>ical environment do not exist;  p</w:t>
      </w:r>
      <w:r w:rsidRPr="005A3891">
        <w:rPr>
          <w:sz w:val="22"/>
          <w:szCs w:val="22"/>
        </w:rPr>
        <w:t xml:space="preserve">roblems related to an effective control of environmental degradation resulting from land-based pollution where the interface between the industrial and environmental sectors is not well developed; </w:t>
      </w:r>
      <w:r>
        <w:rPr>
          <w:sz w:val="22"/>
          <w:szCs w:val="22"/>
        </w:rPr>
        <w:t>and l</w:t>
      </w:r>
      <w:r w:rsidRPr="005A3891">
        <w:rPr>
          <w:sz w:val="22"/>
          <w:szCs w:val="22"/>
        </w:rPr>
        <w:t>ack of adequate consideration of the consequence of environmental degradation and habitat loss due to ineffective means of valuing environmental goods and services, and where they exist, a failure to use such values in social cost-benefit analysis.</w:t>
      </w:r>
    </w:p>
    <w:p w14:paraId="44705D6D" w14:textId="77777777" w:rsidR="00813C19" w:rsidRDefault="00813C19" w:rsidP="0067083C">
      <w:pPr>
        <w:spacing w:after="120"/>
        <w:jc w:val="both"/>
        <w:rPr>
          <w:rFonts w:cs="Angsana New"/>
          <w:sz w:val="22"/>
          <w:szCs w:val="22"/>
          <w:lang w:val="en-GB" w:bidi="th-TH"/>
        </w:rPr>
      </w:pPr>
    </w:p>
    <w:p w14:paraId="25BCF55E" w14:textId="77777777" w:rsidR="00813C19" w:rsidRDefault="00813C19" w:rsidP="0067083C">
      <w:pPr>
        <w:spacing w:after="120"/>
        <w:jc w:val="both"/>
        <w:rPr>
          <w:rFonts w:cs="Angsana New"/>
          <w:sz w:val="22"/>
          <w:szCs w:val="22"/>
          <w:lang w:val="en-GB" w:bidi="th-TH"/>
        </w:rPr>
        <w:sectPr w:rsidR="00813C19" w:rsidSect="00064925">
          <w:pgSz w:w="12240" w:h="15840" w:code="1"/>
          <w:pgMar w:top="1440" w:right="1584" w:bottom="1440" w:left="1584" w:header="706" w:footer="706" w:gutter="0"/>
          <w:cols w:space="708"/>
          <w:docGrid w:linePitch="360"/>
        </w:sectPr>
      </w:pPr>
    </w:p>
    <w:p w14:paraId="5D1DD7A9" w14:textId="77777777" w:rsidR="0067083C" w:rsidRDefault="0067083C" w:rsidP="0067083C">
      <w:pPr>
        <w:spacing w:after="120"/>
        <w:jc w:val="both"/>
        <w:rPr>
          <w:rFonts w:cs="Angsana New"/>
          <w:sz w:val="22"/>
          <w:szCs w:val="22"/>
          <w:lang w:val="en-GB" w:bidi="th-TH"/>
        </w:rPr>
      </w:pPr>
    </w:p>
    <w:p w14:paraId="5CE7574B" w14:textId="77777777" w:rsidR="0067083C" w:rsidRPr="0067083C" w:rsidRDefault="0067083C" w:rsidP="0067083C">
      <w:pPr>
        <w:ind w:left="1440" w:hanging="1440"/>
        <w:rPr>
          <w:rFonts w:cs="Angsana New"/>
          <w:sz w:val="21"/>
          <w:szCs w:val="21"/>
          <w:lang w:val="en-GB" w:bidi="th-TH"/>
        </w:rPr>
      </w:pPr>
      <w:r w:rsidRPr="0067083C">
        <w:rPr>
          <w:rFonts w:cs="Angsana New"/>
          <w:b/>
          <w:bCs/>
          <w:sz w:val="21"/>
          <w:szCs w:val="21"/>
          <w:lang w:val="en-GB" w:bidi="th-TH"/>
        </w:rPr>
        <w:t xml:space="preserve">Table </w:t>
      </w:r>
      <w:r>
        <w:rPr>
          <w:rFonts w:cs="Angsana New"/>
          <w:b/>
          <w:bCs/>
          <w:sz w:val="21"/>
          <w:szCs w:val="21"/>
          <w:lang w:val="en-GB" w:bidi="th-TH"/>
        </w:rPr>
        <w:t>1</w:t>
      </w:r>
      <w:r w:rsidR="00796B4F">
        <w:rPr>
          <w:rFonts w:cs="Angsana New"/>
          <w:b/>
          <w:bCs/>
          <w:sz w:val="21"/>
          <w:szCs w:val="21"/>
          <w:lang w:val="en-GB" w:bidi="th-TH"/>
        </w:rPr>
        <w:t>4</w:t>
      </w:r>
      <w:r w:rsidRPr="0067083C">
        <w:rPr>
          <w:rFonts w:cs="Angsana New"/>
          <w:bCs/>
          <w:sz w:val="21"/>
          <w:szCs w:val="21"/>
          <w:lang w:val="en-GB" w:bidi="th-TH"/>
        </w:rPr>
        <w:tab/>
        <w:t xml:space="preserve">Regional ranking of threats to seagrass specified by the RWG-SG, 1 = most serious and 6 = least serious. </w:t>
      </w:r>
      <w:r w:rsidRPr="0067083C">
        <w:rPr>
          <w:rFonts w:cs="Angsana New"/>
          <w:bCs/>
          <w:i/>
          <w:iCs/>
          <w:sz w:val="21"/>
          <w:szCs w:val="21"/>
          <w:lang w:val="en-GB" w:bidi="th-TH"/>
        </w:rPr>
        <w:t xml:space="preserve">(regional score based on country score provided by the focal points and the ratio of seagrass areas of each country to that of the region) </w:t>
      </w:r>
      <w:r w:rsidRPr="0067083C">
        <w:rPr>
          <w:rFonts w:cs="Angsana New"/>
          <w:sz w:val="21"/>
          <w:szCs w:val="21"/>
          <w:lang w:val="en-GB" w:bidi="th-TH"/>
        </w:rPr>
        <w:t xml:space="preserve">(based on UNEP, </w:t>
      </w:r>
      <w:r w:rsidR="00803406" w:rsidRPr="0067083C">
        <w:rPr>
          <w:rFonts w:cs="Angsana New"/>
          <w:sz w:val="21"/>
          <w:szCs w:val="21"/>
          <w:lang w:val="en-GB" w:bidi="th-TH"/>
        </w:rPr>
        <w:t>200</w:t>
      </w:r>
      <w:r w:rsidR="00803406">
        <w:rPr>
          <w:rFonts w:cs="Angsana New"/>
          <w:sz w:val="21"/>
          <w:szCs w:val="21"/>
          <w:lang w:val="en-GB" w:bidi="th-TH"/>
        </w:rPr>
        <w:t>8b</w:t>
      </w:r>
      <w:r w:rsidRPr="0067083C">
        <w:rPr>
          <w:rFonts w:cs="Angsana New"/>
          <w:sz w:val="21"/>
          <w:szCs w:val="21"/>
          <w:lang w:val="en-GB" w:bidi="th-TH"/>
        </w:rPr>
        <w:t xml:space="preserve">; UNEP, </w:t>
      </w:r>
      <w:r w:rsidR="00803406" w:rsidRPr="0067083C">
        <w:rPr>
          <w:rFonts w:cs="Angsana New"/>
          <w:sz w:val="21"/>
          <w:szCs w:val="21"/>
          <w:lang w:val="en-GB" w:bidi="th-TH"/>
        </w:rPr>
        <w:t>2008</w:t>
      </w:r>
      <w:r w:rsidR="00803406">
        <w:rPr>
          <w:rFonts w:cs="Angsana New"/>
          <w:sz w:val="21"/>
          <w:szCs w:val="21"/>
          <w:lang w:val="en-GB" w:bidi="th-TH"/>
        </w:rPr>
        <w:t>d</w:t>
      </w:r>
      <w:r w:rsidRPr="0067083C">
        <w:rPr>
          <w:rFonts w:cs="Angsana New"/>
          <w:sz w:val="21"/>
          <w:szCs w:val="21"/>
          <w:lang w:val="en-GB" w:bidi="th-TH"/>
        </w:rPr>
        <w:t>).</w:t>
      </w:r>
    </w:p>
    <w:p w14:paraId="320CBD7A" w14:textId="77777777" w:rsidR="0067083C" w:rsidRPr="0067083C" w:rsidRDefault="0067083C" w:rsidP="0067083C">
      <w:pPr>
        <w:rPr>
          <w:rFonts w:cs="Angsana New"/>
          <w:bCs/>
          <w:lang w:val="en-GB" w:bidi="th-TH"/>
        </w:rPr>
      </w:pPr>
    </w:p>
    <w:tbl>
      <w:tblPr>
        <w:tblW w:w="0" w:type="auto"/>
        <w:jc w:val="center"/>
        <w:tblLayout w:type="fixed"/>
        <w:tblLook w:val="0000" w:firstRow="0" w:lastRow="0" w:firstColumn="0" w:lastColumn="0" w:noHBand="0" w:noVBand="0"/>
      </w:tblPr>
      <w:tblGrid>
        <w:gridCol w:w="1548"/>
        <w:gridCol w:w="637"/>
        <w:gridCol w:w="803"/>
        <w:gridCol w:w="720"/>
        <w:gridCol w:w="810"/>
        <w:gridCol w:w="720"/>
        <w:gridCol w:w="810"/>
        <w:gridCol w:w="720"/>
        <w:gridCol w:w="810"/>
        <w:gridCol w:w="720"/>
        <w:gridCol w:w="810"/>
        <w:gridCol w:w="720"/>
        <w:gridCol w:w="810"/>
        <w:gridCol w:w="720"/>
        <w:gridCol w:w="810"/>
        <w:gridCol w:w="810"/>
        <w:gridCol w:w="900"/>
      </w:tblGrid>
      <w:tr w:rsidR="0067083C" w:rsidRPr="0067083C" w14:paraId="2649D66A" w14:textId="77777777" w:rsidTr="003B6CDA">
        <w:trPr>
          <w:jc w:val="center"/>
        </w:trPr>
        <w:tc>
          <w:tcPr>
            <w:tcW w:w="1548" w:type="dxa"/>
            <w:tcBorders>
              <w:top w:val="single" w:sz="12" w:space="0" w:color="auto"/>
              <w:left w:val="single" w:sz="12" w:space="0" w:color="auto"/>
              <w:bottom w:val="single" w:sz="12" w:space="0" w:color="auto"/>
              <w:right w:val="single" w:sz="6" w:space="0" w:color="auto"/>
            </w:tcBorders>
            <w:vAlign w:val="center"/>
          </w:tcPr>
          <w:p w14:paraId="2DCDB402" w14:textId="77777777" w:rsidR="0067083C" w:rsidRPr="0067083C" w:rsidRDefault="0067083C" w:rsidP="0067083C">
            <w:pPr>
              <w:spacing w:before="60" w:after="60"/>
              <w:jc w:val="center"/>
              <w:rPr>
                <w:b/>
                <w:bCs/>
                <w:sz w:val="18"/>
                <w:szCs w:val="18"/>
                <w:lang w:val="en-GB" w:bidi="th-TH"/>
              </w:rPr>
            </w:pPr>
            <w:r w:rsidRPr="0067083C">
              <w:rPr>
                <w:b/>
                <w:bCs/>
                <w:sz w:val="18"/>
                <w:szCs w:val="18"/>
                <w:lang w:val="en-GB" w:bidi="th-TH"/>
              </w:rPr>
              <w:t>Country</w:t>
            </w:r>
          </w:p>
        </w:tc>
        <w:tc>
          <w:tcPr>
            <w:tcW w:w="1440" w:type="dxa"/>
            <w:gridSpan w:val="2"/>
            <w:tcBorders>
              <w:top w:val="single" w:sz="12" w:space="0" w:color="auto"/>
              <w:left w:val="single" w:sz="6" w:space="0" w:color="auto"/>
              <w:bottom w:val="single" w:sz="12" w:space="0" w:color="auto"/>
              <w:right w:val="single" w:sz="6" w:space="0" w:color="auto"/>
            </w:tcBorders>
            <w:vAlign w:val="center"/>
          </w:tcPr>
          <w:p w14:paraId="477F7D87" w14:textId="77777777" w:rsidR="0067083C" w:rsidRPr="0067083C" w:rsidRDefault="0067083C" w:rsidP="0067083C">
            <w:pPr>
              <w:spacing w:before="60" w:after="60"/>
              <w:jc w:val="center"/>
              <w:rPr>
                <w:b/>
                <w:bCs/>
                <w:sz w:val="18"/>
                <w:szCs w:val="18"/>
                <w:lang w:val="en-GB" w:bidi="th-TH"/>
              </w:rPr>
            </w:pPr>
            <w:r w:rsidRPr="0067083C">
              <w:rPr>
                <w:b/>
                <w:bCs/>
                <w:sz w:val="18"/>
                <w:szCs w:val="18"/>
                <w:lang w:val="en-GB" w:bidi="th-TH"/>
              </w:rPr>
              <w:t>Cambodia</w:t>
            </w:r>
          </w:p>
        </w:tc>
        <w:tc>
          <w:tcPr>
            <w:tcW w:w="1530" w:type="dxa"/>
            <w:gridSpan w:val="2"/>
            <w:tcBorders>
              <w:top w:val="single" w:sz="12" w:space="0" w:color="auto"/>
              <w:left w:val="single" w:sz="6" w:space="0" w:color="auto"/>
              <w:bottom w:val="single" w:sz="12" w:space="0" w:color="auto"/>
              <w:right w:val="single" w:sz="6" w:space="0" w:color="auto"/>
            </w:tcBorders>
            <w:vAlign w:val="center"/>
          </w:tcPr>
          <w:p w14:paraId="00FF84DB" w14:textId="77777777" w:rsidR="0067083C" w:rsidRPr="0067083C" w:rsidRDefault="0067083C" w:rsidP="0067083C">
            <w:pPr>
              <w:spacing w:before="60" w:after="60"/>
              <w:jc w:val="center"/>
              <w:rPr>
                <w:b/>
                <w:bCs/>
                <w:sz w:val="18"/>
                <w:szCs w:val="18"/>
                <w:lang w:val="en-GB" w:bidi="th-TH"/>
              </w:rPr>
            </w:pPr>
            <w:r w:rsidRPr="0067083C">
              <w:rPr>
                <w:b/>
                <w:bCs/>
                <w:sz w:val="18"/>
                <w:szCs w:val="18"/>
                <w:lang w:val="en-GB" w:bidi="th-TH"/>
              </w:rPr>
              <w:t>China</w:t>
            </w:r>
          </w:p>
        </w:tc>
        <w:tc>
          <w:tcPr>
            <w:tcW w:w="1530" w:type="dxa"/>
            <w:gridSpan w:val="2"/>
            <w:tcBorders>
              <w:top w:val="single" w:sz="12" w:space="0" w:color="auto"/>
              <w:left w:val="single" w:sz="6" w:space="0" w:color="auto"/>
              <w:bottom w:val="single" w:sz="12" w:space="0" w:color="auto"/>
              <w:right w:val="single" w:sz="6" w:space="0" w:color="auto"/>
            </w:tcBorders>
            <w:vAlign w:val="center"/>
          </w:tcPr>
          <w:p w14:paraId="65986CBE" w14:textId="77777777" w:rsidR="0067083C" w:rsidRPr="0067083C" w:rsidRDefault="0067083C" w:rsidP="0067083C">
            <w:pPr>
              <w:spacing w:before="60" w:after="60"/>
              <w:jc w:val="center"/>
              <w:rPr>
                <w:b/>
                <w:bCs/>
                <w:sz w:val="18"/>
                <w:szCs w:val="18"/>
                <w:lang w:val="en-GB" w:bidi="th-TH"/>
              </w:rPr>
            </w:pPr>
            <w:r w:rsidRPr="0067083C">
              <w:rPr>
                <w:b/>
                <w:bCs/>
                <w:sz w:val="18"/>
                <w:szCs w:val="18"/>
                <w:lang w:val="en-GB" w:bidi="th-TH"/>
              </w:rPr>
              <w:t>Indonesia</w:t>
            </w:r>
          </w:p>
        </w:tc>
        <w:tc>
          <w:tcPr>
            <w:tcW w:w="1530" w:type="dxa"/>
            <w:gridSpan w:val="2"/>
            <w:tcBorders>
              <w:top w:val="single" w:sz="12" w:space="0" w:color="auto"/>
              <w:left w:val="single" w:sz="6" w:space="0" w:color="auto"/>
              <w:bottom w:val="single" w:sz="12" w:space="0" w:color="auto"/>
              <w:right w:val="single" w:sz="6" w:space="0" w:color="auto"/>
            </w:tcBorders>
            <w:vAlign w:val="center"/>
          </w:tcPr>
          <w:p w14:paraId="2390B527" w14:textId="77777777" w:rsidR="0067083C" w:rsidRPr="0067083C" w:rsidRDefault="0067083C" w:rsidP="0067083C">
            <w:pPr>
              <w:spacing w:before="60" w:after="60"/>
              <w:jc w:val="center"/>
              <w:rPr>
                <w:b/>
                <w:bCs/>
                <w:sz w:val="18"/>
                <w:szCs w:val="18"/>
                <w:lang w:val="en-GB" w:bidi="th-TH"/>
              </w:rPr>
            </w:pPr>
            <w:r w:rsidRPr="0067083C">
              <w:rPr>
                <w:b/>
                <w:bCs/>
                <w:sz w:val="18"/>
                <w:szCs w:val="18"/>
                <w:lang w:val="en-GB" w:bidi="th-TH"/>
              </w:rPr>
              <w:t>Malaysia</w:t>
            </w:r>
          </w:p>
        </w:tc>
        <w:tc>
          <w:tcPr>
            <w:tcW w:w="1530" w:type="dxa"/>
            <w:gridSpan w:val="2"/>
            <w:tcBorders>
              <w:top w:val="single" w:sz="12" w:space="0" w:color="auto"/>
              <w:left w:val="single" w:sz="6" w:space="0" w:color="auto"/>
              <w:bottom w:val="single" w:sz="12" w:space="0" w:color="auto"/>
              <w:right w:val="single" w:sz="6" w:space="0" w:color="auto"/>
            </w:tcBorders>
            <w:vAlign w:val="center"/>
          </w:tcPr>
          <w:p w14:paraId="01826F57" w14:textId="77777777" w:rsidR="0067083C" w:rsidRPr="0067083C" w:rsidRDefault="0067083C" w:rsidP="0067083C">
            <w:pPr>
              <w:spacing w:before="60" w:after="60"/>
              <w:jc w:val="center"/>
              <w:rPr>
                <w:b/>
                <w:bCs/>
                <w:sz w:val="18"/>
                <w:szCs w:val="18"/>
                <w:lang w:val="en-GB" w:bidi="th-TH"/>
              </w:rPr>
            </w:pPr>
            <w:r w:rsidRPr="0067083C">
              <w:rPr>
                <w:b/>
                <w:bCs/>
                <w:sz w:val="18"/>
                <w:szCs w:val="18"/>
                <w:lang w:val="en-GB" w:bidi="th-TH"/>
              </w:rPr>
              <w:t>Philippines</w:t>
            </w:r>
          </w:p>
        </w:tc>
        <w:tc>
          <w:tcPr>
            <w:tcW w:w="1530" w:type="dxa"/>
            <w:gridSpan w:val="2"/>
            <w:tcBorders>
              <w:top w:val="single" w:sz="12" w:space="0" w:color="auto"/>
              <w:left w:val="single" w:sz="6" w:space="0" w:color="auto"/>
              <w:bottom w:val="single" w:sz="12" w:space="0" w:color="auto"/>
              <w:right w:val="single" w:sz="6" w:space="0" w:color="auto"/>
            </w:tcBorders>
            <w:vAlign w:val="center"/>
          </w:tcPr>
          <w:p w14:paraId="03F60BBD" w14:textId="77777777" w:rsidR="0067083C" w:rsidRPr="0067083C" w:rsidRDefault="0067083C" w:rsidP="0067083C">
            <w:pPr>
              <w:spacing w:before="60" w:after="60"/>
              <w:jc w:val="center"/>
              <w:rPr>
                <w:b/>
                <w:bCs/>
                <w:sz w:val="18"/>
                <w:szCs w:val="18"/>
                <w:lang w:val="en-GB" w:bidi="th-TH"/>
              </w:rPr>
            </w:pPr>
            <w:r w:rsidRPr="0067083C">
              <w:rPr>
                <w:b/>
                <w:bCs/>
                <w:sz w:val="18"/>
                <w:szCs w:val="18"/>
                <w:lang w:val="en-GB" w:bidi="th-TH"/>
              </w:rPr>
              <w:t>Thailand</w:t>
            </w:r>
          </w:p>
        </w:tc>
        <w:tc>
          <w:tcPr>
            <w:tcW w:w="1530" w:type="dxa"/>
            <w:gridSpan w:val="2"/>
            <w:tcBorders>
              <w:top w:val="single" w:sz="12" w:space="0" w:color="auto"/>
              <w:left w:val="single" w:sz="6" w:space="0" w:color="auto"/>
              <w:bottom w:val="single" w:sz="12" w:space="0" w:color="auto"/>
              <w:right w:val="single" w:sz="6" w:space="0" w:color="auto"/>
            </w:tcBorders>
            <w:vAlign w:val="center"/>
          </w:tcPr>
          <w:p w14:paraId="112D0ECE" w14:textId="77777777" w:rsidR="0067083C" w:rsidRPr="0067083C" w:rsidRDefault="0067083C" w:rsidP="0067083C">
            <w:pPr>
              <w:spacing w:before="60" w:after="60"/>
              <w:jc w:val="center"/>
              <w:rPr>
                <w:b/>
                <w:bCs/>
                <w:sz w:val="18"/>
                <w:szCs w:val="18"/>
                <w:lang w:val="en-GB" w:bidi="th-TH"/>
              </w:rPr>
            </w:pPr>
            <w:r w:rsidRPr="0067083C">
              <w:rPr>
                <w:b/>
                <w:bCs/>
                <w:sz w:val="18"/>
                <w:szCs w:val="18"/>
                <w:lang w:val="en-GB" w:bidi="th-TH"/>
              </w:rPr>
              <w:t>Viet Nam</w:t>
            </w:r>
          </w:p>
        </w:tc>
        <w:tc>
          <w:tcPr>
            <w:tcW w:w="1710" w:type="dxa"/>
            <w:gridSpan w:val="2"/>
            <w:tcBorders>
              <w:top w:val="single" w:sz="12" w:space="0" w:color="auto"/>
              <w:left w:val="single" w:sz="6" w:space="0" w:color="auto"/>
              <w:bottom w:val="single" w:sz="12" w:space="0" w:color="auto"/>
              <w:right w:val="single" w:sz="12" w:space="0" w:color="auto"/>
            </w:tcBorders>
            <w:noWrap/>
            <w:vAlign w:val="center"/>
          </w:tcPr>
          <w:p w14:paraId="089DBC34" w14:textId="77777777" w:rsidR="0067083C" w:rsidRPr="0067083C" w:rsidRDefault="0067083C" w:rsidP="0067083C">
            <w:pPr>
              <w:spacing w:before="60" w:after="60"/>
              <w:jc w:val="center"/>
              <w:rPr>
                <w:b/>
                <w:bCs/>
                <w:sz w:val="18"/>
                <w:szCs w:val="18"/>
                <w:lang w:val="en-GB" w:bidi="th-TH"/>
              </w:rPr>
            </w:pPr>
            <w:r w:rsidRPr="0067083C">
              <w:rPr>
                <w:b/>
                <w:bCs/>
                <w:sz w:val="18"/>
                <w:szCs w:val="18"/>
                <w:lang w:val="en-GB" w:bidi="th-TH"/>
              </w:rPr>
              <w:t>Total</w:t>
            </w:r>
          </w:p>
        </w:tc>
      </w:tr>
      <w:tr w:rsidR="0067083C" w:rsidRPr="0067083C" w14:paraId="1478A2BC" w14:textId="77777777" w:rsidTr="003B6CDA">
        <w:trPr>
          <w:jc w:val="center"/>
        </w:trPr>
        <w:tc>
          <w:tcPr>
            <w:tcW w:w="1548" w:type="dxa"/>
            <w:tcBorders>
              <w:top w:val="single" w:sz="12" w:space="0" w:color="auto"/>
              <w:left w:val="single" w:sz="12" w:space="0" w:color="auto"/>
              <w:bottom w:val="single" w:sz="4" w:space="0" w:color="auto"/>
              <w:right w:val="single" w:sz="4" w:space="0" w:color="auto"/>
            </w:tcBorders>
            <w:vAlign w:val="center"/>
          </w:tcPr>
          <w:p w14:paraId="79B35D07" w14:textId="77777777" w:rsidR="0067083C" w:rsidRPr="0067083C" w:rsidRDefault="0067083C" w:rsidP="0067083C">
            <w:pPr>
              <w:spacing w:before="20" w:after="20"/>
              <w:rPr>
                <w:b/>
                <w:bCs/>
                <w:sz w:val="18"/>
                <w:szCs w:val="18"/>
                <w:lang w:val="en-GB" w:bidi="th-TH"/>
              </w:rPr>
            </w:pPr>
            <w:r w:rsidRPr="0067083C">
              <w:rPr>
                <w:b/>
                <w:bCs/>
                <w:sz w:val="18"/>
                <w:szCs w:val="18"/>
                <w:lang w:val="en-GB" w:bidi="th-TH"/>
              </w:rPr>
              <w:t>Area (ha)</w:t>
            </w:r>
          </w:p>
        </w:tc>
        <w:tc>
          <w:tcPr>
            <w:tcW w:w="1440" w:type="dxa"/>
            <w:gridSpan w:val="2"/>
            <w:tcBorders>
              <w:top w:val="single" w:sz="12" w:space="0" w:color="auto"/>
              <w:left w:val="single" w:sz="4" w:space="0" w:color="auto"/>
              <w:bottom w:val="single" w:sz="4" w:space="0" w:color="auto"/>
              <w:right w:val="single" w:sz="4" w:space="0" w:color="auto"/>
            </w:tcBorders>
            <w:vAlign w:val="center"/>
          </w:tcPr>
          <w:p w14:paraId="7104D49E" w14:textId="77777777" w:rsidR="0067083C" w:rsidRPr="0067083C" w:rsidRDefault="0067083C" w:rsidP="0067083C">
            <w:pPr>
              <w:spacing w:before="20" w:after="20"/>
              <w:jc w:val="center"/>
              <w:rPr>
                <w:sz w:val="18"/>
                <w:szCs w:val="18"/>
                <w:lang w:val="en-GB" w:bidi="th-TH"/>
              </w:rPr>
            </w:pPr>
            <w:r w:rsidRPr="0067083C">
              <w:rPr>
                <w:sz w:val="18"/>
                <w:szCs w:val="18"/>
                <w:lang w:val="en-GB" w:bidi="th-TH"/>
              </w:rPr>
              <w:t>33,800</w:t>
            </w:r>
          </w:p>
        </w:tc>
        <w:tc>
          <w:tcPr>
            <w:tcW w:w="1530" w:type="dxa"/>
            <w:gridSpan w:val="2"/>
            <w:tcBorders>
              <w:top w:val="single" w:sz="12" w:space="0" w:color="auto"/>
              <w:left w:val="single" w:sz="4" w:space="0" w:color="auto"/>
              <w:bottom w:val="single" w:sz="4" w:space="0" w:color="auto"/>
              <w:right w:val="single" w:sz="4" w:space="0" w:color="auto"/>
            </w:tcBorders>
            <w:vAlign w:val="center"/>
          </w:tcPr>
          <w:p w14:paraId="615DB3FF" w14:textId="77777777" w:rsidR="0067083C" w:rsidRPr="0067083C" w:rsidRDefault="0067083C" w:rsidP="0067083C">
            <w:pPr>
              <w:spacing w:before="20" w:after="20"/>
              <w:jc w:val="center"/>
              <w:rPr>
                <w:sz w:val="18"/>
                <w:szCs w:val="18"/>
                <w:lang w:val="en-GB" w:bidi="th-TH"/>
              </w:rPr>
            </w:pPr>
            <w:r w:rsidRPr="0067083C">
              <w:rPr>
                <w:sz w:val="18"/>
                <w:szCs w:val="18"/>
                <w:lang w:val="en-GB" w:bidi="th-TH"/>
              </w:rPr>
              <w:t>1,960</w:t>
            </w:r>
          </w:p>
        </w:tc>
        <w:tc>
          <w:tcPr>
            <w:tcW w:w="1530" w:type="dxa"/>
            <w:gridSpan w:val="2"/>
            <w:tcBorders>
              <w:top w:val="single" w:sz="12" w:space="0" w:color="auto"/>
              <w:left w:val="single" w:sz="4" w:space="0" w:color="auto"/>
              <w:bottom w:val="single" w:sz="4" w:space="0" w:color="auto"/>
              <w:right w:val="single" w:sz="4" w:space="0" w:color="auto"/>
            </w:tcBorders>
            <w:vAlign w:val="center"/>
          </w:tcPr>
          <w:p w14:paraId="62CF2E8D" w14:textId="77777777" w:rsidR="0067083C" w:rsidRPr="0067083C" w:rsidRDefault="0067083C" w:rsidP="0067083C">
            <w:pPr>
              <w:spacing w:before="20" w:after="20"/>
              <w:jc w:val="center"/>
              <w:rPr>
                <w:sz w:val="18"/>
                <w:szCs w:val="18"/>
                <w:lang w:val="en-GB" w:bidi="th-TH"/>
              </w:rPr>
            </w:pPr>
            <w:r w:rsidRPr="0067083C">
              <w:rPr>
                <w:sz w:val="18"/>
                <w:szCs w:val="18"/>
                <w:lang w:val="en-GB" w:bidi="th-TH"/>
              </w:rPr>
              <w:t>3,000</w:t>
            </w:r>
          </w:p>
        </w:tc>
        <w:tc>
          <w:tcPr>
            <w:tcW w:w="1530" w:type="dxa"/>
            <w:gridSpan w:val="2"/>
            <w:tcBorders>
              <w:top w:val="single" w:sz="12" w:space="0" w:color="auto"/>
              <w:left w:val="single" w:sz="4" w:space="0" w:color="auto"/>
              <w:bottom w:val="single" w:sz="4" w:space="0" w:color="auto"/>
              <w:right w:val="single" w:sz="4" w:space="0" w:color="auto"/>
            </w:tcBorders>
            <w:vAlign w:val="center"/>
          </w:tcPr>
          <w:p w14:paraId="4139CD29" w14:textId="77777777" w:rsidR="0067083C" w:rsidRPr="0067083C" w:rsidRDefault="0067083C" w:rsidP="0067083C">
            <w:pPr>
              <w:spacing w:before="20" w:after="20"/>
              <w:jc w:val="center"/>
              <w:rPr>
                <w:sz w:val="18"/>
                <w:szCs w:val="18"/>
                <w:lang w:val="en-GB" w:bidi="th-TH"/>
              </w:rPr>
            </w:pPr>
            <w:r w:rsidRPr="0067083C">
              <w:rPr>
                <w:sz w:val="18"/>
                <w:szCs w:val="18"/>
                <w:lang w:val="en-GB" w:bidi="th-TH"/>
              </w:rPr>
              <w:t>222</w:t>
            </w:r>
          </w:p>
        </w:tc>
        <w:tc>
          <w:tcPr>
            <w:tcW w:w="1530" w:type="dxa"/>
            <w:gridSpan w:val="2"/>
            <w:tcBorders>
              <w:top w:val="single" w:sz="12" w:space="0" w:color="auto"/>
              <w:left w:val="single" w:sz="4" w:space="0" w:color="auto"/>
              <w:bottom w:val="single" w:sz="4" w:space="0" w:color="auto"/>
              <w:right w:val="single" w:sz="4" w:space="0" w:color="auto"/>
            </w:tcBorders>
            <w:vAlign w:val="center"/>
          </w:tcPr>
          <w:p w14:paraId="618073FC" w14:textId="77777777" w:rsidR="0067083C" w:rsidRPr="0067083C" w:rsidRDefault="0067083C" w:rsidP="0067083C">
            <w:pPr>
              <w:spacing w:before="20" w:after="20"/>
              <w:jc w:val="center"/>
              <w:rPr>
                <w:sz w:val="18"/>
                <w:szCs w:val="18"/>
                <w:lang w:val="en-GB" w:bidi="th-TH"/>
              </w:rPr>
            </w:pPr>
            <w:r w:rsidRPr="0067083C">
              <w:rPr>
                <w:sz w:val="18"/>
                <w:szCs w:val="18"/>
                <w:lang w:val="en-GB" w:bidi="th-TH"/>
              </w:rPr>
              <w:t>23,200</w:t>
            </w:r>
          </w:p>
        </w:tc>
        <w:tc>
          <w:tcPr>
            <w:tcW w:w="1530" w:type="dxa"/>
            <w:gridSpan w:val="2"/>
            <w:tcBorders>
              <w:top w:val="single" w:sz="12" w:space="0" w:color="auto"/>
              <w:left w:val="single" w:sz="4" w:space="0" w:color="auto"/>
              <w:bottom w:val="single" w:sz="4" w:space="0" w:color="auto"/>
              <w:right w:val="single" w:sz="4" w:space="0" w:color="auto"/>
            </w:tcBorders>
            <w:vAlign w:val="center"/>
          </w:tcPr>
          <w:p w14:paraId="17EE7F70" w14:textId="77777777" w:rsidR="0067083C" w:rsidRPr="0067083C" w:rsidRDefault="0067083C" w:rsidP="0067083C">
            <w:pPr>
              <w:spacing w:before="20" w:after="20"/>
              <w:jc w:val="center"/>
              <w:rPr>
                <w:sz w:val="18"/>
                <w:szCs w:val="18"/>
                <w:lang w:val="en-GB" w:bidi="th-TH"/>
              </w:rPr>
            </w:pPr>
            <w:r w:rsidRPr="0067083C">
              <w:rPr>
                <w:sz w:val="18"/>
                <w:szCs w:val="18"/>
                <w:lang w:val="en-GB" w:bidi="th-TH"/>
              </w:rPr>
              <w:t>2,550</w:t>
            </w:r>
          </w:p>
        </w:tc>
        <w:tc>
          <w:tcPr>
            <w:tcW w:w="1530" w:type="dxa"/>
            <w:gridSpan w:val="2"/>
            <w:tcBorders>
              <w:top w:val="single" w:sz="12" w:space="0" w:color="auto"/>
              <w:left w:val="single" w:sz="4" w:space="0" w:color="auto"/>
              <w:bottom w:val="single" w:sz="4" w:space="0" w:color="auto"/>
              <w:right w:val="single" w:sz="4" w:space="0" w:color="auto"/>
            </w:tcBorders>
            <w:noWrap/>
            <w:vAlign w:val="center"/>
          </w:tcPr>
          <w:p w14:paraId="339BACF3" w14:textId="77777777" w:rsidR="0067083C" w:rsidRPr="0067083C" w:rsidRDefault="0067083C" w:rsidP="0067083C">
            <w:pPr>
              <w:spacing w:before="20" w:after="20"/>
              <w:jc w:val="center"/>
              <w:rPr>
                <w:sz w:val="18"/>
                <w:szCs w:val="18"/>
                <w:lang w:val="en-GB" w:bidi="th-TH"/>
              </w:rPr>
            </w:pPr>
            <w:r w:rsidRPr="0067083C">
              <w:rPr>
                <w:sz w:val="18"/>
                <w:szCs w:val="18"/>
                <w:lang w:val="en-GB" w:bidi="th-TH"/>
              </w:rPr>
              <w:t>13,500</w:t>
            </w:r>
          </w:p>
        </w:tc>
        <w:tc>
          <w:tcPr>
            <w:tcW w:w="1710" w:type="dxa"/>
            <w:gridSpan w:val="2"/>
            <w:tcBorders>
              <w:top w:val="single" w:sz="12" w:space="0" w:color="auto"/>
              <w:left w:val="single" w:sz="4" w:space="0" w:color="auto"/>
              <w:bottom w:val="single" w:sz="4" w:space="0" w:color="auto"/>
              <w:right w:val="single" w:sz="12" w:space="0" w:color="auto"/>
            </w:tcBorders>
            <w:noWrap/>
            <w:vAlign w:val="center"/>
          </w:tcPr>
          <w:p w14:paraId="7646C821" w14:textId="77777777" w:rsidR="0067083C" w:rsidRPr="0067083C" w:rsidRDefault="0067083C" w:rsidP="0067083C">
            <w:pPr>
              <w:spacing w:before="20" w:after="20"/>
              <w:jc w:val="center"/>
              <w:rPr>
                <w:b/>
                <w:bCs/>
                <w:sz w:val="18"/>
                <w:szCs w:val="18"/>
                <w:lang w:val="en-GB" w:bidi="th-TH"/>
              </w:rPr>
            </w:pPr>
            <w:r w:rsidRPr="0067083C">
              <w:rPr>
                <w:b/>
                <w:bCs/>
                <w:sz w:val="18"/>
                <w:szCs w:val="18"/>
                <w:lang w:val="en-GB" w:bidi="th-TH"/>
              </w:rPr>
              <w:t>78,300</w:t>
            </w:r>
          </w:p>
        </w:tc>
      </w:tr>
      <w:tr w:rsidR="0067083C" w:rsidRPr="0067083C" w14:paraId="69487B1C" w14:textId="77777777" w:rsidTr="003B6CDA">
        <w:trPr>
          <w:jc w:val="center"/>
        </w:trPr>
        <w:tc>
          <w:tcPr>
            <w:tcW w:w="1548" w:type="dxa"/>
            <w:tcBorders>
              <w:top w:val="single" w:sz="4" w:space="0" w:color="auto"/>
              <w:left w:val="single" w:sz="12" w:space="0" w:color="auto"/>
              <w:bottom w:val="single" w:sz="12" w:space="0" w:color="auto"/>
              <w:right w:val="single" w:sz="4" w:space="0" w:color="auto"/>
            </w:tcBorders>
            <w:vAlign w:val="center"/>
          </w:tcPr>
          <w:p w14:paraId="7307CCCD" w14:textId="77777777" w:rsidR="0067083C" w:rsidRPr="0067083C" w:rsidRDefault="0067083C" w:rsidP="0067083C">
            <w:pPr>
              <w:spacing w:before="20" w:after="20"/>
              <w:rPr>
                <w:b/>
                <w:bCs/>
                <w:sz w:val="18"/>
                <w:szCs w:val="18"/>
                <w:lang w:val="en-GB" w:bidi="th-TH"/>
              </w:rPr>
            </w:pPr>
            <w:r w:rsidRPr="0067083C">
              <w:rPr>
                <w:b/>
                <w:bCs/>
                <w:sz w:val="18"/>
                <w:szCs w:val="18"/>
                <w:lang w:val="en-GB" w:bidi="th-TH"/>
              </w:rPr>
              <w:t>Proportion of regional total</w:t>
            </w:r>
          </w:p>
        </w:tc>
        <w:tc>
          <w:tcPr>
            <w:tcW w:w="1440" w:type="dxa"/>
            <w:gridSpan w:val="2"/>
            <w:tcBorders>
              <w:top w:val="single" w:sz="4" w:space="0" w:color="auto"/>
              <w:left w:val="single" w:sz="4" w:space="0" w:color="auto"/>
              <w:bottom w:val="single" w:sz="12" w:space="0" w:color="auto"/>
              <w:right w:val="single" w:sz="4" w:space="0" w:color="auto"/>
            </w:tcBorders>
            <w:vAlign w:val="center"/>
          </w:tcPr>
          <w:p w14:paraId="0D48D1C2" w14:textId="77777777" w:rsidR="0067083C" w:rsidRPr="0067083C" w:rsidRDefault="0067083C" w:rsidP="0067083C">
            <w:pPr>
              <w:spacing w:before="20" w:after="20"/>
              <w:jc w:val="center"/>
              <w:rPr>
                <w:sz w:val="18"/>
                <w:szCs w:val="18"/>
                <w:lang w:val="en-GB" w:bidi="th-TH"/>
              </w:rPr>
            </w:pPr>
            <w:r w:rsidRPr="0067083C">
              <w:rPr>
                <w:sz w:val="18"/>
                <w:szCs w:val="18"/>
                <w:lang w:val="en-GB" w:bidi="th-TH"/>
              </w:rPr>
              <w:t>0.458</w:t>
            </w:r>
          </w:p>
        </w:tc>
        <w:tc>
          <w:tcPr>
            <w:tcW w:w="1530" w:type="dxa"/>
            <w:gridSpan w:val="2"/>
            <w:tcBorders>
              <w:top w:val="single" w:sz="4" w:space="0" w:color="auto"/>
              <w:left w:val="single" w:sz="4" w:space="0" w:color="auto"/>
              <w:bottom w:val="single" w:sz="12" w:space="0" w:color="auto"/>
              <w:right w:val="single" w:sz="4" w:space="0" w:color="auto"/>
            </w:tcBorders>
            <w:vAlign w:val="center"/>
          </w:tcPr>
          <w:p w14:paraId="3DA3A790" w14:textId="77777777" w:rsidR="0067083C" w:rsidRPr="0067083C" w:rsidRDefault="0067083C" w:rsidP="0067083C">
            <w:pPr>
              <w:spacing w:before="20" w:after="20"/>
              <w:jc w:val="center"/>
              <w:rPr>
                <w:sz w:val="18"/>
                <w:szCs w:val="18"/>
                <w:lang w:val="en-GB" w:bidi="th-TH"/>
              </w:rPr>
            </w:pPr>
            <w:r w:rsidRPr="0067083C">
              <w:rPr>
                <w:sz w:val="18"/>
                <w:szCs w:val="18"/>
                <w:lang w:val="en-GB" w:bidi="th-TH"/>
              </w:rPr>
              <w:t>0.027</w:t>
            </w:r>
          </w:p>
        </w:tc>
        <w:tc>
          <w:tcPr>
            <w:tcW w:w="1530" w:type="dxa"/>
            <w:gridSpan w:val="2"/>
            <w:tcBorders>
              <w:top w:val="single" w:sz="4" w:space="0" w:color="auto"/>
              <w:left w:val="single" w:sz="4" w:space="0" w:color="auto"/>
              <w:bottom w:val="single" w:sz="12" w:space="0" w:color="auto"/>
              <w:right w:val="single" w:sz="4" w:space="0" w:color="auto"/>
            </w:tcBorders>
            <w:vAlign w:val="center"/>
          </w:tcPr>
          <w:p w14:paraId="4A601FF8" w14:textId="77777777" w:rsidR="0067083C" w:rsidRPr="0067083C" w:rsidRDefault="0067083C" w:rsidP="0067083C">
            <w:pPr>
              <w:spacing w:before="20" w:after="20"/>
              <w:jc w:val="center"/>
              <w:rPr>
                <w:sz w:val="18"/>
                <w:szCs w:val="18"/>
                <w:lang w:val="en-GB" w:bidi="th-TH"/>
              </w:rPr>
            </w:pPr>
            <w:r w:rsidRPr="0067083C">
              <w:rPr>
                <w:sz w:val="18"/>
                <w:szCs w:val="18"/>
                <w:lang w:val="en-GB" w:bidi="th-TH"/>
              </w:rPr>
              <w:t>0.041</w:t>
            </w:r>
          </w:p>
        </w:tc>
        <w:tc>
          <w:tcPr>
            <w:tcW w:w="1530" w:type="dxa"/>
            <w:gridSpan w:val="2"/>
            <w:tcBorders>
              <w:top w:val="single" w:sz="4" w:space="0" w:color="auto"/>
              <w:left w:val="single" w:sz="4" w:space="0" w:color="auto"/>
              <w:bottom w:val="single" w:sz="12" w:space="0" w:color="auto"/>
              <w:right w:val="single" w:sz="4" w:space="0" w:color="auto"/>
            </w:tcBorders>
            <w:vAlign w:val="center"/>
          </w:tcPr>
          <w:p w14:paraId="64B75312" w14:textId="77777777" w:rsidR="0067083C" w:rsidRPr="0067083C" w:rsidRDefault="0067083C" w:rsidP="0067083C">
            <w:pPr>
              <w:spacing w:before="20" w:after="20"/>
              <w:jc w:val="center"/>
              <w:rPr>
                <w:sz w:val="18"/>
                <w:szCs w:val="18"/>
                <w:lang w:val="en-GB" w:bidi="th-TH"/>
              </w:rPr>
            </w:pPr>
            <w:r w:rsidRPr="0067083C">
              <w:rPr>
                <w:sz w:val="18"/>
                <w:szCs w:val="18"/>
                <w:lang w:val="en-GB" w:bidi="th-TH"/>
              </w:rPr>
              <w:t>0.003</w:t>
            </w:r>
          </w:p>
        </w:tc>
        <w:tc>
          <w:tcPr>
            <w:tcW w:w="1530" w:type="dxa"/>
            <w:gridSpan w:val="2"/>
            <w:tcBorders>
              <w:top w:val="single" w:sz="4" w:space="0" w:color="auto"/>
              <w:left w:val="single" w:sz="4" w:space="0" w:color="auto"/>
              <w:bottom w:val="single" w:sz="12" w:space="0" w:color="auto"/>
              <w:right w:val="single" w:sz="4" w:space="0" w:color="auto"/>
            </w:tcBorders>
            <w:vAlign w:val="center"/>
          </w:tcPr>
          <w:p w14:paraId="67FABB8B" w14:textId="77777777" w:rsidR="0067083C" w:rsidRPr="0067083C" w:rsidRDefault="0067083C" w:rsidP="0067083C">
            <w:pPr>
              <w:spacing w:before="20" w:after="20"/>
              <w:jc w:val="center"/>
              <w:rPr>
                <w:sz w:val="18"/>
                <w:szCs w:val="18"/>
                <w:lang w:val="en-GB" w:bidi="th-TH"/>
              </w:rPr>
            </w:pPr>
            <w:r w:rsidRPr="0067083C">
              <w:rPr>
                <w:sz w:val="18"/>
                <w:szCs w:val="18"/>
                <w:lang w:val="en-GB" w:bidi="th-TH"/>
              </w:rPr>
              <w:t>0.315</w:t>
            </w:r>
          </w:p>
        </w:tc>
        <w:tc>
          <w:tcPr>
            <w:tcW w:w="1530" w:type="dxa"/>
            <w:gridSpan w:val="2"/>
            <w:tcBorders>
              <w:top w:val="single" w:sz="4" w:space="0" w:color="auto"/>
              <w:left w:val="single" w:sz="4" w:space="0" w:color="auto"/>
              <w:bottom w:val="single" w:sz="12" w:space="0" w:color="auto"/>
              <w:right w:val="single" w:sz="4" w:space="0" w:color="auto"/>
            </w:tcBorders>
            <w:vAlign w:val="center"/>
          </w:tcPr>
          <w:p w14:paraId="18F9B3D1" w14:textId="77777777" w:rsidR="0067083C" w:rsidRPr="0067083C" w:rsidRDefault="0067083C" w:rsidP="0067083C">
            <w:pPr>
              <w:spacing w:before="20" w:after="20"/>
              <w:jc w:val="center"/>
              <w:rPr>
                <w:sz w:val="18"/>
                <w:szCs w:val="18"/>
                <w:lang w:val="en-GB" w:bidi="th-TH"/>
              </w:rPr>
            </w:pPr>
            <w:r w:rsidRPr="0067083C">
              <w:rPr>
                <w:sz w:val="18"/>
                <w:szCs w:val="18"/>
                <w:lang w:val="en-GB" w:bidi="th-TH"/>
              </w:rPr>
              <w:t>0.035</w:t>
            </w:r>
          </w:p>
        </w:tc>
        <w:tc>
          <w:tcPr>
            <w:tcW w:w="1530" w:type="dxa"/>
            <w:gridSpan w:val="2"/>
            <w:tcBorders>
              <w:top w:val="single" w:sz="4" w:space="0" w:color="auto"/>
              <w:left w:val="single" w:sz="4" w:space="0" w:color="auto"/>
              <w:bottom w:val="single" w:sz="12" w:space="0" w:color="auto"/>
              <w:right w:val="single" w:sz="4" w:space="0" w:color="auto"/>
            </w:tcBorders>
            <w:vAlign w:val="center"/>
          </w:tcPr>
          <w:p w14:paraId="3E74171E" w14:textId="77777777" w:rsidR="0067083C" w:rsidRPr="0067083C" w:rsidRDefault="0067083C" w:rsidP="0067083C">
            <w:pPr>
              <w:spacing w:before="20" w:after="20"/>
              <w:jc w:val="center"/>
              <w:rPr>
                <w:sz w:val="18"/>
                <w:szCs w:val="18"/>
                <w:lang w:val="en-GB" w:bidi="th-TH"/>
              </w:rPr>
            </w:pPr>
            <w:r w:rsidRPr="0067083C">
              <w:rPr>
                <w:sz w:val="18"/>
                <w:szCs w:val="18"/>
                <w:lang w:val="en-GB" w:bidi="th-TH"/>
              </w:rPr>
              <w:t>0.121</w:t>
            </w:r>
          </w:p>
        </w:tc>
        <w:tc>
          <w:tcPr>
            <w:tcW w:w="1710" w:type="dxa"/>
            <w:gridSpan w:val="2"/>
            <w:tcBorders>
              <w:top w:val="single" w:sz="4" w:space="0" w:color="auto"/>
              <w:left w:val="single" w:sz="4" w:space="0" w:color="auto"/>
              <w:bottom w:val="single" w:sz="12" w:space="0" w:color="auto"/>
              <w:right w:val="single" w:sz="12" w:space="0" w:color="auto"/>
            </w:tcBorders>
            <w:noWrap/>
            <w:vAlign w:val="center"/>
          </w:tcPr>
          <w:p w14:paraId="06A7AA9A" w14:textId="77777777" w:rsidR="0067083C" w:rsidRPr="0067083C" w:rsidRDefault="0067083C" w:rsidP="0067083C">
            <w:pPr>
              <w:spacing w:before="20" w:after="20"/>
              <w:jc w:val="center"/>
              <w:rPr>
                <w:b/>
                <w:bCs/>
                <w:sz w:val="18"/>
                <w:szCs w:val="18"/>
                <w:lang w:val="en-GB" w:bidi="th-TH"/>
              </w:rPr>
            </w:pPr>
            <w:r w:rsidRPr="0067083C">
              <w:rPr>
                <w:b/>
                <w:bCs/>
                <w:sz w:val="18"/>
                <w:szCs w:val="18"/>
                <w:lang w:val="en-GB" w:bidi="th-TH"/>
              </w:rPr>
              <w:t>1.00</w:t>
            </w:r>
          </w:p>
        </w:tc>
      </w:tr>
      <w:tr w:rsidR="0067083C" w:rsidRPr="0067083C" w14:paraId="27684E2B" w14:textId="77777777" w:rsidTr="003B6CDA">
        <w:trPr>
          <w:jc w:val="center"/>
        </w:trPr>
        <w:tc>
          <w:tcPr>
            <w:tcW w:w="1548" w:type="dxa"/>
            <w:tcBorders>
              <w:top w:val="single" w:sz="12" w:space="0" w:color="auto"/>
              <w:left w:val="single" w:sz="12" w:space="0" w:color="auto"/>
              <w:bottom w:val="single" w:sz="6" w:space="0" w:color="auto"/>
              <w:right w:val="single" w:sz="6" w:space="0" w:color="auto"/>
            </w:tcBorders>
            <w:vAlign w:val="center"/>
          </w:tcPr>
          <w:p w14:paraId="1CA7BE9C" w14:textId="77777777" w:rsidR="0067083C" w:rsidRPr="0067083C" w:rsidRDefault="0067083C" w:rsidP="0067083C">
            <w:pPr>
              <w:rPr>
                <w:b/>
                <w:bCs/>
                <w:sz w:val="18"/>
                <w:szCs w:val="18"/>
                <w:lang w:val="en-GB" w:bidi="th-TH"/>
              </w:rPr>
            </w:pPr>
          </w:p>
        </w:tc>
        <w:tc>
          <w:tcPr>
            <w:tcW w:w="637" w:type="dxa"/>
            <w:tcBorders>
              <w:top w:val="single" w:sz="12" w:space="0" w:color="auto"/>
              <w:left w:val="single" w:sz="6" w:space="0" w:color="auto"/>
              <w:bottom w:val="single" w:sz="6" w:space="0" w:color="auto"/>
              <w:right w:val="single" w:sz="6" w:space="0" w:color="auto"/>
            </w:tcBorders>
            <w:vAlign w:val="center"/>
          </w:tcPr>
          <w:p w14:paraId="6A482D8D" w14:textId="77777777" w:rsidR="0067083C" w:rsidRPr="0067083C" w:rsidRDefault="0067083C" w:rsidP="0067083C">
            <w:pPr>
              <w:jc w:val="center"/>
              <w:rPr>
                <w:b/>
                <w:bCs/>
                <w:sz w:val="18"/>
                <w:szCs w:val="18"/>
                <w:lang w:val="en-GB" w:bidi="th-TH"/>
              </w:rPr>
            </w:pPr>
            <w:r w:rsidRPr="0067083C">
              <w:rPr>
                <w:b/>
                <w:bCs/>
                <w:sz w:val="18"/>
                <w:szCs w:val="18"/>
                <w:lang w:val="en-GB" w:bidi="th-TH"/>
              </w:rPr>
              <w:t>Rank</w:t>
            </w:r>
          </w:p>
        </w:tc>
        <w:tc>
          <w:tcPr>
            <w:tcW w:w="803" w:type="dxa"/>
            <w:tcBorders>
              <w:top w:val="single" w:sz="12" w:space="0" w:color="auto"/>
              <w:left w:val="single" w:sz="6" w:space="0" w:color="auto"/>
              <w:bottom w:val="single" w:sz="6" w:space="0" w:color="auto"/>
              <w:right w:val="single" w:sz="6" w:space="0" w:color="auto"/>
            </w:tcBorders>
            <w:vAlign w:val="center"/>
          </w:tcPr>
          <w:p w14:paraId="6E0873FB" w14:textId="77777777" w:rsidR="0067083C" w:rsidRPr="0067083C" w:rsidRDefault="0067083C" w:rsidP="0067083C">
            <w:pPr>
              <w:jc w:val="center"/>
              <w:rPr>
                <w:b/>
                <w:bCs/>
                <w:sz w:val="18"/>
                <w:szCs w:val="18"/>
                <w:lang w:val="en-GB" w:bidi="th-TH"/>
              </w:rPr>
            </w:pPr>
            <w:r w:rsidRPr="0067083C">
              <w:rPr>
                <w:b/>
                <w:bCs/>
                <w:sz w:val="18"/>
                <w:szCs w:val="18"/>
                <w:lang w:val="en-GB" w:bidi="th-TH"/>
              </w:rPr>
              <w:t>Weight score</w:t>
            </w:r>
          </w:p>
        </w:tc>
        <w:tc>
          <w:tcPr>
            <w:tcW w:w="720" w:type="dxa"/>
            <w:tcBorders>
              <w:top w:val="single" w:sz="12" w:space="0" w:color="auto"/>
              <w:left w:val="single" w:sz="6" w:space="0" w:color="auto"/>
              <w:bottom w:val="single" w:sz="6" w:space="0" w:color="auto"/>
              <w:right w:val="single" w:sz="6" w:space="0" w:color="auto"/>
            </w:tcBorders>
            <w:vAlign w:val="center"/>
          </w:tcPr>
          <w:p w14:paraId="55564464" w14:textId="77777777" w:rsidR="0067083C" w:rsidRPr="0067083C" w:rsidRDefault="0067083C" w:rsidP="0067083C">
            <w:pPr>
              <w:jc w:val="center"/>
              <w:rPr>
                <w:b/>
                <w:bCs/>
                <w:sz w:val="18"/>
                <w:szCs w:val="18"/>
                <w:lang w:val="en-GB" w:bidi="th-TH"/>
              </w:rPr>
            </w:pPr>
            <w:r w:rsidRPr="0067083C">
              <w:rPr>
                <w:b/>
                <w:bCs/>
                <w:sz w:val="18"/>
                <w:szCs w:val="18"/>
                <w:lang w:val="en-GB" w:bidi="th-TH"/>
              </w:rPr>
              <w:t>Rank</w:t>
            </w:r>
          </w:p>
        </w:tc>
        <w:tc>
          <w:tcPr>
            <w:tcW w:w="810" w:type="dxa"/>
            <w:tcBorders>
              <w:top w:val="single" w:sz="12" w:space="0" w:color="auto"/>
              <w:left w:val="single" w:sz="6" w:space="0" w:color="auto"/>
              <w:bottom w:val="single" w:sz="6" w:space="0" w:color="auto"/>
              <w:right w:val="single" w:sz="6" w:space="0" w:color="auto"/>
            </w:tcBorders>
            <w:vAlign w:val="center"/>
          </w:tcPr>
          <w:p w14:paraId="698A92DB" w14:textId="77777777" w:rsidR="0067083C" w:rsidRPr="0067083C" w:rsidRDefault="0067083C" w:rsidP="0067083C">
            <w:pPr>
              <w:jc w:val="center"/>
              <w:rPr>
                <w:b/>
                <w:bCs/>
                <w:sz w:val="18"/>
                <w:szCs w:val="18"/>
                <w:lang w:val="en-GB" w:bidi="th-TH"/>
              </w:rPr>
            </w:pPr>
            <w:r w:rsidRPr="0067083C">
              <w:rPr>
                <w:b/>
                <w:bCs/>
                <w:sz w:val="18"/>
                <w:szCs w:val="18"/>
                <w:lang w:val="en-GB" w:bidi="th-TH"/>
              </w:rPr>
              <w:t xml:space="preserve">Weight </w:t>
            </w:r>
          </w:p>
          <w:p w14:paraId="0430D64C" w14:textId="77777777" w:rsidR="0067083C" w:rsidRPr="0067083C" w:rsidRDefault="0067083C" w:rsidP="0067083C">
            <w:pPr>
              <w:jc w:val="center"/>
              <w:rPr>
                <w:b/>
                <w:bCs/>
                <w:sz w:val="18"/>
                <w:szCs w:val="18"/>
                <w:lang w:val="en-GB" w:bidi="th-TH"/>
              </w:rPr>
            </w:pPr>
            <w:r w:rsidRPr="0067083C">
              <w:rPr>
                <w:b/>
                <w:bCs/>
                <w:sz w:val="18"/>
                <w:szCs w:val="18"/>
                <w:lang w:val="en-GB" w:bidi="th-TH"/>
              </w:rPr>
              <w:t xml:space="preserve"> score</w:t>
            </w:r>
          </w:p>
        </w:tc>
        <w:tc>
          <w:tcPr>
            <w:tcW w:w="720" w:type="dxa"/>
            <w:tcBorders>
              <w:top w:val="single" w:sz="12" w:space="0" w:color="auto"/>
              <w:left w:val="single" w:sz="6" w:space="0" w:color="auto"/>
              <w:bottom w:val="single" w:sz="6" w:space="0" w:color="auto"/>
              <w:right w:val="single" w:sz="6" w:space="0" w:color="auto"/>
            </w:tcBorders>
            <w:vAlign w:val="center"/>
          </w:tcPr>
          <w:p w14:paraId="6099C2F3" w14:textId="77777777" w:rsidR="0067083C" w:rsidRPr="0067083C" w:rsidRDefault="0067083C" w:rsidP="0067083C">
            <w:pPr>
              <w:jc w:val="center"/>
              <w:rPr>
                <w:b/>
                <w:bCs/>
                <w:sz w:val="18"/>
                <w:szCs w:val="18"/>
                <w:lang w:val="en-GB" w:bidi="th-TH"/>
              </w:rPr>
            </w:pPr>
            <w:r w:rsidRPr="0067083C">
              <w:rPr>
                <w:b/>
                <w:bCs/>
                <w:sz w:val="18"/>
                <w:szCs w:val="18"/>
                <w:lang w:val="en-GB" w:bidi="th-TH"/>
              </w:rPr>
              <w:t>Rank</w:t>
            </w:r>
          </w:p>
        </w:tc>
        <w:tc>
          <w:tcPr>
            <w:tcW w:w="810" w:type="dxa"/>
            <w:tcBorders>
              <w:top w:val="single" w:sz="12" w:space="0" w:color="auto"/>
              <w:left w:val="single" w:sz="6" w:space="0" w:color="auto"/>
              <w:bottom w:val="single" w:sz="6" w:space="0" w:color="auto"/>
              <w:right w:val="single" w:sz="6" w:space="0" w:color="auto"/>
            </w:tcBorders>
            <w:vAlign w:val="center"/>
          </w:tcPr>
          <w:p w14:paraId="05D8DDF7" w14:textId="77777777" w:rsidR="0067083C" w:rsidRPr="0067083C" w:rsidRDefault="0067083C" w:rsidP="0067083C">
            <w:pPr>
              <w:jc w:val="center"/>
              <w:rPr>
                <w:b/>
                <w:bCs/>
                <w:sz w:val="18"/>
                <w:szCs w:val="18"/>
                <w:lang w:val="en-GB" w:bidi="th-TH"/>
              </w:rPr>
            </w:pPr>
            <w:r w:rsidRPr="0067083C">
              <w:rPr>
                <w:b/>
                <w:bCs/>
                <w:sz w:val="18"/>
                <w:szCs w:val="18"/>
                <w:lang w:val="en-GB" w:bidi="th-TH"/>
              </w:rPr>
              <w:t xml:space="preserve">Weight </w:t>
            </w:r>
          </w:p>
          <w:p w14:paraId="6BC7FF9B" w14:textId="77777777" w:rsidR="0067083C" w:rsidRPr="0067083C" w:rsidRDefault="0067083C" w:rsidP="0067083C">
            <w:pPr>
              <w:jc w:val="center"/>
              <w:rPr>
                <w:b/>
                <w:bCs/>
                <w:sz w:val="18"/>
                <w:szCs w:val="18"/>
                <w:lang w:val="en-GB" w:bidi="th-TH"/>
              </w:rPr>
            </w:pPr>
            <w:r w:rsidRPr="0067083C">
              <w:rPr>
                <w:b/>
                <w:bCs/>
                <w:sz w:val="18"/>
                <w:szCs w:val="18"/>
                <w:lang w:val="en-GB" w:bidi="th-TH"/>
              </w:rPr>
              <w:t>score</w:t>
            </w:r>
          </w:p>
        </w:tc>
        <w:tc>
          <w:tcPr>
            <w:tcW w:w="720" w:type="dxa"/>
            <w:tcBorders>
              <w:top w:val="single" w:sz="12" w:space="0" w:color="auto"/>
              <w:left w:val="single" w:sz="6" w:space="0" w:color="auto"/>
              <w:bottom w:val="single" w:sz="6" w:space="0" w:color="auto"/>
              <w:right w:val="single" w:sz="6" w:space="0" w:color="auto"/>
            </w:tcBorders>
            <w:vAlign w:val="center"/>
          </w:tcPr>
          <w:p w14:paraId="72A5C3F5" w14:textId="77777777" w:rsidR="0067083C" w:rsidRPr="0067083C" w:rsidRDefault="0067083C" w:rsidP="0067083C">
            <w:pPr>
              <w:jc w:val="center"/>
              <w:rPr>
                <w:b/>
                <w:bCs/>
                <w:sz w:val="18"/>
                <w:szCs w:val="18"/>
                <w:lang w:val="en-GB" w:bidi="th-TH"/>
              </w:rPr>
            </w:pPr>
            <w:r w:rsidRPr="0067083C">
              <w:rPr>
                <w:b/>
                <w:bCs/>
                <w:sz w:val="18"/>
                <w:szCs w:val="18"/>
                <w:lang w:val="en-GB" w:bidi="th-TH"/>
              </w:rPr>
              <w:t>Rank</w:t>
            </w:r>
          </w:p>
        </w:tc>
        <w:tc>
          <w:tcPr>
            <w:tcW w:w="810" w:type="dxa"/>
            <w:tcBorders>
              <w:top w:val="single" w:sz="12" w:space="0" w:color="auto"/>
              <w:left w:val="single" w:sz="6" w:space="0" w:color="auto"/>
              <w:bottom w:val="single" w:sz="6" w:space="0" w:color="auto"/>
              <w:right w:val="single" w:sz="6" w:space="0" w:color="auto"/>
            </w:tcBorders>
            <w:vAlign w:val="center"/>
          </w:tcPr>
          <w:p w14:paraId="5C5B8883" w14:textId="77777777" w:rsidR="0067083C" w:rsidRPr="0067083C" w:rsidRDefault="0067083C" w:rsidP="0067083C">
            <w:pPr>
              <w:jc w:val="center"/>
              <w:rPr>
                <w:b/>
                <w:bCs/>
                <w:sz w:val="18"/>
                <w:szCs w:val="18"/>
                <w:lang w:val="en-GB" w:bidi="th-TH"/>
              </w:rPr>
            </w:pPr>
            <w:r w:rsidRPr="0067083C">
              <w:rPr>
                <w:b/>
                <w:bCs/>
                <w:sz w:val="18"/>
                <w:szCs w:val="18"/>
                <w:lang w:val="en-GB" w:bidi="th-TH"/>
              </w:rPr>
              <w:t>Weight score</w:t>
            </w:r>
          </w:p>
        </w:tc>
        <w:tc>
          <w:tcPr>
            <w:tcW w:w="720" w:type="dxa"/>
            <w:tcBorders>
              <w:top w:val="single" w:sz="12" w:space="0" w:color="auto"/>
              <w:left w:val="single" w:sz="6" w:space="0" w:color="auto"/>
              <w:bottom w:val="single" w:sz="6" w:space="0" w:color="auto"/>
              <w:right w:val="single" w:sz="6" w:space="0" w:color="auto"/>
            </w:tcBorders>
            <w:vAlign w:val="center"/>
          </w:tcPr>
          <w:p w14:paraId="3E90E2D4" w14:textId="77777777" w:rsidR="0067083C" w:rsidRPr="0067083C" w:rsidRDefault="0067083C" w:rsidP="0067083C">
            <w:pPr>
              <w:jc w:val="center"/>
              <w:rPr>
                <w:b/>
                <w:bCs/>
                <w:sz w:val="18"/>
                <w:szCs w:val="18"/>
                <w:lang w:val="en-GB" w:bidi="th-TH"/>
              </w:rPr>
            </w:pPr>
            <w:r w:rsidRPr="0067083C">
              <w:rPr>
                <w:b/>
                <w:bCs/>
                <w:sz w:val="18"/>
                <w:szCs w:val="18"/>
                <w:lang w:val="en-GB" w:bidi="th-TH"/>
              </w:rPr>
              <w:t>Rank</w:t>
            </w:r>
          </w:p>
        </w:tc>
        <w:tc>
          <w:tcPr>
            <w:tcW w:w="810" w:type="dxa"/>
            <w:tcBorders>
              <w:top w:val="single" w:sz="12" w:space="0" w:color="auto"/>
              <w:left w:val="single" w:sz="6" w:space="0" w:color="auto"/>
              <w:bottom w:val="single" w:sz="6" w:space="0" w:color="auto"/>
              <w:right w:val="single" w:sz="6" w:space="0" w:color="auto"/>
            </w:tcBorders>
            <w:vAlign w:val="center"/>
          </w:tcPr>
          <w:p w14:paraId="575AC5AB" w14:textId="77777777" w:rsidR="0067083C" w:rsidRPr="0067083C" w:rsidRDefault="0067083C" w:rsidP="0067083C">
            <w:pPr>
              <w:jc w:val="center"/>
              <w:rPr>
                <w:b/>
                <w:bCs/>
                <w:sz w:val="18"/>
                <w:szCs w:val="18"/>
                <w:lang w:val="en-GB" w:bidi="th-TH"/>
              </w:rPr>
            </w:pPr>
            <w:r w:rsidRPr="0067083C">
              <w:rPr>
                <w:b/>
                <w:bCs/>
                <w:sz w:val="18"/>
                <w:szCs w:val="18"/>
                <w:lang w:val="en-GB" w:bidi="th-TH"/>
              </w:rPr>
              <w:t>Weight score</w:t>
            </w:r>
          </w:p>
        </w:tc>
        <w:tc>
          <w:tcPr>
            <w:tcW w:w="720" w:type="dxa"/>
            <w:tcBorders>
              <w:top w:val="single" w:sz="12" w:space="0" w:color="auto"/>
              <w:left w:val="single" w:sz="6" w:space="0" w:color="auto"/>
              <w:bottom w:val="single" w:sz="6" w:space="0" w:color="auto"/>
              <w:right w:val="single" w:sz="6" w:space="0" w:color="auto"/>
            </w:tcBorders>
            <w:vAlign w:val="center"/>
          </w:tcPr>
          <w:p w14:paraId="505E051D" w14:textId="77777777" w:rsidR="0067083C" w:rsidRPr="0067083C" w:rsidRDefault="0067083C" w:rsidP="0067083C">
            <w:pPr>
              <w:jc w:val="center"/>
              <w:rPr>
                <w:b/>
                <w:bCs/>
                <w:sz w:val="18"/>
                <w:szCs w:val="18"/>
                <w:lang w:val="en-GB" w:bidi="th-TH"/>
              </w:rPr>
            </w:pPr>
            <w:r w:rsidRPr="0067083C">
              <w:rPr>
                <w:b/>
                <w:bCs/>
                <w:sz w:val="18"/>
                <w:szCs w:val="18"/>
                <w:lang w:val="en-GB" w:bidi="th-TH"/>
              </w:rPr>
              <w:t>Rank</w:t>
            </w:r>
          </w:p>
        </w:tc>
        <w:tc>
          <w:tcPr>
            <w:tcW w:w="810" w:type="dxa"/>
            <w:tcBorders>
              <w:top w:val="single" w:sz="12" w:space="0" w:color="auto"/>
              <w:left w:val="single" w:sz="6" w:space="0" w:color="auto"/>
              <w:bottom w:val="single" w:sz="6" w:space="0" w:color="auto"/>
              <w:right w:val="single" w:sz="6" w:space="0" w:color="auto"/>
            </w:tcBorders>
            <w:vAlign w:val="center"/>
          </w:tcPr>
          <w:p w14:paraId="41F71B20" w14:textId="77777777" w:rsidR="0067083C" w:rsidRPr="0067083C" w:rsidRDefault="0067083C" w:rsidP="0067083C">
            <w:pPr>
              <w:jc w:val="center"/>
              <w:rPr>
                <w:b/>
                <w:bCs/>
                <w:sz w:val="18"/>
                <w:szCs w:val="18"/>
                <w:lang w:val="en-GB" w:bidi="th-TH"/>
              </w:rPr>
            </w:pPr>
            <w:r w:rsidRPr="0067083C">
              <w:rPr>
                <w:b/>
                <w:bCs/>
                <w:sz w:val="18"/>
                <w:szCs w:val="18"/>
                <w:lang w:val="en-GB" w:bidi="th-TH"/>
              </w:rPr>
              <w:t>Weight score</w:t>
            </w:r>
          </w:p>
        </w:tc>
        <w:tc>
          <w:tcPr>
            <w:tcW w:w="720" w:type="dxa"/>
            <w:tcBorders>
              <w:top w:val="single" w:sz="12" w:space="0" w:color="auto"/>
              <w:left w:val="single" w:sz="6" w:space="0" w:color="auto"/>
              <w:bottom w:val="single" w:sz="6" w:space="0" w:color="auto"/>
              <w:right w:val="single" w:sz="6" w:space="0" w:color="auto"/>
            </w:tcBorders>
            <w:vAlign w:val="center"/>
          </w:tcPr>
          <w:p w14:paraId="3FD8828D" w14:textId="77777777" w:rsidR="0067083C" w:rsidRPr="0067083C" w:rsidRDefault="0067083C" w:rsidP="0067083C">
            <w:pPr>
              <w:jc w:val="center"/>
              <w:rPr>
                <w:b/>
                <w:bCs/>
                <w:sz w:val="18"/>
                <w:szCs w:val="18"/>
                <w:lang w:val="en-GB" w:bidi="th-TH"/>
              </w:rPr>
            </w:pPr>
            <w:r w:rsidRPr="0067083C">
              <w:rPr>
                <w:b/>
                <w:bCs/>
                <w:sz w:val="18"/>
                <w:szCs w:val="18"/>
                <w:lang w:val="en-GB" w:bidi="th-TH"/>
              </w:rPr>
              <w:t>Rank</w:t>
            </w:r>
          </w:p>
        </w:tc>
        <w:tc>
          <w:tcPr>
            <w:tcW w:w="810" w:type="dxa"/>
            <w:tcBorders>
              <w:top w:val="single" w:sz="12" w:space="0" w:color="auto"/>
              <w:left w:val="single" w:sz="6" w:space="0" w:color="auto"/>
              <w:bottom w:val="single" w:sz="6" w:space="0" w:color="auto"/>
              <w:right w:val="single" w:sz="6" w:space="0" w:color="auto"/>
            </w:tcBorders>
            <w:vAlign w:val="center"/>
          </w:tcPr>
          <w:p w14:paraId="70153296" w14:textId="77777777" w:rsidR="0067083C" w:rsidRPr="0067083C" w:rsidRDefault="0067083C" w:rsidP="0067083C">
            <w:pPr>
              <w:jc w:val="center"/>
              <w:rPr>
                <w:b/>
                <w:bCs/>
                <w:sz w:val="18"/>
                <w:szCs w:val="18"/>
                <w:lang w:val="en-GB" w:bidi="th-TH"/>
              </w:rPr>
            </w:pPr>
            <w:r w:rsidRPr="0067083C">
              <w:rPr>
                <w:b/>
                <w:bCs/>
                <w:sz w:val="18"/>
                <w:szCs w:val="18"/>
                <w:lang w:val="en-GB" w:bidi="th-TH"/>
              </w:rPr>
              <w:t>Weight score</w:t>
            </w:r>
          </w:p>
        </w:tc>
        <w:tc>
          <w:tcPr>
            <w:tcW w:w="810" w:type="dxa"/>
            <w:tcBorders>
              <w:top w:val="single" w:sz="12" w:space="0" w:color="auto"/>
              <w:left w:val="single" w:sz="6" w:space="0" w:color="auto"/>
              <w:bottom w:val="single" w:sz="6" w:space="0" w:color="auto"/>
              <w:right w:val="single" w:sz="6" w:space="0" w:color="auto"/>
            </w:tcBorders>
            <w:vAlign w:val="center"/>
          </w:tcPr>
          <w:p w14:paraId="78429CC0" w14:textId="77777777" w:rsidR="0067083C" w:rsidRPr="0067083C" w:rsidRDefault="0067083C" w:rsidP="0067083C">
            <w:pPr>
              <w:jc w:val="center"/>
              <w:rPr>
                <w:b/>
                <w:bCs/>
                <w:sz w:val="18"/>
                <w:szCs w:val="18"/>
                <w:lang w:val="en-GB" w:bidi="th-TH"/>
              </w:rPr>
            </w:pPr>
            <w:r w:rsidRPr="0067083C">
              <w:rPr>
                <w:b/>
                <w:bCs/>
                <w:sz w:val="18"/>
                <w:szCs w:val="18"/>
                <w:lang w:val="en-GB" w:bidi="th-TH"/>
              </w:rPr>
              <w:t>Total Weight score</w:t>
            </w:r>
          </w:p>
        </w:tc>
        <w:tc>
          <w:tcPr>
            <w:tcW w:w="900" w:type="dxa"/>
            <w:tcBorders>
              <w:top w:val="single" w:sz="12" w:space="0" w:color="auto"/>
              <w:left w:val="single" w:sz="6" w:space="0" w:color="auto"/>
              <w:bottom w:val="single" w:sz="6" w:space="0" w:color="auto"/>
              <w:right w:val="single" w:sz="12" w:space="0" w:color="auto"/>
            </w:tcBorders>
            <w:vAlign w:val="center"/>
          </w:tcPr>
          <w:p w14:paraId="2E84601F" w14:textId="77777777" w:rsidR="0067083C" w:rsidRPr="0067083C" w:rsidRDefault="0067083C" w:rsidP="0067083C">
            <w:pPr>
              <w:jc w:val="center"/>
              <w:rPr>
                <w:b/>
                <w:bCs/>
                <w:sz w:val="18"/>
                <w:szCs w:val="18"/>
                <w:lang w:val="en-GB" w:bidi="th-TH"/>
              </w:rPr>
            </w:pPr>
            <w:r w:rsidRPr="0067083C">
              <w:rPr>
                <w:b/>
                <w:bCs/>
                <w:sz w:val="18"/>
                <w:szCs w:val="18"/>
                <w:lang w:val="en-GB" w:bidi="th-TH"/>
              </w:rPr>
              <w:t>Regional ranking</w:t>
            </w:r>
          </w:p>
        </w:tc>
      </w:tr>
      <w:tr w:rsidR="0067083C" w:rsidRPr="0067083C" w14:paraId="26066C84" w14:textId="77777777" w:rsidTr="003B6CDA">
        <w:trPr>
          <w:jc w:val="center"/>
        </w:trPr>
        <w:tc>
          <w:tcPr>
            <w:tcW w:w="1548" w:type="dxa"/>
            <w:tcBorders>
              <w:top w:val="single" w:sz="6" w:space="0" w:color="auto"/>
              <w:left w:val="single" w:sz="12" w:space="0" w:color="auto"/>
              <w:bottom w:val="single" w:sz="6" w:space="0" w:color="auto"/>
              <w:right w:val="single" w:sz="6" w:space="0" w:color="auto"/>
            </w:tcBorders>
            <w:vAlign w:val="center"/>
          </w:tcPr>
          <w:p w14:paraId="678B9758" w14:textId="77777777" w:rsidR="0067083C" w:rsidRPr="0067083C" w:rsidRDefault="0067083C" w:rsidP="0067083C">
            <w:pPr>
              <w:rPr>
                <w:bCs/>
                <w:sz w:val="18"/>
                <w:szCs w:val="18"/>
                <w:lang w:val="en-GB" w:bidi="th-TH"/>
              </w:rPr>
            </w:pPr>
            <w:r w:rsidRPr="0067083C">
              <w:rPr>
                <w:bCs/>
                <w:sz w:val="18"/>
                <w:szCs w:val="18"/>
                <w:lang w:val="en-GB" w:bidi="th-TH"/>
              </w:rPr>
              <w:t xml:space="preserve">Destructive fishing such as push nets and trawls </w:t>
            </w:r>
          </w:p>
        </w:tc>
        <w:tc>
          <w:tcPr>
            <w:tcW w:w="637" w:type="dxa"/>
            <w:tcBorders>
              <w:top w:val="single" w:sz="6" w:space="0" w:color="auto"/>
              <w:left w:val="single" w:sz="6" w:space="0" w:color="auto"/>
              <w:bottom w:val="single" w:sz="6" w:space="0" w:color="auto"/>
              <w:right w:val="single" w:sz="6" w:space="0" w:color="auto"/>
            </w:tcBorders>
            <w:vAlign w:val="center"/>
          </w:tcPr>
          <w:p w14:paraId="7139EEFF" w14:textId="77777777" w:rsidR="0067083C" w:rsidRPr="0067083C" w:rsidRDefault="0067083C" w:rsidP="0067083C">
            <w:pPr>
              <w:jc w:val="center"/>
              <w:rPr>
                <w:sz w:val="18"/>
                <w:szCs w:val="18"/>
                <w:lang w:val="en-GB" w:bidi="th-TH"/>
              </w:rPr>
            </w:pPr>
            <w:r w:rsidRPr="0067083C">
              <w:rPr>
                <w:sz w:val="18"/>
                <w:szCs w:val="18"/>
                <w:lang w:val="en-GB" w:bidi="th-TH"/>
              </w:rPr>
              <w:t>1</w:t>
            </w:r>
          </w:p>
        </w:tc>
        <w:tc>
          <w:tcPr>
            <w:tcW w:w="803" w:type="dxa"/>
            <w:tcBorders>
              <w:top w:val="single" w:sz="6" w:space="0" w:color="auto"/>
              <w:left w:val="single" w:sz="6" w:space="0" w:color="auto"/>
              <w:bottom w:val="single" w:sz="6" w:space="0" w:color="auto"/>
              <w:right w:val="single" w:sz="6" w:space="0" w:color="auto"/>
            </w:tcBorders>
            <w:vAlign w:val="center"/>
          </w:tcPr>
          <w:p w14:paraId="56929948" w14:textId="77777777" w:rsidR="0067083C" w:rsidRPr="0067083C" w:rsidRDefault="0067083C" w:rsidP="0067083C">
            <w:pPr>
              <w:jc w:val="center"/>
              <w:rPr>
                <w:sz w:val="18"/>
                <w:szCs w:val="18"/>
                <w:lang w:val="en-GB" w:bidi="th-TH"/>
              </w:rPr>
            </w:pPr>
            <w:r w:rsidRPr="0067083C">
              <w:rPr>
                <w:sz w:val="18"/>
                <w:szCs w:val="18"/>
                <w:lang w:val="en-GB" w:bidi="th-TH"/>
              </w:rPr>
              <w:t>0.432</w:t>
            </w:r>
          </w:p>
        </w:tc>
        <w:tc>
          <w:tcPr>
            <w:tcW w:w="720" w:type="dxa"/>
            <w:tcBorders>
              <w:top w:val="single" w:sz="6" w:space="0" w:color="auto"/>
              <w:left w:val="single" w:sz="6" w:space="0" w:color="auto"/>
              <w:bottom w:val="single" w:sz="6" w:space="0" w:color="auto"/>
              <w:right w:val="single" w:sz="6" w:space="0" w:color="auto"/>
            </w:tcBorders>
            <w:vAlign w:val="center"/>
          </w:tcPr>
          <w:p w14:paraId="510F47AE" w14:textId="77777777" w:rsidR="0067083C" w:rsidRPr="0067083C" w:rsidRDefault="0067083C" w:rsidP="0067083C">
            <w:pPr>
              <w:jc w:val="center"/>
              <w:rPr>
                <w:sz w:val="18"/>
                <w:szCs w:val="18"/>
                <w:lang w:val="en-GB" w:bidi="th-TH"/>
              </w:rPr>
            </w:pPr>
            <w:r w:rsidRPr="0067083C">
              <w:rPr>
                <w:sz w:val="18"/>
                <w:szCs w:val="18"/>
                <w:lang w:val="en-GB" w:bidi="th-TH"/>
              </w:rPr>
              <w:t>1</w:t>
            </w:r>
          </w:p>
        </w:tc>
        <w:tc>
          <w:tcPr>
            <w:tcW w:w="810" w:type="dxa"/>
            <w:tcBorders>
              <w:top w:val="single" w:sz="6" w:space="0" w:color="auto"/>
              <w:left w:val="single" w:sz="6" w:space="0" w:color="auto"/>
              <w:bottom w:val="single" w:sz="6" w:space="0" w:color="auto"/>
              <w:right w:val="single" w:sz="6" w:space="0" w:color="auto"/>
            </w:tcBorders>
            <w:vAlign w:val="center"/>
          </w:tcPr>
          <w:p w14:paraId="523DC6F6" w14:textId="77777777" w:rsidR="0067083C" w:rsidRPr="0067083C" w:rsidRDefault="0067083C" w:rsidP="0067083C">
            <w:pPr>
              <w:jc w:val="center"/>
              <w:rPr>
                <w:sz w:val="18"/>
                <w:szCs w:val="18"/>
                <w:lang w:val="en-GB" w:bidi="th-TH"/>
              </w:rPr>
            </w:pPr>
            <w:r w:rsidRPr="0067083C">
              <w:rPr>
                <w:sz w:val="18"/>
                <w:szCs w:val="18"/>
                <w:lang w:val="en-GB" w:bidi="th-TH"/>
              </w:rPr>
              <w:t>0.025</w:t>
            </w:r>
          </w:p>
        </w:tc>
        <w:tc>
          <w:tcPr>
            <w:tcW w:w="720" w:type="dxa"/>
            <w:tcBorders>
              <w:top w:val="single" w:sz="6" w:space="0" w:color="auto"/>
              <w:left w:val="single" w:sz="6" w:space="0" w:color="auto"/>
              <w:bottom w:val="single" w:sz="6" w:space="0" w:color="auto"/>
              <w:right w:val="single" w:sz="6" w:space="0" w:color="auto"/>
            </w:tcBorders>
            <w:vAlign w:val="center"/>
          </w:tcPr>
          <w:p w14:paraId="2706A2A9" w14:textId="77777777" w:rsidR="0067083C" w:rsidRPr="0067083C" w:rsidRDefault="0067083C" w:rsidP="0067083C">
            <w:pPr>
              <w:jc w:val="center"/>
              <w:rPr>
                <w:sz w:val="18"/>
                <w:szCs w:val="18"/>
                <w:lang w:val="en-GB" w:bidi="th-TH"/>
              </w:rPr>
            </w:pPr>
            <w:r w:rsidRPr="0067083C">
              <w:rPr>
                <w:sz w:val="18"/>
                <w:szCs w:val="18"/>
                <w:lang w:val="en-GB" w:bidi="th-TH"/>
              </w:rPr>
              <w:t>1</w:t>
            </w:r>
          </w:p>
        </w:tc>
        <w:tc>
          <w:tcPr>
            <w:tcW w:w="810" w:type="dxa"/>
            <w:tcBorders>
              <w:top w:val="single" w:sz="6" w:space="0" w:color="auto"/>
              <w:left w:val="single" w:sz="6" w:space="0" w:color="auto"/>
              <w:bottom w:val="single" w:sz="6" w:space="0" w:color="auto"/>
              <w:right w:val="single" w:sz="6" w:space="0" w:color="auto"/>
            </w:tcBorders>
            <w:vAlign w:val="center"/>
          </w:tcPr>
          <w:p w14:paraId="449AF853" w14:textId="77777777" w:rsidR="0067083C" w:rsidRPr="0067083C" w:rsidRDefault="0067083C" w:rsidP="0067083C">
            <w:pPr>
              <w:jc w:val="center"/>
              <w:rPr>
                <w:sz w:val="18"/>
                <w:szCs w:val="18"/>
                <w:lang w:val="en-GB" w:bidi="th-TH"/>
              </w:rPr>
            </w:pPr>
            <w:r w:rsidRPr="0067083C">
              <w:rPr>
                <w:sz w:val="18"/>
                <w:szCs w:val="18"/>
                <w:lang w:val="en-GB" w:bidi="th-TH"/>
              </w:rPr>
              <w:t>0.039</w:t>
            </w:r>
          </w:p>
        </w:tc>
        <w:tc>
          <w:tcPr>
            <w:tcW w:w="720" w:type="dxa"/>
            <w:tcBorders>
              <w:top w:val="single" w:sz="6" w:space="0" w:color="auto"/>
              <w:left w:val="single" w:sz="6" w:space="0" w:color="auto"/>
              <w:bottom w:val="single" w:sz="6" w:space="0" w:color="auto"/>
              <w:right w:val="single" w:sz="6" w:space="0" w:color="auto"/>
            </w:tcBorders>
            <w:vAlign w:val="center"/>
          </w:tcPr>
          <w:p w14:paraId="08355435" w14:textId="77777777" w:rsidR="0067083C" w:rsidRPr="0067083C" w:rsidRDefault="0067083C" w:rsidP="0067083C">
            <w:pPr>
              <w:jc w:val="center"/>
              <w:rPr>
                <w:sz w:val="18"/>
                <w:szCs w:val="18"/>
                <w:lang w:val="en-GB" w:bidi="th-TH"/>
              </w:rPr>
            </w:pPr>
            <w:r w:rsidRPr="0067083C">
              <w:rPr>
                <w:sz w:val="18"/>
                <w:szCs w:val="18"/>
                <w:lang w:val="en-GB" w:bidi="th-TH"/>
              </w:rPr>
              <w:t>3</w:t>
            </w:r>
          </w:p>
        </w:tc>
        <w:tc>
          <w:tcPr>
            <w:tcW w:w="810" w:type="dxa"/>
            <w:tcBorders>
              <w:top w:val="single" w:sz="6" w:space="0" w:color="auto"/>
              <w:left w:val="single" w:sz="6" w:space="0" w:color="auto"/>
              <w:bottom w:val="single" w:sz="6" w:space="0" w:color="auto"/>
              <w:right w:val="single" w:sz="6" w:space="0" w:color="auto"/>
            </w:tcBorders>
            <w:vAlign w:val="center"/>
          </w:tcPr>
          <w:p w14:paraId="00EC36BF" w14:textId="77777777" w:rsidR="0067083C" w:rsidRPr="0067083C" w:rsidRDefault="0067083C" w:rsidP="0067083C">
            <w:pPr>
              <w:jc w:val="center"/>
              <w:rPr>
                <w:sz w:val="18"/>
                <w:szCs w:val="18"/>
                <w:lang w:val="en-GB" w:bidi="th-TH"/>
              </w:rPr>
            </w:pPr>
            <w:r w:rsidRPr="0067083C">
              <w:rPr>
                <w:sz w:val="18"/>
                <w:szCs w:val="18"/>
                <w:lang w:val="en-GB" w:bidi="th-TH"/>
              </w:rPr>
              <w:t>0.009</w:t>
            </w:r>
          </w:p>
        </w:tc>
        <w:tc>
          <w:tcPr>
            <w:tcW w:w="720" w:type="dxa"/>
            <w:tcBorders>
              <w:top w:val="single" w:sz="6" w:space="0" w:color="auto"/>
              <w:left w:val="single" w:sz="6" w:space="0" w:color="auto"/>
              <w:bottom w:val="single" w:sz="6" w:space="0" w:color="auto"/>
              <w:right w:val="single" w:sz="6" w:space="0" w:color="auto"/>
            </w:tcBorders>
            <w:vAlign w:val="center"/>
          </w:tcPr>
          <w:p w14:paraId="00FCE76D" w14:textId="77777777" w:rsidR="0067083C" w:rsidRPr="0067083C" w:rsidRDefault="0067083C" w:rsidP="0067083C">
            <w:pPr>
              <w:jc w:val="center"/>
              <w:rPr>
                <w:sz w:val="18"/>
                <w:szCs w:val="18"/>
                <w:lang w:val="en-GB" w:bidi="th-TH"/>
              </w:rPr>
            </w:pPr>
            <w:r w:rsidRPr="0067083C">
              <w:rPr>
                <w:sz w:val="18"/>
                <w:szCs w:val="18"/>
                <w:lang w:val="en-GB" w:bidi="th-TH"/>
              </w:rPr>
              <w:t>2</w:t>
            </w:r>
          </w:p>
        </w:tc>
        <w:tc>
          <w:tcPr>
            <w:tcW w:w="810" w:type="dxa"/>
            <w:tcBorders>
              <w:top w:val="single" w:sz="6" w:space="0" w:color="auto"/>
              <w:left w:val="single" w:sz="6" w:space="0" w:color="auto"/>
              <w:bottom w:val="single" w:sz="6" w:space="0" w:color="auto"/>
              <w:right w:val="single" w:sz="6" w:space="0" w:color="auto"/>
            </w:tcBorders>
            <w:vAlign w:val="center"/>
          </w:tcPr>
          <w:p w14:paraId="0146F042" w14:textId="77777777" w:rsidR="0067083C" w:rsidRPr="0067083C" w:rsidRDefault="0067083C" w:rsidP="0067083C">
            <w:pPr>
              <w:jc w:val="center"/>
              <w:rPr>
                <w:sz w:val="18"/>
                <w:szCs w:val="18"/>
                <w:lang w:val="en-GB" w:bidi="th-TH"/>
              </w:rPr>
            </w:pPr>
            <w:r w:rsidRPr="0067083C">
              <w:rPr>
                <w:sz w:val="18"/>
                <w:szCs w:val="18"/>
                <w:lang w:val="en-GB" w:bidi="th-TH"/>
              </w:rPr>
              <w:t>0.593</w:t>
            </w:r>
          </w:p>
        </w:tc>
        <w:tc>
          <w:tcPr>
            <w:tcW w:w="720" w:type="dxa"/>
            <w:tcBorders>
              <w:top w:val="single" w:sz="6" w:space="0" w:color="auto"/>
              <w:left w:val="single" w:sz="6" w:space="0" w:color="auto"/>
              <w:bottom w:val="single" w:sz="6" w:space="0" w:color="auto"/>
              <w:right w:val="single" w:sz="6" w:space="0" w:color="auto"/>
            </w:tcBorders>
            <w:vAlign w:val="center"/>
          </w:tcPr>
          <w:p w14:paraId="197BC0AC" w14:textId="77777777" w:rsidR="0067083C" w:rsidRPr="0067083C" w:rsidRDefault="0067083C" w:rsidP="0067083C">
            <w:pPr>
              <w:jc w:val="center"/>
              <w:rPr>
                <w:sz w:val="18"/>
                <w:szCs w:val="18"/>
                <w:lang w:val="en-GB" w:bidi="th-TH"/>
              </w:rPr>
            </w:pPr>
            <w:r w:rsidRPr="0067083C">
              <w:rPr>
                <w:sz w:val="18"/>
                <w:szCs w:val="18"/>
                <w:lang w:val="en-GB" w:bidi="th-TH"/>
              </w:rPr>
              <w:t>1</w:t>
            </w:r>
          </w:p>
        </w:tc>
        <w:tc>
          <w:tcPr>
            <w:tcW w:w="810" w:type="dxa"/>
            <w:tcBorders>
              <w:top w:val="single" w:sz="6" w:space="0" w:color="auto"/>
              <w:left w:val="single" w:sz="6" w:space="0" w:color="auto"/>
              <w:bottom w:val="single" w:sz="6" w:space="0" w:color="auto"/>
              <w:right w:val="single" w:sz="6" w:space="0" w:color="auto"/>
            </w:tcBorders>
            <w:vAlign w:val="center"/>
          </w:tcPr>
          <w:p w14:paraId="3B9B4386" w14:textId="77777777" w:rsidR="0067083C" w:rsidRPr="0067083C" w:rsidRDefault="0067083C" w:rsidP="0067083C">
            <w:pPr>
              <w:jc w:val="center"/>
              <w:rPr>
                <w:sz w:val="18"/>
                <w:szCs w:val="18"/>
                <w:lang w:val="en-GB" w:bidi="th-TH"/>
              </w:rPr>
            </w:pPr>
            <w:r w:rsidRPr="0067083C">
              <w:rPr>
                <w:sz w:val="18"/>
                <w:szCs w:val="18"/>
                <w:lang w:val="en-GB" w:bidi="th-TH"/>
              </w:rPr>
              <w:t>0.033</w:t>
            </w:r>
          </w:p>
        </w:tc>
        <w:tc>
          <w:tcPr>
            <w:tcW w:w="720" w:type="dxa"/>
            <w:tcBorders>
              <w:top w:val="single" w:sz="6" w:space="0" w:color="auto"/>
              <w:left w:val="single" w:sz="6" w:space="0" w:color="auto"/>
              <w:bottom w:val="single" w:sz="6" w:space="0" w:color="auto"/>
              <w:right w:val="single" w:sz="6" w:space="0" w:color="auto"/>
            </w:tcBorders>
            <w:vAlign w:val="center"/>
          </w:tcPr>
          <w:p w14:paraId="4E7A340B" w14:textId="77777777" w:rsidR="0067083C" w:rsidRPr="0067083C" w:rsidRDefault="0067083C" w:rsidP="0067083C">
            <w:pPr>
              <w:jc w:val="center"/>
              <w:rPr>
                <w:sz w:val="18"/>
                <w:szCs w:val="18"/>
                <w:lang w:val="en-GB" w:bidi="th-TH"/>
              </w:rPr>
            </w:pPr>
            <w:r w:rsidRPr="0067083C">
              <w:rPr>
                <w:sz w:val="18"/>
                <w:szCs w:val="18"/>
                <w:lang w:val="en-GB" w:bidi="th-TH"/>
              </w:rPr>
              <w:t>1</w:t>
            </w:r>
          </w:p>
        </w:tc>
        <w:tc>
          <w:tcPr>
            <w:tcW w:w="810" w:type="dxa"/>
            <w:tcBorders>
              <w:top w:val="single" w:sz="6" w:space="0" w:color="auto"/>
              <w:left w:val="single" w:sz="6" w:space="0" w:color="auto"/>
              <w:bottom w:val="single" w:sz="6" w:space="0" w:color="auto"/>
              <w:right w:val="single" w:sz="6" w:space="0" w:color="auto"/>
            </w:tcBorders>
            <w:vAlign w:val="center"/>
          </w:tcPr>
          <w:p w14:paraId="412B572C" w14:textId="77777777" w:rsidR="0067083C" w:rsidRPr="0067083C" w:rsidRDefault="0067083C" w:rsidP="0067083C">
            <w:pPr>
              <w:jc w:val="center"/>
              <w:rPr>
                <w:sz w:val="18"/>
                <w:szCs w:val="18"/>
                <w:lang w:val="en-GB" w:bidi="th-TH"/>
              </w:rPr>
            </w:pPr>
            <w:r w:rsidRPr="0067083C">
              <w:rPr>
                <w:sz w:val="18"/>
                <w:szCs w:val="18"/>
                <w:lang w:val="en-GB" w:bidi="th-TH"/>
              </w:rPr>
              <w:t>0.172</w:t>
            </w:r>
          </w:p>
        </w:tc>
        <w:tc>
          <w:tcPr>
            <w:tcW w:w="810" w:type="dxa"/>
            <w:tcBorders>
              <w:top w:val="single" w:sz="6" w:space="0" w:color="auto"/>
              <w:left w:val="single" w:sz="6" w:space="0" w:color="auto"/>
              <w:bottom w:val="single" w:sz="6" w:space="0" w:color="auto"/>
              <w:right w:val="single" w:sz="6" w:space="0" w:color="auto"/>
            </w:tcBorders>
            <w:vAlign w:val="center"/>
          </w:tcPr>
          <w:p w14:paraId="36BC1045" w14:textId="77777777" w:rsidR="0067083C" w:rsidRPr="0067083C" w:rsidRDefault="0067083C" w:rsidP="0067083C">
            <w:pPr>
              <w:jc w:val="center"/>
              <w:rPr>
                <w:bCs/>
                <w:sz w:val="18"/>
                <w:szCs w:val="18"/>
                <w:highlight w:val="green"/>
                <w:lang w:val="en-GB" w:bidi="th-TH"/>
              </w:rPr>
            </w:pPr>
            <w:r w:rsidRPr="0067083C">
              <w:rPr>
                <w:bCs/>
                <w:sz w:val="18"/>
                <w:szCs w:val="18"/>
                <w:lang w:val="en-GB" w:bidi="th-TH"/>
              </w:rPr>
              <w:t>1.30</w:t>
            </w:r>
          </w:p>
        </w:tc>
        <w:tc>
          <w:tcPr>
            <w:tcW w:w="900" w:type="dxa"/>
            <w:tcBorders>
              <w:top w:val="single" w:sz="6" w:space="0" w:color="auto"/>
              <w:left w:val="single" w:sz="6" w:space="0" w:color="auto"/>
              <w:bottom w:val="single" w:sz="6" w:space="0" w:color="auto"/>
              <w:right w:val="single" w:sz="12" w:space="0" w:color="auto"/>
            </w:tcBorders>
            <w:vAlign w:val="center"/>
          </w:tcPr>
          <w:p w14:paraId="67C90660" w14:textId="77777777" w:rsidR="0067083C" w:rsidRPr="0067083C" w:rsidRDefault="0067083C" w:rsidP="0067083C">
            <w:pPr>
              <w:jc w:val="center"/>
              <w:rPr>
                <w:b/>
                <w:bCs/>
                <w:sz w:val="18"/>
                <w:szCs w:val="18"/>
                <w:lang w:val="en-GB" w:bidi="th-TH"/>
              </w:rPr>
            </w:pPr>
            <w:r w:rsidRPr="0067083C">
              <w:rPr>
                <w:b/>
                <w:bCs/>
                <w:sz w:val="18"/>
                <w:szCs w:val="18"/>
                <w:lang w:val="en-GB" w:bidi="th-TH"/>
              </w:rPr>
              <w:t>1</w:t>
            </w:r>
          </w:p>
        </w:tc>
      </w:tr>
      <w:tr w:rsidR="0067083C" w:rsidRPr="0067083C" w14:paraId="021DCD8F" w14:textId="77777777" w:rsidTr="003B6CDA">
        <w:trPr>
          <w:jc w:val="center"/>
        </w:trPr>
        <w:tc>
          <w:tcPr>
            <w:tcW w:w="1548" w:type="dxa"/>
            <w:tcBorders>
              <w:top w:val="single" w:sz="6" w:space="0" w:color="auto"/>
              <w:left w:val="single" w:sz="12" w:space="0" w:color="auto"/>
              <w:bottom w:val="single" w:sz="6" w:space="0" w:color="auto"/>
              <w:right w:val="single" w:sz="6" w:space="0" w:color="auto"/>
            </w:tcBorders>
            <w:vAlign w:val="center"/>
          </w:tcPr>
          <w:p w14:paraId="5F7DBD0C" w14:textId="77777777" w:rsidR="0067083C" w:rsidRPr="0067083C" w:rsidRDefault="0067083C" w:rsidP="0067083C">
            <w:pPr>
              <w:rPr>
                <w:bCs/>
                <w:sz w:val="18"/>
                <w:szCs w:val="18"/>
                <w:lang w:val="en-GB" w:bidi="th-TH"/>
              </w:rPr>
            </w:pPr>
            <w:r w:rsidRPr="0067083C">
              <w:rPr>
                <w:bCs/>
                <w:sz w:val="18"/>
                <w:szCs w:val="18"/>
                <w:lang w:val="en-GB" w:bidi="th-TH"/>
              </w:rPr>
              <w:t>Sedimentation from coastal development</w:t>
            </w:r>
          </w:p>
        </w:tc>
        <w:tc>
          <w:tcPr>
            <w:tcW w:w="637" w:type="dxa"/>
            <w:tcBorders>
              <w:top w:val="single" w:sz="6" w:space="0" w:color="auto"/>
              <w:left w:val="single" w:sz="6" w:space="0" w:color="auto"/>
              <w:bottom w:val="single" w:sz="6" w:space="0" w:color="auto"/>
              <w:right w:val="single" w:sz="6" w:space="0" w:color="auto"/>
            </w:tcBorders>
            <w:vAlign w:val="center"/>
          </w:tcPr>
          <w:p w14:paraId="75CA5EEE" w14:textId="77777777" w:rsidR="0067083C" w:rsidRPr="0067083C" w:rsidRDefault="0067083C" w:rsidP="0067083C">
            <w:pPr>
              <w:jc w:val="center"/>
              <w:rPr>
                <w:sz w:val="18"/>
                <w:szCs w:val="18"/>
                <w:lang w:val="en-GB" w:bidi="th-TH"/>
              </w:rPr>
            </w:pPr>
            <w:r w:rsidRPr="0067083C">
              <w:rPr>
                <w:sz w:val="18"/>
                <w:szCs w:val="18"/>
                <w:lang w:val="en-GB" w:bidi="th-TH"/>
              </w:rPr>
              <w:t>4</w:t>
            </w:r>
          </w:p>
        </w:tc>
        <w:tc>
          <w:tcPr>
            <w:tcW w:w="803" w:type="dxa"/>
            <w:tcBorders>
              <w:top w:val="single" w:sz="6" w:space="0" w:color="auto"/>
              <w:left w:val="single" w:sz="6" w:space="0" w:color="auto"/>
              <w:bottom w:val="single" w:sz="6" w:space="0" w:color="auto"/>
              <w:right w:val="single" w:sz="6" w:space="0" w:color="auto"/>
            </w:tcBorders>
            <w:vAlign w:val="center"/>
          </w:tcPr>
          <w:p w14:paraId="6FA8CE0A" w14:textId="77777777" w:rsidR="0067083C" w:rsidRPr="0067083C" w:rsidRDefault="0067083C" w:rsidP="0067083C">
            <w:pPr>
              <w:jc w:val="center"/>
              <w:rPr>
                <w:sz w:val="18"/>
                <w:szCs w:val="18"/>
                <w:highlight w:val="green"/>
                <w:lang w:val="en-GB" w:bidi="th-TH"/>
              </w:rPr>
            </w:pPr>
            <w:r w:rsidRPr="0067083C">
              <w:rPr>
                <w:sz w:val="18"/>
                <w:szCs w:val="18"/>
                <w:lang w:val="en-GB" w:bidi="th-TH"/>
              </w:rPr>
              <w:t>1.730</w:t>
            </w:r>
          </w:p>
        </w:tc>
        <w:tc>
          <w:tcPr>
            <w:tcW w:w="720" w:type="dxa"/>
            <w:tcBorders>
              <w:top w:val="single" w:sz="6" w:space="0" w:color="auto"/>
              <w:left w:val="single" w:sz="6" w:space="0" w:color="auto"/>
              <w:bottom w:val="single" w:sz="6" w:space="0" w:color="auto"/>
              <w:right w:val="single" w:sz="6" w:space="0" w:color="auto"/>
            </w:tcBorders>
            <w:vAlign w:val="center"/>
          </w:tcPr>
          <w:p w14:paraId="39F53FF5" w14:textId="77777777" w:rsidR="0067083C" w:rsidRPr="0067083C" w:rsidRDefault="0067083C" w:rsidP="0067083C">
            <w:pPr>
              <w:jc w:val="center"/>
              <w:rPr>
                <w:sz w:val="18"/>
                <w:szCs w:val="18"/>
                <w:lang w:val="en-GB" w:bidi="th-TH"/>
              </w:rPr>
            </w:pPr>
            <w:r w:rsidRPr="0067083C">
              <w:rPr>
                <w:sz w:val="18"/>
                <w:szCs w:val="18"/>
                <w:lang w:val="en-GB" w:bidi="th-TH"/>
              </w:rPr>
              <w:t>3</w:t>
            </w:r>
          </w:p>
        </w:tc>
        <w:tc>
          <w:tcPr>
            <w:tcW w:w="810" w:type="dxa"/>
            <w:tcBorders>
              <w:top w:val="single" w:sz="6" w:space="0" w:color="auto"/>
              <w:left w:val="single" w:sz="6" w:space="0" w:color="auto"/>
              <w:bottom w:val="single" w:sz="6" w:space="0" w:color="auto"/>
              <w:right w:val="single" w:sz="6" w:space="0" w:color="auto"/>
            </w:tcBorders>
            <w:vAlign w:val="center"/>
          </w:tcPr>
          <w:p w14:paraId="10A36A41" w14:textId="77777777" w:rsidR="0067083C" w:rsidRPr="0067083C" w:rsidRDefault="0067083C" w:rsidP="0067083C">
            <w:pPr>
              <w:jc w:val="center"/>
              <w:rPr>
                <w:sz w:val="18"/>
                <w:szCs w:val="18"/>
                <w:lang w:val="en-GB" w:bidi="th-TH"/>
              </w:rPr>
            </w:pPr>
            <w:r w:rsidRPr="0067083C">
              <w:rPr>
                <w:sz w:val="18"/>
                <w:szCs w:val="18"/>
                <w:lang w:val="en-GB" w:bidi="th-TH"/>
              </w:rPr>
              <w:t>0.075</w:t>
            </w:r>
          </w:p>
        </w:tc>
        <w:tc>
          <w:tcPr>
            <w:tcW w:w="720" w:type="dxa"/>
            <w:tcBorders>
              <w:top w:val="single" w:sz="6" w:space="0" w:color="auto"/>
              <w:left w:val="single" w:sz="6" w:space="0" w:color="auto"/>
              <w:bottom w:val="single" w:sz="6" w:space="0" w:color="auto"/>
              <w:right w:val="single" w:sz="6" w:space="0" w:color="auto"/>
            </w:tcBorders>
            <w:vAlign w:val="center"/>
          </w:tcPr>
          <w:p w14:paraId="683007B1" w14:textId="77777777" w:rsidR="0067083C" w:rsidRPr="0067083C" w:rsidRDefault="0067083C" w:rsidP="0067083C">
            <w:pPr>
              <w:jc w:val="center"/>
              <w:rPr>
                <w:sz w:val="18"/>
                <w:szCs w:val="18"/>
                <w:lang w:val="en-GB" w:bidi="th-TH"/>
              </w:rPr>
            </w:pPr>
            <w:r w:rsidRPr="0067083C">
              <w:rPr>
                <w:sz w:val="18"/>
                <w:szCs w:val="18"/>
                <w:lang w:val="en-GB" w:bidi="th-TH"/>
              </w:rPr>
              <w:t>3</w:t>
            </w:r>
          </w:p>
        </w:tc>
        <w:tc>
          <w:tcPr>
            <w:tcW w:w="810" w:type="dxa"/>
            <w:tcBorders>
              <w:top w:val="single" w:sz="6" w:space="0" w:color="auto"/>
              <w:left w:val="single" w:sz="6" w:space="0" w:color="auto"/>
              <w:bottom w:val="single" w:sz="6" w:space="0" w:color="auto"/>
              <w:right w:val="single" w:sz="6" w:space="0" w:color="auto"/>
            </w:tcBorders>
            <w:vAlign w:val="center"/>
          </w:tcPr>
          <w:p w14:paraId="15A40777" w14:textId="77777777" w:rsidR="0067083C" w:rsidRPr="0067083C" w:rsidRDefault="0067083C" w:rsidP="0067083C">
            <w:pPr>
              <w:jc w:val="center"/>
              <w:rPr>
                <w:sz w:val="18"/>
                <w:szCs w:val="18"/>
                <w:lang w:val="en-GB" w:bidi="th-TH"/>
              </w:rPr>
            </w:pPr>
            <w:r w:rsidRPr="0067083C">
              <w:rPr>
                <w:sz w:val="18"/>
                <w:szCs w:val="18"/>
                <w:lang w:val="en-GB" w:bidi="th-TH"/>
              </w:rPr>
              <w:t>0.116</w:t>
            </w:r>
          </w:p>
        </w:tc>
        <w:tc>
          <w:tcPr>
            <w:tcW w:w="720" w:type="dxa"/>
            <w:tcBorders>
              <w:top w:val="single" w:sz="6" w:space="0" w:color="auto"/>
              <w:left w:val="single" w:sz="6" w:space="0" w:color="auto"/>
              <w:bottom w:val="single" w:sz="6" w:space="0" w:color="auto"/>
              <w:right w:val="single" w:sz="6" w:space="0" w:color="auto"/>
            </w:tcBorders>
            <w:vAlign w:val="center"/>
          </w:tcPr>
          <w:p w14:paraId="50BF24DD" w14:textId="77777777" w:rsidR="0067083C" w:rsidRPr="0067083C" w:rsidRDefault="0067083C" w:rsidP="0067083C">
            <w:pPr>
              <w:jc w:val="center"/>
              <w:rPr>
                <w:sz w:val="18"/>
                <w:szCs w:val="18"/>
                <w:lang w:val="en-GB" w:bidi="th-TH"/>
              </w:rPr>
            </w:pPr>
            <w:r w:rsidRPr="0067083C">
              <w:rPr>
                <w:sz w:val="18"/>
                <w:szCs w:val="18"/>
                <w:lang w:val="en-GB" w:bidi="th-TH"/>
              </w:rPr>
              <w:t>4</w:t>
            </w:r>
          </w:p>
        </w:tc>
        <w:tc>
          <w:tcPr>
            <w:tcW w:w="810" w:type="dxa"/>
            <w:tcBorders>
              <w:top w:val="single" w:sz="6" w:space="0" w:color="auto"/>
              <w:left w:val="single" w:sz="6" w:space="0" w:color="auto"/>
              <w:bottom w:val="single" w:sz="6" w:space="0" w:color="auto"/>
              <w:right w:val="single" w:sz="6" w:space="0" w:color="auto"/>
            </w:tcBorders>
            <w:vAlign w:val="center"/>
          </w:tcPr>
          <w:p w14:paraId="4FF61ACF" w14:textId="77777777" w:rsidR="0067083C" w:rsidRPr="0067083C" w:rsidRDefault="0067083C" w:rsidP="0067083C">
            <w:pPr>
              <w:jc w:val="center"/>
              <w:rPr>
                <w:sz w:val="18"/>
                <w:szCs w:val="18"/>
                <w:lang w:val="en-GB" w:bidi="th-TH"/>
              </w:rPr>
            </w:pPr>
            <w:r w:rsidRPr="0067083C">
              <w:rPr>
                <w:sz w:val="18"/>
                <w:szCs w:val="18"/>
                <w:lang w:val="en-GB" w:bidi="th-TH"/>
              </w:rPr>
              <w:t>0.012</w:t>
            </w:r>
          </w:p>
        </w:tc>
        <w:tc>
          <w:tcPr>
            <w:tcW w:w="720" w:type="dxa"/>
            <w:tcBorders>
              <w:top w:val="single" w:sz="6" w:space="0" w:color="auto"/>
              <w:left w:val="single" w:sz="6" w:space="0" w:color="auto"/>
              <w:bottom w:val="single" w:sz="6" w:space="0" w:color="auto"/>
              <w:right w:val="single" w:sz="6" w:space="0" w:color="auto"/>
            </w:tcBorders>
            <w:vAlign w:val="center"/>
          </w:tcPr>
          <w:p w14:paraId="2F6F5FF3" w14:textId="77777777" w:rsidR="0067083C" w:rsidRPr="0067083C" w:rsidRDefault="0067083C" w:rsidP="0067083C">
            <w:pPr>
              <w:jc w:val="center"/>
              <w:rPr>
                <w:sz w:val="18"/>
                <w:szCs w:val="18"/>
                <w:lang w:val="en-GB" w:bidi="th-TH"/>
              </w:rPr>
            </w:pPr>
            <w:r w:rsidRPr="0067083C">
              <w:rPr>
                <w:sz w:val="18"/>
                <w:szCs w:val="18"/>
                <w:lang w:val="en-GB" w:bidi="th-TH"/>
              </w:rPr>
              <w:t>3</w:t>
            </w:r>
          </w:p>
        </w:tc>
        <w:tc>
          <w:tcPr>
            <w:tcW w:w="810" w:type="dxa"/>
            <w:tcBorders>
              <w:top w:val="single" w:sz="6" w:space="0" w:color="auto"/>
              <w:left w:val="single" w:sz="6" w:space="0" w:color="auto"/>
              <w:bottom w:val="single" w:sz="6" w:space="0" w:color="auto"/>
              <w:right w:val="single" w:sz="6" w:space="0" w:color="auto"/>
            </w:tcBorders>
            <w:vAlign w:val="center"/>
          </w:tcPr>
          <w:p w14:paraId="5EC0C491" w14:textId="77777777" w:rsidR="0067083C" w:rsidRPr="0067083C" w:rsidRDefault="0067083C" w:rsidP="0067083C">
            <w:pPr>
              <w:jc w:val="center"/>
              <w:rPr>
                <w:sz w:val="18"/>
                <w:szCs w:val="18"/>
                <w:lang w:val="en-GB" w:bidi="th-TH"/>
              </w:rPr>
            </w:pPr>
            <w:r w:rsidRPr="0067083C">
              <w:rPr>
                <w:sz w:val="18"/>
                <w:szCs w:val="18"/>
                <w:lang w:val="en-GB" w:bidi="th-TH"/>
              </w:rPr>
              <w:t>0.890</w:t>
            </w:r>
          </w:p>
        </w:tc>
        <w:tc>
          <w:tcPr>
            <w:tcW w:w="720" w:type="dxa"/>
            <w:tcBorders>
              <w:top w:val="single" w:sz="6" w:space="0" w:color="auto"/>
              <w:left w:val="single" w:sz="6" w:space="0" w:color="auto"/>
              <w:bottom w:val="single" w:sz="6" w:space="0" w:color="auto"/>
              <w:right w:val="single" w:sz="6" w:space="0" w:color="auto"/>
            </w:tcBorders>
            <w:vAlign w:val="center"/>
          </w:tcPr>
          <w:p w14:paraId="2441DFF8" w14:textId="77777777" w:rsidR="0067083C" w:rsidRPr="0067083C" w:rsidRDefault="0067083C" w:rsidP="0067083C">
            <w:pPr>
              <w:jc w:val="center"/>
              <w:rPr>
                <w:sz w:val="18"/>
                <w:szCs w:val="18"/>
                <w:lang w:val="en-GB" w:bidi="th-TH"/>
              </w:rPr>
            </w:pPr>
            <w:r w:rsidRPr="0067083C">
              <w:rPr>
                <w:sz w:val="18"/>
                <w:szCs w:val="18"/>
                <w:lang w:val="en-GB" w:bidi="th-TH"/>
              </w:rPr>
              <w:t>2</w:t>
            </w:r>
          </w:p>
        </w:tc>
        <w:tc>
          <w:tcPr>
            <w:tcW w:w="810" w:type="dxa"/>
            <w:tcBorders>
              <w:top w:val="single" w:sz="6" w:space="0" w:color="auto"/>
              <w:left w:val="single" w:sz="6" w:space="0" w:color="auto"/>
              <w:bottom w:val="single" w:sz="6" w:space="0" w:color="auto"/>
              <w:right w:val="single" w:sz="6" w:space="0" w:color="auto"/>
            </w:tcBorders>
            <w:vAlign w:val="center"/>
          </w:tcPr>
          <w:p w14:paraId="0E39F926" w14:textId="77777777" w:rsidR="0067083C" w:rsidRPr="0067083C" w:rsidRDefault="0067083C" w:rsidP="0067083C">
            <w:pPr>
              <w:jc w:val="center"/>
              <w:rPr>
                <w:sz w:val="18"/>
                <w:szCs w:val="18"/>
                <w:lang w:val="en-GB" w:bidi="th-TH"/>
              </w:rPr>
            </w:pPr>
            <w:r w:rsidRPr="0067083C">
              <w:rPr>
                <w:sz w:val="18"/>
                <w:szCs w:val="18"/>
                <w:lang w:val="en-GB" w:bidi="th-TH"/>
              </w:rPr>
              <w:t>0.065</w:t>
            </w:r>
          </w:p>
        </w:tc>
        <w:tc>
          <w:tcPr>
            <w:tcW w:w="720" w:type="dxa"/>
            <w:tcBorders>
              <w:top w:val="single" w:sz="6" w:space="0" w:color="auto"/>
              <w:left w:val="single" w:sz="6" w:space="0" w:color="auto"/>
              <w:bottom w:val="single" w:sz="6" w:space="0" w:color="auto"/>
              <w:right w:val="single" w:sz="6" w:space="0" w:color="auto"/>
            </w:tcBorders>
            <w:vAlign w:val="center"/>
          </w:tcPr>
          <w:p w14:paraId="6117E84A" w14:textId="77777777" w:rsidR="0067083C" w:rsidRPr="0067083C" w:rsidRDefault="0067083C" w:rsidP="0067083C">
            <w:pPr>
              <w:jc w:val="center"/>
              <w:rPr>
                <w:sz w:val="18"/>
                <w:szCs w:val="18"/>
                <w:lang w:val="en-GB" w:bidi="th-TH"/>
              </w:rPr>
            </w:pPr>
            <w:r w:rsidRPr="0067083C">
              <w:rPr>
                <w:sz w:val="18"/>
                <w:szCs w:val="18"/>
                <w:lang w:val="en-GB" w:bidi="th-TH"/>
              </w:rPr>
              <w:t>2</w:t>
            </w:r>
          </w:p>
        </w:tc>
        <w:tc>
          <w:tcPr>
            <w:tcW w:w="810" w:type="dxa"/>
            <w:tcBorders>
              <w:top w:val="single" w:sz="6" w:space="0" w:color="auto"/>
              <w:left w:val="single" w:sz="6" w:space="0" w:color="auto"/>
              <w:bottom w:val="single" w:sz="6" w:space="0" w:color="auto"/>
              <w:right w:val="single" w:sz="6" w:space="0" w:color="auto"/>
            </w:tcBorders>
            <w:vAlign w:val="center"/>
          </w:tcPr>
          <w:p w14:paraId="6D3755A4" w14:textId="77777777" w:rsidR="0067083C" w:rsidRPr="0067083C" w:rsidRDefault="0067083C" w:rsidP="0067083C">
            <w:pPr>
              <w:jc w:val="center"/>
              <w:rPr>
                <w:sz w:val="18"/>
                <w:szCs w:val="18"/>
                <w:lang w:val="en-GB" w:bidi="th-TH"/>
              </w:rPr>
            </w:pPr>
            <w:r w:rsidRPr="0067083C">
              <w:rPr>
                <w:sz w:val="18"/>
                <w:szCs w:val="18"/>
                <w:lang w:val="en-GB" w:bidi="th-TH"/>
              </w:rPr>
              <w:t>0.345</w:t>
            </w:r>
          </w:p>
        </w:tc>
        <w:tc>
          <w:tcPr>
            <w:tcW w:w="810" w:type="dxa"/>
            <w:tcBorders>
              <w:top w:val="single" w:sz="6" w:space="0" w:color="auto"/>
              <w:left w:val="single" w:sz="6" w:space="0" w:color="auto"/>
              <w:bottom w:val="single" w:sz="6" w:space="0" w:color="auto"/>
              <w:right w:val="single" w:sz="6" w:space="0" w:color="auto"/>
            </w:tcBorders>
            <w:vAlign w:val="center"/>
          </w:tcPr>
          <w:p w14:paraId="7EDD70F5" w14:textId="77777777" w:rsidR="0067083C" w:rsidRPr="0067083C" w:rsidRDefault="0067083C" w:rsidP="0067083C">
            <w:pPr>
              <w:jc w:val="center"/>
              <w:rPr>
                <w:bCs/>
                <w:sz w:val="18"/>
                <w:szCs w:val="18"/>
                <w:highlight w:val="green"/>
                <w:lang w:val="en-GB" w:bidi="th-TH"/>
              </w:rPr>
            </w:pPr>
            <w:r w:rsidRPr="0067083C">
              <w:rPr>
                <w:bCs/>
                <w:sz w:val="18"/>
                <w:szCs w:val="18"/>
                <w:lang w:val="en-GB" w:bidi="th-TH"/>
              </w:rPr>
              <w:t>3.20</w:t>
            </w:r>
          </w:p>
        </w:tc>
        <w:tc>
          <w:tcPr>
            <w:tcW w:w="900" w:type="dxa"/>
            <w:tcBorders>
              <w:top w:val="single" w:sz="6" w:space="0" w:color="auto"/>
              <w:left w:val="single" w:sz="6" w:space="0" w:color="auto"/>
              <w:bottom w:val="single" w:sz="6" w:space="0" w:color="auto"/>
              <w:right w:val="single" w:sz="12" w:space="0" w:color="auto"/>
            </w:tcBorders>
            <w:vAlign w:val="center"/>
          </w:tcPr>
          <w:p w14:paraId="104354ED" w14:textId="77777777" w:rsidR="0067083C" w:rsidRPr="0067083C" w:rsidRDefault="0067083C" w:rsidP="0067083C">
            <w:pPr>
              <w:jc w:val="center"/>
              <w:rPr>
                <w:b/>
                <w:bCs/>
                <w:sz w:val="18"/>
                <w:szCs w:val="18"/>
                <w:lang w:val="en-GB" w:bidi="th-TH"/>
              </w:rPr>
            </w:pPr>
            <w:r w:rsidRPr="0067083C">
              <w:rPr>
                <w:b/>
                <w:bCs/>
                <w:sz w:val="18"/>
                <w:szCs w:val="18"/>
                <w:lang w:val="en-GB" w:bidi="th-TH"/>
              </w:rPr>
              <w:t>2</w:t>
            </w:r>
          </w:p>
        </w:tc>
      </w:tr>
      <w:tr w:rsidR="0067083C" w:rsidRPr="0067083C" w14:paraId="29E80B19" w14:textId="77777777" w:rsidTr="003B6CDA">
        <w:trPr>
          <w:jc w:val="center"/>
        </w:trPr>
        <w:tc>
          <w:tcPr>
            <w:tcW w:w="1548" w:type="dxa"/>
            <w:tcBorders>
              <w:top w:val="single" w:sz="6" w:space="0" w:color="auto"/>
              <w:left w:val="single" w:sz="12" w:space="0" w:color="auto"/>
              <w:bottom w:val="single" w:sz="6" w:space="0" w:color="auto"/>
              <w:right w:val="single" w:sz="6" w:space="0" w:color="auto"/>
            </w:tcBorders>
            <w:vAlign w:val="center"/>
          </w:tcPr>
          <w:p w14:paraId="4C63A909" w14:textId="77777777" w:rsidR="0067083C" w:rsidRPr="0067083C" w:rsidRDefault="0067083C" w:rsidP="0067083C">
            <w:pPr>
              <w:rPr>
                <w:bCs/>
                <w:sz w:val="18"/>
                <w:szCs w:val="18"/>
                <w:lang w:val="en-GB" w:bidi="th-TH"/>
              </w:rPr>
            </w:pPr>
            <w:r w:rsidRPr="0067083C">
              <w:rPr>
                <w:bCs/>
                <w:sz w:val="18"/>
                <w:szCs w:val="18"/>
                <w:lang w:val="en-GB" w:bidi="th-TH"/>
              </w:rPr>
              <w:t>Wastewater effluent</w:t>
            </w:r>
          </w:p>
        </w:tc>
        <w:tc>
          <w:tcPr>
            <w:tcW w:w="637" w:type="dxa"/>
            <w:tcBorders>
              <w:top w:val="single" w:sz="6" w:space="0" w:color="auto"/>
              <w:left w:val="single" w:sz="6" w:space="0" w:color="auto"/>
              <w:bottom w:val="single" w:sz="6" w:space="0" w:color="auto"/>
              <w:right w:val="single" w:sz="6" w:space="0" w:color="auto"/>
            </w:tcBorders>
            <w:vAlign w:val="center"/>
          </w:tcPr>
          <w:p w14:paraId="2658A00E" w14:textId="77777777" w:rsidR="0067083C" w:rsidRPr="0067083C" w:rsidRDefault="0067083C" w:rsidP="0067083C">
            <w:pPr>
              <w:jc w:val="center"/>
              <w:rPr>
                <w:sz w:val="18"/>
                <w:szCs w:val="18"/>
                <w:lang w:val="en-GB" w:bidi="th-TH"/>
              </w:rPr>
            </w:pPr>
            <w:r w:rsidRPr="0067083C">
              <w:rPr>
                <w:sz w:val="18"/>
                <w:szCs w:val="18"/>
                <w:lang w:val="en-GB" w:bidi="th-TH"/>
              </w:rPr>
              <w:t>3</w:t>
            </w:r>
          </w:p>
        </w:tc>
        <w:tc>
          <w:tcPr>
            <w:tcW w:w="803" w:type="dxa"/>
            <w:tcBorders>
              <w:top w:val="single" w:sz="6" w:space="0" w:color="auto"/>
              <w:left w:val="single" w:sz="6" w:space="0" w:color="auto"/>
              <w:bottom w:val="single" w:sz="6" w:space="0" w:color="auto"/>
              <w:right w:val="single" w:sz="6" w:space="0" w:color="auto"/>
            </w:tcBorders>
            <w:vAlign w:val="center"/>
          </w:tcPr>
          <w:p w14:paraId="31010524" w14:textId="77777777" w:rsidR="0067083C" w:rsidRPr="0067083C" w:rsidRDefault="0067083C" w:rsidP="0067083C">
            <w:pPr>
              <w:jc w:val="center"/>
              <w:rPr>
                <w:sz w:val="18"/>
                <w:szCs w:val="18"/>
                <w:highlight w:val="green"/>
                <w:lang w:val="en-GB" w:bidi="th-TH"/>
              </w:rPr>
            </w:pPr>
            <w:r w:rsidRPr="0067083C">
              <w:rPr>
                <w:sz w:val="18"/>
                <w:szCs w:val="18"/>
                <w:lang w:val="en-GB" w:bidi="th-TH"/>
              </w:rPr>
              <w:t>1.300</w:t>
            </w:r>
          </w:p>
        </w:tc>
        <w:tc>
          <w:tcPr>
            <w:tcW w:w="720" w:type="dxa"/>
            <w:tcBorders>
              <w:top w:val="single" w:sz="6" w:space="0" w:color="auto"/>
              <w:left w:val="single" w:sz="6" w:space="0" w:color="auto"/>
              <w:bottom w:val="single" w:sz="6" w:space="0" w:color="auto"/>
              <w:right w:val="single" w:sz="6" w:space="0" w:color="auto"/>
            </w:tcBorders>
            <w:vAlign w:val="center"/>
          </w:tcPr>
          <w:p w14:paraId="0F2EF792" w14:textId="77777777" w:rsidR="0067083C" w:rsidRPr="0067083C" w:rsidRDefault="0067083C" w:rsidP="0067083C">
            <w:pPr>
              <w:jc w:val="center"/>
              <w:rPr>
                <w:sz w:val="18"/>
                <w:szCs w:val="18"/>
                <w:lang w:val="en-GB" w:bidi="th-TH"/>
              </w:rPr>
            </w:pPr>
            <w:r w:rsidRPr="0067083C">
              <w:rPr>
                <w:sz w:val="18"/>
                <w:szCs w:val="18"/>
                <w:lang w:val="en-GB" w:bidi="th-TH"/>
              </w:rPr>
              <w:t>4</w:t>
            </w:r>
          </w:p>
        </w:tc>
        <w:tc>
          <w:tcPr>
            <w:tcW w:w="810" w:type="dxa"/>
            <w:tcBorders>
              <w:top w:val="single" w:sz="6" w:space="0" w:color="auto"/>
              <w:left w:val="single" w:sz="6" w:space="0" w:color="auto"/>
              <w:bottom w:val="single" w:sz="6" w:space="0" w:color="auto"/>
              <w:right w:val="single" w:sz="6" w:space="0" w:color="auto"/>
            </w:tcBorders>
            <w:vAlign w:val="center"/>
          </w:tcPr>
          <w:p w14:paraId="17DC4614" w14:textId="77777777" w:rsidR="0067083C" w:rsidRPr="0067083C" w:rsidRDefault="0067083C" w:rsidP="0067083C">
            <w:pPr>
              <w:jc w:val="center"/>
              <w:rPr>
                <w:sz w:val="18"/>
                <w:szCs w:val="18"/>
                <w:lang w:val="en-GB" w:bidi="th-TH"/>
              </w:rPr>
            </w:pPr>
            <w:r w:rsidRPr="0067083C">
              <w:rPr>
                <w:sz w:val="18"/>
                <w:szCs w:val="18"/>
                <w:lang w:val="en-GB" w:bidi="th-TH"/>
              </w:rPr>
              <w:t>0.100</w:t>
            </w:r>
          </w:p>
        </w:tc>
        <w:tc>
          <w:tcPr>
            <w:tcW w:w="720" w:type="dxa"/>
            <w:tcBorders>
              <w:top w:val="single" w:sz="6" w:space="0" w:color="auto"/>
              <w:left w:val="single" w:sz="6" w:space="0" w:color="auto"/>
              <w:bottom w:val="single" w:sz="6" w:space="0" w:color="auto"/>
              <w:right w:val="single" w:sz="6" w:space="0" w:color="auto"/>
            </w:tcBorders>
            <w:vAlign w:val="center"/>
          </w:tcPr>
          <w:p w14:paraId="78791CEB" w14:textId="77777777" w:rsidR="0067083C" w:rsidRPr="0067083C" w:rsidRDefault="0067083C" w:rsidP="0067083C">
            <w:pPr>
              <w:jc w:val="center"/>
              <w:rPr>
                <w:sz w:val="18"/>
                <w:szCs w:val="18"/>
                <w:lang w:val="en-GB" w:bidi="th-TH"/>
              </w:rPr>
            </w:pPr>
            <w:r w:rsidRPr="0067083C">
              <w:rPr>
                <w:sz w:val="18"/>
                <w:szCs w:val="18"/>
                <w:lang w:val="en-GB" w:bidi="th-TH"/>
              </w:rPr>
              <w:t>5</w:t>
            </w:r>
          </w:p>
        </w:tc>
        <w:tc>
          <w:tcPr>
            <w:tcW w:w="810" w:type="dxa"/>
            <w:tcBorders>
              <w:top w:val="single" w:sz="6" w:space="0" w:color="auto"/>
              <w:left w:val="single" w:sz="6" w:space="0" w:color="auto"/>
              <w:bottom w:val="single" w:sz="6" w:space="0" w:color="auto"/>
              <w:right w:val="single" w:sz="6" w:space="0" w:color="auto"/>
            </w:tcBorders>
            <w:vAlign w:val="center"/>
          </w:tcPr>
          <w:p w14:paraId="5957514A" w14:textId="77777777" w:rsidR="0067083C" w:rsidRPr="0067083C" w:rsidRDefault="0067083C" w:rsidP="0067083C">
            <w:pPr>
              <w:jc w:val="center"/>
              <w:rPr>
                <w:sz w:val="18"/>
                <w:szCs w:val="18"/>
                <w:lang w:val="en-GB" w:bidi="th-TH"/>
              </w:rPr>
            </w:pPr>
            <w:r w:rsidRPr="0067083C">
              <w:rPr>
                <w:sz w:val="18"/>
                <w:szCs w:val="18"/>
                <w:lang w:val="en-GB" w:bidi="th-TH"/>
              </w:rPr>
              <w:t>0.194</w:t>
            </w:r>
          </w:p>
        </w:tc>
        <w:tc>
          <w:tcPr>
            <w:tcW w:w="720" w:type="dxa"/>
            <w:tcBorders>
              <w:top w:val="single" w:sz="6" w:space="0" w:color="auto"/>
              <w:left w:val="single" w:sz="6" w:space="0" w:color="auto"/>
              <w:bottom w:val="single" w:sz="6" w:space="0" w:color="auto"/>
              <w:right w:val="single" w:sz="6" w:space="0" w:color="auto"/>
            </w:tcBorders>
            <w:vAlign w:val="center"/>
          </w:tcPr>
          <w:p w14:paraId="05D66FB5" w14:textId="77777777" w:rsidR="0067083C" w:rsidRPr="0067083C" w:rsidRDefault="0067083C" w:rsidP="0067083C">
            <w:pPr>
              <w:jc w:val="center"/>
              <w:rPr>
                <w:sz w:val="18"/>
                <w:szCs w:val="18"/>
                <w:lang w:val="en-GB" w:bidi="th-TH"/>
              </w:rPr>
            </w:pPr>
            <w:r w:rsidRPr="0067083C">
              <w:rPr>
                <w:sz w:val="18"/>
                <w:szCs w:val="18"/>
                <w:lang w:val="en-GB" w:bidi="th-TH"/>
              </w:rPr>
              <w:t>5</w:t>
            </w:r>
          </w:p>
        </w:tc>
        <w:tc>
          <w:tcPr>
            <w:tcW w:w="810" w:type="dxa"/>
            <w:tcBorders>
              <w:top w:val="single" w:sz="6" w:space="0" w:color="auto"/>
              <w:left w:val="single" w:sz="6" w:space="0" w:color="auto"/>
              <w:bottom w:val="single" w:sz="6" w:space="0" w:color="auto"/>
              <w:right w:val="single" w:sz="6" w:space="0" w:color="auto"/>
            </w:tcBorders>
            <w:vAlign w:val="center"/>
          </w:tcPr>
          <w:p w14:paraId="0E8834D8" w14:textId="77777777" w:rsidR="0067083C" w:rsidRPr="0067083C" w:rsidRDefault="0067083C" w:rsidP="0067083C">
            <w:pPr>
              <w:jc w:val="center"/>
              <w:rPr>
                <w:sz w:val="18"/>
                <w:szCs w:val="18"/>
                <w:lang w:val="en-GB" w:bidi="th-TH"/>
              </w:rPr>
            </w:pPr>
            <w:r w:rsidRPr="0067083C">
              <w:rPr>
                <w:sz w:val="18"/>
                <w:szCs w:val="18"/>
                <w:lang w:val="en-GB" w:bidi="th-TH"/>
              </w:rPr>
              <w:t>0.015</w:t>
            </w:r>
          </w:p>
        </w:tc>
        <w:tc>
          <w:tcPr>
            <w:tcW w:w="720" w:type="dxa"/>
            <w:tcBorders>
              <w:top w:val="single" w:sz="6" w:space="0" w:color="auto"/>
              <w:left w:val="single" w:sz="6" w:space="0" w:color="auto"/>
              <w:bottom w:val="single" w:sz="6" w:space="0" w:color="auto"/>
              <w:right w:val="single" w:sz="6" w:space="0" w:color="auto"/>
            </w:tcBorders>
            <w:vAlign w:val="center"/>
          </w:tcPr>
          <w:p w14:paraId="1A5FFDE4" w14:textId="77777777" w:rsidR="0067083C" w:rsidRPr="0067083C" w:rsidRDefault="0067083C" w:rsidP="0067083C">
            <w:pPr>
              <w:jc w:val="center"/>
              <w:rPr>
                <w:sz w:val="18"/>
                <w:szCs w:val="18"/>
                <w:lang w:val="en-GB" w:bidi="th-TH"/>
              </w:rPr>
            </w:pPr>
            <w:r w:rsidRPr="0067083C">
              <w:rPr>
                <w:sz w:val="18"/>
                <w:szCs w:val="18"/>
                <w:lang w:val="en-GB" w:bidi="th-TH"/>
              </w:rPr>
              <w:t>4</w:t>
            </w:r>
          </w:p>
        </w:tc>
        <w:tc>
          <w:tcPr>
            <w:tcW w:w="810" w:type="dxa"/>
            <w:tcBorders>
              <w:top w:val="single" w:sz="6" w:space="0" w:color="auto"/>
              <w:left w:val="single" w:sz="6" w:space="0" w:color="auto"/>
              <w:bottom w:val="single" w:sz="6" w:space="0" w:color="auto"/>
              <w:right w:val="single" w:sz="6" w:space="0" w:color="auto"/>
            </w:tcBorders>
            <w:vAlign w:val="center"/>
          </w:tcPr>
          <w:p w14:paraId="6F9BC8E0" w14:textId="77777777" w:rsidR="0067083C" w:rsidRPr="0067083C" w:rsidRDefault="0067083C" w:rsidP="0067083C">
            <w:pPr>
              <w:jc w:val="center"/>
              <w:rPr>
                <w:sz w:val="18"/>
                <w:szCs w:val="18"/>
                <w:lang w:val="en-GB" w:bidi="th-TH"/>
              </w:rPr>
            </w:pPr>
            <w:r w:rsidRPr="0067083C">
              <w:rPr>
                <w:sz w:val="18"/>
                <w:szCs w:val="18"/>
                <w:lang w:val="en-GB" w:bidi="th-TH"/>
              </w:rPr>
              <w:t>1.187</w:t>
            </w:r>
          </w:p>
        </w:tc>
        <w:tc>
          <w:tcPr>
            <w:tcW w:w="720" w:type="dxa"/>
            <w:tcBorders>
              <w:top w:val="single" w:sz="6" w:space="0" w:color="auto"/>
              <w:left w:val="single" w:sz="6" w:space="0" w:color="auto"/>
              <w:bottom w:val="single" w:sz="6" w:space="0" w:color="auto"/>
              <w:right w:val="single" w:sz="6" w:space="0" w:color="auto"/>
            </w:tcBorders>
            <w:vAlign w:val="center"/>
          </w:tcPr>
          <w:p w14:paraId="46762A4B" w14:textId="77777777" w:rsidR="0067083C" w:rsidRPr="0067083C" w:rsidRDefault="0067083C" w:rsidP="0067083C">
            <w:pPr>
              <w:jc w:val="center"/>
              <w:rPr>
                <w:sz w:val="18"/>
                <w:szCs w:val="18"/>
                <w:lang w:val="en-GB" w:bidi="th-TH"/>
              </w:rPr>
            </w:pPr>
            <w:r w:rsidRPr="0067083C">
              <w:rPr>
                <w:sz w:val="18"/>
                <w:szCs w:val="18"/>
                <w:lang w:val="en-GB" w:bidi="th-TH"/>
              </w:rPr>
              <w:t>4</w:t>
            </w:r>
          </w:p>
        </w:tc>
        <w:tc>
          <w:tcPr>
            <w:tcW w:w="810" w:type="dxa"/>
            <w:tcBorders>
              <w:top w:val="single" w:sz="6" w:space="0" w:color="auto"/>
              <w:left w:val="single" w:sz="6" w:space="0" w:color="auto"/>
              <w:bottom w:val="single" w:sz="6" w:space="0" w:color="auto"/>
              <w:right w:val="single" w:sz="6" w:space="0" w:color="auto"/>
            </w:tcBorders>
            <w:vAlign w:val="center"/>
          </w:tcPr>
          <w:p w14:paraId="3E414EE5" w14:textId="77777777" w:rsidR="0067083C" w:rsidRPr="0067083C" w:rsidRDefault="0067083C" w:rsidP="0067083C">
            <w:pPr>
              <w:jc w:val="center"/>
              <w:rPr>
                <w:sz w:val="18"/>
                <w:szCs w:val="18"/>
                <w:lang w:val="en-GB" w:bidi="th-TH"/>
              </w:rPr>
            </w:pPr>
            <w:r w:rsidRPr="0067083C">
              <w:rPr>
                <w:sz w:val="18"/>
                <w:szCs w:val="18"/>
                <w:lang w:val="en-GB" w:bidi="th-TH"/>
              </w:rPr>
              <w:t>0.130</w:t>
            </w:r>
          </w:p>
        </w:tc>
        <w:tc>
          <w:tcPr>
            <w:tcW w:w="720" w:type="dxa"/>
            <w:tcBorders>
              <w:top w:val="single" w:sz="6" w:space="0" w:color="auto"/>
              <w:left w:val="single" w:sz="6" w:space="0" w:color="auto"/>
              <w:bottom w:val="single" w:sz="6" w:space="0" w:color="auto"/>
              <w:right w:val="single" w:sz="6" w:space="0" w:color="auto"/>
            </w:tcBorders>
            <w:vAlign w:val="center"/>
          </w:tcPr>
          <w:p w14:paraId="6A7C8440" w14:textId="77777777" w:rsidR="0067083C" w:rsidRPr="0067083C" w:rsidRDefault="0067083C" w:rsidP="0067083C">
            <w:pPr>
              <w:jc w:val="center"/>
              <w:rPr>
                <w:sz w:val="18"/>
                <w:szCs w:val="18"/>
                <w:lang w:val="en-GB" w:bidi="th-TH"/>
              </w:rPr>
            </w:pPr>
            <w:r w:rsidRPr="0067083C">
              <w:rPr>
                <w:sz w:val="18"/>
                <w:szCs w:val="18"/>
                <w:lang w:val="en-GB" w:bidi="th-TH"/>
              </w:rPr>
              <w:t>5</w:t>
            </w:r>
          </w:p>
        </w:tc>
        <w:tc>
          <w:tcPr>
            <w:tcW w:w="810" w:type="dxa"/>
            <w:tcBorders>
              <w:top w:val="single" w:sz="6" w:space="0" w:color="auto"/>
              <w:left w:val="single" w:sz="6" w:space="0" w:color="auto"/>
              <w:bottom w:val="single" w:sz="6" w:space="0" w:color="auto"/>
              <w:right w:val="single" w:sz="6" w:space="0" w:color="auto"/>
            </w:tcBorders>
            <w:vAlign w:val="center"/>
          </w:tcPr>
          <w:p w14:paraId="45EA7C04" w14:textId="77777777" w:rsidR="0067083C" w:rsidRPr="0067083C" w:rsidRDefault="0067083C" w:rsidP="0067083C">
            <w:pPr>
              <w:jc w:val="center"/>
              <w:rPr>
                <w:sz w:val="18"/>
                <w:szCs w:val="18"/>
                <w:lang w:val="en-GB" w:bidi="th-TH"/>
              </w:rPr>
            </w:pPr>
            <w:r w:rsidRPr="0067083C">
              <w:rPr>
                <w:sz w:val="18"/>
                <w:szCs w:val="18"/>
                <w:lang w:val="en-GB" w:bidi="th-TH"/>
              </w:rPr>
              <w:t>0.862</w:t>
            </w:r>
          </w:p>
        </w:tc>
        <w:tc>
          <w:tcPr>
            <w:tcW w:w="810" w:type="dxa"/>
            <w:tcBorders>
              <w:top w:val="single" w:sz="6" w:space="0" w:color="auto"/>
              <w:left w:val="single" w:sz="6" w:space="0" w:color="auto"/>
              <w:bottom w:val="single" w:sz="6" w:space="0" w:color="auto"/>
              <w:right w:val="single" w:sz="6" w:space="0" w:color="auto"/>
            </w:tcBorders>
            <w:vAlign w:val="center"/>
          </w:tcPr>
          <w:p w14:paraId="4FA48D74" w14:textId="77777777" w:rsidR="0067083C" w:rsidRPr="0067083C" w:rsidRDefault="0067083C" w:rsidP="0067083C">
            <w:pPr>
              <w:jc w:val="center"/>
              <w:rPr>
                <w:bCs/>
                <w:sz w:val="18"/>
                <w:szCs w:val="18"/>
                <w:highlight w:val="green"/>
                <w:lang w:val="en-GB" w:bidi="th-TH"/>
              </w:rPr>
            </w:pPr>
            <w:r w:rsidRPr="0067083C">
              <w:rPr>
                <w:bCs/>
                <w:sz w:val="18"/>
                <w:szCs w:val="18"/>
                <w:lang w:val="en-GB" w:bidi="th-TH"/>
              </w:rPr>
              <w:t>3.78</w:t>
            </w:r>
          </w:p>
        </w:tc>
        <w:tc>
          <w:tcPr>
            <w:tcW w:w="900" w:type="dxa"/>
            <w:tcBorders>
              <w:top w:val="single" w:sz="6" w:space="0" w:color="auto"/>
              <w:left w:val="single" w:sz="6" w:space="0" w:color="auto"/>
              <w:bottom w:val="single" w:sz="6" w:space="0" w:color="auto"/>
              <w:right w:val="single" w:sz="12" w:space="0" w:color="auto"/>
            </w:tcBorders>
            <w:vAlign w:val="center"/>
          </w:tcPr>
          <w:p w14:paraId="76D37979" w14:textId="77777777" w:rsidR="0067083C" w:rsidRPr="0067083C" w:rsidRDefault="0067083C" w:rsidP="0067083C">
            <w:pPr>
              <w:jc w:val="center"/>
              <w:rPr>
                <w:b/>
                <w:bCs/>
                <w:sz w:val="18"/>
                <w:szCs w:val="18"/>
                <w:lang w:val="en-GB" w:bidi="th-TH"/>
              </w:rPr>
            </w:pPr>
            <w:r w:rsidRPr="0067083C">
              <w:rPr>
                <w:b/>
                <w:bCs/>
                <w:sz w:val="18"/>
                <w:szCs w:val="18"/>
                <w:lang w:val="en-GB" w:bidi="th-TH"/>
              </w:rPr>
              <w:t>3</w:t>
            </w:r>
          </w:p>
        </w:tc>
      </w:tr>
      <w:tr w:rsidR="0067083C" w:rsidRPr="0067083C" w14:paraId="63F45504" w14:textId="77777777" w:rsidTr="003B6CDA">
        <w:trPr>
          <w:jc w:val="center"/>
        </w:trPr>
        <w:tc>
          <w:tcPr>
            <w:tcW w:w="1548" w:type="dxa"/>
            <w:tcBorders>
              <w:top w:val="single" w:sz="6" w:space="0" w:color="auto"/>
              <w:left w:val="single" w:sz="12" w:space="0" w:color="auto"/>
              <w:bottom w:val="single" w:sz="4" w:space="0" w:color="auto"/>
              <w:right w:val="single" w:sz="6" w:space="0" w:color="auto"/>
            </w:tcBorders>
            <w:vAlign w:val="center"/>
          </w:tcPr>
          <w:p w14:paraId="45FE868A" w14:textId="77777777" w:rsidR="0067083C" w:rsidRPr="0067083C" w:rsidRDefault="0067083C" w:rsidP="0067083C">
            <w:pPr>
              <w:rPr>
                <w:bCs/>
                <w:sz w:val="18"/>
                <w:szCs w:val="18"/>
                <w:lang w:val="en-GB" w:bidi="th-TH"/>
              </w:rPr>
            </w:pPr>
            <w:r w:rsidRPr="0067083C">
              <w:rPr>
                <w:bCs/>
                <w:sz w:val="18"/>
                <w:szCs w:val="18"/>
                <w:lang w:val="en-GB" w:bidi="th-TH"/>
              </w:rPr>
              <w:t>Over-fishing</w:t>
            </w:r>
          </w:p>
        </w:tc>
        <w:tc>
          <w:tcPr>
            <w:tcW w:w="637" w:type="dxa"/>
            <w:tcBorders>
              <w:top w:val="single" w:sz="6" w:space="0" w:color="auto"/>
              <w:left w:val="single" w:sz="6" w:space="0" w:color="auto"/>
              <w:bottom w:val="single" w:sz="4" w:space="0" w:color="auto"/>
              <w:right w:val="single" w:sz="6" w:space="0" w:color="auto"/>
            </w:tcBorders>
            <w:vAlign w:val="center"/>
          </w:tcPr>
          <w:p w14:paraId="507C2869" w14:textId="77777777" w:rsidR="0067083C" w:rsidRPr="0067083C" w:rsidRDefault="0067083C" w:rsidP="0067083C">
            <w:pPr>
              <w:jc w:val="center"/>
              <w:rPr>
                <w:sz w:val="18"/>
                <w:szCs w:val="18"/>
                <w:lang w:val="en-GB" w:bidi="th-TH"/>
              </w:rPr>
            </w:pPr>
            <w:r w:rsidRPr="0067083C">
              <w:rPr>
                <w:sz w:val="18"/>
                <w:szCs w:val="18"/>
                <w:lang w:val="en-GB" w:bidi="th-TH"/>
              </w:rPr>
              <w:t>2</w:t>
            </w:r>
          </w:p>
        </w:tc>
        <w:tc>
          <w:tcPr>
            <w:tcW w:w="803" w:type="dxa"/>
            <w:tcBorders>
              <w:top w:val="single" w:sz="6" w:space="0" w:color="auto"/>
              <w:left w:val="single" w:sz="6" w:space="0" w:color="auto"/>
              <w:bottom w:val="single" w:sz="4" w:space="0" w:color="auto"/>
              <w:right w:val="single" w:sz="6" w:space="0" w:color="auto"/>
            </w:tcBorders>
            <w:vAlign w:val="center"/>
          </w:tcPr>
          <w:p w14:paraId="46271A89" w14:textId="77777777" w:rsidR="0067083C" w:rsidRPr="0067083C" w:rsidRDefault="0067083C" w:rsidP="0067083C">
            <w:pPr>
              <w:jc w:val="center"/>
              <w:rPr>
                <w:sz w:val="18"/>
                <w:szCs w:val="18"/>
                <w:lang w:val="en-GB" w:bidi="th-TH"/>
              </w:rPr>
            </w:pPr>
            <w:r w:rsidRPr="0067083C">
              <w:rPr>
                <w:sz w:val="18"/>
                <w:szCs w:val="18"/>
                <w:lang w:val="en-GB" w:bidi="th-TH"/>
              </w:rPr>
              <w:t>0.863</w:t>
            </w:r>
          </w:p>
        </w:tc>
        <w:tc>
          <w:tcPr>
            <w:tcW w:w="720" w:type="dxa"/>
            <w:tcBorders>
              <w:top w:val="single" w:sz="6" w:space="0" w:color="auto"/>
              <w:left w:val="single" w:sz="6" w:space="0" w:color="auto"/>
              <w:bottom w:val="single" w:sz="4" w:space="0" w:color="auto"/>
              <w:right w:val="single" w:sz="6" w:space="0" w:color="auto"/>
            </w:tcBorders>
            <w:vAlign w:val="center"/>
          </w:tcPr>
          <w:p w14:paraId="6531E42A" w14:textId="77777777" w:rsidR="0067083C" w:rsidRPr="0067083C" w:rsidRDefault="0067083C" w:rsidP="0067083C">
            <w:pPr>
              <w:jc w:val="center"/>
              <w:rPr>
                <w:sz w:val="18"/>
                <w:szCs w:val="18"/>
                <w:lang w:val="en-GB" w:bidi="th-TH"/>
              </w:rPr>
            </w:pPr>
            <w:r w:rsidRPr="0067083C">
              <w:rPr>
                <w:sz w:val="18"/>
                <w:szCs w:val="18"/>
                <w:lang w:val="en-GB" w:bidi="th-TH"/>
              </w:rPr>
              <w:t>6</w:t>
            </w:r>
          </w:p>
        </w:tc>
        <w:tc>
          <w:tcPr>
            <w:tcW w:w="810" w:type="dxa"/>
            <w:tcBorders>
              <w:top w:val="single" w:sz="6" w:space="0" w:color="auto"/>
              <w:left w:val="single" w:sz="6" w:space="0" w:color="auto"/>
              <w:bottom w:val="single" w:sz="4" w:space="0" w:color="auto"/>
              <w:right w:val="single" w:sz="6" w:space="0" w:color="auto"/>
            </w:tcBorders>
            <w:vAlign w:val="center"/>
          </w:tcPr>
          <w:p w14:paraId="460B1CC3" w14:textId="77777777" w:rsidR="0067083C" w:rsidRPr="0067083C" w:rsidRDefault="0067083C" w:rsidP="0067083C">
            <w:pPr>
              <w:jc w:val="center"/>
              <w:rPr>
                <w:sz w:val="18"/>
                <w:szCs w:val="18"/>
                <w:lang w:val="en-GB" w:bidi="th-TH"/>
              </w:rPr>
            </w:pPr>
            <w:r w:rsidRPr="0067083C">
              <w:rPr>
                <w:sz w:val="18"/>
                <w:szCs w:val="18"/>
                <w:lang w:val="en-GB" w:bidi="th-TH"/>
              </w:rPr>
              <w:t>0.150</w:t>
            </w:r>
          </w:p>
        </w:tc>
        <w:tc>
          <w:tcPr>
            <w:tcW w:w="720" w:type="dxa"/>
            <w:tcBorders>
              <w:top w:val="single" w:sz="6" w:space="0" w:color="auto"/>
              <w:left w:val="single" w:sz="6" w:space="0" w:color="auto"/>
              <w:bottom w:val="single" w:sz="4" w:space="0" w:color="auto"/>
              <w:right w:val="single" w:sz="6" w:space="0" w:color="auto"/>
            </w:tcBorders>
            <w:vAlign w:val="center"/>
          </w:tcPr>
          <w:p w14:paraId="335B4832" w14:textId="77777777" w:rsidR="0067083C" w:rsidRPr="0067083C" w:rsidRDefault="0067083C" w:rsidP="0067083C">
            <w:pPr>
              <w:jc w:val="center"/>
              <w:rPr>
                <w:sz w:val="18"/>
                <w:szCs w:val="18"/>
                <w:lang w:val="en-GB" w:bidi="th-TH"/>
              </w:rPr>
            </w:pPr>
            <w:r w:rsidRPr="0067083C">
              <w:rPr>
                <w:sz w:val="18"/>
                <w:szCs w:val="18"/>
                <w:lang w:val="en-GB" w:bidi="th-TH"/>
              </w:rPr>
              <w:t>6</w:t>
            </w:r>
          </w:p>
        </w:tc>
        <w:tc>
          <w:tcPr>
            <w:tcW w:w="810" w:type="dxa"/>
            <w:tcBorders>
              <w:top w:val="single" w:sz="6" w:space="0" w:color="auto"/>
              <w:left w:val="single" w:sz="6" w:space="0" w:color="auto"/>
              <w:bottom w:val="single" w:sz="4" w:space="0" w:color="auto"/>
              <w:right w:val="single" w:sz="6" w:space="0" w:color="auto"/>
            </w:tcBorders>
            <w:vAlign w:val="center"/>
          </w:tcPr>
          <w:p w14:paraId="4FED7A75" w14:textId="77777777" w:rsidR="0067083C" w:rsidRPr="0067083C" w:rsidRDefault="0067083C" w:rsidP="0067083C">
            <w:pPr>
              <w:jc w:val="center"/>
              <w:rPr>
                <w:sz w:val="18"/>
                <w:szCs w:val="18"/>
                <w:lang w:val="en-GB" w:bidi="th-TH"/>
              </w:rPr>
            </w:pPr>
            <w:r w:rsidRPr="0067083C">
              <w:rPr>
                <w:sz w:val="18"/>
                <w:szCs w:val="18"/>
                <w:lang w:val="en-GB" w:bidi="th-TH"/>
              </w:rPr>
              <w:t>0.232</w:t>
            </w:r>
          </w:p>
        </w:tc>
        <w:tc>
          <w:tcPr>
            <w:tcW w:w="720" w:type="dxa"/>
            <w:tcBorders>
              <w:top w:val="single" w:sz="6" w:space="0" w:color="auto"/>
              <w:left w:val="single" w:sz="6" w:space="0" w:color="auto"/>
              <w:bottom w:val="single" w:sz="4" w:space="0" w:color="auto"/>
              <w:right w:val="single" w:sz="6" w:space="0" w:color="auto"/>
            </w:tcBorders>
            <w:vAlign w:val="center"/>
          </w:tcPr>
          <w:p w14:paraId="647FC19A" w14:textId="77777777" w:rsidR="0067083C" w:rsidRPr="0067083C" w:rsidRDefault="0067083C" w:rsidP="0067083C">
            <w:pPr>
              <w:jc w:val="center"/>
              <w:rPr>
                <w:sz w:val="18"/>
                <w:szCs w:val="18"/>
                <w:lang w:val="en-GB" w:bidi="th-TH"/>
              </w:rPr>
            </w:pPr>
            <w:r w:rsidRPr="0067083C">
              <w:rPr>
                <w:sz w:val="18"/>
                <w:szCs w:val="18"/>
                <w:lang w:val="en-GB" w:bidi="th-TH"/>
              </w:rPr>
              <w:t>1</w:t>
            </w:r>
          </w:p>
        </w:tc>
        <w:tc>
          <w:tcPr>
            <w:tcW w:w="810" w:type="dxa"/>
            <w:tcBorders>
              <w:top w:val="single" w:sz="6" w:space="0" w:color="auto"/>
              <w:left w:val="single" w:sz="6" w:space="0" w:color="auto"/>
              <w:bottom w:val="single" w:sz="4" w:space="0" w:color="auto"/>
              <w:right w:val="single" w:sz="6" w:space="0" w:color="auto"/>
            </w:tcBorders>
            <w:vAlign w:val="center"/>
          </w:tcPr>
          <w:p w14:paraId="14332EC1" w14:textId="77777777" w:rsidR="0067083C" w:rsidRPr="0067083C" w:rsidRDefault="0067083C" w:rsidP="0067083C">
            <w:pPr>
              <w:jc w:val="center"/>
              <w:rPr>
                <w:sz w:val="18"/>
                <w:szCs w:val="18"/>
                <w:lang w:val="en-GB" w:bidi="th-TH"/>
              </w:rPr>
            </w:pPr>
            <w:r w:rsidRPr="0067083C">
              <w:rPr>
                <w:sz w:val="18"/>
                <w:szCs w:val="18"/>
                <w:lang w:val="en-GB" w:bidi="th-TH"/>
              </w:rPr>
              <w:t>0.003</w:t>
            </w:r>
          </w:p>
        </w:tc>
        <w:tc>
          <w:tcPr>
            <w:tcW w:w="720" w:type="dxa"/>
            <w:tcBorders>
              <w:top w:val="single" w:sz="6" w:space="0" w:color="auto"/>
              <w:left w:val="single" w:sz="6" w:space="0" w:color="auto"/>
              <w:bottom w:val="single" w:sz="4" w:space="0" w:color="auto"/>
              <w:right w:val="single" w:sz="6" w:space="0" w:color="auto"/>
            </w:tcBorders>
            <w:vAlign w:val="center"/>
          </w:tcPr>
          <w:p w14:paraId="0A95549E" w14:textId="77777777" w:rsidR="0067083C" w:rsidRPr="0067083C" w:rsidRDefault="0067083C" w:rsidP="0067083C">
            <w:pPr>
              <w:jc w:val="center"/>
              <w:rPr>
                <w:sz w:val="18"/>
                <w:szCs w:val="18"/>
                <w:lang w:val="en-GB" w:bidi="th-TH"/>
              </w:rPr>
            </w:pPr>
            <w:r w:rsidRPr="0067083C">
              <w:rPr>
                <w:sz w:val="18"/>
                <w:szCs w:val="18"/>
                <w:lang w:val="en-GB" w:bidi="th-TH"/>
              </w:rPr>
              <w:t>6</w:t>
            </w:r>
          </w:p>
        </w:tc>
        <w:tc>
          <w:tcPr>
            <w:tcW w:w="810" w:type="dxa"/>
            <w:tcBorders>
              <w:top w:val="single" w:sz="6" w:space="0" w:color="auto"/>
              <w:left w:val="single" w:sz="6" w:space="0" w:color="auto"/>
              <w:bottom w:val="single" w:sz="4" w:space="0" w:color="auto"/>
              <w:right w:val="single" w:sz="6" w:space="0" w:color="auto"/>
            </w:tcBorders>
            <w:vAlign w:val="center"/>
          </w:tcPr>
          <w:p w14:paraId="1DDBF536" w14:textId="77777777" w:rsidR="0067083C" w:rsidRPr="0067083C" w:rsidRDefault="0067083C" w:rsidP="0067083C">
            <w:pPr>
              <w:jc w:val="center"/>
              <w:rPr>
                <w:sz w:val="18"/>
                <w:szCs w:val="18"/>
                <w:lang w:val="en-GB" w:bidi="th-TH"/>
              </w:rPr>
            </w:pPr>
            <w:r w:rsidRPr="0067083C">
              <w:rPr>
                <w:sz w:val="18"/>
                <w:szCs w:val="18"/>
                <w:lang w:val="en-GB" w:bidi="th-TH"/>
              </w:rPr>
              <w:t>1.780</w:t>
            </w:r>
          </w:p>
        </w:tc>
        <w:tc>
          <w:tcPr>
            <w:tcW w:w="720" w:type="dxa"/>
            <w:tcBorders>
              <w:top w:val="single" w:sz="6" w:space="0" w:color="auto"/>
              <w:left w:val="single" w:sz="6" w:space="0" w:color="auto"/>
              <w:bottom w:val="single" w:sz="4" w:space="0" w:color="auto"/>
              <w:right w:val="single" w:sz="6" w:space="0" w:color="auto"/>
            </w:tcBorders>
            <w:vAlign w:val="center"/>
          </w:tcPr>
          <w:p w14:paraId="1A5ADADB" w14:textId="77777777" w:rsidR="0067083C" w:rsidRPr="0067083C" w:rsidRDefault="0067083C" w:rsidP="0067083C">
            <w:pPr>
              <w:jc w:val="center"/>
              <w:rPr>
                <w:sz w:val="18"/>
                <w:szCs w:val="18"/>
                <w:lang w:val="en-GB" w:bidi="th-TH"/>
              </w:rPr>
            </w:pPr>
            <w:r w:rsidRPr="0067083C">
              <w:rPr>
                <w:sz w:val="18"/>
                <w:szCs w:val="18"/>
                <w:lang w:val="en-GB" w:bidi="th-TH"/>
              </w:rPr>
              <w:t>5</w:t>
            </w:r>
          </w:p>
        </w:tc>
        <w:tc>
          <w:tcPr>
            <w:tcW w:w="810" w:type="dxa"/>
            <w:tcBorders>
              <w:top w:val="single" w:sz="6" w:space="0" w:color="auto"/>
              <w:left w:val="single" w:sz="6" w:space="0" w:color="auto"/>
              <w:bottom w:val="single" w:sz="4" w:space="0" w:color="auto"/>
              <w:right w:val="single" w:sz="6" w:space="0" w:color="auto"/>
            </w:tcBorders>
            <w:vAlign w:val="center"/>
          </w:tcPr>
          <w:p w14:paraId="2A8ACCEA" w14:textId="77777777" w:rsidR="0067083C" w:rsidRPr="0067083C" w:rsidRDefault="0067083C" w:rsidP="0067083C">
            <w:pPr>
              <w:jc w:val="center"/>
              <w:rPr>
                <w:sz w:val="18"/>
                <w:szCs w:val="18"/>
                <w:lang w:val="en-GB" w:bidi="th-TH"/>
              </w:rPr>
            </w:pPr>
            <w:r w:rsidRPr="0067083C">
              <w:rPr>
                <w:sz w:val="18"/>
                <w:szCs w:val="18"/>
                <w:lang w:val="en-GB" w:bidi="th-TH"/>
              </w:rPr>
              <w:t>0.163</w:t>
            </w:r>
          </w:p>
        </w:tc>
        <w:tc>
          <w:tcPr>
            <w:tcW w:w="720" w:type="dxa"/>
            <w:tcBorders>
              <w:top w:val="single" w:sz="6" w:space="0" w:color="auto"/>
              <w:left w:val="single" w:sz="6" w:space="0" w:color="auto"/>
              <w:bottom w:val="single" w:sz="4" w:space="0" w:color="auto"/>
              <w:right w:val="single" w:sz="6" w:space="0" w:color="auto"/>
            </w:tcBorders>
            <w:vAlign w:val="center"/>
          </w:tcPr>
          <w:p w14:paraId="29E4002E" w14:textId="77777777" w:rsidR="0067083C" w:rsidRPr="0067083C" w:rsidRDefault="0067083C" w:rsidP="0067083C">
            <w:pPr>
              <w:jc w:val="center"/>
              <w:rPr>
                <w:sz w:val="18"/>
                <w:szCs w:val="18"/>
                <w:lang w:val="en-GB" w:bidi="th-TH"/>
              </w:rPr>
            </w:pPr>
            <w:r w:rsidRPr="0067083C">
              <w:rPr>
                <w:sz w:val="18"/>
                <w:szCs w:val="18"/>
                <w:lang w:val="en-GB" w:bidi="th-TH"/>
              </w:rPr>
              <w:t>4</w:t>
            </w:r>
          </w:p>
        </w:tc>
        <w:tc>
          <w:tcPr>
            <w:tcW w:w="810" w:type="dxa"/>
            <w:tcBorders>
              <w:top w:val="single" w:sz="6" w:space="0" w:color="auto"/>
              <w:left w:val="single" w:sz="6" w:space="0" w:color="auto"/>
              <w:bottom w:val="single" w:sz="4" w:space="0" w:color="auto"/>
              <w:right w:val="single" w:sz="6" w:space="0" w:color="auto"/>
            </w:tcBorders>
            <w:vAlign w:val="center"/>
          </w:tcPr>
          <w:p w14:paraId="2AE7B004" w14:textId="77777777" w:rsidR="0067083C" w:rsidRPr="0067083C" w:rsidRDefault="0067083C" w:rsidP="0067083C">
            <w:pPr>
              <w:jc w:val="center"/>
              <w:rPr>
                <w:sz w:val="18"/>
                <w:szCs w:val="18"/>
                <w:lang w:val="en-GB" w:bidi="th-TH"/>
              </w:rPr>
            </w:pPr>
            <w:r w:rsidRPr="0067083C">
              <w:rPr>
                <w:sz w:val="18"/>
                <w:szCs w:val="18"/>
                <w:lang w:val="en-GB" w:bidi="th-TH"/>
              </w:rPr>
              <w:t>0.690</w:t>
            </w:r>
          </w:p>
        </w:tc>
        <w:tc>
          <w:tcPr>
            <w:tcW w:w="810" w:type="dxa"/>
            <w:tcBorders>
              <w:top w:val="single" w:sz="6" w:space="0" w:color="auto"/>
              <w:left w:val="single" w:sz="6" w:space="0" w:color="auto"/>
              <w:bottom w:val="single" w:sz="4" w:space="0" w:color="auto"/>
              <w:right w:val="single" w:sz="6" w:space="0" w:color="auto"/>
            </w:tcBorders>
            <w:vAlign w:val="center"/>
          </w:tcPr>
          <w:p w14:paraId="155851FD" w14:textId="77777777" w:rsidR="0067083C" w:rsidRPr="0067083C" w:rsidRDefault="0067083C" w:rsidP="0067083C">
            <w:pPr>
              <w:jc w:val="center"/>
              <w:rPr>
                <w:bCs/>
                <w:sz w:val="18"/>
                <w:szCs w:val="18"/>
                <w:highlight w:val="green"/>
                <w:lang w:val="en-GB" w:bidi="th-TH"/>
              </w:rPr>
            </w:pPr>
            <w:r w:rsidRPr="0067083C">
              <w:rPr>
                <w:bCs/>
                <w:sz w:val="18"/>
                <w:szCs w:val="18"/>
                <w:lang w:val="en-GB" w:bidi="th-TH"/>
              </w:rPr>
              <w:t>3.88</w:t>
            </w:r>
          </w:p>
        </w:tc>
        <w:tc>
          <w:tcPr>
            <w:tcW w:w="900" w:type="dxa"/>
            <w:tcBorders>
              <w:top w:val="single" w:sz="6" w:space="0" w:color="auto"/>
              <w:left w:val="single" w:sz="6" w:space="0" w:color="auto"/>
              <w:bottom w:val="single" w:sz="4" w:space="0" w:color="auto"/>
              <w:right w:val="single" w:sz="12" w:space="0" w:color="auto"/>
            </w:tcBorders>
            <w:vAlign w:val="center"/>
          </w:tcPr>
          <w:p w14:paraId="784E03CA" w14:textId="77777777" w:rsidR="0067083C" w:rsidRPr="0067083C" w:rsidRDefault="0067083C" w:rsidP="0067083C">
            <w:pPr>
              <w:jc w:val="center"/>
              <w:rPr>
                <w:b/>
                <w:bCs/>
                <w:sz w:val="18"/>
                <w:szCs w:val="18"/>
                <w:lang w:val="en-GB" w:bidi="th-TH"/>
              </w:rPr>
            </w:pPr>
            <w:r w:rsidRPr="0067083C">
              <w:rPr>
                <w:b/>
                <w:bCs/>
                <w:sz w:val="18"/>
                <w:szCs w:val="18"/>
                <w:lang w:val="en-GB" w:bidi="th-TH"/>
              </w:rPr>
              <w:t>4</w:t>
            </w:r>
          </w:p>
        </w:tc>
      </w:tr>
      <w:tr w:rsidR="0067083C" w:rsidRPr="0067083C" w14:paraId="7B154879" w14:textId="77777777" w:rsidTr="003B6CDA">
        <w:trPr>
          <w:jc w:val="center"/>
        </w:trPr>
        <w:tc>
          <w:tcPr>
            <w:tcW w:w="1548" w:type="dxa"/>
            <w:tcBorders>
              <w:top w:val="single" w:sz="4" w:space="0" w:color="auto"/>
              <w:left w:val="single" w:sz="12" w:space="0" w:color="auto"/>
              <w:bottom w:val="single" w:sz="6" w:space="0" w:color="auto"/>
              <w:right w:val="single" w:sz="6" w:space="0" w:color="auto"/>
            </w:tcBorders>
            <w:vAlign w:val="center"/>
          </w:tcPr>
          <w:p w14:paraId="2F6E6561" w14:textId="77777777" w:rsidR="0067083C" w:rsidRPr="0067083C" w:rsidRDefault="0067083C" w:rsidP="0067083C">
            <w:pPr>
              <w:rPr>
                <w:bCs/>
                <w:sz w:val="18"/>
                <w:szCs w:val="18"/>
                <w:lang w:val="en-GB" w:bidi="th-TH"/>
              </w:rPr>
            </w:pPr>
            <w:r w:rsidRPr="0067083C">
              <w:rPr>
                <w:bCs/>
                <w:sz w:val="18"/>
                <w:szCs w:val="18"/>
                <w:lang w:val="en-GB" w:bidi="th-TH"/>
              </w:rPr>
              <w:t xml:space="preserve">Nutrients </w:t>
            </w:r>
          </w:p>
        </w:tc>
        <w:tc>
          <w:tcPr>
            <w:tcW w:w="637" w:type="dxa"/>
            <w:tcBorders>
              <w:top w:val="single" w:sz="4" w:space="0" w:color="auto"/>
              <w:left w:val="single" w:sz="6" w:space="0" w:color="auto"/>
              <w:bottom w:val="single" w:sz="6" w:space="0" w:color="auto"/>
              <w:right w:val="single" w:sz="6" w:space="0" w:color="auto"/>
            </w:tcBorders>
            <w:vAlign w:val="center"/>
          </w:tcPr>
          <w:p w14:paraId="3933F56F" w14:textId="77777777" w:rsidR="0067083C" w:rsidRPr="0067083C" w:rsidRDefault="0067083C" w:rsidP="0067083C">
            <w:pPr>
              <w:jc w:val="center"/>
              <w:rPr>
                <w:sz w:val="18"/>
                <w:szCs w:val="18"/>
                <w:lang w:val="en-GB" w:bidi="th-TH"/>
              </w:rPr>
            </w:pPr>
            <w:r w:rsidRPr="0067083C">
              <w:rPr>
                <w:sz w:val="18"/>
                <w:szCs w:val="18"/>
                <w:lang w:val="en-GB" w:bidi="th-TH"/>
              </w:rPr>
              <w:t>6</w:t>
            </w:r>
          </w:p>
        </w:tc>
        <w:tc>
          <w:tcPr>
            <w:tcW w:w="803" w:type="dxa"/>
            <w:tcBorders>
              <w:top w:val="single" w:sz="4" w:space="0" w:color="auto"/>
              <w:left w:val="single" w:sz="6" w:space="0" w:color="auto"/>
              <w:bottom w:val="single" w:sz="6" w:space="0" w:color="auto"/>
              <w:right w:val="single" w:sz="6" w:space="0" w:color="auto"/>
            </w:tcBorders>
            <w:vAlign w:val="center"/>
          </w:tcPr>
          <w:p w14:paraId="195B69D6" w14:textId="77777777" w:rsidR="0067083C" w:rsidRPr="0067083C" w:rsidRDefault="0067083C" w:rsidP="0067083C">
            <w:pPr>
              <w:jc w:val="center"/>
              <w:rPr>
                <w:sz w:val="18"/>
                <w:szCs w:val="18"/>
                <w:lang w:val="en-GB" w:bidi="th-TH"/>
              </w:rPr>
            </w:pPr>
            <w:r w:rsidRPr="0067083C">
              <w:rPr>
                <w:sz w:val="18"/>
                <w:szCs w:val="18"/>
                <w:lang w:val="en-GB" w:bidi="th-TH"/>
              </w:rPr>
              <w:t>2.590</w:t>
            </w:r>
          </w:p>
        </w:tc>
        <w:tc>
          <w:tcPr>
            <w:tcW w:w="720" w:type="dxa"/>
            <w:tcBorders>
              <w:top w:val="single" w:sz="4" w:space="0" w:color="auto"/>
              <w:left w:val="single" w:sz="6" w:space="0" w:color="auto"/>
              <w:bottom w:val="single" w:sz="6" w:space="0" w:color="auto"/>
              <w:right w:val="single" w:sz="6" w:space="0" w:color="auto"/>
            </w:tcBorders>
            <w:vAlign w:val="center"/>
          </w:tcPr>
          <w:p w14:paraId="62F7E74B" w14:textId="77777777" w:rsidR="0067083C" w:rsidRPr="0067083C" w:rsidRDefault="0067083C" w:rsidP="0067083C">
            <w:pPr>
              <w:jc w:val="center"/>
              <w:rPr>
                <w:sz w:val="18"/>
                <w:szCs w:val="18"/>
                <w:lang w:val="en-GB" w:bidi="th-TH"/>
              </w:rPr>
            </w:pPr>
            <w:r w:rsidRPr="0067083C">
              <w:rPr>
                <w:sz w:val="18"/>
                <w:szCs w:val="18"/>
                <w:lang w:val="en-GB" w:bidi="th-TH"/>
              </w:rPr>
              <w:t>5</w:t>
            </w:r>
          </w:p>
        </w:tc>
        <w:tc>
          <w:tcPr>
            <w:tcW w:w="810" w:type="dxa"/>
            <w:tcBorders>
              <w:top w:val="single" w:sz="4" w:space="0" w:color="auto"/>
              <w:left w:val="single" w:sz="6" w:space="0" w:color="auto"/>
              <w:bottom w:val="single" w:sz="6" w:space="0" w:color="auto"/>
              <w:right w:val="single" w:sz="6" w:space="0" w:color="auto"/>
            </w:tcBorders>
            <w:vAlign w:val="center"/>
          </w:tcPr>
          <w:p w14:paraId="5B711D0F" w14:textId="77777777" w:rsidR="0067083C" w:rsidRPr="0067083C" w:rsidRDefault="0067083C" w:rsidP="0067083C">
            <w:pPr>
              <w:jc w:val="center"/>
              <w:rPr>
                <w:sz w:val="18"/>
                <w:szCs w:val="18"/>
                <w:lang w:val="en-GB" w:bidi="th-TH"/>
              </w:rPr>
            </w:pPr>
            <w:r w:rsidRPr="0067083C">
              <w:rPr>
                <w:sz w:val="18"/>
                <w:szCs w:val="18"/>
                <w:lang w:val="en-GB" w:bidi="th-TH"/>
              </w:rPr>
              <w:t>0.125</w:t>
            </w:r>
          </w:p>
        </w:tc>
        <w:tc>
          <w:tcPr>
            <w:tcW w:w="720" w:type="dxa"/>
            <w:tcBorders>
              <w:top w:val="single" w:sz="4" w:space="0" w:color="auto"/>
              <w:left w:val="single" w:sz="6" w:space="0" w:color="auto"/>
              <w:bottom w:val="single" w:sz="6" w:space="0" w:color="auto"/>
              <w:right w:val="single" w:sz="6" w:space="0" w:color="auto"/>
            </w:tcBorders>
            <w:vAlign w:val="center"/>
          </w:tcPr>
          <w:p w14:paraId="1D74A91C" w14:textId="77777777" w:rsidR="0067083C" w:rsidRPr="0067083C" w:rsidRDefault="0067083C" w:rsidP="0067083C">
            <w:pPr>
              <w:jc w:val="center"/>
              <w:rPr>
                <w:sz w:val="18"/>
                <w:szCs w:val="18"/>
                <w:lang w:val="en-GB" w:bidi="th-TH"/>
              </w:rPr>
            </w:pPr>
            <w:r w:rsidRPr="0067083C">
              <w:rPr>
                <w:sz w:val="18"/>
                <w:szCs w:val="18"/>
                <w:lang w:val="en-GB" w:bidi="th-TH"/>
              </w:rPr>
              <w:t>4</w:t>
            </w:r>
          </w:p>
        </w:tc>
        <w:tc>
          <w:tcPr>
            <w:tcW w:w="810" w:type="dxa"/>
            <w:tcBorders>
              <w:top w:val="single" w:sz="4" w:space="0" w:color="auto"/>
              <w:left w:val="single" w:sz="6" w:space="0" w:color="auto"/>
              <w:bottom w:val="single" w:sz="6" w:space="0" w:color="auto"/>
              <w:right w:val="single" w:sz="6" w:space="0" w:color="auto"/>
            </w:tcBorders>
            <w:vAlign w:val="center"/>
          </w:tcPr>
          <w:p w14:paraId="1F8856CA" w14:textId="77777777" w:rsidR="0067083C" w:rsidRPr="0067083C" w:rsidRDefault="0067083C" w:rsidP="0067083C">
            <w:pPr>
              <w:jc w:val="center"/>
              <w:rPr>
                <w:sz w:val="18"/>
                <w:szCs w:val="18"/>
                <w:lang w:val="en-GB" w:bidi="th-TH"/>
              </w:rPr>
            </w:pPr>
            <w:r w:rsidRPr="0067083C">
              <w:rPr>
                <w:sz w:val="18"/>
                <w:szCs w:val="18"/>
                <w:lang w:val="en-GB" w:bidi="th-TH"/>
              </w:rPr>
              <w:t>0.155</w:t>
            </w:r>
          </w:p>
        </w:tc>
        <w:tc>
          <w:tcPr>
            <w:tcW w:w="720" w:type="dxa"/>
            <w:tcBorders>
              <w:top w:val="single" w:sz="4" w:space="0" w:color="auto"/>
              <w:left w:val="single" w:sz="6" w:space="0" w:color="auto"/>
              <w:bottom w:val="single" w:sz="6" w:space="0" w:color="auto"/>
              <w:right w:val="single" w:sz="6" w:space="0" w:color="auto"/>
            </w:tcBorders>
            <w:vAlign w:val="center"/>
          </w:tcPr>
          <w:p w14:paraId="4C763F06" w14:textId="77777777" w:rsidR="0067083C" w:rsidRPr="0067083C" w:rsidRDefault="0067083C" w:rsidP="0067083C">
            <w:pPr>
              <w:jc w:val="center"/>
              <w:rPr>
                <w:sz w:val="18"/>
                <w:szCs w:val="18"/>
                <w:lang w:val="en-GB" w:bidi="th-TH"/>
              </w:rPr>
            </w:pPr>
            <w:r w:rsidRPr="0067083C">
              <w:rPr>
                <w:sz w:val="18"/>
                <w:szCs w:val="18"/>
                <w:lang w:val="en-GB" w:bidi="th-TH"/>
              </w:rPr>
              <w:t>6</w:t>
            </w:r>
          </w:p>
        </w:tc>
        <w:tc>
          <w:tcPr>
            <w:tcW w:w="810" w:type="dxa"/>
            <w:tcBorders>
              <w:top w:val="single" w:sz="4" w:space="0" w:color="auto"/>
              <w:left w:val="single" w:sz="6" w:space="0" w:color="auto"/>
              <w:bottom w:val="single" w:sz="6" w:space="0" w:color="auto"/>
              <w:right w:val="single" w:sz="6" w:space="0" w:color="auto"/>
            </w:tcBorders>
            <w:vAlign w:val="center"/>
          </w:tcPr>
          <w:p w14:paraId="6F5CB97F" w14:textId="77777777" w:rsidR="0067083C" w:rsidRPr="0067083C" w:rsidRDefault="0067083C" w:rsidP="0067083C">
            <w:pPr>
              <w:jc w:val="center"/>
              <w:rPr>
                <w:sz w:val="18"/>
                <w:szCs w:val="18"/>
                <w:lang w:val="en-GB" w:bidi="th-TH"/>
              </w:rPr>
            </w:pPr>
            <w:r w:rsidRPr="0067083C">
              <w:rPr>
                <w:sz w:val="18"/>
                <w:szCs w:val="18"/>
                <w:lang w:val="en-GB" w:bidi="th-TH"/>
              </w:rPr>
              <w:t>0.018</w:t>
            </w:r>
          </w:p>
        </w:tc>
        <w:tc>
          <w:tcPr>
            <w:tcW w:w="720" w:type="dxa"/>
            <w:tcBorders>
              <w:top w:val="single" w:sz="4" w:space="0" w:color="auto"/>
              <w:left w:val="single" w:sz="6" w:space="0" w:color="auto"/>
              <w:bottom w:val="single" w:sz="6" w:space="0" w:color="auto"/>
              <w:right w:val="single" w:sz="6" w:space="0" w:color="auto"/>
            </w:tcBorders>
            <w:vAlign w:val="center"/>
          </w:tcPr>
          <w:p w14:paraId="534521B1" w14:textId="77777777" w:rsidR="0067083C" w:rsidRPr="0067083C" w:rsidRDefault="0067083C" w:rsidP="0067083C">
            <w:pPr>
              <w:jc w:val="center"/>
              <w:rPr>
                <w:sz w:val="18"/>
                <w:szCs w:val="18"/>
                <w:lang w:val="en-GB" w:bidi="th-TH"/>
              </w:rPr>
            </w:pPr>
            <w:r w:rsidRPr="0067083C">
              <w:rPr>
                <w:sz w:val="18"/>
                <w:szCs w:val="18"/>
                <w:lang w:val="en-GB" w:bidi="th-TH"/>
              </w:rPr>
              <w:t>1</w:t>
            </w:r>
          </w:p>
        </w:tc>
        <w:tc>
          <w:tcPr>
            <w:tcW w:w="810" w:type="dxa"/>
            <w:tcBorders>
              <w:top w:val="single" w:sz="4" w:space="0" w:color="auto"/>
              <w:left w:val="single" w:sz="6" w:space="0" w:color="auto"/>
              <w:bottom w:val="single" w:sz="6" w:space="0" w:color="auto"/>
              <w:right w:val="single" w:sz="6" w:space="0" w:color="auto"/>
            </w:tcBorders>
            <w:vAlign w:val="center"/>
          </w:tcPr>
          <w:p w14:paraId="1E2A5427" w14:textId="77777777" w:rsidR="0067083C" w:rsidRPr="0067083C" w:rsidRDefault="0067083C" w:rsidP="0067083C">
            <w:pPr>
              <w:jc w:val="center"/>
              <w:rPr>
                <w:sz w:val="18"/>
                <w:szCs w:val="18"/>
                <w:lang w:val="en-GB" w:bidi="th-TH"/>
              </w:rPr>
            </w:pPr>
            <w:r w:rsidRPr="0067083C">
              <w:rPr>
                <w:sz w:val="18"/>
                <w:szCs w:val="18"/>
                <w:lang w:val="en-GB" w:bidi="th-TH"/>
              </w:rPr>
              <w:t>0.297</w:t>
            </w:r>
          </w:p>
        </w:tc>
        <w:tc>
          <w:tcPr>
            <w:tcW w:w="720" w:type="dxa"/>
            <w:tcBorders>
              <w:top w:val="single" w:sz="4" w:space="0" w:color="auto"/>
              <w:left w:val="single" w:sz="6" w:space="0" w:color="auto"/>
              <w:bottom w:val="single" w:sz="6" w:space="0" w:color="auto"/>
              <w:right w:val="single" w:sz="6" w:space="0" w:color="auto"/>
            </w:tcBorders>
            <w:vAlign w:val="center"/>
          </w:tcPr>
          <w:p w14:paraId="58EB0F45" w14:textId="77777777" w:rsidR="0067083C" w:rsidRPr="0067083C" w:rsidRDefault="0067083C" w:rsidP="0067083C">
            <w:pPr>
              <w:jc w:val="center"/>
              <w:rPr>
                <w:sz w:val="18"/>
                <w:szCs w:val="18"/>
                <w:lang w:val="en-GB" w:bidi="th-TH"/>
              </w:rPr>
            </w:pPr>
            <w:r w:rsidRPr="0067083C">
              <w:rPr>
                <w:sz w:val="18"/>
                <w:szCs w:val="18"/>
                <w:lang w:val="en-GB" w:bidi="th-TH"/>
              </w:rPr>
              <w:t>3</w:t>
            </w:r>
          </w:p>
        </w:tc>
        <w:tc>
          <w:tcPr>
            <w:tcW w:w="810" w:type="dxa"/>
            <w:tcBorders>
              <w:top w:val="single" w:sz="4" w:space="0" w:color="auto"/>
              <w:left w:val="single" w:sz="6" w:space="0" w:color="auto"/>
              <w:bottom w:val="single" w:sz="6" w:space="0" w:color="auto"/>
              <w:right w:val="single" w:sz="6" w:space="0" w:color="auto"/>
            </w:tcBorders>
            <w:vAlign w:val="center"/>
          </w:tcPr>
          <w:p w14:paraId="4CB59F42" w14:textId="77777777" w:rsidR="0067083C" w:rsidRPr="0067083C" w:rsidRDefault="0067083C" w:rsidP="0067083C">
            <w:pPr>
              <w:jc w:val="center"/>
              <w:rPr>
                <w:sz w:val="18"/>
                <w:szCs w:val="18"/>
                <w:lang w:val="en-GB" w:bidi="th-TH"/>
              </w:rPr>
            </w:pPr>
            <w:r w:rsidRPr="0067083C">
              <w:rPr>
                <w:sz w:val="18"/>
                <w:szCs w:val="18"/>
                <w:lang w:val="en-GB" w:bidi="th-TH"/>
              </w:rPr>
              <w:t>0.098</w:t>
            </w:r>
          </w:p>
        </w:tc>
        <w:tc>
          <w:tcPr>
            <w:tcW w:w="720" w:type="dxa"/>
            <w:tcBorders>
              <w:top w:val="single" w:sz="4" w:space="0" w:color="auto"/>
              <w:left w:val="single" w:sz="6" w:space="0" w:color="auto"/>
              <w:bottom w:val="single" w:sz="6" w:space="0" w:color="auto"/>
              <w:right w:val="single" w:sz="6" w:space="0" w:color="auto"/>
            </w:tcBorders>
            <w:vAlign w:val="center"/>
          </w:tcPr>
          <w:p w14:paraId="6EAB94F8" w14:textId="77777777" w:rsidR="0067083C" w:rsidRPr="0067083C" w:rsidRDefault="0067083C" w:rsidP="0067083C">
            <w:pPr>
              <w:jc w:val="center"/>
              <w:rPr>
                <w:sz w:val="18"/>
                <w:szCs w:val="18"/>
                <w:lang w:val="en-GB" w:bidi="th-TH"/>
              </w:rPr>
            </w:pPr>
            <w:r w:rsidRPr="0067083C">
              <w:rPr>
                <w:sz w:val="18"/>
                <w:szCs w:val="18"/>
                <w:lang w:val="en-GB" w:bidi="th-TH"/>
              </w:rPr>
              <w:t>6</w:t>
            </w:r>
          </w:p>
        </w:tc>
        <w:tc>
          <w:tcPr>
            <w:tcW w:w="810" w:type="dxa"/>
            <w:tcBorders>
              <w:top w:val="single" w:sz="4" w:space="0" w:color="auto"/>
              <w:left w:val="single" w:sz="6" w:space="0" w:color="auto"/>
              <w:bottom w:val="single" w:sz="6" w:space="0" w:color="auto"/>
              <w:right w:val="single" w:sz="6" w:space="0" w:color="auto"/>
            </w:tcBorders>
            <w:vAlign w:val="center"/>
          </w:tcPr>
          <w:p w14:paraId="477EE0CF" w14:textId="77777777" w:rsidR="0067083C" w:rsidRPr="0067083C" w:rsidRDefault="0067083C" w:rsidP="0067083C">
            <w:pPr>
              <w:jc w:val="center"/>
              <w:rPr>
                <w:sz w:val="18"/>
                <w:szCs w:val="18"/>
                <w:lang w:val="en-GB" w:bidi="th-TH"/>
              </w:rPr>
            </w:pPr>
            <w:r w:rsidRPr="0067083C">
              <w:rPr>
                <w:sz w:val="18"/>
                <w:szCs w:val="18"/>
                <w:lang w:val="en-GB" w:bidi="th-TH"/>
              </w:rPr>
              <w:t>1.030</w:t>
            </w:r>
          </w:p>
        </w:tc>
        <w:tc>
          <w:tcPr>
            <w:tcW w:w="810" w:type="dxa"/>
            <w:tcBorders>
              <w:top w:val="single" w:sz="4" w:space="0" w:color="auto"/>
              <w:left w:val="single" w:sz="6" w:space="0" w:color="auto"/>
              <w:bottom w:val="single" w:sz="6" w:space="0" w:color="auto"/>
              <w:right w:val="single" w:sz="6" w:space="0" w:color="auto"/>
            </w:tcBorders>
            <w:vAlign w:val="center"/>
          </w:tcPr>
          <w:p w14:paraId="698342A2" w14:textId="77777777" w:rsidR="0067083C" w:rsidRPr="0067083C" w:rsidRDefault="0067083C" w:rsidP="0067083C">
            <w:pPr>
              <w:jc w:val="center"/>
              <w:rPr>
                <w:bCs/>
                <w:sz w:val="18"/>
                <w:szCs w:val="18"/>
                <w:highlight w:val="green"/>
                <w:lang w:val="en-GB" w:bidi="th-TH"/>
              </w:rPr>
            </w:pPr>
            <w:r w:rsidRPr="0067083C">
              <w:rPr>
                <w:bCs/>
                <w:sz w:val="18"/>
                <w:szCs w:val="18"/>
                <w:lang w:val="en-GB" w:bidi="th-TH"/>
              </w:rPr>
              <w:t>4.32</w:t>
            </w:r>
          </w:p>
        </w:tc>
        <w:tc>
          <w:tcPr>
            <w:tcW w:w="900" w:type="dxa"/>
            <w:tcBorders>
              <w:top w:val="single" w:sz="4" w:space="0" w:color="auto"/>
              <w:left w:val="single" w:sz="6" w:space="0" w:color="auto"/>
              <w:bottom w:val="single" w:sz="6" w:space="0" w:color="auto"/>
              <w:right w:val="single" w:sz="12" w:space="0" w:color="auto"/>
            </w:tcBorders>
            <w:vAlign w:val="center"/>
          </w:tcPr>
          <w:p w14:paraId="6BA02E18" w14:textId="77777777" w:rsidR="0067083C" w:rsidRPr="0067083C" w:rsidRDefault="0067083C" w:rsidP="0067083C">
            <w:pPr>
              <w:jc w:val="center"/>
              <w:rPr>
                <w:b/>
                <w:bCs/>
                <w:sz w:val="18"/>
                <w:szCs w:val="18"/>
                <w:lang w:val="en-GB" w:bidi="th-TH"/>
              </w:rPr>
            </w:pPr>
            <w:r w:rsidRPr="0067083C">
              <w:rPr>
                <w:b/>
                <w:bCs/>
                <w:sz w:val="18"/>
                <w:szCs w:val="18"/>
                <w:lang w:val="en-GB" w:bidi="th-TH"/>
              </w:rPr>
              <w:t>5</w:t>
            </w:r>
          </w:p>
        </w:tc>
      </w:tr>
      <w:tr w:rsidR="0067083C" w:rsidRPr="0067083C" w14:paraId="7618ED8F" w14:textId="77777777" w:rsidTr="003B6CDA">
        <w:trPr>
          <w:jc w:val="center"/>
        </w:trPr>
        <w:tc>
          <w:tcPr>
            <w:tcW w:w="1548" w:type="dxa"/>
            <w:tcBorders>
              <w:top w:val="single" w:sz="6" w:space="0" w:color="auto"/>
              <w:left w:val="single" w:sz="12" w:space="0" w:color="auto"/>
              <w:bottom w:val="single" w:sz="12" w:space="0" w:color="auto"/>
              <w:right w:val="single" w:sz="6" w:space="0" w:color="auto"/>
            </w:tcBorders>
            <w:vAlign w:val="center"/>
          </w:tcPr>
          <w:p w14:paraId="7A8A509A" w14:textId="77777777" w:rsidR="0067083C" w:rsidRPr="0067083C" w:rsidRDefault="0067083C" w:rsidP="0067083C">
            <w:pPr>
              <w:rPr>
                <w:bCs/>
                <w:sz w:val="18"/>
                <w:szCs w:val="18"/>
                <w:lang w:val="en-GB" w:bidi="th-TH"/>
              </w:rPr>
            </w:pPr>
            <w:r w:rsidRPr="0067083C">
              <w:rPr>
                <w:bCs/>
                <w:sz w:val="18"/>
                <w:szCs w:val="18"/>
                <w:lang w:val="en-GB" w:bidi="th-TH"/>
              </w:rPr>
              <w:t>Coastal construction</w:t>
            </w:r>
          </w:p>
        </w:tc>
        <w:tc>
          <w:tcPr>
            <w:tcW w:w="637" w:type="dxa"/>
            <w:tcBorders>
              <w:top w:val="single" w:sz="6" w:space="0" w:color="auto"/>
              <w:left w:val="single" w:sz="6" w:space="0" w:color="auto"/>
              <w:bottom w:val="single" w:sz="12" w:space="0" w:color="auto"/>
              <w:right w:val="single" w:sz="6" w:space="0" w:color="auto"/>
            </w:tcBorders>
            <w:vAlign w:val="center"/>
          </w:tcPr>
          <w:p w14:paraId="27430D85" w14:textId="77777777" w:rsidR="0067083C" w:rsidRPr="0067083C" w:rsidRDefault="0067083C" w:rsidP="0067083C">
            <w:pPr>
              <w:jc w:val="center"/>
              <w:rPr>
                <w:sz w:val="18"/>
                <w:szCs w:val="18"/>
                <w:lang w:val="en-GB" w:bidi="th-TH"/>
              </w:rPr>
            </w:pPr>
            <w:r w:rsidRPr="0067083C">
              <w:rPr>
                <w:sz w:val="18"/>
                <w:szCs w:val="18"/>
                <w:lang w:val="en-GB" w:bidi="th-TH"/>
              </w:rPr>
              <w:t>5</w:t>
            </w:r>
          </w:p>
        </w:tc>
        <w:tc>
          <w:tcPr>
            <w:tcW w:w="803" w:type="dxa"/>
            <w:tcBorders>
              <w:top w:val="single" w:sz="6" w:space="0" w:color="auto"/>
              <w:left w:val="single" w:sz="6" w:space="0" w:color="auto"/>
              <w:bottom w:val="single" w:sz="12" w:space="0" w:color="auto"/>
              <w:right w:val="single" w:sz="6" w:space="0" w:color="auto"/>
            </w:tcBorders>
            <w:vAlign w:val="center"/>
          </w:tcPr>
          <w:p w14:paraId="526A7E9B" w14:textId="77777777" w:rsidR="0067083C" w:rsidRPr="0067083C" w:rsidRDefault="0067083C" w:rsidP="0067083C">
            <w:pPr>
              <w:jc w:val="center"/>
              <w:rPr>
                <w:sz w:val="18"/>
                <w:szCs w:val="18"/>
                <w:lang w:val="en-GB" w:bidi="th-TH"/>
              </w:rPr>
            </w:pPr>
            <w:r w:rsidRPr="0067083C">
              <w:rPr>
                <w:sz w:val="18"/>
                <w:szCs w:val="18"/>
                <w:lang w:val="en-GB" w:bidi="th-TH"/>
              </w:rPr>
              <w:t>2.160</w:t>
            </w:r>
          </w:p>
        </w:tc>
        <w:tc>
          <w:tcPr>
            <w:tcW w:w="720" w:type="dxa"/>
            <w:tcBorders>
              <w:top w:val="single" w:sz="6" w:space="0" w:color="auto"/>
              <w:left w:val="single" w:sz="6" w:space="0" w:color="auto"/>
              <w:bottom w:val="single" w:sz="12" w:space="0" w:color="auto"/>
              <w:right w:val="single" w:sz="6" w:space="0" w:color="auto"/>
            </w:tcBorders>
            <w:vAlign w:val="center"/>
          </w:tcPr>
          <w:p w14:paraId="5A87F199" w14:textId="77777777" w:rsidR="0067083C" w:rsidRPr="0067083C" w:rsidRDefault="0067083C" w:rsidP="0067083C">
            <w:pPr>
              <w:jc w:val="center"/>
              <w:rPr>
                <w:sz w:val="18"/>
                <w:szCs w:val="18"/>
                <w:lang w:val="en-GB" w:bidi="th-TH"/>
              </w:rPr>
            </w:pPr>
            <w:r w:rsidRPr="0067083C">
              <w:rPr>
                <w:sz w:val="18"/>
                <w:szCs w:val="18"/>
                <w:lang w:val="en-GB" w:bidi="th-TH"/>
              </w:rPr>
              <w:t>2</w:t>
            </w:r>
          </w:p>
        </w:tc>
        <w:tc>
          <w:tcPr>
            <w:tcW w:w="810" w:type="dxa"/>
            <w:tcBorders>
              <w:top w:val="single" w:sz="6" w:space="0" w:color="auto"/>
              <w:left w:val="single" w:sz="6" w:space="0" w:color="auto"/>
              <w:bottom w:val="single" w:sz="12" w:space="0" w:color="auto"/>
              <w:right w:val="single" w:sz="6" w:space="0" w:color="auto"/>
            </w:tcBorders>
            <w:vAlign w:val="center"/>
          </w:tcPr>
          <w:p w14:paraId="2C4C6D00" w14:textId="77777777" w:rsidR="0067083C" w:rsidRPr="0067083C" w:rsidRDefault="0067083C" w:rsidP="0067083C">
            <w:pPr>
              <w:jc w:val="center"/>
              <w:rPr>
                <w:sz w:val="18"/>
                <w:szCs w:val="18"/>
                <w:lang w:val="en-GB" w:bidi="th-TH"/>
              </w:rPr>
            </w:pPr>
            <w:r w:rsidRPr="0067083C">
              <w:rPr>
                <w:sz w:val="18"/>
                <w:szCs w:val="18"/>
                <w:lang w:val="en-GB" w:bidi="th-TH"/>
              </w:rPr>
              <w:t>0.050</w:t>
            </w:r>
          </w:p>
        </w:tc>
        <w:tc>
          <w:tcPr>
            <w:tcW w:w="720" w:type="dxa"/>
            <w:tcBorders>
              <w:top w:val="single" w:sz="6" w:space="0" w:color="auto"/>
              <w:left w:val="single" w:sz="6" w:space="0" w:color="auto"/>
              <w:bottom w:val="single" w:sz="12" w:space="0" w:color="auto"/>
              <w:right w:val="single" w:sz="6" w:space="0" w:color="auto"/>
            </w:tcBorders>
            <w:vAlign w:val="center"/>
          </w:tcPr>
          <w:p w14:paraId="0AFE5A7E" w14:textId="77777777" w:rsidR="0067083C" w:rsidRPr="0067083C" w:rsidRDefault="0067083C" w:rsidP="0067083C">
            <w:pPr>
              <w:jc w:val="center"/>
              <w:rPr>
                <w:sz w:val="18"/>
                <w:szCs w:val="18"/>
                <w:lang w:val="en-GB" w:bidi="th-TH"/>
              </w:rPr>
            </w:pPr>
            <w:r w:rsidRPr="0067083C">
              <w:rPr>
                <w:sz w:val="18"/>
                <w:szCs w:val="18"/>
                <w:lang w:val="en-GB" w:bidi="th-TH"/>
              </w:rPr>
              <w:t>2</w:t>
            </w:r>
          </w:p>
        </w:tc>
        <w:tc>
          <w:tcPr>
            <w:tcW w:w="810" w:type="dxa"/>
            <w:tcBorders>
              <w:top w:val="single" w:sz="6" w:space="0" w:color="auto"/>
              <w:left w:val="single" w:sz="6" w:space="0" w:color="auto"/>
              <w:bottom w:val="single" w:sz="12" w:space="0" w:color="auto"/>
              <w:right w:val="single" w:sz="6" w:space="0" w:color="auto"/>
            </w:tcBorders>
            <w:vAlign w:val="center"/>
          </w:tcPr>
          <w:p w14:paraId="5AE23DCF" w14:textId="77777777" w:rsidR="0067083C" w:rsidRPr="0067083C" w:rsidRDefault="0067083C" w:rsidP="0067083C">
            <w:pPr>
              <w:jc w:val="center"/>
              <w:rPr>
                <w:sz w:val="18"/>
                <w:szCs w:val="18"/>
                <w:lang w:val="en-GB" w:bidi="th-TH"/>
              </w:rPr>
            </w:pPr>
            <w:r w:rsidRPr="0067083C">
              <w:rPr>
                <w:sz w:val="18"/>
                <w:szCs w:val="18"/>
                <w:lang w:val="en-GB" w:bidi="th-TH"/>
              </w:rPr>
              <w:t>0.077</w:t>
            </w:r>
          </w:p>
        </w:tc>
        <w:tc>
          <w:tcPr>
            <w:tcW w:w="720" w:type="dxa"/>
            <w:tcBorders>
              <w:top w:val="single" w:sz="6" w:space="0" w:color="auto"/>
              <w:left w:val="single" w:sz="6" w:space="0" w:color="auto"/>
              <w:bottom w:val="single" w:sz="12" w:space="0" w:color="auto"/>
              <w:right w:val="single" w:sz="6" w:space="0" w:color="auto"/>
            </w:tcBorders>
            <w:vAlign w:val="center"/>
          </w:tcPr>
          <w:p w14:paraId="346A0438" w14:textId="77777777" w:rsidR="0067083C" w:rsidRPr="0067083C" w:rsidRDefault="0067083C" w:rsidP="0067083C">
            <w:pPr>
              <w:jc w:val="center"/>
              <w:rPr>
                <w:sz w:val="18"/>
                <w:szCs w:val="18"/>
                <w:lang w:val="en-GB" w:bidi="th-TH"/>
              </w:rPr>
            </w:pPr>
            <w:r w:rsidRPr="0067083C">
              <w:rPr>
                <w:sz w:val="18"/>
                <w:szCs w:val="18"/>
                <w:lang w:val="en-GB" w:bidi="th-TH"/>
              </w:rPr>
              <w:t>2</w:t>
            </w:r>
          </w:p>
        </w:tc>
        <w:tc>
          <w:tcPr>
            <w:tcW w:w="810" w:type="dxa"/>
            <w:tcBorders>
              <w:top w:val="single" w:sz="6" w:space="0" w:color="auto"/>
              <w:left w:val="single" w:sz="6" w:space="0" w:color="auto"/>
              <w:bottom w:val="single" w:sz="12" w:space="0" w:color="auto"/>
              <w:right w:val="single" w:sz="6" w:space="0" w:color="auto"/>
            </w:tcBorders>
            <w:vAlign w:val="center"/>
          </w:tcPr>
          <w:p w14:paraId="62309FE6" w14:textId="77777777" w:rsidR="0067083C" w:rsidRPr="0067083C" w:rsidRDefault="0067083C" w:rsidP="0067083C">
            <w:pPr>
              <w:jc w:val="center"/>
              <w:rPr>
                <w:sz w:val="18"/>
                <w:szCs w:val="18"/>
                <w:lang w:val="en-GB" w:bidi="th-TH"/>
              </w:rPr>
            </w:pPr>
            <w:r w:rsidRPr="0067083C">
              <w:rPr>
                <w:sz w:val="18"/>
                <w:szCs w:val="18"/>
                <w:lang w:val="en-GB" w:bidi="th-TH"/>
              </w:rPr>
              <w:t>0.006</w:t>
            </w:r>
          </w:p>
        </w:tc>
        <w:tc>
          <w:tcPr>
            <w:tcW w:w="720" w:type="dxa"/>
            <w:tcBorders>
              <w:top w:val="single" w:sz="6" w:space="0" w:color="auto"/>
              <w:left w:val="single" w:sz="6" w:space="0" w:color="auto"/>
              <w:bottom w:val="single" w:sz="12" w:space="0" w:color="auto"/>
              <w:right w:val="single" w:sz="6" w:space="0" w:color="auto"/>
            </w:tcBorders>
            <w:vAlign w:val="center"/>
          </w:tcPr>
          <w:p w14:paraId="7E73264C" w14:textId="77777777" w:rsidR="0067083C" w:rsidRPr="0067083C" w:rsidRDefault="0067083C" w:rsidP="0067083C">
            <w:pPr>
              <w:jc w:val="center"/>
              <w:rPr>
                <w:sz w:val="18"/>
                <w:szCs w:val="18"/>
                <w:lang w:val="en-GB" w:bidi="th-TH"/>
              </w:rPr>
            </w:pPr>
            <w:r w:rsidRPr="0067083C">
              <w:rPr>
                <w:sz w:val="18"/>
                <w:szCs w:val="18"/>
                <w:lang w:val="en-GB" w:bidi="th-TH"/>
              </w:rPr>
              <w:t>5</w:t>
            </w:r>
          </w:p>
        </w:tc>
        <w:tc>
          <w:tcPr>
            <w:tcW w:w="810" w:type="dxa"/>
            <w:tcBorders>
              <w:top w:val="single" w:sz="6" w:space="0" w:color="auto"/>
              <w:left w:val="single" w:sz="6" w:space="0" w:color="auto"/>
              <w:bottom w:val="single" w:sz="12" w:space="0" w:color="auto"/>
              <w:right w:val="single" w:sz="6" w:space="0" w:color="auto"/>
            </w:tcBorders>
            <w:vAlign w:val="center"/>
          </w:tcPr>
          <w:p w14:paraId="22913975" w14:textId="77777777" w:rsidR="0067083C" w:rsidRPr="0067083C" w:rsidRDefault="0067083C" w:rsidP="0067083C">
            <w:pPr>
              <w:jc w:val="center"/>
              <w:rPr>
                <w:sz w:val="18"/>
                <w:szCs w:val="18"/>
                <w:lang w:val="en-GB" w:bidi="th-TH"/>
              </w:rPr>
            </w:pPr>
            <w:r w:rsidRPr="0067083C">
              <w:rPr>
                <w:sz w:val="18"/>
                <w:szCs w:val="18"/>
                <w:lang w:val="en-GB" w:bidi="th-TH"/>
              </w:rPr>
              <w:t>1.480</w:t>
            </w:r>
          </w:p>
        </w:tc>
        <w:tc>
          <w:tcPr>
            <w:tcW w:w="720" w:type="dxa"/>
            <w:tcBorders>
              <w:top w:val="single" w:sz="6" w:space="0" w:color="auto"/>
              <w:left w:val="single" w:sz="6" w:space="0" w:color="auto"/>
              <w:bottom w:val="single" w:sz="12" w:space="0" w:color="auto"/>
              <w:right w:val="single" w:sz="6" w:space="0" w:color="auto"/>
            </w:tcBorders>
            <w:vAlign w:val="center"/>
          </w:tcPr>
          <w:p w14:paraId="3855FD1E" w14:textId="77777777" w:rsidR="0067083C" w:rsidRPr="0067083C" w:rsidRDefault="0067083C" w:rsidP="0067083C">
            <w:pPr>
              <w:jc w:val="center"/>
              <w:rPr>
                <w:sz w:val="18"/>
                <w:szCs w:val="18"/>
                <w:lang w:val="en-GB" w:bidi="th-TH"/>
              </w:rPr>
            </w:pPr>
            <w:r w:rsidRPr="0067083C">
              <w:rPr>
                <w:sz w:val="18"/>
                <w:szCs w:val="18"/>
                <w:lang w:val="en-GB" w:bidi="th-TH"/>
              </w:rPr>
              <w:t>6</w:t>
            </w:r>
          </w:p>
        </w:tc>
        <w:tc>
          <w:tcPr>
            <w:tcW w:w="810" w:type="dxa"/>
            <w:tcBorders>
              <w:top w:val="single" w:sz="6" w:space="0" w:color="auto"/>
              <w:left w:val="single" w:sz="6" w:space="0" w:color="auto"/>
              <w:bottom w:val="single" w:sz="12" w:space="0" w:color="auto"/>
              <w:right w:val="single" w:sz="6" w:space="0" w:color="auto"/>
            </w:tcBorders>
            <w:vAlign w:val="center"/>
          </w:tcPr>
          <w:p w14:paraId="55DC49E7" w14:textId="77777777" w:rsidR="0067083C" w:rsidRPr="0067083C" w:rsidRDefault="0067083C" w:rsidP="0067083C">
            <w:pPr>
              <w:jc w:val="center"/>
              <w:rPr>
                <w:sz w:val="18"/>
                <w:szCs w:val="18"/>
                <w:lang w:val="en-GB" w:bidi="th-TH"/>
              </w:rPr>
            </w:pPr>
            <w:r w:rsidRPr="0067083C">
              <w:rPr>
                <w:sz w:val="18"/>
                <w:szCs w:val="18"/>
                <w:lang w:val="en-GB" w:bidi="th-TH"/>
              </w:rPr>
              <w:t>0.196</w:t>
            </w:r>
          </w:p>
        </w:tc>
        <w:tc>
          <w:tcPr>
            <w:tcW w:w="720" w:type="dxa"/>
            <w:tcBorders>
              <w:top w:val="single" w:sz="6" w:space="0" w:color="auto"/>
              <w:left w:val="single" w:sz="6" w:space="0" w:color="auto"/>
              <w:bottom w:val="single" w:sz="12" w:space="0" w:color="auto"/>
              <w:right w:val="single" w:sz="6" w:space="0" w:color="auto"/>
            </w:tcBorders>
            <w:vAlign w:val="center"/>
          </w:tcPr>
          <w:p w14:paraId="7F0C133B" w14:textId="77777777" w:rsidR="0067083C" w:rsidRPr="0067083C" w:rsidRDefault="0067083C" w:rsidP="0067083C">
            <w:pPr>
              <w:jc w:val="center"/>
              <w:rPr>
                <w:sz w:val="18"/>
                <w:szCs w:val="18"/>
                <w:lang w:val="en-GB" w:bidi="th-TH"/>
              </w:rPr>
            </w:pPr>
            <w:r w:rsidRPr="0067083C">
              <w:rPr>
                <w:sz w:val="18"/>
                <w:szCs w:val="18"/>
                <w:lang w:val="en-GB" w:bidi="th-TH"/>
              </w:rPr>
              <w:t>3</w:t>
            </w:r>
          </w:p>
        </w:tc>
        <w:tc>
          <w:tcPr>
            <w:tcW w:w="810" w:type="dxa"/>
            <w:tcBorders>
              <w:top w:val="single" w:sz="6" w:space="0" w:color="auto"/>
              <w:left w:val="single" w:sz="6" w:space="0" w:color="auto"/>
              <w:bottom w:val="single" w:sz="12" w:space="0" w:color="auto"/>
              <w:right w:val="single" w:sz="6" w:space="0" w:color="auto"/>
            </w:tcBorders>
            <w:vAlign w:val="center"/>
          </w:tcPr>
          <w:p w14:paraId="0D4AC95B" w14:textId="77777777" w:rsidR="0067083C" w:rsidRPr="0067083C" w:rsidRDefault="0067083C" w:rsidP="0067083C">
            <w:pPr>
              <w:jc w:val="center"/>
              <w:rPr>
                <w:sz w:val="18"/>
                <w:szCs w:val="18"/>
                <w:lang w:val="en-GB" w:bidi="th-TH"/>
              </w:rPr>
            </w:pPr>
            <w:r w:rsidRPr="0067083C">
              <w:rPr>
                <w:sz w:val="18"/>
                <w:szCs w:val="18"/>
                <w:lang w:val="en-GB" w:bidi="th-TH"/>
              </w:rPr>
              <w:t>0.517</w:t>
            </w:r>
          </w:p>
        </w:tc>
        <w:tc>
          <w:tcPr>
            <w:tcW w:w="810" w:type="dxa"/>
            <w:tcBorders>
              <w:top w:val="single" w:sz="6" w:space="0" w:color="auto"/>
              <w:left w:val="single" w:sz="6" w:space="0" w:color="auto"/>
              <w:bottom w:val="single" w:sz="12" w:space="0" w:color="auto"/>
              <w:right w:val="single" w:sz="6" w:space="0" w:color="auto"/>
            </w:tcBorders>
            <w:vAlign w:val="center"/>
          </w:tcPr>
          <w:p w14:paraId="091B528C" w14:textId="77777777" w:rsidR="0067083C" w:rsidRPr="0067083C" w:rsidRDefault="0067083C" w:rsidP="0067083C">
            <w:pPr>
              <w:jc w:val="center"/>
              <w:rPr>
                <w:bCs/>
                <w:sz w:val="18"/>
                <w:szCs w:val="18"/>
                <w:highlight w:val="green"/>
                <w:lang w:val="en-GB" w:bidi="th-TH"/>
              </w:rPr>
            </w:pPr>
            <w:r w:rsidRPr="0067083C">
              <w:rPr>
                <w:bCs/>
                <w:sz w:val="18"/>
                <w:szCs w:val="18"/>
                <w:lang w:val="en-GB" w:bidi="th-TH"/>
              </w:rPr>
              <w:t>4.49</w:t>
            </w:r>
          </w:p>
        </w:tc>
        <w:tc>
          <w:tcPr>
            <w:tcW w:w="900" w:type="dxa"/>
            <w:tcBorders>
              <w:top w:val="single" w:sz="6" w:space="0" w:color="auto"/>
              <w:left w:val="single" w:sz="6" w:space="0" w:color="auto"/>
              <w:bottom w:val="single" w:sz="12" w:space="0" w:color="auto"/>
              <w:right w:val="single" w:sz="12" w:space="0" w:color="auto"/>
            </w:tcBorders>
            <w:vAlign w:val="center"/>
          </w:tcPr>
          <w:p w14:paraId="783A77F5" w14:textId="77777777" w:rsidR="0067083C" w:rsidRPr="0067083C" w:rsidRDefault="0067083C" w:rsidP="0067083C">
            <w:pPr>
              <w:jc w:val="center"/>
              <w:rPr>
                <w:b/>
                <w:bCs/>
                <w:sz w:val="18"/>
                <w:szCs w:val="18"/>
                <w:lang w:val="en-GB" w:bidi="th-TH"/>
              </w:rPr>
            </w:pPr>
            <w:r w:rsidRPr="0067083C">
              <w:rPr>
                <w:b/>
                <w:bCs/>
                <w:sz w:val="18"/>
                <w:szCs w:val="18"/>
                <w:lang w:val="en-GB" w:bidi="th-TH"/>
              </w:rPr>
              <w:t>6</w:t>
            </w:r>
          </w:p>
        </w:tc>
      </w:tr>
    </w:tbl>
    <w:p w14:paraId="355E7505" w14:textId="77777777" w:rsidR="0067083C" w:rsidRPr="0067083C" w:rsidRDefault="0067083C" w:rsidP="0067083C">
      <w:pPr>
        <w:rPr>
          <w:rFonts w:cs="Angsana New"/>
          <w:bCs/>
          <w:lang w:val="en-GB" w:bidi="th-TH"/>
        </w:rPr>
      </w:pPr>
    </w:p>
    <w:p w14:paraId="03BC1437" w14:textId="77777777" w:rsidR="0067083C" w:rsidRDefault="0067083C" w:rsidP="0067083C">
      <w:pPr>
        <w:spacing w:after="120"/>
        <w:jc w:val="both"/>
        <w:rPr>
          <w:rFonts w:cs="Angsana New"/>
          <w:sz w:val="22"/>
          <w:szCs w:val="22"/>
          <w:lang w:val="en-GB" w:bidi="th-TH"/>
        </w:rPr>
        <w:sectPr w:rsidR="0067083C" w:rsidSect="00064925">
          <w:pgSz w:w="15840" w:h="12240" w:orient="landscape" w:code="1"/>
          <w:pgMar w:top="1584" w:right="1440" w:bottom="1584" w:left="1440" w:header="706" w:footer="706" w:gutter="0"/>
          <w:cols w:space="708"/>
          <w:docGrid w:linePitch="360"/>
        </w:sectPr>
      </w:pPr>
    </w:p>
    <w:p w14:paraId="61603BD3" w14:textId="77777777" w:rsidR="006B6786" w:rsidRPr="006B6786" w:rsidRDefault="006B6786" w:rsidP="006B6786">
      <w:pPr>
        <w:snapToGrid w:val="0"/>
        <w:spacing w:after="120"/>
        <w:jc w:val="both"/>
        <w:rPr>
          <w:bCs/>
          <w:sz w:val="21"/>
          <w:szCs w:val="21"/>
          <w:lang w:val="en-GB"/>
        </w:rPr>
      </w:pPr>
      <w:r w:rsidRPr="00796B4F">
        <w:rPr>
          <w:b/>
          <w:bCs/>
          <w:sz w:val="21"/>
          <w:szCs w:val="21"/>
          <w:lang w:val="en-GB"/>
        </w:rPr>
        <w:t>Table 1</w:t>
      </w:r>
      <w:r w:rsidR="00796B4F" w:rsidRPr="00796B4F">
        <w:rPr>
          <w:b/>
          <w:bCs/>
          <w:sz w:val="21"/>
          <w:szCs w:val="21"/>
          <w:lang w:val="en-GB"/>
        </w:rPr>
        <w:t>5</w:t>
      </w:r>
      <w:r w:rsidR="00796B4F">
        <w:rPr>
          <w:bCs/>
          <w:sz w:val="21"/>
          <w:szCs w:val="21"/>
          <w:lang w:val="en-GB"/>
        </w:rPr>
        <w:tab/>
      </w:r>
      <w:r w:rsidRPr="006B6786">
        <w:rPr>
          <w:bCs/>
          <w:sz w:val="21"/>
          <w:szCs w:val="21"/>
          <w:lang w:val="en-GB"/>
        </w:rPr>
        <w:t xml:space="preserve">Checklist of the Impacts of Land-based Pollution in </w:t>
      </w:r>
      <w:r>
        <w:rPr>
          <w:bCs/>
          <w:sz w:val="21"/>
          <w:szCs w:val="21"/>
          <w:lang w:val="en-GB"/>
        </w:rPr>
        <w:t xml:space="preserve">SCS </w:t>
      </w:r>
      <w:r w:rsidR="003B7C13">
        <w:rPr>
          <w:bCs/>
          <w:sz w:val="21"/>
          <w:szCs w:val="21"/>
          <w:lang w:val="en-GB"/>
        </w:rPr>
        <w:t>Coastal Ecosystems</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1548"/>
        <w:gridCol w:w="3739"/>
        <w:gridCol w:w="1061"/>
        <w:gridCol w:w="838"/>
        <w:gridCol w:w="928"/>
        <w:gridCol w:w="928"/>
      </w:tblGrid>
      <w:tr w:rsidR="006B6786" w:rsidRPr="006B6786" w14:paraId="6B081577" w14:textId="77777777" w:rsidTr="00312FD5">
        <w:trPr>
          <w:jc w:val="center"/>
        </w:trPr>
        <w:tc>
          <w:tcPr>
            <w:tcW w:w="1548" w:type="dxa"/>
            <w:tcBorders>
              <w:top w:val="single" w:sz="12" w:space="0" w:color="auto"/>
              <w:bottom w:val="single" w:sz="12" w:space="0" w:color="auto"/>
            </w:tcBorders>
          </w:tcPr>
          <w:p w14:paraId="43E3F02F" w14:textId="77777777" w:rsidR="006B6786" w:rsidRPr="006B6786" w:rsidRDefault="006B6786" w:rsidP="006B6786">
            <w:pPr>
              <w:jc w:val="center"/>
              <w:rPr>
                <w:rFonts w:ascii="Arial" w:hAnsi="Arial" w:cs="Angsana New"/>
                <w:b/>
                <w:sz w:val="16"/>
                <w:szCs w:val="16"/>
                <w:lang w:val="en-GB"/>
              </w:rPr>
            </w:pPr>
            <w:r w:rsidRPr="006B6786">
              <w:rPr>
                <w:rFonts w:ascii="Arial" w:hAnsi="Arial" w:cs="Angsana New"/>
                <w:b/>
                <w:sz w:val="16"/>
                <w:szCs w:val="16"/>
                <w:lang w:val="en-GB"/>
              </w:rPr>
              <w:t>Contaminant</w:t>
            </w:r>
          </w:p>
        </w:tc>
        <w:tc>
          <w:tcPr>
            <w:tcW w:w="0" w:type="auto"/>
            <w:tcBorders>
              <w:top w:val="single" w:sz="12" w:space="0" w:color="auto"/>
              <w:bottom w:val="single" w:sz="12" w:space="0" w:color="auto"/>
            </w:tcBorders>
          </w:tcPr>
          <w:p w14:paraId="1A820F72" w14:textId="77777777" w:rsidR="006B6786" w:rsidRPr="006B6786" w:rsidRDefault="006B6786" w:rsidP="006B6786">
            <w:pPr>
              <w:keepNext/>
              <w:snapToGrid w:val="0"/>
              <w:jc w:val="center"/>
              <w:outlineLvl w:val="0"/>
              <w:rPr>
                <w:rFonts w:ascii="Arial" w:hAnsi="Arial" w:cs="Angsana New"/>
                <w:b/>
                <w:bCs/>
                <w:caps/>
                <w:kern w:val="32"/>
                <w:sz w:val="16"/>
                <w:szCs w:val="16"/>
                <w:lang w:val="en-GB"/>
              </w:rPr>
            </w:pPr>
            <w:bookmarkStart w:id="62" w:name="_Toc105204420"/>
            <w:bookmarkStart w:id="63" w:name="_Toc182807181"/>
            <w:r w:rsidRPr="006B6786">
              <w:rPr>
                <w:rFonts w:ascii="Arial" w:hAnsi="Arial" w:cs="Angsana New"/>
                <w:b/>
                <w:bCs/>
                <w:caps/>
                <w:kern w:val="32"/>
                <w:sz w:val="16"/>
                <w:szCs w:val="16"/>
                <w:lang w:val="en-GB"/>
              </w:rPr>
              <w:t>Impacts</w:t>
            </w:r>
            <w:bookmarkEnd w:id="62"/>
            <w:bookmarkEnd w:id="63"/>
          </w:p>
        </w:tc>
        <w:tc>
          <w:tcPr>
            <w:tcW w:w="0" w:type="auto"/>
            <w:tcBorders>
              <w:top w:val="single" w:sz="12" w:space="0" w:color="auto"/>
              <w:bottom w:val="single" w:sz="12" w:space="0" w:color="auto"/>
            </w:tcBorders>
          </w:tcPr>
          <w:p w14:paraId="0A975020" w14:textId="77777777" w:rsidR="006B6786" w:rsidRPr="006B6786" w:rsidRDefault="006B6786" w:rsidP="006B6786">
            <w:pPr>
              <w:jc w:val="center"/>
              <w:rPr>
                <w:rFonts w:ascii="Arial" w:hAnsi="Arial" w:cs="Angsana New"/>
                <w:b/>
                <w:sz w:val="16"/>
                <w:szCs w:val="16"/>
                <w:lang w:val="en-GB"/>
              </w:rPr>
            </w:pPr>
            <w:r w:rsidRPr="006B6786">
              <w:rPr>
                <w:rFonts w:ascii="Arial" w:hAnsi="Arial" w:cs="Angsana New"/>
                <w:b/>
                <w:sz w:val="16"/>
                <w:szCs w:val="16"/>
                <w:lang w:val="en-GB"/>
              </w:rPr>
              <w:t>Mangroves</w:t>
            </w:r>
          </w:p>
        </w:tc>
        <w:tc>
          <w:tcPr>
            <w:tcW w:w="0" w:type="auto"/>
            <w:tcBorders>
              <w:top w:val="single" w:sz="12" w:space="0" w:color="auto"/>
              <w:bottom w:val="single" w:sz="12" w:space="0" w:color="auto"/>
            </w:tcBorders>
          </w:tcPr>
          <w:p w14:paraId="69E98894" w14:textId="77777777" w:rsidR="006B6786" w:rsidRPr="006B6786" w:rsidRDefault="006B6786" w:rsidP="006B6786">
            <w:pPr>
              <w:ind w:right="-108" w:hanging="93"/>
              <w:jc w:val="center"/>
              <w:rPr>
                <w:rFonts w:ascii="Arial" w:hAnsi="Arial" w:cs="Angsana New"/>
                <w:b/>
                <w:sz w:val="16"/>
                <w:szCs w:val="16"/>
                <w:lang w:val="en-GB"/>
              </w:rPr>
            </w:pPr>
            <w:r w:rsidRPr="006B6786">
              <w:rPr>
                <w:rFonts w:ascii="Arial" w:hAnsi="Arial" w:cs="Angsana New"/>
                <w:b/>
                <w:sz w:val="16"/>
                <w:szCs w:val="16"/>
                <w:lang w:val="en-GB"/>
              </w:rPr>
              <w:t>Coral Reefs</w:t>
            </w:r>
          </w:p>
        </w:tc>
        <w:tc>
          <w:tcPr>
            <w:tcW w:w="0" w:type="auto"/>
            <w:tcBorders>
              <w:top w:val="single" w:sz="12" w:space="0" w:color="auto"/>
              <w:bottom w:val="single" w:sz="12" w:space="0" w:color="auto"/>
            </w:tcBorders>
          </w:tcPr>
          <w:p w14:paraId="3F29955E" w14:textId="77777777" w:rsidR="006B6786" w:rsidRPr="006B6786" w:rsidRDefault="006B6786" w:rsidP="006B6786">
            <w:pPr>
              <w:jc w:val="center"/>
              <w:rPr>
                <w:rFonts w:ascii="Arial" w:hAnsi="Arial" w:cs="Angsana New"/>
                <w:b/>
                <w:sz w:val="16"/>
                <w:szCs w:val="16"/>
                <w:lang w:val="en-GB"/>
              </w:rPr>
            </w:pPr>
            <w:r w:rsidRPr="006B6786">
              <w:rPr>
                <w:rFonts w:ascii="Arial" w:hAnsi="Arial" w:cs="Angsana New"/>
                <w:b/>
                <w:sz w:val="16"/>
                <w:szCs w:val="16"/>
                <w:lang w:val="en-GB"/>
              </w:rPr>
              <w:t>Seagrass</w:t>
            </w:r>
          </w:p>
        </w:tc>
        <w:tc>
          <w:tcPr>
            <w:tcW w:w="0" w:type="auto"/>
            <w:tcBorders>
              <w:top w:val="single" w:sz="12" w:space="0" w:color="auto"/>
              <w:bottom w:val="single" w:sz="12" w:space="0" w:color="auto"/>
            </w:tcBorders>
          </w:tcPr>
          <w:p w14:paraId="39541DCD" w14:textId="77777777" w:rsidR="006B6786" w:rsidRPr="006B6786" w:rsidRDefault="006B6786" w:rsidP="006B6786">
            <w:pPr>
              <w:jc w:val="center"/>
              <w:rPr>
                <w:rFonts w:ascii="Arial" w:hAnsi="Arial" w:cs="Angsana New"/>
                <w:b/>
                <w:sz w:val="16"/>
                <w:szCs w:val="16"/>
                <w:lang w:val="en-GB"/>
              </w:rPr>
            </w:pPr>
            <w:r w:rsidRPr="006B6786">
              <w:rPr>
                <w:rFonts w:ascii="Arial" w:hAnsi="Arial" w:cs="Angsana New"/>
                <w:b/>
                <w:sz w:val="16"/>
                <w:szCs w:val="16"/>
                <w:lang w:val="en-GB"/>
              </w:rPr>
              <w:t>Wetlands</w:t>
            </w:r>
          </w:p>
        </w:tc>
      </w:tr>
      <w:tr w:rsidR="006B6786" w:rsidRPr="006B6786" w14:paraId="0F50EA96" w14:textId="77777777" w:rsidTr="00312FD5">
        <w:trPr>
          <w:jc w:val="center"/>
        </w:trPr>
        <w:tc>
          <w:tcPr>
            <w:tcW w:w="1548" w:type="dxa"/>
            <w:tcBorders>
              <w:top w:val="single" w:sz="12" w:space="0" w:color="auto"/>
            </w:tcBorders>
          </w:tcPr>
          <w:p w14:paraId="302C67D3" w14:textId="77777777" w:rsidR="006B6786" w:rsidRPr="006B6786" w:rsidRDefault="006B6786" w:rsidP="006B6786">
            <w:pPr>
              <w:rPr>
                <w:rFonts w:ascii="Arial" w:hAnsi="Arial" w:cs="Angsana New"/>
                <w:b/>
                <w:bCs/>
                <w:sz w:val="16"/>
                <w:szCs w:val="16"/>
                <w:lang w:val="en-GB"/>
              </w:rPr>
            </w:pPr>
            <w:r w:rsidRPr="006B6786">
              <w:rPr>
                <w:rFonts w:ascii="Arial" w:hAnsi="Arial" w:cs="Angsana New"/>
                <w:b/>
                <w:bCs/>
                <w:sz w:val="16"/>
                <w:szCs w:val="16"/>
                <w:lang w:val="en-GB"/>
              </w:rPr>
              <w:t>Heavy metals</w:t>
            </w:r>
          </w:p>
        </w:tc>
        <w:tc>
          <w:tcPr>
            <w:tcW w:w="0" w:type="auto"/>
            <w:tcBorders>
              <w:top w:val="single" w:sz="12" w:space="0" w:color="auto"/>
            </w:tcBorders>
            <w:vAlign w:val="center"/>
          </w:tcPr>
          <w:p w14:paraId="3297CB37"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Water quality</w:t>
            </w:r>
          </w:p>
          <w:p w14:paraId="045BD45A"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Reduced reproductive capacity in molluscs</w:t>
            </w:r>
          </w:p>
          <w:p w14:paraId="51EE2C3A"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Contamination of human food sources</w:t>
            </w:r>
          </w:p>
          <w:p w14:paraId="39239B5E"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Bio-accumulation</w:t>
            </w:r>
          </w:p>
        </w:tc>
        <w:tc>
          <w:tcPr>
            <w:tcW w:w="0" w:type="auto"/>
            <w:tcBorders>
              <w:top w:val="single" w:sz="12" w:space="0" w:color="auto"/>
            </w:tcBorders>
            <w:vAlign w:val="center"/>
          </w:tcPr>
          <w:p w14:paraId="260C2703"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3B416AF8"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57B16D81"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4CC2DDA8"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tcBorders>
              <w:top w:val="single" w:sz="12" w:space="0" w:color="auto"/>
            </w:tcBorders>
            <w:vAlign w:val="center"/>
          </w:tcPr>
          <w:p w14:paraId="6ABE502B"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22166F2B"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51B38D87"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704943C4"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tcBorders>
              <w:top w:val="single" w:sz="12" w:space="0" w:color="auto"/>
            </w:tcBorders>
            <w:vAlign w:val="center"/>
          </w:tcPr>
          <w:p w14:paraId="45B99A3B"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7C5EB627"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587EE583"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1737A96F"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tcBorders>
              <w:top w:val="single" w:sz="12" w:space="0" w:color="auto"/>
            </w:tcBorders>
            <w:vAlign w:val="center"/>
          </w:tcPr>
          <w:p w14:paraId="4D6BCECE"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3BE9999D"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0BB701A4"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06C6AFBF"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r>
      <w:tr w:rsidR="006B6786" w:rsidRPr="006B6786" w14:paraId="3B6A9D79" w14:textId="77777777" w:rsidTr="00312FD5">
        <w:trPr>
          <w:jc w:val="center"/>
        </w:trPr>
        <w:tc>
          <w:tcPr>
            <w:tcW w:w="1548" w:type="dxa"/>
          </w:tcPr>
          <w:p w14:paraId="2E4438D0" w14:textId="77777777" w:rsidR="006B6786" w:rsidRPr="006B6786" w:rsidRDefault="006B6786" w:rsidP="006B6786">
            <w:pPr>
              <w:rPr>
                <w:rFonts w:ascii="Arial" w:hAnsi="Arial" w:cs="Angsana New"/>
                <w:b/>
                <w:bCs/>
                <w:sz w:val="16"/>
                <w:szCs w:val="16"/>
                <w:lang w:val="en-GB"/>
              </w:rPr>
            </w:pPr>
            <w:r w:rsidRPr="006B6786">
              <w:rPr>
                <w:rFonts w:ascii="Arial" w:hAnsi="Arial" w:cs="Angsana New"/>
                <w:b/>
                <w:bCs/>
                <w:sz w:val="16"/>
                <w:szCs w:val="16"/>
                <w:lang w:val="en-GB"/>
              </w:rPr>
              <w:t>Organic matter</w:t>
            </w:r>
          </w:p>
        </w:tc>
        <w:tc>
          <w:tcPr>
            <w:tcW w:w="0" w:type="auto"/>
            <w:vAlign w:val="center"/>
          </w:tcPr>
          <w:p w14:paraId="0A443F82"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Water quality - Increased turbidity</w:t>
            </w:r>
          </w:p>
        </w:tc>
        <w:tc>
          <w:tcPr>
            <w:tcW w:w="0" w:type="auto"/>
            <w:vAlign w:val="center"/>
          </w:tcPr>
          <w:p w14:paraId="77451DB0"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3190E35F"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1E6F85DC"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376F144D"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r>
      <w:tr w:rsidR="006B6786" w:rsidRPr="006B6786" w14:paraId="403AB3B8" w14:textId="77777777" w:rsidTr="00312FD5">
        <w:trPr>
          <w:jc w:val="center"/>
        </w:trPr>
        <w:tc>
          <w:tcPr>
            <w:tcW w:w="1548" w:type="dxa"/>
          </w:tcPr>
          <w:p w14:paraId="0427FA16" w14:textId="77777777" w:rsidR="006B6786" w:rsidRPr="006B6786" w:rsidRDefault="006B6786" w:rsidP="006B6786">
            <w:pPr>
              <w:rPr>
                <w:rFonts w:ascii="Arial" w:hAnsi="Arial" w:cs="Angsana New"/>
                <w:b/>
                <w:bCs/>
                <w:sz w:val="16"/>
                <w:szCs w:val="16"/>
                <w:lang w:val="en-GB"/>
              </w:rPr>
            </w:pPr>
            <w:r w:rsidRPr="006B6786">
              <w:rPr>
                <w:rFonts w:ascii="Arial" w:hAnsi="Arial" w:cs="Angsana New"/>
                <w:b/>
                <w:bCs/>
                <w:sz w:val="16"/>
                <w:szCs w:val="16"/>
                <w:lang w:val="en-GB"/>
              </w:rPr>
              <w:t>Nutrients</w:t>
            </w:r>
          </w:p>
        </w:tc>
        <w:tc>
          <w:tcPr>
            <w:tcW w:w="0" w:type="auto"/>
            <w:vAlign w:val="center"/>
          </w:tcPr>
          <w:p w14:paraId="0CB1CA47"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Eutrophication</w:t>
            </w:r>
          </w:p>
          <w:p w14:paraId="1BA9C6AF"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Algal blooms and/or overgrowth</w:t>
            </w:r>
          </w:p>
          <w:p w14:paraId="5B37E696"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Red tides</w:t>
            </w:r>
          </w:p>
          <w:p w14:paraId="0A95FF7B"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Anoxia – fish kills</w:t>
            </w:r>
          </w:p>
          <w:p w14:paraId="3776D63E"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Fish shellfish poisoning</w:t>
            </w:r>
          </w:p>
        </w:tc>
        <w:tc>
          <w:tcPr>
            <w:tcW w:w="0" w:type="auto"/>
            <w:vAlign w:val="center"/>
          </w:tcPr>
          <w:p w14:paraId="6505EA14"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2EF1EE23"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12498BA3"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2A7E944E"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550C2EA1"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4F65BC77"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0CFC033D"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3B15051D"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30720E17"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2293590E"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09CC399E"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7ACB1978"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5C9CFDD6"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0DC2F4A7"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0B307274"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5CA38011"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0774E14C"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29F3E146"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0C160AE8"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44AD1CE7"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r>
      <w:tr w:rsidR="006B6786" w:rsidRPr="006B6786" w14:paraId="11649CED" w14:textId="77777777" w:rsidTr="00312FD5">
        <w:trPr>
          <w:jc w:val="center"/>
        </w:trPr>
        <w:tc>
          <w:tcPr>
            <w:tcW w:w="1548" w:type="dxa"/>
          </w:tcPr>
          <w:p w14:paraId="270D5F9B" w14:textId="77777777" w:rsidR="006B6786" w:rsidRPr="006B6786" w:rsidRDefault="006B6786" w:rsidP="006B6786">
            <w:pPr>
              <w:rPr>
                <w:rFonts w:ascii="Arial" w:hAnsi="Arial" w:cs="Angsana New"/>
                <w:b/>
                <w:bCs/>
                <w:sz w:val="16"/>
                <w:szCs w:val="16"/>
                <w:lang w:val="en-GB"/>
              </w:rPr>
            </w:pPr>
            <w:r w:rsidRPr="006B6786">
              <w:rPr>
                <w:rFonts w:ascii="Arial" w:hAnsi="Arial" w:cs="Angsana New"/>
                <w:b/>
                <w:bCs/>
                <w:sz w:val="16"/>
                <w:szCs w:val="16"/>
                <w:lang w:val="en-GB"/>
              </w:rPr>
              <w:t>Oil/hydrocarbons</w:t>
            </w:r>
          </w:p>
        </w:tc>
        <w:tc>
          <w:tcPr>
            <w:tcW w:w="0" w:type="auto"/>
            <w:vAlign w:val="center"/>
          </w:tcPr>
          <w:p w14:paraId="471974E8"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Contamination/tainting of aquaculture and wild fish</w:t>
            </w:r>
          </w:p>
          <w:p w14:paraId="36A6B994"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Extreme spills smothering of organisms</w:t>
            </w:r>
          </w:p>
          <w:p w14:paraId="352A3FAD"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Water quality</w:t>
            </w:r>
          </w:p>
        </w:tc>
        <w:tc>
          <w:tcPr>
            <w:tcW w:w="0" w:type="auto"/>
            <w:vAlign w:val="center"/>
          </w:tcPr>
          <w:p w14:paraId="30D9B2AE"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2AA88718" w14:textId="77777777" w:rsidR="006B6786" w:rsidRPr="006B6786" w:rsidRDefault="006B6786" w:rsidP="006B6786">
            <w:pPr>
              <w:jc w:val="center"/>
              <w:rPr>
                <w:rFonts w:ascii="Arial" w:hAnsi="Arial" w:cs="Angsana New"/>
                <w:bCs/>
                <w:sz w:val="16"/>
                <w:szCs w:val="16"/>
                <w:lang w:val="en-GB"/>
              </w:rPr>
            </w:pPr>
          </w:p>
          <w:p w14:paraId="1E535AF1"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7ED4A45E"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3EB29BAA"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650AA9CA" w14:textId="77777777" w:rsidR="006B6786" w:rsidRPr="006B6786" w:rsidRDefault="006B6786" w:rsidP="006B6786">
            <w:pPr>
              <w:jc w:val="center"/>
              <w:rPr>
                <w:rFonts w:ascii="Arial" w:hAnsi="Arial" w:cs="Angsana New"/>
                <w:bCs/>
                <w:sz w:val="16"/>
                <w:szCs w:val="16"/>
                <w:lang w:val="en-GB"/>
              </w:rPr>
            </w:pPr>
          </w:p>
          <w:p w14:paraId="65208CD6"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2CC7E182"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0B23040F"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595F6008" w14:textId="77777777" w:rsidR="006B6786" w:rsidRPr="006B6786" w:rsidRDefault="006B6786" w:rsidP="006B6786">
            <w:pPr>
              <w:jc w:val="center"/>
              <w:rPr>
                <w:rFonts w:ascii="Arial" w:hAnsi="Arial" w:cs="Angsana New"/>
                <w:bCs/>
                <w:sz w:val="16"/>
                <w:szCs w:val="16"/>
                <w:lang w:val="en-GB"/>
              </w:rPr>
            </w:pPr>
          </w:p>
          <w:p w14:paraId="3AF3EFAB"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3B3E4804"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5F5D9393"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23F34B3E" w14:textId="77777777" w:rsidR="006B6786" w:rsidRPr="006B6786" w:rsidRDefault="006B6786" w:rsidP="006B6786">
            <w:pPr>
              <w:jc w:val="center"/>
              <w:rPr>
                <w:rFonts w:ascii="Arial" w:hAnsi="Arial" w:cs="Angsana New"/>
                <w:bCs/>
                <w:sz w:val="16"/>
                <w:szCs w:val="16"/>
                <w:lang w:val="en-GB"/>
              </w:rPr>
            </w:pPr>
          </w:p>
          <w:p w14:paraId="479A3F06"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0370972F"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r>
      <w:tr w:rsidR="006B6786" w:rsidRPr="006B6786" w14:paraId="0B82CE6F" w14:textId="77777777" w:rsidTr="00312FD5">
        <w:trPr>
          <w:jc w:val="center"/>
        </w:trPr>
        <w:tc>
          <w:tcPr>
            <w:tcW w:w="1548" w:type="dxa"/>
          </w:tcPr>
          <w:p w14:paraId="5BE4E213" w14:textId="77777777" w:rsidR="006B6786" w:rsidRPr="006B6786" w:rsidRDefault="006B6786" w:rsidP="006B6786">
            <w:pPr>
              <w:rPr>
                <w:rFonts w:ascii="Arial" w:hAnsi="Arial" w:cs="Angsana New"/>
                <w:b/>
                <w:bCs/>
                <w:sz w:val="16"/>
                <w:szCs w:val="16"/>
                <w:lang w:val="en-GB"/>
              </w:rPr>
            </w:pPr>
            <w:r w:rsidRPr="006B6786">
              <w:rPr>
                <w:rFonts w:ascii="Arial" w:hAnsi="Arial" w:cs="Angsana New"/>
                <w:b/>
                <w:bCs/>
                <w:sz w:val="16"/>
                <w:szCs w:val="16"/>
                <w:lang w:val="en-GB"/>
              </w:rPr>
              <w:t>Sediments</w:t>
            </w:r>
          </w:p>
        </w:tc>
        <w:tc>
          <w:tcPr>
            <w:tcW w:w="0" w:type="auto"/>
          </w:tcPr>
          <w:p w14:paraId="76C1D2A8"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Smothering of coral reefs, seagrass, and mangrove pneumatophores</w:t>
            </w:r>
          </w:p>
          <w:p w14:paraId="04BB7C7C"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 xml:space="preserve">Reduced light penetration from increased turbidity leading to reduced primary production </w:t>
            </w:r>
          </w:p>
          <w:p w14:paraId="27A3417E"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Water quality</w:t>
            </w:r>
          </w:p>
          <w:p w14:paraId="3D144B33"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Change of water depth</w:t>
            </w:r>
          </w:p>
          <w:p w14:paraId="4E95C7DB"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Change of species composition in the benthic community</w:t>
            </w:r>
          </w:p>
        </w:tc>
        <w:tc>
          <w:tcPr>
            <w:tcW w:w="0" w:type="auto"/>
          </w:tcPr>
          <w:p w14:paraId="6320FEB6"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03D88A60" w14:textId="77777777" w:rsidR="006B6786" w:rsidRPr="006B6786" w:rsidRDefault="006B6786" w:rsidP="006B6786">
            <w:pPr>
              <w:jc w:val="center"/>
              <w:rPr>
                <w:rFonts w:ascii="Arial" w:hAnsi="Arial" w:cs="Angsana New"/>
                <w:bCs/>
                <w:sz w:val="16"/>
                <w:szCs w:val="16"/>
                <w:lang w:val="en-GB"/>
              </w:rPr>
            </w:pPr>
          </w:p>
          <w:p w14:paraId="25413AD3"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527A8219" w14:textId="77777777" w:rsidR="006B6786" w:rsidRPr="006B6786" w:rsidRDefault="006B6786" w:rsidP="006B6786">
            <w:pPr>
              <w:jc w:val="center"/>
              <w:rPr>
                <w:rFonts w:ascii="Arial" w:hAnsi="Arial" w:cs="Angsana New"/>
                <w:bCs/>
                <w:sz w:val="16"/>
                <w:szCs w:val="16"/>
                <w:lang w:val="en-GB"/>
              </w:rPr>
            </w:pPr>
          </w:p>
          <w:p w14:paraId="40DDE3EE"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1B7DFC0D"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4B3B495A"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3C79D83D" w14:textId="77777777" w:rsidR="006B6786" w:rsidRPr="006B6786" w:rsidRDefault="006B6786" w:rsidP="006B6786">
            <w:pPr>
              <w:jc w:val="center"/>
              <w:rPr>
                <w:rFonts w:ascii="Arial" w:hAnsi="Arial" w:cs="Angsana New"/>
                <w:bCs/>
                <w:sz w:val="16"/>
                <w:szCs w:val="16"/>
                <w:lang w:val="en-GB"/>
              </w:rPr>
            </w:pPr>
          </w:p>
        </w:tc>
        <w:tc>
          <w:tcPr>
            <w:tcW w:w="0" w:type="auto"/>
          </w:tcPr>
          <w:p w14:paraId="29696E22"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4CB2DD40" w14:textId="77777777" w:rsidR="006B6786" w:rsidRPr="006B6786" w:rsidRDefault="006B6786" w:rsidP="006B6786">
            <w:pPr>
              <w:jc w:val="center"/>
              <w:rPr>
                <w:rFonts w:ascii="Arial" w:hAnsi="Arial" w:cs="Angsana New"/>
                <w:bCs/>
                <w:sz w:val="16"/>
                <w:szCs w:val="16"/>
                <w:lang w:val="en-GB"/>
              </w:rPr>
            </w:pPr>
          </w:p>
          <w:p w14:paraId="04DEC45C"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711FA44F" w14:textId="77777777" w:rsidR="006B6786" w:rsidRPr="006B6786" w:rsidRDefault="006B6786" w:rsidP="006B6786">
            <w:pPr>
              <w:jc w:val="center"/>
              <w:rPr>
                <w:rFonts w:ascii="Arial" w:hAnsi="Arial" w:cs="Angsana New"/>
                <w:bCs/>
                <w:sz w:val="16"/>
                <w:szCs w:val="16"/>
                <w:lang w:val="en-GB"/>
              </w:rPr>
            </w:pPr>
          </w:p>
          <w:p w14:paraId="65EF4EF4"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28B4C1FB"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39827DC5"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5E1FC243" w14:textId="77777777" w:rsidR="006B6786" w:rsidRPr="006B6786" w:rsidRDefault="006B6786" w:rsidP="006B6786">
            <w:pPr>
              <w:jc w:val="center"/>
              <w:rPr>
                <w:rFonts w:ascii="Arial" w:hAnsi="Arial" w:cs="Angsana New"/>
                <w:bCs/>
                <w:sz w:val="16"/>
                <w:szCs w:val="16"/>
                <w:lang w:val="en-GB"/>
              </w:rPr>
            </w:pPr>
          </w:p>
        </w:tc>
        <w:tc>
          <w:tcPr>
            <w:tcW w:w="0" w:type="auto"/>
          </w:tcPr>
          <w:p w14:paraId="036C5A10"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6EC7C37E" w14:textId="77777777" w:rsidR="006B6786" w:rsidRPr="006B6786" w:rsidRDefault="006B6786" w:rsidP="006B6786">
            <w:pPr>
              <w:jc w:val="center"/>
              <w:rPr>
                <w:rFonts w:ascii="Arial" w:hAnsi="Arial" w:cs="Angsana New"/>
                <w:bCs/>
                <w:sz w:val="16"/>
                <w:szCs w:val="16"/>
                <w:lang w:val="en-GB"/>
              </w:rPr>
            </w:pPr>
          </w:p>
          <w:p w14:paraId="00A3B502"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2363C780" w14:textId="77777777" w:rsidR="006B6786" w:rsidRPr="006B6786" w:rsidRDefault="006B6786" w:rsidP="006B6786">
            <w:pPr>
              <w:jc w:val="center"/>
              <w:rPr>
                <w:rFonts w:ascii="Arial" w:hAnsi="Arial" w:cs="Angsana New"/>
                <w:bCs/>
                <w:sz w:val="16"/>
                <w:szCs w:val="16"/>
                <w:lang w:val="en-GB"/>
              </w:rPr>
            </w:pPr>
          </w:p>
          <w:p w14:paraId="45E92EB3"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1DB16D06"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3AB02ED6"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14018F4D" w14:textId="77777777" w:rsidR="006B6786" w:rsidRPr="006B6786" w:rsidRDefault="006B6786" w:rsidP="006B6786">
            <w:pPr>
              <w:jc w:val="center"/>
              <w:rPr>
                <w:rFonts w:ascii="Arial" w:hAnsi="Arial" w:cs="Angsana New"/>
                <w:bCs/>
                <w:sz w:val="16"/>
                <w:szCs w:val="16"/>
                <w:lang w:val="en-GB"/>
              </w:rPr>
            </w:pPr>
          </w:p>
        </w:tc>
        <w:tc>
          <w:tcPr>
            <w:tcW w:w="0" w:type="auto"/>
          </w:tcPr>
          <w:p w14:paraId="1AE3425C"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1B757E8B" w14:textId="77777777" w:rsidR="006B6786" w:rsidRPr="006B6786" w:rsidRDefault="006B6786" w:rsidP="006B6786">
            <w:pPr>
              <w:jc w:val="center"/>
              <w:rPr>
                <w:rFonts w:ascii="Arial" w:hAnsi="Arial" w:cs="Angsana New"/>
                <w:bCs/>
                <w:sz w:val="16"/>
                <w:szCs w:val="16"/>
                <w:lang w:val="en-GB"/>
              </w:rPr>
            </w:pPr>
          </w:p>
          <w:p w14:paraId="05845A0A"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417EE64F" w14:textId="77777777" w:rsidR="006B6786" w:rsidRPr="006B6786" w:rsidRDefault="006B6786" w:rsidP="006B6786">
            <w:pPr>
              <w:jc w:val="center"/>
              <w:rPr>
                <w:rFonts w:ascii="Arial" w:hAnsi="Arial" w:cs="Angsana New"/>
                <w:bCs/>
                <w:sz w:val="16"/>
                <w:szCs w:val="16"/>
                <w:lang w:val="en-GB"/>
              </w:rPr>
            </w:pPr>
          </w:p>
          <w:p w14:paraId="3C5632C6"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51E6BA1C"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1B7E9865"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62A91476" w14:textId="77777777" w:rsidR="006B6786" w:rsidRPr="006B6786" w:rsidRDefault="006B6786" w:rsidP="006B6786">
            <w:pPr>
              <w:jc w:val="center"/>
              <w:rPr>
                <w:rFonts w:ascii="Arial" w:hAnsi="Arial" w:cs="Angsana New"/>
                <w:bCs/>
                <w:sz w:val="16"/>
                <w:szCs w:val="16"/>
                <w:lang w:val="en-GB"/>
              </w:rPr>
            </w:pPr>
          </w:p>
        </w:tc>
      </w:tr>
      <w:tr w:rsidR="006B6786" w:rsidRPr="006B6786" w14:paraId="7078FE34" w14:textId="77777777" w:rsidTr="00312FD5">
        <w:trPr>
          <w:jc w:val="center"/>
        </w:trPr>
        <w:tc>
          <w:tcPr>
            <w:tcW w:w="1548" w:type="dxa"/>
          </w:tcPr>
          <w:p w14:paraId="34362A74" w14:textId="77777777" w:rsidR="006B6786" w:rsidRPr="006B6786" w:rsidRDefault="006B6786" w:rsidP="006B6786">
            <w:pPr>
              <w:rPr>
                <w:rFonts w:ascii="Arial" w:hAnsi="Arial" w:cs="Angsana New"/>
                <w:b/>
                <w:bCs/>
                <w:sz w:val="16"/>
                <w:szCs w:val="16"/>
                <w:lang w:val="en-GB"/>
              </w:rPr>
            </w:pPr>
            <w:r w:rsidRPr="006B6786">
              <w:rPr>
                <w:rFonts w:ascii="Arial" w:hAnsi="Arial" w:cs="Angsana New"/>
                <w:b/>
                <w:bCs/>
                <w:sz w:val="16"/>
                <w:szCs w:val="16"/>
                <w:lang w:val="en-GB"/>
              </w:rPr>
              <w:t>POPs</w:t>
            </w:r>
          </w:p>
        </w:tc>
        <w:tc>
          <w:tcPr>
            <w:tcW w:w="0" w:type="auto"/>
            <w:vAlign w:val="center"/>
          </w:tcPr>
          <w:p w14:paraId="1D076B7A"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Water quality</w:t>
            </w:r>
          </w:p>
          <w:p w14:paraId="40B2D7CD"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Contamination of seafood</w:t>
            </w:r>
          </w:p>
          <w:p w14:paraId="280D9AF5"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Reduced fish reproductive capacity</w:t>
            </w:r>
          </w:p>
        </w:tc>
        <w:tc>
          <w:tcPr>
            <w:tcW w:w="0" w:type="auto"/>
            <w:vAlign w:val="center"/>
          </w:tcPr>
          <w:p w14:paraId="2CFE676C"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36D2597A"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3EBF5C7C"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4E4BDF9B"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4FCE1FFD"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31AE0F38"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7D8A96CE"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48C85745"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48C8C46A"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5923E1E2"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509D90F7"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47CF22DB"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r>
      <w:tr w:rsidR="006B6786" w:rsidRPr="006B6786" w14:paraId="634DE702" w14:textId="77777777" w:rsidTr="00312FD5">
        <w:trPr>
          <w:jc w:val="center"/>
        </w:trPr>
        <w:tc>
          <w:tcPr>
            <w:tcW w:w="1548" w:type="dxa"/>
          </w:tcPr>
          <w:p w14:paraId="6CBCF824" w14:textId="77777777" w:rsidR="006B6786" w:rsidRPr="006B6786" w:rsidRDefault="006B6786" w:rsidP="006B6786">
            <w:pPr>
              <w:rPr>
                <w:rFonts w:ascii="Arial" w:hAnsi="Arial" w:cs="Angsana New"/>
                <w:b/>
                <w:bCs/>
                <w:sz w:val="16"/>
                <w:szCs w:val="16"/>
                <w:lang w:val="en-GB"/>
              </w:rPr>
            </w:pPr>
            <w:r w:rsidRPr="006B6786">
              <w:rPr>
                <w:rFonts w:ascii="Arial" w:hAnsi="Arial" w:cs="Angsana New"/>
                <w:b/>
                <w:bCs/>
                <w:sz w:val="16"/>
                <w:szCs w:val="16"/>
                <w:lang w:val="en-GB"/>
              </w:rPr>
              <w:t>Solid waste (plastics)</w:t>
            </w:r>
          </w:p>
        </w:tc>
        <w:tc>
          <w:tcPr>
            <w:tcW w:w="0" w:type="auto"/>
            <w:vAlign w:val="center"/>
          </w:tcPr>
          <w:p w14:paraId="2888629C"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Smothering of organisms</w:t>
            </w:r>
          </w:p>
          <w:p w14:paraId="133BB2F2"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Loss of amenity value</w:t>
            </w:r>
          </w:p>
          <w:p w14:paraId="744CB132"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Biosorption of plasticizing agents</w:t>
            </w:r>
          </w:p>
        </w:tc>
        <w:tc>
          <w:tcPr>
            <w:tcW w:w="0" w:type="auto"/>
            <w:vAlign w:val="center"/>
          </w:tcPr>
          <w:p w14:paraId="3D36CFB6"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7ACB5F64"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67177D35"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0B2B3A17"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1460440C"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4C1F42F8"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6659104A"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01D2CBD1"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0EE1B7BE"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0452AAF4"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7274FC39"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0CFD0FA5"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r>
      <w:tr w:rsidR="006B6786" w:rsidRPr="006B6786" w14:paraId="1CA41C6A" w14:textId="77777777" w:rsidTr="00312FD5">
        <w:trPr>
          <w:jc w:val="center"/>
        </w:trPr>
        <w:tc>
          <w:tcPr>
            <w:tcW w:w="1548" w:type="dxa"/>
          </w:tcPr>
          <w:p w14:paraId="3EA42F2A" w14:textId="77777777" w:rsidR="006B6786" w:rsidRPr="006B6786" w:rsidRDefault="006B6786" w:rsidP="006B6786">
            <w:pPr>
              <w:rPr>
                <w:rFonts w:ascii="Arial" w:hAnsi="Arial" w:cs="Angsana New"/>
                <w:b/>
                <w:bCs/>
                <w:sz w:val="16"/>
                <w:szCs w:val="16"/>
                <w:lang w:val="en-GB"/>
              </w:rPr>
            </w:pPr>
            <w:r w:rsidRPr="006B6786">
              <w:rPr>
                <w:rFonts w:ascii="Arial" w:hAnsi="Arial" w:cs="Angsana New"/>
                <w:b/>
                <w:bCs/>
                <w:sz w:val="16"/>
                <w:szCs w:val="16"/>
                <w:lang w:val="en-GB"/>
              </w:rPr>
              <w:t>Thermal pollution</w:t>
            </w:r>
          </w:p>
        </w:tc>
        <w:tc>
          <w:tcPr>
            <w:tcW w:w="0" w:type="auto"/>
            <w:vAlign w:val="center"/>
          </w:tcPr>
          <w:p w14:paraId="3BB22644"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Reduced productivity</w:t>
            </w:r>
          </w:p>
          <w:p w14:paraId="3C72C789"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Loss of species</w:t>
            </w:r>
          </w:p>
        </w:tc>
        <w:tc>
          <w:tcPr>
            <w:tcW w:w="0" w:type="auto"/>
            <w:vAlign w:val="center"/>
          </w:tcPr>
          <w:p w14:paraId="1A5D9B87"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14244BD5"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4F7DF049"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2D780C6B"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71812DEC"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03CBBAC3"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39C8806A"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5BF3377A"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r>
      <w:tr w:rsidR="006B6786" w:rsidRPr="006B6786" w14:paraId="08715A16" w14:textId="77777777" w:rsidTr="00312FD5">
        <w:trPr>
          <w:jc w:val="center"/>
        </w:trPr>
        <w:tc>
          <w:tcPr>
            <w:tcW w:w="1548" w:type="dxa"/>
          </w:tcPr>
          <w:p w14:paraId="5EE2C0DC" w14:textId="77777777" w:rsidR="006B6786" w:rsidRPr="006B6786" w:rsidRDefault="006B6786" w:rsidP="006B6786">
            <w:pPr>
              <w:rPr>
                <w:rFonts w:ascii="Arial" w:hAnsi="Arial" w:cs="Angsana New"/>
                <w:b/>
                <w:bCs/>
                <w:sz w:val="16"/>
                <w:szCs w:val="16"/>
                <w:lang w:val="en-GB"/>
              </w:rPr>
            </w:pPr>
            <w:r w:rsidRPr="006B6786">
              <w:rPr>
                <w:rFonts w:ascii="Arial" w:hAnsi="Arial" w:cs="Angsana New"/>
                <w:b/>
                <w:bCs/>
                <w:sz w:val="16"/>
                <w:szCs w:val="16"/>
                <w:lang w:val="en-GB"/>
              </w:rPr>
              <w:t>Bacterial contamination</w:t>
            </w:r>
          </w:p>
        </w:tc>
        <w:tc>
          <w:tcPr>
            <w:tcW w:w="0" w:type="auto"/>
            <w:vAlign w:val="center"/>
          </w:tcPr>
          <w:p w14:paraId="3C0D9429"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Loss of amenity value</w:t>
            </w:r>
          </w:p>
          <w:p w14:paraId="6FF9B35F"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Contamination of human food sources</w:t>
            </w:r>
          </w:p>
        </w:tc>
        <w:tc>
          <w:tcPr>
            <w:tcW w:w="0" w:type="auto"/>
            <w:vAlign w:val="center"/>
          </w:tcPr>
          <w:p w14:paraId="5963327B"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4D9472F9"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530B8F93"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7D8FE16D"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13C80970"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7C1EC475"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4363B43D"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63066C30"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r>
      <w:tr w:rsidR="006B6786" w:rsidRPr="006B6786" w14:paraId="531E013E" w14:textId="77777777" w:rsidTr="00312FD5">
        <w:trPr>
          <w:jc w:val="center"/>
        </w:trPr>
        <w:tc>
          <w:tcPr>
            <w:tcW w:w="1548" w:type="dxa"/>
          </w:tcPr>
          <w:p w14:paraId="7F99C000" w14:textId="77777777" w:rsidR="006B6786" w:rsidRPr="006B6786" w:rsidRDefault="006B6786" w:rsidP="006B6786">
            <w:pPr>
              <w:rPr>
                <w:rFonts w:ascii="Arial" w:hAnsi="Arial" w:cs="Angsana New"/>
                <w:b/>
                <w:bCs/>
                <w:sz w:val="16"/>
                <w:szCs w:val="16"/>
                <w:lang w:val="en-GB"/>
              </w:rPr>
            </w:pPr>
            <w:r w:rsidRPr="006B6786">
              <w:rPr>
                <w:rFonts w:ascii="Arial" w:hAnsi="Arial" w:cs="Angsana New"/>
                <w:b/>
                <w:bCs/>
                <w:sz w:val="16"/>
                <w:szCs w:val="16"/>
                <w:lang w:val="en-GB"/>
              </w:rPr>
              <w:t>Acid Pollution</w:t>
            </w:r>
          </w:p>
        </w:tc>
        <w:tc>
          <w:tcPr>
            <w:tcW w:w="0" w:type="auto"/>
            <w:vAlign w:val="center"/>
          </w:tcPr>
          <w:p w14:paraId="4867C12D"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Change in pH</w:t>
            </w:r>
          </w:p>
          <w:p w14:paraId="4F6ABAE1" w14:textId="77777777" w:rsidR="006B6786" w:rsidRPr="006B6786" w:rsidRDefault="006B6786" w:rsidP="006B6786">
            <w:pPr>
              <w:rPr>
                <w:rFonts w:ascii="Arial" w:hAnsi="Arial" w:cs="Angsana New"/>
                <w:bCs/>
                <w:sz w:val="16"/>
                <w:szCs w:val="16"/>
                <w:lang w:val="en-GB"/>
              </w:rPr>
            </w:pPr>
            <w:r w:rsidRPr="006B6786">
              <w:rPr>
                <w:rFonts w:ascii="Arial" w:hAnsi="Arial" w:cs="Angsana New"/>
                <w:bCs/>
                <w:sz w:val="16"/>
                <w:szCs w:val="16"/>
                <w:lang w:val="en-GB"/>
              </w:rPr>
              <w:t>Loss of species (fish)</w:t>
            </w:r>
          </w:p>
        </w:tc>
        <w:tc>
          <w:tcPr>
            <w:tcW w:w="0" w:type="auto"/>
            <w:vAlign w:val="center"/>
          </w:tcPr>
          <w:p w14:paraId="4C903A48"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5418AF40"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520814F2"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1B187AEE"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1530CF56"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0C8EC5AD"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c>
          <w:tcPr>
            <w:tcW w:w="0" w:type="auto"/>
            <w:vAlign w:val="center"/>
          </w:tcPr>
          <w:p w14:paraId="5C42307F"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p w14:paraId="724B703E" w14:textId="77777777" w:rsidR="006B6786" w:rsidRPr="006B6786" w:rsidRDefault="006B6786" w:rsidP="006B6786">
            <w:pPr>
              <w:jc w:val="center"/>
              <w:rPr>
                <w:rFonts w:ascii="Arial" w:hAnsi="Arial" w:cs="Angsana New"/>
                <w:bCs/>
                <w:sz w:val="16"/>
                <w:szCs w:val="16"/>
                <w:lang w:val="en-GB"/>
              </w:rPr>
            </w:pPr>
            <w:r w:rsidRPr="006B6786">
              <w:rPr>
                <w:rFonts w:ascii="Arial" w:hAnsi="Arial" w:cs="Angsana New"/>
                <w:bCs/>
                <w:sz w:val="16"/>
                <w:szCs w:val="16"/>
                <w:lang w:val="en-GB"/>
              </w:rPr>
              <w:t>√</w:t>
            </w:r>
          </w:p>
        </w:tc>
      </w:tr>
    </w:tbl>
    <w:p w14:paraId="41229824" w14:textId="77777777" w:rsidR="0067083C" w:rsidRDefault="0067083C" w:rsidP="0067083C">
      <w:pPr>
        <w:spacing w:after="120"/>
        <w:jc w:val="both"/>
        <w:rPr>
          <w:rFonts w:cs="Angsana New"/>
          <w:sz w:val="22"/>
          <w:szCs w:val="22"/>
          <w:lang w:val="en-GB" w:bidi="th-TH"/>
        </w:rPr>
      </w:pPr>
    </w:p>
    <w:p w14:paraId="67337724" w14:textId="77777777" w:rsidR="0067083C" w:rsidRDefault="0067083C" w:rsidP="00796B4F">
      <w:pPr>
        <w:spacing w:before="120" w:after="120"/>
        <w:jc w:val="both"/>
        <w:rPr>
          <w:sz w:val="22"/>
          <w:szCs w:val="22"/>
          <w:lang w:val="en-GB"/>
        </w:rPr>
      </w:pPr>
    </w:p>
    <w:p w14:paraId="3C6E86A8" w14:textId="77777777" w:rsidR="00312FD5" w:rsidRDefault="00312FD5" w:rsidP="006B6786">
      <w:pPr>
        <w:spacing w:before="120" w:after="120"/>
        <w:jc w:val="both"/>
        <w:rPr>
          <w:sz w:val="22"/>
          <w:szCs w:val="22"/>
          <w:lang w:val="en-GB"/>
        </w:rPr>
        <w:sectPr w:rsidR="00312FD5" w:rsidSect="00064925">
          <w:pgSz w:w="12240" w:h="15840" w:code="1"/>
          <w:pgMar w:top="1440" w:right="1584" w:bottom="1440" w:left="1584" w:header="706" w:footer="706" w:gutter="0"/>
          <w:cols w:space="708"/>
          <w:docGrid w:linePitch="360"/>
        </w:sectPr>
      </w:pPr>
    </w:p>
    <w:p w14:paraId="7730A80E" w14:textId="77777777" w:rsidR="006B6786" w:rsidRDefault="006B6786" w:rsidP="006B6786">
      <w:pPr>
        <w:spacing w:before="120" w:after="120"/>
        <w:jc w:val="both"/>
        <w:rPr>
          <w:sz w:val="22"/>
          <w:szCs w:val="22"/>
          <w:lang w:val="en-GB"/>
        </w:rPr>
      </w:pPr>
    </w:p>
    <w:p w14:paraId="20AC16CD" w14:textId="77777777" w:rsidR="00312FD5" w:rsidRDefault="00312FD5" w:rsidP="006B6786">
      <w:pPr>
        <w:spacing w:before="120" w:after="120"/>
        <w:jc w:val="both"/>
        <w:rPr>
          <w:sz w:val="22"/>
          <w:szCs w:val="22"/>
          <w:lang w:val="en-GB"/>
        </w:rPr>
      </w:pPr>
    </w:p>
    <w:p w14:paraId="04F377BD" w14:textId="77777777" w:rsidR="00312FD5" w:rsidRPr="00312FD5" w:rsidRDefault="00312FD5" w:rsidP="00312FD5">
      <w:pPr>
        <w:spacing w:after="120"/>
        <w:ind w:left="900" w:hanging="1080"/>
        <w:jc w:val="both"/>
        <w:rPr>
          <w:sz w:val="21"/>
          <w:szCs w:val="21"/>
          <w:lang w:val="en-GB"/>
        </w:rPr>
      </w:pPr>
      <w:r w:rsidRPr="00312FD5">
        <w:rPr>
          <w:b/>
          <w:sz w:val="21"/>
          <w:szCs w:val="21"/>
          <w:lang w:val="en-GB"/>
        </w:rPr>
        <w:t xml:space="preserve">Table </w:t>
      </w:r>
      <w:r>
        <w:rPr>
          <w:b/>
          <w:sz w:val="21"/>
          <w:szCs w:val="21"/>
          <w:lang w:val="en-GB"/>
        </w:rPr>
        <w:t>1</w:t>
      </w:r>
      <w:r w:rsidR="00796B4F">
        <w:rPr>
          <w:b/>
          <w:sz w:val="21"/>
          <w:szCs w:val="21"/>
          <w:lang w:val="en-GB"/>
        </w:rPr>
        <w:t>6</w:t>
      </w:r>
      <w:r w:rsidRPr="00312FD5">
        <w:rPr>
          <w:sz w:val="21"/>
          <w:szCs w:val="21"/>
          <w:lang w:val="en-GB"/>
        </w:rPr>
        <w:tab/>
        <w:t>Framework for Valuing Impacts of Land-based Pollution on Coastal Habitats. Impacts are Grouped into Three Classes: Changes in Production/productivity; Changes in Amenity Value; and Impacts on Human Welfare.</w:t>
      </w:r>
    </w:p>
    <w:tbl>
      <w:tblPr>
        <w:tblW w:w="14300" w:type="dxa"/>
        <w:tblInd w:w="-9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1282"/>
        <w:gridCol w:w="4918"/>
        <w:gridCol w:w="600"/>
        <w:gridCol w:w="700"/>
        <w:gridCol w:w="700"/>
        <w:gridCol w:w="600"/>
        <w:gridCol w:w="700"/>
        <w:gridCol w:w="700"/>
        <w:gridCol w:w="600"/>
        <w:gridCol w:w="700"/>
        <w:gridCol w:w="700"/>
        <w:gridCol w:w="600"/>
        <w:gridCol w:w="700"/>
        <w:gridCol w:w="800"/>
      </w:tblGrid>
      <w:tr w:rsidR="00312FD5" w:rsidRPr="00312FD5" w14:paraId="375E2544" w14:textId="77777777" w:rsidTr="00312FD5">
        <w:trPr>
          <w:cantSplit/>
        </w:trPr>
        <w:tc>
          <w:tcPr>
            <w:tcW w:w="1282" w:type="dxa"/>
            <w:vMerge w:val="restart"/>
            <w:tcBorders>
              <w:top w:val="single" w:sz="12" w:space="0" w:color="auto"/>
              <w:bottom w:val="single" w:sz="12" w:space="0" w:color="auto"/>
            </w:tcBorders>
          </w:tcPr>
          <w:p w14:paraId="0B454928" w14:textId="77777777" w:rsidR="00312FD5" w:rsidRPr="00312FD5" w:rsidRDefault="00312FD5" w:rsidP="00312FD5">
            <w:pPr>
              <w:ind w:right="-155" w:hanging="100"/>
              <w:jc w:val="center"/>
              <w:rPr>
                <w:rFonts w:ascii="Arial" w:hAnsi="Arial" w:cs="Angsana New"/>
                <w:b/>
                <w:sz w:val="18"/>
                <w:szCs w:val="18"/>
                <w:lang w:val="en-GB"/>
              </w:rPr>
            </w:pPr>
            <w:r w:rsidRPr="00312FD5">
              <w:rPr>
                <w:rFonts w:ascii="Arial" w:hAnsi="Arial" w:cs="Angsana New"/>
                <w:b/>
                <w:sz w:val="18"/>
                <w:szCs w:val="18"/>
                <w:lang w:val="en-GB"/>
              </w:rPr>
              <w:t>Types of Contaminant</w:t>
            </w:r>
          </w:p>
        </w:tc>
        <w:tc>
          <w:tcPr>
            <w:tcW w:w="4918" w:type="dxa"/>
            <w:vMerge w:val="restart"/>
            <w:tcBorders>
              <w:top w:val="single" w:sz="12" w:space="0" w:color="auto"/>
              <w:bottom w:val="single" w:sz="12" w:space="0" w:color="auto"/>
            </w:tcBorders>
          </w:tcPr>
          <w:p w14:paraId="7C143F8C" w14:textId="77777777" w:rsidR="00312FD5" w:rsidRPr="00312FD5" w:rsidRDefault="00312FD5" w:rsidP="00312FD5">
            <w:pPr>
              <w:keepNext/>
              <w:tabs>
                <w:tab w:val="left" w:pos="439"/>
              </w:tabs>
              <w:jc w:val="center"/>
              <w:outlineLvl w:val="5"/>
              <w:rPr>
                <w:rFonts w:ascii="Arial" w:hAnsi="Arial" w:cs="Arial"/>
                <w:b/>
                <w:sz w:val="18"/>
                <w:szCs w:val="18"/>
                <w:lang w:val="en-GB"/>
              </w:rPr>
            </w:pPr>
            <w:r w:rsidRPr="00312FD5">
              <w:rPr>
                <w:rFonts w:ascii="Arial" w:hAnsi="Arial" w:cs="Arial"/>
                <w:b/>
                <w:sz w:val="18"/>
                <w:szCs w:val="18"/>
                <w:lang w:val="en-GB"/>
              </w:rPr>
              <w:t>Impacts</w:t>
            </w:r>
          </w:p>
        </w:tc>
        <w:tc>
          <w:tcPr>
            <w:tcW w:w="2000" w:type="dxa"/>
            <w:gridSpan w:val="3"/>
            <w:tcBorders>
              <w:top w:val="single" w:sz="12" w:space="0" w:color="auto"/>
              <w:bottom w:val="single" w:sz="4" w:space="0" w:color="auto"/>
            </w:tcBorders>
          </w:tcPr>
          <w:p w14:paraId="2FD6CAA8" w14:textId="77777777" w:rsidR="00312FD5" w:rsidRPr="00312FD5" w:rsidRDefault="00312FD5" w:rsidP="00312FD5">
            <w:pPr>
              <w:keepNext/>
              <w:tabs>
                <w:tab w:val="left" w:pos="439"/>
              </w:tabs>
              <w:jc w:val="center"/>
              <w:outlineLvl w:val="5"/>
              <w:rPr>
                <w:rFonts w:ascii="Arial" w:hAnsi="Arial" w:cs="Arial"/>
                <w:b/>
                <w:sz w:val="18"/>
                <w:szCs w:val="18"/>
                <w:lang w:val="en-GB"/>
              </w:rPr>
            </w:pPr>
            <w:r w:rsidRPr="00312FD5">
              <w:rPr>
                <w:rFonts w:ascii="Arial" w:hAnsi="Arial" w:cs="Arial"/>
                <w:b/>
                <w:sz w:val="18"/>
                <w:szCs w:val="18"/>
                <w:lang w:val="en-GB"/>
              </w:rPr>
              <w:t>Mangroves</w:t>
            </w:r>
          </w:p>
        </w:tc>
        <w:tc>
          <w:tcPr>
            <w:tcW w:w="2000" w:type="dxa"/>
            <w:gridSpan w:val="3"/>
            <w:tcBorders>
              <w:top w:val="single" w:sz="12" w:space="0" w:color="auto"/>
              <w:bottom w:val="single" w:sz="4" w:space="0" w:color="auto"/>
            </w:tcBorders>
          </w:tcPr>
          <w:p w14:paraId="5E295EFA" w14:textId="77777777" w:rsidR="00312FD5" w:rsidRPr="00312FD5" w:rsidRDefault="00312FD5" w:rsidP="00312FD5">
            <w:pPr>
              <w:keepNext/>
              <w:tabs>
                <w:tab w:val="left" w:pos="439"/>
              </w:tabs>
              <w:jc w:val="center"/>
              <w:outlineLvl w:val="5"/>
              <w:rPr>
                <w:rFonts w:ascii="Arial" w:hAnsi="Arial" w:cs="Arial"/>
                <w:b/>
                <w:sz w:val="18"/>
                <w:szCs w:val="18"/>
                <w:lang w:val="en-GB"/>
              </w:rPr>
            </w:pPr>
            <w:r w:rsidRPr="00312FD5">
              <w:rPr>
                <w:rFonts w:ascii="Arial" w:hAnsi="Arial" w:cs="Arial"/>
                <w:b/>
                <w:sz w:val="18"/>
                <w:szCs w:val="18"/>
                <w:lang w:val="en-GB"/>
              </w:rPr>
              <w:t>Coral Reefs</w:t>
            </w:r>
          </w:p>
        </w:tc>
        <w:tc>
          <w:tcPr>
            <w:tcW w:w="2000" w:type="dxa"/>
            <w:gridSpan w:val="3"/>
            <w:tcBorders>
              <w:top w:val="single" w:sz="12" w:space="0" w:color="auto"/>
              <w:bottom w:val="single" w:sz="4" w:space="0" w:color="auto"/>
            </w:tcBorders>
          </w:tcPr>
          <w:p w14:paraId="742D95C0" w14:textId="77777777" w:rsidR="00312FD5" w:rsidRPr="00312FD5" w:rsidRDefault="00312FD5" w:rsidP="00312FD5">
            <w:pPr>
              <w:keepNext/>
              <w:tabs>
                <w:tab w:val="left" w:pos="439"/>
              </w:tabs>
              <w:jc w:val="center"/>
              <w:outlineLvl w:val="5"/>
              <w:rPr>
                <w:rFonts w:ascii="Arial" w:hAnsi="Arial" w:cs="Arial"/>
                <w:b/>
                <w:sz w:val="18"/>
                <w:szCs w:val="18"/>
                <w:lang w:val="en-GB"/>
              </w:rPr>
            </w:pPr>
            <w:r w:rsidRPr="00312FD5">
              <w:rPr>
                <w:rFonts w:ascii="Arial" w:hAnsi="Arial" w:cs="Arial"/>
                <w:b/>
                <w:sz w:val="18"/>
                <w:szCs w:val="18"/>
                <w:lang w:val="en-GB"/>
              </w:rPr>
              <w:t>Seagrass</w:t>
            </w:r>
          </w:p>
        </w:tc>
        <w:tc>
          <w:tcPr>
            <w:tcW w:w="2100" w:type="dxa"/>
            <w:gridSpan w:val="3"/>
            <w:tcBorders>
              <w:top w:val="single" w:sz="12" w:space="0" w:color="auto"/>
              <w:bottom w:val="single" w:sz="4" w:space="0" w:color="auto"/>
            </w:tcBorders>
          </w:tcPr>
          <w:p w14:paraId="13D6ED66" w14:textId="77777777" w:rsidR="00312FD5" w:rsidRPr="00312FD5" w:rsidRDefault="00312FD5" w:rsidP="00312FD5">
            <w:pPr>
              <w:keepNext/>
              <w:tabs>
                <w:tab w:val="left" w:pos="439"/>
              </w:tabs>
              <w:jc w:val="center"/>
              <w:outlineLvl w:val="5"/>
              <w:rPr>
                <w:rFonts w:ascii="Arial" w:hAnsi="Arial" w:cs="Arial"/>
                <w:b/>
                <w:sz w:val="18"/>
                <w:szCs w:val="18"/>
                <w:lang w:val="en-GB"/>
              </w:rPr>
            </w:pPr>
            <w:r w:rsidRPr="00312FD5">
              <w:rPr>
                <w:rFonts w:ascii="Arial" w:hAnsi="Arial" w:cs="Arial"/>
                <w:b/>
                <w:sz w:val="18"/>
                <w:szCs w:val="18"/>
                <w:lang w:val="en-GB"/>
              </w:rPr>
              <w:t>Coastal Wetlands</w:t>
            </w:r>
          </w:p>
        </w:tc>
      </w:tr>
      <w:tr w:rsidR="00312FD5" w:rsidRPr="00312FD5" w14:paraId="497D3243" w14:textId="77777777" w:rsidTr="00312FD5">
        <w:trPr>
          <w:cantSplit/>
        </w:trPr>
        <w:tc>
          <w:tcPr>
            <w:tcW w:w="1282" w:type="dxa"/>
            <w:vMerge/>
            <w:tcBorders>
              <w:top w:val="single" w:sz="12" w:space="0" w:color="auto"/>
              <w:bottom w:val="single" w:sz="12" w:space="0" w:color="auto"/>
            </w:tcBorders>
          </w:tcPr>
          <w:p w14:paraId="31C878EC" w14:textId="77777777" w:rsidR="00312FD5" w:rsidRPr="00312FD5" w:rsidRDefault="00312FD5" w:rsidP="00312FD5">
            <w:pPr>
              <w:rPr>
                <w:rFonts w:ascii="Arial" w:hAnsi="Arial" w:cs="Angsana New"/>
                <w:bCs/>
                <w:sz w:val="16"/>
                <w:szCs w:val="20"/>
                <w:lang w:val="en-GB"/>
              </w:rPr>
            </w:pPr>
          </w:p>
        </w:tc>
        <w:tc>
          <w:tcPr>
            <w:tcW w:w="4918" w:type="dxa"/>
            <w:vMerge/>
            <w:tcBorders>
              <w:top w:val="single" w:sz="12" w:space="0" w:color="auto"/>
              <w:bottom w:val="single" w:sz="12" w:space="0" w:color="auto"/>
            </w:tcBorders>
          </w:tcPr>
          <w:p w14:paraId="72D3B9B1" w14:textId="77777777" w:rsidR="00312FD5" w:rsidRPr="00312FD5" w:rsidRDefault="00312FD5" w:rsidP="00312FD5">
            <w:pPr>
              <w:rPr>
                <w:rFonts w:ascii="Arial" w:hAnsi="Arial" w:cs="Angsana New"/>
                <w:bCs/>
                <w:sz w:val="16"/>
                <w:szCs w:val="20"/>
                <w:lang w:val="en-GB"/>
              </w:rPr>
            </w:pPr>
          </w:p>
        </w:tc>
        <w:tc>
          <w:tcPr>
            <w:tcW w:w="600" w:type="dxa"/>
            <w:tcBorders>
              <w:top w:val="single" w:sz="4" w:space="0" w:color="auto"/>
              <w:bottom w:val="single" w:sz="12" w:space="0" w:color="auto"/>
            </w:tcBorders>
          </w:tcPr>
          <w:p w14:paraId="3F87B1D6" w14:textId="77777777" w:rsidR="00312FD5" w:rsidRPr="00312FD5" w:rsidRDefault="00312FD5" w:rsidP="00312FD5">
            <w:pPr>
              <w:keepNext/>
              <w:snapToGrid w:val="0"/>
              <w:outlineLvl w:val="0"/>
              <w:rPr>
                <w:rFonts w:ascii="Arial" w:hAnsi="Arial" w:cs="Angsana New"/>
                <w:b/>
                <w:bCs/>
                <w:caps/>
                <w:kern w:val="32"/>
                <w:sz w:val="12"/>
                <w:szCs w:val="20"/>
                <w:lang w:val="en-GB"/>
              </w:rPr>
            </w:pPr>
            <w:bookmarkStart w:id="64" w:name="_Toc105204421"/>
            <w:bookmarkStart w:id="65" w:name="_Toc135123941"/>
            <w:bookmarkStart w:id="66" w:name="_Toc182807182"/>
            <w:r w:rsidRPr="00312FD5">
              <w:rPr>
                <w:rFonts w:ascii="Arial" w:hAnsi="Arial" w:cs="Angsana New"/>
                <w:b/>
                <w:bCs/>
                <w:caps/>
                <w:kern w:val="32"/>
                <w:sz w:val="12"/>
                <w:szCs w:val="20"/>
                <w:lang w:val="en-GB"/>
              </w:rPr>
              <w:t>Prod</w:t>
            </w:r>
            <w:bookmarkEnd w:id="64"/>
            <w:bookmarkEnd w:id="65"/>
            <w:r w:rsidRPr="00312FD5">
              <w:rPr>
                <w:rFonts w:ascii="Arial" w:hAnsi="Arial" w:cs="Angsana New"/>
                <w:b/>
                <w:bCs/>
                <w:caps/>
                <w:kern w:val="32"/>
                <w:sz w:val="12"/>
                <w:szCs w:val="20"/>
                <w:lang w:val="en-GB"/>
              </w:rPr>
              <w:t>.</w:t>
            </w:r>
            <w:bookmarkEnd w:id="66"/>
          </w:p>
        </w:tc>
        <w:tc>
          <w:tcPr>
            <w:tcW w:w="700" w:type="dxa"/>
            <w:tcBorders>
              <w:top w:val="single" w:sz="4" w:space="0" w:color="auto"/>
              <w:bottom w:val="single" w:sz="12" w:space="0" w:color="auto"/>
            </w:tcBorders>
          </w:tcPr>
          <w:p w14:paraId="53BE465E" w14:textId="77777777" w:rsidR="00312FD5" w:rsidRPr="00312FD5" w:rsidRDefault="00312FD5" w:rsidP="00312FD5">
            <w:pPr>
              <w:snapToGrid w:val="0"/>
              <w:rPr>
                <w:rFonts w:ascii="Arial" w:hAnsi="Arial" w:cs="Angsana New"/>
                <w:b/>
                <w:sz w:val="12"/>
                <w:szCs w:val="20"/>
                <w:lang w:val="en-GB"/>
              </w:rPr>
            </w:pPr>
            <w:r w:rsidRPr="00312FD5">
              <w:rPr>
                <w:rFonts w:ascii="Arial" w:hAnsi="Arial" w:cs="Angsana New"/>
                <w:b/>
                <w:sz w:val="12"/>
                <w:szCs w:val="20"/>
                <w:lang w:val="en-GB"/>
              </w:rPr>
              <w:t>Amenity</w:t>
            </w:r>
          </w:p>
        </w:tc>
        <w:tc>
          <w:tcPr>
            <w:tcW w:w="700" w:type="dxa"/>
            <w:tcBorders>
              <w:top w:val="single" w:sz="4" w:space="0" w:color="auto"/>
              <w:bottom w:val="single" w:sz="12" w:space="0" w:color="auto"/>
            </w:tcBorders>
          </w:tcPr>
          <w:p w14:paraId="459E6601" w14:textId="77777777" w:rsidR="00312FD5" w:rsidRPr="00312FD5" w:rsidRDefault="00312FD5" w:rsidP="00312FD5">
            <w:pPr>
              <w:snapToGrid w:val="0"/>
              <w:rPr>
                <w:rFonts w:ascii="Arial" w:hAnsi="Arial" w:cs="Angsana New"/>
                <w:b/>
                <w:sz w:val="12"/>
                <w:szCs w:val="20"/>
                <w:lang w:val="en-GB"/>
              </w:rPr>
            </w:pPr>
            <w:r w:rsidRPr="00312FD5">
              <w:rPr>
                <w:rFonts w:ascii="Arial" w:hAnsi="Arial" w:cs="Angsana New"/>
                <w:b/>
                <w:sz w:val="12"/>
                <w:szCs w:val="20"/>
                <w:lang w:val="en-GB"/>
              </w:rPr>
              <w:t>Human welfare</w:t>
            </w:r>
          </w:p>
        </w:tc>
        <w:tc>
          <w:tcPr>
            <w:tcW w:w="600" w:type="dxa"/>
            <w:tcBorders>
              <w:top w:val="single" w:sz="4" w:space="0" w:color="auto"/>
              <w:bottom w:val="single" w:sz="12" w:space="0" w:color="auto"/>
            </w:tcBorders>
          </w:tcPr>
          <w:p w14:paraId="68BC16BE" w14:textId="77777777" w:rsidR="00312FD5" w:rsidRPr="00312FD5" w:rsidRDefault="00312FD5" w:rsidP="00312FD5">
            <w:pPr>
              <w:keepNext/>
              <w:snapToGrid w:val="0"/>
              <w:outlineLvl w:val="0"/>
              <w:rPr>
                <w:rFonts w:ascii="Arial" w:hAnsi="Arial" w:cs="Angsana New"/>
                <w:b/>
                <w:bCs/>
                <w:caps/>
                <w:kern w:val="32"/>
                <w:sz w:val="12"/>
                <w:szCs w:val="20"/>
                <w:lang w:val="en-GB"/>
              </w:rPr>
            </w:pPr>
            <w:bookmarkStart w:id="67" w:name="_Toc182807183"/>
            <w:r w:rsidRPr="00312FD5">
              <w:rPr>
                <w:rFonts w:ascii="Arial" w:hAnsi="Arial" w:cs="Angsana New"/>
                <w:b/>
                <w:bCs/>
                <w:caps/>
                <w:kern w:val="32"/>
                <w:sz w:val="12"/>
                <w:szCs w:val="20"/>
                <w:lang w:val="en-GB"/>
              </w:rPr>
              <w:t>Prod.</w:t>
            </w:r>
            <w:bookmarkEnd w:id="67"/>
          </w:p>
        </w:tc>
        <w:tc>
          <w:tcPr>
            <w:tcW w:w="700" w:type="dxa"/>
            <w:tcBorders>
              <w:top w:val="single" w:sz="4" w:space="0" w:color="auto"/>
              <w:bottom w:val="single" w:sz="12" w:space="0" w:color="auto"/>
            </w:tcBorders>
          </w:tcPr>
          <w:p w14:paraId="12C163D3" w14:textId="77777777" w:rsidR="00312FD5" w:rsidRPr="00312FD5" w:rsidRDefault="00312FD5" w:rsidP="00312FD5">
            <w:pPr>
              <w:snapToGrid w:val="0"/>
              <w:rPr>
                <w:rFonts w:ascii="Arial" w:hAnsi="Arial" w:cs="Angsana New"/>
                <w:b/>
                <w:sz w:val="12"/>
                <w:szCs w:val="20"/>
                <w:lang w:val="en-GB"/>
              </w:rPr>
            </w:pPr>
            <w:r w:rsidRPr="00312FD5">
              <w:rPr>
                <w:rFonts w:ascii="Arial" w:hAnsi="Arial" w:cs="Angsana New"/>
                <w:b/>
                <w:sz w:val="12"/>
                <w:szCs w:val="20"/>
                <w:lang w:val="en-GB"/>
              </w:rPr>
              <w:t>Amenity</w:t>
            </w:r>
          </w:p>
        </w:tc>
        <w:tc>
          <w:tcPr>
            <w:tcW w:w="700" w:type="dxa"/>
            <w:tcBorders>
              <w:top w:val="single" w:sz="4" w:space="0" w:color="auto"/>
              <w:bottom w:val="single" w:sz="12" w:space="0" w:color="auto"/>
            </w:tcBorders>
          </w:tcPr>
          <w:p w14:paraId="201F3F3D" w14:textId="77777777" w:rsidR="00312FD5" w:rsidRPr="00312FD5" w:rsidRDefault="00312FD5" w:rsidP="00312FD5">
            <w:pPr>
              <w:snapToGrid w:val="0"/>
              <w:rPr>
                <w:rFonts w:ascii="Arial" w:hAnsi="Arial" w:cs="Angsana New"/>
                <w:b/>
                <w:sz w:val="12"/>
                <w:szCs w:val="20"/>
                <w:lang w:val="en-GB"/>
              </w:rPr>
            </w:pPr>
            <w:r w:rsidRPr="00312FD5">
              <w:rPr>
                <w:rFonts w:ascii="Arial" w:hAnsi="Arial" w:cs="Angsana New"/>
                <w:b/>
                <w:sz w:val="12"/>
                <w:szCs w:val="20"/>
                <w:lang w:val="en-GB"/>
              </w:rPr>
              <w:t>Human welfare</w:t>
            </w:r>
          </w:p>
        </w:tc>
        <w:tc>
          <w:tcPr>
            <w:tcW w:w="600" w:type="dxa"/>
            <w:tcBorders>
              <w:top w:val="single" w:sz="4" w:space="0" w:color="auto"/>
              <w:bottom w:val="single" w:sz="12" w:space="0" w:color="auto"/>
            </w:tcBorders>
          </w:tcPr>
          <w:p w14:paraId="69C9D9BB" w14:textId="77777777" w:rsidR="00312FD5" w:rsidRPr="00312FD5" w:rsidRDefault="00312FD5" w:rsidP="00312FD5">
            <w:pPr>
              <w:keepNext/>
              <w:snapToGrid w:val="0"/>
              <w:outlineLvl w:val="0"/>
              <w:rPr>
                <w:rFonts w:ascii="Arial" w:hAnsi="Arial" w:cs="Angsana New"/>
                <w:b/>
                <w:bCs/>
                <w:caps/>
                <w:kern w:val="32"/>
                <w:sz w:val="12"/>
                <w:szCs w:val="20"/>
                <w:lang w:val="en-GB"/>
              </w:rPr>
            </w:pPr>
            <w:bookmarkStart w:id="68" w:name="_Toc182807184"/>
            <w:r w:rsidRPr="00312FD5">
              <w:rPr>
                <w:rFonts w:ascii="Arial" w:hAnsi="Arial" w:cs="Angsana New"/>
                <w:b/>
                <w:bCs/>
                <w:caps/>
                <w:kern w:val="32"/>
                <w:sz w:val="12"/>
                <w:szCs w:val="20"/>
                <w:lang w:val="en-GB"/>
              </w:rPr>
              <w:t>Prod.</w:t>
            </w:r>
            <w:bookmarkEnd w:id="68"/>
          </w:p>
        </w:tc>
        <w:tc>
          <w:tcPr>
            <w:tcW w:w="700" w:type="dxa"/>
            <w:tcBorders>
              <w:top w:val="single" w:sz="4" w:space="0" w:color="auto"/>
              <w:bottom w:val="single" w:sz="12" w:space="0" w:color="auto"/>
            </w:tcBorders>
          </w:tcPr>
          <w:p w14:paraId="7FB2BB36" w14:textId="77777777" w:rsidR="00312FD5" w:rsidRPr="00312FD5" w:rsidRDefault="00312FD5" w:rsidP="00312FD5">
            <w:pPr>
              <w:snapToGrid w:val="0"/>
              <w:rPr>
                <w:rFonts w:ascii="Arial" w:hAnsi="Arial" w:cs="Angsana New"/>
                <w:b/>
                <w:sz w:val="12"/>
                <w:szCs w:val="20"/>
                <w:lang w:val="en-GB"/>
              </w:rPr>
            </w:pPr>
            <w:r w:rsidRPr="00312FD5">
              <w:rPr>
                <w:rFonts w:ascii="Arial" w:hAnsi="Arial" w:cs="Angsana New"/>
                <w:b/>
                <w:sz w:val="12"/>
                <w:szCs w:val="20"/>
                <w:lang w:val="en-GB"/>
              </w:rPr>
              <w:t>Amenity</w:t>
            </w:r>
          </w:p>
        </w:tc>
        <w:tc>
          <w:tcPr>
            <w:tcW w:w="700" w:type="dxa"/>
            <w:tcBorders>
              <w:top w:val="single" w:sz="4" w:space="0" w:color="auto"/>
              <w:bottom w:val="single" w:sz="12" w:space="0" w:color="auto"/>
            </w:tcBorders>
          </w:tcPr>
          <w:p w14:paraId="06C5167C" w14:textId="77777777" w:rsidR="00312FD5" w:rsidRPr="00312FD5" w:rsidRDefault="00312FD5" w:rsidP="00312FD5">
            <w:pPr>
              <w:snapToGrid w:val="0"/>
              <w:rPr>
                <w:rFonts w:ascii="Arial" w:hAnsi="Arial" w:cs="Angsana New"/>
                <w:b/>
                <w:sz w:val="12"/>
                <w:szCs w:val="20"/>
                <w:lang w:val="en-GB"/>
              </w:rPr>
            </w:pPr>
            <w:r w:rsidRPr="00312FD5">
              <w:rPr>
                <w:rFonts w:ascii="Arial" w:hAnsi="Arial" w:cs="Angsana New"/>
                <w:b/>
                <w:sz w:val="12"/>
                <w:szCs w:val="20"/>
                <w:lang w:val="en-GB"/>
              </w:rPr>
              <w:t>Human welfare</w:t>
            </w:r>
          </w:p>
        </w:tc>
        <w:tc>
          <w:tcPr>
            <w:tcW w:w="600" w:type="dxa"/>
            <w:tcBorders>
              <w:top w:val="single" w:sz="4" w:space="0" w:color="auto"/>
              <w:bottom w:val="single" w:sz="12" w:space="0" w:color="auto"/>
            </w:tcBorders>
          </w:tcPr>
          <w:p w14:paraId="51FC3CEE" w14:textId="77777777" w:rsidR="00312FD5" w:rsidRPr="00312FD5" w:rsidRDefault="00312FD5" w:rsidP="00312FD5">
            <w:pPr>
              <w:keepNext/>
              <w:snapToGrid w:val="0"/>
              <w:outlineLvl w:val="0"/>
              <w:rPr>
                <w:rFonts w:ascii="Arial" w:hAnsi="Arial" w:cs="Angsana New"/>
                <w:b/>
                <w:bCs/>
                <w:caps/>
                <w:kern w:val="32"/>
                <w:sz w:val="12"/>
                <w:szCs w:val="20"/>
                <w:lang w:val="en-GB"/>
              </w:rPr>
            </w:pPr>
            <w:bookmarkStart w:id="69" w:name="_Toc182807185"/>
            <w:r w:rsidRPr="00312FD5">
              <w:rPr>
                <w:rFonts w:ascii="Arial" w:hAnsi="Arial" w:cs="Angsana New"/>
                <w:b/>
                <w:bCs/>
                <w:caps/>
                <w:kern w:val="32"/>
                <w:sz w:val="12"/>
                <w:szCs w:val="20"/>
                <w:lang w:val="en-GB"/>
              </w:rPr>
              <w:t>Prod.</w:t>
            </w:r>
            <w:bookmarkEnd w:id="69"/>
          </w:p>
        </w:tc>
        <w:tc>
          <w:tcPr>
            <w:tcW w:w="700" w:type="dxa"/>
            <w:tcBorders>
              <w:top w:val="single" w:sz="4" w:space="0" w:color="auto"/>
              <w:bottom w:val="single" w:sz="12" w:space="0" w:color="auto"/>
            </w:tcBorders>
          </w:tcPr>
          <w:p w14:paraId="54BA64E8" w14:textId="77777777" w:rsidR="00312FD5" w:rsidRPr="00312FD5" w:rsidRDefault="00312FD5" w:rsidP="00312FD5">
            <w:pPr>
              <w:rPr>
                <w:rFonts w:ascii="Arial" w:hAnsi="Arial" w:cs="Angsana New"/>
                <w:b/>
                <w:sz w:val="12"/>
                <w:szCs w:val="20"/>
                <w:lang w:val="en-GB"/>
              </w:rPr>
            </w:pPr>
            <w:r w:rsidRPr="00312FD5">
              <w:rPr>
                <w:rFonts w:ascii="Arial" w:hAnsi="Arial" w:cs="Angsana New"/>
                <w:b/>
                <w:sz w:val="12"/>
                <w:szCs w:val="20"/>
                <w:lang w:val="en-GB"/>
              </w:rPr>
              <w:t>Amenity</w:t>
            </w:r>
          </w:p>
        </w:tc>
        <w:tc>
          <w:tcPr>
            <w:tcW w:w="800" w:type="dxa"/>
            <w:tcBorders>
              <w:top w:val="single" w:sz="4" w:space="0" w:color="auto"/>
              <w:bottom w:val="single" w:sz="12" w:space="0" w:color="auto"/>
            </w:tcBorders>
          </w:tcPr>
          <w:p w14:paraId="0DBDE815" w14:textId="77777777" w:rsidR="00312FD5" w:rsidRPr="00312FD5" w:rsidRDefault="00312FD5" w:rsidP="00312FD5">
            <w:pPr>
              <w:rPr>
                <w:rFonts w:ascii="Arial" w:hAnsi="Arial" w:cs="Angsana New"/>
                <w:b/>
                <w:sz w:val="12"/>
                <w:szCs w:val="20"/>
                <w:lang w:val="en-GB"/>
              </w:rPr>
            </w:pPr>
            <w:r w:rsidRPr="00312FD5">
              <w:rPr>
                <w:rFonts w:ascii="Arial" w:hAnsi="Arial" w:cs="Angsana New"/>
                <w:b/>
                <w:sz w:val="12"/>
                <w:szCs w:val="20"/>
                <w:lang w:val="en-GB"/>
              </w:rPr>
              <w:t>Human welfare</w:t>
            </w:r>
          </w:p>
        </w:tc>
      </w:tr>
      <w:tr w:rsidR="00312FD5" w:rsidRPr="00312FD5" w14:paraId="3E06893D" w14:textId="77777777" w:rsidTr="00312FD5">
        <w:tc>
          <w:tcPr>
            <w:tcW w:w="1282" w:type="dxa"/>
            <w:tcBorders>
              <w:top w:val="single" w:sz="12" w:space="0" w:color="auto"/>
            </w:tcBorders>
          </w:tcPr>
          <w:p w14:paraId="62FE1CDD" w14:textId="77777777" w:rsidR="00312FD5" w:rsidRPr="00312FD5" w:rsidRDefault="00312FD5" w:rsidP="00312FD5">
            <w:pPr>
              <w:rPr>
                <w:rFonts w:ascii="Arial" w:hAnsi="Arial" w:cs="Angsana New"/>
                <w:bCs/>
                <w:sz w:val="16"/>
                <w:szCs w:val="20"/>
                <w:lang w:val="en-GB"/>
              </w:rPr>
            </w:pPr>
            <w:r w:rsidRPr="00312FD5">
              <w:rPr>
                <w:rFonts w:ascii="Arial" w:hAnsi="Arial" w:cs="Angsana New"/>
                <w:bCs/>
                <w:sz w:val="16"/>
                <w:szCs w:val="20"/>
                <w:lang w:val="en-GB"/>
              </w:rPr>
              <w:t>Heavy metals</w:t>
            </w:r>
          </w:p>
        </w:tc>
        <w:tc>
          <w:tcPr>
            <w:tcW w:w="4918" w:type="dxa"/>
            <w:tcBorders>
              <w:top w:val="single" w:sz="12" w:space="0" w:color="auto"/>
            </w:tcBorders>
          </w:tcPr>
          <w:p w14:paraId="49A63309"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Water quality</w:t>
            </w:r>
          </w:p>
          <w:p w14:paraId="0800B791" w14:textId="77777777" w:rsidR="00312FD5" w:rsidRPr="00312FD5" w:rsidRDefault="00312FD5" w:rsidP="004B053A">
            <w:pPr>
              <w:numPr>
                <w:ilvl w:val="0"/>
                <w:numId w:val="18"/>
              </w:numPr>
              <w:tabs>
                <w:tab w:val="clear" w:pos="720"/>
                <w:tab w:val="num" w:pos="250"/>
              </w:tabs>
              <w:ind w:left="171" w:right="-119" w:hanging="200"/>
              <w:rPr>
                <w:rFonts w:ascii="Arial" w:hAnsi="Arial" w:cs="Angsana New"/>
                <w:bCs/>
                <w:sz w:val="16"/>
                <w:szCs w:val="20"/>
                <w:lang w:val="en-GB"/>
              </w:rPr>
            </w:pPr>
            <w:r w:rsidRPr="00312FD5">
              <w:rPr>
                <w:rFonts w:ascii="Arial" w:hAnsi="Arial" w:cs="Angsana New"/>
                <w:bCs/>
                <w:sz w:val="16"/>
                <w:szCs w:val="20"/>
                <w:lang w:val="en-GB"/>
              </w:rPr>
              <w:t>Reduced reproductive capacity in molluscs</w:t>
            </w:r>
          </w:p>
          <w:p w14:paraId="1E8EDA3E"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Contamination of human food sources</w:t>
            </w:r>
          </w:p>
          <w:p w14:paraId="69574893"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Bio-accumulation</w:t>
            </w:r>
          </w:p>
        </w:tc>
        <w:tc>
          <w:tcPr>
            <w:tcW w:w="600" w:type="dxa"/>
            <w:tcBorders>
              <w:top w:val="single" w:sz="12" w:space="0" w:color="auto"/>
            </w:tcBorders>
          </w:tcPr>
          <w:p w14:paraId="5488174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03F0E904"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4C27EE1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32E66FB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Borders>
              <w:top w:val="single" w:sz="12" w:space="0" w:color="auto"/>
            </w:tcBorders>
          </w:tcPr>
          <w:p w14:paraId="4D591E5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6EECEAE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11FCAC30"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2566621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Borders>
              <w:top w:val="single" w:sz="12" w:space="0" w:color="auto"/>
            </w:tcBorders>
          </w:tcPr>
          <w:p w14:paraId="63CEC09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0DC004D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1A86F36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463509A4"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600" w:type="dxa"/>
            <w:tcBorders>
              <w:top w:val="single" w:sz="12" w:space="0" w:color="auto"/>
            </w:tcBorders>
          </w:tcPr>
          <w:p w14:paraId="7BBFB42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046EA19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2339257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625E643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Borders>
              <w:top w:val="single" w:sz="12" w:space="0" w:color="auto"/>
            </w:tcBorders>
          </w:tcPr>
          <w:p w14:paraId="5A37C86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2911091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D977F9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807A15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Borders>
              <w:top w:val="single" w:sz="12" w:space="0" w:color="auto"/>
            </w:tcBorders>
          </w:tcPr>
          <w:p w14:paraId="27C4A73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3E5006C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1F20EEA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4D70B89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Borders>
              <w:top w:val="single" w:sz="12" w:space="0" w:color="auto"/>
            </w:tcBorders>
          </w:tcPr>
          <w:p w14:paraId="7866419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05EFE5D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5F5095B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318C3A9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Borders>
              <w:top w:val="single" w:sz="12" w:space="0" w:color="auto"/>
            </w:tcBorders>
          </w:tcPr>
          <w:p w14:paraId="6BB073A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6B52458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4E42472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5FB0676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Borders>
              <w:top w:val="single" w:sz="12" w:space="0" w:color="auto"/>
            </w:tcBorders>
          </w:tcPr>
          <w:p w14:paraId="0D7CACA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2F80CF0"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115023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1E03E11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Borders>
              <w:top w:val="single" w:sz="12" w:space="0" w:color="auto"/>
            </w:tcBorders>
          </w:tcPr>
          <w:p w14:paraId="15DDF9C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7FC4EFB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412E526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291C441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Borders>
              <w:top w:val="single" w:sz="12" w:space="0" w:color="auto"/>
            </w:tcBorders>
          </w:tcPr>
          <w:p w14:paraId="3C6DC854"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5AAB166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087701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16E41A2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800" w:type="dxa"/>
            <w:tcBorders>
              <w:top w:val="single" w:sz="12" w:space="0" w:color="auto"/>
            </w:tcBorders>
          </w:tcPr>
          <w:p w14:paraId="47CCA82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115CCE4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3061F39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38CA255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r>
      <w:tr w:rsidR="00312FD5" w:rsidRPr="00312FD5" w14:paraId="44B23306" w14:textId="77777777" w:rsidTr="00312FD5">
        <w:tc>
          <w:tcPr>
            <w:tcW w:w="1282" w:type="dxa"/>
          </w:tcPr>
          <w:p w14:paraId="1BCBC9D2" w14:textId="77777777" w:rsidR="00312FD5" w:rsidRPr="00312FD5" w:rsidRDefault="00312FD5" w:rsidP="00312FD5">
            <w:pPr>
              <w:rPr>
                <w:rFonts w:ascii="Arial" w:hAnsi="Arial" w:cs="Angsana New"/>
                <w:bCs/>
                <w:sz w:val="16"/>
                <w:szCs w:val="20"/>
                <w:lang w:val="en-GB"/>
              </w:rPr>
            </w:pPr>
            <w:r w:rsidRPr="00312FD5">
              <w:rPr>
                <w:rFonts w:ascii="Arial" w:hAnsi="Arial" w:cs="Angsana New"/>
                <w:bCs/>
                <w:sz w:val="16"/>
                <w:szCs w:val="20"/>
                <w:lang w:val="en-GB"/>
              </w:rPr>
              <w:t>Organic matter</w:t>
            </w:r>
          </w:p>
        </w:tc>
        <w:tc>
          <w:tcPr>
            <w:tcW w:w="4918" w:type="dxa"/>
          </w:tcPr>
          <w:p w14:paraId="740A3CE6"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Water quality</w:t>
            </w:r>
          </w:p>
        </w:tc>
        <w:tc>
          <w:tcPr>
            <w:tcW w:w="600" w:type="dxa"/>
          </w:tcPr>
          <w:p w14:paraId="47CF4BE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76A08D0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0850104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Pr>
          <w:p w14:paraId="028D44A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008F210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0DF3783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Pr>
          <w:p w14:paraId="5056CE6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2D3A287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2B2FF6E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Pr>
          <w:p w14:paraId="6A1F342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4A1FFC1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800" w:type="dxa"/>
          </w:tcPr>
          <w:p w14:paraId="4817660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r>
      <w:tr w:rsidR="00312FD5" w:rsidRPr="00312FD5" w14:paraId="3582DA34" w14:textId="77777777" w:rsidTr="00312FD5">
        <w:tc>
          <w:tcPr>
            <w:tcW w:w="1282" w:type="dxa"/>
          </w:tcPr>
          <w:p w14:paraId="035C3929" w14:textId="77777777" w:rsidR="00312FD5" w:rsidRPr="00312FD5" w:rsidRDefault="00312FD5" w:rsidP="00312FD5">
            <w:pPr>
              <w:rPr>
                <w:rFonts w:ascii="Arial" w:hAnsi="Arial" w:cs="Angsana New"/>
                <w:bCs/>
                <w:sz w:val="16"/>
                <w:szCs w:val="20"/>
                <w:lang w:val="en-GB"/>
              </w:rPr>
            </w:pPr>
            <w:r w:rsidRPr="00312FD5">
              <w:rPr>
                <w:rFonts w:ascii="Arial" w:hAnsi="Arial" w:cs="Angsana New"/>
                <w:bCs/>
                <w:sz w:val="16"/>
                <w:szCs w:val="20"/>
                <w:lang w:val="en-GB"/>
              </w:rPr>
              <w:t>Nutrients</w:t>
            </w:r>
          </w:p>
        </w:tc>
        <w:tc>
          <w:tcPr>
            <w:tcW w:w="4918" w:type="dxa"/>
          </w:tcPr>
          <w:p w14:paraId="0409946B"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Eutrophication</w:t>
            </w:r>
          </w:p>
          <w:p w14:paraId="7E8F7B06"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Algal blooms and/or overgrowth</w:t>
            </w:r>
          </w:p>
          <w:p w14:paraId="616F912F"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Anoxia – fish kills</w:t>
            </w:r>
          </w:p>
          <w:p w14:paraId="1021A998"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Fish shellfish poisoning</w:t>
            </w:r>
          </w:p>
        </w:tc>
        <w:tc>
          <w:tcPr>
            <w:tcW w:w="600" w:type="dxa"/>
          </w:tcPr>
          <w:p w14:paraId="7673E6C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576A950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2EE4E55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1E3E4D3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5724E2F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3D23E91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25B2A6A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51B0E39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0A18AA5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6F4ACCA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239AEE3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9B1F7C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Pr>
          <w:p w14:paraId="0B7B0C1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0A8BD22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310A0F6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69FE28E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56740620"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3C1BDC2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13D9BEE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237D6BA0"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1D96AC7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38626AA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32A26F5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1C9570C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600" w:type="dxa"/>
          </w:tcPr>
          <w:p w14:paraId="2C149A40"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2D6E4AD0"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7B38E4E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50B3505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0A1EA16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5423C1C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ACE5180"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581983A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65DC63B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52EAAA0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F8A28D0"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424C6B9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600" w:type="dxa"/>
          </w:tcPr>
          <w:p w14:paraId="08C9146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2521110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00982B2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68BCC55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2CECA28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0D250D1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6174B7B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55BA0CA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800" w:type="dxa"/>
          </w:tcPr>
          <w:p w14:paraId="5D843C9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3514F8C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09872D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37A4A5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r>
      <w:tr w:rsidR="00312FD5" w:rsidRPr="00312FD5" w14:paraId="4E5498C2" w14:textId="77777777" w:rsidTr="00312FD5">
        <w:tc>
          <w:tcPr>
            <w:tcW w:w="1282" w:type="dxa"/>
          </w:tcPr>
          <w:p w14:paraId="77F9BFCC" w14:textId="77777777" w:rsidR="00312FD5" w:rsidRPr="00312FD5" w:rsidRDefault="00312FD5" w:rsidP="00312FD5">
            <w:pPr>
              <w:rPr>
                <w:rFonts w:ascii="Arial" w:hAnsi="Arial" w:cs="Angsana New"/>
                <w:bCs/>
                <w:sz w:val="16"/>
                <w:szCs w:val="20"/>
                <w:lang w:val="en-GB"/>
              </w:rPr>
            </w:pPr>
            <w:r w:rsidRPr="00312FD5">
              <w:rPr>
                <w:rFonts w:ascii="Arial" w:hAnsi="Arial" w:cs="Angsana New"/>
                <w:bCs/>
                <w:sz w:val="16"/>
                <w:szCs w:val="20"/>
                <w:lang w:val="en-GB"/>
              </w:rPr>
              <w:t>Oil and hydrocarbons</w:t>
            </w:r>
          </w:p>
        </w:tc>
        <w:tc>
          <w:tcPr>
            <w:tcW w:w="4918" w:type="dxa"/>
          </w:tcPr>
          <w:p w14:paraId="433FFD2E"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Contamination/tainting of aquaculture and wild fish</w:t>
            </w:r>
          </w:p>
          <w:p w14:paraId="08E0A229"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Extreme spills smothering of organisms</w:t>
            </w:r>
          </w:p>
          <w:p w14:paraId="2CB9A735"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Water quality</w:t>
            </w:r>
          </w:p>
        </w:tc>
        <w:tc>
          <w:tcPr>
            <w:tcW w:w="600" w:type="dxa"/>
          </w:tcPr>
          <w:p w14:paraId="69506B7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4D371AC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560A413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6275CD4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5C50E9E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2729CC8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09977AA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13495A4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019D23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600" w:type="dxa"/>
          </w:tcPr>
          <w:p w14:paraId="79A2D2E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68123C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53479F7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7DBDFF1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CEFBAD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13DEDD3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67DA23A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3695D9B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2DCE0F7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Pr>
          <w:p w14:paraId="5534BEE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638C2F8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1408542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1E91AE5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55DA2CB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2DF1BAD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2D99FF4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07E34EF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3658289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600" w:type="dxa"/>
          </w:tcPr>
          <w:p w14:paraId="6F1A667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62DB0C12" w14:textId="77777777" w:rsidR="00312FD5" w:rsidRPr="00312FD5" w:rsidRDefault="00312FD5" w:rsidP="00312FD5">
            <w:pPr>
              <w:jc w:val="center"/>
              <w:rPr>
                <w:rFonts w:ascii="Arial" w:hAnsi="Arial" w:cs="Angsana New"/>
                <w:bCs/>
                <w:sz w:val="16"/>
                <w:szCs w:val="20"/>
                <w:lang w:val="en-GB"/>
              </w:rPr>
            </w:pPr>
          </w:p>
          <w:p w14:paraId="086B0B2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0D9766E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4538B4E" w14:textId="77777777" w:rsidR="00312FD5" w:rsidRPr="00312FD5" w:rsidRDefault="00312FD5" w:rsidP="00312FD5">
            <w:pPr>
              <w:jc w:val="center"/>
              <w:rPr>
                <w:rFonts w:ascii="Arial" w:hAnsi="Arial" w:cs="Angsana New"/>
                <w:bCs/>
                <w:sz w:val="16"/>
                <w:szCs w:val="20"/>
                <w:lang w:val="en-GB"/>
              </w:rPr>
            </w:pPr>
          </w:p>
          <w:p w14:paraId="1413EB9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800" w:type="dxa"/>
          </w:tcPr>
          <w:p w14:paraId="5B41681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77439764" w14:textId="77777777" w:rsidR="00312FD5" w:rsidRPr="00312FD5" w:rsidRDefault="00312FD5" w:rsidP="00312FD5">
            <w:pPr>
              <w:jc w:val="center"/>
              <w:rPr>
                <w:rFonts w:ascii="Arial" w:hAnsi="Arial" w:cs="Angsana New"/>
                <w:bCs/>
                <w:sz w:val="16"/>
                <w:szCs w:val="20"/>
                <w:lang w:val="en-GB"/>
              </w:rPr>
            </w:pPr>
          </w:p>
          <w:p w14:paraId="7713D16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r>
      <w:tr w:rsidR="00312FD5" w:rsidRPr="00312FD5" w14:paraId="31708DD2" w14:textId="77777777" w:rsidTr="00312FD5">
        <w:tc>
          <w:tcPr>
            <w:tcW w:w="1282" w:type="dxa"/>
          </w:tcPr>
          <w:p w14:paraId="1E752392" w14:textId="77777777" w:rsidR="00312FD5" w:rsidRPr="00312FD5" w:rsidRDefault="00312FD5" w:rsidP="00312FD5">
            <w:pPr>
              <w:rPr>
                <w:rFonts w:ascii="Arial" w:hAnsi="Arial" w:cs="Angsana New"/>
                <w:bCs/>
                <w:sz w:val="16"/>
                <w:szCs w:val="20"/>
                <w:lang w:val="en-GB"/>
              </w:rPr>
            </w:pPr>
            <w:r w:rsidRPr="00312FD5">
              <w:rPr>
                <w:rFonts w:ascii="Arial" w:hAnsi="Arial" w:cs="Angsana New"/>
                <w:bCs/>
                <w:sz w:val="16"/>
                <w:szCs w:val="20"/>
                <w:lang w:val="en-GB"/>
              </w:rPr>
              <w:t>Sediments</w:t>
            </w:r>
          </w:p>
        </w:tc>
        <w:tc>
          <w:tcPr>
            <w:tcW w:w="4918" w:type="dxa"/>
          </w:tcPr>
          <w:p w14:paraId="0EE24A65"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 xml:space="preserve">Smothering of benthic communities </w:t>
            </w:r>
          </w:p>
          <w:p w14:paraId="1A4CBA91" w14:textId="77777777" w:rsidR="00312FD5" w:rsidRPr="00312FD5" w:rsidRDefault="00312FD5" w:rsidP="004B053A">
            <w:pPr>
              <w:numPr>
                <w:ilvl w:val="0"/>
                <w:numId w:val="18"/>
              </w:numPr>
              <w:tabs>
                <w:tab w:val="clear" w:pos="720"/>
                <w:tab w:val="num" w:pos="250"/>
              </w:tabs>
              <w:ind w:left="250" w:hanging="279"/>
              <w:rPr>
                <w:rFonts w:ascii="Arial" w:hAnsi="Arial" w:cs="Angsana New"/>
                <w:bCs/>
                <w:sz w:val="16"/>
                <w:szCs w:val="20"/>
                <w:lang w:val="en-GB"/>
              </w:rPr>
            </w:pPr>
            <w:r w:rsidRPr="00312FD5">
              <w:rPr>
                <w:rFonts w:ascii="Arial" w:hAnsi="Arial" w:cs="Angsana New"/>
                <w:bCs/>
                <w:sz w:val="16"/>
                <w:szCs w:val="20"/>
                <w:lang w:val="en-GB"/>
              </w:rPr>
              <w:t>Reduced light penetration from increased turbidity leading to reduced primary production</w:t>
            </w:r>
          </w:p>
          <w:p w14:paraId="0C9E1728"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Water quality</w:t>
            </w:r>
          </w:p>
          <w:p w14:paraId="27EB2223" w14:textId="77777777" w:rsidR="00312FD5" w:rsidRPr="00312FD5" w:rsidRDefault="00312FD5" w:rsidP="004B053A">
            <w:pPr>
              <w:numPr>
                <w:ilvl w:val="0"/>
                <w:numId w:val="18"/>
              </w:numPr>
              <w:tabs>
                <w:tab w:val="clear" w:pos="720"/>
                <w:tab w:val="num" w:pos="250"/>
              </w:tabs>
              <w:ind w:left="171" w:right="-113" w:hanging="200"/>
              <w:rPr>
                <w:rFonts w:ascii="Arial" w:hAnsi="Arial" w:cs="Angsana New"/>
                <w:bCs/>
                <w:sz w:val="16"/>
                <w:szCs w:val="20"/>
                <w:lang w:val="en-GB"/>
              </w:rPr>
            </w:pPr>
            <w:r w:rsidRPr="00312FD5">
              <w:rPr>
                <w:rFonts w:ascii="Arial" w:hAnsi="Arial" w:cs="Angsana New"/>
                <w:bCs/>
                <w:sz w:val="16"/>
                <w:szCs w:val="20"/>
                <w:lang w:val="en-GB"/>
              </w:rPr>
              <w:t>Change of water depth</w:t>
            </w:r>
          </w:p>
          <w:p w14:paraId="028972EF" w14:textId="77777777" w:rsidR="00312FD5" w:rsidRPr="00312FD5" w:rsidRDefault="00312FD5" w:rsidP="004B053A">
            <w:pPr>
              <w:numPr>
                <w:ilvl w:val="0"/>
                <w:numId w:val="18"/>
              </w:numPr>
              <w:tabs>
                <w:tab w:val="clear" w:pos="720"/>
                <w:tab w:val="num" w:pos="250"/>
              </w:tabs>
              <w:ind w:left="171" w:right="-113" w:hanging="200"/>
              <w:rPr>
                <w:rFonts w:ascii="Arial" w:hAnsi="Arial" w:cs="Angsana New"/>
                <w:bCs/>
                <w:sz w:val="16"/>
                <w:szCs w:val="20"/>
                <w:lang w:val="en-GB"/>
              </w:rPr>
            </w:pPr>
            <w:r w:rsidRPr="00312FD5">
              <w:rPr>
                <w:rFonts w:ascii="Arial" w:hAnsi="Arial" w:cs="Angsana New"/>
                <w:bCs/>
                <w:sz w:val="16"/>
                <w:szCs w:val="20"/>
                <w:lang w:val="en-GB"/>
              </w:rPr>
              <w:t>Change of species composition of benthic communities</w:t>
            </w:r>
          </w:p>
        </w:tc>
        <w:tc>
          <w:tcPr>
            <w:tcW w:w="600" w:type="dxa"/>
          </w:tcPr>
          <w:p w14:paraId="6E0AE29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32A465D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67E31077" w14:textId="77777777" w:rsidR="00312FD5" w:rsidRPr="00312FD5" w:rsidRDefault="00312FD5" w:rsidP="00312FD5">
            <w:pPr>
              <w:jc w:val="center"/>
              <w:rPr>
                <w:rFonts w:ascii="Arial" w:hAnsi="Arial" w:cs="Angsana New"/>
                <w:bCs/>
                <w:sz w:val="16"/>
                <w:szCs w:val="20"/>
                <w:lang w:val="en-GB"/>
              </w:rPr>
            </w:pPr>
          </w:p>
          <w:p w14:paraId="0CFB83A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27F5FF5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2350D75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6F61E35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195A9BE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441BC1F6" w14:textId="77777777" w:rsidR="00312FD5" w:rsidRPr="00312FD5" w:rsidRDefault="00312FD5" w:rsidP="00312FD5">
            <w:pPr>
              <w:jc w:val="center"/>
              <w:rPr>
                <w:rFonts w:ascii="Arial" w:hAnsi="Arial" w:cs="Angsana New"/>
                <w:bCs/>
                <w:sz w:val="16"/>
                <w:szCs w:val="20"/>
                <w:lang w:val="en-GB"/>
              </w:rPr>
            </w:pPr>
          </w:p>
          <w:p w14:paraId="77ECDA6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54845C3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74D1A07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2906A95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F9B1E7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CED5781" w14:textId="77777777" w:rsidR="00312FD5" w:rsidRPr="00312FD5" w:rsidRDefault="00312FD5" w:rsidP="00312FD5">
            <w:pPr>
              <w:jc w:val="center"/>
              <w:rPr>
                <w:rFonts w:ascii="Arial" w:hAnsi="Arial" w:cs="Angsana New"/>
                <w:bCs/>
                <w:sz w:val="16"/>
                <w:szCs w:val="20"/>
                <w:lang w:val="en-GB"/>
              </w:rPr>
            </w:pPr>
          </w:p>
          <w:p w14:paraId="3842F5C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BDB041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1C38E6C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Pr>
          <w:p w14:paraId="4DFA6D6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1B43239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79B838C8" w14:textId="77777777" w:rsidR="00312FD5" w:rsidRPr="00312FD5" w:rsidRDefault="00312FD5" w:rsidP="00312FD5">
            <w:pPr>
              <w:jc w:val="center"/>
              <w:rPr>
                <w:rFonts w:ascii="Arial" w:hAnsi="Arial" w:cs="Angsana New"/>
                <w:bCs/>
                <w:sz w:val="16"/>
                <w:szCs w:val="20"/>
                <w:lang w:val="en-GB"/>
              </w:rPr>
            </w:pPr>
          </w:p>
          <w:p w14:paraId="2B6738F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3200E2D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670B827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3F99BF3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0849779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057E0187" w14:textId="77777777" w:rsidR="00312FD5" w:rsidRPr="00312FD5" w:rsidRDefault="00312FD5" w:rsidP="00312FD5">
            <w:pPr>
              <w:jc w:val="center"/>
              <w:rPr>
                <w:rFonts w:ascii="Arial" w:hAnsi="Arial" w:cs="Angsana New"/>
                <w:bCs/>
                <w:sz w:val="16"/>
                <w:szCs w:val="20"/>
                <w:lang w:val="en-GB"/>
              </w:rPr>
            </w:pPr>
          </w:p>
          <w:p w14:paraId="4E0D3C7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6CD538F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4AF7E54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2323A47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2968601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243C02F1" w14:textId="77777777" w:rsidR="00312FD5" w:rsidRPr="00312FD5" w:rsidRDefault="00312FD5" w:rsidP="00312FD5">
            <w:pPr>
              <w:jc w:val="center"/>
              <w:rPr>
                <w:rFonts w:ascii="Arial" w:hAnsi="Arial" w:cs="Angsana New"/>
                <w:bCs/>
                <w:sz w:val="16"/>
                <w:szCs w:val="20"/>
                <w:lang w:val="en-GB"/>
              </w:rPr>
            </w:pPr>
          </w:p>
          <w:p w14:paraId="2D499930"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B86A4C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76C0DB4"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Pr>
          <w:p w14:paraId="0756A13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217360F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625BE774"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7ACB336A" w14:textId="77777777" w:rsidR="00312FD5" w:rsidRPr="00312FD5" w:rsidRDefault="00312FD5" w:rsidP="00312FD5">
            <w:pPr>
              <w:jc w:val="center"/>
              <w:rPr>
                <w:rFonts w:ascii="Arial" w:hAnsi="Arial" w:cs="Angsana New"/>
                <w:bCs/>
                <w:sz w:val="16"/>
                <w:szCs w:val="20"/>
                <w:lang w:val="en-GB"/>
              </w:rPr>
            </w:pPr>
          </w:p>
          <w:p w14:paraId="6080676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390B20C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7AF6182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4E09C5D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67F8C1E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4D344044" w14:textId="77777777" w:rsidR="00312FD5" w:rsidRPr="00312FD5" w:rsidRDefault="00312FD5" w:rsidP="00312FD5">
            <w:pPr>
              <w:jc w:val="center"/>
              <w:rPr>
                <w:rFonts w:ascii="Arial" w:hAnsi="Arial" w:cs="Angsana New"/>
                <w:bCs/>
                <w:sz w:val="16"/>
                <w:szCs w:val="20"/>
                <w:lang w:val="en-GB"/>
              </w:rPr>
            </w:pPr>
          </w:p>
          <w:p w14:paraId="6892601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527E62E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55A5D38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55B082B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6F93617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40E50BF" w14:textId="77777777" w:rsidR="00312FD5" w:rsidRPr="00312FD5" w:rsidRDefault="00312FD5" w:rsidP="00312FD5">
            <w:pPr>
              <w:jc w:val="center"/>
              <w:rPr>
                <w:rFonts w:ascii="Arial" w:hAnsi="Arial" w:cs="Angsana New"/>
                <w:bCs/>
                <w:sz w:val="16"/>
                <w:szCs w:val="20"/>
                <w:lang w:val="en-GB"/>
              </w:rPr>
            </w:pPr>
          </w:p>
          <w:p w14:paraId="343C6C74"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D19796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Pr>
          <w:p w14:paraId="2553476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06E6EBE0"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63F39F5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14353BA1" w14:textId="77777777" w:rsidR="00312FD5" w:rsidRPr="00312FD5" w:rsidRDefault="00312FD5" w:rsidP="00312FD5">
            <w:pPr>
              <w:jc w:val="center"/>
              <w:rPr>
                <w:rFonts w:ascii="Arial" w:hAnsi="Arial" w:cs="Angsana New"/>
                <w:bCs/>
                <w:sz w:val="16"/>
                <w:szCs w:val="20"/>
                <w:lang w:val="en-GB"/>
              </w:rPr>
            </w:pPr>
          </w:p>
          <w:p w14:paraId="593D539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20BCF2B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0BB74F8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12730F7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63241F44"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BD05CE6" w14:textId="77777777" w:rsidR="00312FD5" w:rsidRPr="00312FD5" w:rsidRDefault="00312FD5" w:rsidP="00312FD5">
            <w:pPr>
              <w:jc w:val="center"/>
              <w:rPr>
                <w:rFonts w:ascii="Arial" w:hAnsi="Arial" w:cs="Angsana New"/>
                <w:bCs/>
                <w:sz w:val="16"/>
                <w:szCs w:val="20"/>
                <w:lang w:val="en-GB"/>
              </w:rPr>
            </w:pPr>
          </w:p>
          <w:p w14:paraId="0388E4A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35B8D9A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800" w:type="dxa"/>
          </w:tcPr>
          <w:p w14:paraId="0F8370C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40896AB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2CFB6B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25A141DB" w14:textId="77777777" w:rsidR="00312FD5" w:rsidRPr="00312FD5" w:rsidRDefault="00312FD5" w:rsidP="00312FD5">
            <w:pPr>
              <w:jc w:val="center"/>
              <w:rPr>
                <w:rFonts w:ascii="Arial" w:hAnsi="Arial" w:cs="Angsana New"/>
                <w:bCs/>
                <w:sz w:val="16"/>
                <w:szCs w:val="20"/>
                <w:lang w:val="en-GB"/>
              </w:rPr>
            </w:pPr>
          </w:p>
          <w:p w14:paraId="36682B0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5547756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r>
      <w:tr w:rsidR="00312FD5" w:rsidRPr="00312FD5" w14:paraId="3ABB16ED" w14:textId="77777777" w:rsidTr="00312FD5">
        <w:tc>
          <w:tcPr>
            <w:tcW w:w="1282" w:type="dxa"/>
          </w:tcPr>
          <w:p w14:paraId="45FD861C" w14:textId="77777777" w:rsidR="00312FD5" w:rsidRPr="00312FD5" w:rsidRDefault="00312FD5" w:rsidP="00312FD5">
            <w:pPr>
              <w:rPr>
                <w:rFonts w:ascii="Arial" w:hAnsi="Arial" w:cs="Angsana New"/>
                <w:bCs/>
                <w:sz w:val="16"/>
                <w:szCs w:val="20"/>
                <w:lang w:val="en-GB"/>
              </w:rPr>
            </w:pPr>
            <w:r w:rsidRPr="00312FD5">
              <w:rPr>
                <w:rFonts w:ascii="Arial" w:hAnsi="Arial" w:cs="Angsana New"/>
                <w:bCs/>
                <w:sz w:val="16"/>
                <w:szCs w:val="20"/>
                <w:lang w:val="en-GB"/>
              </w:rPr>
              <w:t>POPs</w:t>
            </w:r>
          </w:p>
        </w:tc>
        <w:tc>
          <w:tcPr>
            <w:tcW w:w="4918" w:type="dxa"/>
          </w:tcPr>
          <w:p w14:paraId="2A0EAB54"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Water quality</w:t>
            </w:r>
          </w:p>
          <w:p w14:paraId="0FCF701D"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Contamination of seafood</w:t>
            </w:r>
          </w:p>
          <w:p w14:paraId="240CBDA9"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Reduced fish reproductive capacity</w:t>
            </w:r>
          </w:p>
        </w:tc>
        <w:tc>
          <w:tcPr>
            <w:tcW w:w="600" w:type="dxa"/>
          </w:tcPr>
          <w:p w14:paraId="17D4CDE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59EC7BD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6057241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0A11844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5D0BF7B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2F2B57F0"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2CD962F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2AB649D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2E3C7C9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Pr>
          <w:p w14:paraId="6184E73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42A685C4"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9667BC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3BA8723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4833774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973FF4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7215969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413E2D0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0952B5E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Pr>
          <w:p w14:paraId="4519D7A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0B7409D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DAAA94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172D657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439A10C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8832D0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2B63A4B0"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28B1B56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4489E6F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Pr>
          <w:p w14:paraId="796F9AA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498CE69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3D76F45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17878984"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45B3485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9EC3FE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800" w:type="dxa"/>
          </w:tcPr>
          <w:p w14:paraId="475D31A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5D46A33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79F1579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r>
      <w:tr w:rsidR="00312FD5" w:rsidRPr="00312FD5" w14:paraId="3C95CFE3" w14:textId="77777777" w:rsidTr="00312FD5">
        <w:tc>
          <w:tcPr>
            <w:tcW w:w="1282" w:type="dxa"/>
          </w:tcPr>
          <w:p w14:paraId="366B435C" w14:textId="77777777" w:rsidR="00312FD5" w:rsidRPr="00312FD5" w:rsidRDefault="00312FD5" w:rsidP="00312FD5">
            <w:pPr>
              <w:rPr>
                <w:rFonts w:ascii="Arial" w:hAnsi="Arial" w:cs="Angsana New"/>
                <w:bCs/>
                <w:sz w:val="16"/>
                <w:szCs w:val="20"/>
                <w:lang w:val="en-GB"/>
              </w:rPr>
            </w:pPr>
            <w:r w:rsidRPr="00312FD5">
              <w:rPr>
                <w:rFonts w:ascii="Arial" w:hAnsi="Arial" w:cs="Angsana New"/>
                <w:bCs/>
                <w:sz w:val="16"/>
                <w:szCs w:val="20"/>
                <w:lang w:val="en-GB"/>
              </w:rPr>
              <w:t>Solid waste (plastics)</w:t>
            </w:r>
          </w:p>
        </w:tc>
        <w:tc>
          <w:tcPr>
            <w:tcW w:w="4918" w:type="dxa"/>
          </w:tcPr>
          <w:p w14:paraId="4C040247"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Smothering of organisms</w:t>
            </w:r>
          </w:p>
          <w:p w14:paraId="50D8402C"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Loss of amenity value</w:t>
            </w:r>
          </w:p>
          <w:p w14:paraId="1322C4C9"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Biosorption of plasticizing agent</w:t>
            </w:r>
          </w:p>
        </w:tc>
        <w:tc>
          <w:tcPr>
            <w:tcW w:w="600" w:type="dxa"/>
          </w:tcPr>
          <w:p w14:paraId="37E3FC9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405E98E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081BD00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2E08395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0C8BA8A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64D2BCE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600" w:type="dxa"/>
          </w:tcPr>
          <w:p w14:paraId="03A6C64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3010BCF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0D2E84F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4CB079E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29429D1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B9252D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600" w:type="dxa"/>
          </w:tcPr>
          <w:p w14:paraId="37805B1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5232831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76DC53C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7D88247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6AEB8AD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693B7C4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600" w:type="dxa"/>
          </w:tcPr>
          <w:p w14:paraId="2A1BA5F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01BA6CA4"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67E691B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1371E86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800" w:type="dxa"/>
          </w:tcPr>
          <w:p w14:paraId="13EDF27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2A7A9AE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r>
      <w:tr w:rsidR="00312FD5" w:rsidRPr="00312FD5" w14:paraId="155C79BE" w14:textId="77777777" w:rsidTr="00312FD5">
        <w:tc>
          <w:tcPr>
            <w:tcW w:w="1282" w:type="dxa"/>
          </w:tcPr>
          <w:p w14:paraId="5A54F8E0" w14:textId="77777777" w:rsidR="00312FD5" w:rsidRPr="00312FD5" w:rsidRDefault="00312FD5" w:rsidP="00312FD5">
            <w:pPr>
              <w:rPr>
                <w:rFonts w:ascii="Arial" w:hAnsi="Arial" w:cs="Angsana New"/>
                <w:bCs/>
                <w:sz w:val="16"/>
                <w:szCs w:val="20"/>
                <w:lang w:val="en-GB"/>
              </w:rPr>
            </w:pPr>
            <w:r w:rsidRPr="00312FD5">
              <w:rPr>
                <w:rFonts w:ascii="Arial" w:hAnsi="Arial" w:cs="Angsana New"/>
                <w:bCs/>
                <w:sz w:val="16"/>
                <w:szCs w:val="20"/>
                <w:lang w:val="en-GB"/>
              </w:rPr>
              <w:t>Thermal pollution</w:t>
            </w:r>
          </w:p>
        </w:tc>
        <w:tc>
          <w:tcPr>
            <w:tcW w:w="4918" w:type="dxa"/>
          </w:tcPr>
          <w:p w14:paraId="08DC992C"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Reduced productivity</w:t>
            </w:r>
          </w:p>
          <w:p w14:paraId="11ECE0C3"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Loss of species</w:t>
            </w:r>
          </w:p>
        </w:tc>
        <w:tc>
          <w:tcPr>
            <w:tcW w:w="600" w:type="dxa"/>
          </w:tcPr>
          <w:p w14:paraId="4777600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49AB8F1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559D0EB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54A668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124B75E0"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3F5D46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Pr>
          <w:p w14:paraId="38E1B4C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45E115D4"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670F303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4CB8C14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66DAEBA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790187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Pr>
          <w:p w14:paraId="6E08B95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5FBC4774"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550E142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1828861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65AD23B4"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3E3F9A3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Pr>
          <w:p w14:paraId="290B0F90"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2860BEE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2288C1F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385177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800" w:type="dxa"/>
          </w:tcPr>
          <w:p w14:paraId="53E1ECB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1D4258F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r>
      <w:tr w:rsidR="00312FD5" w:rsidRPr="00312FD5" w14:paraId="2B14E51C" w14:textId="77777777" w:rsidTr="00312FD5">
        <w:tc>
          <w:tcPr>
            <w:tcW w:w="1282" w:type="dxa"/>
          </w:tcPr>
          <w:p w14:paraId="17B7185C" w14:textId="77777777" w:rsidR="00312FD5" w:rsidRPr="00312FD5" w:rsidRDefault="00312FD5" w:rsidP="00312FD5">
            <w:pPr>
              <w:ind w:right="-108"/>
              <w:rPr>
                <w:rFonts w:ascii="Arial" w:hAnsi="Arial" w:cs="Angsana New"/>
                <w:bCs/>
                <w:sz w:val="16"/>
                <w:szCs w:val="20"/>
                <w:lang w:val="en-GB"/>
              </w:rPr>
            </w:pPr>
            <w:r w:rsidRPr="00312FD5">
              <w:rPr>
                <w:rFonts w:ascii="Arial" w:hAnsi="Arial" w:cs="Angsana New"/>
                <w:bCs/>
                <w:sz w:val="16"/>
                <w:szCs w:val="20"/>
                <w:lang w:val="en-GB"/>
              </w:rPr>
              <w:t>Bacterial contamination</w:t>
            </w:r>
          </w:p>
        </w:tc>
        <w:tc>
          <w:tcPr>
            <w:tcW w:w="4918" w:type="dxa"/>
          </w:tcPr>
          <w:p w14:paraId="662E4CF3"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Loss of amenity value (reduced bathing)</w:t>
            </w:r>
          </w:p>
          <w:p w14:paraId="194AE3B7"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Contamination of human food sources</w:t>
            </w:r>
          </w:p>
        </w:tc>
        <w:tc>
          <w:tcPr>
            <w:tcW w:w="600" w:type="dxa"/>
          </w:tcPr>
          <w:p w14:paraId="690EAA5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72AA852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12C415E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789BAE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49D4044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65B5529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600" w:type="dxa"/>
          </w:tcPr>
          <w:p w14:paraId="782E3E2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21141D9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1BBFEA3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2C89414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289B3AC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662BD92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600" w:type="dxa"/>
          </w:tcPr>
          <w:p w14:paraId="3B35E78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1E013C9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307ED01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0C02BF2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606C141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2D4C40F4"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600" w:type="dxa"/>
          </w:tcPr>
          <w:p w14:paraId="61648EC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69C57234"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700" w:type="dxa"/>
          </w:tcPr>
          <w:p w14:paraId="56BB2AE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6569BCF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800" w:type="dxa"/>
          </w:tcPr>
          <w:p w14:paraId="2483B39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6B8D697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r>
      <w:tr w:rsidR="00312FD5" w:rsidRPr="00312FD5" w14:paraId="44534A39" w14:textId="77777777" w:rsidTr="00312FD5">
        <w:tc>
          <w:tcPr>
            <w:tcW w:w="1282" w:type="dxa"/>
          </w:tcPr>
          <w:p w14:paraId="5BA63105" w14:textId="77777777" w:rsidR="00312FD5" w:rsidRPr="00312FD5" w:rsidRDefault="00312FD5" w:rsidP="00312FD5">
            <w:pPr>
              <w:rPr>
                <w:rFonts w:ascii="Arial" w:hAnsi="Arial" w:cs="Angsana New"/>
                <w:bCs/>
                <w:sz w:val="16"/>
                <w:szCs w:val="20"/>
                <w:lang w:val="en-GB"/>
              </w:rPr>
            </w:pPr>
            <w:r w:rsidRPr="00312FD5">
              <w:rPr>
                <w:rFonts w:ascii="Arial" w:hAnsi="Arial" w:cs="Angsana New"/>
                <w:bCs/>
                <w:sz w:val="16"/>
                <w:szCs w:val="20"/>
                <w:lang w:val="en-GB"/>
              </w:rPr>
              <w:t xml:space="preserve">Acid Pollution </w:t>
            </w:r>
          </w:p>
        </w:tc>
        <w:tc>
          <w:tcPr>
            <w:tcW w:w="4918" w:type="dxa"/>
          </w:tcPr>
          <w:p w14:paraId="11B38275"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Change in pH of water column and sediment pore water</w:t>
            </w:r>
          </w:p>
          <w:p w14:paraId="2EA07CB9" w14:textId="77777777" w:rsidR="00312FD5" w:rsidRPr="00312FD5" w:rsidRDefault="00312FD5" w:rsidP="004B053A">
            <w:pPr>
              <w:numPr>
                <w:ilvl w:val="0"/>
                <w:numId w:val="18"/>
              </w:numPr>
              <w:tabs>
                <w:tab w:val="clear" w:pos="720"/>
                <w:tab w:val="num" w:pos="250"/>
              </w:tabs>
              <w:ind w:left="171" w:hanging="200"/>
              <w:rPr>
                <w:rFonts w:ascii="Arial" w:hAnsi="Arial" w:cs="Angsana New"/>
                <w:bCs/>
                <w:sz w:val="16"/>
                <w:szCs w:val="20"/>
                <w:lang w:val="en-GB"/>
              </w:rPr>
            </w:pPr>
            <w:r w:rsidRPr="00312FD5">
              <w:rPr>
                <w:rFonts w:ascii="Arial" w:hAnsi="Arial" w:cs="Angsana New"/>
                <w:bCs/>
                <w:sz w:val="16"/>
                <w:szCs w:val="20"/>
                <w:lang w:val="en-GB"/>
              </w:rPr>
              <w:t>Loss of species (fish)</w:t>
            </w:r>
          </w:p>
        </w:tc>
        <w:tc>
          <w:tcPr>
            <w:tcW w:w="600" w:type="dxa"/>
          </w:tcPr>
          <w:p w14:paraId="5DDDA437"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1AF1B81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4630D3C0"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5A3854D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3E1B07F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2E0D0BA9"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Pr>
          <w:p w14:paraId="45851B13"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1E6C8916"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44D3DB05"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E863A5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4E78E82E"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F701EF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Pr>
          <w:p w14:paraId="5B6136B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3B7DA2F0"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5DE0A674"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0E5EA51B"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5FF0C50A"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32C3EE5F"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c>
          <w:tcPr>
            <w:tcW w:w="600" w:type="dxa"/>
          </w:tcPr>
          <w:p w14:paraId="219C6EE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p w14:paraId="09577D32"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700" w:type="dxa"/>
          </w:tcPr>
          <w:p w14:paraId="7C6AA281"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21E929AC"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v</w:t>
            </w:r>
          </w:p>
        </w:tc>
        <w:tc>
          <w:tcPr>
            <w:tcW w:w="800" w:type="dxa"/>
          </w:tcPr>
          <w:p w14:paraId="08F07A3D"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p w14:paraId="0C8E25F8" w14:textId="77777777" w:rsidR="00312FD5" w:rsidRPr="00312FD5" w:rsidRDefault="00312FD5" w:rsidP="00312FD5">
            <w:pPr>
              <w:jc w:val="center"/>
              <w:rPr>
                <w:rFonts w:ascii="Arial" w:hAnsi="Arial" w:cs="Angsana New"/>
                <w:bCs/>
                <w:sz w:val="16"/>
                <w:szCs w:val="20"/>
                <w:lang w:val="en-GB"/>
              </w:rPr>
            </w:pPr>
            <w:r w:rsidRPr="00312FD5">
              <w:rPr>
                <w:rFonts w:ascii="Arial" w:hAnsi="Arial" w:cs="Angsana New"/>
                <w:bCs/>
                <w:sz w:val="16"/>
                <w:szCs w:val="20"/>
                <w:lang w:val="en-GB"/>
              </w:rPr>
              <w:t>-</w:t>
            </w:r>
          </w:p>
        </w:tc>
      </w:tr>
    </w:tbl>
    <w:p w14:paraId="4A535036" w14:textId="77777777" w:rsidR="00312FD5" w:rsidRPr="00312FD5" w:rsidRDefault="00312FD5" w:rsidP="00312FD5">
      <w:pPr>
        <w:rPr>
          <w:rFonts w:ascii="Arial" w:hAnsi="Arial" w:cs="Angsana New"/>
          <w:bCs/>
          <w:sz w:val="20"/>
          <w:szCs w:val="20"/>
          <w:lang w:val="en-GB"/>
        </w:rPr>
      </w:pPr>
    </w:p>
    <w:p w14:paraId="793909D8" w14:textId="77777777" w:rsidR="00312FD5" w:rsidRDefault="00312FD5" w:rsidP="006B6786">
      <w:pPr>
        <w:spacing w:before="120" w:after="120"/>
        <w:jc w:val="both"/>
        <w:rPr>
          <w:sz w:val="22"/>
          <w:szCs w:val="22"/>
          <w:lang w:val="en-GB"/>
        </w:rPr>
        <w:sectPr w:rsidR="00312FD5" w:rsidSect="00064925">
          <w:pgSz w:w="15840" w:h="12240" w:orient="landscape" w:code="1"/>
          <w:pgMar w:top="1584" w:right="1440" w:bottom="1584" w:left="1440" w:header="706" w:footer="706" w:gutter="0"/>
          <w:cols w:space="708"/>
          <w:docGrid w:linePitch="360"/>
        </w:sectPr>
      </w:pPr>
    </w:p>
    <w:p w14:paraId="1C3BA8B2" w14:textId="77777777" w:rsidR="00312FD5" w:rsidRDefault="00312FD5" w:rsidP="006B6786">
      <w:pPr>
        <w:spacing w:before="120" w:after="120"/>
        <w:jc w:val="both"/>
        <w:rPr>
          <w:sz w:val="22"/>
          <w:szCs w:val="22"/>
          <w:lang w:val="en-GB"/>
        </w:rPr>
      </w:pPr>
    </w:p>
    <w:p w14:paraId="37C366A4" w14:textId="77777777" w:rsidR="00796B4F" w:rsidRPr="003C5456" w:rsidRDefault="00796B4F" w:rsidP="00796B4F">
      <w:pPr>
        <w:ind w:left="1440" w:hanging="1440"/>
        <w:jc w:val="both"/>
        <w:rPr>
          <w:sz w:val="21"/>
          <w:szCs w:val="21"/>
        </w:rPr>
      </w:pPr>
      <w:r w:rsidRPr="003C5456">
        <w:rPr>
          <w:b/>
          <w:sz w:val="21"/>
          <w:szCs w:val="21"/>
        </w:rPr>
        <w:t>Table 1</w:t>
      </w:r>
      <w:r>
        <w:rPr>
          <w:b/>
          <w:sz w:val="21"/>
          <w:szCs w:val="21"/>
        </w:rPr>
        <w:t>7</w:t>
      </w:r>
      <w:r w:rsidRPr="003C5456">
        <w:rPr>
          <w:b/>
          <w:sz w:val="21"/>
          <w:szCs w:val="21"/>
        </w:rPr>
        <w:t>a</w:t>
      </w:r>
      <w:r w:rsidRPr="003C5456">
        <w:rPr>
          <w:sz w:val="21"/>
          <w:szCs w:val="21"/>
        </w:rPr>
        <w:t xml:space="preserve"> </w:t>
      </w:r>
      <w:r w:rsidRPr="003C5456">
        <w:rPr>
          <w:sz w:val="21"/>
          <w:szCs w:val="21"/>
        </w:rPr>
        <w:tab/>
        <w:t xml:space="preserve">Framework for assessing the effects of fishing </w:t>
      </w:r>
    </w:p>
    <w:p w14:paraId="5E458156" w14:textId="77777777" w:rsidR="00796B4F" w:rsidRPr="003C5456" w:rsidRDefault="00796B4F" w:rsidP="00796B4F">
      <w:pPr>
        <w:jc w:val="both"/>
        <w:rPr>
          <w:rFonts w:ascii="Arial" w:hAnsi="Arial" w:cs="Arial"/>
          <w:sz w:val="20"/>
        </w:rPr>
      </w:pPr>
    </w:p>
    <w:tbl>
      <w:tblPr>
        <w:tblW w:w="92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4"/>
        <w:gridCol w:w="6858"/>
      </w:tblGrid>
      <w:tr w:rsidR="00796B4F" w:rsidRPr="003C5456" w14:paraId="37B1FCB6" w14:textId="77777777" w:rsidTr="003B7C13">
        <w:trPr>
          <w:jc w:val="center"/>
        </w:trPr>
        <w:tc>
          <w:tcPr>
            <w:tcW w:w="2384" w:type="dxa"/>
            <w:tcBorders>
              <w:top w:val="single" w:sz="12" w:space="0" w:color="auto"/>
              <w:left w:val="single" w:sz="12" w:space="0" w:color="auto"/>
              <w:bottom w:val="single" w:sz="12" w:space="0" w:color="auto"/>
              <w:right w:val="single" w:sz="12" w:space="0" w:color="auto"/>
            </w:tcBorders>
            <w:vAlign w:val="center"/>
          </w:tcPr>
          <w:p w14:paraId="2B7F9F54" w14:textId="77777777" w:rsidR="00796B4F" w:rsidRPr="003C5456" w:rsidRDefault="00796B4F" w:rsidP="005B6B53">
            <w:pPr>
              <w:jc w:val="both"/>
              <w:rPr>
                <w:rFonts w:ascii="Arial" w:hAnsi="Arial"/>
                <w:b/>
                <w:sz w:val="18"/>
                <w:szCs w:val="20"/>
                <w:lang w:val="en-GB"/>
              </w:rPr>
            </w:pPr>
            <w:r w:rsidRPr="003C5456">
              <w:rPr>
                <w:rFonts w:ascii="Arial" w:hAnsi="Arial"/>
                <w:b/>
                <w:sz w:val="18"/>
                <w:szCs w:val="20"/>
                <w:lang w:val="en-GB"/>
              </w:rPr>
              <w:t xml:space="preserve">Effects of fishing and </w:t>
            </w:r>
            <w:r>
              <w:rPr>
                <w:rFonts w:ascii="Arial" w:hAnsi="Arial"/>
                <w:b/>
                <w:sz w:val="18"/>
                <w:szCs w:val="20"/>
                <w:lang w:val="en-GB"/>
              </w:rPr>
              <w:t>r</w:t>
            </w:r>
            <w:r w:rsidRPr="003C5456">
              <w:rPr>
                <w:rFonts w:ascii="Arial" w:hAnsi="Arial"/>
                <w:b/>
                <w:sz w:val="18"/>
                <w:szCs w:val="20"/>
                <w:lang w:val="en-GB"/>
              </w:rPr>
              <w:t>elated Activities on:</w:t>
            </w:r>
          </w:p>
        </w:tc>
        <w:tc>
          <w:tcPr>
            <w:tcW w:w="6858" w:type="dxa"/>
            <w:tcBorders>
              <w:top w:val="single" w:sz="12" w:space="0" w:color="auto"/>
              <w:left w:val="single" w:sz="12" w:space="0" w:color="auto"/>
              <w:bottom w:val="single" w:sz="12" w:space="0" w:color="auto"/>
              <w:right w:val="single" w:sz="12" w:space="0" w:color="auto"/>
            </w:tcBorders>
            <w:vAlign w:val="center"/>
          </w:tcPr>
          <w:p w14:paraId="5A10203F" w14:textId="77777777" w:rsidR="00796B4F" w:rsidRPr="003C5456" w:rsidRDefault="00796B4F" w:rsidP="005B6B53">
            <w:pPr>
              <w:spacing w:before="240" w:after="60"/>
              <w:jc w:val="both"/>
              <w:outlineLvl w:val="5"/>
              <w:rPr>
                <w:rFonts w:ascii="Arial" w:hAnsi="Arial" w:cs="Arial"/>
                <w:b/>
                <w:bCs/>
                <w:sz w:val="18"/>
                <w:szCs w:val="22"/>
                <w:lang w:val="en-GB"/>
              </w:rPr>
            </w:pPr>
            <w:r w:rsidRPr="003C5456">
              <w:rPr>
                <w:rFonts w:ascii="Arial" w:hAnsi="Arial" w:cs="Arial"/>
                <w:b/>
                <w:bCs/>
                <w:sz w:val="18"/>
                <w:szCs w:val="22"/>
                <w:lang w:val="en-GB"/>
              </w:rPr>
              <w:t>Reported problem</w:t>
            </w:r>
            <w:r>
              <w:rPr>
                <w:rFonts w:ascii="Arial" w:hAnsi="Arial" w:cs="Arial"/>
                <w:b/>
                <w:bCs/>
                <w:sz w:val="18"/>
                <w:szCs w:val="22"/>
                <w:lang w:val="en-GB"/>
              </w:rPr>
              <w:t>s in relation to coastal environmental management</w:t>
            </w:r>
          </w:p>
        </w:tc>
      </w:tr>
      <w:tr w:rsidR="00796B4F" w:rsidRPr="003C5456" w14:paraId="32E151E6" w14:textId="77777777" w:rsidTr="005B6B53">
        <w:trPr>
          <w:cantSplit/>
          <w:jc w:val="center"/>
        </w:trPr>
        <w:tc>
          <w:tcPr>
            <w:tcW w:w="2384" w:type="dxa"/>
            <w:vMerge w:val="restart"/>
            <w:tcBorders>
              <w:top w:val="single" w:sz="12" w:space="0" w:color="auto"/>
              <w:left w:val="single" w:sz="12" w:space="0" w:color="auto"/>
              <w:right w:val="single" w:sz="12" w:space="0" w:color="auto"/>
            </w:tcBorders>
            <w:vAlign w:val="center"/>
          </w:tcPr>
          <w:p w14:paraId="42389434" w14:textId="77777777" w:rsidR="00796B4F" w:rsidRPr="003C5456" w:rsidRDefault="00796B4F" w:rsidP="005B6B53">
            <w:pPr>
              <w:rPr>
                <w:rFonts w:ascii="Arial" w:hAnsi="Arial"/>
                <w:sz w:val="16"/>
                <w:szCs w:val="20"/>
                <w:lang w:val="en-GB"/>
              </w:rPr>
            </w:pPr>
            <w:r w:rsidRPr="003C5456">
              <w:rPr>
                <w:rFonts w:ascii="Arial" w:hAnsi="Arial"/>
                <w:sz w:val="16"/>
                <w:szCs w:val="20"/>
                <w:lang w:val="en-GB"/>
              </w:rPr>
              <w:t>Populations and communities of fished and harvested species</w:t>
            </w:r>
          </w:p>
        </w:tc>
        <w:tc>
          <w:tcPr>
            <w:tcW w:w="6858" w:type="dxa"/>
            <w:tcBorders>
              <w:top w:val="single" w:sz="12" w:space="0" w:color="auto"/>
              <w:left w:val="single" w:sz="12" w:space="0" w:color="auto"/>
              <w:right w:val="single" w:sz="12" w:space="0" w:color="auto"/>
            </w:tcBorders>
            <w:vAlign w:val="center"/>
          </w:tcPr>
          <w:p w14:paraId="0F9A70AD"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Declining availability and biomass of important species</w:t>
            </w:r>
          </w:p>
        </w:tc>
      </w:tr>
      <w:tr w:rsidR="00796B4F" w:rsidRPr="003C5456" w14:paraId="3900397B" w14:textId="77777777" w:rsidTr="005B6B53">
        <w:trPr>
          <w:cantSplit/>
          <w:jc w:val="center"/>
        </w:trPr>
        <w:tc>
          <w:tcPr>
            <w:tcW w:w="2384" w:type="dxa"/>
            <w:vMerge/>
            <w:tcBorders>
              <w:left w:val="single" w:sz="12" w:space="0" w:color="auto"/>
              <w:right w:val="single" w:sz="12" w:space="0" w:color="auto"/>
            </w:tcBorders>
            <w:vAlign w:val="center"/>
          </w:tcPr>
          <w:p w14:paraId="090FAF1D" w14:textId="77777777" w:rsidR="00796B4F" w:rsidRPr="003C5456" w:rsidRDefault="00796B4F" w:rsidP="005B6B53">
            <w:pPr>
              <w:jc w:val="both"/>
              <w:rPr>
                <w:rFonts w:ascii="Arial" w:hAnsi="Arial"/>
                <w:sz w:val="16"/>
                <w:szCs w:val="20"/>
                <w:lang w:val="en-GB"/>
              </w:rPr>
            </w:pPr>
          </w:p>
        </w:tc>
        <w:tc>
          <w:tcPr>
            <w:tcW w:w="6858" w:type="dxa"/>
            <w:tcBorders>
              <w:left w:val="single" w:sz="12" w:space="0" w:color="auto"/>
              <w:right w:val="single" w:sz="12" w:space="0" w:color="auto"/>
            </w:tcBorders>
            <w:vAlign w:val="center"/>
          </w:tcPr>
          <w:p w14:paraId="39BD94BF"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Size at first capture of important species low relative to historic average</w:t>
            </w:r>
          </w:p>
        </w:tc>
      </w:tr>
      <w:tr w:rsidR="00796B4F" w:rsidRPr="003C5456" w14:paraId="2CEA1399" w14:textId="77777777" w:rsidTr="005B6B53">
        <w:trPr>
          <w:cantSplit/>
          <w:jc w:val="center"/>
        </w:trPr>
        <w:tc>
          <w:tcPr>
            <w:tcW w:w="2384" w:type="dxa"/>
            <w:vMerge/>
            <w:tcBorders>
              <w:left w:val="single" w:sz="12" w:space="0" w:color="auto"/>
              <w:right w:val="single" w:sz="12" w:space="0" w:color="auto"/>
            </w:tcBorders>
            <w:vAlign w:val="center"/>
          </w:tcPr>
          <w:p w14:paraId="58A9F235" w14:textId="77777777" w:rsidR="00796B4F" w:rsidRPr="003C5456" w:rsidRDefault="00796B4F" w:rsidP="005B6B53">
            <w:pPr>
              <w:jc w:val="both"/>
              <w:rPr>
                <w:rFonts w:ascii="Arial" w:hAnsi="Arial"/>
                <w:sz w:val="16"/>
                <w:szCs w:val="20"/>
                <w:lang w:val="en-GB"/>
              </w:rPr>
            </w:pPr>
          </w:p>
        </w:tc>
        <w:tc>
          <w:tcPr>
            <w:tcW w:w="6858" w:type="dxa"/>
            <w:tcBorders>
              <w:left w:val="single" w:sz="12" w:space="0" w:color="auto"/>
              <w:right w:val="single" w:sz="12" w:space="0" w:color="auto"/>
            </w:tcBorders>
            <w:vAlign w:val="center"/>
          </w:tcPr>
          <w:p w14:paraId="0ABDC2E2"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Change in the age and sex structure of catches of important species</w:t>
            </w:r>
          </w:p>
        </w:tc>
      </w:tr>
      <w:tr w:rsidR="00796B4F" w:rsidRPr="003C5456" w14:paraId="6BAC9B2F" w14:textId="77777777" w:rsidTr="005B6B53">
        <w:trPr>
          <w:cantSplit/>
          <w:jc w:val="center"/>
        </w:trPr>
        <w:tc>
          <w:tcPr>
            <w:tcW w:w="2384" w:type="dxa"/>
            <w:vMerge/>
            <w:tcBorders>
              <w:left w:val="single" w:sz="12" w:space="0" w:color="auto"/>
              <w:right w:val="single" w:sz="12" w:space="0" w:color="auto"/>
            </w:tcBorders>
            <w:vAlign w:val="center"/>
          </w:tcPr>
          <w:p w14:paraId="2AFE909A" w14:textId="77777777" w:rsidR="00796B4F" w:rsidRPr="003C5456" w:rsidRDefault="00796B4F" w:rsidP="005B6B53">
            <w:pPr>
              <w:jc w:val="both"/>
              <w:rPr>
                <w:rFonts w:ascii="Arial" w:hAnsi="Arial"/>
                <w:sz w:val="16"/>
                <w:szCs w:val="20"/>
                <w:lang w:val="en-GB"/>
              </w:rPr>
            </w:pPr>
          </w:p>
        </w:tc>
        <w:tc>
          <w:tcPr>
            <w:tcW w:w="6858" w:type="dxa"/>
            <w:tcBorders>
              <w:left w:val="single" w:sz="12" w:space="0" w:color="auto"/>
              <w:right w:val="single" w:sz="12" w:space="0" w:color="auto"/>
            </w:tcBorders>
            <w:vAlign w:val="center"/>
          </w:tcPr>
          <w:p w14:paraId="02FE2A62"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Changes in the species composition of catches</w:t>
            </w:r>
          </w:p>
        </w:tc>
      </w:tr>
      <w:tr w:rsidR="00796B4F" w:rsidRPr="003C5456" w14:paraId="211C1265" w14:textId="77777777" w:rsidTr="005B6B53">
        <w:trPr>
          <w:cantSplit/>
          <w:jc w:val="center"/>
        </w:trPr>
        <w:tc>
          <w:tcPr>
            <w:tcW w:w="2384" w:type="dxa"/>
            <w:vMerge/>
            <w:tcBorders>
              <w:left w:val="single" w:sz="12" w:space="0" w:color="auto"/>
              <w:right w:val="single" w:sz="12" w:space="0" w:color="auto"/>
            </w:tcBorders>
            <w:vAlign w:val="center"/>
          </w:tcPr>
          <w:p w14:paraId="57CA5302" w14:textId="77777777" w:rsidR="00796B4F" w:rsidRPr="003C5456" w:rsidRDefault="00796B4F" w:rsidP="005B6B53">
            <w:pPr>
              <w:jc w:val="both"/>
              <w:rPr>
                <w:rFonts w:ascii="Arial" w:hAnsi="Arial"/>
                <w:sz w:val="16"/>
                <w:szCs w:val="20"/>
                <w:lang w:val="en-GB"/>
              </w:rPr>
            </w:pPr>
          </w:p>
        </w:tc>
        <w:tc>
          <w:tcPr>
            <w:tcW w:w="6858" w:type="dxa"/>
            <w:tcBorders>
              <w:left w:val="single" w:sz="12" w:space="0" w:color="auto"/>
              <w:right w:val="single" w:sz="12" w:space="0" w:color="auto"/>
            </w:tcBorders>
            <w:vAlign w:val="center"/>
          </w:tcPr>
          <w:p w14:paraId="07DF6B17"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Number of species in the catch low relative to historic average</w:t>
            </w:r>
          </w:p>
        </w:tc>
      </w:tr>
      <w:tr w:rsidR="00796B4F" w:rsidRPr="003C5456" w14:paraId="2C037076" w14:textId="77777777" w:rsidTr="005B6B53">
        <w:trPr>
          <w:cantSplit/>
          <w:jc w:val="center"/>
        </w:trPr>
        <w:tc>
          <w:tcPr>
            <w:tcW w:w="2384" w:type="dxa"/>
            <w:vMerge/>
            <w:tcBorders>
              <w:left w:val="single" w:sz="12" w:space="0" w:color="auto"/>
              <w:right w:val="single" w:sz="12" w:space="0" w:color="auto"/>
            </w:tcBorders>
            <w:vAlign w:val="center"/>
          </w:tcPr>
          <w:p w14:paraId="4CFA79A4" w14:textId="77777777" w:rsidR="00796B4F" w:rsidRPr="003C5456" w:rsidRDefault="00796B4F" w:rsidP="005B6B53">
            <w:pPr>
              <w:jc w:val="both"/>
              <w:rPr>
                <w:rFonts w:ascii="Arial" w:hAnsi="Arial"/>
                <w:sz w:val="16"/>
                <w:szCs w:val="20"/>
                <w:lang w:val="en-GB"/>
              </w:rPr>
            </w:pPr>
          </w:p>
        </w:tc>
        <w:tc>
          <w:tcPr>
            <w:tcW w:w="6858" w:type="dxa"/>
            <w:tcBorders>
              <w:left w:val="single" w:sz="12" w:space="0" w:color="auto"/>
              <w:right w:val="single" w:sz="12" w:space="0" w:color="auto"/>
            </w:tcBorders>
            <w:vAlign w:val="center"/>
          </w:tcPr>
          <w:p w14:paraId="40197753"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Changes in community structure due to direct reduction of populations representing specific trophic levels of the community (e.g. predator or prey)</w:t>
            </w:r>
          </w:p>
        </w:tc>
      </w:tr>
      <w:tr w:rsidR="00796B4F" w:rsidRPr="003C5456" w14:paraId="6FD16D00" w14:textId="77777777" w:rsidTr="005B6B53">
        <w:trPr>
          <w:cantSplit/>
          <w:jc w:val="center"/>
        </w:trPr>
        <w:tc>
          <w:tcPr>
            <w:tcW w:w="2384" w:type="dxa"/>
            <w:vMerge/>
            <w:tcBorders>
              <w:left w:val="single" w:sz="12" w:space="0" w:color="auto"/>
              <w:right w:val="single" w:sz="12" w:space="0" w:color="auto"/>
            </w:tcBorders>
            <w:vAlign w:val="center"/>
          </w:tcPr>
          <w:p w14:paraId="1AFE3962" w14:textId="77777777" w:rsidR="00796B4F" w:rsidRPr="003C5456" w:rsidRDefault="00796B4F" w:rsidP="005B6B53">
            <w:pPr>
              <w:jc w:val="both"/>
              <w:rPr>
                <w:rFonts w:ascii="Arial" w:hAnsi="Arial"/>
                <w:sz w:val="16"/>
                <w:szCs w:val="20"/>
                <w:lang w:val="en-GB"/>
              </w:rPr>
            </w:pPr>
          </w:p>
        </w:tc>
        <w:tc>
          <w:tcPr>
            <w:tcW w:w="6858" w:type="dxa"/>
            <w:tcBorders>
              <w:left w:val="single" w:sz="12" w:space="0" w:color="auto"/>
              <w:right w:val="single" w:sz="12" w:space="0" w:color="auto"/>
            </w:tcBorders>
            <w:vAlign w:val="center"/>
          </w:tcPr>
          <w:p w14:paraId="25EC2844"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Indirect changes in community structure caused by habitat changes or provision of additional food or nutrients as a result of fishing</w:t>
            </w:r>
          </w:p>
        </w:tc>
      </w:tr>
      <w:tr w:rsidR="00796B4F" w:rsidRPr="003C5456" w14:paraId="17FC9A9A" w14:textId="77777777" w:rsidTr="005B6B53">
        <w:trPr>
          <w:cantSplit/>
          <w:jc w:val="center"/>
        </w:trPr>
        <w:tc>
          <w:tcPr>
            <w:tcW w:w="2384" w:type="dxa"/>
            <w:vMerge/>
            <w:tcBorders>
              <w:left w:val="single" w:sz="12" w:space="0" w:color="auto"/>
              <w:right w:val="single" w:sz="12" w:space="0" w:color="auto"/>
            </w:tcBorders>
            <w:vAlign w:val="center"/>
          </w:tcPr>
          <w:p w14:paraId="504F90F6" w14:textId="77777777" w:rsidR="00796B4F" w:rsidRPr="003C5456" w:rsidRDefault="00796B4F" w:rsidP="005B6B53">
            <w:pPr>
              <w:jc w:val="both"/>
              <w:rPr>
                <w:rFonts w:ascii="Arial" w:hAnsi="Arial"/>
                <w:sz w:val="16"/>
                <w:szCs w:val="20"/>
                <w:lang w:val="en-GB"/>
              </w:rPr>
            </w:pPr>
          </w:p>
        </w:tc>
        <w:tc>
          <w:tcPr>
            <w:tcW w:w="6858" w:type="dxa"/>
            <w:tcBorders>
              <w:left w:val="single" w:sz="12" w:space="0" w:color="auto"/>
              <w:right w:val="single" w:sz="12" w:space="0" w:color="auto"/>
            </w:tcBorders>
            <w:vAlign w:val="center"/>
          </w:tcPr>
          <w:p w14:paraId="1778FFDE"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Capture/mortality of large vertebrates/rare and endangered species</w:t>
            </w:r>
          </w:p>
        </w:tc>
      </w:tr>
      <w:tr w:rsidR="00796B4F" w:rsidRPr="003C5456" w14:paraId="6B9711CE" w14:textId="77777777" w:rsidTr="005B6B53">
        <w:trPr>
          <w:cantSplit/>
          <w:jc w:val="center"/>
        </w:trPr>
        <w:tc>
          <w:tcPr>
            <w:tcW w:w="2384" w:type="dxa"/>
            <w:vMerge w:val="restart"/>
            <w:tcBorders>
              <w:top w:val="single" w:sz="12" w:space="0" w:color="auto"/>
              <w:left w:val="single" w:sz="12" w:space="0" w:color="auto"/>
              <w:right w:val="single" w:sz="12" w:space="0" w:color="auto"/>
            </w:tcBorders>
            <w:vAlign w:val="center"/>
          </w:tcPr>
          <w:p w14:paraId="50C3CD34"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Nursery functions of coastal habitats</w:t>
            </w:r>
          </w:p>
        </w:tc>
        <w:tc>
          <w:tcPr>
            <w:tcW w:w="6858" w:type="dxa"/>
            <w:tcBorders>
              <w:top w:val="single" w:sz="12" w:space="0" w:color="auto"/>
              <w:left w:val="single" w:sz="12" w:space="0" w:color="auto"/>
              <w:right w:val="single" w:sz="12" w:space="0" w:color="auto"/>
            </w:tcBorders>
            <w:vAlign w:val="center"/>
          </w:tcPr>
          <w:p w14:paraId="02A413C5"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Fishing in nursery areas and the targeting of juveniles</w:t>
            </w:r>
          </w:p>
        </w:tc>
      </w:tr>
      <w:tr w:rsidR="00796B4F" w:rsidRPr="003C5456" w14:paraId="7F0C4574" w14:textId="77777777" w:rsidTr="005B6B53">
        <w:trPr>
          <w:cantSplit/>
          <w:jc w:val="center"/>
        </w:trPr>
        <w:tc>
          <w:tcPr>
            <w:tcW w:w="2384" w:type="dxa"/>
            <w:vMerge/>
            <w:tcBorders>
              <w:left w:val="single" w:sz="12" w:space="0" w:color="auto"/>
              <w:bottom w:val="single" w:sz="12" w:space="0" w:color="auto"/>
              <w:right w:val="single" w:sz="12" w:space="0" w:color="auto"/>
            </w:tcBorders>
            <w:vAlign w:val="center"/>
          </w:tcPr>
          <w:p w14:paraId="1D92F03F" w14:textId="77777777" w:rsidR="00796B4F" w:rsidRPr="003C5456" w:rsidRDefault="00796B4F" w:rsidP="005B6B53">
            <w:pPr>
              <w:jc w:val="both"/>
              <w:rPr>
                <w:rFonts w:ascii="Arial" w:hAnsi="Arial"/>
                <w:sz w:val="16"/>
                <w:szCs w:val="20"/>
                <w:lang w:val="en-GB"/>
              </w:rPr>
            </w:pPr>
          </w:p>
        </w:tc>
        <w:tc>
          <w:tcPr>
            <w:tcW w:w="6858" w:type="dxa"/>
            <w:tcBorders>
              <w:left w:val="single" w:sz="12" w:space="0" w:color="auto"/>
              <w:bottom w:val="single" w:sz="12" w:space="0" w:color="auto"/>
              <w:right w:val="single" w:sz="12" w:space="0" w:color="auto"/>
            </w:tcBorders>
            <w:vAlign w:val="center"/>
          </w:tcPr>
          <w:p w14:paraId="2917545D"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Large incidental captures of juveniles</w:t>
            </w:r>
          </w:p>
        </w:tc>
      </w:tr>
      <w:tr w:rsidR="00796B4F" w:rsidRPr="003C5456" w14:paraId="01747980" w14:textId="77777777" w:rsidTr="005B6B53">
        <w:trPr>
          <w:cantSplit/>
          <w:jc w:val="center"/>
        </w:trPr>
        <w:tc>
          <w:tcPr>
            <w:tcW w:w="2384" w:type="dxa"/>
            <w:vMerge w:val="restart"/>
            <w:tcBorders>
              <w:top w:val="single" w:sz="12" w:space="0" w:color="auto"/>
              <w:left w:val="single" w:sz="12" w:space="0" w:color="auto"/>
              <w:right w:val="single" w:sz="12" w:space="0" w:color="auto"/>
            </w:tcBorders>
            <w:vAlign w:val="center"/>
          </w:tcPr>
          <w:p w14:paraId="14D172E5"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Habitat</w:t>
            </w:r>
          </w:p>
        </w:tc>
        <w:tc>
          <w:tcPr>
            <w:tcW w:w="6858" w:type="dxa"/>
            <w:tcBorders>
              <w:top w:val="single" w:sz="12" w:space="0" w:color="auto"/>
              <w:left w:val="single" w:sz="12" w:space="0" w:color="auto"/>
              <w:bottom w:val="single" w:sz="4" w:space="0" w:color="auto"/>
              <w:right w:val="single" w:sz="12" w:space="0" w:color="auto"/>
            </w:tcBorders>
            <w:vAlign w:val="center"/>
          </w:tcPr>
          <w:p w14:paraId="4231897E"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Removal and alteration of habitats as a result of fishing</w:t>
            </w:r>
          </w:p>
        </w:tc>
      </w:tr>
      <w:tr w:rsidR="00796B4F" w:rsidRPr="003C5456" w14:paraId="0603AEF2" w14:textId="77777777" w:rsidTr="005B6B53">
        <w:trPr>
          <w:cantSplit/>
          <w:jc w:val="center"/>
        </w:trPr>
        <w:tc>
          <w:tcPr>
            <w:tcW w:w="2384" w:type="dxa"/>
            <w:vMerge/>
            <w:tcBorders>
              <w:left w:val="single" w:sz="12" w:space="0" w:color="auto"/>
              <w:bottom w:val="single" w:sz="12" w:space="0" w:color="auto"/>
              <w:right w:val="single" w:sz="12" w:space="0" w:color="auto"/>
            </w:tcBorders>
            <w:vAlign w:val="center"/>
          </w:tcPr>
          <w:p w14:paraId="6C65C4FE" w14:textId="77777777" w:rsidR="00796B4F" w:rsidRPr="003C5456" w:rsidRDefault="00796B4F" w:rsidP="005B6B53">
            <w:pPr>
              <w:jc w:val="both"/>
              <w:rPr>
                <w:rFonts w:ascii="Arial" w:hAnsi="Arial"/>
                <w:sz w:val="16"/>
                <w:szCs w:val="20"/>
                <w:lang w:val="en-GB"/>
              </w:rPr>
            </w:pPr>
          </w:p>
        </w:tc>
        <w:tc>
          <w:tcPr>
            <w:tcW w:w="6858" w:type="dxa"/>
            <w:tcBorders>
              <w:top w:val="single" w:sz="4" w:space="0" w:color="auto"/>
              <w:left w:val="single" w:sz="12" w:space="0" w:color="auto"/>
              <w:bottom w:val="single" w:sz="12" w:space="0" w:color="auto"/>
              <w:right w:val="single" w:sz="12" w:space="0" w:color="auto"/>
            </w:tcBorders>
            <w:vAlign w:val="center"/>
          </w:tcPr>
          <w:p w14:paraId="17432589"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Change in current and sediment patterns as a result of fish fence construction</w:t>
            </w:r>
          </w:p>
        </w:tc>
      </w:tr>
      <w:tr w:rsidR="00796B4F" w:rsidRPr="003C5456" w14:paraId="35791822" w14:textId="77777777" w:rsidTr="005B6B53">
        <w:trPr>
          <w:cantSplit/>
          <w:jc w:val="center"/>
        </w:trPr>
        <w:tc>
          <w:tcPr>
            <w:tcW w:w="2384" w:type="dxa"/>
            <w:vMerge w:val="restart"/>
            <w:tcBorders>
              <w:top w:val="single" w:sz="12" w:space="0" w:color="auto"/>
              <w:left w:val="single" w:sz="12" w:space="0" w:color="auto"/>
              <w:right w:val="single" w:sz="12" w:space="0" w:color="auto"/>
            </w:tcBorders>
            <w:vAlign w:val="center"/>
          </w:tcPr>
          <w:p w14:paraId="565B39E7"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 xml:space="preserve">Water and sediment quality </w:t>
            </w:r>
          </w:p>
        </w:tc>
        <w:tc>
          <w:tcPr>
            <w:tcW w:w="6858" w:type="dxa"/>
            <w:tcBorders>
              <w:top w:val="single" w:sz="12" w:space="0" w:color="auto"/>
              <w:left w:val="single" w:sz="12" w:space="0" w:color="auto"/>
              <w:right w:val="single" w:sz="12" w:space="0" w:color="auto"/>
            </w:tcBorders>
            <w:vAlign w:val="center"/>
          </w:tcPr>
          <w:p w14:paraId="04C93168"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Pollution of coastal waters by fishing vessels</w:t>
            </w:r>
          </w:p>
        </w:tc>
      </w:tr>
      <w:tr w:rsidR="00796B4F" w:rsidRPr="003C5456" w14:paraId="3DC80FF6" w14:textId="77777777" w:rsidTr="005B6B53">
        <w:trPr>
          <w:cantSplit/>
          <w:jc w:val="center"/>
        </w:trPr>
        <w:tc>
          <w:tcPr>
            <w:tcW w:w="2384" w:type="dxa"/>
            <w:vMerge/>
            <w:tcBorders>
              <w:left w:val="single" w:sz="12" w:space="0" w:color="auto"/>
              <w:right w:val="single" w:sz="12" w:space="0" w:color="auto"/>
            </w:tcBorders>
            <w:vAlign w:val="center"/>
          </w:tcPr>
          <w:p w14:paraId="019F906B" w14:textId="77777777" w:rsidR="00796B4F" w:rsidRPr="003C5456" w:rsidRDefault="00796B4F" w:rsidP="005B6B53">
            <w:pPr>
              <w:jc w:val="both"/>
              <w:rPr>
                <w:rFonts w:ascii="Arial" w:hAnsi="Arial"/>
                <w:sz w:val="16"/>
                <w:szCs w:val="20"/>
                <w:lang w:val="en-GB"/>
              </w:rPr>
            </w:pPr>
          </w:p>
        </w:tc>
        <w:tc>
          <w:tcPr>
            <w:tcW w:w="6858" w:type="dxa"/>
            <w:tcBorders>
              <w:left w:val="single" w:sz="12" w:space="0" w:color="auto"/>
              <w:right w:val="single" w:sz="12" w:space="0" w:color="auto"/>
            </w:tcBorders>
            <w:vAlign w:val="center"/>
          </w:tcPr>
          <w:p w14:paraId="617417F6"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Release of wastewater and organic pollutants into coastal waters from fish processing facilities</w:t>
            </w:r>
          </w:p>
        </w:tc>
      </w:tr>
      <w:tr w:rsidR="00796B4F" w:rsidRPr="003C5456" w14:paraId="5C21E1D3" w14:textId="77777777" w:rsidTr="005B6B53">
        <w:trPr>
          <w:cantSplit/>
          <w:jc w:val="center"/>
        </w:trPr>
        <w:tc>
          <w:tcPr>
            <w:tcW w:w="2384" w:type="dxa"/>
            <w:vMerge/>
            <w:tcBorders>
              <w:left w:val="single" w:sz="12" w:space="0" w:color="auto"/>
              <w:bottom w:val="single" w:sz="12" w:space="0" w:color="auto"/>
              <w:right w:val="single" w:sz="12" w:space="0" w:color="auto"/>
            </w:tcBorders>
            <w:vAlign w:val="center"/>
          </w:tcPr>
          <w:p w14:paraId="3F191C45" w14:textId="77777777" w:rsidR="00796B4F" w:rsidRPr="003C5456" w:rsidRDefault="00796B4F" w:rsidP="005B6B53">
            <w:pPr>
              <w:jc w:val="both"/>
              <w:rPr>
                <w:rFonts w:ascii="Arial" w:hAnsi="Arial"/>
                <w:sz w:val="16"/>
                <w:szCs w:val="20"/>
                <w:lang w:val="en-GB"/>
              </w:rPr>
            </w:pPr>
          </w:p>
        </w:tc>
        <w:tc>
          <w:tcPr>
            <w:tcW w:w="6858" w:type="dxa"/>
            <w:tcBorders>
              <w:left w:val="single" w:sz="12" w:space="0" w:color="auto"/>
              <w:bottom w:val="single" w:sz="12" w:space="0" w:color="auto"/>
              <w:right w:val="single" w:sz="12" w:space="0" w:color="auto"/>
            </w:tcBorders>
            <w:vAlign w:val="center"/>
          </w:tcPr>
          <w:p w14:paraId="415E5CFB"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Localised and short-term changes in turbidity, oxygen levels, and changes in water and sediment chemistry due to fishing</w:t>
            </w:r>
          </w:p>
        </w:tc>
      </w:tr>
      <w:tr w:rsidR="00796B4F" w:rsidRPr="003C5456" w14:paraId="4D605779" w14:textId="77777777" w:rsidTr="005B6B53">
        <w:trPr>
          <w:cantSplit/>
          <w:jc w:val="center"/>
        </w:trPr>
        <w:tc>
          <w:tcPr>
            <w:tcW w:w="2384" w:type="dxa"/>
            <w:vMerge w:val="restart"/>
            <w:tcBorders>
              <w:top w:val="single" w:sz="12" w:space="0" w:color="auto"/>
              <w:left w:val="single" w:sz="12" w:space="0" w:color="auto"/>
              <w:right w:val="single" w:sz="12" w:space="0" w:color="auto"/>
            </w:tcBorders>
            <w:vAlign w:val="center"/>
          </w:tcPr>
          <w:p w14:paraId="1AE130EC"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Human Environment</w:t>
            </w:r>
          </w:p>
        </w:tc>
        <w:tc>
          <w:tcPr>
            <w:tcW w:w="6858" w:type="dxa"/>
            <w:tcBorders>
              <w:top w:val="single" w:sz="12" w:space="0" w:color="auto"/>
              <w:left w:val="single" w:sz="12" w:space="0" w:color="auto"/>
              <w:right w:val="single" w:sz="12" w:space="0" w:color="auto"/>
            </w:tcBorders>
            <w:vAlign w:val="center"/>
          </w:tcPr>
          <w:p w14:paraId="4C1E9C55"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User group conflicts (e.g., commercial v. small-scale fishers)</w:t>
            </w:r>
          </w:p>
        </w:tc>
      </w:tr>
      <w:tr w:rsidR="00796B4F" w:rsidRPr="003C5456" w14:paraId="3C69115C" w14:textId="77777777" w:rsidTr="005B6B53">
        <w:trPr>
          <w:cantSplit/>
          <w:jc w:val="center"/>
        </w:trPr>
        <w:tc>
          <w:tcPr>
            <w:tcW w:w="2384" w:type="dxa"/>
            <w:vMerge/>
            <w:tcBorders>
              <w:left w:val="single" w:sz="12" w:space="0" w:color="auto"/>
              <w:bottom w:val="single" w:sz="12" w:space="0" w:color="auto"/>
              <w:right w:val="single" w:sz="12" w:space="0" w:color="auto"/>
            </w:tcBorders>
            <w:vAlign w:val="center"/>
          </w:tcPr>
          <w:p w14:paraId="04089AB2" w14:textId="77777777" w:rsidR="00796B4F" w:rsidRPr="003C5456" w:rsidRDefault="00796B4F" w:rsidP="005B6B53">
            <w:pPr>
              <w:jc w:val="both"/>
              <w:rPr>
                <w:rFonts w:ascii="Arial" w:hAnsi="Arial"/>
                <w:sz w:val="16"/>
                <w:szCs w:val="20"/>
                <w:lang w:val="en-GB"/>
              </w:rPr>
            </w:pPr>
          </w:p>
        </w:tc>
        <w:tc>
          <w:tcPr>
            <w:tcW w:w="6858" w:type="dxa"/>
            <w:tcBorders>
              <w:left w:val="single" w:sz="12" w:space="0" w:color="auto"/>
              <w:bottom w:val="single" w:sz="12" w:space="0" w:color="auto"/>
              <w:right w:val="single" w:sz="12" w:space="0" w:color="auto"/>
            </w:tcBorders>
            <w:vAlign w:val="center"/>
          </w:tcPr>
          <w:p w14:paraId="59235B0E"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Fishing gear conflicts (e.g., push netters v. gill netters)</w:t>
            </w:r>
          </w:p>
        </w:tc>
      </w:tr>
    </w:tbl>
    <w:p w14:paraId="25CBD821" w14:textId="77777777" w:rsidR="00796B4F" w:rsidRDefault="00796B4F" w:rsidP="00796B4F">
      <w:pPr>
        <w:jc w:val="both"/>
        <w:rPr>
          <w:rFonts w:ascii="Arial" w:hAnsi="Arial"/>
          <w:sz w:val="20"/>
          <w:lang w:val="en-GB"/>
        </w:rPr>
      </w:pPr>
    </w:p>
    <w:p w14:paraId="182F3E6F" w14:textId="77777777" w:rsidR="00796B4F" w:rsidRPr="003C5456" w:rsidRDefault="00796B4F" w:rsidP="00796B4F">
      <w:pPr>
        <w:jc w:val="both"/>
        <w:rPr>
          <w:rFonts w:ascii="Arial" w:hAnsi="Arial" w:cs="Arial"/>
          <w:sz w:val="18"/>
          <w:szCs w:val="18"/>
        </w:rPr>
      </w:pPr>
      <w:r w:rsidRPr="003C5456">
        <w:rPr>
          <w:rFonts w:ascii="Arial" w:hAnsi="Arial" w:cs="Arial"/>
          <w:b/>
          <w:sz w:val="18"/>
          <w:szCs w:val="18"/>
        </w:rPr>
        <w:t>Table 1</w:t>
      </w:r>
      <w:r>
        <w:rPr>
          <w:rFonts w:ascii="Arial" w:hAnsi="Arial" w:cs="Arial"/>
          <w:b/>
          <w:sz w:val="18"/>
          <w:szCs w:val="18"/>
        </w:rPr>
        <w:t>7b</w:t>
      </w:r>
      <w:r w:rsidRPr="003C5456">
        <w:rPr>
          <w:rFonts w:ascii="Arial" w:hAnsi="Arial" w:cs="Arial"/>
          <w:b/>
          <w:sz w:val="18"/>
          <w:szCs w:val="18"/>
        </w:rPr>
        <w:tab/>
      </w:r>
      <w:r w:rsidRPr="003C5456">
        <w:rPr>
          <w:rFonts w:ascii="Arial" w:hAnsi="Arial" w:cs="Arial"/>
          <w:sz w:val="18"/>
          <w:szCs w:val="18"/>
        </w:rPr>
        <w:t>Framework for assessing the effects of aquaculture</w:t>
      </w:r>
    </w:p>
    <w:p w14:paraId="677AF6FF" w14:textId="77777777" w:rsidR="00796B4F" w:rsidRPr="003C5456" w:rsidRDefault="00796B4F" w:rsidP="00796B4F">
      <w:pPr>
        <w:jc w:val="both"/>
        <w:rPr>
          <w:rFonts w:ascii="Arial" w:hAnsi="Arial"/>
          <w:sz w:val="20"/>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8"/>
        <w:gridCol w:w="6664"/>
      </w:tblGrid>
      <w:tr w:rsidR="00796B4F" w:rsidRPr="003C5456" w14:paraId="4A786835" w14:textId="77777777" w:rsidTr="005B6B53">
        <w:trPr>
          <w:jc w:val="center"/>
        </w:trPr>
        <w:tc>
          <w:tcPr>
            <w:tcW w:w="2407" w:type="dxa"/>
            <w:tcBorders>
              <w:top w:val="single" w:sz="12" w:space="0" w:color="auto"/>
              <w:left w:val="single" w:sz="12" w:space="0" w:color="auto"/>
              <w:bottom w:val="single" w:sz="12" w:space="0" w:color="auto"/>
              <w:right w:val="single" w:sz="12" w:space="0" w:color="auto"/>
            </w:tcBorders>
            <w:vAlign w:val="center"/>
          </w:tcPr>
          <w:p w14:paraId="73628A32" w14:textId="77777777" w:rsidR="00796B4F" w:rsidRPr="003C5456" w:rsidRDefault="00796B4F" w:rsidP="005B6B53">
            <w:pPr>
              <w:rPr>
                <w:rFonts w:ascii="Arial" w:hAnsi="Arial"/>
                <w:b/>
                <w:sz w:val="18"/>
                <w:szCs w:val="20"/>
                <w:lang w:val="en-GB"/>
              </w:rPr>
            </w:pPr>
            <w:r w:rsidRPr="003C5456">
              <w:rPr>
                <w:rFonts w:ascii="Arial" w:hAnsi="Arial"/>
                <w:b/>
                <w:sz w:val="18"/>
                <w:szCs w:val="20"/>
                <w:lang w:val="en-GB"/>
              </w:rPr>
              <w:t xml:space="preserve">Effects of </w:t>
            </w:r>
            <w:r>
              <w:rPr>
                <w:rFonts w:ascii="Arial" w:hAnsi="Arial"/>
                <w:b/>
                <w:sz w:val="18"/>
                <w:szCs w:val="20"/>
                <w:lang w:val="en-GB"/>
              </w:rPr>
              <w:t>a</w:t>
            </w:r>
            <w:r w:rsidRPr="003C5456">
              <w:rPr>
                <w:rFonts w:ascii="Arial" w:hAnsi="Arial"/>
                <w:b/>
                <w:sz w:val="18"/>
                <w:szCs w:val="20"/>
                <w:lang w:val="en-GB"/>
              </w:rPr>
              <w:t xml:space="preserve">quaculture and </w:t>
            </w:r>
            <w:r>
              <w:rPr>
                <w:rFonts w:ascii="Arial" w:hAnsi="Arial"/>
                <w:b/>
                <w:sz w:val="18"/>
                <w:szCs w:val="20"/>
                <w:lang w:val="en-GB"/>
              </w:rPr>
              <w:t>r</w:t>
            </w:r>
            <w:r w:rsidRPr="003C5456">
              <w:rPr>
                <w:rFonts w:ascii="Arial" w:hAnsi="Arial"/>
                <w:b/>
                <w:sz w:val="18"/>
                <w:szCs w:val="20"/>
                <w:lang w:val="en-GB"/>
              </w:rPr>
              <w:t xml:space="preserve">elated </w:t>
            </w:r>
            <w:r>
              <w:rPr>
                <w:rFonts w:ascii="Arial" w:hAnsi="Arial"/>
                <w:b/>
                <w:sz w:val="18"/>
                <w:szCs w:val="20"/>
                <w:lang w:val="en-GB"/>
              </w:rPr>
              <w:t>a</w:t>
            </w:r>
            <w:r w:rsidRPr="003C5456">
              <w:rPr>
                <w:rFonts w:ascii="Arial" w:hAnsi="Arial"/>
                <w:b/>
                <w:sz w:val="18"/>
                <w:szCs w:val="20"/>
                <w:lang w:val="en-GB"/>
              </w:rPr>
              <w:t>ctivities on:</w:t>
            </w:r>
          </w:p>
        </w:tc>
        <w:tc>
          <w:tcPr>
            <w:tcW w:w="6799" w:type="dxa"/>
            <w:tcBorders>
              <w:top w:val="single" w:sz="12" w:space="0" w:color="auto"/>
              <w:left w:val="single" w:sz="12" w:space="0" w:color="auto"/>
              <w:bottom w:val="single" w:sz="12" w:space="0" w:color="auto"/>
              <w:right w:val="single" w:sz="12" w:space="0" w:color="auto"/>
            </w:tcBorders>
            <w:vAlign w:val="center"/>
          </w:tcPr>
          <w:p w14:paraId="265CA025" w14:textId="77777777" w:rsidR="00796B4F" w:rsidRPr="003C5456" w:rsidRDefault="00796B4F" w:rsidP="005B6B53">
            <w:pPr>
              <w:jc w:val="both"/>
              <w:rPr>
                <w:rFonts w:ascii="Arial" w:hAnsi="Arial"/>
                <w:b/>
                <w:sz w:val="18"/>
                <w:szCs w:val="20"/>
                <w:lang w:val="en-GB"/>
              </w:rPr>
            </w:pPr>
            <w:r w:rsidRPr="003C5456">
              <w:rPr>
                <w:rFonts w:ascii="Arial" w:hAnsi="Arial"/>
                <w:b/>
                <w:sz w:val="18"/>
                <w:szCs w:val="20"/>
                <w:lang w:val="en-GB"/>
              </w:rPr>
              <w:t>Reported problem</w:t>
            </w:r>
            <w:r>
              <w:rPr>
                <w:rFonts w:ascii="Arial" w:hAnsi="Arial"/>
                <w:b/>
                <w:sz w:val="18"/>
                <w:szCs w:val="20"/>
                <w:lang w:val="en-GB"/>
              </w:rPr>
              <w:t>s</w:t>
            </w:r>
            <w:r w:rsidRPr="003C5456">
              <w:rPr>
                <w:rFonts w:ascii="Arial" w:hAnsi="Arial"/>
                <w:b/>
                <w:sz w:val="18"/>
                <w:szCs w:val="20"/>
                <w:lang w:val="en-GB"/>
              </w:rPr>
              <w:t xml:space="preserve"> in relation to </w:t>
            </w:r>
            <w:r>
              <w:rPr>
                <w:rFonts w:ascii="Arial" w:hAnsi="Arial"/>
                <w:b/>
                <w:sz w:val="18"/>
                <w:szCs w:val="20"/>
                <w:lang w:val="en-GB"/>
              </w:rPr>
              <w:t>coastal environmental management</w:t>
            </w:r>
          </w:p>
        </w:tc>
      </w:tr>
      <w:tr w:rsidR="00796B4F" w:rsidRPr="003C5456" w14:paraId="2D568756" w14:textId="77777777" w:rsidTr="005B6B53">
        <w:trPr>
          <w:cantSplit/>
          <w:jc w:val="center"/>
        </w:trPr>
        <w:tc>
          <w:tcPr>
            <w:tcW w:w="2407" w:type="dxa"/>
            <w:vMerge w:val="restart"/>
            <w:tcBorders>
              <w:top w:val="single" w:sz="12" w:space="0" w:color="auto"/>
              <w:left w:val="single" w:sz="12" w:space="0" w:color="auto"/>
              <w:right w:val="single" w:sz="12" w:space="0" w:color="auto"/>
            </w:tcBorders>
            <w:vAlign w:val="center"/>
          </w:tcPr>
          <w:p w14:paraId="08429F03" w14:textId="77777777" w:rsidR="00796B4F" w:rsidRPr="003C5456" w:rsidRDefault="00796B4F" w:rsidP="005B6B53">
            <w:pPr>
              <w:rPr>
                <w:rFonts w:ascii="Arial" w:hAnsi="Arial"/>
                <w:sz w:val="16"/>
                <w:szCs w:val="20"/>
                <w:lang w:val="en-GB"/>
              </w:rPr>
            </w:pPr>
            <w:r w:rsidRPr="003C5456">
              <w:rPr>
                <w:rFonts w:ascii="Arial" w:hAnsi="Arial"/>
                <w:sz w:val="16"/>
                <w:szCs w:val="20"/>
                <w:lang w:val="en-GB"/>
              </w:rPr>
              <w:t>Water and Sediment Quality</w:t>
            </w:r>
            <w:r w:rsidRPr="003C5456">
              <w:rPr>
                <w:rFonts w:ascii="Arial" w:hAnsi="Arial"/>
                <w:i/>
                <w:sz w:val="16"/>
                <w:szCs w:val="20"/>
                <w:lang w:val="en-GB"/>
              </w:rPr>
              <w:t xml:space="preserve"> – </w:t>
            </w:r>
            <w:r w:rsidRPr="003C5456">
              <w:rPr>
                <w:rFonts w:ascii="Arial" w:hAnsi="Arial"/>
                <w:sz w:val="16"/>
                <w:szCs w:val="20"/>
                <w:lang w:val="en-GB"/>
              </w:rPr>
              <w:t>solid waste pollution</w:t>
            </w:r>
          </w:p>
        </w:tc>
        <w:tc>
          <w:tcPr>
            <w:tcW w:w="6799" w:type="dxa"/>
            <w:tcBorders>
              <w:top w:val="single" w:sz="12" w:space="0" w:color="auto"/>
              <w:left w:val="single" w:sz="12" w:space="0" w:color="auto"/>
              <w:bottom w:val="single" w:sz="4" w:space="0" w:color="auto"/>
              <w:right w:val="single" w:sz="12" w:space="0" w:color="auto"/>
            </w:tcBorders>
            <w:vAlign w:val="center"/>
          </w:tcPr>
          <w:p w14:paraId="7EDADCD3"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Smothering of coastal habitats (e.g., seagrass) and shellfish</w:t>
            </w:r>
          </w:p>
        </w:tc>
      </w:tr>
      <w:tr w:rsidR="00796B4F" w:rsidRPr="003C5456" w14:paraId="70D7507F" w14:textId="77777777" w:rsidTr="005B6B53">
        <w:trPr>
          <w:cantSplit/>
          <w:jc w:val="center"/>
        </w:trPr>
        <w:tc>
          <w:tcPr>
            <w:tcW w:w="2407" w:type="dxa"/>
            <w:vMerge/>
            <w:tcBorders>
              <w:left w:val="single" w:sz="12" w:space="0" w:color="auto"/>
              <w:bottom w:val="single" w:sz="4" w:space="0" w:color="auto"/>
              <w:right w:val="single" w:sz="12" w:space="0" w:color="auto"/>
            </w:tcBorders>
            <w:vAlign w:val="center"/>
          </w:tcPr>
          <w:p w14:paraId="6B92AB4E" w14:textId="77777777" w:rsidR="00796B4F" w:rsidRPr="003C5456" w:rsidRDefault="00796B4F" w:rsidP="005B6B53">
            <w:pPr>
              <w:rPr>
                <w:rFonts w:ascii="Arial" w:hAnsi="Arial"/>
                <w:sz w:val="16"/>
                <w:szCs w:val="20"/>
                <w:lang w:val="en-GB"/>
              </w:rPr>
            </w:pPr>
          </w:p>
        </w:tc>
        <w:tc>
          <w:tcPr>
            <w:tcW w:w="6799" w:type="dxa"/>
            <w:tcBorders>
              <w:top w:val="single" w:sz="4" w:space="0" w:color="auto"/>
              <w:left w:val="single" w:sz="12" w:space="0" w:color="auto"/>
              <w:bottom w:val="single" w:sz="4" w:space="0" w:color="auto"/>
              <w:right w:val="single" w:sz="12" w:space="0" w:color="auto"/>
            </w:tcBorders>
            <w:vAlign w:val="center"/>
          </w:tcPr>
          <w:p w14:paraId="74C2D0F6"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Increased turbidity of the water quality</w:t>
            </w:r>
          </w:p>
        </w:tc>
      </w:tr>
      <w:tr w:rsidR="00796B4F" w:rsidRPr="003C5456" w14:paraId="7E56CFF6" w14:textId="77777777" w:rsidTr="005B6B53">
        <w:trPr>
          <w:cantSplit/>
          <w:jc w:val="center"/>
        </w:trPr>
        <w:tc>
          <w:tcPr>
            <w:tcW w:w="2407" w:type="dxa"/>
            <w:vMerge w:val="restart"/>
            <w:tcBorders>
              <w:top w:val="single" w:sz="4" w:space="0" w:color="auto"/>
              <w:left w:val="single" w:sz="12" w:space="0" w:color="auto"/>
              <w:right w:val="single" w:sz="12" w:space="0" w:color="auto"/>
            </w:tcBorders>
            <w:vAlign w:val="center"/>
          </w:tcPr>
          <w:p w14:paraId="0F37FDF8" w14:textId="77777777" w:rsidR="00796B4F" w:rsidRPr="003C5456" w:rsidRDefault="00796B4F" w:rsidP="005B6B53">
            <w:pPr>
              <w:rPr>
                <w:rFonts w:ascii="Arial" w:hAnsi="Arial"/>
                <w:sz w:val="16"/>
                <w:szCs w:val="20"/>
                <w:lang w:val="en-GB"/>
              </w:rPr>
            </w:pPr>
            <w:r w:rsidRPr="003C5456">
              <w:rPr>
                <w:rFonts w:ascii="Arial" w:hAnsi="Arial"/>
                <w:sz w:val="16"/>
                <w:szCs w:val="20"/>
                <w:lang w:val="en-GB"/>
              </w:rPr>
              <w:t>Water Quality</w:t>
            </w:r>
            <w:r w:rsidRPr="003C5456">
              <w:rPr>
                <w:rFonts w:ascii="Arial" w:hAnsi="Arial"/>
                <w:i/>
                <w:sz w:val="16"/>
                <w:szCs w:val="20"/>
                <w:lang w:val="en-GB"/>
              </w:rPr>
              <w:t xml:space="preserve"> – </w:t>
            </w:r>
            <w:r w:rsidRPr="003C5456">
              <w:rPr>
                <w:rFonts w:ascii="Arial" w:hAnsi="Arial"/>
                <w:sz w:val="16"/>
                <w:szCs w:val="20"/>
                <w:lang w:val="en-GB"/>
              </w:rPr>
              <w:t>Increased</w:t>
            </w:r>
          </w:p>
          <w:p w14:paraId="7216C0DF" w14:textId="77777777" w:rsidR="00796B4F" w:rsidRPr="003C5456" w:rsidRDefault="00796B4F" w:rsidP="005B6B53">
            <w:pPr>
              <w:rPr>
                <w:rFonts w:ascii="Arial" w:hAnsi="Arial"/>
                <w:sz w:val="16"/>
                <w:szCs w:val="20"/>
                <w:lang w:val="en-GB"/>
              </w:rPr>
            </w:pPr>
            <w:r w:rsidRPr="003C5456">
              <w:rPr>
                <w:rFonts w:ascii="Arial" w:hAnsi="Arial"/>
                <w:sz w:val="16"/>
                <w:szCs w:val="20"/>
                <w:lang w:val="en-GB"/>
              </w:rPr>
              <w:t>dissolved nutrient inputs</w:t>
            </w:r>
          </w:p>
        </w:tc>
        <w:tc>
          <w:tcPr>
            <w:tcW w:w="6799" w:type="dxa"/>
            <w:tcBorders>
              <w:top w:val="single" w:sz="4" w:space="0" w:color="auto"/>
              <w:left w:val="single" w:sz="12" w:space="0" w:color="auto"/>
              <w:right w:val="single" w:sz="12" w:space="0" w:color="auto"/>
            </w:tcBorders>
            <w:vAlign w:val="center"/>
          </w:tcPr>
          <w:p w14:paraId="6DF22A8A"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Algal blooms and pathogens as a result of increased nutrient inputs to coastal waters</w:t>
            </w:r>
          </w:p>
        </w:tc>
      </w:tr>
      <w:tr w:rsidR="00796B4F" w:rsidRPr="003C5456" w14:paraId="36070F72" w14:textId="77777777" w:rsidTr="005B6B53">
        <w:trPr>
          <w:cantSplit/>
          <w:jc w:val="center"/>
        </w:trPr>
        <w:tc>
          <w:tcPr>
            <w:tcW w:w="2407" w:type="dxa"/>
            <w:vMerge/>
            <w:tcBorders>
              <w:left w:val="single" w:sz="12" w:space="0" w:color="auto"/>
              <w:right w:val="single" w:sz="12" w:space="0" w:color="auto"/>
            </w:tcBorders>
            <w:vAlign w:val="center"/>
          </w:tcPr>
          <w:p w14:paraId="63751CDB" w14:textId="77777777" w:rsidR="00796B4F" w:rsidRPr="003C5456" w:rsidRDefault="00796B4F" w:rsidP="005B6B53">
            <w:pPr>
              <w:rPr>
                <w:rFonts w:ascii="Arial" w:hAnsi="Arial"/>
                <w:sz w:val="16"/>
                <w:szCs w:val="20"/>
                <w:lang w:val="en-GB"/>
              </w:rPr>
            </w:pPr>
          </w:p>
        </w:tc>
        <w:tc>
          <w:tcPr>
            <w:tcW w:w="6799" w:type="dxa"/>
            <w:tcBorders>
              <w:left w:val="single" w:sz="12" w:space="0" w:color="auto"/>
              <w:right w:val="single" w:sz="12" w:space="0" w:color="auto"/>
            </w:tcBorders>
            <w:vAlign w:val="center"/>
          </w:tcPr>
          <w:p w14:paraId="1EE0ED94"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Fish kills due to low dissolved oxygen concentrations caused by eutrophic conditions</w:t>
            </w:r>
          </w:p>
        </w:tc>
      </w:tr>
      <w:tr w:rsidR="00796B4F" w:rsidRPr="003C5456" w14:paraId="26473832" w14:textId="77777777" w:rsidTr="005B6B53">
        <w:trPr>
          <w:cantSplit/>
          <w:jc w:val="center"/>
        </w:trPr>
        <w:tc>
          <w:tcPr>
            <w:tcW w:w="2407" w:type="dxa"/>
            <w:vMerge/>
            <w:tcBorders>
              <w:left w:val="single" w:sz="12" w:space="0" w:color="auto"/>
              <w:right w:val="single" w:sz="12" w:space="0" w:color="auto"/>
            </w:tcBorders>
            <w:vAlign w:val="center"/>
          </w:tcPr>
          <w:p w14:paraId="47E86999" w14:textId="77777777" w:rsidR="00796B4F" w:rsidRPr="003C5456" w:rsidRDefault="00796B4F" w:rsidP="005B6B53">
            <w:pPr>
              <w:rPr>
                <w:rFonts w:ascii="Arial" w:hAnsi="Arial"/>
                <w:sz w:val="16"/>
                <w:szCs w:val="20"/>
                <w:lang w:val="en-GB"/>
              </w:rPr>
            </w:pPr>
          </w:p>
        </w:tc>
        <w:tc>
          <w:tcPr>
            <w:tcW w:w="6799" w:type="dxa"/>
            <w:tcBorders>
              <w:left w:val="single" w:sz="12" w:space="0" w:color="auto"/>
              <w:right w:val="single" w:sz="12" w:space="0" w:color="auto"/>
            </w:tcBorders>
            <w:vAlign w:val="center"/>
          </w:tcPr>
          <w:p w14:paraId="3A27DC9D"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Removal of oxygen from deep water and sediments as a consequence of the biological oxygen demand created by the sinking and decay of blooming algae</w:t>
            </w:r>
          </w:p>
        </w:tc>
      </w:tr>
      <w:tr w:rsidR="00796B4F" w:rsidRPr="003C5456" w14:paraId="17FA4404" w14:textId="77777777" w:rsidTr="005B6B53">
        <w:trPr>
          <w:jc w:val="center"/>
        </w:trPr>
        <w:tc>
          <w:tcPr>
            <w:tcW w:w="2407" w:type="dxa"/>
            <w:tcBorders>
              <w:top w:val="single" w:sz="12" w:space="0" w:color="auto"/>
              <w:left w:val="single" w:sz="12" w:space="0" w:color="auto"/>
              <w:right w:val="single" w:sz="12" w:space="0" w:color="auto"/>
            </w:tcBorders>
            <w:vAlign w:val="center"/>
          </w:tcPr>
          <w:p w14:paraId="1543A2BE" w14:textId="77777777" w:rsidR="00796B4F" w:rsidRPr="003C5456" w:rsidRDefault="00796B4F" w:rsidP="005B6B53">
            <w:pPr>
              <w:rPr>
                <w:rFonts w:ascii="Arial" w:hAnsi="Arial"/>
                <w:sz w:val="16"/>
                <w:szCs w:val="20"/>
                <w:lang w:val="en-GB"/>
              </w:rPr>
            </w:pPr>
            <w:r w:rsidRPr="003C5456">
              <w:rPr>
                <w:rFonts w:ascii="Arial" w:hAnsi="Arial"/>
                <w:sz w:val="16"/>
                <w:szCs w:val="20"/>
                <w:lang w:val="en-GB"/>
              </w:rPr>
              <w:t xml:space="preserve">Habitat </w:t>
            </w:r>
          </w:p>
        </w:tc>
        <w:tc>
          <w:tcPr>
            <w:tcW w:w="6799" w:type="dxa"/>
            <w:tcBorders>
              <w:top w:val="single" w:sz="12" w:space="0" w:color="auto"/>
              <w:left w:val="single" w:sz="12" w:space="0" w:color="auto"/>
              <w:right w:val="single" w:sz="12" w:space="0" w:color="auto"/>
            </w:tcBorders>
            <w:vAlign w:val="center"/>
          </w:tcPr>
          <w:p w14:paraId="5EC71EED"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Conversion of coastal habitats for construction of farms and onshore facilities</w:t>
            </w:r>
          </w:p>
        </w:tc>
      </w:tr>
      <w:tr w:rsidR="00796B4F" w:rsidRPr="003C5456" w14:paraId="15405FA5" w14:textId="77777777" w:rsidTr="005B6B53">
        <w:trPr>
          <w:jc w:val="center"/>
        </w:trPr>
        <w:tc>
          <w:tcPr>
            <w:tcW w:w="2407" w:type="dxa"/>
            <w:tcBorders>
              <w:top w:val="single" w:sz="12" w:space="0" w:color="auto"/>
              <w:left w:val="single" w:sz="12" w:space="0" w:color="auto"/>
              <w:right w:val="single" w:sz="12" w:space="0" w:color="auto"/>
            </w:tcBorders>
            <w:vAlign w:val="center"/>
          </w:tcPr>
          <w:p w14:paraId="770FFFBA" w14:textId="77777777" w:rsidR="00796B4F" w:rsidRPr="003C5456" w:rsidRDefault="00796B4F" w:rsidP="005B6B53">
            <w:pPr>
              <w:rPr>
                <w:rFonts w:ascii="Arial" w:hAnsi="Arial"/>
                <w:sz w:val="16"/>
                <w:szCs w:val="20"/>
                <w:lang w:val="en-GB"/>
              </w:rPr>
            </w:pPr>
            <w:r w:rsidRPr="003C5456">
              <w:rPr>
                <w:rFonts w:ascii="Arial" w:hAnsi="Arial"/>
                <w:sz w:val="16"/>
                <w:szCs w:val="20"/>
                <w:lang w:val="en-GB"/>
              </w:rPr>
              <w:t>Populations and communities</w:t>
            </w:r>
          </w:p>
        </w:tc>
        <w:tc>
          <w:tcPr>
            <w:tcW w:w="6799" w:type="dxa"/>
            <w:tcBorders>
              <w:top w:val="single" w:sz="12" w:space="0" w:color="auto"/>
              <w:left w:val="single" w:sz="12" w:space="0" w:color="auto"/>
              <w:right w:val="single" w:sz="12" w:space="0" w:color="auto"/>
            </w:tcBorders>
            <w:vAlign w:val="center"/>
          </w:tcPr>
          <w:p w14:paraId="3BD27E34"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Over-grazing of seagrass from re-stocking with sea urchins</w:t>
            </w:r>
          </w:p>
        </w:tc>
      </w:tr>
      <w:tr w:rsidR="00796B4F" w:rsidRPr="003C5456" w14:paraId="67D40B3E" w14:textId="77777777" w:rsidTr="005B6B53">
        <w:trPr>
          <w:cantSplit/>
          <w:jc w:val="center"/>
        </w:trPr>
        <w:tc>
          <w:tcPr>
            <w:tcW w:w="2407" w:type="dxa"/>
            <w:vMerge w:val="restart"/>
            <w:tcBorders>
              <w:top w:val="single" w:sz="12" w:space="0" w:color="auto"/>
              <w:left w:val="single" w:sz="12" w:space="0" w:color="auto"/>
              <w:right w:val="single" w:sz="12" w:space="0" w:color="auto"/>
            </w:tcBorders>
            <w:vAlign w:val="center"/>
          </w:tcPr>
          <w:p w14:paraId="61A1ECBE" w14:textId="77777777" w:rsidR="00796B4F" w:rsidRPr="003C5456" w:rsidRDefault="00796B4F" w:rsidP="005B6B53">
            <w:pPr>
              <w:rPr>
                <w:rFonts w:ascii="Arial" w:hAnsi="Arial"/>
                <w:sz w:val="16"/>
                <w:szCs w:val="20"/>
                <w:lang w:val="en-GB"/>
              </w:rPr>
            </w:pPr>
            <w:r w:rsidRPr="003C5456">
              <w:rPr>
                <w:rFonts w:ascii="Arial" w:hAnsi="Arial"/>
                <w:sz w:val="16"/>
                <w:szCs w:val="20"/>
                <w:lang w:val="en-GB"/>
              </w:rPr>
              <w:t>Human Environment</w:t>
            </w:r>
          </w:p>
        </w:tc>
        <w:tc>
          <w:tcPr>
            <w:tcW w:w="6799" w:type="dxa"/>
            <w:tcBorders>
              <w:top w:val="single" w:sz="12" w:space="0" w:color="auto"/>
              <w:left w:val="single" w:sz="12" w:space="0" w:color="auto"/>
              <w:bottom w:val="single" w:sz="4" w:space="0" w:color="auto"/>
              <w:right w:val="single" w:sz="12" w:space="0" w:color="auto"/>
            </w:tcBorders>
            <w:vAlign w:val="center"/>
          </w:tcPr>
          <w:p w14:paraId="1C0430E2"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Littering of coastal waters and inter-tidal area with aquaculture materials</w:t>
            </w:r>
          </w:p>
        </w:tc>
      </w:tr>
      <w:tr w:rsidR="00796B4F" w:rsidRPr="003C5456" w14:paraId="64FD4DA5" w14:textId="77777777" w:rsidTr="005B6B53">
        <w:trPr>
          <w:cantSplit/>
          <w:jc w:val="center"/>
        </w:trPr>
        <w:tc>
          <w:tcPr>
            <w:tcW w:w="2407" w:type="dxa"/>
            <w:vMerge/>
            <w:tcBorders>
              <w:left w:val="single" w:sz="12" w:space="0" w:color="auto"/>
              <w:right w:val="single" w:sz="12" w:space="0" w:color="auto"/>
            </w:tcBorders>
            <w:vAlign w:val="center"/>
          </w:tcPr>
          <w:p w14:paraId="4CC02BC1" w14:textId="77777777" w:rsidR="00796B4F" w:rsidRPr="003C5456" w:rsidRDefault="00796B4F" w:rsidP="005B6B53">
            <w:pPr>
              <w:rPr>
                <w:rFonts w:ascii="Arial" w:hAnsi="Arial"/>
                <w:sz w:val="16"/>
                <w:szCs w:val="20"/>
                <w:lang w:val="en-GB"/>
              </w:rPr>
            </w:pPr>
          </w:p>
        </w:tc>
        <w:tc>
          <w:tcPr>
            <w:tcW w:w="6799" w:type="dxa"/>
            <w:tcBorders>
              <w:left w:val="single" w:sz="12" w:space="0" w:color="auto"/>
              <w:bottom w:val="single" w:sz="4" w:space="0" w:color="auto"/>
              <w:right w:val="single" w:sz="12" w:space="0" w:color="auto"/>
            </w:tcBorders>
            <w:vAlign w:val="center"/>
          </w:tcPr>
          <w:p w14:paraId="035B69FA"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User group conflicts (e.g., aquaculturists v. fishers)</w:t>
            </w:r>
          </w:p>
        </w:tc>
      </w:tr>
      <w:tr w:rsidR="00796B4F" w:rsidRPr="003C5456" w14:paraId="5828439F" w14:textId="77777777" w:rsidTr="005B6B53">
        <w:trPr>
          <w:cantSplit/>
          <w:jc w:val="center"/>
        </w:trPr>
        <w:tc>
          <w:tcPr>
            <w:tcW w:w="2407" w:type="dxa"/>
            <w:vMerge/>
            <w:tcBorders>
              <w:left w:val="single" w:sz="12" w:space="0" w:color="auto"/>
              <w:bottom w:val="single" w:sz="12" w:space="0" w:color="auto"/>
              <w:right w:val="single" w:sz="12" w:space="0" w:color="auto"/>
            </w:tcBorders>
            <w:vAlign w:val="center"/>
          </w:tcPr>
          <w:p w14:paraId="6498AB20" w14:textId="77777777" w:rsidR="00796B4F" w:rsidRPr="003C5456" w:rsidRDefault="00796B4F" w:rsidP="005B6B53">
            <w:pPr>
              <w:rPr>
                <w:rFonts w:ascii="Arial" w:hAnsi="Arial"/>
                <w:sz w:val="16"/>
                <w:szCs w:val="20"/>
                <w:lang w:val="en-GB"/>
              </w:rPr>
            </w:pPr>
          </w:p>
        </w:tc>
        <w:tc>
          <w:tcPr>
            <w:tcW w:w="6799" w:type="dxa"/>
            <w:tcBorders>
              <w:top w:val="single" w:sz="4" w:space="0" w:color="auto"/>
              <w:left w:val="single" w:sz="12" w:space="0" w:color="auto"/>
              <w:bottom w:val="single" w:sz="12" w:space="0" w:color="auto"/>
              <w:right w:val="single" w:sz="12" w:space="0" w:color="auto"/>
            </w:tcBorders>
            <w:vAlign w:val="center"/>
          </w:tcPr>
          <w:p w14:paraId="4FE9D1F3" w14:textId="77777777" w:rsidR="00796B4F" w:rsidRPr="003C5456" w:rsidRDefault="00796B4F" w:rsidP="005B6B53">
            <w:pPr>
              <w:jc w:val="both"/>
              <w:rPr>
                <w:rFonts w:ascii="Arial" w:hAnsi="Arial"/>
                <w:sz w:val="16"/>
                <w:szCs w:val="20"/>
                <w:lang w:val="en-GB"/>
              </w:rPr>
            </w:pPr>
            <w:r w:rsidRPr="003C5456">
              <w:rPr>
                <w:rFonts w:ascii="Arial" w:hAnsi="Arial"/>
                <w:sz w:val="16"/>
                <w:szCs w:val="20"/>
                <w:lang w:val="en-GB"/>
              </w:rPr>
              <w:t>Reduced aesthetics as a result of the development of aquaculture infrastructure</w:t>
            </w:r>
          </w:p>
        </w:tc>
      </w:tr>
    </w:tbl>
    <w:p w14:paraId="1BB71DA1" w14:textId="77777777" w:rsidR="006B6786" w:rsidRDefault="006B6786" w:rsidP="00B21A75">
      <w:pPr>
        <w:jc w:val="both"/>
        <w:rPr>
          <w:sz w:val="22"/>
          <w:szCs w:val="22"/>
          <w:lang w:val="en-GB"/>
        </w:rPr>
      </w:pPr>
    </w:p>
    <w:p w14:paraId="5AF86E6C" w14:textId="77777777" w:rsidR="00F07F81" w:rsidRDefault="00F07F81">
      <w:pPr>
        <w:numPr>
          <w:ilvl w:val="1"/>
          <w:numId w:val="2"/>
        </w:numPr>
        <w:spacing w:after="120"/>
        <w:outlineLvl w:val="1"/>
        <w:rPr>
          <w:b/>
          <w:sz w:val="22"/>
          <w:szCs w:val="22"/>
          <w:lang w:val="en-GB"/>
        </w:rPr>
      </w:pPr>
      <w:bookmarkStart w:id="70" w:name="_Toc209432644"/>
      <w:r>
        <w:rPr>
          <w:b/>
          <w:sz w:val="22"/>
          <w:szCs w:val="22"/>
          <w:lang w:val="en-GB"/>
        </w:rPr>
        <w:t>Institutional, sectoral and policy context</w:t>
      </w:r>
      <w:bookmarkEnd w:id="70"/>
    </w:p>
    <w:p w14:paraId="07B10346" w14:textId="77777777" w:rsidR="00F07F81" w:rsidRDefault="00B21A75" w:rsidP="00B21A75">
      <w:pPr>
        <w:numPr>
          <w:ilvl w:val="0"/>
          <w:numId w:val="3"/>
        </w:numPr>
        <w:spacing w:after="120"/>
        <w:ind w:left="0" w:firstLine="0"/>
        <w:jc w:val="both"/>
        <w:rPr>
          <w:sz w:val="22"/>
          <w:szCs w:val="22"/>
          <w:lang w:val="en-GB"/>
        </w:rPr>
      </w:pPr>
      <w:r w:rsidRPr="00B21A75">
        <w:rPr>
          <w:sz w:val="22"/>
          <w:szCs w:val="22"/>
          <w:lang w:val="en-GB"/>
        </w:rPr>
        <w:t xml:space="preserve">Implementing the Strategic Action Programme is a complex task since it will involve actions from the local up to the regional and international levels and requires not only that all stakeholders participate but also that they share a common vision of the need for action. The management framework, described in </w:t>
      </w:r>
      <w:r w:rsidR="00D97EF8">
        <w:rPr>
          <w:sz w:val="22"/>
          <w:szCs w:val="22"/>
          <w:lang w:val="en-GB"/>
        </w:rPr>
        <w:t>S</w:t>
      </w:r>
      <w:r w:rsidRPr="00B21A75">
        <w:rPr>
          <w:sz w:val="22"/>
          <w:szCs w:val="22"/>
          <w:lang w:val="en-GB"/>
        </w:rPr>
        <w:t xml:space="preserve">ection </w:t>
      </w:r>
      <w:r w:rsidR="00D97EF8">
        <w:rPr>
          <w:sz w:val="22"/>
          <w:szCs w:val="22"/>
          <w:lang w:val="en-GB"/>
        </w:rPr>
        <w:t xml:space="preserve">4 </w:t>
      </w:r>
      <w:r w:rsidRPr="00B21A75">
        <w:rPr>
          <w:sz w:val="22"/>
          <w:szCs w:val="22"/>
          <w:lang w:val="en-GB"/>
        </w:rPr>
        <w:t>below is based on that developed during the SCS project which has proven to be of value providing connections and linkages from local to central government levels within countries and between the political and scientific domains at the regional level. Several types of constraints continue to operate at both the national and regional levels in terms of institutional and sectorial arrangements but the policy context appears not to be a problem in any country as all are committed to the Sustainable Development Goals, and the principles of ecosystem based management, and sustainable development.</w:t>
      </w:r>
    </w:p>
    <w:p w14:paraId="2CD74655" w14:textId="77777777" w:rsidR="00B21A75" w:rsidRPr="007A15C5" w:rsidRDefault="00B21A75" w:rsidP="00B21A75">
      <w:pPr>
        <w:numPr>
          <w:ilvl w:val="0"/>
          <w:numId w:val="3"/>
        </w:numPr>
        <w:spacing w:after="120"/>
        <w:ind w:left="0" w:firstLine="0"/>
        <w:jc w:val="both"/>
        <w:rPr>
          <w:sz w:val="22"/>
          <w:szCs w:val="22"/>
        </w:rPr>
      </w:pPr>
      <w:r w:rsidRPr="007A15C5">
        <w:rPr>
          <w:sz w:val="22"/>
          <w:szCs w:val="22"/>
        </w:rPr>
        <w:t xml:space="preserve">At the national level the institutional context at the central government level has changed in the recent past in four of the countries bordering the South China Sea as a consequence of restructuring of the ministries responsible for the environment at the national level. This restructuring reflects adjustments </w:t>
      </w:r>
      <w:r>
        <w:rPr>
          <w:sz w:val="22"/>
          <w:szCs w:val="22"/>
        </w:rPr>
        <w:t>aimed at establishing the institutional enabling environments required to meet various International environmental instruments, with notable attention being given to aligning work of sectorial agencies to enable the integrated approaches required to contribute to the achievement of the</w:t>
      </w:r>
      <w:r w:rsidRPr="007A15C5">
        <w:rPr>
          <w:sz w:val="22"/>
          <w:szCs w:val="22"/>
        </w:rPr>
        <w:t xml:space="preserve"> </w:t>
      </w:r>
      <w:r>
        <w:rPr>
          <w:sz w:val="22"/>
          <w:szCs w:val="22"/>
        </w:rPr>
        <w:t>sustainable</w:t>
      </w:r>
      <w:r w:rsidRPr="007A15C5">
        <w:rPr>
          <w:sz w:val="22"/>
          <w:szCs w:val="22"/>
        </w:rPr>
        <w:t xml:space="preserve"> development goals. The situation has remained unchanged in Cambodia, Indonesia and the Philippines the two former each having a Ministry of Environment headed by a Minister (Senior Minister in the case of Cambodia). In the case of the Philippines the Department of Environment and Natural Resources (equivalent to a Ministry) is headed by a Secretary. </w:t>
      </w:r>
    </w:p>
    <w:p w14:paraId="59B203AB" w14:textId="77777777" w:rsidR="00B21A75" w:rsidRPr="007A15C5" w:rsidRDefault="00B21A75" w:rsidP="002F1FB0">
      <w:pPr>
        <w:numPr>
          <w:ilvl w:val="0"/>
          <w:numId w:val="3"/>
        </w:numPr>
        <w:spacing w:after="120"/>
        <w:ind w:left="0" w:firstLine="0"/>
        <w:jc w:val="both"/>
        <w:rPr>
          <w:sz w:val="22"/>
          <w:szCs w:val="22"/>
        </w:rPr>
      </w:pPr>
      <w:r w:rsidRPr="007A15C5">
        <w:rPr>
          <w:sz w:val="22"/>
          <w:szCs w:val="22"/>
        </w:rPr>
        <w:t xml:space="preserve">Four countries have changed their institutional arrangements during </w:t>
      </w:r>
      <w:r>
        <w:rPr>
          <w:sz w:val="22"/>
          <w:szCs w:val="22"/>
        </w:rPr>
        <w:t>recent</w:t>
      </w:r>
      <w:r w:rsidRPr="007A15C5">
        <w:rPr>
          <w:sz w:val="22"/>
          <w:szCs w:val="22"/>
        </w:rPr>
        <w:t xml:space="preserve"> years. In China the State Environment Protection Administration was elevated to the status of a Ministry (Ministry of Environment Protection) following the National Party Congress in the first quarter of 2008. In Thailand restructuring of the responsibilities of Government Departments and Ministries resulted in the creation of a Department of Marine and Coastal Resources within the Ministry of Natural Resources and Environment that assumed some responsibilities previously discharged by the Fisheries and Forestry Departments of other ministries. </w:t>
      </w:r>
      <w:r>
        <w:rPr>
          <w:sz w:val="22"/>
          <w:szCs w:val="22"/>
        </w:rPr>
        <w:t xml:space="preserve">Similarly, the Vietnam Administration for Seas and Islands was established within the Ministry of Natural Resources and Environment. </w:t>
      </w:r>
      <w:r w:rsidRPr="007A15C5">
        <w:rPr>
          <w:sz w:val="22"/>
          <w:szCs w:val="22"/>
        </w:rPr>
        <w:t>Changes in government structures at the Ministerial and Departmental level can and do impact, at least in the short term, on the efficiency and responsiveness of individual governments to external demands and pressures. A major factor determining the success or otherwise of regional initiatives is the extent to which all countries respond at comparable speeds.</w:t>
      </w:r>
    </w:p>
    <w:p w14:paraId="1D439A54" w14:textId="77777777" w:rsidR="002F1FB0" w:rsidRPr="007A15C5" w:rsidRDefault="002F1FB0" w:rsidP="002F1FB0">
      <w:pPr>
        <w:numPr>
          <w:ilvl w:val="0"/>
          <w:numId w:val="3"/>
        </w:numPr>
        <w:spacing w:after="120"/>
        <w:ind w:left="0" w:firstLine="0"/>
        <w:jc w:val="both"/>
        <w:rPr>
          <w:sz w:val="22"/>
          <w:szCs w:val="22"/>
        </w:rPr>
      </w:pPr>
      <w:r w:rsidRPr="007A15C5">
        <w:rPr>
          <w:sz w:val="22"/>
          <w:szCs w:val="22"/>
        </w:rPr>
        <w:t xml:space="preserve">All participating countries have completed National Biodiversity Strategic Action Plans (NBSAP) and each has identified specific focal points for the Biodiversity Convention, the Global Environment Facility, the RAMSAR Convention on Wetlands, and CITES. The extent and effectiveness of co-ordination at the national level between these focal points varies from country to country but is generally good in the case of the Biodiversity related conventions. The </w:t>
      </w:r>
      <w:r>
        <w:rPr>
          <w:sz w:val="22"/>
          <w:szCs w:val="22"/>
        </w:rPr>
        <w:t>SCS</w:t>
      </w:r>
      <w:r w:rsidRPr="007A15C5">
        <w:rPr>
          <w:sz w:val="22"/>
          <w:szCs w:val="22"/>
        </w:rPr>
        <w:t xml:space="preserve"> project required the focal ministries to establish inter-ministry committees to co-ordinate actions across sectors at the national level and in </w:t>
      </w:r>
      <w:r>
        <w:rPr>
          <w:sz w:val="22"/>
          <w:szCs w:val="22"/>
        </w:rPr>
        <w:t xml:space="preserve">most </w:t>
      </w:r>
      <w:r w:rsidRPr="007A15C5">
        <w:rPr>
          <w:sz w:val="22"/>
          <w:szCs w:val="22"/>
        </w:rPr>
        <w:t xml:space="preserve">instances </w:t>
      </w:r>
      <w:r>
        <w:rPr>
          <w:sz w:val="22"/>
          <w:szCs w:val="22"/>
        </w:rPr>
        <w:t>proved</w:t>
      </w:r>
      <w:r w:rsidRPr="007A15C5">
        <w:rPr>
          <w:sz w:val="22"/>
          <w:szCs w:val="22"/>
        </w:rPr>
        <w:t xml:space="preserve"> to be quite effective but </w:t>
      </w:r>
      <w:r>
        <w:rPr>
          <w:sz w:val="22"/>
          <w:szCs w:val="22"/>
        </w:rPr>
        <w:t>have stagnated in recent years due to lack of regional stimulation of priority actions in the realm of coastal and marine environmental management in the South China Sea</w:t>
      </w:r>
      <w:r w:rsidRPr="007A15C5">
        <w:rPr>
          <w:sz w:val="22"/>
          <w:szCs w:val="22"/>
        </w:rPr>
        <w:t xml:space="preserve">. </w:t>
      </w:r>
    </w:p>
    <w:p w14:paraId="45844EE0" w14:textId="77777777" w:rsidR="00B21A75" w:rsidRDefault="002F1FB0" w:rsidP="002F1FB0">
      <w:pPr>
        <w:numPr>
          <w:ilvl w:val="0"/>
          <w:numId w:val="3"/>
        </w:numPr>
        <w:spacing w:after="120"/>
        <w:ind w:left="0" w:firstLine="0"/>
        <w:jc w:val="both"/>
        <w:rPr>
          <w:sz w:val="22"/>
          <w:szCs w:val="22"/>
          <w:lang w:val="en-GB"/>
        </w:rPr>
      </w:pPr>
      <w:r w:rsidRPr="002F1FB0">
        <w:rPr>
          <w:sz w:val="22"/>
          <w:szCs w:val="22"/>
          <w:lang w:val="en-GB"/>
        </w:rPr>
        <w:t xml:space="preserve">In all </w:t>
      </w:r>
      <w:r>
        <w:rPr>
          <w:sz w:val="22"/>
          <w:szCs w:val="22"/>
          <w:lang w:val="en-GB"/>
        </w:rPr>
        <w:t xml:space="preserve">participating </w:t>
      </w:r>
      <w:r w:rsidRPr="002F1FB0">
        <w:rPr>
          <w:sz w:val="22"/>
          <w:szCs w:val="22"/>
          <w:lang w:val="en-GB"/>
        </w:rPr>
        <w:t>countries the environment is treated as a separate sector for planning and management purposes leading to: overlapping or conflicting mandates between different ministries, as in the case of fisheries and environment for example, where internal mechanisms for managing the impacts of fishing practices on habitats and the physical environment do not exist; ineffective control of environmental degradation resulting from land-based pollution where the interface between the industrial and environmental sectors is not well developed; inadequate consideration of the consequence of environmental degradation and habitat loss due to ineffective means of valuing environmental goods and services, and a failure to use such values in social cost-benefit analysis, where they exist; and the failure to use sound science as the basis for development decision making due to reasons such as: the inability of scientists in the region to present the information in a simple and persuasive manner; a lack of respect from political decision makers and others for scientists from the region; the overwhelming push towards economic development.</w:t>
      </w:r>
    </w:p>
    <w:p w14:paraId="7FD2B05A" w14:textId="77777777" w:rsidR="002F1FB0" w:rsidRPr="00083707" w:rsidRDefault="002F1FB0" w:rsidP="00083707">
      <w:pPr>
        <w:numPr>
          <w:ilvl w:val="0"/>
          <w:numId w:val="3"/>
        </w:numPr>
        <w:spacing w:after="120"/>
        <w:ind w:left="0" w:firstLine="0"/>
        <w:jc w:val="both"/>
        <w:rPr>
          <w:sz w:val="22"/>
          <w:szCs w:val="22"/>
        </w:rPr>
      </w:pPr>
      <w:r w:rsidRPr="007A15C5">
        <w:rPr>
          <w:sz w:val="22"/>
          <w:szCs w:val="22"/>
        </w:rPr>
        <w:t xml:space="preserve">Over </w:t>
      </w:r>
      <w:r>
        <w:rPr>
          <w:sz w:val="22"/>
          <w:szCs w:val="22"/>
        </w:rPr>
        <w:t>recent</w:t>
      </w:r>
      <w:r w:rsidRPr="007A15C5">
        <w:rPr>
          <w:sz w:val="22"/>
          <w:szCs w:val="22"/>
        </w:rPr>
        <w:t xml:space="preserve"> years there has been a progressive movement in all participating countries away from centralised government control to a more decentralised management and control of natural resources and development at the Provincial and municipal levels. Developments in this regard are most noticeable in Cambodia, Indonesia and Thailand with China, Viet Nam and Philippines also having considerable local autonomy with respect to decisions regarding coastal resource use and development. It is noticeable that in those countries with devolution of decision making power and management responsibility to the provincial and local levels of government, the interactions between the provincial level representatives of the central government ministries and departments are frequently better developed and more frequent than in the capital cities, particularly in terms of operational level interactions. </w:t>
      </w:r>
    </w:p>
    <w:p w14:paraId="50C469C0" w14:textId="77777777" w:rsidR="00F07F81" w:rsidRDefault="00F07F81">
      <w:pPr>
        <w:numPr>
          <w:ilvl w:val="1"/>
          <w:numId w:val="2"/>
        </w:numPr>
        <w:spacing w:after="120"/>
        <w:outlineLvl w:val="1"/>
        <w:rPr>
          <w:b/>
          <w:sz w:val="22"/>
          <w:szCs w:val="22"/>
          <w:lang w:val="en-GB"/>
        </w:rPr>
      </w:pPr>
      <w:bookmarkStart w:id="71" w:name="_Toc209432645"/>
      <w:r>
        <w:rPr>
          <w:b/>
          <w:sz w:val="22"/>
          <w:szCs w:val="22"/>
          <w:lang w:val="en-GB"/>
        </w:rPr>
        <w:t>Stakeholder mapping and analysis</w:t>
      </w:r>
      <w:bookmarkEnd w:id="71"/>
    </w:p>
    <w:p w14:paraId="1A19CABC" w14:textId="77777777" w:rsidR="00083707" w:rsidRPr="007A15C5" w:rsidRDefault="00083707" w:rsidP="00083707">
      <w:pPr>
        <w:numPr>
          <w:ilvl w:val="0"/>
          <w:numId w:val="3"/>
        </w:numPr>
        <w:spacing w:after="120"/>
        <w:ind w:left="0" w:firstLine="0"/>
        <w:jc w:val="both"/>
        <w:rPr>
          <w:sz w:val="22"/>
          <w:szCs w:val="22"/>
        </w:rPr>
      </w:pPr>
      <w:r w:rsidRPr="007A15C5">
        <w:rPr>
          <w:sz w:val="22"/>
          <w:szCs w:val="22"/>
        </w:rPr>
        <w:t xml:space="preserve">The primary level stakeholders in the implementation of the Strategic Action Programme are the central governments of the seven participating countries since these are the entities that must agree on, and oversee the co-ordination of actions at the regional level and support the achievement of the regional targets through the implementation of </w:t>
      </w:r>
      <w:r w:rsidR="004B489A">
        <w:rPr>
          <w:sz w:val="22"/>
          <w:szCs w:val="22"/>
        </w:rPr>
        <w:t>project activities</w:t>
      </w:r>
      <w:r w:rsidRPr="007A15C5">
        <w:rPr>
          <w:sz w:val="22"/>
          <w:szCs w:val="22"/>
        </w:rPr>
        <w:t xml:space="preserve"> in each country. Other stakeholders at the national level include NGOs, the academic and research community that is in some countries organised through national organisations such as academies of science or professional societies. At the provincial and local levels stakeholders include the provincial and local government units, community groups and local associations or co-operatives of farmers, fisher</w:t>
      </w:r>
      <w:r w:rsidR="0094625C">
        <w:rPr>
          <w:sz w:val="22"/>
          <w:szCs w:val="22"/>
        </w:rPr>
        <w:t>folk</w:t>
      </w:r>
      <w:r w:rsidRPr="007A15C5">
        <w:rPr>
          <w:sz w:val="22"/>
          <w:szCs w:val="22"/>
        </w:rPr>
        <w:t xml:space="preserve"> and other groups dependent upon coastal space and resources such as aquaculture producers and processing groups which are often controlled and operated by women.</w:t>
      </w:r>
    </w:p>
    <w:p w14:paraId="6A835BEC" w14:textId="77777777" w:rsidR="00083707" w:rsidRDefault="00083707" w:rsidP="00C849B7">
      <w:pPr>
        <w:numPr>
          <w:ilvl w:val="0"/>
          <w:numId w:val="3"/>
        </w:numPr>
        <w:spacing w:after="120"/>
        <w:ind w:left="0" w:firstLine="0"/>
        <w:jc w:val="both"/>
        <w:rPr>
          <w:sz w:val="22"/>
          <w:szCs w:val="22"/>
        </w:rPr>
      </w:pPr>
      <w:r w:rsidRPr="007A15C5">
        <w:rPr>
          <w:sz w:val="22"/>
          <w:szCs w:val="22"/>
        </w:rPr>
        <w:t>The importance of different stakeholder groups at any one location reflects differences in the types of resources, and the human activities of exploitation and processing, characteristic of each area. In mangrove areas for example gleaning and catching crabs and village level processing of the catch may be undertaken by women’s groups, whilst canoe based net and trap fishing may be un</w:t>
      </w:r>
      <w:r>
        <w:rPr>
          <w:sz w:val="22"/>
          <w:szCs w:val="22"/>
        </w:rPr>
        <w:t xml:space="preserve">dertaken predominantly by men. </w:t>
      </w:r>
      <w:r w:rsidRPr="007A15C5">
        <w:rPr>
          <w:sz w:val="22"/>
          <w:szCs w:val="22"/>
        </w:rPr>
        <w:t>The project aims to provide appropriate fora in which scientists and government officials may periodically interact and exchange knowledge and experience regarding scientifically sound approaches to managing coastal resources (regional scientific conferences); together with fora designed to allow interaction between more operationally involved managers, government officers and community leaders (</w:t>
      </w:r>
      <w:r>
        <w:rPr>
          <w:sz w:val="22"/>
          <w:szCs w:val="22"/>
        </w:rPr>
        <w:t>e.g. revitalization of the Mayor’s Round Table meetings described above</w:t>
      </w:r>
      <w:r w:rsidRPr="007A15C5">
        <w:rPr>
          <w:sz w:val="22"/>
          <w:szCs w:val="22"/>
        </w:rPr>
        <w:t>).</w:t>
      </w:r>
      <w:r>
        <w:rPr>
          <w:sz w:val="22"/>
          <w:szCs w:val="22"/>
        </w:rPr>
        <w:t xml:space="preserve"> Stakeholder analysis and engagement planning will be a central element of project coordination and management and reported on annually to national IMCs and the regional Project Steering Committee.</w:t>
      </w:r>
      <w:r w:rsidR="0094625C">
        <w:rPr>
          <w:sz w:val="22"/>
          <w:szCs w:val="22"/>
        </w:rPr>
        <w:t xml:space="preserve"> The following summarises stakeholder mapping conduct in preparation of this project:</w:t>
      </w:r>
    </w:p>
    <w:p w14:paraId="4C6A4D77" w14:textId="77777777" w:rsidR="0094625C" w:rsidRPr="0094625C" w:rsidRDefault="0094625C" w:rsidP="0094625C">
      <w:pPr>
        <w:spacing w:after="120"/>
        <w:jc w:val="both"/>
        <w:rPr>
          <w:b/>
          <w:i/>
          <w:sz w:val="22"/>
          <w:szCs w:val="22"/>
        </w:rPr>
      </w:pPr>
      <w:r>
        <w:rPr>
          <w:b/>
          <w:i/>
          <w:sz w:val="22"/>
          <w:szCs w:val="22"/>
        </w:rPr>
        <w:t>Cambodia</w:t>
      </w:r>
    </w:p>
    <w:p w14:paraId="252ABB2E" w14:textId="77777777" w:rsidR="00945E83" w:rsidRDefault="00945E83" w:rsidP="00132162">
      <w:pPr>
        <w:numPr>
          <w:ilvl w:val="0"/>
          <w:numId w:val="3"/>
        </w:numPr>
        <w:spacing w:after="120"/>
        <w:ind w:left="0" w:firstLine="0"/>
        <w:jc w:val="both"/>
        <w:rPr>
          <w:sz w:val="22"/>
          <w:szCs w:val="22"/>
        </w:rPr>
      </w:pPr>
      <w:r w:rsidRPr="00945E83">
        <w:rPr>
          <w:sz w:val="22"/>
          <w:szCs w:val="22"/>
        </w:rPr>
        <w:t>The national lead agency for the project in Cambodia is the Ministry of Environment which will draw on inputs from its Department of Nature Conservation and Protection, Department of Planning and Legal Affairs, National Park and Wildlife Sanctuary Office, Department of Pollution Control and Coastal Coordinating Unit. Given the fact that coral reef and seagrass are managed by the Fisheries Administration of the Ministry of Agriculture, Forestry and Fisheries, the Fisheries Administration will also play a major role in national coordination and work on governance reforms. National level coordination and planning will be undertaken in collaboration with the Ministry of Land Management, Urban Planning and Construction, Ministry of Public Works and Transport, Ministry of Foreign Affairs and International Cooperation, Ministry of Planning, and the Ministry of Women’s Affairs.</w:t>
      </w:r>
    </w:p>
    <w:p w14:paraId="735B8B3B" w14:textId="77777777" w:rsidR="00945E83" w:rsidRDefault="00945E83" w:rsidP="00132162">
      <w:pPr>
        <w:numPr>
          <w:ilvl w:val="0"/>
          <w:numId w:val="3"/>
        </w:numPr>
        <w:spacing w:after="120"/>
        <w:ind w:left="0" w:firstLine="0"/>
        <w:jc w:val="both"/>
        <w:rPr>
          <w:sz w:val="22"/>
          <w:szCs w:val="22"/>
        </w:rPr>
      </w:pPr>
      <w:r w:rsidRPr="00945E83">
        <w:rPr>
          <w:sz w:val="22"/>
          <w:szCs w:val="22"/>
        </w:rPr>
        <w:t xml:space="preserve">The Ministry of Environment and the Fisheries Administration will also play significant roles in the technical and national-level execution of project activities given their growing human resource and technical capacities. Networks with other government ministries and agencies will be established to secure specialized technical inputs to project activities as required. The Royal University of Agriculture, Phnom Penh </w:t>
      </w:r>
      <w:r w:rsidR="00164068">
        <w:rPr>
          <w:sz w:val="22"/>
          <w:szCs w:val="22"/>
        </w:rPr>
        <w:t>and the University of Phnom Penh are</w:t>
      </w:r>
      <w:r w:rsidRPr="00945E83">
        <w:rPr>
          <w:sz w:val="22"/>
          <w:szCs w:val="22"/>
        </w:rPr>
        <w:t xml:space="preserve"> also key technical stakeholder as will be representatives of the Provincial governments of Kampot,</w:t>
      </w:r>
      <w:r w:rsidR="00164068">
        <w:rPr>
          <w:sz w:val="22"/>
          <w:szCs w:val="22"/>
        </w:rPr>
        <w:t xml:space="preserve"> Kep,</w:t>
      </w:r>
      <w:r w:rsidRPr="00945E83">
        <w:rPr>
          <w:sz w:val="22"/>
          <w:szCs w:val="22"/>
        </w:rPr>
        <w:t xml:space="preserve"> Sihanoukville and Koh Kong. While the offices of the Governor and Deputy-Governor will be the key focal agencies within each of the coastal provinces, their departments are major project stakeholders from the perspective of local operational management and implementation of management reforms.</w:t>
      </w:r>
    </w:p>
    <w:p w14:paraId="19F94721" w14:textId="77777777" w:rsidR="00945E83" w:rsidRDefault="00945E83" w:rsidP="00132162">
      <w:pPr>
        <w:numPr>
          <w:ilvl w:val="0"/>
          <w:numId w:val="3"/>
        </w:numPr>
        <w:spacing w:after="120"/>
        <w:ind w:left="0" w:firstLine="0"/>
        <w:jc w:val="both"/>
        <w:rPr>
          <w:sz w:val="22"/>
          <w:szCs w:val="22"/>
        </w:rPr>
      </w:pPr>
      <w:r w:rsidRPr="00945E83">
        <w:rPr>
          <w:sz w:val="22"/>
          <w:szCs w:val="22"/>
        </w:rPr>
        <w:t xml:space="preserve">Each of the abovementioned provincial governments have a Department of Environment, Department of Agriculture, Provincial Fisheries Office, Department of Land Management, Department of Tourism, Department of Rural Development, Department of Women’s Affairs, Department of Planning, Department of Public and Transport, Department of Mines and Industry, Department of Water and Meteorology, and Police Department. The effective coordination of inputs of the multitude of capacities of these provincial departments can enable a high level of operational management impact at the local level. In Koh Kong Province, the Peam Krasop Wildlife Sanctuary Administration is a major stakeholder, particularly with respect to mangrove and wetland management. </w:t>
      </w:r>
      <w:r w:rsidR="00ED4505" w:rsidRPr="00ED4505">
        <w:rPr>
          <w:sz w:val="22"/>
          <w:szCs w:val="22"/>
        </w:rPr>
        <w:t>Additionally, provincial and community level NGOs, CSOs and COs that have demonstrable experience and success working in the area of coastal and marine environmental management in these provinces include:  the Coastal Community Fisheries Khan Stung Hav in Sihanoukville; the Environmental Protection and Development Organization; the Kampong Samaki Community Fisheries Coastal Resources Protection organization; and the Potsar and Champey Community Fisheries Federation</w:t>
      </w:r>
      <w:r w:rsidR="00ED4505">
        <w:rPr>
          <w:sz w:val="22"/>
          <w:szCs w:val="22"/>
        </w:rPr>
        <w:t xml:space="preserve"> and are key stakeholders</w:t>
      </w:r>
      <w:r w:rsidR="00ED4505" w:rsidRPr="00ED4505">
        <w:rPr>
          <w:sz w:val="22"/>
          <w:szCs w:val="22"/>
        </w:rPr>
        <w:t>.</w:t>
      </w:r>
    </w:p>
    <w:p w14:paraId="0B2A77A9" w14:textId="77777777" w:rsidR="0094625C" w:rsidRPr="0094625C" w:rsidRDefault="0094625C" w:rsidP="0094625C">
      <w:pPr>
        <w:spacing w:after="120"/>
        <w:jc w:val="both"/>
        <w:rPr>
          <w:b/>
          <w:i/>
          <w:sz w:val="22"/>
          <w:szCs w:val="22"/>
        </w:rPr>
      </w:pPr>
      <w:r>
        <w:rPr>
          <w:b/>
          <w:i/>
          <w:sz w:val="22"/>
          <w:szCs w:val="22"/>
        </w:rPr>
        <w:t>China</w:t>
      </w:r>
    </w:p>
    <w:p w14:paraId="773D4A7C" w14:textId="77777777" w:rsidR="00945E83" w:rsidRDefault="00945E83" w:rsidP="00132162">
      <w:pPr>
        <w:numPr>
          <w:ilvl w:val="0"/>
          <w:numId w:val="3"/>
        </w:numPr>
        <w:spacing w:after="120"/>
        <w:ind w:left="0" w:firstLine="0"/>
        <w:jc w:val="both"/>
        <w:rPr>
          <w:sz w:val="22"/>
          <w:szCs w:val="22"/>
        </w:rPr>
      </w:pPr>
      <w:r w:rsidRPr="00945E83">
        <w:rPr>
          <w:sz w:val="22"/>
          <w:szCs w:val="22"/>
        </w:rPr>
        <w:t>In China, the Ministry of Environmental Protection (M</w:t>
      </w:r>
      <w:r w:rsidR="00130405">
        <w:rPr>
          <w:sz w:val="22"/>
          <w:szCs w:val="22"/>
        </w:rPr>
        <w:t>E</w:t>
      </w:r>
      <w:r w:rsidRPr="00945E83">
        <w:rPr>
          <w:sz w:val="22"/>
          <w:szCs w:val="22"/>
        </w:rPr>
        <w:t>P) given its role as a member of COBSEA, the regional executing entity for the project, will lead project execution at the national level. MoP’s Department of Pollution Control, Department of International Cooperation, and Department of Policy and Law, and South China Institute of Environmental Sciences have been identified as key stakeholders. The Department of International Cooperation of the State Oceanic Administration is also a primary stakeholder. From the perspective of national technical and execution capacity, the Guan</w:t>
      </w:r>
      <w:r w:rsidR="00FC5830">
        <w:rPr>
          <w:sz w:val="22"/>
          <w:szCs w:val="22"/>
        </w:rPr>
        <w:t>g</w:t>
      </w:r>
      <w:r w:rsidRPr="00945E83">
        <w:rPr>
          <w:sz w:val="22"/>
          <w:szCs w:val="22"/>
        </w:rPr>
        <w:t xml:space="preserve">xi Mangrove Research Centre, the South China Sea Institute of Oceanology of the Chinese Academy of Sciences, the Institute of Environmental Sciences of </w:t>
      </w:r>
      <w:r w:rsidR="00FC5830">
        <w:rPr>
          <w:sz w:val="22"/>
          <w:szCs w:val="22"/>
        </w:rPr>
        <w:t>Sun Yat-Sen</w:t>
      </w:r>
      <w:r w:rsidR="00FC5830" w:rsidRPr="00945E83">
        <w:rPr>
          <w:sz w:val="22"/>
          <w:szCs w:val="22"/>
        </w:rPr>
        <w:t xml:space="preserve"> </w:t>
      </w:r>
      <w:r w:rsidRPr="00945E83">
        <w:rPr>
          <w:sz w:val="22"/>
          <w:szCs w:val="22"/>
        </w:rPr>
        <w:t>University, the Research Centre of Wetland Science of Sun Yat-Sen University, and the Department of Natural Resources and Environment at Guangdong Ocean University are critically important stakeholders.</w:t>
      </w:r>
    </w:p>
    <w:p w14:paraId="055F6AD1" w14:textId="77777777" w:rsidR="00945E83" w:rsidRDefault="00945E83" w:rsidP="00132162">
      <w:pPr>
        <w:numPr>
          <w:ilvl w:val="0"/>
          <w:numId w:val="3"/>
        </w:numPr>
        <w:spacing w:after="120"/>
        <w:ind w:left="0" w:firstLine="0"/>
        <w:jc w:val="both"/>
        <w:rPr>
          <w:sz w:val="22"/>
          <w:szCs w:val="22"/>
        </w:rPr>
      </w:pPr>
      <w:r w:rsidRPr="00945E83">
        <w:rPr>
          <w:sz w:val="22"/>
          <w:szCs w:val="22"/>
        </w:rPr>
        <w:t xml:space="preserve">. The large provincial governments </w:t>
      </w:r>
      <w:r w:rsidR="00FC5830">
        <w:rPr>
          <w:sz w:val="22"/>
          <w:szCs w:val="22"/>
        </w:rPr>
        <w:t>of Guangdong, Guangxi and Hainan</w:t>
      </w:r>
      <w:r w:rsidRPr="00945E83">
        <w:rPr>
          <w:sz w:val="22"/>
          <w:szCs w:val="22"/>
        </w:rPr>
        <w:t xml:space="preserve"> provide services to more than 160 million people in southern China and the offices of the Governors for these provinces are important political stakeholders. Similarly, the governments of the prefecture-level cities of these provinces are also important stakeholders from the perspective of harnessing local-level support for operational management. The government of Shantou City, particularly the Shantou Wildlife Conservation and Management Office and Shantou Wetland Natural Reserve Station and the government of Shenzhen City and the Baoan Bureau of Environmental Protection are important local-level authorities in the area of the priority mangrove and wetland areas in Guangdong province. In Guangxi, similar local authorities identified as primary stakeholders include the Beihai Municipal People’s Government, particularly the Environmental Protection Bureau of Beihai City, and the Hepu County Government, including its administration for the Hepu Dugong Nature Reserve. The Fangchenggang City government, including its Oceanic Administration Bureau, Environmental Protection Bureau, Forestry Bureau, City Planning Bureau, Fisheries Bureau and Tourist Bureau is another primary stakeholder in Guangxi.</w:t>
      </w:r>
    </w:p>
    <w:p w14:paraId="38917977" w14:textId="77777777" w:rsidR="00945E83" w:rsidRDefault="00945E83" w:rsidP="00132162">
      <w:pPr>
        <w:numPr>
          <w:ilvl w:val="0"/>
          <w:numId w:val="3"/>
        </w:numPr>
        <w:spacing w:after="120"/>
        <w:ind w:left="0" w:firstLine="0"/>
        <w:jc w:val="both"/>
        <w:rPr>
          <w:sz w:val="22"/>
          <w:szCs w:val="22"/>
        </w:rPr>
      </w:pPr>
      <w:r w:rsidRPr="00945E83">
        <w:rPr>
          <w:sz w:val="22"/>
          <w:szCs w:val="22"/>
        </w:rPr>
        <w:t xml:space="preserve">Project preparation identified significant emerging capacities within a range of NGOs, CBOs and COs operating in the coastal provinces of Guangdong, Guangxi and Hainan, many of which have a demonstrable track record in the area of community-based approaches to coastal and marine environment and natural resource management. </w:t>
      </w:r>
      <w:r w:rsidR="00ED4505" w:rsidRPr="00ED4505">
        <w:rPr>
          <w:sz w:val="22"/>
          <w:szCs w:val="22"/>
        </w:rPr>
        <w:t>These include inter alia: the Guangdong Ecological Society; the Zhuhai Biological Society; the Leizhou Peninsula Coastal Ecological Conservation and Education Society; Guangxi Biodiversity Research and Conservation Association; the Fangchenggang Mangrove Protection Association; the Hainan South China Sea Institute of Tropical Marine Biology and Disease; and the Beihai Civil Volunteers Association.</w:t>
      </w:r>
    </w:p>
    <w:p w14:paraId="3FEDA425" w14:textId="77777777" w:rsidR="0094625C" w:rsidRPr="0094625C" w:rsidRDefault="0094625C" w:rsidP="0094625C">
      <w:pPr>
        <w:spacing w:after="120"/>
        <w:jc w:val="both"/>
        <w:rPr>
          <w:b/>
          <w:i/>
          <w:sz w:val="22"/>
          <w:szCs w:val="22"/>
        </w:rPr>
      </w:pPr>
      <w:r w:rsidRPr="0094625C">
        <w:rPr>
          <w:b/>
          <w:i/>
          <w:sz w:val="22"/>
          <w:szCs w:val="22"/>
        </w:rPr>
        <w:t>Indonesia</w:t>
      </w:r>
    </w:p>
    <w:p w14:paraId="1ABEF816" w14:textId="77777777" w:rsidR="00945E83" w:rsidRDefault="00F278C5" w:rsidP="00132162">
      <w:pPr>
        <w:numPr>
          <w:ilvl w:val="0"/>
          <w:numId w:val="3"/>
        </w:numPr>
        <w:spacing w:after="120"/>
        <w:ind w:left="0" w:firstLine="0"/>
        <w:jc w:val="both"/>
        <w:rPr>
          <w:sz w:val="22"/>
          <w:szCs w:val="22"/>
        </w:rPr>
      </w:pPr>
      <w:r w:rsidRPr="00F278C5">
        <w:rPr>
          <w:sz w:val="22"/>
          <w:szCs w:val="22"/>
          <w:lang w:val="en-GB"/>
        </w:rPr>
        <w:t>In Indonesia, the Ministry of Environment and Forestry will lead project national-level project execution and will draw on inputs from its Directorate of Marine and Coastal Degradation Control, Directorate of Water Pollution Control, Directorate of Management of Essential Ecosystem, Directorate of Environmental Impact Assessment and Regional Planning, and Directorate General of Catchment Area Management and Conservation Forest. The Ministry of Marine Affairs and Fisheries and Coordinating Ministry of Maritime and Natural Resources are also a primary stakeholder at the level of national coordination and governance, and operation of the Inter-Ministerial Committee will ensure engagement of the Ministry of Foreign Affairs, the Ministry of Agriculture, the Ministry of Administrative and Bureaucratic Reform; Ministry of Communications and Informatics; and the Ministry of Research, Technology and Higher Education, Ministry of Transportation, Ministry of Tourism, Ministry of Public Work  and Housing, Ministry of Spatial Planning, Ministry of National Development Planning, and Geo Spatial Information Board.</w:t>
      </w:r>
    </w:p>
    <w:p w14:paraId="2B4012E6" w14:textId="77777777" w:rsidR="00945E83" w:rsidRDefault="00F278C5" w:rsidP="00132162">
      <w:pPr>
        <w:numPr>
          <w:ilvl w:val="0"/>
          <w:numId w:val="3"/>
        </w:numPr>
        <w:spacing w:after="120"/>
        <w:ind w:left="0" w:firstLine="0"/>
        <w:jc w:val="both"/>
        <w:rPr>
          <w:sz w:val="22"/>
          <w:szCs w:val="22"/>
        </w:rPr>
      </w:pPr>
      <w:r w:rsidRPr="00F278C5">
        <w:rPr>
          <w:sz w:val="22"/>
          <w:szCs w:val="22"/>
          <w:lang w:val="en-GB"/>
        </w:rPr>
        <w:t>Technical expertise of the above-mentioned Ministries will also be harnessed in support of the scientific, knowledge exchange, and national execution of project activities. The latter will also engage key research and academic stakeholders from the Center for Coastal and Marine Resources Studies of Bogor Agricultural University, Research Center for Oceanography of the Indonesian Institute for Sciences, the Faculty of Economics of Budi Luhur University, and the Faculty of Law at the University of Padjadjaran-Bandung.</w:t>
      </w:r>
    </w:p>
    <w:p w14:paraId="5421D027" w14:textId="77777777" w:rsidR="00945E83" w:rsidRDefault="00F278C5" w:rsidP="00F416A2">
      <w:pPr>
        <w:numPr>
          <w:ilvl w:val="0"/>
          <w:numId w:val="3"/>
        </w:numPr>
        <w:spacing w:after="120"/>
        <w:ind w:left="0" w:firstLine="0"/>
        <w:jc w:val="both"/>
        <w:rPr>
          <w:sz w:val="22"/>
          <w:szCs w:val="22"/>
        </w:rPr>
      </w:pPr>
      <w:r w:rsidRPr="00F278C5">
        <w:rPr>
          <w:sz w:val="22"/>
          <w:szCs w:val="22"/>
        </w:rPr>
        <w:t>The provincial governments of Riau, Kepulauan Riau, Jambi, West Kalimantan and Bangka-Belitung are also primary stakeholders in terms of local operational management and on-the-ground implementation of the SAP. The city-level governments of these provinces also play a significant role given Indonesia’s decentralized approach. Specific offices identified during project preparation to be engaged include the Environmental Office of West Kalimantan Province, the Batu Ampar Local Government and the Regional Planning and Development Agency of Bangka-Belitung. In Riau, the Sub-Directorate of Sea, Shore and Land Ecosystems of the Environmental Management Impact Board of Batam City Government, the Sub-Directorate of Environment Monitoring and Rehabilitation of Batam City Government, the Local Office of Fisheries and Marine Affairs in Batam, the Infrastructure and Natural Resources Division of Bintan City Government, and the Local Agency for Development Planning in Bintan were identified as key local stakeholders.</w:t>
      </w:r>
    </w:p>
    <w:p w14:paraId="303B56C3" w14:textId="77777777" w:rsidR="00945E83" w:rsidRDefault="005179BF" w:rsidP="00F416A2">
      <w:pPr>
        <w:numPr>
          <w:ilvl w:val="0"/>
          <w:numId w:val="3"/>
        </w:numPr>
        <w:tabs>
          <w:tab w:val="left" w:pos="720"/>
        </w:tabs>
        <w:spacing w:after="120"/>
        <w:ind w:left="0" w:firstLine="0"/>
        <w:jc w:val="both"/>
        <w:rPr>
          <w:sz w:val="22"/>
          <w:szCs w:val="22"/>
        </w:rPr>
      </w:pPr>
      <w:r w:rsidRPr="005179BF">
        <w:rPr>
          <w:sz w:val="22"/>
          <w:szCs w:val="22"/>
        </w:rPr>
        <w:t xml:space="preserve">As in other countries, the past five years has seen the emergence and improved capacities of NGOs, CSOs and COs working the field of coastal and marine environmental management in the abovementioned provinces of Indonesia bordering the South China Sea. </w:t>
      </w:r>
      <w:r w:rsidR="00ED4505" w:rsidRPr="00ED4505">
        <w:rPr>
          <w:sz w:val="22"/>
          <w:szCs w:val="22"/>
        </w:rPr>
        <w:t>These include, among others, Indonesian Institute of Mangrove Research and Development, WWF Indonesia, Wetland Indonesia, Komunitas Sahabat Alam, Koperasi Panter, Yayasan Karya Banua Pulanggana, Kelompok Peduli Lingkungan Belitung, Komunitas Sahabat Alam, Lembaga Pengelola Sumberdaya Terumbu Karang (LPSTK) Desa BENAN, Lembaga Swadaya Masyarakat Pelita Alam, Belukap and Yayasan Gema Lingkungan Indonesia.</w:t>
      </w:r>
    </w:p>
    <w:p w14:paraId="6F7C5493" w14:textId="77777777" w:rsidR="0094625C" w:rsidRPr="0094625C" w:rsidRDefault="0094625C" w:rsidP="0094625C">
      <w:pPr>
        <w:spacing w:after="120"/>
        <w:jc w:val="both"/>
        <w:rPr>
          <w:b/>
          <w:i/>
          <w:sz w:val="22"/>
          <w:szCs w:val="22"/>
        </w:rPr>
      </w:pPr>
      <w:r w:rsidRPr="0094625C">
        <w:rPr>
          <w:b/>
          <w:i/>
          <w:sz w:val="22"/>
          <w:szCs w:val="22"/>
        </w:rPr>
        <w:t>Philippines</w:t>
      </w:r>
    </w:p>
    <w:p w14:paraId="0FC56E29" w14:textId="77777777" w:rsidR="00945E83" w:rsidRDefault="00945E83" w:rsidP="00132162">
      <w:pPr>
        <w:numPr>
          <w:ilvl w:val="0"/>
          <w:numId w:val="3"/>
        </w:numPr>
        <w:spacing w:after="120"/>
        <w:ind w:left="0" w:firstLine="0"/>
        <w:jc w:val="both"/>
        <w:rPr>
          <w:sz w:val="22"/>
          <w:szCs w:val="22"/>
        </w:rPr>
      </w:pPr>
      <w:r w:rsidRPr="00945E83">
        <w:rPr>
          <w:sz w:val="22"/>
          <w:szCs w:val="22"/>
        </w:rPr>
        <w:t>In the Philippines, the Department of Environment and Natural Resources will act as the lead agency and draw on inputs from its Office of the Undersecretary for Environment and International Environmental Affairs, Biodiversity Management Bureau, Environmental Management Bureau, River Basin Control Office,</w:t>
      </w:r>
      <w:r w:rsidR="00923686">
        <w:rPr>
          <w:sz w:val="22"/>
          <w:szCs w:val="22"/>
        </w:rPr>
        <w:t xml:space="preserve"> Mines and Geoscience Bureau, Land Management Bureau, Ecosystems Research and Development Bureau, National Water Regulatory Board,</w:t>
      </w:r>
      <w:r w:rsidRPr="00945E83">
        <w:rPr>
          <w:sz w:val="22"/>
          <w:szCs w:val="22"/>
        </w:rPr>
        <w:t xml:space="preserve"> and </w:t>
      </w:r>
      <w:r w:rsidR="00923686">
        <w:rPr>
          <w:sz w:val="22"/>
          <w:szCs w:val="22"/>
        </w:rPr>
        <w:t xml:space="preserve">the </w:t>
      </w:r>
      <w:r w:rsidRPr="00945E83">
        <w:rPr>
          <w:sz w:val="22"/>
          <w:szCs w:val="22"/>
        </w:rPr>
        <w:t>Foreign Assisted Service and Project Service Office. At the level of national coordination and governance, other primary stakeholders include the National Economic Development Authority and its Office of Agriculture, Natural Resources and Environment, the Bureau of Fisheries and Aquatic Resources and its National Fisheries Research and Development Institute, the Department of Foreign Affairs and its Maritime and Ocean Affairs Office, the Department of Science and Technology and the Philippine Council for Agriculture, Aquatic and Natural Resources Research and Development, the Department of Interior and Local Government, and the Philippine National Police Maritime Group</w:t>
      </w:r>
      <w:r w:rsidR="00923686">
        <w:rPr>
          <w:sz w:val="22"/>
          <w:szCs w:val="22"/>
        </w:rPr>
        <w:t>, and the National Commission on Indigenous Peoples</w:t>
      </w:r>
      <w:r w:rsidRPr="00945E83">
        <w:rPr>
          <w:sz w:val="22"/>
          <w:szCs w:val="22"/>
        </w:rPr>
        <w:t>.</w:t>
      </w:r>
    </w:p>
    <w:p w14:paraId="241FDDF5" w14:textId="77777777" w:rsidR="00945E83" w:rsidRDefault="00945E83" w:rsidP="00132162">
      <w:pPr>
        <w:numPr>
          <w:ilvl w:val="0"/>
          <w:numId w:val="3"/>
        </w:numPr>
        <w:spacing w:after="120"/>
        <w:ind w:left="0" w:firstLine="0"/>
        <w:jc w:val="both"/>
        <w:rPr>
          <w:sz w:val="22"/>
          <w:szCs w:val="22"/>
        </w:rPr>
      </w:pPr>
      <w:r w:rsidRPr="00945E83">
        <w:rPr>
          <w:sz w:val="22"/>
          <w:szCs w:val="22"/>
        </w:rPr>
        <w:t xml:space="preserve">Technical capacities of the abovementioned departments and offices will also be drawn on to support scientific and technical elements of the project and national level execution. In this connection, the University of the Philippines’ Marine Science Institute and the Institute of Environmental Science and Meteorology are key technical stakeholders, as are the Policy Studies Division of DENR’s Planning and Policy Studies Office, the Environmental Research Section of DENR’s Environmental Management Bureau, and the Caves, Wetlands and Other Ecosystems Section of DENR’s Biodiversity Management Bureau. </w:t>
      </w:r>
      <w:r w:rsidR="00ED4505" w:rsidRPr="00ED4505">
        <w:rPr>
          <w:sz w:val="22"/>
          <w:szCs w:val="22"/>
        </w:rPr>
        <w:t>At the provincial and municipal level, key stakeholders identified during project preparation include the Palawan Council for Sustainable Development, offices of the Provincial Agriculturists, the Municipal Government of Bolinao in Pangasinan, the Municipal Governments of Busuanga and Taytay in Palawan, the Malampaya Sound Protected Land and Seascape Administration in Palawan,  the Municipal Government of Masinloc in Zambales, the Fisheries and Aquatic Resources Management Council, the Association of Resort Owners and Tourism Establishments, and Peoples’ Organizations. Key NGOs were identified to be Anak ng Dagat and Amahan at Ugnayan ng Pangisdaan ng Orion.</w:t>
      </w:r>
    </w:p>
    <w:p w14:paraId="7592C948" w14:textId="77777777" w:rsidR="0094625C" w:rsidRPr="0094625C" w:rsidRDefault="0094625C" w:rsidP="0094625C">
      <w:pPr>
        <w:spacing w:after="120"/>
        <w:jc w:val="both"/>
        <w:rPr>
          <w:b/>
          <w:i/>
          <w:sz w:val="22"/>
          <w:szCs w:val="22"/>
        </w:rPr>
      </w:pPr>
      <w:r w:rsidRPr="0094625C">
        <w:rPr>
          <w:b/>
          <w:i/>
          <w:sz w:val="22"/>
          <w:szCs w:val="22"/>
        </w:rPr>
        <w:t>Thailand</w:t>
      </w:r>
    </w:p>
    <w:p w14:paraId="1B40C1B9" w14:textId="77777777" w:rsidR="00945E83" w:rsidRDefault="00A44210" w:rsidP="00132162">
      <w:pPr>
        <w:numPr>
          <w:ilvl w:val="0"/>
          <w:numId w:val="3"/>
        </w:numPr>
        <w:spacing w:after="120"/>
        <w:ind w:left="0" w:firstLine="0"/>
        <w:jc w:val="both"/>
        <w:rPr>
          <w:sz w:val="22"/>
          <w:szCs w:val="22"/>
        </w:rPr>
      </w:pPr>
      <w:r w:rsidRPr="00A44210">
        <w:rPr>
          <w:sz w:val="22"/>
          <w:szCs w:val="22"/>
        </w:rPr>
        <w:t>In Thailand, the Department of Marine and Coastal Resources of the Ministry of Natural Resources and Environment will act as the lead agency and is a principle stakeholder. It will be supported in areas of coordination and governance by the Office of Marine and Coastal Resources Conservation. Its Mangrove Conservation Office, Legal Affairs Unit, Coastal Area Management Division, Planning Division, Marine and Coastal Resources Management Promotion Division, and Marine and Coastal Resources Research and Development Institute will also be engaged and are key stakeholders. The Office of Natural Resources and Environmental Policy and Planning and the Office for International Cooperation under the Ministry of Natural Resources and Environment are the broader involved agencies.</w:t>
      </w:r>
    </w:p>
    <w:p w14:paraId="1E54A5B5" w14:textId="77777777" w:rsidR="00945E83" w:rsidRDefault="00A44210" w:rsidP="00F416A2">
      <w:pPr>
        <w:numPr>
          <w:ilvl w:val="0"/>
          <w:numId w:val="3"/>
        </w:numPr>
        <w:spacing w:after="120"/>
        <w:ind w:left="0" w:firstLine="0"/>
        <w:jc w:val="both"/>
        <w:rPr>
          <w:sz w:val="22"/>
          <w:szCs w:val="22"/>
        </w:rPr>
      </w:pPr>
      <w:r w:rsidRPr="00A44210">
        <w:rPr>
          <w:sz w:val="22"/>
          <w:szCs w:val="22"/>
        </w:rPr>
        <w:t>Other Ministries to be engaged at the level of national coordination and governance include the Ministry of Agriculture and Cooperatives’ Department of Fisheries, the Ministry of Transport’s Marine Department, the Ministry of Finance, the Ministry of Foreign Affairs, the Ministry of Science and Technology, the Kingdom of Thailand’s Geo-Informatics and Space Technology Development Agency, Maritime Enforcement Coordinating Center, and the office of Tourism Authority of Thailand.</w:t>
      </w:r>
    </w:p>
    <w:p w14:paraId="3065DFE1" w14:textId="77777777" w:rsidR="00945E83" w:rsidRDefault="00A44210" w:rsidP="00132162">
      <w:pPr>
        <w:numPr>
          <w:ilvl w:val="0"/>
          <w:numId w:val="3"/>
        </w:numPr>
        <w:spacing w:after="120"/>
        <w:ind w:left="0" w:firstLine="0"/>
        <w:jc w:val="both"/>
        <w:rPr>
          <w:sz w:val="22"/>
          <w:szCs w:val="22"/>
        </w:rPr>
      </w:pPr>
      <w:r w:rsidRPr="00A44210">
        <w:rPr>
          <w:sz w:val="22"/>
          <w:szCs w:val="22"/>
        </w:rPr>
        <w:t>The full range of technical expertise from National government will be harnessed and supported by Universities and other academic institutes. Academia plays a highly respected role in coastal and marine resource management in Thailand and key stakeholders in this area include the Marine Biodiversity Research Group of Ramkhamhaeng University, the Faculty of Environment and Resource Studies at Mahidol University, the Faculty of Fisheries of Kasetsart University, the Faculty of Economics of Kasetsart University,  the Marine Science Department and Aquatic Resources Research Institute of Chulalongkorn University and the Faculty of Sciences at Prince of Songkla University</w:t>
      </w:r>
      <w:r w:rsidR="00945E83" w:rsidRPr="00945E83">
        <w:rPr>
          <w:sz w:val="22"/>
          <w:szCs w:val="22"/>
        </w:rPr>
        <w:t>.</w:t>
      </w:r>
    </w:p>
    <w:p w14:paraId="4F4A8D62" w14:textId="77777777" w:rsidR="00945E83" w:rsidRDefault="00945E83" w:rsidP="00132162">
      <w:pPr>
        <w:numPr>
          <w:ilvl w:val="0"/>
          <w:numId w:val="3"/>
        </w:numPr>
        <w:spacing w:after="120"/>
        <w:ind w:left="0" w:firstLine="0"/>
        <w:jc w:val="both"/>
        <w:rPr>
          <w:sz w:val="22"/>
          <w:szCs w:val="22"/>
        </w:rPr>
      </w:pPr>
      <w:r w:rsidRPr="00945E83">
        <w:rPr>
          <w:sz w:val="22"/>
          <w:szCs w:val="22"/>
        </w:rPr>
        <w:t>The governments of Thailand’s provinces of Narathiwat, Pattani, Songkhla, Nakhon Si Thammarat, Surat Thani, Chumphon, Prachuap Khiri Khan, Petchaburi, Samut Songkram, Samut Sakhon, Samut Prakan, Chonburi, Rayong, Chantaburi, and Trat are also key stakeholders from the perspective of operational management and on-the-ground implementation of SAP activities. Accordingly, the Governors offices of these provinces are pivotal from an implementation perspective, as they facilitate important ‘community to cabinet’ inter-linkages. It is important to note that Thailand’s 15 provinces bordering the Gulf of Thailand are comprised of 194 district governments, 1,657 sub-districts with associated administrative units of governments, and 7,879 villages each with elected Chiefs and strong community-level management arrangements. Accordingly, the offices of the district and sub-district governments, and village Chiefs, are key stakeholders.</w:t>
      </w:r>
    </w:p>
    <w:p w14:paraId="7A1ECFD9" w14:textId="77777777" w:rsidR="00945E83" w:rsidRDefault="00945E83" w:rsidP="00132162">
      <w:pPr>
        <w:numPr>
          <w:ilvl w:val="0"/>
          <w:numId w:val="3"/>
        </w:numPr>
        <w:spacing w:after="120"/>
        <w:ind w:left="0" w:firstLine="0"/>
        <w:jc w:val="both"/>
        <w:rPr>
          <w:sz w:val="22"/>
          <w:szCs w:val="22"/>
        </w:rPr>
      </w:pPr>
      <w:r w:rsidRPr="00945E83">
        <w:rPr>
          <w:sz w:val="22"/>
          <w:szCs w:val="22"/>
        </w:rPr>
        <w:t xml:space="preserve">The administrations of several key institutions for the management of national significant wetlands such as the Mu Koh Chang National Park in Trat Province and the Thale Noi Hunting Non-Hunting Area Administration in Songkhla will be important stakeholders, particularly with regards to knowledge exchange activities. </w:t>
      </w:r>
      <w:r w:rsidR="00ED4505" w:rsidRPr="00ED4505">
        <w:rPr>
          <w:sz w:val="22"/>
          <w:szCs w:val="22"/>
        </w:rPr>
        <w:t>Additionally, a number of NGOs, CSOs and COs where identified as being of contemporary relevance to SAP implementation. These include: the Prednai Mangrove Development and Conservation Group; fisherfolk associations; the Six-Tambol (Sub-district) Network for Collective Coastal Management in Trat Province; the Thai Nature Study Centre; the Ao Baan Don Conservation Network; the Traditional Knowledge Protection Network; the Songkhla Community Natural Resources and Environment Protection Volunteer; the Wetland Conservation Group Baan Bangnokork; the Pattani Small-scale Fisher Network; the Phatthalung Provincial Environment Network; and the Community Natural Resources Development Institute.</w:t>
      </w:r>
    </w:p>
    <w:p w14:paraId="0B18C394" w14:textId="77777777" w:rsidR="0094625C" w:rsidRPr="0094625C" w:rsidRDefault="0094625C" w:rsidP="0094625C">
      <w:pPr>
        <w:spacing w:after="120"/>
        <w:jc w:val="both"/>
        <w:rPr>
          <w:b/>
          <w:i/>
          <w:sz w:val="22"/>
          <w:szCs w:val="22"/>
        </w:rPr>
      </w:pPr>
      <w:r w:rsidRPr="0094625C">
        <w:rPr>
          <w:b/>
          <w:i/>
          <w:sz w:val="22"/>
          <w:szCs w:val="22"/>
        </w:rPr>
        <w:t>Vietnam</w:t>
      </w:r>
    </w:p>
    <w:p w14:paraId="5013AF19" w14:textId="77777777" w:rsidR="00945E83" w:rsidRDefault="00945E83" w:rsidP="00132162">
      <w:pPr>
        <w:numPr>
          <w:ilvl w:val="0"/>
          <w:numId w:val="3"/>
        </w:numPr>
        <w:spacing w:after="120"/>
        <w:ind w:left="0" w:firstLine="0"/>
        <w:jc w:val="both"/>
        <w:rPr>
          <w:sz w:val="22"/>
          <w:szCs w:val="22"/>
        </w:rPr>
      </w:pPr>
      <w:r w:rsidRPr="00945E83">
        <w:rPr>
          <w:sz w:val="22"/>
          <w:szCs w:val="22"/>
        </w:rPr>
        <w:t>In Vietnam, the Vietnam Administration of Seas and Islands of the Ministry of Natural Resources and Environment will lead national-level coordination and execution of the project. Other important stakeholders to be involved in coordination, governance reform and planning include the Ministry of Agriculture and Rural Development which encompasses fisheries, the Ministry of Planning and Investment, the Ministry of Finance, the Ministry of Transport, the Ministry of Science and Technology, the Ministry of Culture, Sport and Tourism, the Ministry of Education and Training, and the Vietnamese Academy of Science and Technology and its Institute of Oceanography.</w:t>
      </w:r>
    </w:p>
    <w:p w14:paraId="1E3143FA" w14:textId="77777777" w:rsidR="00945E83" w:rsidRDefault="00945E83" w:rsidP="00132162">
      <w:pPr>
        <w:numPr>
          <w:ilvl w:val="0"/>
          <w:numId w:val="3"/>
        </w:numPr>
        <w:spacing w:after="120"/>
        <w:ind w:left="0" w:firstLine="0"/>
        <w:jc w:val="both"/>
        <w:rPr>
          <w:sz w:val="22"/>
          <w:szCs w:val="22"/>
        </w:rPr>
      </w:pPr>
      <w:r w:rsidRPr="00945E83">
        <w:rPr>
          <w:sz w:val="22"/>
          <w:szCs w:val="22"/>
        </w:rPr>
        <w:t>The full capacities of these line agencies will be harnessed in support of the scientific and technical aspects of the project. Other institutions that will act as key stakeholders for this aspect of the project include the Mangrove Ecosystem Research Centre, the Vietnamese Academy of Science and Technology’s Institute of Oceanography (particularly its Department of Marine Botany) and Institute of Marine Environment and Resources, and the Vietnam’s Administration of Seas and Islands’ Centers for Integrated Coastal Planning and Management (both northern and southern centers), Institute of Strategy and Policy on Natural Resources and Environment, and Department of International Cooperation and Science Technology. Academic institutes to be engaged as stakeholders include the Vietnam National University, the Department of Environmental Economics and Management of the National Economics University of Vietnam, the Center for Environmental Research and Education of the Hanoi University of Education, and the Faculty of Geology at the Hanoi University of Science.</w:t>
      </w:r>
    </w:p>
    <w:p w14:paraId="630984E4" w14:textId="77777777" w:rsidR="00945E83" w:rsidRPr="007A15C5" w:rsidRDefault="00945E83" w:rsidP="00132162">
      <w:pPr>
        <w:numPr>
          <w:ilvl w:val="0"/>
          <w:numId w:val="3"/>
        </w:numPr>
        <w:spacing w:after="120"/>
        <w:ind w:left="0" w:firstLine="0"/>
        <w:jc w:val="both"/>
        <w:rPr>
          <w:sz w:val="22"/>
          <w:szCs w:val="22"/>
        </w:rPr>
      </w:pPr>
      <w:r w:rsidRPr="00945E83">
        <w:rPr>
          <w:sz w:val="22"/>
          <w:szCs w:val="22"/>
        </w:rPr>
        <w:t>The offices of Vietnam’s coastal provincial governments are key stakeholders, again providing an important ‘community to cabinet’ conduit between complex sub-provincial administrative units. Coastal provincial governments, are typically comprised provincial departments of environment and natural resources, fisheries, tourism, agriculture and rural development, planning and investment, science and technology, and police. Administratively, provinces are divided into districts, provincial cities, and district-level towns, commune-level towns and communes. Municipalities are further divided into rural districts and urban districts, which are further subdivided into wards. CSOs, COs and NGOs play an important role in capturing community level inputs and some of these identified during project preparation include district level farmers' associations, ward level women’s associations, provincial unions of science and technology associations, provi</w:t>
      </w:r>
      <w:r w:rsidR="009460DC">
        <w:rPr>
          <w:sz w:val="22"/>
          <w:szCs w:val="22"/>
        </w:rPr>
        <w:t>ncial level fisheries associations</w:t>
      </w:r>
      <w:r w:rsidRPr="00945E83">
        <w:rPr>
          <w:sz w:val="22"/>
          <w:szCs w:val="22"/>
        </w:rPr>
        <w:t xml:space="preserve">, town level youth unions, </w:t>
      </w:r>
      <w:r w:rsidR="009460DC">
        <w:rPr>
          <w:sz w:val="22"/>
          <w:szCs w:val="22"/>
        </w:rPr>
        <w:t xml:space="preserve">and </w:t>
      </w:r>
      <w:r w:rsidRPr="00945E83">
        <w:rPr>
          <w:sz w:val="22"/>
          <w:szCs w:val="22"/>
        </w:rPr>
        <w:t>provincial forestry clubs.</w:t>
      </w:r>
    </w:p>
    <w:p w14:paraId="7F3C0C12" w14:textId="77777777" w:rsidR="00F07F81" w:rsidRPr="00083707" w:rsidRDefault="00083707" w:rsidP="00083707">
      <w:pPr>
        <w:numPr>
          <w:ilvl w:val="0"/>
          <w:numId w:val="3"/>
        </w:numPr>
        <w:spacing w:after="120"/>
        <w:ind w:left="0" w:firstLine="0"/>
        <w:jc w:val="both"/>
        <w:rPr>
          <w:sz w:val="22"/>
          <w:szCs w:val="22"/>
        </w:rPr>
      </w:pPr>
      <w:r w:rsidRPr="007A15C5">
        <w:rPr>
          <w:sz w:val="22"/>
          <w:szCs w:val="22"/>
        </w:rPr>
        <w:t xml:space="preserve">In implementing the demonstration site activities of the </w:t>
      </w:r>
      <w:r>
        <w:rPr>
          <w:sz w:val="22"/>
          <w:szCs w:val="22"/>
        </w:rPr>
        <w:t>SCS project</w:t>
      </w:r>
      <w:r w:rsidRPr="007A15C5">
        <w:rPr>
          <w:sz w:val="22"/>
          <w:szCs w:val="22"/>
        </w:rPr>
        <w:t xml:space="preserve"> each responsible organisation was required to establish a cross-sectorial management board Chaired by the Mayor or Provincial Governor or their Deputy. Membership of the board included representatives from all sectors of government involved in the use of coastal space, local stakeholder groups including the community, and where appropriate non-governmental and scientific organisations. Almost without exception this proved to be extremely valuable in mobilising additional and unplanned actions and resources and the model has now been adopted by </w:t>
      </w:r>
      <w:r>
        <w:rPr>
          <w:sz w:val="22"/>
          <w:szCs w:val="22"/>
        </w:rPr>
        <w:t>several agencies as a</w:t>
      </w:r>
      <w:r w:rsidRPr="007A15C5">
        <w:rPr>
          <w:sz w:val="22"/>
          <w:szCs w:val="22"/>
        </w:rPr>
        <w:t xml:space="preserve"> standard model for project </w:t>
      </w:r>
      <w:r>
        <w:rPr>
          <w:sz w:val="22"/>
          <w:szCs w:val="22"/>
        </w:rPr>
        <w:t>coordination</w:t>
      </w:r>
      <w:r w:rsidRPr="007A15C5">
        <w:rPr>
          <w:sz w:val="22"/>
          <w:szCs w:val="22"/>
        </w:rPr>
        <w:t>.</w:t>
      </w:r>
      <w:r>
        <w:rPr>
          <w:sz w:val="22"/>
          <w:szCs w:val="22"/>
        </w:rPr>
        <w:t xml:space="preserve"> The mainstreaming of gender and youth into such coordinating bodies will be emphasized through this project.</w:t>
      </w:r>
    </w:p>
    <w:p w14:paraId="3DA8084C" w14:textId="77777777" w:rsidR="00F07F81" w:rsidRDefault="00F07F81">
      <w:pPr>
        <w:numPr>
          <w:ilvl w:val="1"/>
          <w:numId w:val="2"/>
        </w:numPr>
        <w:spacing w:after="120"/>
        <w:outlineLvl w:val="1"/>
        <w:rPr>
          <w:b/>
          <w:sz w:val="22"/>
          <w:szCs w:val="22"/>
          <w:lang w:val="en-GB"/>
        </w:rPr>
      </w:pPr>
      <w:bookmarkStart w:id="72" w:name="_Toc209432646"/>
      <w:r>
        <w:rPr>
          <w:b/>
          <w:sz w:val="22"/>
          <w:szCs w:val="22"/>
          <w:lang w:val="en-GB"/>
        </w:rPr>
        <w:t>Baseline analysis and gaps</w:t>
      </w:r>
      <w:bookmarkEnd w:id="72"/>
    </w:p>
    <w:p w14:paraId="72532BE4" w14:textId="77777777" w:rsidR="00F07F81" w:rsidRDefault="00AE01DA" w:rsidP="00AE01DA">
      <w:pPr>
        <w:numPr>
          <w:ilvl w:val="0"/>
          <w:numId w:val="3"/>
        </w:numPr>
        <w:spacing w:after="120"/>
        <w:ind w:left="0" w:firstLine="0"/>
        <w:jc w:val="both"/>
        <w:rPr>
          <w:sz w:val="22"/>
          <w:szCs w:val="22"/>
          <w:lang w:val="en-GB"/>
        </w:rPr>
      </w:pPr>
      <w:r w:rsidRPr="00AE01DA">
        <w:rPr>
          <w:sz w:val="22"/>
          <w:szCs w:val="22"/>
          <w:lang w:val="en-GB"/>
        </w:rPr>
        <w:t xml:space="preserve">The benefits of regional cooperation in marine environmental management were recognised more than </w:t>
      </w:r>
      <w:r>
        <w:rPr>
          <w:sz w:val="22"/>
          <w:szCs w:val="22"/>
          <w:lang w:val="en-GB"/>
        </w:rPr>
        <w:t>35</w:t>
      </w:r>
      <w:r w:rsidRPr="00AE01DA">
        <w:rPr>
          <w:sz w:val="22"/>
          <w:szCs w:val="22"/>
          <w:lang w:val="en-GB"/>
        </w:rPr>
        <w:t xml:space="preserve"> years ago when i</w:t>
      </w:r>
      <w:r>
        <w:rPr>
          <w:sz w:val="22"/>
          <w:szCs w:val="22"/>
          <w:lang w:val="en-GB"/>
        </w:rPr>
        <w:t xml:space="preserve">n 1981 the five original ASEAN </w:t>
      </w:r>
      <w:r w:rsidRPr="00AE01DA">
        <w:rPr>
          <w:sz w:val="22"/>
          <w:szCs w:val="22"/>
          <w:lang w:val="en-GB"/>
        </w:rPr>
        <w:t>states, under the auspices of the UNEP regional seas programme, approved the Action Plan for the Protection and Development of the Marine and Coastal Areas of the East Asian Region (EAS Action Plan). There is no convention in the East Asian Seas (EAS) region and the action plan has been superseded to some extent by New Strategic Direction</w:t>
      </w:r>
      <w:r>
        <w:rPr>
          <w:sz w:val="22"/>
          <w:szCs w:val="22"/>
          <w:lang w:val="en-GB"/>
        </w:rPr>
        <w:t>s for COBSEA</w:t>
      </w:r>
      <w:r w:rsidRPr="00AE01DA">
        <w:rPr>
          <w:sz w:val="22"/>
          <w:szCs w:val="22"/>
          <w:lang w:val="en-GB"/>
        </w:rPr>
        <w:t>. The Coordinating Body on the Seas of East Asia (COBSEA) is a regional institutional mechanism, membership of which was expanded to 10 in 1994. The challenges for COBSEA and its Secretariat have included chronic funding and staff deficiencies, a large and diverse region, regional states that are not members (Brunei Darussalam, Myanmar, Papua New Guinea and Timor Leste) and the lack of country ownership. Political commitment and support for the programme has been generally weak throughout and coordination and cooperation have been problematic on many levels, across disciplines and with other regional bodies. The strategic direction</w:t>
      </w:r>
      <w:r>
        <w:rPr>
          <w:sz w:val="22"/>
          <w:szCs w:val="22"/>
          <w:lang w:val="en-GB"/>
        </w:rPr>
        <w:t>s</w:t>
      </w:r>
      <w:r w:rsidRPr="00AE01DA">
        <w:rPr>
          <w:sz w:val="22"/>
          <w:szCs w:val="22"/>
          <w:lang w:val="en-GB"/>
        </w:rPr>
        <w:t xml:space="preserve"> for COBSEA </w:t>
      </w:r>
      <w:r>
        <w:rPr>
          <w:sz w:val="22"/>
          <w:szCs w:val="22"/>
          <w:lang w:val="en-GB"/>
        </w:rPr>
        <w:t>generally focus on areas such as</w:t>
      </w:r>
      <w:r w:rsidRPr="00AE01DA">
        <w:rPr>
          <w:sz w:val="22"/>
          <w:szCs w:val="22"/>
          <w:lang w:val="en-GB"/>
        </w:rPr>
        <w:t>: information management; national capacity building; strategic and emerging issues; and regional cooperation.</w:t>
      </w:r>
    </w:p>
    <w:p w14:paraId="7BC7B353" w14:textId="77777777" w:rsidR="00AE01DA" w:rsidRPr="007A15C5" w:rsidRDefault="00AE01DA" w:rsidP="00AE01DA">
      <w:pPr>
        <w:numPr>
          <w:ilvl w:val="0"/>
          <w:numId w:val="3"/>
        </w:numPr>
        <w:spacing w:after="120"/>
        <w:ind w:left="0" w:firstLine="0"/>
        <w:jc w:val="both"/>
        <w:rPr>
          <w:sz w:val="22"/>
          <w:szCs w:val="22"/>
        </w:rPr>
      </w:pPr>
      <w:r w:rsidRPr="007A15C5">
        <w:rPr>
          <w:sz w:val="22"/>
          <w:szCs w:val="22"/>
        </w:rPr>
        <w:t xml:space="preserve">Numerous other programmes, projects, agencies, organisations and donors operate in the region.  The major regional players, in addition to COBSEA and the SCS Project are: the Association of Southeast Asian Nations (ASEAN), ASEAN-China Strategic Partnership (ASEAN+1), ASEAN+3 (China, Republic of Korea and Japan), PEMSEA, the Asia-Pacific Economic Council (APEC), the Mekong River Commission (MRC), the Southeast Asian Fisheries Development Centre (SEAFDEC), the Asia-Europe Meeting (ASEM) and and the World Fish Centre. Two other players of interest </w:t>
      </w:r>
      <w:r w:rsidR="00FA141D">
        <w:rPr>
          <w:sz w:val="22"/>
          <w:szCs w:val="22"/>
        </w:rPr>
        <w:t xml:space="preserve">have been </w:t>
      </w:r>
      <w:r w:rsidRPr="007A15C5">
        <w:rPr>
          <w:sz w:val="22"/>
          <w:szCs w:val="22"/>
        </w:rPr>
        <w:t xml:space="preserve">the Southeast Asian Programme in Ocean Law, Policy and Management (SEAPOL) and the Southeast Asia Regional Centre for Global Change System for Analysis, Research and Training network (SEA-START RC). Numerous institutions and organisations operate or fund projects alone or in cooperation with others, such as the </w:t>
      </w:r>
      <w:r w:rsidR="005179BF">
        <w:rPr>
          <w:sz w:val="22"/>
          <w:szCs w:val="22"/>
        </w:rPr>
        <w:t xml:space="preserve">Coral Triangle Initiative, </w:t>
      </w:r>
      <w:r w:rsidRPr="007A15C5">
        <w:rPr>
          <w:sz w:val="22"/>
          <w:szCs w:val="22"/>
        </w:rPr>
        <w:t>International Coral Reef Action Network, the International Coral Reef Initiative, IUCN, the Asian Development Bank, the World Bank, IMO, WWF, the Canadian International Development Agency (CIDA) and the Swedish International Development Agency (SIDA).</w:t>
      </w:r>
    </w:p>
    <w:p w14:paraId="37376DC4" w14:textId="77777777" w:rsidR="00AE01DA" w:rsidRPr="007A15C5" w:rsidRDefault="00AE01DA" w:rsidP="00AE01DA">
      <w:pPr>
        <w:numPr>
          <w:ilvl w:val="0"/>
          <w:numId w:val="3"/>
        </w:numPr>
        <w:spacing w:after="120"/>
        <w:ind w:left="0" w:firstLine="0"/>
        <w:jc w:val="both"/>
        <w:rPr>
          <w:sz w:val="22"/>
          <w:szCs w:val="22"/>
        </w:rPr>
      </w:pPr>
      <w:r w:rsidRPr="007A15C5">
        <w:rPr>
          <w:sz w:val="22"/>
          <w:szCs w:val="22"/>
        </w:rPr>
        <w:t xml:space="preserve">Numerous actions are taking place at the national and regional levels to address the environmental problems that have resulted from the rapid pace of development and industrialisation, which has occurred over the last decade. Indonesia, Thailand and Viet Nam for example, have extensive national mangrove reforestation programmes, Indonesia, Philippines and Cambodia have several localised programmes of coastal zone management supported by various International NGOs including WWF, IUCN and Wetlands International; bilateral assistance agencies such as DANIDA and SIDA; and multi-lateral entities such as the EU. Many of these include examples of community based approaches to management of coastal resources or sectors, and include poverty alleviation as a major objective. All countries have activities and programmes related to the conservation of significant coastal biological diversity including wetlands. </w:t>
      </w:r>
    </w:p>
    <w:p w14:paraId="647AC05B" w14:textId="77777777" w:rsidR="00AE01DA" w:rsidRPr="007A15C5" w:rsidRDefault="00AE01DA" w:rsidP="00AE01DA">
      <w:pPr>
        <w:numPr>
          <w:ilvl w:val="0"/>
          <w:numId w:val="3"/>
        </w:numPr>
        <w:spacing w:after="120"/>
        <w:ind w:left="0" w:firstLine="0"/>
        <w:jc w:val="both"/>
        <w:rPr>
          <w:sz w:val="22"/>
          <w:szCs w:val="22"/>
        </w:rPr>
      </w:pPr>
      <w:r w:rsidRPr="007A15C5">
        <w:rPr>
          <w:sz w:val="22"/>
          <w:szCs w:val="22"/>
        </w:rPr>
        <w:t xml:space="preserve">Not only are many of the actions at national level undertaken outside the framework of nationally co-ordinated programmes resulting in significant duplication and overlap, but co-ordination and collaboration at the regional level has been weak up to the present. Although tasked with a co-ordination role by its member states COBSEA has been hampered by the absence of any mechanism or procedures for national reporting to the Secretariat on actions being undertaken at the national level in line with regional programmes and targets. </w:t>
      </w:r>
    </w:p>
    <w:p w14:paraId="54326030" w14:textId="77777777" w:rsidR="00AE01DA" w:rsidRPr="007A15C5" w:rsidRDefault="00AE01DA" w:rsidP="00AE01DA">
      <w:pPr>
        <w:numPr>
          <w:ilvl w:val="0"/>
          <w:numId w:val="3"/>
        </w:numPr>
        <w:spacing w:after="120"/>
        <w:ind w:left="0" w:firstLine="0"/>
        <w:jc w:val="both"/>
        <w:rPr>
          <w:sz w:val="22"/>
          <w:szCs w:val="22"/>
        </w:rPr>
      </w:pPr>
      <w:r w:rsidRPr="007A15C5">
        <w:rPr>
          <w:sz w:val="22"/>
          <w:szCs w:val="22"/>
        </w:rPr>
        <w:t>Despite the continuance of unresolved territorial disputes that are a source of sensitivity in the region, the countries have demonstrated an increasing willingness to co-operate in matters relating to environmental management, and there is widespread recognition that the benefits resulting from co-operative environmental management actions are not dependent on the resolution of such sensitive issues. Recognising these sensitivities however, it has been agreed that no activities shall be undertaken under this project in disputed areas of the South China Sea, nor shall issues of sovereignty be addressed directly or indirectly through project activities.</w:t>
      </w:r>
    </w:p>
    <w:p w14:paraId="2BA0F851" w14:textId="77777777" w:rsidR="00AE01DA" w:rsidRPr="007A15C5" w:rsidRDefault="00AE01DA" w:rsidP="00AE01DA">
      <w:pPr>
        <w:numPr>
          <w:ilvl w:val="0"/>
          <w:numId w:val="3"/>
        </w:numPr>
        <w:spacing w:after="120"/>
        <w:ind w:left="0" w:firstLine="0"/>
        <w:jc w:val="both"/>
        <w:rPr>
          <w:sz w:val="22"/>
          <w:szCs w:val="22"/>
        </w:rPr>
      </w:pPr>
      <w:r w:rsidRPr="007A15C5">
        <w:rPr>
          <w:sz w:val="22"/>
          <w:szCs w:val="22"/>
        </w:rPr>
        <w:t>The lack of a regionally co-ordinated approach to remedial actions significantly reduces their effectiveness, and recognising this the countries bordering the South China Sea have initiated a number of joint programmes involving two or more countries within the region. These include inter alia, the major oceanographic and fisheries studie</w:t>
      </w:r>
      <w:r>
        <w:rPr>
          <w:sz w:val="22"/>
          <w:szCs w:val="22"/>
        </w:rPr>
        <w:t>s of the South China Sea and Gulf of Thailand undertaken by the Southeast Asian Fisheries Development Center</w:t>
      </w:r>
      <w:r w:rsidRPr="007A15C5">
        <w:rPr>
          <w:sz w:val="22"/>
          <w:szCs w:val="22"/>
        </w:rPr>
        <w:t>. Many of these initiatives can be considered transitory with specific activities or programmes existing for a few years before falling into disuse or going through cyclic phases characterised by periods of high activity separated by periods of little or no activity.</w:t>
      </w:r>
    </w:p>
    <w:p w14:paraId="5962FDF6" w14:textId="77777777" w:rsidR="00AE01DA" w:rsidRPr="007A15C5" w:rsidRDefault="00AE01DA" w:rsidP="00AE01DA">
      <w:pPr>
        <w:numPr>
          <w:ilvl w:val="0"/>
          <w:numId w:val="3"/>
        </w:numPr>
        <w:spacing w:after="120"/>
        <w:ind w:left="0" w:firstLine="0"/>
        <w:jc w:val="both"/>
        <w:rPr>
          <w:sz w:val="22"/>
          <w:szCs w:val="22"/>
        </w:rPr>
      </w:pPr>
      <w:r w:rsidRPr="007A15C5">
        <w:rPr>
          <w:sz w:val="22"/>
          <w:szCs w:val="22"/>
        </w:rPr>
        <w:t>Various sub-regional agreements are in place regarding joint actions on the part of two or more seven participating countries including: an agreement on terrestrial, forest biological diversity between Cambodia, Viet Nam and Laos; a trilateral agreement between Malaysia, Philippines and Indonesia regarding Marine Turtles; and a bilateral agreement on joint management of transboundary marine waters between Cambodia and Viet Nam negotiated as part of the work of the SCS Project and signed by the Deputy Governor of Kampot Province, Cambodia, and the Vice-Chairperson of the Provincial People’s Committee of Kien Gi</w:t>
      </w:r>
      <w:r w:rsidR="00216926">
        <w:rPr>
          <w:sz w:val="22"/>
          <w:szCs w:val="22"/>
        </w:rPr>
        <w:t>ang Province, Viet Nam in March</w:t>
      </w:r>
      <w:r w:rsidRPr="007A15C5">
        <w:rPr>
          <w:sz w:val="22"/>
          <w:szCs w:val="22"/>
        </w:rPr>
        <w:t xml:space="preserve"> on behalf of their respective provincial governments. </w:t>
      </w:r>
    </w:p>
    <w:p w14:paraId="45B5AB98" w14:textId="77777777" w:rsidR="00AE01DA" w:rsidRDefault="00216926" w:rsidP="00DB109E">
      <w:pPr>
        <w:numPr>
          <w:ilvl w:val="0"/>
          <w:numId w:val="3"/>
        </w:numPr>
        <w:spacing w:after="120"/>
        <w:ind w:left="0" w:firstLine="0"/>
        <w:jc w:val="both"/>
        <w:rPr>
          <w:sz w:val="22"/>
          <w:szCs w:val="22"/>
        </w:rPr>
      </w:pPr>
      <w:r w:rsidRPr="007A15C5">
        <w:rPr>
          <w:sz w:val="22"/>
          <w:szCs w:val="22"/>
        </w:rPr>
        <w:t xml:space="preserve">The over-riding gap that this project seeks to fill is the absence of a strong regional co-ordination mechanism for implementing the Strategic Action Programme and providing a focus for actions by all parties directed towards improving the state of the </w:t>
      </w:r>
      <w:r w:rsidR="00FA141D">
        <w:rPr>
          <w:sz w:val="22"/>
          <w:szCs w:val="22"/>
        </w:rPr>
        <w:t xml:space="preserve">coastal and </w:t>
      </w:r>
      <w:r w:rsidRPr="007A15C5">
        <w:rPr>
          <w:sz w:val="22"/>
          <w:szCs w:val="22"/>
        </w:rPr>
        <w:t xml:space="preserve">marine environment of the South China Sea. In the absence of a GEF intervention it is probable that the present types of national and regional intervention, which have been demonstrated over the last </w:t>
      </w:r>
      <w:r w:rsidR="00FA141D">
        <w:rPr>
          <w:sz w:val="22"/>
          <w:szCs w:val="22"/>
        </w:rPr>
        <w:t>thirty</w:t>
      </w:r>
      <w:r w:rsidRPr="007A15C5">
        <w:rPr>
          <w:sz w:val="22"/>
          <w:szCs w:val="22"/>
        </w:rPr>
        <w:t xml:space="preserve"> years as being ineffective in halting the pace of environmental degradation, will continue. Without a concerted regional approach to environmental management it is unlikely that the present rates of habitat degradation will be slowed and the likely consequence of such a scenario is the loss of globally significant biological diversity over the next century. </w:t>
      </w:r>
    </w:p>
    <w:p w14:paraId="6584CF44" w14:textId="77777777" w:rsidR="00AE233F" w:rsidRPr="0071562F" w:rsidRDefault="00AE233F" w:rsidP="00AE233F">
      <w:pPr>
        <w:spacing w:after="120"/>
        <w:jc w:val="both"/>
        <w:rPr>
          <w:b/>
          <w:i/>
          <w:sz w:val="22"/>
          <w:szCs w:val="22"/>
        </w:rPr>
      </w:pPr>
      <w:r w:rsidRPr="0071562F">
        <w:rPr>
          <w:b/>
          <w:i/>
          <w:sz w:val="22"/>
          <w:szCs w:val="22"/>
        </w:rPr>
        <w:t>Baseline Information and Data</w:t>
      </w:r>
    </w:p>
    <w:p w14:paraId="331056DE" w14:textId="77777777" w:rsidR="00FA141D" w:rsidRPr="003B09A2" w:rsidRDefault="003B09A2" w:rsidP="00DB109E">
      <w:pPr>
        <w:numPr>
          <w:ilvl w:val="0"/>
          <w:numId w:val="3"/>
        </w:numPr>
        <w:spacing w:after="120"/>
        <w:ind w:left="0" w:firstLine="0"/>
        <w:jc w:val="both"/>
        <w:rPr>
          <w:sz w:val="22"/>
          <w:szCs w:val="22"/>
        </w:rPr>
      </w:pPr>
      <w:r w:rsidRPr="003B09A2">
        <w:rPr>
          <w:rFonts w:eastAsia="Calibri"/>
          <w:sz w:val="22"/>
          <w:szCs w:val="22"/>
        </w:rPr>
        <w:t>This project will be operated on the basis of comprehensive baseline information and data that will be critical in guiding day-to-day project decision-making, monitoring and evaluation, and in designing targeted communications for use in raising stakeholder awarenes</w:t>
      </w:r>
      <w:r w:rsidR="001D000B">
        <w:rPr>
          <w:rFonts w:eastAsia="Calibri"/>
          <w:sz w:val="22"/>
          <w:szCs w:val="22"/>
        </w:rPr>
        <w:t xml:space="preserve">s, particularly among </w:t>
      </w:r>
      <w:r w:rsidRPr="003B09A2">
        <w:rPr>
          <w:rFonts w:eastAsia="Calibri"/>
          <w:sz w:val="22"/>
          <w:szCs w:val="22"/>
        </w:rPr>
        <w:t>decision-makers and politicians, of the results of SAP implementation. Uniquely, comprehensive site characterization information and data have been compiled and updated during project preparation to establish detailed baselines for each of the mangrove, coral reef, seagrass and wetland sites identified as priority locations for management within the framework of SAP implementation. These site characterisations contain geographical coordinates, information on the physical environment, environmental state information, socio-economic and resource use information, biological data, and information on the status of existing management at these sites</w:t>
      </w:r>
      <w:r w:rsidRPr="003B09A2">
        <w:rPr>
          <w:rFonts w:eastAsia="Calibri"/>
          <w:sz w:val="22"/>
          <w:szCs w:val="22"/>
          <w:vertAlign w:val="superscript"/>
        </w:rPr>
        <w:footnoteReference w:id="50"/>
      </w:r>
      <w:r w:rsidRPr="003B09A2">
        <w:rPr>
          <w:rFonts w:eastAsia="Calibri"/>
          <w:sz w:val="22"/>
          <w:szCs w:val="22"/>
        </w:rPr>
        <w:t>. These baseline assessments of the sites have been made accessible online at http://gis.unepscs.org</w:t>
      </w:r>
      <w:r w:rsidR="00214761">
        <w:rPr>
          <w:rStyle w:val="FootnoteReference"/>
          <w:rFonts w:eastAsia="Calibri"/>
          <w:sz w:val="22"/>
          <w:szCs w:val="22"/>
        </w:rPr>
        <w:footnoteReference w:id="51"/>
      </w:r>
      <w:r w:rsidRPr="003B09A2">
        <w:rPr>
          <w:rFonts w:eastAsia="Calibri"/>
          <w:sz w:val="22"/>
          <w:szCs w:val="22"/>
        </w:rPr>
        <w:t>. A supporting meta-database of the data used to establish the baselines has also been developed as a preparatory activity</w:t>
      </w:r>
      <w:r>
        <w:rPr>
          <w:rStyle w:val="FootnoteReference"/>
          <w:rFonts w:eastAsia="Calibri"/>
          <w:sz w:val="22"/>
          <w:szCs w:val="22"/>
        </w:rPr>
        <w:footnoteReference w:id="52"/>
      </w:r>
      <w:r w:rsidRPr="003B09A2">
        <w:rPr>
          <w:rFonts w:eastAsia="Calibri"/>
          <w:sz w:val="22"/>
          <w:szCs w:val="22"/>
        </w:rPr>
        <w:t>.</w:t>
      </w:r>
    </w:p>
    <w:p w14:paraId="14E16375" w14:textId="77777777" w:rsidR="003B09A2" w:rsidRDefault="003B09A2" w:rsidP="003B09A2">
      <w:pPr>
        <w:numPr>
          <w:ilvl w:val="0"/>
          <w:numId w:val="3"/>
        </w:numPr>
        <w:spacing w:after="120"/>
        <w:ind w:left="0" w:firstLine="0"/>
        <w:jc w:val="both"/>
        <w:rPr>
          <w:sz w:val="22"/>
          <w:szCs w:val="22"/>
        </w:rPr>
      </w:pPr>
      <w:r w:rsidRPr="003B09A2">
        <w:rPr>
          <w:sz w:val="22"/>
          <w:szCs w:val="22"/>
        </w:rPr>
        <w:t>Detailed national reports on the status and trends in mangrove, coral reef, seagrass and wetland management were also published in preparation for SAP implementation in both English and national language. These reports are the only existing national-level overviews of the state of coastal habitats and their management in the South China Sea, and importantly present information in a regionally comparable format on the: geographic distribution of each of the habitats, including maps and areas; distribution of species and formations; descriptions of environmental state at habitat sites, including physical and biological data; chapters on social use and ownership, including detailed information on land and sea tenure and associated issues with habitat management, overviews of present and projected uses, and summaries of current management regimes. The latter outline institutional arrangements, existing national and provincial policies, and legislation and regulations relating to habitat management. These reports also contain compiled national-level information and data on the economic valuation of coastal habitats, including use (both direct use and indirect use) and non-use values. Threats to habitats, both anthropogenic and natural, are also assessed both from the perspective of current situation and future scenarios and are summarised in these reports. These reports form an integral part of the national baseline</w:t>
      </w:r>
      <w:r>
        <w:rPr>
          <w:rStyle w:val="FootnoteReference"/>
          <w:sz w:val="22"/>
          <w:szCs w:val="22"/>
        </w:rPr>
        <w:footnoteReference w:id="53"/>
      </w:r>
      <w:r w:rsidRPr="003B09A2">
        <w:rPr>
          <w:sz w:val="22"/>
          <w:szCs w:val="22"/>
        </w:rPr>
        <w:t xml:space="preserve">. A regional synthesis of the information and data presented in these reports has been published in preparation for this project and is presented in summary form in the </w:t>
      </w:r>
      <w:r>
        <w:rPr>
          <w:sz w:val="22"/>
          <w:szCs w:val="22"/>
        </w:rPr>
        <w:t xml:space="preserve">above </w:t>
      </w:r>
      <w:r w:rsidRPr="003B09A2">
        <w:rPr>
          <w:sz w:val="22"/>
          <w:szCs w:val="22"/>
        </w:rPr>
        <w:t>background section of this Project Document. Of significance are the large number of national language reviews and publications that were prepared as inputs to these national reports</w:t>
      </w:r>
      <w:r>
        <w:rPr>
          <w:rStyle w:val="FootnoteReference"/>
          <w:sz w:val="22"/>
          <w:szCs w:val="22"/>
        </w:rPr>
        <w:footnoteReference w:id="54"/>
      </w:r>
      <w:r w:rsidRPr="003B09A2">
        <w:rPr>
          <w:sz w:val="22"/>
          <w:szCs w:val="22"/>
        </w:rPr>
        <w:t>.</w:t>
      </w:r>
    </w:p>
    <w:p w14:paraId="25B14D0E" w14:textId="3D6A296F" w:rsidR="00214761" w:rsidRDefault="000741FA" w:rsidP="00214761">
      <w:pPr>
        <w:spacing w:after="120"/>
        <w:jc w:val="both"/>
        <w:rPr>
          <w:sz w:val="22"/>
          <w:szCs w:val="22"/>
        </w:rPr>
      </w:pPr>
      <w:r>
        <w:rPr>
          <w:noProof/>
          <w:sz w:val="22"/>
          <w:szCs w:val="22"/>
        </w:rPr>
        <w:drawing>
          <wp:inline distT="0" distB="0" distL="0" distR="0" wp14:anchorId="5D0394FA" wp14:editId="51F19EE9">
            <wp:extent cx="5740400" cy="49974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40400" cy="4997450"/>
                    </a:xfrm>
                    <a:prstGeom prst="rect">
                      <a:avLst/>
                    </a:prstGeom>
                    <a:noFill/>
                    <a:ln>
                      <a:noFill/>
                    </a:ln>
                  </pic:spPr>
                </pic:pic>
              </a:graphicData>
            </a:graphic>
          </wp:inline>
        </w:drawing>
      </w:r>
    </w:p>
    <w:p w14:paraId="1DE5EBDA" w14:textId="77777777" w:rsidR="00214761" w:rsidRDefault="00214761" w:rsidP="0071562F">
      <w:pPr>
        <w:spacing w:after="120"/>
        <w:ind w:left="1440" w:hanging="1440"/>
        <w:jc w:val="both"/>
        <w:rPr>
          <w:sz w:val="22"/>
          <w:szCs w:val="22"/>
        </w:rPr>
      </w:pPr>
      <w:r w:rsidRPr="0071562F">
        <w:rPr>
          <w:b/>
          <w:sz w:val="22"/>
          <w:szCs w:val="22"/>
        </w:rPr>
        <w:t>Figure 4</w:t>
      </w:r>
      <w:r>
        <w:rPr>
          <w:sz w:val="22"/>
          <w:szCs w:val="22"/>
        </w:rPr>
        <w:tab/>
        <w:t>Locations for which baseline site characterisations have been prepared for priority mangrove, seagrass, coral reef and wetland sites</w:t>
      </w:r>
      <w:r w:rsidR="00D1635F">
        <w:rPr>
          <w:sz w:val="22"/>
          <w:szCs w:val="22"/>
        </w:rPr>
        <w:t xml:space="preserve"> in the South China Sea</w:t>
      </w:r>
    </w:p>
    <w:p w14:paraId="1895D4E7" w14:textId="77777777" w:rsidR="00AE233F" w:rsidRPr="00AE233F" w:rsidRDefault="00AE233F" w:rsidP="00AE233F">
      <w:pPr>
        <w:spacing w:after="120"/>
        <w:ind w:left="1440" w:hanging="1440"/>
        <w:jc w:val="both"/>
        <w:rPr>
          <w:b/>
          <w:i/>
          <w:sz w:val="22"/>
          <w:szCs w:val="22"/>
        </w:rPr>
      </w:pPr>
      <w:r>
        <w:rPr>
          <w:b/>
          <w:i/>
          <w:sz w:val="22"/>
          <w:szCs w:val="22"/>
        </w:rPr>
        <w:t>Baseline assessment of regional governance arrangements</w:t>
      </w:r>
    </w:p>
    <w:p w14:paraId="47155911" w14:textId="77777777" w:rsidR="00740D0E" w:rsidRDefault="00740D0E" w:rsidP="0071562F">
      <w:pPr>
        <w:numPr>
          <w:ilvl w:val="0"/>
          <w:numId w:val="3"/>
        </w:numPr>
        <w:spacing w:after="120"/>
        <w:ind w:left="0" w:firstLine="0"/>
        <w:jc w:val="both"/>
        <w:rPr>
          <w:sz w:val="22"/>
          <w:szCs w:val="22"/>
        </w:rPr>
      </w:pPr>
      <w:r w:rsidRPr="00740D0E">
        <w:rPr>
          <w:sz w:val="22"/>
          <w:szCs w:val="22"/>
        </w:rPr>
        <w:t>From the perspective of regional governance, this SAP implementation project will also be implemented on the basis of comprehensive baseline analyses of institutional and legal arrangements, and options for strengthened cooperation, in the environmental management of the South China Sea. In preparation for this project, a comprehensive review of legal aspects of environmental management in the South China Sea and Gulf of Thailand was undertaken. This includes an overview of obligations concerning regional cooperation under global environment conventions, including: assessments of the status of international environment conventions in the South China Sea area; and summaries of obligations regarding regional cooperation under global conventions. This is complemented by an analysis of regional and sub-regional agreements and soft laws on marine environment in the South China Sea which includes: a summary of regional and sub-regional agreements and soft laws; an assessment of environmental cooperation among Southeast Asian countries; and a detailed overview of the scope and mandate of regional and sub-regional programmes and projects in the South China. This legal review is concluded with a comparative analysis of national legislation on the coastal and marine environment of the South China Sea. The latter includes: a summary of the general status and hierarchical structure of environmental legislation; a review of instruments and mechanisms utilised to protect the marine environment (e.g. legally mandated instruments and mechanisms, non-legally binding and policy instruments, and application of local practices and knowledge);and detailed summaries of national institutional arrangements for coastal and marine environmental management, including mechanisms for enforcement and compliance.</w:t>
      </w:r>
    </w:p>
    <w:p w14:paraId="1906AF07" w14:textId="77777777" w:rsidR="00740D0E" w:rsidRDefault="00740D0E" w:rsidP="00740D0E">
      <w:pPr>
        <w:numPr>
          <w:ilvl w:val="0"/>
          <w:numId w:val="3"/>
        </w:numPr>
        <w:spacing w:after="120"/>
        <w:ind w:left="0" w:firstLine="0"/>
        <w:jc w:val="both"/>
        <w:rPr>
          <w:sz w:val="22"/>
          <w:szCs w:val="22"/>
        </w:rPr>
      </w:pPr>
      <w:r w:rsidRPr="00740D0E">
        <w:rPr>
          <w:sz w:val="22"/>
          <w:szCs w:val="22"/>
        </w:rPr>
        <w:t>A review of instruments and mechanisms for strengthening marine environmental cooperation in the South China Sea was also undertaken in preparation for this present initiative. This includes an overview of the need for cooperation, from the perspectives of ecological, legal, and socio-economic mandates. Importantly the review includes a detailed review of cooperative efforts for marine environmental protection outside of the South Sea, to identify global lessons learned and examples of best practice, and draws on the abovementioned review of legal aspects of environmental management, to present recommended options for strengthened cooperation. The review also examines the underlying challenges to regional cooperation and presents proposed requirements, or recommended fundamental elements, of efforts to strengthen cooperation. The ecological, socio-economic and political viability of each of the proposed options has also been examined. It is important to note that each of the abovementioned reviews were prepared with extensive national stakeholder input and that, a regional summary of this preparatory work on regional governance has passed the rigours of independent peer review as evidenced by its recent publication in the international academic literature</w:t>
      </w:r>
      <w:r w:rsidR="00B03F5A">
        <w:rPr>
          <w:rStyle w:val="FootnoteReference"/>
          <w:sz w:val="22"/>
          <w:szCs w:val="22"/>
        </w:rPr>
        <w:footnoteReference w:id="55"/>
      </w:r>
      <w:r w:rsidRPr="00740D0E">
        <w:rPr>
          <w:sz w:val="22"/>
          <w:szCs w:val="22"/>
        </w:rPr>
        <w:t>. Further background to the formulation of these baseline reviews and assessments is provided in Section 2 of this Project Document.</w:t>
      </w:r>
    </w:p>
    <w:p w14:paraId="30756ED2" w14:textId="77777777" w:rsidR="00740D0E" w:rsidRDefault="00740D0E" w:rsidP="00740D0E">
      <w:pPr>
        <w:numPr>
          <w:ilvl w:val="0"/>
          <w:numId w:val="3"/>
        </w:numPr>
        <w:spacing w:after="120"/>
        <w:ind w:left="0" w:firstLine="0"/>
        <w:jc w:val="both"/>
        <w:rPr>
          <w:sz w:val="22"/>
          <w:szCs w:val="22"/>
        </w:rPr>
      </w:pPr>
      <w:r w:rsidRPr="00740D0E">
        <w:rPr>
          <w:sz w:val="22"/>
          <w:szCs w:val="22"/>
        </w:rPr>
        <w:t xml:space="preserve">This SCS SAP implementation project will also benefit from proceeding with a large cadre of coastal and marine environmental scientists and managers experienced in the application of the TDA/SAP approach to transboundary water resource management and familiar with working in inter-governmental, multilateral settings. The experience and capacity built within the national Specialized Executing Agencies during SAP formulation has been addressed above although it is important to note that an important contribution to baseline capacity was the operation of a large regional training programme aimed at better preparing institutions for the implementation of this SAP implementation initiative. </w:t>
      </w:r>
    </w:p>
    <w:p w14:paraId="24292883" w14:textId="77777777" w:rsidR="0053245F" w:rsidRDefault="00740D0E" w:rsidP="00740D0E">
      <w:pPr>
        <w:numPr>
          <w:ilvl w:val="0"/>
          <w:numId w:val="3"/>
        </w:numPr>
        <w:spacing w:after="120"/>
        <w:ind w:left="0" w:firstLine="0"/>
        <w:jc w:val="both"/>
        <w:rPr>
          <w:sz w:val="22"/>
          <w:szCs w:val="22"/>
        </w:rPr>
      </w:pPr>
      <w:r w:rsidRPr="00740D0E">
        <w:rPr>
          <w:sz w:val="22"/>
          <w:szCs w:val="22"/>
        </w:rPr>
        <w:t>Courses were delivered were in areas of: Sustainable Use and Management of Mangrove Ecosystems; Larval Fish Identification and Fish Early Life History Science; Management Models and Strategies for Coral Reef and Seagrass Ecosystems; Establishing and Managing Fisheries Refugia in the South China Sea; Sustainable Use of Coastal Wetlands Bordering the South China Sea; Economic Valuation of Goods and Services of Coastal Habitats of the South China Sea; and Advanced Larval Fish Identification. Regional elements of this training programme involved more than 100 days of regional training, more than 150 participants from the SCS countries, and involved more than 70 resource persons from the Southeast Asian region in training delivery. This was complemented via the delivery of abridged national language versions of each training course in each of the participating countries. The latter involved more than 1,600 individuals from national Specialized Executing Agencies, provincial offices of environment and natural resource management agencies, local governments, Civil Society Organizations, Community Organizations and NGOs that were all trained in various aspects of the SAP and best practices in its implementation. This not only resulted in a large network of individuals but also resulted in detailed training syllabi, training materials and a network of academic institutions and research facilities experienced in the delivery of training in support of SAP implementation. This baseline scenario in the area of human capital and knowledge is also complemented by the large number of knowledge products and tools that have been developed to support SAP project implementation (e.g., regional guidelines on the economic valuation of coastal habitats, online GIS and applications for modeling the carrying capacity of the SCS marine basin</w:t>
      </w:r>
      <w:r w:rsidR="00214761">
        <w:rPr>
          <w:rStyle w:val="FootnoteReference"/>
          <w:sz w:val="22"/>
          <w:szCs w:val="22"/>
        </w:rPr>
        <w:footnoteReference w:id="56"/>
      </w:r>
      <w:r w:rsidRPr="00740D0E">
        <w:rPr>
          <w:sz w:val="22"/>
          <w:szCs w:val="22"/>
        </w:rPr>
        <w:t>, reviews of options for strengthened cooperation</w:t>
      </w:r>
      <w:r w:rsidR="00B03F5A">
        <w:rPr>
          <w:sz w:val="22"/>
          <w:szCs w:val="22"/>
        </w:rPr>
        <w:t>, and extensive online multi-media and public awareness catalogues which will be built upon by the present initiative</w:t>
      </w:r>
      <w:r w:rsidR="000B3D51">
        <w:rPr>
          <w:rStyle w:val="FootnoteReference"/>
          <w:sz w:val="22"/>
          <w:szCs w:val="22"/>
        </w:rPr>
        <w:footnoteReference w:id="57"/>
      </w:r>
      <w:r w:rsidRPr="00740D0E">
        <w:rPr>
          <w:sz w:val="22"/>
          <w:szCs w:val="22"/>
        </w:rPr>
        <w:t>).</w:t>
      </w:r>
    </w:p>
    <w:p w14:paraId="5A03E23C" w14:textId="77777777" w:rsidR="0053245F" w:rsidRPr="0053245F" w:rsidRDefault="0053245F" w:rsidP="0053245F">
      <w:pPr>
        <w:spacing w:after="120"/>
        <w:jc w:val="both"/>
        <w:rPr>
          <w:b/>
          <w:i/>
          <w:sz w:val="22"/>
          <w:szCs w:val="22"/>
        </w:rPr>
      </w:pPr>
      <w:r w:rsidRPr="0053245F">
        <w:rPr>
          <w:b/>
          <w:i/>
          <w:sz w:val="22"/>
          <w:szCs w:val="22"/>
        </w:rPr>
        <w:t xml:space="preserve">Emerging availability of </w:t>
      </w:r>
      <w:r w:rsidR="00B31A89">
        <w:rPr>
          <w:b/>
          <w:i/>
          <w:sz w:val="22"/>
          <w:szCs w:val="22"/>
        </w:rPr>
        <w:t>global and regional</w:t>
      </w:r>
      <w:r w:rsidRPr="0053245F">
        <w:rPr>
          <w:b/>
          <w:i/>
          <w:sz w:val="22"/>
          <w:szCs w:val="22"/>
        </w:rPr>
        <w:t xml:space="preserve"> knowledge and tools</w:t>
      </w:r>
    </w:p>
    <w:p w14:paraId="620AFDEC" w14:textId="77777777" w:rsidR="00740D0E" w:rsidRDefault="00740D0E" w:rsidP="00132162">
      <w:pPr>
        <w:numPr>
          <w:ilvl w:val="0"/>
          <w:numId w:val="3"/>
        </w:numPr>
        <w:spacing w:after="120"/>
        <w:ind w:left="0" w:firstLine="0"/>
        <w:jc w:val="both"/>
        <w:rPr>
          <w:sz w:val="22"/>
          <w:szCs w:val="22"/>
        </w:rPr>
      </w:pPr>
      <w:r w:rsidRPr="00740D0E">
        <w:rPr>
          <w:sz w:val="22"/>
          <w:szCs w:val="22"/>
        </w:rPr>
        <w:t xml:space="preserve"> </w:t>
      </w:r>
      <w:r w:rsidR="00704D1E" w:rsidRPr="00704D1E">
        <w:rPr>
          <w:sz w:val="22"/>
          <w:szCs w:val="22"/>
        </w:rPr>
        <w:t>UNEP’s work on coral reefs, undertaken through a global partnership among Regional Seas and technical agencies, is leading towards the production of a number of knowledge products that will build on the extensive baseline established to date. For example, downscaled climate model projections of coral bleaching conditions are expected to emerge by the end of 2016. This will provide information on the spatial variation in the onset of annual coral reef bleaching and severe bleaching conditions, at a resolution of 4km for every year up until 2050, and maps will be prepared for ocean basins, for each tropical Regional Sea, and for each of the 106 countries and territories with reef resources. These downscaled projections will aid in identifying where bleaching conditions are projected to occur sooner and where bleaching conditions are projected to occur later. These projections, to be made publicly accessible through a coral reef theme on UNEP-Live, as well as the NOAA Coral Reef Watch website, will be a useful resource in updating the Transboundary Diagnostic Analysis and revising the Strategic Action Programme for the South China Sea.</w:t>
      </w:r>
    </w:p>
    <w:p w14:paraId="5ABC36AD" w14:textId="77777777" w:rsidR="00704D1E" w:rsidRDefault="00704D1E" w:rsidP="00132162">
      <w:pPr>
        <w:numPr>
          <w:ilvl w:val="0"/>
          <w:numId w:val="3"/>
        </w:numPr>
        <w:spacing w:after="120"/>
        <w:ind w:left="0" w:firstLine="0"/>
        <w:jc w:val="both"/>
        <w:rPr>
          <w:sz w:val="22"/>
          <w:szCs w:val="22"/>
        </w:rPr>
      </w:pPr>
      <w:r w:rsidRPr="00704D1E">
        <w:rPr>
          <w:sz w:val="22"/>
          <w:szCs w:val="22"/>
        </w:rPr>
        <w:t>UNEP developed guidance on the assessment of coral reef resilience, including indicators, field methods, analysis and decision-support is also anticipated to be available by the end of 2016 . Targeted at reef planners, managers, and scientists, the guidelines encompass key steps such as selecting appropriate indicators; methods for collecting and compiling data and how to best utilize existing data; guidance on data analysis and interpretation and guidance on the various ways of reporting on the results. The guidelines will integrate results of ecological resilience assessments with downscaled climate model outputs (see above) as well as with other existing data on historical and projected future exposure to disturbances, such as ocean acidification. This will provide a concrete, practical and science-based approach to how climate change resilience of reefs can be protected and enhanced through MPA planning, systematic conservation planning marine spatial planning and other efforts, and as such contribute to EBM. This guidance will be a useful resource in guiding the update of resource assessment methodologies developed during SAP formulation and mainstreamed into the operation of national agencies</w:t>
      </w:r>
      <w:r>
        <w:rPr>
          <w:sz w:val="22"/>
          <w:szCs w:val="22"/>
        </w:rPr>
        <w:t>.</w:t>
      </w:r>
    </w:p>
    <w:p w14:paraId="018A72ED" w14:textId="77777777" w:rsidR="00704D1E" w:rsidRDefault="00704D1E" w:rsidP="00132162">
      <w:pPr>
        <w:numPr>
          <w:ilvl w:val="0"/>
          <w:numId w:val="3"/>
        </w:numPr>
        <w:spacing w:after="120"/>
        <w:ind w:left="0" w:firstLine="0"/>
        <w:jc w:val="both"/>
        <w:rPr>
          <w:sz w:val="22"/>
          <w:szCs w:val="22"/>
        </w:rPr>
      </w:pPr>
      <w:r w:rsidRPr="00704D1E">
        <w:rPr>
          <w:sz w:val="22"/>
          <w:szCs w:val="22"/>
        </w:rPr>
        <w:t>A report entitled Mesophotic Reefs – A Life Boat for Coral Reefs was recently published by UNEP and GRID-Arendal 24 May 2016. It constitutes the most comprehensive compilation on mesophotic reefs to date, covering their prevalence and distribution, imminent threats, prospects of survival under climate change scenarios, role in climate change resilience of shallower reefs, and critical knowledge gaps. The report aims to enhance awareness of the importance of mesophotic reefs including as a possible climate refuge, and advocate for and catalyse appropriate policy, management and research responses based on concrete science-based recommendations. Similarly, a science to policy brief on wastewater pollution in coral reef is being developed by UNEP in partnership with the GPA and the Global Waste Water Initiative and is also expected to emerge by the end of 2016. The management and policy recommendations on addressing wastewater in coral reef areas may act as a useful resource in the planning of actions at the 82 priority coral reef sites of this project.</w:t>
      </w:r>
    </w:p>
    <w:p w14:paraId="3767AD0A" w14:textId="77777777" w:rsidR="00704D1E" w:rsidRDefault="00704D1E" w:rsidP="00132162">
      <w:pPr>
        <w:numPr>
          <w:ilvl w:val="0"/>
          <w:numId w:val="3"/>
        </w:numPr>
        <w:spacing w:after="120"/>
        <w:ind w:left="0" w:firstLine="0"/>
        <w:jc w:val="both"/>
        <w:rPr>
          <w:sz w:val="22"/>
          <w:szCs w:val="22"/>
        </w:rPr>
      </w:pPr>
      <w:r w:rsidRPr="00704D1E">
        <w:rPr>
          <w:sz w:val="22"/>
          <w:szCs w:val="22"/>
        </w:rPr>
        <w:t>Additionally, further development and implementation of the Green Fins initiative for Sustainable Snorkeling and Diving, originally established by UNEP, COBSEA and Reef World Foundation, is ongoing. The approach encompasses three main elements; certification of dive centre operations based on a code of conduct and a robust assessment system; support towards developing or strengthening implementation of relevant regulatory frameworks; and strategic outreach to dive centres and their customers as well as government partners. Through collaboration with COBSEA and with support from the Mangroves for the Future (MFF) initiative, Green Fins has been introduced to Vietnam and the total membership has been extended to over 500 diving and snorkelling operators across six countries in Asia, who are continuously improving their business practices to mitigate negative environmental impacts. A comprehensive Green Fins ‘Toolbox’ was launched in April 2016, providing a consolidated, comprehensive and standardized set of guidance materials and tools that cover Green Fins implementation, learning and outreach. A short animated video entitled ‘Green Fins for a Blue Planet’ was also launched in April 2016. Key outreach and awareness materials have already been translated into South East Asian languages, and a number of additional materials including the video are being translated into Chinese in preparation for a regional Green Fins promotional campaign.</w:t>
      </w:r>
    </w:p>
    <w:p w14:paraId="1F66224A" w14:textId="77777777" w:rsidR="00704D1E" w:rsidRDefault="00132162" w:rsidP="00132162">
      <w:pPr>
        <w:numPr>
          <w:ilvl w:val="0"/>
          <w:numId w:val="3"/>
        </w:numPr>
        <w:spacing w:after="120"/>
        <w:ind w:left="0" w:firstLine="0"/>
        <w:jc w:val="both"/>
        <w:rPr>
          <w:sz w:val="22"/>
          <w:szCs w:val="22"/>
        </w:rPr>
      </w:pPr>
      <w:r>
        <w:rPr>
          <w:sz w:val="22"/>
          <w:szCs w:val="22"/>
        </w:rPr>
        <w:t xml:space="preserve">Guidelines for Coral </w:t>
      </w:r>
      <w:r>
        <w:rPr>
          <w:sz w:val="22"/>
          <w:szCs w:val="22"/>
        </w:rPr>
        <w:tab/>
        <w:t>R</w:t>
      </w:r>
      <w:r w:rsidR="00704D1E" w:rsidRPr="00704D1E">
        <w:rPr>
          <w:sz w:val="22"/>
          <w:szCs w:val="22"/>
        </w:rPr>
        <w:t>eef Environmental Impact Assessment, Compensation and Mitigation Schemes are being developed based on initial work by IFRECOR (the French Initiative for Coral Reefs) and other partners. A guide is being prepared for publication later in 2016 that addresses (i) how to conduct adequate Environmental Impact Assessments (EIA) in or around coral reef ecosystems and (ii) how to design/implement/monitor compensation schemes for impacts of development. The guide will initially be prepared in English and Spanish, in addition to the French version currently targeting French reef jurisdictions. This is knowledge product may be of utility e.g. in relation to tourism and shipping infrastructure in coral reef areas and will be drawn upon by the present project once available. Activities focus on enhancing data and information provision for ecosystem-based coral reef planning and management by strengthening Global Coral Reef Monitoring Network (GCRMN) status and outlook reporting at the regional level and through the Regional Seas, as well as supporting development and application of indicators for tracking progress towards global and regional targets, although it is noted that the limitation of this system, in that it presents regional syntheses rather than basin-level information. Planned activities of the present project to coordinate assessment and monitoring at the SCS basin level will build on the work of the GCRMN.</w:t>
      </w:r>
    </w:p>
    <w:p w14:paraId="2C3E4507" w14:textId="77777777" w:rsidR="00704D1E" w:rsidRDefault="00704D1E" w:rsidP="00132162">
      <w:pPr>
        <w:numPr>
          <w:ilvl w:val="0"/>
          <w:numId w:val="3"/>
        </w:numPr>
        <w:spacing w:after="120"/>
        <w:ind w:left="0" w:firstLine="0"/>
        <w:jc w:val="both"/>
        <w:rPr>
          <w:sz w:val="22"/>
          <w:szCs w:val="22"/>
        </w:rPr>
      </w:pPr>
      <w:r w:rsidRPr="00704D1E">
        <w:rPr>
          <w:sz w:val="22"/>
          <w:szCs w:val="22"/>
        </w:rPr>
        <w:t>Similarly, UNEP’s programme on Ecosystem-based Spatial Planning and Management for Sustainable Oceans and Coasts is developing tools, guidance, mentoring and lessons-sharing mechanisms that enable planners in countries and regions to more effectively apply ecosystem-based spatial planning and management approaches to sustain marine and coastal ecosystem services, including the ecological foundation for food-security. These include: (1) a process oriented spatial planning framework with governance indicators and outcome markers for context-specific planning, (2) guidance on governance analysis for marine protected area design in wider coastal planning, and (3) a coupled Integrated Ecosystem Assessment and spatial management scenario tool. These will be tested and demonstrated. Lessons will be synthesized and shared through local to regional peer-to-peer exchanges and networking underpinning longer-term uptake and institution building. This present project will draw on these tools and lessons.</w:t>
      </w:r>
    </w:p>
    <w:p w14:paraId="6BEAF6B5" w14:textId="77777777" w:rsidR="00704D1E" w:rsidRDefault="00704D1E" w:rsidP="00132162">
      <w:pPr>
        <w:numPr>
          <w:ilvl w:val="0"/>
          <w:numId w:val="3"/>
        </w:numPr>
        <w:spacing w:after="120"/>
        <w:ind w:left="0" w:firstLine="0"/>
        <w:jc w:val="both"/>
        <w:rPr>
          <w:sz w:val="22"/>
          <w:szCs w:val="22"/>
        </w:rPr>
      </w:pPr>
      <w:r w:rsidRPr="00704D1E">
        <w:rPr>
          <w:sz w:val="22"/>
          <w:szCs w:val="22"/>
        </w:rPr>
        <w:t>Additionally, the Coordinating Body on the Seas of East Asia (COBSEA) assisted six COBSEA countries (Cambodia, China, Indonesia, Philippines, Thailand and Vietnam) during the period 2001-2013 in strengthening their capacity in coastal and marine spatial planning and integrated coastal management through the SIDA financed ‘Spatial Planning in the Coastal Zone – Disaster Prevention and Sustainable Development’ project which  aimed to prevent/reduce the impacts from natural disasters, climate change and sea-level rise, and to promote sustainable development of the coastal areas through the application of spatial planning for ICM and EBM The project developed a Regional Resource Document ‘Spatial Planning in the Coastal Zone of the East Asian Seas Region: Integrating Emerging Issues and Modern Management Approaches’, which helped countries to introduce the basic concepts of coastal and marine spatial planning and how to integrate emerging issues such as climate change and sea-level rise, and new management concepts such as ecosystem-based management, disaster risk reduction and results-based management into their existing spatial planning and coastal zone management procedures and processes. Using the document as reference, existing planning guidebooks and toolkits were amended incorporating emerging issues and modern management approaches. The project established national teams of instructors that have the knowledge and capacity to design and conduct national training programs in their own countries and languages, with sufficient understanding of the emerging issues and modern management approaches related to coastal and marine spatial planning and sustainable development.</w:t>
      </w:r>
    </w:p>
    <w:p w14:paraId="30075D70" w14:textId="77777777" w:rsidR="00704D1E" w:rsidRDefault="00704D1E" w:rsidP="00132162">
      <w:pPr>
        <w:numPr>
          <w:ilvl w:val="0"/>
          <w:numId w:val="3"/>
        </w:numPr>
        <w:spacing w:after="120"/>
        <w:ind w:left="0" w:firstLine="0"/>
        <w:jc w:val="both"/>
        <w:rPr>
          <w:sz w:val="22"/>
          <w:szCs w:val="22"/>
        </w:rPr>
      </w:pPr>
      <w:r w:rsidRPr="00704D1E">
        <w:rPr>
          <w:sz w:val="22"/>
          <w:szCs w:val="22"/>
        </w:rPr>
        <w:t>A strong community of practice now exists that will conduct further training and capacity building according to national needs, in other government ministries and agencies, at sub-national and local levels. The project has helped the countries develop and produce national training manuals and national resource documents (NRD) which were translated into national languages and used in national training courses. The NRD is a comprehensive document in local language and contain relevant material on the legal, administrative and institutional aspects of MSP. They also contain reference to case studies of projects that have applied coastal spatial planning and examples of integrating disaster risk reduction, climate change, ecosystem-based management, etc. into national planning. These documents helped local planners, researchers, students, and national authorities on relevant information on coastal spatial planning in the country and in developing future training programs. A small scale pilot project was also implemented in Kampot province in Cambodia. COBSEA, the regional executing agency for this project, has direct access to the abovementioned networks and resource materials in furthering the Marine Spatial Planning elements of this initiative.</w:t>
      </w:r>
    </w:p>
    <w:p w14:paraId="259869E1" w14:textId="77777777" w:rsidR="00704D1E" w:rsidRPr="00DB109E" w:rsidRDefault="00704D1E" w:rsidP="00132162">
      <w:pPr>
        <w:numPr>
          <w:ilvl w:val="0"/>
          <w:numId w:val="3"/>
        </w:numPr>
        <w:spacing w:after="120"/>
        <w:ind w:left="0" w:firstLine="0"/>
        <w:jc w:val="both"/>
        <w:rPr>
          <w:sz w:val="22"/>
          <w:szCs w:val="22"/>
        </w:rPr>
      </w:pPr>
      <w:r w:rsidRPr="00704D1E">
        <w:rPr>
          <w:sz w:val="22"/>
          <w:szCs w:val="22"/>
        </w:rPr>
        <w:t>During 2012-2013, COBSEA also executed a KOICA/Yeosu financed project entitled ‘Addressing the Challenge of Sea-Level Rise and Coastal Erosion in the East Asian Seas – Initial Implementation of the COBSEA Regional Strategy’. That initiative built capacity in COBSEA developing countries on the sustainability, resilience and wise management of threatened coastal resources and associated ecosystems through the implementation of the COBSEA Regional Programme on Coastal Erosion. This work was built upon during the period 2013-2014 via a COBSEA executed project entitled ‘Strengthening the Resilience of Coastal Communities, Ecosystems and Economies to Sea-Level Rise and Coastal Erosion’. I</w:t>
      </w:r>
      <w:r>
        <w:rPr>
          <w:sz w:val="22"/>
          <w:szCs w:val="22"/>
        </w:rPr>
        <w:t>t</w:t>
      </w:r>
      <w:r w:rsidRPr="00704D1E">
        <w:rPr>
          <w:sz w:val="22"/>
          <w:szCs w:val="22"/>
        </w:rPr>
        <w:t xml:space="preserve"> aimed to strengthen the resilience of coastal ecosystems, communities, local and national economies to the adverse impacts of sea-level rise and coastal erosion in Cambodia, Indonesia, Philippines, Thailand and Vietnam. Key outcomes of this project were National Assessment Reports on coastal vulnerabilities due to coastal erosion, including mapping existing policies, legal and institutional mechanisms and past, current and planned interventions. The reports, which identify gaps and needs relevant for addressing coastal erosion at national and sub-national levels, were used as basis for the development of ‘national roadmaps’ and identified priorities for action that will be implemented by governments and/or by follow-up projects. The reports include a menu of specific pilot interventions identified as priorities for action to address the gaps and needs of the country. This work will be drawn upon in updating the Transboundary Diagnostic Analysis and revised Strategic Action Programme. Analysis of work conducted by other development partners and donors, including Conservation International, WWF, and bilateral agencies indicates that little work has been done in areas of the South China Sea over the past 5-7 years given the large focus</w:t>
      </w:r>
      <w:r>
        <w:rPr>
          <w:sz w:val="22"/>
          <w:szCs w:val="22"/>
        </w:rPr>
        <w:t xml:space="preserve"> of coastal and marine environment management initiatives </w:t>
      </w:r>
      <w:r w:rsidRPr="00704D1E">
        <w:rPr>
          <w:sz w:val="22"/>
          <w:szCs w:val="22"/>
        </w:rPr>
        <w:t>in the Asia-Pacific region on areas of the so-called Coral Triangle.</w:t>
      </w:r>
    </w:p>
    <w:p w14:paraId="6322AE8F" w14:textId="77777777" w:rsidR="00F07F81" w:rsidRDefault="00F07F81">
      <w:pPr>
        <w:numPr>
          <w:ilvl w:val="1"/>
          <w:numId w:val="2"/>
        </w:numPr>
        <w:spacing w:after="120"/>
        <w:outlineLvl w:val="1"/>
        <w:rPr>
          <w:b/>
          <w:sz w:val="22"/>
          <w:szCs w:val="22"/>
          <w:lang w:val="en-GB"/>
        </w:rPr>
      </w:pPr>
      <w:bookmarkStart w:id="73" w:name="_Toc209432647"/>
      <w:r>
        <w:rPr>
          <w:b/>
          <w:sz w:val="22"/>
          <w:szCs w:val="22"/>
          <w:lang w:val="en-GB"/>
        </w:rPr>
        <w:t>Linkages with other GEF and non-GEF interventions</w:t>
      </w:r>
      <w:bookmarkEnd w:id="73"/>
    </w:p>
    <w:p w14:paraId="448F8B46" w14:textId="77777777" w:rsidR="00F07F81" w:rsidRDefault="00DB109E" w:rsidP="00527109">
      <w:pPr>
        <w:numPr>
          <w:ilvl w:val="0"/>
          <w:numId w:val="3"/>
        </w:numPr>
        <w:spacing w:after="120"/>
        <w:ind w:left="0" w:firstLine="0"/>
        <w:jc w:val="both"/>
        <w:rPr>
          <w:sz w:val="22"/>
          <w:szCs w:val="22"/>
          <w:lang w:val="en-GB"/>
        </w:rPr>
      </w:pPr>
      <w:r w:rsidRPr="00DB109E">
        <w:rPr>
          <w:sz w:val="22"/>
          <w:szCs w:val="22"/>
          <w:lang w:val="en-GB"/>
        </w:rPr>
        <w:t xml:space="preserve">This project is an outcome of the UNEP/GEF project entitled “Reversing Environmental Degradation Trends in the South China Sea and Gulf of Thailand” (the SCS project) that was operational from 2002 to 2008. Specifically it builds upon the institutional and operational network established during that project to implement the regional Strategic Action Programme and associated National Action Plans that were also developed and approved during the course of the SCS project. The SAP itself may be viewed as an operational level, intergovernmental approved course of action that will serve to implement, in the South China Sea, the </w:t>
      </w:r>
      <w:r w:rsidR="00466017">
        <w:rPr>
          <w:sz w:val="22"/>
          <w:szCs w:val="22"/>
          <w:lang w:val="en-GB"/>
        </w:rPr>
        <w:t>Sustainable Development Strategy for the Seas of East Asia</w:t>
      </w:r>
      <w:r w:rsidRPr="00DB109E">
        <w:rPr>
          <w:sz w:val="22"/>
          <w:szCs w:val="22"/>
          <w:lang w:val="en-GB"/>
        </w:rPr>
        <w:t xml:space="preserve"> developed through the UNDP/GEF </w:t>
      </w:r>
      <w:r>
        <w:rPr>
          <w:sz w:val="22"/>
          <w:szCs w:val="22"/>
          <w:lang w:val="en-GB"/>
        </w:rPr>
        <w:t>supported</w:t>
      </w:r>
      <w:r w:rsidRPr="00DB109E">
        <w:rPr>
          <w:sz w:val="22"/>
          <w:szCs w:val="22"/>
          <w:lang w:val="en-GB"/>
        </w:rPr>
        <w:t xml:space="preserve"> “Partnerships for Environmental Management of the Seas of East Asia” (PEMSEA), and the Declaration on the Code of Conduct for Parties in the South China Sea.</w:t>
      </w:r>
      <w:r w:rsidR="00846ACD">
        <w:rPr>
          <w:sz w:val="22"/>
          <w:szCs w:val="22"/>
          <w:lang w:val="en-GB"/>
        </w:rPr>
        <w:t xml:space="preserve"> Significantly, PEMSEA aims to establish Integrated Coastal Management arrangements for</w:t>
      </w:r>
      <w:r w:rsidR="00846ACD" w:rsidRPr="00846ACD">
        <w:rPr>
          <w:sz w:val="22"/>
          <w:szCs w:val="22"/>
          <w:lang w:val="en-GB"/>
        </w:rPr>
        <w:t xml:space="preserve"> 25 percent of </w:t>
      </w:r>
      <w:r w:rsidR="00846ACD">
        <w:rPr>
          <w:sz w:val="22"/>
          <w:szCs w:val="22"/>
          <w:lang w:val="en-GB"/>
        </w:rPr>
        <w:t>East Asia coastline by 2021. This present project will ensure that efforts are made regionally and nationally by the lead agencies to engage with PEMSEA in areas of joint planning, knowledge and information sharing, and political advocacy. Importantly, representatives of the PEMSEA Integrated Coastal Management sites will be invited to participate in regular meetings of the National Technical Working Groups to ensure planned activities at the SAP implementation sites are congruent with those of PEMSEA supported initiatives and that synergies can be best leveraged to achieve transformational change of national institutional arrangements and enabling environments needed to reverse environmental degradation tren</w:t>
      </w:r>
      <w:r w:rsidR="006A6308">
        <w:rPr>
          <w:sz w:val="22"/>
          <w:szCs w:val="22"/>
          <w:lang w:val="en-GB"/>
        </w:rPr>
        <w:t>d</w:t>
      </w:r>
      <w:r w:rsidR="00846ACD">
        <w:rPr>
          <w:sz w:val="22"/>
          <w:szCs w:val="22"/>
          <w:lang w:val="en-GB"/>
        </w:rPr>
        <w:t>s in the South China Sea marine basin.</w:t>
      </w:r>
      <w:r w:rsidR="006A6308">
        <w:rPr>
          <w:sz w:val="22"/>
          <w:szCs w:val="22"/>
          <w:lang w:val="en-GB"/>
        </w:rPr>
        <w:t xml:space="preserve"> </w:t>
      </w:r>
      <w:r w:rsidR="00527109" w:rsidRPr="00527109">
        <w:rPr>
          <w:sz w:val="22"/>
          <w:szCs w:val="22"/>
          <w:lang w:val="en-GB"/>
        </w:rPr>
        <w:t>It is important to note however</w:t>
      </w:r>
      <w:r w:rsidR="00527109">
        <w:rPr>
          <w:sz w:val="22"/>
          <w:szCs w:val="22"/>
          <w:lang w:val="en-GB"/>
        </w:rPr>
        <w:t xml:space="preserve">, that </w:t>
      </w:r>
      <w:r w:rsidR="00527109" w:rsidRPr="00527109">
        <w:rPr>
          <w:sz w:val="22"/>
          <w:szCs w:val="22"/>
          <w:lang w:val="en-GB"/>
        </w:rPr>
        <w:t>of the 16 PEMSEA Integrated Coastal Management (ICM) sites to be operationalized in China, Indonesia and Philippines under the Sustainable Development Strategy for the Seas of East Asia none are located in coastal areas of the South China Sea. Of the six participating countries in the present project, only</w:t>
      </w:r>
      <w:r w:rsidR="00466017">
        <w:rPr>
          <w:sz w:val="22"/>
          <w:szCs w:val="22"/>
          <w:lang w:val="en-GB"/>
        </w:rPr>
        <w:t xml:space="preserve"> two, namely</w:t>
      </w:r>
      <w:r w:rsidR="00527109" w:rsidRPr="00527109">
        <w:rPr>
          <w:sz w:val="22"/>
          <w:szCs w:val="22"/>
          <w:lang w:val="en-GB"/>
        </w:rPr>
        <w:t xml:space="preserve"> Cambodia and Vietnam</w:t>
      </w:r>
      <w:r w:rsidR="00466017">
        <w:rPr>
          <w:sz w:val="22"/>
          <w:szCs w:val="22"/>
          <w:lang w:val="en-GB"/>
        </w:rPr>
        <w:t>,</w:t>
      </w:r>
      <w:r w:rsidR="00527109" w:rsidRPr="00527109">
        <w:rPr>
          <w:sz w:val="22"/>
          <w:szCs w:val="22"/>
          <w:lang w:val="en-GB"/>
        </w:rPr>
        <w:t xml:space="preserve"> will be addressing the operationalization of ICM approaches in areas of the South China Sea. The present project will add value to this process, specifically through targeted activities to build upon the transboundary cooperation in coastal and marine resource management between Vietnam (Kien Giang province) and Cambodia (Kampot province) fostered during SAP formulation. It is also relevant to note there are presently no plans for the operationalization of ICM approaches in Thailand</w:t>
      </w:r>
      <w:r w:rsidR="00527109">
        <w:rPr>
          <w:rStyle w:val="FootnoteReference"/>
          <w:sz w:val="22"/>
          <w:szCs w:val="22"/>
          <w:lang w:val="en-GB"/>
        </w:rPr>
        <w:footnoteReference w:id="58"/>
      </w:r>
      <w:r w:rsidR="00527109" w:rsidRPr="00527109">
        <w:rPr>
          <w:sz w:val="22"/>
          <w:szCs w:val="22"/>
          <w:lang w:val="en-GB"/>
        </w:rPr>
        <w:t>. The present project will also fill a significant gap in this regard through targeted actions to address habitat and environmental degradation trends in the western Gulf of Thailand which is of high transboundary significance from the perspective o</w:t>
      </w:r>
      <w:r w:rsidR="00466017">
        <w:rPr>
          <w:sz w:val="22"/>
          <w:szCs w:val="22"/>
          <w:lang w:val="en-GB"/>
        </w:rPr>
        <w:t>f livelihoods and food security</w:t>
      </w:r>
      <w:r w:rsidR="00527109" w:rsidRPr="00527109">
        <w:rPr>
          <w:sz w:val="22"/>
          <w:szCs w:val="22"/>
          <w:lang w:val="en-GB"/>
        </w:rPr>
        <w:t>. PEMSEA has also piloted the application State of Coasts reporting albeit for only 4 provinces in the East Asian Seas region, with only one produced almost a decade ago being focused on a coastal province of the SCS. The activities of the present project in monitoring and reporting on coastal habitat areas and land-based pollution hotspots will provide contemporary and regionally comparable information and data for possible future use in the broader application of State of Coast reporting in the region. To ensure effective co</w:t>
      </w:r>
      <w:r w:rsidR="00383C15">
        <w:rPr>
          <w:sz w:val="22"/>
          <w:szCs w:val="22"/>
          <w:lang w:val="en-GB"/>
        </w:rPr>
        <w:t>llaboration be</w:t>
      </w:r>
      <w:r w:rsidR="00735447">
        <w:rPr>
          <w:sz w:val="22"/>
          <w:szCs w:val="22"/>
          <w:lang w:val="en-GB"/>
        </w:rPr>
        <w:t>twe</w:t>
      </w:r>
      <w:r w:rsidR="00383C15">
        <w:rPr>
          <w:sz w:val="22"/>
          <w:szCs w:val="22"/>
          <w:lang w:val="en-GB"/>
        </w:rPr>
        <w:t>en PEMSEA and efforts to implement the SCS SAP</w:t>
      </w:r>
      <w:r w:rsidR="00527109" w:rsidRPr="00527109">
        <w:rPr>
          <w:sz w:val="22"/>
          <w:szCs w:val="22"/>
          <w:lang w:val="en-GB"/>
        </w:rPr>
        <w:t>, the regional executing agency for this project will explore the formalization of an agreement with PEMSEA aimed at</w:t>
      </w:r>
      <w:r w:rsidR="00383C15">
        <w:rPr>
          <w:sz w:val="22"/>
          <w:szCs w:val="22"/>
          <w:lang w:val="en-GB"/>
        </w:rPr>
        <w:t>:</w:t>
      </w:r>
      <w:r w:rsidR="00527109" w:rsidRPr="00527109">
        <w:rPr>
          <w:sz w:val="22"/>
          <w:szCs w:val="22"/>
          <w:lang w:val="en-GB"/>
        </w:rPr>
        <w:t xml:space="preserve"> </w:t>
      </w:r>
      <w:r w:rsidR="00383C15">
        <w:rPr>
          <w:sz w:val="22"/>
          <w:szCs w:val="22"/>
          <w:lang w:val="en-GB"/>
        </w:rPr>
        <w:t xml:space="preserve">(a) </w:t>
      </w:r>
      <w:r w:rsidR="00527109" w:rsidRPr="00527109">
        <w:rPr>
          <w:sz w:val="22"/>
          <w:szCs w:val="22"/>
          <w:lang w:val="en-GB"/>
        </w:rPr>
        <w:t>guiding effective joint planning of project activities, particularly in Vietnam and Cambod</w:t>
      </w:r>
      <w:r w:rsidR="00383C15">
        <w:rPr>
          <w:sz w:val="22"/>
          <w:szCs w:val="22"/>
          <w:lang w:val="en-GB"/>
        </w:rPr>
        <w:t xml:space="preserve">ia where ICM </w:t>
      </w:r>
      <w:r w:rsidR="00735447">
        <w:rPr>
          <w:sz w:val="22"/>
          <w:szCs w:val="22"/>
          <w:lang w:val="en-GB"/>
        </w:rPr>
        <w:t xml:space="preserve">is </w:t>
      </w:r>
      <w:r w:rsidR="00383C15">
        <w:rPr>
          <w:sz w:val="22"/>
          <w:szCs w:val="22"/>
          <w:lang w:val="en-GB"/>
        </w:rPr>
        <w:t>be</w:t>
      </w:r>
      <w:r w:rsidR="00735447">
        <w:rPr>
          <w:sz w:val="22"/>
          <w:szCs w:val="22"/>
          <w:lang w:val="en-GB"/>
        </w:rPr>
        <w:t xml:space="preserve">ing </w:t>
      </w:r>
      <w:r w:rsidR="00383C15">
        <w:rPr>
          <w:sz w:val="22"/>
          <w:szCs w:val="22"/>
          <w:lang w:val="en-GB"/>
        </w:rPr>
        <w:t xml:space="preserve"> operationalized</w:t>
      </w:r>
      <w:r w:rsidR="00735447">
        <w:rPr>
          <w:sz w:val="22"/>
          <w:szCs w:val="22"/>
          <w:lang w:val="en-GB"/>
        </w:rPr>
        <w:t xml:space="preserve"> along the SCS coast</w:t>
      </w:r>
      <w:r w:rsidR="00383C15">
        <w:rPr>
          <w:sz w:val="22"/>
          <w:szCs w:val="22"/>
          <w:lang w:val="en-GB"/>
        </w:rPr>
        <w:t>;</w:t>
      </w:r>
      <w:r w:rsidR="00527109" w:rsidRPr="00527109">
        <w:rPr>
          <w:sz w:val="22"/>
          <w:szCs w:val="22"/>
          <w:lang w:val="en-GB"/>
        </w:rPr>
        <w:t xml:space="preserve"> and </w:t>
      </w:r>
      <w:r w:rsidR="00383C15">
        <w:rPr>
          <w:sz w:val="22"/>
          <w:szCs w:val="22"/>
          <w:lang w:val="en-GB"/>
        </w:rPr>
        <w:t xml:space="preserve">(b) </w:t>
      </w:r>
      <w:r w:rsidR="009632E7">
        <w:rPr>
          <w:sz w:val="22"/>
          <w:szCs w:val="22"/>
          <w:lang w:val="en-GB"/>
        </w:rPr>
        <w:t>in promoting</w:t>
      </w:r>
      <w:r w:rsidR="00383C15">
        <w:rPr>
          <w:sz w:val="22"/>
          <w:szCs w:val="22"/>
          <w:lang w:val="en-GB"/>
        </w:rPr>
        <w:t xml:space="preserve"> </w:t>
      </w:r>
      <w:r w:rsidR="00527109" w:rsidRPr="00527109">
        <w:rPr>
          <w:sz w:val="22"/>
          <w:szCs w:val="22"/>
          <w:lang w:val="en-GB"/>
        </w:rPr>
        <w:t xml:space="preserve">the uptake </w:t>
      </w:r>
      <w:r w:rsidR="00383C15">
        <w:rPr>
          <w:sz w:val="22"/>
          <w:szCs w:val="22"/>
          <w:lang w:val="en-GB"/>
        </w:rPr>
        <w:t xml:space="preserve">of </w:t>
      </w:r>
      <w:r w:rsidR="00527109" w:rsidRPr="00527109">
        <w:rPr>
          <w:sz w:val="22"/>
          <w:szCs w:val="22"/>
          <w:lang w:val="en-GB"/>
        </w:rPr>
        <w:t>information</w:t>
      </w:r>
      <w:r w:rsidR="00735447">
        <w:rPr>
          <w:sz w:val="22"/>
          <w:szCs w:val="22"/>
          <w:lang w:val="en-GB"/>
        </w:rPr>
        <w:t>, knowledge products</w:t>
      </w:r>
      <w:r w:rsidR="00527109" w:rsidRPr="00527109">
        <w:rPr>
          <w:sz w:val="22"/>
          <w:szCs w:val="22"/>
          <w:lang w:val="en-GB"/>
        </w:rPr>
        <w:t xml:space="preserve"> and best practices generated through SAP formulation and implementation in future </w:t>
      </w:r>
      <w:r w:rsidR="00383C15">
        <w:rPr>
          <w:sz w:val="22"/>
          <w:szCs w:val="22"/>
          <w:lang w:val="en-GB"/>
        </w:rPr>
        <w:t>strategy development</w:t>
      </w:r>
      <w:r w:rsidR="00527109" w:rsidRPr="00527109">
        <w:rPr>
          <w:sz w:val="22"/>
          <w:szCs w:val="22"/>
          <w:lang w:val="en-GB"/>
        </w:rPr>
        <w:t xml:space="preserve"> for the broader ‘Seas of East Asia’.</w:t>
      </w:r>
    </w:p>
    <w:p w14:paraId="51DEE8C6" w14:textId="77777777" w:rsidR="00DB109E" w:rsidRPr="007A15C5" w:rsidRDefault="00DB109E" w:rsidP="00DB109E">
      <w:pPr>
        <w:numPr>
          <w:ilvl w:val="0"/>
          <w:numId w:val="3"/>
        </w:numPr>
        <w:spacing w:after="120"/>
        <w:ind w:left="0" w:firstLine="0"/>
        <w:jc w:val="both"/>
        <w:rPr>
          <w:sz w:val="22"/>
          <w:szCs w:val="22"/>
        </w:rPr>
      </w:pPr>
      <w:r w:rsidRPr="007A15C5">
        <w:rPr>
          <w:sz w:val="22"/>
          <w:szCs w:val="22"/>
        </w:rPr>
        <w:t>The project will be managed on a day-to-day basis by a SAP Implementation Unit, within the COBSEA Secretariat and actions will therefore be closely co-ordinated with those of COBSEA. Outcomes will be reported to the periodic intergovernmental meetings of COBSEA member countries and to ASEAN member states through the ASEAN Working Group o</w:t>
      </w:r>
      <w:r>
        <w:rPr>
          <w:sz w:val="22"/>
          <w:szCs w:val="22"/>
        </w:rPr>
        <w:t xml:space="preserve">n Coastal and Marine Resources. </w:t>
      </w:r>
      <w:r w:rsidRPr="007A15C5">
        <w:rPr>
          <w:sz w:val="22"/>
          <w:szCs w:val="22"/>
        </w:rPr>
        <w:t>This project addresses the habitat, pollution, economic valuation and regional co-ordination components of the SAP, whilst the fisheries section of the SAP or more specifically the development of the regional system of refugia has been prepared as a separate GEF project with more restricted participation. It is anticipated that there will be cross representation between the regional fisheries working group</w:t>
      </w:r>
      <w:r>
        <w:rPr>
          <w:sz w:val="22"/>
          <w:szCs w:val="22"/>
        </w:rPr>
        <w:t>s</w:t>
      </w:r>
      <w:r w:rsidRPr="007A15C5">
        <w:rPr>
          <w:sz w:val="22"/>
          <w:szCs w:val="22"/>
        </w:rPr>
        <w:t xml:space="preserve"> established under that project and the Regional Scientific and Technical Committee established under this project to ensure that the refugia identified and developed in each country take into account biodiversity considerations and vice versa. As the GEF Implementing Agency for both projects UNEP will ensure that at a management level there is day-to-day contact between the SAP-IU in the COBSEA Secretariat and SEAFDEC as the regional GEF executing agency for the refugia project.</w:t>
      </w:r>
    </w:p>
    <w:p w14:paraId="6F94E6CB" w14:textId="77777777" w:rsidR="00DB109E" w:rsidRDefault="00DB109E" w:rsidP="00DB109E">
      <w:pPr>
        <w:numPr>
          <w:ilvl w:val="0"/>
          <w:numId w:val="3"/>
        </w:numPr>
        <w:spacing w:after="120"/>
        <w:ind w:left="0" w:firstLine="0"/>
        <w:jc w:val="both"/>
        <w:rPr>
          <w:sz w:val="22"/>
          <w:szCs w:val="22"/>
        </w:rPr>
      </w:pPr>
      <w:r w:rsidRPr="007A15C5">
        <w:rPr>
          <w:sz w:val="22"/>
          <w:szCs w:val="22"/>
        </w:rPr>
        <w:t>Whilst this project forms the primary mechanism for regional co-ordination of the implementation of the Strategic Action Programme for the South China Sea it is anticipated that national level actions will be undertaken at priority sites and that these will be supported through a variety of mechanisms including: national recurrent budgets; financial assistance from bilateral and other assistance agencies: and individual actions supported through the Small Grants Programme (SGP) of the GEF</w:t>
      </w:r>
      <w:r>
        <w:rPr>
          <w:sz w:val="22"/>
          <w:szCs w:val="22"/>
        </w:rPr>
        <w:t xml:space="preserve">. </w:t>
      </w:r>
      <w:r w:rsidRPr="007A15C5">
        <w:rPr>
          <w:sz w:val="22"/>
          <w:szCs w:val="22"/>
        </w:rPr>
        <w:t xml:space="preserve">During the final phase of its implementation the </w:t>
      </w:r>
      <w:r>
        <w:rPr>
          <w:sz w:val="22"/>
          <w:szCs w:val="22"/>
        </w:rPr>
        <w:t>Project</w:t>
      </w:r>
      <w:r w:rsidRPr="007A15C5">
        <w:rPr>
          <w:sz w:val="22"/>
          <w:szCs w:val="22"/>
        </w:rPr>
        <w:t xml:space="preserve"> Co-ordinating Unit</w:t>
      </w:r>
      <w:r>
        <w:rPr>
          <w:sz w:val="22"/>
          <w:szCs w:val="22"/>
        </w:rPr>
        <w:t xml:space="preserve"> for the SCS</w:t>
      </w:r>
      <w:r w:rsidRPr="007A15C5">
        <w:rPr>
          <w:sz w:val="22"/>
          <w:szCs w:val="22"/>
        </w:rPr>
        <w:t xml:space="preserve"> developed in close consultation with the management of the Small Grants Programme of the GEF a joint mechanism to support community interventions in priority areas identified in the SAP. It is anticipated that these interventions will be linked through national and regional activities to the activities undertaken in the framework of this project.</w:t>
      </w:r>
    </w:p>
    <w:p w14:paraId="3E66E50B" w14:textId="77777777" w:rsidR="009C1F26" w:rsidRPr="004623ED" w:rsidRDefault="009C1F26" w:rsidP="009C1F26">
      <w:pPr>
        <w:numPr>
          <w:ilvl w:val="0"/>
          <w:numId w:val="3"/>
        </w:numPr>
        <w:spacing w:after="120"/>
        <w:ind w:left="0" w:firstLine="0"/>
        <w:jc w:val="both"/>
        <w:rPr>
          <w:sz w:val="22"/>
          <w:szCs w:val="22"/>
          <w:lang w:val="en-GB"/>
        </w:rPr>
      </w:pPr>
      <w:r w:rsidRPr="004623ED">
        <w:rPr>
          <w:sz w:val="22"/>
          <w:szCs w:val="22"/>
          <w:lang w:val="en-GB"/>
        </w:rPr>
        <w:t xml:space="preserve">In Cambodia, project activities will be closely aligned with IUCN projects investigating coastal habitat zonation and marine mammal usage of Cambodia’s coastal habitats. A UK Darwin supported initiative focusing on the strengthening of capacity for management of Marine Protected Areas will be engaged, with opportunities for collaboration and learning exchanges with national-level fisheries </w:t>
      </w:r>
      <w:r w:rsidRPr="004623ED">
        <w:rPr>
          <w:i/>
          <w:iCs/>
          <w:sz w:val="22"/>
          <w:szCs w:val="22"/>
          <w:lang w:val="en-GB"/>
        </w:rPr>
        <w:t>refugia</w:t>
      </w:r>
      <w:r w:rsidRPr="004623ED">
        <w:rPr>
          <w:sz w:val="22"/>
          <w:szCs w:val="22"/>
          <w:lang w:val="en-GB"/>
        </w:rPr>
        <w:t xml:space="preserve"> activities explored. Whereas in Indonesia, linkages have been established with the “Coral Reef Rehabilitation and Management Program-Coral Triangle Initiative (COREMAP-CTI) project which has project activities on the South China Sea coast of Indonesia. </w:t>
      </w:r>
      <w:r>
        <w:rPr>
          <w:sz w:val="22"/>
          <w:szCs w:val="22"/>
          <w:lang w:val="en-GB"/>
        </w:rPr>
        <w:t>In the Philippines, a</w:t>
      </w:r>
      <w:r w:rsidRPr="004623ED">
        <w:rPr>
          <w:sz w:val="22"/>
          <w:szCs w:val="22"/>
          <w:lang w:val="en-GB"/>
        </w:rPr>
        <w:t xml:space="preserve"> GEF funded biodiversity project focusing on the strengthening of nation-wide capacity for management of Marine Protected Areas will be engaged, with opportunities for collaboration and learning exchanges with national-level fisheries </w:t>
      </w:r>
      <w:r w:rsidRPr="004623ED">
        <w:rPr>
          <w:i/>
          <w:iCs/>
          <w:sz w:val="22"/>
          <w:szCs w:val="22"/>
          <w:lang w:val="en-GB"/>
        </w:rPr>
        <w:t>refugia</w:t>
      </w:r>
      <w:r w:rsidRPr="004623ED">
        <w:rPr>
          <w:sz w:val="22"/>
          <w:szCs w:val="22"/>
          <w:lang w:val="en-GB"/>
        </w:rPr>
        <w:t xml:space="preserve"> activities explored. </w:t>
      </w:r>
    </w:p>
    <w:p w14:paraId="0C6DB509" w14:textId="77777777" w:rsidR="0031099F" w:rsidRPr="0031099F" w:rsidRDefault="009C1F26" w:rsidP="009C1F26">
      <w:pPr>
        <w:numPr>
          <w:ilvl w:val="0"/>
          <w:numId w:val="3"/>
        </w:numPr>
        <w:spacing w:after="120"/>
        <w:ind w:left="0" w:firstLine="0"/>
        <w:jc w:val="both"/>
        <w:rPr>
          <w:sz w:val="22"/>
          <w:szCs w:val="22"/>
        </w:rPr>
      </w:pPr>
      <w:r w:rsidRPr="007B73AF">
        <w:rPr>
          <w:sz w:val="22"/>
          <w:szCs w:val="22"/>
          <w:lang w:val="en-GB"/>
        </w:rPr>
        <w:t xml:space="preserve">Similarly in Thailand, the project will be linked to </w:t>
      </w:r>
      <w:r>
        <w:rPr>
          <w:sz w:val="22"/>
          <w:szCs w:val="22"/>
          <w:lang w:val="en-GB"/>
        </w:rPr>
        <w:t>the</w:t>
      </w:r>
      <w:r w:rsidRPr="004623ED">
        <w:rPr>
          <w:sz w:val="22"/>
          <w:szCs w:val="22"/>
          <w:lang w:val="en-GB"/>
        </w:rPr>
        <w:t xml:space="preserve"> implementation of the master plan of marine fisheries management of Thailand to prohibit encroachment within 3 mile from shoreline by trawl fisheries; and implementation of the master plan of marine fisheries management of Thailand to support local government agencies and strengthen community organizations in coastal fisheries management. In Viet Nam the project will be linked to the large nation-wide programme entitled “Investigation of biodiversity, fisheries resources and planning of marine protected areas in Vietnam”. </w:t>
      </w:r>
    </w:p>
    <w:p w14:paraId="67C6CC2B" w14:textId="77777777" w:rsidR="009C1F26" w:rsidRPr="00382FFE" w:rsidRDefault="009C1F26" w:rsidP="009C1F26">
      <w:pPr>
        <w:numPr>
          <w:ilvl w:val="0"/>
          <w:numId w:val="3"/>
        </w:numPr>
        <w:spacing w:after="120"/>
        <w:ind w:left="0" w:firstLine="0"/>
        <w:jc w:val="both"/>
        <w:rPr>
          <w:sz w:val="22"/>
          <w:szCs w:val="22"/>
        </w:rPr>
      </w:pPr>
      <w:r w:rsidRPr="004623ED">
        <w:rPr>
          <w:sz w:val="22"/>
          <w:szCs w:val="22"/>
          <w:lang w:val="en-GB"/>
        </w:rPr>
        <w:t>While it was recognized during project preparation that no activities of the GEF supported PEMSEA initiative are planned in areas of the priority</w:t>
      </w:r>
      <w:r>
        <w:rPr>
          <w:sz w:val="22"/>
          <w:szCs w:val="22"/>
          <w:lang w:val="en-GB"/>
        </w:rPr>
        <w:t xml:space="preserve"> sites</w:t>
      </w:r>
      <w:r w:rsidRPr="004623ED">
        <w:rPr>
          <w:sz w:val="22"/>
          <w:szCs w:val="22"/>
          <w:lang w:val="en-GB"/>
        </w:rPr>
        <w:t xml:space="preserve"> to be addressed by this present project, efforts would be made </w:t>
      </w:r>
      <w:r>
        <w:rPr>
          <w:sz w:val="22"/>
          <w:szCs w:val="22"/>
          <w:lang w:val="en-GB"/>
        </w:rPr>
        <w:t xml:space="preserve">regionally and </w:t>
      </w:r>
      <w:r w:rsidRPr="004623ED">
        <w:rPr>
          <w:sz w:val="22"/>
          <w:szCs w:val="22"/>
          <w:lang w:val="en-GB"/>
        </w:rPr>
        <w:t>nationally by the lead agencies to engage with PEMSEA in area</w:t>
      </w:r>
      <w:r>
        <w:rPr>
          <w:sz w:val="22"/>
          <w:szCs w:val="22"/>
          <w:lang w:val="en-GB"/>
        </w:rPr>
        <w:t>s</w:t>
      </w:r>
      <w:r w:rsidRPr="004623ED">
        <w:rPr>
          <w:sz w:val="22"/>
          <w:szCs w:val="22"/>
          <w:lang w:val="en-GB"/>
        </w:rPr>
        <w:t xml:space="preserve"> of </w:t>
      </w:r>
      <w:r>
        <w:rPr>
          <w:sz w:val="22"/>
          <w:szCs w:val="22"/>
          <w:lang w:val="en-GB"/>
        </w:rPr>
        <w:t xml:space="preserve">joint planning, </w:t>
      </w:r>
      <w:r w:rsidRPr="004623ED">
        <w:rPr>
          <w:sz w:val="22"/>
          <w:szCs w:val="22"/>
          <w:lang w:val="en-GB"/>
        </w:rPr>
        <w:t>knowledge and information sharing</w:t>
      </w:r>
      <w:r>
        <w:rPr>
          <w:sz w:val="22"/>
          <w:szCs w:val="22"/>
          <w:lang w:val="en-GB"/>
        </w:rPr>
        <w:t>, and political advocacy</w:t>
      </w:r>
      <w:r w:rsidRPr="004623ED">
        <w:rPr>
          <w:sz w:val="22"/>
          <w:szCs w:val="22"/>
          <w:lang w:val="en-GB"/>
        </w:rPr>
        <w:t>.</w:t>
      </w:r>
      <w:r>
        <w:rPr>
          <w:sz w:val="22"/>
          <w:szCs w:val="22"/>
          <w:lang w:val="en-GB"/>
        </w:rPr>
        <w:t xml:space="preserve"> Importantly, representatives of the PEMSEA Integrated Coastal Management sites will be invited to participate in tmeetings of the national planning bodies of this project to ensure that planned activities </w:t>
      </w:r>
      <w:r w:rsidR="0031099F">
        <w:rPr>
          <w:sz w:val="22"/>
          <w:szCs w:val="22"/>
          <w:lang w:val="en-GB"/>
        </w:rPr>
        <w:t xml:space="preserve">are congruent with those of </w:t>
      </w:r>
      <w:r>
        <w:rPr>
          <w:sz w:val="22"/>
          <w:szCs w:val="22"/>
          <w:lang w:val="en-GB"/>
        </w:rPr>
        <w:t>PEMSEA supported initiatives and that synergies can be best leveraged to achieve transformational change of national institutional arrangements and enabling environments needed to reverse environmental degradation trends in the South China Sea marine basin. Additionally, the b</w:t>
      </w:r>
      <w:r w:rsidRPr="007B73AF">
        <w:rPr>
          <w:sz w:val="22"/>
          <w:szCs w:val="22"/>
        </w:rPr>
        <w:t>est practice</w:t>
      </w:r>
      <w:r>
        <w:rPr>
          <w:sz w:val="22"/>
          <w:szCs w:val="22"/>
        </w:rPr>
        <w:t>s and lessons learned from the related UNEP/GEF</w:t>
      </w:r>
      <w:r w:rsidRPr="007B73AF">
        <w:rPr>
          <w:sz w:val="22"/>
          <w:szCs w:val="22"/>
        </w:rPr>
        <w:t xml:space="preserve"> fisheries</w:t>
      </w:r>
      <w:r w:rsidRPr="00382FFE">
        <w:rPr>
          <w:i/>
          <w:sz w:val="22"/>
          <w:szCs w:val="22"/>
        </w:rPr>
        <w:t xml:space="preserve"> refugia</w:t>
      </w:r>
      <w:r w:rsidRPr="007B73AF">
        <w:rPr>
          <w:sz w:val="22"/>
          <w:szCs w:val="22"/>
        </w:rPr>
        <w:t xml:space="preserve"> management </w:t>
      </w:r>
      <w:r>
        <w:rPr>
          <w:sz w:val="22"/>
          <w:szCs w:val="22"/>
        </w:rPr>
        <w:t xml:space="preserve">project </w:t>
      </w:r>
      <w:r w:rsidRPr="007B73AF">
        <w:rPr>
          <w:sz w:val="22"/>
          <w:szCs w:val="22"/>
        </w:rPr>
        <w:t xml:space="preserve">will, where applicable, be used to inform the update of the Strategic Action Programme for the South China Sea and the National Action Plans for coastal habitats and land-based pollution management to be undertaken as part of </w:t>
      </w:r>
      <w:r>
        <w:rPr>
          <w:sz w:val="22"/>
          <w:szCs w:val="22"/>
        </w:rPr>
        <w:t>this initiative.</w:t>
      </w:r>
    </w:p>
    <w:p w14:paraId="50938CC6" w14:textId="77777777" w:rsidR="009C1F26" w:rsidRPr="004623ED" w:rsidRDefault="009C1F26" w:rsidP="009C1F26">
      <w:pPr>
        <w:numPr>
          <w:ilvl w:val="0"/>
          <w:numId w:val="3"/>
        </w:numPr>
        <w:spacing w:after="120"/>
        <w:ind w:left="0" w:firstLine="0"/>
        <w:jc w:val="both"/>
        <w:rPr>
          <w:sz w:val="22"/>
          <w:szCs w:val="22"/>
          <w:lang w:val="en-GB"/>
        </w:rPr>
      </w:pPr>
      <w:r w:rsidRPr="004623ED">
        <w:rPr>
          <w:sz w:val="22"/>
          <w:szCs w:val="22"/>
          <w:lang w:val="en-GB"/>
        </w:rPr>
        <w:t>The project will actively engage in global knowledge sharing through IW:LEARN</w:t>
      </w:r>
      <w:r>
        <w:rPr>
          <w:sz w:val="22"/>
          <w:szCs w:val="22"/>
          <w:lang w:val="en-GB"/>
        </w:rPr>
        <w:t>/LME:LEARN</w:t>
      </w:r>
      <w:r w:rsidRPr="004623ED">
        <w:rPr>
          <w:sz w:val="22"/>
          <w:szCs w:val="22"/>
          <w:lang w:val="en-GB"/>
        </w:rPr>
        <w:t xml:space="preserve"> and set aside one percent (1%) of the GEF p</w:t>
      </w:r>
      <w:r>
        <w:rPr>
          <w:sz w:val="22"/>
          <w:szCs w:val="22"/>
          <w:lang w:val="en-GB"/>
        </w:rPr>
        <w:t xml:space="preserve">roject budget from Component 3 </w:t>
      </w:r>
      <w:r w:rsidRPr="004623ED">
        <w:rPr>
          <w:sz w:val="22"/>
          <w:szCs w:val="22"/>
          <w:lang w:val="en-GB"/>
        </w:rPr>
        <w:t>to support IW:LEARN activities, such as setting up and running a project website consistent with IW:LEARN guidance; participation of project staff in IW Conferences and relevant regional conferences; and production of at least three IW Experience Notes.</w:t>
      </w:r>
    </w:p>
    <w:p w14:paraId="478C6B22" w14:textId="77777777" w:rsidR="0031099F" w:rsidRDefault="009C1F26" w:rsidP="009C1F26">
      <w:pPr>
        <w:numPr>
          <w:ilvl w:val="0"/>
          <w:numId w:val="3"/>
        </w:numPr>
        <w:spacing w:after="120"/>
        <w:ind w:left="0" w:firstLine="0"/>
        <w:jc w:val="both"/>
        <w:rPr>
          <w:sz w:val="22"/>
          <w:szCs w:val="22"/>
          <w:lang w:val="en-GB"/>
        </w:rPr>
      </w:pPr>
      <w:r w:rsidRPr="004623ED">
        <w:rPr>
          <w:sz w:val="22"/>
          <w:szCs w:val="22"/>
          <w:lang w:val="en-GB"/>
        </w:rPr>
        <w:t xml:space="preserve">The project fits within and complements the objectives and expected outcomes of the Programme Framework for 2014-2017 and its Ecosystem Management Sub-Programme (EMSP) which seeks to secure the long-term provision of sustainable and equitable ecosystem services for human wellbeing through ecosystems that are functional and resilient to anthropogenic and natural impacts by catalyzing enabling conditions for the integration of the ecosystems approach into development planning in the wider landscape and seascape. </w:t>
      </w:r>
    </w:p>
    <w:p w14:paraId="70F6E412" w14:textId="77777777" w:rsidR="00F07F81" w:rsidRPr="0031099F" w:rsidRDefault="0031099F" w:rsidP="0031099F">
      <w:pPr>
        <w:numPr>
          <w:ilvl w:val="0"/>
          <w:numId w:val="3"/>
        </w:numPr>
        <w:spacing w:after="120"/>
        <w:ind w:left="0" w:firstLine="0"/>
        <w:jc w:val="both"/>
        <w:rPr>
          <w:sz w:val="22"/>
          <w:szCs w:val="22"/>
          <w:lang w:val="en-GB"/>
        </w:rPr>
      </w:pPr>
      <w:r>
        <w:rPr>
          <w:sz w:val="22"/>
          <w:szCs w:val="22"/>
          <w:lang w:val="en-GB"/>
        </w:rPr>
        <w:t>The project</w:t>
      </w:r>
      <w:r w:rsidR="009C1F26" w:rsidRPr="004623ED">
        <w:rPr>
          <w:sz w:val="22"/>
          <w:szCs w:val="22"/>
          <w:lang w:val="en-GB"/>
        </w:rPr>
        <w:t xml:space="preserve"> will further catalyze the use of the ecosystem approach that integrates the management of land, water and living resources to conserve biodiversity and sustain natural capital for sustainable development and improved human wellbeing as articulated in Decision V/6 of the Convention on Biological Diversity; building on participatory approaches including the use of UNEP’s convening power to work with governments and key stakeholders. In particular, this project is complementary to EA (B) looking at increasing the use of ecosystem management approaches in countries to sustain ecosystem services from coastal and marine systems and PoW 321 looking at developing and testing methodologies, tools and global and regional policy frameworks that apply the ecosystem approach to sustain coastal and marine ecosystem services and productivity in particular food provisioning.</w:t>
      </w:r>
    </w:p>
    <w:p w14:paraId="4A9875E2" w14:textId="77777777" w:rsidR="00F07F81" w:rsidRDefault="00F07F81">
      <w:pPr>
        <w:spacing w:after="120"/>
        <w:outlineLvl w:val="0"/>
        <w:rPr>
          <w:b/>
          <w:smallCaps/>
          <w:sz w:val="22"/>
          <w:szCs w:val="22"/>
          <w:lang w:val="en-GB"/>
        </w:rPr>
      </w:pPr>
      <w:bookmarkStart w:id="74" w:name="_Toc209432648"/>
      <w:r>
        <w:rPr>
          <w:b/>
          <w:smallCaps/>
          <w:sz w:val="22"/>
          <w:szCs w:val="22"/>
          <w:lang w:val="en-GB"/>
        </w:rPr>
        <w:t>Section 3: Intervention strategy (Alternative)</w:t>
      </w:r>
      <w:bookmarkEnd w:id="74"/>
    </w:p>
    <w:p w14:paraId="55EF35F1" w14:textId="77777777" w:rsidR="00F07F81" w:rsidRDefault="00F07F81">
      <w:pPr>
        <w:spacing w:after="120"/>
        <w:outlineLvl w:val="1"/>
        <w:rPr>
          <w:b/>
          <w:sz w:val="22"/>
          <w:szCs w:val="22"/>
          <w:lang w:val="en-GB"/>
        </w:rPr>
      </w:pPr>
      <w:bookmarkStart w:id="75" w:name="_Toc209432649"/>
      <w:r>
        <w:rPr>
          <w:b/>
          <w:sz w:val="22"/>
          <w:szCs w:val="22"/>
          <w:lang w:val="en-GB"/>
        </w:rPr>
        <w:t>3.1.</w:t>
      </w:r>
      <w:r>
        <w:rPr>
          <w:b/>
          <w:sz w:val="22"/>
          <w:szCs w:val="22"/>
          <w:lang w:val="en-GB"/>
        </w:rPr>
        <w:tab/>
        <w:t>Project rationale, policy conformity and expected global environmental benefits</w:t>
      </w:r>
      <w:bookmarkEnd w:id="75"/>
    </w:p>
    <w:p w14:paraId="54F54C65" w14:textId="77777777" w:rsidR="00F07F81" w:rsidRDefault="008E6796" w:rsidP="008E6796">
      <w:pPr>
        <w:numPr>
          <w:ilvl w:val="0"/>
          <w:numId w:val="3"/>
        </w:numPr>
        <w:spacing w:after="120"/>
        <w:ind w:left="0" w:firstLine="0"/>
        <w:jc w:val="both"/>
        <w:rPr>
          <w:sz w:val="22"/>
          <w:szCs w:val="22"/>
          <w:lang w:val="en-GB"/>
        </w:rPr>
      </w:pPr>
      <w:r w:rsidRPr="008E6796">
        <w:rPr>
          <w:sz w:val="22"/>
          <w:szCs w:val="22"/>
          <w:lang w:val="en-GB"/>
        </w:rPr>
        <w:t>This project builds on activities funded via the GEF Project entitled “</w:t>
      </w:r>
      <w:r w:rsidRPr="008E6796">
        <w:rPr>
          <w:i/>
          <w:sz w:val="22"/>
          <w:szCs w:val="22"/>
          <w:lang w:val="en-GB"/>
        </w:rPr>
        <w:t>Reversing Environmental Degradation Trends in the South China Sea and Gulf of Thailand</w:t>
      </w:r>
      <w:r w:rsidRPr="008E6796">
        <w:rPr>
          <w:sz w:val="22"/>
          <w:szCs w:val="22"/>
          <w:lang w:val="en-GB"/>
        </w:rPr>
        <w:t>” that was completed in December 2008. During the preparati</w:t>
      </w:r>
      <w:r>
        <w:rPr>
          <w:sz w:val="22"/>
          <w:szCs w:val="22"/>
          <w:lang w:val="en-GB"/>
        </w:rPr>
        <w:t>on for and implementation of that</w:t>
      </w:r>
      <w:r w:rsidRPr="008E6796">
        <w:rPr>
          <w:sz w:val="22"/>
          <w:szCs w:val="22"/>
          <w:lang w:val="en-GB"/>
        </w:rPr>
        <w:t xml:space="preserve"> project, the participating countries developed an epistemic community of scientists and government officers having a shared understanding of the environmental problems of the South China Sea and of the approaches and interventions necessary to reverse current degradation trends. The problem analysis contained in the TDA was agreed at the regional level and refined and amplified during the operational phase of the </w:t>
      </w:r>
      <w:r>
        <w:rPr>
          <w:sz w:val="22"/>
          <w:szCs w:val="22"/>
          <w:lang w:val="en-GB"/>
        </w:rPr>
        <w:t xml:space="preserve">SCS </w:t>
      </w:r>
      <w:r w:rsidRPr="008E6796">
        <w:rPr>
          <w:sz w:val="22"/>
          <w:szCs w:val="22"/>
          <w:lang w:val="en-GB"/>
        </w:rPr>
        <w:t>project hence the problems and their potential solutions are clearly understood by all stakeholders. The costed and targeted programme of actions contained in the Strategic Action Programme was endorsed at the intergovernmental level. This project will serve to implement the SAP at the regional level.</w:t>
      </w:r>
    </w:p>
    <w:p w14:paraId="6180A378" w14:textId="77777777" w:rsidR="008E6796" w:rsidRDefault="008E6796" w:rsidP="008E6796">
      <w:pPr>
        <w:numPr>
          <w:ilvl w:val="0"/>
          <w:numId w:val="3"/>
        </w:numPr>
        <w:spacing w:after="120"/>
        <w:ind w:left="0" w:firstLine="0"/>
        <w:jc w:val="both"/>
        <w:rPr>
          <w:sz w:val="22"/>
          <w:szCs w:val="22"/>
          <w:lang w:val="en-GB"/>
        </w:rPr>
      </w:pPr>
      <w:r w:rsidRPr="008E6796">
        <w:rPr>
          <w:sz w:val="22"/>
          <w:szCs w:val="22"/>
          <w:lang w:val="en-GB"/>
        </w:rPr>
        <w:t xml:space="preserve">What is lacking at the moment is a regional, long-lasting more formal arrangement to ensure continued implementation of the SAP and its periodic revision. A primary anticipated output of the present project will be to put in place a regionally approved more formal and long-lasting arrangement for the continued implementation of the SAP beyond the life-span of the project, including an appropriate instrument for regional co-operation and an approved mechanism to foster and maintain that co-operation. This approach is aligned with the GEF-5 International Waters Strategic Priority 2: Catalyze multi-state cooperation to rebuild marine fisheries and reduce pollution of coasts and Large Marine Ecosystems (LMEs) while considering climatic variability and change, and will contribute specifically to the achievement of the following </w:t>
      </w:r>
      <w:r w:rsidR="00C86B94">
        <w:rPr>
          <w:sz w:val="22"/>
          <w:szCs w:val="22"/>
          <w:lang w:val="en-GB"/>
        </w:rPr>
        <w:t xml:space="preserve">International Waters focal area </w:t>
      </w:r>
      <w:r w:rsidRPr="008E6796">
        <w:rPr>
          <w:sz w:val="22"/>
          <w:szCs w:val="22"/>
          <w:lang w:val="en-GB"/>
        </w:rPr>
        <w:t>outcomes:</w:t>
      </w:r>
      <w:r>
        <w:rPr>
          <w:sz w:val="22"/>
          <w:szCs w:val="22"/>
          <w:lang w:val="en-GB"/>
        </w:rPr>
        <w:t xml:space="preserve"> </w:t>
      </w:r>
    </w:p>
    <w:p w14:paraId="1F0C1833" w14:textId="77777777" w:rsidR="008E6796" w:rsidRPr="008E6796" w:rsidRDefault="008E6796" w:rsidP="004B053A">
      <w:pPr>
        <w:numPr>
          <w:ilvl w:val="0"/>
          <w:numId w:val="19"/>
        </w:numPr>
        <w:spacing w:after="120"/>
        <w:jc w:val="both"/>
        <w:rPr>
          <w:sz w:val="22"/>
          <w:szCs w:val="22"/>
          <w:lang w:val="en-GB"/>
        </w:rPr>
      </w:pPr>
      <w:r w:rsidRPr="008E6796">
        <w:rPr>
          <w:sz w:val="22"/>
          <w:szCs w:val="22"/>
          <w:lang w:val="en-GB"/>
        </w:rPr>
        <w:t>Outcome 2</w:t>
      </w:r>
      <w:r w:rsidR="00C86B94">
        <w:rPr>
          <w:sz w:val="22"/>
          <w:szCs w:val="22"/>
          <w:lang w:val="en-GB"/>
        </w:rPr>
        <w:t>.1</w:t>
      </w:r>
      <w:r w:rsidRPr="008E6796">
        <w:rPr>
          <w:sz w:val="22"/>
          <w:szCs w:val="22"/>
          <w:lang w:val="en-GB"/>
        </w:rPr>
        <w:t>: Implementation of agreed Strategic Action Programmes (SAPs) incorporates ecosystem-based approaches to management of LMEs, ICM principles, and policy/legal/ institutional reforms into national/local plans</w:t>
      </w:r>
    </w:p>
    <w:p w14:paraId="2E091BB1" w14:textId="77777777" w:rsidR="008E6796" w:rsidRPr="008E6796" w:rsidRDefault="008E6796" w:rsidP="004B053A">
      <w:pPr>
        <w:numPr>
          <w:ilvl w:val="0"/>
          <w:numId w:val="19"/>
        </w:numPr>
        <w:spacing w:after="120"/>
        <w:jc w:val="both"/>
        <w:rPr>
          <w:sz w:val="22"/>
          <w:szCs w:val="22"/>
          <w:lang w:val="en-GB"/>
        </w:rPr>
      </w:pPr>
      <w:r w:rsidRPr="008E6796">
        <w:rPr>
          <w:sz w:val="22"/>
          <w:szCs w:val="22"/>
          <w:lang w:val="en-GB"/>
        </w:rPr>
        <w:t>Outcome 2.2: Institutions for joint ecosystem-based and adaptive management for LMEs and local ICM frameworks demonstrate sustainability</w:t>
      </w:r>
    </w:p>
    <w:p w14:paraId="2E7833DD" w14:textId="77777777" w:rsidR="008E6796" w:rsidRPr="008E6796" w:rsidRDefault="008E6796" w:rsidP="004B053A">
      <w:pPr>
        <w:numPr>
          <w:ilvl w:val="0"/>
          <w:numId w:val="19"/>
        </w:numPr>
        <w:spacing w:after="120"/>
        <w:jc w:val="both"/>
        <w:rPr>
          <w:sz w:val="22"/>
          <w:szCs w:val="22"/>
          <w:lang w:val="en-GB"/>
        </w:rPr>
      </w:pPr>
      <w:r w:rsidRPr="008E6796">
        <w:rPr>
          <w:sz w:val="22"/>
          <w:szCs w:val="22"/>
          <w:lang w:val="en-GB"/>
        </w:rPr>
        <w:t>Outcome 2.3: Innovative solutions implemented for reduced pollution, rebuilding or protecting fish stocks with rights-based management, ICM, habitat (blue forest) restoration/conservation, and port management and produce measureable results</w:t>
      </w:r>
    </w:p>
    <w:p w14:paraId="546A619A" w14:textId="77777777" w:rsidR="008E6796" w:rsidRPr="00C86B94" w:rsidRDefault="008E6796" w:rsidP="004B053A">
      <w:pPr>
        <w:numPr>
          <w:ilvl w:val="0"/>
          <w:numId w:val="19"/>
        </w:numPr>
        <w:spacing w:after="120"/>
        <w:jc w:val="both"/>
        <w:rPr>
          <w:sz w:val="22"/>
          <w:szCs w:val="22"/>
          <w:lang w:val="en-GB"/>
        </w:rPr>
      </w:pPr>
      <w:r w:rsidRPr="008E6796">
        <w:rPr>
          <w:sz w:val="22"/>
          <w:szCs w:val="22"/>
          <w:lang w:val="en-GB"/>
        </w:rPr>
        <w:t>Outcome 2.4: Climatic variability and change at coasts and in LMEs incorporated into updated SAP to reflect adaptive management and ICM principles (including protection of “blue forests”)</w:t>
      </w:r>
    </w:p>
    <w:p w14:paraId="102F3341" w14:textId="77777777" w:rsidR="00C86B94" w:rsidRDefault="00C86B94" w:rsidP="00C86B94">
      <w:pPr>
        <w:numPr>
          <w:ilvl w:val="0"/>
          <w:numId w:val="3"/>
        </w:numPr>
        <w:spacing w:after="120"/>
        <w:ind w:left="0" w:firstLine="0"/>
        <w:jc w:val="both"/>
        <w:rPr>
          <w:sz w:val="22"/>
          <w:szCs w:val="22"/>
        </w:rPr>
      </w:pPr>
      <w:bookmarkStart w:id="76" w:name="_Toc209432650"/>
      <w:r w:rsidRPr="00C86B94">
        <w:rPr>
          <w:sz w:val="22"/>
          <w:szCs w:val="22"/>
        </w:rPr>
        <w:t xml:space="preserve">The project will also indirectly contribute to two GEF-5 Biodiversity Strategic Objectives, namely Strategic Objective 1 which focuses on improving the sustainability of Protected Area Systems, and Strategic Objective 2 which focuses on mainstreaming biodiversity in production landscapes/seascapes and sectors. </w:t>
      </w:r>
    </w:p>
    <w:p w14:paraId="7DCE0413" w14:textId="77777777" w:rsidR="00095DF6" w:rsidRDefault="00095DF6" w:rsidP="00095DF6">
      <w:pPr>
        <w:numPr>
          <w:ilvl w:val="0"/>
          <w:numId w:val="3"/>
        </w:numPr>
        <w:spacing w:after="120"/>
        <w:ind w:left="0" w:firstLine="0"/>
        <w:jc w:val="both"/>
        <w:rPr>
          <w:sz w:val="22"/>
          <w:szCs w:val="22"/>
        </w:rPr>
      </w:pPr>
      <w:r w:rsidRPr="00095DF6">
        <w:rPr>
          <w:sz w:val="22"/>
          <w:szCs w:val="22"/>
        </w:rPr>
        <w:t xml:space="preserve">The project will make significant contributions toward the achievement of the Aichi biodiversity strategic goals and targets. The project is </w:t>
      </w:r>
      <w:r>
        <w:rPr>
          <w:sz w:val="22"/>
          <w:szCs w:val="22"/>
        </w:rPr>
        <w:t xml:space="preserve">closely </w:t>
      </w:r>
      <w:r w:rsidRPr="00095DF6">
        <w:rPr>
          <w:sz w:val="22"/>
          <w:szCs w:val="22"/>
        </w:rPr>
        <w:t>aligned with Aichi Strategic Goal A ‘Address the underlying causes of biodiversity loss by mainstreaming biodiversity across government and society’. Project activities associated with the development of management plans for priority coastal habitat sites, the updating and adoption of national investment plans for land-based pollution, and the revision of the Transboundary Diagnostic Analysis and Strategic Action Programme for the South China Sea will make significant contributions to Aichi Targets 1, 2 and 4.</w:t>
      </w:r>
    </w:p>
    <w:p w14:paraId="637F4755" w14:textId="77777777" w:rsidR="00095DF6" w:rsidRDefault="00095DF6" w:rsidP="00095DF6">
      <w:pPr>
        <w:numPr>
          <w:ilvl w:val="0"/>
          <w:numId w:val="3"/>
        </w:numPr>
        <w:spacing w:after="120"/>
        <w:ind w:left="0" w:firstLine="0"/>
        <w:jc w:val="both"/>
        <w:rPr>
          <w:sz w:val="22"/>
          <w:szCs w:val="22"/>
        </w:rPr>
      </w:pPr>
      <w:r w:rsidRPr="00095DF6">
        <w:rPr>
          <w:sz w:val="22"/>
          <w:szCs w:val="22"/>
        </w:rPr>
        <w:t>The projects targets associated with the reducing the rate of degradation of coastal habitats and the management of land-based pollution are aligned squarely with Aichi Strategic Goal B ‘Reduce the direct pressures on biodiversity and promote sustainable use’. For example, the projects aims to establish appropriate forms of management for 860,000 ha of mangrove, sustainably manage 153,000 ha of coral reef, conserve 25,900 ha of coral reefs and establish integrated management of 783,900 ha of coastal wetlands (lagoons, estuaries, tidal flats, and peat and non-peat swamps). This will make a significant global contribution to Aichi Targets 5, 8 and 10. The targeted reduction in the decadal rate of live coral cover across 83 priority coral reef sites from 16 percent to 5 percent represents a globally significant contribution to Aichi target 10 relating to the reduction of anthropogenic pressures on coral reef ecosystems.</w:t>
      </w:r>
    </w:p>
    <w:p w14:paraId="24E08097" w14:textId="77777777" w:rsidR="00095DF6" w:rsidRDefault="00095DF6" w:rsidP="00095DF6">
      <w:pPr>
        <w:numPr>
          <w:ilvl w:val="0"/>
          <w:numId w:val="3"/>
        </w:numPr>
        <w:spacing w:after="120"/>
        <w:ind w:left="0" w:firstLine="0"/>
        <w:jc w:val="both"/>
        <w:rPr>
          <w:sz w:val="22"/>
          <w:szCs w:val="22"/>
        </w:rPr>
      </w:pPr>
      <w:r w:rsidRPr="00095DF6">
        <w:rPr>
          <w:sz w:val="22"/>
          <w:szCs w:val="22"/>
        </w:rPr>
        <w:t xml:space="preserve">A key guiding principle for the project identified during preparation, and outlined in the intervention strategy section of the Project Document, is the ‘Application of Marine Spatial Planning in Strategic Action Plan Implementation’ and is based firmly on: (a) the outcome document of Rio+20, entitled “The Future We Want”, in which world leaders reaffirmed the importance of area-based conservation measures, including marine protected areas, as a tool for the conservation of biological diversity and the sustainable use of its components; and (b) Aichi Biodiversity Target 11, which states that by 2020, 10 per cent of coastal and marine areas, especially areas of particular importance for biodiversity and ecosystem services, are to be conserved through effectively and equitably managed, ecologically representative and well-connected systems of protected areas and other effective area-based conservation measures.  </w:t>
      </w:r>
    </w:p>
    <w:p w14:paraId="53B1EC3C" w14:textId="77777777" w:rsidR="00095DF6" w:rsidRDefault="00095DF6" w:rsidP="00132162">
      <w:pPr>
        <w:numPr>
          <w:ilvl w:val="0"/>
          <w:numId w:val="3"/>
        </w:numPr>
        <w:spacing w:after="120"/>
        <w:ind w:left="0" w:firstLine="0"/>
        <w:jc w:val="both"/>
        <w:rPr>
          <w:sz w:val="22"/>
          <w:szCs w:val="22"/>
        </w:rPr>
      </w:pPr>
      <w:r w:rsidRPr="00095DF6">
        <w:rPr>
          <w:sz w:val="22"/>
          <w:szCs w:val="22"/>
        </w:rPr>
        <w:t>In this connection, project activities focused on establishing marine protected areas and other area-based conservation measures, and the effectiveness of management at these sites, will be undertaken within the broader, multi-sectoral planning context that Marine Spatial Planning approaches provide. This will improve collaboration amongst multiple users of the marine environment as a means to conserve marine and coastal biodiversity while at the same time addressing human needs, including livelihood considerations across coasts around estuaries and coral reefs, in near shore lagoon environments and mangroves and seagrass habitats. Accordingly, the project is aligned closely with the Aichi Strategic Goal C ‘To improve the status of biodiversity by safeguarding ecosystems, species and genetic diversity’.</w:t>
      </w:r>
    </w:p>
    <w:p w14:paraId="6BC0894B" w14:textId="77777777" w:rsidR="00095DF6" w:rsidRDefault="00095DF6" w:rsidP="00095DF6">
      <w:pPr>
        <w:numPr>
          <w:ilvl w:val="0"/>
          <w:numId w:val="3"/>
        </w:numPr>
        <w:spacing w:after="120"/>
        <w:ind w:left="0" w:firstLine="0"/>
        <w:jc w:val="both"/>
        <w:rPr>
          <w:sz w:val="22"/>
          <w:szCs w:val="22"/>
        </w:rPr>
      </w:pPr>
      <w:r w:rsidRPr="00095DF6">
        <w:rPr>
          <w:sz w:val="22"/>
          <w:szCs w:val="22"/>
        </w:rPr>
        <w:t>Coastal communities bordering the South China Sea are at the highest risk globally from the effects of continued degradation of the coastal and marine environment due to a high level of dependence on the goods and services of coastal ecosystems for nutritional security and livelihoods. The project is closely aligned with Aichi Strategic Goal D ‘Enhance the benefits to all from biodiversity and ecosystem services’. A key guiding principle identified during preparation, and outlined in the intervention strategy section of the Project Document, is ‘Facilitating Gender Mainstreaming in SAP Implementation’ which will ensure that considerations of women, men and vulnerable social groups are mainstreamed into project activities at all levels. Importantly, analyses of needs and the planning of management actions will ensure the equitable distribution of the benefits resulting from the restoration and safeguarding of ecosystems. Similarly, the project will result in significant levels of protection and restoration of ‘blue forests’, sustaining and increasing the capacity of these ecosystems to store carbon. Accordingly, the project will contribute to the achievement of Aichi targets 14 and 15, respectively.</w:t>
      </w:r>
    </w:p>
    <w:p w14:paraId="545FF7BC" w14:textId="77777777" w:rsidR="00095DF6" w:rsidRPr="00C86B94" w:rsidRDefault="00095DF6" w:rsidP="00095DF6">
      <w:pPr>
        <w:numPr>
          <w:ilvl w:val="0"/>
          <w:numId w:val="3"/>
        </w:numPr>
        <w:spacing w:after="120"/>
        <w:ind w:left="0" w:firstLine="0"/>
        <w:jc w:val="both"/>
        <w:rPr>
          <w:sz w:val="22"/>
          <w:szCs w:val="22"/>
        </w:rPr>
      </w:pPr>
      <w:r w:rsidRPr="00095DF6">
        <w:rPr>
          <w:sz w:val="22"/>
          <w:szCs w:val="22"/>
        </w:rPr>
        <w:t>The project is also aligned with Aichi Strategic Goal E ‘Enhance implementation through participatory planning, knowledge management and capacity building’. In the South China Sea, considerable pressures on coastal resources to sustain and increase GDP, complex socio-economic circumstances, and at times unstable political economies make locally-driven solutions to key issues influencing coastal sustainability and resilience a necessity. Institutional reform and mechanisms put in place by the project for the integration of communities in planning and decision-making will make a substantial contribution from the field of coastal and marine environmental management in East Asia to Aichi Target 18.  This SAP implementation initiative will also invest in developing the knowledge and human capital for science-based planning and the scaling-up of efforts to reduce environmental degradation rates and in doing so contributes to the achievement of Aichi Target 19.</w:t>
      </w:r>
    </w:p>
    <w:p w14:paraId="00AFB9F2" w14:textId="77777777" w:rsidR="00C86B94" w:rsidRDefault="00C86B94" w:rsidP="00C86B94">
      <w:pPr>
        <w:numPr>
          <w:ilvl w:val="0"/>
          <w:numId w:val="3"/>
        </w:numPr>
        <w:spacing w:after="120"/>
        <w:ind w:left="0" w:firstLine="0"/>
        <w:jc w:val="both"/>
        <w:rPr>
          <w:sz w:val="22"/>
          <w:szCs w:val="22"/>
        </w:rPr>
      </w:pPr>
      <w:r w:rsidRPr="00C86B94">
        <w:rPr>
          <w:sz w:val="22"/>
          <w:szCs w:val="22"/>
        </w:rPr>
        <w:t xml:space="preserve">The project will also make substantial contributions towards the achievement of the Sustainable Development Goals, specifically: (a) </w:t>
      </w:r>
      <w:r w:rsidRPr="00C86B94">
        <w:rPr>
          <w:b/>
          <w:sz w:val="22"/>
          <w:szCs w:val="22"/>
        </w:rPr>
        <w:t>Goal 1</w:t>
      </w:r>
      <w:r w:rsidRPr="00C86B94">
        <w:rPr>
          <w:sz w:val="22"/>
          <w:szCs w:val="22"/>
        </w:rPr>
        <w:t xml:space="preserve">: End poverty in all its forms everywhere – by ensuring that all men and women, in particular the poor and the vulnerable, have equal rights to natural resources, and by building the resilience of the poor and those in vulnerable situations via reducing their vulnerability to climate-related extreme events and other economic, social and environmental shocks and disasters; (b) </w:t>
      </w:r>
      <w:r w:rsidRPr="00C86B94">
        <w:rPr>
          <w:b/>
          <w:sz w:val="22"/>
          <w:szCs w:val="22"/>
        </w:rPr>
        <w:t>Goal 12</w:t>
      </w:r>
      <w:r w:rsidRPr="00C86B94">
        <w:rPr>
          <w:sz w:val="22"/>
          <w:szCs w:val="22"/>
        </w:rPr>
        <w:t xml:space="preserve">. Ensure sustainable consumption and production patterns – by contributing to the achievement of the sustainable management and efficient use of natural resources, and by supporting developing countries to strengthen their scientific and technological capacity to move towards more sustainable patterns of consumption and production; and (c) </w:t>
      </w:r>
      <w:r w:rsidRPr="00C86B94">
        <w:rPr>
          <w:b/>
          <w:sz w:val="22"/>
          <w:szCs w:val="22"/>
        </w:rPr>
        <w:t>Goal 14</w:t>
      </w:r>
      <w:r w:rsidRPr="00C86B94">
        <w:rPr>
          <w:sz w:val="22"/>
          <w:szCs w:val="22"/>
        </w:rPr>
        <w:t>. Conserve and sustainably use the oceans, seas and marine resources for sustainable development – by efforts aimed at sustainably managing and protecting marine and coastal ecosystems, conserving at least 10 per cent of coastal and marine areas, and by enhancing the conservation and sustainable use of oceans and their resources by implementing international law as reflected in UNCLOS, which provides the legal framework for the conservation and sustainable use of oceans and their resources, as recalled in paragraph 158 of ‘The Future We Want’.</w:t>
      </w:r>
    </w:p>
    <w:p w14:paraId="707D39CD" w14:textId="77777777" w:rsidR="00C86B94" w:rsidRDefault="00C86B94" w:rsidP="00A2067A">
      <w:pPr>
        <w:numPr>
          <w:ilvl w:val="0"/>
          <w:numId w:val="3"/>
        </w:numPr>
        <w:spacing w:after="120"/>
        <w:ind w:left="0" w:firstLine="0"/>
        <w:jc w:val="both"/>
        <w:rPr>
          <w:sz w:val="22"/>
          <w:szCs w:val="22"/>
        </w:rPr>
      </w:pPr>
      <w:r w:rsidRPr="00C86B94">
        <w:rPr>
          <w:sz w:val="22"/>
          <w:szCs w:val="22"/>
        </w:rPr>
        <w:t>At the regional level, the project is aligned with COBSEA’s Strategic Direction which focusses on the following thematic areas: i) marine and land based pollution; ii) coastal and marine habitat conservation; and iii) management and response to coastal disasters. This project will directly support and contribute to these thematic areas as well as to COBSEA’s regional strategic approach which is built on the four operative and interlinked components: a) information management (including state of the marine environment); b) national capacity building (including knowledge and experience transfer); c) strategic and emerging issues (especially those that will emerge as affecting or being affected by environment and ecosystems changes and their respective response measures); d) r</w:t>
      </w:r>
      <w:r w:rsidR="00A2067A">
        <w:rPr>
          <w:sz w:val="22"/>
          <w:szCs w:val="22"/>
        </w:rPr>
        <w:t>egional cooperation. Hence, this p</w:t>
      </w:r>
      <w:r w:rsidRPr="00C86B94">
        <w:rPr>
          <w:sz w:val="22"/>
          <w:szCs w:val="22"/>
        </w:rPr>
        <w:t>roject’s objectives and activities will directly contribute to UNEP’s regional priorities.</w:t>
      </w:r>
    </w:p>
    <w:p w14:paraId="0F1F52DB" w14:textId="77777777" w:rsidR="00A9681B" w:rsidRDefault="00A2067A" w:rsidP="00A9681B">
      <w:pPr>
        <w:numPr>
          <w:ilvl w:val="0"/>
          <w:numId w:val="3"/>
        </w:numPr>
        <w:suppressLineNumbers/>
        <w:suppressAutoHyphens/>
        <w:spacing w:after="120"/>
        <w:ind w:left="0" w:right="29" w:firstLine="0"/>
        <w:jc w:val="both"/>
        <w:rPr>
          <w:color w:val="000000"/>
          <w:sz w:val="22"/>
          <w:szCs w:val="22"/>
          <w:lang w:val="en-GB" w:eastAsia="en-GB"/>
        </w:rPr>
      </w:pPr>
      <w:r w:rsidRPr="00F91284">
        <w:rPr>
          <w:color w:val="000000"/>
          <w:sz w:val="22"/>
          <w:szCs w:val="22"/>
          <w:lang w:val="en-GB" w:eastAsia="en-GB"/>
        </w:rPr>
        <w:t>The global environmental benefits derived from successful achievement of the targets of the SAP can be measured in terms of the areas of critical coastal habitats placed under sustainable management or more restricted uses in marine protected areas; and the numbers of species that these systems continue to support. For example, if the current rate of mangrove loss of 1.6% per annum can be halted or even reduced by 50%, and the decadal rate of loss in live coral cover can be reduced from 16% to 5% as specified in the targets of the SAP, then significant global environmental benefits will be achieved in the sense that significant losses of biodiversity will have been avoided. Similar losses will be avoided in the case of seagrass although as a consequence of the inadequate data and information base it is not possible to quantify the benefits in a comparable manner. Avoidance of any such losses of habitats at the global centre of shallow-water marine biological diversity represents a significant if unquantifiable global environmental benefit.</w:t>
      </w:r>
      <w:r w:rsidR="000E6F8F">
        <w:rPr>
          <w:color w:val="000000"/>
          <w:sz w:val="22"/>
          <w:szCs w:val="22"/>
          <w:lang w:val="en-GB" w:eastAsia="en-GB"/>
        </w:rPr>
        <w:t xml:space="preserve"> The following </w:t>
      </w:r>
      <w:r w:rsidR="00C74EA2">
        <w:rPr>
          <w:color w:val="000000"/>
          <w:sz w:val="22"/>
          <w:szCs w:val="22"/>
          <w:lang w:val="en-GB" w:eastAsia="en-GB"/>
        </w:rPr>
        <w:t xml:space="preserve">nine (9) </w:t>
      </w:r>
      <w:r w:rsidR="000E6F8F">
        <w:rPr>
          <w:color w:val="000000"/>
          <w:sz w:val="22"/>
          <w:szCs w:val="22"/>
          <w:lang w:val="en-GB" w:eastAsia="en-GB"/>
        </w:rPr>
        <w:t xml:space="preserve">guiding principles and strategic considerations for </w:t>
      </w:r>
      <w:r w:rsidR="00C74EA2">
        <w:rPr>
          <w:color w:val="000000"/>
          <w:sz w:val="22"/>
          <w:szCs w:val="22"/>
          <w:lang w:val="en-GB" w:eastAsia="en-GB"/>
        </w:rPr>
        <w:t>the project</w:t>
      </w:r>
      <w:r w:rsidR="000E6F8F">
        <w:rPr>
          <w:color w:val="000000"/>
          <w:sz w:val="22"/>
          <w:szCs w:val="22"/>
          <w:lang w:val="en-GB" w:eastAsia="en-GB"/>
        </w:rPr>
        <w:t xml:space="preserve"> were identified during the project’s conceptualisation and preparation phases:</w:t>
      </w:r>
    </w:p>
    <w:p w14:paraId="3FBA516F" w14:textId="77777777" w:rsidR="000E6F8F" w:rsidRDefault="00E46183" w:rsidP="0071562F">
      <w:pPr>
        <w:numPr>
          <w:ilvl w:val="0"/>
          <w:numId w:val="3"/>
        </w:numPr>
        <w:suppressLineNumbers/>
        <w:suppressAutoHyphens/>
        <w:spacing w:after="120"/>
        <w:ind w:left="0" w:right="29" w:firstLine="0"/>
        <w:jc w:val="both"/>
        <w:rPr>
          <w:color w:val="000000"/>
          <w:sz w:val="22"/>
          <w:szCs w:val="22"/>
          <w:lang w:val="en-GB" w:eastAsia="en-GB"/>
        </w:rPr>
      </w:pPr>
      <w:r w:rsidRPr="0071562F">
        <w:rPr>
          <w:b/>
          <w:color w:val="000000"/>
          <w:sz w:val="22"/>
          <w:szCs w:val="22"/>
          <w:lang w:val="en-GB" w:eastAsia="en-GB"/>
        </w:rPr>
        <w:t>(i) Catalysing Community Action via Locally Driven Solutions:</w:t>
      </w:r>
      <w:r w:rsidRPr="00E46183">
        <w:rPr>
          <w:color w:val="000000"/>
          <w:sz w:val="22"/>
          <w:szCs w:val="22"/>
          <w:lang w:val="en-GB" w:eastAsia="en-GB"/>
        </w:rPr>
        <w:t xml:space="preserve"> The Transboundary Water Assessment Programme has recently confirmed the well-known challenges communities of the South China Sea face in fashioning sustainable futures (IOC-UNESCO and UNEP, 2016). These include high levels of dependence on natural resources for nutritional security and livelihoods, a disproportionately high percentage of the world’s population residing in coastal areas</w:t>
      </w:r>
      <w:r w:rsidR="00C74EA2">
        <w:rPr>
          <w:color w:val="000000"/>
          <w:sz w:val="22"/>
          <w:szCs w:val="22"/>
          <w:lang w:val="en-GB" w:eastAsia="en-GB"/>
        </w:rPr>
        <w:t xml:space="preserve"> of the basin</w:t>
      </w:r>
      <w:r w:rsidRPr="00E46183">
        <w:rPr>
          <w:color w:val="000000"/>
          <w:sz w:val="22"/>
          <w:szCs w:val="22"/>
          <w:lang w:val="en-GB" w:eastAsia="en-GB"/>
        </w:rPr>
        <w:t>, and a highly variable environment characterised by numerous coastal hazards. The above combined with considerable pressures on coastal resources to sustain and increase GDP, complex socio-economic circumstances, and at times unstable political economies make locally-driven solutions to key issues influencing coastal sustainability and resilience a necessity. Of particular note are the complex land and marine tenure systems and institutional relationships between national and community-based governance structures. While the participating countries have largely adopted western-style constitutions and legal systems, such community-based governance and leadership arrangements remain highly influential at all levels. Accordingly, the participation of civil society organisations and community leaders in development planning is essential to increase the local relevance of management actions and their results, particularly within the context of SAP implementation.</w:t>
      </w:r>
    </w:p>
    <w:p w14:paraId="69D2D9CD" w14:textId="77777777" w:rsidR="00E46183" w:rsidRDefault="00C74EA2" w:rsidP="0071562F">
      <w:pPr>
        <w:numPr>
          <w:ilvl w:val="0"/>
          <w:numId w:val="3"/>
        </w:numPr>
        <w:suppressLineNumbers/>
        <w:suppressAutoHyphens/>
        <w:spacing w:after="120"/>
        <w:ind w:left="0" w:right="29" w:firstLine="0"/>
        <w:jc w:val="both"/>
        <w:rPr>
          <w:color w:val="000000"/>
          <w:sz w:val="22"/>
          <w:szCs w:val="22"/>
          <w:lang w:val="en-GB" w:eastAsia="en-GB"/>
        </w:rPr>
      </w:pPr>
      <w:r w:rsidRPr="0071562F">
        <w:rPr>
          <w:b/>
          <w:color w:val="000000"/>
          <w:sz w:val="22"/>
          <w:szCs w:val="22"/>
          <w:lang w:val="en-GB" w:eastAsia="en-GB"/>
        </w:rPr>
        <w:t>(ii) Resolving Problems by Negotiating Outwards:</w:t>
      </w:r>
      <w:r w:rsidRPr="00C74EA2">
        <w:rPr>
          <w:color w:val="000000"/>
          <w:sz w:val="22"/>
          <w:szCs w:val="22"/>
          <w:lang w:val="en-GB" w:eastAsia="en-GB"/>
        </w:rPr>
        <w:t xml:space="preserve"> This principle seeks to guide problem solving or imbalances within</w:t>
      </w:r>
      <w:r w:rsidR="0071562F">
        <w:rPr>
          <w:color w:val="000000"/>
          <w:sz w:val="22"/>
          <w:szCs w:val="22"/>
          <w:lang w:val="en-GB" w:eastAsia="en-GB"/>
        </w:rPr>
        <w:t xml:space="preserve"> and between</w:t>
      </w:r>
      <w:r w:rsidRPr="00C74EA2">
        <w:rPr>
          <w:color w:val="000000"/>
          <w:sz w:val="22"/>
          <w:szCs w:val="22"/>
          <w:lang w:val="en-GB" w:eastAsia="en-GB"/>
        </w:rPr>
        <w:t xml:space="preserve"> jurisdictions by allowing discussions to facilitate consensus building at one level and working towards the mainstreaming of agreements or decisions by larger entities or jurisdictions, at for example the country and/or regional levels. The implementation of this principle provides each jurisdiction the necessary freedom to define the nature of its activities to meet local needs and explore opportunities which may b</w:t>
      </w:r>
      <w:r w:rsidR="0071562F">
        <w:rPr>
          <w:color w:val="000000"/>
          <w:sz w:val="22"/>
          <w:szCs w:val="22"/>
          <w:lang w:val="en-GB" w:eastAsia="en-GB"/>
        </w:rPr>
        <w:t>e unique to particular a location or</w:t>
      </w:r>
      <w:r w:rsidRPr="00C74EA2">
        <w:rPr>
          <w:color w:val="000000"/>
          <w:sz w:val="22"/>
          <w:szCs w:val="22"/>
          <w:lang w:val="en-GB" w:eastAsia="en-GB"/>
        </w:rPr>
        <w:t xml:space="preserve"> municipality</w:t>
      </w:r>
      <w:r w:rsidR="0071562F">
        <w:rPr>
          <w:color w:val="000000"/>
          <w:sz w:val="22"/>
          <w:szCs w:val="22"/>
          <w:lang w:val="en-GB" w:eastAsia="en-GB"/>
        </w:rPr>
        <w:t xml:space="preserve"> for example</w:t>
      </w:r>
      <w:r w:rsidRPr="00C74EA2">
        <w:rPr>
          <w:color w:val="000000"/>
          <w:sz w:val="22"/>
          <w:szCs w:val="22"/>
          <w:lang w:val="en-GB" w:eastAsia="en-GB"/>
        </w:rPr>
        <w:t>. Inherent in the approach is the philosophy of cross-sectorial coordination in the planning and management associated with, for example, the balancing of coastal livelihoods and biodiversity conservation or convincing provincial planners of the importance of mangroves from a hazard risk reduction perspective rather than swamplands suitable only for conversion for coastal infrastructure development or the expansion of coastal aquaculture. The approach also acknowledges the need for more ‘community to cabinet’ type planning which fosters the integration of communities, stakeholders within cross-sectorial planning frameworks. The approach overall emphasizes the effective engagement and participation of stakeholders in the planning, implementation, and monitoring and evaluation of initiatives aimed at fostering integrated approaches to natural resource and environmental management</w:t>
      </w:r>
      <w:r w:rsidR="000B3D51">
        <w:rPr>
          <w:rStyle w:val="FootnoteReference"/>
          <w:color w:val="000000"/>
          <w:sz w:val="22"/>
          <w:szCs w:val="22"/>
          <w:lang w:val="en-GB" w:eastAsia="en-GB"/>
        </w:rPr>
        <w:footnoteReference w:id="59"/>
      </w:r>
      <w:r w:rsidRPr="00C74EA2">
        <w:rPr>
          <w:color w:val="000000"/>
          <w:sz w:val="22"/>
          <w:szCs w:val="22"/>
          <w:lang w:val="en-GB" w:eastAsia="en-GB"/>
        </w:rPr>
        <w:t>.</w:t>
      </w:r>
    </w:p>
    <w:p w14:paraId="58FA7C71" w14:textId="77777777" w:rsidR="00C74EA2" w:rsidRDefault="00C74EA2" w:rsidP="0071562F">
      <w:pPr>
        <w:numPr>
          <w:ilvl w:val="0"/>
          <w:numId w:val="3"/>
        </w:numPr>
        <w:suppressLineNumbers/>
        <w:suppressAutoHyphens/>
        <w:spacing w:after="120"/>
        <w:ind w:left="0" w:right="29" w:firstLine="0"/>
        <w:jc w:val="both"/>
        <w:rPr>
          <w:color w:val="000000"/>
          <w:sz w:val="22"/>
          <w:szCs w:val="22"/>
          <w:lang w:val="en-GB" w:eastAsia="en-GB"/>
        </w:rPr>
      </w:pPr>
      <w:r w:rsidRPr="0071562F">
        <w:rPr>
          <w:b/>
          <w:color w:val="000000"/>
          <w:sz w:val="22"/>
          <w:szCs w:val="22"/>
          <w:lang w:val="en-GB" w:eastAsia="en-GB"/>
        </w:rPr>
        <w:t>(iii) Facilitating Gender Mainstreaming in SAP Implementation:</w:t>
      </w:r>
      <w:r w:rsidRPr="00C74EA2">
        <w:rPr>
          <w:color w:val="000000"/>
          <w:sz w:val="22"/>
          <w:szCs w:val="22"/>
          <w:lang w:val="en-GB" w:eastAsia="en-GB"/>
        </w:rPr>
        <w:t xml:space="preserve"> Assessing the different implications of project activities, consultative processes, management decisions, and policy reforms for women, men and vulnerable social groups is central to mainstreaming gender. Valuing the diversity among these groups involves the process of integrating their different needs into development planning and decision-making process. It is an attempt to take gender equality and social inclusion issues into the ‘mainstream’ of the project’s results framework and activities. Given the anticipated results of this project in terms of environmental stress reduction, improvement in environmental state and associated livelihood and nutritional security benefits, it is critical that decisions on planning issues and the design of management measures are arrived at through the participation of men and women, and ensure the equitable distribution of the resulting benefits. Improving gender and diversity mainstreaming means increasing attention to gender perspectives and the goal of gender equality, and strives to enhance the appropriate inclusion of women and men at all levels. To ensure best practice in this area, this project will: advance gender equality and social inclusion (gender awareness); balance women and men’s participation in decision-making; reflect the different roles and responsibilities of men and women and the different values they may hold; strive for inclusiveness, cooperation and partnerships; document how gender and diversity issues were made central to project implementation; and provide for appropriate gender mainstreaming opportunities at all levels (planning, management, and monitoring and evaluation).</w:t>
      </w:r>
    </w:p>
    <w:p w14:paraId="1C84D544" w14:textId="77777777" w:rsidR="00C74EA2" w:rsidRDefault="00C74EA2" w:rsidP="0071562F">
      <w:pPr>
        <w:numPr>
          <w:ilvl w:val="0"/>
          <w:numId w:val="3"/>
        </w:numPr>
        <w:suppressLineNumbers/>
        <w:suppressAutoHyphens/>
        <w:spacing w:after="120"/>
        <w:ind w:left="0" w:right="29" w:firstLine="0"/>
        <w:jc w:val="both"/>
        <w:rPr>
          <w:color w:val="000000"/>
          <w:sz w:val="22"/>
          <w:szCs w:val="22"/>
          <w:lang w:val="en-GB" w:eastAsia="en-GB"/>
        </w:rPr>
      </w:pPr>
      <w:r w:rsidRPr="0071562F">
        <w:rPr>
          <w:b/>
          <w:color w:val="000000"/>
          <w:sz w:val="22"/>
          <w:szCs w:val="22"/>
          <w:lang w:val="en-GB" w:eastAsia="en-GB"/>
        </w:rPr>
        <w:t>(iv) Application of Marine Spatial Planning in SAP Implementation:</w:t>
      </w:r>
      <w:r w:rsidRPr="00C74EA2">
        <w:rPr>
          <w:color w:val="000000"/>
          <w:sz w:val="22"/>
          <w:szCs w:val="22"/>
          <w:lang w:val="en-GB" w:eastAsia="en-GB"/>
        </w:rPr>
        <w:t xml:space="preserve"> In the outcome document of Rio+20, entitled “The Future We Want”, world leaders reaffirmed the importance of area-based conservation measures, including marine protected areas, as a tool for the conservation of biological diversity and the sustainable use of its components. They noted Aichi Biodiversity Target 11, which states that by 2020, 10 per cent of coastal and marine areas, especially areas of particular importance for biodiversity and ecosystem services, are to be conserved through effectively and equitably managed, ecologically representative and well-connected systems of protected areas and other effective area-based conservation measures. It has been identified that much of the success in this effort from a biodiversity perspective will depend on the degree to which these protected areas are situated within a broader, multi-sectoral planning context. The GEF Council has identified that marine spatial planning represents an important step in improving collaboration amongst multiple users of the marine environment as a means to conserve marine and coastal biodiversity while at the same time addressing human needs, including livelihood considerations across coasts around estuaries and coral reefs, in near shore lagoon environments and mangroves and seagrass habitats. In addressing such issues in the South China Sea, this SAP implementation initiative will apply a marine spatial planning approach for reconciling sectoral interests while balancing biodiversity considerations. Specifically the approach will draw on recommendations and guidance on marine spatial planning promoted by the Secretariat of the Convention on Biological Diversity and the GEF’s Scientific and Technical Advisory Panel.</w:t>
      </w:r>
    </w:p>
    <w:p w14:paraId="2EF65FDB" w14:textId="77777777" w:rsidR="00874E2B" w:rsidRDefault="00874E2B" w:rsidP="0071562F">
      <w:pPr>
        <w:numPr>
          <w:ilvl w:val="0"/>
          <w:numId w:val="3"/>
        </w:numPr>
        <w:suppressLineNumbers/>
        <w:suppressAutoHyphens/>
        <w:spacing w:after="120"/>
        <w:ind w:left="0" w:right="29" w:firstLine="0"/>
        <w:jc w:val="both"/>
        <w:rPr>
          <w:color w:val="000000"/>
          <w:sz w:val="22"/>
          <w:szCs w:val="22"/>
          <w:lang w:val="en-GB" w:eastAsia="en-GB"/>
        </w:rPr>
      </w:pPr>
      <w:r w:rsidRPr="0071562F">
        <w:rPr>
          <w:b/>
          <w:color w:val="000000"/>
          <w:sz w:val="22"/>
          <w:szCs w:val="22"/>
          <w:lang w:val="en-GB" w:eastAsia="en-GB"/>
        </w:rPr>
        <w:t>(v) Supporting Results Oriented Planning and Action:</w:t>
      </w:r>
      <w:r w:rsidRPr="00874E2B">
        <w:rPr>
          <w:color w:val="000000"/>
          <w:sz w:val="22"/>
          <w:szCs w:val="22"/>
          <w:lang w:val="en-GB" w:eastAsia="en-GB"/>
        </w:rPr>
        <w:t xml:space="preserve"> The need for results-based approaches to the management of development assistance programmes and projects has received recent high-level recognition. In adopting the Paris Declaration on Aid Effectiveness in 2005, national government Ministers responsible for development from both developed and developing countries joined with Heads of multilateral and bilateral development institutions in committing to “work together in a participatory approach to strengthen country capacities and demand for results-based management”. This commitment was reaffirmed in the 2008 Accra Agenda for Action which called for accelerated progress on aid effectiveness by better demonstrating the results of development efforts and openly accounting for them. The Southeast Asian region and its development partners have responded accordingly. The region’s leaders have called for more results-oriented approaches to development in many regional and global fora across a range of sectors, including the environment. Similarly, Southeast Asia’s multilateral and bilateral development partners and donors, including inter alia the Global Environment Facility, the European Commission, and the development aid agencies </w:t>
      </w:r>
      <w:r>
        <w:rPr>
          <w:color w:val="000000"/>
          <w:sz w:val="22"/>
          <w:szCs w:val="22"/>
          <w:lang w:val="en-GB" w:eastAsia="en-GB"/>
        </w:rPr>
        <w:t>of Australia, New Zealand</w:t>
      </w:r>
      <w:r w:rsidRPr="00874E2B">
        <w:rPr>
          <w:color w:val="000000"/>
          <w:sz w:val="22"/>
          <w:szCs w:val="22"/>
          <w:lang w:val="en-GB" w:eastAsia="en-GB"/>
        </w:rPr>
        <w:t xml:space="preserve"> and the United States of America are guided by their own results-based management policies. This project will foster a results oriented approach to SAP implementation and will develop an innovative approach to align SAP implementation results reporting with Sustainable Development Goals targets.</w:t>
      </w:r>
    </w:p>
    <w:p w14:paraId="3CC81958" w14:textId="77777777" w:rsidR="00874E2B" w:rsidRDefault="00874E2B" w:rsidP="0071562F">
      <w:pPr>
        <w:numPr>
          <w:ilvl w:val="0"/>
          <w:numId w:val="3"/>
        </w:numPr>
        <w:suppressLineNumbers/>
        <w:suppressAutoHyphens/>
        <w:spacing w:after="120"/>
        <w:ind w:left="0" w:right="29" w:firstLine="0"/>
        <w:jc w:val="both"/>
        <w:rPr>
          <w:color w:val="000000"/>
          <w:sz w:val="22"/>
          <w:szCs w:val="22"/>
          <w:lang w:val="en-GB" w:eastAsia="en-GB"/>
        </w:rPr>
      </w:pPr>
      <w:r>
        <w:rPr>
          <w:b/>
          <w:color w:val="000000"/>
          <w:sz w:val="22"/>
          <w:szCs w:val="22"/>
          <w:lang w:val="en-GB" w:eastAsia="en-GB"/>
        </w:rPr>
        <w:t xml:space="preserve">(vi) </w:t>
      </w:r>
      <w:r w:rsidRPr="0071562F">
        <w:rPr>
          <w:b/>
          <w:color w:val="000000"/>
          <w:sz w:val="22"/>
          <w:szCs w:val="22"/>
          <w:lang w:val="en-GB" w:eastAsia="en-GB"/>
        </w:rPr>
        <w:t>Integrating Climate Variability and Change Considerations in National and Regional Planning:</w:t>
      </w:r>
      <w:r w:rsidRPr="00874E2B">
        <w:rPr>
          <w:color w:val="000000"/>
          <w:sz w:val="22"/>
          <w:szCs w:val="22"/>
          <w:lang w:val="en-GB" w:eastAsia="en-GB"/>
        </w:rPr>
        <w:t xml:space="preserve"> Coastal communities of the South China Sea riparian countries live in and continuously adapt to dynamic and often difficult climatic environments. Shallow tropical marine environments such as the coastal areas of the South China Sea are inherently vulnerable to the extremes of climate variability, and this vulnerability has compelled East Asia’s coastal communities over time to build a level of resilience to extreme weather events. However today, population growth and social changes have created a situation where many communities are far less prepared for the floods, extended droughts, and storms that remain an ongoing feature of the region. In this regard, the uncertainty and extremes of climate variability compound and exacerbate the social and economic challenges faced by coastal communities of East Asia. Large-scale features such as the Inter-tropical Convergence Zone and the West Pacific Monsoon drive the seasonal variations in rainfall experienced by Pacific Island Countries, including wet and dry seasons. Together, they influence rainfall, winds, tropical cyclones, ocean currents and other aspects of the weather and climate. While these features drive the wet and dry seasons experienced annually in most of the riparian countries of the South China, the single greatest factor affecting climate variability from year to year is the El Niño/La Niña Southern Oscillation, or ENSO. This cycle of warming and cooling of sea surface temperatures of the Western Pacific has a profound effect on the hydrological cycle of East Asian countries, driving periods of drought and elevated rainfall across the region. The effects of the ENSO cycle are not restricted to drought. It is also a driver of periods of elevated rainfall and rainfall intensity, and plays a role in both suppressing and stimulating the propagation and severity of tropical cyclones, all of which have significant impacts on the people and economies of coastal communities. However, while regional understanding of climate variability and change has improved considerably over the past years, this improvement has not translated into a corresponding increase in community resilience. This SAP implementation project will address this imbalance through targeted efforts to integrate climate variability and change considerations into national action planning and the revision of the costed Strategic Action Programme for the South China Sea.</w:t>
      </w:r>
    </w:p>
    <w:p w14:paraId="63811511" w14:textId="77777777" w:rsidR="00874E2B" w:rsidRDefault="00874E2B" w:rsidP="0071562F">
      <w:pPr>
        <w:numPr>
          <w:ilvl w:val="0"/>
          <w:numId w:val="3"/>
        </w:numPr>
        <w:suppressLineNumbers/>
        <w:suppressAutoHyphens/>
        <w:spacing w:after="120"/>
        <w:ind w:left="0" w:right="29" w:firstLine="0"/>
        <w:jc w:val="both"/>
        <w:rPr>
          <w:color w:val="000000"/>
          <w:sz w:val="22"/>
          <w:szCs w:val="22"/>
          <w:lang w:val="en-GB" w:eastAsia="en-GB"/>
        </w:rPr>
      </w:pPr>
      <w:r w:rsidRPr="0071562F">
        <w:rPr>
          <w:b/>
          <w:color w:val="000000"/>
          <w:sz w:val="22"/>
          <w:szCs w:val="22"/>
          <w:lang w:val="en-GB" w:eastAsia="en-GB"/>
        </w:rPr>
        <w:t>(vii) Investing in Knowledge and Human Capital:</w:t>
      </w:r>
      <w:r w:rsidRPr="00874E2B">
        <w:rPr>
          <w:color w:val="000000"/>
          <w:sz w:val="22"/>
          <w:szCs w:val="22"/>
          <w:lang w:val="en-GB" w:eastAsia="en-GB"/>
        </w:rPr>
        <w:t xml:space="preserve"> Support for country capacity development is an integral part of the GEF, with a focus on strengthening the capacities of countries to manage their priority environmental issues and contribute to global environmental benefits. It has also been identified by Southeast Asia leaders as a priority concern and was reflected in the 1999 framework Strategic Action Programmme (SAP) and the inter-governmentally endorsed 2008 SAP for the South China Sea. Over recent years the GEF has provided the participating countries with support to conduct a National Capacity Self-Assessment of national capacity needs and to develop capacity action plans. These assessments and plans identified the need for capacity development to: improve the harmonization sectoral legislation and governance frameworks to support integrated management approaches; make timely and cost effective use of financial resources available to the environment and natural resource sectors; enhance research and monitoring capabilities, including strengthened national data and information systems; strengthen human resource capabilities and retain skilled practitioners; improve institutional coordination; and to enhance awareness of priority threats to national significantly coastal areas, particularly from the perspective of the risks coastal communities face as a result of continued degradation of the coastal and marine environment. This SAP implementation initiative will address these needs via a regionally coordinated programme of investments in building the knowledge base for planning, action, and monitoring and evaluation.</w:t>
      </w:r>
    </w:p>
    <w:p w14:paraId="6A120DAE" w14:textId="77777777" w:rsidR="00874E2B" w:rsidRDefault="00874E2B" w:rsidP="0071562F">
      <w:pPr>
        <w:numPr>
          <w:ilvl w:val="0"/>
          <w:numId w:val="3"/>
        </w:numPr>
        <w:suppressLineNumbers/>
        <w:suppressAutoHyphens/>
        <w:spacing w:after="120"/>
        <w:ind w:left="0" w:right="29" w:firstLine="0"/>
        <w:jc w:val="both"/>
        <w:rPr>
          <w:color w:val="000000"/>
          <w:sz w:val="22"/>
          <w:szCs w:val="22"/>
          <w:lang w:val="en-GB" w:eastAsia="en-GB"/>
        </w:rPr>
      </w:pPr>
      <w:r w:rsidRPr="0071562F">
        <w:rPr>
          <w:b/>
          <w:color w:val="000000"/>
          <w:sz w:val="22"/>
          <w:szCs w:val="22"/>
          <w:lang w:val="en-GB" w:eastAsia="en-GB"/>
        </w:rPr>
        <w:t>(viii) Effectively Communicating the Benefits of Integration and Lessons Learned:</w:t>
      </w:r>
      <w:r w:rsidRPr="00874E2B">
        <w:rPr>
          <w:color w:val="000000"/>
          <w:sz w:val="22"/>
          <w:szCs w:val="22"/>
          <w:lang w:val="en-GB" w:eastAsia="en-GB"/>
        </w:rPr>
        <w:t xml:space="preserve"> Global experience in integrated natural resource and environmental management has shown that efforts to promote integrated approaches to natural resource and environmental management are initially vulnerable fledglings when introduced at national and sub-national units of government, and as such, at the mercy of the bureaucratic pecking order. In order for efforts to survive and grow, national-level leaders of such processes need to be able to effectively communicate the benefits of such integrated approaches across a broad range of government agencies and local institutions in order to convince government and community leaders that it is in their self-interest to voluntarily coordinate across areas such as: (1) policy and development planning; (2) investment in efforts to reduce stress on natural resources and improve environmental state; and (3) strengthening community engagement in management. Effective communications and use of the media has been identified by various evaluations as being an essential element of success in stimulating reform, specifically through awareness raising, stimulating support for necessary policy and legal reforms, and for global outreach with development partners and donors. This SAP implementation initiative will a adopt innovative approaches, including strong linkages with GEF:IWLEARN and LME:LEARN,  in ensuring that best practices generated through national management interventions and national and regional policy development process are captured, shared and effectively communicated to best guide the longer-term sustainability and scaling-up of investments.</w:t>
      </w:r>
    </w:p>
    <w:p w14:paraId="51A3CA9D" w14:textId="77777777" w:rsidR="00874E2B" w:rsidRPr="00A9681B" w:rsidRDefault="00874E2B" w:rsidP="0071562F">
      <w:pPr>
        <w:numPr>
          <w:ilvl w:val="0"/>
          <w:numId w:val="3"/>
        </w:numPr>
        <w:suppressLineNumbers/>
        <w:suppressAutoHyphens/>
        <w:spacing w:after="120"/>
        <w:ind w:left="0" w:right="29" w:firstLine="0"/>
        <w:jc w:val="both"/>
        <w:rPr>
          <w:color w:val="000000"/>
          <w:sz w:val="22"/>
          <w:szCs w:val="22"/>
          <w:lang w:val="en-GB" w:eastAsia="en-GB"/>
        </w:rPr>
      </w:pPr>
      <w:r w:rsidRPr="0071562F">
        <w:rPr>
          <w:b/>
          <w:color w:val="000000"/>
          <w:sz w:val="22"/>
          <w:szCs w:val="22"/>
          <w:lang w:val="en-GB" w:eastAsia="en-GB"/>
        </w:rPr>
        <w:t>(ix) Promoting Public-Private Partnerships:</w:t>
      </w:r>
      <w:r w:rsidRPr="00874E2B">
        <w:rPr>
          <w:color w:val="000000"/>
          <w:sz w:val="22"/>
          <w:szCs w:val="22"/>
          <w:lang w:val="en-GB" w:eastAsia="en-GB"/>
        </w:rPr>
        <w:t xml:space="preserve"> Policy-makers of the Southeast Asian region increasingly recognize the importance of the private sector in the sustainable development of coastal communities, particularly from the perspective of the growing need for commercially viable activities that simultaneously deliver local and global environmental benefits. While it is acknowledged that the priorities of the public and private sectors are often quite different, this project promotes the development of public-private partnerships aimed at leveraging their respective interests for innovation and impact. This is considered central to the financial sustainability of the programmatic approach of this initiative, particularly from the perspective of coordinated investment in national action plan implementation and the updated Strategic Action Programme for the South China Sea to be developed through this initiative. A consultative approach to identifying opportunities for private sector investment will be adopted, including regional investment forums to facilitate cooperation with the private sector and donors on investment in SAP implementation.</w:t>
      </w:r>
    </w:p>
    <w:p w14:paraId="13A0D349" w14:textId="77777777" w:rsidR="00F07F81" w:rsidRDefault="00F07F81">
      <w:pPr>
        <w:spacing w:after="120"/>
        <w:outlineLvl w:val="1"/>
        <w:rPr>
          <w:b/>
          <w:sz w:val="22"/>
          <w:szCs w:val="22"/>
          <w:lang w:val="en-GB"/>
        </w:rPr>
      </w:pPr>
      <w:r>
        <w:rPr>
          <w:b/>
          <w:sz w:val="22"/>
          <w:szCs w:val="22"/>
          <w:lang w:val="en-GB"/>
        </w:rPr>
        <w:t>3.2.</w:t>
      </w:r>
      <w:r>
        <w:rPr>
          <w:b/>
          <w:sz w:val="22"/>
          <w:szCs w:val="22"/>
          <w:lang w:val="en-GB"/>
        </w:rPr>
        <w:tab/>
        <w:t>Project goal and objective</w:t>
      </w:r>
      <w:bookmarkEnd w:id="76"/>
    </w:p>
    <w:p w14:paraId="1BD660BA" w14:textId="77777777" w:rsidR="00F07F81" w:rsidRDefault="00A9681B" w:rsidP="00A9681B">
      <w:pPr>
        <w:numPr>
          <w:ilvl w:val="0"/>
          <w:numId w:val="3"/>
        </w:numPr>
        <w:spacing w:after="120"/>
        <w:ind w:left="0" w:firstLine="0"/>
        <w:rPr>
          <w:sz w:val="22"/>
          <w:szCs w:val="22"/>
          <w:lang w:val="en-GB"/>
        </w:rPr>
      </w:pPr>
      <w:r w:rsidRPr="00A9681B">
        <w:rPr>
          <w:sz w:val="22"/>
          <w:szCs w:val="22"/>
          <w:lang w:val="en-GB"/>
        </w:rPr>
        <w:t>The overall goals of this project are:</w:t>
      </w:r>
    </w:p>
    <w:p w14:paraId="0A4984CF" w14:textId="77777777" w:rsidR="00A9681B" w:rsidRPr="00A9681B" w:rsidRDefault="00A9681B" w:rsidP="004B053A">
      <w:pPr>
        <w:numPr>
          <w:ilvl w:val="0"/>
          <w:numId w:val="20"/>
        </w:numPr>
        <w:spacing w:after="120"/>
        <w:rPr>
          <w:sz w:val="22"/>
          <w:szCs w:val="22"/>
          <w:lang w:val="en-GB"/>
        </w:rPr>
      </w:pPr>
      <w:r w:rsidRPr="00A9681B">
        <w:rPr>
          <w:sz w:val="22"/>
          <w:szCs w:val="22"/>
          <w:lang w:val="en-GB"/>
        </w:rPr>
        <w:t>to maintain an environment at the regional level, in which collaboration and partnership in addressing environmental problems of the South China Sea, between all stakeholders, and at all levels is fostered and encouraged;</w:t>
      </w:r>
    </w:p>
    <w:p w14:paraId="4178A662" w14:textId="77777777" w:rsidR="00A9681B" w:rsidRPr="00A9681B" w:rsidRDefault="00A9681B" w:rsidP="004B053A">
      <w:pPr>
        <w:numPr>
          <w:ilvl w:val="0"/>
          <w:numId w:val="20"/>
        </w:numPr>
        <w:spacing w:after="120"/>
        <w:rPr>
          <w:sz w:val="22"/>
          <w:szCs w:val="22"/>
          <w:lang w:val="en-GB"/>
        </w:rPr>
      </w:pPr>
      <w:r w:rsidRPr="00A9681B">
        <w:rPr>
          <w:sz w:val="22"/>
          <w:szCs w:val="22"/>
          <w:lang w:val="en-GB"/>
        </w:rPr>
        <w:t>to enhance the capacity of the participating governments to integrate environmental considerations into national development planning;</w:t>
      </w:r>
    </w:p>
    <w:p w14:paraId="4C93C562" w14:textId="77777777" w:rsidR="00A9681B" w:rsidRPr="00A9681B" w:rsidRDefault="00A9681B" w:rsidP="004B053A">
      <w:pPr>
        <w:numPr>
          <w:ilvl w:val="0"/>
          <w:numId w:val="20"/>
        </w:numPr>
        <w:spacing w:after="120"/>
        <w:rPr>
          <w:sz w:val="22"/>
          <w:szCs w:val="22"/>
          <w:lang w:val="en-GB"/>
        </w:rPr>
      </w:pPr>
      <w:r w:rsidRPr="00A9681B">
        <w:rPr>
          <w:sz w:val="22"/>
          <w:szCs w:val="22"/>
          <w:lang w:val="en-GB"/>
        </w:rPr>
        <w:t>to strengthen and expand the network of scientists, government officials and civil society established under the UNEP/GEF SCS Project.</w:t>
      </w:r>
    </w:p>
    <w:p w14:paraId="5C081AE4" w14:textId="77777777" w:rsidR="00A9681B" w:rsidRPr="00A9681B" w:rsidRDefault="00A9681B" w:rsidP="00A9681B">
      <w:pPr>
        <w:numPr>
          <w:ilvl w:val="0"/>
          <w:numId w:val="3"/>
        </w:numPr>
        <w:spacing w:after="120"/>
        <w:ind w:left="0" w:firstLine="0"/>
        <w:rPr>
          <w:sz w:val="22"/>
          <w:szCs w:val="22"/>
          <w:lang w:val="en-GB"/>
        </w:rPr>
      </w:pPr>
      <w:r w:rsidRPr="00A9681B">
        <w:rPr>
          <w:sz w:val="22"/>
          <w:szCs w:val="22"/>
          <w:lang w:val="en-GB"/>
        </w:rPr>
        <w:t>The medium term objective of the project is to assist the g</w:t>
      </w:r>
      <w:r w:rsidR="000A6E01">
        <w:rPr>
          <w:sz w:val="22"/>
          <w:szCs w:val="22"/>
          <w:lang w:val="en-GB"/>
        </w:rPr>
        <w:t>overnments of the participating</w:t>
      </w:r>
      <w:r w:rsidRPr="00A9681B">
        <w:rPr>
          <w:sz w:val="22"/>
          <w:szCs w:val="22"/>
          <w:lang w:val="en-GB"/>
        </w:rPr>
        <w:t xml:space="preserve"> countries in meeting the targets of the approved Strategic Action Programme through the provision of technical assistance as required in implementing national activities in support of the SAP; and the provision of strong regional co-ordination of the process of SAP implementation.</w:t>
      </w:r>
    </w:p>
    <w:p w14:paraId="3DFC71F2" w14:textId="77777777" w:rsidR="00F07F81" w:rsidRDefault="00F07F81" w:rsidP="004B053A">
      <w:pPr>
        <w:numPr>
          <w:ilvl w:val="1"/>
          <w:numId w:val="4"/>
        </w:numPr>
        <w:spacing w:after="120"/>
        <w:outlineLvl w:val="1"/>
        <w:rPr>
          <w:b/>
          <w:sz w:val="22"/>
          <w:szCs w:val="22"/>
          <w:lang w:val="en-GB"/>
        </w:rPr>
      </w:pPr>
      <w:bookmarkStart w:id="77" w:name="_Toc209432651"/>
      <w:r>
        <w:rPr>
          <w:b/>
          <w:sz w:val="22"/>
          <w:szCs w:val="22"/>
          <w:lang w:val="en-GB"/>
        </w:rPr>
        <w:t>Project components and expected results</w:t>
      </w:r>
      <w:bookmarkEnd w:id="77"/>
    </w:p>
    <w:p w14:paraId="18AC37F1" w14:textId="77777777" w:rsidR="00F07F81" w:rsidRPr="005A7F64" w:rsidRDefault="005A7F64" w:rsidP="001C6FEA">
      <w:pPr>
        <w:spacing w:after="120"/>
        <w:ind w:left="1440" w:hanging="1440"/>
        <w:rPr>
          <w:b/>
          <w:sz w:val="22"/>
          <w:szCs w:val="22"/>
          <w:lang w:val="en-GB"/>
        </w:rPr>
      </w:pPr>
      <w:r w:rsidRPr="005A7F64">
        <w:rPr>
          <w:b/>
          <w:sz w:val="22"/>
          <w:szCs w:val="22"/>
          <w:lang w:val="en-GB"/>
        </w:rPr>
        <w:t>Component 1</w:t>
      </w:r>
      <w:r w:rsidR="001C6FEA">
        <w:rPr>
          <w:b/>
          <w:sz w:val="22"/>
          <w:szCs w:val="22"/>
          <w:lang w:val="en-GB"/>
        </w:rPr>
        <w:t>.</w:t>
      </w:r>
      <w:r w:rsidR="001C6FEA">
        <w:rPr>
          <w:b/>
          <w:sz w:val="22"/>
          <w:szCs w:val="22"/>
          <w:lang w:val="en-GB"/>
        </w:rPr>
        <w:tab/>
      </w:r>
      <w:r w:rsidRPr="005A7F64">
        <w:rPr>
          <w:b/>
          <w:sz w:val="22"/>
          <w:szCs w:val="22"/>
          <w:lang w:val="en-GB"/>
        </w:rPr>
        <w:t xml:space="preserve"> Reducing habitat degradation and loss via national and local reforms to achieve Strategic Action Programme targets for coastal habitat management in the South China Sea</w:t>
      </w:r>
    </w:p>
    <w:p w14:paraId="21EAE907" w14:textId="77777777" w:rsidR="00A9681B" w:rsidRDefault="001C6FEA" w:rsidP="001C6FEA">
      <w:pPr>
        <w:numPr>
          <w:ilvl w:val="0"/>
          <w:numId w:val="3"/>
        </w:numPr>
        <w:spacing w:after="120"/>
        <w:ind w:left="0" w:firstLine="0"/>
        <w:jc w:val="both"/>
        <w:rPr>
          <w:sz w:val="22"/>
          <w:szCs w:val="22"/>
          <w:lang w:val="en-GB"/>
        </w:rPr>
      </w:pPr>
      <w:r>
        <w:rPr>
          <w:sz w:val="22"/>
          <w:szCs w:val="22"/>
          <w:lang w:val="en-GB"/>
        </w:rPr>
        <w:t xml:space="preserve">This component will result in: </w:t>
      </w:r>
      <w:r w:rsidRPr="001C6FEA">
        <w:rPr>
          <w:sz w:val="22"/>
          <w:szCs w:val="22"/>
          <w:lang w:val="en-GB"/>
        </w:rPr>
        <w:t>appropriate forms of sustainable management established for 860,000 ha of mangrove; 153,000 ha of coral reef at 82 priority sites managed sustainably, including a reduction in the decadal rate of degradation in live coral cover from 16 to 5%; conservation, management and sustainable use of 25,900 ha of known seagrass area in the South China Sea; integrated management of 783,900 ha of coastal wetland at 19 sites, including habitat restoration and protection strengthened at priority locations; and national and regional level cooperation in tracking results of SAP actions for coastal habitat management.</w:t>
      </w:r>
      <w:r>
        <w:rPr>
          <w:sz w:val="22"/>
          <w:szCs w:val="22"/>
          <w:lang w:val="en-GB"/>
        </w:rPr>
        <w:t xml:space="preserve"> </w:t>
      </w:r>
      <w:r w:rsidR="00315C57">
        <w:rPr>
          <w:sz w:val="22"/>
          <w:szCs w:val="22"/>
          <w:lang w:val="en-GB"/>
        </w:rPr>
        <w:t xml:space="preserve">Importantly, the operationalization of management measures at each of the priority mangrove, coral reef, seagrass and wetlands sites will be undertaken within a broader Marine Spatial Planning framework. The aim of which is to facilitate: multi-objective planning which recognises the connections between land, freshwater and marine ecosystems, and human uses and impacts in each of these systems; </w:t>
      </w:r>
      <w:r w:rsidR="007C4C31">
        <w:rPr>
          <w:sz w:val="22"/>
          <w:szCs w:val="22"/>
          <w:lang w:val="en-GB"/>
        </w:rPr>
        <w:t xml:space="preserve">the promotion of ecosystem approaches in the </w:t>
      </w:r>
      <w:r w:rsidR="00315C57">
        <w:rPr>
          <w:sz w:val="22"/>
          <w:szCs w:val="22"/>
          <w:lang w:val="en-GB"/>
        </w:rPr>
        <w:t xml:space="preserve">forward thinking </w:t>
      </w:r>
      <w:r w:rsidR="007C4C31">
        <w:rPr>
          <w:sz w:val="22"/>
          <w:szCs w:val="22"/>
          <w:lang w:val="en-GB"/>
        </w:rPr>
        <w:t xml:space="preserve">planning of human uses and non-uses in the marine environment, followed by the implementation of these plans; and the strengthening of insititutional and legal frameworks to enable improved cross-sectorial and multi-stakeholder participation in coastal and marine environmental and resource management. The package of environmental stress reduction and habitat protection measures to be implemented as part of component 1 represents a globally significant test of Marine Spatial Planning approaches </w:t>
      </w:r>
      <w:r w:rsidR="00820687">
        <w:rPr>
          <w:sz w:val="22"/>
          <w:szCs w:val="22"/>
          <w:lang w:val="en-GB"/>
        </w:rPr>
        <w:t xml:space="preserve">that will yield many lessons for the management of other shallow water marine basins and large marine ecosystems. Significantly, the embedding of activities under this component to operationalize the monitoring and evaluation of the results of the project’s habitat management measures will assist in building knowledge of the realities of implementing Marine Spatial Planning approaches. </w:t>
      </w:r>
      <w:r w:rsidR="008B2D6F">
        <w:rPr>
          <w:sz w:val="22"/>
          <w:szCs w:val="22"/>
          <w:lang w:val="en-GB"/>
        </w:rPr>
        <w:t xml:space="preserve">Each of the outcomes to be delivered through Component 1 </w:t>
      </w:r>
      <w:r w:rsidR="00AD4CC8">
        <w:rPr>
          <w:sz w:val="22"/>
          <w:szCs w:val="22"/>
          <w:lang w:val="en-GB"/>
        </w:rPr>
        <w:t xml:space="preserve">of the project </w:t>
      </w:r>
      <w:r w:rsidR="008B2D6F">
        <w:rPr>
          <w:sz w:val="22"/>
          <w:szCs w:val="22"/>
          <w:lang w:val="en-GB"/>
        </w:rPr>
        <w:t>are outlined below.</w:t>
      </w:r>
    </w:p>
    <w:p w14:paraId="4BFA682A" w14:textId="77777777" w:rsidR="001C6FEA" w:rsidRPr="001C6FEA" w:rsidRDefault="001C6FEA" w:rsidP="001C6FEA">
      <w:pPr>
        <w:spacing w:after="120"/>
        <w:ind w:left="1440" w:hanging="1440"/>
        <w:jc w:val="both"/>
        <w:rPr>
          <w:b/>
          <w:sz w:val="22"/>
          <w:szCs w:val="22"/>
          <w:lang w:val="en-GB"/>
        </w:rPr>
      </w:pPr>
      <w:r w:rsidRPr="001C6FEA">
        <w:rPr>
          <w:b/>
          <w:sz w:val="22"/>
          <w:szCs w:val="22"/>
          <w:lang w:val="en-GB"/>
        </w:rPr>
        <w:t xml:space="preserve">Outcome 1.1 </w:t>
      </w:r>
      <w:r w:rsidRPr="001C6FEA">
        <w:rPr>
          <w:b/>
          <w:sz w:val="22"/>
          <w:szCs w:val="22"/>
          <w:lang w:val="en-GB"/>
        </w:rPr>
        <w:tab/>
        <w:t>Appropriate forms of sustainable management established for 860,000 ha of mangrove by Yr 5</w:t>
      </w:r>
    </w:p>
    <w:p w14:paraId="607AFD0E" w14:textId="77777777" w:rsidR="001C6FEA" w:rsidRDefault="007C550B" w:rsidP="007C550B">
      <w:pPr>
        <w:numPr>
          <w:ilvl w:val="0"/>
          <w:numId w:val="3"/>
        </w:numPr>
        <w:spacing w:after="120"/>
        <w:ind w:left="0" w:firstLine="0"/>
        <w:jc w:val="both"/>
        <w:rPr>
          <w:sz w:val="22"/>
          <w:szCs w:val="22"/>
          <w:lang w:val="en-GB"/>
        </w:rPr>
      </w:pPr>
      <w:r w:rsidRPr="007C550B">
        <w:rPr>
          <w:sz w:val="22"/>
          <w:szCs w:val="22"/>
          <w:lang w:val="en-GB"/>
        </w:rPr>
        <w:t xml:space="preserve">Information relating to the management of mangrove areas in </w:t>
      </w:r>
      <w:r>
        <w:rPr>
          <w:sz w:val="22"/>
          <w:szCs w:val="22"/>
          <w:lang w:val="en-GB"/>
        </w:rPr>
        <w:t xml:space="preserve">the </w:t>
      </w:r>
      <w:r w:rsidRPr="007C550B">
        <w:rPr>
          <w:sz w:val="22"/>
          <w:szCs w:val="22"/>
          <w:lang w:val="en-GB"/>
        </w:rPr>
        <w:t xml:space="preserve">six </w:t>
      </w:r>
      <w:r>
        <w:rPr>
          <w:sz w:val="22"/>
          <w:szCs w:val="22"/>
          <w:lang w:val="en-GB"/>
        </w:rPr>
        <w:t>participating</w:t>
      </w:r>
      <w:r w:rsidRPr="007C550B">
        <w:rPr>
          <w:sz w:val="22"/>
          <w:szCs w:val="22"/>
          <w:lang w:val="en-GB"/>
        </w:rPr>
        <w:t xml:space="preserve"> countries is presented in Table</w:t>
      </w:r>
      <w:r>
        <w:rPr>
          <w:sz w:val="22"/>
          <w:szCs w:val="22"/>
          <w:lang w:val="en-GB"/>
        </w:rPr>
        <w:t xml:space="preserve"> 18</w:t>
      </w:r>
      <w:r w:rsidRPr="007C550B">
        <w:rPr>
          <w:sz w:val="22"/>
          <w:szCs w:val="22"/>
          <w:lang w:val="en-GB"/>
        </w:rPr>
        <w:t>. Five categories of mangrove forest are recognised in the region: production forest, used on a sustainable basis for timber and wood chip production; conversion forest, a category in Indonesia representing areas of mangrove land designated for alternative land use under current development plans; Parks and Protected Areas; and areas in which timber extraction is not permitted but extractive use of other resources is permitted. In the case of Thailand, another category is recognised, namely “Private land, unregulated use” that accounts f</w:t>
      </w:r>
      <w:r>
        <w:rPr>
          <w:sz w:val="22"/>
          <w:szCs w:val="22"/>
          <w:lang w:val="en-GB"/>
        </w:rPr>
        <w:t>or 10,000 hectares</w:t>
      </w:r>
      <w:r w:rsidRPr="007C550B">
        <w:rPr>
          <w:sz w:val="22"/>
          <w:szCs w:val="22"/>
          <w:lang w:val="en-GB"/>
        </w:rPr>
        <w:t>.</w:t>
      </w:r>
    </w:p>
    <w:p w14:paraId="694AEE35" w14:textId="77777777" w:rsidR="007C550B" w:rsidRDefault="007C550B" w:rsidP="007C550B">
      <w:pPr>
        <w:spacing w:after="120"/>
        <w:ind w:left="1440" w:hanging="1440"/>
        <w:jc w:val="both"/>
        <w:rPr>
          <w:sz w:val="22"/>
          <w:szCs w:val="22"/>
          <w:lang w:val="en-GB"/>
        </w:rPr>
      </w:pPr>
      <w:r w:rsidRPr="00B02C05">
        <w:rPr>
          <w:b/>
          <w:sz w:val="22"/>
          <w:szCs w:val="22"/>
          <w:lang w:val="en-GB"/>
        </w:rPr>
        <w:t>Table 18</w:t>
      </w:r>
      <w:r w:rsidRPr="007C550B">
        <w:rPr>
          <w:sz w:val="22"/>
          <w:szCs w:val="22"/>
          <w:lang w:val="en-GB"/>
        </w:rPr>
        <w:tab/>
        <w:t xml:space="preserve">Estimated Areas (rounded to three significant figures) of South China Sea Mangrove under Different Forms of Land-use Designation and Management (based on </w:t>
      </w:r>
      <w:r>
        <w:rPr>
          <w:sz w:val="22"/>
          <w:szCs w:val="22"/>
          <w:lang w:val="en-GB"/>
        </w:rPr>
        <w:t>Vo et al., 2013</w:t>
      </w:r>
      <w:r w:rsidRPr="007C550B">
        <w:rPr>
          <w:sz w:val="22"/>
          <w:szCs w:val="22"/>
          <w:lang w:val="en-GB"/>
        </w:rPr>
        <w:t>)</w:t>
      </w:r>
    </w:p>
    <w:tbl>
      <w:tblPr>
        <w:tblW w:w="9000" w:type="dxa"/>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30" w:type="dxa"/>
          <w:right w:w="30" w:type="dxa"/>
        </w:tblCellMar>
        <w:tblLook w:val="0000" w:firstRow="0" w:lastRow="0" w:firstColumn="0" w:lastColumn="0" w:noHBand="0" w:noVBand="0"/>
      </w:tblPr>
      <w:tblGrid>
        <w:gridCol w:w="2200"/>
        <w:gridCol w:w="900"/>
        <w:gridCol w:w="800"/>
        <w:gridCol w:w="892"/>
        <w:gridCol w:w="1000"/>
        <w:gridCol w:w="808"/>
        <w:gridCol w:w="800"/>
        <w:gridCol w:w="1000"/>
        <w:gridCol w:w="600"/>
      </w:tblGrid>
      <w:tr w:rsidR="007C550B" w:rsidRPr="007C550B" w14:paraId="42D1F88A" w14:textId="77777777" w:rsidTr="00041901">
        <w:tblPrEx>
          <w:tblCellMar>
            <w:top w:w="0" w:type="dxa"/>
            <w:bottom w:w="0" w:type="dxa"/>
          </w:tblCellMar>
        </w:tblPrEx>
        <w:trPr>
          <w:jc w:val="center"/>
        </w:trPr>
        <w:tc>
          <w:tcPr>
            <w:tcW w:w="2200" w:type="dxa"/>
            <w:tcBorders>
              <w:top w:val="nil"/>
              <w:left w:val="nil"/>
              <w:bottom w:val="single" w:sz="12" w:space="0" w:color="auto"/>
              <w:right w:val="single" w:sz="12" w:space="0" w:color="auto"/>
            </w:tcBorders>
            <w:vAlign w:val="center"/>
          </w:tcPr>
          <w:p w14:paraId="7AA14536" w14:textId="77777777" w:rsidR="007C550B" w:rsidRPr="007C550B" w:rsidRDefault="007C550B" w:rsidP="007C550B">
            <w:pPr>
              <w:ind w:left="-184"/>
              <w:jc w:val="center"/>
              <w:rPr>
                <w:rFonts w:ascii="Arial" w:hAnsi="Arial" w:cs="Arial"/>
                <w:sz w:val="16"/>
                <w:szCs w:val="16"/>
                <w:lang w:val="en-GB" w:bidi="th-TH"/>
              </w:rPr>
            </w:pPr>
          </w:p>
        </w:tc>
        <w:tc>
          <w:tcPr>
            <w:tcW w:w="900" w:type="dxa"/>
            <w:tcBorders>
              <w:top w:val="single" w:sz="12" w:space="0" w:color="auto"/>
              <w:left w:val="single" w:sz="12" w:space="0" w:color="auto"/>
              <w:bottom w:val="single" w:sz="12" w:space="0" w:color="auto"/>
            </w:tcBorders>
            <w:vAlign w:val="center"/>
          </w:tcPr>
          <w:p w14:paraId="17E92048" w14:textId="77777777" w:rsidR="007C550B" w:rsidRPr="007C550B" w:rsidRDefault="007C550B" w:rsidP="007C550B">
            <w:pPr>
              <w:spacing w:before="60" w:after="60"/>
              <w:jc w:val="center"/>
              <w:rPr>
                <w:rFonts w:ascii="Arial" w:hAnsi="Arial" w:cs="Arial"/>
                <w:b/>
                <w:sz w:val="16"/>
                <w:szCs w:val="16"/>
                <w:lang w:val="en-GB" w:bidi="th-TH"/>
              </w:rPr>
            </w:pPr>
            <w:smartTag w:uri="urn:schemas-microsoft-com:office:smarttags" w:element="place">
              <w:smartTag w:uri="urn:schemas-microsoft-com:office:smarttags" w:element="country-region">
                <w:r w:rsidRPr="007C550B">
                  <w:rPr>
                    <w:rFonts w:ascii="Arial" w:hAnsi="Arial" w:cs="Arial"/>
                    <w:b/>
                    <w:sz w:val="16"/>
                    <w:szCs w:val="16"/>
                    <w:lang w:val="en-GB" w:bidi="th-TH"/>
                  </w:rPr>
                  <w:t>Cambodia</w:t>
                </w:r>
              </w:smartTag>
            </w:smartTag>
          </w:p>
        </w:tc>
        <w:tc>
          <w:tcPr>
            <w:tcW w:w="800" w:type="dxa"/>
            <w:tcBorders>
              <w:top w:val="single" w:sz="12" w:space="0" w:color="auto"/>
              <w:bottom w:val="single" w:sz="12" w:space="0" w:color="auto"/>
            </w:tcBorders>
            <w:vAlign w:val="center"/>
          </w:tcPr>
          <w:p w14:paraId="658820C7" w14:textId="77777777" w:rsidR="007C550B" w:rsidRPr="007C550B" w:rsidRDefault="007C550B" w:rsidP="007C550B">
            <w:pPr>
              <w:spacing w:before="60" w:after="60"/>
              <w:jc w:val="center"/>
              <w:rPr>
                <w:rFonts w:ascii="Arial" w:hAnsi="Arial" w:cs="Arial"/>
                <w:b/>
                <w:sz w:val="16"/>
                <w:szCs w:val="16"/>
                <w:lang w:val="en-GB" w:bidi="th-TH"/>
              </w:rPr>
            </w:pPr>
            <w:smartTag w:uri="urn:schemas-microsoft-com:office:smarttags" w:element="place">
              <w:smartTag w:uri="urn:schemas-microsoft-com:office:smarttags" w:element="country-region">
                <w:r w:rsidRPr="007C550B">
                  <w:rPr>
                    <w:rFonts w:ascii="Arial" w:hAnsi="Arial" w:cs="Arial"/>
                    <w:b/>
                    <w:sz w:val="16"/>
                    <w:szCs w:val="16"/>
                    <w:lang w:val="en-GB" w:bidi="th-TH"/>
                  </w:rPr>
                  <w:t>China</w:t>
                </w:r>
              </w:smartTag>
            </w:smartTag>
          </w:p>
        </w:tc>
        <w:tc>
          <w:tcPr>
            <w:tcW w:w="892" w:type="dxa"/>
            <w:tcBorders>
              <w:top w:val="single" w:sz="12" w:space="0" w:color="auto"/>
              <w:bottom w:val="single" w:sz="12" w:space="0" w:color="auto"/>
            </w:tcBorders>
            <w:vAlign w:val="center"/>
          </w:tcPr>
          <w:p w14:paraId="325E5C18" w14:textId="77777777" w:rsidR="007C550B" w:rsidRPr="007C550B" w:rsidRDefault="007C550B" w:rsidP="007C550B">
            <w:pPr>
              <w:spacing w:before="60" w:after="60"/>
              <w:jc w:val="center"/>
              <w:rPr>
                <w:rFonts w:ascii="Arial" w:hAnsi="Arial" w:cs="Arial"/>
                <w:b/>
                <w:sz w:val="16"/>
                <w:szCs w:val="16"/>
                <w:lang w:val="en-GB" w:bidi="th-TH"/>
              </w:rPr>
            </w:pPr>
            <w:smartTag w:uri="urn:schemas-microsoft-com:office:smarttags" w:element="place">
              <w:smartTag w:uri="urn:schemas-microsoft-com:office:smarttags" w:element="country-region">
                <w:r w:rsidRPr="007C550B">
                  <w:rPr>
                    <w:rFonts w:ascii="Arial" w:hAnsi="Arial" w:cs="Arial"/>
                    <w:b/>
                    <w:sz w:val="16"/>
                    <w:szCs w:val="16"/>
                    <w:lang w:val="en-GB" w:bidi="th-TH"/>
                  </w:rPr>
                  <w:t>Indonesia</w:t>
                </w:r>
              </w:smartTag>
            </w:smartTag>
          </w:p>
        </w:tc>
        <w:tc>
          <w:tcPr>
            <w:tcW w:w="1000" w:type="dxa"/>
            <w:tcBorders>
              <w:top w:val="single" w:sz="12" w:space="0" w:color="auto"/>
              <w:bottom w:val="single" w:sz="12" w:space="0" w:color="auto"/>
            </w:tcBorders>
            <w:vAlign w:val="center"/>
          </w:tcPr>
          <w:p w14:paraId="68FFCA7A" w14:textId="77777777" w:rsidR="007C550B" w:rsidRPr="007C550B" w:rsidRDefault="007C550B" w:rsidP="007C550B">
            <w:pPr>
              <w:spacing w:before="60" w:after="60"/>
              <w:jc w:val="center"/>
              <w:rPr>
                <w:rFonts w:ascii="Arial" w:hAnsi="Arial" w:cs="Arial"/>
                <w:b/>
                <w:sz w:val="16"/>
                <w:szCs w:val="16"/>
                <w:lang w:val="en-GB" w:bidi="th-TH"/>
              </w:rPr>
            </w:pPr>
            <w:smartTag w:uri="urn:schemas-microsoft-com:office:smarttags" w:element="place">
              <w:smartTag w:uri="urn:schemas-microsoft-com:office:smarttags" w:element="country-region">
                <w:r w:rsidRPr="007C550B">
                  <w:rPr>
                    <w:rFonts w:ascii="Arial" w:hAnsi="Arial" w:cs="Arial"/>
                    <w:b/>
                    <w:sz w:val="16"/>
                    <w:szCs w:val="16"/>
                    <w:lang w:val="en-GB" w:bidi="th-TH"/>
                  </w:rPr>
                  <w:t>Philippines</w:t>
                </w:r>
              </w:smartTag>
            </w:smartTag>
          </w:p>
        </w:tc>
        <w:tc>
          <w:tcPr>
            <w:tcW w:w="808" w:type="dxa"/>
            <w:tcBorders>
              <w:top w:val="single" w:sz="12" w:space="0" w:color="auto"/>
              <w:bottom w:val="single" w:sz="12" w:space="0" w:color="auto"/>
            </w:tcBorders>
            <w:vAlign w:val="center"/>
          </w:tcPr>
          <w:p w14:paraId="38078848" w14:textId="77777777" w:rsidR="007C550B" w:rsidRPr="007C550B" w:rsidRDefault="007C550B" w:rsidP="007C550B">
            <w:pPr>
              <w:spacing w:before="60" w:after="60"/>
              <w:jc w:val="center"/>
              <w:rPr>
                <w:rFonts w:ascii="Arial" w:hAnsi="Arial" w:cs="Arial"/>
                <w:b/>
                <w:sz w:val="16"/>
                <w:szCs w:val="16"/>
                <w:lang w:val="en-GB" w:bidi="th-TH"/>
              </w:rPr>
            </w:pPr>
            <w:smartTag w:uri="urn:schemas-microsoft-com:office:smarttags" w:element="place">
              <w:smartTag w:uri="urn:schemas-microsoft-com:office:smarttags" w:element="country-region">
                <w:r w:rsidRPr="007C550B">
                  <w:rPr>
                    <w:rFonts w:ascii="Arial" w:hAnsi="Arial" w:cs="Arial"/>
                    <w:b/>
                    <w:sz w:val="16"/>
                    <w:szCs w:val="16"/>
                    <w:lang w:val="en-GB" w:bidi="th-TH"/>
                  </w:rPr>
                  <w:t>Thailand</w:t>
                </w:r>
              </w:smartTag>
            </w:smartTag>
          </w:p>
        </w:tc>
        <w:tc>
          <w:tcPr>
            <w:tcW w:w="800" w:type="dxa"/>
            <w:tcBorders>
              <w:top w:val="single" w:sz="12" w:space="0" w:color="auto"/>
              <w:bottom w:val="single" w:sz="12" w:space="0" w:color="auto"/>
            </w:tcBorders>
            <w:vAlign w:val="center"/>
          </w:tcPr>
          <w:p w14:paraId="14040375" w14:textId="77777777" w:rsidR="007C550B" w:rsidRPr="007C550B" w:rsidRDefault="007C550B" w:rsidP="007C550B">
            <w:pPr>
              <w:spacing w:before="60" w:after="60"/>
              <w:jc w:val="center"/>
              <w:rPr>
                <w:rFonts w:ascii="Arial" w:hAnsi="Arial" w:cs="Arial"/>
                <w:b/>
                <w:sz w:val="16"/>
                <w:szCs w:val="16"/>
                <w:lang w:val="en-GB" w:bidi="th-TH"/>
              </w:rPr>
            </w:pPr>
            <w:smartTag w:uri="urn:schemas-microsoft-com:office:smarttags" w:element="place">
              <w:smartTag w:uri="urn:schemas-microsoft-com:office:smarttags" w:element="country-region">
                <w:r w:rsidRPr="007C550B">
                  <w:rPr>
                    <w:rFonts w:ascii="Arial" w:hAnsi="Arial" w:cs="Arial"/>
                    <w:b/>
                    <w:sz w:val="16"/>
                    <w:szCs w:val="16"/>
                    <w:lang w:val="en-GB" w:bidi="th-TH"/>
                  </w:rPr>
                  <w:t>Viet Nam</w:t>
                </w:r>
              </w:smartTag>
            </w:smartTag>
          </w:p>
        </w:tc>
        <w:tc>
          <w:tcPr>
            <w:tcW w:w="1000" w:type="dxa"/>
            <w:tcBorders>
              <w:top w:val="single" w:sz="12" w:space="0" w:color="auto"/>
              <w:bottom w:val="single" w:sz="12" w:space="0" w:color="auto"/>
            </w:tcBorders>
            <w:vAlign w:val="center"/>
          </w:tcPr>
          <w:p w14:paraId="7905560C" w14:textId="77777777" w:rsidR="007C550B" w:rsidRPr="007C550B" w:rsidRDefault="007C550B" w:rsidP="007C550B">
            <w:pPr>
              <w:spacing w:before="60" w:after="60"/>
              <w:jc w:val="center"/>
              <w:rPr>
                <w:rFonts w:ascii="Arial" w:hAnsi="Arial" w:cs="Arial"/>
                <w:b/>
                <w:sz w:val="16"/>
                <w:szCs w:val="16"/>
                <w:lang w:val="en-GB" w:bidi="th-TH"/>
              </w:rPr>
            </w:pPr>
            <w:r w:rsidRPr="007C550B">
              <w:rPr>
                <w:rFonts w:ascii="Arial" w:hAnsi="Arial" w:cs="Arial"/>
                <w:b/>
                <w:sz w:val="16"/>
                <w:szCs w:val="16"/>
                <w:lang w:val="en-GB" w:bidi="th-TH"/>
              </w:rPr>
              <w:t>Total</w:t>
            </w:r>
          </w:p>
        </w:tc>
        <w:tc>
          <w:tcPr>
            <w:tcW w:w="600" w:type="dxa"/>
            <w:tcBorders>
              <w:top w:val="single" w:sz="12" w:space="0" w:color="auto"/>
              <w:bottom w:val="single" w:sz="12" w:space="0" w:color="auto"/>
            </w:tcBorders>
            <w:vAlign w:val="center"/>
          </w:tcPr>
          <w:p w14:paraId="5CC3138D" w14:textId="77777777" w:rsidR="007C550B" w:rsidRPr="007C550B" w:rsidRDefault="007C550B" w:rsidP="007C550B">
            <w:pPr>
              <w:spacing w:before="60" w:after="60"/>
              <w:jc w:val="center"/>
              <w:rPr>
                <w:rFonts w:ascii="Arial" w:hAnsi="Arial" w:cs="Arial"/>
                <w:b/>
                <w:sz w:val="16"/>
                <w:szCs w:val="16"/>
                <w:lang w:val="en-GB" w:bidi="th-TH"/>
              </w:rPr>
            </w:pPr>
            <w:r w:rsidRPr="007C550B">
              <w:rPr>
                <w:rFonts w:ascii="Arial" w:hAnsi="Arial" w:cs="Arial"/>
                <w:b/>
                <w:sz w:val="16"/>
                <w:szCs w:val="16"/>
                <w:lang w:val="en-GB" w:bidi="th-TH"/>
              </w:rPr>
              <w:t>%</w:t>
            </w:r>
          </w:p>
        </w:tc>
      </w:tr>
      <w:tr w:rsidR="007C550B" w:rsidRPr="007C550B" w14:paraId="17FA813F" w14:textId="77777777" w:rsidTr="000419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50"/>
          <w:jc w:val="center"/>
        </w:trPr>
        <w:tc>
          <w:tcPr>
            <w:tcW w:w="2200" w:type="dxa"/>
            <w:tcBorders>
              <w:top w:val="single" w:sz="6" w:space="0" w:color="auto"/>
              <w:left w:val="single" w:sz="12" w:space="0" w:color="auto"/>
              <w:bottom w:val="single" w:sz="6" w:space="0" w:color="auto"/>
              <w:right w:val="single" w:sz="6" w:space="0" w:color="auto"/>
            </w:tcBorders>
            <w:vAlign w:val="center"/>
          </w:tcPr>
          <w:p w14:paraId="0C38AAB1" w14:textId="77777777" w:rsidR="007C550B" w:rsidRPr="007C550B" w:rsidRDefault="007C550B" w:rsidP="007C550B">
            <w:pPr>
              <w:autoSpaceDE w:val="0"/>
              <w:autoSpaceDN w:val="0"/>
              <w:adjustRightInd w:val="0"/>
              <w:spacing w:before="20" w:after="20"/>
              <w:rPr>
                <w:rFonts w:ascii="Arial" w:hAnsi="Arial" w:cs="Arial"/>
                <w:color w:val="000000"/>
                <w:sz w:val="16"/>
                <w:szCs w:val="16"/>
                <w:lang w:val="en-GB" w:bidi="th-TH"/>
              </w:rPr>
            </w:pPr>
            <w:r w:rsidRPr="007C550B">
              <w:rPr>
                <w:rFonts w:ascii="Arial" w:hAnsi="Arial" w:cs="Arial"/>
                <w:color w:val="000000"/>
                <w:sz w:val="16"/>
                <w:szCs w:val="16"/>
                <w:lang w:val="en-GB" w:bidi="th-TH"/>
              </w:rPr>
              <w:t>Total area (ha)</w:t>
            </w:r>
          </w:p>
        </w:tc>
        <w:tc>
          <w:tcPr>
            <w:tcW w:w="900" w:type="dxa"/>
            <w:tcBorders>
              <w:top w:val="single" w:sz="6" w:space="0" w:color="auto"/>
              <w:left w:val="single" w:sz="6" w:space="0" w:color="auto"/>
              <w:bottom w:val="single" w:sz="6" w:space="0" w:color="auto"/>
              <w:right w:val="single" w:sz="6" w:space="0" w:color="auto"/>
            </w:tcBorders>
            <w:vAlign w:val="center"/>
          </w:tcPr>
          <w:p w14:paraId="74F8F2A2"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sz w:val="16"/>
                <w:szCs w:val="16"/>
                <w:lang w:val="en-GB" w:bidi="th-TH"/>
              </w:rPr>
              <w:t>72,400</w:t>
            </w:r>
          </w:p>
        </w:tc>
        <w:tc>
          <w:tcPr>
            <w:tcW w:w="800" w:type="dxa"/>
            <w:tcBorders>
              <w:top w:val="single" w:sz="6" w:space="0" w:color="auto"/>
              <w:left w:val="single" w:sz="6" w:space="0" w:color="auto"/>
              <w:bottom w:val="single" w:sz="6" w:space="0" w:color="auto"/>
              <w:right w:val="single" w:sz="6" w:space="0" w:color="auto"/>
            </w:tcBorders>
            <w:vAlign w:val="center"/>
          </w:tcPr>
          <w:p w14:paraId="0D8122BF"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23,400</w:t>
            </w:r>
          </w:p>
        </w:tc>
        <w:tc>
          <w:tcPr>
            <w:tcW w:w="892" w:type="dxa"/>
            <w:tcBorders>
              <w:top w:val="single" w:sz="6" w:space="0" w:color="auto"/>
              <w:left w:val="single" w:sz="6" w:space="0" w:color="auto"/>
              <w:bottom w:val="single" w:sz="6" w:space="0" w:color="auto"/>
              <w:right w:val="single" w:sz="6" w:space="0" w:color="auto"/>
            </w:tcBorders>
            <w:vAlign w:val="center"/>
          </w:tcPr>
          <w:p w14:paraId="2E1EB076"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934,000</w:t>
            </w:r>
          </w:p>
        </w:tc>
        <w:tc>
          <w:tcPr>
            <w:tcW w:w="1000" w:type="dxa"/>
            <w:tcBorders>
              <w:top w:val="single" w:sz="6" w:space="0" w:color="auto"/>
              <w:left w:val="single" w:sz="6" w:space="0" w:color="auto"/>
              <w:bottom w:val="single" w:sz="6" w:space="0" w:color="auto"/>
              <w:right w:val="single" w:sz="6" w:space="0" w:color="auto"/>
            </w:tcBorders>
            <w:vAlign w:val="center"/>
          </w:tcPr>
          <w:p w14:paraId="6A6465BF"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28,000</w:t>
            </w:r>
          </w:p>
        </w:tc>
        <w:tc>
          <w:tcPr>
            <w:tcW w:w="808" w:type="dxa"/>
            <w:tcBorders>
              <w:top w:val="single" w:sz="6" w:space="0" w:color="auto"/>
              <w:left w:val="single" w:sz="6" w:space="0" w:color="auto"/>
              <w:bottom w:val="single" w:sz="6" w:space="0" w:color="auto"/>
              <w:right w:val="single" w:sz="6" w:space="0" w:color="auto"/>
            </w:tcBorders>
            <w:vAlign w:val="center"/>
          </w:tcPr>
          <w:p w14:paraId="28A04A26"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62,600</w:t>
            </w:r>
          </w:p>
        </w:tc>
        <w:tc>
          <w:tcPr>
            <w:tcW w:w="800" w:type="dxa"/>
            <w:tcBorders>
              <w:top w:val="single" w:sz="6" w:space="0" w:color="auto"/>
              <w:left w:val="single" w:sz="6" w:space="0" w:color="auto"/>
              <w:bottom w:val="single" w:sz="6" w:space="0" w:color="auto"/>
              <w:right w:val="single" w:sz="6" w:space="0" w:color="auto"/>
            </w:tcBorders>
            <w:vAlign w:val="center"/>
          </w:tcPr>
          <w:p w14:paraId="28494DA7"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157,000</w:t>
            </w:r>
          </w:p>
        </w:tc>
        <w:tc>
          <w:tcPr>
            <w:tcW w:w="1000" w:type="dxa"/>
            <w:tcBorders>
              <w:top w:val="single" w:sz="6" w:space="0" w:color="auto"/>
              <w:left w:val="single" w:sz="6" w:space="0" w:color="auto"/>
              <w:bottom w:val="single" w:sz="6" w:space="0" w:color="auto"/>
              <w:right w:val="single" w:sz="6" w:space="0" w:color="auto"/>
            </w:tcBorders>
            <w:vAlign w:val="center"/>
          </w:tcPr>
          <w:p w14:paraId="1F34BBD6"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1,280,000</w:t>
            </w:r>
          </w:p>
        </w:tc>
        <w:tc>
          <w:tcPr>
            <w:tcW w:w="600" w:type="dxa"/>
            <w:tcBorders>
              <w:top w:val="single" w:sz="6" w:space="0" w:color="auto"/>
              <w:left w:val="single" w:sz="6" w:space="0" w:color="auto"/>
              <w:bottom w:val="single" w:sz="6" w:space="0" w:color="auto"/>
              <w:right w:val="single" w:sz="12" w:space="0" w:color="auto"/>
            </w:tcBorders>
            <w:vAlign w:val="center"/>
          </w:tcPr>
          <w:p w14:paraId="4516D51D" w14:textId="77777777" w:rsidR="007C550B" w:rsidRPr="007C550B" w:rsidRDefault="007C550B" w:rsidP="007C550B">
            <w:pPr>
              <w:autoSpaceDE w:val="0"/>
              <w:autoSpaceDN w:val="0"/>
              <w:adjustRightInd w:val="0"/>
              <w:spacing w:before="20" w:after="20"/>
              <w:ind w:left="-108"/>
              <w:jc w:val="right"/>
              <w:rPr>
                <w:rFonts w:ascii="Arial" w:hAnsi="Arial" w:cs="Arial"/>
                <w:b/>
                <w:bCs/>
                <w:color w:val="000000"/>
                <w:sz w:val="16"/>
                <w:szCs w:val="16"/>
                <w:lang w:val="en-GB" w:bidi="th-TH"/>
              </w:rPr>
            </w:pPr>
            <w:r w:rsidRPr="007C550B">
              <w:rPr>
                <w:rFonts w:ascii="Arial" w:hAnsi="Arial" w:cs="Arial"/>
                <w:b/>
                <w:bCs/>
                <w:color w:val="000000"/>
                <w:sz w:val="16"/>
                <w:szCs w:val="16"/>
                <w:lang w:val="en-GB" w:bidi="th-TH"/>
              </w:rPr>
              <w:t>100</w:t>
            </w:r>
          </w:p>
        </w:tc>
      </w:tr>
      <w:tr w:rsidR="007C550B" w:rsidRPr="007C550B" w14:paraId="36BA1A4A" w14:textId="77777777" w:rsidTr="000419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5"/>
          <w:jc w:val="center"/>
        </w:trPr>
        <w:tc>
          <w:tcPr>
            <w:tcW w:w="2200" w:type="dxa"/>
            <w:tcBorders>
              <w:top w:val="single" w:sz="6" w:space="0" w:color="auto"/>
              <w:left w:val="single" w:sz="12" w:space="0" w:color="auto"/>
              <w:bottom w:val="single" w:sz="6" w:space="0" w:color="auto"/>
              <w:right w:val="single" w:sz="6" w:space="0" w:color="auto"/>
            </w:tcBorders>
            <w:vAlign w:val="center"/>
          </w:tcPr>
          <w:p w14:paraId="003CFAD9" w14:textId="77777777" w:rsidR="007C550B" w:rsidRPr="007C550B" w:rsidRDefault="007C550B" w:rsidP="007C550B">
            <w:pPr>
              <w:autoSpaceDE w:val="0"/>
              <w:autoSpaceDN w:val="0"/>
              <w:adjustRightInd w:val="0"/>
              <w:spacing w:before="20" w:after="20"/>
              <w:rPr>
                <w:rFonts w:ascii="Arial" w:hAnsi="Arial" w:cs="Arial"/>
                <w:color w:val="000000"/>
                <w:sz w:val="16"/>
                <w:szCs w:val="16"/>
                <w:lang w:val="en-GB" w:bidi="th-TH"/>
              </w:rPr>
            </w:pPr>
            <w:r w:rsidRPr="007C550B">
              <w:rPr>
                <w:rFonts w:ascii="Arial" w:hAnsi="Arial" w:cs="Arial"/>
                <w:color w:val="000000"/>
                <w:sz w:val="16"/>
                <w:szCs w:val="16"/>
                <w:lang w:val="en-GB" w:bidi="th-TH"/>
              </w:rPr>
              <w:t>Production forest</w:t>
            </w:r>
          </w:p>
        </w:tc>
        <w:tc>
          <w:tcPr>
            <w:tcW w:w="900" w:type="dxa"/>
            <w:tcBorders>
              <w:top w:val="single" w:sz="6" w:space="0" w:color="auto"/>
              <w:left w:val="single" w:sz="6" w:space="0" w:color="auto"/>
              <w:bottom w:val="single" w:sz="6" w:space="0" w:color="auto"/>
              <w:right w:val="single" w:sz="6" w:space="0" w:color="auto"/>
            </w:tcBorders>
            <w:vAlign w:val="center"/>
          </w:tcPr>
          <w:p w14:paraId="3E7009B5"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0</w:t>
            </w:r>
          </w:p>
        </w:tc>
        <w:tc>
          <w:tcPr>
            <w:tcW w:w="800" w:type="dxa"/>
            <w:tcBorders>
              <w:top w:val="single" w:sz="6" w:space="0" w:color="auto"/>
              <w:left w:val="single" w:sz="6" w:space="0" w:color="auto"/>
              <w:bottom w:val="single" w:sz="6" w:space="0" w:color="auto"/>
              <w:right w:val="single" w:sz="6" w:space="0" w:color="auto"/>
            </w:tcBorders>
            <w:vAlign w:val="center"/>
          </w:tcPr>
          <w:p w14:paraId="6B314B68"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0</w:t>
            </w:r>
          </w:p>
        </w:tc>
        <w:tc>
          <w:tcPr>
            <w:tcW w:w="892" w:type="dxa"/>
            <w:tcBorders>
              <w:top w:val="single" w:sz="6" w:space="0" w:color="auto"/>
              <w:left w:val="single" w:sz="6" w:space="0" w:color="auto"/>
              <w:bottom w:val="single" w:sz="6" w:space="0" w:color="auto"/>
              <w:right w:val="single" w:sz="6" w:space="0" w:color="auto"/>
            </w:tcBorders>
            <w:vAlign w:val="center"/>
          </w:tcPr>
          <w:p w14:paraId="5D26B729"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611,000</w:t>
            </w:r>
          </w:p>
        </w:tc>
        <w:tc>
          <w:tcPr>
            <w:tcW w:w="1000" w:type="dxa"/>
            <w:tcBorders>
              <w:top w:val="single" w:sz="6" w:space="0" w:color="auto"/>
              <w:left w:val="single" w:sz="6" w:space="0" w:color="auto"/>
              <w:bottom w:val="single" w:sz="6" w:space="0" w:color="auto"/>
              <w:right w:val="single" w:sz="6" w:space="0" w:color="auto"/>
            </w:tcBorders>
            <w:vAlign w:val="center"/>
          </w:tcPr>
          <w:p w14:paraId="314D8CC4"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0</w:t>
            </w:r>
          </w:p>
        </w:tc>
        <w:tc>
          <w:tcPr>
            <w:tcW w:w="808" w:type="dxa"/>
            <w:tcBorders>
              <w:top w:val="single" w:sz="6" w:space="0" w:color="auto"/>
              <w:left w:val="single" w:sz="6" w:space="0" w:color="auto"/>
              <w:bottom w:val="single" w:sz="6" w:space="0" w:color="auto"/>
              <w:right w:val="single" w:sz="6" w:space="0" w:color="auto"/>
            </w:tcBorders>
            <w:vAlign w:val="center"/>
          </w:tcPr>
          <w:p w14:paraId="071E1220"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1,600</w:t>
            </w:r>
          </w:p>
        </w:tc>
        <w:tc>
          <w:tcPr>
            <w:tcW w:w="800" w:type="dxa"/>
            <w:tcBorders>
              <w:top w:val="single" w:sz="6" w:space="0" w:color="auto"/>
              <w:left w:val="single" w:sz="6" w:space="0" w:color="auto"/>
              <w:bottom w:val="single" w:sz="6" w:space="0" w:color="auto"/>
              <w:right w:val="single" w:sz="6" w:space="0" w:color="auto"/>
            </w:tcBorders>
            <w:vAlign w:val="center"/>
          </w:tcPr>
          <w:p w14:paraId="27A9FDB7"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18,000</w:t>
            </w:r>
          </w:p>
        </w:tc>
        <w:tc>
          <w:tcPr>
            <w:tcW w:w="1000" w:type="dxa"/>
            <w:tcBorders>
              <w:top w:val="single" w:sz="6" w:space="0" w:color="auto"/>
              <w:left w:val="single" w:sz="6" w:space="0" w:color="auto"/>
              <w:bottom w:val="single" w:sz="6" w:space="0" w:color="auto"/>
              <w:right w:val="single" w:sz="6" w:space="0" w:color="auto"/>
            </w:tcBorders>
            <w:vAlign w:val="center"/>
          </w:tcPr>
          <w:p w14:paraId="3F770FC6"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631,000</w:t>
            </w:r>
          </w:p>
        </w:tc>
        <w:tc>
          <w:tcPr>
            <w:tcW w:w="600" w:type="dxa"/>
            <w:tcBorders>
              <w:top w:val="single" w:sz="6" w:space="0" w:color="auto"/>
              <w:left w:val="single" w:sz="6" w:space="0" w:color="auto"/>
              <w:bottom w:val="single" w:sz="6" w:space="0" w:color="auto"/>
              <w:right w:val="single" w:sz="12" w:space="0" w:color="auto"/>
            </w:tcBorders>
            <w:vAlign w:val="center"/>
          </w:tcPr>
          <w:p w14:paraId="55A504E8" w14:textId="77777777" w:rsidR="007C550B" w:rsidRPr="007C550B" w:rsidRDefault="007C550B" w:rsidP="007C550B">
            <w:pPr>
              <w:autoSpaceDE w:val="0"/>
              <w:autoSpaceDN w:val="0"/>
              <w:adjustRightInd w:val="0"/>
              <w:spacing w:before="20" w:after="20"/>
              <w:ind w:left="-108"/>
              <w:jc w:val="right"/>
              <w:rPr>
                <w:rFonts w:ascii="Arial" w:hAnsi="Arial" w:cs="Arial"/>
                <w:b/>
                <w:bCs/>
                <w:color w:val="000000"/>
                <w:sz w:val="16"/>
                <w:szCs w:val="16"/>
                <w:lang w:val="en-GB" w:bidi="th-TH"/>
              </w:rPr>
            </w:pPr>
            <w:r w:rsidRPr="007C550B">
              <w:rPr>
                <w:rFonts w:ascii="Arial" w:hAnsi="Arial" w:cs="Arial"/>
                <w:b/>
                <w:bCs/>
                <w:color w:val="000000"/>
                <w:sz w:val="16"/>
                <w:szCs w:val="16"/>
                <w:lang w:val="en-GB" w:bidi="th-TH"/>
              </w:rPr>
              <w:t>49</w:t>
            </w:r>
          </w:p>
        </w:tc>
      </w:tr>
      <w:tr w:rsidR="007C550B" w:rsidRPr="007C550B" w14:paraId="0A6D0C39" w14:textId="77777777" w:rsidTr="000419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5"/>
          <w:jc w:val="center"/>
        </w:trPr>
        <w:tc>
          <w:tcPr>
            <w:tcW w:w="2200" w:type="dxa"/>
            <w:tcBorders>
              <w:top w:val="single" w:sz="6" w:space="0" w:color="auto"/>
              <w:left w:val="single" w:sz="12" w:space="0" w:color="auto"/>
              <w:bottom w:val="single" w:sz="6" w:space="0" w:color="auto"/>
              <w:right w:val="single" w:sz="6" w:space="0" w:color="auto"/>
            </w:tcBorders>
            <w:vAlign w:val="center"/>
          </w:tcPr>
          <w:p w14:paraId="1C8F52D7" w14:textId="77777777" w:rsidR="007C550B" w:rsidRPr="007C550B" w:rsidRDefault="007C550B" w:rsidP="007C550B">
            <w:pPr>
              <w:autoSpaceDE w:val="0"/>
              <w:autoSpaceDN w:val="0"/>
              <w:adjustRightInd w:val="0"/>
              <w:spacing w:before="20" w:after="20"/>
              <w:rPr>
                <w:rFonts w:ascii="Arial" w:hAnsi="Arial" w:cs="Arial"/>
                <w:color w:val="000000"/>
                <w:sz w:val="16"/>
                <w:szCs w:val="16"/>
                <w:lang w:val="en-GB" w:bidi="th-TH"/>
              </w:rPr>
            </w:pPr>
            <w:r w:rsidRPr="007C550B">
              <w:rPr>
                <w:rFonts w:ascii="Arial" w:hAnsi="Arial" w:cs="Arial"/>
                <w:color w:val="000000"/>
                <w:sz w:val="16"/>
                <w:szCs w:val="16"/>
                <w:lang w:val="en-GB" w:bidi="th-TH"/>
              </w:rPr>
              <w:t>Conversion</w:t>
            </w:r>
          </w:p>
        </w:tc>
        <w:tc>
          <w:tcPr>
            <w:tcW w:w="900" w:type="dxa"/>
            <w:tcBorders>
              <w:top w:val="single" w:sz="6" w:space="0" w:color="auto"/>
              <w:left w:val="single" w:sz="6" w:space="0" w:color="auto"/>
              <w:bottom w:val="single" w:sz="6" w:space="0" w:color="auto"/>
              <w:right w:val="single" w:sz="6" w:space="0" w:color="auto"/>
            </w:tcBorders>
            <w:vAlign w:val="center"/>
          </w:tcPr>
          <w:p w14:paraId="4169C04C"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0</w:t>
            </w:r>
          </w:p>
        </w:tc>
        <w:tc>
          <w:tcPr>
            <w:tcW w:w="800" w:type="dxa"/>
            <w:tcBorders>
              <w:top w:val="single" w:sz="6" w:space="0" w:color="auto"/>
              <w:left w:val="single" w:sz="6" w:space="0" w:color="auto"/>
              <w:bottom w:val="single" w:sz="6" w:space="0" w:color="auto"/>
              <w:right w:val="single" w:sz="6" w:space="0" w:color="auto"/>
            </w:tcBorders>
            <w:vAlign w:val="center"/>
          </w:tcPr>
          <w:p w14:paraId="1102F44F"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0</w:t>
            </w:r>
          </w:p>
        </w:tc>
        <w:tc>
          <w:tcPr>
            <w:tcW w:w="892" w:type="dxa"/>
            <w:tcBorders>
              <w:top w:val="single" w:sz="6" w:space="0" w:color="auto"/>
              <w:left w:val="single" w:sz="6" w:space="0" w:color="auto"/>
              <w:bottom w:val="single" w:sz="6" w:space="0" w:color="auto"/>
              <w:right w:val="single" w:sz="6" w:space="0" w:color="auto"/>
            </w:tcBorders>
            <w:vAlign w:val="center"/>
          </w:tcPr>
          <w:p w14:paraId="3963463A"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165,000</w:t>
            </w:r>
          </w:p>
        </w:tc>
        <w:tc>
          <w:tcPr>
            <w:tcW w:w="1000" w:type="dxa"/>
            <w:tcBorders>
              <w:top w:val="single" w:sz="6" w:space="0" w:color="auto"/>
              <w:left w:val="single" w:sz="6" w:space="0" w:color="auto"/>
              <w:bottom w:val="single" w:sz="6" w:space="0" w:color="auto"/>
              <w:right w:val="single" w:sz="6" w:space="0" w:color="auto"/>
            </w:tcBorders>
            <w:vAlign w:val="center"/>
          </w:tcPr>
          <w:p w14:paraId="3089FC82"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0</w:t>
            </w:r>
          </w:p>
        </w:tc>
        <w:tc>
          <w:tcPr>
            <w:tcW w:w="808" w:type="dxa"/>
            <w:tcBorders>
              <w:top w:val="single" w:sz="6" w:space="0" w:color="auto"/>
              <w:left w:val="single" w:sz="6" w:space="0" w:color="auto"/>
              <w:bottom w:val="single" w:sz="6" w:space="0" w:color="auto"/>
              <w:right w:val="single" w:sz="6" w:space="0" w:color="auto"/>
            </w:tcBorders>
            <w:vAlign w:val="center"/>
          </w:tcPr>
          <w:p w14:paraId="38A8CE1C"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0</w:t>
            </w:r>
          </w:p>
        </w:tc>
        <w:tc>
          <w:tcPr>
            <w:tcW w:w="800" w:type="dxa"/>
            <w:tcBorders>
              <w:top w:val="single" w:sz="6" w:space="0" w:color="auto"/>
              <w:left w:val="single" w:sz="6" w:space="0" w:color="auto"/>
              <w:bottom w:val="single" w:sz="6" w:space="0" w:color="auto"/>
              <w:right w:val="single" w:sz="6" w:space="0" w:color="auto"/>
            </w:tcBorders>
            <w:vAlign w:val="center"/>
          </w:tcPr>
          <w:p w14:paraId="3EF7DB91"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0</w:t>
            </w:r>
          </w:p>
        </w:tc>
        <w:tc>
          <w:tcPr>
            <w:tcW w:w="1000" w:type="dxa"/>
            <w:tcBorders>
              <w:top w:val="single" w:sz="6" w:space="0" w:color="auto"/>
              <w:left w:val="single" w:sz="6" w:space="0" w:color="auto"/>
              <w:bottom w:val="single" w:sz="6" w:space="0" w:color="auto"/>
              <w:right w:val="single" w:sz="6" w:space="0" w:color="auto"/>
            </w:tcBorders>
            <w:vAlign w:val="center"/>
          </w:tcPr>
          <w:p w14:paraId="45AF29E2"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165,000</w:t>
            </w:r>
          </w:p>
        </w:tc>
        <w:tc>
          <w:tcPr>
            <w:tcW w:w="600" w:type="dxa"/>
            <w:tcBorders>
              <w:top w:val="single" w:sz="6" w:space="0" w:color="auto"/>
              <w:left w:val="single" w:sz="6" w:space="0" w:color="auto"/>
              <w:bottom w:val="single" w:sz="6" w:space="0" w:color="auto"/>
              <w:right w:val="single" w:sz="12" w:space="0" w:color="auto"/>
            </w:tcBorders>
            <w:vAlign w:val="center"/>
          </w:tcPr>
          <w:p w14:paraId="6BE6A5A1" w14:textId="77777777" w:rsidR="007C550B" w:rsidRPr="007C550B" w:rsidRDefault="007C550B" w:rsidP="007C550B">
            <w:pPr>
              <w:autoSpaceDE w:val="0"/>
              <w:autoSpaceDN w:val="0"/>
              <w:adjustRightInd w:val="0"/>
              <w:spacing w:before="20" w:after="20"/>
              <w:ind w:left="-108"/>
              <w:jc w:val="right"/>
              <w:rPr>
                <w:rFonts w:ascii="Arial" w:hAnsi="Arial" w:cs="Arial"/>
                <w:b/>
                <w:bCs/>
                <w:color w:val="000000"/>
                <w:sz w:val="16"/>
                <w:szCs w:val="16"/>
                <w:lang w:val="en-GB" w:bidi="th-TH"/>
              </w:rPr>
            </w:pPr>
            <w:r w:rsidRPr="007C550B">
              <w:rPr>
                <w:rFonts w:ascii="Arial" w:hAnsi="Arial" w:cs="Arial"/>
                <w:b/>
                <w:bCs/>
                <w:color w:val="000000"/>
                <w:sz w:val="16"/>
                <w:szCs w:val="16"/>
                <w:lang w:val="en-GB" w:bidi="th-TH"/>
              </w:rPr>
              <w:t>13</w:t>
            </w:r>
          </w:p>
        </w:tc>
      </w:tr>
      <w:tr w:rsidR="007C550B" w:rsidRPr="007C550B" w14:paraId="53EE6757" w14:textId="77777777" w:rsidTr="000419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306"/>
          <w:jc w:val="center"/>
        </w:trPr>
        <w:tc>
          <w:tcPr>
            <w:tcW w:w="2200" w:type="dxa"/>
            <w:tcBorders>
              <w:top w:val="single" w:sz="6" w:space="0" w:color="auto"/>
              <w:left w:val="single" w:sz="12" w:space="0" w:color="auto"/>
              <w:bottom w:val="single" w:sz="6" w:space="0" w:color="auto"/>
              <w:right w:val="single" w:sz="6" w:space="0" w:color="auto"/>
            </w:tcBorders>
            <w:vAlign w:val="center"/>
          </w:tcPr>
          <w:p w14:paraId="147AAE91" w14:textId="77777777" w:rsidR="007C550B" w:rsidRPr="007C550B" w:rsidRDefault="007C550B" w:rsidP="007C550B">
            <w:pPr>
              <w:autoSpaceDE w:val="0"/>
              <w:autoSpaceDN w:val="0"/>
              <w:adjustRightInd w:val="0"/>
              <w:spacing w:before="20" w:after="20"/>
              <w:rPr>
                <w:rFonts w:ascii="Arial" w:hAnsi="Arial" w:cs="Arial"/>
                <w:color w:val="000000"/>
                <w:sz w:val="16"/>
                <w:szCs w:val="16"/>
                <w:lang w:val="en-GB" w:bidi="th-TH"/>
              </w:rPr>
            </w:pPr>
            <w:r w:rsidRPr="007C550B">
              <w:rPr>
                <w:rFonts w:ascii="Arial" w:hAnsi="Arial" w:cs="Arial"/>
                <w:color w:val="000000"/>
                <w:sz w:val="16"/>
                <w:szCs w:val="16"/>
                <w:lang w:val="en-GB" w:bidi="th-TH"/>
              </w:rPr>
              <w:t>Parks &amp; Protected Areas (Conservation) non-extractive use</w:t>
            </w:r>
          </w:p>
        </w:tc>
        <w:tc>
          <w:tcPr>
            <w:tcW w:w="900" w:type="dxa"/>
            <w:tcBorders>
              <w:top w:val="single" w:sz="6" w:space="0" w:color="auto"/>
              <w:left w:val="single" w:sz="6" w:space="0" w:color="auto"/>
              <w:bottom w:val="single" w:sz="6" w:space="0" w:color="auto"/>
              <w:right w:val="single" w:sz="6" w:space="0" w:color="auto"/>
            </w:tcBorders>
            <w:vAlign w:val="center"/>
          </w:tcPr>
          <w:p w14:paraId="4187AB92"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13,600</w:t>
            </w:r>
          </w:p>
        </w:tc>
        <w:tc>
          <w:tcPr>
            <w:tcW w:w="800" w:type="dxa"/>
            <w:tcBorders>
              <w:top w:val="single" w:sz="6" w:space="0" w:color="auto"/>
              <w:left w:val="single" w:sz="6" w:space="0" w:color="auto"/>
              <w:bottom w:val="single" w:sz="6" w:space="0" w:color="auto"/>
              <w:right w:val="single" w:sz="6" w:space="0" w:color="auto"/>
            </w:tcBorders>
            <w:vAlign w:val="center"/>
          </w:tcPr>
          <w:p w14:paraId="0CCDD10A"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15,800</w:t>
            </w:r>
          </w:p>
        </w:tc>
        <w:tc>
          <w:tcPr>
            <w:tcW w:w="892" w:type="dxa"/>
            <w:tcBorders>
              <w:top w:val="single" w:sz="6" w:space="0" w:color="auto"/>
              <w:left w:val="single" w:sz="6" w:space="0" w:color="auto"/>
              <w:bottom w:val="single" w:sz="6" w:space="0" w:color="auto"/>
              <w:right w:val="single" w:sz="6" w:space="0" w:color="auto"/>
            </w:tcBorders>
            <w:vAlign w:val="center"/>
          </w:tcPr>
          <w:p w14:paraId="4ED92DAC"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158,000</w:t>
            </w:r>
          </w:p>
        </w:tc>
        <w:tc>
          <w:tcPr>
            <w:tcW w:w="1000" w:type="dxa"/>
            <w:tcBorders>
              <w:top w:val="single" w:sz="6" w:space="0" w:color="auto"/>
              <w:left w:val="single" w:sz="6" w:space="0" w:color="auto"/>
              <w:bottom w:val="single" w:sz="6" w:space="0" w:color="auto"/>
              <w:right w:val="single" w:sz="6" w:space="0" w:color="auto"/>
            </w:tcBorders>
            <w:vAlign w:val="center"/>
          </w:tcPr>
          <w:p w14:paraId="7CB9EC6F"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27,100</w:t>
            </w:r>
          </w:p>
        </w:tc>
        <w:tc>
          <w:tcPr>
            <w:tcW w:w="808" w:type="dxa"/>
            <w:tcBorders>
              <w:top w:val="single" w:sz="6" w:space="0" w:color="auto"/>
              <w:left w:val="single" w:sz="6" w:space="0" w:color="auto"/>
              <w:bottom w:val="single" w:sz="6" w:space="0" w:color="auto"/>
              <w:right w:val="single" w:sz="6" w:space="0" w:color="auto"/>
            </w:tcBorders>
            <w:vAlign w:val="center"/>
          </w:tcPr>
          <w:p w14:paraId="03B04D12"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11,500</w:t>
            </w:r>
          </w:p>
        </w:tc>
        <w:tc>
          <w:tcPr>
            <w:tcW w:w="800" w:type="dxa"/>
            <w:tcBorders>
              <w:top w:val="single" w:sz="6" w:space="0" w:color="auto"/>
              <w:left w:val="single" w:sz="6" w:space="0" w:color="auto"/>
              <w:bottom w:val="single" w:sz="6" w:space="0" w:color="auto"/>
              <w:right w:val="single" w:sz="6" w:space="0" w:color="auto"/>
            </w:tcBorders>
            <w:vAlign w:val="center"/>
          </w:tcPr>
          <w:p w14:paraId="1D897100"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20,000</w:t>
            </w:r>
          </w:p>
        </w:tc>
        <w:tc>
          <w:tcPr>
            <w:tcW w:w="1000" w:type="dxa"/>
            <w:tcBorders>
              <w:top w:val="single" w:sz="6" w:space="0" w:color="auto"/>
              <w:left w:val="single" w:sz="6" w:space="0" w:color="auto"/>
              <w:bottom w:val="single" w:sz="6" w:space="0" w:color="auto"/>
              <w:right w:val="single" w:sz="6" w:space="0" w:color="auto"/>
            </w:tcBorders>
            <w:vAlign w:val="center"/>
          </w:tcPr>
          <w:p w14:paraId="3CC0CF16"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246,000</w:t>
            </w:r>
          </w:p>
        </w:tc>
        <w:tc>
          <w:tcPr>
            <w:tcW w:w="600" w:type="dxa"/>
            <w:tcBorders>
              <w:top w:val="single" w:sz="6" w:space="0" w:color="auto"/>
              <w:left w:val="single" w:sz="6" w:space="0" w:color="auto"/>
              <w:bottom w:val="single" w:sz="6" w:space="0" w:color="auto"/>
              <w:right w:val="single" w:sz="12" w:space="0" w:color="auto"/>
            </w:tcBorders>
            <w:vAlign w:val="center"/>
          </w:tcPr>
          <w:p w14:paraId="4BD560C6" w14:textId="77777777" w:rsidR="007C550B" w:rsidRPr="007C550B" w:rsidRDefault="007C550B" w:rsidP="007C550B">
            <w:pPr>
              <w:autoSpaceDE w:val="0"/>
              <w:autoSpaceDN w:val="0"/>
              <w:adjustRightInd w:val="0"/>
              <w:spacing w:before="20" w:after="20"/>
              <w:ind w:left="-108"/>
              <w:jc w:val="right"/>
              <w:rPr>
                <w:rFonts w:ascii="Arial" w:hAnsi="Arial" w:cs="Arial"/>
                <w:b/>
                <w:bCs/>
                <w:color w:val="000000"/>
                <w:sz w:val="16"/>
                <w:szCs w:val="16"/>
                <w:lang w:val="en-GB" w:bidi="th-TH"/>
              </w:rPr>
            </w:pPr>
            <w:r w:rsidRPr="007C550B">
              <w:rPr>
                <w:rFonts w:ascii="Arial" w:hAnsi="Arial" w:cs="Arial"/>
                <w:b/>
                <w:bCs/>
                <w:color w:val="000000"/>
                <w:sz w:val="16"/>
                <w:szCs w:val="16"/>
                <w:lang w:val="en-GB" w:bidi="th-TH"/>
              </w:rPr>
              <w:t>19</w:t>
            </w:r>
          </w:p>
        </w:tc>
      </w:tr>
      <w:tr w:rsidR="007C550B" w:rsidRPr="007C550B" w14:paraId="21586E5B" w14:textId="77777777" w:rsidTr="000419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272"/>
          <w:jc w:val="center"/>
        </w:trPr>
        <w:tc>
          <w:tcPr>
            <w:tcW w:w="2200" w:type="dxa"/>
            <w:tcBorders>
              <w:top w:val="single" w:sz="6" w:space="0" w:color="auto"/>
              <w:left w:val="single" w:sz="12" w:space="0" w:color="auto"/>
              <w:bottom w:val="single" w:sz="6" w:space="0" w:color="auto"/>
              <w:right w:val="single" w:sz="6" w:space="0" w:color="auto"/>
            </w:tcBorders>
            <w:vAlign w:val="center"/>
          </w:tcPr>
          <w:p w14:paraId="7BFF6585" w14:textId="77777777" w:rsidR="007C550B" w:rsidRPr="007C550B" w:rsidRDefault="007C550B" w:rsidP="007C550B">
            <w:pPr>
              <w:autoSpaceDE w:val="0"/>
              <w:autoSpaceDN w:val="0"/>
              <w:adjustRightInd w:val="0"/>
              <w:spacing w:before="20" w:after="20"/>
              <w:rPr>
                <w:rFonts w:ascii="Arial" w:hAnsi="Arial" w:cs="Arial"/>
                <w:color w:val="000000"/>
                <w:sz w:val="16"/>
                <w:szCs w:val="16"/>
                <w:lang w:val="en-GB" w:bidi="th-TH"/>
              </w:rPr>
            </w:pPr>
            <w:r w:rsidRPr="007C550B">
              <w:rPr>
                <w:rFonts w:ascii="Arial" w:hAnsi="Arial" w:cs="Arial"/>
                <w:color w:val="000000"/>
                <w:sz w:val="16"/>
                <w:szCs w:val="16"/>
                <w:lang w:val="en-GB" w:bidi="th-TH"/>
              </w:rPr>
              <w:t>Non-use of mangrove but extractive resource use (fish, crabs etc.)</w:t>
            </w:r>
          </w:p>
        </w:tc>
        <w:tc>
          <w:tcPr>
            <w:tcW w:w="900" w:type="dxa"/>
            <w:tcBorders>
              <w:top w:val="single" w:sz="6" w:space="0" w:color="auto"/>
              <w:left w:val="single" w:sz="6" w:space="0" w:color="auto"/>
              <w:bottom w:val="single" w:sz="6" w:space="0" w:color="auto"/>
              <w:right w:val="single" w:sz="6" w:space="0" w:color="auto"/>
            </w:tcBorders>
            <w:vAlign w:val="center"/>
          </w:tcPr>
          <w:p w14:paraId="0FE69542"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58,800</w:t>
            </w:r>
          </w:p>
        </w:tc>
        <w:tc>
          <w:tcPr>
            <w:tcW w:w="800" w:type="dxa"/>
            <w:tcBorders>
              <w:top w:val="single" w:sz="6" w:space="0" w:color="auto"/>
              <w:left w:val="single" w:sz="6" w:space="0" w:color="auto"/>
              <w:bottom w:val="single" w:sz="6" w:space="0" w:color="auto"/>
              <w:right w:val="single" w:sz="6" w:space="0" w:color="auto"/>
            </w:tcBorders>
            <w:vAlign w:val="center"/>
          </w:tcPr>
          <w:p w14:paraId="1BF8B4DC"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7,670</w:t>
            </w:r>
          </w:p>
        </w:tc>
        <w:tc>
          <w:tcPr>
            <w:tcW w:w="892" w:type="dxa"/>
            <w:tcBorders>
              <w:top w:val="single" w:sz="6" w:space="0" w:color="auto"/>
              <w:left w:val="single" w:sz="6" w:space="0" w:color="auto"/>
              <w:bottom w:val="single" w:sz="6" w:space="0" w:color="auto"/>
              <w:right w:val="single" w:sz="6" w:space="0" w:color="auto"/>
            </w:tcBorders>
            <w:vAlign w:val="center"/>
          </w:tcPr>
          <w:p w14:paraId="2F3F1205"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0</w:t>
            </w:r>
          </w:p>
        </w:tc>
        <w:tc>
          <w:tcPr>
            <w:tcW w:w="1000" w:type="dxa"/>
            <w:tcBorders>
              <w:top w:val="single" w:sz="6" w:space="0" w:color="auto"/>
              <w:left w:val="single" w:sz="6" w:space="0" w:color="auto"/>
              <w:bottom w:val="single" w:sz="6" w:space="0" w:color="auto"/>
              <w:right w:val="single" w:sz="6" w:space="0" w:color="auto"/>
            </w:tcBorders>
            <w:vAlign w:val="center"/>
          </w:tcPr>
          <w:p w14:paraId="21A32934"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942</w:t>
            </w:r>
          </w:p>
        </w:tc>
        <w:tc>
          <w:tcPr>
            <w:tcW w:w="808" w:type="dxa"/>
            <w:tcBorders>
              <w:top w:val="single" w:sz="6" w:space="0" w:color="auto"/>
              <w:left w:val="single" w:sz="6" w:space="0" w:color="auto"/>
              <w:bottom w:val="single" w:sz="6" w:space="0" w:color="auto"/>
              <w:right w:val="single" w:sz="6" w:space="0" w:color="auto"/>
            </w:tcBorders>
            <w:vAlign w:val="center"/>
          </w:tcPr>
          <w:p w14:paraId="0B706C23"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39,500</w:t>
            </w:r>
          </w:p>
        </w:tc>
        <w:tc>
          <w:tcPr>
            <w:tcW w:w="800" w:type="dxa"/>
            <w:tcBorders>
              <w:top w:val="single" w:sz="6" w:space="0" w:color="auto"/>
              <w:left w:val="single" w:sz="6" w:space="0" w:color="auto"/>
              <w:bottom w:val="single" w:sz="6" w:space="0" w:color="auto"/>
              <w:right w:val="single" w:sz="6" w:space="0" w:color="auto"/>
            </w:tcBorders>
            <w:vAlign w:val="center"/>
          </w:tcPr>
          <w:p w14:paraId="72F12FB0"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119,000</w:t>
            </w:r>
          </w:p>
        </w:tc>
        <w:tc>
          <w:tcPr>
            <w:tcW w:w="1000" w:type="dxa"/>
            <w:tcBorders>
              <w:top w:val="single" w:sz="6" w:space="0" w:color="auto"/>
              <w:left w:val="single" w:sz="6" w:space="0" w:color="auto"/>
              <w:bottom w:val="single" w:sz="6" w:space="0" w:color="auto"/>
              <w:right w:val="single" w:sz="6" w:space="0" w:color="auto"/>
            </w:tcBorders>
            <w:vAlign w:val="center"/>
          </w:tcPr>
          <w:p w14:paraId="29BF5CE3"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226,000</w:t>
            </w:r>
          </w:p>
        </w:tc>
        <w:tc>
          <w:tcPr>
            <w:tcW w:w="600" w:type="dxa"/>
            <w:tcBorders>
              <w:top w:val="single" w:sz="6" w:space="0" w:color="auto"/>
              <w:left w:val="single" w:sz="6" w:space="0" w:color="auto"/>
              <w:bottom w:val="single" w:sz="6" w:space="0" w:color="auto"/>
              <w:right w:val="single" w:sz="12" w:space="0" w:color="auto"/>
            </w:tcBorders>
            <w:vAlign w:val="center"/>
          </w:tcPr>
          <w:p w14:paraId="2D5B4450" w14:textId="77777777" w:rsidR="007C550B" w:rsidRPr="007C550B" w:rsidRDefault="007C550B" w:rsidP="007C550B">
            <w:pPr>
              <w:autoSpaceDE w:val="0"/>
              <w:autoSpaceDN w:val="0"/>
              <w:adjustRightInd w:val="0"/>
              <w:spacing w:before="20" w:after="20"/>
              <w:ind w:left="-108"/>
              <w:jc w:val="right"/>
              <w:rPr>
                <w:rFonts w:ascii="Arial" w:hAnsi="Arial" w:cs="Arial"/>
                <w:b/>
                <w:bCs/>
                <w:color w:val="000000"/>
                <w:sz w:val="16"/>
                <w:szCs w:val="16"/>
                <w:lang w:val="en-GB" w:bidi="th-TH"/>
              </w:rPr>
            </w:pPr>
            <w:r w:rsidRPr="007C550B">
              <w:rPr>
                <w:rFonts w:ascii="Arial" w:hAnsi="Arial" w:cs="Arial"/>
                <w:b/>
                <w:bCs/>
                <w:color w:val="000000"/>
                <w:sz w:val="16"/>
                <w:szCs w:val="16"/>
                <w:lang w:val="en-GB" w:bidi="th-TH"/>
              </w:rPr>
              <w:t>18</w:t>
            </w:r>
          </w:p>
        </w:tc>
      </w:tr>
      <w:tr w:rsidR="007C550B" w:rsidRPr="007C550B" w14:paraId="46D07B22" w14:textId="77777777" w:rsidTr="000419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5"/>
          <w:jc w:val="center"/>
        </w:trPr>
        <w:tc>
          <w:tcPr>
            <w:tcW w:w="2200" w:type="dxa"/>
            <w:tcBorders>
              <w:top w:val="single" w:sz="6" w:space="0" w:color="auto"/>
              <w:left w:val="single" w:sz="12" w:space="0" w:color="auto"/>
              <w:bottom w:val="single" w:sz="6" w:space="0" w:color="auto"/>
              <w:right w:val="single" w:sz="6" w:space="0" w:color="auto"/>
            </w:tcBorders>
            <w:vAlign w:val="center"/>
          </w:tcPr>
          <w:p w14:paraId="588E62DD" w14:textId="77777777" w:rsidR="007C550B" w:rsidRPr="007C550B" w:rsidRDefault="007C550B" w:rsidP="007C550B">
            <w:pPr>
              <w:autoSpaceDE w:val="0"/>
              <w:autoSpaceDN w:val="0"/>
              <w:adjustRightInd w:val="0"/>
              <w:spacing w:before="20" w:after="20"/>
              <w:rPr>
                <w:rFonts w:ascii="Arial" w:hAnsi="Arial" w:cs="Arial"/>
                <w:color w:val="000000"/>
                <w:sz w:val="16"/>
                <w:szCs w:val="16"/>
                <w:lang w:val="en-GB" w:bidi="th-TH"/>
              </w:rPr>
            </w:pPr>
            <w:smartTag w:uri="urn:schemas-microsoft-com:office:smarttags" w:element="place">
              <w:smartTag w:uri="urn:schemas-microsoft-com:office:smarttags" w:element="PlaceName">
                <w:r w:rsidRPr="007C550B">
                  <w:rPr>
                    <w:rFonts w:ascii="Arial" w:hAnsi="Arial" w:cs="Arial"/>
                    <w:color w:val="000000"/>
                    <w:sz w:val="16"/>
                    <w:szCs w:val="16"/>
                    <w:lang w:val="en-GB" w:bidi="th-TH"/>
                  </w:rPr>
                  <w:t>Private</w:t>
                </w:r>
              </w:smartTag>
              <w:r w:rsidRPr="007C550B">
                <w:rPr>
                  <w:rFonts w:ascii="Arial" w:hAnsi="Arial" w:cs="Arial"/>
                  <w:color w:val="000000"/>
                  <w:sz w:val="16"/>
                  <w:szCs w:val="16"/>
                  <w:lang w:val="en-GB" w:bidi="th-TH"/>
                </w:rPr>
                <w:t xml:space="preserve"> </w:t>
              </w:r>
              <w:smartTag w:uri="urn:schemas-microsoft-com:office:smarttags" w:element="PlaceType">
                <w:r w:rsidRPr="007C550B">
                  <w:rPr>
                    <w:rFonts w:ascii="Arial" w:hAnsi="Arial" w:cs="Arial"/>
                    <w:color w:val="000000"/>
                    <w:sz w:val="16"/>
                    <w:szCs w:val="16"/>
                    <w:lang w:val="en-GB" w:bidi="th-TH"/>
                  </w:rPr>
                  <w:t>land</w:t>
                </w:r>
              </w:smartTag>
            </w:smartTag>
            <w:r w:rsidRPr="007C550B">
              <w:rPr>
                <w:rFonts w:ascii="Arial" w:hAnsi="Arial" w:cs="Arial"/>
                <w:color w:val="000000"/>
                <w:sz w:val="16"/>
                <w:szCs w:val="16"/>
                <w:lang w:val="en-GB" w:bidi="th-TH"/>
              </w:rPr>
              <w:t>, unregulated use</w:t>
            </w:r>
          </w:p>
        </w:tc>
        <w:tc>
          <w:tcPr>
            <w:tcW w:w="900" w:type="dxa"/>
            <w:tcBorders>
              <w:top w:val="single" w:sz="6" w:space="0" w:color="auto"/>
              <w:left w:val="single" w:sz="6" w:space="0" w:color="auto"/>
              <w:bottom w:val="single" w:sz="6" w:space="0" w:color="auto"/>
              <w:right w:val="single" w:sz="6" w:space="0" w:color="auto"/>
            </w:tcBorders>
            <w:vAlign w:val="center"/>
          </w:tcPr>
          <w:p w14:paraId="69738EE6"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0</w:t>
            </w:r>
          </w:p>
        </w:tc>
        <w:tc>
          <w:tcPr>
            <w:tcW w:w="800" w:type="dxa"/>
            <w:tcBorders>
              <w:top w:val="single" w:sz="6" w:space="0" w:color="auto"/>
              <w:left w:val="single" w:sz="6" w:space="0" w:color="auto"/>
              <w:bottom w:val="single" w:sz="6" w:space="0" w:color="auto"/>
              <w:right w:val="single" w:sz="6" w:space="0" w:color="auto"/>
            </w:tcBorders>
            <w:vAlign w:val="center"/>
          </w:tcPr>
          <w:p w14:paraId="113E0CDC"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0</w:t>
            </w:r>
          </w:p>
        </w:tc>
        <w:tc>
          <w:tcPr>
            <w:tcW w:w="892" w:type="dxa"/>
            <w:tcBorders>
              <w:top w:val="single" w:sz="6" w:space="0" w:color="auto"/>
              <w:left w:val="single" w:sz="6" w:space="0" w:color="auto"/>
              <w:bottom w:val="single" w:sz="6" w:space="0" w:color="auto"/>
              <w:right w:val="single" w:sz="6" w:space="0" w:color="auto"/>
            </w:tcBorders>
            <w:vAlign w:val="center"/>
          </w:tcPr>
          <w:p w14:paraId="14801EB4"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0</w:t>
            </w:r>
          </w:p>
        </w:tc>
        <w:tc>
          <w:tcPr>
            <w:tcW w:w="1000" w:type="dxa"/>
            <w:tcBorders>
              <w:top w:val="single" w:sz="6" w:space="0" w:color="auto"/>
              <w:left w:val="single" w:sz="6" w:space="0" w:color="auto"/>
              <w:bottom w:val="single" w:sz="6" w:space="0" w:color="auto"/>
              <w:right w:val="single" w:sz="6" w:space="0" w:color="auto"/>
            </w:tcBorders>
            <w:vAlign w:val="center"/>
          </w:tcPr>
          <w:p w14:paraId="12269D82"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0</w:t>
            </w:r>
          </w:p>
        </w:tc>
        <w:tc>
          <w:tcPr>
            <w:tcW w:w="808" w:type="dxa"/>
            <w:tcBorders>
              <w:top w:val="single" w:sz="6" w:space="0" w:color="auto"/>
              <w:left w:val="single" w:sz="6" w:space="0" w:color="auto"/>
              <w:bottom w:val="single" w:sz="6" w:space="0" w:color="auto"/>
              <w:right w:val="single" w:sz="6" w:space="0" w:color="auto"/>
            </w:tcBorders>
            <w:vAlign w:val="center"/>
          </w:tcPr>
          <w:p w14:paraId="6E754DF4"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10,000</w:t>
            </w:r>
          </w:p>
        </w:tc>
        <w:tc>
          <w:tcPr>
            <w:tcW w:w="800" w:type="dxa"/>
            <w:tcBorders>
              <w:top w:val="single" w:sz="6" w:space="0" w:color="auto"/>
              <w:left w:val="single" w:sz="6" w:space="0" w:color="auto"/>
              <w:bottom w:val="single" w:sz="6" w:space="0" w:color="auto"/>
              <w:right w:val="single" w:sz="6" w:space="0" w:color="auto"/>
            </w:tcBorders>
            <w:vAlign w:val="center"/>
          </w:tcPr>
          <w:p w14:paraId="253C7FA8"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0</w:t>
            </w:r>
          </w:p>
        </w:tc>
        <w:tc>
          <w:tcPr>
            <w:tcW w:w="1000" w:type="dxa"/>
            <w:tcBorders>
              <w:top w:val="single" w:sz="6" w:space="0" w:color="auto"/>
              <w:left w:val="single" w:sz="6" w:space="0" w:color="auto"/>
              <w:bottom w:val="single" w:sz="6" w:space="0" w:color="auto"/>
              <w:right w:val="single" w:sz="6" w:space="0" w:color="auto"/>
            </w:tcBorders>
            <w:vAlign w:val="center"/>
          </w:tcPr>
          <w:p w14:paraId="1CFA06CE"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10,000</w:t>
            </w:r>
          </w:p>
        </w:tc>
        <w:tc>
          <w:tcPr>
            <w:tcW w:w="600" w:type="dxa"/>
            <w:tcBorders>
              <w:top w:val="single" w:sz="6" w:space="0" w:color="auto"/>
              <w:left w:val="single" w:sz="6" w:space="0" w:color="auto"/>
              <w:bottom w:val="single" w:sz="6" w:space="0" w:color="auto"/>
              <w:right w:val="single" w:sz="12" w:space="0" w:color="auto"/>
            </w:tcBorders>
            <w:vAlign w:val="center"/>
          </w:tcPr>
          <w:p w14:paraId="3EE3DE35" w14:textId="77777777" w:rsidR="007C550B" w:rsidRPr="007C550B" w:rsidRDefault="007C550B" w:rsidP="007C550B">
            <w:pPr>
              <w:autoSpaceDE w:val="0"/>
              <w:autoSpaceDN w:val="0"/>
              <w:adjustRightInd w:val="0"/>
              <w:spacing w:before="20" w:after="20"/>
              <w:ind w:left="-108"/>
              <w:jc w:val="right"/>
              <w:rPr>
                <w:rFonts w:ascii="Arial" w:hAnsi="Arial" w:cs="Arial"/>
                <w:b/>
                <w:bCs/>
                <w:color w:val="000000"/>
                <w:sz w:val="16"/>
                <w:szCs w:val="16"/>
                <w:lang w:val="en-GB" w:bidi="th-TH"/>
              </w:rPr>
            </w:pPr>
            <w:r w:rsidRPr="007C550B">
              <w:rPr>
                <w:rFonts w:ascii="Arial" w:hAnsi="Arial" w:cs="Arial"/>
                <w:b/>
                <w:bCs/>
                <w:color w:val="000000"/>
                <w:sz w:val="16"/>
                <w:szCs w:val="16"/>
                <w:lang w:val="en-GB" w:bidi="th-TH"/>
              </w:rPr>
              <w:t>0.8</w:t>
            </w:r>
          </w:p>
        </w:tc>
      </w:tr>
      <w:tr w:rsidR="007C550B" w:rsidRPr="007C550B" w14:paraId="169C0C82" w14:textId="77777777" w:rsidTr="000419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221"/>
          <w:jc w:val="center"/>
        </w:trPr>
        <w:tc>
          <w:tcPr>
            <w:tcW w:w="2200" w:type="dxa"/>
            <w:tcBorders>
              <w:top w:val="single" w:sz="6" w:space="0" w:color="auto"/>
              <w:left w:val="single" w:sz="12" w:space="0" w:color="auto"/>
              <w:bottom w:val="single" w:sz="6" w:space="0" w:color="auto"/>
              <w:right w:val="single" w:sz="6" w:space="0" w:color="auto"/>
            </w:tcBorders>
            <w:vAlign w:val="center"/>
          </w:tcPr>
          <w:p w14:paraId="4710A610" w14:textId="77777777" w:rsidR="007C550B" w:rsidRPr="007C550B" w:rsidRDefault="007C550B" w:rsidP="007C550B">
            <w:pPr>
              <w:autoSpaceDE w:val="0"/>
              <w:autoSpaceDN w:val="0"/>
              <w:adjustRightInd w:val="0"/>
              <w:spacing w:before="20" w:after="20"/>
              <w:rPr>
                <w:rFonts w:ascii="Arial" w:hAnsi="Arial" w:cs="Arial"/>
                <w:color w:val="000000"/>
                <w:sz w:val="16"/>
                <w:szCs w:val="16"/>
                <w:lang w:val="en-GB" w:bidi="th-TH"/>
              </w:rPr>
            </w:pPr>
            <w:r w:rsidRPr="007C550B">
              <w:rPr>
                <w:rFonts w:ascii="Arial" w:hAnsi="Arial" w:cs="Arial"/>
                <w:color w:val="000000"/>
                <w:sz w:val="16"/>
                <w:szCs w:val="16"/>
                <w:lang w:val="en-GB" w:bidi="th-TH"/>
              </w:rPr>
              <w:t>Area currently under management Regulated in laws/regulations</w:t>
            </w:r>
          </w:p>
        </w:tc>
        <w:tc>
          <w:tcPr>
            <w:tcW w:w="900" w:type="dxa"/>
            <w:tcBorders>
              <w:top w:val="single" w:sz="6" w:space="0" w:color="auto"/>
              <w:left w:val="single" w:sz="6" w:space="0" w:color="auto"/>
              <w:bottom w:val="single" w:sz="6" w:space="0" w:color="auto"/>
              <w:right w:val="single" w:sz="6" w:space="0" w:color="auto"/>
            </w:tcBorders>
            <w:vAlign w:val="center"/>
          </w:tcPr>
          <w:p w14:paraId="64BF7E11"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13,600</w:t>
            </w:r>
          </w:p>
        </w:tc>
        <w:tc>
          <w:tcPr>
            <w:tcW w:w="800" w:type="dxa"/>
            <w:tcBorders>
              <w:top w:val="single" w:sz="6" w:space="0" w:color="auto"/>
              <w:left w:val="single" w:sz="6" w:space="0" w:color="auto"/>
              <w:bottom w:val="single" w:sz="6" w:space="0" w:color="auto"/>
              <w:right w:val="single" w:sz="6" w:space="0" w:color="auto"/>
            </w:tcBorders>
            <w:vAlign w:val="center"/>
          </w:tcPr>
          <w:p w14:paraId="21542C3E"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15,800</w:t>
            </w:r>
          </w:p>
        </w:tc>
        <w:tc>
          <w:tcPr>
            <w:tcW w:w="892" w:type="dxa"/>
            <w:tcBorders>
              <w:top w:val="single" w:sz="6" w:space="0" w:color="auto"/>
              <w:left w:val="single" w:sz="6" w:space="0" w:color="auto"/>
              <w:bottom w:val="single" w:sz="6" w:space="0" w:color="auto"/>
              <w:right w:val="single" w:sz="6" w:space="0" w:color="auto"/>
            </w:tcBorders>
            <w:vAlign w:val="center"/>
          </w:tcPr>
          <w:p w14:paraId="353206BD"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769,000</w:t>
            </w:r>
          </w:p>
        </w:tc>
        <w:tc>
          <w:tcPr>
            <w:tcW w:w="1000" w:type="dxa"/>
            <w:tcBorders>
              <w:top w:val="single" w:sz="6" w:space="0" w:color="auto"/>
              <w:left w:val="single" w:sz="6" w:space="0" w:color="auto"/>
              <w:bottom w:val="single" w:sz="6" w:space="0" w:color="auto"/>
              <w:right w:val="single" w:sz="6" w:space="0" w:color="auto"/>
            </w:tcBorders>
            <w:vAlign w:val="center"/>
          </w:tcPr>
          <w:p w14:paraId="5B394DAF"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27,100</w:t>
            </w:r>
          </w:p>
        </w:tc>
        <w:tc>
          <w:tcPr>
            <w:tcW w:w="808" w:type="dxa"/>
            <w:tcBorders>
              <w:top w:val="single" w:sz="6" w:space="0" w:color="auto"/>
              <w:left w:val="single" w:sz="6" w:space="0" w:color="auto"/>
              <w:bottom w:val="single" w:sz="6" w:space="0" w:color="auto"/>
              <w:right w:val="single" w:sz="6" w:space="0" w:color="auto"/>
            </w:tcBorders>
            <w:vAlign w:val="center"/>
          </w:tcPr>
          <w:p w14:paraId="40662849"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11,500</w:t>
            </w:r>
          </w:p>
        </w:tc>
        <w:tc>
          <w:tcPr>
            <w:tcW w:w="800" w:type="dxa"/>
            <w:tcBorders>
              <w:top w:val="single" w:sz="6" w:space="0" w:color="auto"/>
              <w:left w:val="single" w:sz="6" w:space="0" w:color="auto"/>
              <w:bottom w:val="single" w:sz="6" w:space="0" w:color="auto"/>
              <w:right w:val="single" w:sz="6" w:space="0" w:color="auto"/>
            </w:tcBorders>
            <w:vAlign w:val="center"/>
          </w:tcPr>
          <w:p w14:paraId="2A246012"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155,000</w:t>
            </w:r>
          </w:p>
        </w:tc>
        <w:tc>
          <w:tcPr>
            <w:tcW w:w="1000" w:type="dxa"/>
            <w:tcBorders>
              <w:top w:val="single" w:sz="6" w:space="0" w:color="auto"/>
              <w:left w:val="single" w:sz="6" w:space="0" w:color="auto"/>
              <w:bottom w:val="single" w:sz="6" w:space="0" w:color="auto"/>
              <w:right w:val="single" w:sz="6" w:space="0" w:color="auto"/>
            </w:tcBorders>
            <w:vAlign w:val="center"/>
          </w:tcPr>
          <w:p w14:paraId="50866D6D"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992,000</w:t>
            </w:r>
          </w:p>
        </w:tc>
        <w:tc>
          <w:tcPr>
            <w:tcW w:w="600" w:type="dxa"/>
            <w:tcBorders>
              <w:top w:val="single" w:sz="6" w:space="0" w:color="auto"/>
              <w:left w:val="single" w:sz="6" w:space="0" w:color="auto"/>
              <w:bottom w:val="single" w:sz="6" w:space="0" w:color="auto"/>
              <w:right w:val="single" w:sz="12" w:space="0" w:color="auto"/>
            </w:tcBorders>
            <w:vAlign w:val="center"/>
          </w:tcPr>
          <w:p w14:paraId="5020D519" w14:textId="77777777" w:rsidR="007C550B" w:rsidRPr="007C550B" w:rsidRDefault="007C550B" w:rsidP="007C550B">
            <w:pPr>
              <w:autoSpaceDE w:val="0"/>
              <w:autoSpaceDN w:val="0"/>
              <w:adjustRightInd w:val="0"/>
              <w:spacing w:before="20" w:after="20"/>
              <w:ind w:left="-108"/>
              <w:jc w:val="right"/>
              <w:rPr>
                <w:rFonts w:ascii="Arial" w:hAnsi="Arial" w:cs="Arial"/>
                <w:b/>
                <w:bCs/>
                <w:color w:val="000000"/>
                <w:sz w:val="16"/>
                <w:szCs w:val="16"/>
                <w:lang w:val="en-GB" w:bidi="th-TH"/>
              </w:rPr>
            </w:pPr>
            <w:r w:rsidRPr="007C550B">
              <w:rPr>
                <w:rFonts w:ascii="Arial" w:hAnsi="Arial" w:cs="Arial"/>
                <w:b/>
                <w:bCs/>
                <w:color w:val="000000"/>
                <w:sz w:val="16"/>
                <w:szCs w:val="16"/>
                <w:lang w:val="en-GB" w:bidi="th-TH"/>
              </w:rPr>
              <w:t>78</w:t>
            </w:r>
          </w:p>
        </w:tc>
      </w:tr>
      <w:tr w:rsidR="007C550B" w:rsidRPr="007C550B" w14:paraId="0DC5B715" w14:textId="77777777" w:rsidTr="000419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187"/>
          <w:jc w:val="center"/>
        </w:trPr>
        <w:tc>
          <w:tcPr>
            <w:tcW w:w="2200" w:type="dxa"/>
            <w:tcBorders>
              <w:top w:val="single" w:sz="6" w:space="0" w:color="auto"/>
              <w:left w:val="single" w:sz="12" w:space="0" w:color="auto"/>
              <w:bottom w:val="single" w:sz="12" w:space="0" w:color="auto"/>
              <w:right w:val="single" w:sz="6" w:space="0" w:color="auto"/>
            </w:tcBorders>
            <w:vAlign w:val="center"/>
          </w:tcPr>
          <w:p w14:paraId="7B988455" w14:textId="77777777" w:rsidR="007C550B" w:rsidRPr="007C550B" w:rsidRDefault="007C550B" w:rsidP="007C550B">
            <w:pPr>
              <w:autoSpaceDE w:val="0"/>
              <w:autoSpaceDN w:val="0"/>
              <w:adjustRightInd w:val="0"/>
              <w:spacing w:before="20" w:after="20"/>
              <w:rPr>
                <w:rFonts w:ascii="Arial" w:hAnsi="Arial" w:cs="Arial"/>
                <w:color w:val="000000"/>
                <w:sz w:val="16"/>
                <w:szCs w:val="16"/>
                <w:lang w:val="en-GB" w:bidi="th-TH"/>
              </w:rPr>
            </w:pPr>
            <w:r w:rsidRPr="007C550B">
              <w:rPr>
                <w:rFonts w:ascii="Arial" w:hAnsi="Arial" w:cs="Arial"/>
                <w:color w:val="000000"/>
                <w:sz w:val="16"/>
                <w:szCs w:val="16"/>
                <w:lang w:val="en-GB" w:bidi="th-TH"/>
              </w:rPr>
              <w:t>Areas estimated as currently under sustainable management</w:t>
            </w:r>
            <w:r w:rsidRPr="007C550B">
              <w:rPr>
                <w:rFonts w:ascii="Arial" w:hAnsi="Arial" w:cs="Arial"/>
                <w:sz w:val="18"/>
                <w:szCs w:val="16"/>
                <w:vertAlign w:val="superscript"/>
                <w:lang w:val="en-GB" w:bidi="th-TH"/>
              </w:rPr>
              <w:footnoteReference w:id="60"/>
            </w:r>
          </w:p>
        </w:tc>
        <w:tc>
          <w:tcPr>
            <w:tcW w:w="900" w:type="dxa"/>
            <w:tcBorders>
              <w:top w:val="single" w:sz="6" w:space="0" w:color="auto"/>
              <w:left w:val="single" w:sz="6" w:space="0" w:color="auto"/>
              <w:bottom w:val="single" w:sz="12" w:space="0" w:color="auto"/>
              <w:right w:val="single" w:sz="6" w:space="0" w:color="auto"/>
            </w:tcBorders>
            <w:vAlign w:val="center"/>
          </w:tcPr>
          <w:p w14:paraId="2519980F"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13,600</w:t>
            </w:r>
            <w:r w:rsidRPr="007C550B">
              <w:rPr>
                <w:rFonts w:ascii="Arial" w:hAnsi="Arial" w:cs="Arial"/>
                <w:color w:val="000000"/>
                <w:sz w:val="16"/>
                <w:szCs w:val="16"/>
                <w:lang w:val="en-GB" w:bidi="th-TH"/>
              </w:rPr>
              <w:br/>
              <w:t>8,820</w:t>
            </w:r>
          </w:p>
        </w:tc>
        <w:tc>
          <w:tcPr>
            <w:tcW w:w="800" w:type="dxa"/>
            <w:tcBorders>
              <w:top w:val="single" w:sz="6" w:space="0" w:color="auto"/>
              <w:left w:val="single" w:sz="6" w:space="0" w:color="auto"/>
              <w:bottom w:val="single" w:sz="12" w:space="0" w:color="auto"/>
              <w:right w:val="single" w:sz="6" w:space="0" w:color="auto"/>
            </w:tcBorders>
            <w:vAlign w:val="center"/>
          </w:tcPr>
          <w:p w14:paraId="61EB2F92"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15,800</w:t>
            </w:r>
            <w:r w:rsidRPr="007C550B">
              <w:rPr>
                <w:rFonts w:ascii="Arial" w:hAnsi="Arial" w:cs="Arial"/>
                <w:color w:val="000000"/>
                <w:sz w:val="16"/>
                <w:szCs w:val="16"/>
                <w:lang w:val="en-GB" w:bidi="th-TH"/>
              </w:rPr>
              <w:br/>
              <w:t>1,000</w:t>
            </w:r>
            <w:r w:rsidRPr="007C550B">
              <w:rPr>
                <w:rFonts w:ascii="Arial" w:hAnsi="Arial" w:cs="Arial"/>
                <w:color w:val="000000"/>
                <w:sz w:val="18"/>
                <w:szCs w:val="18"/>
                <w:vertAlign w:val="superscript"/>
                <w:lang w:val="en-GB" w:bidi="th-TH"/>
              </w:rPr>
              <w:footnoteReference w:id="61"/>
            </w:r>
          </w:p>
        </w:tc>
        <w:tc>
          <w:tcPr>
            <w:tcW w:w="892" w:type="dxa"/>
            <w:tcBorders>
              <w:top w:val="single" w:sz="6" w:space="0" w:color="auto"/>
              <w:left w:val="single" w:sz="6" w:space="0" w:color="auto"/>
              <w:bottom w:val="single" w:sz="12" w:space="0" w:color="auto"/>
              <w:right w:val="single" w:sz="6" w:space="0" w:color="auto"/>
            </w:tcBorders>
            <w:vAlign w:val="center"/>
          </w:tcPr>
          <w:p w14:paraId="168CCFC1"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158,000</w:t>
            </w:r>
            <w:r w:rsidRPr="007C550B">
              <w:rPr>
                <w:rFonts w:ascii="Arial" w:hAnsi="Arial" w:cs="Arial"/>
                <w:color w:val="000000"/>
                <w:sz w:val="16"/>
                <w:szCs w:val="16"/>
                <w:lang w:val="en-GB" w:bidi="th-TH"/>
              </w:rPr>
              <w:br/>
              <w:t>100,000</w:t>
            </w:r>
          </w:p>
        </w:tc>
        <w:tc>
          <w:tcPr>
            <w:tcW w:w="1000" w:type="dxa"/>
            <w:tcBorders>
              <w:top w:val="single" w:sz="6" w:space="0" w:color="auto"/>
              <w:left w:val="single" w:sz="6" w:space="0" w:color="auto"/>
              <w:bottom w:val="single" w:sz="12" w:space="0" w:color="auto"/>
              <w:right w:val="single" w:sz="6" w:space="0" w:color="auto"/>
            </w:tcBorders>
            <w:vAlign w:val="center"/>
          </w:tcPr>
          <w:p w14:paraId="330ADF2E"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26,000</w:t>
            </w:r>
          </w:p>
        </w:tc>
        <w:tc>
          <w:tcPr>
            <w:tcW w:w="808" w:type="dxa"/>
            <w:tcBorders>
              <w:top w:val="single" w:sz="6" w:space="0" w:color="auto"/>
              <w:left w:val="single" w:sz="6" w:space="0" w:color="auto"/>
              <w:bottom w:val="single" w:sz="12" w:space="0" w:color="auto"/>
              <w:right w:val="single" w:sz="6" w:space="0" w:color="auto"/>
            </w:tcBorders>
            <w:vAlign w:val="center"/>
          </w:tcPr>
          <w:p w14:paraId="4320A6CD"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11,500</w:t>
            </w:r>
            <w:r w:rsidRPr="007C550B">
              <w:rPr>
                <w:rFonts w:ascii="Arial" w:hAnsi="Arial" w:cs="Arial"/>
                <w:color w:val="000000"/>
                <w:sz w:val="16"/>
                <w:szCs w:val="16"/>
                <w:lang w:val="en-GB" w:bidi="th-TH"/>
              </w:rPr>
              <w:br/>
              <w:t>1,600</w:t>
            </w:r>
          </w:p>
        </w:tc>
        <w:tc>
          <w:tcPr>
            <w:tcW w:w="800" w:type="dxa"/>
            <w:tcBorders>
              <w:top w:val="single" w:sz="6" w:space="0" w:color="auto"/>
              <w:left w:val="single" w:sz="6" w:space="0" w:color="auto"/>
              <w:bottom w:val="single" w:sz="12" w:space="0" w:color="auto"/>
              <w:right w:val="single" w:sz="6" w:space="0" w:color="auto"/>
            </w:tcBorders>
            <w:vAlign w:val="center"/>
          </w:tcPr>
          <w:p w14:paraId="56ABDE10"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20,000</w:t>
            </w:r>
            <w:r w:rsidRPr="007C550B">
              <w:rPr>
                <w:rFonts w:ascii="Arial" w:hAnsi="Arial" w:cs="Arial"/>
                <w:color w:val="000000"/>
                <w:sz w:val="16"/>
                <w:szCs w:val="16"/>
                <w:lang w:val="en-GB" w:bidi="th-TH"/>
              </w:rPr>
              <w:br/>
              <w:t>18,000</w:t>
            </w:r>
            <w:r w:rsidRPr="007C550B">
              <w:rPr>
                <w:rFonts w:ascii="Arial" w:hAnsi="Arial" w:cs="Arial"/>
                <w:color w:val="000000"/>
                <w:sz w:val="16"/>
                <w:szCs w:val="16"/>
                <w:lang w:val="en-GB" w:bidi="th-TH"/>
              </w:rPr>
              <w:br/>
              <w:t>46,600</w:t>
            </w:r>
          </w:p>
        </w:tc>
        <w:tc>
          <w:tcPr>
            <w:tcW w:w="1000" w:type="dxa"/>
            <w:tcBorders>
              <w:top w:val="single" w:sz="6" w:space="0" w:color="auto"/>
              <w:left w:val="single" w:sz="6" w:space="0" w:color="auto"/>
              <w:bottom w:val="single" w:sz="12" w:space="0" w:color="auto"/>
              <w:right w:val="single" w:sz="6" w:space="0" w:color="auto"/>
            </w:tcBorders>
            <w:vAlign w:val="center"/>
          </w:tcPr>
          <w:p w14:paraId="1A72F29E" w14:textId="77777777" w:rsidR="007C550B" w:rsidRPr="007C550B" w:rsidRDefault="007C550B" w:rsidP="007C550B">
            <w:pPr>
              <w:autoSpaceDE w:val="0"/>
              <w:autoSpaceDN w:val="0"/>
              <w:adjustRightInd w:val="0"/>
              <w:spacing w:before="20" w:after="20"/>
              <w:jc w:val="right"/>
              <w:rPr>
                <w:rFonts w:ascii="Arial" w:hAnsi="Arial" w:cs="Arial"/>
                <w:color w:val="000000"/>
                <w:sz w:val="16"/>
                <w:szCs w:val="16"/>
                <w:lang w:val="en-GB" w:bidi="th-TH"/>
              </w:rPr>
            </w:pPr>
            <w:r w:rsidRPr="007C550B">
              <w:rPr>
                <w:rFonts w:ascii="Arial" w:hAnsi="Arial" w:cs="Arial"/>
                <w:color w:val="000000"/>
                <w:sz w:val="16"/>
                <w:szCs w:val="16"/>
                <w:lang w:val="en-GB" w:bidi="th-TH"/>
              </w:rPr>
              <w:t>421,000</w:t>
            </w:r>
          </w:p>
        </w:tc>
        <w:tc>
          <w:tcPr>
            <w:tcW w:w="600" w:type="dxa"/>
            <w:tcBorders>
              <w:top w:val="single" w:sz="6" w:space="0" w:color="auto"/>
              <w:left w:val="single" w:sz="6" w:space="0" w:color="auto"/>
              <w:bottom w:val="single" w:sz="12" w:space="0" w:color="auto"/>
              <w:right w:val="single" w:sz="12" w:space="0" w:color="auto"/>
            </w:tcBorders>
            <w:vAlign w:val="center"/>
          </w:tcPr>
          <w:p w14:paraId="46D252F7" w14:textId="77777777" w:rsidR="007C550B" w:rsidRPr="007C550B" w:rsidRDefault="007C550B" w:rsidP="007C550B">
            <w:pPr>
              <w:autoSpaceDE w:val="0"/>
              <w:autoSpaceDN w:val="0"/>
              <w:adjustRightInd w:val="0"/>
              <w:spacing w:before="20" w:after="20"/>
              <w:ind w:left="-108"/>
              <w:jc w:val="right"/>
              <w:rPr>
                <w:rFonts w:ascii="Arial" w:hAnsi="Arial" w:cs="Arial"/>
                <w:b/>
                <w:bCs/>
                <w:color w:val="000000"/>
                <w:sz w:val="16"/>
                <w:szCs w:val="16"/>
                <w:lang w:val="en-GB" w:bidi="th-TH"/>
              </w:rPr>
            </w:pPr>
            <w:r w:rsidRPr="007C550B">
              <w:rPr>
                <w:rFonts w:ascii="Arial" w:hAnsi="Arial" w:cs="Arial"/>
                <w:b/>
                <w:bCs/>
                <w:color w:val="000000"/>
                <w:sz w:val="16"/>
                <w:szCs w:val="16"/>
                <w:lang w:val="en-GB" w:bidi="th-TH"/>
              </w:rPr>
              <w:t>33</w:t>
            </w:r>
          </w:p>
        </w:tc>
      </w:tr>
    </w:tbl>
    <w:p w14:paraId="750D62F0" w14:textId="77777777" w:rsidR="000E6F8F" w:rsidRDefault="000E6F8F" w:rsidP="000E6F8F">
      <w:pPr>
        <w:spacing w:after="120"/>
        <w:jc w:val="both"/>
        <w:rPr>
          <w:sz w:val="22"/>
          <w:szCs w:val="22"/>
          <w:lang w:val="en-GB"/>
        </w:rPr>
      </w:pPr>
    </w:p>
    <w:p w14:paraId="1D9987E0" w14:textId="77777777" w:rsidR="00B02C05" w:rsidRDefault="00B02C05" w:rsidP="00B02C05">
      <w:pPr>
        <w:numPr>
          <w:ilvl w:val="0"/>
          <w:numId w:val="3"/>
        </w:numPr>
        <w:spacing w:after="120"/>
        <w:ind w:left="0" w:firstLine="0"/>
        <w:jc w:val="both"/>
        <w:rPr>
          <w:sz w:val="22"/>
          <w:szCs w:val="22"/>
          <w:lang w:val="en-GB"/>
        </w:rPr>
      </w:pPr>
      <w:r w:rsidRPr="00B02C05">
        <w:rPr>
          <w:sz w:val="22"/>
          <w:szCs w:val="22"/>
          <w:lang w:val="en-GB"/>
        </w:rPr>
        <w:t xml:space="preserve">Table </w:t>
      </w:r>
      <w:r>
        <w:rPr>
          <w:sz w:val="22"/>
          <w:szCs w:val="22"/>
          <w:lang w:val="en-GB"/>
        </w:rPr>
        <w:t>18</w:t>
      </w:r>
      <w:r w:rsidRPr="00B02C05">
        <w:rPr>
          <w:sz w:val="22"/>
          <w:szCs w:val="22"/>
          <w:lang w:val="en-GB"/>
        </w:rPr>
        <w:t xml:space="preserve"> illustrates the complexity of management regimes in </w:t>
      </w:r>
      <w:r>
        <w:rPr>
          <w:sz w:val="22"/>
          <w:szCs w:val="22"/>
          <w:lang w:val="en-GB"/>
        </w:rPr>
        <w:t xml:space="preserve">the </w:t>
      </w:r>
      <w:r w:rsidRPr="00B02C05">
        <w:rPr>
          <w:sz w:val="22"/>
          <w:szCs w:val="22"/>
          <w:lang w:val="en-GB"/>
        </w:rPr>
        <w:t xml:space="preserve">countries concerned but does not provide a mechanism for objectively determining the effectiveness of these regimes. For example, in Cambodia, </w:t>
      </w:r>
      <w:r w:rsidR="00130405">
        <w:rPr>
          <w:sz w:val="22"/>
          <w:szCs w:val="22"/>
          <w:lang w:val="en-GB"/>
        </w:rPr>
        <w:t>4</w:t>
      </w:r>
      <w:r w:rsidR="00130405" w:rsidRPr="00B02C05">
        <w:rPr>
          <w:sz w:val="22"/>
          <w:szCs w:val="22"/>
          <w:lang w:val="en-GB"/>
        </w:rPr>
        <w:t>9</w:t>
      </w:r>
      <w:r w:rsidRPr="00B02C05">
        <w:rPr>
          <w:sz w:val="22"/>
          <w:szCs w:val="22"/>
          <w:lang w:val="en-GB"/>
        </w:rPr>
        <w:t xml:space="preserve">% of mangroves are contained within Parks and Protected Areas for which there is no legal extractive use of either the mangrove trees or other resources. This area is also listed as being under a management regime regulated in law and, again, within the areas listed as currently being sustainably managed. The assumption is that because access to, and use of, this area is restricted, the management is sustainable. In contrast, </w:t>
      </w:r>
      <w:r w:rsidR="00130405">
        <w:rPr>
          <w:sz w:val="22"/>
          <w:szCs w:val="22"/>
          <w:lang w:val="en-GB"/>
        </w:rPr>
        <w:t>5</w:t>
      </w:r>
      <w:r w:rsidR="00130405" w:rsidRPr="00B02C05">
        <w:rPr>
          <w:sz w:val="22"/>
          <w:szCs w:val="22"/>
          <w:lang w:val="en-GB"/>
        </w:rPr>
        <w:t>1</w:t>
      </w:r>
      <w:r w:rsidRPr="00B02C05">
        <w:rPr>
          <w:sz w:val="22"/>
          <w:szCs w:val="22"/>
          <w:lang w:val="en-GB"/>
        </w:rPr>
        <w:t xml:space="preserve">% of Cambodia’s mangrove are currently not regulated under the law and are subject to extraction of non-timber resources but not the mangroves themselves. Of this area, only 8,820 ha are considered as being exploited in a sustainable manner. The </w:t>
      </w:r>
      <w:r>
        <w:rPr>
          <w:sz w:val="22"/>
          <w:szCs w:val="22"/>
          <w:lang w:val="en-GB"/>
        </w:rPr>
        <w:t xml:space="preserve">SAP </w:t>
      </w:r>
      <w:r w:rsidRPr="00B02C05">
        <w:rPr>
          <w:sz w:val="22"/>
          <w:szCs w:val="22"/>
          <w:lang w:val="en-GB"/>
        </w:rPr>
        <w:t>target for Cambodia is therefore to ensure that all mangroves outside the legally protected Parks and Protected Areas are used in a sustainable</w:t>
      </w:r>
      <w:r>
        <w:rPr>
          <w:sz w:val="22"/>
          <w:szCs w:val="22"/>
          <w:lang w:val="en-GB"/>
        </w:rPr>
        <w:t xml:space="preserve"> manner</w:t>
      </w:r>
      <w:r w:rsidRPr="00B02C05">
        <w:rPr>
          <w:sz w:val="22"/>
          <w:szCs w:val="22"/>
          <w:lang w:val="en-GB"/>
        </w:rPr>
        <w:t xml:space="preserve">. Targets developed by the Regional Working Group on Mangroves for </w:t>
      </w:r>
      <w:r>
        <w:rPr>
          <w:sz w:val="22"/>
          <w:szCs w:val="22"/>
          <w:lang w:val="en-GB"/>
        </w:rPr>
        <w:t xml:space="preserve">the </w:t>
      </w:r>
      <w:r w:rsidR="006A4CBA">
        <w:rPr>
          <w:sz w:val="22"/>
          <w:szCs w:val="22"/>
          <w:lang w:val="en-GB"/>
        </w:rPr>
        <w:t xml:space="preserve">mangrove component of the </w:t>
      </w:r>
      <w:r>
        <w:rPr>
          <w:sz w:val="22"/>
          <w:szCs w:val="22"/>
          <w:lang w:val="en-GB"/>
        </w:rPr>
        <w:t xml:space="preserve">Strategic Action Programme are presented in Table 19 </w:t>
      </w:r>
      <w:r w:rsidRPr="00B02C05">
        <w:rPr>
          <w:sz w:val="22"/>
          <w:szCs w:val="22"/>
          <w:lang w:val="en-GB"/>
        </w:rPr>
        <w:t>below. The target for enrichment planting to increase mangrove biodiversity, for example, was included following lengthy consideration by the RWG-M of the results of largely single-species mangrove reforestation initiatives in the region over recent decades.</w:t>
      </w:r>
    </w:p>
    <w:p w14:paraId="25FE6B6D" w14:textId="77777777" w:rsidR="00B02C05" w:rsidRDefault="00B02C05" w:rsidP="00B02C05">
      <w:pPr>
        <w:spacing w:after="120"/>
        <w:ind w:left="1440" w:hanging="1440"/>
        <w:jc w:val="both"/>
        <w:rPr>
          <w:sz w:val="22"/>
          <w:szCs w:val="22"/>
          <w:lang w:val="en-GB"/>
        </w:rPr>
      </w:pPr>
      <w:r w:rsidRPr="00B02C05">
        <w:rPr>
          <w:b/>
          <w:sz w:val="22"/>
          <w:szCs w:val="22"/>
          <w:lang w:val="en-GB"/>
        </w:rPr>
        <w:t>Table 19</w:t>
      </w:r>
      <w:r>
        <w:rPr>
          <w:sz w:val="22"/>
          <w:szCs w:val="22"/>
          <w:lang w:val="en-GB"/>
        </w:rPr>
        <w:tab/>
      </w:r>
      <w:r w:rsidR="00FC536D">
        <w:rPr>
          <w:sz w:val="22"/>
          <w:szCs w:val="22"/>
          <w:lang w:val="en-GB"/>
        </w:rPr>
        <w:t xml:space="preserve">Strategic Action Programme </w:t>
      </w:r>
      <w:r w:rsidR="003B7C13">
        <w:rPr>
          <w:sz w:val="22"/>
          <w:szCs w:val="22"/>
          <w:lang w:val="en-GB"/>
        </w:rPr>
        <w:t>targets [p</w:t>
      </w:r>
      <w:r w:rsidRPr="00B02C05">
        <w:rPr>
          <w:sz w:val="22"/>
          <w:szCs w:val="22"/>
          <w:lang w:val="en-GB"/>
        </w:rPr>
        <w:t xml:space="preserve">roposed areas in hectares to be subject to changes in designation and/or management regime] for </w:t>
      </w:r>
      <w:r w:rsidR="003B7C13">
        <w:rPr>
          <w:sz w:val="22"/>
          <w:szCs w:val="22"/>
          <w:lang w:val="en-GB"/>
        </w:rPr>
        <w:t>f</w:t>
      </w:r>
      <w:r w:rsidRPr="00B02C05">
        <w:rPr>
          <w:sz w:val="22"/>
          <w:szCs w:val="22"/>
          <w:lang w:val="en-GB"/>
        </w:rPr>
        <w:t xml:space="preserve">uture </w:t>
      </w:r>
      <w:r w:rsidR="003B7C13">
        <w:rPr>
          <w:sz w:val="22"/>
          <w:szCs w:val="22"/>
          <w:lang w:val="en-GB"/>
        </w:rPr>
        <w:t>m</w:t>
      </w:r>
      <w:r w:rsidRPr="00B02C05">
        <w:rPr>
          <w:sz w:val="22"/>
          <w:szCs w:val="22"/>
          <w:lang w:val="en-GB"/>
        </w:rPr>
        <w:t xml:space="preserve">angrove </w:t>
      </w:r>
      <w:r w:rsidR="003B7C13">
        <w:rPr>
          <w:sz w:val="22"/>
          <w:szCs w:val="22"/>
          <w:lang w:val="en-GB"/>
        </w:rPr>
        <w:t>m</w:t>
      </w:r>
      <w:r w:rsidRPr="00B02C05">
        <w:rPr>
          <w:sz w:val="22"/>
          <w:szCs w:val="22"/>
          <w:lang w:val="en-GB"/>
        </w:rPr>
        <w:t xml:space="preserve">anagement </w:t>
      </w:r>
    </w:p>
    <w:tbl>
      <w:tblPr>
        <w:tblW w:w="941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46"/>
        <w:gridCol w:w="832"/>
        <w:gridCol w:w="706"/>
        <w:gridCol w:w="999"/>
        <w:gridCol w:w="832"/>
        <w:gridCol w:w="832"/>
        <w:gridCol w:w="832"/>
        <w:gridCol w:w="832"/>
        <w:gridCol w:w="907"/>
      </w:tblGrid>
      <w:tr w:rsidR="00B02C05" w:rsidRPr="00B02C05" w14:paraId="5EE1A7FB" w14:textId="77777777" w:rsidTr="00041901">
        <w:tblPrEx>
          <w:tblCellMar>
            <w:top w:w="0" w:type="dxa"/>
            <w:bottom w:w="0" w:type="dxa"/>
          </w:tblCellMar>
        </w:tblPrEx>
        <w:trPr>
          <w:trHeight w:val="444"/>
          <w:jc w:val="center"/>
        </w:trPr>
        <w:tc>
          <w:tcPr>
            <w:tcW w:w="2646" w:type="dxa"/>
            <w:tcBorders>
              <w:top w:val="nil"/>
              <w:left w:val="nil"/>
              <w:bottom w:val="single" w:sz="12" w:space="0" w:color="auto"/>
              <w:right w:val="single" w:sz="12" w:space="0" w:color="auto"/>
            </w:tcBorders>
            <w:vAlign w:val="center"/>
          </w:tcPr>
          <w:p w14:paraId="2C6C0047" w14:textId="77777777" w:rsidR="00B02C05" w:rsidRPr="00B02C05" w:rsidRDefault="00B02C05" w:rsidP="00B02C05">
            <w:pPr>
              <w:autoSpaceDE w:val="0"/>
              <w:autoSpaceDN w:val="0"/>
              <w:adjustRightInd w:val="0"/>
              <w:jc w:val="center"/>
              <w:rPr>
                <w:rFonts w:ascii="Arial" w:hAnsi="Arial" w:cs="Arial"/>
                <w:color w:val="000000"/>
                <w:sz w:val="16"/>
                <w:szCs w:val="16"/>
                <w:lang w:val="en-GB" w:bidi="th-TH"/>
              </w:rPr>
            </w:pPr>
          </w:p>
        </w:tc>
        <w:tc>
          <w:tcPr>
            <w:tcW w:w="832" w:type="dxa"/>
            <w:tcBorders>
              <w:top w:val="single" w:sz="12" w:space="0" w:color="auto"/>
              <w:left w:val="single" w:sz="12" w:space="0" w:color="auto"/>
              <w:bottom w:val="single" w:sz="12" w:space="0" w:color="auto"/>
            </w:tcBorders>
            <w:vAlign w:val="center"/>
          </w:tcPr>
          <w:p w14:paraId="465368CD" w14:textId="77777777" w:rsidR="00B02C05" w:rsidRPr="00B02C05" w:rsidRDefault="00B02C05" w:rsidP="00B02C05">
            <w:pPr>
              <w:autoSpaceDE w:val="0"/>
              <w:autoSpaceDN w:val="0"/>
              <w:adjustRightInd w:val="0"/>
              <w:ind w:left="-108" w:right="-110"/>
              <w:jc w:val="center"/>
              <w:rPr>
                <w:rFonts w:ascii="Arial" w:hAnsi="Arial" w:cs="Arial"/>
                <w:bCs/>
                <w:color w:val="000000"/>
                <w:sz w:val="16"/>
                <w:szCs w:val="16"/>
                <w:lang w:val="en-GB" w:bidi="th-TH"/>
              </w:rPr>
            </w:pPr>
            <w:smartTag w:uri="urn:schemas-microsoft-com:office:smarttags" w:element="place">
              <w:smartTag w:uri="urn:schemas-microsoft-com:office:smarttags" w:element="country-region">
                <w:r w:rsidRPr="00B02C05">
                  <w:rPr>
                    <w:rFonts w:ascii="Arial" w:hAnsi="Arial" w:cs="Arial"/>
                    <w:bCs/>
                    <w:color w:val="000000"/>
                    <w:sz w:val="16"/>
                    <w:szCs w:val="16"/>
                    <w:lang w:val="en-GB" w:bidi="th-TH"/>
                  </w:rPr>
                  <w:t>Cambodia</w:t>
                </w:r>
              </w:smartTag>
            </w:smartTag>
          </w:p>
        </w:tc>
        <w:tc>
          <w:tcPr>
            <w:tcW w:w="706" w:type="dxa"/>
            <w:tcBorders>
              <w:top w:val="single" w:sz="12" w:space="0" w:color="auto"/>
              <w:bottom w:val="single" w:sz="12" w:space="0" w:color="auto"/>
            </w:tcBorders>
            <w:vAlign w:val="center"/>
          </w:tcPr>
          <w:p w14:paraId="08E8657B" w14:textId="77777777" w:rsidR="00B02C05" w:rsidRPr="00B02C05" w:rsidRDefault="00B02C05" w:rsidP="00B02C05">
            <w:pPr>
              <w:autoSpaceDE w:val="0"/>
              <w:autoSpaceDN w:val="0"/>
              <w:adjustRightInd w:val="0"/>
              <w:ind w:right="-110"/>
              <w:jc w:val="center"/>
              <w:rPr>
                <w:rFonts w:ascii="Arial" w:hAnsi="Arial" w:cs="Arial"/>
                <w:bCs/>
                <w:color w:val="000000"/>
                <w:sz w:val="16"/>
                <w:szCs w:val="16"/>
                <w:lang w:val="en-GB" w:bidi="th-TH"/>
              </w:rPr>
            </w:pPr>
            <w:smartTag w:uri="urn:schemas-microsoft-com:office:smarttags" w:element="place">
              <w:smartTag w:uri="urn:schemas-microsoft-com:office:smarttags" w:element="country-region">
                <w:r w:rsidRPr="00B02C05">
                  <w:rPr>
                    <w:rFonts w:ascii="Arial" w:hAnsi="Arial" w:cs="Arial"/>
                    <w:bCs/>
                    <w:color w:val="000000"/>
                    <w:sz w:val="16"/>
                    <w:szCs w:val="16"/>
                    <w:lang w:val="en-GB" w:bidi="th-TH"/>
                  </w:rPr>
                  <w:t>China</w:t>
                </w:r>
              </w:smartTag>
            </w:smartTag>
          </w:p>
        </w:tc>
        <w:tc>
          <w:tcPr>
            <w:tcW w:w="999" w:type="dxa"/>
            <w:tcBorders>
              <w:top w:val="single" w:sz="12" w:space="0" w:color="auto"/>
              <w:bottom w:val="single" w:sz="12" w:space="0" w:color="auto"/>
            </w:tcBorders>
          </w:tcPr>
          <w:p w14:paraId="5689CD77" w14:textId="77777777" w:rsidR="00B02C05" w:rsidRPr="00B02C05" w:rsidRDefault="00B02C05" w:rsidP="00B02C05">
            <w:pPr>
              <w:rPr>
                <w:rFonts w:ascii="Arial" w:hAnsi="Arial" w:cs="Angsana New"/>
                <w:sz w:val="16"/>
                <w:szCs w:val="16"/>
                <w:lang w:val="en-GB" w:bidi="th-TH"/>
              </w:rPr>
            </w:pPr>
          </w:p>
          <w:p w14:paraId="7F9C2764" w14:textId="77777777" w:rsidR="00B02C05" w:rsidRPr="00B02C05" w:rsidRDefault="00B02C05" w:rsidP="00B02C05">
            <w:pPr>
              <w:rPr>
                <w:rFonts w:ascii="Arial" w:hAnsi="Arial" w:cs="Angsana New"/>
                <w:sz w:val="16"/>
                <w:szCs w:val="16"/>
                <w:lang w:val="en-GB" w:bidi="th-TH"/>
              </w:rPr>
            </w:pPr>
            <w:smartTag w:uri="urn:schemas-microsoft-com:office:smarttags" w:element="place">
              <w:smartTag w:uri="urn:schemas-microsoft-com:office:smarttags" w:element="country-region">
                <w:r w:rsidRPr="00B02C05">
                  <w:rPr>
                    <w:rFonts w:ascii="Arial" w:hAnsi="Arial" w:cs="Angsana New"/>
                    <w:sz w:val="16"/>
                    <w:szCs w:val="16"/>
                    <w:lang w:val="en-GB" w:bidi="th-TH"/>
                  </w:rPr>
                  <w:t>Indonesia</w:t>
                </w:r>
              </w:smartTag>
            </w:smartTag>
          </w:p>
        </w:tc>
        <w:tc>
          <w:tcPr>
            <w:tcW w:w="832" w:type="dxa"/>
            <w:tcBorders>
              <w:top w:val="single" w:sz="12" w:space="0" w:color="auto"/>
              <w:bottom w:val="single" w:sz="12" w:space="0" w:color="auto"/>
            </w:tcBorders>
            <w:vAlign w:val="center"/>
          </w:tcPr>
          <w:p w14:paraId="24A02D60" w14:textId="77777777" w:rsidR="00B02C05" w:rsidRPr="00B02C05" w:rsidRDefault="00B02C05" w:rsidP="00B02C05">
            <w:pPr>
              <w:spacing w:after="60"/>
              <w:ind w:left="-111" w:right="-73"/>
              <w:jc w:val="center"/>
              <w:outlineLvl w:val="6"/>
              <w:rPr>
                <w:rFonts w:ascii="Arial" w:hAnsi="Arial" w:cs="Arial"/>
                <w:sz w:val="16"/>
                <w:lang w:val="en-GB" w:bidi="th-TH"/>
              </w:rPr>
            </w:pPr>
            <w:smartTag w:uri="urn:schemas-microsoft-com:office:smarttags" w:element="place">
              <w:smartTag w:uri="urn:schemas-microsoft-com:office:smarttags" w:element="country-region">
                <w:r w:rsidRPr="00B02C05">
                  <w:rPr>
                    <w:rFonts w:ascii="Arial" w:hAnsi="Arial" w:cs="Arial"/>
                    <w:sz w:val="16"/>
                    <w:lang w:val="en-GB" w:bidi="th-TH"/>
                  </w:rPr>
                  <w:t>Philippines</w:t>
                </w:r>
              </w:smartTag>
            </w:smartTag>
          </w:p>
        </w:tc>
        <w:tc>
          <w:tcPr>
            <w:tcW w:w="832" w:type="dxa"/>
            <w:tcBorders>
              <w:top w:val="single" w:sz="12" w:space="0" w:color="auto"/>
              <w:bottom w:val="single" w:sz="12" w:space="0" w:color="auto"/>
            </w:tcBorders>
            <w:vAlign w:val="center"/>
          </w:tcPr>
          <w:p w14:paraId="2FF99411" w14:textId="77777777" w:rsidR="00B02C05" w:rsidRPr="00B02C05" w:rsidRDefault="00B02C05" w:rsidP="00B02C05">
            <w:pPr>
              <w:spacing w:after="60"/>
              <w:ind w:left="-111" w:right="-73"/>
              <w:jc w:val="center"/>
              <w:outlineLvl w:val="6"/>
              <w:rPr>
                <w:rFonts w:ascii="Arial" w:hAnsi="Arial" w:cs="Arial"/>
                <w:sz w:val="16"/>
                <w:lang w:val="en-GB" w:bidi="th-TH"/>
              </w:rPr>
            </w:pPr>
            <w:smartTag w:uri="urn:schemas-microsoft-com:office:smarttags" w:element="place">
              <w:smartTag w:uri="urn:schemas-microsoft-com:office:smarttags" w:element="country-region">
                <w:r w:rsidRPr="00B02C05">
                  <w:rPr>
                    <w:rFonts w:ascii="Arial" w:hAnsi="Arial" w:cs="Arial"/>
                    <w:sz w:val="16"/>
                    <w:lang w:val="en-GB" w:bidi="th-TH"/>
                  </w:rPr>
                  <w:t>Thailand</w:t>
                </w:r>
              </w:smartTag>
            </w:smartTag>
          </w:p>
        </w:tc>
        <w:tc>
          <w:tcPr>
            <w:tcW w:w="832" w:type="dxa"/>
            <w:tcBorders>
              <w:top w:val="single" w:sz="12" w:space="0" w:color="auto"/>
              <w:bottom w:val="single" w:sz="12" w:space="0" w:color="auto"/>
            </w:tcBorders>
            <w:vAlign w:val="center"/>
          </w:tcPr>
          <w:p w14:paraId="14B22200" w14:textId="77777777" w:rsidR="00B02C05" w:rsidRPr="00B02C05" w:rsidRDefault="00B02C05" w:rsidP="00B02C05">
            <w:pPr>
              <w:spacing w:after="60"/>
              <w:ind w:left="-43" w:right="-141"/>
              <w:outlineLvl w:val="7"/>
              <w:rPr>
                <w:rFonts w:ascii="Arial" w:hAnsi="Arial" w:cs="Arial"/>
                <w:bCs/>
                <w:sz w:val="16"/>
                <w:lang w:val="en-GB" w:bidi="th-TH"/>
              </w:rPr>
            </w:pPr>
            <w:smartTag w:uri="urn:schemas-microsoft-com:office:smarttags" w:element="place">
              <w:smartTag w:uri="urn:schemas-microsoft-com:office:smarttags" w:element="country-region">
                <w:r w:rsidRPr="00B02C05">
                  <w:rPr>
                    <w:rFonts w:ascii="Arial" w:hAnsi="Arial" w:cs="Arial"/>
                    <w:bCs/>
                    <w:sz w:val="16"/>
                    <w:lang w:val="en-GB" w:bidi="th-TH"/>
                  </w:rPr>
                  <w:t>Viet Nam</w:t>
                </w:r>
              </w:smartTag>
            </w:smartTag>
          </w:p>
        </w:tc>
        <w:tc>
          <w:tcPr>
            <w:tcW w:w="832" w:type="dxa"/>
            <w:tcBorders>
              <w:top w:val="single" w:sz="12" w:space="0" w:color="auto"/>
              <w:bottom w:val="single" w:sz="12" w:space="0" w:color="auto"/>
            </w:tcBorders>
            <w:vAlign w:val="center"/>
          </w:tcPr>
          <w:p w14:paraId="10CF1AF7" w14:textId="77777777" w:rsidR="00B02C05" w:rsidRPr="00B02C05" w:rsidRDefault="00B02C05" w:rsidP="00B02C05">
            <w:pPr>
              <w:autoSpaceDE w:val="0"/>
              <w:autoSpaceDN w:val="0"/>
              <w:adjustRightInd w:val="0"/>
              <w:ind w:left="-108"/>
              <w:jc w:val="center"/>
              <w:rPr>
                <w:rFonts w:ascii="Arial" w:hAnsi="Arial" w:cs="Arial"/>
                <w:bCs/>
                <w:color w:val="000000"/>
                <w:sz w:val="16"/>
                <w:szCs w:val="16"/>
                <w:lang w:val="en-GB" w:bidi="th-TH"/>
              </w:rPr>
            </w:pPr>
            <w:r w:rsidRPr="00B02C05">
              <w:rPr>
                <w:rFonts w:ascii="Arial" w:hAnsi="Arial" w:cs="Arial"/>
                <w:bCs/>
                <w:color w:val="000000"/>
                <w:sz w:val="16"/>
                <w:szCs w:val="16"/>
                <w:lang w:val="en-GB" w:bidi="th-TH"/>
              </w:rPr>
              <w:t>Total</w:t>
            </w:r>
          </w:p>
        </w:tc>
        <w:tc>
          <w:tcPr>
            <w:tcW w:w="907" w:type="dxa"/>
            <w:tcBorders>
              <w:top w:val="single" w:sz="12" w:space="0" w:color="auto"/>
              <w:bottom w:val="single" w:sz="12" w:space="0" w:color="auto"/>
            </w:tcBorders>
            <w:vAlign w:val="center"/>
          </w:tcPr>
          <w:p w14:paraId="744A3BB6" w14:textId="77777777" w:rsidR="00B02C05" w:rsidRPr="00B02C05" w:rsidRDefault="00B02C05" w:rsidP="00B02C05">
            <w:pPr>
              <w:autoSpaceDE w:val="0"/>
              <w:autoSpaceDN w:val="0"/>
              <w:adjustRightInd w:val="0"/>
              <w:ind w:left="-108" w:right="-102"/>
              <w:jc w:val="center"/>
              <w:rPr>
                <w:rFonts w:ascii="Arial" w:hAnsi="Arial" w:cs="Arial"/>
                <w:bCs/>
                <w:color w:val="000000"/>
                <w:sz w:val="16"/>
                <w:szCs w:val="16"/>
                <w:lang w:val="en-GB" w:bidi="th-TH"/>
              </w:rPr>
            </w:pPr>
            <w:r w:rsidRPr="00B02C05">
              <w:rPr>
                <w:rFonts w:ascii="Arial" w:hAnsi="Arial" w:cs="Arial"/>
                <w:bCs/>
                <w:color w:val="000000"/>
                <w:sz w:val="16"/>
                <w:szCs w:val="16"/>
                <w:lang w:val="en-GB" w:bidi="th-TH"/>
              </w:rPr>
              <w:t>% of total area of mangrove</w:t>
            </w:r>
          </w:p>
        </w:tc>
      </w:tr>
      <w:tr w:rsidR="00B02C05" w:rsidRPr="00B02C05" w14:paraId="3FF7EEAA" w14:textId="77777777" w:rsidTr="00041901">
        <w:tblPrEx>
          <w:tblCellMar>
            <w:top w:w="0" w:type="dxa"/>
            <w:bottom w:w="0" w:type="dxa"/>
          </w:tblCellMar>
        </w:tblPrEx>
        <w:trPr>
          <w:trHeight w:val="466"/>
          <w:jc w:val="center"/>
        </w:trPr>
        <w:tc>
          <w:tcPr>
            <w:tcW w:w="2646" w:type="dxa"/>
            <w:tcBorders>
              <w:top w:val="single" w:sz="12" w:space="0" w:color="auto"/>
            </w:tcBorders>
            <w:vAlign w:val="center"/>
          </w:tcPr>
          <w:p w14:paraId="11F6338F" w14:textId="77777777" w:rsidR="00B02C05" w:rsidRPr="00B02C05" w:rsidRDefault="00B02C05" w:rsidP="00B02C05">
            <w:pPr>
              <w:autoSpaceDE w:val="0"/>
              <w:autoSpaceDN w:val="0"/>
              <w:adjustRightInd w:val="0"/>
              <w:rPr>
                <w:rFonts w:ascii="Arial" w:hAnsi="Arial" w:cs="Arial"/>
                <w:color w:val="000000"/>
                <w:sz w:val="16"/>
                <w:szCs w:val="16"/>
                <w:lang w:val="en-GB" w:bidi="th-TH"/>
              </w:rPr>
            </w:pPr>
            <w:r w:rsidRPr="00B02C05">
              <w:rPr>
                <w:rFonts w:ascii="Arial" w:hAnsi="Arial" w:cs="Arial"/>
                <w:color w:val="000000"/>
                <w:sz w:val="16"/>
                <w:szCs w:val="16"/>
                <w:lang w:val="en-GB" w:bidi="th-TH"/>
              </w:rPr>
              <w:t>Area to be transferred to National Parks and Protected Area status</w:t>
            </w:r>
          </w:p>
        </w:tc>
        <w:tc>
          <w:tcPr>
            <w:tcW w:w="832" w:type="dxa"/>
            <w:tcBorders>
              <w:top w:val="single" w:sz="12" w:space="0" w:color="auto"/>
            </w:tcBorders>
            <w:vAlign w:val="center"/>
          </w:tcPr>
          <w:p w14:paraId="2D24B397"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0</w:t>
            </w:r>
          </w:p>
        </w:tc>
        <w:tc>
          <w:tcPr>
            <w:tcW w:w="706" w:type="dxa"/>
            <w:tcBorders>
              <w:top w:val="single" w:sz="12" w:space="0" w:color="auto"/>
            </w:tcBorders>
            <w:vAlign w:val="center"/>
          </w:tcPr>
          <w:p w14:paraId="740A7BFF"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5,330</w:t>
            </w:r>
          </w:p>
        </w:tc>
        <w:tc>
          <w:tcPr>
            <w:tcW w:w="999" w:type="dxa"/>
            <w:tcBorders>
              <w:top w:val="single" w:sz="12" w:space="0" w:color="auto"/>
            </w:tcBorders>
            <w:vAlign w:val="center"/>
          </w:tcPr>
          <w:p w14:paraId="5143E52A"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20,000</w:t>
            </w:r>
          </w:p>
        </w:tc>
        <w:tc>
          <w:tcPr>
            <w:tcW w:w="832" w:type="dxa"/>
            <w:tcBorders>
              <w:top w:val="single" w:sz="12" w:space="0" w:color="auto"/>
            </w:tcBorders>
            <w:vAlign w:val="center"/>
          </w:tcPr>
          <w:p w14:paraId="34BB5C18"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bCs/>
                <w:sz w:val="16"/>
                <w:szCs w:val="16"/>
                <w:lang w:val="en-GB" w:bidi="th-TH"/>
              </w:rPr>
              <w:t>631</w:t>
            </w:r>
          </w:p>
        </w:tc>
        <w:tc>
          <w:tcPr>
            <w:tcW w:w="832" w:type="dxa"/>
            <w:tcBorders>
              <w:top w:val="single" w:sz="12" w:space="0" w:color="auto"/>
            </w:tcBorders>
            <w:vAlign w:val="center"/>
          </w:tcPr>
          <w:p w14:paraId="12C8C469"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1,400</w:t>
            </w:r>
          </w:p>
        </w:tc>
        <w:tc>
          <w:tcPr>
            <w:tcW w:w="832" w:type="dxa"/>
            <w:tcBorders>
              <w:top w:val="single" w:sz="12" w:space="0" w:color="auto"/>
            </w:tcBorders>
            <w:vAlign w:val="center"/>
          </w:tcPr>
          <w:p w14:paraId="3B23B2C2"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30,000</w:t>
            </w:r>
          </w:p>
        </w:tc>
        <w:tc>
          <w:tcPr>
            <w:tcW w:w="832" w:type="dxa"/>
            <w:tcBorders>
              <w:top w:val="single" w:sz="12" w:space="0" w:color="auto"/>
            </w:tcBorders>
            <w:vAlign w:val="center"/>
          </w:tcPr>
          <w:p w14:paraId="638D824F" w14:textId="77777777" w:rsidR="00B02C05" w:rsidRPr="00B02C05" w:rsidRDefault="00B02C05" w:rsidP="00B02C05">
            <w:pPr>
              <w:autoSpaceDE w:val="0"/>
              <w:autoSpaceDN w:val="0"/>
              <w:adjustRightInd w:val="0"/>
              <w:ind w:left="-37"/>
              <w:jc w:val="right"/>
              <w:rPr>
                <w:rFonts w:ascii="Arial" w:hAnsi="Arial" w:cs="Arial"/>
                <w:color w:val="000000"/>
                <w:sz w:val="16"/>
                <w:szCs w:val="16"/>
                <w:lang w:val="en-GB" w:bidi="th-TH"/>
              </w:rPr>
            </w:pPr>
            <w:r w:rsidRPr="00B02C05">
              <w:rPr>
                <w:rFonts w:ascii="Arial" w:hAnsi="Arial" w:cs="Arial"/>
                <w:color w:val="000000"/>
                <w:sz w:val="16"/>
                <w:szCs w:val="16"/>
                <w:lang w:val="en-GB" w:bidi="th-TH"/>
              </w:rPr>
              <w:t>57,400</w:t>
            </w:r>
          </w:p>
        </w:tc>
        <w:tc>
          <w:tcPr>
            <w:tcW w:w="907" w:type="dxa"/>
            <w:tcBorders>
              <w:top w:val="single" w:sz="12" w:space="0" w:color="auto"/>
            </w:tcBorders>
            <w:vAlign w:val="center"/>
          </w:tcPr>
          <w:p w14:paraId="46CCF5A1" w14:textId="77777777" w:rsidR="00B02C05" w:rsidRPr="00B02C05" w:rsidRDefault="00B02C05" w:rsidP="00B02C05">
            <w:pPr>
              <w:autoSpaceDE w:val="0"/>
              <w:autoSpaceDN w:val="0"/>
              <w:adjustRightInd w:val="0"/>
              <w:jc w:val="right"/>
              <w:rPr>
                <w:rFonts w:ascii="Arial" w:hAnsi="Arial" w:cs="Arial"/>
                <w:b/>
                <w:bCs/>
                <w:color w:val="000000"/>
                <w:sz w:val="16"/>
                <w:szCs w:val="16"/>
                <w:lang w:val="en-GB" w:bidi="th-TH"/>
              </w:rPr>
            </w:pPr>
            <w:r w:rsidRPr="00B02C05">
              <w:rPr>
                <w:rFonts w:ascii="Arial" w:hAnsi="Arial" w:cs="Arial"/>
                <w:b/>
                <w:bCs/>
                <w:color w:val="000000"/>
                <w:sz w:val="16"/>
                <w:szCs w:val="16"/>
                <w:lang w:val="en-GB" w:bidi="th-TH"/>
              </w:rPr>
              <w:t>4.5</w:t>
            </w:r>
          </w:p>
        </w:tc>
      </w:tr>
      <w:tr w:rsidR="00B02C05" w:rsidRPr="00B02C05" w14:paraId="5CF91A68" w14:textId="77777777" w:rsidTr="00041901">
        <w:tblPrEx>
          <w:tblCellMar>
            <w:top w:w="0" w:type="dxa"/>
            <w:bottom w:w="0" w:type="dxa"/>
          </w:tblCellMar>
        </w:tblPrEx>
        <w:trPr>
          <w:trHeight w:val="449"/>
          <w:jc w:val="center"/>
        </w:trPr>
        <w:tc>
          <w:tcPr>
            <w:tcW w:w="2646" w:type="dxa"/>
            <w:vAlign w:val="center"/>
          </w:tcPr>
          <w:p w14:paraId="258BCD0C" w14:textId="77777777" w:rsidR="00B02C05" w:rsidRPr="00B02C05" w:rsidRDefault="00B02C05" w:rsidP="00B02C05">
            <w:pPr>
              <w:autoSpaceDE w:val="0"/>
              <w:autoSpaceDN w:val="0"/>
              <w:adjustRightInd w:val="0"/>
              <w:ind w:right="-112"/>
              <w:rPr>
                <w:rFonts w:ascii="Arial" w:hAnsi="Arial" w:cs="Arial"/>
                <w:color w:val="000000"/>
                <w:sz w:val="16"/>
                <w:szCs w:val="16"/>
                <w:lang w:val="en-GB" w:bidi="th-TH"/>
              </w:rPr>
            </w:pPr>
            <w:r w:rsidRPr="00B02C05">
              <w:rPr>
                <w:rFonts w:ascii="Arial" w:hAnsi="Arial" w:cs="Arial"/>
                <w:color w:val="000000"/>
                <w:sz w:val="16"/>
                <w:szCs w:val="16"/>
                <w:lang w:val="en-GB" w:bidi="th-TH"/>
              </w:rPr>
              <w:t>Non-conversion of mangrove but sustainable use</w:t>
            </w:r>
          </w:p>
        </w:tc>
        <w:tc>
          <w:tcPr>
            <w:tcW w:w="832" w:type="dxa"/>
            <w:vAlign w:val="center"/>
          </w:tcPr>
          <w:p w14:paraId="7F45FE4D"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0</w:t>
            </w:r>
          </w:p>
        </w:tc>
        <w:tc>
          <w:tcPr>
            <w:tcW w:w="706" w:type="dxa"/>
            <w:vAlign w:val="center"/>
          </w:tcPr>
          <w:p w14:paraId="3B39D1F9"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0</w:t>
            </w:r>
          </w:p>
        </w:tc>
        <w:tc>
          <w:tcPr>
            <w:tcW w:w="999" w:type="dxa"/>
            <w:vAlign w:val="center"/>
          </w:tcPr>
          <w:p w14:paraId="34391CFE"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165,000</w:t>
            </w:r>
          </w:p>
        </w:tc>
        <w:tc>
          <w:tcPr>
            <w:tcW w:w="832" w:type="dxa"/>
            <w:vAlign w:val="center"/>
          </w:tcPr>
          <w:p w14:paraId="0E1A0675"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bCs/>
                <w:sz w:val="16"/>
                <w:szCs w:val="16"/>
                <w:lang w:val="en-GB" w:bidi="th-TH"/>
              </w:rPr>
              <w:t>0</w:t>
            </w:r>
          </w:p>
        </w:tc>
        <w:tc>
          <w:tcPr>
            <w:tcW w:w="832" w:type="dxa"/>
            <w:vAlign w:val="center"/>
          </w:tcPr>
          <w:p w14:paraId="1776633D"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1,600</w:t>
            </w:r>
          </w:p>
        </w:tc>
        <w:tc>
          <w:tcPr>
            <w:tcW w:w="832" w:type="dxa"/>
            <w:vAlign w:val="center"/>
          </w:tcPr>
          <w:p w14:paraId="33C9DF7F"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0</w:t>
            </w:r>
          </w:p>
        </w:tc>
        <w:tc>
          <w:tcPr>
            <w:tcW w:w="832" w:type="dxa"/>
            <w:vAlign w:val="center"/>
          </w:tcPr>
          <w:p w14:paraId="628FD7C9" w14:textId="77777777" w:rsidR="00B02C05" w:rsidRPr="00B02C05" w:rsidRDefault="00B02C05" w:rsidP="00B02C05">
            <w:pPr>
              <w:autoSpaceDE w:val="0"/>
              <w:autoSpaceDN w:val="0"/>
              <w:adjustRightInd w:val="0"/>
              <w:ind w:left="-37"/>
              <w:jc w:val="right"/>
              <w:rPr>
                <w:rFonts w:ascii="Arial" w:hAnsi="Arial" w:cs="Arial"/>
                <w:color w:val="000000"/>
                <w:sz w:val="16"/>
                <w:szCs w:val="16"/>
                <w:lang w:val="en-GB" w:bidi="th-TH"/>
              </w:rPr>
            </w:pPr>
            <w:r w:rsidRPr="00B02C05">
              <w:rPr>
                <w:rFonts w:ascii="Arial" w:hAnsi="Arial" w:cs="Arial"/>
                <w:color w:val="000000"/>
                <w:sz w:val="16"/>
                <w:szCs w:val="16"/>
                <w:lang w:val="en-GB" w:bidi="th-TH"/>
              </w:rPr>
              <w:t>166,600</w:t>
            </w:r>
          </w:p>
        </w:tc>
        <w:tc>
          <w:tcPr>
            <w:tcW w:w="907" w:type="dxa"/>
            <w:vAlign w:val="center"/>
          </w:tcPr>
          <w:p w14:paraId="43563341" w14:textId="77777777" w:rsidR="00B02C05" w:rsidRPr="00B02C05" w:rsidRDefault="00B02C05" w:rsidP="00B02C05">
            <w:pPr>
              <w:autoSpaceDE w:val="0"/>
              <w:autoSpaceDN w:val="0"/>
              <w:adjustRightInd w:val="0"/>
              <w:jc w:val="right"/>
              <w:rPr>
                <w:rFonts w:ascii="Arial" w:hAnsi="Arial" w:cs="Arial"/>
                <w:b/>
                <w:bCs/>
                <w:color w:val="000000"/>
                <w:sz w:val="16"/>
                <w:szCs w:val="16"/>
                <w:lang w:val="en-GB" w:bidi="th-TH"/>
              </w:rPr>
            </w:pPr>
            <w:r w:rsidRPr="00B02C05">
              <w:rPr>
                <w:rFonts w:ascii="Arial" w:hAnsi="Arial" w:cs="Arial"/>
                <w:b/>
                <w:bCs/>
                <w:color w:val="000000"/>
                <w:sz w:val="16"/>
                <w:szCs w:val="16"/>
                <w:lang w:val="en-GB" w:bidi="th-TH"/>
              </w:rPr>
              <w:t>13.1</w:t>
            </w:r>
          </w:p>
        </w:tc>
      </w:tr>
      <w:tr w:rsidR="00B02C05" w:rsidRPr="00B02C05" w14:paraId="28ED9E65" w14:textId="77777777" w:rsidTr="00041901">
        <w:tblPrEx>
          <w:tblCellMar>
            <w:top w:w="0" w:type="dxa"/>
            <w:bottom w:w="0" w:type="dxa"/>
          </w:tblCellMar>
        </w:tblPrEx>
        <w:trPr>
          <w:trHeight w:val="449"/>
          <w:jc w:val="center"/>
        </w:trPr>
        <w:tc>
          <w:tcPr>
            <w:tcW w:w="2646" w:type="dxa"/>
            <w:vAlign w:val="center"/>
          </w:tcPr>
          <w:p w14:paraId="5B76E0CB" w14:textId="77777777" w:rsidR="00B02C05" w:rsidRPr="00B02C05" w:rsidRDefault="00B02C05" w:rsidP="00B02C05">
            <w:pPr>
              <w:autoSpaceDE w:val="0"/>
              <w:autoSpaceDN w:val="0"/>
              <w:adjustRightInd w:val="0"/>
              <w:rPr>
                <w:rFonts w:ascii="Arial" w:hAnsi="Arial" w:cs="Arial"/>
                <w:color w:val="000000"/>
                <w:sz w:val="16"/>
                <w:szCs w:val="16"/>
                <w:lang w:val="en-GB" w:bidi="th-TH"/>
              </w:rPr>
            </w:pPr>
            <w:r w:rsidRPr="00B02C05">
              <w:rPr>
                <w:rFonts w:ascii="Arial" w:hAnsi="Arial" w:cs="Arial"/>
                <w:color w:val="000000"/>
                <w:sz w:val="16"/>
                <w:szCs w:val="16"/>
                <w:lang w:val="en-GB" w:bidi="th-TH"/>
              </w:rPr>
              <w:t>Improved management relating to sustainable use</w:t>
            </w:r>
          </w:p>
        </w:tc>
        <w:tc>
          <w:tcPr>
            <w:tcW w:w="832" w:type="dxa"/>
            <w:vAlign w:val="center"/>
          </w:tcPr>
          <w:p w14:paraId="7A9AC3DA"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49,900</w:t>
            </w:r>
          </w:p>
        </w:tc>
        <w:tc>
          <w:tcPr>
            <w:tcW w:w="706" w:type="dxa"/>
            <w:vAlign w:val="center"/>
          </w:tcPr>
          <w:p w14:paraId="1E5888EB"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0</w:t>
            </w:r>
          </w:p>
        </w:tc>
        <w:tc>
          <w:tcPr>
            <w:tcW w:w="999" w:type="dxa"/>
            <w:vAlign w:val="center"/>
          </w:tcPr>
          <w:p w14:paraId="458969A0"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490,800</w:t>
            </w:r>
          </w:p>
        </w:tc>
        <w:tc>
          <w:tcPr>
            <w:tcW w:w="832" w:type="dxa"/>
            <w:vAlign w:val="center"/>
          </w:tcPr>
          <w:p w14:paraId="43A5F930"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bCs/>
                <w:sz w:val="16"/>
                <w:szCs w:val="16"/>
                <w:lang w:val="en-GB" w:bidi="th-TH"/>
              </w:rPr>
              <w:t>2,000</w:t>
            </w:r>
          </w:p>
        </w:tc>
        <w:tc>
          <w:tcPr>
            <w:tcW w:w="832" w:type="dxa"/>
            <w:vAlign w:val="center"/>
          </w:tcPr>
          <w:p w14:paraId="51558D03"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10,000</w:t>
            </w:r>
          </w:p>
        </w:tc>
        <w:tc>
          <w:tcPr>
            <w:tcW w:w="832" w:type="dxa"/>
            <w:vAlign w:val="center"/>
          </w:tcPr>
          <w:p w14:paraId="5A0F9F7A"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50,000</w:t>
            </w:r>
          </w:p>
        </w:tc>
        <w:tc>
          <w:tcPr>
            <w:tcW w:w="832" w:type="dxa"/>
            <w:vAlign w:val="center"/>
          </w:tcPr>
          <w:p w14:paraId="24660109" w14:textId="77777777" w:rsidR="00B02C05" w:rsidRPr="00B02C05" w:rsidRDefault="00B02C05" w:rsidP="00B02C05">
            <w:pPr>
              <w:autoSpaceDE w:val="0"/>
              <w:autoSpaceDN w:val="0"/>
              <w:adjustRightInd w:val="0"/>
              <w:ind w:left="-37"/>
              <w:jc w:val="right"/>
              <w:rPr>
                <w:rFonts w:ascii="Arial" w:hAnsi="Arial" w:cs="Arial"/>
                <w:color w:val="000000"/>
                <w:sz w:val="16"/>
                <w:szCs w:val="16"/>
                <w:lang w:val="en-GB" w:bidi="th-TH"/>
              </w:rPr>
            </w:pPr>
            <w:r w:rsidRPr="00B02C05">
              <w:rPr>
                <w:rFonts w:ascii="Arial" w:hAnsi="Arial" w:cs="Arial"/>
                <w:color w:val="000000"/>
                <w:sz w:val="16"/>
                <w:szCs w:val="16"/>
                <w:lang w:val="en-GB" w:bidi="th-TH"/>
              </w:rPr>
              <w:t>602,800</w:t>
            </w:r>
          </w:p>
        </w:tc>
        <w:tc>
          <w:tcPr>
            <w:tcW w:w="907" w:type="dxa"/>
            <w:vAlign w:val="center"/>
          </w:tcPr>
          <w:p w14:paraId="78427774" w14:textId="77777777" w:rsidR="00B02C05" w:rsidRPr="00B02C05" w:rsidRDefault="00B02C05" w:rsidP="00B02C05">
            <w:pPr>
              <w:autoSpaceDE w:val="0"/>
              <w:autoSpaceDN w:val="0"/>
              <w:adjustRightInd w:val="0"/>
              <w:jc w:val="right"/>
              <w:rPr>
                <w:rFonts w:ascii="Arial" w:hAnsi="Arial" w:cs="Arial"/>
                <w:b/>
                <w:bCs/>
                <w:color w:val="000000"/>
                <w:sz w:val="16"/>
                <w:szCs w:val="16"/>
                <w:lang w:val="en-GB" w:bidi="th-TH"/>
              </w:rPr>
            </w:pPr>
            <w:r w:rsidRPr="00B02C05">
              <w:rPr>
                <w:rFonts w:ascii="Arial" w:hAnsi="Arial" w:cs="Arial"/>
                <w:b/>
                <w:bCs/>
                <w:color w:val="000000"/>
                <w:sz w:val="16"/>
                <w:szCs w:val="16"/>
                <w:lang w:val="en-GB" w:bidi="th-TH"/>
              </w:rPr>
              <w:t>47.2</w:t>
            </w:r>
          </w:p>
        </w:tc>
      </w:tr>
      <w:tr w:rsidR="00B02C05" w:rsidRPr="00B02C05" w14:paraId="4F5E067E" w14:textId="77777777" w:rsidTr="00041901">
        <w:tblPrEx>
          <w:tblCellMar>
            <w:top w:w="0" w:type="dxa"/>
            <w:bottom w:w="0" w:type="dxa"/>
          </w:tblCellMar>
        </w:tblPrEx>
        <w:trPr>
          <w:trHeight w:val="262"/>
          <w:jc w:val="center"/>
        </w:trPr>
        <w:tc>
          <w:tcPr>
            <w:tcW w:w="2646" w:type="dxa"/>
            <w:vAlign w:val="center"/>
          </w:tcPr>
          <w:p w14:paraId="3EE248E8" w14:textId="77777777" w:rsidR="00B02C05" w:rsidRPr="00B02C05" w:rsidRDefault="00B02C05" w:rsidP="00B02C05">
            <w:pPr>
              <w:autoSpaceDE w:val="0"/>
              <w:autoSpaceDN w:val="0"/>
              <w:adjustRightInd w:val="0"/>
              <w:rPr>
                <w:rFonts w:ascii="Arial" w:hAnsi="Arial" w:cs="Arial"/>
                <w:color w:val="000000"/>
                <w:sz w:val="16"/>
                <w:szCs w:val="16"/>
                <w:lang w:val="en-GB" w:bidi="th-TH"/>
              </w:rPr>
            </w:pPr>
            <w:r w:rsidRPr="00B02C05">
              <w:rPr>
                <w:rFonts w:ascii="Arial" w:hAnsi="Arial" w:cs="Arial"/>
                <w:color w:val="000000"/>
                <w:sz w:val="16"/>
                <w:szCs w:val="16"/>
                <w:lang w:val="en-GB" w:bidi="th-TH"/>
              </w:rPr>
              <w:t>Replanting of deforested mangrove land</w:t>
            </w:r>
          </w:p>
        </w:tc>
        <w:tc>
          <w:tcPr>
            <w:tcW w:w="832" w:type="dxa"/>
            <w:vAlign w:val="center"/>
          </w:tcPr>
          <w:p w14:paraId="0A13B950"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2,500</w:t>
            </w:r>
          </w:p>
        </w:tc>
        <w:tc>
          <w:tcPr>
            <w:tcW w:w="706" w:type="dxa"/>
            <w:vAlign w:val="center"/>
          </w:tcPr>
          <w:p w14:paraId="31B8DB0D"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500</w:t>
            </w:r>
          </w:p>
        </w:tc>
        <w:tc>
          <w:tcPr>
            <w:tcW w:w="999" w:type="dxa"/>
            <w:vAlign w:val="center"/>
          </w:tcPr>
          <w:p w14:paraId="1BB842EA"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0</w:t>
            </w:r>
          </w:p>
        </w:tc>
        <w:tc>
          <w:tcPr>
            <w:tcW w:w="832" w:type="dxa"/>
            <w:vAlign w:val="center"/>
          </w:tcPr>
          <w:p w14:paraId="06EBBF89"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bCs/>
                <w:sz w:val="16"/>
                <w:szCs w:val="16"/>
                <w:lang w:val="en-GB" w:bidi="th-TH"/>
              </w:rPr>
              <w:t>2,000</w:t>
            </w:r>
          </w:p>
        </w:tc>
        <w:tc>
          <w:tcPr>
            <w:tcW w:w="832" w:type="dxa"/>
            <w:vAlign w:val="center"/>
          </w:tcPr>
          <w:p w14:paraId="1D1FAAE9"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8,000</w:t>
            </w:r>
          </w:p>
        </w:tc>
        <w:tc>
          <w:tcPr>
            <w:tcW w:w="832" w:type="dxa"/>
            <w:vAlign w:val="center"/>
          </w:tcPr>
          <w:p w14:paraId="62EC72B3"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8,000</w:t>
            </w:r>
          </w:p>
        </w:tc>
        <w:tc>
          <w:tcPr>
            <w:tcW w:w="832" w:type="dxa"/>
            <w:vAlign w:val="center"/>
          </w:tcPr>
          <w:p w14:paraId="23F936DD" w14:textId="77777777" w:rsidR="00B02C05" w:rsidRPr="00B02C05" w:rsidRDefault="00B02C05" w:rsidP="00B02C05">
            <w:pPr>
              <w:autoSpaceDE w:val="0"/>
              <w:autoSpaceDN w:val="0"/>
              <w:adjustRightInd w:val="0"/>
              <w:ind w:left="-37"/>
              <w:jc w:val="right"/>
              <w:rPr>
                <w:rFonts w:ascii="Arial" w:hAnsi="Arial" w:cs="Arial"/>
                <w:color w:val="000000"/>
                <w:sz w:val="16"/>
                <w:szCs w:val="16"/>
                <w:lang w:val="en-GB" w:bidi="th-TH"/>
              </w:rPr>
            </w:pPr>
            <w:r w:rsidRPr="00B02C05">
              <w:rPr>
                <w:rFonts w:ascii="Arial" w:hAnsi="Arial" w:cs="Arial"/>
                <w:color w:val="000000"/>
                <w:sz w:val="16"/>
                <w:szCs w:val="16"/>
                <w:lang w:val="en-GB" w:bidi="th-TH"/>
              </w:rPr>
              <w:t>21,000</w:t>
            </w:r>
          </w:p>
        </w:tc>
        <w:tc>
          <w:tcPr>
            <w:tcW w:w="907" w:type="dxa"/>
            <w:vAlign w:val="center"/>
          </w:tcPr>
          <w:p w14:paraId="2ABA7D1A" w14:textId="77777777" w:rsidR="00B02C05" w:rsidRPr="00B02C05" w:rsidRDefault="00B02C05" w:rsidP="00B02C05">
            <w:pPr>
              <w:autoSpaceDE w:val="0"/>
              <w:autoSpaceDN w:val="0"/>
              <w:adjustRightInd w:val="0"/>
              <w:jc w:val="right"/>
              <w:rPr>
                <w:rFonts w:ascii="Arial" w:hAnsi="Arial" w:cs="Arial"/>
                <w:b/>
                <w:bCs/>
                <w:color w:val="000000"/>
                <w:sz w:val="16"/>
                <w:szCs w:val="16"/>
                <w:lang w:val="en-GB" w:bidi="th-TH"/>
              </w:rPr>
            </w:pPr>
            <w:r w:rsidRPr="00B02C05">
              <w:rPr>
                <w:rFonts w:ascii="Arial" w:hAnsi="Arial" w:cs="Arial"/>
                <w:b/>
                <w:bCs/>
                <w:color w:val="000000"/>
                <w:sz w:val="16"/>
                <w:szCs w:val="16"/>
                <w:lang w:val="en-GB" w:bidi="th-TH"/>
              </w:rPr>
              <w:t>1.6</w:t>
            </w:r>
          </w:p>
        </w:tc>
      </w:tr>
      <w:tr w:rsidR="00B02C05" w:rsidRPr="00B02C05" w14:paraId="55614E02" w14:textId="77777777" w:rsidTr="00041901">
        <w:tblPrEx>
          <w:tblCellMar>
            <w:top w:w="0" w:type="dxa"/>
            <w:bottom w:w="0" w:type="dxa"/>
          </w:tblCellMar>
        </w:tblPrEx>
        <w:trPr>
          <w:trHeight w:val="449"/>
          <w:jc w:val="center"/>
        </w:trPr>
        <w:tc>
          <w:tcPr>
            <w:tcW w:w="2646" w:type="dxa"/>
            <w:vAlign w:val="center"/>
          </w:tcPr>
          <w:p w14:paraId="652BE484" w14:textId="77777777" w:rsidR="00B02C05" w:rsidRPr="00B02C05" w:rsidRDefault="00B02C05" w:rsidP="00B02C05">
            <w:pPr>
              <w:autoSpaceDE w:val="0"/>
              <w:autoSpaceDN w:val="0"/>
              <w:adjustRightInd w:val="0"/>
              <w:rPr>
                <w:rFonts w:ascii="Arial" w:hAnsi="Arial" w:cs="Arial"/>
                <w:color w:val="000000"/>
                <w:sz w:val="16"/>
                <w:szCs w:val="16"/>
                <w:lang w:val="en-GB" w:bidi="th-TH"/>
              </w:rPr>
            </w:pPr>
            <w:r w:rsidRPr="00B02C05">
              <w:rPr>
                <w:rFonts w:ascii="Arial" w:hAnsi="Arial" w:cs="Arial"/>
                <w:color w:val="000000"/>
                <w:sz w:val="16"/>
                <w:szCs w:val="16"/>
                <w:lang w:val="en-GB" w:bidi="th-TH"/>
              </w:rPr>
              <w:t>Enrichment planting to increase mangrove biodiversity</w:t>
            </w:r>
          </w:p>
        </w:tc>
        <w:tc>
          <w:tcPr>
            <w:tcW w:w="832" w:type="dxa"/>
            <w:vAlign w:val="center"/>
          </w:tcPr>
          <w:p w14:paraId="5FEA8680"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0</w:t>
            </w:r>
          </w:p>
        </w:tc>
        <w:tc>
          <w:tcPr>
            <w:tcW w:w="706" w:type="dxa"/>
            <w:vAlign w:val="center"/>
          </w:tcPr>
          <w:p w14:paraId="4336C194"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5,000</w:t>
            </w:r>
          </w:p>
        </w:tc>
        <w:tc>
          <w:tcPr>
            <w:tcW w:w="999" w:type="dxa"/>
            <w:vAlign w:val="center"/>
          </w:tcPr>
          <w:p w14:paraId="26AD25E1"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0</w:t>
            </w:r>
          </w:p>
        </w:tc>
        <w:tc>
          <w:tcPr>
            <w:tcW w:w="832" w:type="dxa"/>
            <w:vAlign w:val="center"/>
          </w:tcPr>
          <w:p w14:paraId="5B92FDC8"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bCs/>
                <w:sz w:val="16"/>
                <w:szCs w:val="16"/>
                <w:lang w:val="en-GB" w:bidi="th-TH"/>
              </w:rPr>
              <w:t>1,000</w:t>
            </w:r>
          </w:p>
        </w:tc>
        <w:tc>
          <w:tcPr>
            <w:tcW w:w="832" w:type="dxa"/>
            <w:vAlign w:val="center"/>
          </w:tcPr>
          <w:p w14:paraId="311EC1B7"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3,200</w:t>
            </w:r>
          </w:p>
        </w:tc>
        <w:tc>
          <w:tcPr>
            <w:tcW w:w="832" w:type="dxa"/>
            <w:vAlign w:val="center"/>
          </w:tcPr>
          <w:p w14:paraId="03FA5E14" w14:textId="77777777" w:rsidR="00B02C05" w:rsidRPr="00B02C05" w:rsidRDefault="00B02C05" w:rsidP="00B02C05">
            <w:pPr>
              <w:autoSpaceDE w:val="0"/>
              <w:autoSpaceDN w:val="0"/>
              <w:adjustRightInd w:val="0"/>
              <w:jc w:val="right"/>
              <w:rPr>
                <w:rFonts w:ascii="Arial" w:hAnsi="Arial" w:cs="Arial"/>
                <w:color w:val="000000"/>
                <w:sz w:val="16"/>
                <w:szCs w:val="16"/>
                <w:lang w:val="en-GB" w:bidi="th-TH"/>
              </w:rPr>
            </w:pPr>
            <w:r w:rsidRPr="00B02C05">
              <w:rPr>
                <w:rFonts w:ascii="Arial" w:hAnsi="Arial" w:cs="Arial"/>
                <w:color w:val="000000"/>
                <w:sz w:val="16"/>
                <w:szCs w:val="16"/>
                <w:lang w:val="en-GB" w:bidi="th-TH"/>
              </w:rPr>
              <w:t>2,000</w:t>
            </w:r>
          </w:p>
        </w:tc>
        <w:tc>
          <w:tcPr>
            <w:tcW w:w="832" w:type="dxa"/>
            <w:vAlign w:val="center"/>
          </w:tcPr>
          <w:p w14:paraId="36F7DB84" w14:textId="77777777" w:rsidR="00B02C05" w:rsidRPr="00B02C05" w:rsidRDefault="00B02C05" w:rsidP="00B02C05">
            <w:pPr>
              <w:autoSpaceDE w:val="0"/>
              <w:autoSpaceDN w:val="0"/>
              <w:adjustRightInd w:val="0"/>
              <w:ind w:left="-37"/>
              <w:jc w:val="right"/>
              <w:rPr>
                <w:rFonts w:ascii="Arial" w:hAnsi="Arial" w:cs="Arial"/>
                <w:color w:val="000000"/>
                <w:sz w:val="16"/>
                <w:szCs w:val="16"/>
                <w:lang w:val="en-GB" w:bidi="th-TH"/>
              </w:rPr>
            </w:pPr>
            <w:r w:rsidRPr="00B02C05">
              <w:rPr>
                <w:rFonts w:ascii="Arial" w:hAnsi="Arial" w:cs="Arial"/>
                <w:color w:val="000000"/>
                <w:sz w:val="16"/>
                <w:szCs w:val="16"/>
                <w:lang w:val="en-GB" w:bidi="th-TH"/>
              </w:rPr>
              <w:t>11,200</w:t>
            </w:r>
          </w:p>
        </w:tc>
        <w:tc>
          <w:tcPr>
            <w:tcW w:w="907" w:type="dxa"/>
            <w:vAlign w:val="center"/>
          </w:tcPr>
          <w:p w14:paraId="5DAD1DE9" w14:textId="77777777" w:rsidR="00B02C05" w:rsidRPr="00B02C05" w:rsidRDefault="00B02C05" w:rsidP="00B02C05">
            <w:pPr>
              <w:autoSpaceDE w:val="0"/>
              <w:autoSpaceDN w:val="0"/>
              <w:adjustRightInd w:val="0"/>
              <w:jc w:val="right"/>
              <w:rPr>
                <w:rFonts w:ascii="Arial" w:hAnsi="Arial" w:cs="Arial"/>
                <w:b/>
                <w:bCs/>
                <w:color w:val="000000"/>
                <w:sz w:val="16"/>
                <w:szCs w:val="16"/>
                <w:lang w:val="en-GB" w:bidi="th-TH"/>
              </w:rPr>
            </w:pPr>
            <w:r w:rsidRPr="00B02C05">
              <w:rPr>
                <w:rFonts w:ascii="Arial" w:hAnsi="Arial" w:cs="Arial"/>
                <w:b/>
                <w:bCs/>
                <w:color w:val="000000"/>
                <w:sz w:val="16"/>
                <w:szCs w:val="16"/>
                <w:lang w:val="en-GB" w:bidi="th-TH"/>
              </w:rPr>
              <w:t>0.9</w:t>
            </w:r>
          </w:p>
        </w:tc>
      </w:tr>
    </w:tbl>
    <w:p w14:paraId="10FA7ED1" w14:textId="77777777" w:rsidR="00C91603" w:rsidRDefault="00AA5D31" w:rsidP="00C91603">
      <w:pPr>
        <w:numPr>
          <w:ilvl w:val="0"/>
          <w:numId w:val="3"/>
        </w:numPr>
        <w:spacing w:before="120"/>
        <w:ind w:left="0" w:firstLine="0"/>
        <w:jc w:val="both"/>
        <w:rPr>
          <w:sz w:val="22"/>
          <w:szCs w:val="22"/>
        </w:rPr>
      </w:pPr>
      <w:r w:rsidRPr="00AA5D31">
        <w:rPr>
          <w:sz w:val="22"/>
          <w:szCs w:val="22"/>
        </w:rPr>
        <w:t xml:space="preserve">In preparation for implementation of the mangrove </w:t>
      </w:r>
      <w:r w:rsidR="00041901">
        <w:rPr>
          <w:sz w:val="22"/>
          <w:szCs w:val="22"/>
        </w:rPr>
        <w:t>activities</w:t>
      </w:r>
      <w:r w:rsidRPr="00AA5D31">
        <w:rPr>
          <w:sz w:val="22"/>
          <w:szCs w:val="22"/>
        </w:rPr>
        <w:t xml:space="preserve"> of the SAP, comprehensive site characterization information and data were compiled to establish detailed baselines for the 26 mangrove sites identified as priority locations for management within the framework of SAP implementation. These site characterisations contain geographical coordinates, information on the physical environment, environmental state information, socio-economic and resource use information, biological data, and information on the status of existing management at these sites. These baseline assessments of the sites have been made accessible online at </w:t>
      </w:r>
      <w:r w:rsidR="00041901" w:rsidRPr="00041901">
        <w:rPr>
          <w:sz w:val="22"/>
          <w:szCs w:val="22"/>
        </w:rPr>
        <w:t>http://gis.unepscs.org</w:t>
      </w:r>
      <w:r w:rsidR="00041901">
        <w:rPr>
          <w:rStyle w:val="FootnoteReference"/>
          <w:sz w:val="22"/>
          <w:szCs w:val="22"/>
        </w:rPr>
        <w:footnoteReference w:id="62"/>
      </w:r>
      <w:r w:rsidRPr="00AA5D31">
        <w:rPr>
          <w:sz w:val="22"/>
          <w:szCs w:val="22"/>
        </w:rPr>
        <w:t>. A supporting meta-database of the data used to establish the baselines has also been developed as a preparatory activi</w:t>
      </w:r>
      <w:r w:rsidR="00041901">
        <w:rPr>
          <w:sz w:val="22"/>
          <w:szCs w:val="22"/>
        </w:rPr>
        <w:t>ty</w:t>
      </w:r>
      <w:r w:rsidRPr="00AA5D31">
        <w:rPr>
          <w:sz w:val="22"/>
          <w:szCs w:val="22"/>
        </w:rPr>
        <w:t xml:space="preserve">. A summary of information at the 26 sites is presented in Table </w:t>
      </w:r>
      <w:r w:rsidR="00041901">
        <w:rPr>
          <w:sz w:val="22"/>
          <w:szCs w:val="22"/>
        </w:rPr>
        <w:t>20</w:t>
      </w:r>
      <w:r w:rsidRPr="00AA5D31">
        <w:rPr>
          <w:sz w:val="22"/>
          <w:szCs w:val="22"/>
        </w:rPr>
        <w:t>.</w:t>
      </w:r>
      <w:r w:rsidR="00C91603">
        <w:rPr>
          <w:sz w:val="22"/>
          <w:szCs w:val="22"/>
        </w:rPr>
        <w:t xml:space="preserve"> Detailed national reports on the status and trends in mangroves and mangrove management were also published in preparation for SAP implementation</w:t>
      </w:r>
      <w:r w:rsidR="00C91603">
        <w:rPr>
          <w:rStyle w:val="FootnoteReference"/>
          <w:sz w:val="22"/>
          <w:szCs w:val="22"/>
        </w:rPr>
        <w:footnoteReference w:id="63"/>
      </w:r>
      <w:r w:rsidR="00C91603">
        <w:rPr>
          <w:sz w:val="22"/>
          <w:szCs w:val="22"/>
        </w:rPr>
        <w:t>.</w:t>
      </w:r>
    </w:p>
    <w:p w14:paraId="74DFD477" w14:textId="77777777" w:rsidR="00C91603" w:rsidRPr="00C91603" w:rsidRDefault="00C91603" w:rsidP="00C91603">
      <w:pPr>
        <w:numPr>
          <w:ilvl w:val="0"/>
          <w:numId w:val="3"/>
        </w:numPr>
        <w:spacing w:before="120"/>
        <w:ind w:left="0" w:firstLine="0"/>
        <w:jc w:val="both"/>
        <w:rPr>
          <w:sz w:val="22"/>
          <w:szCs w:val="22"/>
        </w:rPr>
        <w:sectPr w:rsidR="00C91603" w:rsidRPr="00C91603" w:rsidSect="00064925">
          <w:pgSz w:w="12240" w:h="15840" w:code="1"/>
          <w:pgMar w:top="1440" w:right="1584" w:bottom="1440" w:left="1584" w:header="706" w:footer="706" w:gutter="0"/>
          <w:cols w:space="708"/>
          <w:docGrid w:linePitch="360"/>
        </w:sectPr>
      </w:pPr>
    </w:p>
    <w:p w14:paraId="49E6D071" w14:textId="77777777" w:rsidR="00041901" w:rsidRPr="00041901" w:rsidRDefault="00041901" w:rsidP="00041901">
      <w:pPr>
        <w:spacing w:after="120"/>
        <w:ind w:left="1440" w:hanging="1440"/>
        <w:jc w:val="both"/>
        <w:rPr>
          <w:rFonts w:cs="Arial"/>
          <w:bCs/>
          <w:sz w:val="22"/>
          <w:szCs w:val="22"/>
        </w:rPr>
      </w:pPr>
      <w:r w:rsidRPr="00041901">
        <w:rPr>
          <w:rFonts w:cs="Arial"/>
          <w:b/>
          <w:bCs/>
          <w:sz w:val="22"/>
          <w:szCs w:val="22"/>
        </w:rPr>
        <w:t>Table 20</w:t>
      </w:r>
      <w:r w:rsidRPr="00041901">
        <w:rPr>
          <w:rFonts w:cs="Arial"/>
          <w:bCs/>
          <w:sz w:val="22"/>
          <w:szCs w:val="22"/>
        </w:rPr>
        <w:tab/>
        <w:t xml:space="preserve">Selected physical and biological properties and variables </w:t>
      </w:r>
      <w:r>
        <w:rPr>
          <w:rFonts w:cs="Arial"/>
          <w:bCs/>
          <w:sz w:val="22"/>
          <w:szCs w:val="22"/>
        </w:rPr>
        <w:t xml:space="preserve">for </w:t>
      </w:r>
      <w:r w:rsidR="00974257">
        <w:rPr>
          <w:rFonts w:cs="Arial"/>
          <w:bCs/>
          <w:sz w:val="22"/>
          <w:szCs w:val="22"/>
        </w:rPr>
        <w:t xml:space="preserve">the 26 </w:t>
      </w:r>
      <w:r>
        <w:rPr>
          <w:rFonts w:cs="Arial"/>
          <w:bCs/>
          <w:sz w:val="22"/>
          <w:szCs w:val="22"/>
        </w:rPr>
        <w:t>priority mangrove sites for management within the framework of Strategic Action Programme implementation</w:t>
      </w:r>
      <w:r w:rsidRPr="00041901">
        <w:rPr>
          <w:rFonts w:cs="Arial"/>
          <w:bCs/>
          <w:sz w:val="22"/>
          <w:szCs w:val="22"/>
        </w:rPr>
        <w:t>.</w:t>
      </w:r>
      <w:r>
        <w:rPr>
          <w:rFonts w:cs="Arial"/>
          <w:bCs/>
          <w:sz w:val="22"/>
          <w:szCs w:val="22"/>
        </w:rPr>
        <w:t xml:space="preserve"> </w:t>
      </w:r>
      <w:r w:rsidRPr="00041901">
        <w:rPr>
          <w:rFonts w:cs="Arial"/>
          <w:bCs/>
          <w:sz w:val="22"/>
          <w:szCs w:val="22"/>
        </w:rPr>
        <w:t>(M = data unavailable)</w:t>
      </w:r>
    </w:p>
    <w:tbl>
      <w:tblPr>
        <w:tblW w:w="13093" w:type="dxa"/>
        <w:jc w:val="center"/>
        <w:tblCellMar>
          <w:left w:w="0" w:type="dxa"/>
          <w:right w:w="0" w:type="dxa"/>
        </w:tblCellMar>
        <w:tblLook w:val="0000" w:firstRow="0" w:lastRow="0" w:firstColumn="0" w:lastColumn="0" w:noHBand="0" w:noVBand="0"/>
      </w:tblPr>
      <w:tblGrid>
        <w:gridCol w:w="2272"/>
        <w:gridCol w:w="880"/>
        <w:gridCol w:w="770"/>
        <w:gridCol w:w="880"/>
        <w:gridCol w:w="990"/>
        <w:gridCol w:w="880"/>
        <w:gridCol w:w="770"/>
        <w:gridCol w:w="1061"/>
        <w:gridCol w:w="919"/>
        <w:gridCol w:w="990"/>
        <w:gridCol w:w="880"/>
        <w:gridCol w:w="880"/>
        <w:gridCol w:w="921"/>
      </w:tblGrid>
      <w:tr w:rsidR="00041901" w:rsidRPr="00041901" w14:paraId="47FEA291" w14:textId="77777777" w:rsidTr="00041901">
        <w:trPr>
          <w:trHeight w:val="394"/>
          <w:jc w:val="center"/>
        </w:trPr>
        <w:tc>
          <w:tcPr>
            <w:tcW w:w="2272" w:type="dxa"/>
            <w:tcBorders>
              <w:top w:val="single" w:sz="12" w:space="0" w:color="auto"/>
              <w:left w:val="single" w:sz="12" w:space="0" w:color="auto"/>
              <w:bottom w:val="single" w:sz="12" w:space="0" w:color="auto"/>
              <w:right w:val="single" w:sz="4" w:space="0" w:color="auto"/>
            </w:tcBorders>
            <w:tcMar>
              <w:top w:w="15" w:type="dxa"/>
              <w:left w:w="15" w:type="dxa"/>
              <w:bottom w:w="0" w:type="dxa"/>
              <w:right w:w="15" w:type="dxa"/>
            </w:tcMar>
            <w:vAlign w:val="center"/>
          </w:tcPr>
          <w:p w14:paraId="36D75897" w14:textId="77777777" w:rsidR="00041901" w:rsidRPr="00041901" w:rsidRDefault="00041901" w:rsidP="00041901">
            <w:pPr>
              <w:ind w:firstLine="16"/>
              <w:jc w:val="center"/>
              <w:rPr>
                <w:rFonts w:ascii="Arial" w:eastAsia="Arial Unicode MS" w:hAnsi="Arial" w:cs="Arial"/>
                <w:b/>
                <w:bCs/>
                <w:sz w:val="18"/>
                <w:szCs w:val="16"/>
                <w:lang w:val="en-GB"/>
              </w:rPr>
            </w:pPr>
            <w:r w:rsidRPr="00041901">
              <w:rPr>
                <w:rFonts w:ascii="Arial" w:hAnsi="Arial" w:cs="Arial"/>
                <w:b/>
                <w:bCs/>
                <w:sz w:val="18"/>
                <w:szCs w:val="16"/>
                <w:lang w:val="en-GB"/>
              </w:rPr>
              <w:t>Site</w:t>
            </w:r>
          </w:p>
        </w:tc>
        <w:tc>
          <w:tcPr>
            <w:tcW w:w="880" w:type="dxa"/>
            <w:tcBorders>
              <w:top w:val="single" w:sz="12" w:space="0" w:color="auto"/>
              <w:left w:val="nil"/>
              <w:bottom w:val="single" w:sz="12" w:space="0" w:color="auto"/>
              <w:right w:val="single" w:sz="4" w:space="0" w:color="auto"/>
            </w:tcBorders>
            <w:tcMar>
              <w:top w:w="15" w:type="dxa"/>
              <w:left w:w="15" w:type="dxa"/>
              <w:bottom w:w="0" w:type="dxa"/>
              <w:right w:w="15" w:type="dxa"/>
            </w:tcMar>
            <w:vAlign w:val="center"/>
          </w:tcPr>
          <w:p w14:paraId="7E6E7504" w14:textId="77777777" w:rsidR="00041901" w:rsidRPr="00041901" w:rsidRDefault="00041901" w:rsidP="00041901">
            <w:pPr>
              <w:ind w:right="97"/>
              <w:jc w:val="center"/>
              <w:rPr>
                <w:rFonts w:ascii="Arial" w:eastAsia="Arial Unicode MS" w:hAnsi="Arial" w:cs="Arial"/>
                <w:b/>
                <w:bCs/>
                <w:sz w:val="18"/>
                <w:szCs w:val="16"/>
                <w:lang w:val="en-GB"/>
              </w:rPr>
            </w:pPr>
            <w:r w:rsidRPr="00041901">
              <w:rPr>
                <w:rFonts w:ascii="Arial" w:hAnsi="Arial" w:cs="Arial"/>
                <w:b/>
                <w:bCs/>
                <w:sz w:val="18"/>
                <w:szCs w:val="16"/>
                <w:lang w:val="en-GB"/>
              </w:rPr>
              <w:t>Present Area</w:t>
            </w:r>
            <w:r w:rsidR="00803406">
              <w:rPr>
                <w:rFonts w:ascii="Arial" w:hAnsi="Arial" w:cs="Arial"/>
                <w:b/>
                <w:bCs/>
                <w:sz w:val="18"/>
                <w:szCs w:val="16"/>
                <w:lang w:val="en-GB"/>
              </w:rPr>
              <w:t xml:space="preserve"> (ha)</w:t>
            </w:r>
          </w:p>
        </w:tc>
        <w:tc>
          <w:tcPr>
            <w:tcW w:w="770" w:type="dxa"/>
            <w:tcBorders>
              <w:top w:val="single" w:sz="12" w:space="0" w:color="auto"/>
              <w:left w:val="nil"/>
              <w:bottom w:val="single" w:sz="12" w:space="0" w:color="auto"/>
              <w:right w:val="single" w:sz="4" w:space="0" w:color="auto"/>
            </w:tcBorders>
            <w:tcMar>
              <w:top w:w="15" w:type="dxa"/>
              <w:left w:w="15" w:type="dxa"/>
              <w:bottom w:w="0" w:type="dxa"/>
              <w:right w:w="15" w:type="dxa"/>
            </w:tcMar>
            <w:vAlign w:val="center"/>
          </w:tcPr>
          <w:p w14:paraId="6E8C0453" w14:textId="77777777" w:rsidR="00041901" w:rsidRPr="00041901" w:rsidRDefault="00041901" w:rsidP="00041901">
            <w:pPr>
              <w:jc w:val="center"/>
              <w:rPr>
                <w:rFonts w:ascii="Arial" w:eastAsia="Arial Unicode MS" w:hAnsi="Arial" w:cs="Arial"/>
                <w:b/>
                <w:bCs/>
                <w:sz w:val="18"/>
                <w:szCs w:val="16"/>
                <w:lang w:val="en-GB"/>
              </w:rPr>
            </w:pPr>
            <w:r w:rsidRPr="00041901">
              <w:rPr>
                <w:rFonts w:ascii="Arial" w:hAnsi="Arial" w:cs="Arial"/>
                <w:b/>
                <w:bCs/>
                <w:sz w:val="18"/>
                <w:szCs w:val="16"/>
                <w:lang w:val="en-GB"/>
              </w:rPr>
              <w:t>Zones spp. assoc</w:t>
            </w:r>
          </w:p>
        </w:tc>
        <w:tc>
          <w:tcPr>
            <w:tcW w:w="880" w:type="dxa"/>
            <w:tcBorders>
              <w:top w:val="single" w:sz="12" w:space="0" w:color="auto"/>
              <w:left w:val="nil"/>
              <w:bottom w:val="single" w:sz="12" w:space="0" w:color="auto"/>
              <w:right w:val="single" w:sz="4" w:space="0" w:color="auto"/>
            </w:tcBorders>
            <w:tcMar>
              <w:top w:w="15" w:type="dxa"/>
              <w:left w:w="15" w:type="dxa"/>
              <w:bottom w:w="0" w:type="dxa"/>
              <w:right w:w="15" w:type="dxa"/>
            </w:tcMar>
            <w:vAlign w:val="center"/>
          </w:tcPr>
          <w:p w14:paraId="0C8ED752" w14:textId="77777777" w:rsidR="00041901" w:rsidRPr="00041901" w:rsidRDefault="00041901" w:rsidP="00041901">
            <w:pPr>
              <w:jc w:val="center"/>
              <w:rPr>
                <w:rFonts w:ascii="Arial" w:eastAsia="Arial Unicode MS" w:hAnsi="Arial" w:cs="Arial"/>
                <w:b/>
                <w:bCs/>
                <w:sz w:val="18"/>
                <w:szCs w:val="20"/>
                <w:lang w:val="en-GB"/>
              </w:rPr>
            </w:pPr>
            <w:r w:rsidRPr="00041901">
              <w:rPr>
                <w:rFonts w:ascii="Arial" w:hAnsi="Arial" w:cs="Arial"/>
                <w:b/>
                <w:bCs/>
                <w:sz w:val="18"/>
                <w:szCs w:val="20"/>
                <w:lang w:val="en-GB"/>
              </w:rPr>
              <w:t>% change in area</w:t>
            </w:r>
          </w:p>
        </w:tc>
        <w:tc>
          <w:tcPr>
            <w:tcW w:w="990" w:type="dxa"/>
            <w:tcBorders>
              <w:top w:val="single" w:sz="12" w:space="0" w:color="auto"/>
              <w:left w:val="nil"/>
              <w:bottom w:val="single" w:sz="12" w:space="0" w:color="auto"/>
              <w:right w:val="single" w:sz="4" w:space="0" w:color="auto"/>
            </w:tcBorders>
            <w:tcMar>
              <w:top w:w="15" w:type="dxa"/>
              <w:left w:w="15" w:type="dxa"/>
              <w:bottom w:w="0" w:type="dxa"/>
              <w:right w:w="15" w:type="dxa"/>
            </w:tcMar>
            <w:vAlign w:val="center"/>
          </w:tcPr>
          <w:p w14:paraId="5EE71F4E" w14:textId="77777777" w:rsidR="00041901" w:rsidRPr="00041901" w:rsidRDefault="00041901" w:rsidP="00041901">
            <w:pPr>
              <w:jc w:val="center"/>
              <w:rPr>
                <w:rFonts w:ascii="Arial" w:eastAsia="Arial Unicode MS" w:hAnsi="Arial" w:cs="Arial"/>
                <w:b/>
                <w:bCs/>
                <w:sz w:val="18"/>
                <w:szCs w:val="16"/>
                <w:lang w:val="en-GB"/>
              </w:rPr>
            </w:pPr>
            <w:r w:rsidRPr="00041901">
              <w:rPr>
                <w:rFonts w:ascii="Arial" w:hAnsi="Arial" w:cs="Arial"/>
                <w:b/>
                <w:bCs/>
                <w:sz w:val="18"/>
                <w:szCs w:val="16"/>
                <w:lang w:val="en-GB"/>
              </w:rPr>
              <w:t xml:space="preserve">True mangrove spp. </w:t>
            </w:r>
          </w:p>
        </w:tc>
        <w:tc>
          <w:tcPr>
            <w:tcW w:w="880" w:type="dxa"/>
            <w:tcBorders>
              <w:top w:val="single" w:sz="12" w:space="0" w:color="auto"/>
              <w:left w:val="nil"/>
              <w:bottom w:val="single" w:sz="12" w:space="0" w:color="auto"/>
              <w:right w:val="single" w:sz="4" w:space="0" w:color="auto"/>
            </w:tcBorders>
            <w:tcMar>
              <w:top w:w="15" w:type="dxa"/>
              <w:left w:w="15" w:type="dxa"/>
              <w:bottom w:w="0" w:type="dxa"/>
              <w:right w:w="15" w:type="dxa"/>
            </w:tcMar>
            <w:vAlign w:val="center"/>
          </w:tcPr>
          <w:p w14:paraId="63A8EE37" w14:textId="77777777" w:rsidR="00041901" w:rsidRPr="00041901" w:rsidRDefault="00041901" w:rsidP="00041901">
            <w:pPr>
              <w:jc w:val="center"/>
              <w:rPr>
                <w:rFonts w:ascii="Arial" w:eastAsia="Arial Unicode MS" w:hAnsi="Arial" w:cs="Arial"/>
                <w:b/>
                <w:bCs/>
                <w:sz w:val="18"/>
                <w:szCs w:val="16"/>
                <w:lang w:val="en-GB"/>
              </w:rPr>
            </w:pPr>
            <w:r w:rsidRPr="00041901">
              <w:rPr>
                <w:rFonts w:ascii="Arial" w:hAnsi="Arial" w:cs="Arial"/>
                <w:b/>
                <w:bCs/>
                <w:sz w:val="18"/>
                <w:szCs w:val="16"/>
                <w:lang w:val="en-GB"/>
              </w:rPr>
              <w:t>Density &gt;1.5m high /Ha</w:t>
            </w:r>
          </w:p>
        </w:tc>
        <w:tc>
          <w:tcPr>
            <w:tcW w:w="770" w:type="dxa"/>
            <w:tcBorders>
              <w:top w:val="single" w:sz="12" w:space="0" w:color="auto"/>
              <w:left w:val="nil"/>
              <w:bottom w:val="single" w:sz="12" w:space="0" w:color="auto"/>
              <w:right w:val="single" w:sz="4" w:space="0" w:color="auto"/>
            </w:tcBorders>
            <w:tcMar>
              <w:top w:w="15" w:type="dxa"/>
              <w:left w:w="15" w:type="dxa"/>
              <w:bottom w:w="0" w:type="dxa"/>
              <w:right w:w="15" w:type="dxa"/>
            </w:tcMar>
            <w:vAlign w:val="center"/>
          </w:tcPr>
          <w:p w14:paraId="62C7AFFC" w14:textId="77777777" w:rsidR="00041901" w:rsidRPr="00041901" w:rsidRDefault="00041901" w:rsidP="00041901">
            <w:pPr>
              <w:jc w:val="center"/>
              <w:rPr>
                <w:rFonts w:ascii="Arial" w:eastAsia="Arial Unicode MS" w:hAnsi="Arial" w:cs="Arial"/>
                <w:b/>
                <w:bCs/>
                <w:sz w:val="18"/>
                <w:szCs w:val="16"/>
                <w:lang w:val="en-GB"/>
              </w:rPr>
            </w:pPr>
            <w:r w:rsidRPr="00041901">
              <w:rPr>
                <w:rFonts w:ascii="Arial" w:hAnsi="Arial" w:cs="Arial"/>
                <w:b/>
                <w:bCs/>
                <w:sz w:val="18"/>
                <w:szCs w:val="16"/>
                <w:lang w:val="en-GB"/>
              </w:rPr>
              <w:t>% cover</w:t>
            </w:r>
          </w:p>
        </w:tc>
        <w:tc>
          <w:tcPr>
            <w:tcW w:w="1061" w:type="dxa"/>
            <w:tcBorders>
              <w:top w:val="single" w:sz="12" w:space="0" w:color="auto"/>
              <w:left w:val="nil"/>
              <w:bottom w:val="single" w:sz="12" w:space="0" w:color="auto"/>
              <w:right w:val="single" w:sz="4" w:space="0" w:color="auto"/>
            </w:tcBorders>
            <w:tcMar>
              <w:top w:w="15" w:type="dxa"/>
              <w:left w:w="15" w:type="dxa"/>
              <w:bottom w:w="0" w:type="dxa"/>
              <w:right w:w="15" w:type="dxa"/>
            </w:tcMar>
            <w:vAlign w:val="center"/>
          </w:tcPr>
          <w:p w14:paraId="21B747FE" w14:textId="77777777" w:rsidR="00041901" w:rsidRPr="00041901" w:rsidRDefault="00041901" w:rsidP="00041901">
            <w:pPr>
              <w:jc w:val="center"/>
              <w:rPr>
                <w:rFonts w:ascii="Arial" w:eastAsia="Arial Unicode MS" w:hAnsi="Arial" w:cs="Arial"/>
                <w:b/>
                <w:bCs/>
                <w:sz w:val="18"/>
                <w:szCs w:val="16"/>
                <w:lang w:val="en-GB"/>
              </w:rPr>
            </w:pPr>
            <w:r w:rsidRPr="00041901">
              <w:rPr>
                <w:rFonts w:ascii="Arial" w:hAnsi="Arial" w:cs="Arial"/>
                <w:b/>
                <w:bCs/>
                <w:sz w:val="18"/>
                <w:szCs w:val="16"/>
                <w:lang w:val="en-GB"/>
              </w:rPr>
              <w:t>No. Crustacean. spp.</w:t>
            </w:r>
          </w:p>
        </w:tc>
        <w:tc>
          <w:tcPr>
            <w:tcW w:w="919" w:type="dxa"/>
            <w:tcBorders>
              <w:top w:val="single" w:sz="12" w:space="0" w:color="auto"/>
              <w:left w:val="nil"/>
              <w:bottom w:val="single" w:sz="12" w:space="0" w:color="auto"/>
              <w:right w:val="single" w:sz="4" w:space="0" w:color="auto"/>
            </w:tcBorders>
            <w:tcMar>
              <w:top w:w="15" w:type="dxa"/>
              <w:left w:w="15" w:type="dxa"/>
              <w:bottom w:w="0" w:type="dxa"/>
              <w:right w:w="15" w:type="dxa"/>
            </w:tcMar>
            <w:vAlign w:val="center"/>
          </w:tcPr>
          <w:p w14:paraId="0F518EE7" w14:textId="77777777" w:rsidR="00041901" w:rsidRPr="00041901" w:rsidRDefault="00041901" w:rsidP="00041901">
            <w:pPr>
              <w:jc w:val="center"/>
              <w:rPr>
                <w:rFonts w:ascii="Arial" w:eastAsia="Arial Unicode MS" w:hAnsi="Arial" w:cs="Arial"/>
                <w:b/>
                <w:bCs/>
                <w:sz w:val="18"/>
                <w:szCs w:val="16"/>
                <w:lang w:val="en-GB"/>
              </w:rPr>
            </w:pPr>
            <w:r w:rsidRPr="00041901">
              <w:rPr>
                <w:rFonts w:ascii="Arial" w:hAnsi="Arial" w:cs="Arial"/>
                <w:b/>
                <w:bCs/>
                <w:sz w:val="18"/>
                <w:szCs w:val="16"/>
                <w:lang w:val="en-GB"/>
              </w:rPr>
              <w:t>No Bivalve</w:t>
            </w:r>
          </w:p>
        </w:tc>
        <w:tc>
          <w:tcPr>
            <w:tcW w:w="990" w:type="dxa"/>
            <w:tcBorders>
              <w:top w:val="single" w:sz="12" w:space="0" w:color="auto"/>
              <w:left w:val="nil"/>
              <w:bottom w:val="single" w:sz="12" w:space="0" w:color="auto"/>
              <w:right w:val="single" w:sz="4" w:space="0" w:color="auto"/>
            </w:tcBorders>
            <w:tcMar>
              <w:top w:w="15" w:type="dxa"/>
              <w:left w:w="15" w:type="dxa"/>
              <w:bottom w:w="0" w:type="dxa"/>
              <w:right w:w="15" w:type="dxa"/>
            </w:tcMar>
            <w:vAlign w:val="center"/>
          </w:tcPr>
          <w:p w14:paraId="46E3ED2A" w14:textId="77777777" w:rsidR="00041901" w:rsidRPr="00041901" w:rsidRDefault="00041901" w:rsidP="00041901">
            <w:pPr>
              <w:jc w:val="center"/>
              <w:rPr>
                <w:rFonts w:ascii="Arial" w:eastAsia="Arial Unicode MS" w:hAnsi="Arial" w:cs="Arial"/>
                <w:b/>
                <w:bCs/>
                <w:sz w:val="18"/>
                <w:szCs w:val="16"/>
                <w:lang w:val="en-GB"/>
              </w:rPr>
            </w:pPr>
            <w:r w:rsidRPr="00041901">
              <w:rPr>
                <w:rFonts w:ascii="Arial" w:hAnsi="Arial" w:cs="Arial"/>
                <w:b/>
                <w:bCs/>
                <w:sz w:val="18"/>
                <w:szCs w:val="16"/>
                <w:lang w:val="en-GB"/>
              </w:rPr>
              <w:t>No. Gastropod spp.</w:t>
            </w:r>
          </w:p>
        </w:tc>
        <w:tc>
          <w:tcPr>
            <w:tcW w:w="880" w:type="dxa"/>
            <w:tcBorders>
              <w:top w:val="single" w:sz="12" w:space="0" w:color="auto"/>
              <w:left w:val="nil"/>
              <w:bottom w:val="single" w:sz="12" w:space="0" w:color="auto"/>
              <w:right w:val="single" w:sz="4" w:space="0" w:color="auto"/>
            </w:tcBorders>
            <w:tcMar>
              <w:top w:w="15" w:type="dxa"/>
              <w:left w:w="15" w:type="dxa"/>
              <w:bottom w:w="0" w:type="dxa"/>
              <w:right w:w="15" w:type="dxa"/>
            </w:tcMar>
            <w:vAlign w:val="center"/>
          </w:tcPr>
          <w:p w14:paraId="310E3568" w14:textId="77777777" w:rsidR="00041901" w:rsidRPr="00041901" w:rsidRDefault="00041901" w:rsidP="00041901">
            <w:pPr>
              <w:jc w:val="center"/>
              <w:rPr>
                <w:rFonts w:ascii="Arial" w:eastAsia="Arial Unicode MS" w:hAnsi="Arial" w:cs="Arial"/>
                <w:b/>
                <w:bCs/>
                <w:sz w:val="18"/>
                <w:szCs w:val="16"/>
                <w:lang w:val="en-GB"/>
              </w:rPr>
            </w:pPr>
            <w:r w:rsidRPr="00041901">
              <w:rPr>
                <w:rFonts w:ascii="Arial" w:hAnsi="Arial" w:cs="Arial"/>
                <w:b/>
                <w:bCs/>
                <w:sz w:val="18"/>
                <w:szCs w:val="16"/>
                <w:lang w:val="en-GB"/>
              </w:rPr>
              <w:t>No Fish spp.</w:t>
            </w:r>
          </w:p>
        </w:tc>
        <w:tc>
          <w:tcPr>
            <w:tcW w:w="880" w:type="dxa"/>
            <w:tcBorders>
              <w:top w:val="single" w:sz="12" w:space="0" w:color="auto"/>
              <w:left w:val="nil"/>
              <w:bottom w:val="single" w:sz="12" w:space="0" w:color="auto"/>
              <w:right w:val="single" w:sz="4" w:space="0" w:color="auto"/>
            </w:tcBorders>
            <w:tcMar>
              <w:top w:w="15" w:type="dxa"/>
              <w:left w:w="15" w:type="dxa"/>
              <w:bottom w:w="0" w:type="dxa"/>
              <w:right w:w="15" w:type="dxa"/>
            </w:tcMar>
            <w:vAlign w:val="center"/>
          </w:tcPr>
          <w:p w14:paraId="0923A5C2" w14:textId="77777777" w:rsidR="00041901" w:rsidRPr="00041901" w:rsidRDefault="00041901" w:rsidP="00041901">
            <w:pPr>
              <w:jc w:val="center"/>
              <w:rPr>
                <w:rFonts w:ascii="Arial" w:eastAsia="Arial Unicode MS" w:hAnsi="Arial" w:cs="Arial"/>
                <w:b/>
                <w:bCs/>
                <w:sz w:val="18"/>
                <w:szCs w:val="16"/>
                <w:lang w:val="en-GB"/>
              </w:rPr>
            </w:pPr>
            <w:r w:rsidRPr="00041901">
              <w:rPr>
                <w:rFonts w:ascii="Arial" w:hAnsi="Arial" w:cs="Arial"/>
                <w:b/>
                <w:bCs/>
                <w:sz w:val="18"/>
                <w:szCs w:val="16"/>
                <w:lang w:val="en-GB"/>
              </w:rPr>
              <w:t>No Bird spp.</w:t>
            </w:r>
          </w:p>
        </w:tc>
        <w:tc>
          <w:tcPr>
            <w:tcW w:w="921" w:type="dxa"/>
            <w:tcBorders>
              <w:top w:val="single" w:sz="12" w:space="0" w:color="auto"/>
              <w:left w:val="nil"/>
              <w:bottom w:val="single" w:sz="12" w:space="0" w:color="auto"/>
              <w:right w:val="single" w:sz="12" w:space="0" w:color="auto"/>
            </w:tcBorders>
            <w:tcMar>
              <w:top w:w="15" w:type="dxa"/>
              <w:left w:w="15" w:type="dxa"/>
              <w:bottom w:w="0" w:type="dxa"/>
              <w:right w:w="15" w:type="dxa"/>
            </w:tcMar>
            <w:vAlign w:val="center"/>
          </w:tcPr>
          <w:p w14:paraId="379AC830" w14:textId="77777777" w:rsidR="00041901" w:rsidRPr="00041901" w:rsidRDefault="00041901" w:rsidP="00041901">
            <w:pPr>
              <w:jc w:val="center"/>
              <w:rPr>
                <w:rFonts w:ascii="Arial" w:eastAsia="Arial Unicode MS" w:hAnsi="Arial" w:cs="Arial"/>
                <w:b/>
                <w:bCs/>
                <w:sz w:val="18"/>
                <w:szCs w:val="16"/>
                <w:lang w:val="en-GB"/>
              </w:rPr>
            </w:pPr>
            <w:r w:rsidRPr="00041901">
              <w:rPr>
                <w:rFonts w:ascii="Arial" w:hAnsi="Arial" w:cs="Arial"/>
                <w:b/>
                <w:bCs/>
                <w:sz w:val="18"/>
                <w:szCs w:val="16"/>
                <w:lang w:val="en-GB"/>
              </w:rPr>
              <w:t>No migratory bird spp.</w:t>
            </w:r>
          </w:p>
        </w:tc>
      </w:tr>
      <w:tr w:rsidR="00041901" w:rsidRPr="00041901" w14:paraId="7CCD7D00" w14:textId="77777777" w:rsidTr="00041901">
        <w:trPr>
          <w:trHeight w:val="35"/>
          <w:jc w:val="center"/>
        </w:trPr>
        <w:tc>
          <w:tcPr>
            <w:tcW w:w="13093" w:type="dxa"/>
            <w:gridSpan w:val="13"/>
            <w:tcBorders>
              <w:top w:val="single" w:sz="12" w:space="0" w:color="auto"/>
              <w:left w:val="single" w:sz="12" w:space="0" w:color="auto"/>
              <w:bottom w:val="single" w:sz="4" w:space="0" w:color="auto"/>
              <w:right w:val="single" w:sz="12" w:space="0" w:color="auto"/>
            </w:tcBorders>
            <w:tcMar>
              <w:top w:w="15" w:type="dxa"/>
              <w:left w:w="15" w:type="dxa"/>
              <w:bottom w:w="0" w:type="dxa"/>
              <w:right w:w="15" w:type="dxa"/>
            </w:tcMar>
            <w:vAlign w:val="center"/>
          </w:tcPr>
          <w:p w14:paraId="0EAF794F" w14:textId="77777777" w:rsidR="00041901" w:rsidRPr="00041901" w:rsidRDefault="00041901" w:rsidP="00041901">
            <w:pPr>
              <w:jc w:val="center"/>
              <w:rPr>
                <w:rFonts w:ascii="Arial" w:hAnsi="Arial" w:cs="Arial"/>
                <w:b/>
                <w:sz w:val="18"/>
                <w:szCs w:val="18"/>
                <w:lang w:val="en-GB"/>
              </w:rPr>
            </w:pPr>
            <w:smartTag w:uri="urn:schemas-microsoft-com:office:smarttags" w:element="country-region">
              <w:smartTag w:uri="urn:schemas-microsoft-com:office:smarttags" w:element="place">
                <w:r w:rsidRPr="00041901">
                  <w:rPr>
                    <w:rFonts w:ascii="Arial" w:hAnsi="Arial" w:cs="Arial"/>
                    <w:b/>
                    <w:sz w:val="18"/>
                    <w:szCs w:val="18"/>
                    <w:lang w:val="en-GB"/>
                  </w:rPr>
                  <w:t>China</w:t>
                </w:r>
              </w:smartTag>
            </w:smartTag>
          </w:p>
        </w:tc>
      </w:tr>
      <w:tr w:rsidR="00041901" w:rsidRPr="00041901" w14:paraId="64BBC27C" w14:textId="77777777" w:rsidTr="00041901">
        <w:trPr>
          <w:trHeight w:val="35"/>
          <w:jc w:val="center"/>
        </w:trPr>
        <w:tc>
          <w:tcPr>
            <w:tcW w:w="2272" w:type="dxa"/>
            <w:tcBorders>
              <w:top w:val="single" w:sz="4" w:space="0" w:color="auto"/>
              <w:left w:val="single" w:sz="12" w:space="0" w:color="auto"/>
              <w:bottom w:val="single" w:sz="4" w:space="0" w:color="auto"/>
              <w:right w:val="single" w:sz="4" w:space="0" w:color="auto"/>
            </w:tcBorders>
            <w:tcMar>
              <w:top w:w="15" w:type="dxa"/>
              <w:left w:w="15" w:type="dxa"/>
              <w:bottom w:w="0" w:type="dxa"/>
              <w:right w:w="15" w:type="dxa"/>
            </w:tcMar>
            <w:vAlign w:val="center"/>
          </w:tcPr>
          <w:p w14:paraId="724156C4" w14:textId="77777777" w:rsidR="00041901" w:rsidRPr="00041901" w:rsidRDefault="00041901" w:rsidP="00041901">
            <w:pPr>
              <w:ind w:firstLine="126"/>
              <w:rPr>
                <w:rFonts w:ascii="Arial" w:eastAsia="Arial Unicode MS" w:hAnsi="Arial" w:cs="Arial"/>
                <w:sz w:val="18"/>
                <w:szCs w:val="18"/>
                <w:lang w:val="en-GB"/>
              </w:rPr>
            </w:pPr>
            <w:r w:rsidRPr="00041901">
              <w:rPr>
                <w:rFonts w:ascii="Arial" w:hAnsi="Arial" w:cs="Arial"/>
                <w:sz w:val="18"/>
                <w:szCs w:val="18"/>
                <w:lang w:val="en-GB"/>
              </w:rPr>
              <w:t>Shangkou</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FAAA173"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812</w:t>
            </w:r>
          </w:p>
        </w:tc>
        <w:tc>
          <w:tcPr>
            <w:tcW w:w="77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000A98B"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4752180"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11</w:t>
            </w:r>
          </w:p>
        </w:tc>
        <w:tc>
          <w:tcPr>
            <w:tcW w:w="99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C92E378"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9</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A2D66BB"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11,980</w:t>
            </w:r>
          </w:p>
        </w:tc>
        <w:tc>
          <w:tcPr>
            <w:tcW w:w="77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ACB02C1"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90</w:t>
            </w:r>
          </w:p>
        </w:tc>
        <w:tc>
          <w:tcPr>
            <w:tcW w:w="1061"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935726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65</w:t>
            </w:r>
          </w:p>
        </w:tc>
        <w:tc>
          <w:tcPr>
            <w:tcW w:w="919"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2723CB9"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40</w:t>
            </w:r>
          </w:p>
        </w:tc>
        <w:tc>
          <w:tcPr>
            <w:tcW w:w="99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3904951"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33</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159868A"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95</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28B1501"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28</w:t>
            </w:r>
          </w:p>
        </w:tc>
        <w:tc>
          <w:tcPr>
            <w:tcW w:w="921" w:type="dxa"/>
            <w:tcBorders>
              <w:top w:val="single" w:sz="4" w:space="0" w:color="auto"/>
              <w:left w:val="nil"/>
              <w:bottom w:val="single" w:sz="4" w:space="0" w:color="auto"/>
              <w:right w:val="single" w:sz="12" w:space="0" w:color="auto"/>
            </w:tcBorders>
            <w:noWrap/>
            <w:tcMar>
              <w:top w:w="15" w:type="dxa"/>
              <w:left w:w="15" w:type="dxa"/>
              <w:bottom w:w="0" w:type="dxa"/>
              <w:right w:w="15" w:type="dxa"/>
            </w:tcMar>
            <w:vAlign w:val="center"/>
          </w:tcPr>
          <w:p w14:paraId="1CB19C09"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76</w:t>
            </w:r>
          </w:p>
        </w:tc>
      </w:tr>
      <w:tr w:rsidR="00041901" w:rsidRPr="00041901" w14:paraId="49BFF39C" w14:textId="77777777" w:rsidTr="00041901">
        <w:trPr>
          <w:trHeight w:val="85"/>
          <w:jc w:val="center"/>
        </w:trPr>
        <w:tc>
          <w:tcPr>
            <w:tcW w:w="2272" w:type="dxa"/>
            <w:tcBorders>
              <w:top w:val="nil"/>
              <w:left w:val="single" w:sz="12" w:space="0" w:color="auto"/>
              <w:bottom w:val="single" w:sz="4" w:space="0" w:color="auto"/>
              <w:right w:val="single" w:sz="4" w:space="0" w:color="auto"/>
            </w:tcBorders>
            <w:tcMar>
              <w:top w:w="15" w:type="dxa"/>
              <w:left w:w="15" w:type="dxa"/>
              <w:bottom w:w="0" w:type="dxa"/>
              <w:right w:w="15" w:type="dxa"/>
            </w:tcMar>
            <w:vAlign w:val="center"/>
          </w:tcPr>
          <w:p w14:paraId="1220F840" w14:textId="77777777" w:rsidR="00041901" w:rsidRPr="00041901" w:rsidRDefault="00041901" w:rsidP="00041901">
            <w:pPr>
              <w:ind w:firstLine="126"/>
              <w:rPr>
                <w:rFonts w:ascii="Arial" w:eastAsia="Arial Unicode MS" w:hAnsi="Arial" w:cs="Arial"/>
                <w:sz w:val="18"/>
                <w:szCs w:val="18"/>
                <w:lang w:val="en-GB"/>
              </w:rPr>
            </w:pPr>
            <w:r w:rsidRPr="00041901">
              <w:rPr>
                <w:rFonts w:ascii="Arial" w:hAnsi="Arial" w:cs="Arial"/>
                <w:sz w:val="18"/>
                <w:szCs w:val="18"/>
                <w:lang w:val="en-GB"/>
              </w:rPr>
              <w:t>Qinglangang</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5E063A1"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1,189</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C5AC9B0"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6</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1F8599A"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-56</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F923BAA"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25</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807D6FA"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10,183</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FCF1614"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80</w:t>
            </w:r>
          </w:p>
        </w:tc>
        <w:tc>
          <w:tcPr>
            <w:tcW w:w="1061"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68ECE4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60</w:t>
            </w:r>
          </w:p>
        </w:tc>
        <w:tc>
          <w:tcPr>
            <w:tcW w:w="91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F8BC7BF"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50</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07A90FB"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62</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9188F3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90</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E3A833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39</w:t>
            </w:r>
          </w:p>
        </w:tc>
        <w:tc>
          <w:tcPr>
            <w:tcW w:w="921" w:type="dxa"/>
            <w:tcBorders>
              <w:top w:val="nil"/>
              <w:left w:val="nil"/>
              <w:bottom w:val="single" w:sz="4" w:space="0" w:color="auto"/>
              <w:right w:val="single" w:sz="12" w:space="0" w:color="auto"/>
            </w:tcBorders>
            <w:noWrap/>
            <w:tcMar>
              <w:top w:w="15" w:type="dxa"/>
              <w:left w:w="15" w:type="dxa"/>
              <w:bottom w:w="0" w:type="dxa"/>
              <w:right w:w="15" w:type="dxa"/>
            </w:tcMar>
            <w:vAlign w:val="center"/>
          </w:tcPr>
          <w:p w14:paraId="65C821A7"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32</w:t>
            </w:r>
          </w:p>
        </w:tc>
      </w:tr>
      <w:tr w:rsidR="00041901" w:rsidRPr="00041901" w14:paraId="1EC80F1A" w14:textId="77777777" w:rsidTr="00041901">
        <w:trPr>
          <w:trHeight w:val="65"/>
          <w:jc w:val="center"/>
        </w:trPr>
        <w:tc>
          <w:tcPr>
            <w:tcW w:w="2272" w:type="dxa"/>
            <w:tcBorders>
              <w:top w:val="nil"/>
              <w:left w:val="single" w:sz="12" w:space="0" w:color="auto"/>
              <w:bottom w:val="single" w:sz="4" w:space="0" w:color="auto"/>
              <w:right w:val="single" w:sz="4" w:space="0" w:color="auto"/>
            </w:tcBorders>
            <w:tcMar>
              <w:top w:w="15" w:type="dxa"/>
              <w:left w:w="15" w:type="dxa"/>
              <w:bottom w:w="0" w:type="dxa"/>
              <w:right w:w="15" w:type="dxa"/>
            </w:tcMar>
            <w:vAlign w:val="center"/>
          </w:tcPr>
          <w:p w14:paraId="63F18FBF" w14:textId="77777777" w:rsidR="00041901" w:rsidRPr="00041901" w:rsidRDefault="00041901" w:rsidP="00041901">
            <w:pPr>
              <w:ind w:firstLine="126"/>
              <w:rPr>
                <w:rFonts w:ascii="Arial" w:eastAsia="Arial Unicode MS" w:hAnsi="Arial" w:cs="Arial"/>
                <w:sz w:val="18"/>
                <w:szCs w:val="18"/>
                <w:lang w:val="en-GB"/>
              </w:rPr>
            </w:pPr>
            <w:r w:rsidRPr="00041901">
              <w:rPr>
                <w:rFonts w:ascii="Arial" w:hAnsi="Arial" w:cs="Arial"/>
                <w:sz w:val="18"/>
                <w:szCs w:val="18"/>
                <w:lang w:val="en-GB"/>
              </w:rPr>
              <w:t>Dong</w:t>
            </w:r>
            <w:r w:rsidR="00FC5830">
              <w:rPr>
                <w:rFonts w:ascii="Arial" w:hAnsi="Arial" w:cs="Arial"/>
                <w:sz w:val="18"/>
                <w:szCs w:val="18"/>
                <w:lang w:val="en-GB"/>
              </w:rPr>
              <w:t>z</w:t>
            </w:r>
            <w:r w:rsidRPr="00041901">
              <w:rPr>
                <w:rFonts w:ascii="Arial" w:hAnsi="Arial" w:cs="Arial"/>
                <w:sz w:val="18"/>
                <w:szCs w:val="18"/>
                <w:lang w:val="en-GB"/>
              </w:rPr>
              <w:t>hai</w:t>
            </w:r>
            <w:r w:rsidR="00FC5830">
              <w:rPr>
                <w:rFonts w:ascii="Arial" w:hAnsi="Arial" w:cs="Arial"/>
                <w:sz w:val="18"/>
                <w:szCs w:val="18"/>
                <w:lang w:val="en-GB"/>
              </w:rPr>
              <w:t>g</w:t>
            </w:r>
            <w:r w:rsidRPr="00041901">
              <w:rPr>
                <w:rFonts w:ascii="Arial" w:hAnsi="Arial" w:cs="Arial"/>
                <w:sz w:val="18"/>
                <w:szCs w:val="18"/>
                <w:lang w:val="en-GB"/>
              </w:rPr>
              <w:t>ang</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52477B1"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1,513</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3108AF5"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CAFA1AF"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-14</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8DA97C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16</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4FCB781"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8,433</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E18BB6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80</w:t>
            </w:r>
          </w:p>
        </w:tc>
        <w:tc>
          <w:tcPr>
            <w:tcW w:w="1061"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5D9918C"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32</w:t>
            </w:r>
          </w:p>
        </w:tc>
        <w:tc>
          <w:tcPr>
            <w:tcW w:w="91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6B14D67"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24</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AF31BF8"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27</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B84D1BC"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84</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16EEE90"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43</w:t>
            </w:r>
          </w:p>
        </w:tc>
        <w:tc>
          <w:tcPr>
            <w:tcW w:w="921" w:type="dxa"/>
            <w:tcBorders>
              <w:top w:val="nil"/>
              <w:left w:val="nil"/>
              <w:bottom w:val="single" w:sz="4" w:space="0" w:color="auto"/>
              <w:right w:val="single" w:sz="12" w:space="0" w:color="auto"/>
            </w:tcBorders>
            <w:noWrap/>
            <w:tcMar>
              <w:top w:w="15" w:type="dxa"/>
              <w:left w:w="15" w:type="dxa"/>
              <w:bottom w:w="0" w:type="dxa"/>
              <w:right w:w="15" w:type="dxa"/>
            </w:tcMar>
            <w:vAlign w:val="center"/>
          </w:tcPr>
          <w:p w14:paraId="47C2FF47"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35</w:t>
            </w:r>
          </w:p>
        </w:tc>
      </w:tr>
      <w:tr w:rsidR="00041901" w:rsidRPr="00041901" w14:paraId="6CE897AF" w14:textId="77777777" w:rsidTr="00041901">
        <w:trPr>
          <w:trHeight w:val="65"/>
          <w:jc w:val="center"/>
        </w:trPr>
        <w:tc>
          <w:tcPr>
            <w:tcW w:w="2272" w:type="dxa"/>
            <w:tcBorders>
              <w:top w:val="nil"/>
              <w:left w:val="single" w:sz="12" w:space="0" w:color="auto"/>
              <w:bottom w:val="single" w:sz="4" w:space="0" w:color="auto"/>
              <w:right w:val="single" w:sz="4" w:space="0" w:color="auto"/>
            </w:tcBorders>
            <w:tcMar>
              <w:top w:w="15" w:type="dxa"/>
              <w:left w:w="15" w:type="dxa"/>
              <w:bottom w:w="0" w:type="dxa"/>
              <w:right w:w="15" w:type="dxa"/>
            </w:tcMar>
            <w:vAlign w:val="center"/>
          </w:tcPr>
          <w:p w14:paraId="7BF816C8" w14:textId="77777777" w:rsidR="00041901" w:rsidRPr="00041901" w:rsidRDefault="00041901" w:rsidP="00041901">
            <w:pPr>
              <w:ind w:firstLine="126"/>
              <w:rPr>
                <w:rFonts w:ascii="Arial" w:eastAsia="Arial Unicode MS" w:hAnsi="Arial" w:cs="Arial"/>
                <w:sz w:val="18"/>
                <w:szCs w:val="18"/>
                <w:lang w:val="en-GB"/>
              </w:rPr>
            </w:pPr>
            <w:r w:rsidRPr="00041901">
              <w:rPr>
                <w:rFonts w:ascii="Arial" w:hAnsi="Arial" w:cs="Arial"/>
                <w:sz w:val="18"/>
                <w:szCs w:val="18"/>
                <w:lang w:val="en-GB"/>
              </w:rPr>
              <w:t>Futien</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78EFBA7"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82</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3591F64"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D16248E"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-26</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58544A2"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7</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4A6EE04"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10,233</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305F042"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80</w:t>
            </w:r>
          </w:p>
        </w:tc>
        <w:tc>
          <w:tcPr>
            <w:tcW w:w="1061"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5DF07E4"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29</w:t>
            </w:r>
          </w:p>
        </w:tc>
        <w:tc>
          <w:tcPr>
            <w:tcW w:w="91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83E8F97"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16</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31784ED"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21</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8532F5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11</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A4B319B"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58</w:t>
            </w:r>
          </w:p>
        </w:tc>
        <w:tc>
          <w:tcPr>
            <w:tcW w:w="921" w:type="dxa"/>
            <w:tcBorders>
              <w:top w:val="nil"/>
              <w:left w:val="nil"/>
              <w:bottom w:val="single" w:sz="4" w:space="0" w:color="auto"/>
              <w:right w:val="single" w:sz="12" w:space="0" w:color="auto"/>
            </w:tcBorders>
            <w:noWrap/>
            <w:tcMar>
              <w:top w:w="15" w:type="dxa"/>
              <w:left w:w="15" w:type="dxa"/>
              <w:bottom w:w="0" w:type="dxa"/>
              <w:right w:w="15" w:type="dxa"/>
            </w:tcMar>
            <w:vAlign w:val="center"/>
          </w:tcPr>
          <w:p w14:paraId="31BAF8D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99</w:t>
            </w:r>
          </w:p>
        </w:tc>
      </w:tr>
      <w:tr w:rsidR="00041901" w:rsidRPr="00041901" w14:paraId="786E8C0F" w14:textId="77777777" w:rsidTr="00041901">
        <w:trPr>
          <w:trHeight w:val="147"/>
          <w:jc w:val="center"/>
        </w:trPr>
        <w:tc>
          <w:tcPr>
            <w:tcW w:w="2272" w:type="dxa"/>
            <w:tcBorders>
              <w:top w:val="nil"/>
              <w:left w:val="single" w:sz="12" w:space="0" w:color="auto"/>
              <w:bottom w:val="single" w:sz="12" w:space="0" w:color="auto"/>
              <w:right w:val="single" w:sz="4" w:space="0" w:color="auto"/>
            </w:tcBorders>
            <w:tcMar>
              <w:top w:w="15" w:type="dxa"/>
              <w:left w:w="15" w:type="dxa"/>
              <w:bottom w:w="0" w:type="dxa"/>
              <w:right w:w="15" w:type="dxa"/>
            </w:tcMar>
            <w:vAlign w:val="center"/>
          </w:tcPr>
          <w:p w14:paraId="320FF708" w14:textId="77777777" w:rsidR="00041901" w:rsidRPr="00041901" w:rsidRDefault="00041901" w:rsidP="00041901">
            <w:pPr>
              <w:ind w:firstLine="126"/>
              <w:rPr>
                <w:rFonts w:ascii="Arial" w:eastAsia="Arial Unicode MS" w:hAnsi="Arial" w:cs="Arial"/>
                <w:sz w:val="18"/>
                <w:szCs w:val="18"/>
                <w:lang w:val="en-GB"/>
              </w:rPr>
            </w:pPr>
            <w:r w:rsidRPr="00041901">
              <w:rPr>
                <w:rFonts w:ascii="Arial" w:hAnsi="Arial" w:cs="Arial"/>
                <w:sz w:val="18"/>
                <w:szCs w:val="18"/>
                <w:lang w:val="en-GB"/>
              </w:rPr>
              <w:t>Fangchenggang</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2984BB75"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1,415</w:t>
            </w:r>
          </w:p>
        </w:tc>
        <w:tc>
          <w:tcPr>
            <w:tcW w:w="77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64185144"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13F28EC6"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-10</w:t>
            </w:r>
          </w:p>
        </w:tc>
        <w:tc>
          <w:tcPr>
            <w:tcW w:w="99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5B5BF91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10</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726F421D"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12,300</w:t>
            </w:r>
          </w:p>
        </w:tc>
        <w:tc>
          <w:tcPr>
            <w:tcW w:w="77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3148482C"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90</w:t>
            </w:r>
          </w:p>
        </w:tc>
        <w:tc>
          <w:tcPr>
            <w:tcW w:w="1061"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3D05A0B8"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67</w:t>
            </w:r>
          </w:p>
        </w:tc>
        <w:tc>
          <w:tcPr>
            <w:tcW w:w="919"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1BF3796E"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62</w:t>
            </w:r>
          </w:p>
        </w:tc>
        <w:tc>
          <w:tcPr>
            <w:tcW w:w="99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6686287B"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40</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43CBE760"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71</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00782EE9"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42</w:t>
            </w:r>
          </w:p>
        </w:tc>
        <w:tc>
          <w:tcPr>
            <w:tcW w:w="921" w:type="dxa"/>
            <w:tcBorders>
              <w:top w:val="nil"/>
              <w:left w:val="nil"/>
              <w:bottom w:val="single" w:sz="12" w:space="0" w:color="auto"/>
              <w:right w:val="single" w:sz="12" w:space="0" w:color="auto"/>
            </w:tcBorders>
            <w:noWrap/>
            <w:tcMar>
              <w:top w:w="15" w:type="dxa"/>
              <w:left w:w="15" w:type="dxa"/>
              <w:bottom w:w="0" w:type="dxa"/>
              <w:right w:w="15" w:type="dxa"/>
            </w:tcMar>
            <w:vAlign w:val="center"/>
          </w:tcPr>
          <w:p w14:paraId="1DAC5CBD"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145</w:t>
            </w:r>
          </w:p>
        </w:tc>
      </w:tr>
      <w:tr w:rsidR="00041901" w:rsidRPr="00041901" w14:paraId="52D15BB5" w14:textId="77777777" w:rsidTr="00041901">
        <w:trPr>
          <w:trHeight w:val="125"/>
          <w:jc w:val="center"/>
        </w:trPr>
        <w:tc>
          <w:tcPr>
            <w:tcW w:w="13093" w:type="dxa"/>
            <w:gridSpan w:val="13"/>
            <w:tcBorders>
              <w:top w:val="single" w:sz="12" w:space="0" w:color="auto"/>
              <w:left w:val="single" w:sz="12" w:space="0" w:color="auto"/>
              <w:bottom w:val="single" w:sz="4" w:space="0" w:color="auto"/>
              <w:right w:val="single" w:sz="12" w:space="0" w:color="auto"/>
            </w:tcBorders>
            <w:tcMar>
              <w:top w:w="15" w:type="dxa"/>
              <w:left w:w="15" w:type="dxa"/>
              <w:bottom w:w="0" w:type="dxa"/>
              <w:right w:w="15" w:type="dxa"/>
            </w:tcMar>
            <w:vAlign w:val="center"/>
          </w:tcPr>
          <w:p w14:paraId="44001924" w14:textId="77777777" w:rsidR="00041901" w:rsidRPr="00041901" w:rsidRDefault="00041901" w:rsidP="00041901">
            <w:pPr>
              <w:jc w:val="center"/>
              <w:rPr>
                <w:rFonts w:ascii="Arial" w:hAnsi="Arial" w:cs="Arial"/>
                <w:b/>
                <w:bCs/>
                <w:sz w:val="18"/>
                <w:szCs w:val="18"/>
                <w:lang w:val="en-GB"/>
              </w:rPr>
            </w:pPr>
            <w:smartTag w:uri="urn:schemas-microsoft-com:office:smarttags" w:element="country-region">
              <w:smartTag w:uri="urn:schemas-microsoft-com:office:smarttags" w:element="place">
                <w:r w:rsidRPr="00041901">
                  <w:rPr>
                    <w:rFonts w:ascii="Arial" w:hAnsi="Arial" w:cs="Arial"/>
                    <w:b/>
                    <w:bCs/>
                    <w:sz w:val="18"/>
                    <w:szCs w:val="18"/>
                    <w:lang w:val="en-GB"/>
                  </w:rPr>
                  <w:t>Indonesia</w:t>
                </w:r>
              </w:smartTag>
            </w:smartTag>
          </w:p>
        </w:tc>
      </w:tr>
      <w:tr w:rsidR="00041901" w:rsidRPr="00041901" w14:paraId="51E8A08E" w14:textId="77777777" w:rsidTr="00041901">
        <w:trPr>
          <w:trHeight w:val="125"/>
          <w:jc w:val="center"/>
        </w:trPr>
        <w:tc>
          <w:tcPr>
            <w:tcW w:w="2272" w:type="dxa"/>
            <w:tcBorders>
              <w:top w:val="single" w:sz="4" w:space="0" w:color="auto"/>
              <w:left w:val="single" w:sz="12" w:space="0" w:color="auto"/>
              <w:bottom w:val="single" w:sz="4" w:space="0" w:color="auto"/>
              <w:right w:val="single" w:sz="4" w:space="0" w:color="auto"/>
            </w:tcBorders>
            <w:tcMar>
              <w:top w:w="15" w:type="dxa"/>
              <w:left w:w="15" w:type="dxa"/>
              <w:bottom w:w="0" w:type="dxa"/>
              <w:right w:w="15" w:type="dxa"/>
            </w:tcMar>
            <w:vAlign w:val="center"/>
          </w:tcPr>
          <w:p w14:paraId="44B82298" w14:textId="77777777" w:rsidR="00041901" w:rsidRPr="00041901" w:rsidRDefault="00041901" w:rsidP="00041901">
            <w:pPr>
              <w:ind w:firstLine="126"/>
              <w:rPr>
                <w:rFonts w:ascii="Arial" w:eastAsia="Arial Unicode MS" w:hAnsi="Arial" w:cs="Arial"/>
                <w:sz w:val="18"/>
                <w:szCs w:val="18"/>
                <w:lang w:val="en-GB"/>
              </w:rPr>
            </w:pPr>
            <w:smartTag w:uri="urn:schemas-microsoft-com:office:smarttags" w:element="place">
              <w:smartTag w:uri="urn:schemas-microsoft-com:office:smarttags" w:element="PlaceName">
                <w:r w:rsidRPr="00041901">
                  <w:rPr>
                    <w:rFonts w:ascii="Arial" w:hAnsi="Arial" w:cs="Arial"/>
                    <w:sz w:val="18"/>
                    <w:szCs w:val="18"/>
                    <w:lang w:val="en-GB"/>
                  </w:rPr>
                  <w:t>Belitung</w:t>
                </w:r>
              </w:smartTag>
              <w:r w:rsidRPr="00041901">
                <w:rPr>
                  <w:rFonts w:ascii="Arial" w:hAnsi="Arial" w:cs="Arial"/>
                  <w:sz w:val="18"/>
                  <w:szCs w:val="18"/>
                  <w:lang w:val="en-GB"/>
                </w:rPr>
                <w:t xml:space="preserve"> </w:t>
              </w:r>
              <w:smartTag w:uri="urn:schemas-microsoft-com:office:smarttags" w:element="PlaceType">
                <w:r w:rsidRPr="00041901">
                  <w:rPr>
                    <w:rFonts w:ascii="Arial" w:hAnsi="Arial" w:cs="Arial"/>
                    <w:sz w:val="18"/>
                    <w:szCs w:val="18"/>
                    <w:lang w:val="en-GB"/>
                  </w:rPr>
                  <w:t>Island</w:t>
                </w:r>
              </w:smartTag>
            </w:smartTag>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713F403"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22,457</w:t>
            </w:r>
          </w:p>
        </w:tc>
        <w:tc>
          <w:tcPr>
            <w:tcW w:w="77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3850C48"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234DCEE"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0</w:t>
            </w:r>
          </w:p>
        </w:tc>
        <w:tc>
          <w:tcPr>
            <w:tcW w:w="99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10C67D5"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8</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3F83A42"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467</w:t>
            </w:r>
          </w:p>
        </w:tc>
        <w:tc>
          <w:tcPr>
            <w:tcW w:w="77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4DFD4AF"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100</w:t>
            </w:r>
          </w:p>
        </w:tc>
        <w:tc>
          <w:tcPr>
            <w:tcW w:w="1061"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9EF2E31"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w:t>
            </w:r>
          </w:p>
        </w:tc>
        <w:tc>
          <w:tcPr>
            <w:tcW w:w="919"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7CBE7DD"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26</w:t>
            </w:r>
          </w:p>
        </w:tc>
        <w:tc>
          <w:tcPr>
            <w:tcW w:w="99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48AEFDD"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43</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120BE50"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71</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031D26A" w14:textId="77777777" w:rsidR="00041901" w:rsidRPr="00041901" w:rsidRDefault="00041901" w:rsidP="00041901">
            <w:pPr>
              <w:jc w:val="center"/>
              <w:rPr>
                <w:rFonts w:ascii="Arial" w:eastAsia="Arial Unicode MS" w:hAnsi="Arial" w:cs="Arial"/>
                <w:b/>
                <w:bCs/>
                <w:sz w:val="18"/>
                <w:szCs w:val="18"/>
                <w:lang w:val="en-GB"/>
              </w:rPr>
            </w:pPr>
            <w:r w:rsidRPr="00041901">
              <w:rPr>
                <w:rFonts w:ascii="Arial" w:hAnsi="Arial" w:cs="Arial"/>
                <w:b/>
                <w:bCs/>
                <w:sz w:val="18"/>
                <w:szCs w:val="18"/>
                <w:lang w:val="en-GB"/>
              </w:rPr>
              <w:t>M</w:t>
            </w:r>
          </w:p>
        </w:tc>
        <w:tc>
          <w:tcPr>
            <w:tcW w:w="921" w:type="dxa"/>
            <w:tcBorders>
              <w:top w:val="single" w:sz="4" w:space="0" w:color="auto"/>
              <w:left w:val="nil"/>
              <w:bottom w:val="single" w:sz="4" w:space="0" w:color="auto"/>
              <w:right w:val="single" w:sz="12" w:space="0" w:color="auto"/>
            </w:tcBorders>
            <w:noWrap/>
            <w:tcMar>
              <w:top w:w="15" w:type="dxa"/>
              <w:left w:w="15" w:type="dxa"/>
              <w:bottom w:w="0" w:type="dxa"/>
              <w:right w:w="15" w:type="dxa"/>
            </w:tcMar>
            <w:vAlign w:val="center"/>
          </w:tcPr>
          <w:p w14:paraId="1261EDB3" w14:textId="77777777" w:rsidR="00041901" w:rsidRPr="00041901" w:rsidRDefault="00041901" w:rsidP="00041901">
            <w:pPr>
              <w:jc w:val="center"/>
              <w:rPr>
                <w:rFonts w:ascii="Arial" w:eastAsia="Arial Unicode MS" w:hAnsi="Arial" w:cs="Arial"/>
                <w:b/>
                <w:bCs/>
                <w:sz w:val="18"/>
                <w:szCs w:val="18"/>
                <w:lang w:val="en-GB"/>
              </w:rPr>
            </w:pPr>
            <w:r w:rsidRPr="00041901">
              <w:rPr>
                <w:rFonts w:ascii="Arial" w:hAnsi="Arial" w:cs="Arial"/>
                <w:b/>
                <w:bCs/>
                <w:sz w:val="18"/>
                <w:szCs w:val="18"/>
                <w:lang w:val="en-GB"/>
              </w:rPr>
              <w:t>M</w:t>
            </w:r>
          </w:p>
        </w:tc>
      </w:tr>
      <w:tr w:rsidR="00041901" w:rsidRPr="00041901" w14:paraId="3DA7523A" w14:textId="77777777" w:rsidTr="00041901">
        <w:trPr>
          <w:trHeight w:val="83"/>
          <w:jc w:val="center"/>
        </w:trPr>
        <w:tc>
          <w:tcPr>
            <w:tcW w:w="2272" w:type="dxa"/>
            <w:tcBorders>
              <w:top w:val="nil"/>
              <w:left w:val="single" w:sz="12" w:space="0" w:color="auto"/>
              <w:bottom w:val="single" w:sz="4" w:space="0" w:color="auto"/>
              <w:right w:val="single" w:sz="4" w:space="0" w:color="auto"/>
            </w:tcBorders>
            <w:tcMar>
              <w:top w:w="15" w:type="dxa"/>
              <w:left w:w="15" w:type="dxa"/>
              <w:bottom w:w="0" w:type="dxa"/>
              <w:right w:w="15" w:type="dxa"/>
            </w:tcMar>
            <w:vAlign w:val="center"/>
          </w:tcPr>
          <w:p w14:paraId="64643617" w14:textId="77777777" w:rsidR="00041901" w:rsidRPr="00041901" w:rsidRDefault="00041901" w:rsidP="00041901">
            <w:pPr>
              <w:ind w:firstLine="126"/>
              <w:rPr>
                <w:rFonts w:ascii="Arial" w:eastAsia="Arial Unicode MS" w:hAnsi="Arial" w:cs="Arial"/>
                <w:sz w:val="18"/>
                <w:szCs w:val="18"/>
                <w:lang w:val="en-GB"/>
              </w:rPr>
            </w:pPr>
            <w:r w:rsidRPr="00041901">
              <w:rPr>
                <w:rFonts w:ascii="Arial" w:hAnsi="Arial" w:cs="Arial"/>
                <w:sz w:val="18"/>
                <w:szCs w:val="18"/>
                <w:lang w:val="en-GB"/>
              </w:rPr>
              <w:t>Angke Kaput</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37BFFD9"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328</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7130C75"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9</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0D1E29C"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-2</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EEF491E"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12</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CD50AEB"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569</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410BF7F"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70</w:t>
            </w:r>
          </w:p>
        </w:tc>
        <w:tc>
          <w:tcPr>
            <w:tcW w:w="1061"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18F5B15"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29</w:t>
            </w:r>
          </w:p>
        </w:tc>
        <w:tc>
          <w:tcPr>
            <w:tcW w:w="91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3A5F658"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21</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0E84CE8"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ADB504C"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22</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AA462A7"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40</w:t>
            </w:r>
          </w:p>
        </w:tc>
        <w:tc>
          <w:tcPr>
            <w:tcW w:w="921" w:type="dxa"/>
            <w:tcBorders>
              <w:top w:val="nil"/>
              <w:left w:val="nil"/>
              <w:bottom w:val="single" w:sz="4" w:space="0" w:color="auto"/>
              <w:right w:val="single" w:sz="12" w:space="0" w:color="auto"/>
            </w:tcBorders>
            <w:noWrap/>
            <w:tcMar>
              <w:top w:w="15" w:type="dxa"/>
              <w:left w:w="15" w:type="dxa"/>
              <w:bottom w:w="0" w:type="dxa"/>
              <w:right w:w="15" w:type="dxa"/>
            </w:tcMar>
            <w:vAlign w:val="center"/>
          </w:tcPr>
          <w:p w14:paraId="6F6981D9"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w:t>
            </w:r>
          </w:p>
        </w:tc>
      </w:tr>
      <w:tr w:rsidR="00041901" w:rsidRPr="00041901" w14:paraId="2745B089" w14:textId="77777777" w:rsidTr="00041901">
        <w:trPr>
          <w:trHeight w:val="65"/>
          <w:jc w:val="center"/>
        </w:trPr>
        <w:tc>
          <w:tcPr>
            <w:tcW w:w="2272" w:type="dxa"/>
            <w:tcBorders>
              <w:top w:val="nil"/>
              <w:left w:val="single" w:sz="12" w:space="0" w:color="auto"/>
              <w:bottom w:val="single" w:sz="4" w:space="0" w:color="auto"/>
              <w:right w:val="single" w:sz="4" w:space="0" w:color="auto"/>
            </w:tcBorders>
            <w:tcMar>
              <w:top w:w="15" w:type="dxa"/>
              <w:left w:w="15" w:type="dxa"/>
              <w:bottom w:w="0" w:type="dxa"/>
              <w:right w:w="15" w:type="dxa"/>
            </w:tcMar>
            <w:vAlign w:val="center"/>
          </w:tcPr>
          <w:p w14:paraId="570A403A" w14:textId="77777777" w:rsidR="00041901" w:rsidRPr="00041901" w:rsidRDefault="00041901" w:rsidP="00041901">
            <w:pPr>
              <w:ind w:firstLine="126"/>
              <w:rPr>
                <w:rFonts w:ascii="Arial" w:eastAsia="Arial Unicode MS" w:hAnsi="Arial" w:cs="Arial"/>
                <w:sz w:val="18"/>
                <w:szCs w:val="18"/>
                <w:lang w:val="en-GB"/>
              </w:rPr>
            </w:pPr>
            <w:r w:rsidRPr="00041901">
              <w:rPr>
                <w:rFonts w:ascii="Arial" w:hAnsi="Arial" w:cs="Arial"/>
                <w:sz w:val="18"/>
                <w:szCs w:val="18"/>
                <w:lang w:val="en-GB"/>
              </w:rPr>
              <w:t>Batu Ampar</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F4EE403"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65,585</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08E12FE"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57B742F"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0</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C252E15"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21</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9658A9C"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2,391</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783583E"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100</w:t>
            </w:r>
          </w:p>
        </w:tc>
        <w:tc>
          <w:tcPr>
            <w:tcW w:w="1061"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4DD06A1"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11</w:t>
            </w:r>
          </w:p>
        </w:tc>
        <w:tc>
          <w:tcPr>
            <w:tcW w:w="91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E5452F6"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15</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3FF8699"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17</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CDB969D"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51</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F2DE89D"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19</w:t>
            </w:r>
          </w:p>
        </w:tc>
        <w:tc>
          <w:tcPr>
            <w:tcW w:w="921" w:type="dxa"/>
            <w:tcBorders>
              <w:top w:val="nil"/>
              <w:left w:val="nil"/>
              <w:bottom w:val="single" w:sz="4" w:space="0" w:color="auto"/>
              <w:right w:val="single" w:sz="12" w:space="0" w:color="auto"/>
            </w:tcBorders>
            <w:noWrap/>
            <w:tcMar>
              <w:top w:w="15" w:type="dxa"/>
              <w:left w:w="15" w:type="dxa"/>
              <w:bottom w:w="0" w:type="dxa"/>
              <w:right w:w="15" w:type="dxa"/>
            </w:tcMar>
            <w:vAlign w:val="center"/>
          </w:tcPr>
          <w:p w14:paraId="4F41B83C"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27</w:t>
            </w:r>
          </w:p>
        </w:tc>
      </w:tr>
      <w:tr w:rsidR="00041901" w:rsidRPr="00041901" w14:paraId="14249899" w14:textId="77777777" w:rsidTr="00041901">
        <w:trPr>
          <w:trHeight w:val="175"/>
          <w:jc w:val="center"/>
        </w:trPr>
        <w:tc>
          <w:tcPr>
            <w:tcW w:w="2272" w:type="dxa"/>
            <w:tcBorders>
              <w:top w:val="nil"/>
              <w:left w:val="single" w:sz="12" w:space="0" w:color="auto"/>
              <w:bottom w:val="single" w:sz="4" w:space="0" w:color="auto"/>
              <w:right w:val="single" w:sz="4" w:space="0" w:color="auto"/>
            </w:tcBorders>
            <w:tcMar>
              <w:top w:w="15" w:type="dxa"/>
              <w:left w:w="15" w:type="dxa"/>
              <w:bottom w:w="0" w:type="dxa"/>
              <w:right w:w="15" w:type="dxa"/>
            </w:tcMar>
            <w:vAlign w:val="center"/>
          </w:tcPr>
          <w:p w14:paraId="37925056" w14:textId="77777777" w:rsidR="00041901" w:rsidRPr="00041901" w:rsidRDefault="00041901" w:rsidP="00041901">
            <w:pPr>
              <w:ind w:firstLine="126"/>
              <w:rPr>
                <w:rFonts w:ascii="Arial" w:eastAsia="Arial Unicode MS" w:hAnsi="Arial" w:cs="Arial"/>
                <w:sz w:val="18"/>
                <w:szCs w:val="18"/>
                <w:lang w:val="en-GB"/>
              </w:rPr>
            </w:pPr>
            <w:r w:rsidRPr="00041901">
              <w:rPr>
                <w:rFonts w:ascii="Arial" w:hAnsi="Arial" w:cs="Arial"/>
                <w:sz w:val="18"/>
                <w:szCs w:val="18"/>
                <w:lang w:val="en-GB"/>
              </w:rPr>
              <w:t>Ngurah Rai</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320C18C"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1,374</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AADC438"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6</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74D6035"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27</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E707CCA"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25</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C701951"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660</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387FA4A"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100</w:t>
            </w:r>
          </w:p>
        </w:tc>
        <w:tc>
          <w:tcPr>
            <w:tcW w:w="1061"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299B5C2"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38</w:t>
            </w:r>
          </w:p>
        </w:tc>
        <w:tc>
          <w:tcPr>
            <w:tcW w:w="91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DDEBB40"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10</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4C2760C"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32</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3375E24"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34</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E232BE5"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38</w:t>
            </w:r>
          </w:p>
        </w:tc>
        <w:tc>
          <w:tcPr>
            <w:tcW w:w="921" w:type="dxa"/>
            <w:tcBorders>
              <w:top w:val="nil"/>
              <w:left w:val="nil"/>
              <w:bottom w:val="single" w:sz="4" w:space="0" w:color="auto"/>
              <w:right w:val="single" w:sz="12" w:space="0" w:color="auto"/>
            </w:tcBorders>
            <w:noWrap/>
            <w:tcMar>
              <w:top w:w="15" w:type="dxa"/>
              <w:left w:w="15" w:type="dxa"/>
              <w:bottom w:w="0" w:type="dxa"/>
              <w:right w:w="15" w:type="dxa"/>
            </w:tcMar>
            <w:vAlign w:val="center"/>
          </w:tcPr>
          <w:p w14:paraId="2657DF77"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42</w:t>
            </w:r>
          </w:p>
        </w:tc>
      </w:tr>
      <w:tr w:rsidR="00041901" w:rsidRPr="00041901" w14:paraId="286736E9" w14:textId="77777777" w:rsidTr="00041901">
        <w:trPr>
          <w:trHeight w:val="131"/>
          <w:jc w:val="center"/>
        </w:trPr>
        <w:tc>
          <w:tcPr>
            <w:tcW w:w="2272" w:type="dxa"/>
            <w:tcBorders>
              <w:top w:val="nil"/>
              <w:left w:val="single" w:sz="12" w:space="0" w:color="auto"/>
              <w:bottom w:val="single" w:sz="12" w:space="0" w:color="auto"/>
              <w:right w:val="single" w:sz="4" w:space="0" w:color="auto"/>
            </w:tcBorders>
            <w:noWrap/>
            <w:tcMar>
              <w:top w:w="15" w:type="dxa"/>
              <w:left w:w="15" w:type="dxa"/>
              <w:bottom w:w="0" w:type="dxa"/>
              <w:right w:w="15" w:type="dxa"/>
            </w:tcMar>
            <w:vAlign w:val="center"/>
          </w:tcPr>
          <w:p w14:paraId="5AFEDA2E" w14:textId="77777777" w:rsidR="00041901" w:rsidRPr="00041901" w:rsidRDefault="00041901" w:rsidP="00041901">
            <w:pPr>
              <w:ind w:firstLine="126"/>
              <w:rPr>
                <w:rFonts w:ascii="Arial" w:eastAsia="Arial Unicode MS" w:hAnsi="Arial" w:cs="Arial"/>
                <w:sz w:val="18"/>
                <w:szCs w:val="20"/>
                <w:lang w:val="en-GB"/>
              </w:rPr>
            </w:pPr>
            <w:r w:rsidRPr="00041901">
              <w:rPr>
                <w:rFonts w:ascii="Arial" w:hAnsi="Arial" w:cs="Arial"/>
                <w:sz w:val="18"/>
                <w:szCs w:val="20"/>
                <w:lang w:val="en-GB"/>
              </w:rPr>
              <w:t>Bengkalis</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7E05042D"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42,459</w:t>
            </w:r>
          </w:p>
        </w:tc>
        <w:tc>
          <w:tcPr>
            <w:tcW w:w="77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217E410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7</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0390E3F0"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-15</w:t>
            </w:r>
          </w:p>
        </w:tc>
        <w:tc>
          <w:tcPr>
            <w:tcW w:w="99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68852B7A"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18</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57E1D77D"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490</w:t>
            </w:r>
          </w:p>
        </w:tc>
        <w:tc>
          <w:tcPr>
            <w:tcW w:w="77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0E14AD08"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99</w:t>
            </w:r>
          </w:p>
        </w:tc>
        <w:tc>
          <w:tcPr>
            <w:tcW w:w="1061"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4A3EBE7C"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12</w:t>
            </w:r>
          </w:p>
        </w:tc>
        <w:tc>
          <w:tcPr>
            <w:tcW w:w="919"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641E65D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8</w:t>
            </w:r>
          </w:p>
        </w:tc>
        <w:tc>
          <w:tcPr>
            <w:tcW w:w="99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7D353421"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9</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7D1DC614"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7A44E346"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16</w:t>
            </w:r>
          </w:p>
        </w:tc>
        <w:tc>
          <w:tcPr>
            <w:tcW w:w="921" w:type="dxa"/>
            <w:tcBorders>
              <w:top w:val="nil"/>
              <w:left w:val="nil"/>
              <w:bottom w:val="single" w:sz="12" w:space="0" w:color="auto"/>
              <w:right w:val="single" w:sz="12" w:space="0" w:color="auto"/>
            </w:tcBorders>
            <w:noWrap/>
            <w:tcMar>
              <w:top w:w="15" w:type="dxa"/>
              <w:left w:w="15" w:type="dxa"/>
              <w:bottom w:w="0" w:type="dxa"/>
              <w:right w:w="15" w:type="dxa"/>
            </w:tcMar>
            <w:vAlign w:val="center"/>
          </w:tcPr>
          <w:p w14:paraId="3FCFF7EE"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15</w:t>
            </w:r>
          </w:p>
        </w:tc>
      </w:tr>
      <w:tr w:rsidR="00041901" w:rsidRPr="00041901" w14:paraId="4545C594" w14:textId="77777777" w:rsidTr="00041901">
        <w:trPr>
          <w:trHeight w:val="88"/>
          <w:jc w:val="center"/>
        </w:trPr>
        <w:tc>
          <w:tcPr>
            <w:tcW w:w="13093" w:type="dxa"/>
            <w:gridSpan w:val="13"/>
            <w:tcBorders>
              <w:top w:val="single" w:sz="4" w:space="0" w:color="auto"/>
              <w:left w:val="single" w:sz="12" w:space="0" w:color="auto"/>
              <w:bottom w:val="single" w:sz="4" w:space="0" w:color="auto"/>
              <w:right w:val="single" w:sz="12" w:space="0" w:color="auto"/>
            </w:tcBorders>
            <w:tcMar>
              <w:top w:w="15" w:type="dxa"/>
              <w:left w:w="15" w:type="dxa"/>
              <w:bottom w:w="0" w:type="dxa"/>
              <w:right w:w="15" w:type="dxa"/>
            </w:tcMar>
            <w:vAlign w:val="center"/>
          </w:tcPr>
          <w:p w14:paraId="1AB24D22" w14:textId="77777777" w:rsidR="00041901" w:rsidRPr="00041901" w:rsidRDefault="00041901" w:rsidP="00041901">
            <w:pPr>
              <w:jc w:val="center"/>
              <w:rPr>
                <w:rFonts w:ascii="Arial" w:hAnsi="Arial" w:cs="Arial"/>
                <w:b/>
                <w:sz w:val="18"/>
                <w:szCs w:val="18"/>
                <w:lang w:val="en-GB"/>
              </w:rPr>
            </w:pPr>
            <w:smartTag w:uri="urn:schemas-microsoft-com:office:smarttags" w:element="country-region">
              <w:smartTag w:uri="urn:schemas-microsoft-com:office:smarttags" w:element="place">
                <w:r w:rsidRPr="00041901">
                  <w:rPr>
                    <w:rFonts w:ascii="Arial" w:hAnsi="Arial" w:cs="Arial"/>
                    <w:b/>
                    <w:sz w:val="18"/>
                    <w:szCs w:val="18"/>
                    <w:lang w:val="en-GB"/>
                  </w:rPr>
                  <w:t>Philippines</w:t>
                </w:r>
              </w:smartTag>
            </w:smartTag>
          </w:p>
        </w:tc>
      </w:tr>
      <w:tr w:rsidR="00041901" w:rsidRPr="00041901" w14:paraId="6C03CE70" w14:textId="77777777" w:rsidTr="00041901">
        <w:trPr>
          <w:trHeight w:val="88"/>
          <w:jc w:val="center"/>
        </w:trPr>
        <w:tc>
          <w:tcPr>
            <w:tcW w:w="2272" w:type="dxa"/>
            <w:tcBorders>
              <w:top w:val="single" w:sz="4" w:space="0" w:color="auto"/>
              <w:left w:val="single" w:sz="12" w:space="0" w:color="auto"/>
              <w:bottom w:val="single" w:sz="4" w:space="0" w:color="auto"/>
              <w:right w:val="single" w:sz="4" w:space="0" w:color="auto"/>
            </w:tcBorders>
            <w:tcMar>
              <w:top w:w="15" w:type="dxa"/>
              <w:left w:w="15" w:type="dxa"/>
              <w:bottom w:w="0" w:type="dxa"/>
              <w:right w:w="15" w:type="dxa"/>
            </w:tcMar>
            <w:vAlign w:val="center"/>
          </w:tcPr>
          <w:p w14:paraId="20B98965" w14:textId="77777777" w:rsidR="00041901" w:rsidRPr="00041901" w:rsidRDefault="00041901" w:rsidP="00041901">
            <w:pPr>
              <w:ind w:firstLine="126"/>
              <w:rPr>
                <w:rFonts w:ascii="Arial" w:eastAsia="Arial Unicode MS" w:hAnsi="Arial" w:cs="Arial"/>
                <w:sz w:val="18"/>
                <w:szCs w:val="18"/>
                <w:lang w:val="en-GB"/>
              </w:rPr>
            </w:pPr>
            <w:r w:rsidRPr="00041901">
              <w:rPr>
                <w:rFonts w:ascii="Arial" w:hAnsi="Arial" w:cs="Arial"/>
                <w:sz w:val="18"/>
                <w:szCs w:val="18"/>
                <w:lang w:val="en-GB"/>
              </w:rPr>
              <w:t>Busuanga</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8D8BE3D"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1,298</w:t>
            </w:r>
          </w:p>
        </w:tc>
        <w:tc>
          <w:tcPr>
            <w:tcW w:w="77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E06D5C4"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743B577"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-5</w:t>
            </w:r>
          </w:p>
        </w:tc>
        <w:tc>
          <w:tcPr>
            <w:tcW w:w="99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B957A69"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24</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085E25E"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7,550</w:t>
            </w:r>
          </w:p>
        </w:tc>
        <w:tc>
          <w:tcPr>
            <w:tcW w:w="77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B49E9EB"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90</w:t>
            </w:r>
          </w:p>
        </w:tc>
        <w:tc>
          <w:tcPr>
            <w:tcW w:w="1061"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D9FB7EE"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6</w:t>
            </w:r>
          </w:p>
        </w:tc>
        <w:tc>
          <w:tcPr>
            <w:tcW w:w="919"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3602451"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15</w:t>
            </w:r>
          </w:p>
        </w:tc>
        <w:tc>
          <w:tcPr>
            <w:tcW w:w="99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A5DFED5"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36</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3060F30"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9</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A818E29"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45</w:t>
            </w:r>
          </w:p>
        </w:tc>
        <w:tc>
          <w:tcPr>
            <w:tcW w:w="921" w:type="dxa"/>
            <w:tcBorders>
              <w:top w:val="single" w:sz="4" w:space="0" w:color="auto"/>
              <w:left w:val="nil"/>
              <w:bottom w:val="single" w:sz="4" w:space="0" w:color="auto"/>
              <w:right w:val="single" w:sz="12" w:space="0" w:color="auto"/>
            </w:tcBorders>
            <w:noWrap/>
            <w:tcMar>
              <w:top w:w="15" w:type="dxa"/>
              <w:left w:w="15" w:type="dxa"/>
              <w:bottom w:w="0" w:type="dxa"/>
              <w:right w:w="15" w:type="dxa"/>
            </w:tcMar>
            <w:vAlign w:val="center"/>
          </w:tcPr>
          <w:p w14:paraId="3737A00C"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27</w:t>
            </w:r>
          </w:p>
        </w:tc>
      </w:tr>
      <w:tr w:rsidR="00041901" w:rsidRPr="00041901" w14:paraId="4879D7F2" w14:textId="77777777" w:rsidTr="00041901">
        <w:trPr>
          <w:trHeight w:val="65"/>
          <w:jc w:val="center"/>
        </w:trPr>
        <w:tc>
          <w:tcPr>
            <w:tcW w:w="2272" w:type="dxa"/>
            <w:tcBorders>
              <w:top w:val="nil"/>
              <w:left w:val="single" w:sz="12" w:space="0" w:color="auto"/>
              <w:bottom w:val="single" w:sz="4" w:space="0" w:color="auto"/>
              <w:right w:val="single" w:sz="4" w:space="0" w:color="auto"/>
            </w:tcBorders>
            <w:noWrap/>
            <w:tcMar>
              <w:top w:w="15" w:type="dxa"/>
              <w:left w:w="15" w:type="dxa"/>
              <w:bottom w:w="0" w:type="dxa"/>
              <w:right w:w="15" w:type="dxa"/>
            </w:tcMar>
            <w:vAlign w:val="center"/>
          </w:tcPr>
          <w:p w14:paraId="691395F9" w14:textId="77777777" w:rsidR="00041901" w:rsidRPr="00041901" w:rsidRDefault="00041901" w:rsidP="00041901">
            <w:pPr>
              <w:ind w:firstLine="126"/>
              <w:rPr>
                <w:rFonts w:ascii="Arial" w:eastAsia="Arial Unicode MS" w:hAnsi="Arial" w:cs="Arial"/>
                <w:sz w:val="18"/>
                <w:szCs w:val="18"/>
                <w:lang w:val="en-GB"/>
              </w:rPr>
            </w:pPr>
            <w:r w:rsidRPr="00041901">
              <w:rPr>
                <w:rFonts w:ascii="Arial" w:hAnsi="Arial" w:cs="Arial"/>
                <w:sz w:val="18"/>
                <w:szCs w:val="18"/>
                <w:lang w:val="en-GB"/>
              </w:rPr>
              <w:t>Coron</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F6D51E4"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1,296</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FEB68E7"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5242DEC"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-50</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802A5ED"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26</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8A46437"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7,080</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5A57A21" w14:textId="77777777" w:rsidR="00041901" w:rsidRPr="00041901" w:rsidRDefault="00041901" w:rsidP="00041901">
            <w:pPr>
              <w:jc w:val="center"/>
              <w:rPr>
                <w:rFonts w:ascii="Arial" w:eastAsia="Arial Unicode MS" w:hAnsi="Arial" w:cs="Arial"/>
                <w:b/>
                <w:bCs/>
                <w:sz w:val="18"/>
                <w:szCs w:val="18"/>
                <w:lang w:val="en-GB"/>
              </w:rPr>
            </w:pPr>
            <w:r w:rsidRPr="00041901">
              <w:rPr>
                <w:rFonts w:ascii="Arial" w:hAnsi="Arial" w:cs="Arial"/>
                <w:b/>
                <w:bCs/>
                <w:sz w:val="18"/>
                <w:szCs w:val="18"/>
                <w:lang w:val="en-GB"/>
              </w:rPr>
              <w:t>M</w:t>
            </w:r>
          </w:p>
        </w:tc>
        <w:tc>
          <w:tcPr>
            <w:tcW w:w="1061"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84B304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7</w:t>
            </w:r>
          </w:p>
        </w:tc>
        <w:tc>
          <w:tcPr>
            <w:tcW w:w="91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7873FE0"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15</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AAA3D6E"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37</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003829F"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13</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1B6E98D"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42</w:t>
            </w:r>
          </w:p>
        </w:tc>
        <w:tc>
          <w:tcPr>
            <w:tcW w:w="921" w:type="dxa"/>
            <w:tcBorders>
              <w:top w:val="nil"/>
              <w:left w:val="nil"/>
              <w:bottom w:val="single" w:sz="4" w:space="0" w:color="auto"/>
              <w:right w:val="single" w:sz="12" w:space="0" w:color="auto"/>
            </w:tcBorders>
            <w:noWrap/>
            <w:tcMar>
              <w:top w:w="15" w:type="dxa"/>
              <w:left w:w="15" w:type="dxa"/>
              <w:bottom w:w="0" w:type="dxa"/>
              <w:right w:w="15" w:type="dxa"/>
            </w:tcMar>
            <w:vAlign w:val="center"/>
          </w:tcPr>
          <w:p w14:paraId="312A8D42"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34</w:t>
            </w:r>
          </w:p>
        </w:tc>
      </w:tr>
      <w:tr w:rsidR="00041901" w:rsidRPr="00041901" w14:paraId="10EFF657" w14:textId="77777777" w:rsidTr="00041901">
        <w:trPr>
          <w:trHeight w:val="181"/>
          <w:jc w:val="center"/>
        </w:trPr>
        <w:tc>
          <w:tcPr>
            <w:tcW w:w="2272" w:type="dxa"/>
            <w:tcBorders>
              <w:top w:val="nil"/>
              <w:left w:val="single" w:sz="12" w:space="0" w:color="auto"/>
              <w:bottom w:val="single" w:sz="4" w:space="0" w:color="auto"/>
              <w:right w:val="single" w:sz="4" w:space="0" w:color="auto"/>
            </w:tcBorders>
            <w:noWrap/>
            <w:tcMar>
              <w:top w:w="15" w:type="dxa"/>
              <w:left w:w="15" w:type="dxa"/>
              <w:bottom w:w="0" w:type="dxa"/>
              <w:right w:w="15" w:type="dxa"/>
            </w:tcMar>
            <w:vAlign w:val="center"/>
          </w:tcPr>
          <w:p w14:paraId="055E36E2" w14:textId="77777777" w:rsidR="00041901" w:rsidRPr="00041901" w:rsidRDefault="00041901" w:rsidP="00041901">
            <w:pPr>
              <w:ind w:firstLine="126"/>
              <w:rPr>
                <w:rFonts w:ascii="Arial" w:eastAsia="Arial Unicode MS" w:hAnsi="Arial" w:cs="Arial"/>
                <w:sz w:val="18"/>
                <w:szCs w:val="18"/>
                <w:lang w:val="en-GB"/>
              </w:rPr>
            </w:pPr>
            <w:r w:rsidRPr="00041901">
              <w:rPr>
                <w:rFonts w:ascii="Arial" w:hAnsi="Arial" w:cs="Arial"/>
                <w:sz w:val="18"/>
                <w:szCs w:val="18"/>
                <w:lang w:val="en-GB"/>
              </w:rPr>
              <w:t>San Vicente</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A6C3906"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133</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4D44224"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DFA4A4E"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-15</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601431D"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14</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97892E5"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3,780</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1A8091F"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80</w:t>
            </w:r>
          </w:p>
        </w:tc>
        <w:tc>
          <w:tcPr>
            <w:tcW w:w="1061"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672D15D"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6</w:t>
            </w:r>
          </w:p>
        </w:tc>
        <w:tc>
          <w:tcPr>
            <w:tcW w:w="91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DD6B43B"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15</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0CCEDF0"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36</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0D0D3FF"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13</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661C63C"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36</w:t>
            </w:r>
          </w:p>
        </w:tc>
        <w:tc>
          <w:tcPr>
            <w:tcW w:w="921" w:type="dxa"/>
            <w:tcBorders>
              <w:top w:val="nil"/>
              <w:left w:val="nil"/>
              <w:bottom w:val="single" w:sz="4" w:space="0" w:color="auto"/>
              <w:right w:val="single" w:sz="12" w:space="0" w:color="auto"/>
            </w:tcBorders>
            <w:noWrap/>
            <w:tcMar>
              <w:top w:w="15" w:type="dxa"/>
              <w:left w:w="15" w:type="dxa"/>
              <w:bottom w:w="0" w:type="dxa"/>
              <w:right w:w="15" w:type="dxa"/>
            </w:tcMar>
            <w:vAlign w:val="center"/>
          </w:tcPr>
          <w:p w14:paraId="1FFEE6FB"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40</w:t>
            </w:r>
          </w:p>
        </w:tc>
      </w:tr>
      <w:tr w:rsidR="00041901" w:rsidRPr="00041901" w14:paraId="741E44B5" w14:textId="77777777" w:rsidTr="00041901">
        <w:trPr>
          <w:trHeight w:val="150"/>
          <w:jc w:val="center"/>
        </w:trPr>
        <w:tc>
          <w:tcPr>
            <w:tcW w:w="2272" w:type="dxa"/>
            <w:tcBorders>
              <w:top w:val="nil"/>
              <w:left w:val="single" w:sz="12" w:space="0" w:color="auto"/>
              <w:bottom w:val="single" w:sz="4" w:space="0" w:color="auto"/>
              <w:right w:val="single" w:sz="4" w:space="0" w:color="auto"/>
            </w:tcBorders>
            <w:noWrap/>
            <w:tcMar>
              <w:top w:w="15" w:type="dxa"/>
              <w:left w:w="15" w:type="dxa"/>
              <w:bottom w:w="0" w:type="dxa"/>
              <w:right w:w="15" w:type="dxa"/>
            </w:tcMar>
            <w:vAlign w:val="center"/>
          </w:tcPr>
          <w:p w14:paraId="60CA2233" w14:textId="77777777" w:rsidR="00041901" w:rsidRPr="00041901" w:rsidRDefault="00041901" w:rsidP="00041901">
            <w:pPr>
              <w:ind w:firstLine="126"/>
              <w:rPr>
                <w:rFonts w:ascii="Arial" w:eastAsia="Arial Unicode MS" w:hAnsi="Arial" w:cs="Arial"/>
                <w:sz w:val="18"/>
                <w:szCs w:val="18"/>
                <w:lang w:val="en-GB"/>
              </w:rPr>
            </w:pPr>
            <w:r w:rsidRPr="00041901">
              <w:rPr>
                <w:rFonts w:ascii="Arial" w:hAnsi="Arial" w:cs="Arial"/>
                <w:sz w:val="18"/>
                <w:szCs w:val="18"/>
                <w:lang w:val="en-GB"/>
              </w:rPr>
              <w:t>Ulugan</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58EDA04"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790</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44E9CFA"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6E8EE46"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-10</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109C9E5"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16</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F93478E"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5,100</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02D0BF8"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85</w:t>
            </w:r>
          </w:p>
        </w:tc>
        <w:tc>
          <w:tcPr>
            <w:tcW w:w="1061"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B310CD2"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8</w:t>
            </w:r>
          </w:p>
        </w:tc>
        <w:tc>
          <w:tcPr>
            <w:tcW w:w="91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3C5CB6D"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15</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619E73E"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36</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AC91CC7"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13</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061BD4E"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42</w:t>
            </w:r>
          </w:p>
        </w:tc>
        <w:tc>
          <w:tcPr>
            <w:tcW w:w="921" w:type="dxa"/>
            <w:tcBorders>
              <w:top w:val="nil"/>
              <w:left w:val="nil"/>
              <w:bottom w:val="single" w:sz="4" w:space="0" w:color="auto"/>
              <w:right w:val="single" w:sz="12" w:space="0" w:color="auto"/>
            </w:tcBorders>
            <w:noWrap/>
            <w:tcMar>
              <w:top w:w="15" w:type="dxa"/>
              <w:left w:w="15" w:type="dxa"/>
              <w:bottom w:w="0" w:type="dxa"/>
              <w:right w:w="15" w:type="dxa"/>
            </w:tcMar>
            <w:vAlign w:val="center"/>
          </w:tcPr>
          <w:p w14:paraId="20A8505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39</w:t>
            </w:r>
          </w:p>
        </w:tc>
      </w:tr>
      <w:tr w:rsidR="00041901" w:rsidRPr="00041901" w14:paraId="01487F1F" w14:textId="77777777" w:rsidTr="00041901">
        <w:trPr>
          <w:trHeight w:val="107"/>
          <w:jc w:val="center"/>
        </w:trPr>
        <w:tc>
          <w:tcPr>
            <w:tcW w:w="2272" w:type="dxa"/>
            <w:tcBorders>
              <w:top w:val="nil"/>
              <w:left w:val="single" w:sz="12" w:space="0" w:color="auto"/>
              <w:bottom w:val="single" w:sz="4" w:space="0" w:color="auto"/>
              <w:right w:val="single" w:sz="4" w:space="0" w:color="auto"/>
            </w:tcBorders>
            <w:noWrap/>
            <w:tcMar>
              <w:top w:w="15" w:type="dxa"/>
              <w:left w:w="15" w:type="dxa"/>
              <w:bottom w:w="0" w:type="dxa"/>
              <w:right w:w="15" w:type="dxa"/>
            </w:tcMar>
            <w:vAlign w:val="center"/>
          </w:tcPr>
          <w:p w14:paraId="483EDBAC" w14:textId="77777777" w:rsidR="00041901" w:rsidRPr="00041901" w:rsidRDefault="00041901" w:rsidP="00041901">
            <w:pPr>
              <w:ind w:firstLine="126"/>
              <w:rPr>
                <w:rFonts w:ascii="Arial" w:eastAsia="Arial Unicode MS" w:hAnsi="Arial" w:cs="Arial"/>
                <w:sz w:val="18"/>
                <w:szCs w:val="18"/>
                <w:lang w:val="en-GB"/>
              </w:rPr>
            </w:pPr>
            <w:smartTag w:uri="urn:schemas-microsoft-com:office:smarttags" w:element="City">
              <w:smartTag w:uri="urn:schemas-microsoft-com:office:smarttags" w:element="place">
                <w:r w:rsidRPr="00041901">
                  <w:rPr>
                    <w:rFonts w:ascii="Arial" w:hAnsi="Arial" w:cs="Arial"/>
                    <w:sz w:val="18"/>
                    <w:szCs w:val="18"/>
                    <w:lang w:val="en-GB"/>
                  </w:rPr>
                  <w:t>San Jose</w:t>
                </w:r>
              </w:smartTag>
            </w:smartTag>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E7E4282"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483</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CCA33B8"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42EE00D"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-80</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5563422"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25</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71AB4EC"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3,180</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69BA0E5"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60</w:t>
            </w:r>
          </w:p>
        </w:tc>
        <w:tc>
          <w:tcPr>
            <w:tcW w:w="1061"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B783EE5"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7</w:t>
            </w:r>
          </w:p>
        </w:tc>
        <w:tc>
          <w:tcPr>
            <w:tcW w:w="91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F119888"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13</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1155BDF"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34</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B7231E9"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7</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6F17E74"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48</w:t>
            </w:r>
          </w:p>
        </w:tc>
        <w:tc>
          <w:tcPr>
            <w:tcW w:w="921" w:type="dxa"/>
            <w:tcBorders>
              <w:top w:val="nil"/>
              <w:left w:val="nil"/>
              <w:bottom w:val="single" w:sz="4" w:space="0" w:color="auto"/>
              <w:right w:val="single" w:sz="12" w:space="0" w:color="auto"/>
            </w:tcBorders>
            <w:noWrap/>
            <w:tcMar>
              <w:top w:w="15" w:type="dxa"/>
              <w:left w:w="15" w:type="dxa"/>
              <w:bottom w:w="0" w:type="dxa"/>
              <w:right w:w="15" w:type="dxa"/>
            </w:tcMar>
            <w:vAlign w:val="center"/>
          </w:tcPr>
          <w:p w14:paraId="098D001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37</w:t>
            </w:r>
          </w:p>
        </w:tc>
      </w:tr>
      <w:tr w:rsidR="00041901" w:rsidRPr="00041901" w14:paraId="7D4DB956" w14:textId="77777777" w:rsidTr="00041901">
        <w:trPr>
          <w:trHeight w:val="65"/>
          <w:jc w:val="center"/>
        </w:trPr>
        <w:tc>
          <w:tcPr>
            <w:tcW w:w="2272" w:type="dxa"/>
            <w:tcBorders>
              <w:top w:val="nil"/>
              <w:left w:val="single" w:sz="12" w:space="0" w:color="auto"/>
              <w:bottom w:val="single" w:sz="4" w:space="0" w:color="auto"/>
              <w:right w:val="single" w:sz="4" w:space="0" w:color="auto"/>
            </w:tcBorders>
            <w:noWrap/>
            <w:tcMar>
              <w:top w:w="15" w:type="dxa"/>
              <w:left w:w="15" w:type="dxa"/>
              <w:bottom w:w="0" w:type="dxa"/>
              <w:right w:w="15" w:type="dxa"/>
            </w:tcMar>
            <w:vAlign w:val="center"/>
          </w:tcPr>
          <w:p w14:paraId="55416DCD" w14:textId="77777777" w:rsidR="00041901" w:rsidRPr="00041901" w:rsidRDefault="00041901" w:rsidP="00041901">
            <w:pPr>
              <w:ind w:firstLine="126"/>
              <w:rPr>
                <w:rFonts w:ascii="Arial" w:eastAsia="Arial Unicode MS" w:hAnsi="Arial" w:cs="Arial"/>
                <w:sz w:val="18"/>
                <w:szCs w:val="18"/>
                <w:lang w:val="en-GB"/>
              </w:rPr>
            </w:pPr>
            <w:smartTag w:uri="urn:schemas-microsoft-com:office:smarttags" w:element="place">
              <w:r w:rsidRPr="00041901">
                <w:rPr>
                  <w:rFonts w:ascii="Arial" w:hAnsi="Arial" w:cs="Arial"/>
                  <w:sz w:val="18"/>
                  <w:szCs w:val="18"/>
                  <w:lang w:val="en-GB"/>
                </w:rPr>
                <w:t>Subic</w:t>
              </w:r>
            </w:smartTag>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A1E2B63"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148</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273591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E2CD4CB"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-20</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8EC2DA4"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23</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79FB868"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1,420</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57240BB"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90</w:t>
            </w:r>
          </w:p>
        </w:tc>
        <w:tc>
          <w:tcPr>
            <w:tcW w:w="1061"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B29FC55"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8</w:t>
            </w:r>
          </w:p>
        </w:tc>
        <w:tc>
          <w:tcPr>
            <w:tcW w:w="91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4C21DC7"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14</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5FD070E"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35</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7045A8E"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16</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D12FBCF"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44</w:t>
            </w:r>
          </w:p>
        </w:tc>
        <w:tc>
          <w:tcPr>
            <w:tcW w:w="921" w:type="dxa"/>
            <w:tcBorders>
              <w:top w:val="nil"/>
              <w:left w:val="nil"/>
              <w:bottom w:val="single" w:sz="4" w:space="0" w:color="auto"/>
              <w:right w:val="single" w:sz="12" w:space="0" w:color="auto"/>
            </w:tcBorders>
            <w:noWrap/>
            <w:tcMar>
              <w:top w:w="15" w:type="dxa"/>
              <w:left w:w="15" w:type="dxa"/>
              <w:bottom w:w="0" w:type="dxa"/>
              <w:right w:w="15" w:type="dxa"/>
            </w:tcMar>
            <w:vAlign w:val="center"/>
          </w:tcPr>
          <w:p w14:paraId="5C5328B6"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57</w:t>
            </w:r>
          </w:p>
        </w:tc>
      </w:tr>
      <w:tr w:rsidR="00041901" w:rsidRPr="00041901" w14:paraId="62A6D09D" w14:textId="77777777" w:rsidTr="00041901">
        <w:trPr>
          <w:trHeight w:val="198"/>
          <w:jc w:val="center"/>
        </w:trPr>
        <w:tc>
          <w:tcPr>
            <w:tcW w:w="2272" w:type="dxa"/>
            <w:tcBorders>
              <w:top w:val="nil"/>
              <w:left w:val="single" w:sz="12" w:space="0" w:color="auto"/>
              <w:bottom w:val="single" w:sz="12" w:space="0" w:color="auto"/>
              <w:right w:val="single" w:sz="4" w:space="0" w:color="auto"/>
            </w:tcBorders>
            <w:tcMar>
              <w:top w:w="15" w:type="dxa"/>
              <w:left w:w="15" w:type="dxa"/>
              <w:bottom w:w="0" w:type="dxa"/>
              <w:right w:w="15" w:type="dxa"/>
            </w:tcMar>
            <w:vAlign w:val="center"/>
          </w:tcPr>
          <w:p w14:paraId="29CC15AD" w14:textId="77777777" w:rsidR="00041901" w:rsidRPr="00041901" w:rsidRDefault="00041901" w:rsidP="00041901">
            <w:pPr>
              <w:ind w:firstLine="126"/>
              <w:rPr>
                <w:rFonts w:ascii="Arial" w:eastAsia="Arial Unicode MS" w:hAnsi="Arial" w:cs="Arial"/>
                <w:sz w:val="18"/>
                <w:szCs w:val="18"/>
                <w:lang w:val="en-GB"/>
              </w:rPr>
            </w:pPr>
            <w:r w:rsidRPr="00041901">
              <w:rPr>
                <w:rFonts w:ascii="Arial" w:hAnsi="Arial" w:cs="Arial"/>
                <w:sz w:val="18"/>
                <w:szCs w:val="18"/>
                <w:lang w:val="en-GB"/>
              </w:rPr>
              <w:t>Quezon</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15684406"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1,939</w:t>
            </w:r>
          </w:p>
        </w:tc>
        <w:tc>
          <w:tcPr>
            <w:tcW w:w="77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5C065A2B"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7ABE021A"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-40</w:t>
            </w:r>
          </w:p>
        </w:tc>
        <w:tc>
          <w:tcPr>
            <w:tcW w:w="99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6663A185"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32</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173851BF"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4,000</w:t>
            </w:r>
          </w:p>
        </w:tc>
        <w:tc>
          <w:tcPr>
            <w:tcW w:w="77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66A4CB79"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80</w:t>
            </w:r>
          </w:p>
        </w:tc>
        <w:tc>
          <w:tcPr>
            <w:tcW w:w="1061"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5B1EDEE9"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w:t>
            </w:r>
          </w:p>
        </w:tc>
        <w:tc>
          <w:tcPr>
            <w:tcW w:w="919"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4A5A7772"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14</w:t>
            </w:r>
          </w:p>
        </w:tc>
        <w:tc>
          <w:tcPr>
            <w:tcW w:w="99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0BA53259"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37</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5B894351"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11</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3BE8631A"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44</w:t>
            </w:r>
          </w:p>
        </w:tc>
        <w:tc>
          <w:tcPr>
            <w:tcW w:w="921" w:type="dxa"/>
            <w:tcBorders>
              <w:top w:val="nil"/>
              <w:left w:val="nil"/>
              <w:bottom w:val="single" w:sz="12" w:space="0" w:color="auto"/>
              <w:right w:val="single" w:sz="12" w:space="0" w:color="auto"/>
            </w:tcBorders>
            <w:noWrap/>
            <w:tcMar>
              <w:top w:w="15" w:type="dxa"/>
              <w:left w:w="15" w:type="dxa"/>
              <w:bottom w:w="0" w:type="dxa"/>
              <w:right w:w="15" w:type="dxa"/>
            </w:tcMar>
            <w:vAlign w:val="center"/>
          </w:tcPr>
          <w:p w14:paraId="5D2EACC4"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37</w:t>
            </w:r>
          </w:p>
        </w:tc>
      </w:tr>
      <w:tr w:rsidR="00041901" w:rsidRPr="00041901" w14:paraId="2DCF0947" w14:textId="77777777" w:rsidTr="00041901">
        <w:trPr>
          <w:trHeight w:val="35"/>
          <w:jc w:val="center"/>
        </w:trPr>
        <w:tc>
          <w:tcPr>
            <w:tcW w:w="13093" w:type="dxa"/>
            <w:gridSpan w:val="13"/>
            <w:tcBorders>
              <w:top w:val="single" w:sz="12" w:space="0" w:color="auto"/>
              <w:left w:val="single" w:sz="12" w:space="0" w:color="auto"/>
              <w:bottom w:val="single" w:sz="4" w:space="0" w:color="auto"/>
              <w:right w:val="single" w:sz="12" w:space="0" w:color="auto"/>
            </w:tcBorders>
            <w:tcMar>
              <w:top w:w="15" w:type="dxa"/>
              <w:left w:w="15" w:type="dxa"/>
              <w:bottom w:w="0" w:type="dxa"/>
              <w:right w:w="15" w:type="dxa"/>
            </w:tcMar>
            <w:vAlign w:val="center"/>
          </w:tcPr>
          <w:p w14:paraId="349E0914" w14:textId="77777777" w:rsidR="00041901" w:rsidRPr="00041901" w:rsidRDefault="00041901" w:rsidP="00041901">
            <w:pPr>
              <w:jc w:val="center"/>
              <w:rPr>
                <w:rFonts w:ascii="Arial" w:hAnsi="Arial" w:cs="Arial"/>
                <w:b/>
                <w:sz w:val="18"/>
                <w:szCs w:val="18"/>
                <w:lang w:val="en-GB"/>
              </w:rPr>
            </w:pPr>
            <w:smartTag w:uri="urn:schemas-microsoft-com:office:smarttags" w:element="country-region">
              <w:smartTag w:uri="urn:schemas-microsoft-com:office:smarttags" w:element="place">
                <w:r w:rsidRPr="00041901">
                  <w:rPr>
                    <w:rFonts w:ascii="Arial" w:hAnsi="Arial" w:cs="Arial"/>
                    <w:b/>
                    <w:sz w:val="18"/>
                    <w:szCs w:val="18"/>
                    <w:lang w:val="en-GB"/>
                  </w:rPr>
                  <w:t>Thailand</w:t>
                </w:r>
              </w:smartTag>
            </w:smartTag>
          </w:p>
        </w:tc>
      </w:tr>
      <w:tr w:rsidR="00041901" w:rsidRPr="00041901" w14:paraId="309FE519" w14:textId="77777777" w:rsidTr="00041901">
        <w:trPr>
          <w:trHeight w:val="97"/>
          <w:jc w:val="center"/>
        </w:trPr>
        <w:tc>
          <w:tcPr>
            <w:tcW w:w="2272" w:type="dxa"/>
            <w:tcBorders>
              <w:top w:val="single" w:sz="4" w:space="0" w:color="auto"/>
              <w:left w:val="single" w:sz="12" w:space="0" w:color="auto"/>
              <w:bottom w:val="single" w:sz="4" w:space="0" w:color="auto"/>
              <w:right w:val="single" w:sz="4" w:space="0" w:color="auto"/>
            </w:tcBorders>
            <w:tcMar>
              <w:top w:w="15" w:type="dxa"/>
              <w:left w:w="15" w:type="dxa"/>
              <w:bottom w:w="0" w:type="dxa"/>
              <w:right w:w="15" w:type="dxa"/>
            </w:tcMar>
            <w:vAlign w:val="center"/>
          </w:tcPr>
          <w:p w14:paraId="7AA3A76E" w14:textId="77777777" w:rsidR="00041901" w:rsidRPr="00041901" w:rsidRDefault="00041901" w:rsidP="00041901">
            <w:pPr>
              <w:ind w:firstLine="126"/>
              <w:rPr>
                <w:rFonts w:ascii="Arial" w:eastAsia="Arial Unicode MS" w:hAnsi="Arial" w:cs="Arial"/>
                <w:sz w:val="18"/>
                <w:szCs w:val="18"/>
                <w:lang w:val="en-GB"/>
              </w:rPr>
            </w:pPr>
            <w:smartTag w:uri="urn:schemas-microsoft-com:office:smarttags" w:element="place">
              <w:smartTag w:uri="urn:schemas-microsoft-com:office:smarttags" w:element="PlaceName">
                <w:r w:rsidRPr="00041901">
                  <w:rPr>
                    <w:rFonts w:ascii="Arial" w:hAnsi="Arial" w:cs="Arial"/>
                    <w:sz w:val="18"/>
                    <w:szCs w:val="18"/>
                    <w:lang w:val="en-GB"/>
                  </w:rPr>
                  <w:t>Trad</w:t>
                </w:r>
              </w:smartTag>
              <w:r w:rsidRPr="00041901">
                <w:rPr>
                  <w:rFonts w:ascii="Arial" w:hAnsi="Arial" w:cs="Arial"/>
                  <w:sz w:val="18"/>
                  <w:szCs w:val="18"/>
                  <w:lang w:val="en-GB"/>
                </w:rPr>
                <w:t xml:space="preserve"> </w:t>
              </w:r>
              <w:smartTag w:uri="urn:schemas-microsoft-com:office:smarttags" w:element="PlaceType">
                <w:r w:rsidRPr="00041901">
                  <w:rPr>
                    <w:rFonts w:ascii="Arial" w:hAnsi="Arial" w:cs="Arial"/>
                    <w:sz w:val="18"/>
                    <w:szCs w:val="18"/>
                    <w:lang w:val="en-GB"/>
                  </w:rPr>
                  <w:t>Province</w:t>
                </w:r>
              </w:smartTag>
            </w:smartTag>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35B2177"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7,031</w:t>
            </w:r>
          </w:p>
        </w:tc>
        <w:tc>
          <w:tcPr>
            <w:tcW w:w="77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A1FD1D6"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1C1BF1C"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2</w:t>
            </w:r>
          </w:p>
        </w:tc>
        <w:tc>
          <w:tcPr>
            <w:tcW w:w="99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0CD49C7"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33</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E93F80A"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1,100</w:t>
            </w:r>
          </w:p>
        </w:tc>
        <w:tc>
          <w:tcPr>
            <w:tcW w:w="77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D9F7090"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90</w:t>
            </w:r>
          </w:p>
        </w:tc>
        <w:tc>
          <w:tcPr>
            <w:tcW w:w="1061"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8AE48B7"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32</w:t>
            </w:r>
          </w:p>
        </w:tc>
        <w:tc>
          <w:tcPr>
            <w:tcW w:w="919"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1284674" w14:textId="77777777" w:rsidR="00041901" w:rsidRPr="00041901" w:rsidRDefault="00041901" w:rsidP="00041901">
            <w:pPr>
              <w:jc w:val="center"/>
              <w:rPr>
                <w:rFonts w:ascii="Arial" w:eastAsia="Arial Unicode MS" w:hAnsi="Arial" w:cs="Arial"/>
                <w:b/>
                <w:bCs/>
                <w:sz w:val="18"/>
                <w:szCs w:val="18"/>
                <w:lang w:val="en-GB"/>
              </w:rPr>
            </w:pPr>
            <w:r w:rsidRPr="00041901">
              <w:rPr>
                <w:rFonts w:ascii="Arial" w:hAnsi="Arial" w:cs="Arial"/>
                <w:b/>
                <w:bCs/>
                <w:sz w:val="18"/>
                <w:szCs w:val="18"/>
                <w:lang w:val="en-GB"/>
              </w:rPr>
              <w:t>M</w:t>
            </w:r>
          </w:p>
        </w:tc>
        <w:tc>
          <w:tcPr>
            <w:tcW w:w="99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123D643" w14:textId="77777777" w:rsidR="00041901" w:rsidRPr="00041901" w:rsidRDefault="00041901" w:rsidP="00041901">
            <w:pPr>
              <w:jc w:val="center"/>
              <w:rPr>
                <w:rFonts w:ascii="Arial" w:eastAsia="Arial Unicode MS" w:hAnsi="Arial" w:cs="Arial"/>
                <w:b/>
                <w:bCs/>
                <w:sz w:val="18"/>
                <w:szCs w:val="18"/>
                <w:lang w:val="en-GB"/>
              </w:rPr>
            </w:pPr>
            <w:r w:rsidRPr="00041901">
              <w:rPr>
                <w:rFonts w:ascii="Arial" w:hAnsi="Arial" w:cs="Arial"/>
                <w:b/>
                <w:bCs/>
                <w:sz w:val="18"/>
                <w:szCs w:val="18"/>
                <w:lang w:val="en-GB"/>
              </w:rPr>
              <w:t>M</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6DFA79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55</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D2C871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98</w:t>
            </w:r>
          </w:p>
        </w:tc>
        <w:tc>
          <w:tcPr>
            <w:tcW w:w="921" w:type="dxa"/>
            <w:tcBorders>
              <w:top w:val="single" w:sz="4" w:space="0" w:color="auto"/>
              <w:left w:val="nil"/>
              <w:bottom w:val="single" w:sz="4" w:space="0" w:color="auto"/>
              <w:right w:val="single" w:sz="12" w:space="0" w:color="auto"/>
            </w:tcBorders>
            <w:noWrap/>
            <w:tcMar>
              <w:top w:w="15" w:type="dxa"/>
              <w:left w:w="15" w:type="dxa"/>
              <w:bottom w:w="0" w:type="dxa"/>
              <w:right w:w="15" w:type="dxa"/>
            </w:tcMar>
            <w:vAlign w:val="center"/>
          </w:tcPr>
          <w:p w14:paraId="0046A11F"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24</w:t>
            </w:r>
          </w:p>
        </w:tc>
      </w:tr>
      <w:tr w:rsidR="00041901" w:rsidRPr="00041901" w14:paraId="7223FA18" w14:textId="77777777" w:rsidTr="00041901">
        <w:trPr>
          <w:trHeight w:val="235"/>
          <w:jc w:val="center"/>
        </w:trPr>
        <w:tc>
          <w:tcPr>
            <w:tcW w:w="2272" w:type="dxa"/>
            <w:tcBorders>
              <w:top w:val="nil"/>
              <w:left w:val="single" w:sz="12" w:space="0" w:color="auto"/>
              <w:bottom w:val="single" w:sz="4" w:space="0" w:color="auto"/>
              <w:right w:val="single" w:sz="4" w:space="0" w:color="auto"/>
            </w:tcBorders>
            <w:tcMar>
              <w:top w:w="15" w:type="dxa"/>
              <w:left w:w="15" w:type="dxa"/>
              <w:bottom w:w="0" w:type="dxa"/>
              <w:right w:w="15" w:type="dxa"/>
            </w:tcMar>
            <w:vAlign w:val="center"/>
          </w:tcPr>
          <w:p w14:paraId="0124CAD3" w14:textId="77777777" w:rsidR="00041901" w:rsidRPr="00041901" w:rsidRDefault="00041901" w:rsidP="00041901">
            <w:pPr>
              <w:ind w:left="137" w:hanging="11"/>
              <w:rPr>
                <w:rFonts w:ascii="Arial" w:eastAsia="Arial Unicode MS" w:hAnsi="Arial" w:cs="Arial"/>
                <w:sz w:val="18"/>
                <w:szCs w:val="18"/>
                <w:lang w:val="en-GB"/>
              </w:rPr>
            </w:pPr>
            <w:smartTag w:uri="urn:schemas-microsoft-com:office:smarttags" w:element="place">
              <w:smartTag w:uri="urn:schemas-microsoft-com:office:smarttags" w:element="PlaceName">
                <w:r w:rsidRPr="00041901">
                  <w:rPr>
                    <w:rFonts w:ascii="Arial" w:hAnsi="Arial" w:cs="Arial"/>
                    <w:sz w:val="18"/>
                    <w:szCs w:val="18"/>
                    <w:lang w:val="en-GB"/>
                  </w:rPr>
                  <w:t>Thung</w:t>
                </w:r>
              </w:smartTag>
              <w:r w:rsidRPr="00041901">
                <w:rPr>
                  <w:rFonts w:ascii="Arial" w:hAnsi="Arial" w:cs="Arial"/>
                  <w:sz w:val="18"/>
                  <w:szCs w:val="18"/>
                  <w:lang w:val="en-GB"/>
                </w:rPr>
                <w:t xml:space="preserve"> </w:t>
              </w:r>
              <w:smartTag w:uri="urn:schemas-microsoft-com:office:smarttags" w:element="PlaceName">
                <w:r w:rsidRPr="00041901">
                  <w:rPr>
                    <w:rFonts w:ascii="Arial" w:hAnsi="Arial" w:cs="Arial"/>
                    <w:sz w:val="18"/>
                    <w:szCs w:val="18"/>
                    <w:lang w:val="en-GB"/>
                  </w:rPr>
                  <w:t>Kha</w:t>
                </w:r>
              </w:smartTag>
              <w:r w:rsidRPr="00041901">
                <w:rPr>
                  <w:rFonts w:ascii="Arial" w:hAnsi="Arial" w:cs="Arial"/>
                  <w:sz w:val="18"/>
                  <w:szCs w:val="18"/>
                  <w:lang w:val="en-GB"/>
                </w:rPr>
                <w:t xml:space="preserve"> </w:t>
              </w:r>
              <w:smartTag w:uri="urn:schemas-microsoft-com:office:smarttags" w:element="PlaceType">
                <w:r w:rsidRPr="00041901">
                  <w:rPr>
                    <w:rFonts w:ascii="Arial" w:hAnsi="Arial" w:cs="Arial"/>
                    <w:sz w:val="18"/>
                    <w:szCs w:val="18"/>
                    <w:lang w:val="en-GB"/>
                  </w:rPr>
                  <w:t>Bay</w:t>
                </w:r>
              </w:smartTag>
            </w:smartTag>
            <w:r w:rsidRPr="00041901">
              <w:rPr>
                <w:rFonts w:ascii="Arial" w:hAnsi="Arial" w:cs="Arial"/>
                <w:sz w:val="18"/>
                <w:szCs w:val="18"/>
                <w:lang w:val="en-GB"/>
              </w:rPr>
              <w:t xml:space="preserve"> - Savi Bay</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B85C13D"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3,543</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5533107"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38CC643"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34</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A9EE7AE"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23</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D2AFB6B"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1,628</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4FBFF6E"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90</w:t>
            </w:r>
          </w:p>
        </w:tc>
        <w:tc>
          <w:tcPr>
            <w:tcW w:w="1061"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282E458"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58</w:t>
            </w:r>
          </w:p>
        </w:tc>
        <w:tc>
          <w:tcPr>
            <w:tcW w:w="91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27EE574" w14:textId="77777777" w:rsidR="00041901" w:rsidRPr="00041901" w:rsidRDefault="00041901" w:rsidP="00041901">
            <w:pPr>
              <w:jc w:val="center"/>
              <w:rPr>
                <w:rFonts w:ascii="Arial" w:eastAsia="Arial Unicode MS" w:hAnsi="Arial" w:cs="Arial"/>
                <w:b/>
                <w:bCs/>
                <w:sz w:val="18"/>
                <w:szCs w:val="18"/>
                <w:lang w:val="en-GB"/>
              </w:rPr>
            </w:pPr>
            <w:r w:rsidRPr="00041901">
              <w:rPr>
                <w:rFonts w:ascii="Arial" w:hAnsi="Arial" w:cs="Arial"/>
                <w:b/>
                <w:bCs/>
                <w:sz w:val="18"/>
                <w:szCs w:val="18"/>
                <w:lang w:val="en-GB"/>
              </w:rPr>
              <w:t>M</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93552AE" w14:textId="77777777" w:rsidR="00041901" w:rsidRPr="00041901" w:rsidRDefault="00041901" w:rsidP="00041901">
            <w:pPr>
              <w:jc w:val="center"/>
              <w:rPr>
                <w:rFonts w:ascii="Arial" w:eastAsia="Arial Unicode MS" w:hAnsi="Arial" w:cs="Arial"/>
                <w:b/>
                <w:bCs/>
                <w:sz w:val="18"/>
                <w:szCs w:val="18"/>
                <w:lang w:val="en-GB"/>
              </w:rPr>
            </w:pPr>
            <w:r w:rsidRPr="00041901">
              <w:rPr>
                <w:rFonts w:ascii="Arial" w:hAnsi="Arial" w:cs="Arial"/>
                <w:b/>
                <w:bCs/>
                <w:sz w:val="18"/>
                <w:szCs w:val="18"/>
                <w:lang w:val="en-GB"/>
              </w:rPr>
              <w:t>M</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DB1B840"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36</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5F63D5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13</w:t>
            </w:r>
          </w:p>
        </w:tc>
        <w:tc>
          <w:tcPr>
            <w:tcW w:w="921" w:type="dxa"/>
            <w:tcBorders>
              <w:top w:val="nil"/>
              <w:left w:val="nil"/>
              <w:bottom w:val="single" w:sz="4" w:space="0" w:color="auto"/>
              <w:right w:val="single" w:sz="12" w:space="0" w:color="auto"/>
            </w:tcBorders>
            <w:noWrap/>
            <w:tcMar>
              <w:top w:w="15" w:type="dxa"/>
              <w:left w:w="15" w:type="dxa"/>
              <w:bottom w:w="0" w:type="dxa"/>
              <w:right w:w="15" w:type="dxa"/>
            </w:tcMar>
            <w:vAlign w:val="center"/>
          </w:tcPr>
          <w:p w14:paraId="129B7D56"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8</w:t>
            </w:r>
          </w:p>
        </w:tc>
      </w:tr>
      <w:tr w:rsidR="00041901" w:rsidRPr="00041901" w14:paraId="5754AB3D" w14:textId="77777777" w:rsidTr="00041901">
        <w:trPr>
          <w:trHeight w:val="160"/>
          <w:jc w:val="center"/>
        </w:trPr>
        <w:tc>
          <w:tcPr>
            <w:tcW w:w="2272" w:type="dxa"/>
            <w:tcBorders>
              <w:top w:val="single" w:sz="4" w:space="0" w:color="auto"/>
              <w:left w:val="single" w:sz="12" w:space="0" w:color="auto"/>
              <w:bottom w:val="single" w:sz="4" w:space="0" w:color="auto"/>
              <w:right w:val="single" w:sz="4" w:space="0" w:color="auto"/>
            </w:tcBorders>
            <w:tcMar>
              <w:top w:w="15" w:type="dxa"/>
              <w:left w:w="15" w:type="dxa"/>
              <w:bottom w:w="0" w:type="dxa"/>
              <w:right w:w="15" w:type="dxa"/>
            </w:tcMar>
            <w:vAlign w:val="center"/>
          </w:tcPr>
          <w:p w14:paraId="693E7136" w14:textId="77777777" w:rsidR="00041901" w:rsidRPr="00041901" w:rsidRDefault="00041901" w:rsidP="00041901">
            <w:pPr>
              <w:ind w:firstLine="126"/>
              <w:rPr>
                <w:rFonts w:ascii="Arial" w:eastAsia="Arial Unicode MS" w:hAnsi="Arial" w:cs="Arial"/>
                <w:sz w:val="18"/>
                <w:szCs w:val="18"/>
                <w:lang w:val="en-GB"/>
              </w:rPr>
            </w:pPr>
            <w:smartTag w:uri="urn:schemas-microsoft-com:office:smarttags" w:element="place">
              <w:smartTag w:uri="urn:schemas-microsoft-com:office:smarttags" w:element="PlaceName">
                <w:r w:rsidRPr="00041901">
                  <w:rPr>
                    <w:rFonts w:ascii="Arial" w:hAnsi="Arial" w:cs="Arial"/>
                    <w:sz w:val="18"/>
                    <w:szCs w:val="18"/>
                    <w:lang w:val="en-GB"/>
                  </w:rPr>
                  <w:t>Pak</w:t>
                </w:r>
              </w:smartTag>
              <w:r w:rsidRPr="00041901">
                <w:rPr>
                  <w:rFonts w:ascii="Arial" w:hAnsi="Arial" w:cs="Arial"/>
                  <w:sz w:val="18"/>
                  <w:szCs w:val="18"/>
                  <w:lang w:val="en-GB"/>
                </w:rPr>
                <w:t xml:space="preserve"> </w:t>
              </w:r>
              <w:smartTag w:uri="urn:schemas-microsoft-com:office:smarttags" w:element="PlaceName">
                <w:r w:rsidRPr="00041901">
                  <w:rPr>
                    <w:rFonts w:ascii="Arial" w:hAnsi="Arial" w:cs="Arial"/>
                    <w:sz w:val="18"/>
                    <w:szCs w:val="18"/>
                    <w:lang w:val="en-GB"/>
                  </w:rPr>
                  <w:t>Phanang</w:t>
                </w:r>
              </w:smartTag>
              <w:r w:rsidRPr="00041901">
                <w:rPr>
                  <w:rFonts w:ascii="Arial" w:hAnsi="Arial" w:cs="Arial"/>
                  <w:sz w:val="18"/>
                  <w:szCs w:val="18"/>
                  <w:lang w:val="en-GB"/>
                </w:rPr>
                <w:t xml:space="preserve"> </w:t>
              </w:r>
              <w:smartTag w:uri="urn:schemas-microsoft-com:office:smarttags" w:element="PlaceType">
                <w:r w:rsidRPr="00041901">
                  <w:rPr>
                    <w:rFonts w:ascii="Arial" w:hAnsi="Arial" w:cs="Arial"/>
                    <w:sz w:val="18"/>
                    <w:szCs w:val="18"/>
                    <w:lang w:val="en-GB"/>
                  </w:rPr>
                  <w:t>Bay</w:t>
                </w:r>
              </w:smartTag>
            </w:smartTag>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B8A269F"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8,832</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DF85ADC"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BC26D22"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2</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CE18891"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25</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3410D01"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1,282</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19C892C"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56</w:t>
            </w:r>
          </w:p>
        </w:tc>
        <w:tc>
          <w:tcPr>
            <w:tcW w:w="1061"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D474477"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36</w:t>
            </w:r>
          </w:p>
        </w:tc>
        <w:tc>
          <w:tcPr>
            <w:tcW w:w="91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21A4DCA" w14:textId="77777777" w:rsidR="00041901" w:rsidRPr="00041901" w:rsidRDefault="00041901" w:rsidP="00041901">
            <w:pPr>
              <w:jc w:val="center"/>
              <w:rPr>
                <w:rFonts w:ascii="Arial" w:eastAsia="Arial Unicode MS" w:hAnsi="Arial" w:cs="Arial"/>
                <w:b/>
                <w:bCs/>
                <w:sz w:val="18"/>
                <w:szCs w:val="18"/>
                <w:lang w:val="en-GB"/>
              </w:rPr>
            </w:pPr>
            <w:r w:rsidRPr="00041901">
              <w:rPr>
                <w:rFonts w:ascii="Arial" w:hAnsi="Arial" w:cs="Arial"/>
                <w:b/>
                <w:bCs/>
                <w:sz w:val="18"/>
                <w:szCs w:val="18"/>
                <w:lang w:val="en-GB"/>
              </w:rPr>
              <w:t>M</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6271FF0" w14:textId="77777777" w:rsidR="00041901" w:rsidRPr="00041901" w:rsidRDefault="00041901" w:rsidP="00041901">
            <w:pPr>
              <w:jc w:val="center"/>
              <w:rPr>
                <w:rFonts w:ascii="Arial" w:eastAsia="Arial Unicode MS" w:hAnsi="Arial" w:cs="Arial"/>
                <w:b/>
                <w:bCs/>
                <w:sz w:val="18"/>
                <w:szCs w:val="18"/>
                <w:lang w:val="en-GB"/>
              </w:rPr>
            </w:pPr>
            <w:r w:rsidRPr="00041901">
              <w:rPr>
                <w:rFonts w:ascii="Arial" w:hAnsi="Arial" w:cs="Arial"/>
                <w:b/>
                <w:bCs/>
                <w:sz w:val="18"/>
                <w:szCs w:val="18"/>
                <w:lang w:val="en-GB"/>
              </w:rPr>
              <w:t>M</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601270F"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85</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544415D"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72</w:t>
            </w:r>
          </w:p>
        </w:tc>
        <w:tc>
          <w:tcPr>
            <w:tcW w:w="921" w:type="dxa"/>
            <w:tcBorders>
              <w:top w:val="nil"/>
              <w:left w:val="nil"/>
              <w:bottom w:val="single" w:sz="4" w:space="0" w:color="auto"/>
              <w:right w:val="single" w:sz="12" w:space="0" w:color="auto"/>
            </w:tcBorders>
            <w:noWrap/>
            <w:tcMar>
              <w:top w:w="15" w:type="dxa"/>
              <w:left w:w="15" w:type="dxa"/>
              <w:bottom w:w="0" w:type="dxa"/>
              <w:right w:w="15" w:type="dxa"/>
            </w:tcMar>
            <w:vAlign w:val="center"/>
          </w:tcPr>
          <w:p w14:paraId="068C819A"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45</w:t>
            </w:r>
          </w:p>
        </w:tc>
      </w:tr>
      <w:tr w:rsidR="00041901" w:rsidRPr="00041901" w14:paraId="2C09AEDA" w14:textId="77777777" w:rsidTr="00041901">
        <w:trPr>
          <w:trHeight w:val="103"/>
          <w:jc w:val="center"/>
        </w:trPr>
        <w:tc>
          <w:tcPr>
            <w:tcW w:w="2272" w:type="dxa"/>
            <w:tcBorders>
              <w:top w:val="nil"/>
              <w:left w:val="single" w:sz="12" w:space="0" w:color="auto"/>
              <w:bottom w:val="single" w:sz="4" w:space="0" w:color="auto"/>
              <w:right w:val="single" w:sz="4" w:space="0" w:color="auto"/>
            </w:tcBorders>
            <w:tcMar>
              <w:top w:w="15" w:type="dxa"/>
              <w:left w:w="15" w:type="dxa"/>
              <w:bottom w:w="0" w:type="dxa"/>
              <w:right w:w="15" w:type="dxa"/>
            </w:tcMar>
            <w:vAlign w:val="center"/>
          </w:tcPr>
          <w:p w14:paraId="663A2923" w14:textId="77777777" w:rsidR="00041901" w:rsidRPr="00041901" w:rsidRDefault="00041901" w:rsidP="00041901">
            <w:pPr>
              <w:ind w:firstLine="126"/>
              <w:rPr>
                <w:rFonts w:ascii="Arial" w:eastAsia="Arial Unicode MS" w:hAnsi="Arial" w:cs="Arial"/>
                <w:sz w:val="18"/>
                <w:szCs w:val="18"/>
                <w:lang w:val="en-GB"/>
              </w:rPr>
            </w:pPr>
            <w:smartTag w:uri="urn:schemas-microsoft-com:office:smarttags" w:element="place">
              <w:smartTag w:uri="urn:schemas-microsoft-com:office:smarttags" w:element="PlaceName">
                <w:r w:rsidRPr="00041901">
                  <w:rPr>
                    <w:rFonts w:ascii="Arial" w:hAnsi="Arial" w:cs="Arial"/>
                    <w:sz w:val="18"/>
                    <w:szCs w:val="18"/>
                    <w:lang w:val="en-GB"/>
                  </w:rPr>
                  <w:t>Kung</w:t>
                </w:r>
              </w:smartTag>
              <w:r w:rsidRPr="00041901">
                <w:rPr>
                  <w:rFonts w:ascii="Arial" w:hAnsi="Arial" w:cs="Arial"/>
                  <w:sz w:val="18"/>
                  <w:szCs w:val="18"/>
                  <w:lang w:val="en-GB"/>
                </w:rPr>
                <w:t xml:space="preserve"> </w:t>
              </w:r>
              <w:smartTag w:uri="urn:schemas-microsoft-com:office:smarttags" w:element="PlaceName">
                <w:r w:rsidRPr="00041901">
                  <w:rPr>
                    <w:rFonts w:ascii="Arial" w:hAnsi="Arial" w:cs="Arial"/>
                    <w:sz w:val="18"/>
                    <w:szCs w:val="18"/>
                    <w:lang w:val="en-GB"/>
                  </w:rPr>
                  <w:t>Kraben</w:t>
                </w:r>
              </w:smartTag>
              <w:r w:rsidRPr="00041901">
                <w:rPr>
                  <w:rFonts w:ascii="Arial" w:hAnsi="Arial" w:cs="Arial"/>
                  <w:sz w:val="18"/>
                  <w:szCs w:val="18"/>
                  <w:lang w:val="en-GB"/>
                </w:rPr>
                <w:t xml:space="preserve"> </w:t>
              </w:r>
              <w:smartTag w:uri="urn:schemas-microsoft-com:office:smarttags" w:element="PlaceType">
                <w:r w:rsidRPr="00041901">
                  <w:rPr>
                    <w:rFonts w:ascii="Arial" w:hAnsi="Arial" w:cs="Arial"/>
                    <w:sz w:val="18"/>
                    <w:szCs w:val="18"/>
                    <w:lang w:val="en-GB"/>
                  </w:rPr>
                  <w:t>Bay</w:t>
                </w:r>
              </w:smartTag>
            </w:smartTag>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04905B8"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640</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C6D5429"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9428D73"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0</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93945A0"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27</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530E497"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6,100</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FBE4A0D"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80</w:t>
            </w:r>
          </w:p>
        </w:tc>
        <w:tc>
          <w:tcPr>
            <w:tcW w:w="1061"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22B9C5B"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19</w:t>
            </w:r>
          </w:p>
        </w:tc>
        <w:tc>
          <w:tcPr>
            <w:tcW w:w="91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E1A1B69" w14:textId="77777777" w:rsidR="00041901" w:rsidRPr="00041901" w:rsidRDefault="00041901" w:rsidP="00041901">
            <w:pPr>
              <w:jc w:val="center"/>
              <w:rPr>
                <w:rFonts w:ascii="Arial" w:eastAsia="Arial Unicode MS" w:hAnsi="Arial" w:cs="Arial"/>
                <w:b/>
                <w:bCs/>
                <w:sz w:val="18"/>
                <w:szCs w:val="18"/>
                <w:lang w:val="en-GB"/>
              </w:rPr>
            </w:pPr>
            <w:r w:rsidRPr="00041901">
              <w:rPr>
                <w:rFonts w:ascii="Arial" w:hAnsi="Arial" w:cs="Arial"/>
                <w:b/>
                <w:bCs/>
                <w:sz w:val="18"/>
                <w:szCs w:val="18"/>
                <w:lang w:val="en-GB"/>
              </w:rPr>
              <w:t>M</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A9A6881" w14:textId="77777777" w:rsidR="00041901" w:rsidRPr="00041901" w:rsidRDefault="00041901" w:rsidP="00041901">
            <w:pPr>
              <w:jc w:val="center"/>
              <w:rPr>
                <w:rFonts w:ascii="Arial" w:eastAsia="Arial Unicode MS" w:hAnsi="Arial" w:cs="Arial"/>
                <w:b/>
                <w:bCs/>
                <w:sz w:val="18"/>
                <w:szCs w:val="18"/>
                <w:lang w:val="en-GB"/>
              </w:rPr>
            </w:pPr>
            <w:r w:rsidRPr="00041901">
              <w:rPr>
                <w:rFonts w:ascii="Arial" w:hAnsi="Arial" w:cs="Arial"/>
                <w:b/>
                <w:bCs/>
                <w:sz w:val="18"/>
                <w:szCs w:val="18"/>
                <w:lang w:val="en-GB"/>
              </w:rPr>
              <w:t>M</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0A8032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35</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88D5397"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75</w:t>
            </w:r>
          </w:p>
        </w:tc>
        <w:tc>
          <w:tcPr>
            <w:tcW w:w="921" w:type="dxa"/>
            <w:tcBorders>
              <w:top w:val="nil"/>
              <w:left w:val="nil"/>
              <w:bottom w:val="single" w:sz="4" w:space="0" w:color="auto"/>
              <w:right w:val="single" w:sz="12" w:space="0" w:color="auto"/>
            </w:tcBorders>
            <w:noWrap/>
            <w:tcMar>
              <w:top w:w="15" w:type="dxa"/>
              <w:left w:w="15" w:type="dxa"/>
              <w:bottom w:w="0" w:type="dxa"/>
              <w:right w:w="15" w:type="dxa"/>
            </w:tcMar>
            <w:vAlign w:val="center"/>
          </w:tcPr>
          <w:p w14:paraId="60CCCE0D"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16</w:t>
            </w:r>
          </w:p>
        </w:tc>
      </w:tr>
      <w:tr w:rsidR="00041901" w:rsidRPr="00041901" w14:paraId="08A7466A" w14:textId="77777777" w:rsidTr="00041901">
        <w:trPr>
          <w:trHeight w:val="73"/>
          <w:jc w:val="center"/>
        </w:trPr>
        <w:tc>
          <w:tcPr>
            <w:tcW w:w="2272" w:type="dxa"/>
            <w:tcBorders>
              <w:top w:val="nil"/>
              <w:left w:val="single" w:sz="12" w:space="0" w:color="auto"/>
              <w:bottom w:val="single" w:sz="12" w:space="0" w:color="auto"/>
              <w:right w:val="single" w:sz="4" w:space="0" w:color="auto"/>
            </w:tcBorders>
            <w:tcMar>
              <w:top w:w="15" w:type="dxa"/>
              <w:left w:w="15" w:type="dxa"/>
              <w:bottom w:w="0" w:type="dxa"/>
              <w:right w:w="15" w:type="dxa"/>
            </w:tcMar>
            <w:vAlign w:val="center"/>
          </w:tcPr>
          <w:p w14:paraId="0A85AAC7" w14:textId="77777777" w:rsidR="00041901" w:rsidRPr="00041901" w:rsidRDefault="00041901" w:rsidP="00041901">
            <w:pPr>
              <w:ind w:firstLine="126"/>
              <w:rPr>
                <w:rFonts w:ascii="Arial" w:eastAsia="Arial Unicode MS" w:hAnsi="Arial" w:cs="Arial"/>
                <w:sz w:val="18"/>
                <w:szCs w:val="18"/>
                <w:lang w:val="en-GB"/>
              </w:rPr>
            </w:pPr>
            <w:smartTag w:uri="urn:schemas-microsoft-com:office:smarttags" w:element="place">
              <w:smartTag w:uri="urn:schemas-microsoft-com:office:smarttags" w:element="PlaceName">
                <w:r w:rsidRPr="00041901">
                  <w:rPr>
                    <w:rFonts w:ascii="Arial" w:hAnsi="Arial" w:cs="Arial"/>
                    <w:sz w:val="18"/>
                    <w:szCs w:val="18"/>
                    <w:lang w:val="en-GB"/>
                  </w:rPr>
                  <w:t>Welu</w:t>
                </w:r>
              </w:smartTag>
              <w:r w:rsidRPr="00041901">
                <w:rPr>
                  <w:rFonts w:ascii="Arial" w:hAnsi="Arial" w:cs="Arial"/>
                  <w:sz w:val="18"/>
                  <w:szCs w:val="18"/>
                  <w:lang w:val="en-GB"/>
                </w:rPr>
                <w:t xml:space="preserve"> </w:t>
              </w:r>
              <w:smartTag w:uri="urn:schemas-microsoft-com:office:smarttags" w:element="PlaceType">
                <w:r w:rsidRPr="00041901">
                  <w:rPr>
                    <w:rFonts w:ascii="Arial" w:hAnsi="Arial" w:cs="Arial"/>
                    <w:sz w:val="18"/>
                    <w:szCs w:val="18"/>
                    <w:lang w:val="en-GB"/>
                  </w:rPr>
                  <w:t>River</w:t>
                </w:r>
              </w:smartTag>
            </w:smartTag>
            <w:r w:rsidRPr="00041901">
              <w:rPr>
                <w:rFonts w:ascii="Arial" w:hAnsi="Arial" w:cs="Arial"/>
                <w:sz w:val="18"/>
                <w:szCs w:val="18"/>
                <w:lang w:val="en-GB"/>
              </w:rPr>
              <w:t xml:space="preserve"> Estuary</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44F55601"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5,478</w:t>
            </w:r>
          </w:p>
        </w:tc>
        <w:tc>
          <w:tcPr>
            <w:tcW w:w="77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12F149AB"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4DA3EEC6"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31</w:t>
            </w:r>
          </w:p>
        </w:tc>
        <w:tc>
          <w:tcPr>
            <w:tcW w:w="99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250C10FA"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33</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5AF401A3"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1,400</w:t>
            </w:r>
          </w:p>
        </w:tc>
        <w:tc>
          <w:tcPr>
            <w:tcW w:w="77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5DEFBA9B"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60</w:t>
            </w:r>
          </w:p>
        </w:tc>
        <w:tc>
          <w:tcPr>
            <w:tcW w:w="1061"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50D6B7D4"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25</w:t>
            </w:r>
          </w:p>
        </w:tc>
        <w:tc>
          <w:tcPr>
            <w:tcW w:w="919"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585732F4" w14:textId="77777777" w:rsidR="00041901" w:rsidRPr="00041901" w:rsidRDefault="00041901" w:rsidP="00041901">
            <w:pPr>
              <w:jc w:val="center"/>
              <w:rPr>
                <w:rFonts w:ascii="Arial" w:eastAsia="Arial Unicode MS" w:hAnsi="Arial" w:cs="Arial"/>
                <w:b/>
                <w:bCs/>
                <w:sz w:val="18"/>
                <w:szCs w:val="18"/>
                <w:lang w:val="en-GB"/>
              </w:rPr>
            </w:pPr>
            <w:r w:rsidRPr="00041901">
              <w:rPr>
                <w:rFonts w:ascii="Arial" w:hAnsi="Arial" w:cs="Arial"/>
                <w:b/>
                <w:bCs/>
                <w:sz w:val="18"/>
                <w:szCs w:val="18"/>
                <w:lang w:val="en-GB"/>
              </w:rPr>
              <w:t>M</w:t>
            </w:r>
          </w:p>
        </w:tc>
        <w:tc>
          <w:tcPr>
            <w:tcW w:w="99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244AACE9" w14:textId="77777777" w:rsidR="00041901" w:rsidRPr="00041901" w:rsidRDefault="00041901" w:rsidP="00041901">
            <w:pPr>
              <w:jc w:val="center"/>
              <w:rPr>
                <w:rFonts w:ascii="Arial" w:eastAsia="Arial Unicode MS" w:hAnsi="Arial" w:cs="Arial"/>
                <w:b/>
                <w:bCs/>
                <w:sz w:val="18"/>
                <w:szCs w:val="18"/>
                <w:lang w:val="en-GB"/>
              </w:rPr>
            </w:pPr>
            <w:r w:rsidRPr="00041901">
              <w:rPr>
                <w:rFonts w:ascii="Arial" w:hAnsi="Arial" w:cs="Arial"/>
                <w:b/>
                <w:bCs/>
                <w:sz w:val="18"/>
                <w:szCs w:val="18"/>
                <w:lang w:val="en-GB"/>
              </w:rPr>
              <w:t>M</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5FD81A32"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52</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0071C8CF"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69</w:t>
            </w:r>
          </w:p>
        </w:tc>
        <w:tc>
          <w:tcPr>
            <w:tcW w:w="921" w:type="dxa"/>
            <w:tcBorders>
              <w:top w:val="nil"/>
              <w:left w:val="nil"/>
              <w:bottom w:val="single" w:sz="12" w:space="0" w:color="auto"/>
              <w:right w:val="single" w:sz="12" w:space="0" w:color="auto"/>
            </w:tcBorders>
            <w:noWrap/>
            <w:tcMar>
              <w:top w:w="15" w:type="dxa"/>
              <w:left w:w="15" w:type="dxa"/>
              <w:bottom w:w="0" w:type="dxa"/>
              <w:right w:w="15" w:type="dxa"/>
            </w:tcMar>
            <w:vAlign w:val="center"/>
          </w:tcPr>
          <w:p w14:paraId="28315C1B"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15</w:t>
            </w:r>
          </w:p>
        </w:tc>
      </w:tr>
      <w:tr w:rsidR="00041901" w:rsidRPr="00041901" w14:paraId="35CC66C2" w14:textId="77777777" w:rsidTr="00041901">
        <w:trPr>
          <w:trHeight w:val="178"/>
          <w:jc w:val="center"/>
        </w:trPr>
        <w:tc>
          <w:tcPr>
            <w:tcW w:w="13093" w:type="dxa"/>
            <w:gridSpan w:val="13"/>
            <w:tcBorders>
              <w:top w:val="single" w:sz="12" w:space="0" w:color="auto"/>
              <w:left w:val="single" w:sz="12" w:space="0" w:color="auto"/>
              <w:bottom w:val="single" w:sz="4" w:space="0" w:color="auto"/>
              <w:right w:val="single" w:sz="12" w:space="0" w:color="auto"/>
            </w:tcBorders>
            <w:tcMar>
              <w:top w:w="15" w:type="dxa"/>
              <w:left w:w="15" w:type="dxa"/>
              <w:bottom w:w="0" w:type="dxa"/>
              <w:right w:w="15" w:type="dxa"/>
            </w:tcMar>
            <w:vAlign w:val="center"/>
          </w:tcPr>
          <w:p w14:paraId="1444FDE1" w14:textId="77777777" w:rsidR="00041901" w:rsidRPr="00041901" w:rsidRDefault="00041901" w:rsidP="00041901">
            <w:pPr>
              <w:jc w:val="center"/>
              <w:rPr>
                <w:rFonts w:ascii="Arial" w:hAnsi="Arial" w:cs="Arial"/>
                <w:b/>
                <w:bCs/>
                <w:sz w:val="18"/>
                <w:szCs w:val="18"/>
                <w:lang w:val="en-GB"/>
              </w:rPr>
            </w:pPr>
            <w:smartTag w:uri="urn:schemas-microsoft-com:office:smarttags" w:element="country-region">
              <w:smartTag w:uri="urn:schemas-microsoft-com:office:smarttags" w:element="place">
                <w:r w:rsidRPr="00041901">
                  <w:rPr>
                    <w:rFonts w:ascii="Arial" w:hAnsi="Arial" w:cs="Arial"/>
                    <w:b/>
                    <w:bCs/>
                    <w:sz w:val="18"/>
                    <w:szCs w:val="18"/>
                    <w:lang w:val="en-GB"/>
                  </w:rPr>
                  <w:t>Viet Nam</w:t>
                </w:r>
              </w:smartTag>
            </w:smartTag>
          </w:p>
        </w:tc>
      </w:tr>
      <w:tr w:rsidR="00041901" w:rsidRPr="00041901" w14:paraId="414F973C" w14:textId="77777777" w:rsidTr="00041901">
        <w:trPr>
          <w:trHeight w:val="178"/>
          <w:jc w:val="center"/>
        </w:trPr>
        <w:tc>
          <w:tcPr>
            <w:tcW w:w="2272" w:type="dxa"/>
            <w:tcBorders>
              <w:top w:val="single" w:sz="4" w:space="0" w:color="auto"/>
              <w:left w:val="single" w:sz="12" w:space="0" w:color="auto"/>
              <w:bottom w:val="single" w:sz="4" w:space="0" w:color="auto"/>
              <w:right w:val="single" w:sz="4" w:space="0" w:color="auto"/>
            </w:tcBorders>
            <w:tcMar>
              <w:top w:w="15" w:type="dxa"/>
              <w:left w:w="15" w:type="dxa"/>
              <w:bottom w:w="0" w:type="dxa"/>
              <w:right w:w="15" w:type="dxa"/>
            </w:tcMar>
            <w:vAlign w:val="center"/>
          </w:tcPr>
          <w:p w14:paraId="7D8F03A4" w14:textId="77777777" w:rsidR="00041901" w:rsidRPr="00041901" w:rsidRDefault="00041901" w:rsidP="00041901">
            <w:pPr>
              <w:ind w:firstLine="126"/>
              <w:rPr>
                <w:rFonts w:ascii="Arial" w:eastAsia="Arial Unicode MS" w:hAnsi="Arial" w:cs="Arial"/>
                <w:sz w:val="18"/>
                <w:szCs w:val="18"/>
                <w:lang w:val="en-GB"/>
              </w:rPr>
            </w:pPr>
            <w:r w:rsidRPr="00041901">
              <w:rPr>
                <w:rFonts w:ascii="Arial" w:hAnsi="Arial" w:cs="Arial"/>
                <w:sz w:val="18"/>
                <w:szCs w:val="18"/>
                <w:lang w:val="en-GB"/>
              </w:rPr>
              <w:t>Tien Yen</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28BA6F5"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2,537</w:t>
            </w:r>
          </w:p>
        </w:tc>
        <w:tc>
          <w:tcPr>
            <w:tcW w:w="77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290F2EC"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DC4338F"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-25</w:t>
            </w:r>
          </w:p>
        </w:tc>
        <w:tc>
          <w:tcPr>
            <w:tcW w:w="99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AFAB71D"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13</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F4F95EB"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7,000</w:t>
            </w:r>
          </w:p>
        </w:tc>
        <w:tc>
          <w:tcPr>
            <w:tcW w:w="77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B375606"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60</w:t>
            </w:r>
          </w:p>
        </w:tc>
        <w:tc>
          <w:tcPr>
            <w:tcW w:w="1061"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4EC158B"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51</w:t>
            </w:r>
          </w:p>
        </w:tc>
        <w:tc>
          <w:tcPr>
            <w:tcW w:w="919"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0036EE2" w14:textId="77777777" w:rsidR="00041901" w:rsidRPr="00041901" w:rsidRDefault="00041901" w:rsidP="00041901">
            <w:pPr>
              <w:jc w:val="center"/>
              <w:rPr>
                <w:rFonts w:ascii="Arial" w:eastAsia="Arial Unicode MS" w:hAnsi="Arial" w:cs="Arial"/>
                <w:b/>
                <w:bCs/>
                <w:sz w:val="18"/>
                <w:szCs w:val="18"/>
                <w:lang w:val="en-GB"/>
              </w:rPr>
            </w:pPr>
            <w:r w:rsidRPr="00041901">
              <w:rPr>
                <w:rFonts w:ascii="Arial" w:hAnsi="Arial" w:cs="Arial"/>
                <w:b/>
                <w:bCs/>
                <w:sz w:val="18"/>
                <w:szCs w:val="18"/>
                <w:lang w:val="en-GB"/>
              </w:rPr>
              <w:t>M</w:t>
            </w:r>
          </w:p>
        </w:tc>
        <w:tc>
          <w:tcPr>
            <w:tcW w:w="99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EC19178" w14:textId="77777777" w:rsidR="00041901" w:rsidRPr="00041901" w:rsidRDefault="00041901" w:rsidP="00041901">
            <w:pPr>
              <w:jc w:val="center"/>
              <w:rPr>
                <w:rFonts w:ascii="Arial" w:eastAsia="Arial Unicode MS" w:hAnsi="Arial" w:cs="Arial"/>
                <w:b/>
                <w:bCs/>
                <w:sz w:val="18"/>
                <w:szCs w:val="18"/>
                <w:lang w:val="en-GB"/>
              </w:rPr>
            </w:pPr>
            <w:r w:rsidRPr="00041901">
              <w:rPr>
                <w:rFonts w:ascii="Arial" w:hAnsi="Arial" w:cs="Arial"/>
                <w:b/>
                <w:bCs/>
                <w:sz w:val="18"/>
                <w:szCs w:val="18"/>
                <w:lang w:val="en-GB"/>
              </w:rPr>
              <w:t>M</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2F6795E"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79</w:t>
            </w:r>
          </w:p>
        </w:tc>
        <w:tc>
          <w:tcPr>
            <w:tcW w:w="8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49ADDA5" w14:textId="77777777" w:rsidR="00041901" w:rsidRPr="00041901" w:rsidRDefault="00041901" w:rsidP="00041901">
            <w:pPr>
              <w:jc w:val="center"/>
              <w:rPr>
                <w:rFonts w:ascii="Arial" w:eastAsia="Arial Unicode MS" w:hAnsi="Arial" w:cs="Arial"/>
                <w:b/>
                <w:bCs/>
                <w:sz w:val="18"/>
                <w:szCs w:val="18"/>
                <w:lang w:val="en-GB"/>
              </w:rPr>
            </w:pPr>
            <w:r w:rsidRPr="00041901">
              <w:rPr>
                <w:rFonts w:ascii="Arial" w:hAnsi="Arial" w:cs="Arial"/>
                <w:b/>
                <w:bCs/>
                <w:sz w:val="18"/>
                <w:szCs w:val="18"/>
                <w:lang w:val="en-GB"/>
              </w:rPr>
              <w:t>M</w:t>
            </w:r>
          </w:p>
        </w:tc>
        <w:tc>
          <w:tcPr>
            <w:tcW w:w="921" w:type="dxa"/>
            <w:tcBorders>
              <w:top w:val="single" w:sz="4" w:space="0" w:color="auto"/>
              <w:left w:val="nil"/>
              <w:bottom w:val="single" w:sz="4" w:space="0" w:color="auto"/>
              <w:right w:val="single" w:sz="12" w:space="0" w:color="auto"/>
            </w:tcBorders>
            <w:noWrap/>
            <w:tcMar>
              <w:top w:w="15" w:type="dxa"/>
              <w:left w:w="15" w:type="dxa"/>
              <w:bottom w:w="0" w:type="dxa"/>
              <w:right w:w="15" w:type="dxa"/>
            </w:tcMar>
            <w:vAlign w:val="center"/>
          </w:tcPr>
          <w:p w14:paraId="2435DC42" w14:textId="77777777" w:rsidR="00041901" w:rsidRPr="00041901" w:rsidRDefault="00041901" w:rsidP="00041901">
            <w:pPr>
              <w:jc w:val="center"/>
              <w:rPr>
                <w:rFonts w:ascii="Arial" w:eastAsia="Arial Unicode MS" w:hAnsi="Arial" w:cs="Arial"/>
                <w:b/>
                <w:bCs/>
                <w:sz w:val="18"/>
                <w:szCs w:val="18"/>
                <w:lang w:val="en-GB"/>
              </w:rPr>
            </w:pPr>
            <w:r w:rsidRPr="00041901">
              <w:rPr>
                <w:rFonts w:ascii="Arial" w:hAnsi="Arial" w:cs="Arial"/>
                <w:b/>
                <w:bCs/>
                <w:sz w:val="18"/>
                <w:szCs w:val="18"/>
                <w:lang w:val="en-GB"/>
              </w:rPr>
              <w:t>M</w:t>
            </w:r>
          </w:p>
        </w:tc>
      </w:tr>
      <w:tr w:rsidR="00041901" w:rsidRPr="00041901" w14:paraId="061BE826" w14:textId="77777777" w:rsidTr="00041901">
        <w:trPr>
          <w:trHeight w:val="137"/>
          <w:jc w:val="center"/>
        </w:trPr>
        <w:tc>
          <w:tcPr>
            <w:tcW w:w="2272" w:type="dxa"/>
            <w:tcBorders>
              <w:top w:val="nil"/>
              <w:left w:val="single" w:sz="12" w:space="0" w:color="auto"/>
              <w:bottom w:val="single" w:sz="4" w:space="0" w:color="auto"/>
              <w:right w:val="single" w:sz="4" w:space="0" w:color="auto"/>
            </w:tcBorders>
            <w:tcMar>
              <w:top w:w="15" w:type="dxa"/>
              <w:left w:w="15" w:type="dxa"/>
              <w:bottom w:w="0" w:type="dxa"/>
              <w:right w:w="15" w:type="dxa"/>
            </w:tcMar>
            <w:vAlign w:val="center"/>
          </w:tcPr>
          <w:p w14:paraId="2569A8AC" w14:textId="77777777" w:rsidR="00041901" w:rsidRPr="00041901" w:rsidRDefault="00041901" w:rsidP="00041901">
            <w:pPr>
              <w:ind w:firstLine="126"/>
              <w:rPr>
                <w:rFonts w:ascii="Arial" w:eastAsia="Arial Unicode MS" w:hAnsi="Arial" w:cs="Arial"/>
                <w:sz w:val="18"/>
                <w:szCs w:val="18"/>
                <w:lang w:val="en-GB"/>
              </w:rPr>
            </w:pPr>
            <w:r w:rsidRPr="00041901">
              <w:rPr>
                <w:rFonts w:ascii="Arial" w:hAnsi="Arial" w:cs="Arial"/>
                <w:sz w:val="18"/>
                <w:szCs w:val="18"/>
                <w:lang w:val="en-GB"/>
              </w:rPr>
              <w:t>Xuan Thuy</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1789A16"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1,775</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ABC2265"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E8065D1"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98</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ECED6B2"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11</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00F475A"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9,500</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531159E"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75</w:t>
            </w:r>
          </w:p>
        </w:tc>
        <w:tc>
          <w:tcPr>
            <w:tcW w:w="1061"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7174B00"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61</w:t>
            </w:r>
          </w:p>
        </w:tc>
        <w:tc>
          <w:tcPr>
            <w:tcW w:w="91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3A541E6"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25</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5DDFAFC"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30</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FF254A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90</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EA5C8CD"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31</w:t>
            </w:r>
          </w:p>
        </w:tc>
        <w:tc>
          <w:tcPr>
            <w:tcW w:w="921" w:type="dxa"/>
            <w:tcBorders>
              <w:top w:val="nil"/>
              <w:left w:val="nil"/>
              <w:bottom w:val="single" w:sz="4" w:space="0" w:color="auto"/>
              <w:right w:val="single" w:sz="12" w:space="0" w:color="auto"/>
            </w:tcBorders>
            <w:noWrap/>
            <w:tcMar>
              <w:top w:w="15" w:type="dxa"/>
              <w:left w:w="15" w:type="dxa"/>
              <w:bottom w:w="0" w:type="dxa"/>
              <w:right w:w="15" w:type="dxa"/>
            </w:tcMar>
            <w:vAlign w:val="center"/>
          </w:tcPr>
          <w:p w14:paraId="39156DA3"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62</w:t>
            </w:r>
          </w:p>
        </w:tc>
      </w:tr>
      <w:tr w:rsidR="00041901" w:rsidRPr="00041901" w14:paraId="27EA92DF" w14:textId="77777777" w:rsidTr="00041901">
        <w:trPr>
          <w:trHeight w:val="93"/>
          <w:jc w:val="center"/>
        </w:trPr>
        <w:tc>
          <w:tcPr>
            <w:tcW w:w="2272" w:type="dxa"/>
            <w:tcBorders>
              <w:top w:val="nil"/>
              <w:left w:val="single" w:sz="12" w:space="0" w:color="auto"/>
              <w:bottom w:val="single" w:sz="4" w:space="0" w:color="auto"/>
              <w:right w:val="single" w:sz="4" w:space="0" w:color="auto"/>
            </w:tcBorders>
            <w:tcMar>
              <w:top w:w="15" w:type="dxa"/>
              <w:left w:w="15" w:type="dxa"/>
              <w:bottom w:w="0" w:type="dxa"/>
              <w:right w:w="15" w:type="dxa"/>
            </w:tcMar>
            <w:vAlign w:val="center"/>
          </w:tcPr>
          <w:p w14:paraId="77A5BCCA" w14:textId="77777777" w:rsidR="00041901" w:rsidRPr="00041901" w:rsidRDefault="00041901" w:rsidP="00041901">
            <w:pPr>
              <w:ind w:firstLine="126"/>
              <w:rPr>
                <w:rFonts w:ascii="Arial" w:eastAsia="Arial Unicode MS" w:hAnsi="Arial" w:cs="Arial"/>
                <w:sz w:val="18"/>
                <w:szCs w:val="18"/>
                <w:lang w:val="en-GB"/>
              </w:rPr>
            </w:pPr>
            <w:r w:rsidRPr="00041901">
              <w:rPr>
                <w:rFonts w:ascii="Arial" w:hAnsi="Arial" w:cs="Arial"/>
                <w:sz w:val="18"/>
                <w:szCs w:val="18"/>
                <w:lang w:val="en-GB"/>
              </w:rPr>
              <w:t>Can Gio</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C487A0F"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8,958</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37F61D8"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8D997D9"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100</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EA34DC0"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32</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9EAAA92"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6,000</w:t>
            </w:r>
          </w:p>
        </w:tc>
        <w:tc>
          <w:tcPr>
            <w:tcW w:w="77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A9E8B7D"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80</w:t>
            </w:r>
          </w:p>
        </w:tc>
        <w:tc>
          <w:tcPr>
            <w:tcW w:w="1061"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5F5A1C31"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28</w:t>
            </w:r>
          </w:p>
        </w:tc>
        <w:tc>
          <w:tcPr>
            <w:tcW w:w="919"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EF85F37"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17</w:t>
            </w:r>
          </w:p>
        </w:tc>
        <w:tc>
          <w:tcPr>
            <w:tcW w:w="99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9698B89"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32</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11AD658"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103</w:t>
            </w:r>
          </w:p>
        </w:tc>
        <w:tc>
          <w:tcPr>
            <w:tcW w:w="880"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D9DC410"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96</w:t>
            </w:r>
          </w:p>
        </w:tc>
        <w:tc>
          <w:tcPr>
            <w:tcW w:w="921" w:type="dxa"/>
            <w:tcBorders>
              <w:top w:val="nil"/>
              <w:left w:val="nil"/>
              <w:bottom w:val="single" w:sz="4" w:space="0" w:color="auto"/>
              <w:right w:val="single" w:sz="12" w:space="0" w:color="auto"/>
            </w:tcBorders>
            <w:noWrap/>
            <w:tcMar>
              <w:top w:w="15" w:type="dxa"/>
              <w:left w:w="15" w:type="dxa"/>
              <w:bottom w:w="0" w:type="dxa"/>
              <w:right w:w="15" w:type="dxa"/>
            </w:tcMar>
            <w:vAlign w:val="center"/>
          </w:tcPr>
          <w:p w14:paraId="48776856"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34</w:t>
            </w:r>
          </w:p>
        </w:tc>
      </w:tr>
      <w:tr w:rsidR="00041901" w:rsidRPr="00041901" w14:paraId="24F9263A" w14:textId="77777777" w:rsidTr="00041901">
        <w:trPr>
          <w:trHeight w:val="65"/>
          <w:jc w:val="center"/>
        </w:trPr>
        <w:tc>
          <w:tcPr>
            <w:tcW w:w="2272" w:type="dxa"/>
            <w:tcBorders>
              <w:top w:val="nil"/>
              <w:left w:val="single" w:sz="12" w:space="0" w:color="auto"/>
              <w:bottom w:val="single" w:sz="12" w:space="0" w:color="auto"/>
              <w:right w:val="single" w:sz="4" w:space="0" w:color="auto"/>
            </w:tcBorders>
            <w:tcMar>
              <w:top w:w="15" w:type="dxa"/>
              <w:left w:w="15" w:type="dxa"/>
              <w:bottom w:w="0" w:type="dxa"/>
              <w:right w:w="15" w:type="dxa"/>
            </w:tcMar>
            <w:vAlign w:val="center"/>
          </w:tcPr>
          <w:p w14:paraId="6D113081" w14:textId="77777777" w:rsidR="00041901" w:rsidRPr="00041901" w:rsidRDefault="00041901" w:rsidP="00041901">
            <w:pPr>
              <w:ind w:firstLine="126"/>
              <w:rPr>
                <w:rFonts w:ascii="Arial" w:eastAsia="Arial Unicode MS" w:hAnsi="Arial" w:cs="Arial"/>
                <w:sz w:val="18"/>
                <w:szCs w:val="18"/>
                <w:lang w:val="en-GB"/>
              </w:rPr>
            </w:pPr>
            <w:r w:rsidRPr="00041901">
              <w:rPr>
                <w:rFonts w:ascii="Arial" w:hAnsi="Arial" w:cs="Arial"/>
                <w:sz w:val="18"/>
                <w:szCs w:val="18"/>
                <w:lang w:val="en-GB"/>
              </w:rPr>
              <w:t>Ca Mau</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477EA73E" w14:textId="77777777" w:rsidR="00041901" w:rsidRPr="00041901" w:rsidRDefault="00041901" w:rsidP="00041901">
            <w:pPr>
              <w:ind w:right="97"/>
              <w:jc w:val="right"/>
              <w:rPr>
                <w:rFonts w:ascii="Arial" w:eastAsia="Arial Unicode MS" w:hAnsi="Arial" w:cs="Arial"/>
                <w:sz w:val="18"/>
                <w:szCs w:val="18"/>
                <w:lang w:val="en-GB"/>
              </w:rPr>
            </w:pPr>
            <w:r w:rsidRPr="00041901">
              <w:rPr>
                <w:rFonts w:ascii="Arial" w:hAnsi="Arial" w:cs="Arial"/>
                <w:sz w:val="18"/>
                <w:szCs w:val="18"/>
                <w:lang w:val="en-GB"/>
              </w:rPr>
              <w:t>5,239</w:t>
            </w:r>
          </w:p>
        </w:tc>
        <w:tc>
          <w:tcPr>
            <w:tcW w:w="77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60E2E264"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7B14139B" w14:textId="77777777" w:rsidR="00041901" w:rsidRPr="00041901" w:rsidRDefault="00041901" w:rsidP="00041901">
            <w:pPr>
              <w:ind w:right="128"/>
              <w:jc w:val="right"/>
              <w:rPr>
                <w:rFonts w:ascii="Arial" w:eastAsia="Arial Unicode MS" w:hAnsi="Arial" w:cs="Arial"/>
                <w:sz w:val="18"/>
                <w:szCs w:val="18"/>
                <w:lang w:val="en-GB"/>
              </w:rPr>
            </w:pPr>
            <w:r w:rsidRPr="00041901">
              <w:rPr>
                <w:rFonts w:ascii="Arial" w:hAnsi="Arial" w:cs="Arial"/>
                <w:sz w:val="18"/>
                <w:szCs w:val="18"/>
                <w:lang w:val="en-GB"/>
              </w:rPr>
              <w:t>60</w:t>
            </w:r>
          </w:p>
        </w:tc>
        <w:tc>
          <w:tcPr>
            <w:tcW w:w="99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4C41161F"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30</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77FA83FE" w14:textId="77777777" w:rsidR="00041901" w:rsidRPr="00041901" w:rsidRDefault="00041901" w:rsidP="00041901">
            <w:pPr>
              <w:ind w:right="59"/>
              <w:jc w:val="right"/>
              <w:rPr>
                <w:rFonts w:ascii="Arial" w:eastAsia="Arial Unicode MS" w:hAnsi="Arial" w:cs="Arial"/>
                <w:sz w:val="18"/>
                <w:szCs w:val="18"/>
                <w:lang w:val="en-GB"/>
              </w:rPr>
            </w:pPr>
            <w:r w:rsidRPr="00041901">
              <w:rPr>
                <w:rFonts w:ascii="Arial" w:hAnsi="Arial" w:cs="Arial"/>
                <w:sz w:val="18"/>
                <w:szCs w:val="18"/>
                <w:lang w:val="en-GB"/>
              </w:rPr>
              <w:t>7,500</w:t>
            </w:r>
          </w:p>
        </w:tc>
        <w:tc>
          <w:tcPr>
            <w:tcW w:w="77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60A69438"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85</w:t>
            </w:r>
          </w:p>
        </w:tc>
        <w:tc>
          <w:tcPr>
            <w:tcW w:w="1061"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71910660"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12</w:t>
            </w:r>
          </w:p>
        </w:tc>
        <w:tc>
          <w:tcPr>
            <w:tcW w:w="919"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63AE8F81"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6</w:t>
            </w:r>
          </w:p>
        </w:tc>
        <w:tc>
          <w:tcPr>
            <w:tcW w:w="99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3AC420CE"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15</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112B499E"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36</w:t>
            </w:r>
          </w:p>
        </w:tc>
        <w:tc>
          <w:tcPr>
            <w:tcW w:w="880" w:type="dxa"/>
            <w:tcBorders>
              <w:top w:val="nil"/>
              <w:left w:val="nil"/>
              <w:bottom w:val="single" w:sz="12" w:space="0" w:color="auto"/>
              <w:right w:val="single" w:sz="4" w:space="0" w:color="auto"/>
            </w:tcBorders>
            <w:noWrap/>
            <w:tcMar>
              <w:top w:w="15" w:type="dxa"/>
              <w:left w:w="15" w:type="dxa"/>
              <w:bottom w:w="0" w:type="dxa"/>
              <w:right w:w="15" w:type="dxa"/>
            </w:tcMar>
            <w:vAlign w:val="center"/>
          </w:tcPr>
          <w:p w14:paraId="44B3F084"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18</w:t>
            </w:r>
          </w:p>
        </w:tc>
        <w:tc>
          <w:tcPr>
            <w:tcW w:w="921" w:type="dxa"/>
            <w:tcBorders>
              <w:top w:val="nil"/>
              <w:left w:val="nil"/>
              <w:bottom w:val="single" w:sz="12" w:space="0" w:color="auto"/>
              <w:right w:val="single" w:sz="12" w:space="0" w:color="auto"/>
            </w:tcBorders>
            <w:noWrap/>
            <w:tcMar>
              <w:top w:w="15" w:type="dxa"/>
              <w:left w:w="15" w:type="dxa"/>
              <w:bottom w:w="0" w:type="dxa"/>
              <w:right w:w="15" w:type="dxa"/>
            </w:tcMar>
            <w:vAlign w:val="center"/>
          </w:tcPr>
          <w:p w14:paraId="461EC1AF" w14:textId="77777777" w:rsidR="00041901" w:rsidRPr="00041901" w:rsidRDefault="00041901" w:rsidP="00041901">
            <w:pPr>
              <w:jc w:val="center"/>
              <w:rPr>
                <w:rFonts w:ascii="Arial" w:eastAsia="Arial Unicode MS" w:hAnsi="Arial" w:cs="Arial"/>
                <w:sz w:val="18"/>
                <w:szCs w:val="18"/>
                <w:lang w:val="en-GB"/>
              </w:rPr>
            </w:pPr>
            <w:r w:rsidRPr="00041901">
              <w:rPr>
                <w:rFonts w:ascii="Arial" w:hAnsi="Arial" w:cs="Arial"/>
                <w:sz w:val="18"/>
                <w:szCs w:val="18"/>
                <w:lang w:val="en-GB"/>
              </w:rPr>
              <w:t>53</w:t>
            </w:r>
          </w:p>
        </w:tc>
      </w:tr>
    </w:tbl>
    <w:p w14:paraId="053C35C6" w14:textId="77777777" w:rsidR="00041901" w:rsidRDefault="00041901" w:rsidP="00041901">
      <w:pPr>
        <w:spacing w:before="120"/>
        <w:jc w:val="both"/>
        <w:rPr>
          <w:sz w:val="22"/>
          <w:szCs w:val="22"/>
        </w:rPr>
      </w:pPr>
    </w:p>
    <w:p w14:paraId="71E790F8" w14:textId="77777777" w:rsidR="00041901" w:rsidRPr="00041901" w:rsidRDefault="00041901" w:rsidP="00041901">
      <w:pPr>
        <w:spacing w:before="120"/>
        <w:jc w:val="both"/>
        <w:rPr>
          <w:sz w:val="22"/>
          <w:szCs w:val="22"/>
        </w:rPr>
        <w:sectPr w:rsidR="00041901" w:rsidRPr="00041901" w:rsidSect="00064925">
          <w:pgSz w:w="15840" w:h="12240" w:orient="landscape" w:code="1"/>
          <w:pgMar w:top="1584" w:right="1440" w:bottom="1584" w:left="1440" w:header="706" w:footer="706" w:gutter="0"/>
          <w:cols w:space="708"/>
          <w:docGrid w:linePitch="360"/>
        </w:sectPr>
      </w:pPr>
    </w:p>
    <w:p w14:paraId="5BB16218" w14:textId="77777777" w:rsidR="007C550B" w:rsidRPr="00FC536D" w:rsidRDefault="00FC536D" w:rsidP="006A4CBA">
      <w:pPr>
        <w:numPr>
          <w:ilvl w:val="0"/>
          <w:numId w:val="3"/>
        </w:numPr>
        <w:spacing w:before="120" w:after="120"/>
        <w:ind w:left="0" w:firstLine="0"/>
        <w:jc w:val="both"/>
        <w:rPr>
          <w:sz w:val="22"/>
          <w:szCs w:val="22"/>
          <w:lang w:val="en-GB"/>
        </w:rPr>
      </w:pPr>
      <w:r>
        <w:rPr>
          <w:sz w:val="22"/>
          <w:szCs w:val="22"/>
        </w:rPr>
        <w:t xml:space="preserve">Accordingly, </w:t>
      </w:r>
      <w:r w:rsidRPr="00FC536D">
        <w:rPr>
          <w:sz w:val="22"/>
          <w:szCs w:val="22"/>
        </w:rPr>
        <w:t>national level</w:t>
      </w:r>
      <w:r>
        <w:rPr>
          <w:sz w:val="22"/>
          <w:szCs w:val="22"/>
        </w:rPr>
        <w:t xml:space="preserve"> activities of this project </w:t>
      </w:r>
      <w:r w:rsidRPr="00FC536D">
        <w:rPr>
          <w:sz w:val="22"/>
          <w:szCs w:val="22"/>
        </w:rPr>
        <w:t>will focus on the declaration of 57,400 ha of mangrove as National Parks and Protected Areas, the designation and plans for the management of 166,600 ha of mangrove as non-conversion, sustainable use areas, national reform of laws and regulations for the sustainable use of 602,800 ha of mangrove forest, replanting of 21,000 ha of deforested mangrove land and biodiversity increased for 11,200 ha of mangrove forest via enrichment planting.</w:t>
      </w:r>
      <w:r w:rsidR="00245322">
        <w:rPr>
          <w:sz w:val="22"/>
          <w:szCs w:val="22"/>
        </w:rPr>
        <w:t xml:space="preserve"> </w:t>
      </w:r>
    </w:p>
    <w:p w14:paraId="3F0D110E" w14:textId="77777777" w:rsidR="00245322" w:rsidRPr="00245322" w:rsidRDefault="00245322" w:rsidP="006A4CBA">
      <w:pPr>
        <w:numPr>
          <w:ilvl w:val="0"/>
          <w:numId w:val="3"/>
        </w:numPr>
        <w:spacing w:before="120" w:after="120"/>
        <w:ind w:left="0" w:firstLine="0"/>
        <w:jc w:val="both"/>
        <w:rPr>
          <w:sz w:val="22"/>
          <w:szCs w:val="22"/>
          <w:lang w:val="en-GB"/>
        </w:rPr>
      </w:pPr>
      <w:r w:rsidRPr="00245322">
        <w:rPr>
          <w:sz w:val="22"/>
          <w:szCs w:val="22"/>
        </w:rPr>
        <w:t>The project also aims to support these national actions through a regionally co-ordinated programme of technical support; the objective of which is to assist countries in effectively and sustainably managing their mangrove resources</w:t>
      </w:r>
      <w:r>
        <w:rPr>
          <w:sz w:val="22"/>
          <w:szCs w:val="22"/>
        </w:rPr>
        <w:t>. This will</w:t>
      </w:r>
      <w:r w:rsidRPr="00245322">
        <w:rPr>
          <w:sz w:val="22"/>
          <w:szCs w:val="22"/>
        </w:rPr>
        <w:t xml:space="preserve"> include periodic national and regional meetings of mangrove specialists, and local and central government officials that will ensure the integration of sound science into policy making and management decision making, and foster cost effective strategic actions that</w:t>
      </w:r>
      <w:r>
        <w:rPr>
          <w:sz w:val="22"/>
          <w:szCs w:val="22"/>
        </w:rPr>
        <w:t xml:space="preserve"> enhance regional cooperation. </w:t>
      </w:r>
    </w:p>
    <w:p w14:paraId="735413DC" w14:textId="77777777" w:rsidR="00974257" w:rsidRDefault="00245322" w:rsidP="00974257">
      <w:pPr>
        <w:numPr>
          <w:ilvl w:val="0"/>
          <w:numId w:val="3"/>
        </w:numPr>
        <w:spacing w:before="120" w:after="120"/>
        <w:ind w:left="0" w:firstLine="0"/>
        <w:jc w:val="both"/>
        <w:rPr>
          <w:sz w:val="22"/>
          <w:szCs w:val="22"/>
          <w:lang w:val="en-GB"/>
        </w:rPr>
      </w:pPr>
      <w:r>
        <w:rPr>
          <w:sz w:val="22"/>
          <w:szCs w:val="22"/>
        </w:rPr>
        <w:t>It will also involve furthering</w:t>
      </w:r>
      <w:r w:rsidRPr="00245322">
        <w:rPr>
          <w:sz w:val="22"/>
          <w:szCs w:val="22"/>
        </w:rPr>
        <w:t xml:space="preserve"> the knowledge of government officials, managers and stakeholders regarding the functions, value and approaches to sustainable management of mangrove ecosystems will be  further strengthened through regional mechanisms such as</w:t>
      </w:r>
      <w:r>
        <w:rPr>
          <w:sz w:val="22"/>
          <w:szCs w:val="22"/>
        </w:rPr>
        <w:t xml:space="preserve"> continued information exchange</w:t>
      </w:r>
      <w:r w:rsidRPr="00245322">
        <w:rPr>
          <w:sz w:val="22"/>
          <w:szCs w:val="22"/>
        </w:rPr>
        <w:t xml:space="preserve"> via the World Wide Web; study tours and visits; periodic meetings and targeted training activities; and the  development  and dissemination of the necessary materials for use at all levels in promoting knowledge and awareness of sustainable mangrove management practices. Activities designed to provide the sound scientific and technical basis for sustainable management of mangrove ecosystems at the regional level include: the development of guidelines and other tools as information resources; facilitation of their regional dissemination and adoption by mangrove managers; and applied research concerning the sustainable management and monitoring of mangroves ecosystems.</w:t>
      </w:r>
      <w:r w:rsidR="00041901">
        <w:rPr>
          <w:sz w:val="22"/>
          <w:szCs w:val="22"/>
        </w:rPr>
        <w:t xml:space="preserve"> Specific </w:t>
      </w:r>
      <w:r w:rsidR="00974257">
        <w:rPr>
          <w:sz w:val="22"/>
          <w:szCs w:val="22"/>
        </w:rPr>
        <w:t xml:space="preserve">project </w:t>
      </w:r>
      <w:r w:rsidR="00041901">
        <w:rPr>
          <w:sz w:val="22"/>
          <w:szCs w:val="22"/>
        </w:rPr>
        <w:t xml:space="preserve">targets for Outcome 1.1 are summarized in </w:t>
      </w:r>
      <w:r w:rsidR="00974257">
        <w:rPr>
          <w:sz w:val="22"/>
          <w:szCs w:val="22"/>
        </w:rPr>
        <w:t>Table 21.</w:t>
      </w:r>
    </w:p>
    <w:p w14:paraId="7B8ACD96" w14:textId="77777777" w:rsidR="00974257" w:rsidRPr="00974257" w:rsidRDefault="00974257" w:rsidP="00974257">
      <w:pPr>
        <w:spacing w:before="120" w:after="120"/>
        <w:jc w:val="both"/>
        <w:rPr>
          <w:sz w:val="22"/>
          <w:szCs w:val="22"/>
          <w:lang w:val="en-GB"/>
        </w:rPr>
      </w:pPr>
      <w:r w:rsidRPr="00974257">
        <w:rPr>
          <w:b/>
          <w:sz w:val="22"/>
          <w:szCs w:val="22"/>
          <w:lang w:val="en-GB"/>
        </w:rPr>
        <w:t>Table 21.</w:t>
      </w:r>
      <w:r>
        <w:rPr>
          <w:sz w:val="22"/>
          <w:szCs w:val="22"/>
          <w:lang w:val="en-GB"/>
        </w:rPr>
        <w:tab/>
        <w:t>Baselines, targets and project indicators for Outcome 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4"/>
        <w:gridCol w:w="3008"/>
        <w:gridCol w:w="3040"/>
      </w:tblGrid>
      <w:tr w:rsidR="00974257" w:rsidRPr="005A668F" w14:paraId="33083593" w14:textId="77777777" w:rsidTr="004B053A">
        <w:tc>
          <w:tcPr>
            <w:tcW w:w="3081" w:type="dxa"/>
            <w:shd w:val="clear" w:color="auto" w:fill="auto"/>
            <w:vAlign w:val="center"/>
          </w:tcPr>
          <w:p w14:paraId="16FDFEA3" w14:textId="77777777" w:rsidR="00974257" w:rsidRPr="004B053A" w:rsidRDefault="00974257" w:rsidP="004B053A">
            <w:pPr>
              <w:jc w:val="center"/>
              <w:rPr>
                <w:b/>
                <w:sz w:val="20"/>
                <w:szCs w:val="20"/>
              </w:rPr>
            </w:pPr>
            <w:r w:rsidRPr="004B053A">
              <w:rPr>
                <w:b/>
                <w:sz w:val="20"/>
                <w:szCs w:val="20"/>
              </w:rPr>
              <w:t>Baselines</w:t>
            </w:r>
          </w:p>
        </w:tc>
        <w:tc>
          <w:tcPr>
            <w:tcW w:w="3082" w:type="dxa"/>
            <w:shd w:val="clear" w:color="auto" w:fill="auto"/>
            <w:vAlign w:val="center"/>
          </w:tcPr>
          <w:p w14:paraId="291E7288" w14:textId="77777777" w:rsidR="00974257" w:rsidRPr="004B053A" w:rsidRDefault="00974257" w:rsidP="004B053A">
            <w:pPr>
              <w:jc w:val="center"/>
              <w:rPr>
                <w:b/>
                <w:sz w:val="20"/>
                <w:szCs w:val="20"/>
              </w:rPr>
            </w:pPr>
            <w:r w:rsidRPr="004B053A">
              <w:rPr>
                <w:b/>
                <w:sz w:val="20"/>
                <w:szCs w:val="20"/>
              </w:rPr>
              <w:t>Targets</w:t>
            </w:r>
          </w:p>
        </w:tc>
        <w:tc>
          <w:tcPr>
            <w:tcW w:w="3082" w:type="dxa"/>
            <w:shd w:val="clear" w:color="auto" w:fill="auto"/>
            <w:vAlign w:val="center"/>
          </w:tcPr>
          <w:p w14:paraId="101C918B" w14:textId="77777777" w:rsidR="00974257" w:rsidRPr="004B053A" w:rsidRDefault="00974257" w:rsidP="004B053A">
            <w:pPr>
              <w:jc w:val="center"/>
              <w:rPr>
                <w:b/>
                <w:sz w:val="20"/>
                <w:szCs w:val="20"/>
              </w:rPr>
            </w:pPr>
            <w:r w:rsidRPr="004B053A">
              <w:rPr>
                <w:b/>
                <w:sz w:val="20"/>
                <w:szCs w:val="20"/>
              </w:rPr>
              <w:t>Indicator</w:t>
            </w:r>
            <w:r w:rsidR="00AE215D" w:rsidRPr="004B053A">
              <w:rPr>
                <w:b/>
                <w:sz w:val="20"/>
                <w:szCs w:val="20"/>
              </w:rPr>
              <w:t>s</w:t>
            </w:r>
          </w:p>
        </w:tc>
      </w:tr>
      <w:tr w:rsidR="00974257" w:rsidRPr="005A668F" w14:paraId="3FFE77EF" w14:textId="77777777" w:rsidTr="004B053A">
        <w:trPr>
          <w:trHeight w:val="20"/>
        </w:trPr>
        <w:tc>
          <w:tcPr>
            <w:tcW w:w="3081" w:type="dxa"/>
            <w:shd w:val="clear" w:color="auto" w:fill="auto"/>
            <w:vAlign w:val="center"/>
          </w:tcPr>
          <w:p w14:paraId="5CFC0518" w14:textId="77777777" w:rsidR="00974257" w:rsidRPr="004B053A" w:rsidRDefault="00AE215D" w:rsidP="00576735">
            <w:pPr>
              <w:rPr>
                <w:sz w:val="20"/>
                <w:szCs w:val="20"/>
              </w:rPr>
            </w:pPr>
            <w:r w:rsidRPr="004B053A">
              <w:rPr>
                <w:sz w:val="20"/>
                <w:szCs w:val="20"/>
              </w:rPr>
              <w:t>14 percent (246,122 ha) of mangrove area in SCS presently managed as national park or protected area</w:t>
            </w:r>
          </w:p>
        </w:tc>
        <w:tc>
          <w:tcPr>
            <w:tcW w:w="3082" w:type="dxa"/>
            <w:shd w:val="clear" w:color="auto" w:fill="auto"/>
            <w:vAlign w:val="center"/>
          </w:tcPr>
          <w:p w14:paraId="4B5C4881" w14:textId="77777777" w:rsidR="00974257" w:rsidRPr="004B053A" w:rsidRDefault="00AE215D" w:rsidP="00576735">
            <w:pPr>
              <w:rPr>
                <w:sz w:val="20"/>
                <w:szCs w:val="20"/>
              </w:rPr>
            </w:pPr>
            <w:r w:rsidRPr="004B053A">
              <w:rPr>
                <w:sz w:val="20"/>
                <w:szCs w:val="20"/>
              </w:rPr>
              <w:t>1.1.1 Declaration of 57,400 ha of mangrove as National Parks and Protected Areas</w:t>
            </w:r>
          </w:p>
        </w:tc>
        <w:tc>
          <w:tcPr>
            <w:tcW w:w="3082" w:type="dxa"/>
            <w:shd w:val="clear" w:color="auto" w:fill="auto"/>
            <w:vAlign w:val="center"/>
          </w:tcPr>
          <w:p w14:paraId="2E564E16" w14:textId="77777777" w:rsidR="00974257" w:rsidRPr="004B053A" w:rsidRDefault="00AE215D" w:rsidP="00576735">
            <w:pPr>
              <w:rPr>
                <w:sz w:val="20"/>
                <w:szCs w:val="20"/>
              </w:rPr>
            </w:pPr>
            <w:r w:rsidRPr="004B053A">
              <w:rPr>
                <w:sz w:val="20"/>
                <w:szCs w:val="20"/>
              </w:rPr>
              <w:t>Total area (ha) of mangrove designated as national park or protected area</w:t>
            </w:r>
          </w:p>
        </w:tc>
      </w:tr>
      <w:tr w:rsidR="00AE215D" w:rsidRPr="005A668F" w14:paraId="09E56E11" w14:textId="77777777" w:rsidTr="004B053A">
        <w:trPr>
          <w:trHeight w:val="20"/>
        </w:trPr>
        <w:tc>
          <w:tcPr>
            <w:tcW w:w="3081" w:type="dxa"/>
            <w:shd w:val="clear" w:color="auto" w:fill="auto"/>
            <w:vAlign w:val="center"/>
          </w:tcPr>
          <w:p w14:paraId="204BF2C7" w14:textId="77777777" w:rsidR="00AE215D" w:rsidRPr="004B053A" w:rsidRDefault="00AE215D" w:rsidP="00576735">
            <w:pPr>
              <w:rPr>
                <w:sz w:val="20"/>
                <w:szCs w:val="20"/>
              </w:rPr>
            </w:pPr>
            <w:r w:rsidRPr="004B053A">
              <w:rPr>
                <w:sz w:val="20"/>
                <w:szCs w:val="20"/>
              </w:rPr>
              <w:t>13 percent (225,512 ha) of mangrove area in SCS presently managed as non-conversion, extractive resource use areas (fish, crabs etc.)</w:t>
            </w:r>
          </w:p>
        </w:tc>
        <w:tc>
          <w:tcPr>
            <w:tcW w:w="3082" w:type="dxa"/>
            <w:shd w:val="clear" w:color="auto" w:fill="auto"/>
            <w:vAlign w:val="center"/>
          </w:tcPr>
          <w:p w14:paraId="1CAD85CD" w14:textId="77777777" w:rsidR="00AE215D" w:rsidRPr="004B053A" w:rsidRDefault="00AE215D" w:rsidP="00576735">
            <w:pPr>
              <w:rPr>
                <w:sz w:val="20"/>
                <w:szCs w:val="20"/>
              </w:rPr>
            </w:pPr>
            <w:r w:rsidRPr="004B053A">
              <w:rPr>
                <w:sz w:val="20"/>
                <w:szCs w:val="20"/>
              </w:rPr>
              <w:t>1.1.2 Designation and plans for the management of 166,600 ha of mangrove as non-conversion, sustainable use areas</w:t>
            </w:r>
          </w:p>
        </w:tc>
        <w:tc>
          <w:tcPr>
            <w:tcW w:w="3082" w:type="dxa"/>
            <w:shd w:val="clear" w:color="auto" w:fill="auto"/>
            <w:vAlign w:val="center"/>
          </w:tcPr>
          <w:p w14:paraId="47F2C437" w14:textId="77777777" w:rsidR="00AE215D" w:rsidRPr="004B053A" w:rsidRDefault="00AE215D" w:rsidP="00AE215D">
            <w:pPr>
              <w:rPr>
                <w:sz w:val="20"/>
                <w:szCs w:val="20"/>
              </w:rPr>
            </w:pPr>
            <w:r w:rsidRPr="004B053A">
              <w:rPr>
                <w:sz w:val="20"/>
                <w:szCs w:val="20"/>
              </w:rPr>
              <w:t>Status of endorsement of management plans</w:t>
            </w:r>
          </w:p>
          <w:p w14:paraId="475E5B68" w14:textId="77777777" w:rsidR="00AE215D" w:rsidRPr="004B053A" w:rsidRDefault="00AE215D" w:rsidP="00AE215D">
            <w:pPr>
              <w:rPr>
                <w:sz w:val="20"/>
                <w:szCs w:val="20"/>
              </w:rPr>
            </w:pPr>
            <w:r w:rsidRPr="004B053A">
              <w:rPr>
                <w:sz w:val="20"/>
                <w:szCs w:val="20"/>
              </w:rPr>
              <w:t>Total area (ha) of mangrove under management plan for sustainable use</w:t>
            </w:r>
          </w:p>
        </w:tc>
      </w:tr>
      <w:tr w:rsidR="00AE215D" w:rsidRPr="005A668F" w14:paraId="5D28BAF5" w14:textId="77777777" w:rsidTr="004B053A">
        <w:trPr>
          <w:trHeight w:val="20"/>
        </w:trPr>
        <w:tc>
          <w:tcPr>
            <w:tcW w:w="3081" w:type="dxa"/>
            <w:shd w:val="clear" w:color="auto" w:fill="auto"/>
            <w:vAlign w:val="center"/>
          </w:tcPr>
          <w:p w14:paraId="41BC2804" w14:textId="77777777" w:rsidR="00AE215D" w:rsidRPr="004B053A" w:rsidRDefault="00AE215D" w:rsidP="00576735">
            <w:pPr>
              <w:rPr>
                <w:sz w:val="20"/>
                <w:szCs w:val="20"/>
              </w:rPr>
            </w:pPr>
            <w:r w:rsidRPr="004B053A">
              <w:rPr>
                <w:sz w:val="20"/>
                <w:szCs w:val="20"/>
              </w:rPr>
              <w:t>Legal frameworks to enable sustainable management of an estimated 56 percent of mangrove area in the SCS</w:t>
            </w:r>
          </w:p>
        </w:tc>
        <w:tc>
          <w:tcPr>
            <w:tcW w:w="3082" w:type="dxa"/>
            <w:shd w:val="clear" w:color="auto" w:fill="auto"/>
            <w:vAlign w:val="center"/>
          </w:tcPr>
          <w:p w14:paraId="6A57F0E0" w14:textId="77777777" w:rsidR="00AE215D" w:rsidRPr="004B053A" w:rsidRDefault="00AE215D" w:rsidP="00576735">
            <w:pPr>
              <w:rPr>
                <w:sz w:val="20"/>
                <w:szCs w:val="20"/>
              </w:rPr>
            </w:pPr>
            <w:r w:rsidRPr="004B053A">
              <w:rPr>
                <w:sz w:val="20"/>
                <w:szCs w:val="20"/>
                <w:lang w:val="en-GB"/>
              </w:rPr>
              <w:t>1.1.3 Reform of laws and regulations for the sustainable use of 602,800 ha of mangrove forest</w:t>
            </w:r>
          </w:p>
        </w:tc>
        <w:tc>
          <w:tcPr>
            <w:tcW w:w="3082" w:type="dxa"/>
            <w:shd w:val="clear" w:color="auto" w:fill="auto"/>
            <w:vAlign w:val="center"/>
          </w:tcPr>
          <w:p w14:paraId="4AC0AFE5" w14:textId="77777777" w:rsidR="00AE215D" w:rsidRPr="004B053A" w:rsidRDefault="00AE215D" w:rsidP="00AE215D">
            <w:pPr>
              <w:rPr>
                <w:sz w:val="20"/>
                <w:szCs w:val="20"/>
              </w:rPr>
            </w:pPr>
            <w:r w:rsidRPr="004B053A">
              <w:rPr>
                <w:sz w:val="20"/>
                <w:szCs w:val="20"/>
              </w:rPr>
              <w:t>Total area (ha) of presently unmanaged mangrove for which regulations/ordinances are adopted to enable sustainable management</w:t>
            </w:r>
          </w:p>
        </w:tc>
      </w:tr>
      <w:tr w:rsidR="00AE215D" w:rsidRPr="005A668F" w14:paraId="084A2D1B" w14:textId="77777777" w:rsidTr="004B053A">
        <w:trPr>
          <w:trHeight w:val="20"/>
        </w:trPr>
        <w:tc>
          <w:tcPr>
            <w:tcW w:w="3081" w:type="dxa"/>
            <w:shd w:val="clear" w:color="auto" w:fill="auto"/>
            <w:vAlign w:val="center"/>
          </w:tcPr>
          <w:p w14:paraId="7E992FE1" w14:textId="77777777" w:rsidR="00AE215D" w:rsidRPr="004B053A" w:rsidRDefault="00AE215D" w:rsidP="00576735">
            <w:pPr>
              <w:rPr>
                <w:sz w:val="20"/>
                <w:szCs w:val="20"/>
              </w:rPr>
            </w:pPr>
            <w:r w:rsidRPr="004B053A">
              <w:rPr>
                <w:sz w:val="20"/>
                <w:szCs w:val="20"/>
              </w:rPr>
              <w:t>Decadal rate of loss of total mangrove area from SCS is estimated at 16 percent</w:t>
            </w:r>
          </w:p>
        </w:tc>
        <w:tc>
          <w:tcPr>
            <w:tcW w:w="3082" w:type="dxa"/>
            <w:shd w:val="clear" w:color="auto" w:fill="auto"/>
            <w:vAlign w:val="center"/>
          </w:tcPr>
          <w:p w14:paraId="55CEB3A3" w14:textId="77777777" w:rsidR="00AE215D" w:rsidRPr="004B053A" w:rsidRDefault="00AE215D" w:rsidP="00576735">
            <w:pPr>
              <w:rPr>
                <w:sz w:val="20"/>
                <w:szCs w:val="20"/>
                <w:lang w:val="en-GB"/>
              </w:rPr>
            </w:pPr>
            <w:r w:rsidRPr="004B053A">
              <w:rPr>
                <w:sz w:val="20"/>
                <w:szCs w:val="20"/>
                <w:lang w:val="en-GB"/>
              </w:rPr>
              <w:t>1.1.4 Replanting of 21,000 ha of deforested mangrove land</w:t>
            </w:r>
          </w:p>
        </w:tc>
        <w:tc>
          <w:tcPr>
            <w:tcW w:w="3082" w:type="dxa"/>
            <w:shd w:val="clear" w:color="auto" w:fill="auto"/>
            <w:vAlign w:val="center"/>
          </w:tcPr>
          <w:p w14:paraId="75CE5971" w14:textId="77777777" w:rsidR="00AE215D" w:rsidRPr="004B053A" w:rsidRDefault="00AE215D" w:rsidP="00AE215D">
            <w:pPr>
              <w:rPr>
                <w:sz w:val="20"/>
                <w:szCs w:val="20"/>
              </w:rPr>
            </w:pPr>
            <w:r w:rsidRPr="004B053A">
              <w:rPr>
                <w:sz w:val="20"/>
                <w:szCs w:val="20"/>
              </w:rPr>
              <w:t>Total area (ha) of deforested mangrove land rehabilitated</w:t>
            </w:r>
          </w:p>
        </w:tc>
      </w:tr>
      <w:tr w:rsidR="00AE215D" w:rsidRPr="005A668F" w14:paraId="0D80DA27" w14:textId="77777777" w:rsidTr="004B053A">
        <w:trPr>
          <w:trHeight w:val="20"/>
        </w:trPr>
        <w:tc>
          <w:tcPr>
            <w:tcW w:w="3081" w:type="dxa"/>
            <w:shd w:val="clear" w:color="auto" w:fill="auto"/>
            <w:vAlign w:val="center"/>
          </w:tcPr>
          <w:p w14:paraId="20B10B66" w14:textId="77777777" w:rsidR="00AE215D" w:rsidRPr="004B053A" w:rsidRDefault="00AE215D" w:rsidP="00AE215D">
            <w:pPr>
              <w:rPr>
                <w:sz w:val="20"/>
                <w:szCs w:val="20"/>
              </w:rPr>
            </w:pPr>
            <w:r w:rsidRPr="004B053A">
              <w:rPr>
                <w:sz w:val="20"/>
                <w:szCs w:val="20"/>
              </w:rPr>
              <w:t>Predominantly single-species mangrove reforestation initiatives over recent decades have compromised biodiversity and hazard risk reduction potential of rehabilitated mangrove areas</w:t>
            </w:r>
          </w:p>
        </w:tc>
        <w:tc>
          <w:tcPr>
            <w:tcW w:w="3082" w:type="dxa"/>
            <w:shd w:val="clear" w:color="auto" w:fill="auto"/>
            <w:vAlign w:val="center"/>
          </w:tcPr>
          <w:p w14:paraId="430F1070" w14:textId="77777777" w:rsidR="00AE215D" w:rsidRPr="004B053A" w:rsidRDefault="00AE215D" w:rsidP="00576735">
            <w:pPr>
              <w:rPr>
                <w:sz w:val="20"/>
                <w:szCs w:val="20"/>
                <w:lang w:val="en-GB"/>
              </w:rPr>
            </w:pPr>
            <w:r w:rsidRPr="004B053A">
              <w:rPr>
                <w:sz w:val="20"/>
                <w:szCs w:val="20"/>
                <w:lang w:val="en-GB"/>
              </w:rPr>
              <w:t>1.1.5 Biodiversity increased for 11,200 ha of mangrove forest via enrichment planting</w:t>
            </w:r>
          </w:p>
        </w:tc>
        <w:tc>
          <w:tcPr>
            <w:tcW w:w="3082" w:type="dxa"/>
            <w:shd w:val="clear" w:color="auto" w:fill="auto"/>
            <w:vAlign w:val="center"/>
          </w:tcPr>
          <w:p w14:paraId="33F65DFF" w14:textId="77777777" w:rsidR="00AE215D" w:rsidRPr="004B053A" w:rsidRDefault="00AE215D" w:rsidP="00AE215D">
            <w:pPr>
              <w:rPr>
                <w:sz w:val="20"/>
                <w:szCs w:val="20"/>
              </w:rPr>
            </w:pPr>
            <w:r w:rsidRPr="004B053A">
              <w:rPr>
                <w:sz w:val="20"/>
                <w:szCs w:val="20"/>
              </w:rPr>
              <w:t>Measures of ecological &amp; environmental indicators at enrichment planting sites: forest cover; number and diversity of true mangrove species; and size and abundance of Scylla spp and Sesarma spp</w:t>
            </w:r>
          </w:p>
        </w:tc>
      </w:tr>
    </w:tbl>
    <w:p w14:paraId="233DCDD5" w14:textId="77777777" w:rsidR="00041901" w:rsidRDefault="00041901" w:rsidP="00041901">
      <w:pPr>
        <w:spacing w:before="120" w:after="120"/>
        <w:jc w:val="both"/>
        <w:rPr>
          <w:sz w:val="22"/>
          <w:szCs w:val="22"/>
          <w:lang w:val="en-GB"/>
        </w:rPr>
      </w:pPr>
    </w:p>
    <w:p w14:paraId="150E18AF" w14:textId="77777777" w:rsidR="00AF5F54" w:rsidRPr="00AF5F54" w:rsidRDefault="00AF5F54" w:rsidP="00AF5F54">
      <w:pPr>
        <w:spacing w:after="120"/>
        <w:ind w:left="1440" w:hanging="1440"/>
        <w:jc w:val="both"/>
        <w:rPr>
          <w:b/>
          <w:sz w:val="22"/>
          <w:szCs w:val="22"/>
          <w:lang w:val="en-GB"/>
        </w:rPr>
      </w:pPr>
      <w:r w:rsidRPr="001C6FEA">
        <w:rPr>
          <w:b/>
          <w:sz w:val="22"/>
          <w:szCs w:val="22"/>
          <w:lang w:val="en-GB"/>
        </w:rPr>
        <w:t>Outcome 1.</w:t>
      </w:r>
      <w:r>
        <w:rPr>
          <w:b/>
          <w:sz w:val="22"/>
          <w:szCs w:val="22"/>
          <w:lang w:val="en-GB"/>
        </w:rPr>
        <w:t>2</w:t>
      </w:r>
      <w:r w:rsidRPr="001C6FEA">
        <w:rPr>
          <w:b/>
          <w:sz w:val="22"/>
          <w:szCs w:val="22"/>
          <w:lang w:val="en-GB"/>
        </w:rPr>
        <w:t xml:space="preserve"> </w:t>
      </w:r>
      <w:r w:rsidRPr="001C6FEA">
        <w:rPr>
          <w:b/>
          <w:sz w:val="22"/>
          <w:szCs w:val="22"/>
          <w:lang w:val="en-GB"/>
        </w:rPr>
        <w:tab/>
      </w:r>
      <w:r w:rsidRPr="00AF5F54">
        <w:rPr>
          <w:b/>
          <w:sz w:val="22"/>
          <w:szCs w:val="22"/>
          <w:lang w:val="en-GB"/>
        </w:rPr>
        <w:t>153,</w:t>
      </w:r>
      <w:r w:rsidR="005A07CE">
        <w:rPr>
          <w:b/>
          <w:sz w:val="22"/>
          <w:szCs w:val="22"/>
          <w:lang w:val="en-GB"/>
        </w:rPr>
        <w:t>8</w:t>
      </w:r>
      <w:r w:rsidRPr="00AF5F54">
        <w:rPr>
          <w:b/>
          <w:sz w:val="22"/>
          <w:szCs w:val="22"/>
          <w:lang w:val="en-GB"/>
        </w:rPr>
        <w:t>00 ha of coral reef at 82 priority sites managed sustainably by Yr 5, including a reduction in the decadal rate of degradation in live coral cover from 16 to 5%</w:t>
      </w:r>
    </w:p>
    <w:p w14:paraId="58D59CCF" w14:textId="77777777" w:rsidR="00AF5F54" w:rsidRPr="00C91603" w:rsidRDefault="00AF5F54" w:rsidP="00C91603">
      <w:pPr>
        <w:numPr>
          <w:ilvl w:val="0"/>
          <w:numId w:val="3"/>
        </w:numPr>
        <w:spacing w:after="120"/>
        <w:ind w:left="0" w:firstLine="0"/>
        <w:jc w:val="both"/>
        <w:rPr>
          <w:sz w:val="22"/>
          <w:szCs w:val="22"/>
        </w:rPr>
      </w:pPr>
      <w:r w:rsidRPr="00C91603">
        <w:rPr>
          <w:sz w:val="22"/>
          <w:szCs w:val="22"/>
        </w:rPr>
        <w:t xml:space="preserve">The characterisation of target coral reef sites bordering the South China Sea, including </w:t>
      </w:r>
      <w:r w:rsidRPr="00C91603">
        <w:rPr>
          <w:i/>
          <w:iCs/>
          <w:sz w:val="22"/>
          <w:szCs w:val="22"/>
        </w:rPr>
        <w:t>inter alia</w:t>
      </w:r>
      <w:r w:rsidRPr="00C91603">
        <w:rPr>
          <w:sz w:val="22"/>
          <w:szCs w:val="22"/>
        </w:rPr>
        <w:t xml:space="preserve"> their legal status and the effectiveness of management was undertaken in preparing the coral reef of component of the Strategic Action Programme. In the case of Cambodia, Indonesia, Malaysia and Thailand, the total coral reef area was estimated as being the same as the areas of targeted sites. The area of coral reefs in the 82 target coral reef sites is 217,000 ha (29% of the total area in the South China Sea excluding China) of which almost 100,000 ha (13% of the total area) at 61 sites was under management at the time of SAP development (</w:t>
      </w:r>
      <w:r w:rsidR="00C91603" w:rsidRPr="00C91603">
        <w:rPr>
          <w:sz w:val="22"/>
          <w:szCs w:val="22"/>
        </w:rPr>
        <w:t>Vo et al., 2013</w:t>
      </w:r>
      <w:r w:rsidRPr="00C91603">
        <w:rPr>
          <w:sz w:val="22"/>
          <w:szCs w:val="22"/>
        </w:rPr>
        <w:t xml:space="preserve">). In terms of management effectiveness, only around 16% of this area at thirteen sites was deemed as being successfully managed. Thirty seven percent of sites were considered to be moderately well managed (medium effectiveness) while, for 24% of the sites, management effectiveness is considered low and 23% have plans but </w:t>
      </w:r>
      <w:r w:rsidR="00C91603" w:rsidRPr="00C91603">
        <w:rPr>
          <w:sz w:val="22"/>
          <w:szCs w:val="22"/>
        </w:rPr>
        <w:t>no effective management.</w:t>
      </w:r>
    </w:p>
    <w:p w14:paraId="15ED83A0" w14:textId="77777777" w:rsidR="00C91603" w:rsidRDefault="00C91603" w:rsidP="001036EE">
      <w:pPr>
        <w:numPr>
          <w:ilvl w:val="0"/>
          <w:numId w:val="3"/>
        </w:numPr>
        <w:spacing w:after="120"/>
        <w:ind w:left="0" w:firstLine="0"/>
        <w:jc w:val="both"/>
        <w:rPr>
          <w:sz w:val="22"/>
          <w:szCs w:val="22"/>
        </w:rPr>
      </w:pPr>
      <w:r w:rsidRPr="00C91603">
        <w:rPr>
          <w:sz w:val="22"/>
          <w:szCs w:val="22"/>
        </w:rPr>
        <w:t>The general status of coral reef management in the South China Sea geographic region was also assessed as part of SAP development preparation and is summarized in Table 22. This summary was prepared on the basis of the best available information for 82 individual coral reef areas compiled in the national reports on coral reefs</w:t>
      </w:r>
      <w:r w:rsidRPr="00C91603">
        <w:rPr>
          <w:rStyle w:val="FootnoteReference"/>
          <w:sz w:val="22"/>
          <w:szCs w:val="22"/>
        </w:rPr>
        <w:footnoteReference w:id="64"/>
      </w:r>
      <w:r w:rsidRPr="00C91603">
        <w:rPr>
          <w:sz w:val="22"/>
          <w:szCs w:val="22"/>
        </w:rPr>
        <w:t>. The area identified by the RWG-CR to be added to the total area managed sustainably by the year 2015 was approximately 54,000 ha. This would increase the total area under sustainable management to</w:t>
      </w:r>
      <w:r w:rsidR="00576735">
        <w:rPr>
          <w:sz w:val="22"/>
          <w:szCs w:val="22"/>
        </w:rPr>
        <w:t xml:space="preserve"> 153,80</w:t>
      </w:r>
      <w:r w:rsidR="005A07CE">
        <w:rPr>
          <w:sz w:val="22"/>
          <w:szCs w:val="22"/>
        </w:rPr>
        <w:t>0</w:t>
      </w:r>
      <w:r w:rsidR="00576735">
        <w:rPr>
          <w:sz w:val="22"/>
          <w:szCs w:val="22"/>
        </w:rPr>
        <w:t>ha which represents</w:t>
      </w:r>
      <w:r w:rsidRPr="00C91603">
        <w:rPr>
          <w:sz w:val="22"/>
          <w:szCs w:val="22"/>
        </w:rPr>
        <w:t xml:space="preserve"> 20% of the total reef area of the South China Sea and 71% of the area of the target sites.</w:t>
      </w:r>
    </w:p>
    <w:p w14:paraId="53DF3D1B" w14:textId="77777777" w:rsidR="00C91603" w:rsidRDefault="001036EE" w:rsidP="001036EE">
      <w:pPr>
        <w:spacing w:after="120"/>
        <w:ind w:left="1440" w:hanging="1440"/>
        <w:jc w:val="both"/>
        <w:rPr>
          <w:sz w:val="22"/>
          <w:szCs w:val="22"/>
        </w:rPr>
      </w:pPr>
      <w:r w:rsidRPr="001036EE">
        <w:rPr>
          <w:b/>
          <w:sz w:val="22"/>
          <w:szCs w:val="22"/>
        </w:rPr>
        <w:t>Table 22</w:t>
      </w:r>
      <w:r w:rsidRPr="001036EE">
        <w:rPr>
          <w:sz w:val="22"/>
          <w:szCs w:val="22"/>
        </w:rPr>
        <w:tab/>
        <w:t xml:space="preserve">Status of Coral Reef Management in the South China Sea Biographic Region (based on </w:t>
      </w:r>
      <w:r>
        <w:rPr>
          <w:sz w:val="22"/>
          <w:szCs w:val="22"/>
        </w:rPr>
        <w:t>Vo et al., 2013</w:t>
      </w:r>
      <w:r w:rsidRPr="001036EE">
        <w:rPr>
          <w:sz w:val="22"/>
          <w:szCs w:val="22"/>
        </w:rPr>
        <w:t>) (Figures for area rounded to three significant figures)</w:t>
      </w:r>
    </w:p>
    <w:tbl>
      <w:tblPr>
        <w:tblW w:w="9496" w:type="dxa"/>
        <w:jc w:val="center"/>
        <w:tblLayout w:type="fixed"/>
        <w:tblLook w:val="0000" w:firstRow="0" w:lastRow="0" w:firstColumn="0" w:lastColumn="0" w:noHBand="0" w:noVBand="0"/>
      </w:tblPr>
      <w:tblGrid>
        <w:gridCol w:w="3245"/>
        <w:gridCol w:w="1052"/>
        <w:gridCol w:w="938"/>
        <w:gridCol w:w="800"/>
        <w:gridCol w:w="941"/>
        <w:gridCol w:w="840"/>
        <w:gridCol w:w="840"/>
        <w:gridCol w:w="840"/>
      </w:tblGrid>
      <w:tr w:rsidR="001036EE" w:rsidRPr="001036EE" w14:paraId="4F66CE38" w14:textId="77777777" w:rsidTr="00576735">
        <w:trPr>
          <w:trHeight w:val="150"/>
          <w:jc w:val="center"/>
        </w:trPr>
        <w:tc>
          <w:tcPr>
            <w:tcW w:w="3245" w:type="dxa"/>
            <w:tcBorders>
              <w:top w:val="nil"/>
              <w:left w:val="nil"/>
              <w:bottom w:val="single" w:sz="12" w:space="0" w:color="auto"/>
              <w:right w:val="single" w:sz="12" w:space="0" w:color="auto"/>
            </w:tcBorders>
            <w:shd w:val="clear" w:color="auto" w:fill="auto"/>
            <w:vAlign w:val="center"/>
          </w:tcPr>
          <w:p w14:paraId="3638268D" w14:textId="77777777" w:rsidR="001036EE" w:rsidRPr="001036EE" w:rsidRDefault="001036EE" w:rsidP="001036EE">
            <w:pPr>
              <w:jc w:val="center"/>
              <w:rPr>
                <w:rFonts w:ascii="Arial" w:hAnsi="Arial" w:cs="Arial"/>
                <w:sz w:val="16"/>
                <w:szCs w:val="16"/>
                <w:lang w:val="en-GB" w:bidi="th-TH"/>
              </w:rPr>
            </w:pPr>
            <w:r w:rsidRPr="001036EE">
              <w:rPr>
                <w:rFonts w:ascii="Arial" w:eastAsia="Arial Unicode MS" w:hAnsi="Arial" w:cs="Arial"/>
                <w:sz w:val="16"/>
                <w:szCs w:val="16"/>
                <w:lang w:val="en-GB" w:bidi="th-TH"/>
              </w:rPr>
              <w:t> </w:t>
            </w:r>
          </w:p>
        </w:tc>
        <w:tc>
          <w:tcPr>
            <w:tcW w:w="1052" w:type="dxa"/>
            <w:tcBorders>
              <w:top w:val="single" w:sz="12" w:space="0" w:color="auto"/>
              <w:left w:val="nil"/>
              <w:bottom w:val="single" w:sz="12" w:space="0" w:color="auto"/>
              <w:right w:val="single" w:sz="8" w:space="0" w:color="auto"/>
            </w:tcBorders>
            <w:shd w:val="clear" w:color="auto" w:fill="auto"/>
            <w:vAlign w:val="center"/>
          </w:tcPr>
          <w:p w14:paraId="232BBEB9" w14:textId="77777777" w:rsidR="001036EE" w:rsidRPr="001036EE" w:rsidRDefault="001036EE" w:rsidP="001036EE">
            <w:pPr>
              <w:spacing w:before="60" w:after="60"/>
              <w:ind w:left="-108" w:right="-108"/>
              <w:jc w:val="center"/>
              <w:rPr>
                <w:rFonts w:ascii="Arial" w:hAnsi="Arial" w:cs="Arial"/>
                <w:b/>
                <w:bCs/>
                <w:sz w:val="16"/>
                <w:szCs w:val="16"/>
                <w:lang w:val="en-GB" w:bidi="th-TH"/>
              </w:rPr>
            </w:pPr>
            <w:smartTag w:uri="urn:schemas-microsoft-com:office:smarttags" w:element="place">
              <w:smartTag w:uri="urn:schemas-microsoft-com:office:smarttags" w:element="country-region">
                <w:r w:rsidRPr="001036EE">
                  <w:rPr>
                    <w:rFonts w:ascii="Arial" w:hAnsi="Arial" w:cs="Arial"/>
                    <w:b/>
                    <w:bCs/>
                    <w:sz w:val="16"/>
                    <w:szCs w:val="16"/>
                    <w:lang w:val="en-GB" w:bidi="th-TH"/>
                  </w:rPr>
                  <w:t>Cambodia</w:t>
                </w:r>
              </w:smartTag>
            </w:smartTag>
          </w:p>
        </w:tc>
        <w:tc>
          <w:tcPr>
            <w:tcW w:w="938" w:type="dxa"/>
            <w:tcBorders>
              <w:top w:val="single" w:sz="12" w:space="0" w:color="auto"/>
              <w:left w:val="nil"/>
              <w:bottom w:val="single" w:sz="12" w:space="0" w:color="auto"/>
              <w:right w:val="single" w:sz="8" w:space="0" w:color="auto"/>
            </w:tcBorders>
            <w:shd w:val="clear" w:color="auto" w:fill="auto"/>
            <w:vAlign w:val="center"/>
          </w:tcPr>
          <w:p w14:paraId="60408E54" w14:textId="77777777" w:rsidR="001036EE" w:rsidRPr="001036EE" w:rsidRDefault="001036EE" w:rsidP="001036EE">
            <w:pPr>
              <w:spacing w:before="60" w:after="60"/>
              <w:ind w:left="-108" w:right="-108"/>
              <w:jc w:val="center"/>
              <w:rPr>
                <w:rFonts w:ascii="Arial" w:hAnsi="Arial" w:cs="Arial"/>
                <w:b/>
                <w:bCs/>
                <w:sz w:val="16"/>
                <w:szCs w:val="16"/>
                <w:lang w:val="en-GB" w:bidi="th-TH"/>
              </w:rPr>
            </w:pPr>
            <w:smartTag w:uri="urn:schemas-microsoft-com:office:smarttags" w:element="place">
              <w:smartTag w:uri="urn:schemas-microsoft-com:office:smarttags" w:element="country-region">
                <w:r w:rsidRPr="001036EE">
                  <w:rPr>
                    <w:rFonts w:ascii="Arial" w:hAnsi="Arial" w:cs="Arial"/>
                    <w:b/>
                    <w:bCs/>
                    <w:sz w:val="16"/>
                    <w:szCs w:val="16"/>
                    <w:lang w:val="en-GB" w:bidi="th-TH"/>
                  </w:rPr>
                  <w:t>Indonesia</w:t>
                </w:r>
              </w:smartTag>
            </w:smartTag>
            <w:r w:rsidRPr="001036EE">
              <w:rPr>
                <w:rFonts w:ascii="Arial" w:hAnsi="Arial" w:cs="Arial"/>
                <w:b/>
                <w:bCs/>
                <w:sz w:val="16"/>
                <w:szCs w:val="16"/>
                <w:lang w:val="en-GB" w:bidi="th-TH"/>
              </w:rPr>
              <w:t xml:space="preserve"> </w:t>
            </w:r>
          </w:p>
        </w:tc>
        <w:tc>
          <w:tcPr>
            <w:tcW w:w="800" w:type="dxa"/>
            <w:tcBorders>
              <w:top w:val="single" w:sz="12" w:space="0" w:color="auto"/>
              <w:left w:val="nil"/>
              <w:bottom w:val="single" w:sz="12" w:space="0" w:color="auto"/>
              <w:right w:val="single" w:sz="8" w:space="0" w:color="auto"/>
            </w:tcBorders>
            <w:shd w:val="clear" w:color="auto" w:fill="auto"/>
            <w:vAlign w:val="center"/>
          </w:tcPr>
          <w:p w14:paraId="27A12587" w14:textId="77777777" w:rsidR="001036EE" w:rsidRPr="001036EE" w:rsidRDefault="001036EE" w:rsidP="001036EE">
            <w:pPr>
              <w:spacing w:before="60" w:after="60"/>
              <w:ind w:left="-108" w:right="-108"/>
              <w:jc w:val="center"/>
              <w:rPr>
                <w:rFonts w:ascii="Arial" w:hAnsi="Arial" w:cs="Arial"/>
                <w:b/>
                <w:bCs/>
                <w:sz w:val="16"/>
                <w:szCs w:val="16"/>
                <w:lang w:val="en-GB" w:bidi="th-TH"/>
              </w:rPr>
            </w:pPr>
            <w:smartTag w:uri="urn:schemas-microsoft-com:office:smarttags" w:element="place">
              <w:smartTag w:uri="urn:schemas-microsoft-com:office:smarttags" w:element="country-region">
                <w:r w:rsidRPr="001036EE">
                  <w:rPr>
                    <w:rFonts w:ascii="Arial" w:hAnsi="Arial" w:cs="Arial"/>
                    <w:b/>
                    <w:bCs/>
                    <w:sz w:val="16"/>
                    <w:szCs w:val="16"/>
                    <w:lang w:val="en-GB" w:bidi="th-TH"/>
                  </w:rPr>
                  <w:t>Malaysia</w:t>
                </w:r>
              </w:smartTag>
            </w:smartTag>
          </w:p>
        </w:tc>
        <w:tc>
          <w:tcPr>
            <w:tcW w:w="941" w:type="dxa"/>
            <w:tcBorders>
              <w:top w:val="single" w:sz="12" w:space="0" w:color="auto"/>
              <w:left w:val="nil"/>
              <w:bottom w:val="single" w:sz="12" w:space="0" w:color="auto"/>
              <w:right w:val="single" w:sz="8" w:space="0" w:color="auto"/>
            </w:tcBorders>
            <w:shd w:val="clear" w:color="auto" w:fill="auto"/>
            <w:vAlign w:val="center"/>
          </w:tcPr>
          <w:p w14:paraId="6C296CEE" w14:textId="77777777" w:rsidR="001036EE" w:rsidRPr="001036EE" w:rsidRDefault="001036EE" w:rsidP="001036EE">
            <w:pPr>
              <w:spacing w:before="60" w:after="60"/>
              <w:ind w:left="-108" w:right="-108"/>
              <w:jc w:val="center"/>
              <w:rPr>
                <w:rFonts w:ascii="Arial" w:hAnsi="Arial" w:cs="Arial"/>
                <w:b/>
                <w:bCs/>
                <w:sz w:val="16"/>
                <w:szCs w:val="16"/>
                <w:lang w:val="en-GB" w:bidi="th-TH"/>
              </w:rPr>
            </w:pPr>
            <w:smartTag w:uri="urn:schemas-microsoft-com:office:smarttags" w:element="place">
              <w:smartTag w:uri="urn:schemas-microsoft-com:office:smarttags" w:element="country-region">
                <w:r w:rsidRPr="001036EE">
                  <w:rPr>
                    <w:rFonts w:ascii="Arial" w:hAnsi="Arial" w:cs="Arial"/>
                    <w:b/>
                    <w:bCs/>
                    <w:sz w:val="16"/>
                    <w:szCs w:val="16"/>
                    <w:lang w:val="en-GB" w:bidi="th-TH"/>
                  </w:rPr>
                  <w:t>Philippines</w:t>
                </w:r>
              </w:smartTag>
            </w:smartTag>
          </w:p>
        </w:tc>
        <w:tc>
          <w:tcPr>
            <w:tcW w:w="840" w:type="dxa"/>
            <w:tcBorders>
              <w:top w:val="single" w:sz="12" w:space="0" w:color="auto"/>
              <w:left w:val="nil"/>
              <w:bottom w:val="single" w:sz="12" w:space="0" w:color="auto"/>
              <w:right w:val="single" w:sz="8" w:space="0" w:color="auto"/>
            </w:tcBorders>
            <w:shd w:val="clear" w:color="auto" w:fill="auto"/>
            <w:vAlign w:val="center"/>
          </w:tcPr>
          <w:p w14:paraId="0C44CBD8" w14:textId="77777777" w:rsidR="001036EE" w:rsidRPr="001036EE" w:rsidRDefault="001036EE" w:rsidP="001036EE">
            <w:pPr>
              <w:spacing w:before="60" w:after="60"/>
              <w:ind w:left="-108" w:right="-108"/>
              <w:jc w:val="center"/>
              <w:rPr>
                <w:rFonts w:ascii="Arial" w:hAnsi="Arial" w:cs="Arial"/>
                <w:b/>
                <w:bCs/>
                <w:sz w:val="16"/>
                <w:szCs w:val="16"/>
                <w:lang w:val="en-GB" w:bidi="th-TH"/>
              </w:rPr>
            </w:pPr>
            <w:smartTag w:uri="urn:schemas-microsoft-com:office:smarttags" w:element="place">
              <w:smartTag w:uri="urn:schemas-microsoft-com:office:smarttags" w:element="country-region">
                <w:r w:rsidRPr="001036EE">
                  <w:rPr>
                    <w:rFonts w:ascii="Arial" w:hAnsi="Arial" w:cs="Arial"/>
                    <w:b/>
                    <w:bCs/>
                    <w:sz w:val="16"/>
                    <w:szCs w:val="16"/>
                    <w:lang w:val="en-GB" w:bidi="th-TH"/>
                  </w:rPr>
                  <w:t>Thailand</w:t>
                </w:r>
              </w:smartTag>
            </w:smartTag>
            <w:r w:rsidRPr="001036EE">
              <w:rPr>
                <w:rFonts w:ascii="Arial" w:hAnsi="Arial" w:cs="Arial"/>
                <w:b/>
                <w:bCs/>
                <w:sz w:val="16"/>
                <w:szCs w:val="16"/>
                <w:lang w:val="en-GB" w:bidi="th-TH"/>
              </w:rPr>
              <w:t xml:space="preserve"> </w:t>
            </w:r>
          </w:p>
        </w:tc>
        <w:tc>
          <w:tcPr>
            <w:tcW w:w="840" w:type="dxa"/>
            <w:tcBorders>
              <w:top w:val="single" w:sz="12" w:space="0" w:color="auto"/>
              <w:left w:val="nil"/>
              <w:bottom w:val="single" w:sz="12" w:space="0" w:color="auto"/>
              <w:right w:val="single" w:sz="8" w:space="0" w:color="auto"/>
            </w:tcBorders>
            <w:shd w:val="clear" w:color="auto" w:fill="auto"/>
            <w:vAlign w:val="center"/>
          </w:tcPr>
          <w:p w14:paraId="464CC7CE" w14:textId="77777777" w:rsidR="001036EE" w:rsidRPr="001036EE" w:rsidRDefault="001036EE" w:rsidP="001036EE">
            <w:pPr>
              <w:spacing w:before="60" w:after="60"/>
              <w:ind w:left="-108" w:right="-108"/>
              <w:jc w:val="center"/>
              <w:rPr>
                <w:rFonts w:ascii="Arial" w:hAnsi="Arial" w:cs="Arial"/>
                <w:b/>
                <w:bCs/>
                <w:sz w:val="16"/>
                <w:szCs w:val="16"/>
                <w:lang w:val="en-GB" w:bidi="th-TH"/>
              </w:rPr>
            </w:pPr>
            <w:smartTag w:uri="urn:schemas-microsoft-com:office:smarttags" w:element="place">
              <w:smartTag w:uri="urn:schemas-microsoft-com:office:smarttags" w:element="country-region">
                <w:r w:rsidRPr="001036EE">
                  <w:rPr>
                    <w:rFonts w:ascii="Arial" w:hAnsi="Arial" w:cs="Arial"/>
                    <w:b/>
                    <w:bCs/>
                    <w:sz w:val="16"/>
                    <w:szCs w:val="16"/>
                    <w:lang w:val="en-GB" w:bidi="th-TH"/>
                  </w:rPr>
                  <w:t>Viet Nam</w:t>
                </w:r>
              </w:smartTag>
            </w:smartTag>
            <w:r w:rsidRPr="001036EE">
              <w:rPr>
                <w:rFonts w:ascii="Arial" w:hAnsi="Arial" w:cs="Arial"/>
                <w:b/>
                <w:bCs/>
                <w:sz w:val="16"/>
                <w:szCs w:val="16"/>
                <w:lang w:val="en-GB" w:bidi="th-TH"/>
              </w:rPr>
              <w:t xml:space="preserve"> </w:t>
            </w:r>
          </w:p>
        </w:tc>
        <w:tc>
          <w:tcPr>
            <w:tcW w:w="840" w:type="dxa"/>
            <w:tcBorders>
              <w:top w:val="single" w:sz="12" w:space="0" w:color="auto"/>
              <w:left w:val="nil"/>
              <w:bottom w:val="single" w:sz="12" w:space="0" w:color="auto"/>
              <w:right w:val="single" w:sz="12" w:space="0" w:color="auto"/>
            </w:tcBorders>
            <w:shd w:val="clear" w:color="auto" w:fill="auto"/>
            <w:vAlign w:val="center"/>
          </w:tcPr>
          <w:p w14:paraId="0A99F55E" w14:textId="77777777" w:rsidR="001036EE" w:rsidRPr="001036EE" w:rsidRDefault="001036EE" w:rsidP="001036EE">
            <w:pPr>
              <w:spacing w:before="60" w:after="60"/>
              <w:jc w:val="center"/>
              <w:rPr>
                <w:rFonts w:ascii="Arial" w:hAnsi="Arial" w:cs="Arial"/>
                <w:b/>
                <w:bCs/>
                <w:sz w:val="16"/>
                <w:szCs w:val="16"/>
                <w:lang w:val="en-GB" w:bidi="th-TH"/>
              </w:rPr>
            </w:pPr>
            <w:r w:rsidRPr="001036EE">
              <w:rPr>
                <w:rFonts w:ascii="Arial" w:hAnsi="Arial" w:cs="Arial"/>
                <w:b/>
                <w:bCs/>
                <w:sz w:val="16"/>
                <w:szCs w:val="16"/>
                <w:lang w:val="en-GB" w:bidi="th-TH"/>
              </w:rPr>
              <w:t>Total</w:t>
            </w:r>
          </w:p>
        </w:tc>
      </w:tr>
      <w:tr w:rsidR="001036EE" w:rsidRPr="001036EE" w14:paraId="01B49BA0" w14:textId="77777777" w:rsidTr="00576735">
        <w:trPr>
          <w:trHeight w:val="303"/>
          <w:jc w:val="center"/>
        </w:trPr>
        <w:tc>
          <w:tcPr>
            <w:tcW w:w="3245" w:type="dxa"/>
            <w:tcBorders>
              <w:top w:val="nil"/>
              <w:left w:val="single" w:sz="12" w:space="0" w:color="auto"/>
              <w:bottom w:val="single" w:sz="8" w:space="0" w:color="auto"/>
              <w:right w:val="single" w:sz="8" w:space="0" w:color="auto"/>
            </w:tcBorders>
            <w:shd w:val="clear" w:color="auto" w:fill="auto"/>
            <w:vAlign w:val="center"/>
          </w:tcPr>
          <w:p w14:paraId="36022797" w14:textId="77777777" w:rsidR="001036EE" w:rsidRPr="001036EE" w:rsidRDefault="001036EE" w:rsidP="001036EE">
            <w:pPr>
              <w:spacing w:before="20" w:after="20"/>
              <w:ind w:left="-62" w:right="-97"/>
              <w:rPr>
                <w:rFonts w:ascii="Arial" w:hAnsi="Arial" w:cs="Arial"/>
                <w:sz w:val="16"/>
                <w:szCs w:val="16"/>
                <w:lang w:val="en-GB" w:bidi="th-TH"/>
              </w:rPr>
            </w:pPr>
            <w:r w:rsidRPr="001036EE">
              <w:rPr>
                <w:rFonts w:ascii="Arial" w:hAnsi="Arial" w:cs="Arial"/>
                <w:sz w:val="16"/>
                <w:szCs w:val="16"/>
                <w:lang w:val="en-GB" w:bidi="th-TH"/>
              </w:rPr>
              <w:t xml:space="preserve">Total coral reef area in the </w:t>
            </w:r>
            <w:smartTag w:uri="urn:schemas-microsoft-com:office:smarttags" w:element="place">
              <w:r w:rsidRPr="001036EE">
                <w:rPr>
                  <w:rFonts w:ascii="Arial" w:hAnsi="Arial" w:cs="Arial"/>
                  <w:sz w:val="16"/>
                  <w:szCs w:val="16"/>
                  <w:lang w:val="en-GB" w:bidi="th-TH"/>
                </w:rPr>
                <w:t>South China Sea</w:t>
              </w:r>
            </w:smartTag>
            <w:r w:rsidRPr="001036EE">
              <w:rPr>
                <w:rFonts w:ascii="Arial" w:hAnsi="Arial" w:cs="Arial"/>
                <w:sz w:val="16"/>
                <w:szCs w:val="16"/>
                <w:lang w:val="en-GB" w:bidi="th-TH"/>
              </w:rPr>
              <w:t xml:space="preserve"> (ha)</w:t>
            </w:r>
          </w:p>
        </w:tc>
        <w:tc>
          <w:tcPr>
            <w:tcW w:w="1052" w:type="dxa"/>
            <w:tcBorders>
              <w:top w:val="nil"/>
              <w:left w:val="nil"/>
              <w:bottom w:val="single" w:sz="8" w:space="0" w:color="auto"/>
              <w:right w:val="single" w:sz="8" w:space="0" w:color="auto"/>
            </w:tcBorders>
            <w:shd w:val="clear" w:color="auto" w:fill="auto"/>
            <w:vAlign w:val="center"/>
          </w:tcPr>
          <w:p w14:paraId="0BB59F41"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2,808</w:t>
            </w:r>
          </w:p>
        </w:tc>
        <w:tc>
          <w:tcPr>
            <w:tcW w:w="938" w:type="dxa"/>
            <w:tcBorders>
              <w:top w:val="nil"/>
              <w:left w:val="nil"/>
              <w:bottom w:val="single" w:sz="8" w:space="0" w:color="auto"/>
              <w:right w:val="single" w:sz="8" w:space="0" w:color="auto"/>
            </w:tcBorders>
            <w:shd w:val="clear" w:color="auto" w:fill="auto"/>
            <w:vAlign w:val="center"/>
          </w:tcPr>
          <w:p w14:paraId="51AB3A75"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39,300</w:t>
            </w:r>
          </w:p>
        </w:tc>
        <w:tc>
          <w:tcPr>
            <w:tcW w:w="800" w:type="dxa"/>
            <w:tcBorders>
              <w:top w:val="nil"/>
              <w:left w:val="nil"/>
              <w:bottom w:val="single" w:sz="8" w:space="0" w:color="auto"/>
              <w:right w:val="single" w:sz="8" w:space="0" w:color="auto"/>
            </w:tcBorders>
            <w:shd w:val="clear" w:color="auto" w:fill="auto"/>
            <w:vAlign w:val="center"/>
          </w:tcPr>
          <w:p w14:paraId="30EE7D09"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43,400</w:t>
            </w:r>
          </w:p>
        </w:tc>
        <w:tc>
          <w:tcPr>
            <w:tcW w:w="941" w:type="dxa"/>
            <w:tcBorders>
              <w:top w:val="nil"/>
              <w:left w:val="nil"/>
              <w:bottom w:val="single" w:sz="8" w:space="0" w:color="auto"/>
              <w:right w:val="single" w:sz="8" w:space="0" w:color="auto"/>
            </w:tcBorders>
            <w:shd w:val="clear" w:color="auto" w:fill="auto"/>
            <w:vAlign w:val="center"/>
          </w:tcPr>
          <w:p w14:paraId="483F96A3"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464,000</w:t>
            </w:r>
          </w:p>
        </w:tc>
        <w:tc>
          <w:tcPr>
            <w:tcW w:w="840" w:type="dxa"/>
            <w:tcBorders>
              <w:top w:val="nil"/>
              <w:left w:val="nil"/>
              <w:bottom w:val="single" w:sz="8" w:space="0" w:color="auto"/>
              <w:right w:val="single" w:sz="8" w:space="0" w:color="auto"/>
            </w:tcBorders>
            <w:shd w:val="clear" w:color="auto" w:fill="auto"/>
            <w:vAlign w:val="center"/>
          </w:tcPr>
          <w:p w14:paraId="4A82D949"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90,000</w:t>
            </w:r>
          </w:p>
        </w:tc>
        <w:tc>
          <w:tcPr>
            <w:tcW w:w="840" w:type="dxa"/>
            <w:tcBorders>
              <w:top w:val="nil"/>
              <w:left w:val="nil"/>
              <w:bottom w:val="single" w:sz="8" w:space="0" w:color="auto"/>
              <w:right w:val="single" w:sz="8" w:space="0" w:color="auto"/>
            </w:tcBorders>
            <w:shd w:val="clear" w:color="auto" w:fill="auto"/>
            <w:vAlign w:val="center"/>
          </w:tcPr>
          <w:p w14:paraId="18D698D8"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110,000</w:t>
            </w:r>
          </w:p>
        </w:tc>
        <w:tc>
          <w:tcPr>
            <w:tcW w:w="840" w:type="dxa"/>
            <w:tcBorders>
              <w:top w:val="nil"/>
              <w:left w:val="nil"/>
              <w:bottom w:val="single" w:sz="8" w:space="0" w:color="auto"/>
              <w:right w:val="single" w:sz="12" w:space="0" w:color="auto"/>
            </w:tcBorders>
            <w:shd w:val="clear" w:color="auto" w:fill="auto"/>
            <w:vAlign w:val="center"/>
          </w:tcPr>
          <w:p w14:paraId="7BB24957" w14:textId="77777777" w:rsidR="001036EE" w:rsidRPr="001036EE" w:rsidRDefault="001036EE" w:rsidP="001036EE">
            <w:pPr>
              <w:spacing w:before="20" w:after="20"/>
              <w:jc w:val="right"/>
              <w:rPr>
                <w:rFonts w:ascii="Arial" w:hAnsi="Arial" w:cs="Arial"/>
                <w:sz w:val="16"/>
                <w:szCs w:val="16"/>
                <w:lang w:val="en-GB" w:bidi="th-TH"/>
              </w:rPr>
            </w:pPr>
            <w:r w:rsidRPr="001036EE">
              <w:rPr>
                <w:rFonts w:ascii="Arial" w:hAnsi="Arial" w:cs="Arial"/>
                <w:sz w:val="16"/>
                <w:szCs w:val="16"/>
                <w:lang w:val="en-GB" w:bidi="th-TH"/>
              </w:rPr>
              <w:t>750,000</w:t>
            </w:r>
          </w:p>
        </w:tc>
      </w:tr>
      <w:tr w:rsidR="001036EE" w:rsidRPr="001036EE" w14:paraId="011CD707" w14:textId="77777777" w:rsidTr="00576735">
        <w:trPr>
          <w:trHeight w:val="178"/>
          <w:jc w:val="center"/>
        </w:trPr>
        <w:tc>
          <w:tcPr>
            <w:tcW w:w="3245" w:type="dxa"/>
            <w:tcBorders>
              <w:top w:val="nil"/>
              <w:left w:val="single" w:sz="12" w:space="0" w:color="auto"/>
              <w:bottom w:val="single" w:sz="8" w:space="0" w:color="auto"/>
              <w:right w:val="single" w:sz="8" w:space="0" w:color="auto"/>
            </w:tcBorders>
            <w:shd w:val="clear" w:color="auto" w:fill="auto"/>
            <w:vAlign w:val="center"/>
          </w:tcPr>
          <w:p w14:paraId="08C2F6E9" w14:textId="77777777" w:rsidR="001036EE" w:rsidRPr="001036EE" w:rsidRDefault="001036EE" w:rsidP="001036EE">
            <w:pPr>
              <w:spacing w:before="20" w:after="20"/>
              <w:ind w:left="-62" w:right="-97"/>
              <w:rPr>
                <w:rFonts w:ascii="Arial" w:hAnsi="Arial" w:cs="Arial"/>
                <w:sz w:val="16"/>
                <w:szCs w:val="16"/>
                <w:lang w:val="en-GB" w:bidi="th-TH"/>
              </w:rPr>
            </w:pPr>
            <w:r w:rsidRPr="001036EE">
              <w:rPr>
                <w:rFonts w:ascii="Arial" w:hAnsi="Arial" w:cs="Arial"/>
                <w:sz w:val="16"/>
                <w:szCs w:val="16"/>
                <w:lang w:val="en-GB" w:bidi="th-TH"/>
              </w:rPr>
              <w:t xml:space="preserve">Total coral reef area of the 82 target sites </w:t>
            </w:r>
          </w:p>
        </w:tc>
        <w:tc>
          <w:tcPr>
            <w:tcW w:w="1052" w:type="dxa"/>
            <w:tcBorders>
              <w:top w:val="nil"/>
              <w:left w:val="nil"/>
              <w:bottom w:val="single" w:sz="8" w:space="0" w:color="auto"/>
              <w:right w:val="single" w:sz="8" w:space="0" w:color="auto"/>
            </w:tcBorders>
            <w:shd w:val="clear" w:color="auto" w:fill="auto"/>
            <w:vAlign w:val="center"/>
          </w:tcPr>
          <w:p w14:paraId="3A86FB73"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2,808</w:t>
            </w:r>
          </w:p>
        </w:tc>
        <w:tc>
          <w:tcPr>
            <w:tcW w:w="938" w:type="dxa"/>
            <w:tcBorders>
              <w:top w:val="nil"/>
              <w:left w:val="nil"/>
              <w:bottom w:val="single" w:sz="8" w:space="0" w:color="auto"/>
              <w:right w:val="single" w:sz="8" w:space="0" w:color="auto"/>
            </w:tcBorders>
            <w:shd w:val="clear" w:color="auto" w:fill="auto"/>
            <w:vAlign w:val="center"/>
          </w:tcPr>
          <w:p w14:paraId="67693B17"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39,300</w:t>
            </w:r>
          </w:p>
        </w:tc>
        <w:tc>
          <w:tcPr>
            <w:tcW w:w="800" w:type="dxa"/>
            <w:tcBorders>
              <w:top w:val="nil"/>
              <w:left w:val="nil"/>
              <w:bottom w:val="single" w:sz="8" w:space="0" w:color="auto"/>
              <w:right w:val="single" w:sz="8" w:space="0" w:color="auto"/>
            </w:tcBorders>
            <w:shd w:val="clear" w:color="auto" w:fill="auto"/>
            <w:vAlign w:val="center"/>
          </w:tcPr>
          <w:p w14:paraId="4B0CC77B"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43,400</w:t>
            </w:r>
          </w:p>
        </w:tc>
        <w:tc>
          <w:tcPr>
            <w:tcW w:w="941" w:type="dxa"/>
            <w:tcBorders>
              <w:top w:val="nil"/>
              <w:left w:val="nil"/>
              <w:bottom w:val="single" w:sz="8" w:space="0" w:color="auto"/>
              <w:right w:val="single" w:sz="8" w:space="0" w:color="auto"/>
            </w:tcBorders>
            <w:shd w:val="clear" w:color="auto" w:fill="auto"/>
            <w:vAlign w:val="center"/>
          </w:tcPr>
          <w:p w14:paraId="444DA9A0"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36,700</w:t>
            </w:r>
          </w:p>
        </w:tc>
        <w:tc>
          <w:tcPr>
            <w:tcW w:w="840" w:type="dxa"/>
            <w:tcBorders>
              <w:top w:val="nil"/>
              <w:left w:val="nil"/>
              <w:bottom w:val="single" w:sz="8" w:space="0" w:color="auto"/>
              <w:right w:val="single" w:sz="8" w:space="0" w:color="auto"/>
            </w:tcBorders>
            <w:shd w:val="clear" w:color="auto" w:fill="auto"/>
            <w:vAlign w:val="center"/>
          </w:tcPr>
          <w:p w14:paraId="72714733"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89,530</w:t>
            </w:r>
          </w:p>
        </w:tc>
        <w:tc>
          <w:tcPr>
            <w:tcW w:w="840" w:type="dxa"/>
            <w:tcBorders>
              <w:top w:val="nil"/>
              <w:left w:val="nil"/>
              <w:bottom w:val="single" w:sz="8" w:space="0" w:color="auto"/>
              <w:right w:val="single" w:sz="8" w:space="0" w:color="auto"/>
            </w:tcBorders>
            <w:shd w:val="clear" w:color="auto" w:fill="auto"/>
            <w:vAlign w:val="center"/>
          </w:tcPr>
          <w:p w14:paraId="7EC554D4"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5,710</w:t>
            </w:r>
          </w:p>
        </w:tc>
        <w:tc>
          <w:tcPr>
            <w:tcW w:w="840" w:type="dxa"/>
            <w:tcBorders>
              <w:top w:val="nil"/>
              <w:left w:val="nil"/>
              <w:bottom w:val="single" w:sz="8" w:space="0" w:color="auto"/>
              <w:right w:val="single" w:sz="12" w:space="0" w:color="auto"/>
            </w:tcBorders>
            <w:shd w:val="clear" w:color="auto" w:fill="auto"/>
            <w:vAlign w:val="center"/>
          </w:tcPr>
          <w:p w14:paraId="73543908" w14:textId="77777777" w:rsidR="001036EE" w:rsidRPr="001036EE" w:rsidRDefault="001036EE" w:rsidP="001036EE">
            <w:pPr>
              <w:spacing w:before="20" w:after="20"/>
              <w:jc w:val="right"/>
              <w:rPr>
                <w:rFonts w:ascii="Arial" w:hAnsi="Arial" w:cs="Arial"/>
                <w:sz w:val="16"/>
                <w:szCs w:val="16"/>
                <w:lang w:val="en-GB" w:bidi="th-TH"/>
              </w:rPr>
            </w:pPr>
            <w:r w:rsidRPr="001036EE">
              <w:rPr>
                <w:rFonts w:ascii="Arial" w:hAnsi="Arial" w:cs="Arial"/>
                <w:sz w:val="16"/>
                <w:szCs w:val="16"/>
                <w:lang w:val="en-GB" w:bidi="th-TH"/>
              </w:rPr>
              <w:t>217,000</w:t>
            </w:r>
          </w:p>
        </w:tc>
      </w:tr>
      <w:tr w:rsidR="001036EE" w:rsidRPr="001036EE" w14:paraId="5388556C" w14:textId="77777777" w:rsidTr="00576735">
        <w:trPr>
          <w:trHeight w:val="322"/>
          <w:jc w:val="center"/>
        </w:trPr>
        <w:tc>
          <w:tcPr>
            <w:tcW w:w="3245" w:type="dxa"/>
            <w:tcBorders>
              <w:top w:val="nil"/>
              <w:left w:val="single" w:sz="12" w:space="0" w:color="auto"/>
              <w:bottom w:val="single" w:sz="8" w:space="0" w:color="auto"/>
              <w:right w:val="single" w:sz="8" w:space="0" w:color="auto"/>
            </w:tcBorders>
            <w:shd w:val="clear" w:color="auto" w:fill="auto"/>
            <w:vAlign w:val="center"/>
          </w:tcPr>
          <w:p w14:paraId="4A71E968" w14:textId="77777777" w:rsidR="001036EE" w:rsidRPr="001036EE" w:rsidRDefault="001036EE" w:rsidP="001036EE">
            <w:pPr>
              <w:spacing w:before="20" w:after="20"/>
              <w:ind w:left="-62" w:right="-97"/>
              <w:rPr>
                <w:rFonts w:ascii="Arial" w:hAnsi="Arial" w:cs="Arial"/>
                <w:sz w:val="16"/>
                <w:szCs w:val="16"/>
                <w:lang w:val="en-GB" w:bidi="th-TH"/>
              </w:rPr>
            </w:pPr>
            <w:r w:rsidRPr="001036EE">
              <w:rPr>
                <w:rFonts w:ascii="Arial" w:hAnsi="Arial" w:cs="Arial"/>
                <w:sz w:val="16"/>
                <w:szCs w:val="16"/>
                <w:lang w:val="en-GB" w:bidi="th-TH"/>
              </w:rPr>
              <w:t>Coral reef area under existing management at the 83 sites</w:t>
            </w:r>
          </w:p>
        </w:tc>
        <w:tc>
          <w:tcPr>
            <w:tcW w:w="1052" w:type="dxa"/>
            <w:tcBorders>
              <w:top w:val="nil"/>
              <w:left w:val="nil"/>
              <w:bottom w:val="single" w:sz="8" w:space="0" w:color="auto"/>
              <w:right w:val="single" w:sz="8" w:space="0" w:color="auto"/>
            </w:tcBorders>
            <w:shd w:val="clear" w:color="auto" w:fill="auto"/>
            <w:vAlign w:val="center"/>
          </w:tcPr>
          <w:p w14:paraId="0F1407AA"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293</w:t>
            </w:r>
          </w:p>
        </w:tc>
        <w:tc>
          <w:tcPr>
            <w:tcW w:w="938" w:type="dxa"/>
            <w:tcBorders>
              <w:top w:val="nil"/>
              <w:left w:val="nil"/>
              <w:bottom w:val="single" w:sz="8" w:space="0" w:color="auto"/>
              <w:right w:val="single" w:sz="8" w:space="0" w:color="auto"/>
            </w:tcBorders>
            <w:shd w:val="clear" w:color="auto" w:fill="auto"/>
            <w:vAlign w:val="center"/>
          </w:tcPr>
          <w:p w14:paraId="0E76AB46"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12,500</w:t>
            </w:r>
          </w:p>
        </w:tc>
        <w:tc>
          <w:tcPr>
            <w:tcW w:w="800" w:type="dxa"/>
            <w:tcBorders>
              <w:top w:val="nil"/>
              <w:left w:val="nil"/>
              <w:bottom w:val="single" w:sz="8" w:space="0" w:color="auto"/>
              <w:right w:val="single" w:sz="8" w:space="0" w:color="auto"/>
            </w:tcBorders>
            <w:shd w:val="clear" w:color="auto" w:fill="auto"/>
            <w:vAlign w:val="center"/>
          </w:tcPr>
          <w:p w14:paraId="79955DD7"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28,200</w:t>
            </w:r>
          </w:p>
        </w:tc>
        <w:tc>
          <w:tcPr>
            <w:tcW w:w="941" w:type="dxa"/>
            <w:tcBorders>
              <w:top w:val="nil"/>
              <w:left w:val="nil"/>
              <w:bottom w:val="single" w:sz="8" w:space="0" w:color="auto"/>
              <w:right w:val="single" w:sz="8" w:space="0" w:color="auto"/>
            </w:tcBorders>
            <w:shd w:val="clear" w:color="auto" w:fill="auto"/>
            <w:vAlign w:val="center"/>
          </w:tcPr>
          <w:p w14:paraId="723DF0E5"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2,390</w:t>
            </w:r>
          </w:p>
        </w:tc>
        <w:tc>
          <w:tcPr>
            <w:tcW w:w="840" w:type="dxa"/>
            <w:tcBorders>
              <w:top w:val="nil"/>
              <w:left w:val="nil"/>
              <w:bottom w:val="single" w:sz="8" w:space="0" w:color="auto"/>
              <w:right w:val="single" w:sz="8" w:space="0" w:color="auto"/>
            </w:tcBorders>
            <w:shd w:val="clear" w:color="auto" w:fill="auto"/>
            <w:vAlign w:val="center"/>
          </w:tcPr>
          <w:p w14:paraId="4D4F81B1"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54,000</w:t>
            </w:r>
          </w:p>
        </w:tc>
        <w:tc>
          <w:tcPr>
            <w:tcW w:w="840" w:type="dxa"/>
            <w:tcBorders>
              <w:top w:val="nil"/>
              <w:left w:val="nil"/>
              <w:bottom w:val="single" w:sz="8" w:space="0" w:color="auto"/>
              <w:right w:val="single" w:sz="8" w:space="0" w:color="auto"/>
            </w:tcBorders>
            <w:shd w:val="clear" w:color="auto" w:fill="auto"/>
            <w:vAlign w:val="center"/>
          </w:tcPr>
          <w:p w14:paraId="7E2F50EB"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2,270</w:t>
            </w:r>
          </w:p>
        </w:tc>
        <w:tc>
          <w:tcPr>
            <w:tcW w:w="840" w:type="dxa"/>
            <w:tcBorders>
              <w:top w:val="nil"/>
              <w:left w:val="nil"/>
              <w:bottom w:val="single" w:sz="8" w:space="0" w:color="auto"/>
              <w:right w:val="single" w:sz="12" w:space="0" w:color="auto"/>
            </w:tcBorders>
            <w:shd w:val="clear" w:color="auto" w:fill="auto"/>
            <w:vAlign w:val="center"/>
          </w:tcPr>
          <w:p w14:paraId="78403D9B" w14:textId="77777777" w:rsidR="001036EE" w:rsidRPr="001036EE" w:rsidRDefault="001036EE" w:rsidP="001036EE">
            <w:pPr>
              <w:spacing w:before="20" w:after="20"/>
              <w:jc w:val="right"/>
              <w:rPr>
                <w:rFonts w:ascii="Arial" w:hAnsi="Arial" w:cs="Arial"/>
                <w:sz w:val="16"/>
                <w:szCs w:val="16"/>
                <w:lang w:val="en-GB" w:bidi="th-TH"/>
              </w:rPr>
            </w:pPr>
            <w:r w:rsidRPr="001036EE">
              <w:rPr>
                <w:rFonts w:ascii="Arial" w:hAnsi="Arial" w:cs="Arial"/>
                <w:sz w:val="16"/>
                <w:szCs w:val="16"/>
                <w:lang w:val="en-GB" w:bidi="th-TH"/>
              </w:rPr>
              <w:t>99,700</w:t>
            </w:r>
          </w:p>
        </w:tc>
      </w:tr>
      <w:tr w:rsidR="001036EE" w:rsidRPr="001036EE" w14:paraId="1206B2F9" w14:textId="77777777" w:rsidTr="00576735">
        <w:trPr>
          <w:trHeight w:val="115"/>
          <w:jc w:val="center"/>
        </w:trPr>
        <w:tc>
          <w:tcPr>
            <w:tcW w:w="3245" w:type="dxa"/>
            <w:tcBorders>
              <w:top w:val="nil"/>
              <w:left w:val="single" w:sz="12" w:space="0" w:color="auto"/>
              <w:bottom w:val="single" w:sz="8" w:space="0" w:color="auto"/>
              <w:right w:val="single" w:sz="8" w:space="0" w:color="auto"/>
            </w:tcBorders>
            <w:shd w:val="clear" w:color="auto" w:fill="auto"/>
            <w:vAlign w:val="center"/>
          </w:tcPr>
          <w:p w14:paraId="304202A7" w14:textId="77777777" w:rsidR="001036EE" w:rsidRPr="001036EE" w:rsidRDefault="001036EE" w:rsidP="001036EE">
            <w:pPr>
              <w:spacing w:before="20" w:after="20"/>
              <w:ind w:left="-62" w:right="-97"/>
              <w:rPr>
                <w:rFonts w:ascii="Arial" w:hAnsi="Arial" w:cs="Arial"/>
                <w:sz w:val="16"/>
                <w:szCs w:val="16"/>
                <w:lang w:val="en-GB" w:bidi="th-TH"/>
              </w:rPr>
            </w:pPr>
            <w:r w:rsidRPr="001036EE">
              <w:rPr>
                <w:rFonts w:ascii="Arial" w:hAnsi="Arial" w:cs="Arial"/>
                <w:sz w:val="16"/>
                <w:szCs w:val="16"/>
                <w:lang w:val="en-GB" w:bidi="th-TH"/>
              </w:rPr>
              <w:t>Number of target sites with management information</w:t>
            </w:r>
          </w:p>
        </w:tc>
        <w:tc>
          <w:tcPr>
            <w:tcW w:w="1052" w:type="dxa"/>
            <w:tcBorders>
              <w:top w:val="nil"/>
              <w:left w:val="nil"/>
              <w:bottom w:val="single" w:sz="8" w:space="0" w:color="auto"/>
              <w:right w:val="single" w:sz="8" w:space="0" w:color="auto"/>
            </w:tcBorders>
            <w:shd w:val="clear" w:color="auto" w:fill="auto"/>
            <w:vAlign w:val="center"/>
          </w:tcPr>
          <w:p w14:paraId="6F6C8227"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7</w:t>
            </w:r>
          </w:p>
        </w:tc>
        <w:tc>
          <w:tcPr>
            <w:tcW w:w="938" w:type="dxa"/>
            <w:tcBorders>
              <w:top w:val="nil"/>
              <w:left w:val="nil"/>
              <w:bottom w:val="single" w:sz="8" w:space="0" w:color="auto"/>
              <w:right w:val="single" w:sz="8" w:space="0" w:color="auto"/>
            </w:tcBorders>
            <w:shd w:val="clear" w:color="auto" w:fill="auto"/>
            <w:vAlign w:val="center"/>
          </w:tcPr>
          <w:p w14:paraId="30CA08EE"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7</w:t>
            </w:r>
          </w:p>
        </w:tc>
        <w:tc>
          <w:tcPr>
            <w:tcW w:w="800" w:type="dxa"/>
            <w:tcBorders>
              <w:top w:val="nil"/>
              <w:left w:val="nil"/>
              <w:bottom w:val="single" w:sz="8" w:space="0" w:color="auto"/>
              <w:right w:val="single" w:sz="8" w:space="0" w:color="auto"/>
            </w:tcBorders>
            <w:shd w:val="clear" w:color="auto" w:fill="auto"/>
            <w:vAlign w:val="center"/>
          </w:tcPr>
          <w:p w14:paraId="51C5688E"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36</w:t>
            </w:r>
          </w:p>
        </w:tc>
        <w:tc>
          <w:tcPr>
            <w:tcW w:w="941" w:type="dxa"/>
            <w:tcBorders>
              <w:top w:val="nil"/>
              <w:left w:val="nil"/>
              <w:bottom w:val="single" w:sz="8" w:space="0" w:color="auto"/>
              <w:right w:val="single" w:sz="8" w:space="0" w:color="auto"/>
            </w:tcBorders>
            <w:shd w:val="clear" w:color="auto" w:fill="auto"/>
            <w:vAlign w:val="center"/>
          </w:tcPr>
          <w:p w14:paraId="1D48DE1D"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9</w:t>
            </w:r>
          </w:p>
        </w:tc>
        <w:tc>
          <w:tcPr>
            <w:tcW w:w="840" w:type="dxa"/>
            <w:tcBorders>
              <w:top w:val="nil"/>
              <w:left w:val="nil"/>
              <w:bottom w:val="single" w:sz="8" w:space="0" w:color="auto"/>
              <w:right w:val="single" w:sz="8" w:space="0" w:color="auto"/>
            </w:tcBorders>
            <w:shd w:val="clear" w:color="auto" w:fill="auto"/>
            <w:vAlign w:val="center"/>
          </w:tcPr>
          <w:p w14:paraId="0F7DBFCD"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14</w:t>
            </w:r>
          </w:p>
        </w:tc>
        <w:tc>
          <w:tcPr>
            <w:tcW w:w="840" w:type="dxa"/>
            <w:tcBorders>
              <w:top w:val="nil"/>
              <w:left w:val="nil"/>
              <w:bottom w:val="single" w:sz="8" w:space="0" w:color="auto"/>
              <w:right w:val="single" w:sz="8" w:space="0" w:color="auto"/>
            </w:tcBorders>
            <w:shd w:val="clear" w:color="auto" w:fill="auto"/>
            <w:vAlign w:val="center"/>
          </w:tcPr>
          <w:p w14:paraId="6633D6F7"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9</w:t>
            </w:r>
          </w:p>
        </w:tc>
        <w:tc>
          <w:tcPr>
            <w:tcW w:w="840" w:type="dxa"/>
            <w:tcBorders>
              <w:top w:val="nil"/>
              <w:left w:val="nil"/>
              <w:bottom w:val="single" w:sz="8" w:space="0" w:color="auto"/>
              <w:right w:val="single" w:sz="12" w:space="0" w:color="auto"/>
            </w:tcBorders>
            <w:shd w:val="clear" w:color="auto" w:fill="auto"/>
            <w:vAlign w:val="center"/>
          </w:tcPr>
          <w:p w14:paraId="6DCAA41C"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82</w:t>
            </w:r>
          </w:p>
        </w:tc>
      </w:tr>
      <w:tr w:rsidR="001036EE" w:rsidRPr="001036EE" w14:paraId="44860612" w14:textId="77777777" w:rsidTr="00576735">
        <w:trPr>
          <w:trHeight w:val="88"/>
          <w:jc w:val="center"/>
        </w:trPr>
        <w:tc>
          <w:tcPr>
            <w:tcW w:w="3245" w:type="dxa"/>
            <w:tcBorders>
              <w:top w:val="nil"/>
              <w:left w:val="single" w:sz="12" w:space="0" w:color="auto"/>
              <w:bottom w:val="single" w:sz="8" w:space="0" w:color="auto"/>
              <w:right w:val="single" w:sz="8" w:space="0" w:color="auto"/>
            </w:tcBorders>
            <w:shd w:val="clear" w:color="auto" w:fill="auto"/>
            <w:vAlign w:val="center"/>
          </w:tcPr>
          <w:p w14:paraId="260CA40B" w14:textId="77777777" w:rsidR="001036EE" w:rsidRPr="001036EE" w:rsidRDefault="001036EE" w:rsidP="001036EE">
            <w:pPr>
              <w:spacing w:before="20" w:after="20"/>
              <w:ind w:left="-62" w:right="-97"/>
              <w:rPr>
                <w:rFonts w:ascii="Arial" w:hAnsi="Arial" w:cs="Arial"/>
                <w:sz w:val="16"/>
                <w:szCs w:val="16"/>
                <w:lang w:val="en-GB" w:bidi="th-TH"/>
              </w:rPr>
            </w:pPr>
            <w:r w:rsidRPr="001036EE">
              <w:rPr>
                <w:rFonts w:ascii="Arial" w:hAnsi="Arial" w:cs="Arial"/>
                <w:sz w:val="16"/>
                <w:szCs w:val="16"/>
                <w:lang w:val="en-GB" w:bidi="th-TH"/>
              </w:rPr>
              <w:t>Number of target sites with effective management, plans only</w:t>
            </w:r>
          </w:p>
        </w:tc>
        <w:tc>
          <w:tcPr>
            <w:tcW w:w="1052" w:type="dxa"/>
            <w:tcBorders>
              <w:top w:val="nil"/>
              <w:left w:val="nil"/>
              <w:bottom w:val="single" w:sz="8" w:space="0" w:color="auto"/>
              <w:right w:val="single" w:sz="8" w:space="0" w:color="auto"/>
            </w:tcBorders>
            <w:shd w:val="clear" w:color="auto" w:fill="auto"/>
            <w:vAlign w:val="center"/>
          </w:tcPr>
          <w:p w14:paraId="4DFE0C91"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6</w:t>
            </w:r>
          </w:p>
        </w:tc>
        <w:tc>
          <w:tcPr>
            <w:tcW w:w="938" w:type="dxa"/>
            <w:tcBorders>
              <w:top w:val="nil"/>
              <w:left w:val="nil"/>
              <w:bottom w:val="single" w:sz="8" w:space="0" w:color="auto"/>
              <w:right w:val="single" w:sz="8" w:space="0" w:color="auto"/>
            </w:tcBorders>
            <w:shd w:val="clear" w:color="auto" w:fill="auto"/>
            <w:vAlign w:val="center"/>
          </w:tcPr>
          <w:p w14:paraId="2634F6F6"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3</w:t>
            </w:r>
          </w:p>
        </w:tc>
        <w:tc>
          <w:tcPr>
            <w:tcW w:w="800" w:type="dxa"/>
            <w:tcBorders>
              <w:top w:val="nil"/>
              <w:left w:val="nil"/>
              <w:bottom w:val="single" w:sz="8" w:space="0" w:color="auto"/>
              <w:right w:val="single" w:sz="8" w:space="0" w:color="auto"/>
            </w:tcBorders>
            <w:shd w:val="clear" w:color="auto" w:fill="auto"/>
            <w:vAlign w:val="center"/>
          </w:tcPr>
          <w:p w14:paraId="58F2FE80"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0</w:t>
            </w:r>
          </w:p>
        </w:tc>
        <w:tc>
          <w:tcPr>
            <w:tcW w:w="941" w:type="dxa"/>
            <w:tcBorders>
              <w:top w:val="nil"/>
              <w:left w:val="nil"/>
              <w:bottom w:val="single" w:sz="8" w:space="0" w:color="auto"/>
              <w:right w:val="single" w:sz="8" w:space="0" w:color="auto"/>
            </w:tcBorders>
            <w:shd w:val="clear" w:color="auto" w:fill="auto"/>
            <w:vAlign w:val="center"/>
          </w:tcPr>
          <w:p w14:paraId="7D1A6B1C"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1</w:t>
            </w:r>
          </w:p>
        </w:tc>
        <w:tc>
          <w:tcPr>
            <w:tcW w:w="840" w:type="dxa"/>
            <w:tcBorders>
              <w:top w:val="nil"/>
              <w:left w:val="nil"/>
              <w:bottom w:val="single" w:sz="8" w:space="0" w:color="auto"/>
              <w:right w:val="single" w:sz="8" w:space="0" w:color="auto"/>
            </w:tcBorders>
            <w:shd w:val="clear" w:color="auto" w:fill="auto"/>
            <w:vAlign w:val="center"/>
          </w:tcPr>
          <w:p w14:paraId="798BFF9D"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5</w:t>
            </w:r>
          </w:p>
        </w:tc>
        <w:tc>
          <w:tcPr>
            <w:tcW w:w="840" w:type="dxa"/>
            <w:tcBorders>
              <w:top w:val="nil"/>
              <w:left w:val="nil"/>
              <w:bottom w:val="single" w:sz="8" w:space="0" w:color="auto"/>
              <w:right w:val="single" w:sz="8" w:space="0" w:color="auto"/>
            </w:tcBorders>
            <w:shd w:val="clear" w:color="auto" w:fill="auto"/>
            <w:vAlign w:val="center"/>
          </w:tcPr>
          <w:p w14:paraId="0ADA205A"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4</w:t>
            </w:r>
          </w:p>
        </w:tc>
        <w:tc>
          <w:tcPr>
            <w:tcW w:w="840" w:type="dxa"/>
            <w:tcBorders>
              <w:top w:val="nil"/>
              <w:left w:val="nil"/>
              <w:bottom w:val="single" w:sz="8" w:space="0" w:color="auto"/>
              <w:right w:val="single" w:sz="12" w:space="0" w:color="auto"/>
            </w:tcBorders>
            <w:shd w:val="clear" w:color="auto" w:fill="auto"/>
            <w:vAlign w:val="center"/>
          </w:tcPr>
          <w:p w14:paraId="6D17C8FA"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19</w:t>
            </w:r>
          </w:p>
        </w:tc>
      </w:tr>
      <w:tr w:rsidR="001036EE" w:rsidRPr="001036EE" w14:paraId="0A001ECD" w14:textId="77777777" w:rsidTr="00576735">
        <w:trPr>
          <w:trHeight w:val="250"/>
          <w:jc w:val="center"/>
        </w:trPr>
        <w:tc>
          <w:tcPr>
            <w:tcW w:w="3245" w:type="dxa"/>
            <w:tcBorders>
              <w:top w:val="nil"/>
              <w:left w:val="single" w:sz="12" w:space="0" w:color="auto"/>
              <w:bottom w:val="single" w:sz="8" w:space="0" w:color="auto"/>
              <w:right w:val="single" w:sz="8" w:space="0" w:color="auto"/>
            </w:tcBorders>
            <w:shd w:val="clear" w:color="auto" w:fill="auto"/>
            <w:vAlign w:val="center"/>
          </w:tcPr>
          <w:p w14:paraId="64A3C611" w14:textId="77777777" w:rsidR="001036EE" w:rsidRPr="001036EE" w:rsidRDefault="001036EE" w:rsidP="001036EE">
            <w:pPr>
              <w:spacing w:before="20" w:after="20"/>
              <w:ind w:left="-62" w:right="-97"/>
              <w:rPr>
                <w:rFonts w:ascii="Arial" w:hAnsi="Arial" w:cs="Arial"/>
                <w:sz w:val="16"/>
                <w:szCs w:val="16"/>
                <w:lang w:val="en-GB" w:bidi="th-TH"/>
              </w:rPr>
            </w:pPr>
            <w:r w:rsidRPr="001036EE">
              <w:rPr>
                <w:rFonts w:ascii="Arial" w:hAnsi="Arial" w:cs="Arial"/>
                <w:sz w:val="16"/>
                <w:szCs w:val="16"/>
                <w:lang w:val="en-GB" w:bidi="th-TH"/>
              </w:rPr>
              <w:t xml:space="preserve">Number of target sites with low management effectiveness </w:t>
            </w:r>
          </w:p>
        </w:tc>
        <w:tc>
          <w:tcPr>
            <w:tcW w:w="1052" w:type="dxa"/>
            <w:tcBorders>
              <w:top w:val="nil"/>
              <w:left w:val="nil"/>
              <w:bottom w:val="single" w:sz="8" w:space="0" w:color="auto"/>
              <w:right w:val="single" w:sz="8" w:space="0" w:color="auto"/>
            </w:tcBorders>
            <w:shd w:val="clear" w:color="auto" w:fill="auto"/>
            <w:vAlign w:val="center"/>
          </w:tcPr>
          <w:p w14:paraId="79F258BB"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0</w:t>
            </w:r>
          </w:p>
        </w:tc>
        <w:tc>
          <w:tcPr>
            <w:tcW w:w="938" w:type="dxa"/>
            <w:tcBorders>
              <w:top w:val="nil"/>
              <w:left w:val="nil"/>
              <w:bottom w:val="single" w:sz="8" w:space="0" w:color="auto"/>
              <w:right w:val="single" w:sz="8" w:space="0" w:color="auto"/>
            </w:tcBorders>
            <w:shd w:val="clear" w:color="auto" w:fill="auto"/>
            <w:vAlign w:val="center"/>
          </w:tcPr>
          <w:p w14:paraId="614306FA"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2</w:t>
            </w:r>
          </w:p>
        </w:tc>
        <w:tc>
          <w:tcPr>
            <w:tcW w:w="800" w:type="dxa"/>
            <w:tcBorders>
              <w:top w:val="nil"/>
              <w:left w:val="nil"/>
              <w:bottom w:val="single" w:sz="8" w:space="0" w:color="auto"/>
              <w:right w:val="single" w:sz="8" w:space="0" w:color="auto"/>
            </w:tcBorders>
            <w:shd w:val="clear" w:color="auto" w:fill="auto"/>
            <w:vAlign w:val="center"/>
          </w:tcPr>
          <w:p w14:paraId="636F8733"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11</w:t>
            </w:r>
          </w:p>
        </w:tc>
        <w:tc>
          <w:tcPr>
            <w:tcW w:w="941" w:type="dxa"/>
            <w:tcBorders>
              <w:top w:val="nil"/>
              <w:left w:val="nil"/>
              <w:bottom w:val="single" w:sz="8" w:space="0" w:color="auto"/>
              <w:right w:val="single" w:sz="8" w:space="0" w:color="auto"/>
            </w:tcBorders>
            <w:shd w:val="clear" w:color="auto" w:fill="auto"/>
            <w:vAlign w:val="center"/>
          </w:tcPr>
          <w:p w14:paraId="48A29C53"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2</w:t>
            </w:r>
          </w:p>
        </w:tc>
        <w:tc>
          <w:tcPr>
            <w:tcW w:w="840" w:type="dxa"/>
            <w:tcBorders>
              <w:top w:val="nil"/>
              <w:left w:val="nil"/>
              <w:bottom w:val="single" w:sz="8" w:space="0" w:color="auto"/>
              <w:right w:val="single" w:sz="8" w:space="0" w:color="auto"/>
            </w:tcBorders>
            <w:shd w:val="clear" w:color="auto" w:fill="auto"/>
            <w:vAlign w:val="center"/>
          </w:tcPr>
          <w:p w14:paraId="2153EC1A"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5</w:t>
            </w:r>
          </w:p>
        </w:tc>
        <w:tc>
          <w:tcPr>
            <w:tcW w:w="840" w:type="dxa"/>
            <w:tcBorders>
              <w:top w:val="nil"/>
              <w:left w:val="nil"/>
              <w:bottom w:val="single" w:sz="8" w:space="0" w:color="auto"/>
              <w:right w:val="single" w:sz="8" w:space="0" w:color="auto"/>
            </w:tcBorders>
            <w:shd w:val="clear" w:color="auto" w:fill="auto"/>
            <w:vAlign w:val="center"/>
          </w:tcPr>
          <w:p w14:paraId="2B957405"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0</w:t>
            </w:r>
          </w:p>
        </w:tc>
        <w:tc>
          <w:tcPr>
            <w:tcW w:w="840" w:type="dxa"/>
            <w:tcBorders>
              <w:top w:val="nil"/>
              <w:left w:val="nil"/>
              <w:bottom w:val="single" w:sz="8" w:space="0" w:color="auto"/>
              <w:right w:val="single" w:sz="12" w:space="0" w:color="auto"/>
            </w:tcBorders>
            <w:shd w:val="clear" w:color="auto" w:fill="auto"/>
            <w:vAlign w:val="center"/>
          </w:tcPr>
          <w:p w14:paraId="1F909DBD"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20</w:t>
            </w:r>
          </w:p>
        </w:tc>
      </w:tr>
      <w:tr w:rsidR="001036EE" w:rsidRPr="001036EE" w14:paraId="1CEB0A18" w14:textId="77777777" w:rsidTr="00576735">
        <w:trPr>
          <w:trHeight w:val="223"/>
          <w:jc w:val="center"/>
        </w:trPr>
        <w:tc>
          <w:tcPr>
            <w:tcW w:w="3245" w:type="dxa"/>
            <w:tcBorders>
              <w:top w:val="nil"/>
              <w:left w:val="single" w:sz="12" w:space="0" w:color="auto"/>
              <w:bottom w:val="single" w:sz="8" w:space="0" w:color="auto"/>
              <w:right w:val="single" w:sz="8" w:space="0" w:color="auto"/>
            </w:tcBorders>
            <w:shd w:val="clear" w:color="auto" w:fill="auto"/>
            <w:vAlign w:val="center"/>
          </w:tcPr>
          <w:p w14:paraId="41AA485C" w14:textId="77777777" w:rsidR="001036EE" w:rsidRPr="001036EE" w:rsidRDefault="001036EE" w:rsidP="001036EE">
            <w:pPr>
              <w:spacing w:before="20" w:after="20"/>
              <w:ind w:left="-62" w:right="-97"/>
              <w:rPr>
                <w:rFonts w:ascii="Arial" w:hAnsi="Arial" w:cs="Arial"/>
                <w:sz w:val="16"/>
                <w:szCs w:val="16"/>
                <w:lang w:val="en-GB" w:bidi="th-TH"/>
              </w:rPr>
            </w:pPr>
            <w:r w:rsidRPr="001036EE">
              <w:rPr>
                <w:rFonts w:ascii="Arial" w:hAnsi="Arial" w:cs="Arial"/>
                <w:sz w:val="16"/>
                <w:szCs w:val="16"/>
                <w:lang w:val="en-GB" w:bidi="th-TH"/>
              </w:rPr>
              <w:t xml:space="preserve">Number of target sites with medium management effectiveness </w:t>
            </w:r>
          </w:p>
        </w:tc>
        <w:tc>
          <w:tcPr>
            <w:tcW w:w="1052" w:type="dxa"/>
            <w:tcBorders>
              <w:top w:val="nil"/>
              <w:left w:val="nil"/>
              <w:bottom w:val="single" w:sz="8" w:space="0" w:color="auto"/>
              <w:right w:val="single" w:sz="8" w:space="0" w:color="auto"/>
            </w:tcBorders>
            <w:shd w:val="clear" w:color="auto" w:fill="auto"/>
            <w:vAlign w:val="center"/>
          </w:tcPr>
          <w:p w14:paraId="3CA6B981"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1</w:t>
            </w:r>
          </w:p>
        </w:tc>
        <w:tc>
          <w:tcPr>
            <w:tcW w:w="938" w:type="dxa"/>
            <w:tcBorders>
              <w:top w:val="nil"/>
              <w:left w:val="nil"/>
              <w:bottom w:val="single" w:sz="8" w:space="0" w:color="auto"/>
              <w:right w:val="single" w:sz="8" w:space="0" w:color="auto"/>
            </w:tcBorders>
            <w:shd w:val="clear" w:color="auto" w:fill="auto"/>
            <w:vAlign w:val="center"/>
          </w:tcPr>
          <w:p w14:paraId="632759A9"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2</w:t>
            </w:r>
          </w:p>
        </w:tc>
        <w:tc>
          <w:tcPr>
            <w:tcW w:w="800" w:type="dxa"/>
            <w:tcBorders>
              <w:top w:val="nil"/>
              <w:left w:val="nil"/>
              <w:bottom w:val="single" w:sz="8" w:space="0" w:color="auto"/>
              <w:right w:val="single" w:sz="8" w:space="0" w:color="auto"/>
            </w:tcBorders>
            <w:shd w:val="clear" w:color="auto" w:fill="auto"/>
            <w:vAlign w:val="center"/>
          </w:tcPr>
          <w:p w14:paraId="77A79364"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12</w:t>
            </w:r>
          </w:p>
        </w:tc>
        <w:tc>
          <w:tcPr>
            <w:tcW w:w="941" w:type="dxa"/>
            <w:tcBorders>
              <w:top w:val="nil"/>
              <w:left w:val="nil"/>
              <w:bottom w:val="single" w:sz="8" w:space="0" w:color="auto"/>
              <w:right w:val="single" w:sz="8" w:space="0" w:color="auto"/>
            </w:tcBorders>
            <w:shd w:val="clear" w:color="auto" w:fill="auto"/>
            <w:vAlign w:val="center"/>
          </w:tcPr>
          <w:p w14:paraId="72CE4BDA"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6</w:t>
            </w:r>
          </w:p>
        </w:tc>
        <w:tc>
          <w:tcPr>
            <w:tcW w:w="840" w:type="dxa"/>
            <w:tcBorders>
              <w:top w:val="nil"/>
              <w:left w:val="nil"/>
              <w:bottom w:val="single" w:sz="8" w:space="0" w:color="auto"/>
              <w:right w:val="single" w:sz="8" w:space="0" w:color="auto"/>
            </w:tcBorders>
            <w:shd w:val="clear" w:color="auto" w:fill="auto"/>
            <w:vAlign w:val="center"/>
          </w:tcPr>
          <w:p w14:paraId="6F40D304"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4</w:t>
            </w:r>
          </w:p>
        </w:tc>
        <w:tc>
          <w:tcPr>
            <w:tcW w:w="840" w:type="dxa"/>
            <w:tcBorders>
              <w:top w:val="nil"/>
              <w:left w:val="nil"/>
              <w:bottom w:val="single" w:sz="8" w:space="0" w:color="auto"/>
              <w:right w:val="single" w:sz="8" w:space="0" w:color="auto"/>
            </w:tcBorders>
            <w:shd w:val="clear" w:color="auto" w:fill="auto"/>
            <w:vAlign w:val="center"/>
          </w:tcPr>
          <w:p w14:paraId="24EC4527"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5</w:t>
            </w:r>
          </w:p>
        </w:tc>
        <w:tc>
          <w:tcPr>
            <w:tcW w:w="840" w:type="dxa"/>
            <w:tcBorders>
              <w:top w:val="nil"/>
              <w:left w:val="nil"/>
              <w:bottom w:val="single" w:sz="8" w:space="0" w:color="auto"/>
              <w:right w:val="single" w:sz="12" w:space="0" w:color="auto"/>
            </w:tcBorders>
            <w:shd w:val="clear" w:color="auto" w:fill="auto"/>
            <w:vAlign w:val="center"/>
          </w:tcPr>
          <w:p w14:paraId="1725B705"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30</w:t>
            </w:r>
          </w:p>
        </w:tc>
      </w:tr>
      <w:tr w:rsidR="001036EE" w:rsidRPr="001036EE" w14:paraId="6A538BAC" w14:textId="77777777" w:rsidTr="00576735">
        <w:trPr>
          <w:trHeight w:val="495"/>
          <w:jc w:val="center"/>
        </w:trPr>
        <w:tc>
          <w:tcPr>
            <w:tcW w:w="3245" w:type="dxa"/>
            <w:tcBorders>
              <w:top w:val="nil"/>
              <w:left w:val="single" w:sz="12" w:space="0" w:color="auto"/>
              <w:bottom w:val="single" w:sz="8" w:space="0" w:color="auto"/>
              <w:right w:val="single" w:sz="8" w:space="0" w:color="auto"/>
            </w:tcBorders>
            <w:shd w:val="clear" w:color="auto" w:fill="auto"/>
            <w:vAlign w:val="center"/>
          </w:tcPr>
          <w:p w14:paraId="7FEEF4EF" w14:textId="77777777" w:rsidR="001036EE" w:rsidRPr="001036EE" w:rsidRDefault="001036EE" w:rsidP="001036EE">
            <w:pPr>
              <w:spacing w:before="20" w:after="20"/>
              <w:ind w:left="-62" w:right="-97"/>
              <w:rPr>
                <w:rFonts w:ascii="Arial" w:hAnsi="Arial" w:cs="Arial"/>
                <w:sz w:val="16"/>
                <w:szCs w:val="16"/>
                <w:lang w:val="en-GB" w:bidi="th-TH"/>
              </w:rPr>
            </w:pPr>
            <w:r w:rsidRPr="001036EE">
              <w:rPr>
                <w:rFonts w:ascii="Arial" w:hAnsi="Arial" w:cs="Arial"/>
                <w:sz w:val="16"/>
                <w:szCs w:val="16"/>
                <w:lang w:val="en-GB" w:bidi="th-TH"/>
              </w:rPr>
              <w:t xml:space="preserve">Number of target sites with high management effectiveness </w:t>
            </w:r>
          </w:p>
        </w:tc>
        <w:tc>
          <w:tcPr>
            <w:tcW w:w="1052" w:type="dxa"/>
            <w:tcBorders>
              <w:top w:val="nil"/>
              <w:left w:val="nil"/>
              <w:bottom w:val="single" w:sz="8" w:space="0" w:color="auto"/>
              <w:right w:val="single" w:sz="8" w:space="0" w:color="auto"/>
            </w:tcBorders>
            <w:shd w:val="clear" w:color="auto" w:fill="auto"/>
            <w:vAlign w:val="center"/>
          </w:tcPr>
          <w:p w14:paraId="0D377A33"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0</w:t>
            </w:r>
          </w:p>
        </w:tc>
        <w:tc>
          <w:tcPr>
            <w:tcW w:w="938" w:type="dxa"/>
            <w:tcBorders>
              <w:top w:val="nil"/>
              <w:left w:val="nil"/>
              <w:bottom w:val="single" w:sz="8" w:space="0" w:color="auto"/>
              <w:right w:val="single" w:sz="8" w:space="0" w:color="auto"/>
            </w:tcBorders>
            <w:shd w:val="clear" w:color="auto" w:fill="auto"/>
            <w:vAlign w:val="center"/>
          </w:tcPr>
          <w:p w14:paraId="2457B64B"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0</w:t>
            </w:r>
          </w:p>
        </w:tc>
        <w:tc>
          <w:tcPr>
            <w:tcW w:w="800" w:type="dxa"/>
            <w:tcBorders>
              <w:top w:val="nil"/>
              <w:left w:val="nil"/>
              <w:bottom w:val="single" w:sz="8" w:space="0" w:color="auto"/>
              <w:right w:val="single" w:sz="8" w:space="0" w:color="auto"/>
            </w:tcBorders>
            <w:shd w:val="clear" w:color="auto" w:fill="auto"/>
            <w:vAlign w:val="center"/>
          </w:tcPr>
          <w:p w14:paraId="53F924D3"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13</w:t>
            </w:r>
          </w:p>
        </w:tc>
        <w:tc>
          <w:tcPr>
            <w:tcW w:w="941" w:type="dxa"/>
            <w:tcBorders>
              <w:top w:val="nil"/>
              <w:left w:val="nil"/>
              <w:bottom w:val="single" w:sz="8" w:space="0" w:color="auto"/>
              <w:right w:val="single" w:sz="8" w:space="0" w:color="auto"/>
            </w:tcBorders>
            <w:shd w:val="clear" w:color="auto" w:fill="auto"/>
            <w:vAlign w:val="center"/>
          </w:tcPr>
          <w:p w14:paraId="18069ABB"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0</w:t>
            </w:r>
          </w:p>
        </w:tc>
        <w:tc>
          <w:tcPr>
            <w:tcW w:w="840" w:type="dxa"/>
            <w:tcBorders>
              <w:top w:val="nil"/>
              <w:left w:val="nil"/>
              <w:bottom w:val="single" w:sz="8" w:space="0" w:color="auto"/>
              <w:right w:val="single" w:sz="8" w:space="0" w:color="auto"/>
            </w:tcBorders>
            <w:shd w:val="clear" w:color="auto" w:fill="auto"/>
            <w:vAlign w:val="center"/>
          </w:tcPr>
          <w:p w14:paraId="506AB6DF"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0</w:t>
            </w:r>
          </w:p>
        </w:tc>
        <w:tc>
          <w:tcPr>
            <w:tcW w:w="840" w:type="dxa"/>
            <w:tcBorders>
              <w:top w:val="nil"/>
              <w:left w:val="nil"/>
              <w:bottom w:val="single" w:sz="8" w:space="0" w:color="auto"/>
              <w:right w:val="single" w:sz="8" w:space="0" w:color="auto"/>
            </w:tcBorders>
            <w:shd w:val="clear" w:color="auto" w:fill="auto"/>
            <w:vAlign w:val="center"/>
          </w:tcPr>
          <w:p w14:paraId="28F67908"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0</w:t>
            </w:r>
          </w:p>
        </w:tc>
        <w:tc>
          <w:tcPr>
            <w:tcW w:w="840" w:type="dxa"/>
            <w:tcBorders>
              <w:top w:val="nil"/>
              <w:left w:val="nil"/>
              <w:bottom w:val="single" w:sz="8" w:space="0" w:color="auto"/>
              <w:right w:val="single" w:sz="12" w:space="0" w:color="auto"/>
            </w:tcBorders>
            <w:shd w:val="clear" w:color="auto" w:fill="auto"/>
            <w:vAlign w:val="center"/>
          </w:tcPr>
          <w:p w14:paraId="128DF097"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13</w:t>
            </w:r>
          </w:p>
        </w:tc>
      </w:tr>
      <w:tr w:rsidR="001036EE" w:rsidRPr="001036EE" w14:paraId="4CA48823" w14:textId="77777777" w:rsidTr="00576735">
        <w:trPr>
          <w:trHeight w:val="403"/>
          <w:jc w:val="center"/>
        </w:trPr>
        <w:tc>
          <w:tcPr>
            <w:tcW w:w="3245" w:type="dxa"/>
            <w:tcBorders>
              <w:top w:val="nil"/>
              <w:left w:val="single" w:sz="12" w:space="0" w:color="auto"/>
              <w:bottom w:val="single" w:sz="8" w:space="0" w:color="auto"/>
              <w:right w:val="single" w:sz="8" w:space="0" w:color="auto"/>
            </w:tcBorders>
            <w:shd w:val="clear" w:color="auto" w:fill="auto"/>
            <w:vAlign w:val="center"/>
          </w:tcPr>
          <w:p w14:paraId="222235E1" w14:textId="77777777" w:rsidR="001036EE" w:rsidRPr="001036EE" w:rsidRDefault="001036EE" w:rsidP="001036EE">
            <w:pPr>
              <w:spacing w:before="20" w:after="20"/>
              <w:ind w:left="-62" w:right="-97"/>
              <w:rPr>
                <w:rFonts w:ascii="Arial" w:hAnsi="Arial" w:cs="Arial"/>
                <w:sz w:val="16"/>
                <w:szCs w:val="16"/>
                <w:lang w:val="en-GB" w:bidi="th-TH"/>
              </w:rPr>
            </w:pPr>
            <w:r w:rsidRPr="001036EE">
              <w:rPr>
                <w:rFonts w:ascii="Arial" w:hAnsi="Arial" w:cs="Arial"/>
                <w:sz w:val="16"/>
                <w:szCs w:val="16"/>
                <w:lang w:val="en-GB" w:bidi="th-TH"/>
              </w:rPr>
              <w:footnoteReference w:customMarkFollows="1" w:id="65"/>
              <w:t>Existing management types</w:t>
            </w:r>
            <w:r w:rsidRPr="001036EE">
              <w:rPr>
                <w:rFonts w:ascii="Arial" w:hAnsi="Arial" w:cs="Angsana New"/>
                <w:sz w:val="20"/>
                <w:szCs w:val="16"/>
                <w:vertAlign w:val="superscript"/>
                <w:lang w:val="en-GB" w:bidi="th-TH"/>
              </w:rPr>
              <w:footnoteReference w:id="66"/>
            </w:r>
          </w:p>
        </w:tc>
        <w:tc>
          <w:tcPr>
            <w:tcW w:w="1052" w:type="dxa"/>
            <w:tcBorders>
              <w:top w:val="nil"/>
              <w:left w:val="nil"/>
              <w:bottom w:val="single" w:sz="8" w:space="0" w:color="auto"/>
              <w:right w:val="single" w:sz="8" w:space="0" w:color="auto"/>
            </w:tcBorders>
            <w:shd w:val="clear" w:color="auto" w:fill="auto"/>
            <w:vAlign w:val="center"/>
          </w:tcPr>
          <w:p w14:paraId="1579BDE6"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FMA, MPA, NP</w:t>
            </w:r>
          </w:p>
        </w:tc>
        <w:tc>
          <w:tcPr>
            <w:tcW w:w="938" w:type="dxa"/>
            <w:tcBorders>
              <w:top w:val="nil"/>
              <w:left w:val="nil"/>
              <w:bottom w:val="single" w:sz="8" w:space="0" w:color="auto"/>
              <w:right w:val="single" w:sz="8" w:space="0" w:color="auto"/>
            </w:tcBorders>
            <w:shd w:val="clear" w:color="auto" w:fill="auto"/>
            <w:vAlign w:val="center"/>
          </w:tcPr>
          <w:p w14:paraId="7A76ED21"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MMA, MR</w:t>
            </w:r>
          </w:p>
        </w:tc>
        <w:tc>
          <w:tcPr>
            <w:tcW w:w="800" w:type="dxa"/>
            <w:tcBorders>
              <w:top w:val="nil"/>
              <w:left w:val="nil"/>
              <w:bottom w:val="single" w:sz="8" w:space="0" w:color="auto"/>
              <w:right w:val="single" w:sz="8" w:space="0" w:color="auto"/>
            </w:tcBorders>
            <w:shd w:val="clear" w:color="auto" w:fill="auto"/>
            <w:vAlign w:val="center"/>
          </w:tcPr>
          <w:p w14:paraId="3F73FD41"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MP</w:t>
            </w:r>
          </w:p>
        </w:tc>
        <w:tc>
          <w:tcPr>
            <w:tcW w:w="941" w:type="dxa"/>
            <w:tcBorders>
              <w:top w:val="nil"/>
              <w:left w:val="nil"/>
              <w:bottom w:val="single" w:sz="8" w:space="0" w:color="auto"/>
              <w:right w:val="single" w:sz="8" w:space="0" w:color="auto"/>
            </w:tcBorders>
            <w:shd w:val="clear" w:color="auto" w:fill="auto"/>
            <w:vAlign w:val="center"/>
          </w:tcPr>
          <w:p w14:paraId="5FC7809A" w14:textId="77777777" w:rsidR="001036EE" w:rsidRPr="001036EE" w:rsidRDefault="001036EE" w:rsidP="001036EE">
            <w:pPr>
              <w:spacing w:before="20" w:after="20"/>
              <w:ind w:left="-108" w:right="-108"/>
              <w:jc w:val="center"/>
              <w:rPr>
                <w:rFonts w:ascii="Arial" w:hAnsi="Arial" w:cs="Arial"/>
                <w:sz w:val="16"/>
                <w:szCs w:val="16"/>
                <w:lang w:val="en-GB" w:bidi="th-TH"/>
              </w:rPr>
            </w:pPr>
            <w:r w:rsidRPr="001036EE">
              <w:rPr>
                <w:rFonts w:ascii="Arial" w:hAnsi="Arial" w:cs="Arial"/>
                <w:sz w:val="16"/>
                <w:szCs w:val="16"/>
                <w:lang w:val="en-GB" w:bidi="th-TH"/>
              </w:rPr>
              <w:t>PLS, MCDP, MTS, MBR, ECPZ</w:t>
            </w:r>
          </w:p>
        </w:tc>
        <w:tc>
          <w:tcPr>
            <w:tcW w:w="840" w:type="dxa"/>
            <w:tcBorders>
              <w:top w:val="nil"/>
              <w:left w:val="nil"/>
              <w:bottom w:val="single" w:sz="8" w:space="0" w:color="auto"/>
              <w:right w:val="single" w:sz="8" w:space="0" w:color="auto"/>
            </w:tcBorders>
            <w:shd w:val="clear" w:color="auto" w:fill="auto"/>
            <w:vAlign w:val="center"/>
          </w:tcPr>
          <w:p w14:paraId="039D738F"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 xml:space="preserve">NP, MNP, NCA, </w:t>
            </w:r>
          </w:p>
        </w:tc>
        <w:tc>
          <w:tcPr>
            <w:tcW w:w="840" w:type="dxa"/>
            <w:tcBorders>
              <w:top w:val="nil"/>
              <w:left w:val="nil"/>
              <w:bottom w:val="single" w:sz="8" w:space="0" w:color="auto"/>
              <w:right w:val="single" w:sz="8" w:space="0" w:color="auto"/>
            </w:tcBorders>
            <w:shd w:val="clear" w:color="auto" w:fill="auto"/>
            <w:vAlign w:val="center"/>
          </w:tcPr>
          <w:p w14:paraId="4A66DFBC" w14:textId="77777777" w:rsidR="001036EE" w:rsidRPr="001036EE" w:rsidRDefault="001036EE" w:rsidP="001036EE">
            <w:pPr>
              <w:spacing w:before="20" w:after="20"/>
              <w:ind w:left="-108"/>
              <w:jc w:val="center"/>
              <w:rPr>
                <w:rFonts w:ascii="Arial" w:hAnsi="Arial" w:cs="Arial"/>
                <w:sz w:val="16"/>
                <w:szCs w:val="16"/>
                <w:lang w:val="en-GB" w:bidi="th-TH"/>
              </w:rPr>
            </w:pPr>
            <w:r w:rsidRPr="001036EE">
              <w:rPr>
                <w:rFonts w:ascii="Arial" w:hAnsi="Arial" w:cs="Arial"/>
                <w:sz w:val="16"/>
                <w:szCs w:val="16"/>
                <w:lang w:val="en-GB" w:bidi="th-TH"/>
              </w:rPr>
              <w:t>MPA, NP, CBM, WH</w:t>
            </w:r>
          </w:p>
        </w:tc>
        <w:tc>
          <w:tcPr>
            <w:tcW w:w="840" w:type="dxa"/>
            <w:tcBorders>
              <w:top w:val="nil"/>
              <w:left w:val="nil"/>
              <w:bottom w:val="single" w:sz="8" w:space="0" w:color="auto"/>
              <w:right w:val="single" w:sz="12" w:space="0" w:color="auto"/>
            </w:tcBorders>
            <w:shd w:val="clear" w:color="auto" w:fill="auto"/>
            <w:vAlign w:val="center"/>
          </w:tcPr>
          <w:p w14:paraId="67A1FE45"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 </w:t>
            </w:r>
          </w:p>
        </w:tc>
      </w:tr>
      <w:tr w:rsidR="001036EE" w:rsidRPr="001036EE" w14:paraId="6A77D960" w14:textId="77777777" w:rsidTr="00576735">
        <w:trPr>
          <w:trHeight w:val="60"/>
          <w:jc w:val="center"/>
        </w:trPr>
        <w:tc>
          <w:tcPr>
            <w:tcW w:w="3245" w:type="dxa"/>
            <w:tcBorders>
              <w:top w:val="nil"/>
              <w:left w:val="single" w:sz="12" w:space="0" w:color="auto"/>
              <w:bottom w:val="single" w:sz="8" w:space="0" w:color="auto"/>
              <w:right w:val="single" w:sz="8" w:space="0" w:color="auto"/>
            </w:tcBorders>
            <w:shd w:val="clear" w:color="auto" w:fill="auto"/>
            <w:vAlign w:val="center"/>
          </w:tcPr>
          <w:p w14:paraId="5F079635" w14:textId="77777777" w:rsidR="001036EE" w:rsidRPr="001036EE" w:rsidRDefault="001036EE" w:rsidP="001036EE">
            <w:pPr>
              <w:spacing w:before="20" w:after="20"/>
              <w:ind w:left="-62" w:right="-97"/>
              <w:rPr>
                <w:rFonts w:ascii="Arial" w:hAnsi="Arial" w:cs="Arial"/>
                <w:b/>
                <w:bCs/>
                <w:sz w:val="16"/>
                <w:szCs w:val="16"/>
                <w:lang w:val="en-GB" w:bidi="th-TH"/>
              </w:rPr>
            </w:pPr>
            <w:r w:rsidRPr="001036EE">
              <w:rPr>
                <w:rFonts w:ascii="Arial" w:hAnsi="Arial" w:cs="Arial"/>
                <w:b/>
                <w:bCs/>
                <w:sz w:val="16"/>
                <w:szCs w:val="16"/>
                <w:lang w:val="en-GB" w:bidi="th-TH"/>
              </w:rPr>
              <w:t xml:space="preserve">Target area to be added for management </w:t>
            </w:r>
            <w:r>
              <w:rPr>
                <w:rFonts w:ascii="Arial" w:hAnsi="Arial" w:cs="Arial"/>
                <w:b/>
                <w:bCs/>
                <w:sz w:val="16"/>
                <w:szCs w:val="16"/>
                <w:lang w:val="en-GB" w:bidi="th-TH"/>
              </w:rPr>
              <w:t>through SAP implementation</w:t>
            </w:r>
          </w:p>
        </w:tc>
        <w:tc>
          <w:tcPr>
            <w:tcW w:w="1052" w:type="dxa"/>
            <w:tcBorders>
              <w:top w:val="nil"/>
              <w:left w:val="nil"/>
              <w:bottom w:val="single" w:sz="8" w:space="0" w:color="auto"/>
              <w:right w:val="single" w:sz="8" w:space="0" w:color="auto"/>
            </w:tcBorders>
            <w:shd w:val="clear" w:color="auto" w:fill="auto"/>
            <w:vAlign w:val="center"/>
          </w:tcPr>
          <w:p w14:paraId="411A53E2"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1,970</w:t>
            </w:r>
          </w:p>
        </w:tc>
        <w:tc>
          <w:tcPr>
            <w:tcW w:w="938" w:type="dxa"/>
            <w:tcBorders>
              <w:top w:val="nil"/>
              <w:left w:val="nil"/>
              <w:bottom w:val="single" w:sz="8" w:space="0" w:color="auto"/>
              <w:right w:val="single" w:sz="8" w:space="0" w:color="auto"/>
            </w:tcBorders>
            <w:shd w:val="clear" w:color="auto" w:fill="auto"/>
            <w:vAlign w:val="center"/>
          </w:tcPr>
          <w:p w14:paraId="2A10DCC5"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5,580</w:t>
            </w:r>
          </w:p>
        </w:tc>
        <w:tc>
          <w:tcPr>
            <w:tcW w:w="800" w:type="dxa"/>
            <w:tcBorders>
              <w:top w:val="nil"/>
              <w:left w:val="nil"/>
              <w:bottom w:val="single" w:sz="8" w:space="0" w:color="auto"/>
              <w:right w:val="single" w:sz="8" w:space="0" w:color="auto"/>
            </w:tcBorders>
            <w:shd w:val="clear" w:color="auto" w:fill="auto"/>
            <w:vAlign w:val="center"/>
          </w:tcPr>
          <w:p w14:paraId="63F238F9"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15,200</w:t>
            </w:r>
          </w:p>
        </w:tc>
        <w:tc>
          <w:tcPr>
            <w:tcW w:w="941" w:type="dxa"/>
            <w:tcBorders>
              <w:top w:val="nil"/>
              <w:left w:val="nil"/>
              <w:bottom w:val="single" w:sz="8" w:space="0" w:color="auto"/>
              <w:right w:val="single" w:sz="8" w:space="0" w:color="auto"/>
            </w:tcBorders>
            <w:shd w:val="clear" w:color="auto" w:fill="auto"/>
            <w:vAlign w:val="center"/>
          </w:tcPr>
          <w:p w14:paraId="5E808644"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10,100</w:t>
            </w:r>
          </w:p>
        </w:tc>
        <w:tc>
          <w:tcPr>
            <w:tcW w:w="840" w:type="dxa"/>
            <w:tcBorders>
              <w:top w:val="nil"/>
              <w:left w:val="nil"/>
              <w:bottom w:val="single" w:sz="8" w:space="0" w:color="auto"/>
              <w:right w:val="single" w:sz="8" w:space="0" w:color="auto"/>
            </w:tcBorders>
            <w:shd w:val="clear" w:color="auto" w:fill="auto"/>
            <w:vAlign w:val="center"/>
          </w:tcPr>
          <w:p w14:paraId="03ABC86E"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18,000</w:t>
            </w:r>
          </w:p>
        </w:tc>
        <w:tc>
          <w:tcPr>
            <w:tcW w:w="840" w:type="dxa"/>
            <w:tcBorders>
              <w:top w:val="nil"/>
              <w:left w:val="nil"/>
              <w:bottom w:val="single" w:sz="8" w:space="0" w:color="auto"/>
              <w:right w:val="single" w:sz="8" w:space="0" w:color="auto"/>
            </w:tcBorders>
            <w:shd w:val="clear" w:color="auto" w:fill="auto"/>
            <w:vAlign w:val="center"/>
          </w:tcPr>
          <w:p w14:paraId="7034E2C0"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3,300</w:t>
            </w:r>
          </w:p>
        </w:tc>
        <w:tc>
          <w:tcPr>
            <w:tcW w:w="840" w:type="dxa"/>
            <w:tcBorders>
              <w:top w:val="nil"/>
              <w:left w:val="nil"/>
              <w:bottom w:val="single" w:sz="8" w:space="0" w:color="auto"/>
              <w:right w:val="single" w:sz="12" w:space="0" w:color="auto"/>
            </w:tcBorders>
            <w:shd w:val="clear" w:color="auto" w:fill="auto"/>
            <w:vAlign w:val="center"/>
          </w:tcPr>
          <w:p w14:paraId="37EBC1D5" w14:textId="77777777" w:rsidR="001036EE" w:rsidRPr="001036EE" w:rsidRDefault="001036EE" w:rsidP="001036EE">
            <w:pPr>
              <w:spacing w:before="20" w:after="20"/>
              <w:jc w:val="right"/>
              <w:rPr>
                <w:rFonts w:ascii="Arial" w:hAnsi="Arial" w:cs="Arial"/>
                <w:sz w:val="16"/>
                <w:szCs w:val="16"/>
                <w:lang w:val="en-GB" w:bidi="th-TH"/>
              </w:rPr>
            </w:pPr>
            <w:r w:rsidRPr="001036EE">
              <w:rPr>
                <w:rFonts w:ascii="Arial" w:hAnsi="Arial" w:cs="Arial"/>
                <w:sz w:val="16"/>
                <w:szCs w:val="16"/>
                <w:lang w:val="en-GB" w:bidi="th-TH"/>
              </w:rPr>
              <w:t>53,100</w:t>
            </w:r>
          </w:p>
        </w:tc>
      </w:tr>
      <w:tr w:rsidR="001036EE" w:rsidRPr="001036EE" w14:paraId="3CDD4FBC" w14:textId="77777777" w:rsidTr="00576735">
        <w:trPr>
          <w:trHeight w:val="340"/>
          <w:jc w:val="center"/>
        </w:trPr>
        <w:tc>
          <w:tcPr>
            <w:tcW w:w="3245" w:type="dxa"/>
            <w:tcBorders>
              <w:top w:val="nil"/>
              <w:left w:val="single" w:sz="12" w:space="0" w:color="auto"/>
              <w:bottom w:val="single" w:sz="12" w:space="0" w:color="auto"/>
              <w:right w:val="single" w:sz="8" w:space="0" w:color="auto"/>
            </w:tcBorders>
            <w:shd w:val="clear" w:color="auto" w:fill="auto"/>
            <w:vAlign w:val="center"/>
          </w:tcPr>
          <w:p w14:paraId="12DB1F47" w14:textId="77777777" w:rsidR="001036EE" w:rsidRPr="001036EE" w:rsidRDefault="001036EE" w:rsidP="001036EE">
            <w:pPr>
              <w:spacing w:before="20" w:after="20"/>
              <w:ind w:left="-62" w:right="-97"/>
              <w:rPr>
                <w:rFonts w:ascii="Arial" w:hAnsi="Arial" w:cs="Arial"/>
                <w:b/>
                <w:bCs/>
                <w:sz w:val="16"/>
                <w:szCs w:val="16"/>
                <w:lang w:val="en-GB" w:bidi="th-TH"/>
              </w:rPr>
            </w:pPr>
            <w:r w:rsidRPr="001036EE">
              <w:rPr>
                <w:rFonts w:ascii="Arial" w:hAnsi="Arial" w:cs="Arial"/>
                <w:b/>
                <w:bCs/>
                <w:sz w:val="16"/>
                <w:szCs w:val="16"/>
                <w:lang w:val="en-GB" w:bidi="th-TH"/>
              </w:rPr>
              <w:t xml:space="preserve">Total area to be under management </w:t>
            </w:r>
            <w:r>
              <w:rPr>
                <w:rFonts w:ascii="Arial" w:hAnsi="Arial" w:cs="Arial"/>
                <w:b/>
                <w:bCs/>
                <w:sz w:val="16"/>
                <w:szCs w:val="16"/>
                <w:lang w:val="en-GB" w:bidi="th-TH"/>
              </w:rPr>
              <w:t>following SAP implementation</w:t>
            </w:r>
          </w:p>
        </w:tc>
        <w:tc>
          <w:tcPr>
            <w:tcW w:w="1052" w:type="dxa"/>
            <w:tcBorders>
              <w:top w:val="nil"/>
              <w:left w:val="nil"/>
              <w:bottom w:val="single" w:sz="12" w:space="0" w:color="auto"/>
              <w:right w:val="single" w:sz="8" w:space="0" w:color="auto"/>
            </w:tcBorders>
            <w:shd w:val="clear" w:color="auto" w:fill="auto"/>
            <w:vAlign w:val="center"/>
          </w:tcPr>
          <w:p w14:paraId="7B4BB3BE"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2,260</w:t>
            </w:r>
          </w:p>
        </w:tc>
        <w:tc>
          <w:tcPr>
            <w:tcW w:w="938" w:type="dxa"/>
            <w:tcBorders>
              <w:top w:val="nil"/>
              <w:left w:val="nil"/>
              <w:bottom w:val="single" w:sz="12" w:space="0" w:color="auto"/>
              <w:right w:val="single" w:sz="8" w:space="0" w:color="auto"/>
            </w:tcBorders>
            <w:shd w:val="clear" w:color="auto" w:fill="auto"/>
            <w:vAlign w:val="center"/>
          </w:tcPr>
          <w:p w14:paraId="223B6EC5"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18,100</w:t>
            </w:r>
          </w:p>
        </w:tc>
        <w:tc>
          <w:tcPr>
            <w:tcW w:w="800" w:type="dxa"/>
            <w:tcBorders>
              <w:top w:val="nil"/>
              <w:left w:val="nil"/>
              <w:bottom w:val="single" w:sz="12" w:space="0" w:color="auto"/>
              <w:right w:val="single" w:sz="8" w:space="0" w:color="auto"/>
            </w:tcBorders>
            <w:shd w:val="clear" w:color="auto" w:fill="auto"/>
            <w:vAlign w:val="center"/>
          </w:tcPr>
          <w:p w14:paraId="5D154106"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43,400</w:t>
            </w:r>
          </w:p>
        </w:tc>
        <w:tc>
          <w:tcPr>
            <w:tcW w:w="941" w:type="dxa"/>
            <w:tcBorders>
              <w:top w:val="nil"/>
              <w:left w:val="nil"/>
              <w:bottom w:val="single" w:sz="12" w:space="0" w:color="auto"/>
              <w:right w:val="single" w:sz="8" w:space="0" w:color="auto"/>
            </w:tcBorders>
            <w:shd w:val="clear" w:color="auto" w:fill="auto"/>
            <w:vAlign w:val="center"/>
          </w:tcPr>
          <w:p w14:paraId="136C6BA2"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12,500</w:t>
            </w:r>
          </w:p>
        </w:tc>
        <w:tc>
          <w:tcPr>
            <w:tcW w:w="840" w:type="dxa"/>
            <w:tcBorders>
              <w:top w:val="nil"/>
              <w:left w:val="nil"/>
              <w:bottom w:val="single" w:sz="12" w:space="0" w:color="auto"/>
              <w:right w:val="single" w:sz="8" w:space="0" w:color="auto"/>
            </w:tcBorders>
            <w:shd w:val="clear" w:color="auto" w:fill="auto"/>
            <w:vAlign w:val="center"/>
          </w:tcPr>
          <w:p w14:paraId="4169E145"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72,000</w:t>
            </w:r>
          </w:p>
        </w:tc>
        <w:tc>
          <w:tcPr>
            <w:tcW w:w="840" w:type="dxa"/>
            <w:tcBorders>
              <w:top w:val="nil"/>
              <w:left w:val="nil"/>
              <w:bottom w:val="single" w:sz="12" w:space="0" w:color="auto"/>
              <w:right w:val="single" w:sz="8" w:space="0" w:color="auto"/>
            </w:tcBorders>
            <w:shd w:val="clear" w:color="auto" w:fill="auto"/>
            <w:vAlign w:val="center"/>
          </w:tcPr>
          <w:p w14:paraId="15F3EF7B" w14:textId="77777777" w:rsidR="001036EE" w:rsidRPr="001036EE" w:rsidRDefault="001036EE" w:rsidP="001036EE">
            <w:pPr>
              <w:spacing w:before="20" w:after="20"/>
              <w:jc w:val="center"/>
              <w:rPr>
                <w:rFonts w:ascii="Arial" w:hAnsi="Arial" w:cs="Arial"/>
                <w:sz w:val="16"/>
                <w:szCs w:val="16"/>
                <w:lang w:val="en-GB" w:bidi="th-TH"/>
              </w:rPr>
            </w:pPr>
            <w:r w:rsidRPr="001036EE">
              <w:rPr>
                <w:rFonts w:ascii="Arial" w:hAnsi="Arial" w:cs="Arial"/>
                <w:sz w:val="16"/>
                <w:szCs w:val="16"/>
                <w:lang w:val="en-GB" w:bidi="th-TH"/>
              </w:rPr>
              <w:t>5,570</w:t>
            </w:r>
          </w:p>
        </w:tc>
        <w:tc>
          <w:tcPr>
            <w:tcW w:w="840" w:type="dxa"/>
            <w:tcBorders>
              <w:top w:val="nil"/>
              <w:left w:val="nil"/>
              <w:bottom w:val="single" w:sz="12" w:space="0" w:color="auto"/>
              <w:right w:val="single" w:sz="12" w:space="0" w:color="auto"/>
            </w:tcBorders>
            <w:shd w:val="clear" w:color="auto" w:fill="auto"/>
            <w:vAlign w:val="center"/>
          </w:tcPr>
          <w:p w14:paraId="4A370C3D" w14:textId="77777777" w:rsidR="001036EE" w:rsidRPr="001036EE" w:rsidRDefault="001036EE" w:rsidP="001036EE">
            <w:pPr>
              <w:spacing w:before="20" w:after="20"/>
              <w:jc w:val="right"/>
              <w:rPr>
                <w:rFonts w:ascii="Arial" w:hAnsi="Arial" w:cs="Arial"/>
                <w:sz w:val="16"/>
                <w:szCs w:val="16"/>
                <w:lang w:val="en-GB" w:bidi="th-TH"/>
              </w:rPr>
            </w:pPr>
            <w:r w:rsidRPr="001036EE">
              <w:rPr>
                <w:rFonts w:ascii="Arial" w:hAnsi="Arial" w:cs="Arial"/>
                <w:sz w:val="16"/>
                <w:szCs w:val="16"/>
                <w:lang w:val="en-GB" w:bidi="th-TH"/>
              </w:rPr>
              <w:t>154,000</w:t>
            </w:r>
          </w:p>
        </w:tc>
      </w:tr>
    </w:tbl>
    <w:p w14:paraId="1148B565" w14:textId="77777777" w:rsidR="00AF5F54" w:rsidRPr="005A07CE" w:rsidRDefault="001036EE" w:rsidP="00AF5F54">
      <w:pPr>
        <w:numPr>
          <w:ilvl w:val="0"/>
          <w:numId w:val="3"/>
        </w:numPr>
        <w:spacing w:before="120" w:after="120"/>
        <w:ind w:left="0" w:firstLine="0"/>
        <w:jc w:val="both"/>
        <w:rPr>
          <w:sz w:val="22"/>
          <w:szCs w:val="22"/>
          <w:lang w:val="en-GB"/>
        </w:rPr>
      </w:pPr>
      <w:r w:rsidRPr="005A07CE">
        <w:rPr>
          <w:sz w:val="22"/>
          <w:szCs w:val="22"/>
        </w:rPr>
        <w:t xml:space="preserve">Coral reef monitoring has expanded in most countries bordering the South China Sea during recent decades and has provided baselines for long-term coral reef management. The data obtained in the framework of the Global Coral Reef Monitoring Network (GCRMN) indicate that the percentage of reefs in Southeast Asian countries had declined in state from one quartile category to a lower one, equivalent to a decadal loss of 16%. </w:t>
      </w:r>
    </w:p>
    <w:p w14:paraId="2D638BDB" w14:textId="77777777" w:rsidR="001036EE" w:rsidRPr="005A07CE" w:rsidRDefault="001036EE" w:rsidP="001036EE">
      <w:pPr>
        <w:numPr>
          <w:ilvl w:val="0"/>
          <w:numId w:val="3"/>
        </w:numPr>
        <w:spacing w:before="120" w:after="120"/>
        <w:ind w:left="0" w:firstLine="0"/>
        <w:jc w:val="both"/>
        <w:rPr>
          <w:sz w:val="22"/>
          <w:szCs w:val="22"/>
          <w:lang w:val="en-GB"/>
        </w:rPr>
      </w:pPr>
      <w:r w:rsidRPr="005A07CE">
        <w:rPr>
          <w:sz w:val="22"/>
          <w:szCs w:val="22"/>
          <w:lang w:val="en-GB"/>
        </w:rPr>
        <w:t>As part of setting the coral reef targets of the SAP, it was noted that setting a target for the total area under management did not represent a target for the state of the reef although it could be assumed that those under management would, depending on the management regime, be more likely to sustain their biological diversity than those that were not under management. Therefore, an additional target related to the reduction of the degradation rate was developed. Regional coral specialists involved in target setting agreed that improvement of coral reef management could feasibly support a reduced decadal degradation rate of coral reefs in the South China Sea from 16% to 5%, and that ongoing regional assessments of coral reef status will enable comparisons of degradation rates in future years.</w:t>
      </w:r>
    </w:p>
    <w:p w14:paraId="5EF911D2" w14:textId="77777777" w:rsidR="001036EE" w:rsidRPr="005A07CE" w:rsidRDefault="001036EE" w:rsidP="001036EE">
      <w:pPr>
        <w:numPr>
          <w:ilvl w:val="0"/>
          <w:numId w:val="3"/>
        </w:numPr>
        <w:spacing w:after="120"/>
        <w:ind w:left="0" w:firstLine="0"/>
        <w:jc w:val="both"/>
        <w:rPr>
          <w:bCs/>
          <w:sz w:val="22"/>
          <w:szCs w:val="22"/>
        </w:rPr>
      </w:pPr>
      <w:r w:rsidRPr="005A07CE">
        <w:rPr>
          <w:bCs/>
          <w:sz w:val="22"/>
          <w:szCs w:val="22"/>
        </w:rPr>
        <w:t>Accordingly, the specific targets for coral reef management contained within the intergovermentally endorsed Strategic Action Programme</w:t>
      </w:r>
      <w:r w:rsidR="00B8558B">
        <w:rPr>
          <w:bCs/>
          <w:sz w:val="22"/>
          <w:szCs w:val="22"/>
        </w:rPr>
        <w:t xml:space="preserve"> for the South China Sea</w:t>
      </w:r>
      <w:r w:rsidRPr="005A07CE">
        <w:rPr>
          <w:bCs/>
          <w:sz w:val="22"/>
          <w:szCs w:val="22"/>
        </w:rPr>
        <w:t xml:space="preserve"> are:</w:t>
      </w:r>
    </w:p>
    <w:p w14:paraId="142D8726" w14:textId="77777777" w:rsidR="00AB0C8C" w:rsidRPr="00B8558B" w:rsidRDefault="00AB0C8C" w:rsidP="004B053A">
      <w:pPr>
        <w:numPr>
          <w:ilvl w:val="0"/>
          <w:numId w:val="21"/>
        </w:numPr>
        <w:spacing w:after="120"/>
        <w:ind w:right="432"/>
        <w:jc w:val="both"/>
        <w:rPr>
          <w:bCs/>
          <w:sz w:val="22"/>
          <w:szCs w:val="22"/>
        </w:rPr>
      </w:pPr>
      <w:r w:rsidRPr="00B8558B">
        <w:rPr>
          <w:bCs/>
          <w:sz w:val="22"/>
          <w:szCs w:val="22"/>
        </w:rPr>
        <w:t>at least 70% of the existing area of coral reefs in the 82 target coral reef sites (153,</w:t>
      </w:r>
      <w:r w:rsidR="00B8558B">
        <w:rPr>
          <w:bCs/>
          <w:sz w:val="22"/>
          <w:szCs w:val="22"/>
        </w:rPr>
        <w:t>8</w:t>
      </w:r>
      <w:r w:rsidRPr="00B8558B">
        <w:rPr>
          <w:bCs/>
          <w:sz w:val="22"/>
          <w:szCs w:val="22"/>
        </w:rPr>
        <w:t>00ha) to be put under an appropriate form of sustainable management;</w:t>
      </w:r>
    </w:p>
    <w:p w14:paraId="31A678D3" w14:textId="77777777" w:rsidR="001036EE" w:rsidRPr="00B8558B" w:rsidRDefault="00AB0C8C" w:rsidP="004B053A">
      <w:pPr>
        <w:numPr>
          <w:ilvl w:val="0"/>
          <w:numId w:val="21"/>
        </w:numPr>
        <w:spacing w:after="120"/>
        <w:ind w:right="432"/>
        <w:jc w:val="both"/>
        <w:rPr>
          <w:bCs/>
          <w:sz w:val="22"/>
          <w:szCs w:val="22"/>
        </w:rPr>
      </w:pPr>
      <w:r w:rsidRPr="00B8558B">
        <w:rPr>
          <w:bCs/>
          <w:sz w:val="22"/>
          <w:szCs w:val="22"/>
        </w:rPr>
        <w:t>reduce the regional decadal rate of degradation in live coral cover from the present rate of 16% to 5%.</w:t>
      </w:r>
    </w:p>
    <w:p w14:paraId="5A75FD15" w14:textId="77777777" w:rsidR="001036EE" w:rsidRDefault="00AB0C8C" w:rsidP="001036EE">
      <w:pPr>
        <w:numPr>
          <w:ilvl w:val="0"/>
          <w:numId w:val="3"/>
        </w:numPr>
        <w:spacing w:before="120" w:after="120"/>
        <w:ind w:left="0" w:firstLine="0"/>
        <w:jc w:val="both"/>
        <w:rPr>
          <w:sz w:val="22"/>
          <w:szCs w:val="22"/>
          <w:lang w:val="en-GB"/>
        </w:rPr>
      </w:pPr>
      <w:r w:rsidRPr="00AA5D31">
        <w:rPr>
          <w:sz w:val="22"/>
          <w:szCs w:val="22"/>
        </w:rPr>
        <w:t xml:space="preserve">In preparation for implementation of the </w:t>
      </w:r>
      <w:r>
        <w:rPr>
          <w:sz w:val="22"/>
          <w:szCs w:val="22"/>
        </w:rPr>
        <w:t>coral reef activities</w:t>
      </w:r>
      <w:r w:rsidRPr="00AA5D31">
        <w:rPr>
          <w:sz w:val="22"/>
          <w:szCs w:val="22"/>
        </w:rPr>
        <w:t xml:space="preserve"> of the SAP, comprehensive site characterization information and data were compiled to establish detailed baselines for the </w:t>
      </w:r>
      <w:r>
        <w:rPr>
          <w:sz w:val="22"/>
          <w:szCs w:val="22"/>
        </w:rPr>
        <w:t>coral reef</w:t>
      </w:r>
      <w:r w:rsidRPr="00AA5D31">
        <w:rPr>
          <w:sz w:val="22"/>
          <w:szCs w:val="22"/>
        </w:rPr>
        <w:t xml:space="preserve"> sites identified as priority locations for management within the framework of SAP implementation. These site characterisations contain geographical coordinates, information on the physical environment, environmental state information, socio-economic and resource use information, biological data, and information on the status of existing management at these sites. These baseline assessments of the sites have been made accessible online at </w:t>
      </w:r>
      <w:r w:rsidRPr="00041901">
        <w:rPr>
          <w:sz w:val="22"/>
          <w:szCs w:val="22"/>
        </w:rPr>
        <w:t>http://gis.unepscs.org</w:t>
      </w:r>
      <w:r>
        <w:rPr>
          <w:rStyle w:val="FootnoteReference"/>
          <w:sz w:val="22"/>
          <w:szCs w:val="22"/>
        </w:rPr>
        <w:footnoteReference w:id="67"/>
      </w:r>
      <w:r w:rsidRPr="00AA5D31">
        <w:rPr>
          <w:sz w:val="22"/>
          <w:szCs w:val="22"/>
        </w:rPr>
        <w:t>. A supporting meta-database of the data used to establish the baselines has also been developed as a preparatory activi</w:t>
      </w:r>
      <w:r>
        <w:rPr>
          <w:sz w:val="22"/>
          <w:szCs w:val="22"/>
        </w:rPr>
        <w:t>ty</w:t>
      </w:r>
      <w:r w:rsidRPr="00AA5D31">
        <w:rPr>
          <w:sz w:val="22"/>
          <w:szCs w:val="22"/>
        </w:rPr>
        <w:t xml:space="preserve">. A summary of information at the </w:t>
      </w:r>
      <w:r>
        <w:rPr>
          <w:sz w:val="22"/>
          <w:szCs w:val="22"/>
        </w:rPr>
        <w:t>82</w:t>
      </w:r>
      <w:r w:rsidRPr="00AA5D31">
        <w:rPr>
          <w:sz w:val="22"/>
          <w:szCs w:val="22"/>
        </w:rPr>
        <w:t xml:space="preserve"> sites is presented in Table </w:t>
      </w:r>
      <w:r>
        <w:rPr>
          <w:sz w:val="22"/>
          <w:szCs w:val="22"/>
        </w:rPr>
        <w:t>2</w:t>
      </w:r>
      <w:r w:rsidR="00576735">
        <w:rPr>
          <w:sz w:val="22"/>
          <w:szCs w:val="22"/>
        </w:rPr>
        <w:t>3</w:t>
      </w:r>
      <w:r w:rsidRPr="00AA5D31">
        <w:rPr>
          <w:sz w:val="22"/>
          <w:szCs w:val="22"/>
        </w:rPr>
        <w:t>.</w:t>
      </w:r>
      <w:r>
        <w:rPr>
          <w:sz w:val="22"/>
          <w:szCs w:val="22"/>
        </w:rPr>
        <w:t xml:space="preserve"> As noted above, detailed national reports on the status and trends in coral reefs and coral reef management were also published in preparation for SAP implementation</w:t>
      </w:r>
      <w:r>
        <w:rPr>
          <w:sz w:val="22"/>
          <w:szCs w:val="22"/>
          <w:lang w:val="en-GB"/>
        </w:rPr>
        <w:t xml:space="preserve">. </w:t>
      </w:r>
    </w:p>
    <w:p w14:paraId="7B7B04F0" w14:textId="77777777" w:rsidR="00576735" w:rsidRDefault="00576735" w:rsidP="00576735">
      <w:pPr>
        <w:spacing w:before="120" w:after="120"/>
        <w:jc w:val="both"/>
        <w:rPr>
          <w:sz w:val="22"/>
          <w:szCs w:val="22"/>
          <w:lang w:val="en-GB"/>
        </w:rPr>
      </w:pPr>
      <w:r w:rsidRPr="00F370E8">
        <w:rPr>
          <w:b/>
          <w:sz w:val="22"/>
          <w:szCs w:val="22"/>
          <w:lang w:val="en-GB"/>
        </w:rPr>
        <w:t>Table 23</w:t>
      </w:r>
      <w:r>
        <w:rPr>
          <w:sz w:val="22"/>
          <w:szCs w:val="22"/>
          <w:lang w:val="en-GB"/>
        </w:rPr>
        <w:tab/>
        <w:t>Management status of coral reef sites in the South China Sea</w:t>
      </w:r>
      <w:r>
        <w:rPr>
          <w:sz w:val="22"/>
          <w:szCs w:val="22"/>
          <w:lang w:val="en-GB"/>
        </w:rPr>
        <w:tab/>
      </w:r>
    </w:p>
    <w:tbl>
      <w:tblPr>
        <w:tblW w:w="90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79"/>
        <w:gridCol w:w="900"/>
        <w:gridCol w:w="1088"/>
        <w:gridCol w:w="2243"/>
        <w:gridCol w:w="1260"/>
        <w:gridCol w:w="1530"/>
      </w:tblGrid>
      <w:tr w:rsidR="00AB0C8C" w:rsidRPr="00AB0C8C" w14:paraId="40E8C51D" w14:textId="77777777" w:rsidTr="00F370E8">
        <w:trPr>
          <w:trHeight w:val="348"/>
          <w:jc w:val="center"/>
        </w:trPr>
        <w:tc>
          <w:tcPr>
            <w:tcW w:w="1979" w:type="dxa"/>
            <w:tcBorders>
              <w:top w:val="single" w:sz="12" w:space="0" w:color="auto"/>
              <w:left w:val="single" w:sz="12" w:space="0" w:color="auto"/>
              <w:bottom w:val="single" w:sz="12" w:space="0" w:color="auto"/>
              <w:right w:val="single" w:sz="12" w:space="0" w:color="auto"/>
            </w:tcBorders>
            <w:noWrap/>
            <w:vAlign w:val="center"/>
          </w:tcPr>
          <w:p w14:paraId="3979641F" w14:textId="77777777" w:rsidR="00AB0C8C" w:rsidRPr="00AB0C8C" w:rsidRDefault="00AB0C8C" w:rsidP="00AB0C8C">
            <w:pPr>
              <w:rPr>
                <w:rFonts w:ascii="Arial" w:hAnsi="Arial" w:cs="Angsana New"/>
                <w:b/>
                <w:sz w:val="16"/>
                <w:szCs w:val="16"/>
                <w:lang w:val="en-GB"/>
              </w:rPr>
            </w:pPr>
            <w:r w:rsidRPr="00AB0C8C">
              <w:rPr>
                <w:rFonts w:ascii="Arial" w:hAnsi="Arial" w:cs="Angsana New"/>
                <w:b/>
                <w:sz w:val="16"/>
                <w:lang w:val="en-GB"/>
              </w:rPr>
              <w:t>Country &amp; Site Name</w:t>
            </w:r>
          </w:p>
        </w:tc>
        <w:tc>
          <w:tcPr>
            <w:tcW w:w="900" w:type="dxa"/>
            <w:tcBorders>
              <w:top w:val="single" w:sz="12" w:space="0" w:color="auto"/>
              <w:left w:val="single" w:sz="12" w:space="0" w:color="auto"/>
              <w:bottom w:val="single" w:sz="12" w:space="0" w:color="auto"/>
              <w:right w:val="single" w:sz="12" w:space="0" w:color="auto"/>
            </w:tcBorders>
            <w:noWrap/>
            <w:vAlign w:val="center"/>
          </w:tcPr>
          <w:p w14:paraId="0102D9B3" w14:textId="77777777" w:rsidR="00AB0C8C" w:rsidRPr="00AB0C8C" w:rsidRDefault="00AB0C8C" w:rsidP="00AB0C8C">
            <w:pPr>
              <w:jc w:val="center"/>
              <w:rPr>
                <w:rFonts w:ascii="Arial" w:hAnsi="Arial" w:cs="Angsana New"/>
                <w:b/>
                <w:sz w:val="16"/>
                <w:lang w:val="en-GB"/>
              </w:rPr>
            </w:pPr>
            <w:r w:rsidRPr="00AB0C8C">
              <w:rPr>
                <w:rFonts w:ascii="Arial" w:hAnsi="Arial" w:cs="Angsana New"/>
                <w:b/>
                <w:sz w:val="16"/>
                <w:lang w:val="en-GB"/>
              </w:rPr>
              <w:t>Area (ha)</w:t>
            </w:r>
          </w:p>
        </w:tc>
        <w:tc>
          <w:tcPr>
            <w:tcW w:w="1088" w:type="dxa"/>
            <w:tcBorders>
              <w:top w:val="single" w:sz="12" w:space="0" w:color="auto"/>
              <w:left w:val="single" w:sz="12" w:space="0" w:color="auto"/>
              <w:bottom w:val="single" w:sz="12" w:space="0" w:color="auto"/>
              <w:right w:val="single" w:sz="12" w:space="0" w:color="auto"/>
            </w:tcBorders>
            <w:noWrap/>
            <w:vAlign w:val="center"/>
          </w:tcPr>
          <w:p w14:paraId="656652BC" w14:textId="77777777" w:rsidR="00AB0C8C" w:rsidRPr="00AB0C8C" w:rsidRDefault="00AB0C8C" w:rsidP="00AB0C8C">
            <w:pPr>
              <w:jc w:val="center"/>
              <w:rPr>
                <w:rFonts w:ascii="Arial" w:hAnsi="Arial" w:cs="Angsana New"/>
                <w:b/>
                <w:sz w:val="16"/>
                <w:lang w:val="en-GB"/>
              </w:rPr>
            </w:pPr>
            <w:r w:rsidRPr="00AB0C8C">
              <w:rPr>
                <w:rFonts w:ascii="Arial" w:hAnsi="Arial" w:cs="Angsana New"/>
                <w:b/>
                <w:sz w:val="16"/>
                <w:lang w:val="en-GB"/>
              </w:rPr>
              <w:t>Live Coral Cover (%)</w:t>
            </w:r>
          </w:p>
        </w:tc>
        <w:tc>
          <w:tcPr>
            <w:tcW w:w="2243" w:type="dxa"/>
            <w:tcBorders>
              <w:top w:val="single" w:sz="12" w:space="0" w:color="auto"/>
              <w:left w:val="single" w:sz="12" w:space="0" w:color="auto"/>
              <w:bottom w:val="single" w:sz="12" w:space="0" w:color="auto"/>
              <w:right w:val="single" w:sz="12" w:space="0" w:color="auto"/>
            </w:tcBorders>
            <w:vAlign w:val="center"/>
          </w:tcPr>
          <w:p w14:paraId="2180E4AB" w14:textId="77777777" w:rsidR="00AB0C8C" w:rsidRPr="00AB0C8C" w:rsidRDefault="00AB0C8C" w:rsidP="00AB0C8C">
            <w:pPr>
              <w:jc w:val="center"/>
              <w:rPr>
                <w:rFonts w:ascii="Arial" w:hAnsi="Arial" w:cs="Angsana New"/>
                <w:b/>
                <w:sz w:val="16"/>
                <w:lang w:val="en-GB"/>
              </w:rPr>
            </w:pPr>
            <w:r w:rsidRPr="00AB0C8C">
              <w:rPr>
                <w:rFonts w:ascii="Arial" w:hAnsi="Arial" w:cs="Angsana New"/>
                <w:b/>
                <w:sz w:val="16"/>
                <w:lang w:val="en-GB"/>
              </w:rPr>
              <w:t>Management legal status</w:t>
            </w:r>
          </w:p>
        </w:tc>
        <w:tc>
          <w:tcPr>
            <w:tcW w:w="1260" w:type="dxa"/>
            <w:tcBorders>
              <w:top w:val="single" w:sz="12" w:space="0" w:color="auto"/>
              <w:left w:val="single" w:sz="12" w:space="0" w:color="auto"/>
              <w:bottom w:val="single" w:sz="12" w:space="0" w:color="auto"/>
              <w:right w:val="single" w:sz="12" w:space="0" w:color="auto"/>
            </w:tcBorders>
            <w:vAlign w:val="center"/>
          </w:tcPr>
          <w:p w14:paraId="68D1486A" w14:textId="77777777" w:rsidR="00AB0C8C" w:rsidRPr="00AB0C8C" w:rsidRDefault="00AB0C8C" w:rsidP="00AB0C8C">
            <w:pPr>
              <w:jc w:val="center"/>
              <w:rPr>
                <w:rFonts w:ascii="Arial" w:hAnsi="Arial" w:cs="Angsana New"/>
                <w:b/>
                <w:sz w:val="16"/>
                <w:lang w:val="en-GB"/>
              </w:rPr>
            </w:pPr>
            <w:r w:rsidRPr="00AB0C8C">
              <w:rPr>
                <w:rFonts w:ascii="Arial" w:hAnsi="Arial" w:cs="Angsana New"/>
                <w:b/>
                <w:sz w:val="16"/>
                <w:lang w:val="en-GB"/>
              </w:rPr>
              <w:t>Area under Management (ha)</w:t>
            </w:r>
          </w:p>
        </w:tc>
        <w:tc>
          <w:tcPr>
            <w:tcW w:w="1530" w:type="dxa"/>
            <w:tcBorders>
              <w:top w:val="single" w:sz="12" w:space="0" w:color="auto"/>
              <w:left w:val="single" w:sz="12" w:space="0" w:color="auto"/>
              <w:bottom w:val="single" w:sz="12" w:space="0" w:color="auto"/>
              <w:right w:val="single" w:sz="12" w:space="0" w:color="auto"/>
            </w:tcBorders>
            <w:vAlign w:val="center"/>
          </w:tcPr>
          <w:p w14:paraId="3FD3F19C" w14:textId="77777777" w:rsidR="00AB0C8C" w:rsidRPr="00AB0C8C" w:rsidRDefault="00AB0C8C" w:rsidP="00AB0C8C">
            <w:pPr>
              <w:jc w:val="center"/>
              <w:rPr>
                <w:rFonts w:ascii="Arial" w:hAnsi="Arial" w:cs="Angsana New"/>
                <w:b/>
                <w:sz w:val="16"/>
                <w:lang w:val="en-GB"/>
              </w:rPr>
            </w:pPr>
            <w:r w:rsidRPr="00AB0C8C">
              <w:rPr>
                <w:rFonts w:ascii="Arial" w:hAnsi="Arial" w:cs="Angsana New"/>
                <w:b/>
                <w:sz w:val="16"/>
                <w:lang w:val="en-GB"/>
              </w:rPr>
              <w:t>Management Effectiveness</w:t>
            </w:r>
            <w:r w:rsidRPr="00AB0C8C">
              <w:rPr>
                <w:rFonts w:ascii="Arial" w:hAnsi="Arial" w:cs="Angsana New"/>
                <w:b/>
                <w:sz w:val="16"/>
                <w:vertAlign w:val="superscript"/>
                <w:lang w:val="en-GB"/>
              </w:rPr>
              <w:footnoteReference w:id="68"/>
            </w:r>
          </w:p>
        </w:tc>
      </w:tr>
      <w:tr w:rsidR="00AB0C8C" w:rsidRPr="00AB0C8C" w14:paraId="5D2A1A5A" w14:textId="77777777" w:rsidTr="00F370E8">
        <w:trPr>
          <w:trHeight w:val="151"/>
          <w:jc w:val="center"/>
        </w:trPr>
        <w:tc>
          <w:tcPr>
            <w:tcW w:w="1979" w:type="dxa"/>
            <w:tcBorders>
              <w:top w:val="single" w:sz="12" w:space="0" w:color="auto"/>
              <w:left w:val="single" w:sz="12" w:space="0" w:color="auto"/>
              <w:right w:val="single" w:sz="12" w:space="0" w:color="auto"/>
            </w:tcBorders>
            <w:noWrap/>
            <w:vAlign w:val="center"/>
          </w:tcPr>
          <w:p w14:paraId="3CDEC267" w14:textId="77777777" w:rsidR="00AB0C8C" w:rsidRPr="00AB0C8C" w:rsidRDefault="00AB0C8C" w:rsidP="00AB0C8C">
            <w:pPr>
              <w:rPr>
                <w:rFonts w:ascii="Arial" w:hAnsi="Arial" w:cs="Angsana New"/>
                <w:b/>
                <w:sz w:val="16"/>
                <w:szCs w:val="16"/>
                <w:lang w:val="en-GB"/>
              </w:rPr>
            </w:pPr>
            <w:smartTag w:uri="urn:schemas-microsoft-com:office:smarttags" w:element="place">
              <w:smartTag w:uri="urn:schemas-microsoft-com:office:smarttags" w:element="country-region">
                <w:r w:rsidRPr="00AB0C8C">
                  <w:rPr>
                    <w:rFonts w:ascii="Arial" w:hAnsi="Arial" w:cs="Angsana New"/>
                    <w:b/>
                    <w:sz w:val="16"/>
                    <w:szCs w:val="16"/>
                    <w:lang w:val="en-GB"/>
                  </w:rPr>
                  <w:t>Cambodia</w:t>
                </w:r>
              </w:smartTag>
            </w:smartTag>
          </w:p>
        </w:tc>
        <w:tc>
          <w:tcPr>
            <w:tcW w:w="900" w:type="dxa"/>
            <w:tcBorders>
              <w:top w:val="single" w:sz="12" w:space="0" w:color="auto"/>
              <w:left w:val="single" w:sz="12" w:space="0" w:color="auto"/>
              <w:right w:val="single" w:sz="12" w:space="0" w:color="auto"/>
            </w:tcBorders>
            <w:noWrap/>
            <w:vAlign w:val="center"/>
          </w:tcPr>
          <w:p w14:paraId="48D4AD3A" w14:textId="77777777" w:rsidR="00AB0C8C" w:rsidRPr="00AB0C8C" w:rsidRDefault="00AB0C8C" w:rsidP="00AB0C8C">
            <w:pPr>
              <w:jc w:val="right"/>
              <w:rPr>
                <w:rFonts w:ascii="Arial" w:hAnsi="Arial" w:cs="Angsana New"/>
                <w:b/>
                <w:sz w:val="16"/>
                <w:szCs w:val="16"/>
                <w:lang w:val="en-GB"/>
              </w:rPr>
            </w:pPr>
            <w:r w:rsidRPr="00AB0C8C">
              <w:rPr>
                <w:rFonts w:ascii="Arial" w:hAnsi="Arial" w:cs="Angsana New"/>
                <w:b/>
                <w:sz w:val="16"/>
                <w:szCs w:val="16"/>
                <w:lang w:val="en-GB"/>
              </w:rPr>
              <w:t>2,808</w:t>
            </w:r>
          </w:p>
        </w:tc>
        <w:tc>
          <w:tcPr>
            <w:tcW w:w="1088" w:type="dxa"/>
            <w:tcBorders>
              <w:top w:val="single" w:sz="12" w:space="0" w:color="auto"/>
              <w:left w:val="single" w:sz="12" w:space="0" w:color="auto"/>
              <w:right w:val="single" w:sz="12" w:space="0" w:color="auto"/>
            </w:tcBorders>
            <w:noWrap/>
            <w:vAlign w:val="center"/>
          </w:tcPr>
          <w:p w14:paraId="220672AC" w14:textId="77777777" w:rsidR="00AB0C8C" w:rsidRPr="00AB0C8C" w:rsidRDefault="00AB0C8C" w:rsidP="00AB0C8C">
            <w:pPr>
              <w:jc w:val="right"/>
              <w:rPr>
                <w:rFonts w:ascii="Arial" w:hAnsi="Arial" w:cs="Angsana New"/>
                <w:b/>
                <w:sz w:val="16"/>
                <w:szCs w:val="16"/>
                <w:lang w:val="en-GB"/>
              </w:rPr>
            </w:pPr>
          </w:p>
        </w:tc>
        <w:tc>
          <w:tcPr>
            <w:tcW w:w="2243" w:type="dxa"/>
            <w:tcBorders>
              <w:top w:val="single" w:sz="12" w:space="0" w:color="auto"/>
              <w:left w:val="single" w:sz="12" w:space="0" w:color="auto"/>
              <w:right w:val="single" w:sz="12" w:space="0" w:color="auto"/>
            </w:tcBorders>
            <w:vAlign w:val="center"/>
          </w:tcPr>
          <w:p w14:paraId="6C69F9D6" w14:textId="77777777" w:rsidR="00AB0C8C" w:rsidRPr="00AB0C8C" w:rsidRDefault="00AB0C8C" w:rsidP="00AB0C8C">
            <w:pPr>
              <w:jc w:val="right"/>
              <w:rPr>
                <w:rFonts w:ascii="Arial" w:hAnsi="Arial" w:cs="Angsana New"/>
                <w:b/>
                <w:sz w:val="16"/>
                <w:lang w:val="en-GB"/>
              </w:rPr>
            </w:pPr>
          </w:p>
        </w:tc>
        <w:tc>
          <w:tcPr>
            <w:tcW w:w="1260" w:type="dxa"/>
            <w:tcBorders>
              <w:top w:val="single" w:sz="12" w:space="0" w:color="auto"/>
              <w:left w:val="single" w:sz="12" w:space="0" w:color="auto"/>
              <w:right w:val="single" w:sz="12" w:space="0" w:color="auto"/>
            </w:tcBorders>
            <w:vAlign w:val="center"/>
          </w:tcPr>
          <w:p w14:paraId="38A28047" w14:textId="77777777" w:rsidR="00AB0C8C" w:rsidRPr="00AB0C8C" w:rsidRDefault="00AB0C8C" w:rsidP="00AB0C8C">
            <w:pPr>
              <w:jc w:val="right"/>
              <w:rPr>
                <w:rFonts w:ascii="Arial" w:hAnsi="Arial" w:cs="Angsana New"/>
                <w:b/>
                <w:sz w:val="16"/>
                <w:lang w:val="en-GB"/>
              </w:rPr>
            </w:pPr>
            <w:r w:rsidRPr="00AB0C8C">
              <w:rPr>
                <w:rFonts w:ascii="Arial" w:hAnsi="Arial" w:cs="Angsana New"/>
                <w:b/>
                <w:sz w:val="16"/>
                <w:lang w:val="en-GB"/>
              </w:rPr>
              <w:t>293</w:t>
            </w:r>
          </w:p>
        </w:tc>
        <w:tc>
          <w:tcPr>
            <w:tcW w:w="1530" w:type="dxa"/>
            <w:tcBorders>
              <w:top w:val="single" w:sz="12" w:space="0" w:color="auto"/>
              <w:left w:val="single" w:sz="12" w:space="0" w:color="auto"/>
              <w:right w:val="single" w:sz="12" w:space="0" w:color="auto"/>
            </w:tcBorders>
            <w:vAlign w:val="center"/>
          </w:tcPr>
          <w:p w14:paraId="4D1FEF3F" w14:textId="77777777" w:rsidR="00AB0C8C" w:rsidRPr="00AB0C8C" w:rsidRDefault="00AB0C8C" w:rsidP="00AB0C8C">
            <w:pPr>
              <w:jc w:val="center"/>
              <w:rPr>
                <w:rFonts w:ascii="Arial" w:hAnsi="Arial" w:cs="Angsana New"/>
                <w:b/>
                <w:sz w:val="16"/>
                <w:lang w:val="en-GB"/>
              </w:rPr>
            </w:pPr>
          </w:p>
        </w:tc>
      </w:tr>
      <w:tr w:rsidR="00AB0C8C" w:rsidRPr="00AB0C8C" w14:paraId="120C6C26" w14:textId="77777777" w:rsidTr="00F370E8">
        <w:trPr>
          <w:trHeight w:val="65"/>
          <w:jc w:val="center"/>
        </w:trPr>
        <w:tc>
          <w:tcPr>
            <w:tcW w:w="1979" w:type="dxa"/>
            <w:tcBorders>
              <w:left w:val="single" w:sz="12" w:space="0" w:color="auto"/>
              <w:right w:val="single" w:sz="12" w:space="0" w:color="auto"/>
            </w:tcBorders>
            <w:noWrap/>
            <w:vAlign w:val="center"/>
          </w:tcPr>
          <w:p w14:paraId="3341E010" w14:textId="77777777" w:rsidR="00AB0C8C" w:rsidRPr="00AB0C8C" w:rsidRDefault="00AB0C8C" w:rsidP="00AB0C8C">
            <w:pPr>
              <w:rPr>
                <w:rFonts w:ascii="Arial" w:hAnsi="Arial" w:cs="Angsana New"/>
                <w:bCs/>
                <w:sz w:val="16"/>
                <w:szCs w:val="16"/>
                <w:lang w:val="en-GB"/>
              </w:rPr>
            </w:pPr>
            <w:r w:rsidRPr="00AB0C8C">
              <w:rPr>
                <w:rFonts w:ascii="Arial" w:hAnsi="Arial" w:cs="Angsana New"/>
                <w:bCs/>
                <w:sz w:val="16"/>
                <w:szCs w:val="16"/>
                <w:lang w:val="en-GB"/>
              </w:rPr>
              <w:t>Koh Kong</w:t>
            </w:r>
            <w:r w:rsidR="00130405">
              <w:rPr>
                <w:rFonts w:ascii="Arial" w:hAnsi="Arial" w:cs="Angsana New"/>
                <w:bCs/>
                <w:sz w:val="16"/>
                <w:szCs w:val="16"/>
                <w:lang w:val="en-GB"/>
              </w:rPr>
              <w:t xml:space="preserve"> archipelago</w:t>
            </w:r>
          </w:p>
        </w:tc>
        <w:tc>
          <w:tcPr>
            <w:tcW w:w="900" w:type="dxa"/>
            <w:tcBorders>
              <w:left w:val="single" w:sz="12" w:space="0" w:color="auto"/>
              <w:right w:val="single" w:sz="12" w:space="0" w:color="auto"/>
            </w:tcBorders>
            <w:noWrap/>
            <w:vAlign w:val="center"/>
          </w:tcPr>
          <w:p w14:paraId="013D98D6" w14:textId="77777777" w:rsidR="00AB0C8C" w:rsidRPr="00AB0C8C" w:rsidRDefault="00AB0C8C" w:rsidP="00AB0C8C">
            <w:pPr>
              <w:jc w:val="right"/>
              <w:rPr>
                <w:rFonts w:ascii="Arial" w:hAnsi="Arial" w:cs="Angsana New"/>
                <w:bCs/>
                <w:sz w:val="16"/>
                <w:szCs w:val="16"/>
                <w:lang w:val="en-GB"/>
              </w:rPr>
            </w:pPr>
            <w:r w:rsidRPr="00AB0C8C">
              <w:rPr>
                <w:rFonts w:ascii="Arial" w:hAnsi="Arial" w:cs="Angsana New"/>
                <w:bCs/>
                <w:sz w:val="16"/>
                <w:szCs w:val="16"/>
                <w:lang w:val="en-GB"/>
              </w:rPr>
              <w:t>73</w:t>
            </w:r>
          </w:p>
        </w:tc>
        <w:tc>
          <w:tcPr>
            <w:tcW w:w="1088" w:type="dxa"/>
            <w:tcBorders>
              <w:left w:val="single" w:sz="12" w:space="0" w:color="auto"/>
              <w:right w:val="single" w:sz="12" w:space="0" w:color="auto"/>
            </w:tcBorders>
            <w:noWrap/>
            <w:vAlign w:val="center"/>
          </w:tcPr>
          <w:p w14:paraId="331D071C" w14:textId="77777777" w:rsidR="00AB0C8C" w:rsidRPr="00AB0C8C" w:rsidRDefault="00AB0C8C" w:rsidP="00AB0C8C">
            <w:pPr>
              <w:jc w:val="center"/>
              <w:rPr>
                <w:rFonts w:ascii="Arial" w:hAnsi="Arial" w:cs="Angsana New"/>
                <w:bCs/>
                <w:sz w:val="16"/>
                <w:szCs w:val="16"/>
                <w:lang w:val="en-GB"/>
              </w:rPr>
            </w:pPr>
            <w:r w:rsidRPr="00AB0C8C">
              <w:rPr>
                <w:rFonts w:ascii="Arial" w:hAnsi="Arial" w:cs="Angsana New"/>
                <w:bCs/>
                <w:sz w:val="16"/>
                <w:szCs w:val="16"/>
                <w:lang w:val="en-GB"/>
              </w:rPr>
              <w:t>47</w:t>
            </w:r>
          </w:p>
        </w:tc>
        <w:tc>
          <w:tcPr>
            <w:tcW w:w="2243" w:type="dxa"/>
            <w:tcBorders>
              <w:left w:val="single" w:sz="12" w:space="0" w:color="auto"/>
              <w:right w:val="single" w:sz="12" w:space="0" w:color="auto"/>
            </w:tcBorders>
            <w:vAlign w:val="center"/>
          </w:tcPr>
          <w:p w14:paraId="7BA68DF1" w14:textId="77777777" w:rsidR="00AB0C8C" w:rsidRPr="00AB0C8C" w:rsidRDefault="00AB0C8C" w:rsidP="00AB0C8C">
            <w:pPr>
              <w:ind w:right="-108"/>
              <w:rPr>
                <w:rFonts w:ascii="Arial" w:hAnsi="Arial" w:cs="Angsana New"/>
                <w:bCs/>
                <w:sz w:val="16"/>
                <w:lang w:val="en-GB"/>
              </w:rPr>
            </w:pPr>
            <w:r w:rsidRPr="00AB0C8C">
              <w:rPr>
                <w:rFonts w:ascii="Arial" w:hAnsi="Arial" w:cs="Angsana New"/>
                <w:bCs/>
                <w:sz w:val="16"/>
                <w:lang w:val="en-GB"/>
              </w:rPr>
              <w:t>Fisheries Management Area (FMA)</w:t>
            </w:r>
          </w:p>
        </w:tc>
        <w:tc>
          <w:tcPr>
            <w:tcW w:w="1260" w:type="dxa"/>
            <w:tcBorders>
              <w:left w:val="single" w:sz="12" w:space="0" w:color="auto"/>
              <w:right w:val="single" w:sz="12" w:space="0" w:color="auto"/>
            </w:tcBorders>
            <w:vAlign w:val="center"/>
          </w:tcPr>
          <w:p w14:paraId="3FA05AE9" w14:textId="77777777" w:rsidR="00AB0C8C" w:rsidRPr="00AB0C8C" w:rsidRDefault="00AB0C8C" w:rsidP="00AB0C8C">
            <w:pPr>
              <w:jc w:val="right"/>
              <w:rPr>
                <w:rFonts w:ascii="Arial" w:hAnsi="Arial" w:cs="Angsana New"/>
                <w:bCs/>
                <w:sz w:val="16"/>
                <w:lang w:val="en-GB"/>
              </w:rPr>
            </w:pPr>
          </w:p>
        </w:tc>
        <w:tc>
          <w:tcPr>
            <w:tcW w:w="1530" w:type="dxa"/>
            <w:tcBorders>
              <w:left w:val="single" w:sz="12" w:space="0" w:color="auto"/>
              <w:right w:val="single" w:sz="12" w:space="0" w:color="auto"/>
            </w:tcBorders>
            <w:vAlign w:val="center"/>
          </w:tcPr>
          <w:p w14:paraId="05CC84B9" w14:textId="77777777" w:rsidR="00AB0C8C" w:rsidRPr="00AB0C8C" w:rsidRDefault="00AB0C8C" w:rsidP="00AB0C8C">
            <w:pPr>
              <w:jc w:val="center"/>
              <w:rPr>
                <w:rFonts w:ascii="Arial" w:hAnsi="Arial" w:cs="Angsana New"/>
                <w:bCs/>
                <w:sz w:val="16"/>
                <w:lang w:val="en-GB"/>
              </w:rPr>
            </w:pPr>
          </w:p>
        </w:tc>
      </w:tr>
      <w:tr w:rsidR="00AB0C8C" w:rsidRPr="00AB0C8C" w14:paraId="64C7582C" w14:textId="77777777" w:rsidTr="00F370E8">
        <w:trPr>
          <w:trHeight w:val="65"/>
          <w:jc w:val="center"/>
        </w:trPr>
        <w:tc>
          <w:tcPr>
            <w:tcW w:w="1979" w:type="dxa"/>
            <w:tcBorders>
              <w:left w:val="single" w:sz="12" w:space="0" w:color="auto"/>
              <w:right w:val="single" w:sz="12" w:space="0" w:color="auto"/>
            </w:tcBorders>
            <w:noWrap/>
            <w:vAlign w:val="center"/>
          </w:tcPr>
          <w:p w14:paraId="019DB777" w14:textId="77777777" w:rsidR="00AB0C8C" w:rsidRPr="00AB0C8C" w:rsidRDefault="00AB0C8C" w:rsidP="00AB0C8C">
            <w:pPr>
              <w:rPr>
                <w:rFonts w:ascii="Arial" w:hAnsi="Arial" w:cs="Angsana New"/>
                <w:bCs/>
                <w:sz w:val="16"/>
                <w:szCs w:val="16"/>
                <w:lang w:val="en-GB"/>
              </w:rPr>
            </w:pPr>
            <w:r w:rsidRPr="00AB0C8C">
              <w:rPr>
                <w:rFonts w:ascii="Arial" w:hAnsi="Arial" w:cs="Angsana New"/>
                <w:bCs/>
                <w:sz w:val="16"/>
                <w:szCs w:val="16"/>
                <w:lang w:val="en-GB"/>
              </w:rPr>
              <w:t>Koh Sdach</w:t>
            </w:r>
            <w:r w:rsidR="00130405">
              <w:rPr>
                <w:rFonts w:ascii="Arial" w:hAnsi="Arial" w:cs="Angsana New"/>
                <w:bCs/>
                <w:sz w:val="16"/>
                <w:szCs w:val="16"/>
                <w:lang w:val="en-GB"/>
              </w:rPr>
              <w:t xml:space="preserve"> archipelago</w:t>
            </w:r>
          </w:p>
        </w:tc>
        <w:tc>
          <w:tcPr>
            <w:tcW w:w="900" w:type="dxa"/>
            <w:tcBorders>
              <w:left w:val="single" w:sz="12" w:space="0" w:color="auto"/>
              <w:right w:val="single" w:sz="12" w:space="0" w:color="auto"/>
            </w:tcBorders>
            <w:noWrap/>
            <w:vAlign w:val="center"/>
          </w:tcPr>
          <w:p w14:paraId="1A93F28D" w14:textId="77777777" w:rsidR="00AB0C8C" w:rsidRPr="00AB0C8C" w:rsidRDefault="00AB0C8C" w:rsidP="00AB0C8C">
            <w:pPr>
              <w:jc w:val="right"/>
              <w:rPr>
                <w:rFonts w:ascii="Arial" w:hAnsi="Arial" w:cs="Angsana New"/>
                <w:bCs/>
                <w:sz w:val="16"/>
                <w:szCs w:val="16"/>
                <w:lang w:val="en-GB"/>
              </w:rPr>
            </w:pPr>
            <w:r w:rsidRPr="00AB0C8C">
              <w:rPr>
                <w:rFonts w:ascii="Arial" w:hAnsi="Arial" w:cs="Angsana New"/>
                <w:bCs/>
                <w:sz w:val="16"/>
                <w:szCs w:val="16"/>
                <w:lang w:val="en-GB"/>
              </w:rPr>
              <w:t>529</w:t>
            </w:r>
          </w:p>
        </w:tc>
        <w:tc>
          <w:tcPr>
            <w:tcW w:w="1088" w:type="dxa"/>
            <w:tcBorders>
              <w:left w:val="single" w:sz="12" w:space="0" w:color="auto"/>
              <w:right w:val="single" w:sz="12" w:space="0" w:color="auto"/>
            </w:tcBorders>
            <w:noWrap/>
            <w:vAlign w:val="center"/>
          </w:tcPr>
          <w:p w14:paraId="38CCC60B" w14:textId="77777777" w:rsidR="00AB0C8C" w:rsidRPr="00AB0C8C" w:rsidRDefault="00AB0C8C" w:rsidP="00AB0C8C">
            <w:pPr>
              <w:jc w:val="center"/>
              <w:rPr>
                <w:rFonts w:ascii="Arial" w:hAnsi="Arial" w:cs="Angsana New"/>
                <w:bCs/>
                <w:sz w:val="16"/>
                <w:szCs w:val="16"/>
                <w:lang w:val="en-GB"/>
              </w:rPr>
            </w:pPr>
            <w:r w:rsidRPr="00AB0C8C">
              <w:rPr>
                <w:rFonts w:ascii="Arial" w:hAnsi="Arial" w:cs="Angsana New"/>
                <w:bCs/>
                <w:sz w:val="16"/>
                <w:szCs w:val="16"/>
                <w:lang w:val="en-GB"/>
              </w:rPr>
              <w:t>29</w:t>
            </w:r>
          </w:p>
        </w:tc>
        <w:tc>
          <w:tcPr>
            <w:tcW w:w="2243" w:type="dxa"/>
            <w:tcBorders>
              <w:left w:val="single" w:sz="12" w:space="0" w:color="auto"/>
              <w:right w:val="single" w:sz="12" w:space="0" w:color="auto"/>
            </w:tcBorders>
            <w:vAlign w:val="center"/>
          </w:tcPr>
          <w:p w14:paraId="22D66987" w14:textId="77777777" w:rsidR="00AB0C8C" w:rsidRPr="00AB0C8C" w:rsidRDefault="00AB0C8C" w:rsidP="00AB0C8C">
            <w:pPr>
              <w:rPr>
                <w:rFonts w:ascii="Arial" w:hAnsi="Arial" w:cs="Angsana New"/>
                <w:bCs/>
                <w:sz w:val="16"/>
                <w:lang w:val="en-GB"/>
              </w:rPr>
            </w:pPr>
            <w:r w:rsidRPr="00AB0C8C">
              <w:rPr>
                <w:rFonts w:ascii="Arial" w:hAnsi="Arial" w:cs="Angsana New"/>
                <w:bCs/>
                <w:sz w:val="16"/>
                <w:lang w:val="en-GB"/>
              </w:rPr>
              <w:t>Proposed MPA</w:t>
            </w:r>
          </w:p>
        </w:tc>
        <w:tc>
          <w:tcPr>
            <w:tcW w:w="1260" w:type="dxa"/>
            <w:tcBorders>
              <w:left w:val="single" w:sz="12" w:space="0" w:color="auto"/>
              <w:right w:val="single" w:sz="12" w:space="0" w:color="auto"/>
            </w:tcBorders>
            <w:vAlign w:val="center"/>
          </w:tcPr>
          <w:p w14:paraId="169B33D1" w14:textId="77777777" w:rsidR="00AB0C8C" w:rsidRPr="00AB0C8C" w:rsidRDefault="00AB0C8C" w:rsidP="00AB0C8C">
            <w:pPr>
              <w:jc w:val="right"/>
              <w:rPr>
                <w:rFonts w:ascii="Arial" w:hAnsi="Arial" w:cs="Angsana New"/>
                <w:bCs/>
                <w:sz w:val="16"/>
                <w:lang w:val="en-GB"/>
              </w:rPr>
            </w:pPr>
          </w:p>
        </w:tc>
        <w:tc>
          <w:tcPr>
            <w:tcW w:w="1530" w:type="dxa"/>
            <w:tcBorders>
              <w:left w:val="single" w:sz="12" w:space="0" w:color="auto"/>
              <w:right w:val="single" w:sz="12" w:space="0" w:color="auto"/>
            </w:tcBorders>
            <w:vAlign w:val="center"/>
          </w:tcPr>
          <w:p w14:paraId="5B1F8F3F" w14:textId="77777777" w:rsidR="00AB0C8C" w:rsidRPr="00AB0C8C" w:rsidRDefault="00AB0C8C" w:rsidP="00AB0C8C">
            <w:pPr>
              <w:jc w:val="center"/>
              <w:rPr>
                <w:rFonts w:ascii="Arial" w:hAnsi="Arial" w:cs="Angsana New"/>
                <w:bCs/>
                <w:sz w:val="16"/>
                <w:lang w:val="en-GB"/>
              </w:rPr>
            </w:pPr>
          </w:p>
        </w:tc>
      </w:tr>
      <w:tr w:rsidR="00AB0C8C" w:rsidRPr="00AB0C8C" w14:paraId="41F215AB" w14:textId="77777777" w:rsidTr="00F370E8">
        <w:trPr>
          <w:trHeight w:val="65"/>
          <w:jc w:val="center"/>
        </w:trPr>
        <w:tc>
          <w:tcPr>
            <w:tcW w:w="1979" w:type="dxa"/>
            <w:tcBorders>
              <w:left w:val="single" w:sz="12" w:space="0" w:color="auto"/>
              <w:right w:val="single" w:sz="12" w:space="0" w:color="auto"/>
            </w:tcBorders>
            <w:noWrap/>
            <w:vAlign w:val="center"/>
          </w:tcPr>
          <w:p w14:paraId="4E8E8C97" w14:textId="77777777" w:rsidR="00AB0C8C" w:rsidRPr="00AB0C8C" w:rsidRDefault="00AB0C8C" w:rsidP="00AB0C8C">
            <w:pPr>
              <w:rPr>
                <w:rFonts w:ascii="Arial" w:hAnsi="Arial" w:cs="Angsana New"/>
                <w:bCs/>
                <w:sz w:val="16"/>
                <w:szCs w:val="16"/>
                <w:lang w:val="en-GB"/>
              </w:rPr>
            </w:pPr>
            <w:r w:rsidRPr="00AB0C8C">
              <w:rPr>
                <w:rFonts w:ascii="Arial" w:hAnsi="Arial" w:cs="Angsana New"/>
                <w:bCs/>
                <w:sz w:val="16"/>
                <w:szCs w:val="16"/>
                <w:lang w:val="en-GB"/>
              </w:rPr>
              <w:t>Koh Rong</w:t>
            </w:r>
            <w:r w:rsidR="00130405">
              <w:rPr>
                <w:rFonts w:ascii="Arial" w:hAnsi="Arial" w:cs="Angsana New"/>
                <w:bCs/>
                <w:sz w:val="16"/>
                <w:szCs w:val="16"/>
                <w:lang w:val="en-GB"/>
              </w:rPr>
              <w:t xml:space="preserve"> archipelago</w:t>
            </w:r>
          </w:p>
        </w:tc>
        <w:tc>
          <w:tcPr>
            <w:tcW w:w="900" w:type="dxa"/>
            <w:tcBorders>
              <w:left w:val="single" w:sz="12" w:space="0" w:color="auto"/>
              <w:right w:val="single" w:sz="12" w:space="0" w:color="auto"/>
            </w:tcBorders>
            <w:noWrap/>
            <w:vAlign w:val="center"/>
          </w:tcPr>
          <w:p w14:paraId="4DB45951" w14:textId="77777777" w:rsidR="00AB0C8C" w:rsidRPr="00AB0C8C" w:rsidRDefault="00AB0C8C" w:rsidP="00AB0C8C">
            <w:pPr>
              <w:jc w:val="right"/>
              <w:rPr>
                <w:rFonts w:ascii="Arial" w:hAnsi="Arial" w:cs="Angsana New"/>
                <w:bCs/>
                <w:sz w:val="16"/>
                <w:szCs w:val="16"/>
                <w:lang w:val="en-GB"/>
              </w:rPr>
            </w:pPr>
            <w:r w:rsidRPr="00AB0C8C">
              <w:rPr>
                <w:rFonts w:ascii="Arial" w:hAnsi="Arial" w:cs="Angsana New"/>
                <w:bCs/>
                <w:sz w:val="16"/>
                <w:szCs w:val="16"/>
                <w:lang w:val="en-GB"/>
              </w:rPr>
              <w:t>468</w:t>
            </w:r>
          </w:p>
        </w:tc>
        <w:tc>
          <w:tcPr>
            <w:tcW w:w="1088" w:type="dxa"/>
            <w:tcBorders>
              <w:left w:val="single" w:sz="12" w:space="0" w:color="auto"/>
              <w:right w:val="single" w:sz="12" w:space="0" w:color="auto"/>
            </w:tcBorders>
            <w:noWrap/>
            <w:vAlign w:val="center"/>
          </w:tcPr>
          <w:p w14:paraId="1AD357D0" w14:textId="77777777" w:rsidR="00AB0C8C" w:rsidRPr="00AB0C8C" w:rsidRDefault="00AB0C8C" w:rsidP="00AB0C8C">
            <w:pPr>
              <w:jc w:val="center"/>
              <w:rPr>
                <w:rFonts w:ascii="Arial" w:hAnsi="Arial" w:cs="Angsana New"/>
                <w:bCs/>
                <w:sz w:val="16"/>
                <w:szCs w:val="16"/>
                <w:lang w:val="en-GB"/>
              </w:rPr>
            </w:pPr>
            <w:r w:rsidRPr="00AB0C8C">
              <w:rPr>
                <w:rFonts w:ascii="Arial" w:hAnsi="Arial" w:cs="Angsana New"/>
                <w:bCs/>
                <w:sz w:val="16"/>
                <w:szCs w:val="16"/>
                <w:lang w:val="en-GB"/>
              </w:rPr>
              <w:t>23</w:t>
            </w:r>
          </w:p>
        </w:tc>
        <w:tc>
          <w:tcPr>
            <w:tcW w:w="2243" w:type="dxa"/>
            <w:tcBorders>
              <w:left w:val="single" w:sz="12" w:space="0" w:color="auto"/>
              <w:right w:val="single" w:sz="12" w:space="0" w:color="auto"/>
            </w:tcBorders>
            <w:vAlign w:val="center"/>
          </w:tcPr>
          <w:p w14:paraId="38DC82CE" w14:textId="77777777" w:rsidR="00AB0C8C" w:rsidRPr="00AB0C8C" w:rsidRDefault="00AB0C8C" w:rsidP="00AB0C8C">
            <w:pPr>
              <w:rPr>
                <w:rFonts w:ascii="Arial" w:hAnsi="Arial" w:cs="Angsana New"/>
                <w:bCs/>
                <w:sz w:val="16"/>
                <w:lang w:val="en-GB"/>
              </w:rPr>
            </w:pPr>
            <w:r w:rsidRPr="00AB0C8C">
              <w:rPr>
                <w:rFonts w:ascii="Arial" w:hAnsi="Arial" w:cs="Angsana New"/>
                <w:bCs/>
                <w:sz w:val="16"/>
                <w:lang w:val="en-GB"/>
              </w:rPr>
              <w:t>Proposed MPA</w:t>
            </w:r>
          </w:p>
        </w:tc>
        <w:tc>
          <w:tcPr>
            <w:tcW w:w="1260" w:type="dxa"/>
            <w:tcBorders>
              <w:left w:val="single" w:sz="12" w:space="0" w:color="auto"/>
              <w:right w:val="single" w:sz="12" w:space="0" w:color="auto"/>
            </w:tcBorders>
            <w:vAlign w:val="center"/>
          </w:tcPr>
          <w:p w14:paraId="7E92F42C" w14:textId="77777777" w:rsidR="00AB0C8C" w:rsidRPr="00AB0C8C" w:rsidRDefault="00AB0C8C" w:rsidP="00AB0C8C">
            <w:pPr>
              <w:jc w:val="right"/>
              <w:rPr>
                <w:rFonts w:ascii="Arial" w:hAnsi="Arial" w:cs="Angsana New"/>
                <w:bCs/>
                <w:sz w:val="16"/>
                <w:lang w:val="en-GB"/>
              </w:rPr>
            </w:pPr>
          </w:p>
        </w:tc>
        <w:tc>
          <w:tcPr>
            <w:tcW w:w="1530" w:type="dxa"/>
            <w:tcBorders>
              <w:left w:val="single" w:sz="12" w:space="0" w:color="auto"/>
              <w:right w:val="single" w:sz="12" w:space="0" w:color="auto"/>
            </w:tcBorders>
            <w:vAlign w:val="center"/>
          </w:tcPr>
          <w:p w14:paraId="66AE25EE" w14:textId="77777777" w:rsidR="00AB0C8C" w:rsidRPr="00AB0C8C" w:rsidRDefault="00AB0C8C" w:rsidP="00AB0C8C">
            <w:pPr>
              <w:jc w:val="center"/>
              <w:rPr>
                <w:rFonts w:ascii="Arial" w:hAnsi="Arial" w:cs="Angsana New"/>
                <w:bCs/>
                <w:sz w:val="16"/>
                <w:lang w:val="en-GB"/>
              </w:rPr>
            </w:pPr>
          </w:p>
        </w:tc>
      </w:tr>
      <w:tr w:rsidR="00AB0C8C" w:rsidRPr="00AB0C8C" w14:paraId="1D82D23C" w14:textId="77777777" w:rsidTr="00F370E8">
        <w:trPr>
          <w:trHeight w:val="149"/>
          <w:jc w:val="center"/>
        </w:trPr>
        <w:tc>
          <w:tcPr>
            <w:tcW w:w="1979" w:type="dxa"/>
            <w:tcBorders>
              <w:left w:val="single" w:sz="12" w:space="0" w:color="auto"/>
              <w:right w:val="single" w:sz="12" w:space="0" w:color="auto"/>
            </w:tcBorders>
            <w:noWrap/>
            <w:vAlign w:val="center"/>
          </w:tcPr>
          <w:p w14:paraId="7F3624C6" w14:textId="77777777" w:rsidR="00AB0C8C" w:rsidRPr="00AB0C8C" w:rsidRDefault="00AB0C8C" w:rsidP="00AB0C8C">
            <w:pPr>
              <w:rPr>
                <w:rFonts w:ascii="Arial" w:hAnsi="Arial" w:cs="Angsana New"/>
                <w:bCs/>
                <w:sz w:val="16"/>
                <w:szCs w:val="16"/>
                <w:lang w:val="en-GB"/>
              </w:rPr>
            </w:pPr>
            <w:r w:rsidRPr="00AB0C8C">
              <w:rPr>
                <w:rFonts w:ascii="Arial" w:hAnsi="Arial" w:cs="Angsana New"/>
                <w:bCs/>
                <w:sz w:val="16"/>
                <w:szCs w:val="16"/>
                <w:lang w:val="en-GB"/>
              </w:rPr>
              <w:t>Koh Takiev</w:t>
            </w:r>
            <w:r w:rsidR="00130405">
              <w:rPr>
                <w:rFonts w:ascii="Arial" w:hAnsi="Arial" w:cs="Angsana New"/>
                <w:bCs/>
                <w:sz w:val="16"/>
                <w:szCs w:val="16"/>
                <w:lang w:val="en-GB"/>
              </w:rPr>
              <w:t xml:space="preserve"> archipelago</w:t>
            </w:r>
          </w:p>
        </w:tc>
        <w:tc>
          <w:tcPr>
            <w:tcW w:w="900" w:type="dxa"/>
            <w:tcBorders>
              <w:left w:val="single" w:sz="12" w:space="0" w:color="auto"/>
              <w:right w:val="single" w:sz="12" w:space="0" w:color="auto"/>
            </w:tcBorders>
            <w:noWrap/>
            <w:vAlign w:val="center"/>
          </w:tcPr>
          <w:p w14:paraId="5B2DB019" w14:textId="77777777" w:rsidR="00AB0C8C" w:rsidRPr="00AB0C8C" w:rsidRDefault="00AB0C8C" w:rsidP="00AB0C8C">
            <w:pPr>
              <w:jc w:val="right"/>
              <w:rPr>
                <w:rFonts w:ascii="Arial" w:hAnsi="Arial" w:cs="Angsana New"/>
                <w:bCs/>
                <w:sz w:val="16"/>
                <w:szCs w:val="16"/>
                <w:lang w:val="en-GB"/>
              </w:rPr>
            </w:pPr>
            <w:r w:rsidRPr="00AB0C8C">
              <w:rPr>
                <w:rFonts w:ascii="Arial" w:hAnsi="Arial" w:cs="Angsana New"/>
                <w:bCs/>
                <w:sz w:val="16"/>
                <w:szCs w:val="16"/>
                <w:lang w:val="en-GB"/>
              </w:rPr>
              <w:t>293</w:t>
            </w:r>
          </w:p>
        </w:tc>
        <w:tc>
          <w:tcPr>
            <w:tcW w:w="1088" w:type="dxa"/>
            <w:tcBorders>
              <w:left w:val="single" w:sz="12" w:space="0" w:color="auto"/>
              <w:right w:val="single" w:sz="12" w:space="0" w:color="auto"/>
            </w:tcBorders>
            <w:noWrap/>
            <w:vAlign w:val="center"/>
          </w:tcPr>
          <w:p w14:paraId="02C985C7" w14:textId="77777777" w:rsidR="00AB0C8C" w:rsidRPr="00AB0C8C" w:rsidRDefault="00AB0C8C" w:rsidP="00AB0C8C">
            <w:pPr>
              <w:jc w:val="center"/>
              <w:rPr>
                <w:rFonts w:ascii="Arial" w:hAnsi="Arial" w:cs="Angsana New"/>
                <w:bCs/>
                <w:sz w:val="16"/>
                <w:szCs w:val="16"/>
                <w:lang w:val="en-GB"/>
              </w:rPr>
            </w:pPr>
            <w:r w:rsidRPr="00AB0C8C">
              <w:rPr>
                <w:rFonts w:ascii="Arial" w:hAnsi="Arial" w:cs="Angsana New"/>
                <w:bCs/>
                <w:sz w:val="16"/>
                <w:szCs w:val="16"/>
                <w:lang w:val="en-GB"/>
              </w:rPr>
              <w:t>58</w:t>
            </w:r>
          </w:p>
        </w:tc>
        <w:tc>
          <w:tcPr>
            <w:tcW w:w="2243" w:type="dxa"/>
            <w:tcBorders>
              <w:left w:val="single" w:sz="12" w:space="0" w:color="auto"/>
              <w:right w:val="single" w:sz="12" w:space="0" w:color="auto"/>
            </w:tcBorders>
            <w:vAlign w:val="center"/>
          </w:tcPr>
          <w:p w14:paraId="081DDCD7" w14:textId="77777777" w:rsidR="00AB0C8C" w:rsidRPr="00AB0C8C" w:rsidRDefault="00AB0C8C" w:rsidP="00AB0C8C">
            <w:pPr>
              <w:rPr>
                <w:rFonts w:ascii="Arial" w:hAnsi="Arial" w:cs="Angsana New"/>
                <w:bCs/>
                <w:sz w:val="16"/>
                <w:lang w:val="en-GB"/>
              </w:rPr>
            </w:pPr>
            <w:r w:rsidRPr="00AB0C8C">
              <w:rPr>
                <w:rFonts w:ascii="Arial" w:hAnsi="Arial" w:cs="Angsana New"/>
                <w:bCs/>
                <w:sz w:val="16"/>
                <w:lang w:val="en-GB"/>
              </w:rPr>
              <w:t>National Park</w:t>
            </w:r>
          </w:p>
        </w:tc>
        <w:tc>
          <w:tcPr>
            <w:tcW w:w="1260" w:type="dxa"/>
            <w:tcBorders>
              <w:left w:val="single" w:sz="12" w:space="0" w:color="auto"/>
              <w:right w:val="single" w:sz="12" w:space="0" w:color="auto"/>
            </w:tcBorders>
            <w:vAlign w:val="center"/>
          </w:tcPr>
          <w:p w14:paraId="7CADEAC3" w14:textId="77777777" w:rsidR="00AB0C8C" w:rsidRPr="00AB0C8C" w:rsidRDefault="00AB0C8C" w:rsidP="00AB0C8C">
            <w:pPr>
              <w:jc w:val="right"/>
              <w:rPr>
                <w:rFonts w:ascii="Arial" w:hAnsi="Arial" w:cs="Angsana New"/>
                <w:bCs/>
                <w:sz w:val="16"/>
                <w:lang w:val="en-GB"/>
              </w:rPr>
            </w:pPr>
            <w:r w:rsidRPr="00AB0C8C">
              <w:rPr>
                <w:rFonts w:ascii="Arial" w:hAnsi="Arial" w:cs="Angsana New"/>
                <w:bCs/>
                <w:sz w:val="16"/>
                <w:lang w:val="en-GB"/>
              </w:rPr>
              <w:t>293</w:t>
            </w:r>
          </w:p>
        </w:tc>
        <w:tc>
          <w:tcPr>
            <w:tcW w:w="1530" w:type="dxa"/>
            <w:tcBorders>
              <w:left w:val="single" w:sz="12" w:space="0" w:color="auto"/>
              <w:right w:val="single" w:sz="12" w:space="0" w:color="auto"/>
            </w:tcBorders>
            <w:vAlign w:val="center"/>
          </w:tcPr>
          <w:p w14:paraId="371436B0" w14:textId="77777777" w:rsidR="00AB0C8C" w:rsidRPr="00AB0C8C" w:rsidRDefault="00AB0C8C" w:rsidP="00AB0C8C">
            <w:pPr>
              <w:jc w:val="center"/>
              <w:rPr>
                <w:rFonts w:ascii="Arial" w:hAnsi="Arial" w:cs="Angsana New"/>
                <w:bCs/>
                <w:sz w:val="16"/>
                <w:lang w:val="en-GB"/>
              </w:rPr>
            </w:pPr>
            <w:r w:rsidRPr="00AB0C8C">
              <w:rPr>
                <w:rFonts w:ascii="Arial" w:hAnsi="Arial" w:cs="Angsana New"/>
                <w:bCs/>
                <w:sz w:val="16"/>
                <w:lang w:val="en-GB"/>
              </w:rPr>
              <w:t>Medium</w:t>
            </w:r>
          </w:p>
        </w:tc>
      </w:tr>
      <w:tr w:rsidR="00AB0C8C" w:rsidRPr="00AB0C8C" w14:paraId="363A4D6C" w14:textId="77777777" w:rsidTr="00F370E8">
        <w:trPr>
          <w:trHeight w:val="65"/>
          <w:jc w:val="center"/>
        </w:trPr>
        <w:tc>
          <w:tcPr>
            <w:tcW w:w="1979" w:type="dxa"/>
            <w:tcBorders>
              <w:left w:val="single" w:sz="12" w:space="0" w:color="auto"/>
              <w:right w:val="single" w:sz="12" w:space="0" w:color="auto"/>
            </w:tcBorders>
            <w:noWrap/>
            <w:vAlign w:val="center"/>
          </w:tcPr>
          <w:p w14:paraId="3EC80889" w14:textId="77777777" w:rsidR="00AB0C8C" w:rsidRPr="00AB0C8C" w:rsidRDefault="00AB0C8C" w:rsidP="00AB0C8C">
            <w:pPr>
              <w:rPr>
                <w:rFonts w:ascii="Arial" w:hAnsi="Arial" w:cs="Angsana New"/>
                <w:bCs/>
                <w:sz w:val="16"/>
                <w:szCs w:val="16"/>
                <w:lang w:val="en-GB"/>
              </w:rPr>
            </w:pPr>
            <w:r w:rsidRPr="00AB0C8C">
              <w:rPr>
                <w:rFonts w:ascii="Arial" w:hAnsi="Arial" w:cs="Angsana New"/>
                <w:bCs/>
                <w:sz w:val="16"/>
                <w:szCs w:val="16"/>
                <w:lang w:val="en-GB"/>
              </w:rPr>
              <w:t>Koh Tang</w:t>
            </w:r>
            <w:r w:rsidR="00130405">
              <w:rPr>
                <w:rFonts w:ascii="Arial" w:hAnsi="Arial" w:cs="Angsana New"/>
                <w:bCs/>
                <w:sz w:val="16"/>
                <w:szCs w:val="16"/>
                <w:lang w:val="en-GB"/>
              </w:rPr>
              <w:t xml:space="preserve"> archipelago</w:t>
            </w:r>
          </w:p>
        </w:tc>
        <w:tc>
          <w:tcPr>
            <w:tcW w:w="900" w:type="dxa"/>
            <w:tcBorders>
              <w:left w:val="single" w:sz="12" w:space="0" w:color="auto"/>
              <w:right w:val="single" w:sz="12" w:space="0" w:color="auto"/>
            </w:tcBorders>
            <w:noWrap/>
            <w:vAlign w:val="center"/>
          </w:tcPr>
          <w:p w14:paraId="1AFC4737" w14:textId="77777777" w:rsidR="00AB0C8C" w:rsidRPr="00AB0C8C" w:rsidRDefault="00AB0C8C" w:rsidP="00AB0C8C">
            <w:pPr>
              <w:jc w:val="right"/>
              <w:rPr>
                <w:rFonts w:ascii="Arial" w:hAnsi="Arial" w:cs="Angsana New"/>
                <w:bCs/>
                <w:sz w:val="16"/>
                <w:szCs w:val="16"/>
                <w:lang w:val="en-GB"/>
              </w:rPr>
            </w:pPr>
            <w:r w:rsidRPr="00AB0C8C">
              <w:rPr>
                <w:rFonts w:ascii="Arial" w:hAnsi="Arial" w:cs="Angsana New"/>
                <w:bCs/>
                <w:sz w:val="16"/>
                <w:szCs w:val="16"/>
                <w:lang w:val="en-GB"/>
              </w:rPr>
              <w:t>439</w:t>
            </w:r>
          </w:p>
        </w:tc>
        <w:tc>
          <w:tcPr>
            <w:tcW w:w="1088" w:type="dxa"/>
            <w:tcBorders>
              <w:left w:val="single" w:sz="12" w:space="0" w:color="auto"/>
              <w:right w:val="single" w:sz="12" w:space="0" w:color="auto"/>
            </w:tcBorders>
            <w:noWrap/>
            <w:vAlign w:val="center"/>
          </w:tcPr>
          <w:p w14:paraId="5B44BB7B" w14:textId="77777777" w:rsidR="00AB0C8C" w:rsidRPr="00AB0C8C" w:rsidRDefault="00AB0C8C" w:rsidP="00AB0C8C">
            <w:pPr>
              <w:jc w:val="center"/>
              <w:rPr>
                <w:rFonts w:ascii="Arial" w:hAnsi="Arial" w:cs="Angsana New"/>
                <w:bCs/>
                <w:sz w:val="16"/>
                <w:szCs w:val="16"/>
                <w:lang w:val="en-GB"/>
              </w:rPr>
            </w:pPr>
            <w:r w:rsidRPr="00AB0C8C">
              <w:rPr>
                <w:rFonts w:ascii="Arial" w:hAnsi="Arial" w:cs="Angsana New"/>
                <w:bCs/>
                <w:sz w:val="16"/>
                <w:szCs w:val="16"/>
                <w:lang w:val="en-GB"/>
              </w:rPr>
              <w:t>38</w:t>
            </w:r>
          </w:p>
        </w:tc>
        <w:tc>
          <w:tcPr>
            <w:tcW w:w="2243" w:type="dxa"/>
            <w:tcBorders>
              <w:left w:val="single" w:sz="12" w:space="0" w:color="auto"/>
              <w:right w:val="single" w:sz="12" w:space="0" w:color="auto"/>
            </w:tcBorders>
            <w:vAlign w:val="center"/>
          </w:tcPr>
          <w:p w14:paraId="76D947DB" w14:textId="77777777" w:rsidR="00AB0C8C" w:rsidRPr="00AB0C8C" w:rsidRDefault="00AB0C8C" w:rsidP="00AB0C8C">
            <w:pPr>
              <w:rPr>
                <w:rFonts w:ascii="Arial" w:hAnsi="Arial" w:cs="Arial"/>
                <w:bCs/>
                <w:sz w:val="16"/>
                <w:lang w:val="en-GB"/>
              </w:rPr>
            </w:pPr>
            <w:r w:rsidRPr="00AB0C8C">
              <w:rPr>
                <w:rFonts w:ascii="Arial" w:hAnsi="Arial" w:cs="Arial"/>
                <w:bCs/>
                <w:sz w:val="16"/>
                <w:lang w:val="en-GB"/>
              </w:rPr>
              <w:t>FMA</w:t>
            </w:r>
          </w:p>
        </w:tc>
        <w:tc>
          <w:tcPr>
            <w:tcW w:w="1260" w:type="dxa"/>
            <w:tcBorders>
              <w:left w:val="single" w:sz="12" w:space="0" w:color="auto"/>
              <w:right w:val="single" w:sz="12" w:space="0" w:color="auto"/>
            </w:tcBorders>
            <w:vAlign w:val="center"/>
          </w:tcPr>
          <w:p w14:paraId="08A6852A" w14:textId="77777777" w:rsidR="00AB0C8C" w:rsidRPr="00AB0C8C" w:rsidRDefault="00AB0C8C" w:rsidP="00AB0C8C">
            <w:pPr>
              <w:jc w:val="right"/>
              <w:rPr>
                <w:rFonts w:ascii="Arial" w:hAnsi="Arial" w:cs="Arial"/>
                <w:bCs/>
                <w:sz w:val="16"/>
                <w:lang w:val="en-GB"/>
              </w:rPr>
            </w:pPr>
          </w:p>
        </w:tc>
        <w:tc>
          <w:tcPr>
            <w:tcW w:w="1530" w:type="dxa"/>
            <w:tcBorders>
              <w:left w:val="single" w:sz="12" w:space="0" w:color="auto"/>
              <w:right w:val="single" w:sz="12" w:space="0" w:color="auto"/>
            </w:tcBorders>
            <w:vAlign w:val="center"/>
          </w:tcPr>
          <w:p w14:paraId="774F3F3F" w14:textId="77777777" w:rsidR="00AB0C8C" w:rsidRPr="00AB0C8C" w:rsidRDefault="00AB0C8C" w:rsidP="00AB0C8C">
            <w:pPr>
              <w:jc w:val="center"/>
              <w:rPr>
                <w:rFonts w:ascii="Arial" w:hAnsi="Arial" w:cs="Angsana New"/>
                <w:bCs/>
                <w:sz w:val="16"/>
                <w:lang w:val="en-GB"/>
              </w:rPr>
            </w:pPr>
          </w:p>
        </w:tc>
      </w:tr>
      <w:tr w:rsidR="00AB0C8C" w:rsidRPr="00AB0C8C" w14:paraId="72243D2E" w14:textId="77777777" w:rsidTr="00F370E8">
        <w:trPr>
          <w:trHeight w:val="143"/>
          <w:jc w:val="center"/>
        </w:trPr>
        <w:tc>
          <w:tcPr>
            <w:tcW w:w="1979" w:type="dxa"/>
            <w:tcBorders>
              <w:left w:val="single" w:sz="12" w:space="0" w:color="auto"/>
              <w:right w:val="single" w:sz="12" w:space="0" w:color="auto"/>
            </w:tcBorders>
            <w:noWrap/>
            <w:vAlign w:val="center"/>
          </w:tcPr>
          <w:p w14:paraId="75B8F3AF" w14:textId="77777777" w:rsidR="00AB0C8C" w:rsidRPr="00AB0C8C" w:rsidRDefault="00AB0C8C" w:rsidP="00AB0C8C">
            <w:pPr>
              <w:rPr>
                <w:rFonts w:ascii="Arial" w:hAnsi="Arial" w:cs="Angsana New"/>
                <w:bCs/>
                <w:sz w:val="16"/>
                <w:szCs w:val="16"/>
                <w:lang w:val="en-GB"/>
              </w:rPr>
            </w:pPr>
            <w:r w:rsidRPr="00AB0C8C">
              <w:rPr>
                <w:rFonts w:ascii="Arial" w:hAnsi="Arial" w:cs="Angsana New"/>
                <w:bCs/>
                <w:sz w:val="16"/>
                <w:szCs w:val="16"/>
                <w:lang w:val="en-GB"/>
              </w:rPr>
              <w:t>Prek Ampil</w:t>
            </w:r>
            <w:r w:rsidR="00130405">
              <w:rPr>
                <w:rFonts w:ascii="Arial" w:hAnsi="Arial" w:cs="Angsana New"/>
                <w:bCs/>
                <w:sz w:val="16"/>
                <w:szCs w:val="16"/>
                <w:lang w:val="en-GB"/>
              </w:rPr>
              <w:t xml:space="preserve"> </w:t>
            </w:r>
          </w:p>
        </w:tc>
        <w:tc>
          <w:tcPr>
            <w:tcW w:w="900" w:type="dxa"/>
            <w:tcBorders>
              <w:left w:val="single" w:sz="12" w:space="0" w:color="auto"/>
              <w:right w:val="single" w:sz="12" w:space="0" w:color="auto"/>
            </w:tcBorders>
            <w:noWrap/>
            <w:vAlign w:val="center"/>
          </w:tcPr>
          <w:p w14:paraId="53697D67" w14:textId="77777777" w:rsidR="00AB0C8C" w:rsidRPr="00AB0C8C" w:rsidRDefault="00AB0C8C" w:rsidP="00AB0C8C">
            <w:pPr>
              <w:jc w:val="right"/>
              <w:rPr>
                <w:rFonts w:ascii="Arial" w:hAnsi="Arial" w:cs="Angsana New"/>
                <w:bCs/>
                <w:sz w:val="16"/>
                <w:szCs w:val="16"/>
                <w:lang w:val="en-GB"/>
              </w:rPr>
            </w:pPr>
            <w:r w:rsidRPr="00AB0C8C">
              <w:rPr>
                <w:rFonts w:ascii="Arial" w:hAnsi="Arial" w:cs="Angsana New"/>
                <w:bCs/>
                <w:sz w:val="16"/>
                <w:szCs w:val="16"/>
                <w:lang w:val="en-GB"/>
              </w:rPr>
              <w:t>953</w:t>
            </w:r>
          </w:p>
        </w:tc>
        <w:tc>
          <w:tcPr>
            <w:tcW w:w="1088" w:type="dxa"/>
            <w:tcBorders>
              <w:left w:val="single" w:sz="12" w:space="0" w:color="auto"/>
              <w:right w:val="single" w:sz="12" w:space="0" w:color="auto"/>
            </w:tcBorders>
            <w:noWrap/>
            <w:vAlign w:val="center"/>
          </w:tcPr>
          <w:p w14:paraId="10FCC9F0" w14:textId="77777777" w:rsidR="00AB0C8C" w:rsidRPr="00AB0C8C" w:rsidRDefault="00AB0C8C" w:rsidP="00AB0C8C">
            <w:pPr>
              <w:jc w:val="center"/>
              <w:rPr>
                <w:rFonts w:ascii="Arial" w:hAnsi="Arial" w:cs="Angsana New"/>
                <w:bCs/>
                <w:sz w:val="16"/>
                <w:szCs w:val="16"/>
                <w:lang w:val="en-GB"/>
              </w:rPr>
            </w:pPr>
            <w:r w:rsidRPr="00AB0C8C">
              <w:rPr>
                <w:rFonts w:ascii="Arial" w:hAnsi="Arial" w:cs="Angsana New"/>
                <w:bCs/>
                <w:sz w:val="16"/>
                <w:szCs w:val="16"/>
                <w:lang w:val="en-GB"/>
              </w:rPr>
              <w:t>53</w:t>
            </w:r>
          </w:p>
        </w:tc>
        <w:tc>
          <w:tcPr>
            <w:tcW w:w="2243" w:type="dxa"/>
            <w:tcBorders>
              <w:left w:val="single" w:sz="12" w:space="0" w:color="auto"/>
              <w:right w:val="single" w:sz="12" w:space="0" w:color="auto"/>
            </w:tcBorders>
            <w:vAlign w:val="center"/>
          </w:tcPr>
          <w:p w14:paraId="4CDBB6C8" w14:textId="77777777" w:rsidR="00AB0C8C" w:rsidRPr="00AB0C8C" w:rsidRDefault="00AB0C8C" w:rsidP="00AB0C8C">
            <w:pPr>
              <w:rPr>
                <w:rFonts w:ascii="Arial" w:hAnsi="Arial" w:cs="Angsana New"/>
                <w:bCs/>
                <w:sz w:val="16"/>
                <w:lang w:val="en-GB"/>
              </w:rPr>
            </w:pPr>
            <w:r w:rsidRPr="00AB0C8C">
              <w:rPr>
                <w:rFonts w:ascii="Arial" w:hAnsi="Arial" w:cs="Angsana New"/>
                <w:bCs/>
                <w:sz w:val="16"/>
                <w:lang w:val="en-GB"/>
              </w:rPr>
              <w:t>FMA</w:t>
            </w:r>
          </w:p>
        </w:tc>
        <w:tc>
          <w:tcPr>
            <w:tcW w:w="1260" w:type="dxa"/>
            <w:tcBorders>
              <w:left w:val="single" w:sz="12" w:space="0" w:color="auto"/>
              <w:right w:val="single" w:sz="12" w:space="0" w:color="auto"/>
            </w:tcBorders>
            <w:vAlign w:val="center"/>
          </w:tcPr>
          <w:p w14:paraId="23FFF225" w14:textId="77777777" w:rsidR="00AB0C8C" w:rsidRPr="00AB0C8C" w:rsidRDefault="00AB0C8C" w:rsidP="00AB0C8C">
            <w:pPr>
              <w:jc w:val="right"/>
              <w:rPr>
                <w:rFonts w:ascii="Arial" w:hAnsi="Arial" w:cs="Angsana New"/>
                <w:bCs/>
                <w:sz w:val="16"/>
                <w:lang w:val="en-GB"/>
              </w:rPr>
            </w:pPr>
          </w:p>
        </w:tc>
        <w:tc>
          <w:tcPr>
            <w:tcW w:w="1530" w:type="dxa"/>
            <w:tcBorders>
              <w:left w:val="single" w:sz="12" w:space="0" w:color="auto"/>
              <w:right w:val="single" w:sz="12" w:space="0" w:color="auto"/>
            </w:tcBorders>
            <w:vAlign w:val="center"/>
          </w:tcPr>
          <w:p w14:paraId="2CF946F7" w14:textId="77777777" w:rsidR="00AB0C8C" w:rsidRPr="00AB0C8C" w:rsidRDefault="00AB0C8C" w:rsidP="00AB0C8C">
            <w:pPr>
              <w:jc w:val="center"/>
              <w:rPr>
                <w:rFonts w:ascii="Arial" w:hAnsi="Arial" w:cs="Angsana New"/>
                <w:bCs/>
                <w:sz w:val="16"/>
                <w:lang w:val="en-GB"/>
              </w:rPr>
            </w:pPr>
          </w:p>
        </w:tc>
      </w:tr>
      <w:tr w:rsidR="00AB0C8C" w:rsidRPr="00AB0C8C" w14:paraId="60E81A54" w14:textId="77777777" w:rsidTr="00F370E8">
        <w:trPr>
          <w:trHeight w:val="65"/>
          <w:jc w:val="center"/>
        </w:trPr>
        <w:tc>
          <w:tcPr>
            <w:tcW w:w="1979" w:type="dxa"/>
            <w:tcBorders>
              <w:left w:val="single" w:sz="12" w:space="0" w:color="auto"/>
              <w:bottom w:val="single" w:sz="12" w:space="0" w:color="auto"/>
              <w:right w:val="single" w:sz="12" w:space="0" w:color="auto"/>
            </w:tcBorders>
            <w:noWrap/>
            <w:vAlign w:val="center"/>
          </w:tcPr>
          <w:p w14:paraId="734C0A8A" w14:textId="77777777" w:rsidR="00AB0C8C" w:rsidRPr="00AB0C8C" w:rsidRDefault="00AB0C8C" w:rsidP="00AB0C8C">
            <w:pPr>
              <w:rPr>
                <w:rFonts w:ascii="Arial" w:hAnsi="Arial" w:cs="Angsana New"/>
                <w:bCs/>
                <w:sz w:val="16"/>
                <w:szCs w:val="16"/>
                <w:lang w:val="en-GB"/>
              </w:rPr>
            </w:pPr>
            <w:r w:rsidRPr="00AB0C8C">
              <w:rPr>
                <w:rFonts w:ascii="Arial" w:hAnsi="Arial" w:cs="Angsana New"/>
                <w:bCs/>
                <w:sz w:val="16"/>
                <w:szCs w:val="16"/>
                <w:lang w:val="en-GB"/>
              </w:rPr>
              <w:t>Koh Pouh</w:t>
            </w:r>
            <w:r w:rsidR="00130405">
              <w:rPr>
                <w:rFonts w:ascii="Arial" w:hAnsi="Arial" w:cs="Angsana New"/>
                <w:bCs/>
                <w:sz w:val="16"/>
                <w:szCs w:val="16"/>
                <w:lang w:val="en-GB"/>
              </w:rPr>
              <w:t xml:space="preserve"> archieplago</w:t>
            </w:r>
          </w:p>
        </w:tc>
        <w:tc>
          <w:tcPr>
            <w:tcW w:w="900" w:type="dxa"/>
            <w:tcBorders>
              <w:left w:val="single" w:sz="12" w:space="0" w:color="auto"/>
              <w:bottom w:val="single" w:sz="12" w:space="0" w:color="auto"/>
              <w:right w:val="single" w:sz="12" w:space="0" w:color="auto"/>
            </w:tcBorders>
            <w:noWrap/>
            <w:vAlign w:val="center"/>
          </w:tcPr>
          <w:p w14:paraId="473D41A6" w14:textId="77777777" w:rsidR="00AB0C8C" w:rsidRPr="00AB0C8C" w:rsidRDefault="00AB0C8C" w:rsidP="00AB0C8C">
            <w:pPr>
              <w:jc w:val="right"/>
              <w:rPr>
                <w:rFonts w:ascii="Arial" w:hAnsi="Arial" w:cs="Angsana New"/>
                <w:bCs/>
                <w:sz w:val="16"/>
                <w:szCs w:val="16"/>
                <w:lang w:val="en-GB"/>
              </w:rPr>
            </w:pPr>
            <w:r w:rsidRPr="00AB0C8C">
              <w:rPr>
                <w:rFonts w:ascii="Arial" w:hAnsi="Arial" w:cs="Angsana New"/>
                <w:bCs/>
                <w:sz w:val="16"/>
                <w:szCs w:val="16"/>
                <w:lang w:val="en-GB"/>
              </w:rPr>
              <w:t>53</w:t>
            </w:r>
          </w:p>
        </w:tc>
        <w:tc>
          <w:tcPr>
            <w:tcW w:w="1088" w:type="dxa"/>
            <w:tcBorders>
              <w:left w:val="single" w:sz="12" w:space="0" w:color="auto"/>
              <w:bottom w:val="single" w:sz="12" w:space="0" w:color="auto"/>
              <w:right w:val="single" w:sz="12" w:space="0" w:color="auto"/>
            </w:tcBorders>
            <w:noWrap/>
            <w:vAlign w:val="center"/>
          </w:tcPr>
          <w:p w14:paraId="140C5E57" w14:textId="77777777" w:rsidR="00AB0C8C" w:rsidRPr="00AB0C8C" w:rsidRDefault="00AB0C8C" w:rsidP="00AB0C8C">
            <w:pPr>
              <w:jc w:val="center"/>
              <w:rPr>
                <w:rFonts w:ascii="Arial" w:hAnsi="Arial" w:cs="Angsana New"/>
                <w:bCs/>
                <w:sz w:val="16"/>
                <w:szCs w:val="16"/>
                <w:lang w:val="en-GB"/>
              </w:rPr>
            </w:pPr>
            <w:r w:rsidRPr="00AB0C8C">
              <w:rPr>
                <w:rFonts w:ascii="Arial" w:hAnsi="Arial" w:cs="Angsana New"/>
                <w:bCs/>
                <w:sz w:val="16"/>
                <w:szCs w:val="16"/>
                <w:lang w:val="en-GB"/>
              </w:rPr>
              <w:t>41</w:t>
            </w:r>
          </w:p>
        </w:tc>
        <w:tc>
          <w:tcPr>
            <w:tcW w:w="2243" w:type="dxa"/>
            <w:tcBorders>
              <w:left w:val="single" w:sz="12" w:space="0" w:color="auto"/>
              <w:bottom w:val="single" w:sz="12" w:space="0" w:color="auto"/>
              <w:right w:val="single" w:sz="12" w:space="0" w:color="auto"/>
            </w:tcBorders>
            <w:vAlign w:val="center"/>
          </w:tcPr>
          <w:p w14:paraId="398BEBB3" w14:textId="77777777" w:rsidR="00AB0C8C" w:rsidRPr="00AB0C8C" w:rsidRDefault="00AB0C8C" w:rsidP="00AB0C8C">
            <w:pPr>
              <w:rPr>
                <w:rFonts w:ascii="Arial" w:hAnsi="Arial" w:cs="Angsana New"/>
                <w:bCs/>
                <w:sz w:val="16"/>
                <w:lang w:val="en-GB"/>
              </w:rPr>
            </w:pPr>
            <w:r w:rsidRPr="00AB0C8C">
              <w:rPr>
                <w:rFonts w:ascii="Arial" w:hAnsi="Arial" w:cs="Angsana New"/>
                <w:bCs/>
                <w:sz w:val="16"/>
                <w:lang w:val="en-GB"/>
              </w:rPr>
              <w:t>FMA</w:t>
            </w:r>
          </w:p>
        </w:tc>
        <w:tc>
          <w:tcPr>
            <w:tcW w:w="1260" w:type="dxa"/>
            <w:tcBorders>
              <w:left w:val="single" w:sz="12" w:space="0" w:color="auto"/>
              <w:bottom w:val="single" w:sz="12" w:space="0" w:color="auto"/>
              <w:right w:val="single" w:sz="12" w:space="0" w:color="auto"/>
            </w:tcBorders>
            <w:vAlign w:val="center"/>
          </w:tcPr>
          <w:p w14:paraId="47DDFF6E" w14:textId="77777777" w:rsidR="00AB0C8C" w:rsidRPr="00AB0C8C" w:rsidRDefault="00AB0C8C" w:rsidP="00AB0C8C">
            <w:pPr>
              <w:jc w:val="right"/>
              <w:rPr>
                <w:rFonts w:ascii="Arial" w:hAnsi="Arial" w:cs="Angsana New"/>
                <w:bCs/>
                <w:sz w:val="16"/>
                <w:lang w:val="en-GB"/>
              </w:rPr>
            </w:pPr>
          </w:p>
        </w:tc>
        <w:tc>
          <w:tcPr>
            <w:tcW w:w="1530" w:type="dxa"/>
            <w:tcBorders>
              <w:left w:val="single" w:sz="12" w:space="0" w:color="auto"/>
              <w:bottom w:val="single" w:sz="12" w:space="0" w:color="auto"/>
              <w:right w:val="single" w:sz="12" w:space="0" w:color="auto"/>
            </w:tcBorders>
            <w:vAlign w:val="center"/>
          </w:tcPr>
          <w:p w14:paraId="2A9CEACA" w14:textId="77777777" w:rsidR="00AB0C8C" w:rsidRPr="00AB0C8C" w:rsidRDefault="00AB0C8C" w:rsidP="00AB0C8C">
            <w:pPr>
              <w:jc w:val="center"/>
              <w:rPr>
                <w:rFonts w:ascii="Arial" w:hAnsi="Arial" w:cs="Angsana New"/>
                <w:bCs/>
                <w:sz w:val="16"/>
                <w:lang w:val="en-GB"/>
              </w:rPr>
            </w:pPr>
          </w:p>
        </w:tc>
      </w:tr>
      <w:tr w:rsidR="00AB0C8C" w:rsidRPr="00AB0C8C" w14:paraId="215FC30D" w14:textId="77777777" w:rsidTr="00F370E8">
        <w:trPr>
          <w:trHeight w:val="50"/>
          <w:jc w:val="center"/>
        </w:trPr>
        <w:tc>
          <w:tcPr>
            <w:tcW w:w="1979" w:type="dxa"/>
            <w:tcBorders>
              <w:top w:val="single" w:sz="12" w:space="0" w:color="auto"/>
              <w:left w:val="single" w:sz="12" w:space="0" w:color="auto"/>
              <w:right w:val="single" w:sz="12" w:space="0" w:color="auto"/>
            </w:tcBorders>
            <w:noWrap/>
            <w:vAlign w:val="center"/>
          </w:tcPr>
          <w:p w14:paraId="4346E547" w14:textId="77777777" w:rsidR="00AB0C8C" w:rsidRPr="00AB0C8C" w:rsidRDefault="00AB0C8C" w:rsidP="00AB0C8C">
            <w:pPr>
              <w:rPr>
                <w:rFonts w:ascii="Arial" w:hAnsi="Arial" w:cs="Angsana New"/>
                <w:bCs/>
                <w:sz w:val="16"/>
                <w:szCs w:val="16"/>
                <w:lang w:val="en-GB"/>
              </w:rPr>
            </w:pPr>
            <w:smartTag w:uri="urn:schemas-microsoft-com:office:smarttags" w:element="place">
              <w:smartTag w:uri="urn:schemas-microsoft-com:office:smarttags" w:element="country-region">
                <w:r w:rsidRPr="00AB0C8C">
                  <w:rPr>
                    <w:rFonts w:ascii="Arial" w:hAnsi="Arial" w:cs="Angsana New"/>
                    <w:b/>
                    <w:sz w:val="16"/>
                    <w:szCs w:val="16"/>
                    <w:lang w:val="en-GB"/>
                  </w:rPr>
                  <w:t>Indonesia</w:t>
                </w:r>
              </w:smartTag>
            </w:smartTag>
          </w:p>
        </w:tc>
        <w:tc>
          <w:tcPr>
            <w:tcW w:w="900" w:type="dxa"/>
            <w:tcBorders>
              <w:top w:val="single" w:sz="12" w:space="0" w:color="auto"/>
              <w:left w:val="single" w:sz="12" w:space="0" w:color="auto"/>
              <w:right w:val="single" w:sz="12" w:space="0" w:color="auto"/>
            </w:tcBorders>
            <w:noWrap/>
            <w:vAlign w:val="center"/>
          </w:tcPr>
          <w:p w14:paraId="11D6A9B1" w14:textId="77777777" w:rsidR="00AB0C8C" w:rsidRPr="00AB0C8C" w:rsidRDefault="00AB0C8C" w:rsidP="00AB0C8C">
            <w:pPr>
              <w:jc w:val="right"/>
              <w:rPr>
                <w:rFonts w:ascii="Arial" w:hAnsi="Arial" w:cs="Angsana New"/>
                <w:b/>
                <w:sz w:val="16"/>
                <w:szCs w:val="18"/>
                <w:lang w:val="en-GB"/>
              </w:rPr>
            </w:pPr>
            <w:r w:rsidRPr="00AB0C8C">
              <w:rPr>
                <w:rFonts w:ascii="Arial" w:hAnsi="Arial" w:cs="Angsana New"/>
                <w:b/>
                <w:bCs/>
                <w:sz w:val="16"/>
                <w:lang w:val="en-GB"/>
              </w:rPr>
              <w:t>39,286</w:t>
            </w:r>
          </w:p>
        </w:tc>
        <w:tc>
          <w:tcPr>
            <w:tcW w:w="1088" w:type="dxa"/>
            <w:tcBorders>
              <w:top w:val="single" w:sz="12" w:space="0" w:color="auto"/>
              <w:left w:val="single" w:sz="12" w:space="0" w:color="auto"/>
              <w:right w:val="single" w:sz="12" w:space="0" w:color="auto"/>
            </w:tcBorders>
            <w:noWrap/>
            <w:vAlign w:val="center"/>
          </w:tcPr>
          <w:p w14:paraId="7338970E" w14:textId="77777777" w:rsidR="00AB0C8C" w:rsidRPr="00AB0C8C" w:rsidRDefault="00AB0C8C" w:rsidP="00AB0C8C">
            <w:pPr>
              <w:jc w:val="center"/>
              <w:rPr>
                <w:rFonts w:ascii="Arial" w:hAnsi="Arial" w:cs="Angsana New"/>
                <w:b/>
                <w:sz w:val="16"/>
                <w:szCs w:val="18"/>
                <w:lang w:val="en-GB"/>
              </w:rPr>
            </w:pPr>
          </w:p>
        </w:tc>
        <w:tc>
          <w:tcPr>
            <w:tcW w:w="2243" w:type="dxa"/>
            <w:tcBorders>
              <w:top w:val="single" w:sz="12" w:space="0" w:color="auto"/>
              <w:left w:val="single" w:sz="12" w:space="0" w:color="auto"/>
              <w:right w:val="single" w:sz="12" w:space="0" w:color="auto"/>
            </w:tcBorders>
            <w:vAlign w:val="center"/>
          </w:tcPr>
          <w:p w14:paraId="5D07F749" w14:textId="77777777" w:rsidR="00AB0C8C" w:rsidRPr="00AB0C8C" w:rsidRDefault="00AB0C8C" w:rsidP="00AB0C8C">
            <w:pPr>
              <w:jc w:val="right"/>
              <w:rPr>
                <w:rFonts w:ascii="Arial" w:hAnsi="Arial" w:cs="Angsana New"/>
                <w:b/>
                <w:sz w:val="16"/>
                <w:lang w:val="en-GB"/>
              </w:rPr>
            </w:pPr>
          </w:p>
        </w:tc>
        <w:tc>
          <w:tcPr>
            <w:tcW w:w="1260" w:type="dxa"/>
            <w:tcBorders>
              <w:top w:val="single" w:sz="12" w:space="0" w:color="auto"/>
              <w:left w:val="single" w:sz="12" w:space="0" w:color="auto"/>
              <w:right w:val="single" w:sz="12" w:space="0" w:color="auto"/>
            </w:tcBorders>
            <w:vAlign w:val="center"/>
          </w:tcPr>
          <w:p w14:paraId="15A68776" w14:textId="77777777" w:rsidR="00AB0C8C" w:rsidRPr="00AB0C8C" w:rsidRDefault="00AB0C8C" w:rsidP="00AB0C8C">
            <w:pPr>
              <w:jc w:val="right"/>
              <w:rPr>
                <w:rFonts w:ascii="Arial" w:hAnsi="Arial" w:cs="Angsana New"/>
                <w:b/>
                <w:bCs/>
                <w:sz w:val="16"/>
                <w:lang w:val="en-GB"/>
              </w:rPr>
            </w:pPr>
            <w:r w:rsidRPr="00AB0C8C">
              <w:rPr>
                <w:rFonts w:ascii="Arial" w:hAnsi="Arial" w:cs="Angsana New"/>
                <w:b/>
                <w:bCs/>
                <w:sz w:val="16"/>
                <w:lang w:val="en-GB"/>
              </w:rPr>
              <w:t>12,511</w:t>
            </w:r>
          </w:p>
        </w:tc>
        <w:tc>
          <w:tcPr>
            <w:tcW w:w="1530" w:type="dxa"/>
            <w:tcBorders>
              <w:top w:val="single" w:sz="12" w:space="0" w:color="auto"/>
              <w:left w:val="single" w:sz="12" w:space="0" w:color="auto"/>
              <w:right w:val="single" w:sz="12" w:space="0" w:color="auto"/>
            </w:tcBorders>
            <w:vAlign w:val="center"/>
          </w:tcPr>
          <w:p w14:paraId="30A76879" w14:textId="77777777" w:rsidR="00AB0C8C" w:rsidRPr="00AB0C8C" w:rsidRDefault="00AB0C8C" w:rsidP="00AB0C8C">
            <w:pPr>
              <w:jc w:val="center"/>
              <w:rPr>
                <w:rFonts w:ascii="Arial" w:hAnsi="Arial" w:cs="Angsana New"/>
                <w:b/>
                <w:sz w:val="16"/>
                <w:lang w:val="en-GB"/>
              </w:rPr>
            </w:pPr>
          </w:p>
        </w:tc>
      </w:tr>
      <w:tr w:rsidR="00AB0C8C" w:rsidRPr="00AB0C8C" w14:paraId="344A8F61" w14:textId="77777777" w:rsidTr="00F370E8">
        <w:trPr>
          <w:trHeight w:val="194"/>
          <w:jc w:val="center"/>
        </w:trPr>
        <w:tc>
          <w:tcPr>
            <w:tcW w:w="1979" w:type="dxa"/>
            <w:tcBorders>
              <w:left w:val="single" w:sz="12" w:space="0" w:color="auto"/>
              <w:right w:val="single" w:sz="12" w:space="0" w:color="auto"/>
            </w:tcBorders>
            <w:noWrap/>
            <w:vAlign w:val="center"/>
          </w:tcPr>
          <w:p w14:paraId="71CA7C12" w14:textId="77777777" w:rsidR="00AB0C8C" w:rsidRPr="00AB0C8C" w:rsidRDefault="00AB0C8C" w:rsidP="00AB0C8C">
            <w:pPr>
              <w:autoSpaceDE w:val="0"/>
              <w:autoSpaceDN w:val="0"/>
              <w:adjustRightInd w:val="0"/>
              <w:rPr>
                <w:rFonts w:ascii="Arial" w:hAnsi="Arial" w:cs="Angsana New"/>
                <w:color w:val="000000"/>
                <w:sz w:val="16"/>
                <w:lang w:val="en-GB"/>
              </w:rPr>
            </w:pPr>
            <w:r w:rsidRPr="00AB0C8C">
              <w:rPr>
                <w:rFonts w:ascii="Arial" w:hAnsi="Arial" w:cs="Angsana New"/>
                <w:color w:val="000000"/>
                <w:sz w:val="16"/>
                <w:lang w:val="en-GB"/>
              </w:rPr>
              <w:t>Anambas</w:t>
            </w:r>
          </w:p>
        </w:tc>
        <w:tc>
          <w:tcPr>
            <w:tcW w:w="900" w:type="dxa"/>
            <w:tcBorders>
              <w:left w:val="single" w:sz="12" w:space="0" w:color="auto"/>
              <w:right w:val="single" w:sz="12" w:space="0" w:color="auto"/>
            </w:tcBorders>
            <w:noWrap/>
            <w:vAlign w:val="center"/>
          </w:tcPr>
          <w:p w14:paraId="0006C125" w14:textId="77777777" w:rsidR="00AB0C8C" w:rsidRPr="00AB0C8C" w:rsidRDefault="00AB0C8C" w:rsidP="00AB0C8C">
            <w:pPr>
              <w:autoSpaceDE w:val="0"/>
              <w:autoSpaceDN w:val="0"/>
              <w:adjustRightInd w:val="0"/>
              <w:jc w:val="right"/>
              <w:rPr>
                <w:rFonts w:ascii="Arial" w:hAnsi="Arial" w:cs="Angsana New"/>
                <w:color w:val="000000"/>
                <w:sz w:val="16"/>
                <w:lang w:val="en-GB"/>
              </w:rPr>
            </w:pPr>
            <w:r w:rsidRPr="00AB0C8C">
              <w:rPr>
                <w:rFonts w:ascii="Arial" w:hAnsi="Arial" w:cs="Angsana New"/>
                <w:color w:val="000000"/>
                <w:sz w:val="16"/>
                <w:lang w:val="en-GB"/>
              </w:rPr>
              <w:t>6,255</w:t>
            </w:r>
          </w:p>
        </w:tc>
        <w:tc>
          <w:tcPr>
            <w:tcW w:w="1088" w:type="dxa"/>
            <w:tcBorders>
              <w:left w:val="single" w:sz="12" w:space="0" w:color="auto"/>
              <w:right w:val="single" w:sz="12" w:space="0" w:color="auto"/>
            </w:tcBorders>
            <w:noWrap/>
            <w:vAlign w:val="center"/>
          </w:tcPr>
          <w:p w14:paraId="1E2C4CA2" w14:textId="77777777" w:rsidR="00AB0C8C" w:rsidRPr="00AB0C8C" w:rsidRDefault="00AB0C8C" w:rsidP="00AB0C8C">
            <w:pPr>
              <w:autoSpaceDE w:val="0"/>
              <w:autoSpaceDN w:val="0"/>
              <w:adjustRightInd w:val="0"/>
              <w:jc w:val="center"/>
              <w:rPr>
                <w:rFonts w:ascii="Arial" w:hAnsi="Arial" w:cs="Angsana New"/>
                <w:color w:val="000000"/>
                <w:sz w:val="16"/>
                <w:lang w:val="en-GB"/>
              </w:rPr>
            </w:pPr>
            <w:r w:rsidRPr="00AB0C8C">
              <w:rPr>
                <w:rFonts w:ascii="Arial" w:hAnsi="Arial" w:cs="Angsana New"/>
                <w:color w:val="000000"/>
                <w:sz w:val="16"/>
                <w:lang w:val="en-GB"/>
              </w:rPr>
              <w:t>52</w:t>
            </w:r>
          </w:p>
        </w:tc>
        <w:tc>
          <w:tcPr>
            <w:tcW w:w="2243" w:type="dxa"/>
            <w:tcBorders>
              <w:left w:val="single" w:sz="12" w:space="0" w:color="auto"/>
              <w:right w:val="single" w:sz="12" w:space="0" w:color="auto"/>
            </w:tcBorders>
            <w:vAlign w:val="center"/>
          </w:tcPr>
          <w:p w14:paraId="2484B26E" w14:textId="77777777" w:rsidR="00AB0C8C" w:rsidRPr="00AB0C8C" w:rsidRDefault="00AB0C8C" w:rsidP="00AB0C8C">
            <w:pPr>
              <w:rPr>
                <w:rFonts w:ascii="Arial" w:hAnsi="Arial" w:cs="Angsana New"/>
                <w:bCs/>
                <w:sz w:val="16"/>
                <w:lang w:val="en-GB"/>
              </w:rPr>
            </w:pPr>
            <w:r w:rsidRPr="00AB0C8C">
              <w:rPr>
                <w:rFonts w:ascii="Arial" w:hAnsi="Arial" w:cs="Angsana New"/>
                <w:bCs/>
                <w:sz w:val="16"/>
                <w:lang w:val="en-GB"/>
              </w:rPr>
              <w:t>Marine Management Area (MMA)</w:t>
            </w:r>
          </w:p>
        </w:tc>
        <w:tc>
          <w:tcPr>
            <w:tcW w:w="1260" w:type="dxa"/>
            <w:tcBorders>
              <w:left w:val="single" w:sz="12" w:space="0" w:color="auto"/>
              <w:right w:val="single" w:sz="12" w:space="0" w:color="auto"/>
            </w:tcBorders>
            <w:vAlign w:val="center"/>
          </w:tcPr>
          <w:p w14:paraId="11BDE355" w14:textId="77777777" w:rsidR="00AB0C8C" w:rsidRPr="00AB0C8C" w:rsidRDefault="00AB0C8C" w:rsidP="00AB0C8C">
            <w:pPr>
              <w:autoSpaceDE w:val="0"/>
              <w:autoSpaceDN w:val="0"/>
              <w:adjustRightInd w:val="0"/>
              <w:jc w:val="right"/>
              <w:rPr>
                <w:rFonts w:ascii="Arial" w:hAnsi="Arial" w:cs="Angsana New"/>
                <w:color w:val="000000"/>
                <w:sz w:val="16"/>
                <w:lang w:val="en-GB"/>
              </w:rPr>
            </w:pPr>
            <w:r w:rsidRPr="00AB0C8C">
              <w:rPr>
                <w:rFonts w:ascii="Arial" w:hAnsi="Arial" w:cs="Angsana New"/>
                <w:color w:val="000000"/>
                <w:sz w:val="16"/>
                <w:lang w:val="en-GB"/>
              </w:rPr>
              <w:t>6,255</w:t>
            </w:r>
          </w:p>
        </w:tc>
        <w:tc>
          <w:tcPr>
            <w:tcW w:w="1530" w:type="dxa"/>
            <w:tcBorders>
              <w:left w:val="single" w:sz="12" w:space="0" w:color="auto"/>
              <w:right w:val="single" w:sz="12" w:space="0" w:color="auto"/>
            </w:tcBorders>
            <w:vAlign w:val="center"/>
          </w:tcPr>
          <w:p w14:paraId="3CC6DE4A" w14:textId="77777777" w:rsidR="00AB0C8C" w:rsidRPr="00AB0C8C" w:rsidRDefault="00AB0C8C" w:rsidP="00AB0C8C">
            <w:pPr>
              <w:jc w:val="center"/>
              <w:rPr>
                <w:rFonts w:ascii="Arial" w:hAnsi="Arial" w:cs="Angsana New"/>
                <w:bCs/>
                <w:sz w:val="16"/>
                <w:lang w:val="en-GB"/>
              </w:rPr>
            </w:pPr>
            <w:r w:rsidRPr="00AB0C8C">
              <w:rPr>
                <w:rFonts w:ascii="Arial" w:hAnsi="Arial" w:cs="Angsana New"/>
                <w:bCs/>
                <w:sz w:val="16"/>
                <w:lang w:val="en-GB"/>
              </w:rPr>
              <w:t>Low</w:t>
            </w:r>
          </w:p>
        </w:tc>
      </w:tr>
      <w:tr w:rsidR="00AB0C8C" w:rsidRPr="00AB0C8C" w14:paraId="6A116F1E" w14:textId="77777777" w:rsidTr="00F370E8">
        <w:trPr>
          <w:trHeight w:val="65"/>
          <w:jc w:val="center"/>
        </w:trPr>
        <w:tc>
          <w:tcPr>
            <w:tcW w:w="1979" w:type="dxa"/>
            <w:tcBorders>
              <w:left w:val="single" w:sz="12" w:space="0" w:color="auto"/>
              <w:right w:val="single" w:sz="12" w:space="0" w:color="auto"/>
            </w:tcBorders>
            <w:noWrap/>
            <w:vAlign w:val="center"/>
          </w:tcPr>
          <w:p w14:paraId="2B6B558E" w14:textId="77777777" w:rsidR="00AB0C8C" w:rsidRPr="00AB0C8C" w:rsidRDefault="00AB0C8C" w:rsidP="00AB0C8C">
            <w:pPr>
              <w:autoSpaceDE w:val="0"/>
              <w:autoSpaceDN w:val="0"/>
              <w:adjustRightInd w:val="0"/>
              <w:rPr>
                <w:rFonts w:ascii="Arial" w:hAnsi="Arial" w:cs="Angsana New"/>
                <w:color w:val="000000"/>
                <w:sz w:val="16"/>
                <w:lang w:val="en-GB"/>
              </w:rPr>
            </w:pPr>
            <w:smartTag w:uri="urn:schemas-microsoft-com:office:smarttags" w:element="place">
              <w:r w:rsidRPr="00AB0C8C">
                <w:rPr>
                  <w:rFonts w:ascii="Arial" w:hAnsi="Arial" w:cs="Angsana New"/>
                  <w:color w:val="000000"/>
                  <w:sz w:val="16"/>
                  <w:lang w:val="en-GB"/>
                </w:rPr>
                <w:t>Bangka</w:t>
              </w:r>
            </w:smartTag>
          </w:p>
        </w:tc>
        <w:tc>
          <w:tcPr>
            <w:tcW w:w="900" w:type="dxa"/>
            <w:tcBorders>
              <w:left w:val="single" w:sz="12" w:space="0" w:color="auto"/>
              <w:right w:val="single" w:sz="12" w:space="0" w:color="auto"/>
            </w:tcBorders>
            <w:noWrap/>
            <w:vAlign w:val="center"/>
          </w:tcPr>
          <w:p w14:paraId="4FBDEFD8" w14:textId="77777777" w:rsidR="00AB0C8C" w:rsidRPr="00AB0C8C" w:rsidRDefault="00AB0C8C" w:rsidP="00AB0C8C">
            <w:pPr>
              <w:autoSpaceDE w:val="0"/>
              <w:autoSpaceDN w:val="0"/>
              <w:adjustRightInd w:val="0"/>
              <w:jc w:val="right"/>
              <w:rPr>
                <w:rFonts w:ascii="Arial" w:hAnsi="Arial" w:cs="Angsana New"/>
                <w:color w:val="000000"/>
                <w:sz w:val="16"/>
                <w:lang w:val="en-GB"/>
              </w:rPr>
            </w:pPr>
            <w:r w:rsidRPr="00AB0C8C">
              <w:rPr>
                <w:rFonts w:ascii="Arial" w:hAnsi="Arial" w:cs="Angsana New"/>
                <w:color w:val="000000"/>
                <w:sz w:val="16"/>
                <w:lang w:val="en-GB"/>
              </w:rPr>
              <w:t>2,934</w:t>
            </w:r>
          </w:p>
        </w:tc>
        <w:tc>
          <w:tcPr>
            <w:tcW w:w="1088" w:type="dxa"/>
            <w:tcBorders>
              <w:left w:val="single" w:sz="12" w:space="0" w:color="auto"/>
              <w:right w:val="single" w:sz="12" w:space="0" w:color="auto"/>
            </w:tcBorders>
            <w:noWrap/>
            <w:vAlign w:val="center"/>
          </w:tcPr>
          <w:p w14:paraId="44A70158" w14:textId="77777777" w:rsidR="00AB0C8C" w:rsidRPr="00AB0C8C" w:rsidRDefault="00AB0C8C" w:rsidP="00AB0C8C">
            <w:pPr>
              <w:autoSpaceDE w:val="0"/>
              <w:autoSpaceDN w:val="0"/>
              <w:adjustRightInd w:val="0"/>
              <w:jc w:val="center"/>
              <w:rPr>
                <w:rFonts w:ascii="Arial" w:hAnsi="Arial" w:cs="Angsana New"/>
                <w:color w:val="000000"/>
                <w:sz w:val="16"/>
                <w:lang w:val="en-GB"/>
              </w:rPr>
            </w:pPr>
            <w:r w:rsidRPr="00AB0C8C">
              <w:rPr>
                <w:rFonts w:ascii="Arial" w:hAnsi="Arial" w:cs="Angsana New"/>
                <w:color w:val="000000"/>
                <w:sz w:val="16"/>
                <w:lang w:val="en-GB"/>
              </w:rPr>
              <w:t>37</w:t>
            </w:r>
          </w:p>
        </w:tc>
        <w:tc>
          <w:tcPr>
            <w:tcW w:w="2243" w:type="dxa"/>
            <w:tcBorders>
              <w:left w:val="single" w:sz="12" w:space="0" w:color="auto"/>
              <w:right w:val="single" w:sz="12" w:space="0" w:color="auto"/>
            </w:tcBorders>
            <w:vAlign w:val="center"/>
          </w:tcPr>
          <w:p w14:paraId="55EB5892" w14:textId="77777777" w:rsidR="00AB0C8C" w:rsidRPr="00AB0C8C" w:rsidRDefault="00AB0C8C" w:rsidP="00AB0C8C">
            <w:pPr>
              <w:rPr>
                <w:rFonts w:ascii="Arial" w:hAnsi="Arial" w:cs="Angsana New"/>
                <w:bCs/>
                <w:sz w:val="16"/>
                <w:lang w:val="en-GB"/>
              </w:rPr>
            </w:pPr>
            <w:r w:rsidRPr="00AB0C8C">
              <w:rPr>
                <w:rFonts w:ascii="Arial" w:hAnsi="Arial" w:cs="Angsana New"/>
                <w:bCs/>
                <w:sz w:val="16"/>
                <w:lang w:val="en-GB"/>
              </w:rPr>
              <w:t>MMA</w:t>
            </w:r>
          </w:p>
        </w:tc>
        <w:tc>
          <w:tcPr>
            <w:tcW w:w="1260" w:type="dxa"/>
            <w:tcBorders>
              <w:left w:val="single" w:sz="12" w:space="0" w:color="auto"/>
              <w:right w:val="single" w:sz="12" w:space="0" w:color="auto"/>
            </w:tcBorders>
            <w:vAlign w:val="center"/>
          </w:tcPr>
          <w:p w14:paraId="40B1BD71" w14:textId="77777777" w:rsidR="00AB0C8C" w:rsidRPr="00AB0C8C" w:rsidRDefault="00AB0C8C" w:rsidP="00AB0C8C">
            <w:pPr>
              <w:autoSpaceDE w:val="0"/>
              <w:autoSpaceDN w:val="0"/>
              <w:adjustRightInd w:val="0"/>
              <w:jc w:val="right"/>
              <w:rPr>
                <w:rFonts w:ascii="Arial" w:hAnsi="Arial" w:cs="Angsana New"/>
                <w:color w:val="000000"/>
                <w:sz w:val="16"/>
                <w:lang w:val="en-GB"/>
              </w:rPr>
            </w:pPr>
            <w:r w:rsidRPr="00AB0C8C">
              <w:rPr>
                <w:rFonts w:ascii="Arial" w:hAnsi="Arial" w:cs="Angsana New"/>
                <w:color w:val="000000"/>
                <w:sz w:val="16"/>
                <w:lang w:val="en-GB"/>
              </w:rPr>
              <w:t>2,934</w:t>
            </w:r>
          </w:p>
        </w:tc>
        <w:tc>
          <w:tcPr>
            <w:tcW w:w="1530" w:type="dxa"/>
            <w:tcBorders>
              <w:left w:val="single" w:sz="12" w:space="0" w:color="auto"/>
              <w:right w:val="single" w:sz="12" w:space="0" w:color="auto"/>
            </w:tcBorders>
            <w:vAlign w:val="center"/>
          </w:tcPr>
          <w:p w14:paraId="7DBD812C" w14:textId="77777777" w:rsidR="00AB0C8C" w:rsidRPr="00AB0C8C" w:rsidRDefault="00AB0C8C" w:rsidP="00AB0C8C">
            <w:pPr>
              <w:jc w:val="center"/>
              <w:rPr>
                <w:rFonts w:ascii="Arial" w:hAnsi="Arial" w:cs="Angsana New"/>
                <w:bCs/>
                <w:sz w:val="16"/>
                <w:lang w:val="en-GB"/>
              </w:rPr>
            </w:pPr>
            <w:r w:rsidRPr="00AB0C8C">
              <w:rPr>
                <w:rFonts w:ascii="Arial" w:hAnsi="Arial" w:cs="Angsana New"/>
                <w:bCs/>
                <w:sz w:val="16"/>
                <w:lang w:val="en-GB"/>
              </w:rPr>
              <w:t>Medium</w:t>
            </w:r>
          </w:p>
        </w:tc>
      </w:tr>
      <w:tr w:rsidR="00AB0C8C" w:rsidRPr="00AB0C8C" w14:paraId="7208B415" w14:textId="77777777" w:rsidTr="00F370E8">
        <w:trPr>
          <w:trHeight w:val="65"/>
          <w:jc w:val="center"/>
        </w:trPr>
        <w:tc>
          <w:tcPr>
            <w:tcW w:w="1979" w:type="dxa"/>
            <w:tcBorders>
              <w:left w:val="single" w:sz="12" w:space="0" w:color="auto"/>
              <w:right w:val="single" w:sz="12" w:space="0" w:color="auto"/>
            </w:tcBorders>
            <w:noWrap/>
            <w:vAlign w:val="center"/>
          </w:tcPr>
          <w:p w14:paraId="39E0AEBC" w14:textId="77777777" w:rsidR="00AB0C8C" w:rsidRPr="00AB0C8C" w:rsidRDefault="00AB0C8C" w:rsidP="00AB0C8C">
            <w:pPr>
              <w:autoSpaceDE w:val="0"/>
              <w:autoSpaceDN w:val="0"/>
              <w:adjustRightInd w:val="0"/>
              <w:rPr>
                <w:rFonts w:ascii="Arial" w:hAnsi="Arial" w:cs="Angsana New"/>
                <w:color w:val="000000"/>
                <w:sz w:val="16"/>
                <w:lang w:val="en-GB"/>
              </w:rPr>
            </w:pPr>
            <w:smartTag w:uri="urn:schemas-microsoft-com:office:smarttags" w:element="place">
              <w:r w:rsidRPr="00AB0C8C">
                <w:rPr>
                  <w:rFonts w:ascii="Arial" w:hAnsi="Arial" w:cs="Angsana New"/>
                  <w:color w:val="000000"/>
                  <w:sz w:val="16"/>
                  <w:lang w:val="en-GB"/>
                </w:rPr>
                <w:t>Belitung</w:t>
              </w:r>
            </w:smartTag>
          </w:p>
        </w:tc>
        <w:tc>
          <w:tcPr>
            <w:tcW w:w="900" w:type="dxa"/>
            <w:tcBorders>
              <w:left w:val="single" w:sz="12" w:space="0" w:color="auto"/>
              <w:right w:val="single" w:sz="12" w:space="0" w:color="auto"/>
            </w:tcBorders>
            <w:noWrap/>
            <w:vAlign w:val="center"/>
          </w:tcPr>
          <w:p w14:paraId="7B9C3E28" w14:textId="77777777" w:rsidR="00AB0C8C" w:rsidRPr="00AB0C8C" w:rsidRDefault="00AB0C8C" w:rsidP="00AB0C8C">
            <w:pPr>
              <w:autoSpaceDE w:val="0"/>
              <w:autoSpaceDN w:val="0"/>
              <w:adjustRightInd w:val="0"/>
              <w:jc w:val="right"/>
              <w:rPr>
                <w:rFonts w:ascii="Arial" w:hAnsi="Arial" w:cs="Angsana New"/>
                <w:color w:val="000000"/>
                <w:sz w:val="16"/>
                <w:lang w:val="en-GB"/>
              </w:rPr>
            </w:pPr>
            <w:r w:rsidRPr="00AB0C8C">
              <w:rPr>
                <w:rFonts w:ascii="Arial" w:hAnsi="Arial" w:cs="Angsana New"/>
                <w:color w:val="000000"/>
                <w:sz w:val="16"/>
                <w:lang w:val="en-GB"/>
              </w:rPr>
              <w:t>2,271</w:t>
            </w:r>
          </w:p>
        </w:tc>
        <w:tc>
          <w:tcPr>
            <w:tcW w:w="1088" w:type="dxa"/>
            <w:tcBorders>
              <w:left w:val="single" w:sz="12" w:space="0" w:color="auto"/>
              <w:right w:val="single" w:sz="12" w:space="0" w:color="auto"/>
            </w:tcBorders>
            <w:noWrap/>
            <w:vAlign w:val="center"/>
          </w:tcPr>
          <w:p w14:paraId="340978E5" w14:textId="77777777" w:rsidR="00AB0C8C" w:rsidRPr="00AB0C8C" w:rsidRDefault="00AB0C8C" w:rsidP="00AB0C8C">
            <w:pPr>
              <w:autoSpaceDE w:val="0"/>
              <w:autoSpaceDN w:val="0"/>
              <w:adjustRightInd w:val="0"/>
              <w:jc w:val="center"/>
              <w:rPr>
                <w:rFonts w:ascii="Arial" w:hAnsi="Arial" w:cs="Angsana New"/>
                <w:color w:val="000000"/>
                <w:sz w:val="16"/>
                <w:lang w:val="en-GB"/>
              </w:rPr>
            </w:pPr>
            <w:r w:rsidRPr="00AB0C8C">
              <w:rPr>
                <w:rFonts w:ascii="Arial" w:hAnsi="Arial" w:cs="Angsana New"/>
                <w:color w:val="000000"/>
                <w:sz w:val="16"/>
                <w:lang w:val="en-GB"/>
              </w:rPr>
              <w:t>52</w:t>
            </w:r>
          </w:p>
        </w:tc>
        <w:tc>
          <w:tcPr>
            <w:tcW w:w="2243" w:type="dxa"/>
            <w:tcBorders>
              <w:left w:val="single" w:sz="12" w:space="0" w:color="auto"/>
              <w:right w:val="single" w:sz="12" w:space="0" w:color="auto"/>
            </w:tcBorders>
            <w:vAlign w:val="center"/>
          </w:tcPr>
          <w:p w14:paraId="6A6FC67A" w14:textId="77777777" w:rsidR="00AB0C8C" w:rsidRPr="00AB0C8C" w:rsidRDefault="00AB0C8C" w:rsidP="00AB0C8C">
            <w:pPr>
              <w:rPr>
                <w:rFonts w:ascii="Arial" w:hAnsi="Arial" w:cs="Angsana New"/>
                <w:bCs/>
                <w:sz w:val="16"/>
                <w:lang w:val="en-GB"/>
              </w:rPr>
            </w:pPr>
            <w:r w:rsidRPr="00AB0C8C">
              <w:rPr>
                <w:rFonts w:ascii="Arial" w:hAnsi="Arial" w:cs="Angsana New"/>
                <w:bCs/>
                <w:sz w:val="16"/>
                <w:lang w:val="en-GB"/>
              </w:rPr>
              <w:t>MMA</w:t>
            </w:r>
          </w:p>
        </w:tc>
        <w:tc>
          <w:tcPr>
            <w:tcW w:w="1260" w:type="dxa"/>
            <w:tcBorders>
              <w:left w:val="single" w:sz="12" w:space="0" w:color="auto"/>
              <w:right w:val="single" w:sz="12" w:space="0" w:color="auto"/>
            </w:tcBorders>
            <w:vAlign w:val="center"/>
          </w:tcPr>
          <w:p w14:paraId="5D1E15A1" w14:textId="77777777" w:rsidR="00AB0C8C" w:rsidRPr="00AB0C8C" w:rsidRDefault="00AB0C8C" w:rsidP="00AB0C8C">
            <w:pPr>
              <w:autoSpaceDE w:val="0"/>
              <w:autoSpaceDN w:val="0"/>
              <w:adjustRightInd w:val="0"/>
              <w:jc w:val="right"/>
              <w:rPr>
                <w:rFonts w:ascii="Arial" w:hAnsi="Arial" w:cs="Angsana New"/>
                <w:color w:val="000000"/>
                <w:sz w:val="16"/>
                <w:lang w:val="en-GB"/>
              </w:rPr>
            </w:pPr>
            <w:r w:rsidRPr="00AB0C8C">
              <w:rPr>
                <w:rFonts w:ascii="Arial" w:hAnsi="Arial" w:cs="Angsana New"/>
                <w:color w:val="000000"/>
                <w:sz w:val="16"/>
                <w:lang w:val="en-GB"/>
              </w:rPr>
              <w:t>2,271</w:t>
            </w:r>
          </w:p>
        </w:tc>
        <w:tc>
          <w:tcPr>
            <w:tcW w:w="1530" w:type="dxa"/>
            <w:tcBorders>
              <w:left w:val="single" w:sz="12" w:space="0" w:color="auto"/>
              <w:right w:val="single" w:sz="12" w:space="0" w:color="auto"/>
            </w:tcBorders>
            <w:vAlign w:val="center"/>
          </w:tcPr>
          <w:p w14:paraId="66309D20" w14:textId="77777777" w:rsidR="00AB0C8C" w:rsidRPr="00AB0C8C" w:rsidRDefault="00AB0C8C" w:rsidP="00AB0C8C">
            <w:pPr>
              <w:jc w:val="center"/>
              <w:rPr>
                <w:rFonts w:ascii="Arial" w:hAnsi="Arial" w:cs="Angsana New"/>
                <w:bCs/>
                <w:sz w:val="16"/>
                <w:lang w:val="en-GB"/>
              </w:rPr>
            </w:pPr>
            <w:r w:rsidRPr="00AB0C8C">
              <w:rPr>
                <w:rFonts w:ascii="Arial" w:hAnsi="Arial" w:cs="Angsana New"/>
                <w:bCs/>
                <w:sz w:val="16"/>
                <w:lang w:val="en-GB"/>
              </w:rPr>
              <w:t>Low</w:t>
            </w:r>
          </w:p>
        </w:tc>
      </w:tr>
      <w:tr w:rsidR="00AB0C8C" w:rsidRPr="00AB0C8C" w14:paraId="72FB224E" w14:textId="77777777" w:rsidTr="00F370E8">
        <w:trPr>
          <w:trHeight w:val="65"/>
          <w:jc w:val="center"/>
        </w:trPr>
        <w:tc>
          <w:tcPr>
            <w:tcW w:w="1979" w:type="dxa"/>
            <w:tcBorders>
              <w:left w:val="single" w:sz="12" w:space="0" w:color="auto"/>
              <w:right w:val="single" w:sz="12" w:space="0" w:color="auto"/>
            </w:tcBorders>
            <w:noWrap/>
            <w:vAlign w:val="center"/>
          </w:tcPr>
          <w:p w14:paraId="52F17334" w14:textId="77777777" w:rsidR="00AB0C8C" w:rsidRPr="00AB0C8C" w:rsidRDefault="00AB0C8C" w:rsidP="00AB0C8C">
            <w:pPr>
              <w:rPr>
                <w:rFonts w:ascii="Arial" w:hAnsi="Arial" w:cs="Angsana New"/>
                <w:bCs/>
                <w:sz w:val="16"/>
                <w:szCs w:val="16"/>
                <w:lang w:val="en-GB"/>
              </w:rPr>
            </w:pPr>
            <w:r w:rsidRPr="00AB0C8C">
              <w:rPr>
                <w:rFonts w:ascii="Arial" w:hAnsi="Arial" w:cs="Angsana New"/>
                <w:bCs/>
                <w:sz w:val="16"/>
                <w:szCs w:val="16"/>
                <w:lang w:val="en-GB"/>
              </w:rPr>
              <w:t>Karimata</w:t>
            </w:r>
          </w:p>
        </w:tc>
        <w:tc>
          <w:tcPr>
            <w:tcW w:w="900" w:type="dxa"/>
            <w:tcBorders>
              <w:left w:val="single" w:sz="12" w:space="0" w:color="auto"/>
              <w:right w:val="single" w:sz="12" w:space="0" w:color="auto"/>
            </w:tcBorders>
            <w:noWrap/>
            <w:vAlign w:val="center"/>
          </w:tcPr>
          <w:p w14:paraId="13DD692F" w14:textId="77777777" w:rsidR="00AB0C8C" w:rsidRPr="00AB0C8C" w:rsidRDefault="00AB0C8C" w:rsidP="00AB0C8C">
            <w:pPr>
              <w:autoSpaceDE w:val="0"/>
              <w:autoSpaceDN w:val="0"/>
              <w:adjustRightInd w:val="0"/>
              <w:jc w:val="right"/>
              <w:rPr>
                <w:rFonts w:ascii="Arial" w:hAnsi="Arial" w:cs="Angsana New"/>
                <w:color w:val="000000"/>
                <w:sz w:val="16"/>
                <w:lang w:val="en-GB"/>
              </w:rPr>
            </w:pPr>
            <w:r w:rsidRPr="00AB0C8C">
              <w:rPr>
                <w:rFonts w:ascii="Arial" w:hAnsi="Arial" w:cs="Angsana New"/>
                <w:color w:val="000000"/>
                <w:sz w:val="16"/>
                <w:lang w:val="en-GB"/>
              </w:rPr>
              <w:t>1,041</w:t>
            </w:r>
          </w:p>
        </w:tc>
        <w:tc>
          <w:tcPr>
            <w:tcW w:w="1088" w:type="dxa"/>
            <w:tcBorders>
              <w:left w:val="single" w:sz="12" w:space="0" w:color="auto"/>
              <w:right w:val="single" w:sz="12" w:space="0" w:color="auto"/>
            </w:tcBorders>
            <w:noWrap/>
            <w:vAlign w:val="center"/>
          </w:tcPr>
          <w:p w14:paraId="3018FB01" w14:textId="77777777" w:rsidR="00AB0C8C" w:rsidRPr="00AB0C8C" w:rsidRDefault="00AB0C8C" w:rsidP="00AB0C8C">
            <w:pPr>
              <w:autoSpaceDE w:val="0"/>
              <w:autoSpaceDN w:val="0"/>
              <w:adjustRightInd w:val="0"/>
              <w:jc w:val="center"/>
              <w:rPr>
                <w:rFonts w:ascii="Arial" w:hAnsi="Arial" w:cs="Angsana New"/>
                <w:color w:val="000000"/>
                <w:sz w:val="16"/>
                <w:lang w:val="en-GB"/>
              </w:rPr>
            </w:pPr>
            <w:r w:rsidRPr="00AB0C8C">
              <w:rPr>
                <w:rFonts w:ascii="Arial" w:hAnsi="Arial" w:cs="Angsana New"/>
                <w:color w:val="000000"/>
                <w:sz w:val="16"/>
                <w:lang w:val="en-GB"/>
              </w:rPr>
              <w:t>53</w:t>
            </w:r>
          </w:p>
        </w:tc>
        <w:tc>
          <w:tcPr>
            <w:tcW w:w="2243" w:type="dxa"/>
            <w:tcBorders>
              <w:left w:val="single" w:sz="12" w:space="0" w:color="auto"/>
              <w:right w:val="single" w:sz="12" w:space="0" w:color="auto"/>
            </w:tcBorders>
            <w:vAlign w:val="center"/>
          </w:tcPr>
          <w:p w14:paraId="4962216A" w14:textId="77777777" w:rsidR="00AB0C8C" w:rsidRPr="00AB0C8C" w:rsidRDefault="00AB0C8C" w:rsidP="00AB0C8C">
            <w:pPr>
              <w:rPr>
                <w:rFonts w:ascii="Arial" w:hAnsi="Arial" w:cs="Angsana New"/>
                <w:bCs/>
                <w:sz w:val="16"/>
                <w:lang w:val="en-GB"/>
              </w:rPr>
            </w:pPr>
            <w:r w:rsidRPr="00AB0C8C">
              <w:rPr>
                <w:rFonts w:ascii="Arial" w:hAnsi="Arial" w:cs="Angsana New"/>
                <w:bCs/>
                <w:sz w:val="16"/>
                <w:lang w:val="en-GB"/>
              </w:rPr>
              <w:t>Marine Reserve</w:t>
            </w:r>
          </w:p>
        </w:tc>
        <w:tc>
          <w:tcPr>
            <w:tcW w:w="1260" w:type="dxa"/>
            <w:tcBorders>
              <w:left w:val="single" w:sz="12" w:space="0" w:color="auto"/>
              <w:right w:val="single" w:sz="12" w:space="0" w:color="auto"/>
            </w:tcBorders>
            <w:vAlign w:val="center"/>
          </w:tcPr>
          <w:p w14:paraId="54A8C75C" w14:textId="77777777" w:rsidR="00AB0C8C" w:rsidRPr="00AB0C8C" w:rsidRDefault="00AB0C8C" w:rsidP="00AB0C8C">
            <w:pPr>
              <w:jc w:val="right"/>
              <w:rPr>
                <w:rFonts w:ascii="Arial" w:hAnsi="Arial" w:cs="Angsana New"/>
                <w:sz w:val="16"/>
                <w:lang w:val="en-GB"/>
              </w:rPr>
            </w:pPr>
            <w:r w:rsidRPr="00AB0C8C">
              <w:rPr>
                <w:rFonts w:ascii="Arial" w:hAnsi="Arial" w:cs="Angsana New"/>
                <w:color w:val="000000"/>
                <w:sz w:val="16"/>
                <w:lang w:val="en-GB"/>
              </w:rPr>
              <w:t>1,041</w:t>
            </w:r>
          </w:p>
        </w:tc>
        <w:tc>
          <w:tcPr>
            <w:tcW w:w="1530" w:type="dxa"/>
            <w:tcBorders>
              <w:left w:val="single" w:sz="12" w:space="0" w:color="auto"/>
              <w:right w:val="single" w:sz="12" w:space="0" w:color="auto"/>
            </w:tcBorders>
            <w:vAlign w:val="center"/>
          </w:tcPr>
          <w:p w14:paraId="69F4E4D1" w14:textId="77777777" w:rsidR="00AB0C8C" w:rsidRPr="00AB0C8C" w:rsidRDefault="00AB0C8C" w:rsidP="00AB0C8C">
            <w:pPr>
              <w:jc w:val="center"/>
              <w:rPr>
                <w:rFonts w:ascii="Arial" w:hAnsi="Arial" w:cs="Angsana New"/>
                <w:bCs/>
                <w:sz w:val="16"/>
                <w:lang w:val="en-GB"/>
              </w:rPr>
            </w:pPr>
            <w:r w:rsidRPr="00AB0C8C">
              <w:rPr>
                <w:rFonts w:ascii="Arial" w:hAnsi="Arial" w:cs="Angsana New"/>
                <w:bCs/>
                <w:sz w:val="16"/>
                <w:lang w:val="en-GB"/>
              </w:rPr>
              <w:t>Medium</w:t>
            </w:r>
          </w:p>
        </w:tc>
      </w:tr>
      <w:tr w:rsidR="00AB0C8C" w:rsidRPr="00AB0C8C" w14:paraId="77154CF0" w14:textId="77777777" w:rsidTr="00F370E8">
        <w:trPr>
          <w:trHeight w:val="65"/>
          <w:jc w:val="center"/>
        </w:trPr>
        <w:tc>
          <w:tcPr>
            <w:tcW w:w="1979" w:type="dxa"/>
            <w:tcBorders>
              <w:left w:val="single" w:sz="12" w:space="0" w:color="auto"/>
              <w:right w:val="single" w:sz="12" w:space="0" w:color="auto"/>
            </w:tcBorders>
            <w:noWrap/>
            <w:vAlign w:val="center"/>
          </w:tcPr>
          <w:p w14:paraId="275FF842" w14:textId="77777777" w:rsidR="00AB0C8C" w:rsidRPr="00AB0C8C" w:rsidRDefault="00AB0C8C" w:rsidP="00AB0C8C">
            <w:pPr>
              <w:autoSpaceDE w:val="0"/>
              <w:autoSpaceDN w:val="0"/>
              <w:adjustRightInd w:val="0"/>
              <w:rPr>
                <w:rFonts w:ascii="Arial" w:hAnsi="Arial" w:cs="Angsana New"/>
                <w:color w:val="000000"/>
                <w:sz w:val="16"/>
                <w:lang w:val="en-GB"/>
              </w:rPr>
            </w:pPr>
            <w:r w:rsidRPr="00AB0C8C">
              <w:rPr>
                <w:rFonts w:ascii="Arial" w:hAnsi="Arial" w:cs="Angsana New"/>
                <w:color w:val="000000"/>
                <w:sz w:val="16"/>
                <w:lang w:val="en-GB"/>
              </w:rPr>
              <w:t>Senayang Lingga</w:t>
            </w:r>
          </w:p>
        </w:tc>
        <w:tc>
          <w:tcPr>
            <w:tcW w:w="900" w:type="dxa"/>
            <w:tcBorders>
              <w:left w:val="single" w:sz="12" w:space="0" w:color="auto"/>
              <w:right w:val="single" w:sz="12" w:space="0" w:color="auto"/>
            </w:tcBorders>
            <w:noWrap/>
            <w:vAlign w:val="center"/>
          </w:tcPr>
          <w:p w14:paraId="27C3C170" w14:textId="77777777" w:rsidR="00AB0C8C" w:rsidRPr="00AB0C8C" w:rsidRDefault="00AB0C8C" w:rsidP="00AB0C8C">
            <w:pPr>
              <w:autoSpaceDE w:val="0"/>
              <w:autoSpaceDN w:val="0"/>
              <w:adjustRightInd w:val="0"/>
              <w:jc w:val="right"/>
              <w:rPr>
                <w:rFonts w:ascii="Arial" w:hAnsi="Arial" w:cs="Angsana New"/>
                <w:color w:val="000000"/>
                <w:sz w:val="16"/>
                <w:lang w:val="en-GB"/>
              </w:rPr>
            </w:pPr>
            <w:r w:rsidRPr="00AB0C8C">
              <w:rPr>
                <w:rFonts w:ascii="Arial" w:hAnsi="Arial" w:cs="Angsana New"/>
                <w:color w:val="000000"/>
                <w:sz w:val="16"/>
                <w:lang w:val="en-GB"/>
              </w:rPr>
              <w:t>4,735</w:t>
            </w:r>
          </w:p>
        </w:tc>
        <w:tc>
          <w:tcPr>
            <w:tcW w:w="1088" w:type="dxa"/>
            <w:tcBorders>
              <w:left w:val="single" w:sz="12" w:space="0" w:color="auto"/>
              <w:right w:val="single" w:sz="12" w:space="0" w:color="auto"/>
            </w:tcBorders>
            <w:noWrap/>
            <w:vAlign w:val="center"/>
          </w:tcPr>
          <w:p w14:paraId="1BE0A7C7" w14:textId="77777777" w:rsidR="00AB0C8C" w:rsidRPr="00AB0C8C" w:rsidRDefault="00AB0C8C" w:rsidP="00AB0C8C">
            <w:pPr>
              <w:autoSpaceDE w:val="0"/>
              <w:autoSpaceDN w:val="0"/>
              <w:adjustRightInd w:val="0"/>
              <w:jc w:val="center"/>
              <w:rPr>
                <w:rFonts w:ascii="Arial" w:hAnsi="Arial" w:cs="Angsana New"/>
                <w:color w:val="000000"/>
                <w:sz w:val="16"/>
                <w:lang w:val="en-GB"/>
              </w:rPr>
            </w:pPr>
            <w:r w:rsidRPr="00AB0C8C">
              <w:rPr>
                <w:rFonts w:ascii="Arial" w:hAnsi="Arial" w:cs="Angsana New"/>
                <w:color w:val="000000"/>
                <w:sz w:val="16"/>
                <w:lang w:val="en-GB"/>
              </w:rPr>
              <w:t>37</w:t>
            </w:r>
          </w:p>
        </w:tc>
        <w:tc>
          <w:tcPr>
            <w:tcW w:w="2243" w:type="dxa"/>
            <w:tcBorders>
              <w:left w:val="single" w:sz="12" w:space="0" w:color="auto"/>
              <w:right w:val="single" w:sz="12" w:space="0" w:color="auto"/>
            </w:tcBorders>
            <w:vAlign w:val="center"/>
          </w:tcPr>
          <w:p w14:paraId="149138B7" w14:textId="77777777" w:rsidR="00AB0C8C" w:rsidRPr="00AB0C8C" w:rsidRDefault="00AB0C8C" w:rsidP="00AB0C8C">
            <w:pPr>
              <w:rPr>
                <w:rFonts w:ascii="Arial" w:hAnsi="Arial" w:cs="Angsana New"/>
                <w:bCs/>
                <w:sz w:val="16"/>
                <w:lang w:val="en-GB"/>
              </w:rPr>
            </w:pPr>
          </w:p>
        </w:tc>
        <w:tc>
          <w:tcPr>
            <w:tcW w:w="1260" w:type="dxa"/>
            <w:tcBorders>
              <w:left w:val="single" w:sz="12" w:space="0" w:color="auto"/>
              <w:right w:val="single" w:sz="12" w:space="0" w:color="auto"/>
            </w:tcBorders>
            <w:vAlign w:val="center"/>
          </w:tcPr>
          <w:p w14:paraId="22397988" w14:textId="77777777" w:rsidR="00AB0C8C" w:rsidRPr="00AB0C8C" w:rsidRDefault="00AB0C8C" w:rsidP="00AB0C8C">
            <w:pPr>
              <w:autoSpaceDE w:val="0"/>
              <w:autoSpaceDN w:val="0"/>
              <w:adjustRightInd w:val="0"/>
              <w:jc w:val="right"/>
              <w:rPr>
                <w:rFonts w:ascii="Arial" w:hAnsi="Arial" w:cs="Angsana New"/>
                <w:color w:val="000000"/>
                <w:sz w:val="16"/>
                <w:lang w:val="en-GB"/>
              </w:rPr>
            </w:pPr>
          </w:p>
        </w:tc>
        <w:tc>
          <w:tcPr>
            <w:tcW w:w="1530" w:type="dxa"/>
            <w:tcBorders>
              <w:left w:val="single" w:sz="12" w:space="0" w:color="auto"/>
              <w:right w:val="single" w:sz="12" w:space="0" w:color="auto"/>
            </w:tcBorders>
            <w:vAlign w:val="center"/>
          </w:tcPr>
          <w:p w14:paraId="11F820F7" w14:textId="77777777" w:rsidR="00AB0C8C" w:rsidRPr="00AB0C8C" w:rsidRDefault="00AB0C8C" w:rsidP="00AB0C8C">
            <w:pPr>
              <w:jc w:val="center"/>
              <w:rPr>
                <w:rFonts w:ascii="Arial" w:hAnsi="Arial" w:cs="Angsana New"/>
                <w:bCs/>
                <w:sz w:val="16"/>
                <w:lang w:val="en-GB"/>
              </w:rPr>
            </w:pPr>
          </w:p>
        </w:tc>
      </w:tr>
      <w:tr w:rsidR="00AB0C8C" w:rsidRPr="00AB0C8C" w14:paraId="5762D216" w14:textId="77777777" w:rsidTr="00F370E8">
        <w:trPr>
          <w:trHeight w:val="87"/>
          <w:jc w:val="center"/>
        </w:trPr>
        <w:tc>
          <w:tcPr>
            <w:tcW w:w="1979" w:type="dxa"/>
            <w:tcBorders>
              <w:left w:val="single" w:sz="12" w:space="0" w:color="auto"/>
              <w:right w:val="single" w:sz="12" w:space="0" w:color="auto"/>
            </w:tcBorders>
            <w:noWrap/>
            <w:vAlign w:val="center"/>
          </w:tcPr>
          <w:p w14:paraId="07358FA6" w14:textId="77777777" w:rsidR="00AB0C8C" w:rsidRPr="00AB0C8C" w:rsidRDefault="00AB0C8C" w:rsidP="00AB0C8C">
            <w:pPr>
              <w:autoSpaceDE w:val="0"/>
              <w:autoSpaceDN w:val="0"/>
              <w:adjustRightInd w:val="0"/>
              <w:rPr>
                <w:rFonts w:ascii="Arial" w:hAnsi="Arial" w:cs="Angsana New"/>
                <w:color w:val="000000"/>
                <w:sz w:val="16"/>
                <w:lang w:val="en-GB"/>
              </w:rPr>
            </w:pPr>
            <w:r w:rsidRPr="00AB0C8C">
              <w:rPr>
                <w:rFonts w:ascii="Arial" w:hAnsi="Arial" w:cs="Angsana New"/>
                <w:color w:val="000000"/>
                <w:sz w:val="16"/>
                <w:lang w:val="en-GB"/>
              </w:rPr>
              <w:t>Barelang dan Bintan</w:t>
            </w:r>
          </w:p>
        </w:tc>
        <w:tc>
          <w:tcPr>
            <w:tcW w:w="900" w:type="dxa"/>
            <w:tcBorders>
              <w:left w:val="single" w:sz="12" w:space="0" w:color="auto"/>
              <w:right w:val="single" w:sz="12" w:space="0" w:color="auto"/>
            </w:tcBorders>
            <w:noWrap/>
            <w:vAlign w:val="center"/>
          </w:tcPr>
          <w:p w14:paraId="2CD47B8B" w14:textId="77777777" w:rsidR="00AB0C8C" w:rsidRPr="00AB0C8C" w:rsidRDefault="00AB0C8C" w:rsidP="00AB0C8C">
            <w:pPr>
              <w:autoSpaceDE w:val="0"/>
              <w:autoSpaceDN w:val="0"/>
              <w:adjustRightInd w:val="0"/>
              <w:jc w:val="right"/>
              <w:rPr>
                <w:rFonts w:ascii="Arial" w:hAnsi="Arial" w:cs="Angsana New"/>
                <w:color w:val="000000"/>
                <w:sz w:val="16"/>
                <w:lang w:val="en-GB"/>
              </w:rPr>
            </w:pPr>
            <w:r w:rsidRPr="00AB0C8C">
              <w:rPr>
                <w:rFonts w:ascii="Arial" w:hAnsi="Arial" w:cs="Angsana New"/>
                <w:color w:val="000000"/>
                <w:sz w:val="16"/>
                <w:lang w:val="en-GB"/>
              </w:rPr>
              <w:t>6,145</w:t>
            </w:r>
          </w:p>
        </w:tc>
        <w:tc>
          <w:tcPr>
            <w:tcW w:w="1088" w:type="dxa"/>
            <w:tcBorders>
              <w:left w:val="single" w:sz="12" w:space="0" w:color="auto"/>
              <w:right w:val="single" w:sz="12" w:space="0" w:color="auto"/>
            </w:tcBorders>
            <w:noWrap/>
            <w:vAlign w:val="center"/>
          </w:tcPr>
          <w:p w14:paraId="6E944BB9" w14:textId="77777777" w:rsidR="00AB0C8C" w:rsidRPr="00AB0C8C" w:rsidRDefault="00AB0C8C" w:rsidP="00AB0C8C">
            <w:pPr>
              <w:autoSpaceDE w:val="0"/>
              <w:autoSpaceDN w:val="0"/>
              <w:adjustRightInd w:val="0"/>
              <w:jc w:val="center"/>
              <w:rPr>
                <w:rFonts w:ascii="Arial" w:hAnsi="Arial" w:cs="Angsana New"/>
                <w:color w:val="000000"/>
                <w:sz w:val="16"/>
                <w:lang w:val="en-GB"/>
              </w:rPr>
            </w:pPr>
            <w:r w:rsidRPr="00AB0C8C">
              <w:rPr>
                <w:rFonts w:ascii="Arial" w:hAnsi="Arial" w:cs="Angsana New"/>
                <w:color w:val="000000"/>
                <w:sz w:val="16"/>
                <w:lang w:val="en-GB"/>
              </w:rPr>
              <w:t>44</w:t>
            </w:r>
          </w:p>
        </w:tc>
        <w:tc>
          <w:tcPr>
            <w:tcW w:w="2243" w:type="dxa"/>
            <w:tcBorders>
              <w:left w:val="single" w:sz="12" w:space="0" w:color="auto"/>
              <w:right w:val="single" w:sz="12" w:space="0" w:color="auto"/>
            </w:tcBorders>
            <w:vAlign w:val="center"/>
          </w:tcPr>
          <w:p w14:paraId="4A29FC4E" w14:textId="77777777" w:rsidR="00AB0C8C" w:rsidRPr="00AB0C8C" w:rsidRDefault="00AB0C8C" w:rsidP="00AB0C8C">
            <w:pPr>
              <w:rPr>
                <w:rFonts w:ascii="Arial" w:hAnsi="Arial" w:cs="Angsana New"/>
                <w:bCs/>
                <w:sz w:val="16"/>
                <w:lang w:val="en-GB"/>
              </w:rPr>
            </w:pPr>
          </w:p>
        </w:tc>
        <w:tc>
          <w:tcPr>
            <w:tcW w:w="1260" w:type="dxa"/>
            <w:tcBorders>
              <w:left w:val="single" w:sz="12" w:space="0" w:color="auto"/>
              <w:right w:val="single" w:sz="12" w:space="0" w:color="auto"/>
            </w:tcBorders>
            <w:vAlign w:val="center"/>
          </w:tcPr>
          <w:p w14:paraId="47C11F2B" w14:textId="77777777" w:rsidR="00AB0C8C" w:rsidRPr="00AB0C8C" w:rsidRDefault="00AB0C8C" w:rsidP="00AB0C8C">
            <w:pPr>
              <w:autoSpaceDE w:val="0"/>
              <w:autoSpaceDN w:val="0"/>
              <w:adjustRightInd w:val="0"/>
              <w:jc w:val="right"/>
              <w:rPr>
                <w:rFonts w:ascii="Arial" w:hAnsi="Arial" w:cs="Angsana New"/>
                <w:color w:val="000000"/>
                <w:sz w:val="16"/>
                <w:lang w:val="en-GB"/>
              </w:rPr>
            </w:pPr>
          </w:p>
        </w:tc>
        <w:tc>
          <w:tcPr>
            <w:tcW w:w="1530" w:type="dxa"/>
            <w:tcBorders>
              <w:left w:val="single" w:sz="12" w:space="0" w:color="auto"/>
              <w:right w:val="single" w:sz="12" w:space="0" w:color="auto"/>
            </w:tcBorders>
            <w:vAlign w:val="center"/>
          </w:tcPr>
          <w:p w14:paraId="56D57E80" w14:textId="77777777" w:rsidR="00AB0C8C" w:rsidRPr="00AB0C8C" w:rsidRDefault="00AB0C8C" w:rsidP="00AB0C8C">
            <w:pPr>
              <w:jc w:val="center"/>
              <w:rPr>
                <w:rFonts w:ascii="Arial" w:hAnsi="Arial" w:cs="Angsana New"/>
                <w:bCs/>
                <w:sz w:val="16"/>
                <w:lang w:val="en-GB"/>
              </w:rPr>
            </w:pPr>
          </w:p>
        </w:tc>
      </w:tr>
      <w:tr w:rsidR="00AB0C8C" w:rsidRPr="00AB0C8C" w14:paraId="4647B9B3" w14:textId="77777777" w:rsidTr="00F370E8">
        <w:trPr>
          <w:trHeight w:val="65"/>
          <w:jc w:val="center"/>
        </w:trPr>
        <w:tc>
          <w:tcPr>
            <w:tcW w:w="1979" w:type="dxa"/>
            <w:tcBorders>
              <w:left w:val="single" w:sz="12" w:space="0" w:color="auto"/>
              <w:bottom w:val="single" w:sz="12" w:space="0" w:color="auto"/>
              <w:right w:val="single" w:sz="12" w:space="0" w:color="auto"/>
            </w:tcBorders>
            <w:noWrap/>
            <w:vAlign w:val="center"/>
          </w:tcPr>
          <w:p w14:paraId="05226AD1" w14:textId="77777777" w:rsidR="00AB0C8C" w:rsidRPr="00AB0C8C" w:rsidRDefault="00AB0C8C" w:rsidP="00AB0C8C">
            <w:pPr>
              <w:autoSpaceDE w:val="0"/>
              <w:autoSpaceDN w:val="0"/>
              <w:adjustRightInd w:val="0"/>
              <w:rPr>
                <w:rFonts w:ascii="Arial" w:hAnsi="Arial" w:cs="Angsana New"/>
                <w:color w:val="000000"/>
                <w:sz w:val="16"/>
                <w:lang w:val="en-GB"/>
              </w:rPr>
            </w:pPr>
            <w:r w:rsidRPr="00AB0C8C">
              <w:rPr>
                <w:rFonts w:ascii="Arial" w:hAnsi="Arial" w:cs="Angsana New"/>
                <w:color w:val="000000"/>
                <w:sz w:val="16"/>
                <w:lang w:val="en-GB"/>
              </w:rPr>
              <w:t>Natuna</w:t>
            </w:r>
          </w:p>
        </w:tc>
        <w:tc>
          <w:tcPr>
            <w:tcW w:w="900" w:type="dxa"/>
            <w:tcBorders>
              <w:left w:val="single" w:sz="12" w:space="0" w:color="auto"/>
              <w:bottom w:val="single" w:sz="12" w:space="0" w:color="auto"/>
              <w:right w:val="single" w:sz="12" w:space="0" w:color="auto"/>
            </w:tcBorders>
            <w:noWrap/>
            <w:vAlign w:val="center"/>
          </w:tcPr>
          <w:p w14:paraId="146878B8" w14:textId="77777777" w:rsidR="00AB0C8C" w:rsidRPr="00AB0C8C" w:rsidRDefault="00AB0C8C" w:rsidP="00AB0C8C">
            <w:pPr>
              <w:autoSpaceDE w:val="0"/>
              <w:autoSpaceDN w:val="0"/>
              <w:adjustRightInd w:val="0"/>
              <w:jc w:val="right"/>
              <w:rPr>
                <w:rFonts w:ascii="Arial" w:hAnsi="Arial" w:cs="Angsana New"/>
                <w:color w:val="000000"/>
                <w:sz w:val="16"/>
                <w:lang w:val="en-GB"/>
              </w:rPr>
            </w:pPr>
            <w:r w:rsidRPr="00AB0C8C">
              <w:rPr>
                <w:rFonts w:ascii="Arial" w:hAnsi="Arial" w:cs="Angsana New"/>
                <w:color w:val="000000"/>
                <w:sz w:val="16"/>
                <w:lang w:val="en-GB"/>
              </w:rPr>
              <w:t>15,905</w:t>
            </w:r>
          </w:p>
        </w:tc>
        <w:tc>
          <w:tcPr>
            <w:tcW w:w="1088" w:type="dxa"/>
            <w:tcBorders>
              <w:left w:val="single" w:sz="12" w:space="0" w:color="auto"/>
              <w:bottom w:val="single" w:sz="12" w:space="0" w:color="auto"/>
              <w:right w:val="single" w:sz="12" w:space="0" w:color="auto"/>
            </w:tcBorders>
            <w:noWrap/>
            <w:vAlign w:val="center"/>
          </w:tcPr>
          <w:p w14:paraId="06EBE571" w14:textId="77777777" w:rsidR="00AB0C8C" w:rsidRPr="00AB0C8C" w:rsidRDefault="00AB0C8C" w:rsidP="00AB0C8C">
            <w:pPr>
              <w:autoSpaceDE w:val="0"/>
              <w:autoSpaceDN w:val="0"/>
              <w:adjustRightInd w:val="0"/>
              <w:jc w:val="center"/>
              <w:rPr>
                <w:rFonts w:ascii="Arial" w:hAnsi="Arial" w:cs="Angsana New"/>
                <w:color w:val="000000"/>
                <w:sz w:val="16"/>
                <w:lang w:val="en-GB"/>
              </w:rPr>
            </w:pPr>
            <w:r w:rsidRPr="00AB0C8C">
              <w:rPr>
                <w:rFonts w:ascii="Arial" w:hAnsi="Arial" w:cs="Angsana New"/>
                <w:color w:val="000000"/>
                <w:sz w:val="16"/>
                <w:lang w:val="en-GB"/>
              </w:rPr>
              <w:t>31</w:t>
            </w:r>
          </w:p>
        </w:tc>
        <w:tc>
          <w:tcPr>
            <w:tcW w:w="2243" w:type="dxa"/>
            <w:tcBorders>
              <w:left w:val="single" w:sz="12" w:space="0" w:color="auto"/>
              <w:bottom w:val="single" w:sz="12" w:space="0" w:color="auto"/>
              <w:right w:val="single" w:sz="12" w:space="0" w:color="auto"/>
            </w:tcBorders>
            <w:vAlign w:val="center"/>
          </w:tcPr>
          <w:p w14:paraId="22CDD52D" w14:textId="77777777" w:rsidR="00AB0C8C" w:rsidRPr="00AB0C8C" w:rsidRDefault="00AB0C8C" w:rsidP="00AB0C8C">
            <w:pPr>
              <w:rPr>
                <w:rFonts w:ascii="Arial" w:hAnsi="Arial" w:cs="Angsana New"/>
                <w:bCs/>
                <w:sz w:val="16"/>
                <w:lang w:val="en-GB"/>
              </w:rPr>
            </w:pPr>
          </w:p>
        </w:tc>
        <w:tc>
          <w:tcPr>
            <w:tcW w:w="1260" w:type="dxa"/>
            <w:tcBorders>
              <w:left w:val="single" w:sz="12" w:space="0" w:color="auto"/>
              <w:bottom w:val="single" w:sz="12" w:space="0" w:color="auto"/>
              <w:right w:val="single" w:sz="12" w:space="0" w:color="auto"/>
            </w:tcBorders>
            <w:vAlign w:val="center"/>
          </w:tcPr>
          <w:p w14:paraId="4D77F0DF" w14:textId="77777777" w:rsidR="00AB0C8C" w:rsidRPr="00AB0C8C" w:rsidRDefault="00AB0C8C" w:rsidP="00AB0C8C">
            <w:pPr>
              <w:autoSpaceDE w:val="0"/>
              <w:autoSpaceDN w:val="0"/>
              <w:adjustRightInd w:val="0"/>
              <w:jc w:val="right"/>
              <w:rPr>
                <w:rFonts w:ascii="Arial" w:hAnsi="Arial" w:cs="Angsana New"/>
                <w:color w:val="000000"/>
                <w:sz w:val="16"/>
                <w:lang w:val="en-GB"/>
              </w:rPr>
            </w:pPr>
          </w:p>
        </w:tc>
        <w:tc>
          <w:tcPr>
            <w:tcW w:w="1530" w:type="dxa"/>
            <w:tcBorders>
              <w:left w:val="single" w:sz="12" w:space="0" w:color="auto"/>
              <w:bottom w:val="single" w:sz="12" w:space="0" w:color="auto"/>
              <w:right w:val="single" w:sz="12" w:space="0" w:color="auto"/>
            </w:tcBorders>
            <w:vAlign w:val="center"/>
          </w:tcPr>
          <w:p w14:paraId="0D606678" w14:textId="77777777" w:rsidR="00AB0C8C" w:rsidRPr="00AB0C8C" w:rsidRDefault="00AB0C8C" w:rsidP="00AB0C8C">
            <w:pPr>
              <w:jc w:val="center"/>
              <w:rPr>
                <w:rFonts w:ascii="Arial" w:hAnsi="Arial" w:cs="Angsana New"/>
                <w:bCs/>
                <w:sz w:val="16"/>
                <w:lang w:val="en-GB"/>
              </w:rPr>
            </w:pPr>
          </w:p>
        </w:tc>
      </w:tr>
      <w:tr w:rsidR="00AB0C8C" w:rsidRPr="00AB0C8C" w14:paraId="38DAD4DA" w14:textId="77777777" w:rsidTr="00F370E8">
        <w:trPr>
          <w:trHeight w:val="50"/>
          <w:jc w:val="center"/>
        </w:trPr>
        <w:tc>
          <w:tcPr>
            <w:tcW w:w="1979" w:type="dxa"/>
            <w:tcBorders>
              <w:top w:val="single" w:sz="12" w:space="0" w:color="auto"/>
              <w:left w:val="single" w:sz="12" w:space="0" w:color="auto"/>
              <w:right w:val="single" w:sz="12" w:space="0" w:color="auto"/>
            </w:tcBorders>
            <w:noWrap/>
            <w:vAlign w:val="center"/>
          </w:tcPr>
          <w:p w14:paraId="48ABD308" w14:textId="77777777" w:rsidR="00AB0C8C" w:rsidRPr="00AB0C8C" w:rsidRDefault="00AB0C8C" w:rsidP="00AB0C8C">
            <w:pPr>
              <w:rPr>
                <w:rFonts w:ascii="Arial" w:hAnsi="Arial" w:cs="Angsana New"/>
                <w:bCs/>
                <w:sz w:val="16"/>
                <w:szCs w:val="16"/>
                <w:lang w:val="en-GB"/>
              </w:rPr>
            </w:pPr>
            <w:smartTag w:uri="urn:schemas-microsoft-com:office:smarttags" w:element="place">
              <w:smartTag w:uri="urn:schemas-microsoft-com:office:smarttags" w:element="country-region">
                <w:r w:rsidRPr="00AB0C8C">
                  <w:rPr>
                    <w:rFonts w:ascii="Arial" w:hAnsi="Arial" w:cs="Angsana New"/>
                    <w:b/>
                    <w:sz w:val="16"/>
                    <w:szCs w:val="16"/>
                    <w:lang w:val="en-GB"/>
                  </w:rPr>
                  <w:t>Malaysia</w:t>
                </w:r>
              </w:smartTag>
            </w:smartTag>
          </w:p>
        </w:tc>
        <w:tc>
          <w:tcPr>
            <w:tcW w:w="900" w:type="dxa"/>
            <w:tcBorders>
              <w:top w:val="single" w:sz="12" w:space="0" w:color="auto"/>
              <w:left w:val="single" w:sz="12" w:space="0" w:color="auto"/>
              <w:right w:val="single" w:sz="12" w:space="0" w:color="auto"/>
            </w:tcBorders>
            <w:noWrap/>
            <w:vAlign w:val="center"/>
          </w:tcPr>
          <w:p w14:paraId="02CBACEE" w14:textId="77777777" w:rsidR="00AB0C8C" w:rsidRPr="00AB0C8C" w:rsidRDefault="00AB0C8C" w:rsidP="00AB0C8C">
            <w:pPr>
              <w:jc w:val="right"/>
              <w:rPr>
                <w:rFonts w:ascii="Arial" w:hAnsi="Arial" w:cs="Angsana New"/>
                <w:b/>
                <w:sz w:val="16"/>
                <w:szCs w:val="18"/>
                <w:lang w:val="en-GB"/>
              </w:rPr>
            </w:pPr>
            <w:r w:rsidRPr="00AB0C8C">
              <w:rPr>
                <w:rFonts w:ascii="Arial" w:hAnsi="Arial" w:cs="Angsana New"/>
                <w:b/>
                <w:sz w:val="16"/>
                <w:szCs w:val="18"/>
                <w:lang w:val="en-GB"/>
              </w:rPr>
              <w:t>43,394</w:t>
            </w:r>
          </w:p>
        </w:tc>
        <w:tc>
          <w:tcPr>
            <w:tcW w:w="1088" w:type="dxa"/>
            <w:tcBorders>
              <w:top w:val="single" w:sz="12" w:space="0" w:color="auto"/>
              <w:left w:val="single" w:sz="12" w:space="0" w:color="auto"/>
              <w:right w:val="single" w:sz="12" w:space="0" w:color="auto"/>
            </w:tcBorders>
            <w:noWrap/>
            <w:vAlign w:val="center"/>
          </w:tcPr>
          <w:p w14:paraId="5AB5E3D3" w14:textId="77777777" w:rsidR="00AB0C8C" w:rsidRPr="00AB0C8C" w:rsidRDefault="00AB0C8C" w:rsidP="00AB0C8C">
            <w:pPr>
              <w:jc w:val="right"/>
              <w:rPr>
                <w:rFonts w:ascii="Arial" w:hAnsi="Arial" w:cs="Angsana New"/>
                <w:b/>
                <w:sz w:val="16"/>
                <w:szCs w:val="16"/>
                <w:lang w:val="en-GB"/>
              </w:rPr>
            </w:pPr>
          </w:p>
        </w:tc>
        <w:tc>
          <w:tcPr>
            <w:tcW w:w="2243" w:type="dxa"/>
            <w:tcBorders>
              <w:top w:val="single" w:sz="12" w:space="0" w:color="auto"/>
              <w:left w:val="single" w:sz="12" w:space="0" w:color="auto"/>
              <w:right w:val="single" w:sz="12" w:space="0" w:color="auto"/>
            </w:tcBorders>
            <w:vAlign w:val="center"/>
          </w:tcPr>
          <w:p w14:paraId="0EF20CCB" w14:textId="77777777" w:rsidR="00AB0C8C" w:rsidRPr="00AB0C8C" w:rsidRDefault="00AB0C8C" w:rsidP="00AB0C8C">
            <w:pPr>
              <w:jc w:val="right"/>
              <w:rPr>
                <w:rFonts w:ascii="Arial" w:hAnsi="Arial" w:cs="Angsana New"/>
                <w:b/>
                <w:sz w:val="16"/>
                <w:lang w:val="en-GB"/>
              </w:rPr>
            </w:pPr>
          </w:p>
        </w:tc>
        <w:tc>
          <w:tcPr>
            <w:tcW w:w="1260" w:type="dxa"/>
            <w:tcBorders>
              <w:top w:val="single" w:sz="12" w:space="0" w:color="auto"/>
              <w:left w:val="single" w:sz="12" w:space="0" w:color="auto"/>
              <w:right w:val="single" w:sz="12" w:space="0" w:color="auto"/>
            </w:tcBorders>
            <w:vAlign w:val="center"/>
          </w:tcPr>
          <w:p w14:paraId="76E18AE1" w14:textId="77777777" w:rsidR="00AB0C8C" w:rsidRPr="00AB0C8C" w:rsidRDefault="00AB0C8C" w:rsidP="00AB0C8C">
            <w:pPr>
              <w:jc w:val="right"/>
              <w:rPr>
                <w:rFonts w:ascii="Arial" w:hAnsi="Arial" w:cs="Angsana New"/>
                <w:b/>
                <w:sz w:val="16"/>
                <w:lang w:val="en-GB"/>
              </w:rPr>
            </w:pPr>
            <w:r w:rsidRPr="00AB0C8C">
              <w:rPr>
                <w:rFonts w:ascii="Arial" w:hAnsi="Arial" w:cs="Angsana New"/>
                <w:b/>
                <w:sz w:val="16"/>
                <w:lang w:val="en-GB"/>
              </w:rPr>
              <w:t>28,209</w:t>
            </w:r>
          </w:p>
        </w:tc>
        <w:tc>
          <w:tcPr>
            <w:tcW w:w="1530" w:type="dxa"/>
            <w:tcBorders>
              <w:top w:val="single" w:sz="12" w:space="0" w:color="auto"/>
              <w:left w:val="single" w:sz="12" w:space="0" w:color="auto"/>
              <w:right w:val="single" w:sz="12" w:space="0" w:color="auto"/>
            </w:tcBorders>
            <w:vAlign w:val="center"/>
          </w:tcPr>
          <w:p w14:paraId="4599D05A" w14:textId="77777777" w:rsidR="00AB0C8C" w:rsidRPr="00AB0C8C" w:rsidRDefault="00AB0C8C" w:rsidP="00AB0C8C">
            <w:pPr>
              <w:jc w:val="center"/>
              <w:rPr>
                <w:rFonts w:ascii="Arial" w:hAnsi="Arial" w:cs="Angsana New"/>
                <w:b/>
                <w:sz w:val="16"/>
                <w:lang w:val="en-GB"/>
              </w:rPr>
            </w:pPr>
          </w:p>
        </w:tc>
      </w:tr>
      <w:tr w:rsidR="00AB0C8C" w:rsidRPr="00AB0C8C" w14:paraId="141BB39C" w14:textId="77777777" w:rsidTr="00F370E8">
        <w:trPr>
          <w:trHeight w:val="65"/>
          <w:jc w:val="center"/>
        </w:trPr>
        <w:tc>
          <w:tcPr>
            <w:tcW w:w="1979" w:type="dxa"/>
            <w:tcBorders>
              <w:left w:val="single" w:sz="12" w:space="0" w:color="auto"/>
              <w:right w:val="single" w:sz="12" w:space="0" w:color="auto"/>
            </w:tcBorders>
            <w:noWrap/>
            <w:vAlign w:val="center"/>
          </w:tcPr>
          <w:p w14:paraId="3E2485F6" w14:textId="77777777" w:rsidR="00AB0C8C" w:rsidRPr="00AB0C8C" w:rsidRDefault="00AB0C8C" w:rsidP="00AB0C8C">
            <w:pPr>
              <w:widowControl w:val="0"/>
              <w:autoSpaceDE w:val="0"/>
              <w:autoSpaceDN w:val="0"/>
              <w:adjustRightInd w:val="0"/>
              <w:rPr>
                <w:rFonts w:ascii="Arial" w:hAnsi="Arial" w:cs="Angsana New"/>
                <w:sz w:val="16"/>
                <w:lang w:val="en-GB"/>
              </w:rPr>
            </w:pPr>
            <w:r w:rsidRPr="00AB0C8C">
              <w:rPr>
                <w:rFonts w:ascii="Arial" w:hAnsi="Arial" w:cs="Angsana New"/>
                <w:sz w:val="16"/>
                <w:lang w:val="en-GB"/>
              </w:rPr>
              <w:t>Pulau Redang</w:t>
            </w:r>
          </w:p>
        </w:tc>
        <w:tc>
          <w:tcPr>
            <w:tcW w:w="900" w:type="dxa"/>
            <w:tcBorders>
              <w:left w:val="single" w:sz="12" w:space="0" w:color="auto"/>
              <w:right w:val="single" w:sz="12" w:space="0" w:color="auto"/>
            </w:tcBorders>
            <w:noWrap/>
            <w:vAlign w:val="center"/>
          </w:tcPr>
          <w:p w14:paraId="1A34153F"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2,550</w:t>
            </w:r>
          </w:p>
        </w:tc>
        <w:tc>
          <w:tcPr>
            <w:tcW w:w="1088" w:type="dxa"/>
            <w:tcBorders>
              <w:left w:val="single" w:sz="12" w:space="0" w:color="auto"/>
              <w:right w:val="single" w:sz="12" w:space="0" w:color="auto"/>
            </w:tcBorders>
            <w:noWrap/>
            <w:vAlign w:val="center"/>
          </w:tcPr>
          <w:p w14:paraId="5B1FD46C" w14:textId="77777777" w:rsidR="00AB0C8C" w:rsidRPr="00AB0C8C" w:rsidRDefault="00AB0C8C" w:rsidP="00AB0C8C">
            <w:pPr>
              <w:jc w:val="right"/>
              <w:rPr>
                <w:rFonts w:ascii="Arial" w:hAnsi="Arial" w:cs="Angsana New"/>
                <w:bCs/>
                <w:sz w:val="16"/>
                <w:szCs w:val="16"/>
                <w:lang w:val="en-GB"/>
              </w:rPr>
            </w:pPr>
          </w:p>
        </w:tc>
        <w:tc>
          <w:tcPr>
            <w:tcW w:w="2243" w:type="dxa"/>
            <w:tcBorders>
              <w:left w:val="single" w:sz="12" w:space="0" w:color="auto"/>
              <w:right w:val="single" w:sz="12" w:space="0" w:color="auto"/>
            </w:tcBorders>
            <w:vAlign w:val="center"/>
          </w:tcPr>
          <w:p w14:paraId="6F251876" w14:textId="77777777" w:rsidR="00AB0C8C" w:rsidRPr="00AB0C8C" w:rsidRDefault="00AB0C8C" w:rsidP="00AB0C8C">
            <w:pPr>
              <w:rPr>
                <w:rFonts w:ascii="Arial" w:hAnsi="Arial" w:cs="Angsana New"/>
                <w:sz w:val="16"/>
                <w:lang w:val="en-GB"/>
              </w:rPr>
            </w:pPr>
            <w:smartTag w:uri="urn:schemas-microsoft-com:office:smarttags" w:element="place">
              <w:smartTag w:uri="urn:schemas-microsoft-com:office:smarttags" w:element="PlaceName">
                <w:r w:rsidRPr="00AB0C8C">
                  <w:rPr>
                    <w:rFonts w:ascii="Arial" w:hAnsi="Arial" w:cs="Angsana New"/>
                    <w:sz w:val="16"/>
                    <w:lang w:val="en-GB"/>
                  </w:rPr>
                  <w:t>Marine</w:t>
                </w:r>
              </w:smartTag>
              <w:r w:rsidRPr="00AB0C8C">
                <w:rPr>
                  <w:rFonts w:ascii="Arial" w:hAnsi="Arial" w:cs="Angsana New"/>
                  <w:sz w:val="16"/>
                  <w:lang w:val="en-GB"/>
                </w:rPr>
                <w:t xml:space="preserve"> </w:t>
              </w:r>
              <w:smartTag w:uri="urn:schemas-microsoft-com:office:smarttags" w:element="PlaceType">
                <w:r w:rsidRPr="00AB0C8C">
                  <w:rPr>
                    <w:rFonts w:ascii="Arial" w:hAnsi="Arial" w:cs="Angsana New"/>
                    <w:sz w:val="16"/>
                    <w:lang w:val="en-GB"/>
                  </w:rPr>
                  <w:t>Park</w:t>
                </w:r>
              </w:smartTag>
            </w:smartTag>
            <w:r w:rsidRPr="00AB0C8C">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7D284FEA"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1,658</w:t>
            </w:r>
          </w:p>
        </w:tc>
        <w:tc>
          <w:tcPr>
            <w:tcW w:w="1530" w:type="dxa"/>
            <w:tcBorders>
              <w:left w:val="single" w:sz="12" w:space="0" w:color="auto"/>
              <w:right w:val="single" w:sz="12" w:space="0" w:color="auto"/>
            </w:tcBorders>
            <w:vAlign w:val="center"/>
          </w:tcPr>
          <w:p w14:paraId="0E8EB753" w14:textId="77777777" w:rsidR="00AB0C8C" w:rsidRPr="00AB0C8C" w:rsidRDefault="00AB0C8C" w:rsidP="00AB0C8C">
            <w:pPr>
              <w:widowControl w:val="0"/>
              <w:autoSpaceDE w:val="0"/>
              <w:autoSpaceDN w:val="0"/>
              <w:adjustRightInd w:val="0"/>
              <w:jc w:val="center"/>
              <w:rPr>
                <w:rFonts w:ascii="Arial" w:hAnsi="Arial" w:cs="Angsana New"/>
                <w:sz w:val="16"/>
                <w:lang w:val="en-GB"/>
              </w:rPr>
            </w:pPr>
            <w:r w:rsidRPr="00AB0C8C">
              <w:rPr>
                <w:rFonts w:ascii="Arial" w:hAnsi="Arial" w:cs="Angsana New"/>
                <w:sz w:val="16"/>
                <w:lang w:val="en-GB"/>
              </w:rPr>
              <w:t>High</w:t>
            </w:r>
          </w:p>
        </w:tc>
      </w:tr>
      <w:tr w:rsidR="00AB0C8C" w:rsidRPr="00AB0C8C" w14:paraId="38CD0215" w14:textId="77777777" w:rsidTr="00F370E8">
        <w:trPr>
          <w:trHeight w:val="65"/>
          <w:jc w:val="center"/>
        </w:trPr>
        <w:tc>
          <w:tcPr>
            <w:tcW w:w="1979" w:type="dxa"/>
            <w:tcBorders>
              <w:left w:val="single" w:sz="12" w:space="0" w:color="auto"/>
              <w:right w:val="single" w:sz="12" w:space="0" w:color="auto"/>
            </w:tcBorders>
            <w:noWrap/>
            <w:vAlign w:val="center"/>
          </w:tcPr>
          <w:p w14:paraId="05C633F4" w14:textId="77777777" w:rsidR="00AB0C8C" w:rsidRPr="00AB0C8C" w:rsidRDefault="00AB0C8C" w:rsidP="00AB0C8C">
            <w:pPr>
              <w:widowControl w:val="0"/>
              <w:autoSpaceDE w:val="0"/>
              <w:autoSpaceDN w:val="0"/>
              <w:adjustRightInd w:val="0"/>
              <w:rPr>
                <w:rFonts w:ascii="Arial" w:hAnsi="Arial" w:cs="Angsana New"/>
                <w:sz w:val="16"/>
                <w:lang w:val="en-GB"/>
              </w:rPr>
            </w:pPr>
            <w:r w:rsidRPr="00AB0C8C">
              <w:rPr>
                <w:rFonts w:ascii="Arial" w:hAnsi="Arial" w:cs="Angsana New"/>
                <w:sz w:val="16"/>
                <w:lang w:val="en-GB"/>
              </w:rPr>
              <w:t>Pulau Lima</w:t>
            </w:r>
          </w:p>
        </w:tc>
        <w:tc>
          <w:tcPr>
            <w:tcW w:w="900" w:type="dxa"/>
            <w:tcBorders>
              <w:left w:val="single" w:sz="12" w:space="0" w:color="auto"/>
              <w:right w:val="single" w:sz="12" w:space="0" w:color="auto"/>
            </w:tcBorders>
            <w:noWrap/>
            <w:vAlign w:val="center"/>
          </w:tcPr>
          <w:p w14:paraId="1FC3C7AC"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878</w:t>
            </w:r>
          </w:p>
        </w:tc>
        <w:tc>
          <w:tcPr>
            <w:tcW w:w="1088" w:type="dxa"/>
            <w:tcBorders>
              <w:left w:val="single" w:sz="12" w:space="0" w:color="auto"/>
              <w:right w:val="single" w:sz="12" w:space="0" w:color="auto"/>
            </w:tcBorders>
            <w:noWrap/>
            <w:vAlign w:val="center"/>
          </w:tcPr>
          <w:p w14:paraId="34CFD585" w14:textId="77777777" w:rsidR="00AB0C8C" w:rsidRPr="00AB0C8C" w:rsidRDefault="00AB0C8C" w:rsidP="00AB0C8C">
            <w:pPr>
              <w:jc w:val="right"/>
              <w:rPr>
                <w:rFonts w:ascii="Arial" w:hAnsi="Arial" w:cs="Angsana New"/>
                <w:bCs/>
                <w:sz w:val="16"/>
                <w:szCs w:val="16"/>
                <w:lang w:val="en-GB"/>
              </w:rPr>
            </w:pPr>
          </w:p>
        </w:tc>
        <w:tc>
          <w:tcPr>
            <w:tcW w:w="2243" w:type="dxa"/>
            <w:tcBorders>
              <w:left w:val="single" w:sz="12" w:space="0" w:color="auto"/>
              <w:right w:val="single" w:sz="12" w:space="0" w:color="auto"/>
            </w:tcBorders>
            <w:vAlign w:val="center"/>
          </w:tcPr>
          <w:p w14:paraId="243F2676" w14:textId="77777777" w:rsidR="00AB0C8C" w:rsidRPr="00AB0C8C" w:rsidRDefault="00AB0C8C" w:rsidP="00AB0C8C">
            <w:pPr>
              <w:rPr>
                <w:rFonts w:ascii="Arial" w:hAnsi="Arial" w:cs="Angsana New"/>
                <w:sz w:val="16"/>
                <w:lang w:val="en-GB"/>
              </w:rPr>
            </w:pPr>
            <w:smartTag w:uri="urn:schemas-microsoft-com:office:smarttags" w:element="place">
              <w:smartTag w:uri="urn:schemas-microsoft-com:office:smarttags" w:element="PlaceName">
                <w:r w:rsidRPr="00AB0C8C">
                  <w:rPr>
                    <w:rFonts w:ascii="Arial" w:hAnsi="Arial" w:cs="Angsana New"/>
                    <w:sz w:val="16"/>
                    <w:lang w:val="en-GB"/>
                  </w:rPr>
                  <w:t>Marine</w:t>
                </w:r>
              </w:smartTag>
              <w:r w:rsidRPr="00AB0C8C">
                <w:rPr>
                  <w:rFonts w:ascii="Arial" w:hAnsi="Arial" w:cs="Angsana New"/>
                  <w:sz w:val="16"/>
                  <w:lang w:val="en-GB"/>
                </w:rPr>
                <w:t xml:space="preserve"> </w:t>
              </w:r>
              <w:smartTag w:uri="urn:schemas-microsoft-com:office:smarttags" w:element="PlaceType">
                <w:r w:rsidRPr="00AB0C8C">
                  <w:rPr>
                    <w:rFonts w:ascii="Arial" w:hAnsi="Arial" w:cs="Angsana New"/>
                    <w:sz w:val="16"/>
                    <w:lang w:val="en-GB"/>
                  </w:rPr>
                  <w:t>Park</w:t>
                </w:r>
              </w:smartTag>
            </w:smartTag>
            <w:r w:rsidRPr="00AB0C8C">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25B339DC"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571</w:t>
            </w:r>
          </w:p>
        </w:tc>
        <w:tc>
          <w:tcPr>
            <w:tcW w:w="1530" w:type="dxa"/>
            <w:tcBorders>
              <w:left w:val="single" w:sz="12" w:space="0" w:color="auto"/>
              <w:right w:val="single" w:sz="12" w:space="0" w:color="auto"/>
            </w:tcBorders>
            <w:vAlign w:val="center"/>
          </w:tcPr>
          <w:p w14:paraId="67BF8137" w14:textId="77777777" w:rsidR="00AB0C8C" w:rsidRPr="00AB0C8C" w:rsidRDefault="00AB0C8C" w:rsidP="00AB0C8C">
            <w:pPr>
              <w:jc w:val="center"/>
              <w:rPr>
                <w:rFonts w:ascii="Arial" w:hAnsi="Arial" w:cs="Angsana New"/>
                <w:sz w:val="16"/>
                <w:lang w:val="en-GB"/>
              </w:rPr>
            </w:pPr>
            <w:r w:rsidRPr="00AB0C8C">
              <w:rPr>
                <w:rFonts w:ascii="Arial" w:hAnsi="Arial" w:cs="Angsana New"/>
                <w:sz w:val="16"/>
                <w:lang w:val="en-GB"/>
              </w:rPr>
              <w:t>High</w:t>
            </w:r>
          </w:p>
        </w:tc>
      </w:tr>
      <w:tr w:rsidR="00AB0C8C" w:rsidRPr="00AB0C8C" w14:paraId="3323A006" w14:textId="77777777" w:rsidTr="00F370E8">
        <w:trPr>
          <w:trHeight w:val="65"/>
          <w:jc w:val="center"/>
        </w:trPr>
        <w:tc>
          <w:tcPr>
            <w:tcW w:w="1979" w:type="dxa"/>
            <w:tcBorders>
              <w:left w:val="single" w:sz="12" w:space="0" w:color="auto"/>
              <w:right w:val="single" w:sz="12" w:space="0" w:color="auto"/>
            </w:tcBorders>
            <w:noWrap/>
            <w:vAlign w:val="center"/>
          </w:tcPr>
          <w:p w14:paraId="2BD5B712" w14:textId="77777777" w:rsidR="00AB0C8C" w:rsidRPr="00AB0C8C" w:rsidRDefault="00AB0C8C" w:rsidP="00AB0C8C">
            <w:pPr>
              <w:widowControl w:val="0"/>
              <w:autoSpaceDE w:val="0"/>
              <w:autoSpaceDN w:val="0"/>
              <w:adjustRightInd w:val="0"/>
              <w:rPr>
                <w:rFonts w:ascii="Arial" w:hAnsi="Arial" w:cs="Angsana New"/>
                <w:sz w:val="16"/>
                <w:lang w:val="en-GB"/>
              </w:rPr>
            </w:pPr>
            <w:r w:rsidRPr="00AB0C8C">
              <w:rPr>
                <w:rFonts w:ascii="Arial" w:hAnsi="Arial" w:cs="Angsana New"/>
                <w:sz w:val="16"/>
                <w:lang w:val="en-GB"/>
              </w:rPr>
              <w:t>Pulau Ekor Tebu</w:t>
            </w:r>
          </w:p>
        </w:tc>
        <w:tc>
          <w:tcPr>
            <w:tcW w:w="900" w:type="dxa"/>
            <w:tcBorders>
              <w:left w:val="single" w:sz="12" w:space="0" w:color="auto"/>
              <w:right w:val="single" w:sz="12" w:space="0" w:color="auto"/>
            </w:tcBorders>
            <w:noWrap/>
            <w:vAlign w:val="center"/>
          </w:tcPr>
          <w:p w14:paraId="40DD0667"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812</w:t>
            </w:r>
          </w:p>
        </w:tc>
        <w:tc>
          <w:tcPr>
            <w:tcW w:w="1088" w:type="dxa"/>
            <w:tcBorders>
              <w:left w:val="single" w:sz="12" w:space="0" w:color="auto"/>
              <w:right w:val="single" w:sz="12" w:space="0" w:color="auto"/>
            </w:tcBorders>
            <w:noWrap/>
            <w:vAlign w:val="center"/>
          </w:tcPr>
          <w:p w14:paraId="7A4B8797" w14:textId="77777777" w:rsidR="00AB0C8C" w:rsidRPr="00AB0C8C" w:rsidRDefault="00AB0C8C" w:rsidP="00AB0C8C">
            <w:pPr>
              <w:jc w:val="right"/>
              <w:rPr>
                <w:rFonts w:ascii="Arial" w:hAnsi="Arial" w:cs="Angsana New"/>
                <w:bCs/>
                <w:sz w:val="16"/>
                <w:szCs w:val="16"/>
                <w:lang w:val="en-GB"/>
              </w:rPr>
            </w:pPr>
          </w:p>
        </w:tc>
        <w:tc>
          <w:tcPr>
            <w:tcW w:w="2243" w:type="dxa"/>
            <w:tcBorders>
              <w:left w:val="single" w:sz="12" w:space="0" w:color="auto"/>
              <w:right w:val="single" w:sz="12" w:space="0" w:color="auto"/>
            </w:tcBorders>
            <w:vAlign w:val="center"/>
          </w:tcPr>
          <w:p w14:paraId="3E9D9475" w14:textId="77777777" w:rsidR="00AB0C8C" w:rsidRPr="00AB0C8C" w:rsidRDefault="00AB0C8C" w:rsidP="00AB0C8C">
            <w:pPr>
              <w:rPr>
                <w:rFonts w:ascii="Arial" w:hAnsi="Arial" w:cs="Angsana New"/>
                <w:sz w:val="16"/>
                <w:lang w:val="en-GB"/>
              </w:rPr>
            </w:pPr>
            <w:smartTag w:uri="urn:schemas-microsoft-com:office:smarttags" w:element="place">
              <w:smartTag w:uri="urn:schemas-microsoft-com:office:smarttags" w:element="PlaceName">
                <w:r w:rsidRPr="00AB0C8C">
                  <w:rPr>
                    <w:rFonts w:ascii="Arial" w:hAnsi="Arial" w:cs="Angsana New"/>
                    <w:sz w:val="16"/>
                    <w:lang w:val="en-GB"/>
                  </w:rPr>
                  <w:t>Marine</w:t>
                </w:r>
              </w:smartTag>
              <w:r w:rsidRPr="00AB0C8C">
                <w:rPr>
                  <w:rFonts w:ascii="Arial" w:hAnsi="Arial" w:cs="Angsana New"/>
                  <w:sz w:val="16"/>
                  <w:lang w:val="en-GB"/>
                </w:rPr>
                <w:t xml:space="preserve"> </w:t>
              </w:r>
              <w:smartTag w:uri="urn:schemas-microsoft-com:office:smarttags" w:element="PlaceType">
                <w:r w:rsidRPr="00AB0C8C">
                  <w:rPr>
                    <w:rFonts w:ascii="Arial" w:hAnsi="Arial" w:cs="Angsana New"/>
                    <w:sz w:val="16"/>
                    <w:lang w:val="en-GB"/>
                  </w:rPr>
                  <w:t>Park</w:t>
                </w:r>
              </w:smartTag>
            </w:smartTag>
            <w:r w:rsidRPr="00AB0C8C">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3E5515DC"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528</w:t>
            </w:r>
          </w:p>
        </w:tc>
        <w:tc>
          <w:tcPr>
            <w:tcW w:w="1530" w:type="dxa"/>
            <w:tcBorders>
              <w:left w:val="single" w:sz="12" w:space="0" w:color="auto"/>
              <w:right w:val="single" w:sz="12" w:space="0" w:color="auto"/>
            </w:tcBorders>
            <w:vAlign w:val="center"/>
          </w:tcPr>
          <w:p w14:paraId="61346C17" w14:textId="77777777" w:rsidR="00AB0C8C" w:rsidRPr="00AB0C8C" w:rsidRDefault="00AB0C8C" w:rsidP="00AB0C8C">
            <w:pPr>
              <w:jc w:val="center"/>
              <w:rPr>
                <w:rFonts w:ascii="Arial" w:hAnsi="Arial" w:cs="Angsana New"/>
                <w:sz w:val="16"/>
                <w:lang w:val="en-GB"/>
              </w:rPr>
            </w:pPr>
            <w:r w:rsidRPr="00AB0C8C">
              <w:rPr>
                <w:rFonts w:ascii="Arial" w:hAnsi="Arial" w:cs="Angsana New"/>
                <w:sz w:val="16"/>
                <w:lang w:val="en-GB"/>
              </w:rPr>
              <w:t>High</w:t>
            </w:r>
          </w:p>
        </w:tc>
      </w:tr>
      <w:tr w:rsidR="00AB0C8C" w:rsidRPr="00AB0C8C" w14:paraId="61FB6C6C" w14:textId="77777777" w:rsidTr="00F370E8">
        <w:trPr>
          <w:trHeight w:val="65"/>
          <w:jc w:val="center"/>
        </w:trPr>
        <w:tc>
          <w:tcPr>
            <w:tcW w:w="1979" w:type="dxa"/>
            <w:tcBorders>
              <w:left w:val="single" w:sz="12" w:space="0" w:color="auto"/>
              <w:right w:val="single" w:sz="12" w:space="0" w:color="auto"/>
            </w:tcBorders>
            <w:noWrap/>
            <w:vAlign w:val="center"/>
          </w:tcPr>
          <w:p w14:paraId="78BECEB5" w14:textId="77777777" w:rsidR="00AB0C8C" w:rsidRPr="00AB0C8C" w:rsidRDefault="00AB0C8C" w:rsidP="00AB0C8C">
            <w:pPr>
              <w:widowControl w:val="0"/>
              <w:autoSpaceDE w:val="0"/>
              <w:autoSpaceDN w:val="0"/>
              <w:adjustRightInd w:val="0"/>
              <w:rPr>
                <w:rFonts w:ascii="Arial" w:hAnsi="Arial" w:cs="Angsana New"/>
                <w:sz w:val="16"/>
                <w:lang w:val="en-GB"/>
              </w:rPr>
            </w:pPr>
            <w:r w:rsidRPr="00AB0C8C">
              <w:rPr>
                <w:rFonts w:ascii="Arial" w:hAnsi="Arial" w:cs="Angsana New"/>
                <w:sz w:val="16"/>
                <w:lang w:val="en-GB"/>
              </w:rPr>
              <w:t>Pulau Pinang</w:t>
            </w:r>
          </w:p>
        </w:tc>
        <w:tc>
          <w:tcPr>
            <w:tcW w:w="900" w:type="dxa"/>
            <w:tcBorders>
              <w:left w:val="single" w:sz="12" w:space="0" w:color="auto"/>
              <w:right w:val="single" w:sz="12" w:space="0" w:color="auto"/>
            </w:tcBorders>
            <w:noWrap/>
            <w:vAlign w:val="center"/>
          </w:tcPr>
          <w:p w14:paraId="4B0CEF5D"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978</w:t>
            </w:r>
          </w:p>
        </w:tc>
        <w:tc>
          <w:tcPr>
            <w:tcW w:w="1088" w:type="dxa"/>
            <w:tcBorders>
              <w:left w:val="single" w:sz="12" w:space="0" w:color="auto"/>
              <w:right w:val="single" w:sz="12" w:space="0" w:color="auto"/>
            </w:tcBorders>
            <w:noWrap/>
            <w:vAlign w:val="center"/>
          </w:tcPr>
          <w:p w14:paraId="4A479522" w14:textId="77777777" w:rsidR="00AB0C8C" w:rsidRPr="00AB0C8C" w:rsidRDefault="00AB0C8C" w:rsidP="00AB0C8C">
            <w:pPr>
              <w:jc w:val="right"/>
              <w:rPr>
                <w:rFonts w:ascii="Arial" w:hAnsi="Arial" w:cs="Angsana New"/>
                <w:bCs/>
                <w:sz w:val="16"/>
                <w:szCs w:val="16"/>
                <w:lang w:val="en-GB"/>
              </w:rPr>
            </w:pPr>
          </w:p>
        </w:tc>
        <w:tc>
          <w:tcPr>
            <w:tcW w:w="2243" w:type="dxa"/>
            <w:tcBorders>
              <w:left w:val="single" w:sz="12" w:space="0" w:color="auto"/>
              <w:right w:val="single" w:sz="12" w:space="0" w:color="auto"/>
            </w:tcBorders>
            <w:vAlign w:val="center"/>
          </w:tcPr>
          <w:p w14:paraId="373104BB" w14:textId="77777777" w:rsidR="00AB0C8C" w:rsidRPr="00AB0C8C" w:rsidRDefault="00AB0C8C" w:rsidP="00AB0C8C">
            <w:pPr>
              <w:rPr>
                <w:rFonts w:ascii="Arial" w:hAnsi="Arial" w:cs="Angsana New"/>
                <w:sz w:val="16"/>
                <w:lang w:val="en-GB"/>
              </w:rPr>
            </w:pPr>
            <w:smartTag w:uri="urn:schemas-microsoft-com:office:smarttags" w:element="place">
              <w:smartTag w:uri="urn:schemas-microsoft-com:office:smarttags" w:element="PlaceName">
                <w:r w:rsidRPr="00AB0C8C">
                  <w:rPr>
                    <w:rFonts w:ascii="Arial" w:hAnsi="Arial" w:cs="Angsana New"/>
                    <w:sz w:val="16"/>
                    <w:lang w:val="en-GB"/>
                  </w:rPr>
                  <w:t>Marine</w:t>
                </w:r>
              </w:smartTag>
              <w:r w:rsidRPr="00AB0C8C">
                <w:rPr>
                  <w:rFonts w:ascii="Arial" w:hAnsi="Arial" w:cs="Angsana New"/>
                  <w:sz w:val="16"/>
                  <w:lang w:val="en-GB"/>
                </w:rPr>
                <w:t xml:space="preserve"> </w:t>
              </w:r>
              <w:smartTag w:uri="urn:schemas-microsoft-com:office:smarttags" w:element="PlaceType">
                <w:r w:rsidRPr="00AB0C8C">
                  <w:rPr>
                    <w:rFonts w:ascii="Arial" w:hAnsi="Arial" w:cs="Angsana New"/>
                    <w:sz w:val="16"/>
                    <w:lang w:val="en-GB"/>
                  </w:rPr>
                  <w:t>Park</w:t>
                </w:r>
              </w:smartTag>
            </w:smartTag>
            <w:r w:rsidRPr="00AB0C8C">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6E8F496E"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636</w:t>
            </w:r>
          </w:p>
        </w:tc>
        <w:tc>
          <w:tcPr>
            <w:tcW w:w="1530" w:type="dxa"/>
            <w:tcBorders>
              <w:left w:val="single" w:sz="12" w:space="0" w:color="auto"/>
              <w:right w:val="single" w:sz="12" w:space="0" w:color="auto"/>
            </w:tcBorders>
            <w:vAlign w:val="center"/>
          </w:tcPr>
          <w:p w14:paraId="0A00F674" w14:textId="77777777" w:rsidR="00AB0C8C" w:rsidRPr="00AB0C8C" w:rsidRDefault="00AB0C8C" w:rsidP="00AB0C8C">
            <w:pPr>
              <w:jc w:val="center"/>
              <w:rPr>
                <w:rFonts w:ascii="Arial" w:hAnsi="Arial" w:cs="Angsana New"/>
                <w:sz w:val="16"/>
                <w:lang w:val="en-GB"/>
              </w:rPr>
            </w:pPr>
            <w:r w:rsidRPr="00AB0C8C">
              <w:rPr>
                <w:rFonts w:ascii="Arial" w:hAnsi="Arial" w:cs="Angsana New"/>
                <w:sz w:val="16"/>
                <w:lang w:val="en-GB"/>
              </w:rPr>
              <w:t>High</w:t>
            </w:r>
          </w:p>
        </w:tc>
      </w:tr>
      <w:tr w:rsidR="00AB0C8C" w:rsidRPr="00AB0C8C" w14:paraId="735D92BF" w14:textId="77777777" w:rsidTr="00F370E8">
        <w:trPr>
          <w:trHeight w:val="65"/>
          <w:jc w:val="center"/>
        </w:trPr>
        <w:tc>
          <w:tcPr>
            <w:tcW w:w="1979" w:type="dxa"/>
            <w:tcBorders>
              <w:left w:val="single" w:sz="12" w:space="0" w:color="auto"/>
              <w:right w:val="single" w:sz="12" w:space="0" w:color="auto"/>
            </w:tcBorders>
            <w:noWrap/>
            <w:vAlign w:val="center"/>
          </w:tcPr>
          <w:p w14:paraId="057B527D" w14:textId="77777777" w:rsidR="00AB0C8C" w:rsidRPr="00AB0C8C" w:rsidRDefault="00AB0C8C" w:rsidP="00AB0C8C">
            <w:pPr>
              <w:widowControl w:val="0"/>
              <w:autoSpaceDE w:val="0"/>
              <w:autoSpaceDN w:val="0"/>
              <w:adjustRightInd w:val="0"/>
              <w:rPr>
                <w:rFonts w:ascii="Arial" w:hAnsi="Arial" w:cs="Angsana New"/>
                <w:sz w:val="16"/>
                <w:lang w:val="en-GB"/>
              </w:rPr>
            </w:pPr>
            <w:r w:rsidRPr="00AB0C8C">
              <w:rPr>
                <w:rFonts w:ascii="Arial" w:hAnsi="Arial" w:cs="Angsana New"/>
                <w:sz w:val="16"/>
                <w:lang w:val="en-GB"/>
              </w:rPr>
              <w:t>Pulau Perhentian Kecil</w:t>
            </w:r>
          </w:p>
        </w:tc>
        <w:tc>
          <w:tcPr>
            <w:tcW w:w="900" w:type="dxa"/>
            <w:tcBorders>
              <w:left w:val="single" w:sz="12" w:space="0" w:color="auto"/>
              <w:right w:val="single" w:sz="12" w:space="0" w:color="auto"/>
            </w:tcBorders>
            <w:noWrap/>
            <w:vAlign w:val="center"/>
          </w:tcPr>
          <w:p w14:paraId="6718446C"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1,621</w:t>
            </w:r>
          </w:p>
        </w:tc>
        <w:tc>
          <w:tcPr>
            <w:tcW w:w="1088" w:type="dxa"/>
            <w:tcBorders>
              <w:left w:val="single" w:sz="12" w:space="0" w:color="auto"/>
              <w:right w:val="single" w:sz="12" w:space="0" w:color="auto"/>
            </w:tcBorders>
            <w:noWrap/>
            <w:vAlign w:val="center"/>
          </w:tcPr>
          <w:p w14:paraId="2905DA39" w14:textId="77777777" w:rsidR="00AB0C8C" w:rsidRPr="00AB0C8C" w:rsidRDefault="00AB0C8C" w:rsidP="00AB0C8C">
            <w:pPr>
              <w:jc w:val="center"/>
              <w:rPr>
                <w:rFonts w:ascii="Arial" w:hAnsi="Arial" w:cs="Angsana New"/>
                <w:sz w:val="16"/>
                <w:szCs w:val="16"/>
                <w:lang w:val="en-GB"/>
              </w:rPr>
            </w:pPr>
          </w:p>
        </w:tc>
        <w:tc>
          <w:tcPr>
            <w:tcW w:w="2243" w:type="dxa"/>
            <w:tcBorders>
              <w:left w:val="single" w:sz="12" w:space="0" w:color="auto"/>
              <w:right w:val="single" w:sz="12" w:space="0" w:color="auto"/>
            </w:tcBorders>
            <w:vAlign w:val="center"/>
          </w:tcPr>
          <w:p w14:paraId="60918144" w14:textId="77777777" w:rsidR="00AB0C8C" w:rsidRPr="00AB0C8C" w:rsidRDefault="00AB0C8C" w:rsidP="00AB0C8C">
            <w:pPr>
              <w:rPr>
                <w:rFonts w:ascii="Arial" w:hAnsi="Arial" w:cs="Angsana New"/>
                <w:sz w:val="16"/>
                <w:lang w:val="en-GB"/>
              </w:rPr>
            </w:pPr>
            <w:smartTag w:uri="urn:schemas-microsoft-com:office:smarttags" w:element="place">
              <w:smartTag w:uri="urn:schemas-microsoft-com:office:smarttags" w:element="PlaceName">
                <w:r w:rsidRPr="00AB0C8C">
                  <w:rPr>
                    <w:rFonts w:ascii="Arial" w:hAnsi="Arial" w:cs="Angsana New"/>
                    <w:sz w:val="16"/>
                    <w:lang w:val="en-GB"/>
                  </w:rPr>
                  <w:t>Marine</w:t>
                </w:r>
              </w:smartTag>
              <w:r w:rsidRPr="00AB0C8C">
                <w:rPr>
                  <w:rFonts w:ascii="Arial" w:hAnsi="Arial" w:cs="Angsana New"/>
                  <w:sz w:val="16"/>
                  <w:lang w:val="en-GB"/>
                </w:rPr>
                <w:t xml:space="preserve"> </w:t>
              </w:r>
              <w:smartTag w:uri="urn:schemas-microsoft-com:office:smarttags" w:element="PlaceType">
                <w:r w:rsidRPr="00AB0C8C">
                  <w:rPr>
                    <w:rFonts w:ascii="Arial" w:hAnsi="Arial" w:cs="Angsana New"/>
                    <w:sz w:val="16"/>
                    <w:lang w:val="en-GB"/>
                  </w:rPr>
                  <w:t>Park</w:t>
                </w:r>
              </w:smartTag>
            </w:smartTag>
            <w:r w:rsidRPr="00AB0C8C">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4918EF42"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1,054</w:t>
            </w:r>
          </w:p>
        </w:tc>
        <w:tc>
          <w:tcPr>
            <w:tcW w:w="1530" w:type="dxa"/>
            <w:tcBorders>
              <w:left w:val="single" w:sz="12" w:space="0" w:color="auto"/>
              <w:right w:val="single" w:sz="12" w:space="0" w:color="auto"/>
            </w:tcBorders>
            <w:vAlign w:val="center"/>
          </w:tcPr>
          <w:p w14:paraId="5C9FA3D9" w14:textId="77777777" w:rsidR="00AB0C8C" w:rsidRPr="00AB0C8C" w:rsidRDefault="00AB0C8C" w:rsidP="00AB0C8C">
            <w:pPr>
              <w:jc w:val="center"/>
              <w:rPr>
                <w:rFonts w:ascii="Arial" w:hAnsi="Arial" w:cs="Angsana New"/>
                <w:sz w:val="16"/>
                <w:lang w:val="en-GB"/>
              </w:rPr>
            </w:pPr>
            <w:r w:rsidRPr="00AB0C8C">
              <w:rPr>
                <w:rFonts w:ascii="Arial" w:hAnsi="Arial" w:cs="Angsana New"/>
                <w:sz w:val="16"/>
                <w:lang w:val="en-GB"/>
              </w:rPr>
              <w:t>High</w:t>
            </w:r>
          </w:p>
        </w:tc>
      </w:tr>
      <w:tr w:rsidR="00AB0C8C" w:rsidRPr="00AB0C8C" w14:paraId="6CD0736B" w14:textId="77777777" w:rsidTr="00F370E8">
        <w:trPr>
          <w:trHeight w:val="146"/>
          <w:jc w:val="center"/>
        </w:trPr>
        <w:tc>
          <w:tcPr>
            <w:tcW w:w="1979" w:type="dxa"/>
            <w:tcBorders>
              <w:left w:val="single" w:sz="12" w:space="0" w:color="auto"/>
              <w:right w:val="single" w:sz="12" w:space="0" w:color="auto"/>
            </w:tcBorders>
            <w:noWrap/>
            <w:vAlign w:val="center"/>
          </w:tcPr>
          <w:p w14:paraId="67D39E33" w14:textId="77777777" w:rsidR="00AB0C8C" w:rsidRPr="00AB0C8C" w:rsidRDefault="00AB0C8C" w:rsidP="00AB0C8C">
            <w:pPr>
              <w:widowControl w:val="0"/>
              <w:autoSpaceDE w:val="0"/>
              <w:autoSpaceDN w:val="0"/>
              <w:adjustRightInd w:val="0"/>
              <w:rPr>
                <w:rFonts w:ascii="Arial" w:hAnsi="Arial" w:cs="Angsana New"/>
                <w:sz w:val="16"/>
                <w:lang w:val="en-GB"/>
              </w:rPr>
            </w:pPr>
            <w:r w:rsidRPr="00AB0C8C">
              <w:rPr>
                <w:rFonts w:ascii="Arial" w:hAnsi="Arial" w:cs="Angsana New"/>
                <w:sz w:val="16"/>
                <w:lang w:val="en-GB"/>
              </w:rPr>
              <w:t>Pulau Perhentian Besar</w:t>
            </w:r>
          </w:p>
        </w:tc>
        <w:tc>
          <w:tcPr>
            <w:tcW w:w="900" w:type="dxa"/>
            <w:tcBorders>
              <w:left w:val="single" w:sz="12" w:space="0" w:color="auto"/>
              <w:right w:val="single" w:sz="12" w:space="0" w:color="auto"/>
            </w:tcBorders>
            <w:noWrap/>
            <w:vAlign w:val="center"/>
          </w:tcPr>
          <w:p w14:paraId="3C68EB43"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1,824</w:t>
            </w:r>
          </w:p>
        </w:tc>
        <w:tc>
          <w:tcPr>
            <w:tcW w:w="1088" w:type="dxa"/>
            <w:tcBorders>
              <w:left w:val="single" w:sz="12" w:space="0" w:color="auto"/>
              <w:right w:val="single" w:sz="12" w:space="0" w:color="auto"/>
            </w:tcBorders>
            <w:noWrap/>
            <w:vAlign w:val="center"/>
          </w:tcPr>
          <w:p w14:paraId="20162FED" w14:textId="77777777" w:rsidR="00AB0C8C" w:rsidRPr="00AB0C8C" w:rsidRDefault="00AB0C8C" w:rsidP="00AB0C8C">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0E394E9F" w14:textId="77777777" w:rsidR="00AB0C8C" w:rsidRPr="00AB0C8C" w:rsidRDefault="00AB0C8C" w:rsidP="00AB0C8C">
            <w:pPr>
              <w:widowControl w:val="0"/>
              <w:autoSpaceDE w:val="0"/>
              <w:autoSpaceDN w:val="0"/>
              <w:adjustRightInd w:val="0"/>
              <w:rPr>
                <w:rFonts w:ascii="Arial" w:hAnsi="Arial" w:cs="Angsana New"/>
                <w:sz w:val="16"/>
                <w:lang w:val="en-GB"/>
              </w:rPr>
            </w:pPr>
            <w:smartTag w:uri="urn:schemas-microsoft-com:office:smarttags" w:element="place">
              <w:smartTag w:uri="urn:schemas-microsoft-com:office:smarttags" w:element="PlaceName">
                <w:r w:rsidRPr="00AB0C8C">
                  <w:rPr>
                    <w:rFonts w:ascii="Arial" w:hAnsi="Arial" w:cs="Angsana New"/>
                    <w:sz w:val="16"/>
                    <w:lang w:val="en-GB"/>
                  </w:rPr>
                  <w:t>Marine</w:t>
                </w:r>
              </w:smartTag>
              <w:r w:rsidRPr="00AB0C8C">
                <w:rPr>
                  <w:rFonts w:ascii="Arial" w:hAnsi="Arial" w:cs="Angsana New"/>
                  <w:sz w:val="16"/>
                  <w:lang w:val="en-GB"/>
                </w:rPr>
                <w:t xml:space="preserve"> </w:t>
              </w:r>
              <w:smartTag w:uri="urn:schemas-microsoft-com:office:smarttags" w:element="PlaceType">
                <w:r w:rsidRPr="00AB0C8C">
                  <w:rPr>
                    <w:rFonts w:ascii="Arial" w:hAnsi="Arial" w:cs="Angsana New"/>
                    <w:sz w:val="16"/>
                    <w:lang w:val="en-GB"/>
                  </w:rPr>
                  <w:t>Park</w:t>
                </w:r>
              </w:smartTag>
            </w:smartTag>
          </w:p>
        </w:tc>
        <w:tc>
          <w:tcPr>
            <w:tcW w:w="1260" w:type="dxa"/>
            <w:tcBorders>
              <w:left w:val="single" w:sz="12" w:space="0" w:color="auto"/>
              <w:right w:val="single" w:sz="12" w:space="0" w:color="auto"/>
            </w:tcBorders>
            <w:vAlign w:val="center"/>
          </w:tcPr>
          <w:p w14:paraId="4789F417"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1,186</w:t>
            </w:r>
          </w:p>
        </w:tc>
        <w:tc>
          <w:tcPr>
            <w:tcW w:w="1530" w:type="dxa"/>
            <w:tcBorders>
              <w:left w:val="single" w:sz="12" w:space="0" w:color="auto"/>
              <w:right w:val="single" w:sz="12" w:space="0" w:color="auto"/>
            </w:tcBorders>
            <w:vAlign w:val="center"/>
          </w:tcPr>
          <w:p w14:paraId="1265F764" w14:textId="77777777" w:rsidR="00AB0C8C" w:rsidRPr="00AB0C8C" w:rsidRDefault="00AB0C8C" w:rsidP="00AB0C8C">
            <w:pPr>
              <w:widowControl w:val="0"/>
              <w:autoSpaceDE w:val="0"/>
              <w:autoSpaceDN w:val="0"/>
              <w:adjustRightInd w:val="0"/>
              <w:jc w:val="center"/>
              <w:rPr>
                <w:rFonts w:ascii="Arial" w:hAnsi="Arial" w:cs="Angsana New"/>
                <w:sz w:val="16"/>
                <w:lang w:val="en-GB"/>
              </w:rPr>
            </w:pPr>
            <w:r w:rsidRPr="00AB0C8C">
              <w:rPr>
                <w:rFonts w:ascii="Arial" w:hAnsi="Arial" w:cs="Angsana New"/>
                <w:sz w:val="16"/>
                <w:lang w:val="en-GB"/>
              </w:rPr>
              <w:t>High</w:t>
            </w:r>
          </w:p>
        </w:tc>
      </w:tr>
      <w:tr w:rsidR="00AB0C8C" w:rsidRPr="00AB0C8C" w14:paraId="6BB5DD42" w14:textId="77777777" w:rsidTr="00F370E8">
        <w:trPr>
          <w:trHeight w:val="130"/>
          <w:jc w:val="center"/>
        </w:trPr>
        <w:tc>
          <w:tcPr>
            <w:tcW w:w="1979" w:type="dxa"/>
            <w:tcBorders>
              <w:left w:val="single" w:sz="12" w:space="0" w:color="auto"/>
              <w:right w:val="single" w:sz="12" w:space="0" w:color="auto"/>
            </w:tcBorders>
            <w:noWrap/>
            <w:vAlign w:val="center"/>
          </w:tcPr>
          <w:p w14:paraId="13E8C3A3" w14:textId="77777777" w:rsidR="00AB0C8C" w:rsidRPr="00AB0C8C" w:rsidRDefault="00AB0C8C" w:rsidP="00AB0C8C">
            <w:pPr>
              <w:widowControl w:val="0"/>
              <w:autoSpaceDE w:val="0"/>
              <w:autoSpaceDN w:val="0"/>
              <w:adjustRightInd w:val="0"/>
              <w:rPr>
                <w:rFonts w:ascii="Arial" w:hAnsi="Arial" w:cs="Angsana New"/>
                <w:sz w:val="16"/>
                <w:lang w:val="en-GB"/>
              </w:rPr>
            </w:pPr>
            <w:r w:rsidRPr="00AB0C8C">
              <w:rPr>
                <w:rFonts w:ascii="Arial" w:hAnsi="Arial" w:cs="Angsana New"/>
                <w:sz w:val="16"/>
                <w:lang w:val="en-GB"/>
              </w:rPr>
              <w:t>Pulau Lang Tengah</w:t>
            </w:r>
          </w:p>
        </w:tc>
        <w:tc>
          <w:tcPr>
            <w:tcW w:w="900" w:type="dxa"/>
            <w:tcBorders>
              <w:left w:val="single" w:sz="12" w:space="0" w:color="auto"/>
              <w:right w:val="single" w:sz="12" w:space="0" w:color="auto"/>
            </w:tcBorders>
            <w:noWrap/>
            <w:vAlign w:val="center"/>
          </w:tcPr>
          <w:p w14:paraId="63A6101E"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1,230</w:t>
            </w:r>
          </w:p>
        </w:tc>
        <w:tc>
          <w:tcPr>
            <w:tcW w:w="1088" w:type="dxa"/>
            <w:tcBorders>
              <w:left w:val="single" w:sz="12" w:space="0" w:color="auto"/>
              <w:right w:val="single" w:sz="12" w:space="0" w:color="auto"/>
            </w:tcBorders>
            <w:noWrap/>
            <w:vAlign w:val="center"/>
          </w:tcPr>
          <w:p w14:paraId="74C528CF" w14:textId="77777777" w:rsidR="00AB0C8C" w:rsidRPr="00AB0C8C" w:rsidRDefault="00AB0C8C" w:rsidP="00AB0C8C">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4ABB8C34" w14:textId="77777777" w:rsidR="00AB0C8C" w:rsidRPr="00AB0C8C" w:rsidRDefault="00AB0C8C" w:rsidP="00AB0C8C">
            <w:pPr>
              <w:widowControl w:val="0"/>
              <w:autoSpaceDE w:val="0"/>
              <w:autoSpaceDN w:val="0"/>
              <w:adjustRightInd w:val="0"/>
              <w:rPr>
                <w:rFonts w:ascii="Arial" w:hAnsi="Arial" w:cs="Angsana New"/>
                <w:sz w:val="16"/>
                <w:lang w:val="en-GB"/>
              </w:rPr>
            </w:pPr>
            <w:smartTag w:uri="urn:schemas-microsoft-com:office:smarttags" w:element="place">
              <w:smartTag w:uri="urn:schemas-microsoft-com:office:smarttags" w:element="PlaceName">
                <w:r w:rsidRPr="00AB0C8C">
                  <w:rPr>
                    <w:rFonts w:ascii="Arial" w:hAnsi="Arial" w:cs="Angsana New"/>
                    <w:sz w:val="16"/>
                    <w:lang w:val="en-GB"/>
                  </w:rPr>
                  <w:t>Marine</w:t>
                </w:r>
              </w:smartTag>
              <w:r w:rsidRPr="00AB0C8C">
                <w:rPr>
                  <w:rFonts w:ascii="Arial" w:hAnsi="Arial" w:cs="Angsana New"/>
                  <w:sz w:val="16"/>
                  <w:lang w:val="en-GB"/>
                </w:rPr>
                <w:t xml:space="preserve"> </w:t>
              </w:r>
              <w:smartTag w:uri="urn:schemas-microsoft-com:office:smarttags" w:element="PlaceType">
                <w:r w:rsidRPr="00AB0C8C">
                  <w:rPr>
                    <w:rFonts w:ascii="Arial" w:hAnsi="Arial" w:cs="Angsana New"/>
                    <w:sz w:val="16"/>
                    <w:lang w:val="en-GB"/>
                  </w:rPr>
                  <w:t>Park</w:t>
                </w:r>
              </w:smartTag>
            </w:smartTag>
          </w:p>
        </w:tc>
        <w:tc>
          <w:tcPr>
            <w:tcW w:w="1260" w:type="dxa"/>
            <w:tcBorders>
              <w:left w:val="single" w:sz="12" w:space="0" w:color="auto"/>
              <w:right w:val="single" w:sz="12" w:space="0" w:color="auto"/>
            </w:tcBorders>
            <w:vAlign w:val="center"/>
          </w:tcPr>
          <w:p w14:paraId="17FE7C3D"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800</w:t>
            </w:r>
          </w:p>
        </w:tc>
        <w:tc>
          <w:tcPr>
            <w:tcW w:w="1530" w:type="dxa"/>
            <w:tcBorders>
              <w:left w:val="single" w:sz="12" w:space="0" w:color="auto"/>
              <w:right w:val="single" w:sz="12" w:space="0" w:color="auto"/>
            </w:tcBorders>
            <w:vAlign w:val="center"/>
          </w:tcPr>
          <w:p w14:paraId="18F0DF5E" w14:textId="77777777" w:rsidR="00AB0C8C" w:rsidRPr="00AB0C8C" w:rsidRDefault="00AB0C8C" w:rsidP="00AB0C8C">
            <w:pPr>
              <w:widowControl w:val="0"/>
              <w:autoSpaceDE w:val="0"/>
              <w:autoSpaceDN w:val="0"/>
              <w:adjustRightInd w:val="0"/>
              <w:jc w:val="center"/>
              <w:rPr>
                <w:rFonts w:ascii="Arial" w:hAnsi="Arial" w:cs="Angsana New"/>
                <w:sz w:val="16"/>
                <w:lang w:val="en-GB"/>
              </w:rPr>
            </w:pPr>
            <w:r w:rsidRPr="00AB0C8C">
              <w:rPr>
                <w:rFonts w:ascii="Arial" w:hAnsi="Arial" w:cs="Angsana New"/>
                <w:sz w:val="16"/>
                <w:lang w:val="en-GB"/>
              </w:rPr>
              <w:t>Medium</w:t>
            </w:r>
          </w:p>
        </w:tc>
      </w:tr>
      <w:tr w:rsidR="00AB0C8C" w:rsidRPr="00AB0C8C" w14:paraId="3FDDB55A" w14:textId="77777777" w:rsidTr="00F370E8">
        <w:trPr>
          <w:trHeight w:val="99"/>
          <w:jc w:val="center"/>
        </w:trPr>
        <w:tc>
          <w:tcPr>
            <w:tcW w:w="1979" w:type="dxa"/>
            <w:tcBorders>
              <w:left w:val="single" w:sz="12" w:space="0" w:color="auto"/>
              <w:right w:val="single" w:sz="12" w:space="0" w:color="auto"/>
            </w:tcBorders>
            <w:noWrap/>
            <w:vAlign w:val="center"/>
          </w:tcPr>
          <w:p w14:paraId="3AF60B16" w14:textId="77777777" w:rsidR="00AB0C8C" w:rsidRPr="00AB0C8C" w:rsidRDefault="00AB0C8C" w:rsidP="00AB0C8C">
            <w:pPr>
              <w:widowControl w:val="0"/>
              <w:autoSpaceDE w:val="0"/>
              <w:autoSpaceDN w:val="0"/>
              <w:adjustRightInd w:val="0"/>
              <w:rPr>
                <w:rFonts w:ascii="Arial" w:hAnsi="Arial" w:cs="Angsana New"/>
                <w:sz w:val="16"/>
                <w:lang w:val="en-GB"/>
              </w:rPr>
            </w:pPr>
            <w:r w:rsidRPr="00AB0C8C">
              <w:rPr>
                <w:rFonts w:ascii="Arial" w:hAnsi="Arial" w:cs="Angsana New"/>
                <w:sz w:val="16"/>
                <w:lang w:val="en-GB"/>
              </w:rPr>
              <w:t>Pulau Susu Dara</w:t>
            </w:r>
          </w:p>
        </w:tc>
        <w:tc>
          <w:tcPr>
            <w:tcW w:w="900" w:type="dxa"/>
            <w:tcBorders>
              <w:left w:val="single" w:sz="12" w:space="0" w:color="auto"/>
              <w:right w:val="single" w:sz="12" w:space="0" w:color="auto"/>
            </w:tcBorders>
            <w:noWrap/>
            <w:vAlign w:val="center"/>
          </w:tcPr>
          <w:p w14:paraId="0C142A3B"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286</w:t>
            </w:r>
          </w:p>
        </w:tc>
        <w:tc>
          <w:tcPr>
            <w:tcW w:w="1088" w:type="dxa"/>
            <w:tcBorders>
              <w:left w:val="single" w:sz="12" w:space="0" w:color="auto"/>
              <w:right w:val="single" w:sz="12" w:space="0" w:color="auto"/>
            </w:tcBorders>
            <w:noWrap/>
            <w:vAlign w:val="center"/>
          </w:tcPr>
          <w:p w14:paraId="7CA4C7BC" w14:textId="77777777" w:rsidR="00AB0C8C" w:rsidRPr="00AB0C8C" w:rsidRDefault="00AB0C8C" w:rsidP="00AB0C8C">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588F813D" w14:textId="77777777" w:rsidR="00AB0C8C" w:rsidRPr="00AB0C8C" w:rsidRDefault="00AB0C8C" w:rsidP="00AB0C8C">
            <w:pPr>
              <w:rPr>
                <w:rFonts w:ascii="Arial" w:hAnsi="Arial" w:cs="Angsana New"/>
                <w:sz w:val="16"/>
                <w:lang w:val="en-GB"/>
              </w:rPr>
            </w:pPr>
            <w:smartTag w:uri="urn:schemas-microsoft-com:office:smarttags" w:element="place">
              <w:smartTag w:uri="urn:schemas-microsoft-com:office:smarttags" w:element="PlaceName">
                <w:r w:rsidRPr="00AB0C8C">
                  <w:rPr>
                    <w:rFonts w:ascii="Arial" w:hAnsi="Arial" w:cs="Angsana New"/>
                    <w:sz w:val="16"/>
                    <w:lang w:val="en-GB"/>
                  </w:rPr>
                  <w:t>Marine</w:t>
                </w:r>
              </w:smartTag>
              <w:r w:rsidRPr="00AB0C8C">
                <w:rPr>
                  <w:rFonts w:ascii="Arial" w:hAnsi="Arial" w:cs="Angsana New"/>
                  <w:sz w:val="16"/>
                  <w:lang w:val="en-GB"/>
                </w:rPr>
                <w:t xml:space="preserve"> </w:t>
              </w:r>
              <w:smartTag w:uri="urn:schemas-microsoft-com:office:smarttags" w:element="PlaceType">
                <w:r w:rsidRPr="00AB0C8C">
                  <w:rPr>
                    <w:rFonts w:ascii="Arial" w:hAnsi="Arial" w:cs="Angsana New"/>
                    <w:sz w:val="16"/>
                    <w:lang w:val="en-GB"/>
                  </w:rPr>
                  <w:t>Park</w:t>
                </w:r>
              </w:smartTag>
            </w:smartTag>
            <w:r w:rsidRPr="00AB0C8C">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145DEA70"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186</w:t>
            </w:r>
          </w:p>
        </w:tc>
        <w:tc>
          <w:tcPr>
            <w:tcW w:w="1530" w:type="dxa"/>
            <w:tcBorders>
              <w:left w:val="single" w:sz="12" w:space="0" w:color="auto"/>
              <w:right w:val="single" w:sz="12" w:space="0" w:color="auto"/>
            </w:tcBorders>
            <w:vAlign w:val="center"/>
          </w:tcPr>
          <w:p w14:paraId="71F78607" w14:textId="77777777" w:rsidR="00AB0C8C" w:rsidRPr="00AB0C8C" w:rsidRDefault="00AB0C8C" w:rsidP="00AB0C8C">
            <w:pPr>
              <w:widowControl w:val="0"/>
              <w:autoSpaceDE w:val="0"/>
              <w:autoSpaceDN w:val="0"/>
              <w:adjustRightInd w:val="0"/>
              <w:jc w:val="center"/>
              <w:rPr>
                <w:rFonts w:ascii="Arial" w:hAnsi="Arial" w:cs="Angsana New"/>
                <w:sz w:val="16"/>
                <w:lang w:val="en-GB"/>
              </w:rPr>
            </w:pPr>
            <w:r w:rsidRPr="00AB0C8C">
              <w:rPr>
                <w:rFonts w:ascii="Arial" w:hAnsi="Arial" w:cs="Angsana New"/>
                <w:sz w:val="16"/>
                <w:lang w:val="en-GB"/>
              </w:rPr>
              <w:t>Medium</w:t>
            </w:r>
          </w:p>
        </w:tc>
      </w:tr>
      <w:tr w:rsidR="00AB0C8C" w:rsidRPr="00AB0C8C" w14:paraId="58ED8DC3" w14:textId="77777777" w:rsidTr="00F370E8">
        <w:trPr>
          <w:trHeight w:val="84"/>
          <w:jc w:val="center"/>
        </w:trPr>
        <w:tc>
          <w:tcPr>
            <w:tcW w:w="1979" w:type="dxa"/>
            <w:tcBorders>
              <w:left w:val="single" w:sz="12" w:space="0" w:color="auto"/>
              <w:right w:val="single" w:sz="12" w:space="0" w:color="auto"/>
            </w:tcBorders>
            <w:noWrap/>
            <w:vAlign w:val="center"/>
          </w:tcPr>
          <w:p w14:paraId="37830C72" w14:textId="77777777" w:rsidR="00AB0C8C" w:rsidRPr="00AB0C8C" w:rsidRDefault="00AB0C8C" w:rsidP="00AB0C8C">
            <w:pPr>
              <w:widowControl w:val="0"/>
              <w:autoSpaceDE w:val="0"/>
              <w:autoSpaceDN w:val="0"/>
              <w:adjustRightInd w:val="0"/>
              <w:rPr>
                <w:rFonts w:ascii="Arial" w:hAnsi="Arial" w:cs="Angsana New"/>
                <w:sz w:val="16"/>
                <w:lang w:val="en-GB"/>
              </w:rPr>
            </w:pPr>
            <w:smartTag w:uri="urn:schemas-microsoft-com:office:smarttags" w:element="place">
              <w:smartTag w:uri="urn:schemas-microsoft-com:office:smarttags" w:element="country-region">
                <w:r w:rsidRPr="00AB0C8C">
                  <w:rPr>
                    <w:rFonts w:ascii="Arial" w:hAnsi="Arial" w:cs="Angsana New"/>
                    <w:sz w:val="16"/>
                    <w:lang w:val="en-GB"/>
                  </w:rPr>
                  <w:t>Palau</w:t>
                </w:r>
              </w:smartTag>
            </w:smartTag>
            <w:r w:rsidRPr="00AB0C8C">
              <w:rPr>
                <w:rFonts w:ascii="Arial" w:hAnsi="Arial" w:cs="Angsana New"/>
                <w:sz w:val="16"/>
                <w:lang w:val="en-GB"/>
              </w:rPr>
              <w:t xml:space="preserve"> Tenggol</w:t>
            </w:r>
          </w:p>
        </w:tc>
        <w:tc>
          <w:tcPr>
            <w:tcW w:w="900" w:type="dxa"/>
            <w:tcBorders>
              <w:left w:val="single" w:sz="12" w:space="0" w:color="auto"/>
              <w:right w:val="single" w:sz="12" w:space="0" w:color="auto"/>
            </w:tcBorders>
            <w:noWrap/>
            <w:vAlign w:val="center"/>
          </w:tcPr>
          <w:p w14:paraId="39814795"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480</w:t>
            </w:r>
          </w:p>
        </w:tc>
        <w:tc>
          <w:tcPr>
            <w:tcW w:w="1088" w:type="dxa"/>
            <w:tcBorders>
              <w:left w:val="single" w:sz="12" w:space="0" w:color="auto"/>
              <w:right w:val="single" w:sz="12" w:space="0" w:color="auto"/>
            </w:tcBorders>
            <w:noWrap/>
            <w:vAlign w:val="center"/>
          </w:tcPr>
          <w:p w14:paraId="2FA3F4A0" w14:textId="77777777" w:rsidR="00AB0C8C" w:rsidRPr="00AB0C8C" w:rsidRDefault="00AB0C8C" w:rsidP="00AB0C8C">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3FEC5B44" w14:textId="77777777" w:rsidR="00AB0C8C" w:rsidRPr="00AB0C8C" w:rsidRDefault="00AB0C8C" w:rsidP="00AB0C8C">
            <w:pPr>
              <w:rPr>
                <w:rFonts w:ascii="Arial" w:hAnsi="Arial" w:cs="Angsana New"/>
                <w:sz w:val="16"/>
                <w:lang w:val="en-GB"/>
              </w:rPr>
            </w:pPr>
            <w:smartTag w:uri="urn:schemas-microsoft-com:office:smarttags" w:element="place">
              <w:smartTag w:uri="urn:schemas-microsoft-com:office:smarttags" w:element="PlaceName">
                <w:r w:rsidRPr="00AB0C8C">
                  <w:rPr>
                    <w:rFonts w:ascii="Arial" w:hAnsi="Arial" w:cs="Angsana New"/>
                    <w:sz w:val="16"/>
                    <w:lang w:val="en-GB"/>
                  </w:rPr>
                  <w:t>Marine</w:t>
                </w:r>
              </w:smartTag>
              <w:r w:rsidRPr="00AB0C8C">
                <w:rPr>
                  <w:rFonts w:ascii="Arial" w:hAnsi="Arial" w:cs="Angsana New"/>
                  <w:sz w:val="16"/>
                  <w:lang w:val="en-GB"/>
                </w:rPr>
                <w:t xml:space="preserve"> </w:t>
              </w:r>
              <w:smartTag w:uri="urn:schemas-microsoft-com:office:smarttags" w:element="PlaceType">
                <w:r w:rsidRPr="00AB0C8C">
                  <w:rPr>
                    <w:rFonts w:ascii="Arial" w:hAnsi="Arial" w:cs="Angsana New"/>
                    <w:sz w:val="16"/>
                    <w:lang w:val="en-GB"/>
                  </w:rPr>
                  <w:t>Park</w:t>
                </w:r>
              </w:smartTag>
            </w:smartTag>
            <w:r w:rsidRPr="00AB0C8C">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697621EF"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312</w:t>
            </w:r>
          </w:p>
        </w:tc>
        <w:tc>
          <w:tcPr>
            <w:tcW w:w="1530" w:type="dxa"/>
            <w:tcBorders>
              <w:left w:val="single" w:sz="12" w:space="0" w:color="auto"/>
              <w:right w:val="single" w:sz="12" w:space="0" w:color="auto"/>
            </w:tcBorders>
            <w:vAlign w:val="center"/>
          </w:tcPr>
          <w:p w14:paraId="7400ACAE" w14:textId="77777777" w:rsidR="00AB0C8C" w:rsidRPr="00AB0C8C" w:rsidRDefault="00AB0C8C" w:rsidP="00AB0C8C">
            <w:pPr>
              <w:widowControl w:val="0"/>
              <w:autoSpaceDE w:val="0"/>
              <w:autoSpaceDN w:val="0"/>
              <w:adjustRightInd w:val="0"/>
              <w:jc w:val="center"/>
              <w:rPr>
                <w:rFonts w:ascii="Arial" w:hAnsi="Arial" w:cs="Angsana New"/>
                <w:sz w:val="16"/>
                <w:lang w:val="en-GB"/>
              </w:rPr>
            </w:pPr>
            <w:r w:rsidRPr="00AB0C8C">
              <w:rPr>
                <w:rFonts w:ascii="Arial" w:hAnsi="Arial" w:cs="Angsana New"/>
                <w:sz w:val="16"/>
                <w:lang w:val="en-GB"/>
              </w:rPr>
              <w:t>Low</w:t>
            </w:r>
          </w:p>
        </w:tc>
      </w:tr>
      <w:tr w:rsidR="00AB0C8C" w:rsidRPr="00AB0C8C" w14:paraId="07F75EBB" w14:textId="77777777" w:rsidTr="00F370E8">
        <w:trPr>
          <w:trHeight w:val="68"/>
          <w:jc w:val="center"/>
        </w:trPr>
        <w:tc>
          <w:tcPr>
            <w:tcW w:w="1979" w:type="dxa"/>
            <w:tcBorders>
              <w:left w:val="single" w:sz="12" w:space="0" w:color="auto"/>
              <w:right w:val="single" w:sz="12" w:space="0" w:color="auto"/>
            </w:tcBorders>
            <w:noWrap/>
            <w:vAlign w:val="center"/>
          </w:tcPr>
          <w:p w14:paraId="2C646A1A" w14:textId="77777777" w:rsidR="00AB0C8C" w:rsidRPr="00AB0C8C" w:rsidRDefault="00AB0C8C" w:rsidP="00AB0C8C">
            <w:pPr>
              <w:widowControl w:val="0"/>
              <w:autoSpaceDE w:val="0"/>
              <w:autoSpaceDN w:val="0"/>
              <w:adjustRightInd w:val="0"/>
              <w:rPr>
                <w:rFonts w:ascii="Arial" w:hAnsi="Arial" w:cs="Angsana New"/>
                <w:sz w:val="16"/>
                <w:lang w:val="en-GB"/>
              </w:rPr>
            </w:pPr>
            <w:smartTag w:uri="urn:schemas-microsoft-com:office:smarttags" w:element="place">
              <w:smartTag w:uri="urn:schemas-microsoft-com:office:smarttags" w:element="country-region">
                <w:r w:rsidRPr="00AB0C8C">
                  <w:rPr>
                    <w:rFonts w:ascii="Arial" w:hAnsi="Arial" w:cs="Angsana New"/>
                    <w:sz w:val="16"/>
                    <w:lang w:val="en-GB"/>
                  </w:rPr>
                  <w:t>Palau</w:t>
                </w:r>
              </w:smartTag>
            </w:smartTag>
            <w:r w:rsidRPr="00AB0C8C">
              <w:rPr>
                <w:rFonts w:ascii="Arial" w:hAnsi="Arial" w:cs="Angsana New"/>
                <w:sz w:val="16"/>
                <w:lang w:val="en-GB"/>
              </w:rPr>
              <w:t xml:space="preserve"> Nyireh</w:t>
            </w:r>
          </w:p>
        </w:tc>
        <w:tc>
          <w:tcPr>
            <w:tcW w:w="900" w:type="dxa"/>
            <w:tcBorders>
              <w:left w:val="single" w:sz="12" w:space="0" w:color="auto"/>
              <w:right w:val="single" w:sz="12" w:space="0" w:color="auto"/>
            </w:tcBorders>
            <w:noWrap/>
            <w:vAlign w:val="center"/>
          </w:tcPr>
          <w:p w14:paraId="23472F61"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288</w:t>
            </w:r>
          </w:p>
        </w:tc>
        <w:tc>
          <w:tcPr>
            <w:tcW w:w="1088" w:type="dxa"/>
            <w:tcBorders>
              <w:left w:val="single" w:sz="12" w:space="0" w:color="auto"/>
              <w:right w:val="single" w:sz="12" w:space="0" w:color="auto"/>
            </w:tcBorders>
            <w:noWrap/>
            <w:vAlign w:val="center"/>
          </w:tcPr>
          <w:p w14:paraId="7CF15E19" w14:textId="77777777" w:rsidR="00AB0C8C" w:rsidRPr="00AB0C8C" w:rsidRDefault="00AB0C8C" w:rsidP="00AB0C8C">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52B3D852" w14:textId="77777777" w:rsidR="00AB0C8C" w:rsidRPr="00AB0C8C" w:rsidRDefault="00AB0C8C" w:rsidP="00AB0C8C">
            <w:pPr>
              <w:rPr>
                <w:rFonts w:ascii="Arial" w:hAnsi="Arial" w:cs="Angsana New"/>
                <w:sz w:val="16"/>
                <w:lang w:val="en-GB"/>
              </w:rPr>
            </w:pPr>
            <w:smartTag w:uri="urn:schemas-microsoft-com:office:smarttags" w:element="place">
              <w:smartTag w:uri="urn:schemas-microsoft-com:office:smarttags" w:element="PlaceName">
                <w:r w:rsidRPr="00AB0C8C">
                  <w:rPr>
                    <w:rFonts w:ascii="Arial" w:hAnsi="Arial" w:cs="Angsana New"/>
                    <w:sz w:val="16"/>
                    <w:lang w:val="en-GB"/>
                  </w:rPr>
                  <w:t>Marine</w:t>
                </w:r>
              </w:smartTag>
              <w:r w:rsidRPr="00AB0C8C">
                <w:rPr>
                  <w:rFonts w:ascii="Arial" w:hAnsi="Arial" w:cs="Angsana New"/>
                  <w:sz w:val="16"/>
                  <w:lang w:val="en-GB"/>
                </w:rPr>
                <w:t xml:space="preserve"> </w:t>
              </w:r>
              <w:smartTag w:uri="urn:schemas-microsoft-com:office:smarttags" w:element="PlaceType">
                <w:r w:rsidRPr="00AB0C8C">
                  <w:rPr>
                    <w:rFonts w:ascii="Arial" w:hAnsi="Arial" w:cs="Angsana New"/>
                    <w:sz w:val="16"/>
                    <w:lang w:val="en-GB"/>
                  </w:rPr>
                  <w:t>Park</w:t>
                </w:r>
              </w:smartTag>
            </w:smartTag>
            <w:r w:rsidRPr="00AB0C8C">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587EA9B7"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187</w:t>
            </w:r>
          </w:p>
        </w:tc>
        <w:tc>
          <w:tcPr>
            <w:tcW w:w="1530" w:type="dxa"/>
            <w:tcBorders>
              <w:left w:val="single" w:sz="12" w:space="0" w:color="auto"/>
              <w:right w:val="single" w:sz="12" w:space="0" w:color="auto"/>
            </w:tcBorders>
            <w:vAlign w:val="center"/>
          </w:tcPr>
          <w:p w14:paraId="0E41A8DA" w14:textId="77777777" w:rsidR="00AB0C8C" w:rsidRPr="00AB0C8C" w:rsidRDefault="00AB0C8C" w:rsidP="00AB0C8C">
            <w:pPr>
              <w:widowControl w:val="0"/>
              <w:autoSpaceDE w:val="0"/>
              <w:autoSpaceDN w:val="0"/>
              <w:adjustRightInd w:val="0"/>
              <w:jc w:val="center"/>
              <w:rPr>
                <w:rFonts w:ascii="Arial" w:hAnsi="Arial" w:cs="Angsana New"/>
                <w:sz w:val="16"/>
                <w:lang w:val="en-GB"/>
              </w:rPr>
            </w:pPr>
            <w:r w:rsidRPr="00AB0C8C">
              <w:rPr>
                <w:rFonts w:ascii="Arial" w:hAnsi="Arial" w:cs="Angsana New"/>
                <w:sz w:val="16"/>
                <w:lang w:val="en-GB"/>
              </w:rPr>
              <w:t>Low</w:t>
            </w:r>
          </w:p>
        </w:tc>
      </w:tr>
      <w:tr w:rsidR="00AB0C8C" w:rsidRPr="00AB0C8C" w14:paraId="276D13AB" w14:textId="77777777" w:rsidTr="00F370E8">
        <w:trPr>
          <w:trHeight w:val="65"/>
          <w:jc w:val="center"/>
        </w:trPr>
        <w:tc>
          <w:tcPr>
            <w:tcW w:w="1979" w:type="dxa"/>
            <w:tcBorders>
              <w:left w:val="single" w:sz="12" w:space="0" w:color="auto"/>
              <w:right w:val="single" w:sz="12" w:space="0" w:color="auto"/>
            </w:tcBorders>
            <w:noWrap/>
            <w:vAlign w:val="center"/>
          </w:tcPr>
          <w:p w14:paraId="37F9F3DE" w14:textId="77777777" w:rsidR="00AB0C8C" w:rsidRPr="00AB0C8C" w:rsidRDefault="00AB0C8C" w:rsidP="00AB0C8C">
            <w:pPr>
              <w:widowControl w:val="0"/>
              <w:autoSpaceDE w:val="0"/>
              <w:autoSpaceDN w:val="0"/>
              <w:adjustRightInd w:val="0"/>
              <w:rPr>
                <w:rFonts w:ascii="Arial" w:hAnsi="Arial" w:cs="Angsana New"/>
                <w:sz w:val="16"/>
                <w:lang w:val="en-GB"/>
              </w:rPr>
            </w:pPr>
            <w:r w:rsidRPr="00AB0C8C">
              <w:rPr>
                <w:rFonts w:ascii="Arial" w:hAnsi="Arial" w:cs="Angsana New"/>
                <w:sz w:val="16"/>
                <w:lang w:val="en-GB"/>
              </w:rPr>
              <w:t>Pulau Kapas</w:t>
            </w:r>
          </w:p>
        </w:tc>
        <w:tc>
          <w:tcPr>
            <w:tcW w:w="900" w:type="dxa"/>
            <w:tcBorders>
              <w:left w:val="single" w:sz="12" w:space="0" w:color="auto"/>
              <w:right w:val="single" w:sz="12" w:space="0" w:color="auto"/>
            </w:tcBorders>
            <w:noWrap/>
            <w:vAlign w:val="center"/>
          </w:tcPr>
          <w:p w14:paraId="0B0D4D84"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427</w:t>
            </w:r>
          </w:p>
        </w:tc>
        <w:tc>
          <w:tcPr>
            <w:tcW w:w="1088" w:type="dxa"/>
            <w:tcBorders>
              <w:left w:val="single" w:sz="12" w:space="0" w:color="auto"/>
              <w:right w:val="single" w:sz="12" w:space="0" w:color="auto"/>
            </w:tcBorders>
            <w:noWrap/>
            <w:vAlign w:val="center"/>
          </w:tcPr>
          <w:p w14:paraId="18636778" w14:textId="77777777" w:rsidR="00AB0C8C" w:rsidRPr="00AB0C8C" w:rsidRDefault="00AB0C8C" w:rsidP="00AB0C8C">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38852802" w14:textId="77777777" w:rsidR="00AB0C8C" w:rsidRPr="00AB0C8C" w:rsidRDefault="00AB0C8C" w:rsidP="00AB0C8C">
            <w:pPr>
              <w:rPr>
                <w:rFonts w:ascii="Arial" w:hAnsi="Arial" w:cs="Angsana New"/>
                <w:sz w:val="16"/>
                <w:lang w:val="en-GB"/>
              </w:rPr>
            </w:pPr>
            <w:smartTag w:uri="urn:schemas-microsoft-com:office:smarttags" w:element="place">
              <w:smartTag w:uri="urn:schemas-microsoft-com:office:smarttags" w:element="PlaceName">
                <w:r w:rsidRPr="00AB0C8C">
                  <w:rPr>
                    <w:rFonts w:ascii="Arial" w:hAnsi="Arial" w:cs="Angsana New"/>
                    <w:sz w:val="16"/>
                    <w:lang w:val="en-GB"/>
                  </w:rPr>
                  <w:t>Marine</w:t>
                </w:r>
              </w:smartTag>
              <w:r w:rsidRPr="00AB0C8C">
                <w:rPr>
                  <w:rFonts w:ascii="Arial" w:hAnsi="Arial" w:cs="Angsana New"/>
                  <w:sz w:val="16"/>
                  <w:lang w:val="en-GB"/>
                </w:rPr>
                <w:t xml:space="preserve"> </w:t>
              </w:r>
              <w:smartTag w:uri="urn:schemas-microsoft-com:office:smarttags" w:element="PlaceType">
                <w:r w:rsidRPr="00AB0C8C">
                  <w:rPr>
                    <w:rFonts w:ascii="Arial" w:hAnsi="Arial" w:cs="Angsana New"/>
                    <w:sz w:val="16"/>
                    <w:lang w:val="en-GB"/>
                  </w:rPr>
                  <w:t>Park</w:t>
                </w:r>
              </w:smartTag>
            </w:smartTag>
            <w:r w:rsidRPr="00AB0C8C">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675C9E27"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277</w:t>
            </w:r>
          </w:p>
        </w:tc>
        <w:tc>
          <w:tcPr>
            <w:tcW w:w="1530" w:type="dxa"/>
            <w:tcBorders>
              <w:left w:val="single" w:sz="12" w:space="0" w:color="auto"/>
              <w:right w:val="single" w:sz="12" w:space="0" w:color="auto"/>
            </w:tcBorders>
            <w:vAlign w:val="center"/>
          </w:tcPr>
          <w:p w14:paraId="672C3EAB" w14:textId="77777777" w:rsidR="00AB0C8C" w:rsidRPr="00AB0C8C" w:rsidRDefault="00AB0C8C" w:rsidP="00AB0C8C">
            <w:pPr>
              <w:widowControl w:val="0"/>
              <w:autoSpaceDE w:val="0"/>
              <w:autoSpaceDN w:val="0"/>
              <w:adjustRightInd w:val="0"/>
              <w:jc w:val="center"/>
              <w:rPr>
                <w:rFonts w:ascii="Arial" w:hAnsi="Arial" w:cs="Angsana New"/>
                <w:sz w:val="16"/>
                <w:lang w:val="en-GB"/>
              </w:rPr>
            </w:pPr>
            <w:r w:rsidRPr="00AB0C8C">
              <w:rPr>
                <w:rFonts w:ascii="Arial" w:hAnsi="Arial" w:cs="Angsana New"/>
                <w:sz w:val="16"/>
                <w:lang w:val="en-GB"/>
              </w:rPr>
              <w:t>Low</w:t>
            </w:r>
          </w:p>
        </w:tc>
      </w:tr>
      <w:tr w:rsidR="00AB0C8C" w:rsidRPr="00AB0C8C" w14:paraId="36F8BD5D" w14:textId="77777777" w:rsidTr="00F370E8">
        <w:trPr>
          <w:trHeight w:val="65"/>
          <w:jc w:val="center"/>
        </w:trPr>
        <w:tc>
          <w:tcPr>
            <w:tcW w:w="1979" w:type="dxa"/>
            <w:tcBorders>
              <w:left w:val="single" w:sz="12" w:space="0" w:color="auto"/>
              <w:right w:val="single" w:sz="12" w:space="0" w:color="auto"/>
            </w:tcBorders>
            <w:noWrap/>
            <w:vAlign w:val="center"/>
          </w:tcPr>
          <w:p w14:paraId="1E985007" w14:textId="77777777" w:rsidR="00AB0C8C" w:rsidRPr="00AB0C8C" w:rsidRDefault="00AB0C8C" w:rsidP="00AB0C8C">
            <w:pPr>
              <w:rPr>
                <w:rFonts w:ascii="Arial" w:hAnsi="Arial"/>
                <w:sz w:val="16"/>
                <w:lang w:val="en-GB"/>
              </w:rPr>
            </w:pPr>
            <w:r w:rsidRPr="00AB0C8C">
              <w:rPr>
                <w:rFonts w:ascii="Arial" w:hAnsi="Arial"/>
                <w:sz w:val="16"/>
                <w:lang w:val="en-GB"/>
              </w:rPr>
              <w:t>Pulau Tioman</w:t>
            </w:r>
          </w:p>
        </w:tc>
        <w:tc>
          <w:tcPr>
            <w:tcW w:w="900" w:type="dxa"/>
            <w:tcBorders>
              <w:left w:val="single" w:sz="12" w:space="0" w:color="auto"/>
              <w:right w:val="single" w:sz="12" w:space="0" w:color="auto"/>
            </w:tcBorders>
            <w:noWrap/>
            <w:vAlign w:val="center"/>
          </w:tcPr>
          <w:p w14:paraId="5442EC44"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5,023</w:t>
            </w:r>
          </w:p>
        </w:tc>
        <w:tc>
          <w:tcPr>
            <w:tcW w:w="1088" w:type="dxa"/>
            <w:tcBorders>
              <w:left w:val="single" w:sz="12" w:space="0" w:color="auto"/>
              <w:right w:val="single" w:sz="12" w:space="0" w:color="auto"/>
            </w:tcBorders>
            <w:noWrap/>
            <w:vAlign w:val="center"/>
          </w:tcPr>
          <w:p w14:paraId="266ED0BC" w14:textId="77777777" w:rsidR="00AB0C8C" w:rsidRPr="00AB0C8C" w:rsidRDefault="00AB0C8C" w:rsidP="00AB0C8C">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044A8295" w14:textId="77777777" w:rsidR="00AB0C8C" w:rsidRPr="00AB0C8C" w:rsidRDefault="00AB0C8C" w:rsidP="00AB0C8C">
            <w:pPr>
              <w:widowControl w:val="0"/>
              <w:autoSpaceDE w:val="0"/>
              <w:autoSpaceDN w:val="0"/>
              <w:adjustRightInd w:val="0"/>
              <w:rPr>
                <w:rFonts w:ascii="Arial" w:hAnsi="Arial" w:cs="Angsana New"/>
                <w:sz w:val="16"/>
                <w:lang w:val="en-GB"/>
              </w:rPr>
            </w:pPr>
            <w:smartTag w:uri="urn:schemas-microsoft-com:office:smarttags" w:element="place">
              <w:smartTag w:uri="urn:schemas-microsoft-com:office:smarttags" w:element="PlaceName">
                <w:r w:rsidRPr="00AB0C8C">
                  <w:rPr>
                    <w:rFonts w:ascii="Arial" w:hAnsi="Arial" w:cs="Angsana New"/>
                    <w:sz w:val="16"/>
                    <w:lang w:val="en-GB"/>
                  </w:rPr>
                  <w:t>Marine</w:t>
                </w:r>
              </w:smartTag>
              <w:r w:rsidRPr="00AB0C8C">
                <w:rPr>
                  <w:rFonts w:ascii="Arial" w:hAnsi="Arial" w:cs="Angsana New"/>
                  <w:sz w:val="16"/>
                  <w:lang w:val="en-GB"/>
                </w:rPr>
                <w:t xml:space="preserve"> </w:t>
              </w:r>
              <w:smartTag w:uri="urn:schemas-microsoft-com:office:smarttags" w:element="PlaceType">
                <w:r w:rsidRPr="00AB0C8C">
                  <w:rPr>
                    <w:rFonts w:ascii="Arial" w:hAnsi="Arial" w:cs="Angsana New"/>
                    <w:sz w:val="16"/>
                    <w:lang w:val="en-GB"/>
                  </w:rPr>
                  <w:t>Park</w:t>
                </w:r>
              </w:smartTag>
            </w:smartTag>
            <w:r w:rsidRPr="00AB0C8C">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39805024"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3,265</w:t>
            </w:r>
          </w:p>
        </w:tc>
        <w:tc>
          <w:tcPr>
            <w:tcW w:w="1530" w:type="dxa"/>
            <w:tcBorders>
              <w:left w:val="single" w:sz="12" w:space="0" w:color="auto"/>
              <w:right w:val="single" w:sz="12" w:space="0" w:color="auto"/>
            </w:tcBorders>
            <w:vAlign w:val="center"/>
          </w:tcPr>
          <w:p w14:paraId="0A8F4FE5" w14:textId="77777777" w:rsidR="00AB0C8C" w:rsidRPr="00AB0C8C" w:rsidRDefault="00AB0C8C" w:rsidP="00AB0C8C">
            <w:pPr>
              <w:widowControl w:val="0"/>
              <w:autoSpaceDE w:val="0"/>
              <w:autoSpaceDN w:val="0"/>
              <w:adjustRightInd w:val="0"/>
              <w:jc w:val="center"/>
              <w:rPr>
                <w:rFonts w:ascii="Arial" w:hAnsi="Arial" w:cs="Angsana New"/>
                <w:sz w:val="16"/>
                <w:lang w:val="en-GB"/>
              </w:rPr>
            </w:pPr>
            <w:r w:rsidRPr="00AB0C8C">
              <w:rPr>
                <w:rFonts w:ascii="Arial" w:hAnsi="Arial" w:cs="Angsana New"/>
                <w:sz w:val="16"/>
                <w:lang w:val="en-GB"/>
              </w:rPr>
              <w:t>High</w:t>
            </w:r>
          </w:p>
        </w:tc>
      </w:tr>
      <w:tr w:rsidR="00AB0C8C" w:rsidRPr="00AB0C8C" w14:paraId="24CD30F6" w14:textId="77777777" w:rsidTr="00F370E8">
        <w:trPr>
          <w:trHeight w:val="65"/>
          <w:jc w:val="center"/>
        </w:trPr>
        <w:tc>
          <w:tcPr>
            <w:tcW w:w="1979" w:type="dxa"/>
            <w:tcBorders>
              <w:left w:val="single" w:sz="12" w:space="0" w:color="auto"/>
              <w:right w:val="single" w:sz="12" w:space="0" w:color="auto"/>
            </w:tcBorders>
            <w:noWrap/>
            <w:vAlign w:val="center"/>
          </w:tcPr>
          <w:p w14:paraId="7F8562F6" w14:textId="77777777" w:rsidR="00AB0C8C" w:rsidRPr="00AB0C8C" w:rsidRDefault="00AB0C8C" w:rsidP="00AB0C8C">
            <w:pPr>
              <w:widowControl w:val="0"/>
              <w:autoSpaceDE w:val="0"/>
              <w:autoSpaceDN w:val="0"/>
              <w:adjustRightInd w:val="0"/>
              <w:rPr>
                <w:rFonts w:ascii="Arial" w:hAnsi="Arial" w:cs="Angsana New"/>
                <w:sz w:val="16"/>
                <w:lang w:val="en-GB"/>
              </w:rPr>
            </w:pPr>
            <w:r w:rsidRPr="00AB0C8C">
              <w:rPr>
                <w:rFonts w:ascii="Arial" w:hAnsi="Arial" w:cs="Angsana New"/>
                <w:sz w:val="16"/>
                <w:lang w:val="en-GB"/>
              </w:rPr>
              <w:t>Pulau Labas</w:t>
            </w:r>
          </w:p>
        </w:tc>
        <w:tc>
          <w:tcPr>
            <w:tcW w:w="900" w:type="dxa"/>
            <w:tcBorders>
              <w:left w:val="single" w:sz="12" w:space="0" w:color="auto"/>
              <w:right w:val="single" w:sz="12" w:space="0" w:color="auto"/>
            </w:tcBorders>
            <w:noWrap/>
            <w:vAlign w:val="center"/>
          </w:tcPr>
          <w:p w14:paraId="3B3270D4"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896</w:t>
            </w:r>
          </w:p>
        </w:tc>
        <w:tc>
          <w:tcPr>
            <w:tcW w:w="1088" w:type="dxa"/>
            <w:tcBorders>
              <w:left w:val="single" w:sz="12" w:space="0" w:color="auto"/>
              <w:right w:val="single" w:sz="12" w:space="0" w:color="auto"/>
            </w:tcBorders>
            <w:noWrap/>
            <w:vAlign w:val="center"/>
          </w:tcPr>
          <w:p w14:paraId="191F396E" w14:textId="77777777" w:rsidR="00AB0C8C" w:rsidRPr="00AB0C8C" w:rsidRDefault="00AB0C8C" w:rsidP="00AB0C8C">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5DEADE37" w14:textId="77777777" w:rsidR="00AB0C8C" w:rsidRPr="00AB0C8C" w:rsidRDefault="00AB0C8C" w:rsidP="00AB0C8C">
            <w:pPr>
              <w:rPr>
                <w:rFonts w:ascii="Arial" w:hAnsi="Arial" w:cs="Angsana New"/>
                <w:sz w:val="16"/>
                <w:lang w:val="en-GB"/>
              </w:rPr>
            </w:pPr>
            <w:smartTag w:uri="urn:schemas-microsoft-com:office:smarttags" w:element="place">
              <w:smartTag w:uri="urn:schemas-microsoft-com:office:smarttags" w:element="PlaceName">
                <w:r w:rsidRPr="00AB0C8C">
                  <w:rPr>
                    <w:rFonts w:ascii="Arial" w:hAnsi="Arial" w:cs="Angsana New"/>
                    <w:sz w:val="16"/>
                    <w:lang w:val="en-GB"/>
                  </w:rPr>
                  <w:t>Marine</w:t>
                </w:r>
              </w:smartTag>
              <w:r w:rsidRPr="00AB0C8C">
                <w:rPr>
                  <w:rFonts w:ascii="Arial" w:hAnsi="Arial" w:cs="Angsana New"/>
                  <w:sz w:val="16"/>
                  <w:lang w:val="en-GB"/>
                </w:rPr>
                <w:t xml:space="preserve"> </w:t>
              </w:r>
              <w:smartTag w:uri="urn:schemas-microsoft-com:office:smarttags" w:element="PlaceType">
                <w:r w:rsidRPr="00AB0C8C">
                  <w:rPr>
                    <w:rFonts w:ascii="Arial" w:hAnsi="Arial" w:cs="Angsana New"/>
                    <w:sz w:val="16"/>
                    <w:lang w:val="en-GB"/>
                  </w:rPr>
                  <w:t>Park</w:t>
                </w:r>
              </w:smartTag>
            </w:smartTag>
            <w:r w:rsidRPr="00AB0C8C">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165BD919"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582</w:t>
            </w:r>
          </w:p>
        </w:tc>
        <w:tc>
          <w:tcPr>
            <w:tcW w:w="1530" w:type="dxa"/>
            <w:tcBorders>
              <w:left w:val="single" w:sz="12" w:space="0" w:color="auto"/>
              <w:right w:val="single" w:sz="12" w:space="0" w:color="auto"/>
            </w:tcBorders>
            <w:vAlign w:val="center"/>
          </w:tcPr>
          <w:p w14:paraId="5CA443E3" w14:textId="77777777" w:rsidR="00AB0C8C" w:rsidRPr="00AB0C8C" w:rsidRDefault="00AB0C8C" w:rsidP="00AB0C8C">
            <w:pPr>
              <w:jc w:val="center"/>
              <w:rPr>
                <w:rFonts w:ascii="Arial" w:hAnsi="Arial" w:cs="Angsana New"/>
                <w:sz w:val="16"/>
                <w:lang w:val="en-GB"/>
              </w:rPr>
            </w:pPr>
            <w:r w:rsidRPr="00AB0C8C">
              <w:rPr>
                <w:rFonts w:ascii="Arial" w:hAnsi="Arial" w:cs="Angsana New"/>
                <w:sz w:val="16"/>
                <w:lang w:val="en-GB"/>
              </w:rPr>
              <w:t>Medium</w:t>
            </w:r>
          </w:p>
        </w:tc>
      </w:tr>
      <w:tr w:rsidR="00AB0C8C" w:rsidRPr="00AB0C8C" w14:paraId="5C4C48A2" w14:textId="77777777" w:rsidTr="00F370E8">
        <w:trPr>
          <w:trHeight w:val="65"/>
          <w:jc w:val="center"/>
        </w:trPr>
        <w:tc>
          <w:tcPr>
            <w:tcW w:w="1979" w:type="dxa"/>
            <w:tcBorders>
              <w:left w:val="single" w:sz="12" w:space="0" w:color="auto"/>
              <w:right w:val="single" w:sz="12" w:space="0" w:color="auto"/>
            </w:tcBorders>
            <w:noWrap/>
            <w:vAlign w:val="center"/>
          </w:tcPr>
          <w:p w14:paraId="6EDC0A82" w14:textId="77777777" w:rsidR="00AB0C8C" w:rsidRPr="00AB0C8C" w:rsidRDefault="00AB0C8C" w:rsidP="00AB0C8C">
            <w:pPr>
              <w:widowControl w:val="0"/>
              <w:autoSpaceDE w:val="0"/>
              <w:autoSpaceDN w:val="0"/>
              <w:adjustRightInd w:val="0"/>
              <w:rPr>
                <w:rFonts w:ascii="Arial" w:hAnsi="Arial" w:cs="Angsana New"/>
                <w:sz w:val="16"/>
                <w:lang w:val="en-GB"/>
              </w:rPr>
            </w:pPr>
            <w:r w:rsidRPr="00AB0C8C">
              <w:rPr>
                <w:rFonts w:ascii="Arial" w:hAnsi="Arial" w:cs="Angsana New"/>
                <w:sz w:val="16"/>
                <w:lang w:val="en-GB"/>
              </w:rPr>
              <w:t>Pulau Sepoi</w:t>
            </w:r>
          </w:p>
        </w:tc>
        <w:tc>
          <w:tcPr>
            <w:tcW w:w="900" w:type="dxa"/>
            <w:tcBorders>
              <w:left w:val="single" w:sz="12" w:space="0" w:color="auto"/>
              <w:right w:val="single" w:sz="12" w:space="0" w:color="auto"/>
            </w:tcBorders>
            <w:noWrap/>
            <w:vAlign w:val="center"/>
          </w:tcPr>
          <w:p w14:paraId="0A8BFF76"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891</w:t>
            </w:r>
          </w:p>
        </w:tc>
        <w:tc>
          <w:tcPr>
            <w:tcW w:w="1088" w:type="dxa"/>
            <w:tcBorders>
              <w:left w:val="single" w:sz="12" w:space="0" w:color="auto"/>
              <w:right w:val="single" w:sz="12" w:space="0" w:color="auto"/>
            </w:tcBorders>
            <w:noWrap/>
            <w:vAlign w:val="center"/>
          </w:tcPr>
          <w:p w14:paraId="37D40A70" w14:textId="77777777" w:rsidR="00AB0C8C" w:rsidRPr="00AB0C8C" w:rsidRDefault="00AB0C8C" w:rsidP="00AB0C8C">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5CA149D8" w14:textId="77777777" w:rsidR="00AB0C8C" w:rsidRPr="00AB0C8C" w:rsidRDefault="00AB0C8C" w:rsidP="00AB0C8C">
            <w:pPr>
              <w:rPr>
                <w:rFonts w:ascii="Arial" w:hAnsi="Arial" w:cs="Angsana New"/>
                <w:sz w:val="16"/>
                <w:lang w:val="en-GB"/>
              </w:rPr>
            </w:pPr>
            <w:smartTag w:uri="urn:schemas-microsoft-com:office:smarttags" w:element="place">
              <w:smartTag w:uri="urn:schemas-microsoft-com:office:smarttags" w:element="PlaceName">
                <w:r w:rsidRPr="00AB0C8C">
                  <w:rPr>
                    <w:rFonts w:ascii="Arial" w:hAnsi="Arial" w:cs="Angsana New"/>
                    <w:sz w:val="16"/>
                    <w:lang w:val="en-GB"/>
                  </w:rPr>
                  <w:t>Marine</w:t>
                </w:r>
              </w:smartTag>
              <w:r w:rsidRPr="00AB0C8C">
                <w:rPr>
                  <w:rFonts w:ascii="Arial" w:hAnsi="Arial" w:cs="Angsana New"/>
                  <w:sz w:val="16"/>
                  <w:lang w:val="en-GB"/>
                </w:rPr>
                <w:t xml:space="preserve"> </w:t>
              </w:r>
              <w:smartTag w:uri="urn:schemas-microsoft-com:office:smarttags" w:element="PlaceType">
                <w:r w:rsidRPr="00AB0C8C">
                  <w:rPr>
                    <w:rFonts w:ascii="Arial" w:hAnsi="Arial" w:cs="Angsana New"/>
                    <w:sz w:val="16"/>
                    <w:lang w:val="en-GB"/>
                  </w:rPr>
                  <w:t>Park</w:t>
                </w:r>
              </w:smartTag>
            </w:smartTag>
            <w:r w:rsidRPr="00AB0C8C">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329AD789" w14:textId="77777777" w:rsidR="00AB0C8C" w:rsidRPr="00AB0C8C" w:rsidRDefault="00AB0C8C" w:rsidP="00AB0C8C">
            <w:pPr>
              <w:jc w:val="right"/>
              <w:rPr>
                <w:rFonts w:ascii="Arial" w:eastAsia="Arial Unicode MS" w:hAnsi="Arial" w:cs="Angsana New"/>
                <w:sz w:val="16"/>
                <w:lang w:val="en-GB"/>
              </w:rPr>
            </w:pPr>
            <w:r w:rsidRPr="00AB0C8C">
              <w:rPr>
                <w:rFonts w:ascii="Arial" w:hAnsi="Arial" w:cs="Angsana New"/>
                <w:sz w:val="16"/>
                <w:lang w:val="en-GB"/>
              </w:rPr>
              <w:t>579</w:t>
            </w:r>
          </w:p>
        </w:tc>
        <w:tc>
          <w:tcPr>
            <w:tcW w:w="1530" w:type="dxa"/>
            <w:tcBorders>
              <w:left w:val="single" w:sz="12" w:space="0" w:color="auto"/>
              <w:right w:val="single" w:sz="12" w:space="0" w:color="auto"/>
            </w:tcBorders>
            <w:vAlign w:val="center"/>
          </w:tcPr>
          <w:p w14:paraId="794B641B" w14:textId="77777777" w:rsidR="00AB0C8C" w:rsidRPr="00AB0C8C" w:rsidRDefault="00AB0C8C" w:rsidP="00AB0C8C">
            <w:pPr>
              <w:jc w:val="center"/>
              <w:rPr>
                <w:rFonts w:ascii="Arial" w:hAnsi="Arial" w:cs="Angsana New"/>
                <w:sz w:val="16"/>
                <w:lang w:val="en-GB"/>
              </w:rPr>
            </w:pPr>
            <w:r w:rsidRPr="00AB0C8C">
              <w:rPr>
                <w:rFonts w:ascii="Arial" w:hAnsi="Arial" w:cs="Angsana New"/>
                <w:sz w:val="16"/>
                <w:lang w:val="en-GB"/>
              </w:rPr>
              <w:t>Medium</w:t>
            </w:r>
          </w:p>
        </w:tc>
      </w:tr>
      <w:tr w:rsidR="00AB0C8C" w:rsidRPr="00AB0C8C" w14:paraId="7926437F" w14:textId="77777777" w:rsidTr="00F370E8">
        <w:trPr>
          <w:trHeight w:val="65"/>
          <w:jc w:val="center"/>
        </w:trPr>
        <w:tc>
          <w:tcPr>
            <w:tcW w:w="1979" w:type="dxa"/>
            <w:tcBorders>
              <w:left w:val="single" w:sz="12" w:space="0" w:color="auto"/>
              <w:right w:val="single" w:sz="12" w:space="0" w:color="auto"/>
            </w:tcBorders>
            <w:noWrap/>
            <w:vAlign w:val="center"/>
          </w:tcPr>
          <w:p w14:paraId="758B4D2F" w14:textId="77777777" w:rsidR="00AB0C8C" w:rsidRPr="00AB0C8C" w:rsidRDefault="00AB0C8C" w:rsidP="00AB0C8C">
            <w:pPr>
              <w:widowControl w:val="0"/>
              <w:autoSpaceDE w:val="0"/>
              <w:autoSpaceDN w:val="0"/>
              <w:adjustRightInd w:val="0"/>
              <w:rPr>
                <w:rFonts w:ascii="Arial" w:hAnsi="Arial" w:cs="Angsana New"/>
                <w:sz w:val="16"/>
                <w:lang w:val="en-GB"/>
              </w:rPr>
            </w:pPr>
            <w:r w:rsidRPr="00AB0C8C">
              <w:rPr>
                <w:rFonts w:ascii="Arial" w:hAnsi="Arial" w:cs="Angsana New"/>
                <w:sz w:val="16"/>
                <w:lang w:val="en-GB"/>
              </w:rPr>
              <w:t>Pulau Gut</w:t>
            </w:r>
          </w:p>
        </w:tc>
        <w:tc>
          <w:tcPr>
            <w:tcW w:w="900" w:type="dxa"/>
            <w:tcBorders>
              <w:left w:val="single" w:sz="12" w:space="0" w:color="auto"/>
              <w:right w:val="single" w:sz="12" w:space="0" w:color="auto"/>
            </w:tcBorders>
            <w:noWrap/>
            <w:vAlign w:val="center"/>
          </w:tcPr>
          <w:p w14:paraId="7C1CF836" w14:textId="77777777" w:rsidR="00AB0C8C" w:rsidRPr="00AB0C8C" w:rsidRDefault="00AB0C8C" w:rsidP="00AB0C8C">
            <w:pPr>
              <w:jc w:val="right"/>
              <w:rPr>
                <w:rFonts w:ascii="Arial" w:hAnsi="Arial" w:cs="Angsana New"/>
                <w:sz w:val="16"/>
                <w:lang w:val="en-GB"/>
              </w:rPr>
            </w:pPr>
            <w:r w:rsidRPr="00AB0C8C">
              <w:rPr>
                <w:rFonts w:ascii="Arial" w:hAnsi="Arial" w:cs="Angsana New"/>
                <w:sz w:val="16"/>
                <w:lang w:val="en-GB"/>
              </w:rPr>
              <w:t>904</w:t>
            </w:r>
          </w:p>
        </w:tc>
        <w:tc>
          <w:tcPr>
            <w:tcW w:w="1088" w:type="dxa"/>
            <w:tcBorders>
              <w:left w:val="single" w:sz="12" w:space="0" w:color="auto"/>
              <w:right w:val="single" w:sz="12" w:space="0" w:color="auto"/>
            </w:tcBorders>
            <w:noWrap/>
            <w:vAlign w:val="center"/>
          </w:tcPr>
          <w:p w14:paraId="7E6B1E6F" w14:textId="77777777" w:rsidR="00AB0C8C" w:rsidRPr="00AB0C8C" w:rsidRDefault="00AB0C8C" w:rsidP="00AB0C8C">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6E7B7B09" w14:textId="77777777" w:rsidR="00AB0C8C" w:rsidRPr="00AB0C8C" w:rsidRDefault="00AB0C8C" w:rsidP="00AB0C8C">
            <w:pPr>
              <w:rPr>
                <w:rFonts w:ascii="Arial" w:hAnsi="Arial" w:cs="Angsana New"/>
                <w:sz w:val="16"/>
                <w:lang w:val="en-GB"/>
              </w:rPr>
            </w:pPr>
            <w:smartTag w:uri="urn:schemas-microsoft-com:office:smarttags" w:element="place">
              <w:smartTag w:uri="urn:schemas-microsoft-com:office:smarttags" w:element="PlaceName">
                <w:r w:rsidRPr="00AB0C8C">
                  <w:rPr>
                    <w:rFonts w:ascii="Arial" w:hAnsi="Arial" w:cs="Angsana New"/>
                    <w:sz w:val="16"/>
                    <w:lang w:val="en-GB"/>
                  </w:rPr>
                  <w:t>Marine</w:t>
                </w:r>
              </w:smartTag>
              <w:r w:rsidRPr="00AB0C8C">
                <w:rPr>
                  <w:rFonts w:ascii="Arial" w:hAnsi="Arial" w:cs="Angsana New"/>
                  <w:sz w:val="16"/>
                  <w:lang w:val="en-GB"/>
                </w:rPr>
                <w:t xml:space="preserve"> </w:t>
              </w:r>
              <w:smartTag w:uri="urn:schemas-microsoft-com:office:smarttags" w:element="PlaceType">
                <w:r w:rsidRPr="00AB0C8C">
                  <w:rPr>
                    <w:rFonts w:ascii="Arial" w:hAnsi="Arial" w:cs="Angsana New"/>
                    <w:sz w:val="16"/>
                    <w:lang w:val="en-GB"/>
                  </w:rPr>
                  <w:t>Park</w:t>
                </w:r>
              </w:smartTag>
            </w:smartTag>
            <w:r w:rsidRPr="00AB0C8C">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122C0C12" w14:textId="77777777" w:rsidR="00AB0C8C" w:rsidRPr="00AB0C8C" w:rsidRDefault="00AB0C8C" w:rsidP="00AB0C8C">
            <w:pPr>
              <w:jc w:val="right"/>
              <w:rPr>
                <w:rFonts w:ascii="Arial" w:hAnsi="Arial" w:cs="Angsana New"/>
                <w:sz w:val="16"/>
                <w:lang w:val="en-GB"/>
              </w:rPr>
            </w:pPr>
            <w:r w:rsidRPr="00AB0C8C">
              <w:rPr>
                <w:rFonts w:ascii="Arial" w:hAnsi="Arial" w:cs="Angsana New"/>
                <w:sz w:val="16"/>
                <w:lang w:val="en-GB"/>
              </w:rPr>
              <w:t>588</w:t>
            </w:r>
          </w:p>
        </w:tc>
        <w:tc>
          <w:tcPr>
            <w:tcW w:w="1530" w:type="dxa"/>
            <w:tcBorders>
              <w:left w:val="single" w:sz="12" w:space="0" w:color="auto"/>
              <w:right w:val="single" w:sz="12" w:space="0" w:color="auto"/>
            </w:tcBorders>
            <w:vAlign w:val="center"/>
          </w:tcPr>
          <w:p w14:paraId="3ED7D57F" w14:textId="77777777" w:rsidR="00AB0C8C" w:rsidRPr="00AB0C8C" w:rsidRDefault="00AB0C8C" w:rsidP="00AB0C8C">
            <w:pPr>
              <w:jc w:val="center"/>
              <w:rPr>
                <w:rFonts w:ascii="Arial" w:hAnsi="Arial" w:cs="Angsana New"/>
                <w:sz w:val="16"/>
                <w:lang w:val="en-GB"/>
              </w:rPr>
            </w:pPr>
            <w:r w:rsidRPr="00AB0C8C">
              <w:rPr>
                <w:rFonts w:ascii="Arial" w:hAnsi="Arial" w:cs="Angsana New"/>
                <w:sz w:val="16"/>
                <w:lang w:val="en-GB"/>
              </w:rPr>
              <w:t>Medium</w:t>
            </w:r>
          </w:p>
        </w:tc>
      </w:tr>
      <w:tr w:rsidR="00AB0C8C" w:rsidRPr="00AB0C8C" w14:paraId="7592CF47" w14:textId="77777777" w:rsidTr="00F370E8">
        <w:trPr>
          <w:trHeight w:val="65"/>
          <w:jc w:val="center"/>
        </w:trPr>
        <w:tc>
          <w:tcPr>
            <w:tcW w:w="1979" w:type="dxa"/>
            <w:tcBorders>
              <w:left w:val="single" w:sz="12" w:space="0" w:color="auto"/>
              <w:right w:val="single" w:sz="12" w:space="0" w:color="auto"/>
            </w:tcBorders>
            <w:noWrap/>
            <w:vAlign w:val="center"/>
          </w:tcPr>
          <w:p w14:paraId="4BF86196" w14:textId="77777777" w:rsidR="00AB0C8C" w:rsidRPr="00AB0C8C" w:rsidRDefault="00AB0C8C" w:rsidP="00AB0C8C">
            <w:pPr>
              <w:widowControl w:val="0"/>
              <w:autoSpaceDE w:val="0"/>
              <w:autoSpaceDN w:val="0"/>
              <w:adjustRightInd w:val="0"/>
              <w:rPr>
                <w:rFonts w:ascii="Arial" w:hAnsi="Arial" w:cs="Angsana New"/>
                <w:sz w:val="16"/>
                <w:lang w:val="en-GB"/>
              </w:rPr>
            </w:pPr>
            <w:r w:rsidRPr="00AB0C8C">
              <w:rPr>
                <w:rFonts w:ascii="Arial" w:hAnsi="Arial" w:cs="Angsana New"/>
                <w:sz w:val="16"/>
                <w:lang w:val="en-GB"/>
              </w:rPr>
              <w:t>Pulau Tokong Bahara</w:t>
            </w:r>
          </w:p>
        </w:tc>
        <w:tc>
          <w:tcPr>
            <w:tcW w:w="900" w:type="dxa"/>
            <w:tcBorders>
              <w:left w:val="single" w:sz="12" w:space="0" w:color="auto"/>
              <w:right w:val="single" w:sz="12" w:space="0" w:color="auto"/>
            </w:tcBorders>
            <w:noWrap/>
            <w:vAlign w:val="center"/>
          </w:tcPr>
          <w:p w14:paraId="12C49A7A" w14:textId="77777777" w:rsidR="00AB0C8C" w:rsidRPr="00AB0C8C" w:rsidRDefault="00AB0C8C" w:rsidP="00AB0C8C">
            <w:pPr>
              <w:jc w:val="right"/>
              <w:rPr>
                <w:rFonts w:ascii="Arial" w:hAnsi="Arial" w:cs="Angsana New"/>
                <w:sz w:val="16"/>
                <w:lang w:val="en-GB"/>
              </w:rPr>
            </w:pPr>
            <w:r w:rsidRPr="00AB0C8C">
              <w:rPr>
                <w:rFonts w:ascii="Arial" w:hAnsi="Arial" w:cs="Angsana New"/>
                <w:sz w:val="16"/>
                <w:lang w:val="en-GB"/>
              </w:rPr>
              <w:t>903</w:t>
            </w:r>
          </w:p>
        </w:tc>
        <w:tc>
          <w:tcPr>
            <w:tcW w:w="1088" w:type="dxa"/>
            <w:tcBorders>
              <w:left w:val="single" w:sz="12" w:space="0" w:color="auto"/>
              <w:right w:val="single" w:sz="12" w:space="0" w:color="auto"/>
            </w:tcBorders>
            <w:noWrap/>
            <w:vAlign w:val="center"/>
          </w:tcPr>
          <w:p w14:paraId="1B66EBC7" w14:textId="77777777" w:rsidR="00AB0C8C" w:rsidRPr="00AB0C8C" w:rsidRDefault="00AB0C8C" w:rsidP="00AB0C8C">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566FE046" w14:textId="77777777" w:rsidR="00AB0C8C" w:rsidRPr="00AB0C8C" w:rsidRDefault="00AB0C8C" w:rsidP="00AB0C8C">
            <w:pPr>
              <w:rPr>
                <w:rFonts w:ascii="Arial" w:hAnsi="Arial" w:cs="Angsana New"/>
                <w:sz w:val="16"/>
                <w:lang w:val="en-GB"/>
              </w:rPr>
            </w:pPr>
            <w:smartTag w:uri="urn:schemas-microsoft-com:office:smarttags" w:element="place">
              <w:smartTag w:uri="urn:schemas-microsoft-com:office:smarttags" w:element="PlaceName">
                <w:r w:rsidRPr="00AB0C8C">
                  <w:rPr>
                    <w:rFonts w:ascii="Arial" w:hAnsi="Arial" w:cs="Angsana New"/>
                    <w:sz w:val="16"/>
                    <w:lang w:val="en-GB"/>
                  </w:rPr>
                  <w:t>Marine</w:t>
                </w:r>
              </w:smartTag>
              <w:r w:rsidRPr="00AB0C8C">
                <w:rPr>
                  <w:rFonts w:ascii="Arial" w:hAnsi="Arial" w:cs="Angsana New"/>
                  <w:sz w:val="16"/>
                  <w:lang w:val="en-GB"/>
                </w:rPr>
                <w:t xml:space="preserve"> </w:t>
              </w:r>
              <w:smartTag w:uri="urn:schemas-microsoft-com:office:smarttags" w:element="PlaceType">
                <w:r w:rsidRPr="00AB0C8C">
                  <w:rPr>
                    <w:rFonts w:ascii="Arial" w:hAnsi="Arial" w:cs="Angsana New"/>
                    <w:sz w:val="16"/>
                    <w:lang w:val="en-GB"/>
                  </w:rPr>
                  <w:t>Park</w:t>
                </w:r>
              </w:smartTag>
            </w:smartTag>
            <w:r w:rsidRPr="00AB0C8C">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1CFBB300" w14:textId="77777777" w:rsidR="00AB0C8C" w:rsidRPr="00AB0C8C" w:rsidRDefault="00AB0C8C" w:rsidP="00AB0C8C">
            <w:pPr>
              <w:jc w:val="right"/>
              <w:rPr>
                <w:rFonts w:ascii="Arial" w:hAnsi="Arial" w:cs="Angsana New"/>
                <w:sz w:val="16"/>
                <w:lang w:val="en-GB"/>
              </w:rPr>
            </w:pPr>
            <w:r w:rsidRPr="00AB0C8C">
              <w:rPr>
                <w:rFonts w:ascii="Arial" w:hAnsi="Arial" w:cs="Angsana New"/>
                <w:sz w:val="16"/>
                <w:lang w:val="en-GB"/>
              </w:rPr>
              <w:t>587</w:t>
            </w:r>
          </w:p>
        </w:tc>
        <w:tc>
          <w:tcPr>
            <w:tcW w:w="1530" w:type="dxa"/>
            <w:tcBorders>
              <w:left w:val="single" w:sz="12" w:space="0" w:color="auto"/>
              <w:right w:val="single" w:sz="12" w:space="0" w:color="auto"/>
            </w:tcBorders>
            <w:vAlign w:val="center"/>
          </w:tcPr>
          <w:p w14:paraId="7F0ECB1B" w14:textId="77777777" w:rsidR="00AB0C8C" w:rsidRPr="00AB0C8C" w:rsidRDefault="00AB0C8C" w:rsidP="00AB0C8C">
            <w:pPr>
              <w:jc w:val="center"/>
              <w:rPr>
                <w:rFonts w:ascii="Arial" w:hAnsi="Arial" w:cs="Angsana New"/>
                <w:sz w:val="16"/>
                <w:lang w:val="en-GB"/>
              </w:rPr>
            </w:pPr>
            <w:r w:rsidRPr="00AB0C8C">
              <w:rPr>
                <w:rFonts w:ascii="Arial" w:hAnsi="Arial" w:cs="Angsana New"/>
                <w:sz w:val="16"/>
                <w:lang w:val="en-GB"/>
              </w:rPr>
              <w:t>Low</w:t>
            </w:r>
          </w:p>
        </w:tc>
      </w:tr>
      <w:tr w:rsidR="00576735" w:rsidRPr="0007416D" w14:paraId="4704852D" w14:textId="77777777" w:rsidTr="00F370E8">
        <w:trPr>
          <w:trHeight w:val="65"/>
          <w:jc w:val="center"/>
        </w:trPr>
        <w:tc>
          <w:tcPr>
            <w:tcW w:w="1979" w:type="dxa"/>
            <w:tcBorders>
              <w:left w:val="single" w:sz="12" w:space="0" w:color="auto"/>
              <w:right w:val="single" w:sz="12" w:space="0" w:color="auto"/>
            </w:tcBorders>
            <w:noWrap/>
            <w:vAlign w:val="center"/>
          </w:tcPr>
          <w:p w14:paraId="1C26DC65"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Chebeh</w:t>
            </w:r>
          </w:p>
        </w:tc>
        <w:tc>
          <w:tcPr>
            <w:tcW w:w="900" w:type="dxa"/>
            <w:tcBorders>
              <w:left w:val="single" w:sz="12" w:space="0" w:color="auto"/>
              <w:right w:val="single" w:sz="12" w:space="0" w:color="auto"/>
            </w:tcBorders>
            <w:noWrap/>
            <w:vAlign w:val="center"/>
          </w:tcPr>
          <w:p w14:paraId="19E1BD13"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898</w:t>
            </w:r>
          </w:p>
        </w:tc>
        <w:tc>
          <w:tcPr>
            <w:tcW w:w="1088" w:type="dxa"/>
            <w:tcBorders>
              <w:left w:val="single" w:sz="12" w:space="0" w:color="auto"/>
              <w:right w:val="single" w:sz="12" w:space="0" w:color="auto"/>
            </w:tcBorders>
            <w:noWrap/>
            <w:vAlign w:val="center"/>
          </w:tcPr>
          <w:p w14:paraId="041F4617"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3ED09F12"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r w:rsidRPr="00576735">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647350A6"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584</w:t>
            </w:r>
          </w:p>
        </w:tc>
        <w:tc>
          <w:tcPr>
            <w:tcW w:w="1530" w:type="dxa"/>
            <w:tcBorders>
              <w:left w:val="single" w:sz="12" w:space="0" w:color="auto"/>
              <w:right w:val="single" w:sz="12" w:space="0" w:color="auto"/>
            </w:tcBorders>
            <w:vAlign w:val="center"/>
          </w:tcPr>
          <w:p w14:paraId="36E9EBB6"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High</w:t>
            </w:r>
          </w:p>
        </w:tc>
      </w:tr>
      <w:tr w:rsidR="00576735" w:rsidRPr="0007416D" w14:paraId="7A9E16E6" w14:textId="77777777" w:rsidTr="00F370E8">
        <w:trPr>
          <w:trHeight w:val="65"/>
          <w:jc w:val="center"/>
        </w:trPr>
        <w:tc>
          <w:tcPr>
            <w:tcW w:w="1979" w:type="dxa"/>
            <w:tcBorders>
              <w:left w:val="single" w:sz="12" w:space="0" w:color="auto"/>
              <w:right w:val="single" w:sz="12" w:space="0" w:color="auto"/>
            </w:tcBorders>
            <w:noWrap/>
            <w:vAlign w:val="center"/>
          </w:tcPr>
          <w:p w14:paraId="1375E3F2"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Tulai</w:t>
            </w:r>
          </w:p>
        </w:tc>
        <w:tc>
          <w:tcPr>
            <w:tcW w:w="900" w:type="dxa"/>
            <w:tcBorders>
              <w:left w:val="single" w:sz="12" w:space="0" w:color="auto"/>
              <w:right w:val="single" w:sz="12" w:space="0" w:color="auto"/>
            </w:tcBorders>
            <w:noWrap/>
            <w:vAlign w:val="center"/>
          </w:tcPr>
          <w:p w14:paraId="2CB6712A"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1,272</w:t>
            </w:r>
          </w:p>
        </w:tc>
        <w:tc>
          <w:tcPr>
            <w:tcW w:w="1088" w:type="dxa"/>
            <w:tcBorders>
              <w:left w:val="single" w:sz="12" w:space="0" w:color="auto"/>
              <w:right w:val="single" w:sz="12" w:space="0" w:color="auto"/>
            </w:tcBorders>
            <w:noWrap/>
            <w:vAlign w:val="center"/>
          </w:tcPr>
          <w:p w14:paraId="6E201F36"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615A5B58"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r w:rsidRPr="00576735">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626F1B34"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827</w:t>
            </w:r>
          </w:p>
        </w:tc>
        <w:tc>
          <w:tcPr>
            <w:tcW w:w="1530" w:type="dxa"/>
            <w:tcBorders>
              <w:left w:val="single" w:sz="12" w:space="0" w:color="auto"/>
              <w:right w:val="single" w:sz="12" w:space="0" w:color="auto"/>
            </w:tcBorders>
            <w:vAlign w:val="center"/>
          </w:tcPr>
          <w:p w14:paraId="5B738ABB"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High</w:t>
            </w:r>
          </w:p>
        </w:tc>
      </w:tr>
      <w:tr w:rsidR="00576735" w:rsidRPr="0007416D" w14:paraId="7A4F895E" w14:textId="77777777" w:rsidTr="00F370E8">
        <w:trPr>
          <w:trHeight w:val="65"/>
          <w:jc w:val="center"/>
        </w:trPr>
        <w:tc>
          <w:tcPr>
            <w:tcW w:w="1979" w:type="dxa"/>
            <w:tcBorders>
              <w:left w:val="single" w:sz="12" w:space="0" w:color="auto"/>
              <w:right w:val="single" w:sz="12" w:space="0" w:color="auto"/>
            </w:tcBorders>
            <w:noWrap/>
            <w:vAlign w:val="center"/>
          </w:tcPr>
          <w:p w14:paraId="1DE17622"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Sembilang</w:t>
            </w:r>
          </w:p>
        </w:tc>
        <w:tc>
          <w:tcPr>
            <w:tcW w:w="900" w:type="dxa"/>
            <w:tcBorders>
              <w:left w:val="single" w:sz="12" w:space="0" w:color="auto"/>
              <w:right w:val="single" w:sz="12" w:space="0" w:color="auto"/>
            </w:tcBorders>
            <w:noWrap/>
            <w:vAlign w:val="center"/>
          </w:tcPr>
          <w:p w14:paraId="6D7DC480"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1,212</w:t>
            </w:r>
          </w:p>
        </w:tc>
        <w:tc>
          <w:tcPr>
            <w:tcW w:w="1088" w:type="dxa"/>
            <w:tcBorders>
              <w:left w:val="single" w:sz="12" w:space="0" w:color="auto"/>
              <w:right w:val="single" w:sz="12" w:space="0" w:color="auto"/>
            </w:tcBorders>
            <w:noWrap/>
            <w:vAlign w:val="center"/>
          </w:tcPr>
          <w:p w14:paraId="0CE84DA7"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46F7A98E"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r w:rsidRPr="00576735">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263074AB"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788</w:t>
            </w:r>
          </w:p>
        </w:tc>
        <w:tc>
          <w:tcPr>
            <w:tcW w:w="1530" w:type="dxa"/>
            <w:tcBorders>
              <w:left w:val="single" w:sz="12" w:space="0" w:color="auto"/>
              <w:right w:val="single" w:sz="12" w:space="0" w:color="auto"/>
            </w:tcBorders>
            <w:vAlign w:val="center"/>
          </w:tcPr>
          <w:p w14:paraId="2BF893EC"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Low</w:t>
            </w:r>
          </w:p>
        </w:tc>
      </w:tr>
      <w:tr w:rsidR="00576735" w:rsidRPr="0007416D" w14:paraId="1D925D8B" w14:textId="77777777" w:rsidTr="00F370E8">
        <w:trPr>
          <w:trHeight w:val="65"/>
          <w:jc w:val="center"/>
        </w:trPr>
        <w:tc>
          <w:tcPr>
            <w:tcW w:w="1979" w:type="dxa"/>
            <w:tcBorders>
              <w:left w:val="single" w:sz="12" w:space="0" w:color="auto"/>
              <w:right w:val="single" w:sz="12" w:space="0" w:color="auto"/>
            </w:tcBorders>
            <w:noWrap/>
            <w:vAlign w:val="center"/>
          </w:tcPr>
          <w:p w14:paraId="5855C3AC"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Seri Buat</w:t>
            </w:r>
          </w:p>
        </w:tc>
        <w:tc>
          <w:tcPr>
            <w:tcW w:w="900" w:type="dxa"/>
            <w:tcBorders>
              <w:left w:val="single" w:sz="12" w:space="0" w:color="auto"/>
              <w:right w:val="single" w:sz="12" w:space="0" w:color="auto"/>
            </w:tcBorders>
            <w:noWrap/>
            <w:vAlign w:val="center"/>
          </w:tcPr>
          <w:p w14:paraId="6D40864E"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1,544</w:t>
            </w:r>
          </w:p>
        </w:tc>
        <w:tc>
          <w:tcPr>
            <w:tcW w:w="1088" w:type="dxa"/>
            <w:tcBorders>
              <w:left w:val="single" w:sz="12" w:space="0" w:color="auto"/>
              <w:right w:val="single" w:sz="12" w:space="0" w:color="auto"/>
            </w:tcBorders>
            <w:noWrap/>
            <w:vAlign w:val="center"/>
          </w:tcPr>
          <w:p w14:paraId="5F6D62F5"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027A3E54"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r w:rsidRPr="00576735">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26B5D085"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1,004</w:t>
            </w:r>
          </w:p>
        </w:tc>
        <w:tc>
          <w:tcPr>
            <w:tcW w:w="1530" w:type="dxa"/>
            <w:tcBorders>
              <w:left w:val="single" w:sz="12" w:space="0" w:color="auto"/>
              <w:right w:val="single" w:sz="12" w:space="0" w:color="auto"/>
            </w:tcBorders>
            <w:vAlign w:val="center"/>
          </w:tcPr>
          <w:p w14:paraId="280D340B"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Low</w:t>
            </w:r>
          </w:p>
        </w:tc>
      </w:tr>
      <w:tr w:rsidR="00576735" w:rsidRPr="0007416D" w14:paraId="03A26A2A" w14:textId="77777777" w:rsidTr="00F370E8">
        <w:trPr>
          <w:trHeight w:val="65"/>
          <w:jc w:val="center"/>
        </w:trPr>
        <w:tc>
          <w:tcPr>
            <w:tcW w:w="1979" w:type="dxa"/>
            <w:tcBorders>
              <w:left w:val="single" w:sz="12" w:space="0" w:color="auto"/>
              <w:right w:val="single" w:sz="12" w:space="0" w:color="auto"/>
            </w:tcBorders>
            <w:noWrap/>
            <w:vAlign w:val="center"/>
          </w:tcPr>
          <w:p w14:paraId="131B6548"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Rawa</w:t>
            </w:r>
          </w:p>
        </w:tc>
        <w:tc>
          <w:tcPr>
            <w:tcW w:w="900" w:type="dxa"/>
            <w:tcBorders>
              <w:left w:val="single" w:sz="12" w:space="0" w:color="auto"/>
              <w:right w:val="single" w:sz="12" w:space="0" w:color="auto"/>
            </w:tcBorders>
            <w:noWrap/>
            <w:vAlign w:val="center"/>
          </w:tcPr>
          <w:p w14:paraId="1D092F16"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1,016</w:t>
            </w:r>
          </w:p>
        </w:tc>
        <w:tc>
          <w:tcPr>
            <w:tcW w:w="1088" w:type="dxa"/>
            <w:tcBorders>
              <w:left w:val="single" w:sz="12" w:space="0" w:color="auto"/>
              <w:right w:val="single" w:sz="12" w:space="0" w:color="auto"/>
            </w:tcBorders>
            <w:noWrap/>
            <w:vAlign w:val="center"/>
          </w:tcPr>
          <w:p w14:paraId="04600DC0"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73FC3F69"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p>
        </w:tc>
        <w:tc>
          <w:tcPr>
            <w:tcW w:w="1260" w:type="dxa"/>
            <w:tcBorders>
              <w:left w:val="single" w:sz="12" w:space="0" w:color="auto"/>
              <w:right w:val="single" w:sz="12" w:space="0" w:color="auto"/>
            </w:tcBorders>
            <w:vAlign w:val="center"/>
          </w:tcPr>
          <w:p w14:paraId="2F1995FB"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660</w:t>
            </w:r>
          </w:p>
        </w:tc>
        <w:tc>
          <w:tcPr>
            <w:tcW w:w="1530" w:type="dxa"/>
            <w:tcBorders>
              <w:left w:val="single" w:sz="12" w:space="0" w:color="auto"/>
              <w:right w:val="single" w:sz="12" w:space="0" w:color="auto"/>
            </w:tcBorders>
            <w:vAlign w:val="center"/>
          </w:tcPr>
          <w:p w14:paraId="039B9B53"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3F37EF4D" w14:textId="77777777" w:rsidTr="00F370E8">
        <w:trPr>
          <w:trHeight w:val="65"/>
          <w:jc w:val="center"/>
        </w:trPr>
        <w:tc>
          <w:tcPr>
            <w:tcW w:w="1979" w:type="dxa"/>
            <w:tcBorders>
              <w:left w:val="single" w:sz="12" w:space="0" w:color="auto"/>
              <w:right w:val="single" w:sz="12" w:space="0" w:color="auto"/>
            </w:tcBorders>
            <w:noWrap/>
            <w:vAlign w:val="center"/>
          </w:tcPr>
          <w:p w14:paraId="08CF8AC7"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Hujung</w:t>
            </w:r>
          </w:p>
        </w:tc>
        <w:tc>
          <w:tcPr>
            <w:tcW w:w="900" w:type="dxa"/>
            <w:tcBorders>
              <w:left w:val="single" w:sz="12" w:space="0" w:color="auto"/>
              <w:right w:val="single" w:sz="12" w:space="0" w:color="auto"/>
            </w:tcBorders>
            <w:noWrap/>
            <w:vAlign w:val="center"/>
          </w:tcPr>
          <w:p w14:paraId="1D0BACA4"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1,047</w:t>
            </w:r>
          </w:p>
        </w:tc>
        <w:tc>
          <w:tcPr>
            <w:tcW w:w="1088" w:type="dxa"/>
            <w:tcBorders>
              <w:left w:val="single" w:sz="12" w:space="0" w:color="auto"/>
              <w:right w:val="single" w:sz="12" w:space="0" w:color="auto"/>
            </w:tcBorders>
            <w:noWrap/>
            <w:vAlign w:val="center"/>
          </w:tcPr>
          <w:p w14:paraId="63EAD9D5"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43B39A71"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p>
        </w:tc>
        <w:tc>
          <w:tcPr>
            <w:tcW w:w="1260" w:type="dxa"/>
            <w:tcBorders>
              <w:left w:val="single" w:sz="12" w:space="0" w:color="auto"/>
              <w:right w:val="single" w:sz="12" w:space="0" w:color="auto"/>
            </w:tcBorders>
            <w:vAlign w:val="center"/>
          </w:tcPr>
          <w:p w14:paraId="5C38C7A0"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681</w:t>
            </w:r>
          </w:p>
        </w:tc>
        <w:tc>
          <w:tcPr>
            <w:tcW w:w="1530" w:type="dxa"/>
            <w:tcBorders>
              <w:left w:val="single" w:sz="12" w:space="0" w:color="auto"/>
              <w:right w:val="single" w:sz="12" w:space="0" w:color="auto"/>
            </w:tcBorders>
            <w:vAlign w:val="center"/>
          </w:tcPr>
          <w:p w14:paraId="094F3885"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2B8ABED3" w14:textId="77777777" w:rsidTr="00F370E8">
        <w:trPr>
          <w:trHeight w:val="65"/>
          <w:jc w:val="center"/>
        </w:trPr>
        <w:tc>
          <w:tcPr>
            <w:tcW w:w="1979" w:type="dxa"/>
            <w:tcBorders>
              <w:left w:val="single" w:sz="12" w:space="0" w:color="auto"/>
              <w:right w:val="single" w:sz="12" w:space="0" w:color="auto"/>
            </w:tcBorders>
            <w:noWrap/>
            <w:vAlign w:val="center"/>
          </w:tcPr>
          <w:p w14:paraId="5FE44486"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Tengah</w:t>
            </w:r>
          </w:p>
        </w:tc>
        <w:tc>
          <w:tcPr>
            <w:tcW w:w="900" w:type="dxa"/>
            <w:tcBorders>
              <w:left w:val="single" w:sz="12" w:space="0" w:color="auto"/>
              <w:right w:val="single" w:sz="12" w:space="0" w:color="auto"/>
            </w:tcBorders>
            <w:noWrap/>
            <w:vAlign w:val="center"/>
          </w:tcPr>
          <w:p w14:paraId="5325A391"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1,030</w:t>
            </w:r>
          </w:p>
        </w:tc>
        <w:tc>
          <w:tcPr>
            <w:tcW w:w="1088" w:type="dxa"/>
            <w:tcBorders>
              <w:left w:val="single" w:sz="12" w:space="0" w:color="auto"/>
              <w:right w:val="single" w:sz="12" w:space="0" w:color="auto"/>
            </w:tcBorders>
            <w:noWrap/>
            <w:vAlign w:val="center"/>
          </w:tcPr>
          <w:p w14:paraId="6600D82D"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497222C5"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p>
        </w:tc>
        <w:tc>
          <w:tcPr>
            <w:tcW w:w="1260" w:type="dxa"/>
            <w:tcBorders>
              <w:left w:val="single" w:sz="12" w:space="0" w:color="auto"/>
              <w:right w:val="single" w:sz="12" w:space="0" w:color="auto"/>
            </w:tcBorders>
            <w:vAlign w:val="center"/>
          </w:tcPr>
          <w:p w14:paraId="3AACB30A"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669</w:t>
            </w:r>
          </w:p>
        </w:tc>
        <w:tc>
          <w:tcPr>
            <w:tcW w:w="1530" w:type="dxa"/>
            <w:tcBorders>
              <w:left w:val="single" w:sz="12" w:space="0" w:color="auto"/>
              <w:right w:val="single" w:sz="12" w:space="0" w:color="auto"/>
            </w:tcBorders>
            <w:vAlign w:val="center"/>
          </w:tcPr>
          <w:p w14:paraId="0E5D4773"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2B540840" w14:textId="77777777" w:rsidTr="00F370E8">
        <w:trPr>
          <w:trHeight w:val="65"/>
          <w:jc w:val="center"/>
        </w:trPr>
        <w:tc>
          <w:tcPr>
            <w:tcW w:w="1979" w:type="dxa"/>
            <w:tcBorders>
              <w:left w:val="single" w:sz="12" w:space="0" w:color="auto"/>
              <w:right w:val="single" w:sz="12" w:space="0" w:color="auto"/>
            </w:tcBorders>
            <w:noWrap/>
            <w:vAlign w:val="center"/>
          </w:tcPr>
          <w:p w14:paraId="04C77966"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Besar</w:t>
            </w:r>
          </w:p>
        </w:tc>
        <w:tc>
          <w:tcPr>
            <w:tcW w:w="900" w:type="dxa"/>
            <w:tcBorders>
              <w:left w:val="single" w:sz="12" w:space="0" w:color="auto"/>
              <w:right w:val="single" w:sz="12" w:space="0" w:color="auto"/>
            </w:tcBorders>
            <w:noWrap/>
            <w:vAlign w:val="center"/>
          </w:tcPr>
          <w:p w14:paraId="7389023D"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1,683</w:t>
            </w:r>
          </w:p>
        </w:tc>
        <w:tc>
          <w:tcPr>
            <w:tcW w:w="1088" w:type="dxa"/>
            <w:tcBorders>
              <w:left w:val="single" w:sz="12" w:space="0" w:color="auto"/>
              <w:right w:val="single" w:sz="12" w:space="0" w:color="auto"/>
            </w:tcBorders>
            <w:noWrap/>
            <w:vAlign w:val="center"/>
          </w:tcPr>
          <w:p w14:paraId="6A27C33C"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1279D65A"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p>
        </w:tc>
        <w:tc>
          <w:tcPr>
            <w:tcW w:w="1260" w:type="dxa"/>
            <w:tcBorders>
              <w:left w:val="single" w:sz="12" w:space="0" w:color="auto"/>
              <w:right w:val="single" w:sz="12" w:space="0" w:color="auto"/>
            </w:tcBorders>
            <w:vAlign w:val="center"/>
          </w:tcPr>
          <w:p w14:paraId="6720F058"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1,094</w:t>
            </w:r>
          </w:p>
        </w:tc>
        <w:tc>
          <w:tcPr>
            <w:tcW w:w="1530" w:type="dxa"/>
            <w:tcBorders>
              <w:left w:val="single" w:sz="12" w:space="0" w:color="auto"/>
              <w:right w:val="single" w:sz="12" w:space="0" w:color="auto"/>
            </w:tcBorders>
            <w:vAlign w:val="center"/>
          </w:tcPr>
          <w:p w14:paraId="75B13BE7"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45906A42" w14:textId="77777777" w:rsidTr="00F370E8">
        <w:trPr>
          <w:trHeight w:val="65"/>
          <w:jc w:val="center"/>
        </w:trPr>
        <w:tc>
          <w:tcPr>
            <w:tcW w:w="1979" w:type="dxa"/>
            <w:tcBorders>
              <w:left w:val="single" w:sz="12" w:space="0" w:color="auto"/>
              <w:right w:val="single" w:sz="12" w:space="0" w:color="auto"/>
            </w:tcBorders>
            <w:noWrap/>
            <w:vAlign w:val="center"/>
          </w:tcPr>
          <w:p w14:paraId="51CD587D"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Tinggi</w:t>
            </w:r>
          </w:p>
        </w:tc>
        <w:tc>
          <w:tcPr>
            <w:tcW w:w="900" w:type="dxa"/>
            <w:tcBorders>
              <w:left w:val="single" w:sz="12" w:space="0" w:color="auto"/>
              <w:right w:val="single" w:sz="12" w:space="0" w:color="auto"/>
            </w:tcBorders>
            <w:noWrap/>
            <w:vAlign w:val="center"/>
          </w:tcPr>
          <w:p w14:paraId="4DC89A10"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2,036</w:t>
            </w:r>
          </w:p>
        </w:tc>
        <w:tc>
          <w:tcPr>
            <w:tcW w:w="1088" w:type="dxa"/>
            <w:tcBorders>
              <w:left w:val="single" w:sz="12" w:space="0" w:color="auto"/>
              <w:right w:val="single" w:sz="12" w:space="0" w:color="auto"/>
            </w:tcBorders>
            <w:noWrap/>
            <w:vAlign w:val="center"/>
          </w:tcPr>
          <w:p w14:paraId="23CB2BCF"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445C6F6D"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p>
        </w:tc>
        <w:tc>
          <w:tcPr>
            <w:tcW w:w="1260" w:type="dxa"/>
            <w:tcBorders>
              <w:left w:val="single" w:sz="12" w:space="0" w:color="auto"/>
              <w:right w:val="single" w:sz="12" w:space="0" w:color="auto"/>
            </w:tcBorders>
            <w:vAlign w:val="center"/>
          </w:tcPr>
          <w:p w14:paraId="292B9086"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1,323</w:t>
            </w:r>
          </w:p>
        </w:tc>
        <w:tc>
          <w:tcPr>
            <w:tcW w:w="1530" w:type="dxa"/>
            <w:tcBorders>
              <w:left w:val="single" w:sz="12" w:space="0" w:color="auto"/>
              <w:right w:val="single" w:sz="12" w:space="0" w:color="auto"/>
            </w:tcBorders>
            <w:vAlign w:val="center"/>
          </w:tcPr>
          <w:p w14:paraId="07543C0D"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High</w:t>
            </w:r>
          </w:p>
        </w:tc>
      </w:tr>
      <w:tr w:rsidR="00576735" w:rsidRPr="0007416D" w14:paraId="5209AED1" w14:textId="77777777" w:rsidTr="00F370E8">
        <w:trPr>
          <w:trHeight w:val="65"/>
          <w:jc w:val="center"/>
        </w:trPr>
        <w:tc>
          <w:tcPr>
            <w:tcW w:w="1979" w:type="dxa"/>
            <w:tcBorders>
              <w:left w:val="single" w:sz="12" w:space="0" w:color="auto"/>
              <w:right w:val="single" w:sz="12" w:space="0" w:color="auto"/>
            </w:tcBorders>
            <w:noWrap/>
            <w:vAlign w:val="center"/>
          </w:tcPr>
          <w:p w14:paraId="50492DE8"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Aur</w:t>
            </w:r>
          </w:p>
        </w:tc>
        <w:tc>
          <w:tcPr>
            <w:tcW w:w="900" w:type="dxa"/>
            <w:tcBorders>
              <w:left w:val="single" w:sz="12" w:space="0" w:color="auto"/>
              <w:right w:val="single" w:sz="12" w:space="0" w:color="auto"/>
            </w:tcBorders>
            <w:noWrap/>
            <w:vAlign w:val="center"/>
          </w:tcPr>
          <w:p w14:paraId="22730582"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1,949</w:t>
            </w:r>
          </w:p>
        </w:tc>
        <w:tc>
          <w:tcPr>
            <w:tcW w:w="1088" w:type="dxa"/>
            <w:tcBorders>
              <w:left w:val="single" w:sz="12" w:space="0" w:color="auto"/>
              <w:right w:val="single" w:sz="12" w:space="0" w:color="auto"/>
            </w:tcBorders>
            <w:noWrap/>
            <w:vAlign w:val="center"/>
          </w:tcPr>
          <w:p w14:paraId="31A7191B"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727AE238"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p>
        </w:tc>
        <w:tc>
          <w:tcPr>
            <w:tcW w:w="1260" w:type="dxa"/>
            <w:tcBorders>
              <w:left w:val="single" w:sz="12" w:space="0" w:color="auto"/>
              <w:right w:val="single" w:sz="12" w:space="0" w:color="auto"/>
            </w:tcBorders>
            <w:vAlign w:val="center"/>
          </w:tcPr>
          <w:p w14:paraId="6F456E22"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1,267</w:t>
            </w:r>
          </w:p>
        </w:tc>
        <w:tc>
          <w:tcPr>
            <w:tcW w:w="1530" w:type="dxa"/>
            <w:tcBorders>
              <w:left w:val="single" w:sz="12" w:space="0" w:color="auto"/>
              <w:right w:val="single" w:sz="12" w:space="0" w:color="auto"/>
            </w:tcBorders>
            <w:vAlign w:val="center"/>
          </w:tcPr>
          <w:p w14:paraId="559F0EDA"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Low</w:t>
            </w:r>
          </w:p>
        </w:tc>
      </w:tr>
      <w:tr w:rsidR="00576735" w:rsidRPr="0007416D" w14:paraId="693BFFD7" w14:textId="77777777" w:rsidTr="00F370E8">
        <w:trPr>
          <w:trHeight w:val="65"/>
          <w:jc w:val="center"/>
        </w:trPr>
        <w:tc>
          <w:tcPr>
            <w:tcW w:w="1979" w:type="dxa"/>
            <w:tcBorders>
              <w:left w:val="single" w:sz="12" w:space="0" w:color="auto"/>
              <w:right w:val="single" w:sz="12" w:space="0" w:color="auto"/>
            </w:tcBorders>
            <w:noWrap/>
            <w:vAlign w:val="center"/>
          </w:tcPr>
          <w:p w14:paraId="588457CC"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Pemanggil</w:t>
            </w:r>
          </w:p>
        </w:tc>
        <w:tc>
          <w:tcPr>
            <w:tcW w:w="900" w:type="dxa"/>
            <w:tcBorders>
              <w:left w:val="single" w:sz="12" w:space="0" w:color="auto"/>
              <w:right w:val="single" w:sz="12" w:space="0" w:color="auto"/>
            </w:tcBorders>
            <w:noWrap/>
            <w:vAlign w:val="center"/>
          </w:tcPr>
          <w:p w14:paraId="68291F13"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1,758</w:t>
            </w:r>
          </w:p>
        </w:tc>
        <w:tc>
          <w:tcPr>
            <w:tcW w:w="1088" w:type="dxa"/>
            <w:tcBorders>
              <w:left w:val="single" w:sz="12" w:space="0" w:color="auto"/>
              <w:right w:val="single" w:sz="12" w:space="0" w:color="auto"/>
            </w:tcBorders>
            <w:noWrap/>
            <w:vAlign w:val="center"/>
          </w:tcPr>
          <w:p w14:paraId="0C9A004F"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0B0A9977"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p>
        </w:tc>
        <w:tc>
          <w:tcPr>
            <w:tcW w:w="1260" w:type="dxa"/>
            <w:tcBorders>
              <w:left w:val="single" w:sz="12" w:space="0" w:color="auto"/>
              <w:right w:val="single" w:sz="12" w:space="0" w:color="auto"/>
            </w:tcBorders>
            <w:vAlign w:val="center"/>
          </w:tcPr>
          <w:p w14:paraId="30AE17A3"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1,143</w:t>
            </w:r>
          </w:p>
        </w:tc>
        <w:tc>
          <w:tcPr>
            <w:tcW w:w="1530" w:type="dxa"/>
            <w:tcBorders>
              <w:left w:val="single" w:sz="12" w:space="0" w:color="auto"/>
              <w:right w:val="single" w:sz="12" w:space="0" w:color="auto"/>
            </w:tcBorders>
            <w:vAlign w:val="center"/>
          </w:tcPr>
          <w:p w14:paraId="21CDA4E7"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Low</w:t>
            </w:r>
          </w:p>
        </w:tc>
      </w:tr>
      <w:tr w:rsidR="00576735" w:rsidRPr="0007416D" w14:paraId="57C19B8C" w14:textId="77777777" w:rsidTr="00F370E8">
        <w:trPr>
          <w:trHeight w:val="65"/>
          <w:jc w:val="center"/>
        </w:trPr>
        <w:tc>
          <w:tcPr>
            <w:tcW w:w="1979" w:type="dxa"/>
            <w:tcBorders>
              <w:left w:val="single" w:sz="12" w:space="0" w:color="auto"/>
              <w:right w:val="single" w:sz="12" w:space="0" w:color="auto"/>
            </w:tcBorders>
            <w:noWrap/>
            <w:vAlign w:val="center"/>
          </w:tcPr>
          <w:p w14:paraId="3DD2D7B6"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Harimau</w:t>
            </w:r>
          </w:p>
        </w:tc>
        <w:tc>
          <w:tcPr>
            <w:tcW w:w="900" w:type="dxa"/>
            <w:tcBorders>
              <w:left w:val="single" w:sz="12" w:space="0" w:color="auto"/>
              <w:right w:val="single" w:sz="12" w:space="0" w:color="auto"/>
            </w:tcBorders>
            <w:noWrap/>
            <w:vAlign w:val="center"/>
          </w:tcPr>
          <w:p w14:paraId="5CAA3D94"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980</w:t>
            </w:r>
          </w:p>
        </w:tc>
        <w:tc>
          <w:tcPr>
            <w:tcW w:w="1088" w:type="dxa"/>
            <w:tcBorders>
              <w:left w:val="single" w:sz="12" w:space="0" w:color="auto"/>
              <w:right w:val="single" w:sz="12" w:space="0" w:color="auto"/>
            </w:tcBorders>
            <w:noWrap/>
            <w:vAlign w:val="center"/>
          </w:tcPr>
          <w:p w14:paraId="0A093627"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1E6F326A"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p>
        </w:tc>
        <w:tc>
          <w:tcPr>
            <w:tcW w:w="1260" w:type="dxa"/>
            <w:tcBorders>
              <w:left w:val="single" w:sz="12" w:space="0" w:color="auto"/>
              <w:right w:val="single" w:sz="12" w:space="0" w:color="auto"/>
            </w:tcBorders>
            <w:vAlign w:val="center"/>
          </w:tcPr>
          <w:p w14:paraId="2AEDC17C"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637</w:t>
            </w:r>
          </w:p>
        </w:tc>
        <w:tc>
          <w:tcPr>
            <w:tcW w:w="1530" w:type="dxa"/>
            <w:tcBorders>
              <w:left w:val="single" w:sz="12" w:space="0" w:color="auto"/>
              <w:right w:val="single" w:sz="12" w:space="0" w:color="auto"/>
            </w:tcBorders>
            <w:vAlign w:val="center"/>
          </w:tcPr>
          <w:p w14:paraId="7E2475A1"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7293BCA9" w14:textId="77777777" w:rsidTr="00F370E8">
        <w:trPr>
          <w:trHeight w:val="65"/>
          <w:jc w:val="center"/>
        </w:trPr>
        <w:tc>
          <w:tcPr>
            <w:tcW w:w="1979" w:type="dxa"/>
            <w:tcBorders>
              <w:left w:val="single" w:sz="12" w:space="0" w:color="auto"/>
              <w:right w:val="single" w:sz="12" w:space="0" w:color="auto"/>
            </w:tcBorders>
            <w:noWrap/>
            <w:vAlign w:val="center"/>
          </w:tcPr>
          <w:p w14:paraId="39791FA7"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Gual</w:t>
            </w:r>
          </w:p>
        </w:tc>
        <w:tc>
          <w:tcPr>
            <w:tcW w:w="900" w:type="dxa"/>
            <w:tcBorders>
              <w:left w:val="single" w:sz="12" w:space="0" w:color="auto"/>
              <w:right w:val="single" w:sz="12" w:space="0" w:color="auto"/>
            </w:tcBorders>
            <w:noWrap/>
            <w:vAlign w:val="center"/>
          </w:tcPr>
          <w:p w14:paraId="76C022AE"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914</w:t>
            </w:r>
          </w:p>
        </w:tc>
        <w:tc>
          <w:tcPr>
            <w:tcW w:w="1088" w:type="dxa"/>
            <w:tcBorders>
              <w:left w:val="single" w:sz="12" w:space="0" w:color="auto"/>
              <w:right w:val="single" w:sz="12" w:space="0" w:color="auto"/>
            </w:tcBorders>
            <w:noWrap/>
            <w:vAlign w:val="center"/>
          </w:tcPr>
          <w:p w14:paraId="43FF6552"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37DEDB39"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p>
        </w:tc>
        <w:tc>
          <w:tcPr>
            <w:tcW w:w="1260" w:type="dxa"/>
            <w:tcBorders>
              <w:left w:val="single" w:sz="12" w:space="0" w:color="auto"/>
              <w:right w:val="single" w:sz="12" w:space="0" w:color="auto"/>
            </w:tcBorders>
            <w:vAlign w:val="center"/>
          </w:tcPr>
          <w:p w14:paraId="7B8CEAC7"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594</w:t>
            </w:r>
          </w:p>
        </w:tc>
        <w:tc>
          <w:tcPr>
            <w:tcW w:w="1530" w:type="dxa"/>
            <w:tcBorders>
              <w:left w:val="single" w:sz="12" w:space="0" w:color="auto"/>
              <w:right w:val="single" w:sz="12" w:space="0" w:color="auto"/>
            </w:tcBorders>
            <w:vAlign w:val="center"/>
          </w:tcPr>
          <w:p w14:paraId="6817C2A9"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6CC439BD" w14:textId="77777777" w:rsidTr="00F370E8">
        <w:trPr>
          <w:trHeight w:val="65"/>
          <w:jc w:val="center"/>
        </w:trPr>
        <w:tc>
          <w:tcPr>
            <w:tcW w:w="1979" w:type="dxa"/>
            <w:tcBorders>
              <w:left w:val="single" w:sz="12" w:space="0" w:color="auto"/>
              <w:right w:val="single" w:sz="12" w:space="0" w:color="auto"/>
            </w:tcBorders>
            <w:noWrap/>
            <w:vAlign w:val="center"/>
          </w:tcPr>
          <w:p w14:paraId="28B9957C"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Mensirip</w:t>
            </w:r>
          </w:p>
        </w:tc>
        <w:tc>
          <w:tcPr>
            <w:tcW w:w="900" w:type="dxa"/>
            <w:tcBorders>
              <w:left w:val="single" w:sz="12" w:space="0" w:color="auto"/>
              <w:right w:val="single" w:sz="12" w:space="0" w:color="auto"/>
            </w:tcBorders>
            <w:noWrap/>
            <w:vAlign w:val="center"/>
          </w:tcPr>
          <w:p w14:paraId="72A873B6"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932</w:t>
            </w:r>
          </w:p>
        </w:tc>
        <w:tc>
          <w:tcPr>
            <w:tcW w:w="1088" w:type="dxa"/>
            <w:tcBorders>
              <w:left w:val="single" w:sz="12" w:space="0" w:color="auto"/>
              <w:right w:val="single" w:sz="12" w:space="0" w:color="auto"/>
            </w:tcBorders>
            <w:noWrap/>
            <w:vAlign w:val="center"/>
          </w:tcPr>
          <w:p w14:paraId="436BF9C3"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2059965E"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p>
        </w:tc>
        <w:tc>
          <w:tcPr>
            <w:tcW w:w="1260" w:type="dxa"/>
            <w:tcBorders>
              <w:left w:val="single" w:sz="12" w:space="0" w:color="auto"/>
              <w:right w:val="single" w:sz="12" w:space="0" w:color="auto"/>
            </w:tcBorders>
            <w:vAlign w:val="center"/>
          </w:tcPr>
          <w:p w14:paraId="27EA5689"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606</w:t>
            </w:r>
          </w:p>
        </w:tc>
        <w:tc>
          <w:tcPr>
            <w:tcW w:w="1530" w:type="dxa"/>
            <w:tcBorders>
              <w:left w:val="single" w:sz="12" w:space="0" w:color="auto"/>
              <w:right w:val="single" w:sz="12" w:space="0" w:color="auto"/>
            </w:tcBorders>
            <w:vAlign w:val="center"/>
          </w:tcPr>
          <w:p w14:paraId="64069D0F"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4872ED34" w14:textId="77777777" w:rsidTr="00F370E8">
        <w:trPr>
          <w:trHeight w:val="65"/>
          <w:jc w:val="center"/>
        </w:trPr>
        <w:tc>
          <w:tcPr>
            <w:tcW w:w="1979" w:type="dxa"/>
            <w:tcBorders>
              <w:left w:val="single" w:sz="12" w:space="0" w:color="auto"/>
              <w:right w:val="single" w:sz="12" w:space="0" w:color="auto"/>
            </w:tcBorders>
            <w:noWrap/>
            <w:vAlign w:val="center"/>
          </w:tcPr>
          <w:p w14:paraId="3EE7FA13"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Sibu</w:t>
            </w:r>
          </w:p>
        </w:tc>
        <w:tc>
          <w:tcPr>
            <w:tcW w:w="900" w:type="dxa"/>
            <w:tcBorders>
              <w:left w:val="single" w:sz="12" w:space="0" w:color="auto"/>
              <w:right w:val="single" w:sz="12" w:space="0" w:color="auto"/>
            </w:tcBorders>
            <w:noWrap/>
            <w:vAlign w:val="center"/>
          </w:tcPr>
          <w:p w14:paraId="647192D3"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852</w:t>
            </w:r>
          </w:p>
        </w:tc>
        <w:tc>
          <w:tcPr>
            <w:tcW w:w="1088" w:type="dxa"/>
            <w:tcBorders>
              <w:left w:val="single" w:sz="12" w:space="0" w:color="auto"/>
              <w:right w:val="single" w:sz="12" w:space="0" w:color="auto"/>
            </w:tcBorders>
            <w:noWrap/>
            <w:vAlign w:val="center"/>
          </w:tcPr>
          <w:p w14:paraId="741AA661"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3D6DCF80"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p>
        </w:tc>
        <w:tc>
          <w:tcPr>
            <w:tcW w:w="1260" w:type="dxa"/>
            <w:tcBorders>
              <w:left w:val="single" w:sz="12" w:space="0" w:color="auto"/>
              <w:right w:val="single" w:sz="12" w:space="0" w:color="auto"/>
            </w:tcBorders>
            <w:vAlign w:val="center"/>
          </w:tcPr>
          <w:p w14:paraId="38BE2982"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554</w:t>
            </w:r>
          </w:p>
        </w:tc>
        <w:tc>
          <w:tcPr>
            <w:tcW w:w="1530" w:type="dxa"/>
            <w:tcBorders>
              <w:left w:val="single" w:sz="12" w:space="0" w:color="auto"/>
              <w:right w:val="single" w:sz="12" w:space="0" w:color="auto"/>
            </w:tcBorders>
            <w:vAlign w:val="center"/>
          </w:tcPr>
          <w:p w14:paraId="724B290E"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High</w:t>
            </w:r>
          </w:p>
        </w:tc>
      </w:tr>
      <w:tr w:rsidR="00576735" w:rsidRPr="0007416D" w14:paraId="75384BE6" w14:textId="77777777" w:rsidTr="00F370E8">
        <w:trPr>
          <w:trHeight w:val="65"/>
          <w:jc w:val="center"/>
        </w:trPr>
        <w:tc>
          <w:tcPr>
            <w:tcW w:w="1979" w:type="dxa"/>
            <w:tcBorders>
              <w:left w:val="single" w:sz="12" w:space="0" w:color="auto"/>
              <w:right w:val="single" w:sz="12" w:space="0" w:color="auto"/>
            </w:tcBorders>
            <w:noWrap/>
            <w:vAlign w:val="center"/>
          </w:tcPr>
          <w:p w14:paraId="7C02CC1D"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Sibu Hujung</w:t>
            </w:r>
          </w:p>
        </w:tc>
        <w:tc>
          <w:tcPr>
            <w:tcW w:w="900" w:type="dxa"/>
            <w:tcBorders>
              <w:left w:val="single" w:sz="12" w:space="0" w:color="auto"/>
              <w:right w:val="single" w:sz="12" w:space="0" w:color="auto"/>
            </w:tcBorders>
            <w:noWrap/>
            <w:vAlign w:val="center"/>
          </w:tcPr>
          <w:p w14:paraId="125D67C7"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237</w:t>
            </w:r>
          </w:p>
        </w:tc>
        <w:tc>
          <w:tcPr>
            <w:tcW w:w="1088" w:type="dxa"/>
            <w:tcBorders>
              <w:left w:val="single" w:sz="12" w:space="0" w:color="auto"/>
              <w:right w:val="single" w:sz="12" w:space="0" w:color="auto"/>
            </w:tcBorders>
            <w:noWrap/>
            <w:vAlign w:val="center"/>
          </w:tcPr>
          <w:p w14:paraId="2462FEDB"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04D7EEEE"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p>
        </w:tc>
        <w:tc>
          <w:tcPr>
            <w:tcW w:w="1260" w:type="dxa"/>
            <w:tcBorders>
              <w:left w:val="single" w:sz="12" w:space="0" w:color="auto"/>
              <w:right w:val="single" w:sz="12" w:space="0" w:color="auto"/>
            </w:tcBorders>
            <w:vAlign w:val="center"/>
          </w:tcPr>
          <w:p w14:paraId="6AF5CBFE"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154</w:t>
            </w:r>
          </w:p>
        </w:tc>
        <w:tc>
          <w:tcPr>
            <w:tcW w:w="1530" w:type="dxa"/>
            <w:tcBorders>
              <w:left w:val="single" w:sz="12" w:space="0" w:color="auto"/>
              <w:right w:val="single" w:sz="12" w:space="0" w:color="auto"/>
            </w:tcBorders>
            <w:vAlign w:val="center"/>
          </w:tcPr>
          <w:p w14:paraId="729FBD91"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High</w:t>
            </w:r>
          </w:p>
        </w:tc>
      </w:tr>
      <w:tr w:rsidR="00576735" w:rsidRPr="0007416D" w14:paraId="47C5A988" w14:textId="77777777" w:rsidTr="00F370E8">
        <w:trPr>
          <w:trHeight w:val="65"/>
          <w:jc w:val="center"/>
        </w:trPr>
        <w:tc>
          <w:tcPr>
            <w:tcW w:w="1979" w:type="dxa"/>
            <w:tcBorders>
              <w:left w:val="single" w:sz="12" w:space="0" w:color="auto"/>
              <w:right w:val="single" w:sz="12" w:space="0" w:color="auto"/>
            </w:tcBorders>
            <w:noWrap/>
            <w:vAlign w:val="center"/>
          </w:tcPr>
          <w:p w14:paraId="0BC4A9DF"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Mentinggi</w:t>
            </w:r>
          </w:p>
        </w:tc>
        <w:tc>
          <w:tcPr>
            <w:tcW w:w="900" w:type="dxa"/>
            <w:tcBorders>
              <w:left w:val="single" w:sz="12" w:space="0" w:color="auto"/>
              <w:right w:val="single" w:sz="12" w:space="0" w:color="auto"/>
            </w:tcBorders>
            <w:noWrap/>
            <w:vAlign w:val="center"/>
          </w:tcPr>
          <w:p w14:paraId="12B59878"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880</w:t>
            </w:r>
          </w:p>
        </w:tc>
        <w:tc>
          <w:tcPr>
            <w:tcW w:w="1088" w:type="dxa"/>
            <w:tcBorders>
              <w:left w:val="single" w:sz="12" w:space="0" w:color="auto"/>
              <w:right w:val="single" w:sz="12" w:space="0" w:color="auto"/>
            </w:tcBorders>
            <w:noWrap/>
            <w:vAlign w:val="center"/>
          </w:tcPr>
          <w:p w14:paraId="5BA6FFDF"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30B2E468"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p>
        </w:tc>
        <w:tc>
          <w:tcPr>
            <w:tcW w:w="1260" w:type="dxa"/>
            <w:tcBorders>
              <w:left w:val="single" w:sz="12" w:space="0" w:color="auto"/>
              <w:right w:val="single" w:sz="12" w:space="0" w:color="auto"/>
            </w:tcBorders>
            <w:vAlign w:val="center"/>
          </w:tcPr>
          <w:p w14:paraId="59F12DD1"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572</w:t>
            </w:r>
          </w:p>
        </w:tc>
        <w:tc>
          <w:tcPr>
            <w:tcW w:w="1530" w:type="dxa"/>
            <w:tcBorders>
              <w:left w:val="single" w:sz="12" w:space="0" w:color="auto"/>
              <w:right w:val="single" w:sz="12" w:space="0" w:color="auto"/>
            </w:tcBorders>
            <w:vAlign w:val="center"/>
          </w:tcPr>
          <w:p w14:paraId="14778212"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High</w:t>
            </w:r>
          </w:p>
        </w:tc>
      </w:tr>
      <w:tr w:rsidR="00576735" w:rsidRPr="0007416D" w14:paraId="1C4E52F8" w14:textId="77777777" w:rsidTr="00F370E8">
        <w:trPr>
          <w:trHeight w:val="65"/>
          <w:jc w:val="center"/>
        </w:trPr>
        <w:tc>
          <w:tcPr>
            <w:tcW w:w="1979" w:type="dxa"/>
            <w:tcBorders>
              <w:left w:val="single" w:sz="12" w:space="0" w:color="auto"/>
              <w:right w:val="single" w:sz="12" w:space="0" w:color="auto"/>
            </w:tcBorders>
            <w:noWrap/>
            <w:vAlign w:val="center"/>
          </w:tcPr>
          <w:p w14:paraId="05059AB4"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Kuraman</w:t>
            </w:r>
          </w:p>
        </w:tc>
        <w:tc>
          <w:tcPr>
            <w:tcW w:w="900" w:type="dxa"/>
            <w:tcBorders>
              <w:left w:val="single" w:sz="12" w:space="0" w:color="auto"/>
              <w:right w:val="single" w:sz="12" w:space="0" w:color="auto"/>
            </w:tcBorders>
            <w:noWrap/>
            <w:vAlign w:val="center"/>
          </w:tcPr>
          <w:p w14:paraId="430CAC21"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1,339</w:t>
            </w:r>
          </w:p>
        </w:tc>
        <w:tc>
          <w:tcPr>
            <w:tcW w:w="1088" w:type="dxa"/>
            <w:tcBorders>
              <w:left w:val="single" w:sz="12" w:space="0" w:color="auto"/>
              <w:right w:val="single" w:sz="12" w:space="0" w:color="auto"/>
            </w:tcBorders>
            <w:noWrap/>
            <w:vAlign w:val="center"/>
          </w:tcPr>
          <w:p w14:paraId="5834456E"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685865D3"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p>
        </w:tc>
        <w:tc>
          <w:tcPr>
            <w:tcW w:w="1260" w:type="dxa"/>
            <w:tcBorders>
              <w:left w:val="single" w:sz="12" w:space="0" w:color="auto"/>
              <w:right w:val="single" w:sz="12" w:space="0" w:color="auto"/>
            </w:tcBorders>
            <w:vAlign w:val="center"/>
          </w:tcPr>
          <w:p w14:paraId="224739D4"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870</w:t>
            </w:r>
          </w:p>
        </w:tc>
        <w:tc>
          <w:tcPr>
            <w:tcW w:w="1530" w:type="dxa"/>
            <w:tcBorders>
              <w:left w:val="single" w:sz="12" w:space="0" w:color="auto"/>
              <w:right w:val="single" w:sz="12" w:space="0" w:color="auto"/>
            </w:tcBorders>
            <w:vAlign w:val="center"/>
          </w:tcPr>
          <w:p w14:paraId="21823C41"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Low</w:t>
            </w:r>
          </w:p>
        </w:tc>
      </w:tr>
      <w:tr w:rsidR="00576735" w:rsidRPr="0007416D" w14:paraId="299686EA" w14:textId="77777777" w:rsidTr="00F370E8">
        <w:trPr>
          <w:trHeight w:val="65"/>
          <w:jc w:val="center"/>
        </w:trPr>
        <w:tc>
          <w:tcPr>
            <w:tcW w:w="1979" w:type="dxa"/>
            <w:tcBorders>
              <w:left w:val="single" w:sz="12" w:space="0" w:color="auto"/>
              <w:right w:val="single" w:sz="12" w:space="0" w:color="auto"/>
            </w:tcBorders>
            <w:noWrap/>
            <w:vAlign w:val="center"/>
          </w:tcPr>
          <w:p w14:paraId="03D1C745"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Rusukan Besar</w:t>
            </w:r>
          </w:p>
        </w:tc>
        <w:tc>
          <w:tcPr>
            <w:tcW w:w="900" w:type="dxa"/>
            <w:tcBorders>
              <w:left w:val="single" w:sz="12" w:space="0" w:color="auto"/>
              <w:right w:val="single" w:sz="12" w:space="0" w:color="auto"/>
            </w:tcBorders>
            <w:noWrap/>
            <w:vAlign w:val="center"/>
          </w:tcPr>
          <w:p w14:paraId="21D64702"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894</w:t>
            </w:r>
          </w:p>
        </w:tc>
        <w:tc>
          <w:tcPr>
            <w:tcW w:w="1088" w:type="dxa"/>
            <w:tcBorders>
              <w:left w:val="single" w:sz="12" w:space="0" w:color="auto"/>
              <w:right w:val="single" w:sz="12" w:space="0" w:color="auto"/>
            </w:tcBorders>
            <w:noWrap/>
            <w:vAlign w:val="center"/>
          </w:tcPr>
          <w:p w14:paraId="346EE042"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right w:val="single" w:sz="12" w:space="0" w:color="auto"/>
            </w:tcBorders>
            <w:vAlign w:val="center"/>
          </w:tcPr>
          <w:p w14:paraId="1C9E1739"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p>
        </w:tc>
        <w:tc>
          <w:tcPr>
            <w:tcW w:w="1260" w:type="dxa"/>
            <w:tcBorders>
              <w:left w:val="single" w:sz="12" w:space="0" w:color="auto"/>
              <w:right w:val="single" w:sz="12" w:space="0" w:color="auto"/>
            </w:tcBorders>
            <w:vAlign w:val="center"/>
          </w:tcPr>
          <w:p w14:paraId="77EDB7FA"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581</w:t>
            </w:r>
          </w:p>
        </w:tc>
        <w:tc>
          <w:tcPr>
            <w:tcW w:w="1530" w:type="dxa"/>
            <w:tcBorders>
              <w:left w:val="single" w:sz="12" w:space="0" w:color="auto"/>
              <w:right w:val="single" w:sz="12" w:space="0" w:color="auto"/>
            </w:tcBorders>
            <w:vAlign w:val="center"/>
          </w:tcPr>
          <w:p w14:paraId="75B7DC97"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Low</w:t>
            </w:r>
          </w:p>
        </w:tc>
      </w:tr>
      <w:tr w:rsidR="00576735" w:rsidRPr="0007416D" w14:paraId="1760BD19" w14:textId="77777777" w:rsidTr="00F370E8">
        <w:trPr>
          <w:trHeight w:val="65"/>
          <w:jc w:val="center"/>
        </w:trPr>
        <w:tc>
          <w:tcPr>
            <w:tcW w:w="1979" w:type="dxa"/>
            <w:tcBorders>
              <w:left w:val="single" w:sz="12" w:space="0" w:color="auto"/>
              <w:bottom w:val="single" w:sz="12" w:space="0" w:color="auto"/>
              <w:right w:val="single" w:sz="12" w:space="0" w:color="auto"/>
            </w:tcBorders>
            <w:noWrap/>
            <w:vAlign w:val="center"/>
          </w:tcPr>
          <w:p w14:paraId="0EC294CE"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Pulau Rusukan Kecil</w:t>
            </w:r>
          </w:p>
        </w:tc>
        <w:tc>
          <w:tcPr>
            <w:tcW w:w="900" w:type="dxa"/>
            <w:tcBorders>
              <w:left w:val="single" w:sz="12" w:space="0" w:color="auto"/>
              <w:bottom w:val="single" w:sz="12" w:space="0" w:color="auto"/>
              <w:right w:val="single" w:sz="12" w:space="0" w:color="auto"/>
            </w:tcBorders>
            <w:noWrap/>
            <w:vAlign w:val="center"/>
          </w:tcPr>
          <w:p w14:paraId="59D3557C"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930</w:t>
            </w:r>
          </w:p>
        </w:tc>
        <w:tc>
          <w:tcPr>
            <w:tcW w:w="1088" w:type="dxa"/>
            <w:tcBorders>
              <w:left w:val="single" w:sz="12" w:space="0" w:color="auto"/>
              <w:bottom w:val="single" w:sz="12" w:space="0" w:color="auto"/>
              <w:right w:val="single" w:sz="12" w:space="0" w:color="auto"/>
            </w:tcBorders>
            <w:noWrap/>
            <w:vAlign w:val="center"/>
          </w:tcPr>
          <w:p w14:paraId="1B836E29"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bottom w:val="single" w:sz="12" w:space="0" w:color="auto"/>
              <w:right w:val="single" w:sz="12" w:space="0" w:color="auto"/>
            </w:tcBorders>
            <w:vAlign w:val="center"/>
          </w:tcPr>
          <w:p w14:paraId="1C25D4E4"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p>
        </w:tc>
        <w:tc>
          <w:tcPr>
            <w:tcW w:w="1260" w:type="dxa"/>
            <w:tcBorders>
              <w:left w:val="single" w:sz="12" w:space="0" w:color="auto"/>
              <w:bottom w:val="single" w:sz="12" w:space="0" w:color="auto"/>
              <w:right w:val="single" w:sz="12" w:space="0" w:color="auto"/>
            </w:tcBorders>
            <w:vAlign w:val="center"/>
          </w:tcPr>
          <w:p w14:paraId="7264F8EE"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605</w:t>
            </w:r>
          </w:p>
        </w:tc>
        <w:tc>
          <w:tcPr>
            <w:tcW w:w="1530" w:type="dxa"/>
            <w:tcBorders>
              <w:left w:val="single" w:sz="12" w:space="0" w:color="auto"/>
              <w:bottom w:val="single" w:sz="12" w:space="0" w:color="auto"/>
              <w:right w:val="single" w:sz="12" w:space="0" w:color="auto"/>
            </w:tcBorders>
            <w:vAlign w:val="center"/>
          </w:tcPr>
          <w:p w14:paraId="26AEB4F4"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Low</w:t>
            </w:r>
          </w:p>
        </w:tc>
      </w:tr>
      <w:tr w:rsidR="00576735" w:rsidRPr="0007416D" w14:paraId="158533DC" w14:textId="77777777" w:rsidTr="00F370E8">
        <w:trPr>
          <w:trHeight w:val="65"/>
          <w:jc w:val="center"/>
        </w:trPr>
        <w:tc>
          <w:tcPr>
            <w:tcW w:w="1979" w:type="dxa"/>
            <w:tcBorders>
              <w:top w:val="single" w:sz="12" w:space="0" w:color="auto"/>
              <w:left w:val="single" w:sz="12" w:space="0" w:color="auto"/>
              <w:right w:val="single" w:sz="12" w:space="0" w:color="auto"/>
            </w:tcBorders>
            <w:noWrap/>
            <w:vAlign w:val="center"/>
          </w:tcPr>
          <w:p w14:paraId="7543345B" w14:textId="77777777" w:rsidR="00576735" w:rsidRPr="00576735" w:rsidRDefault="00576735" w:rsidP="00576735">
            <w:pPr>
              <w:widowControl w:val="0"/>
              <w:autoSpaceDE w:val="0"/>
              <w:autoSpaceDN w:val="0"/>
              <w:adjustRightInd w:val="0"/>
              <w:rPr>
                <w:rFonts w:ascii="Arial" w:hAnsi="Arial" w:cs="Angsana New"/>
                <w:b/>
                <w:sz w:val="16"/>
                <w:lang w:val="en-GB"/>
              </w:rPr>
            </w:pPr>
            <w:bookmarkStart w:id="78" w:name="_Toc173721973"/>
            <w:bookmarkStart w:id="79" w:name="_Toc182740865"/>
            <w:bookmarkStart w:id="80" w:name="_Toc187120297"/>
            <w:r w:rsidRPr="00576735">
              <w:rPr>
                <w:rFonts w:ascii="Arial" w:hAnsi="Arial" w:cs="Angsana New"/>
                <w:b/>
                <w:sz w:val="16"/>
                <w:lang w:val="en-GB"/>
              </w:rPr>
              <w:t>Philippines</w:t>
            </w:r>
            <w:bookmarkEnd w:id="78"/>
            <w:bookmarkEnd w:id="79"/>
            <w:bookmarkEnd w:id="80"/>
          </w:p>
        </w:tc>
        <w:tc>
          <w:tcPr>
            <w:tcW w:w="900" w:type="dxa"/>
            <w:tcBorders>
              <w:top w:val="single" w:sz="12" w:space="0" w:color="auto"/>
              <w:left w:val="single" w:sz="12" w:space="0" w:color="auto"/>
              <w:right w:val="single" w:sz="12" w:space="0" w:color="auto"/>
            </w:tcBorders>
            <w:noWrap/>
            <w:vAlign w:val="center"/>
          </w:tcPr>
          <w:p w14:paraId="2E3C83D1" w14:textId="77777777" w:rsidR="00576735" w:rsidRPr="00576735" w:rsidRDefault="00576735" w:rsidP="00576735">
            <w:pPr>
              <w:jc w:val="right"/>
              <w:rPr>
                <w:rFonts w:ascii="Arial" w:hAnsi="Arial" w:cs="Angsana New"/>
                <w:b/>
                <w:sz w:val="16"/>
                <w:lang w:val="en-GB"/>
              </w:rPr>
            </w:pPr>
            <w:r w:rsidRPr="00576735">
              <w:rPr>
                <w:rFonts w:ascii="Arial" w:hAnsi="Arial" w:cs="Angsana New"/>
                <w:b/>
                <w:sz w:val="16"/>
                <w:lang w:val="en-GB"/>
              </w:rPr>
              <w:t>464,000</w:t>
            </w:r>
          </w:p>
        </w:tc>
        <w:tc>
          <w:tcPr>
            <w:tcW w:w="1088" w:type="dxa"/>
            <w:tcBorders>
              <w:top w:val="single" w:sz="12" w:space="0" w:color="auto"/>
              <w:left w:val="single" w:sz="12" w:space="0" w:color="auto"/>
              <w:right w:val="single" w:sz="12" w:space="0" w:color="auto"/>
            </w:tcBorders>
            <w:noWrap/>
            <w:vAlign w:val="center"/>
          </w:tcPr>
          <w:p w14:paraId="6299AD09" w14:textId="77777777" w:rsidR="00576735" w:rsidRPr="00576735" w:rsidRDefault="00576735" w:rsidP="00576735">
            <w:pPr>
              <w:widowControl w:val="0"/>
              <w:autoSpaceDE w:val="0"/>
              <w:autoSpaceDN w:val="0"/>
              <w:adjustRightInd w:val="0"/>
              <w:jc w:val="center"/>
              <w:rPr>
                <w:rFonts w:ascii="Arial" w:hAnsi="Arial" w:cs="Angsana New"/>
                <w:b/>
                <w:sz w:val="16"/>
                <w:lang w:val="en-GB"/>
              </w:rPr>
            </w:pPr>
          </w:p>
        </w:tc>
        <w:tc>
          <w:tcPr>
            <w:tcW w:w="2243" w:type="dxa"/>
            <w:tcBorders>
              <w:top w:val="single" w:sz="12" w:space="0" w:color="auto"/>
              <w:left w:val="single" w:sz="12" w:space="0" w:color="auto"/>
              <w:right w:val="single" w:sz="12" w:space="0" w:color="auto"/>
            </w:tcBorders>
            <w:vAlign w:val="center"/>
          </w:tcPr>
          <w:p w14:paraId="3C901061" w14:textId="77777777" w:rsidR="00576735" w:rsidRPr="00576735" w:rsidRDefault="00576735" w:rsidP="00576735">
            <w:pPr>
              <w:rPr>
                <w:rFonts w:ascii="Arial" w:hAnsi="Arial" w:cs="Angsana New"/>
                <w:b/>
                <w:sz w:val="16"/>
                <w:lang w:val="en-GB"/>
              </w:rPr>
            </w:pPr>
          </w:p>
        </w:tc>
        <w:tc>
          <w:tcPr>
            <w:tcW w:w="1260" w:type="dxa"/>
            <w:tcBorders>
              <w:top w:val="single" w:sz="12" w:space="0" w:color="auto"/>
              <w:left w:val="single" w:sz="12" w:space="0" w:color="auto"/>
              <w:right w:val="single" w:sz="12" w:space="0" w:color="auto"/>
            </w:tcBorders>
            <w:vAlign w:val="center"/>
          </w:tcPr>
          <w:p w14:paraId="7DD13878" w14:textId="77777777" w:rsidR="00576735" w:rsidRPr="00576735" w:rsidRDefault="00576735" w:rsidP="00576735">
            <w:pPr>
              <w:jc w:val="right"/>
              <w:rPr>
                <w:rFonts w:ascii="Arial" w:hAnsi="Arial" w:cs="Angsana New"/>
                <w:b/>
                <w:sz w:val="16"/>
                <w:lang w:val="en-GB"/>
              </w:rPr>
            </w:pPr>
            <w:r w:rsidRPr="00576735">
              <w:rPr>
                <w:rFonts w:ascii="Arial" w:hAnsi="Arial" w:cs="Angsana New"/>
                <w:b/>
                <w:sz w:val="16"/>
                <w:lang w:val="en-GB"/>
              </w:rPr>
              <w:t>2,390</w:t>
            </w:r>
          </w:p>
        </w:tc>
        <w:tc>
          <w:tcPr>
            <w:tcW w:w="1530" w:type="dxa"/>
            <w:tcBorders>
              <w:top w:val="single" w:sz="12" w:space="0" w:color="auto"/>
              <w:left w:val="single" w:sz="12" w:space="0" w:color="auto"/>
              <w:right w:val="single" w:sz="12" w:space="0" w:color="auto"/>
            </w:tcBorders>
            <w:vAlign w:val="center"/>
          </w:tcPr>
          <w:p w14:paraId="5E704EA0" w14:textId="77777777" w:rsidR="00576735" w:rsidRPr="00576735" w:rsidRDefault="00576735" w:rsidP="00576735">
            <w:pPr>
              <w:jc w:val="center"/>
              <w:rPr>
                <w:rFonts w:ascii="Arial" w:hAnsi="Arial" w:cs="Angsana New"/>
                <w:b/>
                <w:sz w:val="16"/>
                <w:lang w:val="en-GB"/>
              </w:rPr>
            </w:pPr>
          </w:p>
        </w:tc>
      </w:tr>
      <w:tr w:rsidR="00576735" w:rsidRPr="0007416D" w14:paraId="74650184" w14:textId="77777777" w:rsidTr="00F370E8">
        <w:trPr>
          <w:trHeight w:val="65"/>
          <w:jc w:val="center"/>
        </w:trPr>
        <w:tc>
          <w:tcPr>
            <w:tcW w:w="1979" w:type="dxa"/>
            <w:tcBorders>
              <w:left w:val="single" w:sz="12" w:space="0" w:color="auto"/>
              <w:right w:val="single" w:sz="12" w:space="0" w:color="auto"/>
            </w:tcBorders>
            <w:noWrap/>
            <w:vAlign w:val="center"/>
          </w:tcPr>
          <w:p w14:paraId="32232955"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Batanes</w:t>
            </w:r>
          </w:p>
        </w:tc>
        <w:tc>
          <w:tcPr>
            <w:tcW w:w="900" w:type="dxa"/>
            <w:tcBorders>
              <w:left w:val="single" w:sz="12" w:space="0" w:color="auto"/>
              <w:right w:val="single" w:sz="12" w:space="0" w:color="auto"/>
            </w:tcBorders>
            <w:noWrap/>
            <w:vAlign w:val="center"/>
          </w:tcPr>
          <w:p w14:paraId="09F57461"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2,050</w:t>
            </w:r>
          </w:p>
        </w:tc>
        <w:tc>
          <w:tcPr>
            <w:tcW w:w="1088" w:type="dxa"/>
            <w:tcBorders>
              <w:left w:val="single" w:sz="12" w:space="0" w:color="auto"/>
              <w:right w:val="single" w:sz="12" w:space="0" w:color="auto"/>
            </w:tcBorders>
            <w:noWrap/>
            <w:vAlign w:val="center"/>
          </w:tcPr>
          <w:p w14:paraId="287E6031"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55</w:t>
            </w:r>
          </w:p>
        </w:tc>
        <w:tc>
          <w:tcPr>
            <w:tcW w:w="2243" w:type="dxa"/>
            <w:tcBorders>
              <w:left w:val="single" w:sz="12" w:space="0" w:color="auto"/>
              <w:right w:val="single" w:sz="12" w:space="0" w:color="auto"/>
            </w:tcBorders>
            <w:vAlign w:val="center"/>
          </w:tcPr>
          <w:p w14:paraId="133CFF10"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Protected Land/Seascape</w:t>
            </w:r>
          </w:p>
        </w:tc>
        <w:tc>
          <w:tcPr>
            <w:tcW w:w="1260" w:type="dxa"/>
            <w:tcBorders>
              <w:left w:val="single" w:sz="12" w:space="0" w:color="auto"/>
              <w:right w:val="single" w:sz="12" w:space="0" w:color="auto"/>
            </w:tcBorders>
            <w:vAlign w:val="center"/>
          </w:tcPr>
          <w:p w14:paraId="2611B253"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40</w:t>
            </w:r>
          </w:p>
        </w:tc>
        <w:tc>
          <w:tcPr>
            <w:tcW w:w="1530" w:type="dxa"/>
            <w:tcBorders>
              <w:left w:val="single" w:sz="12" w:space="0" w:color="auto"/>
              <w:right w:val="single" w:sz="12" w:space="0" w:color="auto"/>
            </w:tcBorders>
            <w:vAlign w:val="center"/>
          </w:tcPr>
          <w:p w14:paraId="0FF2E5C2"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3C763C90" w14:textId="77777777" w:rsidTr="00F370E8">
        <w:trPr>
          <w:trHeight w:val="65"/>
          <w:jc w:val="center"/>
        </w:trPr>
        <w:tc>
          <w:tcPr>
            <w:tcW w:w="1979" w:type="dxa"/>
            <w:tcBorders>
              <w:left w:val="single" w:sz="12" w:space="0" w:color="auto"/>
              <w:right w:val="single" w:sz="12" w:space="0" w:color="auto"/>
            </w:tcBorders>
            <w:noWrap/>
            <w:vAlign w:val="center"/>
          </w:tcPr>
          <w:p w14:paraId="61F80E13"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Bolinao/Lingayen Gulf</w:t>
            </w:r>
          </w:p>
        </w:tc>
        <w:tc>
          <w:tcPr>
            <w:tcW w:w="900" w:type="dxa"/>
            <w:tcBorders>
              <w:left w:val="single" w:sz="12" w:space="0" w:color="auto"/>
              <w:right w:val="single" w:sz="12" w:space="0" w:color="auto"/>
            </w:tcBorders>
            <w:noWrap/>
            <w:vAlign w:val="center"/>
          </w:tcPr>
          <w:p w14:paraId="0440E91D"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9,560</w:t>
            </w:r>
          </w:p>
        </w:tc>
        <w:tc>
          <w:tcPr>
            <w:tcW w:w="1088" w:type="dxa"/>
            <w:tcBorders>
              <w:left w:val="single" w:sz="12" w:space="0" w:color="auto"/>
              <w:right w:val="single" w:sz="12" w:space="0" w:color="auto"/>
            </w:tcBorders>
            <w:noWrap/>
            <w:vAlign w:val="center"/>
          </w:tcPr>
          <w:p w14:paraId="493BBAD4"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40</w:t>
            </w:r>
          </w:p>
        </w:tc>
        <w:tc>
          <w:tcPr>
            <w:tcW w:w="2243" w:type="dxa"/>
            <w:tcBorders>
              <w:left w:val="single" w:sz="12" w:space="0" w:color="auto"/>
              <w:right w:val="single" w:sz="12" w:space="0" w:color="auto"/>
            </w:tcBorders>
            <w:vAlign w:val="center"/>
          </w:tcPr>
          <w:p w14:paraId="137B20D3"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 xml:space="preserve">Municipal Coastal Development Plans &amp; National Park </w:t>
            </w:r>
          </w:p>
        </w:tc>
        <w:tc>
          <w:tcPr>
            <w:tcW w:w="1260" w:type="dxa"/>
            <w:tcBorders>
              <w:left w:val="single" w:sz="12" w:space="0" w:color="auto"/>
              <w:right w:val="single" w:sz="12" w:space="0" w:color="auto"/>
            </w:tcBorders>
            <w:vAlign w:val="center"/>
          </w:tcPr>
          <w:p w14:paraId="75A6EEE7"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750</w:t>
            </w:r>
          </w:p>
        </w:tc>
        <w:tc>
          <w:tcPr>
            <w:tcW w:w="1530" w:type="dxa"/>
            <w:tcBorders>
              <w:left w:val="single" w:sz="12" w:space="0" w:color="auto"/>
              <w:right w:val="single" w:sz="12" w:space="0" w:color="auto"/>
            </w:tcBorders>
            <w:vAlign w:val="center"/>
          </w:tcPr>
          <w:p w14:paraId="20281339"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5EB57B45" w14:textId="77777777" w:rsidTr="00F370E8">
        <w:trPr>
          <w:trHeight w:val="65"/>
          <w:jc w:val="center"/>
        </w:trPr>
        <w:tc>
          <w:tcPr>
            <w:tcW w:w="1979" w:type="dxa"/>
            <w:tcBorders>
              <w:left w:val="single" w:sz="12" w:space="0" w:color="auto"/>
              <w:right w:val="single" w:sz="12" w:space="0" w:color="auto"/>
            </w:tcBorders>
            <w:noWrap/>
            <w:vAlign w:val="center"/>
          </w:tcPr>
          <w:p w14:paraId="1EFE2566"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Masinloc, Zambales</w:t>
            </w:r>
          </w:p>
        </w:tc>
        <w:tc>
          <w:tcPr>
            <w:tcW w:w="900" w:type="dxa"/>
            <w:tcBorders>
              <w:left w:val="single" w:sz="12" w:space="0" w:color="auto"/>
              <w:right w:val="single" w:sz="12" w:space="0" w:color="auto"/>
            </w:tcBorders>
            <w:noWrap/>
            <w:vAlign w:val="center"/>
          </w:tcPr>
          <w:p w14:paraId="16ED7FAA"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2,000</w:t>
            </w:r>
          </w:p>
        </w:tc>
        <w:tc>
          <w:tcPr>
            <w:tcW w:w="1088" w:type="dxa"/>
            <w:tcBorders>
              <w:left w:val="single" w:sz="12" w:space="0" w:color="auto"/>
              <w:right w:val="single" w:sz="12" w:space="0" w:color="auto"/>
            </w:tcBorders>
            <w:noWrap/>
            <w:vAlign w:val="center"/>
          </w:tcPr>
          <w:p w14:paraId="30476CC8"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31</w:t>
            </w:r>
          </w:p>
        </w:tc>
        <w:tc>
          <w:tcPr>
            <w:tcW w:w="2243" w:type="dxa"/>
            <w:tcBorders>
              <w:left w:val="single" w:sz="12" w:space="0" w:color="auto"/>
              <w:right w:val="single" w:sz="12" w:space="0" w:color="auto"/>
            </w:tcBorders>
            <w:vAlign w:val="center"/>
          </w:tcPr>
          <w:p w14:paraId="3F250E32"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Protected Land/Seascape &amp; Fish Sanctuary</w:t>
            </w:r>
          </w:p>
        </w:tc>
        <w:tc>
          <w:tcPr>
            <w:tcW w:w="1260" w:type="dxa"/>
            <w:tcBorders>
              <w:left w:val="single" w:sz="12" w:space="0" w:color="auto"/>
              <w:right w:val="single" w:sz="12" w:space="0" w:color="auto"/>
            </w:tcBorders>
            <w:vAlign w:val="center"/>
          </w:tcPr>
          <w:p w14:paraId="0B9E7054"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120</w:t>
            </w:r>
          </w:p>
        </w:tc>
        <w:tc>
          <w:tcPr>
            <w:tcW w:w="1530" w:type="dxa"/>
            <w:tcBorders>
              <w:left w:val="single" w:sz="12" w:space="0" w:color="auto"/>
              <w:right w:val="single" w:sz="12" w:space="0" w:color="auto"/>
            </w:tcBorders>
            <w:vAlign w:val="center"/>
          </w:tcPr>
          <w:p w14:paraId="58480A06"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2C8A5DEA" w14:textId="77777777" w:rsidTr="00F370E8">
        <w:trPr>
          <w:trHeight w:val="65"/>
          <w:jc w:val="center"/>
        </w:trPr>
        <w:tc>
          <w:tcPr>
            <w:tcW w:w="1979" w:type="dxa"/>
            <w:tcBorders>
              <w:left w:val="single" w:sz="12" w:space="0" w:color="auto"/>
              <w:right w:val="single" w:sz="12" w:space="0" w:color="auto"/>
            </w:tcBorders>
            <w:noWrap/>
            <w:vAlign w:val="center"/>
          </w:tcPr>
          <w:p w14:paraId="7346DFE7"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 xml:space="preserve">Batangas </w:t>
            </w:r>
            <w:smartTag w:uri="urn:schemas-microsoft-com:office:smarttags" w:element="PlaceType">
              <w:r w:rsidRPr="00576735">
                <w:rPr>
                  <w:rFonts w:ascii="Arial" w:hAnsi="Arial" w:cs="Angsana New"/>
                  <w:sz w:val="16"/>
                  <w:lang w:val="en-GB"/>
                </w:rPr>
                <w:t>Bay</w:t>
              </w:r>
            </w:smartTag>
            <w:r w:rsidRPr="00576735">
              <w:rPr>
                <w:rFonts w:ascii="Arial" w:hAnsi="Arial" w:cs="Angsana New"/>
                <w:sz w:val="16"/>
                <w:lang w:val="en-GB"/>
              </w:rPr>
              <w:t xml:space="preserve">, </w:t>
            </w:r>
            <w:smartTag w:uri="urn:schemas-microsoft-com:office:smarttags" w:element="place">
              <w:smartTag w:uri="urn:schemas-microsoft-com:office:smarttags" w:element="PlaceName">
                <w:r w:rsidRPr="00576735">
                  <w:rPr>
                    <w:rFonts w:ascii="Arial" w:hAnsi="Arial" w:cs="Angsana New"/>
                    <w:sz w:val="16"/>
                    <w:lang w:val="en-GB"/>
                  </w:rPr>
                  <w:t>Maricaban</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Strait</w:t>
                </w:r>
              </w:smartTag>
            </w:smartTag>
          </w:p>
        </w:tc>
        <w:tc>
          <w:tcPr>
            <w:tcW w:w="900" w:type="dxa"/>
            <w:tcBorders>
              <w:left w:val="single" w:sz="12" w:space="0" w:color="auto"/>
              <w:right w:val="single" w:sz="12" w:space="0" w:color="auto"/>
            </w:tcBorders>
            <w:noWrap/>
            <w:vAlign w:val="center"/>
          </w:tcPr>
          <w:p w14:paraId="010898F5"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100</w:t>
            </w:r>
          </w:p>
        </w:tc>
        <w:tc>
          <w:tcPr>
            <w:tcW w:w="1088" w:type="dxa"/>
            <w:tcBorders>
              <w:left w:val="single" w:sz="12" w:space="0" w:color="auto"/>
              <w:right w:val="single" w:sz="12" w:space="0" w:color="auto"/>
            </w:tcBorders>
            <w:noWrap/>
            <w:vAlign w:val="center"/>
          </w:tcPr>
          <w:p w14:paraId="41E0A22E"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52</w:t>
            </w:r>
          </w:p>
        </w:tc>
        <w:tc>
          <w:tcPr>
            <w:tcW w:w="2243" w:type="dxa"/>
            <w:tcBorders>
              <w:left w:val="single" w:sz="12" w:space="0" w:color="auto"/>
              <w:right w:val="single" w:sz="12" w:space="0" w:color="auto"/>
            </w:tcBorders>
            <w:vAlign w:val="center"/>
          </w:tcPr>
          <w:p w14:paraId="61BA9ADF"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Marine Tourism Reserve</w:t>
            </w:r>
          </w:p>
        </w:tc>
        <w:tc>
          <w:tcPr>
            <w:tcW w:w="1260" w:type="dxa"/>
            <w:tcBorders>
              <w:left w:val="single" w:sz="12" w:space="0" w:color="auto"/>
              <w:right w:val="single" w:sz="12" w:space="0" w:color="auto"/>
            </w:tcBorders>
            <w:vAlign w:val="center"/>
          </w:tcPr>
          <w:p w14:paraId="4ED45259"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80</w:t>
            </w:r>
          </w:p>
        </w:tc>
        <w:tc>
          <w:tcPr>
            <w:tcW w:w="1530" w:type="dxa"/>
            <w:tcBorders>
              <w:left w:val="single" w:sz="12" w:space="0" w:color="auto"/>
              <w:right w:val="single" w:sz="12" w:space="0" w:color="auto"/>
            </w:tcBorders>
            <w:vAlign w:val="center"/>
          </w:tcPr>
          <w:p w14:paraId="42680B68"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1D498F78" w14:textId="77777777" w:rsidTr="00F370E8">
        <w:trPr>
          <w:trHeight w:val="65"/>
          <w:jc w:val="center"/>
        </w:trPr>
        <w:tc>
          <w:tcPr>
            <w:tcW w:w="1979" w:type="dxa"/>
            <w:tcBorders>
              <w:left w:val="single" w:sz="12" w:space="0" w:color="auto"/>
              <w:right w:val="single" w:sz="12" w:space="0" w:color="auto"/>
            </w:tcBorders>
            <w:noWrap/>
            <w:vAlign w:val="center"/>
          </w:tcPr>
          <w:p w14:paraId="53419846"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 xml:space="preserve">Puerto Galera, </w:t>
            </w:r>
            <w:smartTag w:uri="urn:schemas-microsoft-com:office:smarttags" w:element="place">
              <w:r w:rsidRPr="00576735">
                <w:rPr>
                  <w:rFonts w:ascii="Arial" w:hAnsi="Arial" w:cs="Angsana New"/>
                  <w:sz w:val="16"/>
                  <w:lang w:val="en-GB"/>
                </w:rPr>
                <w:t>Mindoro</w:t>
              </w:r>
            </w:smartTag>
          </w:p>
        </w:tc>
        <w:tc>
          <w:tcPr>
            <w:tcW w:w="900" w:type="dxa"/>
            <w:tcBorders>
              <w:left w:val="single" w:sz="12" w:space="0" w:color="auto"/>
              <w:right w:val="single" w:sz="12" w:space="0" w:color="auto"/>
            </w:tcBorders>
            <w:noWrap/>
            <w:vAlign w:val="center"/>
          </w:tcPr>
          <w:p w14:paraId="167B8D19"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48</w:t>
            </w:r>
          </w:p>
        </w:tc>
        <w:tc>
          <w:tcPr>
            <w:tcW w:w="1088" w:type="dxa"/>
            <w:tcBorders>
              <w:left w:val="single" w:sz="12" w:space="0" w:color="auto"/>
              <w:right w:val="single" w:sz="12" w:space="0" w:color="auto"/>
            </w:tcBorders>
            <w:noWrap/>
            <w:vAlign w:val="center"/>
          </w:tcPr>
          <w:p w14:paraId="1CE0BF7E"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22</w:t>
            </w:r>
          </w:p>
        </w:tc>
        <w:tc>
          <w:tcPr>
            <w:tcW w:w="2243" w:type="dxa"/>
            <w:tcBorders>
              <w:left w:val="single" w:sz="12" w:space="0" w:color="auto"/>
              <w:right w:val="single" w:sz="12" w:space="0" w:color="auto"/>
            </w:tcBorders>
            <w:vAlign w:val="center"/>
          </w:tcPr>
          <w:p w14:paraId="751EFC38"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 xml:space="preserve">Man &amp; Biosphere Reserve </w:t>
            </w:r>
          </w:p>
        </w:tc>
        <w:tc>
          <w:tcPr>
            <w:tcW w:w="1260" w:type="dxa"/>
            <w:tcBorders>
              <w:left w:val="single" w:sz="12" w:space="0" w:color="auto"/>
              <w:right w:val="single" w:sz="12" w:space="0" w:color="auto"/>
            </w:tcBorders>
            <w:vAlign w:val="center"/>
          </w:tcPr>
          <w:p w14:paraId="40BEDA11"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20</w:t>
            </w:r>
          </w:p>
        </w:tc>
        <w:tc>
          <w:tcPr>
            <w:tcW w:w="1530" w:type="dxa"/>
            <w:tcBorders>
              <w:left w:val="single" w:sz="12" w:space="0" w:color="auto"/>
              <w:right w:val="single" w:sz="12" w:space="0" w:color="auto"/>
            </w:tcBorders>
            <w:vAlign w:val="center"/>
          </w:tcPr>
          <w:p w14:paraId="74C0A367"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1E23B085" w14:textId="77777777" w:rsidTr="00F370E8">
        <w:trPr>
          <w:trHeight w:val="65"/>
          <w:jc w:val="center"/>
        </w:trPr>
        <w:tc>
          <w:tcPr>
            <w:tcW w:w="1979" w:type="dxa"/>
            <w:tcBorders>
              <w:left w:val="single" w:sz="12" w:space="0" w:color="auto"/>
              <w:right w:val="single" w:sz="12" w:space="0" w:color="auto"/>
            </w:tcBorders>
            <w:noWrap/>
            <w:vAlign w:val="center"/>
          </w:tcPr>
          <w:p w14:paraId="2A11BB8C"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 xml:space="preserve">Calamianes Group of </w:t>
            </w:r>
            <w:smartTag w:uri="urn:schemas-microsoft-com:office:smarttags" w:element="place">
              <w:r w:rsidRPr="00576735">
                <w:rPr>
                  <w:rFonts w:ascii="Arial" w:hAnsi="Arial" w:cs="Angsana New"/>
                  <w:sz w:val="16"/>
                  <w:lang w:val="en-GB"/>
                </w:rPr>
                <w:t>Islands</w:t>
              </w:r>
            </w:smartTag>
          </w:p>
        </w:tc>
        <w:tc>
          <w:tcPr>
            <w:tcW w:w="900" w:type="dxa"/>
            <w:tcBorders>
              <w:left w:val="single" w:sz="12" w:space="0" w:color="auto"/>
              <w:right w:val="single" w:sz="12" w:space="0" w:color="auto"/>
            </w:tcBorders>
            <w:noWrap/>
            <w:vAlign w:val="center"/>
          </w:tcPr>
          <w:p w14:paraId="0554B23E"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18,200</w:t>
            </w:r>
          </w:p>
        </w:tc>
        <w:tc>
          <w:tcPr>
            <w:tcW w:w="1088" w:type="dxa"/>
            <w:tcBorders>
              <w:left w:val="single" w:sz="12" w:space="0" w:color="auto"/>
              <w:right w:val="single" w:sz="12" w:space="0" w:color="auto"/>
            </w:tcBorders>
            <w:noWrap/>
            <w:vAlign w:val="center"/>
          </w:tcPr>
          <w:p w14:paraId="1D46B9D6"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29</w:t>
            </w:r>
          </w:p>
        </w:tc>
        <w:tc>
          <w:tcPr>
            <w:tcW w:w="2243" w:type="dxa"/>
            <w:tcBorders>
              <w:left w:val="single" w:sz="12" w:space="0" w:color="auto"/>
              <w:right w:val="single" w:sz="12" w:space="0" w:color="auto"/>
            </w:tcBorders>
            <w:vAlign w:val="center"/>
          </w:tcPr>
          <w:p w14:paraId="3D53FAE5" w14:textId="77777777" w:rsidR="00576735" w:rsidRPr="00576735" w:rsidRDefault="00576735" w:rsidP="00576735">
            <w:pPr>
              <w:rPr>
                <w:rFonts w:ascii="Arial" w:hAnsi="Arial" w:cs="Angsana New"/>
                <w:sz w:val="16"/>
                <w:lang w:val="en-GB"/>
              </w:rPr>
            </w:pPr>
          </w:p>
        </w:tc>
        <w:tc>
          <w:tcPr>
            <w:tcW w:w="1260" w:type="dxa"/>
            <w:tcBorders>
              <w:left w:val="single" w:sz="12" w:space="0" w:color="auto"/>
              <w:right w:val="single" w:sz="12" w:space="0" w:color="auto"/>
            </w:tcBorders>
            <w:vAlign w:val="center"/>
          </w:tcPr>
          <w:p w14:paraId="59CCE6DA"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300</w:t>
            </w:r>
          </w:p>
        </w:tc>
        <w:tc>
          <w:tcPr>
            <w:tcW w:w="1530" w:type="dxa"/>
            <w:tcBorders>
              <w:left w:val="single" w:sz="12" w:space="0" w:color="auto"/>
              <w:right w:val="single" w:sz="12" w:space="0" w:color="auto"/>
            </w:tcBorders>
            <w:vAlign w:val="center"/>
          </w:tcPr>
          <w:p w14:paraId="24C113DC"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Low</w:t>
            </w:r>
          </w:p>
        </w:tc>
      </w:tr>
      <w:tr w:rsidR="00576735" w:rsidRPr="0007416D" w14:paraId="34A634F0" w14:textId="77777777" w:rsidTr="00F370E8">
        <w:trPr>
          <w:trHeight w:val="65"/>
          <w:jc w:val="center"/>
        </w:trPr>
        <w:tc>
          <w:tcPr>
            <w:tcW w:w="1979" w:type="dxa"/>
            <w:tcBorders>
              <w:left w:val="single" w:sz="12" w:space="0" w:color="auto"/>
              <w:right w:val="single" w:sz="12" w:space="0" w:color="auto"/>
            </w:tcBorders>
            <w:noWrap/>
            <w:vAlign w:val="center"/>
          </w:tcPr>
          <w:p w14:paraId="5A37B0BC"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 xml:space="preserve">El Nido, </w:t>
            </w:r>
            <w:smartTag w:uri="urn:schemas-microsoft-com:office:smarttags" w:element="place">
              <w:r w:rsidRPr="00576735">
                <w:rPr>
                  <w:rFonts w:ascii="Arial" w:hAnsi="Arial" w:cs="Angsana New"/>
                  <w:sz w:val="16"/>
                  <w:lang w:val="en-GB"/>
                </w:rPr>
                <w:t>Palawan</w:t>
              </w:r>
            </w:smartTag>
          </w:p>
        </w:tc>
        <w:tc>
          <w:tcPr>
            <w:tcW w:w="900" w:type="dxa"/>
            <w:tcBorders>
              <w:left w:val="single" w:sz="12" w:space="0" w:color="auto"/>
              <w:right w:val="single" w:sz="12" w:space="0" w:color="auto"/>
            </w:tcBorders>
            <w:noWrap/>
            <w:vAlign w:val="center"/>
          </w:tcPr>
          <w:p w14:paraId="25841502"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4,250</w:t>
            </w:r>
          </w:p>
        </w:tc>
        <w:tc>
          <w:tcPr>
            <w:tcW w:w="1088" w:type="dxa"/>
            <w:tcBorders>
              <w:left w:val="single" w:sz="12" w:space="0" w:color="auto"/>
              <w:right w:val="single" w:sz="12" w:space="0" w:color="auto"/>
            </w:tcBorders>
            <w:noWrap/>
            <w:vAlign w:val="center"/>
          </w:tcPr>
          <w:p w14:paraId="5726B91A"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21</w:t>
            </w:r>
          </w:p>
        </w:tc>
        <w:tc>
          <w:tcPr>
            <w:tcW w:w="2243" w:type="dxa"/>
            <w:tcBorders>
              <w:left w:val="single" w:sz="12" w:space="0" w:color="auto"/>
              <w:right w:val="single" w:sz="12" w:space="0" w:color="auto"/>
            </w:tcBorders>
            <w:vAlign w:val="center"/>
          </w:tcPr>
          <w:p w14:paraId="03981050"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Park</w:t>
                </w:r>
              </w:smartTag>
            </w:smartTag>
            <w:r w:rsidRPr="00576735">
              <w:rPr>
                <w:rFonts w:ascii="Arial" w:hAnsi="Arial" w:cs="Angsana New"/>
                <w:sz w:val="16"/>
                <w:lang w:val="en-GB"/>
              </w:rPr>
              <w:t xml:space="preserve"> </w:t>
            </w:r>
          </w:p>
        </w:tc>
        <w:tc>
          <w:tcPr>
            <w:tcW w:w="1260" w:type="dxa"/>
            <w:tcBorders>
              <w:left w:val="single" w:sz="12" w:space="0" w:color="auto"/>
              <w:right w:val="single" w:sz="12" w:space="0" w:color="auto"/>
            </w:tcBorders>
            <w:vAlign w:val="center"/>
          </w:tcPr>
          <w:p w14:paraId="7BB675D2"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1,000</w:t>
            </w:r>
          </w:p>
        </w:tc>
        <w:tc>
          <w:tcPr>
            <w:tcW w:w="1530" w:type="dxa"/>
            <w:tcBorders>
              <w:left w:val="single" w:sz="12" w:space="0" w:color="auto"/>
              <w:right w:val="single" w:sz="12" w:space="0" w:color="auto"/>
            </w:tcBorders>
            <w:vAlign w:val="center"/>
          </w:tcPr>
          <w:p w14:paraId="21D2F24D"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5D437CFF" w14:textId="77777777" w:rsidTr="00F370E8">
        <w:trPr>
          <w:trHeight w:val="65"/>
          <w:jc w:val="center"/>
        </w:trPr>
        <w:tc>
          <w:tcPr>
            <w:tcW w:w="1979" w:type="dxa"/>
            <w:tcBorders>
              <w:left w:val="single" w:sz="12" w:space="0" w:color="auto"/>
              <w:right w:val="single" w:sz="12" w:space="0" w:color="auto"/>
            </w:tcBorders>
            <w:noWrap/>
            <w:vAlign w:val="center"/>
          </w:tcPr>
          <w:p w14:paraId="6749A12B"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Port Barton</w:t>
            </w:r>
          </w:p>
        </w:tc>
        <w:tc>
          <w:tcPr>
            <w:tcW w:w="900" w:type="dxa"/>
            <w:tcBorders>
              <w:left w:val="single" w:sz="12" w:space="0" w:color="auto"/>
              <w:right w:val="single" w:sz="12" w:space="0" w:color="auto"/>
            </w:tcBorders>
            <w:noWrap/>
            <w:vAlign w:val="center"/>
          </w:tcPr>
          <w:p w14:paraId="0EB8E17D"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454</w:t>
            </w:r>
          </w:p>
        </w:tc>
        <w:tc>
          <w:tcPr>
            <w:tcW w:w="1088" w:type="dxa"/>
            <w:tcBorders>
              <w:left w:val="single" w:sz="12" w:space="0" w:color="auto"/>
              <w:right w:val="single" w:sz="12" w:space="0" w:color="auto"/>
            </w:tcBorders>
            <w:noWrap/>
            <w:vAlign w:val="center"/>
          </w:tcPr>
          <w:p w14:paraId="65AF3D58"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38.2</w:t>
            </w:r>
          </w:p>
        </w:tc>
        <w:tc>
          <w:tcPr>
            <w:tcW w:w="2243" w:type="dxa"/>
            <w:tcBorders>
              <w:left w:val="single" w:sz="12" w:space="0" w:color="auto"/>
              <w:right w:val="single" w:sz="12" w:space="0" w:color="auto"/>
            </w:tcBorders>
            <w:vAlign w:val="center"/>
          </w:tcPr>
          <w:p w14:paraId="0ED13702" w14:textId="77777777" w:rsidR="00576735" w:rsidRPr="00576735" w:rsidRDefault="00576735" w:rsidP="00576735">
            <w:pPr>
              <w:rPr>
                <w:rFonts w:ascii="Arial" w:hAnsi="Arial" w:cs="Angsana New"/>
                <w:sz w:val="16"/>
                <w:lang w:val="en-GB"/>
              </w:rPr>
            </w:pPr>
          </w:p>
        </w:tc>
        <w:tc>
          <w:tcPr>
            <w:tcW w:w="1260" w:type="dxa"/>
            <w:tcBorders>
              <w:left w:val="single" w:sz="12" w:space="0" w:color="auto"/>
              <w:right w:val="single" w:sz="12" w:space="0" w:color="auto"/>
            </w:tcBorders>
            <w:vAlign w:val="center"/>
          </w:tcPr>
          <w:p w14:paraId="0B37F9A2"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80</w:t>
            </w:r>
          </w:p>
        </w:tc>
        <w:tc>
          <w:tcPr>
            <w:tcW w:w="1530" w:type="dxa"/>
            <w:tcBorders>
              <w:left w:val="single" w:sz="12" w:space="0" w:color="auto"/>
              <w:right w:val="single" w:sz="12" w:space="0" w:color="auto"/>
            </w:tcBorders>
            <w:vAlign w:val="center"/>
          </w:tcPr>
          <w:p w14:paraId="7D706E46"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Low</w:t>
            </w:r>
          </w:p>
        </w:tc>
      </w:tr>
      <w:tr w:rsidR="00576735" w:rsidRPr="0007416D" w14:paraId="3DEDF943" w14:textId="77777777" w:rsidTr="00F370E8">
        <w:trPr>
          <w:trHeight w:val="65"/>
          <w:jc w:val="center"/>
        </w:trPr>
        <w:tc>
          <w:tcPr>
            <w:tcW w:w="1979" w:type="dxa"/>
            <w:tcBorders>
              <w:left w:val="single" w:sz="12" w:space="0" w:color="auto"/>
              <w:bottom w:val="single" w:sz="12" w:space="0" w:color="auto"/>
              <w:right w:val="single" w:sz="12" w:space="0" w:color="auto"/>
            </w:tcBorders>
            <w:noWrap/>
            <w:vAlign w:val="center"/>
          </w:tcPr>
          <w:p w14:paraId="011F2F5D"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 xml:space="preserve">Balabac </w:t>
            </w:r>
          </w:p>
        </w:tc>
        <w:tc>
          <w:tcPr>
            <w:tcW w:w="900" w:type="dxa"/>
            <w:tcBorders>
              <w:left w:val="single" w:sz="12" w:space="0" w:color="auto"/>
              <w:bottom w:val="single" w:sz="12" w:space="0" w:color="auto"/>
              <w:right w:val="single" w:sz="12" w:space="0" w:color="auto"/>
            </w:tcBorders>
            <w:noWrap/>
            <w:vAlign w:val="center"/>
          </w:tcPr>
          <w:p w14:paraId="2468A567"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2500</w:t>
            </w:r>
          </w:p>
        </w:tc>
        <w:tc>
          <w:tcPr>
            <w:tcW w:w="1088" w:type="dxa"/>
            <w:tcBorders>
              <w:left w:val="single" w:sz="12" w:space="0" w:color="auto"/>
              <w:bottom w:val="single" w:sz="12" w:space="0" w:color="auto"/>
              <w:right w:val="single" w:sz="12" w:space="0" w:color="auto"/>
            </w:tcBorders>
            <w:noWrap/>
            <w:vAlign w:val="center"/>
          </w:tcPr>
          <w:p w14:paraId="5D9E371C"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left w:val="single" w:sz="12" w:space="0" w:color="auto"/>
              <w:bottom w:val="single" w:sz="12" w:space="0" w:color="auto"/>
              <w:right w:val="single" w:sz="12" w:space="0" w:color="auto"/>
            </w:tcBorders>
            <w:vAlign w:val="center"/>
          </w:tcPr>
          <w:p w14:paraId="19B51896"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 xml:space="preserve">Environmental Critical Protection Zone </w:t>
            </w:r>
          </w:p>
        </w:tc>
        <w:tc>
          <w:tcPr>
            <w:tcW w:w="1260" w:type="dxa"/>
            <w:tcBorders>
              <w:left w:val="single" w:sz="12" w:space="0" w:color="auto"/>
              <w:bottom w:val="single" w:sz="12" w:space="0" w:color="auto"/>
              <w:right w:val="single" w:sz="12" w:space="0" w:color="auto"/>
            </w:tcBorders>
            <w:vAlign w:val="center"/>
          </w:tcPr>
          <w:p w14:paraId="537CE165" w14:textId="77777777" w:rsidR="00576735" w:rsidRPr="00576735" w:rsidRDefault="00576735" w:rsidP="00576735">
            <w:pPr>
              <w:rPr>
                <w:rFonts w:ascii="Arial" w:hAnsi="Arial" w:cs="Angsana New"/>
                <w:sz w:val="16"/>
                <w:lang w:val="en-GB"/>
              </w:rPr>
            </w:pPr>
          </w:p>
        </w:tc>
        <w:tc>
          <w:tcPr>
            <w:tcW w:w="1530" w:type="dxa"/>
            <w:tcBorders>
              <w:left w:val="single" w:sz="12" w:space="0" w:color="auto"/>
              <w:bottom w:val="single" w:sz="12" w:space="0" w:color="auto"/>
              <w:right w:val="single" w:sz="12" w:space="0" w:color="auto"/>
            </w:tcBorders>
            <w:vAlign w:val="center"/>
          </w:tcPr>
          <w:p w14:paraId="78DFD4A7" w14:textId="77777777" w:rsidR="00576735" w:rsidRPr="00576735" w:rsidRDefault="00576735" w:rsidP="00576735">
            <w:pPr>
              <w:jc w:val="center"/>
              <w:rPr>
                <w:rFonts w:ascii="Arial" w:hAnsi="Arial" w:cs="Angsana New"/>
                <w:sz w:val="16"/>
                <w:lang w:val="en-GB"/>
              </w:rPr>
            </w:pPr>
          </w:p>
        </w:tc>
      </w:tr>
      <w:tr w:rsidR="00576735" w:rsidRPr="0007416D" w14:paraId="337C24C9" w14:textId="77777777" w:rsidTr="00F370E8">
        <w:trPr>
          <w:trHeight w:val="65"/>
          <w:jc w:val="center"/>
        </w:trPr>
        <w:tc>
          <w:tcPr>
            <w:tcW w:w="1979" w:type="dxa"/>
            <w:tcBorders>
              <w:top w:val="single" w:sz="12" w:space="0" w:color="auto"/>
              <w:left w:val="single" w:sz="12" w:space="0" w:color="auto"/>
              <w:right w:val="single" w:sz="12" w:space="0" w:color="auto"/>
            </w:tcBorders>
            <w:noWrap/>
            <w:vAlign w:val="center"/>
          </w:tcPr>
          <w:p w14:paraId="6D805D13" w14:textId="77777777" w:rsidR="00576735" w:rsidRPr="00576735" w:rsidRDefault="00576735" w:rsidP="00576735">
            <w:pPr>
              <w:widowControl w:val="0"/>
              <w:autoSpaceDE w:val="0"/>
              <w:autoSpaceDN w:val="0"/>
              <w:adjustRightInd w:val="0"/>
              <w:rPr>
                <w:rFonts w:ascii="Arial" w:hAnsi="Arial" w:cs="Angsana New"/>
                <w:b/>
                <w:sz w:val="16"/>
                <w:lang w:val="en-GB"/>
              </w:rPr>
            </w:pPr>
            <w:r w:rsidRPr="00576735">
              <w:rPr>
                <w:rFonts w:ascii="Arial" w:hAnsi="Arial" w:cs="Angsana New"/>
                <w:b/>
                <w:sz w:val="16"/>
                <w:lang w:val="en-GB"/>
              </w:rPr>
              <w:t>Thailand</w:t>
            </w:r>
          </w:p>
        </w:tc>
        <w:tc>
          <w:tcPr>
            <w:tcW w:w="900" w:type="dxa"/>
            <w:tcBorders>
              <w:top w:val="single" w:sz="12" w:space="0" w:color="auto"/>
              <w:left w:val="single" w:sz="12" w:space="0" w:color="auto"/>
              <w:right w:val="single" w:sz="12" w:space="0" w:color="auto"/>
            </w:tcBorders>
            <w:noWrap/>
            <w:vAlign w:val="center"/>
          </w:tcPr>
          <w:p w14:paraId="707F84A8" w14:textId="77777777" w:rsidR="00576735" w:rsidRPr="00576735" w:rsidRDefault="00576735" w:rsidP="00576735">
            <w:pPr>
              <w:jc w:val="right"/>
              <w:rPr>
                <w:rFonts w:ascii="Arial" w:hAnsi="Arial" w:cs="Angsana New"/>
                <w:b/>
                <w:sz w:val="16"/>
                <w:lang w:val="en-GB"/>
              </w:rPr>
            </w:pPr>
            <w:r w:rsidRPr="00576735">
              <w:rPr>
                <w:rFonts w:ascii="Arial" w:hAnsi="Arial" w:cs="Angsana New"/>
                <w:b/>
                <w:sz w:val="16"/>
                <w:lang w:val="en-GB"/>
              </w:rPr>
              <w:t>90,000</w:t>
            </w:r>
          </w:p>
        </w:tc>
        <w:tc>
          <w:tcPr>
            <w:tcW w:w="1088" w:type="dxa"/>
            <w:tcBorders>
              <w:top w:val="single" w:sz="12" w:space="0" w:color="auto"/>
              <w:left w:val="single" w:sz="12" w:space="0" w:color="auto"/>
              <w:right w:val="single" w:sz="12" w:space="0" w:color="auto"/>
            </w:tcBorders>
            <w:noWrap/>
            <w:vAlign w:val="center"/>
          </w:tcPr>
          <w:p w14:paraId="67110A74" w14:textId="77777777" w:rsidR="00576735" w:rsidRPr="00576735" w:rsidRDefault="00576735" w:rsidP="00576735">
            <w:pPr>
              <w:widowControl w:val="0"/>
              <w:autoSpaceDE w:val="0"/>
              <w:autoSpaceDN w:val="0"/>
              <w:adjustRightInd w:val="0"/>
              <w:jc w:val="center"/>
              <w:rPr>
                <w:rFonts w:ascii="Arial" w:hAnsi="Arial" w:cs="Angsana New"/>
                <w:b/>
                <w:sz w:val="16"/>
                <w:lang w:val="en-GB"/>
              </w:rPr>
            </w:pPr>
          </w:p>
        </w:tc>
        <w:tc>
          <w:tcPr>
            <w:tcW w:w="2243" w:type="dxa"/>
            <w:tcBorders>
              <w:top w:val="single" w:sz="12" w:space="0" w:color="auto"/>
              <w:left w:val="single" w:sz="12" w:space="0" w:color="auto"/>
              <w:right w:val="single" w:sz="12" w:space="0" w:color="auto"/>
            </w:tcBorders>
            <w:vAlign w:val="center"/>
          </w:tcPr>
          <w:p w14:paraId="13CAF3DD" w14:textId="77777777" w:rsidR="00576735" w:rsidRPr="00576735" w:rsidRDefault="00576735" w:rsidP="00576735">
            <w:pPr>
              <w:rPr>
                <w:rFonts w:ascii="Arial" w:hAnsi="Arial" w:cs="Angsana New"/>
                <w:b/>
                <w:sz w:val="16"/>
                <w:lang w:val="en-GB"/>
              </w:rPr>
            </w:pPr>
          </w:p>
        </w:tc>
        <w:tc>
          <w:tcPr>
            <w:tcW w:w="1260" w:type="dxa"/>
            <w:tcBorders>
              <w:top w:val="single" w:sz="12" w:space="0" w:color="auto"/>
              <w:left w:val="single" w:sz="12" w:space="0" w:color="auto"/>
              <w:right w:val="single" w:sz="12" w:space="0" w:color="auto"/>
            </w:tcBorders>
            <w:vAlign w:val="center"/>
          </w:tcPr>
          <w:p w14:paraId="6BFA1217" w14:textId="77777777" w:rsidR="00576735" w:rsidRPr="00576735" w:rsidRDefault="00576735" w:rsidP="00576735">
            <w:pPr>
              <w:jc w:val="right"/>
              <w:rPr>
                <w:rFonts w:ascii="Arial" w:hAnsi="Arial" w:cs="Angsana New"/>
                <w:b/>
                <w:sz w:val="16"/>
                <w:lang w:val="en-GB"/>
              </w:rPr>
            </w:pPr>
            <w:r w:rsidRPr="00576735">
              <w:rPr>
                <w:rFonts w:ascii="Arial" w:hAnsi="Arial" w:cs="Angsana New"/>
                <w:b/>
                <w:sz w:val="16"/>
                <w:lang w:val="en-GB"/>
              </w:rPr>
              <w:t>54,000</w:t>
            </w:r>
          </w:p>
        </w:tc>
        <w:tc>
          <w:tcPr>
            <w:tcW w:w="1530" w:type="dxa"/>
            <w:tcBorders>
              <w:top w:val="single" w:sz="12" w:space="0" w:color="auto"/>
              <w:left w:val="single" w:sz="12" w:space="0" w:color="auto"/>
              <w:right w:val="single" w:sz="12" w:space="0" w:color="auto"/>
            </w:tcBorders>
            <w:vAlign w:val="center"/>
          </w:tcPr>
          <w:p w14:paraId="7394EE05" w14:textId="77777777" w:rsidR="00576735" w:rsidRPr="00576735" w:rsidRDefault="00576735" w:rsidP="00576735">
            <w:pPr>
              <w:jc w:val="center"/>
              <w:rPr>
                <w:rFonts w:ascii="Arial" w:hAnsi="Arial" w:cs="Angsana New"/>
                <w:sz w:val="16"/>
                <w:lang w:val="en-GB"/>
              </w:rPr>
            </w:pPr>
          </w:p>
        </w:tc>
      </w:tr>
      <w:tr w:rsidR="00576735" w:rsidRPr="0007416D" w14:paraId="424E6A87" w14:textId="77777777" w:rsidTr="00F370E8">
        <w:trPr>
          <w:trHeight w:val="65"/>
          <w:jc w:val="center"/>
        </w:trPr>
        <w:tc>
          <w:tcPr>
            <w:tcW w:w="1979" w:type="dxa"/>
            <w:tcBorders>
              <w:left w:val="single" w:sz="12" w:space="0" w:color="auto"/>
              <w:right w:val="single" w:sz="12" w:space="0" w:color="auto"/>
            </w:tcBorders>
            <w:noWrap/>
            <w:vAlign w:val="center"/>
          </w:tcPr>
          <w:p w14:paraId="3C9C0D4F"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Mu Koh Chumporn</w:t>
            </w:r>
          </w:p>
        </w:tc>
        <w:tc>
          <w:tcPr>
            <w:tcW w:w="900" w:type="dxa"/>
            <w:tcBorders>
              <w:left w:val="single" w:sz="12" w:space="0" w:color="auto"/>
              <w:right w:val="single" w:sz="12" w:space="0" w:color="auto"/>
            </w:tcBorders>
            <w:noWrap/>
            <w:vAlign w:val="center"/>
          </w:tcPr>
          <w:p w14:paraId="49B764D1"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7,790</w:t>
            </w:r>
          </w:p>
        </w:tc>
        <w:tc>
          <w:tcPr>
            <w:tcW w:w="1088" w:type="dxa"/>
            <w:tcBorders>
              <w:left w:val="single" w:sz="12" w:space="0" w:color="auto"/>
              <w:right w:val="single" w:sz="12" w:space="0" w:color="auto"/>
            </w:tcBorders>
            <w:noWrap/>
            <w:vAlign w:val="center"/>
          </w:tcPr>
          <w:p w14:paraId="1BA38CF4"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55</w:t>
            </w:r>
          </w:p>
        </w:tc>
        <w:tc>
          <w:tcPr>
            <w:tcW w:w="2243" w:type="dxa"/>
            <w:tcBorders>
              <w:left w:val="single" w:sz="12" w:space="0" w:color="auto"/>
              <w:right w:val="single" w:sz="12" w:space="0" w:color="auto"/>
            </w:tcBorders>
            <w:vAlign w:val="center"/>
          </w:tcPr>
          <w:p w14:paraId="6C633D1C"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National Park</w:t>
            </w:r>
          </w:p>
        </w:tc>
        <w:tc>
          <w:tcPr>
            <w:tcW w:w="1260" w:type="dxa"/>
            <w:tcBorders>
              <w:left w:val="single" w:sz="12" w:space="0" w:color="auto"/>
              <w:right w:val="single" w:sz="12" w:space="0" w:color="auto"/>
            </w:tcBorders>
            <w:vAlign w:val="center"/>
          </w:tcPr>
          <w:p w14:paraId="362C5E86"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7,360</w:t>
            </w:r>
          </w:p>
        </w:tc>
        <w:tc>
          <w:tcPr>
            <w:tcW w:w="1530" w:type="dxa"/>
            <w:tcBorders>
              <w:left w:val="single" w:sz="12" w:space="0" w:color="auto"/>
              <w:right w:val="single" w:sz="12" w:space="0" w:color="auto"/>
            </w:tcBorders>
            <w:vAlign w:val="center"/>
          </w:tcPr>
          <w:p w14:paraId="5F32FE30"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47974430" w14:textId="77777777" w:rsidTr="00F370E8">
        <w:trPr>
          <w:trHeight w:val="65"/>
          <w:jc w:val="center"/>
        </w:trPr>
        <w:tc>
          <w:tcPr>
            <w:tcW w:w="1979" w:type="dxa"/>
            <w:tcBorders>
              <w:left w:val="single" w:sz="12" w:space="0" w:color="auto"/>
              <w:right w:val="single" w:sz="12" w:space="0" w:color="auto"/>
            </w:tcBorders>
            <w:noWrap/>
            <w:vAlign w:val="center"/>
          </w:tcPr>
          <w:p w14:paraId="555996E2"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Mu Koh Chang</w:t>
            </w:r>
          </w:p>
        </w:tc>
        <w:tc>
          <w:tcPr>
            <w:tcW w:w="900" w:type="dxa"/>
            <w:tcBorders>
              <w:left w:val="single" w:sz="12" w:space="0" w:color="auto"/>
              <w:right w:val="single" w:sz="12" w:space="0" w:color="auto"/>
            </w:tcBorders>
            <w:noWrap/>
            <w:vAlign w:val="center"/>
          </w:tcPr>
          <w:p w14:paraId="68FE2DC5"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18,670</w:t>
            </w:r>
          </w:p>
        </w:tc>
        <w:tc>
          <w:tcPr>
            <w:tcW w:w="1088" w:type="dxa"/>
            <w:tcBorders>
              <w:left w:val="single" w:sz="12" w:space="0" w:color="auto"/>
              <w:right w:val="single" w:sz="12" w:space="0" w:color="auto"/>
            </w:tcBorders>
            <w:noWrap/>
            <w:vAlign w:val="center"/>
          </w:tcPr>
          <w:p w14:paraId="7A2EDE51"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40</w:t>
            </w:r>
          </w:p>
        </w:tc>
        <w:tc>
          <w:tcPr>
            <w:tcW w:w="2243" w:type="dxa"/>
            <w:tcBorders>
              <w:left w:val="single" w:sz="12" w:space="0" w:color="auto"/>
              <w:right w:val="single" w:sz="12" w:space="0" w:color="auto"/>
            </w:tcBorders>
            <w:vAlign w:val="center"/>
          </w:tcPr>
          <w:p w14:paraId="7313BE03"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National Park</w:t>
                </w:r>
              </w:smartTag>
            </w:smartTag>
          </w:p>
        </w:tc>
        <w:tc>
          <w:tcPr>
            <w:tcW w:w="1260" w:type="dxa"/>
            <w:tcBorders>
              <w:left w:val="single" w:sz="12" w:space="0" w:color="auto"/>
              <w:right w:val="single" w:sz="12" w:space="0" w:color="auto"/>
            </w:tcBorders>
            <w:vAlign w:val="center"/>
          </w:tcPr>
          <w:p w14:paraId="576D6B34"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11,780</w:t>
            </w:r>
          </w:p>
        </w:tc>
        <w:tc>
          <w:tcPr>
            <w:tcW w:w="1530" w:type="dxa"/>
            <w:tcBorders>
              <w:left w:val="single" w:sz="12" w:space="0" w:color="auto"/>
              <w:right w:val="single" w:sz="12" w:space="0" w:color="auto"/>
            </w:tcBorders>
            <w:vAlign w:val="center"/>
          </w:tcPr>
          <w:p w14:paraId="1BB69C4F"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0302D2B9" w14:textId="77777777" w:rsidTr="00F370E8">
        <w:trPr>
          <w:trHeight w:val="65"/>
          <w:jc w:val="center"/>
        </w:trPr>
        <w:tc>
          <w:tcPr>
            <w:tcW w:w="1979" w:type="dxa"/>
            <w:tcBorders>
              <w:left w:val="single" w:sz="12" w:space="0" w:color="auto"/>
              <w:right w:val="single" w:sz="12" w:space="0" w:color="auto"/>
            </w:tcBorders>
            <w:noWrap/>
            <w:vAlign w:val="center"/>
          </w:tcPr>
          <w:p w14:paraId="111FB5D7"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Mu Koh Ang Thong</w:t>
            </w:r>
          </w:p>
        </w:tc>
        <w:tc>
          <w:tcPr>
            <w:tcW w:w="900" w:type="dxa"/>
            <w:tcBorders>
              <w:left w:val="single" w:sz="12" w:space="0" w:color="auto"/>
              <w:right w:val="single" w:sz="12" w:space="0" w:color="auto"/>
            </w:tcBorders>
            <w:noWrap/>
            <w:vAlign w:val="center"/>
          </w:tcPr>
          <w:p w14:paraId="088FA8C3"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5,110</w:t>
            </w:r>
          </w:p>
        </w:tc>
        <w:tc>
          <w:tcPr>
            <w:tcW w:w="1088" w:type="dxa"/>
            <w:tcBorders>
              <w:left w:val="single" w:sz="12" w:space="0" w:color="auto"/>
              <w:right w:val="single" w:sz="12" w:space="0" w:color="auto"/>
            </w:tcBorders>
            <w:noWrap/>
            <w:vAlign w:val="center"/>
          </w:tcPr>
          <w:p w14:paraId="0A4A0866"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55</w:t>
            </w:r>
          </w:p>
        </w:tc>
        <w:tc>
          <w:tcPr>
            <w:tcW w:w="2243" w:type="dxa"/>
            <w:tcBorders>
              <w:left w:val="single" w:sz="12" w:space="0" w:color="auto"/>
              <w:right w:val="single" w:sz="12" w:space="0" w:color="auto"/>
            </w:tcBorders>
            <w:vAlign w:val="center"/>
          </w:tcPr>
          <w:p w14:paraId="5530F670"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National Park</w:t>
                </w:r>
              </w:smartTag>
            </w:smartTag>
          </w:p>
        </w:tc>
        <w:tc>
          <w:tcPr>
            <w:tcW w:w="1260" w:type="dxa"/>
            <w:tcBorders>
              <w:left w:val="single" w:sz="12" w:space="0" w:color="auto"/>
              <w:right w:val="single" w:sz="12" w:space="0" w:color="auto"/>
            </w:tcBorders>
            <w:vAlign w:val="center"/>
          </w:tcPr>
          <w:p w14:paraId="526B082B"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5,110</w:t>
            </w:r>
          </w:p>
        </w:tc>
        <w:tc>
          <w:tcPr>
            <w:tcW w:w="1530" w:type="dxa"/>
            <w:tcBorders>
              <w:left w:val="single" w:sz="12" w:space="0" w:color="auto"/>
              <w:right w:val="single" w:sz="12" w:space="0" w:color="auto"/>
            </w:tcBorders>
            <w:vAlign w:val="center"/>
          </w:tcPr>
          <w:p w14:paraId="6F253F85"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26453D86" w14:textId="77777777" w:rsidTr="00F370E8">
        <w:trPr>
          <w:trHeight w:val="65"/>
          <w:jc w:val="center"/>
        </w:trPr>
        <w:tc>
          <w:tcPr>
            <w:tcW w:w="1979" w:type="dxa"/>
            <w:tcBorders>
              <w:left w:val="single" w:sz="12" w:space="0" w:color="auto"/>
              <w:right w:val="single" w:sz="12" w:space="0" w:color="auto"/>
            </w:tcBorders>
            <w:noWrap/>
            <w:vAlign w:val="center"/>
          </w:tcPr>
          <w:p w14:paraId="1E5AAAFF"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Mu Koh Samui</w:t>
            </w:r>
          </w:p>
        </w:tc>
        <w:tc>
          <w:tcPr>
            <w:tcW w:w="900" w:type="dxa"/>
            <w:tcBorders>
              <w:left w:val="single" w:sz="12" w:space="0" w:color="auto"/>
              <w:right w:val="single" w:sz="12" w:space="0" w:color="auto"/>
            </w:tcBorders>
            <w:noWrap/>
            <w:vAlign w:val="center"/>
          </w:tcPr>
          <w:p w14:paraId="175EBD6D"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38,990</w:t>
            </w:r>
          </w:p>
        </w:tc>
        <w:tc>
          <w:tcPr>
            <w:tcW w:w="1088" w:type="dxa"/>
            <w:tcBorders>
              <w:left w:val="single" w:sz="12" w:space="0" w:color="auto"/>
              <w:right w:val="single" w:sz="12" w:space="0" w:color="auto"/>
            </w:tcBorders>
            <w:noWrap/>
            <w:vAlign w:val="center"/>
          </w:tcPr>
          <w:p w14:paraId="2895BF56"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40</w:t>
            </w:r>
          </w:p>
        </w:tc>
        <w:tc>
          <w:tcPr>
            <w:tcW w:w="2243" w:type="dxa"/>
            <w:tcBorders>
              <w:left w:val="single" w:sz="12" w:space="0" w:color="auto"/>
              <w:right w:val="single" w:sz="12" w:space="0" w:color="auto"/>
            </w:tcBorders>
            <w:vAlign w:val="center"/>
          </w:tcPr>
          <w:p w14:paraId="13DA1DB0"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National Park</w:t>
                </w:r>
              </w:smartTag>
            </w:smartTag>
          </w:p>
        </w:tc>
        <w:tc>
          <w:tcPr>
            <w:tcW w:w="1260" w:type="dxa"/>
            <w:tcBorders>
              <w:left w:val="single" w:sz="12" w:space="0" w:color="auto"/>
              <w:right w:val="single" w:sz="12" w:space="0" w:color="auto"/>
            </w:tcBorders>
            <w:vAlign w:val="center"/>
          </w:tcPr>
          <w:p w14:paraId="31B19B71"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22,770</w:t>
            </w:r>
          </w:p>
        </w:tc>
        <w:tc>
          <w:tcPr>
            <w:tcW w:w="1530" w:type="dxa"/>
            <w:tcBorders>
              <w:left w:val="single" w:sz="12" w:space="0" w:color="auto"/>
              <w:right w:val="single" w:sz="12" w:space="0" w:color="auto"/>
            </w:tcBorders>
            <w:vAlign w:val="center"/>
          </w:tcPr>
          <w:p w14:paraId="05A501DD"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Low</w:t>
            </w:r>
          </w:p>
        </w:tc>
      </w:tr>
      <w:tr w:rsidR="00576735" w:rsidRPr="0007416D" w14:paraId="369B4241" w14:textId="77777777" w:rsidTr="00F370E8">
        <w:trPr>
          <w:trHeight w:val="65"/>
          <w:jc w:val="center"/>
        </w:trPr>
        <w:tc>
          <w:tcPr>
            <w:tcW w:w="1979" w:type="dxa"/>
            <w:tcBorders>
              <w:left w:val="single" w:sz="12" w:space="0" w:color="auto"/>
              <w:right w:val="single" w:sz="12" w:space="0" w:color="auto"/>
            </w:tcBorders>
            <w:noWrap/>
            <w:vAlign w:val="center"/>
          </w:tcPr>
          <w:p w14:paraId="49560709"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Mu Koh Samet</w:t>
            </w:r>
          </w:p>
        </w:tc>
        <w:tc>
          <w:tcPr>
            <w:tcW w:w="900" w:type="dxa"/>
            <w:tcBorders>
              <w:left w:val="single" w:sz="12" w:space="0" w:color="auto"/>
              <w:right w:val="single" w:sz="12" w:space="0" w:color="auto"/>
            </w:tcBorders>
            <w:noWrap/>
            <w:vAlign w:val="center"/>
          </w:tcPr>
          <w:p w14:paraId="0458B772"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4,200</w:t>
            </w:r>
          </w:p>
        </w:tc>
        <w:tc>
          <w:tcPr>
            <w:tcW w:w="1088" w:type="dxa"/>
            <w:tcBorders>
              <w:left w:val="single" w:sz="12" w:space="0" w:color="auto"/>
              <w:right w:val="single" w:sz="12" w:space="0" w:color="auto"/>
            </w:tcBorders>
            <w:noWrap/>
            <w:vAlign w:val="center"/>
          </w:tcPr>
          <w:p w14:paraId="5A82355A"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35</w:t>
            </w:r>
          </w:p>
        </w:tc>
        <w:tc>
          <w:tcPr>
            <w:tcW w:w="2243" w:type="dxa"/>
            <w:tcBorders>
              <w:left w:val="single" w:sz="12" w:space="0" w:color="auto"/>
              <w:right w:val="single" w:sz="12" w:space="0" w:color="auto"/>
            </w:tcBorders>
            <w:vAlign w:val="center"/>
          </w:tcPr>
          <w:p w14:paraId="5045AC97"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National Park</w:t>
                </w:r>
              </w:smartTag>
            </w:smartTag>
          </w:p>
        </w:tc>
        <w:tc>
          <w:tcPr>
            <w:tcW w:w="1260" w:type="dxa"/>
            <w:tcBorders>
              <w:left w:val="single" w:sz="12" w:space="0" w:color="auto"/>
              <w:right w:val="single" w:sz="12" w:space="0" w:color="auto"/>
            </w:tcBorders>
            <w:vAlign w:val="center"/>
          </w:tcPr>
          <w:p w14:paraId="1BFAF01A"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3,240</w:t>
            </w:r>
          </w:p>
        </w:tc>
        <w:tc>
          <w:tcPr>
            <w:tcW w:w="1530" w:type="dxa"/>
            <w:tcBorders>
              <w:left w:val="single" w:sz="12" w:space="0" w:color="auto"/>
              <w:right w:val="single" w:sz="12" w:space="0" w:color="auto"/>
            </w:tcBorders>
            <w:vAlign w:val="center"/>
          </w:tcPr>
          <w:p w14:paraId="04D9E7B8"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4E5B1E20" w14:textId="77777777" w:rsidTr="00F370E8">
        <w:trPr>
          <w:trHeight w:val="65"/>
          <w:jc w:val="center"/>
        </w:trPr>
        <w:tc>
          <w:tcPr>
            <w:tcW w:w="1979" w:type="dxa"/>
            <w:tcBorders>
              <w:left w:val="single" w:sz="12" w:space="0" w:color="auto"/>
              <w:right w:val="single" w:sz="12" w:space="0" w:color="auto"/>
            </w:tcBorders>
            <w:noWrap/>
            <w:vAlign w:val="center"/>
          </w:tcPr>
          <w:p w14:paraId="7D498B3B"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Sichang Group</w:t>
            </w:r>
          </w:p>
        </w:tc>
        <w:tc>
          <w:tcPr>
            <w:tcW w:w="900" w:type="dxa"/>
            <w:tcBorders>
              <w:left w:val="single" w:sz="12" w:space="0" w:color="auto"/>
              <w:right w:val="single" w:sz="12" w:space="0" w:color="auto"/>
            </w:tcBorders>
            <w:noWrap/>
            <w:vAlign w:val="center"/>
          </w:tcPr>
          <w:p w14:paraId="096F4B8D"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760</w:t>
            </w:r>
          </w:p>
        </w:tc>
        <w:tc>
          <w:tcPr>
            <w:tcW w:w="1088" w:type="dxa"/>
            <w:tcBorders>
              <w:left w:val="single" w:sz="12" w:space="0" w:color="auto"/>
              <w:right w:val="single" w:sz="12" w:space="0" w:color="auto"/>
            </w:tcBorders>
            <w:noWrap/>
            <w:vAlign w:val="center"/>
          </w:tcPr>
          <w:p w14:paraId="0DB2101B"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20</w:t>
            </w:r>
          </w:p>
        </w:tc>
        <w:tc>
          <w:tcPr>
            <w:tcW w:w="2243" w:type="dxa"/>
            <w:tcBorders>
              <w:left w:val="single" w:sz="12" w:space="0" w:color="auto"/>
              <w:right w:val="single" w:sz="12" w:space="0" w:color="auto"/>
            </w:tcBorders>
            <w:vAlign w:val="center"/>
          </w:tcPr>
          <w:p w14:paraId="032091E9"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None</w:t>
            </w:r>
          </w:p>
        </w:tc>
        <w:tc>
          <w:tcPr>
            <w:tcW w:w="1260" w:type="dxa"/>
            <w:tcBorders>
              <w:left w:val="single" w:sz="12" w:space="0" w:color="auto"/>
              <w:right w:val="single" w:sz="12" w:space="0" w:color="auto"/>
            </w:tcBorders>
            <w:vAlign w:val="center"/>
          </w:tcPr>
          <w:p w14:paraId="138A50AB"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0</w:t>
            </w:r>
          </w:p>
        </w:tc>
        <w:tc>
          <w:tcPr>
            <w:tcW w:w="1530" w:type="dxa"/>
            <w:tcBorders>
              <w:left w:val="single" w:sz="12" w:space="0" w:color="auto"/>
              <w:right w:val="single" w:sz="12" w:space="0" w:color="auto"/>
            </w:tcBorders>
            <w:vAlign w:val="center"/>
          </w:tcPr>
          <w:p w14:paraId="3C456C5E" w14:textId="77777777" w:rsidR="00576735" w:rsidRPr="00576735" w:rsidRDefault="00576735" w:rsidP="00576735">
            <w:pPr>
              <w:jc w:val="center"/>
              <w:rPr>
                <w:rFonts w:ascii="Arial" w:hAnsi="Arial" w:cs="Angsana New"/>
                <w:sz w:val="16"/>
                <w:lang w:val="en-GB"/>
              </w:rPr>
            </w:pPr>
          </w:p>
        </w:tc>
      </w:tr>
      <w:tr w:rsidR="00576735" w:rsidRPr="0007416D" w14:paraId="2F29E563" w14:textId="77777777" w:rsidTr="00F370E8">
        <w:trPr>
          <w:trHeight w:val="65"/>
          <w:jc w:val="center"/>
        </w:trPr>
        <w:tc>
          <w:tcPr>
            <w:tcW w:w="1979" w:type="dxa"/>
            <w:tcBorders>
              <w:left w:val="single" w:sz="12" w:space="0" w:color="auto"/>
              <w:right w:val="single" w:sz="12" w:space="0" w:color="auto"/>
            </w:tcBorders>
            <w:noWrap/>
            <w:vAlign w:val="center"/>
          </w:tcPr>
          <w:p w14:paraId="189F9283"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Sattaheep Group</w:t>
            </w:r>
          </w:p>
        </w:tc>
        <w:tc>
          <w:tcPr>
            <w:tcW w:w="900" w:type="dxa"/>
            <w:tcBorders>
              <w:left w:val="single" w:sz="12" w:space="0" w:color="auto"/>
              <w:right w:val="single" w:sz="12" w:space="0" w:color="auto"/>
            </w:tcBorders>
            <w:noWrap/>
            <w:vAlign w:val="center"/>
          </w:tcPr>
          <w:p w14:paraId="3CC459BF"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1,670</w:t>
            </w:r>
          </w:p>
        </w:tc>
        <w:tc>
          <w:tcPr>
            <w:tcW w:w="1088" w:type="dxa"/>
            <w:tcBorders>
              <w:left w:val="single" w:sz="12" w:space="0" w:color="auto"/>
              <w:right w:val="single" w:sz="12" w:space="0" w:color="auto"/>
            </w:tcBorders>
            <w:noWrap/>
            <w:vAlign w:val="center"/>
          </w:tcPr>
          <w:p w14:paraId="53B3CA07"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33</w:t>
            </w:r>
          </w:p>
        </w:tc>
        <w:tc>
          <w:tcPr>
            <w:tcW w:w="2243" w:type="dxa"/>
            <w:tcBorders>
              <w:left w:val="single" w:sz="12" w:space="0" w:color="auto"/>
              <w:right w:val="single" w:sz="12" w:space="0" w:color="auto"/>
            </w:tcBorders>
            <w:vAlign w:val="center"/>
          </w:tcPr>
          <w:p w14:paraId="335A5FFC"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Navy Control Area</w:t>
            </w:r>
          </w:p>
        </w:tc>
        <w:tc>
          <w:tcPr>
            <w:tcW w:w="1260" w:type="dxa"/>
            <w:tcBorders>
              <w:left w:val="single" w:sz="12" w:space="0" w:color="auto"/>
              <w:right w:val="single" w:sz="12" w:space="0" w:color="auto"/>
            </w:tcBorders>
            <w:vAlign w:val="center"/>
          </w:tcPr>
          <w:p w14:paraId="2D21208A"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1,320</w:t>
            </w:r>
          </w:p>
        </w:tc>
        <w:tc>
          <w:tcPr>
            <w:tcW w:w="1530" w:type="dxa"/>
            <w:tcBorders>
              <w:left w:val="single" w:sz="12" w:space="0" w:color="auto"/>
              <w:right w:val="single" w:sz="12" w:space="0" w:color="auto"/>
            </w:tcBorders>
            <w:vAlign w:val="center"/>
          </w:tcPr>
          <w:p w14:paraId="6AEA0760"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Low</w:t>
            </w:r>
          </w:p>
        </w:tc>
      </w:tr>
      <w:tr w:rsidR="00576735" w:rsidRPr="0007416D" w14:paraId="6C14F4DB" w14:textId="77777777" w:rsidTr="00F370E8">
        <w:trPr>
          <w:trHeight w:val="65"/>
          <w:jc w:val="center"/>
        </w:trPr>
        <w:tc>
          <w:tcPr>
            <w:tcW w:w="1979" w:type="dxa"/>
            <w:tcBorders>
              <w:left w:val="single" w:sz="12" w:space="0" w:color="auto"/>
              <w:right w:val="single" w:sz="12" w:space="0" w:color="auto"/>
            </w:tcBorders>
            <w:noWrap/>
            <w:vAlign w:val="center"/>
          </w:tcPr>
          <w:p w14:paraId="7551D603"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Lan and Phai Group</w:t>
            </w:r>
          </w:p>
        </w:tc>
        <w:tc>
          <w:tcPr>
            <w:tcW w:w="900" w:type="dxa"/>
            <w:tcBorders>
              <w:left w:val="single" w:sz="12" w:space="0" w:color="auto"/>
              <w:right w:val="single" w:sz="12" w:space="0" w:color="auto"/>
            </w:tcBorders>
            <w:noWrap/>
            <w:vAlign w:val="center"/>
          </w:tcPr>
          <w:p w14:paraId="5F8C2321"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3,910</w:t>
            </w:r>
          </w:p>
        </w:tc>
        <w:tc>
          <w:tcPr>
            <w:tcW w:w="1088" w:type="dxa"/>
            <w:tcBorders>
              <w:left w:val="single" w:sz="12" w:space="0" w:color="auto"/>
              <w:right w:val="single" w:sz="12" w:space="0" w:color="auto"/>
            </w:tcBorders>
            <w:noWrap/>
            <w:vAlign w:val="center"/>
          </w:tcPr>
          <w:p w14:paraId="1E2C9483"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18</w:t>
            </w:r>
          </w:p>
        </w:tc>
        <w:tc>
          <w:tcPr>
            <w:tcW w:w="2243" w:type="dxa"/>
            <w:tcBorders>
              <w:left w:val="single" w:sz="12" w:space="0" w:color="auto"/>
              <w:right w:val="single" w:sz="12" w:space="0" w:color="auto"/>
            </w:tcBorders>
            <w:vAlign w:val="center"/>
          </w:tcPr>
          <w:p w14:paraId="2F4A322B"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Navy Control Area</w:t>
            </w:r>
          </w:p>
        </w:tc>
        <w:tc>
          <w:tcPr>
            <w:tcW w:w="1260" w:type="dxa"/>
            <w:tcBorders>
              <w:left w:val="single" w:sz="12" w:space="0" w:color="auto"/>
              <w:right w:val="single" w:sz="12" w:space="0" w:color="auto"/>
            </w:tcBorders>
            <w:vAlign w:val="center"/>
          </w:tcPr>
          <w:p w14:paraId="4C736786"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1,200</w:t>
            </w:r>
          </w:p>
        </w:tc>
        <w:tc>
          <w:tcPr>
            <w:tcW w:w="1530" w:type="dxa"/>
            <w:tcBorders>
              <w:left w:val="single" w:sz="12" w:space="0" w:color="auto"/>
              <w:right w:val="single" w:sz="12" w:space="0" w:color="auto"/>
            </w:tcBorders>
            <w:vAlign w:val="center"/>
          </w:tcPr>
          <w:p w14:paraId="02575999"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Low</w:t>
            </w:r>
          </w:p>
        </w:tc>
      </w:tr>
      <w:tr w:rsidR="00576735" w:rsidRPr="0007416D" w14:paraId="0EC5856C" w14:textId="77777777" w:rsidTr="00F370E8">
        <w:trPr>
          <w:trHeight w:val="65"/>
          <w:jc w:val="center"/>
        </w:trPr>
        <w:tc>
          <w:tcPr>
            <w:tcW w:w="1979" w:type="dxa"/>
            <w:tcBorders>
              <w:left w:val="single" w:sz="12" w:space="0" w:color="auto"/>
              <w:right w:val="single" w:sz="12" w:space="0" w:color="auto"/>
            </w:tcBorders>
            <w:noWrap/>
            <w:vAlign w:val="center"/>
          </w:tcPr>
          <w:p w14:paraId="7B027130"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Chao Lao</w:t>
            </w:r>
          </w:p>
        </w:tc>
        <w:tc>
          <w:tcPr>
            <w:tcW w:w="900" w:type="dxa"/>
            <w:tcBorders>
              <w:left w:val="single" w:sz="12" w:space="0" w:color="auto"/>
              <w:right w:val="single" w:sz="12" w:space="0" w:color="auto"/>
            </w:tcBorders>
            <w:noWrap/>
            <w:vAlign w:val="center"/>
          </w:tcPr>
          <w:p w14:paraId="27BD4A7B"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860</w:t>
            </w:r>
          </w:p>
        </w:tc>
        <w:tc>
          <w:tcPr>
            <w:tcW w:w="1088" w:type="dxa"/>
            <w:tcBorders>
              <w:left w:val="single" w:sz="12" w:space="0" w:color="auto"/>
              <w:right w:val="single" w:sz="12" w:space="0" w:color="auto"/>
            </w:tcBorders>
            <w:noWrap/>
            <w:vAlign w:val="center"/>
          </w:tcPr>
          <w:p w14:paraId="23DF16E5"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30</w:t>
            </w:r>
          </w:p>
        </w:tc>
        <w:tc>
          <w:tcPr>
            <w:tcW w:w="2243" w:type="dxa"/>
            <w:tcBorders>
              <w:left w:val="single" w:sz="12" w:space="0" w:color="auto"/>
              <w:right w:val="single" w:sz="12" w:space="0" w:color="auto"/>
            </w:tcBorders>
            <w:vAlign w:val="center"/>
          </w:tcPr>
          <w:p w14:paraId="407E0A3C"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None</w:t>
            </w:r>
          </w:p>
        </w:tc>
        <w:tc>
          <w:tcPr>
            <w:tcW w:w="1260" w:type="dxa"/>
            <w:tcBorders>
              <w:left w:val="single" w:sz="12" w:space="0" w:color="auto"/>
              <w:right w:val="single" w:sz="12" w:space="0" w:color="auto"/>
            </w:tcBorders>
            <w:vAlign w:val="center"/>
          </w:tcPr>
          <w:p w14:paraId="3E5B7EBB"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0</w:t>
            </w:r>
          </w:p>
        </w:tc>
        <w:tc>
          <w:tcPr>
            <w:tcW w:w="1530" w:type="dxa"/>
            <w:tcBorders>
              <w:left w:val="single" w:sz="12" w:space="0" w:color="auto"/>
              <w:right w:val="single" w:sz="12" w:space="0" w:color="auto"/>
            </w:tcBorders>
            <w:vAlign w:val="center"/>
          </w:tcPr>
          <w:p w14:paraId="5719AB17" w14:textId="77777777" w:rsidR="00576735" w:rsidRPr="00576735" w:rsidRDefault="00576735" w:rsidP="00576735">
            <w:pPr>
              <w:jc w:val="center"/>
              <w:rPr>
                <w:rFonts w:ascii="Arial" w:hAnsi="Arial" w:cs="Angsana New"/>
                <w:sz w:val="16"/>
                <w:lang w:val="en-GB"/>
              </w:rPr>
            </w:pPr>
          </w:p>
        </w:tc>
      </w:tr>
      <w:tr w:rsidR="00576735" w:rsidRPr="0007416D" w14:paraId="36A4D198" w14:textId="77777777" w:rsidTr="00F370E8">
        <w:trPr>
          <w:trHeight w:val="65"/>
          <w:jc w:val="center"/>
        </w:trPr>
        <w:tc>
          <w:tcPr>
            <w:tcW w:w="1979" w:type="dxa"/>
            <w:tcBorders>
              <w:left w:val="single" w:sz="12" w:space="0" w:color="auto"/>
              <w:right w:val="single" w:sz="12" w:space="0" w:color="auto"/>
            </w:tcBorders>
            <w:noWrap/>
            <w:vAlign w:val="center"/>
          </w:tcPr>
          <w:p w14:paraId="4A9C4192"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Prachuab</w:t>
            </w:r>
          </w:p>
        </w:tc>
        <w:tc>
          <w:tcPr>
            <w:tcW w:w="900" w:type="dxa"/>
            <w:tcBorders>
              <w:left w:val="single" w:sz="12" w:space="0" w:color="auto"/>
              <w:right w:val="single" w:sz="12" w:space="0" w:color="auto"/>
            </w:tcBorders>
            <w:noWrap/>
            <w:vAlign w:val="center"/>
          </w:tcPr>
          <w:p w14:paraId="678C66DD"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2,450</w:t>
            </w:r>
          </w:p>
        </w:tc>
        <w:tc>
          <w:tcPr>
            <w:tcW w:w="1088" w:type="dxa"/>
            <w:tcBorders>
              <w:left w:val="single" w:sz="12" w:space="0" w:color="auto"/>
              <w:right w:val="single" w:sz="12" w:space="0" w:color="auto"/>
            </w:tcBorders>
            <w:noWrap/>
            <w:vAlign w:val="center"/>
          </w:tcPr>
          <w:p w14:paraId="10530A8C"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40</w:t>
            </w:r>
          </w:p>
        </w:tc>
        <w:tc>
          <w:tcPr>
            <w:tcW w:w="2243" w:type="dxa"/>
            <w:tcBorders>
              <w:left w:val="single" w:sz="12" w:space="0" w:color="auto"/>
              <w:right w:val="single" w:sz="12" w:space="0" w:color="auto"/>
            </w:tcBorders>
            <w:vAlign w:val="center"/>
          </w:tcPr>
          <w:p w14:paraId="5CC863AA" w14:textId="77777777" w:rsidR="00576735" w:rsidRPr="00576735" w:rsidRDefault="00576735" w:rsidP="00576735">
            <w:pPr>
              <w:rPr>
                <w:rFonts w:ascii="Arial" w:hAnsi="Arial" w:cs="Angsana New"/>
                <w:sz w:val="16"/>
                <w:lang w:val="en-GB"/>
              </w:rPr>
            </w:pPr>
            <w:smartTag w:uri="urn:schemas-microsoft-com:office:smarttags" w:element="place">
              <w:smartTag w:uri="urn:schemas-microsoft-com:office:smarttags" w:element="PlaceName">
                <w:r w:rsidRPr="00576735">
                  <w:rPr>
                    <w:rFonts w:ascii="Arial" w:hAnsi="Arial" w:cs="Angsana New"/>
                    <w:sz w:val="16"/>
                    <w:lang w:val="en-GB"/>
                  </w:rPr>
                  <w:t>Marine</w:t>
                </w:r>
              </w:smartTag>
              <w:r w:rsidRPr="00576735">
                <w:rPr>
                  <w:rFonts w:ascii="Arial" w:hAnsi="Arial" w:cs="Angsana New"/>
                  <w:sz w:val="16"/>
                  <w:lang w:val="en-GB"/>
                </w:rPr>
                <w:t xml:space="preserve"> </w:t>
              </w:r>
              <w:smartTag w:uri="urn:schemas-microsoft-com:office:smarttags" w:element="PlaceType">
                <w:r w:rsidRPr="00576735">
                  <w:rPr>
                    <w:rFonts w:ascii="Arial" w:hAnsi="Arial" w:cs="Angsana New"/>
                    <w:sz w:val="16"/>
                    <w:lang w:val="en-GB"/>
                  </w:rPr>
                  <w:t>National Park</w:t>
                </w:r>
              </w:smartTag>
            </w:smartTag>
          </w:p>
        </w:tc>
        <w:tc>
          <w:tcPr>
            <w:tcW w:w="1260" w:type="dxa"/>
            <w:tcBorders>
              <w:left w:val="single" w:sz="12" w:space="0" w:color="auto"/>
              <w:right w:val="single" w:sz="12" w:space="0" w:color="auto"/>
            </w:tcBorders>
            <w:vAlign w:val="center"/>
          </w:tcPr>
          <w:p w14:paraId="0EA4638D"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270</w:t>
            </w:r>
          </w:p>
        </w:tc>
        <w:tc>
          <w:tcPr>
            <w:tcW w:w="1530" w:type="dxa"/>
            <w:tcBorders>
              <w:left w:val="single" w:sz="12" w:space="0" w:color="auto"/>
              <w:right w:val="single" w:sz="12" w:space="0" w:color="auto"/>
            </w:tcBorders>
            <w:vAlign w:val="center"/>
          </w:tcPr>
          <w:p w14:paraId="538BD630"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Low</w:t>
            </w:r>
          </w:p>
        </w:tc>
      </w:tr>
      <w:tr w:rsidR="00576735" w:rsidRPr="0007416D" w14:paraId="3DDD93B2" w14:textId="77777777" w:rsidTr="00F370E8">
        <w:trPr>
          <w:trHeight w:val="65"/>
          <w:jc w:val="center"/>
        </w:trPr>
        <w:tc>
          <w:tcPr>
            <w:tcW w:w="1979" w:type="dxa"/>
            <w:tcBorders>
              <w:left w:val="single" w:sz="12" w:space="0" w:color="auto"/>
              <w:right w:val="single" w:sz="12" w:space="0" w:color="auto"/>
            </w:tcBorders>
            <w:noWrap/>
            <w:vAlign w:val="center"/>
          </w:tcPr>
          <w:p w14:paraId="6C098C1B"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Koh Tao Group</w:t>
            </w:r>
          </w:p>
        </w:tc>
        <w:tc>
          <w:tcPr>
            <w:tcW w:w="900" w:type="dxa"/>
            <w:tcBorders>
              <w:left w:val="single" w:sz="12" w:space="0" w:color="auto"/>
              <w:right w:val="single" w:sz="12" w:space="0" w:color="auto"/>
            </w:tcBorders>
            <w:noWrap/>
            <w:vAlign w:val="center"/>
          </w:tcPr>
          <w:p w14:paraId="4550EA7C"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2,300</w:t>
            </w:r>
          </w:p>
        </w:tc>
        <w:tc>
          <w:tcPr>
            <w:tcW w:w="1088" w:type="dxa"/>
            <w:tcBorders>
              <w:left w:val="single" w:sz="12" w:space="0" w:color="auto"/>
              <w:right w:val="single" w:sz="12" w:space="0" w:color="auto"/>
            </w:tcBorders>
            <w:noWrap/>
            <w:vAlign w:val="center"/>
          </w:tcPr>
          <w:p w14:paraId="4C40687E"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45</w:t>
            </w:r>
          </w:p>
        </w:tc>
        <w:tc>
          <w:tcPr>
            <w:tcW w:w="2243" w:type="dxa"/>
            <w:tcBorders>
              <w:left w:val="single" w:sz="12" w:space="0" w:color="auto"/>
              <w:right w:val="single" w:sz="12" w:space="0" w:color="auto"/>
            </w:tcBorders>
            <w:vAlign w:val="center"/>
          </w:tcPr>
          <w:p w14:paraId="5DF5949F"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None</w:t>
            </w:r>
          </w:p>
        </w:tc>
        <w:tc>
          <w:tcPr>
            <w:tcW w:w="1260" w:type="dxa"/>
            <w:tcBorders>
              <w:left w:val="single" w:sz="12" w:space="0" w:color="auto"/>
              <w:right w:val="single" w:sz="12" w:space="0" w:color="auto"/>
            </w:tcBorders>
            <w:vAlign w:val="center"/>
          </w:tcPr>
          <w:p w14:paraId="3153725A"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0</w:t>
            </w:r>
          </w:p>
        </w:tc>
        <w:tc>
          <w:tcPr>
            <w:tcW w:w="1530" w:type="dxa"/>
            <w:tcBorders>
              <w:left w:val="single" w:sz="12" w:space="0" w:color="auto"/>
              <w:right w:val="single" w:sz="12" w:space="0" w:color="auto"/>
            </w:tcBorders>
            <w:vAlign w:val="center"/>
          </w:tcPr>
          <w:p w14:paraId="6956B152" w14:textId="77777777" w:rsidR="00576735" w:rsidRPr="00576735" w:rsidRDefault="00576735" w:rsidP="00576735">
            <w:pPr>
              <w:jc w:val="center"/>
              <w:rPr>
                <w:rFonts w:ascii="Arial" w:hAnsi="Arial" w:cs="Angsana New"/>
                <w:sz w:val="16"/>
                <w:lang w:val="en-GB"/>
              </w:rPr>
            </w:pPr>
          </w:p>
        </w:tc>
      </w:tr>
      <w:tr w:rsidR="00576735" w:rsidRPr="0007416D" w14:paraId="1BA51126" w14:textId="77777777" w:rsidTr="00F370E8">
        <w:trPr>
          <w:trHeight w:val="65"/>
          <w:jc w:val="center"/>
        </w:trPr>
        <w:tc>
          <w:tcPr>
            <w:tcW w:w="1979" w:type="dxa"/>
            <w:tcBorders>
              <w:left w:val="single" w:sz="12" w:space="0" w:color="auto"/>
              <w:right w:val="single" w:sz="12" w:space="0" w:color="auto"/>
            </w:tcBorders>
            <w:noWrap/>
            <w:vAlign w:val="center"/>
          </w:tcPr>
          <w:p w14:paraId="7877E5A2"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Song Khla</w:t>
            </w:r>
          </w:p>
        </w:tc>
        <w:tc>
          <w:tcPr>
            <w:tcW w:w="900" w:type="dxa"/>
            <w:tcBorders>
              <w:left w:val="single" w:sz="12" w:space="0" w:color="auto"/>
              <w:right w:val="single" w:sz="12" w:space="0" w:color="auto"/>
            </w:tcBorders>
            <w:noWrap/>
            <w:vAlign w:val="center"/>
          </w:tcPr>
          <w:p w14:paraId="2AB16D1E"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1,200</w:t>
            </w:r>
          </w:p>
        </w:tc>
        <w:tc>
          <w:tcPr>
            <w:tcW w:w="1088" w:type="dxa"/>
            <w:tcBorders>
              <w:left w:val="single" w:sz="12" w:space="0" w:color="auto"/>
              <w:right w:val="single" w:sz="12" w:space="0" w:color="auto"/>
            </w:tcBorders>
            <w:noWrap/>
            <w:vAlign w:val="center"/>
          </w:tcPr>
          <w:p w14:paraId="73B3D5B6"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20</w:t>
            </w:r>
          </w:p>
        </w:tc>
        <w:tc>
          <w:tcPr>
            <w:tcW w:w="2243" w:type="dxa"/>
            <w:tcBorders>
              <w:left w:val="single" w:sz="12" w:space="0" w:color="auto"/>
              <w:right w:val="single" w:sz="12" w:space="0" w:color="auto"/>
            </w:tcBorders>
            <w:vAlign w:val="center"/>
          </w:tcPr>
          <w:p w14:paraId="551AA1B3"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None</w:t>
            </w:r>
          </w:p>
        </w:tc>
        <w:tc>
          <w:tcPr>
            <w:tcW w:w="1260" w:type="dxa"/>
            <w:tcBorders>
              <w:left w:val="single" w:sz="12" w:space="0" w:color="auto"/>
              <w:right w:val="single" w:sz="12" w:space="0" w:color="auto"/>
            </w:tcBorders>
            <w:vAlign w:val="center"/>
          </w:tcPr>
          <w:p w14:paraId="79BA3028"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0</w:t>
            </w:r>
          </w:p>
        </w:tc>
        <w:tc>
          <w:tcPr>
            <w:tcW w:w="1530" w:type="dxa"/>
            <w:tcBorders>
              <w:left w:val="single" w:sz="12" w:space="0" w:color="auto"/>
              <w:right w:val="single" w:sz="12" w:space="0" w:color="auto"/>
            </w:tcBorders>
            <w:vAlign w:val="center"/>
          </w:tcPr>
          <w:p w14:paraId="76D67074" w14:textId="77777777" w:rsidR="00576735" w:rsidRPr="00576735" w:rsidRDefault="00576735" w:rsidP="00576735">
            <w:pPr>
              <w:jc w:val="center"/>
              <w:rPr>
                <w:rFonts w:ascii="Arial" w:hAnsi="Arial" w:cs="Angsana New"/>
                <w:sz w:val="16"/>
                <w:lang w:val="en-GB"/>
              </w:rPr>
            </w:pPr>
          </w:p>
        </w:tc>
      </w:tr>
      <w:tr w:rsidR="00576735" w:rsidRPr="0007416D" w14:paraId="208A184A" w14:textId="77777777" w:rsidTr="00F370E8">
        <w:trPr>
          <w:trHeight w:val="65"/>
          <w:jc w:val="center"/>
        </w:trPr>
        <w:tc>
          <w:tcPr>
            <w:tcW w:w="1979" w:type="dxa"/>
            <w:tcBorders>
              <w:left w:val="single" w:sz="12" w:space="0" w:color="auto"/>
              <w:right w:val="single" w:sz="12" w:space="0" w:color="auto"/>
            </w:tcBorders>
            <w:noWrap/>
            <w:vAlign w:val="center"/>
          </w:tcPr>
          <w:p w14:paraId="268F8DC9"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Koh Kra</w:t>
            </w:r>
          </w:p>
        </w:tc>
        <w:tc>
          <w:tcPr>
            <w:tcW w:w="900" w:type="dxa"/>
            <w:tcBorders>
              <w:left w:val="single" w:sz="12" w:space="0" w:color="auto"/>
              <w:right w:val="single" w:sz="12" w:space="0" w:color="auto"/>
            </w:tcBorders>
            <w:noWrap/>
            <w:vAlign w:val="center"/>
          </w:tcPr>
          <w:p w14:paraId="6C3F2D96"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670</w:t>
            </w:r>
          </w:p>
        </w:tc>
        <w:tc>
          <w:tcPr>
            <w:tcW w:w="1088" w:type="dxa"/>
            <w:tcBorders>
              <w:left w:val="single" w:sz="12" w:space="0" w:color="auto"/>
              <w:right w:val="single" w:sz="12" w:space="0" w:color="auto"/>
            </w:tcBorders>
            <w:noWrap/>
            <w:vAlign w:val="center"/>
          </w:tcPr>
          <w:p w14:paraId="4EC4BDF7"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40</w:t>
            </w:r>
          </w:p>
        </w:tc>
        <w:tc>
          <w:tcPr>
            <w:tcW w:w="2243" w:type="dxa"/>
            <w:tcBorders>
              <w:left w:val="single" w:sz="12" w:space="0" w:color="auto"/>
              <w:right w:val="single" w:sz="12" w:space="0" w:color="auto"/>
            </w:tcBorders>
            <w:vAlign w:val="center"/>
          </w:tcPr>
          <w:p w14:paraId="6CB88AEA"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None</w:t>
            </w:r>
          </w:p>
        </w:tc>
        <w:tc>
          <w:tcPr>
            <w:tcW w:w="1260" w:type="dxa"/>
            <w:tcBorders>
              <w:left w:val="single" w:sz="12" w:space="0" w:color="auto"/>
              <w:right w:val="single" w:sz="12" w:space="0" w:color="auto"/>
            </w:tcBorders>
            <w:vAlign w:val="center"/>
          </w:tcPr>
          <w:p w14:paraId="7EB61935"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0</w:t>
            </w:r>
          </w:p>
        </w:tc>
        <w:tc>
          <w:tcPr>
            <w:tcW w:w="1530" w:type="dxa"/>
            <w:tcBorders>
              <w:left w:val="single" w:sz="12" w:space="0" w:color="auto"/>
              <w:right w:val="single" w:sz="12" w:space="0" w:color="auto"/>
            </w:tcBorders>
            <w:vAlign w:val="center"/>
          </w:tcPr>
          <w:p w14:paraId="2AF1FD2B" w14:textId="77777777" w:rsidR="00576735" w:rsidRPr="00576735" w:rsidRDefault="00576735" w:rsidP="00576735">
            <w:pPr>
              <w:jc w:val="center"/>
              <w:rPr>
                <w:rFonts w:ascii="Arial" w:hAnsi="Arial" w:cs="Angsana New"/>
                <w:sz w:val="16"/>
                <w:lang w:val="en-GB"/>
              </w:rPr>
            </w:pPr>
          </w:p>
        </w:tc>
      </w:tr>
      <w:tr w:rsidR="00576735" w:rsidRPr="0007416D" w14:paraId="1411C15F" w14:textId="77777777" w:rsidTr="00F370E8">
        <w:trPr>
          <w:trHeight w:val="65"/>
          <w:jc w:val="center"/>
        </w:trPr>
        <w:tc>
          <w:tcPr>
            <w:tcW w:w="1979" w:type="dxa"/>
            <w:tcBorders>
              <w:left w:val="single" w:sz="12" w:space="0" w:color="auto"/>
              <w:bottom w:val="single" w:sz="12" w:space="0" w:color="auto"/>
              <w:right w:val="single" w:sz="12" w:space="0" w:color="auto"/>
            </w:tcBorders>
            <w:noWrap/>
            <w:vAlign w:val="center"/>
          </w:tcPr>
          <w:p w14:paraId="6CD2952A"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Losin</w:t>
            </w:r>
          </w:p>
        </w:tc>
        <w:tc>
          <w:tcPr>
            <w:tcW w:w="900" w:type="dxa"/>
            <w:tcBorders>
              <w:left w:val="single" w:sz="12" w:space="0" w:color="auto"/>
              <w:bottom w:val="single" w:sz="12" w:space="0" w:color="auto"/>
              <w:right w:val="single" w:sz="12" w:space="0" w:color="auto"/>
            </w:tcBorders>
            <w:noWrap/>
            <w:vAlign w:val="center"/>
          </w:tcPr>
          <w:p w14:paraId="65B154A2"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950</w:t>
            </w:r>
          </w:p>
        </w:tc>
        <w:tc>
          <w:tcPr>
            <w:tcW w:w="1088" w:type="dxa"/>
            <w:tcBorders>
              <w:left w:val="single" w:sz="12" w:space="0" w:color="auto"/>
              <w:bottom w:val="single" w:sz="12" w:space="0" w:color="auto"/>
              <w:right w:val="single" w:sz="12" w:space="0" w:color="auto"/>
            </w:tcBorders>
            <w:noWrap/>
            <w:vAlign w:val="center"/>
          </w:tcPr>
          <w:p w14:paraId="5F08A5BD"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40</w:t>
            </w:r>
          </w:p>
        </w:tc>
        <w:tc>
          <w:tcPr>
            <w:tcW w:w="2243" w:type="dxa"/>
            <w:tcBorders>
              <w:left w:val="single" w:sz="12" w:space="0" w:color="auto"/>
              <w:bottom w:val="single" w:sz="12" w:space="0" w:color="auto"/>
              <w:right w:val="single" w:sz="12" w:space="0" w:color="auto"/>
            </w:tcBorders>
            <w:vAlign w:val="center"/>
          </w:tcPr>
          <w:p w14:paraId="69CB2A29"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Navy Control Area</w:t>
            </w:r>
          </w:p>
        </w:tc>
        <w:tc>
          <w:tcPr>
            <w:tcW w:w="1260" w:type="dxa"/>
            <w:tcBorders>
              <w:left w:val="single" w:sz="12" w:space="0" w:color="auto"/>
              <w:bottom w:val="single" w:sz="12" w:space="0" w:color="auto"/>
              <w:right w:val="single" w:sz="12" w:space="0" w:color="auto"/>
            </w:tcBorders>
            <w:vAlign w:val="center"/>
          </w:tcPr>
          <w:p w14:paraId="321D5351"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950</w:t>
            </w:r>
          </w:p>
        </w:tc>
        <w:tc>
          <w:tcPr>
            <w:tcW w:w="1530" w:type="dxa"/>
            <w:tcBorders>
              <w:left w:val="single" w:sz="12" w:space="0" w:color="auto"/>
              <w:bottom w:val="single" w:sz="12" w:space="0" w:color="auto"/>
              <w:right w:val="single" w:sz="12" w:space="0" w:color="auto"/>
            </w:tcBorders>
            <w:vAlign w:val="center"/>
          </w:tcPr>
          <w:p w14:paraId="2A121DE6"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Low</w:t>
            </w:r>
          </w:p>
        </w:tc>
      </w:tr>
      <w:tr w:rsidR="00576735" w:rsidRPr="0007416D" w14:paraId="72D8BD60" w14:textId="77777777" w:rsidTr="00F370E8">
        <w:trPr>
          <w:trHeight w:val="65"/>
          <w:jc w:val="center"/>
        </w:trPr>
        <w:tc>
          <w:tcPr>
            <w:tcW w:w="1979" w:type="dxa"/>
            <w:tcBorders>
              <w:top w:val="single" w:sz="12" w:space="0" w:color="auto"/>
              <w:left w:val="single" w:sz="12" w:space="0" w:color="auto"/>
              <w:right w:val="single" w:sz="12" w:space="0" w:color="auto"/>
            </w:tcBorders>
            <w:noWrap/>
            <w:vAlign w:val="center"/>
          </w:tcPr>
          <w:p w14:paraId="08341190" w14:textId="77777777" w:rsidR="00576735" w:rsidRPr="00576735" w:rsidRDefault="00576735" w:rsidP="00576735">
            <w:pPr>
              <w:widowControl w:val="0"/>
              <w:autoSpaceDE w:val="0"/>
              <w:autoSpaceDN w:val="0"/>
              <w:adjustRightInd w:val="0"/>
              <w:rPr>
                <w:rFonts w:ascii="Arial" w:hAnsi="Arial" w:cs="Angsana New"/>
                <w:b/>
                <w:sz w:val="16"/>
                <w:lang w:val="en-GB"/>
              </w:rPr>
            </w:pPr>
            <w:r w:rsidRPr="00576735">
              <w:rPr>
                <w:rFonts w:ascii="Arial" w:hAnsi="Arial" w:cs="Angsana New"/>
                <w:b/>
                <w:sz w:val="16"/>
                <w:lang w:val="en-GB"/>
              </w:rPr>
              <w:t>Viet Nam</w:t>
            </w:r>
          </w:p>
        </w:tc>
        <w:tc>
          <w:tcPr>
            <w:tcW w:w="900" w:type="dxa"/>
            <w:tcBorders>
              <w:top w:val="single" w:sz="12" w:space="0" w:color="auto"/>
              <w:left w:val="single" w:sz="12" w:space="0" w:color="auto"/>
              <w:right w:val="single" w:sz="12" w:space="0" w:color="auto"/>
            </w:tcBorders>
            <w:noWrap/>
            <w:vAlign w:val="center"/>
          </w:tcPr>
          <w:p w14:paraId="50926FB1"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110,000</w:t>
            </w:r>
          </w:p>
        </w:tc>
        <w:tc>
          <w:tcPr>
            <w:tcW w:w="1088" w:type="dxa"/>
            <w:tcBorders>
              <w:top w:val="single" w:sz="12" w:space="0" w:color="auto"/>
              <w:left w:val="single" w:sz="12" w:space="0" w:color="auto"/>
              <w:right w:val="single" w:sz="12" w:space="0" w:color="auto"/>
            </w:tcBorders>
            <w:noWrap/>
            <w:vAlign w:val="center"/>
          </w:tcPr>
          <w:p w14:paraId="1CD3C3DA" w14:textId="77777777" w:rsidR="00576735" w:rsidRPr="00576735" w:rsidRDefault="00576735" w:rsidP="00576735">
            <w:pPr>
              <w:widowControl w:val="0"/>
              <w:autoSpaceDE w:val="0"/>
              <w:autoSpaceDN w:val="0"/>
              <w:adjustRightInd w:val="0"/>
              <w:jc w:val="center"/>
              <w:rPr>
                <w:rFonts w:ascii="Arial" w:hAnsi="Arial" w:cs="Angsana New"/>
                <w:sz w:val="16"/>
                <w:lang w:val="en-GB"/>
              </w:rPr>
            </w:pPr>
          </w:p>
        </w:tc>
        <w:tc>
          <w:tcPr>
            <w:tcW w:w="2243" w:type="dxa"/>
            <w:tcBorders>
              <w:top w:val="single" w:sz="12" w:space="0" w:color="auto"/>
              <w:left w:val="single" w:sz="12" w:space="0" w:color="auto"/>
              <w:right w:val="single" w:sz="12" w:space="0" w:color="auto"/>
            </w:tcBorders>
            <w:vAlign w:val="center"/>
          </w:tcPr>
          <w:p w14:paraId="030D40EA" w14:textId="77777777" w:rsidR="00576735" w:rsidRPr="00576735" w:rsidRDefault="00576735" w:rsidP="00576735">
            <w:pPr>
              <w:rPr>
                <w:rFonts w:ascii="Arial" w:hAnsi="Arial" w:cs="Angsana New"/>
                <w:sz w:val="16"/>
                <w:lang w:val="en-GB"/>
              </w:rPr>
            </w:pPr>
          </w:p>
        </w:tc>
        <w:tc>
          <w:tcPr>
            <w:tcW w:w="1260" w:type="dxa"/>
            <w:tcBorders>
              <w:top w:val="single" w:sz="12" w:space="0" w:color="auto"/>
              <w:left w:val="single" w:sz="12" w:space="0" w:color="auto"/>
              <w:right w:val="single" w:sz="12" w:space="0" w:color="auto"/>
            </w:tcBorders>
            <w:vAlign w:val="center"/>
          </w:tcPr>
          <w:p w14:paraId="2E8005C2"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2,270</w:t>
            </w:r>
          </w:p>
        </w:tc>
        <w:tc>
          <w:tcPr>
            <w:tcW w:w="1530" w:type="dxa"/>
            <w:tcBorders>
              <w:top w:val="single" w:sz="12" w:space="0" w:color="auto"/>
              <w:left w:val="single" w:sz="12" w:space="0" w:color="auto"/>
              <w:right w:val="single" w:sz="12" w:space="0" w:color="auto"/>
            </w:tcBorders>
            <w:vAlign w:val="center"/>
          </w:tcPr>
          <w:p w14:paraId="0069B887" w14:textId="77777777" w:rsidR="00576735" w:rsidRPr="00576735" w:rsidRDefault="00576735" w:rsidP="00576735">
            <w:pPr>
              <w:jc w:val="center"/>
              <w:rPr>
                <w:rFonts w:ascii="Arial" w:hAnsi="Arial" w:cs="Angsana New"/>
                <w:sz w:val="16"/>
                <w:lang w:val="en-GB"/>
              </w:rPr>
            </w:pPr>
          </w:p>
        </w:tc>
      </w:tr>
      <w:tr w:rsidR="00576735" w:rsidRPr="0007416D" w14:paraId="48561E1A" w14:textId="77777777" w:rsidTr="00F370E8">
        <w:trPr>
          <w:trHeight w:val="65"/>
          <w:jc w:val="center"/>
        </w:trPr>
        <w:tc>
          <w:tcPr>
            <w:tcW w:w="1979" w:type="dxa"/>
            <w:tcBorders>
              <w:left w:val="single" w:sz="12" w:space="0" w:color="auto"/>
              <w:right w:val="single" w:sz="12" w:space="0" w:color="auto"/>
            </w:tcBorders>
            <w:noWrap/>
            <w:vAlign w:val="center"/>
          </w:tcPr>
          <w:p w14:paraId="7FE5FDC4"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Cu Lao Cham</w:t>
            </w:r>
          </w:p>
        </w:tc>
        <w:tc>
          <w:tcPr>
            <w:tcW w:w="900" w:type="dxa"/>
            <w:tcBorders>
              <w:left w:val="single" w:sz="12" w:space="0" w:color="auto"/>
              <w:right w:val="single" w:sz="12" w:space="0" w:color="auto"/>
            </w:tcBorders>
            <w:noWrap/>
            <w:vAlign w:val="center"/>
          </w:tcPr>
          <w:p w14:paraId="35453407"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200</w:t>
            </w:r>
          </w:p>
        </w:tc>
        <w:tc>
          <w:tcPr>
            <w:tcW w:w="1088" w:type="dxa"/>
            <w:tcBorders>
              <w:left w:val="single" w:sz="12" w:space="0" w:color="auto"/>
              <w:right w:val="single" w:sz="12" w:space="0" w:color="auto"/>
            </w:tcBorders>
            <w:noWrap/>
            <w:vAlign w:val="center"/>
          </w:tcPr>
          <w:p w14:paraId="3AE9B2B5"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34</w:t>
            </w:r>
          </w:p>
        </w:tc>
        <w:tc>
          <w:tcPr>
            <w:tcW w:w="2243" w:type="dxa"/>
            <w:tcBorders>
              <w:left w:val="single" w:sz="12" w:space="0" w:color="auto"/>
              <w:right w:val="single" w:sz="12" w:space="0" w:color="auto"/>
            </w:tcBorders>
            <w:vAlign w:val="center"/>
          </w:tcPr>
          <w:p w14:paraId="32798C24"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MPA</w:t>
            </w:r>
          </w:p>
        </w:tc>
        <w:tc>
          <w:tcPr>
            <w:tcW w:w="1260" w:type="dxa"/>
            <w:tcBorders>
              <w:left w:val="single" w:sz="12" w:space="0" w:color="auto"/>
              <w:right w:val="single" w:sz="12" w:space="0" w:color="auto"/>
            </w:tcBorders>
            <w:vAlign w:val="center"/>
          </w:tcPr>
          <w:p w14:paraId="7C02185E"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100</w:t>
            </w:r>
          </w:p>
        </w:tc>
        <w:tc>
          <w:tcPr>
            <w:tcW w:w="1530" w:type="dxa"/>
            <w:tcBorders>
              <w:left w:val="single" w:sz="12" w:space="0" w:color="auto"/>
              <w:right w:val="single" w:sz="12" w:space="0" w:color="auto"/>
            </w:tcBorders>
            <w:vAlign w:val="center"/>
          </w:tcPr>
          <w:p w14:paraId="776DBF70"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5E5D9969" w14:textId="77777777" w:rsidTr="00F370E8">
        <w:trPr>
          <w:trHeight w:val="65"/>
          <w:jc w:val="center"/>
        </w:trPr>
        <w:tc>
          <w:tcPr>
            <w:tcW w:w="1979" w:type="dxa"/>
            <w:tcBorders>
              <w:left w:val="single" w:sz="12" w:space="0" w:color="auto"/>
              <w:right w:val="single" w:sz="12" w:space="0" w:color="auto"/>
            </w:tcBorders>
            <w:noWrap/>
            <w:vAlign w:val="center"/>
          </w:tcPr>
          <w:p w14:paraId="2ACDB35F"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Nha Trang bay</w:t>
            </w:r>
          </w:p>
        </w:tc>
        <w:tc>
          <w:tcPr>
            <w:tcW w:w="900" w:type="dxa"/>
            <w:tcBorders>
              <w:left w:val="single" w:sz="12" w:space="0" w:color="auto"/>
              <w:right w:val="single" w:sz="12" w:space="0" w:color="auto"/>
            </w:tcBorders>
            <w:noWrap/>
            <w:vAlign w:val="center"/>
          </w:tcPr>
          <w:p w14:paraId="30671AE1"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570</w:t>
            </w:r>
          </w:p>
        </w:tc>
        <w:tc>
          <w:tcPr>
            <w:tcW w:w="1088" w:type="dxa"/>
            <w:tcBorders>
              <w:left w:val="single" w:sz="12" w:space="0" w:color="auto"/>
              <w:right w:val="single" w:sz="12" w:space="0" w:color="auto"/>
            </w:tcBorders>
            <w:noWrap/>
            <w:vAlign w:val="center"/>
          </w:tcPr>
          <w:p w14:paraId="7E7EFBA2"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26</w:t>
            </w:r>
          </w:p>
        </w:tc>
        <w:tc>
          <w:tcPr>
            <w:tcW w:w="2243" w:type="dxa"/>
            <w:tcBorders>
              <w:left w:val="single" w:sz="12" w:space="0" w:color="auto"/>
              <w:right w:val="single" w:sz="12" w:space="0" w:color="auto"/>
            </w:tcBorders>
            <w:vAlign w:val="center"/>
          </w:tcPr>
          <w:p w14:paraId="68886425"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MPA</w:t>
            </w:r>
          </w:p>
        </w:tc>
        <w:tc>
          <w:tcPr>
            <w:tcW w:w="1260" w:type="dxa"/>
            <w:tcBorders>
              <w:left w:val="single" w:sz="12" w:space="0" w:color="auto"/>
              <w:right w:val="single" w:sz="12" w:space="0" w:color="auto"/>
            </w:tcBorders>
            <w:vAlign w:val="center"/>
          </w:tcPr>
          <w:p w14:paraId="5376C7AA"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100</w:t>
            </w:r>
          </w:p>
        </w:tc>
        <w:tc>
          <w:tcPr>
            <w:tcW w:w="1530" w:type="dxa"/>
            <w:tcBorders>
              <w:left w:val="single" w:sz="12" w:space="0" w:color="auto"/>
              <w:right w:val="single" w:sz="12" w:space="0" w:color="auto"/>
            </w:tcBorders>
            <w:vAlign w:val="center"/>
          </w:tcPr>
          <w:p w14:paraId="0ED6B800"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460AE81C" w14:textId="77777777" w:rsidTr="00F370E8">
        <w:trPr>
          <w:trHeight w:val="65"/>
          <w:jc w:val="center"/>
        </w:trPr>
        <w:tc>
          <w:tcPr>
            <w:tcW w:w="1979" w:type="dxa"/>
            <w:tcBorders>
              <w:left w:val="single" w:sz="12" w:space="0" w:color="auto"/>
              <w:right w:val="single" w:sz="12" w:space="0" w:color="auto"/>
            </w:tcBorders>
            <w:noWrap/>
            <w:vAlign w:val="center"/>
          </w:tcPr>
          <w:p w14:paraId="47D340F0"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Con Dao</w:t>
            </w:r>
          </w:p>
        </w:tc>
        <w:tc>
          <w:tcPr>
            <w:tcW w:w="900" w:type="dxa"/>
            <w:tcBorders>
              <w:left w:val="single" w:sz="12" w:space="0" w:color="auto"/>
              <w:right w:val="single" w:sz="12" w:space="0" w:color="auto"/>
            </w:tcBorders>
            <w:noWrap/>
            <w:vAlign w:val="center"/>
          </w:tcPr>
          <w:p w14:paraId="0E6F1154"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1,000</w:t>
            </w:r>
          </w:p>
        </w:tc>
        <w:tc>
          <w:tcPr>
            <w:tcW w:w="1088" w:type="dxa"/>
            <w:tcBorders>
              <w:left w:val="single" w:sz="12" w:space="0" w:color="auto"/>
              <w:right w:val="single" w:sz="12" w:space="0" w:color="auto"/>
            </w:tcBorders>
            <w:noWrap/>
            <w:vAlign w:val="center"/>
          </w:tcPr>
          <w:p w14:paraId="55F88AB2"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23</w:t>
            </w:r>
          </w:p>
        </w:tc>
        <w:tc>
          <w:tcPr>
            <w:tcW w:w="2243" w:type="dxa"/>
            <w:tcBorders>
              <w:left w:val="single" w:sz="12" w:space="0" w:color="auto"/>
              <w:right w:val="single" w:sz="12" w:space="0" w:color="auto"/>
            </w:tcBorders>
            <w:vAlign w:val="center"/>
          </w:tcPr>
          <w:p w14:paraId="3AEDBDEF"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National Park</w:t>
            </w:r>
          </w:p>
        </w:tc>
        <w:tc>
          <w:tcPr>
            <w:tcW w:w="1260" w:type="dxa"/>
            <w:tcBorders>
              <w:left w:val="single" w:sz="12" w:space="0" w:color="auto"/>
              <w:right w:val="single" w:sz="12" w:space="0" w:color="auto"/>
            </w:tcBorders>
            <w:vAlign w:val="center"/>
          </w:tcPr>
          <w:p w14:paraId="4D9C498C"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1,000</w:t>
            </w:r>
          </w:p>
        </w:tc>
        <w:tc>
          <w:tcPr>
            <w:tcW w:w="1530" w:type="dxa"/>
            <w:tcBorders>
              <w:left w:val="single" w:sz="12" w:space="0" w:color="auto"/>
              <w:right w:val="single" w:sz="12" w:space="0" w:color="auto"/>
            </w:tcBorders>
            <w:vAlign w:val="center"/>
          </w:tcPr>
          <w:p w14:paraId="7FBE63E3"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242ECAF7" w14:textId="77777777" w:rsidTr="00F370E8">
        <w:trPr>
          <w:trHeight w:val="65"/>
          <w:jc w:val="center"/>
        </w:trPr>
        <w:tc>
          <w:tcPr>
            <w:tcW w:w="1979" w:type="dxa"/>
            <w:tcBorders>
              <w:left w:val="single" w:sz="12" w:space="0" w:color="auto"/>
              <w:right w:val="single" w:sz="12" w:space="0" w:color="auto"/>
            </w:tcBorders>
            <w:noWrap/>
            <w:vAlign w:val="center"/>
          </w:tcPr>
          <w:p w14:paraId="2B7762B3"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Phu Quoc</w:t>
            </w:r>
          </w:p>
        </w:tc>
        <w:tc>
          <w:tcPr>
            <w:tcW w:w="900" w:type="dxa"/>
            <w:tcBorders>
              <w:left w:val="single" w:sz="12" w:space="0" w:color="auto"/>
              <w:right w:val="single" w:sz="12" w:space="0" w:color="auto"/>
            </w:tcBorders>
            <w:noWrap/>
            <w:vAlign w:val="center"/>
          </w:tcPr>
          <w:p w14:paraId="1E122F6B"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600</w:t>
            </w:r>
          </w:p>
        </w:tc>
        <w:tc>
          <w:tcPr>
            <w:tcW w:w="1088" w:type="dxa"/>
            <w:tcBorders>
              <w:left w:val="single" w:sz="12" w:space="0" w:color="auto"/>
              <w:right w:val="single" w:sz="12" w:space="0" w:color="auto"/>
            </w:tcBorders>
            <w:noWrap/>
            <w:vAlign w:val="center"/>
          </w:tcPr>
          <w:p w14:paraId="3AB1CCCD"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42</w:t>
            </w:r>
          </w:p>
        </w:tc>
        <w:tc>
          <w:tcPr>
            <w:tcW w:w="2243" w:type="dxa"/>
            <w:tcBorders>
              <w:left w:val="single" w:sz="12" w:space="0" w:color="auto"/>
              <w:right w:val="single" w:sz="12" w:space="0" w:color="auto"/>
            </w:tcBorders>
            <w:vAlign w:val="center"/>
          </w:tcPr>
          <w:p w14:paraId="520A9F66"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Proposed MPA</w:t>
            </w:r>
          </w:p>
        </w:tc>
        <w:tc>
          <w:tcPr>
            <w:tcW w:w="1260" w:type="dxa"/>
            <w:tcBorders>
              <w:left w:val="single" w:sz="12" w:space="0" w:color="auto"/>
              <w:right w:val="single" w:sz="12" w:space="0" w:color="auto"/>
            </w:tcBorders>
            <w:vAlign w:val="center"/>
          </w:tcPr>
          <w:p w14:paraId="7C91FE78"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0</w:t>
            </w:r>
          </w:p>
        </w:tc>
        <w:tc>
          <w:tcPr>
            <w:tcW w:w="1530" w:type="dxa"/>
            <w:tcBorders>
              <w:left w:val="single" w:sz="12" w:space="0" w:color="auto"/>
              <w:right w:val="single" w:sz="12" w:space="0" w:color="auto"/>
            </w:tcBorders>
            <w:vAlign w:val="center"/>
          </w:tcPr>
          <w:p w14:paraId="07DC2973" w14:textId="77777777" w:rsidR="00576735" w:rsidRPr="00576735" w:rsidRDefault="00576735" w:rsidP="00576735">
            <w:pPr>
              <w:jc w:val="center"/>
              <w:rPr>
                <w:rFonts w:ascii="Arial" w:hAnsi="Arial" w:cs="Angsana New"/>
                <w:sz w:val="16"/>
                <w:lang w:val="en-GB"/>
              </w:rPr>
            </w:pPr>
          </w:p>
        </w:tc>
      </w:tr>
      <w:tr w:rsidR="00576735" w:rsidRPr="0007416D" w14:paraId="732FE358" w14:textId="77777777" w:rsidTr="00F370E8">
        <w:trPr>
          <w:trHeight w:val="65"/>
          <w:jc w:val="center"/>
        </w:trPr>
        <w:tc>
          <w:tcPr>
            <w:tcW w:w="1979" w:type="dxa"/>
            <w:tcBorders>
              <w:left w:val="single" w:sz="12" w:space="0" w:color="auto"/>
              <w:right w:val="single" w:sz="12" w:space="0" w:color="auto"/>
            </w:tcBorders>
            <w:noWrap/>
            <w:vAlign w:val="center"/>
          </w:tcPr>
          <w:p w14:paraId="322D2353"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Ninh Hai</w:t>
            </w:r>
          </w:p>
        </w:tc>
        <w:tc>
          <w:tcPr>
            <w:tcW w:w="900" w:type="dxa"/>
            <w:tcBorders>
              <w:left w:val="single" w:sz="12" w:space="0" w:color="auto"/>
              <w:right w:val="single" w:sz="12" w:space="0" w:color="auto"/>
            </w:tcBorders>
            <w:noWrap/>
            <w:vAlign w:val="center"/>
          </w:tcPr>
          <w:p w14:paraId="08B0E678"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1,070</w:t>
            </w:r>
          </w:p>
        </w:tc>
        <w:tc>
          <w:tcPr>
            <w:tcW w:w="1088" w:type="dxa"/>
            <w:tcBorders>
              <w:left w:val="single" w:sz="12" w:space="0" w:color="auto"/>
              <w:right w:val="single" w:sz="12" w:space="0" w:color="auto"/>
            </w:tcBorders>
            <w:noWrap/>
            <w:vAlign w:val="center"/>
          </w:tcPr>
          <w:p w14:paraId="05864FBB"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37</w:t>
            </w:r>
          </w:p>
        </w:tc>
        <w:tc>
          <w:tcPr>
            <w:tcW w:w="2243" w:type="dxa"/>
            <w:tcBorders>
              <w:left w:val="single" w:sz="12" w:space="0" w:color="auto"/>
              <w:right w:val="single" w:sz="12" w:space="0" w:color="auto"/>
            </w:tcBorders>
            <w:vAlign w:val="center"/>
          </w:tcPr>
          <w:p w14:paraId="0CAD6D03"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Proposed MPA &amp; Community -based Management</w:t>
            </w:r>
          </w:p>
        </w:tc>
        <w:tc>
          <w:tcPr>
            <w:tcW w:w="1260" w:type="dxa"/>
            <w:tcBorders>
              <w:left w:val="single" w:sz="12" w:space="0" w:color="auto"/>
              <w:right w:val="single" w:sz="12" w:space="0" w:color="auto"/>
            </w:tcBorders>
            <w:vAlign w:val="center"/>
          </w:tcPr>
          <w:p w14:paraId="743BC8C7"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1,070</w:t>
            </w:r>
          </w:p>
        </w:tc>
        <w:tc>
          <w:tcPr>
            <w:tcW w:w="1530" w:type="dxa"/>
            <w:tcBorders>
              <w:left w:val="single" w:sz="12" w:space="0" w:color="auto"/>
              <w:right w:val="single" w:sz="12" w:space="0" w:color="auto"/>
            </w:tcBorders>
            <w:vAlign w:val="center"/>
          </w:tcPr>
          <w:p w14:paraId="34927F71"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26478248" w14:textId="77777777" w:rsidTr="00F370E8">
        <w:trPr>
          <w:trHeight w:val="65"/>
          <w:jc w:val="center"/>
        </w:trPr>
        <w:tc>
          <w:tcPr>
            <w:tcW w:w="1979" w:type="dxa"/>
            <w:tcBorders>
              <w:left w:val="single" w:sz="12" w:space="0" w:color="auto"/>
              <w:right w:val="single" w:sz="12" w:space="0" w:color="auto"/>
            </w:tcBorders>
            <w:noWrap/>
            <w:vAlign w:val="center"/>
          </w:tcPr>
          <w:p w14:paraId="0F31AA3F"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Ca Na bay</w:t>
            </w:r>
          </w:p>
        </w:tc>
        <w:tc>
          <w:tcPr>
            <w:tcW w:w="900" w:type="dxa"/>
            <w:tcBorders>
              <w:left w:val="single" w:sz="12" w:space="0" w:color="auto"/>
              <w:right w:val="single" w:sz="12" w:space="0" w:color="auto"/>
            </w:tcBorders>
            <w:noWrap/>
            <w:vAlign w:val="center"/>
          </w:tcPr>
          <w:p w14:paraId="7F5CEF5A"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2,270</w:t>
            </w:r>
          </w:p>
        </w:tc>
        <w:tc>
          <w:tcPr>
            <w:tcW w:w="1088" w:type="dxa"/>
            <w:tcBorders>
              <w:left w:val="single" w:sz="12" w:space="0" w:color="auto"/>
              <w:right w:val="single" w:sz="12" w:space="0" w:color="auto"/>
            </w:tcBorders>
            <w:noWrap/>
            <w:vAlign w:val="center"/>
          </w:tcPr>
          <w:p w14:paraId="2B573FF1"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41</w:t>
            </w:r>
          </w:p>
        </w:tc>
        <w:tc>
          <w:tcPr>
            <w:tcW w:w="2243" w:type="dxa"/>
            <w:tcBorders>
              <w:left w:val="single" w:sz="12" w:space="0" w:color="auto"/>
              <w:right w:val="single" w:sz="12" w:space="0" w:color="auto"/>
            </w:tcBorders>
            <w:vAlign w:val="center"/>
          </w:tcPr>
          <w:p w14:paraId="4D3CB7EC"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Proposed MPA</w:t>
            </w:r>
          </w:p>
        </w:tc>
        <w:tc>
          <w:tcPr>
            <w:tcW w:w="1260" w:type="dxa"/>
            <w:tcBorders>
              <w:left w:val="single" w:sz="12" w:space="0" w:color="auto"/>
              <w:right w:val="single" w:sz="12" w:space="0" w:color="auto"/>
            </w:tcBorders>
            <w:vAlign w:val="center"/>
          </w:tcPr>
          <w:p w14:paraId="2D68BB7E"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0</w:t>
            </w:r>
          </w:p>
        </w:tc>
        <w:tc>
          <w:tcPr>
            <w:tcW w:w="1530" w:type="dxa"/>
            <w:tcBorders>
              <w:left w:val="single" w:sz="12" w:space="0" w:color="auto"/>
              <w:right w:val="single" w:sz="12" w:space="0" w:color="auto"/>
            </w:tcBorders>
            <w:vAlign w:val="center"/>
          </w:tcPr>
          <w:p w14:paraId="25ED93B0" w14:textId="77777777" w:rsidR="00576735" w:rsidRPr="00576735" w:rsidRDefault="00576735" w:rsidP="00576735">
            <w:pPr>
              <w:jc w:val="center"/>
              <w:rPr>
                <w:rFonts w:ascii="Arial" w:hAnsi="Arial" w:cs="Angsana New"/>
                <w:sz w:val="16"/>
                <w:lang w:val="en-GB"/>
              </w:rPr>
            </w:pPr>
          </w:p>
        </w:tc>
      </w:tr>
      <w:tr w:rsidR="00576735" w:rsidRPr="0007416D" w14:paraId="0501DB08" w14:textId="77777777" w:rsidTr="00F370E8">
        <w:trPr>
          <w:trHeight w:val="65"/>
          <w:jc w:val="center"/>
        </w:trPr>
        <w:tc>
          <w:tcPr>
            <w:tcW w:w="1979" w:type="dxa"/>
            <w:tcBorders>
              <w:left w:val="single" w:sz="12" w:space="0" w:color="auto"/>
              <w:right w:val="single" w:sz="12" w:space="0" w:color="auto"/>
            </w:tcBorders>
            <w:noWrap/>
            <w:vAlign w:val="center"/>
          </w:tcPr>
          <w:p w14:paraId="205DD89A"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Ha Long - Cat Ba</w:t>
            </w:r>
          </w:p>
        </w:tc>
        <w:tc>
          <w:tcPr>
            <w:tcW w:w="900" w:type="dxa"/>
            <w:tcBorders>
              <w:left w:val="single" w:sz="12" w:space="0" w:color="auto"/>
              <w:right w:val="single" w:sz="12" w:space="0" w:color="auto"/>
            </w:tcBorders>
            <w:noWrap/>
            <w:vAlign w:val="center"/>
          </w:tcPr>
          <w:p w14:paraId="4B4B5A9F"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N/A</w:t>
            </w:r>
          </w:p>
        </w:tc>
        <w:tc>
          <w:tcPr>
            <w:tcW w:w="1088" w:type="dxa"/>
            <w:tcBorders>
              <w:left w:val="single" w:sz="12" w:space="0" w:color="auto"/>
              <w:right w:val="single" w:sz="12" w:space="0" w:color="auto"/>
            </w:tcBorders>
            <w:noWrap/>
            <w:vAlign w:val="center"/>
          </w:tcPr>
          <w:p w14:paraId="24E054F7"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43</w:t>
            </w:r>
          </w:p>
        </w:tc>
        <w:tc>
          <w:tcPr>
            <w:tcW w:w="2243" w:type="dxa"/>
            <w:tcBorders>
              <w:left w:val="single" w:sz="12" w:space="0" w:color="auto"/>
              <w:right w:val="single" w:sz="12" w:space="0" w:color="auto"/>
            </w:tcBorders>
            <w:vAlign w:val="center"/>
          </w:tcPr>
          <w:p w14:paraId="4D283AFB"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World Heritage &amp; National Park</w:t>
            </w:r>
          </w:p>
        </w:tc>
        <w:tc>
          <w:tcPr>
            <w:tcW w:w="1260" w:type="dxa"/>
            <w:tcBorders>
              <w:left w:val="single" w:sz="12" w:space="0" w:color="auto"/>
              <w:right w:val="single" w:sz="12" w:space="0" w:color="auto"/>
            </w:tcBorders>
            <w:vAlign w:val="center"/>
          </w:tcPr>
          <w:p w14:paraId="1B6B9251"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No Available</w:t>
            </w:r>
          </w:p>
        </w:tc>
        <w:tc>
          <w:tcPr>
            <w:tcW w:w="1530" w:type="dxa"/>
            <w:tcBorders>
              <w:left w:val="single" w:sz="12" w:space="0" w:color="auto"/>
              <w:right w:val="single" w:sz="12" w:space="0" w:color="auto"/>
            </w:tcBorders>
            <w:vAlign w:val="center"/>
          </w:tcPr>
          <w:p w14:paraId="08D8ECD2" w14:textId="77777777" w:rsidR="00576735" w:rsidRPr="00576735" w:rsidRDefault="00576735" w:rsidP="00576735">
            <w:pPr>
              <w:jc w:val="center"/>
              <w:rPr>
                <w:rFonts w:ascii="Arial" w:hAnsi="Arial" w:cs="Angsana New"/>
                <w:sz w:val="16"/>
                <w:lang w:val="en-GB"/>
              </w:rPr>
            </w:pPr>
            <w:r w:rsidRPr="00576735">
              <w:rPr>
                <w:rFonts w:ascii="Arial" w:hAnsi="Arial" w:cs="Angsana New"/>
                <w:sz w:val="16"/>
                <w:lang w:val="en-GB"/>
              </w:rPr>
              <w:t>Medium</w:t>
            </w:r>
          </w:p>
        </w:tc>
      </w:tr>
      <w:tr w:rsidR="00576735" w:rsidRPr="0007416D" w14:paraId="357B4173" w14:textId="77777777" w:rsidTr="00F370E8">
        <w:trPr>
          <w:trHeight w:val="65"/>
          <w:jc w:val="center"/>
        </w:trPr>
        <w:tc>
          <w:tcPr>
            <w:tcW w:w="1979" w:type="dxa"/>
            <w:tcBorders>
              <w:left w:val="single" w:sz="12" w:space="0" w:color="auto"/>
              <w:right w:val="single" w:sz="12" w:space="0" w:color="auto"/>
            </w:tcBorders>
            <w:noWrap/>
            <w:vAlign w:val="center"/>
          </w:tcPr>
          <w:p w14:paraId="333C71DD"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Hai Van - Son Tra</w:t>
            </w:r>
          </w:p>
        </w:tc>
        <w:tc>
          <w:tcPr>
            <w:tcW w:w="900" w:type="dxa"/>
            <w:tcBorders>
              <w:left w:val="single" w:sz="12" w:space="0" w:color="auto"/>
              <w:right w:val="single" w:sz="12" w:space="0" w:color="auto"/>
            </w:tcBorders>
            <w:noWrap/>
            <w:vAlign w:val="center"/>
          </w:tcPr>
          <w:p w14:paraId="30E8E85A"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N/A</w:t>
            </w:r>
          </w:p>
        </w:tc>
        <w:tc>
          <w:tcPr>
            <w:tcW w:w="1088" w:type="dxa"/>
            <w:tcBorders>
              <w:left w:val="single" w:sz="12" w:space="0" w:color="auto"/>
              <w:right w:val="single" w:sz="12" w:space="0" w:color="auto"/>
            </w:tcBorders>
            <w:noWrap/>
            <w:vAlign w:val="center"/>
          </w:tcPr>
          <w:p w14:paraId="72269FF5"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51</w:t>
            </w:r>
          </w:p>
        </w:tc>
        <w:tc>
          <w:tcPr>
            <w:tcW w:w="2243" w:type="dxa"/>
            <w:tcBorders>
              <w:left w:val="single" w:sz="12" w:space="0" w:color="auto"/>
              <w:right w:val="single" w:sz="12" w:space="0" w:color="auto"/>
            </w:tcBorders>
            <w:vAlign w:val="center"/>
          </w:tcPr>
          <w:p w14:paraId="4ED35CFC"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Proposed MPA</w:t>
            </w:r>
          </w:p>
        </w:tc>
        <w:tc>
          <w:tcPr>
            <w:tcW w:w="1260" w:type="dxa"/>
            <w:tcBorders>
              <w:left w:val="single" w:sz="12" w:space="0" w:color="auto"/>
              <w:right w:val="single" w:sz="12" w:space="0" w:color="auto"/>
            </w:tcBorders>
            <w:vAlign w:val="center"/>
          </w:tcPr>
          <w:p w14:paraId="1DA30771"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0</w:t>
            </w:r>
          </w:p>
        </w:tc>
        <w:tc>
          <w:tcPr>
            <w:tcW w:w="1530" w:type="dxa"/>
            <w:tcBorders>
              <w:left w:val="single" w:sz="12" w:space="0" w:color="auto"/>
              <w:right w:val="single" w:sz="12" w:space="0" w:color="auto"/>
            </w:tcBorders>
            <w:vAlign w:val="center"/>
          </w:tcPr>
          <w:p w14:paraId="12613001" w14:textId="77777777" w:rsidR="00576735" w:rsidRPr="00576735" w:rsidRDefault="00576735" w:rsidP="00576735">
            <w:pPr>
              <w:jc w:val="center"/>
              <w:rPr>
                <w:rFonts w:ascii="Arial" w:hAnsi="Arial" w:cs="Angsana New"/>
                <w:sz w:val="16"/>
                <w:lang w:val="en-GB"/>
              </w:rPr>
            </w:pPr>
          </w:p>
        </w:tc>
      </w:tr>
      <w:tr w:rsidR="00576735" w:rsidRPr="0007416D" w14:paraId="4C7AEDA8" w14:textId="77777777" w:rsidTr="00F370E8">
        <w:trPr>
          <w:trHeight w:val="65"/>
          <w:jc w:val="center"/>
        </w:trPr>
        <w:tc>
          <w:tcPr>
            <w:tcW w:w="1979" w:type="dxa"/>
            <w:tcBorders>
              <w:left w:val="single" w:sz="12" w:space="0" w:color="auto"/>
              <w:bottom w:val="single" w:sz="12" w:space="0" w:color="auto"/>
              <w:right w:val="single" w:sz="12" w:space="0" w:color="auto"/>
            </w:tcBorders>
            <w:noWrap/>
            <w:vAlign w:val="center"/>
          </w:tcPr>
          <w:p w14:paraId="548A9D43" w14:textId="77777777" w:rsidR="00576735" w:rsidRPr="00576735" w:rsidRDefault="00576735" w:rsidP="00576735">
            <w:pPr>
              <w:widowControl w:val="0"/>
              <w:autoSpaceDE w:val="0"/>
              <w:autoSpaceDN w:val="0"/>
              <w:adjustRightInd w:val="0"/>
              <w:rPr>
                <w:rFonts w:ascii="Arial" w:hAnsi="Arial" w:cs="Angsana New"/>
                <w:sz w:val="16"/>
                <w:lang w:val="en-GB"/>
              </w:rPr>
            </w:pPr>
            <w:r w:rsidRPr="00576735">
              <w:rPr>
                <w:rFonts w:ascii="Arial" w:hAnsi="Arial" w:cs="Angsana New"/>
                <w:sz w:val="16"/>
                <w:lang w:val="en-GB"/>
              </w:rPr>
              <w:t xml:space="preserve">Bach Long Vi </w:t>
            </w:r>
          </w:p>
        </w:tc>
        <w:tc>
          <w:tcPr>
            <w:tcW w:w="900" w:type="dxa"/>
            <w:tcBorders>
              <w:left w:val="single" w:sz="12" w:space="0" w:color="auto"/>
              <w:bottom w:val="single" w:sz="12" w:space="0" w:color="auto"/>
              <w:right w:val="single" w:sz="12" w:space="0" w:color="auto"/>
            </w:tcBorders>
            <w:noWrap/>
            <w:vAlign w:val="center"/>
          </w:tcPr>
          <w:p w14:paraId="64BFEDED"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N/A</w:t>
            </w:r>
          </w:p>
        </w:tc>
        <w:tc>
          <w:tcPr>
            <w:tcW w:w="1088" w:type="dxa"/>
            <w:tcBorders>
              <w:left w:val="single" w:sz="12" w:space="0" w:color="auto"/>
              <w:bottom w:val="single" w:sz="12" w:space="0" w:color="auto"/>
              <w:right w:val="single" w:sz="12" w:space="0" w:color="auto"/>
            </w:tcBorders>
            <w:noWrap/>
            <w:vAlign w:val="center"/>
          </w:tcPr>
          <w:p w14:paraId="32178E17" w14:textId="77777777" w:rsidR="00576735" w:rsidRPr="00576735" w:rsidRDefault="00576735" w:rsidP="00576735">
            <w:pPr>
              <w:widowControl w:val="0"/>
              <w:autoSpaceDE w:val="0"/>
              <w:autoSpaceDN w:val="0"/>
              <w:adjustRightInd w:val="0"/>
              <w:jc w:val="center"/>
              <w:rPr>
                <w:rFonts w:ascii="Arial" w:hAnsi="Arial" w:cs="Angsana New"/>
                <w:sz w:val="16"/>
                <w:lang w:val="en-GB"/>
              </w:rPr>
            </w:pPr>
            <w:r w:rsidRPr="00576735">
              <w:rPr>
                <w:rFonts w:ascii="Arial" w:hAnsi="Arial" w:cs="Angsana New"/>
                <w:sz w:val="16"/>
                <w:lang w:val="en-GB"/>
              </w:rPr>
              <w:t>22</w:t>
            </w:r>
          </w:p>
        </w:tc>
        <w:tc>
          <w:tcPr>
            <w:tcW w:w="2243" w:type="dxa"/>
            <w:tcBorders>
              <w:left w:val="single" w:sz="12" w:space="0" w:color="auto"/>
              <w:bottom w:val="single" w:sz="12" w:space="0" w:color="auto"/>
              <w:right w:val="single" w:sz="12" w:space="0" w:color="auto"/>
            </w:tcBorders>
            <w:vAlign w:val="center"/>
          </w:tcPr>
          <w:p w14:paraId="4CB2DEE6" w14:textId="77777777" w:rsidR="00576735" w:rsidRPr="00576735" w:rsidRDefault="00576735" w:rsidP="00576735">
            <w:pPr>
              <w:rPr>
                <w:rFonts w:ascii="Arial" w:hAnsi="Arial" w:cs="Angsana New"/>
                <w:sz w:val="16"/>
                <w:lang w:val="en-GB"/>
              </w:rPr>
            </w:pPr>
            <w:r w:rsidRPr="00576735">
              <w:rPr>
                <w:rFonts w:ascii="Arial" w:hAnsi="Arial" w:cs="Angsana New"/>
                <w:sz w:val="16"/>
                <w:lang w:val="en-GB"/>
              </w:rPr>
              <w:t>Proposed MPA</w:t>
            </w:r>
          </w:p>
        </w:tc>
        <w:tc>
          <w:tcPr>
            <w:tcW w:w="1260" w:type="dxa"/>
            <w:tcBorders>
              <w:left w:val="single" w:sz="12" w:space="0" w:color="auto"/>
              <w:bottom w:val="single" w:sz="12" w:space="0" w:color="auto"/>
              <w:right w:val="single" w:sz="12" w:space="0" w:color="auto"/>
            </w:tcBorders>
            <w:vAlign w:val="center"/>
          </w:tcPr>
          <w:p w14:paraId="051DEF88" w14:textId="77777777" w:rsidR="00576735" w:rsidRPr="00576735" w:rsidRDefault="00576735" w:rsidP="00576735">
            <w:pPr>
              <w:jc w:val="right"/>
              <w:rPr>
                <w:rFonts w:ascii="Arial" w:hAnsi="Arial" w:cs="Angsana New"/>
                <w:sz w:val="16"/>
                <w:lang w:val="en-GB"/>
              </w:rPr>
            </w:pPr>
            <w:r w:rsidRPr="00576735">
              <w:rPr>
                <w:rFonts w:ascii="Arial" w:hAnsi="Arial" w:cs="Angsana New"/>
                <w:sz w:val="16"/>
                <w:lang w:val="en-GB"/>
              </w:rPr>
              <w:t>0</w:t>
            </w:r>
          </w:p>
        </w:tc>
        <w:tc>
          <w:tcPr>
            <w:tcW w:w="1530" w:type="dxa"/>
            <w:tcBorders>
              <w:left w:val="single" w:sz="12" w:space="0" w:color="auto"/>
              <w:bottom w:val="single" w:sz="12" w:space="0" w:color="auto"/>
              <w:right w:val="single" w:sz="12" w:space="0" w:color="auto"/>
            </w:tcBorders>
            <w:vAlign w:val="center"/>
          </w:tcPr>
          <w:p w14:paraId="687ADCF1" w14:textId="77777777" w:rsidR="00576735" w:rsidRPr="00576735" w:rsidRDefault="00576735" w:rsidP="00576735">
            <w:pPr>
              <w:jc w:val="center"/>
              <w:rPr>
                <w:rFonts w:ascii="Arial" w:hAnsi="Arial" w:cs="Angsana New"/>
                <w:sz w:val="16"/>
                <w:lang w:val="en-GB"/>
              </w:rPr>
            </w:pPr>
          </w:p>
        </w:tc>
      </w:tr>
    </w:tbl>
    <w:p w14:paraId="22FC1349" w14:textId="77777777" w:rsidR="00AB0C8C" w:rsidRPr="005A07CE" w:rsidRDefault="005A07CE" w:rsidP="001036EE">
      <w:pPr>
        <w:numPr>
          <w:ilvl w:val="0"/>
          <w:numId w:val="3"/>
        </w:numPr>
        <w:spacing w:before="120" w:after="120"/>
        <w:ind w:left="0" w:firstLine="0"/>
        <w:jc w:val="both"/>
        <w:rPr>
          <w:sz w:val="22"/>
          <w:szCs w:val="22"/>
          <w:lang w:val="en-GB"/>
        </w:rPr>
      </w:pPr>
      <w:r w:rsidRPr="005A07CE">
        <w:rPr>
          <w:sz w:val="22"/>
          <w:szCs w:val="22"/>
        </w:rPr>
        <w:t>At the site and national levels, activities will include supporting building management capacity (number/levels human resources, facilities and equipment, and sustainable financing mechanisms) for 82 coral reef sites, improving management approaches (integrated, community-based, multiple use) at 82 coral reef sites, developing management tools (licensing and permit systems, seasonal closures, zoning) in support of legal and regulatory reforms to address key threats at priority sites, and establishing mechanisms for monitoring management, ecological and socio-economic indi</w:t>
      </w:r>
      <w:r>
        <w:rPr>
          <w:sz w:val="22"/>
          <w:szCs w:val="22"/>
        </w:rPr>
        <w:t>cators at 82 coral reef sites.</w:t>
      </w:r>
    </w:p>
    <w:p w14:paraId="3B7C9569" w14:textId="77777777" w:rsidR="005A07CE" w:rsidRPr="005A07CE" w:rsidRDefault="005A07CE" w:rsidP="001036EE">
      <w:pPr>
        <w:numPr>
          <w:ilvl w:val="0"/>
          <w:numId w:val="3"/>
        </w:numPr>
        <w:spacing w:before="120" w:after="120"/>
        <w:ind w:left="0" w:firstLine="0"/>
        <w:jc w:val="both"/>
        <w:rPr>
          <w:sz w:val="22"/>
          <w:szCs w:val="22"/>
          <w:lang w:val="en-GB"/>
        </w:rPr>
      </w:pPr>
      <w:r w:rsidRPr="005A07CE">
        <w:rPr>
          <w:sz w:val="22"/>
          <w:szCs w:val="22"/>
        </w:rPr>
        <w:t>Regional actions will focus on the review, synthesis, assessment and dissemination of good experiences and lessons learnt in the management of coral reefs. The use of sound science in the sustainable management of coral reefs in the South China Sea will be promoted through: the work of the regional expert group; empowerment of stakeholders and communities; and sharing experiences between countries on coral reef research and management. Increased awareness of stakeholders regarding the ecological roles, economic values, and need for sustainable management of coral reefs underpins successful achievement of the SAP targets; and activities will facilitate the mainstreaming of information into educational programmes, the development of information campaigns and sharing of training materials through the regional website.</w:t>
      </w:r>
    </w:p>
    <w:p w14:paraId="357CB855" w14:textId="77777777" w:rsidR="005A07CE" w:rsidRDefault="005A07CE" w:rsidP="005A07CE">
      <w:pPr>
        <w:numPr>
          <w:ilvl w:val="0"/>
          <w:numId w:val="3"/>
        </w:numPr>
        <w:spacing w:before="120" w:after="120"/>
        <w:ind w:left="0" w:firstLine="0"/>
        <w:jc w:val="both"/>
        <w:rPr>
          <w:sz w:val="22"/>
          <w:szCs w:val="22"/>
          <w:lang w:val="en-GB"/>
        </w:rPr>
      </w:pPr>
      <w:r w:rsidRPr="005A07CE">
        <w:rPr>
          <w:sz w:val="22"/>
          <w:szCs w:val="22"/>
          <w:lang w:val="en-GB"/>
        </w:rPr>
        <w:t>Despite the wealth of information available on the ecology of coral reefs, scientific data and information relevant to the sustainable management of coral reefs is limited. Regional actions will support the scientific community in: periodic assessment of the status of coral reefs; monitoring ecological and socio-economic factors; maintaining, and updating the regional GIS and meta-databases and disseminating information for management purposes; and developing guidelines for the conduct of environmental impact assessments in transboundary coral reef areas. Strengthening regional and national capacity in the management of coral reefs will also be supported by  expert exchange between countries; training of trainers; sharing experiences in enforcement; developing capacity in fund raising and financial sustainability; fostering the network of coral reef management sites, research centres and coral reef management agencies; and provision of guidelines for sustainable use of coral reefs.</w:t>
      </w:r>
      <w:r>
        <w:rPr>
          <w:sz w:val="22"/>
          <w:szCs w:val="22"/>
          <w:lang w:val="en-GB"/>
        </w:rPr>
        <w:t xml:space="preserve"> </w:t>
      </w:r>
      <w:r w:rsidRPr="005A07CE">
        <w:rPr>
          <w:sz w:val="22"/>
          <w:szCs w:val="22"/>
          <w:lang w:val="en-GB"/>
        </w:rPr>
        <w:t>Specific project targets for Outcome 1.</w:t>
      </w:r>
      <w:r>
        <w:rPr>
          <w:sz w:val="22"/>
          <w:szCs w:val="22"/>
          <w:lang w:val="en-GB"/>
        </w:rPr>
        <w:t>2</w:t>
      </w:r>
      <w:r w:rsidRPr="005A07CE">
        <w:rPr>
          <w:sz w:val="22"/>
          <w:szCs w:val="22"/>
          <w:lang w:val="en-GB"/>
        </w:rPr>
        <w:t xml:space="preserve"> are summarized in Table 2</w:t>
      </w:r>
      <w:r>
        <w:rPr>
          <w:sz w:val="22"/>
          <w:szCs w:val="22"/>
          <w:lang w:val="en-GB"/>
        </w:rPr>
        <w:t>4</w:t>
      </w:r>
      <w:r w:rsidRPr="005A07CE">
        <w:rPr>
          <w:sz w:val="22"/>
          <w:szCs w:val="22"/>
          <w:lang w:val="en-GB"/>
        </w:rPr>
        <w:t>.</w:t>
      </w:r>
    </w:p>
    <w:p w14:paraId="0CB870E5" w14:textId="77777777" w:rsidR="005A07CE" w:rsidRDefault="005A07CE" w:rsidP="005A07CE">
      <w:pPr>
        <w:spacing w:before="120" w:after="120"/>
        <w:jc w:val="both"/>
        <w:rPr>
          <w:sz w:val="22"/>
          <w:szCs w:val="22"/>
          <w:lang w:val="en-GB"/>
        </w:rPr>
      </w:pPr>
      <w:r w:rsidRPr="005A07CE">
        <w:rPr>
          <w:b/>
          <w:sz w:val="22"/>
          <w:szCs w:val="22"/>
          <w:lang w:val="en-GB"/>
        </w:rPr>
        <w:t>Table 24.</w:t>
      </w:r>
      <w:r w:rsidRPr="005A07CE">
        <w:rPr>
          <w:sz w:val="22"/>
          <w:szCs w:val="22"/>
          <w:lang w:val="en-GB"/>
        </w:rPr>
        <w:tab/>
        <w:t>Baselines, targets and project indicators for Outcome 1.</w:t>
      </w:r>
      <w:r>
        <w:rPr>
          <w:sz w:val="22"/>
          <w:szCs w:val="22"/>
          <w:lang w:val="en-GB"/>
        </w:rP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0"/>
        <w:gridCol w:w="3019"/>
      </w:tblGrid>
      <w:tr w:rsidR="00F370E8" w:rsidRPr="005A668F" w14:paraId="6AAB209D" w14:textId="77777777" w:rsidTr="004B053A">
        <w:tc>
          <w:tcPr>
            <w:tcW w:w="3081" w:type="dxa"/>
            <w:shd w:val="clear" w:color="auto" w:fill="auto"/>
            <w:vAlign w:val="center"/>
          </w:tcPr>
          <w:p w14:paraId="1ACFB6C5" w14:textId="77777777" w:rsidR="00F370E8" w:rsidRPr="004B053A" w:rsidRDefault="00F370E8" w:rsidP="004B053A">
            <w:pPr>
              <w:jc w:val="center"/>
              <w:rPr>
                <w:b/>
                <w:sz w:val="20"/>
                <w:szCs w:val="20"/>
              </w:rPr>
            </w:pPr>
            <w:r w:rsidRPr="004B053A">
              <w:rPr>
                <w:b/>
                <w:sz w:val="20"/>
                <w:szCs w:val="20"/>
              </w:rPr>
              <w:t>Baselines</w:t>
            </w:r>
          </w:p>
        </w:tc>
        <w:tc>
          <w:tcPr>
            <w:tcW w:w="3082" w:type="dxa"/>
            <w:shd w:val="clear" w:color="auto" w:fill="auto"/>
            <w:vAlign w:val="center"/>
          </w:tcPr>
          <w:p w14:paraId="2DA3522C" w14:textId="77777777" w:rsidR="00F370E8" w:rsidRPr="004B053A" w:rsidRDefault="00F370E8" w:rsidP="004B053A">
            <w:pPr>
              <w:jc w:val="center"/>
              <w:rPr>
                <w:b/>
                <w:sz w:val="20"/>
                <w:szCs w:val="20"/>
              </w:rPr>
            </w:pPr>
            <w:r w:rsidRPr="004B053A">
              <w:rPr>
                <w:b/>
                <w:sz w:val="20"/>
                <w:szCs w:val="20"/>
              </w:rPr>
              <w:t>Targets</w:t>
            </w:r>
          </w:p>
        </w:tc>
        <w:tc>
          <w:tcPr>
            <w:tcW w:w="3082" w:type="dxa"/>
            <w:shd w:val="clear" w:color="auto" w:fill="auto"/>
            <w:vAlign w:val="center"/>
          </w:tcPr>
          <w:p w14:paraId="6D943B12" w14:textId="77777777" w:rsidR="00F370E8" w:rsidRPr="004B053A" w:rsidRDefault="00F370E8" w:rsidP="004B053A">
            <w:pPr>
              <w:jc w:val="center"/>
              <w:rPr>
                <w:b/>
                <w:sz w:val="20"/>
                <w:szCs w:val="20"/>
              </w:rPr>
            </w:pPr>
            <w:r w:rsidRPr="004B053A">
              <w:rPr>
                <w:b/>
                <w:sz w:val="20"/>
                <w:szCs w:val="20"/>
              </w:rPr>
              <w:t>Indicators</w:t>
            </w:r>
          </w:p>
        </w:tc>
      </w:tr>
      <w:tr w:rsidR="00F370E8" w:rsidRPr="005A668F" w14:paraId="13F1AE48" w14:textId="77777777" w:rsidTr="004B053A">
        <w:trPr>
          <w:trHeight w:val="20"/>
        </w:trPr>
        <w:tc>
          <w:tcPr>
            <w:tcW w:w="3081" w:type="dxa"/>
            <w:shd w:val="clear" w:color="auto" w:fill="auto"/>
            <w:vAlign w:val="center"/>
          </w:tcPr>
          <w:p w14:paraId="420F29A3" w14:textId="77777777" w:rsidR="00F370E8" w:rsidRPr="004B053A" w:rsidRDefault="00F370E8" w:rsidP="000134F9">
            <w:pPr>
              <w:rPr>
                <w:sz w:val="20"/>
                <w:szCs w:val="20"/>
              </w:rPr>
            </w:pPr>
            <w:r w:rsidRPr="004B053A">
              <w:rPr>
                <w:sz w:val="20"/>
                <w:szCs w:val="20"/>
              </w:rPr>
              <w:t>13 of 82 priority coral reef sites in the SCS characterised as being sustainably management due to management capacity constraints</w:t>
            </w:r>
          </w:p>
        </w:tc>
        <w:tc>
          <w:tcPr>
            <w:tcW w:w="3082" w:type="dxa"/>
            <w:shd w:val="clear" w:color="auto" w:fill="auto"/>
            <w:vAlign w:val="center"/>
          </w:tcPr>
          <w:p w14:paraId="5ABD1CB1" w14:textId="77777777" w:rsidR="00F370E8" w:rsidRPr="004B053A" w:rsidRDefault="00F370E8" w:rsidP="000134F9">
            <w:pPr>
              <w:rPr>
                <w:sz w:val="20"/>
                <w:szCs w:val="20"/>
              </w:rPr>
            </w:pPr>
            <w:r w:rsidRPr="004B053A">
              <w:rPr>
                <w:sz w:val="20"/>
                <w:szCs w:val="20"/>
              </w:rPr>
              <w:t>1.2.1 Management capacity  built for 82 coral reef sites</w:t>
            </w:r>
          </w:p>
        </w:tc>
        <w:tc>
          <w:tcPr>
            <w:tcW w:w="3082" w:type="dxa"/>
            <w:shd w:val="clear" w:color="auto" w:fill="auto"/>
            <w:vAlign w:val="center"/>
          </w:tcPr>
          <w:p w14:paraId="2402A146" w14:textId="77777777" w:rsidR="00F370E8" w:rsidRPr="004B053A" w:rsidRDefault="00F370E8" w:rsidP="00F370E8">
            <w:pPr>
              <w:rPr>
                <w:sz w:val="20"/>
                <w:szCs w:val="20"/>
              </w:rPr>
            </w:pPr>
            <w:r w:rsidRPr="004B053A">
              <w:rPr>
                <w:sz w:val="20"/>
                <w:szCs w:val="20"/>
              </w:rPr>
              <w:t>Status of management capacity, including: human resource capacity; facilities and equipment; and sustainable financing</w:t>
            </w:r>
          </w:p>
        </w:tc>
      </w:tr>
      <w:tr w:rsidR="00F370E8" w:rsidRPr="005A668F" w14:paraId="37BFD5F3" w14:textId="77777777" w:rsidTr="004B053A">
        <w:trPr>
          <w:trHeight w:val="20"/>
        </w:trPr>
        <w:tc>
          <w:tcPr>
            <w:tcW w:w="3081" w:type="dxa"/>
            <w:shd w:val="clear" w:color="auto" w:fill="auto"/>
            <w:vAlign w:val="center"/>
          </w:tcPr>
          <w:p w14:paraId="39B7CE4F" w14:textId="77777777" w:rsidR="00F370E8" w:rsidRPr="004B053A" w:rsidRDefault="00F370E8" w:rsidP="000134F9">
            <w:pPr>
              <w:rPr>
                <w:sz w:val="20"/>
                <w:szCs w:val="20"/>
              </w:rPr>
            </w:pPr>
            <w:r w:rsidRPr="004B053A">
              <w:rPr>
                <w:sz w:val="20"/>
                <w:szCs w:val="20"/>
              </w:rPr>
              <w:t>Predominantly single sector (environment) and centralised approach to coral reef management</w:t>
            </w:r>
          </w:p>
        </w:tc>
        <w:tc>
          <w:tcPr>
            <w:tcW w:w="3082" w:type="dxa"/>
            <w:shd w:val="clear" w:color="auto" w:fill="auto"/>
            <w:vAlign w:val="center"/>
          </w:tcPr>
          <w:p w14:paraId="5B72717B" w14:textId="77777777" w:rsidR="00F370E8" w:rsidRPr="004B053A" w:rsidRDefault="00F370E8" w:rsidP="000134F9">
            <w:pPr>
              <w:rPr>
                <w:sz w:val="20"/>
                <w:szCs w:val="20"/>
              </w:rPr>
            </w:pPr>
            <w:r w:rsidRPr="004B053A">
              <w:rPr>
                <w:sz w:val="20"/>
                <w:szCs w:val="20"/>
              </w:rPr>
              <w:t>1.2.2 Management approaches (integrated, community-based, multiple use) improved at 82 coral reef sites</w:t>
            </w:r>
          </w:p>
        </w:tc>
        <w:tc>
          <w:tcPr>
            <w:tcW w:w="3082" w:type="dxa"/>
            <w:shd w:val="clear" w:color="auto" w:fill="auto"/>
            <w:vAlign w:val="center"/>
          </w:tcPr>
          <w:p w14:paraId="50787225" w14:textId="77777777" w:rsidR="00F370E8" w:rsidRPr="004B053A" w:rsidRDefault="00F370E8" w:rsidP="00F370E8">
            <w:pPr>
              <w:rPr>
                <w:sz w:val="20"/>
                <w:szCs w:val="20"/>
              </w:rPr>
            </w:pPr>
            <w:r w:rsidRPr="004B053A">
              <w:rPr>
                <w:sz w:val="20"/>
                <w:szCs w:val="20"/>
              </w:rPr>
              <w:t>Status of institutional reform for multi-sectorial, community-based and multiple use coral reef management at priority sites</w:t>
            </w:r>
          </w:p>
        </w:tc>
      </w:tr>
      <w:tr w:rsidR="00F370E8" w:rsidRPr="005A668F" w14:paraId="2CA4FD56" w14:textId="77777777" w:rsidTr="004B053A">
        <w:trPr>
          <w:trHeight w:val="20"/>
        </w:trPr>
        <w:tc>
          <w:tcPr>
            <w:tcW w:w="3081" w:type="dxa"/>
            <w:shd w:val="clear" w:color="auto" w:fill="auto"/>
            <w:vAlign w:val="center"/>
          </w:tcPr>
          <w:p w14:paraId="557FA351" w14:textId="77777777" w:rsidR="00F370E8" w:rsidRPr="004B053A" w:rsidRDefault="00F370E8" w:rsidP="000134F9">
            <w:pPr>
              <w:rPr>
                <w:sz w:val="20"/>
                <w:szCs w:val="20"/>
              </w:rPr>
            </w:pPr>
            <w:r w:rsidRPr="004B053A">
              <w:rPr>
                <w:sz w:val="20"/>
                <w:szCs w:val="20"/>
              </w:rPr>
              <w:t>Coral reef management largely focused on awareness raising with limited use of management tools to address threats to coral reef sites</w:t>
            </w:r>
          </w:p>
        </w:tc>
        <w:tc>
          <w:tcPr>
            <w:tcW w:w="3082" w:type="dxa"/>
            <w:shd w:val="clear" w:color="auto" w:fill="auto"/>
            <w:vAlign w:val="center"/>
          </w:tcPr>
          <w:p w14:paraId="1CA944AD" w14:textId="77777777" w:rsidR="00F370E8" w:rsidRPr="004B053A" w:rsidRDefault="00F370E8" w:rsidP="000134F9">
            <w:pPr>
              <w:rPr>
                <w:sz w:val="20"/>
                <w:szCs w:val="20"/>
              </w:rPr>
            </w:pPr>
            <w:r w:rsidRPr="004B053A">
              <w:rPr>
                <w:sz w:val="20"/>
                <w:szCs w:val="20"/>
              </w:rPr>
              <w:t>1.2.3 Management tools (licensing and permit systems, seasonal closures, zoning) developed and utilized to address key threats at priority sites</w:t>
            </w:r>
          </w:p>
        </w:tc>
        <w:tc>
          <w:tcPr>
            <w:tcW w:w="3082" w:type="dxa"/>
            <w:shd w:val="clear" w:color="auto" w:fill="auto"/>
            <w:vAlign w:val="center"/>
          </w:tcPr>
          <w:p w14:paraId="24BC6A0E" w14:textId="77777777" w:rsidR="00F370E8" w:rsidRPr="004B053A" w:rsidRDefault="00F370E8" w:rsidP="00F370E8">
            <w:pPr>
              <w:rPr>
                <w:sz w:val="20"/>
                <w:szCs w:val="20"/>
                <w:lang w:val="en-GB"/>
              </w:rPr>
            </w:pPr>
            <w:r w:rsidRPr="004B053A">
              <w:rPr>
                <w:sz w:val="20"/>
                <w:szCs w:val="20"/>
                <w:lang w:val="en-GB"/>
              </w:rPr>
              <w:t>Number of management tools developed, adopted and applied at priority coral reef sites</w:t>
            </w:r>
          </w:p>
          <w:p w14:paraId="6B3D6051" w14:textId="77777777" w:rsidR="00F370E8" w:rsidRPr="004B053A" w:rsidRDefault="00F370E8" w:rsidP="000134F9">
            <w:pPr>
              <w:rPr>
                <w:sz w:val="20"/>
                <w:szCs w:val="20"/>
              </w:rPr>
            </w:pPr>
          </w:p>
        </w:tc>
      </w:tr>
      <w:tr w:rsidR="00F370E8" w:rsidRPr="005A668F" w14:paraId="2AA7B159" w14:textId="77777777" w:rsidTr="004B053A">
        <w:trPr>
          <w:trHeight w:val="20"/>
        </w:trPr>
        <w:tc>
          <w:tcPr>
            <w:tcW w:w="3081" w:type="dxa"/>
            <w:shd w:val="clear" w:color="auto" w:fill="auto"/>
            <w:vAlign w:val="center"/>
          </w:tcPr>
          <w:p w14:paraId="50979419" w14:textId="77777777" w:rsidR="00F370E8" w:rsidRPr="004B053A" w:rsidRDefault="00F370E8" w:rsidP="000134F9">
            <w:pPr>
              <w:rPr>
                <w:sz w:val="20"/>
                <w:szCs w:val="20"/>
              </w:rPr>
            </w:pPr>
            <w:r w:rsidRPr="004B053A">
              <w:rPr>
                <w:sz w:val="20"/>
                <w:szCs w:val="20"/>
              </w:rPr>
              <w:t>Status of mechanism established for monitoring coral reef management effectiveness and stress reduction</w:t>
            </w:r>
          </w:p>
        </w:tc>
        <w:tc>
          <w:tcPr>
            <w:tcW w:w="3082" w:type="dxa"/>
            <w:shd w:val="clear" w:color="auto" w:fill="auto"/>
            <w:vAlign w:val="center"/>
          </w:tcPr>
          <w:p w14:paraId="62196456" w14:textId="77777777" w:rsidR="00F370E8" w:rsidRPr="004B053A" w:rsidRDefault="00F370E8" w:rsidP="000134F9">
            <w:pPr>
              <w:rPr>
                <w:sz w:val="20"/>
                <w:szCs w:val="20"/>
                <w:lang w:val="en-GB"/>
              </w:rPr>
            </w:pPr>
            <w:r w:rsidRPr="004B053A">
              <w:rPr>
                <w:sz w:val="20"/>
                <w:szCs w:val="20"/>
                <w:lang w:val="en-GB"/>
              </w:rPr>
              <w:t>1.2.4 Established mechanism for the monitoring of management, ecological and socio-economic indicators at 82 sites</w:t>
            </w:r>
          </w:p>
        </w:tc>
        <w:tc>
          <w:tcPr>
            <w:tcW w:w="3082" w:type="dxa"/>
            <w:shd w:val="clear" w:color="auto" w:fill="auto"/>
            <w:vAlign w:val="center"/>
          </w:tcPr>
          <w:p w14:paraId="032B2E9B" w14:textId="77777777" w:rsidR="00F370E8" w:rsidRPr="004B053A" w:rsidRDefault="00F370E8" w:rsidP="000134F9">
            <w:pPr>
              <w:rPr>
                <w:sz w:val="20"/>
                <w:szCs w:val="20"/>
              </w:rPr>
            </w:pPr>
            <w:r w:rsidRPr="004B053A">
              <w:rPr>
                <w:sz w:val="20"/>
                <w:szCs w:val="20"/>
                <w:lang w:val="en-GB"/>
              </w:rPr>
              <w:t>Status of mechanism established for monitoring coral reef management effectiveness and stress reduction</w:t>
            </w:r>
          </w:p>
        </w:tc>
      </w:tr>
    </w:tbl>
    <w:p w14:paraId="7E4B7048" w14:textId="77777777" w:rsidR="00B8558B" w:rsidRPr="00B8558B" w:rsidRDefault="00B8558B" w:rsidP="00B8558B">
      <w:pPr>
        <w:spacing w:before="120" w:after="120"/>
        <w:ind w:left="1440" w:hanging="1440"/>
        <w:jc w:val="both"/>
        <w:rPr>
          <w:b/>
          <w:sz w:val="22"/>
          <w:szCs w:val="22"/>
          <w:lang w:val="en-GB"/>
        </w:rPr>
      </w:pPr>
      <w:r w:rsidRPr="00B8558B">
        <w:rPr>
          <w:b/>
          <w:sz w:val="22"/>
          <w:szCs w:val="22"/>
          <w:lang w:val="en-GB"/>
        </w:rPr>
        <w:t>Outcome 1.3</w:t>
      </w:r>
      <w:r w:rsidRPr="00B8558B">
        <w:rPr>
          <w:b/>
          <w:sz w:val="22"/>
          <w:szCs w:val="22"/>
          <w:lang w:val="en-GB"/>
        </w:rPr>
        <w:tab/>
        <w:t>Conservation, management and sustainable use of 25,900 ha of known seagrass area in the South China Sea by Yr 5</w:t>
      </w:r>
    </w:p>
    <w:p w14:paraId="2F1F7FE8" w14:textId="77777777" w:rsidR="00B8558B" w:rsidRDefault="00B8558B" w:rsidP="00B8558B">
      <w:pPr>
        <w:numPr>
          <w:ilvl w:val="0"/>
          <w:numId w:val="3"/>
        </w:numPr>
        <w:spacing w:before="120" w:after="120"/>
        <w:ind w:left="0" w:firstLine="0"/>
        <w:jc w:val="both"/>
        <w:rPr>
          <w:sz w:val="22"/>
          <w:szCs w:val="22"/>
          <w:lang w:val="en-GB"/>
        </w:rPr>
      </w:pPr>
      <w:r w:rsidRPr="00B8558B">
        <w:rPr>
          <w:sz w:val="22"/>
          <w:szCs w:val="22"/>
          <w:lang w:val="en-GB"/>
        </w:rPr>
        <w:t xml:space="preserve">On the basis of data </w:t>
      </w:r>
      <w:r>
        <w:rPr>
          <w:sz w:val="22"/>
          <w:szCs w:val="22"/>
          <w:lang w:val="en-GB"/>
        </w:rPr>
        <w:t>collated and analysed in preparation of the seagrass component of the Strategic Action Programme</w:t>
      </w:r>
      <w:r w:rsidRPr="00B8558B">
        <w:rPr>
          <w:sz w:val="22"/>
          <w:szCs w:val="22"/>
          <w:lang w:val="en-GB"/>
        </w:rPr>
        <w:t>, a total of 43 target seagrass sites for management are recorded in the coastal areas bordering the South China Sea. These comprise: Cambodia 33,800 ha from 4 sites; China 1,960 ha from 4 sites; Indonesia 3,035 ha from 7 sites; Malaysia 222 ha from 13 sites; Philippines 23,200 ha from 5 sites; Thailand 2,550 ha from 4 sites; and Viet Nam 13,500 ha from 6 sites (</w:t>
      </w:r>
      <w:r>
        <w:rPr>
          <w:sz w:val="22"/>
          <w:szCs w:val="22"/>
          <w:lang w:val="en-GB"/>
        </w:rPr>
        <w:t>see Table 25</w:t>
      </w:r>
      <w:r w:rsidRPr="00B8558B">
        <w:rPr>
          <w:sz w:val="22"/>
          <w:szCs w:val="22"/>
          <w:lang w:val="en-GB"/>
        </w:rPr>
        <w:t xml:space="preserve">). </w:t>
      </w:r>
    </w:p>
    <w:p w14:paraId="667AA399" w14:textId="77777777" w:rsidR="000134F9" w:rsidRPr="000134F9" w:rsidRDefault="000134F9" w:rsidP="000134F9">
      <w:pPr>
        <w:spacing w:before="120" w:after="120"/>
        <w:jc w:val="both"/>
        <w:rPr>
          <w:b/>
          <w:sz w:val="22"/>
          <w:szCs w:val="22"/>
          <w:lang w:val="en-GB"/>
        </w:rPr>
      </w:pPr>
      <w:r w:rsidRPr="000134F9">
        <w:rPr>
          <w:b/>
          <w:sz w:val="22"/>
          <w:szCs w:val="22"/>
          <w:lang w:val="en-GB"/>
        </w:rPr>
        <w:t>Table 25</w:t>
      </w:r>
      <w:r w:rsidRPr="000134F9">
        <w:rPr>
          <w:b/>
          <w:sz w:val="22"/>
          <w:szCs w:val="22"/>
          <w:lang w:val="en-GB"/>
        </w:rPr>
        <w:tab/>
      </w:r>
      <w:r w:rsidR="00DE3C4A" w:rsidRPr="00DE3C4A">
        <w:rPr>
          <w:sz w:val="22"/>
          <w:szCs w:val="22"/>
          <w:lang w:val="en-GB"/>
        </w:rPr>
        <w:t>Status of known seagrass sites in the South China Sea</w:t>
      </w:r>
    </w:p>
    <w:tbl>
      <w:tblPr>
        <w:tblW w:w="9741" w:type="dxa"/>
        <w:jc w:val="center"/>
        <w:tblLayout w:type="fixed"/>
        <w:tblLook w:val="0000" w:firstRow="0" w:lastRow="0" w:firstColumn="0" w:lastColumn="0" w:noHBand="0" w:noVBand="0"/>
      </w:tblPr>
      <w:tblGrid>
        <w:gridCol w:w="2516"/>
        <w:gridCol w:w="771"/>
        <w:gridCol w:w="2448"/>
        <w:gridCol w:w="1260"/>
        <w:gridCol w:w="1546"/>
        <w:gridCol w:w="1200"/>
      </w:tblGrid>
      <w:tr w:rsidR="000134F9" w:rsidRPr="000134F9" w14:paraId="23FA7240" w14:textId="77777777" w:rsidTr="000134F9">
        <w:trPr>
          <w:trHeight w:val="50"/>
          <w:tblHeader/>
          <w:jc w:val="center"/>
        </w:trPr>
        <w:tc>
          <w:tcPr>
            <w:tcW w:w="2516" w:type="dxa"/>
            <w:tcBorders>
              <w:top w:val="single" w:sz="12" w:space="0" w:color="auto"/>
              <w:left w:val="single" w:sz="12" w:space="0" w:color="auto"/>
              <w:bottom w:val="single" w:sz="12" w:space="0" w:color="auto"/>
              <w:right w:val="single" w:sz="12" w:space="0" w:color="auto"/>
            </w:tcBorders>
            <w:noWrap/>
            <w:vAlign w:val="center"/>
          </w:tcPr>
          <w:p w14:paraId="09E306E4" w14:textId="77777777" w:rsidR="000134F9" w:rsidRPr="000134F9" w:rsidRDefault="000134F9" w:rsidP="000134F9">
            <w:pPr>
              <w:jc w:val="center"/>
              <w:rPr>
                <w:rFonts w:ascii="Arial" w:hAnsi="Arial" w:cs="Arial"/>
                <w:b/>
                <w:sz w:val="16"/>
                <w:szCs w:val="20"/>
                <w:lang w:val="en-GB"/>
              </w:rPr>
            </w:pPr>
            <w:r w:rsidRPr="000134F9">
              <w:rPr>
                <w:rFonts w:ascii="Arial" w:hAnsi="Arial" w:cs="Arial"/>
                <w:b/>
                <w:sz w:val="16"/>
                <w:szCs w:val="20"/>
                <w:lang w:val="en-GB"/>
              </w:rPr>
              <w:t>Country and Site Name</w:t>
            </w:r>
          </w:p>
        </w:tc>
        <w:tc>
          <w:tcPr>
            <w:tcW w:w="771" w:type="dxa"/>
            <w:tcBorders>
              <w:top w:val="single" w:sz="12" w:space="0" w:color="auto"/>
              <w:left w:val="single" w:sz="12" w:space="0" w:color="auto"/>
              <w:bottom w:val="single" w:sz="12" w:space="0" w:color="auto"/>
              <w:right w:val="single" w:sz="12" w:space="0" w:color="auto"/>
            </w:tcBorders>
            <w:noWrap/>
            <w:vAlign w:val="center"/>
          </w:tcPr>
          <w:p w14:paraId="658C184A" w14:textId="77777777" w:rsidR="000134F9" w:rsidRPr="000134F9" w:rsidRDefault="000134F9" w:rsidP="000134F9">
            <w:pPr>
              <w:jc w:val="center"/>
              <w:rPr>
                <w:rFonts w:ascii="Arial" w:hAnsi="Arial" w:cs="Arial"/>
                <w:b/>
                <w:sz w:val="16"/>
                <w:szCs w:val="20"/>
                <w:lang w:val="en-GB"/>
              </w:rPr>
            </w:pPr>
            <w:r w:rsidRPr="000134F9">
              <w:rPr>
                <w:rFonts w:ascii="Arial" w:hAnsi="Arial" w:cs="Arial"/>
                <w:b/>
                <w:sz w:val="16"/>
                <w:szCs w:val="20"/>
                <w:lang w:val="en-GB"/>
              </w:rPr>
              <w:t>Area (ha)</w:t>
            </w:r>
          </w:p>
        </w:tc>
        <w:tc>
          <w:tcPr>
            <w:tcW w:w="2448" w:type="dxa"/>
            <w:tcBorders>
              <w:top w:val="single" w:sz="12" w:space="0" w:color="auto"/>
              <w:left w:val="single" w:sz="12" w:space="0" w:color="auto"/>
              <w:bottom w:val="single" w:sz="12" w:space="0" w:color="auto"/>
              <w:right w:val="single" w:sz="12" w:space="0" w:color="auto"/>
            </w:tcBorders>
            <w:vAlign w:val="center"/>
          </w:tcPr>
          <w:p w14:paraId="4A8CC951" w14:textId="77777777" w:rsidR="000134F9" w:rsidRPr="000134F9" w:rsidRDefault="000134F9" w:rsidP="000134F9">
            <w:pPr>
              <w:jc w:val="center"/>
              <w:rPr>
                <w:rFonts w:ascii="Arial" w:hAnsi="Arial" w:cs="Arial"/>
                <w:b/>
                <w:sz w:val="16"/>
                <w:szCs w:val="20"/>
                <w:lang w:val="en-GB"/>
              </w:rPr>
            </w:pPr>
            <w:r w:rsidRPr="000134F9">
              <w:rPr>
                <w:rFonts w:ascii="Arial" w:hAnsi="Arial" w:cs="Arial"/>
                <w:b/>
                <w:sz w:val="16"/>
                <w:szCs w:val="20"/>
                <w:lang w:val="en-GB"/>
              </w:rPr>
              <w:t>Legal Status</w:t>
            </w:r>
          </w:p>
        </w:tc>
        <w:tc>
          <w:tcPr>
            <w:tcW w:w="1260" w:type="dxa"/>
            <w:tcBorders>
              <w:top w:val="single" w:sz="12" w:space="0" w:color="auto"/>
              <w:left w:val="single" w:sz="12" w:space="0" w:color="auto"/>
              <w:bottom w:val="single" w:sz="12" w:space="0" w:color="auto"/>
              <w:right w:val="single" w:sz="12" w:space="0" w:color="auto"/>
            </w:tcBorders>
            <w:vAlign w:val="center"/>
          </w:tcPr>
          <w:p w14:paraId="1613FAA0" w14:textId="77777777" w:rsidR="000134F9" w:rsidRPr="000134F9" w:rsidRDefault="000134F9" w:rsidP="000134F9">
            <w:pPr>
              <w:ind w:left="-58" w:right="-108"/>
              <w:jc w:val="center"/>
              <w:rPr>
                <w:rFonts w:ascii="Arial" w:hAnsi="Arial" w:cs="Arial"/>
                <w:b/>
                <w:sz w:val="16"/>
                <w:szCs w:val="20"/>
                <w:lang w:val="en-GB"/>
              </w:rPr>
            </w:pPr>
            <w:r w:rsidRPr="000134F9">
              <w:rPr>
                <w:rFonts w:ascii="Arial" w:hAnsi="Arial" w:cs="Arial"/>
                <w:b/>
                <w:sz w:val="16"/>
                <w:szCs w:val="20"/>
                <w:lang w:val="en-GB"/>
              </w:rPr>
              <w:t>Area under Management</w:t>
            </w:r>
          </w:p>
        </w:tc>
        <w:tc>
          <w:tcPr>
            <w:tcW w:w="1546" w:type="dxa"/>
            <w:tcBorders>
              <w:top w:val="single" w:sz="12" w:space="0" w:color="auto"/>
              <w:left w:val="single" w:sz="12" w:space="0" w:color="auto"/>
              <w:bottom w:val="single" w:sz="12" w:space="0" w:color="auto"/>
              <w:right w:val="single" w:sz="12" w:space="0" w:color="auto"/>
            </w:tcBorders>
            <w:vAlign w:val="center"/>
          </w:tcPr>
          <w:p w14:paraId="17828992" w14:textId="77777777" w:rsidR="000134F9" w:rsidRPr="000134F9" w:rsidRDefault="000134F9" w:rsidP="000134F9">
            <w:pPr>
              <w:jc w:val="center"/>
              <w:rPr>
                <w:rFonts w:ascii="Arial" w:hAnsi="Arial" w:cs="Arial"/>
                <w:b/>
                <w:sz w:val="16"/>
                <w:szCs w:val="20"/>
                <w:lang w:val="en-GB"/>
              </w:rPr>
            </w:pPr>
            <w:r w:rsidRPr="000134F9">
              <w:rPr>
                <w:rFonts w:ascii="Arial" w:hAnsi="Arial" w:cs="Arial"/>
                <w:b/>
                <w:sz w:val="16"/>
                <w:szCs w:val="20"/>
                <w:lang w:val="en-GB"/>
              </w:rPr>
              <w:t>Management Effectiveness</w:t>
            </w:r>
            <w:r w:rsidRPr="000134F9">
              <w:rPr>
                <w:rFonts w:ascii="Arial" w:hAnsi="Arial" w:cs="Arial"/>
                <w:b/>
                <w:sz w:val="16"/>
                <w:szCs w:val="20"/>
                <w:vertAlign w:val="superscript"/>
                <w:lang w:val="en-GB"/>
              </w:rPr>
              <w:footnoteReference w:id="69"/>
            </w:r>
          </w:p>
        </w:tc>
        <w:tc>
          <w:tcPr>
            <w:tcW w:w="1200" w:type="dxa"/>
            <w:tcBorders>
              <w:top w:val="single" w:sz="12" w:space="0" w:color="auto"/>
              <w:left w:val="single" w:sz="12" w:space="0" w:color="auto"/>
              <w:bottom w:val="single" w:sz="12" w:space="0" w:color="auto"/>
              <w:right w:val="single" w:sz="12" w:space="0" w:color="auto"/>
            </w:tcBorders>
            <w:vAlign w:val="center"/>
          </w:tcPr>
          <w:p w14:paraId="05E4576C" w14:textId="77777777" w:rsidR="000134F9" w:rsidRPr="000134F9" w:rsidRDefault="000134F9" w:rsidP="000134F9">
            <w:pPr>
              <w:jc w:val="center"/>
              <w:rPr>
                <w:rFonts w:ascii="Arial" w:hAnsi="Arial" w:cs="Arial"/>
                <w:b/>
                <w:sz w:val="16"/>
                <w:szCs w:val="20"/>
                <w:lang w:val="en-GB"/>
              </w:rPr>
            </w:pPr>
            <w:r>
              <w:rPr>
                <w:rFonts w:ascii="Arial" w:hAnsi="Arial" w:cs="Arial"/>
                <w:b/>
                <w:sz w:val="16"/>
                <w:szCs w:val="20"/>
                <w:lang w:val="en-GB"/>
              </w:rPr>
              <w:t>Target for Managementthrough SAP</w:t>
            </w:r>
          </w:p>
        </w:tc>
      </w:tr>
      <w:tr w:rsidR="000134F9" w:rsidRPr="000134F9" w14:paraId="423B5E0C" w14:textId="77777777" w:rsidTr="000134F9">
        <w:trPr>
          <w:jc w:val="center"/>
        </w:trPr>
        <w:tc>
          <w:tcPr>
            <w:tcW w:w="2516" w:type="dxa"/>
            <w:tcBorders>
              <w:top w:val="single" w:sz="12" w:space="0" w:color="auto"/>
              <w:left w:val="single" w:sz="12" w:space="0" w:color="auto"/>
              <w:bottom w:val="single" w:sz="6" w:space="0" w:color="auto"/>
              <w:right w:val="single" w:sz="12" w:space="0" w:color="auto"/>
            </w:tcBorders>
            <w:noWrap/>
            <w:vAlign w:val="center"/>
          </w:tcPr>
          <w:p w14:paraId="59FDB493" w14:textId="77777777" w:rsidR="000134F9" w:rsidRPr="000134F9" w:rsidRDefault="000134F9" w:rsidP="000134F9">
            <w:pPr>
              <w:jc w:val="both"/>
              <w:rPr>
                <w:rFonts w:ascii="Arial" w:hAnsi="Arial" w:cs="Arial"/>
                <w:b/>
                <w:sz w:val="16"/>
                <w:szCs w:val="20"/>
                <w:lang w:val="en-GB"/>
              </w:rPr>
            </w:pPr>
            <w:smartTag w:uri="urn:schemas-microsoft-com:office:smarttags" w:element="place">
              <w:smartTag w:uri="urn:schemas-microsoft-com:office:smarttags" w:element="country-region">
                <w:r w:rsidRPr="000134F9">
                  <w:rPr>
                    <w:rFonts w:ascii="Arial" w:hAnsi="Arial" w:cs="Arial"/>
                    <w:b/>
                    <w:sz w:val="16"/>
                    <w:szCs w:val="20"/>
                    <w:lang w:val="en-GB"/>
                  </w:rPr>
                  <w:t>Cambodia</w:t>
                </w:r>
              </w:smartTag>
            </w:smartTag>
          </w:p>
        </w:tc>
        <w:tc>
          <w:tcPr>
            <w:tcW w:w="771" w:type="dxa"/>
            <w:tcBorders>
              <w:top w:val="single" w:sz="12" w:space="0" w:color="auto"/>
              <w:left w:val="single" w:sz="12" w:space="0" w:color="auto"/>
              <w:bottom w:val="single" w:sz="6" w:space="0" w:color="auto"/>
              <w:right w:val="single" w:sz="12" w:space="0" w:color="auto"/>
            </w:tcBorders>
            <w:noWrap/>
            <w:vAlign w:val="center"/>
          </w:tcPr>
          <w:p w14:paraId="7505557F" w14:textId="77777777" w:rsidR="000134F9" w:rsidRPr="000134F9" w:rsidRDefault="000134F9" w:rsidP="000134F9">
            <w:pPr>
              <w:jc w:val="right"/>
              <w:rPr>
                <w:rFonts w:ascii="Arial" w:hAnsi="Arial" w:cs="Arial"/>
                <w:b/>
                <w:sz w:val="16"/>
                <w:szCs w:val="20"/>
                <w:lang w:val="en-GB"/>
              </w:rPr>
            </w:pPr>
            <w:r w:rsidRPr="000134F9">
              <w:rPr>
                <w:rFonts w:ascii="Arial" w:hAnsi="Arial" w:cs="Arial"/>
                <w:b/>
                <w:bCs/>
                <w:sz w:val="16"/>
                <w:szCs w:val="20"/>
                <w:lang w:val="en-GB"/>
              </w:rPr>
              <w:t>33,814</w:t>
            </w:r>
          </w:p>
        </w:tc>
        <w:tc>
          <w:tcPr>
            <w:tcW w:w="2448" w:type="dxa"/>
            <w:tcBorders>
              <w:top w:val="single" w:sz="12" w:space="0" w:color="auto"/>
              <w:left w:val="single" w:sz="12" w:space="0" w:color="auto"/>
              <w:bottom w:val="single" w:sz="6" w:space="0" w:color="auto"/>
              <w:right w:val="single" w:sz="12" w:space="0" w:color="auto"/>
            </w:tcBorders>
            <w:vAlign w:val="center"/>
          </w:tcPr>
          <w:p w14:paraId="68ADF121" w14:textId="77777777" w:rsidR="000134F9" w:rsidRPr="000134F9" w:rsidRDefault="000134F9" w:rsidP="000134F9">
            <w:pPr>
              <w:rPr>
                <w:rFonts w:ascii="Arial" w:hAnsi="Arial" w:cs="Arial"/>
                <w:sz w:val="16"/>
                <w:szCs w:val="20"/>
                <w:lang w:val="en-GB"/>
              </w:rPr>
            </w:pPr>
          </w:p>
        </w:tc>
        <w:tc>
          <w:tcPr>
            <w:tcW w:w="1260" w:type="dxa"/>
            <w:tcBorders>
              <w:top w:val="single" w:sz="12" w:space="0" w:color="auto"/>
              <w:left w:val="single" w:sz="12" w:space="0" w:color="auto"/>
              <w:bottom w:val="single" w:sz="6" w:space="0" w:color="auto"/>
              <w:right w:val="single" w:sz="12" w:space="0" w:color="auto"/>
            </w:tcBorders>
            <w:vAlign w:val="center"/>
          </w:tcPr>
          <w:p w14:paraId="740872E6" w14:textId="77777777" w:rsidR="000134F9" w:rsidRPr="000134F9" w:rsidRDefault="000134F9" w:rsidP="000134F9">
            <w:pPr>
              <w:jc w:val="right"/>
              <w:rPr>
                <w:rFonts w:ascii="Arial" w:hAnsi="Arial" w:cs="Arial"/>
                <w:b/>
                <w:sz w:val="16"/>
                <w:szCs w:val="20"/>
                <w:lang w:val="en-GB"/>
              </w:rPr>
            </w:pPr>
            <w:r w:rsidRPr="000134F9">
              <w:rPr>
                <w:rFonts w:ascii="Arial" w:hAnsi="Arial" w:cs="Arial"/>
                <w:b/>
                <w:bCs/>
                <w:sz w:val="16"/>
                <w:szCs w:val="20"/>
                <w:lang w:val="en-GB"/>
              </w:rPr>
              <w:t>2,000</w:t>
            </w:r>
          </w:p>
        </w:tc>
        <w:tc>
          <w:tcPr>
            <w:tcW w:w="1546" w:type="dxa"/>
            <w:tcBorders>
              <w:top w:val="single" w:sz="12" w:space="0" w:color="auto"/>
              <w:left w:val="single" w:sz="12" w:space="0" w:color="auto"/>
              <w:bottom w:val="single" w:sz="6" w:space="0" w:color="auto"/>
              <w:right w:val="single" w:sz="12" w:space="0" w:color="auto"/>
            </w:tcBorders>
            <w:vAlign w:val="center"/>
          </w:tcPr>
          <w:p w14:paraId="032CE1B0" w14:textId="77777777" w:rsidR="000134F9" w:rsidRPr="000134F9" w:rsidRDefault="000134F9" w:rsidP="000134F9">
            <w:pPr>
              <w:jc w:val="center"/>
              <w:rPr>
                <w:rFonts w:ascii="Arial" w:hAnsi="Arial" w:cs="Arial"/>
                <w:b/>
                <w:sz w:val="16"/>
                <w:szCs w:val="20"/>
                <w:lang w:val="en-GB"/>
              </w:rPr>
            </w:pPr>
          </w:p>
        </w:tc>
        <w:tc>
          <w:tcPr>
            <w:tcW w:w="1200" w:type="dxa"/>
            <w:tcBorders>
              <w:top w:val="single" w:sz="12" w:space="0" w:color="auto"/>
              <w:left w:val="single" w:sz="12" w:space="0" w:color="auto"/>
              <w:bottom w:val="single" w:sz="6" w:space="0" w:color="auto"/>
              <w:right w:val="single" w:sz="12" w:space="0" w:color="auto"/>
            </w:tcBorders>
            <w:vAlign w:val="center"/>
          </w:tcPr>
          <w:p w14:paraId="6BDAC16D" w14:textId="77777777" w:rsidR="000134F9" w:rsidRPr="000134F9" w:rsidRDefault="000134F9" w:rsidP="000134F9">
            <w:pPr>
              <w:jc w:val="right"/>
              <w:rPr>
                <w:rFonts w:ascii="Arial" w:hAnsi="Arial" w:cs="Arial"/>
                <w:b/>
                <w:sz w:val="16"/>
                <w:szCs w:val="20"/>
                <w:lang w:val="en-GB"/>
              </w:rPr>
            </w:pPr>
            <w:r w:rsidRPr="000134F9">
              <w:rPr>
                <w:rFonts w:ascii="Arial" w:hAnsi="Arial" w:cs="Arial"/>
                <w:b/>
                <w:bCs/>
                <w:sz w:val="16"/>
                <w:szCs w:val="20"/>
                <w:lang w:val="en-GB"/>
              </w:rPr>
              <w:t>11,446</w:t>
            </w:r>
          </w:p>
        </w:tc>
      </w:tr>
      <w:tr w:rsidR="000134F9" w:rsidRPr="000134F9" w14:paraId="39BEEF19"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7A93CF0B" w14:textId="77777777" w:rsidR="000134F9" w:rsidRPr="000134F9" w:rsidRDefault="000134F9" w:rsidP="000134F9">
            <w:pPr>
              <w:jc w:val="both"/>
              <w:rPr>
                <w:rFonts w:ascii="Arial" w:hAnsi="Arial" w:cs="Arial"/>
                <w:bCs/>
                <w:sz w:val="16"/>
                <w:szCs w:val="20"/>
                <w:lang w:val="en-GB"/>
              </w:rPr>
            </w:pPr>
            <w:smartTag w:uri="urn:schemas-microsoft-com:office:smarttags" w:element="place">
              <w:smartTag w:uri="urn:schemas-microsoft-com:office:smarttags" w:element="PlaceName">
                <w:r w:rsidRPr="000134F9">
                  <w:rPr>
                    <w:rFonts w:ascii="Arial" w:hAnsi="Arial" w:cs="Arial"/>
                    <w:color w:val="000000"/>
                    <w:sz w:val="16"/>
                    <w:szCs w:val="20"/>
                    <w:lang w:val="en-GB"/>
                  </w:rPr>
                  <w:t>Kampong</w:t>
                </w:r>
              </w:smartTag>
              <w:r w:rsidRPr="000134F9">
                <w:rPr>
                  <w:rFonts w:ascii="Arial" w:hAnsi="Arial" w:cs="Arial"/>
                  <w:color w:val="000000"/>
                  <w:sz w:val="16"/>
                  <w:szCs w:val="20"/>
                  <w:lang w:val="en-GB"/>
                </w:rPr>
                <w:t xml:space="preserve"> </w:t>
              </w:r>
              <w:smartTag w:uri="urn:schemas-microsoft-com:office:smarttags" w:element="PlaceName">
                <w:r w:rsidRPr="000134F9">
                  <w:rPr>
                    <w:rFonts w:ascii="Arial" w:hAnsi="Arial" w:cs="Arial"/>
                    <w:color w:val="000000"/>
                    <w:sz w:val="16"/>
                    <w:szCs w:val="20"/>
                    <w:lang w:val="en-GB"/>
                  </w:rPr>
                  <w:t>Sam</w:t>
                </w:r>
              </w:smartTag>
              <w:r w:rsidRPr="000134F9">
                <w:rPr>
                  <w:rFonts w:ascii="Arial" w:hAnsi="Arial" w:cs="Arial"/>
                  <w:color w:val="000000"/>
                  <w:sz w:val="16"/>
                  <w:szCs w:val="20"/>
                  <w:lang w:val="en-GB"/>
                </w:rPr>
                <w:t xml:space="preserve"> </w:t>
              </w:r>
              <w:smartTag w:uri="urn:schemas-microsoft-com:office:smarttags" w:element="PlaceName">
                <w:r w:rsidRPr="000134F9">
                  <w:rPr>
                    <w:rFonts w:ascii="Arial" w:hAnsi="Arial" w:cs="Arial"/>
                    <w:color w:val="000000"/>
                    <w:sz w:val="16"/>
                    <w:szCs w:val="20"/>
                    <w:lang w:val="en-GB"/>
                  </w:rPr>
                  <w:t>Bay</w:t>
                </w:r>
              </w:smartTag>
            </w:smartTag>
          </w:p>
        </w:tc>
        <w:tc>
          <w:tcPr>
            <w:tcW w:w="771" w:type="dxa"/>
            <w:tcBorders>
              <w:top w:val="single" w:sz="6" w:space="0" w:color="auto"/>
              <w:left w:val="single" w:sz="12" w:space="0" w:color="auto"/>
              <w:bottom w:val="single" w:sz="6" w:space="0" w:color="auto"/>
              <w:right w:val="single" w:sz="12" w:space="0" w:color="auto"/>
            </w:tcBorders>
            <w:noWrap/>
            <w:vAlign w:val="center"/>
          </w:tcPr>
          <w:p w14:paraId="137ACD4A"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164</w:t>
            </w:r>
          </w:p>
        </w:tc>
        <w:tc>
          <w:tcPr>
            <w:tcW w:w="2448" w:type="dxa"/>
            <w:tcBorders>
              <w:top w:val="single" w:sz="6" w:space="0" w:color="auto"/>
              <w:left w:val="single" w:sz="12" w:space="0" w:color="auto"/>
              <w:bottom w:val="single" w:sz="6" w:space="0" w:color="auto"/>
              <w:right w:val="single" w:sz="12" w:space="0" w:color="auto"/>
            </w:tcBorders>
            <w:vAlign w:val="center"/>
          </w:tcPr>
          <w:p w14:paraId="69223FC3"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None</w:t>
            </w:r>
          </w:p>
        </w:tc>
        <w:tc>
          <w:tcPr>
            <w:tcW w:w="1260" w:type="dxa"/>
            <w:tcBorders>
              <w:top w:val="single" w:sz="6" w:space="0" w:color="auto"/>
              <w:left w:val="single" w:sz="12" w:space="0" w:color="auto"/>
              <w:bottom w:val="single" w:sz="6" w:space="0" w:color="auto"/>
              <w:right w:val="single" w:sz="12" w:space="0" w:color="auto"/>
            </w:tcBorders>
            <w:vAlign w:val="center"/>
          </w:tcPr>
          <w:p w14:paraId="61F4F84D"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0DE6815C"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5EFD62AA"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0</w:t>
            </w:r>
          </w:p>
        </w:tc>
      </w:tr>
      <w:tr w:rsidR="000134F9" w:rsidRPr="000134F9" w14:paraId="71BCF809"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6CE755AA"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Chroy Pros</w:t>
            </w:r>
          </w:p>
        </w:tc>
        <w:tc>
          <w:tcPr>
            <w:tcW w:w="771" w:type="dxa"/>
            <w:tcBorders>
              <w:top w:val="single" w:sz="6" w:space="0" w:color="auto"/>
              <w:left w:val="single" w:sz="12" w:space="0" w:color="auto"/>
              <w:bottom w:val="single" w:sz="6" w:space="0" w:color="auto"/>
              <w:right w:val="single" w:sz="12" w:space="0" w:color="auto"/>
            </w:tcBorders>
            <w:noWrap/>
            <w:vAlign w:val="center"/>
          </w:tcPr>
          <w:p w14:paraId="01CE54D2"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3,910</w:t>
            </w:r>
          </w:p>
        </w:tc>
        <w:tc>
          <w:tcPr>
            <w:tcW w:w="2448" w:type="dxa"/>
            <w:tcBorders>
              <w:top w:val="single" w:sz="6" w:space="0" w:color="auto"/>
              <w:left w:val="single" w:sz="12" w:space="0" w:color="auto"/>
              <w:bottom w:val="single" w:sz="6" w:space="0" w:color="auto"/>
              <w:right w:val="single" w:sz="12" w:space="0" w:color="auto"/>
            </w:tcBorders>
            <w:vAlign w:val="center"/>
          </w:tcPr>
          <w:p w14:paraId="6398ABB8"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Provincial designated MPA</w:t>
            </w:r>
          </w:p>
        </w:tc>
        <w:tc>
          <w:tcPr>
            <w:tcW w:w="1260" w:type="dxa"/>
            <w:tcBorders>
              <w:top w:val="single" w:sz="6" w:space="0" w:color="auto"/>
              <w:left w:val="single" w:sz="12" w:space="0" w:color="auto"/>
              <w:bottom w:val="single" w:sz="6" w:space="0" w:color="auto"/>
              <w:right w:val="single" w:sz="12" w:space="0" w:color="auto"/>
            </w:tcBorders>
            <w:vAlign w:val="center"/>
          </w:tcPr>
          <w:p w14:paraId="73008ADC"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2,000</w:t>
            </w:r>
          </w:p>
        </w:tc>
        <w:tc>
          <w:tcPr>
            <w:tcW w:w="1546" w:type="dxa"/>
            <w:tcBorders>
              <w:top w:val="single" w:sz="6" w:space="0" w:color="auto"/>
              <w:left w:val="single" w:sz="12" w:space="0" w:color="auto"/>
              <w:bottom w:val="single" w:sz="6" w:space="0" w:color="auto"/>
              <w:right w:val="single" w:sz="12" w:space="0" w:color="auto"/>
            </w:tcBorders>
            <w:vAlign w:val="center"/>
          </w:tcPr>
          <w:p w14:paraId="76DC02AB"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Medium</w:t>
            </w:r>
          </w:p>
        </w:tc>
        <w:tc>
          <w:tcPr>
            <w:tcW w:w="1200" w:type="dxa"/>
            <w:tcBorders>
              <w:top w:val="single" w:sz="6" w:space="0" w:color="auto"/>
              <w:left w:val="single" w:sz="12" w:space="0" w:color="auto"/>
              <w:bottom w:val="single" w:sz="6" w:space="0" w:color="auto"/>
              <w:right w:val="single" w:sz="12" w:space="0" w:color="auto"/>
            </w:tcBorders>
            <w:vAlign w:val="center"/>
          </w:tcPr>
          <w:p w14:paraId="715F57EC"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0</w:t>
            </w:r>
          </w:p>
        </w:tc>
      </w:tr>
      <w:tr w:rsidR="000134F9" w:rsidRPr="000134F9" w14:paraId="2CA26873"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7984627C" w14:textId="77777777" w:rsidR="000134F9" w:rsidRPr="000134F9" w:rsidRDefault="000134F9" w:rsidP="000134F9">
            <w:pPr>
              <w:jc w:val="both"/>
              <w:rPr>
                <w:rFonts w:ascii="Arial" w:hAnsi="Arial" w:cs="Arial"/>
                <w:bCs/>
                <w:sz w:val="16"/>
                <w:szCs w:val="20"/>
                <w:lang w:val="en-GB"/>
              </w:rPr>
            </w:pPr>
            <w:r w:rsidRPr="000134F9">
              <w:rPr>
                <w:rFonts w:ascii="Arial" w:hAnsi="Arial" w:cs="Arial"/>
                <w:sz w:val="16"/>
                <w:szCs w:val="20"/>
                <w:lang w:val="en-GB"/>
              </w:rPr>
              <w:t>Kampot</w:t>
            </w:r>
          </w:p>
        </w:tc>
        <w:tc>
          <w:tcPr>
            <w:tcW w:w="771" w:type="dxa"/>
            <w:tcBorders>
              <w:top w:val="single" w:sz="6" w:space="0" w:color="auto"/>
              <w:left w:val="single" w:sz="12" w:space="0" w:color="auto"/>
              <w:bottom w:val="single" w:sz="6" w:space="0" w:color="auto"/>
              <w:right w:val="single" w:sz="12" w:space="0" w:color="auto"/>
            </w:tcBorders>
            <w:noWrap/>
            <w:vAlign w:val="center"/>
          </w:tcPr>
          <w:p w14:paraId="66C31A91"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25,240</w:t>
            </w:r>
          </w:p>
        </w:tc>
        <w:tc>
          <w:tcPr>
            <w:tcW w:w="2448" w:type="dxa"/>
            <w:tcBorders>
              <w:top w:val="single" w:sz="6" w:space="0" w:color="auto"/>
              <w:left w:val="single" w:sz="12" w:space="0" w:color="auto"/>
              <w:bottom w:val="single" w:sz="6" w:space="0" w:color="auto"/>
              <w:right w:val="single" w:sz="12" w:space="0" w:color="auto"/>
            </w:tcBorders>
            <w:vAlign w:val="center"/>
          </w:tcPr>
          <w:p w14:paraId="65DF1FB0"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Proposed fish Sanctuary</w:t>
            </w:r>
          </w:p>
        </w:tc>
        <w:tc>
          <w:tcPr>
            <w:tcW w:w="1260" w:type="dxa"/>
            <w:tcBorders>
              <w:top w:val="single" w:sz="6" w:space="0" w:color="auto"/>
              <w:left w:val="single" w:sz="12" w:space="0" w:color="auto"/>
              <w:bottom w:val="single" w:sz="6" w:space="0" w:color="auto"/>
              <w:right w:val="single" w:sz="12" w:space="0" w:color="auto"/>
            </w:tcBorders>
            <w:vAlign w:val="center"/>
          </w:tcPr>
          <w:p w14:paraId="3BCF9C2C"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26A719C7"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7394C04E"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10,096</w:t>
            </w:r>
          </w:p>
        </w:tc>
      </w:tr>
      <w:tr w:rsidR="000134F9" w:rsidRPr="000134F9" w14:paraId="6403CA20"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6D8DBDD8" w14:textId="77777777" w:rsidR="000134F9" w:rsidRPr="000134F9" w:rsidRDefault="000134F9" w:rsidP="000134F9">
            <w:pPr>
              <w:jc w:val="both"/>
              <w:rPr>
                <w:rFonts w:ascii="Arial" w:hAnsi="Arial" w:cs="Arial"/>
                <w:bCs/>
                <w:sz w:val="16"/>
                <w:szCs w:val="20"/>
                <w:lang w:val="en-GB"/>
              </w:rPr>
            </w:pPr>
            <w:smartTag w:uri="urn:schemas-microsoft-com:office:smarttags" w:element="place">
              <w:smartTag w:uri="urn:schemas-microsoft-com:office:smarttags" w:element="PlaceName">
                <w:r w:rsidRPr="000134F9">
                  <w:rPr>
                    <w:rFonts w:ascii="Arial" w:hAnsi="Arial" w:cs="Arial"/>
                    <w:color w:val="000000"/>
                    <w:sz w:val="16"/>
                    <w:szCs w:val="20"/>
                    <w:lang w:val="en-GB"/>
                  </w:rPr>
                  <w:t>Kep</w:t>
                </w:r>
              </w:smartTag>
              <w:r w:rsidRPr="000134F9">
                <w:rPr>
                  <w:rFonts w:ascii="Arial" w:hAnsi="Arial" w:cs="Arial"/>
                  <w:color w:val="000000"/>
                  <w:sz w:val="16"/>
                  <w:szCs w:val="20"/>
                  <w:lang w:val="en-GB"/>
                </w:rPr>
                <w:t xml:space="preserve"> </w:t>
              </w:r>
              <w:smartTag w:uri="urn:schemas-microsoft-com:office:smarttags" w:element="PlaceType">
                <w:r w:rsidRPr="000134F9">
                  <w:rPr>
                    <w:rFonts w:ascii="Arial" w:hAnsi="Arial" w:cs="Arial"/>
                    <w:color w:val="000000"/>
                    <w:sz w:val="16"/>
                    <w:szCs w:val="20"/>
                    <w:lang w:val="en-GB"/>
                  </w:rPr>
                  <w:t>Beach</w:t>
                </w:r>
              </w:smartTag>
            </w:smartTag>
            <w:r w:rsidRPr="000134F9">
              <w:rPr>
                <w:rFonts w:ascii="Arial" w:hAnsi="Arial" w:cs="Arial"/>
                <w:color w:val="000000"/>
                <w:sz w:val="16"/>
                <w:szCs w:val="20"/>
                <w:lang w:val="en-GB"/>
              </w:rPr>
              <w:t xml:space="preserve"> &amp; Koh Tonsay</w:t>
            </w:r>
          </w:p>
        </w:tc>
        <w:tc>
          <w:tcPr>
            <w:tcW w:w="771" w:type="dxa"/>
            <w:tcBorders>
              <w:top w:val="single" w:sz="6" w:space="0" w:color="auto"/>
              <w:left w:val="single" w:sz="12" w:space="0" w:color="auto"/>
              <w:bottom w:val="single" w:sz="6" w:space="0" w:color="auto"/>
              <w:right w:val="single" w:sz="12" w:space="0" w:color="auto"/>
            </w:tcBorders>
            <w:noWrap/>
            <w:vAlign w:val="center"/>
          </w:tcPr>
          <w:p w14:paraId="71B8FEE7"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4,500</w:t>
            </w:r>
          </w:p>
        </w:tc>
        <w:tc>
          <w:tcPr>
            <w:tcW w:w="2448" w:type="dxa"/>
            <w:tcBorders>
              <w:top w:val="single" w:sz="6" w:space="0" w:color="auto"/>
              <w:left w:val="single" w:sz="12" w:space="0" w:color="auto"/>
              <w:bottom w:val="single" w:sz="6" w:space="0" w:color="auto"/>
              <w:right w:val="single" w:sz="12" w:space="0" w:color="auto"/>
            </w:tcBorders>
            <w:vAlign w:val="center"/>
          </w:tcPr>
          <w:p w14:paraId="6117D26F"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None</w:t>
            </w:r>
          </w:p>
        </w:tc>
        <w:tc>
          <w:tcPr>
            <w:tcW w:w="1260" w:type="dxa"/>
            <w:tcBorders>
              <w:top w:val="single" w:sz="6" w:space="0" w:color="auto"/>
              <w:left w:val="single" w:sz="12" w:space="0" w:color="auto"/>
              <w:bottom w:val="single" w:sz="6" w:space="0" w:color="auto"/>
              <w:right w:val="single" w:sz="12" w:space="0" w:color="auto"/>
            </w:tcBorders>
            <w:vAlign w:val="center"/>
          </w:tcPr>
          <w:p w14:paraId="69F0E987"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5A3BCDE3"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4356623E"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1,350</w:t>
            </w:r>
          </w:p>
        </w:tc>
      </w:tr>
      <w:tr w:rsidR="000134F9" w:rsidRPr="000134F9" w14:paraId="437FD708" w14:textId="77777777" w:rsidTr="000134F9">
        <w:trPr>
          <w:jc w:val="center"/>
        </w:trPr>
        <w:tc>
          <w:tcPr>
            <w:tcW w:w="2516" w:type="dxa"/>
            <w:tcBorders>
              <w:top w:val="single" w:sz="12" w:space="0" w:color="auto"/>
              <w:left w:val="single" w:sz="12" w:space="0" w:color="auto"/>
              <w:bottom w:val="single" w:sz="6" w:space="0" w:color="auto"/>
              <w:right w:val="single" w:sz="12" w:space="0" w:color="auto"/>
            </w:tcBorders>
            <w:noWrap/>
            <w:vAlign w:val="center"/>
          </w:tcPr>
          <w:p w14:paraId="006E1328" w14:textId="77777777" w:rsidR="000134F9" w:rsidRPr="000134F9" w:rsidRDefault="000134F9" w:rsidP="000134F9">
            <w:pPr>
              <w:jc w:val="both"/>
              <w:rPr>
                <w:rFonts w:ascii="Arial" w:hAnsi="Arial" w:cs="Arial"/>
                <w:b/>
                <w:bCs/>
                <w:sz w:val="16"/>
                <w:szCs w:val="20"/>
                <w:highlight w:val="cyan"/>
                <w:lang w:val="en-GB"/>
              </w:rPr>
            </w:pPr>
            <w:smartTag w:uri="urn:schemas-microsoft-com:office:smarttags" w:element="place">
              <w:smartTag w:uri="urn:schemas-microsoft-com:office:smarttags" w:element="country-region">
                <w:r w:rsidRPr="000134F9">
                  <w:rPr>
                    <w:rFonts w:ascii="Arial" w:hAnsi="Arial" w:cs="Arial"/>
                    <w:b/>
                    <w:bCs/>
                    <w:sz w:val="16"/>
                    <w:szCs w:val="20"/>
                    <w:lang w:val="en-GB"/>
                  </w:rPr>
                  <w:t>China</w:t>
                </w:r>
              </w:smartTag>
            </w:smartTag>
          </w:p>
        </w:tc>
        <w:tc>
          <w:tcPr>
            <w:tcW w:w="771" w:type="dxa"/>
            <w:tcBorders>
              <w:top w:val="single" w:sz="12" w:space="0" w:color="auto"/>
              <w:left w:val="single" w:sz="12" w:space="0" w:color="auto"/>
              <w:bottom w:val="single" w:sz="6" w:space="0" w:color="auto"/>
              <w:right w:val="single" w:sz="12" w:space="0" w:color="auto"/>
            </w:tcBorders>
            <w:noWrap/>
            <w:vAlign w:val="center"/>
          </w:tcPr>
          <w:p w14:paraId="19E19DBB" w14:textId="77777777" w:rsidR="000134F9" w:rsidRPr="000134F9" w:rsidRDefault="000134F9" w:rsidP="000134F9">
            <w:pPr>
              <w:jc w:val="right"/>
              <w:rPr>
                <w:rFonts w:ascii="Arial" w:hAnsi="Arial" w:cs="Arial"/>
                <w:b/>
                <w:sz w:val="16"/>
                <w:szCs w:val="20"/>
                <w:lang w:val="en-GB"/>
              </w:rPr>
            </w:pPr>
            <w:r w:rsidRPr="000134F9">
              <w:rPr>
                <w:rFonts w:ascii="Arial" w:hAnsi="Arial" w:cs="Arial"/>
                <w:b/>
                <w:sz w:val="16"/>
                <w:szCs w:val="20"/>
                <w:lang w:val="en-GB"/>
              </w:rPr>
              <w:t>1,960</w:t>
            </w:r>
          </w:p>
        </w:tc>
        <w:tc>
          <w:tcPr>
            <w:tcW w:w="2448" w:type="dxa"/>
            <w:tcBorders>
              <w:top w:val="single" w:sz="12" w:space="0" w:color="auto"/>
              <w:left w:val="single" w:sz="12" w:space="0" w:color="auto"/>
              <w:bottom w:val="single" w:sz="6" w:space="0" w:color="auto"/>
              <w:right w:val="single" w:sz="12" w:space="0" w:color="auto"/>
            </w:tcBorders>
            <w:vAlign w:val="center"/>
          </w:tcPr>
          <w:p w14:paraId="7F6CCB40" w14:textId="77777777" w:rsidR="000134F9" w:rsidRPr="000134F9" w:rsidRDefault="000134F9" w:rsidP="000134F9">
            <w:pPr>
              <w:rPr>
                <w:rFonts w:ascii="Arial" w:hAnsi="Arial" w:cs="Arial"/>
                <w:b/>
                <w:sz w:val="16"/>
                <w:szCs w:val="20"/>
                <w:lang w:val="en-GB"/>
              </w:rPr>
            </w:pPr>
          </w:p>
        </w:tc>
        <w:tc>
          <w:tcPr>
            <w:tcW w:w="1260" w:type="dxa"/>
            <w:tcBorders>
              <w:top w:val="single" w:sz="12" w:space="0" w:color="auto"/>
              <w:left w:val="single" w:sz="12" w:space="0" w:color="auto"/>
              <w:bottom w:val="single" w:sz="6" w:space="0" w:color="auto"/>
              <w:right w:val="single" w:sz="12" w:space="0" w:color="auto"/>
            </w:tcBorders>
            <w:vAlign w:val="center"/>
          </w:tcPr>
          <w:p w14:paraId="0BBE4410" w14:textId="77777777" w:rsidR="000134F9" w:rsidRPr="000134F9" w:rsidRDefault="000134F9" w:rsidP="000134F9">
            <w:pPr>
              <w:jc w:val="right"/>
              <w:rPr>
                <w:rFonts w:ascii="Arial" w:hAnsi="Arial" w:cs="Arial"/>
                <w:b/>
                <w:sz w:val="16"/>
                <w:szCs w:val="20"/>
                <w:lang w:val="en-GB"/>
              </w:rPr>
            </w:pPr>
            <w:r w:rsidRPr="000134F9">
              <w:rPr>
                <w:rFonts w:ascii="Arial" w:hAnsi="Arial" w:cs="Arial"/>
                <w:b/>
                <w:sz w:val="16"/>
                <w:szCs w:val="20"/>
                <w:lang w:val="en-GB"/>
              </w:rPr>
              <w:t>150</w:t>
            </w:r>
          </w:p>
        </w:tc>
        <w:tc>
          <w:tcPr>
            <w:tcW w:w="1546" w:type="dxa"/>
            <w:tcBorders>
              <w:top w:val="single" w:sz="12" w:space="0" w:color="auto"/>
              <w:left w:val="single" w:sz="12" w:space="0" w:color="auto"/>
              <w:bottom w:val="single" w:sz="6" w:space="0" w:color="auto"/>
              <w:right w:val="single" w:sz="12" w:space="0" w:color="auto"/>
            </w:tcBorders>
            <w:vAlign w:val="center"/>
          </w:tcPr>
          <w:p w14:paraId="1D45C19A" w14:textId="77777777" w:rsidR="000134F9" w:rsidRPr="000134F9" w:rsidRDefault="000134F9" w:rsidP="000134F9">
            <w:pPr>
              <w:jc w:val="center"/>
              <w:rPr>
                <w:rFonts w:ascii="Arial" w:hAnsi="Arial" w:cs="Arial"/>
                <w:b/>
                <w:sz w:val="16"/>
                <w:szCs w:val="20"/>
                <w:lang w:val="en-GB"/>
              </w:rPr>
            </w:pPr>
          </w:p>
        </w:tc>
        <w:tc>
          <w:tcPr>
            <w:tcW w:w="1200" w:type="dxa"/>
            <w:tcBorders>
              <w:top w:val="single" w:sz="12" w:space="0" w:color="auto"/>
              <w:left w:val="single" w:sz="12" w:space="0" w:color="auto"/>
              <w:bottom w:val="single" w:sz="6" w:space="0" w:color="auto"/>
              <w:right w:val="single" w:sz="12" w:space="0" w:color="auto"/>
            </w:tcBorders>
            <w:vAlign w:val="center"/>
          </w:tcPr>
          <w:p w14:paraId="1820F5BB" w14:textId="77777777" w:rsidR="000134F9" w:rsidRPr="000134F9" w:rsidRDefault="000134F9" w:rsidP="000134F9">
            <w:pPr>
              <w:jc w:val="right"/>
              <w:rPr>
                <w:rFonts w:ascii="Arial" w:hAnsi="Arial" w:cs="Arial"/>
                <w:b/>
                <w:sz w:val="16"/>
                <w:szCs w:val="20"/>
                <w:lang w:val="en-GB"/>
              </w:rPr>
            </w:pPr>
            <w:r w:rsidRPr="000134F9">
              <w:rPr>
                <w:rFonts w:ascii="Arial" w:hAnsi="Arial" w:cs="Arial"/>
                <w:b/>
                <w:sz w:val="16"/>
                <w:szCs w:val="20"/>
                <w:lang w:val="en-GB"/>
              </w:rPr>
              <w:t>700</w:t>
            </w:r>
          </w:p>
        </w:tc>
      </w:tr>
      <w:tr w:rsidR="000134F9" w:rsidRPr="000134F9" w14:paraId="431B5189"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1A692E6B"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Hepu seagrass bed</w:t>
            </w:r>
          </w:p>
        </w:tc>
        <w:tc>
          <w:tcPr>
            <w:tcW w:w="771" w:type="dxa"/>
            <w:tcBorders>
              <w:top w:val="single" w:sz="6" w:space="0" w:color="auto"/>
              <w:left w:val="single" w:sz="12" w:space="0" w:color="auto"/>
              <w:bottom w:val="single" w:sz="6" w:space="0" w:color="auto"/>
              <w:right w:val="single" w:sz="12" w:space="0" w:color="auto"/>
            </w:tcBorders>
            <w:noWrap/>
            <w:vAlign w:val="center"/>
          </w:tcPr>
          <w:p w14:paraId="5026708C" w14:textId="77777777" w:rsidR="000134F9" w:rsidRPr="000134F9" w:rsidRDefault="000134F9" w:rsidP="000134F9">
            <w:pPr>
              <w:jc w:val="right"/>
              <w:rPr>
                <w:rFonts w:ascii="Arial" w:hAnsi="Arial" w:cs="Arial"/>
                <w:sz w:val="16"/>
                <w:szCs w:val="20"/>
                <w:lang w:val="en-GB"/>
              </w:rPr>
            </w:pPr>
            <w:r w:rsidRPr="000134F9">
              <w:rPr>
                <w:rFonts w:ascii="Arial" w:hAnsi="Arial" w:cs="Arial"/>
                <w:color w:val="000000"/>
                <w:sz w:val="16"/>
                <w:szCs w:val="20"/>
                <w:lang w:val="en-GB"/>
              </w:rPr>
              <w:t>540</w:t>
            </w:r>
          </w:p>
        </w:tc>
        <w:tc>
          <w:tcPr>
            <w:tcW w:w="2448" w:type="dxa"/>
            <w:tcBorders>
              <w:top w:val="single" w:sz="6" w:space="0" w:color="auto"/>
              <w:left w:val="single" w:sz="12" w:space="0" w:color="auto"/>
              <w:bottom w:val="single" w:sz="6" w:space="0" w:color="auto"/>
              <w:right w:val="single" w:sz="12" w:space="0" w:color="auto"/>
            </w:tcBorders>
            <w:vAlign w:val="center"/>
          </w:tcPr>
          <w:p w14:paraId="6DB8951B" w14:textId="77777777" w:rsidR="000134F9" w:rsidRPr="000134F9" w:rsidRDefault="000134F9" w:rsidP="000134F9">
            <w:pPr>
              <w:rPr>
                <w:rFonts w:ascii="Arial" w:hAnsi="Arial" w:cs="Arial"/>
                <w:sz w:val="16"/>
                <w:szCs w:val="20"/>
                <w:lang w:val="en-GB"/>
              </w:rPr>
            </w:pPr>
            <w:r w:rsidRPr="000134F9">
              <w:rPr>
                <w:rFonts w:ascii="Arial" w:hAnsi="Arial" w:cs="Arial"/>
                <w:color w:val="000000"/>
                <w:sz w:val="16"/>
                <w:szCs w:val="20"/>
                <w:lang w:val="en-GB"/>
              </w:rPr>
              <w:t>National Dugong Reserve</w:t>
            </w:r>
          </w:p>
        </w:tc>
        <w:tc>
          <w:tcPr>
            <w:tcW w:w="1260" w:type="dxa"/>
            <w:tcBorders>
              <w:top w:val="single" w:sz="6" w:space="0" w:color="auto"/>
              <w:left w:val="single" w:sz="12" w:space="0" w:color="auto"/>
              <w:bottom w:val="single" w:sz="6" w:space="0" w:color="auto"/>
              <w:right w:val="single" w:sz="12" w:space="0" w:color="auto"/>
            </w:tcBorders>
            <w:vAlign w:val="center"/>
          </w:tcPr>
          <w:p w14:paraId="5D3D1C60" w14:textId="77777777" w:rsidR="000134F9" w:rsidRPr="000134F9" w:rsidRDefault="000134F9" w:rsidP="000134F9">
            <w:pPr>
              <w:jc w:val="right"/>
              <w:rPr>
                <w:rFonts w:ascii="Arial" w:hAnsi="Arial" w:cs="Arial"/>
                <w:sz w:val="16"/>
                <w:szCs w:val="20"/>
                <w:lang w:val="en-GB"/>
              </w:rPr>
            </w:pPr>
            <w:r w:rsidRPr="000134F9">
              <w:rPr>
                <w:rFonts w:ascii="Arial" w:hAnsi="Arial" w:cs="Arial"/>
                <w:color w:val="000000"/>
                <w:sz w:val="16"/>
                <w:szCs w:val="20"/>
                <w:lang w:val="en-GB"/>
              </w:rPr>
              <w:t>150</w:t>
            </w:r>
          </w:p>
        </w:tc>
        <w:tc>
          <w:tcPr>
            <w:tcW w:w="1546" w:type="dxa"/>
            <w:tcBorders>
              <w:top w:val="single" w:sz="6" w:space="0" w:color="auto"/>
              <w:left w:val="single" w:sz="12" w:space="0" w:color="auto"/>
              <w:bottom w:val="single" w:sz="6" w:space="0" w:color="auto"/>
              <w:right w:val="single" w:sz="12" w:space="0" w:color="auto"/>
            </w:tcBorders>
            <w:vAlign w:val="center"/>
          </w:tcPr>
          <w:p w14:paraId="0C767A8D"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Medium</w:t>
            </w:r>
          </w:p>
        </w:tc>
        <w:tc>
          <w:tcPr>
            <w:tcW w:w="1200" w:type="dxa"/>
            <w:tcBorders>
              <w:top w:val="single" w:sz="6" w:space="0" w:color="auto"/>
              <w:left w:val="single" w:sz="12" w:space="0" w:color="auto"/>
              <w:bottom w:val="single" w:sz="6" w:space="0" w:color="auto"/>
              <w:right w:val="single" w:sz="12" w:space="0" w:color="auto"/>
            </w:tcBorders>
            <w:vAlign w:val="center"/>
          </w:tcPr>
          <w:p w14:paraId="38482760"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150</w:t>
            </w:r>
          </w:p>
        </w:tc>
      </w:tr>
      <w:tr w:rsidR="000134F9" w:rsidRPr="000134F9" w14:paraId="3091372E"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0A13CF70"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Liusha seagrass bed</w:t>
            </w:r>
          </w:p>
        </w:tc>
        <w:tc>
          <w:tcPr>
            <w:tcW w:w="771" w:type="dxa"/>
            <w:tcBorders>
              <w:top w:val="single" w:sz="6" w:space="0" w:color="auto"/>
              <w:left w:val="single" w:sz="12" w:space="0" w:color="auto"/>
              <w:bottom w:val="single" w:sz="6" w:space="0" w:color="auto"/>
              <w:right w:val="single" w:sz="12" w:space="0" w:color="auto"/>
            </w:tcBorders>
            <w:noWrap/>
            <w:vAlign w:val="center"/>
          </w:tcPr>
          <w:p w14:paraId="3509A6EC" w14:textId="77777777" w:rsidR="000134F9" w:rsidRPr="000134F9" w:rsidRDefault="000134F9" w:rsidP="000134F9">
            <w:pPr>
              <w:jc w:val="right"/>
              <w:rPr>
                <w:rFonts w:ascii="Arial" w:hAnsi="Arial" w:cs="Arial"/>
                <w:sz w:val="16"/>
                <w:szCs w:val="20"/>
                <w:lang w:val="en-GB"/>
              </w:rPr>
            </w:pPr>
            <w:r w:rsidRPr="000134F9">
              <w:rPr>
                <w:rFonts w:ascii="Arial" w:hAnsi="Arial" w:cs="Arial"/>
                <w:color w:val="000000"/>
                <w:sz w:val="16"/>
                <w:szCs w:val="20"/>
                <w:lang w:val="en-GB"/>
              </w:rPr>
              <w:t>900</w:t>
            </w:r>
          </w:p>
        </w:tc>
        <w:tc>
          <w:tcPr>
            <w:tcW w:w="2448" w:type="dxa"/>
            <w:tcBorders>
              <w:top w:val="single" w:sz="6" w:space="0" w:color="auto"/>
              <w:left w:val="single" w:sz="12" w:space="0" w:color="auto"/>
              <w:bottom w:val="single" w:sz="6" w:space="0" w:color="auto"/>
              <w:right w:val="single" w:sz="12" w:space="0" w:color="auto"/>
            </w:tcBorders>
            <w:vAlign w:val="center"/>
          </w:tcPr>
          <w:p w14:paraId="4E557E28" w14:textId="77777777" w:rsidR="000134F9" w:rsidRPr="000134F9" w:rsidRDefault="000134F9" w:rsidP="000134F9">
            <w:pPr>
              <w:rPr>
                <w:rFonts w:ascii="Arial" w:hAnsi="Arial" w:cs="Arial"/>
                <w:sz w:val="16"/>
                <w:szCs w:val="20"/>
                <w:lang w:val="en-GB"/>
              </w:rPr>
            </w:pPr>
            <w:r w:rsidRPr="000134F9">
              <w:rPr>
                <w:rFonts w:ascii="Arial" w:hAnsi="Arial" w:cs="Arial"/>
                <w:color w:val="000000"/>
                <w:sz w:val="16"/>
                <w:szCs w:val="20"/>
                <w:lang w:val="en-GB"/>
              </w:rPr>
              <w:t>None</w:t>
            </w:r>
            <w:r w:rsidRPr="000134F9">
              <w:rPr>
                <w:rFonts w:ascii="Arial" w:hAnsi="Arial" w:cs="Arial"/>
                <w:color w:val="000000"/>
                <w:sz w:val="16"/>
                <w:szCs w:val="20"/>
                <w:vertAlign w:val="superscript"/>
                <w:lang w:val="en-GB"/>
              </w:rPr>
              <w:footnoteReference w:id="70"/>
            </w:r>
          </w:p>
        </w:tc>
        <w:tc>
          <w:tcPr>
            <w:tcW w:w="1260" w:type="dxa"/>
            <w:tcBorders>
              <w:top w:val="single" w:sz="6" w:space="0" w:color="auto"/>
              <w:left w:val="single" w:sz="12" w:space="0" w:color="auto"/>
              <w:bottom w:val="single" w:sz="6" w:space="0" w:color="auto"/>
              <w:right w:val="single" w:sz="12" w:space="0" w:color="auto"/>
            </w:tcBorders>
            <w:vAlign w:val="center"/>
          </w:tcPr>
          <w:p w14:paraId="40D596E1"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5D0A011D"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63D9AB65"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200</w:t>
            </w:r>
          </w:p>
        </w:tc>
      </w:tr>
      <w:tr w:rsidR="000134F9" w:rsidRPr="000134F9" w14:paraId="5AEEA856"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4DFEB25B"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LiAn seagrass bed</w:t>
            </w:r>
          </w:p>
        </w:tc>
        <w:tc>
          <w:tcPr>
            <w:tcW w:w="771" w:type="dxa"/>
            <w:tcBorders>
              <w:top w:val="single" w:sz="6" w:space="0" w:color="auto"/>
              <w:left w:val="single" w:sz="12" w:space="0" w:color="auto"/>
              <w:bottom w:val="single" w:sz="6" w:space="0" w:color="auto"/>
              <w:right w:val="single" w:sz="12" w:space="0" w:color="auto"/>
            </w:tcBorders>
            <w:noWrap/>
            <w:vAlign w:val="center"/>
          </w:tcPr>
          <w:p w14:paraId="3F0D344F" w14:textId="77777777" w:rsidR="000134F9" w:rsidRPr="000134F9" w:rsidRDefault="000134F9" w:rsidP="000134F9">
            <w:pPr>
              <w:jc w:val="right"/>
              <w:rPr>
                <w:rFonts w:ascii="Arial" w:hAnsi="Arial" w:cs="Arial"/>
                <w:sz w:val="16"/>
                <w:szCs w:val="20"/>
                <w:lang w:val="en-GB"/>
              </w:rPr>
            </w:pPr>
            <w:r w:rsidRPr="000134F9">
              <w:rPr>
                <w:rFonts w:ascii="Arial" w:hAnsi="Arial" w:cs="Arial"/>
                <w:color w:val="000000"/>
                <w:sz w:val="16"/>
                <w:szCs w:val="20"/>
                <w:lang w:val="en-GB"/>
              </w:rPr>
              <w:t>320</w:t>
            </w:r>
          </w:p>
        </w:tc>
        <w:tc>
          <w:tcPr>
            <w:tcW w:w="2448" w:type="dxa"/>
            <w:tcBorders>
              <w:top w:val="single" w:sz="6" w:space="0" w:color="auto"/>
              <w:left w:val="single" w:sz="12" w:space="0" w:color="auto"/>
              <w:bottom w:val="single" w:sz="6" w:space="0" w:color="auto"/>
              <w:right w:val="single" w:sz="12" w:space="0" w:color="auto"/>
            </w:tcBorders>
            <w:vAlign w:val="center"/>
          </w:tcPr>
          <w:p w14:paraId="789CA013" w14:textId="77777777" w:rsidR="000134F9" w:rsidRPr="000134F9" w:rsidRDefault="000134F9" w:rsidP="000134F9">
            <w:pPr>
              <w:rPr>
                <w:rFonts w:ascii="Arial" w:hAnsi="Arial" w:cs="Arial"/>
                <w:sz w:val="16"/>
                <w:szCs w:val="20"/>
                <w:lang w:val="en-GB"/>
              </w:rPr>
            </w:pPr>
            <w:r w:rsidRPr="000134F9">
              <w:rPr>
                <w:rFonts w:ascii="Arial" w:hAnsi="Arial" w:cs="Arial"/>
                <w:color w:val="000000"/>
                <w:sz w:val="16"/>
                <w:szCs w:val="20"/>
                <w:lang w:val="en-GB"/>
              </w:rPr>
              <w:t xml:space="preserve">Proposed </w:t>
            </w:r>
            <w:smartTag w:uri="urn:schemas-microsoft-com:office:smarttags" w:element="place">
              <w:smartTag w:uri="urn:schemas-microsoft-com:office:smarttags" w:element="PlaceName">
                <w:r w:rsidRPr="000134F9">
                  <w:rPr>
                    <w:rFonts w:ascii="Arial" w:hAnsi="Arial" w:cs="Arial"/>
                    <w:color w:val="000000"/>
                    <w:sz w:val="16"/>
                    <w:szCs w:val="20"/>
                    <w:lang w:val="en-GB"/>
                  </w:rPr>
                  <w:t>Marine</w:t>
                </w:r>
              </w:smartTag>
              <w:r w:rsidRPr="000134F9">
                <w:rPr>
                  <w:rFonts w:ascii="Arial" w:hAnsi="Arial" w:cs="Arial"/>
                  <w:color w:val="000000"/>
                  <w:sz w:val="16"/>
                  <w:szCs w:val="20"/>
                  <w:lang w:val="en-GB"/>
                </w:rPr>
                <w:t xml:space="preserve"> </w:t>
              </w:r>
              <w:smartTag w:uri="urn:schemas-microsoft-com:office:smarttags" w:element="PlaceType">
                <w:r w:rsidRPr="000134F9">
                  <w:rPr>
                    <w:rFonts w:ascii="Arial" w:hAnsi="Arial" w:cs="Arial"/>
                    <w:color w:val="000000"/>
                    <w:sz w:val="16"/>
                    <w:szCs w:val="20"/>
                    <w:lang w:val="en-GB"/>
                  </w:rPr>
                  <w:t>Park</w:t>
                </w:r>
              </w:smartTag>
            </w:smartTag>
          </w:p>
        </w:tc>
        <w:tc>
          <w:tcPr>
            <w:tcW w:w="1260" w:type="dxa"/>
            <w:tcBorders>
              <w:top w:val="single" w:sz="6" w:space="0" w:color="auto"/>
              <w:left w:val="single" w:sz="12" w:space="0" w:color="auto"/>
              <w:bottom w:val="single" w:sz="6" w:space="0" w:color="auto"/>
              <w:right w:val="single" w:sz="12" w:space="0" w:color="auto"/>
            </w:tcBorders>
            <w:vAlign w:val="center"/>
          </w:tcPr>
          <w:p w14:paraId="2BB5EFE4" w14:textId="77777777" w:rsidR="000134F9" w:rsidRPr="000134F9" w:rsidRDefault="000134F9" w:rsidP="000134F9">
            <w:pPr>
              <w:jc w:val="center"/>
              <w:rPr>
                <w:rFonts w:ascii="Arial" w:hAnsi="Arial" w:cs="Arial"/>
                <w:sz w:val="16"/>
                <w:szCs w:val="20"/>
                <w:lang w:val="en-GB"/>
              </w:rPr>
            </w:pPr>
            <w:r w:rsidRPr="000134F9">
              <w:rPr>
                <w:rFonts w:ascii="Arial" w:hAnsi="Arial" w:cs="Arial"/>
                <w:color w:val="000000"/>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7DC0C262"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66EE3185"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200</w:t>
            </w:r>
          </w:p>
        </w:tc>
      </w:tr>
      <w:tr w:rsidR="000134F9" w:rsidRPr="000134F9" w14:paraId="7B3C6DBD"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10BCD019"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Xincun seagrass bed</w:t>
            </w:r>
          </w:p>
        </w:tc>
        <w:tc>
          <w:tcPr>
            <w:tcW w:w="771" w:type="dxa"/>
            <w:tcBorders>
              <w:top w:val="single" w:sz="6" w:space="0" w:color="auto"/>
              <w:left w:val="single" w:sz="12" w:space="0" w:color="auto"/>
              <w:bottom w:val="single" w:sz="6" w:space="0" w:color="auto"/>
              <w:right w:val="single" w:sz="12" w:space="0" w:color="auto"/>
            </w:tcBorders>
            <w:noWrap/>
            <w:vAlign w:val="center"/>
          </w:tcPr>
          <w:p w14:paraId="3688154A" w14:textId="77777777" w:rsidR="000134F9" w:rsidRPr="000134F9" w:rsidRDefault="000134F9" w:rsidP="000134F9">
            <w:pPr>
              <w:jc w:val="right"/>
              <w:rPr>
                <w:rFonts w:ascii="Arial" w:hAnsi="Arial" w:cs="Arial"/>
                <w:sz w:val="16"/>
                <w:szCs w:val="20"/>
                <w:lang w:val="en-GB"/>
              </w:rPr>
            </w:pPr>
            <w:r w:rsidRPr="000134F9">
              <w:rPr>
                <w:rFonts w:ascii="Arial" w:hAnsi="Arial" w:cs="Arial"/>
                <w:color w:val="000000"/>
                <w:sz w:val="16"/>
                <w:szCs w:val="20"/>
                <w:lang w:val="en-GB"/>
              </w:rPr>
              <w:t>200</w:t>
            </w:r>
          </w:p>
        </w:tc>
        <w:tc>
          <w:tcPr>
            <w:tcW w:w="2448" w:type="dxa"/>
            <w:tcBorders>
              <w:top w:val="single" w:sz="6" w:space="0" w:color="auto"/>
              <w:left w:val="single" w:sz="12" w:space="0" w:color="auto"/>
              <w:bottom w:val="single" w:sz="6" w:space="0" w:color="auto"/>
              <w:right w:val="single" w:sz="12" w:space="0" w:color="auto"/>
            </w:tcBorders>
            <w:vAlign w:val="center"/>
          </w:tcPr>
          <w:p w14:paraId="1DA5994B" w14:textId="77777777" w:rsidR="000134F9" w:rsidRPr="000134F9" w:rsidRDefault="000134F9" w:rsidP="000134F9">
            <w:pPr>
              <w:rPr>
                <w:rFonts w:ascii="Arial" w:hAnsi="Arial" w:cs="Arial"/>
                <w:sz w:val="16"/>
                <w:szCs w:val="20"/>
                <w:lang w:val="en-GB"/>
              </w:rPr>
            </w:pPr>
            <w:r w:rsidRPr="000134F9">
              <w:rPr>
                <w:rFonts w:ascii="Arial" w:hAnsi="Arial" w:cs="Arial"/>
                <w:color w:val="000000"/>
                <w:sz w:val="16"/>
                <w:szCs w:val="20"/>
                <w:lang w:val="en-GB"/>
              </w:rPr>
              <w:t xml:space="preserve">Proposed </w:t>
            </w:r>
            <w:smartTag w:uri="urn:schemas-microsoft-com:office:smarttags" w:element="place">
              <w:smartTag w:uri="urn:schemas-microsoft-com:office:smarttags" w:element="PlaceName">
                <w:r w:rsidRPr="000134F9">
                  <w:rPr>
                    <w:rFonts w:ascii="Arial" w:hAnsi="Arial" w:cs="Arial"/>
                    <w:color w:val="000000"/>
                    <w:sz w:val="16"/>
                    <w:szCs w:val="20"/>
                    <w:lang w:val="en-GB"/>
                  </w:rPr>
                  <w:t>Marine</w:t>
                </w:r>
              </w:smartTag>
              <w:r w:rsidRPr="000134F9">
                <w:rPr>
                  <w:rFonts w:ascii="Arial" w:hAnsi="Arial" w:cs="Arial"/>
                  <w:color w:val="000000"/>
                  <w:sz w:val="16"/>
                  <w:szCs w:val="20"/>
                  <w:lang w:val="en-GB"/>
                </w:rPr>
                <w:t xml:space="preserve"> </w:t>
              </w:r>
              <w:smartTag w:uri="urn:schemas-microsoft-com:office:smarttags" w:element="PlaceType">
                <w:r w:rsidRPr="000134F9">
                  <w:rPr>
                    <w:rFonts w:ascii="Arial" w:hAnsi="Arial" w:cs="Arial"/>
                    <w:color w:val="000000"/>
                    <w:sz w:val="16"/>
                    <w:szCs w:val="20"/>
                    <w:lang w:val="en-GB"/>
                  </w:rPr>
                  <w:t>Park</w:t>
                </w:r>
              </w:smartTag>
            </w:smartTag>
          </w:p>
        </w:tc>
        <w:tc>
          <w:tcPr>
            <w:tcW w:w="1260" w:type="dxa"/>
            <w:tcBorders>
              <w:top w:val="single" w:sz="6" w:space="0" w:color="auto"/>
              <w:left w:val="single" w:sz="12" w:space="0" w:color="auto"/>
              <w:bottom w:val="single" w:sz="6" w:space="0" w:color="auto"/>
              <w:right w:val="single" w:sz="12" w:space="0" w:color="auto"/>
            </w:tcBorders>
            <w:vAlign w:val="center"/>
          </w:tcPr>
          <w:p w14:paraId="74F68AD0"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31385316"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58D840D7"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150</w:t>
            </w:r>
          </w:p>
        </w:tc>
      </w:tr>
      <w:tr w:rsidR="000134F9" w:rsidRPr="000134F9" w14:paraId="5E503160" w14:textId="77777777" w:rsidTr="000134F9">
        <w:trPr>
          <w:jc w:val="center"/>
        </w:trPr>
        <w:tc>
          <w:tcPr>
            <w:tcW w:w="2516" w:type="dxa"/>
            <w:tcBorders>
              <w:top w:val="single" w:sz="12" w:space="0" w:color="auto"/>
              <w:left w:val="single" w:sz="12" w:space="0" w:color="auto"/>
              <w:bottom w:val="single" w:sz="6" w:space="0" w:color="auto"/>
              <w:right w:val="single" w:sz="12" w:space="0" w:color="auto"/>
            </w:tcBorders>
            <w:noWrap/>
            <w:vAlign w:val="center"/>
          </w:tcPr>
          <w:p w14:paraId="584AF29B" w14:textId="77777777" w:rsidR="000134F9" w:rsidRPr="000134F9" w:rsidRDefault="000134F9" w:rsidP="000134F9">
            <w:pPr>
              <w:jc w:val="both"/>
              <w:rPr>
                <w:rFonts w:ascii="Arial" w:hAnsi="Arial" w:cs="Arial"/>
                <w:bCs/>
                <w:sz w:val="16"/>
                <w:szCs w:val="20"/>
                <w:lang w:val="en-GB"/>
              </w:rPr>
            </w:pPr>
            <w:smartTag w:uri="urn:schemas-microsoft-com:office:smarttags" w:element="place">
              <w:smartTag w:uri="urn:schemas-microsoft-com:office:smarttags" w:element="country-region">
                <w:r w:rsidRPr="000134F9">
                  <w:rPr>
                    <w:rFonts w:ascii="Arial" w:hAnsi="Arial" w:cs="Arial"/>
                    <w:b/>
                    <w:sz w:val="16"/>
                    <w:szCs w:val="20"/>
                    <w:lang w:val="en-GB"/>
                  </w:rPr>
                  <w:t>Indonesia</w:t>
                </w:r>
              </w:smartTag>
            </w:smartTag>
          </w:p>
        </w:tc>
        <w:tc>
          <w:tcPr>
            <w:tcW w:w="771" w:type="dxa"/>
            <w:tcBorders>
              <w:top w:val="single" w:sz="12" w:space="0" w:color="auto"/>
              <w:left w:val="single" w:sz="12" w:space="0" w:color="auto"/>
              <w:bottom w:val="single" w:sz="6" w:space="0" w:color="auto"/>
              <w:right w:val="single" w:sz="12" w:space="0" w:color="auto"/>
            </w:tcBorders>
            <w:noWrap/>
            <w:vAlign w:val="center"/>
          </w:tcPr>
          <w:p w14:paraId="4E4A0364" w14:textId="77777777" w:rsidR="000134F9" w:rsidRPr="000134F9" w:rsidRDefault="000134F9" w:rsidP="000134F9">
            <w:pPr>
              <w:jc w:val="right"/>
              <w:rPr>
                <w:rFonts w:ascii="Arial" w:hAnsi="Arial" w:cs="Arial"/>
                <w:b/>
                <w:sz w:val="16"/>
                <w:szCs w:val="20"/>
                <w:lang w:val="en-GB"/>
              </w:rPr>
            </w:pPr>
            <w:r w:rsidRPr="000134F9">
              <w:rPr>
                <w:rFonts w:ascii="Arial" w:hAnsi="Arial" w:cs="Arial"/>
                <w:b/>
                <w:sz w:val="16"/>
                <w:szCs w:val="20"/>
                <w:lang w:val="en-GB"/>
              </w:rPr>
              <w:t>3,035</w:t>
            </w:r>
          </w:p>
        </w:tc>
        <w:tc>
          <w:tcPr>
            <w:tcW w:w="2448" w:type="dxa"/>
            <w:tcBorders>
              <w:top w:val="single" w:sz="12" w:space="0" w:color="auto"/>
              <w:left w:val="single" w:sz="12" w:space="0" w:color="auto"/>
              <w:bottom w:val="single" w:sz="6" w:space="0" w:color="auto"/>
              <w:right w:val="single" w:sz="12" w:space="0" w:color="auto"/>
            </w:tcBorders>
            <w:vAlign w:val="center"/>
          </w:tcPr>
          <w:p w14:paraId="0871006D" w14:textId="77777777" w:rsidR="000134F9" w:rsidRPr="000134F9" w:rsidRDefault="000134F9" w:rsidP="000134F9">
            <w:pPr>
              <w:rPr>
                <w:rFonts w:ascii="Arial" w:hAnsi="Arial" w:cs="Arial"/>
                <w:b/>
                <w:sz w:val="16"/>
                <w:szCs w:val="20"/>
                <w:lang w:val="en-GB"/>
              </w:rPr>
            </w:pPr>
          </w:p>
        </w:tc>
        <w:tc>
          <w:tcPr>
            <w:tcW w:w="1260" w:type="dxa"/>
            <w:tcBorders>
              <w:top w:val="single" w:sz="12" w:space="0" w:color="auto"/>
              <w:left w:val="single" w:sz="12" w:space="0" w:color="auto"/>
              <w:bottom w:val="single" w:sz="6" w:space="0" w:color="auto"/>
              <w:right w:val="single" w:sz="12" w:space="0" w:color="auto"/>
            </w:tcBorders>
            <w:vAlign w:val="center"/>
          </w:tcPr>
          <w:p w14:paraId="722A1B0E" w14:textId="77777777" w:rsidR="000134F9" w:rsidRPr="000134F9" w:rsidRDefault="000134F9" w:rsidP="000134F9">
            <w:pPr>
              <w:jc w:val="right"/>
              <w:rPr>
                <w:rFonts w:ascii="Arial" w:hAnsi="Arial" w:cs="Arial"/>
                <w:b/>
                <w:sz w:val="16"/>
                <w:szCs w:val="20"/>
                <w:lang w:val="en-GB"/>
              </w:rPr>
            </w:pPr>
            <w:r w:rsidRPr="000134F9">
              <w:rPr>
                <w:rFonts w:ascii="Arial" w:hAnsi="Arial" w:cs="Arial"/>
                <w:b/>
                <w:sz w:val="16"/>
                <w:szCs w:val="20"/>
                <w:lang w:val="en-GB"/>
              </w:rPr>
              <w:t>0</w:t>
            </w:r>
          </w:p>
        </w:tc>
        <w:tc>
          <w:tcPr>
            <w:tcW w:w="1546" w:type="dxa"/>
            <w:tcBorders>
              <w:top w:val="single" w:sz="12" w:space="0" w:color="auto"/>
              <w:left w:val="single" w:sz="12" w:space="0" w:color="auto"/>
              <w:bottom w:val="single" w:sz="6" w:space="0" w:color="auto"/>
              <w:right w:val="single" w:sz="12" w:space="0" w:color="auto"/>
            </w:tcBorders>
            <w:vAlign w:val="center"/>
          </w:tcPr>
          <w:p w14:paraId="545CD089" w14:textId="77777777" w:rsidR="000134F9" w:rsidRPr="000134F9" w:rsidRDefault="000134F9" w:rsidP="000134F9">
            <w:pPr>
              <w:jc w:val="center"/>
              <w:rPr>
                <w:rFonts w:ascii="Arial" w:hAnsi="Arial" w:cs="Arial"/>
                <w:b/>
                <w:sz w:val="16"/>
                <w:szCs w:val="20"/>
                <w:lang w:val="en-GB"/>
              </w:rPr>
            </w:pPr>
          </w:p>
        </w:tc>
        <w:tc>
          <w:tcPr>
            <w:tcW w:w="1200" w:type="dxa"/>
            <w:tcBorders>
              <w:top w:val="single" w:sz="12" w:space="0" w:color="auto"/>
              <w:left w:val="single" w:sz="12" w:space="0" w:color="auto"/>
              <w:bottom w:val="single" w:sz="6" w:space="0" w:color="auto"/>
              <w:right w:val="single" w:sz="12" w:space="0" w:color="auto"/>
            </w:tcBorders>
            <w:vAlign w:val="center"/>
          </w:tcPr>
          <w:p w14:paraId="07B8F9B4" w14:textId="77777777" w:rsidR="000134F9" w:rsidRPr="000134F9" w:rsidRDefault="000134F9" w:rsidP="000134F9">
            <w:pPr>
              <w:jc w:val="right"/>
              <w:rPr>
                <w:rFonts w:ascii="Arial" w:hAnsi="Arial" w:cs="Arial"/>
                <w:b/>
                <w:sz w:val="16"/>
                <w:szCs w:val="20"/>
                <w:lang w:val="en-GB"/>
              </w:rPr>
            </w:pPr>
            <w:r w:rsidRPr="000134F9">
              <w:rPr>
                <w:rFonts w:ascii="Arial" w:hAnsi="Arial" w:cs="Arial"/>
                <w:b/>
                <w:sz w:val="16"/>
                <w:szCs w:val="20"/>
                <w:lang w:val="en-GB"/>
              </w:rPr>
              <w:t>2,420</w:t>
            </w:r>
          </w:p>
        </w:tc>
      </w:tr>
      <w:tr w:rsidR="000134F9" w:rsidRPr="000134F9" w14:paraId="7FA349B2"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4583188D"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Medang-Mesanak</w:t>
            </w:r>
          </w:p>
        </w:tc>
        <w:tc>
          <w:tcPr>
            <w:tcW w:w="771" w:type="dxa"/>
            <w:tcBorders>
              <w:top w:val="single" w:sz="6" w:space="0" w:color="auto"/>
              <w:left w:val="single" w:sz="12" w:space="0" w:color="auto"/>
              <w:bottom w:val="single" w:sz="6" w:space="0" w:color="auto"/>
              <w:right w:val="single" w:sz="12" w:space="0" w:color="auto"/>
            </w:tcBorders>
            <w:noWrap/>
            <w:vAlign w:val="center"/>
          </w:tcPr>
          <w:p w14:paraId="5151A98C"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5</w:t>
            </w:r>
          </w:p>
        </w:tc>
        <w:tc>
          <w:tcPr>
            <w:tcW w:w="2448" w:type="dxa"/>
            <w:tcBorders>
              <w:top w:val="single" w:sz="6" w:space="0" w:color="auto"/>
              <w:left w:val="single" w:sz="12" w:space="0" w:color="auto"/>
              <w:bottom w:val="single" w:sz="6" w:space="0" w:color="auto"/>
              <w:right w:val="single" w:sz="12" w:space="0" w:color="auto"/>
            </w:tcBorders>
            <w:vAlign w:val="center"/>
          </w:tcPr>
          <w:p w14:paraId="44E22EE9"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None</w:t>
            </w:r>
          </w:p>
        </w:tc>
        <w:tc>
          <w:tcPr>
            <w:tcW w:w="1260" w:type="dxa"/>
            <w:tcBorders>
              <w:top w:val="single" w:sz="6" w:space="0" w:color="auto"/>
              <w:left w:val="single" w:sz="12" w:space="0" w:color="auto"/>
              <w:bottom w:val="single" w:sz="6" w:space="0" w:color="auto"/>
              <w:right w:val="single" w:sz="12" w:space="0" w:color="auto"/>
            </w:tcBorders>
            <w:vAlign w:val="center"/>
          </w:tcPr>
          <w:p w14:paraId="342E6C53"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73FE7129"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034816E7"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5</w:t>
            </w:r>
          </w:p>
        </w:tc>
      </w:tr>
      <w:tr w:rsidR="000134F9" w:rsidRPr="000134F9" w14:paraId="69B704B7" w14:textId="77777777" w:rsidTr="000134F9">
        <w:trPr>
          <w:trHeight w:val="65"/>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364F3132"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Temiang</w:t>
            </w:r>
          </w:p>
        </w:tc>
        <w:tc>
          <w:tcPr>
            <w:tcW w:w="771" w:type="dxa"/>
            <w:tcBorders>
              <w:top w:val="single" w:sz="6" w:space="0" w:color="auto"/>
              <w:left w:val="single" w:sz="12" w:space="0" w:color="auto"/>
              <w:bottom w:val="single" w:sz="6" w:space="0" w:color="auto"/>
              <w:right w:val="single" w:sz="12" w:space="0" w:color="auto"/>
            </w:tcBorders>
            <w:noWrap/>
            <w:vAlign w:val="center"/>
          </w:tcPr>
          <w:p w14:paraId="171F1B91"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5</w:t>
            </w:r>
          </w:p>
        </w:tc>
        <w:tc>
          <w:tcPr>
            <w:tcW w:w="2448" w:type="dxa"/>
            <w:tcBorders>
              <w:top w:val="single" w:sz="6" w:space="0" w:color="auto"/>
              <w:left w:val="single" w:sz="12" w:space="0" w:color="auto"/>
              <w:bottom w:val="single" w:sz="6" w:space="0" w:color="auto"/>
              <w:right w:val="single" w:sz="12" w:space="0" w:color="auto"/>
            </w:tcBorders>
            <w:vAlign w:val="center"/>
          </w:tcPr>
          <w:p w14:paraId="1F713955"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None</w:t>
            </w:r>
          </w:p>
        </w:tc>
        <w:tc>
          <w:tcPr>
            <w:tcW w:w="1260" w:type="dxa"/>
            <w:tcBorders>
              <w:top w:val="single" w:sz="6" w:space="0" w:color="auto"/>
              <w:left w:val="single" w:sz="12" w:space="0" w:color="auto"/>
              <w:bottom w:val="single" w:sz="6" w:space="0" w:color="auto"/>
              <w:right w:val="single" w:sz="12" w:space="0" w:color="auto"/>
            </w:tcBorders>
            <w:vAlign w:val="center"/>
          </w:tcPr>
          <w:p w14:paraId="55B1396F"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0AF54313"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7E1AEB04"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5</w:t>
            </w:r>
          </w:p>
        </w:tc>
      </w:tr>
      <w:tr w:rsidR="000134F9" w:rsidRPr="000134F9" w14:paraId="6D8A2BCE" w14:textId="77777777" w:rsidTr="000134F9">
        <w:trPr>
          <w:trHeight w:val="65"/>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2D3CE1E2" w14:textId="77777777" w:rsidR="000134F9" w:rsidRPr="000134F9" w:rsidRDefault="000134F9" w:rsidP="000134F9">
            <w:pPr>
              <w:jc w:val="both"/>
              <w:rPr>
                <w:rFonts w:ascii="Arial" w:hAnsi="Arial" w:cs="Arial"/>
                <w:bCs/>
                <w:sz w:val="16"/>
                <w:szCs w:val="20"/>
                <w:lang w:val="en-GB"/>
              </w:rPr>
            </w:pPr>
            <w:smartTag w:uri="urn:schemas-microsoft-com:office:smarttags" w:element="place">
              <w:r w:rsidRPr="000134F9">
                <w:rPr>
                  <w:rFonts w:ascii="Arial" w:hAnsi="Arial" w:cs="Arial"/>
                  <w:color w:val="000000"/>
                  <w:sz w:val="16"/>
                  <w:szCs w:val="20"/>
                  <w:lang w:val="en-GB"/>
                </w:rPr>
                <w:t>East Bintan</w:t>
              </w:r>
            </w:smartTag>
          </w:p>
        </w:tc>
        <w:tc>
          <w:tcPr>
            <w:tcW w:w="771" w:type="dxa"/>
            <w:tcBorders>
              <w:top w:val="single" w:sz="6" w:space="0" w:color="auto"/>
              <w:left w:val="single" w:sz="12" w:space="0" w:color="auto"/>
              <w:bottom w:val="single" w:sz="6" w:space="0" w:color="auto"/>
              <w:right w:val="single" w:sz="12" w:space="0" w:color="auto"/>
            </w:tcBorders>
            <w:noWrap/>
            <w:vAlign w:val="center"/>
          </w:tcPr>
          <w:p w14:paraId="13B2692E"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2,000</w:t>
            </w:r>
          </w:p>
        </w:tc>
        <w:tc>
          <w:tcPr>
            <w:tcW w:w="2448" w:type="dxa"/>
            <w:tcBorders>
              <w:top w:val="single" w:sz="6" w:space="0" w:color="auto"/>
              <w:left w:val="single" w:sz="12" w:space="0" w:color="auto"/>
              <w:bottom w:val="single" w:sz="6" w:space="0" w:color="auto"/>
              <w:right w:val="single" w:sz="12" w:space="0" w:color="auto"/>
            </w:tcBorders>
            <w:vAlign w:val="center"/>
          </w:tcPr>
          <w:p w14:paraId="3E79C787" w14:textId="77777777" w:rsidR="000134F9" w:rsidRPr="000134F9" w:rsidRDefault="000134F9" w:rsidP="000134F9">
            <w:pPr>
              <w:rPr>
                <w:rFonts w:ascii="Arial" w:hAnsi="Arial" w:cs="Arial"/>
                <w:sz w:val="14"/>
                <w:szCs w:val="14"/>
                <w:lang w:val="en-GB"/>
              </w:rPr>
            </w:pPr>
            <w:r w:rsidRPr="000134F9">
              <w:rPr>
                <w:rFonts w:ascii="Arial" w:hAnsi="Arial" w:cs="Arial"/>
                <w:sz w:val="14"/>
                <w:szCs w:val="14"/>
                <w:lang w:val="en-GB"/>
              </w:rPr>
              <w:t>Proposed Marine Management Area</w:t>
            </w:r>
          </w:p>
        </w:tc>
        <w:tc>
          <w:tcPr>
            <w:tcW w:w="1260" w:type="dxa"/>
            <w:tcBorders>
              <w:top w:val="single" w:sz="6" w:space="0" w:color="auto"/>
              <w:left w:val="single" w:sz="12" w:space="0" w:color="auto"/>
              <w:bottom w:val="single" w:sz="6" w:space="0" w:color="auto"/>
              <w:right w:val="single" w:sz="12" w:space="0" w:color="auto"/>
            </w:tcBorders>
            <w:vAlign w:val="center"/>
          </w:tcPr>
          <w:p w14:paraId="60E85A43"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4CDB9C79"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200EA986"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1,500</w:t>
            </w:r>
          </w:p>
        </w:tc>
      </w:tr>
      <w:tr w:rsidR="000134F9" w:rsidRPr="000134F9" w14:paraId="2F1B1113" w14:textId="77777777" w:rsidTr="000134F9">
        <w:trPr>
          <w:trHeight w:val="65"/>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68BF6B87"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Mapor</w:t>
            </w:r>
          </w:p>
        </w:tc>
        <w:tc>
          <w:tcPr>
            <w:tcW w:w="771" w:type="dxa"/>
            <w:tcBorders>
              <w:top w:val="single" w:sz="6" w:space="0" w:color="auto"/>
              <w:left w:val="single" w:sz="12" w:space="0" w:color="auto"/>
              <w:bottom w:val="single" w:sz="6" w:space="0" w:color="auto"/>
              <w:right w:val="single" w:sz="12" w:space="0" w:color="auto"/>
            </w:tcBorders>
            <w:noWrap/>
            <w:vAlign w:val="center"/>
          </w:tcPr>
          <w:p w14:paraId="128D1740"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275</w:t>
            </w:r>
          </w:p>
        </w:tc>
        <w:tc>
          <w:tcPr>
            <w:tcW w:w="2448" w:type="dxa"/>
            <w:tcBorders>
              <w:top w:val="single" w:sz="6" w:space="0" w:color="auto"/>
              <w:left w:val="single" w:sz="12" w:space="0" w:color="auto"/>
              <w:bottom w:val="single" w:sz="6" w:space="0" w:color="auto"/>
              <w:right w:val="single" w:sz="12" w:space="0" w:color="auto"/>
            </w:tcBorders>
            <w:vAlign w:val="center"/>
          </w:tcPr>
          <w:p w14:paraId="49C1B9BB" w14:textId="77777777" w:rsidR="000134F9" w:rsidRPr="000134F9" w:rsidRDefault="000134F9" w:rsidP="000134F9">
            <w:pPr>
              <w:rPr>
                <w:rFonts w:ascii="Arial" w:hAnsi="Arial" w:cs="Arial"/>
                <w:sz w:val="14"/>
                <w:szCs w:val="14"/>
                <w:lang w:val="en-GB"/>
              </w:rPr>
            </w:pPr>
            <w:r w:rsidRPr="000134F9">
              <w:rPr>
                <w:rFonts w:ascii="Arial" w:hAnsi="Arial" w:cs="Arial"/>
                <w:sz w:val="14"/>
                <w:szCs w:val="14"/>
                <w:lang w:val="en-GB"/>
              </w:rPr>
              <w:t>Proposed Marine Management Area</w:t>
            </w:r>
          </w:p>
        </w:tc>
        <w:tc>
          <w:tcPr>
            <w:tcW w:w="1260" w:type="dxa"/>
            <w:tcBorders>
              <w:top w:val="single" w:sz="6" w:space="0" w:color="auto"/>
              <w:left w:val="single" w:sz="12" w:space="0" w:color="auto"/>
              <w:bottom w:val="single" w:sz="6" w:space="0" w:color="auto"/>
              <w:right w:val="single" w:sz="12" w:space="0" w:color="auto"/>
            </w:tcBorders>
            <w:vAlign w:val="center"/>
          </w:tcPr>
          <w:p w14:paraId="27FF1FB7"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01706EB9"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51546E5F"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275</w:t>
            </w:r>
          </w:p>
        </w:tc>
      </w:tr>
      <w:tr w:rsidR="000134F9" w:rsidRPr="000134F9" w14:paraId="30F228CA" w14:textId="77777777" w:rsidTr="000134F9">
        <w:trPr>
          <w:trHeight w:val="65"/>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3C6ACDAF" w14:textId="77777777" w:rsidR="000134F9" w:rsidRPr="000134F9" w:rsidRDefault="000134F9" w:rsidP="000134F9">
            <w:pPr>
              <w:jc w:val="both"/>
              <w:rPr>
                <w:rFonts w:ascii="Arial" w:hAnsi="Arial" w:cs="Arial"/>
                <w:bCs/>
                <w:sz w:val="16"/>
                <w:szCs w:val="20"/>
                <w:lang w:val="en-GB"/>
              </w:rPr>
            </w:pPr>
            <w:r w:rsidRPr="000134F9">
              <w:rPr>
                <w:rFonts w:ascii="Arial" w:hAnsi="Arial" w:cs="Arial"/>
                <w:bCs/>
                <w:sz w:val="16"/>
                <w:szCs w:val="20"/>
                <w:lang w:val="en-GB"/>
              </w:rPr>
              <w:t xml:space="preserve">Anambas </w:t>
            </w:r>
          </w:p>
        </w:tc>
        <w:tc>
          <w:tcPr>
            <w:tcW w:w="771" w:type="dxa"/>
            <w:tcBorders>
              <w:top w:val="single" w:sz="6" w:space="0" w:color="auto"/>
              <w:left w:val="single" w:sz="12" w:space="0" w:color="auto"/>
              <w:bottom w:val="single" w:sz="6" w:space="0" w:color="auto"/>
              <w:right w:val="single" w:sz="12" w:space="0" w:color="auto"/>
            </w:tcBorders>
            <w:noWrap/>
            <w:vAlign w:val="center"/>
          </w:tcPr>
          <w:p w14:paraId="68618CDC"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150</w:t>
            </w:r>
          </w:p>
        </w:tc>
        <w:tc>
          <w:tcPr>
            <w:tcW w:w="2448" w:type="dxa"/>
            <w:tcBorders>
              <w:top w:val="single" w:sz="6" w:space="0" w:color="auto"/>
              <w:left w:val="single" w:sz="12" w:space="0" w:color="auto"/>
              <w:bottom w:val="single" w:sz="6" w:space="0" w:color="auto"/>
              <w:right w:val="single" w:sz="12" w:space="0" w:color="auto"/>
            </w:tcBorders>
            <w:vAlign w:val="center"/>
          </w:tcPr>
          <w:p w14:paraId="0165CF68" w14:textId="77777777" w:rsidR="000134F9" w:rsidRPr="000134F9" w:rsidRDefault="000134F9" w:rsidP="000134F9">
            <w:pPr>
              <w:rPr>
                <w:rFonts w:ascii="Arial" w:hAnsi="Arial" w:cs="Arial"/>
                <w:sz w:val="14"/>
                <w:szCs w:val="14"/>
                <w:lang w:val="en-GB"/>
              </w:rPr>
            </w:pPr>
            <w:r w:rsidRPr="000134F9">
              <w:rPr>
                <w:rFonts w:ascii="Arial" w:hAnsi="Arial" w:cs="Arial"/>
                <w:sz w:val="14"/>
                <w:szCs w:val="14"/>
                <w:lang w:val="en-GB"/>
              </w:rPr>
              <w:t>Proposed Marine Management Area</w:t>
            </w:r>
          </w:p>
        </w:tc>
        <w:tc>
          <w:tcPr>
            <w:tcW w:w="1260" w:type="dxa"/>
            <w:tcBorders>
              <w:top w:val="single" w:sz="6" w:space="0" w:color="auto"/>
              <w:left w:val="single" w:sz="12" w:space="0" w:color="auto"/>
              <w:bottom w:val="single" w:sz="6" w:space="0" w:color="auto"/>
              <w:right w:val="single" w:sz="12" w:space="0" w:color="auto"/>
            </w:tcBorders>
            <w:vAlign w:val="center"/>
          </w:tcPr>
          <w:p w14:paraId="39D28972"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5CEFAAE3"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717BAEEA"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35</w:t>
            </w:r>
          </w:p>
        </w:tc>
      </w:tr>
      <w:tr w:rsidR="000134F9" w:rsidRPr="000134F9" w14:paraId="4494EA74"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5513A8DF" w14:textId="77777777" w:rsidR="000134F9" w:rsidRPr="000134F9" w:rsidRDefault="000134F9" w:rsidP="000134F9">
            <w:pPr>
              <w:jc w:val="both"/>
              <w:rPr>
                <w:rFonts w:ascii="Arial" w:hAnsi="Arial" w:cs="Arial"/>
                <w:bCs/>
                <w:sz w:val="16"/>
                <w:szCs w:val="20"/>
                <w:lang w:val="en-GB"/>
              </w:rPr>
            </w:pPr>
            <w:r w:rsidRPr="000134F9">
              <w:rPr>
                <w:rFonts w:ascii="Arial" w:hAnsi="Arial" w:cs="Arial"/>
                <w:bCs/>
                <w:sz w:val="16"/>
                <w:szCs w:val="20"/>
                <w:lang w:val="en-GB"/>
              </w:rPr>
              <w:t>Bangka-Belitung</w:t>
            </w:r>
          </w:p>
        </w:tc>
        <w:tc>
          <w:tcPr>
            <w:tcW w:w="771" w:type="dxa"/>
            <w:tcBorders>
              <w:top w:val="single" w:sz="6" w:space="0" w:color="auto"/>
              <w:left w:val="single" w:sz="12" w:space="0" w:color="auto"/>
              <w:bottom w:val="single" w:sz="6" w:space="0" w:color="auto"/>
              <w:right w:val="single" w:sz="12" w:space="0" w:color="auto"/>
            </w:tcBorders>
            <w:noWrap/>
            <w:vAlign w:val="center"/>
          </w:tcPr>
          <w:p w14:paraId="6E424488"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350</w:t>
            </w:r>
          </w:p>
        </w:tc>
        <w:tc>
          <w:tcPr>
            <w:tcW w:w="2448" w:type="dxa"/>
            <w:tcBorders>
              <w:top w:val="single" w:sz="6" w:space="0" w:color="auto"/>
              <w:left w:val="single" w:sz="12" w:space="0" w:color="auto"/>
              <w:bottom w:val="single" w:sz="6" w:space="0" w:color="auto"/>
              <w:right w:val="single" w:sz="12" w:space="0" w:color="auto"/>
            </w:tcBorders>
            <w:vAlign w:val="center"/>
          </w:tcPr>
          <w:p w14:paraId="7F4C0738" w14:textId="77777777" w:rsidR="000134F9" w:rsidRPr="000134F9" w:rsidRDefault="000134F9" w:rsidP="000134F9">
            <w:pPr>
              <w:rPr>
                <w:rFonts w:ascii="Arial" w:hAnsi="Arial" w:cs="Arial"/>
                <w:sz w:val="14"/>
                <w:szCs w:val="14"/>
                <w:lang w:val="en-GB"/>
              </w:rPr>
            </w:pPr>
            <w:r w:rsidRPr="000134F9">
              <w:rPr>
                <w:rFonts w:ascii="Arial" w:hAnsi="Arial" w:cs="Arial"/>
                <w:sz w:val="14"/>
                <w:szCs w:val="14"/>
                <w:lang w:val="en-GB"/>
              </w:rPr>
              <w:t>Proposed Marine Management Area</w:t>
            </w:r>
          </w:p>
        </w:tc>
        <w:tc>
          <w:tcPr>
            <w:tcW w:w="1260" w:type="dxa"/>
            <w:tcBorders>
              <w:top w:val="single" w:sz="6" w:space="0" w:color="auto"/>
              <w:left w:val="single" w:sz="12" w:space="0" w:color="auto"/>
              <w:bottom w:val="single" w:sz="6" w:space="0" w:color="auto"/>
              <w:right w:val="single" w:sz="12" w:space="0" w:color="auto"/>
            </w:tcBorders>
            <w:vAlign w:val="center"/>
          </w:tcPr>
          <w:p w14:paraId="22BDEC40"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6B1D254B"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582CAA7A"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350</w:t>
            </w:r>
          </w:p>
        </w:tc>
      </w:tr>
      <w:tr w:rsidR="000134F9" w:rsidRPr="000134F9" w14:paraId="33344963" w14:textId="77777777" w:rsidTr="000134F9">
        <w:trPr>
          <w:jc w:val="center"/>
        </w:trPr>
        <w:tc>
          <w:tcPr>
            <w:tcW w:w="2516" w:type="dxa"/>
            <w:tcBorders>
              <w:top w:val="single" w:sz="6" w:space="0" w:color="auto"/>
              <w:left w:val="single" w:sz="12" w:space="0" w:color="auto"/>
              <w:bottom w:val="single" w:sz="12" w:space="0" w:color="auto"/>
              <w:right w:val="single" w:sz="12" w:space="0" w:color="auto"/>
            </w:tcBorders>
            <w:noWrap/>
            <w:vAlign w:val="center"/>
          </w:tcPr>
          <w:p w14:paraId="1FF33FB5" w14:textId="77777777" w:rsidR="000134F9" w:rsidRPr="000134F9" w:rsidRDefault="000134F9" w:rsidP="000134F9">
            <w:pPr>
              <w:jc w:val="both"/>
              <w:rPr>
                <w:rFonts w:ascii="Arial" w:hAnsi="Arial" w:cs="Arial"/>
                <w:bCs/>
                <w:sz w:val="16"/>
                <w:szCs w:val="20"/>
                <w:lang w:val="en-GB"/>
              </w:rPr>
            </w:pPr>
            <w:r w:rsidRPr="000134F9">
              <w:rPr>
                <w:rFonts w:ascii="Arial" w:hAnsi="Arial" w:cs="Arial"/>
                <w:bCs/>
                <w:sz w:val="16"/>
                <w:szCs w:val="20"/>
                <w:lang w:val="en-GB"/>
              </w:rPr>
              <w:t>Senayang</w:t>
            </w:r>
          </w:p>
        </w:tc>
        <w:tc>
          <w:tcPr>
            <w:tcW w:w="771" w:type="dxa"/>
            <w:tcBorders>
              <w:top w:val="single" w:sz="6" w:space="0" w:color="auto"/>
              <w:left w:val="single" w:sz="12" w:space="0" w:color="auto"/>
              <w:bottom w:val="single" w:sz="12" w:space="0" w:color="auto"/>
              <w:right w:val="single" w:sz="12" w:space="0" w:color="auto"/>
            </w:tcBorders>
            <w:noWrap/>
            <w:vAlign w:val="center"/>
          </w:tcPr>
          <w:p w14:paraId="51DFB4E1"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250</w:t>
            </w:r>
          </w:p>
        </w:tc>
        <w:tc>
          <w:tcPr>
            <w:tcW w:w="2448" w:type="dxa"/>
            <w:tcBorders>
              <w:top w:val="single" w:sz="6" w:space="0" w:color="auto"/>
              <w:left w:val="single" w:sz="12" w:space="0" w:color="auto"/>
              <w:bottom w:val="single" w:sz="12" w:space="0" w:color="auto"/>
              <w:right w:val="single" w:sz="12" w:space="0" w:color="auto"/>
            </w:tcBorders>
            <w:vAlign w:val="center"/>
          </w:tcPr>
          <w:p w14:paraId="0E2B0970"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Proposed MPA</w:t>
            </w:r>
          </w:p>
        </w:tc>
        <w:tc>
          <w:tcPr>
            <w:tcW w:w="1260" w:type="dxa"/>
            <w:tcBorders>
              <w:top w:val="single" w:sz="6" w:space="0" w:color="auto"/>
              <w:left w:val="single" w:sz="12" w:space="0" w:color="auto"/>
              <w:bottom w:val="single" w:sz="12" w:space="0" w:color="auto"/>
              <w:right w:val="single" w:sz="12" w:space="0" w:color="auto"/>
            </w:tcBorders>
            <w:vAlign w:val="center"/>
          </w:tcPr>
          <w:p w14:paraId="2415BE2B"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No</w:t>
            </w:r>
          </w:p>
        </w:tc>
        <w:tc>
          <w:tcPr>
            <w:tcW w:w="1546" w:type="dxa"/>
            <w:tcBorders>
              <w:top w:val="single" w:sz="6" w:space="0" w:color="auto"/>
              <w:left w:val="single" w:sz="12" w:space="0" w:color="auto"/>
              <w:bottom w:val="single" w:sz="12" w:space="0" w:color="auto"/>
              <w:right w:val="single" w:sz="12" w:space="0" w:color="auto"/>
            </w:tcBorders>
            <w:vAlign w:val="center"/>
          </w:tcPr>
          <w:p w14:paraId="712D3F1A"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12" w:space="0" w:color="auto"/>
              <w:right w:val="single" w:sz="12" w:space="0" w:color="auto"/>
            </w:tcBorders>
            <w:vAlign w:val="center"/>
          </w:tcPr>
          <w:p w14:paraId="6FDAAD39"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250</w:t>
            </w:r>
          </w:p>
        </w:tc>
      </w:tr>
      <w:tr w:rsidR="000134F9" w:rsidRPr="000134F9" w14:paraId="2CF8E7E5" w14:textId="77777777" w:rsidTr="000134F9">
        <w:trPr>
          <w:trHeight w:val="50"/>
          <w:jc w:val="center"/>
        </w:trPr>
        <w:tc>
          <w:tcPr>
            <w:tcW w:w="2516" w:type="dxa"/>
            <w:tcBorders>
              <w:top w:val="single" w:sz="12" w:space="0" w:color="auto"/>
              <w:left w:val="single" w:sz="12" w:space="0" w:color="auto"/>
              <w:bottom w:val="single" w:sz="6" w:space="0" w:color="auto"/>
              <w:right w:val="single" w:sz="12" w:space="0" w:color="auto"/>
            </w:tcBorders>
            <w:noWrap/>
            <w:vAlign w:val="center"/>
          </w:tcPr>
          <w:p w14:paraId="77F0212B" w14:textId="77777777" w:rsidR="000134F9" w:rsidRPr="000134F9" w:rsidRDefault="000134F9" w:rsidP="000134F9">
            <w:pPr>
              <w:jc w:val="both"/>
              <w:rPr>
                <w:rFonts w:ascii="Arial" w:hAnsi="Arial" w:cs="Arial"/>
                <w:bCs/>
                <w:sz w:val="16"/>
                <w:szCs w:val="20"/>
                <w:lang w:val="en-GB"/>
              </w:rPr>
            </w:pPr>
            <w:smartTag w:uri="urn:schemas-microsoft-com:office:smarttags" w:element="place">
              <w:smartTag w:uri="urn:schemas-microsoft-com:office:smarttags" w:element="country-region">
                <w:r w:rsidRPr="000134F9">
                  <w:rPr>
                    <w:rFonts w:ascii="Arial" w:hAnsi="Arial" w:cs="Arial"/>
                    <w:b/>
                    <w:sz w:val="16"/>
                    <w:szCs w:val="20"/>
                    <w:lang w:val="en-GB"/>
                  </w:rPr>
                  <w:t>Malaysia</w:t>
                </w:r>
              </w:smartTag>
            </w:smartTag>
          </w:p>
        </w:tc>
        <w:tc>
          <w:tcPr>
            <w:tcW w:w="771" w:type="dxa"/>
            <w:tcBorders>
              <w:top w:val="single" w:sz="12" w:space="0" w:color="auto"/>
              <w:left w:val="single" w:sz="12" w:space="0" w:color="auto"/>
              <w:bottom w:val="single" w:sz="6" w:space="0" w:color="auto"/>
              <w:right w:val="single" w:sz="12" w:space="0" w:color="auto"/>
            </w:tcBorders>
            <w:noWrap/>
            <w:vAlign w:val="center"/>
          </w:tcPr>
          <w:p w14:paraId="52357664" w14:textId="77777777" w:rsidR="000134F9" w:rsidRPr="000134F9" w:rsidRDefault="000134F9" w:rsidP="000134F9">
            <w:pPr>
              <w:jc w:val="right"/>
              <w:rPr>
                <w:rFonts w:ascii="Arial" w:hAnsi="Arial" w:cs="Arial"/>
                <w:b/>
                <w:sz w:val="16"/>
                <w:szCs w:val="20"/>
                <w:lang w:val="en-GB"/>
              </w:rPr>
            </w:pPr>
            <w:r w:rsidRPr="000134F9">
              <w:rPr>
                <w:rFonts w:ascii="Arial" w:hAnsi="Arial" w:cs="Arial"/>
                <w:b/>
                <w:sz w:val="16"/>
                <w:szCs w:val="20"/>
                <w:lang w:val="en-GB"/>
              </w:rPr>
              <w:t>222</w:t>
            </w:r>
          </w:p>
        </w:tc>
        <w:tc>
          <w:tcPr>
            <w:tcW w:w="2448" w:type="dxa"/>
            <w:tcBorders>
              <w:top w:val="single" w:sz="12" w:space="0" w:color="auto"/>
              <w:left w:val="single" w:sz="12" w:space="0" w:color="auto"/>
              <w:bottom w:val="single" w:sz="6" w:space="0" w:color="auto"/>
              <w:right w:val="single" w:sz="12" w:space="0" w:color="auto"/>
            </w:tcBorders>
            <w:vAlign w:val="center"/>
          </w:tcPr>
          <w:p w14:paraId="680BB943" w14:textId="77777777" w:rsidR="000134F9" w:rsidRPr="000134F9" w:rsidRDefault="000134F9" w:rsidP="000134F9">
            <w:pPr>
              <w:rPr>
                <w:rFonts w:ascii="Arial" w:hAnsi="Arial" w:cs="Arial"/>
                <w:b/>
                <w:sz w:val="16"/>
                <w:szCs w:val="20"/>
                <w:lang w:val="en-GB"/>
              </w:rPr>
            </w:pPr>
          </w:p>
        </w:tc>
        <w:tc>
          <w:tcPr>
            <w:tcW w:w="1260" w:type="dxa"/>
            <w:tcBorders>
              <w:top w:val="single" w:sz="12" w:space="0" w:color="auto"/>
              <w:left w:val="single" w:sz="12" w:space="0" w:color="auto"/>
              <w:bottom w:val="single" w:sz="6" w:space="0" w:color="auto"/>
              <w:right w:val="single" w:sz="12" w:space="0" w:color="auto"/>
            </w:tcBorders>
            <w:vAlign w:val="center"/>
          </w:tcPr>
          <w:p w14:paraId="24CF1E80" w14:textId="77777777" w:rsidR="000134F9" w:rsidRPr="000134F9" w:rsidRDefault="000134F9" w:rsidP="000134F9">
            <w:pPr>
              <w:jc w:val="right"/>
              <w:rPr>
                <w:rFonts w:ascii="Arial" w:hAnsi="Arial" w:cs="Arial"/>
                <w:b/>
                <w:sz w:val="16"/>
                <w:szCs w:val="20"/>
                <w:lang w:val="en-GB"/>
              </w:rPr>
            </w:pPr>
            <w:r w:rsidRPr="000134F9">
              <w:rPr>
                <w:rFonts w:ascii="Arial" w:hAnsi="Arial" w:cs="Arial"/>
                <w:b/>
                <w:sz w:val="16"/>
                <w:szCs w:val="20"/>
                <w:lang w:val="en-GB"/>
              </w:rPr>
              <w:t>17</w:t>
            </w:r>
          </w:p>
        </w:tc>
        <w:tc>
          <w:tcPr>
            <w:tcW w:w="1546" w:type="dxa"/>
            <w:tcBorders>
              <w:top w:val="single" w:sz="12" w:space="0" w:color="auto"/>
              <w:left w:val="single" w:sz="12" w:space="0" w:color="auto"/>
              <w:bottom w:val="single" w:sz="6" w:space="0" w:color="auto"/>
              <w:right w:val="single" w:sz="12" w:space="0" w:color="auto"/>
            </w:tcBorders>
            <w:vAlign w:val="center"/>
          </w:tcPr>
          <w:p w14:paraId="38D1E234" w14:textId="77777777" w:rsidR="000134F9" w:rsidRPr="000134F9" w:rsidRDefault="000134F9" w:rsidP="000134F9">
            <w:pPr>
              <w:jc w:val="center"/>
              <w:rPr>
                <w:rFonts w:ascii="Arial" w:hAnsi="Arial" w:cs="Arial"/>
                <w:sz w:val="16"/>
                <w:szCs w:val="20"/>
                <w:lang w:val="en-GB"/>
              </w:rPr>
            </w:pPr>
          </w:p>
        </w:tc>
        <w:tc>
          <w:tcPr>
            <w:tcW w:w="1200" w:type="dxa"/>
            <w:tcBorders>
              <w:top w:val="single" w:sz="12" w:space="0" w:color="auto"/>
              <w:left w:val="single" w:sz="12" w:space="0" w:color="auto"/>
              <w:bottom w:val="single" w:sz="6" w:space="0" w:color="auto"/>
              <w:right w:val="single" w:sz="12" w:space="0" w:color="auto"/>
            </w:tcBorders>
            <w:vAlign w:val="center"/>
          </w:tcPr>
          <w:p w14:paraId="66DFA63A" w14:textId="77777777" w:rsidR="000134F9" w:rsidRPr="000134F9" w:rsidRDefault="000134F9" w:rsidP="000134F9">
            <w:pPr>
              <w:jc w:val="right"/>
              <w:rPr>
                <w:rFonts w:ascii="Arial" w:hAnsi="Arial" w:cs="Arial"/>
                <w:b/>
                <w:sz w:val="16"/>
                <w:szCs w:val="20"/>
                <w:lang w:val="en-GB"/>
              </w:rPr>
            </w:pPr>
            <w:r w:rsidRPr="000134F9">
              <w:rPr>
                <w:rFonts w:ascii="Arial" w:hAnsi="Arial" w:cs="Arial"/>
                <w:b/>
                <w:sz w:val="16"/>
                <w:szCs w:val="20"/>
                <w:lang w:val="en-GB"/>
              </w:rPr>
              <w:t>40</w:t>
            </w:r>
          </w:p>
        </w:tc>
      </w:tr>
      <w:tr w:rsidR="000134F9" w:rsidRPr="000134F9" w14:paraId="3F08F824"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63E51A73"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Tanjung Adang Laut Shoal</w:t>
            </w:r>
          </w:p>
        </w:tc>
        <w:tc>
          <w:tcPr>
            <w:tcW w:w="771" w:type="dxa"/>
            <w:tcBorders>
              <w:top w:val="single" w:sz="6" w:space="0" w:color="auto"/>
              <w:left w:val="single" w:sz="12" w:space="0" w:color="auto"/>
              <w:bottom w:val="single" w:sz="6" w:space="0" w:color="auto"/>
              <w:right w:val="single" w:sz="12" w:space="0" w:color="auto"/>
            </w:tcBorders>
            <w:noWrap/>
            <w:vAlign w:val="center"/>
          </w:tcPr>
          <w:p w14:paraId="67349AF2"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40</w:t>
            </w:r>
          </w:p>
        </w:tc>
        <w:tc>
          <w:tcPr>
            <w:tcW w:w="2448" w:type="dxa"/>
            <w:tcBorders>
              <w:top w:val="single" w:sz="6" w:space="0" w:color="auto"/>
              <w:left w:val="single" w:sz="12" w:space="0" w:color="auto"/>
              <w:bottom w:val="single" w:sz="6" w:space="0" w:color="auto"/>
              <w:right w:val="single" w:sz="12" w:space="0" w:color="auto"/>
            </w:tcBorders>
            <w:vAlign w:val="center"/>
          </w:tcPr>
          <w:p w14:paraId="682928B4"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None</w:t>
            </w:r>
          </w:p>
        </w:tc>
        <w:tc>
          <w:tcPr>
            <w:tcW w:w="1260" w:type="dxa"/>
            <w:tcBorders>
              <w:top w:val="single" w:sz="6" w:space="0" w:color="auto"/>
              <w:left w:val="single" w:sz="12" w:space="0" w:color="auto"/>
              <w:bottom w:val="single" w:sz="6" w:space="0" w:color="auto"/>
              <w:right w:val="single" w:sz="12" w:space="0" w:color="auto"/>
            </w:tcBorders>
            <w:vAlign w:val="center"/>
          </w:tcPr>
          <w:p w14:paraId="0E0B65B9" w14:textId="77777777" w:rsidR="000134F9" w:rsidRPr="000134F9" w:rsidRDefault="000134F9" w:rsidP="000134F9">
            <w:pPr>
              <w:jc w:val="center"/>
              <w:rPr>
                <w:rFonts w:ascii="Arial" w:hAnsi="Arial" w:cs="Arial"/>
                <w:sz w:val="16"/>
                <w:lang w:val="en-GB"/>
              </w:rPr>
            </w:pPr>
            <w:r w:rsidRPr="000134F9">
              <w:rPr>
                <w:rFonts w:ascii="Arial" w:hAnsi="Arial" w:cs="Arial"/>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664A25FF"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45A0A5E4"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40</w:t>
            </w:r>
          </w:p>
        </w:tc>
      </w:tr>
      <w:tr w:rsidR="000134F9" w:rsidRPr="000134F9" w14:paraId="2F0163E6"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56244E86"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Tanjung Adang Darat Shoal</w:t>
            </w:r>
          </w:p>
        </w:tc>
        <w:tc>
          <w:tcPr>
            <w:tcW w:w="771" w:type="dxa"/>
            <w:tcBorders>
              <w:top w:val="single" w:sz="6" w:space="0" w:color="auto"/>
              <w:left w:val="single" w:sz="12" w:space="0" w:color="auto"/>
              <w:bottom w:val="single" w:sz="6" w:space="0" w:color="auto"/>
              <w:right w:val="single" w:sz="12" w:space="0" w:color="auto"/>
            </w:tcBorders>
            <w:noWrap/>
            <w:vAlign w:val="center"/>
          </w:tcPr>
          <w:p w14:paraId="49E55587"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42</w:t>
            </w:r>
          </w:p>
        </w:tc>
        <w:tc>
          <w:tcPr>
            <w:tcW w:w="2448" w:type="dxa"/>
            <w:tcBorders>
              <w:top w:val="single" w:sz="6" w:space="0" w:color="auto"/>
              <w:left w:val="single" w:sz="12" w:space="0" w:color="auto"/>
              <w:bottom w:val="single" w:sz="6" w:space="0" w:color="auto"/>
              <w:right w:val="single" w:sz="12" w:space="0" w:color="auto"/>
            </w:tcBorders>
            <w:vAlign w:val="center"/>
          </w:tcPr>
          <w:p w14:paraId="7E0EF6A1"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None</w:t>
            </w:r>
          </w:p>
        </w:tc>
        <w:tc>
          <w:tcPr>
            <w:tcW w:w="1260" w:type="dxa"/>
            <w:tcBorders>
              <w:top w:val="single" w:sz="6" w:space="0" w:color="auto"/>
              <w:left w:val="single" w:sz="12" w:space="0" w:color="auto"/>
              <w:bottom w:val="single" w:sz="6" w:space="0" w:color="auto"/>
              <w:right w:val="single" w:sz="12" w:space="0" w:color="auto"/>
            </w:tcBorders>
            <w:vAlign w:val="center"/>
          </w:tcPr>
          <w:p w14:paraId="1F186F7C" w14:textId="77777777" w:rsidR="000134F9" w:rsidRPr="000134F9" w:rsidRDefault="000134F9" w:rsidP="000134F9">
            <w:pPr>
              <w:jc w:val="center"/>
              <w:rPr>
                <w:rFonts w:ascii="Arial" w:hAnsi="Arial" w:cs="Arial"/>
                <w:sz w:val="16"/>
                <w:lang w:val="en-GB"/>
              </w:rPr>
            </w:pPr>
            <w:r w:rsidRPr="000134F9">
              <w:rPr>
                <w:rFonts w:ascii="Arial" w:hAnsi="Arial" w:cs="Arial"/>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0779983B"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5ED1BB0A"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0</w:t>
            </w:r>
          </w:p>
        </w:tc>
      </w:tr>
      <w:tr w:rsidR="000134F9" w:rsidRPr="000134F9" w14:paraId="0851B031"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63622C4B"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Merambong Shoal</w:t>
            </w:r>
          </w:p>
        </w:tc>
        <w:tc>
          <w:tcPr>
            <w:tcW w:w="771" w:type="dxa"/>
            <w:tcBorders>
              <w:top w:val="single" w:sz="6" w:space="0" w:color="auto"/>
              <w:left w:val="single" w:sz="12" w:space="0" w:color="auto"/>
              <w:bottom w:val="single" w:sz="6" w:space="0" w:color="auto"/>
              <w:right w:val="single" w:sz="12" w:space="0" w:color="auto"/>
            </w:tcBorders>
            <w:noWrap/>
            <w:vAlign w:val="center"/>
          </w:tcPr>
          <w:p w14:paraId="484A2CDC"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30</w:t>
            </w:r>
          </w:p>
        </w:tc>
        <w:tc>
          <w:tcPr>
            <w:tcW w:w="2448" w:type="dxa"/>
            <w:tcBorders>
              <w:top w:val="single" w:sz="6" w:space="0" w:color="auto"/>
              <w:left w:val="single" w:sz="12" w:space="0" w:color="auto"/>
              <w:bottom w:val="single" w:sz="6" w:space="0" w:color="auto"/>
              <w:right w:val="single" w:sz="12" w:space="0" w:color="auto"/>
            </w:tcBorders>
            <w:vAlign w:val="center"/>
          </w:tcPr>
          <w:p w14:paraId="60A7D82D"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None</w:t>
            </w:r>
          </w:p>
        </w:tc>
        <w:tc>
          <w:tcPr>
            <w:tcW w:w="1260" w:type="dxa"/>
            <w:tcBorders>
              <w:top w:val="single" w:sz="6" w:space="0" w:color="auto"/>
              <w:left w:val="single" w:sz="12" w:space="0" w:color="auto"/>
              <w:bottom w:val="single" w:sz="6" w:space="0" w:color="auto"/>
              <w:right w:val="single" w:sz="12" w:space="0" w:color="auto"/>
            </w:tcBorders>
            <w:vAlign w:val="center"/>
          </w:tcPr>
          <w:p w14:paraId="221D118A" w14:textId="77777777" w:rsidR="000134F9" w:rsidRPr="000134F9" w:rsidRDefault="000134F9" w:rsidP="000134F9">
            <w:pPr>
              <w:jc w:val="center"/>
              <w:rPr>
                <w:rFonts w:ascii="Arial" w:hAnsi="Arial" w:cs="Arial"/>
                <w:sz w:val="16"/>
                <w:lang w:val="en-GB"/>
              </w:rPr>
            </w:pPr>
            <w:r w:rsidRPr="000134F9">
              <w:rPr>
                <w:rFonts w:ascii="Arial" w:hAnsi="Arial" w:cs="Arial"/>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503690C8"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585D2498"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0</w:t>
            </w:r>
          </w:p>
        </w:tc>
      </w:tr>
      <w:tr w:rsidR="000134F9" w:rsidRPr="000134F9" w14:paraId="7B95946A"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40E0FA87"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Sungai Kemaman</w:t>
            </w:r>
          </w:p>
        </w:tc>
        <w:tc>
          <w:tcPr>
            <w:tcW w:w="771" w:type="dxa"/>
            <w:tcBorders>
              <w:top w:val="single" w:sz="6" w:space="0" w:color="auto"/>
              <w:left w:val="single" w:sz="12" w:space="0" w:color="auto"/>
              <w:bottom w:val="single" w:sz="6" w:space="0" w:color="auto"/>
              <w:right w:val="single" w:sz="12" w:space="0" w:color="auto"/>
            </w:tcBorders>
            <w:noWrap/>
            <w:vAlign w:val="center"/>
          </w:tcPr>
          <w:p w14:paraId="11F7E5C3"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17</w:t>
            </w:r>
          </w:p>
        </w:tc>
        <w:tc>
          <w:tcPr>
            <w:tcW w:w="2448" w:type="dxa"/>
            <w:tcBorders>
              <w:top w:val="single" w:sz="6" w:space="0" w:color="auto"/>
              <w:left w:val="single" w:sz="12" w:space="0" w:color="auto"/>
              <w:bottom w:val="single" w:sz="6" w:space="0" w:color="auto"/>
              <w:right w:val="single" w:sz="12" w:space="0" w:color="auto"/>
            </w:tcBorders>
            <w:vAlign w:val="center"/>
          </w:tcPr>
          <w:p w14:paraId="6E361FB6"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None</w:t>
            </w:r>
          </w:p>
        </w:tc>
        <w:tc>
          <w:tcPr>
            <w:tcW w:w="1260" w:type="dxa"/>
            <w:tcBorders>
              <w:top w:val="single" w:sz="6" w:space="0" w:color="auto"/>
              <w:left w:val="single" w:sz="12" w:space="0" w:color="auto"/>
              <w:bottom w:val="single" w:sz="6" w:space="0" w:color="auto"/>
              <w:right w:val="single" w:sz="12" w:space="0" w:color="auto"/>
            </w:tcBorders>
            <w:vAlign w:val="center"/>
          </w:tcPr>
          <w:p w14:paraId="2D6B79F6" w14:textId="77777777" w:rsidR="000134F9" w:rsidRPr="000134F9" w:rsidRDefault="000134F9" w:rsidP="000134F9">
            <w:pPr>
              <w:jc w:val="center"/>
              <w:rPr>
                <w:rFonts w:ascii="Arial" w:hAnsi="Arial" w:cs="Arial"/>
                <w:sz w:val="16"/>
                <w:lang w:val="en-GB"/>
              </w:rPr>
            </w:pPr>
            <w:r w:rsidRPr="000134F9">
              <w:rPr>
                <w:rFonts w:ascii="Arial" w:hAnsi="Arial" w:cs="Arial"/>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0F329B20"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2375DC6A"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0</w:t>
            </w:r>
          </w:p>
        </w:tc>
      </w:tr>
      <w:tr w:rsidR="000134F9" w:rsidRPr="000134F9" w14:paraId="1B60C63D" w14:textId="77777777" w:rsidTr="000134F9">
        <w:trPr>
          <w:jc w:val="center"/>
        </w:trPr>
        <w:tc>
          <w:tcPr>
            <w:tcW w:w="2516" w:type="dxa"/>
            <w:tcBorders>
              <w:top w:val="single" w:sz="6" w:space="0" w:color="auto"/>
              <w:left w:val="single" w:sz="12" w:space="0" w:color="auto"/>
              <w:bottom w:val="single" w:sz="8" w:space="0" w:color="auto"/>
              <w:right w:val="single" w:sz="12" w:space="0" w:color="auto"/>
            </w:tcBorders>
            <w:noWrap/>
            <w:vAlign w:val="center"/>
          </w:tcPr>
          <w:p w14:paraId="346B9268"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Telaga Simpul</w:t>
            </w:r>
          </w:p>
        </w:tc>
        <w:tc>
          <w:tcPr>
            <w:tcW w:w="771" w:type="dxa"/>
            <w:tcBorders>
              <w:top w:val="single" w:sz="6" w:space="0" w:color="auto"/>
              <w:left w:val="single" w:sz="12" w:space="0" w:color="auto"/>
              <w:bottom w:val="single" w:sz="8" w:space="0" w:color="auto"/>
              <w:right w:val="single" w:sz="12" w:space="0" w:color="auto"/>
            </w:tcBorders>
            <w:noWrap/>
            <w:vAlign w:val="center"/>
          </w:tcPr>
          <w:p w14:paraId="1DDC68D7"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28</w:t>
            </w:r>
          </w:p>
        </w:tc>
        <w:tc>
          <w:tcPr>
            <w:tcW w:w="2448" w:type="dxa"/>
            <w:tcBorders>
              <w:top w:val="single" w:sz="6" w:space="0" w:color="auto"/>
              <w:left w:val="single" w:sz="12" w:space="0" w:color="auto"/>
              <w:bottom w:val="single" w:sz="8" w:space="0" w:color="auto"/>
              <w:right w:val="single" w:sz="12" w:space="0" w:color="auto"/>
            </w:tcBorders>
            <w:vAlign w:val="center"/>
          </w:tcPr>
          <w:p w14:paraId="2BAEB767"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None</w:t>
            </w:r>
          </w:p>
        </w:tc>
        <w:tc>
          <w:tcPr>
            <w:tcW w:w="1260" w:type="dxa"/>
            <w:tcBorders>
              <w:top w:val="single" w:sz="6" w:space="0" w:color="auto"/>
              <w:left w:val="single" w:sz="12" w:space="0" w:color="auto"/>
              <w:bottom w:val="single" w:sz="8" w:space="0" w:color="auto"/>
              <w:right w:val="single" w:sz="12" w:space="0" w:color="auto"/>
            </w:tcBorders>
            <w:vAlign w:val="center"/>
          </w:tcPr>
          <w:p w14:paraId="68BEC634" w14:textId="77777777" w:rsidR="000134F9" w:rsidRPr="000134F9" w:rsidRDefault="000134F9" w:rsidP="000134F9">
            <w:pPr>
              <w:jc w:val="center"/>
              <w:rPr>
                <w:rFonts w:ascii="Arial" w:hAnsi="Arial" w:cs="Arial"/>
                <w:sz w:val="16"/>
                <w:lang w:val="en-GB"/>
              </w:rPr>
            </w:pPr>
            <w:r w:rsidRPr="000134F9">
              <w:rPr>
                <w:rFonts w:ascii="Arial" w:hAnsi="Arial" w:cs="Arial"/>
                <w:sz w:val="16"/>
                <w:szCs w:val="20"/>
                <w:lang w:val="en-GB"/>
              </w:rPr>
              <w:t>No</w:t>
            </w:r>
          </w:p>
        </w:tc>
        <w:tc>
          <w:tcPr>
            <w:tcW w:w="1546" w:type="dxa"/>
            <w:tcBorders>
              <w:top w:val="single" w:sz="6" w:space="0" w:color="auto"/>
              <w:left w:val="single" w:sz="12" w:space="0" w:color="auto"/>
              <w:bottom w:val="single" w:sz="8" w:space="0" w:color="auto"/>
              <w:right w:val="single" w:sz="12" w:space="0" w:color="auto"/>
            </w:tcBorders>
            <w:vAlign w:val="center"/>
          </w:tcPr>
          <w:p w14:paraId="79C6A648"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8" w:space="0" w:color="auto"/>
              <w:right w:val="single" w:sz="12" w:space="0" w:color="auto"/>
            </w:tcBorders>
            <w:vAlign w:val="center"/>
          </w:tcPr>
          <w:p w14:paraId="54E61FDA"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0</w:t>
            </w:r>
          </w:p>
        </w:tc>
      </w:tr>
      <w:tr w:rsidR="000134F9" w:rsidRPr="000134F9" w14:paraId="50E990E1" w14:textId="77777777" w:rsidTr="000134F9">
        <w:trPr>
          <w:jc w:val="center"/>
        </w:trPr>
        <w:tc>
          <w:tcPr>
            <w:tcW w:w="2516" w:type="dxa"/>
            <w:tcBorders>
              <w:top w:val="single" w:sz="8" w:space="0" w:color="auto"/>
              <w:left w:val="single" w:sz="12" w:space="0" w:color="auto"/>
              <w:bottom w:val="single" w:sz="6" w:space="0" w:color="auto"/>
              <w:right w:val="single" w:sz="12" w:space="0" w:color="auto"/>
            </w:tcBorders>
            <w:noWrap/>
            <w:vAlign w:val="center"/>
          </w:tcPr>
          <w:p w14:paraId="6AA1D60B"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Sungai Paka Shoal</w:t>
            </w:r>
          </w:p>
        </w:tc>
        <w:tc>
          <w:tcPr>
            <w:tcW w:w="771" w:type="dxa"/>
            <w:tcBorders>
              <w:top w:val="single" w:sz="8" w:space="0" w:color="auto"/>
              <w:left w:val="single" w:sz="12" w:space="0" w:color="auto"/>
              <w:bottom w:val="single" w:sz="6" w:space="0" w:color="auto"/>
              <w:right w:val="single" w:sz="12" w:space="0" w:color="auto"/>
            </w:tcBorders>
            <w:noWrap/>
            <w:vAlign w:val="center"/>
          </w:tcPr>
          <w:p w14:paraId="5D9D5390" w14:textId="77777777" w:rsidR="000134F9" w:rsidRPr="000134F9" w:rsidRDefault="000134F9" w:rsidP="000134F9">
            <w:pPr>
              <w:jc w:val="right"/>
              <w:rPr>
                <w:rFonts w:ascii="Arial" w:hAnsi="Arial" w:cs="Arial"/>
                <w:b/>
                <w:sz w:val="16"/>
                <w:szCs w:val="20"/>
                <w:lang w:val="en-GB"/>
              </w:rPr>
            </w:pPr>
            <w:r w:rsidRPr="000134F9">
              <w:rPr>
                <w:rFonts w:ascii="Arial" w:hAnsi="Arial" w:cs="Arial"/>
                <w:color w:val="000000"/>
                <w:sz w:val="16"/>
                <w:szCs w:val="20"/>
                <w:lang w:val="en-GB"/>
              </w:rPr>
              <w:t>43</w:t>
            </w:r>
          </w:p>
        </w:tc>
        <w:tc>
          <w:tcPr>
            <w:tcW w:w="2448" w:type="dxa"/>
            <w:tcBorders>
              <w:top w:val="single" w:sz="8" w:space="0" w:color="auto"/>
              <w:left w:val="single" w:sz="12" w:space="0" w:color="auto"/>
              <w:bottom w:val="single" w:sz="6" w:space="0" w:color="auto"/>
              <w:right w:val="single" w:sz="12" w:space="0" w:color="auto"/>
            </w:tcBorders>
            <w:vAlign w:val="center"/>
          </w:tcPr>
          <w:p w14:paraId="779BA6E8" w14:textId="77777777" w:rsidR="000134F9" w:rsidRPr="000134F9" w:rsidRDefault="000134F9" w:rsidP="000134F9">
            <w:pPr>
              <w:rPr>
                <w:rFonts w:ascii="Arial" w:hAnsi="Arial" w:cs="Arial"/>
                <w:bCs/>
                <w:sz w:val="16"/>
                <w:szCs w:val="20"/>
                <w:lang w:val="en-GB"/>
              </w:rPr>
            </w:pPr>
            <w:r w:rsidRPr="000134F9">
              <w:rPr>
                <w:rFonts w:ascii="Arial" w:hAnsi="Arial" w:cs="Arial"/>
                <w:color w:val="000000"/>
                <w:sz w:val="16"/>
                <w:szCs w:val="20"/>
                <w:lang w:val="en-GB"/>
              </w:rPr>
              <w:t>None</w:t>
            </w:r>
          </w:p>
        </w:tc>
        <w:tc>
          <w:tcPr>
            <w:tcW w:w="1260" w:type="dxa"/>
            <w:tcBorders>
              <w:top w:val="single" w:sz="8" w:space="0" w:color="auto"/>
              <w:left w:val="single" w:sz="12" w:space="0" w:color="auto"/>
              <w:bottom w:val="single" w:sz="6" w:space="0" w:color="auto"/>
              <w:right w:val="single" w:sz="12" w:space="0" w:color="auto"/>
            </w:tcBorders>
            <w:vAlign w:val="center"/>
          </w:tcPr>
          <w:p w14:paraId="295F0C31" w14:textId="77777777" w:rsidR="000134F9" w:rsidRPr="000134F9" w:rsidRDefault="000134F9" w:rsidP="000134F9">
            <w:pPr>
              <w:jc w:val="center"/>
              <w:rPr>
                <w:rFonts w:ascii="Arial" w:hAnsi="Arial" w:cs="Arial"/>
                <w:sz w:val="16"/>
                <w:lang w:val="en-GB"/>
              </w:rPr>
            </w:pPr>
            <w:r w:rsidRPr="000134F9">
              <w:rPr>
                <w:rFonts w:ascii="Arial" w:hAnsi="Arial" w:cs="Arial"/>
                <w:sz w:val="16"/>
                <w:szCs w:val="20"/>
                <w:lang w:val="en-GB"/>
              </w:rPr>
              <w:t>No</w:t>
            </w:r>
          </w:p>
        </w:tc>
        <w:tc>
          <w:tcPr>
            <w:tcW w:w="1546" w:type="dxa"/>
            <w:tcBorders>
              <w:top w:val="single" w:sz="8" w:space="0" w:color="auto"/>
              <w:left w:val="single" w:sz="12" w:space="0" w:color="auto"/>
              <w:bottom w:val="single" w:sz="6" w:space="0" w:color="auto"/>
              <w:right w:val="single" w:sz="12" w:space="0" w:color="auto"/>
            </w:tcBorders>
            <w:vAlign w:val="center"/>
          </w:tcPr>
          <w:p w14:paraId="3E637BA8" w14:textId="77777777" w:rsidR="000134F9" w:rsidRPr="000134F9" w:rsidRDefault="000134F9" w:rsidP="000134F9">
            <w:pPr>
              <w:jc w:val="center"/>
              <w:rPr>
                <w:rFonts w:ascii="Arial" w:hAnsi="Arial" w:cs="Arial"/>
                <w:bCs/>
                <w:sz w:val="16"/>
                <w:szCs w:val="20"/>
                <w:lang w:val="en-GB"/>
              </w:rPr>
            </w:pPr>
            <w:r w:rsidRPr="000134F9">
              <w:rPr>
                <w:rFonts w:ascii="Arial" w:hAnsi="Arial" w:cs="Arial"/>
                <w:bCs/>
                <w:sz w:val="16"/>
                <w:szCs w:val="20"/>
                <w:lang w:val="en-GB"/>
              </w:rPr>
              <w:t>N/A</w:t>
            </w:r>
          </w:p>
        </w:tc>
        <w:tc>
          <w:tcPr>
            <w:tcW w:w="1200" w:type="dxa"/>
            <w:tcBorders>
              <w:top w:val="single" w:sz="8" w:space="0" w:color="auto"/>
              <w:left w:val="single" w:sz="12" w:space="0" w:color="auto"/>
              <w:bottom w:val="single" w:sz="6" w:space="0" w:color="auto"/>
              <w:right w:val="single" w:sz="12" w:space="0" w:color="auto"/>
            </w:tcBorders>
            <w:vAlign w:val="center"/>
          </w:tcPr>
          <w:p w14:paraId="098BBD4B" w14:textId="77777777" w:rsidR="000134F9" w:rsidRPr="000134F9" w:rsidRDefault="000134F9" w:rsidP="000134F9">
            <w:pPr>
              <w:jc w:val="right"/>
              <w:rPr>
                <w:rFonts w:ascii="Arial" w:hAnsi="Arial" w:cs="Arial"/>
                <w:bCs/>
                <w:sz w:val="16"/>
                <w:szCs w:val="20"/>
                <w:lang w:val="en-GB"/>
              </w:rPr>
            </w:pPr>
            <w:r w:rsidRPr="000134F9">
              <w:rPr>
                <w:rFonts w:ascii="Arial" w:hAnsi="Arial" w:cs="Arial"/>
                <w:bCs/>
                <w:sz w:val="16"/>
                <w:szCs w:val="20"/>
                <w:lang w:val="en-GB"/>
              </w:rPr>
              <w:t>0</w:t>
            </w:r>
          </w:p>
        </w:tc>
      </w:tr>
      <w:tr w:rsidR="000134F9" w:rsidRPr="000134F9" w14:paraId="77D02BA7"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2B67EF24"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Pulau Tinggi Mersing</w:t>
            </w:r>
          </w:p>
        </w:tc>
        <w:tc>
          <w:tcPr>
            <w:tcW w:w="771" w:type="dxa"/>
            <w:tcBorders>
              <w:top w:val="single" w:sz="6" w:space="0" w:color="auto"/>
              <w:left w:val="single" w:sz="12" w:space="0" w:color="auto"/>
              <w:bottom w:val="single" w:sz="6" w:space="0" w:color="auto"/>
              <w:right w:val="single" w:sz="12" w:space="0" w:color="auto"/>
            </w:tcBorders>
            <w:noWrap/>
            <w:vAlign w:val="center"/>
          </w:tcPr>
          <w:p w14:paraId="4D4E0507" w14:textId="77777777" w:rsidR="000134F9" w:rsidRPr="000134F9" w:rsidRDefault="000134F9" w:rsidP="000134F9">
            <w:pPr>
              <w:jc w:val="right"/>
              <w:rPr>
                <w:rFonts w:ascii="Arial" w:hAnsi="Arial" w:cs="Arial"/>
                <w:b/>
                <w:sz w:val="16"/>
                <w:szCs w:val="20"/>
                <w:lang w:val="en-GB"/>
              </w:rPr>
            </w:pPr>
            <w:r w:rsidRPr="000134F9">
              <w:rPr>
                <w:rFonts w:ascii="Arial" w:hAnsi="Arial" w:cs="Arial"/>
                <w:color w:val="000000"/>
                <w:sz w:val="16"/>
                <w:szCs w:val="20"/>
                <w:lang w:val="en-GB"/>
              </w:rPr>
              <w:t>3</w:t>
            </w:r>
          </w:p>
        </w:tc>
        <w:tc>
          <w:tcPr>
            <w:tcW w:w="2448" w:type="dxa"/>
            <w:tcBorders>
              <w:top w:val="single" w:sz="6" w:space="0" w:color="auto"/>
              <w:left w:val="single" w:sz="12" w:space="0" w:color="auto"/>
              <w:bottom w:val="single" w:sz="6" w:space="0" w:color="auto"/>
              <w:right w:val="single" w:sz="12" w:space="0" w:color="auto"/>
            </w:tcBorders>
            <w:vAlign w:val="center"/>
          </w:tcPr>
          <w:p w14:paraId="4523CC49" w14:textId="77777777" w:rsidR="000134F9" w:rsidRPr="000134F9" w:rsidRDefault="000134F9" w:rsidP="000134F9">
            <w:pPr>
              <w:rPr>
                <w:rFonts w:ascii="Arial" w:hAnsi="Arial" w:cs="Arial"/>
                <w:bCs/>
                <w:sz w:val="16"/>
                <w:szCs w:val="20"/>
                <w:lang w:val="en-GB"/>
              </w:rPr>
            </w:pPr>
            <w:smartTag w:uri="urn:schemas-microsoft-com:office:smarttags" w:element="place">
              <w:smartTag w:uri="urn:schemas-microsoft-com:office:smarttags" w:element="PlaceName">
                <w:r w:rsidRPr="000134F9">
                  <w:rPr>
                    <w:rFonts w:ascii="Arial" w:hAnsi="Arial" w:cs="Arial"/>
                    <w:color w:val="000000"/>
                    <w:sz w:val="16"/>
                    <w:szCs w:val="20"/>
                    <w:lang w:val="en-GB"/>
                  </w:rPr>
                  <w:t>Marine</w:t>
                </w:r>
              </w:smartTag>
              <w:r w:rsidRPr="000134F9">
                <w:rPr>
                  <w:rFonts w:ascii="Arial" w:hAnsi="Arial" w:cs="Arial"/>
                  <w:color w:val="000000"/>
                  <w:sz w:val="16"/>
                  <w:szCs w:val="20"/>
                  <w:lang w:val="en-GB"/>
                </w:rPr>
                <w:t xml:space="preserve"> </w:t>
              </w:r>
              <w:smartTag w:uri="urn:schemas-microsoft-com:office:smarttags" w:element="PlaceType">
                <w:r w:rsidRPr="000134F9">
                  <w:rPr>
                    <w:rFonts w:ascii="Arial" w:hAnsi="Arial" w:cs="Arial"/>
                    <w:color w:val="000000"/>
                    <w:sz w:val="16"/>
                    <w:szCs w:val="20"/>
                    <w:lang w:val="en-GB"/>
                  </w:rPr>
                  <w:t>Park</w:t>
                </w:r>
              </w:smartTag>
            </w:smartTag>
          </w:p>
        </w:tc>
        <w:tc>
          <w:tcPr>
            <w:tcW w:w="1260" w:type="dxa"/>
            <w:tcBorders>
              <w:top w:val="single" w:sz="6" w:space="0" w:color="auto"/>
              <w:left w:val="single" w:sz="12" w:space="0" w:color="auto"/>
              <w:bottom w:val="single" w:sz="6" w:space="0" w:color="auto"/>
              <w:right w:val="single" w:sz="12" w:space="0" w:color="auto"/>
            </w:tcBorders>
            <w:vAlign w:val="center"/>
          </w:tcPr>
          <w:p w14:paraId="0960F832" w14:textId="77777777" w:rsidR="000134F9" w:rsidRPr="000134F9" w:rsidRDefault="000134F9" w:rsidP="000134F9">
            <w:pPr>
              <w:jc w:val="right"/>
              <w:rPr>
                <w:rFonts w:ascii="Arial" w:hAnsi="Arial" w:cs="Arial"/>
                <w:bCs/>
                <w:sz w:val="16"/>
                <w:szCs w:val="20"/>
                <w:lang w:val="en-GB"/>
              </w:rPr>
            </w:pPr>
            <w:r w:rsidRPr="000134F9">
              <w:rPr>
                <w:rFonts w:ascii="Arial" w:hAnsi="Arial" w:cs="Arial"/>
                <w:bCs/>
                <w:sz w:val="16"/>
                <w:szCs w:val="20"/>
                <w:lang w:val="en-GB"/>
              </w:rPr>
              <w:t>3</w:t>
            </w:r>
          </w:p>
        </w:tc>
        <w:tc>
          <w:tcPr>
            <w:tcW w:w="1546" w:type="dxa"/>
            <w:tcBorders>
              <w:top w:val="single" w:sz="6" w:space="0" w:color="auto"/>
              <w:left w:val="single" w:sz="12" w:space="0" w:color="auto"/>
              <w:bottom w:val="single" w:sz="6" w:space="0" w:color="auto"/>
              <w:right w:val="single" w:sz="12" w:space="0" w:color="auto"/>
            </w:tcBorders>
            <w:vAlign w:val="center"/>
          </w:tcPr>
          <w:p w14:paraId="681E4A50" w14:textId="77777777" w:rsidR="000134F9" w:rsidRPr="000134F9" w:rsidRDefault="000134F9" w:rsidP="000134F9">
            <w:pPr>
              <w:jc w:val="center"/>
              <w:rPr>
                <w:rFonts w:ascii="Arial" w:hAnsi="Arial" w:cs="Arial"/>
                <w:bCs/>
                <w:sz w:val="16"/>
                <w:szCs w:val="20"/>
                <w:lang w:val="en-GB"/>
              </w:rPr>
            </w:pPr>
            <w:r w:rsidRPr="000134F9">
              <w:rPr>
                <w:rFonts w:ascii="Arial" w:hAnsi="Arial" w:cs="Arial"/>
                <w:bCs/>
                <w:sz w:val="16"/>
                <w:szCs w:val="20"/>
                <w:lang w:val="en-GB"/>
              </w:rPr>
              <w:t>Medium</w:t>
            </w:r>
          </w:p>
        </w:tc>
        <w:tc>
          <w:tcPr>
            <w:tcW w:w="1200" w:type="dxa"/>
            <w:tcBorders>
              <w:top w:val="single" w:sz="6" w:space="0" w:color="auto"/>
              <w:left w:val="single" w:sz="12" w:space="0" w:color="auto"/>
              <w:bottom w:val="single" w:sz="6" w:space="0" w:color="auto"/>
              <w:right w:val="single" w:sz="12" w:space="0" w:color="auto"/>
            </w:tcBorders>
            <w:vAlign w:val="center"/>
          </w:tcPr>
          <w:p w14:paraId="6D15C915" w14:textId="77777777" w:rsidR="000134F9" w:rsidRPr="000134F9" w:rsidRDefault="000134F9" w:rsidP="000134F9">
            <w:pPr>
              <w:jc w:val="right"/>
              <w:rPr>
                <w:rFonts w:ascii="Arial" w:hAnsi="Arial" w:cs="Arial"/>
                <w:bCs/>
                <w:sz w:val="16"/>
                <w:szCs w:val="20"/>
                <w:lang w:val="en-GB"/>
              </w:rPr>
            </w:pPr>
            <w:r w:rsidRPr="000134F9">
              <w:rPr>
                <w:rFonts w:ascii="Arial" w:hAnsi="Arial" w:cs="Arial"/>
                <w:bCs/>
                <w:sz w:val="16"/>
                <w:szCs w:val="20"/>
                <w:lang w:val="en-GB"/>
              </w:rPr>
              <w:t>0</w:t>
            </w:r>
          </w:p>
        </w:tc>
      </w:tr>
      <w:tr w:rsidR="000134F9" w:rsidRPr="000134F9" w14:paraId="71903DA7"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08279DC8"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Pulau Perhentiar</w:t>
            </w:r>
          </w:p>
        </w:tc>
        <w:tc>
          <w:tcPr>
            <w:tcW w:w="771" w:type="dxa"/>
            <w:tcBorders>
              <w:top w:val="single" w:sz="6" w:space="0" w:color="auto"/>
              <w:left w:val="single" w:sz="12" w:space="0" w:color="auto"/>
              <w:bottom w:val="single" w:sz="6" w:space="0" w:color="auto"/>
              <w:right w:val="single" w:sz="12" w:space="0" w:color="auto"/>
            </w:tcBorders>
            <w:noWrap/>
            <w:vAlign w:val="center"/>
          </w:tcPr>
          <w:p w14:paraId="72DCBBB9" w14:textId="77777777" w:rsidR="000134F9" w:rsidRPr="000134F9" w:rsidRDefault="000134F9" w:rsidP="000134F9">
            <w:pPr>
              <w:jc w:val="right"/>
              <w:rPr>
                <w:rFonts w:ascii="Arial" w:hAnsi="Arial" w:cs="Arial"/>
                <w:b/>
                <w:sz w:val="16"/>
                <w:szCs w:val="20"/>
                <w:lang w:val="en-GB"/>
              </w:rPr>
            </w:pPr>
            <w:r w:rsidRPr="000134F9">
              <w:rPr>
                <w:rFonts w:ascii="Arial" w:hAnsi="Arial" w:cs="Arial"/>
                <w:color w:val="000000"/>
                <w:sz w:val="16"/>
                <w:szCs w:val="20"/>
                <w:lang w:val="en-GB"/>
              </w:rPr>
              <w:t>3</w:t>
            </w:r>
          </w:p>
        </w:tc>
        <w:tc>
          <w:tcPr>
            <w:tcW w:w="2448" w:type="dxa"/>
            <w:tcBorders>
              <w:top w:val="single" w:sz="6" w:space="0" w:color="auto"/>
              <w:left w:val="single" w:sz="12" w:space="0" w:color="auto"/>
              <w:bottom w:val="single" w:sz="6" w:space="0" w:color="auto"/>
              <w:right w:val="single" w:sz="12" w:space="0" w:color="auto"/>
            </w:tcBorders>
            <w:vAlign w:val="center"/>
          </w:tcPr>
          <w:p w14:paraId="191A9FA5" w14:textId="77777777" w:rsidR="000134F9" w:rsidRPr="000134F9" w:rsidRDefault="000134F9" w:rsidP="000134F9">
            <w:pPr>
              <w:rPr>
                <w:rFonts w:ascii="Arial" w:hAnsi="Arial" w:cs="Arial"/>
                <w:bCs/>
                <w:sz w:val="16"/>
                <w:szCs w:val="20"/>
                <w:lang w:val="en-GB"/>
              </w:rPr>
            </w:pPr>
            <w:smartTag w:uri="urn:schemas-microsoft-com:office:smarttags" w:element="place">
              <w:smartTag w:uri="urn:schemas-microsoft-com:office:smarttags" w:element="PlaceName">
                <w:r w:rsidRPr="000134F9">
                  <w:rPr>
                    <w:rFonts w:ascii="Arial" w:hAnsi="Arial" w:cs="Arial"/>
                    <w:color w:val="000000"/>
                    <w:sz w:val="16"/>
                    <w:szCs w:val="20"/>
                    <w:lang w:val="en-GB"/>
                  </w:rPr>
                  <w:t>Marine</w:t>
                </w:r>
              </w:smartTag>
              <w:r w:rsidRPr="000134F9">
                <w:rPr>
                  <w:rFonts w:ascii="Arial" w:hAnsi="Arial" w:cs="Arial"/>
                  <w:color w:val="000000"/>
                  <w:sz w:val="16"/>
                  <w:szCs w:val="20"/>
                  <w:lang w:val="en-GB"/>
                </w:rPr>
                <w:t xml:space="preserve"> </w:t>
              </w:r>
              <w:smartTag w:uri="urn:schemas-microsoft-com:office:smarttags" w:element="PlaceType">
                <w:r w:rsidRPr="000134F9">
                  <w:rPr>
                    <w:rFonts w:ascii="Arial" w:hAnsi="Arial" w:cs="Arial"/>
                    <w:color w:val="000000"/>
                    <w:sz w:val="16"/>
                    <w:szCs w:val="20"/>
                    <w:lang w:val="en-GB"/>
                  </w:rPr>
                  <w:t>Park</w:t>
                </w:r>
              </w:smartTag>
            </w:smartTag>
          </w:p>
        </w:tc>
        <w:tc>
          <w:tcPr>
            <w:tcW w:w="1260" w:type="dxa"/>
            <w:tcBorders>
              <w:top w:val="single" w:sz="6" w:space="0" w:color="auto"/>
              <w:left w:val="single" w:sz="12" w:space="0" w:color="auto"/>
              <w:bottom w:val="single" w:sz="6" w:space="0" w:color="auto"/>
              <w:right w:val="single" w:sz="12" w:space="0" w:color="auto"/>
            </w:tcBorders>
            <w:vAlign w:val="center"/>
          </w:tcPr>
          <w:p w14:paraId="2D6B4519" w14:textId="77777777" w:rsidR="000134F9" w:rsidRPr="000134F9" w:rsidRDefault="000134F9" w:rsidP="000134F9">
            <w:pPr>
              <w:jc w:val="right"/>
              <w:rPr>
                <w:rFonts w:ascii="Arial" w:hAnsi="Arial" w:cs="Arial"/>
                <w:bCs/>
                <w:sz w:val="16"/>
                <w:szCs w:val="20"/>
                <w:lang w:val="en-GB"/>
              </w:rPr>
            </w:pPr>
            <w:r w:rsidRPr="000134F9">
              <w:rPr>
                <w:rFonts w:ascii="Arial" w:hAnsi="Arial" w:cs="Arial"/>
                <w:bCs/>
                <w:sz w:val="16"/>
                <w:szCs w:val="20"/>
                <w:lang w:val="en-GB"/>
              </w:rPr>
              <w:t>3</w:t>
            </w:r>
          </w:p>
        </w:tc>
        <w:tc>
          <w:tcPr>
            <w:tcW w:w="1546" w:type="dxa"/>
            <w:tcBorders>
              <w:top w:val="single" w:sz="6" w:space="0" w:color="auto"/>
              <w:left w:val="single" w:sz="12" w:space="0" w:color="auto"/>
              <w:bottom w:val="single" w:sz="6" w:space="0" w:color="auto"/>
              <w:right w:val="single" w:sz="12" w:space="0" w:color="auto"/>
            </w:tcBorders>
            <w:vAlign w:val="center"/>
          </w:tcPr>
          <w:p w14:paraId="0746A6DA" w14:textId="77777777" w:rsidR="000134F9" w:rsidRPr="000134F9" w:rsidRDefault="000134F9" w:rsidP="000134F9">
            <w:pPr>
              <w:jc w:val="center"/>
              <w:rPr>
                <w:rFonts w:ascii="Arial" w:hAnsi="Arial" w:cs="Arial"/>
                <w:bCs/>
                <w:sz w:val="16"/>
                <w:szCs w:val="20"/>
                <w:lang w:val="en-GB"/>
              </w:rPr>
            </w:pPr>
            <w:r w:rsidRPr="000134F9">
              <w:rPr>
                <w:rFonts w:ascii="Arial" w:hAnsi="Arial" w:cs="Arial"/>
                <w:bCs/>
                <w:sz w:val="16"/>
                <w:szCs w:val="20"/>
                <w:lang w:val="en-GB"/>
              </w:rPr>
              <w:t>Medium</w:t>
            </w:r>
          </w:p>
        </w:tc>
        <w:tc>
          <w:tcPr>
            <w:tcW w:w="1200" w:type="dxa"/>
            <w:tcBorders>
              <w:top w:val="single" w:sz="6" w:space="0" w:color="auto"/>
              <w:left w:val="single" w:sz="12" w:space="0" w:color="auto"/>
              <w:bottom w:val="single" w:sz="6" w:space="0" w:color="auto"/>
              <w:right w:val="single" w:sz="12" w:space="0" w:color="auto"/>
            </w:tcBorders>
            <w:vAlign w:val="center"/>
          </w:tcPr>
          <w:p w14:paraId="3C7BB9B6" w14:textId="77777777" w:rsidR="000134F9" w:rsidRPr="000134F9" w:rsidRDefault="000134F9" w:rsidP="000134F9">
            <w:pPr>
              <w:jc w:val="right"/>
              <w:rPr>
                <w:rFonts w:ascii="Arial" w:hAnsi="Arial" w:cs="Arial"/>
                <w:bCs/>
                <w:sz w:val="16"/>
                <w:szCs w:val="20"/>
                <w:lang w:val="en-GB"/>
              </w:rPr>
            </w:pPr>
            <w:r w:rsidRPr="000134F9">
              <w:rPr>
                <w:rFonts w:ascii="Arial" w:hAnsi="Arial" w:cs="Arial"/>
                <w:bCs/>
                <w:sz w:val="16"/>
                <w:szCs w:val="20"/>
                <w:lang w:val="en-GB"/>
              </w:rPr>
              <w:t>0</w:t>
            </w:r>
          </w:p>
        </w:tc>
      </w:tr>
      <w:tr w:rsidR="000134F9" w:rsidRPr="000134F9" w14:paraId="04D9F054"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459A14E5"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Pulau Redang</w:t>
            </w:r>
          </w:p>
        </w:tc>
        <w:tc>
          <w:tcPr>
            <w:tcW w:w="771" w:type="dxa"/>
            <w:tcBorders>
              <w:top w:val="single" w:sz="6" w:space="0" w:color="auto"/>
              <w:left w:val="single" w:sz="12" w:space="0" w:color="auto"/>
              <w:bottom w:val="single" w:sz="6" w:space="0" w:color="auto"/>
              <w:right w:val="single" w:sz="12" w:space="0" w:color="auto"/>
            </w:tcBorders>
            <w:noWrap/>
            <w:vAlign w:val="center"/>
          </w:tcPr>
          <w:p w14:paraId="43207E51" w14:textId="77777777" w:rsidR="000134F9" w:rsidRPr="000134F9" w:rsidRDefault="000134F9" w:rsidP="000134F9">
            <w:pPr>
              <w:jc w:val="right"/>
              <w:rPr>
                <w:rFonts w:ascii="Arial" w:hAnsi="Arial" w:cs="Arial"/>
                <w:b/>
                <w:sz w:val="16"/>
                <w:szCs w:val="20"/>
                <w:lang w:val="en-GB"/>
              </w:rPr>
            </w:pPr>
            <w:r w:rsidRPr="000134F9">
              <w:rPr>
                <w:rFonts w:ascii="Arial" w:hAnsi="Arial" w:cs="Arial"/>
                <w:color w:val="000000"/>
                <w:sz w:val="16"/>
                <w:szCs w:val="20"/>
                <w:lang w:val="en-GB"/>
              </w:rPr>
              <w:t>2</w:t>
            </w:r>
          </w:p>
        </w:tc>
        <w:tc>
          <w:tcPr>
            <w:tcW w:w="2448" w:type="dxa"/>
            <w:tcBorders>
              <w:top w:val="single" w:sz="6" w:space="0" w:color="auto"/>
              <w:left w:val="single" w:sz="12" w:space="0" w:color="auto"/>
              <w:bottom w:val="single" w:sz="6" w:space="0" w:color="auto"/>
              <w:right w:val="single" w:sz="12" w:space="0" w:color="auto"/>
            </w:tcBorders>
            <w:vAlign w:val="center"/>
          </w:tcPr>
          <w:p w14:paraId="509ABD32" w14:textId="77777777" w:rsidR="000134F9" w:rsidRPr="000134F9" w:rsidRDefault="000134F9" w:rsidP="000134F9">
            <w:pPr>
              <w:rPr>
                <w:rFonts w:ascii="Arial" w:hAnsi="Arial" w:cs="Arial"/>
                <w:bCs/>
                <w:sz w:val="16"/>
                <w:szCs w:val="20"/>
                <w:lang w:val="en-GB"/>
              </w:rPr>
            </w:pPr>
            <w:smartTag w:uri="urn:schemas-microsoft-com:office:smarttags" w:element="place">
              <w:smartTag w:uri="urn:schemas-microsoft-com:office:smarttags" w:element="PlaceName">
                <w:r w:rsidRPr="000134F9">
                  <w:rPr>
                    <w:rFonts w:ascii="Arial" w:hAnsi="Arial" w:cs="Arial"/>
                    <w:color w:val="000000"/>
                    <w:sz w:val="16"/>
                    <w:szCs w:val="20"/>
                    <w:lang w:val="en-GB"/>
                  </w:rPr>
                  <w:t>Marine</w:t>
                </w:r>
              </w:smartTag>
              <w:r w:rsidRPr="000134F9">
                <w:rPr>
                  <w:rFonts w:ascii="Arial" w:hAnsi="Arial" w:cs="Arial"/>
                  <w:color w:val="000000"/>
                  <w:sz w:val="16"/>
                  <w:szCs w:val="20"/>
                  <w:lang w:val="en-GB"/>
                </w:rPr>
                <w:t xml:space="preserve"> </w:t>
              </w:r>
              <w:smartTag w:uri="urn:schemas-microsoft-com:office:smarttags" w:element="PlaceType">
                <w:r w:rsidRPr="000134F9">
                  <w:rPr>
                    <w:rFonts w:ascii="Arial" w:hAnsi="Arial" w:cs="Arial"/>
                    <w:color w:val="000000"/>
                    <w:sz w:val="16"/>
                    <w:szCs w:val="20"/>
                    <w:lang w:val="en-GB"/>
                  </w:rPr>
                  <w:t>Park</w:t>
                </w:r>
              </w:smartTag>
            </w:smartTag>
          </w:p>
        </w:tc>
        <w:tc>
          <w:tcPr>
            <w:tcW w:w="1260" w:type="dxa"/>
            <w:tcBorders>
              <w:top w:val="single" w:sz="6" w:space="0" w:color="auto"/>
              <w:left w:val="single" w:sz="12" w:space="0" w:color="auto"/>
              <w:bottom w:val="single" w:sz="6" w:space="0" w:color="auto"/>
              <w:right w:val="single" w:sz="12" w:space="0" w:color="auto"/>
            </w:tcBorders>
            <w:vAlign w:val="center"/>
          </w:tcPr>
          <w:p w14:paraId="5B5903D9" w14:textId="77777777" w:rsidR="000134F9" w:rsidRPr="000134F9" w:rsidRDefault="000134F9" w:rsidP="000134F9">
            <w:pPr>
              <w:jc w:val="right"/>
              <w:rPr>
                <w:rFonts w:ascii="Arial" w:hAnsi="Arial" w:cs="Arial"/>
                <w:bCs/>
                <w:sz w:val="16"/>
                <w:szCs w:val="20"/>
                <w:lang w:val="en-GB"/>
              </w:rPr>
            </w:pPr>
            <w:r w:rsidRPr="000134F9">
              <w:rPr>
                <w:rFonts w:ascii="Arial" w:hAnsi="Arial" w:cs="Arial"/>
                <w:bCs/>
                <w:sz w:val="16"/>
                <w:szCs w:val="20"/>
                <w:lang w:val="en-GB"/>
              </w:rPr>
              <w:t>2</w:t>
            </w:r>
          </w:p>
        </w:tc>
        <w:tc>
          <w:tcPr>
            <w:tcW w:w="1546" w:type="dxa"/>
            <w:tcBorders>
              <w:top w:val="single" w:sz="6" w:space="0" w:color="auto"/>
              <w:left w:val="single" w:sz="12" w:space="0" w:color="auto"/>
              <w:bottom w:val="single" w:sz="6" w:space="0" w:color="auto"/>
              <w:right w:val="single" w:sz="12" w:space="0" w:color="auto"/>
            </w:tcBorders>
            <w:vAlign w:val="center"/>
          </w:tcPr>
          <w:p w14:paraId="00F59020" w14:textId="77777777" w:rsidR="000134F9" w:rsidRPr="000134F9" w:rsidRDefault="000134F9" w:rsidP="000134F9">
            <w:pPr>
              <w:jc w:val="center"/>
              <w:rPr>
                <w:rFonts w:ascii="Arial" w:hAnsi="Arial" w:cs="Arial"/>
                <w:bCs/>
                <w:sz w:val="16"/>
                <w:szCs w:val="20"/>
                <w:lang w:val="en-GB"/>
              </w:rPr>
            </w:pPr>
            <w:r w:rsidRPr="000134F9">
              <w:rPr>
                <w:rFonts w:ascii="Arial" w:hAnsi="Arial" w:cs="Arial"/>
                <w:bCs/>
                <w:sz w:val="16"/>
                <w:szCs w:val="20"/>
                <w:lang w:val="en-GB"/>
              </w:rPr>
              <w:t>Medium</w:t>
            </w:r>
          </w:p>
        </w:tc>
        <w:tc>
          <w:tcPr>
            <w:tcW w:w="1200" w:type="dxa"/>
            <w:tcBorders>
              <w:top w:val="single" w:sz="6" w:space="0" w:color="auto"/>
              <w:left w:val="single" w:sz="12" w:space="0" w:color="auto"/>
              <w:bottom w:val="single" w:sz="6" w:space="0" w:color="auto"/>
              <w:right w:val="single" w:sz="12" w:space="0" w:color="auto"/>
            </w:tcBorders>
            <w:vAlign w:val="center"/>
          </w:tcPr>
          <w:p w14:paraId="67A6CB81" w14:textId="77777777" w:rsidR="000134F9" w:rsidRPr="000134F9" w:rsidRDefault="000134F9" w:rsidP="000134F9">
            <w:pPr>
              <w:jc w:val="right"/>
              <w:rPr>
                <w:rFonts w:ascii="Arial" w:hAnsi="Arial" w:cs="Arial"/>
                <w:bCs/>
                <w:sz w:val="16"/>
                <w:szCs w:val="20"/>
                <w:lang w:val="en-GB"/>
              </w:rPr>
            </w:pPr>
            <w:r w:rsidRPr="000134F9">
              <w:rPr>
                <w:rFonts w:ascii="Arial" w:hAnsi="Arial" w:cs="Arial"/>
                <w:bCs/>
                <w:sz w:val="16"/>
                <w:szCs w:val="20"/>
                <w:lang w:val="en-GB"/>
              </w:rPr>
              <w:t>0</w:t>
            </w:r>
          </w:p>
        </w:tc>
      </w:tr>
      <w:tr w:rsidR="000134F9" w:rsidRPr="000134F9" w14:paraId="00B6B51E"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37E58B00"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Setiu Terengannu</w:t>
            </w:r>
          </w:p>
        </w:tc>
        <w:tc>
          <w:tcPr>
            <w:tcW w:w="771" w:type="dxa"/>
            <w:tcBorders>
              <w:top w:val="single" w:sz="6" w:space="0" w:color="auto"/>
              <w:left w:val="single" w:sz="12" w:space="0" w:color="auto"/>
              <w:bottom w:val="single" w:sz="6" w:space="0" w:color="auto"/>
              <w:right w:val="single" w:sz="12" w:space="0" w:color="auto"/>
            </w:tcBorders>
            <w:noWrap/>
            <w:vAlign w:val="center"/>
          </w:tcPr>
          <w:p w14:paraId="7C125996" w14:textId="77777777" w:rsidR="000134F9" w:rsidRPr="000134F9" w:rsidRDefault="000134F9" w:rsidP="000134F9">
            <w:pPr>
              <w:jc w:val="right"/>
              <w:rPr>
                <w:rFonts w:ascii="Arial" w:hAnsi="Arial" w:cs="Arial"/>
                <w:b/>
                <w:sz w:val="16"/>
                <w:szCs w:val="20"/>
                <w:lang w:val="en-GB"/>
              </w:rPr>
            </w:pPr>
            <w:r w:rsidRPr="000134F9">
              <w:rPr>
                <w:rFonts w:ascii="Arial" w:hAnsi="Arial" w:cs="Arial"/>
                <w:color w:val="000000"/>
                <w:sz w:val="16"/>
                <w:szCs w:val="20"/>
                <w:lang w:val="en-GB"/>
              </w:rPr>
              <w:t>3</w:t>
            </w:r>
          </w:p>
        </w:tc>
        <w:tc>
          <w:tcPr>
            <w:tcW w:w="2448" w:type="dxa"/>
            <w:tcBorders>
              <w:top w:val="single" w:sz="6" w:space="0" w:color="auto"/>
              <w:left w:val="single" w:sz="12" w:space="0" w:color="auto"/>
              <w:bottom w:val="single" w:sz="6" w:space="0" w:color="auto"/>
              <w:right w:val="single" w:sz="12" w:space="0" w:color="auto"/>
            </w:tcBorders>
            <w:vAlign w:val="center"/>
          </w:tcPr>
          <w:p w14:paraId="6703C07B" w14:textId="77777777" w:rsidR="000134F9" w:rsidRPr="000134F9" w:rsidRDefault="000134F9" w:rsidP="000134F9">
            <w:pPr>
              <w:rPr>
                <w:rFonts w:ascii="Arial" w:hAnsi="Arial" w:cs="Arial"/>
                <w:bCs/>
                <w:sz w:val="16"/>
                <w:szCs w:val="20"/>
                <w:lang w:val="en-GB"/>
              </w:rPr>
            </w:pPr>
            <w:r w:rsidRPr="000134F9">
              <w:rPr>
                <w:rFonts w:ascii="Arial" w:hAnsi="Arial" w:cs="Arial"/>
                <w:color w:val="000000"/>
                <w:sz w:val="16"/>
                <w:szCs w:val="20"/>
                <w:lang w:val="en-GB"/>
              </w:rPr>
              <w:t>None</w:t>
            </w:r>
          </w:p>
        </w:tc>
        <w:tc>
          <w:tcPr>
            <w:tcW w:w="1260" w:type="dxa"/>
            <w:tcBorders>
              <w:top w:val="single" w:sz="6" w:space="0" w:color="auto"/>
              <w:left w:val="single" w:sz="12" w:space="0" w:color="auto"/>
              <w:bottom w:val="single" w:sz="6" w:space="0" w:color="auto"/>
              <w:right w:val="single" w:sz="12" w:space="0" w:color="auto"/>
            </w:tcBorders>
            <w:vAlign w:val="center"/>
          </w:tcPr>
          <w:p w14:paraId="15FC2B98" w14:textId="77777777" w:rsidR="000134F9" w:rsidRPr="000134F9" w:rsidRDefault="000134F9" w:rsidP="000134F9">
            <w:pPr>
              <w:jc w:val="center"/>
              <w:rPr>
                <w:rFonts w:ascii="Arial" w:hAnsi="Arial" w:cs="Arial"/>
                <w:bCs/>
                <w:sz w:val="16"/>
                <w:szCs w:val="20"/>
                <w:lang w:val="en-GB"/>
              </w:rPr>
            </w:pPr>
            <w:r w:rsidRPr="000134F9">
              <w:rPr>
                <w:rFonts w:ascii="Arial" w:hAnsi="Arial" w:cs="Arial"/>
                <w:bCs/>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062111D5" w14:textId="77777777" w:rsidR="000134F9" w:rsidRPr="000134F9" w:rsidRDefault="000134F9" w:rsidP="000134F9">
            <w:pPr>
              <w:jc w:val="center"/>
              <w:rPr>
                <w:rFonts w:ascii="Arial" w:hAnsi="Arial" w:cs="Arial"/>
                <w:bCs/>
                <w:sz w:val="16"/>
                <w:szCs w:val="20"/>
                <w:lang w:val="en-GB"/>
              </w:rPr>
            </w:pPr>
            <w:r w:rsidRPr="000134F9">
              <w:rPr>
                <w:rFonts w:ascii="Arial" w:hAnsi="Arial" w:cs="Arial"/>
                <w:bCs/>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3DB5C0EA" w14:textId="77777777" w:rsidR="000134F9" w:rsidRPr="000134F9" w:rsidRDefault="000134F9" w:rsidP="000134F9">
            <w:pPr>
              <w:jc w:val="right"/>
              <w:rPr>
                <w:rFonts w:ascii="Arial" w:hAnsi="Arial" w:cs="Arial"/>
                <w:bCs/>
                <w:sz w:val="16"/>
                <w:szCs w:val="20"/>
                <w:lang w:val="en-GB"/>
              </w:rPr>
            </w:pPr>
            <w:r w:rsidRPr="000134F9">
              <w:rPr>
                <w:rFonts w:ascii="Arial" w:hAnsi="Arial" w:cs="Arial"/>
                <w:bCs/>
                <w:sz w:val="16"/>
                <w:szCs w:val="20"/>
                <w:lang w:val="en-GB"/>
              </w:rPr>
              <w:t>0</w:t>
            </w:r>
          </w:p>
        </w:tc>
      </w:tr>
      <w:tr w:rsidR="000134F9" w:rsidRPr="000134F9" w14:paraId="209691C7"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7C4EE6C8"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Pulau Besar Mersing</w:t>
            </w:r>
          </w:p>
        </w:tc>
        <w:tc>
          <w:tcPr>
            <w:tcW w:w="771" w:type="dxa"/>
            <w:tcBorders>
              <w:top w:val="single" w:sz="6" w:space="0" w:color="auto"/>
              <w:left w:val="single" w:sz="12" w:space="0" w:color="auto"/>
              <w:bottom w:val="single" w:sz="6" w:space="0" w:color="auto"/>
              <w:right w:val="single" w:sz="12" w:space="0" w:color="auto"/>
            </w:tcBorders>
            <w:noWrap/>
            <w:vAlign w:val="center"/>
          </w:tcPr>
          <w:p w14:paraId="79F89146" w14:textId="77777777" w:rsidR="000134F9" w:rsidRPr="000134F9" w:rsidRDefault="000134F9" w:rsidP="000134F9">
            <w:pPr>
              <w:jc w:val="right"/>
              <w:rPr>
                <w:rFonts w:ascii="Arial" w:hAnsi="Arial" w:cs="Arial"/>
                <w:b/>
                <w:sz w:val="16"/>
                <w:szCs w:val="20"/>
                <w:lang w:val="en-GB"/>
              </w:rPr>
            </w:pPr>
            <w:r w:rsidRPr="000134F9">
              <w:rPr>
                <w:rFonts w:ascii="Arial" w:hAnsi="Arial" w:cs="Arial"/>
                <w:color w:val="000000"/>
                <w:sz w:val="16"/>
                <w:szCs w:val="20"/>
                <w:lang w:val="en-GB"/>
              </w:rPr>
              <w:t>3</w:t>
            </w:r>
          </w:p>
        </w:tc>
        <w:tc>
          <w:tcPr>
            <w:tcW w:w="2448" w:type="dxa"/>
            <w:tcBorders>
              <w:top w:val="single" w:sz="6" w:space="0" w:color="auto"/>
              <w:left w:val="single" w:sz="12" w:space="0" w:color="auto"/>
              <w:bottom w:val="single" w:sz="6" w:space="0" w:color="auto"/>
              <w:right w:val="single" w:sz="12" w:space="0" w:color="auto"/>
            </w:tcBorders>
            <w:vAlign w:val="center"/>
          </w:tcPr>
          <w:p w14:paraId="4FEA1128" w14:textId="77777777" w:rsidR="000134F9" w:rsidRPr="000134F9" w:rsidRDefault="000134F9" w:rsidP="000134F9">
            <w:pPr>
              <w:rPr>
                <w:rFonts w:ascii="Arial" w:hAnsi="Arial" w:cs="Arial"/>
                <w:bCs/>
                <w:sz w:val="16"/>
                <w:szCs w:val="20"/>
                <w:lang w:val="en-GB"/>
              </w:rPr>
            </w:pPr>
            <w:smartTag w:uri="urn:schemas-microsoft-com:office:smarttags" w:element="place">
              <w:smartTag w:uri="urn:schemas-microsoft-com:office:smarttags" w:element="PlaceName">
                <w:r w:rsidRPr="000134F9">
                  <w:rPr>
                    <w:rFonts w:ascii="Arial" w:hAnsi="Arial" w:cs="Arial"/>
                    <w:color w:val="000000"/>
                    <w:sz w:val="16"/>
                    <w:szCs w:val="20"/>
                    <w:lang w:val="en-GB"/>
                  </w:rPr>
                  <w:t>Marine</w:t>
                </w:r>
              </w:smartTag>
              <w:r w:rsidRPr="000134F9">
                <w:rPr>
                  <w:rFonts w:ascii="Arial" w:hAnsi="Arial" w:cs="Arial"/>
                  <w:color w:val="000000"/>
                  <w:sz w:val="16"/>
                  <w:szCs w:val="20"/>
                  <w:lang w:val="en-GB"/>
                </w:rPr>
                <w:t xml:space="preserve"> </w:t>
              </w:r>
              <w:smartTag w:uri="urn:schemas-microsoft-com:office:smarttags" w:element="PlaceType">
                <w:r w:rsidRPr="000134F9">
                  <w:rPr>
                    <w:rFonts w:ascii="Arial" w:hAnsi="Arial" w:cs="Arial"/>
                    <w:color w:val="000000"/>
                    <w:sz w:val="16"/>
                    <w:szCs w:val="20"/>
                    <w:lang w:val="en-GB"/>
                  </w:rPr>
                  <w:t>Park</w:t>
                </w:r>
              </w:smartTag>
            </w:smartTag>
          </w:p>
        </w:tc>
        <w:tc>
          <w:tcPr>
            <w:tcW w:w="1260" w:type="dxa"/>
            <w:tcBorders>
              <w:top w:val="single" w:sz="6" w:space="0" w:color="auto"/>
              <w:left w:val="single" w:sz="12" w:space="0" w:color="auto"/>
              <w:bottom w:val="single" w:sz="6" w:space="0" w:color="auto"/>
              <w:right w:val="single" w:sz="12" w:space="0" w:color="auto"/>
            </w:tcBorders>
            <w:vAlign w:val="center"/>
          </w:tcPr>
          <w:p w14:paraId="61A10691" w14:textId="77777777" w:rsidR="000134F9" w:rsidRPr="000134F9" w:rsidRDefault="000134F9" w:rsidP="000134F9">
            <w:pPr>
              <w:jc w:val="right"/>
              <w:rPr>
                <w:rFonts w:ascii="Arial" w:hAnsi="Arial" w:cs="Arial"/>
                <w:bCs/>
                <w:sz w:val="16"/>
                <w:szCs w:val="20"/>
                <w:lang w:val="en-GB"/>
              </w:rPr>
            </w:pPr>
            <w:r w:rsidRPr="000134F9">
              <w:rPr>
                <w:rFonts w:ascii="Arial" w:hAnsi="Arial" w:cs="Arial"/>
                <w:bCs/>
                <w:sz w:val="16"/>
                <w:szCs w:val="20"/>
                <w:lang w:val="en-GB"/>
              </w:rPr>
              <w:t>3</w:t>
            </w:r>
          </w:p>
        </w:tc>
        <w:tc>
          <w:tcPr>
            <w:tcW w:w="1546" w:type="dxa"/>
            <w:tcBorders>
              <w:top w:val="single" w:sz="6" w:space="0" w:color="auto"/>
              <w:left w:val="single" w:sz="12" w:space="0" w:color="auto"/>
              <w:bottom w:val="single" w:sz="6" w:space="0" w:color="auto"/>
              <w:right w:val="single" w:sz="12" w:space="0" w:color="auto"/>
            </w:tcBorders>
            <w:vAlign w:val="center"/>
          </w:tcPr>
          <w:p w14:paraId="7985DD1C" w14:textId="77777777" w:rsidR="000134F9" w:rsidRPr="000134F9" w:rsidRDefault="000134F9" w:rsidP="000134F9">
            <w:pPr>
              <w:jc w:val="center"/>
              <w:rPr>
                <w:rFonts w:ascii="Arial" w:hAnsi="Arial" w:cs="Arial"/>
                <w:bCs/>
                <w:sz w:val="16"/>
                <w:szCs w:val="20"/>
                <w:lang w:val="en-GB"/>
              </w:rPr>
            </w:pPr>
            <w:r w:rsidRPr="000134F9">
              <w:rPr>
                <w:rFonts w:ascii="Arial" w:hAnsi="Arial" w:cs="Arial"/>
                <w:bCs/>
                <w:sz w:val="16"/>
                <w:szCs w:val="20"/>
                <w:lang w:val="en-GB"/>
              </w:rPr>
              <w:t>Medium</w:t>
            </w:r>
          </w:p>
        </w:tc>
        <w:tc>
          <w:tcPr>
            <w:tcW w:w="1200" w:type="dxa"/>
            <w:tcBorders>
              <w:top w:val="single" w:sz="6" w:space="0" w:color="auto"/>
              <w:left w:val="single" w:sz="12" w:space="0" w:color="auto"/>
              <w:bottom w:val="single" w:sz="6" w:space="0" w:color="auto"/>
              <w:right w:val="single" w:sz="12" w:space="0" w:color="auto"/>
            </w:tcBorders>
            <w:vAlign w:val="center"/>
          </w:tcPr>
          <w:p w14:paraId="1F8085B7" w14:textId="77777777" w:rsidR="000134F9" w:rsidRPr="000134F9" w:rsidRDefault="000134F9" w:rsidP="000134F9">
            <w:pPr>
              <w:jc w:val="right"/>
              <w:rPr>
                <w:rFonts w:ascii="Arial" w:hAnsi="Arial" w:cs="Arial"/>
                <w:bCs/>
                <w:sz w:val="16"/>
                <w:szCs w:val="20"/>
                <w:lang w:val="en-GB"/>
              </w:rPr>
            </w:pPr>
            <w:r w:rsidRPr="000134F9">
              <w:rPr>
                <w:rFonts w:ascii="Arial" w:hAnsi="Arial" w:cs="Arial"/>
                <w:bCs/>
                <w:sz w:val="16"/>
                <w:szCs w:val="20"/>
                <w:lang w:val="en-GB"/>
              </w:rPr>
              <w:t>0</w:t>
            </w:r>
          </w:p>
        </w:tc>
      </w:tr>
      <w:tr w:rsidR="000134F9" w:rsidRPr="000134F9" w14:paraId="1774E8D3" w14:textId="77777777" w:rsidTr="000134F9">
        <w:trPr>
          <w:trHeight w:val="65"/>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4B634008"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Merchang</w:t>
            </w:r>
          </w:p>
        </w:tc>
        <w:tc>
          <w:tcPr>
            <w:tcW w:w="771" w:type="dxa"/>
            <w:tcBorders>
              <w:top w:val="single" w:sz="6" w:space="0" w:color="auto"/>
              <w:left w:val="single" w:sz="12" w:space="0" w:color="auto"/>
              <w:bottom w:val="single" w:sz="6" w:space="0" w:color="auto"/>
              <w:right w:val="single" w:sz="12" w:space="0" w:color="auto"/>
            </w:tcBorders>
            <w:noWrap/>
            <w:vAlign w:val="center"/>
          </w:tcPr>
          <w:p w14:paraId="399C4A59" w14:textId="77777777" w:rsidR="000134F9" w:rsidRPr="000134F9" w:rsidRDefault="000134F9" w:rsidP="000134F9">
            <w:pPr>
              <w:jc w:val="right"/>
              <w:rPr>
                <w:rFonts w:ascii="Arial" w:hAnsi="Arial" w:cs="Arial"/>
                <w:b/>
                <w:sz w:val="16"/>
                <w:szCs w:val="20"/>
                <w:lang w:val="en-GB"/>
              </w:rPr>
            </w:pPr>
            <w:r w:rsidRPr="000134F9">
              <w:rPr>
                <w:rFonts w:ascii="Arial" w:hAnsi="Arial" w:cs="Arial"/>
                <w:color w:val="000000"/>
                <w:sz w:val="16"/>
                <w:szCs w:val="20"/>
                <w:lang w:val="en-GB"/>
              </w:rPr>
              <w:t>2</w:t>
            </w:r>
          </w:p>
        </w:tc>
        <w:tc>
          <w:tcPr>
            <w:tcW w:w="2448" w:type="dxa"/>
            <w:tcBorders>
              <w:top w:val="single" w:sz="6" w:space="0" w:color="auto"/>
              <w:left w:val="single" w:sz="12" w:space="0" w:color="auto"/>
              <w:bottom w:val="single" w:sz="6" w:space="0" w:color="auto"/>
              <w:right w:val="single" w:sz="12" w:space="0" w:color="auto"/>
            </w:tcBorders>
            <w:vAlign w:val="center"/>
          </w:tcPr>
          <w:p w14:paraId="3BDD1133" w14:textId="77777777" w:rsidR="000134F9" w:rsidRPr="000134F9" w:rsidRDefault="000134F9" w:rsidP="000134F9">
            <w:pPr>
              <w:rPr>
                <w:rFonts w:ascii="Arial" w:hAnsi="Arial" w:cs="Arial"/>
                <w:bCs/>
                <w:sz w:val="16"/>
                <w:szCs w:val="20"/>
                <w:lang w:val="en-GB"/>
              </w:rPr>
            </w:pPr>
            <w:r w:rsidRPr="000134F9">
              <w:rPr>
                <w:rFonts w:ascii="Arial" w:hAnsi="Arial" w:cs="Arial"/>
                <w:color w:val="000000"/>
                <w:sz w:val="16"/>
                <w:szCs w:val="20"/>
                <w:lang w:val="en-GB"/>
              </w:rPr>
              <w:t>None</w:t>
            </w:r>
          </w:p>
        </w:tc>
        <w:tc>
          <w:tcPr>
            <w:tcW w:w="1260" w:type="dxa"/>
            <w:tcBorders>
              <w:top w:val="single" w:sz="6" w:space="0" w:color="auto"/>
              <w:left w:val="single" w:sz="12" w:space="0" w:color="auto"/>
              <w:bottom w:val="single" w:sz="6" w:space="0" w:color="auto"/>
              <w:right w:val="single" w:sz="12" w:space="0" w:color="auto"/>
            </w:tcBorders>
            <w:vAlign w:val="center"/>
          </w:tcPr>
          <w:p w14:paraId="2AE99557" w14:textId="77777777" w:rsidR="000134F9" w:rsidRPr="000134F9" w:rsidRDefault="000134F9" w:rsidP="000134F9">
            <w:pPr>
              <w:jc w:val="center"/>
              <w:rPr>
                <w:rFonts w:ascii="Arial" w:hAnsi="Arial" w:cs="Arial"/>
                <w:bCs/>
                <w:sz w:val="16"/>
                <w:szCs w:val="20"/>
                <w:lang w:val="en-GB"/>
              </w:rPr>
            </w:pPr>
            <w:r w:rsidRPr="000134F9">
              <w:rPr>
                <w:rFonts w:ascii="Arial" w:hAnsi="Arial" w:cs="Arial"/>
                <w:bCs/>
                <w:sz w:val="16"/>
                <w:szCs w:val="20"/>
                <w:lang w:val="en-GB"/>
              </w:rPr>
              <w:t>No</w:t>
            </w:r>
          </w:p>
        </w:tc>
        <w:tc>
          <w:tcPr>
            <w:tcW w:w="1546" w:type="dxa"/>
            <w:tcBorders>
              <w:top w:val="single" w:sz="6" w:space="0" w:color="auto"/>
              <w:left w:val="single" w:sz="12" w:space="0" w:color="auto"/>
              <w:bottom w:val="single" w:sz="6" w:space="0" w:color="auto"/>
              <w:right w:val="single" w:sz="12" w:space="0" w:color="auto"/>
            </w:tcBorders>
            <w:vAlign w:val="center"/>
          </w:tcPr>
          <w:p w14:paraId="5E12ECD7" w14:textId="77777777" w:rsidR="000134F9" w:rsidRPr="000134F9" w:rsidRDefault="000134F9" w:rsidP="000134F9">
            <w:pPr>
              <w:jc w:val="center"/>
              <w:rPr>
                <w:rFonts w:ascii="Arial" w:hAnsi="Arial" w:cs="Arial"/>
                <w:bCs/>
                <w:sz w:val="16"/>
                <w:szCs w:val="20"/>
                <w:lang w:val="en-GB"/>
              </w:rPr>
            </w:pPr>
            <w:r w:rsidRPr="000134F9">
              <w:rPr>
                <w:rFonts w:ascii="Arial" w:hAnsi="Arial" w:cs="Arial"/>
                <w:bCs/>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1714E3D4" w14:textId="77777777" w:rsidR="000134F9" w:rsidRPr="000134F9" w:rsidRDefault="000134F9" w:rsidP="000134F9">
            <w:pPr>
              <w:jc w:val="right"/>
              <w:rPr>
                <w:rFonts w:ascii="Arial" w:hAnsi="Arial" w:cs="Arial"/>
                <w:bCs/>
                <w:sz w:val="16"/>
                <w:szCs w:val="20"/>
                <w:lang w:val="en-GB"/>
              </w:rPr>
            </w:pPr>
            <w:r w:rsidRPr="000134F9">
              <w:rPr>
                <w:rFonts w:ascii="Arial" w:hAnsi="Arial" w:cs="Arial"/>
                <w:bCs/>
                <w:sz w:val="16"/>
                <w:szCs w:val="20"/>
                <w:lang w:val="en-GB"/>
              </w:rPr>
              <w:t>0</w:t>
            </w:r>
          </w:p>
        </w:tc>
      </w:tr>
      <w:tr w:rsidR="000134F9" w:rsidRPr="000134F9" w14:paraId="30FC9696" w14:textId="77777777" w:rsidTr="000134F9">
        <w:trPr>
          <w:jc w:val="center"/>
        </w:trPr>
        <w:tc>
          <w:tcPr>
            <w:tcW w:w="2516" w:type="dxa"/>
            <w:tcBorders>
              <w:top w:val="single" w:sz="6" w:space="0" w:color="auto"/>
              <w:left w:val="single" w:sz="12" w:space="0" w:color="auto"/>
              <w:bottom w:val="single" w:sz="12" w:space="0" w:color="auto"/>
              <w:right w:val="single" w:sz="12" w:space="0" w:color="auto"/>
            </w:tcBorders>
            <w:noWrap/>
            <w:vAlign w:val="center"/>
          </w:tcPr>
          <w:p w14:paraId="7B14B1F4" w14:textId="77777777" w:rsidR="000134F9" w:rsidRPr="000134F9" w:rsidRDefault="000134F9" w:rsidP="000134F9">
            <w:pPr>
              <w:jc w:val="both"/>
              <w:rPr>
                <w:rFonts w:ascii="Arial" w:hAnsi="Arial" w:cs="Arial"/>
                <w:bCs/>
                <w:sz w:val="16"/>
                <w:szCs w:val="20"/>
                <w:lang w:val="en-GB"/>
              </w:rPr>
            </w:pPr>
            <w:smartTag w:uri="urn:schemas-microsoft-com:office:smarttags" w:element="place">
              <w:smartTag w:uri="urn:schemas-microsoft-com:office:smarttags" w:element="PlaceName">
                <w:r w:rsidRPr="000134F9">
                  <w:rPr>
                    <w:rFonts w:ascii="Arial" w:hAnsi="Arial" w:cs="Arial"/>
                    <w:color w:val="000000"/>
                    <w:sz w:val="16"/>
                    <w:szCs w:val="20"/>
                    <w:lang w:val="en-GB"/>
                  </w:rPr>
                  <w:t>Tunku</w:t>
                </w:r>
              </w:smartTag>
              <w:r w:rsidRPr="000134F9">
                <w:rPr>
                  <w:rFonts w:ascii="Arial" w:hAnsi="Arial" w:cs="Arial"/>
                  <w:color w:val="000000"/>
                  <w:sz w:val="16"/>
                  <w:szCs w:val="20"/>
                  <w:lang w:val="en-GB"/>
                </w:rPr>
                <w:t xml:space="preserve"> </w:t>
              </w:r>
              <w:smartTag w:uri="urn:schemas-microsoft-com:office:smarttags" w:element="PlaceName">
                <w:r w:rsidRPr="000134F9">
                  <w:rPr>
                    <w:rFonts w:ascii="Arial" w:hAnsi="Arial" w:cs="Arial"/>
                    <w:color w:val="000000"/>
                    <w:sz w:val="16"/>
                    <w:szCs w:val="20"/>
                    <w:lang w:val="en-GB"/>
                  </w:rPr>
                  <w:t>Abdul</w:t>
                </w:r>
              </w:smartTag>
              <w:r w:rsidRPr="000134F9">
                <w:rPr>
                  <w:rFonts w:ascii="Arial" w:hAnsi="Arial" w:cs="Arial"/>
                  <w:color w:val="000000"/>
                  <w:sz w:val="16"/>
                  <w:szCs w:val="20"/>
                  <w:lang w:val="en-GB"/>
                </w:rPr>
                <w:t xml:space="preserve"> </w:t>
              </w:r>
              <w:smartTag w:uri="urn:schemas-microsoft-com:office:smarttags" w:element="PlaceName">
                <w:r w:rsidRPr="000134F9">
                  <w:rPr>
                    <w:rFonts w:ascii="Arial" w:hAnsi="Arial" w:cs="Arial"/>
                    <w:color w:val="000000"/>
                    <w:sz w:val="16"/>
                    <w:szCs w:val="20"/>
                    <w:lang w:val="en-GB"/>
                  </w:rPr>
                  <w:t>Rahman</w:t>
                </w:r>
              </w:smartTag>
              <w:r w:rsidRPr="000134F9">
                <w:rPr>
                  <w:rFonts w:ascii="Arial" w:hAnsi="Arial" w:cs="Arial"/>
                  <w:color w:val="000000"/>
                  <w:sz w:val="16"/>
                  <w:szCs w:val="20"/>
                  <w:lang w:val="en-GB"/>
                </w:rPr>
                <w:t xml:space="preserve"> </w:t>
              </w:r>
              <w:smartTag w:uri="urn:schemas-microsoft-com:office:smarttags" w:element="PlaceType">
                <w:r w:rsidRPr="000134F9">
                  <w:rPr>
                    <w:rFonts w:ascii="Arial" w:hAnsi="Arial" w:cs="Arial"/>
                    <w:color w:val="000000"/>
                    <w:sz w:val="16"/>
                    <w:szCs w:val="20"/>
                    <w:lang w:val="en-GB"/>
                  </w:rPr>
                  <w:t>Park</w:t>
                </w:r>
              </w:smartTag>
            </w:smartTag>
          </w:p>
        </w:tc>
        <w:tc>
          <w:tcPr>
            <w:tcW w:w="771" w:type="dxa"/>
            <w:tcBorders>
              <w:top w:val="single" w:sz="6" w:space="0" w:color="auto"/>
              <w:left w:val="single" w:sz="12" w:space="0" w:color="auto"/>
              <w:bottom w:val="single" w:sz="12" w:space="0" w:color="auto"/>
              <w:right w:val="single" w:sz="12" w:space="0" w:color="auto"/>
            </w:tcBorders>
            <w:noWrap/>
            <w:vAlign w:val="center"/>
          </w:tcPr>
          <w:p w14:paraId="63FBCC88" w14:textId="77777777" w:rsidR="000134F9" w:rsidRPr="000134F9" w:rsidRDefault="000134F9" w:rsidP="000134F9">
            <w:pPr>
              <w:jc w:val="right"/>
              <w:rPr>
                <w:rFonts w:ascii="Arial" w:hAnsi="Arial" w:cs="Arial"/>
                <w:b/>
                <w:sz w:val="16"/>
                <w:szCs w:val="20"/>
                <w:lang w:val="en-GB"/>
              </w:rPr>
            </w:pPr>
            <w:r w:rsidRPr="000134F9">
              <w:rPr>
                <w:rFonts w:ascii="Arial" w:hAnsi="Arial" w:cs="Arial"/>
                <w:color w:val="000000"/>
                <w:sz w:val="16"/>
                <w:szCs w:val="20"/>
                <w:lang w:val="en-GB"/>
              </w:rPr>
              <w:t>6</w:t>
            </w:r>
          </w:p>
        </w:tc>
        <w:tc>
          <w:tcPr>
            <w:tcW w:w="2448" w:type="dxa"/>
            <w:tcBorders>
              <w:top w:val="single" w:sz="6" w:space="0" w:color="auto"/>
              <w:left w:val="single" w:sz="12" w:space="0" w:color="auto"/>
              <w:bottom w:val="single" w:sz="12" w:space="0" w:color="auto"/>
              <w:right w:val="single" w:sz="12" w:space="0" w:color="auto"/>
            </w:tcBorders>
            <w:vAlign w:val="center"/>
          </w:tcPr>
          <w:p w14:paraId="4DE27704" w14:textId="77777777" w:rsidR="000134F9" w:rsidRPr="000134F9" w:rsidRDefault="000134F9" w:rsidP="000134F9">
            <w:pPr>
              <w:rPr>
                <w:rFonts w:ascii="Arial" w:hAnsi="Arial" w:cs="Arial"/>
                <w:bCs/>
                <w:sz w:val="16"/>
                <w:szCs w:val="20"/>
                <w:lang w:val="en-GB"/>
              </w:rPr>
            </w:pPr>
            <w:r w:rsidRPr="000134F9">
              <w:rPr>
                <w:rFonts w:ascii="Arial" w:hAnsi="Arial" w:cs="Arial"/>
                <w:color w:val="000000"/>
                <w:sz w:val="16"/>
                <w:szCs w:val="20"/>
                <w:lang w:val="en-GB"/>
              </w:rPr>
              <w:t>State Park</w:t>
            </w:r>
          </w:p>
        </w:tc>
        <w:tc>
          <w:tcPr>
            <w:tcW w:w="1260" w:type="dxa"/>
            <w:tcBorders>
              <w:top w:val="single" w:sz="6" w:space="0" w:color="auto"/>
              <w:left w:val="single" w:sz="12" w:space="0" w:color="auto"/>
              <w:bottom w:val="single" w:sz="12" w:space="0" w:color="auto"/>
              <w:right w:val="single" w:sz="12" w:space="0" w:color="auto"/>
            </w:tcBorders>
            <w:vAlign w:val="center"/>
          </w:tcPr>
          <w:p w14:paraId="03FCA6BA" w14:textId="77777777" w:rsidR="000134F9" w:rsidRPr="000134F9" w:rsidRDefault="000134F9" w:rsidP="000134F9">
            <w:pPr>
              <w:jc w:val="right"/>
              <w:rPr>
                <w:rFonts w:ascii="Arial" w:hAnsi="Arial" w:cs="Arial"/>
                <w:bCs/>
                <w:sz w:val="16"/>
                <w:szCs w:val="20"/>
                <w:lang w:val="en-GB"/>
              </w:rPr>
            </w:pPr>
            <w:r w:rsidRPr="000134F9">
              <w:rPr>
                <w:rFonts w:ascii="Arial" w:hAnsi="Arial" w:cs="Arial"/>
                <w:bCs/>
                <w:sz w:val="16"/>
                <w:szCs w:val="20"/>
                <w:lang w:val="en-GB"/>
              </w:rPr>
              <w:t>6</w:t>
            </w:r>
          </w:p>
        </w:tc>
        <w:tc>
          <w:tcPr>
            <w:tcW w:w="1546" w:type="dxa"/>
            <w:tcBorders>
              <w:top w:val="single" w:sz="6" w:space="0" w:color="auto"/>
              <w:left w:val="single" w:sz="12" w:space="0" w:color="auto"/>
              <w:bottom w:val="single" w:sz="12" w:space="0" w:color="auto"/>
              <w:right w:val="single" w:sz="12" w:space="0" w:color="auto"/>
            </w:tcBorders>
            <w:vAlign w:val="center"/>
          </w:tcPr>
          <w:p w14:paraId="0E94F1FC" w14:textId="77777777" w:rsidR="000134F9" w:rsidRPr="000134F9" w:rsidRDefault="000134F9" w:rsidP="000134F9">
            <w:pPr>
              <w:jc w:val="center"/>
              <w:rPr>
                <w:rFonts w:ascii="Arial" w:hAnsi="Arial" w:cs="Arial"/>
                <w:bCs/>
                <w:sz w:val="16"/>
                <w:szCs w:val="20"/>
                <w:lang w:val="en-GB"/>
              </w:rPr>
            </w:pPr>
            <w:r w:rsidRPr="000134F9">
              <w:rPr>
                <w:rFonts w:ascii="Arial" w:hAnsi="Arial" w:cs="Arial"/>
                <w:bCs/>
                <w:sz w:val="16"/>
                <w:szCs w:val="20"/>
                <w:lang w:val="en-GB"/>
              </w:rPr>
              <w:t>Medium</w:t>
            </w:r>
          </w:p>
        </w:tc>
        <w:tc>
          <w:tcPr>
            <w:tcW w:w="1200" w:type="dxa"/>
            <w:tcBorders>
              <w:top w:val="single" w:sz="6" w:space="0" w:color="auto"/>
              <w:left w:val="single" w:sz="12" w:space="0" w:color="auto"/>
              <w:bottom w:val="single" w:sz="12" w:space="0" w:color="auto"/>
              <w:right w:val="single" w:sz="12" w:space="0" w:color="auto"/>
            </w:tcBorders>
            <w:vAlign w:val="center"/>
          </w:tcPr>
          <w:p w14:paraId="0313FDCF" w14:textId="77777777" w:rsidR="000134F9" w:rsidRPr="000134F9" w:rsidRDefault="000134F9" w:rsidP="000134F9">
            <w:pPr>
              <w:jc w:val="right"/>
              <w:rPr>
                <w:rFonts w:ascii="Arial" w:hAnsi="Arial" w:cs="Arial"/>
                <w:bCs/>
                <w:sz w:val="16"/>
                <w:szCs w:val="20"/>
                <w:lang w:val="en-GB"/>
              </w:rPr>
            </w:pPr>
            <w:r w:rsidRPr="000134F9">
              <w:rPr>
                <w:rFonts w:ascii="Arial" w:hAnsi="Arial" w:cs="Arial"/>
                <w:bCs/>
                <w:sz w:val="16"/>
                <w:szCs w:val="20"/>
                <w:lang w:val="en-GB"/>
              </w:rPr>
              <w:t>0</w:t>
            </w:r>
          </w:p>
        </w:tc>
      </w:tr>
      <w:tr w:rsidR="000134F9" w:rsidRPr="000134F9" w14:paraId="4DA2F720" w14:textId="77777777" w:rsidTr="000134F9">
        <w:trPr>
          <w:jc w:val="center"/>
        </w:trPr>
        <w:tc>
          <w:tcPr>
            <w:tcW w:w="2516" w:type="dxa"/>
            <w:tcBorders>
              <w:top w:val="single" w:sz="12" w:space="0" w:color="auto"/>
              <w:left w:val="single" w:sz="12" w:space="0" w:color="auto"/>
              <w:bottom w:val="single" w:sz="6" w:space="0" w:color="auto"/>
              <w:right w:val="single" w:sz="12" w:space="0" w:color="auto"/>
            </w:tcBorders>
            <w:noWrap/>
            <w:vAlign w:val="center"/>
          </w:tcPr>
          <w:p w14:paraId="6529CEA9" w14:textId="77777777" w:rsidR="000134F9" w:rsidRPr="000134F9" w:rsidRDefault="000134F9" w:rsidP="000134F9">
            <w:pPr>
              <w:jc w:val="both"/>
              <w:rPr>
                <w:rFonts w:ascii="Arial" w:hAnsi="Arial" w:cs="Arial"/>
                <w:b/>
                <w:sz w:val="16"/>
                <w:szCs w:val="16"/>
                <w:lang w:val="en-GB"/>
              </w:rPr>
            </w:pPr>
            <w:smartTag w:uri="urn:schemas-microsoft-com:office:smarttags" w:element="place">
              <w:smartTag w:uri="urn:schemas-microsoft-com:office:smarttags" w:element="country-region">
                <w:r w:rsidRPr="000134F9">
                  <w:rPr>
                    <w:rFonts w:ascii="Arial" w:hAnsi="Arial" w:cs="Arial"/>
                    <w:b/>
                    <w:sz w:val="16"/>
                    <w:szCs w:val="16"/>
                    <w:lang w:val="en-GB"/>
                  </w:rPr>
                  <w:t>Philippines</w:t>
                </w:r>
              </w:smartTag>
            </w:smartTag>
          </w:p>
        </w:tc>
        <w:tc>
          <w:tcPr>
            <w:tcW w:w="771" w:type="dxa"/>
            <w:tcBorders>
              <w:top w:val="single" w:sz="12" w:space="0" w:color="auto"/>
              <w:left w:val="single" w:sz="12" w:space="0" w:color="auto"/>
              <w:bottom w:val="single" w:sz="6" w:space="0" w:color="auto"/>
              <w:right w:val="single" w:sz="12" w:space="0" w:color="auto"/>
            </w:tcBorders>
            <w:noWrap/>
            <w:vAlign w:val="center"/>
          </w:tcPr>
          <w:p w14:paraId="0FEA15E5" w14:textId="77777777" w:rsidR="000134F9" w:rsidRPr="000134F9" w:rsidRDefault="000134F9" w:rsidP="000134F9">
            <w:pPr>
              <w:jc w:val="right"/>
              <w:rPr>
                <w:rFonts w:ascii="Arial" w:hAnsi="Arial" w:cs="Arial"/>
                <w:b/>
                <w:sz w:val="16"/>
                <w:szCs w:val="16"/>
                <w:lang w:val="en-GB"/>
              </w:rPr>
            </w:pPr>
            <w:r w:rsidRPr="000134F9">
              <w:rPr>
                <w:rFonts w:ascii="Arial" w:hAnsi="Arial" w:cs="Arial"/>
                <w:b/>
                <w:sz w:val="16"/>
                <w:szCs w:val="16"/>
                <w:lang w:val="en-GB"/>
              </w:rPr>
              <w:t>23,245</w:t>
            </w:r>
          </w:p>
        </w:tc>
        <w:tc>
          <w:tcPr>
            <w:tcW w:w="2448" w:type="dxa"/>
            <w:tcBorders>
              <w:top w:val="single" w:sz="12" w:space="0" w:color="auto"/>
              <w:left w:val="single" w:sz="12" w:space="0" w:color="auto"/>
              <w:bottom w:val="single" w:sz="6" w:space="0" w:color="auto"/>
              <w:right w:val="single" w:sz="12" w:space="0" w:color="auto"/>
            </w:tcBorders>
            <w:vAlign w:val="center"/>
          </w:tcPr>
          <w:p w14:paraId="2256A645" w14:textId="77777777" w:rsidR="000134F9" w:rsidRPr="000134F9" w:rsidRDefault="000134F9" w:rsidP="000134F9">
            <w:pPr>
              <w:rPr>
                <w:rFonts w:ascii="Arial" w:hAnsi="Arial" w:cs="Arial"/>
                <w:b/>
                <w:sz w:val="16"/>
                <w:szCs w:val="16"/>
                <w:lang w:val="en-GB"/>
              </w:rPr>
            </w:pPr>
          </w:p>
        </w:tc>
        <w:tc>
          <w:tcPr>
            <w:tcW w:w="1260" w:type="dxa"/>
            <w:tcBorders>
              <w:top w:val="single" w:sz="12" w:space="0" w:color="auto"/>
              <w:left w:val="single" w:sz="12" w:space="0" w:color="auto"/>
              <w:bottom w:val="single" w:sz="6" w:space="0" w:color="auto"/>
              <w:right w:val="single" w:sz="6" w:space="0" w:color="auto"/>
            </w:tcBorders>
            <w:vAlign w:val="center"/>
          </w:tcPr>
          <w:p w14:paraId="713561C1" w14:textId="77777777" w:rsidR="000134F9" w:rsidRPr="000134F9" w:rsidRDefault="000134F9" w:rsidP="000134F9">
            <w:pPr>
              <w:jc w:val="right"/>
              <w:rPr>
                <w:rFonts w:ascii="Arial" w:hAnsi="Arial" w:cs="Arial"/>
                <w:b/>
                <w:sz w:val="16"/>
                <w:szCs w:val="16"/>
                <w:lang w:val="en-GB"/>
              </w:rPr>
            </w:pPr>
            <w:r w:rsidRPr="000134F9">
              <w:rPr>
                <w:rFonts w:ascii="Arial" w:hAnsi="Arial" w:cs="Arial"/>
                <w:b/>
                <w:sz w:val="16"/>
                <w:szCs w:val="16"/>
                <w:lang w:val="en-GB"/>
              </w:rPr>
              <w:t>6,641</w:t>
            </w:r>
          </w:p>
        </w:tc>
        <w:tc>
          <w:tcPr>
            <w:tcW w:w="1546" w:type="dxa"/>
            <w:tcBorders>
              <w:top w:val="single" w:sz="12" w:space="0" w:color="auto"/>
              <w:left w:val="single" w:sz="6" w:space="0" w:color="auto"/>
              <w:bottom w:val="single" w:sz="6" w:space="0" w:color="auto"/>
              <w:right w:val="single" w:sz="12" w:space="0" w:color="auto"/>
            </w:tcBorders>
            <w:vAlign w:val="center"/>
          </w:tcPr>
          <w:p w14:paraId="27F42E43" w14:textId="77777777" w:rsidR="000134F9" w:rsidRPr="000134F9" w:rsidRDefault="000134F9" w:rsidP="000134F9">
            <w:pPr>
              <w:jc w:val="center"/>
              <w:rPr>
                <w:rFonts w:ascii="Arial" w:hAnsi="Arial" w:cs="Arial"/>
                <w:bCs/>
                <w:sz w:val="16"/>
                <w:lang w:val="en-GB"/>
              </w:rPr>
            </w:pPr>
          </w:p>
        </w:tc>
        <w:tc>
          <w:tcPr>
            <w:tcW w:w="1200" w:type="dxa"/>
            <w:tcBorders>
              <w:top w:val="single" w:sz="12" w:space="0" w:color="auto"/>
              <w:left w:val="single" w:sz="12" w:space="0" w:color="auto"/>
              <w:bottom w:val="single" w:sz="6" w:space="0" w:color="auto"/>
              <w:right w:val="single" w:sz="12" w:space="0" w:color="auto"/>
            </w:tcBorders>
            <w:vAlign w:val="center"/>
          </w:tcPr>
          <w:p w14:paraId="5D9F91A3" w14:textId="77777777" w:rsidR="000134F9" w:rsidRPr="000134F9" w:rsidRDefault="000134F9" w:rsidP="000134F9">
            <w:pPr>
              <w:jc w:val="right"/>
              <w:rPr>
                <w:rFonts w:ascii="Arial" w:hAnsi="Arial" w:cs="Arial"/>
                <w:b/>
                <w:sz w:val="16"/>
                <w:szCs w:val="16"/>
                <w:lang w:val="en-GB"/>
              </w:rPr>
            </w:pPr>
            <w:r w:rsidRPr="000134F9">
              <w:rPr>
                <w:rFonts w:ascii="Arial" w:hAnsi="Arial" w:cs="Arial"/>
                <w:b/>
                <w:sz w:val="16"/>
                <w:szCs w:val="16"/>
                <w:lang w:val="en-GB"/>
              </w:rPr>
              <w:t>6,920</w:t>
            </w:r>
          </w:p>
        </w:tc>
      </w:tr>
      <w:tr w:rsidR="000134F9" w:rsidRPr="000134F9" w14:paraId="35F298CB" w14:textId="77777777" w:rsidTr="000134F9">
        <w:trPr>
          <w:trHeight w:val="65"/>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7FEF6974" w14:textId="77777777" w:rsidR="000134F9" w:rsidRPr="000134F9" w:rsidRDefault="000134F9" w:rsidP="000134F9">
            <w:pPr>
              <w:jc w:val="both"/>
              <w:rPr>
                <w:rFonts w:ascii="Arial" w:hAnsi="Arial" w:cs="Arial"/>
                <w:sz w:val="16"/>
                <w:szCs w:val="16"/>
                <w:lang w:val="en-GB"/>
              </w:rPr>
            </w:pPr>
            <w:smartTag w:uri="urn:schemas-microsoft-com:office:smarttags" w:element="place">
              <w:smartTag w:uri="urn:schemas-microsoft-com:office:smarttags" w:element="PlaceType">
                <w:r w:rsidRPr="000134F9">
                  <w:rPr>
                    <w:rFonts w:ascii="Arial" w:hAnsi="Arial" w:cs="Arial"/>
                    <w:sz w:val="16"/>
                    <w:szCs w:val="16"/>
                    <w:lang w:val="en-GB"/>
                  </w:rPr>
                  <w:t>Cape</w:t>
                </w:r>
              </w:smartTag>
              <w:r w:rsidRPr="000134F9">
                <w:rPr>
                  <w:rFonts w:ascii="Arial" w:hAnsi="Arial" w:cs="Arial"/>
                  <w:sz w:val="16"/>
                  <w:szCs w:val="16"/>
                  <w:lang w:val="en-GB"/>
                </w:rPr>
                <w:t xml:space="preserve"> </w:t>
              </w:r>
              <w:smartTag w:uri="urn:schemas-microsoft-com:office:smarttags" w:element="PlaceName">
                <w:r w:rsidRPr="000134F9">
                  <w:rPr>
                    <w:rFonts w:ascii="Arial" w:hAnsi="Arial" w:cs="Arial"/>
                    <w:sz w:val="16"/>
                    <w:szCs w:val="16"/>
                    <w:lang w:val="en-GB"/>
                  </w:rPr>
                  <w:t>Bolinao</w:t>
                </w:r>
              </w:smartTag>
            </w:smartTag>
          </w:p>
        </w:tc>
        <w:tc>
          <w:tcPr>
            <w:tcW w:w="771" w:type="dxa"/>
            <w:tcBorders>
              <w:top w:val="single" w:sz="6" w:space="0" w:color="auto"/>
              <w:left w:val="single" w:sz="12" w:space="0" w:color="auto"/>
              <w:bottom w:val="single" w:sz="6" w:space="0" w:color="auto"/>
              <w:right w:val="single" w:sz="12" w:space="0" w:color="auto"/>
            </w:tcBorders>
            <w:noWrap/>
            <w:vAlign w:val="center"/>
          </w:tcPr>
          <w:p w14:paraId="1EAD7763" w14:textId="77777777" w:rsidR="000134F9" w:rsidRPr="000134F9" w:rsidRDefault="000134F9" w:rsidP="000134F9">
            <w:pPr>
              <w:jc w:val="right"/>
              <w:rPr>
                <w:rFonts w:ascii="Arial" w:hAnsi="Arial" w:cs="Arial"/>
                <w:sz w:val="16"/>
                <w:szCs w:val="16"/>
                <w:lang w:val="en-GB"/>
              </w:rPr>
            </w:pPr>
            <w:r w:rsidRPr="000134F9">
              <w:rPr>
                <w:rFonts w:ascii="Arial" w:hAnsi="Arial" w:cs="Arial"/>
                <w:sz w:val="16"/>
                <w:szCs w:val="16"/>
                <w:lang w:val="en-GB"/>
              </w:rPr>
              <w:t>22,400</w:t>
            </w:r>
          </w:p>
        </w:tc>
        <w:tc>
          <w:tcPr>
            <w:tcW w:w="2448" w:type="dxa"/>
            <w:tcBorders>
              <w:top w:val="single" w:sz="6" w:space="0" w:color="auto"/>
              <w:left w:val="single" w:sz="12" w:space="0" w:color="auto"/>
              <w:bottom w:val="single" w:sz="6" w:space="0" w:color="auto"/>
              <w:right w:val="single" w:sz="12" w:space="0" w:color="auto"/>
            </w:tcBorders>
            <w:vAlign w:val="center"/>
          </w:tcPr>
          <w:p w14:paraId="7FC9C855" w14:textId="77777777" w:rsidR="000134F9" w:rsidRPr="000134F9" w:rsidRDefault="000134F9" w:rsidP="000134F9">
            <w:pPr>
              <w:rPr>
                <w:rFonts w:ascii="Arial" w:hAnsi="Arial" w:cs="Arial"/>
                <w:sz w:val="14"/>
                <w:szCs w:val="14"/>
                <w:lang w:val="en-GB"/>
              </w:rPr>
            </w:pPr>
            <w:r w:rsidRPr="000134F9">
              <w:rPr>
                <w:rFonts w:ascii="Arial" w:hAnsi="Arial" w:cs="Arial"/>
                <w:sz w:val="14"/>
                <w:szCs w:val="14"/>
                <w:lang w:val="en-GB"/>
              </w:rPr>
              <w:t>Environmentally Critical Area - MPA</w:t>
            </w:r>
          </w:p>
        </w:tc>
        <w:tc>
          <w:tcPr>
            <w:tcW w:w="1260" w:type="dxa"/>
            <w:tcBorders>
              <w:top w:val="single" w:sz="6" w:space="0" w:color="auto"/>
              <w:left w:val="single" w:sz="12" w:space="0" w:color="auto"/>
              <w:bottom w:val="single" w:sz="6" w:space="0" w:color="auto"/>
              <w:right w:val="single" w:sz="6" w:space="0" w:color="auto"/>
            </w:tcBorders>
            <w:vAlign w:val="center"/>
          </w:tcPr>
          <w:p w14:paraId="7B176DFF" w14:textId="77777777" w:rsidR="000134F9" w:rsidRPr="000134F9" w:rsidRDefault="000134F9" w:rsidP="000134F9">
            <w:pPr>
              <w:jc w:val="right"/>
              <w:rPr>
                <w:rFonts w:ascii="Arial" w:hAnsi="Arial" w:cs="Arial"/>
                <w:sz w:val="16"/>
                <w:szCs w:val="16"/>
                <w:lang w:val="en-GB"/>
              </w:rPr>
            </w:pPr>
            <w:r w:rsidRPr="000134F9">
              <w:rPr>
                <w:rFonts w:ascii="Arial" w:hAnsi="Arial" w:cs="Arial"/>
                <w:sz w:val="16"/>
                <w:szCs w:val="16"/>
                <w:lang w:val="en-GB"/>
              </w:rPr>
              <w:t>6,000</w:t>
            </w:r>
          </w:p>
        </w:tc>
        <w:tc>
          <w:tcPr>
            <w:tcW w:w="1546" w:type="dxa"/>
            <w:tcBorders>
              <w:top w:val="single" w:sz="6" w:space="0" w:color="auto"/>
              <w:left w:val="single" w:sz="6" w:space="0" w:color="auto"/>
              <w:bottom w:val="single" w:sz="6" w:space="0" w:color="auto"/>
              <w:right w:val="single" w:sz="12" w:space="0" w:color="auto"/>
            </w:tcBorders>
            <w:vAlign w:val="center"/>
          </w:tcPr>
          <w:p w14:paraId="4CE3B90F" w14:textId="77777777" w:rsidR="000134F9" w:rsidRPr="000134F9" w:rsidRDefault="000134F9" w:rsidP="000134F9">
            <w:pPr>
              <w:jc w:val="center"/>
              <w:rPr>
                <w:rFonts w:ascii="Arial" w:hAnsi="Arial" w:cs="Arial"/>
                <w:sz w:val="16"/>
                <w:szCs w:val="16"/>
                <w:lang w:val="en-GB"/>
              </w:rPr>
            </w:pPr>
            <w:r w:rsidRPr="000134F9">
              <w:rPr>
                <w:rFonts w:ascii="Arial" w:hAnsi="Arial" w:cs="Arial"/>
                <w:sz w:val="16"/>
                <w:szCs w:val="16"/>
                <w:lang w:val="en-GB"/>
              </w:rPr>
              <w:t>Medium</w:t>
            </w:r>
          </w:p>
        </w:tc>
        <w:tc>
          <w:tcPr>
            <w:tcW w:w="1200" w:type="dxa"/>
            <w:tcBorders>
              <w:top w:val="single" w:sz="6" w:space="0" w:color="auto"/>
              <w:left w:val="single" w:sz="12" w:space="0" w:color="auto"/>
              <w:bottom w:val="single" w:sz="6" w:space="0" w:color="auto"/>
              <w:right w:val="single" w:sz="12" w:space="0" w:color="auto"/>
            </w:tcBorders>
            <w:vAlign w:val="center"/>
          </w:tcPr>
          <w:p w14:paraId="573F642B" w14:textId="77777777" w:rsidR="000134F9" w:rsidRPr="000134F9" w:rsidRDefault="000134F9" w:rsidP="000134F9">
            <w:pPr>
              <w:jc w:val="right"/>
              <w:rPr>
                <w:rFonts w:ascii="Arial" w:hAnsi="Arial" w:cs="Arial"/>
                <w:sz w:val="16"/>
                <w:szCs w:val="16"/>
                <w:lang w:val="en-GB"/>
              </w:rPr>
            </w:pPr>
            <w:r w:rsidRPr="000134F9">
              <w:rPr>
                <w:rFonts w:ascii="Arial" w:hAnsi="Arial" w:cs="Arial"/>
                <w:sz w:val="16"/>
                <w:szCs w:val="16"/>
                <w:lang w:val="en-GB"/>
              </w:rPr>
              <w:t>6,720</w:t>
            </w:r>
          </w:p>
        </w:tc>
      </w:tr>
      <w:tr w:rsidR="000134F9" w:rsidRPr="000134F9" w14:paraId="2E998DEE" w14:textId="77777777" w:rsidTr="000134F9">
        <w:trPr>
          <w:trHeight w:val="65"/>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36DC6F0D" w14:textId="77777777" w:rsidR="000134F9" w:rsidRPr="000134F9" w:rsidRDefault="000134F9" w:rsidP="000134F9">
            <w:pPr>
              <w:jc w:val="both"/>
              <w:rPr>
                <w:rFonts w:ascii="Arial" w:hAnsi="Arial" w:cs="Arial"/>
                <w:sz w:val="16"/>
                <w:szCs w:val="16"/>
                <w:lang w:val="en-GB"/>
              </w:rPr>
            </w:pPr>
            <w:r w:rsidRPr="000134F9">
              <w:rPr>
                <w:rFonts w:ascii="Arial" w:hAnsi="Arial" w:cs="Arial"/>
                <w:sz w:val="16"/>
                <w:szCs w:val="16"/>
                <w:lang w:val="en-GB"/>
              </w:rPr>
              <w:t>Puerto Galera</w:t>
            </w:r>
          </w:p>
        </w:tc>
        <w:tc>
          <w:tcPr>
            <w:tcW w:w="771" w:type="dxa"/>
            <w:tcBorders>
              <w:top w:val="single" w:sz="6" w:space="0" w:color="auto"/>
              <w:left w:val="single" w:sz="12" w:space="0" w:color="auto"/>
              <w:bottom w:val="single" w:sz="6" w:space="0" w:color="auto"/>
              <w:right w:val="single" w:sz="12" w:space="0" w:color="auto"/>
            </w:tcBorders>
            <w:noWrap/>
            <w:vAlign w:val="center"/>
          </w:tcPr>
          <w:p w14:paraId="419D0E41" w14:textId="77777777" w:rsidR="000134F9" w:rsidRPr="000134F9" w:rsidRDefault="000134F9" w:rsidP="000134F9">
            <w:pPr>
              <w:jc w:val="right"/>
              <w:rPr>
                <w:rFonts w:ascii="Arial" w:hAnsi="Arial" w:cs="Arial"/>
                <w:sz w:val="16"/>
                <w:szCs w:val="16"/>
                <w:lang w:val="en-GB"/>
              </w:rPr>
            </w:pPr>
            <w:r w:rsidRPr="000134F9">
              <w:rPr>
                <w:rFonts w:ascii="Arial" w:hAnsi="Arial" w:cs="Arial"/>
                <w:sz w:val="16"/>
                <w:szCs w:val="16"/>
                <w:lang w:val="en-GB"/>
              </w:rPr>
              <w:t>114</w:t>
            </w:r>
          </w:p>
        </w:tc>
        <w:tc>
          <w:tcPr>
            <w:tcW w:w="2448" w:type="dxa"/>
            <w:tcBorders>
              <w:top w:val="single" w:sz="6" w:space="0" w:color="auto"/>
              <w:left w:val="single" w:sz="12" w:space="0" w:color="auto"/>
              <w:bottom w:val="single" w:sz="6" w:space="0" w:color="auto"/>
              <w:right w:val="single" w:sz="12" w:space="0" w:color="auto"/>
            </w:tcBorders>
            <w:vAlign w:val="center"/>
          </w:tcPr>
          <w:p w14:paraId="4138A6DC" w14:textId="77777777" w:rsidR="000134F9" w:rsidRPr="000134F9" w:rsidRDefault="000134F9" w:rsidP="000134F9">
            <w:pPr>
              <w:rPr>
                <w:rFonts w:ascii="Arial" w:hAnsi="Arial" w:cs="Arial"/>
                <w:sz w:val="14"/>
                <w:szCs w:val="14"/>
                <w:lang w:val="en-GB"/>
              </w:rPr>
            </w:pPr>
            <w:r w:rsidRPr="000134F9">
              <w:rPr>
                <w:rFonts w:ascii="Arial" w:hAnsi="Arial" w:cs="Arial"/>
                <w:sz w:val="14"/>
                <w:szCs w:val="14"/>
                <w:lang w:val="en-GB"/>
              </w:rPr>
              <w:t>Fish sanctuary part of the Man and Biosphere reserve/</w:t>
            </w:r>
          </w:p>
        </w:tc>
        <w:tc>
          <w:tcPr>
            <w:tcW w:w="1260" w:type="dxa"/>
            <w:tcBorders>
              <w:top w:val="single" w:sz="6" w:space="0" w:color="auto"/>
              <w:left w:val="single" w:sz="12" w:space="0" w:color="auto"/>
              <w:bottom w:val="single" w:sz="6" w:space="0" w:color="auto"/>
              <w:right w:val="single" w:sz="6" w:space="0" w:color="auto"/>
            </w:tcBorders>
            <w:vAlign w:val="center"/>
          </w:tcPr>
          <w:p w14:paraId="35661832" w14:textId="77777777" w:rsidR="000134F9" w:rsidRPr="000134F9" w:rsidRDefault="000134F9" w:rsidP="000134F9">
            <w:pPr>
              <w:jc w:val="right"/>
              <w:rPr>
                <w:rFonts w:ascii="Arial" w:hAnsi="Arial" w:cs="Arial"/>
                <w:sz w:val="16"/>
                <w:szCs w:val="16"/>
                <w:lang w:val="en-GB"/>
              </w:rPr>
            </w:pPr>
            <w:r w:rsidRPr="000134F9">
              <w:rPr>
                <w:rFonts w:ascii="Arial" w:hAnsi="Arial" w:cs="Arial"/>
                <w:sz w:val="16"/>
                <w:szCs w:val="16"/>
                <w:lang w:val="en-GB"/>
              </w:rPr>
              <w:t>60</w:t>
            </w:r>
          </w:p>
        </w:tc>
        <w:tc>
          <w:tcPr>
            <w:tcW w:w="1546" w:type="dxa"/>
            <w:tcBorders>
              <w:top w:val="single" w:sz="6" w:space="0" w:color="auto"/>
              <w:left w:val="single" w:sz="6" w:space="0" w:color="auto"/>
              <w:bottom w:val="single" w:sz="6" w:space="0" w:color="auto"/>
              <w:right w:val="single" w:sz="12" w:space="0" w:color="auto"/>
            </w:tcBorders>
            <w:vAlign w:val="center"/>
          </w:tcPr>
          <w:p w14:paraId="28BAFA93" w14:textId="77777777" w:rsidR="000134F9" w:rsidRPr="000134F9" w:rsidRDefault="000134F9" w:rsidP="000134F9">
            <w:pPr>
              <w:jc w:val="center"/>
              <w:rPr>
                <w:rFonts w:ascii="Arial" w:hAnsi="Arial" w:cs="Arial"/>
                <w:sz w:val="16"/>
                <w:szCs w:val="16"/>
                <w:lang w:val="en-GB"/>
              </w:rPr>
            </w:pPr>
            <w:r w:rsidRPr="000134F9">
              <w:rPr>
                <w:rFonts w:ascii="Arial" w:hAnsi="Arial" w:cs="Arial"/>
                <w:sz w:val="16"/>
                <w:szCs w:val="16"/>
                <w:lang w:val="en-GB"/>
              </w:rPr>
              <w:t>Low/Medium</w:t>
            </w:r>
          </w:p>
        </w:tc>
        <w:tc>
          <w:tcPr>
            <w:tcW w:w="1200" w:type="dxa"/>
            <w:tcBorders>
              <w:top w:val="single" w:sz="6" w:space="0" w:color="auto"/>
              <w:left w:val="single" w:sz="12" w:space="0" w:color="auto"/>
              <w:bottom w:val="single" w:sz="6" w:space="0" w:color="auto"/>
              <w:right w:val="single" w:sz="12" w:space="0" w:color="auto"/>
            </w:tcBorders>
            <w:vAlign w:val="center"/>
          </w:tcPr>
          <w:p w14:paraId="282BAD06" w14:textId="77777777" w:rsidR="000134F9" w:rsidRPr="000134F9" w:rsidRDefault="000134F9" w:rsidP="000134F9">
            <w:pPr>
              <w:jc w:val="right"/>
              <w:rPr>
                <w:rFonts w:ascii="Arial" w:hAnsi="Arial" w:cs="Arial"/>
                <w:sz w:val="16"/>
                <w:szCs w:val="16"/>
                <w:lang w:val="en-GB"/>
              </w:rPr>
            </w:pPr>
            <w:r w:rsidRPr="000134F9">
              <w:rPr>
                <w:rFonts w:ascii="Arial" w:hAnsi="Arial" w:cs="Arial"/>
                <w:sz w:val="16"/>
                <w:szCs w:val="16"/>
                <w:lang w:val="en-GB"/>
              </w:rPr>
              <w:t>50</w:t>
            </w:r>
          </w:p>
        </w:tc>
      </w:tr>
      <w:tr w:rsidR="000134F9" w:rsidRPr="000134F9" w14:paraId="7D324D31" w14:textId="77777777" w:rsidTr="000134F9">
        <w:trPr>
          <w:trHeight w:val="65"/>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53E6B9A1" w14:textId="77777777" w:rsidR="000134F9" w:rsidRPr="000134F9" w:rsidRDefault="000134F9" w:rsidP="000134F9">
            <w:pPr>
              <w:jc w:val="both"/>
              <w:rPr>
                <w:rFonts w:ascii="Arial" w:hAnsi="Arial" w:cs="Arial"/>
                <w:sz w:val="16"/>
                <w:szCs w:val="16"/>
                <w:lang w:val="en-GB"/>
              </w:rPr>
            </w:pPr>
            <w:smartTag w:uri="urn:schemas-microsoft-com:office:smarttags" w:element="place">
              <w:smartTag w:uri="urn:schemas-microsoft-com:office:smarttags" w:element="PlaceName">
                <w:r w:rsidRPr="000134F9">
                  <w:rPr>
                    <w:rFonts w:ascii="Arial" w:hAnsi="Arial" w:cs="Arial"/>
                    <w:sz w:val="16"/>
                    <w:szCs w:val="16"/>
                    <w:lang w:val="en-GB"/>
                  </w:rPr>
                  <w:t>Ulugan</w:t>
                </w:r>
              </w:smartTag>
              <w:r w:rsidRPr="000134F9">
                <w:rPr>
                  <w:rFonts w:ascii="Arial" w:hAnsi="Arial" w:cs="Arial"/>
                  <w:sz w:val="16"/>
                  <w:szCs w:val="16"/>
                  <w:lang w:val="en-GB"/>
                </w:rPr>
                <w:t xml:space="preserve"> </w:t>
              </w:r>
              <w:smartTag w:uri="urn:schemas-microsoft-com:office:smarttags" w:element="PlaceType">
                <w:r w:rsidRPr="000134F9">
                  <w:rPr>
                    <w:rFonts w:ascii="Arial" w:hAnsi="Arial" w:cs="Arial"/>
                    <w:sz w:val="16"/>
                    <w:szCs w:val="16"/>
                    <w:lang w:val="en-GB"/>
                  </w:rPr>
                  <w:t>Bay</w:t>
                </w:r>
              </w:smartTag>
            </w:smartTag>
          </w:p>
        </w:tc>
        <w:tc>
          <w:tcPr>
            <w:tcW w:w="771" w:type="dxa"/>
            <w:tcBorders>
              <w:top w:val="single" w:sz="6" w:space="0" w:color="auto"/>
              <w:left w:val="single" w:sz="12" w:space="0" w:color="auto"/>
              <w:bottom w:val="single" w:sz="6" w:space="0" w:color="auto"/>
              <w:right w:val="single" w:sz="12" w:space="0" w:color="auto"/>
            </w:tcBorders>
            <w:noWrap/>
            <w:vAlign w:val="center"/>
          </w:tcPr>
          <w:p w14:paraId="556C2AFB" w14:textId="77777777" w:rsidR="000134F9" w:rsidRPr="000134F9" w:rsidRDefault="000134F9" w:rsidP="000134F9">
            <w:pPr>
              <w:jc w:val="right"/>
              <w:rPr>
                <w:rFonts w:ascii="Arial" w:hAnsi="Arial" w:cs="Arial"/>
                <w:sz w:val="16"/>
                <w:szCs w:val="16"/>
                <w:lang w:val="en-GB"/>
              </w:rPr>
            </w:pPr>
            <w:r w:rsidRPr="000134F9">
              <w:rPr>
                <w:rFonts w:ascii="Arial" w:hAnsi="Arial" w:cs="Arial"/>
                <w:sz w:val="16"/>
                <w:szCs w:val="16"/>
                <w:lang w:val="en-GB"/>
              </w:rPr>
              <w:t>11</w:t>
            </w:r>
          </w:p>
        </w:tc>
        <w:tc>
          <w:tcPr>
            <w:tcW w:w="2448" w:type="dxa"/>
            <w:tcBorders>
              <w:top w:val="single" w:sz="6" w:space="0" w:color="auto"/>
              <w:left w:val="single" w:sz="12" w:space="0" w:color="auto"/>
              <w:bottom w:val="single" w:sz="6" w:space="0" w:color="auto"/>
              <w:right w:val="single" w:sz="12" w:space="0" w:color="auto"/>
            </w:tcBorders>
            <w:vAlign w:val="center"/>
          </w:tcPr>
          <w:p w14:paraId="31B9C2B1" w14:textId="77777777" w:rsidR="000134F9" w:rsidRPr="000134F9" w:rsidRDefault="000134F9" w:rsidP="000134F9">
            <w:pPr>
              <w:rPr>
                <w:rFonts w:ascii="Arial" w:hAnsi="Arial" w:cs="Arial"/>
                <w:sz w:val="14"/>
                <w:szCs w:val="14"/>
                <w:lang w:val="en-GB"/>
              </w:rPr>
            </w:pPr>
            <w:r w:rsidRPr="000134F9">
              <w:rPr>
                <w:rFonts w:ascii="Arial" w:hAnsi="Arial" w:cs="Arial"/>
                <w:sz w:val="14"/>
                <w:szCs w:val="14"/>
                <w:lang w:val="en-GB"/>
              </w:rPr>
              <w:t>Fish sanctuary part of the Man and Biosphere reserve/</w:t>
            </w:r>
          </w:p>
        </w:tc>
        <w:tc>
          <w:tcPr>
            <w:tcW w:w="1260" w:type="dxa"/>
            <w:tcBorders>
              <w:top w:val="single" w:sz="6" w:space="0" w:color="auto"/>
              <w:left w:val="single" w:sz="12" w:space="0" w:color="auto"/>
              <w:bottom w:val="single" w:sz="6" w:space="0" w:color="auto"/>
              <w:right w:val="single" w:sz="6" w:space="0" w:color="auto"/>
            </w:tcBorders>
            <w:vAlign w:val="center"/>
          </w:tcPr>
          <w:p w14:paraId="3E6EBC2B" w14:textId="77777777" w:rsidR="000134F9" w:rsidRPr="000134F9" w:rsidRDefault="000134F9" w:rsidP="000134F9">
            <w:pPr>
              <w:jc w:val="right"/>
              <w:rPr>
                <w:rFonts w:ascii="Arial" w:hAnsi="Arial" w:cs="Arial"/>
                <w:sz w:val="16"/>
                <w:szCs w:val="16"/>
                <w:lang w:val="en-GB"/>
              </w:rPr>
            </w:pPr>
            <w:r w:rsidRPr="000134F9">
              <w:rPr>
                <w:rFonts w:ascii="Arial" w:hAnsi="Arial" w:cs="Arial"/>
                <w:sz w:val="16"/>
                <w:szCs w:val="16"/>
                <w:lang w:val="en-GB"/>
              </w:rPr>
              <w:t>11</w:t>
            </w:r>
          </w:p>
        </w:tc>
        <w:tc>
          <w:tcPr>
            <w:tcW w:w="1546" w:type="dxa"/>
            <w:tcBorders>
              <w:top w:val="single" w:sz="6" w:space="0" w:color="auto"/>
              <w:left w:val="single" w:sz="6" w:space="0" w:color="auto"/>
              <w:bottom w:val="single" w:sz="6" w:space="0" w:color="auto"/>
              <w:right w:val="single" w:sz="12" w:space="0" w:color="auto"/>
            </w:tcBorders>
            <w:vAlign w:val="center"/>
          </w:tcPr>
          <w:p w14:paraId="39359C7B" w14:textId="77777777" w:rsidR="000134F9" w:rsidRPr="000134F9" w:rsidRDefault="000134F9" w:rsidP="000134F9">
            <w:pPr>
              <w:jc w:val="center"/>
              <w:rPr>
                <w:rFonts w:ascii="Arial" w:hAnsi="Arial" w:cs="Arial"/>
                <w:sz w:val="16"/>
                <w:szCs w:val="16"/>
                <w:lang w:val="en-GB"/>
              </w:rPr>
            </w:pPr>
            <w:r w:rsidRPr="000134F9">
              <w:rPr>
                <w:rFonts w:ascii="Arial" w:hAnsi="Arial" w:cs="Arial"/>
                <w:sz w:val="16"/>
                <w:szCs w:val="16"/>
                <w:lang w:val="en-GB"/>
              </w:rPr>
              <w:t>Medium</w:t>
            </w:r>
          </w:p>
        </w:tc>
        <w:tc>
          <w:tcPr>
            <w:tcW w:w="1200" w:type="dxa"/>
            <w:tcBorders>
              <w:top w:val="single" w:sz="6" w:space="0" w:color="auto"/>
              <w:left w:val="single" w:sz="12" w:space="0" w:color="auto"/>
              <w:bottom w:val="single" w:sz="6" w:space="0" w:color="auto"/>
              <w:right w:val="single" w:sz="12" w:space="0" w:color="auto"/>
            </w:tcBorders>
            <w:vAlign w:val="center"/>
          </w:tcPr>
          <w:p w14:paraId="58C0F2DF" w14:textId="77777777" w:rsidR="000134F9" w:rsidRPr="000134F9" w:rsidRDefault="000134F9" w:rsidP="000134F9">
            <w:pPr>
              <w:jc w:val="right"/>
              <w:rPr>
                <w:rFonts w:ascii="Arial" w:hAnsi="Arial" w:cs="Arial"/>
                <w:sz w:val="16"/>
                <w:szCs w:val="16"/>
                <w:lang w:val="en-GB"/>
              </w:rPr>
            </w:pPr>
            <w:r w:rsidRPr="000134F9">
              <w:rPr>
                <w:rFonts w:ascii="Arial" w:hAnsi="Arial" w:cs="Arial"/>
                <w:sz w:val="16"/>
                <w:szCs w:val="16"/>
                <w:lang w:val="en-GB"/>
              </w:rPr>
              <w:t>0</w:t>
            </w:r>
          </w:p>
        </w:tc>
      </w:tr>
      <w:tr w:rsidR="000134F9" w:rsidRPr="000134F9" w14:paraId="7AB6200C" w14:textId="77777777" w:rsidTr="000134F9">
        <w:trPr>
          <w:trHeight w:val="65"/>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0DC85E7E" w14:textId="77777777" w:rsidR="000134F9" w:rsidRPr="000134F9" w:rsidRDefault="000134F9" w:rsidP="000134F9">
            <w:pPr>
              <w:jc w:val="both"/>
              <w:rPr>
                <w:rFonts w:ascii="Arial" w:hAnsi="Arial" w:cs="Arial"/>
                <w:sz w:val="16"/>
                <w:szCs w:val="16"/>
                <w:lang w:val="en-GB"/>
              </w:rPr>
            </w:pPr>
            <w:r w:rsidRPr="000134F9">
              <w:rPr>
                <w:rFonts w:ascii="Arial" w:hAnsi="Arial" w:cs="Arial"/>
                <w:sz w:val="16"/>
                <w:szCs w:val="16"/>
                <w:lang w:val="en-GB"/>
              </w:rPr>
              <w:t>Honda Bay</w:t>
            </w:r>
          </w:p>
        </w:tc>
        <w:tc>
          <w:tcPr>
            <w:tcW w:w="771" w:type="dxa"/>
            <w:tcBorders>
              <w:top w:val="single" w:sz="6" w:space="0" w:color="auto"/>
              <w:left w:val="single" w:sz="12" w:space="0" w:color="auto"/>
              <w:bottom w:val="single" w:sz="6" w:space="0" w:color="auto"/>
              <w:right w:val="single" w:sz="12" w:space="0" w:color="auto"/>
            </w:tcBorders>
            <w:noWrap/>
            <w:vAlign w:val="center"/>
          </w:tcPr>
          <w:p w14:paraId="5ADDCDD5" w14:textId="77777777" w:rsidR="000134F9" w:rsidRPr="000134F9" w:rsidRDefault="000134F9" w:rsidP="000134F9">
            <w:pPr>
              <w:jc w:val="right"/>
              <w:rPr>
                <w:rFonts w:ascii="Arial" w:hAnsi="Arial" w:cs="Arial"/>
                <w:sz w:val="16"/>
                <w:szCs w:val="16"/>
                <w:lang w:val="en-GB"/>
              </w:rPr>
            </w:pPr>
            <w:r w:rsidRPr="000134F9">
              <w:rPr>
                <w:rFonts w:ascii="Arial" w:hAnsi="Arial" w:cs="Arial"/>
                <w:sz w:val="16"/>
                <w:szCs w:val="16"/>
                <w:lang w:val="en-GB"/>
              </w:rPr>
              <w:t>470</w:t>
            </w:r>
          </w:p>
        </w:tc>
        <w:tc>
          <w:tcPr>
            <w:tcW w:w="2448" w:type="dxa"/>
            <w:tcBorders>
              <w:top w:val="single" w:sz="6" w:space="0" w:color="auto"/>
              <w:left w:val="single" w:sz="12" w:space="0" w:color="auto"/>
              <w:bottom w:val="single" w:sz="6" w:space="0" w:color="auto"/>
              <w:right w:val="single" w:sz="12" w:space="0" w:color="auto"/>
            </w:tcBorders>
            <w:vAlign w:val="center"/>
          </w:tcPr>
          <w:p w14:paraId="0A2E37DA" w14:textId="77777777" w:rsidR="000134F9" w:rsidRPr="000134F9" w:rsidRDefault="000134F9" w:rsidP="000134F9">
            <w:pPr>
              <w:rPr>
                <w:rFonts w:ascii="Arial" w:hAnsi="Arial" w:cs="Arial"/>
                <w:sz w:val="14"/>
                <w:szCs w:val="14"/>
                <w:lang w:val="en-GB"/>
              </w:rPr>
            </w:pPr>
            <w:r w:rsidRPr="000134F9">
              <w:rPr>
                <w:rFonts w:ascii="Arial" w:hAnsi="Arial" w:cs="Arial"/>
                <w:sz w:val="14"/>
                <w:szCs w:val="14"/>
                <w:lang w:val="en-GB"/>
              </w:rPr>
              <w:t>Fish Sanctuary part of the Man and Biosphere reserve/</w:t>
            </w:r>
          </w:p>
        </w:tc>
        <w:tc>
          <w:tcPr>
            <w:tcW w:w="1260" w:type="dxa"/>
            <w:tcBorders>
              <w:top w:val="single" w:sz="6" w:space="0" w:color="auto"/>
              <w:left w:val="single" w:sz="12" w:space="0" w:color="auto"/>
              <w:bottom w:val="single" w:sz="6" w:space="0" w:color="auto"/>
              <w:right w:val="single" w:sz="6" w:space="0" w:color="auto"/>
            </w:tcBorders>
            <w:vAlign w:val="center"/>
          </w:tcPr>
          <w:p w14:paraId="2A216703" w14:textId="77777777" w:rsidR="000134F9" w:rsidRPr="000134F9" w:rsidRDefault="000134F9" w:rsidP="000134F9">
            <w:pPr>
              <w:jc w:val="right"/>
              <w:rPr>
                <w:rFonts w:ascii="Arial" w:hAnsi="Arial" w:cs="Arial"/>
                <w:sz w:val="16"/>
                <w:szCs w:val="16"/>
                <w:lang w:val="en-GB"/>
              </w:rPr>
            </w:pPr>
            <w:r w:rsidRPr="000134F9">
              <w:rPr>
                <w:rFonts w:ascii="Arial" w:hAnsi="Arial" w:cs="Arial"/>
                <w:sz w:val="16"/>
                <w:szCs w:val="16"/>
                <w:lang w:val="en-GB"/>
              </w:rPr>
              <w:t>320</w:t>
            </w:r>
          </w:p>
        </w:tc>
        <w:tc>
          <w:tcPr>
            <w:tcW w:w="1546" w:type="dxa"/>
            <w:tcBorders>
              <w:top w:val="single" w:sz="6" w:space="0" w:color="auto"/>
              <w:left w:val="single" w:sz="6" w:space="0" w:color="auto"/>
              <w:bottom w:val="single" w:sz="6" w:space="0" w:color="auto"/>
              <w:right w:val="single" w:sz="12" w:space="0" w:color="auto"/>
            </w:tcBorders>
            <w:vAlign w:val="center"/>
          </w:tcPr>
          <w:p w14:paraId="5E799622" w14:textId="77777777" w:rsidR="000134F9" w:rsidRPr="000134F9" w:rsidRDefault="000134F9" w:rsidP="000134F9">
            <w:pPr>
              <w:jc w:val="center"/>
              <w:rPr>
                <w:rFonts w:ascii="Arial" w:hAnsi="Arial" w:cs="Arial"/>
                <w:sz w:val="16"/>
                <w:szCs w:val="16"/>
                <w:lang w:val="en-GB"/>
              </w:rPr>
            </w:pPr>
            <w:r w:rsidRPr="000134F9">
              <w:rPr>
                <w:rFonts w:ascii="Arial" w:hAnsi="Arial" w:cs="Arial"/>
                <w:sz w:val="16"/>
                <w:szCs w:val="16"/>
                <w:lang w:val="en-GB"/>
              </w:rPr>
              <w:t>Medium</w:t>
            </w:r>
          </w:p>
        </w:tc>
        <w:tc>
          <w:tcPr>
            <w:tcW w:w="1200" w:type="dxa"/>
            <w:tcBorders>
              <w:top w:val="single" w:sz="6" w:space="0" w:color="auto"/>
              <w:left w:val="single" w:sz="12" w:space="0" w:color="auto"/>
              <w:bottom w:val="single" w:sz="6" w:space="0" w:color="auto"/>
              <w:right w:val="single" w:sz="12" w:space="0" w:color="auto"/>
            </w:tcBorders>
            <w:vAlign w:val="center"/>
          </w:tcPr>
          <w:p w14:paraId="79819175" w14:textId="77777777" w:rsidR="000134F9" w:rsidRPr="000134F9" w:rsidRDefault="000134F9" w:rsidP="000134F9">
            <w:pPr>
              <w:jc w:val="right"/>
              <w:rPr>
                <w:rFonts w:ascii="Arial" w:hAnsi="Arial" w:cs="Arial"/>
                <w:sz w:val="16"/>
                <w:szCs w:val="16"/>
                <w:lang w:val="en-GB"/>
              </w:rPr>
            </w:pPr>
            <w:r w:rsidRPr="000134F9">
              <w:rPr>
                <w:rFonts w:ascii="Arial" w:hAnsi="Arial" w:cs="Arial"/>
                <w:sz w:val="16"/>
                <w:szCs w:val="16"/>
                <w:lang w:val="en-GB"/>
              </w:rPr>
              <w:t>150</w:t>
            </w:r>
          </w:p>
        </w:tc>
      </w:tr>
      <w:tr w:rsidR="000134F9" w:rsidRPr="000134F9" w14:paraId="6D196695" w14:textId="77777777" w:rsidTr="000134F9">
        <w:trPr>
          <w:trHeight w:val="65"/>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37F877F4" w14:textId="77777777" w:rsidR="000134F9" w:rsidRPr="000134F9" w:rsidRDefault="000134F9" w:rsidP="000134F9">
            <w:pPr>
              <w:jc w:val="both"/>
              <w:rPr>
                <w:rFonts w:ascii="Arial" w:hAnsi="Arial" w:cs="Arial"/>
                <w:sz w:val="16"/>
                <w:szCs w:val="16"/>
                <w:lang w:val="en-GB"/>
              </w:rPr>
            </w:pPr>
            <w:r w:rsidRPr="000134F9">
              <w:rPr>
                <w:rFonts w:ascii="Arial" w:hAnsi="Arial" w:cs="Arial"/>
                <w:sz w:val="16"/>
                <w:szCs w:val="16"/>
                <w:lang w:val="en-GB"/>
              </w:rPr>
              <w:t>Puerto Princesa</w:t>
            </w:r>
          </w:p>
        </w:tc>
        <w:tc>
          <w:tcPr>
            <w:tcW w:w="771" w:type="dxa"/>
            <w:tcBorders>
              <w:top w:val="single" w:sz="6" w:space="0" w:color="auto"/>
              <w:left w:val="single" w:sz="12" w:space="0" w:color="auto"/>
              <w:bottom w:val="single" w:sz="6" w:space="0" w:color="auto"/>
              <w:right w:val="single" w:sz="12" w:space="0" w:color="auto"/>
            </w:tcBorders>
            <w:noWrap/>
            <w:vAlign w:val="center"/>
          </w:tcPr>
          <w:p w14:paraId="521E8E67" w14:textId="77777777" w:rsidR="000134F9" w:rsidRPr="000134F9" w:rsidRDefault="000134F9" w:rsidP="000134F9">
            <w:pPr>
              <w:jc w:val="right"/>
              <w:rPr>
                <w:rFonts w:ascii="Arial" w:hAnsi="Arial" w:cs="Arial"/>
                <w:sz w:val="16"/>
                <w:szCs w:val="16"/>
                <w:lang w:val="en-GB"/>
              </w:rPr>
            </w:pPr>
            <w:r w:rsidRPr="000134F9">
              <w:rPr>
                <w:rFonts w:ascii="Arial" w:hAnsi="Arial" w:cs="Arial"/>
                <w:sz w:val="16"/>
                <w:szCs w:val="16"/>
                <w:lang w:val="en-GB"/>
              </w:rPr>
              <w:t>250</w:t>
            </w:r>
          </w:p>
        </w:tc>
        <w:tc>
          <w:tcPr>
            <w:tcW w:w="2448" w:type="dxa"/>
            <w:tcBorders>
              <w:top w:val="single" w:sz="6" w:space="0" w:color="auto"/>
              <w:left w:val="single" w:sz="12" w:space="0" w:color="auto"/>
              <w:bottom w:val="single" w:sz="6" w:space="0" w:color="auto"/>
              <w:right w:val="single" w:sz="12" w:space="0" w:color="auto"/>
            </w:tcBorders>
            <w:vAlign w:val="center"/>
          </w:tcPr>
          <w:p w14:paraId="7949D92F" w14:textId="77777777" w:rsidR="000134F9" w:rsidRPr="000134F9" w:rsidRDefault="000134F9" w:rsidP="000134F9">
            <w:pPr>
              <w:rPr>
                <w:rFonts w:ascii="Arial" w:hAnsi="Arial" w:cs="Arial"/>
                <w:sz w:val="14"/>
                <w:szCs w:val="14"/>
                <w:lang w:val="en-GB"/>
              </w:rPr>
            </w:pPr>
            <w:r w:rsidRPr="000134F9">
              <w:rPr>
                <w:rFonts w:ascii="Arial" w:hAnsi="Arial" w:cs="Arial"/>
                <w:sz w:val="14"/>
                <w:szCs w:val="14"/>
                <w:lang w:val="en-GB"/>
              </w:rPr>
              <w:t>Protected Area part of the Man and Biosphere reserve/</w:t>
            </w:r>
          </w:p>
        </w:tc>
        <w:tc>
          <w:tcPr>
            <w:tcW w:w="1260" w:type="dxa"/>
            <w:tcBorders>
              <w:top w:val="single" w:sz="6" w:space="0" w:color="auto"/>
              <w:left w:val="single" w:sz="12" w:space="0" w:color="auto"/>
              <w:bottom w:val="single" w:sz="6" w:space="0" w:color="auto"/>
              <w:right w:val="single" w:sz="6" w:space="0" w:color="auto"/>
            </w:tcBorders>
            <w:vAlign w:val="center"/>
          </w:tcPr>
          <w:p w14:paraId="211DE320" w14:textId="77777777" w:rsidR="000134F9" w:rsidRPr="000134F9" w:rsidRDefault="000134F9" w:rsidP="000134F9">
            <w:pPr>
              <w:jc w:val="right"/>
              <w:rPr>
                <w:rFonts w:ascii="Arial" w:hAnsi="Arial" w:cs="Arial"/>
                <w:sz w:val="16"/>
                <w:szCs w:val="16"/>
                <w:lang w:val="en-GB"/>
              </w:rPr>
            </w:pPr>
            <w:r w:rsidRPr="000134F9">
              <w:rPr>
                <w:rFonts w:ascii="Arial" w:hAnsi="Arial" w:cs="Arial"/>
                <w:sz w:val="16"/>
                <w:szCs w:val="16"/>
                <w:lang w:val="en-GB"/>
              </w:rPr>
              <w:t>250</w:t>
            </w:r>
          </w:p>
        </w:tc>
        <w:tc>
          <w:tcPr>
            <w:tcW w:w="1546" w:type="dxa"/>
            <w:tcBorders>
              <w:top w:val="single" w:sz="6" w:space="0" w:color="auto"/>
              <w:left w:val="single" w:sz="6" w:space="0" w:color="auto"/>
              <w:bottom w:val="single" w:sz="6" w:space="0" w:color="auto"/>
              <w:right w:val="single" w:sz="12" w:space="0" w:color="auto"/>
            </w:tcBorders>
            <w:vAlign w:val="center"/>
          </w:tcPr>
          <w:p w14:paraId="129F10A1" w14:textId="77777777" w:rsidR="000134F9" w:rsidRPr="000134F9" w:rsidRDefault="000134F9" w:rsidP="000134F9">
            <w:pPr>
              <w:jc w:val="center"/>
              <w:rPr>
                <w:rFonts w:ascii="Arial" w:hAnsi="Arial" w:cs="Arial"/>
                <w:sz w:val="16"/>
                <w:szCs w:val="16"/>
                <w:lang w:val="en-GB"/>
              </w:rPr>
            </w:pPr>
            <w:r w:rsidRPr="000134F9">
              <w:rPr>
                <w:rFonts w:ascii="Arial" w:hAnsi="Arial" w:cs="Arial"/>
                <w:sz w:val="16"/>
                <w:szCs w:val="16"/>
                <w:lang w:val="en-GB"/>
              </w:rPr>
              <w:t>Medium</w:t>
            </w:r>
          </w:p>
        </w:tc>
        <w:tc>
          <w:tcPr>
            <w:tcW w:w="1200" w:type="dxa"/>
            <w:tcBorders>
              <w:top w:val="single" w:sz="6" w:space="0" w:color="auto"/>
              <w:left w:val="single" w:sz="12" w:space="0" w:color="auto"/>
              <w:bottom w:val="single" w:sz="6" w:space="0" w:color="auto"/>
              <w:right w:val="single" w:sz="12" w:space="0" w:color="auto"/>
            </w:tcBorders>
            <w:vAlign w:val="center"/>
          </w:tcPr>
          <w:p w14:paraId="7B4DA755" w14:textId="77777777" w:rsidR="000134F9" w:rsidRPr="000134F9" w:rsidRDefault="000134F9" w:rsidP="000134F9">
            <w:pPr>
              <w:jc w:val="right"/>
              <w:rPr>
                <w:rFonts w:ascii="Arial" w:hAnsi="Arial" w:cs="Arial"/>
                <w:sz w:val="16"/>
                <w:szCs w:val="16"/>
                <w:lang w:val="en-GB"/>
              </w:rPr>
            </w:pPr>
            <w:r w:rsidRPr="000134F9">
              <w:rPr>
                <w:rFonts w:ascii="Arial" w:hAnsi="Arial" w:cs="Arial"/>
                <w:sz w:val="16"/>
                <w:szCs w:val="16"/>
                <w:lang w:val="en-GB"/>
              </w:rPr>
              <w:t>0</w:t>
            </w:r>
          </w:p>
        </w:tc>
      </w:tr>
      <w:tr w:rsidR="000134F9" w:rsidRPr="000134F9" w14:paraId="6669E120" w14:textId="77777777" w:rsidTr="000134F9">
        <w:trPr>
          <w:trHeight w:val="50"/>
          <w:jc w:val="center"/>
        </w:trPr>
        <w:tc>
          <w:tcPr>
            <w:tcW w:w="2516" w:type="dxa"/>
            <w:tcBorders>
              <w:top w:val="single" w:sz="12" w:space="0" w:color="auto"/>
              <w:left w:val="single" w:sz="12" w:space="0" w:color="auto"/>
              <w:bottom w:val="single" w:sz="6" w:space="0" w:color="auto"/>
              <w:right w:val="single" w:sz="12" w:space="0" w:color="auto"/>
            </w:tcBorders>
            <w:noWrap/>
            <w:vAlign w:val="center"/>
          </w:tcPr>
          <w:p w14:paraId="028141F7" w14:textId="77777777" w:rsidR="000134F9" w:rsidRPr="000134F9" w:rsidRDefault="000134F9" w:rsidP="000134F9">
            <w:pPr>
              <w:jc w:val="both"/>
              <w:rPr>
                <w:rFonts w:ascii="Arial" w:hAnsi="Arial" w:cs="Arial"/>
                <w:b/>
                <w:bCs/>
                <w:sz w:val="16"/>
                <w:szCs w:val="20"/>
                <w:lang w:val="en-GB"/>
              </w:rPr>
            </w:pPr>
            <w:smartTag w:uri="urn:schemas-microsoft-com:office:smarttags" w:element="place">
              <w:smartTag w:uri="urn:schemas-microsoft-com:office:smarttags" w:element="country-region">
                <w:r w:rsidRPr="000134F9">
                  <w:rPr>
                    <w:rFonts w:ascii="Arial" w:hAnsi="Arial" w:cs="Arial"/>
                    <w:b/>
                    <w:bCs/>
                    <w:sz w:val="16"/>
                    <w:szCs w:val="20"/>
                    <w:lang w:val="en-GB"/>
                  </w:rPr>
                  <w:t>Thailand</w:t>
                </w:r>
              </w:smartTag>
            </w:smartTag>
          </w:p>
        </w:tc>
        <w:tc>
          <w:tcPr>
            <w:tcW w:w="771" w:type="dxa"/>
            <w:tcBorders>
              <w:top w:val="single" w:sz="12" w:space="0" w:color="auto"/>
              <w:left w:val="single" w:sz="12" w:space="0" w:color="auto"/>
              <w:bottom w:val="single" w:sz="6" w:space="0" w:color="auto"/>
              <w:right w:val="single" w:sz="12" w:space="0" w:color="auto"/>
            </w:tcBorders>
            <w:noWrap/>
            <w:vAlign w:val="center"/>
          </w:tcPr>
          <w:p w14:paraId="33CC607F" w14:textId="77777777" w:rsidR="000134F9" w:rsidRPr="000134F9" w:rsidRDefault="000134F9" w:rsidP="000134F9">
            <w:pPr>
              <w:jc w:val="right"/>
              <w:rPr>
                <w:rFonts w:ascii="Arial" w:hAnsi="Arial" w:cs="Arial"/>
                <w:b/>
                <w:bCs/>
                <w:sz w:val="16"/>
                <w:szCs w:val="20"/>
                <w:lang w:val="en-GB"/>
              </w:rPr>
            </w:pPr>
            <w:r w:rsidRPr="000134F9">
              <w:rPr>
                <w:rFonts w:ascii="Arial" w:hAnsi="Arial" w:cs="Arial"/>
                <w:b/>
                <w:bCs/>
                <w:sz w:val="16"/>
                <w:szCs w:val="20"/>
                <w:lang w:val="en-GB"/>
              </w:rPr>
              <w:t>2,553</w:t>
            </w:r>
          </w:p>
        </w:tc>
        <w:tc>
          <w:tcPr>
            <w:tcW w:w="2448" w:type="dxa"/>
            <w:tcBorders>
              <w:top w:val="single" w:sz="12" w:space="0" w:color="auto"/>
              <w:left w:val="single" w:sz="12" w:space="0" w:color="auto"/>
              <w:bottom w:val="single" w:sz="6" w:space="0" w:color="auto"/>
              <w:right w:val="single" w:sz="12" w:space="0" w:color="auto"/>
            </w:tcBorders>
            <w:vAlign w:val="center"/>
          </w:tcPr>
          <w:p w14:paraId="429EB1B8" w14:textId="77777777" w:rsidR="000134F9" w:rsidRPr="000134F9" w:rsidRDefault="000134F9" w:rsidP="000134F9">
            <w:pPr>
              <w:rPr>
                <w:rFonts w:ascii="Arial" w:hAnsi="Arial" w:cs="Arial"/>
                <w:b/>
                <w:bCs/>
                <w:sz w:val="16"/>
                <w:szCs w:val="20"/>
                <w:lang w:val="en-GB"/>
              </w:rPr>
            </w:pPr>
          </w:p>
        </w:tc>
        <w:tc>
          <w:tcPr>
            <w:tcW w:w="1260" w:type="dxa"/>
            <w:tcBorders>
              <w:top w:val="single" w:sz="12" w:space="0" w:color="auto"/>
              <w:left w:val="single" w:sz="12" w:space="0" w:color="auto"/>
              <w:bottom w:val="single" w:sz="6" w:space="0" w:color="auto"/>
              <w:right w:val="single" w:sz="6" w:space="0" w:color="auto"/>
            </w:tcBorders>
            <w:vAlign w:val="center"/>
          </w:tcPr>
          <w:p w14:paraId="5D14B88F" w14:textId="77777777" w:rsidR="000134F9" w:rsidRPr="000134F9" w:rsidRDefault="000134F9" w:rsidP="000134F9">
            <w:pPr>
              <w:jc w:val="right"/>
              <w:rPr>
                <w:rFonts w:ascii="Arial" w:hAnsi="Arial" w:cs="Arial"/>
                <w:b/>
                <w:bCs/>
                <w:sz w:val="16"/>
                <w:szCs w:val="20"/>
                <w:lang w:val="en-GB"/>
              </w:rPr>
            </w:pPr>
            <w:r w:rsidRPr="000134F9">
              <w:rPr>
                <w:rFonts w:ascii="Arial" w:hAnsi="Arial" w:cs="Arial"/>
                <w:b/>
                <w:bCs/>
                <w:sz w:val="16"/>
                <w:szCs w:val="20"/>
                <w:lang w:val="en-GB"/>
              </w:rPr>
              <w:t>1,780</w:t>
            </w:r>
          </w:p>
        </w:tc>
        <w:tc>
          <w:tcPr>
            <w:tcW w:w="1546" w:type="dxa"/>
            <w:tcBorders>
              <w:top w:val="single" w:sz="12" w:space="0" w:color="auto"/>
              <w:left w:val="single" w:sz="6" w:space="0" w:color="auto"/>
              <w:bottom w:val="single" w:sz="6" w:space="0" w:color="auto"/>
              <w:right w:val="single" w:sz="12" w:space="0" w:color="auto"/>
            </w:tcBorders>
            <w:vAlign w:val="center"/>
          </w:tcPr>
          <w:p w14:paraId="7EF9222F" w14:textId="77777777" w:rsidR="000134F9" w:rsidRPr="000134F9" w:rsidRDefault="000134F9" w:rsidP="000134F9">
            <w:pPr>
              <w:jc w:val="center"/>
              <w:rPr>
                <w:rFonts w:ascii="Arial" w:hAnsi="Arial" w:cs="Arial"/>
                <w:b/>
                <w:bCs/>
                <w:sz w:val="16"/>
                <w:szCs w:val="20"/>
                <w:lang w:val="en-GB"/>
              </w:rPr>
            </w:pPr>
          </w:p>
        </w:tc>
        <w:tc>
          <w:tcPr>
            <w:tcW w:w="1200" w:type="dxa"/>
            <w:tcBorders>
              <w:top w:val="single" w:sz="12" w:space="0" w:color="auto"/>
              <w:left w:val="single" w:sz="12" w:space="0" w:color="auto"/>
              <w:bottom w:val="single" w:sz="6" w:space="0" w:color="auto"/>
              <w:right w:val="single" w:sz="12" w:space="0" w:color="auto"/>
            </w:tcBorders>
            <w:vAlign w:val="center"/>
          </w:tcPr>
          <w:p w14:paraId="36A155EB" w14:textId="77777777" w:rsidR="000134F9" w:rsidRPr="000134F9" w:rsidRDefault="000134F9" w:rsidP="000134F9">
            <w:pPr>
              <w:jc w:val="right"/>
              <w:rPr>
                <w:rFonts w:ascii="Arial" w:hAnsi="Arial" w:cs="Arial"/>
                <w:b/>
                <w:bCs/>
                <w:sz w:val="16"/>
                <w:szCs w:val="20"/>
                <w:lang w:val="en-GB"/>
              </w:rPr>
            </w:pPr>
            <w:r w:rsidRPr="000134F9">
              <w:rPr>
                <w:rFonts w:ascii="Arial" w:hAnsi="Arial" w:cs="Arial"/>
                <w:b/>
                <w:bCs/>
                <w:sz w:val="16"/>
                <w:szCs w:val="20"/>
                <w:lang w:val="en-GB"/>
              </w:rPr>
              <w:t>0</w:t>
            </w:r>
          </w:p>
        </w:tc>
      </w:tr>
      <w:tr w:rsidR="000134F9" w:rsidRPr="000134F9" w14:paraId="5969B35E"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06EE70C7" w14:textId="77777777" w:rsidR="000134F9" w:rsidRPr="000134F9" w:rsidRDefault="000134F9" w:rsidP="000134F9">
            <w:pPr>
              <w:jc w:val="both"/>
              <w:rPr>
                <w:rFonts w:ascii="Arial" w:hAnsi="Arial" w:cs="Arial"/>
                <w:bCs/>
                <w:sz w:val="16"/>
                <w:szCs w:val="20"/>
                <w:lang w:val="en-GB"/>
              </w:rPr>
            </w:pPr>
            <w:smartTag w:uri="urn:schemas-microsoft-com:office:smarttags" w:element="place">
              <w:smartTag w:uri="urn:schemas-microsoft-com:office:smarttags" w:element="PlaceName">
                <w:r w:rsidRPr="000134F9">
                  <w:rPr>
                    <w:rFonts w:ascii="Arial" w:hAnsi="Arial" w:cs="Arial"/>
                    <w:color w:val="000000"/>
                    <w:sz w:val="16"/>
                    <w:szCs w:val="20"/>
                    <w:lang w:val="en-GB"/>
                  </w:rPr>
                  <w:t>Kung</w:t>
                </w:r>
              </w:smartTag>
              <w:r w:rsidRPr="000134F9">
                <w:rPr>
                  <w:rFonts w:ascii="Arial" w:hAnsi="Arial" w:cs="Arial"/>
                  <w:color w:val="000000"/>
                  <w:sz w:val="16"/>
                  <w:szCs w:val="20"/>
                  <w:lang w:val="en-GB"/>
                </w:rPr>
                <w:t xml:space="preserve"> </w:t>
              </w:r>
              <w:smartTag w:uri="urn:schemas-microsoft-com:office:smarttags" w:element="PlaceName">
                <w:r w:rsidRPr="000134F9">
                  <w:rPr>
                    <w:rFonts w:ascii="Arial" w:hAnsi="Arial" w:cs="Arial"/>
                    <w:color w:val="000000"/>
                    <w:sz w:val="16"/>
                    <w:szCs w:val="20"/>
                    <w:lang w:val="en-GB"/>
                  </w:rPr>
                  <w:t>Krabane</w:t>
                </w:r>
              </w:smartTag>
              <w:r w:rsidRPr="000134F9">
                <w:rPr>
                  <w:rFonts w:ascii="Arial" w:hAnsi="Arial" w:cs="Arial"/>
                  <w:color w:val="000000"/>
                  <w:sz w:val="16"/>
                  <w:szCs w:val="20"/>
                  <w:lang w:val="en-GB"/>
                </w:rPr>
                <w:t xml:space="preserve"> </w:t>
              </w:r>
              <w:smartTag w:uri="urn:schemas-microsoft-com:office:smarttags" w:element="PlaceType">
                <w:r w:rsidRPr="000134F9">
                  <w:rPr>
                    <w:rFonts w:ascii="Arial" w:hAnsi="Arial" w:cs="Arial"/>
                    <w:color w:val="000000"/>
                    <w:sz w:val="16"/>
                    <w:szCs w:val="20"/>
                    <w:lang w:val="en-GB"/>
                  </w:rPr>
                  <w:t>Bay</w:t>
                </w:r>
              </w:smartTag>
            </w:smartTag>
          </w:p>
        </w:tc>
        <w:tc>
          <w:tcPr>
            <w:tcW w:w="771" w:type="dxa"/>
            <w:tcBorders>
              <w:top w:val="single" w:sz="6" w:space="0" w:color="auto"/>
              <w:left w:val="single" w:sz="12" w:space="0" w:color="auto"/>
              <w:bottom w:val="single" w:sz="6" w:space="0" w:color="auto"/>
              <w:right w:val="single" w:sz="12" w:space="0" w:color="auto"/>
            </w:tcBorders>
            <w:noWrap/>
            <w:vAlign w:val="center"/>
          </w:tcPr>
          <w:p w14:paraId="04694834"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700</w:t>
            </w:r>
          </w:p>
        </w:tc>
        <w:tc>
          <w:tcPr>
            <w:tcW w:w="2448" w:type="dxa"/>
            <w:tcBorders>
              <w:top w:val="single" w:sz="6" w:space="0" w:color="auto"/>
              <w:left w:val="single" w:sz="12" w:space="0" w:color="auto"/>
              <w:bottom w:val="single" w:sz="6" w:space="0" w:color="auto"/>
              <w:right w:val="single" w:sz="12" w:space="0" w:color="auto"/>
            </w:tcBorders>
            <w:vAlign w:val="center"/>
          </w:tcPr>
          <w:p w14:paraId="5603B86C"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None</w:t>
            </w:r>
            <w:r w:rsidRPr="000134F9">
              <w:rPr>
                <w:rFonts w:ascii="Arial" w:hAnsi="Arial" w:cs="Arial"/>
                <w:color w:val="000000"/>
                <w:sz w:val="16"/>
                <w:szCs w:val="20"/>
                <w:vertAlign w:val="superscript"/>
                <w:lang w:val="en-GB"/>
              </w:rPr>
              <w:footnoteReference w:id="71"/>
            </w:r>
          </w:p>
        </w:tc>
        <w:tc>
          <w:tcPr>
            <w:tcW w:w="1260" w:type="dxa"/>
            <w:tcBorders>
              <w:top w:val="single" w:sz="6" w:space="0" w:color="auto"/>
              <w:left w:val="single" w:sz="12" w:space="0" w:color="auto"/>
              <w:bottom w:val="single" w:sz="6" w:space="0" w:color="auto"/>
              <w:right w:val="single" w:sz="6" w:space="0" w:color="auto"/>
            </w:tcBorders>
            <w:vAlign w:val="center"/>
          </w:tcPr>
          <w:p w14:paraId="67C6F6A7"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700</w:t>
            </w:r>
          </w:p>
        </w:tc>
        <w:tc>
          <w:tcPr>
            <w:tcW w:w="1546" w:type="dxa"/>
            <w:tcBorders>
              <w:top w:val="single" w:sz="6" w:space="0" w:color="auto"/>
              <w:left w:val="single" w:sz="6" w:space="0" w:color="auto"/>
              <w:bottom w:val="single" w:sz="6" w:space="0" w:color="auto"/>
              <w:right w:val="single" w:sz="12" w:space="0" w:color="auto"/>
            </w:tcBorders>
            <w:vAlign w:val="center"/>
          </w:tcPr>
          <w:p w14:paraId="56F14254"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High</w:t>
            </w:r>
          </w:p>
        </w:tc>
        <w:tc>
          <w:tcPr>
            <w:tcW w:w="1200" w:type="dxa"/>
            <w:tcBorders>
              <w:top w:val="single" w:sz="6" w:space="0" w:color="auto"/>
              <w:left w:val="single" w:sz="12" w:space="0" w:color="auto"/>
              <w:bottom w:val="single" w:sz="6" w:space="0" w:color="auto"/>
              <w:right w:val="single" w:sz="12" w:space="0" w:color="auto"/>
            </w:tcBorders>
            <w:vAlign w:val="center"/>
          </w:tcPr>
          <w:p w14:paraId="008A6C4F"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0</w:t>
            </w:r>
          </w:p>
        </w:tc>
      </w:tr>
      <w:tr w:rsidR="000134F9" w:rsidRPr="000134F9" w14:paraId="3A4B2CFA" w14:textId="77777777" w:rsidTr="000134F9">
        <w:trPr>
          <w:trHeight w:val="65"/>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4712FE7B" w14:textId="77777777" w:rsidR="000134F9" w:rsidRPr="000134F9" w:rsidRDefault="000134F9" w:rsidP="000134F9">
            <w:pPr>
              <w:jc w:val="both"/>
              <w:rPr>
                <w:rFonts w:ascii="Arial" w:hAnsi="Arial" w:cs="Arial"/>
                <w:bCs/>
                <w:sz w:val="16"/>
                <w:szCs w:val="20"/>
                <w:lang w:val="en-GB"/>
              </w:rPr>
            </w:pPr>
            <w:smartTag w:uri="urn:schemas-microsoft-com:office:smarttags" w:element="place">
              <w:smartTag w:uri="urn:schemas-microsoft-com:office:smarttags" w:element="PlaceName">
                <w:r w:rsidRPr="000134F9">
                  <w:rPr>
                    <w:rFonts w:ascii="Arial" w:hAnsi="Arial" w:cs="Arial"/>
                    <w:color w:val="000000"/>
                    <w:sz w:val="16"/>
                    <w:szCs w:val="20"/>
                    <w:lang w:val="en-GB"/>
                  </w:rPr>
                  <w:t>Tungka</w:t>
                </w:r>
              </w:smartTag>
              <w:r w:rsidRPr="000134F9">
                <w:rPr>
                  <w:rFonts w:ascii="Arial" w:hAnsi="Arial" w:cs="Arial"/>
                  <w:color w:val="000000"/>
                  <w:sz w:val="16"/>
                  <w:szCs w:val="20"/>
                  <w:lang w:val="en-GB"/>
                </w:rPr>
                <w:t xml:space="preserve"> </w:t>
              </w:r>
              <w:smartTag w:uri="urn:schemas-microsoft-com:office:smarttags" w:element="PlaceType">
                <w:r w:rsidRPr="000134F9">
                  <w:rPr>
                    <w:rFonts w:ascii="Arial" w:hAnsi="Arial" w:cs="Arial"/>
                    <w:color w:val="000000"/>
                    <w:sz w:val="16"/>
                    <w:szCs w:val="20"/>
                    <w:lang w:val="en-GB"/>
                  </w:rPr>
                  <w:t>Bay</w:t>
                </w:r>
              </w:smartTag>
            </w:smartTag>
          </w:p>
        </w:tc>
        <w:tc>
          <w:tcPr>
            <w:tcW w:w="771" w:type="dxa"/>
            <w:tcBorders>
              <w:top w:val="single" w:sz="6" w:space="0" w:color="auto"/>
              <w:left w:val="single" w:sz="12" w:space="0" w:color="auto"/>
              <w:bottom w:val="single" w:sz="6" w:space="0" w:color="auto"/>
              <w:right w:val="single" w:sz="12" w:space="0" w:color="auto"/>
            </w:tcBorders>
            <w:noWrap/>
            <w:vAlign w:val="center"/>
          </w:tcPr>
          <w:p w14:paraId="3EB9981D"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1,080</w:t>
            </w:r>
          </w:p>
        </w:tc>
        <w:tc>
          <w:tcPr>
            <w:tcW w:w="2448" w:type="dxa"/>
            <w:tcBorders>
              <w:top w:val="single" w:sz="6" w:space="0" w:color="auto"/>
              <w:left w:val="single" w:sz="12" w:space="0" w:color="auto"/>
              <w:bottom w:val="single" w:sz="6" w:space="0" w:color="auto"/>
              <w:right w:val="single" w:sz="12" w:space="0" w:color="auto"/>
            </w:tcBorders>
            <w:vAlign w:val="center"/>
          </w:tcPr>
          <w:p w14:paraId="710D6BCC"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National Park</w:t>
            </w:r>
          </w:p>
        </w:tc>
        <w:tc>
          <w:tcPr>
            <w:tcW w:w="1260" w:type="dxa"/>
            <w:tcBorders>
              <w:top w:val="single" w:sz="6" w:space="0" w:color="auto"/>
              <w:left w:val="single" w:sz="12" w:space="0" w:color="auto"/>
              <w:bottom w:val="single" w:sz="6" w:space="0" w:color="auto"/>
              <w:right w:val="single" w:sz="6" w:space="0" w:color="auto"/>
            </w:tcBorders>
            <w:vAlign w:val="center"/>
          </w:tcPr>
          <w:p w14:paraId="2AED5417"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1,080</w:t>
            </w:r>
          </w:p>
        </w:tc>
        <w:tc>
          <w:tcPr>
            <w:tcW w:w="1546" w:type="dxa"/>
            <w:tcBorders>
              <w:top w:val="single" w:sz="6" w:space="0" w:color="auto"/>
              <w:left w:val="single" w:sz="6" w:space="0" w:color="auto"/>
              <w:bottom w:val="single" w:sz="6" w:space="0" w:color="auto"/>
              <w:right w:val="single" w:sz="12" w:space="0" w:color="auto"/>
            </w:tcBorders>
            <w:vAlign w:val="center"/>
          </w:tcPr>
          <w:p w14:paraId="6DBFCE3E"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Low</w:t>
            </w:r>
          </w:p>
        </w:tc>
        <w:tc>
          <w:tcPr>
            <w:tcW w:w="1200" w:type="dxa"/>
            <w:tcBorders>
              <w:top w:val="single" w:sz="6" w:space="0" w:color="auto"/>
              <w:left w:val="single" w:sz="12" w:space="0" w:color="auto"/>
              <w:bottom w:val="single" w:sz="6" w:space="0" w:color="auto"/>
              <w:right w:val="single" w:sz="12" w:space="0" w:color="auto"/>
            </w:tcBorders>
            <w:vAlign w:val="center"/>
          </w:tcPr>
          <w:p w14:paraId="72582332"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0</w:t>
            </w:r>
          </w:p>
        </w:tc>
      </w:tr>
      <w:tr w:rsidR="000134F9" w:rsidRPr="000134F9" w14:paraId="460E579F" w14:textId="77777777" w:rsidTr="000134F9">
        <w:trPr>
          <w:trHeight w:val="65"/>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71093761" w14:textId="77777777" w:rsidR="000134F9" w:rsidRPr="000134F9" w:rsidRDefault="000134F9" w:rsidP="000134F9">
            <w:pPr>
              <w:jc w:val="both"/>
              <w:rPr>
                <w:rFonts w:ascii="Arial" w:hAnsi="Arial" w:cs="Arial"/>
                <w:bCs/>
                <w:sz w:val="16"/>
                <w:szCs w:val="20"/>
                <w:lang w:val="en-GB"/>
              </w:rPr>
            </w:pPr>
            <w:r w:rsidRPr="000134F9">
              <w:rPr>
                <w:rFonts w:ascii="Arial" w:hAnsi="Arial" w:cs="Arial"/>
                <w:color w:val="000000"/>
                <w:sz w:val="16"/>
                <w:szCs w:val="20"/>
                <w:lang w:val="en-GB"/>
              </w:rPr>
              <w:t xml:space="preserve">Sarat Thani </w:t>
            </w:r>
          </w:p>
        </w:tc>
        <w:tc>
          <w:tcPr>
            <w:tcW w:w="771" w:type="dxa"/>
            <w:tcBorders>
              <w:top w:val="single" w:sz="6" w:space="0" w:color="auto"/>
              <w:left w:val="single" w:sz="12" w:space="0" w:color="auto"/>
              <w:bottom w:val="single" w:sz="6" w:space="0" w:color="auto"/>
              <w:right w:val="single" w:sz="12" w:space="0" w:color="auto"/>
            </w:tcBorders>
            <w:noWrap/>
            <w:vAlign w:val="center"/>
          </w:tcPr>
          <w:p w14:paraId="099E65CC"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500</w:t>
            </w:r>
          </w:p>
        </w:tc>
        <w:tc>
          <w:tcPr>
            <w:tcW w:w="2448" w:type="dxa"/>
            <w:tcBorders>
              <w:top w:val="single" w:sz="6" w:space="0" w:color="auto"/>
              <w:left w:val="single" w:sz="12" w:space="0" w:color="auto"/>
              <w:bottom w:val="single" w:sz="6" w:space="0" w:color="auto"/>
              <w:right w:val="single" w:sz="12" w:space="0" w:color="auto"/>
            </w:tcBorders>
            <w:vAlign w:val="center"/>
          </w:tcPr>
          <w:p w14:paraId="1CB409C5"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None</w:t>
            </w:r>
          </w:p>
        </w:tc>
        <w:tc>
          <w:tcPr>
            <w:tcW w:w="1260" w:type="dxa"/>
            <w:tcBorders>
              <w:top w:val="single" w:sz="6" w:space="0" w:color="auto"/>
              <w:left w:val="single" w:sz="12" w:space="0" w:color="auto"/>
              <w:bottom w:val="single" w:sz="6" w:space="0" w:color="auto"/>
              <w:right w:val="single" w:sz="6" w:space="0" w:color="auto"/>
            </w:tcBorders>
            <w:vAlign w:val="center"/>
          </w:tcPr>
          <w:p w14:paraId="41E7890F"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No</w:t>
            </w:r>
          </w:p>
        </w:tc>
        <w:tc>
          <w:tcPr>
            <w:tcW w:w="1546" w:type="dxa"/>
            <w:tcBorders>
              <w:top w:val="single" w:sz="6" w:space="0" w:color="auto"/>
              <w:left w:val="single" w:sz="6" w:space="0" w:color="auto"/>
              <w:bottom w:val="single" w:sz="6" w:space="0" w:color="auto"/>
              <w:right w:val="single" w:sz="12" w:space="0" w:color="auto"/>
            </w:tcBorders>
            <w:vAlign w:val="center"/>
          </w:tcPr>
          <w:p w14:paraId="6A81CAA8"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10487071"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0</w:t>
            </w:r>
          </w:p>
        </w:tc>
      </w:tr>
      <w:tr w:rsidR="000134F9" w:rsidRPr="000134F9" w14:paraId="573E8A40" w14:textId="77777777" w:rsidTr="000134F9">
        <w:trPr>
          <w:trHeight w:val="65"/>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2F444DEC" w14:textId="77777777" w:rsidR="000134F9" w:rsidRPr="000134F9" w:rsidRDefault="000134F9" w:rsidP="000134F9">
            <w:pPr>
              <w:jc w:val="both"/>
              <w:rPr>
                <w:rFonts w:ascii="Arial" w:hAnsi="Arial" w:cs="Arial"/>
                <w:bCs/>
                <w:sz w:val="16"/>
                <w:szCs w:val="20"/>
                <w:lang w:val="en-GB"/>
              </w:rPr>
            </w:pPr>
            <w:smartTag w:uri="urn:schemas-microsoft-com:office:smarttags" w:element="place">
              <w:smartTag w:uri="urn:schemas-microsoft-com:office:smarttags" w:element="PlaceName">
                <w:r w:rsidRPr="000134F9">
                  <w:rPr>
                    <w:rFonts w:ascii="Arial" w:hAnsi="Arial" w:cs="Arial"/>
                    <w:color w:val="000000"/>
                    <w:sz w:val="16"/>
                    <w:szCs w:val="20"/>
                    <w:lang w:val="en-GB"/>
                  </w:rPr>
                  <w:t>Pattani</w:t>
                </w:r>
              </w:smartTag>
              <w:r w:rsidRPr="000134F9">
                <w:rPr>
                  <w:rFonts w:ascii="Arial" w:hAnsi="Arial" w:cs="Arial"/>
                  <w:color w:val="000000"/>
                  <w:sz w:val="16"/>
                  <w:szCs w:val="20"/>
                  <w:lang w:val="en-GB"/>
                </w:rPr>
                <w:t xml:space="preserve"> </w:t>
              </w:r>
              <w:smartTag w:uri="urn:schemas-microsoft-com:office:smarttags" w:element="PlaceType">
                <w:r w:rsidRPr="000134F9">
                  <w:rPr>
                    <w:rFonts w:ascii="Arial" w:hAnsi="Arial" w:cs="Arial"/>
                    <w:color w:val="000000"/>
                    <w:sz w:val="16"/>
                    <w:szCs w:val="20"/>
                    <w:lang w:val="en-GB"/>
                  </w:rPr>
                  <w:t>Bay</w:t>
                </w:r>
              </w:smartTag>
            </w:smartTag>
          </w:p>
        </w:tc>
        <w:tc>
          <w:tcPr>
            <w:tcW w:w="771" w:type="dxa"/>
            <w:tcBorders>
              <w:top w:val="single" w:sz="6" w:space="0" w:color="auto"/>
              <w:left w:val="single" w:sz="12" w:space="0" w:color="auto"/>
              <w:bottom w:val="single" w:sz="6" w:space="0" w:color="auto"/>
              <w:right w:val="single" w:sz="12" w:space="0" w:color="auto"/>
            </w:tcBorders>
            <w:noWrap/>
            <w:vAlign w:val="center"/>
          </w:tcPr>
          <w:p w14:paraId="6A6E246F"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273</w:t>
            </w:r>
          </w:p>
        </w:tc>
        <w:tc>
          <w:tcPr>
            <w:tcW w:w="2448" w:type="dxa"/>
            <w:tcBorders>
              <w:top w:val="single" w:sz="6" w:space="0" w:color="auto"/>
              <w:left w:val="single" w:sz="12" w:space="0" w:color="auto"/>
              <w:bottom w:val="single" w:sz="6" w:space="0" w:color="auto"/>
              <w:right w:val="single" w:sz="12" w:space="0" w:color="auto"/>
            </w:tcBorders>
            <w:vAlign w:val="center"/>
          </w:tcPr>
          <w:p w14:paraId="1E789E07"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None</w:t>
            </w:r>
          </w:p>
        </w:tc>
        <w:tc>
          <w:tcPr>
            <w:tcW w:w="1260" w:type="dxa"/>
            <w:tcBorders>
              <w:top w:val="single" w:sz="6" w:space="0" w:color="auto"/>
              <w:left w:val="single" w:sz="12" w:space="0" w:color="auto"/>
              <w:bottom w:val="single" w:sz="6" w:space="0" w:color="auto"/>
              <w:right w:val="single" w:sz="6" w:space="0" w:color="auto"/>
            </w:tcBorders>
            <w:vAlign w:val="center"/>
          </w:tcPr>
          <w:p w14:paraId="14533502"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No</w:t>
            </w:r>
          </w:p>
        </w:tc>
        <w:tc>
          <w:tcPr>
            <w:tcW w:w="1546" w:type="dxa"/>
            <w:tcBorders>
              <w:top w:val="single" w:sz="6" w:space="0" w:color="auto"/>
              <w:left w:val="single" w:sz="6" w:space="0" w:color="auto"/>
              <w:bottom w:val="single" w:sz="6" w:space="0" w:color="auto"/>
              <w:right w:val="single" w:sz="12" w:space="0" w:color="auto"/>
            </w:tcBorders>
            <w:vAlign w:val="center"/>
          </w:tcPr>
          <w:p w14:paraId="5725459F"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4BECD1EF"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0</w:t>
            </w:r>
          </w:p>
        </w:tc>
      </w:tr>
      <w:tr w:rsidR="000134F9" w:rsidRPr="000134F9" w14:paraId="65EA2B1D" w14:textId="77777777" w:rsidTr="000134F9">
        <w:trPr>
          <w:jc w:val="center"/>
        </w:trPr>
        <w:tc>
          <w:tcPr>
            <w:tcW w:w="2516" w:type="dxa"/>
            <w:tcBorders>
              <w:top w:val="single" w:sz="12" w:space="0" w:color="auto"/>
              <w:left w:val="single" w:sz="12" w:space="0" w:color="auto"/>
              <w:bottom w:val="single" w:sz="6" w:space="0" w:color="auto"/>
              <w:right w:val="single" w:sz="12" w:space="0" w:color="auto"/>
            </w:tcBorders>
            <w:noWrap/>
            <w:vAlign w:val="center"/>
          </w:tcPr>
          <w:p w14:paraId="154A9D95" w14:textId="77777777" w:rsidR="000134F9" w:rsidRPr="000134F9" w:rsidRDefault="000134F9" w:rsidP="000134F9">
            <w:pPr>
              <w:jc w:val="both"/>
              <w:rPr>
                <w:rFonts w:ascii="Arial" w:hAnsi="Arial" w:cs="Arial"/>
                <w:b/>
                <w:bCs/>
                <w:sz w:val="16"/>
                <w:szCs w:val="20"/>
                <w:lang w:val="en-GB"/>
              </w:rPr>
            </w:pPr>
            <w:r w:rsidRPr="000134F9">
              <w:rPr>
                <w:rFonts w:ascii="Arial" w:hAnsi="Arial" w:cs="Arial"/>
                <w:b/>
                <w:bCs/>
                <w:sz w:val="16"/>
                <w:szCs w:val="20"/>
                <w:lang w:val="en-GB"/>
              </w:rPr>
              <w:t>Viet Nam</w:t>
            </w:r>
          </w:p>
        </w:tc>
        <w:tc>
          <w:tcPr>
            <w:tcW w:w="771" w:type="dxa"/>
            <w:tcBorders>
              <w:top w:val="single" w:sz="12" w:space="0" w:color="auto"/>
              <w:left w:val="single" w:sz="12" w:space="0" w:color="auto"/>
              <w:bottom w:val="single" w:sz="6" w:space="0" w:color="auto"/>
              <w:right w:val="single" w:sz="12" w:space="0" w:color="auto"/>
            </w:tcBorders>
            <w:noWrap/>
            <w:vAlign w:val="center"/>
          </w:tcPr>
          <w:p w14:paraId="6A8C18EB" w14:textId="77777777" w:rsidR="000134F9" w:rsidRPr="000134F9" w:rsidRDefault="000134F9" w:rsidP="000134F9">
            <w:pPr>
              <w:jc w:val="right"/>
              <w:rPr>
                <w:rFonts w:ascii="Arial" w:hAnsi="Arial" w:cs="Arial"/>
                <w:b/>
                <w:sz w:val="16"/>
                <w:szCs w:val="20"/>
                <w:lang w:val="en-GB"/>
              </w:rPr>
            </w:pPr>
            <w:r w:rsidRPr="000134F9">
              <w:rPr>
                <w:rFonts w:ascii="Arial" w:hAnsi="Arial" w:cs="Arial"/>
                <w:b/>
                <w:sz w:val="16"/>
                <w:szCs w:val="20"/>
                <w:lang w:val="en-GB"/>
              </w:rPr>
              <w:t>13,503</w:t>
            </w:r>
          </w:p>
        </w:tc>
        <w:tc>
          <w:tcPr>
            <w:tcW w:w="2448" w:type="dxa"/>
            <w:tcBorders>
              <w:top w:val="single" w:sz="12" w:space="0" w:color="auto"/>
              <w:left w:val="single" w:sz="12" w:space="0" w:color="auto"/>
              <w:bottom w:val="single" w:sz="6" w:space="0" w:color="auto"/>
              <w:right w:val="single" w:sz="12" w:space="0" w:color="auto"/>
            </w:tcBorders>
            <w:vAlign w:val="center"/>
          </w:tcPr>
          <w:p w14:paraId="1BA4EDA1" w14:textId="77777777" w:rsidR="000134F9" w:rsidRPr="000134F9" w:rsidRDefault="000134F9" w:rsidP="000134F9">
            <w:pPr>
              <w:jc w:val="both"/>
              <w:rPr>
                <w:rFonts w:ascii="Arial" w:hAnsi="Arial" w:cs="Arial"/>
                <w:b/>
                <w:sz w:val="16"/>
                <w:szCs w:val="20"/>
                <w:lang w:val="en-GB"/>
              </w:rPr>
            </w:pPr>
          </w:p>
        </w:tc>
        <w:tc>
          <w:tcPr>
            <w:tcW w:w="1260" w:type="dxa"/>
            <w:tcBorders>
              <w:top w:val="single" w:sz="12" w:space="0" w:color="auto"/>
              <w:left w:val="single" w:sz="12" w:space="0" w:color="auto"/>
              <w:bottom w:val="single" w:sz="6" w:space="0" w:color="auto"/>
              <w:right w:val="single" w:sz="6" w:space="0" w:color="auto"/>
            </w:tcBorders>
            <w:vAlign w:val="center"/>
          </w:tcPr>
          <w:p w14:paraId="213CEF70" w14:textId="77777777" w:rsidR="000134F9" w:rsidRPr="000134F9" w:rsidRDefault="000134F9" w:rsidP="000134F9">
            <w:pPr>
              <w:jc w:val="right"/>
              <w:rPr>
                <w:rFonts w:ascii="Arial" w:hAnsi="Arial" w:cs="Arial"/>
                <w:b/>
                <w:sz w:val="16"/>
                <w:szCs w:val="20"/>
                <w:lang w:val="en-GB"/>
              </w:rPr>
            </w:pPr>
            <w:r w:rsidRPr="000134F9">
              <w:rPr>
                <w:rFonts w:ascii="Arial" w:hAnsi="Arial" w:cs="Arial"/>
                <w:b/>
                <w:bCs/>
                <w:sz w:val="16"/>
                <w:szCs w:val="20"/>
                <w:lang w:val="en-GB"/>
              </w:rPr>
              <w:t>2,340</w:t>
            </w:r>
          </w:p>
        </w:tc>
        <w:tc>
          <w:tcPr>
            <w:tcW w:w="1546" w:type="dxa"/>
            <w:tcBorders>
              <w:top w:val="single" w:sz="12" w:space="0" w:color="auto"/>
              <w:left w:val="single" w:sz="6" w:space="0" w:color="auto"/>
              <w:bottom w:val="single" w:sz="6" w:space="0" w:color="auto"/>
              <w:right w:val="single" w:sz="12" w:space="0" w:color="auto"/>
            </w:tcBorders>
            <w:vAlign w:val="center"/>
          </w:tcPr>
          <w:p w14:paraId="39BA6D23" w14:textId="77777777" w:rsidR="000134F9" w:rsidRPr="000134F9" w:rsidRDefault="000134F9" w:rsidP="000134F9">
            <w:pPr>
              <w:jc w:val="right"/>
              <w:rPr>
                <w:rFonts w:ascii="Arial" w:hAnsi="Arial" w:cs="Arial"/>
                <w:b/>
                <w:sz w:val="16"/>
                <w:szCs w:val="20"/>
                <w:lang w:val="en-GB"/>
              </w:rPr>
            </w:pPr>
          </w:p>
        </w:tc>
        <w:tc>
          <w:tcPr>
            <w:tcW w:w="1200" w:type="dxa"/>
            <w:tcBorders>
              <w:top w:val="single" w:sz="12" w:space="0" w:color="auto"/>
              <w:left w:val="single" w:sz="12" w:space="0" w:color="auto"/>
              <w:bottom w:val="single" w:sz="6" w:space="0" w:color="auto"/>
              <w:right w:val="single" w:sz="12" w:space="0" w:color="auto"/>
            </w:tcBorders>
            <w:vAlign w:val="center"/>
          </w:tcPr>
          <w:p w14:paraId="3FF99C33" w14:textId="77777777" w:rsidR="000134F9" w:rsidRPr="000134F9" w:rsidRDefault="000134F9" w:rsidP="000134F9">
            <w:pPr>
              <w:jc w:val="right"/>
              <w:rPr>
                <w:rFonts w:ascii="Arial" w:hAnsi="Arial" w:cs="Arial"/>
                <w:b/>
                <w:sz w:val="16"/>
                <w:szCs w:val="20"/>
                <w:lang w:val="en-GB"/>
              </w:rPr>
            </w:pPr>
            <w:r w:rsidRPr="000134F9">
              <w:rPr>
                <w:rFonts w:ascii="Arial" w:hAnsi="Arial" w:cs="Arial"/>
                <w:b/>
                <w:sz w:val="16"/>
                <w:szCs w:val="20"/>
                <w:lang w:val="en-GB"/>
              </w:rPr>
              <w:t>5,050</w:t>
            </w:r>
          </w:p>
        </w:tc>
      </w:tr>
      <w:tr w:rsidR="000134F9" w:rsidRPr="000134F9" w14:paraId="2B6E0AC1"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6384E886" w14:textId="77777777" w:rsidR="000134F9" w:rsidRPr="000134F9" w:rsidRDefault="000134F9" w:rsidP="000134F9">
            <w:pPr>
              <w:jc w:val="both"/>
              <w:rPr>
                <w:rFonts w:ascii="Arial" w:hAnsi="Arial" w:cs="Arial"/>
                <w:bCs/>
                <w:sz w:val="14"/>
                <w:szCs w:val="14"/>
                <w:lang w:val="fr-FR"/>
              </w:rPr>
            </w:pPr>
            <w:r w:rsidRPr="000134F9">
              <w:rPr>
                <w:rFonts w:ascii="Arial" w:hAnsi="Arial" w:cs="Arial"/>
                <w:sz w:val="14"/>
                <w:szCs w:val="14"/>
                <w:lang w:val="fr-FR"/>
              </w:rPr>
              <w:t>Phu Quoc archipelago</w:t>
            </w:r>
          </w:p>
        </w:tc>
        <w:tc>
          <w:tcPr>
            <w:tcW w:w="771" w:type="dxa"/>
            <w:tcBorders>
              <w:top w:val="single" w:sz="6" w:space="0" w:color="auto"/>
              <w:left w:val="single" w:sz="12" w:space="0" w:color="auto"/>
              <w:bottom w:val="single" w:sz="6" w:space="0" w:color="auto"/>
              <w:right w:val="single" w:sz="12" w:space="0" w:color="auto"/>
            </w:tcBorders>
            <w:noWrap/>
            <w:vAlign w:val="center"/>
          </w:tcPr>
          <w:p w14:paraId="7CD95995"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4,600</w:t>
            </w:r>
          </w:p>
        </w:tc>
        <w:tc>
          <w:tcPr>
            <w:tcW w:w="2448" w:type="dxa"/>
            <w:tcBorders>
              <w:top w:val="single" w:sz="6" w:space="0" w:color="auto"/>
              <w:left w:val="single" w:sz="12" w:space="0" w:color="auto"/>
              <w:bottom w:val="single" w:sz="6" w:space="0" w:color="auto"/>
              <w:right w:val="single" w:sz="12" w:space="0" w:color="auto"/>
            </w:tcBorders>
            <w:vAlign w:val="center"/>
          </w:tcPr>
          <w:p w14:paraId="394EA177"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Phu Quoc Marine Protected</w:t>
            </w:r>
            <w:r w:rsidRPr="000134F9">
              <w:rPr>
                <w:rFonts w:ascii="Arial" w:hAnsi="Arial" w:cs="Arial"/>
                <w:sz w:val="16"/>
                <w:szCs w:val="20"/>
                <w:vertAlign w:val="superscript"/>
                <w:lang w:val="en-GB"/>
              </w:rPr>
              <w:footnoteReference w:id="72"/>
            </w:r>
            <w:r w:rsidRPr="000134F9">
              <w:rPr>
                <w:rFonts w:ascii="Arial" w:hAnsi="Arial" w:cs="Arial"/>
                <w:sz w:val="16"/>
                <w:szCs w:val="20"/>
                <w:lang w:val="en-GB"/>
              </w:rPr>
              <w:t xml:space="preserve"> Area </w:t>
            </w:r>
          </w:p>
        </w:tc>
        <w:tc>
          <w:tcPr>
            <w:tcW w:w="1260" w:type="dxa"/>
            <w:tcBorders>
              <w:top w:val="single" w:sz="6" w:space="0" w:color="auto"/>
              <w:left w:val="single" w:sz="12" w:space="0" w:color="auto"/>
              <w:bottom w:val="single" w:sz="6" w:space="0" w:color="auto"/>
              <w:right w:val="single" w:sz="6" w:space="0" w:color="auto"/>
            </w:tcBorders>
            <w:vAlign w:val="center"/>
          </w:tcPr>
          <w:p w14:paraId="18952148"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2,050</w:t>
            </w:r>
          </w:p>
        </w:tc>
        <w:tc>
          <w:tcPr>
            <w:tcW w:w="1546" w:type="dxa"/>
            <w:tcBorders>
              <w:top w:val="single" w:sz="6" w:space="0" w:color="auto"/>
              <w:left w:val="single" w:sz="6" w:space="0" w:color="auto"/>
              <w:bottom w:val="single" w:sz="6" w:space="0" w:color="auto"/>
              <w:right w:val="single" w:sz="12" w:space="0" w:color="auto"/>
            </w:tcBorders>
            <w:vAlign w:val="center"/>
          </w:tcPr>
          <w:p w14:paraId="2C2A92D6"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Low</w:t>
            </w:r>
          </w:p>
        </w:tc>
        <w:tc>
          <w:tcPr>
            <w:tcW w:w="1200" w:type="dxa"/>
            <w:tcBorders>
              <w:top w:val="single" w:sz="6" w:space="0" w:color="auto"/>
              <w:left w:val="single" w:sz="12" w:space="0" w:color="auto"/>
              <w:bottom w:val="single" w:sz="6" w:space="0" w:color="auto"/>
              <w:right w:val="single" w:sz="12" w:space="0" w:color="auto"/>
            </w:tcBorders>
            <w:vAlign w:val="center"/>
          </w:tcPr>
          <w:p w14:paraId="784FE0BF"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3,000</w:t>
            </w:r>
          </w:p>
        </w:tc>
      </w:tr>
      <w:tr w:rsidR="000134F9" w:rsidRPr="000134F9" w14:paraId="09C1B38B"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379F6242" w14:textId="77777777" w:rsidR="000134F9" w:rsidRPr="000134F9" w:rsidRDefault="000134F9" w:rsidP="000134F9">
            <w:pPr>
              <w:jc w:val="both"/>
              <w:rPr>
                <w:rFonts w:ascii="Arial" w:hAnsi="Arial" w:cs="Arial"/>
                <w:bCs/>
                <w:sz w:val="14"/>
                <w:szCs w:val="14"/>
                <w:lang w:val="en-GB"/>
              </w:rPr>
            </w:pPr>
            <w:r w:rsidRPr="000134F9">
              <w:rPr>
                <w:rFonts w:ascii="Arial" w:hAnsi="Arial" w:cs="Arial"/>
                <w:sz w:val="14"/>
                <w:szCs w:val="14"/>
                <w:lang w:val="en-GB"/>
              </w:rPr>
              <w:t>Con Dao Islands</w:t>
            </w:r>
          </w:p>
        </w:tc>
        <w:tc>
          <w:tcPr>
            <w:tcW w:w="771" w:type="dxa"/>
            <w:tcBorders>
              <w:top w:val="single" w:sz="6" w:space="0" w:color="auto"/>
              <w:left w:val="single" w:sz="12" w:space="0" w:color="auto"/>
              <w:bottom w:val="single" w:sz="6" w:space="0" w:color="auto"/>
              <w:right w:val="single" w:sz="12" w:space="0" w:color="auto"/>
            </w:tcBorders>
            <w:noWrap/>
            <w:vAlign w:val="center"/>
          </w:tcPr>
          <w:p w14:paraId="78895723"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200</w:t>
            </w:r>
          </w:p>
        </w:tc>
        <w:tc>
          <w:tcPr>
            <w:tcW w:w="2448" w:type="dxa"/>
            <w:tcBorders>
              <w:top w:val="single" w:sz="6" w:space="0" w:color="auto"/>
              <w:left w:val="single" w:sz="12" w:space="0" w:color="auto"/>
              <w:bottom w:val="single" w:sz="6" w:space="0" w:color="auto"/>
              <w:right w:val="single" w:sz="12" w:space="0" w:color="auto"/>
            </w:tcBorders>
            <w:vAlign w:val="center"/>
          </w:tcPr>
          <w:p w14:paraId="47E0DFC3"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National Park</w:t>
            </w:r>
          </w:p>
        </w:tc>
        <w:tc>
          <w:tcPr>
            <w:tcW w:w="1260" w:type="dxa"/>
            <w:tcBorders>
              <w:top w:val="single" w:sz="6" w:space="0" w:color="auto"/>
              <w:left w:val="single" w:sz="12" w:space="0" w:color="auto"/>
              <w:bottom w:val="single" w:sz="6" w:space="0" w:color="auto"/>
              <w:right w:val="single" w:sz="6" w:space="0" w:color="auto"/>
            </w:tcBorders>
            <w:vAlign w:val="center"/>
          </w:tcPr>
          <w:p w14:paraId="18F51408"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200</w:t>
            </w:r>
          </w:p>
        </w:tc>
        <w:tc>
          <w:tcPr>
            <w:tcW w:w="1546" w:type="dxa"/>
            <w:tcBorders>
              <w:top w:val="single" w:sz="6" w:space="0" w:color="auto"/>
              <w:left w:val="single" w:sz="6" w:space="0" w:color="auto"/>
              <w:bottom w:val="single" w:sz="6" w:space="0" w:color="auto"/>
              <w:right w:val="single" w:sz="12" w:space="0" w:color="auto"/>
            </w:tcBorders>
            <w:vAlign w:val="center"/>
          </w:tcPr>
          <w:p w14:paraId="0D0E48BB"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Medium</w:t>
            </w:r>
          </w:p>
        </w:tc>
        <w:tc>
          <w:tcPr>
            <w:tcW w:w="1200" w:type="dxa"/>
            <w:tcBorders>
              <w:top w:val="single" w:sz="6" w:space="0" w:color="auto"/>
              <w:left w:val="single" w:sz="12" w:space="0" w:color="auto"/>
              <w:bottom w:val="single" w:sz="6" w:space="0" w:color="auto"/>
              <w:right w:val="single" w:sz="12" w:space="0" w:color="auto"/>
            </w:tcBorders>
            <w:vAlign w:val="center"/>
          </w:tcPr>
          <w:p w14:paraId="7808EEE5"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200</w:t>
            </w:r>
          </w:p>
        </w:tc>
      </w:tr>
      <w:tr w:rsidR="000134F9" w:rsidRPr="000134F9" w14:paraId="15CD3388"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671181C8" w14:textId="77777777" w:rsidR="000134F9" w:rsidRPr="000134F9" w:rsidRDefault="000134F9" w:rsidP="000134F9">
            <w:pPr>
              <w:jc w:val="both"/>
              <w:rPr>
                <w:rFonts w:ascii="Arial" w:hAnsi="Arial" w:cs="Arial"/>
                <w:bCs/>
                <w:sz w:val="14"/>
                <w:szCs w:val="14"/>
                <w:lang w:val="fr-FR"/>
              </w:rPr>
            </w:pPr>
            <w:r w:rsidRPr="000134F9">
              <w:rPr>
                <w:rFonts w:ascii="Arial" w:hAnsi="Arial" w:cs="Arial"/>
                <w:sz w:val="14"/>
                <w:szCs w:val="14"/>
                <w:lang w:val="fr-FR"/>
              </w:rPr>
              <w:t>Phu Qui Island</w:t>
            </w:r>
          </w:p>
        </w:tc>
        <w:tc>
          <w:tcPr>
            <w:tcW w:w="771" w:type="dxa"/>
            <w:tcBorders>
              <w:top w:val="single" w:sz="6" w:space="0" w:color="auto"/>
              <w:left w:val="single" w:sz="12" w:space="0" w:color="auto"/>
              <w:bottom w:val="single" w:sz="6" w:space="0" w:color="auto"/>
              <w:right w:val="single" w:sz="12" w:space="0" w:color="auto"/>
            </w:tcBorders>
            <w:noWrap/>
            <w:vAlign w:val="center"/>
          </w:tcPr>
          <w:p w14:paraId="25ACCEE4"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400</w:t>
            </w:r>
          </w:p>
        </w:tc>
        <w:tc>
          <w:tcPr>
            <w:tcW w:w="2448" w:type="dxa"/>
            <w:tcBorders>
              <w:top w:val="single" w:sz="6" w:space="0" w:color="auto"/>
              <w:left w:val="single" w:sz="12" w:space="0" w:color="auto"/>
              <w:bottom w:val="single" w:sz="6" w:space="0" w:color="auto"/>
              <w:right w:val="single" w:sz="12" w:space="0" w:color="auto"/>
            </w:tcBorders>
            <w:vAlign w:val="center"/>
          </w:tcPr>
          <w:p w14:paraId="7189D69E"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Proposed MPA</w:t>
            </w:r>
          </w:p>
        </w:tc>
        <w:tc>
          <w:tcPr>
            <w:tcW w:w="1260" w:type="dxa"/>
            <w:tcBorders>
              <w:top w:val="single" w:sz="6" w:space="0" w:color="auto"/>
              <w:left w:val="single" w:sz="12" w:space="0" w:color="auto"/>
              <w:bottom w:val="single" w:sz="6" w:space="0" w:color="auto"/>
              <w:right w:val="single" w:sz="6" w:space="0" w:color="auto"/>
            </w:tcBorders>
            <w:vAlign w:val="center"/>
          </w:tcPr>
          <w:p w14:paraId="4FFB6AC7"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No</w:t>
            </w:r>
          </w:p>
        </w:tc>
        <w:tc>
          <w:tcPr>
            <w:tcW w:w="1546" w:type="dxa"/>
            <w:tcBorders>
              <w:top w:val="single" w:sz="6" w:space="0" w:color="auto"/>
              <w:left w:val="single" w:sz="6" w:space="0" w:color="auto"/>
              <w:bottom w:val="single" w:sz="6" w:space="0" w:color="auto"/>
              <w:right w:val="single" w:sz="12" w:space="0" w:color="auto"/>
            </w:tcBorders>
            <w:vAlign w:val="center"/>
          </w:tcPr>
          <w:p w14:paraId="7B3C2609"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4D8C2DFD"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0</w:t>
            </w:r>
          </w:p>
        </w:tc>
      </w:tr>
      <w:tr w:rsidR="000134F9" w:rsidRPr="000134F9" w14:paraId="38E0F926"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7C3E9C1A" w14:textId="77777777" w:rsidR="000134F9" w:rsidRPr="000134F9" w:rsidRDefault="000134F9" w:rsidP="000134F9">
            <w:pPr>
              <w:jc w:val="both"/>
              <w:rPr>
                <w:rFonts w:ascii="Arial" w:hAnsi="Arial" w:cs="Arial"/>
                <w:bCs/>
                <w:sz w:val="14"/>
                <w:szCs w:val="14"/>
                <w:lang w:val="en-GB"/>
              </w:rPr>
            </w:pPr>
            <w:r w:rsidRPr="000134F9">
              <w:rPr>
                <w:rFonts w:ascii="Arial" w:hAnsi="Arial" w:cs="Arial"/>
                <w:sz w:val="14"/>
                <w:szCs w:val="14"/>
                <w:lang w:val="en-GB"/>
              </w:rPr>
              <w:t>Thuy Trieu</w:t>
            </w:r>
          </w:p>
        </w:tc>
        <w:tc>
          <w:tcPr>
            <w:tcW w:w="771" w:type="dxa"/>
            <w:tcBorders>
              <w:top w:val="single" w:sz="6" w:space="0" w:color="auto"/>
              <w:left w:val="single" w:sz="12" w:space="0" w:color="auto"/>
              <w:bottom w:val="single" w:sz="6" w:space="0" w:color="auto"/>
              <w:right w:val="single" w:sz="12" w:space="0" w:color="auto"/>
            </w:tcBorders>
            <w:noWrap/>
            <w:vAlign w:val="center"/>
          </w:tcPr>
          <w:p w14:paraId="08F79E64"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800</w:t>
            </w:r>
          </w:p>
        </w:tc>
        <w:tc>
          <w:tcPr>
            <w:tcW w:w="2448" w:type="dxa"/>
            <w:tcBorders>
              <w:top w:val="single" w:sz="6" w:space="0" w:color="auto"/>
              <w:left w:val="single" w:sz="12" w:space="0" w:color="auto"/>
              <w:bottom w:val="single" w:sz="6" w:space="0" w:color="auto"/>
              <w:right w:val="single" w:sz="12" w:space="0" w:color="auto"/>
            </w:tcBorders>
            <w:vAlign w:val="center"/>
          </w:tcPr>
          <w:p w14:paraId="1E840912"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Proposed MPA</w:t>
            </w:r>
          </w:p>
        </w:tc>
        <w:tc>
          <w:tcPr>
            <w:tcW w:w="1260" w:type="dxa"/>
            <w:tcBorders>
              <w:top w:val="single" w:sz="6" w:space="0" w:color="auto"/>
              <w:left w:val="single" w:sz="12" w:space="0" w:color="auto"/>
              <w:bottom w:val="single" w:sz="6" w:space="0" w:color="auto"/>
              <w:right w:val="single" w:sz="6" w:space="0" w:color="auto"/>
            </w:tcBorders>
            <w:vAlign w:val="center"/>
          </w:tcPr>
          <w:p w14:paraId="4A5CA77E"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50</w:t>
            </w:r>
          </w:p>
        </w:tc>
        <w:tc>
          <w:tcPr>
            <w:tcW w:w="1546" w:type="dxa"/>
            <w:tcBorders>
              <w:top w:val="single" w:sz="6" w:space="0" w:color="auto"/>
              <w:left w:val="single" w:sz="6" w:space="0" w:color="auto"/>
              <w:bottom w:val="single" w:sz="6" w:space="0" w:color="auto"/>
              <w:right w:val="single" w:sz="12" w:space="0" w:color="auto"/>
            </w:tcBorders>
            <w:vAlign w:val="center"/>
          </w:tcPr>
          <w:p w14:paraId="5F927034"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0FE75628"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350</w:t>
            </w:r>
          </w:p>
        </w:tc>
      </w:tr>
      <w:tr w:rsidR="000134F9" w:rsidRPr="000134F9" w14:paraId="06ECE431" w14:textId="77777777" w:rsidTr="000134F9">
        <w:trPr>
          <w:jc w:val="center"/>
        </w:trPr>
        <w:tc>
          <w:tcPr>
            <w:tcW w:w="2516" w:type="dxa"/>
            <w:tcBorders>
              <w:top w:val="single" w:sz="6" w:space="0" w:color="auto"/>
              <w:left w:val="single" w:sz="12" w:space="0" w:color="auto"/>
              <w:bottom w:val="single" w:sz="6" w:space="0" w:color="auto"/>
              <w:right w:val="single" w:sz="12" w:space="0" w:color="auto"/>
            </w:tcBorders>
            <w:noWrap/>
            <w:vAlign w:val="center"/>
          </w:tcPr>
          <w:p w14:paraId="29C2FE9F" w14:textId="77777777" w:rsidR="000134F9" w:rsidRPr="000134F9" w:rsidRDefault="000134F9" w:rsidP="000134F9">
            <w:pPr>
              <w:jc w:val="both"/>
              <w:rPr>
                <w:rFonts w:ascii="Arial" w:hAnsi="Arial" w:cs="Arial"/>
                <w:bCs/>
                <w:sz w:val="14"/>
                <w:szCs w:val="14"/>
                <w:lang w:val="en-GB"/>
              </w:rPr>
            </w:pPr>
            <w:r w:rsidRPr="000134F9">
              <w:rPr>
                <w:rFonts w:ascii="Arial" w:hAnsi="Arial" w:cs="Arial"/>
                <w:bCs/>
                <w:sz w:val="14"/>
                <w:szCs w:val="14"/>
                <w:lang w:val="en-GB"/>
              </w:rPr>
              <w:t>Tam Giang</w:t>
            </w:r>
          </w:p>
        </w:tc>
        <w:tc>
          <w:tcPr>
            <w:tcW w:w="771" w:type="dxa"/>
            <w:tcBorders>
              <w:top w:val="single" w:sz="6" w:space="0" w:color="auto"/>
              <w:left w:val="single" w:sz="12" w:space="0" w:color="auto"/>
              <w:bottom w:val="single" w:sz="6" w:space="0" w:color="auto"/>
              <w:right w:val="single" w:sz="12" w:space="0" w:color="auto"/>
            </w:tcBorders>
            <w:noWrap/>
            <w:vAlign w:val="center"/>
          </w:tcPr>
          <w:p w14:paraId="38AEEF1B"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2,000</w:t>
            </w:r>
          </w:p>
        </w:tc>
        <w:tc>
          <w:tcPr>
            <w:tcW w:w="2448" w:type="dxa"/>
            <w:tcBorders>
              <w:top w:val="single" w:sz="6" w:space="0" w:color="auto"/>
              <w:left w:val="single" w:sz="12" w:space="0" w:color="auto"/>
              <w:bottom w:val="single" w:sz="6" w:space="0" w:color="auto"/>
              <w:right w:val="single" w:sz="12" w:space="0" w:color="auto"/>
            </w:tcBorders>
            <w:vAlign w:val="center"/>
          </w:tcPr>
          <w:p w14:paraId="2A17B461"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Proposed Ramsar</w:t>
            </w:r>
          </w:p>
        </w:tc>
        <w:tc>
          <w:tcPr>
            <w:tcW w:w="1260" w:type="dxa"/>
            <w:tcBorders>
              <w:top w:val="single" w:sz="6" w:space="0" w:color="auto"/>
              <w:left w:val="single" w:sz="12" w:space="0" w:color="auto"/>
              <w:bottom w:val="single" w:sz="6" w:space="0" w:color="auto"/>
              <w:right w:val="single" w:sz="6" w:space="0" w:color="auto"/>
            </w:tcBorders>
            <w:vAlign w:val="center"/>
          </w:tcPr>
          <w:p w14:paraId="6A6FB159"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No</w:t>
            </w:r>
          </w:p>
        </w:tc>
        <w:tc>
          <w:tcPr>
            <w:tcW w:w="1546" w:type="dxa"/>
            <w:tcBorders>
              <w:top w:val="single" w:sz="6" w:space="0" w:color="auto"/>
              <w:left w:val="single" w:sz="6" w:space="0" w:color="auto"/>
              <w:bottom w:val="single" w:sz="6" w:space="0" w:color="auto"/>
              <w:right w:val="single" w:sz="12" w:space="0" w:color="auto"/>
            </w:tcBorders>
            <w:vAlign w:val="center"/>
          </w:tcPr>
          <w:p w14:paraId="59F38171"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N/A</w:t>
            </w:r>
          </w:p>
        </w:tc>
        <w:tc>
          <w:tcPr>
            <w:tcW w:w="1200" w:type="dxa"/>
            <w:tcBorders>
              <w:top w:val="single" w:sz="6" w:space="0" w:color="auto"/>
              <w:left w:val="single" w:sz="12" w:space="0" w:color="auto"/>
              <w:bottom w:val="single" w:sz="6" w:space="0" w:color="auto"/>
              <w:right w:val="single" w:sz="12" w:space="0" w:color="auto"/>
            </w:tcBorders>
            <w:vAlign w:val="center"/>
          </w:tcPr>
          <w:p w14:paraId="6DB9AB48"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1,000</w:t>
            </w:r>
          </w:p>
        </w:tc>
      </w:tr>
      <w:tr w:rsidR="000134F9" w:rsidRPr="000134F9" w14:paraId="2C529A92" w14:textId="77777777" w:rsidTr="000134F9">
        <w:trPr>
          <w:trHeight w:val="65"/>
          <w:jc w:val="center"/>
        </w:trPr>
        <w:tc>
          <w:tcPr>
            <w:tcW w:w="2516" w:type="dxa"/>
            <w:tcBorders>
              <w:top w:val="single" w:sz="6" w:space="0" w:color="auto"/>
              <w:left w:val="single" w:sz="12" w:space="0" w:color="auto"/>
              <w:bottom w:val="single" w:sz="12" w:space="0" w:color="auto"/>
              <w:right w:val="single" w:sz="12" w:space="0" w:color="auto"/>
            </w:tcBorders>
            <w:noWrap/>
            <w:vAlign w:val="center"/>
          </w:tcPr>
          <w:p w14:paraId="48FAE92B" w14:textId="77777777" w:rsidR="000134F9" w:rsidRPr="000134F9" w:rsidRDefault="000134F9" w:rsidP="000134F9">
            <w:pPr>
              <w:jc w:val="both"/>
              <w:rPr>
                <w:rFonts w:ascii="Arial" w:hAnsi="Arial" w:cs="Arial"/>
                <w:bCs/>
                <w:sz w:val="14"/>
                <w:szCs w:val="14"/>
                <w:lang w:val="en-GB"/>
              </w:rPr>
            </w:pPr>
            <w:r w:rsidRPr="000134F9">
              <w:rPr>
                <w:rFonts w:ascii="Arial" w:hAnsi="Arial" w:cs="Arial"/>
                <w:bCs/>
                <w:sz w:val="14"/>
                <w:szCs w:val="14"/>
                <w:lang w:val="en-GB"/>
              </w:rPr>
              <w:t>Cu Lao Cham</w:t>
            </w:r>
          </w:p>
        </w:tc>
        <w:tc>
          <w:tcPr>
            <w:tcW w:w="771" w:type="dxa"/>
            <w:tcBorders>
              <w:top w:val="single" w:sz="6" w:space="0" w:color="auto"/>
              <w:left w:val="single" w:sz="12" w:space="0" w:color="auto"/>
              <w:bottom w:val="single" w:sz="12" w:space="0" w:color="auto"/>
              <w:right w:val="single" w:sz="12" w:space="0" w:color="auto"/>
            </w:tcBorders>
            <w:noWrap/>
            <w:vAlign w:val="center"/>
          </w:tcPr>
          <w:p w14:paraId="5CCFE764"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40</w:t>
            </w:r>
          </w:p>
        </w:tc>
        <w:tc>
          <w:tcPr>
            <w:tcW w:w="2448" w:type="dxa"/>
            <w:tcBorders>
              <w:top w:val="single" w:sz="6" w:space="0" w:color="auto"/>
              <w:left w:val="single" w:sz="12" w:space="0" w:color="auto"/>
              <w:bottom w:val="single" w:sz="12" w:space="0" w:color="auto"/>
              <w:right w:val="single" w:sz="12" w:space="0" w:color="auto"/>
            </w:tcBorders>
            <w:vAlign w:val="center"/>
          </w:tcPr>
          <w:p w14:paraId="2EECE030" w14:textId="77777777" w:rsidR="000134F9" w:rsidRPr="000134F9" w:rsidRDefault="000134F9" w:rsidP="000134F9">
            <w:pPr>
              <w:rPr>
                <w:rFonts w:ascii="Arial" w:hAnsi="Arial" w:cs="Arial"/>
                <w:sz w:val="16"/>
                <w:szCs w:val="20"/>
                <w:lang w:val="en-GB"/>
              </w:rPr>
            </w:pPr>
            <w:r w:rsidRPr="000134F9">
              <w:rPr>
                <w:rFonts w:ascii="Arial" w:hAnsi="Arial" w:cs="Arial"/>
                <w:sz w:val="16"/>
                <w:szCs w:val="20"/>
                <w:lang w:val="en-GB"/>
              </w:rPr>
              <w:t>MPA</w:t>
            </w:r>
          </w:p>
        </w:tc>
        <w:tc>
          <w:tcPr>
            <w:tcW w:w="1260" w:type="dxa"/>
            <w:tcBorders>
              <w:top w:val="single" w:sz="6" w:space="0" w:color="auto"/>
              <w:left w:val="single" w:sz="12" w:space="0" w:color="auto"/>
              <w:bottom w:val="single" w:sz="12" w:space="0" w:color="auto"/>
              <w:right w:val="single" w:sz="6" w:space="0" w:color="auto"/>
            </w:tcBorders>
            <w:vAlign w:val="center"/>
          </w:tcPr>
          <w:p w14:paraId="50616AC0"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40</w:t>
            </w:r>
          </w:p>
        </w:tc>
        <w:tc>
          <w:tcPr>
            <w:tcW w:w="1546" w:type="dxa"/>
            <w:tcBorders>
              <w:top w:val="single" w:sz="6" w:space="0" w:color="auto"/>
              <w:left w:val="single" w:sz="6" w:space="0" w:color="auto"/>
              <w:bottom w:val="single" w:sz="12" w:space="0" w:color="auto"/>
              <w:right w:val="single" w:sz="12" w:space="0" w:color="auto"/>
            </w:tcBorders>
            <w:vAlign w:val="center"/>
          </w:tcPr>
          <w:p w14:paraId="4449355F" w14:textId="77777777" w:rsidR="000134F9" w:rsidRPr="000134F9" w:rsidRDefault="000134F9" w:rsidP="000134F9">
            <w:pPr>
              <w:jc w:val="center"/>
              <w:rPr>
                <w:rFonts w:ascii="Arial" w:hAnsi="Arial" w:cs="Arial"/>
                <w:sz w:val="16"/>
                <w:szCs w:val="20"/>
                <w:lang w:val="en-GB"/>
              </w:rPr>
            </w:pPr>
            <w:r w:rsidRPr="000134F9">
              <w:rPr>
                <w:rFonts w:ascii="Arial" w:hAnsi="Arial" w:cs="Arial"/>
                <w:sz w:val="16"/>
                <w:szCs w:val="20"/>
                <w:lang w:val="en-GB"/>
              </w:rPr>
              <w:t>Medium</w:t>
            </w:r>
          </w:p>
        </w:tc>
        <w:tc>
          <w:tcPr>
            <w:tcW w:w="1200" w:type="dxa"/>
            <w:tcBorders>
              <w:top w:val="single" w:sz="6" w:space="0" w:color="auto"/>
              <w:left w:val="single" w:sz="12" w:space="0" w:color="auto"/>
              <w:bottom w:val="single" w:sz="12" w:space="0" w:color="auto"/>
              <w:right w:val="single" w:sz="12" w:space="0" w:color="auto"/>
            </w:tcBorders>
            <w:vAlign w:val="center"/>
          </w:tcPr>
          <w:p w14:paraId="47914D63" w14:textId="77777777" w:rsidR="000134F9" w:rsidRPr="000134F9" w:rsidRDefault="000134F9" w:rsidP="000134F9">
            <w:pPr>
              <w:jc w:val="right"/>
              <w:rPr>
                <w:rFonts w:ascii="Arial" w:hAnsi="Arial" w:cs="Arial"/>
                <w:sz w:val="16"/>
                <w:szCs w:val="20"/>
                <w:lang w:val="en-GB"/>
              </w:rPr>
            </w:pPr>
            <w:r w:rsidRPr="000134F9">
              <w:rPr>
                <w:rFonts w:ascii="Arial" w:hAnsi="Arial" w:cs="Arial"/>
                <w:sz w:val="16"/>
                <w:szCs w:val="20"/>
                <w:lang w:val="en-GB"/>
              </w:rPr>
              <w:t>0</w:t>
            </w:r>
          </w:p>
        </w:tc>
      </w:tr>
    </w:tbl>
    <w:p w14:paraId="78009114" w14:textId="77777777" w:rsidR="00B8558B" w:rsidRDefault="00B8558B" w:rsidP="000134F9">
      <w:pPr>
        <w:numPr>
          <w:ilvl w:val="0"/>
          <w:numId w:val="3"/>
        </w:numPr>
        <w:spacing w:before="120" w:after="120"/>
        <w:ind w:left="0" w:firstLine="0"/>
        <w:jc w:val="both"/>
        <w:rPr>
          <w:sz w:val="22"/>
          <w:szCs w:val="22"/>
          <w:lang w:val="en-GB"/>
        </w:rPr>
      </w:pPr>
      <w:r w:rsidRPr="00B8558B">
        <w:rPr>
          <w:sz w:val="22"/>
          <w:szCs w:val="22"/>
          <w:lang w:val="en-GB"/>
        </w:rPr>
        <w:t>A review of the management status of seagrass sites indicat</w:t>
      </w:r>
      <w:r w:rsidR="000134F9">
        <w:rPr>
          <w:sz w:val="22"/>
          <w:szCs w:val="22"/>
          <w:lang w:val="en-GB"/>
        </w:rPr>
        <w:t>es</w:t>
      </w:r>
      <w:r w:rsidRPr="00B8558B">
        <w:rPr>
          <w:sz w:val="22"/>
          <w:szCs w:val="22"/>
          <w:lang w:val="en-GB"/>
        </w:rPr>
        <w:t xml:space="preserve"> that 12,900 ha (16.5%) of the total known area of seagrass in the South China Sea is currently under some form of management, although the effectiveness of management was rated medium to low. Very few seagrass sites ha</w:t>
      </w:r>
      <w:r w:rsidR="000134F9">
        <w:rPr>
          <w:sz w:val="22"/>
          <w:szCs w:val="22"/>
          <w:lang w:val="en-GB"/>
        </w:rPr>
        <w:t>ve</w:t>
      </w:r>
      <w:r w:rsidRPr="00B8558B">
        <w:rPr>
          <w:sz w:val="22"/>
          <w:szCs w:val="22"/>
          <w:lang w:val="en-GB"/>
        </w:rPr>
        <w:t xml:space="preserve"> any specific legal status. To address this, </w:t>
      </w:r>
      <w:r w:rsidR="000134F9">
        <w:rPr>
          <w:sz w:val="22"/>
          <w:szCs w:val="22"/>
          <w:lang w:val="en-GB"/>
        </w:rPr>
        <w:t>it was agreed that</w:t>
      </w:r>
      <w:r w:rsidRPr="00B8558B">
        <w:rPr>
          <w:sz w:val="22"/>
          <w:szCs w:val="22"/>
          <w:lang w:val="en-GB"/>
        </w:rPr>
        <w:t xml:space="preserve"> 25,900 ha (33%</w:t>
      </w:r>
      <w:r w:rsidR="000134F9">
        <w:rPr>
          <w:sz w:val="22"/>
          <w:szCs w:val="22"/>
          <w:lang w:val="en-GB"/>
        </w:rPr>
        <w:t xml:space="preserve"> of the total known </w:t>
      </w:r>
      <w:r w:rsidR="000134F9" w:rsidRPr="000134F9">
        <w:rPr>
          <w:sz w:val="22"/>
          <w:szCs w:val="22"/>
          <w:lang w:val="en-GB"/>
        </w:rPr>
        <w:t>78,300 ha</w:t>
      </w:r>
      <w:r w:rsidR="000134F9">
        <w:rPr>
          <w:sz w:val="22"/>
          <w:szCs w:val="22"/>
          <w:lang w:val="en-GB"/>
        </w:rPr>
        <w:t>) would be</w:t>
      </w:r>
      <w:r w:rsidRPr="00B8558B">
        <w:rPr>
          <w:sz w:val="22"/>
          <w:szCs w:val="22"/>
          <w:lang w:val="en-GB"/>
        </w:rPr>
        <w:t xml:space="preserve"> targeted to be brought under sustainable management through </w:t>
      </w:r>
      <w:r w:rsidR="000134F9">
        <w:rPr>
          <w:sz w:val="22"/>
          <w:szCs w:val="22"/>
          <w:lang w:val="en-GB"/>
        </w:rPr>
        <w:t>SAP implementation.</w:t>
      </w:r>
    </w:p>
    <w:p w14:paraId="48CA9564" w14:textId="77777777" w:rsidR="00C154DB" w:rsidRPr="00C154DB" w:rsidRDefault="000134F9" w:rsidP="00C154DB">
      <w:pPr>
        <w:numPr>
          <w:ilvl w:val="0"/>
          <w:numId w:val="3"/>
        </w:numPr>
        <w:ind w:left="0" w:firstLine="0"/>
        <w:jc w:val="both"/>
        <w:rPr>
          <w:sz w:val="22"/>
          <w:szCs w:val="22"/>
          <w:lang w:val="en-GB"/>
        </w:rPr>
      </w:pPr>
      <w:r w:rsidRPr="000134F9">
        <w:rPr>
          <w:sz w:val="22"/>
          <w:szCs w:val="22"/>
          <w:lang w:val="en-GB"/>
        </w:rPr>
        <w:t xml:space="preserve">In preparation for implementation of the </w:t>
      </w:r>
      <w:r>
        <w:rPr>
          <w:sz w:val="22"/>
          <w:szCs w:val="22"/>
          <w:lang w:val="en-GB"/>
        </w:rPr>
        <w:t xml:space="preserve">seagrass </w:t>
      </w:r>
      <w:r w:rsidRPr="000134F9">
        <w:rPr>
          <w:sz w:val="22"/>
          <w:szCs w:val="22"/>
          <w:lang w:val="en-GB"/>
        </w:rPr>
        <w:t xml:space="preserve">activities of the SAP, comprehensive site characterization information and data were compiled to establish detailed baselines for the </w:t>
      </w:r>
      <w:r>
        <w:rPr>
          <w:sz w:val="22"/>
          <w:szCs w:val="22"/>
          <w:lang w:val="en-GB"/>
        </w:rPr>
        <w:t>seagrass</w:t>
      </w:r>
      <w:r w:rsidRPr="000134F9">
        <w:rPr>
          <w:sz w:val="22"/>
          <w:szCs w:val="22"/>
          <w:lang w:val="en-GB"/>
        </w:rPr>
        <w:t xml:space="preserve"> sites identified as priority locations for management within the framework of SAP implementation. These site characterisations contain geographical coordinates, information on the physical environment, environmental state information, socio-economic and resource use information, biological data, and information on the status of existing management at these sites. These baseline assessments of the sites have been made accessible o</w:t>
      </w:r>
      <w:r w:rsidR="00C154DB">
        <w:rPr>
          <w:sz w:val="22"/>
          <w:szCs w:val="22"/>
          <w:lang w:val="en-GB"/>
        </w:rPr>
        <w:t>nline at http://gis.unepscs.org</w:t>
      </w:r>
      <w:r w:rsidRPr="000134F9">
        <w:rPr>
          <w:sz w:val="22"/>
          <w:szCs w:val="22"/>
          <w:lang w:val="en-GB"/>
        </w:rPr>
        <w:t>. A supporting meta-database of the data used to establish the baselines has also been deve</w:t>
      </w:r>
      <w:r w:rsidR="00DE3C4A">
        <w:rPr>
          <w:sz w:val="22"/>
          <w:szCs w:val="22"/>
          <w:lang w:val="en-GB"/>
        </w:rPr>
        <w:t>loped as a preparatory activity</w:t>
      </w:r>
      <w:r w:rsidRPr="000134F9">
        <w:rPr>
          <w:sz w:val="22"/>
          <w:szCs w:val="22"/>
          <w:lang w:val="en-GB"/>
        </w:rPr>
        <w:t xml:space="preserve">. Detailed national reports on the status and trends in </w:t>
      </w:r>
      <w:r w:rsidR="00C154DB">
        <w:rPr>
          <w:sz w:val="22"/>
          <w:szCs w:val="22"/>
          <w:lang w:val="en-GB"/>
        </w:rPr>
        <w:t>seagrass and seagrass</w:t>
      </w:r>
      <w:r w:rsidRPr="000134F9">
        <w:rPr>
          <w:sz w:val="22"/>
          <w:szCs w:val="22"/>
          <w:lang w:val="en-GB"/>
        </w:rPr>
        <w:t xml:space="preserve"> management were also published in pre</w:t>
      </w:r>
      <w:r w:rsidR="00C154DB">
        <w:rPr>
          <w:sz w:val="22"/>
          <w:szCs w:val="22"/>
          <w:lang w:val="en-GB"/>
        </w:rPr>
        <w:t>paration for SAP implementation</w:t>
      </w:r>
      <w:r w:rsidR="00C154DB">
        <w:rPr>
          <w:rStyle w:val="FootnoteReference"/>
          <w:sz w:val="22"/>
          <w:szCs w:val="22"/>
          <w:lang w:val="en-GB"/>
        </w:rPr>
        <w:footnoteReference w:id="73"/>
      </w:r>
      <w:r w:rsidRPr="000134F9">
        <w:rPr>
          <w:sz w:val="22"/>
          <w:szCs w:val="22"/>
          <w:lang w:val="en-GB"/>
        </w:rPr>
        <w:t>.</w:t>
      </w:r>
    </w:p>
    <w:p w14:paraId="1ED1F12D" w14:textId="77777777" w:rsidR="00C154DB" w:rsidRDefault="00C154DB" w:rsidP="00C154DB">
      <w:pPr>
        <w:numPr>
          <w:ilvl w:val="0"/>
          <w:numId w:val="3"/>
        </w:numPr>
        <w:spacing w:before="120" w:after="120"/>
        <w:ind w:left="0" w:firstLine="0"/>
        <w:jc w:val="both"/>
        <w:rPr>
          <w:sz w:val="22"/>
          <w:szCs w:val="22"/>
          <w:lang w:val="en-GB"/>
        </w:rPr>
      </w:pPr>
      <w:r w:rsidRPr="00C154DB">
        <w:rPr>
          <w:sz w:val="22"/>
          <w:szCs w:val="22"/>
          <w:lang w:val="en-GB"/>
        </w:rPr>
        <w:t>The RWG-SG agreed the goal of the SAP with respect to seagrass as</w:t>
      </w:r>
      <w:r>
        <w:rPr>
          <w:sz w:val="22"/>
          <w:szCs w:val="22"/>
          <w:lang w:val="en-GB"/>
        </w:rPr>
        <w:t>:</w:t>
      </w:r>
      <w:r w:rsidRPr="00C154DB">
        <w:rPr>
          <w:sz w:val="22"/>
          <w:szCs w:val="22"/>
          <w:lang w:val="en-GB"/>
        </w:rPr>
        <w:t xml:space="preserve"> </w:t>
      </w:r>
    </w:p>
    <w:p w14:paraId="771E08A3" w14:textId="77777777" w:rsidR="00C154DB" w:rsidRPr="00C154DB" w:rsidRDefault="00C154DB" w:rsidP="00DE3C4A">
      <w:pPr>
        <w:spacing w:before="120" w:after="120"/>
        <w:ind w:firstLine="720"/>
        <w:jc w:val="both"/>
        <w:rPr>
          <w:i/>
          <w:sz w:val="22"/>
          <w:szCs w:val="22"/>
          <w:lang w:val="en-GB"/>
        </w:rPr>
      </w:pPr>
      <w:r w:rsidRPr="00C154DB">
        <w:rPr>
          <w:i/>
          <w:sz w:val="22"/>
          <w:szCs w:val="22"/>
          <w:lang w:val="en-GB"/>
        </w:rPr>
        <w:t xml:space="preserve">“To conserve, manage and sustainably utilise seagrass habitats and resources” </w:t>
      </w:r>
    </w:p>
    <w:p w14:paraId="563E4562" w14:textId="77777777" w:rsidR="00C154DB" w:rsidRDefault="00C154DB" w:rsidP="00C154DB">
      <w:pPr>
        <w:numPr>
          <w:ilvl w:val="0"/>
          <w:numId w:val="3"/>
        </w:numPr>
        <w:spacing w:before="120" w:after="120"/>
        <w:ind w:left="0" w:firstLine="0"/>
        <w:jc w:val="both"/>
        <w:rPr>
          <w:sz w:val="22"/>
          <w:szCs w:val="22"/>
          <w:lang w:val="en-GB"/>
        </w:rPr>
      </w:pPr>
      <w:r w:rsidRPr="00C154DB">
        <w:rPr>
          <w:sz w:val="22"/>
          <w:szCs w:val="22"/>
          <w:lang w:val="en-GB"/>
        </w:rPr>
        <w:t>S</w:t>
      </w:r>
      <w:r>
        <w:rPr>
          <w:sz w:val="22"/>
          <w:szCs w:val="22"/>
          <w:lang w:val="en-GB"/>
        </w:rPr>
        <w:t>pecific targets agreed in the SAP for</w:t>
      </w:r>
      <w:r w:rsidRPr="00C154DB">
        <w:rPr>
          <w:sz w:val="22"/>
          <w:szCs w:val="22"/>
          <w:lang w:val="en-GB"/>
        </w:rPr>
        <w:t xml:space="preserve"> the management and conservation of seagrass ecosystems in the SCS included: </w:t>
      </w:r>
    </w:p>
    <w:p w14:paraId="2DF8974C" w14:textId="77777777" w:rsidR="00C154DB" w:rsidRDefault="00C154DB" w:rsidP="004B053A">
      <w:pPr>
        <w:numPr>
          <w:ilvl w:val="0"/>
          <w:numId w:val="22"/>
        </w:numPr>
        <w:spacing w:before="120" w:after="120"/>
        <w:jc w:val="both"/>
        <w:rPr>
          <w:sz w:val="22"/>
          <w:szCs w:val="22"/>
          <w:lang w:val="en-GB"/>
        </w:rPr>
      </w:pPr>
      <w:r w:rsidRPr="00C154DB">
        <w:rPr>
          <w:sz w:val="22"/>
          <w:szCs w:val="22"/>
          <w:lang w:val="en-GB"/>
        </w:rPr>
        <w:t xml:space="preserve">bringing 21 managed areas totalling approximately 25,900 ha under sustainable management; </w:t>
      </w:r>
    </w:p>
    <w:p w14:paraId="34D0F828" w14:textId="77777777" w:rsidR="00C154DB" w:rsidRDefault="00C154DB" w:rsidP="004B053A">
      <w:pPr>
        <w:numPr>
          <w:ilvl w:val="0"/>
          <w:numId w:val="22"/>
        </w:numPr>
        <w:spacing w:before="120" w:after="120"/>
        <w:jc w:val="both"/>
        <w:rPr>
          <w:sz w:val="22"/>
          <w:szCs w:val="22"/>
          <w:lang w:val="en-GB"/>
        </w:rPr>
      </w:pPr>
      <w:r w:rsidRPr="00C154DB">
        <w:rPr>
          <w:sz w:val="22"/>
          <w:szCs w:val="22"/>
          <w:lang w:val="en-GB"/>
        </w:rPr>
        <w:t xml:space="preserve">amendment of the management plans for seven existing MPAs with significant areas of seagrass habitat to include specific seagrass-related management actions; and </w:t>
      </w:r>
    </w:p>
    <w:p w14:paraId="4FCCDD30" w14:textId="77777777" w:rsidR="00C154DB" w:rsidRDefault="00C154DB" w:rsidP="004B053A">
      <w:pPr>
        <w:numPr>
          <w:ilvl w:val="0"/>
          <w:numId w:val="22"/>
        </w:numPr>
        <w:spacing w:before="120" w:after="120"/>
        <w:jc w:val="both"/>
        <w:rPr>
          <w:sz w:val="22"/>
          <w:szCs w:val="22"/>
          <w:lang w:val="en-GB"/>
        </w:rPr>
      </w:pPr>
      <w:r w:rsidRPr="00C154DB">
        <w:rPr>
          <w:sz w:val="22"/>
          <w:szCs w:val="22"/>
          <w:lang w:val="en-GB"/>
        </w:rPr>
        <w:t>the adoption of 7 new MPAs specifically focusing on seagrass habitats by the year 2012.</w:t>
      </w:r>
    </w:p>
    <w:p w14:paraId="014E5F4C" w14:textId="77777777" w:rsidR="00DE3C4A" w:rsidRDefault="00C154DB" w:rsidP="00C154DB">
      <w:pPr>
        <w:numPr>
          <w:ilvl w:val="0"/>
          <w:numId w:val="3"/>
        </w:numPr>
        <w:spacing w:before="120" w:after="120"/>
        <w:ind w:left="0" w:firstLine="0"/>
        <w:jc w:val="both"/>
        <w:rPr>
          <w:sz w:val="22"/>
          <w:szCs w:val="22"/>
          <w:lang w:val="en-GB"/>
        </w:rPr>
      </w:pPr>
      <w:r>
        <w:rPr>
          <w:sz w:val="22"/>
          <w:szCs w:val="22"/>
          <w:lang w:val="en-GB"/>
        </w:rPr>
        <w:t>Accordingly, activities in support of achieving Outcome 1.3 are aimed at</w:t>
      </w:r>
      <w:r w:rsidRPr="00C154DB">
        <w:rPr>
          <w:sz w:val="22"/>
          <w:szCs w:val="22"/>
          <w:lang w:val="en-GB"/>
        </w:rPr>
        <w:t xml:space="preserve"> assist</w:t>
      </w:r>
      <w:r>
        <w:rPr>
          <w:sz w:val="22"/>
          <w:szCs w:val="22"/>
          <w:lang w:val="en-GB"/>
        </w:rPr>
        <w:t>ing</w:t>
      </w:r>
      <w:r w:rsidRPr="00C154DB">
        <w:rPr>
          <w:sz w:val="22"/>
          <w:szCs w:val="22"/>
          <w:lang w:val="en-GB"/>
        </w:rPr>
        <w:t xml:space="preserve"> countries in effectively managing their seagrass resources and ecosystems in a sustainable manner including supporting countries in engaging in the relevant national reforms. This wil</w:t>
      </w:r>
      <w:r w:rsidR="00DE3C4A">
        <w:rPr>
          <w:sz w:val="22"/>
          <w:szCs w:val="22"/>
          <w:lang w:val="en-GB"/>
        </w:rPr>
        <w:t>l be done through: regional co-</w:t>
      </w:r>
      <w:r w:rsidRPr="00C154DB">
        <w:rPr>
          <w:sz w:val="22"/>
          <w:szCs w:val="22"/>
          <w:lang w:val="en-GB"/>
        </w:rPr>
        <w:t>ordination of national actions in</w:t>
      </w:r>
      <w:r w:rsidR="00DE3C4A">
        <w:rPr>
          <w:sz w:val="22"/>
          <w:szCs w:val="22"/>
          <w:lang w:val="en-GB"/>
        </w:rPr>
        <w:t xml:space="preserve"> SAP implementation</w:t>
      </w:r>
      <w:r w:rsidRPr="00C154DB">
        <w:rPr>
          <w:sz w:val="22"/>
          <w:szCs w:val="22"/>
          <w:lang w:val="en-GB"/>
        </w:rPr>
        <w:t>; the regional sharing of experiences and practices; and the exchange of views and knowledge among the scientific and local comm</w:t>
      </w:r>
      <w:r w:rsidR="00DE3C4A">
        <w:rPr>
          <w:sz w:val="22"/>
          <w:szCs w:val="22"/>
          <w:lang w:val="en-GB"/>
        </w:rPr>
        <w:t>unities with local government.</w:t>
      </w:r>
    </w:p>
    <w:p w14:paraId="36AA8674" w14:textId="77777777" w:rsidR="00C154DB" w:rsidRDefault="00DE3C4A" w:rsidP="00C154DB">
      <w:pPr>
        <w:numPr>
          <w:ilvl w:val="0"/>
          <w:numId w:val="3"/>
        </w:numPr>
        <w:spacing w:before="120" w:after="120"/>
        <w:ind w:left="0" w:firstLine="0"/>
        <w:jc w:val="both"/>
        <w:rPr>
          <w:sz w:val="22"/>
          <w:szCs w:val="22"/>
          <w:lang w:val="en-GB"/>
        </w:rPr>
      </w:pPr>
      <w:r>
        <w:rPr>
          <w:sz w:val="22"/>
          <w:szCs w:val="22"/>
          <w:lang w:val="en-GB"/>
        </w:rPr>
        <w:t>Specific n</w:t>
      </w:r>
      <w:r w:rsidR="00C154DB" w:rsidRPr="00C154DB">
        <w:rPr>
          <w:sz w:val="22"/>
          <w:szCs w:val="22"/>
          <w:lang w:val="en-GB"/>
        </w:rPr>
        <w:t>ational activities will include putting under sustainable management with supporting laws and regulations twenty-one seagrass areas totaling 25,900 ha, amending national management plans for 7 existing MPAs with significant seagrass areas, to include specific seagrass-related management actions,  designating  7 new Marine Protected Areas focusing on seagrass areas identified in the prioritized listings of the SCS Project and establishing mechanisms for monitoring management, ecological and socio-economic indicators at 21 sites.</w:t>
      </w:r>
    </w:p>
    <w:p w14:paraId="46F4F18C" w14:textId="77777777" w:rsidR="00DE3C4A" w:rsidRDefault="00DE3C4A" w:rsidP="00DE3C4A">
      <w:pPr>
        <w:numPr>
          <w:ilvl w:val="0"/>
          <w:numId w:val="3"/>
        </w:numPr>
        <w:spacing w:before="120" w:after="120"/>
        <w:ind w:left="0" w:firstLine="0"/>
        <w:jc w:val="both"/>
        <w:rPr>
          <w:sz w:val="22"/>
          <w:szCs w:val="22"/>
          <w:lang w:val="en-GB"/>
        </w:rPr>
      </w:pPr>
      <w:r w:rsidRPr="00DE3C4A">
        <w:rPr>
          <w:sz w:val="22"/>
          <w:szCs w:val="22"/>
          <w:lang w:val="en-GB"/>
        </w:rPr>
        <w:t xml:space="preserve">The key anticipated outcome is the sustainable management of 25,900 ha of seagrass at 21 priority sites in the South China Sea. To ensure the effectiveness of actions in implementing the NAPs and SAP mechanisms will be established to monitor the achievement of regional and national targets. Since a significant proportion of the total seagrass in the South China Sea lies in transboundary areas, the project will also seek to promote and strengthen transboundary management, zoning, and promotion of regional/sub-regional mechanisms for bilateral management of seagrass resources and ecosystems, where appropriate. </w:t>
      </w:r>
    </w:p>
    <w:p w14:paraId="3DE37242" w14:textId="77777777" w:rsidR="00DE3C4A" w:rsidRDefault="00DE3C4A" w:rsidP="00DE3C4A">
      <w:pPr>
        <w:numPr>
          <w:ilvl w:val="0"/>
          <w:numId w:val="3"/>
        </w:numPr>
        <w:spacing w:before="120" w:after="120"/>
        <w:ind w:left="0" w:firstLine="0"/>
        <w:jc w:val="both"/>
        <w:rPr>
          <w:sz w:val="22"/>
          <w:szCs w:val="22"/>
          <w:lang w:val="en-GB"/>
        </w:rPr>
      </w:pPr>
      <w:r w:rsidRPr="00DE3C4A">
        <w:rPr>
          <w:sz w:val="22"/>
          <w:szCs w:val="22"/>
          <w:lang w:val="en-GB"/>
        </w:rPr>
        <w:t xml:space="preserve">The need to enhance the knowledge and awareness of government officials, managers, and stakeholders concerning the importance and value, of seagrass resources and ecosystems in the region is perhaps greater than in the case of mangroves and coral reefs. This component also includes actions required to maintain and elaborate regional mechanisms for knowledge and information exchange through training, site visits, meetings, regional symposia, a South China Sea website, and publications; and the production of materials for use in promoting knowledge and awareness of seagrass ecology and sustainable practices. </w:t>
      </w:r>
    </w:p>
    <w:p w14:paraId="59A3251E" w14:textId="77777777" w:rsidR="00DE3C4A" w:rsidRDefault="00DE3C4A" w:rsidP="00DE3C4A">
      <w:pPr>
        <w:numPr>
          <w:ilvl w:val="0"/>
          <w:numId w:val="3"/>
        </w:numPr>
        <w:spacing w:after="120"/>
        <w:ind w:left="0" w:firstLine="0"/>
        <w:jc w:val="both"/>
        <w:rPr>
          <w:sz w:val="22"/>
          <w:szCs w:val="22"/>
          <w:lang w:val="en-GB"/>
        </w:rPr>
      </w:pPr>
      <w:r w:rsidRPr="00DE3C4A">
        <w:rPr>
          <w:sz w:val="22"/>
          <w:szCs w:val="22"/>
          <w:lang w:val="en-GB"/>
        </w:rPr>
        <w:t>Activities are also designed to enhance the  management  skills  and  experience  of  all  stakeholders  by  providing  a  sound  scientific  and technical basis for the management of seagrass resources and ecosystems in the South China Sea. Given the current uncertainties regarding the extent and diversity of seagrass in the region effort will be expended to enhance the knowledge of seagrass distribution and socio-economic importance, and to develop appropriate criteria for selecting regional and national priority sites for future intervention and management.</w:t>
      </w:r>
      <w:r w:rsidRPr="00DE3C4A">
        <w:t xml:space="preserve"> </w:t>
      </w:r>
      <w:r w:rsidRPr="00DE3C4A">
        <w:rPr>
          <w:sz w:val="22"/>
          <w:szCs w:val="22"/>
          <w:lang w:val="en-GB"/>
        </w:rPr>
        <w:t>Specific project targets for Outcome 1.</w:t>
      </w:r>
      <w:r>
        <w:rPr>
          <w:sz w:val="22"/>
          <w:szCs w:val="22"/>
          <w:lang w:val="en-GB"/>
        </w:rPr>
        <w:t>3</w:t>
      </w:r>
      <w:r w:rsidRPr="00DE3C4A">
        <w:rPr>
          <w:sz w:val="22"/>
          <w:szCs w:val="22"/>
          <w:lang w:val="en-GB"/>
        </w:rPr>
        <w:t xml:space="preserve"> are summarized in Table 2</w:t>
      </w:r>
      <w:r>
        <w:rPr>
          <w:sz w:val="22"/>
          <w:szCs w:val="22"/>
          <w:lang w:val="en-GB"/>
        </w:rPr>
        <w:t>6</w:t>
      </w:r>
      <w:r w:rsidRPr="00DE3C4A">
        <w:rPr>
          <w:sz w:val="22"/>
          <w:szCs w:val="22"/>
          <w:lang w:val="en-GB"/>
        </w:rPr>
        <w:t>.</w:t>
      </w:r>
    </w:p>
    <w:p w14:paraId="62D3D340" w14:textId="77777777" w:rsidR="00DE3C4A" w:rsidRDefault="00DE3C4A" w:rsidP="00DE3C4A">
      <w:pPr>
        <w:spacing w:after="120"/>
        <w:jc w:val="both"/>
        <w:rPr>
          <w:sz w:val="22"/>
          <w:szCs w:val="22"/>
          <w:lang w:val="en-GB"/>
        </w:rPr>
      </w:pPr>
      <w:r w:rsidRPr="00FF4AD0">
        <w:rPr>
          <w:b/>
          <w:sz w:val="22"/>
          <w:szCs w:val="22"/>
          <w:lang w:val="en-GB"/>
        </w:rPr>
        <w:t>Table 26</w:t>
      </w:r>
      <w:r w:rsidRPr="00FF4AD0">
        <w:rPr>
          <w:b/>
          <w:sz w:val="22"/>
          <w:szCs w:val="22"/>
          <w:lang w:val="en-GB"/>
        </w:rPr>
        <w:tab/>
      </w:r>
      <w:r>
        <w:rPr>
          <w:sz w:val="22"/>
          <w:szCs w:val="22"/>
          <w:lang w:val="en-GB"/>
        </w:rPr>
        <w:t>Baselines, targets and project indicators for Outcome 1.3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9"/>
        <w:gridCol w:w="3017"/>
        <w:gridCol w:w="3016"/>
      </w:tblGrid>
      <w:tr w:rsidR="00DE3C4A" w:rsidRPr="005A668F" w14:paraId="1D51E4DD" w14:textId="77777777" w:rsidTr="004B053A">
        <w:tc>
          <w:tcPr>
            <w:tcW w:w="3081" w:type="dxa"/>
            <w:shd w:val="clear" w:color="auto" w:fill="auto"/>
            <w:vAlign w:val="center"/>
          </w:tcPr>
          <w:p w14:paraId="735C38E8" w14:textId="77777777" w:rsidR="00DE3C4A" w:rsidRPr="004B053A" w:rsidRDefault="00DE3C4A" w:rsidP="004B053A">
            <w:pPr>
              <w:jc w:val="center"/>
              <w:rPr>
                <w:b/>
                <w:sz w:val="20"/>
                <w:szCs w:val="20"/>
              </w:rPr>
            </w:pPr>
            <w:r w:rsidRPr="004B053A">
              <w:rPr>
                <w:b/>
                <w:sz w:val="20"/>
                <w:szCs w:val="20"/>
              </w:rPr>
              <w:t>Baselines</w:t>
            </w:r>
          </w:p>
        </w:tc>
        <w:tc>
          <w:tcPr>
            <w:tcW w:w="3082" w:type="dxa"/>
            <w:shd w:val="clear" w:color="auto" w:fill="auto"/>
            <w:vAlign w:val="center"/>
          </w:tcPr>
          <w:p w14:paraId="34000362" w14:textId="77777777" w:rsidR="00DE3C4A" w:rsidRPr="004B053A" w:rsidRDefault="00DE3C4A" w:rsidP="004B053A">
            <w:pPr>
              <w:jc w:val="center"/>
              <w:rPr>
                <w:b/>
                <w:sz w:val="20"/>
                <w:szCs w:val="20"/>
              </w:rPr>
            </w:pPr>
            <w:r w:rsidRPr="004B053A">
              <w:rPr>
                <w:b/>
                <w:sz w:val="20"/>
                <w:szCs w:val="20"/>
              </w:rPr>
              <w:t>Targets</w:t>
            </w:r>
          </w:p>
        </w:tc>
        <w:tc>
          <w:tcPr>
            <w:tcW w:w="3082" w:type="dxa"/>
            <w:shd w:val="clear" w:color="auto" w:fill="auto"/>
            <w:vAlign w:val="center"/>
          </w:tcPr>
          <w:p w14:paraId="7F8E9E0A" w14:textId="77777777" w:rsidR="00DE3C4A" w:rsidRPr="004B053A" w:rsidRDefault="00DE3C4A" w:rsidP="004B053A">
            <w:pPr>
              <w:jc w:val="center"/>
              <w:rPr>
                <w:b/>
                <w:sz w:val="20"/>
                <w:szCs w:val="20"/>
              </w:rPr>
            </w:pPr>
            <w:r w:rsidRPr="004B053A">
              <w:rPr>
                <w:b/>
                <w:sz w:val="20"/>
                <w:szCs w:val="20"/>
              </w:rPr>
              <w:t>Indicators</w:t>
            </w:r>
          </w:p>
        </w:tc>
      </w:tr>
      <w:tr w:rsidR="00DE3C4A" w:rsidRPr="005A668F" w14:paraId="547D1DF3" w14:textId="77777777" w:rsidTr="004B053A">
        <w:trPr>
          <w:trHeight w:val="20"/>
        </w:trPr>
        <w:tc>
          <w:tcPr>
            <w:tcW w:w="3081" w:type="dxa"/>
            <w:shd w:val="clear" w:color="auto" w:fill="auto"/>
            <w:vAlign w:val="center"/>
          </w:tcPr>
          <w:p w14:paraId="69C5B63E" w14:textId="77777777" w:rsidR="00DE3C4A" w:rsidRPr="004B053A" w:rsidRDefault="00FF4AD0" w:rsidP="00E20038">
            <w:pPr>
              <w:rPr>
                <w:sz w:val="20"/>
                <w:szCs w:val="20"/>
              </w:rPr>
            </w:pPr>
            <w:r w:rsidRPr="004B053A">
              <w:rPr>
                <w:sz w:val="20"/>
                <w:szCs w:val="20"/>
              </w:rPr>
              <w:t>Majority of seagrass areas in the SCS are unmanaged, or managed ineffectively, due to lack of enabling environment for zoning/regulation</w:t>
            </w:r>
          </w:p>
        </w:tc>
        <w:tc>
          <w:tcPr>
            <w:tcW w:w="3082" w:type="dxa"/>
            <w:shd w:val="clear" w:color="auto" w:fill="auto"/>
            <w:vAlign w:val="center"/>
          </w:tcPr>
          <w:p w14:paraId="60ED5F0F" w14:textId="77777777" w:rsidR="00DE3C4A" w:rsidRPr="004B053A" w:rsidRDefault="00FF4AD0" w:rsidP="00E20038">
            <w:pPr>
              <w:rPr>
                <w:sz w:val="20"/>
                <w:szCs w:val="20"/>
              </w:rPr>
            </w:pPr>
            <w:r w:rsidRPr="004B053A">
              <w:rPr>
                <w:sz w:val="20"/>
                <w:szCs w:val="20"/>
              </w:rPr>
              <w:t>1.3.1 Twenty-one seagrass areas totalling 25,900 ha under sustainable management with supporting laws and regulations</w:t>
            </w:r>
          </w:p>
        </w:tc>
        <w:tc>
          <w:tcPr>
            <w:tcW w:w="3082" w:type="dxa"/>
            <w:shd w:val="clear" w:color="auto" w:fill="auto"/>
            <w:vAlign w:val="center"/>
          </w:tcPr>
          <w:p w14:paraId="0D64A9EE" w14:textId="77777777" w:rsidR="00FF4AD0" w:rsidRPr="004B053A" w:rsidRDefault="00FF4AD0" w:rsidP="00FF4AD0">
            <w:pPr>
              <w:rPr>
                <w:sz w:val="18"/>
                <w:szCs w:val="18"/>
                <w:lang w:val="en-GB" w:bidi="th-TH"/>
              </w:rPr>
            </w:pPr>
            <w:r w:rsidRPr="004B053A">
              <w:rPr>
                <w:sz w:val="18"/>
                <w:szCs w:val="18"/>
                <w:lang w:val="en-GB" w:bidi="th-TH"/>
              </w:rPr>
              <w:t>Number of sites under sustainable management</w:t>
            </w:r>
          </w:p>
          <w:p w14:paraId="69D7BD04" w14:textId="77777777" w:rsidR="00FF4AD0" w:rsidRPr="004B053A" w:rsidRDefault="00FF4AD0" w:rsidP="00FF4AD0">
            <w:pPr>
              <w:rPr>
                <w:sz w:val="18"/>
                <w:szCs w:val="18"/>
                <w:lang w:val="en-GB" w:bidi="th-TH"/>
              </w:rPr>
            </w:pPr>
          </w:p>
          <w:p w14:paraId="147B2D14" w14:textId="77777777" w:rsidR="00DE3C4A" w:rsidRPr="004B053A" w:rsidRDefault="00FF4AD0" w:rsidP="00FF4AD0">
            <w:pPr>
              <w:rPr>
                <w:sz w:val="20"/>
                <w:szCs w:val="20"/>
              </w:rPr>
            </w:pPr>
            <w:r w:rsidRPr="004B053A">
              <w:rPr>
                <w:sz w:val="18"/>
                <w:szCs w:val="18"/>
                <w:lang w:val="en-GB" w:bidi="th-TH"/>
              </w:rPr>
              <w:t>Number of seagrass sites for which management regulations exist</w:t>
            </w:r>
          </w:p>
        </w:tc>
      </w:tr>
      <w:tr w:rsidR="00DE3C4A" w:rsidRPr="005A668F" w14:paraId="5B90C57B" w14:textId="77777777" w:rsidTr="004B053A">
        <w:trPr>
          <w:trHeight w:val="20"/>
        </w:trPr>
        <w:tc>
          <w:tcPr>
            <w:tcW w:w="3081" w:type="dxa"/>
            <w:shd w:val="clear" w:color="auto" w:fill="auto"/>
            <w:vAlign w:val="center"/>
          </w:tcPr>
          <w:p w14:paraId="5EF2CA44" w14:textId="77777777" w:rsidR="00DE3C4A" w:rsidRPr="004B053A" w:rsidRDefault="00FF4AD0" w:rsidP="00E20038">
            <w:pPr>
              <w:rPr>
                <w:sz w:val="20"/>
                <w:szCs w:val="20"/>
              </w:rPr>
            </w:pPr>
            <w:r w:rsidRPr="004B053A">
              <w:rPr>
                <w:sz w:val="20"/>
                <w:szCs w:val="20"/>
              </w:rPr>
              <w:t>Sustainable use and management of seagrass and related resources is rarely addressed in management plans for MPAs in the SCS</w:t>
            </w:r>
          </w:p>
        </w:tc>
        <w:tc>
          <w:tcPr>
            <w:tcW w:w="3082" w:type="dxa"/>
            <w:shd w:val="clear" w:color="auto" w:fill="auto"/>
            <w:vAlign w:val="center"/>
          </w:tcPr>
          <w:p w14:paraId="23468E7D" w14:textId="77777777" w:rsidR="00DE3C4A" w:rsidRPr="004B053A" w:rsidRDefault="00FF4AD0" w:rsidP="00E20038">
            <w:pPr>
              <w:rPr>
                <w:sz w:val="20"/>
                <w:szCs w:val="20"/>
              </w:rPr>
            </w:pPr>
            <w:r w:rsidRPr="004B053A">
              <w:rPr>
                <w:sz w:val="20"/>
                <w:szCs w:val="20"/>
              </w:rPr>
              <w:t>1.3.2 Amended management plans for 7 existing MPAs with significant seagrass areas, to include specific seagrass-related management actions</w:t>
            </w:r>
          </w:p>
        </w:tc>
        <w:tc>
          <w:tcPr>
            <w:tcW w:w="3082" w:type="dxa"/>
            <w:shd w:val="clear" w:color="auto" w:fill="auto"/>
            <w:vAlign w:val="center"/>
          </w:tcPr>
          <w:p w14:paraId="64D50795" w14:textId="77777777" w:rsidR="00DE3C4A" w:rsidRPr="004B053A" w:rsidRDefault="00FF4AD0" w:rsidP="00E20038">
            <w:pPr>
              <w:rPr>
                <w:sz w:val="20"/>
                <w:szCs w:val="20"/>
              </w:rPr>
            </w:pPr>
            <w:r w:rsidRPr="004B053A">
              <w:rPr>
                <w:sz w:val="20"/>
                <w:szCs w:val="20"/>
              </w:rPr>
              <w:t>Number of MPA management plans containing seagrass-related management actions</w:t>
            </w:r>
          </w:p>
        </w:tc>
      </w:tr>
      <w:tr w:rsidR="00DE3C4A" w:rsidRPr="005A668F" w14:paraId="49D397CA" w14:textId="77777777" w:rsidTr="004B053A">
        <w:trPr>
          <w:trHeight w:val="20"/>
        </w:trPr>
        <w:tc>
          <w:tcPr>
            <w:tcW w:w="3081" w:type="dxa"/>
            <w:shd w:val="clear" w:color="auto" w:fill="auto"/>
            <w:vAlign w:val="center"/>
          </w:tcPr>
          <w:p w14:paraId="5BF4DE2B" w14:textId="77777777" w:rsidR="00DE3C4A" w:rsidRPr="004B053A" w:rsidRDefault="00FF4AD0" w:rsidP="00E20038">
            <w:pPr>
              <w:rPr>
                <w:sz w:val="20"/>
                <w:szCs w:val="20"/>
              </w:rPr>
            </w:pPr>
            <w:r w:rsidRPr="004B053A">
              <w:rPr>
                <w:sz w:val="20"/>
                <w:szCs w:val="20"/>
              </w:rPr>
              <w:t>MPA management in SCS predominantly focuses on strict protection of coral reef areas</w:t>
            </w:r>
          </w:p>
        </w:tc>
        <w:tc>
          <w:tcPr>
            <w:tcW w:w="3082" w:type="dxa"/>
            <w:shd w:val="clear" w:color="auto" w:fill="auto"/>
            <w:vAlign w:val="center"/>
          </w:tcPr>
          <w:p w14:paraId="5BFBF355" w14:textId="77777777" w:rsidR="00DE3C4A" w:rsidRPr="004B053A" w:rsidRDefault="00FF4AD0" w:rsidP="00E20038">
            <w:pPr>
              <w:rPr>
                <w:sz w:val="20"/>
                <w:szCs w:val="20"/>
              </w:rPr>
            </w:pPr>
            <w:r w:rsidRPr="004B053A">
              <w:rPr>
                <w:sz w:val="20"/>
                <w:szCs w:val="20"/>
              </w:rPr>
              <w:t>1.3.3 Designation of 7 new Marine Protected Areas focusing on seagrass areas</w:t>
            </w:r>
          </w:p>
        </w:tc>
        <w:tc>
          <w:tcPr>
            <w:tcW w:w="3082" w:type="dxa"/>
            <w:shd w:val="clear" w:color="auto" w:fill="auto"/>
            <w:vAlign w:val="center"/>
          </w:tcPr>
          <w:p w14:paraId="6BB2EA4E" w14:textId="77777777" w:rsidR="00DE3C4A" w:rsidRPr="004B053A" w:rsidRDefault="00FF4AD0" w:rsidP="00E20038">
            <w:pPr>
              <w:rPr>
                <w:sz w:val="20"/>
                <w:szCs w:val="20"/>
              </w:rPr>
            </w:pPr>
            <w:r w:rsidRPr="004B053A">
              <w:rPr>
                <w:sz w:val="20"/>
                <w:szCs w:val="20"/>
              </w:rPr>
              <w:t>Number of newly established MPAs focused on seagrass management</w:t>
            </w:r>
          </w:p>
        </w:tc>
      </w:tr>
      <w:tr w:rsidR="00DE3C4A" w:rsidRPr="005A668F" w14:paraId="618AE109" w14:textId="77777777" w:rsidTr="004B053A">
        <w:trPr>
          <w:trHeight w:val="20"/>
        </w:trPr>
        <w:tc>
          <w:tcPr>
            <w:tcW w:w="3081" w:type="dxa"/>
            <w:shd w:val="clear" w:color="auto" w:fill="auto"/>
            <w:vAlign w:val="center"/>
          </w:tcPr>
          <w:p w14:paraId="5572F81F" w14:textId="77777777" w:rsidR="00DE3C4A" w:rsidRPr="004B053A" w:rsidRDefault="00FF4AD0" w:rsidP="00E20038">
            <w:pPr>
              <w:rPr>
                <w:sz w:val="20"/>
                <w:szCs w:val="20"/>
              </w:rPr>
            </w:pPr>
            <w:r w:rsidRPr="004B053A">
              <w:rPr>
                <w:sz w:val="20"/>
                <w:szCs w:val="20"/>
              </w:rPr>
              <w:t>Management, ecological and environmental, and socio-economic indicator frameworks developed but not yet applied at priority sites</w:t>
            </w:r>
          </w:p>
        </w:tc>
        <w:tc>
          <w:tcPr>
            <w:tcW w:w="3082" w:type="dxa"/>
            <w:shd w:val="clear" w:color="auto" w:fill="auto"/>
            <w:vAlign w:val="center"/>
          </w:tcPr>
          <w:p w14:paraId="36A5B200" w14:textId="77777777" w:rsidR="00DE3C4A" w:rsidRPr="004B053A" w:rsidRDefault="00FF4AD0" w:rsidP="00E20038">
            <w:pPr>
              <w:rPr>
                <w:sz w:val="20"/>
                <w:szCs w:val="20"/>
                <w:lang w:val="en-GB"/>
              </w:rPr>
            </w:pPr>
            <w:r w:rsidRPr="004B053A">
              <w:rPr>
                <w:sz w:val="20"/>
                <w:szCs w:val="20"/>
                <w:lang w:val="en-GB"/>
              </w:rPr>
              <w:t>1.3.4 Established mechanism for monitoring management, ecological and socio-economic indicators at 21 sites</w:t>
            </w:r>
          </w:p>
        </w:tc>
        <w:tc>
          <w:tcPr>
            <w:tcW w:w="3082" w:type="dxa"/>
            <w:shd w:val="clear" w:color="auto" w:fill="auto"/>
            <w:vAlign w:val="center"/>
          </w:tcPr>
          <w:p w14:paraId="0DAA83B1" w14:textId="77777777" w:rsidR="00DE3C4A" w:rsidRPr="004B053A" w:rsidRDefault="00FF4AD0" w:rsidP="00E20038">
            <w:pPr>
              <w:rPr>
                <w:sz w:val="20"/>
                <w:szCs w:val="20"/>
              </w:rPr>
            </w:pPr>
            <w:r w:rsidRPr="004B053A">
              <w:rPr>
                <w:sz w:val="20"/>
                <w:szCs w:val="20"/>
              </w:rPr>
              <w:t>Status of mechanism established for monitoring coral reef management effectiveness and stress reduction</w:t>
            </w:r>
          </w:p>
        </w:tc>
      </w:tr>
    </w:tbl>
    <w:p w14:paraId="27E7F7E7" w14:textId="77777777" w:rsidR="00DE3C4A" w:rsidRPr="00FF4AD0" w:rsidRDefault="00FF4AD0" w:rsidP="00FF4AD0">
      <w:pPr>
        <w:spacing w:before="120" w:after="120"/>
        <w:ind w:left="1440" w:hanging="1440"/>
        <w:jc w:val="both"/>
        <w:rPr>
          <w:b/>
          <w:sz w:val="22"/>
          <w:szCs w:val="22"/>
          <w:lang w:val="en-GB"/>
        </w:rPr>
      </w:pPr>
      <w:r w:rsidRPr="00FF4AD0">
        <w:rPr>
          <w:b/>
          <w:sz w:val="22"/>
          <w:szCs w:val="22"/>
          <w:lang w:val="en-GB"/>
        </w:rPr>
        <w:t xml:space="preserve">Outcome 1.4 </w:t>
      </w:r>
      <w:r w:rsidRPr="00FF4AD0">
        <w:rPr>
          <w:b/>
          <w:sz w:val="22"/>
          <w:szCs w:val="22"/>
          <w:lang w:val="en-GB"/>
        </w:rPr>
        <w:tab/>
        <w:t>Integrated management of 783,900 ha of coastal wetland at 19 sites, including habitat restoration and protection strengthened at priority locations</w:t>
      </w:r>
    </w:p>
    <w:p w14:paraId="091E2666" w14:textId="77777777" w:rsidR="00E20038" w:rsidRDefault="00E20038" w:rsidP="00E20038">
      <w:pPr>
        <w:numPr>
          <w:ilvl w:val="0"/>
          <w:numId w:val="3"/>
        </w:numPr>
        <w:spacing w:before="120"/>
        <w:ind w:left="0" w:firstLine="0"/>
        <w:jc w:val="both"/>
        <w:rPr>
          <w:bCs/>
          <w:sz w:val="22"/>
          <w:szCs w:val="22"/>
        </w:rPr>
      </w:pPr>
      <w:r>
        <w:rPr>
          <w:bCs/>
          <w:sz w:val="22"/>
          <w:szCs w:val="22"/>
        </w:rPr>
        <w:t>The wetland component of the Strategic Action Programme focuses</w:t>
      </w:r>
      <w:r w:rsidRPr="00E20038">
        <w:rPr>
          <w:bCs/>
          <w:sz w:val="22"/>
          <w:szCs w:val="22"/>
        </w:rPr>
        <w:t xml:space="preserve"> on five specific types of wetlands, namely intertidal mudflats, estuaries, lagoons, peat swamps and non-peat swamp, excluding mangroves, coral reefs and seagrass beds which a</w:t>
      </w:r>
      <w:r>
        <w:rPr>
          <w:bCs/>
          <w:sz w:val="22"/>
          <w:szCs w:val="22"/>
        </w:rPr>
        <w:t xml:space="preserve">re the subjects of separate </w:t>
      </w:r>
      <w:r w:rsidRPr="00E20038">
        <w:rPr>
          <w:bCs/>
          <w:sz w:val="22"/>
          <w:szCs w:val="22"/>
        </w:rPr>
        <w:t>components</w:t>
      </w:r>
      <w:r>
        <w:rPr>
          <w:bCs/>
          <w:sz w:val="22"/>
          <w:szCs w:val="22"/>
        </w:rPr>
        <w:t xml:space="preserve"> and addressed above. Table 27</w:t>
      </w:r>
      <w:r w:rsidRPr="00E20038">
        <w:rPr>
          <w:bCs/>
          <w:sz w:val="22"/>
          <w:szCs w:val="22"/>
        </w:rPr>
        <w:t xml:space="preserve"> summarises the legal and management status of major lagoons, estuaries, inter-tidal mudflats, peat swamps and non-peat swamps bordering the South China Sea. A total area of </w:t>
      </w:r>
      <w:r w:rsidRPr="00E20038">
        <w:rPr>
          <w:bCs/>
          <w:sz w:val="22"/>
          <w:szCs w:val="22"/>
          <w:lang w:bidi="th-TH"/>
        </w:rPr>
        <w:t>4,201,145ha of the five specific types of wetland sites has been identified, specifically lagoons (34,921ha), estuaries (</w:t>
      </w:r>
      <w:r w:rsidRPr="00E20038">
        <w:rPr>
          <w:sz w:val="22"/>
          <w:szCs w:val="22"/>
        </w:rPr>
        <w:t>1,203,871ha), inter-tidal flats (691,859ha), non-peat swamps (</w:t>
      </w:r>
      <w:r w:rsidRPr="00E20038">
        <w:rPr>
          <w:bCs/>
          <w:sz w:val="22"/>
          <w:szCs w:val="22"/>
          <w:lang w:bidi="th-TH"/>
        </w:rPr>
        <w:t>1,623,567ha)</w:t>
      </w:r>
      <w:r w:rsidRPr="00E20038">
        <w:rPr>
          <w:sz w:val="22"/>
          <w:szCs w:val="22"/>
        </w:rPr>
        <w:t>, peat swamps (</w:t>
      </w:r>
      <w:r w:rsidRPr="00E20038">
        <w:rPr>
          <w:bCs/>
          <w:sz w:val="22"/>
          <w:szCs w:val="22"/>
          <w:lang w:bidi="th-TH"/>
        </w:rPr>
        <w:t>646,927 ha).</w:t>
      </w:r>
    </w:p>
    <w:p w14:paraId="64B3C37C" w14:textId="77777777" w:rsidR="00E20038" w:rsidRDefault="00E20038" w:rsidP="00E20038">
      <w:pPr>
        <w:spacing w:before="120" w:after="120"/>
        <w:ind w:left="1440" w:hanging="1440"/>
        <w:jc w:val="both"/>
        <w:rPr>
          <w:bCs/>
          <w:sz w:val="22"/>
          <w:szCs w:val="22"/>
        </w:rPr>
      </w:pPr>
      <w:r w:rsidRPr="00E20038">
        <w:rPr>
          <w:b/>
          <w:bCs/>
          <w:sz w:val="22"/>
          <w:szCs w:val="22"/>
        </w:rPr>
        <w:t>Table 27</w:t>
      </w:r>
      <w:r>
        <w:rPr>
          <w:bCs/>
          <w:sz w:val="22"/>
          <w:szCs w:val="22"/>
        </w:rPr>
        <w:tab/>
        <w:t>Legal and management status of known inter-tidal mudflats, estuaries, coastal lagoons and coastal peat swamps bordering the South China Sea</w:t>
      </w:r>
    </w:p>
    <w:tbl>
      <w:tblPr>
        <w:tblW w:w="9680" w:type="dxa"/>
        <w:tblInd w:w="-7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719"/>
        <w:gridCol w:w="928"/>
        <w:gridCol w:w="3033"/>
        <w:gridCol w:w="1300"/>
        <w:gridCol w:w="1700"/>
      </w:tblGrid>
      <w:tr w:rsidR="00E20038" w:rsidRPr="00E20038" w14:paraId="138A4B0C" w14:textId="77777777" w:rsidTr="00E20038">
        <w:trPr>
          <w:cantSplit/>
          <w:tblHeader/>
        </w:trPr>
        <w:tc>
          <w:tcPr>
            <w:tcW w:w="2719" w:type="dxa"/>
            <w:vMerge w:val="restart"/>
            <w:tcBorders>
              <w:top w:val="single" w:sz="12" w:space="0" w:color="auto"/>
            </w:tcBorders>
            <w:noWrap/>
            <w:vAlign w:val="center"/>
          </w:tcPr>
          <w:p w14:paraId="5F5F613C"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Name of site</w:t>
            </w:r>
          </w:p>
        </w:tc>
        <w:tc>
          <w:tcPr>
            <w:tcW w:w="928" w:type="dxa"/>
            <w:vMerge w:val="restart"/>
            <w:tcBorders>
              <w:top w:val="single" w:sz="12" w:space="0" w:color="auto"/>
            </w:tcBorders>
            <w:noWrap/>
            <w:vAlign w:val="center"/>
          </w:tcPr>
          <w:p w14:paraId="692217EE"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Area (ha)</w:t>
            </w:r>
          </w:p>
        </w:tc>
        <w:tc>
          <w:tcPr>
            <w:tcW w:w="6033" w:type="dxa"/>
            <w:gridSpan w:val="3"/>
            <w:tcBorders>
              <w:top w:val="single" w:sz="12" w:space="0" w:color="auto"/>
              <w:bottom w:val="single" w:sz="4" w:space="0" w:color="auto"/>
            </w:tcBorders>
            <w:noWrap/>
            <w:vAlign w:val="center"/>
          </w:tcPr>
          <w:p w14:paraId="5BFCFD32"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Legal and Management Status</w:t>
            </w:r>
          </w:p>
        </w:tc>
      </w:tr>
      <w:tr w:rsidR="00E20038" w:rsidRPr="00E20038" w14:paraId="441299D2" w14:textId="77777777" w:rsidTr="00E20038">
        <w:trPr>
          <w:cantSplit/>
          <w:tblHeader/>
        </w:trPr>
        <w:tc>
          <w:tcPr>
            <w:tcW w:w="2719" w:type="dxa"/>
            <w:vMerge/>
            <w:tcBorders>
              <w:bottom w:val="single" w:sz="12" w:space="0" w:color="auto"/>
            </w:tcBorders>
            <w:noWrap/>
            <w:vAlign w:val="center"/>
          </w:tcPr>
          <w:p w14:paraId="3B6DC3B5" w14:textId="77777777" w:rsidR="00E20038" w:rsidRPr="00E20038" w:rsidRDefault="00E20038" w:rsidP="00E20038">
            <w:pPr>
              <w:jc w:val="center"/>
              <w:rPr>
                <w:rFonts w:ascii="Arial" w:hAnsi="Arial" w:cs="Angsana New"/>
                <w:b/>
                <w:sz w:val="16"/>
                <w:lang w:val="en-GB" w:bidi="th-TH"/>
              </w:rPr>
            </w:pPr>
          </w:p>
        </w:tc>
        <w:tc>
          <w:tcPr>
            <w:tcW w:w="928" w:type="dxa"/>
            <w:vMerge/>
            <w:tcBorders>
              <w:bottom w:val="single" w:sz="12" w:space="0" w:color="auto"/>
            </w:tcBorders>
            <w:noWrap/>
            <w:vAlign w:val="center"/>
          </w:tcPr>
          <w:p w14:paraId="7CF9C101" w14:textId="77777777" w:rsidR="00E20038" w:rsidRPr="00E20038" w:rsidRDefault="00E20038" w:rsidP="00E20038">
            <w:pPr>
              <w:jc w:val="center"/>
              <w:rPr>
                <w:rFonts w:ascii="Arial" w:hAnsi="Arial" w:cs="Angsana New"/>
                <w:b/>
                <w:sz w:val="16"/>
                <w:lang w:val="en-GB" w:bidi="th-TH"/>
              </w:rPr>
            </w:pPr>
          </w:p>
        </w:tc>
        <w:tc>
          <w:tcPr>
            <w:tcW w:w="3033" w:type="dxa"/>
            <w:tcBorders>
              <w:top w:val="single" w:sz="4" w:space="0" w:color="auto"/>
              <w:bottom w:val="single" w:sz="12" w:space="0" w:color="auto"/>
            </w:tcBorders>
            <w:noWrap/>
            <w:vAlign w:val="center"/>
          </w:tcPr>
          <w:p w14:paraId="146E43CB"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Protected – Non-use (Subsistence/commercial)</w:t>
            </w:r>
          </w:p>
        </w:tc>
        <w:tc>
          <w:tcPr>
            <w:tcW w:w="1300" w:type="dxa"/>
            <w:tcBorders>
              <w:top w:val="single" w:sz="4" w:space="0" w:color="auto"/>
              <w:bottom w:val="single" w:sz="12" w:space="0" w:color="auto"/>
            </w:tcBorders>
            <w:noWrap/>
            <w:vAlign w:val="center"/>
          </w:tcPr>
          <w:p w14:paraId="652B831C"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Sustainable use</w:t>
            </w:r>
          </w:p>
        </w:tc>
        <w:tc>
          <w:tcPr>
            <w:tcW w:w="1700" w:type="dxa"/>
            <w:tcBorders>
              <w:top w:val="single" w:sz="4" w:space="0" w:color="auto"/>
              <w:bottom w:val="single" w:sz="12" w:space="0" w:color="auto"/>
            </w:tcBorders>
            <w:vAlign w:val="center"/>
          </w:tcPr>
          <w:p w14:paraId="5151A422"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Non-sustainable use</w:t>
            </w:r>
          </w:p>
        </w:tc>
      </w:tr>
      <w:tr w:rsidR="00E20038" w:rsidRPr="00E20038" w14:paraId="651175B3" w14:textId="77777777" w:rsidTr="00E20038">
        <w:tc>
          <w:tcPr>
            <w:tcW w:w="9680" w:type="dxa"/>
            <w:gridSpan w:val="5"/>
            <w:tcBorders>
              <w:top w:val="single" w:sz="12" w:space="0" w:color="auto"/>
              <w:bottom w:val="single" w:sz="4" w:space="0" w:color="auto"/>
            </w:tcBorders>
            <w:vAlign w:val="center"/>
          </w:tcPr>
          <w:p w14:paraId="18A3F598"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Estuaries</w:t>
            </w:r>
          </w:p>
        </w:tc>
      </w:tr>
      <w:tr w:rsidR="00E20038" w:rsidRPr="00E20038" w14:paraId="6406B045" w14:textId="77777777" w:rsidTr="00E20038">
        <w:tc>
          <w:tcPr>
            <w:tcW w:w="2719" w:type="dxa"/>
            <w:tcBorders>
              <w:top w:val="single" w:sz="4" w:space="0" w:color="auto"/>
            </w:tcBorders>
            <w:vAlign w:val="center"/>
          </w:tcPr>
          <w:p w14:paraId="69DD37AE"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Cambodia</w:t>
                </w:r>
              </w:smartTag>
            </w:smartTag>
          </w:p>
        </w:tc>
        <w:tc>
          <w:tcPr>
            <w:tcW w:w="928" w:type="dxa"/>
            <w:tcBorders>
              <w:top w:val="single" w:sz="4" w:space="0" w:color="auto"/>
            </w:tcBorders>
            <w:noWrap/>
            <w:vAlign w:val="center"/>
          </w:tcPr>
          <w:p w14:paraId="66ADFE60" w14:textId="77777777" w:rsidR="00E20038" w:rsidRPr="00E20038" w:rsidRDefault="00E20038" w:rsidP="00E20038">
            <w:pPr>
              <w:jc w:val="center"/>
              <w:rPr>
                <w:rFonts w:ascii="Arial" w:hAnsi="Arial" w:cs="Angsana New"/>
                <w:bCs/>
                <w:sz w:val="16"/>
                <w:lang w:val="en-GB" w:bidi="th-TH"/>
              </w:rPr>
            </w:pPr>
          </w:p>
        </w:tc>
        <w:tc>
          <w:tcPr>
            <w:tcW w:w="3033" w:type="dxa"/>
            <w:tcBorders>
              <w:top w:val="single" w:sz="4" w:space="0" w:color="auto"/>
            </w:tcBorders>
            <w:noWrap/>
            <w:vAlign w:val="center"/>
          </w:tcPr>
          <w:p w14:paraId="3C04A5DB" w14:textId="77777777" w:rsidR="00E20038" w:rsidRPr="00E20038" w:rsidRDefault="00E20038" w:rsidP="00E20038">
            <w:pPr>
              <w:jc w:val="right"/>
              <w:rPr>
                <w:rFonts w:ascii="Arial" w:hAnsi="Arial" w:cs="Angsana New"/>
                <w:bCs/>
                <w:sz w:val="16"/>
                <w:lang w:val="en-GB" w:bidi="th-TH"/>
              </w:rPr>
            </w:pPr>
          </w:p>
        </w:tc>
        <w:tc>
          <w:tcPr>
            <w:tcW w:w="1300" w:type="dxa"/>
            <w:tcBorders>
              <w:top w:val="single" w:sz="4" w:space="0" w:color="auto"/>
            </w:tcBorders>
            <w:noWrap/>
            <w:vAlign w:val="center"/>
          </w:tcPr>
          <w:p w14:paraId="195B9B80" w14:textId="77777777" w:rsidR="00E20038" w:rsidRPr="00E20038" w:rsidRDefault="00E20038" w:rsidP="00E20038">
            <w:pPr>
              <w:jc w:val="center"/>
              <w:rPr>
                <w:rFonts w:ascii="Arial" w:hAnsi="Arial" w:cs="Angsana New"/>
                <w:bCs/>
                <w:sz w:val="16"/>
                <w:lang w:val="en-GB" w:bidi="th-TH"/>
              </w:rPr>
            </w:pPr>
          </w:p>
        </w:tc>
        <w:tc>
          <w:tcPr>
            <w:tcW w:w="1700" w:type="dxa"/>
            <w:tcBorders>
              <w:top w:val="single" w:sz="4" w:space="0" w:color="auto"/>
            </w:tcBorders>
            <w:noWrap/>
            <w:vAlign w:val="center"/>
          </w:tcPr>
          <w:p w14:paraId="6A694847" w14:textId="77777777" w:rsidR="00E20038" w:rsidRPr="00E20038" w:rsidRDefault="00E20038" w:rsidP="00E20038">
            <w:pPr>
              <w:jc w:val="center"/>
              <w:rPr>
                <w:rFonts w:ascii="Arial" w:hAnsi="Arial" w:cs="Angsana New"/>
                <w:bCs/>
                <w:sz w:val="16"/>
                <w:lang w:val="en-GB" w:bidi="th-TH"/>
              </w:rPr>
            </w:pPr>
          </w:p>
        </w:tc>
      </w:tr>
      <w:tr w:rsidR="00E20038" w:rsidRPr="00E20038" w14:paraId="450B7AF1" w14:textId="77777777" w:rsidTr="00E20038">
        <w:tc>
          <w:tcPr>
            <w:tcW w:w="2719" w:type="dxa"/>
            <w:vAlign w:val="center"/>
          </w:tcPr>
          <w:p w14:paraId="6FA53728" w14:textId="77777777" w:rsidR="00E20038" w:rsidRPr="00E20038" w:rsidRDefault="00E20038" w:rsidP="00E20038">
            <w:pPr>
              <w:rPr>
                <w:rFonts w:ascii="Arial" w:hAnsi="Arial" w:cs="Angsana New"/>
                <w:bCs/>
                <w:sz w:val="16"/>
                <w:lang w:val="sv-SE" w:bidi="th-TH"/>
              </w:rPr>
            </w:pPr>
            <w:r w:rsidRPr="00E20038">
              <w:rPr>
                <w:rFonts w:ascii="Arial" w:hAnsi="Arial" w:cs="Angsana New"/>
                <w:bCs/>
                <w:sz w:val="16"/>
                <w:lang w:val="sv-SE" w:bidi="th-TH"/>
              </w:rPr>
              <w:t xml:space="preserve">Koh Kapik Ramsar in Koh Kong Province </w:t>
            </w:r>
          </w:p>
        </w:tc>
        <w:tc>
          <w:tcPr>
            <w:tcW w:w="928" w:type="dxa"/>
            <w:noWrap/>
            <w:vAlign w:val="center"/>
          </w:tcPr>
          <w:p w14:paraId="3041EF8B"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12,000</w:t>
            </w:r>
          </w:p>
        </w:tc>
        <w:tc>
          <w:tcPr>
            <w:tcW w:w="3033" w:type="dxa"/>
            <w:noWrap/>
            <w:vAlign w:val="center"/>
          </w:tcPr>
          <w:p w14:paraId="6C8F84A1"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National Park and RAMSAR site</w:t>
            </w:r>
          </w:p>
        </w:tc>
        <w:tc>
          <w:tcPr>
            <w:tcW w:w="1300" w:type="dxa"/>
            <w:noWrap/>
            <w:vAlign w:val="center"/>
          </w:tcPr>
          <w:p w14:paraId="58E00C39"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N.A.</w:t>
            </w:r>
          </w:p>
        </w:tc>
        <w:tc>
          <w:tcPr>
            <w:tcW w:w="1700" w:type="dxa"/>
            <w:noWrap/>
            <w:vAlign w:val="center"/>
          </w:tcPr>
          <w:p w14:paraId="2641CABD"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485A7479" w14:textId="77777777" w:rsidTr="00E20038">
        <w:tc>
          <w:tcPr>
            <w:tcW w:w="2719" w:type="dxa"/>
            <w:vAlign w:val="center"/>
          </w:tcPr>
          <w:p w14:paraId="647857ED"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China</w:t>
                </w:r>
              </w:smartTag>
            </w:smartTag>
          </w:p>
        </w:tc>
        <w:tc>
          <w:tcPr>
            <w:tcW w:w="928" w:type="dxa"/>
            <w:noWrap/>
            <w:vAlign w:val="center"/>
          </w:tcPr>
          <w:p w14:paraId="77D1F9E8" w14:textId="77777777" w:rsidR="00E20038" w:rsidRPr="00E20038" w:rsidRDefault="00E20038" w:rsidP="00E20038">
            <w:pPr>
              <w:rPr>
                <w:rFonts w:ascii="Arial" w:hAnsi="Arial" w:cs="Angsana New"/>
                <w:bCs/>
                <w:sz w:val="16"/>
                <w:lang w:val="en-GB" w:bidi="th-TH"/>
              </w:rPr>
            </w:pPr>
          </w:p>
        </w:tc>
        <w:tc>
          <w:tcPr>
            <w:tcW w:w="3033" w:type="dxa"/>
            <w:noWrap/>
            <w:vAlign w:val="center"/>
          </w:tcPr>
          <w:p w14:paraId="4D6D3F2D" w14:textId="77777777" w:rsidR="00E20038" w:rsidRPr="00E20038" w:rsidRDefault="00E20038" w:rsidP="00E20038">
            <w:pPr>
              <w:jc w:val="center"/>
              <w:rPr>
                <w:rFonts w:ascii="Arial" w:hAnsi="Arial" w:cs="Angsana New"/>
                <w:bCs/>
                <w:sz w:val="16"/>
                <w:lang w:val="en-GB" w:bidi="th-TH"/>
              </w:rPr>
            </w:pPr>
          </w:p>
        </w:tc>
        <w:tc>
          <w:tcPr>
            <w:tcW w:w="1300" w:type="dxa"/>
            <w:noWrap/>
            <w:vAlign w:val="center"/>
          </w:tcPr>
          <w:p w14:paraId="731D91F6" w14:textId="77777777" w:rsidR="00E20038" w:rsidRPr="00E20038" w:rsidRDefault="00E20038" w:rsidP="00E20038">
            <w:pPr>
              <w:jc w:val="center"/>
              <w:rPr>
                <w:rFonts w:ascii="Arial" w:hAnsi="Arial" w:cs="Angsana New"/>
                <w:bCs/>
                <w:sz w:val="16"/>
                <w:lang w:val="en-GB" w:bidi="th-TH"/>
              </w:rPr>
            </w:pPr>
          </w:p>
        </w:tc>
        <w:tc>
          <w:tcPr>
            <w:tcW w:w="1700" w:type="dxa"/>
            <w:noWrap/>
            <w:vAlign w:val="center"/>
          </w:tcPr>
          <w:p w14:paraId="50758ACB" w14:textId="77777777" w:rsidR="00E20038" w:rsidRPr="00E20038" w:rsidRDefault="00E20038" w:rsidP="00E20038">
            <w:pPr>
              <w:jc w:val="center"/>
              <w:rPr>
                <w:rFonts w:ascii="Arial" w:hAnsi="Arial" w:cs="Angsana New"/>
                <w:bCs/>
                <w:sz w:val="16"/>
                <w:lang w:val="en-GB" w:bidi="th-TH"/>
              </w:rPr>
            </w:pPr>
          </w:p>
        </w:tc>
      </w:tr>
      <w:tr w:rsidR="00E20038" w:rsidRPr="00E20038" w14:paraId="3BB02BED" w14:textId="77777777" w:rsidTr="00E20038">
        <w:tc>
          <w:tcPr>
            <w:tcW w:w="2719" w:type="dxa"/>
            <w:vAlign w:val="center"/>
          </w:tcPr>
          <w:p w14:paraId="513320EB" w14:textId="77777777" w:rsidR="00E20038" w:rsidRPr="00E20038" w:rsidRDefault="00E20038" w:rsidP="00E20038">
            <w:pPr>
              <w:rPr>
                <w:rFonts w:ascii="Arial" w:hAnsi="Arial" w:cs="Angsana New"/>
                <w:bCs/>
                <w:sz w:val="16"/>
                <w:lang w:val="en-GB" w:bidi="th-TH"/>
              </w:rPr>
            </w:pPr>
            <w:smartTag w:uri="urn:schemas-microsoft-com:office:smarttags" w:element="place">
              <w:r w:rsidRPr="00E20038">
                <w:rPr>
                  <w:rFonts w:ascii="Arial" w:hAnsi="Arial" w:cs="Angsana New"/>
                  <w:bCs/>
                  <w:sz w:val="16"/>
                  <w:lang w:val="en-GB" w:bidi="th-TH"/>
                </w:rPr>
                <w:t>Pearl river</w:t>
              </w:r>
            </w:smartTag>
          </w:p>
        </w:tc>
        <w:tc>
          <w:tcPr>
            <w:tcW w:w="928" w:type="dxa"/>
            <w:vAlign w:val="center"/>
          </w:tcPr>
          <w:p w14:paraId="3182C4D8"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12,783</w:t>
            </w:r>
          </w:p>
        </w:tc>
        <w:tc>
          <w:tcPr>
            <w:tcW w:w="3033" w:type="dxa"/>
            <w:vAlign w:val="center"/>
          </w:tcPr>
          <w:p w14:paraId="00C65469" w14:textId="77777777" w:rsidR="00E20038" w:rsidRPr="00E20038" w:rsidRDefault="00E20038" w:rsidP="00E20038">
            <w:pPr>
              <w:jc w:val="center"/>
              <w:rPr>
                <w:rFonts w:ascii="Arial" w:hAnsi="Arial" w:cs="Angsana New"/>
                <w:bCs/>
                <w:sz w:val="16"/>
                <w:lang w:val="en-GB" w:bidi="th-TH"/>
              </w:rPr>
            </w:pPr>
            <w:smartTag w:uri="urn:schemas-microsoft-com:office:smarttags" w:element="place">
              <w:smartTag w:uri="urn:schemas-microsoft-com:office:smarttags" w:element="PlaceName">
                <w:r w:rsidRPr="00E20038">
                  <w:rPr>
                    <w:rFonts w:ascii="Arial" w:hAnsi="Arial" w:cs="Angsana New"/>
                    <w:sz w:val="16"/>
                    <w:lang w:val="en-GB"/>
                  </w:rPr>
                  <w:t>Wetland</w:t>
                </w:r>
              </w:smartTag>
              <w:r w:rsidRPr="00E20038">
                <w:rPr>
                  <w:rFonts w:ascii="Arial" w:hAnsi="Arial" w:cs="Angsana New"/>
                  <w:sz w:val="16"/>
                  <w:lang w:val="en-GB"/>
                </w:rPr>
                <w:t xml:space="preserve"> </w:t>
              </w:r>
              <w:smartTag w:uri="urn:schemas-microsoft-com:office:smarttags" w:element="PlaceType">
                <w:r w:rsidRPr="00E20038">
                  <w:rPr>
                    <w:rFonts w:ascii="Arial" w:hAnsi="Arial" w:cs="Angsana New"/>
                    <w:sz w:val="16"/>
                    <w:lang w:val="en-GB"/>
                  </w:rPr>
                  <w:t>Park</w:t>
                </w:r>
              </w:smartTag>
            </w:smartTag>
            <w:r w:rsidRPr="00E20038">
              <w:rPr>
                <w:rFonts w:ascii="Arial" w:hAnsi="Arial" w:cs="Angsana New"/>
                <w:sz w:val="16"/>
                <w:lang w:val="en-GB"/>
              </w:rPr>
              <w:t xml:space="preserve"> (200ha)</w:t>
            </w:r>
          </w:p>
        </w:tc>
        <w:tc>
          <w:tcPr>
            <w:tcW w:w="1300" w:type="dxa"/>
            <w:vAlign w:val="center"/>
          </w:tcPr>
          <w:p w14:paraId="53A0EDA0"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700" w:type="dxa"/>
            <w:vAlign w:val="center"/>
          </w:tcPr>
          <w:p w14:paraId="5FC8F6C7"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39782B3A" w14:textId="77777777" w:rsidTr="00E20038">
        <w:tc>
          <w:tcPr>
            <w:tcW w:w="2719" w:type="dxa"/>
            <w:vAlign w:val="center"/>
          </w:tcPr>
          <w:p w14:paraId="7091F1B2" w14:textId="77777777" w:rsidR="00E20038" w:rsidRPr="00E20038" w:rsidRDefault="00E20038" w:rsidP="00E20038">
            <w:pPr>
              <w:rPr>
                <w:rFonts w:ascii="Arial" w:hAnsi="Arial" w:cs="Angsana New"/>
                <w:bCs/>
                <w:sz w:val="16"/>
                <w:lang w:val="en-GB" w:bidi="th-TH"/>
              </w:rPr>
            </w:pPr>
            <w:r w:rsidRPr="00E20038">
              <w:rPr>
                <w:rFonts w:ascii="Arial" w:hAnsi="Arial" w:cs="Angsana New"/>
                <w:bCs/>
                <w:sz w:val="16"/>
                <w:lang w:val="en-GB" w:bidi="th-TH"/>
              </w:rPr>
              <w:t>Beilun river</w:t>
            </w:r>
          </w:p>
        </w:tc>
        <w:tc>
          <w:tcPr>
            <w:tcW w:w="928" w:type="dxa"/>
            <w:vAlign w:val="center"/>
          </w:tcPr>
          <w:p w14:paraId="29F22843"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1,083</w:t>
            </w:r>
          </w:p>
        </w:tc>
        <w:tc>
          <w:tcPr>
            <w:tcW w:w="3033" w:type="dxa"/>
            <w:vAlign w:val="center"/>
          </w:tcPr>
          <w:p w14:paraId="49FF49B6"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National level nature reserve</w:t>
            </w:r>
          </w:p>
        </w:tc>
        <w:tc>
          <w:tcPr>
            <w:tcW w:w="1300" w:type="dxa"/>
            <w:vAlign w:val="center"/>
          </w:tcPr>
          <w:p w14:paraId="61BBADDF"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700" w:type="dxa"/>
            <w:vAlign w:val="center"/>
          </w:tcPr>
          <w:p w14:paraId="780A2D48"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0F980C74" w14:textId="77777777" w:rsidTr="00E20038">
        <w:tc>
          <w:tcPr>
            <w:tcW w:w="2719" w:type="dxa"/>
            <w:vAlign w:val="center"/>
          </w:tcPr>
          <w:p w14:paraId="521F2484"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Indonesia</w:t>
                </w:r>
              </w:smartTag>
            </w:smartTag>
          </w:p>
        </w:tc>
        <w:tc>
          <w:tcPr>
            <w:tcW w:w="928" w:type="dxa"/>
            <w:noWrap/>
            <w:vAlign w:val="center"/>
          </w:tcPr>
          <w:p w14:paraId="0FC8AAA2" w14:textId="77777777" w:rsidR="00E20038" w:rsidRPr="00E20038" w:rsidRDefault="00E20038" w:rsidP="00E20038">
            <w:pPr>
              <w:rPr>
                <w:rFonts w:ascii="Arial" w:hAnsi="Arial" w:cs="Angsana New"/>
                <w:bCs/>
                <w:sz w:val="16"/>
                <w:lang w:val="en-GB" w:bidi="th-TH"/>
              </w:rPr>
            </w:pPr>
          </w:p>
        </w:tc>
        <w:tc>
          <w:tcPr>
            <w:tcW w:w="3033" w:type="dxa"/>
            <w:noWrap/>
            <w:vAlign w:val="center"/>
          </w:tcPr>
          <w:p w14:paraId="2046B1B1" w14:textId="77777777" w:rsidR="00E20038" w:rsidRPr="00E20038" w:rsidRDefault="00E20038" w:rsidP="00E20038">
            <w:pPr>
              <w:jc w:val="center"/>
              <w:rPr>
                <w:rFonts w:ascii="Arial" w:hAnsi="Arial" w:cs="Angsana New"/>
                <w:bCs/>
                <w:sz w:val="16"/>
                <w:lang w:val="en-GB" w:bidi="th-TH"/>
              </w:rPr>
            </w:pPr>
          </w:p>
        </w:tc>
        <w:tc>
          <w:tcPr>
            <w:tcW w:w="1300" w:type="dxa"/>
            <w:noWrap/>
            <w:vAlign w:val="center"/>
          </w:tcPr>
          <w:p w14:paraId="531B868D" w14:textId="77777777" w:rsidR="00E20038" w:rsidRPr="00E20038" w:rsidRDefault="00E20038" w:rsidP="00E20038">
            <w:pPr>
              <w:jc w:val="center"/>
              <w:rPr>
                <w:rFonts w:ascii="Arial" w:hAnsi="Arial" w:cs="Angsana New"/>
                <w:bCs/>
                <w:sz w:val="16"/>
                <w:lang w:val="en-GB" w:bidi="th-TH"/>
              </w:rPr>
            </w:pPr>
          </w:p>
        </w:tc>
        <w:tc>
          <w:tcPr>
            <w:tcW w:w="1700" w:type="dxa"/>
            <w:noWrap/>
            <w:vAlign w:val="center"/>
          </w:tcPr>
          <w:p w14:paraId="6205B25A" w14:textId="77777777" w:rsidR="00E20038" w:rsidRPr="00E20038" w:rsidRDefault="00E20038" w:rsidP="00E20038">
            <w:pPr>
              <w:jc w:val="center"/>
              <w:rPr>
                <w:rFonts w:ascii="Arial" w:hAnsi="Arial" w:cs="Angsana New"/>
                <w:bCs/>
                <w:sz w:val="16"/>
                <w:lang w:val="en-GB" w:bidi="th-TH"/>
              </w:rPr>
            </w:pPr>
          </w:p>
        </w:tc>
      </w:tr>
      <w:tr w:rsidR="00E20038" w:rsidRPr="00E20038" w14:paraId="172ABE30" w14:textId="77777777" w:rsidTr="00E20038">
        <w:tc>
          <w:tcPr>
            <w:tcW w:w="2719" w:type="dxa"/>
            <w:vAlign w:val="center"/>
          </w:tcPr>
          <w:p w14:paraId="572264E1" w14:textId="77777777" w:rsidR="00E20038" w:rsidRPr="00E20038" w:rsidRDefault="00E20038" w:rsidP="00E20038">
            <w:pPr>
              <w:rPr>
                <w:rFonts w:ascii="Arial" w:hAnsi="Arial" w:cs="Tahoma"/>
                <w:bCs/>
                <w:sz w:val="16"/>
                <w:lang w:val="en-GB" w:bidi="th-TH"/>
              </w:rPr>
            </w:pPr>
            <w:r w:rsidRPr="00E20038">
              <w:rPr>
                <w:rFonts w:ascii="Arial" w:hAnsi="Arial" w:cs="Tahoma"/>
                <w:bCs/>
                <w:sz w:val="16"/>
                <w:lang w:val="en-GB" w:bidi="th-TH"/>
              </w:rPr>
              <w:t>Bakau Selat Dumai</w:t>
            </w:r>
          </w:p>
        </w:tc>
        <w:tc>
          <w:tcPr>
            <w:tcW w:w="928" w:type="dxa"/>
            <w:noWrap/>
            <w:vAlign w:val="center"/>
          </w:tcPr>
          <w:p w14:paraId="5D84E20E"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60,000</w:t>
            </w:r>
          </w:p>
        </w:tc>
        <w:tc>
          <w:tcPr>
            <w:tcW w:w="3033" w:type="dxa"/>
            <w:noWrap/>
            <w:vAlign w:val="center"/>
          </w:tcPr>
          <w:p w14:paraId="4DE11684"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Yes</w:t>
            </w:r>
          </w:p>
        </w:tc>
        <w:tc>
          <w:tcPr>
            <w:tcW w:w="1300" w:type="dxa"/>
            <w:noWrap/>
            <w:vAlign w:val="center"/>
          </w:tcPr>
          <w:p w14:paraId="4F29A137" w14:textId="77777777" w:rsidR="00E20038" w:rsidRPr="00E20038" w:rsidRDefault="00E20038" w:rsidP="00E20038">
            <w:pPr>
              <w:jc w:val="center"/>
              <w:rPr>
                <w:rFonts w:ascii="Arial" w:hAnsi="Arial" w:cs="Angsana New"/>
                <w:bCs/>
                <w:sz w:val="16"/>
                <w:lang w:val="en-GB" w:bidi="th-TH"/>
              </w:rPr>
            </w:pPr>
          </w:p>
        </w:tc>
        <w:tc>
          <w:tcPr>
            <w:tcW w:w="1700" w:type="dxa"/>
            <w:noWrap/>
            <w:vAlign w:val="center"/>
          </w:tcPr>
          <w:p w14:paraId="0B1A9DF7" w14:textId="77777777" w:rsidR="00E20038" w:rsidRPr="00E20038" w:rsidRDefault="00E20038" w:rsidP="00E20038">
            <w:pPr>
              <w:jc w:val="center"/>
              <w:rPr>
                <w:rFonts w:ascii="Arial" w:hAnsi="Arial" w:cs="Angsana New"/>
                <w:bCs/>
                <w:sz w:val="16"/>
                <w:lang w:val="en-GB" w:bidi="th-TH"/>
              </w:rPr>
            </w:pPr>
          </w:p>
        </w:tc>
      </w:tr>
      <w:tr w:rsidR="00E20038" w:rsidRPr="00E20038" w14:paraId="47839940" w14:textId="77777777" w:rsidTr="00E20038">
        <w:tc>
          <w:tcPr>
            <w:tcW w:w="2719" w:type="dxa"/>
            <w:vAlign w:val="center"/>
          </w:tcPr>
          <w:p w14:paraId="5DCEE66B" w14:textId="77777777" w:rsidR="00E20038" w:rsidRPr="00E20038" w:rsidRDefault="00E20038" w:rsidP="00E20038">
            <w:pPr>
              <w:rPr>
                <w:rFonts w:ascii="Arial" w:hAnsi="Arial" w:cs="Angsana New"/>
                <w:bCs/>
                <w:sz w:val="16"/>
                <w:lang w:val="es-ES" w:bidi="th-TH"/>
              </w:rPr>
            </w:pPr>
            <w:r w:rsidRPr="00E20038">
              <w:rPr>
                <w:rFonts w:ascii="Arial" w:hAnsi="Arial" w:cs="Angsana New"/>
                <w:bCs/>
                <w:sz w:val="16"/>
                <w:lang w:val="es-ES" w:bidi="th-TH"/>
              </w:rPr>
              <w:t>Pulau Padang dan Tanjung Pandan</w:t>
            </w:r>
          </w:p>
        </w:tc>
        <w:tc>
          <w:tcPr>
            <w:tcW w:w="928" w:type="dxa"/>
            <w:noWrap/>
            <w:vAlign w:val="center"/>
          </w:tcPr>
          <w:p w14:paraId="656A6C70"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111,500</w:t>
            </w:r>
          </w:p>
        </w:tc>
        <w:tc>
          <w:tcPr>
            <w:tcW w:w="3033" w:type="dxa"/>
            <w:noWrap/>
            <w:vAlign w:val="center"/>
          </w:tcPr>
          <w:p w14:paraId="3ECEEF29"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w:t>
            </w:r>
          </w:p>
        </w:tc>
        <w:tc>
          <w:tcPr>
            <w:tcW w:w="1300" w:type="dxa"/>
            <w:noWrap/>
            <w:vAlign w:val="center"/>
          </w:tcPr>
          <w:p w14:paraId="23B9D602" w14:textId="77777777" w:rsidR="00E20038" w:rsidRPr="00E20038" w:rsidRDefault="00E20038" w:rsidP="00E20038">
            <w:pPr>
              <w:jc w:val="center"/>
              <w:rPr>
                <w:rFonts w:ascii="Arial" w:hAnsi="Arial" w:cs="Angsana New"/>
                <w:bCs/>
                <w:sz w:val="16"/>
                <w:lang w:val="en-GB" w:bidi="th-TH"/>
              </w:rPr>
            </w:pPr>
          </w:p>
        </w:tc>
        <w:tc>
          <w:tcPr>
            <w:tcW w:w="1700" w:type="dxa"/>
            <w:noWrap/>
            <w:vAlign w:val="center"/>
          </w:tcPr>
          <w:p w14:paraId="2B53C399"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r>
      <w:tr w:rsidR="00E20038" w:rsidRPr="00E20038" w14:paraId="49E97622" w14:textId="77777777" w:rsidTr="00E20038">
        <w:tc>
          <w:tcPr>
            <w:tcW w:w="2719" w:type="dxa"/>
            <w:vAlign w:val="center"/>
          </w:tcPr>
          <w:p w14:paraId="1E9B0FD5" w14:textId="77777777" w:rsidR="00E20038" w:rsidRPr="00E20038" w:rsidRDefault="00E20038" w:rsidP="00E20038">
            <w:pPr>
              <w:rPr>
                <w:rFonts w:ascii="Arial" w:hAnsi="Arial" w:cs="Angsana New"/>
                <w:bCs/>
                <w:sz w:val="16"/>
                <w:lang w:val="en-GB" w:bidi="th-TH"/>
              </w:rPr>
            </w:pPr>
            <w:r w:rsidRPr="00E20038">
              <w:rPr>
                <w:rFonts w:ascii="Arial" w:hAnsi="Arial" w:cs="Angsana New"/>
                <w:bCs/>
                <w:sz w:val="16"/>
                <w:lang w:val="en-GB" w:bidi="th-TH"/>
              </w:rPr>
              <w:t>Muara Sungai Guntung</w:t>
            </w:r>
          </w:p>
        </w:tc>
        <w:tc>
          <w:tcPr>
            <w:tcW w:w="928" w:type="dxa"/>
            <w:noWrap/>
            <w:vAlign w:val="center"/>
          </w:tcPr>
          <w:p w14:paraId="3DBB2137"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26,000</w:t>
            </w:r>
          </w:p>
        </w:tc>
        <w:tc>
          <w:tcPr>
            <w:tcW w:w="3033" w:type="dxa"/>
            <w:noWrap/>
            <w:vAlign w:val="center"/>
          </w:tcPr>
          <w:p w14:paraId="4EF615B8"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Small part</w:t>
            </w:r>
          </w:p>
        </w:tc>
        <w:tc>
          <w:tcPr>
            <w:tcW w:w="1300" w:type="dxa"/>
            <w:noWrap/>
            <w:vAlign w:val="center"/>
          </w:tcPr>
          <w:p w14:paraId="51AC0C69" w14:textId="77777777" w:rsidR="00E20038" w:rsidRPr="00E20038" w:rsidRDefault="00E20038" w:rsidP="00E20038">
            <w:pPr>
              <w:jc w:val="center"/>
              <w:rPr>
                <w:rFonts w:ascii="Arial" w:hAnsi="Arial" w:cs="Angsana New"/>
                <w:bCs/>
                <w:sz w:val="16"/>
                <w:lang w:val="en-GB" w:bidi="th-TH"/>
              </w:rPr>
            </w:pPr>
          </w:p>
        </w:tc>
        <w:tc>
          <w:tcPr>
            <w:tcW w:w="1700" w:type="dxa"/>
            <w:noWrap/>
            <w:vAlign w:val="center"/>
          </w:tcPr>
          <w:p w14:paraId="5064E672"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r>
      <w:tr w:rsidR="00E20038" w:rsidRPr="00E20038" w14:paraId="4B76C4EB" w14:textId="77777777" w:rsidTr="00E20038">
        <w:tc>
          <w:tcPr>
            <w:tcW w:w="2719" w:type="dxa"/>
            <w:vAlign w:val="center"/>
          </w:tcPr>
          <w:p w14:paraId="1C65E493" w14:textId="77777777" w:rsidR="00E20038" w:rsidRPr="00E20038" w:rsidRDefault="00E20038" w:rsidP="00E20038">
            <w:pPr>
              <w:rPr>
                <w:rFonts w:ascii="Arial" w:hAnsi="Arial" w:cs="Angsana New"/>
                <w:bCs/>
                <w:sz w:val="16"/>
                <w:lang w:val="en-GB" w:bidi="th-TH"/>
              </w:rPr>
            </w:pPr>
            <w:r w:rsidRPr="00E20038">
              <w:rPr>
                <w:rFonts w:ascii="Arial" w:hAnsi="Arial" w:cs="Angsana New"/>
                <w:bCs/>
                <w:sz w:val="16"/>
                <w:lang w:val="en-GB" w:bidi="th-TH"/>
              </w:rPr>
              <w:t>Delta Banyuasin</w:t>
            </w:r>
          </w:p>
        </w:tc>
        <w:tc>
          <w:tcPr>
            <w:tcW w:w="928" w:type="dxa"/>
            <w:noWrap/>
            <w:vAlign w:val="center"/>
          </w:tcPr>
          <w:p w14:paraId="0BFE964D"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200,000</w:t>
            </w:r>
          </w:p>
        </w:tc>
        <w:tc>
          <w:tcPr>
            <w:tcW w:w="3033" w:type="dxa"/>
            <w:noWrap/>
            <w:vAlign w:val="center"/>
          </w:tcPr>
          <w:p w14:paraId="40D8B29B"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Yes</w:t>
            </w:r>
          </w:p>
        </w:tc>
        <w:tc>
          <w:tcPr>
            <w:tcW w:w="1300" w:type="dxa"/>
            <w:noWrap/>
            <w:vAlign w:val="center"/>
          </w:tcPr>
          <w:p w14:paraId="5448CBB5" w14:textId="77777777" w:rsidR="00E20038" w:rsidRPr="00E20038" w:rsidRDefault="00E20038" w:rsidP="00E20038">
            <w:pPr>
              <w:jc w:val="center"/>
              <w:rPr>
                <w:rFonts w:ascii="Arial" w:hAnsi="Arial" w:cs="Angsana New"/>
                <w:bCs/>
                <w:sz w:val="16"/>
                <w:lang w:val="en-GB" w:bidi="th-TH"/>
              </w:rPr>
            </w:pPr>
          </w:p>
        </w:tc>
        <w:tc>
          <w:tcPr>
            <w:tcW w:w="1700" w:type="dxa"/>
            <w:noWrap/>
            <w:vAlign w:val="center"/>
          </w:tcPr>
          <w:p w14:paraId="07BBD213" w14:textId="77777777" w:rsidR="00E20038" w:rsidRPr="00E20038" w:rsidRDefault="00E20038" w:rsidP="00E20038">
            <w:pPr>
              <w:jc w:val="center"/>
              <w:rPr>
                <w:rFonts w:ascii="Arial" w:hAnsi="Arial" w:cs="Angsana New"/>
                <w:bCs/>
                <w:sz w:val="16"/>
                <w:lang w:val="en-GB" w:bidi="th-TH"/>
              </w:rPr>
            </w:pPr>
          </w:p>
        </w:tc>
      </w:tr>
      <w:tr w:rsidR="00E20038" w:rsidRPr="00E20038" w14:paraId="3F1EE3BB" w14:textId="77777777" w:rsidTr="00E20038">
        <w:tc>
          <w:tcPr>
            <w:tcW w:w="2719" w:type="dxa"/>
            <w:vAlign w:val="center"/>
          </w:tcPr>
          <w:p w14:paraId="266D570C" w14:textId="77777777" w:rsidR="00E20038" w:rsidRPr="00E20038" w:rsidRDefault="00E20038" w:rsidP="00E20038">
            <w:pPr>
              <w:rPr>
                <w:rFonts w:ascii="Arial" w:hAnsi="Arial" w:cs="Angsana New"/>
                <w:bCs/>
                <w:sz w:val="16"/>
                <w:lang w:val="en-GB" w:bidi="th-TH"/>
              </w:rPr>
            </w:pPr>
            <w:r w:rsidRPr="00E20038">
              <w:rPr>
                <w:rFonts w:ascii="Arial" w:hAnsi="Arial" w:cs="Angsana New"/>
                <w:bCs/>
                <w:sz w:val="16"/>
                <w:lang w:val="en-GB" w:bidi="th-TH"/>
              </w:rPr>
              <w:t>Sembilang</w:t>
            </w:r>
          </w:p>
        </w:tc>
        <w:tc>
          <w:tcPr>
            <w:tcW w:w="928" w:type="dxa"/>
            <w:noWrap/>
            <w:vAlign w:val="center"/>
          </w:tcPr>
          <w:p w14:paraId="4BB11B82"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387,500</w:t>
            </w:r>
          </w:p>
        </w:tc>
        <w:tc>
          <w:tcPr>
            <w:tcW w:w="3033" w:type="dxa"/>
            <w:noWrap/>
            <w:vAlign w:val="center"/>
          </w:tcPr>
          <w:p w14:paraId="64793440"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Yes</w:t>
            </w:r>
          </w:p>
        </w:tc>
        <w:tc>
          <w:tcPr>
            <w:tcW w:w="1300" w:type="dxa"/>
            <w:noWrap/>
            <w:vAlign w:val="center"/>
          </w:tcPr>
          <w:p w14:paraId="18D655EA"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w:t>
            </w:r>
          </w:p>
        </w:tc>
        <w:tc>
          <w:tcPr>
            <w:tcW w:w="1700" w:type="dxa"/>
            <w:noWrap/>
            <w:vAlign w:val="center"/>
          </w:tcPr>
          <w:p w14:paraId="71AAC39A"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w:t>
            </w:r>
          </w:p>
        </w:tc>
      </w:tr>
      <w:tr w:rsidR="00E20038" w:rsidRPr="00E20038" w14:paraId="4E9E8FAA" w14:textId="77777777" w:rsidTr="00E20038">
        <w:tc>
          <w:tcPr>
            <w:tcW w:w="2719" w:type="dxa"/>
            <w:vAlign w:val="center"/>
          </w:tcPr>
          <w:p w14:paraId="1F134F48"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Philippines</w:t>
                </w:r>
              </w:smartTag>
            </w:smartTag>
          </w:p>
        </w:tc>
        <w:tc>
          <w:tcPr>
            <w:tcW w:w="928" w:type="dxa"/>
            <w:noWrap/>
            <w:vAlign w:val="center"/>
          </w:tcPr>
          <w:p w14:paraId="42D54889" w14:textId="77777777" w:rsidR="00E20038" w:rsidRPr="00E20038" w:rsidRDefault="00E20038" w:rsidP="00E20038">
            <w:pPr>
              <w:rPr>
                <w:rFonts w:ascii="Arial" w:hAnsi="Arial" w:cs="Angsana New"/>
                <w:bCs/>
                <w:sz w:val="16"/>
                <w:lang w:val="en-GB" w:bidi="th-TH"/>
              </w:rPr>
            </w:pPr>
          </w:p>
        </w:tc>
        <w:tc>
          <w:tcPr>
            <w:tcW w:w="3033" w:type="dxa"/>
            <w:noWrap/>
            <w:vAlign w:val="center"/>
          </w:tcPr>
          <w:p w14:paraId="0B4C7F46" w14:textId="77777777" w:rsidR="00E20038" w:rsidRPr="00E20038" w:rsidRDefault="00E20038" w:rsidP="00E20038">
            <w:pPr>
              <w:jc w:val="center"/>
              <w:rPr>
                <w:rFonts w:ascii="Arial" w:hAnsi="Arial" w:cs="Angsana New"/>
                <w:bCs/>
                <w:sz w:val="16"/>
                <w:lang w:val="en-GB" w:bidi="th-TH"/>
              </w:rPr>
            </w:pPr>
          </w:p>
        </w:tc>
        <w:tc>
          <w:tcPr>
            <w:tcW w:w="1300" w:type="dxa"/>
            <w:noWrap/>
            <w:vAlign w:val="center"/>
          </w:tcPr>
          <w:p w14:paraId="10BB4932" w14:textId="77777777" w:rsidR="00E20038" w:rsidRPr="00E20038" w:rsidRDefault="00E20038" w:rsidP="00E20038">
            <w:pPr>
              <w:jc w:val="center"/>
              <w:rPr>
                <w:rFonts w:ascii="Arial" w:hAnsi="Arial" w:cs="Angsana New"/>
                <w:bCs/>
                <w:sz w:val="16"/>
                <w:lang w:val="en-GB" w:bidi="th-TH"/>
              </w:rPr>
            </w:pPr>
          </w:p>
        </w:tc>
        <w:tc>
          <w:tcPr>
            <w:tcW w:w="1700" w:type="dxa"/>
            <w:noWrap/>
            <w:vAlign w:val="center"/>
          </w:tcPr>
          <w:p w14:paraId="7BF3AF71" w14:textId="77777777" w:rsidR="00E20038" w:rsidRPr="00E20038" w:rsidRDefault="00E20038" w:rsidP="00E20038">
            <w:pPr>
              <w:jc w:val="center"/>
              <w:rPr>
                <w:rFonts w:ascii="Arial" w:hAnsi="Arial" w:cs="Angsana New"/>
                <w:bCs/>
                <w:sz w:val="16"/>
                <w:lang w:val="en-GB" w:bidi="th-TH"/>
              </w:rPr>
            </w:pPr>
          </w:p>
        </w:tc>
      </w:tr>
      <w:tr w:rsidR="00E20038" w:rsidRPr="00E20038" w14:paraId="3B36720E" w14:textId="77777777" w:rsidTr="00E20038">
        <w:tc>
          <w:tcPr>
            <w:tcW w:w="2719" w:type="dxa"/>
            <w:vAlign w:val="center"/>
          </w:tcPr>
          <w:p w14:paraId="33FA5249" w14:textId="77777777" w:rsidR="00E20038" w:rsidRPr="00E20038" w:rsidRDefault="00E20038" w:rsidP="00E20038">
            <w:pPr>
              <w:rPr>
                <w:rFonts w:ascii="Arial" w:hAnsi="Arial" w:cs="Tahoma"/>
                <w:bCs/>
                <w:sz w:val="16"/>
                <w:lang w:val="en-GB" w:bidi="th-TH"/>
              </w:rPr>
            </w:pPr>
            <w:r w:rsidRPr="00E20038">
              <w:rPr>
                <w:rFonts w:ascii="Arial" w:hAnsi="Arial" w:cs="Tahoma"/>
                <w:bCs/>
                <w:sz w:val="16"/>
                <w:lang w:val="en-GB" w:bidi="th-TH"/>
              </w:rPr>
              <w:t xml:space="preserve">Malampaya Sound </w:t>
            </w:r>
          </w:p>
        </w:tc>
        <w:tc>
          <w:tcPr>
            <w:tcW w:w="928" w:type="dxa"/>
            <w:noWrap/>
            <w:vAlign w:val="center"/>
          </w:tcPr>
          <w:p w14:paraId="25339915"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24,500</w:t>
            </w:r>
          </w:p>
        </w:tc>
        <w:tc>
          <w:tcPr>
            <w:tcW w:w="3033" w:type="dxa"/>
            <w:noWrap/>
            <w:vAlign w:val="center"/>
          </w:tcPr>
          <w:p w14:paraId="478476F2"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Protected seascape</w:t>
            </w:r>
          </w:p>
        </w:tc>
        <w:tc>
          <w:tcPr>
            <w:tcW w:w="1300" w:type="dxa"/>
            <w:noWrap/>
            <w:vAlign w:val="center"/>
          </w:tcPr>
          <w:p w14:paraId="3FD40438"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700" w:type="dxa"/>
            <w:noWrap/>
            <w:vAlign w:val="center"/>
          </w:tcPr>
          <w:p w14:paraId="43B2BE2C"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14E15FF6" w14:textId="77777777" w:rsidTr="00E20038">
        <w:tc>
          <w:tcPr>
            <w:tcW w:w="2719" w:type="dxa"/>
            <w:vAlign w:val="center"/>
          </w:tcPr>
          <w:p w14:paraId="32C25549" w14:textId="77777777" w:rsidR="00E20038" w:rsidRPr="00E20038" w:rsidRDefault="00E20038" w:rsidP="00E20038">
            <w:pPr>
              <w:rPr>
                <w:rFonts w:ascii="Arial" w:hAnsi="Arial" w:cs="Tahoma"/>
                <w:sz w:val="16"/>
                <w:lang w:val="en-GB"/>
              </w:rPr>
            </w:pPr>
            <w:smartTag w:uri="urn:schemas-microsoft-com:office:smarttags" w:element="place">
              <w:smartTag w:uri="urn:schemas-microsoft-com:office:smarttags" w:element="PlaceName">
                <w:r w:rsidRPr="00E20038">
                  <w:rPr>
                    <w:rFonts w:ascii="Arial" w:hAnsi="Arial" w:cs="Tahoma"/>
                    <w:sz w:val="16"/>
                    <w:lang w:val="en-GB"/>
                  </w:rPr>
                  <w:t>Pansipit</w:t>
                </w:r>
              </w:smartTag>
              <w:r w:rsidRPr="00E20038">
                <w:rPr>
                  <w:rFonts w:ascii="Arial" w:hAnsi="Arial" w:cs="Tahoma"/>
                  <w:sz w:val="16"/>
                  <w:lang w:val="en-GB"/>
                </w:rPr>
                <w:t xml:space="preserve"> </w:t>
              </w:r>
              <w:smartTag w:uri="urn:schemas-microsoft-com:office:smarttags" w:element="PlaceType">
                <w:r w:rsidRPr="00E20038">
                  <w:rPr>
                    <w:rFonts w:ascii="Arial" w:hAnsi="Arial" w:cs="Tahoma"/>
                    <w:sz w:val="16"/>
                    <w:lang w:val="en-GB"/>
                  </w:rPr>
                  <w:t>River</w:t>
                </w:r>
              </w:smartTag>
            </w:smartTag>
            <w:r w:rsidRPr="00E20038">
              <w:rPr>
                <w:rFonts w:ascii="Arial" w:hAnsi="Arial" w:cs="Tahoma"/>
                <w:sz w:val="16"/>
                <w:lang w:val="en-GB"/>
              </w:rPr>
              <w:t xml:space="preserve"> Estuary</w:t>
            </w:r>
          </w:p>
        </w:tc>
        <w:tc>
          <w:tcPr>
            <w:tcW w:w="928" w:type="dxa"/>
            <w:noWrap/>
            <w:vAlign w:val="center"/>
          </w:tcPr>
          <w:p w14:paraId="644E8EF5" w14:textId="77777777" w:rsidR="00E20038" w:rsidRPr="00E20038" w:rsidRDefault="00E20038" w:rsidP="00E20038">
            <w:pPr>
              <w:jc w:val="right"/>
              <w:rPr>
                <w:rFonts w:ascii="Arial" w:hAnsi="Arial" w:cs="Angsana New"/>
                <w:sz w:val="16"/>
                <w:lang w:val="en-GB"/>
              </w:rPr>
            </w:pPr>
            <w:r w:rsidRPr="00E20038">
              <w:rPr>
                <w:rFonts w:ascii="Arial" w:hAnsi="Arial" w:cs="Angsana New"/>
                <w:bCs/>
                <w:sz w:val="16"/>
                <w:lang w:val="en-GB" w:bidi="th-TH"/>
              </w:rPr>
              <w:t>15</w:t>
            </w:r>
          </w:p>
        </w:tc>
        <w:tc>
          <w:tcPr>
            <w:tcW w:w="3033" w:type="dxa"/>
            <w:noWrap/>
            <w:vAlign w:val="center"/>
          </w:tcPr>
          <w:p w14:paraId="34CF4B1C"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300" w:type="dxa"/>
            <w:noWrap/>
            <w:vAlign w:val="center"/>
          </w:tcPr>
          <w:p w14:paraId="0F813F8D"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700" w:type="dxa"/>
            <w:noWrap/>
            <w:vAlign w:val="center"/>
          </w:tcPr>
          <w:p w14:paraId="6C6FB78C"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r>
      <w:tr w:rsidR="00E20038" w:rsidRPr="00E20038" w14:paraId="2A9D9A8B" w14:textId="77777777" w:rsidTr="00E20038">
        <w:tc>
          <w:tcPr>
            <w:tcW w:w="2719" w:type="dxa"/>
            <w:vAlign w:val="center"/>
          </w:tcPr>
          <w:p w14:paraId="252B1BA3"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Thailand</w:t>
                </w:r>
              </w:smartTag>
            </w:smartTag>
          </w:p>
        </w:tc>
        <w:tc>
          <w:tcPr>
            <w:tcW w:w="928" w:type="dxa"/>
            <w:noWrap/>
            <w:vAlign w:val="center"/>
          </w:tcPr>
          <w:p w14:paraId="01D009B2"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 </w:t>
            </w:r>
          </w:p>
        </w:tc>
        <w:tc>
          <w:tcPr>
            <w:tcW w:w="3033" w:type="dxa"/>
            <w:noWrap/>
            <w:vAlign w:val="center"/>
          </w:tcPr>
          <w:p w14:paraId="25109E19" w14:textId="77777777" w:rsidR="00E20038" w:rsidRPr="00E20038" w:rsidRDefault="00E20038" w:rsidP="00E20038">
            <w:pPr>
              <w:jc w:val="center"/>
              <w:rPr>
                <w:rFonts w:ascii="Arial" w:hAnsi="Arial" w:cs="Angsana New"/>
                <w:bCs/>
                <w:sz w:val="16"/>
                <w:lang w:val="en-GB" w:bidi="th-TH"/>
              </w:rPr>
            </w:pPr>
          </w:p>
        </w:tc>
        <w:tc>
          <w:tcPr>
            <w:tcW w:w="1300" w:type="dxa"/>
            <w:noWrap/>
            <w:vAlign w:val="center"/>
          </w:tcPr>
          <w:p w14:paraId="098DF3EA" w14:textId="77777777" w:rsidR="00E20038" w:rsidRPr="00E20038" w:rsidRDefault="00E20038" w:rsidP="00E20038">
            <w:pPr>
              <w:jc w:val="center"/>
              <w:rPr>
                <w:rFonts w:ascii="Arial" w:hAnsi="Arial" w:cs="Angsana New"/>
                <w:bCs/>
                <w:sz w:val="16"/>
                <w:lang w:val="en-GB" w:bidi="th-TH"/>
              </w:rPr>
            </w:pPr>
          </w:p>
        </w:tc>
        <w:tc>
          <w:tcPr>
            <w:tcW w:w="1700" w:type="dxa"/>
            <w:noWrap/>
            <w:vAlign w:val="center"/>
          </w:tcPr>
          <w:p w14:paraId="25D2FF6C" w14:textId="77777777" w:rsidR="00E20038" w:rsidRPr="00E20038" w:rsidRDefault="00E20038" w:rsidP="00E20038">
            <w:pPr>
              <w:jc w:val="center"/>
              <w:rPr>
                <w:rFonts w:ascii="Arial" w:hAnsi="Arial" w:cs="Angsana New"/>
                <w:bCs/>
                <w:sz w:val="16"/>
                <w:lang w:val="en-GB" w:bidi="th-TH"/>
              </w:rPr>
            </w:pPr>
          </w:p>
        </w:tc>
      </w:tr>
      <w:tr w:rsidR="00E20038" w:rsidRPr="00E20038" w14:paraId="7D3BF228" w14:textId="77777777" w:rsidTr="00E20038">
        <w:tc>
          <w:tcPr>
            <w:tcW w:w="2719" w:type="dxa"/>
            <w:vAlign w:val="center"/>
          </w:tcPr>
          <w:p w14:paraId="7B3E84D5" w14:textId="77777777" w:rsidR="00E20038" w:rsidRPr="00E20038" w:rsidRDefault="00E20038" w:rsidP="00E20038">
            <w:pPr>
              <w:rPr>
                <w:rFonts w:ascii="Arial" w:hAnsi="Arial" w:cs="Angsana New"/>
                <w:bCs/>
                <w:sz w:val="16"/>
                <w:lang w:val="en-GB" w:bidi="th-TH"/>
              </w:rPr>
            </w:pPr>
            <w:smartTag w:uri="urn:schemas-microsoft-com:office:smarttags" w:element="place">
              <w:smartTag w:uri="urn:schemas-microsoft-com:office:smarttags" w:element="PlaceName">
                <w:r w:rsidRPr="00E20038">
                  <w:rPr>
                    <w:rFonts w:ascii="Arial" w:hAnsi="Arial" w:cs="Angsana New"/>
                    <w:bCs/>
                    <w:sz w:val="16"/>
                    <w:lang w:val="en-GB" w:bidi="th-TH"/>
                  </w:rPr>
                  <w:t>Pattani</w:t>
                </w:r>
              </w:smartTag>
              <w:r w:rsidRPr="00E20038">
                <w:rPr>
                  <w:rFonts w:ascii="Arial" w:hAnsi="Arial" w:cs="Angsana New"/>
                  <w:bCs/>
                  <w:sz w:val="16"/>
                  <w:lang w:val="en-GB" w:bidi="th-TH"/>
                </w:rPr>
                <w:t xml:space="preserve"> </w:t>
              </w:r>
              <w:smartTag w:uri="urn:schemas-microsoft-com:office:smarttags" w:element="PlaceType">
                <w:r w:rsidRPr="00E20038">
                  <w:rPr>
                    <w:rFonts w:ascii="Arial" w:hAnsi="Arial" w:cs="Angsana New"/>
                    <w:bCs/>
                    <w:sz w:val="16"/>
                    <w:lang w:val="en-GB" w:bidi="th-TH"/>
                  </w:rPr>
                  <w:t>Bay</w:t>
                </w:r>
              </w:smartTag>
            </w:smartTag>
          </w:p>
        </w:tc>
        <w:tc>
          <w:tcPr>
            <w:tcW w:w="928" w:type="dxa"/>
            <w:noWrap/>
            <w:vAlign w:val="center"/>
          </w:tcPr>
          <w:p w14:paraId="287AE461" w14:textId="77777777" w:rsidR="00E20038" w:rsidRPr="00E20038" w:rsidRDefault="00E20038" w:rsidP="00E20038">
            <w:pPr>
              <w:jc w:val="right"/>
              <w:rPr>
                <w:rFonts w:ascii="Arial" w:hAnsi="Arial" w:cs="Angsana New"/>
                <w:bCs/>
                <w:color w:val="000000"/>
                <w:sz w:val="16"/>
                <w:lang w:val="en-GB" w:bidi="th-TH"/>
              </w:rPr>
            </w:pPr>
            <w:r w:rsidRPr="00E20038">
              <w:rPr>
                <w:rFonts w:ascii="Arial" w:hAnsi="Arial" w:cs="Angsana New"/>
                <w:bCs/>
                <w:color w:val="000000"/>
                <w:sz w:val="16"/>
                <w:lang w:val="en-GB" w:bidi="th-TH"/>
              </w:rPr>
              <w:t>6,149</w:t>
            </w:r>
          </w:p>
        </w:tc>
        <w:tc>
          <w:tcPr>
            <w:tcW w:w="3033" w:type="dxa"/>
            <w:noWrap/>
            <w:vAlign w:val="center"/>
          </w:tcPr>
          <w:p w14:paraId="0D98209A"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300" w:type="dxa"/>
            <w:noWrap/>
            <w:vAlign w:val="center"/>
          </w:tcPr>
          <w:p w14:paraId="202772BD" w14:textId="77777777" w:rsidR="00E20038" w:rsidRPr="00E20038" w:rsidRDefault="00E20038" w:rsidP="00E20038">
            <w:pPr>
              <w:jc w:val="center"/>
              <w:rPr>
                <w:rFonts w:ascii="Arial" w:hAnsi="Arial" w:cs="Angsana New"/>
                <w:bCs/>
                <w:color w:val="000000"/>
                <w:sz w:val="16"/>
                <w:lang w:val="en-GB" w:bidi="th-TH"/>
              </w:rPr>
            </w:pPr>
            <w:r w:rsidRPr="00E20038">
              <w:rPr>
                <w:rFonts w:ascii="Arial" w:hAnsi="Arial" w:cs="Angsana New"/>
                <w:bCs/>
                <w:color w:val="000000"/>
                <w:sz w:val="16"/>
                <w:lang w:val="en-GB" w:bidi="th-TH"/>
              </w:rPr>
              <w:t>N.A.</w:t>
            </w:r>
          </w:p>
        </w:tc>
        <w:tc>
          <w:tcPr>
            <w:tcW w:w="1700" w:type="dxa"/>
            <w:noWrap/>
            <w:vAlign w:val="center"/>
          </w:tcPr>
          <w:p w14:paraId="24697861"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r>
      <w:tr w:rsidR="00E20038" w:rsidRPr="00E20038" w14:paraId="57606221" w14:textId="77777777" w:rsidTr="00E20038">
        <w:tc>
          <w:tcPr>
            <w:tcW w:w="2719" w:type="dxa"/>
            <w:vAlign w:val="center"/>
          </w:tcPr>
          <w:p w14:paraId="7FC5EF53" w14:textId="77777777" w:rsidR="00E20038" w:rsidRPr="00E20038" w:rsidRDefault="00E20038" w:rsidP="00E20038">
            <w:pPr>
              <w:rPr>
                <w:rFonts w:ascii="Arial" w:hAnsi="Arial" w:cs="Angsana New"/>
                <w:bCs/>
                <w:sz w:val="16"/>
                <w:lang w:val="en-GB" w:bidi="th-TH"/>
              </w:rPr>
            </w:pPr>
            <w:smartTag w:uri="urn:schemas-microsoft-com:office:smarttags" w:element="place">
              <w:smartTag w:uri="urn:schemas-microsoft-com:office:smarttags" w:element="PlaceName">
                <w:r w:rsidRPr="00E20038">
                  <w:rPr>
                    <w:rFonts w:ascii="Arial" w:hAnsi="Arial" w:cs="Angsana New"/>
                    <w:bCs/>
                    <w:sz w:val="16"/>
                    <w:lang w:val="en-GB" w:bidi="th-TH"/>
                  </w:rPr>
                  <w:t>Ban Don</w:t>
                </w:r>
              </w:smartTag>
              <w:r w:rsidRPr="00E20038">
                <w:rPr>
                  <w:rFonts w:ascii="Arial" w:hAnsi="Arial" w:cs="Angsana New"/>
                  <w:bCs/>
                  <w:sz w:val="16"/>
                  <w:lang w:val="en-GB" w:bidi="th-TH"/>
                </w:rPr>
                <w:t xml:space="preserve"> </w:t>
              </w:r>
              <w:smartTag w:uri="urn:schemas-microsoft-com:office:smarttags" w:element="PlaceType">
                <w:r w:rsidRPr="00E20038">
                  <w:rPr>
                    <w:rFonts w:ascii="Arial" w:hAnsi="Arial" w:cs="Angsana New"/>
                    <w:bCs/>
                    <w:sz w:val="16"/>
                    <w:lang w:val="en-GB" w:bidi="th-TH"/>
                  </w:rPr>
                  <w:t>Bay</w:t>
                </w:r>
              </w:smartTag>
            </w:smartTag>
          </w:p>
        </w:tc>
        <w:tc>
          <w:tcPr>
            <w:tcW w:w="928" w:type="dxa"/>
            <w:noWrap/>
            <w:vAlign w:val="center"/>
          </w:tcPr>
          <w:p w14:paraId="677B3AA9"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49,459</w:t>
            </w:r>
          </w:p>
        </w:tc>
        <w:tc>
          <w:tcPr>
            <w:tcW w:w="3033" w:type="dxa"/>
            <w:noWrap/>
            <w:vAlign w:val="center"/>
          </w:tcPr>
          <w:p w14:paraId="7D865ACE"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300" w:type="dxa"/>
            <w:noWrap/>
            <w:vAlign w:val="center"/>
          </w:tcPr>
          <w:p w14:paraId="265682E1"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700" w:type="dxa"/>
            <w:noWrap/>
            <w:vAlign w:val="center"/>
          </w:tcPr>
          <w:p w14:paraId="5FE7B6E5"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r>
      <w:tr w:rsidR="00E20038" w:rsidRPr="00E20038" w14:paraId="3F2687A9" w14:textId="77777777" w:rsidTr="00E20038">
        <w:tc>
          <w:tcPr>
            <w:tcW w:w="2719" w:type="dxa"/>
            <w:vAlign w:val="center"/>
          </w:tcPr>
          <w:p w14:paraId="27A17E41" w14:textId="77777777" w:rsidR="00E20038" w:rsidRPr="00E20038" w:rsidRDefault="00E20038" w:rsidP="00E20038">
            <w:pPr>
              <w:rPr>
                <w:rFonts w:ascii="Arial" w:hAnsi="Arial" w:cs="Angsana New"/>
                <w:bCs/>
                <w:sz w:val="16"/>
                <w:lang w:val="en-GB" w:bidi="th-TH"/>
              </w:rPr>
            </w:pPr>
            <w:smartTag w:uri="urn:schemas-microsoft-com:office:smarttags" w:element="place">
              <w:smartTag w:uri="urn:schemas-microsoft-com:office:smarttags" w:element="PlaceName">
                <w:r w:rsidRPr="00E20038">
                  <w:rPr>
                    <w:rFonts w:ascii="Arial" w:hAnsi="Arial" w:cs="Angsana New"/>
                    <w:bCs/>
                    <w:sz w:val="16"/>
                    <w:lang w:val="en-GB" w:bidi="th-TH"/>
                  </w:rPr>
                  <w:t>Welu</w:t>
                </w:r>
              </w:smartTag>
              <w:r w:rsidRPr="00E20038">
                <w:rPr>
                  <w:rFonts w:ascii="Arial" w:hAnsi="Arial" w:cs="Angsana New"/>
                  <w:bCs/>
                  <w:sz w:val="16"/>
                  <w:lang w:val="en-GB" w:bidi="th-TH"/>
                </w:rPr>
                <w:t xml:space="preserve"> </w:t>
              </w:r>
              <w:smartTag w:uri="urn:schemas-microsoft-com:office:smarttags" w:element="PlaceType">
                <w:r w:rsidRPr="00E20038">
                  <w:rPr>
                    <w:rFonts w:ascii="Arial" w:hAnsi="Arial" w:cs="Angsana New"/>
                    <w:bCs/>
                    <w:sz w:val="16"/>
                    <w:lang w:val="en-GB" w:bidi="th-TH"/>
                  </w:rPr>
                  <w:t>River</w:t>
                </w:r>
              </w:smartTag>
            </w:smartTag>
            <w:r w:rsidRPr="00E20038">
              <w:rPr>
                <w:rFonts w:ascii="Arial" w:hAnsi="Arial" w:cs="Angsana New"/>
                <w:bCs/>
                <w:sz w:val="16"/>
                <w:lang w:val="en-GB" w:bidi="th-TH"/>
              </w:rPr>
              <w:t xml:space="preserve"> Estuary</w:t>
            </w:r>
          </w:p>
        </w:tc>
        <w:tc>
          <w:tcPr>
            <w:tcW w:w="928" w:type="dxa"/>
            <w:noWrap/>
            <w:vAlign w:val="center"/>
          </w:tcPr>
          <w:p w14:paraId="79755D86"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10,400</w:t>
            </w:r>
          </w:p>
        </w:tc>
        <w:tc>
          <w:tcPr>
            <w:tcW w:w="3033" w:type="dxa"/>
            <w:noWrap/>
            <w:vAlign w:val="center"/>
          </w:tcPr>
          <w:p w14:paraId="2691DCAF"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300" w:type="dxa"/>
            <w:noWrap/>
            <w:vAlign w:val="center"/>
          </w:tcPr>
          <w:p w14:paraId="44CBFAEB"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700" w:type="dxa"/>
            <w:noWrap/>
            <w:vAlign w:val="center"/>
          </w:tcPr>
          <w:p w14:paraId="6065DEF0"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r>
      <w:tr w:rsidR="00E20038" w:rsidRPr="00E20038" w14:paraId="3DEBFA38" w14:textId="77777777" w:rsidTr="00E20038">
        <w:tc>
          <w:tcPr>
            <w:tcW w:w="2719" w:type="dxa"/>
            <w:vAlign w:val="center"/>
          </w:tcPr>
          <w:p w14:paraId="442F3C81" w14:textId="77777777" w:rsidR="00E20038" w:rsidRPr="00E20038" w:rsidRDefault="00E20038" w:rsidP="00E20038">
            <w:pPr>
              <w:rPr>
                <w:rFonts w:ascii="Arial" w:hAnsi="Arial" w:cs="Angsana New"/>
                <w:bCs/>
                <w:sz w:val="16"/>
                <w:lang w:val="en-GB" w:bidi="th-TH"/>
              </w:rPr>
            </w:pPr>
            <w:smartTag w:uri="urn:schemas-microsoft-com:office:smarttags" w:element="place">
              <w:smartTag w:uri="urn:schemas-microsoft-com:office:smarttags" w:element="PlaceName">
                <w:r w:rsidRPr="00E20038">
                  <w:rPr>
                    <w:rFonts w:ascii="Arial" w:hAnsi="Arial" w:cs="Angsana New"/>
                    <w:bCs/>
                    <w:sz w:val="16"/>
                    <w:lang w:val="en-GB" w:bidi="th-TH"/>
                  </w:rPr>
                  <w:t>Thung</w:t>
                </w:r>
              </w:smartTag>
              <w:r w:rsidRPr="00E20038">
                <w:rPr>
                  <w:rFonts w:ascii="Arial" w:hAnsi="Arial" w:cs="Angsana New"/>
                  <w:bCs/>
                  <w:sz w:val="16"/>
                  <w:lang w:val="en-GB" w:bidi="th-TH"/>
                </w:rPr>
                <w:t xml:space="preserve"> </w:t>
              </w:r>
              <w:smartTag w:uri="urn:schemas-microsoft-com:office:smarttags" w:element="PlaceName">
                <w:r w:rsidRPr="00E20038">
                  <w:rPr>
                    <w:rFonts w:ascii="Arial" w:hAnsi="Arial" w:cs="Angsana New"/>
                    <w:bCs/>
                    <w:sz w:val="16"/>
                    <w:lang w:val="en-GB" w:bidi="th-TH"/>
                  </w:rPr>
                  <w:t>Kha</w:t>
                </w:r>
              </w:smartTag>
              <w:r w:rsidRPr="00E20038">
                <w:rPr>
                  <w:rFonts w:ascii="Arial" w:hAnsi="Arial" w:cs="Angsana New"/>
                  <w:bCs/>
                  <w:sz w:val="16"/>
                  <w:lang w:val="en-GB" w:bidi="th-TH"/>
                </w:rPr>
                <w:t xml:space="preserve"> </w:t>
              </w:r>
              <w:smartTag w:uri="urn:schemas-microsoft-com:office:smarttags" w:element="PlaceName">
                <w:r w:rsidRPr="00E20038">
                  <w:rPr>
                    <w:rFonts w:ascii="Arial" w:hAnsi="Arial" w:cs="Angsana New"/>
                    <w:bCs/>
                    <w:sz w:val="16"/>
                    <w:lang w:val="en-GB" w:bidi="th-TH"/>
                  </w:rPr>
                  <w:t>Bay-Savi</w:t>
                </w:r>
              </w:smartTag>
              <w:r w:rsidRPr="00E20038">
                <w:rPr>
                  <w:rFonts w:ascii="Arial" w:hAnsi="Arial" w:cs="Angsana New"/>
                  <w:bCs/>
                  <w:sz w:val="16"/>
                  <w:lang w:val="en-GB" w:bidi="th-TH"/>
                </w:rPr>
                <w:t xml:space="preserve"> </w:t>
              </w:r>
              <w:smartTag w:uri="urn:schemas-microsoft-com:office:smarttags" w:element="PlaceType">
                <w:r w:rsidRPr="00E20038">
                  <w:rPr>
                    <w:rFonts w:ascii="Arial" w:hAnsi="Arial" w:cs="Angsana New"/>
                    <w:bCs/>
                    <w:sz w:val="16"/>
                    <w:lang w:val="en-GB" w:bidi="th-TH"/>
                  </w:rPr>
                  <w:t>Bay</w:t>
                </w:r>
              </w:smartTag>
            </w:smartTag>
          </w:p>
        </w:tc>
        <w:tc>
          <w:tcPr>
            <w:tcW w:w="928" w:type="dxa"/>
            <w:noWrap/>
            <w:vAlign w:val="center"/>
          </w:tcPr>
          <w:p w14:paraId="63310018"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5,204</w:t>
            </w:r>
          </w:p>
        </w:tc>
        <w:tc>
          <w:tcPr>
            <w:tcW w:w="3033" w:type="dxa"/>
            <w:noWrap/>
            <w:vAlign w:val="center"/>
          </w:tcPr>
          <w:p w14:paraId="69DD93C0"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National Park</w:t>
            </w:r>
          </w:p>
        </w:tc>
        <w:tc>
          <w:tcPr>
            <w:tcW w:w="1300" w:type="dxa"/>
            <w:noWrap/>
            <w:vAlign w:val="center"/>
          </w:tcPr>
          <w:p w14:paraId="747A1054"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700" w:type="dxa"/>
            <w:noWrap/>
            <w:vAlign w:val="center"/>
          </w:tcPr>
          <w:p w14:paraId="09D14FB8"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17040342" w14:textId="77777777" w:rsidTr="00E20038">
        <w:tc>
          <w:tcPr>
            <w:tcW w:w="2719" w:type="dxa"/>
            <w:vAlign w:val="center"/>
          </w:tcPr>
          <w:p w14:paraId="20EB0EE9" w14:textId="77777777" w:rsidR="00E20038" w:rsidRPr="00E20038" w:rsidRDefault="00E20038" w:rsidP="00E20038">
            <w:pPr>
              <w:rPr>
                <w:rFonts w:ascii="Arial" w:hAnsi="Arial" w:cs="Angsana New"/>
                <w:bCs/>
                <w:sz w:val="16"/>
                <w:lang w:val="en-GB" w:bidi="th-TH"/>
              </w:rPr>
            </w:pPr>
            <w:smartTag w:uri="urn:schemas-microsoft-com:office:smarttags" w:element="place">
              <w:smartTag w:uri="urn:schemas-microsoft-com:office:smarttags" w:element="PlaceName">
                <w:r w:rsidRPr="00E20038">
                  <w:rPr>
                    <w:rFonts w:ascii="Arial" w:hAnsi="Arial" w:cs="Angsana New"/>
                    <w:bCs/>
                    <w:sz w:val="16"/>
                    <w:lang w:val="en-GB" w:bidi="th-TH"/>
                  </w:rPr>
                  <w:t>Pak</w:t>
                </w:r>
              </w:smartTag>
              <w:r w:rsidRPr="00E20038">
                <w:rPr>
                  <w:rFonts w:ascii="Arial" w:hAnsi="Arial" w:cs="Angsana New"/>
                  <w:bCs/>
                  <w:sz w:val="16"/>
                  <w:lang w:val="en-GB" w:bidi="th-TH"/>
                </w:rPr>
                <w:t xml:space="preserve"> </w:t>
              </w:r>
              <w:smartTag w:uri="urn:schemas-microsoft-com:office:smarttags" w:element="PlaceName">
                <w:r w:rsidRPr="00E20038">
                  <w:rPr>
                    <w:rFonts w:ascii="Arial" w:hAnsi="Arial" w:cs="Angsana New"/>
                    <w:bCs/>
                    <w:sz w:val="16"/>
                    <w:lang w:val="en-GB" w:bidi="th-TH"/>
                  </w:rPr>
                  <w:t>Phanang</w:t>
                </w:r>
              </w:smartTag>
              <w:r w:rsidRPr="00E20038">
                <w:rPr>
                  <w:rFonts w:ascii="Arial" w:hAnsi="Arial" w:cs="Angsana New"/>
                  <w:bCs/>
                  <w:sz w:val="16"/>
                  <w:lang w:val="en-GB" w:bidi="th-TH"/>
                </w:rPr>
                <w:t xml:space="preserve"> </w:t>
              </w:r>
              <w:smartTag w:uri="urn:schemas-microsoft-com:office:smarttags" w:element="PlaceType">
                <w:r w:rsidRPr="00E20038">
                  <w:rPr>
                    <w:rFonts w:ascii="Arial" w:hAnsi="Arial" w:cs="Angsana New"/>
                    <w:bCs/>
                    <w:sz w:val="16"/>
                    <w:lang w:val="en-GB" w:bidi="th-TH"/>
                  </w:rPr>
                  <w:t>Bay</w:t>
                </w:r>
              </w:smartTag>
            </w:smartTag>
          </w:p>
        </w:tc>
        <w:tc>
          <w:tcPr>
            <w:tcW w:w="928" w:type="dxa"/>
            <w:noWrap/>
            <w:vAlign w:val="center"/>
          </w:tcPr>
          <w:p w14:paraId="74A7CEF1"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13,597</w:t>
            </w:r>
          </w:p>
        </w:tc>
        <w:tc>
          <w:tcPr>
            <w:tcW w:w="3033" w:type="dxa"/>
            <w:noWrap/>
            <w:vAlign w:val="center"/>
          </w:tcPr>
          <w:p w14:paraId="64BAECA2"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300" w:type="dxa"/>
            <w:noWrap/>
            <w:vAlign w:val="center"/>
          </w:tcPr>
          <w:p w14:paraId="7214F111"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c>
          <w:tcPr>
            <w:tcW w:w="1700" w:type="dxa"/>
            <w:noWrap/>
            <w:vAlign w:val="center"/>
          </w:tcPr>
          <w:p w14:paraId="287120CC"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48C5910F" w14:textId="77777777" w:rsidTr="00E20038">
        <w:tc>
          <w:tcPr>
            <w:tcW w:w="2719" w:type="dxa"/>
            <w:vAlign w:val="center"/>
          </w:tcPr>
          <w:p w14:paraId="0FFDC9F4"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Viet Nam</w:t>
                </w:r>
              </w:smartTag>
            </w:smartTag>
          </w:p>
        </w:tc>
        <w:tc>
          <w:tcPr>
            <w:tcW w:w="928" w:type="dxa"/>
            <w:noWrap/>
            <w:vAlign w:val="center"/>
          </w:tcPr>
          <w:p w14:paraId="16395A5A" w14:textId="77777777" w:rsidR="00E20038" w:rsidRPr="00E20038" w:rsidRDefault="00E20038" w:rsidP="00E20038">
            <w:pPr>
              <w:rPr>
                <w:rFonts w:ascii="Arial" w:hAnsi="Arial" w:cs="Angsana New"/>
                <w:bCs/>
                <w:sz w:val="16"/>
                <w:lang w:val="en-GB" w:bidi="th-TH"/>
              </w:rPr>
            </w:pPr>
          </w:p>
        </w:tc>
        <w:tc>
          <w:tcPr>
            <w:tcW w:w="3033" w:type="dxa"/>
            <w:noWrap/>
            <w:vAlign w:val="center"/>
          </w:tcPr>
          <w:p w14:paraId="314BF7D4" w14:textId="77777777" w:rsidR="00E20038" w:rsidRPr="00E20038" w:rsidRDefault="00E20038" w:rsidP="00E20038">
            <w:pPr>
              <w:jc w:val="center"/>
              <w:rPr>
                <w:rFonts w:ascii="Arial" w:hAnsi="Arial" w:cs="Angsana New"/>
                <w:bCs/>
                <w:sz w:val="16"/>
                <w:lang w:val="en-GB" w:bidi="th-TH"/>
              </w:rPr>
            </w:pPr>
          </w:p>
        </w:tc>
        <w:tc>
          <w:tcPr>
            <w:tcW w:w="1300" w:type="dxa"/>
            <w:noWrap/>
            <w:vAlign w:val="center"/>
          </w:tcPr>
          <w:p w14:paraId="4A6F3E48" w14:textId="77777777" w:rsidR="00E20038" w:rsidRPr="00E20038" w:rsidRDefault="00E20038" w:rsidP="00E20038">
            <w:pPr>
              <w:jc w:val="center"/>
              <w:rPr>
                <w:rFonts w:ascii="Arial" w:hAnsi="Arial" w:cs="Angsana New"/>
                <w:bCs/>
                <w:sz w:val="16"/>
                <w:lang w:val="en-GB" w:bidi="th-TH"/>
              </w:rPr>
            </w:pPr>
          </w:p>
        </w:tc>
        <w:tc>
          <w:tcPr>
            <w:tcW w:w="1700" w:type="dxa"/>
            <w:noWrap/>
            <w:vAlign w:val="center"/>
          </w:tcPr>
          <w:p w14:paraId="28B527D3" w14:textId="77777777" w:rsidR="00E20038" w:rsidRPr="00E20038" w:rsidRDefault="00E20038" w:rsidP="00E20038">
            <w:pPr>
              <w:jc w:val="center"/>
              <w:rPr>
                <w:rFonts w:ascii="Arial" w:hAnsi="Arial" w:cs="Angsana New"/>
                <w:bCs/>
                <w:sz w:val="16"/>
                <w:lang w:val="en-GB" w:bidi="th-TH"/>
              </w:rPr>
            </w:pPr>
          </w:p>
        </w:tc>
      </w:tr>
      <w:tr w:rsidR="00E20038" w:rsidRPr="00E20038" w14:paraId="6E7BB98D" w14:textId="77777777" w:rsidTr="00E20038">
        <w:tc>
          <w:tcPr>
            <w:tcW w:w="2719" w:type="dxa"/>
            <w:vAlign w:val="center"/>
          </w:tcPr>
          <w:p w14:paraId="5E5ACA42" w14:textId="77777777" w:rsidR="00E20038" w:rsidRPr="00E20038" w:rsidRDefault="00E20038" w:rsidP="00E20038">
            <w:pPr>
              <w:rPr>
                <w:rFonts w:ascii="Arial" w:hAnsi="Arial" w:cs="Angsana New"/>
                <w:sz w:val="16"/>
                <w:lang w:val="en-GB"/>
              </w:rPr>
            </w:pPr>
            <w:r w:rsidRPr="00E20038">
              <w:rPr>
                <w:rFonts w:ascii="Arial" w:hAnsi="Arial" w:cs="Angsana New"/>
                <w:sz w:val="16"/>
                <w:lang w:val="en-GB"/>
              </w:rPr>
              <w:t>Balat Estuary</w:t>
            </w:r>
          </w:p>
        </w:tc>
        <w:tc>
          <w:tcPr>
            <w:tcW w:w="928" w:type="dxa"/>
            <w:noWrap/>
            <w:vAlign w:val="center"/>
          </w:tcPr>
          <w:p w14:paraId="5C0E2FB3"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26,397</w:t>
            </w:r>
          </w:p>
        </w:tc>
        <w:tc>
          <w:tcPr>
            <w:tcW w:w="3033" w:type="dxa"/>
            <w:noWrap/>
            <w:vAlign w:val="center"/>
          </w:tcPr>
          <w:p w14:paraId="2748CB2F" w14:textId="77777777" w:rsidR="00E20038" w:rsidRPr="00E20038" w:rsidRDefault="00E20038" w:rsidP="00E20038">
            <w:pPr>
              <w:jc w:val="center"/>
              <w:rPr>
                <w:rFonts w:ascii="Arial" w:hAnsi="Arial" w:cs="Angsana New"/>
                <w:bCs/>
                <w:sz w:val="14"/>
                <w:szCs w:val="14"/>
                <w:lang w:val="en-GB" w:bidi="th-TH"/>
              </w:rPr>
            </w:pPr>
            <w:r w:rsidRPr="00E20038">
              <w:rPr>
                <w:rFonts w:ascii="Arial" w:hAnsi="Arial" w:cs="Angsana New"/>
                <w:bCs/>
                <w:sz w:val="14"/>
                <w:szCs w:val="14"/>
                <w:lang w:val="en-GB" w:bidi="th-TH"/>
              </w:rPr>
              <w:t>National Park and National Nature Reserve</w:t>
            </w:r>
          </w:p>
        </w:tc>
        <w:tc>
          <w:tcPr>
            <w:tcW w:w="1300" w:type="dxa"/>
            <w:noWrap/>
            <w:vAlign w:val="center"/>
          </w:tcPr>
          <w:p w14:paraId="2EA785CB"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700" w:type="dxa"/>
            <w:noWrap/>
            <w:vAlign w:val="center"/>
          </w:tcPr>
          <w:p w14:paraId="6BC48DAB"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17468A24" w14:textId="77777777" w:rsidTr="00E20038">
        <w:tc>
          <w:tcPr>
            <w:tcW w:w="2719" w:type="dxa"/>
            <w:vAlign w:val="center"/>
          </w:tcPr>
          <w:p w14:paraId="1B8A4DBC" w14:textId="77777777" w:rsidR="00E20038" w:rsidRPr="00E20038" w:rsidRDefault="00E20038" w:rsidP="00E20038">
            <w:pPr>
              <w:rPr>
                <w:rFonts w:ascii="Arial" w:hAnsi="Arial" w:cs="Angsana New"/>
                <w:sz w:val="16"/>
                <w:lang w:val="en-GB"/>
              </w:rPr>
            </w:pPr>
            <w:smartTag w:uri="urn:schemas-microsoft-com:office:smarttags" w:element="place">
              <w:smartTag w:uri="urn:schemas-microsoft-com:office:smarttags" w:element="PlaceName">
                <w:r w:rsidRPr="00E20038">
                  <w:rPr>
                    <w:rFonts w:ascii="Arial" w:hAnsi="Arial" w:cs="Angsana New"/>
                    <w:sz w:val="16"/>
                    <w:lang w:val="en-GB"/>
                  </w:rPr>
                  <w:t>Tien</w:t>
                </w:r>
              </w:smartTag>
              <w:r w:rsidRPr="00E20038">
                <w:rPr>
                  <w:rFonts w:ascii="Arial" w:hAnsi="Arial" w:cs="Angsana New"/>
                  <w:sz w:val="16"/>
                  <w:lang w:val="en-GB"/>
                </w:rPr>
                <w:t xml:space="preserve"> </w:t>
              </w:r>
              <w:smartTag w:uri="urn:schemas-microsoft-com:office:smarttags" w:element="PlaceType">
                <w:r w:rsidRPr="00E20038">
                  <w:rPr>
                    <w:rFonts w:ascii="Arial" w:hAnsi="Arial" w:cs="Angsana New"/>
                    <w:sz w:val="16"/>
                    <w:lang w:val="en-GB"/>
                  </w:rPr>
                  <w:t>River</w:t>
                </w:r>
              </w:smartTag>
            </w:smartTag>
            <w:r w:rsidRPr="00E20038">
              <w:rPr>
                <w:rFonts w:ascii="Arial" w:hAnsi="Arial" w:cs="Angsana New"/>
                <w:sz w:val="16"/>
                <w:lang w:val="en-GB"/>
              </w:rPr>
              <w:t xml:space="preserve"> Estuary</w:t>
            </w:r>
          </w:p>
        </w:tc>
        <w:tc>
          <w:tcPr>
            <w:tcW w:w="928" w:type="dxa"/>
            <w:noWrap/>
            <w:vAlign w:val="center"/>
          </w:tcPr>
          <w:p w14:paraId="23D4F459"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100,691</w:t>
            </w:r>
          </w:p>
        </w:tc>
        <w:tc>
          <w:tcPr>
            <w:tcW w:w="3033" w:type="dxa"/>
            <w:noWrap/>
            <w:vAlign w:val="center"/>
          </w:tcPr>
          <w:p w14:paraId="3BAEC603" w14:textId="77777777" w:rsidR="00E20038" w:rsidRPr="00E20038" w:rsidRDefault="00E20038" w:rsidP="00E20038">
            <w:pPr>
              <w:jc w:val="center"/>
              <w:rPr>
                <w:rFonts w:ascii="Arial" w:hAnsi="Arial" w:cs="Angsana New"/>
                <w:bCs/>
                <w:sz w:val="14"/>
                <w:szCs w:val="14"/>
                <w:lang w:val="en-GB" w:bidi="th-TH"/>
              </w:rPr>
            </w:pPr>
            <w:r w:rsidRPr="00E20038">
              <w:rPr>
                <w:rFonts w:ascii="Arial" w:hAnsi="Arial" w:cs="Angsana New"/>
                <w:bCs/>
                <w:sz w:val="14"/>
                <w:szCs w:val="14"/>
                <w:lang w:val="en-GB" w:bidi="th-TH"/>
              </w:rPr>
              <w:t>Than Phu Nature Reserve – small part of the estuary</w:t>
            </w:r>
          </w:p>
        </w:tc>
        <w:tc>
          <w:tcPr>
            <w:tcW w:w="1300" w:type="dxa"/>
            <w:noWrap/>
            <w:vAlign w:val="center"/>
          </w:tcPr>
          <w:p w14:paraId="3AEF2619"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700" w:type="dxa"/>
            <w:noWrap/>
            <w:vAlign w:val="center"/>
          </w:tcPr>
          <w:p w14:paraId="03957217"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r>
      <w:tr w:rsidR="00E20038" w:rsidRPr="00E20038" w14:paraId="3216F82E" w14:textId="77777777" w:rsidTr="00E20038">
        <w:tc>
          <w:tcPr>
            <w:tcW w:w="2719" w:type="dxa"/>
            <w:vAlign w:val="center"/>
          </w:tcPr>
          <w:p w14:paraId="082E39E2" w14:textId="77777777" w:rsidR="00E20038" w:rsidRPr="00E20038" w:rsidRDefault="00E20038" w:rsidP="00E20038">
            <w:pPr>
              <w:rPr>
                <w:rFonts w:ascii="Arial" w:hAnsi="Arial" w:cs="Angsana New"/>
                <w:sz w:val="16"/>
                <w:lang w:val="en-GB"/>
              </w:rPr>
            </w:pPr>
            <w:smartTag w:uri="urn:schemas-microsoft-com:office:smarttags" w:element="place">
              <w:smartTag w:uri="urn:schemas-microsoft-com:office:smarttags" w:element="PlaceName">
                <w:r w:rsidRPr="00E20038">
                  <w:rPr>
                    <w:rFonts w:ascii="Arial" w:hAnsi="Arial" w:cs="Angsana New"/>
                    <w:sz w:val="16"/>
                    <w:lang w:val="en-GB"/>
                  </w:rPr>
                  <w:t>Dong</w:t>
                </w:r>
              </w:smartTag>
              <w:r w:rsidRPr="00E20038">
                <w:rPr>
                  <w:rFonts w:ascii="Arial" w:hAnsi="Arial" w:cs="Angsana New"/>
                  <w:sz w:val="16"/>
                  <w:lang w:val="en-GB"/>
                </w:rPr>
                <w:t xml:space="preserve"> </w:t>
              </w:r>
              <w:smartTag w:uri="urn:schemas-microsoft-com:office:smarttags" w:element="PlaceName">
                <w:r w:rsidRPr="00E20038">
                  <w:rPr>
                    <w:rFonts w:ascii="Arial" w:hAnsi="Arial" w:cs="Angsana New"/>
                    <w:sz w:val="16"/>
                    <w:lang w:val="en-GB"/>
                  </w:rPr>
                  <w:t>Nai</w:t>
                </w:r>
              </w:smartTag>
              <w:r w:rsidRPr="00E20038">
                <w:rPr>
                  <w:rFonts w:ascii="Arial" w:hAnsi="Arial" w:cs="Angsana New"/>
                  <w:sz w:val="16"/>
                  <w:lang w:val="en-GB"/>
                </w:rPr>
                <w:t xml:space="preserve"> </w:t>
              </w:r>
              <w:smartTag w:uri="urn:schemas-microsoft-com:office:smarttags" w:element="PlaceType">
                <w:r w:rsidRPr="00E20038">
                  <w:rPr>
                    <w:rFonts w:ascii="Arial" w:hAnsi="Arial" w:cs="Angsana New"/>
                    <w:sz w:val="16"/>
                    <w:lang w:val="en-GB"/>
                  </w:rPr>
                  <w:t>River</w:t>
                </w:r>
              </w:smartTag>
            </w:smartTag>
            <w:r w:rsidRPr="00E20038">
              <w:rPr>
                <w:rFonts w:ascii="Arial" w:hAnsi="Arial" w:cs="Angsana New"/>
                <w:sz w:val="16"/>
                <w:lang w:val="en-GB"/>
              </w:rPr>
              <w:t xml:space="preserve"> Estuary</w:t>
            </w:r>
          </w:p>
        </w:tc>
        <w:tc>
          <w:tcPr>
            <w:tcW w:w="928" w:type="dxa"/>
            <w:noWrap/>
            <w:vAlign w:val="center"/>
          </w:tcPr>
          <w:p w14:paraId="706F4C6B"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49,711</w:t>
            </w:r>
          </w:p>
        </w:tc>
        <w:tc>
          <w:tcPr>
            <w:tcW w:w="3033" w:type="dxa"/>
            <w:noWrap/>
            <w:vAlign w:val="center"/>
          </w:tcPr>
          <w:p w14:paraId="78D3A359"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Can Gio Biosphere Reserve</w:t>
            </w:r>
          </w:p>
        </w:tc>
        <w:tc>
          <w:tcPr>
            <w:tcW w:w="1300" w:type="dxa"/>
            <w:noWrap/>
            <w:vAlign w:val="center"/>
          </w:tcPr>
          <w:p w14:paraId="6A2E7E8C"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700" w:type="dxa"/>
            <w:noWrap/>
            <w:vAlign w:val="center"/>
          </w:tcPr>
          <w:p w14:paraId="14B9AC62"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r>
      <w:tr w:rsidR="00E20038" w:rsidRPr="00E20038" w14:paraId="0ADA84F2" w14:textId="77777777" w:rsidTr="00E20038">
        <w:tc>
          <w:tcPr>
            <w:tcW w:w="2719" w:type="dxa"/>
            <w:vAlign w:val="center"/>
          </w:tcPr>
          <w:p w14:paraId="363BC89D" w14:textId="77777777" w:rsidR="00E20038" w:rsidRPr="00E20038" w:rsidRDefault="00E20038" w:rsidP="00E20038">
            <w:pPr>
              <w:rPr>
                <w:rFonts w:ascii="Arial" w:hAnsi="Arial" w:cs="Angsana New"/>
                <w:sz w:val="16"/>
                <w:lang w:val="en-GB"/>
              </w:rPr>
            </w:pPr>
            <w:r w:rsidRPr="00E20038">
              <w:rPr>
                <w:rFonts w:ascii="Arial" w:hAnsi="Arial" w:cs="Angsana New"/>
                <w:sz w:val="16"/>
                <w:lang w:val="en-GB"/>
              </w:rPr>
              <w:t>Van Uc Estuary</w:t>
            </w:r>
          </w:p>
        </w:tc>
        <w:tc>
          <w:tcPr>
            <w:tcW w:w="928" w:type="dxa"/>
            <w:noWrap/>
            <w:vAlign w:val="center"/>
          </w:tcPr>
          <w:p w14:paraId="2E8C08F3"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6,990</w:t>
            </w:r>
          </w:p>
        </w:tc>
        <w:tc>
          <w:tcPr>
            <w:tcW w:w="3033" w:type="dxa"/>
            <w:noWrap/>
            <w:vAlign w:val="center"/>
          </w:tcPr>
          <w:p w14:paraId="4D402AEB"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300" w:type="dxa"/>
            <w:noWrap/>
            <w:vAlign w:val="center"/>
          </w:tcPr>
          <w:p w14:paraId="31BB4EA4"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700" w:type="dxa"/>
            <w:noWrap/>
            <w:vAlign w:val="center"/>
          </w:tcPr>
          <w:p w14:paraId="79C4B82D"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r>
      <w:tr w:rsidR="00E20038" w:rsidRPr="00E20038" w14:paraId="735147DD" w14:textId="77777777" w:rsidTr="00E20038">
        <w:tc>
          <w:tcPr>
            <w:tcW w:w="2719" w:type="dxa"/>
            <w:vAlign w:val="center"/>
          </w:tcPr>
          <w:p w14:paraId="7C2AEF48" w14:textId="77777777" w:rsidR="00E20038" w:rsidRPr="00E20038" w:rsidRDefault="00E20038" w:rsidP="00E20038">
            <w:pPr>
              <w:rPr>
                <w:rFonts w:ascii="Arial" w:hAnsi="Arial" w:cs="Angsana New"/>
                <w:sz w:val="16"/>
                <w:lang w:val="en-GB"/>
              </w:rPr>
            </w:pPr>
            <w:r w:rsidRPr="00E20038">
              <w:rPr>
                <w:rFonts w:ascii="Arial" w:hAnsi="Arial" w:cs="Angsana New"/>
                <w:sz w:val="16"/>
                <w:lang w:val="en-GB"/>
              </w:rPr>
              <w:t>Bach Dang Estuary</w:t>
            </w:r>
          </w:p>
        </w:tc>
        <w:tc>
          <w:tcPr>
            <w:tcW w:w="928" w:type="dxa"/>
            <w:noWrap/>
            <w:vAlign w:val="center"/>
          </w:tcPr>
          <w:p w14:paraId="162AA647"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80,358</w:t>
            </w:r>
          </w:p>
        </w:tc>
        <w:tc>
          <w:tcPr>
            <w:tcW w:w="3033" w:type="dxa"/>
            <w:noWrap/>
            <w:vAlign w:val="center"/>
          </w:tcPr>
          <w:p w14:paraId="7D39B4DA"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300" w:type="dxa"/>
            <w:noWrap/>
            <w:vAlign w:val="center"/>
          </w:tcPr>
          <w:p w14:paraId="29DBFED7"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700" w:type="dxa"/>
            <w:noWrap/>
            <w:vAlign w:val="center"/>
          </w:tcPr>
          <w:p w14:paraId="77CC4A74"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r>
      <w:tr w:rsidR="00E20038" w:rsidRPr="00E20038" w14:paraId="483EE7AB" w14:textId="77777777" w:rsidTr="00E20038">
        <w:tc>
          <w:tcPr>
            <w:tcW w:w="2719" w:type="dxa"/>
            <w:tcBorders>
              <w:bottom w:val="single" w:sz="12" w:space="0" w:color="auto"/>
            </w:tcBorders>
            <w:vAlign w:val="center"/>
          </w:tcPr>
          <w:p w14:paraId="103ECFB7" w14:textId="77777777" w:rsidR="00E20038" w:rsidRPr="00E20038" w:rsidRDefault="00E20038" w:rsidP="00E20038">
            <w:pPr>
              <w:rPr>
                <w:rFonts w:ascii="Arial" w:hAnsi="Arial" w:cs="Angsana New"/>
                <w:sz w:val="16"/>
                <w:lang w:val="en-GB"/>
              </w:rPr>
            </w:pPr>
            <w:r w:rsidRPr="00E20038">
              <w:rPr>
                <w:rFonts w:ascii="Arial" w:hAnsi="Arial" w:cs="Angsana New"/>
                <w:sz w:val="16"/>
                <w:lang w:val="en-GB"/>
              </w:rPr>
              <w:t xml:space="preserve">Tien Yen Estuary </w:t>
            </w:r>
          </w:p>
        </w:tc>
        <w:tc>
          <w:tcPr>
            <w:tcW w:w="928" w:type="dxa"/>
            <w:tcBorders>
              <w:bottom w:val="single" w:sz="12" w:space="0" w:color="auto"/>
            </w:tcBorders>
            <w:noWrap/>
            <w:vAlign w:val="center"/>
          </w:tcPr>
          <w:p w14:paraId="54B35EA5"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24,738</w:t>
            </w:r>
          </w:p>
        </w:tc>
        <w:tc>
          <w:tcPr>
            <w:tcW w:w="3033" w:type="dxa"/>
            <w:tcBorders>
              <w:bottom w:val="single" w:sz="12" w:space="0" w:color="auto"/>
            </w:tcBorders>
            <w:noWrap/>
            <w:vAlign w:val="center"/>
          </w:tcPr>
          <w:p w14:paraId="0042BE81"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300" w:type="dxa"/>
            <w:tcBorders>
              <w:bottom w:val="single" w:sz="12" w:space="0" w:color="auto"/>
            </w:tcBorders>
            <w:noWrap/>
            <w:vAlign w:val="center"/>
          </w:tcPr>
          <w:p w14:paraId="1B93172F"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700" w:type="dxa"/>
            <w:tcBorders>
              <w:bottom w:val="single" w:sz="12" w:space="0" w:color="auto"/>
            </w:tcBorders>
            <w:noWrap/>
            <w:vAlign w:val="center"/>
          </w:tcPr>
          <w:p w14:paraId="74ED2204"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r>
      <w:tr w:rsidR="00E20038" w:rsidRPr="00E20038" w14:paraId="31A77DD9" w14:textId="77777777" w:rsidTr="00E20038">
        <w:tc>
          <w:tcPr>
            <w:tcW w:w="2719" w:type="dxa"/>
            <w:tcBorders>
              <w:top w:val="single" w:sz="12" w:space="0" w:color="auto"/>
              <w:bottom w:val="single" w:sz="12" w:space="0" w:color="auto"/>
            </w:tcBorders>
            <w:vAlign w:val="center"/>
          </w:tcPr>
          <w:p w14:paraId="304A5A79" w14:textId="77777777" w:rsidR="00E20038" w:rsidRPr="00E20038" w:rsidRDefault="00E20038" w:rsidP="00E20038">
            <w:pPr>
              <w:rPr>
                <w:rFonts w:ascii="Arial" w:hAnsi="Arial" w:cs="Angsana New"/>
                <w:b/>
                <w:sz w:val="16"/>
                <w:lang w:val="en-GB"/>
              </w:rPr>
            </w:pPr>
            <w:r w:rsidRPr="00E20038">
              <w:rPr>
                <w:rFonts w:ascii="Arial" w:hAnsi="Arial" w:cs="Angsana New"/>
                <w:b/>
                <w:sz w:val="16"/>
                <w:lang w:val="en-GB"/>
              </w:rPr>
              <w:t>SUBTOTAL</w:t>
            </w:r>
          </w:p>
        </w:tc>
        <w:tc>
          <w:tcPr>
            <w:tcW w:w="928" w:type="dxa"/>
            <w:tcBorders>
              <w:top w:val="single" w:sz="12" w:space="0" w:color="auto"/>
              <w:bottom w:val="single" w:sz="12" w:space="0" w:color="auto"/>
            </w:tcBorders>
            <w:noWrap/>
            <w:vAlign w:val="center"/>
          </w:tcPr>
          <w:p w14:paraId="2F7D9525" w14:textId="77777777" w:rsidR="00E20038" w:rsidRPr="00E20038" w:rsidRDefault="00E20038" w:rsidP="00E20038">
            <w:pPr>
              <w:jc w:val="right"/>
              <w:rPr>
                <w:rFonts w:ascii="Arial" w:hAnsi="Arial" w:cs="Angsana New"/>
                <w:b/>
                <w:sz w:val="16"/>
                <w:lang w:val="en-GB" w:bidi="th-TH"/>
              </w:rPr>
            </w:pPr>
            <w:r w:rsidRPr="00E20038">
              <w:rPr>
                <w:rFonts w:ascii="Arial" w:hAnsi="Arial" w:cs="Angsana New"/>
                <w:b/>
                <w:sz w:val="16"/>
                <w:lang w:val="en-GB" w:bidi="th-TH"/>
              </w:rPr>
              <w:t>1,203,871</w:t>
            </w:r>
          </w:p>
        </w:tc>
        <w:tc>
          <w:tcPr>
            <w:tcW w:w="3033" w:type="dxa"/>
            <w:tcBorders>
              <w:top w:val="single" w:sz="12" w:space="0" w:color="auto"/>
              <w:bottom w:val="single" w:sz="12" w:space="0" w:color="auto"/>
            </w:tcBorders>
            <w:noWrap/>
            <w:vAlign w:val="center"/>
          </w:tcPr>
          <w:p w14:paraId="7FCF8753"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692,184</w:t>
            </w:r>
          </w:p>
        </w:tc>
        <w:tc>
          <w:tcPr>
            <w:tcW w:w="1300" w:type="dxa"/>
            <w:tcBorders>
              <w:top w:val="single" w:sz="12" w:space="0" w:color="auto"/>
              <w:bottom w:val="single" w:sz="12" w:space="0" w:color="auto"/>
            </w:tcBorders>
            <w:noWrap/>
            <w:vAlign w:val="center"/>
          </w:tcPr>
          <w:p w14:paraId="57878804"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38,097</w:t>
            </w:r>
          </w:p>
        </w:tc>
        <w:tc>
          <w:tcPr>
            <w:tcW w:w="1700" w:type="dxa"/>
            <w:tcBorders>
              <w:top w:val="single" w:sz="12" w:space="0" w:color="auto"/>
              <w:bottom w:val="single" w:sz="12" w:space="0" w:color="auto"/>
            </w:tcBorders>
            <w:noWrap/>
            <w:vAlign w:val="center"/>
          </w:tcPr>
          <w:p w14:paraId="0579EDE1"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328,511 [+137,500]</w:t>
            </w:r>
          </w:p>
        </w:tc>
      </w:tr>
      <w:tr w:rsidR="00E20038" w:rsidRPr="00E20038" w14:paraId="199FCE5B" w14:textId="77777777" w:rsidTr="00E20038">
        <w:tc>
          <w:tcPr>
            <w:tcW w:w="9680" w:type="dxa"/>
            <w:gridSpan w:val="5"/>
            <w:tcBorders>
              <w:top w:val="single" w:sz="12" w:space="0" w:color="auto"/>
              <w:bottom w:val="single" w:sz="4" w:space="0" w:color="auto"/>
            </w:tcBorders>
            <w:vAlign w:val="center"/>
          </w:tcPr>
          <w:p w14:paraId="0193AEA6"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Peat Swamps</w:t>
            </w:r>
          </w:p>
        </w:tc>
      </w:tr>
      <w:tr w:rsidR="00E20038" w:rsidRPr="00E20038" w14:paraId="02AB2962" w14:textId="77777777" w:rsidTr="00E20038">
        <w:tc>
          <w:tcPr>
            <w:tcW w:w="2719" w:type="dxa"/>
            <w:tcBorders>
              <w:top w:val="single" w:sz="4" w:space="0" w:color="auto"/>
            </w:tcBorders>
            <w:vAlign w:val="center"/>
          </w:tcPr>
          <w:p w14:paraId="22BC2771"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Cambodia</w:t>
                </w:r>
              </w:smartTag>
            </w:smartTag>
          </w:p>
        </w:tc>
        <w:tc>
          <w:tcPr>
            <w:tcW w:w="928" w:type="dxa"/>
            <w:tcBorders>
              <w:top w:val="single" w:sz="4" w:space="0" w:color="auto"/>
            </w:tcBorders>
            <w:noWrap/>
            <w:vAlign w:val="center"/>
          </w:tcPr>
          <w:p w14:paraId="2741E9BD" w14:textId="77777777" w:rsidR="00E20038" w:rsidRPr="00E20038" w:rsidRDefault="00E20038" w:rsidP="00E20038">
            <w:pPr>
              <w:rPr>
                <w:rFonts w:ascii="Arial" w:hAnsi="Arial" w:cs="Angsana New"/>
                <w:bCs/>
                <w:sz w:val="16"/>
                <w:lang w:val="en-GB" w:bidi="th-TH"/>
              </w:rPr>
            </w:pPr>
          </w:p>
        </w:tc>
        <w:tc>
          <w:tcPr>
            <w:tcW w:w="3033" w:type="dxa"/>
            <w:tcBorders>
              <w:top w:val="single" w:sz="4" w:space="0" w:color="auto"/>
            </w:tcBorders>
            <w:noWrap/>
            <w:vAlign w:val="center"/>
          </w:tcPr>
          <w:p w14:paraId="26B0C507" w14:textId="77777777" w:rsidR="00E20038" w:rsidRPr="00E20038" w:rsidRDefault="00E20038" w:rsidP="00E20038">
            <w:pPr>
              <w:jc w:val="center"/>
              <w:rPr>
                <w:rFonts w:ascii="Arial" w:hAnsi="Arial" w:cs="Angsana New"/>
                <w:bCs/>
                <w:sz w:val="16"/>
                <w:lang w:val="en-GB" w:bidi="th-TH"/>
              </w:rPr>
            </w:pPr>
          </w:p>
        </w:tc>
        <w:tc>
          <w:tcPr>
            <w:tcW w:w="1300" w:type="dxa"/>
            <w:tcBorders>
              <w:top w:val="single" w:sz="4" w:space="0" w:color="auto"/>
            </w:tcBorders>
            <w:noWrap/>
            <w:vAlign w:val="center"/>
          </w:tcPr>
          <w:p w14:paraId="668352B4" w14:textId="77777777" w:rsidR="00E20038" w:rsidRPr="00E20038" w:rsidRDefault="00E20038" w:rsidP="00E20038">
            <w:pPr>
              <w:jc w:val="center"/>
              <w:rPr>
                <w:rFonts w:ascii="Arial" w:hAnsi="Arial" w:cs="Angsana New"/>
                <w:bCs/>
                <w:sz w:val="16"/>
                <w:lang w:val="en-GB" w:bidi="th-TH"/>
              </w:rPr>
            </w:pPr>
          </w:p>
        </w:tc>
        <w:tc>
          <w:tcPr>
            <w:tcW w:w="1700" w:type="dxa"/>
            <w:tcBorders>
              <w:top w:val="single" w:sz="4" w:space="0" w:color="auto"/>
            </w:tcBorders>
            <w:noWrap/>
            <w:vAlign w:val="center"/>
          </w:tcPr>
          <w:p w14:paraId="5708AB94" w14:textId="77777777" w:rsidR="00E20038" w:rsidRPr="00E20038" w:rsidRDefault="00E20038" w:rsidP="00E20038">
            <w:pPr>
              <w:jc w:val="center"/>
              <w:rPr>
                <w:rFonts w:ascii="Arial" w:hAnsi="Arial" w:cs="Angsana New"/>
                <w:bCs/>
                <w:sz w:val="16"/>
                <w:lang w:val="en-GB" w:bidi="th-TH"/>
              </w:rPr>
            </w:pPr>
          </w:p>
        </w:tc>
      </w:tr>
      <w:tr w:rsidR="00E20038" w:rsidRPr="00E20038" w14:paraId="523F018C" w14:textId="77777777" w:rsidTr="00E20038">
        <w:tc>
          <w:tcPr>
            <w:tcW w:w="2719" w:type="dxa"/>
            <w:vAlign w:val="center"/>
          </w:tcPr>
          <w:p w14:paraId="7B5F3531" w14:textId="77777777" w:rsidR="00E20038" w:rsidRPr="00E20038" w:rsidRDefault="00E20038" w:rsidP="00E20038">
            <w:pPr>
              <w:rPr>
                <w:rFonts w:ascii="Arial" w:hAnsi="Arial" w:cs="Angsana New"/>
                <w:bCs/>
                <w:sz w:val="16"/>
                <w:lang w:val="en-GB" w:bidi="th-TH"/>
              </w:rPr>
            </w:pPr>
            <w:r w:rsidRPr="00E20038">
              <w:rPr>
                <w:rFonts w:ascii="Arial" w:hAnsi="Arial" w:cs="Angsana New"/>
                <w:bCs/>
                <w:sz w:val="16"/>
                <w:lang w:val="en-GB" w:bidi="th-TH"/>
              </w:rPr>
              <w:t xml:space="preserve">Prek Kampong bay in </w:t>
            </w:r>
            <w:smartTag w:uri="urn:schemas-microsoft-com:office:smarttags" w:element="place">
              <w:smartTag w:uri="urn:schemas-microsoft-com:office:smarttags" w:element="PlaceName">
                <w:r w:rsidRPr="00E20038">
                  <w:rPr>
                    <w:rFonts w:ascii="Arial" w:hAnsi="Arial" w:cs="Angsana New"/>
                    <w:bCs/>
                    <w:sz w:val="16"/>
                    <w:lang w:val="en-GB" w:bidi="th-TH"/>
                  </w:rPr>
                  <w:t>Kampot</w:t>
                </w:r>
              </w:smartTag>
              <w:r w:rsidRPr="00E20038">
                <w:rPr>
                  <w:rFonts w:ascii="Arial" w:hAnsi="Arial" w:cs="Angsana New"/>
                  <w:bCs/>
                  <w:sz w:val="16"/>
                  <w:lang w:val="en-GB" w:bidi="th-TH"/>
                </w:rPr>
                <w:t xml:space="preserve"> </w:t>
              </w:r>
              <w:smartTag w:uri="urn:schemas-microsoft-com:office:smarttags" w:element="PlaceType">
                <w:r w:rsidRPr="00E20038">
                  <w:rPr>
                    <w:rFonts w:ascii="Arial" w:hAnsi="Arial" w:cs="Angsana New"/>
                    <w:bCs/>
                    <w:sz w:val="16"/>
                    <w:lang w:val="en-GB" w:bidi="th-TH"/>
                  </w:rPr>
                  <w:t>Province</w:t>
                </w:r>
              </w:smartTag>
            </w:smartTag>
          </w:p>
        </w:tc>
        <w:tc>
          <w:tcPr>
            <w:tcW w:w="928" w:type="dxa"/>
            <w:noWrap/>
            <w:vAlign w:val="center"/>
          </w:tcPr>
          <w:p w14:paraId="0E889989"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16, 250</w:t>
            </w:r>
          </w:p>
        </w:tc>
        <w:tc>
          <w:tcPr>
            <w:tcW w:w="3033" w:type="dxa"/>
            <w:noWrap/>
            <w:vAlign w:val="center"/>
          </w:tcPr>
          <w:p w14:paraId="2976C336"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National Park</w:t>
            </w:r>
          </w:p>
        </w:tc>
        <w:tc>
          <w:tcPr>
            <w:tcW w:w="1300" w:type="dxa"/>
            <w:noWrap/>
            <w:vAlign w:val="center"/>
          </w:tcPr>
          <w:p w14:paraId="4C2BA910"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N.A.</w:t>
            </w:r>
          </w:p>
        </w:tc>
        <w:tc>
          <w:tcPr>
            <w:tcW w:w="1700" w:type="dxa"/>
            <w:noWrap/>
            <w:vAlign w:val="center"/>
          </w:tcPr>
          <w:p w14:paraId="4201985D"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425D3075" w14:textId="77777777" w:rsidTr="00E20038">
        <w:tc>
          <w:tcPr>
            <w:tcW w:w="2719" w:type="dxa"/>
            <w:vAlign w:val="center"/>
          </w:tcPr>
          <w:p w14:paraId="562B48ED" w14:textId="77777777" w:rsidR="00E20038" w:rsidRPr="00E20038" w:rsidRDefault="00E20038" w:rsidP="00E20038">
            <w:pPr>
              <w:rPr>
                <w:rFonts w:ascii="Arial" w:hAnsi="Arial" w:cs="Angsana New"/>
                <w:bCs/>
                <w:sz w:val="16"/>
                <w:lang w:val="en-GB" w:bidi="th-TH"/>
              </w:rPr>
            </w:pPr>
            <w:r w:rsidRPr="00E20038">
              <w:rPr>
                <w:rFonts w:ascii="Arial" w:hAnsi="Arial" w:cs="Angsana New"/>
                <w:bCs/>
                <w:sz w:val="16"/>
                <w:lang w:val="en-GB" w:bidi="th-TH"/>
              </w:rPr>
              <w:t>Prek Kampong Som Shanoukeville</w:t>
            </w:r>
          </w:p>
        </w:tc>
        <w:tc>
          <w:tcPr>
            <w:tcW w:w="928" w:type="dxa"/>
            <w:noWrap/>
            <w:vAlign w:val="center"/>
          </w:tcPr>
          <w:p w14:paraId="5599899B"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 xml:space="preserve">10, 800 </w:t>
            </w:r>
          </w:p>
        </w:tc>
        <w:tc>
          <w:tcPr>
            <w:tcW w:w="3033" w:type="dxa"/>
            <w:noWrap/>
            <w:vAlign w:val="center"/>
          </w:tcPr>
          <w:p w14:paraId="7E40F385"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National Park</w:t>
            </w:r>
          </w:p>
        </w:tc>
        <w:tc>
          <w:tcPr>
            <w:tcW w:w="1300" w:type="dxa"/>
            <w:noWrap/>
            <w:vAlign w:val="center"/>
          </w:tcPr>
          <w:p w14:paraId="1CCB2AF5"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N.A.</w:t>
            </w:r>
          </w:p>
        </w:tc>
        <w:tc>
          <w:tcPr>
            <w:tcW w:w="1700" w:type="dxa"/>
            <w:noWrap/>
            <w:vAlign w:val="center"/>
          </w:tcPr>
          <w:p w14:paraId="393BB360"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60316D6B" w14:textId="77777777" w:rsidTr="00E20038">
        <w:tc>
          <w:tcPr>
            <w:tcW w:w="2719" w:type="dxa"/>
            <w:vAlign w:val="center"/>
          </w:tcPr>
          <w:p w14:paraId="0C18D664"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Indonesia</w:t>
                </w:r>
              </w:smartTag>
            </w:smartTag>
          </w:p>
        </w:tc>
        <w:tc>
          <w:tcPr>
            <w:tcW w:w="928" w:type="dxa"/>
            <w:noWrap/>
            <w:vAlign w:val="center"/>
          </w:tcPr>
          <w:p w14:paraId="2FE584A9"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 </w:t>
            </w:r>
          </w:p>
        </w:tc>
        <w:tc>
          <w:tcPr>
            <w:tcW w:w="3033" w:type="dxa"/>
            <w:noWrap/>
            <w:vAlign w:val="center"/>
          </w:tcPr>
          <w:p w14:paraId="131F0211" w14:textId="77777777" w:rsidR="00E20038" w:rsidRPr="00E20038" w:rsidRDefault="00E20038" w:rsidP="00E20038">
            <w:pPr>
              <w:jc w:val="center"/>
              <w:rPr>
                <w:rFonts w:ascii="Arial" w:hAnsi="Arial" w:cs="Angsana New"/>
                <w:bCs/>
                <w:sz w:val="16"/>
                <w:lang w:val="en-GB" w:bidi="th-TH"/>
              </w:rPr>
            </w:pPr>
          </w:p>
        </w:tc>
        <w:tc>
          <w:tcPr>
            <w:tcW w:w="1300" w:type="dxa"/>
            <w:noWrap/>
            <w:vAlign w:val="center"/>
          </w:tcPr>
          <w:p w14:paraId="279F0245" w14:textId="77777777" w:rsidR="00E20038" w:rsidRPr="00E20038" w:rsidRDefault="00E20038" w:rsidP="00E20038">
            <w:pPr>
              <w:jc w:val="center"/>
              <w:rPr>
                <w:rFonts w:ascii="Arial" w:hAnsi="Arial" w:cs="Angsana New"/>
                <w:bCs/>
                <w:sz w:val="16"/>
                <w:lang w:val="en-GB" w:bidi="th-TH"/>
              </w:rPr>
            </w:pPr>
          </w:p>
        </w:tc>
        <w:tc>
          <w:tcPr>
            <w:tcW w:w="1700" w:type="dxa"/>
            <w:noWrap/>
            <w:vAlign w:val="center"/>
          </w:tcPr>
          <w:p w14:paraId="1A26DE78" w14:textId="77777777" w:rsidR="00E20038" w:rsidRPr="00E20038" w:rsidRDefault="00E20038" w:rsidP="00E20038">
            <w:pPr>
              <w:jc w:val="center"/>
              <w:rPr>
                <w:rFonts w:ascii="Arial" w:hAnsi="Arial" w:cs="Angsana New"/>
                <w:bCs/>
                <w:sz w:val="16"/>
                <w:lang w:val="en-GB" w:bidi="th-TH"/>
              </w:rPr>
            </w:pPr>
          </w:p>
        </w:tc>
      </w:tr>
      <w:tr w:rsidR="00E20038" w:rsidRPr="00E20038" w14:paraId="7174E933" w14:textId="77777777" w:rsidTr="00E20038">
        <w:tc>
          <w:tcPr>
            <w:tcW w:w="2719" w:type="dxa"/>
            <w:vAlign w:val="center"/>
          </w:tcPr>
          <w:p w14:paraId="633F9B2E" w14:textId="77777777" w:rsidR="00E20038" w:rsidRPr="00E20038" w:rsidRDefault="00E20038" w:rsidP="00E20038">
            <w:pPr>
              <w:rPr>
                <w:rFonts w:ascii="Arial" w:hAnsi="Arial" w:cs="Tahoma"/>
                <w:bCs/>
                <w:sz w:val="16"/>
                <w:lang w:val="en-GB" w:bidi="th-TH"/>
              </w:rPr>
            </w:pPr>
            <w:r w:rsidRPr="00E20038">
              <w:rPr>
                <w:rFonts w:ascii="Arial" w:hAnsi="Arial" w:cs="Tahoma"/>
                <w:bCs/>
                <w:sz w:val="16"/>
                <w:lang w:val="en-GB" w:bidi="th-TH"/>
              </w:rPr>
              <w:t>Berbak NP</w:t>
            </w:r>
          </w:p>
        </w:tc>
        <w:tc>
          <w:tcPr>
            <w:tcW w:w="928" w:type="dxa"/>
            <w:noWrap/>
            <w:vAlign w:val="center"/>
          </w:tcPr>
          <w:p w14:paraId="1A31107A"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162,700</w:t>
            </w:r>
          </w:p>
        </w:tc>
        <w:tc>
          <w:tcPr>
            <w:tcW w:w="3033" w:type="dxa"/>
            <w:noWrap/>
            <w:vAlign w:val="center"/>
          </w:tcPr>
          <w:p w14:paraId="6751C6D9"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yes</w:t>
            </w:r>
          </w:p>
        </w:tc>
        <w:tc>
          <w:tcPr>
            <w:tcW w:w="1300" w:type="dxa"/>
            <w:noWrap/>
            <w:vAlign w:val="center"/>
          </w:tcPr>
          <w:p w14:paraId="47466B51" w14:textId="77777777" w:rsidR="00E20038" w:rsidRPr="00E20038" w:rsidRDefault="00E20038" w:rsidP="00E20038">
            <w:pPr>
              <w:jc w:val="center"/>
              <w:rPr>
                <w:rFonts w:ascii="Arial" w:hAnsi="Arial" w:cs="Angsana New"/>
                <w:bCs/>
                <w:sz w:val="16"/>
                <w:lang w:val="en-GB" w:bidi="th-TH"/>
              </w:rPr>
            </w:pPr>
          </w:p>
        </w:tc>
        <w:tc>
          <w:tcPr>
            <w:tcW w:w="1700" w:type="dxa"/>
            <w:noWrap/>
            <w:vAlign w:val="center"/>
          </w:tcPr>
          <w:p w14:paraId="738FDF42" w14:textId="77777777" w:rsidR="00E20038" w:rsidRPr="00E20038" w:rsidRDefault="00E20038" w:rsidP="00E20038">
            <w:pPr>
              <w:jc w:val="center"/>
              <w:rPr>
                <w:rFonts w:ascii="Arial" w:hAnsi="Arial" w:cs="Angsana New"/>
                <w:bCs/>
                <w:sz w:val="16"/>
                <w:lang w:val="en-GB" w:bidi="th-TH"/>
              </w:rPr>
            </w:pPr>
          </w:p>
        </w:tc>
      </w:tr>
      <w:tr w:rsidR="00E20038" w:rsidRPr="00E20038" w14:paraId="11969D18" w14:textId="77777777" w:rsidTr="00E20038">
        <w:tc>
          <w:tcPr>
            <w:tcW w:w="2719" w:type="dxa"/>
            <w:vAlign w:val="center"/>
          </w:tcPr>
          <w:p w14:paraId="2D233E0B" w14:textId="77777777" w:rsidR="00E20038" w:rsidRPr="00E20038" w:rsidRDefault="00E20038" w:rsidP="00E20038">
            <w:pPr>
              <w:rPr>
                <w:rFonts w:ascii="Arial" w:hAnsi="Arial" w:cs="Angsana New"/>
                <w:bCs/>
                <w:sz w:val="16"/>
                <w:lang w:val="en-GB" w:bidi="th-TH"/>
              </w:rPr>
            </w:pPr>
            <w:r w:rsidRPr="00E20038">
              <w:rPr>
                <w:rFonts w:ascii="Arial" w:hAnsi="Arial" w:cs="Angsana New"/>
                <w:bCs/>
                <w:sz w:val="16"/>
                <w:lang w:val="en-GB" w:bidi="th-TH"/>
              </w:rPr>
              <w:t>SM Terusan Dalam</w:t>
            </w:r>
          </w:p>
        </w:tc>
        <w:tc>
          <w:tcPr>
            <w:tcW w:w="928" w:type="dxa"/>
            <w:noWrap/>
            <w:vAlign w:val="center"/>
          </w:tcPr>
          <w:p w14:paraId="3C0FF0DB"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74,750</w:t>
            </w:r>
          </w:p>
        </w:tc>
        <w:tc>
          <w:tcPr>
            <w:tcW w:w="3033" w:type="dxa"/>
            <w:noWrap/>
            <w:vAlign w:val="center"/>
          </w:tcPr>
          <w:p w14:paraId="4A97D8A0"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yes</w:t>
            </w:r>
          </w:p>
        </w:tc>
        <w:tc>
          <w:tcPr>
            <w:tcW w:w="1300" w:type="dxa"/>
            <w:noWrap/>
            <w:vAlign w:val="center"/>
          </w:tcPr>
          <w:p w14:paraId="3E5E4E83" w14:textId="77777777" w:rsidR="00E20038" w:rsidRPr="00E20038" w:rsidRDefault="00E20038" w:rsidP="00E20038">
            <w:pPr>
              <w:jc w:val="center"/>
              <w:rPr>
                <w:rFonts w:ascii="Arial" w:hAnsi="Arial" w:cs="Angsana New"/>
                <w:bCs/>
                <w:sz w:val="16"/>
                <w:lang w:val="en-GB" w:bidi="th-TH"/>
              </w:rPr>
            </w:pPr>
          </w:p>
        </w:tc>
        <w:tc>
          <w:tcPr>
            <w:tcW w:w="1700" w:type="dxa"/>
            <w:noWrap/>
            <w:vAlign w:val="center"/>
          </w:tcPr>
          <w:p w14:paraId="42F6D001" w14:textId="77777777" w:rsidR="00E20038" w:rsidRPr="00E20038" w:rsidRDefault="00E20038" w:rsidP="00E20038">
            <w:pPr>
              <w:jc w:val="center"/>
              <w:rPr>
                <w:rFonts w:ascii="Arial" w:hAnsi="Arial" w:cs="Angsana New"/>
                <w:bCs/>
                <w:sz w:val="16"/>
                <w:lang w:val="en-GB" w:bidi="th-TH"/>
              </w:rPr>
            </w:pPr>
          </w:p>
        </w:tc>
      </w:tr>
      <w:tr w:rsidR="00E20038" w:rsidRPr="00E20038" w14:paraId="45A677E4" w14:textId="77777777" w:rsidTr="00E20038">
        <w:tc>
          <w:tcPr>
            <w:tcW w:w="2719" w:type="dxa"/>
            <w:vAlign w:val="center"/>
          </w:tcPr>
          <w:p w14:paraId="5A155651" w14:textId="77777777" w:rsidR="00E20038" w:rsidRPr="00E20038" w:rsidRDefault="00E20038" w:rsidP="00E20038">
            <w:pPr>
              <w:rPr>
                <w:rFonts w:ascii="Arial" w:hAnsi="Arial" w:cs="Angsana New"/>
                <w:bCs/>
                <w:sz w:val="16"/>
                <w:lang w:val="en-GB" w:bidi="th-TH"/>
              </w:rPr>
            </w:pPr>
            <w:r w:rsidRPr="00E20038">
              <w:rPr>
                <w:rFonts w:ascii="Arial" w:hAnsi="Arial" w:cs="Angsana New"/>
                <w:bCs/>
                <w:sz w:val="16"/>
                <w:lang w:val="en-GB" w:bidi="th-TH"/>
              </w:rPr>
              <w:t>Way Kambas NP</w:t>
            </w:r>
          </w:p>
        </w:tc>
        <w:tc>
          <w:tcPr>
            <w:tcW w:w="928" w:type="dxa"/>
            <w:noWrap/>
            <w:vAlign w:val="center"/>
          </w:tcPr>
          <w:p w14:paraId="7F9D4EE4"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130,000</w:t>
            </w:r>
          </w:p>
        </w:tc>
        <w:tc>
          <w:tcPr>
            <w:tcW w:w="3033" w:type="dxa"/>
            <w:noWrap/>
            <w:vAlign w:val="center"/>
          </w:tcPr>
          <w:p w14:paraId="50E88F7E"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yes</w:t>
            </w:r>
          </w:p>
        </w:tc>
        <w:tc>
          <w:tcPr>
            <w:tcW w:w="1300" w:type="dxa"/>
            <w:noWrap/>
            <w:vAlign w:val="center"/>
          </w:tcPr>
          <w:p w14:paraId="04D5A89F" w14:textId="77777777" w:rsidR="00E20038" w:rsidRPr="00E20038" w:rsidRDefault="00E20038" w:rsidP="00E20038">
            <w:pPr>
              <w:jc w:val="center"/>
              <w:rPr>
                <w:rFonts w:ascii="Arial" w:hAnsi="Arial" w:cs="Angsana New"/>
                <w:bCs/>
                <w:sz w:val="16"/>
                <w:lang w:val="en-GB" w:bidi="th-TH"/>
              </w:rPr>
            </w:pPr>
          </w:p>
        </w:tc>
        <w:tc>
          <w:tcPr>
            <w:tcW w:w="1700" w:type="dxa"/>
            <w:noWrap/>
            <w:vAlign w:val="center"/>
          </w:tcPr>
          <w:p w14:paraId="13B2990E" w14:textId="77777777" w:rsidR="00E20038" w:rsidRPr="00E20038" w:rsidRDefault="00E20038" w:rsidP="00E20038">
            <w:pPr>
              <w:jc w:val="center"/>
              <w:rPr>
                <w:rFonts w:ascii="Arial" w:hAnsi="Arial" w:cs="Angsana New"/>
                <w:bCs/>
                <w:sz w:val="16"/>
                <w:lang w:val="en-GB" w:bidi="th-TH"/>
              </w:rPr>
            </w:pPr>
          </w:p>
        </w:tc>
      </w:tr>
      <w:tr w:rsidR="00E20038" w:rsidRPr="00E20038" w14:paraId="5E4F3D56" w14:textId="77777777" w:rsidTr="00E20038">
        <w:tc>
          <w:tcPr>
            <w:tcW w:w="2719" w:type="dxa"/>
            <w:vAlign w:val="center"/>
          </w:tcPr>
          <w:p w14:paraId="1E523C73" w14:textId="77777777" w:rsidR="00E20038" w:rsidRPr="00E20038" w:rsidRDefault="00E20038" w:rsidP="00E20038">
            <w:pPr>
              <w:rPr>
                <w:rFonts w:ascii="Arial" w:hAnsi="Arial" w:cs="Angsana New"/>
                <w:bCs/>
                <w:sz w:val="16"/>
                <w:lang w:val="en-GB" w:bidi="th-TH"/>
              </w:rPr>
            </w:pPr>
            <w:r w:rsidRPr="00E20038">
              <w:rPr>
                <w:rFonts w:ascii="Arial" w:hAnsi="Arial" w:cs="Angsana New"/>
                <w:bCs/>
                <w:sz w:val="16"/>
                <w:lang w:val="en-GB" w:bidi="th-TH"/>
              </w:rPr>
              <w:t>Sungai Merang</w:t>
            </w:r>
          </w:p>
        </w:tc>
        <w:tc>
          <w:tcPr>
            <w:tcW w:w="928" w:type="dxa"/>
            <w:noWrap/>
            <w:vAlign w:val="center"/>
          </w:tcPr>
          <w:p w14:paraId="53E5BA5A"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150,000</w:t>
            </w:r>
          </w:p>
        </w:tc>
        <w:tc>
          <w:tcPr>
            <w:tcW w:w="3033" w:type="dxa"/>
            <w:noWrap/>
            <w:vAlign w:val="center"/>
          </w:tcPr>
          <w:p w14:paraId="2F2AFFD7"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yes</w:t>
            </w:r>
          </w:p>
        </w:tc>
        <w:tc>
          <w:tcPr>
            <w:tcW w:w="1300" w:type="dxa"/>
            <w:noWrap/>
            <w:vAlign w:val="center"/>
          </w:tcPr>
          <w:p w14:paraId="1FA59939" w14:textId="77777777" w:rsidR="00E20038" w:rsidRPr="00E20038" w:rsidRDefault="00E20038" w:rsidP="00E20038">
            <w:pPr>
              <w:jc w:val="center"/>
              <w:rPr>
                <w:rFonts w:ascii="Arial" w:hAnsi="Arial" w:cs="Angsana New"/>
                <w:bCs/>
                <w:sz w:val="16"/>
                <w:lang w:val="en-GB" w:bidi="th-TH"/>
              </w:rPr>
            </w:pPr>
          </w:p>
        </w:tc>
        <w:tc>
          <w:tcPr>
            <w:tcW w:w="1700" w:type="dxa"/>
            <w:noWrap/>
            <w:vAlign w:val="center"/>
          </w:tcPr>
          <w:p w14:paraId="2EF3E970" w14:textId="77777777" w:rsidR="00E20038" w:rsidRPr="00E20038" w:rsidRDefault="00E20038" w:rsidP="00E20038">
            <w:pPr>
              <w:jc w:val="center"/>
              <w:rPr>
                <w:rFonts w:ascii="Arial" w:hAnsi="Arial" w:cs="Angsana New"/>
                <w:bCs/>
                <w:sz w:val="16"/>
                <w:lang w:val="en-GB" w:bidi="th-TH"/>
              </w:rPr>
            </w:pPr>
          </w:p>
        </w:tc>
      </w:tr>
      <w:tr w:rsidR="00E20038" w:rsidRPr="00E20038" w14:paraId="25CB9F6D" w14:textId="77777777" w:rsidTr="00E20038">
        <w:trPr>
          <w:trHeight w:val="110"/>
        </w:trPr>
        <w:tc>
          <w:tcPr>
            <w:tcW w:w="2719" w:type="dxa"/>
            <w:vAlign w:val="center"/>
          </w:tcPr>
          <w:p w14:paraId="20F0E94E"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Thailand</w:t>
                </w:r>
              </w:smartTag>
            </w:smartTag>
          </w:p>
        </w:tc>
        <w:tc>
          <w:tcPr>
            <w:tcW w:w="928" w:type="dxa"/>
            <w:noWrap/>
            <w:vAlign w:val="center"/>
          </w:tcPr>
          <w:p w14:paraId="55331FBD" w14:textId="77777777" w:rsidR="00E20038" w:rsidRPr="00E20038" w:rsidRDefault="00E20038" w:rsidP="00E20038">
            <w:pPr>
              <w:jc w:val="right"/>
              <w:rPr>
                <w:rFonts w:ascii="Arial" w:hAnsi="Arial" w:cs="Angsana New"/>
                <w:bCs/>
                <w:sz w:val="16"/>
                <w:lang w:val="en-GB" w:bidi="th-TH"/>
              </w:rPr>
            </w:pPr>
          </w:p>
        </w:tc>
        <w:tc>
          <w:tcPr>
            <w:tcW w:w="3033" w:type="dxa"/>
            <w:noWrap/>
            <w:vAlign w:val="center"/>
          </w:tcPr>
          <w:p w14:paraId="25557DAA" w14:textId="77777777" w:rsidR="00E20038" w:rsidRPr="00E20038" w:rsidRDefault="00E20038" w:rsidP="00E20038">
            <w:pPr>
              <w:jc w:val="center"/>
              <w:rPr>
                <w:rFonts w:ascii="Arial" w:hAnsi="Arial" w:cs="Angsana New"/>
                <w:bCs/>
                <w:sz w:val="16"/>
                <w:lang w:val="en-GB" w:bidi="th-TH"/>
              </w:rPr>
            </w:pPr>
          </w:p>
        </w:tc>
        <w:tc>
          <w:tcPr>
            <w:tcW w:w="1300" w:type="dxa"/>
            <w:noWrap/>
            <w:vAlign w:val="center"/>
          </w:tcPr>
          <w:p w14:paraId="5BC29ABA" w14:textId="77777777" w:rsidR="00E20038" w:rsidRPr="00E20038" w:rsidRDefault="00E20038" w:rsidP="00E20038">
            <w:pPr>
              <w:jc w:val="center"/>
              <w:rPr>
                <w:rFonts w:ascii="Arial" w:hAnsi="Arial" w:cs="Angsana New"/>
                <w:bCs/>
                <w:sz w:val="16"/>
                <w:lang w:val="en-GB" w:bidi="th-TH"/>
              </w:rPr>
            </w:pPr>
          </w:p>
        </w:tc>
        <w:tc>
          <w:tcPr>
            <w:tcW w:w="1700" w:type="dxa"/>
            <w:noWrap/>
            <w:vAlign w:val="center"/>
          </w:tcPr>
          <w:p w14:paraId="53B6C5B5" w14:textId="77777777" w:rsidR="00E20038" w:rsidRPr="00E20038" w:rsidRDefault="00E20038" w:rsidP="00E20038">
            <w:pPr>
              <w:jc w:val="center"/>
              <w:rPr>
                <w:rFonts w:ascii="Arial" w:hAnsi="Arial" w:cs="Angsana New"/>
                <w:bCs/>
                <w:sz w:val="16"/>
                <w:lang w:val="en-GB" w:bidi="th-TH"/>
              </w:rPr>
            </w:pPr>
          </w:p>
        </w:tc>
      </w:tr>
      <w:tr w:rsidR="00E20038" w:rsidRPr="00E20038" w14:paraId="06CFBC08" w14:textId="77777777" w:rsidTr="00E20038">
        <w:tc>
          <w:tcPr>
            <w:tcW w:w="2719" w:type="dxa"/>
            <w:vAlign w:val="center"/>
          </w:tcPr>
          <w:p w14:paraId="0FAFD6F1" w14:textId="77777777" w:rsidR="00E20038" w:rsidRPr="00E20038" w:rsidRDefault="00E20038" w:rsidP="00E20038">
            <w:pPr>
              <w:rPr>
                <w:rFonts w:ascii="Arial" w:hAnsi="Arial" w:cs="Tahoma"/>
                <w:bCs/>
                <w:sz w:val="16"/>
                <w:lang w:val="en-GB" w:bidi="th-TH"/>
              </w:rPr>
            </w:pPr>
            <w:r w:rsidRPr="00E20038">
              <w:rPr>
                <w:rFonts w:ascii="Arial" w:hAnsi="Arial" w:cs="Tahoma"/>
                <w:bCs/>
                <w:sz w:val="16"/>
                <w:lang w:val="en-GB" w:bidi="th-TH"/>
              </w:rPr>
              <w:t>Wetlands in Thale Noi Wildlife Non-hunting Area</w:t>
            </w:r>
          </w:p>
        </w:tc>
        <w:tc>
          <w:tcPr>
            <w:tcW w:w="928" w:type="dxa"/>
            <w:noWrap/>
            <w:vAlign w:val="center"/>
          </w:tcPr>
          <w:p w14:paraId="67D593D2"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45,700</w:t>
            </w:r>
          </w:p>
        </w:tc>
        <w:tc>
          <w:tcPr>
            <w:tcW w:w="3033" w:type="dxa"/>
            <w:noWrap/>
            <w:vAlign w:val="center"/>
          </w:tcPr>
          <w:p w14:paraId="0794C8F1"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Includes RAMSAR Site</w:t>
            </w:r>
          </w:p>
        </w:tc>
        <w:tc>
          <w:tcPr>
            <w:tcW w:w="1300" w:type="dxa"/>
            <w:noWrap/>
            <w:vAlign w:val="center"/>
          </w:tcPr>
          <w:p w14:paraId="71ED7D5F"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700" w:type="dxa"/>
            <w:noWrap/>
            <w:vAlign w:val="center"/>
          </w:tcPr>
          <w:p w14:paraId="3EEF8BB7"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63FCDA19" w14:textId="77777777" w:rsidTr="00E20038">
        <w:tc>
          <w:tcPr>
            <w:tcW w:w="2719" w:type="dxa"/>
            <w:vAlign w:val="center"/>
          </w:tcPr>
          <w:p w14:paraId="6A6D3C7F" w14:textId="77777777" w:rsidR="00E20038" w:rsidRPr="00E20038" w:rsidRDefault="00E20038" w:rsidP="00E20038">
            <w:pPr>
              <w:rPr>
                <w:rFonts w:ascii="Arial" w:hAnsi="Arial" w:cs="Angsana New"/>
                <w:bCs/>
                <w:sz w:val="16"/>
                <w:lang w:val="en-GB" w:bidi="th-TH"/>
              </w:rPr>
            </w:pPr>
            <w:r w:rsidRPr="00E20038">
              <w:rPr>
                <w:rFonts w:ascii="Arial" w:hAnsi="Arial" w:cs="Angsana New"/>
                <w:bCs/>
                <w:sz w:val="16"/>
                <w:lang w:val="en-GB" w:bidi="th-TH"/>
              </w:rPr>
              <w:t>Phru To Daeng Wildlife Sanctuary</w:t>
            </w:r>
          </w:p>
        </w:tc>
        <w:tc>
          <w:tcPr>
            <w:tcW w:w="928" w:type="dxa"/>
            <w:noWrap/>
            <w:vAlign w:val="center"/>
          </w:tcPr>
          <w:p w14:paraId="7BB6B9D0"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20,120</w:t>
            </w:r>
          </w:p>
        </w:tc>
        <w:tc>
          <w:tcPr>
            <w:tcW w:w="3033" w:type="dxa"/>
            <w:noWrap/>
            <w:vAlign w:val="center"/>
          </w:tcPr>
          <w:p w14:paraId="2C034D0F"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Wildlife Sanctuary; RAMSAR site</w:t>
            </w:r>
          </w:p>
        </w:tc>
        <w:tc>
          <w:tcPr>
            <w:tcW w:w="1300" w:type="dxa"/>
            <w:noWrap/>
            <w:vAlign w:val="center"/>
          </w:tcPr>
          <w:p w14:paraId="15B012E4"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700" w:type="dxa"/>
            <w:noWrap/>
            <w:vAlign w:val="center"/>
          </w:tcPr>
          <w:p w14:paraId="1ED17186"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3922338D" w14:textId="77777777" w:rsidTr="00E20038">
        <w:tc>
          <w:tcPr>
            <w:tcW w:w="2719" w:type="dxa"/>
            <w:vAlign w:val="center"/>
          </w:tcPr>
          <w:p w14:paraId="7647E8AA" w14:textId="77777777" w:rsidR="00E20038" w:rsidRPr="00E20038" w:rsidRDefault="00E20038" w:rsidP="00E20038">
            <w:pPr>
              <w:rPr>
                <w:rFonts w:ascii="Arial" w:hAnsi="Arial" w:cs="Angsana New"/>
                <w:bCs/>
                <w:sz w:val="16"/>
                <w:lang w:val="en-GB" w:bidi="th-TH"/>
              </w:rPr>
            </w:pPr>
            <w:r w:rsidRPr="00E20038">
              <w:rPr>
                <w:rFonts w:ascii="Arial" w:hAnsi="Arial" w:cs="Angsana New"/>
                <w:bCs/>
                <w:sz w:val="16"/>
                <w:lang w:val="en-GB" w:bidi="th-TH"/>
              </w:rPr>
              <w:t>Wetlands in Thale Sap Wildlife Non-hunting Area</w:t>
            </w:r>
          </w:p>
        </w:tc>
        <w:tc>
          <w:tcPr>
            <w:tcW w:w="928" w:type="dxa"/>
            <w:noWrap/>
            <w:vAlign w:val="center"/>
          </w:tcPr>
          <w:p w14:paraId="3FB5BE10"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36,467</w:t>
            </w:r>
          </w:p>
        </w:tc>
        <w:tc>
          <w:tcPr>
            <w:tcW w:w="3033" w:type="dxa"/>
            <w:noWrap/>
            <w:vAlign w:val="center"/>
          </w:tcPr>
          <w:p w14:paraId="3A4952D7"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Non-hunting Area</w:t>
            </w:r>
          </w:p>
        </w:tc>
        <w:tc>
          <w:tcPr>
            <w:tcW w:w="1300" w:type="dxa"/>
            <w:noWrap/>
            <w:vAlign w:val="center"/>
          </w:tcPr>
          <w:p w14:paraId="29FBD295" w14:textId="77777777" w:rsidR="00E20038" w:rsidRPr="00E20038" w:rsidRDefault="00E20038" w:rsidP="00E20038">
            <w:pPr>
              <w:jc w:val="center"/>
              <w:rPr>
                <w:rFonts w:ascii="Arial" w:hAnsi="Arial" w:cs="Angsana New"/>
                <w:bCs/>
                <w:sz w:val="16"/>
                <w:lang w:val="en-GB" w:bidi="th-TH"/>
              </w:rPr>
            </w:pPr>
          </w:p>
        </w:tc>
        <w:tc>
          <w:tcPr>
            <w:tcW w:w="1700" w:type="dxa"/>
            <w:noWrap/>
            <w:vAlign w:val="center"/>
          </w:tcPr>
          <w:p w14:paraId="3CCA54C1"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3D62B35F" w14:textId="77777777" w:rsidTr="00E20038">
        <w:tc>
          <w:tcPr>
            <w:tcW w:w="2719" w:type="dxa"/>
            <w:vAlign w:val="center"/>
          </w:tcPr>
          <w:p w14:paraId="70206DFA" w14:textId="77777777" w:rsidR="00E20038" w:rsidRPr="00E20038" w:rsidRDefault="00E20038" w:rsidP="00E20038">
            <w:pPr>
              <w:rPr>
                <w:rFonts w:ascii="Arial" w:hAnsi="Arial" w:cs="Angsana New"/>
                <w:bCs/>
                <w:sz w:val="16"/>
                <w:lang w:val="en-GB" w:bidi="th-TH"/>
              </w:rPr>
            </w:pPr>
            <w:smartTag w:uri="urn:schemas-microsoft-com:office:smarttags" w:element="place">
              <w:smartTag w:uri="urn:schemas-microsoft-com:office:smarttags" w:element="City">
                <w:r w:rsidRPr="00E20038">
                  <w:rPr>
                    <w:rFonts w:ascii="Arial" w:hAnsi="Arial" w:cs="Angsana New"/>
                    <w:bCs/>
                    <w:sz w:val="16"/>
                    <w:lang w:val="en-GB" w:bidi="th-TH"/>
                  </w:rPr>
                  <w:t>Phru</w:t>
                </w:r>
              </w:smartTag>
              <w:r w:rsidRPr="00E20038">
                <w:rPr>
                  <w:rFonts w:ascii="Arial" w:hAnsi="Arial" w:cs="Angsana New"/>
                  <w:bCs/>
                  <w:sz w:val="16"/>
                  <w:lang w:val="en-GB" w:bidi="th-TH"/>
                </w:rPr>
                <w:t xml:space="preserve"> </w:t>
              </w:r>
              <w:smartTag w:uri="urn:schemas-microsoft-com:office:smarttags" w:element="State">
                <w:r w:rsidRPr="00E20038">
                  <w:rPr>
                    <w:rFonts w:ascii="Arial" w:hAnsi="Arial" w:cs="Angsana New"/>
                    <w:bCs/>
                    <w:sz w:val="16"/>
                    <w:lang w:val="en-GB" w:bidi="th-TH"/>
                  </w:rPr>
                  <w:t>Kan</w:t>
                </w:r>
              </w:smartTag>
            </w:smartTag>
            <w:r w:rsidRPr="00E20038">
              <w:rPr>
                <w:rFonts w:ascii="Arial" w:hAnsi="Arial" w:cs="Angsana New"/>
                <w:bCs/>
                <w:sz w:val="16"/>
                <w:lang w:val="en-GB" w:bidi="th-TH"/>
              </w:rPr>
              <w:t xml:space="preserve"> Tulee  </w:t>
            </w:r>
          </w:p>
        </w:tc>
        <w:tc>
          <w:tcPr>
            <w:tcW w:w="928" w:type="dxa"/>
            <w:noWrap/>
            <w:vAlign w:val="center"/>
          </w:tcPr>
          <w:p w14:paraId="27281425"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140</w:t>
            </w:r>
          </w:p>
        </w:tc>
        <w:tc>
          <w:tcPr>
            <w:tcW w:w="3033" w:type="dxa"/>
            <w:noWrap/>
            <w:vAlign w:val="center"/>
          </w:tcPr>
          <w:p w14:paraId="4799A0E3"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300" w:type="dxa"/>
            <w:noWrap/>
            <w:vAlign w:val="center"/>
          </w:tcPr>
          <w:p w14:paraId="6BBE0F4F"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c>
          <w:tcPr>
            <w:tcW w:w="1700" w:type="dxa"/>
            <w:noWrap/>
            <w:vAlign w:val="center"/>
          </w:tcPr>
          <w:p w14:paraId="755E4AA6"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38180A64" w14:textId="77777777" w:rsidTr="00E20038">
        <w:tc>
          <w:tcPr>
            <w:tcW w:w="2719" w:type="dxa"/>
            <w:tcBorders>
              <w:bottom w:val="single" w:sz="12" w:space="0" w:color="auto"/>
            </w:tcBorders>
            <w:vAlign w:val="center"/>
          </w:tcPr>
          <w:p w14:paraId="0E88211A" w14:textId="77777777" w:rsidR="00E20038" w:rsidRPr="00E20038" w:rsidRDefault="00E20038" w:rsidP="00E20038">
            <w:pPr>
              <w:rPr>
                <w:rFonts w:ascii="Arial" w:hAnsi="Arial" w:cs="Angsana New"/>
                <w:b/>
                <w:sz w:val="16"/>
                <w:lang w:val="en-GB" w:bidi="th-TH"/>
              </w:rPr>
            </w:pPr>
            <w:r w:rsidRPr="00E20038">
              <w:rPr>
                <w:rFonts w:ascii="Arial" w:hAnsi="Arial" w:cs="Angsana New"/>
                <w:b/>
                <w:sz w:val="16"/>
                <w:lang w:val="en-GB" w:bidi="th-TH"/>
              </w:rPr>
              <w:t>SUBTOTAL</w:t>
            </w:r>
          </w:p>
        </w:tc>
        <w:tc>
          <w:tcPr>
            <w:tcW w:w="928" w:type="dxa"/>
            <w:tcBorders>
              <w:bottom w:val="single" w:sz="12" w:space="0" w:color="auto"/>
            </w:tcBorders>
            <w:noWrap/>
            <w:vAlign w:val="center"/>
          </w:tcPr>
          <w:p w14:paraId="176A90E7" w14:textId="77777777" w:rsidR="00E20038" w:rsidRPr="00E20038" w:rsidRDefault="00E20038" w:rsidP="00E20038">
            <w:pPr>
              <w:jc w:val="right"/>
              <w:rPr>
                <w:rFonts w:ascii="Arial" w:hAnsi="Arial" w:cs="Angsana New"/>
                <w:b/>
                <w:sz w:val="16"/>
                <w:lang w:val="en-GB" w:bidi="th-TH"/>
              </w:rPr>
            </w:pPr>
            <w:r w:rsidRPr="00E20038">
              <w:rPr>
                <w:rFonts w:ascii="Arial" w:hAnsi="Arial" w:cs="Angsana New"/>
                <w:b/>
                <w:sz w:val="16"/>
                <w:lang w:val="en-GB" w:bidi="th-TH"/>
              </w:rPr>
              <w:t>646,927</w:t>
            </w:r>
          </w:p>
        </w:tc>
        <w:tc>
          <w:tcPr>
            <w:tcW w:w="3033" w:type="dxa"/>
            <w:tcBorders>
              <w:bottom w:val="single" w:sz="12" w:space="0" w:color="auto"/>
            </w:tcBorders>
            <w:noWrap/>
            <w:vAlign w:val="center"/>
          </w:tcPr>
          <w:p w14:paraId="6E45B912"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564,620</w:t>
            </w:r>
          </w:p>
        </w:tc>
        <w:tc>
          <w:tcPr>
            <w:tcW w:w="1300" w:type="dxa"/>
            <w:tcBorders>
              <w:bottom w:val="single" w:sz="12" w:space="0" w:color="auto"/>
            </w:tcBorders>
            <w:noWrap/>
            <w:vAlign w:val="center"/>
          </w:tcPr>
          <w:p w14:paraId="03D9C880"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82,307</w:t>
            </w:r>
          </w:p>
        </w:tc>
        <w:tc>
          <w:tcPr>
            <w:tcW w:w="1700" w:type="dxa"/>
            <w:tcBorders>
              <w:bottom w:val="single" w:sz="12" w:space="0" w:color="auto"/>
            </w:tcBorders>
            <w:noWrap/>
            <w:vAlign w:val="center"/>
          </w:tcPr>
          <w:p w14:paraId="54ED8BC6"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0</w:t>
            </w:r>
          </w:p>
        </w:tc>
      </w:tr>
    </w:tbl>
    <w:p w14:paraId="0D53618B" w14:textId="77777777" w:rsidR="00E20038" w:rsidRDefault="00E20038" w:rsidP="00E20038">
      <w:pPr>
        <w:spacing w:before="120"/>
        <w:jc w:val="both"/>
        <w:rPr>
          <w:bCs/>
          <w:sz w:val="22"/>
          <w:szCs w:val="22"/>
        </w:rPr>
      </w:pPr>
    </w:p>
    <w:tbl>
      <w:tblPr>
        <w:tblW w:w="9580" w:type="dxa"/>
        <w:tblInd w:w="-7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680"/>
        <w:gridCol w:w="39"/>
        <w:gridCol w:w="928"/>
        <w:gridCol w:w="33"/>
        <w:gridCol w:w="2512"/>
        <w:gridCol w:w="18"/>
        <w:gridCol w:w="15"/>
        <w:gridCol w:w="1455"/>
        <w:gridCol w:w="1900"/>
      </w:tblGrid>
      <w:tr w:rsidR="00E20038" w:rsidRPr="00E20038" w14:paraId="67F4A55D" w14:textId="77777777" w:rsidTr="00E20038">
        <w:trPr>
          <w:cantSplit/>
          <w:tblHeader/>
        </w:trPr>
        <w:tc>
          <w:tcPr>
            <w:tcW w:w="2719" w:type="dxa"/>
            <w:gridSpan w:val="2"/>
            <w:vMerge w:val="restart"/>
            <w:tcBorders>
              <w:top w:val="single" w:sz="12" w:space="0" w:color="auto"/>
            </w:tcBorders>
            <w:noWrap/>
            <w:vAlign w:val="center"/>
          </w:tcPr>
          <w:p w14:paraId="52D1C259"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Name of site</w:t>
            </w:r>
          </w:p>
        </w:tc>
        <w:tc>
          <w:tcPr>
            <w:tcW w:w="928" w:type="dxa"/>
            <w:vMerge w:val="restart"/>
            <w:tcBorders>
              <w:top w:val="single" w:sz="12" w:space="0" w:color="auto"/>
            </w:tcBorders>
            <w:noWrap/>
            <w:vAlign w:val="center"/>
          </w:tcPr>
          <w:p w14:paraId="5419BAA8"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Area (ha)</w:t>
            </w:r>
          </w:p>
        </w:tc>
        <w:tc>
          <w:tcPr>
            <w:tcW w:w="5933" w:type="dxa"/>
            <w:gridSpan w:val="6"/>
            <w:tcBorders>
              <w:top w:val="single" w:sz="12" w:space="0" w:color="auto"/>
              <w:bottom w:val="single" w:sz="4" w:space="0" w:color="auto"/>
            </w:tcBorders>
            <w:noWrap/>
            <w:vAlign w:val="center"/>
          </w:tcPr>
          <w:p w14:paraId="7A1A8F34"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Legal and Management Status</w:t>
            </w:r>
          </w:p>
        </w:tc>
      </w:tr>
      <w:tr w:rsidR="00E20038" w:rsidRPr="00E20038" w14:paraId="2F4BA89A" w14:textId="77777777" w:rsidTr="00E20038">
        <w:trPr>
          <w:cantSplit/>
          <w:tblHeader/>
        </w:trPr>
        <w:tc>
          <w:tcPr>
            <w:tcW w:w="2719" w:type="dxa"/>
            <w:gridSpan w:val="2"/>
            <w:vMerge/>
            <w:tcBorders>
              <w:bottom w:val="single" w:sz="12" w:space="0" w:color="auto"/>
            </w:tcBorders>
            <w:noWrap/>
            <w:vAlign w:val="center"/>
          </w:tcPr>
          <w:p w14:paraId="2F78DB25" w14:textId="77777777" w:rsidR="00E20038" w:rsidRPr="00E20038" w:rsidRDefault="00E20038" w:rsidP="00E20038">
            <w:pPr>
              <w:jc w:val="center"/>
              <w:rPr>
                <w:rFonts w:ascii="Arial" w:hAnsi="Arial" w:cs="Angsana New"/>
                <w:b/>
                <w:sz w:val="16"/>
                <w:lang w:val="en-GB" w:bidi="th-TH"/>
              </w:rPr>
            </w:pPr>
          </w:p>
        </w:tc>
        <w:tc>
          <w:tcPr>
            <w:tcW w:w="928" w:type="dxa"/>
            <w:vMerge/>
            <w:tcBorders>
              <w:bottom w:val="single" w:sz="12" w:space="0" w:color="auto"/>
            </w:tcBorders>
            <w:noWrap/>
            <w:vAlign w:val="center"/>
          </w:tcPr>
          <w:p w14:paraId="4A7BE5AB" w14:textId="77777777" w:rsidR="00E20038" w:rsidRPr="00E20038" w:rsidRDefault="00E20038" w:rsidP="00E20038">
            <w:pPr>
              <w:jc w:val="center"/>
              <w:rPr>
                <w:rFonts w:ascii="Arial" w:hAnsi="Arial" w:cs="Angsana New"/>
                <w:b/>
                <w:sz w:val="16"/>
                <w:lang w:val="en-GB" w:bidi="th-TH"/>
              </w:rPr>
            </w:pPr>
          </w:p>
        </w:tc>
        <w:tc>
          <w:tcPr>
            <w:tcW w:w="2545" w:type="dxa"/>
            <w:gridSpan w:val="2"/>
            <w:tcBorders>
              <w:top w:val="single" w:sz="12" w:space="0" w:color="auto"/>
              <w:bottom w:val="single" w:sz="12" w:space="0" w:color="auto"/>
            </w:tcBorders>
            <w:noWrap/>
            <w:vAlign w:val="center"/>
          </w:tcPr>
          <w:p w14:paraId="0E26B90D"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Protected – Non-use (Subsistence/commercial)</w:t>
            </w:r>
          </w:p>
        </w:tc>
        <w:tc>
          <w:tcPr>
            <w:tcW w:w="1488" w:type="dxa"/>
            <w:gridSpan w:val="3"/>
            <w:tcBorders>
              <w:top w:val="single" w:sz="12" w:space="0" w:color="auto"/>
              <w:bottom w:val="single" w:sz="12" w:space="0" w:color="auto"/>
            </w:tcBorders>
            <w:noWrap/>
            <w:vAlign w:val="center"/>
          </w:tcPr>
          <w:p w14:paraId="7E95D8B9"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Sustainable use</w:t>
            </w:r>
          </w:p>
        </w:tc>
        <w:tc>
          <w:tcPr>
            <w:tcW w:w="1900" w:type="dxa"/>
            <w:tcBorders>
              <w:top w:val="single" w:sz="12" w:space="0" w:color="auto"/>
              <w:bottom w:val="single" w:sz="12" w:space="0" w:color="auto"/>
            </w:tcBorders>
            <w:vAlign w:val="center"/>
          </w:tcPr>
          <w:p w14:paraId="55A82977"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Non-sustainable use</w:t>
            </w:r>
          </w:p>
        </w:tc>
      </w:tr>
      <w:tr w:rsidR="00E20038" w:rsidRPr="00E20038" w14:paraId="1F486F0D" w14:textId="77777777" w:rsidTr="00E20038">
        <w:trPr>
          <w:trHeight w:val="50"/>
        </w:trPr>
        <w:tc>
          <w:tcPr>
            <w:tcW w:w="9580" w:type="dxa"/>
            <w:gridSpan w:val="9"/>
            <w:tcBorders>
              <w:top w:val="single" w:sz="12" w:space="0" w:color="auto"/>
              <w:bottom w:val="single" w:sz="4" w:space="0" w:color="auto"/>
            </w:tcBorders>
            <w:vAlign w:val="center"/>
          </w:tcPr>
          <w:p w14:paraId="048FE4C8"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Non-peat Swamps</w:t>
            </w:r>
          </w:p>
        </w:tc>
      </w:tr>
      <w:tr w:rsidR="00E20038" w:rsidRPr="00E20038" w14:paraId="2D32085A" w14:textId="77777777" w:rsidTr="00E20038">
        <w:trPr>
          <w:trHeight w:val="70"/>
        </w:trPr>
        <w:tc>
          <w:tcPr>
            <w:tcW w:w="2680" w:type="dxa"/>
            <w:tcBorders>
              <w:top w:val="single" w:sz="4" w:space="0" w:color="auto"/>
            </w:tcBorders>
            <w:vAlign w:val="center"/>
          </w:tcPr>
          <w:p w14:paraId="38D90783"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Cambodia</w:t>
                </w:r>
              </w:smartTag>
            </w:smartTag>
          </w:p>
        </w:tc>
        <w:tc>
          <w:tcPr>
            <w:tcW w:w="1000" w:type="dxa"/>
            <w:gridSpan w:val="3"/>
            <w:tcBorders>
              <w:top w:val="single" w:sz="4" w:space="0" w:color="auto"/>
            </w:tcBorders>
            <w:noWrap/>
            <w:vAlign w:val="center"/>
          </w:tcPr>
          <w:p w14:paraId="7901F27F" w14:textId="77777777" w:rsidR="00E20038" w:rsidRPr="00E20038" w:rsidRDefault="00E20038" w:rsidP="00E20038">
            <w:pPr>
              <w:rPr>
                <w:rFonts w:ascii="Arial" w:hAnsi="Arial" w:cs="Angsana New"/>
                <w:bCs/>
                <w:sz w:val="16"/>
                <w:lang w:val="en-GB" w:bidi="th-TH"/>
              </w:rPr>
            </w:pPr>
          </w:p>
        </w:tc>
        <w:tc>
          <w:tcPr>
            <w:tcW w:w="2545" w:type="dxa"/>
            <w:gridSpan w:val="3"/>
            <w:tcBorders>
              <w:top w:val="single" w:sz="4" w:space="0" w:color="auto"/>
            </w:tcBorders>
            <w:noWrap/>
            <w:vAlign w:val="center"/>
          </w:tcPr>
          <w:p w14:paraId="5AC0DE08" w14:textId="77777777" w:rsidR="00E20038" w:rsidRPr="00E20038" w:rsidRDefault="00E20038" w:rsidP="00E20038">
            <w:pPr>
              <w:rPr>
                <w:rFonts w:ascii="Arial" w:hAnsi="Arial" w:cs="Angsana New"/>
                <w:bCs/>
                <w:sz w:val="16"/>
                <w:lang w:val="en-GB" w:bidi="th-TH"/>
              </w:rPr>
            </w:pPr>
          </w:p>
        </w:tc>
        <w:tc>
          <w:tcPr>
            <w:tcW w:w="1455" w:type="dxa"/>
            <w:tcBorders>
              <w:top w:val="single" w:sz="4" w:space="0" w:color="auto"/>
            </w:tcBorders>
            <w:noWrap/>
            <w:vAlign w:val="center"/>
          </w:tcPr>
          <w:p w14:paraId="3412C853" w14:textId="77777777" w:rsidR="00E20038" w:rsidRPr="00E20038" w:rsidRDefault="00E20038" w:rsidP="00E20038">
            <w:pPr>
              <w:jc w:val="center"/>
              <w:rPr>
                <w:rFonts w:ascii="Arial" w:hAnsi="Arial" w:cs="Angsana New"/>
                <w:bCs/>
                <w:sz w:val="16"/>
                <w:lang w:val="en-GB" w:bidi="th-TH"/>
              </w:rPr>
            </w:pPr>
          </w:p>
        </w:tc>
        <w:tc>
          <w:tcPr>
            <w:tcW w:w="1900" w:type="dxa"/>
            <w:tcBorders>
              <w:top w:val="single" w:sz="4" w:space="0" w:color="auto"/>
            </w:tcBorders>
            <w:noWrap/>
            <w:vAlign w:val="center"/>
          </w:tcPr>
          <w:p w14:paraId="4F9BF5D0" w14:textId="77777777" w:rsidR="00E20038" w:rsidRPr="00E20038" w:rsidRDefault="00E20038" w:rsidP="00E20038">
            <w:pPr>
              <w:jc w:val="center"/>
              <w:rPr>
                <w:rFonts w:ascii="Arial" w:hAnsi="Arial" w:cs="Angsana New"/>
                <w:bCs/>
                <w:sz w:val="16"/>
                <w:lang w:val="en-GB" w:bidi="th-TH"/>
              </w:rPr>
            </w:pPr>
          </w:p>
        </w:tc>
      </w:tr>
      <w:tr w:rsidR="00E20038" w:rsidRPr="00E20038" w14:paraId="25D42C9A" w14:textId="77777777" w:rsidTr="00E20038">
        <w:tc>
          <w:tcPr>
            <w:tcW w:w="2680" w:type="dxa"/>
            <w:noWrap/>
            <w:vAlign w:val="center"/>
          </w:tcPr>
          <w:p w14:paraId="73772BB9" w14:textId="77777777" w:rsidR="00E20038" w:rsidRPr="00E20038" w:rsidRDefault="00E20038" w:rsidP="00E20038">
            <w:pPr>
              <w:ind w:left="207"/>
              <w:rPr>
                <w:rFonts w:ascii="Arial" w:hAnsi="Arial" w:cs="Angsana New"/>
                <w:bCs/>
                <w:sz w:val="16"/>
                <w:lang w:val="sv-SE" w:bidi="th-TH"/>
              </w:rPr>
            </w:pPr>
            <w:r w:rsidRPr="00E20038">
              <w:rPr>
                <w:rFonts w:ascii="Arial" w:hAnsi="Arial" w:cs="Angsana New"/>
                <w:bCs/>
                <w:sz w:val="16"/>
                <w:lang w:val="sv-SE" w:bidi="th-TH"/>
              </w:rPr>
              <w:t>Kampong Trach in Krong Kep</w:t>
            </w:r>
          </w:p>
        </w:tc>
        <w:tc>
          <w:tcPr>
            <w:tcW w:w="1000" w:type="dxa"/>
            <w:gridSpan w:val="3"/>
            <w:noWrap/>
            <w:vAlign w:val="center"/>
          </w:tcPr>
          <w:p w14:paraId="3DD55FE7"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7,500</w:t>
            </w:r>
          </w:p>
        </w:tc>
        <w:tc>
          <w:tcPr>
            <w:tcW w:w="2545" w:type="dxa"/>
            <w:gridSpan w:val="3"/>
            <w:noWrap/>
            <w:vAlign w:val="center"/>
          </w:tcPr>
          <w:p w14:paraId="3DCCF8F6"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National Park</w:t>
            </w:r>
          </w:p>
        </w:tc>
        <w:tc>
          <w:tcPr>
            <w:tcW w:w="1455" w:type="dxa"/>
            <w:noWrap/>
            <w:vAlign w:val="center"/>
          </w:tcPr>
          <w:p w14:paraId="7B77B940" w14:textId="77777777" w:rsidR="00E20038" w:rsidRPr="00E20038" w:rsidRDefault="00E20038" w:rsidP="00E20038">
            <w:pPr>
              <w:jc w:val="center"/>
              <w:rPr>
                <w:rFonts w:ascii="Arial" w:hAnsi="Arial" w:cs="Angsana New"/>
                <w:sz w:val="16"/>
                <w:lang w:val="en-GB"/>
              </w:rPr>
            </w:pPr>
            <w:r w:rsidRPr="00E20038">
              <w:rPr>
                <w:rFonts w:ascii="Arial" w:hAnsi="Arial" w:cs="Angsana New"/>
                <w:sz w:val="16"/>
                <w:lang w:val="en-GB"/>
              </w:rPr>
              <w:t>N.A.</w:t>
            </w:r>
          </w:p>
        </w:tc>
        <w:tc>
          <w:tcPr>
            <w:tcW w:w="1900" w:type="dxa"/>
            <w:noWrap/>
            <w:vAlign w:val="center"/>
          </w:tcPr>
          <w:p w14:paraId="3B0ABBD2"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14F45DEE" w14:textId="77777777" w:rsidTr="00E20038">
        <w:tc>
          <w:tcPr>
            <w:tcW w:w="2680" w:type="dxa"/>
            <w:noWrap/>
            <w:vAlign w:val="center"/>
          </w:tcPr>
          <w:p w14:paraId="57BFC418"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Prek Toek Sap</w:t>
            </w:r>
          </w:p>
        </w:tc>
        <w:tc>
          <w:tcPr>
            <w:tcW w:w="1000" w:type="dxa"/>
            <w:gridSpan w:val="3"/>
            <w:noWrap/>
            <w:vAlign w:val="center"/>
          </w:tcPr>
          <w:p w14:paraId="72D2B6BD"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21,259</w:t>
            </w:r>
          </w:p>
        </w:tc>
        <w:tc>
          <w:tcPr>
            <w:tcW w:w="2545" w:type="dxa"/>
            <w:gridSpan w:val="3"/>
            <w:noWrap/>
            <w:vAlign w:val="center"/>
          </w:tcPr>
          <w:p w14:paraId="18B971B0"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National Park</w:t>
            </w:r>
          </w:p>
        </w:tc>
        <w:tc>
          <w:tcPr>
            <w:tcW w:w="1455" w:type="dxa"/>
            <w:noWrap/>
            <w:vAlign w:val="center"/>
          </w:tcPr>
          <w:p w14:paraId="1D4B3EB0" w14:textId="77777777" w:rsidR="00E20038" w:rsidRPr="00E20038" w:rsidRDefault="00E20038" w:rsidP="00E20038">
            <w:pPr>
              <w:jc w:val="center"/>
              <w:rPr>
                <w:rFonts w:ascii="Arial" w:hAnsi="Arial" w:cs="Angsana New"/>
                <w:sz w:val="16"/>
                <w:lang w:val="en-GB"/>
              </w:rPr>
            </w:pPr>
            <w:r w:rsidRPr="00E20038">
              <w:rPr>
                <w:rFonts w:ascii="Arial" w:hAnsi="Arial" w:cs="Angsana New"/>
                <w:sz w:val="16"/>
                <w:lang w:val="en-GB"/>
              </w:rPr>
              <w:t>N.A.</w:t>
            </w:r>
          </w:p>
        </w:tc>
        <w:tc>
          <w:tcPr>
            <w:tcW w:w="1900" w:type="dxa"/>
            <w:noWrap/>
            <w:vAlign w:val="center"/>
          </w:tcPr>
          <w:p w14:paraId="6AB09FEE"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3CAAF781" w14:textId="77777777" w:rsidTr="00E20038">
        <w:tc>
          <w:tcPr>
            <w:tcW w:w="2680" w:type="dxa"/>
            <w:noWrap/>
            <w:vAlign w:val="center"/>
          </w:tcPr>
          <w:p w14:paraId="7DC43F96"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Indonesia</w:t>
                </w:r>
              </w:smartTag>
            </w:smartTag>
          </w:p>
        </w:tc>
        <w:tc>
          <w:tcPr>
            <w:tcW w:w="1000" w:type="dxa"/>
            <w:gridSpan w:val="3"/>
            <w:noWrap/>
            <w:vAlign w:val="center"/>
          </w:tcPr>
          <w:p w14:paraId="6CC84C4F" w14:textId="77777777" w:rsidR="00E20038" w:rsidRPr="00E20038" w:rsidRDefault="00E20038" w:rsidP="00E20038">
            <w:pPr>
              <w:jc w:val="right"/>
              <w:rPr>
                <w:rFonts w:ascii="Arial" w:hAnsi="Arial" w:cs="Angsana New"/>
                <w:bCs/>
                <w:sz w:val="16"/>
                <w:lang w:val="en-GB" w:bidi="th-TH"/>
              </w:rPr>
            </w:pPr>
          </w:p>
        </w:tc>
        <w:tc>
          <w:tcPr>
            <w:tcW w:w="2545" w:type="dxa"/>
            <w:gridSpan w:val="3"/>
            <w:noWrap/>
            <w:vAlign w:val="center"/>
          </w:tcPr>
          <w:p w14:paraId="5B24656A" w14:textId="77777777" w:rsidR="00E20038" w:rsidRPr="00E20038" w:rsidRDefault="00E20038" w:rsidP="00E20038">
            <w:pPr>
              <w:jc w:val="center"/>
              <w:rPr>
                <w:rFonts w:ascii="Arial" w:hAnsi="Arial" w:cs="Angsana New"/>
                <w:bCs/>
                <w:sz w:val="16"/>
                <w:lang w:val="en-GB" w:bidi="th-TH"/>
              </w:rPr>
            </w:pPr>
          </w:p>
        </w:tc>
        <w:tc>
          <w:tcPr>
            <w:tcW w:w="1455" w:type="dxa"/>
            <w:noWrap/>
            <w:vAlign w:val="center"/>
          </w:tcPr>
          <w:p w14:paraId="1E5370F2"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0220BACD" w14:textId="77777777" w:rsidR="00E20038" w:rsidRPr="00E20038" w:rsidRDefault="00E20038" w:rsidP="00E20038">
            <w:pPr>
              <w:jc w:val="center"/>
              <w:rPr>
                <w:rFonts w:ascii="Arial" w:hAnsi="Arial" w:cs="Angsana New"/>
                <w:bCs/>
                <w:sz w:val="16"/>
                <w:lang w:val="en-GB" w:bidi="th-TH"/>
              </w:rPr>
            </w:pPr>
          </w:p>
        </w:tc>
      </w:tr>
      <w:tr w:rsidR="00E20038" w:rsidRPr="00E20038" w14:paraId="3403FE0D" w14:textId="77777777" w:rsidTr="00E20038">
        <w:tc>
          <w:tcPr>
            <w:tcW w:w="2680" w:type="dxa"/>
            <w:noWrap/>
            <w:vAlign w:val="center"/>
          </w:tcPr>
          <w:p w14:paraId="05E5F014"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Tulang Bawang</w:t>
            </w:r>
          </w:p>
        </w:tc>
        <w:tc>
          <w:tcPr>
            <w:tcW w:w="1000" w:type="dxa"/>
            <w:gridSpan w:val="3"/>
            <w:noWrap/>
            <w:vAlign w:val="center"/>
          </w:tcPr>
          <w:p w14:paraId="6137DC12"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86,000</w:t>
            </w:r>
          </w:p>
        </w:tc>
        <w:tc>
          <w:tcPr>
            <w:tcW w:w="2545" w:type="dxa"/>
            <w:gridSpan w:val="3"/>
            <w:noWrap/>
            <w:vAlign w:val="center"/>
          </w:tcPr>
          <w:p w14:paraId="37029035"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Partly</w:t>
            </w:r>
          </w:p>
        </w:tc>
        <w:tc>
          <w:tcPr>
            <w:tcW w:w="1455" w:type="dxa"/>
            <w:noWrap/>
            <w:vAlign w:val="center"/>
          </w:tcPr>
          <w:p w14:paraId="786309C8"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0A7B3745" w14:textId="77777777" w:rsidR="00E20038" w:rsidRPr="00E20038" w:rsidRDefault="00E20038" w:rsidP="00E20038">
            <w:pPr>
              <w:jc w:val="center"/>
              <w:rPr>
                <w:rFonts w:ascii="Arial" w:hAnsi="Arial" w:cs="Angsana New"/>
                <w:bCs/>
                <w:sz w:val="16"/>
                <w:lang w:val="en-GB" w:bidi="th-TH"/>
              </w:rPr>
            </w:pPr>
          </w:p>
        </w:tc>
      </w:tr>
      <w:tr w:rsidR="00E20038" w:rsidRPr="00E20038" w14:paraId="15D47361" w14:textId="77777777" w:rsidTr="00E20038">
        <w:tc>
          <w:tcPr>
            <w:tcW w:w="2680" w:type="dxa"/>
            <w:noWrap/>
            <w:vAlign w:val="center"/>
          </w:tcPr>
          <w:p w14:paraId="1836041A" w14:textId="77777777" w:rsidR="00E20038" w:rsidRPr="00E20038" w:rsidRDefault="00E20038" w:rsidP="00E20038">
            <w:pPr>
              <w:ind w:left="207"/>
              <w:rPr>
                <w:rFonts w:ascii="Arial" w:hAnsi="Arial" w:cs="Angsana New"/>
                <w:bCs/>
                <w:sz w:val="16"/>
                <w:lang w:val="pl-PL" w:bidi="th-TH"/>
              </w:rPr>
            </w:pPr>
            <w:r w:rsidRPr="00E20038">
              <w:rPr>
                <w:rFonts w:ascii="Arial" w:hAnsi="Arial" w:cs="Angsana New"/>
                <w:bCs/>
                <w:sz w:val="16"/>
                <w:lang w:val="pl-PL" w:bidi="th-TH"/>
              </w:rPr>
              <w:t>Rawa-rawa Kubu Padang Tikar</w:t>
            </w:r>
          </w:p>
        </w:tc>
        <w:tc>
          <w:tcPr>
            <w:tcW w:w="1000" w:type="dxa"/>
            <w:gridSpan w:val="3"/>
            <w:noWrap/>
            <w:vAlign w:val="center"/>
          </w:tcPr>
          <w:p w14:paraId="6B4828F1"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1,499,000</w:t>
            </w:r>
          </w:p>
        </w:tc>
        <w:tc>
          <w:tcPr>
            <w:tcW w:w="2545" w:type="dxa"/>
            <w:gridSpan w:val="3"/>
            <w:noWrap/>
            <w:vAlign w:val="center"/>
          </w:tcPr>
          <w:p w14:paraId="4A579B0A"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w:t>
            </w:r>
          </w:p>
        </w:tc>
        <w:tc>
          <w:tcPr>
            <w:tcW w:w="1455" w:type="dxa"/>
            <w:noWrap/>
            <w:vAlign w:val="center"/>
          </w:tcPr>
          <w:p w14:paraId="1DE3A148"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40AF080B" w14:textId="77777777" w:rsidR="00E20038" w:rsidRPr="00E20038" w:rsidRDefault="00E20038" w:rsidP="00E20038">
            <w:pPr>
              <w:jc w:val="center"/>
              <w:rPr>
                <w:rFonts w:ascii="Arial" w:hAnsi="Arial" w:cs="Angsana New"/>
                <w:bCs/>
                <w:sz w:val="16"/>
                <w:lang w:val="en-GB" w:bidi="th-TH"/>
              </w:rPr>
            </w:pPr>
          </w:p>
        </w:tc>
      </w:tr>
      <w:tr w:rsidR="00E20038" w:rsidRPr="00E20038" w14:paraId="6698A3EE" w14:textId="77777777" w:rsidTr="00E20038">
        <w:tc>
          <w:tcPr>
            <w:tcW w:w="2680" w:type="dxa"/>
            <w:vAlign w:val="center"/>
          </w:tcPr>
          <w:p w14:paraId="125AFA80"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Thailand</w:t>
                </w:r>
              </w:smartTag>
            </w:smartTag>
          </w:p>
        </w:tc>
        <w:tc>
          <w:tcPr>
            <w:tcW w:w="1000" w:type="dxa"/>
            <w:gridSpan w:val="3"/>
            <w:noWrap/>
            <w:vAlign w:val="center"/>
          </w:tcPr>
          <w:p w14:paraId="4748C50F" w14:textId="77777777" w:rsidR="00E20038" w:rsidRPr="00E20038" w:rsidRDefault="00E20038" w:rsidP="00E20038">
            <w:pPr>
              <w:jc w:val="right"/>
              <w:rPr>
                <w:rFonts w:ascii="Arial" w:hAnsi="Arial" w:cs="Angsana New"/>
                <w:bCs/>
                <w:sz w:val="16"/>
                <w:lang w:val="en-GB" w:bidi="th-TH"/>
              </w:rPr>
            </w:pPr>
          </w:p>
        </w:tc>
        <w:tc>
          <w:tcPr>
            <w:tcW w:w="2545" w:type="dxa"/>
            <w:gridSpan w:val="3"/>
            <w:noWrap/>
            <w:vAlign w:val="center"/>
          </w:tcPr>
          <w:p w14:paraId="4DBCB201" w14:textId="77777777" w:rsidR="00E20038" w:rsidRPr="00E20038" w:rsidRDefault="00E20038" w:rsidP="00E20038">
            <w:pPr>
              <w:jc w:val="center"/>
              <w:rPr>
                <w:rFonts w:ascii="Arial" w:hAnsi="Arial" w:cs="Angsana New"/>
                <w:bCs/>
                <w:sz w:val="16"/>
                <w:lang w:val="en-GB" w:bidi="th-TH"/>
              </w:rPr>
            </w:pPr>
          </w:p>
        </w:tc>
        <w:tc>
          <w:tcPr>
            <w:tcW w:w="1455" w:type="dxa"/>
            <w:noWrap/>
            <w:vAlign w:val="center"/>
          </w:tcPr>
          <w:p w14:paraId="5B05BD3C"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06397DB8" w14:textId="77777777" w:rsidR="00E20038" w:rsidRPr="00E20038" w:rsidRDefault="00E20038" w:rsidP="00E20038">
            <w:pPr>
              <w:jc w:val="center"/>
              <w:rPr>
                <w:rFonts w:ascii="Arial" w:hAnsi="Arial" w:cs="Angsana New"/>
                <w:bCs/>
                <w:sz w:val="16"/>
                <w:lang w:val="en-GB" w:bidi="th-TH"/>
              </w:rPr>
            </w:pPr>
          </w:p>
        </w:tc>
      </w:tr>
      <w:tr w:rsidR="00E20038" w:rsidRPr="00E20038" w14:paraId="1876AFC7" w14:textId="77777777" w:rsidTr="00E20038">
        <w:tc>
          <w:tcPr>
            <w:tcW w:w="2680" w:type="dxa"/>
            <w:vAlign w:val="center"/>
          </w:tcPr>
          <w:p w14:paraId="08D5C21F" w14:textId="77777777" w:rsidR="00E20038" w:rsidRPr="00E20038" w:rsidRDefault="00E20038" w:rsidP="00E20038">
            <w:pPr>
              <w:ind w:left="207" w:right="-128"/>
              <w:rPr>
                <w:rFonts w:ascii="Arial" w:hAnsi="Arial" w:cs="Angsana New"/>
                <w:bCs/>
                <w:sz w:val="16"/>
                <w:lang w:val="en-GB" w:bidi="th-TH"/>
              </w:rPr>
            </w:pPr>
            <w:smartTag w:uri="urn:schemas-microsoft-com:office:smarttags" w:element="place">
              <w:smartTag w:uri="urn:schemas-microsoft-com:office:smarttags" w:element="PlaceName">
                <w:r w:rsidRPr="00E20038">
                  <w:rPr>
                    <w:rFonts w:ascii="Arial" w:hAnsi="Arial" w:cs="Angsana New"/>
                    <w:bCs/>
                    <w:sz w:val="16"/>
                    <w:lang w:val="en-GB" w:bidi="th-TH"/>
                  </w:rPr>
                  <w:t>Khao</w:t>
                </w:r>
              </w:smartTag>
              <w:r w:rsidRPr="00E20038">
                <w:rPr>
                  <w:rFonts w:ascii="Arial" w:hAnsi="Arial" w:cs="Angsana New"/>
                  <w:bCs/>
                  <w:sz w:val="16"/>
                  <w:lang w:val="en-GB" w:bidi="th-TH"/>
                </w:rPr>
                <w:t xml:space="preserve"> </w:t>
              </w:r>
              <w:smartTag w:uri="urn:schemas-microsoft-com:office:smarttags" w:element="PlaceName">
                <w:r w:rsidRPr="00E20038">
                  <w:rPr>
                    <w:rFonts w:ascii="Arial" w:hAnsi="Arial" w:cs="Angsana New"/>
                    <w:bCs/>
                    <w:sz w:val="16"/>
                    <w:lang w:val="en-GB" w:bidi="th-TH"/>
                  </w:rPr>
                  <w:t>Sam</w:t>
                </w:r>
              </w:smartTag>
              <w:r w:rsidRPr="00E20038">
                <w:rPr>
                  <w:rFonts w:ascii="Arial" w:hAnsi="Arial" w:cs="Angsana New"/>
                  <w:bCs/>
                  <w:sz w:val="16"/>
                  <w:lang w:val="en-GB" w:bidi="th-TH"/>
                </w:rPr>
                <w:t xml:space="preserve"> </w:t>
              </w:r>
              <w:smartTag w:uri="urn:schemas-microsoft-com:office:smarttags" w:element="PlaceName">
                <w:r w:rsidRPr="00E20038">
                  <w:rPr>
                    <w:rFonts w:ascii="Arial" w:hAnsi="Arial" w:cs="Angsana New"/>
                    <w:bCs/>
                    <w:sz w:val="16"/>
                    <w:lang w:val="en-GB" w:bidi="th-TH"/>
                  </w:rPr>
                  <w:t>Roi</w:t>
                </w:r>
              </w:smartTag>
              <w:r w:rsidRPr="00E20038">
                <w:rPr>
                  <w:rFonts w:ascii="Arial" w:hAnsi="Arial" w:cs="Angsana New"/>
                  <w:bCs/>
                  <w:sz w:val="16"/>
                  <w:lang w:val="en-GB" w:bidi="th-TH"/>
                </w:rPr>
                <w:t xml:space="preserve"> </w:t>
              </w:r>
              <w:smartTag w:uri="urn:schemas-microsoft-com:office:smarttags" w:element="PlaceName">
                <w:r w:rsidRPr="00E20038">
                  <w:rPr>
                    <w:rFonts w:ascii="Arial" w:hAnsi="Arial" w:cs="Angsana New"/>
                    <w:bCs/>
                    <w:sz w:val="16"/>
                    <w:lang w:val="en-GB" w:bidi="th-TH"/>
                  </w:rPr>
                  <w:t>Yot</w:t>
                </w:r>
              </w:smartTag>
              <w:r w:rsidRPr="00E20038">
                <w:rPr>
                  <w:rFonts w:ascii="Arial" w:hAnsi="Arial" w:cs="Angsana New"/>
                  <w:bCs/>
                  <w:sz w:val="16"/>
                  <w:lang w:val="en-GB" w:bidi="th-TH"/>
                </w:rPr>
                <w:t xml:space="preserve"> </w:t>
              </w:r>
              <w:smartTag w:uri="urn:schemas-microsoft-com:office:smarttags" w:element="PlaceType">
                <w:r w:rsidRPr="00E20038">
                  <w:rPr>
                    <w:rFonts w:ascii="Arial" w:hAnsi="Arial" w:cs="Angsana New"/>
                    <w:bCs/>
                    <w:sz w:val="16"/>
                    <w:lang w:val="en-GB" w:bidi="th-TH"/>
                  </w:rPr>
                  <w:t>National Park</w:t>
                </w:r>
              </w:smartTag>
            </w:smartTag>
            <w:r w:rsidRPr="00E20038">
              <w:rPr>
                <w:rFonts w:ascii="Arial" w:hAnsi="Arial" w:cs="Angsana New"/>
                <w:bCs/>
                <w:sz w:val="16"/>
                <w:lang w:val="en-GB" w:bidi="th-TH"/>
              </w:rPr>
              <w:t xml:space="preserve"> </w:t>
            </w:r>
          </w:p>
        </w:tc>
        <w:tc>
          <w:tcPr>
            <w:tcW w:w="1000" w:type="dxa"/>
            <w:gridSpan w:val="3"/>
            <w:noWrap/>
            <w:vAlign w:val="center"/>
          </w:tcPr>
          <w:p w14:paraId="0B84DEE1"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9,808</w:t>
            </w:r>
          </w:p>
        </w:tc>
        <w:tc>
          <w:tcPr>
            <w:tcW w:w="2545" w:type="dxa"/>
            <w:gridSpan w:val="3"/>
            <w:noWrap/>
            <w:vAlign w:val="center"/>
          </w:tcPr>
          <w:p w14:paraId="03671963"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National Park</w:t>
            </w:r>
          </w:p>
        </w:tc>
        <w:tc>
          <w:tcPr>
            <w:tcW w:w="1455" w:type="dxa"/>
            <w:noWrap/>
            <w:vAlign w:val="center"/>
          </w:tcPr>
          <w:p w14:paraId="25458E8F"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900" w:type="dxa"/>
            <w:noWrap/>
            <w:vAlign w:val="center"/>
          </w:tcPr>
          <w:p w14:paraId="787AC223"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N.A.</w:t>
            </w:r>
          </w:p>
        </w:tc>
      </w:tr>
      <w:tr w:rsidR="00E20038" w:rsidRPr="00E20038" w14:paraId="7C43B741" w14:textId="77777777" w:rsidTr="00E20038">
        <w:tc>
          <w:tcPr>
            <w:tcW w:w="2680" w:type="dxa"/>
            <w:vAlign w:val="center"/>
          </w:tcPr>
          <w:p w14:paraId="1C4230E6" w14:textId="77777777" w:rsidR="00E20038" w:rsidRPr="00E20038" w:rsidRDefault="00E20038" w:rsidP="00E20038">
            <w:pPr>
              <w:rPr>
                <w:rFonts w:ascii="Arial" w:hAnsi="Arial" w:cs="Angsana New"/>
                <w:b/>
                <w:sz w:val="16"/>
                <w:lang w:val="en-GB" w:bidi="th-TH"/>
              </w:rPr>
            </w:pPr>
            <w:r w:rsidRPr="00E20038">
              <w:rPr>
                <w:rFonts w:ascii="Arial" w:hAnsi="Arial" w:cs="Angsana New"/>
                <w:b/>
                <w:sz w:val="16"/>
                <w:lang w:val="en-GB" w:bidi="th-TH"/>
              </w:rPr>
              <w:t>SUBTOTAL</w:t>
            </w:r>
          </w:p>
        </w:tc>
        <w:tc>
          <w:tcPr>
            <w:tcW w:w="1000" w:type="dxa"/>
            <w:gridSpan w:val="3"/>
            <w:noWrap/>
            <w:vAlign w:val="center"/>
          </w:tcPr>
          <w:p w14:paraId="325AA599" w14:textId="77777777" w:rsidR="00E20038" w:rsidRPr="00E20038" w:rsidRDefault="00E20038" w:rsidP="00E20038">
            <w:pPr>
              <w:jc w:val="right"/>
              <w:rPr>
                <w:rFonts w:ascii="Arial" w:hAnsi="Arial" w:cs="Angsana New"/>
                <w:b/>
                <w:sz w:val="16"/>
                <w:lang w:val="en-GB" w:bidi="th-TH"/>
              </w:rPr>
            </w:pPr>
            <w:r w:rsidRPr="00E20038">
              <w:rPr>
                <w:rFonts w:ascii="Arial" w:hAnsi="Arial" w:cs="Angsana New"/>
                <w:b/>
                <w:sz w:val="16"/>
                <w:lang w:val="en-GB" w:bidi="th-TH"/>
              </w:rPr>
              <w:t>1,623,567</w:t>
            </w:r>
          </w:p>
        </w:tc>
        <w:tc>
          <w:tcPr>
            <w:tcW w:w="2545" w:type="dxa"/>
            <w:gridSpan w:val="3"/>
            <w:noWrap/>
            <w:vAlign w:val="center"/>
          </w:tcPr>
          <w:p w14:paraId="5A8FA158"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38,567 [86,000]</w:t>
            </w:r>
          </w:p>
        </w:tc>
        <w:tc>
          <w:tcPr>
            <w:tcW w:w="1455" w:type="dxa"/>
            <w:noWrap/>
            <w:vAlign w:val="center"/>
          </w:tcPr>
          <w:p w14:paraId="532D80BD"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0</w:t>
            </w:r>
          </w:p>
        </w:tc>
        <w:tc>
          <w:tcPr>
            <w:tcW w:w="1900" w:type="dxa"/>
            <w:noWrap/>
            <w:vAlign w:val="center"/>
          </w:tcPr>
          <w:p w14:paraId="13B0AF59"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[1,499,000]</w:t>
            </w:r>
          </w:p>
        </w:tc>
      </w:tr>
      <w:tr w:rsidR="00E20038" w:rsidRPr="00E20038" w14:paraId="6A3881E1" w14:textId="77777777" w:rsidTr="00E20038">
        <w:tc>
          <w:tcPr>
            <w:tcW w:w="9580" w:type="dxa"/>
            <w:gridSpan w:val="9"/>
            <w:tcBorders>
              <w:top w:val="single" w:sz="12" w:space="0" w:color="auto"/>
              <w:bottom w:val="single" w:sz="4" w:space="0" w:color="auto"/>
            </w:tcBorders>
            <w:vAlign w:val="center"/>
          </w:tcPr>
          <w:p w14:paraId="4CDA3538"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Lagoons</w:t>
            </w:r>
          </w:p>
        </w:tc>
      </w:tr>
      <w:tr w:rsidR="00E20038" w:rsidRPr="00E20038" w14:paraId="4903A965" w14:textId="77777777" w:rsidTr="00E20038">
        <w:tc>
          <w:tcPr>
            <w:tcW w:w="2680" w:type="dxa"/>
            <w:tcBorders>
              <w:top w:val="single" w:sz="4" w:space="0" w:color="auto"/>
            </w:tcBorders>
            <w:vAlign w:val="center"/>
          </w:tcPr>
          <w:p w14:paraId="14DB7B18"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Cambodia</w:t>
                </w:r>
              </w:smartTag>
            </w:smartTag>
          </w:p>
        </w:tc>
        <w:tc>
          <w:tcPr>
            <w:tcW w:w="1000" w:type="dxa"/>
            <w:gridSpan w:val="3"/>
            <w:tcBorders>
              <w:top w:val="single" w:sz="4" w:space="0" w:color="auto"/>
            </w:tcBorders>
            <w:noWrap/>
            <w:vAlign w:val="center"/>
          </w:tcPr>
          <w:p w14:paraId="430DFFD7" w14:textId="77777777" w:rsidR="00E20038" w:rsidRPr="00E20038" w:rsidRDefault="00E20038" w:rsidP="00E20038">
            <w:pPr>
              <w:jc w:val="right"/>
              <w:rPr>
                <w:rFonts w:ascii="Arial" w:hAnsi="Arial" w:cs="Angsana New"/>
                <w:bCs/>
                <w:sz w:val="16"/>
                <w:lang w:val="en-GB" w:bidi="th-TH"/>
              </w:rPr>
            </w:pPr>
          </w:p>
        </w:tc>
        <w:tc>
          <w:tcPr>
            <w:tcW w:w="2545" w:type="dxa"/>
            <w:gridSpan w:val="3"/>
            <w:tcBorders>
              <w:top w:val="single" w:sz="4" w:space="0" w:color="auto"/>
            </w:tcBorders>
            <w:noWrap/>
            <w:vAlign w:val="center"/>
          </w:tcPr>
          <w:p w14:paraId="0B1CB6D2" w14:textId="77777777" w:rsidR="00E20038" w:rsidRPr="00E20038" w:rsidRDefault="00E20038" w:rsidP="00E20038">
            <w:pPr>
              <w:jc w:val="right"/>
              <w:rPr>
                <w:rFonts w:ascii="Arial" w:hAnsi="Arial" w:cs="Angsana New"/>
                <w:bCs/>
                <w:sz w:val="16"/>
                <w:lang w:val="en-GB" w:bidi="th-TH"/>
              </w:rPr>
            </w:pPr>
          </w:p>
        </w:tc>
        <w:tc>
          <w:tcPr>
            <w:tcW w:w="1455" w:type="dxa"/>
            <w:tcBorders>
              <w:top w:val="single" w:sz="4" w:space="0" w:color="auto"/>
            </w:tcBorders>
            <w:noWrap/>
            <w:vAlign w:val="center"/>
          </w:tcPr>
          <w:p w14:paraId="679E565A" w14:textId="77777777" w:rsidR="00E20038" w:rsidRPr="00E20038" w:rsidRDefault="00E20038" w:rsidP="00E20038">
            <w:pPr>
              <w:jc w:val="center"/>
              <w:rPr>
                <w:rFonts w:ascii="Arial" w:hAnsi="Arial" w:cs="Angsana New"/>
                <w:bCs/>
                <w:sz w:val="16"/>
                <w:lang w:val="en-GB" w:bidi="th-TH"/>
              </w:rPr>
            </w:pPr>
          </w:p>
        </w:tc>
        <w:tc>
          <w:tcPr>
            <w:tcW w:w="1900" w:type="dxa"/>
            <w:tcBorders>
              <w:top w:val="single" w:sz="4" w:space="0" w:color="auto"/>
            </w:tcBorders>
            <w:noWrap/>
            <w:vAlign w:val="center"/>
          </w:tcPr>
          <w:p w14:paraId="4063A026" w14:textId="77777777" w:rsidR="00E20038" w:rsidRPr="00E20038" w:rsidRDefault="00E20038" w:rsidP="00E20038">
            <w:pPr>
              <w:jc w:val="center"/>
              <w:rPr>
                <w:rFonts w:ascii="Arial" w:hAnsi="Arial" w:cs="Angsana New"/>
                <w:bCs/>
                <w:sz w:val="16"/>
                <w:lang w:val="en-GB" w:bidi="th-TH"/>
              </w:rPr>
            </w:pPr>
          </w:p>
        </w:tc>
      </w:tr>
      <w:tr w:rsidR="00E20038" w:rsidRPr="00E20038" w14:paraId="04F2369A" w14:textId="77777777" w:rsidTr="00E20038">
        <w:tc>
          <w:tcPr>
            <w:tcW w:w="2680" w:type="dxa"/>
            <w:vAlign w:val="center"/>
          </w:tcPr>
          <w:p w14:paraId="2C866E7F"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Beoung Ka Chang</w:t>
            </w:r>
          </w:p>
        </w:tc>
        <w:tc>
          <w:tcPr>
            <w:tcW w:w="1000" w:type="dxa"/>
            <w:gridSpan w:val="3"/>
            <w:noWrap/>
            <w:vAlign w:val="center"/>
          </w:tcPr>
          <w:p w14:paraId="3C49B9B5"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4, 503</w:t>
            </w:r>
          </w:p>
        </w:tc>
        <w:tc>
          <w:tcPr>
            <w:tcW w:w="2545" w:type="dxa"/>
            <w:gridSpan w:val="3"/>
            <w:noWrap/>
            <w:vAlign w:val="center"/>
          </w:tcPr>
          <w:p w14:paraId="736617BD"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National Park &amp; RAMSAR site</w:t>
            </w:r>
          </w:p>
        </w:tc>
        <w:tc>
          <w:tcPr>
            <w:tcW w:w="1455" w:type="dxa"/>
            <w:noWrap/>
            <w:vAlign w:val="center"/>
          </w:tcPr>
          <w:p w14:paraId="2EA99656"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N.A.</w:t>
            </w:r>
          </w:p>
        </w:tc>
        <w:tc>
          <w:tcPr>
            <w:tcW w:w="1900" w:type="dxa"/>
            <w:noWrap/>
            <w:vAlign w:val="center"/>
          </w:tcPr>
          <w:p w14:paraId="3AF931A4"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0F6664D2" w14:textId="77777777" w:rsidTr="00E20038">
        <w:tc>
          <w:tcPr>
            <w:tcW w:w="2680" w:type="dxa"/>
            <w:vAlign w:val="center"/>
          </w:tcPr>
          <w:p w14:paraId="5B255323"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China</w:t>
                </w:r>
              </w:smartTag>
            </w:smartTag>
          </w:p>
        </w:tc>
        <w:tc>
          <w:tcPr>
            <w:tcW w:w="1000" w:type="dxa"/>
            <w:gridSpan w:val="3"/>
            <w:noWrap/>
            <w:vAlign w:val="center"/>
          </w:tcPr>
          <w:p w14:paraId="41F35176" w14:textId="77777777" w:rsidR="00E20038" w:rsidRPr="00E20038" w:rsidRDefault="00E20038" w:rsidP="00E20038">
            <w:pPr>
              <w:jc w:val="right"/>
              <w:rPr>
                <w:rFonts w:ascii="Arial" w:hAnsi="Arial" w:cs="Angsana New"/>
                <w:bCs/>
                <w:sz w:val="16"/>
                <w:lang w:val="en-GB" w:bidi="th-TH"/>
              </w:rPr>
            </w:pPr>
          </w:p>
        </w:tc>
        <w:tc>
          <w:tcPr>
            <w:tcW w:w="2545" w:type="dxa"/>
            <w:gridSpan w:val="3"/>
            <w:noWrap/>
            <w:vAlign w:val="center"/>
          </w:tcPr>
          <w:p w14:paraId="2E88FD5A" w14:textId="77777777" w:rsidR="00E20038" w:rsidRPr="00E20038" w:rsidRDefault="00E20038" w:rsidP="00E20038">
            <w:pPr>
              <w:rPr>
                <w:rFonts w:ascii="Arial" w:hAnsi="Arial" w:cs="Angsana New"/>
                <w:bCs/>
                <w:sz w:val="16"/>
                <w:lang w:val="en-GB" w:bidi="th-TH"/>
              </w:rPr>
            </w:pPr>
          </w:p>
        </w:tc>
        <w:tc>
          <w:tcPr>
            <w:tcW w:w="1455" w:type="dxa"/>
            <w:noWrap/>
            <w:vAlign w:val="center"/>
          </w:tcPr>
          <w:p w14:paraId="586C253C"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47DD49D6" w14:textId="77777777" w:rsidR="00E20038" w:rsidRPr="00E20038" w:rsidRDefault="00E20038" w:rsidP="00E20038">
            <w:pPr>
              <w:jc w:val="center"/>
              <w:rPr>
                <w:rFonts w:ascii="Arial" w:hAnsi="Arial" w:cs="Angsana New"/>
                <w:bCs/>
                <w:sz w:val="16"/>
                <w:lang w:val="en-GB" w:bidi="th-TH"/>
              </w:rPr>
            </w:pPr>
          </w:p>
        </w:tc>
      </w:tr>
      <w:tr w:rsidR="00E20038" w:rsidRPr="00E20038" w14:paraId="2601FE4A" w14:textId="77777777" w:rsidTr="00E20038">
        <w:tc>
          <w:tcPr>
            <w:tcW w:w="2680" w:type="dxa"/>
            <w:vAlign w:val="center"/>
          </w:tcPr>
          <w:p w14:paraId="66368A1A"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Wenchang</w:t>
            </w:r>
          </w:p>
        </w:tc>
        <w:tc>
          <w:tcPr>
            <w:tcW w:w="1000" w:type="dxa"/>
            <w:gridSpan w:val="3"/>
            <w:vAlign w:val="center"/>
          </w:tcPr>
          <w:p w14:paraId="555D0207"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218</w:t>
            </w:r>
          </w:p>
        </w:tc>
        <w:tc>
          <w:tcPr>
            <w:tcW w:w="2545" w:type="dxa"/>
            <w:gridSpan w:val="3"/>
            <w:vAlign w:val="center"/>
          </w:tcPr>
          <w:p w14:paraId="6C23A6AC"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Provincial level nature reserve</w:t>
            </w:r>
          </w:p>
        </w:tc>
        <w:tc>
          <w:tcPr>
            <w:tcW w:w="1455" w:type="dxa"/>
            <w:vAlign w:val="center"/>
          </w:tcPr>
          <w:p w14:paraId="2EBE1669"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900" w:type="dxa"/>
            <w:vAlign w:val="center"/>
          </w:tcPr>
          <w:p w14:paraId="4D6E92C9"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7CB2464E" w14:textId="77777777" w:rsidTr="00E20038">
        <w:tc>
          <w:tcPr>
            <w:tcW w:w="2680" w:type="dxa"/>
            <w:vAlign w:val="center"/>
          </w:tcPr>
          <w:p w14:paraId="35852B7C"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Viet Nam</w:t>
                </w:r>
              </w:smartTag>
            </w:smartTag>
          </w:p>
        </w:tc>
        <w:tc>
          <w:tcPr>
            <w:tcW w:w="1000" w:type="dxa"/>
            <w:gridSpan w:val="3"/>
            <w:noWrap/>
            <w:vAlign w:val="center"/>
          </w:tcPr>
          <w:p w14:paraId="50E1FC47" w14:textId="77777777" w:rsidR="00E20038" w:rsidRPr="00E20038" w:rsidRDefault="00E20038" w:rsidP="00E20038">
            <w:pPr>
              <w:jc w:val="right"/>
              <w:rPr>
                <w:rFonts w:ascii="Arial" w:hAnsi="Arial" w:cs="Angsana New"/>
                <w:bCs/>
                <w:sz w:val="16"/>
                <w:lang w:val="en-GB" w:bidi="th-TH"/>
              </w:rPr>
            </w:pPr>
          </w:p>
        </w:tc>
        <w:tc>
          <w:tcPr>
            <w:tcW w:w="2545" w:type="dxa"/>
            <w:gridSpan w:val="3"/>
            <w:noWrap/>
            <w:vAlign w:val="center"/>
          </w:tcPr>
          <w:p w14:paraId="08980D88" w14:textId="77777777" w:rsidR="00E20038" w:rsidRPr="00E20038" w:rsidRDefault="00E20038" w:rsidP="00E20038">
            <w:pPr>
              <w:rPr>
                <w:rFonts w:ascii="Arial" w:hAnsi="Arial" w:cs="Angsana New"/>
                <w:bCs/>
                <w:sz w:val="16"/>
                <w:lang w:val="en-GB" w:bidi="th-TH"/>
              </w:rPr>
            </w:pPr>
          </w:p>
        </w:tc>
        <w:tc>
          <w:tcPr>
            <w:tcW w:w="1455" w:type="dxa"/>
            <w:noWrap/>
            <w:vAlign w:val="center"/>
          </w:tcPr>
          <w:p w14:paraId="4C4BD6CC"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147C3963" w14:textId="77777777" w:rsidR="00E20038" w:rsidRPr="00E20038" w:rsidRDefault="00E20038" w:rsidP="00E20038">
            <w:pPr>
              <w:jc w:val="center"/>
              <w:rPr>
                <w:rFonts w:ascii="Arial" w:hAnsi="Arial" w:cs="Angsana New"/>
                <w:bCs/>
                <w:sz w:val="16"/>
                <w:lang w:val="en-GB" w:bidi="th-TH"/>
              </w:rPr>
            </w:pPr>
          </w:p>
        </w:tc>
      </w:tr>
      <w:tr w:rsidR="00E20038" w:rsidRPr="00E20038" w14:paraId="2ACF98DF" w14:textId="77777777" w:rsidTr="00E20038">
        <w:tc>
          <w:tcPr>
            <w:tcW w:w="2680" w:type="dxa"/>
            <w:vAlign w:val="center"/>
          </w:tcPr>
          <w:p w14:paraId="5E401924"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 xml:space="preserve">Tam Giang-Cau Lagoon </w:t>
            </w:r>
          </w:p>
        </w:tc>
        <w:tc>
          <w:tcPr>
            <w:tcW w:w="1000" w:type="dxa"/>
            <w:gridSpan w:val="3"/>
            <w:noWrap/>
            <w:vAlign w:val="center"/>
          </w:tcPr>
          <w:p w14:paraId="5C116F31"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21,600</w:t>
            </w:r>
          </w:p>
        </w:tc>
        <w:tc>
          <w:tcPr>
            <w:tcW w:w="2545" w:type="dxa"/>
            <w:gridSpan w:val="3"/>
            <w:noWrap/>
            <w:vAlign w:val="center"/>
          </w:tcPr>
          <w:p w14:paraId="23E380F8"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455" w:type="dxa"/>
            <w:noWrap/>
            <w:vAlign w:val="center"/>
          </w:tcPr>
          <w:p w14:paraId="69D77F96"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900" w:type="dxa"/>
            <w:noWrap/>
            <w:vAlign w:val="center"/>
          </w:tcPr>
          <w:p w14:paraId="0B468100"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r>
      <w:tr w:rsidR="00E20038" w:rsidRPr="00E20038" w14:paraId="233DA5AA" w14:textId="77777777" w:rsidTr="00E20038">
        <w:tc>
          <w:tcPr>
            <w:tcW w:w="2680" w:type="dxa"/>
            <w:vAlign w:val="center"/>
          </w:tcPr>
          <w:p w14:paraId="79285B81"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Tra O Lagoon</w:t>
            </w:r>
          </w:p>
        </w:tc>
        <w:tc>
          <w:tcPr>
            <w:tcW w:w="1000" w:type="dxa"/>
            <w:gridSpan w:val="3"/>
            <w:noWrap/>
            <w:vAlign w:val="center"/>
          </w:tcPr>
          <w:p w14:paraId="1C4B626B"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2,000</w:t>
            </w:r>
          </w:p>
        </w:tc>
        <w:tc>
          <w:tcPr>
            <w:tcW w:w="2545" w:type="dxa"/>
            <w:gridSpan w:val="3"/>
            <w:noWrap/>
            <w:vAlign w:val="center"/>
          </w:tcPr>
          <w:p w14:paraId="130B74C5"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455" w:type="dxa"/>
            <w:noWrap/>
            <w:vAlign w:val="center"/>
          </w:tcPr>
          <w:p w14:paraId="398B7180"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900" w:type="dxa"/>
            <w:noWrap/>
            <w:vAlign w:val="center"/>
          </w:tcPr>
          <w:p w14:paraId="358DFD5D"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r>
      <w:tr w:rsidR="00E20038" w:rsidRPr="00E20038" w14:paraId="4C5C090A" w14:textId="77777777" w:rsidTr="00E20038">
        <w:tc>
          <w:tcPr>
            <w:tcW w:w="2680" w:type="dxa"/>
            <w:vAlign w:val="center"/>
          </w:tcPr>
          <w:p w14:paraId="0F092C2C"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Degi Lagoon (</w:t>
            </w:r>
            <w:smartTag w:uri="urn:schemas-microsoft-com:office:smarttags" w:element="place">
              <w:smartTag w:uri="urn:schemas-microsoft-com:office:smarttags" w:element="PlaceName">
                <w:r w:rsidRPr="00E20038">
                  <w:rPr>
                    <w:rFonts w:ascii="Arial" w:hAnsi="Arial" w:cs="Angsana New"/>
                    <w:bCs/>
                    <w:sz w:val="16"/>
                    <w:lang w:val="en-GB" w:bidi="th-TH"/>
                  </w:rPr>
                  <w:t>Binh</w:t>
                </w:r>
              </w:smartTag>
              <w:r w:rsidRPr="00E20038">
                <w:rPr>
                  <w:rFonts w:ascii="Arial" w:hAnsi="Arial" w:cs="Angsana New"/>
                  <w:bCs/>
                  <w:sz w:val="16"/>
                  <w:lang w:val="en-GB" w:bidi="th-TH"/>
                </w:rPr>
                <w:t xml:space="preserve"> </w:t>
              </w:r>
              <w:smartTag w:uri="urn:schemas-microsoft-com:office:smarttags" w:element="PlaceName">
                <w:r w:rsidRPr="00E20038">
                  <w:rPr>
                    <w:rFonts w:ascii="Arial" w:hAnsi="Arial" w:cs="Angsana New"/>
                    <w:bCs/>
                    <w:sz w:val="16"/>
                    <w:lang w:val="en-GB" w:bidi="th-TH"/>
                  </w:rPr>
                  <w:t>Dinh</w:t>
                </w:r>
              </w:smartTag>
              <w:r w:rsidRPr="00E20038">
                <w:rPr>
                  <w:rFonts w:ascii="Arial" w:hAnsi="Arial" w:cs="Angsana New"/>
                  <w:bCs/>
                  <w:sz w:val="16"/>
                  <w:lang w:val="en-GB" w:bidi="th-TH"/>
                </w:rPr>
                <w:t xml:space="preserve"> </w:t>
              </w:r>
              <w:smartTag w:uri="urn:schemas-microsoft-com:office:smarttags" w:element="PlaceType">
                <w:r w:rsidRPr="00E20038">
                  <w:rPr>
                    <w:rFonts w:ascii="Arial" w:hAnsi="Arial" w:cs="Angsana New"/>
                    <w:bCs/>
                    <w:sz w:val="16"/>
                    <w:lang w:val="en-GB" w:bidi="th-TH"/>
                  </w:rPr>
                  <w:t>Province</w:t>
                </w:r>
              </w:smartTag>
            </w:smartTag>
            <w:r w:rsidRPr="00E20038">
              <w:rPr>
                <w:rFonts w:ascii="Arial" w:hAnsi="Arial" w:cs="Angsana New"/>
                <w:bCs/>
                <w:sz w:val="16"/>
                <w:lang w:val="en-GB" w:bidi="th-TH"/>
              </w:rPr>
              <w:t>)</w:t>
            </w:r>
          </w:p>
        </w:tc>
        <w:tc>
          <w:tcPr>
            <w:tcW w:w="1000" w:type="dxa"/>
            <w:gridSpan w:val="3"/>
            <w:noWrap/>
            <w:vAlign w:val="center"/>
          </w:tcPr>
          <w:p w14:paraId="6DF05D69"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1,600</w:t>
            </w:r>
          </w:p>
        </w:tc>
        <w:tc>
          <w:tcPr>
            <w:tcW w:w="2545" w:type="dxa"/>
            <w:gridSpan w:val="3"/>
            <w:noWrap/>
            <w:vAlign w:val="center"/>
          </w:tcPr>
          <w:p w14:paraId="393C85A6"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455" w:type="dxa"/>
            <w:noWrap/>
            <w:vAlign w:val="center"/>
          </w:tcPr>
          <w:p w14:paraId="61DFF88F"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900" w:type="dxa"/>
            <w:noWrap/>
            <w:vAlign w:val="center"/>
          </w:tcPr>
          <w:p w14:paraId="684F7C2F"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r>
      <w:tr w:rsidR="00E20038" w:rsidRPr="00E20038" w14:paraId="04A85D45" w14:textId="77777777" w:rsidTr="00E20038">
        <w:tc>
          <w:tcPr>
            <w:tcW w:w="2680" w:type="dxa"/>
            <w:vAlign w:val="center"/>
          </w:tcPr>
          <w:p w14:paraId="01D3A90A"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Thi Nai lagoon (</w:t>
            </w:r>
            <w:smartTag w:uri="urn:schemas-microsoft-com:office:smarttags" w:element="place">
              <w:smartTag w:uri="urn:schemas-microsoft-com:office:smarttags" w:element="PlaceName">
                <w:r w:rsidRPr="00E20038">
                  <w:rPr>
                    <w:rFonts w:ascii="Arial" w:hAnsi="Arial" w:cs="Angsana New"/>
                    <w:bCs/>
                    <w:sz w:val="16"/>
                    <w:lang w:val="en-GB" w:bidi="th-TH"/>
                  </w:rPr>
                  <w:t>Binh</w:t>
                </w:r>
              </w:smartTag>
              <w:r w:rsidRPr="00E20038">
                <w:rPr>
                  <w:rFonts w:ascii="Arial" w:hAnsi="Arial" w:cs="Angsana New"/>
                  <w:bCs/>
                  <w:sz w:val="16"/>
                  <w:lang w:val="en-GB" w:bidi="th-TH"/>
                </w:rPr>
                <w:t xml:space="preserve"> </w:t>
              </w:r>
              <w:smartTag w:uri="urn:schemas-microsoft-com:office:smarttags" w:element="PlaceName">
                <w:r w:rsidRPr="00E20038">
                  <w:rPr>
                    <w:rFonts w:ascii="Arial" w:hAnsi="Arial" w:cs="Angsana New"/>
                    <w:bCs/>
                    <w:sz w:val="16"/>
                    <w:lang w:val="en-GB" w:bidi="th-TH"/>
                  </w:rPr>
                  <w:t>Dinh</w:t>
                </w:r>
              </w:smartTag>
              <w:r w:rsidRPr="00E20038">
                <w:rPr>
                  <w:rFonts w:ascii="Arial" w:hAnsi="Arial" w:cs="Angsana New"/>
                  <w:bCs/>
                  <w:sz w:val="16"/>
                  <w:lang w:val="en-GB" w:bidi="th-TH"/>
                </w:rPr>
                <w:t xml:space="preserve"> </w:t>
              </w:r>
              <w:smartTag w:uri="urn:schemas-microsoft-com:office:smarttags" w:element="PlaceType">
                <w:r w:rsidRPr="00E20038">
                  <w:rPr>
                    <w:rFonts w:ascii="Arial" w:hAnsi="Arial" w:cs="Angsana New"/>
                    <w:bCs/>
                    <w:sz w:val="16"/>
                    <w:lang w:val="en-GB" w:bidi="th-TH"/>
                  </w:rPr>
                  <w:t>Province</w:t>
                </w:r>
              </w:smartTag>
            </w:smartTag>
            <w:r w:rsidRPr="00E20038">
              <w:rPr>
                <w:rFonts w:ascii="Arial" w:hAnsi="Arial" w:cs="Angsana New"/>
                <w:bCs/>
                <w:sz w:val="16"/>
                <w:lang w:val="en-GB" w:bidi="th-TH"/>
              </w:rPr>
              <w:t>)</w:t>
            </w:r>
          </w:p>
        </w:tc>
        <w:tc>
          <w:tcPr>
            <w:tcW w:w="1000" w:type="dxa"/>
            <w:gridSpan w:val="3"/>
            <w:noWrap/>
            <w:vAlign w:val="center"/>
          </w:tcPr>
          <w:p w14:paraId="3008A765"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5,000</w:t>
            </w:r>
          </w:p>
        </w:tc>
        <w:tc>
          <w:tcPr>
            <w:tcW w:w="2545" w:type="dxa"/>
            <w:gridSpan w:val="3"/>
            <w:noWrap/>
            <w:vAlign w:val="center"/>
          </w:tcPr>
          <w:p w14:paraId="570AA176"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455" w:type="dxa"/>
            <w:noWrap/>
            <w:vAlign w:val="center"/>
          </w:tcPr>
          <w:p w14:paraId="4DE11F8E"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900" w:type="dxa"/>
            <w:noWrap/>
            <w:vAlign w:val="center"/>
          </w:tcPr>
          <w:p w14:paraId="508475CF"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r>
      <w:tr w:rsidR="00E20038" w:rsidRPr="00E20038" w14:paraId="017EC383" w14:textId="77777777" w:rsidTr="00E20038">
        <w:tc>
          <w:tcPr>
            <w:tcW w:w="2680" w:type="dxa"/>
            <w:tcBorders>
              <w:bottom w:val="single" w:sz="12" w:space="0" w:color="auto"/>
            </w:tcBorders>
            <w:vAlign w:val="center"/>
          </w:tcPr>
          <w:p w14:paraId="4A0ED617" w14:textId="77777777" w:rsidR="00E20038" w:rsidRPr="00E20038" w:rsidRDefault="00E20038" w:rsidP="00E20038">
            <w:pPr>
              <w:tabs>
                <w:tab w:val="left" w:pos="900"/>
              </w:tabs>
              <w:jc w:val="both"/>
              <w:outlineLvl w:val="0"/>
              <w:rPr>
                <w:rFonts w:ascii="Arial" w:hAnsi="Arial" w:cs="Arial"/>
                <w:b/>
                <w:bCs/>
                <w:caps/>
                <w:sz w:val="16"/>
                <w:szCs w:val="32"/>
                <w:lang w:val="en-GB" w:bidi="th-TH"/>
              </w:rPr>
            </w:pPr>
            <w:bookmarkStart w:id="81" w:name="_Toc139107466"/>
            <w:bookmarkStart w:id="82" w:name="_Toc173721983"/>
            <w:bookmarkStart w:id="83" w:name="_Toc182740887"/>
            <w:bookmarkStart w:id="84" w:name="_Toc187120316"/>
            <w:r w:rsidRPr="00E20038">
              <w:rPr>
                <w:rFonts w:ascii="Arial" w:hAnsi="Arial" w:cs="Arial"/>
                <w:b/>
                <w:bCs/>
                <w:caps/>
                <w:sz w:val="16"/>
                <w:szCs w:val="32"/>
                <w:lang w:val="en-GB" w:bidi="th-TH"/>
              </w:rPr>
              <w:t>SUBTOTAL</w:t>
            </w:r>
            <w:bookmarkEnd w:id="81"/>
            <w:bookmarkEnd w:id="82"/>
            <w:bookmarkEnd w:id="83"/>
            <w:bookmarkEnd w:id="84"/>
          </w:p>
        </w:tc>
        <w:tc>
          <w:tcPr>
            <w:tcW w:w="1000" w:type="dxa"/>
            <w:gridSpan w:val="3"/>
            <w:tcBorders>
              <w:bottom w:val="single" w:sz="12" w:space="0" w:color="auto"/>
            </w:tcBorders>
            <w:noWrap/>
            <w:vAlign w:val="center"/>
          </w:tcPr>
          <w:p w14:paraId="363808C6" w14:textId="77777777" w:rsidR="00E20038" w:rsidRPr="00E20038" w:rsidRDefault="00E20038" w:rsidP="00E20038">
            <w:pPr>
              <w:jc w:val="right"/>
              <w:rPr>
                <w:rFonts w:ascii="Arial" w:hAnsi="Arial" w:cs="Angsana New"/>
                <w:b/>
                <w:sz w:val="16"/>
                <w:lang w:val="en-GB" w:bidi="th-TH"/>
              </w:rPr>
            </w:pPr>
            <w:r w:rsidRPr="00E20038">
              <w:rPr>
                <w:rFonts w:ascii="Arial" w:hAnsi="Arial" w:cs="Angsana New"/>
                <w:b/>
                <w:sz w:val="16"/>
                <w:lang w:val="en-GB" w:bidi="th-TH"/>
              </w:rPr>
              <w:t>34,921</w:t>
            </w:r>
          </w:p>
        </w:tc>
        <w:tc>
          <w:tcPr>
            <w:tcW w:w="2545" w:type="dxa"/>
            <w:gridSpan w:val="3"/>
            <w:tcBorders>
              <w:bottom w:val="single" w:sz="12" w:space="0" w:color="auto"/>
            </w:tcBorders>
            <w:noWrap/>
            <w:vAlign w:val="center"/>
          </w:tcPr>
          <w:p w14:paraId="1EB5544C"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4,721</w:t>
            </w:r>
          </w:p>
        </w:tc>
        <w:tc>
          <w:tcPr>
            <w:tcW w:w="1455" w:type="dxa"/>
            <w:tcBorders>
              <w:bottom w:val="single" w:sz="12" w:space="0" w:color="auto"/>
            </w:tcBorders>
            <w:noWrap/>
            <w:vAlign w:val="center"/>
          </w:tcPr>
          <w:p w14:paraId="2D6F9C36"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0</w:t>
            </w:r>
          </w:p>
        </w:tc>
        <w:tc>
          <w:tcPr>
            <w:tcW w:w="1900" w:type="dxa"/>
            <w:tcBorders>
              <w:bottom w:val="single" w:sz="12" w:space="0" w:color="auto"/>
            </w:tcBorders>
            <w:noWrap/>
            <w:vAlign w:val="center"/>
          </w:tcPr>
          <w:p w14:paraId="2DC88ABA"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30,200</w:t>
            </w:r>
          </w:p>
        </w:tc>
      </w:tr>
      <w:tr w:rsidR="00E20038" w:rsidRPr="00E20038" w14:paraId="01046433" w14:textId="77777777" w:rsidTr="00E20038">
        <w:tc>
          <w:tcPr>
            <w:tcW w:w="9580" w:type="dxa"/>
            <w:gridSpan w:val="9"/>
            <w:tcBorders>
              <w:top w:val="single" w:sz="12" w:space="0" w:color="auto"/>
              <w:bottom w:val="single" w:sz="4" w:space="0" w:color="auto"/>
            </w:tcBorders>
            <w:vAlign w:val="center"/>
          </w:tcPr>
          <w:p w14:paraId="771F2611"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Inter-tidal flats</w:t>
            </w:r>
          </w:p>
        </w:tc>
      </w:tr>
      <w:tr w:rsidR="00E20038" w:rsidRPr="00E20038" w14:paraId="5276E6BC" w14:textId="77777777" w:rsidTr="00E20038">
        <w:tc>
          <w:tcPr>
            <w:tcW w:w="2680" w:type="dxa"/>
            <w:tcBorders>
              <w:top w:val="single" w:sz="4" w:space="0" w:color="auto"/>
            </w:tcBorders>
            <w:vAlign w:val="center"/>
          </w:tcPr>
          <w:p w14:paraId="2084A782"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Cambodia</w:t>
                </w:r>
              </w:smartTag>
            </w:smartTag>
          </w:p>
        </w:tc>
        <w:tc>
          <w:tcPr>
            <w:tcW w:w="1000" w:type="dxa"/>
            <w:gridSpan w:val="3"/>
            <w:tcBorders>
              <w:top w:val="single" w:sz="4" w:space="0" w:color="auto"/>
            </w:tcBorders>
            <w:noWrap/>
            <w:vAlign w:val="center"/>
          </w:tcPr>
          <w:p w14:paraId="1C1AFBCC" w14:textId="77777777" w:rsidR="00E20038" w:rsidRPr="00E20038" w:rsidRDefault="00E20038" w:rsidP="00E20038">
            <w:pPr>
              <w:rPr>
                <w:rFonts w:ascii="Arial" w:hAnsi="Arial" w:cs="Angsana New"/>
                <w:bCs/>
                <w:sz w:val="16"/>
                <w:lang w:val="en-GB" w:bidi="th-TH"/>
              </w:rPr>
            </w:pPr>
          </w:p>
        </w:tc>
        <w:tc>
          <w:tcPr>
            <w:tcW w:w="2530" w:type="dxa"/>
            <w:gridSpan w:val="2"/>
            <w:tcBorders>
              <w:top w:val="single" w:sz="4" w:space="0" w:color="auto"/>
            </w:tcBorders>
            <w:noWrap/>
            <w:vAlign w:val="center"/>
          </w:tcPr>
          <w:p w14:paraId="523A90B8" w14:textId="77777777" w:rsidR="00E20038" w:rsidRPr="00E20038" w:rsidRDefault="00E20038" w:rsidP="00E20038">
            <w:pPr>
              <w:jc w:val="center"/>
              <w:rPr>
                <w:rFonts w:ascii="Arial" w:hAnsi="Arial" w:cs="Angsana New"/>
                <w:bCs/>
                <w:sz w:val="16"/>
                <w:lang w:val="en-GB" w:bidi="th-TH"/>
              </w:rPr>
            </w:pPr>
          </w:p>
        </w:tc>
        <w:tc>
          <w:tcPr>
            <w:tcW w:w="1470" w:type="dxa"/>
            <w:gridSpan w:val="2"/>
            <w:tcBorders>
              <w:top w:val="single" w:sz="4" w:space="0" w:color="auto"/>
            </w:tcBorders>
            <w:noWrap/>
            <w:vAlign w:val="center"/>
          </w:tcPr>
          <w:p w14:paraId="2BCECF9B" w14:textId="77777777" w:rsidR="00E20038" w:rsidRPr="00E20038" w:rsidRDefault="00E20038" w:rsidP="00E20038">
            <w:pPr>
              <w:jc w:val="center"/>
              <w:rPr>
                <w:rFonts w:ascii="Arial" w:hAnsi="Arial" w:cs="Angsana New"/>
                <w:bCs/>
                <w:sz w:val="16"/>
                <w:lang w:val="en-GB" w:bidi="th-TH"/>
              </w:rPr>
            </w:pPr>
          </w:p>
        </w:tc>
        <w:tc>
          <w:tcPr>
            <w:tcW w:w="1900" w:type="dxa"/>
            <w:tcBorders>
              <w:top w:val="single" w:sz="4" w:space="0" w:color="auto"/>
            </w:tcBorders>
            <w:noWrap/>
            <w:vAlign w:val="center"/>
          </w:tcPr>
          <w:p w14:paraId="37FF268E" w14:textId="77777777" w:rsidR="00E20038" w:rsidRPr="00E20038" w:rsidRDefault="00E20038" w:rsidP="00E20038">
            <w:pPr>
              <w:jc w:val="center"/>
              <w:rPr>
                <w:rFonts w:ascii="Arial" w:hAnsi="Arial" w:cs="Angsana New"/>
                <w:bCs/>
                <w:sz w:val="16"/>
                <w:lang w:val="en-GB" w:bidi="th-TH"/>
              </w:rPr>
            </w:pPr>
          </w:p>
        </w:tc>
      </w:tr>
      <w:tr w:rsidR="00E20038" w:rsidRPr="00E20038" w14:paraId="5632E7F9" w14:textId="77777777" w:rsidTr="00E20038">
        <w:tc>
          <w:tcPr>
            <w:tcW w:w="2680" w:type="dxa"/>
            <w:vAlign w:val="center"/>
          </w:tcPr>
          <w:p w14:paraId="367E8946" w14:textId="77777777" w:rsidR="00E20038" w:rsidRPr="00E20038" w:rsidRDefault="00E20038" w:rsidP="00E20038">
            <w:pPr>
              <w:ind w:left="207"/>
              <w:rPr>
                <w:rFonts w:ascii="Arial" w:hAnsi="Arial" w:cs="Angsana New"/>
                <w:bCs/>
                <w:sz w:val="16"/>
                <w:lang w:val="sv-SE" w:bidi="th-TH"/>
              </w:rPr>
            </w:pPr>
            <w:r w:rsidRPr="00E20038">
              <w:rPr>
                <w:rFonts w:ascii="Arial" w:hAnsi="Arial" w:cs="Angsana New"/>
                <w:bCs/>
                <w:sz w:val="16"/>
                <w:lang w:val="sv-SE" w:bidi="th-TH"/>
              </w:rPr>
              <w:t>Ruer Sey Srock Toul Srav Gnamin Krong Kep</w:t>
            </w:r>
          </w:p>
        </w:tc>
        <w:tc>
          <w:tcPr>
            <w:tcW w:w="1000" w:type="dxa"/>
            <w:gridSpan w:val="3"/>
            <w:noWrap/>
            <w:vAlign w:val="center"/>
          </w:tcPr>
          <w:p w14:paraId="2F650724"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4,890</w:t>
            </w:r>
          </w:p>
        </w:tc>
        <w:tc>
          <w:tcPr>
            <w:tcW w:w="2530" w:type="dxa"/>
            <w:gridSpan w:val="2"/>
            <w:noWrap/>
            <w:vAlign w:val="center"/>
          </w:tcPr>
          <w:p w14:paraId="51CFB935"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National Park</w:t>
            </w:r>
          </w:p>
        </w:tc>
        <w:tc>
          <w:tcPr>
            <w:tcW w:w="1470" w:type="dxa"/>
            <w:gridSpan w:val="2"/>
            <w:noWrap/>
            <w:vAlign w:val="center"/>
          </w:tcPr>
          <w:p w14:paraId="29010AE2"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N.A.</w:t>
            </w:r>
          </w:p>
        </w:tc>
        <w:tc>
          <w:tcPr>
            <w:tcW w:w="1900" w:type="dxa"/>
            <w:noWrap/>
            <w:vAlign w:val="center"/>
          </w:tcPr>
          <w:p w14:paraId="280B57C5"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37AB665A" w14:textId="77777777" w:rsidTr="00E20038">
        <w:tc>
          <w:tcPr>
            <w:tcW w:w="2680" w:type="dxa"/>
            <w:vAlign w:val="center"/>
          </w:tcPr>
          <w:p w14:paraId="79FA1944"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China</w:t>
                </w:r>
              </w:smartTag>
            </w:smartTag>
          </w:p>
        </w:tc>
        <w:tc>
          <w:tcPr>
            <w:tcW w:w="1000" w:type="dxa"/>
            <w:gridSpan w:val="3"/>
            <w:noWrap/>
            <w:vAlign w:val="center"/>
          </w:tcPr>
          <w:p w14:paraId="0AA82F6E" w14:textId="77777777" w:rsidR="00E20038" w:rsidRPr="00E20038" w:rsidRDefault="00E20038" w:rsidP="00E20038">
            <w:pPr>
              <w:rPr>
                <w:rFonts w:ascii="Arial" w:hAnsi="Arial" w:cs="Angsana New"/>
                <w:bCs/>
                <w:sz w:val="16"/>
                <w:lang w:val="en-GB" w:bidi="th-TH"/>
              </w:rPr>
            </w:pPr>
          </w:p>
        </w:tc>
        <w:tc>
          <w:tcPr>
            <w:tcW w:w="2530" w:type="dxa"/>
            <w:gridSpan w:val="2"/>
            <w:noWrap/>
            <w:vAlign w:val="center"/>
          </w:tcPr>
          <w:p w14:paraId="71304DD3" w14:textId="77777777" w:rsidR="00E20038" w:rsidRPr="00E20038" w:rsidRDefault="00E20038" w:rsidP="00E20038">
            <w:pPr>
              <w:jc w:val="center"/>
              <w:rPr>
                <w:rFonts w:ascii="Arial" w:hAnsi="Arial" w:cs="Angsana New"/>
                <w:bCs/>
                <w:sz w:val="16"/>
                <w:lang w:val="en-GB" w:bidi="th-TH"/>
              </w:rPr>
            </w:pPr>
          </w:p>
        </w:tc>
        <w:tc>
          <w:tcPr>
            <w:tcW w:w="1470" w:type="dxa"/>
            <w:gridSpan w:val="2"/>
            <w:noWrap/>
            <w:vAlign w:val="center"/>
          </w:tcPr>
          <w:p w14:paraId="652680B3"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11244658" w14:textId="77777777" w:rsidR="00E20038" w:rsidRPr="00E20038" w:rsidRDefault="00E20038" w:rsidP="00E20038">
            <w:pPr>
              <w:jc w:val="center"/>
              <w:rPr>
                <w:rFonts w:ascii="Arial" w:hAnsi="Arial" w:cs="Angsana New"/>
                <w:bCs/>
                <w:sz w:val="16"/>
                <w:lang w:val="en-GB" w:bidi="th-TH"/>
              </w:rPr>
            </w:pPr>
          </w:p>
        </w:tc>
      </w:tr>
      <w:tr w:rsidR="00E20038" w:rsidRPr="00E20038" w14:paraId="19920779" w14:textId="77777777" w:rsidTr="00E20038">
        <w:tc>
          <w:tcPr>
            <w:tcW w:w="2680" w:type="dxa"/>
            <w:vAlign w:val="center"/>
          </w:tcPr>
          <w:p w14:paraId="45825001" w14:textId="77777777" w:rsidR="00E20038" w:rsidRPr="00E20038" w:rsidRDefault="00E20038" w:rsidP="00E20038">
            <w:pPr>
              <w:ind w:left="207"/>
              <w:rPr>
                <w:rFonts w:ascii="Arial" w:hAnsi="Arial" w:cs="Angsana New"/>
                <w:bCs/>
                <w:sz w:val="16"/>
                <w:lang w:val="en-GB" w:bidi="th-TH"/>
              </w:rPr>
            </w:pPr>
            <w:smartTag w:uri="urn:schemas-microsoft-com:office:smarttags" w:element="place">
              <w:smartTag w:uri="urn:schemas-microsoft-com:office:smarttags" w:element="City">
                <w:r w:rsidRPr="00E20038">
                  <w:rPr>
                    <w:rFonts w:ascii="Arial" w:hAnsi="Arial" w:cs="Angsana New"/>
                    <w:bCs/>
                    <w:sz w:val="16"/>
                    <w:lang w:val="en-GB" w:bidi="th-TH"/>
                  </w:rPr>
                  <w:t>Shantou</w:t>
                </w:r>
              </w:smartTag>
            </w:smartTag>
          </w:p>
        </w:tc>
        <w:tc>
          <w:tcPr>
            <w:tcW w:w="1000" w:type="dxa"/>
            <w:gridSpan w:val="3"/>
            <w:noWrap/>
            <w:vAlign w:val="center"/>
          </w:tcPr>
          <w:p w14:paraId="334410E1"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1,435</w:t>
            </w:r>
          </w:p>
        </w:tc>
        <w:tc>
          <w:tcPr>
            <w:tcW w:w="2530" w:type="dxa"/>
            <w:gridSpan w:val="2"/>
            <w:noWrap/>
            <w:vAlign w:val="center"/>
          </w:tcPr>
          <w:p w14:paraId="55484B66"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Municipal level nature reserve</w:t>
            </w:r>
          </w:p>
        </w:tc>
        <w:tc>
          <w:tcPr>
            <w:tcW w:w="1470" w:type="dxa"/>
            <w:gridSpan w:val="2"/>
            <w:noWrap/>
            <w:vAlign w:val="center"/>
          </w:tcPr>
          <w:p w14:paraId="518162B8"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900" w:type="dxa"/>
            <w:noWrap/>
            <w:vAlign w:val="center"/>
          </w:tcPr>
          <w:p w14:paraId="6BB4FE70"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2A9D6D39" w14:textId="77777777" w:rsidTr="00E20038">
        <w:tc>
          <w:tcPr>
            <w:tcW w:w="2680" w:type="dxa"/>
            <w:vAlign w:val="center"/>
          </w:tcPr>
          <w:p w14:paraId="12357F4E"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Hepu</w:t>
            </w:r>
          </w:p>
        </w:tc>
        <w:tc>
          <w:tcPr>
            <w:tcW w:w="1000" w:type="dxa"/>
            <w:gridSpan w:val="3"/>
            <w:noWrap/>
            <w:vAlign w:val="center"/>
          </w:tcPr>
          <w:p w14:paraId="29619EB7"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3,951</w:t>
            </w:r>
          </w:p>
        </w:tc>
        <w:tc>
          <w:tcPr>
            <w:tcW w:w="2530" w:type="dxa"/>
            <w:gridSpan w:val="2"/>
            <w:noWrap/>
            <w:vAlign w:val="center"/>
          </w:tcPr>
          <w:p w14:paraId="2112A1FB"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Municipal level nature reserve</w:t>
            </w:r>
          </w:p>
        </w:tc>
        <w:tc>
          <w:tcPr>
            <w:tcW w:w="1470" w:type="dxa"/>
            <w:gridSpan w:val="2"/>
            <w:noWrap/>
            <w:vAlign w:val="center"/>
          </w:tcPr>
          <w:p w14:paraId="62DCE94E"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900" w:type="dxa"/>
            <w:noWrap/>
            <w:vAlign w:val="center"/>
          </w:tcPr>
          <w:p w14:paraId="4FEF4E58"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7D16EF1B" w14:textId="77777777" w:rsidTr="00E20038">
        <w:tc>
          <w:tcPr>
            <w:tcW w:w="2680" w:type="dxa"/>
            <w:vAlign w:val="center"/>
          </w:tcPr>
          <w:p w14:paraId="7473E2B8"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Danzhou</w:t>
            </w:r>
          </w:p>
        </w:tc>
        <w:tc>
          <w:tcPr>
            <w:tcW w:w="1000" w:type="dxa"/>
            <w:gridSpan w:val="3"/>
            <w:noWrap/>
            <w:vAlign w:val="center"/>
          </w:tcPr>
          <w:p w14:paraId="1CCDA3D5"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806</w:t>
            </w:r>
          </w:p>
        </w:tc>
        <w:tc>
          <w:tcPr>
            <w:tcW w:w="2530" w:type="dxa"/>
            <w:gridSpan w:val="2"/>
            <w:noWrap/>
            <w:vAlign w:val="center"/>
          </w:tcPr>
          <w:p w14:paraId="1812E6F1"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Provincial level nature reverse</w:t>
            </w:r>
          </w:p>
        </w:tc>
        <w:tc>
          <w:tcPr>
            <w:tcW w:w="1470" w:type="dxa"/>
            <w:gridSpan w:val="2"/>
            <w:noWrap/>
            <w:vAlign w:val="center"/>
          </w:tcPr>
          <w:p w14:paraId="283266BF"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900" w:type="dxa"/>
            <w:noWrap/>
            <w:vAlign w:val="center"/>
          </w:tcPr>
          <w:p w14:paraId="309C73E5"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5DE9769D" w14:textId="77777777" w:rsidTr="00E20038">
        <w:tc>
          <w:tcPr>
            <w:tcW w:w="2680" w:type="dxa"/>
            <w:vAlign w:val="center"/>
          </w:tcPr>
          <w:p w14:paraId="73DFD39E"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Indonesia</w:t>
                </w:r>
              </w:smartTag>
            </w:smartTag>
          </w:p>
        </w:tc>
        <w:tc>
          <w:tcPr>
            <w:tcW w:w="1000" w:type="dxa"/>
            <w:gridSpan w:val="3"/>
            <w:noWrap/>
            <w:vAlign w:val="center"/>
          </w:tcPr>
          <w:p w14:paraId="6CC65B7E" w14:textId="77777777" w:rsidR="00E20038" w:rsidRPr="00E20038" w:rsidRDefault="00E20038" w:rsidP="00E20038">
            <w:pPr>
              <w:rPr>
                <w:rFonts w:ascii="Arial" w:hAnsi="Arial" w:cs="Angsana New"/>
                <w:bCs/>
                <w:sz w:val="16"/>
                <w:lang w:val="en-GB" w:bidi="th-TH"/>
              </w:rPr>
            </w:pPr>
          </w:p>
        </w:tc>
        <w:tc>
          <w:tcPr>
            <w:tcW w:w="2530" w:type="dxa"/>
            <w:gridSpan w:val="2"/>
            <w:noWrap/>
            <w:vAlign w:val="center"/>
          </w:tcPr>
          <w:p w14:paraId="10B0DDCC" w14:textId="77777777" w:rsidR="00E20038" w:rsidRPr="00E20038" w:rsidRDefault="00E20038" w:rsidP="00E20038">
            <w:pPr>
              <w:jc w:val="center"/>
              <w:rPr>
                <w:rFonts w:ascii="Arial" w:hAnsi="Arial" w:cs="Angsana New"/>
                <w:bCs/>
                <w:sz w:val="16"/>
                <w:lang w:val="en-GB" w:bidi="th-TH"/>
              </w:rPr>
            </w:pPr>
          </w:p>
        </w:tc>
        <w:tc>
          <w:tcPr>
            <w:tcW w:w="1470" w:type="dxa"/>
            <w:gridSpan w:val="2"/>
            <w:noWrap/>
            <w:vAlign w:val="center"/>
          </w:tcPr>
          <w:p w14:paraId="6C3999AC"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78C94F05" w14:textId="77777777" w:rsidR="00E20038" w:rsidRPr="00E20038" w:rsidRDefault="00E20038" w:rsidP="00E20038">
            <w:pPr>
              <w:jc w:val="center"/>
              <w:rPr>
                <w:rFonts w:ascii="Arial" w:hAnsi="Arial" w:cs="Angsana New"/>
                <w:bCs/>
                <w:sz w:val="16"/>
                <w:lang w:val="en-GB" w:bidi="th-TH"/>
              </w:rPr>
            </w:pPr>
          </w:p>
        </w:tc>
      </w:tr>
      <w:tr w:rsidR="00E20038" w:rsidRPr="00E20038" w14:paraId="2269165A" w14:textId="77777777" w:rsidTr="00E20038">
        <w:tc>
          <w:tcPr>
            <w:tcW w:w="2680" w:type="dxa"/>
            <w:vAlign w:val="center"/>
          </w:tcPr>
          <w:p w14:paraId="6078525B"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CA Pulau Burung</w:t>
            </w:r>
          </w:p>
        </w:tc>
        <w:tc>
          <w:tcPr>
            <w:tcW w:w="1000" w:type="dxa"/>
            <w:gridSpan w:val="3"/>
            <w:noWrap/>
            <w:vAlign w:val="center"/>
          </w:tcPr>
          <w:p w14:paraId="02FC476D"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200</w:t>
            </w:r>
          </w:p>
        </w:tc>
        <w:tc>
          <w:tcPr>
            <w:tcW w:w="2530" w:type="dxa"/>
            <w:gridSpan w:val="2"/>
            <w:noWrap/>
            <w:vAlign w:val="center"/>
          </w:tcPr>
          <w:p w14:paraId="234CD653"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yes</w:t>
            </w:r>
          </w:p>
        </w:tc>
        <w:tc>
          <w:tcPr>
            <w:tcW w:w="1470" w:type="dxa"/>
            <w:gridSpan w:val="2"/>
            <w:noWrap/>
            <w:vAlign w:val="center"/>
          </w:tcPr>
          <w:p w14:paraId="55C6EAB2"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4B269684" w14:textId="77777777" w:rsidR="00E20038" w:rsidRPr="00E20038" w:rsidRDefault="00E20038" w:rsidP="00E20038">
            <w:pPr>
              <w:jc w:val="center"/>
              <w:rPr>
                <w:rFonts w:ascii="Arial" w:hAnsi="Arial" w:cs="Angsana New"/>
                <w:bCs/>
                <w:sz w:val="16"/>
                <w:lang w:val="en-GB" w:bidi="th-TH"/>
              </w:rPr>
            </w:pPr>
          </w:p>
        </w:tc>
      </w:tr>
      <w:tr w:rsidR="00E20038" w:rsidRPr="00E20038" w14:paraId="262C7F9C" w14:textId="77777777" w:rsidTr="00E20038">
        <w:tc>
          <w:tcPr>
            <w:tcW w:w="2680" w:type="dxa"/>
            <w:vAlign w:val="center"/>
          </w:tcPr>
          <w:p w14:paraId="348B50B7"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Tanjung Datuk</w:t>
            </w:r>
          </w:p>
        </w:tc>
        <w:tc>
          <w:tcPr>
            <w:tcW w:w="1000" w:type="dxa"/>
            <w:gridSpan w:val="3"/>
            <w:noWrap/>
            <w:vAlign w:val="center"/>
          </w:tcPr>
          <w:p w14:paraId="5FA44409"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25,000</w:t>
            </w:r>
          </w:p>
        </w:tc>
        <w:tc>
          <w:tcPr>
            <w:tcW w:w="2530" w:type="dxa"/>
            <w:gridSpan w:val="2"/>
            <w:noWrap/>
            <w:vAlign w:val="center"/>
          </w:tcPr>
          <w:p w14:paraId="3BD2F904"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w:t>
            </w:r>
          </w:p>
        </w:tc>
        <w:tc>
          <w:tcPr>
            <w:tcW w:w="1470" w:type="dxa"/>
            <w:gridSpan w:val="2"/>
            <w:noWrap/>
            <w:vAlign w:val="center"/>
          </w:tcPr>
          <w:p w14:paraId="27A7EFF0"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70AC89B9" w14:textId="77777777" w:rsidR="00E20038" w:rsidRPr="00E20038" w:rsidRDefault="00E20038" w:rsidP="00E20038">
            <w:pPr>
              <w:jc w:val="center"/>
              <w:rPr>
                <w:rFonts w:ascii="Arial" w:hAnsi="Arial" w:cs="Angsana New"/>
                <w:bCs/>
                <w:sz w:val="16"/>
                <w:lang w:val="en-GB" w:bidi="th-TH"/>
              </w:rPr>
            </w:pPr>
          </w:p>
        </w:tc>
      </w:tr>
      <w:tr w:rsidR="00E20038" w:rsidRPr="00E20038" w14:paraId="5F1FF5F3" w14:textId="77777777" w:rsidTr="00E20038">
        <w:tc>
          <w:tcPr>
            <w:tcW w:w="2680" w:type="dxa"/>
            <w:vAlign w:val="center"/>
          </w:tcPr>
          <w:p w14:paraId="142851D3"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Tanjung Jabung</w:t>
            </w:r>
          </w:p>
        </w:tc>
        <w:tc>
          <w:tcPr>
            <w:tcW w:w="1000" w:type="dxa"/>
            <w:gridSpan w:val="3"/>
            <w:noWrap/>
            <w:vAlign w:val="center"/>
          </w:tcPr>
          <w:p w14:paraId="69D7D06F"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3,000</w:t>
            </w:r>
          </w:p>
        </w:tc>
        <w:tc>
          <w:tcPr>
            <w:tcW w:w="2530" w:type="dxa"/>
            <w:gridSpan w:val="2"/>
            <w:noWrap/>
            <w:vAlign w:val="center"/>
          </w:tcPr>
          <w:p w14:paraId="176428CA"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yes</w:t>
            </w:r>
          </w:p>
        </w:tc>
        <w:tc>
          <w:tcPr>
            <w:tcW w:w="1470" w:type="dxa"/>
            <w:gridSpan w:val="2"/>
            <w:noWrap/>
            <w:vAlign w:val="center"/>
          </w:tcPr>
          <w:p w14:paraId="787D8786"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02C51E16" w14:textId="77777777" w:rsidR="00E20038" w:rsidRPr="00E20038" w:rsidRDefault="00E20038" w:rsidP="00E20038">
            <w:pPr>
              <w:jc w:val="center"/>
              <w:rPr>
                <w:rFonts w:ascii="Arial" w:hAnsi="Arial" w:cs="Angsana New"/>
                <w:bCs/>
                <w:sz w:val="16"/>
                <w:lang w:val="en-GB" w:bidi="th-TH"/>
              </w:rPr>
            </w:pPr>
          </w:p>
        </w:tc>
      </w:tr>
      <w:tr w:rsidR="00E20038" w:rsidRPr="00E20038" w14:paraId="70715939" w14:textId="77777777" w:rsidTr="00E20038">
        <w:tc>
          <w:tcPr>
            <w:tcW w:w="2680" w:type="dxa"/>
            <w:vAlign w:val="center"/>
          </w:tcPr>
          <w:p w14:paraId="682B61D0"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Paloh</w:t>
            </w:r>
          </w:p>
        </w:tc>
        <w:tc>
          <w:tcPr>
            <w:tcW w:w="1000" w:type="dxa"/>
            <w:gridSpan w:val="3"/>
            <w:noWrap/>
            <w:vAlign w:val="center"/>
          </w:tcPr>
          <w:p w14:paraId="6354670A"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176,548</w:t>
            </w:r>
          </w:p>
        </w:tc>
        <w:tc>
          <w:tcPr>
            <w:tcW w:w="2530" w:type="dxa"/>
            <w:gridSpan w:val="2"/>
            <w:noWrap/>
            <w:vAlign w:val="center"/>
          </w:tcPr>
          <w:p w14:paraId="3801DBDA"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yes</w:t>
            </w:r>
          </w:p>
        </w:tc>
        <w:tc>
          <w:tcPr>
            <w:tcW w:w="1470" w:type="dxa"/>
            <w:gridSpan w:val="2"/>
            <w:noWrap/>
            <w:vAlign w:val="center"/>
          </w:tcPr>
          <w:p w14:paraId="3A5BFF48"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765D32C3" w14:textId="77777777" w:rsidR="00E20038" w:rsidRPr="00E20038" w:rsidRDefault="00E20038" w:rsidP="00E20038">
            <w:pPr>
              <w:jc w:val="center"/>
              <w:rPr>
                <w:rFonts w:ascii="Arial" w:hAnsi="Arial" w:cs="Angsana New"/>
                <w:bCs/>
                <w:sz w:val="16"/>
                <w:lang w:val="en-GB" w:bidi="th-TH"/>
              </w:rPr>
            </w:pPr>
          </w:p>
        </w:tc>
      </w:tr>
      <w:tr w:rsidR="00E20038" w:rsidRPr="00E20038" w14:paraId="0E8A9FC1" w14:textId="77777777" w:rsidTr="00E20038">
        <w:tc>
          <w:tcPr>
            <w:tcW w:w="2680" w:type="dxa"/>
            <w:vAlign w:val="center"/>
          </w:tcPr>
          <w:p w14:paraId="4778DF9C"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Muara Kendawangan</w:t>
            </w:r>
          </w:p>
        </w:tc>
        <w:tc>
          <w:tcPr>
            <w:tcW w:w="1000" w:type="dxa"/>
            <w:gridSpan w:val="3"/>
            <w:noWrap/>
            <w:vAlign w:val="center"/>
          </w:tcPr>
          <w:p w14:paraId="03273FEA"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150,000</w:t>
            </w:r>
          </w:p>
        </w:tc>
        <w:tc>
          <w:tcPr>
            <w:tcW w:w="2530" w:type="dxa"/>
            <w:gridSpan w:val="2"/>
            <w:noWrap/>
            <w:vAlign w:val="center"/>
          </w:tcPr>
          <w:p w14:paraId="13CB9820"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yes</w:t>
            </w:r>
          </w:p>
        </w:tc>
        <w:tc>
          <w:tcPr>
            <w:tcW w:w="1470" w:type="dxa"/>
            <w:gridSpan w:val="2"/>
            <w:noWrap/>
            <w:vAlign w:val="center"/>
          </w:tcPr>
          <w:p w14:paraId="0497CC3D"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4E82E4A6" w14:textId="77777777" w:rsidR="00E20038" w:rsidRPr="00E20038" w:rsidRDefault="00E20038" w:rsidP="00E20038">
            <w:pPr>
              <w:jc w:val="center"/>
              <w:rPr>
                <w:rFonts w:ascii="Arial" w:hAnsi="Arial" w:cs="Angsana New"/>
                <w:bCs/>
                <w:sz w:val="16"/>
                <w:lang w:val="en-GB" w:bidi="th-TH"/>
              </w:rPr>
            </w:pPr>
          </w:p>
        </w:tc>
      </w:tr>
      <w:tr w:rsidR="00E20038" w:rsidRPr="00E20038" w14:paraId="7C1E5E27" w14:textId="77777777" w:rsidTr="00E20038">
        <w:tc>
          <w:tcPr>
            <w:tcW w:w="2680" w:type="dxa"/>
            <w:vAlign w:val="center"/>
          </w:tcPr>
          <w:p w14:paraId="771F74B8"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CA Pulau Dua</w:t>
            </w:r>
          </w:p>
        </w:tc>
        <w:tc>
          <w:tcPr>
            <w:tcW w:w="1000" w:type="dxa"/>
            <w:gridSpan w:val="3"/>
            <w:noWrap/>
            <w:vAlign w:val="center"/>
          </w:tcPr>
          <w:p w14:paraId="0CCDAD3C"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30</w:t>
            </w:r>
          </w:p>
        </w:tc>
        <w:tc>
          <w:tcPr>
            <w:tcW w:w="2530" w:type="dxa"/>
            <w:gridSpan w:val="2"/>
            <w:noWrap/>
            <w:vAlign w:val="center"/>
          </w:tcPr>
          <w:p w14:paraId="497B89F9"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yes</w:t>
            </w:r>
          </w:p>
        </w:tc>
        <w:tc>
          <w:tcPr>
            <w:tcW w:w="1470" w:type="dxa"/>
            <w:gridSpan w:val="2"/>
            <w:noWrap/>
            <w:vAlign w:val="center"/>
          </w:tcPr>
          <w:p w14:paraId="2368F19F"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0C0A2447" w14:textId="77777777" w:rsidR="00E20038" w:rsidRPr="00E20038" w:rsidRDefault="00E20038" w:rsidP="00E20038">
            <w:pPr>
              <w:jc w:val="center"/>
              <w:rPr>
                <w:rFonts w:ascii="Arial" w:hAnsi="Arial" w:cs="Angsana New"/>
                <w:bCs/>
                <w:sz w:val="16"/>
                <w:lang w:val="en-GB" w:bidi="th-TH"/>
              </w:rPr>
            </w:pPr>
          </w:p>
        </w:tc>
      </w:tr>
      <w:tr w:rsidR="00E20038" w:rsidRPr="00E20038" w14:paraId="1C40EE32" w14:textId="77777777" w:rsidTr="00E20038">
        <w:tc>
          <w:tcPr>
            <w:tcW w:w="2680" w:type="dxa"/>
            <w:vAlign w:val="center"/>
          </w:tcPr>
          <w:p w14:paraId="340EFE5F"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Pualu Rambut</w:t>
            </w:r>
          </w:p>
        </w:tc>
        <w:tc>
          <w:tcPr>
            <w:tcW w:w="1000" w:type="dxa"/>
            <w:gridSpan w:val="3"/>
            <w:noWrap/>
            <w:vAlign w:val="center"/>
          </w:tcPr>
          <w:p w14:paraId="3E415442"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46</w:t>
            </w:r>
          </w:p>
        </w:tc>
        <w:tc>
          <w:tcPr>
            <w:tcW w:w="2530" w:type="dxa"/>
            <w:gridSpan w:val="2"/>
            <w:noWrap/>
            <w:vAlign w:val="center"/>
          </w:tcPr>
          <w:p w14:paraId="6B4A4855"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yes</w:t>
            </w:r>
          </w:p>
        </w:tc>
        <w:tc>
          <w:tcPr>
            <w:tcW w:w="1470" w:type="dxa"/>
            <w:gridSpan w:val="2"/>
            <w:noWrap/>
            <w:vAlign w:val="center"/>
          </w:tcPr>
          <w:p w14:paraId="1BC5D559"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0F96838A" w14:textId="77777777" w:rsidR="00E20038" w:rsidRPr="00E20038" w:rsidRDefault="00E20038" w:rsidP="00E20038">
            <w:pPr>
              <w:jc w:val="center"/>
              <w:rPr>
                <w:rFonts w:ascii="Arial" w:hAnsi="Arial" w:cs="Angsana New"/>
                <w:bCs/>
                <w:sz w:val="16"/>
                <w:lang w:val="en-GB" w:bidi="th-TH"/>
              </w:rPr>
            </w:pPr>
          </w:p>
        </w:tc>
      </w:tr>
      <w:tr w:rsidR="00E20038" w:rsidRPr="00E20038" w14:paraId="1B62B672" w14:textId="77777777" w:rsidTr="00E20038">
        <w:tc>
          <w:tcPr>
            <w:tcW w:w="2680" w:type="dxa"/>
            <w:vAlign w:val="center"/>
          </w:tcPr>
          <w:p w14:paraId="01FEBC53"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Muara Angke</w:t>
            </w:r>
          </w:p>
        </w:tc>
        <w:tc>
          <w:tcPr>
            <w:tcW w:w="1000" w:type="dxa"/>
            <w:gridSpan w:val="3"/>
            <w:noWrap/>
            <w:vAlign w:val="center"/>
          </w:tcPr>
          <w:p w14:paraId="248B6C8F"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25</w:t>
            </w:r>
          </w:p>
        </w:tc>
        <w:tc>
          <w:tcPr>
            <w:tcW w:w="2530" w:type="dxa"/>
            <w:gridSpan w:val="2"/>
            <w:noWrap/>
            <w:vAlign w:val="center"/>
          </w:tcPr>
          <w:p w14:paraId="13D06A78"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yes</w:t>
            </w:r>
          </w:p>
        </w:tc>
        <w:tc>
          <w:tcPr>
            <w:tcW w:w="1470" w:type="dxa"/>
            <w:gridSpan w:val="2"/>
            <w:noWrap/>
            <w:vAlign w:val="center"/>
          </w:tcPr>
          <w:p w14:paraId="3D9130C5"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0608D1BB" w14:textId="77777777" w:rsidR="00E20038" w:rsidRPr="00E20038" w:rsidRDefault="00E20038" w:rsidP="00E20038">
            <w:pPr>
              <w:jc w:val="center"/>
              <w:rPr>
                <w:rFonts w:ascii="Arial" w:hAnsi="Arial" w:cs="Angsana New"/>
                <w:bCs/>
                <w:sz w:val="16"/>
                <w:lang w:val="en-GB" w:bidi="th-TH"/>
              </w:rPr>
            </w:pPr>
          </w:p>
        </w:tc>
      </w:tr>
      <w:tr w:rsidR="00E20038" w:rsidRPr="00E20038" w14:paraId="0390398F" w14:textId="77777777" w:rsidTr="00E20038">
        <w:tc>
          <w:tcPr>
            <w:tcW w:w="2680" w:type="dxa"/>
            <w:vAlign w:val="center"/>
          </w:tcPr>
          <w:p w14:paraId="34FE0024" w14:textId="77777777" w:rsidR="00E20038" w:rsidRPr="00E20038" w:rsidRDefault="00E20038" w:rsidP="00E20038">
            <w:pPr>
              <w:ind w:left="207"/>
              <w:rPr>
                <w:rFonts w:ascii="Arial" w:hAnsi="Arial" w:cs="Angsana New"/>
                <w:bCs/>
                <w:sz w:val="16"/>
                <w:lang w:val="en-GB" w:bidi="th-TH"/>
              </w:rPr>
            </w:pPr>
            <w:r w:rsidRPr="00E20038">
              <w:rPr>
                <w:rFonts w:ascii="Arial" w:hAnsi="Arial" w:cs="Angsana New"/>
                <w:bCs/>
                <w:sz w:val="16"/>
                <w:lang w:val="en-GB" w:bidi="th-TH"/>
              </w:rPr>
              <w:t>CA Muara Gembong</w:t>
            </w:r>
          </w:p>
        </w:tc>
        <w:tc>
          <w:tcPr>
            <w:tcW w:w="1000" w:type="dxa"/>
            <w:gridSpan w:val="3"/>
            <w:noWrap/>
            <w:vAlign w:val="center"/>
          </w:tcPr>
          <w:p w14:paraId="0F583EEC"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10,481</w:t>
            </w:r>
          </w:p>
        </w:tc>
        <w:tc>
          <w:tcPr>
            <w:tcW w:w="2530" w:type="dxa"/>
            <w:gridSpan w:val="2"/>
            <w:noWrap/>
            <w:vAlign w:val="center"/>
          </w:tcPr>
          <w:p w14:paraId="47728F0B"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yes</w:t>
            </w:r>
          </w:p>
        </w:tc>
        <w:tc>
          <w:tcPr>
            <w:tcW w:w="1470" w:type="dxa"/>
            <w:gridSpan w:val="2"/>
            <w:noWrap/>
            <w:vAlign w:val="center"/>
          </w:tcPr>
          <w:p w14:paraId="10E67264"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73BF0E30" w14:textId="77777777" w:rsidR="00E20038" w:rsidRPr="00E20038" w:rsidRDefault="00E20038" w:rsidP="00E20038">
            <w:pPr>
              <w:jc w:val="center"/>
              <w:rPr>
                <w:rFonts w:ascii="Arial" w:hAnsi="Arial" w:cs="Angsana New"/>
                <w:bCs/>
                <w:sz w:val="16"/>
                <w:lang w:val="en-GB" w:bidi="th-TH"/>
              </w:rPr>
            </w:pPr>
          </w:p>
        </w:tc>
      </w:tr>
      <w:tr w:rsidR="00E20038" w:rsidRPr="00E20038" w14:paraId="0C7C6D22" w14:textId="77777777" w:rsidTr="00E20038">
        <w:tc>
          <w:tcPr>
            <w:tcW w:w="2680" w:type="dxa"/>
            <w:vAlign w:val="center"/>
          </w:tcPr>
          <w:p w14:paraId="4EFCC8A3"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Philippines</w:t>
                </w:r>
              </w:smartTag>
            </w:smartTag>
          </w:p>
        </w:tc>
        <w:tc>
          <w:tcPr>
            <w:tcW w:w="1000" w:type="dxa"/>
            <w:gridSpan w:val="3"/>
            <w:noWrap/>
            <w:vAlign w:val="center"/>
          </w:tcPr>
          <w:p w14:paraId="52A9FD11" w14:textId="77777777" w:rsidR="00E20038" w:rsidRPr="00E20038" w:rsidRDefault="00E20038" w:rsidP="00E20038">
            <w:pPr>
              <w:rPr>
                <w:rFonts w:ascii="Arial" w:hAnsi="Arial" w:cs="Angsana New"/>
                <w:bCs/>
                <w:sz w:val="16"/>
                <w:lang w:val="en-GB" w:bidi="th-TH"/>
              </w:rPr>
            </w:pPr>
          </w:p>
        </w:tc>
        <w:tc>
          <w:tcPr>
            <w:tcW w:w="2530" w:type="dxa"/>
            <w:gridSpan w:val="2"/>
            <w:noWrap/>
            <w:vAlign w:val="center"/>
          </w:tcPr>
          <w:p w14:paraId="5E5E4593" w14:textId="77777777" w:rsidR="00E20038" w:rsidRPr="00E20038" w:rsidRDefault="00E20038" w:rsidP="00E20038">
            <w:pPr>
              <w:jc w:val="center"/>
              <w:rPr>
                <w:rFonts w:ascii="Arial" w:hAnsi="Arial" w:cs="Angsana New"/>
                <w:bCs/>
                <w:sz w:val="16"/>
                <w:lang w:val="en-GB" w:bidi="th-TH"/>
              </w:rPr>
            </w:pPr>
          </w:p>
        </w:tc>
        <w:tc>
          <w:tcPr>
            <w:tcW w:w="1470" w:type="dxa"/>
            <w:gridSpan w:val="2"/>
            <w:noWrap/>
            <w:vAlign w:val="center"/>
          </w:tcPr>
          <w:p w14:paraId="619FEE6B"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4F8A6CCA" w14:textId="77777777" w:rsidR="00E20038" w:rsidRPr="00E20038" w:rsidRDefault="00E20038" w:rsidP="00E20038">
            <w:pPr>
              <w:jc w:val="center"/>
              <w:rPr>
                <w:rFonts w:ascii="Arial" w:hAnsi="Arial" w:cs="Angsana New"/>
                <w:bCs/>
                <w:sz w:val="16"/>
                <w:lang w:val="en-GB" w:bidi="th-TH"/>
              </w:rPr>
            </w:pPr>
          </w:p>
        </w:tc>
      </w:tr>
      <w:tr w:rsidR="00E20038" w:rsidRPr="00E20038" w14:paraId="2712A5BB" w14:textId="77777777" w:rsidTr="00E20038">
        <w:tc>
          <w:tcPr>
            <w:tcW w:w="2680" w:type="dxa"/>
            <w:vAlign w:val="center"/>
          </w:tcPr>
          <w:p w14:paraId="1C736C79" w14:textId="77777777" w:rsidR="00E20038" w:rsidRPr="00E20038" w:rsidRDefault="00E20038" w:rsidP="00E20038">
            <w:pPr>
              <w:ind w:left="108"/>
              <w:rPr>
                <w:rFonts w:ascii="Arial" w:hAnsi="Arial" w:cs="Angsana New"/>
                <w:sz w:val="16"/>
                <w:lang w:val="en-GB"/>
              </w:rPr>
            </w:pPr>
            <w:r w:rsidRPr="00E20038">
              <w:rPr>
                <w:rFonts w:ascii="Arial" w:hAnsi="Arial" w:cs="Angsana New"/>
                <w:sz w:val="16"/>
                <w:lang w:val="en-GB"/>
              </w:rPr>
              <w:t>Balayan Bay Tidal flats</w:t>
            </w:r>
          </w:p>
        </w:tc>
        <w:tc>
          <w:tcPr>
            <w:tcW w:w="1000" w:type="dxa"/>
            <w:gridSpan w:val="3"/>
            <w:noWrap/>
            <w:vAlign w:val="center"/>
          </w:tcPr>
          <w:p w14:paraId="13151D80"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75,000</w:t>
            </w:r>
          </w:p>
        </w:tc>
        <w:tc>
          <w:tcPr>
            <w:tcW w:w="2530" w:type="dxa"/>
            <w:gridSpan w:val="2"/>
            <w:noWrap/>
            <w:vAlign w:val="center"/>
          </w:tcPr>
          <w:p w14:paraId="2C196C2D"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470" w:type="dxa"/>
            <w:gridSpan w:val="2"/>
            <w:noWrap/>
            <w:vAlign w:val="center"/>
          </w:tcPr>
          <w:p w14:paraId="6657C86C"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c>
          <w:tcPr>
            <w:tcW w:w="1900" w:type="dxa"/>
            <w:noWrap/>
            <w:vAlign w:val="center"/>
          </w:tcPr>
          <w:p w14:paraId="50B0BB6A"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0A06C85B" w14:textId="77777777" w:rsidTr="00E20038">
        <w:tc>
          <w:tcPr>
            <w:tcW w:w="2680" w:type="dxa"/>
            <w:vAlign w:val="center"/>
          </w:tcPr>
          <w:p w14:paraId="116CB0B5" w14:textId="77777777" w:rsidR="00E20038" w:rsidRPr="00E20038" w:rsidRDefault="00E20038" w:rsidP="00E20038">
            <w:pPr>
              <w:ind w:left="108"/>
              <w:rPr>
                <w:rFonts w:ascii="Arial" w:hAnsi="Arial" w:cs="Angsana New"/>
                <w:sz w:val="16"/>
                <w:lang w:val="en-GB"/>
              </w:rPr>
            </w:pPr>
            <w:r w:rsidRPr="00E20038">
              <w:rPr>
                <w:rFonts w:ascii="Arial" w:hAnsi="Arial" w:cs="Angsana New"/>
                <w:sz w:val="16"/>
                <w:lang w:val="en-GB"/>
              </w:rPr>
              <w:t>Manila Bay Tidal Flat</w:t>
            </w:r>
          </w:p>
        </w:tc>
        <w:tc>
          <w:tcPr>
            <w:tcW w:w="1000" w:type="dxa"/>
            <w:gridSpan w:val="3"/>
            <w:noWrap/>
            <w:vAlign w:val="center"/>
          </w:tcPr>
          <w:p w14:paraId="11C3C4F5"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30,000</w:t>
            </w:r>
          </w:p>
        </w:tc>
        <w:tc>
          <w:tcPr>
            <w:tcW w:w="2530" w:type="dxa"/>
            <w:gridSpan w:val="2"/>
            <w:noWrap/>
            <w:vAlign w:val="center"/>
          </w:tcPr>
          <w:p w14:paraId="1E679D22"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470" w:type="dxa"/>
            <w:gridSpan w:val="2"/>
            <w:noWrap/>
            <w:vAlign w:val="center"/>
          </w:tcPr>
          <w:p w14:paraId="0803E8B0"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c>
          <w:tcPr>
            <w:tcW w:w="1900" w:type="dxa"/>
            <w:noWrap/>
            <w:vAlign w:val="center"/>
          </w:tcPr>
          <w:p w14:paraId="1902586B"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042AC839" w14:textId="77777777" w:rsidTr="00E20038">
        <w:tc>
          <w:tcPr>
            <w:tcW w:w="2680" w:type="dxa"/>
            <w:vAlign w:val="center"/>
          </w:tcPr>
          <w:p w14:paraId="41410979" w14:textId="77777777" w:rsidR="00E20038" w:rsidRPr="00E20038" w:rsidRDefault="00E20038" w:rsidP="00E20038">
            <w:pPr>
              <w:ind w:left="108"/>
              <w:rPr>
                <w:rFonts w:ascii="Arial" w:hAnsi="Arial" w:cs="Angsana New"/>
                <w:sz w:val="16"/>
                <w:lang w:val="en-GB"/>
              </w:rPr>
            </w:pPr>
            <w:r w:rsidRPr="00E20038">
              <w:rPr>
                <w:rFonts w:ascii="Arial" w:hAnsi="Arial" w:cs="Angsana New"/>
                <w:sz w:val="16"/>
                <w:lang w:val="en-GB"/>
              </w:rPr>
              <w:t xml:space="preserve">El Nido, </w:t>
            </w:r>
            <w:smartTag w:uri="urn:schemas-microsoft-com:office:smarttags" w:element="place">
              <w:r w:rsidRPr="00E20038">
                <w:rPr>
                  <w:rFonts w:ascii="Arial" w:hAnsi="Arial" w:cs="Angsana New"/>
                  <w:sz w:val="16"/>
                  <w:lang w:val="en-GB"/>
                </w:rPr>
                <w:t>Palawan</w:t>
              </w:r>
            </w:smartTag>
            <w:r w:rsidRPr="00E20038">
              <w:rPr>
                <w:rFonts w:ascii="Arial" w:hAnsi="Arial" w:cs="Angsana New"/>
                <w:sz w:val="16"/>
                <w:lang w:val="en-GB"/>
              </w:rPr>
              <w:t xml:space="preserve"> mudflats</w:t>
            </w:r>
          </w:p>
        </w:tc>
        <w:tc>
          <w:tcPr>
            <w:tcW w:w="1000" w:type="dxa"/>
            <w:gridSpan w:val="3"/>
            <w:noWrap/>
            <w:vAlign w:val="center"/>
          </w:tcPr>
          <w:p w14:paraId="77154C8F"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54,303</w:t>
            </w:r>
          </w:p>
        </w:tc>
        <w:tc>
          <w:tcPr>
            <w:tcW w:w="2530" w:type="dxa"/>
            <w:gridSpan w:val="2"/>
            <w:noWrap/>
            <w:vAlign w:val="center"/>
          </w:tcPr>
          <w:p w14:paraId="0726EF7B"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Protected Seascape</w:t>
            </w:r>
          </w:p>
        </w:tc>
        <w:tc>
          <w:tcPr>
            <w:tcW w:w="1470" w:type="dxa"/>
            <w:gridSpan w:val="2"/>
            <w:noWrap/>
            <w:vAlign w:val="center"/>
          </w:tcPr>
          <w:p w14:paraId="7BBDF9F4"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900" w:type="dxa"/>
            <w:noWrap/>
            <w:vAlign w:val="center"/>
          </w:tcPr>
          <w:p w14:paraId="422AEF4A"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4A4CCEDB" w14:textId="77777777" w:rsidTr="00E20038">
        <w:tc>
          <w:tcPr>
            <w:tcW w:w="2680" w:type="dxa"/>
            <w:vAlign w:val="center"/>
          </w:tcPr>
          <w:p w14:paraId="784FDA1E"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Thailand</w:t>
                </w:r>
              </w:smartTag>
            </w:smartTag>
          </w:p>
        </w:tc>
        <w:tc>
          <w:tcPr>
            <w:tcW w:w="1000" w:type="dxa"/>
            <w:gridSpan w:val="3"/>
            <w:noWrap/>
            <w:vAlign w:val="center"/>
          </w:tcPr>
          <w:p w14:paraId="2A6F9F92"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 </w:t>
            </w:r>
          </w:p>
        </w:tc>
        <w:tc>
          <w:tcPr>
            <w:tcW w:w="2530" w:type="dxa"/>
            <w:gridSpan w:val="2"/>
            <w:noWrap/>
            <w:vAlign w:val="center"/>
          </w:tcPr>
          <w:p w14:paraId="17496275" w14:textId="77777777" w:rsidR="00E20038" w:rsidRPr="00E20038" w:rsidRDefault="00E20038" w:rsidP="00E20038">
            <w:pPr>
              <w:jc w:val="center"/>
              <w:rPr>
                <w:rFonts w:ascii="Arial" w:hAnsi="Arial" w:cs="Angsana New"/>
                <w:bCs/>
                <w:sz w:val="16"/>
                <w:lang w:val="en-GB" w:bidi="th-TH"/>
              </w:rPr>
            </w:pPr>
          </w:p>
        </w:tc>
        <w:tc>
          <w:tcPr>
            <w:tcW w:w="1470" w:type="dxa"/>
            <w:gridSpan w:val="2"/>
            <w:noWrap/>
            <w:vAlign w:val="center"/>
          </w:tcPr>
          <w:p w14:paraId="7552E1BE"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07AB1B8E" w14:textId="77777777" w:rsidR="00E20038" w:rsidRPr="00E20038" w:rsidRDefault="00E20038" w:rsidP="00E20038">
            <w:pPr>
              <w:jc w:val="center"/>
              <w:rPr>
                <w:rFonts w:ascii="Arial" w:hAnsi="Arial" w:cs="Angsana New"/>
                <w:bCs/>
                <w:sz w:val="16"/>
                <w:lang w:val="en-GB" w:bidi="th-TH"/>
              </w:rPr>
            </w:pPr>
          </w:p>
        </w:tc>
      </w:tr>
      <w:tr w:rsidR="00E20038" w:rsidRPr="00E20038" w14:paraId="5603EA1C" w14:textId="77777777" w:rsidTr="00E20038">
        <w:tc>
          <w:tcPr>
            <w:tcW w:w="2680" w:type="dxa"/>
            <w:vAlign w:val="center"/>
          </w:tcPr>
          <w:p w14:paraId="7FA89134" w14:textId="77777777" w:rsidR="00E20038" w:rsidRPr="00E20038" w:rsidRDefault="00E20038" w:rsidP="00E20038">
            <w:pPr>
              <w:ind w:left="108"/>
              <w:rPr>
                <w:rFonts w:ascii="Arial" w:hAnsi="Arial" w:cs="Angsana New"/>
                <w:sz w:val="16"/>
                <w:lang w:val="en-GB"/>
              </w:rPr>
            </w:pPr>
            <w:r w:rsidRPr="00E20038">
              <w:rPr>
                <w:rFonts w:ascii="Arial" w:hAnsi="Arial" w:cs="Angsana New"/>
                <w:sz w:val="16"/>
                <w:lang w:val="en-GB"/>
              </w:rPr>
              <w:t>Don Hoi Lot</w:t>
            </w:r>
          </w:p>
        </w:tc>
        <w:tc>
          <w:tcPr>
            <w:tcW w:w="1000" w:type="dxa"/>
            <w:gridSpan w:val="3"/>
            <w:noWrap/>
            <w:vAlign w:val="center"/>
          </w:tcPr>
          <w:p w14:paraId="00D77C71"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2,409</w:t>
            </w:r>
          </w:p>
        </w:tc>
        <w:tc>
          <w:tcPr>
            <w:tcW w:w="2530" w:type="dxa"/>
            <w:gridSpan w:val="2"/>
            <w:noWrap/>
            <w:vAlign w:val="center"/>
          </w:tcPr>
          <w:p w14:paraId="65CDBAF6"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RAMSAR Site</w:t>
            </w:r>
          </w:p>
        </w:tc>
        <w:tc>
          <w:tcPr>
            <w:tcW w:w="1470" w:type="dxa"/>
            <w:gridSpan w:val="2"/>
            <w:noWrap/>
            <w:vAlign w:val="center"/>
          </w:tcPr>
          <w:p w14:paraId="208A6D40"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900" w:type="dxa"/>
            <w:noWrap/>
            <w:vAlign w:val="center"/>
          </w:tcPr>
          <w:p w14:paraId="798DF52E"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5163F1F3" w14:textId="77777777" w:rsidTr="00E20038">
        <w:tc>
          <w:tcPr>
            <w:tcW w:w="2680" w:type="dxa"/>
            <w:vAlign w:val="center"/>
          </w:tcPr>
          <w:p w14:paraId="6F390C83" w14:textId="77777777" w:rsidR="00E20038" w:rsidRPr="00E20038" w:rsidRDefault="00E20038" w:rsidP="00E20038">
            <w:pPr>
              <w:ind w:left="108"/>
              <w:rPr>
                <w:rFonts w:ascii="Arial" w:hAnsi="Arial" w:cs="Angsana New"/>
                <w:sz w:val="16"/>
                <w:lang w:val="en-GB"/>
              </w:rPr>
            </w:pPr>
            <w:r w:rsidRPr="00E20038">
              <w:rPr>
                <w:rFonts w:ascii="Arial" w:hAnsi="Arial" w:cs="Angsana New"/>
                <w:sz w:val="16"/>
                <w:lang w:val="en-GB"/>
              </w:rPr>
              <w:t xml:space="preserve">Wetlands in Mu </w:t>
            </w:r>
            <w:smartTag w:uri="urn:schemas-microsoft-com:office:smarttags" w:element="place">
              <w:smartTag w:uri="urn:schemas-microsoft-com:office:smarttags" w:element="PlaceName">
                <w:r w:rsidRPr="00E20038">
                  <w:rPr>
                    <w:rFonts w:ascii="Arial" w:hAnsi="Arial" w:cs="Angsana New"/>
                    <w:sz w:val="16"/>
                    <w:lang w:val="en-GB"/>
                  </w:rPr>
                  <w:t>Koh</w:t>
                </w:r>
              </w:smartTag>
              <w:r w:rsidRPr="00E20038">
                <w:rPr>
                  <w:rFonts w:ascii="Arial" w:hAnsi="Arial" w:cs="Angsana New"/>
                  <w:sz w:val="16"/>
                  <w:lang w:val="en-GB"/>
                </w:rPr>
                <w:t xml:space="preserve"> </w:t>
              </w:r>
              <w:smartTag w:uri="urn:schemas-microsoft-com:office:smarttags" w:element="PlaceName">
                <w:r w:rsidRPr="00E20038">
                  <w:rPr>
                    <w:rFonts w:ascii="Arial" w:hAnsi="Arial" w:cs="Angsana New"/>
                    <w:sz w:val="16"/>
                    <w:lang w:val="en-GB"/>
                  </w:rPr>
                  <w:t>Chang</w:t>
                </w:r>
              </w:smartTag>
              <w:r w:rsidRPr="00E20038">
                <w:rPr>
                  <w:rFonts w:ascii="Arial" w:hAnsi="Arial" w:cs="Angsana New"/>
                  <w:sz w:val="16"/>
                  <w:lang w:val="en-GB"/>
                </w:rPr>
                <w:t xml:space="preserve"> </w:t>
              </w:r>
              <w:smartTag w:uri="urn:schemas-microsoft-com:office:smarttags" w:element="PlaceType">
                <w:r w:rsidRPr="00E20038">
                  <w:rPr>
                    <w:rFonts w:ascii="Arial" w:hAnsi="Arial" w:cs="Angsana New"/>
                    <w:sz w:val="16"/>
                    <w:lang w:val="en-GB"/>
                  </w:rPr>
                  <w:t>National Park</w:t>
                </w:r>
              </w:smartTag>
            </w:smartTag>
          </w:p>
        </w:tc>
        <w:tc>
          <w:tcPr>
            <w:tcW w:w="1000" w:type="dxa"/>
            <w:gridSpan w:val="3"/>
            <w:noWrap/>
            <w:vAlign w:val="center"/>
          </w:tcPr>
          <w:p w14:paraId="7AA1DD58"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65,000</w:t>
            </w:r>
          </w:p>
        </w:tc>
        <w:tc>
          <w:tcPr>
            <w:tcW w:w="2530" w:type="dxa"/>
            <w:gridSpan w:val="2"/>
            <w:noWrap/>
            <w:vAlign w:val="center"/>
          </w:tcPr>
          <w:p w14:paraId="2EB57E91"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National Park</w:t>
            </w:r>
          </w:p>
        </w:tc>
        <w:tc>
          <w:tcPr>
            <w:tcW w:w="1470" w:type="dxa"/>
            <w:gridSpan w:val="2"/>
            <w:noWrap/>
            <w:vAlign w:val="center"/>
          </w:tcPr>
          <w:p w14:paraId="03C5556C"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900" w:type="dxa"/>
            <w:noWrap/>
            <w:vAlign w:val="center"/>
          </w:tcPr>
          <w:p w14:paraId="446AD46B"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0B3003A0" w14:textId="77777777" w:rsidTr="00E20038">
        <w:tc>
          <w:tcPr>
            <w:tcW w:w="2680" w:type="dxa"/>
            <w:vAlign w:val="center"/>
          </w:tcPr>
          <w:p w14:paraId="0245D265" w14:textId="77777777" w:rsidR="00E20038" w:rsidRPr="00E20038" w:rsidRDefault="00E20038" w:rsidP="00E20038">
            <w:pPr>
              <w:ind w:left="108"/>
              <w:rPr>
                <w:rFonts w:ascii="Arial" w:hAnsi="Arial" w:cs="Angsana New"/>
                <w:sz w:val="16"/>
                <w:lang w:val="en-GB"/>
              </w:rPr>
            </w:pPr>
            <w:r w:rsidRPr="00E20038">
              <w:rPr>
                <w:rFonts w:ascii="Arial" w:hAnsi="Arial" w:cs="Angsana New"/>
                <w:sz w:val="16"/>
                <w:lang w:val="en-GB"/>
              </w:rPr>
              <w:t xml:space="preserve">Wetlands in Mu </w:t>
            </w:r>
            <w:smartTag w:uri="urn:schemas-microsoft-com:office:smarttags" w:element="place">
              <w:smartTag w:uri="urn:schemas-microsoft-com:office:smarttags" w:element="PlaceName">
                <w:r w:rsidRPr="00E20038">
                  <w:rPr>
                    <w:rFonts w:ascii="Arial" w:hAnsi="Arial" w:cs="Angsana New"/>
                    <w:sz w:val="16"/>
                    <w:lang w:val="en-GB"/>
                  </w:rPr>
                  <w:t>Koh</w:t>
                </w:r>
              </w:smartTag>
              <w:r w:rsidRPr="00E20038">
                <w:rPr>
                  <w:rFonts w:ascii="Arial" w:hAnsi="Arial" w:cs="Angsana New"/>
                  <w:sz w:val="16"/>
                  <w:lang w:val="en-GB"/>
                </w:rPr>
                <w:t xml:space="preserve"> </w:t>
              </w:r>
              <w:smartTag w:uri="urn:schemas-microsoft-com:office:smarttags" w:element="PlaceName">
                <w:r w:rsidRPr="00E20038">
                  <w:rPr>
                    <w:rFonts w:ascii="Arial" w:hAnsi="Arial" w:cs="Angsana New"/>
                    <w:sz w:val="16"/>
                    <w:lang w:val="en-GB"/>
                  </w:rPr>
                  <w:t>Ang</w:t>
                </w:r>
              </w:smartTag>
              <w:r w:rsidRPr="00E20038">
                <w:rPr>
                  <w:rFonts w:ascii="Arial" w:hAnsi="Arial" w:cs="Angsana New"/>
                  <w:sz w:val="16"/>
                  <w:lang w:val="en-GB"/>
                </w:rPr>
                <w:t xml:space="preserve"> </w:t>
              </w:r>
              <w:smartTag w:uri="urn:schemas-microsoft-com:office:smarttags" w:element="PlaceName">
                <w:r w:rsidRPr="00E20038">
                  <w:rPr>
                    <w:rFonts w:ascii="Arial" w:hAnsi="Arial" w:cs="Angsana New"/>
                    <w:sz w:val="16"/>
                    <w:lang w:val="en-GB"/>
                  </w:rPr>
                  <w:t>Thong</w:t>
                </w:r>
              </w:smartTag>
              <w:r w:rsidRPr="00E20038">
                <w:rPr>
                  <w:rFonts w:ascii="Arial" w:hAnsi="Arial" w:cs="Angsana New"/>
                  <w:sz w:val="16"/>
                  <w:lang w:val="en-GB"/>
                </w:rPr>
                <w:t xml:space="preserve"> </w:t>
              </w:r>
              <w:smartTag w:uri="urn:schemas-microsoft-com:office:smarttags" w:element="PlaceType">
                <w:r w:rsidRPr="00E20038">
                  <w:rPr>
                    <w:rFonts w:ascii="Arial" w:hAnsi="Arial" w:cs="Angsana New"/>
                    <w:sz w:val="16"/>
                    <w:lang w:val="en-GB"/>
                  </w:rPr>
                  <w:t>National Park</w:t>
                </w:r>
              </w:smartTag>
            </w:smartTag>
          </w:p>
        </w:tc>
        <w:tc>
          <w:tcPr>
            <w:tcW w:w="1000" w:type="dxa"/>
            <w:gridSpan w:val="3"/>
            <w:noWrap/>
            <w:vAlign w:val="center"/>
          </w:tcPr>
          <w:p w14:paraId="4BA51B5F"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10,200</w:t>
            </w:r>
          </w:p>
        </w:tc>
        <w:tc>
          <w:tcPr>
            <w:tcW w:w="2530" w:type="dxa"/>
            <w:gridSpan w:val="2"/>
            <w:noWrap/>
            <w:vAlign w:val="center"/>
          </w:tcPr>
          <w:p w14:paraId="1817EB93"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 xml:space="preserve">National Park and RAMSAR Site </w:t>
            </w:r>
          </w:p>
        </w:tc>
        <w:tc>
          <w:tcPr>
            <w:tcW w:w="1470" w:type="dxa"/>
            <w:gridSpan w:val="2"/>
            <w:noWrap/>
            <w:vAlign w:val="center"/>
          </w:tcPr>
          <w:p w14:paraId="68B52BA2"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900" w:type="dxa"/>
            <w:noWrap/>
            <w:vAlign w:val="center"/>
          </w:tcPr>
          <w:p w14:paraId="0957DFC3"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61FFA103" w14:textId="77777777" w:rsidTr="00E20038">
        <w:tc>
          <w:tcPr>
            <w:tcW w:w="2680" w:type="dxa"/>
            <w:vAlign w:val="center"/>
          </w:tcPr>
          <w:p w14:paraId="4C07C50D" w14:textId="77777777" w:rsidR="00E20038" w:rsidRPr="00E20038" w:rsidRDefault="00E20038" w:rsidP="00E20038">
            <w:pPr>
              <w:rPr>
                <w:rFonts w:ascii="Arial" w:hAnsi="Arial" w:cs="Angsana New"/>
                <w:b/>
                <w:sz w:val="16"/>
                <w:lang w:val="en-GB" w:bidi="th-TH"/>
              </w:rPr>
            </w:pPr>
            <w:smartTag w:uri="urn:schemas-microsoft-com:office:smarttags" w:element="place">
              <w:smartTag w:uri="urn:schemas-microsoft-com:office:smarttags" w:element="PlaceName">
                <w:r w:rsidRPr="00E20038">
                  <w:rPr>
                    <w:rFonts w:ascii="Arial" w:hAnsi="Arial" w:cs="Angsana New"/>
                    <w:b/>
                    <w:sz w:val="16"/>
                    <w:lang w:val="en-GB" w:bidi="th-TH"/>
                  </w:rPr>
                  <w:t>Thung</w:t>
                </w:r>
              </w:smartTag>
              <w:r w:rsidRPr="00E20038">
                <w:rPr>
                  <w:rFonts w:ascii="Arial" w:hAnsi="Arial" w:cs="Angsana New"/>
                  <w:b/>
                  <w:sz w:val="16"/>
                  <w:lang w:val="en-GB" w:bidi="th-TH"/>
                </w:rPr>
                <w:t xml:space="preserve"> </w:t>
              </w:r>
              <w:smartTag w:uri="urn:schemas-microsoft-com:office:smarttags" w:element="PlaceName">
                <w:r w:rsidRPr="00E20038">
                  <w:rPr>
                    <w:rFonts w:ascii="Arial" w:hAnsi="Arial" w:cs="Angsana New"/>
                    <w:b/>
                    <w:sz w:val="16"/>
                    <w:lang w:val="en-GB" w:bidi="th-TH"/>
                  </w:rPr>
                  <w:t>Kha</w:t>
                </w:r>
              </w:smartTag>
              <w:r w:rsidRPr="00E20038">
                <w:rPr>
                  <w:rFonts w:ascii="Arial" w:hAnsi="Arial" w:cs="Angsana New"/>
                  <w:b/>
                  <w:sz w:val="16"/>
                  <w:lang w:val="en-GB" w:bidi="th-TH"/>
                </w:rPr>
                <w:t xml:space="preserve"> </w:t>
              </w:r>
              <w:smartTag w:uri="urn:schemas-microsoft-com:office:smarttags" w:element="PlaceType">
                <w:r w:rsidRPr="00E20038">
                  <w:rPr>
                    <w:rFonts w:ascii="Arial" w:hAnsi="Arial" w:cs="Angsana New"/>
                    <w:b/>
                    <w:sz w:val="16"/>
                    <w:lang w:val="en-GB" w:bidi="th-TH"/>
                  </w:rPr>
                  <w:t>Bay</w:t>
                </w:r>
              </w:smartTag>
            </w:smartTag>
            <w:r w:rsidRPr="00E20038">
              <w:rPr>
                <w:rFonts w:ascii="Arial" w:hAnsi="Arial" w:cs="Angsana New"/>
                <w:b/>
                <w:sz w:val="16"/>
                <w:lang w:val="en-GB" w:bidi="th-TH"/>
              </w:rPr>
              <w:t xml:space="preserve"> – Savi Bay</w:t>
            </w:r>
          </w:p>
        </w:tc>
        <w:tc>
          <w:tcPr>
            <w:tcW w:w="1000" w:type="dxa"/>
            <w:gridSpan w:val="3"/>
            <w:noWrap/>
            <w:vAlign w:val="center"/>
          </w:tcPr>
          <w:p w14:paraId="611F58D7"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5,204</w:t>
            </w:r>
          </w:p>
        </w:tc>
        <w:tc>
          <w:tcPr>
            <w:tcW w:w="2530" w:type="dxa"/>
            <w:gridSpan w:val="2"/>
            <w:noWrap/>
            <w:vAlign w:val="center"/>
          </w:tcPr>
          <w:p w14:paraId="0AA01723"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National Park</w:t>
            </w:r>
          </w:p>
        </w:tc>
        <w:tc>
          <w:tcPr>
            <w:tcW w:w="1470" w:type="dxa"/>
            <w:gridSpan w:val="2"/>
            <w:noWrap/>
            <w:vAlign w:val="center"/>
          </w:tcPr>
          <w:p w14:paraId="3AA443D3"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900" w:type="dxa"/>
            <w:noWrap/>
            <w:vAlign w:val="center"/>
          </w:tcPr>
          <w:p w14:paraId="4ACAD2A3"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502D7396" w14:textId="77777777" w:rsidTr="00E20038">
        <w:tc>
          <w:tcPr>
            <w:tcW w:w="2680" w:type="dxa"/>
            <w:vAlign w:val="center"/>
          </w:tcPr>
          <w:p w14:paraId="26D0DC37" w14:textId="77777777" w:rsidR="00E20038" w:rsidRPr="00E20038" w:rsidRDefault="00E20038" w:rsidP="00E20038">
            <w:pPr>
              <w:rPr>
                <w:rFonts w:ascii="Arial" w:hAnsi="Arial" w:cs="Angsana New"/>
                <w:bCs/>
                <w:sz w:val="16"/>
                <w:lang w:val="en-GB" w:bidi="th-TH"/>
              </w:rPr>
            </w:pPr>
            <w:smartTag w:uri="urn:schemas-microsoft-com:office:smarttags" w:element="place">
              <w:smartTag w:uri="urn:schemas-microsoft-com:office:smarttags" w:element="country-region">
                <w:r w:rsidRPr="00E20038">
                  <w:rPr>
                    <w:rFonts w:ascii="Arial" w:hAnsi="Arial" w:cs="Angsana New"/>
                    <w:b/>
                    <w:sz w:val="16"/>
                    <w:lang w:val="en-GB" w:bidi="th-TH"/>
                  </w:rPr>
                  <w:t>Viet Nam</w:t>
                </w:r>
              </w:smartTag>
            </w:smartTag>
          </w:p>
        </w:tc>
        <w:tc>
          <w:tcPr>
            <w:tcW w:w="1000" w:type="dxa"/>
            <w:gridSpan w:val="3"/>
            <w:noWrap/>
            <w:vAlign w:val="center"/>
          </w:tcPr>
          <w:p w14:paraId="359CE194" w14:textId="77777777" w:rsidR="00E20038" w:rsidRPr="00E20038" w:rsidRDefault="00E20038" w:rsidP="00E20038">
            <w:pPr>
              <w:rPr>
                <w:rFonts w:ascii="Arial" w:hAnsi="Arial" w:cs="Angsana New"/>
                <w:bCs/>
                <w:sz w:val="16"/>
                <w:lang w:val="en-GB" w:bidi="th-TH"/>
              </w:rPr>
            </w:pPr>
          </w:p>
        </w:tc>
        <w:tc>
          <w:tcPr>
            <w:tcW w:w="2530" w:type="dxa"/>
            <w:gridSpan w:val="2"/>
            <w:noWrap/>
            <w:vAlign w:val="center"/>
          </w:tcPr>
          <w:p w14:paraId="5E86BC10" w14:textId="77777777" w:rsidR="00E20038" w:rsidRPr="00E20038" w:rsidRDefault="00E20038" w:rsidP="00E20038">
            <w:pPr>
              <w:jc w:val="center"/>
              <w:rPr>
                <w:rFonts w:ascii="Arial" w:hAnsi="Arial" w:cs="Angsana New"/>
                <w:bCs/>
                <w:sz w:val="16"/>
                <w:lang w:val="en-GB" w:bidi="th-TH"/>
              </w:rPr>
            </w:pPr>
          </w:p>
        </w:tc>
        <w:tc>
          <w:tcPr>
            <w:tcW w:w="1470" w:type="dxa"/>
            <w:gridSpan w:val="2"/>
            <w:noWrap/>
            <w:vAlign w:val="center"/>
          </w:tcPr>
          <w:p w14:paraId="71E98EB9" w14:textId="77777777" w:rsidR="00E20038" w:rsidRPr="00E20038" w:rsidRDefault="00E20038" w:rsidP="00E20038">
            <w:pPr>
              <w:jc w:val="center"/>
              <w:rPr>
                <w:rFonts w:ascii="Arial" w:hAnsi="Arial" w:cs="Angsana New"/>
                <w:bCs/>
                <w:sz w:val="16"/>
                <w:lang w:val="en-GB" w:bidi="th-TH"/>
              </w:rPr>
            </w:pPr>
          </w:p>
        </w:tc>
        <w:tc>
          <w:tcPr>
            <w:tcW w:w="1900" w:type="dxa"/>
            <w:noWrap/>
            <w:vAlign w:val="center"/>
          </w:tcPr>
          <w:p w14:paraId="2815320A" w14:textId="77777777" w:rsidR="00E20038" w:rsidRPr="00E20038" w:rsidRDefault="00E20038" w:rsidP="00E20038">
            <w:pPr>
              <w:jc w:val="center"/>
              <w:rPr>
                <w:rFonts w:ascii="Arial" w:hAnsi="Arial" w:cs="Angsana New"/>
                <w:bCs/>
                <w:sz w:val="16"/>
                <w:lang w:val="en-GB" w:bidi="th-TH"/>
              </w:rPr>
            </w:pPr>
          </w:p>
        </w:tc>
      </w:tr>
      <w:tr w:rsidR="00E20038" w:rsidRPr="00E20038" w14:paraId="4B115E98" w14:textId="77777777" w:rsidTr="00E20038">
        <w:tc>
          <w:tcPr>
            <w:tcW w:w="2680" w:type="dxa"/>
            <w:vAlign w:val="center"/>
          </w:tcPr>
          <w:p w14:paraId="7AB8260B" w14:textId="77777777" w:rsidR="00E20038" w:rsidRPr="00E20038" w:rsidRDefault="00E20038" w:rsidP="00E20038">
            <w:pPr>
              <w:ind w:left="108"/>
              <w:rPr>
                <w:rFonts w:ascii="Arial" w:hAnsi="Arial" w:cs="Angsana New"/>
                <w:sz w:val="16"/>
                <w:lang w:val="en-GB"/>
              </w:rPr>
            </w:pPr>
            <w:r w:rsidRPr="00E20038">
              <w:rPr>
                <w:rFonts w:ascii="Arial" w:hAnsi="Arial" w:cs="Angsana New"/>
                <w:sz w:val="16"/>
                <w:lang w:val="en-GB"/>
              </w:rPr>
              <w:t>Ca Mau Southwest Tidal Flat</w:t>
            </w:r>
          </w:p>
        </w:tc>
        <w:tc>
          <w:tcPr>
            <w:tcW w:w="1000" w:type="dxa"/>
            <w:gridSpan w:val="3"/>
            <w:noWrap/>
            <w:vAlign w:val="center"/>
          </w:tcPr>
          <w:p w14:paraId="05986B10"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60,711</w:t>
            </w:r>
          </w:p>
        </w:tc>
        <w:tc>
          <w:tcPr>
            <w:tcW w:w="2530" w:type="dxa"/>
            <w:gridSpan w:val="2"/>
            <w:noWrap/>
            <w:vAlign w:val="center"/>
          </w:tcPr>
          <w:p w14:paraId="434FEA0D"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National Park</w:t>
            </w:r>
          </w:p>
        </w:tc>
        <w:tc>
          <w:tcPr>
            <w:tcW w:w="1470" w:type="dxa"/>
            <w:gridSpan w:val="2"/>
            <w:noWrap/>
            <w:vAlign w:val="center"/>
          </w:tcPr>
          <w:p w14:paraId="6BD2D920"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900" w:type="dxa"/>
            <w:noWrap/>
            <w:vAlign w:val="center"/>
          </w:tcPr>
          <w:p w14:paraId="12E089C1"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r>
      <w:tr w:rsidR="00E20038" w:rsidRPr="00E20038" w14:paraId="4583CED6" w14:textId="77777777" w:rsidTr="00E20038">
        <w:tc>
          <w:tcPr>
            <w:tcW w:w="2680" w:type="dxa"/>
            <w:vAlign w:val="center"/>
          </w:tcPr>
          <w:p w14:paraId="7466D0DF" w14:textId="77777777" w:rsidR="00E20038" w:rsidRPr="00E20038" w:rsidRDefault="00E20038" w:rsidP="00E20038">
            <w:pPr>
              <w:ind w:left="108"/>
              <w:rPr>
                <w:rFonts w:ascii="Arial" w:hAnsi="Arial" w:cs="Angsana New"/>
                <w:sz w:val="16"/>
                <w:lang w:val="en-GB"/>
              </w:rPr>
            </w:pPr>
            <w:r w:rsidRPr="00E20038">
              <w:rPr>
                <w:rFonts w:ascii="Arial" w:hAnsi="Arial" w:cs="Angsana New"/>
                <w:sz w:val="16"/>
                <w:lang w:val="en-GB"/>
              </w:rPr>
              <w:t>Kim Son Tidal Flat</w:t>
            </w:r>
          </w:p>
        </w:tc>
        <w:tc>
          <w:tcPr>
            <w:tcW w:w="1000" w:type="dxa"/>
            <w:gridSpan w:val="3"/>
            <w:noWrap/>
            <w:vAlign w:val="center"/>
          </w:tcPr>
          <w:p w14:paraId="2767EB2E" w14:textId="77777777" w:rsidR="00E20038" w:rsidRPr="00E20038" w:rsidRDefault="00E20038" w:rsidP="00E20038">
            <w:pPr>
              <w:jc w:val="right"/>
              <w:rPr>
                <w:rFonts w:ascii="Arial" w:hAnsi="Arial" w:cs="Angsana New"/>
                <w:bCs/>
                <w:sz w:val="16"/>
                <w:lang w:val="en-GB" w:bidi="th-TH"/>
              </w:rPr>
            </w:pPr>
            <w:r w:rsidRPr="00E20038">
              <w:rPr>
                <w:rFonts w:ascii="Arial" w:hAnsi="Arial" w:cs="Angsana New"/>
                <w:bCs/>
                <w:sz w:val="16"/>
                <w:lang w:val="en-GB" w:bidi="th-TH"/>
              </w:rPr>
              <w:t>12,620</w:t>
            </w:r>
          </w:p>
        </w:tc>
        <w:tc>
          <w:tcPr>
            <w:tcW w:w="2530" w:type="dxa"/>
            <w:gridSpan w:val="2"/>
            <w:noWrap/>
            <w:vAlign w:val="center"/>
          </w:tcPr>
          <w:p w14:paraId="58B61A67"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470" w:type="dxa"/>
            <w:gridSpan w:val="2"/>
            <w:noWrap/>
            <w:vAlign w:val="center"/>
          </w:tcPr>
          <w:p w14:paraId="5D1FC153"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bCs/>
                <w:sz w:val="16"/>
                <w:lang w:val="en-GB" w:bidi="th-TH"/>
              </w:rPr>
              <w:t>N.A.</w:t>
            </w:r>
          </w:p>
        </w:tc>
        <w:tc>
          <w:tcPr>
            <w:tcW w:w="1900" w:type="dxa"/>
            <w:noWrap/>
            <w:vAlign w:val="center"/>
          </w:tcPr>
          <w:p w14:paraId="26487A2D" w14:textId="77777777" w:rsidR="00E20038" w:rsidRPr="00E20038" w:rsidRDefault="00E20038" w:rsidP="00E20038">
            <w:pPr>
              <w:jc w:val="center"/>
              <w:rPr>
                <w:rFonts w:ascii="Arial" w:hAnsi="Arial" w:cs="Angsana New"/>
                <w:bCs/>
                <w:sz w:val="16"/>
                <w:lang w:val="en-GB" w:bidi="th-TH"/>
              </w:rPr>
            </w:pPr>
            <w:r w:rsidRPr="00E20038">
              <w:rPr>
                <w:rFonts w:ascii="Arial" w:hAnsi="Arial" w:cs="Angsana New"/>
                <w:sz w:val="16"/>
                <w:lang w:val="en-GB"/>
              </w:rPr>
              <w:t>√</w:t>
            </w:r>
          </w:p>
        </w:tc>
      </w:tr>
      <w:tr w:rsidR="00E20038" w:rsidRPr="00E20038" w14:paraId="1255EE8F" w14:textId="77777777" w:rsidTr="00E20038">
        <w:tc>
          <w:tcPr>
            <w:tcW w:w="2680" w:type="dxa"/>
            <w:tcBorders>
              <w:bottom w:val="single" w:sz="12" w:space="0" w:color="auto"/>
            </w:tcBorders>
            <w:vAlign w:val="center"/>
          </w:tcPr>
          <w:p w14:paraId="6CA2D450" w14:textId="77777777" w:rsidR="00E20038" w:rsidRPr="00E20038" w:rsidRDefault="00E20038" w:rsidP="00E20038">
            <w:pPr>
              <w:rPr>
                <w:rFonts w:ascii="Arial" w:hAnsi="Arial" w:cs="Angsana New"/>
                <w:b/>
                <w:sz w:val="16"/>
                <w:lang w:val="en-GB"/>
              </w:rPr>
            </w:pPr>
            <w:r w:rsidRPr="00E20038">
              <w:rPr>
                <w:rFonts w:ascii="Arial" w:hAnsi="Arial" w:cs="Angsana New"/>
                <w:b/>
                <w:sz w:val="16"/>
                <w:lang w:val="en-GB" w:bidi="th-TH"/>
              </w:rPr>
              <w:t>SUBTOTAL</w:t>
            </w:r>
          </w:p>
        </w:tc>
        <w:tc>
          <w:tcPr>
            <w:tcW w:w="1000" w:type="dxa"/>
            <w:gridSpan w:val="3"/>
            <w:tcBorders>
              <w:bottom w:val="single" w:sz="12" w:space="0" w:color="auto"/>
            </w:tcBorders>
            <w:noWrap/>
            <w:vAlign w:val="center"/>
          </w:tcPr>
          <w:p w14:paraId="3DB7E278" w14:textId="77777777" w:rsidR="00E20038" w:rsidRPr="00E20038" w:rsidRDefault="00E20038" w:rsidP="00E20038">
            <w:pPr>
              <w:jc w:val="right"/>
              <w:rPr>
                <w:rFonts w:ascii="Arial" w:hAnsi="Arial" w:cs="Angsana New"/>
                <w:b/>
                <w:sz w:val="16"/>
                <w:lang w:val="en-GB"/>
              </w:rPr>
            </w:pPr>
            <w:r w:rsidRPr="00E20038">
              <w:rPr>
                <w:rFonts w:ascii="Arial" w:hAnsi="Arial" w:cs="Angsana New"/>
                <w:b/>
                <w:sz w:val="16"/>
                <w:lang w:val="en-GB" w:bidi="th-TH"/>
              </w:rPr>
              <w:t>691,859</w:t>
            </w:r>
          </w:p>
        </w:tc>
        <w:tc>
          <w:tcPr>
            <w:tcW w:w="2530" w:type="dxa"/>
            <w:gridSpan w:val="2"/>
            <w:tcBorders>
              <w:bottom w:val="single" w:sz="12" w:space="0" w:color="auto"/>
            </w:tcBorders>
            <w:noWrap/>
            <w:vAlign w:val="center"/>
          </w:tcPr>
          <w:p w14:paraId="5277F487"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487,323</w:t>
            </w:r>
          </w:p>
        </w:tc>
        <w:tc>
          <w:tcPr>
            <w:tcW w:w="1470" w:type="dxa"/>
            <w:gridSpan w:val="2"/>
            <w:tcBorders>
              <w:bottom w:val="single" w:sz="12" w:space="0" w:color="auto"/>
            </w:tcBorders>
            <w:noWrap/>
            <w:vAlign w:val="center"/>
          </w:tcPr>
          <w:p w14:paraId="5EECBE33"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161,712</w:t>
            </w:r>
          </w:p>
        </w:tc>
        <w:tc>
          <w:tcPr>
            <w:tcW w:w="1900" w:type="dxa"/>
            <w:tcBorders>
              <w:bottom w:val="single" w:sz="12" w:space="0" w:color="auto"/>
            </w:tcBorders>
            <w:noWrap/>
            <w:vAlign w:val="center"/>
          </w:tcPr>
          <w:p w14:paraId="3B499E98"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37620</w:t>
            </w:r>
          </w:p>
        </w:tc>
      </w:tr>
      <w:tr w:rsidR="00E20038" w:rsidRPr="00E20038" w14:paraId="3185E018" w14:textId="77777777" w:rsidTr="00E20038">
        <w:tc>
          <w:tcPr>
            <w:tcW w:w="2680" w:type="dxa"/>
            <w:vAlign w:val="center"/>
          </w:tcPr>
          <w:p w14:paraId="05ADA66A" w14:textId="77777777" w:rsidR="00E20038" w:rsidRPr="00E20038" w:rsidRDefault="00E20038" w:rsidP="00E20038">
            <w:pPr>
              <w:rPr>
                <w:rFonts w:ascii="Arial" w:hAnsi="Arial" w:cs="Angsana New"/>
                <w:b/>
                <w:sz w:val="16"/>
                <w:lang w:val="en-GB" w:bidi="th-TH"/>
              </w:rPr>
            </w:pPr>
            <w:r w:rsidRPr="00E20038">
              <w:rPr>
                <w:rFonts w:ascii="Arial" w:hAnsi="Arial" w:cs="Angsana New"/>
                <w:b/>
                <w:sz w:val="16"/>
                <w:lang w:val="en-GB" w:bidi="th-TH"/>
              </w:rPr>
              <w:t>TOTAL</w:t>
            </w:r>
          </w:p>
        </w:tc>
        <w:tc>
          <w:tcPr>
            <w:tcW w:w="1000" w:type="dxa"/>
            <w:gridSpan w:val="3"/>
            <w:noWrap/>
            <w:vAlign w:val="center"/>
          </w:tcPr>
          <w:p w14:paraId="71D5E867"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4,201,145</w:t>
            </w:r>
          </w:p>
        </w:tc>
        <w:tc>
          <w:tcPr>
            <w:tcW w:w="2530" w:type="dxa"/>
            <w:gridSpan w:val="2"/>
            <w:noWrap/>
            <w:vAlign w:val="center"/>
          </w:tcPr>
          <w:p w14:paraId="3641A497"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1,787,415</w:t>
            </w:r>
          </w:p>
        </w:tc>
        <w:tc>
          <w:tcPr>
            <w:tcW w:w="1470" w:type="dxa"/>
            <w:gridSpan w:val="2"/>
            <w:noWrap/>
            <w:vAlign w:val="center"/>
          </w:tcPr>
          <w:p w14:paraId="0F54015C"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282,116</w:t>
            </w:r>
          </w:p>
        </w:tc>
        <w:tc>
          <w:tcPr>
            <w:tcW w:w="1900" w:type="dxa"/>
            <w:noWrap/>
            <w:vAlign w:val="center"/>
          </w:tcPr>
          <w:p w14:paraId="24C4EB5C" w14:textId="77777777" w:rsidR="00E20038" w:rsidRPr="00E20038" w:rsidRDefault="00E20038" w:rsidP="00E20038">
            <w:pPr>
              <w:jc w:val="center"/>
              <w:rPr>
                <w:rFonts w:ascii="Arial" w:hAnsi="Arial" w:cs="Angsana New"/>
                <w:b/>
                <w:sz w:val="16"/>
                <w:lang w:val="en-GB" w:bidi="th-TH"/>
              </w:rPr>
            </w:pPr>
            <w:r w:rsidRPr="00E20038">
              <w:rPr>
                <w:rFonts w:ascii="Arial" w:hAnsi="Arial" w:cs="Angsana New"/>
                <w:b/>
                <w:sz w:val="16"/>
                <w:lang w:val="en-GB" w:bidi="th-TH"/>
              </w:rPr>
              <w:t>[2,032,831]</w:t>
            </w:r>
          </w:p>
        </w:tc>
      </w:tr>
    </w:tbl>
    <w:p w14:paraId="77F2D0FB" w14:textId="77777777" w:rsidR="004677C8" w:rsidRDefault="004677C8" w:rsidP="004677C8">
      <w:pPr>
        <w:numPr>
          <w:ilvl w:val="0"/>
          <w:numId w:val="3"/>
        </w:numPr>
        <w:spacing w:before="120" w:after="120"/>
        <w:ind w:left="0" w:firstLine="0"/>
        <w:jc w:val="both"/>
        <w:rPr>
          <w:sz w:val="22"/>
          <w:szCs w:val="22"/>
          <w:lang w:val="en-GB"/>
        </w:rPr>
      </w:pPr>
      <w:r w:rsidRPr="004677C8">
        <w:rPr>
          <w:sz w:val="22"/>
          <w:szCs w:val="22"/>
          <w:lang w:val="en-GB"/>
        </w:rPr>
        <w:t xml:space="preserve">The </w:t>
      </w:r>
      <w:r>
        <w:rPr>
          <w:sz w:val="22"/>
          <w:szCs w:val="22"/>
          <w:lang w:val="en-GB"/>
        </w:rPr>
        <w:t>agreed</w:t>
      </w:r>
      <w:r w:rsidRPr="004677C8">
        <w:rPr>
          <w:sz w:val="22"/>
          <w:szCs w:val="22"/>
          <w:lang w:val="en-GB"/>
        </w:rPr>
        <w:t xml:space="preserve"> goal of the S</w:t>
      </w:r>
      <w:r>
        <w:rPr>
          <w:sz w:val="22"/>
          <w:szCs w:val="22"/>
          <w:lang w:val="en-GB"/>
        </w:rPr>
        <w:t xml:space="preserve">trategic </w:t>
      </w:r>
      <w:r w:rsidRPr="004677C8">
        <w:rPr>
          <w:sz w:val="22"/>
          <w:szCs w:val="22"/>
          <w:lang w:val="en-GB"/>
        </w:rPr>
        <w:t>A</w:t>
      </w:r>
      <w:r>
        <w:rPr>
          <w:sz w:val="22"/>
          <w:szCs w:val="22"/>
          <w:lang w:val="en-GB"/>
        </w:rPr>
        <w:t xml:space="preserve">ction </w:t>
      </w:r>
      <w:r w:rsidRPr="004677C8">
        <w:rPr>
          <w:sz w:val="22"/>
          <w:szCs w:val="22"/>
          <w:lang w:val="en-GB"/>
        </w:rPr>
        <w:t>P</w:t>
      </w:r>
      <w:r>
        <w:rPr>
          <w:sz w:val="22"/>
          <w:szCs w:val="22"/>
          <w:lang w:val="en-GB"/>
        </w:rPr>
        <w:t>rogramme</w:t>
      </w:r>
      <w:r w:rsidRPr="004677C8">
        <w:rPr>
          <w:sz w:val="22"/>
          <w:szCs w:val="22"/>
          <w:lang w:val="en-GB"/>
        </w:rPr>
        <w:t xml:space="preserve"> for w</w:t>
      </w:r>
      <w:r>
        <w:rPr>
          <w:sz w:val="22"/>
          <w:szCs w:val="22"/>
          <w:lang w:val="en-GB"/>
        </w:rPr>
        <w:t>etland management and use is to:</w:t>
      </w:r>
    </w:p>
    <w:p w14:paraId="39482C56" w14:textId="77777777" w:rsidR="004677C8" w:rsidRPr="004677C8" w:rsidRDefault="004677C8" w:rsidP="004677C8">
      <w:pPr>
        <w:spacing w:before="120" w:after="120"/>
        <w:ind w:left="720" w:right="252"/>
        <w:jc w:val="both"/>
        <w:rPr>
          <w:i/>
          <w:sz w:val="22"/>
          <w:szCs w:val="22"/>
          <w:lang w:val="en-GB"/>
        </w:rPr>
      </w:pPr>
      <w:r w:rsidRPr="004677C8">
        <w:rPr>
          <w:i/>
          <w:sz w:val="22"/>
          <w:szCs w:val="22"/>
          <w:lang w:val="en-GB"/>
        </w:rPr>
        <w:t>“Promote the sustainable use of coastal wetland resources by developing integrated management plans and enhancing conservation and restoration of coastal wetlands bordering the South China Sea and the Gulf of Thailand, specifically lagoons, estuaries, mudflats, peat swamps, and non-peat swamps.”</w:t>
      </w:r>
    </w:p>
    <w:p w14:paraId="20D9C286" w14:textId="77777777" w:rsidR="004677C8" w:rsidRDefault="004677C8" w:rsidP="004677C8">
      <w:pPr>
        <w:numPr>
          <w:ilvl w:val="0"/>
          <w:numId w:val="3"/>
        </w:numPr>
        <w:spacing w:before="120" w:after="120"/>
        <w:ind w:left="0" w:firstLine="0"/>
        <w:jc w:val="both"/>
        <w:rPr>
          <w:sz w:val="22"/>
          <w:szCs w:val="22"/>
          <w:lang w:val="en-GB"/>
        </w:rPr>
      </w:pPr>
      <w:r w:rsidRPr="004677C8">
        <w:rPr>
          <w:sz w:val="22"/>
          <w:szCs w:val="22"/>
          <w:lang w:val="en-GB"/>
        </w:rPr>
        <w:t xml:space="preserve">The specific targets for wetland management </w:t>
      </w:r>
      <w:r>
        <w:rPr>
          <w:sz w:val="22"/>
          <w:szCs w:val="22"/>
          <w:lang w:val="en-GB"/>
        </w:rPr>
        <w:t>outlined in the Strategic Action Programme are:</w:t>
      </w:r>
    </w:p>
    <w:p w14:paraId="5D085C01" w14:textId="77777777" w:rsidR="004677C8" w:rsidRDefault="004677C8" w:rsidP="004B053A">
      <w:pPr>
        <w:numPr>
          <w:ilvl w:val="0"/>
          <w:numId w:val="23"/>
        </w:numPr>
        <w:spacing w:before="120" w:after="120"/>
        <w:jc w:val="both"/>
        <w:rPr>
          <w:sz w:val="22"/>
          <w:szCs w:val="22"/>
          <w:lang w:val="en-GB"/>
        </w:rPr>
      </w:pPr>
      <w:r w:rsidRPr="004677C8">
        <w:rPr>
          <w:sz w:val="22"/>
          <w:szCs w:val="22"/>
          <w:lang w:val="en-GB"/>
        </w:rPr>
        <w:t xml:space="preserve">to set up or update management plans for at least three lagoons, nine estuaries, five tidal flats, one peat swamp and one non-peat swamp in the South China Sea (See Table </w:t>
      </w:r>
      <w:r>
        <w:rPr>
          <w:sz w:val="22"/>
          <w:szCs w:val="22"/>
          <w:lang w:val="en-GB"/>
        </w:rPr>
        <w:t>28);</w:t>
      </w:r>
    </w:p>
    <w:p w14:paraId="24BE7D96" w14:textId="77777777" w:rsidR="004677C8" w:rsidRDefault="004677C8" w:rsidP="004B053A">
      <w:pPr>
        <w:numPr>
          <w:ilvl w:val="0"/>
          <w:numId w:val="23"/>
        </w:numPr>
        <w:spacing w:before="120" w:after="120"/>
        <w:jc w:val="both"/>
        <w:rPr>
          <w:sz w:val="22"/>
          <w:szCs w:val="22"/>
          <w:lang w:val="en-GB"/>
        </w:rPr>
      </w:pPr>
      <w:r w:rsidRPr="004677C8">
        <w:rPr>
          <w:sz w:val="22"/>
          <w:szCs w:val="22"/>
          <w:lang w:val="en-GB"/>
        </w:rPr>
        <w:t>to increase by at least 7 wetland areas, the number of sites or specified wetland areas with protection status (i.e. non-hunting area, nature reserves, prot</w:t>
      </w:r>
      <w:r>
        <w:rPr>
          <w:sz w:val="22"/>
          <w:szCs w:val="22"/>
          <w:lang w:val="en-GB"/>
        </w:rPr>
        <w:t>ected areas, Ramsar Sites, etc); and</w:t>
      </w:r>
    </w:p>
    <w:p w14:paraId="3AE4BA8F" w14:textId="77777777" w:rsidR="00E20038" w:rsidRDefault="004677C8" w:rsidP="004B053A">
      <w:pPr>
        <w:numPr>
          <w:ilvl w:val="0"/>
          <w:numId w:val="23"/>
        </w:numPr>
        <w:spacing w:before="120" w:after="120"/>
        <w:jc w:val="both"/>
        <w:rPr>
          <w:sz w:val="22"/>
          <w:szCs w:val="22"/>
          <w:lang w:val="en-GB"/>
        </w:rPr>
      </w:pPr>
      <w:r w:rsidRPr="004677C8">
        <w:rPr>
          <w:sz w:val="22"/>
          <w:szCs w:val="22"/>
          <w:lang w:val="en-GB"/>
        </w:rPr>
        <w:t>to have a regional estuary monitoring scheme implemented</w:t>
      </w:r>
      <w:r>
        <w:rPr>
          <w:sz w:val="22"/>
          <w:szCs w:val="22"/>
          <w:lang w:val="en-GB"/>
        </w:rPr>
        <w:t xml:space="preserve"> in the participating countries</w:t>
      </w:r>
      <w:r w:rsidRPr="004677C8">
        <w:rPr>
          <w:sz w:val="22"/>
          <w:szCs w:val="22"/>
          <w:lang w:val="en-GB"/>
        </w:rPr>
        <w:t xml:space="preserve">.  </w:t>
      </w:r>
    </w:p>
    <w:p w14:paraId="73D5DC55" w14:textId="77777777" w:rsidR="004677C8" w:rsidRDefault="004677C8" w:rsidP="00D80771">
      <w:pPr>
        <w:spacing w:before="120" w:after="120"/>
        <w:ind w:left="1440" w:hanging="1440"/>
        <w:jc w:val="both"/>
        <w:rPr>
          <w:sz w:val="22"/>
          <w:szCs w:val="22"/>
          <w:lang w:val="en-GB"/>
        </w:rPr>
      </w:pPr>
      <w:r w:rsidRPr="00D80771">
        <w:rPr>
          <w:b/>
          <w:sz w:val="22"/>
          <w:szCs w:val="22"/>
          <w:lang w:val="en-GB"/>
        </w:rPr>
        <w:t>Table 28</w:t>
      </w:r>
      <w:r>
        <w:rPr>
          <w:sz w:val="22"/>
          <w:szCs w:val="22"/>
          <w:lang w:val="en-GB"/>
        </w:rPr>
        <w:tab/>
        <w:t>List of sites specified in the Strategic Action Programme</w:t>
      </w:r>
      <w:r w:rsidR="00D80771">
        <w:rPr>
          <w:sz w:val="22"/>
          <w:szCs w:val="22"/>
          <w:lang w:val="en-GB"/>
        </w:rPr>
        <w:t xml:space="preserve"> targets. N = no existing management plan; </w:t>
      </w:r>
      <w:r w:rsidR="00F4385E">
        <w:rPr>
          <w:sz w:val="22"/>
          <w:szCs w:val="22"/>
          <w:lang w:val="en-GB"/>
        </w:rPr>
        <w:t>U</w:t>
      </w:r>
      <w:r w:rsidR="00D80771">
        <w:rPr>
          <w:sz w:val="22"/>
          <w:szCs w:val="22"/>
          <w:lang w:val="en-GB"/>
        </w:rPr>
        <w:t>= existing but outdated plans requiring amendment and updating</w:t>
      </w:r>
    </w:p>
    <w:tbl>
      <w:tblPr>
        <w:tblW w:w="935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081"/>
        <w:gridCol w:w="1529"/>
        <w:gridCol w:w="1538"/>
        <w:gridCol w:w="1650"/>
        <w:gridCol w:w="1548"/>
        <w:gridCol w:w="2010"/>
      </w:tblGrid>
      <w:tr w:rsidR="004677C8" w:rsidRPr="004677C8" w14:paraId="16662FBC" w14:textId="77777777" w:rsidTr="00E030C3">
        <w:trPr>
          <w:trHeight w:val="45"/>
          <w:jc w:val="center"/>
        </w:trPr>
        <w:tc>
          <w:tcPr>
            <w:tcW w:w="1081" w:type="dxa"/>
            <w:tcBorders>
              <w:top w:val="single" w:sz="12" w:space="0" w:color="auto"/>
              <w:bottom w:val="single" w:sz="12" w:space="0" w:color="auto"/>
            </w:tcBorders>
            <w:tcMar>
              <w:top w:w="15" w:type="dxa"/>
              <w:left w:w="15" w:type="dxa"/>
              <w:bottom w:w="0" w:type="dxa"/>
              <w:right w:w="15" w:type="dxa"/>
            </w:tcMar>
            <w:vAlign w:val="center"/>
          </w:tcPr>
          <w:p w14:paraId="6E72A7A8" w14:textId="77777777" w:rsidR="004677C8" w:rsidRPr="004677C8" w:rsidRDefault="004677C8" w:rsidP="004677C8">
            <w:pPr>
              <w:jc w:val="center"/>
              <w:rPr>
                <w:rFonts w:ascii="Arial" w:hAnsi="Arial" w:cs="Angsana New"/>
                <w:b/>
                <w:bCs/>
                <w:sz w:val="16"/>
                <w:szCs w:val="16"/>
                <w:lang w:val="en-GB"/>
              </w:rPr>
            </w:pPr>
          </w:p>
        </w:tc>
        <w:tc>
          <w:tcPr>
            <w:tcW w:w="1529" w:type="dxa"/>
            <w:tcBorders>
              <w:top w:val="single" w:sz="12" w:space="0" w:color="auto"/>
              <w:bottom w:val="single" w:sz="12" w:space="0" w:color="auto"/>
            </w:tcBorders>
            <w:tcMar>
              <w:top w:w="15" w:type="dxa"/>
              <w:left w:w="15" w:type="dxa"/>
              <w:bottom w:w="0" w:type="dxa"/>
              <w:right w:w="15" w:type="dxa"/>
            </w:tcMar>
            <w:vAlign w:val="center"/>
          </w:tcPr>
          <w:p w14:paraId="3F96BEC2" w14:textId="77777777" w:rsidR="004677C8" w:rsidRPr="004677C8" w:rsidRDefault="004677C8" w:rsidP="004677C8">
            <w:pPr>
              <w:jc w:val="center"/>
              <w:rPr>
                <w:rFonts w:ascii="Arial" w:hAnsi="Arial" w:cs="Angsana New"/>
                <w:b/>
                <w:bCs/>
                <w:sz w:val="16"/>
                <w:szCs w:val="16"/>
                <w:lang w:val="en-GB"/>
              </w:rPr>
            </w:pPr>
            <w:r w:rsidRPr="004677C8">
              <w:rPr>
                <w:rFonts w:ascii="Arial" w:hAnsi="Arial" w:cs="Angsana New"/>
                <w:b/>
                <w:bCs/>
                <w:sz w:val="16"/>
                <w:szCs w:val="16"/>
                <w:lang w:val="en-GB"/>
              </w:rPr>
              <w:t>Lagoons</w:t>
            </w:r>
          </w:p>
        </w:tc>
        <w:tc>
          <w:tcPr>
            <w:tcW w:w="1538" w:type="dxa"/>
            <w:tcBorders>
              <w:top w:val="single" w:sz="12" w:space="0" w:color="auto"/>
              <w:bottom w:val="single" w:sz="12" w:space="0" w:color="auto"/>
            </w:tcBorders>
            <w:tcMar>
              <w:top w:w="15" w:type="dxa"/>
              <w:left w:w="15" w:type="dxa"/>
              <w:bottom w:w="0" w:type="dxa"/>
              <w:right w:w="15" w:type="dxa"/>
            </w:tcMar>
            <w:vAlign w:val="center"/>
          </w:tcPr>
          <w:p w14:paraId="1520F384" w14:textId="77777777" w:rsidR="004677C8" w:rsidRPr="004677C8" w:rsidRDefault="004677C8" w:rsidP="004677C8">
            <w:pPr>
              <w:jc w:val="center"/>
              <w:rPr>
                <w:rFonts w:ascii="Arial" w:hAnsi="Arial" w:cs="Angsana New"/>
                <w:b/>
                <w:bCs/>
                <w:sz w:val="16"/>
                <w:szCs w:val="16"/>
                <w:lang w:val="en-GB"/>
              </w:rPr>
            </w:pPr>
            <w:r w:rsidRPr="004677C8">
              <w:rPr>
                <w:rFonts w:ascii="Arial" w:hAnsi="Arial" w:cs="Angsana New"/>
                <w:b/>
                <w:bCs/>
                <w:sz w:val="16"/>
                <w:szCs w:val="16"/>
                <w:lang w:val="en-GB"/>
              </w:rPr>
              <w:t>Estuaries</w:t>
            </w:r>
          </w:p>
        </w:tc>
        <w:tc>
          <w:tcPr>
            <w:tcW w:w="1650" w:type="dxa"/>
            <w:tcBorders>
              <w:top w:val="single" w:sz="12" w:space="0" w:color="auto"/>
              <w:bottom w:val="single" w:sz="12" w:space="0" w:color="auto"/>
            </w:tcBorders>
            <w:tcMar>
              <w:top w:w="15" w:type="dxa"/>
              <w:left w:w="15" w:type="dxa"/>
              <w:bottom w:w="0" w:type="dxa"/>
              <w:right w:w="15" w:type="dxa"/>
            </w:tcMar>
            <w:vAlign w:val="center"/>
          </w:tcPr>
          <w:p w14:paraId="2C2ADD08" w14:textId="77777777" w:rsidR="004677C8" w:rsidRPr="004677C8" w:rsidRDefault="004677C8" w:rsidP="004677C8">
            <w:pPr>
              <w:jc w:val="center"/>
              <w:rPr>
                <w:rFonts w:ascii="Arial" w:hAnsi="Arial" w:cs="Angsana New"/>
                <w:b/>
                <w:bCs/>
                <w:sz w:val="16"/>
                <w:szCs w:val="16"/>
                <w:lang w:val="en-GB"/>
              </w:rPr>
            </w:pPr>
            <w:r w:rsidRPr="004677C8">
              <w:rPr>
                <w:rFonts w:ascii="Arial" w:hAnsi="Arial" w:cs="Angsana New"/>
                <w:b/>
                <w:bCs/>
                <w:sz w:val="16"/>
                <w:szCs w:val="16"/>
                <w:lang w:val="en-GB"/>
              </w:rPr>
              <w:t>Tidal mudflats</w:t>
            </w:r>
          </w:p>
        </w:tc>
        <w:tc>
          <w:tcPr>
            <w:tcW w:w="1548" w:type="dxa"/>
            <w:tcBorders>
              <w:top w:val="single" w:sz="12" w:space="0" w:color="auto"/>
              <w:bottom w:val="single" w:sz="12" w:space="0" w:color="auto"/>
            </w:tcBorders>
            <w:tcMar>
              <w:top w:w="15" w:type="dxa"/>
              <w:left w:w="15" w:type="dxa"/>
              <w:bottom w:w="0" w:type="dxa"/>
              <w:right w:w="15" w:type="dxa"/>
            </w:tcMar>
            <w:vAlign w:val="center"/>
          </w:tcPr>
          <w:p w14:paraId="036E39BA" w14:textId="77777777" w:rsidR="004677C8" w:rsidRPr="004677C8" w:rsidRDefault="004677C8" w:rsidP="004677C8">
            <w:pPr>
              <w:jc w:val="center"/>
              <w:rPr>
                <w:rFonts w:ascii="Arial" w:hAnsi="Arial" w:cs="Angsana New"/>
                <w:b/>
                <w:bCs/>
                <w:sz w:val="16"/>
                <w:szCs w:val="16"/>
                <w:lang w:val="en-GB"/>
              </w:rPr>
            </w:pPr>
            <w:r w:rsidRPr="004677C8">
              <w:rPr>
                <w:rFonts w:ascii="Arial" w:hAnsi="Arial" w:cs="Angsana New"/>
                <w:b/>
                <w:bCs/>
                <w:sz w:val="16"/>
                <w:szCs w:val="16"/>
                <w:lang w:val="en-GB"/>
              </w:rPr>
              <w:t>Peat swamp</w:t>
            </w:r>
          </w:p>
        </w:tc>
        <w:tc>
          <w:tcPr>
            <w:tcW w:w="2010" w:type="dxa"/>
            <w:tcBorders>
              <w:top w:val="single" w:sz="12" w:space="0" w:color="auto"/>
              <w:bottom w:val="single" w:sz="12" w:space="0" w:color="auto"/>
            </w:tcBorders>
          </w:tcPr>
          <w:p w14:paraId="36A9426D" w14:textId="77777777" w:rsidR="004677C8" w:rsidRPr="004677C8" w:rsidRDefault="004677C8" w:rsidP="004677C8">
            <w:pPr>
              <w:jc w:val="center"/>
              <w:rPr>
                <w:rFonts w:ascii="Arial" w:hAnsi="Arial" w:cs="Angsana New"/>
                <w:b/>
                <w:bCs/>
                <w:sz w:val="16"/>
                <w:szCs w:val="16"/>
                <w:lang w:val="en-GB"/>
              </w:rPr>
            </w:pPr>
            <w:r w:rsidRPr="004677C8">
              <w:rPr>
                <w:rFonts w:ascii="Arial" w:hAnsi="Arial" w:cs="Angsana New"/>
                <w:b/>
                <w:bCs/>
                <w:sz w:val="16"/>
                <w:szCs w:val="16"/>
                <w:lang w:val="en-GB"/>
              </w:rPr>
              <w:t>Non-peat swamp</w:t>
            </w:r>
          </w:p>
        </w:tc>
      </w:tr>
      <w:tr w:rsidR="004677C8" w:rsidRPr="004677C8" w14:paraId="003FE137" w14:textId="77777777" w:rsidTr="00E030C3">
        <w:trPr>
          <w:trHeight w:val="35"/>
          <w:jc w:val="center"/>
        </w:trPr>
        <w:tc>
          <w:tcPr>
            <w:tcW w:w="1081" w:type="dxa"/>
            <w:tcBorders>
              <w:top w:val="single" w:sz="12" w:space="0" w:color="auto"/>
            </w:tcBorders>
            <w:tcMar>
              <w:top w:w="15" w:type="dxa"/>
              <w:left w:w="15" w:type="dxa"/>
              <w:bottom w:w="0" w:type="dxa"/>
              <w:right w:w="15" w:type="dxa"/>
            </w:tcMar>
            <w:vAlign w:val="center"/>
          </w:tcPr>
          <w:p w14:paraId="6941F47E" w14:textId="77777777" w:rsidR="004677C8" w:rsidRPr="004677C8" w:rsidRDefault="004677C8" w:rsidP="004677C8">
            <w:pPr>
              <w:ind w:left="94"/>
              <w:rPr>
                <w:rFonts w:ascii="Arial" w:hAnsi="Arial" w:cs="Angsana New"/>
                <w:b/>
                <w:bCs/>
                <w:sz w:val="16"/>
                <w:szCs w:val="16"/>
                <w:lang w:val="en-GB"/>
              </w:rPr>
            </w:pPr>
            <w:smartTag w:uri="urn:schemas-microsoft-com:office:smarttags" w:element="place">
              <w:smartTag w:uri="urn:schemas-microsoft-com:office:smarttags" w:element="country-region">
                <w:r w:rsidRPr="004677C8">
                  <w:rPr>
                    <w:rFonts w:ascii="Arial" w:hAnsi="Arial" w:cs="Angsana New"/>
                    <w:b/>
                    <w:bCs/>
                    <w:sz w:val="16"/>
                    <w:szCs w:val="16"/>
                    <w:lang w:val="en-GB"/>
                  </w:rPr>
                  <w:t>Cambodia</w:t>
                </w:r>
              </w:smartTag>
            </w:smartTag>
          </w:p>
        </w:tc>
        <w:tc>
          <w:tcPr>
            <w:tcW w:w="1529" w:type="dxa"/>
            <w:tcBorders>
              <w:top w:val="single" w:sz="12" w:space="0" w:color="auto"/>
            </w:tcBorders>
            <w:tcMar>
              <w:top w:w="15" w:type="dxa"/>
              <w:left w:w="15" w:type="dxa"/>
              <w:bottom w:w="0" w:type="dxa"/>
              <w:right w:w="15" w:type="dxa"/>
            </w:tcMar>
            <w:vAlign w:val="center"/>
          </w:tcPr>
          <w:p w14:paraId="224D84A1" w14:textId="77777777" w:rsidR="004677C8" w:rsidRPr="004677C8" w:rsidRDefault="004677C8" w:rsidP="004677C8">
            <w:pPr>
              <w:rPr>
                <w:rFonts w:ascii="Arial" w:hAnsi="Arial" w:cs="Angsana New"/>
                <w:sz w:val="16"/>
                <w:szCs w:val="16"/>
                <w:lang w:val="en-GB"/>
              </w:rPr>
            </w:pPr>
          </w:p>
        </w:tc>
        <w:tc>
          <w:tcPr>
            <w:tcW w:w="1538" w:type="dxa"/>
            <w:tcBorders>
              <w:top w:val="single" w:sz="12" w:space="0" w:color="auto"/>
            </w:tcBorders>
            <w:tcMar>
              <w:top w:w="15" w:type="dxa"/>
              <w:left w:w="15" w:type="dxa"/>
              <w:bottom w:w="0" w:type="dxa"/>
              <w:right w:w="15" w:type="dxa"/>
            </w:tcMar>
            <w:vAlign w:val="center"/>
          </w:tcPr>
          <w:p w14:paraId="12E5DBD3" w14:textId="77777777" w:rsidR="004677C8" w:rsidRPr="004677C8" w:rsidRDefault="004677C8" w:rsidP="004677C8">
            <w:pPr>
              <w:rPr>
                <w:rFonts w:ascii="Arial" w:hAnsi="Arial" w:cs="Angsana New"/>
                <w:sz w:val="16"/>
                <w:szCs w:val="16"/>
                <w:lang w:val="en-GB"/>
              </w:rPr>
            </w:pPr>
            <w:r w:rsidRPr="004677C8">
              <w:rPr>
                <w:rFonts w:ascii="Arial" w:hAnsi="Arial" w:cs="Angsana New"/>
                <w:sz w:val="16"/>
                <w:szCs w:val="16"/>
                <w:lang w:val="en-GB"/>
              </w:rPr>
              <w:t>Koh Kapik-N</w:t>
            </w:r>
          </w:p>
        </w:tc>
        <w:tc>
          <w:tcPr>
            <w:tcW w:w="1650" w:type="dxa"/>
            <w:tcBorders>
              <w:top w:val="single" w:sz="12" w:space="0" w:color="auto"/>
            </w:tcBorders>
            <w:tcMar>
              <w:top w:w="15" w:type="dxa"/>
              <w:left w:w="15" w:type="dxa"/>
              <w:bottom w:w="0" w:type="dxa"/>
              <w:right w:w="15" w:type="dxa"/>
            </w:tcMar>
            <w:vAlign w:val="center"/>
          </w:tcPr>
          <w:p w14:paraId="172EDE22" w14:textId="77777777" w:rsidR="004677C8" w:rsidRPr="004677C8" w:rsidRDefault="004677C8" w:rsidP="004677C8">
            <w:pPr>
              <w:rPr>
                <w:rFonts w:ascii="Arial" w:hAnsi="Arial" w:cs="Angsana New"/>
                <w:sz w:val="16"/>
                <w:szCs w:val="16"/>
                <w:lang w:val="en-GB"/>
              </w:rPr>
            </w:pPr>
          </w:p>
        </w:tc>
        <w:tc>
          <w:tcPr>
            <w:tcW w:w="1548" w:type="dxa"/>
            <w:tcBorders>
              <w:top w:val="single" w:sz="12" w:space="0" w:color="auto"/>
            </w:tcBorders>
            <w:tcMar>
              <w:top w:w="15" w:type="dxa"/>
              <w:left w:w="15" w:type="dxa"/>
              <w:bottom w:w="0" w:type="dxa"/>
              <w:right w:w="15" w:type="dxa"/>
            </w:tcMar>
            <w:vAlign w:val="center"/>
          </w:tcPr>
          <w:p w14:paraId="7C0C85D4" w14:textId="77777777" w:rsidR="004677C8" w:rsidRPr="004677C8" w:rsidRDefault="004677C8" w:rsidP="004677C8">
            <w:pPr>
              <w:rPr>
                <w:rFonts w:ascii="Arial" w:hAnsi="Arial" w:cs="Angsana New"/>
                <w:sz w:val="16"/>
                <w:szCs w:val="16"/>
                <w:lang w:val="en-GB"/>
              </w:rPr>
            </w:pPr>
          </w:p>
        </w:tc>
        <w:tc>
          <w:tcPr>
            <w:tcW w:w="2010" w:type="dxa"/>
            <w:tcBorders>
              <w:top w:val="single" w:sz="12" w:space="0" w:color="auto"/>
            </w:tcBorders>
          </w:tcPr>
          <w:p w14:paraId="07772129" w14:textId="77777777" w:rsidR="004677C8" w:rsidRPr="004677C8" w:rsidRDefault="004677C8" w:rsidP="004677C8">
            <w:pPr>
              <w:rPr>
                <w:rFonts w:ascii="Arial" w:hAnsi="Arial" w:cs="Angsana New"/>
                <w:sz w:val="16"/>
                <w:szCs w:val="16"/>
                <w:lang w:val="en-GB"/>
              </w:rPr>
            </w:pPr>
          </w:p>
        </w:tc>
      </w:tr>
      <w:tr w:rsidR="004677C8" w:rsidRPr="00B62FD7" w14:paraId="01F9B522" w14:textId="77777777" w:rsidTr="00E030C3">
        <w:trPr>
          <w:trHeight w:val="55"/>
          <w:jc w:val="center"/>
        </w:trPr>
        <w:tc>
          <w:tcPr>
            <w:tcW w:w="1081" w:type="dxa"/>
            <w:tcMar>
              <w:top w:w="15" w:type="dxa"/>
              <w:left w:w="15" w:type="dxa"/>
              <w:bottom w:w="0" w:type="dxa"/>
              <w:right w:w="15" w:type="dxa"/>
            </w:tcMar>
            <w:vAlign w:val="center"/>
          </w:tcPr>
          <w:p w14:paraId="2DAF9AC0" w14:textId="77777777" w:rsidR="004677C8" w:rsidRPr="004677C8" w:rsidRDefault="004677C8" w:rsidP="004677C8">
            <w:pPr>
              <w:ind w:left="94"/>
              <w:rPr>
                <w:rFonts w:ascii="Arial" w:hAnsi="Arial" w:cs="Angsana New"/>
                <w:b/>
                <w:bCs/>
                <w:sz w:val="16"/>
                <w:szCs w:val="16"/>
                <w:lang w:val="en-GB"/>
              </w:rPr>
            </w:pPr>
            <w:smartTag w:uri="urn:schemas-microsoft-com:office:smarttags" w:element="place">
              <w:smartTag w:uri="urn:schemas-microsoft-com:office:smarttags" w:element="country-region">
                <w:r w:rsidRPr="004677C8">
                  <w:rPr>
                    <w:rFonts w:ascii="Arial" w:hAnsi="Arial" w:cs="Angsana New"/>
                    <w:b/>
                    <w:bCs/>
                    <w:sz w:val="16"/>
                    <w:szCs w:val="16"/>
                    <w:lang w:val="en-GB"/>
                  </w:rPr>
                  <w:t>China</w:t>
                </w:r>
              </w:smartTag>
            </w:smartTag>
          </w:p>
        </w:tc>
        <w:tc>
          <w:tcPr>
            <w:tcW w:w="1529" w:type="dxa"/>
            <w:tcMar>
              <w:top w:w="15" w:type="dxa"/>
              <w:left w:w="15" w:type="dxa"/>
              <w:bottom w:w="0" w:type="dxa"/>
              <w:right w:w="15" w:type="dxa"/>
            </w:tcMar>
            <w:vAlign w:val="center"/>
          </w:tcPr>
          <w:p w14:paraId="44D09231" w14:textId="77777777" w:rsidR="004677C8" w:rsidRPr="004677C8" w:rsidRDefault="004677C8" w:rsidP="004677C8">
            <w:pPr>
              <w:rPr>
                <w:rFonts w:ascii="Arial" w:hAnsi="Arial" w:cs="Angsana New"/>
                <w:sz w:val="16"/>
                <w:szCs w:val="16"/>
                <w:lang w:val="en-GB"/>
              </w:rPr>
            </w:pPr>
            <w:r w:rsidRPr="004677C8">
              <w:rPr>
                <w:rFonts w:ascii="Arial" w:hAnsi="Arial" w:cs="Angsana New"/>
                <w:sz w:val="16"/>
                <w:szCs w:val="16"/>
                <w:lang w:val="en-GB"/>
              </w:rPr>
              <w:t>Wenchang -N</w:t>
            </w:r>
          </w:p>
        </w:tc>
        <w:tc>
          <w:tcPr>
            <w:tcW w:w="1538" w:type="dxa"/>
            <w:tcMar>
              <w:top w:w="15" w:type="dxa"/>
              <w:left w:w="15" w:type="dxa"/>
              <w:bottom w:w="0" w:type="dxa"/>
              <w:right w:w="15" w:type="dxa"/>
            </w:tcMar>
            <w:vAlign w:val="center"/>
          </w:tcPr>
          <w:p w14:paraId="10852CE2" w14:textId="77777777" w:rsidR="004677C8" w:rsidRPr="004677C8" w:rsidRDefault="004677C8" w:rsidP="004677C8">
            <w:pPr>
              <w:rPr>
                <w:rFonts w:ascii="Arial" w:hAnsi="Arial" w:cs="Angsana New"/>
                <w:sz w:val="16"/>
                <w:szCs w:val="16"/>
                <w:lang w:val="en-GB"/>
              </w:rPr>
            </w:pPr>
            <w:r w:rsidRPr="004677C8">
              <w:rPr>
                <w:rFonts w:ascii="Arial" w:hAnsi="Arial" w:cs="Angsana New"/>
                <w:sz w:val="16"/>
                <w:szCs w:val="16"/>
                <w:lang w:val="en-GB"/>
              </w:rPr>
              <w:t xml:space="preserve">Pearl river-N; </w:t>
            </w:r>
          </w:p>
          <w:p w14:paraId="60178DBA" w14:textId="77777777" w:rsidR="004677C8" w:rsidRPr="004677C8" w:rsidRDefault="004677C8" w:rsidP="004677C8">
            <w:pPr>
              <w:rPr>
                <w:rFonts w:ascii="Arial" w:hAnsi="Arial" w:cs="Angsana New"/>
                <w:sz w:val="16"/>
                <w:szCs w:val="16"/>
                <w:lang w:val="en-GB"/>
              </w:rPr>
            </w:pPr>
            <w:r w:rsidRPr="004677C8">
              <w:rPr>
                <w:rFonts w:ascii="Arial" w:hAnsi="Arial" w:cs="Angsana New"/>
                <w:sz w:val="16"/>
                <w:szCs w:val="16"/>
                <w:lang w:val="en-GB"/>
              </w:rPr>
              <w:t>Beilun river-U</w:t>
            </w:r>
          </w:p>
        </w:tc>
        <w:tc>
          <w:tcPr>
            <w:tcW w:w="1650" w:type="dxa"/>
            <w:tcMar>
              <w:top w:w="15" w:type="dxa"/>
              <w:left w:w="15" w:type="dxa"/>
              <w:bottom w:w="0" w:type="dxa"/>
              <w:right w:w="15" w:type="dxa"/>
            </w:tcMar>
            <w:vAlign w:val="center"/>
          </w:tcPr>
          <w:p w14:paraId="02A4F82F" w14:textId="77777777" w:rsidR="004677C8" w:rsidRPr="00B62FD7" w:rsidRDefault="004677C8" w:rsidP="004677C8">
            <w:pPr>
              <w:rPr>
                <w:rFonts w:ascii="Arial" w:hAnsi="Arial" w:cs="Angsana New"/>
                <w:sz w:val="16"/>
                <w:szCs w:val="16"/>
                <w:lang w:val="pt-BR"/>
              </w:rPr>
            </w:pPr>
            <w:r w:rsidRPr="00B62FD7">
              <w:rPr>
                <w:rFonts w:ascii="Arial" w:hAnsi="Arial" w:cs="Angsana New"/>
                <w:sz w:val="16"/>
                <w:szCs w:val="16"/>
                <w:lang w:val="pt-BR"/>
              </w:rPr>
              <w:t xml:space="preserve">Shantou-N; </w:t>
            </w:r>
          </w:p>
          <w:p w14:paraId="0DD1CDDD" w14:textId="77777777" w:rsidR="004677C8" w:rsidRPr="00B62FD7" w:rsidRDefault="004677C8" w:rsidP="004677C8">
            <w:pPr>
              <w:rPr>
                <w:rFonts w:ascii="Arial" w:hAnsi="Arial" w:cs="Angsana New"/>
                <w:sz w:val="16"/>
                <w:szCs w:val="16"/>
                <w:lang w:val="pt-BR"/>
              </w:rPr>
            </w:pPr>
            <w:r w:rsidRPr="00B62FD7">
              <w:rPr>
                <w:rFonts w:ascii="Arial" w:hAnsi="Arial" w:cs="Angsana New"/>
                <w:sz w:val="16"/>
                <w:szCs w:val="16"/>
                <w:lang w:val="pt-BR"/>
              </w:rPr>
              <w:t>Hepu-N; Zhanzhou-N</w:t>
            </w:r>
          </w:p>
        </w:tc>
        <w:tc>
          <w:tcPr>
            <w:tcW w:w="1548" w:type="dxa"/>
            <w:tcMar>
              <w:top w:w="15" w:type="dxa"/>
              <w:left w:w="15" w:type="dxa"/>
              <w:bottom w:w="0" w:type="dxa"/>
              <w:right w:w="15" w:type="dxa"/>
            </w:tcMar>
            <w:vAlign w:val="center"/>
          </w:tcPr>
          <w:p w14:paraId="44D33FE6" w14:textId="77777777" w:rsidR="004677C8" w:rsidRPr="00B62FD7" w:rsidRDefault="004677C8" w:rsidP="004677C8">
            <w:pPr>
              <w:rPr>
                <w:rFonts w:ascii="Arial" w:hAnsi="Arial" w:cs="Angsana New"/>
                <w:sz w:val="16"/>
                <w:szCs w:val="16"/>
                <w:lang w:val="pt-BR"/>
              </w:rPr>
            </w:pPr>
          </w:p>
        </w:tc>
        <w:tc>
          <w:tcPr>
            <w:tcW w:w="2010" w:type="dxa"/>
          </w:tcPr>
          <w:p w14:paraId="77473644" w14:textId="77777777" w:rsidR="004677C8" w:rsidRPr="00B62FD7" w:rsidRDefault="004677C8" w:rsidP="004677C8">
            <w:pPr>
              <w:rPr>
                <w:rFonts w:ascii="Arial" w:hAnsi="Arial" w:cs="Angsana New"/>
                <w:sz w:val="16"/>
                <w:szCs w:val="16"/>
                <w:lang w:val="pt-BR"/>
              </w:rPr>
            </w:pPr>
          </w:p>
        </w:tc>
      </w:tr>
      <w:tr w:rsidR="004677C8" w:rsidRPr="004677C8" w14:paraId="3577B117" w14:textId="77777777" w:rsidTr="00E030C3">
        <w:trPr>
          <w:trHeight w:val="55"/>
          <w:jc w:val="center"/>
        </w:trPr>
        <w:tc>
          <w:tcPr>
            <w:tcW w:w="1081" w:type="dxa"/>
            <w:tcMar>
              <w:top w:w="15" w:type="dxa"/>
              <w:left w:w="15" w:type="dxa"/>
              <w:bottom w:w="0" w:type="dxa"/>
              <w:right w:w="15" w:type="dxa"/>
            </w:tcMar>
            <w:vAlign w:val="center"/>
          </w:tcPr>
          <w:p w14:paraId="63A69884" w14:textId="77777777" w:rsidR="004677C8" w:rsidRPr="004677C8" w:rsidRDefault="004677C8" w:rsidP="004677C8">
            <w:pPr>
              <w:ind w:left="94"/>
              <w:rPr>
                <w:rFonts w:ascii="Arial" w:hAnsi="Arial" w:cs="Angsana New"/>
                <w:b/>
                <w:bCs/>
                <w:sz w:val="16"/>
                <w:szCs w:val="16"/>
                <w:lang w:val="en-GB"/>
              </w:rPr>
            </w:pPr>
            <w:smartTag w:uri="urn:schemas-microsoft-com:office:smarttags" w:element="place">
              <w:smartTag w:uri="urn:schemas-microsoft-com:office:smarttags" w:element="country-region">
                <w:r w:rsidRPr="004677C8">
                  <w:rPr>
                    <w:rFonts w:ascii="Arial" w:hAnsi="Arial" w:cs="Angsana New"/>
                    <w:b/>
                    <w:bCs/>
                    <w:sz w:val="16"/>
                    <w:szCs w:val="16"/>
                    <w:lang w:val="en-GB"/>
                  </w:rPr>
                  <w:t>Indonesia</w:t>
                </w:r>
              </w:smartTag>
            </w:smartTag>
          </w:p>
        </w:tc>
        <w:tc>
          <w:tcPr>
            <w:tcW w:w="1529" w:type="dxa"/>
            <w:tcMar>
              <w:top w:w="15" w:type="dxa"/>
              <w:left w:w="15" w:type="dxa"/>
              <w:bottom w:w="0" w:type="dxa"/>
              <w:right w:w="15" w:type="dxa"/>
            </w:tcMar>
            <w:vAlign w:val="center"/>
          </w:tcPr>
          <w:p w14:paraId="0935DE85" w14:textId="77777777" w:rsidR="004677C8" w:rsidRPr="004677C8" w:rsidRDefault="004677C8" w:rsidP="004677C8">
            <w:pPr>
              <w:rPr>
                <w:rFonts w:ascii="Arial" w:hAnsi="Arial" w:cs="Angsana New"/>
                <w:sz w:val="16"/>
                <w:szCs w:val="16"/>
                <w:lang w:val="en-GB"/>
              </w:rPr>
            </w:pPr>
          </w:p>
        </w:tc>
        <w:tc>
          <w:tcPr>
            <w:tcW w:w="1538" w:type="dxa"/>
            <w:tcMar>
              <w:top w:w="15" w:type="dxa"/>
              <w:left w:w="15" w:type="dxa"/>
              <w:bottom w:w="0" w:type="dxa"/>
              <w:right w:w="15" w:type="dxa"/>
            </w:tcMar>
            <w:vAlign w:val="center"/>
          </w:tcPr>
          <w:p w14:paraId="72A64145" w14:textId="77777777" w:rsidR="004677C8" w:rsidRPr="004677C8" w:rsidRDefault="004677C8" w:rsidP="004677C8">
            <w:pPr>
              <w:rPr>
                <w:rFonts w:ascii="Arial" w:hAnsi="Arial" w:cs="Angsana New"/>
                <w:sz w:val="16"/>
                <w:szCs w:val="16"/>
                <w:lang w:val="en-GB"/>
              </w:rPr>
            </w:pPr>
            <w:r w:rsidRPr="004677C8">
              <w:rPr>
                <w:rFonts w:ascii="Arial" w:hAnsi="Arial" w:cs="Angsana New"/>
                <w:sz w:val="16"/>
                <w:szCs w:val="16"/>
                <w:lang w:val="en-GB"/>
              </w:rPr>
              <w:t>Sembilang NP-U</w:t>
            </w:r>
          </w:p>
        </w:tc>
        <w:tc>
          <w:tcPr>
            <w:tcW w:w="1650" w:type="dxa"/>
            <w:tcMar>
              <w:top w:w="15" w:type="dxa"/>
              <w:left w:w="15" w:type="dxa"/>
              <w:bottom w:w="0" w:type="dxa"/>
              <w:right w:w="15" w:type="dxa"/>
            </w:tcMar>
            <w:vAlign w:val="center"/>
          </w:tcPr>
          <w:p w14:paraId="6F22F3AB" w14:textId="77777777" w:rsidR="004677C8" w:rsidRPr="004677C8" w:rsidRDefault="004677C8" w:rsidP="004677C8">
            <w:pPr>
              <w:rPr>
                <w:rFonts w:ascii="Arial" w:hAnsi="Arial" w:cs="Angsana New"/>
                <w:sz w:val="16"/>
                <w:szCs w:val="16"/>
                <w:lang w:val="en-GB"/>
              </w:rPr>
            </w:pPr>
          </w:p>
        </w:tc>
        <w:tc>
          <w:tcPr>
            <w:tcW w:w="1548" w:type="dxa"/>
            <w:tcMar>
              <w:top w:w="15" w:type="dxa"/>
              <w:left w:w="15" w:type="dxa"/>
              <w:bottom w:w="0" w:type="dxa"/>
              <w:right w:w="15" w:type="dxa"/>
            </w:tcMar>
            <w:vAlign w:val="center"/>
          </w:tcPr>
          <w:p w14:paraId="2AEACDD9" w14:textId="77777777" w:rsidR="004677C8" w:rsidRPr="004677C8" w:rsidRDefault="004677C8" w:rsidP="004677C8">
            <w:pPr>
              <w:rPr>
                <w:rFonts w:ascii="Arial" w:hAnsi="Arial" w:cs="Angsana New"/>
                <w:sz w:val="16"/>
                <w:szCs w:val="16"/>
                <w:lang w:val="en-GB"/>
              </w:rPr>
            </w:pPr>
          </w:p>
        </w:tc>
        <w:tc>
          <w:tcPr>
            <w:tcW w:w="2010" w:type="dxa"/>
          </w:tcPr>
          <w:p w14:paraId="0CE7D8E0" w14:textId="77777777" w:rsidR="004677C8" w:rsidRPr="004677C8" w:rsidRDefault="004677C8" w:rsidP="004677C8">
            <w:pPr>
              <w:rPr>
                <w:rFonts w:ascii="Arial" w:hAnsi="Arial" w:cs="Angsana New"/>
                <w:sz w:val="16"/>
                <w:szCs w:val="16"/>
                <w:lang w:val="en-GB"/>
              </w:rPr>
            </w:pPr>
          </w:p>
        </w:tc>
      </w:tr>
      <w:tr w:rsidR="004677C8" w:rsidRPr="004677C8" w14:paraId="7E6CE45C" w14:textId="77777777" w:rsidTr="00E030C3">
        <w:trPr>
          <w:trHeight w:val="55"/>
          <w:jc w:val="center"/>
        </w:trPr>
        <w:tc>
          <w:tcPr>
            <w:tcW w:w="1081" w:type="dxa"/>
            <w:tcMar>
              <w:top w:w="15" w:type="dxa"/>
              <w:left w:w="15" w:type="dxa"/>
              <w:bottom w:w="0" w:type="dxa"/>
              <w:right w:w="15" w:type="dxa"/>
            </w:tcMar>
            <w:vAlign w:val="center"/>
          </w:tcPr>
          <w:p w14:paraId="4BD17D2C" w14:textId="77777777" w:rsidR="004677C8" w:rsidRPr="004677C8" w:rsidRDefault="004677C8" w:rsidP="004677C8">
            <w:pPr>
              <w:ind w:left="94"/>
              <w:rPr>
                <w:rFonts w:ascii="Arial" w:hAnsi="Arial" w:cs="Angsana New"/>
                <w:b/>
                <w:bCs/>
                <w:sz w:val="16"/>
                <w:szCs w:val="16"/>
                <w:lang w:val="en-GB"/>
              </w:rPr>
            </w:pPr>
            <w:smartTag w:uri="urn:schemas-microsoft-com:office:smarttags" w:element="place">
              <w:smartTag w:uri="urn:schemas-microsoft-com:office:smarttags" w:element="country-region">
                <w:r w:rsidRPr="004677C8">
                  <w:rPr>
                    <w:rFonts w:ascii="Arial" w:hAnsi="Arial" w:cs="Angsana New"/>
                    <w:b/>
                    <w:bCs/>
                    <w:sz w:val="16"/>
                    <w:szCs w:val="16"/>
                    <w:lang w:val="en-GB"/>
                  </w:rPr>
                  <w:t>Philippines</w:t>
                </w:r>
              </w:smartTag>
            </w:smartTag>
          </w:p>
        </w:tc>
        <w:tc>
          <w:tcPr>
            <w:tcW w:w="1529" w:type="dxa"/>
            <w:tcMar>
              <w:top w:w="15" w:type="dxa"/>
              <w:left w:w="15" w:type="dxa"/>
              <w:bottom w:w="0" w:type="dxa"/>
              <w:right w:w="15" w:type="dxa"/>
            </w:tcMar>
            <w:vAlign w:val="center"/>
          </w:tcPr>
          <w:p w14:paraId="3EBBD534" w14:textId="77777777" w:rsidR="004677C8" w:rsidRPr="004677C8" w:rsidRDefault="004677C8" w:rsidP="004677C8">
            <w:pPr>
              <w:rPr>
                <w:rFonts w:ascii="Arial" w:hAnsi="Arial" w:cs="Angsana New"/>
                <w:sz w:val="16"/>
                <w:szCs w:val="16"/>
                <w:lang w:val="en-GB"/>
              </w:rPr>
            </w:pPr>
          </w:p>
        </w:tc>
        <w:tc>
          <w:tcPr>
            <w:tcW w:w="1538" w:type="dxa"/>
            <w:tcMar>
              <w:top w:w="15" w:type="dxa"/>
              <w:left w:w="15" w:type="dxa"/>
              <w:bottom w:w="0" w:type="dxa"/>
              <w:right w:w="15" w:type="dxa"/>
            </w:tcMar>
            <w:vAlign w:val="center"/>
          </w:tcPr>
          <w:p w14:paraId="46EF0C06" w14:textId="77777777" w:rsidR="004677C8" w:rsidRPr="004677C8" w:rsidRDefault="004677C8" w:rsidP="004677C8">
            <w:pPr>
              <w:rPr>
                <w:rFonts w:ascii="Arial" w:hAnsi="Arial" w:cs="Angsana New"/>
                <w:sz w:val="16"/>
                <w:szCs w:val="16"/>
                <w:lang w:val="en-GB"/>
              </w:rPr>
            </w:pPr>
            <w:r w:rsidRPr="004677C8">
              <w:rPr>
                <w:rFonts w:ascii="Arial" w:hAnsi="Arial" w:cs="Angsana New"/>
                <w:sz w:val="16"/>
                <w:szCs w:val="16"/>
                <w:lang w:val="en-GB"/>
              </w:rPr>
              <w:t>Malampaya sound-U; Pansipit-N</w:t>
            </w:r>
          </w:p>
        </w:tc>
        <w:tc>
          <w:tcPr>
            <w:tcW w:w="1650" w:type="dxa"/>
            <w:tcMar>
              <w:top w:w="15" w:type="dxa"/>
              <w:left w:w="15" w:type="dxa"/>
              <w:bottom w:w="0" w:type="dxa"/>
              <w:right w:w="15" w:type="dxa"/>
            </w:tcMar>
            <w:vAlign w:val="center"/>
          </w:tcPr>
          <w:p w14:paraId="5BAD1DBE" w14:textId="77777777" w:rsidR="004677C8" w:rsidRPr="004677C8" w:rsidRDefault="004677C8" w:rsidP="004677C8">
            <w:pPr>
              <w:rPr>
                <w:rFonts w:ascii="Arial" w:hAnsi="Arial" w:cs="Angsana New"/>
                <w:sz w:val="16"/>
                <w:szCs w:val="16"/>
                <w:lang w:val="en-GB"/>
              </w:rPr>
            </w:pPr>
            <w:r w:rsidRPr="004677C8">
              <w:rPr>
                <w:rFonts w:ascii="Arial" w:hAnsi="Arial" w:cs="Angsana New"/>
                <w:sz w:val="16"/>
                <w:szCs w:val="16"/>
                <w:lang w:val="en-GB"/>
              </w:rPr>
              <w:t>Manila Bay-N</w:t>
            </w:r>
          </w:p>
        </w:tc>
        <w:tc>
          <w:tcPr>
            <w:tcW w:w="1548" w:type="dxa"/>
            <w:tcMar>
              <w:top w:w="15" w:type="dxa"/>
              <w:left w:w="15" w:type="dxa"/>
              <w:bottom w:w="0" w:type="dxa"/>
              <w:right w:w="15" w:type="dxa"/>
            </w:tcMar>
            <w:vAlign w:val="center"/>
          </w:tcPr>
          <w:p w14:paraId="1B5ADA84" w14:textId="77777777" w:rsidR="004677C8" w:rsidRPr="004677C8" w:rsidRDefault="004677C8" w:rsidP="004677C8">
            <w:pPr>
              <w:rPr>
                <w:rFonts w:ascii="Arial" w:hAnsi="Arial" w:cs="Angsana New"/>
                <w:sz w:val="16"/>
                <w:szCs w:val="16"/>
                <w:lang w:val="en-GB"/>
              </w:rPr>
            </w:pPr>
          </w:p>
        </w:tc>
        <w:tc>
          <w:tcPr>
            <w:tcW w:w="2010" w:type="dxa"/>
          </w:tcPr>
          <w:p w14:paraId="077DC14A" w14:textId="77777777" w:rsidR="004677C8" w:rsidRPr="004677C8" w:rsidRDefault="004677C8" w:rsidP="004677C8">
            <w:pPr>
              <w:rPr>
                <w:rFonts w:ascii="Arial" w:hAnsi="Arial" w:cs="Angsana New"/>
                <w:sz w:val="16"/>
                <w:szCs w:val="16"/>
                <w:lang w:val="en-GB"/>
              </w:rPr>
            </w:pPr>
          </w:p>
        </w:tc>
      </w:tr>
      <w:tr w:rsidR="004677C8" w:rsidRPr="004677C8" w14:paraId="149E0CD8" w14:textId="77777777" w:rsidTr="00E030C3">
        <w:trPr>
          <w:trHeight w:val="128"/>
          <w:jc w:val="center"/>
        </w:trPr>
        <w:tc>
          <w:tcPr>
            <w:tcW w:w="1081" w:type="dxa"/>
            <w:tcMar>
              <w:top w:w="15" w:type="dxa"/>
              <w:left w:w="15" w:type="dxa"/>
              <w:bottom w:w="0" w:type="dxa"/>
              <w:right w:w="15" w:type="dxa"/>
            </w:tcMar>
            <w:vAlign w:val="center"/>
          </w:tcPr>
          <w:p w14:paraId="32818B45" w14:textId="77777777" w:rsidR="004677C8" w:rsidRPr="004677C8" w:rsidRDefault="004677C8" w:rsidP="004677C8">
            <w:pPr>
              <w:ind w:left="94"/>
              <w:rPr>
                <w:rFonts w:ascii="Arial" w:hAnsi="Arial" w:cs="Angsana New"/>
                <w:b/>
                <w:bCs/>
                <w:sz w:val="16"/>
                <w:szCs w:val="16"/>
                <w:lang w:val="en-GB"/>
              </w:rPr>
            </w:pPr>
            <w:smartTag w:uri="urn:schemas-microsoft-com:office:smarttags" w:element="place">
              <w:smartTag w:uri="urn:schemas-microsoft-com:office:smarttags" w:element="country-region">
                <w:r w:rsidRPr="004677C8">
                  <w:rPr>
                    <w:rFonts w:ascii="Arial" w:hAnsi="Arial" w:cs="Angsana New"/>
                    <w:b/>
                    <w:bCs/>
                    <w:sz w:val="16"/>
                    <w:szCs w:val="16"/>
                    <w:lang w:val="en-GB"/>
                  </w:rPr>
                  <w:t>Thailand</w:t>
                </w:r>
              </w:smartTag>
            </w:smartTag>
          </w:p>
        </w:tc>
        <w:tc>
          <w:tcPr>
            <w:tcW w:w="1529" w:type="dxa"/>
            <w:tcMar>
              <w:top w:w="15" w:type="dxa"/>
              <w:left w:w="15" w:type="dxa"/>
              <w:bottom w:w="0" w:type="dxa"/>
              <w:right w:w="15" w:type="dxa"/>
            </w:tcMar>
            <w:vAlign w:val="center"/>
          </w:tcPr>
          <w:p w14:paraId="2EC894A2" w14:textId="77777777" w:rsidR="004677C8" w:rsidRPr="004677C8" w:rsidRDefault="004677C8" w:rsidP="004677C8">
            <w:pPr>
              <w:rPr>
                <w:rFonts w:ascii="Arial" w:hAnsi="Arial" w:cs="Angsana New"/>
                <w:sz w:val="16"/>
                <w:szCs w:val="16"/>
                <w:lang w:val="en-GB"/>
              </w:rPr>
            </w:pPr>
          </w:p>
        </w:tc>
        <w:tc>
          <w:tcPr>
            <w:tcW w:w="1538" w:type="dxa"/>
            <w:tcMar>
              <w:top w:w="15" w:type="dxa"/>
              <w:left w:w="15" w:type="dxa"/>
              <w:bottom w:w="0" w:type="dxa"/>
              <w:right w:w="15" w:type="dxa"/>
            </w:tcMar>
            <w:vAlign w:val="center"/>
          </w:tcPr>
          <w:p w14:paraId="5FFAD807" w14:textId="77777777" w:rsidR="004677C8" w:rsidRPr="004677C8" w:rsidRDefault="004677C8" w:rsidP="004677C8">
            <w:pPr>
              <w:rPr>
                <w:rFonts w:ascii="Arial" w:hAnsi="Arial" w:cs="Angsana New"/>
                <w:sz w:val="16"/>
                <w:szCs w:val="16"/>
                <w:lang w:val="en-GB"/>
              </w:rPr>
            </w:pPr>
          </w:p>
        </w:tc>
        <w:tc>
          <w:tcPr>
            <w:tcW w:w="1650" w:type="dxa"/>
            <w:tcMar>
              <w:top w:w="15" w:type="dxa"/>
              <w:left w:w="15" w:type="dxa"/>
              <w:bottom w:w="0" w:type="dxa"/>
              <w:right w:w="15" w:type="dxa"/>
            </w:tcMar>
            <w:vAlign w:val="center"/>
          </w:tcPr>
          <w:p w14:paraId="353E61D4" w14:textId="77777777" w:rsidR="004677C8" w:rsidRPr="004677C8" w:rsidRDefault="004677C8" w:rsidP="004677C8">
            <w:pPr>
              <w:rPr>
                <w:rFonts w:ascii="Arial" w:hAnsi="Arial" w:cs="Angsana New"/>
                <w:sz w:val="16"/>
                <w:szCs w:val="16"/>
                <w:lang w:val="en-GB"/>
              </w:rPr>
            </w:pPr>
          </w:p>
        </w:tc>
        <w:tc>
          <w:tcPr>
            <w:tcW w:w="1548" w:type="dxa"/>
            <w:tcMar>
              <w:top w:w="15" w:type="dxa"/>
              <w:left w:w="15" w:type="dxa"/>
              <w:bottom w:w="0" w:type="dxa"/>
              <w:right w:w="15" w:type="dxa"/>
            </w:tcMar>
            <w:vAlign w:val="center"/>
          </w:tcPr>
          <w:p w14:paraId="353BE153" w14:textId="77777777" w:rsidR="004677C8" w:rsidRPr="004677C8" w:rsidRDefault="004677C8" w:rsidP="004677C8">
            <w:pPr>
              <w:rPr>
                <w:rFonts w:ascii="Arial" w:hAnsi="Arial" w:cs="Angsana New"/>
                <w:sz w:val="16"/>
                <w:szCs w:val="16"/>
                <w:lang w:val="en-GB"/>
              </w:rPr>
            </w:pPr>
            <w:r w:rsidRPr="004677C8">
              <w:rPr>
                <w:rFonts w:ascii="Arial" w:hAnsi="Arial" w:cs="Angsana New"/>
                <w:sz w:val="16"/>
                <w:szCs w:val="16"/>
                <w:lang w:val="en-GB"/>
              </w:rPr>
              <w:t>Thale Noi non hunting area – U</w:t>
            </w:r>
          </w:p>
        </w:tc>
        <w:tc>
          <w:tcPr>
            <w:tcW w:w="2010" w:type="dxa"/>
          </w:tcPr>
          <w:p w14:paraId="554008CA" w14:textId="77777777" w:rsidR="004677C8" w:rsidRPr="004677C8" w:rsidRDefault="004677C8" w:rsidP="004677C8">
            <w:pPr>
              <w:rPr>
                <w:rFonts w:ascii="Arial" w:hAnsi="Arial" w:cs="Angsana New"/>
                <w:sz w:val="16"/>
                <w:szCs w:val="16"/>
                <w:lang w:val="pl-PL"/>
              </w:rPr>
            </w:pPr>
            <w:r w:rsidRPr="004677C8">
              <w:rPr>
                <w:rFonts w:ascii="Arial" w:hAnsi="Arial" w:cs="Angsana New"/>
                <w:sz w:val="16"/>
                <w:szCs w:val="16"/>
                <w:lang w:val="pl-PL"/>
              </w:rPr>
              <w:t>Khao Sam Roi Yot National Park-U</w:t>
            </w:r>
          </w:p>
        </w:tc>
      </w:tr>
      <w:tr w:rsidR="004677C8" w:rsidRPr="004677C8" w14:paraId="78CB2202" w14:textId="77777777" w:rsidTr="00E030C3">
        <w:trPr>
          <w:trHeight w:val="155"/>
          <w:jc w:val="center"/>
        </w:trPr>
        <w:tc>
          <w:tcPr>
            <w:tcW w:w="1081" w:type="dxa"/>
            <w:tcMar>
              <w:top w:w="15" w:type="dxa"/>
              <w:left w:w="15" w:type="dxa"/>
              <w:bottom w:w="0" w:type="dxa"/>
              <w:right w:w="15" w:type="dxa"/>
            </w:tcMar>
            <w:vAlign w:val="center"/>
          </w:tcPr>
          <w:p w14:paraId="0E5F7DAF" w14:textId="77777777" w:rsidR="004677C8" w:rsidRPr="004677C8" w:rsidRDefault="004677C8" w:rsidP="0079667C">
            <w:pPr>
              <w:ind w:left="94"/>
              <w:rPr>
                <w:rFonts w:ascii="Arial" w:hAnsi="Arial" w:cs="Angsana New"/>
                <w:b/>
                <w:bCs/>
                <w:sz w:val="16"/>
                <w:szCs w:val="16"/>
                <w:lang w:val="en-GB"/>
              </w:rPr>
            </w:pPr>
            <w:r w:rsidRPr="004677C8">
              <w:rPr>
                <w:rFonts w:ascii="Arial" w:hAnsi="Arial" w:cs="Angsana New"/>
                <w:b/>
                <w:bCs/>
                <w:sz w:val="16"/>
                <w:szCs w:val="16"/>
                <w:lang w:val="en-GB"/>
              </w:rPr>
              <w:t>Viet Nam</w:t>
            </w:r>
          </w:p>
        </w:tc>
        <w:tc>
          <w:tcPr>
            <w:tcW w:w="1529" w:type="dxa"/>
            <w:tcMar>
              <w:top w:w="15" w:type="dxa"/>
              <w:left w:w="15" w:type="dxa"/>
              <w:bottom w:w="0" w:type="dxa"/>
              <w:right w:w="15" w:type="dxa"/>
            </w:tcMar>
            <w:vAlign w:val="center"/>
          </w:tcPr>
          <w:p w14:paraId="0065536F" w14:textId="77777777" w:rsidR="004677C8" w:rsidRPr="00B62FD7" w:rsidRDefault="004677C8" w:rsidP="004677C8">
            <w:pPr>
              <w:rPr>
                <w:rFonts w:ascii="Arial" w:hAnsi="Arial" w:cs="Angsana New"/>
                <w:sz w:val="16"/>
                <w:szCs w:val="16"/>
                <w:lang w:val="pt-BR"/>
              </w:rPr>
            </w:pPr>
            <w:r w:rsidRPr="00B62FD7">
              <w:rPr>
                <w:rFonts w:ascii="Arial" w:hAnsi="Arial" w:cs="Angsana New"/>
                <w:sz w:val="16"/>
                <w:szCs w:val="16"/>
                <w:lang w:val="pt-BR"/>
              </w:rPr>
              <w:t xml:space="preserve">Tamgiang-Cauhai-N; </w:t>
            </w:r>
          </w:p>
          <w:p w14:paraId="4A3E66EC" w14:textId="77777777" w:rsidR="004677C8" w:rsidRPr="00B62FD7" w:rsidRDefault="004677C8" w:rsidP="004677C8">
            <w:pPr>
              <w:rPr>
                <w:rFonts w:ascii="Arial" w:hAnsi="Arial" w:cs="Angsana New"/>
                <w:sz w:val="16"/>
                <w:szCs w:val="16"/>
                <w:lang w:val="pt-BR"/>
              </w:rPr>
            </w:pPr>
            <w:r w:rsidRPr="00B62FD7">
              <w:rPr>
                <w:rFonts w:ascii="Arial" w:hAnsi="Arial" w:cs="Angsana New"/>
                <w:sz w:val="16"/>
                <w:szCs w:val="16"/>
                <w:lang w:val="pt-BR"/>
              </w:rPr>
              <w:t>Thi Nai-N</w:t>
            </w:r>
          </w:p>
        </w:tc>
        <w:tc>
          <w:tcPr>
            <w:tcW w:w="1538" w:type="dxa"/>
            <w:tcMar>
              <w:top w:w="15" w:type="dxa"/>
              <w:left w:w="15" w:type="dxa"/>
              <w:bottom w:w="0" w:type="dxa"/>
              <w:right w:w="15" w:type="dxa"/>
            </w:tcMar>
            <w:vAlign w:val="center"/>
          </w:tcPr>
          <w:p w14:paraId="56FF3BE8" w14:textId="77777777" w:rsidR="004677C8" w:rsidRPr="004677C8" w:rsidRDefault="004677C8" w:rsidP="004677C8">
            <w:pPr>
              <w:rPr>
                <w:rFonts w:ascii="Arial" w:hAnsi="Arial" w:cs="Angsana New"/>
                <w:sz w:val="16"/>
                <w:szCs w:val="16"/>
                <w:lang w:val="es-ES"/>
              </w:rPr>
            </w:pPr>
            <w:r w:rsidRPr="004677C8">
              <w:rPr>
                <w:rFonts w:ascii="Arial" w:hAnsi="Arial" w:cs="Angsana New"/>
                <w:sz w:val="16"/>
                <w:szCs w:val="16"/>
                <w:lang w:val="es-ES"/>
              </w:rPr>
              <w:t>Tien River Estuary;</w:t>
            </w:r>
          </w:p>
          <w:p w14:paraId="18AA2925" w14:textId="77777777" w:rsidR="004677C8" w:rsidRPr="004677C8" w:rsidRDefault="004677C8" w:rsidP="004677C8">
            <w:pPr>
              <w:rPr>
                <w:rFonts w:ascii="Arial" w:hAnsi="Arial" w:cs="Angsana New"/>
                <w:sz w:val="16"/>
                <w:szCs w:val="16"/>
                <w:lang w:val="es-ES"/>
              </w:rPr>
            </w:pPr>
            <w:r w:rsidRPr="004677C8">
              <w:rPr>
                <w:rFonts w:ascii="Arial" w:hAnsi="Arial" w:cs="Angsana New"/>
                <w:sz w:val="16"/>
                <w:szCs w:val="16"/>
                <w:lang w:val="es-ES"/>
              </w:rPr>
              <w:t>Dong Nai-U; Balat-U</w:t>
            </w:r>
          </w:p>
        </w:tc>
        <w:tc>
          <w:tcPr>
            <w:tcW w:w="1650" w:type="dxa"/>
            <w:tcMar>
              <w:top w:w="15" w:type="dxa"/>
              <w:left w:w="15" w:type="dxa"/>
              <w:bottom w:w="0" w:type="dxa"/>
              <w:right w:w="15" w:type="dxa"/>
            </w:tcMar>
            <w:vAlign w:val="center"/>
          </w:tcPr>
          <w:p w14:paraId="52F93F91" w14:textId="77777777" w:rsidR="004677C8" w:rsidRPr="004677C8" w:rsidRDefault="004677C8" w:rsidP="004677C8">
            <w:pPr>
              <w:rPr>
                <w:rFonts w:ascii="Arial" w:hAnsi="Arial" w:cs="Angsana New"/>
                <w:sz w:val="16"/>
                <w:szCs w:val="16"/>
                <w:lang w:val="en-GB"/>
              </w:rPr>
            </w:pPr>
            <w:r w:rsidRPr="004677C8">
              <w:rPr>
                <w:rFonts w:ascii="Arial" w:hAnsi="Arial" w:cs="Angsana New"/>
                <w:sz w:val="16"/>
                <w:szCs w:val="16"/>
                <w:lang w:val="en-GB"/>
              </w:rPr>
              <w:t>Southwest Ca Mau-U</w:t>
            </w:r>
          </w:p>
        </w:tc>
        <w:tc>
          <w:tcPr>
            <w:tcW w:w="1548" w:type="dxa"/>
            <w:tcMar>
              <w:top w:w="15" w:type="dxa"/>
              <w:left w:w="15" w:type="dxa"/>
              <w:bottom w:w="0" w:type="dxa"/>
              <w:right w:w="15" w:type="dxa"/>
            </w:tcMar>
            <w:vAlign w:val="center"/>
          </w:tcPr>
          <w:p w14:paraId="3F087052" w14:textId="77777777" w:rsidR="004677C8" w:rsidRPr="004677C8" w:rsidRDefault="004677C8" w:rsidP="004677C8">
            <w:pPr>
              <w:rPr>
                <w:rFonts w:ascii="Arial" w:hAnsi="Arial" w:cs="Angsana New"/>
                <w:sz w:val="16"/>
                <w:szCs w:val="16"/>
                <w:lang w:val="en-GB"/>
              </w:rPr>
            </w:pPr>
          </w:p>
        </w:tc>
        <w:tc>
          <w:tcPr>
            <w:tcW w:w="2010" w:type="dxa"/>
          </w:tcPr>
          <w:p w14:paraId="41C9E10A" w14:textId="77777777" w:rsidR="004677C8" w:rsidRPr="004677C8" w:rsidRDefault="004677C8" w:rsidP="004677C8">
            <w:pPr>
              <w:rPr>
                <w:rFonts w:ascii="Arial" w:hAnsi="Arial" w:cs="Angsana New"/>
                <w:sz w:val="16"/>
                <w:szCs w:val="16"/>
                <w:lang w:val="en-GB"/>
              </w:rPr>
            </w:pPr>
          </w:p>
        </w:tc>
      </w:tr>
      <w:tr w:rsidR="004677C8" w:rsidRPr="004677C8" w14:paraId="3376627E" w14:textId="77777777" w:rsidTr="00E030C3">
        <w:trPr>
          <w:trHeight w:val="111"/>
          <w:jc w:val="center"/>
        </w:trPr>
        <w:tc>
          <w:tcPr>
            <w:tcW w:w="1081" w:type="dxa"/>
            <w:tcMar>
              <w:top w:w="15" w:type="dxa"/>
              <w:left w:w="15" w:type="dxa"/>
              <w:bottom w:w="0" w:type="dxa"/>
              <w:right w:w="15" w:type="dxa"/>
            </w:tcMar>
            <w:vAlign w:val="center"/>
          </w:tcPr>
          <w:p w14:paraId="23E49DB7" w14:textId="77777777" w:rsidR="004677C8" w:rsidRPr="004677C8" w:rsidRDefault="004677C8" w:rsidP="004677C8">
            <w:pPr>
              <w:jc w:val="center"/>
              <w:rPr>
                <w:rFonts w:ascii="Arial" w:hAnsi="Arial" w:cs="Angsana New"/>
                <w:b/>
                <w:bCs/>
                <w:sz w:val="16"/>
                <w:szCs w:val="16"/>
                <w:lang w:val="en-GB"/>
              </w:rPr>
            </w:pPr>
            <w:r w:rsidRPr="004677C8">
              <w:rPr>
                <w:rFonts w:ascii="Arial" w:hAnsi="Arial" w:cs="Angsana New"/>
                <w:b/>
                <w:bCs/>
                <w:sz w:val="16"/>
                <w:szCs w:val="16"/>
                <w:lang w:val="en-GB"/>
              </w:rPr>
              <w:t>Total</w:t>
            </w:r>
          </w:p>
        </w:tc>
        <w:tc>
          <w:tcPr>
            <w:tcW w:w="1529" w:type="dxa"/>
            <w:tcMar>
              <w:top w:w="15" w:type="dxa"/>
              <w:left w:w="15" w:type="dxa"/>
              <w:bottom w:w="0" w:type="dxa"/>
              <w:right w:w="15" w:type="dxa"/>
            </w:tcMar>
            <w:vAlign w:val="center"/>
          </w:tcPr>
          <w:p w14:paraId="14833A0B" w14:textId="77777777" w:rsidR="004677C8" w:rsidRPr="004677C8" w:rsidRDefault="004677C8" w:rsidP="004677C8">
            <w:pPr>
              <w:jc w:val="center"/>
              <w:rPr>
                <w:rFonts w:ascii="Arial" w:hAnsi="Arial" w:cs="Angsana New"/>
                <w:b/>
                <w:bCs/>
                <w:sz w:val="16"/>
                <w:szCs w:val="16"/>
                <w:lang w:val="en-GB"/>
              </w:rPr>
            </w:pPr>
            <w:r w:rsidRPr="004677C8">
              <w:rPr>
                <w:rFonts w:ascii="Arial" w:hAnsi="Arial" w:cs="Angsana New"/>
                <w:b/>
                <w:bCs/>
                <w:sz w:val="16"/>
                <w:szCs w:val="16"/>
                <w:lang w:val="en-GB"/>
              </w:rPr>
              <w:t>3</w:t>
            </w:r>
          </w:p>
        </w:tc>
        <w:tc>
          <w:tcPr>
            <w:tcW w:w="1538" w:type="dxa"/>
            <w:tcMar>
              <w:top w:w="15" w:type="dxa"/>
              <w:left w:w="15" w:type="dxa"/>
              <w:bottom w:w="0" w:type="dxa"/>
              <w:right w:w="15" w:type="dxa"/>
            </w:tcMar>
            <w:vAlign w:val="center"/>
          </w:tcPr>
          <w:p w14:paraId="09567331" w14:textId="77777777" w:rsidR="004677C8" w:rsidRPr="004677C8" w:rsidRDefault="004677C8" w:rsidP="004677C8">
            <w:pPr>
              <w:jc w:val="center"/>
              <w:rPr>
                <w:rFonts w:ascii="Arial" w:hAnsi="Arial" w:cs="Angsana New"/>
                <w:b/>
                <w:bCs/>
                <w:sz w:val="16"/>
                <w:szCs w:val="16"/>
                <w:lang w:val="en-GB"/>
              </w:rPr>
            </w:pPr>
            <w:r w:rsidRPr="004677C8">
              <w:rPr>
                <w:rFonts w:ascii="Arial" w:hAnsi="Arial" w:cs="Angsana New"/>
                <w:b/>
                <w:bCs/>
                <w:sz w:val="16"/>
                <w:szCs w:val="16"/>
                <w:lang w:val="en-GB"/>
              </w:rPr>
              <w:t>9</w:t>
            </w:r>
          </w:p>
        </w:tc>
        <w:tc>
          <w:tcPr>
            <w:tcW w:w="1650" w:type="dxa"/>
            <w:tcMar>
              <w:top w:w="15" w:type="dxa"/>
              <w:left w:w="15" w:type="dxa"/>
              <w:bottom w:w="0" w:type="dxa"/>
              <w:right w:w="15" w:type="dxa"/>
            </w:tcMar>
            <w:vAlign w:val="center"/>
          </w:tcPr>
          <w:p w14:paraId="548DE54F" w14:textId="77777777" w:rsidR="004677C8" w:rsidRPr="004677C8" w:rsidRDefault="004677C8" w:rsidP="004677C8">
            <w:pPr>
              <w:jc w:val="center"/>
              <w:rPr>
                <w:rFonts w:ascii="Arial" w:hAnsi="Arial" w:cs="Angsana New"/>
                <w:b/>
                <w:bCs/>
                <w:sz w:val="16"/>
                <w:szCs w:val="16"/>
                <w:lang w:val="en-GB"/>
              </w:rPr>
            </w:pPr>
            <w:r w:rsidRPr="004677C8">
              <w:rPr>
                <w:rFonts w:ascii="Arial" w:hAnsi="Arial" w:cs="Angsana New"/>
                <w:b/>
                <w:bCs/>
                <w:sz w:val="16"/>
                <w:szCs w:val="16"/>
                <w:lang w:val="en-GB"/>
              </w:rPr>
              <w:t>5</w:t>
            </w:r>
          </w:p>
        </w:tc>
        <w:tc>
          <w:tcPr>
            <w:tcW w:w="1548" w:type="dxa"/>
            <w:tcMar>
              <w:top w:w="15" w:type="dxa"/>
              <w:left w:w="15" w:type="dxa"/>
              <w:bottom w:w="0" w:type="dxa"/>
              <w:right w:w="15" w:type="dxa"/>
            </w:tcMar>
            <w:vAlign w:val="center"/>
          </w:tcPr>
          <w:p w14:paraId="62A2DE9D" w14:textId="77777777" w:rsidR="004677C8" w:rsidRPr="004677C8" w:rsidRDefault="004677C8" w:rsidP="004677C8">
            <w:pPr>
              <w:jc w:val="center"/>
              <w:rPr>
                <w:rFonts w:ascii="Arial" w:hAnsi="Arial" w:cs="Angsana New"/>
                <w:b/>
                <w:bCs/>
                <w:sz w:val="16"/>
                <w:szCs w:val="16"/>
                <w:lang w:val="en-GB"/>
              </w:rPr>
            </w:pPr>
            <w:r w:rsidRPr="004677C8">
              <w:rPr>
                <w:rFonts w:ascii="Arial" w:hAnsi="Arial" w:cs="Angsana New"/>
                <w:b/>
                <w:bCs/>
                <w:sz w:val="16"/>
                <w:szCs w:val="16"/>
                <w:lang w:val="en-GB"/>
              </w:rPr>
              <w:t>1</w:t>
            </w:r>
          </w:p>
        </w:tc>
        <w:tc>
          <w:tcPr>
            <w:tcW w:w="2010" w:type="dxa"/>
          </w:tcPr>
          <w:p w14:paraId="1D4321DA" w14:textId="77777777" w:rsidR="004677C8" w:rsidRPr="004677C8" w:rsidRDefault="004677C8" w:rsidP="004677C8">
            <w:pPr>
              <w:jc w:val="center"/>
              <w:rPr>
                <w:rFonts w:ascii="Arial" w:hAnsi="Arial" w:cs="Angsana New"/>
                <w:b/>
                <w:bCs/>
                <w:sz w:val="16"/>
                <w:szCs w:val="16"/>
                <w:lang w:val="en-GB"/>
              </w:rPr>
            </w:pPr>
            <w:r w:rsidRPr="004677C8">
              <w:rPr>
                <w:rFonts w:ascii="Arial" w:hAnsi="Arial" w:cs="Angsana New"/>
                <w:b/>
                <w:bCs/>
                <w:sz w:val="16"/>
                <w:szCs w:val="16"/>
                <w:lang w:val="en-GB"/>
              </w:rPr>
              <w:t>1</w:t>
            </w:r>
          </w:p>
        </w:tc>
      </w:tr>
    </w:tbl>
    <w:p w14:paraId="5FAD3B63" w14:textId="77777777" w:rsidR="00E20038" w:rsidRDefault="00E573CD" w:rsidP="00DE3C4A">
      <w:pPr>
        <w:numPr>
          <w:ilvl w:val="0"/>
          <w:numId w:val="3"/>
        </w:numPr>
        <w:spacing w:before="120" w:after="120"/>
        <w:ind w:left="0" w:firstLine="0"/>
        <w:jc w:val="both"/>
        <w:rPr>
          <w:sz w:val="22"/>
          <w:szCs w:val="22"/>
          <w:lang w:val="en-GB"/>
        </w:rPr>
      </w:pPr>
      <w:r>
        <w:rPr>
          <w:sz w:val="22"/>
          <w:szCs w:val="22"/>
          <w:lang w:val="en-GB"/>
        </w:rPr>
        <w:t xml:space="preserve">As for the other coastal habitats, </w:t>
      </w:r>
      <w:r w:rsidRPr="000134F9">
        <w:rPr>
          <w:sz w:val="22"/>
          <w:szCs w:val="22"/>
          <w:lang w:val="en-GB"/>
        </w:rPr>
        <w:t xml:space="preserve">comprehensive site characterization information and data were compiled to establish detailed baselines for the </w:t>
      </w:r>
      <w:r>
        <w:rPr>
          <w:sz w:val="22"/>
          <w:szCs w:val="22"/>
          <w:lang w:val="en-GB"/>
        </w:rPr>
        <w:t>wetland</w:t>
      </w:r>
      <w:r w:rsidRPr="000134F9">
        <w:rPr>
          <w:sz w:val="22"/>
          <w:szCs w:val="22"/>
          <w:lang w:val="en-GB"/>
        </w:rPr>
        <w:t xml:space="preserve"> sites identified as priority locations for management within the framework of SAP implementation. These site characterisations contain geographical coordinates, information on the physical environment, environmental state information, socio-economic and resource use information, biological data, and information on the status of existing management at these sites. These baseline assessments of the sites have been made accessible o</w:t>
      </w:r>
      <w:r>
        <w:rPr>
          <w:sz w:val="22"/>
          <w:szCs w:val="22"/>
          <w:lang w:val="en-GB"/>
        </w:rPr>
        <w:t>nline at http://gis.unepscs.org</w:t>
      </w:r>
      <w:r w:rsidRPr="000134F9">
        <w:rPr>
          <w:sz w:val="22"/>
          <w:szCs w:val="22"/>
          <w:lang w:val="en-GB"/>
        </w:rPr>
        <w:t>. A supporting meta-database of the data used to establish the baselines has also been deve</w:t>
      </w:r>
      <w:r>
        <w:rPr>
          <w:sz w:val="22"/>
          <w:szCs w:val="22"/>
          <w:lang w:val="en-GB"/>
        </w:rPr>
        <w:t>loped as a preparatory activity</w:t>
      </w:r>
      <w:r w:rsidRPr="000134F9">
        <w:rPr>
          <w:sz w:val="22"/>
          <w:szCs w:val="22"/>
          <w:lang w:val="en-GB"/>
        </w:rPr>
        <w:t xml:space="preserve">. Detailed national reports on the status and trends in </w:t>
      </w:r>
      <w:r>
        <w:rPr>
          <w:sz w:val="22"/>
          <w:szCs w:val="22"/>
          <w:lang w:val="en-GB"/>
        </w:rPr>
        <w:t>wetlands and wetland</w:t>
      </w:r>
      <w:r w:rsidRPr="000134F9">
        <w:rPr>
          <w:sz w:val="22"/>
          <w:szCs w:val="22"/>
          <w:lang w:val="en-GB"/>
        </w:rPr>
        <w:t xml:space="preserve"> management were also published in pre</w:t>
      </w:r>
      <w:r>
        <w:rPr>
          <w:sz w:val="22"/>
          <w:szCs w:val="22"/>
          <w:lang w:val="en-GB"/>
        </w:rPr>
        <w:t>paration for SAP implementation</w:t>
      </w:r>
      <w:r>
        <w:rPr>
          <w:rStyle w:val="FootnoteReference"/>
          <w:sz w:val="22"/>
          <w:szCs w:val="22"/>
          <w:lang w:val="en-GB"/>
        </w:rPr>
        <w:footnoteReference w:id="74"/>
      </w:r>
      <w:r>
        <w:rPr>
          <w:sz w:val="22"/>
          <w:szCs w:val="22"/>
          <w:lang w:val="en-GB"/>
        </w:rPr>
        <w:t>.</w:t>
      </w:r>
    </w:p>
    <w:p w14:paraId="13CC26F9" w14:textId="77777777" w:rsidR="00E573CD" w:rsidRDefault="00E573CD" w:rsidP="00E573CD">
      <w:pPr>
        <w:numPr>
          <w:ilvl w:val="0"/>
          <w:numId w:val="3"/>
        </w:numPr>
        <w:spacing w:before="120" w:after="120"/>
        <w:ind w:left="0" w:firstLine="0"/>
        <w:jc w:val="both"/>
        <w:rPr>
          <w:sz w:val="22"/>
          <w:szCs w:val="22"/>
          <w:lang w:val="en-GB"/>
        </w:rPr>
      </w:pPr>
      <w:r>
        <w:rPr>
          <w:sz w:val="22"/>
          <w:szCs w:val="22"/>
          <w:lang w:val="en-GB"/>
        </w:rPr>
        <w:t>Activities to achieve Outcome 1.4 are focused</w:t>
      </w:r>
      <w:r w:rsidRPr="00E573CD">
        <w:rPr>
          <w:sz w:val="22"/>
          <w:szCs w:val="22"/>
          <w:lang w:val="en-GB"/>
        </w:rPr>
        <w:t xml:space="preserve"> on coastal lagoons, estuaries </w:t>
      </w:r>
      <w:r>
        <w:rPr>
          <w:sz w:val="22"/>
          <w:szCs w:val="22"/>
          <w:lang w:val="en-GB"/>
        </w:rPr>
        <w:t>and mudflats and aim</w:t>
      </w:r>
      <w:r w:rsidRPr="00E573CD">
        <w:rPr>
          <w:sz w:val="22"/>
          <w:szCs w:val="22"/>
          <w:lang w:val="en-GB"/>
        </w:rPr>
        <w:t xml:space="preserve"> to improve the effectiveness of national policy, legal and institutional arrangements and co-ordination including the needed national reforms by developing and implementing  management plans for at least 3 lagoons (26,818 ha), 9 estuaries (614,680 ha), 5 tidal flats (96,903 ha), 1 peat swamp (45,700 ha) and 1 non-peat swamp (9,808 ha); declaring at least 7 wetland areas with protection status (i.e. non-hunting area, nature reserves, protected areas, Ramsar Sites) including the needed management reforms and adopting a regional estuary monitoring scheme and its national implementation.  </w:t>
      </w:r>
    </w:p>
    <w:p w14:paraId="19FFE86A" w14:textId="77777777" w:rsidR="00E573CD" w:rsidRDefault="00E573CD" w:rsidP="00E573CD">
      <w:pPr>
        <w:numPr>
          <w:ilvl w:val="0"/>
          <w:numId w:val="3"/>
        </w:numPr>
        <w:spacing w:before="120" w:after="120"/>
        <w:ind w:left="0" w:firstLine="0"/>
        <w:jc w:val="both"/>
        <w:rPr>
          <w:sz w:val="22"/>
          <w:szCs w:val="22"/>
          <w:lang w:val="en-GB"/>
        </w:rPr>
      </w:pPr>
      <w:r w:rsidRPr="00E573CD">
        <w:rPr>
          <w:sz w:val="22"/>
          <w:szCs w:val="22"/>
          <w:lang w:val="en-GB"/>
        </w:rPr>
        <w:t xml:space="preserve">Further, </w:t>
      </w:r>
      <w:r>
        <w:rPr>
          <w:sz w:val="22"/>
          <w:szCs w:val="22"/>
          <w:lang w:val="en-GB"/>
        </w:rPr>
        <w:t>activities are planned to strengthen</w:t>
      </w:r>
      <w:r w:rsidRPr="00E573CD">
        <w:rPr>
          <w:sz w:val="22"/>
          <w:szCs w:val="22"/>
          <w:lang w:val="en-GB"/>
        </w:rPr>
        <w:t xml:space="preserve"> the Regional Working Group on Wetlands, as the regional scientific and technical advisory body on coastal wetland management; and, by establishing linkages among wetland management institutes or agencies in the region and between and within the academic and professional communities. Activities are </w:t>
      </w:r>
      <w:r>
        <w:rPr>
          <w:sz w:val="22"/>
          <w:szCs w:val="22"/>
          <w:lang w:val="en-GB"/>
        </w:rPr>
        <w:t xml:space="preserve">also planned </w:t>
      </w:r>
      <w:r w:rsidRPr="00E573CD">
        <w:rPr>
          <w:sz w:val="22"/>
          <w:szCs w:val="22"/>
          <w:lang w:val="en-GB"/>
        </w:rPr>
        <w:t xml:space="preserve">to enhance and sustain the capacity of wetland management agencies and strengthen knowledge and public awareness on the wise use of wetlands in the region. </w:t>
      </w:r>
    </w:p>
    <w:p w14:paraId="0983E8B4" w14:textId="77777777" w:rsidR="00E573CD" w:rsidRDefault="00E573CD" w:rsidP="00E573CD">
      <w:pPr>
        <w:numPr>
          <w:ilvl w:val="0"/>
          <w:numId w:val="3"/>
        </w:numPr>
        <w:spacing w:before="120" w:after="120"/>
        <w:ind w:left="0" w:firstLine="0"/>
        <w:jc w:val="both"/>
        <w:rPr>
          <w:sz w:val="22"/>
          <w:szCs w:val="22"/>
          <w:lang w:val="en-GB"/>
        </w:rPr>
      </w:pPr>
      <w:r w:rsidRPr="00E573CD">
        <w:rPr>
          <w:sz w:val="22"/>
          <w:szCs w:val="22"/>
          <w:lang w:val="en-GB"/>
        </w:rPr>
        <w:t>Regional training needs will also be assessed and a training programme developed that will include study tours and field visits for wetland managers, community representatives, students, and NGO members. Supporting activities further include: the production and dissemination of materials for public awareness; the development of an educational centre; the development of curricula; and the production of national newsletters. Activities directed towards improving sustainable management include: tool kits for supporting the relevant legal and institutional reforms, developing regional handbooks/manuals, and guidelines for sustainable use including restoration of estuaries and coastal lagoons; maintaining regional GIS- and meta-databases; developing and implementing a regional estuary monitoring scheme; and convening of regional meetings among countries to review the status of wetland management plans.</w:t>
      </w:r>
      <w:r>
        <w:rPr>
          <w:sz w:val="22"/>
          <w:szCs w:val="22"/>
          <w:lang w:val="en-GB"/>
        </w:rPr>
        <w:t xml:space="preserve"> Specific project targets for Outcome 1.4 are summarised in Table 29.</w:t>
      </w:r>
    </w:p>
    <w:p w14:paraId="2482EBBA" w14:textId="77777777" w:rsidR="00E573CD" w:rsidRDefault="00E573CD" w:rsidP="00E573CD">
      <w:pPr>
        <w:spacing w:before="120" w:after="120"/>
        <w:jc w:val="both"/>
        <w:rPr>
          <w:sz w:val="22"/>
          <w:szCs w:val="22"/>
          <w:lang w:val="en-GB"/>
        </w:rPr>
      </w:pPr>
      <w:r w:rsidRPr="00E573CD">
        <w:rPr>
          <w:b/>
          <w:sz w:val="22"/>
          <w:szCs w:val="22"/>
          <w:lang w:val="en-GB"/>
        </w:rPr>
        <w:t>Table 29</w:t>
      </w:r>
      <w:r>
        <w:rPr>
          <w:sz w:val="22"/>
          <w:szCs w:val="22"/>
          <w:lang w:val="en-GB"/>
        </w:rPr>
        <w:tab/>
        <w:t>Baselines, targets and project indicators for Outcome 1.4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3024"/>
        <w:gridCol w:w="3017"/>
      </w:tblGrid>
      <w:tr w:rsidR="00E573CD" w:rsidRPr="005A668F" w14:paraId="51DCE6EC" w14:textId="77777777" w:rsidTr="004B053A">
        <w:tc>
          <w:tcPr>
            <w:tcW w:w="3081" w:type="dxa"/>
            <w:shd w:val="clear" w:color="auto" w:fill="auto"/>
            <w:vAlign w:val="center"/>
          </w:tcPr>
          <w:p w14:paraId="4D9A0A19" w14:textId="77777777" w:rsidR="00E573CD" w:rsidRPr="004B053A" w:rsidRDefault="00E573CD" w:rsidP="004B053A">
            <w:pPr>
              <w:jc w:val="center"/>
              <w:rPr>
                <w:b/>
                <w:sz w:val="20"/>
                <w:szCs w:val="20"/>
              </w:rPr>
            </w:pPr>
            <w:r w:rsidRPr="004B053A">
              <w:rPr>
                <w:b/>
                <w:sz w:val="20"/>
                <w:szCs w:val="20"/>
              </w:rPr>
              <w:t>Baselines</w:t>
            </w:r>
          </w:p>
        </w:tc>
        <w:tc>
          <w:tcPr>
            <w:tcW w:w="3082" w:type="dxa"/>
            <w:shd w:val="clear" w:color="auto" w:fill="auto"/>
            <w:vAlign w:val="center"/>
          </w:tcPr>
          <w:p w14:paraId="29823E85" w14:textId="77777777" w:rsidR="00E573CD" w:rsidRPr="004B053A" w:rsidRDefault="00E573CD" w:rsidP="004B053A">
            <w:pPr>
              <w:jc w:val="center"/>
              <w:rPr>
                <w:b/>
                <w:sz w:val="20"/>
                <w:szCs w:val="20"/>
              </w:rPr>
            </w:pPr>
            <w:r w:rsidRPr="004B053A">
              <w:rPr>
                <w:b/>
                <w:sz w:val="20"/>
                <w:szCs w:val="20"/>
              </w:rPr>
              <w:t>Targets</w:t>
            </w:r>
          </w:p>
        </w:tc>
        <w:tc>
          <w:tcPr>
            <w:tcW w:w="3082" w:type="dxa"/>
            <w:shd w:val="clear" w:color="auto" w:fill="auto"/>
            <w:vAlign w:val="center"/>
          </w:tcPr>
          <w:p w14:paraId="04A53B34" w14:textId="77777777" w:rsidR="00E573CD" w:rsidRPr="004B053A" w:rsidRDefault="00E573CD" w:rsidP="004B053A">
            <w:pPr>
              <w:jc w:val="center"/>
              <w:rPr>
                <w:b/>
                <w:sz w:val="20"/>
                <w:szCs w:val="20"/>
              </w:rPr>
            </w:pPr>
            <w:r w:rsidRPr="004B053A">
              <w:rPr>
                <w:b/>
                <w:sz w:val="20"/>
                <w:szCs w:val="20"/>
              </w:rPr>
              <w:t>Indicators</w:t>
            </w:r>
          </w:p>
        </w:tc>
      </w:tr>
      <w:tr w:rsidR="00E573CD" w:rsidRPr="005A668F" w14:paraId="0C22E904" w14:textId="77777777" w:rsidTr="004B053A">
        <w:trPr>
          <w:trHeight w:val="20"/>
        </w:trPr>
        <w:tc>
          <w:tcPr>
            <w:tcW w:w="3081" w:type="dxa"/>
            <w:shd w:val="clear" w:color="auto" w:fill="auto"/>
            <w:vAlign w:val="center"/>
          </w:tcPr>
          <w:p w14:paraId="2293CBF2" w14:textId="77777777" w:rsidR="00E573CD" w:rsidRPr="004B053A" w:rsidRDefault="00E573CD" w:rsidP="00E030C3">
            <w:pPr>
              <w:rPr>
                <w:sz w:val="20"/>
                <w:szCs w:val="20"/>
              </w:rPr>
            </w:pPr>
            <w:r w:rsidRPr="004B053A">
              <w:rPr>
                <w:sz w:val="20"/>
                <w:szCs w:val="20"/>
              </w:rPr>
              <w:t>Population growth, and urbanisation of the coastal fringe, combined with rapid economic growth in the SCS region places tremendous pressure on coastal wetland ecosystems</w:t>
            </w:r>
          </w:p>
        </w:tc>
        <w:tc>
          <w:tcPr>
            <w:tcW w:w="3082" w:type="dxa"/>
            <w:shd w:val="clear" w:color="auto" w:fill="auto"/>
            <w:vAlign w:val="center"/>
          </w:tcPr>
          <w:p w14:paraId="1B03BF16" w14:textId="77777777" w:rsidR="00E573CD" w:rsidRPr="004B053A" w:rsidRDefault="00E573CD" w:rsidP="00E030C3">
            <w:pPr>
              <w:rPr>
                <w:sz w:val="20"/>
                <w:szCs w:val="20"/>
              </w:rPr>
            </w:pPr>
            <w:r w:rsidRPr="004B053A">
              <w:rPr>
                <w:sz w:val="20"/>
                <w:szCs w:val="20"/>
              </w:rPr>
              <w:t>1.4.1 Integrated management plans developed and under implementation for at least 3 lagoons (26,818 ha), 9 estuaries (614,680 ha), 5 tidal flats (96,903 ha), 1 peat swamp (45,700 ha) and 1 non-peat swamp (9,808 ha)</w:t>
            </w:r>
          </w:p>
        </w:tc>
        <w:tc>
          <w:tcPr>
            <w:tcW w:w="3082" w:type="dxa"/>
            <w:shd w:val="clear" w:color="auto" w:fill="auto"/>
            <w:vAlign w:val="center"/>
          </w:tcPr>
          <w:p w14:paraId="79C65CFF" w14:textId="77777777" w:rsidR="00E573CD" w:rsidRPr="004B053A" w:rsidRDefault="00E573CD" w:rsidP="00E573CD">
            <w:pPr>
              <w:rPr>
                <w:sz w:val="20"/>
                <w:szCs w:val="20"/>
              </w:rPr>
            </w:pPr>
            <w:r w:rsidRPr="004B053A">
              <w:rPr>
                <w:sz w:val="20"/>
                <w:szCs w:val="20"/>
              </w:rPr>
              <w:t xml:space="preserve">Number of integrated management plans developed </w:t>
            </w:r>
          </w:p>
          <w:p w14:paraId="49EA90B5" w14:textId="77777777" w:rsidR="00E573CD" w:rsidRPr="004B053A" w:rsidRDefault="00E573CD" w:rsidP="00E573CD">
            <w:pPr>
              <w:rPr>
                <w:sz w:val="20"/>
                <w:szCs w:val="20"/>
              </w:rPr>
            </w:pPr>
          </w:p>
          <w:p w14:paraId="46BE4326" w14:textId="77777777" w:rsidR="00E573CD" w:rsidRPr="004B053A" w:rsidRDefault="00E573CD" w:rsidP="00E573CD">
            <w:pPr>
              <w:rPr>
                <w:sz w:val="20"/>
                <w:szCs w:val="20"/>
              </w:rPr>
            </w:pPr>
            <w:r w:rsidRPr="004B053A">
              <w:rPr>
                <w:sz w:val="20"/>
                <w:szCs w:val="20"/>
              </w:rPr>
              <w:t>Total area (ha) of wetland under management plan for sustainable use</w:t>
            </w:r>
          </w:p>
        </w:tc>
      </w:tr>
      <w:tr w:rsidR="00E573CD" w:rsidRPr="005A668F" w14:paraId="64873CC4" w14:textId="77777777" w:rsidTr="004B053A">
        <w:trPr>
          <w:trHeight w:val="20"/>
        </w:trPr>
        <w:tc>
          <w:tcPr>
            <w:tcW w:w="3081" w:type="dxa"/>
            <w:shd w:val="clear" w:color="auto" w:fill="auto"/>
            <w:vAlign w:val="center"/>
          </w:tcPr>
          <w:p w14:paraId="3251FA9F" w14:textId="77777777" w:rsidR="00E573CD" w:rsidRPr="004B053A" w:rsidRDefault="0079667C" w:rsidP="00E030C3">
            <w:pPr>
              <w:rPr>
                <w:sz w:val="20"/>
                <w:szCs w:val="20"/>
              </w:rPr>
            </w:pPr>
            <w:r w:rsidRPr="004B053A">
              <w:rPr>
                <w:sz w:val="20"/>
                <w:szCs w:val="20"/>
              </w:rPr>
              <w:t>The riparian states of SCS face significant pressure to convert wetlands for economic development with little focus on conservation or sustainable use</w:t>
            </w:r>
          </w:p>
        </w:tc>
        <w:tc>
          <w:tcPr>
            <w:tcW w:w="3082" w:type="dxa"/>
            <w:shd w:val="clear" w:color="auto" w:fill="auto"/>
            <w:vAlign w:val="center"/>
          </w:tcPr>
          <w:p w14:paraId="0E087A22" w14:textId="77777777" w:rsidR="00E573CD" w:rsidRPr="004B053A" w:rsidRDefault="0079667C" w:rsidP="00E030C3">
            <w:pPr>
              <w:rPr>
                <w:sz w:val="20"/>
                <w:szCs w:val="20"/>
              </w:rPr>
            </w:pPr>
            <w:r w:rsidRPr="004B053A">
              <w:rPr>
                <w:sz w:val="20"/>
                <w:szCs w:val="20"/>
              </w:rPr>
              <w:t>1.4.2 Declaration of at least 7 wetland areas with protection status (i.e. non-hunting area, nature reserves, protected areas, Ramsar Sites).</w:t>
            </w:r>
          </w:p>
        </w:tc>
        <w:tc>
          <w:tcPr>
            <w:tcW w:w="3082" w:type="dxa"/>
            <w:shd w:val="clear" w:color="auto" w:fill="auto"/>
            <w:vAlign w:val="center"/>
          </w:tcPr>
          <w:p w14:paraId="7642320E" w14:textId="77777777" w:rsidR="00E573CD" w:rsidRPr="004B053A" w:rsidRDefault="0079667C" w:rsidP="00E030C3">
            <w:pPr>
              <w:rPr>
                <w:sz w:val="20"/>
                <w:szCs w:val="20"/>
              </w:rPr>
            </w:pPr>
            <w:r w:rsidRPr="004B053A">
              <w:rPr>
                <w:sz w:val="20"/>
                <w:szCs w:val="20"/>
              </w:rPr>
              <w:t>Number of wetlands sites assigned protection status</w:t>
            </w:r>
          </w:p>
        </w:tc>
      </w:tr>
      <w:tr w:rsidR="00E573CD" w:rsidRPr="005A668F" w14:paraId="5C6BD302" w14:textId="77777777" w:rsidTr="004B053A">
        <w:trPr>
          <w:trHeight w:val="20"/>
        </w:trPr>
        <w:tc>
          <w:tcPr>
            <w:tcW w:w="3081" w:type="dxa"/>
            <w:shd w:val="clear" w:color="auto" w:fill="auto"/>
            <w:vAlign w:val="center"/>
          </w:tcPr>
          <w:p w14:paraId="33332ACF" w14:textId="77777777" w:rsidR="00E573CD" w:rsidRPr="004B053A" w:rsidRDefault="0079667C" w:rsidP="00E030C3">
            <w:pPr>
              <w:rPr>
                <w:sz w:val="20"/>
                <w:szCs w:val="20"/>
              </w:rPr>
            </w:pPr>
            <w:r w:rsidRPr="004B053A">
              <w:rPr>
                <w:sz w:val="20"/>
                <w:szCs w:val="20"/>
              </w:rPr>
              <w:t>Management, ecological and environmental, and socio-economic indicator frameworks developed but not yet applied at priority sites</w:t>
            </w:r>
          </w:p>
        </w:tc>
        <w:tc>
          <w:tcPr>
            <w:tcW w:w="3082" w:type="dxa"/>
            <w:shd w:val="clear" w:color="auto" w:fill="auto"/>
            <w:vAlign w:val="center"/>
          </w:tcPr>
          <w:p w14:paraId="4CFE077D" w14:textId="77777777" w:rsidR="00E573CD" w:rsidRPr="004B053A" w:rsidRDefault="0079667C" w:rsidP="00E030C3">
            <w:pPr>
              <w:rPr>
                <w:sz w:val="20"/>
                <w:szCs w:val="20"/>
              </w:rPr>
            </w:pPr>
            <w:r w:rsidRPr="004B053A">
              <w:rPr>
                <w:sz w:val="20"/>
                <w:szCs w:val="20"/>
              </w:rPr>
              <w:t>1.4.3 Adoption of a regional estuary monitoring scheme and its national implementation</w:t>
            </w:r>
          </w:p>
        </w:tc>
        <w:tc>
          <w:tcPr>
            <w:tcW w:w="3082" w:type="dxa"/>
            <w:shd w:val="clear" w:color="auto" w:fill="auto"/>
            <w:vAlign w:val="center"/>
          </w:tcPr>
          <w:p w14:paraId="48721A68" w14:textId="77777777" w:rsidR="00E573CD" w:rsidRPr="004B053A" w:rsidRDefault="0079667C" w:rsidP="00E030C3">
            <w:pPr>
              <w:rPr>
                <w:sz w:val="20"/>
                <w:szCs w:val="20"/>
              </w:rPr>
            </w:pPr>
            <w:r w:rsidRPr="004B053A">
              <w:rPr>
                <w:sz w:val="20"/>
                <w:szCs w:val="20"/>
              </w:rPr>
              <w:t>Status of mechanism established for monitoring wetland management effectiveness and stress reduction</w:t>
            </w:r>
          </w:p>
        </w:tc>
      </w:tr>
    </w:tbl>
    <w:p w14:paraId="2F8ADBA7" w14:textId="77777777" w:rsidR="0079667C" w:rsidRPr="0079667C" w:rsidRDefault="0079667C" w:rsidP="0079667C">
      <w:pPr>
        <w:spacing w:before="120" w:after="120"/>
        <w:ind w:left="1440" w:hanging="1440"/>
        <w:jc w:val="both"/>
        <w:rPr>
          <w:b/>
          <w:sz w:val="22"/>
          <w:szCs w:val="22"/>
          <w:lang w:val="en-GB"/>
        </w:rPr>
      </w:pPr>
      <w:r w:rsidRPr="0079667C">
        <w:rPr>
          <w:b/>
          <w:sz w:val="22"/>
          <w:szCs w:val="22"/>
          <w:lang w:val="en-GB"/>
        </w:rPr>
        <w:t xml:space="preserve">Outcome 1.5 </w:t>
      </w:r>
      <w:r w:rsidRPr="0079667C">
        <w:rPr>
          <w:b/>
          <w:sz w:val="22"/>
          <w:szCs w:val="22"/>
          <w:lang w:val="en-GB"/>
        </w:rPr>
        <w:tab/>
        <w:t>National and regional level cooperation in tracking results of SAP actions for coastal habitat management</w:t>
      </w:r>
    </w:p>
    <w:p w14:paraId="7D196D08" w14:textId="77777777" w:rsidR="005B1DFD" w:rsidRPr="005B1DFD" w:rsidRDefault="005B1DFD" w:rsidP="005B1DFD">
      <w:pPr>
        <w:numPr>
          <w:ilvl w:val="0"/>
          <w:numId w:val="3"/>
        </w:numPr>
        <w:spacing w:after="120"/>
        <w:ind w:left="0" w:firstLine="0"/>
        <w:jc w:val="both"/>
        <w:rPr>
          <w:sz w:val="22"/>
          <w:szCs w:val="22"/>
          <w:lang w:val="en-AU"/>
        </w:rPr>
      </w:pPr>
      <w:r w:rsidRPr="005B1DFD">
        <w:rPr>
          <w:sz w:val="22"/>
          <w:szCs w:val="22"/>
          <w:lang w:val="en-AU"/>
        </w:rPr>
        <w:t>The need for results-based approaches to the management of development assistance programmes and projects has received recent high-level recognition. In adopting the Paris Declaration on Aid Effectiveness in 2005, national government Ministers responsible for development from both developed and developing countries joined with Heads of multilateral and bilateral development institutions in committing to “</w:t>
      </w:r>
      <w:r w:rsidRPr="005B1DFD">
        <w:rPr>
          <w:i/>
          <w:iCs/>
          <w:sz w:val="22"/>
          <w:szCs w:val="22"/>
          <w:lang w:val="en-AU"/>
        </w:rPr>
        <w:t>work together in a participatory approach to strengthen country capacities and demand for results-based management</w:t>
      </w:r>
      <w:r w:rsidRPr="005B1DFD">
        <w:rPr>
          <w:sz w:val="22"/>
          <w:szCs w:val="22"/>
          <w:lang w:val="en-AU"/>
        </w:rPr>
        <w:t>”</w:t>
      </w:r>
      <w:r w:rsidRPr="005B1DFD">
        <w:rPr>
          <w:sz w:val="22"/>
          <w:szCs w:val="22"/>
          <w:vertAlign w:val="superscript"/>
          <w:lang w:val="en-AU"/>
        </w:rPr>
        <w:footnoteReference w:id="75"/>
      </w:r>
      <w:r w:rsidRPr="005B1DFD">
        <w:rPr>
          <w:sz w:val="22"/>
          <w:szCs w:val="22"/>
          <w:lang w:val="en-AU"/>
        </w:rPr>
        <w:t xml:space="preserve">. </w:t>
      </w:r>
    </w:p>
    <w:p w14:paraId="5378C42A" w14:textId="77777777" w:rsidR="0079667C" w:rsidRPr="005B1DFD" w:rsidRDefault="005B1DFD" w:rsidP="005B1DFD">
      <w:pPr>
        <w:numPr>
          <w:ilvl w:val="0"/>
          <w:numId w:val="3"/>
        </w:numPr>
        <w:ind w:left="0" w:firstLine="0"/>
        <w:jc w:val="both"/>
        <w:rPr>
          <w:sz w:val="22"/>
          <w:szCs w:val="22"/>
          <w:lang w:val="en-AU"/>
        </w:rPr>
      </w:pPr>
      <w:r w:rsidRPr="005B1DFD">
        <w:rPr>
          <w:sz w:val="22"/>
          <w:szCs w:val="22"/>
          <w:lang w:val="en-AU"/>
        </w:rPr>
        <w:t>This commitment was reaffirmed in the 2008 Accra Agenda for Action which called for accelerated progress on aid effectiveness by better demonstrating the results of development efforts and openly accounting for them</w:t>
      </w:r>
      <w:r w:rsidRPr="005B1DFD">
        <w:rPr>
          <w:sz w:val="22"/>
          <w:szCs w:val="22"/>
          <w:vertAlign w:val="superscript"/>
          <w:lang w:val="en-AU"/>
        </w:rPr>
        <w:footnoteReference w:id="76"/>
      </w:r>
      <w:r w:rsidRPr="005B1DFD">
        <w:rPr>
          <w:sz w:val="22"/>
          <w:szCs w:val="22"/>
          <w:lang w:val="en-AU"/>
        </w:rPr>
        <w:t xml:space="preserve">. The Southeast Asian region and its development partners have responded accordingly with calls for strengthened emphasis on results in planning and financing development. Similarly, the region’s multilateral and bilateral development partners and donors, including </w:t>
      </w:r>
      <w:r w:rsidRPr="005B1DFD">
        <w:rPr>
          <w:i/>
          <w:iCs/>
          <w:sz w:val="22"/>
          <w:szCs w:val="22"/>
          <w:lang w:val="en-AU"/>
        </w:rPr>
        <w:t>inter alia</w:t>
      </w:r>
      <w:r w:rsidRPr="005B1DFD">
        <w:rPr>
          <w:sz w:val="22"/>
          <w:szCs w:val="22"/>
          <w:lang w:val="en-AU"/>
        </w:rPr>
        <w:t xml:space="preserve"> the Global Environment Facility, the European Commission , and the development aid agencies of Australia , New Zealand  and the United States of America  are guided by their own results-based management policies.</w:t>
      </w:r>
    </w:p>
    <w:p w14:paraId="5B0A6DA0" w14:textId="77777777" w:rsidR="005B1DFD" w:rsidRDefault="0079667C" w:rsidP="0079667C">
      <w:pPr>
        <w:numPr>
          <w:ilvl w:val="0"/>
          <w:numId w:val="3"/>
        </w:numPr>
        <w:spacing w:before="120" w:after="120"/>
        <w:ind w:left="0" w:firstLine="0"/>
        <w:jc w:val="both"/>
        <w:rPr>
          <w:sz w:val="22"/>
          <w:szCs w:val="22"/>
          <w:lang w:val="en-GB"/>
        </w:rPr>
      </w:pPr>
      <w:r w:rsidRPr="0079667C">
        <w:rPr>
          <w:sz w:val="22"/>
          <w:szCs w:val="22"/>
          <w:lang w:val="en-GB"/>
        </w:rPr>
        <w:t xml:space="preserve">The South China Sea Strategic Action Programme defined indicators and results frameworks for use in monitoring and evaluating the effectiveness of SAP implementation. This component of the project aims to facilitate national and regional level cooperation in tracking results of SAP actions for coastal habitat management. Specific indicators of sustainability to be tracked relate to: the enabling environments for sustainable management; improvements to ecological and environmental state; and socio-economic impacts. Activities are designed to reach agreement on standardized methods and guidelines for habitat inventory and assessment, leading to the achievement of regional-level agreement on a harmonized results framework and analytical tool for tracking and reporting on sustainability of habitat management systems in the SCS basin. </w:t>
      </w:r>
    </w:p>
    <w:p w14:paraId="3A1C8252" w14:textId="77777777" w:rsidR="005B1DFD" w:rsidRDefault="0079667C" w:rsidP="0079667C">
      <w:pPr>
        <w:numPr>
          <w:ilvl w:val="0"/>
          <w:numId w:val="3"/>
        </w:numPr>
        <w:spacing w:before="120" w:after="120"/>
        <w:ind w:left="0" w:firstLine="0"/>
        <w:jc w:val="both"/>
        <w:rPr>
          <w:sz w:val="22"/>
          <w:szCs w:val="22"/>
          <w:lang w:val="en-GB"/>
        </w:rPr>
      </w:pPr>
      <w:r w:rsidRPr="0079667C">
        <w:rPr>
          <w:sz w:val="22"/>
          <w:szCs w:val="22"/>
          <w:lang w:val="en-GB"/>
        </w:rPr>
        <w:t xml:space="preserve">Additionally, an online ‘results’ portal will be developed to support regional-level capacity building in results-oriented planning and management of coastal habitats, as well as the routine online sharing and syndication of SAP implementation results. The latter will involve online geospatial presentation of results linked to related initiatives of the GEF IW:LEARN </w:t>
      </w:r>
      <w:r w:rsidR="005B1DFD">
        <w:rPr>
          <w:sz w:val="22"/>
          <w:szCs w:val="22"/>
          <w:lang w:val="en-GB"/>
        </w:rPr>
        <w:t xml:space="preserve">and GEF LME:LEARN </w:t>
      </w:r>
      <w:r w:rsidRPr="0079667C">
        <w:rPr>
          <w:sz w:val="22"/>
          <w:szCs w:val="22"/>
          <w:lang w:val="en-GB"/>
        </w:rPr>
        <w:t>initiative</w:t>
      </w:r>
      <w:r w:rsidR="005B1DFD">
        <w:rPr>
          <w:sz w:val="22"/>
          <w:szCs w:val="22"/>
          <w:lang w:val="en-GB"/>
        </w:rPr>
        <w:t>s</w:t>
      </w:r>
      <w:r w:rsidRPr="0079667C">
        <w:rPr>
          <w:sz w:val="22"/>
          <w:szCs w:val="22"/>
          <w:lang w:val="en-GB"/>
        </w:rPr>
        <w:t>. Similarly, performance of this component with respect to indicators defined in the GEF IW tracking tool will be documented and communicated annually; effort will also be made to align the agreed reporting systems with national reporting requirements to various International conventions.</w:t>
      </w:r>
      <w:r w:rsidR="005B1DFD">
        <w:rPr>
          <w:sz w:val="22"/>
          <w:szCs w:val="22"/>
          <w:lang w:val="en-GB"/>
        </w:rPr>
        <w:t xml:space="preserve"> </w:t>
      </w:r>
    </w:p>
    <w:p w14:paraId="72C04C8B" w14:textId="77777777" w:rsidR="00E573CD" w:rsidRDefault="005B1DFD" w:rsidP="0079667C">
      <w:pPr>
        <w:numPr>
          <w:ilvl w:val="0"/>
          <w:numId w:val="3"/>
        </w:numPr>
        <w:spacing w:before="120" w:after="120"/>
        <w:ind w:left="0" w:firstLine="0"/>
        <w:jc w:val="both"/>
        <w:rPr>
          <w:sz w:val="22"/>
          <w:szCs w:val="22"/>
          <w:lang w:val="en-GB"/>
        </w:rPr>
      </w:pPr>
      <w:r>
        <w:rPr>
          <w:sz w:val="22"/>
          <w:szCs w:val="22"/>
          <w:lang w:val="en-GB"/>
        </w:rPr>
        <w:t>A key constraint in the development of this work is that there presently exists no regional fora for reporting on SAP implementation across the coastal biomes addressed by Component 1 of this project. Supporting activities will involve revitalizing regional networks of coastal habitat scientists and managers established through the SCS proj</w:t>
      </w:r>
      <w:r w:rsidR="000421D5">
        <w:rPr>
          <w:sz w:val="22"/>
          <w:szCs w:val="22"/>
          <w:lang w:val="en-GB"/>
        </w:rPr>
        <w:t>ect. To support the uptake of best management practices, effort will be made to periodically convene meetings of habitat specialists and community leaders. Additionally, the information and data collated on the status of coastal habitats and their management will be used to update the national reports on mangroves, coral reefs, seagrass and wetlands produced as part of Strategic Action Programme formulation. The</w:t>
      </w:r>
      <w:r>
        <w:rPr>
          <w:sz w:val="22"/>
          <w:szCs w:val="22"/>
          <w:lang w:val="en-GB"/>
        </w:rPr>
        <w:t xml:space="preserve"> </w:t>
      </w:r>
      <w:r w:rsidR="000421D5">
        <w:rPr>
          <w:sz w:val="22"/>
          <w:szCs w:val="22"/>
          <w:lang w:val="en-GB"/>
        </w:rPr>
        <w:t>s</w:t>
      </w:r>
      <w:r>
        <w:rPr>
          <w:sz w:val="22"/>
          <w:szCs w:val="22"/>
          <w:lang w:val="en-GB"/>
        </w:rPr>
        <w:t>pecific project targets for Outcome 1.5 are summarised in Table 30.</w:t>
      </w:r>
      <w:r w:rsidR="00557F12">
        <w:rPr>
          <w:sz w:val="22"/>
          <w:szCs w:val="22"/>
          <w:lang w:val="en-GB"/>
        </w:rPr>
        <w:t xml:space="preserve"> A framework for identifying and prioritising management actions as a basis for establishment of results frameworks presented in Information Box 1 below. </w:t>
      </w:r>
    </w:p>
    <w:p w14:paraId="564558A5" w14:textId="77777777" w:rsidR="005B1DFD" w:rsidRDefault="005B1DFD" w:rsidP="005B1DFD">
      <w:pPr>
        <w:spacing w:before="120" w:after="120"/>
        <w:jc w:val="both"/>
        <w:rPr>
          <w:sz w:val="22"/>
          <w:szCs w:val="22"/>
          <w:lang w:val="en-GB"/>
        </w:rPr>
      </w:pPr>
      <w:r w:rsidRPr="000421D5">
        <w:rPr>
          <w:b/>
          <w:sz w:val="22"/>
          <w:szCs w:val="22"/>
          <w:lang w:val="en-GB"/>
        </w:rPr>
        <w:t>Table 30</w:t>
      </w:r>
      <w:r>
        <w:rPr>
          <w:sz w:val="22"/>
          <w:szCs w:val="22"/>
          <w:lang w:val="en-GB"/>
        </w:rPr>
        <w:tab/>
      </w:r>
      <w:r w:rsidR="000421D5">
        <w:rPr>
          <w:sz w:val="22"/>
          <w:szCs w:val="22"/>
          <w:lang w:val="en-GB"/>
        </w:rPr>
        <w:t>Baselines, targets and project indicators for Outcome 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4"/>
        <w:gridCol w:w="3024"/>
        <w:gridCol w:w="3024"/>
      </w:tblGrid>
      <w:tr w:rsidR="005B1DFD" w:rsidRPr="005A668F" w14:paraId="6E27E8CA" w14:textId="77777777" w:rsidTr="004B053A">
        <w:tc>
          <w:tcPr>
            <w:tcW w:w="3081" w:type="dxa"/>
            <w:shd w:val="clear" w:color="auto" w:fill="auto"/>
            <w:vAlign w:val="center"/>
          </w:tcPr>
          <w:p w14:paraId="3D669E5D" w14:textId="77777777" w:rsidR="005B1DFD" w:rsidRPr="004B053A" w:rsidRDefault="005B1DFD" w:rsidP="004B053A">
            <w:pPr>
              <w:jc w:val="center"/>
              <w:rPr>
                <w:b/>
                <w:sz w:val="20"/>
                <w:szCs w:val="20"/>
              </w:rPr>
            </w:pPr>
            <w:r w:rsidRPr="004B053A">
              <w:rPr>
                <w:b/>
                <w:sz w:val="20"/>
                <w:szCs w:val="20"/>
              </w:rPr>
              <w:t>Baselines</w:t>
            </w:r>
          </w:p>
        </w:tc>
        <w:tc>
          <w:tcPr>
            <w:tcW w:w="3082" w:type="dxa"/>
            <w:shd w:val="clear" w:color="auto" w:fill="auto"/>
            <w:vAlign w:val="center"/>
          </w:tcPr>
          <w:p w14:paraId="24D62942" w14:textId="77777777" w:rsidR="005B1DFD" w:rsidRPr="004B053A" w:rsidRDefault="005B1DFD" w:rsidP="004B053A">
            <w:pPr>
              <w:jc w:val="center"/>
              <w:rPr>
                <w:b/>
                <w:sz w:val="20"/>
                <w:szCs w:val="20"/>
              </w:rPr>
            </w:pPr>
            <w:r w:rsidRPr="004B053A">
              <w:rPr>
                <w:b/>
                <w:sz w:val="20"/>
                <w:szCs w:val="20"/>
              </w:rPr>
              <w:t>Targets</w:t>
            </w:r>
          </w:p>
        </w:tc>
        <w:tc>
          <w:tcPr>
            <w:tcW w:w="3082" w:type="dxa"/>
            <w:shd w:val="clear" w:color="auto" w:fill="auto"/>
            <w:vAlign w:val="center"/>
          </w:tcPr>
          <w:p w14:paraId="46F989CA" w14:textId="77777777" w:rsidR="005B1DFD" w:rsidRPr="004B053A" w:rsidRDefault="005B1DFD" w:rsidP="004B053A">
            <w:pPr>
              <w:jc w:val="center"/>
              <w:rPr>
                <w:b/>
                <w:sz w:val="20"/>
                <w:szCs w:val="20"/>
              </w:rPr>
            </w:pPr>
            <w:r w:rsidRPr="004B053A">
              <w:rPr>
                <w:b/>
                <w:sz w:val="20"/>
                <w:szCs w:val="20"/>
              </w:rPr>
              <w:t>Indicators</w:t>
            </w:r>
          </w:p>
        </w:tc>
      </w:tr>
      <w:tr w:rsidR="005B1DFD" w:rsidRPr="005A668F" w14:paraId="7F521B02" w14:textId="77777777" w:rsidTr="004B053A">
        <w:trPr>
          <w:trHeight w:val="20"/>
        </w:trPr>
        <w:tc>
          <w:tcPr>
            <w:tcW w:w="3081" w:type="dxa"/>
            <w:shd w:val="clear" w:color="auto" w:fill="auto"/>
            <w:vAlign w:val="center"/>
          </w:tcPr>
          <w:p w14:paraId="0C1A887E" w14:textId="77777777" w:rsidR="005B1DFD" w:rsidRPr="004B053A" w:rsidRDefault="000421D5" w:rsidP="00E030C3">
            <w:pPr>
              <w:rPr>
                <w:sz w:val="20"/>
                <w:szCs w:val="20"/>
              </w:rPr>
            </w:pPr>
            <w:r w:rsidRPr="004B053A">
              <w:rPr>
                <w:sz w:val="20"/>
                <w:szCs w:val="20"/>
              </w:rPr>
              <w:t>No existing fora at national and regional level in the SCS to network coastal habitat scientists and management specialists</w:t>
            </w:r>
          </w:p>
        </w:tc>
        <w:tc>
          <w:tcPr>
            <w:tcW w:w="3082" w:type="dxa"/>
            <w:shd w:val="clear" w:color="auto" w:fill="auto"/>
            <w:vAlign w:val="center"/>
          </w:tcPr>
          <w:p w14:paraId="70F30E08" w14:textId="77777777" w:rsidR="005B1DFD" w:rsidRPr="004B053A" w:rsidRDefault="000421D5" w:rsidP="00E030C3">
            <w:pPr>
              <w:rPr>
                <w:sz w:val="20"/>
                <w:szCs w:val="20"/>
              </w:rPr>
            </w:pPr>
            <w:r w:rsidRPr="004B053A">
              <w:rPr>
                <w:sz w:val="20"/>
                <w:szCs w:val="20"/>
              </w:rPr>
              <w:t>1.5.1 National committees and regional networks of habitat specialists established under the SCS project revitalized and functioning</w:t>
            </w:r>
          </w:p>
        </w:tc>
        <w:tc>
          <w:tcPr>
            <w:tcW w:w="3082" w:type="dxa"/>
            <w:shd w:val="clear" w:color="auto" w:fill="auto"/>
            <w:vAlign w:val="center"/>
          </w:tcPr>
          <w:p w14:paraId="376E34F4" w14:textId="77777777" w:rsidR="000421D5" w:rsidRPr="004B053A" w:rsidRDefault="000421D5" w:rsidP="004B053A">
            <w:pPr>
              <w:spacing w:after="120"/>
              <w:rPr>
                <w:sz w:val="20"/>
                <w:szCs w:val="20"/>
              </w:rPr>
            </w:pPr>
            <w:r w:rsidRPr="004B053A">
              <w:rPr>
                <w:sz w:val="20"/>
                <w:szCs w:val="20"/>
              </w:rPr>
              <w:t>Extent and continuity of participation in regional fora for coastal habitat management</w:t>
            </w:r>
          </w:p>
          <w:p w14:paraId="19F24BC9" w14:textId="77777777" w:rsidR="005B1DFD" w:rsidRPr="004B053A" w:rsidRDefault="000421D5" w:rsidP="000421D5">
            <w:pPr>
              <w:rPr>
                <w:sz w:val="20"/>
                <w:szCs w:val="20"/>
              </w:rPr>
            </w:pPr>
            <w:r w:rsidRPr="004B053A">
              <w:rPr>
                <w:sz w:val="20"/>
                <w:szCs w:val="20"/>
              </w:rPr>
              <w:t>Scope and uptake of joint management and planning decisions</w:t>
            </w:r>
          </w:p>
        </w:tc>
      </w:tr>
      <w:tr w:rsidR="005B1DFD" w:rsidRPr="005A668F" w14:paraId="1288ECFA" w14:textId="77777777" w:rsidTr="004B053A">
        <w:trPr>
          <w:trHeight w:val="20"/>
        </w:trPr>
        <w:tc>
          <w:tcPr>
            <w:tcW w:w="3081" w:type="dxa"/>
            <w:shd w:val="clear" w:color="auto" w:fill="auto"/>
            <w:vAlign w:val="center"/>
          </w:tcPr>
          <w:p w14:paraId="0BE31663" w14:textId="77777777" w:rsidR="005B1DFD" w:rsidRPr="004B053A" w:rsidRDefault="000421D5" w:rsidP="00E030C3">
            <w:pPr>
              <w:rPr>
                <w:sz w:val="20"/>
                <w:szCs w:val="20"/>
              </w:rPr>
            </w:pPr>
            <w:r w:rsidRPr="004B053A">
              <w:rPr>
                <w:sz w:val="20"/>
                <w:szCs w:val="20"/>
              </w:rPr>
              <w:t>Results frameworks for the management of mangroves, coral reefs, seagrass and wetlands of the SCS developed and agreed through national and regional consultative process but has not yet been applied</w:t>
            </w:r>
          </w:p>
        </w:tc>
        <w:tc>
          <w:tcPr>
            <w:tcW w:w="3082" w:type="dxa"/>
            <w:shd w:val="clear" w:color="auto" w:fill="auto"/>
            <w:vAlign w:val="center"/>
          </w:tcPr>
          <w:p w14:paraId="21DE94C8" w14:textId="77777777" w:rsidR="005B1DFD" w:rsidRPr="004B053A" w:rsidRDefault="000421D5" w:rsidP="00E030C3">
            <w:pPr>
              <w:rPr>
                <w:sz w:val="20"/>
                <w:szCs w:val="20"/>
              </w:rPr>
            </w:pPr>
            <w:r w:rsidRPr="004B053A">
              <w:rPr>
                <w:sz w:val="20"/>
                <w:szCs w:val="20"/>
              </w:rPr>
              <w:t>1.5.2 Mechanism to monitor and evaluate the impacts of SAP implementation and achievement of habitat targets operational [including agreement on standardized methods and guidelines for inventory and assessment]</w:t>
            </w:r>
          </w:p>
        </w:tc>
        <w:tc>
          <w:tcPr>
            <w:tcW w:w="3082" w:type="dxa"/>
            <w:shd w:val="clear" w:color="auto" w:fill="auto"/>
            <w:vAlign w:val="center"/>
          </w:tcPr>
          <w:p w14:paraId="72FE74B3" w14:textId="77777777" w:rsidR="000421D5" w:rsidRPr="004B053A" w:rsidRDefault="000421D5" w:rsidP="004B053A">
            <w:pPr>
              <w:spacing w:after="120"/>
              <w:rPr>
                <w:sz w:val="20"/>
                <w:szCs w:val="20"/>
              </w:rPr>
            </w:pPr>
            <w:r w:rsidRPr="004B053A">
              <w:rPr>
                <w:sz w:val="20"/>
                <w:szCs w:val="20"/>
              </w:rPr>
              <w:t>Status and extent of uptake by national Inter-Ministry committees of SAP implementation results reporting</w:t>
            </w:r>
          </w:p>
          <w:p w14:paraId="26CFF223" w14:textId="77777777" w:rsidR="005B1DFD" w:rsidRPr="004B053A" w:rsidRDefault="000421D5" w:rsidP="000421D5">
            <w:pPr>
              <w:rPr>
                <w:sz w:val="20"/>
                <w:szCs w:val="20"/>
              </w:rPr>
            </w:pPr>
            <w:r w:rsidRPr="004B053A">
              <w:rPr>
                <w:sz w:val="20"/>
                <w:szCs w:val="20"/>
              </w:rPr>
              <w:t>Level of congruence of national and regional indicator sets with the proposed targets and outcomes of the SAP</w:t>
            </w:r>
          </w:p>
        </w:tc>
      </w:tr>
      <w:tr w:rsidR="005B1DFD" w:rsidRPr="005A668F" w14:paraId="51B57BA1" w14:textId="77777777" w:rsidTr="004B053A">
        <w:trPr>
          <w:trHeight w:val="20"/>
        </w:trPr>
        <w:tc>
          <w:tcPr>
            <w:tcW w:w="3081" w:type="dxa"/>
            <w:shd w:val="clear" w:color="auto" w:fill="auto"/>
            <w:vAlign w:val="center"/>
          </w:tcPr>
          <w:p w14:paraId="29F7F881" w14:textId="77777777" w:rsidR="000421D5" w:rsidRPr="004B053A" w:rsidRDefault="000421D5" w:rsidP="004B053A">
            <w:pPr>
              <w:spacing w:after="120"/>
              <w:rPr>
                <w:sz w:val="20"/>
                <w:szCs w:val="20"/>
              </w:rPr>
            </w:pPr>
            <w:r w:rsidRPr="004B053A">
              <w:rPr>
                <w:sz w:val="20"/>
                <w:szCs w:val="20"/>
              </w:rPr>
              <w:t>Limited engagement of community-based governance mechanisms in planning coastal habitat management</w:t>
            </w:r>
          </w:p>
          <w:p w14:paraId="290543DB" w14:textId="77777777" w:rsidR="005B1DFD" w:rsidRPr="004B053A" w:rsidRDefault="000421D5" w:rsidP="000421D5">
            <w:pPr>
              <w:rPr>
                <w:sz w:val="20"/>
                <w:szCs w:val="20"/>
              </w:rPr>
            </w:pPr>
            <w:r w:rsidRPr="004B053A">
              <w:rPr>
                <w:sz w:val="20"/>
                <w:szCs w:val="20"/>
              </w:rPr>
              <w:t>Low level mobilization of civil society, community groups and the private sector in habitat management</w:t>
            </w:r>
          </w:p>
        </w:tc>
        <w:tc>
          <w:tcPr>
            <w:tcW w:w="3082" w:type="dxa"/>
            <w:shd w:val="clear" w:color="auto" w:fill="auto"/>
            <w:vAlign w:val="center"/>
          </w:tcPr>
          <w:p w14:paraId="4A08FDFA" w14:textId="77777777" w:rsidR="005B1DFD" w:rsidRPr="004B053A" w:rsidRDefault="000421D5" w:rsidP="00E030C3">
            <w:pPr>
              <w:rPr>
                <w:sz w:val="20"/>
                <w:szCs w:val="20"/>
              </w:rPr>
            </w:pPr>
            <w:r w:rsidRPr="004B053A">
              <w:rPr>
                <w:sz w:val="20"/>
                <w:szCs w:val="20"/>
              </w:rPr>
              <w:t>1.5.3 Community leaders and local government from priority habitat sites networked via national and regional round-table meetings to foster cooperation and knowledge sharing on achievements and best practices</w:t>
            </w:r>
          </w:p>
        </w:tc>
        <w:tc>
          <w:tcPr>
            <w:tcW w:w="3082" w:type="dxa"/>
            <w:shd w:val="clear" w:color="auto" w:fill="auto"/>
            <w:vAlign w:val="center"/>
          </w:tcPr>
          <w:p w14:paraId="56043C5B" w14:textId="77777777" w:rsidR="000421D5" w:rsidRPr="004B053A" w:rsidRDefault="000421D5" w:rsidP="004B053A">
            <w:pPr>
              <w:spacing w:after="120"/>
              <w:rPr>
                <w:sz w:val="20"/>
                <w:szCs w:val="20"/>
              </w:rPr>
            </w:pPr>
            <w:r w:rsidRPr="004B053A">
              <w:rPr>
                <w:sz w:val="20"/>
                <w:szCs w:val="20"/>
              </w:rPr>
              <w:t>Extent and continuity of local leader and local government participation in community round-table meetings</w:t>
            </w:r>
          </w:p>
          <w:p w14:paraId="7B8C5568" w14:textId="77777777" w:rsidR="005B1DFD" w:rsidRPr="004B053A" w:rsidRDefault="000421D5" w:rsidP="000421D5">
            <w:pPr>
              <w:rPr>
                <w:sz w:val="20"/>
                <w:szCs w:val="20"/>
              </w:rPr>
            </w:pPr>
            <w:r w:rsidRPr="004B053A">
              <w:rPr>
                <w:sz w:val="20"/>
                <w:szCs w:val="20"/>
              </w:rPr>
              <w:t>Improved local relevance of SAP implementation initiatives</w:t>
            </w:r>
          </w:p>
        </w:tc>
      </w:tr>
      <w:tr w:rsidR="000421D5" w:rsidRPr="005A668F" w14:paraId="741A4F83" w14:textId="77777777" w:rsidTr="004B053A">
        <w:trPr>
          <w:trHeight w:val="20"/>
        </w:trPr>
        <w:tc>
          <w:tcPr>
            <w:tcW w:w="3081" w:type="dxa"/>
            <w:shd w:val="clear" w:color="auto" w:fill="auto"/>
            <w:vAlign w:val="center"/>
          </w:tcPr>
          <w:p w14:paraId="3A54AB47" w14:textId="77777777" w:rsidR="000421D5" w:rsidRPr="004B053A" w:rsidRDefault="000421D5" w:rsidP="00E030C3">
            <w:pPr>
              <w:rPr>
                <w:sz w:val="20"/>
                <w:szCs w:val="20"/>
              </w:rPr>
            </w:pPr>
            <w:r w:rsidRPr="004B053A">
              <w:rPr>
                <w:sz w:val="20"/>
                <w:szCs w:val="20"/>
              </w:rPr>
              <w:t>Baseline national habitat reports developed and require periodic uptake</w:t>
            </w:r>
          </w:p>
        </w:tc>
        <w:tc>
          <w:tcPr>
            <w:tcW w:w="3082" w:type="dxa"/>
            <w:shd w:val="clear" w:color="auto" w:fill="auto"/>
            <w:vAlign w:val="center"/>
          </w:tcPr>
          <w:p w14:paraId="5D3B89D3" w14:textId="77777777" w:rsidR="000421D5" w:rsidRPr="004B053A" w:rsidRDefault="000421D5" w:rsidP="00E030C3">
            <w:pPr>
              <w:rPr>
                <w:sz w:val="20"/>
                <w:szCs w:val="20"/>
              </w:rPr>
            </w:pPr>
            <w:r w:rsidRPr="004B053A">
              <w:rPr>
                <w:sz w:val="20"/>
                <w:szCs w:val="20"/>
              </w:rPr>
              <w:t>1.5.4 Biennial state of coastal habitat reports published</w:t>
            </w:r>
            <w:r w:rsidR="00F80027">
              <w:rPr>
                <w:sz w:val="20"/>
                <w:szCs w:val="20"/>
              </w:rPr>
              <w:t xml:space="preserve"> and applied in national and regional action planning</w:t>
            </w:r>
          </w:p>
        </w:tc>
        <w:tc>
          <w:tcPr>
            <w:tcW w:w="3082" w:type="dxa"/>
            <w:shd w:val="clear" w:color="auto" w:fill="auto"/>
            <w:vAlign w:val="center"/>
          </w:tcPr>
          <w:p w14:paraId="502344FC" w14:textId="77777777" w:rsidR="000421D5" w:rsidRPr="004B053A" w:rsidRDefault="000421D5" w:rsidP="00E030C3">
            <w:pPr>
              <w:rPr>
                <w:sz w:val="20"/>
                <w:szCs w:val="20"/>
              </w:rPr>
            </w:pPr>
            <w:r w:rsidRPr="004B053A">
              <w:rPr>
                <w:sz w:val="20"/>
                <w:szCs w:val="20"/>
              </w:rPr>
              <w:t>Published state of coastal habitat reports</w:t>
            </w:r>
          </w:p>
        </w:tc>
      </w:tr>
    </w:tbl>
    <w:p w14:paraId="306937DF" w14:textId="77777777" w:rsidR="00557F12" w:rsidRDefault="00557F12" w:rsidP="008B2D6F">
      <w:pPr>
        <w:spacing w:before="120" w:after="120"/>
        <w:ind w:left="1440" w:hanging="1440"/>
        <w:jc w:val="both"/>
        <w:rPr>
          <w:sz w:val="22"/>
          <w:szCs w:val="22"/>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76"/>
        <w:gridCol w:w="5686"/>
      </w:tblGrid>
      <w:tr w:rsidR="00557F12" w:rsidRPr="00557F12" w14:paraId="106E3557" w14:textId="77777777" w:rsidTr="005C45ED">
        <w:tc>
          <w:tcPr>
            <w:tcW w:w="9245" w:type="dxa"/>
            <w:gridSpan w:val="2"/>
            <w:shd w:val="clear" w:color="auto" w:fill="auto"/>
          </w:tcPr>
          <w:p w14:paraId="4F913369" w14:textId="77777777" w:rsidR="00557F12" w:rsidRPr="00557F12" w:rsidRDefault="000B3EFC" w:rsidP="005C45ED">
            <w:pPr>
              <w:spacing w:before="60" w:after="60"/>
              <w:jc w:val="center"/>
              <w:rPr>
                <w:rFonts w:eastAsia="Calibri"/>
                <w:b/>
                <w:sz w:val="20"/>
                <w:szCs w:val="20"/>
              </w:rPr>
            </w:pPr>
            <w:r w:rsidRPr="005C45ED">
              <w:rPr>
                <w:rFonts w:eastAsia="Calibri"/>
                <w:b/>
                <w:sz w:val="20"/>
                <w:szCs w:val="20"/>
              </w:rPr>
              <w:t xml:space="preserve">Information Box 1: </w:t>
            </w:r>
            <w:r w:rsidR="00557F12" w:rsidRPr="00557F12">
              <w:rPr>
                <w:rFonts w:eastAsia="Calibri"/>
                <w:b/>
                <w:sz w:val="20"/>
                <w:szCs w:val="20"/>
              </w:rPr>
              <w:t xml:space="preserve">Framework process for </w:t>
            </w:r>
            <w:r w:rsidRPr="005C45ED">
              <w:rPr>
                <w:rFonts w:eastAsia="Calibri"/>
                <w:b/>
                <w:sz w:val="20"/>
                <w:szCs w:val="20"/>
              </w:rPr>
              <w:t>identifying</w:t>
            </w:r>
            <w:r w:rsidR="00557F12" w:rsidRPr="00557F12">
              <w:rPr>
                <w:rFonts w:eastAsia="Calibri"/>
                <w:b/>
                <w:sz w:val="20"/>
                <w:szCs w:val="20"/>
              </w:rPr>
              <w:t xml:space="preserve"> intervention </w:t>
            </w:r>
            <w:r w:rsidRPr="005C45ED">
              <w:rPr>
                <w:rFonts w:eastAsia="Calibri"/>
                <w:b/>
                <w:sz w:val="20"/>
                <w:szCs w:val="20"/>
              </w:rPr>
              <w:t>priorities at</w:t>
            </w:r>
            <w:r w:rsidR="00557F12" w:rsidRPr="00557F12">
              <w:rPr>
                <w:rFonts w:eastAsia="Calibri"/>
                <w:b/>
                <w:sz w:val="20"/>
                <w:szCs w:val="20"/>
              </w:rPr>
              <w:t xml:space="preserve"> SAP</w:t>
            </w:r>
            <w:r w:rsidRPr="005C45ED">
              <w:rPr>
                <w:rFonts w:eastAsia="Calibri"/>
                <w:b/>
                <w:sz w:val="20"/>
                <w:szCs w:val="20"/>
              </w:rPr>
              <w:t xml:space="preserve"> coastal habitat </w:t>
            </w:r>
            <w:r w:rsidR="00557F12" w:rsidRPr="00557F12">
              <w:rPr>
                <w:rFonts w:eastAsia="Calibri"/>
                <w:b/>
                <w:sz w:val="20"/>
                <w:szCs w:val="20"/>
              </w:rPr>
              <w:t>sites</w:t>
            </w:r>
          </w:p>
        </w:tc>
      </w:tr>
      <w:tr w:rsidR="00557F12" w:rsidRPr="00557F12" w14:paraId="7F9A8718" w14:textId="77777777" w:rsidTr="005C45ED">
        <w:tc>
          <w:tcPr>
            <w:tcW w:w="3438" w:type="dxa"/>
            <w:shd w:val="clear" w:color="auto" w:fill="auto"/>
          </w:tcPr>
          <w:p w14:paraId="6F00F72F" w14:textId="77777777" w:rsidR="00557F12" w:rsidRPr="00557F12" w:rsidRDefault="00557F12" w:rsidP="00557F12">
            <w:pPr>
              <w:rPr>
                <w:rFonts w:eastAsia="Calibri"/>
                <w:sz w:val="20"/>
                <w:szCs w:val="20"/>
              </w:rPr>
            </w:pPr>
            <w:r w:rsidRPr="00557F12">
              <w:rPr>
                <w:rFonts w:eastAsia="Calibri"/>
                <w:sz w:val="20"/>
                <w:szCs w:val="20"/>
              </w:rPr>
              <w:t>1. Identification of issues and problems causing environmental degradation</w:t>
            </w:r>
          </w:p>
        </w:tc>
        <w:tc>
          <w:tcPr>
            <w:tcW w:w="5807" w:type="dxa"/>
            <w:shd w:val="clear" w:color="auto" w:fill="auto"/>
          </w:tcPr>
          <w:p w14:paraId="1317C934" w14:textId="77777777" w:rsidR="00557F12" w:rsidRPr="00557F12" w:rsidRDefault="00557F12" w:rsidP="005C45ED">
            <w:pPr>
              <w:numPr>
                <w:ilvl w:val="0"/>
                <w:numId w:val="74"/>
              </w:numPr>
              <w:ind w:left="162" w:hanging="162"/>
              <w:contextualSpacing/>
              <w:rPr>
                <w:rFonts w:eastAsia="Calibri"/>
                <w:sz w:val="20"/>
                <w:szCs w:val="20"/>
              </w:rPr>
            </w:pPr>
            <w:r w:rsidRPr="00557F12">
              <w:rPr>
                <w:rFonts w:eastAsia="Calibri"/>
                <w:sz w:val="20"/>
                <w:szCs w:val="20"/>
              </w:rPr>
              <w:t>Identify compromises of, and threats to, aquatic uses, resources and amenities, associated hazards to human health and legitimate uses of the aquatic environment, as well as associated limitations on traditional and cultural activities</w:t>
            </w:r>
          </w:p>
          <w:p w14:paraId="128E7E93" w14:textId="77777777" w:rsidR="00557F12" w:rsidRPr="00557F12" w:rsidRDefault="00557F12" w:rsidP="005C45ED">
            <w:pPr>
              <w:numPr>
                <w:ilvl w:val="0"/>
                <w:numId w:val="74"/>
              </w:numPr>
              <w:ind w:left="162" w:hanging="162"/>
              <w:contextualSpacing/>
              <w:rPr>
                <w:rFonts w:eastAsia="Calibri"/>
                <w:sz w:val="20"/>
                <w:szCs w:val="20"/>
              </w:rPr>
            </w:pPr>
            <w:r w:rsidRPr="00557F12">
              <w:rPr>
                <w:rFonts w:eastAsia="Calibri"/>
                <w:sz w:val="20"/>
                <w:szCs w:val="20"/>
              </w:rPr>
              <w:t>Scientifically evaluate the aquatic environmental issues and problems (e.g., types and volume/magnitude of pollutants entering the system; rates of loss of coastal habitats/ecosystems; changes in species composition and catch per unit effort in fisheries; increases in sedimentation and algal density)</w:t>
            </w:r>
          </w:p>
        </w:tc>
      </w:tr>
      <w:tr w:rsidR="00557F12" w:rsidRPr="00557F12" w14:paraId="601568B1" w14:textId="77777777" w:rsidTr="005C45ED">
        <w:tc>
          <w:tcPr>
            <w:tcW w:w="3438" w:type="dxa"/>
            <w:shd w:val="clear" w:color="auto" w:fill="auto"/>
          </w:tcPr>
          <w:p w14:paraId="663D9EAD" w14:textId="77777777" w:rsidR="00557F12" w:rsidRPr="00557F12" w:rsidRDefault="00557F12" w:rsidP="00557F12">
            <w:pPr>
              <w:rPr>
                <w:rFonts w:eastAsia="Calibri"/>
                <w:sz w:val="20"/>
                <w:szCs w:val="20"/>
              </w:rPr>
            </w:pPr>
            <w:r w:rsidRPr="00557F12">
              <w:rPr>
                <w:rFonts w:eastAsia="Calibri"/>
                <w:sz w:val="20"/>
                <w:szCs w:val="20"/>
              </w:rPr>
              <w:t>2. Quantification of the compromises to environmental quality</w:t>
            </w:r>
          </w:p>
        </w:tc>
        <w:tc>
          <w:tcPr>
            <w:tcW w:w="5807" w:type="dxa"/>
            <w:shd w:val="clear" w:color="auto" w:fill="auto"/>
          </w:tcPr>
          <w:p w14:paraId="64FD2F88" w14:textId="77777777" w:rsidR="00557F12" w:rsidRPr="00557F12" w:rsidRDefault="00557F12" w:rsidP="005C45ED">
            <w:pPr>
              <w:numPr>
                <w:ilvl w:val="0"/>
                <w:numId w:val="75"/>
              </w:numPr>
              <w:ind w:left="162" w:hanging="162"/>
              <w:contextualSpacing/>
              <w:rPr>
                <w:rFonts w:eastAsia="Calibri"/>
                <w:sz w:val="20"/>
                <w:szCs w:val="20"/>
              </w:rPr>
            </w:pPr>
            <w:r w:rsidRPr="00557F12">
              <w:rPr>
                <w:rFonts w:eastAsia="Calibri"/>
                <w:sz w:val="20"/>
                <w:szCs w:val="20"/>
              </w:rPr>
              <w:t>Conduct social and economic evaluation of the aquatic environmental issues and problems (e.g., economic costs of environmental impacts; social costs of the issues such as adverse effects on human health and welfare).</w:t>
            </w:r>
          </w:p>
        </w:tc>
      </w:tr>
      <w:tr w:rsidR="00557F12" w:rsidRPr="00557F12" w14:paraId="59E09268" w14:textId="77777777" w:rsidTr="005C45ED">
        <w:tc>
          <w:tcPr>
            <w:tcW w:w="3438" w:type="dxa"/>
            <w:shd w:val="clear" w:color="auto" w:fill="auto"/>
          </w:tcPr>
          <w:p w14:paraId="305E4AE8" w14:textId="77777777" w:rsidR="00557F12" w:rsidRPr="00557F12" w:rsidRDefault="00557F12" w:rsidP="00557F12">
            <w:pPr>
              <w:rPr>
                <w:rFonts w:eastAsia="Calibri"/>
                <w:sz w:val="20"/>
                <w:szCs w:val="20"/>
              </w:rPr>
            </w:pPr>
            <w:r w:rsidRPr="00557F12">
              <w:rPr>
                <w:rFonts w:eastAsia="Calibri"/>
                <w:sz w:val="20"/>
                <w:szCs w:val="20"/>
              </w:rPr>
              <w:t>3. Initial prioritization of problems</w:t>
            </w:r>
          </w:p>
        </w:tc>
        <w:tc>
          <w:tcPr>
            <w:tcW w:w="5807" w:type="dxa"/>
            <w:shd w:val="clear" w:color="auto" w:fill="auto"/>
          </w:tcPr>
          <w:p w14:paraId="2C6C82BF" w14:textId="77777777" w:rsidR="00557F12" w:rsidRPr="00557F12" w:rsidRDefault="00557F12" w:rsidP="005C45ED">
            <w:pPr>
              <w:numPr>
                <w:ilvl w:val="0"/>
                <w:numId w:val="75"/>
              </w:numPr>
              <w:ind w:left="162" w:hanging="162"/>
              <w:contextualSpacing/>
              <w:rPr>
                <w:rFonts w:eastAsia="Calibri"/>
                <w:sz w:val="20"/>
                <w:szCs w:val="20"/>
              </w:rPr>
            </w:pPr>
            <w:r w:rsidRPr="00557F12">
              <w:rPr>
                <w:rFonts w:eastAsia="Calibri"/>
                <w:sz w:val="20"/>
                <w:szCs w:val="20"/>
              </w:rPr>
              <w:t>Based on the system description, identify and quantify compromises (steps one to three above) and threats, and produce an initial prioritization of the compromises, hazards and limitations to legitimate uses and activities</w:t>
            </w:r>
          </w:p>
        </w:tc>
      </w:tr>
      <w:tr w:rsidR="00557F12" w:rsidRPr="00557F12" w14:paraId="427BC07F" w14:textId="77777777" w:rsidTr="005C45ED">
        <w:tc>
          <w:tcPr>
            <w:tcW w:w="3438" w:type="dxa"/>
            <w:shd w:val="clear" w:color="auto" w:fill="auto"/>
          </w:tcPr>
          <w:p w14:paraId="175D8264" w14:textId="77777777" w:rsidR="00557F12" w:rsidRPr="00557F12" w:rsidRDefault="00557F12" w:rsidP="00557F12">
            <w:pPr>
              <w:rPr>
                <w:rFonts w:eastAsia="Calibri"/>
                <w:sz w:val="20"/>
                <w:szCs w:val="20"/>
              </w:rPr>
            </w:pPr>
            <w:r w:rsidRPr="00557F12">
              <w:rPr>
                <w:rFonts w:eastAsia="Calibri"/>
                <w:sz w:val="20"/>
                <w:szCs w:val="20"/>
              </w:rPr>
              <w:t>4. Identification and characterization of immediate, secondary, and higher level causes of habitat degradation  ( “</w:t>
            </w:r>
            <w:r w:rsidRPr="00557F12">
              <w:rPr>
                <w:rFonts w:eastAsia="Calibri"/>
                <w:i/>
                <w:sz w:val="20"/>
                <w:szCs w:val="20"/>
              </w:rPr>
              <w:t>causal chain analysis</w:t>
            </w:r>
            <w:r w:rsidRPr="00557F12">
              <w:rPr>
                <w:rFonts w:eastAsia="Calibri"/>
                <w:sz w:val="20"/>
                <w:szCs w:val="20"/>
              </w:rPr>
              <w:t>”)</w:t>
            </w:r>
          </w:p>
        </w:tc>
        <w:tc>
          <w:tcPr>
            <w:tcW w:w="5807" w:type="dxa"/>
            <w:shd w:val="clear" w:color="auto" w:fill="auto"/>
          </w:tcPr>
          <w:p w14:paraId="795FEB4D" w14:textId="77777777" w:rsidR="00557F12" w:rsidRPr="00557F12" w:rsidRDefault="00557F12" w:rsidP="005C45ED">
            <w:pPr>
              <w:numPr>
                <w:ilvl w:val="0"/>
                <w:numId w:val="76"/>
              </w:numPr>
              <w:ind w:left="162" w:hanging="162"/>
              <w:contextualSpacing/>
              <w:rPr>
                <w:rFonts w:eastAsia="Calibri"/>
                <w:sz w:val="20"/>
                <w:szCs w:val="20"/>
              </w:rPr>
            </w:pPr>
            <w:r w:rsidRPr="00557F12">
              <w:rPr>
                <w:rFonts w:eastAsia="Calibri"/>
                <w:sz w:val="20"/>
                <w:szCs w:val="20"/>
              </w:rPr>
              <w:t>Determine and describe the immediate causes of identified issues</w:t>
            </w:r>
          </w:p>
          <w:p w14:paraId="6FD2D2EB" w14:textId="77777777" w:rsidR="00557F12" w:rsidRPr="00557F12" w:rsidRDefault="00557F12" w:rsidP="005C45ED">
            <w:pPr>
              <w:numPr>
                <w:ilvl w:val="0"/>
                <w:numId w:val="76"/>
              </w:numPr>
              <w:ind w:left="162" w:hanging="162"/>
              <w:contextualSpacing/>
              <w:rPr>
                <w:rFonts w:eastAsia="Calibri"/>
                <w:sz w:val="20"/>
                <w:szCs w:val="20"/>
              </w:rPr>
            </w:pPr>
            <w:r w:rsidRPr="00557F12">
              <w:rPr>
                <w:rFonts w:eastAsia="Calibri"/>
                <w:sz w:val="20"/>
                <w:szCs w:val="20"/>
              </w:rPr>
              <w:t>Determine and describe of the secondary causes of identified issues</w:t>
            </w:r>
          </w:p>
          <w:p w14:paraId="05F27B95" w14:textId="77777777" w:rsidR="00557F12" w:rsidRPr="00557F12" w:rsidRDefault="00557F12" w:rsidP="005C45ED">
            <w:pPr>
              <w:numPr>
                <w:ilvl w:val="0"/>
                <w:numId w:val="76"/>
              </w:numPr>
              <w:ind w:left="162" w:hanging="162"/>
              <w:contextualSpacing/>
              <w:rPr>
                <w:rFonts w:eastAsia="Calibri"/>
                <w:sz w:val="20"/>
                <w:szCs w:val="20"/>
              </w:rPr>
            </w:pPr>
            <w:r w:rsidRPr="00557F12">
              <w:rPr>
                <w:rFonts w:eastAsia="Calibri"/>
                <w:sz w:val="20"/>
                <w:szCs w:val="20"/>
              </w:rPr>
              <w:t>Determine and describe the tertiary...to penultimate causes of identified issues</w:t>
            </w:r>
          </w:p>
        </w:tc>
      </w:tr>
      <w:tr w:rsidR="00557F12" w:rsidRPr="00557F12" w14:paraId="425B3F65" w14:textId="77777777" w:rsidTr="005C45ED">
        <w:tc>
          <w:tcPr>
            <w:tcW w:w="3438" w:type="dxa"/>
            <w:shd w:val="clear" w:color="auto" w:fill="auto"/>
          </w:tcPr>
          <w:p w14:paraId="209498E9" w14:textId="77777777" w:rsidR="00557F12" w:rsidRPr="00557F12" w:rsidRDefault="00557F12" w:rsidP="00557F12">
            <w:pPr>
              <w:rPr>
                <w:rFonts w:eastAsia="Calibri"/>
                <w:sz w:val="20"/>
                <w:szCs w:val="20"/>
              </w:rPr>
            </w:pPr>
            <w:r w:rsidRPr="00557F12">
              <w:rPr>
                <w:rFonts w:eastAsia="Calibri"/>
                <w:sz w:val="20"/>
                <w:szCs w:val="20"/>
              </w:rPr>
              <w:t>5. Identification and characterization of ultimate (root) causes of habitat degradation and loss</w:t>
            </w:r>
          </w:p>
        </w:tc>
        <w:tc>
          <w:tcPr>
            <w:tcW w:w="5807" w:type="dxa"/>
            <w:shd w:val="clear" w:color="auto" w:fill="auto"/>
          </w:tcPr>
          <w:p w14:paraId="7FBAF523" w14:textId="77777777" w:rsidR="00557F12" w:rsidRPr="00557F12" w:rsidRDefault="00557F12" w:rsidP="005C45ED">
            <w:pPr>
              <w:numPr>
                <w:ilvl w:val="0"/>
                <w:numId w:val="76"/>
              </w:numPr>
              <w:ind w:left="162" w:hanging="162"/>
              <w:contextualSpacing/>
              <w:rPr>
                <w:rFonts w:eastAsia="Calibri"/>
                <w:sz w:val="20"/>
                <w:szCs w:val="20"/>
              </w:rPr>
            </w:pPr>
            <w:r w:rsidRPr="00557F12">
              <w:rPr>
                <w:rFonts w:eastAsia="Calibri"/>
                <w:sz w:val="20"/>
                <w:szCs w:val="20"/>
              </w:rPr>
              <w:t>Determine and describe the ultimate/root causes of identified issues</w:t>
            </w:r>
          </w:p>
        </w:tc>
      </w:tr>
      <w:tr w:rsidR="00557F12" w:rsidRPr="00557F12" w14:paraId="077FE1C6" w14:textId="77777777" w:rsidTr="005C45ED">
        <w:tc>
          <w:tcPr>
            <w:tcW w:w="3438" w:type="dxa"/>
            <w:shd w:val="clear" w:color="auto" w:fill="auto"/>
          </w:tcPr>
          <w:p w14:paraId="419BCCF3" w14:textId="77777777" w:rsidR="00557F12" w:rsidRPr="00557F12" w:rsidRDefault="00557F12" w:rsidP="00557F12">
            <w:pPr>
              <w:rPr>
                <w:rFonts w:eastAsia="Calibri"/>
                <w:sz w:val="20"/>
                <w:szCs w:val="20"/>
              </w:rPr>
            </w:pPr>
            <w:r w:rsidRPr="00557F12">
              <w:rPr>
                <w:rFonts w:eastAsia="Calibri"/>
                <w:sz w:val="20"/>
                <w:szCs w:val="20"/>
              </w:rPr>
              <w:t>6. Identification and characterization of options for intervention</w:t>
            </w:r>
          </w:p>
        </w:tc>
        <w:tc>
          <w:tcPr>
            <w:tcW w:w="5807" w:type="dxa"/>
            <w:shd w:val="clear" w:color="auto" w:fill="auto"/>
          </w:tcPr>
          <w:p w14:paraId="11125627" w14:textId="77777777" w:rsidR="00557F12" w:rsidRPr="00557F12" w:rsidRDefault="00557F12" w:rsidP="005C45ED">
            <w:pPr>
              <w:numPr>
                <w:ilvl w:val="0"/>
                <w:numId w:val="76"/>
              </w:numPr>
              <w:ind w:left="162" w:hanging="180"/>
              <w:contextualSpacing/>
              <w:rPr>
                <w:rFonts w:eastAsia="Calibri"/>
                <w:sz w:val="20"/>
                <w:szCs w:val="20"/>
              </w:rPr>
            </w:pPr>
            <w:r w:rsidRPr="00557F12">
              <w:rPr>
                <w:rFonts w:eastAsia="Calibri"/>
                <w:sz w:val="20"/>
                <w:szCs w:val="20"/>
              </w:rPr>
              <w:t>Identify and then describe options for intervention, with emphasis on potential interventions at the most fundamental levels of cause (however, potential options at all levels should be characterized where possible)</w:t>
            </w:r>
          </w:p>
        </w:tc>
      </w:tr>
      <w:tr w:rsidR="00557F12" w:rsidRPr="00557F12" w14:paraId="7F38365E" w14:textId="77777777" w:rsidTr="005C45ED">
        <w:tc>
          <w:tcPr>
            <w:tcW w:w="3438" w:type="dxa"/>
            <w:shd w:val="clear" w:color="auto" w:fill="auto"/>
          </w:tcPr>
          <w:p w14:paraId="500526F8" w14:textId="77777777" w:rsidR="00557F12" w:rsidRPr="00557F12" w:rsidRDefault="00557F12" w:rsidP="00557F12">
            <w:pPr>
              <w:rPr>
                <w:rFonts w:eastAsia="Calibri"/>
                <w:sz w:val="20"/>
                <w:szCs w:val="20"/>
              </w:rPr>
            </w:pPr>
            <w:r w:rsidRPr="00557F12">
              <w:rPr>
                <w:rFonts w:eastAsia="Calibri"/>
                <w:sz w:val="20"/>
                <w:szCs w:val="20"/>
              </w:rPr>
              <w:t>7. Analysis of options for intervention</w:t>
            </w:r>
          </w:p>
        </w:tc>
        <w:tc>
          <w:tcPr>
            <w:tcW w:w="5807" w:type="dxa"/>
            <w:shd w:val="clear" w:color="auto" w:fill="auto"/>
          </w:tcPr>
          <w:p w14:paraId="70B4E137" w14:textId="77777777" w:rsidR="00557F12" w:rsidRPr="00557F12" w:rsidRDefault="00557F12" w:rsidP="005C45ED">
            <w:pPr>
              <w:numPr>
                <w:ilvl w:val="0"/>
                <w:numId w:val="76"/>
              </w:numPr>
              <w:ind w:left="162" w:hanging="162"/>
              <w:contextualSpacing/>
              <w:rPr>
                <w:rFonts w:eastAsia="Calibri"/>
                <w:sz w:val="20"/>
                <w:szCs w:val="20"/>
              </w:rPr>
            </w:pPr>
            <w:r w:rsidRPr="00557F12">
              <w:rPr>
                <w:rFonts w:eastAsia="Calibri"/>
                <w:sz w:val="20"/>
                <w:szCs w:val="20"/>
              </w:rPr>
              <w:t>Examine options for intervention for commonalities and crosstalk/conflicts</w:t>
            </w:r>
          </w:p>
          <w:p w14:paraId="6630F51D" w14:textId="77777777" w:rsidR="00557F12" w:rsidRPr="00557F12" w:rsidRDefault="00557F12" w:rsidP="005C45ED">
            <w:pPr>
              <w:numPr>
                <w:ilvl w:val="0"/>
                <w:numId w:val="76"/>
              </w:numPr>
              <w:ind w:left="162" w:hanging="162"/>
              <w:contextualSpacing/>
              <w:rPr>
                <w:rFonts w:eastAsia="Calibri"/>
                <w:sz w:val="20"/>
                <w:szCs w:val="20"/>
              </w:rPr>
            </w:pPr>
            <w:r w:rsidRPr="00557F12">
              <w:rPr>
                <w:rFonts w:eastAsia="Calibri"/>
                <w:sz w:val="20"/>
                <w:szCs w:val="20"/>
              </w:rPr>
              <w:t>Establish criteria for net benefit analyses of options</w:t>
            </w:r>
          </w:p>
        </w:tc>
      </w:tr>
      <w:tr w:rsidR="00557F12" w:rsidRPr="00557F12" w14:paraId="167B8454" w14:textId="77777777" w:rsidTr="005C45ED">
        <w:tc>
          <w:tcPr>
            <w:tcW w:w="3438" w:type="dxa"/>
            <w:shd w:val="clear" w:color="auto" w:fill="auto"/>
          </w:tcPr>
          <w:p w14:paraId="2A8AB660" w14:textId="77777777" w:rsidR="00557F12" w:rsidRPr="00557F12" w:rsidRDefault="00557F12" w:rsidP="00557F12">
            <w:pPr>
              <w:rPr>
                <w:rFonts w:eastAsia="Calibri"/>
                <w:sz w:val="20"/>
                <w:szCs w:val="20"/>
              </w:rPr>
            </w:pPr>
            <w:r w:rsidRPr="00557F12">
              <w:rPr>
                <w:rFonts w:eastAsia="Calibri"/>
                <w:sz w:val="20"/>
                <w:szCs w:val="20"/>
              </w:rPr>
              <w:t>8. Determination of comparative net benefit of options for intervention</w:t>
            </w:r>
          </w:p>
        </w:tc>
        <w:tc>
          <w:tcPr>
            <w:tcW w:w="5807" w:type="dxa"/>
            <w:shd w:val="clear" w:color="auto" w:fill="auto"/>
          </w:tcPr>
          <w:p w14:paraId="26834F07" w14:textId="77777777" w:rsidR="00557F12" w:rsidRPr="00557F12" w:rsidRDefault="00557F12" w:rsidP="005C45ED">
            <w:pPr>
              <w:numPr>
                <w:ilvl w:val="0"/>
                <w:numId w:val="76"/>
              </w:numPr>
              <w:ind w:left="162" w:hanging="162"/>
              <w:contextualSpacing/>
              <w:rPr>
                <w:rFonts w:eastAsia="Calibri"/>
                <w:sz w:val="20"/>
                <w:szCs w:val="20"/>
              </w:rPr>
            </w:pPr>
            <w:r w:rsidRPr="00557F12">
              <w:rPr>
                <w:rFonts w:eastAsia="Calibri"/>
                <w:sz w:val="20"/>
                <w:szCs w:val="20"/>
              </w:rPr>
              <w:t>Establish costs of intervention, potential benefits of intervention (preferably in monetary terms) taking account of feedback loops/conflicts to determine the most effective options for intervention</w:t>
            </w:r>
          </w:p>
        </w:tc>
      </w:tr>
      <w:tr w:rsidR="00557F12" w:rsidRPr="00557F12" w14:paraId="3B6DC18A" w14:textId="77777777" w:rsidTr="005C45ED">
        <w:tc>
          <w:tcPr>
            <w:tcW w:w="3438" w:type="dxa"/>
            <w:shd w:val="clear" w:color="auto" w:fill="auto"/>
          </w:tcPr>
          <w:p w14:paraId="1B905A9E" w14:textId="77777777" w:rsidR="00557F12" w:rsidRPr="00557F12" w:rsidRDefault="00557F12" w:rsidP="00557F12">
            <w:pPr>
              <w:rPr>
                <w:rFonts w:eastAsia="Calibri"/>
                <w:sz w:val="20"/>
                <w:szCs w:val="20"/>
              </w:rPr>
            </w:pPr>
            <w:r w:rsidRPr="00557F12">
              <w:rPr>
                <w:rFonts w:eastAsia="Calibri"/>
                <w:sz w:val="20"/>
                <w:szCs w:val="20"/>
              </w:rPr>
              <w:t>9. Identification of priority options for intervention</w:t>
            </w:r>
          </w:p>
        </w:tc>
        <w:tc>
          <w:tcPr>
            <w:tcW w:w="5807" w:type="dxa"/>
            <w:shd w:val="clear" w:color="auto" w:fill="auto"/>
          </w:tcPr>
          <w:p w14:paraId="0BF1198C" w14:textId="77777777" w:rsidR="00557F12" w:rsidRPr="00557F12" w:rsidRDefault="00557F12" w:rsidP="005C45ED">
            <w:pPr>
              <w:numPr>
                <w:ilvl w:val="0"/>
                <w:numId w:val="76"/>
              </w:numPr>
              <w:ind w:left="162" w:hanging="162"/>
              <w:contextualSpacing/>
              <w:rPr>
                <w:rFonts w:eastAsia="Calibri"/>
                <w:sz w:val="20"/>
                <w:szCs w:val="20"/>
              </w:rPr>
            </w:pPr>
            <w:r w:rsidRPr="00557F12">
              <w:rPr>
                <w:rFonts w:eastAsia="Calibri"/>
                <w:sz w:val="20"/>
                <w:szCs w:val="20"/>
              </w:rPr>
              <w:t>Identify, characterize and specify any conditions that should be imposed upon priority options for intervention based on the magnitude of their net benefit and ability to resolve/ameliorate multiple issues</w:t>
            </w:r>
          </w:p>
        </w:tc>
      </w:tr>
    </w:tbl>
    <w:p w14:paraId="7CA68F04" w14:textId="77777777" w:rsidR="00557F12" w:rsidRPr="00557F12" w:rsidRDefault="00557F12" w:rsidP="000B3EFC">
      <w:pPr>
        <w:spacing w:before="120" w:after="120"/>
        <w:jc w:val="both"/>
        <w:rPr>
          <w:sz w:val="22"/>
          <w:szCs w:val="22"/>
          <w:lang w:val="en-GB"/>
        </w:rPr>
      </w:pPr>
    </w:p>
    <w:p w14:paraId="1CC97C06" w14:textId="77777777" w:rsidR="005B1DFD" w:rsidRPr="008B2D6F" w:rsidRDefault="008B2D6F" w:rsidP="008B2D6F">
      <w:pPr>
        <w:spacing w:before="120" w:after="120"/>
        <w:ind w:left="1440" w:hanging="1440"/>
        <w:jc w:val="both"/>
        <w:rPr>
          <w:b/>
          <w:sz w:val="22"/>
          <w:szCs w:val="22"/>
          <w:lang w:val="en-GB"/>
        </w:rPr>
      </w:pPr>
      <w:r w:rsidRPr="008B2D6F">
        <w:rPr>
          <w:b/>
          <w:sz w:val="22"/>
          <w:szCs w:val="22"/>
          <w:lang w:val="en-GB"/>
        </w:rPr>
        <w:t>Component 2.</w:t>
      </w:r>
      <w:r w:rsidRPr="008B2D6F">
        <w:rPr>
          <w:b/>
          <w:sz w:val="22"/>
          <w:szCs w:val="22"/>
          <w:lang w:val="en-GB"/>
        </w:rPr>
        <w:tab/>
        <w:t xml:space="preserve"> Strengthening knowledge-based action planning for the management of coastal habitats and land-based pollution to reduce environmental degradation of the South China Sea</w:t>
      </w:r>
    </w:p>
    <w:p w14:paraId="78A7B77C" w14:textId="77777777" w:rsidR="005B1DFD" w:rsidRDefault="008B2D6F" w:rsidP="008B2D6F">
      <w:pPr>
        <w:numPr>
          <w:ilvl w:val="0"/>
          <w:numId w:val="3"/>
        </w:numPr>
        <w:spacing w:before="120" w:after="120"/>
        <w:ind w:left="0" w:firstLine="0"/>
        <w:jc w:val="both"/>
        <w:rPr>
          <w:sz w:val="22"/>
          <w:szCs w:val="22"/>
          <w:lang w:val="en-GB"/>
        </w:rPr>
      </w:pPr>
      <w:r>
        <w:rPr>
          <w:sz w:val="22"/>
          <w:szCs w:val="22"/>
          <w:lang w:val="en-GB"/>
        </w:rPr>
        <w:t>This component will result in: an e</w:t>
      </w:r>
      <w:r w:rsidRPr="008B2D6F">
        <w:rPr>
          <w:sz w:val="22"/>
          <w:szCs w:val="22"/>
          <w:lang w:val="en-GB"/>
        </w:rPr>
        <w:t>nhanced information-base for coastal habitat management and action planning</w:t>
      </w:r>
      <w:r>
        <w:rPr>
          <w:sz w:val="22"/>
          <w:szCs w:val="22"/>
          <w:lang w:val="en-GB"/>
        </w:rPr>
        <w:t>; e</w:t>
      </w:r>
      <w:r w:rsidRPr="008B2D6F">
        <w:rPr>
          <w:sz w:val="22"/>
          <w:szCs w:val="22"/>
          <w:lang w:val="en-GB"/>
        </w:rPr>
        <w:t>ffective integration of regional science in the management of land-based pollution</w:t>
      </w:r>
      <w:r>
        <w:rPr>
          <w:sz w:val="22"/>
          <w:szCs w:val="22"/>
          <w:lang w:val="en-GB"/>
        </w:rPr>
        <w:t>; s</w:t>
      </w:r>
      <w:r w:rsidRPr="008B2D6F">
        <w:rPr>
          <w:sz w:val="22"/>
          <w:szCs w:val="22"/>
          <w:lang w:val="en-GB"/>
        </w:rPr>
        <w:t>trengthened and harmonized national policies and laws, and supporting financial mechanism, for the management of land-based sources of pollution</w:t>
      </w:r>
      <w:r>
        <w:rPr>
          <w:sz w:val="22"/>
          <w:szCs w:val="22"/>
          <w:lang w:val="en-GB"/>
        </w:rPr>
        <w:t>; i</w:t>
      </w:r>
      <w:r w:rsidRPr="008B2D6F">
        <w:rPr>
          <w:sz w:val="22"/>
          <w:szCs w:val="22"/>
          <w:lang w:val="en-GB"/>
        </w:rPr>
        <w:t>mproved national and regional values for the Total Economic</w:t>
      </w:r>
      <w:r>
        <w:rPr>
          <w:sz w:val="22"/>
          <w:szCs w:val="22"/>
          <w:lang w:val="en-GB"/>
        </w:rPr>
        <w:t xml:space="preserve"> </w:t>
      </w:r>
      <w:r w:rsidRPr="008B2D6F">
        <w:rPr>
          <w:sz w:val="22"/>
          <w:szCs w:val="22"/>
          <w:lang w:val="en-GB"/>
        </w:rPr>
        <w:t>Values of coastal habitats for use in development planning and decision-making</w:t>
      </w:r>
      <w:r>
        <w:rPr>
          <w:sz w:val="22"/>
          <w:szCs w:val="22"/>
          <w:lang w:val="en-GB"/>
        </w:rPr>
        <w:t>; r</w:t>
      </w:r>
      <w:r w:rsidRPr="008B2D6F">
        <w:rPr>
          <w:sz w:val="22"/>
          <w:szCs w:val="22"/>
          <w:lang w:val="en-GB"/>
        </w:rPr>
        <w:t>egionally appropriate tools and mechanisms to guide the development of sustainable management systems for coastal habitats and land-based pollution</w:t>
      </w:r>
      <w:r>
        <w:rPr>
          <w:sz w:val="22"/>
          <w:szCs w:val="22"/>
          <w:lang w:val="en-GB"/>
        </w:rPr>
        <w:t>; and an u</w:t>
      </w:r>
      <w:r w:rsidRPr="008B2D6F">
        <w:rPr>
          <w:sz w:val="22"/>
          <w:szCs w:val="22"/>
          <w:lang w:val="en-GB"/>
        </w:rPr>
        <w:t xml:space="preserve">pdated and </w:t>
      </w:r>
      <w:r>
        <w:rPr>
          <w:sz w:val="22"/>
          <w:szCs w:val="22"/>
          <w:lang w:val="en-GB"/>
        </w:rPr>
        <w:t>M</w:t>
      </w:r>
      <w:r w:rsidRPr="008B2D6F">
        <w:rPr>
          <w:sz w:val="22"/>
          <w:szCs w:val="22"/>
          <w:lang w:val="en-GB"/>
        </w:rPr>
        <w:t>inisterially adopted Transboundary Diagnostic Analysis and Strategic Action Programme, including prioritization of national management actions to address climate variability and change</w:t>
      </w:r>
      <w:r>
        <w:rPr>
          <w:sz w:val="22"/>
          <w:szCs w:val="22"/>
          <w:lang w:val="en-GB"/>
        </w:rPr>
        <w:t>.</w:t>
      </w:r>
      <w:r w:rsidR="00AD4CC8">
        <w:rPr>
          <w:sz w:val="22"/>
          <w:szCs w:val="22"/>
          <w:lang w:val="en-GB"/>
        </w:rPr>
        <w:t xml:space="preserve"> Each of the outcomes to be delivered </w:t>
      </w:r>
      <w:r w:rsidR="006B1A3E">
        <w:rPr>
          <w:sz w:val="22"/>
          <w:szCs w:val="22"/>
          <w:lang w:val="en-GB"/>
        </w:rPr>
        <w:t>via</w:t>
      </w:r>
      <w:r w:rsidR="00AD4CC8">
        <w:rPr>
          <w:sz w:val="22"/>
          <w:szCs w:val="22"/>
          <w:lang w:val="en-GB"/>
        </w:rPr>
        <w:t xml:space="preserve"> Component 2 of the project are outlined below.</w:t>
      </w:r>
    </w:p>
    <w:p w14:paraId="553710EC" w14:textId="77777777" w:rsidR="00AD4CC8" w:rsidRPr="00AD4CC8" w:rsidRDefault="00AD4CC8" w:rsidP="00AD4CC8">
      <w:pPr>
        <w:spacing w:before="120" w:after="120"/>
        <w:jc w:val="both"/>
        <w:rPr>
          <w:b/>
          <w:sz w:val="22"/>
          <w:szCs w:val="22"/>
          <w:lang w:val="en-GB"/>
        </w:rPr>
      </w:pPr>
      <w:r w:rsidRPr="00AD4CC8">
        <w:rPr>
          <w:b/>
          <w:sz w:val="22"/>
          <w:szCs w:val="22"/>
          <w:lang w:val="en-GB"/>
        </w:rPr>
        <w:t>Outcome 2.1</w:t>
      </w:r>
      <w:r w:rsidRPr="00AD4CC8">
        <w:rPr>
          <w:b/>
          <w:sz w:val="22"/>
          <w:szCs w:val="22"/>
          <w:lang w:val="en-GB"/>
        </w:rPr>
        <w:tab/>
        <w:t>Enhanced information-base for coastal habitat management and action planning</w:t>
      </w:r>
    </w:p>
    <w:p w14:paraId="3C9117C2" w14:textId="77777777" w:rsidR="008B2D6F" w:rsidRDefault="00AD4CC8" w:rsidP="00AD4CC8">
      <w:pPr>
        <w:numPr>
          <w:ilvl w:val="0"/>
          <w:numId w:val="3"/>
        </w:numPr>
        <w:spacing w:before="120" w:after="120"/>
        <w:ind w:left="0" w:firstLine="0"/>
        <w:jc w:val="both"/>
        <w:rPr>
          <w:sz w:val="22"/>
          <w:szCs w:val="22"/>
          <w:lang w:val="en-GB"/>
        </w:rPr>
      </w:pPr>
      <w:r w:rsidRPr="00AD4CC8">
        <w:rPr>
          <w:sz w:val="22"/>
          <w:szCs w:val="22"/>
          <w:lang w:val="en-GB"/>
        </w:rPr>
        <w:t>The science-based planning for coastal habitat management fostered by the SCS project relied on the extensive compilation, review and analysis of information and data relating to specific habitat sites. This involved the development of comparable national data and information sets relating to, inter alia, the distribution and diversity of coastal habitats, the species richness and hotspots of biodiversity, present threats and the status of management. Much of this information was synthesised and published as the national reports on coastal habitats that provides a permanent record of the information used as the basis for planning. This information was also used to prepare detailed site characterisations for more than 135 habitat sites in the basin. These characterisations provide the best available information relating to the ecology and management of individual sites in a regionally comparable format.</w:t>
      </w:r>
    </w:p>
    <w:p w14:paraId="25494824" w14:textId="77777777" w:rsidR="00111031" w:rsidRDefault="00111031" w:rsidP="00111031">
      <w:pPr>
        <w:numPr>
          <w:ilvl w:val="0"/>
          <w:numId w:val="3"/>
        </w:numPr>
        <w:spacing w:after="120"/>
        <w:ind w:left="0" w:firstLine="0"/>
        <w:jc w:val="both"/>
        <w:rPr>
          <w:sz w:val="22"/>
          <w:szCs w:val="22"/>
          <w:lang w:val="en-GB"/>
        </w:rPr>
      </w:pPr>
      <w:r w:rsidRPr="00111031">
        <w:rPr>
          <w:sz w:val="22"/>
          <w:szCs w:val="22"/>
          <w:lang w:val="en-GB"/>
        </w:rPr>
        <w:t xml:space="preserve">Activities of this project will build on the knowledge-based action planning for the management of the marine and coastal environment of the SCS achieved during SAP formulation. Importantly, activities are designed to support consensus building on the information and data to be used in planning and implementing the required local, national and regional reforms required to address the degradation of coastal habitats, land-based pollution, and the adoption of stronger and more formal arrangements for regional co-operation in the management of the marine and coastal environment of the South China Sea. </w:t>
      </w:r>
    </w:p>
    <w:p w14:paraId="07615EAE" w14:textId="77777777" w:rsidR="00111031" w:rsidRPr="00111031" w:rsidRDefault="00111031" w:rsidP="00111031">
      <w:pPr>
        <w:numPr>
          <w:ilvl w:val="0"/>
          <w:numId w:val="3"/>
        </w:numPr>
        <w:ind w:left="0" w:firstLine="0"/>
        <w:jc w:val="both"/>
        <w:rPr>
          <w:sz w:val="22"/>
          <w:szCs w:val="22"/>
          <w:lang w:val="en-GB"/>
        </w:rPr>
      </w:pPr>
      <w:r w:rsidRPr="00111031">
        <w:rPr>
          <w:sz w:val="22"/>
          <w:szCs w:val="22"/>
          <w:lang w:val="en-GB"/>
        </w:rPr>
        <w:t>Given the geopolitical sensitivities characterizing the SCS region, such a consensual approach is deemed necessary in: tracking and reporting on results of SAP implementation; generating agreement among the region’s scientists and policy makers on the analytical approaches used to prioritize options and reforms required to address environmental problems; fostering strengthened multi-lateral cooperation; and planning interventions that deliver both local results for beneficiary communities and high transboundary impacts.</w:t>
      </w:r>
    </w:p>
    <w:p w14:paraId="3D79E545" w14:textId="77777777" w:rsidR="00111031" w:rsidRDefault="00111031" w:rsidP="00111031">
      <w:pPr>
        <w:numPr>
          <w:ilvl w:val="0"/>
          <w:numId w:val="3"/>
        </w:numPr>
        <w:spacing w:before="120" w:after="120"/>
        <w:ind w:left="0" w:firstLine="0"/>
        <w:jc w:val="both"/>
        <w:rPr>
          <w:sz w:val="22"/>
          <w:szCs w:val="22"/>
          <w:lang w:val="en-GB"/>
        </w:rPr>
      </w:pPr>
      <w:r w:rsidRPr="00111031">
        <w:rPr>
          <w:sz w:val="22"/>
          <w:szCs w:val="22"/>
          <w:lang w:val="en-GB"/>
        </w:rPr>
        <w:t xml:space="preserve">For example, recent and rapid advancements in aerial visual survey techniques and remote sensing of inter-tidal and shallow water biomes have potential to greatly enhance coastal habitat management planning in the SCS marine basin. Algorithms for the interpretation of remotely sensed information and data on coastal habitat associations and zonation will be developed and applied, and will involve production and publication of a regional report on methodologies and procedures for the application of aerial visual survey and remotely sensed data in coastal habitat management in the SCS marine basin. </w:t>
      </w:r>
    </w:p>
    <w:p w14:paraId="085D5A6B" w14:textId="77777777" w:rsidR="00AD4CC8" w:rsidRDefault="00111031" w:rsidP="00111031">
      <w:pPr>
        <w:numPr>
          <w:ilvl w:val="0"/>
          <w:numId w:val="3"/>
        </w:numPr>
        <w:spacing w:before="120" w:after="120"/>
        <w:ind w:left="0" w:firstLine="0"/>
        <w:jc w:val="both"/>
        <w:rPr>
          <w:sz w:val="22"/>
          <w:szCs w:val="22"/>
          <w:lang w:val="en-GB"/>
        </w:rPr>
      </w:pPr>
      <w:r w:rsidRPr="00111031">
        <w:rPr>
          <w:sz w:val="22"/>
          <w:szCs w:val="22"/>
          <w:lang w:val="en-GB"/>
        </w:rPr>
        <w:t>Similarly, an extensive regional GIS and meta-database of SCS coastal habitat information was developed as part of SAP formulation but has not been updated due to lack of a regional mechanism for collation and exchange of data. These mechanisms will be revitalized and will build on the objective approach to coastal habitat area site characterisation initiated by the SCS project by constructing an objective and scientifically sound procedure for site characterization that is: fully transparent and comprehensible to all parties, both technical and political; based as far as possible on objective quantifiable criteria and indicators, that also reflect the importance of the sites from the perspectives of the range of biological, environmental and socio-economic conditions at both national and regional levels, and from the perspective of vulnerabilities associated with disaster risk, climate variability, and extremes in weather.</w:t>
      </w:r>
    </w:p>
    <w:p w14:paraId="00625FE4" w14:textId="77777777" w:rsidR="006B1A3E" w:rsidRDefault="00111031" w:rsidP="00111031">
      <w:pPr>
        <w:numPr>
          <w:ilvl w:val="0"/>
          <w:numId w:val="3"/>
        </w:numPr>
        <w:spacing w:before="120" w:after="120"/>
        <w:ind w:left="0" w:firstLine="0"/>
        <w:jc w:val="both"/>
        <w:rPr>
          <w:sz w:val="22"/>
          <w:szCs w:val="22"/>
          <w:lang w:val="en-GB"/>
        </w:rPr>
      </w:pPr>
      <w:r w:rsidRPr="00111031">
        <w:rPr>
          <w:sz w:val="22"/>
          <w:szCs w:val="22"/>
          <w:lang w:val="en-GB"/>
        </w:rPr>
        <w:t xml:space="preserve">Coastal communities of the South China Sea </w:t>
      </w:r>
      <w:r w:rsidR="006B1A3E">
        <w:rPr>
          <w:sz w:val="22"/>
          <w:szCs w:val="22"/>
          <w:lang w:val="en-GB"/>
        </w:rPr>
        <w:t>riparian countries</w:t>
      </w:r>
      <w:r w:rsidRPr="00111031">
        <w:rPr>
          <w:sz w:val="22"/>
          <w:szCs w:val="22"/>
          <w:lang w:val="en-GB"/>
        </w:rPr>
        <w:t xml:space="preserve"> </w:t>
      </w:r>
      <w:r w:rsidR="006B1A3E">
        <w:rPr>
          <w:sz w:val="22"/>
          <w:szCs w:val="22"/>
          <w:lang w:val="en-GB"/>
        </w:rPr>
        <w:t>live</w:t>
      </w:r>
      <w:r w:rsidRPr="00111031">
        <w:rPr>
          <w:sz w:val="22"/>
          <w:szCs w:val="22"/>
          <w:lang w:val="en-GB"/>
        </w:rPr>
        <w:t xml:space="preserve"> in and </w:t>
      </w:r>
      <w:r w:rsidR="006B1A3E">
        <w:rPr>
          <w:sz w:val="22"/>
          <w:szCs w:val="22"/>
          <w:lang w:val="en-GB"/>
        </w:rPr>
        <w:t xml:space="preserve">continuously </w:t>
      </w:r>
      <w:r w:rsidRPr="00111031">
        <w:rPr>
          <w:sz w:val="22"/>
          <w:szCs w:val="22"/>
          <w:lang w:val="en-GB"/>
        </w:rPr>
        <w:t xml:space="preserve">adapt to dynamic and often difficult climatic environments. Shallow tropical marine environments </w:t>
      </w:r>
      <w:r w:rsidR="006B1A3E">
        <w:rPr>
          <w:sz w:val="22"/>
          <w:szCs w:val="22"/>
          <w:lang w:val="en-GB"/>
        </w:rPr>
        <w:t xml:space="preserve">such as the coastal areas of the South China Sea </w:t>
      </w:r>
      <w:r w:rsidRPr="00111031">
        <w:rPr>
          <w:sz w:val="22"/>
          <w:szCs w:val="22"/>
          <w:lang w:val="en-GB"/>
        </w:rPr>
        <w:t xml:space="preserve">are inherently vulnerable to the extremes of climate variability, and this vulnerability </w:t>
      </w:r>
      <w:r w:rsidR="006B1A3E">
        <w:rPr>
          <w:sz w:val="22"/>
          <w:szCs w:val="22"/>
          <w:lang w:val="en-GB"/>
        </w:rPr>
        <w:t xml:space="preserve">has </w:t>
      </w:r>
      <w:r w:rsidRPr="00111031">
        <w:rPr>
          <w:sz w:val="22"/>
          <w:szCs w:val="22"/>
          <w:lang w:val="en-GB"/>
        </w:rPr>
        <w:t xml:space="preserve">compelled East Asia’s coastal communities over time to build a level of resilience to extreme weather events. However today, population growth and social changes have created a situation where many communities are far less prepared for the floods, extended droughts, and storms that remain an ongoing feature of the region. </w:t>
      </w:r>
    </w:p>
    <w:p w14:paraId="590556F6" w14:textId="77777777" w:rsidR="006B1A3E" w:rsidRDefault="00111031" w:rsidP="00111031">
      <w:pPr>
        <w:numPr>
          <w:ilvl w:val="0"/>
          <w:numId w:val="3"/>
        </w:numPr>
        <w:spacing w:before="120" w:after="120"/>
        <w:ind w:left="0" w:firstLine="0"/>
        <w:jc w:val="both"/>
        <w:rPr>
          <w:sz w:val="22"/>
          <w:szCs w:val="22"/>
          <w:lang w:val="en-GB"/>
        </w:rPr>
      </w:pPr>
      <w:r w:rsidRPr="00111031">
        <w:rPr>
          <w:sz w:val="22"/>
          <w:szCs w:val="22"/>
          <w:lang w:val="en-GB"/>
        </w:rPr>
        <w:t xml:space="preserve">In this regard, the uncertainty and extremes of climate variability compound and exacerbate the social and economic challenges faced by coastal communities of East Asia. Large-scale features such as the Inter-tropical Convergence Zone and the West Pacific Monsoon drive the seasonal variations in rainfall experienced by Pacific Island Countries, including wet and dry seasons. Together, they influence rainfall, winds, tropical cyclones, ocean currents and other aspects of the weather and climate. While these features drive the wet and dry seasons experienced annually in most of the riparian countries of the South China, the single greatest factor affecting climate variability from year to year is the El Niño/La Niña Southern Oscillation, or ENSO. This cycle of warming and cooling of sea surface temperatures of the </w:t>
      </w:r>
      <w:r w:rsidR="006B1A3E">
        <w:rPr>
          <w:sz w:val="22"/>
          <w:szCs w:val="22"/>
          <w:lang w:val="en-GB"/>
        </w:rPr>
        <w:t xml:space="preserve">Western </w:t>
      </w:r>
      <w:r w:rsidRPr="00111031">
        <w:rPr>
          <w:sz w:val="22"/>
          <w:szCs w:val="22"/>
          <w:lang w:val="en-GB"/>
        </w:rPr>
        <w:t>Pacific has a profound effect on the hydrolog</w:t>
      </w:r>
      <w:r w:rsidR="006B1A3E">
        <w:rPr>
          <w:sz w:val="22"/>
          <w:szCs w:val="22"/>
          <w:lang w:val="en-GB"/>
        </w:rPr>
        <w:t>ical cycle of East Asian countri</w:t>
      </w:r>
      <w:r w:rsidRPr="00111031">
        <w:rPr>
          <w:sz w:val="22"/>
          <w:szCs w:val="22"/>
          <w:lang w:val="en-GB"/>
        </w:rPr>
        <w:t xml:space="preserve">es, driving periods of drought and elevated rainfall across the region. </w:t>
      </w:r>
    </w:p>
    <w:p w14:paraId="3CE610DB" w14:textId="77777777" w:rsidR="006B1A3E" w:rsidRDefault="00111031" w:rsidP="00111031">
      <w:pPr>
        <w:numPr>
          <w:ilvl w:val="0"/>
          <w:numId w:val="3"/>
        </w:numPr>
        <w:spacing w:before="120" w:after="120"/>
        <w:ind w:left="0" w:firstLine="0"/>
        <w:jc w:val="both"/>
        <w:rPr>
          <w:sz w:val="22"/>
          <w:szCs w:val="22"/>
          <w:lang w:val="en-GB"/>
        </w:rPr>
      </w:pPr>
      <w:r w:rsidRPr="00111031">
        <w:rPr>
          <w:sz w:val="22"/>
          <w:szCs w:val="22"/>
          <w:lang w:val="en-GB"/>
        </w:rPr>
        <w:t>The effects of the ENSO cycle are not restricted to drought. It is also a driver of periods of elevated rainfall and rainfall intensity, and plays a role in both suppressing and stimulating the propagation and severity of tropical cyclones, all of which have significant impacts on the people and economies of coastal communities. However, while</w:t>
      </w:r>
      <w:r w:rsidR="006B1A3E">
        <w:rPr>
          <w:sz w:val="22"/>
          <w:szCs w:val="22"/>
          <w:lang w:val="en-GB"/>
        </w:rPr>
        <w:t xml:space="preserve"> regional</w:t>
      </w:r>
      <w:r w:rsidRPr="00111031">
        <w:rPr>
          <w:sz w:val="22"/>
          <w:szCs w:val="22"/>
          <w:lang w:val="en-GB"/>
        </w:rPr>
        <w:t xml:space="preserve"> understandin</w:t>
      </w:r>
      <w:r w:rsidR="006B1A3E">
        <w:rPr>
          <w:sz w:val="22"/>
          <w:szCs w:val="22"/>
          <w:lang w:val="en-GB"/>
        </w:rPr>
        <w:t>g</w:t>
      </w:r>
      <w:r w:rsidRPr="00111031">
        <w:rPr>
          <w:sz w:val="22"/>
          <w:szCs w:val="22"/>
          <w:lang w:val="en-GB"/>
        </w:rPr>
        <w:t xml:space="preserve"> of climate variability and change </w:t>
      </w:r>
      <w:r w:rsidR="006B1A3E">
        <w:rPr>
          <w:sz w:val="22"/>
          <w:szCs w:val="22"/>
          <w:lang w:val="en-GB"/>
        </w:rPr>
        <w:t xml:space="preserve">has </w:t>
      </w:r>
      <w:r w:rsidRPr="00111031">
        <w:rPr>
          <w:sz w:val="22"/>
          <w:szCs w:val="22"/>
          <w:lang w:val="en-GB"/>
        </w:rPr>
        <w:t>improved considerably over the past years, this improvement has not translated into a corresponding increase in community resilience. Recognising this, activities of this project will focus on the issue of</w:t>
      </w:r>
      <w:r w:rsidR="006B1A3E">
        <w:rPr>
          <w:sz w:val="22"/>
          <w:szCs w:val="22"/>
          <w:lang w:val="en-GB"/>
        </w:rPr>
        <w:t xml:space="preserve"> climate variability and change</w:t>
      </w:r>
      <w:r w:rsidRPr="00111031">
        <w:rPr>
          <w:sz w:val="22"/>
          <w:szCs w:val="22"/>
          <w:lang w:val="en-GB"/>
        </w:rPr>
        <w:t xml:space="preserve">, including </w:t>
      </w:r>
      <w:r w:rsidR="006B1A3E">
        <w:rPr>
          <w:sz w:val="22"/>
          <w:szCs w:val="22"/>
          <w:lang w:val="en-GB"/>
        </w:rPr>
        <w:t>the related matter</w:t>
      </w:r>
      <w:r w:rsidRPr="00111031">
        <w:rPr>
          <w:sz w:val="22"/>
          <w:szCs w:val="22"/>
          <w:lang w:val="en-GB"/>
        </w:rPr>
        <w:t xml:space="preserve"> of sea level rise, in the context of national planning and </w:t>
      </w:r>
      <w:r w:rsidR="006B1A3E">
        <w:rPr>
          <w:sz w:val="22"/>
          <w:szCs w:val="22"/>
          <w:lang w:val="en-GB"/>
        </w:rPr>
        <w:t>the update of</w:t>
      </w:r>
      <w:r w:rsidRPr="00111031">
        <w:rPr>
          <w:sz w:val="22"/>
          <w:szCs w:val="22"/>
          <w:lang w:val="en-GB"/>
        </w:rPr>
        <w:t xml:space="preserve"> the TDA and SAP for the South China Sea. Similar efforts will be made to ensure a better reflection of the role of coastal habitats of the South China Sea basin in carbon sequestration and storage in development planning. </w:t>
      </w:r>
    </w:p>
    <w:p w14:paraId="61218297" w14:textId="77777777" w:rsidR="00111031" w:rsidRDefault="006B1A3E" w:rsidP="00111031">
      <w:pPr>
        <w:numPr>
          <w:ilvl w:val="0"/>
          <w:numId w:val="3"/>
        </w:numPr>
        <w:spacing w:before="120" w:after="120"/>
        <w:ind w:left="0" w:firstLine="0"/>
        <w:jc w:val="both"/>
        <w:rPr>
          <w:sz w:val="22"/>
          <w:szCs w:val="22"/>
          <w:lang w:val="en-GB"/>
        </w:rPr>
      </w:pPr>
      <w:r>
        <w:rPr>
          <w:sz w:val="22"/>
          <w:szCs w:val="22"/>
          <w:lang w:val="en-GB"/>
        </w:rPr>
        <w:t>Importantly, t</w:t>
      </w:r>
      <w:r w:rsidR="00111031" w:rsidRPr="00111031">
        <w:rPr>
          <w:sz w:val="22"/>
          <w:szCs w:val="22"/>
          <w:lang w:val="en-GB"/>
        </w:rPr>
        <w:t>hese enhancements to the information-base for coastal habitat management and action planning will be used to guide the preparation of updated National Action Plans</w:t>
      </w:r>
      <w:r w:rsidR="00442B1D">
        <w:rPr>
          <w:sz w:val="22"/>
          <w:szCs w:val="22"/>
          <w:lang w:val="en-GB"/>
        </w:rPr>
        <w:t>, including institutional reform and sustainable financing strategies,</w:t>
      </w:r>
      <w:r w:rsidR="00111031" w:rsidRPr="00111031">
        <w:rPr>
          <w:sz w:val="22"/>
          <w:szCs w:val="22"/>
          <w:lang w:val="en-GB"/>
        </w:rPr>
        <w:t xml:space="preserve"> for coastal habitats and the development and enactment of supporting legislation where required.</w:t>
      </w:r>
      <w:r>
        <w:rPr>
          <w:sz w:val="22"/>
          <w:szCs w:val="22"/>
          <w:lang w:val="en-GB"/>
        </w:rPr>
        <w:t xml:space="preserve"> </w:t>
      </w:r>
      <w:r w:rsidR="00282EB6">
        <w:rPr>
          <w:sz w:val="22"/>
          <w:szCs w:val="22"/>
          <w:lang w:val="en-GB"/>
        </w:rPr>
        <w:t xml:space="preserve">Importantly, the National Action Plans will foster cross-sectorial and multi-stakeholder involvement in addressing the multiple threats to coastal habitats and their resources. To facilitate this, the roles and responsibilities of involved agencies and stakeholders will be negotiated and defined, and importantly the supporting strengthening of institutional and legislative </w:t>
      </w:r>
      <w:r w:rsidR="005C2B61">
        <w:rPr>
          <w:sz w:val="22"/>
          <w:szCs w:val="22"/>
          <w:lang w:val="en-GB"/>
        </w:rPr>
        <w:t>frameworks</w:t>
      </w:r>
      <w:r w:rsidR="00282EB6">
        <w:rPr>
          <w:sz w:val="22"/>
          <w:szCs w:val="22"/>
          <w:lang w:val="en-GB"/>
        </w:rPr>
        <w:t xml:space="preserve"> will target multiple sectors where required.</w:t>
      </w:r>
      <w:r w:rsidR="005C2B61">
        <w:rPr>
          <w:sz w:val="22"/>
          <w:szCs w:val="22"/>
          <w:lang w:val="en-GB"/>
        </w:rPr>
        <w:t xml:space="preserve"> The latter will facilitate the mainstreaming of common goals and agreed actions for coastal habitat and marine environmental management in the operations of relevant sectorial agencies.</w:t>
      </w:r>
      <w:r w:rsidR="00282EB6">
        <w:rPr>
          <w:sz w:val="22"/>
          <w:szCs w:val="22"/>
          <w:lang w:val="en-GB"/>
        </w:rPr>
        <w:t xml:space="preserve"> </w:t>
      </w:r>
      <w:r>
        <w:rPr>
          <w:sz w:val="22"/>
          <w:szCs w:val="22"/>
          <w:lang w:val="en-GB"/>
        </w:rPr>
        <w:t>The specific project targets for Outcome 2.1 are summarised in Table 31.</w:t>
      </w:r>
    </w:p>
    <w:p w14:paraId="5D9BBD4F" w14:textId="77777777" w:rsidR="006B1A3E" w:rsidRDefault="006B1A3E" w:rsidP="006B1A3E">
      <w:pPr>
        <w:spacing w:before="120" w:after="120"/>
        <w:jc w:val="both"/>
        <w:rPr>
          <w:sz w:val="22"/>
          <w:szCs w:val="22"/>
          <w:lang w:val="en-GB"/>
        </w:rPr>
      </w:pPr>
      <w:r w:rsidRPr="006B1A3E">
        <w:rPr>
          <w:b/>
          <w:sz w:val="22"/>
          <w:szCs w:val="22"/>
          <w:lang w:val="en-GB"/>
        </w:rPr>
        <w:t>Table 31</w:t>
      </w:r>
      <w:r>
        <w:rPr>
          <w:sz w:val="22"/>
          <w:szCs w:val="22"/>
          <w:lang w:val="en-GB"/>
        </w:rPr>
        <w:tab/>
        <w:t>Baselines, targets and project indicators for Outcome 2.1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6"/>
        <w:gridCol w:w="3018"/>
        <w:gridCol w:w="3028"/>
      </w:tblGrid>
      <w:tr w:rsidR="006B1A3E" w:rsidRPr="005A668F" w14:paraId="4BA73174" w14:textId="77777777" w:rsidTr="004B053A">
        <w:tc>
          <w:tcPr>
            <w:tcW w:w="3081" w:type="dxa"/>
            <w:shd w:val="clear" w:color="auto" w:fill="auto"/>
            <w:vAlign w:val="center"/>
          </w:tcPr>
          <w:p w14:paraId="3ABA7377" w14:textId="77777777" w:rsidR="006B1A3E" w:rsidRPr="004B053A" w:rsidRDefault="006B1A3E" w:rsidP="004B053A">
            <w:pPr>
              <w:jc w:val="center"/>
              <w:rPr>
                <w:b/>
                <w:sz w:val="20"/>
                <w:szCs w:val="20"/>
              </w:rPr>
            </w:pPr>
            <w:r w:rsidRPr="004B053A">
              <w:rPr>
                <w:b/>
                <w:sz w:val="20"/>
                <w:szCs w:val="20"/>
              </w:rPr>
              <w:t>Baselines</w:t>
            </w:r>
          </w:p>
        </w:tc>
        <w:tc>
          <w:tcPr>
            <w:tcW w:w="3082" w:type="dxa"/>
            <w:shd w:val="clear" w:color="auto" w:fill="auto"/>
            <w:vAlign w:val="center"/>
          </w:tcPr>
          <w:p w14:paraId="1DEC680F" w14:textId="77777777" w:rsidR="006B1A3E" w:rsidRPr="004B053A" w:rsidRDefault="006B1A3E" w:rsidP="004B053A">
            <w:pPr>
              <w:jc w:val="center"/>
              <w:rPr>
                <w:b/>
                <w:sz w:val="20"/>
                <w:szCs w:val="20"/>
              </w:rPr>
            </w:pPr>
            <w:r w:rsidRPr="004B053A">
              <w:rPr>
                <w:b/>
                <w:sz w:val="20"/>
                <w:szCs w:val="20"/>
              </w:rPr>
              <w:t>Targets</w:t>
            </w:r>
          </w:p>
        </w:tc>
        <w:tc>
          <w:tcPr>
            <w:tcW w:w="3082" w:type="dxa"/>
            <w:shd w:val="clear" w:color="auto" w:fill="auto"/>
            <w:vAlign w:val="center"/>
          </w:tcPr>
          <w:p w14:paraId="1160DA66" w14:textId="77777777" w:rsidR="006B1A3E" w:rsidRPr="004B053A" w:rsidRDefault="006B1A3E" w:rsidP="004B053A">
            <w:pPr>
              <w:jc w:val="center"/>
              <w:rPr>
                <w:b/>
                <w:sz w:val="20"/>
                <w:szCs w:val="20"/>
              </w:rPr>
            </w:pPr>
            <w:r w:rsidRPr="004B053A">
              <w:rPr>
                <w:b/>
                <w:sz w:val="20"/>
                <w:szCs w:val="20"/>
              </w:rPr>
              <w:t>Indicators</w:t>
            </w:r>
          </w:p>
        </w:tc>
      </w:tr>
      <w:tr w:rsidR="006B1A3E" w:rsidRPr="005A668F" w14:paraId="5D521A43" w14:textId="77777777" w:rsidTr="004B053A">
        <w:trPr>
          <w:trHeight w:val="20"/>
        </w:trPr>
        <w:tc>
          <w:tcPr>
            <w:tcW w:w="3081" w:type="dxa"/>
            <w:shd w:val="clear" w:color="auto" w:fill="auto"/>
            <w:vAlign w:val="center"/>
          </w:tcPr>
          <w:p w14:paraId="68210408" w14:textId="77777777" w:rsidR="006B1A3E" w:rsidRPr="004B053A" w:rsidRDefault="006B1A3E" w:rsidP="00E030C3">
            <w:pPr>
              <w:rPr>
                <w:sz w:val="20"/>
                <w:szCs w:val="20"/>
              </w:rPr>
            </w:pPr>
            <w:r w:rsidRPr="004B053A">
              <w:rPr>
                <w:sz w:val="20"/>
                <w:szCs w:val="20"/>
              </w:rPr>
              <w:t>Rapid advancements in aerial visual survey techniques and remote sensing of inter-tidal and shallow water biomes have potential to greatly enhance coastal habitat management planning in the SCS marine basin</w:t>
            </w:r>
          </w:p>
        </w:tc>
        <w:tc>
          <w:tcPr>
            <w:tcW w:w="3082" w:type="dxa"/>
            <w:shd w:val="clear" w:color="auto" w:fill="auto"/>
            <w:vAlign w:val="center"/>
          </w:tcPr>
          <w:p w14:paraId="55A49F64" w14:textId="77777777" w:rsidR="006B1A3E" w:rsidRPr="004B053A" w:rsidRDefault="006B1A3E" w:rsidP="00E030C3">
            <w:pPr>
              <w:rPr>
                <w:sz w:val="20"/>
                <w:szCs w:val="20"/>
              </w:rPr>
            </w:pPr>
            <w:r w:rsidRPr="004B053A">
              <w:rPr>
                <w:sz w:val="20"/>
                <w:szCs w:val="20"/>
              </w:rPr>
              <w:t>2.1.1 Algorithms for the interpretation of remotely sensed information and data on coastal habitat associations and zonation developed and applied</w:t>
            </w:r>
            <w:r w:rsidR="00F80027">
              <w:rPr>
                <w:sz w:val="20"/>
                <w:szCs w:val="20"/>
              </w:rPr>
              <w:t xml:space="preserve"> in national and regional action planning</w:t>
            </w:r>
          </w:p>
        </w:tc>
        <w:tc>
          <w:tcPr>
            <w:tcW w:w="3082" w:type="dxa"/>
            <w:shd w:val="clear" w:color="auto" w:fill="auto"/>
            <w:vAlign w:val="center"/>
          </w:tcPr>
          <w:p w14:paraId="27839C2B" w14:textId="77777777" w:rsidR="006B1A3E" w:rsidRPr="004B053A" w:rsidRDefault="006B1A3E" w:rsidP="004B053A">
            <w:pPr>
              <w:spacing w:after="120"/>
              <w:rPr>
                <w:sz w:val="20"/>
                <w:szCs w:val="20"/>
              </w:rPr>
            </w:pPr>
            <w:r w:rsidRPr="004B053A">
              <w:rPr>
                <w:sz w:val="20"/>
                <w:szCs w:val="20"/>
              </w:rPr>
              <w:t>Volume of remotely sensed information interpreted and made available for planning</w:t>
            </w:r>
          </w:p>
          <w:p w14:paraId="7F0AD31E" w14:textId="77777777" w:rsidR="006B1A3E" w:rsidRPr="004B053A" w:rsidRDefault="006B1A3E" w:rsidP="006B1A3E">
            <w:pPr>
              <w:rPr>
                <w:sz w:val="20"/>
                <w:szCs w:val="20"/>
              </w:rPr>
            </w:pPr>
            <w:r w:rsidRPr="004B053A">
              <w:rPr>
                <w:sz w:val="20"/>
                <w:szCs w:val="20"/>
              </w:rPr>
              <w:t>Extent of uptake of remotely sensed coastal habitat information and data in management planning and action</w:t>
            </w:r>
          </w:p>
        </w:tc>
      </w:tr>
      <w:tr w:rsidR="006B1A3E" w:rsidRPr="005A668F" w14:paraId="6D93DF39" w14:textId="77777777" w:rsidTr="004B053A">
        <w:trPr>
          <w:trHeight w:val="20"/>
        </w:trPr>
        <w:tc>
          <w:tcPr>
            <w:tcW w:w="3081" w:type="dxa"/>
            <w:shd w:val="clear" w:color="auto" w:fill="auto"/>
            <w:vAlign w:val="center"/>
          </w:tcPr>
          <w:p w14:paraId="31C659A0" w14:textId="77777777" w:rsidR="006B1A3E" w:rsidRPr="004B053A" w:rsidRDefault="006B1A3E" w:rsidP="006B1A3E">
            <w:pPr>
              <w:rPr>
                <w:sz w:val="20"/>
                <w:szCs w:val="20"/>
              </w:rPr>
            </w:pPr>
            <w:r w:rsidRPr="004B053A">
              <w:rPr>
                <w:sz w:val="20"/>
                <w:szCs w:val="20"/>
              </w:rPr>
              <w:t>Regional GIS and meta-database of SCS coastal habitat information developed but not updated due to lack of a regional mechanism for collation and exchange of data</w:t>
            </w:r>
          </w:p>
        </w:tc>
        <w:tc>
          <w:tcPr>
            <w:tcW w:w="3082" w:type="dxa"/>
            <w:shd w:val="clear" w:color="auto" w:fill="auto"/>
            <w:vAlign w:val="center"/>
          </w:tcPr>
          <w:p w14:paraId="21692E70" w14:textId="77777777" w:rsidR="006B1A3E" w:rsidRPr="004B053A" w:rsidRDefault="006B1A3E" w:rsidP="00E030C3">
            <w:pPr>
              <w:rPr>
                <w:sz w:val="20"/>
                <w:szCs w:val="20"/>
              </w:rPr>
            </w:pPr>
            <w:r w:rsidRPr="004B053A">
              <w:rPr>
                <w:sz w:val="20"/>
                <w:szCs w:val="20"/>
              </w:rPr>
              <w:t>2.1.2 Mechanism for collection and exchange of regional coastal habitat information and data established</w:t>
            </w:r>
          </w:p>
        </w:tc>
        <w:tc>
          <w:tcPr>
            <w:tcW w:w="3082" w:type="dxa"/>
            <w:shd w:val="clear" w:color="auto" w:fill="auto"/>
            <w:vAlign w:val="center"/>
          </w:tcPr>
          <w:p w14:paraId="5B2733F6" w14:textId="77777777" w:rsidR="006B1A3E" w:rsidRPr="004B053A" w:rsidRDefault="006B1A3E" w:rsidP="004B053A">
            <w:pPr>
              <w:spacing w:after="120"/>
              <w:rPr>
                <w:sz w:val="20"/>
                <w:szCs w:val="20"/>
              </w:rPr>
            </w:pPr>
            <w:r w:rsidRPr="004B053A">
              <w:rPr>
                <w:sz w:val="20"/>
                <w:szCs w:val="20"/>
              </w:rPr>
              <w:t>Number and completeness of regionally comparable coastal habitat site characterisations</w:t>
            </w:r>
            <w:r w:rsidR="00F80027">
              <w:rPr>
                <w:sz w:val="20"/>
                <w:szCs w:val="20"/>
              </w:rPr>
              <w:t xml:space="preserve"> for 134 sites</w:t>
            </w:r>
          </w:p>
          <w:p w14:paraId="0A0143D4" w14:textId="77777777" w:rsidR="006B1A3E" w:rsidRPr="004B053A" w:rsidRDefault="006B1A3E" w:rsidP="006B1A3E">
            <w:pPr>
              <w:rPr>
                <w:sz w:val="20"/>
                <w:szCs w:val="20"/>
              </w:rPr>
            </w:pPr>
            <w:r w:rsidRPr="004B053A">
              <w:rPr>
                <w:sz w:val="20"/>
                <w:szCs w:val="20"/>
              </w:rPr>
              <w:t xml:space="preserve">Number of datasets for </w:t>
            </w:r>
            <w:r w:rsidR="00F80027">
              <w:rPr>
                <w:sz w:val="20"/>
                <w:szCs w:val="20"/>
              </w:rPr>
              <w:t xml:space="preserve">134 </w:t>
            </w:r>
            <w:r w:rsidRPr="004B053A">
              <w:rPr>
                <w:sz w:val="20"/>
                <w:szCs w:val="20"/>
              </w:rPr>
              <w:t>coastal habitat sites accessible online in centralised repositorty</w:t>
            </w:r>
          </w:p>
        </w:tc>
      </w:tr>
      <w:tr w:rsidR="006B1A3E" w:rsidRPr="005A668F" w14:paraId="451A7701" w14:textId="77777777" w:rsidTr="004B053A">
        <w:trPr>
          <w:trHeight w:val="20"/>
        </w:trPr>
        <w:tc>
          <w:tcPr>
            <w:tcW w:w="3081" w:type="dxa"/>
            <w:shd w:val="clear" w:color="auto" w:fill="auto"/>
            <w:vAlign w:val="center"/>
          </w:tcPr>
          <w:p w14:paraId="5CE78B49" w14:textId="77777777" w:rsidR="006B1A3E" w:rsidRPr="004B053A" w:rsidRDefault="006B1A3E" w:rsidP="00E030C3">
            <w:pPr>
              <w:rPr>
                <w:sz w:val="20"/>
                <w:szCs w:val="20"/>
              </w:rPr>
            </w:pPr>
            <w:r w:rsidRPr="004B053A">
              <w:rPr>
                <w:sz w:val="20"/>
                <w:szCs w:val="20"/>
              </w:rPr>
              <w:t>Lack of SCS specific information on carbon sequestration by coastal habitats constrains resource managers in making political case for better resourcing of mgmt.</w:t>
            </w:r>
          </w:p>
        </w:tc>
        <w:tc>
          <w:tcPr>
            <w:tcW w:w="3082" w:type="dxa"/>
            <w:shd w:val="clear" w:color="auto" w:fill="auto"/>
            <w:vAlign w:val="center"/>
          </w:tcPr>
          <w:p w14:paraId="39D759D8" w14:textId="77777777" w:rsidR="006B1A3E" w:rsidRPr="004B053A" w:rsidRDefault="006B1A3E" w:rsidP="00E030C3">
            <w:pPr>
              <w:rPr>
                <w:sz w:val="20"/>
                <w:szCs w:val="20"/>
              </w:rPr>
            </w:pPr>
            <w:r w:rsidRPr="004B053A">
              <w:rPr>
                <w:sz w:val="20"/>
                <w:szCs w:val="20"/>
              </w:rPr>
              <w:t>2.1.3 Role of coastal habitats of the South China Sea in the sequestration and storage of carbon quantified</w:t>
            </w:r>
            <w:r w:rsidR="00F80027">
              <w:rPr>
                <w:sz w:val="20"/>
                <w:szCs w:val="20"/>
              </w:rPr>
              <w:t xml:space="preserve"> and </w:t>
            </w:r>
            <w:r w:rsidR="00F80027" w:rsidRPr="00F80027">
              <w:rPr>
                <w:sz w:val="20"/>
                <w:szCs w:val="20"/>
              </w:rPr>
              <w:t>communicated to stakeholders, and applied in national and regional action planning</w:t>
            </w:r>
          </w:p>
        </w:tc>
        <w:tc>
          <w:tcPr>
            <w:tcW w:w="3082" w:type="dxa"/>
            <w:shd w:val="clear" w:color="auto" w:fill="auto"/>
            <w:vAlign w:val="center"/>
          </w:tcPr>
          <w:p w14:paraId="159E83A5" w14:textId="77777777" w:rsidR="00794F56" w:rsidRPr="004B053A" w:rsidRDefault="00794F56" w:rsidP="004B053A">
            <w:pPr>
              <w:spacing w:after="120"/>
              <w:rPr>
                <w:sz w:val="20"/>
                <w:szCs w:val="20"/>
              </w:rPr>
            </w:pPr>
            <w:r w:rsidRPr="004B053A">
              <w:rPr>
                <w:sz w:val="20"/>
                <w:szCs w:val="20"/>
              </w:rPr>
              <w:t>Volume of CO2 captured and stored by SCS habitats defined</w:t>
            </w:r>
          </w:p>
          <w:p w14:paraId="7D2D120D" w14:textId="77777777" w:rsidR="006B1A3E" w:rsidRPr="004B053A" w:rsidRDefault="00794F56" w:rsidP="00794F56">
            <w:pPr>
              <w:rPr>
                <w:sz w:val="20"/>
                <w:szCs w:val="20"/>
              </w:rPr>
            </w:pPr>
            <w:r w:rsidRPr="004B053A">
              <w:rPr>
                <w:sz w:val="20"/>
                <w:szCs w:val="20"/>
              </w:rPr>
              <w:t>Extent of uptake of information on carbon sequestration and storage used in mgmt. planning</w:t>
            </w:r>
          </w:p>
        </w:tc>
      </w:tr>
      <w:tr w:rsidR="006B1A3E" w:rsidRPr="005A668F" w14:paraId="0929E2C1" w14:textId="77777777" w:rsidTr="004B053A">
        <w:trPr>
          <w:trHeight w:val="20"/>
        </w:trPr>
        <w:tc>
          <w:tcPr>
            <w:tcW w:w="3081" w:type="dxa"/>
            <w:shd w:val="clear" w:color="auto" w:fill="auto"/>
            <w:vAlign w:val="center"/>
          </w:tcPr>
          <w:p w14:paraId="23544BFD" w14:textId="77777777" w:rsidR="006B1A3E" w:rsidRPr="004B053A" w:rsidRDefault="00794F56" w:rsidP="00E030C3">
            <w:pPr>
              <w:rPr>
                <w:sz w:val="20"/>
                <w:szCs w:val="20"/>
              </w:rPr>
            </w:pPr>
            <w:r w:rsidRPr="004B053A">
              <w:rPr>
                <w:sz w:val="20"/>
                <w:szCs w:val="20"/>
              </w:rPr>
              <w:t>Sea level rise, climate variability and change, and episodic natural disasters in SC identified as threats to sustainable management of coastal habitats</w:t>
            </w:r>
          </w:p>
        </w:tc>
        <w:tc>
          <w:tcPr>
            <w:tcW w:w="3082" w:type="dxa"/>
            <w:shd w:val="clear" w:color="auto" w:fill="auto"/>
            <w:vAlign w:val="center"/>
          </w:tcPr>
          <w:p w14:paraId="73F3EE97" w14:textId="77777777" w:rsidR="006B1A3E" w:rsidRPr="004B053A" w:rsidRDefault="00794F56" w:rsidP="00E030C3">
            <w:pPr>
              <w:rPr>
                <w:sz w:val="20"/>
                <w:szCs w:val="20"/>
              </w:rPr>
            </w:pPr>
            <w:r w:rsidRPr="004B053A">
              <w:rPr>
                <w:sz w:val="20"/>
                <w:szCs w:val="20"/>
              </w:rPr>
              <w:t>2.1.4 Review of the potential impacts of sea level rise, climate change, and episodic events on coastal habitats of the South China Sea</w:t>
            </w:r>
            <w:r w:rsidR="00F80027">
              <w:rPr>
                <w:sz w:val="20"/>
                <w:szCs w:val="20"/>
              </w:rPr>
              <w:t xml:space="preserve"> </w:t>
            </w:r>
            <w:r w:rsidR="00F80027" w:rsidRPr="00F80027">
              <w:rPr>
                <w:sz w:val="20"/>
                <w:szCs w:val="20"/>
              </w:rPr>
              <w:t>applied in national action planning and update of the SCS TDA</w:t>
            </w:r>
          </w:p>
        </w:tc>
        <w:tc>
          <w:tcPr>
            <w:tcW w:w="3082" w:type="dxa"/>
            <w:shd w:val="clear" w:color="auto" w:fill="auto"/>
            <w:vAlign w:val="center"/>
          </w:tcPr>
          <w:p w14:paraId="70151435" w14:textId="77777777" w:rsidR="00794F56" w:rsidRPr="004B053A" w:rsidRDefault="00794F56" w:rsidP="004B053A">
            <w:pPr>
              <w:spacing w:after="120"/>
              <w:rPr>
                <w:sz w:val="20"/>
                <w:szCs w:val="20"/>
              </w:rPr>
            </w:pPr>
            <w:r w:rsidRPr="004B053A">
              <w:rPr>
                <w:sz w:val="20"/>
                <w:szCs w:val="20"/>
              </w:rPr>
              <w:t>Independent peer acceptance of review</w:t>
            </w:r>
          </w:p>
          <w:p w14:paraId="73B5311C" w14:textId="77777777" w:rsidR="006B1A3E" w:rsidRPr="004B053A" w:rsidRDefault="00794F56" w:rsidP="00794F56">
            <w:pPr>
              <w:rPr>
                <w:sz w:val="20"/>
                <w:szCs w:val="20"/>
              </w:rPr>
            </w:pPr>
            <w:r w:rsidRPr="004B053A">
              <w:rPr>
                <w:sz w:val="20"/>
                <w:szCs w:val="20"/>
              </w:rPr>
              <w:t>Extent of uptake of review and its recommendations in updating national action plans and diagnostic analyses</w:t>
            </w:r>
          </w:p>
        </w:tc>
      </w:tr>
      <w:tr w:rsidR="006B1A3E" w:rsidRPr="005A668F" w14:paraId="2210E1FE" w14:textId="77777777" w:rsidTr="004B053A">
        <w:trPr>
          <w:trHeight w:val="20"/>
        </w:trPr>
        <w:tc>
          <w:tcPr>
            <w:tcW w:w="3081" w:type="dxa"/>
            <w:shd w:val="clear" w:color="auto" w:fill="auto"/>
            <w:vAlign w:val="center"/>
          </w:tcPr>
          <w:p w14:paraId="26ECC907" w14:textId="77777777" w:rsidR="006B1A3E" w:rsidRPr="004B053A" w:rsidRDefault="00794F56" w:rsidP="00E030C3">
            <w:pPr>
              <w:rPr>
                <w:sz w:val="20"/>
                <w:szCs w:val="20"/>
              </w:rPr>
            </w:pPr>
            <w:r w:rsidRPr="004B053A">
              <w:rPr>
                <w:sz w:val="20"/>
                <w:szCs w:val="20"/>
              </w:rPr>
              <w:t>National Action Plans for mangroves, coral reefs, seagrass and wetlands developed and implemented during period 2002-2008</w:t>
            </w:r>
          </w:p>
        </w:tc>
        <w:tc>
          <w:tcPr>
            <w:tcW w:w="3082" w:type="dxa"/>
            <w:shd w:val="clear" w:color="auto" w:fill="auto"/>
            <w:vAlign w:val="center"/>
          </w:tcPr>
          <w:p w14:paraId="64E8CCE2" w14:textId="77777777" w:rsidR="006B1A3E" w:rsidRPr="004B053A" w:rsidRDefault="00794F56" w:rsidP="00E030C3">
            <w:pPr>
              <w:rPr>
                <w:sz w:val="20"/>
                <w:szCs w:val="20"/>
              </w:rPr>
            </w:pPr>
            <w:r w:rsidRPr="004B053A">
              <w:rPr>
                <w:sz w:val="20"/>
                <w:szCs w:val="20"/>
              </w:rPr>
              <w:t xml:space="preserve">2.1.5 Updated and adopted National Action Plans for mangroves, coral reefs, seagrass and wetlands, including </w:t>
            </w:r>
            <w:r w:rsidR="00442B1D">
              <w:rPr>
                <w:sz w:val="20"/>
                <w:szCs w:val="20"/>
              </w:rPr>
              <w:t xml:space="preserve">institutional reform and sustainable financing strategies, and the </w:t>
            </w:r>
            <w:r w:rsidRPr="004B053A">
              <w:rPr>
                <w:sz w:val="20"/>
                <w:szCs w:val="20"/>
              </w:rPr>
              <w:t>enactment of supporting legislation where required</w:t>
            </w:r>
          </w:p>
        </w:tc>
        <w:tc>
          <w:tcPr>
            <w:tcW w:w="3082" w:type="dxa"/>
            <w:shd w:val="clear" w:color="auto" w:fill="auto"/>
            <w:vAlign w:val="center"/>
          </w:tcPr>
          <w:p w14:paraId="5208F4E9" w14:textId="77777777" w:rsidR="00794F56" w:rsidRPr="004B053A" w:rsidRDefault="00794F56" w:rsidP="004B053A">
            <w:pPr>
              <w:spacing w:after="120"/>
              <w:rPr>
                <w:sz w:val="20"/>
                <w:szCs w:val="20"/>
              </w:rPr>
            </w:pPr>
            <w:r w:rsidRPr="004B053A">
              <w:rPr>
                <w:sz w:val="20"/>
                <w:szCs w:val="20"/>
              </w:rPr>
              <w:t>Number of updated National Action Plans</w:t>
            </w:r>
            <w:r w:rsidR="00442B1D">
              <w:rPr>
                <w:sz w:val="20"/>
                <w:szCs w:val="20"/>
              </w:rPr>
              <w:t>, including institutional reform and sustainable financing strategies,</w:t>
            </w:r>
            <w:r w:rsidRPr="004B053A">
              <w:rPr>
                <w:sz w:val="20"/>
                <w:szCs w:val="20"/>
              </w:rPr>
              <w:t xml:space="preserve"> adopted</w:t>
            </w:r>
          </w:p>
          <w:p w14:paraId="3CA85D52" w14:textId="77777777" w:rsidR="006B1A3E" w:rsidRPr="004B053A" w:rsidRDefault="00794F56" w:rsidP="00794F56">
            <w:pPr>
              <w:rPr>
                <w:sz w:val="20"/>
                <w:szCs w:val="20"/>
              </w:rPr>
            </w:pPr>
            <w:r w:rsidRPr="004B053A">
              <w:rPr>
                <w:sz w:val="20"/>
                <w:szCs w:val="20"/>
              </w:rPr>
              <w:t>Number of laws and regulations adopted to enable action plan implementation</w:t>
            </w:r>
          </w:p>
        </w:tc>
      </w:tr>
    </w:tbl>
    <w:p w14:paraId="7CBA8085" w14:textId="77777777" w:rsidR="006B1A3E" w:rsidRPr="00794F56" w:rsidRDefault="00794F56" w:rsidP="00794F56">
      <w:pPr>
        <w:spacing w:before="120" w:after="120"/>
        <w:ind w:left="1440" w:hanging="1440"/>
        <w:jc w:val="both"/>
        <w:rPr>
          <w:b/>
          <w:sz w:val="22"/>
          <w:szCs w:val="22"/>
          <w:lang w:val="en-GB"/>
        </w:rPr>
      </w:pPr>
      <w:r w:rsidRPr="00794F56">
        <w:rPr>
          <w:b/>
          <w:sz w:val="22"/>
          <w:szCs w:val="22"/>
          <w:lang w:val="en-GB"/>
        </w:rPr>
        <w:t>Outcome 2.2</w:t>
      </w:r>
      <w:r w:rsidRPr="00794F56">
        <w:rPr>
          <w:b/>
          <w:sz w:val="22"/>
          <w:szCs w:val="22"/>
          <w:lang w:val="en-GB"/>
        </w:rPr>
        <w:tab/>
        <w:t>Effective integration of regional science in the management of land-based pollution</w:t>
      </w:r>
    </w:p>
    <w:p w14:paraId="19E177D0" w14:textId="77777777" w:rsidR="00794F56" w:rsidRPr="00794F56" w:rsidRDefault="00794F56" w:rsidP="00111031">
      <w:pPr>
        <w:numPr>
          <w:ilvl w:val="0"/>
          <w:numId w:val="3"/>
        </w:numPr>
        <w:spacing w:before="120" w:after="120"/>
        <w:ind w:left="0" w:firstLine="0"/>
        <w:jc w:val="both"/>
        <w:rPr>
          <w:sz w:val="22"/>
          <w:szCs w:val="22"/>
          <w:lang w:val="en-GB"/>
        </w:rPr>
      </w:pPr>
      <w:r w:rsidRPr="00794F56">
        <w:rPr>
          <w:sz w:val="22"/>
          <w:szCs w:val="22"/>
        </w:rPr>
        <w:t>The ultimate causes of land-based pollution in the South China Sea are: increases in coastal population densities (populations of the basin’s coastal zones currently exceed 270 million or 5 percent of the world’s population); increased food production in the agricultural sector; and increased industrialization, The proximate causes include inadequate waste-water treatment whilst intermediate causes include inadequate standards and lack of capacity to monitor, regulate and control pollution discharges. A major contributing factor is the lack of financial resources to invest in actions addressing the proximate cause, i.e., the issue of strengthening waste treatment capacity, which is presently being addressed via partnerships with development banks, several of which rely on GEF support to PEMSEA</w:t>
      </w:r>
      <w:r w:rsidR="008E146C">
        <w:rPr>
          <w:sz w:val="22"/>
          <w:szCs w:val="22"/>
        </w:rPr>
        <w:t xml:space="preserve"> and which are operated within a board Integrated Coastal Management framework.</w:t>
      </w:r>
    </w:p>
    <w:p w14:paraId="79BE2606" w14:textId="77777777" w:rsidR="00794F56" w:rsidRDefault="00794F56" w:rsidP="00794F56">
      <w:pPr>
        <w:numPr>
          <w:ilvl w:val="0"/>
          <w:numId w:val="3"/>
        </w:numPr>
        <w:spacing w:before="120" w:after="120"/>
        <w:ind w:left="0" w:firstLine="0"/>
        <w:jc w:val="both"/>
        <w:rPr>
          <w:sz w:val="22"/>
          <w:szCs w:val="22"/>
          <w:lang w:val="en-GB"/>
        </w:rPr>
      </w:pPr>
      <w:r w:rsidRPr="00794F56">
        <w:rPr>
          <w:sz w:val="22"/>
          <w:szCs w:val="22"/>
          <w:lang w:val="en-GB"/>
        </w:rPr>
        <w:t>Excessive nutrient loads and suspended solids are among the most common problems in coastal waters of countries bordering the South China Sea. High concentrations of suspended solids largely result from poor land-use practices, including logging activities and conversion of forests in upland areas. On the other hand, high nutrient loads mainly result from untreated domestic wastes that are directly discharged into the receiving water bodies. Both contaminants impact the ecological functioning of coastal ecosystems. In addition, heavy metals such mercury (Hg), Arsenic (As) and lead (Pb) have tended to increase in both biota and sediments in coastal waters of the South China Sea during the last decade. These heavy metals have potential negative impact on the health of marine living resources and human</w:t>
      </w:r>
      <w:r w:rsidR="008E146C">
        <w:rPr>
          <w:sz w:val="22"/>
          <w:szCs w:val="22"/>
          <w:lang w:val="en-GB"/>
        </w:rPr>
        <w:t>s</w:t>
      </w:r>
      <w:r w:rsidRPr="00794F56">
        <w:rPr>
          <w:sz w:val="22"/>
          <w:szCs w:val="22"/>
          <w:lang w:val="en-GB"/>
        </w:rPr>
        <w:t xml:space="preserve"> who consume seafood products.  </w:t>
      </w:r>
    </w:p>
    <w:p w14:paraId="0EC5AE9E" w14:textId="77777777" w:rsidR="008E146C" w:rsidRPr="00EA6BDC" w:rsidRDefault="008E146C" w:rsidP="00EA6BDC">
      <w:pPr>
        <w:numPr>
          <w:ilvl w:val="0"/>
          <w:numId w:val="3"/>
        </w:numPr>
        <w:spacing w:before="120" w:after="120"/>
        <w:ind w:left="0" w:firstLine="0"/>
        <w:jc w:val="both"/>
        <w:rPr>
          <w:sz w:val="22"/>
          <w:szCs w:val="22"/>
          <w:lang w:val="en-GB"/>
        </w:rPr>
      </w:pPr>
      <w:r w:rsidRPr="008E146C">
        <w:rPr>
          <w:sz w:val="22"/>
          <w:szCs w:val="22"/>
          <w:lang w:val="en-GB"/>
        </w:rPr>
        <w:t xml:space="preserve">A total of 17 pollution hot spots were characterised </w:t>
      </w:r>
      <w:r>
        <w:rPr>
          <w:sz w:val="22"/>
          <w:szCs w:val="22"/>
          <w:lang w:val="en-GB"/>
        </w:rPr>
        <w:t>in formulation of the land-based pollution component Strategic Action Programme. It was identified that that p</w:t>
      </w:r>
      <w:r w:rsidRPr="008E146C">
        <w:rPr>
          <w:sz w:val="22"/>
          <w:szCs w:val="22"/>
          <w:lang w:val="en-GB"/>
        </w:rPr>
        <w:t>resent pollutant and contaminant discharges may have transboundary consequences in some of the identified “hot spots” and sensitive areas in terms of increasing the rate of habitat degradation in those coastal ecosystems</w:t>
      </w:r>
      <w:r>
        <w:rPr>
          <w:sz w:val="22"/>
          <w:szCs w:val="22"/>
          <w:lang w:val="en-GB"/>
        </w:rPr>
        <w:t xml:space="preserve">. </w:t>
      </w:r>
      <w:r w:rsidR="00EA6BDC">
        <w:rPr>
          <w:sz w:val="22"/>
          <w:szCs w:val="22"/>
          <w:lang w:val="en-GB"/>
        </w:rPr>
        <w:t>W</w:t>
      </w:r>
      <w:r w:rsidRPr="00EA6BDC">
        <w:rPr>
          <w:sz w:val="22"/>
          <w:szCs w:val="22"/>
          <w:lang w:val="en-GB"/>
        </w:rPr>
        <w:t>hile pollution control departments of the participating countries are among the best resourced in the environment sector of Southeast Asian governments, action is typically focused on monitoring and regulatory functions with little effort directed toward the management of pollution hotspots or reform of national policy and investment planning. Accordingly,</w:t>
      </w:r>
      <w:r w:rsidR="00EA6BDC">
        <w:rPr>
          <w:sz w:val="22"/>
          <w:szCs w:val="22"/>
          <w:lang w:val="en-GB"/>
        </w:rPr>
        <w:t xml:space="preserve"> it was identified during SAP formulation that</w:t>
      </w:r>
      <w:r w:rsidRPr="00EA6BDC">
        <w:rPr>
          <w:sz w:val="22"/>
          <w:szCs w:val="22"/>
          <w:lang w:val="en-GB"/>
        </w:rPr>
        <w:t xml:space="preserve"> the purpose of SAP activities relating to land-based pollution is not to finance interventions that directly reduce the load of contaminants reaching the marine environment from land-based sources but to support the integration of regional science with national-level policy making and planning for the management of land-based pollution.</w:t>
      </w:r>
    </w:p>
    <w:p w14:paraId="50C88F61" w14:textId="77777777" w:rsidR="008E146C" w:rsidRDefault="00EA6BDC" w:rsidP="00794F56">
      <w:pPr>
        <w:numPr>
          <w:ilvl w:val="0"/>
          <w:numId w:val="3"/>
        </w:numPr>
        <w:spacing w:before="120" w:after="120"/>
        <w:ind w:left="0" w:firstLine="0"/>
        <w:jc w:val="both"/>
        <w:rPr>
          <w:sz w:val="22"/>
          <w:szCs w:val="22"/>
          <w:lang w:val="en-GB"/>
        </w:rPr>
      </w:pPr>
      <w:r>
        <w:rPr>
          <w:sz w:val="22"/>
          <w:szCs w:val="22"/>
          <w:lang w:val="en-GB"/>
        </w:rPr>
        <w:t>Accordingly, the over-arching goal of the land-based pollution component of the SAP was agree</w:t>
      </w:r>
      <w:r w:rsidR="00D12CAA">
        <w:rPr>
          <w:sz w:val="22"/>
          <w:szCs w:val="22"/>
          <w:lang w:val="en-GB"/>
        </w:rPr>
        <w:t>d</w:t>
      </w:r>
      <w:r>
        <w:rPr>
          <w:sz w:val="22"/>
          <w:szCs w:val="22"/>
          <w:lang w:val="en-GB"/>
        </w:rPr>
        <w:t xml:space="preserve"> as follows:</w:t>
      </w:r>
    </w:p>
    <w:p w14:paraId="39316DFB" w14:textId="77777777" w:rsidR="00EA6BDC" w:rsidRPr="00EA6BDC" w:rsidRDefault="00EA6BDC" w:rsidP="00EA6BDC">
      <w:pPr>
        <w:spacing w:before="120" w:after="120"/>
        <w:ind w:left="720" w:right="252"/>
        <w:jc w:val="both"/>
        <w:rPr>
          <w:i/>
          <w:sz w:val="22"/>
          <w:szCs w:val="22"/>
          <w:lang w:val="en-GB"/>
        </w:rPr>
      </w:pPr>
      <w:r w:rsidRPr="00EA6BDC">
        <w:rPr>
          <w:i/>
          <w:sz w:val="22"/>
          <w:szCs w:val="22"/>
          <w:lang w:val="en-GB"/>
        </w:rPr>
        <w:t>“To foster regional co-operation in the identification of sensitive ecosystems, land-based contamination problems, evaluation of their significance and development of standards for national level adoption within a regional context in order to develop an appropriate precautionary approach to discharges to the South China Sea marine basin”</w:t>
      </w:r>
    </w:p>
    <w:p w14:paraId="385505AF" w14:textId="77777777" w:rsidR="00EA6BDC" w:rsidRDefault="00EA6BDC" w:rsidP="00EA6BDC">
      <w:pPr>
        <w:numPr>
          <w:ilvl w:val="0"/>
          <w:numId w:val="3"/>
        </w:numPr>
        <w:spacing w:before="120" w:after="120"/>
        <w:ind w:left="0" w:firstLine="0"/>
        <w:jc w:val="both"/>
        <w:rPr>
          <w:sz w:val="22"/>
          <w:szCs w:val="22"/>
          <w:lang w:val="en-GB"/>
        </w:rPr>
      </w:pPr>
      <w:r>
        <w:rPr>
          <w:sz w:val="22"/>
          <w:szCs w:val="22"/>
          <w:lang w:val="en-GB"/>
        </w:rPr>
        <w:t xml:space="preserve">It was further agreed that the purpose of the related targets was to </w:t>
      </w:r>
      <w:r w:rsidRPr="00EA6BDC">
        <w:rPr>
          <w:sz w:val="22"/>
          <w:szCs w:val="22"/>
          <w:lang w:val="en-GB"/>
        </w:rPr>
        <w:t xml:space="preserve">set and periodically review region-wide water quality standards and water quality objectives which will assist in maintaining </w:t>
      </w:r>
      <w:r>
        <w:rPr>
          <w:sz w:val="22"/>
          <w:szCs w:val="22"/>
          <w:lang w:val="en-GB"/>
        </w:rPr>
        <w:t xml:space="preserve">the </w:t>
      </w:r>
      <w:r w:rsidRPr="00EA6BDC">
        <w:rPr>
          <w:sz w:val="22"/>
          <w:szCs w:val="22"/>
          <w:lang w:val="en-GB"/>
        </w:rPr>
        <w:t>health of the coastal ecosystems</w:t>
      </w:r>
      <w:r>
        <w:rPr>
          <w:sz w:val="22"/>
          <w:szCs w:val="22"/>
          <w:lang w:val="en-GB"/>
        </w:rPr>
        <w:t xml:space="preserve"> of the South China Sea marine basin. The specific targets are to:</w:t>
      </w:r>
    </w:p>
    <w:p w14:paraId="30C7D9B3" w14:textId="77777777" w:rsidR="00E82244" w:rsidRPr="00E82244" w:rsidRDefault="00E82244" w:rsidP="004B053A">
      <w:pPr>
        <w:numPr>
          <w:ilvl w:val="0"/>
          <w:numId w:val="24"/>
        </w:numPr>
        <w:jc w:val="both"/>
        <w:rPr>
          <w:sz w:val="22"/>
          <w:szCs w:val="22"/>
          <w:lang w:val="en-GB"/>
        </w:rPr>
      </w:pPr>
      <w:r w:rsidRPr="00E82244">
        <w:rPr>
          <w:sz w:val="22"/>
          <w:szCs w:val="22"/>
          <w:lang w:val="en-GB"/>
        </w:rPr>
        <w:t>estimate total contaminant</w:t>
      </w:r>
      <w:r>
        <w:rPr>
          <w:sz w:val="22"/>
          <w:szCs w:val="22"/>
          <w:lang w:val="en-GB"/>
        </w:rPr>
        <w:t xml:space="preserve"> loading to the South China Sea;</w:t>
      </w:r>
    </w:p>
    <w:p w14:paraId="7DF77AAB" w14:textId="77777777" w:rsidR="00E82244" w:rsidRPr="00E82244" w:rsidRDefault="00E82244" w:rsidP="004B053A">
      <w:pPr>
        <w:numPr>
          <w:ilvl w:val="0"/>
          <w:numId w:val="24"/>
        </w:numPr>
        <w:jc w:val="both"/>
        <w:rPr>
          <w:sz w:val="22"/>
          <w:szCs w:val="22"/>
          <w:lang w:val="en-GB"/>
        </w:rPr>
      </w:pPr>
      <w:r w:rsidRPr="00E82244">
        <w:rPr>
          <w:sz w:val="22"/>
          <w:szCs w:val="22"/>
          <w:lang w:val="en-GB"/>
        </w:rPr>
        <w:t>agree and adopt regional criteria for con</w:t>
      </w:r>
      <w:r>
        <w:rPr>
          <w:sz w:val="22"/>
          <w:szCs w:val="22"/>
          <w:lang w:val="en-GB"/>
        </w:rPr>
        <w:t>taminants in sediment and biota;</w:t>
      </w:r>
    </w:p>
    <w:p w14:paraId="1A29FFBD" w14:textId="77777777" w:rsidR="00E82244" w:rsidRPr="00E82244" w:rsidRDefault="00E82244" w:rsidP="004B053A">
      <w:pPr>
        <w:numPr>
          <w:ilvl w:val="0"/>
          <w:numId w:val="24"/>
        </w:numPr>
        <w:jc w:val="both"/>
        <w:rPr>
          <w:sz w:val="22"/>
          <w:szCs w:val="22"/>
          <w:lang w:val="en-GB"/>
        </w:rPr>
      </w:pPr>
      <w:r w:rsidRPr="00E82244">
        <w:rPr>
          <w:sz w:val="22"/>
          <w:szCs w:val="22"/>
          <w:lang w:val="en-GB"/>
        </w:rPr>
        <w:t xml:space="preserve">characterise and prioritise all hot spots </w:t>
      </w:r>
      <w:r w:rsidR="00D12CAA">
        <w:rPr>
          <w:sz w:val="22"/>
          <w:szCs w:val="22"/>
          <w:lang w:val="en-GB"/>
        </w:rPr>
        <w:t>surrounding the South China Sea;</w:t>
      </w:r>
    </w:p>
    <w:p w14:paraId="5844B4D3" w14:textId="77777777" w:rsidR="00E82244" w:rsidRPr="00E82244" w:rsidRDefault="00E82244" w:rsidP="004B053A">
      <w:pPr>
        <w:numPr>
          <w:ilvl w:val="0"/>
          <w:numId w:val="24"/>
        </w:numPr>
        <w:jc w:val="both"/>
        <w:rPr>
          <w:sz w:val="22"/>
          <w:szCs w:val="22"/>
          <w:lang w:val="en-GB"/>
        </w:rPr>
      </w:pPr>
      <w:r w:rsidRPr="00E82244">
        <w:rPr>
          <w:sz w:val="22"/>
          <w:szCs w:val="22"/>
          <w:lang w:val="en-GB"/>
        </w:rPr>
        <w:t>review and prepare recommendations for application in amending national/provincial, legislation/regulations in support of all Land-based Pollut</w:t>
      </w:r>
      <w:r w:rsidR="00D12CAA">
        <w:rPr>
          <w:sz w:val="22"/>
          <w:szCs w:val="22"/>
          <w:lang w:val="en-GB"/>
        </w:rPr>
        <w:t>ion targets of the SAP; and</w:t>
      </w:r>
      <w:r w:rsidRPr="00E82244">
        <w:rPr>
          <w:sz w:val="22"/>
          <w:szCs w:val="22"/>
          <w:lang w:val="en-GB"/>
        </w:rPr>
        <w:t xml:space="preserve"> </w:t>
      </w:r>
    </w:p>
    <w:p w14:paraId="5ED9E136" w14:textId="77777777" w:rsidR="00E82244" w:rsidRPr="00E82244" w:rsidRDefault="00E82244" w:rsidP="004B053A">
      <w:pPr>
        <w:numPr>
          <w:ilvl w:val="0"/>
          <w:numId w:val="24"/>
        </w:numPr>
        <w:jc w:val="both"/>
        <w:rPr>
          <w:sz w:val="22"/>
          <w:szCs w:val="22"/>
          <w:lang w:val="en-GB"/>
        </w:rPr>
      </w:pPr>
      <w:r w:rsidRPr="00E82244">
        <w:rPr>
          <w:sz w:val="22"/>
          <w:szCs w:val="22"/>
          <w:lang w:val="en-GB"/>
        </w:rPr>
        <w:t xml:space="preserve">to meet ASEAN seawater quality (14 parameters) criteria (except pollutants from scientifically identified natural sources, if any) for: </w:t>
      </w:r>
    </w:p>
    <w:p w14:paraId="67A1B74C" w14:textId="77777777" w:rsidR="00E82244" w:rsidRPr="00E82244" w:rsidRDefault="00E82244" w:rsidP="004B053A">
      <w:pPr>
        <w:numPr>
          <w:ilvl w:val="0"/>
          <w:numId w:val="25"/>
        </w:numPr>
        <w:jc w:val="both"/>
        <w:rPr>
          <w:sz w:val="22"/>
          <w:szCs w:val="22"/>
          <w:lang w:val="en-GB"/>
        </w:rPr>
      </w:pPr>
      <w:r w:rsidRPr="00E82244">
        <w:rPr>
          <w:sz w:val="22"/>
          <w:szCs w:val="22"/>
          <w:lang w:val="en-GB"/>
        </w:rPr>
        <w:t>90% of monitoring stations in the 17 hot spots characterised during SAP formulation</w:t>
      </w:r>
      <w:r w:rsidR="00D12CAA">
        <w:rPr>
          <w:sz w:val="22"/>
          <w:szCs w:val="22"/>
          <w:lang w:val="en-GB"/>
        </w:rPr>
        <w:t>;</w:t>
      </w:r>
    </w:p>
    <w:p w14:paraId="4201C0EA" w14:textId="77777777" w:rsidR="00EA6BDC" w:rsidRDefault="00E82244" w:rsidP="004B053A">
      <w:pPr>
        <w:numPr>
          <w:ilvl w:val="0"/>
          <w:numId w:val="25"/>
        </w:numPr>
        <w:jc w:val="both"/>
        <w:rPr>
          <w:sz w:val="22"/>
          <w:szCs w:val="22"/>
          <w:lang w:val="en-GB"/>
        </w:rPr>
      </w:pPr>
      <w:r w:rsidRPr="00E82244">
        <w:rPr>
          <w:sz w:val="22"/>
          <w:szCs w:val="22"/>
          <w:lang w:val="en-GB"/>
        </w:rPr>
        <w:t>80% of other monitoring stations (more than 400 at present) in coastal waters of the South China Sea.</w:t>
      </w:r>
    </w:p>
    <w:p w14:paraId="5852B6D6" w14:textId="77777777" w:rsidR="00477EB5" w:rsidRDefault="00477EB5" w:rsidP="00477EB5">
      <w:pPr>
        <w:numPr>
          <w:ilvl w:val="0"/>
          <w:numId w:val="3"/>
        </w:numPr>
        <w:spacing w:before="120" w:after="120"/>
        <w:ind w:left="0" w:firstLine="0"/>
        <w:jc w:val="both"/>
        <w:rPr>
          <w:sz w:val="22"/>
          <w:szCs w:val="22"/>
        </w:rPr>
      </w:pPr>
      <w:r w:rsidRPr="00477EB5">
        <w:rPr>
          <w:sz w:val="22"/>
          <w:szCs w:val="22"/>
        </w:rPr>
        <w:t>Accordingly, activities of Component 2 will result in estimates of total contaminant loading and carrying capacity of the SCS via application of quantitative modeling and GIS-based techniques for seven heavy metals (Hg, Cd, Pb, Cu, Cr, As, Zn). This builds on work of the SAP formulation project to model the carrying capacity of the South China Sea marine basin with respect to nutrients. The project will expand on this modeling via an activity to quantify the impacts of estimated heavy metal contaminant loadings for use in national and regional planning. Methodologies and procedures will also be established through the project for the characterization of heavy metal pollution hotpots, including the conduct of diagnostic analyses to identify priority actions to remediate environmental compromises at these locations. Innovatively, this work will be replicated during the project cycle to quantify effluent volumes and contaminant loadings from coastal aquaculture operations.</w:t>
      </w:r>
      <w:r>
        <w:rPr>
          <w:sz w:val="22"/>
          <w:szCs w:val="22"/>
        </w:rPr>
        <w:t xml:space="preserve"> The specific project targets for Outcome 2.2 are summarized in Table 32.</w:t>
      </w:r>
    </w:p>
    <w:p w14:paraId="783D03CF" w14:textId="77777777" w:rsidR="00477EB5" w:rsidRDefault="00477EB5" w:rsidP="00477EB5">
      <w:pPr>
        <w:spacing w:before="120" w:after="120"/>
        <w:jc w:val="both"/>
        <w:rPr>
          <w:sz w:val="22"/>
          <w:szCs w:val="22"/>
        </w:rPr>
      </w:pPr>
      <w:r w:rsidRPr="00477EB5">
        <w:rPr>
          <w:b/>
          <w:sz w:val="22"/>
          <w:szCs w:val="22"/>
        </w:rPr>
        <w:t>Table 32</w:t>
      </w:r>
      <w:r>
        <w:rPr>
          <w:sz w:val="22"/>
          <w:szCs w:val="22"/>
        </w:rPr>
        <w:tab/>
        <w:t>Baselines, targets and project indicators for Outcome 2.2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5"/>
        <w:gridCol w:w="3023"/>
        <w:gridCol w:w="3024"/>
      </w:tblGrid>
      <w:tr w:rsidR="00477EB5" w:rsidRPr="005A668F" w14:paraId="3E09B6D2" w14:textId="77777777" w:rsidTr="004B053A">
        <w:tc>
          <w:tcPr>
            <w:tcW w:w="3081" w:type="dxa"/>
            <w:shd w:val="clear" w:color="auto" w:fill="auto"/>
            <w:vAlign w:val="center"/>
          </w:tcPr>
          <w:p w14:paraId="57C814C2" w14:textId="77777777" w:rsidR="00477EB5" w:rsidRPr="004B053A" w:rsidRDefault="00477EB5" w:rsidP="004B053A">
            <w:pPr>
              <w:jc w:val="center"/>
              <w:rPr>
                <w:b/>
                <w:sz w:val="20"/>
                <w:szCs w:val="20"/>
              </w:rPr>
            </w:pPr>
            <w:r w:rsidRPr="004B053A">
              <w:rPr>
                <w:b/>
                <w:sz w:val="20"/>
                <w:szCs w:val="20"/>
              </w:rPr>
              <w:t>Baselines</w:t>
            </w:r>
          </w:p>
        </w:tc>
        <w:tc>
          <w:tcPr>
            <w:tcW w:w="3082" w:type="dxa"/>
            <w:shd w:val="clear" w:color="auto" w:fill="auto"/>
            <w:vAlign w:val="center"/>
          </w:tcPr>
          <w:p w14:paraId="31D13A5B" w14:textId="77777777" w:rsidR="00477EB5" w:rsidRPr="004B053A" w:rsidRDefault="00477EB5" w:rsidP="004B053A">
            <w:pPr>
              <w:jc w:val="center"/>
              <w:rPr>
                <w:b/>
                <w:sz w:val="20"/>
                <w:szCs w:val="20"/>
              </w:rPr>
            </w:pPr>
            <w:r w:rsidRPr="004B053A">
              <w:rPr>
                <w:b/>
                <w:sz w:val="20"/>
                <w:szCs w:val="20"/>
              </w:rPr>
              <w:t>Targets</w:t>
            </w:r>
          </w:p>
        </w:tc>
        <w:tc>
          <w:tcPr>
            <w:tcW w:w="3082" w:type="dxa"/>
            <w:shd w:val="clear" w:color="auto" w:fill="auto"/>
            <w:vAlign w:val="center"/>
          </w:tcPr>
          <w:p w14:paraId="42B893C5" w14:textId="77777777" w:rsidR="00477EB5" w:rsidRPr="004B053A" w:rsidRDefault="00477EB5" w:rsidP="004B053A">
            <w:pPr>
              <w:jc w:val="center"/>
              <w:rPr>
                <w:b/>
                <w:sz w:val="20"/>
                <w:szCs w:val="20"/>
              </w:rPr>
            </w:pPr>
            <w:r w:rsidRPr="004B053A">
              <w:rPr>
                <w:b/>
                <w:sz w:val="20"/>
                <w:szCs w:val="20"/>
              </w:rPr>
              <w:t>Indicators</w:t>
            </w:r>
          </w:p>
        </w:tc>
      </w:tr>
      <w:tr w:rsidR="00477EB5" w:rsidRPr="005A668F" w14:paraId="1F27C847" w14:textId="77777777" w:rsidTr="004B053A">
        <w:trPr>
          <w:trHeight w:val="20"/>
        </w:trPr>
        <w:tc>
          <w:tcPr>
            <w:tcW w:w="3081" w:type="dxa"/>
            <w:shd w:val="clear" w:color="auto" w:fill="auto"/>
            <w:vAlign w:val="center"/>
          </w:tcPr>
          <w:p w14:paraId="15B7705B" w14:textId="77777777" w:rsidR="00477EB5" w:rsidRPr="004B053A" w:rsidRDefault="00185DDB" w:rsidP="00E030C3">
            <w:pPr>
              <w:rPr>
                <w:sz w:val="20"/>
                <w:szCs w:val="20"/>
              </w:rPr>
            </w:pPr>
            <w:r w:rsidRPr="004B053A">
              <w:rPr>
                <w:sz w:val="20"/>
                <w:szCs w:val="20"/>
              </w:rPr>
              <w:t>Carrying capacity of the SCS open shelf system based on its natural capacity to assimilate contaminants, in particular nutrient inputs from land, has been modelled although findings not well known by decision-makers</w:t>
            </w:r>
          </w:p>
        </w:tc>
        <w:tc>
          <w:tcPr>
            <w:tcW w:w="3082" w:type="dxa"/>
            <w:shd w:val="clear" w:color="auto" w:fill="auto"/>
            <w:vAlign w:val="center"/>
          </w:tcPr>
          <w:p w14:paraId="395E1346" w14:textId="77777777" w:rsidR="00477EB5" w:rsidRPr="004B053A" w:rsidRDefault="00477EB5" w:rsidP="00E030C3">
            <w:pPr>
              <w:rPr>
                <w:sz w:val="20"/>
                <w:szCs w:val="20"/>
              </w:rPr>
            </w:pPr>
            <w:r w:rsidRPr="004B053A">
              <w:rPr>
                <w:sz w:val="20"/>
                <w:szCs w:val="20"/>
              </w:rPr>
              <w:t xml:space="preserve">2.2.1 Nutrient carrying capacity model for the SCS marine basin used to communicate with decision-makers </w:t>
            </w:r>
            <w:r w:rsidR="00F80027">
              <w:rPr>
                <w:sz w:val="20"/>
                <w:szCs w:val="20"/>
              </w:rPr>
              <w:t xml:space="preserve">and to inform management planning </w:t>
            </w:r>
            <w:r w:rsidRPr="004B053A">
              <w:rPr>
                <w:sz w:val="20"/>
                <w:szCs w:val="20"/>
              </w:rPr>
              <w:t>about the localized v. transboundary impacts of land-based pollution in the SCS</w:t>
            </w:r>
          </w:p>
        </w:tc>
        <w:tc>
          <w:tcPr>
            <w:tcW w:w="3082" w:type="dxa"/>
            <w:shd w:val="clear" w:color="auto" w:fill="auto"/>
            <w:vAlign w:val="center"/>
          </w:tcPr>
          <w:p w14:paraId="69163174" w14:textId="77777777" w:rsidR="00185DDB" w:rsidRPr="004B053A" w:rsidRDefault="00185DDB" w:rsidP="004B053A">
            <w:pPr>
              <w:spacing w:after="120"/>
              <w:rPr>
                <w:sz w:val="20"/>
                <w:szCs w:val="20"/>
              </w:rPr>
            </w:pPr>
            <w:r w:rsidRPr="004B053A">
              <w:rPr>
                <w:sz w:val="20"/>
                <w:szCs w:val="20"/>
              </w:rPr>
              <w:t>Nutrient carrying capacity accessible online</w:t>
            </w:r>
          </w:p>
          <w:p w14:paraId="137424DB" w14:textId="77777777" w:rsidR="00185DDB" w:rsidRPr="004B053A" w:rsidRDefault="00185DDB" w:rsidP="004B053A">
            <w:pPr>
              <w:spacing w:after="120"/>
              <w:rPr>
                <w:sz w:val="20"/>
                <w:szCs w:val="20"/>
              </w:rPr>
            </w:pPr>
            <w:r w:rsidRPr="004B053A">
              <w:rPr>
                <w:sz w:val="20"/>
                <w:szCs w:val="20"/>
              </w:rPr>
              <w:t>Communications products available for regional and global sharing</w:t>
            </w:r>
          </w:p>
          <w:p w14:paraId="69B6A6BE" w14:textId="77777777" w:rsidR="00477EB5" w:rsidRPr="004B053A" w:rsidRDefault="00185DDB" w:rsidP="00185DDB">
            <w:pPr>
              <w:rPr>
                <w:sz w:val="20"/>
                <w:szCs w:val="20"/>
              </w:rPr>
            </w:pPr>
            <w:r w:rsidRPr="004B053A">
              <w:rPr>
                <w:sz w:val="20"/>
                <w:szCs w:val="20"/>
              </w:rPr>
              <w:t>1 * IW Experience Note</w:t>
            </w:r>
          </w:p>
        </w:tc>
      </w:tr>
      <w:tr w:rsidR="00477EB5" w:rsidRPr="005A668F" w14:paraId="04876623" w14:textId="77777777" w:rsidTr="004B053A">
        <w:trPr>
          <w:trHeight w:val="20"/>
        </w:trPr>
        <w:tc>
          <w:tcPr>
            <w:tcW w:w="3081" w:type="dxa"/>
            <w:shd w:val="clear" w:color="auto" w:fill="auto"/>
            <w:vAlign w:val="center"/>
          </w:tcPr>
          <w:p w14:paraId="543B0BEE" w14:textId="77777777" w:rsidR="00477EB5" w:rsidRPr="004B053A" w:rsidRDefault="00185DDB" w:rsidP="00E030C3">
            <w:pPr>
              <w:rPr>
                <w:sz w:val="20"/>
                <w:szCs w:val="20"/>
              </w:rPr>
            </w:pPr>
            <w:r w:rsidRPr="004B053A">
              <w:rPr>
                <w:sz w:val="20"/>
                <w:szCs w:val="20"/>
              </w:rPr>
              <w:t>Need for simple model of pollution impacts under different development scenarios, specifically as they relate to heavy metal contaminant loadings</w:t>
            </w:r>
          </w:p>
        </w:tc>
        <w:tc>
          <w:tcPr>
            <w:tcW w:w="3082" w:type="dxa"/>
            <w:shd w:val="clear" w:color="auto" w:fill="auto"/>
            <w:vAlign w:val="center"/>
          </w:tcPr>
          <w:p w14:paraId="784595E1" w14:textId="77777777" w:rsidR="00477EB5" w:rsidRPr="004B053A" w:rsidRDefault="00185DDB" w:rsidP="00E030C3">
            <w:pPr>
              <w:rPr>
                <w:sz w:val="20"/>
                <w:szCs w:val="20"/>
              </w:rPr>
            </w:pPr>
            <w:r w:rsidRPr="004B053A">
              <w:rPr>
                <w:sz w:val="20"/>
                <w:szCs w:val="20"/>
              </w:rPr>
              <w:t>2.2.2 Total contaminant loading and carrying capacity of the SCS estimated via application of quantitative modeling and GIS-based techniques for seven heavy metals (Hg, Cd, Pb, Cu, Cr, As, Zn)</w:t>
            </w:r>
            <w:r w:rsidR="00F80027">
              <w:rPr>
                <w:sz w:val="20"/>
                <w:szCs w:val="20"/>
              </w:rPr>
              <w:t xml:space="preserve"> </w:t>
            </w:r>
            <w:r w:rsidR="00F80027" w:rsidRPr="00F80027">
              <w:rPr>
                <w:sz w:val="20"/>
                <w:szCs w:val="20"/>
              </w:rPr>
              <w:t>applied in national and regional planning</w:t>
            </w:r>
          </w:p>
        </w:tc>
        <w:tc>
          <w:tcPr>
            <w:tcW w:w="3082" w:type="dxa"/>
            <w:shd w:val="clear" w:color="auto" w:fill="auto"/>
            <w:vAlign w:val="center"/>
          </w:tcPr>
          <w:p w14:paraId="2093D293" w14:textId="77777777" w:rsidR="00185DDB" w:rsidRPr="004B053A" w:rsidRDefault="00185DDB" w:rsidP="004B053A">
            <w:pPr>
              <w:spacing w:after="120"/>
              <w:rPr>
                <w:sz w:val="20"/>
                <w:szCs w:val="20"/>
              </w:rPr>
            </w:pPr>
            <w:r w:rsidRPr="004B053A">
              <w:rPr>
                <w:sz w:val="20"/>
                <w:szCs w:val="20"/>
              </w:rPr>
              <w:t>Extent of decision-maker awareness of SCS open shelf carrying capacity for heavy metal contaminants</w:t>
            </w:r>
          </w:p>
          <w:p w14:paraId="6202125D" w14:textId="77777777" w:rsidR="00477EB5" w:rsidRPr="004B053A" w:rsidRDefault="00185DDB" w:rsidP="00185DDB">
            <w:pPr>
              <w:rPr>
                <w:sz w:val="20"/>
                <w:szCs w:val="20"/>
              </w:rPr>
            </w:pPr>
            <w:r w:rsidRPr="004B053A">
              <w:rPr>
                <w:sz w:val="20"/>
                <w:szCs w:val="20"/>
              </w:rPr>
              <w:t>Extent of use of model outputs in revising the Strategic Action Programme for the SCS</w:t>
            </w:r>
          </w:p>
        </w:tc>
      </w:tr>
      <w:tr w:rsidR="00477EB5" w:rsidRPr="005A668F" w14:paraId="44219919" w14:textId="77777777" w:rsidTr="004B053A">
        <w:trPr>
          <w:trHeight w:val="20"/>
        </w:trPr>
        <w:tc>
          <w:tcPr>
            <w:tcW w:w="3081" w:type="dxa"/>
            <w:shd w:val="clear" w:color="auto" w:fill="auto"/>
            <w:vAlign w:val="center"/>
          </w:tcPr>
          <w:p w14:paraId="5965F2DA" w14:textId="77777777" w:rsidR="00477EB5" w:rsidRPr="004B053A" w:rsidRDefault="00185DDB" w:rsidP="00E030C3">
            <w:pPr>
              <w:rPr>
                <w:sz w:val="20"/>
                <w:szCs w:val="20"/>
              </w:rPr>
            </w:pPr>
            <w:r w:rsidRPr="004B053A">
              <w:rPr>
                <w:sz w:val="20"/>
                <w:szCs w:val="20"/>
              </w:rPr>
              <w:t>Framework procedures for estimating the impacts of heavy metal contamination in SCS have been developed although not yet applied</w:t>
            </w:r>
          </w:p>
        </w:tc>
        <w:tc>
          <w:tcPr>
            <w:tcW w:w="3082" w:type="dxa"/>
            <w:shd w:val="clear" w:color="auto" w:fill="auto"/>
            <w:vAlign w:val="center"/>
          </w:tcPr>
          <w:p w14:paraId="3722807E" w14:textId="77777777" w:rsidR="00477EB5" w:rsidRPr="004B053A" w:rsidRDefault="00185DDB" w:rsidP="00E030C3">
            <w:pPr>
              <w:rPr>
                <w:sz w:val="20"/>
                <w:szCs w:val="20"/>
              </w:rPr>
            </w:pPr>
            <w:r w:rsidRPr="004B053A">
              <w:rPr>
                <w:sz w:val="20"/>
                <w:szCs w:val="20"/>
              </w:rPr>
              <w:t>2.2.3 Impacts of estimated heavy metal contaminant loadings defined, quantified and communicated to decision-makers</w:t>
            </w:r>
          </w:p>
        </w:tc>
        <w:tc>
          <w:tcPr>
            <w:tcW w:w="3082" w:type="dxa"/>
            <w:shd w:val="clear" w:color="auto" w:fill="auto"/>
            <w:vAlign w:val="center"/>
          </w:tcPr>
          <w:p w14:paraId="41A83FCF" w14:textId="77777777" w:rsidR="00185DDB" w:rsidRPr="004B053A" w:rsidRDefault="00185DDB" w:rsidP="00185DDB">
            <w:pPr>
              <w:rPr>
                <w:sz w:val="20"/>
                <w:szCs w:val="20"/>
              </w:rPr>
            </w:pPr>
            <w:r w:rsidRPr="004B053A">
              <w:rPr>
                <w:sz w:val="20"/>
                <w:szCs w:val="20"/>
              </w:rPr>
              <w:t>Status of initiative to quantify heavy metal contaminant impacts on: (a) water quality;</w:t>
            </w:r>
          </w:p>
          <w:p w14:paraId="6EA4C076" w14:textId="77777777" w:rsidR="00185DDB" w:rsidRPr="004B053A" w:rsidRDefault="00185DDB" w:rsidP="00185DDB">
            <w:pPr>
              <w:rPr>
                <w:sz w:val="20"/>
                <w:szCs w:val="20"/>
              </w:rPr>
            </w:pPr>
            <w:r w:rsidRPr="004B053A">
              <w:rPr>
                <w:sz w:val="20"/>
                <w:szCs w:val="20"/>
              </w:rPr>
              <w:t>(b) reproductive capacity of living resources; (c) contamination of</w:t>
            </w:r>
          </w:p>
          <w:p w14:paraId="41786E05" w14:textId="77777777" w:rsidR="00477EB5" w:rsidRPr="004B053A" w:rsidRDefault="00185DDB" w:rsidP="00185DDB">
            <w:pPr>
              <w:rPr>
                <w:sz w:val="20"/>
                <w:szCs w:val="20"/>
              </w:rPr>
            </w:pPr>
            <w:r w:rsidRPr="004B053A">
              <w:rPr>
                <w:sz w:val="20"/>
                <w:szCs w:val="20"/>
              </w:rPr>
              <w:t>human food sources; and (d) bio-accumulation.</w:t>
            </w:r>
          </w:p>
        </w:tc>
      </w:tr>
      <w:tr w:rsidR="00477EB5" w:rsidRPr="005A668F" w14:paraId="0CB12F5A" w14:textId="77777777" w:rsidTr="004B053A">
        <w:trPr>
          <w:trHeight w:val="20"/>
        </w:trPr>
        <w:tc>
          <w:tcPr>
            <w:tcW w:w="3081" w:type="dxa"/>
            <w:shd w:val="clear" w:color="auto" w:fill="auto"/>
            <w:vAlign w:val="center"/>
          </w:tcPr>
          <w:p w14:paraId="57FB2168" w14:textId="77777777" w:rsidR="00477EB5" w:rsidRPr="004B053A" w:rsidRDefault="00185DDB" w:rsidP="00E030C3">
            <w:pPr>
              <w:rPr>
                <w:sz w:val="20"/>
                <w:szCs w:val="20"/>
              </w:rPr>
            </w:pPr>
            <w:r w:rsidRPr="004B053A">
              <w:rPr>
                <w:sz w:val="20"/>
                <w:szCs w:val="20"/>
              </w:rPr>
              <w:t>Lack of regionally comparable information and data on heavy metal contaminated hotspots</w:t>
            </w:r>
          </w:p>
        </w:tc>
        <w:tc>
          <w:tcPr>
            <w:tcW w:w="3082" w:type="dxa"/>
            <w:shd w:val="clear" w:color="auto" w:fill="auto"/>
            <w:vAlign w:val="center"/>
          </w:tcPr>
          <w:p w14:paraId="583D7E01" w14:textId="77777777" w:rsidR="00477EB5" w:rsidRPr="004B053A" w:rsidRDefault="00185DDB" w:rsidP="00E030C3">
            <w:pPr>
              <w:rPr>
                <w:sz w:val="20"/>
                <w:szCs w:val="20"/>
              </w:rPr>
            </w:pPr>
            <w:r w:rsidRPr="004B053A">
              <w:rPr>
                <w:sz w:val="20"/>
                <w:szCs w:val="20"/>
              </w:rPr>
              <w:t>2.2.4 Characterization of heavy metal pollution hotspots</w:t>
            </w:r>
          </w:p>
        </w:tc>
        <w:tc>
          <w:tcPr>
            <w:tcW w:w="3082" w:type="dxa"/>
            <w:shd w:val="clear" w:color="auto" w:fill="auto"/>
            <w:vAlign w:val="center"/>
          </w:tcPr>
          <w:p w14:paraId="4A17C36E" w14:textId="77777777" w:rsidR="00477EB5" w:rsidRPr="004B053A" w:rsidRDefault="00185DDB" w:rsidP="00E030C3">
            <w:pPr>
              <w:rPr>
                <w:sz w:val="20"/>
                <w:szCs w:val="20"/>
              </w:rPr>
            </w:pPr>
            <w:r w:rsidRPr="004B053A">
              <w:rPr>
                <w:sz w:val="20"/>
                <w:szCs w:val="20"/>
              </w:rPr>
              <w:t>Number of heavy metal pollution hotspots characterised</w:t>
            </w:r>
          </w:p>
        </w:tc>
      </w:tr>
      <w:tr w:rsidR="00477EB5" w:rsidRPr="005A668F" w14:paraId="5833DDAF" w14:textId="77777777" w:rsidTr="004B053A">
        <w:trPr>
          <w:trHeight w:val="20"/>
        </w:trPr>
        <w:tc>
          <w:tcPr>
            <w:tcW w:w="3081" w:type="dxa"/>
            <w:shd w:val="clear" w:color="auto" w:fill="auto"/>
            <w:vAlign w:val="center"/>
          </w:tcPr>
          <w:p w14:paraId="047241C0" w14:textId="77777777" w:rsidR="00477EB5" w:rsidRPr="004B053A" w:rsidRDefault="00185DDB" w:rsidP="00E030C3">
            <w:pPr>
              <w:rPr>
                <w:sz w:val="20"/>
                <w:szCs w:val="20"/>
              </w:rPr>
            </w:pPr>
            <w:r w:rsidRPr="004B053A">
              <w:rPr>
                <w:sz w:val="20"/>
                <w:szCs w:val="20"/>
              </w:rPr>
              <w:t>Effluent from aquaculture and mariculture operations identified as key threat to dominant coastal biomes</w:t>
            </w:r>
          </w:p>
        </w:tc>
        <w:tc>
          <w:tcPr>
            <w:tcW w:w="3082" w:type="dxa"/>
            <w:shd w:val="clear" w:color="auto" w:fill="auto"/>
            <w:vAlign w:val="center"/>
          </w:tcPr>
          <w:p w14:paraId="2E51231D" w14:textId="77777777" w:rsidR="00477EB5" w:rsidRPr="004B053A" w:rsidRDefault="00185DDB" w:rsidP="00E030C3">
            <w:pPr>
              <w:rPr>
                <w:sz w:val="20"/>
                <w:szCs w:val="20"/>
              </w:rPr>
            </w:pPr>
            <w:r w:rsidRPr="004B053A">
              <w:rPr>
                <w:sz w:val="20"/>
                <w:szCs w:val="20"/>
              </w:rPr>
              <w:t>2.2.5 Quantification of effluent volumes and contaminant loadings from coastal aquaculture to the SCS marine basin</w:t>
            </w:r>
          </w:p>
        </w:tc>
        <w:tc>
          <w:tcPr>
            <w:tcW w:w="3082" w:type="dxa"/>
            <w:shd w:val="clear" w:color="auto" w:fill="auto"/>
            <w:vAlign w:val="center"/>
          </w:tcPr>
          <w:p w14:paraId="79BCEA7F" w14:textId="77777777" w:rsidR="00185DDB" w:rsidRPr="004B053A" w:rsidRDefault="00185DDB" w:rsidP="004B053A">
            <w:pPr>
              <w:spacing w:after="120"/>
              <w:rPr>
                <w:sz w:val="20"/>
                <w:szCs w:val="20"/>
              </w:rPr>
            </w:pPr>
            <w:r w:rsidRPr="004B053A">
              <w:rPr>
                <w:sz w:val="20"/>
                <w:szCs w:val="20"/>
              </w:rPr>
              <w:t>Published methodology and procedures for estimating aquaculture pollution loadings and impacts</w:t>
            </w:r>
          </w:p>
          <w:p w14:paraId="5F7CF79B" w14:textId="77777777" w:rsidR="00477EB5" w:rsidRPr="004B053A" w:rsidRDefault="00185DDB" w:rsidP="00185DDB">
            <w:pPr>
              <w:rPr>
                <w:sz w:val="20"/>
                <w:szCs w:val="20"/>
              </w:rPr>
            </w:pPr>
            <w:r w:rsidRPr="004B053A">
              <w:rPr>
                <w:sz w:val="20"/>
                <w:szCs w:val="20"/>
              </w:rPr>
              <w:t>1 * IW Experience Note</w:t>
            </w:r>
          </w:p>
        </w:tc>
      </w:tr>
    </w:tbl>
    <w:p w14:paraId="58CC5D63" w14:textId="77777777" w:rsidR="00477EB5" w:rsidRPr="00477EB5" w:rsidRDefault="00477EB5" w:rsidP="00477EB5">
      <w:pPr>
        <w:spacing w:before="120" w:after="120"/>
        <w:jc w:val="both"/>
        <w:rPr>
          <w:sz w:val="22"/>
          <w:szCs w:val="22"/>
        </w:rPr>
      </w:pPr>
    </w:p>
    <w:p w14:paraId="33277E80" w14:textId="77777777" w:rsidR="00EA6BDC" w:rsidRPr="00185DDB" w:rsidRDefault="00185DDB" w:rsidP="00185DDB">
      <w:pPr>
        <w:spacing w:before="120" w:after="120"/>
        <w:ind w:left="1440" w:hanging="1440"/>
        <w:jc w:val="both"/>
        <w:rPr>
          <w:b/>
          <w:sz w:val="22"/>
          <w:szCs w:val="22"/>
          <w:lang w:val="en-GB"/>
        </w:rPr>
      </w:pPr>
      <w:r w:rsidRPr="00185DDB">
        <w:rPr>
          <w:b/>
          <w:sz w:val="22"/>
          <w:szCs w:val="22"/>
          <w:lang w:val="en-GB"/>
        </w:rPr>
        <w:t>Outcome 2.3</w:t>
      </w:r>
      <w:r w:rsidRPr="00185DDB">
        <w:rPr>
          <w:b/>
          <w:sz w:val="22"/>
          <w:szCs w:val="22"/>
          <w:lang w:val="en-GB"/>
        </w:rPr>
        <w:tab/>
        <w:t>Strengthened and harmonized national policies and laws, and supporting financial mechanism, for the management of land-based sources of pollution</w:t>
      </w:r>
    </w:p>
    <w:p w14:paraId="0D2CBEAF" w14:textId="77777777" w:rsidR="00477EB5" w:rsidRPr="00185DDB" w:rsidRDefault="00185DDB" w:rsidP="00185DDB">
      <w:pPr>
        <w:numPr>
          <w:ilvl w:val="0"/>
          <w:numId w:val="3"/>
        </w:numPr>
        <w:spacing w:before="120" w:after="120"/>
        <w:ind w:left="0" w:firstLine="0"/>
        <w:jc w:val="both"/>
        <w:rPr>
          <w:sz w:val="22"/>
          <w:szCs w:val="22"/>
          <w:lang w:val="en-GB"/>
        </w:rPr>
      </w:pPr>
      <w:r w:rsidRPr="00185DDB">
        <w:rPr>
          <w:sz w:val="22"/>
          <w:szCs w:val="22"/>
          <w:lang w:val="en-GB"/>
        </w:rPr>
        <w:t>Each of the participating countries have environmental laws or acts under which environmental standards are in place with mechanisms for approved enforcement procedures to ensure compliance. In order to meet with standards and regulations stipulated under the law, structural facilities like waste water treatment plants are one way to treat waste water before discharging it to the environment. In addition to enforcement of existing laws and regulations only and building treatment facilities, environment planning, a part of the development process may prevent and mitigate potential impacts. In line with this, most countries in the region have Environmental Impact Assessment (EIA) prior to development. Countries are also working on environmental awareness, communication and education to enhance public understanding of pollution problem and practices at the individual level that may reduce contaminant loads to the environment. In addition, monitoring of pollution sites and water quality is currently undertaken by all countries while some countries include monitoring programmes for sediment quality and bio-parameters as well.</w:t>
      </w:r>
    </w:p>
    <w:p w14:paraId="089BEC4F" w14:textId="77777777" w:rsidR="00185DDB" w:rsidRDefault="00185DDB" w:rsidP="00185DDB">
      <w:pPr>
        <w:numPr>
          <w:ilvl w:val="0"/>
          <w:numId w:val="3"/>
        </w:numPr>
        <w:spacing w:after="120"/>
        <w:ind w:left="0" w:firstLine="0"/>
        <w:jc w:val="both"/>
        <w:rPr>
          <w:rFonts w:cs="Arial"/>
          <w:sz w:val="22"/>
          <w:szCs w:val="22"/>
        </w:rPr>
      </w:pPr>
      <w:r w:rsidRPr="00185DDB">
        <w:rPr>
          <w:rFonts w:cs="Arial"/>
          <w:sz w:val="22"/>
          <w:szCs w:val="22"/>
        </w:rPr>
        <w:t>Although these management practices are in place in most countries, there are many problems in their implementation. Some countries lack the capacity to enforce the Environmental Acts due to limited budgets and lack of collaboration with waste producers. The waste producers, are not equipped with the necessary treatment facilities or have limited facilities resulting in low levels of compliance with regard to the standards stipulated under the law. Although environment assessment is incorporated into development planning in most of the participating countries, the effectiveness of the plans is questionable. Monitoring programmes for some countries although extensive as regards the number of sites, and the data collected, are not used effectively in pollution management. The data is often only used for the publication and dissemination of annual and environment quality reports. In some countries, the data obtained from the monitoring programmes are not reliable for decision making.</w:t>
      </w:r>
      <w:r>
        <w:rPr>
          <w:rFonts w:cs="Arial"/>
          <w:sz w:val="22"/>
          <w:szCs w:val="22"/>
        </w:rPr>
        <w:t xml:space="preserve"> The following regional challenges were identified during project preparation:</w:t>
      </w:r>
    </w:p>
    <w:p w14:paraId="60C55708" w14:textId="77777777" w:rsidR="00185DDB" w:rsidRPr="00185DDB" w:rsidRDefault="00185DDB" w:rsidP="004B053A">
      <w:pPr>
        <w:numPr>
          <w:ilvl w:val="0"/>
          <w:numId w:val="26"/>
        </w:numPr>
        <w:jc w:val="both"/>
        <w:rPr>
          <w:rFonts w:cs="Arial"/>
          <w:sz w:val="22"/>
          <w:szCs w:val="22"/>
        </w:rPr>
      </w:pPr>
      <w:r w:rsidRPr="00185DDB">
        <w:rPr>
          <w:rFonts w:cs="Arial"/>
          <w:sz w:val="22"/>
          <w:szCs w:val="22"/>
        </w:rPr>
        <w:t>High population pressure and industrialization causing increased contaminant load;</w:t>
      </w:r>
    </w:p>
    <w:p w14:paraId="0DA8C0ED" w14:textId="77777777" w:rsidR="00185DDB" w:rsidRPr="00185DDB" w:rsidRDefault="00185DDB" w:rsidP="004B053A">
      <w:pPr>
        <w:numPr>
          <w:ilvl w:val="0"/>
          <w:numId w:val="26"/>
        </w:numPr>
        <w:jc w:val="both"/>
        <w:rPr>
          <w:rFonts w:cs="Arial"/>
          <w:sz w:val="22"/>
          <w:szCs w:val="22"/>
        </w:rPr>
      </w:pPr>
      <w:r w:rsidRPr="00185DDB">
        <w:rPr>
          <w:rFonts w:cs="Arial"/>
          <w:sz w:val="22"/>
          <w:szCs w:val="22"/>
        </w:rPr>
        <w:t>Lack of treatment facilities;</w:t>
      </w:r>
    </w:p>
    <w:p w14:paraId="1DFDF09C" w14:textId="77777777" w:rsidR="00185DDB" w:rsidRPr="00185DDB" w:rsidRDefault="00185DDB" w:rsidP="004B053A">
      <w:pPr>
        <w:numPr>
          <w:ilvl w:val="0"/>
          <w:numId w:val="26"/>
        </w:numPr>
        <w:jc w:val="both"/>
        <w:rPr>
          <w:rFonts w:cs="Arial"/>
          <w:sz w:val="22"/>
          <w:szCs w:val="22"/>
        </w:rPr>
      </w:pPr>
      <w:r w:rsidRPr="00185DDB">
        <w:rPr>
          <w:rFonts w:cs="Arial"/>
          <w:sz w:val="22"/>
          <w:szCs w:val="22"/>
        </w:rPr>
        <w:t>Lack of cooperation and coordination among related sectors at the national level and weak linkage between central and lower levels of the governments;</w:t>
      </w:r>
    </w:p>
    <w:p w14:paraId="3204401A" w14:textId="77777777" w:rsidR="00185DDB" w:rsidRPr="00185DDB" w:rsidRDefault="00185DDB" w:rsidP="004B053A">
      <w:pPr>
        <w:numPr>
          <w:ilvl w:val="0"/>
          <w:numId w:val="26"/>
        </w:numPr>
        <w:jc w:val="both"/>
        <w:rPr>
          <w:rFonts w:cs="Arial"/>
          <w:sz w:val="22"/>
          <w:szCs w:val="22"/>
        </w:rPr>
      </w:pPr>
      <w:r w:rsidRPr="00185DDB">
        <w:rPr>
          <w:rFonts w:cs="Arial"/>
          <w:sz w:val="22"/>
          <w:szCs w:val="22"/>
        </w:rPr>
        <w:t>Lack of appropriate legislation and weak law enforcement;</w:t>
      </w:r>
    </w:p>
    <w:p w14:paraId="681BFE75" w14:textId="77777777" w:rsidR="00185DDB" w:rsidRPr="00185DDB" w:rsidRDefault="00185DDB" w:rsidP="004B053A">
      <w:pPr>
        <w:numPr>
          <w:ilvl w:val="0"/>
          <w:numId w:val="26"/>
        </w:numPr>
        <w:jc w:val="both"/>
        <w:rPr>
          <w:rFonts w:cs="Arial"/>
          <w:sz w:val="22"/>
          <w:szCs w:val="22"/>
        </w:rPr>
      </w:pPr>
      <w:r w:rsidRPr="00185DDB">
        <w:rPr>
          <w:rFonts w:cs="Arial"/>
          <w:sz w:val="22"/>
          <w:szCs w:val="22"/>
        </w:rPr>
        <w:t>Low public awareness and lack of (responsible) committed of citizens;</w:t>
      </w:r>
    </w:p>
    <w:p w14:paraId="14FDC69E" w14:textId="77777777" w:rsidR="00185DDB" w:rsidRPr="00185DDB" w:rsidRDefault="00185DDB" w:rsidP="004B053A">
      <w:pPr>
        <w:numPr>
          <w:ilvl w:val="0"/>
          <w:numId w:val="26"/>
        </w:numPr>
        <w:jc w:val="both"/>
        <w:rPr>
          <w:rFonts w:cs="Arial"/>
          <w:sz w:val="22"/>
          <w:szCs w:val="22"/>
        </w:rPr>
      </w:pPr>
      <w:r w:rsidRPr="00185DDB">
        <w:rPr>
          <w:rFonts w:cs="Arial"/>
          <w:sz w:val="22"/>
          <w:szCs w:val="22"/>
        </w:rPr>
        <w:t xml:space="preserve">Lack of government commitment in balancing economic growth and environmental protection and low priority given to environment protection; </w:t>
      </w:r>
    </w:p>
    <w:p w14:paraId="66B95564" w14:textId="77777777" w:rsidR="00185DDB" w:rsidRPr="00185DDB" w:rsidRDefault="00185DDB" w:rsidP="004B053A">
      <w:pPr>
        <w:numPr>
          <w:ilvl w:val="0"/>
          <w:numId w:val="26"/>
        </w:numPr>
        <w:jc w:val="both"/>
        <w:rPr>
          <w:rFonts w:cs="Arial"/>
          <w:sz w:val="22"/>
          <w:szCs w:val="22"/>
        </w:rPr>
      </w:pPr>
      <w:r w:rsidRPr="00185DDB">
        <w:rPr>
          <w:rFonts w:cs="Arial"/>
          <w:sz w:val="22"/>
          <w:szCs w:val="22"/>
        </w:rPr>
        <w:t>Lack of research and monitoring resources (man power, facilities);</w:t>
      </w:r>
    </w:p>
    <w:p w14:paraId="6F0DCDCB" w14:textId="77777777" w:rsidR="00185DDB" w:rsidRPr="00185DDB" w:rsidRDefault="00185DDB" w:rsidP="004B053A">
      <w:pPr>
        <w:numPr>
          <w:ilvl w:val="0"/>
          <w:numId w:val="26"/>
        </w:numPr>
        <w:jc w:val="both"/>
        <w:rPr>
          <w:rFonts w:cs="Arial"/>
          <w:sz w:val="22"/>
          <w:szCs w:val="22"/>
        </w:rPr>
      </w:pPr>
      <w:r w:rsidRPr="00185DDB">
        <w:rPr>
          <w:rFonts w:cs="Arial"/>
          <w:sz w:val="22"/>
          <w:szCs w:val="22"/>
        </w:rPr>
        <w:t>Lack of regionally comparable monitoring and analytical methodology; and</w:t>
      </w:r>
    </w:p>
    <w:p w14:paraId="7F9CD73C" w14:textId="77777777" w:rsidR="00185DDB" w:rsidRPr="00185DDB" w:rsidRDefault="00185DDB" w:rsidP="004B053A">
      <w:pPr>
        <w:numPr>
          <w:ilvl w:val="0"/>
          <w:numId w:val="26"/>
        </w:numPr>
        <w:jc w:val="both"/>
        <w:rPr>
          <w:rFonts w:cs="Arial"/>
          <w:sz w:val="22"/>
          <w:szCs w:val="22"/>
        </w:rPr>
      </w:pPr>
      <w:r w:rsidRPr="00185DDB">
        <w:rPr>
          <w:rFonts w:cs="Arial"/>
          <w:sz w:val="22"/>
          <w:szCs w:val="22"/>
        </w:rPr>
        <w:t>Lack of criteria for sediment quality.</w:t>
      </w:r>
    </w:p>
    <w:p w14:paraId="3EFA079E" w14:textId="77777777" w:rsidR="00185DDB" w:rsidRPr="00185DDB" w:rsidRDefault="00185DDB" w:rsidP="00185DDB">
      <w:pPr>
        <w:numPr>
          <w:ilvl w:val="0"/>
          <w:numId w:val="3"/>
        </w:numPr>
        <w:spacing w:before="120" w:after="120"/>
        <w:ind w:left="0" w:firstLine="0"/>
        <w:jc w:val="both"/>
        <w:rPr>
          <w:sz w:val="22"/>
          <w:szCs w:val="22"/>
          <w:lang w:val="en-GB"/>
        </w:rPr>
      </w:pPr>
      <w:r w:rsidRPr="00185DDB">
        <w:rPr>
          <w:sz w:val="22"/>
          <w:szCs w:val="22"/>
          <w:lang w:val="en-GB"/>
        </w:rPr>
        <w:t xml:space="preserve">National level activities will support: reviews of legislative and institutional frameworks for land-based pollution management in participating countries; harmonization of national Standard Operating Procedures for land-based pollution control and management, including agreed sediment, biota, and water quality criteria; revision of national/provincial policies; development, enactment and implementation of supporting regulations for land-based pollution; and the updating and adoption of National </w:t>
      </w:r>
      <w:r w:rsidR="004D3CE5">
        <w:rPr>
          <w:sz w:val="22"/>
          <w:szCs w:val="22"/>
          <w:lang w:val="en-GB"/>
        </w:rPr>
        <w:t>Action</w:t>
      </w:r>
      <w:r w:rsidR="004D3CE5" w:rsidRPr="00185DDB">
        <w:rPr>
          <w:sz w:val="22"/>
          <w:szCs w:val="22"/>
          <w:lang w:val="en-GB"/>
        </w:rPr>
        <w:t xml:space="preserve"> </w:t>
      </w:r>
      <w:r w:rsidRPr="00185DDB">
        <w:rPr>
          <w:sz w:val="22"/>
          <w:szCs w:val="22"/>
          <w:lang w:val="en-GB"/>
        </w:rPr>
        <w:t>Plans</w:t>
      </w:r>
      <w:r w:rsidR="004D3CE5">
        <w:rPr>
          <w:sz w:val="22"/>
          <w:szCs w:val="22"/>
          <w:lang w:val="en-GB"/>
        </w:rPr>
        <w:t>, including instutional reform and sustainable financing strategies,</w:t>
      </w:r>
      <w:r w:rsidRPr="00185DDB">
        <w:rPr>
          <w:sz w:val="22"/>
          <w:szCs w:val="22"/>
          <w:lang w:val="en-GB"/>
        </w:rPr>
        <w:t xml:space="preserve"> for land-based pollution management in the SCS. A regional financial mechanism for land-based pollution management will also be established. </w:t>
      </w:r>
      <w:r w:rsidR="004D3CE5">
        <w:rPr>
          <w:sz w:val="22"/>
          <w:szCs w:val="22"/>
          <w:lang w:val="en-GB"/>
        </w:rPr>
        <w:t>The development of the latter will be</w:t>
      </w:r>
      <w:r w:rsidR="00F24C47">
        <w:rPr>
          <w:sz w:val="22"/>
          <w:szCs w:val="22"/>
          <w:lang w:val="en-GB"/>
        </w:rPr>
        <w:t xml:space="preserve"> undertaken</w:t>
      </w:r>
      <w:r w:rsidR="004D3CE5">
        <w:rPr>
          <w:sz w:val="22"/>
          <w:szCs w:val="22"/>
          <w:lang w:val="en-GB"/>
        </w:rPr>
        <w:t xml:space="preserve"> </w:t>
      </w:r>
      <w:r w:rsidR="00F24C47">
        <w:rPr>
          <w:sz w:val="22"/>
          <w:szCs w:val="22"/>
          <w:lang w:val="en-GB"/>
        </w:rPr>
        <w:t>as part of the</w:t>
      </w:r>
      <w:r w:rsidR="004D3CE5">
        <w:rPr>
          <w:sz w:val="22"/>
          <w:szCs w:val="22"/>
          <w:lang w:val="en-GB"/>
        </w:rPr>
        <w:t xml:space="preserve"> national and regional consultative process followed to update the Strategic Action Programme for the South China Sea. Importantly, this financial mechanism will also be based on the outcomes of</w:t>
      </w:r>
      <w:r w:rsidR="00F24C47">
        <w:rPr>
          <w:sz w:val="22"/>
          <w:szCs w:val="22"/>
          <w:lang w:val="en-GB"/>
        </w:rPr>
        <w:t xml:space="preserve"> partnership forums aimed at facilitating agreement on private sector and donor investment in implementation of the land-based pollution elements of the updated SAP. This will also be supported at the regional level by COBSEAs broader resource mobilisation efforts as part of the implementation of its revised strategy.</w:t>
      </w:r>
      <w:r w:rsidR="004D3CE5">
        <w:rPr>
          <w:sz w:val="22"/>
          <w:szCs w:val="22"/>
          <w:lang w:val="en-GB"/>
        </w:rPr>
        <w:t xml:space="preserve"> </w:t>
      </w:r>
      <w:r w:rsidRPr="00185DDB">
        <w:rPr>
          <w:sz w:val="22"/>
          <w:szCs w:val="22"/>
          <w:lang w:val="en-GB"/>
        </w:rPr>
        <w:t xml:space="preserve">In preparation for this work, each of the participating countries have developed national reports on land-based pollution management in areas of their South China Sea coastlines. Additional regional supporting activities are designed to: improve mechanisms for information exchange; support the development, improvement and dissemination of regional public awareness and educational materials; prepare marine environment quality guidelines and tools for dissemination and adoption in the region; and the development of common methodologies that will generate comparable data among participating countries. </w:t>
      </w:r>
      <w:r w:rsidRPr="00185DDB">
        <w:rPr>
          <w:sz w:val="22"/>
          <w:szCs w:val="22"/>
        </w:rPr>
        <w:t>The specific project targets for Outcome 2.3 are summarized in Table 33.</w:t>
      </w:r>
    </w:p>
    <w:p w14:paraId="190304C1" w14:textId="77777777" w:rsidR="00185DDB" w:rsidRDefault="00185DDB" w:rsidP="00185DDB">
      <w:pPr>
        <w:spacing w:before="120" w:after="120"/>
        <w:jc w:val="both"/>
        <w:rPr>
          <w:sz w:val="22"/>
          <w:szCs w:val="22"/>
          <w:lang w:val="en-GB"/>
        </w:rPr>
      </w:pPr>
      <w:r w:rsidRPr="00185DDB">
        <w:rPr>
          <w:b/>
          <w:sz w:val="22"/>
          <w:szCs w:val="22"/>
          <w:lang w:val="en-GB"/>
        </w:rPr>
        <w:t>Table 33</w:t>
      </w:r>
      <w:r w:rsidRPr="00185DDB">
        <w:rPr>
          <w:sz w:val="22"/>
          <w:szCs w:val="22"/>
          <w:lang w:val="en-GB"/>
        </w:rPr>
        <w:tab/>
        <w:t>Baselines, targets and project indicators for Outcome 2.</w:t>
      </w:r>
      <w:r>
        <w:rPr>
          <w:sz w:val="22"/>
          <w:szCs w:val="22"/>
          <w:lang w:val="en-GB"/>
        </w:rPr>
        <w:t>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6"/>
        <w:gridCol w:w="3030"/>
        <w:gridCol w:w="3016"/>
      </w:tblGrid>
      <w:tr w:rsidR="00185DDB" w:rsidRPr="005A668F" w14:paraId="3D354F15" w14:textId="77777777" w:rsidTr="004B053A">
        <w:tc>
          <w:tcPr>
            <w:tcW w:w="3081" w:type="dxa"/>
            <w:shd w:val="clear" w:color="auto" w:fill="auto"/>
            <w:vAlign w:val="center"/>
          </w:tcPr>
          <w:p w14:paraId="23DA171D" w14:textId="77777777" w:rsidR="00185DDB" w:rsidRPr="004B053A" w:rsidRDefault="00185DDB" w:rsidP="004B053A">
            <w:pPr>
              <w:jc w:val="center"/>
              <w:rPr>
                <w:b/>
                <w:sz w:val="20"/>
                <w:szCs w:val="20"/>
              </w:rPr>
            </w:pPr>
            <w:r w:rsidRPr="004B053A">
              <w:rPr>
                <w:b/>
                <w:sz w:val="20"/>
                <w:szCs w:val="20"/>
              </w:rPr>
              <w:t>Baselines</w:t>
            </w:r>
          </w:p>
        </w:tc>
        <w:tc>
          <w:tcPr>
            <w:tcW w:w="3082" w:type="dxa"/>
            <w:shd w:val="clear" w:color="auto" w:fill="auto"/>
            <w:vAlign w:val="center"/>
          </w:tcPr>
          <w:p w14:paraId="00B57374" w14:textId="77777777" w:rsidR="00185DDB" w:rsidRPr="004B053A" w:rsidRDefault="00185DDB" w:rsidP="004B053A">
            <w:pPr>
              <w:jc w:val="center"/>
              <w:rPr>
                <w:b/>
                <w:sz w:val="20"/>
                <w:szCs w:val="20"/>
              </w:rPr>
            </w:pPr>
            <w:r w:rsidRPr="004B053A">
              <w:rPr>
                <w:b/>
                <w:sz w:val="20"/>
                <w:szCs w:val="20"/>
              </w:rPr>
              <w:t>Targets</w:t>
            </w:r>
          </w:p>
        </w:tc>
        <w:tc>
          <w:tcPr>
            <w:tcW w:w="3082" w:type="dxa"/>
            <w:shd w:val="clear" w:color="auto" w:fill="auto"/>
            <w:vAlign w:val="center"/>
          </w:tcPr>
          <w:p w14:paraId="4C1ADA4B" w14:textId="77777777" w:rsidR="00185DDB" w:rsidRPr="004B053A" w:rsidRDefault="00185DDB" w:rsidP="004B053A">
            <w:pPr>
              <w:jc w:val="center"/>
              <w:rPr>
                <w:b/>
                <w:sz w:val="20"/>
                <w:szCs w:val="20"/>
              </w:rPr>
            </w:pPr>
            <w:r w:rsidRPr="004B053A">
              <w:rPr>
                <w:b/>
                <w:sz w:val="20"/>
                <w:szCs w:val="20"/>
              </w:rPr>
              <w:t>Indicators</w:t>
            </w:r>
          </w:p>
        </w:tc>
      </w:tr>
      <w:tr w:rsidR="00185DDB" w:rsidRPr="005A668F" w14:paraId="51DC1033" w14:textId="77777777" w:rsidTr="004B053A">
        <w:trPr>
          <w:trHeight w:val="20"/>
        </w:trPr>
        <w:tc>
          <w:tcPr>
            <w:tcW w:w="3081" w:type="dxa"/>
            <w:shd w:val="clear" w:color="auto" w:fill="auto"/>
            <w:vAlign w:val="center"/>
          </w:tcPr>
          <w:p w14:paraId="4127A3C8" w14:textId="77777777" w:rsidR="00185DDB" w:rsidRPr="004B053A" w:rsidRDefault="0042182F" w:rsidP="00E030C3">
            <w:pPr>
              <w:rPr>
                <w:sz w:val="20"/>
                <w:szCs w:val="20"/>
              </w:rPr>
            </w:pPr>
            <w:r w:rsidRPr="004B053A">
              <w:rPr>
                <w:sz w:val="20"/>
                <w:szCs w:val="20"/>
              </w:rPr>
              <w:t>Lesson learned in community-based wastewater mgmt. in Batam, Indonesia documented and shared regionally although other examples from East Asian seas region largely focus on broad scale ICM planning</w:t>
            </w:r>
          </w:p>
        </w:tc>
        <w:tc>
          <w:tcPr>
            <w:tcW w:w="3082" w:type="dxa"/>
            <w:shd w:val="clear" w:color="auto" w:fill="auto"/>
            <w:vAlign w:val="center"/>
          </w:tcPr>
          <w:p w14:paraId="28C3109D" w14:textId="77777777" w:rsidR="00185DDB" w:rsidRPr="004B053A" w:rsidRDefault="0042182F" w:rsidP="00E030C3">
            <w:pPr>
              <w:rPr>
                <w:sz w:val="20"/>
                <w:szCs w:val="20"/>
              </w:rPr>
            </w:pPr>
            <w:r w:rsidRPr="004B053A">
              <w:rPr>
                <w:sz w:val="20"/>
                <w:szCs w:val="20"/>
              </w:rPr>
              <w:t>2.3.1 National best practices in waste water management, law enforcement, and community and industry participation in managing land-based sources of pollution documented and shared</w:t>
            </w:r>
          </w:p>
        </w:tc>
        <w:tc>
          <w:tcPr>
            <w:tcW w:w="3082" w:type="dxa"/>
            <w:shd w:val="clear" w:color="auto" w:fill="auto"/>
            <w:vAlign w:val="center"/>
          </w:tcPr>
          <w:p w14:paraId="5E613285" w14:textId="77777777" w:rsidR="00185DDB" w:rsidRPr="004B053A" w:rsidRDefault="0042182F" w:rsidP="00E030C3">
            <w:pPr>
              <w:rPr>
                <w:sz w:val="20"/>
                <w:szCs w:val="20"/>
              </w:rPr>
            </w:pPr>
            <w:r w:rsidRPr="004B053A">
              <w:rPr>
                <w:sz w:val="20"/>
                <w:szCs w:val="20"/>
              </w:rPr>
              <w:t>Number of best practice technologies and measures tested, documented and shared</w:t>
            </w:r>
          </w:p>
        </w:tc>
      </w:tr>
      <w:tr w:rsidR="00185DDB" w:rsidRPr="005A668F" w14:paraId="6E448B52" w14:textId="77777777" w:rsidTr="004B053A">
        <w:trPr>
          <w:trHeight w:val="20"/>
        </w:trPr>
        <w:tc>
          <w:tcPr>
            <w:tcW w:w="3081" w:type="dxa"/>
            <w:shd w:val="clear" w:color="auto" w:fill="auto"/>
            <w:vAlign w:val="center"/>
          </w:tcPr>
          <w:p w14:paraId="02666659" w14:textId="77777777" w:rsidR="00185DDB" w:rsidRPr="004B053A" w:rsidRDefault="0042182F" w:rsidP="00E030C3">
            <w:pPr>
              <w:rPr>
                <w:sz w:val="20"/>
                <w:szCs w:val="20"/>
              </w:rPr>
            </w:pPr>
            <w:r w:rsidRPr="004B053A">
              <w:rPr>
                <w:sz w:val="20"/>
                <w:szCs w:val="20"/>
              </w:rPr>
              <w:t>Effectiveness of existing legal and institutional frameworks limited by predominantly single sector approaches</w:t>
            </w:r>
          </w:p>
        </w:tc>
        <w:tc>
          <w:tcPr>
            <w:tcW w:w="3082" w:type="dxa"/>
            <w:shd w:val="clear" w:color="auto" w:fill="auto"/>
            <w:vAlign w:val="center"/>
          </w:tcPr>
          <w:p w14:paraId="2D711470" w14:textId="77777777" w:rsidR="00185DDB" w:rsidRPr="004B053A" w:rsidRDefault="0042182F" w:rsidP="00E030C3">
            <w:pPr>
              <w:rPr>
                <w:sz w:val="20"/>
                <w:szCs w:val="20"/>
              </w:rPr>
            </w:pPr>
            <w:r w:rsidRPr="004B053A">
              <w:rPr>
                <w:sz w:val="20"/>
                <w:szCs w:val="20"/>
              </w:rPr>
              <w:t>2.3.2 Review of legislative and institutional frameworks for land-based pollution management in participating countries</w:t>
            </w:r>
          </w:p>
        </w:tc>
        <w:tc>
          <w:tcPr>
            <w:tcW w:w="3082" w:type="dxa"/>
            <w:shd w:val="clear" w:color="auto" w:fill="auto"/>
            <w:vAlign w:val="center"/>
          </w:tcPr>
          <w:p w14:paraId="6629D7B1" w14:textId="77777777" w:rsidR="00185DDB" w:rsidRPr="004B053A" w:rsidRDefault="003873C4" w:rsidP="003873C4">
            <w:pPr>
              <w:rPr>
                <w:sz w:val="20"/>
                <w:szCs w:val="20"/>
              </w:rPr>
            </w:pPr>
            <w:r>
              <w:rPr>
                <w:sz w:val="20"/>
                <w:szCs w:val="20"/>
              </w:rPr>
              <w:t xml:space="preserve">Number of countries with demonstrable </w:t>
            </w:r>
            <w:r w:rsidR="0042182F" w:rsidRPr="004B053A">
              <w:rPr>
                <w:sz w:val="20"/>
                <w:szCs w:val="20"/>
              </w:rPr>
              <w:t xml:space="preserve"> harmonization of sectoral governance frameworks achieved as a result of review findings</w:t>
            </w:r>
          </w:p>
        </w:tc>
      </w:tr>
      <w:tr w:rsidR="00185DDB" w:rsidRPr="005A668F" w14:paraId="7E8ADE92" w14:textId="77777777" w:rsidTr="004B053A">
        <w:trPr>
          <w:trHeight w:val="20"/>
        </w:trPr>
        <w:tc>
          <w:tcPr>
            <w:tcW w:w="3081" w:type="dxa"/>
            <w:shd w:val="clear" w:color="auto" w:fill="auto"/>
            <w:vAlign w:val="center"/>
          </w:tcPr>
          <w:p w14:paraId="56A1C9D1" w14:textId="77777777" w:rsidR="00185DDB" w:rsidRPr="004B053A" w:rsidRDefault="0042182F" w:rsidP="00E030C3">
            <w:pPr>
              <w:rPr>
                <w:sz w:val="20"/>
                <w:szCs w:val="20"/>
              </w:rPr>
            </w:pPr>
            <w:r w:rsidRPr="004B053A">
              <w:rPr>
                <w:sz w:val="20"/>
                <w:szCs w:val="20"/>
              </w:rPr>
              <w:t>Lack of Standard Operating Procedures for land-based pollution management</w:t>
            </w:r>
          </w:p>
        </w:tc>
        <w:tc>
          <w:tcPr>
            <w:tcW w:w="3082" w:type="dxa"/>
            <w:shd w:val="clear" w:color="auto" w:fill="auto"/>
            <w:vAlign w:val="center"/>
          </w:tcPr>
          <w:p w14:paraId="17C828AD" w14:textId="77777777" w:rsidR="00185DDB" w:rsidRPr="004B053A" w:rsidRDefault="0042182F" w:rsidP="00E030C3">
            <w:pPr>
              <w:rPr>
                <w:sz w:val="20"/>
                <w:szCs w:val="20"/>
              </w:rPr>
            </w:pPr>
            <w:r w:rsidRPr="004B053A">
              <w:rPr>
                <w:sz w:val="20"/>
                <w:szCs w:val="20"/>
              </w:rPr>
              <w:t>2.3.3 Harmonized national Standard Operating Procedures for land-based pollution control and management [including agreed sediment, biota, &amp; water quality criteria]</w:t>
            </w:r>
          </w:p>
        </w:tc>
        <w:tc>
          <w:tcPr>
            <w:tcW w:w="3082" w:type="dxa"/>
            <w:shd w:val="clear" w:color="auto" w:fill="auto"/>
            <w:vAlign w:val="center"/>
          </w:tcPr>
          <w:p w14:paraId="74CD2ED7" w14:textId="77777777" w:rsidR="00185DDB" w:rsidRPr="004B053A" w:rsidRDefault="0042182F" w:rsidP="003873C4">
            <w:pPr>
              <w:rPr>
                <w:sz w:val="20"/>
                <w:szCs w:val="20"/>
              </w:rPr>
            </w:pPr>
            <w:r w:rsidRPr="004B053A">
              <w:rPr>
                <w:sz w:val="20"/>
                <w:szCs w:val="20"/>
              </w:rPr>
              <w:t xml:space="preserve">Number of countries </w:t>
            </w:r>
            <w:r w:rsidR="003873C4">
              <w:rPr>
                <w:sz w:val="20"/>
                <w:szCs w:val="20"/>
              </w:rPr>
              <w:t xml:space="preserve">with demonstrable </w:t>
            </w:r>
            <w:r w:rsidRPr="004B053A">
              <w:rPr>
                <w:sz w:val="20"/>
                <w:szCs w:val="20"/>
              </w:rPr>
              <w:t>adopti</w:t>
            </w:r>
            <w:r w:rsidR="003873C4">
              <w:rPr>
                <w:sz w:val="20"/>
                <w:szCs w:val="20"/>
              </w:rPr>
              <w:t>on of</w:t>
            </w:r>
            <w:r w:rsidRPr="004B053A">
              <w:rPr>
                <w:sz w:val="20"/>
                <w:szCs w:val="20"/>
              </w:rPr>
              <w:t xml:space="preserve"> harmonized, regionally comparable SOPs</w:t>
            </w:r>
          </w:p>
        </w:tc>
      </w:tr>
      <w:tr w:rsidR="00185DDB" w:rsidRPr="005A668F" w14:paraId="30A4B4CD" w14:textId="77777777" w:rsidTr="004B053A">
        <w:trPr>
          <w:trHeight w:val="20"/>
        </w:trPr>
        <w:tc>
          <w:tcPr>
            <w:tcW w:w="3081" w:type="dxa"/>
            <w:shd w:val="clear" w:color="auto" w:fill="auto"/>
            <w:vAlign w:val="center"/>
          </w:tcPr>
          <w:p w14:paraId="3089799B" w14:textId="77777777" w:rsidR="00185DDB" w:rsidRPr="004B053A" w:rsidRDefault="0042182F" w:rsidP="00E030C3">
            <w:pPr>
              <w:rPr>
                <w:sz w:val="20"/>
                <w:szCs w:val="20"/>
              </w:rPr>
            </w:pPr>
            <w:r w:rsidRPr="004B053A">
              <w:rPr>
                <w:sz w:val="20"/>
                <w:szCs w:val="20"/>
              </w:rPr>
              <w:t>Absence of clear and effective policies, laws, and regulations relating to control of land-based pollution</w:t>
            </w:r>
          </w:p>
        </w:tc>
        <w:tc>
          <w:tcPr>
            <w:tcW w:w="3082" w:type="dxa"/>
            <w:shd w:val="clear" w:color="auto" w:fill="auto"/>
            <w:vAlign w:val="center"/>
          </w:tcPr>
          <w:p w14:paraId="250AFECF" w14:textId="77777777" w:rsidR="00185DDB" w:rsidRPr="004B053A" w:rsidRDefault="0042182F" w:rsidP="00E030C3">
            <w:pPr>
              <w:rPr>
                <w:sz w:val="20"/>
                <w:szCs w:val="20"/>
              </w:rPr>
            </w:pPr>
            <w:r w:rsidRPr="004B053A">
              <w:rPr>
                <w:sz w:val="20"/>
                <w:szCs w:val="20"/>
              </w:rPr>
              <w:t>2.3.4 Revised national/provincial policies and supporting regulations for land-based pollution developed, enacted and implemented by Yr 5</w:t>
            </w:r>
          </w:p>
        </w:tc>
        <w:tc>
          <w:tcPr>
            <w:tcW w:w="3082" w:type="dxa"/>
            <w:shd w:val="clear" w:color="auto" w:fill="auto"/>
            <w:vAlign w:val="center"/>
          </w:tcPr>
          <w:p w14:paraId="31DE1A53" w14:textId="77777777" w:rsidR="00185DDB" w:rsidRPr="004B053A" w:rsidRDefault="003873C4" w:rsidP="00E030C3">
            <w:pPr>
              <w:rPr>
                <w:sz w:val="20"/>
                <w:szCs w:val="20"/>
              </w:rPr>
            </w:pPr>
            <w:r>
              <w:rPr>
                <w:sz w:val="20"/>
                <w:szCs w:val="20"/>
              </w:rPr>
              <w:t>Number of countries with</w:t>
            </w:r>
            <w:r w:rsidR="0042182F" w:rsidRPr="004B053A">
              <w:rPr>
                <w:sz w:val="20"/>
                <w:szCs w:val="20"/>
              </w:rPr>
              <w:t xml:space="preserve"> endors</w:t>
            </w:r>
            <w:r>
              <w:rPr>
                <w:sz w:val="20"/>
                <w:szCs w:val="20"/>
              </w:rPr>
              <w:t>d</w:t>
            </w:r>
            <w:r w:rsidR="0042182F" w:rsidRPr="004B053A">
              <w:rPr>
                <w:sz w:val="20"/>
                <w:szCs w:val="20"/>
              </w:rPr>
              <w:t xml:space="preserve"> national policies and enact</w:t>
            </w:r>
            <w:r>
              <w:rPr>
                <w:sz w:val="20"/>
                <w:szCs w:val="20"/>
              </w:rPr>
              <w:t>ed</w:t>
            </w:r>
            <w:r w:rsidR="0042182F" w:rsidRPr="004B053A">
              <w:rPr>
                <w:sz w:val="20"/>
                <w:szCs w:val="20"/>
              </w:rPr>
              <w:t xml:space="preserve"> laws and regulations for land-based pollution control</w:t>
            </w:r>
          </w:p>
        </w:tc>
      </w:tr>
      <w:tr w:rsidR="00185DDB" w:rsidRPr="005A668F" w14:paraId="7E377022" w14:textId="77777777" w:rsidTr="004B053A">
        <w:trPr>
          <w:trHeight w:val="20"/>
        </w:trPr>
        <w:tc>
          <w:tcPr>
            <w:tcW w:w="3081" w:type="dxa"/>
            <w:shd w:val="clear" w:color="auto" w:fill="auto"/>
            <w:vAlign w:val="center"/>
          </w:tcPr>
          <w:p w14:paraId="39B8DD5C" w14:textId="77777777" w:rsidR="00185DDB" w:rsidRPr="004B053A" w:rsidRDefault="0042182F" w:rsidP="00E030C3">
            <w:pPr>
              <w:rPr>
                <w:sz w:val="20"/>
                <w:szCs w:val="20"/>
              </w:rPr>
            </w:pPr>
            <w:r w:rsidRPr="004B053A">
              <w:rPr>
                <w:sz w:val="20"/>
                <w:szCs w:val="20"/>
              </w:rPr>
              <w:t>Guidelines for assessing the economic impacts of land-based pollution developed but not yet applied as part of benefit-cost analysis of pollution mgmt. in the SCS</w:t>
            </w:r>
          </w:p>
        </w:tc>
        <w:tc>
          <w:tcPr>
            <w:tcW w:w="3082" w:type="dxa"/>
            <w:shd w:val="clear" w:color="auto" w:fill="auto"/>
            <w:vAlign w:val="center"/>
          </w:tcPr>
          <w:p w14:paraId="0410F7CE" w14:textId="77777777" w:rsidR="00185DDB" w:rsidRPr="004B053A" w:rsidRDefault="0042182F" w:rsidP="004D3CE5">
            <w:pPr>
              <w:rPr>
                <w:sz w:val="20"/>
                <w:szCs w:val="20"/>
              </w:rPr>
            </w:pPr>
            <w:r w:rsidRPr="004B053A">
              <w:rPr>
                <w:sz w:val="20"/>
                <w:szCs w:val="20"/>
              </w:rPr>
              <w:t xml:space="preserve">2.3.5 Updated and adopted National </w:t>
            </w:r>
            <w:r w:rsidR="004D3CE5">
              <w:rPr>
                <w:sz w:val="20"/>
                <w:szCs w:val="20"/>
              </w:rPr>
              <w:t>Action Plans, including institutional reform and sustainable financing strategies,</w:t>
            </w:r>
            <w:r w:rsidRPr="004B053A">
              <w:rPr>
                <w:sz w:val="20"/>
                <w:szCs w:val="20"/>
              </w:rPr>
              <w:t xml:space="preserve"> for land-based pollution management in the SCS [Yr 5]</w:t>
            </w:r>
          </w:p>
        </w:tc>
        <w:tc>
          <w:tcPr>
            <w:tcW w:w="3082" w:type="dxa"/>
            <w:shd w:val="clear" w:color="auto" w:fill="auto"/>
            <w:vAlign w:val="center"/>
          </w:tcPr>
          <w:p w14:paraId="19FF4419" w14:textId="77777777" w:rsidR="0042182F" w:rsidRPr="004B053A" w:rsidRDefault="003873C4" w:rsidP="004B053A">
            <w:pPr>
              <w:spacing w:after="120"/>
              <w:rPr>
                <w:sz w:val="20"/>
                <w:szCs w:val="20"/>
              </w:rPr>
            </w:pPr>
            <w:r>
              <w:rPr>
                <w:sz w:val="20"/>
                <w:szCs w:val="20"/>
              </w:rPr>
              <w:t xml:space="preserve">Number of countries with </w:t>
            </w:r>
            <w:r w:rsidR="0042182F" w:rsidRPr="004B053A">
              <w:rPr>
                <w:sz w:val="20"/>
                <w:szCs w:val="20"/>
              </w:rPr>
              <w:t xml:space="preserve"> endorse</w:t>
            </w:r>
            <w:r>
              <w:rPr>
                <w:sz w:val="20"/>
                <w:szCs w:val="20"/>
              </w:rPr>
              <w:t>d</w:t>
            </w:r>
            <w:r w:rsidR="0042182F" w:rsidRPr="004B053A">
              <w:rPr>
                <w:sz w:val="20"/>
                <w:szCs w:val="20"/>
              </w:rPr>
              <w:t xml:space="preserve"> National </w:t>
            </w:r>
            <w:r w:rsidR="004D3CE5">
              <w:rPr>
                <w:sz w:val="20"/>
                <w:szCs w:val="20"/>
              </w:rPr>
              <w:t>Action Plans</w:t>
            </w:r>
            <w:r>
              <w:rPr>
                <w:sz w:val="20"/>
                <w:szCs w:val="20"/>
              </w:rPr>
              <w:t>, including institutional reform and sustainable financing strategies, for land-based pollution</w:t>
            </w:r>
          </w:p>
          <w:p w14:paraId="70E437A4" w14:textId="77777777" w:rsidR="00185DDB" w:rsidRPr="004B053A" w:rsidRDefault="00185DDB" w:rsidP="0042182F">
            <w:pPr>
              <w:rPr>
                <w:sz w:val="20"/>
                <w:szCs w:val="20"/>
              </w:rPr>
            </w:pPr>
          </w:p>
        </w:tc>
      </w:tr>
      <w:tr w:rsidR="0042182F" w:rsidRPr="005A668F" w14:paraId="61094C5B" w14:textId="77777777" w:rsidTr="004B053A">
        <w:trPr>
          <w:trHeight w:val="20"/>
        </w:trPr>
        <w:tc>
          <w:tcPr>
            <w:tcW w:w="3081" w:type="dxa"/>
            <w:shd w:val="clear" w:color="auto" w:fill="auto"/>
            <w:vAlign w:val="center"/>
          </w:tcPr>
          <w:p w14:paraId="2FD5B560" w14:textId="77777777" w:rsidR="0042182F" w:rsidRPr="004B053A" w:rsidRDefault="0042182F" w:rsidP="00E030C3">
            <w:pPr>
              <w:rPr>
                <w:sz w:val="20"/>
                <w:szCs w:val="20"/>
              </w:rPr>
            </w:pPr>
            <w:r w:rsidRPr="004B053A">
              <w:rPr>
                <w:sz w:val="20"/>
                <w:szCs w:val="20"/>
              </w:rPr>
              <w:t>Lack of sustainable mechanism to finance regional support actions including M&amp;E</w:t>
            </w:r>
          </w:p>
        </w:tc>
        <w:tc>
          <w:tcPr>
            <w:tcW w:w="3082" w:type="dxa"/>
            <w:shd w:val="clear" w:color="auto" w:fill="auto"/>
            <w:vAlign w:val="center"/>
          </w:tcPr>
          <w:p w14:paraId="349BE271" w14:textId="77777777" w:rsidR="0042182F" w:rsidRPr="004B053A" w:rsidRDefault="0042182F" w:rsidP="00E030C3">
            <w:pPr>
              <w:rPr>
                <w:sz w:val="20"/>
                <w:szCs w:val="20"/>
              </w:rPr>
            </w:pPr>
            <w:r w:rsidRPr="004B053A">
              <w:rPr>
                <w:sz w:val="20"/>
                <w:szCs w:val="20"/>
              </w:rPr>
              <w:t>2.3.6 Regional financial mechanism for land-based pollution management [Yr 5]</w:t>
            </w:r>
          </w:p>
        </w:tc>
        <w:tc>
          <w:tcPr>
            <w:tcW w:w="3082" w:type="dxa"/>
            <w:shd w:val="clear" w:color="auto" w:fill="auto"/>
            <w:vAlign w:val="center"/>
          </w:tcPr>
          <w:p w14:paraId="5B4AD63A" w14:textId="77777777" w:rsidR="0042182F" w:rsidRPr="004B053A" w:rsidRDefault="0042182F" w:rsidP="00E030C3">
            <w:pPr>
              <w:rPr>
                <w:sz w:val="20"/>
                <w:szCs w:val="20"/>
              </w:rPr>
            </w:pPr>
            <w:r w:rsidRPr="004B053A">
              <w:rPr>
                <w:sz w:val="20"/>
                <w:szCs w:val="20"/>
              </w:rPr>
              <w:t>Status of agreement among participating countries on a sustainable financing approach for regional actions</w:t>
            </w:r>
          </w:p>
        </w:tc>
      </w:tr>
    </w:tbl>
    <w:p w14:paraId="3CC31E5E" w14:textId="77777777" w:rsidR="0042182F" w:rsidRPr="0042182F" w:rsidRDefault="0042182F" w:rsidP="0042182F">
      <w:pPr>
        <w:spacing w:before="120" w:after="120"/>
        <w:ind w:left="1440" w:hanging="1440"/>
        <w:jc w:val="both"/>
        <w:rPr>
          <w:b/>
          <w:sz w:val="22"/>
          <w:szCs w:val="22"/>
          <w:lang w:val="en-GB"/>
        </w:rPr>
      </w:pPr>
      <w:r w:rsidRPr="0042182F">
        <w:rPr>
          <w:b/>
          <w:sz w:val="22"/>
          <w:szCs w:val="22"/>
          <w:lang w:val="en-GB"/>
        </w:rPr>
        <w:t xml:space="preserve">Outcome 2.4 </w:t>
      </w:r>
      <w:r w:rsidRPr="0042182F">
        <w:rPr>
          <w:b/>
          <w:sz w:val="22"/>
          <w:szCs w:val="22"/>
          <w:lang w:val="en-GB"/>
        </w:rPr>
        <w:tab/>
        <w:t>Improved national and regional values for the Total Economic Values of coastal habitats for use in developmen</w:t>
      </w:r>
      <w:r>
        <w:rPr>
          <w:b/>
          <w:sz w:val="22"/>
          <w:szCs w:val="22"/>
          <w:lang w:val="en-GB"/>
        </w:rPr>
        <w:t>t planning and decision-making</w:t>
      </w:r>
    </w:p>
    <w:p w14:paraId="2470D7CA" w14:textId="77777777" w:rsidR="00185DDB" w:rsidRPr="0042182F" w:rsidRDefault="0042182F" w:rsidP="0042182F">
      <w:pPr>
        <w:numPr>
          <w:ilvl w:val="0"/>
          <w:numId w:val="3"/>
        </w:numPr>
        <w:spacing w:before="120" w:after="120"/>
        <w:ind w:left="0" w:firstLine="0"/>
        <w:jc w:val="both"/>
        <w:rPr>
          <w:sz w:val="22"/>
          <w:szCs w:val="22"/>
          <w:lang w:val="en-GB"/>
        </w:rPr>
      </w:pPr>
      <w:r w:rsidRPr="0042182F">
        <w:rPr>
          <w:sz w:val="22"/>
          <w:szCs w:val="22"/>
        </w:rPr>
        <w:t>Today’s society uses and is heavily dependent on the environment as a source of a range of services and resources, that is, natural capital. At the same time, society uses (or abuses) and depends heavily upon the environment as a “sink” or repository for its pollution and waste. The source and sink services are in scarce supply and are continually being degraded and limited by economic activities. This requires the adoption of more conservative patterns of use that will increase the base of environmental assets over time, which is related to sustainability of the environments capacity to provide continued goods and services.</w:t>
      </w:r>
    </w:p>
    <w:p w14:paraId="1813197B" w14:textId="77777777" w:rsidR="0042182F" w:rsidRDefault="0042182F" w:rsidP="0042182F">
      <w:pPr>
        <w:numPr>
          <w:ilvl w:val="0"/>
          <w:numId w:val="3"/>
        </w:numPr>
        <w:spacing w:before="120" w:after="120"/>
        <w:ind w:left="0" w:firstLine="0"/>
        <w:jc w:val="both"/>
        <w:rPr>
          <w:sz w:val="22"/>
          <w:szCs w:val="22"/>
          <w:lang w:val="en-GB"/>
        </w:rPr>
      </w:pPr>
      <w:r w:rsidRPr="0042182F">
        <w:rPr>
          <w:sz w:val="22"/>
          <w:szCs w:val="22"/>
          <w:lang w:val="en-GB"/>
        </w:rPr>
        <w:t xml:space="preserve">Economic valuation is defined as the attempt to assign quantitative or monetary values to the goods and services provided by environmental resources, whether or not market prices are available to assist in the process (Barbier  and Aylward, 1996; Bateman  et al., 2002). The National Research Council  (1995) defines economic valuation as an attempt to provide an empirical account of the value of the services and amenities or of the benefits and costs of proposed action (project or policies) that would modify the flow of services and amenities. Both definitions are in agreement regarding the quantification of goods and services that provide information about the environmental resources. </w:t>
      </w:r>
    </w:p>
    <w:p w14:paraId="2FC546E5" w14:textId="77777777" w:rsidR="0042182F" w:rsidRPr="0042182F" w:rsidRDefault="0042182F" w:rsidP="0042182F">
      <w:pPr>
        <w:numPr>
          <w:ilvl w:val="0"/>
          <w:numId w:val="3"/>
        </w:numPr>
        <w:spacing w:before="120" w:after="120"/>
        <w:ind w:left="0" w:firstLine="0"/>
        <w:jc w:val="both"/>
        <w:rPr>
          <w:bCs/>
          <w:sz w:val="22"/>
          <w:szCs w:val="22"/>
          <w:lang w:val="en-GB"/>
        </w:rPr>
      </w:pPr>
      <w:r w:rsidRPr="0042182F">
        <w:rPr>
          <w:sz w:val="22"/>
          <w:szCs w:val="22"/>
          <w:lang w:val="en-GB"/>
        </w:rPr>
        <w:t xml:space="preserve"> </w:t>
      </w:r>
      <w:r w:rsidRPr="0042182F">
        <w:rPr>
          <w:bCs/>
          <w:sz w:val="22"/>
          <w:szCs w:val="22"/>
          <w:lang w:val="en-GB"/>
        </w:rPr>
        <w:t xml:space="preserve">Valuation forms a key exercise in economic analysis and provides important information for the sustainable use of any habitat. The basic aim of valuation is to determine people’s preferences – how much they are willing to pay for, and how much better or worse off they would consider themselves to be as a result of changes in the supply of different goods and services. Valuation provides a means of quantifying the benefits that people receive from habitats, the costs associated with their loss, and the relative profitability of land and resource uses which are compatible with habitat conservation </w:t>
      </w:r>
      <w:r w:rsidRPr="0042182F">
        <w:rPr>
          <w:bCs/>
          <w:i/>
          <w:sz w:val="22"/>
          <w:szCs w:val="22"/>
          <w:lang w:val="en-GB"/>
        </w:rPr>
        <w:t>vis-à-vis</w:t>
      </w:r>
      <w:r w:rsidRPr="0042182F">
        <w:rPr>
          <w:bCs/>
          <w:sz w:val="22"/>
          <w:szCs w:val="22"/>
          <w:lang w:val="en-GB"/>
        </w:rPr>
        <w:t xml:space="preserve"> those economic activities that contribute to habitat degradation. Valuation helps to predict and understand the consequences of economic decisions and economic activities which impact on the integrity and status of habitats.</w:t>
      </w:r>
    </w:p>
    <w:p w14:paraId="3E3D9669" w14:textId="77777777" w:rsidR="0042182F" w:rsidRPr="0042182F" w:rsidRDefault="0042182F" w:rsidP="009859F6">
      <w:pPr>
        <w:numPr>
          <w:ilvl w:val="0"/>
          <w:numId w:val="3"/>
        </w:numPr>
        <w:spacing w:after="120"/>
        <w:ind w:left="0" w:firstLine="0"/>
        <w:jc w:val="both"/>
        <w:rPr>
          <w:bCs/>
          <w:sz w:val="22"/>
          <w:szCs w:val="22"/>
        </w:rPr>
      </w:pPr>
      <w:r w:rsidRPr="0042182F">
        <w:rPr>
          <w:bCs/>
          <w:sz w:val="22"/>
          <w:szCs w:val="22"/>
        </w:rPr>
        <w:t>Valuation in the context of habitat management is generally used to indicate the overall economic efficiency of the various competing uses of habitats and resources. That is, the underlying assumption is that habitat resources should be allocated to those uses that yield an overall net gain to society, as measured through valuation in terms of the economic benefits of each use, less its’ costs. However, the valuation should be based on reasonably well-founded methodology and speculative assumptions will not contribute to decision-making (Munasinghe, 1995</w:t>
      </w:r>
      <w:r w:rsidRPr="0042182F">
        <w:rPr>
          <w:rStyle w:val="FootnoteReference"/>
          <w:bCs/>
          <w:sz w:val="22"/>
          <w:szCs w:val="22"/>
        </w:rPr>
        <w:footnoteReference w:id="77"/>
      </w:r>
      <w:r w:rsidRPr="0042182F">
        <w:rPr>
          <w:bCs/>
          <w:sz w:val="22"/>
          <w:szCs w:val="22"/>
        </w:rPr>
        <w:t>).</w:t>
      </w:r>
    </w:p>
    <w:p w14:paraId="5BBFFE1A" w14:textId="77777777" w:rsidR="009859F6" w:rsidRPr="009859F6" w:rsidRDefault="009859F6" w:rsidP="009859F6">
      <w:pPr>
        <w:numPr>
          <w:ilvl w:val="0"/>
          <w:numId w:val="3"/>
        </w:numPr>
        <w:ind w:left="0" w:firstLine="0"/>
        <w:jc w:val="both"/>
        <w:rPr>
          <w:bCs/>
          <w:sz w:val="22"/>
          <w:szCs w:val="22"/>
        </w:rPr>
      </w:pPr>
      <w:r w:rsidRPr="009859F6">
        <w:rPr>
          <w:bCs/>
          <w:sz w:val="22"/>
          <w:szCs w:val="22"/>
        </w:rPr>
        <w:t>“Valuing” an ecosystem is essentially valuing the characteristics of a system. Costanza</w:t>
      </w:r>
      <w:r w:rsidRPr="009859F6">
        <w:rPr>
          <w:rStyle w:val="FootnoteReference"/>
          <w:bCs/>
          <w:sz w:val="22"/>
          <w:szCs w:val="22"/>
        </w:rPr>
        <w:footnoteReference w:id="78"/>
      </w:r>
      <w:r w:rsidRPr="009859F6">
        <w:rPr>
          <w:bCs/>
          <w:i/>
          <w:sz w:val="22"/>
          <w:szCs w:val="22"/>
        </w:rPr>
        <w:t xml:space="preserve"> et</w:t>
      </w:r>
      <w:r w:rsidRPr="009859F6">
        <w:rPr>
          <w:bCs/>
          <w:sz w:val="22"/>
          <w:szCs w:val="22"/>
        </w:rPr>
        <w:t xml:space="preserve"> </w:t>
      </w:r>
      <w:r w:rsidRPr="009859F6">
        <w:rPr>
          <w:bCs/>
          <w:i/>
          <w:sz w:val="22"/>
          <w:szCs w:val="22"/>
        </w:rPr>
        <w:t>al.</w:t>
      </w:r>
      <w:r w:rsidRPr="009859F6">
        <w:rPr>
          <w:bCs/>
          <w:sz w:val="22"/>
          <w:szCs w:val="22"/>
        </w:rPr>
        <w:t xml:space="preserve"> (1997) have made a comprehensive list of ecosystem functions and services and defined ecosystem services as “flows of materials, energy and information from natural capital stocks which combine with manufactured and human capital services to produce human welfare”. </w:t>
      </w:r>
    </w:p>
    <w:p w14:paraId="6F8421FB" w14:textId="77777777" w:rsidR="009859F6" w:rsidRDefault="009859F6" w:rsidP="009859F6">
      <w:pPr>
        <w:numPr>
          <w:ilvl w:val="0"/>
          <w:numId w:val="3"/>
        </w:numPr>
        <w:spacing w:before="120" w:after="120"/>
        <w:ind w:left="0" w:firstLine="0"/>
        <w:jc w:val="both"/>
        <w:rPr>
          <w:sz w:val="22"/>
          <w:szCs w:val="22"/>
          <w:lang w:val="en-GB"/>
        </w:rPr>
      </w:pPr>
      <w:r w:rsidRPr="009859F6">
        <w:rPr>
          <w:sz w:val="22"/>
          <w:szCs w:val="22"/>
          <w:lang w:val="en-GB"/>
        </w:rPr>
        <w:t>The concept of Total Economic Value (TEV) provides a framework for valuing natural; systems and is used to identify and estimate the monetary value of all economic benefits that a society derives from a particular ecosystem. In some countries this method has been used to improve forest policy, planning, and management decisions by accounting for all short- and long-term benefits to society from forests, including alternative options. TEV accounts for a wide variety of market and non-market functions and services provided by the habitat.</w:t>
      </w:r>
      <w:r>
        <w:rPr>
          <w:sz w:val="22"/>
          <w:szCs w:val="22"/>
          <w:lang w:val="en-GB"/>
        </w:rPr>
        <w:t xml:space="preserve"> </w:t>
      </w:r>
    </w:p>
    <w:p w14:paraId="3B1881A9" w14:textId="77777777" w:rsidR="0042182F" w:rsidRDefault="009859F6" w:rsidP="009859F6">
      <w:pPr>
        <w:numPr>
          <w:ilvl w:val="0"/>
          <w:numId w:val="3"/>
        </w:numPr>
        <w:spacing w:before="120" w:after="120"/>
        <w:ind w:left="0" w:firstLine="0"/>
        <w:jc w:val="both"/>
        <w:rPr>
          <w:sz w:val="22"/>
          <w:szCs w:val="22"/>
          <w:lang w:val="en-GB"/>
        </w:rPr>
      </w:pPr>
      <w:r>
        <w:rPr>
          <w:sz w:val="22"/>
          <w:szCs w:val="22"/>
          <w:lang w:val="en-GB"/>
        </w:rPr>
        <w:t>As outlined in the background and situational analysis section of this Project Document, South China Sea SAP formulation resulted in significant advancements in the determination of national and regionally applicable TEVs that were used to value the cost of action versus non-action within the framework of SAP implementation. Despite these advancements, several challenges exist in the application of economic valuation in decision-making for transboundary water resource management in the South China Sea; indeed the issues of economic valuation of ecosystem goods and services in development planning remains a challenge facing the entire portfolio of GEF investments</w:t>
      </w:r>
      <w:r w:rsidR="0095203F">
        <w:rPr>
          <w:sz w:val="22"/>
          <w:szCs w:val="22"/>
          <w:lang w:val="en-GB"/>
        </w:rPr>
        <w:t xml:space="preserve"> in procuring the goods and services of the global environment</w:t>
      </w:r>
      <w:r>
        <w:rPr>
          <w:sz w:val="22"/>
          <w:szCs w:val="22"/>
          <w:lang w:val="en-GB"/>
        </w:rPr>
        <w:t xml:space="preserve">, particularly in </w:t>
      </w:r>
      <w:r w:rsidR="0095203F">
        <w:rPr>
          <w:sz w:val="22"/>
          <w:szCs w:val="22"/>
          <w:lang w:val="en-GB"/>
        </w:rPr>
        <w:t>its</w:t>
      </w:r>
      <w:r>
        <w:rPr>
          <w:sz w:val="22"/>
          <w:szCs w:val="22"/>
          <w:lang w:val="en-GB"/>
        </w:rPr>
        <w:t xml:space="preserve"> International Waters focal area.</w:t>
      </w:r>
    </w:p>
    <w:p w14:paraId="36330464" w14:textId="77777777" w:rsidR="003228EC" w:rsidRDefault="003228EC" w:rsidP="003228EC">
      <w:pPr>
        <w:numPr>
          <w:ilvl w:val="0"/>
          <w:numId w:val="3"/>
        </w:numPr>
        <w:spacing w:before="120" w:after="120"/>
        <w:ind w:left="0" w:firstLine="0"/>
        <w:jc w:val="both"/>
        <w:rPr>
          <w:sz w:val="22"/>
          <w:szCs w:val="22"/>
          <w:lang w:val="en-GB"/>
        </w:rPr>
      </w:pPr>
      <w:r w:rsidRPr="003228EC">
        <w:rPr>
          <w:sz w:val="22"/>
          <w:szCs w:val="22"/>
          <w:lang w:val="en-GB"/>
        </w:rPr>
        <w:t xml:space="preserve">Better economic valuation of the South China Sea’s resources is critical for decision making that will lead to sustainable use. The values determined through the previous SCS project are incomplete since not all known goods or services from individual coastal ecosystems have been valued. One area of current weakness is that comparatively few existing values for the service provided by habitats as nursery areas for off-shore fish and crustaceans are included. This is known to be a significant and major service provided by mangrove and seagrass habitats and work will be undertaken to establish the economic values of these services. </w:t>
      </w:r>
    </w:p>
    <w:p w14:paraId="5E3C3B8E" w14:textId="77777777" w:rsidR="003228EC" w:rsidRDefault="003228EC" w:rsidP="003228EC">
      <w:pPr>
        <w:numPr>
          <w:ilvl w:val="0"/>
          <w:numId w:val="3"/>
        </w:numPr>
        <w:spacing w:after="120"/>
        <w:ind w:left="0" w:firstLine="0"/>
        <w:jc w:val="both"/>
        <w:rPr>
          <w:sz w:val="22"/>
          <w:szCs w:val="22"/>
          <w:lang w:val="en-GB"/>
        </w:rPr>
      </w:pPr>
      <w:r w:rsidRPr="003228EC">
        <w:rPr>
          <w:sz w:val="22"/>
          <w:szCs w:val="22"/>
          <w:lang w:val="en-GB"/>
        </w:rPr>
        <w:t xml:space="preserve">It is anticipated that actions at the national and regional level to implement the SAP will generate more extensive datasets at the national level, which if included in the regional dataset will greatly enhance the utility of the regional dataset in determining regional priorities for action and intervention. One additional area of identified need that the project will address is in the determination of economic losses of coastal ecosystem goods and services consequent upon coastal shipping accidents and land-based pollution damage. Component 2 therefore aims to improve the national and regional values for the Total Economic Values of coastal habitats for use in development planning and decision-making, and will make substantive contributions to the conduct of cost-benefit analyses of management options undertaken as part of national action planning for coastal habitats and land-based pollution, as well as in updating the SCS TDA and SAP. </w:t>
      </w:r>
      <w:r w:rsidR="00CB247D">
        <w:rPr>
          <w:sz w:val="22"/>
          <w:szCs w:val="22"/>
          <w:lang w:val="en-GB"/>
        </w:rPr>
        <w:t xml:space="preserve">Communications products will also be developed to raise awareness among stakeholders and policy makers of the socio-cultural significance of the South China Sea marine basin and its resources. This will include the innovative use of social media </w:t>
      </w:r>
      <w:r w:rsidR="00F731CE">
        <w:rPr>
          <w:sz w:val="22"/>
          <w:szCs w:val="22"/>
          <w:lang w:val="en-GB"/>
        </w:rPr>
        <w:t>to communicate about the importance of ecosystem goods and services in terms of food security, livelihood opportunities, storm protection, carbon sequestration, recreation and tourism opportunities, and quality of life.</w:t>
      </w:r>
    </w:p>
    <w:p w14:paraId="47C59E83" w14:textId="77777777" w:rsidR="009859F6" w:rsidRPr="003228EC" w:rsidRDefault="003228EC" w:rsidP="003228EC">
      <w:pPr>
        <w:numPr>
          <w:ilvl w:val="0"/>
          <w:numId w:val="3"/>
        </w:numPr>
        <w:spacing w:after="120"/>
        <w:ind w:left="0" w:firstLine="0"/>
        <w:jc w:val="both"/>
        <w:rPr>
          <w:sz w:val="22"/>
          <w:szCs w:val="22"/>
          <w:lang w:val="en-GB"/>
        </w:rPr>
      </w:pPr>
      <w:r w:rsidRPr="003228EC">
        <w:rPr>
          <w:sz w:val="22"/>
          <w:szCs w:val="22"/>
          <w:lang w:val="en-GB"/>
        </w:rPr>
        <w:t>The economic valuation work of this component will also build on preliminary work of the SCS project to value the economic impacts of land-based pollution from local, national and transboundary perspectives and will contribute to the planning of a mechanism for the sustainable financing of land-based pollution activities of a revised SAP.</w:t>
      </w:r>
      <w:r>
        <w:rPr>
          <w:sz w:val="22"/>
          <w:szCs w:val="22"/>
          <w:lang w:val="en-GB"/>
        </w:rPr>
        <w:t xml:space="preserve"> </w:t>
      </w:r>
      <w:r w:rsidRPr="003228EC">
        <w:rPr>
          <w:sz w:val="22"/>
          <w:szCs w:val="22"/>
        </w:rPr>
        <w:t>The specific project targets for Outcome 2.</w:t>
      </w:r>
      <w:r>
        <w:rPr>
          <w:sz w:val="22"/>
          <w:szCs w:val="22"/>
        </w:rPr>
        <w:t>4</w:t>
      </w:r>
      <w:r w:rsidRPr="003228EC">
        <w:rPr>
          <w:sz w:val="22"/>
          <w:szCs w:val="22"/>
        </w:rPr>
        <w:t xml:space="preserve"> are summarized in Table 3</w:t>
      </w:r>
      <w:r>
        <w:rPr>
          <w:sz w:val="22"/>
          <w:szCs w:val="22"/>
        </w:rPr>
        <w:t>4.</w:t>
      </w:r>
    </w:p>
    <w:p w14:paraId="035EDEF6" w14:textId="77777777" w:rsidR="003228EC" w:rsidRDefault="003228EC" w:rsidP="003228EC">
      <w:pPr>
        <w:spacing w:after="120"/>
        <w:jc w:val="both"/>
        <w:rPr>
          <w:sz w:val="22"/>
          <w:szCs w:val="22"/>
          <w:lang w:val="en-GB"/>
        </w:rPr>
      </w:pPr>
      <w:r w:rsidRPr="003228EC">
        <w:rPr>
          <w:b/>
          <w:sz w:val="22"/>
          <w:szCs w:val="22"/>
          <w:lang w:val="en-GB"/>
        </w:rPr>
        <w:t>Table 34</w:t>
      </w:r>
      <w:r w:rsidRPr="003228EC">
        <w:rPr>
          <w:sz w:val="22"/>
          <w:szCs w:val="22"/>
          <w:lang w:val="en-GB"/>
        </w:rPr>
        <w:tab/>
        <w:t>Baselines, targets and project indicators for Outcome 2.</w:t>
      </w:r>
      <w:r>
        <w:rPr>
          <w:sz w:val="22"/>
          <w:szCs w:val="22"/>
          <w:lang w:val="en-GB"/>
        </w:rPr>
        <w:t>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4"/>
        <w:gridCol w:w="3016"/>
        <w:gridCol w:w="3022"/>
      </w:tblGrid>
      <w:tr w:rsidR="003228EC" w:rsidRPr="005A668F" w14:paraId="6781D853" w14:textId="77777777" w:rsidTr="004B053A">
        <w:tc>
          <w:tcPr>
            <w:tcW w:w="3081" w:type="dxa"/>
            <w:shd w:val="clear" w:color="auto" w:fill="auto"/>
            <w:vAlign w:val="center"/>
          </w:tcPr>
          <w:p w14:paraId="699C2EE6" w14:textId="77777777" w:rsidR="003228EC" w:rsidRPr="004B053A" w:rsidRDefault="003228EC" w:rsidP="004B053A">
            <w:pPr>
              <w:jc w:val="center"/>
              <w:rPr>
                <w:b/>
                <w:sz w:val="20"/>
                <w:szCs w:val="20"/>
              </w:rPr>
            </w:pPr>
            <w:r w:rsidRPr="004B053A">
              <w:rPr>
                <w:b/>
                <w:sz w:val="20"/>
                <w:szCs w:val="20"/>
              </w:rPr>
              <w:t>Baselines</w:t>
            </w:r>
          </w:p>
        </w:tc>
        <w:tc>
          <w:tcPr>
            <w:tcW w:w="3082" w:type="dxa"/>
            <w:shd w:val="clear" w:color="auto" w:fill="auto"/>
            <w:vAlign w:val="center"/>
          </w:tcPr>
          <w:p w14:paraId="27C01BDA" w14:textId="77777777" w:rsidR="003228EC" w:rsidRPr="004B053A" w:rsidRDefault="003228EC" w:rsidP="004B053A">
            <w:pPr>
              <w:jc w:val="center"/>
              <w:rPr>
                <w:b/>
                <w:sz w:val="20"/>
                <w:szCs w:val="20"/>
              </w:rPr>
            </w:pPr>
            <w:r w:rsidRPr="004B053A">
              <w:rPr>
                <w:b/>
                <w:sz w:val="20"/>
                <w:szCs w:val="20"/>
              </w:rPr>
              <w:t>Targets</w:t>
            </w:r>
          </w:p>
        </w:tc>
        <w:tc>
          <w:tcPr>
            <w:tcW w:w="3082" w:type="dxa"/>
            <w:shd w:val="clear" w:color="auto" w:fill="auto"/>
            <w:vAlign w:val="center"/>
          </w:tcPr>
          <w:p w14:paraId="0FF93C0F" w14:textId="77777777" w:rsidR="003228EC" w:rsidRPr="004B053A" w:rsidRDefault="003228EC" w:rsidP="004B053A">
            <w:pPr>
              <w:jc w:val="center"/>
              <w:rPr>
                <w:b/>
                <w:sz w:val="20"/>
                <w:szCs w:val="20"/>
              </w:rPr>
            </w:pPr>
            <w:r w:rsidRPr="004B053A">
              <w:rPr>
                <w:b/>
                <w:sz w:val="20"/>
                <w:szCs w:val="20"/>
              </w:rPr>
              <w:t>Indicators</w:t>
            </w:r>
          </w:p>
        </w:tc>
      </w:tr>
      <w:tr w:rsidR="003228EC" w:rsidRPr="005A668F" w14:paraId="282FBB5A" w14:textId="77777777" w:rsidTr="004B053A">
        <w:trPr>
          <w:trHeight w:val="20"/>
        </w:trPr>
        <w:tc>
          <w:tcPr>
            <w:tcW w:w="3081" w:type="dxa"/>
            <w:shd w:val="clear" w:color="auto" w:fill="auto"/>
            <w:vAlign w:val="center"/>
          </w:tcPr>
          <w:p w14:paraId="7B54CFED" w14:textId="77777777" w:rsidR="003228EC" w:rsidRPr="004B053A" w:rsidRDefault="003228EC" w:rsidP="00E030C3">
            <w:pPr>
              <w:rPr>
                <w:sz w:val="20"/>
                <w:szCs w:val="20"/>
              </w:rPr>
            </w:pPr>
            <w:r w:rsidRPr="004B053A">
              <w:rPr>
                <w:sz w:val="20"/>
                <w:szCs w:val="20"/>
              </w:rPr>
              <w:t>Values determined for SCS are incomplete as not all known goods and services from individual biomes have been valued</w:t>
            </w:r>
          </w:p>
        </w:tc>
        <w:tc>
          <w:tcPr>
            <w:tcW w:w="3082" w:type="dxa"/>
            <w:shd w:val="clear" w:color="auto" w:fill="auto"/>
            <w:vAlign w:val="center"/>
          </w:tcPr>
          <w:p w14:paraId="7FB9A6E3" w14:textId="77777777" w:rsidR="003228EC" w:rsidRPr="004B053A" w:rsidRDefault="003228EC" w:rsidP="00E030C3">
            <w:pPr>
              <w:rPr>
                <w:sz w:val="20"/>
                <w:szCs w:val="20"/>
              </w:rPr>
            </w:pPr>
            <w:r w:rsidRPr="004B053A">
              <w:rPr>
                <w:sz w:val="20"/>
                <w:szCs w:val="20"/>
              </w:rPr>
              <w:t>2.4.1 Expanded datasets of economic valuation information on the goods and services of SCS coastal habitats</w:t>
            </w:r>
          </w:p>
        </w:tc>
        <w:tc>
          <w:tcPr>
            <w:tcW w:w="3082" w:type="dxa"/>
            <w:shd w:val="clear" w:color="auto" w:fill="auto"/>
            <w:vAlign w:val="center"/>
          </w:tcPr>
          <w:p w14:paraId="104452F8" w14:textId="77777777" w:rsidR="003228EC" w:rsidRPr="004B053A" w:rsidRDefault="003228EC" w:rsidP="00E030C3">
            <w:pPr>
              <w:rPr>
                <w:sz w:val="20"/>
                <w:szCs w:val="20"/>
              </w:rPr>
            </w:pPr>
            <w:r w:rsidRPr="004B053A">
              <w:rPr>
                <w:sz w:val="20"/>
                <w:szCs w:val="20"/>
              </w:rPr>
              <w:t>Completeness of value information compiled for coastal biome goods and services</w:t>
            </w:r>
          </w:p>
        </w:tc>
      </w:tr>
      <w:tr w:rsidR="003228EC" w:rsidRPr="005A668F" w14:paraId="5CC5F44E" w14:textId="77777777" w:rsidTr="004B053A">
        <w:trPr>
          <w:trHeight w:val="20"/>
        </w:trPr>
        <w:tc>
          <w:tcPr>
            <w:tcW w:w="3081" w:type="dxa"/>
            <w:shd w:val="clear" w:color="auto" w:fill="auto"/>
            <w:vAlign w:val="center"/>
          </w:tcPr>
          <w:p w14:paraId="4A333B92" w14:textId="77777777" w:rsidR="003228EC" w:rsidRPr="004B053A" w:rsidRDefault="003228EC" w:rsidP="00E030C3">
            <w:pPr>
              <w:rPr>
                <w:sz w:val="20"/>
                <w:szCs w:val="20"/>
              </w:rPr>
            </w:pPr>
            <w:r w:rsidRPr="004B053A">
              <w:rPr>
                <w:sz w:val="20"/>
                <w:szCs w:val="20"/>
              </w:rPr>
              <w:t>Comparatively few existing values for the services provided by habitats as nursery areas for coastal living resources</w:t>
            </w:r>
          </w:p>
        </w:tc>
        <w:tc>
          <w:tcPr>
            <w:tcW w:w="3082" w:type="dxa"/>
            <w:shd w:val="clear" w:color="auto" w:fill="auto"/>
            <w:vAlign w:val="center"/>
          </w:tcPr>
          <w:p w14:paraId="2A811BA5" w14:textId="77777777" w:rsidR="003228EC" w:rsidRPr="004B053A" w:rsidRDefault="003228EC" w:rsidP="00E030C3">
            <w:pPr>
              <w:rPr>
                <w:sz w:val="20"/>
                <w:szCs w:val="20"/>
              </w:rPr>
            </w:pPr>
            <w:r w:rsidRPr="004B053A">
              <w:rPr>
                <w:sz w:val="20"/>
                <w:szCs w:val="20"/>
              </w:rPr>
              <w:t>2.4.2 Estimates of the value for the service provided by coastal habitats as nursery areas for coastal fish and crustaceans</w:t>
            </w:r>
          </w:p>
        </w:tc>
        <w:tc>
          <w:tcPr>
            <w:tcW w:w="3082" w:type="dxa"/>
            <w:shd w:val="clear" w:color="auto" w:fill="auto"/>
            <w:vAlign w:val="center"/>
          </w:tcPr>
          <w:p w14:paraId="360E46FC" w14:textId="77777777" w:rsidR="003228EC" w:rsidRPr="004B053A" w:rsidRDefault="003228EC" w:rsidP="00E030C3">
            <w:pPr>
              <w:rPr>
                <w:sz w:val="20"/>
                <w:szCs w:val="20"/>
              </w:rPr>
            </w:pPr>
            <w:r w:rsidRPr="004B053A">
              <w:rPr>
                <w:sz w:val="20"/>
                <w:szCs w:val="20"/>
              </w:rPr>
              <w:t>Status of initiative to develop national and regional estimates economic linkages between habitats and coastal fish production</w:t>
            </w:r>
          </w:p>
        </w:tc>
      </w:tr>
      <w:tr w:rsidR="003228EC" w:rsidRPr="005A668F" w14:paraId="78F551DE" w14:textId="77777777" w:rsidTr="004B053A">
        <w:trPr>
          <w:trHeight w:val="20"/>
        </w:trPr>
        <w:tc>
          <w:tcPr>
            <w:tcW w:w="3081" w:type="dxa"/>
            <w:shd w:val="clear" w:color="auto" w:fill="auto"/>
            <w:vAlign w:val="center"/>
          </w:tcPr>
          <w:p w14:paraId="313A4E78" w14:textId="77777777" w:rsidR="003228EC" w:rsidRPr="004B053A" w:rsidRDefault="003228EC" w:rsidP="00E030C3">
            <w:pPr>
              <w:rPr>
                <w:sz w:val="20"/>
                <w:szCs w:val="20"/>
              </w:rPr>
            </w:pPr>
            <w:r w:rsidRPr="004B053A">
              <w:rPr>
                <w:sz w:val="20"/>
                <w:szCs w:val="20"/>
              </w:rPr>
              <w:t>No existing information linking shipping accidents to loss of economic benefits associated coastal biomes in the SCS</w:t>
            </w:r>
          </w:p>
        </w:tc>
        <w:tc>
          <w:tcPr>
            <w:tcW w:w="3082" w:type="dxa"/>
            <w:shd w:val="clear" w:color="auto" w:fill="auto"/>
            <w:vAlign w:val="center"/>
          </w:tcPr>
          <w:p w14:paraId="24E12E48" w14:textId="77777777" w:rsidR="003228EC" w:rsidRPr="004B053A" w:rsidRDefault="003228EC" w:rsidP="00E030C3">
            <w:pPr>
              <w:rPr>
                <w:sz w:val="20"/>
                <w:szCs w:val="20"/>
              </w:rPr>
            </w:pPr>
            <w:r w:rsidRPr="004B053A">
              <w:rPr>
                <w:sz w:val="20"/>
                <w:szCs w:val="20"/>
              </w:rPr>
              <w:t>2.4.3 Estimates of economic losses of coastal ecosystem goods and services consequent upon coastal shipping accidents and pollution damage</w:t>
            </w:r>
          </w:p>
        </w:tc>
        <w:tc>
          <w:tcPr>
            <w:tcW w:w="3082" w:type="dxa"/>
            <w:shd w:val="clear" w:color="auto" w:fill="auto"/>
            <w:vAlign w:val="center"/>
          </w:tcPr>
          <w:p w14:paraId="6DB94E14" w14:textId="77777777" w:rsidR="003228EC" w:rsidRPr="004B053A" w:rsidRDefault="003228EC" w:rsidP="00E030C3">
            <w:pPr>
              <w:rPr>
                <w:sz w:val="20"/>
                <w:szCs w:val="20"/>
              </w:rPr>
            </w:pPr>
            <w:r w:rsidRPr="004B053A">
              <w:rPr>
                <w:sz w:val="20"/>
                <w:szCs w:val="20"/>
              </w:rPr>
              <w:t>Status of initiative to value economic costs of coastal shipping accidents and pollution damage</w:t>
            </w:r>
          </w:p>
        </w:tc>
      </w:tr>
      <w:tr w:rsidR="003228EC" w:rsidRPr="005A668F" w14:paraId="746F95EA" w14:textId="77777777" w:rsidTr="004B053A">
        <w:trPr>
          <w:trHeight w:val="20"/>
        </w:trPr>
        <w:tc>
          <w:tcPr>
            <w:tcW w:w="3081" w:type="dxa"/>
            <w:shd w:val="clear" w:color="auto" w:fill="auto"/>
            <w:vAlign w:val="center"/>
          </w:tcPr>
          <w:p w14:paraId="7652B48C" w14:textId="77777777" w:rsidR="003228EC" w:rsidRPr="004B053A" w:rsidRDefault="003228EC" w:rsidP="003228EC">
            <w:pPr>
              <w:rPr>
                <w:sz w:val="20"/>
                <w:szCs w:val="20"/>
              </w:rPr>
            </w:pPr>
            <w:r w:rsidRPr="004B053A">
              <w:rPr>
                <w:sz w:val="20"/>
                <w:szCs w:val="20"/>
              </w:rPr>
              <w:t>Economic valuation of coastal habitats used in cost benefit analysis of endorsed Strategic Action Programme actions based on 2005 CPI</w:t>
            </w:r>
          </w:p>
        </w:tc>
        <w:tc>
          <w:tcPr>
            <w:tcW w:w="3082" w:type="dxa"/>
            <w:shd w:val="clear" w:color="auto" w:fill="auto"/>
            <w:vAlign w:val="center"/>
          </w:tcPr>
          <w:p w14:paraId="5DE54549" w14:textId="77777777" w:rsidR="003228EC" w:rsidRPr="004B053A" w:rsidRDefault="003228EC" w:rsidP="00E030C3">
            <w:pPr>
              <w:rPr>
                <w:sz w:val="20"/>
                <w:szCs w:val="20"/>
              </w:rPr>
            </w:pPr>
            <w:r w:rsidRPr="004B053A">
              <w:rPr>
                <w:sz w:val="20"/>
                <w:szCs w:val="20"/>
              </w:rPr>
              <w:t>2.4.4 Updated estimates of Total Economic Values for coastal habitats of the SCS and converted to 2017 value by means of the consumer price index</w:t>
            </w:r>
          </w:p>
        </w:tc>
        <w:tc>
          <w:tcPr>
            <w:tcW w:w="3082" w:type="dxa"/>
            <w:shd w:val="clear" w:color="auto" w:fill="auto"/>
            <w:vAlign w:val="center"/>
          </w:tcPr>
          <w:p w14:paraId="3F9FE70C" w14:textId="77777777" w:rsidR="003228EC" w:rsidRPr="004B053A" w:rsidRDefault="003228EC" w:rsidP="00E030C3">
            <w:pPr>
              <w:rPr>
                <w:sz w:val="20"/>
                <w:szCs w:val="20"/>
              </w:rPr>
            </w:pPr>
            <w:r w:rsidRPr="004B053A">
              <w:rPr>
                <w:sz w:val="20"/>
                <w:szCs w:val="20"/>
              </w:rPr>
              <w:t>Status of initiative to update estimates of total economic values of coastal biomes</w:t>
            </w:r>
          </w:p>
        </w:tc>
      </w:tr>
    </w:tbl>
    <w:p w14:paraId="77D73B0C" w14:textId="77777777" w:rsidR="003228EC" w:rsidRPr="003228EC" w:rsidRDefault="003228EC" w:rsidP="003228EC">
      <w:pPr>
        <w:spacing w:before="120" w:after="120"/>
        <w:ind w:left="1440" w:hanging="1440"/>
        <w:jc w:val="both"/>
        <w:rPr>
          <w:b/>
          <w:sz w:val="22"/>
          <w:szCs w:val="22"/>
          <w:lang w:val="en-GB"/>
        </w:rPr>
      </w:pPr>
      <w:r w:rsidRPr="003228EC">
        <w:rPr>
          <w:b/>
          <w:sz w:val="22"/>
          <w:szCs w:val="22"/>
          <w:lang w:val="en-GB"/>
        </w:rPr>
        <w:t xml:space="preserve">Outcome 2.5 </w:t>
      </w:r>
      <w:r w:rsidRPr="003228EC">
        <w:rPr>
          <w:b/>
          <w:sz w:val="22"/>
          <w:szCs w:val="22"/>
          <w:lang w:val="en-GB"/>
        </w:rPr>
        <w:tab/>
        <w:t>Regionally appropriate tools and mechanisms to guide the development of sustainable management systems for coastal habitats and land-based pollution</w:t>
      </w:r>
    </w:p>
    <w:p w14:paraId="1701441B" w14:textId="77777777" w:rsidR="002960FC" w:rsidRPr="002960FC" w:rsidRDefault="002960FC" w:rsidP="002960FC">
      <w:pPr>
        <w:numPr>
          <w:ilvl w:val="0"/>
          <w:numId w:val="3"/>
        </w:numPr>
        <w:spacing w:after="120"/>
        <w:ind w:left="0" w:firstLine="0"/>
        <w:jc w:val="both"/>
        <w:rPr>
          <w:sz w:val="22"/>
          <w:szCs w:val="22"/>
        </w:rPr>
      </w:pPr>
      <w:r w:rsidRPr="002960FC">
        <w:rPr>
          <w:sz w:val="22"/>
          <w:szCs w:val="22"/>
        </w:rPr>
        <w:t>Global experience in integrated natural resource and environmental management has shown that efforts in transboundary water resource management are initially vulnerable fledglings when introduced at national and sub-national units of government, and as such, at the mercy of the bureaucratic pecking order. In order for efforts to survive and grow, national-level leaders of such processes need to be able to effectively communicate the benefits of such integrated approaches across a broad range of government agencies and local institutions in order to convince government and community leaders that it is in their self-interest to voluntarily coordinate across areas such as: policy and development planning; investment in efforts to reduce stress on natural resources and improve environmental state; and in strengthening community engagement in management.</w:t>
      </w:r>
    </w:p>
    <w:p w14:paraId="269E8651" w14:textId="77777777" w:rsidR="003228EC" w:rsidRDefault="002960FC" w:rsidP="002960FC">
      <w:pPr>
        <w:numPr>
          <w:ilvl w:val="0"/>
          <w:numId w:val="3"/>
        </w:numPr>
        <w:spacing w:after="120"/>
        <w:ind w:left="0" w:firstLine="0"/>
        <w:jc w:val="both"/>
        <w:rPr>
          <w:sz w:val="22"/>
          <w:szCs w:val="22"/>
          <w:lang w:val="en-GB"/>
        </w:rPr>
      </w:pPr>
      <w:r w:rsidRPr="002960FC">
        <w:rPr>
          <w:sz w:val="22"/>
          <w:szCs w:val="22"/>
          <w:lang w:val="en-GB"/>
        </w:rPr>
        <w:t>Communications and the effective use of the media was identified by the terminal evaluation of the SCS project as a critical element of efforts to raise awareness, to stimulate support for necessary policy and legal reforms, and for global outreach with donors and other initiatives of the GEF International Waters focal area. That review also identified the communications and media initiatives of the SCS project as being essential in ensuring that best practices generated through national demonstration projects and national policy development processes were captured, shared and effectively communicated to guide the longer-term sustainability and scaling-up of investments. This component builds on these achievements through development of national and regional platforms for managing information and sharing best practices and lessons learned from efforts of this project to test the implement the South China Sea SAP.</w:t>
      </w:r>
    </w:p>
    <w:p w14:paraId="2A93A858" w14:textId="77777777" w:rsidR="002960FC" w:rsidRPr="002960FC" w:rsidRDefault="002960FC" w:rsidP="002960FC">
      <w:pPr>
        <w:numPr>
          <w:ilvl w:val="0"/>
          <w:numId w:val="3"/>
        </w:numPr>
        <w:spacing w:after="120"/>
        <w:ind w:left="0" w:firstLine="0"/>
        <w:jc w:val="both"/>
        <w:rPr>
          <w:sz w:val="22"/>
          <w:szCs w:val="22"/>
          <w:lang w:val="en-GB"/>
        </w:rPr>
      </w:pPr>
      <w:r w:rsidRPr="002960FC">
        <w:rPr>
          <w:sz w:val="22"/>
          <w:szCs w:val="22"/>
          <w:lang w:val="en-GB"/>
        </w:rPr>
        <w:t>Specif</w:t>
      </w:r>
      <w:r w:rsidR="000A4BE2">
        <w:rPr>
          <w:sz w:val="22"/>
          <w:szCs w:val="22"/>
          <w:lang w:val="en-GB"/>
        </w:rPr>
        <w:t>ically, a regional SAP implementation</w:t>
      </w:r>
      <w:r w:rsidRPr="002960FC">
        <w:rPr>
          <w:sz w:val="22"/>
          <w:szCs w:val="22"/>
          <w:lang w:val="en-GB"/>
        </w:rPr>
        <w:t xml:space="preserve"> communications strategy will be developed and opportunities for public-private partnerships with the media explored to strengthen the role of communications and the media in SAP implementation. These efforts will place emphasis on capacity development for natural resource managers and media professionals and sets out activities to be executed through the partnership to include inter alia:</w:t>
      </w:r>
    </w:p>
    <w:p w14:paraId="7DAE066A" w14:textId="77777777" w:rsidR="002960FC" w:rsidRPr="002960FC" w:rsidRDefault="002960FC" w:rsidP="004B053A">
      <w:pPr>
        <w:numPr>
          <w:ilvl w:val="0"/>
          <w:numId w:val="27"/>
        </w:numPr>
        <w:jc w:val="both"/>
        <w:rPr>
          <w:sz w:val="22"/>
          <w:szCs w:val="22"/>
          <w:lang w:val="en-GB"/>
        </w:rPr>
      </w:pPr>
      <w:r w:rsidRPr="002960FC">
        <w:rPr>
          <w:sz w:val="22"/>
          <w:szCs w:val="22"/>
          <w:lang w:val="en-GB"/>
        </w:rPr>
        <w:t>Training of young media professionals in coastal and marine environmental management in the SCS</w:t>
      </w:r>
    </w:p>
    <w:p w14:paraId="18391788" w14:textId="77777777" w:rsidR="002960FC" w:rsidRPr="002960FC" w:rsidRDefault="002960FC" w:rsidP="004B053A">
      <w:pPr>
        <w:numPr>
          <w:ilvl w:val="0"/>
          <w:numId w:val="27"/>
        </w:numPr>
        <w:jc w:val="both"/>
        <w:rPr>
          <w:sz w:val="22"/>
          <w:szCs w:val="22"/>
          <w:lang w:val="en-GB"/>
        </w:rPr>
      </w:pPr>
      <w:r w:rsidRPr="002960FC">
        <w:rPr>
          <w:sz w:val="22"/>
          <w:szCs w:val="22"/>
          <w:lang w:val="en-GB"/>
        </w:rPr>
        <w:t>Mentoring of natural resource managers on communications and media issues</w:t>
      </w:r>
    </w:p>
    <w:p w14:paraId="61487C2B" w14:textId="77777777" w:rsidR="002960FC" w:rsidRPr="002960FC" w:rsidRDefault="002960FC" w:rsidP="004B053A">
      <w:pPr>
        <w:numPr>
          <w:ilvl w:val="0"/>
          <w:numId w:val="27"/>
        </w:numPr>
        <w:jc w:val="both"/>
        <w:rPr>
          <w:sz w:val="22"/>
          <w:szCs w:val="22"/>
          <w:lang w:val="en-GB"/>
        </w:rPr>
      </w:pPr>
      <w:r w:rsidRPr="002960FC">
        <w:rPr>
          <w:sz w:val="22"/>
          <w:szCs w:val="22"/>
          <w:lang w:val="en-GB"/>
        </w:rPr>
        <w:t>Targeted television broadcasting of coastal and marine resource management media products</w:t>
      </w:r>
    </w:p>
    <w:p w14:paraId="34D06D91" w14:textId="77777777" w:rsidR="002960FC" w:rsidRPr="002960FC" w:rsidRDefault="002960FC" w:rsidP="004B053A">
      <w:pPr>
        <w:numPr>
          <w:ilvl w:val="0"/>
          <w:numId w:val="27"/>
        </w:numPr>
        <w:jc w:val="both"/>
        <w:rPr>
          <w:sz w:val="22"/>
          <w:szCs w:val="22"/>
          <w:lang w:val="en-GB"/>
        </w:rPr>
      </w:pPr>
      <w:r w:rsidRPr="002960FC">
        <w:rPr>
          <w:sz w:val="22"/>
          <w:szCs w:val="22"/>
          <w:lang w:val="en-GB"/>
        </w:rPr>
        <w:t>Preparation of short film, documentary and other awareness materials for outreach purposes</w:t>
      </w:r>
    </w:p>
    <w:p w14:paraId="3B081563" w14:textId="77777777" w:rsidR="002960FC" w:rsidRPr="002960FC" w:rsidRDefault="002960FC" w:rsidP="004B053A">
      <w:pPr>
        <w:numPr>
          <w:ilvl w:val="0"/>
          <w:numId w:val="27"/>
        </w:numPr>
        <w:jc w:val="both"/>
        <w:rPr>
          <w:sz w:val="22"/>
          <w:szCs w:val="22"/>
          <w:lang w:val="en-GB"/>
        </w:rPr>
      </w:pPr>
      <w:r w:rsidRPr="002960FC">
        <w:rPr>
          <w:sz w:val="22"/>
          <w:szCs w:val="22"/>
          <w:lang w:val="en-GB"/>
        </w:rPr>
        <w:t xml:space="preserve">Design of awareness materials and use of web-based technologies for communications </w:t>
      </w:r>
    </w:p>
    <w:p w14:paraId="40295C45" w14:textId="77777777" w:rsidR="002960FC" w:rsidRPr="002960FC" w:rsidRDefault="002960FC" w:rsidP="004B053A">
      <w:pPr>
        <w:numPr>
          <w:ilvl w:val="0"/>
          <w:numId w:val="27"/>
        </w:numPr>
        <w:jc w:val="both"/>
        <w:rPr>
          <w:sz w:val="22"/>
          <w:szCs w:val="22"/>
          <w:lang w:val="en-GB"/>
        </w:rPr>
      </w:pPr>
      <w:r w:rsidRPr="002960FC">
        <w:rPr>
          <w:sz w:val="22"/>
          <w:szCs w:val="22"/>
          <w:lang w:val="en-GB"/>
        </w:rPr>
        <w:t>Liaison with national and regional media outlets for broad syndication of media products</w:t>
      </w:r>
    </w:p>
    <w:p w14:paraId="0DC58CB9" w14:textId="77777777" w:rsidR="002960FC" w:rsidRPr="002960FC" w:rsidRDefault="002960FC" w:rsidP="004B053A">
      <w:pPr>
        <w:numPr>
          <w:ilvl w:val="0"/>
          <w:numId w:val="27"/>
        </w:numPr>
        <w:jc w:val="both"/>
        <w:rPr>
          <w:sz w:val="22"/>
          <w:szCs w:val="22"/>
          <w:lang w:val="en-GB"/>
        </w:rPr>
      </w:pPr>
      <w:r w:rsidRPr="002960FC">
        <w:rPr>
          <w:sz w:val="22"/>
          <w:szCs w:val="22"/>
          <w:lang w:val="en-GB"/>
        </w:rPr>
        <w:t xml:space="preserve">Development of multi-media products in support of regional and national coordination initiatives </w:t>
      </w:r>
    </w:p>
    <w:p w14:paraId="6EB45DE3" w14:textId="77777777" w:rsidR="002960FC" w:rsidRPr="002960FC" w:rsidRDefault="002960FC" w:rsidP="004B053A">
      <w:pPr>
        <w:numPr>
          <w:ilvl w:val="0"/>
          <w:numId w:val="27"/>
        </w:numPr>
        <w:jc w:val="both"/>
        <w:rPr>
          <w:sz w:val="22"/>
          <w:szCs w:val="22"/>
          <w:lang w:val="en-GB"/>
        </w:rPr>
      </w:pPr>
      <w:r w:rsidRPr="002960FC">
        <w:rPr>
          <w:sz w:val="22"/>
          <w:szCs w:val="22"/>
          <w:lang w:val="en-GB"/>
        </w:rPr>
        <w:t xml:space="preserve">Capture and regional sharing of national experiences in project execution </w:t>
      </w:r>
    </w:p>
    <w:p w14:paraId="1882AEA6" w14:textId="77777777" w:rsidR="002960FC" w:rsidRPr="002960FC" w:rsidRDefault="002960FC" w:rsidP="004B053A">
      <w:pPr>
        <w:numPr>
          <w:ilvl w:val="0"/>
          <w:numId w:val="27"/>
        </w:numPr>
        <w:spacing w:after="120"/>
        <w:jc w:val="both"/>
        <w:rPr>
          <w:sz w:val="22"/>
          <w:szCs w:val="22"/>
          <w:lang w:val="en-GB"/>
        </w:rPr>
      </w:pPr>
      <w:r w:rsidRPr="002960FC">
        <w:rPr>
          <w:sz w:val="22"/>
          <w:szCs w:val="22"/>
          <w:lang w:val="en-GB"/>
        </w:rPr>
        <w:t>Planning of communications strategies in support of region-wide scaling-up of SAP innovations</w:t>
      </w:r>
    </w:p>
    <w:p w14:paraId="6872E068" w14:textId="77777777" w:rsidR="00A96470" w:rsidRPr="00A96470" w:rsidRDefault="00A96470" w:rsidP="00A96470">
      <w:pPr>
        <w:numPr>
          <w:ilvl w:val="0"/>
          <w:numId w:val="3"/>
        </w:numPr>
        <w:spacing w:after="120"/>
        <w:ind w:left="0" w:firstLine="0"/>
        <w:jc w:val="both"/>
        <w:rPr>
          <w:sz w:val="22"/>
          <w:szCs w:val="22"/>
          <w:lang w:val="en-GB"/>
        </w:rPr>
      </w:pPr>
      <w:r w:rsidRPr="00A96470">
        <w:rPr>
          <w:sz w:val="22"/>
          <w:szCs w:val="22"/>
        </w:rPr>
        <w:t xml:space="preserve">This will be complemented via the establishment and operation of web-based ‘SCS Network’ to strengthen cross-sectoral and multi-lateral communication and knowledge management and a programme of study tours and exchanges aimed at government officials, community leaders, and habitat and pollution managers. Additionally, sustainable management indicator matrices were developed for dominant coastal habitats during the SAP formulation process but have not yet applied and tested in the framework of SAP implementation. This project will </w:t>
      </w:r>
      <w:r w:rsidR="00AD5D5E">
        <w:rPr>
          <w:sz w:val="22"/>
          <w:szCs w:val="22"/>
        </w:rPr>
        <w:t xml:space="preserve">draw upon the GEF supported Transboundary Waters Assessment Programme methodology to: </w:t>
      </w:r>
      <w:r w:rsidRPr="00A96470">
        <w:rPr>
          <w:sz w:val="22"/>
          <w:szCs w:val="22"/>
        </w:rPr>
        <w:t>develop regionally applicable standards and criteria for defining the sustainability of coastal habitat management systems</w:t>
      </w:r>
      <w:r w:rsidR="00AD5D5E">
        <w:rPr>
          <w:sz w:val="22"/>
          <w:szCs w:val="22"/>
        </w:rPr>
        <w:t>;</w:t>
      </w:r>
      <w:r w:rsidRPr="00A96470">
        <w:rPr>
          <w:sz w:val="22"/>
          <w:szCs w:val="22"/>
        </w:rPr>
        <w:t xml:space="preserve"> and </w:t>
      </w:r>
      <w:r w:rsidR="00AD5D5E">
        <w:rPr>
          <w:sz w:val="22"/>
          <w:szCs w:val="22"/>
        </w:rPr>
        <w:t>to</w:t>
      </w:r>
      <w:r w:rsidRPr="00A96470">
        <w:rPr>
          <w:sz w:val="22"/>
          <w:szCs w:val="22"/>
        </w:rPr>
        <w:t xml:space="preserve"> document models of sustainable use to guide the initiative</w:t>
      </w:r>
      <w:r w:rsidR="00AD5D5E">
        <w:rPr>
          <w:sz w:val="22"/>
          <w:szCs w:val="22"/>
        </w:rPr>
        <w:t>’</w:t>
      </w:r>
      <w:r w:rsidRPr="00A96470">
        <w:rPr>
          <w:sz w:val="22"/>
          <w:szCs w:val="22"/>
        </w:rPr>
        <w:t>s replication and scaling-up strategy. Specific targets for Outcome 2.5 are outlined in Table</w:t>
      </w:r>
      <w:r>
        <w:rPr>
          <w:sz w:val="22"/>
          <w:szCs w:val="22"/>
        </w:rPr>
        <w:t xml:space="preserve"> 35.</w:t>
      </w:r>
    </w:p>
    <w:p w14:paraId="1A17E846" w14:textId="77777777" w:rsidR="00A96470" w:rsidRDefault="00A96470" w:rsidP="00A96470">
      <w:pPr>
        <w:spacing w:after="120"/>
        <w:jc w:val="both"/>
        <w:rPr>
          <w:sz w:val="22"/>
          <w:szCs w:val="22"/>
          <w:lang w:val="en-GB"/>
        </w:rPr>
      </w:pPr>
      <w:r w:rsidRPr="00A96470">
        <w:rPr>
          <w:b/>
          <w:sz w:val="22"/>
          <w:szCs w:val="22"/>
          <w:lang w:val="en-GB"/>
        </w:rPr>
        <w:t>Table 35</w:t>
      </w:r>
      <w:r>
        <w:rPr>
          <w:sz w:val="22"/>
          <w:szCs w:val="22"/>
          <w:lang w:val="en-GB"/>
        </w:rPr>
        <w:tab/>
        <w:t>Baselines, targets and project indicators for Outcome 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19"/>
        <w:gridCol w:w="3020"/>
      </w:tblGrid>
      <w:tr w:rsidR="00A96470" w:rsidRPr="005A668F" w14:paraId="326290E8" w14:textId="77777777" w:rsidTr="004B053A">
        <w:tc>
          <w:tcPr>
            <w:tcW w:w="3081" w:type="dxa"/>
            <w:shd w:val="clear" w:color="auto" w:fill="auto"/>
            <w:vAlign w:val="center"/>
          </w:tcPr>
          <w:p w14:paraId="22368DE3" w14:textId="77777777" w:rsidR="00A96470" w:rsidRPr="004B053A" w:rsidRDefault="00A96470" w:rsidP="004B053A">
            <w:pPr>
              <w:jc w:val="center"/>
              <w:rPr>
                <w:b/>
                <w:sz w:val="20"/>
                <w:szCs w:val="20"/>
              </w:rPr>
            </w:pPr>
            <w:r w:rsidRPr="004B053A">
              <w:rPr>
                <w:b/>
                <w:sz w:val="20"/>
                <w:szCs w:val="20"/>
              </w:rPr>
              <w:t>Baselines</w:t>
            </w:r>
          </w:p>
        </w:tc>
        <w:tc>
          <w:tcPr>
            <w:tcW w:w="3082" w:type="dxa"/>
            <w:shd w:val="clear" w:color="auto" w:fill="auto"/>
            <w:vAlign w:val="center"/>
          </w:tcPr>
          <w:p w14:paraId="21EE09BE" w14:textId="77777777" w:rsidR="00A96470" w:rsidRPr="004B053A" w:rsidRDefault="00A96470" w:rsidP="004B053A">
            <w:pPr>
              <w:jc w:val="center"/>
              <w:rPr>
                <w:b/>
                <w:sz w:val="20"/>
                <w:szCs w:val="20"/>
              </w:rPr>
            </w:pPr>
            <w:r w:rsidRPr="004B053A">
              <w:rPr>
                <w:b/>
                <w:sz w:val="20"/>
                <w:szCs w:val="20"/>
              </w:rPr>
              <w:t>Targets</w:t>
            </w:r>
          </w:p>
        </w:tc>
        <w:tc>
          <w:tcPr>
            <w:tcW w:w="3082" w:type="dxa"/>
            <w:shd w:val="clear" w:color="auto" w:fill="auto"/>
            <w:vAlign w:val="center"/>
          </w:tcPr>
          <w:p w14:paraId="43F8946A" w14:textId="77777777" w:rsidR="00A96470" w:rsidRPr="004B053A" w:rsidRDefault="00A96470" w:rsidP="004B053A">
            <w:pPr>
              <w:jc w:val="center"/>
              <w:rPr>
                <w:b/>
                <w:sz w:val="20"/>
                <w:szCs w:val="20"/>
              </w:rPr>
            </w:pPr>
            <w:r w:rsidRPr="004B053A">
              <w:rPr>
                <w:b/>
                <w:sz w:val="20"/>
                <w:szCs w:val="20"/>
              </w:rPr>
              <w:t>Indicators</w:t>
            </w:r>
          </w:p>
        </w:tc>
      </w:tr>
      <w:tr w:rsidR="00A96470" w:rsidRPr="005A668F" w14:paraId="2CDCD2E8" w14:textId="77777777" w:rsidTr="004B053A">
        <w:trPr>
          <w:trHeight w:val="20"/>
        </w:trPr>
        <w:tc>
          <w:tcPr>
            <w:tcW w:w="3081" w:type="dxa"/>
            <w:shd w:val="clear" w:color="auto" w:fill="auto"/>
            <w:vAlign w:val="center"/>
          </w:tcPr>
          <w:p w14:paraId="0A5DEB6D" w14:textId="77777777" w:rsidR="00A96470" w:rsidRPr="004B053A" w:rsidRDefault="00A96470" w:rsidP="00E030C3">
            <w:pPr>
              <w:rPr>
                <w:sz w:val="20"/>
                <w:szCs w:val="20"/>
              </w:rPr>
            </w:pPr>
            <w:r w:rsidRPr="004B053A">
              <w:rPr>
                <w:sz w:val="20"/>
                <w:szCs w:val="20"/>
              </w:rPr>
              <w:t>Sustainable management indicator matrices developed for dominant coastal habitats but not yet applied and tested in framework of SAP implementation</w:t>
            </w:r>
          </w:p>
        </w:tc>
        <w:tc>
          <w:tcPr>
            <w:tcW w:w="3082" w:type="dxa"/>
            <w:shd w:val="clear" w:color="auto" w:fill="auto"/>
            <w:vAlign w:val="center"/>
          </w:tcPr>
          <w:p w14:paraId="501D7197" w14:textId="77777777" w:rsidR="00A96470" w:rsidRPr="004B053A" w:rsidRDefault="00A96470" w:rsidP="00E030C3">
            <w:pPr>
              <w:rPr>
                <w:sz w:val="20"/>
                <w:szCs w:val="20"/>
              </w:rPr>
            </w:pPr>
            <w:r w:rsidRPr="004B053A">
              <w:rPr>
                <w:sz w:val="20"/>
                <w:szCs w:val="20"/>
              </w:rPr>
              <w:t>2.5.1 Regionally applicable standards and criteria for defining the sustainability of coastal habitat management systems, including documented models of sustainable use</w:t>
            </w:r>
          </w:p>
        </w:tc>
        <w:tc>
          <w:tcPr>
            <w:tcW w:w="3082" w:type="dxa"/>
            <w:shd w:val="clear" w:color="auto" w:fill="auto"/>
            <w:vAlign w:val="center"/>
          </w:tcPr>
          <w:p w14:paraId="149B8227" w14:textId="77777777" w:rsidR="00A96470" w:rsidRPr="004B053A" w:rsidRDefault="00A96470" w:rsidP="00E030C3">
            <w:pPr>
              <w:rPr>
                <w:sz w:val="20"/>
                <w:szCs w:val="20"/>
              </w:rPr>
            </w:pPr>
            <w:r w:rsidRPr="004B053A">
              <w:rPr>
                <w:sz w:val="20"/>
                <w:szCs w:val="20"/>
              </w:rPr>
              <w:t>Status of initiative to develop and apply standards and criteria</w:t>
            </w:r>
            <w:r w:rsidR="00AD5D5E">
              <w:rPr>
                <w:sz w:val="20"/>
                <w:szCs w:val="20"/>
              </w:rPr>
              <w:t>, including the TWAP methodology,</w:t>
            </w:r>
            <w:r w:rsidRPr="004B053A">
              <w:rPr>
                <w:sz w:val="20"/>
                <w:szCs w:val="20"/>
              </w:rPr>
              <w:t xml:space="preserve"> for determining the sustainability of coastal management systems</w:t>
            </w:r>
          </w:p>
        </w:tc>
      </w:tr>
      <w:tr w:rsidR="00A96470" w:rsidRPr="005A668F" w14:paraId="286BF5CB" w14:textId="77777777" w:rsidTr="004B053A">
        <w:trPr>
          <w:trHeight w:val="20"/>
        </w:trPr>
        <w:tc>
          <w:tcPr>
            <w:tcW w:w="3081" w:type="dxa"/>
            <w:shd w:val="clear" w:color="auto" w:fill="auto"/>
            <w:vAlign w:val="center"/>
          </w:tcPr>
          <w:p w14:paraId="2E93E5B9" w14:textId="77777777" w:rsidR="00A96470" w:rsidRPr="004B053A" w:rsidRDefault="0078751C" w:rsidP="00E030C3">
            <w:pPr>
              <w:rPr>
                <w:sz w:val="20"/>
                <w:szCs w:val="20"/>
              </w:rPr>
            </w:pPr>
            <w:r w:rsidRPr="004B053A">
              <w:rPr>
                <w:sz w:val="20"/>
                <w:szCs w:val="20"/>
              </w:rPr>
              <w:t>Lessons learned and best practices in coastal habitat management from 23 demonstration sites documented and published in peer reviewed article</w:t>
            </w:r>
          </w:p>
        </w:tc>
        <w:tc>
          <w:tcPr>
            <w:tcW w:w="3082" w:type="dxa"/>
            <w:shd w:val="clear" w:color="auto" w:fill="auto"/>
            <w:vAlign w:val="center"/>
          </w:tcPr>
          <w:p w14:paraId="7AE0C312" w14:textId="77777777" w:rsidR="00A96470" w:rsidRPr="004B053A" w:rsidRDefault="00A96470" w:rsidP="00E030C3">
            <w:pPr>
              <w:rPr>
                <w:sz w:val="20"/>
                <w:szCs w:val="20"/>
              </w:rPr>
            </w:pPr>
            <w:r w:rsidRPr="004B053A">
              <w:rPr>
                <w:sz w:val="20"/>
                <w:szCs w:val="20"/>
              </w:rPr>
              <w:t>2.5.2 Online catalogue of best practice management measures and technologies for sustainable use of SCS coastal habitats and land-based pollution management</w:t>
            </w:r>
          </w:p>
        </w:tc>
        <w:tc>
          <w:tcPr>
            <w:tcW w:w="3082" w:type="dxa"/>
            <w:shd w:val="clear" w:color="auto" w:fill="auto"/>
            <w:vAlign w:val="center"/>
          </w:tcPr>
          <w:p w14:paraId="1BA873B7" w14:textId="77777777" w:rsidR="00A96470" w:rsidRPr="004B053A" w:rsidRDefault="00A96470" w:rsidP="00E030C3">
            <w:pPr>
              <w:rPr>
                <w:sz w:val="20"/>
                <w:szCs w:val="20"/>
              </w:rPr>
            </w:pPr>
            <w:r w:rsidRPr="004B053A">
              <w:rPr>
                <w:sz w:val="20"/>
                <w:szCs w:val="20"/>
              </w:rPr>
              <w:t>Number of best practice management measures and technologies documented, codified, and accessible via online catalogue</w:t>
            </w:r>
          </w:p>
        </w:tc>
      </w:tr>
      <w:tr w:rsidR="00A96470" w:rsidRPr="005A668F" w14:paraId="355944C1" w14:textId="77777777" w:rsidTr="004B053A">
        <w:trPr>
          <w:trHeight w:val="20"/>
        </w:trPr>
        <w:tc>
          <w:tcPr>
            <w:tcW w:w="3081" w:type="dxa"/>
            <w:shd w:val="clear" w:color="auto" w:fill="auto"/>
            <w:vAlign w:val="center"/>
          </w:tcPr>
          <w:p w14:paraId="50C13D12" w14:textId="77777777" w:rsidR="0078751C" w:rsidRPr="004B053A" w:rsidRDefault="0078751C" w:rsidP="004B053A">
            <w:pPr>
              <w:spacing w:after="120"/>
              <w:rPr>
                <w:sz w:val="20"/>
                <w:szCs w:val="20"/>
              </w:rPr>
            </w:pPr>
            <w:r w:rsidRPr="004B053A">
              <w:rPr>
                <w:sz w:val="20"/>
                <w:szCs w:val="20"/>
              </w:rPr>
              <w:t>Limited engagement of community-based governance mechanisms in national policy and planning</w:t>
            </w:r>
          </w:p>
          <w:p w14:paraId="2050AA97" w14:textId="77777777" w:rsidR="00A96470" w:rsidRPr="004B053A" w:rsidRDefault="0078751C" w:rsidP="0078751C">
            <w:pPr>
              <w:rPr>
                <w:sz w:val="20"/>
                <w:szCs w:val="20"/>
              </w:rPr>
            </w:pPr>
            <w:r w:rsidRPr="004B053A">
              <w:rPr>
                <w:sz w:val="20"/>
                <w:szCs w:val="20"/>
              </w:rPr>
              <w:t>Low level mobilization of civil society, community organisation and the private sector in environmental investment planning</w:t>
            </w:r>
          </w:p>
        </w:tc>
        <w:tc>
          <w:tcPr>
            <w:tcW w:w="3082" w:type="dxa"/>
            <w:shd w:val="clear" w:color="auto" w:fill="auto"/>
            <w:vAlign w:val="center"/>
          </w:tcPr>
          <w:p w14:paraId="51AD2E88" w14:textId="77777777" w:rsidR="00A96470" w:rsidRPr="004B053A" w:rsidRDefault="0078751C" w:rsidP="00E030C3">
            <w:pPr>
              <w:rPr>
                <w:sz w:val="20"/>
                <w:szCs w:val="20"/>
              </w:rPr>
            </w:pPr>
            <w:r w:rsidRPr="004B053A">
              <w:rPr>
                <w:sz w:val="20"/>
                <w:szCs w:val="20"/>
              </w:rPr>
              <w:t>2.5.3 Government officials, community leaders, and habitat and pollution managers exposed to on-going practices in rehabilitation, management , and pollution control and treatment via programme of study tours and exchange</w:t>
            </w:r>
          </w:p>
        </w:tc>
        <w:tc>
          <w:tcPr>
            <w:tcW w:w="3082" w:type="dxa"/>
            <w:shd w:val="clear" w:color="auto" w:fill="auto"/>
            <w:vAlign w:val="center"/>
          </w:tcPr>
          <w:p w14:paraId="7BDF02C6" w14:textId="77777777" w:rsidR="0078751C" w:rsidRPr="004B053A" w:rsidRDefault="0078751C" w:rsidP="004B053A">
            <w:pPr>
              <w:spacing w:after="120"/>
              <w:rPr>
                <w:sz w:val="20"/>
                <w:szCs w:val="20"/>
              </w:rPr>
            </w:pPr>
            <w:r w:rsidRPr="004B053A">
              <w:rPr>
                <w:sz w:val="20"/>
                <w:szCs w:val="20"/>
              </w:rPr>
              <w:t>Extent and continuity of local leader and local government participation in study tour and exchange initiatives</w:t>
            </w:r>
          </w:p>
          <w:p w14:paraId="357A714C" w14:textId="77777777" w:rsidR="00A96470" w:rsidRPr="004B053A" w:rsidRDefault="0078751C" w:rsidP="0078751C">
            <w:pPr>
              <w:rPr>
                <w:sz w:val="20"/>
                <w:szCs w:val="20"/>
              </w:rPr>
            </w:pPr>
            <w:r w:rsidRPr="004B053A">
              <w:rPr>
                <w:sz w:val="20"/>
                <w:szCs w:val="20"/>
              </w:rPr>
              <w:t>Level of improved local relevance of national policy and planning efforts for reducing environmental degradation in the SCS</w:t>
            </w:r>
          </w:p>
        </w:tc>
      </w:tr>
      <w:tr w:rsidR="00A96470" w:rsidRPr="005A668F" w14:paraId="22807895" w14:textId="77777777" w:rsidTr="004B053A">
        <w:trPr>
          <w:trHeight w:val="20"/>
        </w:trPr>
        <w:tc>
          <w:tcPr>
            <w:tcW w:w="3081" w:type="dxa"/>
            <w:shd w:val="clear" w:color="auto" w:fill="auto"/>
            <w:vAlign w:val="center"/>
          </w:tcPr>
          <w:p w14:paraId="3CAF7947" w14:textId="77777777" w:rsidR="00A96470" w:rsidRPr="004B053A" w:rsidRDefault="0078751C" w:rsidP="00E030C3">
            <w:pPr>
              <w:rPr>
                <w:sz w:val="20"/>
                <w:szCs w:val="20"/>
              </w:rPr>
            </w:pPr>
            <w:r w:rsidRPr="004B053A">
              <w:rPr>
                <w:sz w:val="20"/>
                <w:szCs w:val="20"/>
              </w:rPr>
              <w:t>Public awareness materials developed via TDA/SAP project compiled and accessible via SCS website</w:t>
            </w:r>
          </w:p>
        </w:tc>
        <w:tc>
          <w:tcPr>
            <w:tcW w:w="3082" w:type="dxa"/>
            <w:shd w:val="clear" w:color="auto" w:fill="auto"/>
            <w:vAlign w:val="center"/>
          </w:tcPr>
          <w:p w14:paraId="32CC787A" w14:textId="77777777" w:rsidR="00A96470" w:rsidRPr="004B053A" w:rsidRDefault="0078751C" w:rsidP="00E030C3">
            <w:pPr>
              <w:rPr>
                <w:sz w:val="20"/>
                <w:szCs w:val="20"/>
              </w:rPr>
            </w:pPr>
            <w:r w:rsidRPr="004B053A">
              <w:rPr>
                <w:sz w:val="20"/>
                <w:szCs w:val="20"/>
              </w:rPr>
              <w:t>2.5.4 Expanded South China Sea online public awareness centre, including awareness packages for local adoption</w:t>
            </w:r>
          </w:p>
        </w:tc>
        <w:tc>
          <w:tcPr>
            <w:tcW w:w="3082" w:type="dxa"/>
            <w:shd w:val="clear" w:color="auto" w:fill="auto"/>
            <w:vAlign w:val="center"/>
          </w:tcPr>
          <w:p w14:paraId="6936B86F" w14:textId="77777777" w:rsidR="0078751C" w:rsidRPr="004B053A" w:rsidRDefault="0078751C" w:rsidP="004B053A">
            <w:pPr>
              <w:spacing w:after="120"/>
              <w:rPr>
                <w:sz w:val="20"/>
                <w:szCs w:val="20"/>
              </w:rPr>
            </w:pPr>
            <w:r w:rsidRPr="004B053A">
              <w:rPr>
                <w:sz w:val="20"/>
                <w:szCs w:val="20"/>
              </w:rPr>
              <w:t>Number of public awareness products accessible online</w:t>
            </w:r>
          </w:p>
          <w:p w14:paraId="734E6B8A" w14:textId="77777777" w:rsidR="00A96470" w:rsidRPr="004B053A" w:rsidRDefault="0078751C" w:rsidP="0078751C">
            <w:pPr>
              <w:rPr>
                <w:sz w:val="20"/>
                <w:szCs w:val="20"/>
              </w:rPr>
            </w:pPr>
            <w:r w:rsidRPr="004B053A">
              <w:rPr>
                <w:sz w:val="20"/>
                <w:szCs w:val="20"/>
              </w:rPr>
              <w:t>Extent of local uptake and use of awareness products</w:t>
            </w:r>
          </w:p>
        </w:tc>
      </w:tr>
    </w:tbl>
    <w:p w14:paraId="359EB1E3" w14:textId="77777777" w:rsidR="0078751C" w:rsidRPr="0078751C" w:rsidRDefault="0078751C" w:rsidP="0078751C">
      <w:pPr>
        <w:spacing w:before="120" w:after="120"/>
        <w:ind w:left="1440" w:hanging="1440"/>
        <w:jc w:val="both"/>
        <w:rPr>
          <w:b/>
          <w:sz w:val="22"/>
          <w:szCs w:val="22"/>
          <w:lang w:val="en-GB"/>
        </w:rPr>
      </w:pPr>
      <w:r w:rsidRPr="0078751C">
        <w:rPr>
          <w:b/>
          <w:sz w:val="22"/>
          <w:szCs w:val="22"/>
          <w:lang w:val="en-GB"/>
        </w:rPr>
        <w:t xml:space="preserve">Outcome 2.6 </w:t>
      </w:r>
      <w:r w:rsidRPr="0078751C">
        <w:rPr>
          <w:b/>
          <w:sz w:val="22"/>
          <w:szCs w:val="22"/>
          <w:lang w:val="en-GB"/>
        </w:rPr>
        <w:tab/>
        <w:t>Updated and Ministerially adopted Transboundary Diagnostic Analysis and Strategic Action Programme, including prioritization of national management actions to address climate variability and change</w:t>
      </w:r>
    </w:p>
    <w:p w14:paraId="241B2F6D" w14:textId="77777777" w:rsidR="00A96470" w:rsidRDefault="0080082C" w:rsidP="0080082C">
      <w:pPr>
        <w:numPr>
          <w:ilvl w:val="0"/>
          <w:numId w:val="3"/>
        </w:numPr>
        <w:spacing w:after="120"/>
        <w:ind w:left="0" w:firstLine="0"/>
        <w:jc w:val="both"/>
        <w:rPr>
          <w:sz w:val="22"/>
          <w:szCs w:val="22"/>
          <w:lang w:val="en-GB"/>
        </w:rPr>
      </w:pPr>
      <w:r w:rsidRPr="0080082C">
        <w:rPr>
          <w:sz w:val="22"/>
          <w:szCs w:val="22"/>
          <w:lang w:val="en-GB"/>
        </w:rPr>
        <w:t>Activities to undertake a more contemporary Transboundary Diagnostic Analysis for the SCS basin, and linked actions to prepare an updated Strategic Action Programme for the SCS, will draw on information generated via the abovementioned activities and the recently published (December, 2013) special issue of the peer-reviewed journal ‘Ocean and Coastal Management’ on the outcomes of the SCS project. The latter contains updated information and data related to the status and trends in coastal habitats, land-based pollution management, and links to related initiatives in the integration of fisheries and habitat management. Key activities will include: facilitation of consultative processes to reach national and regional level consensus on contemporary issues and problems in the SCS, including the quantification of environmental compromises and the prioritization of problems; preparation of guidelines and mobilization of technical support to assist with the characterization of the immediate and ultimate root causes of the problems identified and to reach consensus on priorities for intervention, including the assessment of the comparative net benefit of options based on revised economic valuation information; and efforts to prepare an updated SAP which will including a prioritization of national management actions to address climate variability and change for subsequent incorporation into national marine</w:t>
      </w:r>
      <w:r>
        <w:rPr>
          <w:sz w:val="22"/>
          <w:szCs w:val="22"/>
          <w:lang w:val="en-GB"/>
        </w:rPr>
        <w:t xml:space="preserve"> and coastal policies and plans.</w:t>
      </w:r>
    </w:p>
    <w:p w14:paraId="41F739E5" w14:textId="77777777" w:rsidR="0080082C" w:rsidRDefault="005639AE" w:rsidP="005639AE">
      <w:pPr>
        <w:numPr>
          <w:ilvl w:val="0"/>
          <w:numId w:val="3"/>
        </w:numPr>
        <w:spacing w:after="120"/>
        <w:ind w:left="0" w:firstLine="0"/>
        <w:jc w:val="both"/>
        <w:rPr>
          <w:sz w:val="22"/>
          <w:szCs w:val="22"/>
          <w:lang w:val="en-GB"/>
        </w:rPr>
      </w:pPr>
      <w:r w:rsidRPr="005639AE">
        <w:rPr>
          <w:sz w:val="22"/>
          <w:szCs w:val="22"/>
          <w:lang w:val="en-GB"/>
        </w:rPr>
        <w:t>The purpose of a TDA is to assess the relative importance of all environmental disturbances and threats in the water body concerned, identify their causes and specify potential preventative and remedial actions. A TDA thus provides the basis for the formulation of a Strategic Action Program (SAP) embodying specific actions, or interventions that can be adopted nationally, usually within a harmonized multinational context, to restore, or protect from further degradation, a specific international waters area. An implicit intention in the preparation of a TDA in the GEF context is to identify the priority issues that have their origins or consequences beyond the boundaries of the individual state jurisdictions. Although such analyses can be conducted by, and within, single countries, the need to identify transboundary effects and causes makes it desirable that the analyses be conducted on a multilateral basis involving all riparian states bordering an international water body.</w:t>
      </w:r>
    </w:p>
    <w:p w14:paraId="4474E31A" w14:textId="77777777" w:rsidR="005639AE" w:rsidRDefault="005639AE" w:rsidP="005639AE">
      <w:pPr>
        <w:numPr>
          <w:ilvl w:val="0"/>
          <w:numId w:val="3"/>
        </w:numPr>
        <w:spacing w:after="120"/>
        <w:ind w:left="0" w:firstLine="0"/>
        <w:jc w:val="both"/>
        <w:rPr>
          <w:sz w:val="22"/>
          <w:szCs w:val="22"/>
        </w:rPr>
      </w:pPr>
      <w:r w:rsidRPr="004F73E3">
        <w:rPr>
          <w:sz w:val="22"/>
          <w:szCs w:val="22"/>
        </w:rPr>
        <w:t>In simple terms, a TDA is a scienti</w:t>
      </w:r>
      <w:r>
        <w:rPr>
          <w:sz w:val="22"/>
          <w:szCs w:val="22"/>
        </w:rPr>
        <w:t xml:space="preserve">fic and technical assessment of </w:t>
      </w:r>
      <w:r w:rsidRPr="004F73E3">
        <w:rPr>
          <w:sz w:val="22"/>
          <w:szCs w:val="22"/>
        </w:rPr>
        <w:t>the environmental issues and proble</w:t>
      </w:r>
      <w:r>
        <w:rPr>
          <w:sz w:val="22"/>
          <w:szCs w:val="22"/>
        </w:rPr>
        <w:t xml:space="preserve">ms associated with a particular </w:t>
      </w:r>
      <w:r w:rsidRPr="004F73E3">
        <w:rPr>
          <w:sz w:val="22"/>
          <w:szCs w:val="22"/>
        </w:rPr>
        <w:t>shared water body. The TDA identifies a</w:t>
      </w:r>
      <w:r>
        <w:rPr>
          <w:sz w:val="22"/>
          <w:szCs w:val="22"/>
        </w:rPr>
        <w:t xml:space="preserve">nd quantifies the environmental </w:t>
      </w:r>
      <w:r w:rsidRPr="004F73E3">
        <w:rPr>
          <w:sz w:val="22"/>
          <w:szCs w:val="22"/>
        </w:rPr>
        <w:t>issues and problems i</w:t>
      </w:r>
      <w:r>
        <w:rPr>
          <w:sz w:val="22"/>
          <w:szCs w:val="22"/>
        </w:rPr>
        <w:t xml:space="preserve">n the area and identifies their </w:t>
      </w:r>
      <w:r w:rsidRPr="004F73E3">
        <w:rPr>
          <w:sz w:val="22"/>
          <w:szCs w:val="22"/>
        </w:rPr>
        <w:t>immediate, intermediate and fu</w:t>
      </w:r>
      <w:r>
        <w:rPr>
          <w:sz w:val="22"/>
          <w:szCs w:val="22"/>
        </w:rPr>
        <w:t xml:space="preserve">ndamental causes (the latter </w:t>
      </w:r>
      <w:r w:rsidRPr="004F73E3">
        <w:rPr>
          <w:sz w:val="22"/>
          <w:szCs w:val="22"/>
        </w:rPr>
        <w:t>sometimes referred to in GEF docum</w:t>
      </w:r>
      <w:r>
        <w:rPr>
          <w:sz w:val="22"/>
          <w:szCs w:val="22"/>
        </w:rPr>
        <w:t xml:space="preserve">ents as “root causes”). Such an </w:t>
      </w:r>
      <w:r w:rsidRPr="004F73E3">
        <w:rPr>
          <w:sz w:val="22"/>
          <w:szCs w:val="22"/>
        </w:rPr>
        <w:t>analysis involves an identificati</w:t>
      </w:r>
      <w:r>
        <w:rPr>
          <w:sz w:val="22"/>
          <w:szCs w:val="22"/>
        </w:rPr>
        <w:t xml:space="preserve">on of the causes and impacts of </w:t>
      </w:r>
      <w:r w:rsidRPr="004F73E3">
        <w:rPr>
          <w:sz w:val="22"/>
          <w:szCs w:val="22"/>
        </w:rPr>
        <w:t>environmental disturbances and/or</w:t>
      </w:r>
      <w:r>
        <w:rPr>
          <w:sz w:val="22"/>
          <w:szCs w:val="22"/>
        </w:rPr>
        <w:t xml:space="preserve"> threats and assesses the scale </w:t>
      </w:r>
      <w:r w:rsidRPr="004F73E3">
        <w:rPr>
          <w:sz w:val="22"/>
          <w:szCs w:val="22"/>
        </w:rPr>
        <w:t>and distribution of those impacts a</w:t>
      </w:r>
      <w:r>
        <w:rPr>
          <w:sz w:val="22"/>
          <w:szCs w:val="22"/>
        </w:rPr>
        <w:t xml:space="preserve">t national, regional and global </w:t>
      </w:r>
      <w:r w:rsidRPr="004F73E3">
        <w:rPr>
          <w:sz w:val="22"/>
          <w:szCs w:val="22"/>
        </w:rPr>
        <w:t>scales. Impacts are predominan</w:t>
      </w:r>
      <w:r>
        <w:rPr>
          <w:sz w:val="22"/>
          <w:szCs w:val="22"/>
        </w:rPr>
        <w:t xml:space="preserve">tly evaluated in socio-economic </w:t>
      </w:r>
      <w:r w:rsidRPr="004F73E3">
        <w:rPr>
          <w:sz w:val="22"/>
          <w:szCs w:val="22"/>
        </w:rPr>
        <w:t xml:space="preserve">terms. The identification of causes </w:t>
      </w:r>
      <w:r>
        <w:rPr>
          <w:sz w:val="22"/>
          <w:szCs w:val="22"/>
        </w:rPr>
        <w:t xml:space="preserve">results in the specification of </w:t>
      </w:r>
      <w:r w:rsidRPr="004F73E3">
        <w:rPr>
          <w:sz w:val="22"/>
          <w:szCs w:val="22"/>
        </w:rPr>
        <w:t>practices, sources, locations and sectors of human activity</w:t>
      </w:r>
      <w:r>
        <w:rPr>
          <w:sz w:val="22"/>
          <w:szCs w:val="22"/>
        </w:rPr>
        <w:t xml:space="preserve"> from </w:t>
      </w:r>
      <w:r w:rsidRPr="004F73E3">
        <w:rPr>
          <w:sz w:val="22"/>
          <w:szCs w:val="22"/>
        </w:rPr>
        <w:t>which environmental degradati</w:t>
      </w:r>
      <w:r>
        <w:rPr>
          <w:sz w:val="22"/>
          <w:szCs w:val="22"/>
        </w:rPr>
        <w:t xml:space="preserve">on arises or is threatened. </w:t>
      </w:r>
    </w:p>
    <w:p w14:paraId="53393F46" w14:textId="77777777" w:rsidR="00E030C3" w:rsidRDefault="00E030C3" w:rsidP="00E030C3">
      <w:pPr>
        <w:numPr>
          <w:ilvl w:val="0"/>
          <w:numId w:val="3"/>
        </w:numPr>
        <w:spacing w:after="120"/>
        <w:ind w:left="0" w:firstLine="0"/>
        <w:jc w:val="both"/>
        <w:rPr>
          <w:sz w:val="22"/>
          <w:szCs w:val="22"/>
        </w:rPr>
      </w:pPr>
      <w:r>
        <w:rPr>
          <w:sz w:val="22"/>
          <w:szCs w:val="22"/>
        </w:rPr>
        <w:t>The revised TDA will yield the following: a</w:t>
      </w:r>
      <w:r w:rsidRPr="004F73E3">
        <w:rPr>
          <w:sz w:val="22"/>
          <w:szCs w:val="22"/>
        </w:rPr>
        <w:t xml:space="preserve"> comprehensive listing of en</w:t>
      </w:r>
      <w:r>
        <w:rPr>
          <w:sz w:val="22"/>
          <w:szCs w:val="22"/>
        </w:rPr>
        <w:t>vironmental issues and threats; a</w:t>
      </w:r>
      <w:r w:rsidRPr="004F73E3">
        <w:rPr>
          <w:sz w:val="22"/>
          <w:szCs w:val="22"/>
        </w:rPr>
        <w:t xml:space="preserve"> quantification of the scope and scale of each issue and th</w:t>
      </w:r>
      <w:r>
        <w:rPr>
          <w:sz w:val="22"/>
          <w:szCs w:val="22"/>
        </w:rPr>
        <w:t>reat; p</w:t>
      </w:r>
      <w:r w:rsidRPr="004F73E3">
        <w:rPr>
          <w:sz w:val="22"/>
          <w:szCs w:val="22"/>
        </w:rPr>
        <w:t xml:space="preserve">rioritization of the issues </w:t>
      </w:r>
      <w:r>
        <w:rPr>
          <w:sz w:val="22"/>
          <w:szCs w:val="22"/>
        </w:rPr>
        <w:t xml:space="preserve">and threats in an international </w:t>
      </w:r>
      <w:r w:rsidRPr="004F73E3">
        <w:rPr>
          <w:sz w:val="22"/>
          <w:szCs w:val="22"/>
        </w:rPr>
        <w:t xml:space="preserve">waters area, based </w:t>
      </w:r>
      <w:r>
        <w:rPr>
          <w:sz w:val="22"/>
          <w:szCs w:val="22"/>
        </w:rPr>
        <w:t>on their relative significance; i</w:t>
      </w:r>
      <w:r w:rsidRPr="004F73E3">
        <w:rPr>
          <w:sz w:val="22"/>
          <w:szCs w:val="22"/>
        </w:rPr>
        <w:t>dentification of the causes an</w:t>
      </w:r>
      <w:r>
        <w:rPr>
          <w:sz w:val="22"/>
          <w:szCs w:val="22"/>
        </w:rPr>
        <w:t xml:space="preserve">d the jurisdictional origins of </w:t>
      </w:r>
      <w:r w:rsidRPr="004F73E3">
        <w:rPr>
          <w:sz w:val="22"/>
          <w:szCs w:val="22"/>
        </w:rPr>
        <w:t xml:space="preserve">those causes for each issue and </w:t>
      </w:r>
      <w:r>
        <w:rPr>
          <w:sz w:val="22"/>
          <w:szCs w:val="22"/>
        </w:rPr>
        <w:t xml:space="preserve">threat (i.e., identification of which </w:t>
      </w:r>
      <w:r w:rsidRPr="004F73E3">
        <w:rPr>
          <w:sz w:val="22"/>
          <w:szCs w:val="22"/>
        </w:rPr>
        <w:t>issues and threats ar</w:t>
      </w:r>
      <w:r>
        <w:rPr>
          <w:sz w:val="22"/>
          <w:szCs w:val="22"/>
        </w:rPr>
        <w:t>e purely national and which are transboundary); and i</w:t>
      </w:r>
      <w:r w:rsidRPr="004F73E3">
        <w:rPr>
          <w:sz w:val="22"/>
          <w:szCs w:val="22"/>
        </w:rPr>
        <w:t>dentification and evaluati</w:t>
      </w:r>
      <w:r>
        <w:rPr>
          <w:sz w:val="22"/>
          <w:szCs w:val="22"/>
        </w:rPr>
        <w:t xml:space="preserve">on of options for intervention, </w:t>
      </w:r>
      <w:r w:rsidRPr="004F73E3">
        <w:rPr>
          <w:sz w:val="22"/>
          <w:szCs w:val="22"/>
        </w:rPr>
        <w:t>primarily to address the caus</w:t>
      </w:r>
      <w:r>
        <w:rPr>
          <w:sz w:val="22"/>
          <w:szCs w:val="22"/>
        </w:rPr>
        <w:t xml:space="preserve">es of environmental degradation </w:t>
      </w:r>
      <w:r w:rsidRPr="004F73E3">
        <w:rPr>
          <w:sz w:val="22"/>
          <w:szCs w:val="22"/>
        </w:rPr>
        <w:t>and threats.</w:t>
      </w:r>
      <w:r>
        <w:rPr>
          <w:sz w:val="22"/>
          <w:szCs w:val="22"/>
        </w:rPr>
        <w:t xml:space="preserve"> This will be expanded upon through evaluation of potential </w:t>
      </w:r>
      <w:r w:rsidRPr="004F73E3">
        <w:rPr>
          <w:sz w:val="22"/>
          <w:szCs w:val="22"/>
        </w:rPr>
        <w:t>interventions (i.e., the options for intervention)</w:t>
      </w:r>
      <w:r>
        <w:rPr>
          <w:sz w:val="22"/>
          <w:szCs w:val="22"/>
        </w:rPr>
        <w:t xml:space="preserve"> within a benefit-cost framework drawing on the economic valuation information compiled as part the work of this component of the project. This will form the basis for formulation of the revised SAP which will integrate outcomes of the review of the potential impacts of sea level rise, climate change, and episodic events on coastal habitats of the South China Sea. Specific targets for Outcome 2.6 are outlined in Table 36.</w:t>
      </w:r>
    </w:p>
    <w:p w14:paraId="563D50AC" w14:textId="77777777" w:rsidR="00E030C3" w:rsidRDefault="00E030C3" w:rsidP="00E030C3">
      <w:pPr>
        <w:spacing w:after="120"/>
        <w:jc w:val="both"/>
        <w:rPr>
          <w:sz w:val="22"/>
          <w:szCs w:val="22"/>
        </w:rPr>
      </w:pPr>
      <w:r w:rsidRPr="00E030C3">
        <w:rPr>
          <w:b/>
          <w:sz w:val="22"/>
          <w:szCs w:val="22"/>
        </w:rPr>
        <w:t>Table 36</w:t>
      </w:r>
      <w:r w:rsidRPr="00E030C3">
        <w:rPr>
          <w:sz w:val="22"/>
          <w:szCs w:val="22"/>
        </w:rPr>
        <w:tab/>
        <w:t>Baselines, targets and project indicators for Outcome 2.</w:t>
      </w:r>
      <w:r>
        <w:rPr>
          <w:sz w:val="22"/>
          <w:szCs w:val="22"/>
        </w:rPr>
        <w:t>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2"/>
        <w:gridCol w:w="3020"/>
        <w:gridCol w:w="3020"/>
      </w:tblGrid>
      <w:tr w:rsidR="00E030C3" w:rsidRPr="005A668F" w14:paraId="4BBE2F5C" w14:textId="77777777" w:rsidTr="004B053A">
        <w:tc>
          <w:tcPr>
            <w:tcW w:w="3081" w:type="dxa"/>
            <w:shd w:val="clear" w:color="auto" w:fill="auto"/>
            <w:vAlign w:val="center"/>
          </w:tcPr>
          <w:p w14:paraId="094CB413" w14:textId="77777777" w:rsidR="00E030C3" w:rsidRPr="004B053A" w:rsidRDefault="00E030C3" w:rsidP="004B053A">
            <w:pPr>
              <w:jc w:val="center"/>
              <w:rPr>
                <w:b/>
                <w:sz w:val="20"/>
                <w:szCs w:val="20"/>
              </w:rPr>
            </w:pPr>
            <w:r w:rsidRPr="004B053A">
              <w:rPr>
                <w:b/>
                <w:sz w:val="20"/>
                <w:szCs w:val="20"/>
              </w:rPr>
              <w:t>Baselines</w:t>
            </w:r>
          </w:p>
        </w:tc>
        <w:tc>
          <w:tcPr>
            <w:tcW w:w="3082" w:type="dxa"/>
            <w:shd w:val="clear" w:color="auto" w:fill="auto"/>
            <w:vAlign w:val="center"/>
          </w:tcPr>
          <w:p w14:paraId="5EA4EB5B" w14:textId="77777777" w:rsidR="00E030C3" w:rsidRPr="004B053A" w:rsidRDefault="00E030C3" w:rsidP="004B053A">
            <w:pPr>
              <w:jc w:val="center"/>
              <w:rPr>
                <w:b/>
                <w:sz w:val="20"/>
                <w:szCs w:val="20"/>
              </w:rPr>
            </w:pPr>
            <w:r w:rsidRPr="004B053A">
              <w:rPr>
                <w:b/>
                <w:sz w:val="20"/>
                <w:szCs w:val="20"/>
              </w:rPr>
              <w:t>Targets</w:t>
            </w:r>
          </w:p>
        </w:tc>
        <w:tc>
          <w:tcPr>
            <w:tcW w:w="3082" w:type="dxa"/>
            <w:shd w:val="clear" w:color="auto" w:fill="auto"/>
            <w:vAlign w:val="center"/>
          </w:tcPr>
          <w:p w14:paraId="77E5F392" w14:textId="77777777" w:rsidR="00E030C3" w:rsidRPr="004B053A" w:rsidRDefault="00E030C3" w:rsidP="004B053A">
            <w:pPr>
              <w:jc w:val="center"/>
              <w:rPr>
                <w:b/>
                <w:sz w:val="20"/>
                <w:szCs w:val="20"/>
              </w:rPr>
            </w:pPr>
            <w:r w:rsidRPr="004B053A">
              <w:rPr>
                <w:b/>
                <w:sz w:val="20"/>
                <w:szCs w:val="20"/>
              </w:rPr>
              <w:t>Indicators</w:t>
            </w:r>
          </w:p>
        </w:tc>
      </w:tr>
      <w:tr w:rsidR="00E030C3" w:rsidRPr="005A668F" w14:paraId="254D4141" w14:textId="77777777" w:rsidTr="004B053A">
        <w:trPr>
          <w:trHeight w:val="20"/>
        </w:trPr>
        <w:tc>
          <w:tcPr>
            <w:tcW w:w="3081" w:type="dxa"/>
            <w:shd w:val="clear" w:color="auto" w:fill="auto"/>
            <w:vAlign w:val="center"/>
          </w:tcPr>
          <w:p w14:paraId="5A2BB80F" w14:textId="77777777" w:rsidR="00E030C3" w:rsidRPr="004B053A" w:rsidRDefault="00E030C3" w:rsidP="004B053A">
            <w:pPr>
              <w:spacing w:after="120"/>
              <w:rPr>
                <w:sz w:val="20"/>
                <w:szCs w:val="20"/>
              </w:rPr>
            </w:pPr>
            <w:r w:rsidRPr="004B053A">
              <w:rPr>
                <w:sz w:val="20"/>
                <w:szCs w:val="20"/>
              </w:rPr>
              <w:t>TDA for SCS published in 2000</w:t>
            </w:r>
          </w:p>
          <w:p w14:paraId="5A40F6E8" w14:textId="77777777" w:rsidR="00E030C3" w:rsidRPr="004B053A" w:rsidRDefault="00E030C3" w:rsidP="00E030C3">
            <w:pPr>
              <w:rPr>
                <w:sz w:val="20"/>
                <w:szCs w:val="20"/>
              </w:rPr>
            </w:pPr>
            <w:r w:rsidRPr="004B053A">
              <w:rPr>
                <w:sz w:val="20"/>
                <w:szCs w:val="20"/>
              </w:rPr>
              <w:t>Special Issue of Ocean and Coastal Management on South China Sea published in 2013</w:t>
            </w:r>
          </w:p>
        </w:tc>
        <w:tc>
          <w:tcPr>
            <w:tcW w:w="3082" w:type="dxa"/>
            <w:shd w:val="clear" w:color="auto" w:fill="auto"/>
            <w:vAlign w:val="center"/>
          </w:tcPr>
          <w:p w14:paraId="094D0BDC" w14:textId="77777777" w:rsidR="00E030C3" w:rsidRPr="004B053A" w:rsidRDefault="00E030C3" w:rsidP="00E030C3">
            <w:pPr>
              <w:rPr>
                <w:sz w:val="20"/>
                <w:szCs w:val="20"/>
              </w:rPr>
            </w:pPr>
            <w:r w:rsidRPr="004B053A">
              <w:rPr>
                <w:sz w:val="20"/>
                <w:szCs w:val="20"/>
              </w:rPr>
              <w:t>2.6.1 National and regional level consensus on contemporary issues and problems, including the quantification of environmental compromises and the prioritization of problems (Yr 2)</w:t>
            </w:r>
          </w:p>
        </w:tc>
        <w:tc>
          <w:tcPr>
            <w:tcW w:w="3082" w:type="dxa"/>
            <w:shd w:val="clear" w:color="auto" w:fill="auto"/>
            <w:vAlign w:val="center"/>
          </w:tcPr>
          <w:p w14:paraId="6BCCA7C6" w14:textId="77777777" w:rsidR="00E030C3" w:rsidRPr="004B053A" w:rsidRDefault="00E030C3" w:rsidP="00E030C3">
            <w:pPr>
              <w:rPr>
                <w:sz w:val="20"/>
                <w:szCs w:val="20"/>
              </w:rPr>
            </w:pPr>
            <w:r w:rsidRPr="004B053A">
              <w:rPr>
                <w:sz w:val="20"/>
                <w:szCs w:val="20"/>
              </w:rPr>
              <w:t>Status of national and regional level consensus on contemporary issues of transboundary significance with respect to coastal habitat and land-based pollution management</w:t>
            </w:r>
          </w:p>
        </w:tc>
      </w:tr>
      <w:tr w:rsidR="00E030C3" w:rsidRPr="005A668F" w14:paraId="6891405E" w14:textId="77777777" w:rsidTr="004B053A">
        <w:trPr>
          <w:trHeight w:val="20"/>
        </w:trPr>
        <w:tc>
          <w:tcPr>
            <w:tcW w:w="3081" w:type="dxa"/>
            <w:shd w:val="clear" w:color="auto" w:fill="auto"/>
            <w:vAlign w:val="center"/>
          </w:tcPr>
          <w:p w14:paraId="1FCD2ADD" w14:textId="77777777" w:rsidR="00E030C3" w:rsidRPr="004B053A" w:rsidRDefault="00E030C3" w:rsidP="004B053A">
            <w:pPr>
              <w:spacing w:after="120"/>
              <w:rPr>
                <w:sz w:val="20"/>
                <w:szCs w:val="20"/>
              </w:rPr>
            </w:pPr>
            <w:r w:rsidRPr="004B053A">
              <w:rPr>
                <w:sz w:val="20"/>
                <w:szCs w:val="20"/>
              </w:rPr>
              <w:t>Strategic Action Programme endorsed in 2008 outlines priorities for management</w:t>
            </w:r>
          </w:p>
          <w:p w14:paraId="1CF2285E" w14:textId="77777777" w:rsidR="00E030C3" w:rsidRPr="004B053A" w:rsidRDefault="00E030C3" w:rsidP="00E030C3">
            <w:pPr>
              <w:rPr>
                <w:sz w:val="20"/>
                <w:szCs w:val="20"/>
              </w:rPr>
            </w:pPr>
            <w:r w:rsidRPr="004B053A">
              <w:rPr>
                <w:sz w:val="20"/>
                <w:szCs w:val="20"/>
              </w:rPr>
              <w:t>Established methodology for cost of action versus non-action in the context of SCS SAP implementation</w:t>
            </w:r>
          </w:p>
        </w:tc>
        <w:tc>
          <w:tcPr>
            <w:tcW w:w="3082" w:type="dxa"/>
            <w:shd w:val="clear" w:color="auto" w:fill="auto"/>
            <w:vAlign w:val="center"/>
          </w:tcPr>
          <w:p w14:paraId="11036DF3" w14:textId="77777777" w:rsidR="00E030C3" w:rsidRPr="004B053A" w:rsidRDefault="00E030C3" w:rsidP="00E030C3">
            <w:pPr>
              <w:rPr>
                <w:sz w:val="20"/>
                <w:szCs w:val="20"/>
              </w:rPr>
            </w:pPr>
            <w:r w:rsidRPr="004B053A">
              <w:rPr>
                <w:sz w:val="20"/>
                <w:szCs w:val="20"/>
              </w:rPr>
              <w:t>2.6.2 The immediate and ultimate root causes of the problems identified and consensus reached on priorities for intervention, including comparative analysis of the net benefits of alternative options (Yr 3)</w:t>
            </w:r>
          </w:p>
        </w:tc>
        <w:tc>
          <w:tcPr>
            <w:tcW w:w="3082" w:type="dxa"/>
            <w:shd w:val="clear" w:color="auto" w:fill="auto"/>
            <w:vAlign w:val="center"/>
          </w:tcPr>
          <w:p w14:paraId="4B9DC7E9" w14:textId="77777777" w:rsidR="00E030C3" w:rsidRPr="004B053A" w:rsidRDefault="00E030C3" w:rsidP="004B053A">
            <w:pPr>
              <w:spacing w:after="120"/>
              <w:rPr>
                <w:sz w:val="20"/>
                <w:szCs w:val="20"/>
              </w:rPr>
            </w:pPr>
            <w:r w:rsidRPr="004B053A">
              <w:rPr>
                <w:sz w:val="20"/>
                <w:szCs w:val="20"/>
              </w:rPr>
              <w:t>Status of national and regional level consensus reached on priority actions for intervention</w:t>
            </w:r>
          </w:p>
          <w:p w14:paraId="7F0B1E2A" w14:textId="77777777" w:rsidR="00E030C3" w:rsidRPr="004B053A" w:rsidRDefault="00E030C3" w:rsidP="00E030C3">
            <w:pPr>
              <w:rPr>
                <w:sz w:val="20"/>
                <w:szCs w:val="20"/>
              </w:rPr>
            </w:pPr>
            <w:r w:rsidRPr="004B053A">
              <w:rPr>
                <w:sz w:val="20"/>
                <w:szCs w:val="20"/>
              </w:rPr>
              <w:t>Status of cost benefit analysis of comparative net benefits of alternative options for management</w:t>
            </w:r>
          </w:p>
        </w:tc>
      </w:tr>
      <w:tr w:rsidR="00E030C3" w:rsidRPr="005A668F" w14:paraId="112434DF" w14:textId="77777777" w:rsidTr="004B053A">
        <w:trPr>
          <w:trHeight w:val="20"/>
        </w:trPr>
        <w:tc>
          <w:tcPr>
            <w:tcW w:w="3081" w:type="dxa"/>
            <w:shd w:val="clear" w:color="auto" w:fill="auto"/>
            <w:vAlign w:val="center"/>
          </w:tcPr>
          <w:p w14:paraId="275F53F4" w14:textId="77777777" w:rsidR="00E030C3" w:rsidRPr="004B053A" w:rsidRDefault="00E030C3" w:rsidP="00E030C3">
            <w:pPr>
              <w:rPr>
                <w:sz w:val="20"/>
                <w:szCs w:val="20"/>
              </w:rPr>
            </w:pPr>
            <w:r w:rsidRPr="004B053A">
              <w:rPr>
                <w:sz w:val="20"/>
                <w:szCs w:val="20"/>
              </w:rPr>
              <w:t>Strategic Action Programme for the South China Sea endorsed inter-governmentally in 2008</w:t>
            </w:r>
          </w:p>
        </w:tc>
        <w:tc>
          <w:tcPr>
            <w:tcW w:w="3082" w:type="dxa"/>
            <w:shd w:val="clear" w:color="auto" w:fill="auto"/>
            <w:vAlign w:val="center"/>
          </w:tcPr>
          <w:p w14:paraId="0F249082" w14:textId="77777777" w:rsidR="00E030C3" w:rsidRPr="004B053A" w:rsidRDefault="00E030C3" w:rsidP="003873C4">
            <w:pPr>
              <w:rPr>
                <w:sz w:val="20"/>
                <w:szCs w:val="20"/>
              </w:rPr>
            </w:pPr>
            <w:r w:rsidRPr="004B053A">
              <w:rPr>
                <w:sz w:val="20"/>
                <w:szCs w:val="20"/>
              </w:rPr>
              <w:t xml:space="preserve">2.6.3 National and regional consultative process to develop updated Strategic Action Programme SAP for adoption </w:t>
            </w:r>
            <w:r w:rsidR="003873C4">
              <w:rPr>
                <w:sz w:val="20"/>
                <w:szCs w:val="20"/>
              </w:rPr>
              <w:t>by appropriate Ministers</w:t>
            </w:r>
            <w:r w:rsidRPr="004B053A">
              <w:rPr>
                <w:sz w:val="20"/>
                <w:szCs w:val="20"/>
              </w:rPr>
              <w:t xml:space="preserve"> (Yr 5)</w:t>
            </w:r>
          </w:p>
        </w:tc>
        <w:tc>
          <w:tcPr>
            <w:tcW w:w="3082" w:type="dxa"/>
            <w:shd w:val="clear" w:color="auto" w:fill="auto"/>
            <w:vAlign w:val="center"/>
          </w:tcPr>
          <w:p w14:paraId="08C88F0A" w14:textId="77777777" w:rsidR="00E030C3" w:rsidRPr="004B053A" w:rsidRDefault="00E030C3" w:rsidP="003873C4">
            <w:pPr>
              <w:rPr>
                <w:sz w:val="20"/>
                <w:szCs w:val="20"/>
              </w:rPr>
            </w:pPr>
            <w:r w:rsidRPr="004B053A">
              <w:rPr>
                <w:sz w:val="20"/>
                <w:szCs w:val="20"/>
              </w:rPr>
              <w:t xml:space="preserve">Status of </w:t>
            </w:r>
            <w:r w:rsidR="003873C4">
              <w:rPr>
                <w:sz w:val="20"/>
                <w:szCs w:val="20"/>
              </w:rPr>
              <w:t>=</w:t>
            </w:r>
            <w:r w:rsidRPr="004B053A">
              <w:rPr>
                <w:sz w:val="20"/>
                <w:szCs w:val="20"/>
              </w:rPr>
              <w:t xml:space="preserve">adoption </w:t>
            </w:r>
            <w:r w:rsidR="003873C4">
              <w:rPr>
                <w:sz w:val="20"/>
                <w:szCs w:val="20"/>
              </w:rPr>
              <w:t xml:space="preserve">by appropriate Ministers </w:t>
            </w:r>
            <w:r w:rsidRPr="004B053A">
              <w:rPr>
                <w:sz w:val="20"/>
                <w:szCs w:val="20"/>
              </w:rPr>
              <w:t>of an updated Strategic Action Programme for the South China Sea</w:t>
            </w:r>
          </w:p>
        </w:tc>
      </w:tr>
      <w:tr w:rsidR="00E030C3" w:rsidRPr="005A668F" w14:paraId="35726B40" w14:textId="77777777" w:rsidTr="004B053A">
        <w:trPr>
          <w:trHeight w:val="20"/>
        </w:trPr>
        <w:tc>
          <w:tcPr>
            <w:tcW w:w="3081" w:type="dxa"/>
            <w:shd w:val="clear" w:color="auto" w:fill="auto"/>
            <w:vAlign w:val="center"/>
          </w:tcPr>
          <w:p w14:paraId="350D185E" w14:textId="77777777" w:rsidR="00E030C3" w:rsidRPr="004B053A" w:rsidRDefault="001537CC" w:rsidP="00E030C3">
            <w:pPr>
              <w:rPr>
                <w:sz w:val="20"/>
                <w:szCs w:val="20"/>
              </w:rPr>
            </w:pPr>
            <w:r w:rsidRPr="004B053A">
              <w:rPr>
                <w:sz w:val="20"/>
                <w:szCs w:val="20"/>
              </w:rPr>
              <w:t>Evolving understanding of sea level rise, climate change, and episodic events in East Asia but not applied in context of transboundary planning in the South China Sea</w:t>
            </w:r>
          </w:p>
        </w:tc>
        <w:tc>
          <w:tcPr>
            <w:tcW w:w="3082" w:type="dxa"/>
            <w:shd w:val="clear" w:color="auto" w:fill="auto"/>
            <w:vAlign w:val="center"/>
          </w:tcPr>
          <w:p w14:paraId="526CA151" w14:textId="77777777" w:rsidR="00E030C3" w:rsidRPr="004B053A" w:rsidRDefault="00E030C3" w:rsidP="00E030C3">
            <w:pPr>
              <w:rPr>
                <w:sz w:val="20"/>
                <w:szCs w:val="20"/>
              </w:rPr>
            </w:pPr>
            <w:r w:rsidRPr="004B053A">
              <w:rPr>
                <w:sz w:val="20"/>
                <w:szCs w:val="20"/>
              </w:rPr>
              <w:t>2.6.4 Prioritization of national management actions to address climate variability and change for incorporation into national policies and plans</w:t>
            </w:r>
          </w:p>
        </w:tc>
        <w:tc>
          <w:tcPr>
            <w:tcW w:w="3082" w:type="dxa"/>
            <w:shd w:val="clear" w:color="auto" w:fill="auto"/>
            <w:vAlign w:val="center"/>
          </w:tcPr>
          <w:p w14:paraId="2C759218" w14:textId="77777777" w:rsidR="00E030C3" w:rsidRPr="004B053A" w:rsidRDefault="001537CC" w:rsidP="001537CC">
            <w:pPr>
              <w:rPr>
                <w:sz w:val="20"/>
                <w:szCs w:val="20"/>
              </w:rPr>
            </w:pPr>
            <w:r w:rsidRPr="004B053A">
              <w:rPr>
                <w:sz w:val="20"/>
                <w:szCs w:val="20"/>
              </w:rPr>
              <w:t xml:space="preserve">Level up demonstrable use of the regional review on sea level rise, climate change, and episodic events in SAP formulation </w:t>
            </w:r>
          </w:p>
        </w:tc>
      </w:tr>
    </w:tbl>
    <w:p w14:paraId="01894980" w14:textId="77777777" w:rsidR="00E030C3" w:rsidRPr="001537CC" w:rsidRDefault="001537CC" w:rsidP="001537CC">
      <w:pPr>
        <w:spacing w:before="120" w:after="120"/>
        <w:ind w:left="1440" w:hanging="1440"/>
        <w:jc w:val="both"/>
        <w:rPr>
          <w:b/>
          <w:sz w:val="22"/>
          <w:szCs w:val="22"/>
        </w:rPr>
      </w:pPr>
      <w:r w:rsidRPr="001537CC">
        <w:rPr>
          <w:b/>
          <w:sz w:val="22"/>
          <w:szCs w:val="22"/>
        </w:rPr>
        <w:t>Component 3</w:t>
      </w:r>
      <w:r w:rsidRPr="001537CC">
        <w:rPr>
          <w:b/>
          <w:sz w:val="22"/>
          <w:szCs w:val="22"/>
        </w:rPr>
        <w:tab/>
        <w:t>Facilitating regional and national level integration and cooperation for implementation of the South China Sea Strategic Action Programme</w:t>
      </w:r>
    </w:p>
    <w:p w14:paraId="0AD55F69" w14:textId="77777777" w:rsidR="001537CC" w:rsidRDefault="001537CC" w:rsidP="001537CC">
      <w:pPr>
        <w:numPr>
          <w:ilvl w:val="0"/>
          <w:numId w:val="3"/>
        </w:numPr>
        <w:spacing w:before="120" w:after="120"/>
        <w:ind w:left="0" w:firstLine="0"/>
        <w:jc w:val="both"/>
        <w:rPr>
          <w:sz w:val="22"/>
          <w:szCs w:val="22"/>
        </w:rPr>
      </w:pPr>
      <w:r>
        <w:rPr>
          <w:sz w:val="22"/>
          <w:szCs w:val="22"/>
        </w:rPr>
        <w:t xml:space="preserve">This component will result in: </w:t>
      </w:r>
      <w:r>
        <w:rPr>
          <w:sz w:val="22"/>
          <w:szCs w:val="22"/>
          <w:lang w:val="en-GB"/>
        </w:rPr>
        <w:t>r</w:t>
      </w:r>
      <w:r w:rsidRPr="001537CC">
        <w:rPr>
          <w:sz w:val="22"/>
          <w:szCs w:val="22"/>
          <w:lang w:val="en-GB"/>
        </w:rPr>
        <w:t>egional and sub-regional co-operation in the integration of scientific knowledge and research outputs with management and policy making</w:t>
      </w:r>
      <w:r>
        <w:rPr>
          <w:sz w:val="22"/>
          <w:szCs w:val="22"/>
          <w:lang w:val="en-GB"/>
        </w:rPr>
        <w:t>; c</w:t>
      </w:r>
      <w:r w:rsidRPr="001537CC">
        <w:rPr>
          <w:sz w:val="22"/>
          <w:szCs w:val="22"/>
          <w:lang w:val="en-GB"/>
        </w:rPr>
        <w:t>apacity for civil society and community organization participation in SAP implementation strengthened via operational partnership with GEF SGP</w:t>
      </w:r>
      <w:r>
        <w:rPr>
          <w:sz w:val="22"/>
          <w:szCs w:val="22"/>
          <w:lang w:val="en-GB"/>
        </w:rPr>
        <w:t>; r</w:t>
      </w:r>
      <w:r w:rsidRPr="001537CC">
        <w:rPr>
          <w:sz w:val="22"/>
          <w:szCs w:val="22"/>
          <w:lang w:val="en-GB"/>
        </w:rPr>
        <w:t>elationships between central and local governments and the private sector strengthened and formalized</w:t>
      </w:r>
      <w:r>
        <w:rPr>
          <w:sz w:val="22"/>
          <w:szCs w:val="22"/>
          <w:lang w:val="en-GB"/>
        </w:rPr>
        <w:t>; r</w:t>
      </w:r>
      <w:r w:rsidRPr="001537CC">
        <w:rPr>
          <w:sz w:val="22"/>
          <w:szCs w:val="22"/>
          <w:lang w:val="en-GB"/>
        </w:rPr>
        <w:t>evitalization of regional mechanisms for communications, knowledge exchange, and information and data management and sharing</w:t>
      </w:r>
      <w:r w:rsidR="000A6E01">
        <w:rPr>
          <w:sz w:val="22"/>
          <w:szCs w:val="22"/>
          <w:lang w:val="en-GB"/>
        </w:rPr>
        <w:t>; and</w:t>
      </w:r>
      <w:r w:rsidRPr="001537CC">
        <w:rPr>
          <w:sz w:val="22"/>
          <w:szCs w:val="22"/>
          <w:lang w:val="en-GB"/>
        </w:rPr>
        <w:t xml:space="preserve"> </w:t>
      </w:r>
      <w:r w:rsidR="000A6E01">
        <w:rPr>
          <w:sz w:val="22"/>
          <w:szCs w:val="22"/>
          <w:lang w:val="en-GB"/>
        </w:rPr>
        <w:t>a</w:t>
      </w:r>
      <w:r w:rsidRPr="001537CC">
        <w:rPr>
          <w:sz w:val="22"/>
          <w:szCs w:val="22"/>
          <w:lang w:val="en-GB"/>
        </w:rPr>
        <w:t>greed arrangements for strengthened regional cooperation in the management of the marine and coastal environment of the South China Sea</w:t>
      </w:r>
      <w:r w:rsidR="003E7B4D">
        <w:rPr>
          <w:sz w:val="22"/>
          <w:szCs w:val="22"/>
          <w:lang w:val="en-GB"/>
        </w:rPr>
        <w:t xml:space="preserve">. </w:t>
      </w:r>
      <w:r w:rsidR="003E7B4D" w:rsidRPr="003E7B4D">
        <w:rPr>
          <w:sz w:val="22"/>
          <w:szCs w:val="22"/>
          <w:lang w:val="en-GB"/>
        </w:rPr>
        <w:t xml:space="preserve">Each of the outcomes to be delivered via Component </w:t>
      </w:r>
      <w:r w:rsidR="003E7B4D">
        <w:rPr>
          <w:sz w:val="22"/>
          <w:szCs w:val="22"/>
          <w:lang w:val="en-GB"/>
        </w:rPr>
        <w:t>3</w:t>
      </w:r>
      <w:r w:rsidR="003E7B4D" w:rsidRPr="003E7B4D">
        <w:rPr>
          <w:sz w:val="22"/>
          <w:szCs w:val="22"/>
          <w:lang w:val="en-GB"/>
        </w:rPr>
        <w:t xml:space="preserve"> of the project are outlined below</w:t>
      </w:r>
      <w:r w:rsidR="003E7B4D">
        <w:rPr>
          <w:sz w:val="22"/>
          <w:szCs w:val="22"/>
          <w:lang w:val="en-GB"/>
        </w:rPr>
        <w:t>.</w:t>
      </w:r>
    </w:p>
    <w:p w14:paraId="36BA038E" w14:textId="77777777" w:rsidR="005639AE" w:rsidRPr="003E7B4D" w:rsidRDefault="003E7B4D" w:rsidP="003E7B4D">
      <w:pPr>
        <w:spacing w:after="120"/>
        <w:ind w:left="1440" w:hanging="1440"/>
        <w:jc w:val="both"/>
        <w:rPr>
          <w:b/>
          <w:sz w:val="22"/>
          <w:szCs w:val="22"/>
          <w:lang w:val="en-GB"/>
        </w:rPr>
      </w:pPr>
      <w:r w:rsidRPr="003E7B4D">
        <w:rPr>
          <w:b/>
          <w:sz w:val="22"/>
          <w:szCs w:val="22"/>
          <w:lang w:val="en-GB"/>
        </w:rPr>
        <w:t xml:space="preserve">Outcomes 3.1 </w:t>
      </w:r>
      <w:r w:rsidRPr="003E7B4D">
        <w:rPr>
          <w:b/>
          <w:sz w:val="22"/>
          <w:szCs w:val="22"/>
          <w:lang w:val="en-GB"/>
        </w:rPr>
        <w:tab/>
        <w:t>Regional and sub-regional co-operation in the integration of scientific knowledge and research outputs with management and policy making</w:t>
      </w:r>
    </w:p>
    <w:p w14:paraId="19273DB6" w14:textId="77777777" w:rsidR="003E7B4D" w:rsidRDefault="003E7B4D" w:rsidP="003E7B4D">
      <w:pPr>
        <w:numPr>
          <w:ilvl w:val="0"/>
          <w:numId w:val="3"/>
        </w:numPr>
        <w:spacing w:after="120"/>
        <w:ind w:left="0" w:firstLine="0"/>
        <w:jc w:val="both"/>
        <w:rPr>
          <w:sz w:val="22"/>
          <w:szCs w:val="22"/>
          <w:lang w:val="en-GB"/>
        </w:rPr>
      </w:pPr>
      <w:r w:rsidRPr="003E7B4D">
        <w:rPr>
          <w:sz w:val="22"/>
          <w:szCs w:val="22"/>
          <w:lang w:val="en-GB"/>
        </w:rPr>
        <w:t>The SAP includes a number of agreed mechanisms for effective cooperation. These mechanisms include the operation of a high level scientific and technical body that serves as a forum for reconciling both sectorial and national interests and priorities, and to foster the incorporation of sound science into decision-making. Outcome 3.1 “Regional and sub-regional co-operation in the integration of scientific knowledge and research outputs with management and policy making” will meet this agreed need via operation of a Regional Scientific and Technical Committee that will act as a source of independent scientific and technical advice to policy-makers. To support the uptake of regionally accumulated scientific knowledge in policy-making and planning, the project will facilitate exchanges between government and the scientific community via biennial Regional Scientific Conferences. This will be complemented via the development and operation of a network of local government officials and operational level managers, including annual Mayors’ Round-table meetings, to share experiences and best practices in the application of science in the management of coastal habitats and land-based pollution.</w:t>
      </w:r>
    </w:p>
    <w:p w14:paraId="1177261E" w14:textId="77777777" w:rsidR="00951EBD" w:rsidRDefault="003E7B4D" w:rsidP="003E7B4D">
      <w:pPr>
        <w:numPr>
          <w:ilvl w:val="0"/>
          <w:numId w:val="3"/>
        </w:numPr>
        <w:spacing w:after="120"/>
        <w:ind w:left="0" w:firstLine="0"/>
        <w:jc w:val="both"/>
        <w:rPr>
          <w:sz w:val="22"/>
          <w:szCs w:val="22"/>
          <w:lang w:val="en-GB"/>
        </w:rPr>
      </w:pPr>
      <w:r w:rsidRPr="003E7B4D">
        <w:rPr>
          <w:sz w:val="22"/>
          <w:szCs w:val="22"/>
          <w:lang w:val="en-GB"/>
        </w:rPr>
        <w:t>A further expected outcome of this component is sub-regional cooperation in the integration of scientific knowledge and research outputs in two priority transboundary areas. The latter builds on a key innovation of the SCS project involving the generation of bilateral cooperation between Cambodia and Viet Nam which led to the signing of a Memorandum of Understanding between the Provincial Governors of Kampot (Cambodia) and Kien Giang (Viet Nam) (which was subsequently formalized by the central governments of these countries) for the joint management of the environment and coastal resources of their shared transboundary water area. Activities under this component will strengthen this formal transboundary cooperation and facilitate its replication in an additional two transboundary areas</w:t>
      </w:r>
      <w:r>
        <w:rPr>
          <w:sz w:val="22"/>
          <w:szCs w:val="22"/>
          <w:lang w:val="en-GB"/>
        </w:rPr>
        <w:t>.</w:t>
      </w:r>
      <w:r w:rsidR="007F4C4C">
        <w:rPr>
          <w:sz w:val="22"/>
          <w:szCs w:val="22"/>
          <w:lang w:val="en-GB"/>
        </w:rPr>
        <w:t xml:space="preserve"> </w:t>
      </w:r>
    </w:p>
    <w:p w14:paraId="22FE0CD0" w14:textId="77777777" w:rsidR="003E7B4D" w:rsidRDefault="00951EBD" w:rsidP="003E7B4D">
      <w:pPr>
        <w:numPr>
          <w:ilvl w:val="0"/>
          <w:numId w:val="3"/>
        </w:numPr>
        <w:spacing w:after="120"/>
        <w:ind w:left="0" w:firstLine="0"/>
        <w:jc w:val="both"/>
        <w:rPr>
          <w:sz w:val="22"/>
          <w:szCs w:val="22"/>
          <w:lang w:val="en-GB"/>
        </w:rPr>
      </w:pPr>
      <w:r>
        <w:rPr>
          <w:sz w:val="22"/>
          <w:szCs w:val="22"/>
          <w:lang w:val="en-GB"/>
        </w:rPr>
        <w:t xml:space="preserve">Importantly this component will establish mechanisms for the capture and exchange of </w:t>
      </w:r>
      <w:r w:rsidRPr="00951EBD">
        <w:rPr>
          <w:sz w:val="22"/>
          <w:szCs w:val="22"/>
          <w:lang w:val="en-GB"/>
        </w:rPr>
        <w:t>b</w:t>
      </w:r>
      <w:r w:rsidRPr="00951EBD">
        <w:rPr>
          <w:sz w:val="22"/>
          <w:szCs w:val="22"/>
        </w:rPr>
        <w:t>est practices and lessons learned from the related UNEP/GEF fisheries</w:t>
      </w:r>
      <w:r w:rsidRPr="00951EBD">
        <w:rPr>
          <w:i/>
          <w:sz w:val="22"/>
          <w:szCs w:val="22"/>
        </w:rPr>
        <w:t xml:space="preserve"> refugia</w:t>
      </w:r>
      <w:r w:rsidRPr="00951EBD">
        <w:rPr>
          <w:sz w:val="22"/>
          <w:szCs w:val="22"/>
        </w:rPr>
        <w:t xml:space="preserve"> management project</w:t>
      </w:r>
      <w:r>
        <w:rPr>
          <w:sz w:val="22"/>
          <w:szCs w:val="22"/>
        </w:rPr>
        <w:t>. Activities will also be implemented to ensure that these best practices and lessons learned</w:t>
      </w:r>
      <w:r w:rsidRPr="00951EBD">
        <w:rPr>
          <w:sz w:val="22"/>
          <w:szCs w:val="22"/>
        </w:rPr>
        <w:t xml:space="preserve"> be used to inform the update of the Strategic Action Programme for the South China Sea and the National Action Plans for coastal habitats and land-based pollution management to be undertaken as part of this </w:t>
      </w:r>
      <w:r>
        <w:rPr>
          <w:sz w:val="22"/>
          <w:szCs w:val="22"/>
        </w:rPr>
        <w:t>SAP implementation project</w:t>
      </w:r>
      <w:r w:rsidRPr="00951EBD">
        <w:rPr>
          <w:sz w:val="22"/>
          <w:szCs w:val="22"/>
        </w:rPr>
        <w:t>.</w:t>
      </w:r>
      <w:r>
        <w:rPr>
          <w:sz w:val="22"/>
          <w:szCs w:val="22"/>
        </w:rPr>
        <w:t xml:space="preserve"> As part of best practice and lessons learned exchange, this component will also establish</w:t>
      </w:r>
      <w:r>
        <w:rPr>
          <w:sz w:val="22"/>
          <w:szCs w:val="22"/>
          <w:lang w:val="en-GB"/>
        </w:rPr>
        <w:t xml:space="preserve"> an o</w:t>
      </w:r>
      <w:r w:rsidRPr="00951EBD">
        <w:rPr>
          <w:sz w:val="22"/>
          <w:szCs w:val="22"/>
          <w:lang w:val="en-GB"/>
        </w:rPr>
        <w:t>perational award program on best practices in coastal habitat and land-based pollution management for communities,</w:t>
      </w:r>
      <w:r>
        <w:rPr>
          <w:sz w:val="22"/>
          <w:szCs w:val="22"/>
          <w:lang w:val="en-GB"/>
        </w:rPr>
        <w:t xml:space="preserve"> local governments and industry. </w:t>
      </w:r>
      <w:r w:rsidR="007F4C4C">
        <w:rPr>
          <w:sz w:val="22"/>
          <w:szCs w:val="22"/>
          <w:lang w:val="en-GB"/>
        </w:rPr>
        <w:t>Specific targets for Outcome 3.1 are presented in Table 37.</w:t>
      </w:r>
    </w:p>
    <w:p w14:paraId="073E5F15" w14:textId="77777777" w:rsidR="007F4C4C" w:rsidRDefault="007F4C4C" w:rsidP="007F4C4C">
      <w:pPr>
        <w:spacing w:after="120"/>
        <w:jc w:val="both"/>
        <w:rPr>
          <w:sz w:val="22"/>
          <w:szCs w:val="22"/>
          <w:lang w:val="en-GB"/>
        </w:rPr>
      </w:pPr>
      <w:r w:rsidRPr="007F4C4C">
        <w:rPr>
          <w:b/>
          <w:sz w:val="22"/>
          <w:szCs w:val="22"/>
          <w:lang w:val="en-GB"/>
        </w:rPr>
        <w:t>Table 37</w:t>
      </w:r>
      <w:r w:rsidRPr="007F4C4C">
        <w:rPr>
          <w:sz w:val="22"/>
          <w:szCs w:val="22"/>
          <w:lang w:val="en-GB"/>
        </w:rPr>
        <w:tab/>
        <w:t xml:space="preserve">Baselines, targets and </w:t>
      </w:r>
      <w:r>
        <w:rPr>
          <w:sz w:val="22"/>
          <w:szCs w:val="22"/>
          <w:lang w:val="en-GB"/>
        </w:rPr>
        <w:t>project indicators for Outcome 3</w:t>
      </w:r>
      <w:r w:rsidR="00500CC0">
        <w:rPr>
          <w:sz w:val="22"/>
          <w:szCs w:val="22"/>
          <w:lang w:val="en-GB"/>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3017"/>
        <w:gridCol w:w="3024"/>
      </w:tblGrid>
      <w:tr w:rsidR="007F4C4C" w:rsidRPr="005A668F" w14:paraId="5E5DF017" w14:textId="77777777" w:rsidTr="004B053A">
        <w:tc>
          <w:tcPr>
            <w:tcW w:w="3081" w:type="dxa"/>
            <w:shd w:val="clear" w:color="auto" w:fill="auto"/>
            <w:vAlign w:val="center"/>
          </w:tcPr>
          <w:p w14:paraId="7ED26218" w14:textId="77777777" w:rsidR="007F4C4C" w:rsidRPr="004B053A" w:rsidRDefault="007F4C4C" w:rsidP="004B053A">
            <w:pPr>
              <w:jc w:val="center"/>
              <w:rPr>
                <w:b/>
                <w:sz w:val="20"/>
                <w:szCs w:val="20"/>
              </w:rPr>
            </w:pPr>
            <w:r w:rsidRPr="004B053A">
              <w:rPr>
                <w:b/>
                <w:sz w:val="20"/>
                <w:szCs w:val="20"/>
              </w:rPr>
              <w:t>Baselines</w:t>
            </w:r>
          </w:p>
        </w:tc>
        <w:tc>
          <w:tcPr>
            <w:tcW w:w="3082" w:type="dxa"/>
            <w:shd w:val="clear" w:color="auto" w:fill="auto"/>
            <w:vAlign w:val="center"/>
          </w:tcPr>
          <w:p w14:paraId="680A3F22" w14:textId="77777777" w:rsidR="007F4C4C" w:rsidRPr="004B053A" w:rsidRDefault="007F4C4C" w:rsidP="004B053A">
            <w:pPr>
              <w:jc w:val="center"/>
              <w:rPr>
                <w:b/>
                <w:sz w:val="20"/>
                <w:szCs w:val="20"/>
              </w:rPr>
            </w:pPr>
            <w:r w:rsidRPr="004B053A">
              <w:rPr>
                <w:b/>
                <w:sz w:val="20"/>
                <w:szCs w:val="20"/>
              </w:rPr>
              <w:t>Targets</w:t>
            </w:r>
          </w:p>
        </w:tc>
        <w:tc>
          <w:tcPr>
            <w:tcW w:w="3082" w:type="dxa"/>
            <w:shd w:val="clear" w:color="auto" w:fill="auto"/>
            <w:vAlign w:val="center"/>
          </w:tcPr>
          <w:p w14:paraId="6C24E479" w14:textId="77777777" w:rsidR="007F4C4C" w:rsidRPr="004B053A" w:rsidRDefault="007F4C4C" w:rsidP="004B053A">
            <w:pPr>
              <w:jc w:val="center"/>
              <w:rPr>
                <w:b/>
                <w:sz w:val="20"/>
                <w:szCs w:val="20"/>
              </w:rPr>
            </w:pPr>
            <w:r w:rsidRPr="004B053A">
              <w:rPr>
                <w:b/>
                <w:sz w:val="20"/>
                <w:szCs w:val="20"/>
              </w:rPr>
              <w:t>Indicators</w:t>
            </w:r>
          </w:p>
        </w:tc>
      </w:tr>
      <w:tr w:rsidR="007F4C4C" w:rsidRPr="005A668F" w14:paraId="18E37848" w14:textId="77777777" w:rsidTr="004B053A">
        <w:trPr>
          <w:trHeight w:val="20"/>
        </w:trPr>
        <w:tc>
          <w:tcPr>
            <w:tcW w:w="3081" w:type="dxa"/>
            <w:shd w:val="clear" w:color="auto" w:fill="auto"/>
            <w:vAlign w:val="center"/>
          </w:tcPr>
          <w:p w14:paraId="54D07F31" w14:textId="77777777" w:rsidR="007F4C4C" w:rsidRPr="004B053A" w:rsidRDefault="007F4C4C" w:rsidP="00660EFF">
            <w:pPr>
              <w:rPr>
                <w:sz w:val="20"/>
                <w:szCs w:val="20"/>
              </w:rPr>
            </w:pPr>
            <w:r w:rsidRPr="004B053A">
              <w:rPr>
                <w:sz w:val="20"/>
                <w:szCs w:val="20"/>
              </w:rPr>
              <w:t>Lack of a formal mechanism for the sharing of science and technical knowledge relating to the South China Sea SAP implementation</w:t>
            </w:r>
          </w:p>
        </w:tc>
        <w:tc>
          <w:tcPr>
            <w:tcW w:w="3082" w:type="dxa"/>
            <w:shd w:val="clear" w:color="auto" w:fill="auto"/>
            <w:vAlign w:val="center"/>
          </w:tcPr>
          <w:p w14:paraId="5DAC56A9" w14:textId="77777777" w:rsidR="007F4C4C" w:rsidRPr="004B053A" w:rsidRDefault="007F4C4C" w:rsidP="00660EFF">
            <w:pPr>
              <w:rPr>
                <w:sz w:val="20"/>
                <w:szCs w:val="20"/>
              </w:rPr>
            </w:pPr>
            <w:r w:rsidRPr="004B053A">
              <w:rPr>
                <w:sz w:val="20"/>
                <w:szCs w:val="20"/>
              </w:rPr>
              <w:t>3.1.1 Regional Scientific and Technical Committee of the SCS project functioning as a bridge between the scientific community and decision-makers [annual meetings]</w:t>
            </w:r>
          </w:p>
        </w:tc>
        <w:tc>
          <w:tcPr>
            <w:tcW w:w="3082" w:type="dxa"/>
            <w:shd w:val="clear" w:color="auto" w:fill="auto"/>
            <w:vAlign w:val="center"/>
          </w:tcPr>
          <w:p w14:paraId="378585C2" w14:textId="77777777" w:rsidR="007F4C4C" w:rsidRPr="004B053A" w:rsidRDefault="007F4C4C" w:rsidP="004B053A">
            <w:pPr>
              <w:spacing w:after="120"/>
              <w:rPr>
                <w:sz w:val="20"/>
                <w:szCs w:val="20"/>
              </w:rPr>
            </w:pPr>
            <w:r w:rsidRPr="004B053A">
              <w:rPr>
                <w:sz w:val="20"/>
                <w:szCs w:val="20"/>
              </w:rPr>
              <w:t>Status of the RSTC and the uptake of the scientific and technical advice it provides</w:t>
            </w:r>
          </w:p>
          <w:p w14:paraId="186940B1" w14:textId="77777777" w:rsidR="007F4C4C" w:rsidRPr="004B053A" w:rsidRDefault="007F4C4C" w:rsidP="007F4C4C">
            <w:pPr>
              <w:rPr>
                <w:sz w:val="20"/>
                <w:szCs w:val="20"/>
              </w:rPr>
            </w:pPr>
            <w:r w:rsidRPr="004B053A">
              <w:rPr>
                <w:sz w:val="20"/>
                <w:szCs w:val="20"/>
              </w:rPr>
              <w:t>Continuity of participation of RSTC members in annual meetings</w:t>
            </w:r>
          </w:p>
        </w:tc>
      </w:tr>
      <w:tr w:rsidR="007F4C4C" w:rsidRPr="005A668F" w14:paraId="37D8F7C9" w14:textId="77777777" w:rsidTr="004B053A">
        <w:trPr>
          <w:trHeight w:val="20"/>
        </w:trPr>
        <w:tc>
          <w:tcPr>
            <w:tcW w:w="3081" w:type="dxa"/>
            <w:shd w:val="clear" w:color="auto" w:fill="auto"/>
            <w:vAlign w:val="center"/>
          </w:tcPr>
          <w:p w14:paraId="698A1B8D" w14:textId="77777777" w:rsidR="007F4C4C" w:rsidRPr="004B053A" w:rsidRDefault="007F4C4C" w:rsidP="00660EFF">
            <w:pPr>
              <w:rPr>
                <w:sz w:val="20"/>
                <w:szCs w:val="20"/>
              </w:rPr>
            </w:pPr>
            <w:r w:rsidRPr="004B053A">
              <w:rPr>
                <w:sz w:val="20"/>
                <w:szCs w:val="20"/>
              </w:rPr>
              <w:t>Limited application of evidence-based approaches by central and provincial government agencies</w:t>
            </w:r>
          </w:p>
        </w:tc>
        <w:tc>
          <w:tcPr>
            <w:tcW w:w="3082" w:type="dxa"/>
            <w:shd w:val="clear" w:color="auto" w:fill="auto"/>
            <w:vAlign w:val="center"/>
          </w:tcPr>
          <w:p w14:paraId="724FCF4E" w14:textId="77777777" w:rsidR="007F4C4C" w:rsidRPr="004B053A" w:rsidRDefault="007F4C4C" w:rsidP="00660EFF">
            <w:pPr>
              <w:rPr>
                <w:sz w:val="20"/>
                <w:szCs w:val="20"/>
              </w:rPr>
            </w:pPr>
            <w:r w:rsidRPr="004B053A">
              <w:rPr>
                <w:sz w:val="20"/>
                <w:szCs w:val="20"/>
              </w:rPr>
              <w:t>3.1.2 Knowledge exchanges between government and scientific community through biennial Regional Scientific Conferences</w:t>
            </w:r>
          </w:p>
        </w:tc>
        <w:tc>
          <w:tcPr>
            <w:tcW w:w="3082" w:type="dxa"/>
            <w:shd w:val="clear" w:color="auto" w:fill="auto"/>
            <w:vAlign w:val="center"/>
          </w:tcPr>
          <w:p w14:paraId="7AD0D06E" w14:textId="77777777" w:rsidR="007F4C4C" w:rsidRPr="004B053A" w:rsidRDefault="00CB247D" w:rsidP="00CB247D">
            <w:pPr>
              <w:rPr>
                <w:sz w:val="20"/>
                <w:szCs w:val="20"/>
              </w:rPr>
            </w:pPr>
            <w:r>
              <w:rPr>
                <w:sz w:val="20"/>
                <w:szCs w:val="20"/>
              </w:rPr>
              <w:t>Number of central and provincial government agencies with</w:t>
            </w:r>
            <w:r w:rsidR="007F4C4C" w:rsidRPr="004B053A">
              <w:rPr>
                <w:sz w:val="20"/>
                <w:szCs w:val="20"/>
              </w:rPr>
              <w:t xml:space="preserve"> demonstrable use of scientific knowledge exchanged during biennial conferences</w:t>
            </w:r>
          </w:p>
        </w:tc>
      </w:tr>
      <w:tr w:rsidR="007F4C4C" w:rsidRPr="005A668F" w14:paraId="7EC0D0B3" w14:textId="77777777" w:rsidTr="004B053A">
        <w:trPr>
          <w:trHeight w:val="20"/>
        </w:trPr>
        <w:tc>
          <w:tcPr>
            <w:tcW w:w="3081" w:type="dxa"/>
            <w:shd w:val="clear" w:color="auto" w:fill="auto"/>
            <w:vAlign w:val="center"/>
          </w:tcPr>
          <w:p w14:paraId="19A69C2F" w14:textId="77777777" w:rsidR="007F4C4C" w:rsidRPr="004B053A" w:rsidRDefault="007F4C4C" w:rsidP="007F4C4C">
            <w:pPr>
              <w:rPr>
                <w:sz w:val="20"/>
                <w:szCs w:val="20"/>
              </w:rPr>
            </w:pPr>
            <w:r w:rsidRPr="004B053A">
              <w:rPr>
                <w:sz w:val="20"/>
                <w:szCs w:val="20"/>
              </w:rPr>
              <w:t>Four Mayors Round-Table meetings convened during period 2005-2008 and documented as a key innovation for improving local relevance of action planning and M&amp;E</w:t>
            </w:r>
          </w:p>
        </w:tc>
        <w:tc>
          <w:tcPr>
            <w:tcW w:w="3082" w:type="dxa"/>
            <w:shd w:val="clear" w:color="auto" w:fill="auto"/>
            <w:vAlign w:val="center"/>
          </w:tcPr>
          <w:p w14:paraId="27C27976" w14:textId="77777777" w:rsidR="007F4C4C" w:rsidRPr="004B053A" w:rsidRDefault="007F4C4C" w:rsidP="00660EFF">
            <w:pPr>
              <w:rPr>
                <w:sz w:val="20"/>
                <w:szCs w:val="20"/>
              </w:rPr>
            </w:pPr>
            <w:r w:rsidRPr="004B053A">
              <w:rPr>
                <w:sz w:val="20"/>
                <w:szCs w:val="20"/>
              </w:rPr>
              <w:t>3.1.3 Best practice exchanges between local government officials and coastal managers on science-based management via annual Mayor’s Round-Table meetings</w:t>
            </w:r>
          </w:p>
        </w:tc>
        <w:tc>
          <w:tcPr>
            <w:tcW w:w="3082" w:type="dxa"/>
            <w:shd w:val="clear" w:color="auto" w:fill="auto"/>
            <w:vAlign w:val="center"/>
          </w:tcPr>
          <w:p w14:paraId="6ABA7B28" w14:textId="77777777" w:rsidR="007F4C4C" w:rsidRPr="004B053A" w:rsidRDefault="007F4C4C" w:rsidP="004B053A">
            <w:pPr>
              <w:spacing w:after="120"/>
              <w:rPr>
                <w:sz w:val="20"/>
                <w:szCs w:val="20"/>
              </w:rPr>
            </w:pPr>
            <w:r w:rsidRPr="004B053A">
              <w:rPr>
                <w:sz w:val="20"/>
                <w:szCs w:val="20"/>
              </w:rPr>
              <w:t>Number of Mayor’s Round-Table meetings convened</w:t>
            </w:r>
          </w:p>
          <w:p w14:paraId="0F139ED3" w14:textId="77777777" w:rsidR="007F4C4C" w:rsidRPr="004B053A" w:rsidRDefault="007F4C4C" w:rsidP="007F4C4C">
            <w:pPr>
              <w:rPr>
                <w:sz w:val="20"/>
                <w:szCs w:val="20"/>
              </w:rPr>
            </w:pPr>
            <w:r w:rsidRPr="004B053A">
              <w:rPr>
                <w:sz w:val="20"/>
                <w:szCs w:val="20"/>
              </w:rPr>
              <w:t>Number, scope &amp; reach of communications to raise local official awareness of best practices</w:t>
            </w:r>
          </w:p>
        </w:tc>
      </w:tr>
      <w:tr w:rsidR="007F4C4C" w:rsidRPr="005A668F" w14:paraId="0E10C105" w14:textId="77777777" w:rsidTr="004B053A">
        <w:trPr>
          <w:trHeight w:val="20"/>
        </w:trPr>
        <w:tc>
          <w:tcPr>
            <w:tcW w:w="3081" w:type="dxa"/>
            <w:shd w:val="clear" w:color="auto" w:fill="auto"/>
            <w:vAlign w:val="center"/>
          </w:tcPr>
          <w:p w14:paraId="4613713E" w14:textId="77777777" w:rsidR="007F4C4C" w:rsidRPr="004B053A" w:rsidRDefault="007F4C4C" w:rsidP="00660EFF">
            <w:pPr>
              <w:rPr>
                <w:sz w:val="20"/>
                <w:szCs w:val="20"/>
              </w:rPr>
            </w:pPr>
            <w:r w:rsidRPr="004B053A">
              <w:rPr>
                <w:sz w:val="20"/>
                <w:szCs w:val="20"/>
              </w:rPr>
              <w:t>Bilateral cooperation between Cambodia and Vietnam initiated during the period 2007-2008 although this has stagnated as a result of a lack of regional coordination support</w:t>
            </w:r>
          </w:p>
        </w:tc>
        <w:tc>
          <w:tcPr>
            <w:tcW w:w="3082" w:type="dxa"/>
            <w:shd w:val="clear" w:color="auto" w:fill="auto"/>
            <w:vAlign w:val="center"/>
          </w:tcPr>
          <w:p w14:paraId="72EC2812" w14:textId="77777777" w:rsidR="007F4C4C" w:rsidRPr="004B053A" w:rsidRDefault="007F4C4C" w:rsidP="00660EFF">
            <w:pPr>
              <w:rPr>
                <w:sz w:val="20"/>
                <w:szCs w:val="20"/>
              </w:rPr>
            </w:pPr>
            <w:r w:rsidRPr="004B053A">
              <w:rPr>
                <w:sz w:val="20"/>
                <w:szCs w:val="20"/>
              </w:rPr>
              <w:t>3.1.4 Memoranda of Agreement for joint</w:t>
            </w:r>
            <w:r w:rsidR="00130405">
              <w:rPr>
                <w:sz w:val="20"/>
                <w:szCs w:val="20"/>
              </w:rPr>
              <w:t xml:space="preserve"> collaboration</w:t>
            </w:r>
            <w:r w:rsidRPr="004B053A">
              <w:rPr>
                <w:sz w:val="20"/>
                <w:szCs w:val="20"/>
              </w:rPr>
              <w:t xml:space="preserve"> of 2 priority transboundary water areas agreed &amp; implemented</w:t>
            </w:r>
          </w:p>
        </w:tc>
        <w:tc>
          <w:tcPr>
            <w:tcW w:w="3082" w:type="dxa"/>
            <w:shd w:val="clear" w:color="auto" w:fill="auto"/>
            <w:vAlign w:val="center"/>
          </w:tcPr>
          <w:p w14:paraId="68CA1E7E" w14:textId="77777777" w:rsidR="00951EBD" w:rsidRPr="004B053A" w:rsidRDefault="00951EBD" w:rsidP="004B053A">
            <w:pPr>
              <w:spacing w:after="120"/>
              <w:rPr>
                <w:sz w:val="20"/>
                <w:szCs w:val="20"/>
              </w:rPr>
            </w:pPr>
            <w:r w:rsidRPr="004B053A">
              <w:rPr>
                <w:sz w:val="20"/>
                <w:szCs w:val="20"/>
              </w:rPr>
              <w:t>Status of bilateral cooperation for transboundary resource management between (a) Cambodia and Vietnam and (b) Cambodia and Thailand</w:t>
            </w:r>
          </w:p>
          <w:p w14:paraId="2D00AD9A" w14:textId="77777777" w:rsidR="007F4C4C" w:rsidRPr="004B053A" w:rsidRDefault="00951EBD" w:rsidP="00951EBD">
            <w:pPr>
              <w:rPr>
                <w:sz w:val="20"/>
                <w:szCs w:val="20"/>
              </w:rPr>
            </w:pPr>
            <w:r w:rsidRPr="004B053A">
              <w:rPr>
                <w:sz w:val="20"/>
                <w:szCs w:val="20"/>
              </w:rPr>
              <w:t>Status of signature of Memoranda of Agreement</w:t>
            </w:r>
          </w:p>
        </w:tc>
      </w:tr>
      <w:tr w:rsidR="00951EBD" w:rsidRPr="005A668F" w14:paraId="13BB7972" w14:textId="77777777" w:rsidTr="004B053A">
        <w:trPr>
          <w:trHeight w:val="20"/>
        </w:trPr>
        <w:tc>
          <w:tcPr>
            <w:tcW w:w="3081" w:type="dxa"/>
            <w:shd w:val="clear" w:color="auto" w:fill="auto"/>
            <w:vAlign w:val="center"/>
          </w:tcPr>
          <w:p w14:paraId="33C988A7" w14:textId="77777777" w:rsidR="00951EBD" w:rsidRPr="004B053A" w:rsidRDefault="00951EBD" w:rsidP="00660EFF">
            <w:pPr>
              <w:rPr>
                <w:sz w:val="20"/>
                <w:szCs w:val="20"/>
              </w:rPr>
            </w:pPr>
            <w:r w:rsidRPr="004B053A">
              <w:rPr>
                <w:sz w:val="20"/>
                <w:szCs w:val="20"/>
              </w:rPr>
              <w:t>Execution of the UNEP/GEF Fisheries Refugia project to commence in Q3 of 2016 through SEAFEDC and national fisheries agencies</w:t>
            </w:r>
          </w:p>
        </w:tc>
        <w:tc>
          <w:tcPr>
            <w:tcW w:w="3082" w:type="dxa"/>
            <w:shd w:val="clear" w:color="auto" w:fill="auto"/>
            <w:vAlign w:val="center"/>
          </w:tcPr>
          <w:p w14:paraId="558C2C1C" w14:textId="77777777" w:rsidR="00951EBD" w:rsidRPr="004B053A" w:rsidRDefault="00951EBD" w:rsidP="00660EFF">
            <w:pPr>
              <w:rPr>
                <w:sz w:val="20"/>
                <w:szCs w:val="20"/>
              </w:rPr>
            </w:pPr>
            <w:r w:rsidRPr="004B053A">
              <w:rPr>
                <w:sz w:val="20"/>
                <w:szCs w:val="20"/>
              </w:rPr>
              <w:t>3.1.5 Cooperation with the GEF fisheries refugia project and other relevant regional initiatives established</w:t>
            </w:r>
          </w:p>
        </w:tc>
        <w:tc>
          <w:tcPr>
            <w:tcW w:w="3082" w:type="dxa"/>
            <w:shd w:val="clear" w:color="auto" w:fill="auto"/>
            <w:vAlign w:val="center"/>
          </w:tcPr>
          <w:p w14:paraId="7D8505E9" w14:textId="77777777" w:rsidR="00951EBD" w:rsidRPr="004B053A" w:rsidRDefault="00951EBD" w:rsidP="004B053A">
            <w:pPr>
              <w:spacing w:after="120"/>
              <w:rPr>
                <w:sz w:val="20"/>
                <w:szCs w:val="20"/>
              </w:rPr>
            </w:pPr>
            <w:r w:rsidRPr="004B053A">
              <w:rPr>
                <w:sz w:val="20"/>
                <w:szCs w:val="20"/>
              </w:rPr>
              <w:t>Extent of joint planning by both projects</w:t>
            </w:r>
          </w:p>
          <w:p w14:paraId="7340B061" w14:textId="77777777" w:rsidR="00951EBD" w:rsidRPr="004B053A" w:rsidRDefault="00951EBD" w:rsidP="004B053A">
            <w:pPr>
              <w:spacing w:after="120"/>
              <w:rPr>
                <w:sz w:val="20"/>
                <w:szCs w:val="20"/>
              </w:rPr>
            </w:pPr>
            <w:r w:rsidRPr="004B053A">
              <w:rPr>
                <w:sz w:val="20"/>
                <w:szCs w:val="20"/>
              </w:rPr>
              <w:t>Number of best practices and lessons learned captured from the fisheries refugia project</w:t>
            </w:r>
          </w:p>
        </w:tc>
      </w:tr>
      <w:tr w:rsidR="00951EBD" w:rsidRPr="005A668F" w14:paraId="118935FE" w14:textId="77777777" w:rsidTr="004B053A">
        <w:trPr>
          <w:trHeight w:val="20"/>
        </w:trPr>
        <w:tc>
          <w:tcPr>
            <w:tcW w:w="3081" w:type="dxa"/>
            <w:shd w:val="clear" w:color="auto" w:fill="auto"/>
            <w:vAlign w:val="center"/>
          </w:tcPr>
          <w:p w14:paraId="1A2EB5CD" w14:textId="77777777" w:rsidR="00951EBD" w:rsidRPr="004B053A" w:rsidRDefault="00951EBD" w:rsidP="00660EFF">
            <w:pPr>
              <w:rPr>
                <w:sz w:val="20"/>
                <w:szCs w:val="20"/>
              </w:rPr>
            </w:pPr>
            <w:r w:rsidRPr="004B053A">
              <w:rPr>
                <w:sz w:val="20"/>
                <w:szCs w:val="20"/>
              </w:rPr>
              <w:t xml:space="preserve">Lack of mechanism to formally recognize and award </w:t>
            </w:r>
            <w:r w:rsidR="00BA3ACB" w:rsidRPr="004B053A">
              <w:rPr>
                <w:sz w:val="20"/>
                <w:szCs w:val="20"/>
              </w:rPr>
              <w:t>communities, local governments and industry for innovation and generation of best practices for environmental management of the South China Sea</w:t>
            </w:r>
          </w:p>
        </w:tc>
        <w:tc>
          <w:tcPr>
            <w:tcW w:w="3082" w:type="dxa"/>
            <w:shd w:val="clear" w:color="auto" w:fill="auto"/>
            <w:vAlign w:val="center"/>
          </w:tcPr>
          <w:p w14:paraId="0D013378" w14:textId="77777777" w:rsidR="00951EBD" w:rsidRPr="004B053A" w:rsidRDefault="00951EBD" w:rsidP="00660EFF">
            <w:pPr>
              <w:rPr>
                <w:sz w:val="20"/>
                <w:szCs w:val="20"/>
              </w:rPr>
            </w:pPr>
            <w:r w:rsidRPr="004B053A">
              <w:rPr>
                <w:sz w:val="20"/>
                <w:szCs w:val="20"/>
                <w:lang w:val="en-GB"/>
              </w:rPr>
              <w:t>3.1.6 Operational award program on best practices in coastal habitat and land-based pollution management for communities, local governments and industry [annual]</w:t>
            </w:r>
          </w:p>
        </w:tc>
        <w:tc>
          <w:tcPr>
            <w:tcW w:w="3082" w:type="dxa"/>
            <w:shd w:val="clear" w:color="auto" w:fill="auto"/>
            <w:vAlign w:val="center"/>
          </w:tcPr>
          <w:p w14:paraId="02204CB4" w14:textId="77777777" w:rsidR="00BA3ACB" w:rsidRPr="004B053A" w:rsidRDefault="00BA3ACB" w:rsidP="004B053A">
            <w:pPr>
              <w:spacing w:after="120"/>
              <w:rPr>
                <w:sz w:val="20"/>
                <w:szCs w:val="20"/>
              </w:rPr>
            </w:pPr>
            <w:r w:rsidRPr="004B053A">
              <w:rPr>
                <w:sz w:val="20"/>
                <w:szCs w:val="20"/>
              </w:rPr>
              <w:t>Number of best practices identified</w:t>
            </w:r>
          </w:p>
          <w:p w14:paraId="2C2B3B28" w14:textId="77777777" w:rsidR="00951EBD" w:rsidRPr="004B053A" w:rsidRDefault="00BA3ACB" w:rsidP="004B053A">
            <w:pPr>
              <w:spacing w:after="120"/>
              <w:rPr>
                <w:sz w:val="20"/>
                <w:szCs w:val="20"/>
              </w:rPr>
            </w:pPr>
            <w:r w:rsidRPr="004B053A">
              <w:rPr>
                <w:sz w:val="20"/>
                <w:szCs w:val="20"/>
              </w:rPr>
              <w:t>Number of community organisations, local governments and industry receiving awarrds</w:t>
            </w:r>
          </w:p>
        </w:tc>
      </w:tr>
    </w:tbl>
    <w:p w14:paraId="57E90E30" w14:textId="77777777" w:rsidR="003E7B4D" w:rsidRPr="00204C8A" w:rsidRDefault="00BA3ACB" w:rsidP="00BA3ACB">
      <w:pPr>
        <w:spacing w:before="120" w:after="120"/>
        <w:ind w:left="1440" w:hanging="1440"/>
        <w:jc w:val="both"/>
        <w:rPr>
          <w:b/>
          <w:sz w:val="22"/>
          <w:szCs w:val="22"/>
          <w:lang w:val="en-GB"/>
        </w:rPr>
      </w:pPr>
      <w:r w:rsidRPr="00204C8A">
        <w:rPr>
          <w:b/>
          <w:sz w:val="22"/>
          <w:szCs w:val="22"/>
          <w:lang w:val="en-GB"/>
        </w:rPr>
        <w:t xml:space="preserve">Outcome 3.2 </w:t>
      </w:r>
      <w:r w:rsidRPr="00204C8A">
        <w:rPr>
          <w:b/>
          <w:sz w:val="22"/>
          <w:szCs w:val="22"/>
          <w:lang w:val="en-GB"/>
        </w:rPr>
        <w:tab/>
        <w:t>Capacity for civil society and community organization participation in SAP implementation strengthened via operational partnership with GEF SGP</w:t>
      </w:r>
    </w:p>
    <w:p w14:paraId="22D23B21" w14:textId="77777777" w:rsidR="00500CC0" w:rsidRDefault="00500CC0" w:rsidP="00CD6461">
      <w:pPr>
        <w:numPr>
          <w:ilvl w:val="0"/>
          <w:numId w:val="3"/>
        </w:numPr>
        <w:spacing w:after="120"/>
        <w:ind w:left="0" w:firstLine="0"/>
        <w:jc w:val="both"/>
        <w:rPr>
          <w:sz w:val="22"/>
          <w:szCs w:val="22"/>
          <w:lang w:val="en-GB"/>
        </w:rPr>
      </w:pPr>
      <w:r w:rsidRPr="00500CC0">
        <w:rPr>
          <w:sz w:val="22"/>
          <w:szCs w:val="22"/>
          <w:lang w:val="en-GB"/>
        </w:rPr>
        <w:t xml:space="preserve">Although not foreseen in the design of the SCS project, once the SCS project had prioritized sites for the establishment of demonstrations in habitat management, liaison was established with the GEF Small Grants Programme to investigate if there was likely to be a synergistic opportunity for creating, funding and managing these demonstration activities. On the one hand, while the SCS project had the entire South China Sea and Gulf of Thailand as its focus, the SGP invariably focused on smaller scale interventions in individual countries. Furthermore, it frequently lacked the scientific underpinning for the strategic and tactical aspects on its interventions. </w:t>
      </w:r>
    </w:p>
    <w:p w14:paraId="763325D8" w14:textId="77777777" w:rsidR="00500CC0" w:rsidRDefault="00500CC0" w:rsidP="00500CC0">
      <w:pPr>
        <w:numPr>
          <w:ilvl w:val="0"/>
          <w:numId w:val="3"/>
        </w:numPr>
        <w:spacing w:after="120"/>
        <w:ind w:left="0" w:firstLine="0"/>
        <w:jc w:val="both"/>
        <w:rPr>
          <w:sz w:val="22"/>
          <w:szCs w:val="22"/>
          <w:lang w:val="en-GB"/>
        </w:rPr>
      </w:pPr>
      <w:r w:rsidRPr="00500CC0">
        <w:rPr>
          <w:sz w:val="22"/>
          <w:szCs w:val="22"/>
          <w:lang w:val="en-GB"/>
        </w:rPr>
        <w:t xml:space="preserve">On the other hand, the SGP had a tried and tested mechanism for funding and managing its smaller scale interventions, which the SCS project at its inception did not. The SGP has funded 811 international waters projects at the community level totaling $19 million GEF funding and $34 million co-financing. Of these projects, 139 had been funded in one country of the SCS region, Thailand. Despite management encouragement to strengthen this focal area, the SGP-IW portfolio remains under-developed, accounting for </w:t>
      </w:r>
      <w:r>
        <w:rPr>
          <w:sz w:val="22"/>
          <w:szCs w:val="22"/>
          <w:lang w:val="en-GB"/>
        </w:rPr>
        <w:t>a small percentage</w:t>
      </w:r>
      <w:r w:rsidRPr="00500CC0">
        <w:rPr>
          <w:sz w:val="22"/>
          <w:szCs w:val="22"/>
          <w:lang w:val="en-GB"/>
        </w:rPr>
        <w:t xml:space="preserve"> of the entire portfolio. Once it became clear that there were resource limitations to the number and type of demonstrations that could be created under the SCS project, cooperation with the SGP was seen as offering substantial benefit.</w:t>
      </w:r>
    </w:p>
    <w:p w14:paraId="233FCCE7" w14:textId="77777777" w:rsidR="00500CC0" w:rsidRDefault="00500CC0" w:rsidP="00500CC0">
      <w:pPr>
        <w:numPr>
          <w:ilvl w:val="0"/>
          <w:numId w:val="3"/>
        </w:numPr>
        <w:spacing w:after="120"/>
        <w:ind w:left="0" w:firstLine="0"/>
        <w:jc w:val="both"/>
        <w:rPr>
          <w:sz w:val="22"/>
          <w:szCs w:val="22"/>
          <w:lang w:val="en-GB"/>
        </w:rPr>
      </w:pPr>
      <w:r w:rsidRPr="00500CC0">
        <w:rPr>
          <w:sz w:val="22"/>
          <w:szCs w:val="22"/>
          <w:lang w:val="en-GB"/>
        </w:rPr>
        <w:t>Prior to the partnership, the SCS project had initiated 14 demonstration sites through the local and provincial governments of the seven participating countries. The subsequent collaboration between the SCS project and the SGP enabled a total of 31 projects in six countries to be executed rather than the much smaller number possible under the aegis of the SCS project alone. The benefits associated with this initiative have been documented and published by Chen et al., (2013). Outcome 3.2 will build on the intra-country and inter-country consultation and cooperation fostered by the SCS project via efforts to stren</w:t>
      </w:r>
      <w:r>
        <w:rPr>
          <w:sz w:val="22"/>
          <w:szCs w:val="22"/>
          <w:lang w:val="en-GB"/>
        </w:rPr>
        <w:t xml:space="preserve">gthen civil society and </w:t>
      </w:r>
      <w:r w:rsidRPr="00500CC0">
        <w:rPr>
          <w:sz w:val="22"/>
          <w:szCs w:val="22"/>
          <w:lang w:val="en-GB"/>
        </w:rPr>
        <w:t>community organization engagement in SAP implementation and revision. Specifically, capacity for civil society and community organization participation in SAP implementation will be strengthened via an operational partnership with GEF SGP. An additional package of SGP projects will also developed to support implementation of the revised SAP.</w:t>
      </w:r>
      <w:r>
        <w:rPr>
          <w:sz w:val="22"/>
          <w:szCs w:val="22"/>
          <w:lang w:val="en-GB"/>
        </w:rPr>
        <w:t xml:space="preserve"> </w:t>
      </w:r>
      <w:r w:rsidR="00587F2D">
        <w:rPr>
          <w:sz w:val="22"/>
          <w:szCs w:val="22"/>
          <w:lang w:val="en-GB"/>
        </w:rPr>
        <w:t>The SGP project proponents</w:t>
      </w:r>
      <w:r w:rsidR="00AD5D5E">
        <w:rPr>
          <w:sz w:val="22"/>
          <w:szCs w:val="22"/>
          <w:lang w:val="en-GB"/>
        </w:rPr>
        <w:t xml:space="preserve">, to be </w:t>
      </w:r>
      <w:r w:rsidR="00587F2D">
        <w:rPr>
          <w:sz w:val="22"/>
          <w:szCs w:val="22"/>
          <w:lang w:val="en-GB"/>
        </w:rPr>
        <w:t xml:space="preserve">engaged in supporting community-based actions </w:t>
      </w:r>
      <w:r w:rsidR="00AD5D5E">
        <w:rPr>
          <w:sz w:val="22"/>
          <w:szCs w:val="22"/>
          <w:lang w:val="en-GB"/>
        </w:rPr>
        <w:t xml:space="preserve">at the priority mangrove, coral reef, seagrass and coral reef sites </w:t>
      </w:r>
      <w:r w:rsidR="00587F2D">
        <w:rPr>
          <w:sz w:val="22"/>
          <w:szCs w:val="22"/>
          <w:lang w:val="en-GB"/>
        </w:rPr>
        <w:t>being brought under management through</w:t>
      </w:r>
      <w:r w:rsidR="00AD5D5E">
        <w:rPr>
          <w:sz w:val="22"/>
          <w:szCs w:val="22"/>
          <w:lang w:val="en-GB"/>
        </w:rPr>
        <w:t xml:space="preserve"> Component 1</w:t>
      </w:r>
      <w:r w:rsidR="00587F2D">
        <w:rPr>
          <w:sz w:val="22"/>
          <w:szCs w:val="22"/>
          <w:lang w:val="en-GB"/>
        </w:rPr>
        <w:t>,</w:t>
      </w:r>
      <w:r w:rsidR="00AD5D5E">
        <w:rPr>
          <w:sz w:val="22"/>
          <w:szCs w:val="22"/>
          <w:lang w:val="en-GB"/>
        </w:rPr>
        <w:t xml:space="preserve"> will benefit from technical support by </w:t>
      </w:r>
      <w:r w:rsidR="00587F2D">
        <w:rPr>
          <w:sz w:val="22"/>
          <w:szCs w:val="22"/>
          <w:lang w:val="en-GB"/>
        </w:rPr>
        <w:t>the Specialized Executing Agencies</w:t>
      </w:r>
      <w:r w:rsidR="00AD5D5E">
        <w:rPr>
          <w:sz w:val="22"/>
          <w:szCs w:val="22"/>
          <w:lang w:val="en-GB"/>
        </w:rPr>
        <w:t xml:space="preserve"> </w:t>
      </w:r>
      <w:r w:rsidR="00587F2D">
        <w:rPr>
          <w:sz w:val="22"/>
          <w:szCs w:val="22"/>
          <w:lang w:val="en-GB"/>
        </w:rPr>
        <w:t>leading the national packages of habitat management interventions</w:t>
      </w:r>
      <w:r w:rsidR="00AD5D5E">
        <w:rPr>
          <w:sz w:val="22"/>
          <w:szCs w:val="22"/>
          <w:lang w:val="en-GB"/>
        </w:rPr>
        <w:t xml:space="preserve">, as well as monitoring and evaluation support from the National Technical Working Groups. </w:t>
      </w:r>
      <w:r>
        <w:rPr>
          <w:sz w:val="22"/>
          <w:szCs w:val="22"/>
          <w:lang w:val="en-GB"/>
        </w:rPr>
        <w:t>Specific targets for Outcome 3.2 are presented in Table 38.</w:t>
      </w:r>
    </w:p>
    <w:p w14:paraId="61A47017" w14:textId="77777777" w:rsidR="00500CC0" w:rsidRDefault="00500CC0" w:rsidP="00500CC0">
      <w:pPr>
        <w:spacing w:afterLines="120" w:after="288"/>
        <w:jc w:val="both"/>
        <w:rPr>
          <w:sz w:val="22"/>
          <w:szCs w:val="22"/>
          <w:lang w:val="en-GB"/>
        </w:rPr>
      </w:pPr>
      <w:r w:rsidRPr="00500CC0">
        <w:rPr>
          <w:b/>
          <w:sz w:val="22"/>
          <w:szCs w:val="22"/>
          <w:lang w:val="en-GB"/>
        </w:rPr>
        <w:t>Table 38</w:t>
      </w:r>
      <w:r w:rsidRPr="00500CC0">
        <w:rPr>
          <w:sz w:val="22"/>
          <w:szCs w:val="22"/>
          <w:lang w:val="en-GB"/>
        </w:rPr>
        <w:tab/>
        <w:t>Baselines, targets and project indicators for Outcome 3.</w:t>
      </w:r>
      <w:r>
        <w:rPr>
          <w:sz w:val="22"/>
          <w:szCs w:val="22"/>
          <w:lang w:val="en-GB"/>
        </w:rP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0"/>
        <w:gridCol w:w="3021"/>
        <w:gridCol w:w="3021"/>
      </w:tblGrid>
      <w:tr w:rsidR="00500CC0" w:rsidRPr="005A668F" w14:paraId="45566A62" w14:textId="77777777" w:rsidTr="004B053A">
        <w:tc>
          <w:tcPr>
            <w:tcW w:w="3081" w:type="dxa"/>
            <w:shd w:val="clear" w:color="auto" w:fill="auto"/>
            <w:vAlign w:val="center"/>
          </w:tcPr>
          <w:p w14:paraId="7C6D08B4" w14:textId="77777777" w:rsidR="00500CC0" w:rsidRPr="004B053A" w:rsidRDefault="00500CC0" w:rsidP="004B053A">
            <w:pPr>
              <w:jc w:val="center"/>
              <w:rPr>
                <w:b/>
                <w:sz w:val="20"/>
                <w:szCs w:val="20"/>
              </w:rPr>
            </w:pPr>
            <w:r w:rsidRPr="004B053A">
              <w:rPr>
                <w:b/>
                <w:sz w:val="20"/>
                <w:szCs w:val="20"/>
              </w:rPr>
              <w:t>Baselines</w:t>
            </w:r>
          </w:p>
        </w:tc>
        <w:tc>
          <w:tcPr>
            <w:tcW w:w="3082" w:type="dxa"/>
            <w:shd w:val="clear" w:color="auto" w:fill="auto"/>
            <w:vAlign w:val="center"/>
          </w:tcPr>
          <w:p w14:paraId="7DF3E63C" w14:textId="77777777" w:rsidR="00500CC0" w:rsidRPr="004B053A" w:rsidRDefault="00500CC0" w:rsidP="004B053A">
            <w:pPr>
              <w:jc w:val="center"/>
              <w:rPr>
                <w:b/>
                <w:sz w:val="20"/>
                <w:szCs w:val="20"/>
              </w:rPr>
            </w:pPr>
            <w:r w:rsidRPr="004B053A">
              <w:rPr>
                <w:b/>
                <w:sz w:val="20"/>
                <w:szCs w:val="20"/>
              </w:rPr>
              <w:t>Targets</w:t>
            </w:r>
          </w:p>
        </w:tc>
        <w:tc>
          <w:tcPr>
            <w:tcW w:w="3082" w:type="dxa"/>
            <w:shd w:val="clear" w:color="auto" w:fill="auto"/>
            <w:vAlign w:val="center"/>
          </w:tcPr>
          <w:p w14:paraId="10D48DF3" w14:textId="77777777" w:rsidR="00500CC0" w:rsidRPr="004B053A" w:rsidRDefault="00500CC0" w:rsidP="004B053A">
            <w:pPr>
              <w:jc w:val="center"/>
              <w:rPr>
                <w:b/>
                <w:sz w:val="20"/>
                <w:szCs w:val="20"/>
              </w:rPr>
            </w:pPr>
            <w:r w:rsidRPr="004B053A">
              <w:rPr>
                <w:b/>
                <w:sz w:val="20"/>
                <w:szCs w:val="20"/>
              </w:rPr>
              <w:t>Indicators</w:t>
            </w:r>
          </w:p>
        </w:tc>
      </w:tr>
      <w:tr w:rsidR="00500CC0" w:rsidRPr="005A668F" w14:paraId="11F533F2" w14:textId="77777777" w:rsidTr="004B053A">
        <w:trPr>
          <w:trHeight w:val="20"/>
        </w:trPr>
        <w:tc>
          <w:tcPr>
            <w:tcW w:w="3081" w:type="dxa"/>
            <w:shd w:val="clear" w:color="auto" w:fill="auto"/>
            <w:vAlign w:val="center"/>
          </w:tcPr>
          <w:p w14:paraId="1F3C19E7" w14:textId="77777777" w:rsidR="00500CC0" w:rsidRPr="004B053A" w:rsidRDefault="00500CC0" w:rsidP="00660EFF">
            <w:pPr>
              <w:rPr>
                <w:sz w:val="20"/>
                <w:szCs w:val="20"/>
              </w:rPr>
            </w:pPr>
            <w:r w:rsidRPr="004B053A">
              <w:rPr>
                <w:sz w:val="20"/>
                <w:szCs w:val="20"/>
              </w:rPr>
              <w:t>Need for strengthened mobilization of civil society and community organizations in SAP implementation</w:t>
            </w:r>
          </w:p>
        </w:tc>
        <w:tc>
          <w:tcPr>
            <w:tcW w:w="3082" w:type="dxa"/>
            <w:shd w:val="clear" w:color="auto" w:fill="auto"/>
            <w:vAlign w:val="center"/>
          </w:tcPr>
          <w:p w14:paraId="5FBA86C3" w14:textId="77777777" w:rsidR="00500CC0" w:rsidRPr="004B053A" w:rsidRDefault="00500CC0" w:rsidP="00CB247D">
            <w:pPr>
              <w:rPr>
                <w:sz w:val="20"/>
                <w:szCs w:val="20"/>
              </w:rPr>
            </w:pPr>
            <w:r w:rsidRPr="004B053A">
              <w:rPr>
                <w:sz w:val="20"/>
                <w:szCs w:val="20"/>
              </w:rPr>
              <w:t xml:space="preserve">3.2.1 Cooperation with GEF SGP in the commissioning and implementation of </w:t>
            </w:r>
            <w:r w:rsidR="00CB247D">
              <w:rPr>
                <w:sz w:val="20"/>
                <w:szCs w:val="20"/>
              </w:rPr>
              <w:t xml:space="preserve"> 12</w:t>
            </w:r>
            <w:r w:rsidRPr="004B053A">
              <w:rPr>
                <w:sz w:val="20"/>
                <w:szCs w:val="20"/>
              </w:rPr>
              <w:t xml:space="preserve"> community-based projects for SAP implementation</w:t>
            </w:r>
          </w:p>
        </w:tc>
        <w:tc>
          <w:tcPr>
            <w:tcW w:w="3082" w:type="dxa"/>
            <w:shd w:val="clear" w:color="auto" w:fill="auto"/>
            <w:vAlign w:val="center"/>
          </w:tcPr>
          <w:p w14:paraId="11D0CA7F" w14:textId="77777777" w:rsidR="00500CC0" w:rsidRPr="004B053A" w:rsidRDefault="00500CC0" w:rsidP="00660EFF">
            <w:pPr>
              <w:rPr>
                <w:sz w:val="20"/>
                <w:szCs w:val="20"/>
              </w:rPr>
            </w:pPr>
            <w:r w:rsidRPr="004B053A">
              <w:rPr>
                <w:sz w:val="20"/>
                <w:szCs w:val="20"/>
              </w:rPr>
              <w:t>Number of GEF Small Grants Programme projects commissioned and implemented in support SAP implementation</w:t>
            </w:r>
          </w:p>
        </w:tc>
      </w:tr>
      <w:tr w:rsidR="00500CC0" w:rsidRPr="005A668F" w14:paraId="43CD4D37" w14:textId="77777777" w:rsidTr="004B053A">
        <w:trPr>
          <w:trHeight w:val="20"/>
        </w:trPr>
        <w:tc>
          <w:tcPr>
            <w:tcW w:w="3081" w:type="dxa"/>
            <w:shd w:val="clear" w:color="auto" w:fill="auto"/>
            <w:vAlign w:val="center"/>
          </w:tcPr>
          <w:p w14:paraId="06D67B2C" w14:textId="77777777" w:rsidR="00500CC0" w:rsidRPr="004B053A" w:rsidRDefault="00500CC0" w:rsidP="00660EFF">
            <w:pPr>
              <w:rPr>
                <w:sz w:val="20"/>
                <w:szCs w:val="20"/>
              </w:rPr>
            </w:pPr>
            <w:r w:rsidRPr="004B053A">
              <w:rPr>
                <w:sz w:val="20"/>
                <w:szCs w:val="20"/>
              </w:rPr>
              <w:t>Need for CSO and CO inputs to planning of an SCS-SGP partnership</w:t>
            </w:r>
          </w:p>
        </w:tc>
        <w:tc>
          <w:tcPr>
            <w:tcW w:w="3082" w:type="dxa"/>
            <w:shd w:val="clear" w:color="auto" w:fill="auto"/>
            <w:vAlign w:val="center"/>
          </w:tcPr>
          <w:p w14:paraId="6D3FF98F" w14:textId="77777777" w:rsidR="00500CC0" w:rsidRPr="004B053A" w:rsidRDefault="00500CC0" w:rsidP="00660EFF">
            <w:pPr>
              <w:rPr>
                <w:sz w:val="20"/>
                <w:szCs w:val="20"/>
              </w:rPr>
            </w:pPr>
            <w:r w:rsidRPr="004B053A">
              <w:rPr>
                <w:sz w:val="20"/>
                <w:szCs w:val="20"/>
              </w:rPr>
              <w:t>3.2.2 CSO &amp; CO inputs elicited for planning and M&amp;E of the SCS-SGP partnership via annual NGO forums</w:t>
            </w:r>
          </w:p>
        </w:tc>
        <w:tc>
          <w:tcPr>
            <w:tcW w:w="3082" w:type="dxa"/>
            <w:shd w:val="clear" w:color="auto" w:fill="auto"/>
            <w:vAlign w:val="center"/>
          </w:tcPr>
          <w:p w14:paraId="4A55D417" w14:textId="77777777" w:rsidR="00500CC0" w:rsidRPr="004B053A" w:rsidRDefault="00500CC0" w:rsidP="004B053A">
            <w:pPr>
              <w:spacing w:after="120"/>
              <w:rPr>
                <w:sz w:val="20"/>
                <w:szCs w:val="20"/>
              </w:rPr>
            </w:pPr>
            <w:r w:rsidRPr="004B053A">
              <w:rPr>
                <w:sz w:val="20"/>
                <w:szCs w:val="20"/>
              </w:rPr>
              <w:t>Extent and scope of inputs from CSOs and COs</w:t>
            </w:r>
          </w:p>
          <w:p w14:paraId="59B65AFC" w14:textId="77777777" w:rsidR="00500CC0" w:rsidRPr="004B053A" w:rsidRDefault="00500CC0" w:rsidP="00500CC0">
            <w:pPr>
              <w:rPr>
                <w:sz w:val="20"/>
                <w:szCs w:val="20"/>
              </w:rPr>
            </w:pPr>
            <w:r w:rsidRPr="004B053A">
              <w:rPr>
                <w:sz w:val="20"/>
                <w:szCs w:val="20"/>
              </w:rPr>
              <w:t>Number of NGO forums convened</w:t>
            </w:r>
          </w:p>
        </w:tc>
      </w:tr>
      <w:tr w:rsidR="00500CC0" w:rsidRPr="005A668F" w14:paraId="3B8A8DD2" w14:textId="77777777" w:rsidTr="004B053A">
        <w:trPr>
          <w:trHeight w:val="20"/>
        </w:trPr>
        <w:tc>
          <w:tcPr>
            <w:tcW w:w="3081" w:type="dxa"/>
            <w:shd w:val="clear" w:color="auto" w:fill="auto"/>
            <w:vAlign w:val="center"/>
          </w:tcPr>
          <w:p w14:paraId="3617FE63" w14:textId="77777777" w:rsidR="00500CC0" w:rsidRPr="004B053A" w:rsidRDefault="00500CC0" w:rsidP="00660EFF">
            <w:pPr>
              <w:rPr>
                <w:sz w:val="20"/>
                <w:szCs w:val="20"/>
              </w:rPr>
            </w:pPr>
            <w:r w:rsidRPr="004B053A">
              <w:rPr>
                <w:sz w:val="20"/>
                <w:szCs w:val="20"/>
              </w:rPr>
              <w:t>Limited civil society and community organisation experience and capacity for coastal habitat and land-based pollution management</w:t>
            </w:r>
          </w:p>
        </w:tc>
        <w:tc>
          <w:tcPr>
            <w:tcW w:w="3082" w:type="dxa"/>
            <w:shd w:val="clear" w:color="auto" w:fill="auto"/>
            <w:vAlign w:val="center"/>
          </w:tcPr>
          <w:p w14:paraId="5186F9C6" w14:textId="77777777" w:rsidR="00500CC0" w:rsidRPr="004B053A" w:rsidRDefault="00500CC0" w:rsidP="00660EFF">
            <w:pPr>
              <w:rPr>
                <w:sz w:val="20"/>
                <w:szCs w:val="20"/>
              </w:rPr>
            </w:pPr>
            <w:r w:rsidRPr="004B053A">
              <w:rPr>
                <w:sz w:val="20"/>
                <w:szCs w:val="20"/>
              </w:rPr>
              <w:t>3.2.3 Training program on science and management of SCS coastal habitats and resources for SGP proponents</w:t>
            </w:r>
          </w:p>
        </w:tc>
        <w:tc>
          <w:tcPr>
            <w:tcW w:w="3082" w:type="dxa"/>
            <w:shd w:val="clear" w:color="auto" w:fill="auto"/>
            <w:vAlign w:val="center"/>
          </w:tcPr>
          <w:p w14:paraId="42290AA7" w14:textId="77777777" w:rsidR="00500CC0" w:rsidRPr="004B053A" w:rsidRDefault="00CB247D" w:rsidP="00660EFF">
            <w:pPr>
              <w:rPr>
                <w:sz w:val="20"/>
                <w:szCs w:val="20"/>
              </w:rPr>
            </w:pPr>
            <w:r>
              <w:rPr>
                <w:sz w:val="20"/>
                <w:szCs w:val="20"/>
              </w:rPr>
              <w:t>Number of</w:t>
            </w:r>
            <w:r w:rsidR="00500CC0" w:rsidRPr="004B053A">
              <w:rPr>
                <w:sz w:val="20"/>
                <w:szCs w:val="20"/>
              </w:rPr>
              <w:t xml:space="preserve"> SGP proponents </w:t>
            </w:r>
            <w:r>
              <w:rPr>
                <w:sz w:val="20"/>
                <w:szCs w:val="20"/>
              </w:rPr>
              <w:t xml:space="preserve">trained </w:t>
            </w:r>
            <w:r w:rsidR="00500CC0" w:rsidRPr="004B053A">
              <w:rPr>
                <w:sz w:val="20"/>
                <w:szCs w:val="20"/>
              </w:rPr>
              <w:t>to implement local actions in support of the achievement of SAP targets</w:t>
            </w:r>
          </w:p>
        </w:tc>
      </w:tr>
    </w:tbl>
    <w:p w14:paraId="4D6F935F" w14:textId="77777777" w:rsidR="00500CC0" w:rsidRDefault="00500CC0" w:rsidP="00204C8A">
      <w:pPr>
        <w:jc w:val="both"/>
        <w:rPr>
          <w:sz w:val="22"/>
          <w:szCs w:val="22"/>
          <w:lang w:val="en-GB"/>
        </w:rPr>
      </w:pPr>
    </w:p>
    <w:p w14:paraId="4C75746F" w14:textId="77777777" w:rsidR="00204C8A" w:rsidRPr="00204C8A" w:rsidRDefault="00204C8A" w:rsidP="00D21082">
      <w:pPr>
        <w:spacing w:after="120"/>
        <w:ind w:left="1440" w:hanging="1440"/>
        <w:jc w:val="both"/>
        <w:rPr>
          <w:b/>
          <w:sz w:val="22"/>
          <w:szCs w:val="22"/>
          <w:lang w:val="en-GB"/>
        </w:rPr>
      </w:pPr>
      <w:r w:rsidRPr="00204C8A">
        <w:rPr>
          <w:b/>
          <w:sz w:val="22"/>
          <w:szCs w:val="22"/>
          <w:lang w:val="en-GB"/>
        </w:rPr>
        <w:t xml:space="preserve">Outcome 3.3 </w:t>
      </w:r>
      <w:r w:rsidRPr="00204C8A">
        <w:rPr>
          <w:b/>
          <w:sz w:val="22"/>
          <w:szCs w:val="22"/>
          <w:lang w:val="en-GB"/>
        </w:rPr>
        <w:tab/>
        <w:t>Relationships between central and local governments and the private sector strengthened and formalized</w:t>
      </w:r>
    </w:p>
    <w:p w14:paraId="5100A6C2" w14:textId="77777777" w:rsidR="007F4C4C" w:rsidRDefault="00204C8A" w:rsidP="00D21082">
      <w:pPr>
        <w:numPr>
          <w:ilvl w:val="0"/>
          <w:numId w:val="3"/>
        </w:numPr>
        <w:spacing w:after="120"/>
        <w:ind w:left="0" w:firstLine="0"/>
        <w:jc w:val="both"/>
        <w:rPr>
          <w:sz w:val="22"/>
          <w:szCs w:val="22"/>
          <w:lang w:val="en-GB"/>
        </w:rPr>
      </w:pPr>
      <w:r>
        <w:rPr>
          <w:sz w:val="22"/>
          <w:szCs w:val="22"/>
          <w:lang w:val="en-GB"/>
        </w:rPr>
        <w:t xml:space="preserve">Policy makers of the East Asian countries increasingly recognise the importance of the private sector in the sustainable development of national economies, particularly the need for commercially viable </w:t>
      </w:r>
      <w:r w:rsidR="00D21082">
        <w:rPr>
          <w:sz w:val="22"/>
          <w:szCs w:val="22"/>
          <w:lang w:val="en-GB"/>
        </w:rPr>
        <w:t>activities that simultaneously deliver local and global development and environmental benefits. While it is acknowledged that priorities of the public and private sectors are often quite different, activities of this project are designed to promote the development of public-private partnerships aimed at leveraging their respective interests for innovation and impact. This is considered central to the financial sustainability of the SAP approach fostered by the GEF International Waters focal area. Particularly from the perspective of coordinated investments in SAP implementation. A consultative approach to identifying opportunities for private sector investment will be adopted, including national and regional investment forums to facilitate cooperation with the private sector and donors on investment in the implementation of the revised SAP.</w:t>
      </w:r>
    </w:p>
    <w:p w14:paraId="210A318D" w14:textId="77777777" w:rsidR="00D21082" w:rsidRDefault="00A66B5D" w:rsidP="00A66B5D">
      <w:pPr>
        <w:numPr>
          <w:ilvl w:val="0"/>
          <w:numId w:val="3"/>
        </w:numPr>
        <w:spacing w:after="120"/>
        <w:ind w:left="0" w:firstLine="0"/>
        <w:jc w:val="both"/>
        <w:rPr>
          <w:sz w:val="22"/>
          <w:szCs w:val="22"/>
          <w:lang w:val="en-GB"/>
        </w:rPr>
      </w:pPr>
      <w:r w:rsidRPr="00A66B5D">
        <w:rPr>
          <w:sz w:val="22"/>
          <w:szCs w:val="22"/>
          <w:lang w:val="en-GB"/>
        </w:rPr>
        <w:t>Significant commercial enterprise is conducted in waters of the South China Sea, particularly in the areas of oil and gas, fisheries and tourism. Preparation of this present project identified that while many private sector oganisations operate corporate social and environmental responsibility programmes, these are rarely aligned with coastal and marine environmental management. Accordingly, supporting activities will be implemented to review past and ongoing public-private partnerships for coastal management in SCS region and identify opportunities for private sector investment (e.g. oil and gas, fisheries, tourism) in implementation of the updated SAP. These preparatory activities will feed into the abovementioned partnership forums to facilitate cooperation with the private sector on implementation of the updated SAP.</w:t>
      </w:r>
      <w:r>
        <w:rPr>
          <w:sz w:val="22"/>
          <w:szCs w:val="22"/>
          <w:lang w:val="en-GB"/>
        </w:rPr>
        <w:t xml:space="preserve"> </w:t>
      </w:r>
      <w:r w:rsidR="00896AFF">
        <w:rPr>
          <w:sz w:val="22"/>
          <w:szCs w:val="22"/>
          <w:lang w:val="en-GB"/>
        </w:rPr>
        <w:t>Specific targets for Outcome 3.3 are outlined in Table 39.</w:t>
      </w:r>
    </w:p>
    <w:p w14:paraId="1F1BB63B" w14:textId="77777777" w:rsidR="00500CC0" w:rsidRDefault="00A66B5D" w:rsidP="00A66B5D">
      <w:pPr>
        <w:spacing w:after="120"/>
        <w:jc w:val="both"/>
        <w:rPr>
          <w:sz w:val="22"/>
          <w:szCs w:val="22"/>
          <w:lang w:val="en-GB"/>
        </w:rPr>
      </w:pPr>
      <w:r w:rsidRPr="00A66B5D">
        <w:rPr>
          <w:b/>
          <w:sz w:val="22"/>
          <w:szCs w:val="22"/>
          <w:lang w:val="en-GB"/>
        </w:rPr>
        <w:t>Table 39</w:t>
      </w:r>
      <w:r w:rsidRPr="00A66B5D">
        <w:rPr>
          <w:sz w:val="22"/>
          <w:szCs w:val="22"/>
          <w:lang w:val="en-GB"/>
        </w:rPr>
        <w:tab/>
        <w:t>Baselines, targets and project indicators for Outcome 3.</w:t>
      </w:r>
      <w:r>
        <w:rPr>
          <w:sz w:val="22"/>
          <w:szCs w:val="22"/>
          <w:lang w:val="en-GB"/>
        </w:rPr>
        <w:t>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0"/>
        <w:gridCol w:w="3021"/>
        <w:gridCol w:w="3021"/>
      </w:tblGrid>
      <w:tr w:rsidR="00A66B5D" w:rsidRPr="005A668F" w14:paraId="13F8D9F1" w14:textId="77777777" w:rsidTr="004B053A">
        <w:tc>
          <w:tcPr>
            <w:tcW w:w="3081" w:type="dxa"/>
            <w:shd w:val="clear" w:color="auto" w:fill="auto"/>
            <w:vAlign w:val="center"/>
          </w:tcPr>
          <w:p w14:paraId="052ABE45" w14:textId="77777777" w:rsidR="00A66B5D" w:rsidRPr="004B053A" w:rsidRDefault="00A66B5D" w:rsidP="004B053A">
            <w:pPr>
              <w:jc w:val="center"/>
              <w:rPr>
                <w:b/>
                <w:sz w:val="20"/>
                <w:szCs w:val="20"/>
              </w:rPr>
            </w:pPr>
            <w:r w:rsidRPr="004B053A">
              <w:rPr>
                <w:b/>
                <w:sz w:val="20"/>
                <w:szCs w:val="20"/>
              </w:rPr>
              <w:t>Baselines</w:t>
            </w:r>
          </w:p>
        </w:tc>
        <w:tc>
          <w:tcPr>
            <w:tcW w:w="3082" w:type="dxa"/>
            <w:shd w:val="clear" w:color="auto" w:fill="auto"/>
            <w:vAlign w:val="center"/>
          </w:tcPr>
          <w:p w14:paraId="53D1FF75" w14:textId="77777777" w:rsidR="00A66B5D" w:rsidRPr="004B053A" w:rsidRDefault="00A66B5D" w:rsidP="004B053A">
            <w:pPr>
              <w:jc w:val="center"/>
              <w:rPr>
                <w:b/>
                <w:sz w:val="20"/>
                <w:szCs w:val="20"/>
              </w:rPr>
            </w:pPr>
            <w:r w:rsidRPr="004B053A">
              <w:rPr>
                <w:b/>
                <w:sz w:val="20"/>
                <w:szCs w:val="20"/>
              </w:rPr>
              <w:t>Targets</w:t>
            </w:r>
          </w:p>
        </w:tc>
        <w:tc>
          <w:tcPr>
            <w:tcW w:w="3082" w:type="dxa"/>
            <w:shd w:val="clear" w:color="auto" w:fill="auto"/>
            <w:vAlign w:val="center"/>
          </w:tcPr>
          <w:p w14:paraId="3A4213A8" w14:textId="77777777" w:rsidR="00A66B5D" w:rsidRPr="004B053A" w:rsidRDefault="00A66B5D" w:rsidP="004B053A">
            <w:pPr>
              <w:jc w:val="center"/>
              <w:rPr>
                <w:b/>
                <w:sz w:val="20"/>
                <w:szCs w:val="20"/>
              </w:rPr>
            </w:pPr>
            <w:r w:rsidRPr="004B053A">
              <w:rPr>
                <w:b/>
                <w:sz w:val="20"/>
                <w:szCs w:val="20"/>
              </w:rPr>
              <w:t>Indicators</w:t>
            </w:r>
          </w:p>
        </w:tc>
      </w:tr>
      <w:tr w:rsidR="00A66B5D" w:rsidRPr="005A668F" w14:paraId="4683729A" w14:textId="77777777" w:rsidTr="004B053A">
        <w:trPr>
          <w:trHeight w:val="20"/>
        </w:trPr>
        <w:tc>
          <w:tcPr>
            <w:tcW w:w="3081" w:type="dxa"/>
            <w:shd w:val="clear" w:color="auto" w:fill="auto"/>
            <w:vAlign w:val="center"/>
          </w:tcPr>
          <w:p w14:paraId="4CCDB815" w14:textId="77777777" w:rsidR="00A66B5D" w:rsidRPr="004B053A" w:rsidRDefault="00A66B5D" w:rsidP="00660EFF">
            <w:pPr>
              <w:rPr>
                <w:sz w:val="20"/>
                <w:szCs w:val="20"/>
              </w:rPr>
            </w:pPr>
            <w:r w:rsidRPr="004B053A">
              <w:rPr>
                <w:sz w:val="20"/>
                <w:szCs w:val="20"/>
              </w:rPr>
              <w:t>Many private sector oganisations operate corporate social and environmental responsibility programmes but they are not aligned with SAP implementation</w:t>
            </w:r>
          </w:p>
        </w:tc>
        <w:tc>
          <w:tcPr>
            <w:tcW w:w="3082" w:type="dxa"/>
            <w:shd w:val="clear" w:color="auto" w:fill="auto"/>
            <w:vAlign w:val="center"/>
          </w:tcPr>
          <w:p w14:paraId="0B1BED0D" w14:textId="77777777" w:rsidR="00A66B5D" w:rsidRPr="004B053A" w:rsidRDefault="00A66B5D" w:rsidP="00660EFF">
            <w:pPr>
              <w:rPr>
                <w:sz w:val="20"/>
                <w:szCs w:val="20"/>
              </w:rPr>
            </w:pPr>
            <w:r w:rsidRPr="004B053A">
              <w:rPr>
                <w:sz w:val="20"/>
                <w:szCs w:val="20"/>
              </w:rPr>
              <w:t>3.3.1 Review of past and ongoing public-private partnerships for coastal management in SCS region</w:t>
            </w:r>
          </w:p>
        </w:tc>
        <w:tc>
          <w:tcPr>
            <w:tcW w:w="3082" w:type="dxa"/>
            <w:shd w:val="clear" w:color="auto" w:fill="auto"/>
            <w:vAlign w:val="center"/>
          </w:tcPr>
          <w:p w14:paraId="4961C305" w14:textId="77777777" w:rsidR="00A66B5D" w:rsidRPr="004B053A" w:rsidRDefault="00A66B5D" w:rsidP="00660EFF">
            <w:pPr>
              <w:rPr>
                <w:sz w:val="20"/>
                <w:szCs w:val="20"/>
              </w:rPr>
            </w:pPr>
            <w:r w:rsidRPr="004B053A">
              <w:rPr>
                <w:sz w:val="20"/>
                <w:szCs w:val="20"/>
              </w:rPr>
              <w:t>Number of public-private partnerships identified and documented</w:t>
            </w:r>
          </w:p>
        </w:tc>
      </w:tr>
      <w:tr w:rsidR="00A66B5D" w:rsidRPr="005A668F" w14:paraId="694CBF72" w14:textId="77777777" w:rsidTr="004B053A">
        <w:trPr>
          <w:trHeight w:val="20"/>
        </w:trPr>
        <w:tc>
          <w:tcPr>
            <w:tcW w:w="3081" w:type="dxa"/>
            <w:shd w:val="clear" w:color="auto" w:fill="auto"/>
            <w:vAlign w:val="center"/>
          </w:tcPr>
          <w:p w14:paraId="3BD06B57" w14:textId="77777777" w:rsidR="00A66B5D" w:rsidRPr="004B053A" w:rsidRDefault="00A66B5D" w:rsidP="00660EFF">
            <w:pPr>
              <w:rPr>
                <w:sz w:val="20"/>
                <w:szCs w:val="20"/>
              </w:rPr>
            </w:pPr>
            <w:r w:rsidRPr="004B053A">
              <w:rPr>
                <w:sz w:val="20"/>
                <w:szCs w:val="20"/>
              </w:rPr>
              <w:t>Significant commercial enterprise is conducted in waters of the South China Sea, particularly in the areas of oil and gas, fisheries and tourism</w:t>
            </w:r>
          </w:p>
        </w:tc>
        <w:tc>
          <w:tcPr>
            <w:tcW w:w="3082" w:type="dxa"/>
            <w:shd w:val="clear" w:color="auto" w:fill="auto"/>
            <w:vAlign w:val="center"/>
          </w:tcPr>
          <w:p w14:paraId="45B2C9F0" w14:textId="77777777" w:rsidR="00A66B5D" w:rsidRPr="004B053A" w:rsidRDefault="00A66B5D" w:rsidP="00660EFF">
            <w:pPr>
              <w:rPr>
                <w:sz w:val="20"/>
                <w:szCs w:val="20"/>
              </w:rPr>
            </w:pPr>
            <w:r w:rsidRPr="004B053A">
              <w:rPr>
                <w:sz w:val="20"/>
                <w:szCs w:val="20"/>
              </w:rPr>
              <w:t>3.3.2 Identification of opportunities for private sector investment (e.g. oil and gas, fisheries, tourism) in implementation of the updated SAP</w:t>
            </w:r>
          </w:p>
        </w:tc>
        <w:tc>
          <w:tcPr>
            <w:tcW w:w="3082" w:type="dxa"/>
            <w:shd w:val="clear" w:color="auto" w:fill="auto"/>
            <w:vAlign w:val="center"/>
          </w:tcPr>
          <w:p w14:paraId="76F9D426" w14:textId="77777777" w:rsidR="00A66B5D" w:rsidRPr="004B053A" w:rsidRDefault="00A66B5D" w:rsidP="00660EFF">
            <w:pPr>
              <w:rPr>
                <w:sz w:val="20"/>
                <w:szCs w:val="20"/>
              </w:rPr>
            </w:pPr>
            <w:r w:rsidRPr="004B053A">
              <w:rPr>
                <w:sz w:val="20"/>
                <w:szCs w:val="20"/>
              </w:rPr>
              <w:t>Number of opportunities for private sector investment in SAP implementation identified</w:t>
            </w:r>
          </w:p>
        </w:tc>
      </w:tr>
      <w:tr w:rsidR="00A66B5D" w:rsidRPr="005A668F" w14:paraId="2CE60507" w14:textId="77777777" w:rsidTr="004B053A">
        <w:trPr>
          <w:trHeight w:val="20"/>
        </w:trPr>
        <w:tc>
          <w:tcPr>
            <w:tcW w:w="3081" w:type="dxa"/>
            <w:shd w:val="clear" w:color="auto" w:fill="auto"/>
            <w:vAlign w:val="center"/>
          </w:tcPr>
          <w:p w14:paraId="40596C2E" w14:textId="77777777" w:rsidR="00A66B5D" w:rsidRPr="004B053A" w:rsidRDefault="00A66B5D" w:rsidP="00660EFF">
            <w:pPr>
              <w:rPr>
                <w:sz w:val="20"/>
                <w:szCs w:val="20"/>
              </w:rPr>
            </w:pPr>
            <w:r w:rsidRPr="004B053A">
              <w:rPr>
                <w:sz w:val="20"/>
                <w:szCs w:val="20"/>
              </w:rPr>
              <w:t>Low-level mobilization of the private sector in environmental investment planning in the South China Sea</w:t>
            </w:r>
          </w:p>
        </w:tc>
        <w:tc>
          <w:tcPr>
            <w:tcW w:w="3082" w:type="dxa"/>
            <w:shd w:val="clear" w:color="auto" w:fill="auto"/>
            <w:vAlign w:val="center"/>
          </w:tcPr>
          <w:p w14:paraId="4197EC8A" w14:textId="77777777" w:rsidR="00A66B5D" w:rsidRPr="004B053A" w:rsidRDefault="00A66B5D" w:rsidP="00660EFF">
            <w:pPr>
              <w:rPr>
                <w:sz w:val="20"/>
                <w:szCs w:val="20"/>
              </w:rPr>
            </w:pPr>
            <w:r w:rsidRPr="004B053A">
              <w:rPr>
                <w:sz w:val="20"/>
                <w:szCs w:val="20"/>
              </w:rPr>
              <w:t>3.3.3 Two partnership forums to facilitate cooperation with private sector on implementation of the updated SAP</w:t>
            </w:r>
          </w:p>
        </w:tc>
        <w:tc>
          <w:tcPr>
            <w:tcW w:w="3082" w:type="dxa"/>
            <w:shd w:val="clear" w:color="auto" w:fill="auto"/>
            <w:vAlign w:val="center"/>
          </w:tcPr>
          <w:p w14:paraId="7C5A3D13" w14:textId="77777777" w:rsidR="00A66B5D" w:rsidRPr="004B053A" w:rsidRDefault="00A66B5D" w:rsidP="00660EFF">
            <w:pPr>
              <w:rPr>
                <w:sz w:val="20"/>
                <w:szCs w:val="20"/>
              </w:rPr>
            </w:pPr>
            <w:r w:rsidRPr="004B053A">
              <w:rPr>
                <w:sz w:val="20"/>
                <w:szCs w:val="20"/>
              </w:rPr>
              <w:t>Status of agreement on financial arrangements for private sector and donor investment in the implementation of the revised Strategic Action Programme</w:t>
            </w:r>
          </w:p>
        </w:tc>
      </w:tr>
    </w:tbl>
    <w:p w14:paraId="0F5BB297" w14:textId="77777777" w:rsidR="00A66B5D" w:rsidRPr="00BF42B2" w:rsidRDefault="00A66B5D" w:rsidP="00BF42B2">
      <w:pPr>
        <w:spacing w:before="120" w:after="120"/>
        <w:ind w:left="1440" w:hanging="1440"/>
        <w:jc w:val="both"/>
        <w:rPr>
          <w:b/>
          <w:sz w:val="22"/>
          <w:szCs w:val="22"/>
          <w:lang w:val="en-GB"/>
        </w:rPr>
      </w:pPr>
      <w:r w:rsidRPr="00BF42B2">
        <w:rPr>
          <w:b/>
          <w:sz w:val="22"/>
          <w:szCs w:val="22"/>
          <w:lang w:val="en-GB"/>
        </w:rPr>
        <w:t xml:space="preserve">Outcome 3.4 </w:t>
      </w:r>
      <w:r w:rsidRPr="00BF42B2">
        <w:rPr>
          <w:b/>
          <w:sz w:val="22"/>
          <w:szCs w:val="22"/>
          <w:lang w:val="en-GB"/>
        </w:rPr>
        <w:tab/>
        <w:t>Revitalization of regional mechanisms for communications, knowledge exchange, and information and data management and sharing</w:t>
      </w:r>
    </w:p>
    <w:p w14:paraId="4BDF048D" w14:textId="77777777" w:rsidR="00A66B5D" w:rsidRDefault="00BF42B2" w:rsidP="00BF42B2">
      <w:pPr>
        <w:numPr>
          <w:ilvl w:val="0"/>
          <w:numId w:val="3"/>
        </w:numPr>
        <w:spacing w:after="120"/>
        <w:ind w:left="0" w:firstLine="0"/>
        <w:jc w:val="both"/>
        <w:rPr>
          <w:sz w:val="22"/>
          <w:szCs w:val="22"/>
          <w:lang w:val="en-GB"/>
        </w:rPr>
      </w:pPr>
      <w:r w:rsidRPr="00BF42B2">
        <w:rPr>
          <w:sz w:val="22"/>
          <w:szCs w:val="22"/>
          <w:lang w:val="en-GB"/>
        </w:rPr>
        <w:t xml:space="preserve">The component will also revitalize and strengthen regional mechanisms for communications, knowledge exchange, and information </w:t>
      </w:r>
      <w:r>
        <w:rPr>
          <w:sz w:val="22"/>
          <w:szCs w:val="22"/>
          <w:lang w:val="en-GB"/>
        </w:rPr>
        <w:t xml:space="preserve">and data management and sharing. </w:t>
      </w:r>
      <w:r w:rsidRPr="00BF42B2">
        <w:rPr>
          <w:sz w:val="22"/>
          <w:szCs w:val="22"/>
          <w:lang w:val="en-GB"/>
        </w:rPr>
        <w:t>This will involve the development and implementation of a communications strategy for the delivery of targeted messaging to national level stakeholders, regional supporting organizations and projects, and donors on the results of SAP implementation and related efforts in strengthening regional cooperation. This is aimed at stimulating support and awareness of necessary policy and legal reforms and in ensuring that best practices generated at the national level are captured, shared and effectively communicated to guide the longer-term sustainability of investments. Regionally appropriate knowledge tools will also developed to support decision-making and planning. This component also includes the sustained operation of the SCS project web portal &lt;www.unepscs.org&gt; and associated regional databases, which will also be linked to IW-Learn and other GEF Knowledge management systems. Active engagement with GEF IW:LEARN [1% of project resources], including participation in IW conferences and 3 experience notes, will also be fostered.</w:t>
      </w:r>
      <w:r w:rsidR="00896AFF">
        <w:rPr>
          <w:sz w:val="22"/>
          <w:szCs w:val="22"/>
          <w:lang w:val="en-GB"/>
        </w:rPr>
        <w:t xml:space="preserve"> Project activities will also result in the publication of </w:t>
      </w:r>
      <w:r w:rsidR="00896AFF" w:rsidRPr="00896AFF">
        <w:rPr>
          <w:sz w:val="22"/>
          <w:szCs w:val="22"/>
          <w:lang w:val="en-GB"/>
        </w:rPr>
        <w:t>synthesis reports on: climate variability in coastal systems; hazards and coastal area planning; blue forests and livelihoods; and land and marine tenure and use designatio</w:t>
      </w:r>
      <w:r w:rsidR="00896AFF">
        <w:rPr>
          <w:sz w:val="22"/>
          <w:szCs w:val="22"/>
          <w:lang w:val="en-GB"/>
        </w:rPr>
        <w:t>n. Specific targets for Outcome 3.4 are outlined in Table 40.</w:t>
      </w:r>
    </w:p>
    <w:p w14:paraId="45BE69D1" w14:textId="77777777" w:rsidR="00896AFF" w:rsidRDefault="00896AFF" w:rsidP="00896AFF">
      <w:pPr>
        <w:spacing w:after="120"/>
        <w:jc w:val="both"/>
        <w:rPr>
          <w:sz w:val="22"/>
          <w:szCs w:val="22"/>
          <w:lang w:val="en-GB"/>
        </w:rPr>
      </w:pPr>
      <w:r w:rsidRPr="00896AFF">
        <w:rPr>
          <w:b/>
          <w:sz w:val="22"/>
          <w:szCs w:val="22"/>
          <w:lang w:val="en-GB"/>
        </w:rPr>
        <w:t>Table 40</w:t>
      </w:r>
      <w:r>
        <w:rPr>
          <w:sz w:val="22"/>
          <w:szCs w:val="22"/>
          <w:lang w:val="en-GB"/>
        </w:rPr>
        <w:tab/>
        <w:t>Baselines, targets and project indicators for Outcome 3.4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34"/>
        <w:gridCol w:w="3009"/>
      </w:tblGrid>
      <w:tr w:rsidR="00896AFF" w:rsidRPr="005A668F" w14:paraId="498186EE" w14:textId="77777777" w:rsidTr="004B053A">
        <w:tc>
          <w:tcPr>
            <w:tcW w:w="3081" w:type="dxa"/>
            <w:shd w:val="clear" w:color="auto" w:fill="auto"/>
            <w:vAlign w:val="center"/>
          </w:tcPr>
          <w:p w14:paraId="34EE538A" w14:textId="77777777" w:rsidR="00896AFF" w:rsidRPr="004B053A" w:rsidRDefault="00896AFF" w:rsidP="004B053A">
            <w:pPr>
              <w:jc w:val="center"/>
              <w:rPr>
                <w:b/>
                <w:sz w:val="20"/>
                <w:szCs w:val="20"/>
              </w:rPr>
            </w:pPr>
            <w:r w:rsidRPr="004B053A">
              <w:rPr>
                <w:b/>
                <w:sz w:val="20"/>
                <w:szCs w:val="20"/>
              </w:rPr>
              <w:t>Baselines</w:t>
            </w:r>
          </w:p>
        </w:tc>
        <w:tc>
          <w:tcPr>
            <w:tcW w:w="3082" w:type="dxa"/>
            <w:shd w:val="clear" w:color="auto" w:fill="auto"/>
            <w:vAlign w:val="center"/>
          </w:tcPr>
          <w:p w14:paraId="36079C17" w14:textId="77777777" w:rsidR="00896AFF" w:rsidRPr="004B053A" w:rsidRDefault="00896AFF" w:rsidP="004B053A">
            <w:pPr>
              <w:jc w:val="center"/>
              <w:rPr>
                <w:b/>
                <w:sz w:val="20"/>
                <w:szCs w:val="20"/>
              </w:rPr>
            </w:pPr>
            <w:r w:rsidRPr="004B053A">
              <w:rPr>
                <w:b/>
                <w:sz w:val="20"/>
                <w:szCs w:val="20"/>
              </w:rPr>
              <w:t>Targets</w:t>
            </w:r>
          </w:p>
        </w:tc>
        <w:tc>
          <w:tcPr>
            <w:tcW w:w="3082" w:type="dxa"/>
            <w:shd w:val="clear" w:color="auto" w:fill="auto"/>
            <w:vAlign w:val="center"/>
          </w:tcPr>
          <w:p w14:paraId="5CFBF8B8" w14:textId="77777777" w:rsidR="00896AFF" w:rsidRPr="004B053A" w:rsidRDefault="00896AFF" w:rsidP="004B053A">
            <w:pPr>
              <w:jc w:val="center"/>
              <w:rPr>
                <w:b/>
                <w:sz w:val="20"/>
                <w:szCs w:val="20"/>
              </w:rPr>
            </w:pPr>
            <w:r w:rsidRPr="004B053A">
              <w:rPr>
                <w:b/>
                <w:sz w:val="20"/>
                <w:szCs w:val="20"/>
              </w:rPr>
              <w:t>Indicators</w:t>
            </w:r>
          </w:p>
        </w:tc>
      </w:tr>
      <w:tr w:rsidR="00896AFF" w:rsidRPr="005A668F" w14:paraId="5BAD47A3" w14:textId="77777777" w:rsidTr="004B053A">
        <w:trPr>
          <w:trHeight w:val="20"/>
        </w:trPr>
        <w:tc>
          <w:tcPr>
            <w:tcW w:w="3081" w:type="dxa"/>
            <w:shd w:val="clear" w:color="auto" w:fill="auto"/>
            <w:vAlign w:val="center"/>
          </w:tcPr>
          <w:p w14:paraId="09223B5F" w14:textId="77777777" w:rsidR="00896AFF" w:rsidRPr="004B053A" w:rsidRDefault="00F51D42" w:rsidP="00660EFF">
            <w:pPr>
              <w:rPr>
                <w:sz w:val="20"/>
                <w:szCs w:val="20"/>
              </w:rPr>
            </w:pPr>
            <w:r w:rsidRPr="004B053A">
              <w:rPr>
                <w:sz w:val="20"/>
                <w:szCs w:val="20"/>
              </w:rPr>
              <w:t>The SCS project produced an extensive range of knowledge products, technical guides, and training and awareness materials</w:t>
            </w:r>
          </w:p>
        </w:tc>
        <w:tc>
          <w:tcPr>
            <w:tcW w:w="3082" w:type="dxa"/>
            <w:shd w:val="clear" w:color="auto" w:fill="auto"/>
            <w:vAlign w:val="center"/>
          </w:tcPr>
          <w:p w14:paraId="014C5600" w14:textId="77777777" w:rsidR="00896AFF" w:rsidRPr="004B053A" w:rsidRDefault="00F51D42" w:rsidP="00660EFF">
            <w:pPr>
              <w:rPr>
                <w:sz w:val="20"/>
                <w:szCs w:val="20"/>
              </w:rPr>
            </w:pPr>
            <w:r w:rsidRPr="004B053A">
              <w:rPr>
                <w:sz w:val="20"/>
                <w:szCs w:val="20"/>
              </w:rPr>
              <w:t>3.4.1 A variety of multi-media information and knowledge products based on SCS SAP implementation communications strategy</w:t>
            </w:r>
          </w:p>
        </w:tc>
        <w:tc>
          <w:tcPr>
            <w:tcW w:w="3082" w:type="dxa"/>
            <w:shd w:val="clear" w:color="auto" w:fill="auto"/>
            <w:vAlign w:val="center"/>
          </w:tcPr>
          <w:p w14:paraId="688BF119" w14:textId="77777777" w:rsidR="00896AFF" w:rsidRPr="004B053A" w:rsidRDefault="00F51D42" w:rsidP="00660EFF">
            <w:pPr>
              <w:rPr>
                <w:sz w:val="20"/>
                <w:szCs w:val="20"/>
              </w:rPr>
            </w:pPr>
            <w:r w:rsidRPr="004B053A">
              <w:rPr>
                <w:sz w:val="20"/>
                <w:szCs w:val="20"/>
              </w:rPr>
              <w:t>Number of multi-media and knowledge products produced</w:t>
            </w:r>
          </w:p>
        </w:tc>
      </w:tr>
      <w:tr w:rsidR="00896AFF" w:rsidRPr="005A668F" w14:paraId="15C8BB72" w14:textId="77777777" w:rsidTr="004B053A">
        <w:trPr>
          <w:trHeight w:val="20"/>
        </w:trPr>
        <w:tc>
          <w:tcPr>
            <w:tcW w:w="3081" w:type="dxa"/>
            <w:shd w:val="clear" w:color="auto" w:fill="auto"/>
            <w:vAlign w:val="center"/>
          </w:tcPr>
          <w:p w14:paraId="21A231AD" w14:textId="77777777" w:rsidR="00896AFF" w:rsidRPr="004B053A" w:rsidRDefault="00F51D42" w:rsidP="00660EFF">
            <w:pPr>
              <w:rPr>
                <w:sz w:val="20"/>
                <w:szCs w:val="20"/>
              </w:rPr>
            </w:pPr>
            <w:r w:rsidRPr="004B053A">
              <w:rPr>
                <w:sz w:val="20"/>
                <w:szCs w:val="20"/>
              </w:rPr>
              <w:t>Transboundary coastal and marine mgmt. spatial planning constrained by lack of a regionally coordinated approach to harnessing sectorial expertise and knowledge</w:t>
            </w:r>
          </w:p>
        </w:tc>
        <w:tc>
          <w:tcPr>
            <w:tcW w:w="3082" w:type="dxa"/>
            <w:shd w:val="clear" w:color="auto" w:fill="auto"/>
            <w:vAlign w:val="center"/>
          </w:tcPr>
          <w:p w14:paraId="66587E2E" w14:textId="77777777" w:rsidR="00896AFF" w:rsidRPr="004B053A" w:rsidRDefault="00F51D42" w:rsidP="00660EFF">
            <w:pPr>
              <w:rPr>
                <w:sz w:val="20"/>
                <w:szCs w:val="20"/>
              </w:rPr>
            </w:pPr>
            <w:r w:rsidRPr="004B053A">
              <w:rPr>
                <w:sz w:val="20"/>
                <w:szCs w:val="20"/>
              </w:rPr>
              <w:t>3.4.2 Regionally appropriate knowledge tools developed to support decision-making and planning</w:t>
            </w:r>
          </w:p>
        </w:tc>
        <w:tc>
          <w:tcPr>
            <w:tcW w:w="3082" w:type="dxa"/>
            <w:shd w:val="clear" w:color="auto" w:fill="auto"/>
            <w:vAlign w:val="center"/>
          </w:tcPr>
          <w:p w14:paraId="6BED9DB9" w14:textId="77777777" w:rsidR="00896AFF" w:rsidRPr="004B053A" w:rsidRDefault="00F51D42" w:rsidP="00660EFF">
            <w:pPr>
              <w:rPr>
                <w:sz w:val="20"/>
                <w:szCs w:val="20"/>
              </w:rPr>
            </w:pPr>
            <w:r w:rsidRPr="004B053A">
              <w:rPr>
                <w:sz w:val="20"/>
                <w:szCs w:val="20"/>
              </w:rPr>
              <w:t>Status of knowledge tool development to support evidence-based coastal and marine management and spatial planning</w:t>
            </w:r>
          </w:p>
        </w:tc>
      </w:tr>
      <w:tr w:rsidR="00896AFF" w:rsidRPr="005A668F" w14:paraId="273DA883" w14:textId="77777777" w:rsidTr="004B053A">
        <w:trPr>
          <w:trHeight w:val="20"/>
        </w:trPr>
        <w:tc>
          <w:tcPr>
            <w:tcW w:w="3081" w:type="dxa"/>
            <w:shd w:val="clear" w:color="auto" w:fill="auto"/>
            <w:vAlign w:val="center"/>
          </w:tcPr>
          <w:p w14:paraId="50CBB3FE" w14:textId="77777777" w:rsidR="00896AFF" w:rsidRPr="004B053A" w:rsidRDefault="00F51D42" w:rsidP="00660EFF">
            <w:pPr>
              <w:rPr>
                <w:sz w:val="20"/>
                <w:szCs w:val="20"/>
              </w:rPr>
            </w:pPr>
            <w:r w:rsidRPr="004B053A">
              <w:rPr>
                <w:sz w:val="20"/>
                <w:szCs w:val="20"/>
              </w:rPr>
              <w:t>Need for media platforms and targeted communications in support of efforts to harness support for inter-ministerial coordination and policy and planning elements of SAP implementation and revision</w:t>
            </w:r>
          </w:p>
        </w:tc>
        <w:tc>
          <w:tcPr>
            <w:tcW w:w="3082" w:type="dxa"/>
            <w:shd w:val="clear" w:color="auto" w:fill="auto"/>
            <w:vAlign w:val="center"/>
          </w:tcPr>
          <w:p w14:paraId="31C4FE3A" w14:textId="77777777" w:rsidR="00896AFF" w:rsidRPr="004B053A" w:rsidRDefault="00F51D42" w:rsidP="00660EFF">
            <w:pPr>
              <w:rPr>
                <w:sz w:val="20"/>
                <w:szCs w:val="20"/>
              </w:rPr>
            </w:pPr>
            <w:r w:rsidRPr="004B053A">
              <w:rPr>
                <w:sz w:val="20"/>
                <w:szCs w:val="20"/>
              </w:rPr>
              <w:t>3.4.3 The SCS project web portal &lt;www.unepscs.org&gt; and associated regional databases online, updated and linked to IW-Learn and other GEF Knowledge management systems</w:t>
            </w:r>
          </w:p>
        </w:tc>
        <w:tc>
          <w:tcPr>
            <w:tcW w:w="3082" w:type="dxa"/>
            <w:shd w:val="clear" w:color="auto" w:fill="auto"/>
            <w:vAlign w:val="center"/>
          </w:tcPr>
          <w:p w14:paraId="6D59C093" w14:textId="77777777" w:rsidR="00896AFF" w:rsidRPr="004B053A" w:rsidRDefault="00F51D42" w:rsidP="00660EFF">
            <w:pPr>
              <w:rPr>
                <w:sz w:val="20"/>
                <w:szCs w:val="20"/>
              </w:rPr>
            </w:pPr>
            <w:r w:rsidRPr="004B053A">
              <w:rPr>
                <w:sz w:val="20"/>
                <w:szCs w:val="20"/>
              </w:rPr>
              <w:t>Number of users, volume of content accessed, and online visibility of the SCS website and associated databases</w:t>
            </w:r>
          </w:p>
        </w:tc>
      </w:tr>
      <w:tr w:rsidR="00F51D42" w:rsidRPr="005A668F" w14:paraId="0F367F30" w14:textId="77777777" w:rsidTr="004B053A">
        <w:trPr>
          <w:trHeight w:val="20"/>
        </w:trPr>
        <w:tc>
          <w:tcPr>
            <w:tcW w:w="3081" w:type="dxa"/>
            <w:shd w:val="clear" w:color="auto" w:fill="auto"/>
            <w:vAlign w:val="center"/>
          </w:tcPr>
          <w:p w14:paraId="03766CA8" w14:textId="77777777" w:rsidR="00F51D42" w:rsidRPr="004B053A" w:rsidRDefault="00F51D42" w:rsidP="00F51D42">
            <w:pPr>
              <w:rPr>
                <w:sz w:val="20"/>
                <w:szCs w:val="20"/>
              </w:rPr>
            </w:pPr>
            <w:r w:rsidRPr="004B053A">
              <w:rPr>
                <w:sz w:val="20"/>
                <w:szCs w:val="20"/>
              </w:rPr>
              <w:t>Limited regional and global sharing of information on best practices and lessons learned from investments in the SCS despite for example publication of a complete Special Issue of an international journal on the progress to date</w:t>
            </w:r>
          </w:p>
        </w:tc>
        <w:tc>
          <w:tcPr>
            <w:tcW w:w="3082" w:type="dxa"/>
            <w:shd w:val="clear" w:color="auto" w:fill="auto"/>
            <w:vAlign w:val="center"/>
          </w:tcPr>
          <w:p w14:paraId="71330BF2" w14:textId="77777777" w:rsidR="00F51D42" w:rsidRPr="004B053A" w:rsidRDefault="00F51D42" w:rsidP="00660EFF">
            <w:pPr>
              <w:rPr>
                <w:sz w:val="20"/>
                <w:szCs w:val="20"/>
              </w:rPr>
            </w:pPr>
            <w:r w:rsidRPr="004B053A">
              <w:rPr>
                <w:sz w:val="20"/>
                <w:szCs w:val="20"/>
              </w:rPr>
              <w:t>3.4.4 Active engagement with  GEF IW:LEARN [1% of project resources] including participation in IW conferences and 3 experience notes</w:t>
            </w:r>
          </w:p>
        </w:tc>
        <w:tc>
          <w:tcPr>
            <w:tcW w:w="3082" w:type="dxa"/>
            <w:shd w:val="clear" w:color="auto" w:fill="auto"/>
            <w:vAlign w:val="center"/>
          </w:tcPr>
          <w:p w14:paraId="4E5E357B" w14:textId="77777777" w:rsidR="00F51D42" w:rsidRPr="004B053A" w:rsidRDefault="00F51D42" w:rsidP="00660EFF">
            <w:pPr>
              <w:rPr>
                <w:sz w:val="20"/>
                <w:szCs w:val="20"/>
              </w:rPr>
            </w:pPr>
            <w:r w:rsidRPr="004B053A">
              <w:rPr>
                <w:sz w:val="20"/>
                <w:szCs w:val="20"/>
              </w:rPr>
              <w:t>Number of IW:LEARN experience notes publised</w:t>
            </w:r>
          </w:p>
        </w:tc>
      </w:tr>
    </w:tbl>
    <w:p w14:paraId="38B9FD33" w14:textId="77777777" w:rsidR="003C744D" w:rsidRPr="00840381" w:rsidRDefault="00840381" w:rsidP="00840381">
      <w:pPr>
        <w:spacing w:before="120" w:after="120"/>
        <w:ind w:left="1440" w:hanging="1440"/>
        <w:jc w:val="both"/>
        <w:rPr>
          <w:b/>
          <w:sz w:val="22"/>
          <w:szCs w:val="22"/>
          <w:lang w:val="en-GB"/>
        </w:rPr>
      </w:pPr>
      <w:r w:rsidRPr="00840381">
        <w:rPr>
          <w:b/>
          <w:sz w:val="22"/>
          <w:szCs w:val="22"/>
          <w:lang w:val="en-GB"/>
        </w:rPr>
        <w:t>Outcome 3.5</w:t>
      </w:r>
      <w:r w:rsidRPr="00840381">
        <w:rPr>
          <w:b/>
          <w:sz w:val="22"/>
          <w:szCs w:val="22"/>
          <w:lang w:val="en-GB"/>
        </w:rPr>
        <w:tab/>
        <w:t>Agreed arrangements for strengthened regional cooperation in the management of the marine and coastal environment of the South China Sea</w:t>
      </w:r>
    </w:p>
    <w:p w14:paraId="5233602C" w14:textId="77777777" w:rsidR="003C744D" w:rsidRPr="003C744D" w:rsidRDefault="003C744D" w:rsidP="00F51D42">
      <w:pPr>
        <w:numPr>
          <w:ilvl w:val="0"/>
          <w:numId w:val="3"/>
        </w:numPr>
        <w:spacing w:before="120" w:after="120"/>
        <w:ind w:left="0" w:firstLine="0"/>
        <w:jc w:val="both"/>
        <w:rPr>
          <w:sz w:val="22"/>
          <w:szCs w:val="22"/>
          <w:lang w:val="en-GB"/>
        </w:rPr>
      </w:pPr>
      <w:r>
        <w:rPr>
          <w:sz w:val="22"/>
          <w:szCs w:val="22"/>
          <w:lang w:val="en-GB"/>
        </w:rPr>
        <w:t xml:space="preserve">Activities in support of the achievement of Outcome 3.5 </w:t>
      </w:r>
      <w:r w:rsidRPr="004B053A">
        <w:rPr>
          <w:rFonts w:ascii="Calibri" w:hAnsi="Calibri"/>
          <w:sz w:val="20"/>
          <w:szCs w:val="20"/>
        </w:rPr>
        <w:t xml:space="preserve"> </w:t>
      </w:r>
      <w:r>
        <w:rPr>
          <w:sz w:val="22"/>
          <w:szCs w:val="22"/>
        </w:rPr>
        <w:t>involve</w:t>
      </w:r>
      <w:r w:rsidRPr="003C744D">
        <w:rPr>
          <w:sz w:val="22"/>
          <w:szCs w:val="22"/>
        </w:rPr>
        <w:t xml:space="preserve"> the review and assessment of regional and national institutional frameworks and the formulation of  appropriate recommendations for strengthened regional coordination in the implementation of the SAP for the management of the marine and coastal environment of the South China Sea that fosters the wise use of natural, human and financial resources whilst conforming to the ethos and culture of the region. Supporting activities include: biannual meetings of the Regional Task Force on Legal Matters to review the proposed policy, legal and institutional strengthening recommendations in support of SAP implementation; the establishment and operation of National Working Groups on matters to be decided by the countries to support national and provincial level discussion and agreement on policy, legal and institutional reforms; and reviews and evaluation of existing arrangements for cooperation.  </w:t>
      </w:r>
    </w:p>
    <w:p w14:paraId="17FD5F3D" w14:textId="77777777" w:rsidR="00A66B5D" w:rsidRDefault="003C744D" w:rsidP="003C744D">
      <w:pPr>
        <w:numPr>
          <w:ilvl w:val="0"/>
          <w:numId w:val="3"/>
        </w:numPr>
        <w:spacing w:before="120" w:after="120"/>
        <w:ind w:left="0" w:firstLine="0"/>
        <w:jc w:val="both"/>
        <w:rPr>
          <w:sz w:val="22"/>
          <w:szCs w:val="22"/>
          <w:lang w:val="en-GB"/>
        </w:rPr>
      </w:pPr>
      <w:r w:rsidRPr="003C744D">
        <w:rPr>
          <w:sz w:val="22"/>
          <w:szCs w:val="22"/>
          <w:lang w:val="en-GB"/>
        </w:rPr>
        <w:t>The activities undertaken in this sub-component will be the direct responsibility of a Regional Task Force on Legal matters (RTF-L) that will execute the relevant regional activities working in close consultation with National Working Groups on Legal Matters (NWG-L) established in each country. The NWG-L shall have responsibility for executing the national level actions. Activities under this sub-component are intended to lead to the adoption of stronger, long-lasting and more formal arrangements for regional co-operation in the management of the marine and coastal environment of the South China Sea including the long-term implementation of the SAP. The sub-component is envisaged as being operated in six stages over the five years of project implementation as follows:</w:t>
      </w:r>
    </w:p>
    <w:p w14:paraId="6E3B662C" w14:textId="77777777" w:rsidR="003C744D" w:rsidRPr="003C744D" w:rsidRDefault="003C744D" w:rsidP="004B053A">
      <w:pPr>
        <w:numPr>
          <w:ilvl w:val="0"/>
          <w:numId w:val="28"/>
        </w:numPr>
        <w:spacing w:before="120" w:after="120"/>
        <w:jc w:val="both"/>
        <w:rPr>
          <w:sz w:val="22"/>
          <w:szCs w:val="22"/>
          <w:lang w:val="en-GB"/>
        </w:rPr>
      </w:pPr>
      <w:r w:rsidRPr="003C744D">
        <w:rPr>
          <w:sz w:val="22"/>
          <w:szCs w:val="22"/>
          <w:lang w:val="en-GB"/>
        </w:rPr>
        <w:t xml:space="preserve">Setting parameters: an organisational phase that involves the adoption of a statement of intent, or terms of reference; sets parameters for the work; identifies the parties involved; establishes broad time-frames; and co-ordination mechanisms between the regional and national bodies involved. </w:t>
      </w:r>
    </w:p>
    <w:p w14:paraId="77CB9CF8" w14:textId="77777777" w:rsidR="003C744D" w:rsidRPr="003C744D" w:rsidRDefault="003C744D" w:rsidP="004B053A">
      <w:pPr>
        <w:numPr>
          <w:ilvl w:val="0"/>
          <w:numId w:val="28"/>
        </w:numPr>
        <w:spacing w:before="120" w:after="120"/>
        <w:jc w:val="both"/>
        <w:rPr>
          <w:sz w:val="22"/>
          <w:szCs w:val="22"/>
          <w:lang w:val="en-GB"/>
        </w:rPr>
      </w:pPr>
      <w:r w:rsidRPr="003C744D">
        <w:rPr>
          <w:sz w:val="22"/>
          <w:szCs w:val="22"/>
          <w:lang w:val="en-GB"/>
        </w:rPr>
        <w:t>Drafting the instrument: a preparation and information gathering phase. Acting in accordance with information gathered from the national and any regional activities, the general parameters in Stage 1 can be clarified and amended, providing a more specific direction or resulting in further activities to clarify issues. General issues can be refined, and areas of consensus and disagreement and overlaps and constraints can be identified. Essentially, this phase determines the work schedule (more specific timeframes) and objectives at both the national and regional levels.</w:t>
      </w:r>
    </w:p>
    <w:p w14:paraId="5951C104" w14:textId="77777777" w:rsidR="003C744D" w:rsidRPr="003C744D" w:rsidRDefault="003C744D" w:rsidP="004B053A">
      <w:pPr>
        <w:numPr>
          <w:ilvl w:val="0"/>
          <w:numId w:val="28"/>
        </w:numPr>
        <w:spacing w:before="120" w:after="120"/>
        <w:jc w:val="both"/>
        <w:rPr>
          <w:sz w:val="22"/>
          <w:szCs w:val="22"/>
          <w:lang w:val="en-GB"/>
        </w:rPr>
      </w:pPr>
      <w:r w:rsidRPr="003C744D">
        <w:rPr>
          <w:sz w:val="22"/>
          <w:szCs w:val="22"/>
          <w:lang w:val="en-GB"/>
        </w:rPr>
        <w:t xml:space="preserve">Preparing a framework: this phase moves the process from preparation into drafting. Based on feedback from the national and regional activities, the regional body should draft a ‘framework’ instrument – titles and headings for provisions in the instrument, not unlike a comprehensive table of contents. It may contain basic provisions to be fleshed out in due course. </w:t>
      </w:r>
    </w:p>
    <w:p w14:paraId="30669816" w14:textId="77777777" w:rsidR="003C744D" w:rsidRPr="003C744D" w:rsidRDefault="003C744D" w:rsidP="004B053A">
      <w:pPr>
        <w:numPr>
          <w:ilvl w:val="0"/>
          <w:numId w:val="28"/>
        </w:numPr>
        <w:spacing w:before="120" w:after="120"/>
        <w:jc w:val="both"/>
        <w:rPr>
          <w:sz w:val="22"/>
          <w:szCs w:val="22"/>
          <w:lang w:val="en-GB"/>
        </w:rPr>
      </w:pPr>
      <w:r w:rsidRPr="003C744D">
        <w:rPr>
          <w:sz w:val="22"/>
          <w:szCs w:val="22"/>
          <w:lang w:val="en-GB"/>
        </w:rPr>
        <w:t>Drafting an agreement in principle: this stage will involve drafting the substance of the agreement in accordance with feedback from national and regional consultations. It will be sent to the national level for review by the appropriate national bodies, and to other institutions, as deemed fit. Expert scientists should review it to ensure that provisions are scientifically sound.</w:t>
      </w:r>
    </w:p>
    <w:p w14:paraId="6AE55177" w14:textId="77777777" w:rsidR="003C744D" w:rsidRPr="003C744D" w:rsidRDefault="003C744D" w:rsidP="004B053A">
      <w:pPr>
        <w:numPr>
          <w:ilvl w:val="0"/>
          <w:numId w:val="28"/>
        </w:numPr>
        <w:spacing w:before="120" w:after="120"/>
        <w:jc w:val="both"/>
        <w:rPr>
          <w:sz w:val="22"/>
          <w:szCs w:val="22"/>
          <w:lang w:val="en-GB"/>
        </w:rPr>
      </w:pPr>
      <w:r w:rsidRPr="003C744D">
        <w:rPr>
          <w:sz w:val="22"/>
          <w:szCs w:val="22"/>
          <w:lang w:val="en-GB"/>
        </w:rPr>
        <w:t>Finalisation: the final drafting stage where legal and technical issues are resolved and the text finalised.</w:t>
      </w:r>
    </w:p>
    <w:p w14:paraId="7A733B63" w14:textId="77777777" w:rsidR="003C744D" w:rsidRDefault="003C744D" w:rsidP="004B053A">
      <w:pPr>
        <w:numPr>
          <w:ilvl w:val="0"/>
          <w:numId w:val="28"/>
        </w:numPr>
        <w:spacing w:before="120" w:after="120"/>
        <w:jc w:val="both"/>
        <w:rPr>
          <w:sz w:val="22"/>
          <w:szCs w:val="22"/>
          <w:lang w:val="en-GB"/>
        </w:rPr>
      </w:pPr>
      <w:r w:rsidRPr="003C744D">
        <w:rPr>
          <w:sz w:val="22"/>
          <w:szCs w:val="22"/>
          <w:lang w:val="en-GB"/>
        </w:rPr>
        <w:t xml:space="preserve">Adoption: at this stage the instrument is submitted to the relevant national ministries for signature.  </w:t>
      </w:r>
    </w:p>
    <w:p w14:paraId="31BA3A3B" w14:textId="77777777" w:rsidR="00896AFF" w:rsidRDefault="003838BC" w:rsidP="00A66B5D">
      <w:pPr>
        <w:numPr>
          <w:ilvl w:val="0"/>
          <w:numId w:val="3"/>
        </w:numPr>
        <w:spacing w:after="120"/>
        <w:ind w:left="0" w:firstLine="0"/>
        <w:jc w:val="both"/>
        <w:rPr>
          <w:sz w:val="22"/>
          <w:szCs w:val="22"/>
          <w:lang w:val="en-GB"/>
        </w:rPr>
      </w:pPr>
      <w:r>
        <w:rPr>
          <w:sz w:val="22"/>
          <w:szCs w:val="22"/>
          <w:lang w:val="en-GB"/>
        </w:rPr>
        <w:t xml:space="preserve">Specific targets for Outcome </w:t>
      </w:r>
      <w:r w:rsidR="00840381">
        <w:rPr>
          <w:sz w:val="22"/>
          <w:szCs w:val="22"/>
          <w:lang w:val="en-GB"/>
        </w:rPr>
        <w:t>3.5 are outlined in Table 41.</w:t>
      </w:r>
    </w:p>
    <w:p w14:paraId="5058A740" w14:textId="77777777" w:rsidR="00840381" w:rsidRDefault="00840381" w:rsidP="00840381">
      <w:pPr>
        <w:spacing w:after="120"/>
        <w:jc w:val="both"/>
        <w:rPr>
          <w:sz w:val="22"/>
          <w:szCs w:val="22"/>
          <w:lang w:val="en-GB"/>
        </w:rPr>
      </w:pPr>
      <w:r w:rsidRPr="00840381">
        <w:rPr>
          <w:b/>
          <w:sz w:val="22"/>
          <w:szCs w:val="22"/>
          <w:lang w:val="en-GB"/>
        </w:rPr>
        <w:t>Table 41</w:t>
      </w:r>
      <w:r>
        <w:rPr>
          <w:sz w:val="22"/>
          <w:szCs w:val="22"/>
          <w:lang w:val="en-GB"/>
        </w:rPr>
        <w:tab/>
        <w:t>Baselines, targets and project indicators for Outcome 3.5</w:t>
      </w:r>
    </w:p>
    <w:p w14:paraId="74151677" w14:textId="77777777" w:rsidR="00840381" w:rsidRDefault="00840381" w:rsidP="00840381">
      <w:pPr>
        <w:spacing w:after="120"/>
        <w:jc w:val="both"/>
        <w:rPr>
          <w:sz w:val="22"/>
          <w:szCs w:val="22"/>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0"/>
        <w:gridCol w:w="3022"/>
        <w:gridCol w:w="3020"/>
      </w:tblGrid>
      <w:tr w:rsidR="00840381" w:rsidRPr="005A668F" w14:paraId="1764CFB2" w14:textId="77777777" w:rsidTr="004B053A">
        <w:tc>
          <w:tcPr>
            <w:tcW w:w="3081" w:type="dxa"/>
            <w:shd w:val="clear" w:color="auto" w:fill="auto"/>
            <w:vAlign w:val="center"/>
          </w:tcPr>
          <w:p w14:paraId="680BD9BA" w14:textId="77777777" w:rsidR="00840381" w:rsidRPr="004B053A" w:rsidRDefault="00840381" w:rsidP="004B053A">
            <w:pPr>
              <w:jc w:val="center"/>
              <w:rPr>
                <w:b/>
                <w:sz w:val="20"/>
                <w:szCs w:val="20"/>
              </w:rPr>
            </w:pPr>
            <w:r w:rsidRPr="004B053A">
              <w:rPr>
                <w:b/>
                <w:sz w:val="20"/>
                <w:szCs w:val="20"/>
              </w:rPr>
              <w:t>Baselines</w:t>
            </w:r>
          </w:p>
        </w:tc>
        <w:tc>
          <w:tcPr>
            <w:tcW w:w="3082" w:type="dxa"/>
            <w:shd w:val="clear" w:color="auto" w:fill="auto"/>
            <w:vAlign w:val="center"/>
          </w:tcPr>
          <w:p w14:paraId="29AC9036" w14:textId="77777777" w:rsidR="00840381" w:rsidRPr="004B053A" w:rsidRDefault="00840381" w:rsidP="004B053A">
            <w:pPr>
              <w:jc w:val="center"/>
              <w:rPr>
                <w:b/>
                <w:sz w:val="20"/>
                <w:szCs w:val="20"/>
              </w:rPr>
            </w:pPr>
            <w:r w:rsidRPr="004B053A">
              <w:rPr>
                <w:b/>
                <w:sz w:val="20"/>
                <w:szCs w:val="20"/>
              </w:rPr>
              <w:t>Targets</w:t>
            </w:r>
          </w:p>
        </w:tc>
        <w:tc>
          <w:tcPr>
            <w:tcW w:w="3082" w:type="dxa"/>
            <w:shd w:val="clear" w:color="auto" w:fill="auto"/>
            <w:vAlign w:val="center"/>
          </w:tcPr>
          <w:p w14:paraId="5C2520B6" w14:textId="77777777" w:rsidR="00840381" w:rsidRPr="004B053A" w:rsidRDefault="00840381" w:rsidP="004B053A">
            <w:pPr>
              <w:jc w:val="center"/>
              <w:rPr>
                <w:b/>
                <w:sz w:val="20"/>
                <w:szCs w:val="20"/>
              </w:rPr>
            </w:pPr>
            <w:r w:rsidRPr="004B053A">
              <w:rPr>
                <w:b/>
                <w:sz w:val="20"/>
                <w:szCs w:val="20"/>
              </w:rPr>
              <w:t>Indicators</w:t>
            </w:r>
          </w:p>
        </w:tc>
      </w:tr>
      <w:tr w:rsidR="00840381" w:rsidRPr="005A668F" w14:paraId="1402792D" w14:textId="77777777" w:rsidTr="004B053A">
        <w:trPr>
          <w:trHeight w:val="20"/>
        </w:trPr>
        <w:tc>
          <w:tcPr>
            <w:tcW w:w="3081" w:type="dxa"/>
            <w:shd w:val="clear" w:color="auto" w:fill="auto"/>
            <w:vAlign w:val="center"/>
          </w:tcPr>
          <w:p w14:paraId="11809085" w14:textId="77777777" w:rsidR="00840381" w:rsidRPr="004B053A" w:rsidRDefault="00840381" w:rsidP="00660EFF">
            <w:pPr>
              <w:rPr>
                <w:sz w:val="20"/>
                <w:szCs w:val="20"/>
              </w:rPr>
            </w:pPr>
            <w:r w:rsidRPr="004B053A">
              <w:rPr>
                <w:sz w:val="20"/>
                <w:szCs w:val="20"/>
              </w:rPr>
              <w:t>Regional Task Force on Legal Matters established through SCS project but presently not functioning</w:t>
            </w:r>
          </w:p>
        </w:tc>
        <w:tc>
          <w:tcPr>
            <w:tcW w:w="3082" w:type="dxa"/>
            <w:shd w:val="clear" w:color="auto" w:fill="auto"/>
            <w:vAlign w:val="center"/>
          </w:tcPr>
          <w:p w14:paraId="0C350248" w14:textId="77777777" w:rsidR="00840381" w:rsidRPr="004B053A" w:rsidRDefault="00840381" w:rsidP="00660EFF">
            <w:pPr>
              <w:rPr>
                <w:sz w:val="20"/>
                <w:szCs w:val="20"/>
              </w:rPr>
            </w:pPr>
            <w:r w:rsidRPr="004B053A">
              <w:rPr>
                <w:sz w:val="20"/>
                <w:szCs w:val="20"/>
              </w:rPr>
              <w:t>3.5.1 Biannual meetings of the Regional Task Force on Legal Matters</w:t>
            </w:r>
          </w:p>
        </w:tc>
        <w:tc>
          <w:tcPr>
            <w:tcW w:w="3082" w:type="dxa"/>
            <w:shd w:val="clear" w:color="auto" w:fill="auto"/>
            <w:vAlign w:val="center"/>
          </w:tcPr>
          <w:p w14:paraId="68A52DF7" w14:textId="77777777" w:rsidR="00840381" w:rsidRPr="004B053A" w:rsidRDefault="00840381" w:rsidP="00660EFF">
            <w:pPr>
              <w:rPr>
                <w:sz w:val="20"/>
                <w:szCs w:val="20"/>
              </w:rPr>
            </w:pPr>
            <w:r w:rsidRPr="004B053A">
              <w:rPr>
                <w:sz w:val="20"/>
                <w:szCs w:val="20"/>
              </w:rPr>
              <w:t>Number of Regional Task Force meetings</w:t>
            </w:r>
          </w:p>
          <w:p w14:paraId="23E14435" w14:textId="77777777" w:rsidR="00840381" w:rsidRPr="004B053A" w:rsidRDefault="00840381" w:rsidP="00660EFF">
            <w:pPr>
              <w:rPr>
                <w:sz w:val="20"/>
                <w:szCs w:val="20"/>
              </w:rPr>
            </w:pPr>
            <w:r w:rsidRPr="004B053A">
              <w:rPr>
                <w:sz w:val="20"/>
                <w:szCs w:val="20"/>
              </w:rPr>
              <w:t>Continuity of participation of nationally nominated members</w:t>
            </w:r>
          </w:p>
        </w:tc>
      </w:tr>
      <w:tr w:rsidR="00840381" w:rsidRPr="005A668F" w14:paraId="5BC2989D" w14:textId="77777777" w:rsidTr="004B053A">
        <w:trPr>
          <w:trHeight w:val="20"/>
        </w:trPr>
        <w:tc>
          <w:tcPr>
            <w:tcW w:w="3081" w:type="dxa"/>
            <w:shd w:val="clear" w:color="auto" w:fill="auto"/>
            <w:vAlign w:val="center"/>
          </w:tcPr>
          <w:p w14:paraId="3DEF779C" w14:textId="77777777" w:rsidR="00840381" w:rsidRPr="004B053A" w:rsidRDefault="00840381" w:rsidP="00660EFF">
            <w:pPr>
              <w:rPr>
                <w:sz w:val="20"/>
                <w:szCs w:val="20"/>
              </w:rPr>
            </w:pPr>
            <w:r w:rsidRPr="004B053A">
              <w:rPr>
                <w:sz w:val="20"/>
                <w:szCs w:val="20"/>
              </w:rPr>
              <w:t>National Working Groups on Legal Matters established through SCS project but presently not functioning</w:t>
            </w:r>
          </w:p>
        </w:tc>
        <w:tc>
          <w:tcPr>
            <w:tcW w:w="3082" w:type="dxa"/>
            <w:shd w:val="clear" w:color="auto" w:fill="auto"/>
            <w:vAlign w:val="center"/>
          </w:tcPr>
          <w:p w14:paraId="26CC615B" w14:textId="77777777" w:rsidR="00840381" w:rsidRPr="004B053A" w:rsidRDefault="00840381" w:rsidP="00840381">
            <w:pPr>
              <w:rPr>
                <w:sz w:val="20"/>
                <w:szCs w:val="20"/>
              </w:rPr>
            </w:pPr>
            <w:r w:rsidRPr="004B053A">
              <w:rPr>
                <w:sz w:val="20"/>
                <w:szCs w:val="20"/>
                <w:lang w:val="en-GB"/>
              </w:rPr>
              <w:t>3.5.2 National Working Groups on Legal Matters revitalised and functional</w:t>
            </w:r>
          </w:p>
        </w:tc>
        <w:tc>
          <w:tcPr>
            <w:tcW w:w="3082" w:type="dxa"/>
            <w:shd w:val="clear" w:color="auto" w:fill="auto"/>
            <w:vAlign w:val="center"/>
          </w:tcPr>
          <w:p w14:paraId="09BFB70E" w14:textId="77777777" w:rsidR="00840381" w:rsidRPr="004B053A" w:rsidRDefault="00840381" w:rsidP="00660EFF">
            <w:pPr>
              <w:rPr>
                <w:sz w:val="20"/>
                <w:szCs w:val="20"/>
              </w:rPr>
            </w:pPr>
            <w:r w:rsidRPr="004B053A">
              <w:rPr>
                <w:sz w:val="20"/>
                <w:szCs w:val="20"/>
              </w:rPr>
              <w:t>Number of National Working Group meetings</w:t>
            </w:r>
          </w:p>
          <w:p w14:paraId="1ADE4325" w14:textId="77777777" w:rsidR="00840381" w:rsidRPr="004B053A" w:rsidRDefault="00840381" w:rsidP="00660EFF">
            <w:pPr>
              <w:rPr>
                <w:sz w:val="20"/>
                <w:szCs w:val="20"/>
              </w:rPr>
            </w:pPr>
            <w:r w:rsidRPr="004B053A">
              <w:rPr>
                <w:sz w:val="20"/>
                <w:szCs w:val="20"/>
              </w:rPr>
              <w:t>Continuity of participation of nationally nominated members</w:t>
            </w:r>
          </w:p>
        </w:tc>
      </w:tr>
      <w:tr w:rsidR="00840381" w:rsidRPr="005A668F" w14:paraId="7E0089D5" w14:textId="77777777" w:rsidTr="004B053A">
        <w:trPr>
          <w:trHeight w:val="20"/>
        </w:trPr>
        <w:tc>
          <w:tcPr>
            <w:tcW w:w="3081" w:type="dxa"/>
            <w:shd w:val="clear" w:color="auto" w:fill="auto"/>
            <w:vAlign w:val="center"/>
          </w:tcPr>
          <w:p w14:paraId="5365A563" w14:textId="77777777" w:rsidR="00840381" w:rsidRPr="004B053A" w:rsidRDefault="00840381" w:rsidP="00660EFF">
            <w:pPr>
              <w:rPr>
                <w:sz w:val="20"/>
                <w:szCs w:val="20"/>
              </w:rPr>
            </w:pPr>
            <w:r w:rsidRPr="004B053A">
              <w:rPr>
                <w:sz w:val="20"/>
                <w:szCs w:val="20"/>
              </w:rPr>
              <w:t>Framework process developed but requires national and regional consultation</w:t>
            </w:r>
          </w:p>
        </w:tc>
        <w:tc>
          <w:tcPr>
            <w:tcW w:w="3082" w:type="dxa"/>
            <w:shd w:val="clear" w:color="auto" w:fill="auto"/>
            <w:vAlign w:val="center"/>
          </w:tcPr>
          <w:p w14:paraId="7D86A572" w14:textId="77777777" w:rsidR="00840381" w:rsidRPr="004B053A" w:rsidRDefault="00840381" w:rsidP="00660EFF">
            <w:pPr>
              <w:rPr>
                <w:sz w:val="20"/>
                <w:szCs w:val="20"/>
              </w:rPr>
            </w:pPr>
            <w:r w:rsidRPr="004B053A">
              <w:rPr>
                <w:sz w:val="20"/>
                <w:szCs w:val="20"/>
              </w:rPr>
              <w:t>3.5.3 Process for development of a proposed arrangement for regional cooperation defined and planned</w:t>
            </w:r>
          </w:p>
        </w:tc>
        <w:tc>
          <w:tcPr>
            <w:tcW w:w="3082" w:type="dxa"/>
            <w:shd w:val="clear" w:color="auto" w:fill="auto"/>
            <w:vAlign w:val="center"/>
          </w:tcPr>
          <w:p w14:paraId="3186087E" w14:textId="77777777" w:rsidR="00840381" w:rsidRPr="004B053A" w:rsidRDefault="00840381" w:rsidP="00660EFF">
            <w:pPr>
              <w:rPr>
                <w:sz w:val="20"/>
                <w:szCs w:val="20"/>
              </w:rPr>
            </w:pPr>
            <w:r w:rsidRPr="004B053A">
              <w:rPr>
                <w:sz w:val="20"/>
                <w:szCs w:val="20"/>
              </w:rPr>
              <w:t>Status of agreement on identified proces</w:t>
            </w:r>
            <w:r w:rsidR="006333D8" w:rsidRPr="004B053A">
              <w:rPr>
                <w:sz w:val="20"/>
                <w:szCs w:val="20"/>
              </w:rPr>
              <w:t>s</w:t>
            </w:r>
          </w:p>
        </w:tc>
      </w:tr>
      <w:tr w:rsidR="00840381" w:rsidRPr="005A668F" w14:paraId="2F3C5998" w14:textId="77777777" w:rsidTr="004B053A">
        <w:trPr>
          <w:trHeight w:val="20"/>
        </w:trPr>
        <w:tc>
          <w:tcPr>
            <w:tcW w:w="3081" w:type="dxa"/>
            <w:shd w:val="clear" w:color="auto" w:fill="auto"/>
            <w:vAlign w:val="center"/>
          </w:tcPr>
          <w:p w14:paraId="75B4BC31" w14:textId="77777777" w:rsidR="00840381" w:rsidRPr="004B053A" w:rsidRDefault="00840381" w:rsidP="00660EFF">
            <w:pPr>
              <w:rPr>
                <w:sz w:val="20"/>
                <w:szCs w:val="20"/>
              </w:rPr>
            </w:pPr>
            <w:r w:rsidRPr="004B053A">
              <w:rPr>
                <w:sz w:val="20"/>
                <w:szCs w:val="20"/>
              </w:rPr>
              <w:t xml:space="preserve">SAP formulation benefit from an emphasis on consensual </w:t>
            </w:r>
            <w:r w:rsidR="006333D8" w:rsidRPr="004B053A">
              <w:rPr>
                <w:sz w:val="20"/>
                <w:szCs w:val="20"/>
              </w:rPr>
              <w:t>planning and decision making</w:t>
            </w:r>
          </w:p>
        </w:tc>
        <w:tc>
          <w:tcPr>
            <w:tcW w:w="3082" w:type="dxa"/>
            <w:shd w:val="clear" w:color="auto" w:fill="auto"/>
            <w:vAlign w:val="center"/>
          </w:tcPr>
          <w:p w14:paraId="31A4A1E8" w14:textId="77777777" w:rsidR="00840381" w:rsidRPr="004B053A" w:rsidRDefault="00840381" w:rsidP="00660EFF">
            <w:pPr>
              <w:rPr>
                <w:sz w:val="20"/>
                <w:szCs w:val="20"/>
              </w:rPr>
            </w:pPr>
            <w:r w:rsidRPr="004B053A">
              <w:rPr>
                <w:sz w:val="20"/>
                <w:szCs w:val="20"/>
              </w:rPr>
              <w:t>3.5.4 National stakeholder inputs to drafting of instrument for strengthened regional cooperation facilitated via national consultations</w:t>
            </w:r>
          </w:p>
        </w:tc>
        <w:tc>
          <w:tcPr>
            <w:tcW w:w="3082" w:type="dxa"/>
            <w:shd w:val="clear" w:color="auto" w:fill="auto"/>
            <w:vAlign w:val="center"/>
          </w:tcPr>
          <w:p w14:paraId="13E40FBC" w14:textId="77777777" w:rsidR="00840381" w:rsidRPr="004B053A" w:rsidRDefault="006333D8" w:rsidP="00660EFF">
            <w:pPr>
              <w:rPr>
                <w:sz w:val="20"/>
                <w:szCs w:val="20"/>
              </w:rPr>
            </w:pPr>
            <w:r w:rsidRPr="004B053A">
              <w:rPr>
                <w:sz w:val="20"/>
                <w:szCs w:val="20"/>
              </w:rPr>
              <w:t>Extent of national stakeholder input to drafting phase of instrument for cooperation</w:t>
            </w:r>
          </w:p>
        </w:tc>
      </w:tr>
      <w:tr w:rsidR="006333D8" w:rsidRPr="005A668F" w14:paraId="1CCE1AED" w14:textId="77777777" w:rsidTr="004B053A">
        <w:trPr>
          <w:trHeight w:val="20"/>
        </w:trPr>
        <w:tc>
          <w:tcPr>
            <w:tcW w:w="3081" w:type="dxa"/>
            <w:shd w:val="clear" w:color="auto" w:fill="auto"/>
            <w:vAlign w:val="center"/>
          </w:tcPr>
          <w:p w14:paraId="3945DBD5" w14:textId="77777777" w:rsidR="006333D8" w:rsidRPr="004B053A" w:rsidRDefault="006333D8" w:rsidP="00660EFF">
            <w:pPr>
              <w:rPr>
                <w:sz w:val="20"/>
                <w:szCs w:val="20"/>
              </w:rPr>
            </w:pPr>
            <w:r w:rsidRPr="004B053A">
              <w:rPr>
                <w:sz w:val="20"/>
                <w:szCs w:val="20"/>
              </w:rPr>
              <w:t>Participating countries agreed in the SAP, and in endorsing the PIF for this project, to explore the development of an instrument for strengthened regional cooperation</w:t>
            </w:r>
          </w:p>
        </w:tc>
        <w:tc>
          <w:tcPr>
            <w:tcW w:w="3082" w:type="dxa"/>
            <w:shd w:val="clear" w:color="auto" w:fill="auto"/>
            <w:vAlign w:val="center"/>
          </w:tcPr>
          <w:p w14:paraId="480F5C63" w14:textId="77777777" w:rsidR="006333D8" w:rsidRPr="004B053A" w:rsidRDefault="006333D8" w:rsidP="00660EFF">
            <w:pPr>
              <w:rPr>
                <w:sz w:val="20"/>
                <w:szCs w:val="20"/>
              </w:rPr>
            </w:pPr>
            <w:r w:rsidRPr="004B053A">
              <w:rPr>
                <w:sz w:val="20"/>
                <w:szCs w:val="20"/>
              </w:rPr>
              <w:t>3.5.5 Adopted instrument for strengthened regional cooperation</w:t>
            </w:r>
          </w:p>
        </w:tc>
        <w:tc>
          <w:tcPr>
            <w:tcW w:w="3082" w:type="dxa"/>
            <w:shd w:val="clear" w:color="auto" w:fill="auto"/>
            <w:vAlign w:val="center"/>
          </w:tcPr>
          <w:p w14:paraId="10580BEC" w14:textId="77777777" w:rsidR="006333D8" w:rsidRPr="004B053A" w:rsidRDefault="006333D8" w:rsidP="00660EFF">
            <w:pPr>
              <w:rPr>
                <w:sz w:val="20"/>
                <w:szCs w:val="20"/>
              </w:rPr>
            </w:pPr>
            <w:r w:rsidRPr="004B053A">
              <w:rPr>
                <w:sz w:val="20"/>
                <w:szCs w:val="20"/>
              </w:rPr>
              <w:t>Status of adoption of the instrument</w:t>
            </w:r>
          </w:p>
        </w:tc>
      </w:tr>
    </w:tbl>
    <w:p w14:paraId="29EBC6CC" w14:textId="77777777" w:rsidR="00840381" w:rsidRDefault="00840381" w:rsidP="00840381">
      <w:pPr>
        <w:spacing w:after="120"/>
        <w:jc w:val="both"/>
        <w:rPr>
          <w:sz w:val="22"/>
          <w:szCs w:val="22"/>
          <w:lang w:val="en-GB"/>
        </w:rPr>
      </w:pPr>
    </w:p>
    <w:p w14:paraId="55364BA3" w14:textId="77777777" w:rsidR="00F07F81" w:rsidRDefault="00F07F81" w:rsidP="004B053A">
      <w:pPr>
        <w:numPr>
          <w:ilvl w:val="1"/>
          <w:numId w:val="4"/>
        </w:numPr>
        <w:spacing w:after="120"/>
        <w:outlineLvl w:val="1"/>
        <w:rPr>
          <w:b/>
          <w:sz w:val="22"/>
          <w:szCs w:val="22"/>
          <w:lang w:val="en-GB"/>
        </w:rPr>
      </w:pPr>
      <w:bookmarkStart w:id="85" w:name="_Toc209432652"/>
      <w:r>
        <w:rPr>
          <w:b/>
          <w:sz w:val="22"/>
          <w:szCs w:val="22"/>
          <w:lang w:val="en-GB"/>
        </w:rPr>
        <w:t>Intervention logic and key assumptions</w:t>
      </w:r>
      <w:bookmarkEnd w:id="85"/>
    </w:p>
    <w:p w14:paraId="1F0089A7" w14:textId="77777777" w:rsidR="00F07F81" w:rsidRDefault="009C0A57" w:rsidP="009C0A57">
      <w:pPr>
        <w:numPr>
          <w:ilvl w:val="0"/>
          <w:numId w:val="3"/>
        </w:numPr>
        <w:spacing w:after="120"/>
        <w:ind w:left="0" w:firstLine="0"/>
        <w:jc w:val="both"/>
        <w:rPr>
          <w:sz w:val="22"/>
          <w:szCs w:val="22"/>
          <w:lang w:val="en-GB"/>
        </w:rPr>
      </w:pPr>
      <w:r w:rsidRPr="009C0A57">
        <w:rPr>
          <w:sz w:val="22"/>
          <w:szCs w:val="22"/>
          <w:lang w:val="en-GB"/>
        </w:rPr>
        <w:t xml:space="preserve">This project represents a step in the logical progression of GEF support to countries that share a common river basin or Large Marine Ecosystem, as laid out in the original International Waters Operational Programmes and further elaborated in the current GEF Strategic Programmes. The GEF seeks to initially encourage countries bordering shared LMEs or river basins to work together in determining the priority issues and problems through the preparation of a TDA. This is followed by the development of a costed and targeted programme of priority interventions in the form of a Strategic Action Programme, which is then implemented. In the case of the seven participating countries the development of the TDA took </w:t>
      </w:r>
      <w:r>
        <w:rPr>
          <w:sz w:val="22"/>
          <w:szCs w:val="22"/>
          <w:lang w:val="en-GB"/>
        </w:rPr>
        <w:t>place between 1996 and 1999; which was then followed by</w:t>
      </w:r>
      <w:r w:rsidRPr="009C0A57">
        <w:rPr>
          <w:sz w:val="22"/>
          <w:szCs w:val="22"/>
          <w:lang w:val="en-GB"/>
        </w:rPr>
        <w:t xml:space="preserve"> the elaboration of the SAP; implementation of the first phase of the SAP is envisaged to run for five years from the present. The present project therefore represents a SAP implementation project during which it is anticipated the countries will jointly and severally agree on more formal arrangements for the conduct of future regional collaboration in the management of the marine environment of the South China Sea.</w:t>
      </w:r>
    </w:p>
    <w:p w14:paraId="72AD928C" w14:textId="77777777" w:rsidR="009C0A57" w:rsidRDefault="009C0A57" w:rsidP="009C0A57">
      <w:pPr>
        <w:numPr>
          <w:ilvl w:val="0"/>
          <w:numId w:val="3"/>
        </w:numPr>
        <w:spacing w:after="120"/>
        <w:ind w:left="0" w:firstLine="0"/>
        <w:jc w:val="both"/>
        <w:rPr>
          <w:sz w:val="22"/>
          <w:szCs w:val="22"/>
          <w:lang w:val="en-GB"/>
        </w:rPr>
      </w:pPr>
      <w:r w:rsidRPr="009C0A57">
        <w:rPr>
          <w:sz w:val="22"/>
          <w:szCs w:val="22"/>
          <w:lang w:val="en-GB"/>
        </w:rPr>
        <w:t>The key assumptions are that sufficient political support can be mobilized in all countries to secure agreement on the future mechanisms for SAP implementation beyond the life of the present project and that, governments will agree to finance these operations at a level adequate to ensure continued action at the regional and national levels to reverse environmental degradation trends in order to provide global, regional and national environmental benefits. The fact that the countries have discussed the SAP internally and approved it at the intergovernmental level</w:t>
      </w:r>
      <w:r>
        <w:rPr>
          <w:sz w:val="22"/>
          <w:szCs w:val="22"/>
          <w:lang w:val="en-GB"/>
        </w:rPr>
        <w:t>, and all endorsed the Project Identification Form for the development of this project,</w:t>
      </w:r>
      <w:r w:rsidRPr="009C0A57">
        <w:rPr>
          <w:sz w:val="22"/>
          <w:szCs w:val="22"/>
          <w:lang w:val="en-GB"/>
        </w:rPr>
        <w:t xml:space="preserve"> indicates that sufficient political support exists at present to initiate the process of SAP implementation and to enter into discussions of future arrangements for its continued and independent implementation.</w:t>
      </w:r>
    </w:p>
    <w:p w14:paraId="07DBFE9F" w14:textId="77777777" w:rsidR="00F07F81" w:rsidRDefault="00F07F81" w:rsidP="004B053A">
      <w:pPr>
        <w:numPr>
          <w:ilvl w:val="1"/>
          <w:numId w:val="4"/>
        </w:numPr>
        <w:spacing w:after="120"/>
        <w:outlineLvl w:val="1"/>
        <w:rPr>
          <w:b/>
          <w:sz w:val="22"/>
          <w:szCs w:val="22"/>
          <w:lang w:val="en-GB"/>
        </w:rPr>
      </w:pPr>
      <w:bookmarkStart w:id="86" w:name="_Toc209432653"/>
      <w:r>
        <w:rPr>
          <w:b/>
          <w:sz w:val="22"/>
          <w:szCs w:val="22"/>
          <w:lang w:val="en-GB"/>
        </w:rPr>
        <w:t>Risk analysis and risk management measures</w:t>
      </w:r>
      <w:bookmarkEnd w:id="86"/>
    </w:p>
    <w:p w14:paraId="1DC3D3AF" w14:textId="77777777" w:rsidR="00F07F81" w:rsidRDefault="009C0A57" w:rsidP="009C0A57">
      <w:pPr>
        <w:numPr>
          <w:ilvl w:val="0"/>
          <w:numId w:val="3"/>
        </w:numPr>
        <w:spacing w:after="120"/>
        <w:ind w:left="0" w:firstLine="0"/>
        <w:jc w:val="both"/>
        <w:rPr>
          <w:sz w:val="22"/>
          <w:szCs w:val="22"/>
          <w:lang w:val="en-GB"/>
        </w:rPr>
      </w:pPr>
      <w:r w:rsidRPr="009C0A57">
        <w:rPr>
          <w:sz w:val="22"/>
          <w:szCs w:val="22"/>
          <w:lang w:val="en-GB"/>
        </w:rPr>
        <w:t>Any multi-lateral programme or project carries with it an inherent series of risks reflecting the varying internal political, economic, social and cultural conditions of each of the participating states. A major risk is that problems arising from countries not proceeding at the same pace with project implementation may lead to the rate of progress being determined by the slowest country. This risk can be addressed by the presence of a strong competent implementation unit that is prepared to spend time with each participating country resolving their individual difficulties and problems. Experience with the SCS project has shown that close communication between the implementing unit and the executing entities at the national level can enhance participation and resolve individual country issues and problems as they arise.</w:t>
      </w:r>
    </w:p>
    <w:p w14:paraId="7C9CA3B5" w14:textId="77777777" w:rsidR="009C0A57" w:rsidRPr="009C0A57" w:rsidRDefault="009C0A57" w:rsidP="009C0A57">
      <w:pPr>
        <w:numPr>
          <w:ilvl w:val="0"/>
          <w:numId w:val="3"/>
        </w:numPr>
        <w:spacing w:after="120"/>
        <w:ind w:left="0" w:firstLine="0"/>
        <w:jc w:val="both"/>
        <w:rPr>
          <w:sz w:val="22"/>
          <w:szCs w:val="22"/>
          <w:lang w:val="en-GB"/>
        </w:rPr>
      </w:pPr>
      <w:r w:rsidRPr="00F91284">
        <w:rPr>
          <w:sz w:val="22"/>
          <w:szCs w:val="22"/>
        </w:rPr>
        <w:t>Changes and turnover of staff acting as focal points for project activities at the national level is a risk that may impede project implementation leading to a “stop-start” situation within one country or component, again experience within the SCS Project suggests that this can be overcome (but not entirely removed) by the implementing unit building a personal linkage with the individuals at the national level, that can be “inherited” by the incoming staff member. In addition, the incorporation of feedback loops in the management framework that, allow multiple routes of communication both vertically within countries and horizontally between countries will help to bring new-comers up to speed.</w:t>
      </w:r>
    </w:p>
    <w:p w14:paraId="20414D5E" w14:textId="77777777" w:rsidR="009C0A57" w:rsidRDefault="009C0A57" w:rsidP="009C0A57">
      <w:pPr>
        <w:numPr>
          <w:ilvl w:val="0"/>
          <w:numId w:val="3"/>
        </w:numPr>
        <w:spacing w:after="120"/>
        <w:ind w:left="0" w:firstLine="0"/>
        <w:jc w:val="both"/>
        <w:rPr>
          <w:sz w:val="22"/>
          <w:szCs w:val="22"/>
          <w:lang w:val="en-GB"/>
        </w:rPr>
      </w:pPr>
      <w:r w:rsidRPr="009C0A57">
        <w:rPr>
          <w:sz w:val="22"/>
          <w:szCs w:val="22"/>
          <w:lang w:val="en-GB"/>
        </w:rPr>
        <w:t>Failures of coordination at both the national and regional levels pose varying degrees of risk. If the implementing unit is staffed by competent, committed, and professional staff members having knowledge or experience in more than one discipline and with an ability to communicate well at a personal level with national focal points, then the risks of coordination failure at a regional level are minimised. At the national level the responsibility for coordination lies with the focal ministry and past experience has shown that the success of this coordination varies both between countries and across years. This risk can only be mitigated by establishing good relationships between the implementing unit and the focal ministries concerned.</w:t>
      </w:r>
    </w:p>
    <w:p w14:paraId="0441D74F" w14:textId="77777777" w:rsidR="009C0A57" w:rsidRDefault="009C0A57" w:rsidP="009C0A57">
      <w:pPr>
        <w:numPr>
          <w:ilvl w:val="0"/>
          <w:numId w:val="3"/>
        </w:numPr>
        <w:spacing w:after="120"/>
        <w:ind w:left="0" w:firstLine="0"/>
        <w:jc w:val="both"/>
        <w:rPr>
          <w:sz w:val="22"/>
          <w:szCs w:val="22"/>
          <w:lang w:val="en-GB"/>
        </w:rPr>
      </w:pPr>
      <w:r w:rsidRPr="009C0A57">
        <w:rPr>
          <w:sz w:val="22"/>
          <w:szCs w:val="22"/>
          <w:lang w:val="en-GB"/>
        </w:rPr>
        <w:t>Risks are also apparent where the potential for political considerations to interfere with the scientific process arise, as for example in deciding where scarce resources should be allocated both between and within countries. These risks can be addressed through a clear separation of the processes of scientific and political decision making with the ultimate decisions being made on the basis of sound scientific advice. Mitigating this risk requires that the science is indeed sound and that scientific and technical recommendations are prepared independently of the political decision making process. This problem did not arise in the SCS project where the regional scientific and technical committee prepared recommendations based on scientific and technical considerations and the project steering committee made the decisions regarding which alternatives were acted upon.</w:t>
      </w:r>
      <w:r w:rsidR="00256953">
        <w:rPr>
          <w:sz w:val="22"/>
          <w:szCs w:val="22"/>
          <w:lang w:val="en-GB"/>
        </w:rPr>
        <w:t xml:space="preserve"> A summary of the risks and assumptions identified during project preparation is provided in Table 42 below.</w:t>
      </w:r>
      <w:r w:rsidR="00457325">
        <w:rPr>
          <w:sz w:val="22"/>
          <w:szCs w:val="22"/>
          <w:lang w:val="en-GB"/>
        </w:rPr>
        <w:t xml:space="preserve"> A risk log identifying risk management measures for identified risks of medium-high likelihood or impact severity is provided in Table 43.</w:t>
      </w:r>
    </w:p>
    <w:p w14:paraId="6CEDA21A" w14:textId="77777777" w:rsidR="00256953" w:rsidRPr="00256953" w:rsidRDefault="00256953" w:rsidP="00256953">
      <w:pPr>
        <w:ind w:left="1440" w:hanging="1440"/>
        <w:jc w:val="both"/>
        <w:rPr>
          <w:sz w:val="22"/>
          <w:szCs w:val="22"/>
          <w:lang w:val="en-GB"/>
        </w:rPr>
      </w:pPr>
      <w:r w:rsidRPr="00256953">
        <w:rPr>
          <w:b/>
          <w:sz w:val="22"/>
          <w:szCs w:val="22"/>
          <w:lang w:val="en-GB"/>
        </w:rPr>
        <w:t xml:space="preserve">Table </w:t>
      </w:r>
      <w:r>
        <w:rPr>
          <w:b/>
          <w:sz w:val="22"/>
          <w:szCs w:val="22"/>
          <w:lang w:val="en-GB"/>
        </w:rPr>
        <w:t>42</w:t>
      </w:r>
      <w:r w:rsidRPr="00256953">
        <w:rPr>
          <w:sz w:val="22"/>
          <w:szCs w:val="22"/>
          <w:lang w:val="en-GB"/>
        </w:rPr>
        <w:tab/>
        <w:t>Risks and assumptions identified during the preparation phase of the South China Sea SAP implementation</w:t>
      </w:r>
      <w:r w:rsidRPr="00256953">
        <w:rPr>
          <w:i/>
          <w:sz w:val="22"/>
          <w:szCs w:val="22"/>
          <w:lang w:val="en-GB"/>
        </w:rPr>
        <w:t xml:space="preserve"> </w:t>
      </w:r>
      <w:r w:rsidRPr="00256953">
        <w:rPr>
          <w:sz w:val="22"/>
          <w:szCs w:val="22"/>
          <w:lang w:val="en-GB"/>
        </w:rPr>
        <w:t xml:space="preserve">project </w:t>
      </w:r>
    </w:p>
    <w:p w14:paraId="7370A652" w14:textId="77777777" w:rsidR="00256953" w:rsidRPr="00256953" w:rsidRDefault="00256953" w:rsidP="00256953">
      <w:pPr>
        <w:rPr>
          <w:sz w:val="22"/>
          <w:szCs w:val="22"/>
        </w:rPr>
      </w:pPr>
    </w:p>
    <w:p w14:paraId="43A980C4" w14:textId="77777777" w:rsidR="00256953" w:rsidRPr="00256953" w:rsidRDefault="00256953" w:rsidP="00256953">
      <w:pPr>
        <w:jc w:val="both"/>
        <w:rPr>
          <w:sz w:val="22"/>
          <w:szCs w:val="22"/>
        </w:rPr>
      </w:pPr>
      <w:r w:rsidRPr="00256953">
        <w:rPr>
          <w:b/>
          <w:sz w:val="22"/>
          <w:szCs w:val="22"/>
        </w:rPr>
        <w:t>Component 1.</w:t>
      </w:r>
      <w:r w:rsidRPr="00256953">
        <w:rPr>
          <w:sz w:val="22"/>
          <w:szCs w:val="22"/>
        </w:rPr>
        <w:t xml:space="preserve"> Reducing habitat degradation and loss via national and local reforms to achieve Strategic Action Programme targets for coastal habitat management in the South China Sea</w:t>
      </w:r>
    </w:p>
    <w:p w14:paraId="58BDA51C" w14:textId="77777777" w:rsidR="00256953" w:rsidRPr="00256953" w:rsidRDefault="00256953" w:rsidP="00256953">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256953" w:rsidRPr="00256953" w14:paraId="4572EE98" w14:textId="77777777" w:rsidTr="00933570">
        <w:tc>
          <w:tcPr>
            <w:tcW w:w="9198" w:type="dxa"/>
            <w:shd w:val="clear" w:color="auto" w:fill="auto"/>
          </w:tcPr>
          <w:p w14:paraId="7E740F11" w14:textId="77777777" w:rsidR="00256953" w:rsidRPr="00256953" w:rsidRDefault="00256953" w:rsidP="00256953">
            <w:pPr>
              <w:jc w:val="center"/>
              <w:rPr>
                <w:rFonts w:eastAsia="Calibri"/>
                <w:b/>
                <w:sz w:val="20"/>
                <w:szCs w:val="20"/>
                <w:lang w:val="en-GB"/>
              </w:rPr>
            </w:pPr>
            <w:r w:rsidRPr="00256953">
              <w:rPr>
                <w:rFonts w:eastAsia="Calibri"/>
                <w:b/>
                <w:sz w:val="20"/>
                <w:szCs w:val="20"/>
                <w:lang w:val="en-GB"/>
              </w:rPr>
              <w:t>Appropriate forms of sustainable management established for 860,000 ha of mangrove by Yr 5</w:t>
            </w:r>
          </w:p>
        </w:tc>
      </w:tr>
      <w:tr w:rsidR="00256953" w:rsidRPr="00256953" w14:paraId="732FE907" w14:textId="77777777" w:rsidTr="00933570">
        <w:tc>
          <w:tcPr>
            <w:tcW w:w="9198" w:type="dxa"/>
            <w:shd w:val="clear" w:color="auto" w:fill="auto"/>
          </w:tcPr>
          <w:p w14:paraId="65381AF4" w14:textId="77777777" w:rsidR="00256953" w:rsidRPr="00256953" w:rsidRDefault="00256953" w:rsidP="00256953">
            <w:pPr>
              <w:numPr>
                <w:ilvl w:val="0"/>
                <w:numId w:val="30"/>
              </w:numPr>
              <w:ind w:left="180" w:hanging="180"/>
              <w:contextualSpacing/>
              <w:rPr>
                <w:rFonts w:eastAsia="Calibri"/>
                <w:sz w:val="20"/>
                <w:szCs w:val="20"/>
                <w:lang w:val="en-GB"/>
              </w:rPr>
            </w:pPr>
            <w:r w:rsidRPr="00256953">
              <w:rPr>
                <w:rFonts w:eastAsia="Calibri"/>
                <w:sz w:val="20"/>
                <w:szCs w:val="20"/>
                <w:lang w:val="en-GB"/>
              </w:rPr>
              <w:t>Adequate joint government and community commitment to manage mangrove on a protected area basis</w:t>
            </w:r>
          </w:p>
          <w:p w14:paraId="346EE566" w14:textId="77777777" w:rsidR="00256953" w:rsidRPr="00256953" w:rsidRDefault="00256953" w:rsidP="00256953">
            <w:pPr>
              <w:numPr>
                <w:ilvl w:val="0"/>
                <w:numId w:val="30"/>
              </w:numPr>
              <w:ind w:left="180" w:hanging="180"/>
              <w:contextualSpacing/>
              <w:rPr>
                <w:rFonts w:eastAsia="Calibri"/>
                <w:sz w:val="20"/>
                <w:szCs w:val="20"/>
                <w:lang w:val="en-GB"/>
              </w:rPr>
            </w:pPr>
            <w:r w:rsidRPr="00256953">
              <w:rPr>
                <w:rFonts w:eastAsia="Calibri"/>
                <w:sz w:val="20"/>
                <w:szCs w:val="20"/>
                <w:lang w:val="en-GB"/>
              </w:rPr>
              <w:t>Adequate local cooperation to agree boundaries and compile and analyse information to identify threats and agree management actions</w:t>
            </w:r>
          </w:p>
          <w:p w14:paraId="1D633CF8" w14:textId="77777777" w:rsidR="00256953" w:rsidRPr="00256953" w:rsidRDefault="00256953" w:rsidP="00256953">
            <w:pPr>
              <w:numPr>
                <w:ilvl w:val="0"/>
                <w:numId w:val="30"/>
              </w:numPr>
              <w:ind w:left="180" w:hanging="180"/>
              <w:contextualSpacing/>
              <w:rPr>
                <w:rFonts w:eastAsia="Calibri"/>
                <w:sz w:val="20"/>
                <w:szCs w:val="20"/>
                <w:lang w:val="en-GB"/>
              </w:rPr>
            </w:pPr>
            <w:r w:rsidRPr="00256953">
              <w:rPr>
                <w:rFonts w:eastAsia="Calibri"/>
                <w:sz w:val="20"/>
                <w:szCs w:val="20"/>
                <w:lang w:val="en-GB"/>
              </w:rPr>
              <w:t>National and provincial/local government commitment to adopt governance reforms that reflect local needs</w:t>
            </w:r>
          </w:p>
          <w:p w14:paraId="0326B171" w14:textId="77777777" w:rsidR="00256953" w:rsidRPr="00256953" w:rsidRDefault="00256953" w:rsidP="00256953">
            <w:pPr>
              <w:numPr>
                <w:ilvl w:val="0"/>
                <w:numId w:val="30"/>
              </w:numPr>
              <w:ind w:left="180" w:hanging="180"/>
              <w:contextualSpacing/>
              <w:rPr>
                <w:rFonts w:eastAsia="Calibri"/>
                <w:sz w:val="20"/>
                <w:szCs w:val="20"/>
                <w:lang w:val="en-GB"/>
              </w:rPr>
            </w:pPr>
            <w:r w:rsidRPr="00256953">
              <w:rPr>
                <w:rFonts w:eastAsia="Calibri"/>
                <w:sz w:val="20"/>
                <w:szCs w:val="20"/>
                <w:lang w:val="en-GB"/>
              </w:rPr>
              <w:t>Landowner commitment to convert present land-use to mangrove forest</w:t>
            </w:r>
          </w:p>
          <w:p w14:paraId="7E71EA21" w14:textId="77777777" w:rsidR="00256953" w:rsidRPr="00256953" w:rsidRDefault="00256953" w:rsidP="00256953">
            <w:pPr>
              <w:numPr>
                <w:ilvl w:val="0"/>
                <w:numId w:val="30"/>
              </w:numPr>
              <w:ind w:left="180" w:hanging="180"/>
              <w:contextualSpacing/>
              <w:rPr>
                <w:rFonts w:eastAsia="Calibri"/>
                <w:sz w:val="20"/>
                <w:szCs w:val="20"/>
                <w:lang w:val="en-GB"/>
              </w:rPr>
            </w:pPr>
            <w:r w:rsidRPr="00256953">
              <w:rPr>
                <w:rFonts w:eastAsia="Calibri"/>
                <w:sz w:val="20"/>
                <w:szCs w:val="20"/>
                <w:lang w:val="en-GB"/>
              </w:rPr>
              <w:t xml:space="preserve">Appropriate selection of enrichment planting sites to minimise risks associated with: chronic pollution from shrimp farming operations; charcoal production; and storm surge inundation  </w:t>
            </w:r>
          </w:p>
        </w:tc>
      </w:tr>
      <w:tr w:rsidR="00256953" w:rsidRPr="00256953" w14:paraId="27CC2AE2" w14:textId="77777777" w:rsidTr="00933570">
        <w:tc>
          <w:tcPr>
            <w:tcW w:w="9198" w:type="dxa"/>
            <w:shd w:val="clear" w:color="auto" w:fill="auto"/>
          </w:tcPr>
          <w:p w14:paraId="100B97D3" w14:textId="77777777" w:rsidR="00256953" w:rsidRPr="00256953" w:rsidRDefault="00256953" w:rsidP="00256953">
            <w:pPr>
              <w:jc w:val="center"/>
              <w:rPr>
                <w:rFonts w:eastAsia="Calibri"/>
                <w:b/>
                <w:sz w:val="20"/>
                <w:szCs w:val="20"/>
                <w:lang w:val="en-GB"/>
              </w:rPr>
            </w:pPr>
            <w:r w:rsidRPr="00256953">
              <w:rPr>
                <w:rFonts w:eastAsia="Calibri"/>
                <w:b/>
                <w:sz w:val="20"/>
                <w:szCs w:val="20"/>
                <w:lang w:val="en-GB"/>
              </w:rPr>
              <w:t>153,000 ha of coral reef at 82 priority sites managed sustainably by Yr 5, including a reduction in the decadal rate of degradation in live coral cover from 16 to 5%</w:t>
            </w:r>
          </w:p>
        </w:tc>
      </w:tr>
      <w:tr w:rsidR="00256953" w:rsidRPr="00256953" w14:paraId="37F82170" w14:textId="77777777" w:rsidTr="00933570">
        <w:tc>
          <w:tcPr>
            <w:tcW w:w="9198" w:type="dxa"/>
            <w:shd w:val="clear" w:color="auto" w:fill="auto"/>
          </w:tcPr>
          <w:p w14:paraId="5E95E08A" w14:textId="77777777" w:rsidR="00256953" w:rsidRPr="00256953" w:rsidRDefault="00256953" w:rsidP="00256953">
            <w:pPr>
              <w:numPr>
                <w:ilvl w:val="0"/>
                <w:numId w:val="31"/>
              </w:numPr>
              <w:ind w:left="180" w:hanging="180"/>
              <w:contextualSpacing/>
              <w:jc w:val="both"/>
              <w:rPr>
                <w:rFonts w:eastAsia="Calibri"/>
                <w:sz w:val="20"/>
                <w:szCs w:val="20"/>
                <w:lang w:val="en-GB"/>
              </w:rPr>
            </w:pPr>
            <w:r w:rsidRPr="00256953">
              <w:rPr>
                <w:rFonts w:eastAsia="Calibri"/>
                <w:sz w:val="20"/>
                <w:szCs w:val="20"/>
                <w:lang w:val="en-GB"/>
              </w:rPr>
              <w:t xml:space="preserve">Management capacity initiatives are sufficiently well planned to accommodate biodiversity conservation and livelihood/food security needs at coral reef sites </w:t>
            </w:r>
          </w:p>
          <w:p w14:paraId="36D3F011" w14:textId="77777777" w:rsidR="00256953" w:rsidRPr="00256953" w:rsidRDefault="00256953" w:rsidP="00256953">
            <w:pPr>
              <w:numPr>
                <w:ilvl w:val="0"/>
                <w:numId w:val="31"/>
              </w:numPr>
              <w:ind w:left="180" w:hanging="180"/>
              <w:contextualSpacing/>
              <w:jc w:val="both"/>
              <w:rPr>
                <w:rFonts w:eastAsia="Calibri"/>
                <w:sz w:val="20"/>
                <w:szCs w:val="20"/>
                <w:lang w:val="en-GB"/>
              </w:rPr>
            </w:pPr>
            <w:r w:rsidRPr="00256953">
              <w:rPr>
                <w:rFonts w:eastAsia="Calibri"/>
                <w:sz w:val="20"/>
                <w:szCs w:val="20"/>
                <w:lang w:val="en-GB"/>
              </w:rPr>
              <w:t>Existing tensions between coral reef resource users and governments may limit community participation</w:t>
            </w:r>
          </w:p>
          <w:p w14:paraId="7BAD7F29" w14:textId="77777777" w:rsidR="00256953" w:rsidRPr="00256953" w:rsidRDefault="00256953" w:rsidP="00256953">
            <w:pPr>
              <w:numPr>
                <w:ilvl w:val="0"/>
                <w:numId w:val="31"/>
              </w:numPr>
              <w:ind w:left="180" w:hanging="180"/>
              <w:contextualSpacing/>
              <w:jc w:val="both"/>
              <w:rPr>
                <w:rFonts w:eastAsia="Calibri"/>
                <w:sz w:val="20"/>
                <w:szCs w:val="20"/>
                <w:lang w:val="en-GB"/>
              </w:rPr>
            </w:pPr>
            <w:r w:rsidRPr="00256953">
              <w:rPr>
                <w:rFonts w:eastAsia="Calibri"/>
                <w:sz w:val="20"/>
                <w:szCs w:val="20"/>
                <w:lang w:val="en-GB"/>
              </w:rPr>
              <w:t>Commitment of central and local governments, as well as resource users, to jointly develop and apply management tools governing coral reef resource use</w:t>
            </w:r>
          </w:p>
          <w:p w14:paraId="49F43092" w14:textId="77777777" w:rsidR="00256953" w:rsidRPr="00256953" w:rsidRDefault="00256953" w:rsidP="00256953">
            <w:pPr>
              <w:numPr>
                <w:ilvl w:val="0"/>
                <w:numId w:val="31"/>
              </w:numPr>
              <w:ind w:left="180" w:hanging="180"/>
              <w:contextualSpacing/>
              <w:jc w:val="both"/>
              <w:rPr>
                <w:rFonts w:eastAsia="Calibri"/>
                <w:sz w:val="20"/>
                <w:szCs w:val="20"/>
                <w:lang w:val="en-GB"/>
              </w:rPr>
            </w:pPr>
            <w:r w:rsidRPr="00256953">
              <w:rPr>
                <w:rFonts w:eastAsia="Calibri"/>
                <w:sz w:val="20"/>
                <w:szCs w:val="20"/>
                <w:lang w:val="en-GB"/>
              </w:rPr>
              <w:t>Capacity of provincial and local level resource managers to collate nationally and regionally comparable information and data</w:t>
            </w:r>
          </w:p>
        </w:tc>
      </w:tr>
      <w:tr w:rsidR="00256953" w:rsidRPr="00256953" w14:paraId="1B8D3650" w14:textId="77777777" w:rsidTr="00933570">
        <w:tc>
          <w:tcPr>
            <w:tcW w:w="9198" w:type="dxa"/>
            <w:shd w:val="clear" w:color="auto" w:fill="auto"/>
          </w:tcPr>
          <w:p w14:paraId="45279BB5" w14:textId="77777777" w:rsidR="00256953" w:rsidRPr="00256953" w:rsidRDefault="00256953" w:rsidP="00256953">
            <w:pPr>
              <w:jc w:val="center"/>
              <w:rPr>
                <w:rFonts w:eastAsia="Calibri"/>
                <w:sz w:val="20"/>
                <w:szCs w:val="20"/>
                <w:lang w:val="en-GB"/>
              </w:rPr>
            </w:pPr>
            <w:r w:rsidRPr="00256953">
              <w:rPr>
                <w:rFonts w:eastAsia="Calibri"/>
                <w:b/>
                <w:sz w:val="20"/>
                <w:szCs w:val="20"/>
                <w:lang w:val="en-GB"/>
              </w:rPr>
              <w:t>Conservation, management and sustainable use of 25,900 ha of known seagrass area in the South China Sea by Yr 5</w:t>
            </w:r>
          </w:p>
        </w:tc>
      </w:tr>
      <w:tr w:rsidR="00256953" w:rsidRPr="00256953" w14:paraId="0E50048E" w14:textId="77777777" w:rsidTr="00933570">
        <w:tc>
          <w:tcPr>
            <w:tcW w:w="9198" w:type="dxa"/>
            <w:shd w:val="clear" w:color="auto" w:fill="auto"/>
          </w:tcPr>
          <w:p w14:paraId="13696073" w14:textId="77777777" w:rsidR="00256953" w:rsidRPr="00256953" w:rsidRDefault="00256953" w:rsidP="00256953">
            <w:pPr>
              <w:numPr>
                <w:ilvl w:val="0"/>
                <w:numId w:val="32"/>
              </w:numPr>
              <w:ind w:left="180" w:hanging="180"/>
              <w:contextualSpacing/>
              <w:jc w:val="both"/>
              <w:rPr>
                <w:rFonts w:eastAsia="Calibri"/>
                <w:sz w:val="20"/>
                <w:szCs w:val="20"/>
                <w:lang w:val="en-GB"/>
              </w:rPr>
            </w:pPr>
            <w:r w:rsidRPr="00256953">
              <w:rPr>
                <w:rFonts w:eastAsia="Calibri"/>
                <w:sz w:val="20"/>
                <w:szCs w:val="20"/>
                <w:lang w:val="en-GB"/>
              </w:rPr>
              <w:t>Central and local government commitment to enact laws for seagrass management in light of development pressures</w:t>
            </w:r>
          </w:p>
          <w:p w14:paraId="4CA5D6E5" w14:textId="77777777" w:rsidR="00256953" w:rsidRPr="00256953" w:rsidRDefault="00256953" w:rsidP="00256953">
            <w:pPr>
              <w:numPr>
                <w:ilvl w:val="0"/>
                <w:numId w:val="32"/>
              </w:numPr>
              <w:ind w:left="180" w:hanging="180"/>
              <w:contextualSpacing/>
              <w:jc w:val="both"/>
              <w:rPr>
                <w:rFonts w:eastAsia="Calibri"/>
                <w:sz w:val="20"/>
                <w:szCs w:val="20"/>
                <w:lang w:val="en-GB"/>
              </w:rPr>
            </w:pPr>
            <w:r w:rsidRPr="00256953">
              <w:rPr>
                <w:rFonts w:eastAsia="Calibri"/>
                <w:sz w:val="20"/>
                <w:szCs w:val="20"/>
                <w:lang w:val="en-GB"/>
              </w:rPr>
              <w:t>Adequate local cooperation, as well as satisfaction with existing MPA management, to agree priority seagrass management actions</w:t>
            </w:r>
          </w:p>
          <w:p w14:paraId="1131F519" w14:textId="77777777" w:rsidR="00256953" w:rsidRPr="00256953" w:rsidRDefault="00256953" w:rsidP="00256953">
            <w:pPr>
              <w:numPr>
                <w:ilvl w:val="0"/>
                <w:numId w:val="32"/>
              </w:numPr>
              <w:ind w:left="180" w:hanging="180"/>
              <w:contextualSpacing/>
              <w:jc w:val="both"/>
              <w:rPr>
                <w:rFonts w:eastAsia="Calibri"/>
                <w:sz w:val="20"/>
                <w:szCs w:val="20"/>
                <w:lang w:val="en-GB"/>
              </w:rPr>
            </w:pPr>
            <w:r w:rsidRPr="00256953">
              <w:rPr>
                <w:rFonts w:eastAsia="Calibri"/>
                <w:sz w:val="20"/>
                <w:szCs w:val="20"/>
                <w:lang w:val="en-GB"/>
              </w:rPr>
              <w:t>Adequate joint government and community commitment to manage seagrass on a protected area basis</w:t>
            </w:r>
          </w:p>
          <w:p w14:paraId="449474C2" w14:textId="77777777" w:rsidR="00256953" w:rsidRPr="00256953" w:rsidRDefault="00256953" w:rsidP="00256953">
            <w:pPr>
              <w:numPr>
                <w:ilvl w:val="0"/>
                <w:numId w:val="32"/>
              </w:numPr>
              <w:ind w:left="180" w:hanging="180"/>
              <w:contextualSpacing/>
              <w:jc w:val="both"/>
              <w:rPr>
                <w:rFonts w:eastAsia="Calibri"/>
                <w:sz w:val="20"/>
                <w:szCs w:val="20"/>
                <w:lang w:val="en-GB"/>
              </w:rPr>
            </w:pPr>
            <w:r w:rsidRPr="00256953">
              <w:rPr>
                <w:rFonts w:eastAsia="Calibri"/>
                <w:sz w:val="20"/>
                <w:szCs w:val="20"/>
                <w:lang w:val="en-GB"/>
              </w:rPr>
              <w:t>Capacity of provincial and local level resource managers to collate nationally and regionally comparable information and data</w:t>
            </w:r>
          </w:p>
        </w:tc>
      </w:tr>
      <w:tr w:rsidR="00256953" w:rsidRPr="00256953" w14:paraId="4EFD38A3" w14:textId="77777777" w:rsidTr="00933570">
        <w:tc>
          <w:tcPr>
            <w:tcW w:w="9198" w:type="dxa"/>
            <w:shd w:val="clear" w:color="auto" w:fill="auto"/>
          </w:tcPr>
          <w:p w14:paraId="2ECB7967" w14:textId="77777777" w:rsidR="00256953" w:rsidRPr="00256953" w:rsidRDefault="00256953" w:rsidP="00256953">
            <w:pPr>
              <w:jc w:val="center"/>
              <w:rPr>
                <w:rFonts w:eastAsia="Calibri"/>
                <w:b/>
                <w:sz w:val="20"/>
                <w:szCs w:val="20"/>
                <w:lang w:val="en-GB"/>
              </w:rPr>
            </w:pPr>
            <w:r w:rsidRPr="00256953">
              <w:rPr>
                <w:rFonts w:eastAsia="Calibri"/>
                <w:b/>
                <w:sz w:val="20"/>
                <w:szCs w:val="20"/>
                <w:lang w:val="en-GB"/>
              </w:rPr>
              <w:t>Integrated management of 783,900 ha of coastal wetland at 19 sites, including habitat restoration and protection strengthened at priority locations</w:t>
            </w:r>
          </w:p>
        </w:tc>
      </w:tr>
      <w:tr w:rsidR="00256953" w:rsidRPr="00256953" w14:paraId="294197E8" w14:textId="77777777" w:rsidTr="00933570">
        <w:trPr>
          <w:trHeight w:val="458"/>
        </w:trPr>
        <w:tc>
          <w:tcPr>
            <w:tcW w:w="9198" w:type="dxa"/>
            <w:shd w:val="clear" w:color="auto" w:fill="auto"/>
          </w:tcPr>
          <w:p w14:paraId="6372A559"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Adequate local cooperation to agree boundaries and compile and analyse information to identify threats and agree management actions</w:t>
            </w:r>
          </w:p>
          <w:p w14:paraId="403E22E5"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Development pressures may result in adoption or revision of land-use policies which compromise efforts to conserve priority wetland sites</w:t>
            </w:r>
          </w:p>
          <w:p w14:paraId="2ACD83AF"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Capacity of provincial and local level resource managers to collate nationally and regionally comparable information and data</w:t>
            </w:r>
          </w:p>
        </w:tc>
      </w:tr>
      <w:tr w:rsidR="00256953" w:rsidRPr="00256953" w14:paraId="0659711C" w14:textId="77777777" w:rsidTr="00933570">
        <w:trPr>
          <w:trHeight w:val="458"/>
        </w:trPr>
        <w:tc>
          <w:tcPr>
            <w:tcW w:w="9198" w:type="dxa"/>
            <w:shd w:val="clear" w:color="auto" w:fill="auto"/>
          </w:tcPr>
          <w:p w14:paraId="546D761F" w14:textId="77777777" w:rsidR="00256953" w:rsidRPr="00256953" w:rsidRDefault="00256953" w:rsidP="00256953">
            <w:pPr>
              <w:contextualSpacing/>
              <w:jc w:val="center"/>
              <w:rPr>
                <w:rFonts w:eastAsia="Calibri"/>
                <w:b/>
                <w:sz w:val="20"/>
                <w:szCs w:val="20"/>
                <w:lang w:val="en-GB"/>
              </w:rPr>
            </w:pPr>
            <w:r w:rsidRPr="00256953">
              <w:rPr>
                <w:rFonts w:eastAsia="Calibri"/>
                <w:b/>
                <w:sz w:val="20"/>
                <w:szCs w:val="20"/>
                <w:lang w:val="en-GB"/>
              </w:rPr>
              <w:t>National and regional level cooperation in tracking results of SAP actions for coastal habitat management</w:t>
            </w:r>
          </w:p>
        </w:tc>
      </w:tr>
      <w:tr w:rsidR="00256953" w:rsidRPr="00256953" w14:paraId="5B58A906" w14:textId="77777777" w:rsidTr="00933570">
        <w:trPr>
          <w:trHeight w:val="458"/>
        </w:trPr>
        <w:tc>
          <w:tcPr>
            <w:tcW w:w="9198" w:type="dxa"/>
            <w:shd w:val="clear" w:color="auto" w:fill="auto"/>
          </w:tcPr>
          <w:p w14:paraId="3054FD97"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Consultative processes may not elicit adequate stakeholder input and support from national participants</w:t>
            </w:r>
          </w:p>
          <w:p w14:paraId="47914918"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Sustained commitment of senior officials with responsibility for SAP implementation to develop and operate a harmonized results monitoring and reporting system for coastal habitat management</w:t>
            </w:r>
          </w:p>
          <w:p w14:paraId="2BAE0340"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Existing tensions between land-owners and government agencies may limit community leader participation</w:t>
            </w:r>
          </w:p>
          <w:p w14:paraId="4DBF6672"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Internal tensions between community organisations may be exacerbated by discussions about community priorities</w:t>
            </w:r>
          </w:p>
          <w:p w14:paraId="42CA0618"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Adequate national and regional mechanisms for the step-wise review of information and data used in reporting</w:t>
            </w:r>
          </w:p>
        </w:tc>
      </w:tr>
    </w:tbl>
    <w:p w14:paraId="73593101" w14:textId="77777777" w:rsidR="00256953" w:rsidRPr="00256953" w:rsidRDefault="00256953" w:rsidP="00256953">
      <w:pPr>
        <w:rPr>
          <w:sz w:val="22"/>
          <w:szCs w:val="22"/>
        </w:rPr>
      </w:pPr>
    </w:p>
    <w:p w14:paraId="3FB9EDCC" w14:textId="77777777" w:rsidR="00256953" w:rsidRPr="00256953" w:rsidRDefault="00256953" w:rsidP="00256953">
      <w:pPr>
        <w:rPr>
          <w:sz w:val="22"/>
          <w:szCs w:val="22"/>
        </w:rPr>
      </w:pPr>
      <w:r w:rsidRPr="00256953">
        <w:rPr>
          <w:b/>
          <w:sz w:val="22"/>
          <w:szCs w:val="22"/>
        </w:rPr>
        <w:t>Component 2.</w:t>
      </w:r>
      <w:r w:rsidRPr="00256953">
        <w:rPr>
          <w:sz w:val="22"/>
          <w:szCs w:val="22"/>
        </w:rPr>
        <w:t xml:space="preserve"> Strengthening knowledge-based action planning for the management of coastal habitats and land-based pollution to reduce environmental degradation of the South China Sea</w:t>
      </w:r>
    </w:p>
    <w:p w14:paraId="5AE47D74" w14:textId="77777777" w:rsidR="00256953" w:rsidRPr="00256953" w:rsidRDefault="00256953" w:rsidP="00256953">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256953" w:rsidRPr="00256953" w14:paraId="4633F99A" w14:textId="77777777" w:rsidTr="00933570">
        <w:tc>
          <w:tcPr>
            <w:tcW w:w="9198" w:type="dxa"/>
            <w:shd w:val="clear" w:color="auto" w:fill="auto"/>
          </w:tcPr>
          <w:p w14:paraId="0AADBCE3" w14:textId="77777777" w:rsidR="00256953" w:rsidRPr="00256953" w:rsidRDefault="00256953" w:rsidP="00256953">
            <w:pPr>
              <w:jc w:val="center"/>
              <w:rPr>
                <w:rFonts w:eastAsia="Calibri"/>
                <w:b/>
                <w:sz w:val="20"/>
                <w:szCs w:val="20"/>
                <w:lang w:val="en-GB"/>
              </w:rPr>
            </w:pPr>
            <w:r w:rsidRPr="00256953">
              <w:rPr>
                <w:rFonts w:eastAsia="Calibri"/>
                <w:b/>
                <w:sz w:val="20"/>
                <w:szCs w:val="20"/>
                <w:lang w:val="en-GB"/>
              </w:rPr>
              <w:t>Enhanced information-base for coastal habitat management and action planning</w:t>
            </w:r>
          </w:p>
        </w:tc>
      </w:tr>
      <w:tr w:rsidR="00256953" w:rsidRPr="00256953" w14:paraId="0920A578" w14:textId="77777777" w:rsidTr="00933570">
        <w:tc>
          <w:tcPr>
            <w:tcW w:w="9198" w:type="dxa"/>
            <w:shd w:val="clear" w:color="auto" w:fill="auto"/>
          </w:tcPr>
          <w:p w14:paraId="52FB5812" w14:textId="77777777" w:rsidR="00256953" w:rsidRPr="00256953" w:rsidRDefault="00256953" w:rsidP="00256953">
            <w:pPr>
              <w:numPr>
                <w:ilvl w:val="0"/>
                <w:numId w:val="30"/>
              </w:numPr>
              <w:ind w:left="180" w:hanging="180"/>
              <w:contextualSpacing/>
              <w:rPr>
                <w:rFonts w:eastAsia="Calibri"/>
                <w:sz w:val="20"/>
                <w:szCs w:val="20"/>
                <w:lang w:val="en-GB"/>
              </w:rPr>
            </w:pPr>
            <w:r w:rsidRPr="00256953">
              <w:rPr>
                <w:rFonts w:eastAsia="Calibri"/>
                <w:sz w:val="20"/>
                <w:szCs w:val="20"/>
                <w:lang w:val="en-GB"/>
              </w:rPr>
              <w:t>Adequate national and local capacity to ground-truth and conduct rapid assessments f</w:t>
            </w:r>
            <w:r w:rsidR="00B75CEB">
              <w:rPr>
                <w:rFonts w:eastAsia="Calibri"/>
                <w:sz w:val="20"/>
                <w:szCs w:val="20"/>
                <w:lang w:val="en-GB"/>
              </w:rPr>
              <w:t>or validation of remotely sensed information and data</w:t>
            </w:r>
          </w:p>
          <w:p w14:paraId="0F6E7D30" w14:textId="77777777" w:rsidR="00256953" w:rsidRPr="00256953" w:rsidRDefault="00256953" w:rsidP="00256953">
            <w:pPr>
              <w:numPr>
                <w:ilvl w:val="0"/>
                <w:numId w:val="30"/>
              </w:numPr>
              <w:ind w:left="180" w:hanging="180"/>
              <w:contextualSpacing/>
              <w:rPr>
                <w:rFonts w:eastAsia="Calibri"/>
                <w:sz w:val="20"/>
                <w:szCs w:val="20"/>
                <w:lang w:val="en-GB"/>
              </w:rPr>
            </w:pPr>
            <w:r w:rsidRPr="00256953">
              <w:rPr>
                <w:rFonts w:eastAsia="Calibri"/>
                <w:sz w:val="20"/>
                <w:szCs w:val="20"/>
                <w:lang w:val="en-GB"/>
              </w:rPr>
              <w:t>Engaging appropriate expertise to facilitate consensus on the selection of physical, biological and socio-economic variables to be used in characterising coastal habitat sites, as well as willingness of data holders to share</w:t>
            </w:r>
          </w:p>
          <w:p w14:paraId="1CC55B54" w14:textId="77777777" w:rsidR="00256953" w:rsidRPr="00256953" w:rsidRDefault="00256953" w:rsidP="00256953">
            <w:pPr>
              <w:numPr>
                <w:ilvl w:val="0"/>
                <w:numId w:val="30"/>
              </w:numPr>
              <w:ind w:left="180" w:hanging="180"/>
              <w:contextualSpacing/>
              <w:rPr>
                <w:rFonts w:eastAsia="Calibri"/>
                <w:sz w:val="20"/>
                <w:szCs w:val="20"/>
                <w:lang w:val="en-GB"/>
              </w:rPr>
            </w:pPr>
            <w:r w:rsidRPr="00256953">
              <w:rPr>
                <w:rFonts w:eastAsia="Calibri"/>
                <w:sz w:val="20"/>
                <w:szCs w:val="20"/>
                <w:lang w:val="en-GB"/>
              </w:rPr>
              <w:t>Appropriate selection of in-situ monitoring sites to minimise risks associated with: typhoon; emerging development pressures; and storm surge inundation</w:t>
            </w:r>
          </w:p>
          <w:p w14:paraId="5A4D6487" w14:textId="77777777" w:rsidR="00256953" w:rsidRPr="00256953" w:rsidRDefault="00256953" w:rsidP="00256953">
            <w:pPr>
              <w:numPr>
                <w:ilvl w:val="0"/>
                <w:numId w:val="30"/>
              </w:numPr>
              <w:ind w:left="180" w:hanging="180"/>
              <w:contextualSpacing/>
              <w:rPr>
                <w:rFonts w:eastAsia="Calibri"/>
                <w:sz w:val="20"/>
                <w:szCs w:val="20"/>
                <w:lang w:val="en-GB"/>
              </w:rPr>
            </w:pPr>
            <w:r w:rsidRPr="00256953">
              <w:rPr>
                <w:rFonts w:eastAsia="Calibri"/>
                <w:sz w:val="20"/>
                <w:szCs w:val="20"/>
                <w:lang w:val="en-GB"/>
              </w:rPr>
              <w:t>Engaging appropriate breadth of expertise in conducting review to facilitate consensus building at both national and regional levels on findings and recommendations</w:t>
            </w:r>
          </w:p>
          <w:p w14:paraId="66168607" w14:textId="77777777" w:rsidR="00256953" w:rsidRPr="00256953" w:rsidRDefault="00256953" w:rsidP="00256953">
            <w:pPr>
              <w:numPr>
                <w:ilvl w:val="0"/>
                <w:numId w:val="30"/>
              </w:numPr>
              <w:ind w:left="180" w:hanging="180"/>
              <w:contextualSpacing/>
              <w:rPr>
                <w:rFonts w:eastAsia="Calibri"/>
                <w:sz w:val="20"/>
                <w:szCs w:val="20"/>
                <w:lang w:val="en-GB"/>
              </w:rPr>
            </w:pPr>
            <w:r w:rsidRPr="00256953">
              <w:rPr>
                <w:rFonts w:eastAsia="Calibri"/>
                <w:sz w:val="20"/>
                <w:szCs w:val="20"/>
                <w:lang w:val="en-GB"/>
              </w:rPr>
              <w:t>Ministerial level commitment to adopt updated management plans and enact supporting legislation</w:t>
            </w:r>
          </w:p>
        </w:tc>
      </w:tr>
      <w:tr w:rsidR="00256953" w:rsidRPr="00256953" w14:paraId="63C9B6E3" w14:textId="77777777" w:rsidTr="00933570">
        <w:tc>
          <w:tcPr>
            <w:tcW w:w="9198" w:type="dxa"/>
            <w:shd w:val="clear" w:color="auto" w:fill="auto"/>
          </w:tcPr>
          <w:p w14:paraId="4478A7CA" w14:textId="77777777" w:rsidR="00256953" w:rsidRPr="00256953" w:rsidRDefault="00256953" w:rsidP="00256953">
            <w:pPr>
              <w:jc w:val="center"/>
              <w:rPr>
                <w:rFonts w:eastAsia="Calibri"/>
                <w:b/>
                <w:sz w:val="20"/>
                <w:szCs w:val="20"/>
                <w:lang w:val="en-GB"/>
              </w:rPr>
            </w:pPr>
            <w:r w:rsidRPr="00256953">
              <w:rPr>
                <w:rFonts w:eastAsia="Calibri"/>
                <w:b/>
                <w:sz w:val="20"/>
                <w:szCs w:val="20"/>
                <w:lang w:val="en-GB"/>
              </w:rPr>
              <w:t>Effective integration of regional science in the management of land-based pollution</w:t>
            </w:r>
          </w:p>
        </w:tc>
      </w:tr>
      <w:tr w:rsidR="00256953" w:rsidRPr="00256953" w14:paraId="4F8C4FD5" w14:textId="77777777" w:rsidTr="00933570">
        <w:tc>
          <w:tcPr>
            <w:tcW w:w="9198" w:type="dxa"/>
            <w:shd w:val="clear" w:color="auto" w:fill="auto"/>
          </w:tcPr>
          <w:p w14:paraId="4C7A1FBF" w14:textId="77777777" w:rsidR="00256953" w:rsidRPr="00256953" w:rsidRDefault="00256953" w:rsidP="00256953">
            <w:pPr>
              <w:numPr>
                <w:ilvl w:val="0"/>
                <w:numId w:val="31"/>
              </w:numPr>
              <w:ind w:left="180" w:hanging="180"/>
              <w:contextualSpacing/>
              <w:jc w:val="both"/>
              <w:rPr>
                <w:rFonts w:eastAsia="Calibri"/>
                <w:sz w:val="20"/>
                <w:szCs w:val="20"/>
                <w:lang w:val="en-GB"/>
              </w:rPr>
            </w:pPr>
            <w:r w:rsidRPr="00256953">
              <w:rPr>
                <w:rFonts w:eastAsia="Calibri"/>
                <w:sz w:val="20"/>
                <w:szCs w:val="20"/>
                <w:lang w:val="en-GB"/>
              </w:rPr>
              <w:t>Communication strategy and products sufficiently well designed to achieve desired reach and impact</w:t>
            </w:r>
          </w:p>
          <w:p w14:paraId="0420B0D7" w14:textId="77777777" w:rsidR="00256953" w:rsidRPr="00256953" w:rsidRDefault="00256953" w:rsidP="00256953">
            <w:pPr>
              <w:numPr>
                <w:ilvl w:val="0"/>
                <w:numId w:val="31"/>
              </w:numPr>
              <w:ind w:left="180" w:hanging="180"/>
              <w:contextualSpacing/>
              <w:jc w:val="both"/>
              <w:rPr>
                <w:rFonts w:eastAsia="Calibri"/>
                <w:sz w:val="20"/>
                <w:szCs w:val="20"/>
                <w:lang w:val="en-GB"/>
              </w:rPr>
            </w:pPr>
            <w:r w:rsidRPr="00256953">
              <w:rPr>
                <w:rFonts w:eastAsia="Calibri"/>
                <w:sz w:val="20"/>
                <w:szCs w:val="20"/>
                <w:lang w:val="en-GB"/>
              </w:rPr>
              <w:t>That modelling may be carried out on a 2-dimensional basis and making the assumption that the surface, mixed layer is vertically homogeneous</w:t>
            </w:r>
          </w:p>
          <w:p w14:paraId="752CE266" w14:textId="77777777" w:rsidR="00256953" w:rsidRPr="00256953" w:rsidRDefault="00256953" w:rsidP="00256953">
            <w:pPr>
              <w:numPr>
                <w:ilvl w:val="0"/>
                <w:numId w:val="31"/>
              </w:numPr>
              <w:ind w:left="180" w:hanging="180"/>
              <w:contextualSpacing/>
              <w:jc w:val="both"/>
              <w:rPr>
                <w:rFonts w:eastAsia="Calibri"/>
                <w:sz w:val="20"/>
                <w:szCs w:val="20"/>
                <w:lang w:val="en-GB"/>
              </w:rPr>
            </w:pPr>
            <w:r w:rsidRPr="00256953">
              <w:rPr>
                <w:rFonts w:eastAsia="Calibri"/>
                <w:sz w:val="20"/>
                <w:szCs w:val="20"/>
                <w:lang w:val="en-GB"/>
              </w:rPr>
              <w:t xml:space="preserve">Characterisations of pollution hotspots provide adequate information regarding heavy metal contaminants and threats to environmental and public health </w:t>
            </w:r>
          </w:p>
          <w:p w14:paraId="55F64908" w14:textId="77777777" w:rsidR="00256953" w:rsidRPr="00256953" w:rsidRDefault="00256953" w:rsidP="00256953">
            <w:pPr>
              <w:numPr>
                <w:ilvl w:val="0"/>
                <w:numId w:val="31"/>
              </w:numPr>
              <w:ind w:left="180" w:hanging="180"/>
              <w:contextualSpacing/>
              <w:jc w:val="both"/>
              <w:rPr>
                <w:rFonts w:eastAsia="Calibri"/>
                <w:sz w:val="20"/>
                <w:szCs w:val="20"/>
                <w:lang w:val="en-GB"/>
              </w:rPr>
            </w:pPr>
            <w:r w:rsidRPr="00256953">
              <w:rPr>
                <w:rFonts w:eastAsia="Calibri"/>
                <w:sz w:val="20"/>
                <w:szCs w:val="20"/>
                <w:lang w:val="en-GB"/>
              </w:rPr>
              <w:t>Sufficient national and local capacity, including laboratory facilities, to compile regionally comparable site characterisations</w:t>
            </w:r>
          </w:p>
          <w:p w14:paraId="645C99FC" w14:textId="77777777" w:rsidR="00256953" w:rsidRPr="00256953" w:rsidRDefault="00256953" w:rsidP="00256953">
            <w:pPr>
              <w:numPr>
                <w:ilvl w:val="0"/>
                <w:numId w:val="31"/>
              </w:numPr>
              <w:ind w:left="180" w:hanging="180"/>
              <w:contextualSpacing/>
              <w:jc w:val="both"/>
              <w:rPr>
                <w:rFonts w:eastAsia="Calibri"/>
                <w:sz w:val="20"/>
                <w:szCs w:val="20"/>
                <w:lang w:val="en-GB"/>
              </w:rPr>
            </w:pPr>
            <w:r w:rsidRPr="00256953">
              <w:rPr>
                <w:rFonts w:eastAsia="Calibri"/>
                <w:sz w:val="20"/>
                <w:szCs w:val="20"/>
                <w:lang w:val="en-GB"/>
              </w:rPr>
              <w:t>Willingness of private sector to engage and cooperate in efforts to determine environmental impact of operations</w:t>
            </w:r>
          </w:p>
        </w:tc>
      </w:tr>
      <w:tr w:rsidR="00256953" w:rsidRPr="00256953" w14:paraId="1D10C2A3" w14:textId="77777777" w:rsidTr="00933570">
        <w:tc>
          <w:tcPr>
            <w:tcW w:w="9198" w:type="dxa"/>
            <w:shd w:val="clear" w:color="auto" w:fill="auto"/>
          </w:tcPr>
          <w:p w14:paraId="54DF7ED0" w14:textId="77777777" w:rsidR="00256953" w:rsidRPr="00256953" w:rsidRDefault="00256953" w:rsidP="00256953">
            <w:pPr>
              <w:jc w:val="center"/>
              <w:rPr>
                <w:rFonts w:eastAsia="Calibri"/>
                <w:sz w:val="20"/>
                <w:szCs w:val="20"/>
                <w:lang w:val="en-GB"/>
              </w:rPr>
            </w:pPr>
            <w:r w:rsidRPr="00256953">
              <w:rPr>
                <w:rFonts w:eastAsia="Calibri"/>
                <w:b/>
                <w:sz w:val="20"/>
                <w:szCs w:val="20"/>
                <w:lang w:val="en-GB"/>
              </w:rPr>
              <w:t>Strengthened and harmonized national policies and laws, and supporting financial mechanism, for the management of land-based sources of pollution</w:t>
            </w:r>
          </w:p>
        </w:tc>
      </w:tr>
      <w:tr w:rsidR="00256953" w:rsidRPr="00256953" w14:paraId="59E34867" w14:textId="77777777" w:rsidTr="00933570">
        <w:tc>
          <w:tcPr>
            <w:tcW w:w="9198" w:type="dxa"/>
            <w:shd w:val="clear" w:color="auto" w:fill="auto"/>
          </w:tcPr>
          <w:p w14:paraId="2707AF39" w14:textId="77777777" w:rsidR="00256953" w:rsidRPr="00256953" w:rsidRDefault="00256953" w:rsidP="00256953">
            <w:pPr>
              <w:numPr>
                <w:ilvl w:val="0"/>
                <w:numId w:val="32"/>
              </w:numPr>
              <w:ind w:left="180" w:hanging="180"/>
              <w:contextualSpacing/>
              <w:jc w:val="both"/>
              <w:rPr>
                <w:rFonts w:eastAsia="Calibri"/>
                <w:sz w:val="20"/>
                <w:szCs w:val="20"/>
                <w:lang w:val="en-GB"/>
              </w:rPr>
            </w:pPr>
            <w:r w:rsidRPr="00256953">
              <w:rPr>
                <w:rFonts w:eastAsia="Calibri"/>
                <w:sz w:val="20"/>
                <w:szCs w:val="20"/>
                <w:lang w:val="en-GB"/>
              </w:rPr>
              <w:t>Challenges and costs associated with demonstrating stress reduction benefits may constrain replication and up-scaling</w:t>
            </w:r>
          </w:p>
          <w:p w14:paraId="6CD9E689" w14:textId="77777777" w:rsidR="00256953" w:rsidRPr="00256953" w:rsidRDefault="00256953" w:rsidP="00256953">
            <w:pPr>
              <w:numPr>
                <w:ilvl w:val="0"/>
                <w:numId w:val="32"/>
              </w:numPr>
              <w:ind w:left="180" w:hanging="180"/>
              <w:contextualSpacing/>
              <w:jc w:val="both"/>
              <w:rPr>
                <w:rFonts w:eastAsia="Calibri"/>
                <w:sz w:val="20"/>
                <w:szCs w:val="20"/>
                <w:lang w:val="en-GB"/>
              </w:rPr>
            </w:pPr>
            <w:r w:rsidRPr="00256953">
              <w:rPr>
                <w:rFonts w:eastAsia="Calibri"/>
                <w:sz w:val="20"/>
                <w:szCs w:val="20"/>
                <w:lang w:val="en-GB"/>
              </w:rPr>
              <w:t>Uptake of best practices may also be constrained if the publicizing of the benefits is inadequate</w:t>
            </w:r>
          </w:p>
          <w:p w14:paraId="7E6E04E2" w14:textId="77777777" w:rsidR="00256953" w:rsidRPr="00256953" w:rsidRDefault="00256953" w:rsidP="00256953">
            <w:pPr>
              <w:numPr>
                <w:ilvl w:val="0"/>
                <w:numId w:val="32"/>
              </w:numPr>
              <w:ind w:left="180" w:hanging="180"/>
              <w:contextualSpacing/>
              <w:jc w:val="both"/>
              <w:rPr>
                <w:rFonts w:eastAsia="Calibri"/>
                <w:sz w:val="20"/>
                <w:szCs w:val="20"/>
                <w:lang w:val="en-GB"/>
              </w:rPr>
            </w:pPr>
            <w:r w:rsidRPr="00256953">
              <w:rPr>
                <w:rFonts w:eastAsia="Calibri"/>
                <w:sz w:val="20"/>
                <w:szCs w:val="20"/>
                <w:lang w:val="en-GB"/>
              </w:rPr>
              <w:t>Willingness of sector agencies to participate in review of national policies and laws</w:t>
            </w:r>
          </w:p>
          <w:p w14:paraId="5DBE60B0" w14:textId="77777777" w:rsidR="00256953" w:rsidRPr="00256953" w:rsidRDefault="00256953" w:rsidP="00256953">
            <w:pPr>
              <w:numPr>
                <w:ilvl w:val="0"/>
                <w:numId w:val="32"/>
              </w:numPr>
              <w:ind w:left="180" w:hanging="180"/>
              <w:contextualSpacing/>
              <w:jc w:val="both"/>
              <w:rPr>
                <w:rFonts w:eastAsia="Calibri"/>
                <w:sz w:val="20"/>
                <w:szCs w:val="20"/>
                <w:lang w:val="en-GB"/>
              </w:rPr>
            </w:pPr>
            <w:r w:rsidRPr="00256953">
              <w:rPr>
                <w:rFonts w:eastAsia="Calibri"/>
                <w:sz w:val="20"/>
                <w:szCs w:val="20"/>
                <w:lang w:val="en-GB"/>
              </w:rPr>
              <w:t>Harmonization of governance frameworks may take longer than the period of the project</w:t>
            </w:r>
          </w:p>
          <w:p w14:paraId="6B903340" w14:textId="77777777" w:rsidR="00256953" w:rsidRPr="00256953" w:rsidRDefault="00256953" w:rsidP="00256953">
            <w:pPr>
              <w:numPr>
                <w:ilvl w:val="0"/>
                <w:numId w:val="32"/>
              </w:numPr>
              <w:ind w:left="180" w:hanging="180"/>
              <w:contextualSpacing/>
              <w:jc w:val="both"/>
              <w:rPr>
                <w:rFonts w:eastAsia="Calibri"/>
                <w:sz w:val="20"/>
                <w:szCs w:val="20"/>
                <w:lang w:val="en-GB"/>
              </w:rPr>
            </w:pPr>
            <w:r w:rsidRPr="00256953">
              <w:rPr>
                <w:rFonts w:eastAsia="Calibri"/>
                <w:sz w:val="20"/>
                <w:szCs w:val="20"/>
                <w:lang w:val="en-GB"/>
              </w:rPr>
              <w:t xml:space="preserve">Willingness of sectoral agencies to participate in the development of Standard Operating Procedures </w:t>
            </w:r>
          </w:p>
          <w:p w14:paraId="160B0CFF" w14:textId="77777777" w:rsidR="00256953" w:rsidRPr="00256953" w:rsidRDefault="00256953" w:rsidP="00256953">
            <w:pPr>
              <w:numPr>
                <w:ilvl w:val="0"/>
                <w:numId w:val="32"/>
              </w:numPr>
              <w:ind w:left="180" w:hanging="180"/>
              <w:contextualSpacing/>
              <w:jc w:val="both"/>
              <w:rPr>
                <w:rFonts w:eastAsia="Calibri"/>
                <w:sz w:val="20"/>
                <w:szCs w:val="20"/>
                <w:lang w:val="en-GB"/>
              </w:rPr>
            </w:pPr>
            <w:r w:rsidRPr="00256953">
              <w:rPr>
                <w:rFonts w:eastAsia="Calibri"/>
                <w:sz w:val="20"/>
                <w:szCs w:val="20"/>
                <w:lang w:val="en-GB"/>
              </w:rPr>
              <w:t>National and provincial government commitment to reform</w:t>
            </w:r>
          </w:p>
          <w:p w14:paraId="40FE5818" w14:textId="77777777" w:rsidR="00256953" w:rsidRPr="00256953" w:rsidRDefault="00256953" w:rsidP="00256953">
            <w:pPr>
              <w:numPr>
                <w:ilvl w:val="0"/>
                <w:numId w:val="32"/>
              </w:numPr>
              <w:ind w:left="180" w:hanging="180"/>
              <w:contextualSpacing/>
              <w:jc w:val="both"/>
              <w:rPr>
                <w:rFonts w:eastAsia="Calibri"/>
                <w:sz w:val="20"/>
                <w:szCs w:val="20"/>
                <w:lang w:val="en-GB"/>
              </w:rPr>
            </w:pPr>
            <w:r w:rsidRPr="00256953">
              <w:rPr>
                <w:rFonts w:eastAsia="Calibri"/>
                <w:sz w:val="20"/>
                <w:szCs w:val="20"/>
                <w:lang w:val="en-GB"/>
              </w:rPr>
              <w:t>Availability of information and data to enable comparison of cost of action versus cost of inaction as part of investment planning approach</w:t>
            </w:r>
          </w:p>
          <w:p w14:paraId="7886792A" w14:textId="77777777" w:rsidR="00256953" w:rsidRPr="00256953" w:rsidRDefault="00256953" w:rsidP="00256953">
            <w:pPr>
              <w:numPr>
                <w:ilvl w:val="0"/>
                <w:numId w:val="32"/>
              </w:numPr>
              <w:ind w:left="180" w:hanging="180"/>
              <w:contextualSpacing/>
              <w:jc w:val="both"/>
              <w:rPr>
                <w:rFonts w:eastAsia="Calibri"/>
                <w:sz w:val="20"/>
                <w:szCs w:val="20"/>
                <w:lang w:val="en-GB"/>
              </w:rPr>
            </w:pPr>
            <w:r w:rsidRPr="00256953">
              <w:rPr>
                <w:rFonts w:eastAsia="Calibri"/>
                <w:sz w:val="20"/>
                <w:szCs w:val="20"/>
                <w:lang w:val="en-GB"/>
              </w:rPr>
              <w:t>Level of commitment of participating countries, development partners, and donors to invest in coordinated action</w:t>
            </w:r>
          </w:p>
        </w:tc>
      </w:tr>
      <w:tr w:rsidR="00256953" w:rsidRPr="00256953" w14:paraId="171B4D4B" w14:textId="77777777" w:rsidTr="00933570">
        <w:tc>
          <w:tcPr>
            <w:tcW w:w="9198" w:type="dxa"/>
            <w:shd w:val="clear" w:color="auto" w:fill="auto"/>
          </w:tcPr>
          <w:p w14:paraId="7F5D72E7" w14:textId="77777777" w:rsidR="00256953" w:rsidRPr="00256953" w:rsidRDefault="00256953" w:rsidP="00256953">
            <w:pPr>
              <w:jc w:val="center"/>
              <w:rPr>
                <w:rFonts w:eastAsia="Calibri"/>
                <w:b/>
                <w:sz w:val="20"/>
                <w:szCs w:val="20"/>
                <w:lang w:val="en-GB"/>
              </w:rPr>
            </w:pPr>
            <w:r w:rsidRPr="00256953">
              <w:rPr>
                <w:rFonts w:eastAsia="Calibri"/>
                <w:b/>
                <w:sz w:val="20"/>
                <w:szCs w:val="20"/>
                <w:lang w:val="en-GB"/>
              </w:rPr>
              <w:t>Improved national and regional values for the Total Economic</w:t>
            </w:r>
          </w:p>
          <w:p w14:paraId="3F0DFFCE" w14:textId="77777777" w:rsidR="00256953" w:rsidRPr="00256953" w:rsidRDefault="00256953" w:rsidP="00256953">
            <w:pPr>
              <w:jc w:val="center"/>
              <w:rPr>
                <w:rFonts w:eastAsia="Calibri"/>
                <w:b/>
                <w:sz w:val="20"/>
                <w:szCs w:val="20"/>
                <w:lang w:val="en-GB"/>
              </w:rPr>
            </w:pPr>
            <w:r w:rsidRPr="00256953">
              <w:rPr>
                <w:rFonts w:eastAsia="Calibri"/>
                <w:b/>
                <w:sz w:val="20"/>
                <w:szCs w:val="20"/>
                <w:lang w:val="en-GB"/>
              </w:rPr>
              <w:t>Values of coastal habitats for use in development planning and decision-making</w:t>
            </w:r>
          </w:p>
        </w:tc>
      </w:tr>
      <w:tr w:rsidR="00256953" w:rsidRPr="00256953" w14:paraId="3F41D5B3" w14:textId="77777777" w:rsidTr="00933570">
        <w:trPr>
          <w:trHeight w:val="458"/>
        </w:trPr>
        <w:tc>
          <w:tcPr>
            <w:tcW w:w="9198" w:type="dxa"/>
            <w:shd w:val="clear" w:color="auto" w:fill="auto"/>
          </w:tcPr>
          <w:p w14:paraId="0D70E65A"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Application of regionally consistent methodology in the collection and review of information and data</w:t>
            </w:r>
          </w:p>
        </w:tc>
      </w:tr>
      <w:tr w:rsidR="00256953" w:rsidRPr="00256953" w14:paraId="0B0B3B18" w14:textId="77777777" w:rsidTr="00933570">
        <w:trPr>
          <w:trHeight w:val="458"/>
        </w:trPr>
        <w:tc>
          <w:tcPr>
            <w:tcW w:w="9198" w:type="dxa"/>
            <w:shd w:val="clear" w:color="auto" w:fill="auto"/>
          </w:tcPr>
          <w:p w14:paraId="5BB0070C" w14:textId="77777777" w:rsidR="00256953" w:rsidRPr="00256953" w:rsidRDefault="00256953" w:rsidP="00256953">
            <w:pPr>
              <w:contextualSpacing/>
              <w:jc w:val="center"/>
              <w:rPr>
                <w:rFonts w:eastAsia="Calibri"/>
                <w:b/>
                <w:sz w:val="20"/>
                <w:szCs w:val="20"/>
                <w:lang w:val="en-GB"/>
              </w:rPr>
            </w:pPr>
            <w:r w:rsidRPr="00256953">
              <w:rPr>
                <w:rFonts w:eastAsia="Calibri"/>
                <w:b/>
                <w:sz w:val="20"/>
                <w:szCs w:val="20"/>
                <w:lang w:val="en-GB"/>
              </w:rPr>
              <w:t>Regionally appropriate tools and mechanisms to guide the development of sustainable management systems for coastal habitats and land-based pollution</w:t>
            </w:r>
          </w:p>
        </w:tc>
      </w:tr>
      <w:tr w:rsidR="00256953" w:rsidRPr="00256953" w14:paraId="02193A7D" w14:textId="77777777" w:rsidTr="00933570">
        <w:trPr>
          <w:trHeight w:val="458"/>
        </w:trPr>
        <w:tc>
          <w:tcPr>
            <w:tcW w:w="9198" w:type="dxa"/>
            <w:shd w:val="clear" w:color="auto" w:fill="auto"/>
          </w:tcPr>
          <w:p w14:paraId="48E6B221"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Supporting communication approach and facilitation of consultative processes are sufficiently well design</w:t>
            </w:r>
            <w:r w:rsidR="00525951">
              <w:rPr>
                <w:rFonts w:eastAsia="Calibri"/>
                <w:sz w:val="20"/>
                <w:szCs w:val="20"/>
                <w:lang w:val="en-GB"/>
              </w:rPr>
              <w:t>ed</w:t>
            </w:r>
            <w:r w:rsidRPr="00256953">
              <w:rPr>
                <w:rFonts w:eastAsia="Calibri"/>
                <w:sz w:val="20"/>
                <w:szCs w:val="20"/>
                <w:lang w:val="en-GB"/>
              </w:rPr>
              <w:t xml:space="preserve"> to ensure stakeholder engagement and participation</w:t>
            </w:r>
          </w:p>
          <w:p w14:paraId="554C6E7C"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 xml:space="preserve">Internet connectivity and in provincial and local offices of environment and natural resource agencies adequate to support effective online knowledge sharing </w:t>
            </w:r>
          </w:p>
          <w:p w14:paraId="7037645C"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Existing tensions between local leaders, land owners, and government agencies may limit community leader or government official participation</w:t>
            </w:r>
          </w:p>
          <w:p w14:paraId="18120B0B"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 xml:space="preserve">Study tours and exchange initiatives are sufficiently well designed to guide uptake of best practice at provincial/community levels </w:t>
            </w:r>
          </w:p>
          <w:p w14:paraId="073E74F3"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Awareness materials are sufficiently well designed and shared with stakeholders to ensure uptake and desire</w:t>
            </w:r>
            <w:r w:rsidR="00D23CCD">
              <w:rPr>
                <w:rFonts w:eastAsia="Calibri"/>
                <w:sz w:val="20"/>
                <w:szCs w:val="20"/>
                <w:lang w:val="en-GB"/>
              </w:rPr>
              <w:t>d</w:t>
            </w:r>
            <w:r w:rsidRPr="00256953">
              <w:rPr>
                <w:rFonts w:eastAsia="Calibri"/>
                <w:sz w:val="20"/>
                <w:szCs w:val="20"/>
                <w:lang w:val="en-GB"/>
              </w:rPr>
              <w:t xml:space="preserve"> local impact</w:t>
            </w:r>
          </w:p>
        </w:tc>
      </w:tr>
      <w:tr w:rsidR="00256953" w:rsidRPr="00256953" w14:paraId="2C858B05" w14:textId="77777777" w:rsidTr="00933570">
        <w:trPr>
          <w:trHeight w:val="458"/>
        </w:trPr>
        <w:tc>
          <w:tcPr>
            <w:tcW w:w="9198" w:type="dxa"/>
            <w:shd w:val="clear" w:color="auto" w:fill="auto"/>
          </w:tcPr>
          <w:p w14:paraId="1CE58755" w14:textId="77777777" w:rsidR="00256953" w:rsidRPr="00256953" w:rsidRDefault="00256953" w:rsidP="00256953">
            <w:pPr>
              <w:ind w:left="180"/>
              <w:contextualSpacing/>
              <w:jc w:val="center"/>
              <w:rPr>
                <w:rFonts w:eastAsia="Calibri"/>
                <w:b/>
                <w:sz w:val="20"/>
                <w:szCs w:val="20"/>
                <w:lang w:val="en-GB"/>
              </w:rPr>
            </w:pPr>
            <w:r w:rsidRPr="00256953">
              <w:rPr>
                <w:rFonts w:eastAsia="Calibri"/>
                <w:b/>
                <w:sz w:val="20"/>
                <w:szCs w:val="20"/>
                <w:lang w:val="en-GB"/>
              </w:rPr>
              <w:t>Updated and Ministerially adopted Transboundary Diagnostic Analysis and Strategic Action Programme, including prioritization of national management actions to address climate variability and change</w:t>
            </w:r>
          </w:p>
        </w:tc>
      </w:tr>
      <w:tr w:rsidR="00256953" w:rsidRPr="00256953" w14:paraId="2CA3A35D" w14:textId="77777777" w:rsidTr="00933570">
        <w:trPr>
          <w:trHeight w:val="458"/>
        </w:trPr>
        <w:tc>
          <w:tcPr>
            <w:tcW w:w="9198" w:type="dxa"/>
            <w:shd w:val="clear" w:color="auto" w:fill="auto"/>
          </w:tcPr>
          <w:p w14:paraId="1A32FFB5"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Securing adequate and consistent inputs of expertise may be compromised if incentives for national and regional specialists to participate in work are inadequate</w:t>
            </w:r>
          </w:p>
          <w:p w14:paraId="318881C5"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Minister-level commitment to adopt and sign the revised SAP</w:t>
            </w:r>
          </w:p>
          <w:p w14:paraId="5CE73330"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Engaging appropriate technical expertise to identify priority national actions that achieve local benefit as well as high transboundary impact</w:t>
            </w:r>
          </w:p>
        </w:tc>
      </w:tr>
    </w:tbl>
    <w:p w14:paraId="1CBEE1FB" w14:textId="77777777" w:rsidR="00256953" w:rsidRPr="00256953" w:rsidRDefault="00256953" w:rsidP="00256953">
      <w:pPr>
        <w:rPr>
          <w:sz w:val="22"/>
          <w:szCs w:val="22"/>
        </w:rPr>
      </w:pPr>
    </w:p>
    <w:p w14:paraId="61F020B0" w14:textId="77777777" w:rsidR="00256953" w:rsidRPr="00256953" w:rsidRDefault="00256953" w:rsidP="00256953">
      <w:pPr>
        <w:jc w:val="both"/>
        <w:rPr>
          <w:sz w:val="22"/>
          <w:szCs w:val="22"/>
        </w:rPr>
      </w:pPr>
      <w:r w:rsidRPr="00256953">
        <w:rPr>
          <w:b/>
          <w:sz w:val="22"/>
          <w:szCs w:val="22"/>
        </w:rPr>
        <w:t>Component 3</w:t>
      </w:r>
      <w:r w:rsidRPr="00256953">
        <w:rPr>
          <w:sz w:val="22"/>
          <w:szCs w:val="22"/>
        </w:rPr>
        <w:tab/>
        <w:t>Facilitating regional and national level integration and cooperation for implementation of the South China Sea Strategic Action Programme</w:t>
      </w:r>
    </w:p>
    <w:p w14:paraId="5422FD37" w14:textId="77777777" w:rsidR="00256953" w:rsidRPr="00256953" w:rsidRDefault="00256953" w:rsidP="00256953">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256953" w:rsidRPr="00256953" w14:paraId="3E8C1B67" w14:textId="77777777" w:rsidTr="00933570">
        <w:tc>
          <w:tcPr>
            <w:tcW w:w="9198" w:type="dxa"/>
            <w:shd w:val="clear" w:color="auto" w:fill="auto"/>
          </w:tcPr>
          <w:p w14:paraId="5D591BCB" w14:textId="77777777" w:rsidR="00256953" w:rsidRPr="00256953" w:rsidRDefault="00256953" w:rsidP="00256953">
            <w:pPr>
              <w:jc w:val="center"/>
              <w:rPr>
                <w:rFonts w:eastAsia="Calibri"/>
                <w:b/>
                <w:sz w:val="20"/>
                <w:szCs w:val="20"/>
                <w:lang w:val="en-GB"/>
              </w:rPr>
            </w:pPr>
            <w:r w:rsidRPr="00256953">
              <w:rPr>
                <w:rFonts w:eastAsia="Calibri"/>
                <w:b/>
                <w:sz w:val="20"/>
                <w:szCs w:val="20"/>
                <w:lang w:val="en-GB"/>
              </w:rPr>
              <w:t>Regional and sub-regional co-operation in the integration of scientific knowledge and research outputs with management and policy making</w:t>
            </w:r>
          </w:p>
        </w:tc>
      </w:tr>
      <w:tr w:rsidR="00256953" w:rsidRPr="00256953" w14:paraId="70ADF65C" w14:textId="77777777" w:rsidTr="00933570">
        <w:tc>
          <w:tcPr>
            <w:tcW w:w="9198" w:type="dxa"/>
            <w:shd w:val="clear" w:color="auto" w:fill="auto"/>
          </w:tcPr>
          <w:p w14:paraId="20042466" w14:textId="77777777" w:rsidR="00256953" w:rsidRPr="00256953" w:rsidRDefault="00256953" w:rsidP="00256953">
            <w:pPr>
              <w:numPr>
                <w:ilvl w:val="0"/>
                <w:numId w:val="30"/>
              </w:numPr>
              <w:ind w:left="180" w:hanging="180"/>
              <w:contextualSpacing/>
              <w:rPr>
                <w:rFonts w:eastAsia="Calibri"/>
                <w:sz w:val="20"/>
                <w:szCs w:val="20"/>
                <w:lang w:val="en-GB"/>
              </w:rPr>
            </w:pPr>
            <w:r w:rsidRPr="00256953">
              <w:rPr>
                <w:rFonts w:eastAsia="Calibri"/>
                <w:sz w:val="20"/>
                <w:szCs w:val="20"/>
                <w:lang w:val="en-GB"/>
              </w:rPr>
              <w:t>Harnessing sufficient scientific and technical expertise across disciplines in</w:t>
            </w:r>
            <w:r w:rsidR="00525951">
              <w:rPr>
                <w:rFonts w:eastAsia="Calibri"/>
                <w:sz w:val="20"/>
                <w:szCs w:val="20"/>
                <w:lang w:val="en-GB"/>
              </w:rPr>
              <w:t>cluding</w:t>
            </w:r>
            <w:r w:rsidRPr="00256953">
              <w:rPr>
                <w:rFonts w:eastAsia="Calibri"/>
                <w:sz w:val="20"/>
                <w:szCs w:val="20"/>
                <w:lang w:val="en-GB"/>
              </w:rPr>
              <w:t xml:space="preserve"> coastal habitats, ecology, economic valuation, oceanography, land-based pollution and its impacts</w:t>
            </w:r>
          </w:p>
          <w:p w14:paraId="59F518B2" w14:textId="77777777" w:rsidR="00256953" w:rsidRPr="00256953" w:rsidRDefault="00256953" w:rsidP="00256953">
            <w:pPr>
              <w:numPr>
                <w:ilvl w:val="0"/>
                <w:numId w:val="30"/>
              </w:numPr>
              <w:ind w:left="180" w:hanging="180"/>
              <w:contextualSpacing/>
              <w:rPr>
                <w:rFonts w:eastAsia="Calibri"/>
                <w:sz w:val="20"/>
                <w:szCs w:val="20"/>
                <w:lang w:val="en-GB"/>
              </w:rPr>
            </w:pPr>
            <w:r w:rsidRPr="00256953">
              <w:rPr>
                <w:rFonts w:eastAsia="Calibri"/>
                <w:sz w:val="20"/>
                <w:szCs w:val="20"/>
                <w:lang w:val="en-GB"/>
              </w:rPr>
              <w:t>Strong and consistent support from government agencies to actively participate in scientific fora</w:t>
            </w:r>
          </w:p>
          <w:p w14:paraId="2AC154FC" w14:textId="77777777" w:rsidR="00256953" w:rsidRPr="00256953" w:rsidRDefault="00256953" w:rsidP="00256953">
            <w:pPr>
              <w:numPr>
                <w:ilvl w:val="0"/>
                <w:numId w:val="30"/>
              </w:numPr>
              <w:ind w:left="180" w:hanging="180"/>
              <w:contextualSpacing/>
              <w:rPr>
                <w:rFonts w:eastAsia="Calibri"/>
                <w:sz w:val="20"/>
                <w:szCs w:val="20"/>
                <w:lang w:val="en-GB"/>
              </w:rPr>
            </w:pPr>
            <w:r w:rsidRPr="00256953">
              <w:rPr>
                <w:rFonts w:eastAsia="Calibri"/>
                <w:sz w:val="20"/>
                <w:szCs w:val="20"/>
                <w:lang w:val="en-GB"/>
              </w:rPr>
              <w:t>Strong and consistent support from local government officials to actively participate in fora aimed at stimulating knowledge sharing on best practice management approaches and technologies</w:t>
            </w:r>
          </w:p>
          <w:p w14:paraId="55E605BD" w14:textId="77777777" w:rsidR="00256953" w:rsidRPr="00256953" w:rsidRDefault="00256953" w:rsidP="00256953">
            <w:pPr>
              <w:numPr>
                <w:ilvl w:val="0"/>
                <w:numId w:val="30"/>
              </w:numPr>
              <w:ind w:left="180" w:hanging="180"/>
              <w:contextualSpacing/>
              <w:rPr>
                <w:rFonts w:eastAsia="Calibri"/>
                <w:sz w:val="20"/>
                <w:szCs w:val="20"/>
                <w:lang w:val="en-GB"/>
              </w:rPr>
            </w:pPr>
            <w:r w:rsidRPr="00256953">
              <w:rPr>
                <w:rFonts w:eastAsia="Calibri"/>
                <w:sz w:val="20"/>
                <w:szCs w:val="20"/>
                <w:lang w:val="en-GB"/>
              </w:rPr>
              <w:t>Commitment of central governments, provincial governments, and resources users to participate in consultative processes relating to the joint management of transboundary resources</w:t>
            </w:r>
          </w:p>
          <w:p w14:paraId="7476F45B" w14:textId="77777777" w:rsidR="00256953" w:rsidRPr="00256953" w:rsidRDefault="00256953" w:rsidP="00256953">
            <w:pPr>
              <w:numPr>
                <w:ilvl w:val="0"/>
                <w:numId w:val="30"/>
              </w:numPr>
              <w:ind w:left="180" w:hanging="180"/>
              <w:contextualSpacing/>
              <w:rPr>
                <w:rFonts w:eastAsia="Calibri"/>
                <w:sz w:val="20"/>
                <w:szCs w:val="20"/>
                <w:lang w:val="en-GB"/>
              </w:rPr>
            </w:pPr>
            <w:r w:rsidRPr="00256953">
              <w:rPr>
                <w:rFonts w:eastAsia="Calibri"/>
                <w:sz w:val="20"/>
                <w:szCs w:val="20"/>
                <w:lang w:val="en-GB"/>
              </w:rPr>
              <w:t>Commitment of SEAFDEC and UNEP to actively and constructively cooperate on identifying and sharing best practices between projects</w:t>
            </w:r>
          </w:p>
          <w:p w14:paraId="128938F4" w14:textId="77777777" w:rsidR="00256953" w:rsidRPr="00256953" w:rsidRDefault="00256953" w:rsidP="00256953">
            <w:pPr>
              <w:numPr>
                <w:ilvl w:val="0"/>
                <w:numId w:val="30"/>
              </w:numPr>
              <w:ind w:left="180" w:hanging="180"/>
              <w:contextualSpacing/>
              <w:rPr>
                <w:rFonts w:eastAsia="Calibri"/>
                <w:sz w:val="20"/>
                <w:szCs w:val="20"/>
                <w:lang w:val="en-GB"/>
              </w:rPr>
            </w:pPr>
            <w:r w:rsidRPr="00256953">
              <w:rPr>
                <w:rFonts w:eastAsia="Calibri"/>
                <w:sz w:val="20"/>
                <w:szCs w:val="20"/>
                <w:lang w:val="en-GB"/>
              </w:rPr>
              <w:t>Communities, local governments and industry initiatives result in innovative approaches</w:t>
            </w:r>
          </w:p>
          <w:p w14:paraId="355A9FB7" w14:textId="77777777" w:rsidR="00256953" w:rsidRPr="00256953" w:rsidRDefault="00256953" w:rsidP="00256953">
            <w:pPr>
              <w:numPr>
                <w:ilvl w:val="0"/>
                <w:numId w:val="30"/>
              </w:numPr>
              <w:ind w:left="180" w:hanging="180"/>
              <w:contextualSpacing/>
              <w:rPr>
                <w:rFonts w:eastAsia="Calibri"/>
                <w:sz w:val="20"/>
                <w:szCs w:val="20"/>
                <w:lang w:val="en-GB"/>
              </w:rPr>
            </w:pPr>
            <w:r w:rsidRPr="00256953">
              <w:rPr>
                <w:rFonts w:eastAsia="Calibri"/>
                <w:sz w:val="20"/>
                <w:szCs w:val="20"/>
                <w:lang w:val="en-GB"/>
              </w:rPr>
              <w:t>Interest of stakeholders to participate in such a programme</w:t>
            </w:r>
          </w:p>
        </w:tc>
      </w:tr>
      <w:tr w:rsidR="00256953" w:rsidRPr="00256953" w14:paraId="5DF2C1FE" w14:textId="77777777" w:rsidTr="00933570">
        <w:tc>
          <w:tcPr>
            <w:tcW w:w="9198" w:type="dxa"/>
            <w:shd w:val="clear" w:color="auto" w:fill="auto"/>
          </w:tcPr>
          <w:p w14:paraId="5CD1212E" w14:textId="77777777" w:rsidR="00256953" w:rsidRPr="00256953" w:rsidRDefault="00256953" w:rsidP="00256953">
            <w:pPr>
              <w:jc w:val="center"/>
              <w:rPr>
                <w:rFonts w:eastAsia="Calibri"/>
                <w:b/>
                <w:sz w:val="20"/>
                <w:szCs w:val="20"/>
                <w:lang w:val="en-GB"/>
              </w:rPr>
            </w:pPr>
            <w:r w:rsidRPr="00256953">
              <w:rPr>
                <w:rFonts w:eastAsia="Calibri"/>
                <w:b/>
                <w:sz w:val="20"/>
                <w:szCs w:val="20"/>
                <w:lang w:val="en-GB"/>
              </w:rPr>
              <w:t>Capacity for civil society and community organization participation in SAP implementation strengthened via operational partnership with GEF SGP</w:t>
            </w:r>
          </w:p>
        </w:tc>
      </w:tr>
      <w:tr w:rsidR="00256953" w:rsidRPr="00256953" w14:paraId="271D818C" w14:textId="77777777" w:rsidTr="00933570">
        <w:tc>
          <w:tcPr>
            <w:tcW w:w="9198" w:type="dxa"/>
            <w:shd w:val="clear" w:color="auto" w:fill="auto"/>
          </w:tcPr>
          <w:p w14:paraId="450916C6" w14:textId="77777777" w:rsidR="00256953" w:rsidRPr="00256953" w:rsidRDefault="00256953" w:rsidP="00256953">
            <w:pPr>
              <w:numPr>
                <w:ilvl w:val="0"/>
                <w:numId w:val="31"/>
              </w:numPr>
              <w:ind w:left="180" w:hanging="180"/>
              <w:contextualSpacing/>
              <w:jc w:val="both"/>
              <w:rPr>
                <w:rFonts w:eastAsia="Calibri"/>
                <w:sz w:val="20"/>
                <w:szCs w:val="20"/>
                <w:lang w:val="en-GB"/>
              </w:rPr>
            </w:pPr>
            <w:r w:rsidRPr="00256953">
              <w:rPr>
                <w:rFonts w:eastAsia="Calibri"/>
                <w:sz w:val="20"/>
                <w:szCs w:val="20"/>
                <w:lang w:val="en-GB"/>
              </w:rPr>
              <w:t>There will be sufficient number of civil society and community based organisations to act as GEF SGP proponents in support of SAP implementation</w:t>
            </w:r>
          </w:p>
          <w:p w14:paraId="08BB7A2E" w14:textId="77777777" w:rsidR="00256953" w:rsidRPr="00256953" w:rsidRDefault="00256953" w:rsidP="00256953">
            <w:pPr>
              <w:numPr>
                <w:ilvl w:val="0"/>
                <w:numId w:val="31"/>
              </w:numPr>
              <w:ind w:left="180" w:hanging="180"/>
              <w:contextualSpacing/>
              <w:jc w:val="both"/>
              <w:rPr>
                <w:rFonts w:eastAsia="Calibri"/>
                <w:sz w:val="20"/>
                <w:szCs w:val="20"/>
                <w:lang w:val="en-GB"/>
              </w:rPr>
            </w:pPr>
            <w:r w:rsidRPr="00256953">
              <w:rPr>
                <w:rFonts w:eastAsia="Calibri"/>
                <w:sz w:val="20"/>
                <w:szCs w:val="20"/>
                <w:lang w:val="en-GB"/>
              </w:rPr>
              <w:t>That linked capacity building initiatives are sufficiently well designed to build capacity of CSOs and COs for planning</w:t>
            </w:r>
          </w:p>
          <w:p w14:paraId="1B4AFECB" w14:textId="77777777" w:rsidR="00256953" w:rsidRPr="00256953" w:rsidRDefault="00256953" w:rsidP="00256953">
            <w:pPr>
              <w:numPr>
                <w:ilvl w:val="0"/>
                <w:numId w:val="31"/>
              </w:numPr>
              <w:ind w:left="180" w:hanging="180"/>
              <w:contextualSpacing/>
              <w:jc w:val="both"/>
              <w:rPr>
                <w:rFonts w:eastAsia="Calibri"/>
                <w:sz w:val="20"/>
                <w:szCs w:val="20"/>
                <w:lang w:val="en-GB"/>
              </w:rPr>
            </w:pPr>
            <w:r w:rsidRPr="00256953">
              <w:rPr>
                <w:rFonts w:eastAsia="Calibri"/>
                <w:sz w:val="20"/>
                <w:szCs w:val="20"/>
                <w:lang w:val="en-GB"/>
              </w:rPr>
              <w:t>Training materials are sufficiently well planned and presented in local languages to meet needs of the staff of SGP proponent organisations</w:t>
            </w:r>
          </w:p>
        </w:tc>
      </w:tr>
      <w:tr w:rsidR="00256953" w:rsidRPr="00256953" w14:paraId="3623764D" w14:textId="77777777" w:rsidTr="00933570">
        <w:tc>
          <w:tcPr>
            <w:tcW w:w="9198" w:type="dxa"/>
            <w:shd w:val="clear" w:color="auto" w:fill="auto"/>
          </w:tcPr>
          <w:p w14:paraId="31FF9C7F" w14:textId="77777777" w:rsidR="00256953" w:rsidRPr="00256953" w:rsidRDefault="00256953" w:rsidP="00256953">
            <w:pPr>
              <w:jc w:val="center"/>
              <w:rPr>
                <w:rFonts w:eastAsia="Calibri"/>
                <w:sz w:val="20"/>
                <w:szCs w:val="20"/>
                <w:lang w:val="en-GB"/>
              </w:rPr>
            </w:pPr>
            <w:r w:rsidRPr="00256953">
              <w:rPr>
                <w:rFonts w:eastAsia="Calibri"/>
                <w:b/>
                <w:sz w:val="20"/>
                <w:szCs w:val="20"/>
                <w:lang w:val="en-GB"/>
              </w:rPr>
              <w:t>Relationships between central and local governments and the private sector strengthened and formalized</w:t>
            </w:r>
          </w:p>
        </w:tc>
      </w:tr>
      <w:tr w:rsidR="00256953" w:rsidRPr="00256953" w14:paraId="1F30F533" w14:textId="77777777" w:rsidTr="00933570">
        <w:tc>
          <w:tcPr>
            <w:tcW w:w="9198" w:type="dxa"/>
            <w:shd w:val="clear" w:color="auto" w:fill="auto"/>
          </w:tcPr>
          <w:p w14:paraId="097E2A5D" w14:textId="77777777" w:rsidR="00332E1C" w:rsidRPr="00332E1C" w:rsidRDefault="00332E1C" w:rsidP="00332E1C">
            <w:pPr>
              <w:numPr>
                <w:ilvl w:val="0"/>
                <w:numId w:val="32"/>
              </w:numPr>
              <w:ind w:left="180" w:hanging="180"/>
              <w:contextualSpacing/>
              <w:jc w:val="both"/>
              <w:rPr>
                <w:rFonts w:eastAsia="Calibri"/>
                <w:sz w:val="20"/>
                <w:szCs w:val="20"/>
                <w:lang w:val="en-GB"/>
              </w:rPr>
            </w:pPr>
            <w:r w:rsidRPr="00332E1C">
              <w:rPr>
                <w:rFonts w:eastAsia="Calibri"/>
                <w:sz w:val="20"/>
                <w:szCs w:val="20"/>
                <w:lang w:val="en-GB"/>
              </w:rPr>
              <w:t>Engaging appropriate expertise to link information on corporate social responsibility to SAP targets and implementation priorities</w:t>
            </w:r>
          </w:p>
          <w:p w14:paraId="482BE2B7" w14:textId="77777777" w:rsidR="00332E1C" w:rsidRPr="00332E1C" w:rsidRDefault="00332E1C" w:rsidP="00332E1C">
            <w:pPr>
              <w:numPr>
                <w:ilvl w:val="0"/>
                <w:numId w:val="32"/>
              </w:numPr>
              <w:ind w:left="180" w:hanging="180"/>
              <w:contextualSpacing/>
              <w:jc w:val="both"/>
              <w:rPr>
                <w:rFonts w:eastAsia="Calibri"/>
                <w:sz w:val="20"/>
                <w:szCs w:val="20"/>
                <w:lang w:val="en-GB"/>
              </w:rPr>
            </w:pPr>
            <w:r w:rsidRPr="00332E1C">
              <w:rPr>
                <w:rFonts w:eastAsia="Calibri"/>
                <w:sz w:val="20"/>
                <w:szCs w:val="20"/>
                <w:lang w:val="en-GB"/>
              </w:rPr>
              <w:t xml:space="preserve">Communications and engagement strategies sufficiently well planned to establish interest among private sector entities in SAP implementation </w:t>
            </w:r>
          </w:p>
          <w:p w14:paraId="56A55168" w14:textId="77777777" w:rsidR="00256953" w:rsidRPr="00256953" w:rsidRDefault="00332E1C" w:rsidP="00332E1C">
            <w:pPr>
              <w:numPr>
                <w:ilvl w:val="0"/>
                <w:numId w:val="32"/>
              </w:numPr>
              <w:ind w:left="180" w:hanging="180"/>
              <w:contextualSpacing/>
              <w:jc w:val="both"/>
              <w:rPr>
                <w:rFonts w:eastAsia="Calibri"/>
                <w:sz w:val="20"/>
                <w:szCs w:val="20"/>
                <w:lang w:val="en-GB"/>
              </w:rPr>
            </w:pPr>
            <w:r w:rsidRPr="00332E1C">
              <w:rPr>
                <w:rFonts w:eastAsia="Calibri"/>
                <w:sz w:val="20"/>
                <w:szCs w:val="20"/>
                <w:lang w:val="en-GB"/>
              </w:rPr>
              <w:t>Limited private sector interest or alignment of donor investment strategies with revised SAP targets and actions</w:t>
            </w:r>
          </w:p>
        </w:tc>
      </w:tr>
      <w:tr w:rsidR="00256953" w:rsidRPr="00256953" w14:paraId="65EBD4D9" w14:textId="77777777" w:rsidTr="00933570">
        <w:tc>
          <w:tcPr>
            <w:tcW w:w="9198" w:type="dxa"/>
            <w:shd w:val="clear" w:color="auto" w:fill="auto"/>
          </w:tcPr>
          <w:p w14:paraId="343B6704" w14:textId="77777777" w:rsidR="00256953" w:rsidRPr="00256953" w:rsidRDefault="00256953" w:rsidP="00256953">
            <w:pPr>
              <w:jc w:val="center"/>
              <w:rPr>
                <w:rFonts w:eastAsia="Calibri"/>
                <w:b/>
                <w:sz w:val="20"/>
                <w:szCs w:val="20"/>
                <w:lang w:val="en-GB"/>
              </w:rPr>
            </w:pPr>
            <w:r w:rsidRPr="00256953">
              <w:rPr>
                <w:rFonts w:eastAsia="Calibri"/>
                <w:b/>
                <w:sz w:val="20"/>
                <w:szCs w:val="20"/>
                <w:lang w:val="en-GB"/>
              </w:rPr>
              <w:t>Revitalization of regional mechanisms for communications, knowledge exchange, and information and data management and sharing</w:t>
            </w:r>
          </w:p>
        </w:tc>
      </w:tr>
      <w:tr w:rsidR="00256953" w:rsidRPr="00256953" w14:paraId="6F9CE639" w14:textId="77777777" w:rsidTr="00933570">
        <w:trPr>
          <w:trHeight w:val="458"/>
        </w:trPr>
        <w:tc>
          <w:tcPr>
            <w:tcW w:w="9198" w:type="dxa"/>
            <w:shd w:val="clear" w:color="auto" w:fill="auto"/>
          </w:tcPr>
          <w:p w14:paraId="23518537"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Sufficient creative input can be harnessed to produce products that have high impact on stakeholders</w:t>
            </w:r>
          </w:p>
          <w:p w14:paraId="0970568A"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Limited scientific understanding of the role climate variability and anthropogenic induced change on the SCS marine basin may result in climate issues dominating scientific &amp; technical discussions</w:t>
            </w:r>
          </w:p>
          <w:p w14:paraId="35B4B184"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Internet connectivity in national and regional offices is adequate to support the efficient online compilation and sharing of information and data</w:t>
            </w:r>
          </w:p>
          <w:p w14:paraId="700AF66F"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Retention of national and regional level staff required to resource the documentation of experiences and lessons learned as IW:LEARN experience notes</w:t>
            </w:r>
          </w:p>
        </w:tc>
      </w:tr>
      <w:tr w:rsidR="00256953" w:rsidRPr="00256953" w14:paraId="36AB7253" w14:textId="77777777" w:rsidTr="00933570">
        <w:trPr>
          <w:trHeight w:val="458"/>
        </w:trPr>
        <w:tc>
          <w:tcPr>
            <w:tcW w:w="9198" w:type="dxa"/>
            <w:shd w:val="clear" w:color="auto" w:fill="auto"/>
          </w:tcPr>
          <w:p w14:paraId="71391A1B" w14:textId="77777777" w:rsidR="00256953" w:rsidRPr="00256953" w:rsidRDefault="00256953" w:rsidP="00256953">
            <w:pPr>
              <w:contextualSpacing/>
              <w:jc w:val="center"/>
              <w:rPr>
                <w:rFonts w:eastAsia="Calibri"/>
                <w:b/>
                <w:sz w:val="20"/>
                <w:szCs w:val="20"/>
                <w:lang w:val="en-GB"/>
              </w:rPr>
            </w:pPr>
            <w:r w:rsidRPr="00256953">
              <w:rPr>
                <w:rFonts w:eastAsia="Calibri"/>
                <w:b/>
                <w:sz w:val="20"/>
                <w:szCs w:val="20"/>
                <w:lang w:val="en-GB"/>
              </w:rPr>
              <w:t>Agreed arrangements for strengthened regional cooperation in the management of the marine and coastal environment of the South China Sea</w:t>
            </w:r>
          </w:p>
        </w:tc>
      </w:tr>
      <w:tr w:rsidR="00256953" w:rsidRPr="00256953" w14:paraId="7C44F159" w14:textId="77777777" w:rsidTr="00933570">
        <w:trPr>
          <w:trHeight w:val="458"/>
        </w:trPr>
        <w:tc>
          <w:tcPr>
            <w:tcW w:w="9198" w:type="dxa"/>
            <w:shd w:val="clear" w:color="auto" w:fill="auto"/>
          </w:tcPr>
          <w:p w14:paraId="6A4D9F02"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National government commitment to ensure continuity of participation of nominated members</w:t>
            </w:r>
          </w:p>
          <w:p w14:paraId="3EDA0D28"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Adequate incentive structures are in place nationally to secure adequate expertise to consider matters relating to cooperation</w:t>
            </w:r>
          </w:p>
          <w:p w14:paraId="4E3793EB"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Adequate planning and facilitation to support consensus building</w:t>
            </w:r>
          </w:p>
          <w:p w14:paraId="453276C9"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Adequate planning and facilitation to elicit national inputs required to support consensus building</w:t>
            </w:r>
          </w:p>
          <w:p w14:paraId="3C03E3BF" w14:textId="77777777" w:rsidR="00256953" w:rsidRPr="00256953" w:rsidRDefault="00256953" w:rsidP="00256953">
            <w:pPr>
              <w:numPr>
                <w:ilvl w:val="0"/>
                <w:numId w:val="33"/>
              </w:numPr>
              <w:ind w:left="180" w:hanging="180"/>
              <w:contextualSpacing/>
              <w:jc w:val="both"/>
              <w:rPr>
                <w:rFonts w:eastAsia="Calibri"/>
                <w:sz w:val="20"/>
                <w:szCs w:val="20"/>
                <w:lang w:val="en-GB"/>
              </w:rPr>
            </w:pPr>
            <w:r w:rsidRPr="00256953">
              <w:rPr>
                <w:rFonts w:eastAsia="Calibri"/>
                <w:sz w:val="20"/>
                <w:szCs w:val="20"/>
                <w:lang w:val="en-GB"/>
              </w:rPr>
              <w:t>Government commitment to cooperate on matters relating to coastal and marine environmental management in the South China Sea basin</w:t>
            </w:r>
          </w:p>
        </w:tc>
      </w:tr>
    </w:tbl>
    <w:p w14:paraId="7BEBD0CD" w14:textId="77777777" w:rsidR="00256953" w:rsidRDefault="00256953" w:rsidP="00256953">
      <w:pPr>
        <w:spacing w:after="120"/>
        <w:jc w:val="both"/>
        <w:rPr>
          <w:sz w:val="22"/>
          <w:szCs w:val="22"/>
          <w:lang w:val="en-GB"/>
        </w:rPr>
      </w:pPr>
    </w:p>
    <w:p w14:paraId="20B630DA" w14:textId="77777777" w:rsidR="00457325" w:rsidRDefault="00457325" w:rsidP="00256953">
      <w:pPr>
        <w:spacing w:after="120"/>
        <w:jc w:val="both"/>
        <w:rPr>
          <w:sz w:val="22"/>
          <w:szCs w:val="22"/>
          <w:lang w:val="en-GB"/>
        </w:rPr>
        <w:sectPr w:rsidR="00457325" w:rsidSect="00064925">
          <w:pgSz w:w="12240" w:h="15840" w:code="1"/>
          <w:pgMar w:top="1440" w:right="1584" w:bottom="1440" w:left="1584" w:header="706" w:footer="706" w:gutter="0"/>
          <w:cols w:space="708"/>
          <w:docGrid w:linePitch="360"/>
        </w:sectPr>
      </w:pPr>
    </w:p>
    <w:p w14:paraId="087CCFB9" w14:textId="77777777" w:rsidR="00457325" w:rsidRDefault="00457325" w:rsidP="00256953">
      <w:pPr>
        <w:spacing w:after="120"/>
        <w:jc w:val="both"/>
        <w:rPr>
          <w:sz w:val="22"/>
          <w:szCs w:val="22"/>
          <w:lang w:val="en-GB"/>
        </w:rPr>
      </w:pPr>
      <w:r w:rsidRPr="00132162">
        <w:rPr>
          <w:b/>
          <w:sz w:val="22"/>
          <w:szCs w:val="22"/>
          <w:lang w:val="en-GB"/>
        </w:rPr>
        <w:t>Table 43</w:t>
      </w:r>
      <w:r w:rsidRPr="00457325">
        <w:rPr>
          <w:sz w:val="22"/>
          <w:szCs w:val="22"/>
          <w:lang w:val="en-GB"/>
        </w:rPr>
        <w:tab/>
        <w:t>Risks and proposed management strategies and safeguards for the UNEP/GEF SCS SAP implementation project</w:t>
      </w:r>
    </w:p>
    <w:p w14:paraId="3739AC59" w14:textId="77777777" w:rsidR="00457325" w:rsidRDefault="00457325" w:rsidP="00256953">
      <w:pPr>
        <w:spacing w:after="120"/>
        <w:jc w:val="both"/>
        <w:rPr>
          <w:sz w:val="22"/>
          <w:szCs w:val="22"/>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8"/>
        <w:gridCol w:w="1170"/>
        <w:gridCol w:w="1170"/>
        <w:gridCol w:w="1170"/>
        <w:gridCol w:w="7110"/>
        <w:gridCol w:w="2002"/>
      </w:tblGrid>
      <w:tr w:rsidR="00305049" w:rsidRPr="00305049" w14:paraId="15CD4FA4" w14:textId="77777777" w:rsidTr="00FA141D">
        <w:trPr>
          <w:tblHeader/>
        </w:trPr>
        <w:tc>
          <w:tcPr>
            <w:tcW w:w="1548" w:type="dxa"/>
            <w:shd w:val="clear" w:color="auto" w:fill="auto"/>
            <w:vAlign w:val="center"/>
          </w:tcPr>
          <w:p w14:paraId="3A959864" w14:textId="77777777" w:rsidR="00305049" w:rsidRPr="00305049" w:rsidRDefault="00305049" w:rsidP="00305049">
            <w:pPr>
              <w:rPr>
                <w:rFonts w:eastAsia="Calibri"/>
                <w:b/>
                <w:sz w:val="20"/>
                <w:szCs w:val="20"/>
                <w:lang w:val="en-GB"/>
              </w:rPr>
            </w:pPr>
            <w:r w:rsidRPr="00305049">
              <w:rPr>
                <w:rFonts w:eastAsia="Calibri"/>
                <w:b/>
                <w:sz w:val="20"/>
                <w:szCs w:val="20"/>
                <w:lang w:val="en-GB"/>
              </w:rPr>
              <w:t>Risk Description</w:t>
            </w:r>
          </w:p>
        </w:tc>
        <w:tc>
          <w:tcPr>
            <w:tcW w:w="1170" w:type="dxa"/>
            <w:shd w:val="clear" w:color="auto" w:fill="auto"/>
            <w:vAlign w:val="center"/>
          </w:tcPr>
          <w:p w14:paraId="180407CD" w14:textId="77777777" w:rsidR="00305049" w:rsidRPr="00305049" w:rsidRDefault="00305049" w:rsidP="00305049">
            <w:pPr>
              <w:rPr>
                <w:rFonts w:eastAsia="Calibri"/>
                <w:b/>
                <w:sz w:val="20"/>
                <w:szCs w:val="20"/>
                <w:lang w:val="en-GB"/>
              </w:rPr>
            </w:pPr>
            <w:r w:rsidRPr="00305049">
              <w:rPr>
                <w:rFonts w:eastAsia="Calibri"/>
                <w:b/>
                <w:sz w:val="20"/>
                <w:szCs w:val="20"/>
                <w:lang w:val="en-GB"/>
              </w:rPr>
              <w:t>Category</w:t>
            </w:r>
          </w:p>
        </w:tc>
        <w:tc>
          <w:tcPr>
            <w:tcW w:w="1170" w:type="dxa"/>
            <w:shd w:val="clear" w:color="auto" w:fill="auto"/>
            <w:vAlign w:val="center"/>
          </w:tcPr>
          <w:p w14:paraId="6DAC0448" w14:textId="77777777" w:rsidR="00305049" w:rsidRPr="00305049" w:rsidRDefault="00305049" w:rsidP="00305049">
            <w:pPr>
              <w:rPr>
                <w:rFonts w:eastAsia="Calibri"/>
                <w:b/>
                <w:sz w:val="20"/>
                <w:szCs w:val="20"/>
                <w:lang w:val="en-GB"/>
              </w:rPr>
            </w:pPr>
            <w:r w:rsidRPr="00305049">
              <w:rPr>
                <w:rFonts w:eastAsia="Calibri"/>
                <w:b/>
                <w:sz w:val="20"/>
                <w:szCs w:val="20"/>
                <w:lang w:val="en-GB"/>
              </w:rPr>
              <w:t>Impact Severity</w:t>
            </w:r>
          </w:p>
        </w:tc>
        <w:tc>
          <w:tcPr>
            <w:tcW w:w="1170" w:type="dxa"/>
            <w:shd w:val="clear" w:color="auto" w:fill="auto"/>
            <w:vAlign w:val="center"/>
          </w:tcPr>
          <w:p w14:paraId="7B2D42ED" w14:textId="77777777" w:rsidR="00305049" w:rsidRPr="00305049" w:rsidRDefault="00305049" w:rsidP="00305049">
            <w:pPr>
              <w:rPr>
                <w:rFonts w:eastAsia="Calibri"/>
                <w:b/>
                <w:sz w:val="20"/>
                <w:szCs w:val="20"/>
                <w:lang w:val="en-GB"/>
              </w:rPr>
            </w:pPr>
            <w:r w:rsidRPr="00305049">
              <w:rPr>
                <w:rFonts w:eastAsia="Calibri"/>
                <w:b/>
                <w:sz w:val="20"/>
                <w:szCs w:val="20"/>
                <w:lang w:val="en-GB"/>
              </w:rPr>
              <w:t>Likelihood</w:t>
            </w:r>
          </w:p>
        </w:tc>
        <w:tc>
          <w:tcPr>
            <w:tcW w:w="7110" w:type="dxa"/>
            <w:shd w:val="clear" w:color="auto" w:fill="auto"/>
            <w:vAlign w:val="center"/>
          </w:tcPr>
          <w:p w14:paraId="126D7935" w14:textId="77777777" w:rsidR="00305049" w:rsidRPr="00305049" w:rsidRDefault="00305049" w:rsidP="00305049">
            <w:pPr>
              <w:rPr>
                <w:rFonts w:eastAsia="Calibri"/>
                <w:b/>
                <w:sz w:val="20"/>
                <w:szCs w:val="20"/>
                <w:lang w:val="en-GB"/>
              </w:rPr>
            </w:pPr>
            <w:r w:rsidRPr="00305049">
              <w:rPr>
                <w:rFonts w:eastAsia="Calibri"/>
                <w:b/>
                <w:sz w:val="20"/>
                <w:szCs w:val="20"/>
                <w:lang w:val="en-GB"/>
              </w:rPr>
              <w:t>Risk Management Strategy and Safeguards</w:t>
            </w:r>
          </w:p>
        </w:tc>
        <w:tc>
          <w:tcPr>
            <w:tcW w:w="2002" w:type="dxa"/>
            <w:shd w:val="clear" w:color="auto" w:fill="auto"/>
            <w:vAlign w:val="center"/>
          </w:tcPr>
          <w:p w14:paraId="0CCFAA84" w14:textId="77777777" w:rsidR="00305049" w:rsidRPr="00305049" w:rsidRDefault="00305049" w:rsidP="00305049">
            <w:pPr>
              <w:rPr>
                <w:rFonts w:eastAsia="Calibri"/>
                <w:b/>
                <w:sz w:val="20"/>
                <w:szCs w:val="20"/>
                <w:lang w:val="en-GB"/>
              </w:rPr>
            </w:pPr>
            <w:r w:rsidRPr="00305049">
              <w:rPr>
                <w:rFonts w:eastAsia="Calibri"/>
                <w:b/>
                <w:sz w:val="20"/>
                <w:szCs w:val="20"/>
                <w:lang w:val="en-GB"/>
              </w:rPr>
              <w:t>By When/Whom?</w:t>
            </w:r>
          </w:p>
        </w:tc>
      </w:tr>
      <w:tr w:rsidR="00305049" w:rsidRPr="00305049" w14:paraId="155F3020" w14:textId="77777777" w:rsidTr="00FA141D">
        <w:tc>
          <w:tcPr>
            <w:tcW w:w="1548" w:type="dxa"/>
            <w:shd w:val="clear" w:color="auto" w:fill="auto"/>
          </w:tcPr>
          <w:p w14:paraId="0074F736" w14:textId="77777777" w:rsidR="00305049" w:rsidRPr="00305049" w:rsidRDefault="00305049" w:rsidP="00305049">
            <w:pPr>
              <w:rPr>
                <w:rFonts w:eastAsia="Calibri"/>
                <w:sz w:val="20"/>
                <w:szCs w:val="20"/>
                <w:lang w:val="en-GB"/>
              </w:rPr>
            </w:pPr>
            <w:r w:rsidRPr="00305049">
              <w:rPr>
                <w:rFonts w:eastAsia="Calibri"/>
                <w:sz w:val="20"/>
                <w:szCs w:val="20"/>
                <w:lang w:val="en-GB"/>
              </w:rPr>
              <w:t>Inadequate joint government and community commitment to sustainably manage priority coastal habitat sites (includes man</w:t>
            </w:r>
            <w:r w:rsidR="00E64ECD">
              <w:rPr>
                <w:rFonts w:eastAsia="Calibri"/>
                <w:sz w:val="20"/>
                <w:szCs w:val="20"/>
                <w:lang w:val="en-GB"/>
              </w:rPr>
              <w:t>groves, coral reefs, seagrass a</w:t>
            </w:r>
            <w:r w:rsidRPr="00305049">
              <w:rPr>
                <w:rFonts w:eastAsia="Calibri"/>
                <w:sz w:val="20"/>
                <w:szCs w:val="20"/>
                <w:lang w:val="en-GB"/>
              </w:rPr>
              <w:t>nd wetlands)</w:t>
            </w:r>
          </w:p>
        </w:tc>
        <w:tc>
          <w:tcPr>
            <w:tcW w:w="1170" w:type="dxa"/>
            <w:shd w:val="clear" w:color="auto" w:fill="auto"/>
          </w:tcPr>
          <w:p w14:paraId="223C81AD" w14:textId="77777777" w:rsidR="00305049" w:rsidRPr="00305049" w:rsidRDefault="00305049" w:rsidP="00305049">
            <w:pPr>
              <w:rPr>
                <w:rFonts w:eastAsia="Calibri"/>
                <w:sz w:val="20"/>
                <w:szCs w:val="20"/>
                <w:lang w:val="en-GB"/>
              </w:rPr>
            </w:pPr>
            <w:r w:rsidRPr="00305049">
              <w:rPr>
                <w:rFonts w:eastAsia="Calibri"/>
                <w:sz w:val="20"/>
                <w:szCs w:val="20"/>
                <w:lang w:val="en-GB"/>
              </w:rPr>
              <w:t>Political</w:t>
            </w:r>
          </w:p>
        </w:tc>
        <w:tc>
          <w:tcPr>
            <w:tcW w:w="1170" w:type="dxa"/>
            <w:shd w:val="clear" w:color="auto" w:fill="auto"/>
          </w:tcPr>
          <w:p w14:paraId="06478007" w14:textId="77777777" w:rsidR="00305049" w:rsidRPr="00305049" w:rsidRDefault="00305049" w:rsidP="00305049">
            <w:pPr>
              <w:rPr>
                <w:rFonts w:eastAsia="Calibri"/>
                <w:sz w:val="20"/>
                <w:szCs w:val="20"/>
                <w:lang w:val="en-GB"/>
              </w:rPr>
            </w:pPr>
            <w:r w:rsidRPr="00305049">
              <w:rPr>
                <w:rFonts w:eastAsia="Calibri"/>
                <w:sz w:val="20"/>
                <w:szCs w:val="20"/>
                <w:lang w:val="en-GB"/>
              </w:rPr>
              <w:t>High</w:t>
            </w:r>
          </w:p>
        </w:tc>
        <w:tc>
          <w:tcPr>
            <w:tcW w:w="1170" w:type="dxa"/>
            <w:shd w:val="clear" w:color="auto" w:fill="auto"/>
          </w:tcPr>
          <w:p w14:paraId="000731AD" w14:textId="77777777" w:rsidR="00305049" w:rsidRPr="00305049" w:rsidRDefault="00E64ECD" w:rsidP="00305049">
            <w:pPr>
              <w:rPr>
                <w:rFonts w:eastAsia="Calibri"/>
                <w:sz w:val="20"/>
                <w:szCs w:val="20"/>
                <w:lang w:val="en-GB"/>
              </w:rPr>
            </w:pPr>
            <w:r>
              <w:rPr>
                <w:rFonts w:eastAsia="Calibri"/>
                <w:sz w:val="20"/>
                <w:szCs w:val="20"/>
                <w:lang w:val="en-GB"/>
              </w:rPr>
              <w:t>Low</w:t>
            </w:r>
          </w:p>
        </w:tc>
        <w:tc>
          <w:tcPr>
            <w:tcW w:w="7110" w:type="dxa"/>
            <w:shd w:val="clear" w:color="auto" w:fill="auto"/>
          </w:tcPr>
          <w:p w14:paraId="2F095A41" w14:textId="77777777" w:rsidR="00305049" w:rsidRPr="00305049" w:rsidRDefault="00305049" w:rsidP="00E64ECD">
            <w:pPr>
              <w:rPr>
                <w:rFonts w:eastAsia="Calibri"/>
                <w:sz w:val="20"/>
                <w:szCs w:val="20"/>
                <w:lang w:val="en-GB"/>
              </w:rPr>
            </w:pPr>
            <w:r w:rsidRPr="00305049">
              <w:rPr>
                <w:rFonts w:eastAsia="Calibri"/>
                <w:sz w:val="20"/>
                <w:szCs w:val="20"/>
                <w:lang w:val="en-GB"/>
              </w:rPr>
              <w:t>It is acknowledged that tensions often exist between levels of government regarding issues of jurisdiction, resourcing and priority setting. Experience from the 23 demonstration sites and lessons learned documented in preparation of this project indicate however, that there is sufficient government commitment to address priority coastal habitat management issues.</w:t>
            </w:r>
            <w:r w:rsidR="00E64ECD">
              <w:rPr>
                <w:rFonts w:eastAsia="Calibri"/>
                <w:sz w:val="20"/>
                <w:szCs w:val="20"/>
                <w:lang w:val="en-GB"/>
              </w:rPr>
              <w:t xml:space="preserve"> The signing of the Memorandum of Understanding on cooperation in the implementation of the SAP by all participating countries indicates that the likelihood of this risk impacting on the project is low. </w:t>
            </w:r>
            <w:r w:rsidRPr="00305049">
              <w:rPr>
                <w:rFonts w:eastAsia="Calibri"/>
                <w:sz w:val="20"/>
                <w:szCs w:val="20"/>
                <w:lang w:val="en-GB"/>
              </w:rPr>
              <w:t xml:space="preserve"> </w:t>
            </w:r>
            <w:r w:rsidR="00E64ECD">
              <w:rPr>
                <w:rFonts w:eastAsia="Calibri"/>
                <w:sz w:val="20"/>
                <w:szCs w:val="20"/>
                <w:lang w:val="en-GB"/>
              </w:rPr>
              <w:t xml:space="preserve">The risk is further mitigated by the fact that no project activities will be undertaken in areas of jurisdictional dispute. </w:t>
            </w:r>
            <w:r w:rsidRPr="00305049">
              <w:rPr>
                <w:rFonts w:eastAsia="Calibri"/>
                <w:sz w:val="20"/>
                <w:szCs w:val="20"/>
                <w:lang w:val="en-GB"/>
              </w:rPr>
              <w:t>There is however a need for this ‘community to cabinet’ type integration to take place within well-structured national and regional consultative processes that provide opportunities for different stakeholders to understand each other’s perspectives and needs, and for the step-wise review of decision-making from national to regional levels and vice versa. This has been addressed as part of the design of the present project via the planning of targeted actions to strengthen regional and national level integration and cooperation, including revitalization of national coordination mechanisms and the operation of Mayors’ Round-Table meetings and related, interlinked fora for NGOs CSOs and COs.</w:t>
            </w:r>
          </w:p>
        </w:tc>
        <w:tc>
          <w:tcPr>
            <w:tcW w:w="2002" w:type="dxa"/>
            <w:shd w:val="clear" w:color="auto" w:fill="auto"/>
          </w:tcPr>
          <w:p w14:paraId="14D84BBE"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Initiated during project inception period</w:t>
            </w:r>
          </w:p>
          <w:p w14:paraId="48DE7281"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Lead Agencies</w:t>
            </w:r>
          </w:p>
          <w:p w14:paraId="18DBA315"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Inter-Ministry Committees</w:t>
            </w:r>
          </w:p>
          <w:p w14:paraId="3D0C211D"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SAP Implementation Committee</w:t>
            </w:r>
          </w:p>
        </w:tc>
      </w:tr>
      <w:tr w:rsidR="00305049" w:rsidRPr="00305049" w14:paraId="6C112867" w14:textId="77777777" w:rsidTr="00FA141D">
        <w:tc>
          <w:tcPr>
            <w:tcW w:w="1548" w:type="dxa"/>
            <w:shd w:val="clear" w:color="auto" w:fill="auto"/>
          </w:tcPr>
          <w:p w14:paraId="7FC60640" w14:textId="77777777" w:rsidR="00305049" w:rsidRPr="00305049" w:rsidRDefault="00305049" w:rsidP="00305049">
            <w:pPr>
              <w:rPr>
                <w:rFonts w:eastAsia="Calibri"/>
                <w:sz w:val="20"/>
                <w:szCs w:val="20"/>
                <w:lang w:val="en-GB"/>
              </w:rPr>
            </w:pPr>
            <w:r w:rsidRPr="00305049">
              <w:rPr>
                <w:rFonts w:eastAsia="Calibri"/>
                <w:sz w:val="20"/>
                <w:szCs w:val="20"/>
                <w:lang w:val="en-GB"/>
              </w:rPr>
              <w:t>Adequate local cooperation to analyse information to identify threats and agree management actions at priority coastal habitat sites</w:t>
            </w:r>
          </w:p>
        </w:tc>
        <w:tc>
          <w:tcPr>
            <w:tcW w:w="1170" w:type="dxa"/>
            <w:shd w:val="clear" w:color="auto" w:fill="auto"/>
          </w:tcPr>
          <w:p w14:paraId="6AEAC227" w14:textId="77777777" w:rsidR="00305049" w:rsidRPr="00305049" w:rsidRDefault="00305049" w:rsidP="00305049">
            <w:pPr>
              <w:rPr>
                <w:rFonts w:eastAsia="Calibri"/>
                <w:sz w:val="20"/>
                <w:szCs w:val="20"/>
                <w:lang w:val="en-GB"/>
              </w:rPr>
            </w:pPr>
            <w:r w:rsidRPr="00305049">
              <w:rPr>
                <w:rFonts w:eastAsia="Calibri"/>
                <w:sz w:val="20"/>
                <w:szCs w:val="20"/>
                <w:lang w:val="en-GB"/>
              </w:rPr>
              <w:t>Organisational</w:t>
            </w:r>
          </w:p>
        </w:tc>
        <w:tc>
          <w:tcPr>
            <w:tcW w:w="1170" w:type="dxa"/>
            <w:shd w:val="clear" w:color="auto" w:fill="auto"/>
          </w:tcPr>
          <w:p w14:paraId="4B274A94" w14:textId="77777777" w:rsidR="00305049" w:rsidRPr="00305049" w:rsidRDefault="00305049" w:rsidP="00305049">
            <w:pPr>
              <w:rPr>
                <w:rFonts w:eastAsia="Calibri"/>
                <w:sz w:val="20"/>
                <w:szCs w:val="20"/>
                <w:lang w:val="en-GB"/>
              </w:rPr>
            </w:pPr>
            <w:r w:rsidRPr="00305049">
              <w:rPr>
                <w:rFonts w:eastAsia="Calibri"/>
                <w:sz w:val="20"/>
                <w:szCs w:val="20"/>
                <w:lang w:val="en-GB"/>
              </w:rPr>
              <w:t>High</w:t>
            </w:r>
          </w:p>
        </w:tc>
        <w:tc>
          <w:tcPr>
            <w:tcW w:w="1170" w:type="dxa"/>
            <w:shd w:val="clear" w:color="auto" w:fill="auto"/>
          </w:tcPr>
          <w:p w14:paraId="3D64E5B5" w14:textId="77777777" w:rsidR="00305049" w:rsidRPr="00305049" w:rsidRDefault="00305049" w:rsidP="00305049">
            <w:pPr>
              <w:rPr>
                <w:rFonts w:eastAsia="Calibri"/>
                <w:sz w:val="20"/>
                <w:szCs w:val="20"/>
                <w:lang w:val="en-GB"/>
              </w:rPr>
            </w:pPr>
            <w:r w:rsidRPr="00305049">
              <w:rPr>
                <w:rFonts w:eastAsia="Calibri"/>
                <w:sz w:val="20"/>
                <w:szCs w:val="20"/>
                <w:lang w:val="en-GB"/>
              </w:rPr>
              <w:t>Low-medium</w:t>
            </w:r>
          </w:p>
        </w:tc>
        <w:tc>
          <w:tcPr>
            <w:tcW w:w="7110" w:type="dxa"/>
            <w:shd w:val="clear" w:color="auto" w:fill="auto"/>
          </w:tcPr>
          <w:p w14:paraId="62CD37B4" w14:textId="77777777" w:rsidR="00305049" w:rsidRPr="00305049" w:rsidRDefault="00305049" w:rsidP="00305049">
            <w:pPr>
              <w:rPr>
                <w:rFonts w:eastAsia="Calibri"/>
                <w:sz w:val="20"/>
                <w:szCs w:val="20"/>
                <w:lang w:val="en-GB"/>
              </w:rPr>
            </w:pPr>
            <w:r w:rsidRPr="00305049">
              <w:rPr>
                <w:rFonts w:eastAsia="Calibri"/>
                <w:sz w:val="20"/>
                <w:szCs w:val="20"/>
                <w:lang w:val="en-GB"/>
              </w:rPr>
              <w:t>Stakeholder participation in local planning processes is often constrained by existing tensions between competing interests, e.g., difficulties fisherfolk and environmental NGOs experience in reaching agreement on matters relating to balancing food/nutritional security needs with aspirations for biodiversity conservation. In overcoming these barriers, such processes need to ensure that approaches for the identification of key threats or environmental compromises, and the identification, evaluation and prioritization of proposed management actions, are clearly understood by all participants and are sufficiently well designed to accommodate local needs and interests. The causal chain analysis approach to characterizing threats and management actions tested as part of SAP formulation has been identified by various evaluations of that initiative, and during the identification of lessons learned and best practices during the preparation of this project, as a successful tool for engaging and communicating with community stakeholders about planning environmental and natural resource management actions. Accordingly, this project will employ this tool, and others proven successful in consensus building (e.g. Delphi-type exercises) to foster local cooperation in the area of threat identification and action planning.</w:t>
            </w:r>
          </w:p>
        </w:tc>
        <w:tc>
          <w:tcPr>
            <w:tcW w:w="2002" w:type="dxa"/>
            <w:shd w:val="clear" w:color="auto" w:fill="auto"/>
          </w:tcPr>
          <w:p w14:paraId="75DEE441"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Initiated during project inception period and sustained for project duration</w:t>
            </w:r>
          </w:p>
          <w:p w14:paraId="02E79916"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Inter-Ministry Committees</w:t>
            </w:r>
          </w:p>
          <w:p w14:paraId="09E8A40E"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Lead Agencies</w:t>
            </w:r>
          </w:p>
          <w:p w14:paraId="3CEA765E"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Specialized Executing Agencies</w:t>
            </w:r>
          </w:p>
          <w:p w14:paraId="09CBD759" w14:textId="77777777" w:rsidR="00305049" w:rsidRPr="00305049" w:rsidRDefault="00305049" w:rsidP="00305049">
            <w:pPr>
              <w:ind w:left="216" w:hanging="216"/>
              <w:rPr>
                <w:rFonts w:eastAsia="Calibri"/>
                <w:sz w:val="20"/>
                <w:szCs w:val="20"/>
                <w:lang w:val="en-GB"/>
              </w:rPr>
            </w:pPr>
          </w:p>
        </w:tc>
      </w:tr>
      <w:tr w:rsidR="00305049" w:rsidRPr="00305049" w14:paraId="6146987C" w14:textId="77777777" w:rsidTr="00FA141D">
        <w:tc>
          <w:tcPr>
            <w:tcW w:w="1548" w:type="dxa"/>
            <w:shd w:val="clear" w:color="auto" w:fill="auto"/>
          </w:tcPr>
          <w:p w14:paraId="6947E4A9" w14:textId="77777777" w:rsidR="00305049" w:rsidRPr="00305049" w:rsidRDefault="00305049" w:rsidP="00305049">
            <w:pPr>
              <w:rPr>
                <w:rFonts w:eastAsia="Calibri"/>
                <w:sz w:val="20"/>
                <w:szCs w:val="20"/>
                <w:lang w:val="en-GB"/>
              </w:rPr>
            </w:pPr>
            <w:r w:rsidRPr="00305049">
              <w:rPr>
                <w:rFonts w:eastAsia="Calibri"/>
                <w:sz w:val="20"/>
                <w:szCs w:val="20"/>
                <w:lang w:val="en-GB"/>
              </w:rPr>
              <w:t>National and provincial/local government commitment to adopt governance reforms for coastal habitat and land-based pollution management that reflect local needs</w:t>
            </w:r>
          </w:p>
        </w:tc>
        <w:tc>
          <w:tcPr>
            <w:tcW w:w="1170" w:type="dxa"/>
            <w:shd w:val="clear" w:color="auto" w:fill="auto"/>
          </w:tcPr>
          <w:p w14:paraId="061C214F" w14:textId="77777777" w:rsidR="00305049" w:rsidRPr="00305049" w:rsidRDefault="00305049" w:rsidP="00305049">
            <w:pPr>
              <w:rPr>
                <w:rFonts w:eastAsia="Calibri"/>
                <w:sz w:val="20"/>
                <w:szCs w:val="20"/>
                <w:lang w:val="en-GB"/>
              </w:rPr>
            </w:pPr>
            <w:r w:rsidRPr="00305049">
              <w:rPr>
                <w:rFonts w:eastAsia="Calibri"/>
                <w:sz w:val="20"/>
                <w:szCs w:val="20"/>
                <w:lang w:val="en-GB"/>
              </w:rPr>
              <w:t>Political</w:t>
            </w:r>
          </w:p>
        </w:tc>
        <w:tc>
          <w:tcPr>
            <w:tcW w:w="1170" w:type="dxa"/>
            <w:shd w:val="clear" w:color="auto" w:fill="auto"/>
          </w:tcPr>
          <w:p w14:paraId="0036751F" w14:textId="77777777" w:rsidR="00305049" w:rsidRPr="00305049" w:rsidRDefault="00305049" w:rsidP="00305049">
            <w:pPr>
              <w:rPr>
                <w:rFonts w:eastAsia="Calibri"/>
                <w:sz w:val="20"/>
                <w:szCs w:val="20"/>
                <w:lang w:val="en-GB"/>
              </w:rPr>
            </w:pPr>
            <w:r w:rsidRPr="00305049">
              <w:rPr>
                <w:rFonts w:eastAsia="Calibri"/>
                <w:sz w:val="20"/>
                <w:szCs w:val="20"/>
                <w:lang w:val="en-GB"/>
              </w:rPr>
              <w:t>High</w:t>
            </w:r>
          </w:p>
        </w:tc>
        <w:tc>
          <w:tcPr>
            <w:tcW w:w="1170" w:type="dxa"/>
            <w:shd w:val="clear" w:color="auto" w:fill="auto"/>
          </w:tcPr>
          <w:p w14:paraId="4437DA30" w14:textId="77777777" w:rsidR="00305049" w:rsidRPr="00305049" w:rsidRDefault="00305049" w:rsidP="00305049">
            <w:pPr>
              <w:rPr>
                <w:rFonts w:eastAsia="Calibri"/>
                <w:sz w:val="20"/>
                <w:szCs w:val="20"/>
                <w:lang w:val="en-GB"/>
              </w:rPr>
            </w:pPr>
            <w:r w:rsidRPr="00305049">
              <w:rPr>
                <w:rFonts w:eastAsia="Calibri"/>
                <w:sz w:val="20"/>
                <w:szCs w:val="20"/>
                <w:lang w:val="en-GB"/>
              </w:rPr>
              <w:t>Medium</w:t>
            </w:r>
          </w:p>
        </w:tc>
        <w:tc>
          <w:tcPr>
            <w:tcW w:w="7110" w:type="dxa"/>
            <w:shd w:val="clear" w:color="auto" w:fill="auto"/>
          </w:tcPr>
          <w:p w14:paraId="2DBA388F" w14:textId="77777777" w:rsidR="00305049" w:rsidRPr="00305049" w:rsidRDefault="00305049" w:rsidP="00305049">
            <w:pPr>
              <w:rPr>
                <w:rFonts w:eastAsia="Calibri"/>
                <w:sz w:val="20"/>
                <w:szCs w:val="20"/>
                <w:lang w:val="en-GB"/>
              </w:rPr>
            </w:pPr>
            <w:r w:rsidRPr="00305049">
              <w:rPr>
                <w:rFonts w:eastAsia="Calibri"/>
                <w:sz w:val="20"/>
                <w:szCs w:val="20"/>
                <w:lang w:val="en-GB"/>
              </w:rPr>
              <w:t>Political acceptance of the need for reform for coastal habitat management and other issues relating to reversing environmental degradation in the South China Sea is in a large part evidenced by the inter-governmental adoption of the Strategic Action Programme which encompasses such actions. This is further supported by the formulation and adoption of supporting National Action Plans. Design of the strategy for this project emphasizes the need for the establishment and operation of mechanisms to ensure that local needs are appropriately reflected in such reforms. This will be facilitated through the work of various bodies and fora from ‘Community to Cabinet’ for which detailed Terms of Reference have been developed and agreed. Supporting activities included in the costed project work plan include the conduct of reviews of local governance arrangements at the priority sites and the incorporation of these in the broader planning of policy, planning and regulatory reforms for coastal habitat and land-based pollution management. Despite these mechanisms, and given the 60 month timeframe of the project, this is an area of the project that will require priority attention of the SAP Implementation Unit and must form an integral part of national and regional reporting and monitoring and evaluation.</w:t>
            </w:r>
          </w:p>
        </w:tc>
        <w:tc>
          <w:tcPr>
            <w:tcW w:w="2002" w:type="dxa"/>
            <w:shd w:val="clear" w:color="auto" w:fill="auto"/>
          </w:tcPr>
          <w:p w14:paraId="5C1894FF"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Initiated during project inception and sustained for project duration</w:t>
            </w:r>
          </w:p>
          <w:p w14:paraId="3618ECAE"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Inter-Ministry Committees</w:t>
            </w:r>
          </w:p>
          <w:p w14:paraId="753C9438"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Lead Agencies</w:t>
            </w:r>
          </w:p>
          <w:p w14:paraId="300F0D59"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SAP Implementation Committee</w:t>
            </w:r>
          </w:p>
          <w:p w14:paraId="4C7FE37A"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SAP Implemention Unit</w:t>
            </w:r>
          </w:p>
        </w:tc>
      </w:tr>
      <w:tr w:rsidR="00305049" w:rsidRPr="00305049" w14:paraId="0D106354" w14:textId="77777777" w:rsidTr="00FA141D">
        <w:tc>
          <w:tcPr>
            <w:tcW w:w="1548" w:type="dxa"/>
            <w:shd w:val="clear" w:color="auto" w:fill="auto"/>
          </w:tcPr>
          <w:p w14:paraId="6C54ACBA" w14:textId="77777777" w:rsidR="00305049" w:rsidRPr="00305049" w:rsidRDefault="00305049" w:rsidP="00305049">
            <w:pPr>
              <w:rPr>
                <w:rFonts w:eastAsia="Calibri"/>
                <w:sz w:val="20"/>
                <w:szCs w:val="20"/>
                <w:lang w:val="en-GB"/>
              </w:rPr>
            </w:pPr>
            <w:r w:rsidRPr="00305049">
              <w:rPr>
                <w:rFonts w:eastAsia="Calibri"/>
                <w:sz w:val="20"/>
                <w:szCs w:val="20"/>
                <w:lang w:val="en-GB"/>
              </w:rPr>
              <w:t>Appropriate selection of sites for testing innovative management approaches, or for use of in-situ monitoring sites, to minimise risks associated with: typhoon; emerging development pressures; and storm surge inundation</w:t>
            </w:r>
          </w:p>
        </w:tc>
        <w:tc>
          <w:tcPr>
            <w:tcW w:w="1170" w:type="dxa"/>
            <w:shd w:val="clear" w:color="auto" w:fill="auto"/>
          </w:tcPr>
          <w:p w14:paraId="07735A0E" w14:textId="77777777" w:rsidR="00305049" w:rsidRPr="00305049" w:rsidRDefault="00305049" w:rsidP="00305049">
            <w:pPr>
              <w:rPr>
                <w:rFonts w:eastAsia="Calibri"/>
                <w:sz w:val="20"/>
                <w:szCs w:val="20"/>
                <w:lang w:val="en-GB"/>
              </w:rPr>
            </w:pPr>
            <w:r w:rsidRPr="00305049">
              <w:rPr>
                <w:rFonts w:eastAsia="Calibri"/>
                <w:sz w:val="20"/>
                <w:szCs w:val="20"/>
                <w:lang w:val="en-GB"/>
              </w:rPr>
              <w:t>Technical</w:t>
            </w:r>
          </w:p>
        </w:tc>
        <w:tc>
          <w:tcPr>
            <w:tcW w:w="1170" w:type="dxa"/>
            <w:shd w:val="clear" w:color="auto" w:fill="auto"/>
          </w:tcPr>
          <w:p w14:paraId="6F526F93" w14:textId="77777777" w:rsidR="00305049" w:rsidRPr="00305049" w:rsidRDefault="00305049" w:rsidP="00305049">
            <w:pPr>
              <w:rPr>
                <w:rFonts w:eastAsia="Calibri"/>
                <w:sz w:val="20"/>
                <w:szCs w:val="20"/>
                <w:lang w:val="en-GB"/>
              </w:rPr>
            </w:pPr>
            <w:r w:rsidRPr="00305049">
              <w:rPr>
                <w:rFonts w:eastAsia="Calibri"/>
                <w:sz w:val="20"/>
                <w:szCs w:val="20"/>
                <w:lang w:val="en-GB"/>
              </w:rPr>
              <w:t>High</w:t>
            </w:r>
          </w:p>
        </w:tc>
        <w:tc>
          <w:tcPr>
            <w:tcW w:w="1170" w:type="dxa"/>
            <w:shd w:val="clear" w:color="auto" w:fill="auto"/>
          </w:tcPr>
          <w:p w14:paraId="488F45D9" w14:textId="77777777" w:rsidR="00305049" w:rsidRPr="00305049" w:rsidRDefault="00305049" w:rsidP="00305049">
            <w:pPr>
              <w:rPr>
                <w:rFonts w:eastAsia="Calibri"/>
                <w:sz w:val="20"/>
                <w:szCs w:val="20"/>
                <w:lang w:val="en-GB"/>
              </w:rPr>
            </w:pPr>
            <w:r w:rsidRPr="00305049">
              <w:rPr>
                <w:rFonts w:eastAsia="Calibri"/>
                <w:sz w:val="20"/>
                <w:szCs w:val="20"/>
                <w:lang w:val="en-GB"/>
              </w:rPr>
              <w:t>Low-Medium</w:t>
            </w:r>
          </w:p>
        </w:tc>
        <w:tc>
          <w:tcPr>
            <w:tcW w:w="7110" w:type="dxa"/>
            <w:shd w:val="clear" w:color="auto" w:fill="auto"/>
          </w:tcPr>
          <w:p w14:paraId="3B7781F4" w14:textId="77777777" w:rsidR="00305049" w:rsidRPr="00305049" w:rsidRDefault="00305049" w:rsidP="00305049">
            <w:pPr>
              <w:rPr>
                <w:rFonts w:eastAsia="Calibri"/>
                <w:sz w:val="20"/>
                <w:szCs w:val="20"/>
                <w:lang w:val="en-GB"/>
              </w:rPr>
            </w:pPr>
            <w:r w:rsidRPr="00305049">
              <w:rPr>
                <w:rFonts w:eastAsia="Calibri"/>
                <w:sz w:val="20"/>
                <w:szCs w:val="20"/>
                <w:lang w:val="en-GB"/>
              </w:rPr>
              <w:t>This presents a significant risk, particularly given emphasis of project Component 1, on the establishment and operation of a regional monitoring system for evaluating the effectiveness of SAP implementation in areas of environmental stress reduction and improvements in environmental state. The latter while in large part is aimed at responding to calls by the region’s political leaders for more results-orientated approaches to environmental and natural resource management initiatives in the Southeast Asian region, it also aims to accommodate the recommendation of the GEF evaluation of the impacts of its investments in the South China Sea which relates to the strengthening of mechanisms for the longer-term monitoring of local and global environmental benefits. Accordingly, activities of the project’s costed work plan include the development of objective and scientifically sound methods and procedures for identifying locations for activities including inter alia: priority areas for mangrove reforestation and enrichment planting; establishment of seagrass MPAs; and the selection of sites for longer-term monitoring of environmental and socio-economic conditions in priority coastal areas. Experience of the SCS formulation project, particularly in development of an objective and scientifically sound procedure for the identification of priority sites for habitat demonstration projects, suggests that this is achievable and that this risk can be adequately mitigated via the above strategies.</w:t>
            </w:r>
          </w:p>
        </w:tc>
        <w:tc>
          <w:tcPr>
            <w:tcW w:w="2002" w:type="dxa"/>
            <w:shd w:val="clear" w:color="auto" w:fill="auto"/>
          </w:tcPr>
          <w:p w14:paraId="72C14B99"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Initiated during project inception and sustained for project duration</w:t>
            </w:r>
          </w:p>
          <w:p w14:paraId="7C7E243D"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Technical Working Groups</w:t>
            </w:r>
          </w:p>
          <w:p w14:paraId="0E413B83"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Specialized Executing Agencies</w:t>
            </w:r>
          </w:p>
          <w:p w14:paraId="7794D419"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Regional Working Groups</w:t>
            </w:r>
          </w:p>
          <w:p w14:paraId="2399B62D"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Regional Scientific and Technical Committee</w:t>
            </w:r>
          </w:p>
          <w:p w14:paraId="5AEE8FD2"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Support from SAP Implementation Unit</w:t>
            </w:r>
          </w:p>
        </w:tc>
      </w:tr>
      <w:tr w:rsidR="00305049" w:rsidRPr="00305049" w14:paraId="13F6003D" w14:textId="77777777" w:rsidTr="00FA141D">
        <w:tc>
          <w:tcPr>
            <w:tcW w:w="1548" w:type="dxa"/>
            <w:shd w:val="clear" w:color="auto" w:fill="auto"/>
          </w:tcPr>
          <w:p w14:paraId="48BF408B" w14:textId="77777777" w:rsidR="00305049" w:rsidRPr="00305049" w:rsidRDefault="00305049" w:rsidP="00305049">
            <w:pPr>
              <w:rPr>
                <w:rFonts w:eastAsia="Calibri"/>
                <w:sz w:val="20"/>
                <w:szCs w:val="20"/>
                <w:lang w:val="en-GB"/>
              </w:rPr>
            </w:pPr>
            <w:r w:rsidRPr="00305049">
              <w:rPr>
                <w:rFonts w:eastAsia="Calibri"/>
                <w:sz w:val="20"/>
                <w:szCs w:val="20"/>
                <w:lang w:val="en-GB"/>
              </w:rPr>
              <w:t>Limited local capacity for the collation of regionally comparable data to inform the operation of a coastal habitat/SAP implementation results reporting system</w:t>
            </w:r>
          </w:p>
        </w:tc>
        <w:tc>
          <w:tcPr>
            <w:tcW w:w="1170" w:type="dxa"/>
            <w:shd w:val="clear" w:color="auto" w:fill="auto"/>
          </w:tcPr>
          <w:p w14:paraId="6C1BE2B8" w14:textId="77777777" w:rsidR="00305049" w:rsidRPr="00305049" w:rsidRDefault="00305049" w:rsidP="00305049">
            <w:pPr>
              <w:rPr>
                <w:rFonts w:eastAsia="Calibri"/>
                <w:sz w:val="20"/>
                <w:szCs w:val="20"/>
                <w:lang w:val="en-GB"/>
              </w:rPr>
            </w:pPr>
            <w:r w:rsidRPr="00305049">
              <w:rPr>
                <w:rFonts w:eastAsia="Calibri"/>
                <w:sz w:val="20"/>
                <w:szCs w:val="20"/>
                <w:lang w:val="en-GB"/>
              </w:rPr>
              <w:t>Technical</w:t>
            </w:r>
          </w:p>
        </w:tc>
        <w:tc>
          <w:tcPr>
            <w:tcW w:w="1170" w:type="dxa"/>
            <w:shd w:val="clear" w:color="auto" w:fill="auto"/>
          </w:tcPr>
          <w:p w14:paraId="04D59EF7" w14:textId="77777777" w:rsidR="00305049" w:rsidRPr="00305049" w:rsidRDefault="00305049" w:rsidP="00305049">
            <w:pPr>
              <w:rPr>
                <w:rFonts w:eastAsia="Calibri"/>
                <w:sz w:val="20"/>
                <w:szCs w:val="20"/>
                <w:lang w:val="en-GB"/>
              </w:rPr>
            </w:pPr>
            <w:r w:rsidRPr="00305049">
              <w:rPr>
                <w:rFonts w:eastAsia="Calibri"/>
                <w:sz w:val="20"/>
                <w:szCs w:val="20"/>
                <w:lang w:val="en-GB"/>
              </w:rPr>
              <w:t>High</w:t>
            </w:r>
          </w:p>
        </w:tc>
        <w:tc>
          <w:tcPr>
            <w:tcW w:w="1170" w:type="dxa"/>
            <w:shd w:val="clear" w:color="auto" w:fill="auto"/>
          </w:tcPr>
          <w:p w14:paraId="12400F6C" w14:textId="77777777" w:rsidR="00305049" w:rsidRPr="00305049" w:rsidRDefault="00305049" w:rsidP="00305049">
            <w:pPr>
              <w:rPr>
                <w:rFonts w:eastAsia="Calibri"/>
                <w:sz w:val="20"/>
                <w:szCs w:val="20"/>
                <w:lang w:val="en-GB"/>
              </w:rPr>
            </w:pPr>
            <w:r w:rsidRPr="00305049">
              <w:rPr>
                <w:rFonts w:eastAsia="Calibri"/>
                <w:sz w:val="20"/>
                <w:szCs w:val="20"/>
                <w:lang w:val="en-GB"/>
              </w:rPr>
              <w:t>Low - medium</w:t>
            </w:r>
          </w:p>
        </w:tc>
        <w:tc>
          <w:tcPr>
            <w:tcW w:w="7110" w:type="dxa"/>
            <w:shd w:val="clear" w:color="auto" w:fill="auto"/>
          </w:tcPr>
          <w:p w14:paraId="3E9C63B9" w14:textId="77777777" w:rsidR="00305049" w:rsidRPr="00305049" w:rsidRDefault="00305049" w:rsidP="00305049">
            <w:pPr>
              <w:rPr>
                <w:rFonts w:eastAsia="Calibri"/>
                <w:sz w:val="20"/>
                <w:szCs w:val="20"/>
                <w:lang w:val="en-GB"/>
              </w:rPr>
            </w:pPr>
            <w:r w:rsidRPr="00305049">
              <w:rPr>
                <w:rFonts w:eastAsia="Calibri"/>
                <w:sz w:val="20"/>
                <w:szCs w:val="20"/>
                <w:lang w:val="en-GB"/>
              </w:rPr>
              <w:t>Informing the coastal habitat results reporting system, specifically identification of stress reduction and changes in environmental state, will require that procedures and methods for the collation of information and data result in the compilation, sharing and analysis of regionally comparable data. Experience from the SAP formulation project, particularly in regard to the routine collection and update of information and data habitat and pollution hotspot site characterizations by national focal points for various project components suggests that this achievable. Results of the past SAP formulation initiative, and as documented in the background section of this project document, also indicate a willingness of countries to share expertise and technical staff to facilitate south-south exchange to ensure inter-country consistency in approaches to resource assessment and monitoring. This risk is further mitigated by the fact that the majority of technical agencies that act as national executing entities for the present project were engaged in the development of resource assessment and monitoring guidelines and training in their application. These methods and procedures have in many instances been mainstreamed into the operations of the agencies. This mainstreaming has resulted in further capacity having been built for the application of these resource assessment techniques in recent years.</w:t>
            </w:r>
          </w:p>
        </w:tc>
        <w:tc>
          <w:tcPr>
            <w:tcW w:w="2002" w:type="dxa"/>
            <w:shd w:val="clear" w:color="auto" w:fill="auto"/>
          </w:tcPr>
          <w:p w14:paraId="10AA809C"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Initiated during project inception and sustained for project duration</w:t>
            </w:r>
          </w:p>
          <w:p w14:paraId="78149053"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Technical Working Groups</w:t>
            </w:r>
          </w:p>
          <w:p w14:paraId="47F1AE12"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Specialized Executing Agencies</w:t>
            </w:r>
          </w:p>
          <w:p w14:paraId="1DAFD45D"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Regional Working Groups</w:t>
            </w:r>
          </w:p>
          <w:p w14:paraId="7D72B5DE"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Regional Scientific and Technical Committee</w:t>
            </w:r>
          </w:p>
          <w:p w14:paraId="34B80DCB"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Support from SAP Implementation Unit</w:t>
            </w:r>
          </w:p>
        </w:tc>
      </w:tr>
      <w:tr w:rsidR="00305049" w:rsidRPr="00305049" w14:paraId="74BDB049" w14:textId="77777777" w:rsidTr="00FA141D">
        <w:tc>
          <w:tcPr>
            <w:tcW w:w="1548" w:type="dxa"/>
            <w:shd w:val="clear" w:color="auto" w:fill="auto"/>
          </w:tcPr>
          <w:p w14:paraId="5F73CF51" w14:textId="77777777" w:rsidR="00305049" w:rsidRPr="00305049" w:rsidRDefault="00305049" w:rsidP="00305049">
            <w:pPr>
              <w:rPr>
                <w:rFonts w:eastAsia="Calibri"/>
                <w:sz w:val="20"/>
                <w:szCs w:val="20"/>
                <w:lang w:val="en-GB"/>
              </w:rPr>
            </w:pPr>
            <w:r w:rsidRPr="00305049">
              <w:rPr>
                <w:rFonts w:eastAsia="Calibri"/>
                <w:sz w:val="20"/>
                <w:szCs w:val="20"/>
                <w:lang w:val="en-GB"/>
              </w:rPr>
              <w:t>Engaging appropriate expertise to facilitate consensus on the selection of physical, biological and socio-economic variables to be used in characterising coastal habitat sites, as well as willingness of data holders to share</w:t>
            </w:r>
          </w:p>
        </w:tc>
        <w:tc>
          <w:tcPr>
            <w:tcW w:w="1170" w:type="dxa"/>
            <w:shd w:val="clear" w:color="auto" w:fill="auto"/>
          </w:tcPr>
          <w:p w14:paraId="78E5483D" w14:textId="77777777" w:rsidR="00305049" w:rsidRPr="00305049" w:rsidRDefault="00305049" w:rsidP="00305049">
            <w:pPr>
              <w:rPr>
                <w:rFonts w:eastAsia="Calibri"/>
                <w:sz w:val="20"/>
                <w:szCs w:val="20"/>
                <w:lang w:val="en-GB"/>
              </w:rPr>
            </w:pPr>
            <w:r w:rsidRPr="00305049">
              <w:rPr>
                <w:rFonts w:eastAsia="Calibri"/>
                <w:sz w:val="20"/>
                <w:szCs w:val="20"/>
                <w:lang w:val="en-GB"/>
              </w:rPr>
              <w:t>Organisational</w:t>
            </w:r>
          </w:p>
        </w:tc>
        <w:tc>
          <w:tcPr>
            <w:tcW w:w="1170" w:type="dxa"/>
            <w:shd w:val="clear" w:color="auto" w:fill="auto"/>
          </w:tcPr>
          <w:p w14:paraId="0F1148FE" w14:textId="77777777" w:rsidR="00305049" w:rsidRPr="00305049" w:rsidRDefault="00305049" w:rsidP="00305049">
            <w:pPr>
              <w:rPr>
                <w:rFonts w:eastAsia="Calibri"/>
                <w:sz w:val="20"/>
                <w:szCs w:val="20"/>
                <w:lang w:val="en-GB"/>
              </w:rPr>
            </w:pPr>
            <w:r w:rsidRPr="00305049">
              <w:rPr>
                <w:rFonts w:eastAsia="Calibri"/>
                <w:sz w:val="20"/>
                <w:szCs w:val="20"/>
                <w:lang w:val="en-GB"/>
              </w:rPr>
              <w:t>Medium</w:t>
            </w:r>
          </w:p>
        </w:tc>
        <w:tc>
          <w:tcPr>
            <w:tcW w:w="1170" w:type="dxa"/>
            <w:shd w:val="clear" w:color="auto" w:fill="auto"/>
          </w:tcPr>
          <w:p w14:paraId="252A036E" w14:textId="77777777" w:rsidR="00305049" w:rsidRPr="00305049" w:rsidRDefault="00305049" w:rsidP="00305049">
            <w:pPr>
              <w:rPr>
                <w:rFonts w:eastAsia="Calibri"/>
                <w:sz w:val="20"/>
                <w:szCs w:val="20"/>
                <w:lang w:val="en-GB"/>
              </w:rPr>
            </w:pPr>
            <w:r w:rsidRPr="00305049">
              <w:rPr>
                <w:rFonts w:eastAsia="Calibri"/>
                <w:sz w:val="20"/>
                <w:szCs w:val="20"/>
                <w:lang w:val="en-GB"/>
              </w:rPr>
              <w:t>Medium</w:t>
            </w:r>
          </w:p>
        </w:tc>
        <w:tc>
          <w:tcPr>
            <w:tcW w:w="7110" w:type="dxa"/>
            <w:shd w:val="clear" w:color="auto" w:fill="auto"/>
          </w:tcPr>
          <w:p w14:paraId="57D24D8E" w14:textId="77777777" w:rsidR="00305049" w:rsidRPr="00305049" w:rsidRDefault="00305049" w:rsidP="00305049">
            <w:pPr>
              <w:rPr>
                <w:rFonts w:eastAsia="Calibri"/>
                <w:sz w:val="20"/>
                <w:szCs w:val="20"/>
                <w:lang w:val="en-GB"/>
              </w:rPr>
            </w:pPr>
            <w:r w:rsidRPr="00305049">
              <w:rPr>
                <w:rFonts w:eastAsia="Calibri"/>
                <w:sz w:val="20"/>
                <w:szCs w:val="20"/>
                <w:lang w:val="en-GB"/>
              </w:rPr>
              <w:t>As outlined in the background section of this document, the national executing agencies possess highly qualified scientists and resource managers experienced in matters relating to the South China Sea, the TDA/SAP formulation processes, and the implementation of on-the-ground activities. A key issue is that many of these practitioners participate in regional fora where the language used, English, is often their second or third language. Experience of the SAP formulation project indicates that this can be overcome by ensuring that meeting discussion documents are prepared well in advance and circulated to responsible individuals in the participating countries well in advance of meetings and workshops, and that concise summaries of data and the issues that decisions need to be taken on are communicated clearly to country representatives before and during meetings. Additionally, the SAP formulation project indicates that all entities are willing to share national and provincial data holdings relating to environmental issues. This is evidenced by the large volumes of national information and data shared during SAP formulation and project preparation. The extent of this willingness to share data has been extended to permission for it to be used in regional publications and in publically accessible online GIS and meta-databases.</w:t>
            </w:r>
          </w:p>
        </w:tc>
        <w:tc>
          <w:tcPr>
            <w:tcW w:w="2002" w:type="dxa"/>
            <w:shd w:val="clear" w:color="auto" w:fill="auto"/>
          </w:tcPr>
          <w:p w14:paraId="39F61C13"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Initiated during project inception period and sustained for project duration</w:t>
            </w:r>
          </w:p>
          <w:p w14:paraId="319FD66D"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 xml:space="preserve">National Inter-Ministry Committees </w:t>
            </w:r>
          </w:p>
          <w:p w14:paraId="5BF1DF0D"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Technical Working Groups</w:t>
            </w:r>
          </w:p>
          <w:p w14:paraId="6906CC30"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Regional Working Groups</w:t>
            </w:r>
          </w:p>
          <w:p w14:paraId="44D43ECE"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Regional Scientific and Technical Committee</w:t>
            </w:r>
          </w:p>
          <w:p w14:paraId="1D7A37DC"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Support from SAP-IU</w:t>
            </w:r>
          </w:p>
        </w:tc>
      </w:tr>
      <w:tr w:rsidR="00305049" w:rsidRPr="00305049" w14:paraId="78C1133B" w14:textId="77777777" w:rsidTr="00FA141D">
        <w:tc>
          <w:tcPr>
            <w:tcW w:w="1548" w:type="dxa"/>
            <w:shd w:val="clear" w:color="auto" w:fill="auto"/>
          </w:tcPr>
          <w:p w14:paraId="2C20D7A8" w14:textId="77777777" w:rsidR="00305049" w:rsidRPr="00305049" w:rsidRDefault="00305049" w:rsidP="00305049">
            <w:pPr>
              <w:rPr>
                <w:rFonts w:eastAsia="Calibri"/>
                <w:sz w:val="20"/>
                <w:szCs w:val="20"/>
                <w:lang w:val="en-GB"/>
              </w:rPr>
            </w:pPr>
            <w:r w:rsidRPr="00305049">
              <w:rPr>
                <w:rFonts w:eastAsia="Calibri"/>
                <w:sz w:val="20"/>
                <w:szCs w:val="20"/>
                <w:lang w:val="en-GB"/>
              </w:rPr>
              <w:t>Insufficient Ministerial level commitment to adopt updated management plans and enact supporting legislation</w:t>
            </w:r>
          </w:p>
        </w:tc>
        <w:tc>
          <w:tcPr>
            <w:tcW w:w="1170" w:type="dxa"/>
            <w:shd w:val="clear" w:color="auto" w:fill="auto"/>
          </w:tcPr>
          <w:p w14:paraId="02FE1AAE" w14:textId="77777777" w:rsidR="00305049" w:rsidRPr="00305049" w:rsidRDefault="00305049" w:rsidP="00305049">
            <w:pPr>
              <w:rPr>
                <w:rFonts w:eastAsia="Calibri"/>
                <w:sz w:val="20"/>
                <w:szCs w:val="20"/>
                <w:lang w:val="en-GB"/>
              </w:rPr>
            </w:pPr>
            <w:r w:rsidRPr="00305049">
              <w:rPr>
                <w:rFonts w:eastAsia="Calibri"/>
                <w:sz w:val="20"/>
                <w:szCs w:val="20"/>
                <w:lang w:val="en-GB"/>
              </w:rPr>
              <w:t>Political</w:t>
            </w:r>
          </w:p>
        </w:tc>
        <w:tc>
          <w:tcPr>
            <w:tcW w:w="1170" w:type="dxa"/>
            <w:shd w:val="clear" w:color="auto" w:fill="auto"/>
          </w:tcPr>
          <w:p w14:paraId="69524619" w14:textId="77777777" w:rsidR="00305049" w:rsidRPr="00305049" w:rsidRDefault="00305049" w:rsidP="00305049">
            <w:pPr>
              <w:rPr>
                <w:rFonts w:eastAsia="Calibri"/>
                <w:sz w:val="20"/>
                <w:szCs w:val="20"/>
                <w:lang w:val="en-GB"/>
              </w:rPr>
            </w:pPr>
            <w:r w:rsidRPr="00305049">
              <w:rPr>
                <w:rFonts w:eastAsia="Calibri"/>
                <w:sz w:val="20"/>
                <w:szCs w:val="20"/>
                <w:lang w:val="en-GB"/>
              </w:rPr>
              <w:t>High</w:t>
            </w:r>
          </w:p>
        </w:tc>
        <w:tc>
          <w:tcPr>
            <w:tcW w:w="1170" w:type="dxa"/>
            <w:shd w:val="clear" w:color="auto" w:fill="auto"/>
          </w:tcPr>
          <w:p w14:paraId="14581277" w14:textId="77777777" w:rsidR="00305049" w:rsidRPr="00305049" w:rsidRDefault="00305049" w:rsidP="00305049">
            <w:pPr>
              <w:rPr>
                <w:rFonts w:eastAsia="Calibri"/>
                <w:sz w:val="20"/>
                <w:szCs w:val="20"/>
                <w:lang w:val="en-GB"/>
              </w:rPr>
            </w:pPr>
            <w:r w:rsidRPr="00305049">
              <w:rPr>
                <w:rFonts w:eastAsia="Calibri"/>
                <w:sz w:val="20"/>
                <w:szCs w:val="20"/>
                <w:lang w:val="en-GB"/>
              </w:rPr>
              <w:t>Medium</w:t>
            </w:r>
          </w:p>
        </w:tc>
        <w:tc>
          <w:tcPr>
            <w:tcW w:w="7110" w:type="dxa"/>
            <w:shd w:val="clear" w:color="auto" w:fill="auto"/>
          </w:tcPr>
          <w:p w14:paraId="11C9207F" w14:textId="77777777" w:rsidR="00305049" w:rsidRPr="00305049" w:rsidRDefault="00305049" w:rsidP="00305049">
            <w:pPr>
              <w:rPr>
                <w:rFonts w:eastAsia="Calibri"/>
                <w:sz w:val="20"/>
                <w:szCs w:val="20"/>
                <w:lang w:val="en-GB"/>
              </w:rPr>
            </w:pPr>
            <w:r w:rsidRPr="00305049">
              <w:rPr>
                <w:rFonts w:eastAsia="Calibri"/>
                <w:sz w:val="20"/>
                <w:szCs w:val="20"/>
                <w:lang w:val="en-GB"/>
              </w:rPr>
              <w:t>In endorsing the South China Sea SAP, and the PIF for this project, the Ministries responsible for environment agreed to institute reforms for coastal and marine environmental management in the South China Sea. This commitment was confirmed during the project preparation phase and is reflected in the project strategy, results framework, and work plan. This risk will be further mitigated by the structured approach this project will follow in facilitating multi-stakeholder and multi-sector inputs to the planning of reforms. This structured approach is aimed at ensuring adequate cross-sectoral consultation to improve the understanding of the need and scope of reforms at the level of Cabinet and other higher-level government bodies. These efforts will be supported by implementation of the initiatives communications strategy, a key focus of which will be aimed at decision-makers and politicians.</w:t>
            </w:r>
          </w:p>
        </w:tc>
        <w:tc>
          <w:tcPr>
            <w:tcW w:w="2002" w:type="dxa"/>
            <w:shd w:val="clear" w:color="auto" w:fill="auto"/>
          </w:tcPr>
          <w:p w14:paraId="6BF063A1"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Initiated during project inception period and sustained for project duration</w:t>
            </w:r>
          </w:p>
          <w:p w14:paraId="002AF9E0"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Inter-Ministry Committees</w:t>
            </w:r>
          </w:p>
          <w:p w14:paraId="0BC0A686"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SAP Implementation Committee</w:t>
            </w:r>
          </w:p>
        </w:tc>
      </w:tr>
      <w:tr w:rsidR="00305049" w:rsidRPr="00305049" w14:paraId="100CFC35" w14:textId="77777777" w:rsidTr="00FA141D">
        <w:tc>
          <w:tcPr>
            <w:tcW w:w="1548" w:type="dxa"/>
            <w:shd w:val="clear" w:color="auto" w:fill="auto"/>
          </w:tcPr>
          <w:p w14:paraId="220BC1A0" w14:textId="77777777" w:rsidR="00305049" w:rsidRPr="00305049" w:rsidRDefault="00305049" w:rsidP="00305049">
            <w:pPr>
              <w:rPr>
                <w:rFonts w:eastAsia="Calibri"/>
                <w:sz w:val="20"/>
                <w:szCs w:val="20"/>
                <w:lang w:val="en-GB"/>
              </w:rPr>
            </w:pPr>
            <w:r w:rsidRPr="00305049">
              <w:rPr>
                <w:rFonts w:eastAsia="Calibri"/>
                <w:sz w:val="20"/>
                <w:szCs w:val="20"/>
                <w:lang w:val="en-GB"/>
              </w:rPr>
              <w:t>That characterization of pollution hotspots provide adequate information regarding heavy metal contaminants and threats to environmental and public health</w:t>
            </w:r>
          </w:p>
        </w:tc>
        <w:tc>
          <w:tcPr>
            <w:tcW w:w="1170" w:type="dxa"/>
            <w:shd w:val="clear" w:color="auto" w:fill="auto"/>
          </w:tcPr>
          <w:p w14:paraId="380FE3C7" w14:textId="77777777" w:rsidR="00305049" w:rsidRPr="00305049" w:rsidRDefault="00305049" w:rsidP="00305049">
            <w:pPr>
              <w:rPr>
                <w:rFonts w:eastAsia="Calibri"/>
                <w:sz w:val="20"/>
                <w:szCs w:val="20"/>
                <w:lang w:val="en-GB"/>
              </w:rPr>
            </w:pPr>
            <w:r w:rsidRPr="00305049">
              <w:rPr>
                <w:rFonts w:eastAsia="Calibri"/>
                <w:sz w:val="20"/>
                <w:szCs w:val="20"/>
                <w:lang w:val="en-GB"/>
              </w:rPr>
              <w:t>Technical</w:t>
            </w:r>
          </w:p>
        </w:tc>
        <w:tc>
          <w:tcPr>
            <w:tcW w:w="1170" w:type="dxa"/>
            <w:shd w:val="clear" w:color="auto" w:fill="auto"/>
          </w:tcPr>
          <w:p w14:paraId="54A21C2A" w14:textId="77777777" w:rsidR="00305049" w:rsidRPr="00305049" w:rsidRDefault="00305049" w:rsidP="00305049">
            <w:pPr>
              <w:rPr>
                <w:rFonts w:eastAsia="Calibri"/>
                <w:sz w:val="20"/>
                <w:szCs w:val="20"/>
                <w:lang w:val="en-GB"/>
              </w:rPr>
            </w:pPr>
            <w:r w:rsidRPr="00305049">
              <w:rPr>
                <w:rFonts w:eastAsia="Calibri"/>
                <w:sz w:val="20"/>
                <w:szCs w:val="20"/>
                <w:lang w:val="en-GB"/>
              </w:rPr>
              <w:t>Medium</w:t>
            </w:r>
          </w:p>
        </w:tc>
        <w:tc>
          <w:tcPr>
            <w:tcW w:w="1170" w:type="dxa"/>
            <w:shd w:val="clear" w:color="auto" w:fill="auto"/>
          </w:tcPr>
          <w:p w14:paraId="6A1F4D0C" w14:textId="77777777" w:rsidR="00305049" w:rsidRPr="00305049" w:rsidRDefault="00305049" w:rsidP="00305049">
            <w:pPr>
              <w:rPr>
                <w:rFonts w:eastAsia="Calibri"/>
                <w:sz w:val="20"/>
                <w:szCs w:val="20"/>
                <w:lang w:val="en-GB"/>
              </w:rPr>
            </w:pPr>
            <w:r w:rsidRPr="00305049">
              <w:rPr>
                <w:rFonts w:eastAsia="Calibri"/>
                <w:sz w:val="20"/>
                <w:szCs w:val="20"/>
                <w:lang w:val="en-GB"/>
              </w:rPr>
              <w:t>Medium</w:t>
            </w:r>
          </w:p>
        </w:tc>
        <w:tc>
          <w:tcPr>
            <w:tcW w:w="7110" w:type="dxa"/>
            <w:shd w:val="clear" w:color="auto" w:fill="auto"/>
          </w:tcPr>
          <w:p w14:paraId="4DDBC4BD" w14:textId="77777777" w:rsidR="00305049" w:rsidRPr="00305049" w:rsidRDefault="00305049" w:rsidP="00305049">
            <w:pPr>
              <w:rPr>
                <w:rFonts w:eastAsia="Calibri"/>
                <w:sz w:val="20"/>
                <w:szCs w:val="20"/>
                <w:lang w:val="en-GB"/>
              </w:rPr>
            </w:pPr>
            <w:r w:rsidRPr="00305049">
              <w:rPr>
                <w:rFonts w:eastAsia="Calibri"/>
                <w:sz w:val="20"/>
                <w:szCs w:val="20"/>
                <w:lang w:val="en-GB"/>
              </w:rPr>
              <w:t>Mechanisms established during SAP formulation for the compilation of information from pollution monitoring stations in the South China Sea will be built upon to facilitate the update of national and regional databases of land-based pollution loading information. Additionally, activities are planned to ensure that guidelines for the compilation of regionally comparable data are developed and followed by the participating countries. The foundational work to model the carrying capacity of the South China Sea with respect to nutrients will be built on to demonstrate the threats to environmental and public health under various heavy metal loading scenarios. This risk is further mitigated by the fact that a detailed framework for evaluating the impacts of land-based pollution was developed and agreed upon at the regional level during SAP formulation. This framework will be used as the basis for evaluating the impacts of heavy metal contaminants as part of this project.</w:t>
            </w:r>
          </w:p>
        </w:tc>
        <w:tc>
          <w:tcPr>
            <w:tcW w:w="2002" w:type="dxa"/>
            <w:shd w:val="clear" w:color="auto" w:fill="auto"/>
          </w:tcPr>
          <w:p w14:paraId="03175869"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Initiated during project inception</w:t>
            </w:r>
          </w:p>
          <w:p w14:paraId="31A76E24"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Technical Working Groups</w:t>
            </w:r>
          </w:p>
          <w:p w14:paraId="7F39252E"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LbP Committees</w:t>
            </w:r>
          </w:p>
          <w:p w14:paraId="4E545F34"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RWG-LbP</w:t>
            </w:r>
          </w:p>
          <w:p w14:paraId="15D533B9"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Regional Scientific and Technical Committee</w:t>
            </w:r>
          </w:p>
          <w:p w14:paraId="2F2DEDEA"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Regional technical support from the SAP-IU</w:t>
            </w:r>
          </w:p>
        </w:tc>
      </w:tr>
      <w:tr w:rsidR="00305049" w:rsidRPr="00305049" w14:paraId="119D537C" w14:textId="77777777" w:rsidTr="00FA141D">
        <w:tc>
          <w:tcPr>
            <w:tcW w:w="1548" w:type="dxa"/>
            <w:shd w:val="clear" w:color="auto" w:fill="auto"/>
          </w:tcPr>
          <w:p w14:paraId="5D343AB2" w14:textId="77777777" w:rsidR="00305049" w:rsidRPr="00305049" w:rsidRDefault="00305049" w:rsidP="00305049">
            <w:pPr>
              <w:rPr>
                <w:rFonts w:eastAsia="Calibri"/>
                <w:sz w:val="20"/>
                <w:szCs w:val="20"/>
                <w:lang w:val="en-GB"/>
              </w:rPr>
            </w:pPr>
            <w:r w:rsidRPr="00305049">
              <w:rPr>
                <w:rFonts w:eastAsia="Calibri"/>
                <w:sz w:val="20"/>
                <w:szCs w:val="20"/>
                <w:lang w:val="en-GB"/>
              </w:rPr>
              <w:t>Willingness of private sector to engage and cooperate in efforts to determine environmental impact of operations on coastal habitats and land-based pollution loadings</w:t>
            </w:r>
          </w:p>
        </w:tc>
        <w:tc>
          <w:tcPr>
            <w:tcW w:w="1170" w:type="dxa"/>
            <w:shd w:val="clear" w:color="auto" w:fill="auto"/>
          </w:tcPr>
          <w:p w14:paraId="37BC9668" w14:textId="77777777" w:rsidR="00305049" w:rsidRPr="00305049" w:rsidRDefault="00305049" w:rsidP="00305049">
            <w:pPr>
              <w:rPr>
                <w:rFonts w:eastAsia="Calibri"/>
                <w:sz w:val="20"/>
                <w:szCs w:val="20"/>
                <w:lang w:val="en-GB"/>
              </w:rPr>
            </w:pPr>
            <w:r w:rsidRPr="00305049">
              <w:rPr>
                <w:rFonts w:eastAsia="Calibri"/>
                <w:sz w:val="20"/>
                <w:szCs w:val="20"/>
                <w:lang w:val="en-GB"/>
              </w:rPr>
              <w:t>Organisational</w:t>
            </w:r>
          </w:p>
        </w:tc>
        <w:tc>
          <w:tcPr>
            <w:tcW w:w="1170" w:type="dxa"/>
            <w:shd w:val="clear" w:color="auto" w:fill="auto"/>
          </w:tcPr>
          <w:p w14:paraId="58E2E228" w14:textId="77777777" w:rsidR="00305049" w:rsidRPr="00305049" w:rsidRDefault="00305049" w:rsidP="00305049">
            <w:pPr>
              <w:rPr>
                <w:rFonts w:eastAsia="Calibri"/>
                <w:sz w:val="20"/>
                <w:szCs w:val="20"/>
                <w:lang w:val="en-GB"/>
              </w:rPr>
            </w:pPr>
            <w:r w:rsidRPr="00305049">
              <w:rPr>
                <w:rFonts w:eastAsia="Calibri"/>
                <w:sz w:val="20"/>
                <w:szCs w:val="20"/>
                <w:lang w:val="en-GB"/>
              </w:rPr>
              <w:t>Medium</w:t>
            </w:r>
          </w:p>
        </w:tc>
        <w:tc>
          <w:tcPr>
            <w:tcW w:w="1170" w:type="dxa"/>
            <w:shd w:val="clear" w:color="auto" w:fill="auto"/>
          </w:tcPr>
          <w:p w14:paraId="130AF239" w14:textId="77777777" w:rsidR="00305049" w:rsidRPr="00305049" w:rsidRDefault="00305049" w:rsidP="00305049">
            <w:pPr>
              <w:rPr>
                <w:rFonts w:eastAsia="Calibri"/>
                <w:sz w:val="20"/>
                <w:szCs w:val="20"/>
                <w:lang w:val="en-GB"/>
              </w:rPr>
            </w:pPr>
            <w:r w:rsidRPr="00305049">
              <w:rPr>
                <w:rFonts w:eastAsia="Calibri"/>
                <w:sz w:val="20"/>
                <w:szCs w:val="20"/>
                <w:lang w:val="en-GB"/>
              </w:rPr>
              <w:t>Medium</w:t>
            </w:r>
          </w:p>
        </w:tc>
        <w:tc>
          <w:tcPr>
            <w:tcW w:w="7110" w:type="dxa"/>
            <w:shd w:val="clear" w:color="auto" w:fill="auto"/>
          </w:tcPr>
          <w:p w14:paraId="25FB3872" w14:textId="77777777" w:rsidR="00305049" w:rsidRPr="00305049" w:rsidRDefault="00305049" w:rsidP="00305049">
            <w:pPr>
              <w:rPr>
                <w:rFonts w:eastAsia="Calibri"/>
                <w:sz w:val="20"/>
                <w:szCs w:val="20"/>
                <w:lang w:val="en-GB"/>
              </w:rPr>
            </w:pPr>
            <w:r w:rsidRPr="00305049">
              <w:rPr>
                <w:rFonts w:eastAsia="Calibri"/>
                <w:sz w:val="20"/>
                <w:szCs w:val="20"/>
                <w:lang w:val="en-GB"/>
              </w:rPr>
              <w:t>As noted in the background section of this Project Document, sources of land-based pollution in the South China Sea are many, including non-point and point sources. These include: domestic sources; industrial sources; port and harbour sources; agricultural sources; mining sources; and aquaculture sources.  It was recognized during project preparation that while it would be unrealistic to engage private sector entities across the multitude of the abovementioned sources, this project would focus on engaging the aquaculture sector in quantifying effluent loads from coastal aquaculture. This decision was made in large part due to the fact that other pollution sources are being addressed via other GEF financed, e.g., PEMSEA and World Bank initiatives. The decision also reflects the emerging realization among coastal aquaculture operators of the need for environmental best practice to ensure appropriate water and environmental quality to sustain the high and increasing production from their operations. Mitigating the risk of a lack of willingness of coastal aquaculture managers to engage in project activities will rely on appropriately designed and implemented communications and engagement strategies. It is planned that these strategies will be developed during project inception by the SAP Implementation Unit as a key mitigation response to this risk.</w:t>
            </w:r>
          </w:p>
        </w:tc>
        <w:tc>
          <w:tcPr>
            <w:tcW w:w="2002" w:type="dxa"/>
            <w:shd w:val="clear" w:color="auto" w:fill="auto"/>
          </w:tcPr>
          <w:p w14:paraId="31B128AF"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Initiated during project inception</w:t>
            </w:r>
          </w:p>
          <w:p w14:paraId="74728F0C"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Inter-Ministry Committees</w:t>
            </w:r>
          </w:p>
          <w:p w14:paraId="69E6B884"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LbP Committees</w:t>
            </w:r>
          </w:p>
          <w:p w14:paraId="53419537"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RWG-LbP</w:t>
            </w:r>
          </w:p>
          <w:p w14:paraId="16064316"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Regional Scientific and Technical Committee</w:t>
            </w:r>
          </w:p>
          <w:p w14:paraId="0948703F"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SAP Implementation Committee</w:t>
            </w:r>
          </w:p>
          <w:p w14:paraId="3B06DEC7"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Regional technical support from the SAP-IU</w:t>
            </w:r>
          </w:p>
        </w:tc>
      </w:tr>
      <w:tr w:rsidR="00305049" w:rsidRPr="00305049" w14:paraId="7DE3594F" w14:textId="77777777" w:rsidTr="00FA141D">
        <w:tc>
          <w:tcPr>
            <w:tcW w:w="1548" w:type="dxa"/>
            <w:shd w:val="clear" w:color="auto" w:fill="auto"/>
          </w:tcPr>
          <w:p w14:paraId="5B9871B2" w14:textId="77777777" w:rsidR="00305049" w:rsidRPr="00305049" w:rsidRDefault="00305049" w:rsidP="00305049">
            <w:pPr>
              <w:rPr>
                <w:rFonts w:eastAsia="Calibri"/>
                <w:sz w:val="20"/>
                <w:szCs w:val="20"/>
                <w:lang w:val="en-GB"/>
              </w:rPr>
            </w:pPr>
            <w:r w:rsidRPr="00305049">
              <w:rPr>
                <w:rFonts w:eastAsia="Calibri"/>
                <w:sz w:val="20"/>
                <w:szCs w:val="20"/>
                <w:lang w:val="en-GB"/>
              </w:rPr>
              <w:t>Harmonization of governance frameworks for land-based pollution management may take longer than the period of the project</w:t>
            </w:r>
          </w:p>
        </w:tc>
        <w:tc>
          <w:tcPr>
            <w:tcW w:w="1170" w:type="dxa"/>
            <w:shd w:val="clear" w:color="auto" w:fill="auto"/>
          </w:tcPr>
          <w:p w14:paraId="024E959B" w14:textId="77777777" w:rsidR="00305049" w:rsidRPr="00305049" w:rsidRDefault="00305049" w:rsidP="00305049">
            <w:pPr>
              <w:rPr>
                <w:rFonts w:eastAsia="Calibri"/>
                <w:sz w:val="20"/>
                <w:szCs w:val="20"/>
                <w:lang w:val="en-GB"/>
              </w:rPr>
            </w:pPr>
            <w:r w:rsidRPr="00305049">
              <w:rPr>
                <w:rFonts w:eastAsia="Calibri"/>
                <w:sz w:val="20"/>
                <w:szCs w:val="20"/>
                <w:lang w:val="en-GB"/>
              </w:rPr>
              <w:t xml:space="preserve">Political </w:t>
            </w:r>
          </w:p>
        </w:tc>
        <w:tc>
          <w:tcPr>
            <w:tcW w:w="1170" w:type="dxa"/>
            <w:shd w:val="clear" w:color="auto" w:fill="auto"/>
          </w:tcPr>
          <w:p w14:paraId="1BCE09EB" w14:textId="77777777" w:rsidR="00305049" w:rsidRPr="00305049" w:rsidRDefault="00305049" w:rsidP="00305049">
            <w:pPr>
              <w:rPr>
                <w:rFonts w:eastAsia="Calibri"/>
                <w:sz w:val="20"/>
                <w:szCs w:val="20"/>
                <w:lang w:val="en-GB"/>
              </w:rPr>
            </w:pPr>
            <w:r w:rsidRPr="00305049">
              <w:rPr>
                <w:rFonts w:eastAsia="Calibri"/>
                <w:sz w:val="20"/>
                <w:szCs w:val="20"/>
                <w:lang w:val="en-GB"/>
              </w:rPr>
              <w:t>High</w:t>
            </w:r>
          </w:p>
        </w:tc>
        <w:tc>
          <w:tcPr>
            <w:tcW w:w="1170" w:type="dxa"/>
            <w:shd w:val="clear" w:color="auto" w:fill="auto"/>
          </w:tcPr>
          <w:p w14:paraId="4A5F2F19" w14:textId="77777777" w:rsidR="00305049" w:rsidRPr="00305049" w:rsidRDefault="00305049" w:rsidP="00305049">
            <w:pPr>
              <w:rPr>
                <w:rFonts w:eastAsia="Calibri"/>
                <w:sz w:val="20"/>
                <w:szCs w:val="20"/>
                <w:lang w:val="en-GB"/>
              </w:rPr>
            </w:pPr>
            <w:r w:rsidRPr="00305049">
              <w:rPr>
                <w:rFonts w:eastAsia="Calibri"/>
                <w:sz w:val="20"/>
                <w:szCs w:val="20"/>
                <w:lang w:val="en-GB"/>
              </w:rPr>
              <w:t>Medium-High</w:t>
            </w:r>
          </w:p>
        </w:tc>
        <w:tc>
          <w:tcPr>
            <w:tcW w:w="7110" w:type="dxa"/>
            <w:shd w:val="clear" w:color="auto" w:fill="auto"/>
          </w:tcPr>
          <w:p w14:paraId="409EC1CD" w14:textId="77777777" w:rsidR="00305049" w:rsidRPr="00305049" w:rsidRDefault="00305049" w:rsidP="00305049">
            <w:pPr>
              <w:rPr>
                <w:rFonts w:eastAsia="Calibri"/>
                <w:sz w:val="20"/>
                <w:szCs w:val="20"/>
                <w:lang w:val="en-GB"/>
              </w:rPr>
            </w:pPr>
            <w:r w:rsidRPr="00305049">
              <w:rPr>
                <w:rFonts w:eastAsia="Calibri"/>
                <w:sz w:val="20"/>
                <w:szCs w:val="20"/>
                <w:lang w:val="en-GB"/>
              </w:rPr>
              <w:t>The GEF International Waters strategy has long recognized the timeframes involved in securing joint commitments in transboundary water resource management. Given the multitude of sources of land-based sources of pollution in one of the most intensively used shared water bodies globally, harmonizing governance frameworks is not an insignificant undertaking. This risk is high and mitigation measures include the planning of a project Year 1 activity to further define the scope of harmonization that can be reasonably expected during the 60 months of project implementation. Additionally, detailed Terms of Reference for national committees and a Regional Working Group on land-based pollution have been developed and agreed with an emphasis on facilitating the timely review of governance frameworks, formulation of recommendations, and drafting of required policy and regulatory reforms. Technical backstopping will also be provided through the Regional Working Group on Land-based Pollution, the Regional Scientific and Technical Committee, and SAP-IU.</w:t>
            </w:r>
          </w:p>
        </w:tc>
        <w:tc>
          <w:tcPr>
            <w:tcW w:w="2002" w:type="dxa"/>
            <w:shd w:val="clear" w:color="auto" w:fill="auto"/>
          </w:tcPr>
          <w:p w14:paraId="257DA8A5"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Initiated during project inception</w:t>
            </w:r>
          </w:p>
          <w:p w14:paraId="60BB8D3E"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Inter-Ministry Committees</w:t>
            </w:r>
          </w:p>
          <w:p w14:paraId="1626726C"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LbP Committees</w:t>
            </w:r>
          </w:p>
          <w:p w14:paraId="5C00461D"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RWG-LbP</w:t>
            </w:r>
          </w:p>
          <w:p w14:paraId="118EBF2C"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Regional Scientific and Technical Committee</w:t>
            </w:r>
          </w:p>
          <w:p w14:paraId="2C48BF65"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Technical Support from SAP-IU</w:t>
            </w:r>
          </w:p>
        </w:tc>
      </w:tr>
      <w:tr w:rsidR="00305049" w:rsidRPr="00305049" w14:paraId="2F0BE3CA" w14:textId="77777777" w:rsidTr="00FA141D">
        <w:tc>
          <w:tcPr>
            <w:tcW w:w="1548" w:type="dxa"/>
            <w:shd w:val="clear" w:color="auto" w:fill="auto"/>
          </w:tcPr>
          <w:p w14:paraId="15E620D1" w14:textId="77777777" w:rsidR="00305049" w:rsidRPr="00305049" w:rsidRDefault="00305049" w:rsidP="00305049">
            <w:pPr>
              <w:rPr>
                <w:rFonts w:eastAsia="Calibri"/>
                <w:sz w:val="20"/>
                <w:szCs w:val="20"/>
                <w:lang w:val="en-GB"/>
              </w:rPr>
            </w:pPr>
            <w:r w:rsidRPr="00305049">
              <w:rPr>
                <w:rFonts w:eastAsia="Calibri"/>
                <w:sz w:val="20"/>
                <w:szCs w:val="20"/>
                <w:lang w:val="en-GB"/>
              </w:rPr>
              <w:t>Availability of information and data to enable comparison of cost of action versus cost of inaction as part of land-based pollution management investment planning approach</w:t>
            </w:r>
          </w:p>
        </w:tc>
        <w:tc>
          <w:tcPr>
            <w:tcW w:w="1170" w:type="dxa"/>
            <w:shd w:val="clear" w:color="auto" w:fill="auto"/>
          </w:tcPr>
          <w:p w14:paraId="3885A1CE" w14:textId="77777777" w:rsidR="00305049" w:rsidRPr="00305049" w:rsidRDefault="00305049" w:rsidP="00305049">
            <w:pPr>
              <w:rPr>
                <w:rFonts w:eastAsia="Calibri"/>
                <w:sz w:val="20"/>
                <w:szCs w:val="20"/>
                <w:lang w:val="en-GB"/>
              </w:rPr>
            </w:pPr>
            <w:r w:rsidRPr="00305049">
              <w:rPr>
                <w:rFonts w:eastAsia="Calibri"/>
                <w:sz w:val="20"/>
                <w:szCs w:val="20"/>
                <w:lang w:val="en-GB"/>
              </w:rPr>
              <w:t>Technical</w:t>
            </w:r>
          </w:p>
        </w:tc>
        <w:tc>
          <w:tcPr>
            <w:tcW w:w="1170" w:type="dxa"/>
            <w:shd w:val="clear" w:color="auto" w:fill="auto"/>
          </w:tcPr>
          <w:p w14:paraId="799D384B" w14:textId="77777777" w:rsidR="00305049" w:rsidRPr="00305049" w:rsidRDefault="00305049" w:rsidP="00305049">
            <w:pPr>
              <w:rPr>
                <w:rFonts w:eastAsia="Calibri"/>
                <w:sz w:val="20"/>
                <w:szCs w:val="20"/>
                <w:lang w:val="en-GB"/>
              </w:rPr>
            </w:pPr>
            <w:r w:rsidRPr="00305049">
              <w:rPr>
                <w:rFonts w:eastAsia="Calibri"/>
                <w:sz w:val="20"/>
                <w:szCs w:val="20"/>
                <w:lang w:val="en-GB"/>
              </w:rPr>
              <w:t>Medium</w:t>
            </w:r>
          </w:p>
        </w:tc>
        <w:tc>
          <w:tcPr>
            <w:tcW w:w="1170" w:type="dxa"/>
            <w:shd w:val="clear" w:color="auto" w:fill="auto"/>
          </w:tcPr>
          <w:p w14:paraId="1F859AFF" w14:textId="77777777" w:rsidR="00305049" w:rsidRPr="00305049" w:rsidRDefault="00305049" w:rsidP="00305049">
            <w:pPr>
              <w:rPr>
                <w:rFonts w:eastAsia="Calibri"/>
                <w:sz w:val="20"/>
                <w:szCs w:val="20"/>
                <w:lang w:val="en-GB"/>
              </w:rPr>
            </w:pPr>
            <w:r w:rsidRPr="00305049">
              <w:rPr>
                <w:rFonts w:eastAsia="Calibri"/>
                <w:sz w:val="20"/>
                <w:szCs w:val="20"/>
                <w:lang w:val="en-GB"/>
              </w:rPr>
              <w:t>Medium</w:t>
            </w:r>
          </w:p>
        </w:tc>
        <w:tc>
          <w:tcPr>
            <w:tcW w:w="7110" w:type="dxa"/>
            <w:shd w:val="clear" w:color="auto" w:fill="auto"/>
          </w:tcPr>
          <w:p w14:paraId="6397E4F4" w14:textId="77777777" w:rsidR="00305049" w:rsidRPr="00305049" w:rsidRDefault="00305049" w:rsidP="00305049">
            <w:pPr>
              <w:rPr>
                <w:rFonts w:eastAsia="Calibri"/>
                <w:sz w:val="20"/>
                <w:szCs w:val="20"/>
                <w:lang w:val="en-GB"/>
              </w:rPr>
            </w:pPr>
            <w:r w:rsidRPr="00305049">
              <w:rPr>
                <w:rFonts w:eastAsia="Calibri"/>
                <w:sz w:val="20"/>
                <w:szCs w:val="20"/>
                <w:lang w:val="en-GB"/>
              </w:rPr>
              <w:t>This risk is mitigated by the fact that a framework for valuing the impacts of land-based pollution was developed and agreed at the regional level during SAP formulation.  This project will use this as the foundation for undertaking the economic valuation of impacts, and will draw on interlinked activities to: (1) enhance regional understanding of the carrying capacity of the South China Sea with respect to nutrients and heavy metals under various loading scenarios; and (2) improve regional economic valuation of the goods and services of the South China Seas coastal ecotones. A parallel activity to value the economic impacts of environmental degradation consequent upon shipping accidents will enable cross-fertilisation of approaches. Similar exchange in approaches will be facilitated with UNEP’s GPA-LbP. Technical backstopping will also be provided through the Regional Working Group on Land-based Pollution, the Regional Task Force on Economic Valuation, the Regional Scientific and Technical Committee, and SAP-IU.</w:t>
            </w:r>
          </w:p>
        </w:tc>
        <w:tc>
          <w:tcPr>
            <w:tcW w:w="2002" w:type="dxa"/>
            <w:shd w:val="clear" w:color="auto" w:fill="auto"/>
          </w:tcPr>
          <w:p w14:paraId="553746F2"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Initiated during project inception</w:t>
            </w:r>
          </w:p>
          <w:p w14:paraId="44A997BE"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Inter-Ministry Committees</w:t>
            </w:r>
          </w:p>
          <w:p w14:paraId="392F2818"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LbP Committees</w:t>
            </w:r>
          </w:p>
          <w:p w14:paraId="6121F2EA"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RWG-LbP</w:t>
            </w:r>
          </w:p>
          <w:p w14:paraId="6E70DECF"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Regional Scientific and Technical Committee</w:t>
            </w:r>
          </w:p>
          <w:p w14:paraId="7B20A94D"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Technical Support from SAP-IU</w:t>
            </w:r>
          </w:p>
        </w:tc>
      </w:tr>
      <w:tr w:rsidR="00305049" w:rsidRPr="00305049" w14:paraId="2ABA753B" w14:textId="77777777" w:rsidTr="00FA141D">
        <w:tc>
          <w:tcPr>
            <w:tcW w:w="1548" w:type="dxa"/>
            <w:shd w:val="clear" w:color="auto" w:fill="auto"/>
          </w:tcPr>
          <w:p w14:paraId="762E76C0" w14:textId="77777777" w:rsidR="00305049" w:rsidRPr="00305049" w:rsidRDefault="00305049" w:rsidP="00305049">
            <w:pPr>
              <w:rPr>
                <w:rFonts w:eastAsia="Calibri"/>
                <w:sz w:val="20"/>
                <w:szCs w:val="20"/>
                <w:lang w:val="en-GB"/>
              </w:rPr>
            </w:pPr>
            <w:r w:rsidRPr="00305049">
              <w:rPr>
                <w:rFonts w:eastAsia="Calibri"/>
                <w:sz w:val="20"/>
                <w:szCs w:val="20"/>
                <w:lang w:val="en-GB"/>
              </w:rPr>
              <w:t>Application of regionally consistent methodology in the collection and review of information and data for improving the economic valuation of coastal habitats</w:t>
            </w:r>
          </w:p>
        </w:tc>
        <w:tc>
          <w:tcPr>
            <w:tcW w:w="1170" w:type="dxa"/>
            <w:shd w:val="clear" w:color="auto" w:fill="auto"/>
          </w:tcPr>
          <w:p w14:paraId="6F8E90B1" w14:textId="77777777" w:rsidR="00305049" w:rsidRPr="00305049" w:rsidRDefault="00305049" w:rsidP="00305049">
            <w:pPr>
              <w:rPr>
                <w:rFonts w:eastAsia="Calibri"/>
                <w:sz w:val="20"/>
                <w:szCs w:val="20"/>
                <w:lang w:val="en-GB"/>
              </w:rPr>
            </w:pPr>
            <w:r w:rsidRPr="00305049">
              <w:rPr>
                <w:rFonts w:eastAsia="Calibri"/>
                <w:sz w:val="20"/>
                <w:szCs w:val="20"/>
                <w:lang w:val="en-GB"/>
              </w:rPr>
              <w:t>Technical</w:t>
            </w:r>
          </w:p>
        </w:tc>
        <w:tc>
          <w:tcPr>
            <w:tcW w:w="1170" w:type="dxa"/>
            <w:shd w:val="clear" w:color="auto" w:fill="auto"/>
          </w:tcPr>
          <w:p w14:paraId="4B51DAB3" w14:textId="77777777" w:rsidR="00305049" w:rsidRPr="00305049" w:rsidRDefault="00305049" w:rsidP="00305049">
            <w:pPr>
              <w:rPr>
                <w:rFonts w:eastAsia="Calibri"/>
                <w:sz w:val="20"/>
                <w:szCs w:val="20"/>
                <w:lang w:val="en-GB"/>
              </w:rPr>
            </w:pPr>
            <w:r w:rsidRPr="00305049">
              <w:rPr>
                <w:rFonts w:eastAsia="Calibri"/>
                <w:sz w:val="20"/>
                <w:szCs w:val="20"/>
                <w:lang w:val="en-GB"/>
              </w:rPr>
              <w:t>Medium</w:t>
            </w:r>
          </w:p>
        </w:tc>
        <w:tc>
          <w:tcPr>
            <w:tcW w:w="1170" w:type="dxa"/>
            <w:shd w:val="clear" w:color="auto" w:fill="auto"/>
          </w:tcPr>
          <w:p w14:paraId="1E3FDD5F" w14:textId="77777777" w:rsidR="00305049" w:rsidRPr="00305049" w:rsidRDefault="00305049" w:rsidP="00305049">
            <w:pPr>
              <w:rPr>
                <w:rFonts w:eastAsia="Calibri"/>
                <w:sz w:val="20"/>
                <w:szCs w:val="20"/>
                <w:lang w:val="en-GB"/>
              </w:rPr>
            </w:pPr>
            <w:r w:rsidRPr="00305049">
              <w:rPr>
                <w:rFonts w:eastAsia="Calibri"/>
                <w:sz w:val="20"/>
                <w:szCs w:val="20"/>
                <w:lang w:val="en-GB"/>
              </w:rPr>
              <w:t>Low-Medium</w:t>
            </w:r>
          </w:p>
        </w:tc>
        <w:tc>
          <w:tcPr>
            <w:tcW w:w="7110" w:type="dxa"/>
            <w:shd w:val="clear" w:color="auto" w:fill="auto"/>
          </w:tcPr>
          <w:p w14:paraId="131C3EE9" w14:textId="77777777" w:rsidR="00305049" w:rsidRPr="00305049" w:rsidRDefault="00305049" w:rsidP="00305049">
            <w:pPr>
              <w:rPr>
                <w:rFonts w:eastAsia="Calibri"/>
                <w:sz w:val="20"/>
                <w:szCs w:val="20"/>
                <w:lang w:val="en-GB"/>
              </w:rPr>
            </w:pPr>
            <w:r w:rsidRPr="00305049">
              <w:rPr>
                <w:rFonts w:eastAsia="Calibri"/>
                <w:sz w:val="20"/>
                <w:szCs w:val="20"/>
                <w:lang w:val="en-GB"/>
              </w:rPr>
              <w:t>This risk is mitigated by the fact that regional guidelines on the economic valuation of coastal habitats were developed during SAP formulation and agreed upon at the regional level. Additionally, a cadre of professionals within the national executing agencies for this project were trained in the field of economic valuation during SAP formulation, and the background  information and training materials used in that regional training programme remain accessible via the SCS website and have in most instances been translated into locallanguages by national governments. These guidelines will be employed by the present project to ensure regionally consistent methodology in the collection and review of information data, as well as its analysis and incorporation into regional data sets.</w:t>
            </w:r>
          </w:p>
        </w:tc>
        <w:tc>
          <w:tcPr>
            <w:tcW w:w="2002" w:type="dxa"/>
            <w:shd w:val="clear" w:color="auto" w:fill="auto"/>
          </w:tcPr>
          <w:p w14:paraId="3DA6295E"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Initiated during project inception</w:t>
            </w:r>
          </w:p>
          <w:p w14:paraId="2A8DC1E2"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Technical Working Groups</w:t>
            </w:r>
          </w:p>
          <w:p w14:paraId="1B53C090"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Committees - EV</w:t>
            </w:r>
          </w:p>
          <w:p w14:paraId="770F1665"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RTF-Economic Valuation</w:t>
            </w:r>
          </w:p>
          <w:p w14:paraId="18DB28D7"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Regional Scientific &amp; Technical Committee</w:t>
            </w:r>
          </w:p>
        </w:tc>
      </w:tr>
      <w:tr w:rsidR="00305049" w:rsidRPr="00305049" w14:paraId="171A38EF" w14:textId="77777777" w:rsidTr="00FA141D">
        <w:tc>
          <w:tcPr>
            <w:tcW w:w="1548" w:type="dxa"/>
            <w:shd w:val="clear" w:color="auto" w:fill="auto"/>
          </w:tcPr>
          <w:p w14:paraId="4E3029F4" w14:textId="77777777" w:rsidR="00305049" w:rsidRPr="00305049" w:rsidRDefault="00305049" w:rsidP="00305049">
            <w:pPr>
              <w:rPr>
                <w:rFonts w:eastAsia="Calibri"/>
                <w:sz w:val="20"/>
                <w:szCs w:val="20"/>
                <w:lang w:val="en-GB"/>
              </w:rPr>
            </w:pPr>
            <w:r w:rsidRPr="00305049">
              <w:rPr>
                <w:rFonts w:eastAsia="Calibri"/>
                <w:sz w:val="20"/>
                <w:szCs w:val="20"/>
                <w:lang w:val="en-GB"/>
              </w:rPr>
              <w:t>Sufficient Ministerial-level commitment to adopt and sign a revised Strategic Action Programme for the SCS</w:t>
            </w:r>
          </w:p>
        </w:tc>
        <w:tc>
          <w:tcPr>
            <w:tcW w:w="1170" w:type="dxa"/>
            <w:shd w:val="clear" w:color="auto" w:fill="auto"/>
          </w:tcPr>
          <w:p w14:paraId="28C66775" w14:textId="77777777" w:rsidR="00305049" w:rsidRPr="00305049" w:rsidRDefault="00305049" w:rsidP="00305049">
            <w:pPr>
              <w:rPr>
                <w:rFonts w:eastAsia="Calibri"/>
                <w:sz w:val="20"/>
                <w:szCs w:val="20"/>
                <w:lang w:val="en-GB"/>
              </w:rPr>
            </w:pPr>
            <w:r w:rsidRPr="00305049">
              <w:rPr>
                <w:rFonts w:eastAsia="Calibri"/>
                <w:sz w:val="20"/>
                <w:szCs w:val="20"/>
                <w:lang w:val="en-GB"/>
              </w:rPr>
              <w:t>Political</w:t>
            </w:r>
          </w:p>
        </w:tc>
        <w:tc>
          <w:tcPr>
            <w:tcW w:w="1170" w:type="dxa"/>
            <w:shd w:val="clear" w:color="auto" w:fill="auto"/>
          </w:tcPr>
          <w:p w14:paraId="5E7BC9F8" w14:textId="77777777" w:rsidR="00305049" w:rsidRPr="00305049" w:rsidRDefault="00305049" w:rsidP="00305049">
            <w:pPr>
              <w:rPr>
                <w:rFonts w:eastAsia="Calibri"/>
                <w:sz w:val="20"/>
                <w:szCs w:val="20"/>
                <w:lang w:val="en-GB"/>
              </w:rPr>
            </w:pPr>
            <w:r w:rsidRPr="00305049">
              <w:rPr>
                <w:rFonts w:eastAsia="Calibri"/>
                <w:sz w:val="20"/>
                <w:szCs w:val="20"/>
                <w:lang w:val="en-GB"/>
              </w:rPr>
              <w:t>High</w:t>
            </w:r>
          </w:p>
        </w:tc>
        <w:tc>
          <w:tcPr>
            <w:tcW w:w="1170" w:type="dxa"/>
            <w:shd w:val="clear" w:color="auto" w:fill="auto"/>
          </w:tcPr>
          <w:p w14:paraId="4E002076" w14:textId="77777777" w:rsidR="00305049" w:rsidRPr="00305049" w:rsidRDefault="00305049" w:rsidP="00305049">
            <w:pPr>
              <w:rPr>
                <w:rFonts w:eastAsia="Calibri"/>
                <w:sz w:val="20"/>
                <w:szCs w:val="20"/>
                <w:lang w:val="en-GB"/>
              </w:rPr>
            </w:pPr>
            <w:r w:rsidRPr="00305049">
              <w:rPr>
                <w:rFonts w:eastAsia="Calibri"/>
                <w:sz w:val="20"/>
                <w:szCs w:val="20"/>
                <w:lang w:val="en-GB"/>
              </w:rPr>
              <w:t>Low-Medium</w:t>
            </w:r>
          </w:p>
        </w:tc>
        <w:tc>
          <w:tcPr>
            <w:tcW w:w="7110" w:type="dxa"/>
            <w:shd w:val="clear" w:color="auto" w:fill="auto"/>
          </w:tcPr>
          <w:p w14:paraId="75EA21E3" w14:textId="77777777" w:rsidR="00305049" w:rsidRPr="00305049" w:rsidRDefault="00305049" w:rsidP="00305049">
            <w:pPr>
              <w:rPr>
                <w:rFonts w:eastAsia="Calibri"/>
                <w:sz w:val="20"/>
                <w:szCs w:val="20"/>
                <w:lang w:val="en-GB"/>
              </w:rPr>
            </w:pPr>
            <w:r w:rsidRPr="00305049">
              <w:rPr>
                <w:rFonts w:eastAsia="Calibri"/>
                <w:sz w:val="20"/>
                <w:szCs w:val="20"/>
                <w:lang w:val="en-GB"/>
              </w:rPr>
              <w:t>The Ministers responsible for the environment have previously formally endorsed a Strategic Action Programme for the South China Sea. A revised SAP was listed as a key outcome in the PIF for the present project, and national government commitment to implement and update the SAP was confirmed during project preparation. The risk of possibly not being able to secure the signature of the revised SAP is mitigated through inclusion of actions in the agreed Terms of Reference for the national Inter-Ministry Committees and National Focal Points for this project which direct effort towards regular communication and updating of relevant Ministers with respect to SAP revision and timelines for its finalization, adoption and signature.</w:t>
            </w:r>
          </w:p>
        </w:tc>
        <w:tc>
          <w:tcPr>
            <w:tcW w:w="2002" w:type="dxa"/>
            <w:shd w:val="clear" w:color="auto" w:fill="auto"/>
          </w:tcPr>
          <w:p w14:paraId="3222E532"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Initiated during Project Yr 2</w:t>
            </w:r>
          </w:p>
          <w:p w14:paraId="7FBF8002"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Inter-Ministerial Committees</w:t>
            </w:r>
          </w:p>
          <w:p w14:paraId="709ECC8D"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SCS SAP Implementation Committee</w:t>
            </w:r>
          </w:p>
        </w:tc>
      </w:tr>
      <w:tr w:rsidR="00305049" w:rsidRPr="00305049" w14:paraId="6FB8E105" w14:textId="77777777" w:rsidTr="00FA141D">
        <w:tc>
          <w:tcPr>
            <w:tcW w:w="1548" w:type="dxa"/>
            <w:shd w:val="clear" w:color="auto" w:fill="auto"/>
          </w:tcPr>
          <w:p w14:paraId="6406D81A" w14:textId="77777777" w:rsidR="00305049" w:rsidRPr="00305049" w:rsidRDefault="00305049" w:rsidP="00305049">
            <w:pPr>
              <w:rPr>
                <w:rFonts w:eastAsia="Calibri"/>
                <w:sz w:val="20"/>
                <w:szCs w:val="20"/>
                <w:lang w:val="en-GB"/>
              </w:rPr>
            </w:pPr>
            <w:r w:rsidRPr="00305049">
              <w:rPr>
                <w:rFonts w:eastAsia="Calibri"/>
                <w:sz w:val="20"/>
                <w:szCs w:val="20"/>
                <w:lang w:val="en-GB"/>
              </w:rPr>
              <w:t>Commitment of SEAFDEC and COBSEA to actively and constructively cooperate on identifying and sharing best practices between the fisheries refugia and SAP implementation projects</w:t>
            </w:r>
          </w:p>
        </w:tc>
        <w:tc>
          <w:tcPr>
            <w:tcW w:w="1170" w:type="dxa"/>
            <w:shd w:val="clear" w:color="auto" w:fill="auto"/>
          </w:tcPr>
          <w:p w14:paraId="759D4EE2" w14:textId="77777777" w:rsidR="00305049" w:rsidRPr="00305049" w:rsidRDefault="00305049" w:rsidP="00305049">
            <w:pPr>
              <w:rPr>
                <w:rFonts w:eastAsia="Calibri"/>
                <w:sz w:val="20"/>
                <w:szCs w:val="20"/>
                <w:lang w:val="en-GB"/>
              </w:rPr>
            </w:pPr>
            <w:r w:rsidRPr="00305049">
              <w:rPr>
                <w:rFonts w:eastAsia="Calibri"/>
                <w:sz w:val="20"/>
                <w:szCs w:val="20"/>
                <w:lang w:val="en-GB"/>
              </w:rPr>
              <w:t>Organisational</w:t>
            </w:r>
          </w:p>
        </w:tc>
        <w:tc>
          <w:tcPr>
            <w:tcW w:w="1170" w:type="dxa"/>
            <w:shd w:val="clear" w:color="auto" w:fill="auto"/>
          </w:tcPr>
          <w:p w14:paraId="2EE83475" w14:textId="77777777" w:rsidR="00305049" w:rsidRPr="00305049" w:rsidRDefault="00305049" w:rsidP="00305049">
            <w:pPr>
              <w:rPr>
                <w:rFonts w:eastAsia="Calibri"/>
                <w:sz w:val="20"/>
                <w:szCs w:val="20"/>
                <w:lang w:val="en-GB"/>
              </w:rPr>
            </w:pPr>
            <w:r w:rsidRPr="00305049">
              <w:rPr>
                <w:rFonts w:eastAsia="Calibri"/>
                <w:sz w:val="20"/>
                <w:szCs w:val="20"/>
                <w:lang w:val="en-GB"/>
              </w:rPr>
              <w:t>Medium</w:t>
            </w:r>
          </w:p>
        </w:tc>
        <w:tc>
          <w:tcPr>
            <w:tcW w:w="1170" w:type="dxa"/>
            <w:shd w:val="clear" w:color="auto" w:fill="auto"/>
          </w:tcPr>
          <w:p w14:paraId="1D3125D4" w14:textId="77777777" w:rsidR="00305049" w:rsidRPr="00305049" w:rsidRDefault="00305049" w:rsidP="00305049">
            <w:pPr>
              <w:rPr>
                <w:rFonts w:eastAsia="Calibri"/>
                <w:sz w:val="20"/>
                <w:szCs w:val="20"/>
                <w:lang w:val="en-GB"/>
              </w:rPr>
            </w:pPr>
            <w:r w:rsidRPr="00305049">
              <w:rPr>
                <w:rFonts w:eastAsia="Calibri"/>
                <w:sz w:val="20"/>
                <w:szCs w:val="20"/>
                <w:lang w:val="en-GB"/>
              </w:rPr>
              <w:t>Low</w:t>
            </w:r>
          </w:p>
        </w:tc>
        <w:tc>
          <w:tcPr>
            <w:tcW w:w="7110" w:type="dxa"/>
            <w:shd w:val="clear" w:color="auto" w:fill="auto"/>
          </w:tcPr>
          <w:p w14:paraId="0184E7C6" w14:textId="77777777" w:rsidR="00305049" w:rsidRPr="00305049" w:rsidRDefault="00305049" w:rsidP="00305049">
            <w:pPr>
              <w:rPr>
                <w:rFonts w:eastAsia="Calibri"/>
                <w:sz w:val="20"/>
                <w:szCs w:val="20"/>
                <w:lang w:val="en-GB"/>
              </w:rPr>
            </w:pPr>
            <w:r w:rsidRPr="00305049">
              <w:rPr>
                <w:rFonts w:eastAsia="Calibri"/>
                <w:sz w:val="20"/>
                <w:szCs w:val="20"/>
                <w:lang w:val="en-GB"/>
              </w:rPr>
              <w:t xml:space="preserve">This risk is mitigated by the fact that UNEP is the implementing agency for both projects and sits on the Project Steering Committees for both initiatives. This mechanism will be used to ensure that that experiences and lessons learned are shared between both projects and that best practices generated by the SEAFDEC-UNEP-GEF fisheries refugia project are incorporated in the revised SAP and supporting National Action Plans where appropriate. The extent of exchange to be achieved depends on the dates of endorsement of the present project. The fisheries </w:t>
            </w:r>
            <w:r w:rsidRPr="00305049">
              <w:rPr>
                <w:rFonts w:eastAsia="Calibri"/>
                <w:i/>
                <w:sz w:val="20"/>
                <w:szCs w:val="20"/>
                <w:lang w:val="en-GB"/>
              </w:rPr>
              <w:t>refugia</w:t>
            </w:r>
            <w:r w:rsidRPr="00305049">
              <w:rPr>
                <w:rFonts w:eastAsia="Calibri"/>
                <w:sz w:val="20"/>
                <w:szCs w:val="20"/>
                <w:lang w:val="en-GB"/>
              </w:rPr>
              <w:t xml:space="preserve"> project, a 4 year initiative entered its inception phase in Quarter 2 of 2016 and will be concluded during the first half of 2020. In contrast, this project if endorsed in 2016 will likely not close until 2022. Accordingly, to ensure that lessons from the fisheries refugia initiative are not lost, the Terms of Reference for both the Regional Scientific and Technical Committee and the SCS SAP Implementation Unit include actions relating to the capture and regional sharing of lessons learned and best practices emanating from the fisheries refugia project.</w:t>
            </w:r>
          </w:p>
        </w:tc>
        <w:tc>
          <w:tcPr>
            <w:tcW w:w="2002" w:type="dxa"/>
            <w:shd w:val="clear" w:color="auto" w:fill="auto"/>
          </w:tcPr>
          <w:p w14:paraId="62BC3B6B"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Initiated during project inception</w:t>
            </w:r>
          </w:p>
          <w:p w14:paraId="6A406351"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National Inter-Ministry Committees</w:t>
            </w:r>
          </w:p>
          <w:p w14:paraId="432F11DD"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Regional Scientific and Technical Committee</w:t>
            </w:r>
          </w:p>
          <w:p w14:paraId="7FCD134A"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SCS SAP Implementation Committee</w:t>
            </w:r>
          </w:p>
          <w:p w14:paraId="7969ED13" w14:textId="77777777" w:rsidR="00305049" w:rsidRPr="00305049" w:rsidRDefault="00305049" w:rsidP="00305049">
            <w:pPr>
              <w:numPr>
                <w:ilvl w:val="0"/>
                <w:numId w:val="58"/>
              </w:numPr>
              <w:ind w:left="216" w:hanging="216"/>
              <w:rPr>
                <w:rFonts w:eastAsia="Calibri"/>
                <w:sz w:val="20"/>
                <w:szCs w:val="20"/>
                <w:lang w:val="en-GB"/>
              </w:rPr>
            </w:pPr>
            <w:r w:rsidRPr="00305049">
              <w:rPr>
                <w:rFonts w:eastAsia="Calibri"/>
                <w:sz w:val="20"/>
                <w:szCs w:val="20"/>
                <w:lang w:val="en-GB"/>
              </w:rPr>
              <w:t>Coordination support by SCS SAP-IU</w:t>
            </w:r>
          </w:p>
        </w:tc>
      </w:tr>
    </w:tbl>
    <w:p w14:paraId="229D650B" w14:textId="77777777" w:rsidR="00457325" w:rsidRDefault="00457325" w:rsidP="00256953">
      <w:pPr>
        <w:spacing w:after="120"/>
        <w:jc w:val="both"/>
        <w:rPr>
          <w:sz w:val="22"/>
          <w:szCs w:val="22"/>
          <w:lang w:val="en-GB"/>
        </w:rPr>
        <w:sectPr w:rsidR="00457325" w:rsidSect="00064925">
          <w:pgSz w:w="15840" w:h="12240" w:orient="landscape" w:code="1"/>
          <w:pgMar w:top="1584" w:right="1440" w:bottom="1584" w:left="1440" w:header="706" w:footer="706" w:gutter="0"/>
          <w:cols w:space="708"/>
          <w:docGrid w:linePitch="360"/>
        </w:sectPr>
      </w:pPr>
    </w:p>
    <w:p w14:paraId="0B3A23F3" w14:textId="77777777" w:rsidR="00457325" w:rsidRDefault="00457325" w:rsidP="00256953">
      <w:pPr>
        <w:spacing w:after="120"/>
        <w:jc w:val="both"/>
        <w:rPr>
          <w:sz w:val="22"/>
          <w:szCs w:val="22"/>
          <w:lang w:val="en-GB"/>
        </w:rPr>
      </w:pPr>
    </w:p>
    <w:p w14:paraId="5081E9A8" w14:textId="77777777" w:rsidR="00F07F81" w:rsidRDefault="00F07F81" w:rsidP="004B053A">
      <w:pPr>
        <w:numPr>
          <w:ilvl w:val="1"/>
          <w:numId w:val="4"/>
        </w:numPr>
        <w:spacing w:after="120"/>
        <w:outlineLvl w:val="1"/>
        <w:rPr>
          <w:b/>
          <w:sz w:val="22"/>
          <w:szCs w:val="22"/>
          <w:lang w:val="en-GB"/>
        </w:rPr>
      </w:pPr>
      <w:bookmarkStart w:id="87" w:name="_Toc209432654"/>
      <w:r>
        <w:rPr>
          <w:b/>
          <w:sz w:val="22"/>
          <w:szCs w:val="22"/>
          <w:lang w:val="en-GB"/>
        </w:rPr>
        <w:t>Consistency with national priorities or plans</w:t>
      </w:r>
      <w:bookmarkEnd w:id="87"/>
    </w:p>
    <w:p w14:paraId="22EDBDB5" w14:textId="77777777" w:rsidR="00F07F81" w:rsidRDefault="003E7723" w:rsidP="004C0559">
      <w:pPr>
        <w:numPr>
          <w:ilvl w:val="0"/>
          <w:numId w:val="3"/>
        </w:numPr>
        <w:spacing w:after="120"/>
        <w:ind w:left="0" w:firstLine="0"/>
        <w:jc w:val="both"/>
        <w:outlineLvl w:val="1"/>
        <w:rPr>
          <w:sz w:val="22"/>
          <w:szCs w:val="22"/>
          <w:lang w:val="en-GB"/>
        </w:rPr>
      </w:pPr>
      <w:r>
        <w:rPr>
          <w:sz w:val="22"/>
          <w:szCs w:val="22"/>
          <w:lang w:val="en-GB"/>
        </w:rPr>
        <w:t xml:space="preserve">All countries have developed and adopted National Action Plans (NAPs) for habitats and land-based pollution, indeed the targets and priority actions outlined in the Strategic Action Programme were based on these. </w:t>
      </w:r>
      <w:r w:rsidRPr="003E7723">
        <w:rPr>
          <w:sz w:val="22"/>
          <w:szCs w:val="22"/>
          <w:lang w:val="en-GB"/>
        </w:rPr>
        <w:t>In Cambodia, the NAP</w:t>
      </w:r>
      <w:r>
        <w:rPr>
          <w:sz w:val="22"/>
          <w:szCs w:val="22"/>
          <w:lang w:val="en-GB"/>
        </w:rPr>
        <w:t xml:space="preserve">s focus </w:t>
      </w:r>
      <w:r w:rsidRPr="003E7723">
        <w:rPr>
          <w:sz w:val="22"/>
          <w:szCs w:val="22"/>
          <w:lang w:val="en-GB"/>
        </w:rPr>
        <w:t xml:space="preserve">on the provision of guidance for the sustainable use of coastal resources. Decentralisation of responsibilities to the four coastal provinces in implementing projects for environment and resource management, including Integrated Coastal Management (ICM) and community-based management, have followed good practices </w:t>
      </w:r>
      <w:r>
        <w:rPr>
          <w:sz w:val="22"/>
          <w:szCs w:val="22"/>
          <w:lang w:val="en-GB"/>
        </w:rPr>
        <w:t xml:space="preserve">established in the SCS project. </w:t>
      </w:r>
      <w:r w:rsidRPr="003E7723">
        <w:rPr>
          <w:sz w:val="22"/>
          <w:szCs w:val="22"/>
          <w:lang w:val="en-GB"/>
        </w:rPr>
        <w:t xml:space="preserve">NAPs </w:t>
      </w:r>
      <w:r>
        <w:rPr>
          <w:sz w:val="22"/>
          <w:szCs w:val="22"/>
          <w:lang w:val="en-GB"/>
        </w:rPr>
        <w:t>were also completed</w:t>
      </w:r>
      <w:r w:rsidRPr="003E7723">
        <w:rPr>
          <w:sz w:val="22"/>
          <w:szCs w:val="22"/>
          <w:lang w:val="en-GB"/>
        </w:rPr>
        <w:t xml:space="preserve"> and adopted</w:t>
      </w:r>
      <w:r>
        <w:rPr>
          <w:sz w:val="22"/>
          <w:szCs w:val="22"/>
          <w:lang w:val="en-GB"/>
        </w:rPr>
        <w:t xml:space="preserve"> in China.</w:t>
      </w:r>
    </w:p>
    <w:p w14:paraId="15937CE8" w14:textId="77777777" w:rsidR="0014281A" w:rsidRDefault="003E7723" w:rsidP="004C0559">
      <w:pPr>
        <w:numPr>
          <w:ilvl w:val="0"/>
          <w:numId w:val="3"/>
        </w:numPr>
        <w:spacing w:after="120"/>
        <w:ind w:left="0" w:firstLine="0"/>
        <w:jc w:val="both"/>
        <w:outlineLvl w:val="1"/>
        <w:rPr>
          <w:iCs/>
          <w:sz w:val="22"/>
          <w:szCs w:val="22"/>
        </w:rPr>
      </w:pPr>
      <w:r w:rsidRPr="003E7723">
        <w:rPr>
          <w:sz w:val="22"/>
          <w:szCs w:val="22"/>
          <w:lang w:val="en-GB"/>
        </w:rPr>
        <w:t xml:space="preserve">In Indonesia, coastal habitat NAPs </w:t>
      </w:r>
      <w:r>
        <w:rPr>
          <w:sz w:val="22"/>
          <w:szCs w:val="22"/>
          <w:lang w:val="en-GB"/>
        </w:rPr>
        <w:t>were developed with</w:t>
      </w:r>
      <w:r w:rsidRPr="003E7723">
        <w:rPr>
          <w:sz w:val="22"/>
          <w:szCs w:val="22"/>
          <w:lang w:val="en-GB"/>
        </w:rPr>
        <w:t xml:space="preserve"> recommended actions incorporated into government strategic planning and recurrent budgets.</w:t>
      </w:r>
      <w:r w:rsidR="0014281A" w:rsidRPr="0014281A">
        <w:rPr>
          <w:rFonts w:cs="Angsana New"/>
          <w:iCs/>
          <w:lang w:val="en-GB" w:bidi="th-TH"/>
        </w:rPr>
        <w:t xml:space="preserve"> </w:t>
      </w:r>
      <w:r w:rsidR="0014281A" w:rsidRPr="0014281A">
        <w:rPr>
          <w:iCs/>
          <w:sz w:val="22"/>
          <w:szCs w:val="22"/>
          <w:lang w:val="en-GB"/>
        </w:rPr>
        <w:t>The Philippines finali</w:t>
      </w:r>
      <w:r w:rsidR="0014281A">
        <w:rPr>
          <w:iCs/>
          <w:sz w:val="22"/>
          <w:szCs w:val="22"/>
          <w:lang w:val="en-GB"/>
        </w:rPr>
        <w:t xml:space="preserve">sed NAPs for all components with the view that </w:t>
      </w:r>
      <w:r w:rsidR="0014281A" w:rsidRPr="0014281A">
        <w:rPr>
          <w:iCs/>
          <w:sz w:val="22"/>
          <w:szCs w:val="22"/>
          <w:lang w:val="en-GB"/>
        </w:rPr>
        <w:t>coastal and marine management in the Philippines would follow the multi-disciplinary and ecosystem-based approaches to coastal habitat management promoted in the NAP</w:t>
      </w:r>
      <w:r w:rsidR="0014281A">
        <w:rPr>
          <w:iCs/>
          <w:sz w:val="22"/>
          <w:szCs w:val="22"/>
          <w:lang w:val="en-GB"/>
        </w:rPr>
        <w:t xml:space="preserve">s. </w:t>
      </w:r>
      <w:r w:rsidR="0014281A" w:rsidRPr="0014281A">
        <w:rPr>
          <w:iCs/>
          <w:sz w:val="22"/>
          <w:szCs w:val="22"/>
        </w:rPr>
        <w:t xml:space="preserve">In </w:t>
      </w:r>
      <w:smartTag w:uri="urn:schemas-microsoft-com:office:smarttags" w:element="place">
        <w:smartTag w:uri="urn:schemas-microsoft-com:office:smarttags" w:element="country-region">
          <w:r w:rsidR="0014281A" w:rsidRPr="0014281A">
            <w:rPr>
              <w:iCs/>
              <w:sz w:val="22"/>
              <w:szCs w:val="22"/>
            </w:rPr>
            <w:t>Thailand</w:t>
          </w:r>
        </w:smartTag>
      </w:smartTag>
      <w:r w:rsidR="0014281A" w:rsidRPr="0014281A">
        <w:rPr>
          <w:iCs/>
          <w:sz w:val="22"/>
          <w:szCs w:val="22"/>
        </w:rPr>
        <w:t xml:space="preserve">, the NAP components were combined with the National Biodiversity Strategy and Action Plan approved by the Cabinet. Priority sites have been identified by the national consultation for implementing the habitat NAPs focussing on: the protection of biodiversity, enhancement of sustainable use, mitigation of threats, public awareness and the promotion of international cooperation. </w:t>
      </w:r>
    </w:p>
    <w:p w14:paraId="562B93F1" w14:textId="77777777" w:rsidR="003E7723" w:rsidRPr="0014281A" w:rsidRDefault="0014281A" w:rsidP="004C0559">
      <w:pPr>
        <w:numPr>
          <w:ilvl w:val="0"/>
          <w:numId w:val="3"/>
        </w:numPr>
        <w:spacing w:after="120"/>
        <w:ind w:left="0" w:firstLine="0"/>
        <w:jc w:val="both"/>
        <w:outlineLvl w:val="1"/>
        <w:rPr>
          <w:iCs/>
          <w:sz w:val="22"/>
          <w:szCs w:val="22"/>
        </w:rPr>
      </w:pPr>
      <w:r w:rsidRPr="0014281A">
        <w:rPr>
          <w:iCs/>
          <w:sz w:val="22"/>
          <w:szCs w:val="22"/>
        </w:rPr>
        <w:t>In Viet Nam, NAPs for all components were developed. The priorities identified in these NAPs have, to some extent, been integrated into national policy and programmes. For example, the programme for vulnerability assessment of coastal resources and environment and the government programme regarding international co-operation on marine issues are also in the draft Biodiversity Law. A further important step was the establishment of the Viet Nam Administration of Seas and Islands that contributes to NAP implementation.</w:t>
      </w:r>
    </w:p>
    <w:p w14:paraId="60D75F36" w14:textId="77777777" w:rsidR="00F07F81" w:rsidRDefault="00F07F81" w:rsidP="004B053A">
      <w:pPr>
        <w:numPr>
          <w:ilvl w:val="1"/>
          <w:numId w:val="4"/>
        </w:numPr>
        <w:spacing w:after="120"/>
        <w:outlineLvl w:val="1"/>
        <w:rPr>
          <w:b/>
          <w:sz w:val="22"/>
          <w:szCs w:val="22"/>
          <w:lang w:val="en-GB"/>
        </w:rPr>
      </w:pPr>
      <w:bookmarkStart w:id="88" w:name="_Toc209432656"/>
      <w:r>
        <w:rPr>
          <w:b/>
          <w:sz w:val="22"/>
          <w:szCs w:val="22"/>
          <w:lang w:val="en-GB"/>
        </w:rPr>
        <w:t>Incremental cost reasoning</w:t>
      </w:r>
      <w:bookmarkEnd w:id="88"/>
    </w:p>
    <w:p w14:paraId="416C9294" w14:textId="77777777" w:rsidR="00766A22" w:rsidRDefault="00766A22" w:rsidP="004B053A">
      <w:pPr>
        <w:numPr>
          <w:ilvl w:val="2"/>
          <w:numId w:val="4"/>
        </w:numPr>
        <w:spacing w:after="120"/>
        <w:outlineLvl w:val="1"/>
        <w:rPr>
          <w:b/>
          <w:sz w:val="22"/>
          <w:szCs w:val="22"/>
          <w:lang w:val="en-GB"/>
        </w:rPr>
      </w:pPr>
      <w:r>
        <w:rPr>
          <w:b/>
          <w:sz w:val="22"/>
          <w:szCs w:val="22"/>
          <w:lang w:val="en-GB"/>
        </w:rPr>
        <w:t>Baseline</w:t>
      </w:r>
    </w:p>
    <w:p w14:paraId="7D400A2F" w14:textId="77777777" w:rsidR="00F07F81" w:rsidRDefault="00766A22" w:rsidP="00766A22">
      <w:pPr>
        <w:numPr>
          <w:ilvl w:val="0"/>
          <w:numId w:val="3"/>
        </w:numPr>
        <w:spacing w:after="120"/>
        <w:ind w:left="0" w:firstLine="0"/>
        <w:jc w:val="both"/>
        <w:rPr>
          <w:sz w:val="22"/>
          <w:szCs w:val="22"/>
          <w:lang w:val="en-GB"/>
        </w:rPr>
      </w:pPr>
      <w:r w:rsidRPr="00766A22">
        <w:rPr>
          <w:sz w:val="22"/>
          <w:szCs w:val="22"/>
          <w:lang w:val="en-GB"/>
        </w:rPr>
        <w:t>The South China Sea is a strategic body of water surrounded by nations that are currently at the helm of industrialization and rapid economic growth in the Asia-Pacific region. Bordered by the People’s Republic of China to the north, the Republic of the Philippines to the east; Malaysia, the Republic of Singapore, the Republic of Indonesia and the Sultanate of Brunei Darussalam to the south, and the Kingdoms of Thailand and Cambodia, and the Socialist Republic of Viet Nam to the west, the South China Sea has always been central to issues of economic and political stability in Southeast Asia and adjacent regions. Today, it is central to defining environmental sustainability and food security for its coastal nations. The coastal sub-regions of these nations are home to 270 000 000 people or 5% of the world’s population. A</w:t>
      </w:r>
      <w:r>
        <w:rPr>
          <w:sz w:val="22"/>
          <w:szCs w:val="22"/>
          <w:lang w:val="en-GB"/>
        </w:rPr>
        <w:t>bout 122 major rivers drain 2.5</w:t>
      </w:r>
      <w:r w:rsidRPr="00766A22">
        <w:rPr>
          <w:sz w:val="22"/>
          <w:szCs w:val="22"/>
          <w:lang w:val="en-GB"/>
        </w:rPr>
        <w:t>*10</w:t>
      </w:r>
      <w:r w:rsidRPr="00766A22">
        <w:rPr>
          <w:sz w:val="22"/>
          <w:szCs w:val="22"/>
          <w:vertAlign w:val="superscript"/>
          <w:lang w:val="en-GB"/>
        </w:rPr>
        <w:t>6</w:t>
      </w:r>
      <w:r w:rsidRPr="00766A22">
        <w:rPr>
          <w:sz w:val="22"/>
          <w:szCs w:val="22"/>
          <w:lang w:val="en-GB"/>
        </w:rPr>
        <w:t xml:space="preserve"> km</w:t>
      </w:r>
      <w:r w:rsidRPr="00766A22">
        <w:rPr>
          <w:sz w:val="22"/>
          <w:szCs w:val="22"/>
          <w:vertAlign w:val="superscript"/>
          <w:lang w:val="en-GB"/>
        </w:rPr>
        <w:t>2</w:t>
      </w:r>
      <w:r w:rsidRPr="00766A22">
        <w:rPr>
          <w:sz w:val="22"/>
          <w:szCs w:val="22"/>
          <w:lang w:val="en-GB"/>
        </w:rPr>
        <w:t xml:space="preserve"> of catchments and deliver materials, including suspended sediments, nutrients and pollutants, to the South China Sea.</w:t>
      </w:r>
    </w:p>
    <w:p w14:paraId="1CD3A5C9" w14:textId="77777777" w:rsidR="00766A22" w:rsidRPr="00766A22" w:rsidRDefault="00766A22" w:rsidP="00766A22">
      <w:pPr>
        <w:numPr>
          <w:ilvl w:val="0"/>
          <w:numId w:val="3"/>
        </w:numPr>
        <w:spacing w:after="120"/>
        <w:ind w:left="0" w:firstLine="0"/>
        <w:jc w:val="both"/>
        <w:rPr>
          <w:sz w:val="22"/>
          <w:szCs w:val="22"/>
        </w:rPr>
      </w:pPr>
      <w:r w:rsidRPr="00766A22">
        <w:rPr>
          <w:sz w:val="22"/>
          <w:szCs w:val="22"/>
        </w:rPr>
        <w:t xml:space="preserve">The Indo-West Pacific marine biogeographic province has long been recognized as the global centre of marine tropical biodiversity. Forty-five mangrove species out of a global total of 51; 50 of 70 coral genera); 20 of 50 seagrass species; and 7 of 9 giant clam species are found in the nearshore areas of the South China Sea. Compared to the Atlantic, the tropical Indo- West Pacific is highly diverse. Only 5 mangrove species and some 35 coral species are found in the Atlantic compared with the 45 mangrove species and 450 coral species recorded from the South China Sea. Like most tropical coastlines worldwide, the dominant coastal ecosystems of the South China Sea marine basin are mangroves, coral reefs and seagrass meadows. Significant other coastal ecosystems include coastal lagoons, a common coastal landform in Viet Nam, and extensive inter-tidal unvegetated mudflats that are found in many places around the South China Sea. </w:t>
      </w:r>
    </w:p>
    <w:p w14:paraId="7E8BDB78" w14:textId="77777777" w:rsidR="00766A22" w:rsidRDefault="00766A22" w:rsidP="00766A22">
      <w:pPr>
        <w:numPr>
          <w:ilvl w:val="0"/>
          <w:numId w:val="3"/>
        </w:numPr>
        <w:spacing w:after="120"/>
        <w:ind w:left="0" w:firstLine="0"/>
        <w:jc w:val="both"/>
        <w:rPr>
          <w:sz w:val="22"/>
          <w:szCs w:val="22"/>
          <w:lang w:val="en-GB"/>
        </w:rPr>
      </w:pPr>
      <w:r w:rsidRPr="00766A22">
        <w:rPr>
          <w:sz w:val="22"/>
          <w:szCs w:val="22"/>
          <w:lang w:val="en-GB"/>
        </w:rPr>
        <w:t xml:space="preserve">Although action aimed at reducing the rate of loss of coastal habitats has been implemented by countries bordering the South China Sea, the decadal rate of loss of such habitats remains high, e.g., seagrass beds (30 percent), mangroves (16 percent, and coral reefs (16 percent). This high and continued decline in the total area of habitat and associated biodiversity has raised serious concerns for the long-term sustainability of fisheries and coastal and marine ecosystems. Socio-economically, culturally and aesthetically, the South China Sea (SCS), the Gulf of Thailand (GoT) and regional river basins and bays form part of the common heritage of the people of the Southeast Asian region.  The region’s expanding population relies on the SCS for nutrition, recreation and economic pursuits (e.g., tourism), energy (e.g., oil and gas), aquaculture, pharmaceuticals, ornamental fish trade, construction materials and ports and shipping.  </w:t>
      </w:r>
    </w:p>
    <w:p w14:paraId="566F876C" w14:textId="77777777" w:rsidR="00766A22" w:rsidRPr="00766A22" w:rsidRDefault="00766A22" w:rsidP="00766A22">
      <w:pPr>
        <w:numPr>
          <w:ilvl w:val="0"/>
          <w:numId w:val="3"/>
        </w:numPr>
        <w:spacing w:after="120"/>
        <w:ind w:left="0" w:firstLine="0"/>
        <w:jc w:val="both"/>
        <w:rPr>
          <w:sz w:val="22"/>
          <w:szCs w:val="22"/>
          <w:lang w:val="en-GB"/>
        </w:rPr>
      </w:pPr>
      <w:r w:rsidRPr="00766A22">
        <w:rPr>
          <w:sz w:val="22"/>
          <w:szCs w:val="22"/>
        </w:rPr>
        <w:t>This degradation and loss of habitats is a result of a multitude of persistent and emerging threats that were evaluated by the SCS project and described above. Of particular note are the contemporary causes of the loss of mangrove that include: reclamation and infrastructure development; pollution from shrimp farming; conversion to industrial uses; and charcoal production. The physical removal of mangrove associated with the construction of ponds for shrimp culture is currently not the dominant threat that it had been during previous decades. Overfishing and the use of destructive fishing gears such as push nets and trawls have been confirmed as the dominant threats to coral reefs and seagrass. The Strategic Action Programme for the South China outlines an agreed common vision on priority locations and approaches for future habitat management actions. It is imperative that commitment to implement the SAP be sustained. The national and local capacity built and the vast repositories of management information created by the SCS project provide a solid foundation for SAP implementation, future planning, and monitoring and evaluation of management interventions</w:t>
      </w:r>
      <w:r>
        <w:rPr>
          <w:sz w:val="22"/>
          <w:szCs w:val="22"/>
        </w:rPr>
        <w:t>.</w:t>
      </w:r>
    </w:p>
    <w:p w14:paraId="0FAB2BC1" w14:textId="77777777" w:rsidR="00766A22" w:rsidRPr="00766A22" w:rsidRDefault="00766A22" w:rsidP="004B053A">
      <w:pPr>
        <w:numPr>
          <w:ilvl w:val="2"/>
          <w:numId w:val="4"/>
        </w:numPr>
        <w:spacing w:after="120"/>
        <w:outlineLvl w:val="1"/>
        <w:rPr>
          <w:b/>
          <w:sz w:val="22"/>
          <w:szCs w:val="22"/>
          <w:lang w:val="en-GB"/>
        </w:rPr>
      </w:pPr>
      <w:r>
        <w:rPr>
          <w:b/>
          <w:sz w:val="22"/>
          <w:szCs w:val="22"/>
          <w:lang w:val="en-GB"/>
        </w:rPr>
        <w:t>Business-as-usual scenario</w:t>
      </w:r>
    </w:p>
    <w:p w14:paraId="34BA45B5" w14:textId="77777777" w:rsidR="00766A22" w:rsidRDefault="00766A22" w:rsidP="00766A22">
      <w:pPr>
        <w:numPr>
          <w:ilvl w:val="0"/>
          <w:numId w:val="3"/>
        </w:numPr>
        <w:spacing w:after="120"/>
        <w:ind w:left="0" w:firstLine="0"/>
        <w:jc w:val="both"/>
        <w:rPr>
          <w:sz w:val="22"/>
          <w:szCs w:val="22"/>
          <w:lang w:val="en-GB"/>
        </w:rPr>
      </w:pPr>
      <w:r w:rsidRPr="00766A22">
        <w:rPr>
          <w:sz w:val="22"/>
          <w:szCs w:val="22"/>
          <w:lang w:val="en-GB"/>
        </w:rPr>
        <w:t>The environment of the South China Sea continues to degrade despite actions taken at the national, sub-regional and regional levels. Part of the problem stems from the transboundary marine problems in the region and their impact on the ecosystems and resources of the South China Sea. This provides the ecological impetus for co-operation that is also based on the fact that the region is a large marine ecosystem with intrinsic integrity and inter-connections between all trophic levels. Fish and other migratory species do not recognise national boundaries, and the loss of endangered species in one area has not only regional but global significance. Due to the inherent conflict between the boundaries of the ecological system and man-made, national boundaries, cooperative approaches must be embraced to meet the challenges to managing and sustainably using the shared ecological system. It is unlikely that, without concerted and sustained action to implement the SAP, the degradation of the coastal and marine environment of the South China Sea will continue and most likely accelerate as population pressures and demands on coastal resources grow</w:t>
      </w:r>
      <w:r>
        <w:rPr>
          <w:sz w:val="22"/>
          <w:szCs w:val="22"/>
          <w:lang w:val="en-GB"/>
        </w:rPr>
        <w:t>.</w:t>
      </w:r>
    </w:p>
    <w:p w14:paraId="69110C3D" w14:textId="77777777" w:rsidR="00766A22" w:rsidRPr="00766A22" w:rsidRDefault="00766A22" w:rsidP="004B053A">
      <w:pPr>
        <w:numPr>
          <w:ilvl w:val="2"/>
          <w:numId w:val="4"/>
        </w:numPr>
        <w:spacing w:after="120"/>
        <w:outlineLvl w:val="1"/>
        <w:rPr>
          <w:b/>
          <w:sz w:val="22"/>
          <w:szCs w:val="22"/>
          <w:lang w:val="en-GB"/>
        </w:rPr>
      </w:pPr>
      <w:r>
        <w:rPr>
          <w:b/>
          <w:sz w:val="22"/>
          <w:szCs w:val="22"/>
          <w:lang w:val="en-GB"/>
        </w:rPr>
        <w:t>Incremental reasoning</w:t>
      </w:r>
    </w:p>
    <w:p w14:paraId="4E0F780B" w14:textId="77777777" w:rsidR="00766A22" w:rsidRDefault="00766A22" w:rsidP="00766A22">
      <w:pPr>
        <w:numPr>
          <w:ilvl w:val="0"/>
          <w:numId w:val="3"/>
        </w:numPr>
        <w:spacing w:after="120"/>
        <w:ind w:left="0" w:firstLine="0"/>
        <w:jc w:val="both"/>
        <w:rPr>
          <w:sz w:val="22"/>
          <w:szCs w:val="22"/>
          <w:lang w:val="en-GB"/>
        </w:rPr>
      </w:pPr>
      <w:r w:rsidRPr="00766A22">
        <w:rPr>
          <w:sz w:val="22"/>
          <w:szCs w:val="22"/>
          <w:lang w:val="en-GB"/>
        </w:rPr>
        <w:t>Implementation of the Strategic Action Programme will result in significant environmental stress reduction and process and environmental state benefits. The design of the SAP aligns squarely with the GEF theory of change via implementing strategies, strengthening institutional capacity via the reform of policy, regulatory and planning frameworks, and through knowledge and information activities aimed at improving information sharing and access, awareness raising, skills building, and monitoring and evaluation. Importantly, successful implementation of the SAP will result in: appropriate forms of sustainable management established for 860,000 ha of mangrove; 153,000 ha of coral reef at 82 priority sites managed sustainably, including a reduction in the decadal rate of degradation in live coral cover from 16 to 5%; conservation, management and sustainable use of 25,900 ha of known seagrass area in the South China Sea; and integrated management of 783,900 ha of coastal wetland at 19 sites, including habitat restoration and protection strengthened at priority locations. Without the support of this project and the regional coordination, guidance and technical assistance it will provide, it is unlikely that these critically important SAP targets will be met.</w:t>
      </w:r>
    </w:p>
    <w:p w14:paraId="427D2FD0" w14:textId="77777777" w:rsidR="00465F86" w:rsidRPr="00766A22" w:rsidRDefault="00465F86" w:rsidP="00465F86">
      <w:pPr>
        <w:numPr>
          <w:ilvl w:val="0"/>
          <w:numId w:val="3"/>
        </w:numPr>
        <w:spacing w:after="120"/>
        <w:ind w:left="0" w:firstLine="0"/>
        <w:jc w:val="both"/>
        <w:rPr>
          <w:sz w:val="22"/>
          <w:szCs w:val="22"/>
          <w:lang w:val="en-GB"/>
        </w:rPr>
      </w:pPr>
      <w:r w:rsidRPr="00465F86">
        <w:rPr>
          <w:sz w:val="22"/>
          <w:szCs w:val="22"/>
          <w:lang w:val="en-GB"/>
        </w:rPr>
        <w:t>Importantly, the project will also make substantial contributions towards the achievement of the Sustainable Development Goals, specifically: (a) Goal 1: End poverty in all its forms everywhere – by ensuring that all men and women, in particular the poor and the vulnerable, have equal rights to natural resources, and by building the resilience of the poor and those in vulnerable situations via reducing their vulnerability to climate-related extreme events and other economic, social and environmental shocks and disasters; (b) Goal 12. Ensure sustainable consumption and production patterns – by contributing to the achievement of the sustainable management and efficient use of natural resources, and by supporting developing countries to strengthen their scientific and technological capacity to move towards more sustainable patterns of consumption and production; and (c) Goal 14. Conserve and sustainably use the oceans, seas and marine resources for sustainable development – by efforts aimed at sustainably managing and protecting marine and coastal ecosystems, conserving at least 10 per cent of coastal and marine areas, and by enhancing the conservation and sustainable use of oceans and their resources by implementing international law as reflected in UNCLOS, which provides the legal framework for the conservation and sustainable use of oceans and their resources, as recalled in paragraph 158 of ‘The Future We Want’.</w:t>
      </w:r>
    </w:p>
    <w:p w14:paraId="57A01507" w14:textId="77777777" w:rsidR="00F07F81" w:rsidRDefault="00F07F81" w:rsidP="004B053A">
      <w:pPr>
        <w:numPr>
          <w:ilvl w:val="1"/>
          <w:numId w:val="4"/>
        </w:numPr>
        <w:spacing w:after="120"/>
        <w:outlineLvl w:val="1"/>
        <w:rPr>
          <w:b/>
          <w:sz w:val="22"/>
          <w:szCs w:val="22"/>
          <w:lang w:val="en-GB"/>
        </w:rPr>
      </w:pPr>
      <w:bookmarkStart w:id="89" w:name="_Toc209432657"/>
      <w:r>
        <w:rPr>
          <w:b/>
          <w:sz w:val="22"/>
          <w:szCs w:val="22"/>
          <w:lang w:val="en-GB"/>
        </w:rPr>
        <w:t>Sustainability</w:t>
      </w:r>
      <w:bookmarkEnd w:id="89"/>
    </w:p>
    <w:p w14:paraId="33539EE9" w14:textId="77777777" w:rsidR="00F07F81" w:rsidRDefault="00465F86" w:rsidP="00465F86">
      <w:pPr>
        <w:numPr>
          <w:ilvl w:val="0"/>
          <w:numId w:val="3"/>
        </w:numPr>
        <w:tabs>
          <w:tab w:val="left" w:pos="720"/>
        </w:tabs>
        <w:spacing w:after="120"/>
        <w:ind w:left="0" w:firstLine="0"/>
        <w:jc w:val="both"/>
        <w:rPr>
          <w:sz w:val="22"/>
          <w:szCs w:val="22"/>
          <w:lang w:val="en-GB"/>
        </w:rPr>
      </w:pPr>
      <w:r>
        <w:rPr>
          <w:sz w:val="22"/>
          <w:szCs w:val="22"/>
          <w:lang w:val="en-GB"/>
        </w:rPr>
        <w:t>This project</w:t>
      </w:r>
      <w:r w:rsidRPr="00465F86">
        <w:rPr>
          <w:sz w:val="22"/>
          <w:szCs w:val="22"/>
          <w:lang w:val="en-GB"/>
        </w:rPr>
        <w:t xml:space="preserve"> directly </w:t>
      </w:r>
      <w:r>
        <w:rPr>
          <w:sz w:val="22"/>
          <w:szCs w:val="22"/>
          <w:lang w:val="en-GB"/>
        </w:rPr>
        <w:t xml:space="preserve">addresses </w:t>
      </w:r>
      <w:r w:rsidRPr="00465F86">
        <w:rPr>
          <w:sz w:val="22"/>
          <w:szCs w:val="22"/>
          <w:lang w:val="en-GB"/>
        </w:rPr>
        <w:t xml:space="preserve">the issue of sustainability </w:t>
      </w:r>
      <w:r>
        <w:rPr>
          <w:sz w:val="22"/>
          <w:szCs w:val="22"/>
          <w:lang w:val="en-GB"/>
        </w:rPr>
        <w:t>as</w:t>
      </w:r>
      <w:r w:rsidRPr="00465F86">
        <w:rPr>
          <w:sz w:val="22"/>
          <w:szCs w:val="22"/>
          <w:lang w:val="en-GB"/>
        </w:rPr>
        <w:t xml:space="preserve"> the regional coordination mechanism for SAP implementation and lays out a series of steps intended to result in a regional agreement on the manner in which sustainability will be ensured beyond the life of the project. In addition through the provision of appropriate training and technical assistance to the institutions and organisations at the national level, and their active participation in the implementation of the SAP, it is anticipated that the institutional capacity to implement the </w:t>
      </w:r>
      <w:r>
        <w:rPr>
          <w:sz w:val="22"/>
          <w:szCs w:val="22"/>
          <w:lang w:val="en-GB"/>
        </w:rPr>
        <w:t xml:space="preserve">updated </w:t>
      </w:r>
      <w:r w:rsidRPr="00465F86">
        <w:rPr>
          <w:sz w:val="22"/>
          <w:szCs w:val="22"/>
          <w:lang w:val="en-GB"/>
        </w:rPr>
        <w:t xml:space="preserve">NAPs and </w:t>
      </w:r>
      <w:r>
        <w:rPr>
          <w:sz w:val="22"/>
          <w:szCs w:val="22"/>
          <w:lang w:val="en-GB"/>
        </w:rPr>
        <w:t xml:space="preserve">a revised </w:t>
      </w:r>
      <w:r w:rsidRPr="00465F86">
        <w:rPr>
          <w:sz w:val="22"/>
          <w:szCs w:val="22"/>
          <w:lang w:val="en-GB"/>
        </w:rPr>
        <w:t>SAP will be enhanced.</w:t>
      </w:r>
    </w:p>
    <w:p w14:paraId="2A0423AB" w14:textId="77777777" w:rsidR="00E119D6" w:rsidRDefault="00E119D6" w:rsidP="00132162">
      <w:pPr>
        <w:numPr>
          <w:ilvl w:val="0"/>
          <w:numId w:val="3"/>
        </w:numPr>
        <w:spacing w:after="120"/>
        <w:ind w:left="0" w:firstLine="0"/>
        <w:jc w:val="both"/>
        <w:rPr>
          <w:sz w:val="22"/>
          <w:szCs w:val="22"/>
          <w:lang w:val="en-GB"/>
        </w:rPr>
      </w:pPr>
      <w:r w:rsidRPr="00E119D6">
        <w:rPr>
          <w:sz w:val="22"/>
          <w:szCs w:val="22"/>
          <w:lang w:val="en-GB"/>
        </w:rPr>
        <w:t>It is anticipated that project activities will result in significant positive ecological sustainability benefits. Specifically the project will develop the scientific, institutional and policy basis required to reduce the rates of loss of the South China Sea’s globally significant habitats and biodiversity due to the multitude of threats they face. This is considered important because of the given the global significance of this shallow-water marine basin and the benefits associated with effective coastal and marine environmental management at the local level, which is particularly important in the case of Southeast Asia due to the continuing importance of the goods and services derived from coastal habitats in terms of nutritional security and the maintenance of livelihoods. The coastal communities bordering the South China Sea face the highest risk globally associated with the degradation of coastal and marine environments.</w:t>
      </w:r>
    </w:p>
    <w:p w14:paraId="7BD9147C" w14:textId="77777777" w:rsidR="00E119D6" w:rsidRDefault="00E119D6" w:rsidP="00132162">
      <w:pPr>
        <w:numPr>
          <w:ilvl w:val="0"/>
          <w:numId w:val="3"/>
        </w:numPr>
        <w:spacing w:after="120"/>
        <w:ind w:left="0" w:firstLine="0"/>
        <w:jc w:val="both"/>
        <w:rPr>
          <w:sz w:val="22"/>
          <w:szCs w:val="22"/>
          <w:lang w:val="en-GB"/>
        </w:rPr>
      </w:pPr>
      <w:r w:rsidRPr="00E119D6">
        <w:rPr>
          <w:sz w:val="22"/>
          <w:szCs w:val="22"/>
          <w:lang w:val="en-GB"/>
        </w:rPr>
        <w:t>At the local-level, national project activities will contribute to ecological sustainability via incorporation of rules and activities in the proposed management plans for coastal areas to be brought under management that ensure: key threats and environmental compromises are effectively managed and remediated; the resource base and related species are sustained at levels that do not foreclose future options; and that act to maintain or enhance the resilience and overall health of coastal and marine ecosystems. These management plans will also reflect needs to maintain or enhance overall socio-economic sustainability by focusing on the generation of sustainable net benefits and the equitable distribution of those benefits among community (men and women). The latter will involve an emphasis on sustainable livelihoods and food security. Management plans will also include a focus on institutional sustainability by enhancing financial, administrative and organizational capacity of the site-based management board established for the sites.</w:t>
      </w:r>
    </w:p>
    <w:p w14:paraId="51F3D02F" w14:textId="77777777" w:rsidR="00E119D6" w:rsidRDefault="00E119D6" w:rsidP="00132162">
      <w:pPr>
        <w:numPr>
          <w:ilvl w:val="0"/>
          <w:numId w:val="3"/>
        </w:numPr>
        <w:spacing w:after="120"/>
        <w:ind w:left="0" w:firstLine="0"/>
        <w:jc w:val="both"/>
        <w:rPr>
          <w:sz w:val="22"/>
          <w:szCs w:val="22"/>
          <w:lang w:val="en-GB"/>
        </w:rPr>
      </w:pPr>
      <w:r w:rsidRPr="00E119D6">
        <w:rPr>
          <w:sz w:val="22"/>
          <w:szCs w:val="22"/>
          <w:lang w:val="en-GB"/>
        </w:rPr>
        <w:t>As noted above, this project focuses sustainability at the ‘macro’ level, i.e., on maintaining or enhancing overall long-term socio-economic welfare. This socio-economic welfare is based on a blend of relevant economic and social indicators, focusing essentially on the generation of sustainable net benefits, a reasonable distribution of those benefits among members of the beneficiary communities, and maintenance of the systems overall viability within local and global economies. The work of the project on enhancing the use of information and data on the economic values of the goods and services of coastal habitats, and the valuing costs of action versus non-action within the framework of efforts to update the SAP is central to building the longer-term socio-economic sustainability of project initiatives. This project will also emphasize the need for action at the ‘micro’ level in order to guide community sustainability. This will be achieved, for example, via mechanisms to ensure that local communities are incorporated into environmental management and development planning.</w:t>
      </w:r>
    </w:p>
    <w:p w14:paraId="11866DB9" w14:textId="77777777" w:rsidR="00E119D6" w:rsidRDefault="00E119D6" w:rsidP="00132162">
      <w:pPr>
        <w:numPr>
          <w:ilvl w:val="0"/>
          <w:numId w:val="3"/>
        </w:numPr>
        <w:spacing w:after="120"/>
        <w:ind w:left="0" w:firstLine="0"/>
        <w:jc w:val="both"/>
        <w:rPr>
          <w:sz w:val="22"/>
          <w:szCs w:val="22"/>
          <w:lang w:val="en-GB"/>
        </w:rPr>
      </w:pPr>
      <w:r w:rsidRPr="00E119D6">
        <w:rPr>
          <w:sz w:val="22"/>
          <w:szCs w:val="22"/>
          <w:lang w:val="en-GB"/>
        </w:rPr>
        <w:t xml:space="preserve">The project also addresses institutional sustainability via efforts to explore and support the development of longer-term financial, administrative and organizational capabilities. Institutional sustainability includes the sets of management rules that will be established at the priority sites, and the adoption of viable national and provincial policies, plans and legal frameworks for management. This will in large part be addressed via the conduct of a contemporary Transboundary Diagnostic Analysis for the South China Sea which will be used to inform the update of the Strategic Action Programme for this basin. Supporting activities of the latter include the development and adoption of </w:t>
      </w:r>
      <w:r w:rsidR="00DF59EF">
        <w:rPr>
          <w:sz w:val="22"/>
          <w:szCs w:val="22"/>
          <w:lang w:val="en-GB"/>
        </w:rPr>
        <w:t>National Action Plans for habitats and land-based pollution (including institutional reform and sustainable financing strategies)</w:t>
      </w:r>
      <w:r w:rsidRPr="00E119D6">
        <w:rPr>
          <w:sz w:val="22"/>
          <w:szCs w:val="22"/>
          <w:lang w:val="en-GB"/>
        </w:rPr>
        <w:t xml:space="preserve">, </w:t>
      </w:r>
      <w:r w:rsidR="00DF59EF">
        <w:rPr>
          <w:sz w:val="22"/>
          <w:szCs w:val="22"/>
          <w:lang w:val="en-GB"/>
        </w:rPr>
        <w:t xml:space="preserve">the alignment of recurrent national and provincial government budget support with National Action Plan implementation, </w:t>
      </w:r>
      <w:r w:rsidRPr="00E119D6">
        <w:rPr>
          <w:sz w:val="22"/>
          <w:szCs w:val="22"/>
          <w:lang w:val="en-GB"/>
        </w:rPr>
        <w:t>formulation and agreement of a regional financial mechanism for regional actions in support of national actions to address land-based pollution, and the development of plans to ensure the longer-term financial sustainability of important regional management organs such as the Regional Scientific and Technical Committee.</w:t>
      </w:r>
    </w:p>
    <w:p w14:paraId="6D2C1318" w14:textId="77777777" w:rsidR="00E119D6" w:rsidRDefault="00E119D6" w:rsidP="00132162">
      <w:pPr>
        <w:numPr>
          <w:ilvl w:val="0"/>
          <w:numId w:val="3"/>
        </w:numPr>
        <w:ind w:left="0" w:firstLine="0"/>
        <w:jc w:val="both"/>
        <w:rPr>
          <w:sz w:val="22"/>
          <w:szCs w:val="22"/>
          <w:lang w:val="en-GB"/>
        </w:rPr>
      </w:pPr>
      <w:r w:rsidRPr="00E119D6">
        <w:rPr>
          <w:sz w:val="22"/>
          <w:szCs w:val="22"/>
          <w:lang w:val="en-GB"/>
        </w:rPr>
        <w:t>Institutional sustainability of project activities will also be fostered via the development of municipal and provincial level capacity for cross-sectorial planning and management of the coastal and marine environment and resources. Reform of local policies and laws, including the development and enactment of municipal by-laws and ordinances for coastal habitat management, and the harmonization of arrangements for land-based pollution management, will result in the regulatory framework required to guide longer-term sustainability. Sustainability analyses will be conducted at the priority coastal habitat sites during project Year 1, with key outputs of this work being site-level sustainabili</w:t>
      </w:r>
      <w:r w:rsidR="00DF59EF">
        <w:rPr>
          <w:sz w:val="22"/>
          <w:szCs w:val="22"/>
          <w:lang w:val="en-GB"/>
        </w:rPr>
        <w:t>ty plans that will be revisited</w:t>
      </w:r>
      <w:r w:rsidRPr="00E119D6">
        <w:rPr>
          <w:sz w:val="22"/>
          <w:szCs w:val="22"/>
          <w:lang w:val="en-GB"/>
        </w:rPr>
        <w:t xml:space="preserve"> annually</w:t>
      </w:r>
      <w:r w:rsidR="00DF59EF">
        <w:rPr>
          <w:sz w:val="22"/>
          <w:szCs w:val="22"/>
          <w:lang w:val="en-GB"/>
        </w:rPr>
        <w:t xml:space="preserve"> and used in the preparation of sustainable financing strategies </w:t>
      </w:r>
      <w:r w:rsidR="00393963">
        <w:rPr>
          <w:sz w:val="22"/>
          <w:szCs w:val="22"/>
          <w:lang w:val="en-GB"/>
        </w:rPr>
        <w:t>as part of National Action Plan development</w:t>
      </w:r>
      <w:r w:rsidR="00FA05E8">
        <w:rPr>
          <w:sz w:val="22"/>
          <w:szCs w:val="22"/>
          <w:lang w:val="en-GB"/>
        </w:rPr>
        <w:t xml:space="preserve"> and the revision of the Strategic Action Programme</w:t>
      </w:r>
      <w:r w:rsidRPr="00E119D6">
        <w:rPr>
          <w:sz w:val="22"/>
          <w:szCs w:val="22"/>
          <w:lang w:val="en-GB"/>
        </w:rPr>
        <w:t xml:space="preserve">. Table </w:t>
      </w:r>
      <w:r w:rsidR="00393963">
        <w:rPr>
          <w:sz w:val="22"/>
          <w:szCs w:val="22"/>
          <w:lang w:val="en-GB"/>
        </w:rPr>
        <w:t>44</w:t>
      </w:r>
      <w:r w:rsidRPr="00E119D6">
        <w:rPr>
          <w:sz w:val="22"/>
          <w:szCs w:val="22"/>
          <w:lang w:val="en-GB"/>
        </w:rPr>
        <w:t xml:space="preserve"> presents a provisional checklist that wil</w:t>
      </w:r>
      <w:r w:rsidR="000F7E5C">
        <w:rPr>
          <w:sz w:val="22"/>
          <w:szCs w:val="22"/>
          <w:lang w:val="en-GB"/>
        </w:rPr>
        <w:t>l</w:t>
      </w:r>
      <w:r>
        <w:rPr>
          <w:sz w:val="22"/>
          <w:szCs w:val="22"/>
          <w:lang w:val="en-GB"/>
        </w:rPr>
        <w:t xml:space="preserve"> be</w:t>
      </w:r>
      <w:r w:rsidRPr="00E119D6">
        <w:rPr>
          <w:sz w:val="22"/>
          <w:szCs w:val="22"/>
          <w:lang w:val="en-GB"/>
        </w:rPr>
        <w:t xml:space="preserve"> elaborated during project inception for use in screening the sustainability aspects of site-level interventions. A regional sustainability strategy will also be developed during Year 1 </w:t>
      </w:r>
      <w:r w:rsidR="00393963">
        <w:rPr>
          <w:sz w:val="22"/>
          <w:szCs w:val="22"/>
          <w:lang w:val="en-GB"/>
        </w:rPr>
        <w:t xml:space="preserve">and updated annually </w:t>
      </w:r>
      <w:r w:rsidRPr="00E119D6">
        <w:rPr>
          <w:sz w:val="22"/>
          <w:szCs w:val="22"/>
          <w:lang w:val="en-GB"/>
        </w:rPr>
        <w:t>for endorsement by the SCS SAP Implementation Committee.</w:t>
      </w:r>
    </w:p>
    <w:p w14:paraId="4EE56519" w14:textId="77777777" w:rsidR="00775C43" w:rsidRDefault="00775C43" w:rsidP="00775C43">
      <w:pPr>
        <w:spacing w:after="120"/>
        <w:jc w:val="both"/>
        <w:rPr>
          <w:b/>
          <w:sz w:val="22"/>
          <w:szCs w:val="22"/>
          <w:lang w:val="en-GB"/>
        </w:rPr>
      </w:pPr>
    </w:p>
    <w:p w14:paraId="516440C7" w14:textId="77777777" w:rsidR="00775C43" w:rsidRDefault="00775C43" w:rsidP="00775C43">
      <w:pPr>
        <w:spacing w:after="120"/>
        <w:jc w:val="both"/>
        <w:rPr>
          <w:sz w:val="22"/>
          <w:szCs w:val="22"/>
          <w:lang w:val="en-GB"/>
        </w:rPr>
      </w:pPr>
      <w:r w:rsidRPr="00132162">
        <w:rPr>
          <w:b/>
          <w:sz w:val="22"/>
          <w:szCs w:val="22"/>
          <w:lang w:val="en-GB"/>
        </w:rPr>
        <w:t xml:space="preserve">Table </w:t>
      </w:r>
      <w:r>
        <w:rPr>
          <w:b/>
          <w:sz w:val="22"/>
          <w:szCs w:val="22"/>
          <w:lang w:val="en-GB"/>
        </w:rPr>
        <w:t>44</w:t>
      </w:r>
      <w:r w:rsidRPr="00775C43">
        <w:rPr>
          <w:sz w:val="22"/>
          <w:szCs w:val="22"/>
          <w:lang w:val="en-GB"/>
        </w:rPr>
        <w:tab/>
        <w:t>Provisional site-level sustainability checklist</w:t>
      </w:r>
    </w:p>
    <w:tbl>
      <w:tblPr>
        <w:tblW w:w="0" w:type="auto"/>
        <w:tblBorders>
          <w:top w:val="single" w:sz="4" w:space="0" w:color="auto"/>
          <w:bottom w:val="single" w:sz="4" w:space="0" w:color="auto"/>
        </w:tblBorders>
        <w:tblLook w:val="04A0" w:firstRow="1" w:lastRow="0" w:firstColumn="1" w:lastColumn="0" w:noHBand="0" w:noVBand="1"/>
      </w:tblPr>
      <w:tblGrid>
        <w:gridCol w:w="9072"/>
      </w:tblGrid>
      <w:tr w:rsidR="00775C43" w:rsidRPr="003615D0" w14:paraId="072F91A6" w14:textId="77777777" w:rsidTr="003615D0">
        <w:tc>
          <w:tcPr>
            <w:tcW w:w="9245" w:type="dxa"/>
            <w:shd w:val="clear" w:color="auto" w:fill="auto"/>
          </w:tcPr>
          <w:p w14:paraId="0E160430" w14:textId="77777777" w:rsidR="00775C43" w:rsidRPr="003615D0" w:rsidRDefault="00775C43" w:rsidP="003615D0">
            <w:pPr>
              <w:rPr>
                <w:i/>
                <w:sz w:val="21"/>
                <w:szCs w:val="21"/>
              </w:rPr>
            </w:pPr>
            <w:r w:rsidRPr="003615D0">
              <w:rPr>
                <w:i/>
                <w:sz w:val="21"/>
                <w:szCs w:val="21"/>
              </w:rPr>
              <w:t>Ecological sustainability</w:t>
            </w:r>
          </w:p>
          <w:p w14:paraId="7DAB5C82" w14:textId="77777777" w:rsidR="00775C43" w:rsidRPr="003615D0" w:rsidRDefault="00775C43" w:rsidP="003615D0">
            <w:pPr>
              <w:pStyle w:val="ListParagraph"/>
              <w:numPr>
                <w:ilvl w:val="0"/>
                <w:numId w:val="59"/>
              </w:numPr>
              <w:ind w:left="180" w:hanging="180"/>
              <w:rPr>
                <w:rFonts w:ascii="Times New Roman" w:hAnsi="Times New Roman" w:cs="Times New Roman"/>
                <w:sz w:val="21"/>
                <w:szCs w:val="21"/>
              </w:rPr>
            </w:pPr>
            <w:r w:rsidRPr="003615D0">
              <w:rPr>
                <w:rFonts w:ascii="Times New Roman" w:hAnsi="Times New Roman" w:cs="Times New Roman"/>
                <w:sz w:val="21"/>
                <w:szCs w:val="21"/>
              </w:rPr>
              <w:t>Are impacts on the ecosystems reasonably understood to the extent required to ensure sustainability?</w:t>
            </w:r>
          </w:p>
          <w:p w14:paraId="3208D479" w14:textId="77777777" w:rsidR="00775C43" w:rsidRPr="003615D0" w:rsidRDefault="00775C43" w:rsidP="003615D0">
            <w:pPr>
              <w:pStyle w:val="ListParagraph"/>
              <w:numPr>
                <w:ilvl w:val="0"/>
                <w:numId w:val="59"/>
              </w:numPr>
              <w:ind w:left="180" w:hanging="180"/>
              <w:rPr>
                <w:rFonts w:ascii="Times New Roman" w:hAnsi="Times New Roman" w:cs="Times New Roman"/>
                <w:sz w:val="21"/>
                <w:szCs w:val="21"/>
              </w:rPr>
            </w:pPr>
            <w:r w:rsidRPr="003615D0">
              <w:rPr>
                <w:rFonts w:ascii="Times New Roman" w:hAnsi="Times New Roman" w:cs="Times New Roman"/>
                <w:sz w:val="21"/>
                <w:szCs w:val="21"/>
              </w:rPr>
              <w:t>Are alternative systems of management and/or utilization available so that pressures from any increased demands placed on the system do not increase beyond management capabilities?</w:t>
            </w:r>
          </w:p>
          <w:p w14:paraId="17CBF981" w14:textId="77777777" w:rsidR="00775C43" w:rsidRPr="003615D0" w:rsidRDefault="00775C43" w:rsidP="003615D0">
            <w:pPr>
              <w:pStyle w:val="ListParagraph"/>
              <w:numPr>
                <w:ilvl w:val="0"/>
                <w:numId w:val="59"/>
              </w:numPr>
              <w:spacing w:after="120"/>
              <w:ind w:left="180" w:hanging="180"/>
              <w:rPr>
                <w:rFonts w:ascii="Times New Roman" w:hAnsi="Times New Roman" w:cs="Times New Roman"/>
                <w:sz w:val="22"/>
                <w:szCs w:val="22"/>
              </w:rPr>
            </w:pPr>
            <w:r w:rsidRPr="003615D0">
              <w:rPr>
                <w:rFonts w:ascii="Times New Roman" w:hAnsi="Times New Roman" w:cs="Times New Roman"/>
                <w:sz w:val="21"/>
                <w:szCs w:val="21"/>
              </w:rPr>
              <w:t>Are imposed stresses and rates of change likely to be within the bounds of ecosystem resilience?</w:t>
            </w:r>
          </w:p>
        </w:tc>
      </w:tr>
      <w:tr w:rsidR="00775C43" w:rsidRPr="003615D0" w14:paraId="1A2E16CD" w14:textId="77777777" w:rsidTr="003615D0">
        <w:tc>
          <w:tcPr>
            <w:tcW w:w="9245" w:type="dxa"/>
            <w:shd w:val="clear" w:color="auto" w:fill="auto"/>
          </w:tcPr>
          <w:p w14:paraId="46F3413B" w14:textId="77777777" w:rsidR="00775C43" w:rsidRPr="003615D0" w:rsidRDefault="00775C43" w:rsidP="003615D0">
            <w:pPr>
              <w:rPr>
                <w:i/>
                <w:sz w:val="21"/>
                <w:szCs w:val="21"/>
              </w:rPr>
            </w:pPr>
            <w:r w:rsidRPr="003615D0">
              <w:rPr>
                <w:i/>
                <w:sz w:val="21"/>
                <w:szCs w:val="21"/>
              </w:rPr>
              <w:t>Socioeconomic sustainability</w:t>
            </w:r>
          </w:p>
          <w:p w14:paraId="7D1A498C" w14:textId="77777777" w:rsidR="00775C43" w:rsidRPr="003615D0" w:rsidRDefault="00775C43" w:rsidP="003615D0">
            <w:pPr>
              <w:pStyle w:val="ListParagraph"/>
              <w:numPr>
                <w:ilvl w:val="0"/>
                <w:numId w:val="60"/>
              </w:numPr>
              <w:ind w:left="180" w:hanging="180"/>
              <w:rPr>
                <w:rFonts w:ascii="Times New Roman" w:hAnsi="Times New Roman" w:cs="Times New Roman"/>
                <w:sz w:val="21"/>
                <w:szCs w:val="21"/>
              </w:rPr>
            </w:pPr>
            <w:r w:rsidRPr="003615D0">
              <w:rPr>
                <w:rFonts w:ascii="Times New Roman" w:hAnsi="Times New Roman" w:cs="Times New Roman"/>
                <w:sz w:val="21"/>
                <w:szCs w:val="21"/>
              </w:rPr>
              <w:t>Will the activity sustain or increase the aggregate long-term rate of employment?</w:t>
            </w:r>
          </w:p>
          <w:p w14:paraId="74848D3F" w14:textId="77777777" w:rsidR="00775C43" w:rsidRPr="003615D0" w:rsidRDefault="00775C43" w:rsidP="003615D0">
            <w:pPr>
              <w:pStyle w:val="ListParagraph"/>
              <w:numPr>
                <w:ilvl w:val="0"/>
                <w:numId w:val="60"/>
              </w:numPr>
              <w:ind w:left="180" w:hanging="180"/>
              <w:rPr>
                <w:rFonts w:ascii="Times New Roman" w:hAnsi="Times New Roman" w:cs="Times New Roman"/>
                <w:sz w:val="21"/>
                <w:szCs w:val="21"/>
              </w:rPr>
            </w:pPr>
            <w:r w:rsidRPr="003615D0">
              <w:rPr>
                <w:rFonts w:ascii="Times New Roman" w:hAnsi="Times New Roman" w:cs="Times New Roman"/>
                <w:sz w:val="21"/>
                <w:szCs w:val="21"/>
              </w:rPr>
              <w:t>Will the activity enhance economic viability in the local and regional systems?</w:t>
            </w:r>
          </w:p>
          <w:p w14:paraId="1C2BA0CD" w14:textId="77777777" w:rsidR="00775C43" w:rsidRPr="003615D0" w:rsidRDefault="00775C43" w:rsidP="003615D0">
            <w:pPr>
              <w:pStyle w:val="ListParagraph"/>
              <w:numPr>
                <w:ilvl w:val="0"/>
                <w:numId w:val="60"/>
              </w:numPr>
              <w:ind w:left="180" w:hanging="180"/>
              <w:rPr>
                <w:rFonts w:ascii="Times New Roman" w:hAnsi="Times New Roman" w:cs="Times New Roman"/>
                <w:sz w:val="21"/>
                <w:szCs w:val="21"/>
              </w:rPr>
            </w:pPr>
            <w:r w:rsidRPr="003615D0">
              <w:rPr>
                <w:rFonts w:ascii="Times New Roman" w:hAnsi="Times New Roman" w:cs="Times New Roman"/>
                <w:sz w:val="21"/>
                <w:szCs w:val="21"/>
              </w:rPr>
              <w:t>Is resource depreciation, and changes in natural capital, including economic valuation information, incorporated into local and site-based planning and management practices?</w:t>
            </w:r>
          </w:p>
          <w:p w14:paraId="50C49623" w14:textId="77777777" w:rsidR="00775C43" w:rsidRPr="003615D0" w:rsidRDefault="00775C43" w:rsidP="003615D0">
            <w:pPr>
              <w:pStyle w:val="ListParagraph"/>
              <w:numPr>
                <w:ilvl w:val="0"/>
                <w:numId w:val="60"/>
              </w:numPr>
              <w:ind w:left="180" w:hanging="180"/>
              <w:rPr>
                <w:rFonts w:ascii="Times New Roman" w:hAnsi="Times New Roman" w:cs="Times New Roman"/>
                <w:sz w:val="21"/>
                <w:szCs w:val="21"/>
              </w:rPr>
            </w:pPr>
            <w:r w:rsidRPr="003615D0">
              <w:rPr>
                <w:rFonts w:ascii="Times New Roman" w:hAnsi="Times New Roman" w:cs="Times New Roman"/>
                <w:sz w:val="21"/>
                <w:szCs w:val="21"/>
              </w:rPr>
              <w:t>Are the current and projected levels of distributional equity in the system sufficient?</w:t>
            </w:r>
          </w:p>
          <w:p w14:paraId="20C0A95D" w14:textId="77777777" w:rsidR="00775C43" w:rsidRPr="003615D0" w:rsidRDefault="00775C43" w:rsidP="003615D0">
            <w:pPr>
              <w:pStyle w:val="ListParagraph"/>
              <w:numPr>
                <w:ilvl w:val="0"/>
                <w:numId w:val="60"/>
              </w:numPr>
              <w:spacing w:after="120"/>
              <w:ind w:left="187" w:hanging="187"/>
              <w:rPr>
                <w:rFonts w:ascii="Times New Roman" w:hAnsi="Times New Roman" w:cs="Times New Roman"/>
                <w:sz w:val="21"/>
                <w:szCs w:val="21"/>
              </w:rPr>
            </w:pPr>
            <w:r w:rsidRPr="003615D0">
              <w:rPr>
                <w:rFonts w:ascii="Times New Roman" w:hAnsi="Times New Roman" w:cs="Times New Roman"/>
                <w:sz w:val="21"/>
                <w:szCs w:val="21"/>
              </w:rPr>
              <w:t>Will long-term nutritional and livelihood security be maintained or increased, as measured in both average and minimal terms?</w:t>
            </w:r>
          </w:p>
        </w:tc>
      </w:tr>
      <w:tr w:rsidR="00775C43" w:rsidRPr="003615D0" w14:paraId="65545023" w14:textId="77777777" w:rsidTr="003615D0">
        <w:tc>
          <w:tcPr>
            <w:tcW w:w="9245" w:type="dxa"/>
            <w:shd w:val="clear" w:color="auto" w:fill="auto"/>
          </w:tcPr>
          <w:p w14:paraId="752D6AEB" w14:textId="77777777" w:rsidR="00775C43" w:rsidRPr="003615D0" w:rsidRDefault="00775C43" w:rsidP="003615D0">
            <w:pPr>
              <w:rPr>
                <w:i/>
                <w:sz w:val="21"/>
                <w:szCs w:val="21"/>
              </w:rPr>
            </w:pPr>
            <w:r w:rsidRPr="003615D0">
              <w:rPr>
                <w:i/>
                <w:sz w:val="21"/>
                <w:szCs w:val="21"/>
              </w:rPr>
              <w:t>Community sustainability</w:t>
            </w:r>
          </w:p>
          <w:p w14:paraId="6A6BBF44" w14:textId="77777777" w:rsidR="00775C43" w:rsidRPr="003615D0" w:rsidRDefault="00775C43" w:rsidP="003615D0">
            <w:pPr>
              <w:pStyle w:val="ListParagraph"/>
              <w:numPr>
                <w:ilvl w:val="0"/>
                <w:numId w:val="61"/>
              </w:numPr>
              <w:ind w:left="180" w:hanging="180"/>
              <w:rPr>
                <w:rFonts w:ascii="Times New Roman" w:hAnsi="Times New Roman" w:cs="Times New Roman"/>
                <w:sz w:val="21"/>
                <w:szCs w:val="21"/>
              </w:rPr>
            </w:pPr>
            <w:r w:rsidRPr="003615D0">
              <w:rPr>
                <w:rFonts w:ascii="Times New Roman" w:hAnsi="Times New Roman" w:cs="Times New Roman"/>
                <w:sz w:val="21"/>
                <w:szCs w:val="21"/>
              </w:rPr>
              <w:t>Are activities likely to maintain or increase the long-term stability of affected communities?</w:t>
            </w:r>
          </w:p>
          <w:p w14:paraId="42958452" w14:textId="77777777" w:rsidR="00775C43" w:rsidRPr="003615D0" w:rsidRDefault="00775C43" w:rsidP="003615D0">
            <w:pPr>
              <w:pStyle w:val="ListParagraph"/>
              <w:numPr>
                <w:ilvl w:val="0"/>
                <w:numId w:val="61"/>
              </w:numPr>
              <w:ind w:left="180" w:hanging="180"/>
              <w:rPr>
                <w:rFonts w:ascii="Times New Roman" w:hAnsi="Times New Roman" w:cs="Times New Roman"/>
                <w:sz w:val="21"/>
                <w:szCs w:val="21"/>
              </w:rPr>
            </w:pPr>
            <w:r w:rsidRPr="003615D0">
              <w:rPr>
                <w:rFonts w:ascii="Times New Roman" w:hAnsi="Times New Roman" w:cs="Times New Roman"/>
                <w:sz w:val="21"/>
                <w:szCs w:val="21"/>
              </w:rPr>
              <w:t>Is the local community integrated in planning and management, with traditional management approaches utilized to the extent possible?</w:t>
            </w:r>
          </w:p>
          <w:p w14:paraId="7D0217D9" w14:textId="77777777" w:rsidR="00775C43" w:rsidRPr="003615D0" w:rsidRDefault="00775C43" w:rsidP="003615D0">
            <w:pPr>
              <w:pStyle w:val="ListParagraph"/>
              <w:numPr>
                <w:ilvl w:val="0"/>
                <w:numId w:val="61"/>
              </w:numPr>
              <w:ind w:left="180" w:hanging="180"/>
              <w:rPr>
                <w:rFonts w:ascii="Times New Roman" w:hAnsi="Times New Roman" w:cs="Times New Roman"/>
                <w:sz w:val="21"/>
                <w:szCs w:val="21"/>
              </w:rPr>
            </w:pPr>
            <w:r w:rsidRPr="003615D0">
              <w:rPr>
                <w:rFonts w:ascii="Times New Roman" w:hAnsi="Times New Roman" w:cs="Times New Roman"/>
                <w:sz w:val="21"/>
                <w:szCs w:val="21"/>
              </w:rPr>
              <w:t>Are traditional value systems of importance to the community maintained?</w:t>
            </w:r>
          </w:p>
          <w:p w14:paraId="5459ECC5" w14:textId="77777777" w:rsidR="00775C43" w:rsidRPr="003615D0" w:rsidRDefault="00775C43" w:rsidP="003615D0">
            <w:pPr>
              <w:pStyle w:val="ListParagraph"/>
              <w:numPr>
                <w:ilvl w:val="0"/>
                <w:numId w:val="61"/>
              </w:numPr>
              <w:ind w:left="180" w:hanging="180"/>
              <w:rPr>
                <w:rFonts w:ascii="Times New Roman" w:hAnsi="Times New Roman" w:cs="Times New Roman"/>
                <w:sz w:val="21"/>
                <w:szCs w:val="21"/>
              </w:rPr>
            </w:pPr>
            <w:r w:rsidRPr="003615D0">
              <w:rPr>
                <w:rFonts w:ascii="Times New Roman" w:hAnsi="Times New Roman" w:cs="Times New Roman"/>
                <w:sz w:val="21"/>
                <w:szCs w:val="21"/>
              </w:rPr>
              <w:t>Are local socio-cultural factors (such as tradition, community decision-making structure, etc.) incorporated?</w:t>
            </w:r>
          </w:p>
          <w:p w14:paraId="18DD3509" w14:textId="77777777" w:rsidR="00775C43" w:rsidRPr="003615D0" w:rsidRDefault="00775C43" w:rsidP="003615D0">
            <w:pPr>
              <w:pStyle w:val="ListParagraph"/>
              <w:numPr>
                <w:ilvl w:val="0"/>
                <w:numId w:val="61"/>
              </w:numPr>
              <w:ind w:left="180" w:hanging="180"/>
              <w:rPr>
                <w:rFonts w:ascii="Times New Roman" w:hAnsi="Times New Roman" w:cs="Times New Roman"/>
                <w:sz w:val="21"/>
                <w:szCs w:val="21"/>
              </w:rPr>
            </w:pPr>
            <w:r w:rsidRPr="003615D0">
              <w:rPr>
                <w:rFonts w:ascii="Times New Roman" w:hAnsi="Times New Roman" w:cs="Times New Roman"/>
                <w:sz w:val="21"/>
                <w:szCs w:val="21"/>
              </w:rPr>
              <w:t>Are traditional resource and environmental management methods utilized to the extent possible?</w:t>
            </w:r>
          </w:p>
          <w:p w14:paraId="79484A38" w14:textId="77777777" w:rsidR="00775C43" w:rsidRPr="003615D0" w:rsidRDefault="00775C43" w:rsidP="003615D0">
            <w:pPr>
              <w:pStyle w:val="ListParagraph"/>
              <w:numPr>
                <w:ilvl w:val="0"/>
                <w:numId w:val="61"/>
              </w:numPr>
              <w:spacing w:after="120"/>
              <w:ind w:left="187" w:hanging="187"/>
              <w:rPr>
                <w:rFonts w:ascii="Times New Roman" w:hAnsi="Times New Roman" w:cs="Times New Roman"/>
                <w:sz w:val="21"/>
                <w:szCs w:val="21"/>
              </w:rPr>
            </w:pPr>
            <w:r w:rsidRPr="003615D0">
              <w:rPr>
                <w:rFonts w:ascii="Times New Roman" w:hAnsi="Times New Roman" w:cs="Times New Roman"/>
                <w:sz w:val="21"/>
                <w:szCs w:val="21"/>
              </w:rPr>
              <w:t xml:space="preserve">Are there any adverse impacts, at any level or in any component of the system, that unduly affect particular components of the community (e.g., gender-related impacts, youth, particular religious groups)? </w:t>
            </w:r>
          </w:p>
        </w:tc>
      </w:tr>
      <w:tr w:rsidR="00775C43" w:rsidRPr="003615D0" w14:paraId="1A8062BE" w14:textId="77777777" w:rsidTr="003615D0">
        <w:tc>
          <w:tcPr>
            <w:tcW w:w="9245" w:type="dxa"/>
            <w:shd w:val="clear" w:color="auto" w:fill="auto"/>
          </w:tcPr>
          <w:p w14:paraId="6E932A0D" w14:textId="77777777" w:rsidR="00775C43" w:rsidRPr="003615D0" w:rsidRDefault="00775C43" w:rsidP="003615D0">
            <w:pPr>
              <w:rPr>
                <w:i/>
                <w:sz w:val="21"/>
                <w:szCs w:val="21"/>
              </w:rPr>
            </w:pPr>
            <w:r w:rsidRPr="003615D0">
              <w:rPr>
                <w:i/>
                <w:sz w:val="21"/>
                <w:szCs w:val="21"/>
              </w:rPr>
              <w:t>Institutional sustainability</w:t>
            </w:r>
          </w:p>
          <w:p w14:paraId="1EC11EAC" w14:textId="77777777" w:rsidR="00775C43" w:rsidRDefault="00775C43" w:rsidP="003615D0">
            <w:pPr>
              <w:pStyle w:val="ListParagraph"/>
              <w:numPr>
                <w:ilvl w:val="0"/>
                <w:numId w:val="62"/>
              </w:numPr>
              <w:ind w:left="180" w:hanging="180"/>
              <w:rPr>
                <w:rFonts w:ascii="Times New Roman" w:hAnsi="Times New Roman" w:cs="Times New Roman"/>
                <w:sz w:val="21"/>
                <w:szCs w:val="21"/>
              </w:rPr>
            </w:pPr>
            <w:r w:rsidRPr="003615D0">
              <w:rPr>
                <w:rFonts w:ascii="Times New Roman" w:hAnsi="Times New Roman" w:cs="Times New Roman"/>
                <w:sz w:val="21"/>
                <w:szCs w:val="21"/>
              </w:rPr>
              <w:t>Will the long-term capabilities of corresponding institutions be increased?</w:t>
            </w:r>
          </w:p>
          <w:p w14:paraId="71C28054" w14:textId="77777777" w:rsidR="00DF59EF" w:rsidRDefault="00DF59EF" w:rsidP="003615D0">
            <w:pPr>
              <w:pStyle w:val="ListParagraph"/>
              <w:numPr>
                <w:ilvl w:val="0"/>
                <w:numId w:val="62"/>
              </w:numPr>
              <w:ind w:left="180" w:hanging="180"/>
              <w:rPr>
                <w:rFonts w:ascii="Times New Roman" w:hAnsi="Times New Roman" w:cs="Times New Roman"/>
                <w:sz w:val="21"/>
                <w:szCs w:val="21"/>
              </w:rPr>
            </w:pPr>
            <w:r>
              <w:rPr>
                <w:rFonts w:ascii="Times New Roman" w:hAnsi="Times New Roman" w:cs="Times New Roman"/>
                <w:sz w:val="21"/>
                <w:szCs w:val="21"/>
              </w:rPr>
              <w:t>Can provincial</w:t>
            </w:r>
            <w:r w:rsidR="00393963">
              <w:rPr>
                <w:rFonts w:ascii="Times New Roman" w:hAnsi="Times New Roman" w:cs="Times New Roman"/>
                <w:sz w:val="21"/>
                <w:szCs w:val="21"/>
              </w:rPr>
              <w:t xml:space="preserve"> and local government recurrent budgets be aligned with the implementation of priority stress reduction priorities for habitat and land-based pollution management?</w:t>
            </w:r>
          </w:p>
          <w:p w14:paraId="4DC1FA2B" w14:textId="77777777" w:rsidR="00393963" w:rsidRPr="003615D0" w:rsidRDefault="00393963" w:rsidP="003615D0">
            <w:pPr>
              <w:pStyle w:val="ListParagraph"/>
              <w:numPr>
                <w:ilvl w:val="0"/>
                <w:numId w:val="62"/>
              </w:numPr>
              <w:ind w:left="180" w:hanging="180"/>
              <w:rPr>
                <w:rFonts w:ascii="Times New Roman" w:hAnsi="Times New Roman" w:cs="Times New Roman"/>
                <w:sz w:val="21"/>
                <w:szCs w:val="21"/>
              </w:rPr>
            </w:pPr>
            <w:r>
              <w:rPr>
                <w:rFonts w:ascii="Times New Roman" w:hAnsi="Times New Roman" w:cs="Times New Roman"/>
                <w:sz w:val="21"/>
                <w:szCs w:val="21"/>
              </w:rPr>
              <w:t>Do opportunities exist for private sector and donor investment in site-based activities?</w:t>
            </w:r>
          </w:p>
          <w:p w14:paraId="25A733F1" w14:textId="77777777" w:rsidR="00775C43" w:rsidRPr="003615D0" w:rsidRDefault="00775C43" w:rsidP="003615D0">
            <w:pPr>
              <w:pStyle w:val="ListParagraph"/>
              <w:numPr>
                <w:ilvl w:val="0"/>
                <w:numId w:val="62"/>
              </w:numPr>
              <w:ind w:left="180" w:hanging="180"/>
              <w:rPr>
                <w:rFonts w:ascii="Times New Roman" w:hAnsi="Times New Roman" w:cs="Times New Roman"/>
                <w:sz w:val="21"/>
                <w:szCs w:val="21"/>
              </w:rPr>
            </w:pPr>
            <w:r w:rsidRPr="003615D0">
              <w:rPr>
                <w:rFonts w:ascii="Times New Roman" w:hAnsi="Times New Roman" w:cs="Times New Roman"/>
                <w:sz w:val="21"/>
                <w:szCs w:val="21"/>
              </w:rPr>
              <w:t>Is financial viability likely in the longer-term, or does the intrinsic importance of the system justify ongoing support from society regardless?</w:t>
            </w:r>
          </w:p>
        </w:tc>
      </w:tr>
    </w:tbl>
    <w:p w14:paraId="4A58E3B9" w14:textId="77777777" w:rsidR="00775C43" w:rsidRDefault="00775C43" w:rsidP="00775C43">
      <w:pPr>
        <w:spacing w:after="120"/>
        <w:jc w:val="both"/>
        <w:rPr>
          <w:sz w:val="22"/>
          <w:szCs w:val="22"/>
          <w:lang w:val="en-GB"/>
        </w:rPr>
      </w:pPr>
    </w:p>
    <w:p w14:paraId="4F24FBBC" w14:textId="77777777" w:rsidR="00F07F81" w:rsidRDefault="00F07F81" w:rsidP="004B053A">
      <w:pPr>
        <w:numPr>
          <w:ilvl w:val="1"/>
          <w:numId w:val="4"/>
        </w:numPr>
        <w:spacing w:after="120"/>
        <w:outlineLvl w:val="1"/>
        <w:rPr>
          <w:b/>
          <w:sz w:val="22"/>
          <w:szCs w:val="22"/>
          <w:lang w:val="en-GB"/>
        </w:rPr>
      </w:pPr>
      <w:bookmarkStart w:id="90" w:name="_Toc209432658"/>
      <w:r>
        <w:rPr>
          <w:b/>
          <w:sz w:val="22"/>
          <w:szCs w:val="22"/>
          <w:lang w:val="en-GB"/>
        </w:rPr>
        <w:t>Replication</w:t>
      </w:r>
      <w:bookmarkEnd w:id="90"/>
      <w:r w:rsidR="00E10371">
        <w:rPr>
          <w:b/>
          <w:sz w:val="22"/>
          <w:szCs w:val="22"/>
          <w:lang w:val="en-GB"/>
        </w:rPr>
        <w:t>,</w:t>
      </w:r>
      <w:r w:rsidR="006D3D2E">
        <w:rPr>
          <w:b/>
          <w:sz w:val="22"/>
          <w:szCs w:val="22"/>
          <w:lang w:val="en-GB"/>
        </w:rPr>
        <w:t xml:space="preserve"> scaling-up</w:t>
      </w:r>
      <w:r w:rsidR="00E10371">
        <w:rPr>
          <w:b/>
          <w:sz w:val="22"/>
          <w:szCs w:val="22"/>
          <w:lang w:val="en-GB"/>
        </w:rPr>
        <w:t xml:space="preserve"> and mainstreaming</w:t>
      </w:r>
    </w:p>
    <w:p w14:paraId="58DA38BB" w14:textId="77777777" w:rsidR="006D3D2E" w:rsidRDefault="006D3D2E" w:rsidP="00132162">
      <w:pPr>
        <w:numPr>
          <w:ilvl w:val="0"/>
          <w:numId w:val="3"/>
        </w:numPr>
        <w:spacing w:after="120"/>
        <w:ind w:left="0" w:firstLine="0"/>
        <w:jc w:val="both"/>
        <w:rPr>
          <w:sz w:val="22"/>
          <w:szCs w:val="22"/>
          <w:lang w:val="en-GB"/>
        </w:rPr>
      </w:pPr>
      <w:r w:rsidRPr="006D3D2E">
        <w:rPr>
          <w:sz w:val="22"/>
          <w:szCs w:val="22"/>
          <w:lang w:val="en-GB"/>
        </w:rPr>
        <w:t>The concepts of “replication”, “scaling-up” and “mainstreaming’ are being increasingly promoted as important elements of environment and natural resource development projects. Interpretation of the meaning of these concepts is often blurred however, by inconsistent application of their use in mostly “supply driven” guidelines and planning documents of donors and development organisations. Similarly, inadequate consideration of what the terms mean with respect to initiatives aimed at fostering integrated approaches to coastal and marine environmental management, have the potential to lead to confusion amongst national and local beneficiaries about expectations.</w:t>
      </w:r>
    </w:p>
    <w:p w14:paraId="46BF4B2E" w14:textId="77777777" w:rsidR="006D3D2E" w:rsidRDefault="006D3D2E" w:rsidP="00132162">
      <w:pPr>
        <w:numPr>
          <w:ilvl w:val="0"/>
          <w:numId w:val="3"/>
        </w:numPr>
        <w:spacing w:after="120"/>
        <w:ind w:left="0" w:firstLine="0"/>
        <w:jc w:val="both"/>
        <w:rPr>
          <w:sz w:val="22"/>
          <w:szCs w:val="22"/>
          <w:lang w:val="en-GB"/>
        </w:rPr>
      </w:pPr>
      <w:r w:rsidRPr="006D3D2E">
        <w:rPr>
          <w:sz w:val="22"/>
          <w:szCs w:val="22"/>
          <w:lang w:val="en-GB"/>
        </w:rPr>
        <w:t>The definitions of “replicate” contained in the Cambridge and Oxford dictionaries are “to make or do something again in exactly the same way” and “to copy something exactly”, respectively. Interpretation of these definitions in the context of this project may include for example the application of a copy of a successful management model, approach, strategy, technology, or communications tool within a particular target site or at another location. Accordingly, replication is defined in the context of national activities of this SAP implementation project as “The activity of copying the specific features of a management approach that made it successful in one setting and re-applying these as part of the activities at the same or another setting”. Examples may include, inter alia, using the structure and Terms of Reference for a site-based management board at one site and applying it to another, or using a seasonal closure or zoning tool that was successful in reducing the rate of live coral cover at one site and applying at another site.</w:t>
      </w:r>
    </w:p>
    <w:p w14:paraId="33B3F71B" w14:textId="77777777" w:rsidR="006D3D2E" w:rsidRDefault="006D3D2E" w:rsidP="00132162">
      <w:pPr>
        <w:numPr>
          <w:ilvl w:val="0"/>
          <w:numId w:val="3"/>
        </w:numPr>
        <w:spacing w:after="120"/>
        <w:ind w:left="0" w:firstLine="0"/>
        <w:jc w:val="both"/>
        <w:rPr>
          <w:sz w:val="22"/>
          <w:szCs w:val="22"/>
          <w:lang w:val="en-GB"/>
        </w:rPr>
      </w:pPr>
      <w:r w:rsidRPr="006D3D2E">
        <w:rPr>
          <w:sz w:val="22"/>
          <w:szCs w:val="22"/>
          <w:lang w:val="en-GB"/>
        </w:rPr>
        <w:t>Regarding scaling-up, definitions of “scale” contained in the Cambridge and Oxford dictionaries are “the size or level of something” and “the size or extent of something, especially when compared with something else”, respectively. Interpretation of the these definitions in the context of this project, may include for example increasing the institutional scale of a SAP implementation activity by applying an activity involving a small subset of community at the whole community level, or increasing the geographical scale of activities by applying a best practice generated at one coastal habitat site to all known sites in a municipality, province or region. Accordingly, scaling-up is defined for the purpose of this project as “The activity of increasing the impacts of successful approaches to SAP implementation via their application at broader geographic and institutional scales as part of the process of reversing environmental degradation trends in the South China Sea”.</w:t>
      </w:r>
    </w:p>
    <w:p w14:paraId="1A1BA705" w14:textId="77777777" w:rsidR="006D3D2E" w:rsidRDefault="006D3D2E" w:rsidP="00132162">
      <w:pPr>
        <w:numPr>
          <w:ilvl w:val="0"/>
          <w:numId w:val="3"/>
        </w:numPr>
        <w:spacing w:after="120"/>
        <w:ind w:left="0" w:firstLine="0"/>
        <w:jc w:val="both"/>
        <w:rPr>
          <w:sz w:val="22"/>
          <w:szCs w:val="22"/>
          <w:lang w:val="en-GB"/>
        </w:rPr>
      </w:pPr>
      <w:r w:rsidRPr="006D3D2E">
        <w:rPr>
          <w:sz w:val="22"/>
          <w:szCs w:val="22"/>
          <w:lang w:val="en-GB"/>
        </w:rPr>
        <w:t>The above definitions of replication and scaling-up lend themselves to ease of application in SAP implementation in the participating countries. The high risks that coastal communities face as a result of the degradation of the coastal and marine environment creates a high need for the generation of best practices that can be replicated and scaled-up. Communicated effectively, it is anticipated that success stories can create a demand driven approach whereby communities actively seek opportunities to apply proven technologies and management models in their communities. The high profile of nutritional security issues in many coastal communities, coupled with the limited policy and legal frameworks for effective coastal and marine environmental and natural resource managements, creates significant opportunities for the successful uptake of best practices and lessons learned.</w:t>
      </w:r>
    </w:p>
    <w:p w14:paraId="31E326FC" w14:textId="77777777" w:rsidR="006D3D2E" w:rsidRDefault="006D3D2E" w:rsidP="00132162">
      <w:pPr>
        <w:numPr>
          <w:ilvl w:val="0"/>
          <w:numId w:val="3"/>
        </w:numPr>
        <w:spacing w:after="120"/>
        <w:ind w:left="0" w:firstLine="0"/>
        <w:jc w:val="both"/>
        <w:rPr>
          <w:sz w:val="22"/>
          <w:szCs w:val="22"/>
          <w:lang w:val="en-GB"/>
        </w:rPr>
      </w:pPr>
      <w:r w:rsidRPr="006D3D2E">
        <w:rPr>
          <w:sz w:val="22"/>
          <w:szCs w:val="22"/>
          <w:lang w:val="en-GB"/>
        </w:rPr>
        <w:t>This project will result in a large number of innovations particularly those relating to enhancing the information-base for coastal habitat management and action planning. Efforts to develop and apply algorithms for the interpretation of remotely sensed information and data on coastal habitat associations and zonation will not only be applicable in the SCS marine basin, but also in adjacent areas such as the Sulu-Sulawesi marine ecoregion and in the nearby Pacific Islands where similar needs exist within the framework of the GEF Pacific Ridge to Reef Programme. Significantly, the methodologies and procedures developed to better understand habitat associations and zonation will enable more accurate identification of the impacts of the compression of the terrestrial/marine interface anticipated as a result of rising sea levels. Linked activities and related approaches to quantify the role of habitats in the sequestration and storage of carbon, and identification of the potential impacts of sea level rise, climate change, and episodic events on coastal habitats of the South China Sea have potential for application in other shallow water tropical marine ecosystems.</w:t>
      </w:r>
    </w:p>
    <w:p w14:paraId="725B65EA" w14:textId="77777777" w:rsidR="006D3D2E" w:rsidRDefault="006D3D2E" w:rsidP="00132162">
      <w:pPr>
        <w:numPr>
          <w:ilvl w:val="0"/>
          <w:numId w:val="3"/>
        </w:numPr>
        <w:spacing w:after="120"/>
        <w:ind w:left="0" w:firstLine="0"/>
        <w:jc w:val="both"/>
        <w:rPr>
          <w:sz w:val="22"/>
          <w:szCs w:val="22"/>
          <w:lang w:val="en-GB"/>
        </w:rPr>
      </w:pPr>
      <w:r w:rsidRPr="006D3D2E">
        <w:rPr>
          <w:sz w:val="22"/>
          <w:szCs w:val="22"/>
          <w:lang w:val="en-GB"/>
        </w:rPr>
        <w:t xml:space="preserve">Similarly, the development of objective and scientifically sound methods and procedures for identifying priority areas for mangrove reforestation, identifying priority areas for enrichment planting, identifying priority sites for seagrass MPAs, and the development of a regional estuary monitoring scheme at the national level have high potential for publication and the internationally peer-reviewed international literature. These tools will not only contribute to the development of the package of best practice examples in coastal habitat management in the South China Sea but also have potential for application elsewhere. The information and data generated via planned activities to conduct in situ monitoring at enrichment planting sites, for example, will enhance region-wide understanding of the biodiversity benefits of these approaches. The production of regional guidelines on identification for priority sites for mangrove reforestation will aid the broader mainstreaming of these approaches into national and provincial government agencies. It will also assist in overcoming the broader decline in the use of science in coastal and marine policy and planning in South East Asia, examples of which are legion in the broader East Asian Seas region and adjacent Pacific Islands. This is a problem that has long been recognized globally and plagues </w:t>
      </w:r>
      <w:r>
        <w:rPr>
          <w:sz w:val="22"/>
          <w:szCs w:val="22"/>
          <w:lang w:val="en-GB"/>
        </w:rPr>
        <w:t xml:space="preserve">both </w:t>
      </w:r>
      <w:r w:rsidRPr="006D3D2E">
        <w:rPr>
          <w:sz w:val="22"/>
          <w:szCs w:val="22"/>
          <w:lang w:val="en-GB"/>
        </w:rPr>
        <w:t>developed and developing regions alike (see Bewers, 1995).</w:t>
      </w:r>
    </w:p>
    <w:p w14:paraId="3761B014" w14:textId="77777777" w:rsidR="006D3D2E" w:rsidRDefault="006D3D2E" w:rsidP="00132162">
      <w:pPr>
        <w:numPr>
          <w:ilvl w:val="0"/>
          <w:numId w:val="3"/>
        </w:numPr>
        <w:spacing w:after="120"/>
        <w:ind w:left="0" w:firstLine="0"/>
        <w:jc w:val="both"/>
        <w:rPr>
          <w:sz w:val="22"/>
          <w:szCs w:val="22"/>
          <w:lang w:val="en-GB"/>
        </w:rPr>
      </w:pPr>
      <w:r w:rsidRPr="006D3D2E">
        <w:rPr>
          <w:sz w:val="22"/>
          <w:szCs w:val="22"/>
          <w:lang w:val="en-GB"/>
        </w:rPr>
        <w:t xml:space="preserve">Efforts to integrate regional science in the management of land-based pollution also have high potential for replication, scaling-up and mainstreaming. Importantly the project will communicate with decision-makers about the localized versus transboundary impacts of land-based pollution in the SCS to mainstream knowledge about the carrying capacity of the SCS marine basin with respect to nutrient carrying capacity into national and provincial development and waste management planning. Similarly, the project will determine the total contaminant loading and carrying capacity of the SCS via application of quantitative modeling and GIS-based techniques for seven heavy metals (Hg, Cd, Pb, Cu, Cr, As, Zn). Drawing on the agreed regional framework for valuing the impacts of land-based contaminants on coastal ecosystems, the impacts of the estimated heavy metal contaminant loadings will </w:t>
      </w:r>
      <w:r w:rsidR="00402BA7">
        <w:rPr>
          <w:sz w:val="22"/>
          <w:szCs w:val="22"/>
          <w:lang w:val="en-GB"/>
        </w:rPr>
        <w:t xml:space="preserve">be </w:t>
      </w:r>
      <w:r w:rsidRPr="006D3D2E">
        <w:rPr>
          <w:sz w:val="22"/>
          <w:szCs w:val="22"/>
          <w:lang w:val="en-GB"/>
        </w:rPr>
        <w:t>defined, quantified and communicated to decision-makers to mainstream this information in related project activities to develop National Investment Plans for land-based pollution in the SCS areas of the participating countries. The quantification of effluent volumes and contaminant loadings from coastal aquaculture to the SCS marine basin is also a key innovation and is regionally and globally significant given the fact that waste disposal from coastal aquaculture activities is among the key contemporary threats to habitats and contributing to issues including the increasing dwarfism in mangroves. Each of the above project innovations have potential for application other transboundary water areas including the Yellow Sea, the Bay of Bengal, the Sulu-Sulawesi and other areas of the so called coral triangle.</w:t>
      </w:r>
    </w:p>
    <w:p w14:paraId="39ACC2A9" w14:textId="77777777" w:rsidR="0010226E" w:rsidRDefault="0010226E" w:rsidP="00132162">
      <w:pPr>
        <w:numPr>
          <w:ilvl w:val="0"/>
          <w:numId w:val="3"/>
        </w:numPr>
        <w:spacing w:after="120"/>
        <w:ind w:left="0" w:firstLine="0"/>
        <w:jc w:val="both"/>
        <w:rPr>
          <w:sz w:val="22"/>
          <w:szCs w:val="22"/>
          <w:lang w:val="en-GB"/>
        </w:rPr>
      </w:pPr>
      <w:r w:rsidRPr="0010226E">
        <w:rPr>
          <w:sz w:val="22"/>
          <w:szCs w:val="22"/>
          <w:lang w:val="en-GB"/>
        </w:rPr>
        <w:t>An innovation of major significance, and it is presented here to be of high relevance to the entire portfolio of GEF International Waters projects, are the significant advancements achieved during SAP formulation in the determination of national and regionally applicable Total Economic Values for coastal habitats that were used to value the cost of action versus non-action within the framework of SAP implementation. Despite these advancements, several challenges exist in the application of economic valuation in decision-making for transboundary water resource management in the South China Sea; indeed the issues of economic valuation of ecosystem goods and services in development planning remains a challenge facing the entire portfolio of GEF investments in procuring the goods and services of the global environment, particularly in its Intern</w:t>
      </w:r>
      <w:r w:rsidR="000F7E5C">
        <w:rPr>
          <w:sz w:val="22"/>
          <w:szCs w:val="22"/>
          <w:lang w:val="en-GB"/>
        </w:rPr>
        <w:t xml:space="preserve">ational Waters focal area. </w:t>
      </w:r>
      <w:r w:rsidRPr="0010226E">
        <w:rPr>
          <w:sz w:val="22"/>
          <w:szCs w:val="22"/>
          <w:lang w:val="en-GB"/>
        </w:rPr>
        <w:t>The values determined through SAP formulation are incomplete since not all known goods or services from individual coastal ecosystems have been valued. One area of current weakness is that comparatively few existing values for the service provided by habitats as nursery areas for off-shore fish and crustaceans are included. This is known to be a significant and major service provided by mangrove and seagrass habitats and a key innovation of the present project includes establishing the economic values of these services. One additional area of identified need that the project will address is in the determination of economic losses of coastal ecosystem goods and services consequent upon coastal shipping accidents and land-based pollution damage. The approach, strengthened dataset, and applications of this work on economic valuation and its application in determining the cost-effectiveness of management actions has a high degree of potential for wide replication elsewhere. The preparation of GEF International Waters Knowledge Document on these developments will be used as a communications tool for the global sharing of the outcomes of this work.</w:t>
      </w:r>
    </w:p>
    <w:p w14:paraId="33B4AD9B" w14:textId="77777777" w:rsidR="00150967" w:rsidRDefault="00150967" w:rsidP="00132162">
      <w:pPr>
        <w:numPr>
          <w:ilvl w:val="0"/>
          <w:numId w:val="3"/>
        </w:numPr>
        <w:spacing w:after="120"/>
        <w:ind w:left="0" w:firstLine="0"/>
        <w:jc w:val="both"/>
        <w:rPr>
          <w:sz w:val="22"/>
          <w:szCs w:val="22"/>
          <w:lang w:val="en-GB"/>
        </w:rPr>
      </w:pPr>
      <w:r>
        <w:rPr>
          <w:sz w:val="22"/>
          <w:szCs w:val="22"/>
          <w:lang w:val="en-GB"/>
        </w:rPr>
        <w:t>The replication and scaling-up of the SAP SCS – GEF SGP partnership is a key innovation that has potential for replication elsewhere. As noted by Chen et al. (2013), large-scale international waters management projects usually focus on fostering formal inter-governmental cooperation processes, which ofte</w:t>
      </w:r>
      <w:r w:rsidR="003E3D6E">
        <w:rPr>
          <w:sz w:val="22"/>
          <w:szCs w:val="22"/>
          <w:lang w:val="en-GB"/>
        </w:rPr>
        <w:t>n lead to limited on-the-ground</w:t>
      </w:r>
      <w:r>
        <w:rPr>
          <w:sz w:val="22"/>
          <w:szCs w:val="22"/>
          <w:lang w:val="en-GB"/>
        </w:rPr>
        <w:t xml:space="preserve"> impact. In contrast, community-based international waters projects are often local, individualistic and stand-alone projects, lacking regional linkages and perspectives. Linking regional processes with local actions not only enhances the effectiveness of local action in addressing international waters issues but also strengthens regional frameworks</w:t>
      </w:r>
      <w:r w:rsidR="003E3D6E">
        <w:rPr>
          <w:sz w:val="22"/>
          <w:szCs w:val="22"/>
          <w:lang w:val="en-GB"/>
        </w:rPr>
        <w:t xml:space="preserve">. The present project builds on this via </w:t>
      </w:r>
      <w:r w:rsidR="003E3D6E" w:rsidRPr="003E3D6E">
        <w:rPr>
          <w:sz w:val="22"/>
          <w:szCs w:val="22"/>
          <w:lang w:val="en-GB"/>
        </w:rPr>
        <w:t>network community leaders and local government from priority habitat sites networked via national and regional round-table meetings to foster cooperation and knowledge sharing on achievements and best practices in community based approaches. Mechanisms are also in place to elicit CSO &amp; CO inputs to planning, and the monitoring and evaluation, of the SCS-SGP partnership via annual NGO forums. A training program on the science and management of SCS coastal habitats and resources will also be developed and operated for SGP proponents.</w:t>
      </w:r>
      <w:r w:rsidR="003E3D6E">
        <w:rPr>
          <w:sz w:val="22"/>
          <w:szCs w:val="22"/>
          <w:lang w:val="en-GB"/>
        </w:rPr>
        <w:t xml:space="preserve"> Experiences from these activities, and the various support tools to be developed, have significant potential for application elsewhere.</w:t>
      </w:r>
    </w:p>
    <w:p w14:paraId="3574CF7A" w14:textId="77777777" w:rsidR="0010226E" w:rsidRDefault="0010226E" w:rsidP="00132162">
      <w:pPr>
        <w:numPr>
          <w:ilvl w:val="0"/>
          <w:numId w:val="3"/>
        </w:numPr>
        <w:spacing w:after="120"/>
        <w:ind w:left="0" w:firstLine="0"/>
        <w:jc w:val="both"/>
        <w:rPr>
          <w:sz w:val="22"/>
          <w:szCs w:val="22"/>
          <w:lang w:val="en-GB"/>
        </w:rPr>
      </w:pPr>
      <w:r w:rsidRPr="0010226E">
        <w:rPr>
          <w:sz w:val="22"/>
          <w:szCs w:val="22"/>
          <w:lang w:val="en-GB"/>
        </w:rPr>
        <w:t xml:space="preserve">The South China Sea Strategic Action Programme defined indicators and results frameworks for use in monitoring and evaluating the effectiveness of SAP implementation. This project will facilitate national and regional level cooperation in tracking the results of SAP actions for coastal habitat management. Specific indicators of sustainability to be tracked relate to: the enabling environments for sustainable management; improvements to ecological and environmental state; and socio-economic impacts. Key project innovations in this area relate to the development of standardized methods and guidelines for habitat inventory and assessment, leading to the achievement of regional-level agreement on a harmonized results framework and analytical tool for tracking and reporting on sustainability of habitat management systems in the SCS basin. The alignment of these reporting frameworks with those of International Conventions, including the Aichi targets and SDGs for example, has high potential for scaling-up elsewhere. It also has potential to stimulate south-south exchange on results-based management, an obvious starting point for which would be </w:t>
      </w:r>
      <w:r>
        <w:rPr>
          <w:sz w:val="22"/>
          <w:szCs w:val="22"/>
          <w:lang w:val="en-GB"/>
        </w:rPr>
        <w:t xml:space="preserve">exchanges </w:t>
      </w:r>
      <w:r w:rsidRPr="0010226E">
        <w:rPr>
          <w:sz w:val="22"/>
          <w:szCs w:val="22"/>
          <w:lang w:val="en-GB"/>
        </w:rPr>
        <w:t>with the GEF programme in the Pacific Islands</w:t>
      </w:r>
      <w:r>
        <w:rPr>
          <w:sz w:val="22"/>
          <w:szCs w:val="22"/>
          <w:lang w:val="en-GB"/>
        </w:rPr>
        <w:t xml:space="preserve"> which is presently initiating the development of a harmonized multi-focal area results reporting system for the 14 participating countries in that initiative</w:t>
      </w:r>
      <w:r w:rsidRPr="0010226E">
        <w:rPr>
          <w:sz w:val="22"/>
          <w:szCs w:val="22"/>
          <w:lang w:val="en-GB"/>
        </w:rPr>
        <w:t>. Additionally, an online ‘results’ portal will be developed to support regional-level capacity building in results-oriented planning and management of coastal habitats, as well as the routine online sharing and syndication of SAP implementation results. The latter will involve online geospatial presentation of results linked to related initiatives of the GEF IW:LEARN and GEF LME:LEARN initiatives.</w:t>
      </w:r>
      <w:r>
        <w:rPr>
          <w:sz w:val="22"/>
          <w:szCs w:val="22"/>
          <w:lang w:val="en-GB"/>
        </w:rPr>
        <w:t xml:space="preserve"> The online applications </w:t>
      </w:r>
      <w:r w:rsidR="00C1706C">
        <w:rPr>
          <w:sz w:val="22"/>
          <w:szCs w:val="22"/>
          <w:lang w:val="en-GB"/>
        </w:rPr>
        <w:t xml:space="preserve">developed </w:t>
      </w:r>
      <w:r>
        <w:rPr>
          <w:sz w:val="22"/>
          <w:szCs w:val="22"/>
          <w:lang w:val="en-GB"/>
        </w:rPr>
        <w:t>to support this results reporting have high potential for ‘plug and play’ type application by other GEF LME projects.</w:t>
      </w:r>
    </w:p>
    <w:p w14:paraId="5D484FB0" w14:textId="77777777" w:rsidR="00465F86" w:rsidRPr="0010226E" w:rsidRDefault="00465F86" w:rsidP="0010226E">
      <w:pPr>
        <w:numPr>
          <w:ilvl w:val="0"/>
          <w:numId w:val="3"/>
        </w:numPr>
        <w:spacing w:after="120"/>
        <w:ind w:left="0" w:firstLine="0"/>
        <w:jc w:val="both"/>
        <w:rPr>
          <w:sz w:val="22"/>
          <w:szCs w:val="22"/>
          <w:lang w:val="en-GB"/>
        </w:rPr>
      </w:pPr>
      <w:r w:rsidRPr="00465F86">
        <w:rPr>
          <w:sz w:val="22"/>
          <w:szCs w:val="22"/>
          <w:lang w:val="en-GB"/>
        </w:rPr>
        <w:t>In that this project is a SAP Implementation Project in the GEF sense it is itself a replicate of actions fostered by the GEF in the Mediterranean, Black Sea, Caspian and elsewhere. It builds upon the achievements of the SCS Project and hence it will replicate successful models and practices developed and adopted during the implementation of that project. In particular the models and practices for cross-sectoral management; community participation, business planning, identification and fostering of alternative livelihoods, and public awareness will be used in on-the-ground management interventions during SAP implementation. The present project will generate further models, guidelines and practices, particularly relating to the sustainable use of coastal habitats, alternative livelihoods and community involvement in resource management that can be replicated both within and outside the region as appropriate.</w:t>
      </w:r>
      <w:r w:rsidR="0010226E">
        <w:rPr>
          <w:sz w:val="22"/>
          <w:szCs w:val="22"/>
          <w:lang w:val="en-GB"/>
        </w:rPr>
        <w:t xml:space="preserve"> </w:t>
      </w:r>
      <w:r w:rsidRPr="0010226E">
        <w:rPr>
          <w:sz w:val="22"/>
          <w:szCs w:val="22"/>
          <w:lang w:val="en-GB"/>
        </w:rPr>
        <w:t>Successful and unsuccessful practices and models will be published via the South China Sea website and the periodic Regional Scientific Conferences, Mayor’s Round Tables, and Non-Governmental Organisations Fora will all serve as venues through which successful models and practices can be publicised and hence as a platform for replication</w:t>
      </w:r>
      <w:r w:rsidR="00066D16" w:rsidRPr="0010226E">
        <w:rPr>
          <w:sz w:val="22"/>
          <w:szCs w:val="22"/>
          <w:lang w:val="en-GB"/>
        </w:rPr>
        <w:t>.</w:t>
      </w:r>
      <w:r w:rsidR="00402BA7">
        <w:rPr>
          <w:sz w:val="22"/>
          <w:szCs w:val="22"/>
          <w:lang w:val="en-GB"/>
        </w:rPr>
        <w:t xml:space="preserve"> Replication and scaling-up </w:t>
      </w:r>
      <w:r w:rsidR="00B33026">
        <w:rPr>
          <w:sz w:val="22"/>
          <w:szCs w:val="22"/>
          <w:lang w:val="en-GB"/>
        </w:rPr>
        <w:t>strategies will be developed during project Year 1 and updated annually. A matrix for use in planning replication and scaling-up strategies is presented in Table 44.</w:t>
      </w:r>
    </w:p>
    <w:p w14:paraId="3A260102" w14:textId="77777777" w:rsidR="00F07F81" w:rsidRDefault="00F07F81" w:rsidP="004B053A">
      <w:pPr>
        <w:numPr>
          <w:ilvl w:val="1"/>
          <w:numId w:val="4"/>
        </w:numPr>
        <w:spacing w:after="120"/>
        <w:outlineLvl w:val="1"/>
        <w:rPr>
          <w:b/>
          <w:sz w:val="22"/>
          <w:szCs w:val="22"/>
          <w:lang w:val="en-GB"/>
        </w:rPr>
      </w:pPr>
      <w:bookmarkStart w:id="91" w:name="_Toc209432659"/>
      <w:r>
        <w:rPr>
          <w:b/>
          <w:sz w:val="22"/>
          <w:szCs w:val="22"/>
          <w:lang w:val="en-GB"/>
        </w:rPr>
        <w:t>Public awareness</w:t>
      </w:r>
      <w:r w:rsidR="006D3D2E">
        <w:rPr>
          <w:b/>
          <w:sz w:val="22"/>
          <w:szCs w:val="22"/>
          <w:lang w:val="en-GB"/>
        </w:rPr>
        <w:t xml:space="preserve"> and </w:t>
      </w:r>
      <w:r>
        <w:rPr>
          <w:b/>
          <w:sz w:val="22"/>
          <w:szCs w:val="22"/>
          <w:lang w:val="en-GB"/>
        </w:rPr>
        <w:t>communications strategy</w:t>
      </w:r>
      <w:bookmarkEnd w:id="91"/>
    </w:p>
    <w:p w14:paraId="5F017D0C" w14:textId="77777777" w:rsidR="00D45E3D" w:rsidRDefault="00465F86" w:rsidP="00D45E3D">
      <w:pPr>
        <w:numPr>
          <w:ilvl w:val="0"/>
          <w:numId w:val="3"/>
        </w:numPr>
        <w:spacing w:after="120"/>
        <w:ind w:left="0" w:firstLine="0"/>
        <w:jc w:val="both"/>
        <w:rPr>
          <w:sz w:val="22"/>
          <w:szCs w:val="22"/>
          <w:lang w:val="en-GB"/>
        </w:rPr>
      </w:pPr>
      <w:r w:rsidRPr="00465F86">
        <w:rPr>
          <w:sz w:val="22"/>
          <w:szCs w:val="22"/>
          <w:lang w:val="en-GB"/>
        </w:rPr>
        <w:t xml:space="preserve">All components of the project involve activities centred on public awareness and the communication and exchange of data and information both within and beyond the network partners. A wide range of public awareness materials (posters, brochures, video shorts and other materials) have already been produced in the seven national languages and copies are lodged on the existing SCS </w:t>
      </w:r>
      <w:r w:rsidR="00EC7EAF">
        <w:rPr>
          <w:sz w:val="22"/>
          <w:szCs w:val="22"/>
          <w:lang w:val="en-GB"/>
        </w:rPr>
        <w:t>p</w:t>
      </w:r>
      <w:r w:rsidRPr="00465F86">
        <w:rPr>
          <w:sz w:val="22"/>
          <w:szCs w:val="22"/>
          <w:lang w:val="en-GB"/>
        </w:rPr>
        <w:t>roject website from which they can be downloaded and reproduced or edited and altered as required. It is intended in one component at least to build a network of local journalists interested in environmental issues and stories and to provide them with scientifically sound materials that can be adapted to various forms of mass communication.</w:t>
      </w:r>
      <w:r w:rsidR="00D45E3D">
        <w:rPr>
          <w:sz w:val="22"/>
          <w:szCs w:val="22"/>
          <w:lang w:val="en-GB"/>
        </w:rPr>
        <w:t xml:space="preserve"> </w:t>
      </w:r>
      <w:r w:rsidRPr="00D45E3D">
        <w:rPr>
          <w:sz w:val="22"/>
          <w:szCs w:val="22"/>
          <w:lang w:val="en-GB"/>
        </w:rPr>
        <w:t>Central to the communication strategy will be the continued operation of the South China Sea website as a valuable resource and repository of data, information and tools relating to environmental management and sustainable use of coastal resources. This website allows network partners to up-load scientific data and information directly to the regional databases and up-load information from ongoing activities at the national level to dedicated pages.</w:t>
      </w:r>
    </w:p>
    <w:p w14:paraId="57270E99" w14:textId="77777777" w:rsidR="00465F86" w:rsidRDefault="00465F86" w:rsidP="00132162">
      <w:pPr>
        <w:numPr>
          <w:ilvl w:val="0"/>
          <w:numId w:val="3"/>
        </w:numPr>
        <w:tabs>
          <w:tab w:val="left" w:pos="720"/>
        </w:tabs>
        <w:spacing w:after="120"/>
        <w:ind w:left="0" w:firstLine="0"/>
        <w:jc w:val="both"/>
        <w:rPr>
          <w:sz w:val="22"/>
          <w:szCs w:val="22"/>
          <w:lang w:val="en-GB"/>
        </w:rPr>
      </w:pPr>
      <w:r w:rsidRPr="00D45E3D">
        <w:rPr>
          <w:sz w:val="22"/>
          <w:szCs w:val="22"/>
          <w:lang w:val="en-GB"/>
        </w:rPr>
        <w:t xml:space="preserve"> </w:t>
      </w:r>
      <w:r w:rsidR="00D45E3D" w:rsidRPr="00D45E3D">
        <w:rPr>
          <w:sz w:val="22"/>
          <w:szCs w:val="22"/>
          <w:lang w:val="en-GB"/>
        </w:rPr>
        <w:t>A majority of the outputs of the SCS project were used as inputs to the development of SAP goals, targets, and activities and will be important references for individuals and organisations involved in SAP implementation and in gauging the efficacy of SAP interventions. From the perspective of regional co-ordination and execution of SAP activities, the existing SCS website will act as a platform for ensuring ease of access to and downloading of SCS project outputs. The large number and wide range of outputs generated through the operation of large multi-lateral, intergovernmental projects creates a need for the maintenance of repositories that provide for the efficient online storage, searching, and download of outputs. Increasingly, ensuring ease of accessibility to outputs is becoming an expectation of donors, and certainly the experience of the SCS project suggests that it may assist in increasing the accountability, transparency, and legitimacy of project work. The repositories of projects documents, training materials, multi-media outputs, and public communication materials developed as part of the SCS project will be built on by the present project. The present project will also revitalise the SC</w:t>
      </w:r>
      <w:r w:rsidR="00E10371">
        <w:rPr>
          <w:sz w:val="22"/>
          <w:szCs w:val="22"/>
          <w:lang w:val="en-GB"/>
        </w:rPr>
        <w:t>S partnership with Google Earth</w:t>
      </w:r>
      <w:r w:rsidR="00E10371">
        <w:rPr>
          <w:rStyle w:val="FootnoteReference"/>
          <w:sz w:val="22"/>
          <w:szCs w:val="22"/>
          <w:lang w:val="en-GB"/>
        </w:rPr>
        <w:footnoteReference w:id="79"/>
      </w:r>
      <w:r w:rsidR="00E10371">
        <w:rPr>
          <w:sz w:val="22"/>
          <w:szCs w:val="22"/>
          <w:lang w:val="en-GB"/>
        </w:rPr>
        <w:t xml:space="preserve"> </w:t>
      </w:r>
      <w:r w:rsidR="00D45E3D" w:rsidRPr="00D45E3D">
        <w:rPr>
          <w:sz w:val="22"/>
          <w:szCs w:val="22"/>
          <w:lang w:val="en-GB"/>
        </w:rPr>
        <w:t>to facilitate effective global outreach. Table 45 summarises the objectives, features, required inputs, and technical needs for the SCS website identified during project preparation to best ensure the use of online technologies in support of project implementation and communications.</w:t>
      </w:r>
    </w:p>
    <w:p w14:paraId="1067EA3D" w14:textId="77777777" w:rsidR="00E10371" w:rsidRPr="00D45E3D" w:rsidRDefault="00ED6236" w:rsidP="00132162">
      <w:pPr>
        <w:numPr>
          <w:ilvl w:val="0"/>
          <w:numId w:val="3"/>
        </w:numPr>
        <w:tabs>
          <w:tab w:val="left" w:pos="720"/>
        </w:tabs>
        <w:spacing w:after="120"/>
        <w:ind w:left="0" w:firstLine="0"/>
        <w:jc w:val="both"/>
        <w:rPr>
          <w:sz w:val="22"/>
          <w:szCs w:val="22"/>
          <w:lang w:val="en-GB"/>
        </w:rPr>
      </w:pPr>
      <w:r w:rsidRPr="00ED6236">
        <w:rPr>
          <w:sz w:val="22"/>
          <w:szCs w:val="22"/>
          <w:lang w:val="en-GB"/>
        </w:rPr>
        <w:t>Additionally, project communications strategy will be elaborated during the inception phase. The will reflect the nine key guiding principles of the project and its alignment with the achievement of the SAP targets, Aichi targets and Sustainable Development Goals. This document will give strategic direction to communications activities of the project in areas relating to: (1) the development and conduct of a baseline assessment and audit of communications needs and priorities; (2) the development of appropriate communications and knowledge management platforms for the project website and operation of an online Community of Practice; (3) the project’s branding and style brief; (4) media relations, including the establishment of public relations protocols and development of partnerships with regional and national media outlets; (5) representation of the project at key global, regional and national political and scientific events; (6) the use of social media in syndicating project news and information and creating awareness of SAP implementation and priority issues; (7) costed plans for the development of multi-media communications products and knowledge exchange tools; and the  (8) capacity development of national stakeholders on effective use of the media in support of the achievement of SAP targets. The strategy wil</w:t>
      </w:r>
      <w:r>
        <w:rPr>
          <w:sz w:val="22"/>
          <w:szCs w:val="22"/>
          <w:lang w:val="en-GB"/>
        </w:rPr>
        <w:t xml:space="preserve">l also </w:t>
      </w:r>
      <w:r w:rsidRPr="00ED6236">
        <w:rPr>
          <w:sz w:val="22"/>
          <w:szCs w:val="22"/>
          <w:lang w:val="en-GB"/>
        </w:rPr>
        <w:t>contain a comprehensive project FAQs section and listing, including contacts, of all priority media outlets.</w:t>
      </w:r>
    </w:p>
    <w:p w14:paraId="7D91D3CA" w14:textId="77777777" w:rsidR="00F07F81" w:rsidRDefault="00F07F81" w:rsidP="004B053A">
      <w:pPr>
        <w:numPr>
          <w:ilvl w:val="1"/>
          <w:numId w:val="4"/>
        </w:numPr>
        <w:spacing w:after="120"/>
        <w:jc w:val="both"/>
        <w:outlineLvl w:val="1"/>
        <w:rPr>
          <w:b/>
          <w:sz w:val="22"/>
          <w:szCs w:val="22"/>
          <w:lang w:val="en-GB"/>
        </w:rPr>
      </w:pPr>
      <w:bookmarkStart w:id="92" w:name="_Toc209432660"/>
      <w:r>
        <w:rPr>
          <w:b/>
          <w:sz w:val="22"/>
          <w:szCs w:val="22"/>
          <w:lang w:val="en-GB"/>
        </w:rPr>
        <w:t>Environmental and social safeguards</w:t>
      </w:r>
      <w:bookmarkEnd w:id="92"/>
    </w:p>
    <w:p w14:paraId="5E76DDF9" w14:textId="77777777" w:rsidR="00F07F81" w:rsidRDefault="00C81A79" w:rsidP="00C81A79">
      <w:pPr>
        <w:numPr>
          <w:ilvl w:val="0"/>
          <w:numId w:val="3"/>
        </w:numPr>
        <w:spacing w:after="120"/>
        <w:ind w:left="0" w:firstLine="0"/>
        <w:jc w:val="both"/>
        <w:rPr>
          <w:sz w:val="22"/>
          <w:szCs w:val="22"/>
          <w:lang w:val="en-GB"/>
        </w:rPr>
      </w:pPr>
      <w:r>
        <w:rPr>
          <w:sz w:val="22"/>
          <w:szCs w:val="22"/>
          <w:lang w:val="en-GB"/>
        </w:rPr>
        <w:t xml:space="preserve">The priority sites for action within the framework of SAP implementation are becoming increasingly densely populated coastal areas wherein natural and social systems are characterised by multiple compromises as a result of the threats reviewed in Section 2 of this document. A screening of the potential environmental and social impacts of national level activities of this project was undertaken during the Project Preparation Phase. Specific elements of the project design assessed included the proposed locations of activities, possible environmental impacts, and social considerations. No adverse impacts as a result of the execution of the project activities were identified. The screening report is appended to this document as Appendix </w:t>
      </w:r>
      <w:r w:rsidR="00066D16">
        <w:rPr>
          <w:sz w:val="22"/>
          <w:szCs w:val="22"/>
          <w:lang w:val="en-GB"/>
        </w:rPr>
        <w:t>16</w:t>
      </w:r>
      <w:r>
        <w:rPr>
          <w:sz w:val="22"/>
          <w:szCs w:val="22"/>
          <w:lang w:val="en-GB"/>
        </w:rPr>
        <w:t>.</w:t>
      </w:r>
    </w:p>
    <w:p w14:paraId="112E8163" w14:textId="77777777" w:rsidR="00F07F81" w:rsidRDefault="00C81A79" w:rsidP="00B91E7E">
      <w:pPr>
        <w:numPr>
          <w:ilvl w:val="0"/>
          <w:numId w:val="3"/>
        </w:numPr>
        <w:spacing w:after="120"/>
        <w:ind w:left="0" w:firstLine="0"/>
        <w:jc w:val="both"/>
        <w:rPr>
          <w:sz w:val="22"/>
          <w:szCs w:val="22"/>
          <w:lang w:val="en-GB"/>
        </w:rPr>
      </w:pPr>
      <w:r>
        <w:rPr>
          <w:sz w:val="22"/>
          <w:szCs w:val="22"/>
          <w:lang w:val="en-GB"/>
        </w:rPr>
        <w:t>It is anticipated that project activities will result in significant positive environmental and social benefits. Specifically the project will develop the scientific, institutional and policy basis required to reduce the rates of loss of the South China Sea’s globally significant habitats and associated biodiversity. This is of the highest global significance given the large proportion of the world’s population that live within the coastal areas of the South China Sea and depend upon its ecosystem goods and services for nutrition and liveilhoods.</w:t>
      </w:r>
    </w:p>
    <w:p w14:paraId="402663F8" w14:textId="77777777" w:rsidR="00B33026" w:rsidRDefault="00B33026" w:rsidP="00B33026">
      <w:pPr>
        <w:spacing w:after="120"/>
        <w:jc w:val="both"/>
        <w:rPr>
          <w:sz w:val="22"/>
          <w:szCs w:val="22"/>
          <w:lang w:val="en-GB"/>
        </w:rPr>
        <w:sectPr w:rsidR="00B33026" w:rsidSect="00064925">
          <w:pgSz w:w="12240" w:h="15840" w:code="1"/>
          <w:pgMar w:top="1440" w:right="1584" w:bottom="1440" w:left="1584" w:header="706" w:footer="706" w:gutter="0"/>
          <w:cols w:space="708"/>
          <w:docGrid w:linePitch="360"/>
        </w:sectPr>
      </w:pPr>
    </w:p>
    <w:p w14:paraId="1BD5F2FE" w14:textId="77777777" w:rsidR="00B33026" w:rsidRDefault="00EC7EAF" w:rsidP="00B33026">
      <w:pPr>
        <w:spacing w:after="120"/>
        <w:jc w:val="both"/>
        <w:rPr>
          <w:sz w:val="22"/>
          <w:szCs w:val="22"/>
          <w:lang w:val="en-GB"/>
        </w:rPr>
      </w:pPr>
      <w:r w:rsidRPr="00D45E3D">
        <w:rPr>
          <w:b/>
          <w:sz w:val="22"/>
          <w:szCs w:val="22"/>
          <w:lang w:val="en-GB"/>
        </w:rPr>
        <w:t>Table 44</w:t>
      </w:r>
      <w:r w:rsidRPr="00EC7EAF">
        <w:rPr>
          <w:sz w:val="22"/>
          <w:szCs w:val="22"/>
          <w:lang w:val="en-GB"/>
        </w:rPr>
        <w:tab/>
        <w:t>Provisional framework for the planning of replication and scaling-up strategies</w:t>
      </w:r>
    </w:p>
    <w:tbl>
      <w:tblPr>
        <w:tblW w:w="13219"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84"/>
        <w:gridCol w:w="1456"/>
        <w:gridCol w:w="971"/>
        <w:gridCol w:w="2968"/>
        <w:gridCol w:w="2340"/>
        <w:gridCol w:w="1456"/>
        <w:gridCol w:w="1244"/>
      </w:tblGrid>
      <w:tr w:rsidR="00D45E3D" w:rsidRPr="00064925" w14:paraId="49A6A2D5" w14:textId="77777777" w:rsidTr="003615D0">
        <w:trPr>
          <w:trHeight w:val="341"/>
          <w:tblHeader/>
        </w:trPr>
        <w:tc>
          <w:tcPr>
            <w:tcW w:w="2784" w:type="dxa"/>
            <w:tcBorders>
              <w:top w:val="single" w:sz="12" w:space="0" w:color="auto"/>
              <w:left w:val="single" w:sz="12" w:space="0" w:color="auto"/>
              <w:bottom w:val="single" w:sz="12" w:space="0" w:color="auto"/>
              <w:right w:val="single" w:sz="12" w:space="0" w:color="auto"/>
            </w:tcBorders>
            <w:shd w:val="clear" w:color="auto" w:fill="FFFFFF"/>
          </w:tcPr>
          <w:p w14:paraId="79D7C234" w14:textId="77777777" w:rsidR="00D45E3D" w:rsidRPr="00D61E26" w:rsidRDefault="00D45E3D" w:rsidP="003615D0">
            <w:pPr>
              <w:spacing w:beforeLines="40" w:before="96" w:afterLines="40" w:after="96"/>
              <w:jc w:val="center"/>
              <w:rPr>
                <w:b/>
                <w:sz w:val="21"/>
                <w:szCs w:val="21"/>
                <w:lang w:val="en-GB" w:bidi="th-TH"/>
              </w:rPr>
            </w:pPr>
            <w:r w:rsidRPr="00D61E26">
              <w:rPr>
                <w:b/>
                <w:sz w:val="21"/>
                <w:szCs w:val="21"/>
                <w:lang w:val="en-GB" w:bidi="th-TH"/>
              </w:rPr>
              <w:t xml:space="preserve">Lesson </w:t>
            </w:r>
            <w:r w:rsidR="00B3115F">
              <w:rPr>
                <w:b/>
                <w:sz w:val="21"/>
                <w:szCs w:val="21"/>
                <w:lang w:val="en-GB" w:bidi="th-TH"/>
              </w:rPr>
              <w:t xml:space="preserve">Learned </w:t>
            </w:r>
            <w:r w:rsidRPr="00D61E26">
              <w:rPr>
                <w:b/>
                <w:sz w:val="21"/>
                <w:szCs w:val="21"/>
                <w:lang w:val="en-GB" w:bidi="th-TH"/>
              </w:rPr>
              <w:t>and/or Best Practice</w:t>
            </w:r>
          </w:p>
        </w:tc>
        <w:tc>
          <w:tcPr>
            <w:tcW w:w="1456" w:type="dxa"/>
            <w:tcBorders>
              <w:top w:val="single" w:sz="12" w:space="0" w:color="auto"/>
              <w:left w:val="single" w:sz="12" w:space="0" w:color="auto"/>
              <w:bottom w:val="single" w:sz="12" w:space="0" w:color="auto"/>
              <w:right w:val="single" w:sz="12" w:space="0" w:color="auto"/>
            </w:tcBorders>
            <w:shd w:val="clear" w:color="auto" w:fill="FFFFFF"/>
          </w:tcPr>
          <w:p w14:paraId="65422D1D" w14:textId="77777777" w:rsidR="00D45E3D" w:rsidRPr="00D61E26" w:rsidRDefault="00D45E3D" w:rsidP="003615D0">
            <w:pPr>
              <w:spacing w:beforeLines="40" w:before="96" w:afterLines="40" w:after="96"/>
              <w:jc w:val="center"/>
              <w:rPr>
                <w:b/>
                <w:sz w:val="21"/>
                <w:szCs w:val="21"/>
                <w:lang w:val="en-GB" w:bidi="th-TH"/>
              </w:rPr>
            </w:pPr>
            <w:r w:rsidRPr="00D61E26">
              <w:rPr>
                <w:b/>
                <w:sz w:val="21"/>
                <w:szCs w:val="21"/>
                <w:lang w:val="en-GB" w:bidi="th-TH"/>
              </w:rPr>
              <w:t>Audience(s)</w:t>
            </w:r>
          </w:p>
        </w:tc>
        <w:tc>
          <w:tcPr>
            <w:tcW w:w="971" w:type="dxa"/>
            <w:tcBorders>
              <w:top w:val="single" w:sz="12" w:space="0" w:color="auto"/>
              <w:left w:val="single" w:sz="12" w:space="0" w:color="auto"/>
              <w:bottom w:val="single" w:sz="12" w:space="0" w:color="auto"/>
              <w:right w:val="single" w:sz="12" w:space="0" w:color="auto"/>
            </w:tcBorders>
            <w:shd w:val="clear" w:color="auto" w:fill="FFFFFF"/>
          </w:tcPr>
          <w:p w14:paraId="36C9A4DA" w14:textId="77777777" w:rsidR="00D45E3D" w:rsidRPr="00D61E26" w:rsidRDefault="00D45E3D" w:rsidP="003615D0">
            <w:pPr>
              <w:spacing w:beforeLines="40" w:before="96" w:afterLines="40" w:after="96"/>
              <w:jc w:val="center"/>
              <w:rPr>
                <w:b/>
                <w:sz w:val="21"/>
                <w:szCs w:val="21"/>
                <w:lang w:val="en-GB" w:bidi="th-TH"/>
              </w:rPr>
            </w:pPr>
            <w:r w:rsidRPr="00D61E26">
              <w:rPr>
                <w:b/>
                <w:sz w:val="21"/>
                <w:szCs w:val="21"/>
                <w:lang w:val="en-GB" w:bidi="th-TH"/>
              </w:rPr>
              <w:t xml:space="preserve">Scale </w:t>
            </w:r>
          </w:p>
        </w:tc>
        <w:tc>
          <w:tcPr>
            <w:tcW w:w="2968" w:type="dxa"/>
            <w:tcBorders>
              <w:top w:val="single" w:sz="12" w:space="0" w:color="auto"/>
              <w:left w:val="single" w:sz="12" w:space="0" w:color="auto"/>
              <w:bottom w:val="single" w:sz="12" w:space="0" w:color="auto"/>
              <w:right w:val="single" w:sz="12" w:space="0" w:color="auto"/>
            </w:tcBorders>
            <w:shd w:val="clear" w:color="auto" w:fill="FFFFFF"/>
          </w:tcPr>
          <w:p w14:paraId="70C60793" w14:textId="77777777" w:rsidR="00D45E3D" w:rsidRPr="00D61E26" w:rsidRDefault="00D45E3D" w:rsidP="003615D0">
            <w:pPr>
              <w:spacing w:beforeLines="40" w:before="96" w:afterLines="40" w:after="96"/>
              <w:jc w:val="center"/>
              <w:rPr>
                <w:b/>
                <w:sz w:val="21"/>
                <w:szCs w:val="21"/>
                <w:lang w:val="en-GB" w:bidi="th-TH"/>
              </w:rPr>
            </w:pPr>
            <w:r w:rsidRPr="00D61E26">
              <w:rPr>
                <w:b/>
                <w:sz w:val="21"/>
                <w:szCs w:val="21"/>
                <w:lang w:val="en-GB" w:bidi="th-TH"/>
              </w:rPr>
              <w:t>Applicability of Lesson</w:t>
            </w:r>
          </w:p>
        </w:tc>
        <w:tc>
          <w:tcPr>
            <w:tcW w:w="2340" w:type="dxa"/>
            <w:tcBorders>
              <w:top w:val="single" w:sz="12" w:space="0" w:color="auto"/>
              <w:left w:val="single" w:sz="12" w:space="0" w:color="auto"/>
              <w:bottom w:val="single" w:sz="12" w:space="0" w:color="auto"/>
              <w:right w:val="single" w:sz="12" w:space="0" w:color="auto"/>
            </w:tcBorders>
            <w:shd w:val="clear" w:color="auto" w:fill="FFFFFF"/>
          </w:tcPr>
          <w:p w14:paraId="781D7E12" w14:textId="77777777" w:rsidR="00D45E3D" w:rsidRPr="00D61E26" w:rsidRDefault="00D45E3D" w:rsidP="003615D0">
            <w:pPr>
              <w:spacing w:beforeLines="40" w:before="96" w:afterLines="40" w:after="96"/>
              <w:jc w:val="center"/>
              <w:rPr>
                <w:b/>
                <w:sz w:val="21"/>
                <w:szCs w:val="21"/>
                <w:lang w:val="en-GB" w:bidi="th-TH"/>
              </w:rPr>
            </w:pPr>
            <w:r w:rsidRPr="00D61E26">
              <w:rPr>
                <w:b/>
                <w:sz w:val="21"/>
                <w:szCs w:val="21"/>
                <w:lang w:val="en-GB" w:bidi="th-TH"/>
              </w:rPr>
              <w:t>Replication/Scaling-up Tool(s)</w:t>
            </w:r>
          </w:p>
        </w:tc>
        <w:tc>
          <w:tcPr>
            <w:tcW w:w="1456" w:type="dxa"/>
            <w:tcBorders>
              <w:top w:val="single" w:sz="12" w:space="0" w:color="auto"/>
              <w:left w:val="single" w:sz="12" w:space="0" w:color="auto"/>
              <w:bottom w:val="single" w:sz="12" w:space="0" w:color="auto"/>
              <w:right w:val="single" w:sz="12" w:space="0" w:color="auto"/>
            </w:tcBorders>
            <w:shd w:val="clear" w:color="auto" w:fill="FFFFFF"/>
          </w:tcPr>
          <w:p w14:paraId="1E7A797E" w14:textId="77777777" w:rsidR="00D45E3D" w:rsidRPr="00D61E26" w:rsidRDefault="00D45E3D" w:rsidP="003615D0">
            <w:pPr>
              <w:spacing w:beforeLines="40" w:before="96" w:afterLines="40" w:after="96"/>
              <w:jc w:val="center"/>
              <w:rPr>
                <w:b/>
                <w:sz w:val="21"/>
                <w:szCs w:val="21"/>
                <w:lang w:val="en-GB" w:bidi="th-TH"/>
              </w:rPr>
            </w:pPr>
            <w:r w:rsidRPr="00D61E26">
              <w:rPr>
                <w:b/>
                <w:sz w:val="21"/>
                <w:szCs w:val="21"/>
                <w:lang w:val="en-GB" w:bidi="th-TH"/>
              </w:rPr>
              <w:t>Timeframes</w:t>
            </w:r>
          </w:p>
        </w:tc>
        <w:tc>
          <w:tcPr>
            <w:tcW w:w="1244" w:type="dxa"/>
            <w:tcBorders>
              <w:top w:val="single" w:sz="12" w:space="0" w:color="auto"/>
              <w:left w:val="single" w:sz="12" w:space="0" w:color="auto"/>
              <w:bottom w:val="single" w:sz="12" w:space="0" w:color="auto"/>
              <w:right w:val="single" w:sz="12" w:space="0" w:color="auto"/>
            </w:tcBorders>
            <w:shd w:val="clear" w:color="auto" w:fill="FFFFFF"/>
          </w:tcPr>
          <w:p w14:paraId="5B93A17A" w14:textId="77777777" w:rsidR="00D45E3D" w:rsidRPr="00D61E26" w:rsidRDefault="00D45E3D" w:rsidP="003615D0">
            <w:pPr>
              <w:spacing w:beforeLines="40" w:before="96" w:afterLines="40" w:after="96"/>
              <w:jc w:val="center"/>
              <w:rPr>
                <w:b/>
                <w:sz w:val="21"/>
                <w:szCs w:val="21"/>
                <w:lang w:val="en-GB" w:bidi="th-TH"/>
              </w:rPr>
            </w:pPr>
            <w:r w:rsidRPr="00D61E26">
              <w:rPr>
                <w:b/>
                <w:sz w:val="21"/>
                <w:szCs w:val="21"/>
                <w:lang w:val="en-GB" w:bidi="th-TH"/>
              </w:rPr>
              <w:t>Cost</w:t>
            </w:r>
          </w:p>
        </w:tc>
      </w:tr>
      <w:tr w:rsidR="00D45E3D" w:rsidRPr="00B33026" w14:paraId="4C28714D" w14:textId="77777777" w:rsidTr="003615D0">
        <w:tc>
          <w:tcPr>
            <w:tcW w:w="2784" w:type="dxa"/>
            <w:tcBorders>
              <w:top w:val="single" w:sz="12" w:space="0" w:color="auto"/>
              <w:left w:val="single" w:sz="12" w:space="0" w:color="auto"/>
              <w:right w:val="single" w:sz="12" w:space="0" w:color="auto"/>
            </w:tcBorders>
            <w:shd w:val="clear" w:color="auto" w:fill="auto"/>
          </w:tcPr>
          <w:p w14:paraId="18C1933B" w14:textId="77777777" w:rsidR="00D45E3D" w:rsidRPr="00D61E26" w:rsidRDefault="00D45E3D" w:rsidP="00B3115F">
            <w:pPr>
              <w:spacing w:beforeLines="40" w:before="96" w:afterLines="40" w:after="96"/>
              <w:jc w:val="both"/>
              <w:rPr>
                <w:sz w:val="21"/>
                <w:szCs w:val="21"/>
                <w:lang w:val="en-GB" w:bidi="th-TH"/>
              </w:rPr>
            </w:pPr>
            <w:r w:rsidRPr="00D61E26">
              <w:rPr>
                <w:sz w:val="21"/>
                <w:szCs w:val="21"/>
                <w:lang w:val="en-GB" w:bidi="th-TH"/>
              </w:rPr>
              <w:t>Stakeholder engagement</w:t>
            </w:r>
          </w:p>
        </w:tc>
        <w:tc>
          <w:tcPr>
            <w:tcW w:w="1456" w:type="dxa"/>
            <w:tcBorders>
              <w:top w:val="single" w:sz="12" w:space="0" w:color="auto"/>
              <w:left w:val="single" w:sz="12" w:space="0" w:color="auto"/>
              <w:right w:val="single" w:sz="12" w:space="0" w:color="auto"/>
            </w:tcBorders>
            <w:shd w:val="clear" w:color="auto" w:fill="auto"/>
          </w:tcPr>
          <w:p w14:paraId="553A0DB5" w14:textId="77777777" w:rsidR="00D45E3D" w:rsidRPr="00D61E26" w:rsidRDefault="00D45E3D" w:rsidP="00B3115F">
            <w:pPr>
              <w:spacing w:beforeLines="40" w:before="96" w:afterLines="40" w:after="96"/>
              <w:rPr>
                <w:i/>
                <w:sz w:val="21"/>
                <w:szCs w:val="21"/>
                <w:lang w:val="en-GB" w:bidi="th-TH"/>
              </w:rPr>
            </w:pPr>
          </w:p>
        </w:tc>
        <w:tc>
          <w:tcPr>
            <w:tcW w:w="971" w:type="dxa"/>
            <w:tcBorders>
              <w:top w:val="single" w:sz="12" w:space="0" w:color="auto"/>
              <w:left w:val="single" w:sz="12" w:space="0" w:color="auto"/>
              <w:right w:val="single" w:sz="12" w:space="0" w:color="auto"/>
            </w:tcBorders>
            <w:shd w:val="clear" w:color="auto" w:fill="auto"/>
          </w:tcPr>
          <w:p w14:paraId="2F2CB956" w14:textId="77777777" w:rsidR="00D45E3D" w:rsidRPr="00D61E26" w:rsidRDefault="00D45E3D" w:rsidP="00B3115F">
            <w:pPr>
              <w:spacing w:beforeLines="40" w:before="96" w:afterLines="40" w:after="96"/>
              <w:rPr>
                <w:i/>
                <w:sz w:val="21"/>
                <w:szCs w:val="21"/>
                <w:lang w:val="en-GB" w:bidi="th-TH"/>
              </w:rPr>
            </w:pPr>
          </w:p>
        </w:tc>
        <w:tc>
          <w:tcPr>
            <w:tcW w:w="2968" w:type="dxa"/>
            <w:tcBorders>
              <w:top w:val="single" w:sz="12" w:space="0" w:color="auto"/>
              <w:left w:val="single" w:sz="12" w:space="0" w:color="auto"/>
              <w:right w:val="single" w:sz="12" w:space="0" w:color="auto"/>
            </w:tcBorders>
            <w:shd w:val="clear" w:color="auto" w:fill="auto"/>
          </w:tcPr>
          <w:p w14:paraId="61CEF740" w14:textId="77777777" w:rsidR="00D45E3D" w:rsidRPr="00D61E26" w:rsidRDefault="00D45E3D" w:rsidP="00B3115F">
            <w:pPr>
              <w:spacing w:beforeLines="40" w:before="96" w:afterLines="40" w:after="96"/>
              <w:rPr>
                <w:i/>
                <w:sz w:val="21"/>
                <w:szCs w:val="21"/>
                <w:lang w:val="en-GB" w:bidi="th-TH"/>
              </w:rPr>
            </w:pPr>
          </w:p>
        </w:tc>
        <w:tc>
          <w:tcPr>
            <w:tcW w:w="2340" w:type="dxa"/>
            <w:tcBorders>
              <w:top w:val="single" w:sz="12" w:space="0" w:color="auto"/>
              <w:left w:val="single" w:sz="12" w:space="0" w:color="auto"/>
              <w:right w:val="single" w:sz="12" w:space="0" w:color="auto"/>
            </w:tcBorders>
            <w:shd w:val="clear" w:color="auto" w:fill="auto"/>
          </w:tcPr>
          <w:p w14:paraId="5BF03860" w14:textId="77777777" w:rsidR="00D45E3D" w:rsidRPr="00D61E26" w:rsidRDefault="00D45E3D" w:rsidP="00B3115F">
            <w:pPr>
              <w:spacing w:beforeLines="40" w:before="96" w:afterLines="40" w:after="96"/>
              <w:rPr>
                <w:i/>
                <w:sz w:val="21"/>
                <w:szCs w:val="21"/>
                <w:lang w:val="en-GB" w:bidi="th-TH"/>
              </w:rPr>
            </w:pPr>
          </w:p>
        </w:tc>
        <w:tc>
          <w:tcPr>
            <w:tcW w:w="1456" w:type="dxa"/>
            <w:tcBorders>
              <w:top w:val="single" w:sz="12" w:space="0" w:color="auto"/>
              <w:left w:val="single" w:sz="12" w:space="0" w:color="auto"/>
              <w:right w:val="single" w:sz="12" w:space="0" w:color="auto"/>
            </w:tcBorders>
            <w:shd w:val="clear" w:color="auto" w:fill="auto"/>
          </w:tcPr>
          <w:p w14:paraId="29AFAAD2" w14:textId="77777777" w:rsidR="00D45E3D" w:rsidRPr="00D61E26" w:rsidRDefault="00D45E3D" w:rsidP="00B3115F">
            <w:pPr>
              <w:spacing w:beforeLines="40" w:before="96" w:afterLines="40" w:after="96"/>
              <w:rPr>
                <w:i/>
                <w:sz w:val="21"/>
                <w:szCs w:val="21"/>
                <w:lang w:val="en-GB" w:bidi="th-TH"/>
              </w:rPr>
            </w:pPr>
          </w:p>
        </w:tc>
        <w:tc>
          <w:tcPr>
            <w:tcW w:w="1244" w:type="dxa"/>
            <w:tcBorders>
              <w:top w:val="single" w:sz="12" w:space="0" w:color="auto"/>
              <w:left w:val="single" w:sz="12" w:space="0" w:color="auto"/>
              <w:right w:val="single" w:sz="12" w:space="0" w:color="auto"/>
            </w:tcBorders>
            <w:shd w:val="clear" w:color="auto" w:fill="auto"/>
          </w:tcPr>
          <w:p w14:paraId="5338FC00" w14:textId="77777777" w:rsidR="00D45E3D" w:rsidRPr="00D61E26" w:rsidRDefault="00D45E3D" w:rsidP="00B3115F">
            <w:pPr>
              <w:spacing w:beforeLines="40" w:before="96" w:afterLines="40" w:after="96"/>
              <w:rPr>
                <w:i/>
                <w:sz w:val="21"/>
                <w:szCs w:val="21"/>
                <w:lang w:val="en-GB" w:bidi="th-TH"/>
              </w:rPr>
            </w:pPr>
          </w:p>
        </w:tc>
      </w:tr>
      <w:tr w:rsidR="00D45E3D" w:rsidRPr="00B33026" w14:paraId="69A48FB4" w14:textId="77777777" w:rsidTr="003615D0">
        <w:tc>
          <w:tcPr>
            <w:tcW w:w="2784" w:type="dxa"/>
            <w:tcBorders>
              <w:left w:val="single" w:sz="12" w:space="0" w:color="auto"/>
              <w:right w:val="single" w:sz="12" w:space="0" w:color="auto"/>
            </w:tcBorders>
            <w:shd w:val="clear" w:color="auto" w:fill="auto"/>
          </w:tcPr>
          <w:p w14:paraId="468F86FE" w14:textId="77777777" w:rsidR="00D45E3D" w:rsidRPr="00D61E26" w:rsidRDefault="00D45E3D" w:rsidP="00B3115F">
            <w:pPr>
              <w:spacing w:beforeLines="40" w:before="96" w:afterLines="40" w:after="96"/>
              <w:rPr>
                <w:sz w:val="21"/>
                <w:szCs w:val="21"/>
                <w:lang w:val="en-GB" w:bidi="th-TH"/>
              </w:rPr>
            </w:pPr>
            <w:r w:rsidRPr="00D61E26">
              <w:rPr>
                <w:sz w:val="21"/>
                <w:szCs w:val="21"/>
                <w:lang w:val="en-GB" w:bidi="th-TH"/>
              </w:rPr>
              <w:t>Cross-sectoral coordination</w:t>
            </w:r>
          </w:p>
        </w:tc>
        <w:tc>
          <w:tcPr>
            <w:tcW w:w="1456" w:type="dxa"/>
            <w:tcBorders>
              <w:left w:val="single" w:sz="12" w:space="0" w:color="auto"/>
              <w:right w:val="single" w:sz="12" w:space="0" w:color="auto"/>
            </w:tcBorders>
            <w:shd w:val="clear" w:color="auto" w:fill="auto"/>
          </w:tcPr>
          <w:p w14:paraId="0B3A86F5" w14:textId="77777777" w:rsidR="00D45E3D" w:rsidRPr="00D61E26" w:rsidRDefault="00D45E3D" w:rsidP="00B3115F">
            <w:pPr>
              <w:spacing w:beforeLines="40" w:before="96" w:afterLines="40" w:after="96"/>
              <w:rPr>
                <w:sz w:val="21"/>
                <w:szCs w:val="21"/>
                <w:lang w:val="en-GB" w:bidi="th-TH"/>
              </w:rPr>
            </w:pPr>
          </w:p>
        </w:tc>
        <w:tc>
          <w:tcPr>
            <w:tcW w:w="971" w:type="dxa"/>
            <w:tcBorders>
              <w:left w:val="single" w:sz="12" w:space="0" w:color="auto"/>
              <w:right w:val="single" w:sz="12" w:space="0" w:color="auto"/>
            </w:tcBorders>
            <w:shd w:val="clear" w:color="auto" w:fill="auto"/>
          </w:tcPr>
          <w:p w14:paraId="5F581FD2" w14:textId="77777777" w:rsidR="00D45E3D" w:rsidRPr="00D61E26" w:rsidRDefault="00D45E3D" w:rsidP="00B3115F">
            <w:pPr>
              <w:spacing w:beforeLines="40" w:before="96" w:afterLines="40" w:after="96"/>
              <w:rPr>
                <w:sz w:val="21"/>
                <w:szCs w:val="21"/>
                <w:lang w:val="en-GB" w:bidi="th-TH"/>
              </w:rPr>
            </w:pPr>
          </w:p>
        </w:tc>
        <w:tc>
          <w:tcPr>
            <w:tcW w:w="2968" w:type="dxa"/>
            <w:tcBorders>
              <w:left w:val="single" w:sz="12" w:space="0" w:color="auto"/>
              <w:right w:val="single" w:sz="12" w:space="0" w:color="auto"/>
            </w:tcBorders>
            <w:shd w:val="clear" w:color="auto" w:fill="auto"/>
          </w:tcPr>
          <w:p w14:paraId="52C9ABAE" w14:textId="77777777" w:rsidR="00D45E3D" w:rsidRPr="00D61E26" w:rsidRDefault="00D45E3D" w:rsidP="00B3115F">
            <w:pPr>
              <w:spacing w:beforeLines="40" w:before="96" w:afterLines="40" w:after="96"/>
              <w:rPr>
                <w:sz w:val="21"/>
                <w:szCs w:val="21"/>
                <w:lang w:val="en-GB" w:bidi="th-TH"/>
              </w:rPr>
            </w:pPr>
          </w:p>
        </w:tc>
        <w:tc>
          <w:tcPr>
            <w:tcW w:w="2340" w:type="dxa"/>
            <w:tcBorders>
              <w:left w:val="single" w:sz="12" w:space="0" w:color="auto"/>
              <w:right w:val="single" w:sz="12" w:space="0" w:color="auto"/>
            </w:tcBorders>
            <w:shd w:val="clear" w:color="auto" w:fill="auto"/>
          </w:tcPr>
          <w:p w14:paraId="1DCC1DBC" w14:textId="77777777" w:rsidR="00D45E3D" w:rsidRPr="00D61E26" w:rsidRDefault="00D45E3D" w:rsidP="00B3115F">
            <w:pPr>
              <w:spacing w:beforeLines="40" w:before="96" w:afterLines="40" w:after="96"/>
              <w:rPr>
                <w:sz w:val="21"/>
                <w:szCs w:val="21"/>
                <w:lang w:val="en-GB" w:bidi="th-TH"/>
              </w:rPr>
            </w:pPr>
          </w:p>
        </w:tc>
        <w:tc>
          <w:tcPr>
            <w:tcW w:w="1456" w:type="dxa"/>
            <w:tcBorders>
              <w:left w:val="single" w:sz="12" w:space="0" w:color="auto"/>
              <w:right w:val="single" w:sz="12" w:space="0" w:color="auto"/>
            </w:tcBorders>
            <w:shd w:val="clear" w:color="auto" w:fill="auto"/>
          </w:tcPr>
          <w:p w14:paraId="3A9D81E0" w14:textId="77777777" w:rsidR="00D45E3D" w:rsidRPr="00D61E26" w:rsidRDefault="00D45E3D" w:rsidP="00B3115F">
            <w:pPr>
              <w:spacing w:beforeLines="40" w:before="96" w:afterLines="40" w:after="96"/>
              <w:rPr>
                <w:sz w:val="21"/>
                <w:szCs w:val="21"/>
                <w:lang w:val="en-GB" w:bidi="th-TH"/>
              </w:rPr>
            </w:pPr>
          </w:p>
        </w:tc>
        <w:tc>
          <w:tcPr>
            <w:tcW w:w="1244" w:type="dxa"/>
            <w:tcBorders>
              <w:left w:val="single" w:sz="12" w:space="0" w:color="auto"/>
              <w:right w:val="single" w:sz="12" w:space="0" w:color="auto"/>
            </w:tcBorders>
            <w:shd w:val="clear" w:color="auto" w:fill="auto"/>
          </w:tcPr>
          <w:p w14:paraId="478C3A47" w14:textId="77777777" w:rsidR="00D45E3D" w:rsidRPr="00D61E26" w:rsidRDefault="00D45E3D" w:rsidP="00B3115F">
            <w:pPr>
              <w:spacing w:beforeLines="40" w:before="96" w:afterLines="40" w:after="96"/>
              <w:rPr>
                <w:sz w:val="21"/>
                <w:szCs w:val="21"/>
                <w:lang w:val="en-GB" w:bidi="th-TH"/>
              </w:rPr>
            </w:pPr>
          </w:p>
        </w:tc>
      </w:tr>
      <w:tr w:rsidR="00D45E3D" w:rsidRPr="00B33026" w14:paraId="5D68AF1A" w14:textId="77777777" w:rsidTr="003615D0">
        <w:tc>
          <w:tcPr>
            <w:tcW w:w="2784" w:type="dxa"/>
            <w:tcBorders>
              <w:left w:val="single" w:sz="12" w:space="0" w:color="auto"/>
              <w:right w:val="single" w:sz="12" w:space="0" w:color="auto"/>
            </w:tcBorders>
            <w:shd w:val="clear" w:color="auto" w:fill="auto"/>
          </w:tcPr>
          <w:p w14:paraId="6929EB64" w14:textId="77777777" w:rsidR="00D45E3D" w:rsidRPr="00D61E26" w:rsidRDefault="00D45E3D" w:rsidP="00B3115F">
            <w:pPr>
              <w:spacing w:beforeLines="40" w:before="96" w:afterLines="40" w:after="96"/>
              <w:rPr>
                <w:sz w:val="21"/>
                <w:szCs w:val="21"/>
                <w:lang w:val="en-GB" w:bidi="th-TH"/>
              </w:rPr>
            </w:pPr>
            <w:r w:rsidRPr="00D61E26">
              <w:rPr>
                <w:sz w:val="21"/>
                <w:szCs w:val="21"/>
                <w:lang w:val="en-GB" w:bidi="th-TH"/>
              </w:rPr>
              <w:t>Use of environmental stress reduction measures</w:t>
            </w:r>
          </w:p>
        </w:tc>
        <w:tc>
          <w:tcPr>
            <w:tcW w:w="1456" w:type="dxa"/>
            <w:tcBorders>
              <w:left w:val="single" w:sz="12" w:space="0" w:color="auto"/>
              <w:right w:val="single" w:sz="12" w:space="0" w:color="auto"/>
            </w:tcBorders>
            <w:shd w:val="clear" w:color="auto" w:fill="auto"/>
          </w:tcPr>
          <w:p w14:paraId="083856F7" w14:textId="77777777" w:rsidR="00D45E3D" w:rsidRPr="00D61E26" w:rsidRDefault="00D45E3D" w:rsidP="00B3115F">
            <w:pPr>
              <w:spacing w:beforeLines="40" w:before="96" w:afterLines="40" w:after="96"/>
              <w:rPr>
                <w:sz w:val="21"/>
                <w:szCs w:val="21"/>
                <w:lang w:val="en-GB" w:bidi="th-TH"/>
              </w:rPr>
            </w:pPr>
          </w:p>
        </w:tc>
        <w:tc>
          <w:tcPr>
            <w:tcW w:w="971" w:type="dxa"/>
            <w:tcBorders>
              <w:left w:val="single" w:sz="12" w:space="0" w:color="auto"/>
              <w:right w:val="single" w:sz="12" w:space="0" w:color="auto"/>
            </w:tcBorders>
            <w:shd w:val="clear" w:color="auto" w:fill="auto"/>
          </w:tcPr>
          <w:p w14:paraId="746CE9F7" w14:textId="77777777" w:rsidR="00D45E3D" w:rsidRPr="00D61E26" w:rsidRDefault="00D45E3D" w:rsidP="00B3115F">
            <w:pPr>
              <w:spacing w:beforeLines="40" w:before="96" w:afterLines="40" w:after="96"/>
              <w:rPr>
                <w:sz w:val="21"/>
                <w:szCs w:val="21"/>
                <w:lang w:val="en-GB" w:bidi="th-TH"/>
              </w:rPr>
            </w:pPr>
          </w:p>
        </w:tc>
        <w:tc>
          <w:tcPr>
            <w:tcW w:w="2968" w:type="dxa"/>
            <w:tcBorders>
              <w:left w:val="single" w:sz="12" w:space="0" w:color="auto"/>
              <w:right w:val="single" w:sz="12" w:space="0" w:color="auto"/>
            </w:tcBorders>
            <w:shd w:val="clear" w:color="auto" w:fill="auto"/>
          </w:tcPr>
          <w:p w14:paraId="11589754" w14:textId="77777777" w:rsidR="00D45E3D" w:rsidRPr="00D61E26" w:rsidRDefault="00D45E3D" w:rsidP="00B3115F">
            <w:pPr>
              <w:spacing w:beforeLines="40" w:before="96" w:afterLines="40" w:after="96"/>
              <w:rPr>
                <w:sz w:val="21"/>
                <w:szCs w:val="21"/>
                <w:lang w:val="en-GB" w:bidi="th-TH"/>
              </w:rPr>
            </w:pPr>
          </w:p>
        </w:tc>
        <w:tc>
          <w:tcPr>
            <w:tcW w:w="2340" w:type="dxa"/>
            <w:tcBorders>
              <w:left w:val="single" w:sz="12" w:space="0" w:color="auto"/>
              <w:right w:val="single" w:sz="12" w:space="0" w:color="auto"/>
            </w:tcBorders>
            <w:shd w:val="clear" w:color="auto" w:fill="auto"/>
          </w:tcPr>
          <w:p w14:paraId="0EB228E4" w14:textId="77777777" w:rsidR="00D45E3D" w:rsidRPr="00D61E26" w:rsidRDefault="00D45E3D" w:rsidP="00B3115F">
            <w:pPr>
              <w:spacing w:beforeLines="40" w:before="96" w:afterLines="40" w:after="96"/>
              <w:rPr>
                <w:sz w:val="21"/>
                <w:szCs w:val="21"/>
                <w:lang w:val="en-GB" w:bidi="th-TH"/>
              </w:rPr>
            </w:pPr>
          </w:p>
        </w:tc>
        <w:tc>
          <w:tcPr>
            <w:tcW w:w="1456" w:type="dxa"/>
            <w:tcBorders>
              <w:left w:val="single" w:sz="12" w:space="0" w:color="auto"/>
              <w:right w:val="single" w:sz="12" w:space="0" w:color="auto"/>
            </w:tcBorders>
            <w:shd w:val="clear" w:color="auto" w:fill="auto"/>
          </w:tcPr>
          <w:p w14:paraId="63D76F38" w14:textId="77777777" w:rsidR="00D45E3D" w:rsidRPr="00D61E26" w:rsidRDefault="00D45E3D" w:rsidP="00B3115F">
            <w:pPr>
              <w:spacing w:beforeLines="40" w:before="96" w:afterLines="40" w:after="96"/>
              <w:rPr>
                <w:sz w:val="21"/>
                <w:szCs w:val="21"/>
                <w:lang w:val="en-GB" w:bidi="th-TH"/>
              </w:rPr>
            </w:pPr>
          </w:p>
        </w:tc>
        <w:tc>
          <w:tcPr>
            <w:tcW w:w="1244" w:type="dxa"/>
            <w:tcBorders>
              <w:left w:val="single" w:sz="12" w:space="0" w:color="auto"/>
              <w:right w:val="single" w:sz="12" w:space="0" w:color="auto"/>
            </w:tcBorders>
            <w:shd w:val="clear" w:color="auto" w:fill="auto"/>
          </w:tcPr>
          <w:p w14:paraId="5AD2A09E" w14:textId="77777777" w:rsidR="00D45E3D" w:rsidRPr="00D61E26" w:rsidRDefault="00D45E3D" w:rsidP="00B3115F">
            <w:pPr>
              <w:spacing w:beforeLines="40" w:before="96" w:afterLines="40" w:after="96"/>
              <w:rPr>
                <w:sz w:val="21"/>
                <w:szCs w:val="21"/>
                <w:lang w:val="en-GB" w:bidi="th-TH"/>
              </w:rPr>
            </w:pPr>
          </w:p>
        </w:tc>
      </w:tr>
      <w:tr w:rsidR="00D45E3D" w:rsidRPr="00B33026" w14:paraId="6D8D1473" w14:textId="77777777" w:rsidTr="003615D0">
        <w:tc>
          <w:tcPr>
            <w:tcW w:w="2784" w:type="dxa"/>
            <w:tcBorders>
              <w:left w:val="single" w:sz="12" w:space="0" w:color="auto"/>
              <w:right w:val="single" w:sz="12" w:space="0" w:color="auto"/>
            </w:tcBorders>
            <w:shd w:val="clear" w:color="auto" w:fill="auto"/>
          </w:tcPr>
          <w:p w14:paraId="14127341" w14:textId="77777777" w:rsidR="00D45E3D" w:rsidRPr="00D61E26" w:rsidRDefault="00D45E3D" w:rsidP="00B3115F">
            <w:pPr>
              <w:spacing w:beforeLines="40" w:before="96" w:afterLines="40" w:after="96"/>
              <w:rPr>
                <w:sz w:val="21"/>
                <w:szCs w:val="21"/>
                <w:lang w:val="en-GB" w:bidi="th-TH"/>
              </w:rPr>
            </w:pPr>
            <w:r w:rsidRPr="00D61E26">
              <w:rPr>
                <w:sz w:val="21"/>
                <w:szCs w:val="21"/>
                <w:lang w:val="en-GB" w:bidi="th-TH"/>
              </w:rPr>
              <w:t>Results-based planning and monitoring and evaluation</w:t>
            </w:r>
          </w:p>
        </w:tc>
        <w:tc>
          <w:tcPr>
            <w:tcW w:w="1456" w:type="dxa"/>
            <w:tcBorders>
              <w:left w:val="single" w:sz="12" w:space="0" w:color="auto"/>
              <w:right w:val="single" w:sz="12" w:space="0" w:color="auto"/>
            </w:tcBorders>
            <w:shd w:val="clear" w:color="auto" w:fill="auto"/>
          </w:tcPr>
          <w:p w14:paraId="22DC534A" w14:textId="77777777" w:rsidR="00D45E3D" w:rsidRPr="00D61E26" w:rsidRDefault="00D45E3D" w:rsidP="00B3115F">
            <w:pPr>
              <w:spacing w:beforeLines="40" w:before="96" w:afterLines="40" w:after="96"/>
              <w:rPr>
                <w:sz w:val="21"/>
                <w:szCs w:val="21"/>
                <w:lang w:val="en-GB" w:bidi="th-TH"/>
              </w:rPr>
            </w:pPr>
          </w:p>
        </w:tc>
        <w:tc>
          <w:tcPr>
            <w:tcW w:w="971" w:type="dxa"/>
            <w:tcBorders>
              <w:left w:val="single" w:sz="12" w:space="0" w:color="auto"/>
              <w:right w:val="single" w:sz="12" w:space="0" w:color="auto"/>
            </w:tcBorders>
            <w:shd w:val="clear" w:color="auto" w:fill="auto"/>
          </w:tcPr>
          <w:p w14:paraId="79740D14" w14:textId="77777777" w:rsidR="00D45E3D" w:rsidRPr="00D61E26" w:rsidRDefault="00D45E3D" w:rsidP="00B3115F">
            <w:pPr>
              <w:spacing w:beforeLines="40" w:before="96" w:afterLines="40" w:after="96"/>
              <w:rPr>
                <w:sz w:val="21"/>
                <w:szCs w:val="21"/>
                <w:lang w:val="en-GB" w:bidi="th-TH"/>
              </w:rPr>
            </w:pPr>
          </w:p>
        </w:tc>
        <w:tc>
          <w:tcPr>
            <w:tcW w:w="2968" w:type="dxa"/>
            <w:tcBorders>
              <w:left w:val="single" w:sz="12" w:space="0" w:color="auto"/>
              <w:right w:val="single" w:sz="12" w:space="0" w:color="auto"/>
            </w:tcBorders>
            <w:shd w:val="clear" w:color="auto" w:fill="auto"/>
          </w:tcPr>
          <w:p w14:paraId="7426B83E" w14:textId="77777777" w:rsidR="00D45E3D" w:rsidRPr="00D61E26" w:rsidRDefault="00D45E3D" w:rsidP="00B3115F">
            <w:pPr>
              <w:spacing w:beforeLines="40" w:before="96" w:afterLines="40" w:after="96"/>
              <w:rPr>
                <w:sz w:val="21"/>
                <w:szCs w:val="21"/>
                <w:lang w:val="en-GB" w:bidi="th-TH"/>
              </w:rPr>
            </w:pPr>
          </w:p>
        </w:tc>
        <w:tc>
          <w:tcPr>
            <w:tcW w:w="2340" w:type="dxa"/>
            <w:tcBorders>
              <w:left w:val="single" w:sz="12" w:space="0" w:color="auto"/>
              <w:right w:val="single" w:sz="12" w:space="0" w:color="auto"/>
            </w:tcBorders>
            <w:shd w:val="clear" w:color="auto" w:fill="auto"/>
          </w:tcPr>
          <w:p w14:paraId="0C7705A8" w14:textId="77777777" w:rsidR="00D45E3D" w:rsidRPr="00D61E26" w:rsidRDefault="00D45E3D" w:rsidP="00B3115F">
            <w:pPr>
              <w:spacing w:beforeLines="40" w:before="96" w:afterLines="40" w:after="96"/>
              <w:rPr>
                <w:sz w:val="21"/>
                <w:szCs w:val="21"/>
                <w:lang w:val="en-GB" w:bidi="th-TH"/>
              </w:rPr>
            </w:pPr>
          </w:p>
        </w:tc>
        <w:tc>
          <w:tcPr>
            <w:tcW w:w="1456" w:type="dxa"/>
            <w:tcBorders>
              <w:left w:val="single" w:sz="12" w:space="0" w:color="auto"/>
              <w:right w:val="single" w:sz="12" w:space="0" w:color="auto"/>
            </w:tcBorders>
            <w:shd w:val="clear" w:color="auto" w:fill="auto"/>
          </w:tcPr>
          <w:p w14:paraId="4D20BD7F" w14:textId="77777777" w:rsidR="00D45E3D" w:rsidRPr="00D61E26" w:rsidRDefault="00D45E3D" w:rsidP="00B3115F">
            <w:pPr>
              <w:spacing w:beforeLines="40" w:before="96" w:afterLines="40" w:after="96"/>
              <w:rPr>
                <w:sz w:val="21"/>
                <w:szCs w:val="21"/>
                <w:lang w:val="en-GB" w:bidi="th-TH"/>
              </w:rPr>
            </w:pPr>
          </w:p>
        </w:tc>
        <w:tc>
          <w:tcPr>
            <w:tcW w:w="1244" w:type="dxa"/>
            <w:tcBorders>
              <w:left w:val="single" w:sz="12" w:space="0" w:color="auto"/>
              <w:right w:val="single" w:sz="12" w:space="0" w:color="auto"/>
            </w:tcBorders>
            <w:shd w:val="clear" w:color="auto" w:fill="auto"/>
          </w:tcPr>
          <w:p w14:paraId="7C128534" w14:textId="77777777" w:rsidR="00D45E3D" w:rsidRPr="00D61E26" w:rsidRDefault="00D45E3D" w:rsidP="00B3115F">
            <w:pPr>
              <w:spacing w:beforeLines="40" w:before="96" w:afterLines="40" w:after="96"/>
              <w:rPr>
                <w:sz w:val="21"/>
                <w:szCs w:val="21"/>
                <w:lang w:val="en-GB" w:bidi="th-TH"/>
              </w:rPr>
            </w:pPr>
          </w:p>
        </w:tc>
      </w:tr>
      <w:tr w:rsidR="00D45E3D" w:rsidRPr="00B33026" w14:paraId="7D8360FF" w14:textId="77777777" w:rsidTr="003615D0">
        <w:trPr>
          <w:trHeight w:val="331"/>
        </w:trPr>
        <w:tc>
          <w:tcPr>
            <w:tcW w:w="2784" w:type="dxa"/>
            <w:tcBorders>
              <w:left w:val="single" w:sz="12" w:space="0" w:color="auto"/>
              <w:right w:val="single" w:sz="12" w:space="0" w:color="auto"/>
            </w:tcBorders>
            <w:shd w:val="clear" w:color="auto" w:fill="auto"/>
          </w:tcPr>
          <w:p w14:paraId="585663A8" w14:textId="77777777" w:rsidR="00D45E3D" w:rsidRPr="00D61E26" w:rsidRDefault="00D45E3D" w:rsidP="00B3115F">
            <w:pPr>
              <w:spacing w:beforeLines="40" w:before="96" w:afterLines="40" w:after="96"/>
              <w:rPr>
                <w:sz w:val="21"/>
                <w:szCs w:val="21"/>
                <w:lang w:val="en-GB" w:bidi="th-TH"/>
              </w:rPr>
            </w:pPr>
            <w:r w:rsidRPr="00D61E26">
              <w:rPr>
                <w:sz w:val="21"/>
                <w:szCs w:val="21"/>
                <w:lang w:val="en-GB" w:bidi="th-TH"/>
              </w:rPr>
              <w:t>Evidence-based planning</w:t>
            </w:r>
          </w:p>
        </w:tc>
        <w:tc>
          <w:tcPr>
            <w:tcW w:w="1456" w:type="dxa"/>
            <w:tcBorders>
              <w:left w:val="single" w:sz="12" w:space="0" w:color="auto"/>
              <w:right w:val="single" w:sz="12" w:space="0" w:color="auto"/>
            </w:tcBorders>
            <w:shd w:val="clear" w:color="auto" w:fill="auto"/>
          </w:tcPr>
          <w:p w14:paraId="053A02D2" w14:textId="77777777" w:rsidR="00D45E3D" w:rsidRPr="00D61E26" w:rsidRDefault="00D45E3D" w:rsidP="00B3115F">
            <w:pPr>
              <w:spacing w:beforeLines="40" w:before="96" w:afterLines="40" w:after="96"/>
              <w:rPr>
                <w:sz w:val="21"/>
                <w:szCs w:val="21"/>
                <w:lang w:val="en-GB" w:bidi="th-TH"/>
              </w:rPr>
            </w:pPr>
          </w:p>
        </w:tc>
        <w:tc>
          <w:tcPr>
            <w:tcW w:w="971" w:type="dxa"/>
            <w:tcBorders>
              <w:left w:val="single" w:sz="12" w:space="0" w:color="auto"/>
              <w:right w:val="single" w:sz="12" w:space="0" w:color="auto"/>
            </w:tcBorders>
            <w:shd w:val="clear" w:color="auto" w:fill="auto"/>
          </w:tcPr>
          <w:p w14:paraId="1D8ADD27" w14:textId="77777777" w:rsidR="00D45E3D" w:rsidRPr="00D61E26" w:rsidRDefault="00D45E3D" w:rsidP="00B3115F">
            <w:pPr>
              <w:spacing w:beforeLines="40" w:before="96" w:afterLines="40" w:after="96"/>
              <w:rPr>
                <w:sz w:val="21"/>
                <w:szCs w:val="21"/>
                <w:lang w:val="en-GB" w:bidi="th-TH"/>
              </w:rPr>
            </w:pPr>
          </w:p>
        </w:tc>
        <w:tc>
          <w:tcPr>
            <w:tcW w:w="2968" w:type="dxa"/>
            <w:tcBorders>
              <w:left w:val="single" w:sz="12" w:space="0" w:color="auto"/>
              <w:right w:val="single" w:sz="12" w:space="0" w:color="auto"/>
            </w:tcBorders>
            <w:shd w:val="clear" w:color="auto" w:fill="auto"/>
          </w:tcPr>
          <w:p w14:paraId="7352D0BF" w14:textId="77777777" w:rsidR="00D45E3D" w:rsidRPr="00D61E26" w:rsidRDefault="00D45E3D" w:rsidP="00B3115F">
            <w:pPr>
              <w:spacing w:beforeLines="40" w:before="96" w:afterLines="40" w:after="96"/>
              <w:rPr>
                <w:sz w:val="21"/>
                <w:szCs w:val="21"/>
                <w:lang w:val="en-GB" w:bidi="th-TH"/>
              </w:rPr>
            </w:pPr>
          </w:p>
        </w:tc>
        <w:tc>
          <w:tcPr>
            <w:tcW w:w="2340" w:type="dxa"/>
            <w:tcBorders>
              <w:left w:val="single" w:sz="12" w:space="0" w:color="auto"/>
              <w:right w:val="single" w:sz="12" w:space="0" w:color="auto"/>
            </w:tcBorders>
            <w:shd w:val="clear" w:color="auto" w:fill="auto"/>
          </w:tcPr>
          <w:p w14:paraId="4B1F1656" w14:textId="77777777" w:rsidR="00D45E3D" w:rsidRPr="00D61E26" w:rsidRDefault="00D45E3D" w:rsidP="00B3115F">
            <w:pPr>
              <w:spacing w:beforeLines="40" w:before="96" w:afterLines="40" w:after="96"/>
              <w:rPr>
                <w:sz w:val="21"/>
                <w:szCs w:val="21"/>
                <w:lang w:val="en-GB" w:bidi="th-TH"/>
              </w:rPr>
            </w:pPr>
          </w:p>
        </w:tc>
        <w:tc>
          <w:tcPr>
            <w:tcW w:w="1456" w:type="dxa"/>
            <w:tcBorders>
              <w:left w:val="single" w:sz="12" w:space="0" w:color="auto"/>
              <w:right w:val="single" w:sz="12" w:space="0" w:color="auto"/>
            </w:tcBorders>
            <w:shd w:val="clear" w:color="auto" w:fill="auto"/>
          </w:tcPr>
          <w:p w14:paraId="02A8D144" w14:textId="77777777" w:rsidR="00D45E3D" w:rsidRPr="00D61E26" w:rsidRDefault="00D45E3D" w:rsidP="00B3115F">
            <w:pPr>
              <w:spacing w:beforeLines="40" w:before="96" w:afterLines="40" w:after="96"/>
              <w:rPr>
                <w:sz w:val="21"/>
                <w:szCs w:val="21"/>
                <w:lang w:val="en-GB" w:bidi="th-TH"/>
              </w:rPr>
            </w:pPr>
          </w:p>
        </w:tc>
        <w:tc>
          <w:tcPr>
            <w:tcW w:w="1244" w:type="dxa"/>
            <w:tcBorders>
              <w:left w:val="single" w:sz="12" w:space="0" w:color="auto"/>
              <w:right w:val="single" w:sz="12" w:space="0" w:color="auto"/>
            </w:tcBorders>
            <w:shd w:val="clear" w:color="auto" w:fill="auto"/>
          </w:tcPr>
          <w:p w14:paraId="2170C006" w14:textId="77777777" w:rsidR="00D45E3D" w:rsidRPr="00D61E26" w:rsidRDefault="00D45E3D" w:rsidP="00B3115F">
            <w:pPr>
              <w:spacing w:beforeLines="40" w:before="96" w:afterLines="40" w:after="96"/>
              <w:rPr>
                <w:sz w:val="21"/>
                <w:szCs w:val="21"/>
                <w:lang w:val="en-GB" w:bidi="th-TH"/>
              </w:rPr>
            </w:pPr>
          </w:p>
        </w:tc>
      </w:tr>
      <w:tr w:rsidR="00D45E3D" w:rsidRPr="00B33026" w14:paraId="0724FED2" w14:textId="77777777" w:rsidTr="003615D0">
        <w:tc>
          <w:tcPr>
            <w:tcW w:w="2784" w:type="dxa"/>
            <w:tcBorders>
              <w:left w:val="single" w:sz="12" w:space="0" w:color="auto"/>
              <w:right w:val="single" w:sz="12" w:space="0" w:color="auto"/>
            </w:tcBorders>
            <w:shd w:val="clear" w:color="auto" w:fill="auto"/>
          </w:tcPr>
          <w:p w14:paraId="342D1E08" w14:textId="77777777" w:rsidR="00D45E3D" w:rsidRPr="00D61E26" w:rsidRDefault="00D45E3D" w:rsidP="00B3115F">
            <w:pPr>
              <w:spacing w:beforeLines="40" w:before="96" w:afterLines="40" w:after="96"/>
              <w:rPr>
                <w:sz w:val="21"/>
                <w:szCs w:val="21"/>
                <w:lang w:val="en-GB" w:bidi="th-TH"/>
              </w:rPr>
            </w:pPr>
            <w:r w:rsidRPr="00D61E26">
              <w:rPr>
                <w:sz w:val="21"/>
                <w:szCs w:val="21"/>
                <w:lang w:val="en-GB" w:bidi="th-TH"/>
              </w:rPr>
              <w:t>Reforms of national policies, plans and legal frameworks</w:t>
            </w:r>
          </w:p>
        </w:tc>
        <w:tc>
          <w:tcPr>
            <w:tcW w:w="1456" w:type="dxa"/>
            <w:tcBorders>
              <w:left w:val="single" w:sz="12" w:space="0" w:color="auto"/>
              <w:right w:val="single" w:sz="12" w:space="0" w:color="auto"/>
            </w:tcBorders>
            <w:shd w:val="clear" w:color="auto" w:fill="auto"/>
          </w:tcPr>
          <w:p w14:paraId="41E5FB70" w14:textId="77777777" w:rsidR="00D45E3D" w:rsidRPr="00D61E26" w:rsidRDefault="00D45E3D" w:rsidP="00B3115F">
            <w:pPr>
              <w:spacing w:beforeLines="40" w:before="96" w:afterLines="40" w:after="96"/>
              <w:rPr>
                <w:sz w:val="21"/>
                <w:szCs w:val="21"/>
                <w:lang w:val="en-GB" w:bidi="th-TH"/>
              </w:rPr>
            </w:pPr>
          </w:p>
        </w:tc>
        <w:tc>
          <w:tcPr>
            <w:tcW w:w="971" w:type="dxa"/>
            <w:tcBorders>
              <w:left w:val="single" w:sz="12" w:space="0" w:color="auto"/>
              <w:right w:val="single" w:sz="12" w:space="0" w:color="auto"/>
            </w:tcBorders>
            <w:shd w:val="clear" w:color="auto" w:fill="auto"/>
          </w:tcPr>
          <w:p w14:paraId="2EEBCC0F" w14:textId="77777777" w:rsidR="00D45E3D" w:rsidRPr="00D61E26" w:rsidRDefault="00D45E3D" w:rsidP="00B3115F">
            <w:pPr>
              <w:spacing w:beforeLines="40" w:before="96" w:afterLines="40" w:after="96"/>
              <w:rPr>
                <w:sz w:val="21"/>
                <w:szCs w:val="21"/>
                <w:lang w:val="en-GB" w:bidi="th-TH"/>
              </w:rPr>
            </w:pPr>
          </w:p>
        </w:tc>
        <w:tc>
          <w:tcPr>
            <w:tcW w:w="2968" w:type="dxa"/>
            <w:tcBorders>
              <w:left w:val="single" w:sz="12" w:space="0" w:color="auto"/>
              <w:right w:val="single" w:sz="12" w:space="0" w:color="auto"/>
            </w:tcBorders>
            <w:shd w:val="clear" w:color="auto" w:fill="auto"/>
          </w:tcPr>
          <w:p w14:paraId="27002328" w14:textId="77777777" w:rsidR="00D45E3D" w:rsidRPr="00D61E26" w:rsidRDefault="00D45E3D" w:rsidP="00B3115F">
            <w:pPr>
              <w:spacing w:beforeLines="40" w:before="96" w:afterLines="40" w:after="96"/>
              <w:rPr>
                <w:sz w:val="21"/>
                <w:szCs w:val="21"/>
                <w:lang w:val="en-GB" w:bidi="th-TH"/>
              </w:rPr>
            </w:pPr>
          </w:p>
        </w:tc>
        <w:tc>
          <w:tcPr>
            <w:tcW w:w="2340" w:type="dxa"/>
            <w:tcBorders>
              <w:left w:val="single" w:sz="12" w:space="0" w:color="auto"/>
              <w:right w:val="single" w:sz="12" w:space="0" w:color="auto"/>
            </w:tcBorders>
            <w:shd w:val="clear" w:color="auto" w:fill="auto"/>
          </w:tcPr>
          <w:p w14:paraId="4B5188DA" w14:textId="77777777" w:rsidR="00D45E3D" w:rsidRPr="00D61E26" w:rsidRDefault="00D45E3D" w:rsidP="00B3115F">
            <w:pPr>
              <w:spacing w:beforeLines="40" w:before="96" w:afterLines="40" w:after="96"/>
              <w:rPr>
                <w:sz w:val="21"/>
                <w:szCs w:val="21"/>
                <w:lang w:val="en-GB" w:bidi="th-TH"/>
              </w:rPr>
            </w:pPr>
          </w:p>
        </w:tc>
        <w:tc>
          <w:tcPr>
            <w:tcW w:w="1456" w:type="dxa"/>
            <w:tcBorders>
              <w:left w:val="single" w:sz="12" w:space="0" w:color="auto"/>
              <w:right w:val="single" w:sz="12" w:space="0" w:color="auto"/>
            </w:tcBorders>
            <w:shd w:val="clear" w:color="auto" w:fill="auto"/>
          </w:tcPr>
          <w:p w14:paraId="11FBEC70" w14:textId="77777777" w:rsidR="00D45E3D" w:rsidRPr="00D61E26" w:rsidRDefault="00D45E3D" w:rsidP="00B3115F">
            <w:pPr>
              <w:spacing w:beforeLines="40" w:before="96" w:afterLines="40" w:after="96"/>
              <w:rPr>
                <w:sz w:val="21"/>
                <w:szCs w:val="21"/>
                <w:lang w:val="en-GB" w:bidi="th-TH"/>
              </w:rPr>
            </w:pPr>
          </w:p>
        </w:tc>
        <w:tc>
          <w:tcPr>
            <w:tcW w:w="1244" w:type="dxa"/>
            <w:tcBorders>
              <w:left w:val="single" w:sz="12" w:space="0" w:color="auto"/>
              <w:right w:val="single" w:sz="12" w:space="0" w:color="auto"/>
            </w:tcBorders>
            <w:shd w:val="clear" w:color="auto" w:fill="auto"/>
          </w:tcPr>
          <w:p w14:paraId="08AA44FB" w14:textId="77777777" w:rsidR="00D45E3D" w:rsidRPr="00D61E26" w:rsidRDefault="00D45E3D" w:rsidP="00B3115F">
            <w:pPr>
              <w:spacing w:beforeLines="40" w:before="96" w:afterLines="40" w:after="96"/>
              <w:rPr>
                <w:sz w:val="21"/>
                <w:szCs w:val="21"/>
                <w:lang w:val="en-GB" w:bidi="th-TH"/>
              </w:rPr>
            </w:pPr>
          </w:p>
        </w:tc>
      </w:tr>
      <w:tr w:rsidR="00D45E3D" w:rsidRPr="00B33026" w14:paraId="5EF5F537" w14:textId="77777777" w:rsidTr="003615D0">
        <w:tc>
          <w:tcPr>
            <w:tcW w:w="2784" w:type="dxa"/>
            <w:tcBorders>
              <w:left w:val="single" w:sz="12" w:space="0" w:color="auto"/>
              <w:right w:val="single" w:sz="12" w:space="0" w:color="auto"/>
            </w:tcBorders>
            <w:shd w:val="clear" w:color="auto" w:fill="auto"/>
          </w:tcPr>
          <w:p w14:paraId="31506328" w14:textId="77777777" w:rsidR="00D45E3D" w:rsidRPr="00D61E26" w:rsidRDefault="00D45E3D" w:rsidP="00B3115F">
            <w:pPr>
              <w:spacing w:beforeLines="40" w:before="96" w:afterLines="40" w:after="96"/>
              <w:rPr>
                <w:sz w:val="21"/>
                <w:szCs w:val="21"/>
                <w:lang w:val="en-GB" w:bidi="th-TH"/>
              </w:rPr>
            </w:pPr>
            <w:r w:rsidRPr="00D61E26">
              <w:rPr>
                <w:sz w:val="21"/>
                <w:szCs w:val="21"/>
                <w:lang w:val="en-GB" w:bidi="th-TH"/>
              </w:rPr>
              <w:t>Economic valuation</w:t>
            </w:r>
          </w:p>
        </w:tc>
        <w:tc>
          <w:tcPr>
            <w:tcW w:w="1456" w:type="dxa"/>
            <w:tcBorders>
              <w:left w:val="single" w:sz="12" w:space="0" w:color="auto"/>
              <w:right w:val="single" w:sz="12" w:space="0" w:color="auto"/>
            </w:tcBorders>
            <w:shd w:val="clear" w:color="auto" w:fill="auto"/>
          </w:tcPr>
          <w:p w14:paraId="73F8B717" w14:textId="77777777" w:rsidR="00D45E3D" w:rsidRPr="00D61E26" w:rsidRDefault="00D45E3D" w:rsidP="00B3115F">
            <w:pPr>
              <w:spacing w:beforeLines="40" w:before="96" w:afterLines="40" w:after="96"/>
              <w:rPr>
                <w:sz w:val="21"/>
                <w:szCs w:val="21"/>
                <w:lang w:val="en-GB" w:bidi="th-TH"/>
              </w:rPr>
            </w:pPr>
          </w:p>
        </w:tc>
        <w:tc>
          <w:tcPr>
            <w:tcW w:w="971" w:type="dxa"/>
            <w:tcBorders>
              <w:left w:val="single" w:sz="12" w:space="0" w:color="auto"/>
              <w:right w:val="single" w:sz="12" w:space="0" w:color="auto"/>
            </w:tcBorders>
            <w:shd w:val="clear" w:color="auto" w:fill="auto"/>
          </w:tcPr>
          <w:p w14:paraId="2794EB16" w14:textId="77777777" w:rsidR="00D45E3D" w:rsidRPr="00D61E26" w:rsidRDefault="00D45E3D" w:rsidP="00B3115F">
            <w:pPr>
              <w:spacing w:beforeLines="40" w:before="96" w:afterLines="40" w:after="96"/>
              <w:rPr>
                <w:sz w:val="21"/>
                <w:szCs w:val="21"/>
                <w:lang w:val="en-GB" w:bidi="th-TH"/>
              </w:rPr>
            </w:pPr>
          </w:p>
        </w:tc>
        <w:tc>
          <w:tcPr>
            <w:tcW w:w="2968" w:type="dxa"/>
            <w:tcBorders>
              <w:left w:val="single" w:sz="12" w:space="0" w:color="auto"/>
              <w:right w:val="single" w:sz="12" w:space="0" w:color="auto"/>
            </w:tcBorders>
            <w:shd w:val="clear" w:color="auto" w:fill="auto"/>
          </w:tcPr>
          <w:p w14:paraId="170B7D0B" w14:textId="77777777" w:rsidR="00D45E3D" w:rsidRPr="00D61E26" w:rsidRDefault="00D45E3D" w:rsidP="00B3115F">
            <w:pPr>
              <w:spacing w:beforeLines="40" w:before="96" w:afterLines="40" w:after="96"/>
              <w:rPr>
                <w:sz w:val="21"/>
                <w:szCs w:val="21"/>
                <w:lang w:val="en-GB" w:bidi="th-TH"/>
              </w:rPr>
            </w:pPr>
          </w:p>
        </w:tc>
        <w:tc>
          <w:tcPr>
            <w:tcW w:w="2340" w:type="dxa"/>
            <w:tcBorders>
              <w:left w:val="single" w:sz="12" w:space="0" w:color="auto"/>
              <w:right w:val="single" w:sz="12" w:space="0" w:color="auto"/>
            </w:tcBorders>
            <w:shd w:val="clear" w:color="auto" w:fill="auto"/>
          </w:tcPr>
          <w:p w14:paraId="2EC8BE81" w14:textId="77777777" w:rsidR="00D45E3D" w:rsidRPr="00D61E26" w:rsidRDefault="00D45E3D" w:rsidP="00B3115F">
            <w:pPr>
              <w:spacing w:beforeLines="40" w:before="96" w:afterLines="40" w:after="96"/>
              <w:rPr>
                <w:sz w:val="21"/>
                <w:szCs w:val="21"/>
                <w:lang w:val="en-GB" w:bidi="th-TH"/>
              </w:rPr>
            </w:pPr>
          </w:p>
        </w:tc>
        <w:tc>
          <w:tcPr>
            <w:tcW w:w="1456" w:type="dxa"/>
            <w:tcBorders>
              <w:left w:val="single" w:sz="12" w:space="0" w:color="auto"/>
              <w:right w:val="single" w:sz="12" w:space="0" w:color="auto"/>
            </w:tcBorders>
            <w:shd w:val="clear" w:color="auto" w:fill="auto"/>
          </w:tcPr>
          <w:p w14:paraId="6641147B" w14:textId="77777777" w:rsidR="00D45E3D" w:rsidRPr="00D61E26" w:rsidRDefault="00D45E3D" w:rsidP="00B3115F">
            <w:pPr>
              <w:spacing w:beforeLines="40" w:before="96" w:afterLines="40" w:after="96"/>
              <w:rPr>
                <w:sz w:val="21"/>
                <w:szCs w:val="21"/>
                <w:lang w:val="en-GB" w:bidi="th-TH"/>
              </w:rPr>
            </w:pPr>
          </w:p>
        </w:tc>
        <w:tc>
          <w:tcPr>
            <w:tcW w:w="1244" w:type="dxa"/>
            <w:tcBorders>
              <w:left w:val="single" w:sz="12" w:space="0" w:color="auto"/>
              <w:right w:val="single" w:sz="12" w:space="0" w:color="auto"/>
            </w:tcBorders>
            <w:shd w:val="clear" w:color="auto" w:fill="auto"/>
          </w:tcPr>
          <w:p w14:paraId="69BBA6AC" w14:textId="77777777" w:rsidR="00D45E3D" w:rsidRPr="00D61E26" w:rsidRDefault="00D45E3D" w:rsidP="00B3115F">
            <w:pPr>
              <w:spacing w:beforeLines="40" w:before="96" w:afterLines="40" w:after="96"/>
              <w:rPr>
                <w:sz w:val="21"/>
                <w:szCs w:val="21"/>
                <w:lang w:val="en-GB" w:bidi="th-TH"/>
              </w:rPr>
            </w:pPr>
          </w:p>
        </w:tc>
      </w:tr>
      <w:tr w:rsidR="00D45E3D" w:rsidRPr="00B33026" w14:paraId="510C23F8" w14:textId="77777777" w:rsidTr="003615D0">
        <w:tc>
          <w:tcPr>
            <w:tcW w:w="2784" w:type="dxa"/>
            <w:tcBorders>
              <w:left w:val="single" w:sz="12" w:space="0" w:color="auto"/>
              <w:right w:val="single" w:sz="12" w:space="0" w:color="auto"/>
            </w:tcBorders>
            <w:shd w:val="clear" w:color="auto" w:fill="auto"/>
          </w:tcPr>
          <w:p w14:paraId="1CCD2BEE" w14:textId="77777777" w:rsidR="00D45E3D" w:rsidRPr="00D61E26" w:rsidRDefault="00D45E3D" w:rsidP="00B3115F">
            <w:pPr>
              <w:spacing w:beforeLines="40" w:before="96" w:afterLines="40" w:after="96"/>
              <w:rPr>
                <w:sz w:val="21"/>
                <w:szCs w:val="21"/>
                <w:lang w:val="en-GB" w:bidi="th-TH"/>
              </w:rPr>
            </w:pPr>
            <w:r w:rsidRPr="00D61E26">
              <w:rPr>
                <w:sz w:val="21"/>
                <w:szCs w:val="21"/>
                <w:lang w:val="en-GB" w:bidi="th-TH"/>
              </w:rPr>
              <w:t xml:space="preserve">National investment and action planning </w:t>
            </w:r>
          </w:p>
        </w:tc>
        <w:tc>
          <w:tcPr>
            <w:tcW w:w="1456" w:type="dxa"/>
            <w:tcBorders>
              <w:left w:val="single" w:sz="12" w:space="0" w:color="auto"/>
              <w:right w:val="single" w:sz="12" w:space="0" w:color="auto"/>
            </w:tcBorders>
            <w:shd w:val="clear" w:color="auto" w:fill="auto"/>
          </w:tcPr>
          <w:p w14:paraId="061B00FD" w14:textId="77777777" w:rsidR="00D45E3D" w:rsidRPr="00D61E26" w:rsidRDefault="00D45E3D" w:rsidP="00B3115F">
            <w:pPr>
              <w:spacing w:beforeLines="40" w:before="96" w:afterLines="40" w:after="96"/>
              <w:rPr>
                <w:sz w:val="21"/>
                <w:szCs w:val="21"/>
                <w:lang w:val="en-GB" w:bidi="th-TH"/>
              </w:rPr>
            </w:pPr>
          </w:p>
        </w:tc>
        <w:tc>
          <w:tcPr>
            <w:tcW w:w="971" w:type="dxa"/>
            <w:tcBorders>
              <w:left w:val="single" w:sz="12" w:space="0" w:color="auto"/>
              <w:right w:val="single" w:sz="12" w:space="0" w:color="auto"/>
            </w:tcBorders>
            <w:shd w:val="clear" w:color="auto" w:fill="auto"/>
          </w:tcPr>
          <w:p w14:paraId="55018DE0" w14:textId="77777777" w:rsidR="00D45E3D" w:rsidRPr="00D61E26" w:rsidRDefault="00D45E3D" w:rsidP="00B3115F">
            <w:pPr>
              <w:spacing w:beforeLines="40" w:before="96" w:afterLines="40" w:after="96"/>
              <w:rPr>
                <w:sz w:val="21"/>
                <w:szCs w:val="21"/>
                <w:lang w:val="en-GB" w:bidi="th-TH"/>
              </w:rPr>
            </w:pPr>
          </w:p>
        </w:tc>
        <w:tc>
          <w:tcPr>
            <w:tcW w:w="2968" w:type="dxa"/>
            <w:tcBorders>
              <w:left w:val="single" w:sz="12" w:space="0" w:color="auto"/>
              <w:right w:val="single" w:sz="12" w:space="0" w:color="auto"/>
            </w:tcBorders>
            <w:shd w:val="clear" w:color="auto" w:fill="auto"/>
          </w:tcPr>
          <w:p w14:paraId="37ACAB68" w14:textId="77777777" w:rsidR="00D45E3D" w:rsidRPr="00D61E26" w:rsidRDefault="00D45E3D" w:rsidP="00B3115F">
            <w:pPr>
              <w:spacing w:beforeLines="40" w:before="96" w:afterLines="40" w:after="96"/>
              <w:rPr>
                <w:sz w:val="21"/>
                <w:szCs w:val="21"/>
                <w:lang w:val="en-GB" w:bidi="th-TH"/>
              </w:rPr>
            </w:pPr>
          </w:p>
        </w:tc>
        <w:tc>
          <w:tcPr>
            <w:tcW w:w="2340" w:type="dxa"/>
            <w:tcBorders>
              <w:left w:val="single" w:sz="12" w:space="0" w:color="auto"/>
              <w:right w:val="single" w:sz="12" w:space="0" w:color="auto"/>
            </w:tcBorders>
            <w:shd w:val="clear" w:color="auto" w:fill="auto"/>
          </w:tcPr>
          <w:p w14:paraId="7638973C" w14:textId="77777777" w:rsidR="00D45E3D" w:rsidRPr="00D61E26" w:rsidRDefault="00D45E3D" w:rsidP="00B3115F">
            <w:pPr>
              <w:spacing w:beforeLines="40" w:before="96" w:afterLines="40" w:after="96"/>
              <w:rPr>
                <w:sz w:val="21"/>
                <w:szCs w:val="21"/>
                <w:lang w:val="en-GB" w:bidi="th-TH"/>
              </w:rPr>
            </w:pPr>
          </w:p>
        </w:tc>
        <w:tc>
          <w:tcPr>
            <w:tcW w:w="1456" w:type="dxa"/>
            <w:tcBorders>
              <w:left w:val="single" w:sz="12" w:space="0" w:color="auto"/>
              <w:right w:val="single" w:sz="12" w:space="0" w:color="auto"/>
            </w:tcBorders>
            <w:shd w:val="clear" w:color="auto" w:fill="auto"/>
          </w:tcPr>
          <w:p w14:paraId="740ECC8F" w14:textId="77777777" w:rsidR="00D45E3D" w:rsidRPr="00D61E26" w:rsidRDefault="00D45E3D" w:rsidP="00B3115F">
            <w:pPr>
              <w:spacing w:beforeLines="40" w:before="96" w:afterLines="40" w:after="96"/>
              <w:rPr>
                <w:sz w:val="21"/>
                <w:szCs w:val="21"/>
                <w:lang w:val="en-GB" w:bidi="th-TH"/>
              </w:rPr>
            </w:pPr>
          </w:p>
        </w:tc>
        <w:tc>
          <w:tcPr>
            <w:tcW w:w="1244" w:type="dxa"/>
            <w:tcBorders>
              <w:left w:val="single" w:sz="12" w:space="0" w:color="auto"/>
              <w:right w:val="single" w:sz="12" w:space="0" w:color="auto"/>
            </w:tcBorders>
            <w:shd w:val="clear" w:color="auto" w:fill="auto"/>
          </w:tcPr>
          <w:p w14:paraId="76CA7C36" w14:textId="77777777" w:rsidR="00D45E3D" w:rsidRPr="00D61E26" w:rsidRDefault="00D45E3D" w:rsidP="00B3115F">
            <w:pPr>
              <w:spacing w:beforeLines="40" w:before="96" w:afterLines="40" w:after="96"/>
              <w:rPr>
                <w:sz w:val="21"/>
                <w:szCs w:val="21"/>
                <w:lang w:val="en-GB" w:bidi="th-TH"/>
              </w:rPr>
            </w:pPr>
          </w:p>
        </w:tc>
      </w:tr>
      <w:tr w:rsidR="00D45E3D" w:rsidRPr="00B33026" w14:paraId="02B1F404" w14:textId="77777777" w:rsidTr="003615D0">
        <w:tc>
          <w:tcPr>
            <w:tcW w:w="2784" w:type="dxa"/>
            <w:tcBorders>
              <w:left w:val="single" w:sz="12" w:space="0" w:color="auto"/>
              <w:right w:val="single" w:sz="12" w:space="0" w:color="auto"/>
            </w:tcBorders>
            <w:shd w:val="clear" w:color="auto" w:fill="auto"/>
          </w:tcPr>
          <w:p w14:paraId="59CCC0C7" w14:textId="77777777" w:rsidR="00D45E3D" w:rsidRPr="00D61E26" w:rsidRDefault="00D45E3D" w:rsidP="00B3115F">
            <w:pPr>
              <w:spacing w:beforeLines="40" w:before="96" w:afterLines="40" w:after="96"/>
              <w:rPr>
                <w:sz w:val="21"/>
                <w:szCs w:val="21"/>
                <w:lang w:val="en-GB" w:bidi="th-TH"/>
              </w:rPr>
            </w:pPr>
            <w:r w:rsidRPr="00D61E26">
              <w:rPr>
                <w:sz w:val="21"/>
                <w:szCs w:val="21"/>
                <w:lang w:val="en-GB" w:bidi="th-TH"/>
              </w:rPr>
              <w:t>Revising the Transboundary Diagnostic Analysis</w:t>
            </w:r>
          </w:p>
        </w:tc>
        <w:tc>
          <w:tcPr>
            <w:tcW w:w="1456" w:type="dxa"/>
            <w:tcBorders>
              <w:left w:val="single" w:sz="12" w:space="0" w:color="auto"/>
              <w:right w:val="single" w:sz="12" w:space="0" w:color="auto"/>
            </w:tcBorders>
            <w:shd w:val="clear" w:color="auto" w:fill="auto"/>
          </w:tcPr>
          <w:p w14:paraId="1F0C6A69" w14:textId="77777777" w:rsidR="00D45E3D" w:rsidRPr="00D61E26" w:rsidRDefault="00D45E3D" w:rsidP="00B3115F">
            <w:pPr>
              <w:spacing w:beforeLines="40" w:before="96" w:afterLines="40" w:after="96"/>
              <w:rPr>
                <w:sz w:val="21"/>
                <w:szCs w:val="21"/>
                <w:lang w:val="en-GB" w:bidi="th-TH"/>
              </w:rPr>
            </w:pPr>
          </w:p>
        </w:tc>
        <w:tc>
          <w:tcPr>
            <w:tcW w:w="971" w:type="dxa"/>
            <w:tcBorders>
              <w:left w:val="single" w:sz="12" w:space="0" w:color="auto"/>
              <w:right w:val="single" w:sz="12" w:space="0" w:color="auto"/>
            </w:tcBorders>
            <w:shd w:val="clear" w:color="auto" w:fill="auto"/>
          </w:tcPr>
          <w:p w14:paraId="3A5B0900" w14:textId="77777777" w:rsidR="00D45E3D" w:rsidRPr="00D61E26" w:rsidRDefault="00D45E3D" w:rsidP="00B3115F">
            <w:pPr>
              <w:spacing w:beforeLines="40" w:before="96" w:afterLines="40" w:after="96"/>
              <w:rPr>
                <w:sz w:val="21"/>
                <w:szCs w:val="21"/>
                <w:lang w:val="en-GB" w:bidi="th-TH"/>
              </w:rPr>
            </w:pPr>
          </w:p>
        </w:tc>
        <w:tc>
          <w:tcPr>
            <w:tcW w:w="2968" w:type="dxa"/>
            <w:tcBorders>
              <w:left w:val="single" w:sz="12" w:space="0" w:color="auto"/>
              <w:right w:val="single" w:sz="12" w:space="0" w:color="auto"/>
            </w:tcBorders>
            <w:shd w:val="clear" w:color="auto" w:fill="auto"/>
          </w:tcPr>
          <w:p w14:paraId="51750A15" w14:textId="77777777" w:rsidR="00D45E3D" w:rsidRPr="00D61E26" w:rsidRDefault="00D45E3D" w:rsidP="00B3115F">
            <w:pPr>
              <w:spacing w:beforeLines="40" w:before="96" w:afterLines="40" w:after="96"/>
              <w:rPr>
                <w:sz w:val="21"/>
                <w:szCs w:val="21"/>
                <w:lang w:val="en-GB" w:bidi="th-TH"/>
              </w:rPr>
            </w:pPr>
          </w:p>
        </w:tc>
        <w:tc>
          <w:tcPr>
            <w:tcW w:w="2340" w:type="dxa"/>
            <w:tcBorders>
              <w:left w:val="single" w:sz="12" w:space="0" w:color="auto"/>
              <w:right w:val="single" w:sz="12" w:space="0" w:color="auto"/>
            </w:tcBorders>
            <w:shd w:val="clear" w:color="auto" w:fill="auto"/>
          </w:tcPr>
          <w:p w14:paraId="1210B39B" w14:textId="77777777" w:rsidR="00D45E3D" w:rsidRPr="00D61E26" w:rsidRDefault="00D45E3D" w:rsidP="00B3115F">
            <w:pPr>
              <w:spacing w:beforeLines="40" w:before="96" w:afterLines="40" w:after="96"/>
              <w:rPr>
                <w:sz w:val="21"/>
                <w:szCs w:val="21"/>
                <w:lang w:val="en-GB" w:bidi="th-TH"/>
              </w:rPr>
            </w:pPr>
          </w:p>
        </w:tc>
        <w:tc>
          <w:tcPr>
            <w:tcW w:w="1456" w:type="dxa"/>
            <w:tcBorders>
              <w:left w:val="single" w:sz="12" w:space="0" w:color="auto"/>
              <w:right w:val="single" w:sz="12" w:space="0" w:color="auto"/>
            </w:tcBorders>
            <w:shd w:val="clear" w:color="auto" w:fill="auto"/>
          </w:tcPr>
          <w:p w14:paraId="25C6EAF8" w14:textId="77777777" w:rsidR="00D45E3D" w:rsidRPr="00D61E26" w:rsidRDefault="00D45E3D" w:rsidP="00B3115F">
            <w:pPr>
              <w:spacing w:beforeLines="40" w:before="96" w:afterLines="40" w:after="96"/>
              <w:rPr>
                <w:sz w:val="21"/>
                <w:szCs w:val="21"/>
                <w:lang w:val="en-GB" w:bidi="th-TH"/>
              </w:rPr>
            </w:pPr>
          </w:p>
        </w:tc>
        <w:tc>
          <w:tcPr>
            <w:tcW w:w="1244" w:type="dxa"/>
            <w:tcBorders>
              <w:left w:val="single" w:sz="12" w:space="0" w:color="auto"/>
              <w:right w:val="single" w:sz="12" w:space="0" w:color="auto"/>
            </w:tcBorders>
            <w:shd w:val="clear" w:color="auto" w:fill="auto"/>
          </w:tcPr>
          <w:p w14:paraId="5B3105A2" w14:textId="77777777" w:rsidR="00D45E3D" w:rsidRPr="00D61E26" w:rsidRDefault="00D45E3D" w:rsidP="00B3115F">
            <w:pPr>
              <w:spacing w:beforeLines="40" w:before="96" w:afterLines="40" w:after="96"/>
              <w:rPr>
                <w:sz w:val="21"/>
                <w:szCs w:val="21"/>
                <w:lang w:val="en-GB" w:bidi="th-TH"/>
              </w:rPr>
            </w:pPr>
          </w:p>
        </w:tc>
      </w:tr>
      <w:tr w:rsidR="00D45E3D" w:rsidRPr="00B33026" w14:paraId="4E534707" w14:textId="77777777" w:rsidTr="003615D0">
        <w:trPr>
          <w:trHeight w:val="347"/>
        </w:trPr>
        <w:tc>
          <w:tcPr>
            <w:tcW w:w="2784" w:type="dxa"/>
            <w:tcBorders>
              <w:left w:val="single" w:sz="12" w:space="0" w:color="auto"/>
              <w:right w:val="single" w:sz="12" w:space="0" w:color="auto"/>
            </w:tcBorders>
            <w:shd w:val="clear" w:color="auto" w:fill="auto"/>
          </w:tcPr>
          <w:p w14:paraId="7FEB00F6" w14:textId="77777777" w:rsidR="00D45E3D" w:rsidRPr="00D61E26" w:rsidRDefault="00D45E3D" w:rsidP="00B3115F">
            <w:pPr>
              <w:spacing w:beforeLines="40" w:before="96" w:afterLines="40" w:after="96"/>
              <w:rPr>
                <w:sz w:val="21"/>
                <w:szCs w:val="21"/>
                <w:lang w:val="en-GB" w:bidi="th-TH"/>
              </w:rPr>
            </w:pPr>
            <w:r w:rsidRPr="00D61E26">
              <w:rPr>
                <w:sz w:val="21"/>
                <w:szCs w:val="21"/>
                <w:lang w:val="en-GB" w:bidi="th-TH"/>
              </w:rPr>
              <w:t>Strategic Action Programme update and endorsement</w:t>
            </w:r>
          </w:p>
        </w:tc>
        <w:tc>
          <w:tcPr>
            <w:tcW w:w="1456" w:type="dxa"/>
            <w:tcBorders>
              <w:left w:val="single" w:sz="12" w:space="0" w:color="auto"/>
              <w:right w:val="single" w:sz="12" w:space="0" w:color="auto"/>
            </w:tcBorders>
            <w:shd w:val="clear" w:color="auto" w:fill="auto"/>
          </w:tcPr>
          <w:p w14:paraId="7590D075" w14:textId="77777777" w:rsidR="00D45E3D" w:rsidRPr="00D61E26" w:rsidRDefault="00D45E3D" w:rsidP="00B3115F">
            <w:pPr>
              <w:spacing w:beforeLines="40" w:before="96" w:afterLines="40" w:after="96"/>
              <w:rPr>
                <w:sz w:val="21"/>
                <w:szCs w:val="21"/>
                <w:lang w:val="en-GB" w:bidi="th-TH"/>
              </w:rPr>
            </w:pPr>
          </w:p>
        </w:tc>
        <w:tc>
          <w:tcPr>
            <w:tcW w:w="971" w:type="dxa"/>
            <w:tcBorders>
              <w:left w:val="single" w:sz="12" w:space="0" w:color="auto"/>
              <w:right w:val="single" w:sz="12" w:space="0" w:color="auto"/>
            </w:tcBorders>
            <w:shd w:val="clear" w:color="auto" w:fill="auto"/>
          </w:tcPr>
          <w:p w14:paraId="4F9A096C" w14:textId="77777777" w:rsidR="00D45E3D" w:rsidRPr="00D61E26" w:rsidRDefault="00D45E3D" w:rsidP="00B3115F">
            <w:pPr>
              <w:spacing w:beforeLines="40" w:before="96" w:afterLines="40" w:after="96"/>
              <w:rPr>
                <w:sz w:val="21"/>
                <w:szCs w:val="21"/>
                <w:lang w:val="en-GB" w:bidi="th-TH"/>
              </w:rPr>
            </w:pPr>
          </w:p>
        </w:tc>
        <w:tc>
          <w:tcPr>
            <w:tcW w:w="2968" w:type="dxa"/>
            <w:tcBorders>
              <w:left w:val="single" w:sz="12" w:space="0" w:color="auto"/>
              <w:right w:val="single" w:sz="12" w:space="0" w:color="auto"/>
            </w:tcBorders>
            <w:shd w:val="clear" w:color="auto" w:fill="auto"/>
          </w:tcPr>
          <w:p w14:paraId="636843E2" w14:textId="77777777" w:rsidR="00D45E3D" w:rsidRPr="00D61E26" w:rsidRDefault="00D45E3D" w:rsidP="00B3115F">
            <w:pPr>
              <w:spacing w:beforeLines="40" w:before="96" w:afterLines="40" w:after="96"/>
              <w:rPr>
                <w:sz w:val="21"/>
                <w:szCs w:val="21"/>
                <w:lang w:val="en-GB" w:bidi="th-TH"/>
              </w:rPr>
            </w:pPr>
          </w:p>
        </w:tc>
        <w:tc>
          <w:tcPr>
            <w:tcW w:w="2340" w:type="dxa"/>
            <w:tcBorders>
              <w:left w:val="single" w:sz="12" w:space="0" w:color="auto"/>
              <w:right w:val="single" w:sz="12" w:space="0" w:color="auto"/>
            </w:tcBorders>
            <w:shd w:val="clear" w:color="auto" w:fill="auto"/>
          </w:tcPr>
          <w:p w14:paraId="3201122A" w14:textId="77777777" w:rsidR="00D45E3D" w:rsidRPr="00D61E26" w:rsidRDefault="00D45E3D" w:rsidP="00B3115F">
            <w:pPr>
              <w:spacing w:beforeLines="40" w:before="96" w:afterLines="40" w:after="96"/>
              <w:rPr>
                <w:sz w:val="21"/>
                <w:szCs w:val="21"/>
                <w:lang w:val="en-GB" w:bidi="th-TH"/>
              </w:rPr>
            </w:pPr>
          </w:p>
        </w:tc>
        <w:tc>
          <w:tcPr>
            <w:tcW w:w="1456" w:type="dxa"/>
            <w:tcBorders>
              <w:left w:val="single" w:sz="12" w:space="0" w:color="auto"/>
              <w:right w:val="single" w:sz="12" w:space="0" w:color="auto"/>
            </w:tcBorders>
            <w:shd w:val="clear" w:color="auto" w:fill="auto"/>
          </w:tcPr>
          <w:p w14:paraId="6E229FA9" w14:textId="77777777" w:rsidR="00D45E3D" w:rsidRPr="00D61E26" w:rsidRDefault="00D45E3D" w:rsidP="00B3115F">
            <w:pPr>
              <w:spacing w:beforeLines="40" w:before="96" w:afterLines="40" w:after="96"/>
              <w:rPr>
                <w:sz w:val="21"/>
                <w:szCs w:val="21"/>
                <w:lang w:val="en-GB" w:bidi="th-TH"/>
              </w:rPr>
            </w:pPr>
          </w:p>
        </w:tc>
        <w:tc>
          <w:tcPr>
            <w:tcW w:w="1244" w:type="dxa"/>
            <w:tcBorders>
              <w:left w:val="single" w:sz="12" w:space="0" w:color="auto"/>
              <w:right w:val="single" w:sz="12" w:space="0" w:color="auto"/>
            </w:tcBorders>
            <w:shd w:val="clear" w:color="auto" w:fill="auto"/>
          </w:tcPr>
          <w:p w14:paraId="4153FE65" w14:textId="77777777" w:rsidR="00D45E3D" w:rsidRPr="00D61E26" w:rsidRDefault="00D45E3D" w:rsidP="00B3115F">
            <w:pPr>
              <w:spacing w:beforeLines="40" w:before="96" w:afterLines="40" w:after="96"/>
              <w:rPr>
                <w:sz w:val="21"/>
                <w:szCs w:val="21"/>
                <w:lang w:val="en-GB" w:bidi="th-TH"/>
              </w:rPr>
            </w:pPr>
          </w:p>
        </w:tc>
      </w:tr>
      <w:tr w:rsidR="00D45E3D" w:rsidRPr="00B33026" w14:paraId="0E9F521B" w14:textId="77777777" w:rsidTr="003615D0">
        <w:trPr>
          <w:trHeight w:val="347"/>
        </w:trPr>
        <w:tc>
          <w:tcPr>
            <w:tcW w:w="2784" w:type="dxa"/>
            <w:tcBorders>
              <w:left w:val="single" w:sz="12" w:space="0" w:color="auto"/>
              <w:right w:val="single" w:sz="12" w:space="0" w:color="auto"/>
            </w:tcBorders>
            <w:shd w:val="clear" w:color="auto" w:fill="auto"/>
          </w:tcPr>
          <w:p w14:paraId="6BD8A551" w14:textId="77777777" w:rsidR="00D45E3D" w:rsidRPr="00D61E26" w:rsidRDefault="00D45E3D" w:rsidP="00B3115F">
            <w:pPr>
              <w:spacing w:beforeLines="40" w:before="96" w:afterLines="40" w:after="96"/>
              <w:rPr>
                <w:sz w:val="21"/>
                <w:szCs w:val="21"/>
                <w:lang w:val="en-GB" w:bidi="th-TH"/>
              </w:rPr>
            </w:pPr>
            <w:r w:rsidRPr="00D61E26">
              <w:rPr>
                <w:sz w:val="21"/>
                <w:szCs w:val="21"/>
                <w:lang w:val="en-GB" w:bidi="th-TH"/>
              </w:rPr>
              <w:t>Communications and awareness raising</w:t>
            </w:r>
          </w:p>
        </w:tc>
        <w:tc>
          <w:tcPr>
            <w:tcW w:w="1456" w:type="dxa"/>
            <w:tcBorders>
              <w:left w:val="single" w:sz="12" w:space="0" w:color="auto"/>
              <w:right w:val="single" w:sz="12" w:space="0" w:color="auto"/>
            </w:tcBorders>
            <w:shd w:val="clear" w:color="auto" w:fill="auto"/>
          </w:tcPr>
          <w:p w14:paraId="714B0318" w14:textId="77777777" w:rsidR="00D45E3D" w:rsidRPr="00D61E26" w:rsidRDefault="00D45E3D" w:rsidP="00B3115F">
            <w:pPr>
              <w:spacing w:beforeLines="40" w:before="96" w:afterLines="40" w:after="96"/>
              <w:rPr>
                <w:sz w:val="21"/>
                <w:szCs w:val="21"/>
                <w:lang w:val="en-GB" w:bidi="th-TH"/>
              </w:rPr>
            </w:pPr>
          </w:p>
        </w:tc>
        <w:tc>
          <w:tcPr>
            <w:tcW w:w="971" w:type="dxa"/>
            <w:tcBorders>
              <w:left w:val="single" w:sz="12" w:space="0" w:color="auto"/>
              <w:right w:val="single" w:sz="12" w:space="0" w:color="auto"/>
            </w:tcBorders>
            <w:shd w:val="clear" w:color="auto" w:fill="auto"/>
          </w:tcPr>
          <w:p w14:paraId="65C2947F" w14:textId="77777777" w:rsidR="00D45E3D" w:rsidRPr="00D61E26" w:rsidRDefault="00D45E3D" w:rsidP="00B3115F">
            <w:pPr>
              <w:spacing w:beforeLines="40" w:before="96" w:afterLines="40" w:after="96"/>
              <w:rPr>
                <w:sz w:val="21"/>
                <w:szCs w:val="21"/>
                <w:lang w:val="en-GB" w:bidi="th-TH"/>
              </w:rPr>
            </w:pPr>
          </w:p>
        </w:tc>
        <w:tc>
          <w:tcPr>
            <w:tcW w:w="2968" w:type="dxa"/>
            <w:tcBorders>
              <w:left w:val="single" w:sz="12" w:space="0" w:color="auto"/>
              <w:right w:val="single" w:sz="12" w:space="0" w:color="auto"/>
            </w:tcBorders>
            <w:shd w:val="clear" w:color="auto" w:fill="auto"/>
          </w:tcPr>
          <w:p w14:paraId="74C7B1D0" w14:textId="77777777" w:rsidR="00D45E3D" w:rsidRPr="00D61E26" w:rsidRDefault="00D45E3D" w:rsidP="00B3115F">
            <w:pPr>
              <w:spacing w:beforeLines="40" w:before="96" w:afterLines="40" w:after="96"/>
              <w:rPr>
                <w:sz w:val="21"/>
                <w:szCs w:val="21"/>
                <w:lang w:val="en-GB" w:bidi="th-TH"/>
              </w:rPr>
            </w:pPr>
          </w:p>
        </w:tc>
        <w:tc>
          <w:tcPr>
            <w:tcW w:w="2340" w:type="dxa"/>
            <w:tcBorders>
              <w:left w:val="single" w:sz="12" w:space="0" w:color="auto"/>
              <w:right w:val="single" w:sz="12" w:space="0" w:color="auto"/>
            </w:tcBorders>
            <w:shd w:val="clear" w:color="auto" w:fill="auto"/>
          </w:tcPr>
          <w:p w14:paraId="2BFD650F" w14:textId="77777777" w:rsidR="00D45E3D" w:rsidRPr="00D61E26" w:rsidRDefault="00D45E3D" w:rsidP="00B3115F">
            <w:pPr>
              <w:spacing w:beforeLines="40" w:before="96" w:afterLines="40" w:after="96"/>
              <w:rPr>
                <w:sz w:val="21"/>
                <w:szCs w:val="21"/>
                <w:lang w:val="en-GB" w:bidi="th-TH"/>
              </w:rPr>
            </w:pPr>
          </w:p>
        </w:tc>
        <w:tc>
          <w:tcPr>
            <w:tcW w:w="1456" w:type="dxa"/>
            <w:tcBorders>
              <w:left w:val="single" w:sz="12" w:space="0" w:color="auto"/>
              <w:right w:val="single" w:sz="12" w:space="0" w:color="auto"/>
            </w:tcBorders>
            <w:shd w:val="clear" w:color="auto" w:fill="auto"/>
          </w:tcPr>
          <w:p w14:paraId="331ACAE4" w14:textId="77777777" w:rsidR="00D45E3D" w:rsidRPr="00D61E26" w:rsidRDefault="00D45E3D" w:rsidP="00B3115F">
            <w:pPr>
              <w:spacing w:beforeLines="40" w:before="96" w:afterLines="40" w:after="96"/>
              <w:rPr>
                <w:sz w:val="21"/>
                <w:szCs w:val="21"/>
                <w:lang w:val="en-GB" w:bidi="th-TH"/>
              </w:rPr>
            </w:pPr>
          </w:p>
        </w:tc>
        <w:tc>
          <w:tcPr>
            <w:tcW w:w="1244" w:type="dxa"/>
            <w:tcBorders>
              <w:left w:val="single" w:sz="12" w:space="0" w:color="auto"/>
              <w:right w:val="single" w:sz="12" w:space="0" w:color="auto"/>
            </w:tcBorders>
            <w:shd w:val="clear" w:color="auto" w:fill="auto"/>
          </w:tcPr>
          <w:p w14:paraId="25E64986" w14:textId="77777777" w:rsidR="00D45E3D" w:rsidRPr="00D61E26" w:rsidRDefault="00D45E3D" w:rsidP="00B3115F">
            <w:pPr>
              <w:spacing w:beforeLines="40" w:before="96" w:afterLines="40" w:after="96"/>
              <w:rPr>
                <w:sz w:val="21"/>
                <w:szCs w:val="21"/>
                <w:lang w:val="en-GB" w:bidi="th-TH"/>
              </w:rPr>
            </w:pPr>
          </w:p>
        </w:tc>
      </w:tr>
      <w:tr w:rsidR="00D45E3D" w:rsidRPr="00B33026" w14:paraId="7C2F493C" w14:textId="77777777" w:rsidTr="003615D0">
        <w:trPr>
          <w:trHeight w:val="347"/>
        </w:trPr>
        <w:tc>
          <w:tcPr>
            <w:tcW w:w="2784" w:type="dxa"/>
            <w:tcBorders>
              <w:left w:val="single" w:sz="12" w:space="0" w:color="auto"/>
              <w:bottom w:val="single" w:sz="12" w:space="0" w:color="auto"/>
              <w:right w:val="single" w:sz="12" w:space="0" w:color="auto"/>
            </w:tcBorders>
            <w:shd w:val="clear" w:color="auto" w:fill="auto"/>
          </w:tcPr>
          <w:p w14:paraId="111D80AC" w14:textId="77777777" w:rsidR="00D45E3D" w:rsidRPr="00D61E26" w:rsidRDefault="00D45E3D" w:rsidP="00B3115F">
            <w:pPr>
              <w:spacing w:beforeLines="40" w:before="96" w:afterLines="40" w:after="96"/>
              <w:rPr>
                <w:sz w:val="21"/>
                <w:szCs w:val="21"/>
                <w:lang w:val="en-GB" w:bidi="th-TH"/>
              </w:rPr>
            </w:pPr>
            <w:r w:rsidRPr="00D61E26">
              <w:rPr>
                <w:sz w:val="21"/>
                <w:szCs w:val="21"/>
                <w:lang w:val="en-GB" w:bidi="th-TH"/>
              </w:rPr>
              <w:t>Political Commitment</w:t>
            </w:r>
          </w:p>
        </w:tc>
        <w:tc>
          <w:tcPr>
            <w:tcW w:w="1456" w:type="dxa"/>
            <w:tcBorders>
              <w:left w:val="single" w:sz="12" w:space="0" w:color="auto"/>
              <w:bottom w:val="single" w:sz="12" w:space="0" w:color="auto"/>
              <w:right w:val="single" w:sz="12" w:space="0" w:color="auto"/>
            </w:tcBorders>
            <w:shd w:val="clear" w:color="auto" w:fill="auto"/>
          </w:tcPr>
          <w:p w14:paraId="33DDF611" w14:textId="77777777" w:rsidR="00D45E3D" w:rsidRPr="00D61E26" w:rsidRDefault="00D45E3D" w:rsidP="00B3115F">
            <w:pPr>
              <w:spacing w:beforeLines="40" w:before="96" w:afterLines="40" w:after="96"/>
              <w:rPr>
                <w:sz w:val="21"/>
                <w:szCs w:val="21"/>
                <w:lang w:val="en-GB" w:bidi="th-TH"/>
              </w:rPr>
            </w:pPr>
          </w:p>
        </w:tc>
        <w:tc>
          <w:tcPr>
            <w:tcW w:w="971" w:type="dxa"/>
            <w:tcBorders>
              <w:left w:val="single" w:sz="12" w:space="0" w:color="auto"/>
              <w:bottom w:val="single" w:sz="12" w:space="0" w:color="auto"/>
              <w:right w:val="single" w:sz="12" w:space="0" w:color="auto"/>
            </w:tcBorders>
            <w:shd w:val="clear" w:color="auto" w:fill="auto"/>
          </w:tcPr>
          <w:p w14:paraId="6535AAC3" w14:textId="77777777" w:rsidR="00D45E3D" w:rsidRPr="00D61E26" w:rsidRDefault="00D45E3D" w:rsidP="00B3115F">
            <w:pPr>
              <w:spacing w:beforeLines="40" w:before="96" w:afterLines="40" w:after="96"/>
              <w:rPr>
                <w:sz w:val="21"/>
                <w:szCs w:val="21"/>
                <w:lang w:val="en-GB" w:bidi="th-TH"/>
              </w:rPr>
            </w:pPr>
          </w:p>
        </w:tc>
        <w:tc>
          <w:tcPr>
            <w:tcW w:w="2968" w:type="dxa"/>
            <w:tcBorders>
              <w:left w:val="single" w:sz="12" w:space="0" w:color="auto"/>
              <w:bottom w:val="single" w:sz="12" w:space="0" w:color="auto"/>
              <w:right w:val="single" w:sz="12" w:space="0" w:color="auto"/>
            </w:tcBorders>
            <w:shd w:val="clear" w:color="auto" w:fill="auto"/>
          </w:tcPr>
          <w:p w14:paraId="56E4EAB5" w14:textId="77777777" w:rsidR="00D45E3D" w:rsidRPr="00D61E26" w:rsidRDefault="00D45E3D" w:rsidP="00B3115F">
            <w:pPr>
              <w:spacing w:beforeLines="40" w:before="96" w:afterLines="40" w:after="96"/>
              <w:rPr>
                <w:sz w:val="21"/>
                <w:szCs w:val="21"/>
                <w:lang w:val="en-GB" w:bidi="th-TH"/>
              </w:rPr>
            </w:pPr>
          </w:p>
        </w:tc>
        <w:tc>
          <w:tcPr>
            <w:tcW w:w="2340" w:type="dxa"/>
            <w:tcBorders>
              <w:left w:val="single" w:sz="12" w:space="0" w:color="auto"/>
              <w:bottom w:val="single" w:sz="12" w:space="0" w:color="auto"/>
              <w:right w:val="single" w:sz="12" w:space="0" w:color="auto"/>
            </w:tcBorders>
            <w:shd w:val="clear" w:color="auto" w:fill="auto"/>
          </w:tcPr>
          <w:p w14:paraId="270D02DD" w14:textId="77777777" w:rsidR="00D45E3D" w:rsidRPr="00D61E26" w:rsidRDefault="00D45E3D" w:rsidP="00B3115F">
            <w:pPr>
              <w:spacing w:beforeLines="40" w:before="96" w:afterLines="40" w:after="96"/>
              <w:rPr>
                <w:sz w:val="21"/>
                <w:szCs w:val="21"/>
                <w:lang w:val="en-GB" w:bidi="th-TH"/>
              </w:rPr>
            </w:pPr>
          </w:p>
        </w:tc>
        <w:tc>
          <w:tcPr>
            <w:tcW w:w="1456" w:type="dxa"/>
            <w:tcBorders>
              <w:left w:val="single" w:sz="12" w:space="0" w:color="auto"/>
              <w:bottom w:val="single" w:sz="12" w:space="0" w:color="auto"/>
              <w:right w:val="single" w:sz="12" w:space="0" w:color="auto"/>
            </w:tcBorders>
            <w:shd w:val="clear" w:color="auto" w:fill="auto"/>
          </w:tcPr>
          <w:p w14:paraId="39339B59" w14:textId="77777777" w:rsidR="00D45E3D" w:rsidRPr="00D61E26" w:rsidRDefault="00D45E3D" w:rsidP="00B3115F">
            <w:pPr>
              <w:spacing w:beforeLines="40" w:before="96" w:afterLines="40" w:after="96"/>
              <w:rPr>
                <w:sz w:val="21"/>
                <w:szCs w:val="21"/>
                <w:lang w:val="en-GB" w:bidi="th-TH"/>
              </w:rPr>
            </w:pPr>
          </w:p>
        </w:tc>
        <w:tc>
          <w:tcPr>
            <w:tcW w:w="1244" w:type="dxa"/>
            <w:tcBorders>
              <w:left w:val="single" w:sz="12" w:space="0" w:color="auto"/>
              <w:bottom w:val="single" w:sz="12" w:space="0" w:color="auto"/>
              <w:right w:val="single" w:sz="12" w:space="0" w:color="auto"/>
            </w:tcBorders>
            <w:shd w:val="clear" w:color="auto" w:fill="auto"/>
          </w:tcPr>
          <w:p w14:paraId="0BDB6E9E" w14:textId="77777777" w:rsidR="00D45E3D" w:rsidRPr="00D61E26" w:rsidRDefault="00D45E3D" w:rsidP="00B3115F">
            <w:pPr>
              <w:spacing w:beforeLines="40" w:before="96" w:afterLines="40" w:after="96"/>
              <w:rPr>
                <w:sz w:val="21"/>
                <w:szCs w:val="21"/>
                <w:lang w:val="en-GB" w:bidi="th-TH"/>
              </w:rPr>
            </w:pPr>
          </w:p>
        </w:tc>
      </w:tr>
    </w:tbl>
    <w:p w14:paraId="3D197896" w14:textId="77777777" w:rsidR="00D45E3D" w:rsidRDefault="00D45E3D" w:rsidP="00B33026">
      <w:pPr>
        <w:spacing w:after="120"/>
        <w:jc w:val="both"/>
        <w:rPr>
          <w:sz w:val="22"/>
          <w:szCs w:val="22"/>
          <w:lang w:val="en-GB"/>
        </w:rPr>
      </w:pPr>
    </w:p>
    <w:p w14:paraId="1533DAA7" w14:textId="77777777" w:rsidR="00D45E3D" w:rsidRDefault="00D45E3D" w:rsidP="00B33026">
      <w:pPr>
        <w:spacing w:after="120"/>
        <w:jc w:val="both"/>
        <w:rPr>
          <w:sz w:val="22"/>
          <w:szCs w:val="22"/>
          <w:lang w:val="en-GB"/>
        </w:rPr>
      </w:pPr>
    </w:p>
    <w:p w14:paraId="0157E913" w14:textId="77777777" w:rsidR="00D45E3D" w:rsidRDefault="00D45E3D" w:rsidP="00132162">
      <w:pPr>
        <w:spacing w:after="120"/>
        <w:ind w:left="1440" w:hanging="1440"/>
        <w:jc w:val="both"/>
        <w:rPr>
          <w:sz w:val="22"/>
          <w:szCs w:val="22"/>
          <w:lang w:val="en-GB"/>
        </w:rPr>
      </w:pPr>
      <w:r w:rsidRPr="00132162">
        <w:rPr>
          <w:b/>
          <w:sz w:val="22"/>
          <w:szCs w:val="22"/>
          <w:lang w:val="en-GB"/>
        </w:rPr>
        <w:t>Table 45</w:t>
      </w:r>
      <w:r w:rsidRPr="00D45E3D">
        <w:rPr>
          <w:sz w:val="22"/>
          <w:szCs w:val="22"/>
          <w:lang w:val="en-GB"/>
        </w:rPr>
        <w:tab/>
        <w:t xml:space="preserve">Objectives, features, required inputs, and technical needs for the South China Sea website identified during project preparation </w:t>
      </w:r>
      <w:r w:rsidR="004C00ED">
        <w:rPr>
          <w:sz w:val="22"/>
          <w:szCs w:val="22"/>
          <w:lang w:val="en-GB"/>
        </w:rPr>
        <w:t>with respect to the</w:t>
      </w:r>
      <w:r w:rsidRPr="00D45E3D">
        <w:rPr>
          <w:sz w:val="22"/>
          <w:szCs w:val="22"/>
          <w:lang w:val="en-GB"/>
        </w:rPr>
        <w:t xml:space="preserve"> appropriate use of online technologies in support of SAP implementation and communications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1"/>
        <w:gridCol w:w="2801"/>
        <w:gridCol w:w="2068"/>
        <w:gridCol w:w="2325"/>
        <w:gridCol w:w="2755"/>
      </w:tblGrid>
      <w:tr w:rsidR="00D45E3D" w:rsidRPr="003615D0" w14:paraId="4A3CA805" w14:textId="77777777" w:rsidTr="003615D0">
        <w:tc>
          <w:tcPr>
            <w:tcW w:w="3287" w:type="dxa"/>
            <w:tcBorders>
              <w:top w:val="single" w:sz="12" w:space="0" w:color="auto"/>
              <w:left w:val="single" w:sz="12" w:space="0" w:color="auto"/>
              <w:bottom w:val="single" w:sz="12" w:space="0" w:color="auto"/>
            </w:tcBorders>
            <w:shd w:val="clear" w:color="auto" w:fill="auto"/>
            <w:vAlign w:val="center"/>
          </w:tcPr>
          <w:p w14:paraId="24953E6B" w14:textId="77777777" w:rsidR="00D45E3D" w:rsidRPr="003615D0" w:rsidRDefault="00D45E3D" w:rsidP="003615D0">
            <w:pPr>
              <w:jc w:val="center"/>
              <w:rPr>
                <w:b/>
                <w:bCs/>
                <w:sz w:val="18"/>
                <w:szCs w:val="18"/>
                <w:lang w:val="en-GB"/>
              </w:rPr>
            </w:pPr>
            <w:r w:rsidRPr="003615D0">
              <w:rPr>
                <w:b/>
                <w:bCs/>
                <w:sz w:val="18"/>
                <w:szCs w:val="18"/>
                <w:lang w:val="en-GB"/>
              </w:rPr>
              <w:t>Requirements</w:t>
            </w:r>
          </w:p>
        </w:tc>
        <w:tc>
          <w:tcPr>
            <w:tcW w:w="3179" w:type="dxa"/>
            <w:tcBorders>
              <w:top w:val="single" w:sz="12" w:space="0" w:color="auto"/>
              <w:bottom w:val="single" w:sz="12" w:space="0" w:color="auto"/>
            </w:tcBorders>
            <w:shd w:val="clear" w:color="auto" w:fill="auto"/>
            <w:vAlign w:val="center"/>
          </w:tcPr>
          <w:p w14:paraId="0C885169" w14:textId="77777777" w:rsidR="00D45E3D" w:rsidRPr="003615D0" w:rsidRDefault="00D45E3D" w:rsidP="003615D0">
            <w:pPr>
              <w:jc w:val="center"/>
              <w:rPr>
                <w:b/>
                <w:bCs/>
                <w:sz w:val="18"/>
                <w:szCs w:val="18"/>
                <w:lang w:val="en-GB"/>
              </w:rPr>
            </w:pPr>
            <w:r w:rsidRPr="003615D0">
              <w:rPr>
                <w:b/>
                <w:bCs/>
                <w:sz w:val="18"/>
                <w:szCs w:val="18"/>
                <w:lang w:val="en-GB"/>
              </w:rPr>
              <w:t>Website Objectives</w:t>
            </w:r>
          </w:p>
        </w:tc>
        <w:tc>
          <w:tcPr>
            <w:tcW w:w="2244" w:type="dxa"/>
            <w:tcBorders>
              <w:top w:val="single" w:sz="12" w:space="0" w:color="auto"/>
              <w:bottom w:val="single" w:sz="12" w:space="0" w:color="auto"/>
            </w:tcBorders>
            <w:shd w:val="clear" w:color="auto" w:fill="auto"/>
            <w:vAlign w:val="center"/>
          </w:tcPr>
          <w:p w14:paraId="64A7F382" w14:textId="77777777" w:rsidR="00D45E3D" w:rsidRPr="003615D0" w:rsidRDefault="00D45E3D" w:rsidP="003615D0">
            <w:pPr>
              <w:jc w:val="center"/>
              <w:rPr>
                <w:b/>
                <w:bCs/>
                <w:sz w:val="18"/>
                <w:szCs w:val="18"/>
                <w:lang w:val="en-GB"/>
              </w:rPr>
            </w:pPr>
            <w:r w:rsidRPr="003615D0">
              <w:rPr>
                <w:b/>
                <w:bCs/>
                <w:sz w:val="18"/>
                <w:szCs w:val="18"/>
                <w:lang w:val="en-GB"/>
              </w:rPr>
              <w:t>Features to Maintain and Develop</w:t>
            </w:r>
          </w:p>
        </w:tc>
        <w:tc>
          <w:tcPr>
            <w:tcW w:w="2431" w:type="dxa"/>
            <w:tcBorders>
              <w:top w:val="single" w:sz="12" w:space="0" w:color="auto"/>
              <w:bottom w:val="single" w:sz="12" w:space="0" w:color="auto"/>
            </w:tcBorders>
            <w:shd w:val="clear" w:color="auto" w:fill="auto"/>
            <w:vAlign w:val="center"/>
          </w:tcPr>
          <w:p w14:paraId="1A35B9ED" w14:textId="77777777" w:rsidR="00D45E3D" w:rsidRPr="003615D0" w:rsidRDefault="00D45E3D" w:rsidP="003615D0">
            <w:pPr>
              <w:jc w:val="center"/>
              <w:rPr>
                <w:b/>
                <w:bCs/>
                <w:sz w:val="18"/>
                <w:szCs w:val="18"/>
                <w:lang w:val="en-GB"/>
              </w:rPr>
            </w:pPr>
            <w:r w:rsidRPr="003615D0">
              <w:rPr>
                <w:b/>
                <w:bCs/>
                <w:sz w:val="18"/>
                <w:szCs w:val="18"/>
                <w:lang w:val="en-GB"/>
              </w:rPr>
              <w:t xml:space="preserve">Required Inputs </w:t>
            </w:r>
          </w:p>
          <w:p w14:paraId="1A2A8647" w14:textId="77777777" w:rsidR="00D45E3D" w:rsidRPr="003615D0" w:rsidRDefault="00D45E3D" w:rsidP="003615D0">
            <w:pPr>
              <w:jc w:val="center"/>
              <w:rPr>
                <w:b/>
                <w:bCs/>
                <w:sz w:val="18"/>
                <w:szCs w:val="18"/>
                <w:lang w:val="en-GB"/>
              </w:rPr>
            </w:pPr>
            <w:r w:rsidRPr="003615D0">
              <w:rPr>
                <w:b/>
                <w:bCs/>
                <w:sz w:val="18"/>
                <w:szCs w:val="18"/>
                <w:lang w:val="en-GB"/>
              </w:rPr>
              <w:t>(Content)</w:t>
            </w:r>
          </w:p>
        </w:tc>
        <w:tc>
          <w:tcPr>
            <w:tcW w:w="3035" w:type="dxa"/>
            <w:tcBorders>
              <w:top w:val="single" w:sz="12" w:space="0" w:color="auto"/>
              <w:bottom w:val="single" w:sz="12" w:space="0" w:color="auto"/>
              <w:right w:val="single" w:sz="12" w:space="0" w:color="auto"/>
            </w:tcBorders>
            <w:shd w:val="clear" w:color="auto" w:fill="auto"/>
            <w:vAlign w:val="center"/>
          </w:tcPr>
          <w:p w14:paraId="6C6E08B7" w14:textId="77777777" w:rsidR="00D45E3D" w:rsidRPr="003615D0" w:rsidRDefault="00D45E3D" w:rsidP="003615D0">
            <w:pPr>
              <w:jc w:val="center"/>
              <w:rPr>
                <w:b/>
                <w:bCs/>
                <w:sz w:val="18"/>
                <w:szCs w:val="18"/>
                <w:lang w:val="en-GB"/>
              </w:rPr>
            </w:pPr>
            <w:r w:rsidRPr="003615D0">
              <w:rPr>
                <w:b/>
                <w:bCs/>
                <w:sz w:val="18"/>
                <w:szCs w:val="18"/>
                <w:lang w:val="en-GB"/>
              </w:rPr>
              <w:t>Technical Needs</w:t>
            </w:r>
          </w:p>
          <w:p w14:paraId="545133CA" w14:textId="77777777" w:rsidR="00D45E3D" w:rsidRPr="003615D0" w:rsidRDefault="00D45E3D" w:rsidP="003615D0">
            <w:pPr>
              <w:jc w:val="center"/>
              <w:rPr>
                <w:b/>
                <w:bCs/>
                <w:sz w:val="18"/>
                <w:szCs w:val="18"/>
                <w:lang w:val="en-GB"/>
              </w:rPr>
            </w:pPr>
            <w:r w:rsidRPr="003615D0">
              <w:rPr>
                <w:b/>
                <w:bCs/>
                <w:sz w:val="18"/>
                <w:szCs w:val="18"/>
                <w:lang w:val="en-GB"/>
              </w:rPr>
              <w:t>(Regional)</w:t>
            </w:r>
          </w:p>
        </w:tc>
      </w:tr>
      <w:tr w:rsidR="00D45E3D" w:rsidRPr="003615D0" w14:paraId="2DDDC237" w14:textId="77777777" w:rsidTr="003615D0">
        <w:tc>
          <w:tcPr>
            <w:tcW w:w="3287" w:type="dxa"/>
            <w:tcBorders>
              <w:top w:val="single" w:sz="12" w:space="0" w:color="auto"/>
              <w:left w:val="single" w:sz="12" w:space="0" w:color="auto"/>
              <w:bottom w:val="single" w:sz="12" w:space="0" w:color="auto"/>
            </w:tcBorders>
            <w:shd w:val="clear" w:color="auto" w:fill="auto"/>
          </w:tcPr>
          <w:p w14:paraId="1406A747" w14:textId="77777777" w:rsidR="00D45E3D" w:rsidRPr="003615D0" w:rsidRDefault="00D45E3D" w:rsidP="003615D0">
            <w:pPr>
              <w:numPr>
                <w:ilvl w:val="0"/>
                <w:numId w:val="63"/>
              </w:numPr>
              <w:tabs>
                <w:tab w:val="clear" w:pos="720"/>
                <w:tab w:val="num" w:pos="187"/>
              </w:tabs>
              <w:ind w:left="187" w:hanging="187"/>
              <w:rPr>
                <w:sz w:val="17"/>
                <w:szCs w:val="17"/>
                <w:lang w:val="en-GB"/>
              </w:rPr>
            </w:pPr>
            <w:r w:rsidRPr="003615D0">
              <w:rPr>
                <w:sz w:val="17"/>
                <w:szCs w:val="17"/>
                <w:lang w:val="en-GB"/>
              </w:rPr>
              <w:t>Ease of access to and downloading of outputs from SCS SAP formulation and implementation (e.g. documents and publications; data; lessons learned; training; multi-media/awareness materials).</w:t>
            </w:r>
          </w:p>
          <w:p w14:paraId="5E4C1201" w14:textId="77777777" w:rsidR="00D45E3D" w:rsidRPr="003615D0" w:rsidRDefault="00D45E3D" w:rsidP="003615D0">
            <w:pPr>
              <w:numPr>
                <w:ilvl w:val="0"/>
                <w:numId w:val="63"/>
              </w:numPr>
              <w:tabs>
                <w:tab w:val="clear" w:pos="720"/>
                <w:tab w:val="num" w:pos="187"/>
              </w:tabs>
              <w:ind w:left="187" w:hanging="187"/>
              <w:rPr>
                <w:sz w:val="17"/>
                <w:szCs w:val="17"/>
                <w:lang w:val="en-GB"/>
              </w:rPr>
            </w:pPr>
            <w:r w:rsidRPr="003615D0">
              <w:rPr>
                <w:sz w:val="17"/>
                <w:szCs w:val="17"/>
                <w:lang w:val="en-GB"/>
              </w:rPr>
              <w:t>Online database of contact details for individuals and organisations involved in SAP implementation.</w:t>
            </w:r>
          </w:p>
          <w:p w14:paraId="275B8795" w14:textId="77777777" w:rsidR="00D45E3D" w:rsidRPr="003615D0" w:rsidRDefault="00D45E3D" w:rsidP="003615D0">
            <w:pPr>
              <w:numPr>
                <w:ilvl w:val="0"/>
                <w:numId w:val="63"/>
              </w:numPr>
              <w:tabs>
                <w:tab w:val="clear" w:pos="720"/>
                <w:tab w:val="num" w:pos="187"/>
              </w:tabs>
              <w:ind w:left="187" w:hanging="187"/>
              <w:rPr>
                <w:sz w:val="17"/>
                <w:szCs w:val="17"/>
                <w:lang w:val="en-GB"/>
              </w:rPr>
            </w:pPr>
            <w:r w:rsidRPr="003615D0">
              <w:rPr>
                <w:sz w:val="17"/>
                <w:szCs w:val="17"/>
                <w:lang w:val="en-GB"/>
              </w:rPr>
              <w:t>Online network of information resources (e.g. donor, implementing/executing orgs, partner orgs., environment agreement websites).</w:t>
            </w:r>
          </w:p>
          <w:p w14:paraId="7D6D2316" w14:textId="77777777" w:rsidR="00D45E3D" w:rsidRPr="003615D0" w:rsidRDefault="00D45E3D" w:rsidP="003615D0">
            <w:pPr>
              <w:numPr>
                <w:ilvl w:val="0"/>
                <w:numId w:val="63"/>
              </w:numPr>
              <w:tabs>
                <w:tab w:val="clear" w:pos="720"/>
                <w:tab w:val="num" w:pos="187"/>
              </w:tabs>
              <w:ind w:left="187" w:hanging="187"/>
              <w:rPr>
                <w:sz w:val="17"/>
                <w:szCs w:val="17"/>
                <w:lang w:val="en-GB"/>
              </w:rPr>
            </w:pPr>
            <w:r w:rsidRPr="003615D0">
              <w:rPr>
                <w:sz w:val="17"/>
                <w:szCs w:val="17"/>
                <w:lang w:val="en-GB"/>
              </w:rPr>
              <w:t>Information web pages on SAP implementation (e.g. funding, background, co-ordination, committees, interventions).</w:t>
            </w:r>
          </w:p>
          <w:p w14:paraId="5EE7F987" w14:textId="77777777" w:rsidR="004C00ED" w:rsidRPr="003615D0" w:rsidRDefault="004C00ED" w:rsidP="003615D0">
            <w:pPr>
              <w:numPr>
                <w:ilvl w:val="0"/>
                <w:numId w:val="63"/>
              </w:numPr>
              <w:tabs>
                <w:tab w:val="clear" w:pos="720"/>
                <w:tab w:val="num" w:pos="187"/>
              </w:tabs>
              <w:ind w:left="187" w:hanging="187"/>
              <w:rPr>
                <w:sz w:val="17"/>
                <w:szCs w:val="17"/>
                <w:lang w:val="en-GB"/>
              </w:rPr>
            </w:pPr>
            <w:r w:rsidRPr="003615D0">
              <w:rPr>
                <w:sz w:val="17"/>
                <w:szCs w:val="17"/>
                <w:lang w:val="en-GB"/>
              </w:rPr>
              <w:t>Results-based management portal (training and results dashboarding)</w:t>
            </w:r>
          </w:p>
          <w:p w14:paraId="045C97AC" w14:textId="77777777" w:rsidR="00D45E3D" w:rsidRPr="003615D0" w:rsidRDefault="00D45E3D" w:rsidP="003615D0">
            <w:pPr>
              <w:numPr>
                <w:ilvl w:val="0"/>
                <w:numId w:val="63"/>
              </w:numPr>
              <w:tabs>
                <w:tab w:val="clear" w:pos="720"/>
                <w:tab w:val="num" w:pos="187"/>
              </w:tabs>
              <w:ind w:left="187" w:hanging="187"/>
              <w:rPr>
                <w:sz w:val="17"/>
                <w:szCs w:val="17"/>
                <w:lang w:val="en-GB"/>
              </w:rPr>
            </w:pPr>
            <w:r w:rsidRPr="003615D0">
              <w:rPr>
                <w:sz w:val="17"/>
                <w:szCs w:val="17"/>
                <w:lang w:val="en-GB"/>
              </w:rPr>
              <w:t>Online calendar of project events (regional/national).</w:t>
            </w:r>
          </w:p>
          <w:p w14:paraId="6F335CFA" w14:textId="77777777" w:rsidR="00D45E3D" w:rsidRPr="003615D0" w:rsidRDefault="00D45E3D" w:rsidP="003615D0">
            <w:pPr>
              <w:numPr>
                <w:ilvl w:val="0"/>
                <w:numId w:val="63"/>
              </w:numPr>
              <w:tabs>
                <w:tab w:val="clear" w:pos="720"/>
                <w:tab w:val="num" w:pos="187"/>
              </w:tabs>
              <w:ind w:left="187" w:hanging="187"/>
              <w:rPr>
                <w:sz w:val="17"/>
                <w:szCs w:val="17"/>
                <w:lang w:val="en-GB"/>
              </w:rPr>
            </w:pPr>
            <w:r w:rsidRPr="003615D0">
              <w:rPr>
                <w:sz w:val="17"/>
                <w:szCs w:val="17"/>
                <w:lang w:val="en-GB"/>
              </w:rPr>
              <w:t>Repositories for SAP implementation project outputs.</w:t>
            </w:r>
          </w:p>
          <w:p w14:paraId="2082C534" w14:textId="77777777" w:rsidR="00D45E3D" w:rsidRPr="003615D0" w:rsidRDefault="00D45E3D" w:rsidP="003615D0">
            <w:pPr>
              <w:numPr>
                <w:ilvl w:val="0"/>
                <w:numId w:val="63"/>
              </w:numPr>
              <w:tabs>
                <w:tab w:val="clear" w:pos="720"/>
                <w:tab w:val="num" w:pos="187"/>
              </w:tabs>
              <w:ind w:left="187" w:hanging="187"/>
              <w:rPr>
                <w:sz w:val="17"/>
                <w:szCs w:val="17"/>
                <w:lang w:val="en-GB"/>
              </w:rPr>
            </w:pPr>
            <w:r w:rsidRPr="003615D0">
              <w:rPr>
                <w:sz w:val="17"/>
                <w:szCs w:val="17"/>
                <w:lang w:val="en-GB"/>
              </w:rPr>
              <w:t>SCS databases accessible and updateable online (GIS, meta-data, projects, economic values databases).</w:t>
            </w:r>
          </w:p>
          <w:p w14:paraId="53D42266" w14:textId="77777777" w:rsidR="00D45E3D" w:rsidRPr="003615D0" w:rsidRDefault="00D45E3D" w:rsidP="003615D0">
            <w:pPr>
              <w:numPr>
                <w:ilvl w:val="0"/>
                <w:numId w:val="63"/>
              </w:numPr>
              <w:tabs>
                <w:tab w:val="clear" w:pos="720"/>
                <w:tab w:val="num" w:pos="187"/>
              </w:tabs>
              <w:ind w:left="187" w:hanging="187"/>
              <w:rPr>
                <w:sz w:val="17"/>
                <w:szCs w:val="17"/>
                <w:lang w:val="en-GB"/>
              </w:rPr>
            </w:pPr>
            <w:r w:rsidRPr="003615D0">
              <w:rPr>
                <w:sz w:val="17"/>
                <w:szCs w:val="17"/>
                <w:lang w:val="en-GB"/>
              </w:rPr>
              <w:t>Web pages for regional, national, and site level project news and mechanisms for syndication of project news.</w:t>
            </w:r>
          </w:p>
          <w:p w14:paraId="0C3879FA" w14:textId="77777777" w:rsidR="00D45E3D" w:rsidRPr="003615D0" w:rsidRDefault="00D45E3D" w:rsidP="003615D0">
            <w:pPr>
              <w:numPr>
                <w:ilvl w:val="0"/>
                <w:numId w:val="63"/>
              </w:numPr>
              <w:tabs>
                <w:tab w:val="clear" w:pos="720"/>
                <w:tab w:val="num" w:pos="187"/>
              </w:tabs>
              <w:ind w:left="187" w:hanging="187"/>
              <w:rPr>
                <w:sz w:val="17"/>
                <w:szCs w:val="17"/>
                <w:lang w:val="en-GB"/>
              </w:rPr>
            </w:pPr>
            <w:r w:rsidRPr="003615D0">
              <w:rPr>
                <w:sz w:val="17"/>
                <w:szCs w:val="17"/>
                <w:lang w:val="en-GB"/>
              </w:rPr>
              <w:t>Tools for dissemination of project information and outputs (outreach).</w:t>
            </w:r>
          </w:p>
          <w:p w14:paraId="6DAC13E8" w14:textId="77777777" w:rsidR="00D45E3D" w:rsidRPr="003615D0" w:rsidRDefault="00D45E3D" w:rsidP="003615D0">
            <w:pPr>
              <w:numPr>
                <w:ilvl w:val="0"/>
                <w:numId w:val="63"/>
              </w:numPr>
              <w:tabs>
                <w:tab w:val="clear" w:pos="720"/>
                <w:tab w:val="num" w:pos="187"/>
              </w:tabs>
              <w:ind w:left="187" w:hanging="187"/>
              <w:rPr>
                <w:sz w:val="17"/>
                <w:szCs w:val="17"/>
                <w:lang w:val="en-GB"/>
              </w:rPr>
            </w:pPr>
            <w:r w:rsidRPr="003615D0">
              <w:rPr>
                <w:sz w:val="17"/>
                <w:szCs w:val="17"/>
                <w:lang w:val="en-GB"/>
              </w:rPr>
              <w:t>User-friendly tools for the on-site sharing of information.</w:t>
            </w:r>
          </w:p>
          <w:p w14:paraId="7D848BEF" w14:textId="77777777" w:rsidR="00D45E3D" w:rsidRPr="003615D0" w:rsidRDefault="00D45E3D" w:rsidP="003615D0">
            <w:pPr>
              <w:numPr>
                <w:ilvl w:val="0"/>
                <w:numId w:val="63"/>
              </w:numPr>
              <w:tabs>
                <w:tab w:val="clear" w:pos="720"/>
                <w:tab w:val="num" w:pos="187"/>
              </w:tabs>
              <w:ind w:left="187" w:hanging="187"/>
              <w:rPr>
                <w:sz w:val="18"/>
                <w:szCs w:val="18"/>
                <w:lang w:val="en-GB"/>
              </w:rPr>
            </w:pPr>
            <w:r w:rsidRPr="003615D0">
              <w:rPr>
                <w:sz w:val="17"/>
                <w:szCs w:val="17"/>
                <w:lang w:val="en-GB"/>
              </w:rPr>
              <w:t>Tools and mechanisms for resource mobilisation/financing (e.g. PayPal donations).</w:t>
            </w:r>
          </w:p>
        </w:tc>
        <w:tc>
          <w:tcPr>
            <w:tcW w:w="3179" w:type="dxa"/>
            <w:tcBorders>
              <w:top w:val="single" w:sz="12" w:space="0" w:color="auto"/>
              <w:bottom w:val="single" w:sz="12" w:space="0" w:color="auto"/>
            </w:tcBorders>
            <w:shd w:val="clear" w:color="auto" w:fill="auto"/>
          </w:tcPr>
          <w:p w14:paraId="60F95C50" w14:textId="77777777" w:rsidR="00D45E3D" w:rsidRPr="003615D0" w:rsidRDefault="00D45E3D" w:rsidP="003615D0">
            <w:pPr>
              <w:numPr>
                <w:ilvl w:val="0"/>
                <w:numId w:val="64"/>
              </w:numPr>
              <w:tabs>
                <w:tab w:val="clear" w:pos="720"/>
                <w:tab w:val="num" w:pos="266"/>
              </w:tabs>
              <w:ind w:left="266" w:hanging="266"/>
              <w:rPr>
                <w:sz w:val="17"/>
                <w:szCs w:val="17"/>
                <w:lang w:val="en-GB"/>
              </w:rPr>
            </w:pPr>
            <w:r w:rsidRPr="003615D0">
              <w:rPr>
                <w:sz w:val="17"/>
                <w:szCs w:val="17"/>
                <w:lang w:val="en-GB"/>
              </w:rPr>
              <w:t>Ensure that all regional level and key national level outputs of SAP formulation and implementation continue to be accessible online, and be easily searched and downloaded;</w:t>
            </w:r>
          </w:p>
          <w:p w14:paraId="59575914" w14:textId="77777777" w:rsidR="00D45E3D" w:rsidRPr="003615D0" w:rsidRDefault="00D45E3D" w:rsidP="003615D0">
            <w:pPr>
              <w:numPr>
                <w:ilvl w:val="0"/>
                <w:numId w:val="64"/>
              </w:numPr>
              <w:tabs>
                <w:tab w:val="clear" w:pos="720"/>
                <w:tab w:val="num" w:pos="266"/>
              </w:tabs>
              <w:ind w:left="266" w:hanging="266"/>
              <w:rPr>
                <w:sz w:val="17"/>
                <w:szCs w:val="17"/>
                <w:lang w:val="en-GB"/>
              </w:rPr>
            </w:pPr>
            <w:r w:rsidRPr="003615D0">
              <w:rPr>
                <w:sz w:val="17"/>
                <w:szCs w:val="17"/>
                <w:lang w:val="en-GB"/>
              </w:rPr>
              <w:t>Maintain and continuously update the database of contact details for all individuals and organisations involved in SAP implementation;</w:t>
            </w:r>
          </w:p>
          <w:p w14:paraId="07014350" w14:textId="77777777" w:rsidR="00D45E3D" w:rsidRPr="003615D0" w:rsidRDefault="00D45E3D" w:rsidP="003615D0">
            <w:pPr>
              <w:numPr>
                <w:ilvl w:val="0"/>
                <w:numId w:val="64"/>
              </w:numPr>
              <w:tabs>
                <w:tab w:val="clear" w:pos="720"/>
                <w:tab w:val="num" w:pos="266"/>
              </w:tabs>
              <w:ind w:left="266" w:hanging="266"/>
              <w:rPr>
                <w:sz w:val="17"/>
                <w:szCs w:val="17"/>
                <w:lang w:val="en-GB"/>
              </w:rPr>
            </w:pPr>
            <w:r w:rsidRPr="003615D0">
              <w:rPr>
                <w:sz w:val="17"/>
                <w:szCs w:val="17"/>
                <w:lang w:val="en-GB"/>
              </w:rPr>
              <w:t>Maintain and expand the online network of institutional websites relevant to SCS SAP implementation;</w:t>
            </w:r>
          </w:p>
          <w:p w14:paraId="56800EE1" w14:textId="77777777" w:rsidR="00D45E3D" w:rsidRPr="003615D0" w:rsidRDefault="00D45E3D" w:rsidP="003615D0">
            <w:pPr>
              <w:numPr>
                <w:ilvl w:val="0"/>
                <w:numId w:val="64"/>
              </w:numPr>
              <w:tabs>
                <w:tab w:val="clear" w:pos="720"/>
                <w:tab w:val="num" w:pos="266"/>
              </w:tabs>
              <w:ind w:left="266" w:hanging="266"/>
              <w:rPr>
                <w:sz w:val="17"/>
                <w:szCs w:val="17"/>
                <w:lang w:val="en-GB"/>
              </w:rPr>
            </w:pPr>
            <w:r w:rsidRPr="003615D0">
              <w:rPr>
                <w:sz w:val="17"/>
                <w:szCs w:val="17"/>
                <w:lang w:val="en-GB"/>
              </w:rPr>
              <w:t>Establish and regularly update information pages about SAP implementation, projects, and interventions;</w:t>
            </w:r>
          </w:p>
          <w:p w14:paraId="09C7BE22" w14:textId="77777777" w:rsidR="00D45E3D" w:rsidRPr="003615D0" w:rsidRDefault="00D45E3D" w:rsidP="003615D0">
            <w:pPr>
              <w:numPr>
                <w:ilvl w:val="0"/>
                <w:numId w:val="64"/>
              </w:numPr>
              <w:tabs>
                <w:tab w:val="clear" w:pos="720"/>
                <w:tab w:val="num" w:pos="266"/>
              </w:tabs>
              <w:ind w:left="266" w:hanging="266"/>
              <w:rPr>
                <w:sz w:val="17"/>
                <w:szCs w:val="17"/>
                <w:lang w:val="en-GB"/>
              </w:rPr>
            </w:pPr>
            <w:r w:rsidRPr="003615D0">
              <w:rPr>
                <w:sz w:val="17"/>
                <w:szCs w:val="17"/>
                <w:lang w:val="en-GB"/>
              </w:rPr>
              <w:t>Use online technologies to build capacity on a results-based approach to SAP implementation</w:t>
            </w:r>
          </w:p>
          <w:p w14:paraId="4ED5E383" w14:textId="77777777" w:rsidR="00D45E3D" w:rsidRPr="003615D0" w:rsidRDefault="00D45E3D" w:rsidP="003615D0">
            <w:pPr>
              <w:numPr>
                <w:ilvl w:val="0"/>
                <w:numId w:val="64"/>
              </w:numPr>
              <w:tabs>
                <w:tab w:val="clear" w:pos="720"/>
                <w:tab w:val="num" w:pos="266"/>
              </w:tabs>
              <w:ind w:left="266" w:hanging="266"/>
              <w:rPr>
                <w:sz w:val="17"/>
                <w:szCs w:val="17"/>
                <w:lang w:val="en-GB"/>
              </w:rPr>
            </w:pPr>
            <w:r w:rsidRPr="003615D0">
              <w:rPr>
                <w:sz w:val="17"/>
                <w:szCs w:val="17"/>
                <w:lang w:val="en-GB"/>
              </w:rPr>
              <w:t>Provide timely information to project partners about upcoming project events and meetings;</w:t>
            </w:r>
          </w:p>
          <w:p w14:paraId="7E85E52A" w14:textId="77777777" w:rsidR="00D45E3D" w:rsidRPr="003615D0" w:rsidRDefault="00D45E3D" w:rsidP="003615D0">
            <w:pPr>
              <w:numPr>
                <w:ilvl w:val="0"/>
                <w:numId w:val="64"/>
              </w:numPr>
              <w:tabs>
                <w:tab w:val="clear" w:pos="720"/>
                <w:tab w:val="num" w:pos="266"/>
              </w:tabs>
              <w:ind w:left="266" w:hanging="266"/>
              <w:rPr>
                <w:sz w:val="17"/>
                <w:szCs w:val="17"/>
                <w:lang w:val="en-GB"/>
              </w:rPr>
            </w:pPr>
            <w:r w:rsidRPr="003615D0">
              <w:rPr>
                <w:sz w:val="17"/>
                <w:szCs w:val="17"/>
                <w:lang w:val="en-GB"/>
              </w:rPr>
              <w:t>Create and regularly update repositories of outputs from SAP implementation activities;</w:t>
            </w:r>
          </w:p>
          <w:p w14:paraId="71B56E85" w14:textId="77777777" w:rsidR="00D45E3D" w:rsidRPr="003615D0" w:rsidRDefault="00D45E3D" w:rsidP="003615D0">
            <w:pPr>
              <w:numPr>
                <w:ilvl w:val="0"/>
                <w:numId w:val="64"/>
              </w:numPr>
              <w:tabs>
                <w:tab w:val="clear" w:pos="720"/>
                <w:tab w:val="num" w:pos="266"/>
              </w:tabs>
              <w:ind w:left="266" w:hanging="266"/>
              <w:rPr>
                <w:sz w:val="17"/>
                <w:szCs w:val="17"/>
                <w:lang w:val="en-GB"/>
              </w:rPr>
            </w:pPr>
            <w:r w:rsidRPr="003615D0">
              <w:rPr>
                <w:sz w:val="17"/>
                <w:szCs w:val="17"/>
                <w:lang w:val="en-GB"/>
              </w:rPr>
              <w:t>Extend and ensure syndication of regional, national, and site level news to project partners;</w:t>
            </w:r>
          </w:p>
          <w:p w14:paraId="585DE4AB" w14:textId="77777777" w:rsidR="00D45E3D" w:rsidRPr="003615D0" w:rsidRDefault="00D45E3D" w:rsidP="003615D0">
            <w:pPr>
              <w:numPr>
                <w:ilvl w:val="0"/>
                <w:numId w:val="64"/>
              </w:numPr>
              <w:tabs>
                <w:tab w:val="clear" w:pos="720"/>
                <w:tab w:val="num" w:pos="266"/>
              </w:tabs>
              <w:ind w:left="266" w:hanging="266"/>
              <w:rPr>
                <w:sz w:val="17"/>
                <w:szCs w:val="17"/>
                <w:lang w:val="en-GB"/>
              </w:rPr>
            </w:pPr>
            <w:r w:rsidRPr="003615D0">
              <w:rPr>
                <w:sz w:val="17"/>
                <w:szCs w:val="17"/>
                <w:lang w:val="en-GB"/>
              </w:rPr>
              <w:t>Increase the online sharing of information between/among project network members;</w:t>
            </w:r>
          </w:p>
          <w:p w14:paraId="251A53CE" w14:textId="77777777" w:rsidR="00D45E3D" w:rsidRPr="003615D0" w:rsidRDefault="00D45E3D" w:rsidP="003615D0">
            <w:pPr>
              <w:numPr>
                <w:ilvl w:val="0"/>
                <w:numId w:val="64"/>
              </w:numPr>
              <w:tabs>
                <w:tab w:val="clear" w:pos="720"/>
                <w:tab w:val="num" w:pos="266"/>
              </w:tabs>
              <w:ind w:left="266" w:hanging="266"/>
              <w:rPr>
                <w:sz w:val="17"/>
                <w:szCs w:val="17"/>
                <w:lang w:val="en-GB"/>
              </w:rPr>
            </w:pPr>
            <w:r w:rsidRPr="003615D0">
              <w:rPr>
                <w:sz w:val="17"/>
                <w:szCs w:val="17"/>
                <w:lang w:val="en-GB"/>
              </w:rPr>
              <w:t>Enhance the online visibility of SAP project activities and outputs (inc. links to IW:LEARN); and to</w:t>
            </w:r>
          </w:p>
          <w:p w14:paraId="7E0DDDF3" w14:textId="77777777" w:rsidR="00D45E3D" w:rsidRPr="003615D0" w:rsidRDefault="00D45E3D" w:rsidP="003615D0">
            <w:pPr>
              <w:numPr>
                <w:ilvl w:val="0"/>
                <w:numId w:val="64"/>
              </w:numPr>
              <w:tabs>
                <w:tab w:val="clear" w:pos="720"/>
                <w:tab w:val="num" w:pos="266"/>
              </w:tabs>
              <w:ind w:left="266" w:hanging="266"/>
              <w:rPr>
                <w:sz w:val="17"/>
                <w:szCs w:val="17"/>
                <w:lang w:val="en-GB"/>
              </w:rPr>
            </w:pPr>
            <w:r w:rsidRPr="003615D0">
              <w:rPr>
                <w:sz w:val="17"/>
                <w:szCs w:val="17"/>
                <w:lang w:val="en-GB"/>
              </w:rPr>
              <w:t xml:space="preserve">Attract donations and contributions of information/data. </w:t>
            </w:r>
          </w:p>
        </w:tc>
        <w:tc>
          <w:tcPr>
            <w:tcW w:w="2244" w:type="dxa"/>
            <w:tcBorders>
              <w:top w:val="single" w:sz="12" w:space="0" w:color="auto"/>
              <w:bottom w:val="single" w:sz="12" w:space="0" w:color="auto"/>
            </w:tcBorders>
            <w:shd w:val="clear" w:color="auto" w:fill="auto"/>
          </w:tcPr>
          <w:p w14:paraId="7508A47E" w14:textId="77777777" w:rsidR="00D45E3D" w:rsidRPr="003615D0" w:rsidRDefault="00D45E3D" w:rsidP="00D45E3D">
            <w:pPr>
              <w:rPr>
                <w:b/>
                <w:bCs/>
                <w:i/>
                <w:iCs/>
                <w:sz w:val="18"/>
                <w:szCs w:val="18"/>
                <w:lang w:val="en-GB"/>
              </w:rPr>
            </w:pPr>
            <w:r w:rsidRPr="003615D0">
              <w:rPr>
                <w:b/>
                <w:bCs/>
                <w:i/>
                <w:iCs/>
                <w:sz w:val="18"/>
                <w:szCs w:val="18"/>
                <w:lang w:val="en-GB"/>
              </w:rPr>
              <w:t>Information/Data</w:t>
            </w:r>
          </w:p>
          <w:p w14:paraId="679B614B" w14:textId="77777777" w:rsidR="00D45E3D" w:rsidRPr="003615D0" w:rsidRDefault="00D45E3D" w:rsidP="003615D0">
            <w:pPr>
              <w:numPr>
                <w:ilvl w:val="0"/>
                <w:numId w:val="65"/>
              </w:numPr>
              <w:tabs>
                <w:tab w:val="num" w:pos="266"/>
              </w:tabs>
              <w:ind w:left="266" w:hanging="266"/>
              <w:rPr>
                <w:sz w:val="17"/>
                <w:szCs w:val="17"/>
                <w:lang w:val="en-GB"/>
              </w:rPr>
            </w:pPr>
            <w:r w:rsidRPr="003615D0">
              <w:rPr>
                <w:sz w:val="17"/>
                <w:szCs w:val="17"/>
                <w:lang w:val="en-GB"/>
              </w:rPr>
              <w:t>Project information pages</w:t>
            </w:r>
          </w:p>
          <w:p w14:paraId="4EF06D43" w14:textId="77777777" w:rsidR="00D45E3D" w:rsidRPr="003615D0" w:rsidRDefault="00D45E3D" w:rsidP="003615D0">
            <w:pPr>
              <w:numPr>
                <w:ilvl w:val="1"/>
                <w:numId w:val="64"/>
              </w:numPr>
              <w:tabs>
                <w:tab w:val="clear" w:pos="1440"/>
              </w:tabs>
              <w:ind w:left="266" w:hanging="266"/>
              <w:rPr>
                <w:sz w:val="17"/>
                <w:szCs w:val="17"/>
                <w:lang w:val="en-GB"/>
              </w:rPr>
            </w:pPr>
            <w:r w:rsidRPr="003615D0">
              <w:rPr>
                <w:sz w:val="17"/>
                <w:szCs w:val="17"/>
                <w:lang w:val="en-GB"/>
              </w:rPr>
              <w:t>Document Repository</w:t>
            </w:r>
          </w:p>
          <w:p w14:paraId="789C7635" w14:textId="77777777" w:rsidR="00D45E3D" w:rsidRPr="003615D0" w:rsidRDefault="00D45E3D" w:rsidP="003615D0">
            <w:pPr>
              <w:numPr>
                <w:ilvl w:val="1"/>
                <w:numId w:val="64"/>
              </w:numPr>
              <w:tabs>
                <w:tab w:val="clear" w:pos="1440"/>
              </w:tabs>
              <w:ind w:left="266" w:hanging="266"/>
              <w:rPr>
                <w:sz w:val="17"/>
                <w:szCs w:val="17"/>
                <w:lang w:val="en-GB"/>
              </w:rPr>
            </w:pPr>
            <w:r w:rsidRPr="003615D0">
              <w:rPr>
                <w:sz w:val="17"/>
                <w:szCs w:val="17"/>
                <w:lang w:val="en-GB"/>
              </w:rPr>
              <w:t>Meta-Database</w:t>
            </w:r>
          </w:p>
          <w:p w14:paraId="256FCB69" w14:textId="77777777" w:rsidR="00D45E3D" w:rsidRPr="003615D0" w:rsidRDefault="00D45E3D" w:rsidP="003615D0">
            <w:pPr>
              <w:numPr>
                <w:ilvl w:val="1"/>
                <w:numId w:val="64"/>
              </w:numPr>
              <w:tabs>
                <w:tab w:val="clear" w:pos="1440"/>
              </w:tabs>
              <w:ind w:left="266" w:hanging="266"/>
              <w:rPr>
                <w:sz w:val="17"/>
                <w:szCs w:val="17"/>
                <w:lang w:val="en-GB"/>
              </w:rPr>
            </w:pPr>
            <w:r w:rsidRPr="003615D0">
              <w:rPr>
                <w:sz w:val="17"/>
                <w:szCs w:val="17"/>
                <w:lang w:val="en-GB"/>
              </w:rPr>
              <w:t>Google Earth SCS GIS</w:t>
            </w:r>
          </w:p>
          <w:p w14:paraId="4CDB543C" w14:textId="77777777" w:rsidR="00D45E3D" w:rsidRPr="003615D0" w:rsidRDefault="00D45E3D" w:rsidP="003615D0">
            <w:pPr>
              <w:numPr>
                <w:ilvl w:val="1"/>
                <w:numId w:val="64"/>
              </w:numPr>
              <w:tabs>
                <w:tab w:val="clear" w:pos="1440"/>
              </w:tabs>
              <w:ind w:left="266" w:hanging="266"/>
              <w:rPr>
                <w:sz w:val="17"/>
                <w:szCs w:val="17"/>
                <w:lang w:val="en-GB"/>
              </w:rPr>
            </w:pPr>
            <w:r w:rsidRPr="003615D0">
              <w:rPr>
                <w:sz w:val="17"/>
                <w:szCs w:val="17"/>
                <w:lang w:val="en-GB"/>
              </w:rPr>
              <w:t>Nutrient Model</w:t>
            </w:r>
          </w:p>
          <w:p w14:paraId="153B5A84" w14:textId="77777777" w:rsidR="00D45E3D" w:rsidRPr="003615D0" w:rsidRDefault="00D45E3D" w:rsidP="003615D0">
            <w:pPr>
              <w:numPr>
                <w:ilvl w:val="1"/>
                <w:numId w:val="64"/>
              </w:numPr>
              <w:tabs>
                <w:tab w:val="clear" w:pos="1440"/>
              </w:tabs>
              <w:ind w:left="266" w:hanging="266"/>
              <w:rPr>
                <w:sz w:val="17"/>
                <w:szCs w:val="17"/>
                <w:lang w:val="en-GB"/>
              </w:rPr>
            </w:pPr>
            <w:r w:rsidRPr="003615D0">
              <w:rPr>
                <w:sz w:val="17"/>
                <w:szCs w:val="17"/>
                <w:lang w:val="en-GB"/>
              </w:rPr>
              <w:t>Projects Database</w:t>
            </w:r>
          </w:p>
          <w:p w14:paraId="210C2FD4" w14:textId="77777777" w:rsidR="00D45E3D" w:rsidRPr="003615D0" w:rsidRDefault="00D45E3D" w:rsidP="003615D0">
            <w:pPr>
              <w:numPr>
                <w:ilvl w:val="1"/>
                <w:numId w:val="64"/>
              </w:numPr>
              <w:tabs>
                <w:tab w:val="clear" w:pos="1440"/>
              </w:tabs>
              <w:ind w:left="266" w:hanging="266"/>
              <w:rPr>
                <w:sz w:val="17"/>
                <w:szCs w:val="17"/>
                <w:lang w:val="en-GB"/>
              </w:rPr>
            </w:pPr>
            <w:r w:rsidRPr="003615D0">
              <w:rPr>
                <w:sz w:val="17"/>
                <w:szCs w:val="17"/>
                <w:lang w:val="en-GB"/>
              </w:rPr>
              <w:t>Multi-Media Section</w:t>
            </w:r>
          </w:p>
          <w:p w14:paraId="6B93A27E" w14:textId="77777777" w:rsidR="00D45E3D" w:rsidRPr="003615D0" w:rsidRDefault="00D45E3D" w:rsidP="003615D0">
            <w:pPr>
              <w:numPr>
                <w:ilvl w:val="1"/>
                <w:numId w:val="64"/>
              </w:numPr>
              <w:tabs>
                <w:tab w:val="clear" w:pos="1440"/>
              </w:tabs>
              <w:ind w:left="266" w:hanging="266"/>
              <w:rPr>
                <w:sz w:val="17"/>
                <w:szCs w:val="17"/>
                <w:lang w:val="en-GB"/>
              </w:rPr>
            </w:pPr>
            <w:r w:rsidRPr="003615D0">
              <w:rPr>
                <w:sz w:val="17"/>
                <w:szCs w:val="17"/>
                <w:lang w:val="en-GB"/>
              </w:rPr>
              <w:t xml:space="preserve">Fisheries </w:t>
            </w:r>
            <w:r w:rsidRPr="003615D0">
              <w:rPr>
                <w:i/>
                <w:iCs/>
                <w:sz w:val="17"/>
                <w:szCs w:val="17"/>
                <w:lang w:val="en-GB"/>
              </w:rPr>
              <w:t>Refugia</w:t>
            </w:r>
            <w:r w:rsidRPr="003615D0">
              <w:rPr>
                <w:sz w:val="17"/>
                <w:szCs w:val="17"/>
                <w:lang w:val="en-GB"/>
              </w:rPr>
              <w:t xml:space="preserve"> Portal</w:t>
            </w:r>
          </w:p>
          <w:p w14:paraId="19CDAABF" w14:textId="77777777" w:rsidR="004C00ED" w:rsidRPr="003615D0" w:rsidRDefault="004C00ED" w:rsidP="003615D0">
            <w:pPr>
              <w:numPr>
                <w:ilvl w:val="1"/>
                <w:numId w:val="64"/>
              </w:numPr>
              <w:tabs>
                <w:tab w:val="clear" w:pos="1440"/>
              </w:tabs>
              <w:ind w:left="266" w:hanging="266"/>
              <w:rPr>
                <w:sz w:val="17"/>
                <w:szCs w:val="17"/>
                <w:lang w:val="en-GB"/>
              </w:rPr>
            </w:pPr>
            <w:r w:rsidRPr="003615D0">
              <w:rPr>
                <w:sz w:val="17"/>
                <w:szCs w:val="17"/>
                <w:lang w:val="en-GB"/>
              </w:rPr>
              <w:t>Online Results-Based Mgmt. Training Course</w:t>
            </w:r>
          </w:p>
          <w:p w14:paraId="021C1551" w14:textId="77777777" w:rsidR="004C00ED" w:rsidRPr="003615D0" w:rsidRDefault="004C00ED" w:rsidP="003615D0">
            <w:pPr>
              <w:numPr>
                <w:ilvl w:val="1"/>
                <w:numId w:val="64"/>
              </w:numPr>
              <w:tabs>
                <w:tab w:val="clear" w:pos="1440"/>
              </w:tabs>
              <w:ind w:left="266" w:hanging="266"/>
              <w:rPr>
                <w:sz w:val="17"/>
                <w:szCs w:val="17"/>
                <w:lang w:val="en-GB"/>
              </w:rPr>
            </w:pPr>
            <w:r w:rsidRPr="003615D0">
              <w:rPr>
                <w:sz w:val="17"/>
                <w:szCs w:val="17"/>
                <w:lang w:val="en-GB"/>
              </w:rPr>
              <w:t>Dashboard Feature for Presentation of Rresults</w:t>
            </w:r>
          </w:p>
          <w:p w14:paraId="0A6A732F" w14:textId="77777777" w:rsidR="00D45E3D" w:rsidRPr="003615D0" w:rsidRDefault="00D45E3D" w:rsidP="003615D0">
            <w:pPr>
              <w:numPr>
                <w:ilvl w:val="1"/>
                <w:numId w:val="64"/>
              </w:numPr>
              <w:tabs>
                <w:tab w:val="clear" w:pos="1440"/>
              </w:tabs>
              <w:ind w:left="266" w:hanging="266"/>
              <w:rPr>
                <w:sz w:val="17"/>
                <w:szCs w:val="17"/>
                <w:lang w:val="en-GB"/>
              </w:rPr>
            </w:pPr>
            <w:r w:rsidRPr="003615D0">
              <w:rPr>
                <w:sz w:val="17"/>
                <w:szCs w:val="17"/>
                <w:lang w:val="en-GB"/>
              </w:rPr>
              <w:t>Repository of Training</w:t>
            </w:r>
            <w:r w:rsidR="004C00ED" w:rsidRPr="003615D0">
              <w:rPr>
                <w:sz w:val="17"/>
                <w:szCs w:val="17"/>
                <w:lang w:val="en-GB"/>
              </w:rPr>
              <w:t xml:space="preserve"> &amp; Awarness</w:t>
            </w:r>
            <w:r w:rsidRPr="003615D0">
              <w:rPr>
                <w:sz w:val="17"/>
                <w:szCs w:val="17"/>
                <w:lang w:val="en-GB"/>
              </w:rPr>
              <w:t xml:space="preserve"> Materials</w:t>
            </w:r>
          </w:p>
          <w:p w14:paraId="30D192BE" w14:textId="77777777" w:rsidR="00D45E3D" w:rsidRPr="003615D0" w:rsidRDefault="00D45E3D" w:rsidP="003615D0">
            <w:pPr>
              <w:numPr>
                <w:ilvl w:val="1"/>
                <w:numId w:val="64"/>
              </w:numPr>
              <w:tabs>
                <w:tab w:val="clear" w:pos="1440"/>
              </w:tabs>
              <w:ind w:left="266" w:hanging="266"/>
              <w:rPr>
                <w:sz w:val="17"/>
                <w:szCs w:val="17"/>
                <w:lang w:val="en-GB"/>
              </w:rPr>
            </w:pPr>
            <w:r w:rsidRPr="003615D0">
              <w:rPr>
                <w:sz w:val="17"/>
                <w:szCs w:val="17"/>
                <w:lang w:val="en-GB"/>
              </w:rPr>
              <w:t>Economic Valuation Database</w:t>
            </w:r>
          </w:p>
          <w:p w14:paraId="72F74420" w14:textId="77777777" w:rsidR="00D45E3D" w:rsidRPr="003615D0" w:rsidRDefault="00D45E3D" w:rsidP="003615D0">
            <w:pPr>
              <w:numPr>
                <w:ilvl w:val="1"/>
                <w:numId w:val="64"/>
              </w:numPr>
              <w:tabs>
                <w:tab w:val="clear" w:pos="1440"/>
              </w:tabs>
              <w:ind w:left="266" w:hanging="266"/>
              <w:rPr>
                <w:sz w:val="17"/>
                <w:szCs w:val="17"/>
                <w:lang w:val="en-GB"/>
              </w:rPr>
            </w:pPr>
            <w:r w:rsidRPr="003615D0">
              <w:rPr>
                <w:sz w:val="17"/>
                <w:szCs w:val="17"/>
                <w:lang w:val="en-GB"/>
              </w:rPr>
              <w:t>Lessons learned</w:t>
            </w:r>
          </w:p>
          <w:p w14:paraId="12FD6AAA" w14:textId="77777777" w:rsidR="00D45E3D" w:rsidRPr="003615D0" w:rsidRDefault="00D45E3D" w:rsidP="00D45E3D">
            <w:pPr>
              <w:rPr>
                <w:b/>
                <w:bCs/>
                <w:i/>
                <w:iCs/>
                <w:sz w:val="18"/>
                <w:szCs w:val="18"/>
                <w:lang w:val="en-GB"/>
              </w:rPr>
            </w:pPr>
            <w:r w:rsidRPr="003615D0">
              <w:rPr>
                <w:b/>
                <w:bCs/>
                <w:i/>
                <w:iCs/>
                <w:sz w:val="18"/>
                <w:szCs w:val="18"/>
                <w:lang w:val="en-GB"/>
              </w:rPr>
              <w:t>Project News</w:t>
            </w:r>
          </w:p>
          <w:p w14:paraId="1EF1AE56" w14:textId="77777777" w:rsidR="00D45E3D" w:rsidRPr="003615D0" w:rsidRDefault="00D45E3D" w:rsidP="003615D0">
            <w:pPr>
              <w:numPr>
                <w:ilvl w:val="0"/>
                <w:numId w:val="65"/>
              </w:numPr>
              <w:tabs>
                <w:tab w:val="num" w:pos="266"/>
              </w:tabs>
              <w:ind w:left="266" w:hanging="266"/>
              <w:rPr>
                <w:sz w:val="17"/>
                <w:szCs w:val="17"/>
                <w:lang w:val="en-GB"/>
              </w:rPr>
            </w:pPr>
            <w:r w:rsidRPr="003615D0">
              <w:rPr>
                <w:sz w:val="17"/>
                <w:szCs w:val="17"/>
                <w:lang w:val="en-GB"/>
              </w:rPr>
              <w:t>Newsflash section</w:t>
            </w:r>
          </w:p>
          <w:p w14:paraId="38B9E405" w14:textId="77777777" w:rsidR="00D45E3D" w:rsidRPr="003615D0" w:rsidRDefault="00D45E3D" w:rsidP="003615D0">
            <w:pPr>
              <w:numPr>
                <w:ilvl w:val="0"/>
                <w:numId w:val="65"/>
              </w:numPr>
              <w:tabs>
                <w:tab w:val="num" w:pos="266"/>
              </w:tabs>
              <w:ind w:left="266" w:hanging="266"/>
              <w:rPr>
                <w:sz w:val="17"/>
                <w:szCs w:val="17"/>
                <w:lang w:val="en-GB"/>
              </w:rPr>
            </w:pPr>
            <w:r w:rsidRPr="003615D0">
              <w:rPr>
                <w:sz w:val="17"/>
                <w:szCs w:val="17"/>
                <w:lang w:val="en-GB"/>
              </w:rPr>
              <w:t>SCS “Blog”</w:t>
            </w:r>
          </w:p>
          <w:p w14:paraId="4E6D784B" w14:textId="77777777" w:rsidR="00D45E3D" w:rsidRPr="003615D0" w:rsidRDefault="00D45E3D" w:rsidP="003615D0">
            <w:pPr>
              <w:numPr>
                <w:ilvl w:val="0"/>
                <w:numId w:val="65"/>
              </w:numPr>
              <w:tabs>
                <w:tab w:val="num" w:pos="266"/>
              </w:tabs>
              <w:ind w:left="266" w:hanging="266"/>
              <w:rPr>
                <w:sz w:val="17"/>
                <w:szCs w:val="17"/>
                <w:lang w:val="en-GB"/>
              </w:rPr>
            </w:pPr>
            <w:r w:rsidRPr="003615D0">
              <w:rPr>
                <w:sz w:val="17"/>
                <w:szCs w:val="17"/>
                <w:lang w:val="en-GB"/>
              </w:rPr>
              <w:t>SCS E-Newsletter</w:t>
            </w:r>
          </w:p>
          <w:p w14:paraId="58ACC556" w14:textId="77777777" w:rsidR="00D45E3D" w:rsidRPr="003615D0" w:rsidRDefault="00D45E3D" w:rsidP="003615D0">
            <w:pPr>
              <w:numPr>
                <w:ilvl w:val="0"/>
                <w:numId w:val="65"/>
              </w:numPr>
              <w:tabs>
                <w:tab w:val="num" w:pos="266"/>
              </w:tabs>
              <w:ind w:left="266" w:hanging="266"/>
              <w:rPr>
                <w:sz w:val="17"/>
                <w:szCs w:val="17"/>
                <w:lang w:val="en-GB"/>
              </w:rPr>
            </w:pPr>
            <w:r w:rsidRPr="003615D0">
              <w:rPr>
                <w:sz w:val="17"/>
                <w:szCs w:val="17"/>
                <w:lang w:val="en-GB"/>
              </w:rPr>
              <w:t>SCS RSS Feeds</w:t>
            </w:r>
          </w:p>
          <w:p w14:paraId="771B6A40" w14:textId="77777777" w:rsidR="00D45E3D" w:rsidRPr="003615D0" w:rsidRDefault="00D45E3D" w:rsidP="00D45E3D">
            <w:pPr>
              <w:rPr>
                <w:b/>
                <w:bCs/>
                <w:i/>
                <w:iCs/>
                <w:sz w:val="18"/>
                <w:szCs w:val="18"/>
                <w:lang w:val="en-GB"/>
              </w:rPr>
            </w:pPr>
            <w:r w:rsidRPr="003615D0">
              <w:rPr>
                <w:b/>
                <w:bCs/>
                <w:i/>
                <w:iCs/>
                <w:sz w:val="18"/>
                <w:szCs w:val="18"/>
                <w:lang w:val="en-GB"/>
              </w:rPr>
              <w:t>Online Communication</w:t>
            </w:r>
          </w:p>
          <w:p w14:paraId="71C81CAC" w14:textId="77777777" w:rsidR="00D45E3D" w:rsidRPr="003615D0" w:rsidRDefault="00D45E3D" w:rsidP="003615D0">
            <w:pPr>
              <w:numPr>
                <w:ilvl w:val="0"/>
                <w:numId w:val="65"/>
              </w:numPr>
              <w:tabs>
                <w:tab w:val="num" w:pos="266"/>
              </w:tabs>
              <w:ind w:left="266" w:hanging="266"/>
              <w:rPr>
                <w:sz w:val="17"/>
                <w:szCs w:val="17"/>
                <w:lang w:val="en-GB"/>
              </w:rPr>
            </w:pPr>
            <w:r w:rsidRPr="003615D0">
              <w:rPr>
                <w:sz w:val="17"/>
                <w:szCs w:val="17"/>
                <w:lang w:val="en-GB"/>
              </w:rPr>
              <w:t>Partner network contacts database</w:t>
            </w:r>
          </w:p>
          <w:p w14:paraId="2500E367" w14:textId="77777777" w:rsidR="00D45E3D" w:rsidRPr="003615D0" w:rsidRDefault="00D45E3D" w:rsidP="003615D0">
            <w:pPr>
              <w:numPr>
                <w:ilvl w:val="0"/>
                <w:numId w:val="65"/>
              </w:numPr>
              <w:tabs>
                <w:tab w:val="num" w:pos="266"/>
              </w:tabs>
              <w:ind w:left="266" w:hanging="266"/>
              <w:rPr>
                <w:sz w:val="17"/>
                <w:szCs w:val="17"/>
                <w:lang w:val="en-GB"/>
              </w:rPr>
            </w:pPr>
            <w:r w:rsidRPr="003615D0">
              <w:rPr>
                <w:sz w:val="17"/>
                <w:szCs w:val="17"/>
                <w:lang w:val="en-GB"/>
              </w:rPr>
              <w:t>SCS E-Forum</w:t>
            </w:r>
          </w:p>
          <w:p w14:paraId="2E20B611" w14:textId="77777777" w:rsidR="00D45E3D" w:rsidRPr="003615D0" w:rsidRDefault="00D45E3D" w:rsidP="003615D0">
            <w:pPr>
              <w:numPr>
                <w:ilvl w:val="0"/>
                <w:numId w:val="65"/>
              </w:numPr>
              <w:tabs>
                <w:tab w:val="num" w:pos="266"/>
              </w:tabs>
              <w:ind w:left="266" w:hanging="266"/>
              <w:rPr>
                <w:sz w:val="17"/>
                <w:szCs w:val="17"/>
                <w:lang w:val="en-GB"/>
              </w:rPr>
            </w:pPr>
            <w:r w:rsidRPr="003615D0">
              <w:rPr>
                <w:sz w:val="17"/>
                <w:szCs w:val="17"/>
                <w:lang w:val="en-GB"/>
              </w:rPr>
              <w:t>SCS Blog</w:t>
            </w:r>
          </w:p>
          <w:p w14:paraId="37F5873D" w14:textId="77777777" w:rsidR="00D45E3D" w:rsidRPr="003615D0" w:rsidRDefault="00D45E3D" w:rsidP="003615D0">
            <w:pPr>
              <w:numPr>
                <w:ilvl w:val="0"/>
                <w:numId w:val="65"/>
              </w:numPr>
              <w:tabs>
                <w:tab w:val="num" w:pos="266"/>
              </w:tabs>
              <w:ind w:left="266" w:hanging="266"/>
              <w:rPr>
                <w:sz w:val="17"/>
                <w:szCs w:val="17"/>
                <w:lang w:val="en-GB"/>
              </w:rPr>
            </w:pPr>
            <w:r w:rsidRPr="003615D0">
              <w:rPr>
                <w:sz w:val="17"/>
                <w:szCs w:val="17"/>
                <w:lang w:val="en-GB"/>
              </w:rPr>
              <w:t>Online “helpdesk”</w:t>
            </w:r>
          </w:p>
          <w:p w14:paraId="6151F990" w14:textId="77777777" w:rsidR="00D45E3D" w:rsidRPr="003615D0" w:rsidRDefault="00D45E3D" w:rsidP="00D45E3D">
            <w:pPr>
              <w:rPr>
                <w:b/>
                <w:bCs/>
                <w:i/>
                <w:iCs/>
                <w:sz w:val="18"/>
                <w:szCs w:val="18"/>
                <w:lang w:val="en-GB"/>
              </w:rPr>
            </w:pPr>
            <w:r w:rsidRPr="003615D0">
              <w:rPr>
                <w:b/>
                <w:bCs/>
                <w:i/>
                <w:iCs/>
                <w:sz w:val="18"/>
                <w:szCs w:val="18"/>
                <w:lang w:val="en-GB"/>
              </w:rPr>
              <w:t>Outreach</w:t>
            </w:r>
          </w:p>
          <w:p w14:paraId="20DFF151" w14:textId="77777777" w:rsidR="00D45E3D" w:rsidRPr="003615D0" w:rsidRDefault="00D45E3D" w:rsidP="003615D0">
            <w:pPr>
              <w:numPr>
                <w:ilvl w:val="0"/>
                <w:numId w:val="66"/>
              </w:numPr>
              <w:tabs>
                <w:tab w:val="num" w:pos="266"/>
              </w:tabs>
              <w:ind w:left="266" w:hanging="266"/>
              <w:rPr>
                <w:sz w:val="17"/>
                <w:szCs w:val="17"/>
                <w:lang w:val="en-GB"/>
              </w:rPr>
            </w:pPr>
            <w:r w:rsidRPr="003615D0">
              <w:rPr>
                <w:sz w:val="17"/>
                <w:szCs w:val="17"/>
                <w:lang w:val="en-GB"/>
              </w:rPr>
              <w:t>Search engine friendly URLs</w:t>
            </w:r>
          </w:p>
          <w:p w14:paraId="4A396866" w14:textId="77777777" w:rsidR="00D45E3D" w:rsidRPr="003615D0" w:rsidRDefault="00D45E3D" w:rsidP="003615D0">
            <w:pPr>
              <w:numPr>
                <w:ilvl w:val="0"/>
                <w:numId w:val="66"/>
              </w:numPr>
              <w:tabs>
                <w:tab w:val="num" w:pos="266"/>
              </w:tabs>
              <w:ind w:left="266" w:hanging="266"/>
              <w:rPr>
                <w:sz w:val="17"/>
                <w:szCs w:val="17"/>
                <w:lang w:val="en-GB"/>
              </w:rPr>
            </w:pPr>
            <w:r w:rsidRPr="003615D0">
              <w:rPr>
                <w:sz w:val="17"/>
                <w:szCs w:val="17"/>
                <w:lang w:val="en-GB"/>
              </w:rPr>
              <w:t>SCS Google Earth layer</w:t>
            </w:r>
          </w:p>
          <w:p w14:paraId="1766DED5" w14:textId="77777777" w:rsidR="00D45E3D" w:rsidRPr="003615D0" w:rsidRDefault="00D45E3D" w:rsidP="00D45E3D">
            <w:pPr>
              <w:rPr>
                <w:b/>
                <w:bCs/>
                <w:i/>
                <w:iCs/>
                <w:sz w:val="18"/>
                <w:szCs w:val="18"/>
                <w:lang w:val="en-GB"/>
              </w:rPr>
            </w:pPr>
            <w:r w:rsidRPr="003615D0">
              <w:rPr>
                <w:b/>
                <w:bCs/>
                <w:i/>
                <w:iCs/>
                <w:sz w:val="18"/>
                <w:szCs w:val="18"/>
                <w:lang w:val="en-GB"/>
              </w:rPr>
              <w:t>Online Donations</w:t>
            </w:r>
          </w:p>
          <w:p w14:paraId="607F59AF" w14:textId="77777777" w:rsidR="00D45E3D" w:rsidRPr="003615D0" w:rsidRDefault="00D45E3D" w:rsidP="003615D0">
            <w:pPr>
              <w:numPr>
                <w:ilvl w:val="0"/>
                <w:numId w:val="67"/>
              </w:numPr>
              <w:tabs>
                <w:tab w:val="num" w:pos="266"/>
              </w:tabs>
              <w:ind w:left="266" w:hanging="266"/>
              <w:rPr>
                <w:sz w:val="17"/>
                <w:szCs w:val="17"/>
                <w:lang w:val="en-GB"/>
              </w:rPr>
            </w:pPr>
            <w:r w:rsidRPr="003615D0">
              <w:rPr>
                <w:sz w:val="17"/>
                <w:szCs w:val="17"/>
                <w:lang w:val="en-GB"/>
              </w:rPr>
              <w:t xml:space="preserve">Mechanisms for online donations </w:t>
            </w:r>
          </w:p>
        </w:tc>
        <w:tc>
          <w:tcPr>
            <w:tcW w:w="2431" w:type="dxa"/>
            <w:tcBorders>
              <w:top w:val="single" w:sz="12" w:space="0" w:color="auto"/>
              <w:bottom w:val="single" w:sz="12" w:space="0" w:color="auto"/>
            </w:tcBorders>
            <w:shd w:val="clear" w:color="auto" w:fill="auto"/>
          </w:tcPr>
          <w:p w14:paraId="10A07348" w14:textId="77777777" w:rsidR="00D45E3D" w:rsidRPr="003615D0" w:rsidRDefault="00D45E3D" w:rsidP="00D45E3D">
            <w:pPr>
              <w:rPr>
                <w:b/>
                <w:bCs/>
                <w:i/>
                <w:iCs/>
                <w:sz w:val="18"/>
                <w:szCs w:val="18"/>
                <w:lang w:val="en-GB"/>
              </w:rPr>
            </w:pPr>
            <w:r w:rsidRPr="003615D0">
              <w:rPr>
                <w:b/>
                <w:bCs/>
                <w:i/>
                <w:iCs/>
                <w:sz w:val="18"/>
                <w:szCs w:val="18"/>
                <w:lang w:val="en-GB"/>
              </w:rPr>
              <w:t>Regional Co-ordination</w:t>
            </w:r>
          </w:p>
          <w:p w14:paraId="7673496D" w14:textId="77777777" w:rsidR="00D45E3D" w:rsidRPr="003615D0" w:rsidRDefault="00D45E3D" w:rsidP="003615D0">
            <w:pPr>
              <w:numPr>
                <w:ilvl w:val="0"/>
                <w:numId w:val="67"/>
              </w:numPr>
              <w:tabs>
                <w:tab w:val="num" w:pos="173"/>
              </w:tabs>
              <w:ind w:left="173" w:hanging="173"/>
              <w:rPr>
                <w:sz w:val="17"/>
                <w:szCs w:val="17"/>
                <w:lang w:val="en-GB"/>
              </w:rPr>
            </w:pPr>
            <w:r w:rsidRPr="003615D0">
              <w:rPr>
                <w:sz w:val="17"/>
                <w:szCs w:val="17"/>
                <w:lang w:val="en-GB"/>
              </w:rPr>
              <w:t>Optimisation/uploading of  documentation and other project outputs</w:t>
            </w:r>
          </w:p>
          <w:p w14:paraId="3FD4C43F" w14:textId="77777777" w:rsidR="00D45E3D" w:rsidRPr="003615D0" w:rsidRDefault="00D45E3D" w:rsidP="003615D0">
            <w:pPr>
              <w:numPr>
                <w:ilvl w:val="0"/>
                <w:numId w:val="67"/>
              </w:numPr>
              <w:tabs>
                <w:tab w:val="num" w:pos="173"/>
              </w:tabs>
              <w:ind w:left="173" w:hanging="173"/>
              <w:rPr>
                <w:sz w:val="17"/>
                <w:szCs w:val="17"/>
                <w:lang w:val="en-GB"/>
              </w:rPr>
            </w:pPr>
            <w:r w:rsidRPr="003615D0">
              <w:rPr>
                <w:sz w:val="17"/>
                <w:szCs w:val="17"/>
                <w:lang w:val="en-GB"/>
              </w:rPr>
              <w:t>Regional news and screening of national news contributions</w:t>
            </w:r>
          </w:p>
          <w:p w14:paraId="60798338" w14:textId="77777777" w:rsidR="00D45E3D" w:rsidRPr="003615D0" w:rsidRDefault="00D45E3D" w:rsidP="003615D0">
            <w:pPr>
              <w:numPr>
                <w:ilvl w:val="0"/>
                <w:numId w:val="67"/>
              </w:numPr>
              <w:tabs>
                <w:tab w:val="num" w:pos="173"/>
              </w:tabs>
              <w:ind w:left="173" w:hanging="173"/>
              <w:rPr>
                <w:sz w:val="17"/>
                <w:szCs w:val="17"/>
                <w:lang w:val="en-GB"/>
              </w:rPr>
            </w:pPr>
            <w:r w:rsidRPr="003615D0">
              <w:rPr>
                <w:sz w:val="17"/>
                <w:szCs w:val="17"/>
                <w:lang w:val="en-GB"/>
              </w:rPr>
              <w:t>Periodic update (monthly) of partner contacts database and e-mailing lists</w:t>
            </w:r>
          </w:p>
          <w:p w14:paraId="30ABEF7C" w14:textId="77777777" w:rsidR="00D45E3D" w:rsidRPr="003615D0" w:rsidRDefault="00D45E3D" w:rsidP="003615D0">
            <w:pPr>
              <w:numPr>
                <w:ilvl w:val="0"/>
                <w:numId w:val="67"/>
              </w:numPr>
              <w:tabs>
                <w:tab w:val="num" w:pos="173"/>
              </w:tabs>
              <w:ind w:left="173" w:hanging="173"/>
              <w:rPr>
                <w:sz w:val="17"/>
                <w:szCs w:val="17"/>
                <w:lang w:val="en-GB"/>
              </w:rPr>
            </w:pPr>
            <w:r w:rsidRPr="003615D0">
              <w:rPr>
                <w:sz w:val="17"/>
                <w:szCs w:val="17"/>
                <w:lang w:val="en-GB"/>
              </w:rPr>
              <w:t>Update of project events calendar</w:t>
            </w:r>
          </w:p>
          <w:p w14:paraId="4F0F305A" w14:textId="77777777" w:rsidR="00D45E3D" w:rsidRPr="003615D0" w:rsidRDefault="00D45E3D" w:rsidP="003615D0">
            <w:pPr>
              <w:numPr>
                <w:ilvl w:val="0"/>
                <w:numId w:val="67"/>
              </w:numPr>
              <w:tabs>
                <w:tab w:val="num" w:pos="173"/>
              </w:tabs>
              <w:ind w:left="173" w:hanging="173"/>
              <w:rPr>
                <w:sz w:val="17"/>
                <w:szCs w:val="17"/>
                <w:lang w:val="en-GB"/>
              </w:rPr>
            </w:pPr>
            <w:r w:rsidRPr="003615D0">
              <w:rPr>
                <w:sz w:val="17"/>
                <w:szCs w:val="17"/>
                <w:lang w:val="en-GB"/>
              </w:rPr>
              <w:t>Publish and e-mail e-newsletter (monthly)</w:t>
            </w:r>
          </w:p>
          <w:p w14:paraId="14BED167" w14:textId="77777777" w:rsidR="00D45E3D" w:rsidRPr="003615D0" w:rsidRDefault="00D45E3D" w:rsidP="003615D0">
            <w:pPr>
              <w:numPr>
                <w:ilvl w:val="0"/>
                <w:numId w:val="67"/>
              </w:numPr>
              <w:tabs>
                <w:tab w:val="num" w:pos="173"/>
              </w:tabs>
              <w:ind w:left="173" w:hanging="173"/>
              <w:rPr>
                <w:sz w:val="17"/>
                <w:szCs w:val="17"/>
                <w:lang w:val="en-GB"/>
              </w:rPr>
            </w:pPr>
            <w:r w:rsidRPr="003615D0">
              <w:rPr>
                <w:sz w:val="17"/>
                <w:szCs w:val="17"/>
                <w:lang w:val="en-GB"/>
              </w:rPr>
              <w:t>Periodic (monthly) update of regional information repositories (documents, multi-media, training, awareness)</w:t>
            </w:r>
          </w:p>
          <w:p w14:paraId="777414B0" w14:textId="77777777" w:rsidR="00D45E3D" w:rsidRPr="003615D0" w:rsidRDefault="00D45E3D" w:rsidP="003615D0">
            <w:pPr>
              <w:numPr>
                <w:ilvl w:val="0"/>
                <w:numId w:val="67"/>
              </w:numPr>
              <w:tabs>
                <w:tab w:val="num" w:pos="173"/>
              </w:tabs>
              <w:ind w:left="173" w:hanging="173"/>
              <w:rPr>
                <w:sz w:val="17"/>
                <w:szCs w:val="17"/>
                <w:lang w:val="en-GB"/>
              </w:rPr>
            </w:pPr>
            <w:r w:rsidRPr="003615D0">
              <w:rPr>
                <w:sz w:val="17"/>
                <w:szCs w:val="17"/>
                <w:lang w:val="en-GB"/>
              </w:rPr>
              <w:t xml:space="preserve">Stimulation of e-fora discussions </w:t>
            </w:r>
          </w:p>
          <w:p w14:paraId="3B4A8D96" w14:textId="77777777" w:rsidR="00D45E3D" w:rsidRPr="003615D0" w:rsidRDefault="00D45E3D" w:rsidP="00D45E3D">
            <w:pPr>
              <w:rPr>
                <w:b/>
                <w:bCs/>
                <w:i/>
                <w:iCs/>
                <w:sz w:val="18"/>
                <w:szCs w:val="18"/>
                <w:lang w:val="en-GB"/>
              </w:rPr>
            </w:pPr>
            <w:r w:rsidRPr="003615D0">
              <w:rPr>
                <w:b/>
                <w:bCs/>
                <w:i/>
                <w:iCs/>
                <w:sz w:val="18"/>
                <w:szCs w:val="18"/>
                <w:lang w:val="en-GB"/>
              </w:rPr>
              <w:t>National Execution</w:t>
            </w:r>
          </w:p>
          <w:p w14:paraId="362691D4" w14:textId="77777777" w:rsidR="00D45E3D" w:rsidRPr="003615D0" w:rsidRDefault="00D45E3D" w:rsidP="003615D0">
            <w:pPr>
              <w:numPr>
                <w:ilvl w:val="0"/>
                <w:numId w:val="68"/>
              </w:numPr>
              <w:tabs>
                <w:tab w:val="num" w:pos="173"/>
              </w:tabs>
              <w:ind w:left="173" w:hanging="173"/>
              <w:rPr>
                <w:sz w:val="17"/>
                <w:szCs w:val="17"/>
                <w:lang w:val="en-GB"/>
              </w:rPr>
            </w:pPr>
            <w:r w:rsidRPr="003615D0">
              <w:rPr>
                <w:sz w:val="17"/>
                <w:szCs w:val="17"/>
                <w:lang w:val="en-GB"/>
              </w:rPr>
              <w:t xml:space="preserve">Establish and maintain links from websites of national orgs to </w:t>
            </w:r>
            <w:smartTag w:uri="urn:schemas-microsoft-com:office:smarttags" w:element="place">
              <w:r w:rsidRPr="003615D0">
                <w:rPr>
                  <w:sz w:val="17"/>
                  <w:szCs w:val="17"/>
                  <w:lang w:val="en-GB"/>
                </w:rPr>
                <w:t>South China Sea</w:t>
              </w:r>
            </w:smartTag>
            <w:r w:rsidRPr="003615D0">
              <w:rPr>
                <w:sz w:val="17"/>
                <w:szCs w:val="17"/>
                <w:lang w:val="en-GB"/>
              </w:rPr>
              <w:t xml:space="preserve"> website</w:t>
            </w:r>
          </w:p>
          <w:p w14:paraId="00B53FCC" w14:textId="77777777" w:rsidR="00D45E3D" w:rsidRPr="003615D0" w:rsidRDefault="00D45E3D" w:rsidP="003615D0">
            <w:pPr>
              <w:numPr>
                <w:ilvl w:val="0"/>
                <w:numId w:val="68"/>
              </w:numPr>
              <w:tabs>
                <w:tab w:val="num" w:pos="173"/>
              </w:tabs>
              <w:ind w:left="173" w:hanging="173"/>
              <w:rPr>
                <w:sz w:val="17"/>
                <w:szCs w:val="17"/>
                <w:lang w:val="en-GB"/>
              </w:rPr>
            </w:pPr>
            <w:r w:rsidRPr="003615D0">
              <w:rPr>
                <w:sz w:val="17"/>
                <w:szCs w:val="17"/>
                <w:lang w:val="en-GB"/>
              </w:rPr>
              <w:t>Contributions of project news, information, outputs direct to website</w:t>
            </w:r>
          </w:p>
          <w:p w14:paraId="445D170D" w14:textId="77777777" w:rsidR="00D45E3D" w:rsidRPr="003615D0" w:rsidRDefault="00D45E3D" w:rsidP="00D45E3D">
            <w:pPr>
              <w:rPr>
                <w:sz w:val="18"/>
                <w:szCs w:val="18"/>
                <w:lang w:val="en-GB"/>
              </w:rPr>
            </w:pPr>
            <w:r w:rsidRPr="003615D0">
              <w:rPr>
                <w:b/>
                <w:bCs/>
                <w:i/>
                <w:iCs/>
                <w:sz w:val="18"/>
                <w:szCs w:val="18"/>
                <w:lang w:val="en-GB"/>
              </w:rPr>
              <w:t>Individual Focal Points</w:t>
            </w:r>
          </w:p>
          <w:p w14:paraId="424A326D" w14:textId="77777777" w:rsidR="00D45E3D" w:rsidRPr="003615D0" w:rsidRDefault="00D45E3D" w:rsidP="003615D0">
            <w:pPr>
              <w:numPr>
                <w:ilvl w:val="0"/>
                <w:numId w:val="69"/>
              </w:numPr>
              <w:tabs>
                <w:tab w:val="num" w:pos="173"/>
              </w:tabs>
              <w:ind w:left="173" w:hanging="187"/>
              <w:rPr>
                <w:sz w:val="17"/>
                <w:szCs w:val="17"/>
                <w:lang w:val="en-GB"/>
              </w:rPr>
            </w:pPr>
            <w:r w:rsidRPr="003615D0">
              <w:rPr>
                <w:sz w:val="17"/>
                <w:szCs w:val="17"/>
                <w:lang w:val="en-GB"/>
              </w:rPr>
              <w:t>Upload of new data (GIS, meta-data, projects, economic</w:t>
            </w:r>
            <w:r w:rsidR="004C00ED" w:rsidRPr="003615D0">
              <w:rPr>
                <w:sz w:val="17"/>
                <w:szCs w:val="17"/>
                <w:lang w:val="en-GB"/>
              </w:rPr>
              <w:t xml:space="preserve"> valuation data, and results reporting</w:t>
            </w:r>
            <w:r w:rsidRPr="003615D0">
              <w:rPr>
                <w:sz w:val="17"/>
                <w:szCs w:val="17"/>
                <w:lang w:val="en-GB"/>
              </w:rPr>
              <w:t>) directly to website</w:t>
            </w:r>
          </w:p>
          <w:p w14:paraId="337D69B2" w14:textId="77777777" w:rsidR="00D45E3D" w:rsidRPr="003615D0" w:rsidRDefault="00D45E3D" w:rsidP="003615D0">
            <w:pPr>
              <w:numPr>
                <w:ilvl w:val="0"/>
                <w:numId w:val="69"/>
              </w:numPr>
              <w:tabs>
                <w:tab w:val="num" w:pos="173"/>
              </w:tabs>
              <w:ind w:left="173" w:hanging="187"/>
              <w:rPr>
                <w:sz w:val="18"/>
                <w:szCs w:val="18"/>
                <w:lang w:val="en-GB"/>
              </w:rPr>
            </w:pPr>
            <w:r w:rsidRPr="003615D0">
              <w:rPr>
                <w:sz w:val="17"/>
                <w:szCs w:val="17"/>
                <w:lang w:val="en-GB"/>
              </w:rPr>
              <w:t>Upload of national outputs (publications etc) to site</w:t>
            </w:r>
          </w:p>
        </w:tc>
        <w:tc>
          <w:tcPr>
            <w:tcW w:w="3035" w:type="dxa"/>
            <w:tcBorders>
              <w:top w:val="single" w:sz="12" w:space="0" w:color="auto"/>
              <w:bottom w:val="single" w:sz="12" w:space="0" w:color="auto"/>
              <w:right w:val="single" w:sz="12" w:space="0" w:color="auto"/>
            </w:tcBorders>
            <w:shd w:val="clear" w:color="auto" w:fill="auto"/>
          </w:tcPr>
          <w:p w14:paraId="6D4CB34B" w14:textId="77777777" w:rsidR="00D45E3D" w:rsidRPr="003615D0" w:rsidRDefault="00D45E3D" w:rsidP="00D45E3D">
            <w:pPr>
              <w:rPr>
                <w:b/>
                <w:bCs/>
                <w:i/>
                <w:iCs/>
                <w:sz w:val="18"/>
                <w:szCs w:val="18"/>
                <w:lang w:val="en-GB"/>
              </w:rPr>
            </w:pPr>
            <w:r w:rsidRPr="003615D0">
              <w:rPr>
                <w:b/>
                <w:bCs/>
                <w:i/>
                <w:iCs/>
                <w:sz w:val="18"/>
                <w:szCs w:val="18"/>
                <w:lang w:val="en-GB"/>
              </w:rPr>
              <w:t>Web-Hosting and Domain Name Registration</w:t>
            </w:r>
          </w:p>
          <w:p w14:paraId="32873816" w14:textId="77777777" w:rsidR="00D45E3D" w:rsidRPr="003615D0" w:rsidRDefault="00D45E3D" w:rsidP="003615D0">
            <w:pPr>
              <w:numPr>
                <w:ilvl w:val="0"/>
                <w:numId w:val="72"/>
              </w:numPr>
              <w:tabs>
                <w:tab w:val="num" w:pos="266"/>
              </w:tabs>
              <w:ind w:left="266" w:hanging="266"/>
              <w:rPr>
                <w:sz w:val="17"/>
                <w:szCs w:val="17"/>
                <w:lang w:val="en-GB"/>
              </w:rPr>
            </w:pPr>
            <w:r w:rsidRPr="003615D0">
              <w:rPr>
                <w:sz w:val="17"/>
                <w:szCs w:val="17"/>
                <w:lang w:val="en-GB"/>
              </w:rPr>
              <w:t xml:space="preserve">Commercial high capacity web-hosting in secure data centre with technical support. PHP5, CGI, SSI capabilities. Approx. </w:t>
            </w:r>
            <w:r w:rsidR="004C00ED" w:rsidRPr="003615D0">
              <w:rPr>
                <w:sz w:val="17"/>
                <w:szCs w:val="17"/>
                <w:lang w:val="en-GB"/>
              </w:rPr>
              <w:t>30</w:t>
            </w:r>
            <w:r w:rsidRPr="003615D0">
              <w:rPr>
                <w:sz w:val="17"/>
                <w:szCs w:val="17"/>
                <w:lang w:val="en-GB"/>
              </w:rPr>
              <w:t xml:space="preserve"> GB disk space. Min. </w:t>
            </w:r>
            <w:r w:rsidR="004C00ED" w:rsidRPr="003615D0">
              <w:rPr>
                <w:sz w:val="17"/>
                <w:szCs w:val="17"/>
                <w:lang w:val="en-GB"/>
              </w:rPr>
              <w:t>200GB data transfer/month</w:t>
            </w:r>
            <w:r w:rsidRPr="003615D0">
              <w:rPr>
                <w:sz w:val="17"/>
                <w:szCs w:val="17"/>
                <w:lang w:val="en-GB"/>
              </w:rPr>
              <w:t>.</w:t>
            </w:r>
          </w:p>
          <w:p w14:paraId="087F76F1" w14:textId="77777777" w:rsidR="00D45E3D" w:rsidRPr="003615D0" w:rsidRDefault="00D45E3D" w:rsidP="00D45E3D">
            <w:pPr>
              <w:rPr>
                <w:sz w:val="18"/>
                <w:szCs w:val="18"/>
                <w:lang w:val="en-GB"/>
              </w:rPr>
            </w:pPr>
            <w:r w:rsidRPr="003615D0">
              <w:rPr>
                <w:b/>
                <w:bCs/>
                <w:i/>
                <w:iCs/>
                <w:sz w:val="18"/>
                <w:szCs w:val="18"/>
                <w:lang w:val="en-GB"/>
              </w:rPr>
              <w:t>Maintenance of the Website -Content Management System</w:t>
            </w:r>
          </w:p>
          <w:p w14:paraId="1D02B1F4" w14:textId="77777777" w:rsidR="00D45E3D" w:rsidRPr="003615D0" w:rsidRDefault="00D45E3D" w:rsidP="003615D0">
            <w:pPr>
              <w:numPr>
                <w:ilvl w:val="0"/>
                <w:numId w:val="70"/>
              </w:numPr>
              <w:tabs>
                <w:tab w:val="num" w:pos="266"/>
              </w:tabs>
              <w:ind w:left="266" w:hanging="266"/>
              <w:rPr>
                <w:sz w:val="17"/>
                <w:szCs w:val="17"/>
                <w:lang w:val="en-GB"/>
              </w:rPr>
            </w:pPr>
            <w:r w:rsidRPr="003615D0">
              <w:rPr>
                <w:sz w:val="17"/>
                <w:szCs w:val="17"/>
                <w:lang w:val="en-GB"/>
              </w:rPr>
              <w:t>Upgrades of the Joomla content management system and supporting software modules as requ</w:t>
            </w:r>
            <w:r w:rsidR="004C00ED" w:rsidRPr="003615D0">
              <w:rPr>
                <w:sz w:val="17"/>
                <w:szCs w:val="17"/>
                <w:lang w:val="en-GB"/>
              </w:rPr>
              <w:t>ired (~15</w:t>
            </w:r>
            <w:r w:rsidRPr="003615D0">
              <w:rPr>
                <w:sz w:val="17"/>
                <w:szCs w:val="17"/>
                <w:lang w:val="en-GB"/>
              </w:rPr>
              <w:t xml:space="preserve"> upgrades/yr).</w:t>
            </w:r>
          </w:p>
          <w:p w14:paraId="0B718C2D" w14:textId="77777777" w:rsidR="00D45E3D" w:rsidRPr="003615D0" w:rsidRDefault="00D45E3D" w:rsidP="00D45E3D">
            <w:pPr>
              <w:rPr>
                <w:b/>
                <w:bCs/>
                <w:i/>
                <w:iCs/>
                <w:sz w:val="18"/>
                <w:szCs w:val="18"/>
                <w:lang w:val="en-GB"/>
              </w:rPr>
            </w:pPr>
            <w:r w:rsidRPr="003615D0">
              <w:rPr>
                <w:b/>
                <w:bCs/>
                <w:i/>
                <w:iCs/>
                <w:sz w:val="18"/>
                <w:szCs w:val="18"/>
                <w:lang w:val="en-GB"/>
              </w:rPr>
              <w:t>Data Management and Security</w:t>
            </w:r>
          </w:p>
          <w:p w14:paraId="1E1B461C" w14:textId="77777777" w:rsidR="00D45E3D" w:rsidRPr="003615D0" w:rsidRDefault="00D45E3D" w:rsidP="003615D0">
            <w:pPr>
              <w:numPr>
                <w:ilvl w:val="0"/>
                <w:numId w:val="71"/>
              </w:numPr>
              <w:tabs>
                <w:tab w:val="num" w:pos="266"/>
              </w:tabs>
              <w:ind w:left="266" w:hanging="266"/>
              <w:rPr>
                <w:sz w:val="17"/>
                <w:szCs w:val="17"/>
                <w:lang w:val="en-GB"/>
              </w:rPr>
            </w:pPr>
            <w:r w:rsidRPr="003615D0">
              <w:rPr>
                <w:sz w:val="17"/>
                <w:szCs w:val="17"/>
                <w:lang w:val="en-GB"/>
              </w:rPr>
              <w:t xml:space="preserve">Full daily back-up on server (automated). </w:t>
            </w:r>
          </w:p>
          <w:p w14:paraId="175D56A6" w14:textId="77777777" w:rsidR="00D45E3D" w:rsidRPr="003615D0" w:rsidRDefault="00D45E3D" w:rsidP="003615D0">
            <w:pPr>
              <w:numPr>
                <w:ilvl w:val="0"/>
                <w:numId w:val="71"/>
              </w:numPr>
              <w:tabs>
                <w:tab w:val="num" w:pos="266"/>
              </w:tabs>
              <w:ind w:left="266" w:hanging="266"/>
              <w:rPr>
                <w:sz w:val="17"/>
                <w:szCs w:val="17"/>
                <w:lang w:val="en-GB"/>
              </w:rPr>
            </w:pPr>
            <w:r w:rsidRPr="003615D0">
              <w:rPr>
                <w:sz w:val="17"/>
                <w:szCs w:val="17"/>
                <w:lang w:val="en-GB"/>
              </w:rPr>
              <w:t>Back-up downloaded weekly and stored on hard disk and DVD (DVD checked with MD5 hash to ensure no data loss).</w:t>
            </w:r>
          </w:p>
          <w:p w14:paraId="72D1D3CD" w14:textId="77777777" w:rsidR="00D45E3D" w:rsidRPr="003615D0" w:rsidRDefault="00D45E3D" w:rsidP="003615D0">
            <w:pPr>
              <w:numPr>
                <w:ilvl w:val="0"/>
                <w:numId w:val="71"/>
              </w:numPr>
              <w:tabs>
                <w:tab w:val="num" w:pos="266"/>
              </w:tabs>
              <w:ind w:left="266" w:hanging="266"/>
              <w:rPr>
                <w:sz w:val="17"/>
                <w:szCs w:val="17"/>
                <w:lang w:val="en-GB"/>
              </w:rPr>
            </w:pPr>
            <w:r w:rsidRPr="003615D0">
              <w:rPr>
                <w:sz w:val="17"/>
                <w:szCs w:val="17"/>
                <w:lang w:val="en-GB"/>
              </w:rPr>
              <w:t>Back-up deployed/maintained on test server (monthly) to ensure no data corruption.</w:t>
            </w:r>
          </w:p>
          <w:p w14:paraId="76B753D5" w14:textId="77777777" w:rsidR="00D45E3D" w:rsidRPr="003615D0" w:rsidRDefault="00D45E3D" w:rsidP="00D45E3D">
            <w:pPr>
              <w:rPr>
                <w:b/>
                <w:bCs/>
                <w:i/>
                <w:iCs/>
                <w:sz w:val="18"/>
                <w:szCs w:val="18"/>
                <w:lang w:val="en-GB"/>
              </w:rPr>
            </w:pPr>
            <w:r w:rsidRPr="003615D0">
              <w:rPr>
                <w:b/>
                <w:bCs/>
                <w:i/>
                <w:iCs/>
                <w:sz w:val="18"/>
                <w:szCs w:val="18"/>
                <w:lang w:val="en-GB"/>
              </w:rPr>
              <w:t>Development of User-Friendly Information Management Tools</w:t>
            </w:r>
          </w:p>
          <w:p w14:paraId="72181606" w14:textId="77777777" w:rsidR="00D45E3D" w:rsidRPr="003615D0" w:rsidRDefault="00D45E3D" w:rsidP="003615D0">
            <w:pPr>
              <w:numPr>
                <w:ilvl w:val="0"/>
                <w:numId w:val="73"/>
              </w:numPr>
              <w:tabs>
                <w:tab w:val="num" w:pos="266"/>
              </w:tabs>
              <w:ind w:left="266" w:hanging="266"/>
              <w:rPr>
                <w:sz w:val="17"/>
                <w:szCs w:val="17"/>
                <w:lang w:val="en-GB"/>
              </w:rPr>
            </w:pPr>
            <w:r w:rsidRPr="003615D0">
              <w:rPr>
                <w:sz w:val="17"/>
                <w:szCs w:val="17"/>
                <w:lang w:val="en-GB"/>
              </w:rPr>
              <w:t>Design and development of databases etc. as required.</w:t>
            </w:r>
          </w:p>
          <w:p w14:paraId="2111E9EE" w14:textId="77777777" w:rsidR="004C00ED" w:rsidRPr="003615D0" w:rsidRDefault="004C00ED" w:rsidP="003615D0">
            <w:pPr>
              <w:numPr>
                <w:ilvl w:val="0"/>
                <w:numId w:val="73"/>
              </w:numPr>
              <w:tabs>
                <w:tab w:val="num" w:pos="266"/>
              </w:tabs>
              <w:ind w:left="266" w:hanging="266"/>
              <w:rPr>
                <w:sz w:val="17"/>
                <w:szCs w:val="17"/>
                <w:lang w:val="en-GB"/>
              </w:rPr>
            </w:pPr>
            <w:r w:rsidRPr="003615D0">
              <w:rPr>
                <w:sz w:val="17"/>
                <w:szCs w:val="17"/>
                <w:lang w:val="en-GB"/>
              </w:rPr>
              <w:t>Increase focus on results reporting and geospatial presentation of the impacts of SAP implementation</w:t>
            </w:r>
          </w:p>
          <w:p w14:paraId="47480BC7" w14:textId="77777777" w:rsidR="00D45E3D" w:rsidRPr="003615D0" w:rsidRDefault="00D45E3D" w:rsidP="00D45E3D">
            <w:pPr>
              <w:rPr>
                <w:b/>
                <w:bCs/>
                <w:i/>
                <w:iCs/>
                <w:sz w:val="18"/>
                <w:szCs w:val="18"/>
                <w:lang w:val="en-GB"/>
              </w:rPr>
            </w:pPr>
            <w:r w:rsidRPr="003615D0">
              <w:rPr>
                <w:b/>
                <w:bCs/>
                <w:i/>
                <w:iCs/>
                <w:sz w:val="18"/>
                <w:szCs w:val="18"/>
                <w:lang w:val="en-GB"/>
              </w:rPr>
              <w:t>Support/Capacity Building</w:t>
            </w:r>
          </w:p>
          <w:p w14:paraId="31F8B39A" w14:textId="77777777" w:rsidR="00D45E3D" w:rsidRPr="003615D0" w:rsidRDefault="00D45E3D" w:rsidP="003615D0">
            <w:pPr>
              <w:numPr>
                <w:ilvl w:val="0"/>
                <w:numId w:val="73"/>
              </w:numPr>
              <w:tabs>
                <w:tab w:val="num" w:pos="266"/>
              </w:tabs>
              <w:ind w:left="266" w:hanging="266"/>
              <w:rPr>
                <w:sz w:val="17"/>
                <w:szCs w:val="17"/>
                <w:lang w:val="en-GB"/>
              </w:rPr>
            </w:pPr>
            <w:r w:rsidRPr="003615D0">
              <w:rPr>
                <w:sz w:val="17"/>
                <w:szCs w:val="17"/>
                <w:lang w:val="en-GB"/>
              </w:rPr>
              <w:t>Update user manuals and conduct training as required.</w:t>
            </w:r>
          </w:p>
          <w:p w14:paraId="2D0EDA69" w14:textId="77777777" w:rsidR="00D45E3D" w:rsidRPr="003615D0" w:rsidRDefault="00D45E3D" w:rsidP="003615D0">
            <w:pPr>
              <w:numPr>
                <w:ilvl w:val="0"/>
                <w:numId w:val="73"/>
              </w:numPr>
              <w:tabs>
                <w:tab w:val="num" w:pos="266"/>
              </w:tabs>
              <w:ind w:left="266" w:hanging="266"/>
              <w:rPr>
                <w:sz w:val="18"/>
                <w:szCs w:val="18"/>
                <w:lang w:val="en-GB"/>
              </w:rPr>
            </w:pPr>
            <w:r w:rsidRPr="003615D0">
              <w:rPr>
                <w:sz w:val="17"/>
                <w:szCs w:val="17"/>
                <w:lang w:val="en-GB"/>
              </w:rPr>
              <w:t>Assist web users online.</w:t>
            </w:r>
          </w:p>
        </w:tc>
      </w:tr>
    </w:tbl>
    <w:p w14:paraId="2F708A2E" w14:textId="77777777" w:rsidR="00D45E3D" w:rsidRDefault="00D45E3D" w:rsidP="00B33026">
      <w:pPr>
        <w:spacing w:after="120"/>
        <w:jc w:val="both"/>
        <w:rPr>
          <w:sz w:val="22"/>
          <w:szCs w:val="22"/>
          <w:lang w:val="en-GB"/>
        </w:rPr>
      </w:pPr>
    </w:p>
    <w:p w14:paraId="0B71C428" w14:textId="77777777" w:rsidR="00D45E3D" w:rsidRDefault="00D45E3D" w:rsidP="00B33026">
      <w:pPr>
        <w:spacing w:after="120"/>
        <w:jc w:val="both"/>
        <w:rPr>
          <w:sz w:val="22"/>
          <w:szCs w:val="22"/>
          <w:lang w:val="en-GB"/>
        </w:rPr>
        <w:sectPr w:rsidR="00D45E3D" w:rsidSect="00064925">
          <w:pgSz w:w="15840" w:h="12240" w:orient="landscape" w:code="1"/>
          <w:pgMar w:top="1584" w:right="1440" w:bottom="1584" w:left="1440" w:header="706" w:footer="706" w:gutter="0"/>
          <w:cols w:space="708"/>
          <w:docGrid w:linePitch="360"/>
        </w:sectPr>
      </w:pPr>
    </w:p>
    <w:p w14:paraId="267EE3E9" w14:textId="77777777" w:rsidR="00B33026" w:rsidRPr="00B91E7E" w:rsidRDefault="00B33026" w:rsidP="00B33026">
      <w:pPr>
        <w:spacing w:after="120"/>
        <w:jc w:val="both"/>
        <w:rPr>
          <w:sz w:val="22"/>
          <w:szCs w:val="22"/>
          <w:lang w:val="en-GB"/>
        </w:rPr>
      </w:pPr>
    </w:p>
    <w:p w14:paraId="6CFA3004" w14:textId="77777777" w:rsidR="00F07F81" w:rsidRDefault="00F07F81">
      <w:pPr>
        <w:spacing w:after="120"/>
        <w:outlineLvl w:val="0"/>
        <w:rPr>
          <w:b/>
          <w:smallCaps/>
          <w:sz w:val="22"/>
          <w:szCs w:val="22"/>
          <w:lang w:val="en-GB"/>
        </w:rPr>
      </w:pPr>
      <w:bookmarkStart w:id="93" w:name="_Toc209432661"/>
      <w:r>
        <w:rPr>
          <w:b/>
          <w:smallCaps/>
          <w:sz w:val="22"/>
          <w:szCs w:val="22"/>
          <w:lang w:val="en-GB"/>
        </w:rPr>
        <w:t>Section 4: Institutional Framework and Implementation Arrangements</w:t>
      </w:r>
      <w:bookmarkEnd w:id="93"/>
    </w:p>
    <w:p w14:paraId="55110981" w14:textId="77777777" w:rsidR="00511BAA" w:rsidRPr="00511BAA" w:rsidRDefault="00511BAA" w:rsidP="00B91E7E">
      <w:pPr>
        <w:spacing w:after="120"/>
        <w:rPr>
          <w:b/>
          <w:sz w:val="22"/>
          <w:szCs w:val="22"/>
          <w:lang w:val="en-GB"/>
        </w:rPr>
      </w:pPr>
      <w:r>
        <w:rPr>
          <w:b/>
          <w:sz w:val="22"/>
          <w:szCs w:val="22"/>
          <w:lang w:val="en-GB"/>
        </w:rPr>
        <w:t>4.1</w:t>
      </w:r>
      <w:r>
        <w:rPr>
          <w:b/>
          <w:sz w:val="22"/>
          <w:szCs w:val="22"/>
          <w:lang w:val="en-GB"/>
        </w:rPr>
        <w:tab/>
        <w:t>Regional mechanisms</w:t>
      </w:r>
    </w:p>
    <w:p w14:paraId="09A6840A" w14:textId="77777777" w:rsidR="00C54358" w:rsidRPr="00132162" w:rsidRDefault="00C54358" w:rsidP="00B91E7E">
      <w:pPr>
        <w:spacing w:after="120"/>
        <w:rPr>
          <w:b/>
          <w:i/>
          <w:sz w:val="22"/>
          <w:szCs w:val="22"/>
          <w:lang w:val="en-GB"/>
        </w:rPr>
      </w:pPr>
      <w:r>
        <w:rPr>
          <w:b/>
          <w:i/>
          <w:sz w:val="22"/>
          <w:szCs w:val="22"/>
          <w:lang w:val="en-GB"/>
        </w:rPr>
        <w:t xml:space="preserve">Background </w:t>
      </w:r>
    </w:p>
    <w:p w14:paraId="542435DE" w14:textId="77777777" w:rsidR="0054742B" w:rsidRPr="00DE1DDE" w:rsidRDefault="007E7C5B" w:rsidP="00511BAA">
      <w:pPr>
        <w:numPr>
          <w:ilvl w:val="0"/>
          <w:numId w:val="3"/>
        </w:numPr>
        <w:spacing w:after="120"/>
        <w:ind w:left="0" w:firstLine="0"/>
        <w:jc w:val="both"/>
        <w:rPr>
          <w:sz w:val="22"/>
          <w:szCs w:val="22"/>
          <w:lang w:val="en-GB"/>
        </w:rPr>
      </w:pPr>
      <w:r>
        <w:rPr>
          <w:sz w:val="22"/>
          <w:szCs w:val="22"/>
          <w:lang w:val="en-GB"/>
        </w:rPr>
        <w:t>At inception, t</w:t>
      </w:r>
      <w:r w:rsidR="00C54358">
        <w:rPr>
          <w:sz w:val="22"/>
          <w:szCs w:val="22"/>
          <w:lang w:val="en-GB"/>
        </w:rPr>
        <w:t xml:space="preserve">o </w:t>
      </w:r>
      <w:r w:rsidR="008D58D0">
        <w:rPr>
          <w:sz w:val="22"/>
          <w:szCs w:val="22"/>
          <w:lang w:val="en-GB"/>
        </w:rPr>
        <w:t>ensure adequate separation between the project oversight (Implementing Agency) and execution responsibilities</w:t>
      </w:r>
      <w:r w:rsidR="008D58D0" w:rsidRPr="0054742B">
        <w:rPr>
          <w:sz w:val="22"/>
          <w:szCs w:val="22"/>
          <w:lang w:val="en-GB"/>
        </w:rPr>
        <w:t xml:space="preserve"> </w:t>
      </w:r>
      <w:r w:rsidR="008D58D0">
        <w:rPr>
          <w:sz w:val="22"/>
          <w:szCs w:val="22"/>
          <w:lang w:val="en-GB"/>
        </w:rPr>
        <w:t xml:space="preserve">and </w:t>
      </w:r>
      <w:r w:rsidR="005A319E" w:rsidRPr="0054742B">
        <w:rPr>
          <w:sz w:val="22"/>
          <w:szCs w:val="22"/>
          <w:lang w:val="en-GB"/>
        </w:rPr>
        <w:t>further the alignment with the GEF funded project looking at the establishment of 14 Fisheries Refugia in the South China Sea executed by Southeast Asian Fisheries Development Center (SEAFDEC)</w:t>
      </w:r>
      <w:r w:rsidR="00907074">
        <w:rPr>
          <w:sz w:val="22"/>
          <w:szCs w:val="22"/>
          <w:lang w:val="en-GB"/>
        </w:rPr>
        <w:t>,</w:t>
      </w:r>
      <w:r>
        <w:rPr>
          <w:sz w:val="22"/>
          <w:szCs w:val="22"/>
          <w:lang w:val="en-GB"/>
        </w:rPr>
        <w:t xml:space="preserve"> the project implementation arrangement was strengthened as follows. T</w:t>
      </w:r>
      <w:r w:rsidR="005A319E" w:rsidRPr="0054742B">
        <w:rPr>
          <w:sz w:val="22"/>
          <w:szCs w:val="22"/>
          <w:lang w:val="en-GB"/>
        </w:rPr>
        <w:t>he Southeast Asian Fisheries Development Center (SEAFDEC) will house the regional Project Implementation Unit (PIU)</w:t>
      </w:r>
      <w:r w:rsidR="0010020A">
        <w:rPr>
          <w:sz w:val="22"/>
          <w:szCs w:val="22"/>
          <w:lang w:val="en-GB"/>
        </w:rPr>
        <w:t xml:space="preserve"> thereby facilitating synergies with the Fisheries Refugia Project Coordination Unit</w:t>
      </w:r>
      <w:r w:rsidR="005A319E" w:rsidRPr="0054742B">
        <w:rPr>
          <w:sz w:val="22"/>
          <w:szCs w:val="22"/>
          <w:lang w:val="en-GB"/>
        </w:rPr>
        <w:t xml:space="preserve">, whereas for strengthened compliance with the GEF preferred external execution modality and for accountability purpose, the United Nations Office of Project Services (UNOPS) has been identified </w:t>
      </w:r>
      <w:r>
        <w:rPr>
          <w:sz w:val="22"/>
          <w:szCs w:val="22"/>
          <w:lang w:val="en-GB"/>
        </w:rPr>
        <w:t xml:space="preserve">to </w:t>
      </w:r>
      <w:r w:rsidR="0010020A" w:rsidRPr="0010020A">
        <w:rPr>
          <w:sz w:val="22"/>
          <w:szCs w:val="22"/>
          <w:lang w:val="en-GB"/>
        </w:rPr>
        <w:t>engage implementing partners at the national level</w:t>
      </w:r>
      <w:r w:rsidR="0010020A">
        <w:rPr>
          <w:sz w:val="22"/>
          <w:szCs w:val="22"/>
          <w:lang w:val="en-GB"/>
        </w:rPr>
        <w:t xml:space="preserve"> as well as for coordinating the recruitment of the regional </w:t>
      </w:r>
      <w:r w:rsidR="0010020A" w:rsidRPr="0010020A">
        <w:rPr>
          <w:sz w:val="22"/>
          <w:szCs w:val="22"/>
          <w:lang w:val="en-GB"/>
        </w:rPr>
        <w:t>Project Implementation Unit (PIU) staff</w:t>
      </w:r>
      <w:r w:rsidRPr="0010020A">
        <w:rPr>
          <w:sz w:val="22"/>
          <w:szCs w:val="22"/>
          <w:lang w:val="en-GB"/>
        </w:rPr>
        <w:t xml:space="preserve">.  The project </w:t>
      </w:r>
      <w:r w:rsidR="005A319E" w:rsidRPr="0010020A">
        <w:rPr>
          <w:sz w:val="22"/>
          <w:szCs w:val="22"/>
          <w:lang w:val="en-GB"/>
        </w:rPr>
        <w:t xml:space="preserve">technical coordination </w:t>
      </w:r>
      <w:r w:rsidR="0010020A" w:rsidRPr="0010020A">
        <w:rPr>
          <w:sz w:val="22"/>
          <w:szCs w:val="22"/>
          <w:lang w:val="en-GB"/>
        </w:rPr>
        <w:t>will</w:t>
      </w:r>
      <w:r w:rsidR="005A319E" w:rsidRPr="0010020A">
        <w:rPr>
          <w:sz w:val="22"/>
          <w:szCs w:val="22"/>
          <w:lang w:val="en-GB"/>
        </w:rPr>
        <w:t xml:space="preserve"> take place through the </w:t>
      </w:r>
      <w:r w:rsidR="0010020A" w:rsidRPr="0010020A">
        <w:rPr>
          <w:sz w:val="22"/>
          <w:szCs w:val="22"/>
          <w:lang w:val="en-GB"/>
        </w:rPr>
        <w:t>PIU</w:t>
      </w:r>
      <w:r w:rsidR="005A319E" w:rsidRPr="0010020A">
        <w:rPr>
          <w:sz w:val="22"/>
          <w:szCs w:val="22"/>
          <w:lang w:val="en-GB"/>
        </w:rPr>
        <w:t>.</w:t>
      </w:r>
      <w:r w:rsidR="005A319E" w:rsidRPr="0054742B">
        <w:rPr>
          <w:sz w:val="22"/>
          <w:szCs w:val="22"/>
          <w:lang w:val="en-GB"/>
        </w:rPr>
        <w:t xml:space="preserve"> The COBSEA will continue in its role of inter-</w:t>
      </w:r>
      <w:r w:rsidR="005A319E" w:rsidRPr="00DE1DDE">
        <w:rPr>
          <w:sz w:val="22"/>
          <w:szCs w:val="22"/>
          <w:lang w:val="en-GB"/>
        </w:rPr>
        <w:t xml:space="preserve">governmental convening platform on the Seas of East Asia. </w:t>
      </w:r>
    </w:p>
    <w:p w14:paraId="0C33755F" w14:textId="77777777" w:rsidR="0054742B" w:rsidRPr="00DE1DDE" w:rsidRDefault="005A319E" w:rsidP="0054742B">
      <w:pPr>
        <w:numPr>
          <w:ilvl w:val="0"/>
          <w:numId w:val="3"/>
        </w:numPr>
        <w:spacing w:after="120"/>
        <w:ind w:left="0" w:firstLine="0"/>
        <w:jc w:val="both"/>
        <w:rPr>
          <w:sz w:val="22"/>
          <w:szCs w:val="22"/>
          <w:lang w:val="en-GB"/>
        </w:rPr>
      </w:pPr>
      <w:r w:rsidRPr="00DE1DDE">
        <w:rPr>
          <w:sz w:val="22"/>
          <w:szCs w:val="22"/>
          <w:lang w:val="en-GB"/>
        </w:rPr>
        <w:t>UNOPS is the operational arm of the United Nations and presently acts as the Executing Entity for a large number of GEF projects globally and in the East Asian region, including the GEF International Waters project in the Yellow Sea Large Marine Ecosystem. UNOPS possesses extensive expertise and experience in human resource management and contract management, and will take responsibility</w:t>
      </w:r>
      <w:r w:rsidR="00302676" w:rsidRPr="00DE1DDE">
        <w:rPr>
          <w:sz w:val="22"/>
          <w:szCs w:val="22"/>
          <w:lang w:val="en-GB"/>
        </w:rPr>
        <w:t>,</w:t>
      </w:r>
      <w:r w:rsidRPr="00DE1DDE">
        <w:rPr>
          <w:sz w:val="22"/>
          <w:szCs w:val="22"/>
          <w:lang w:val="en-GB"/>
        </w:rPr>
        <w:t xml:space="preserve"> in close consultation with United Nations Environment for the h</w:t>
      </w:r>
      <w:r w:rsidR="00302676" w:rsidRPr="00DE1DDE">
        <w:rPr>
          <w:sz w:val="22"/>
          <w:szCs w:val="22"/>
          <w:lang w:val="en-GB"/>
        </w:rPr>
        <w:t xml:space="preserve">iring of the professional personnel </w:t>
      </w:r>
      <w:r w:rsidRPr="00DE1DDE">
        <w:rPr>
          <w:sz w:val="22"/>
          <w:szCs w:val="22"/>
          <w:lang w:val="en-GB"/>
        </w:rPr>
        <w:t xml:space="preserve">of the regional Project Implementation Unit (PIU) and for the </w:t>
      </w:r>
      <w:r w:rsidR="00237908" w:rsidRPr="00DE1DDE">
        <w:rPr>
          <w:sz w:val="22"/>
          <w:szCs w:val="22"/>
          <w:lang w:val="en-GB"/>
        </w:rPr>
        <w:t xml:space="preserve">engagement </w:t>
      </w:r>
      <w:r w:rsidRPr="00DE1DDE">
        <w:rPr>
          <w:sz w:val="22"/>
          <w:szCs w:val="22"/>
          <w:lang w:val="en-GB"/>
        </w:rPr>
        <w:t xml:space="preserve">of approximately 41 </w:t>
      </w:r>
      <w:r w:rsidR="00237908" w:rsidRPr="00DE1DDE">
        <w:rPr>
          <w:sz w:val="22"/>
          <w:szCs w:val="22"/>
          <w:lang w:val="en-GB"/>
        </w:rPr>
        <w:t>implementing partners</w:t>
      </w:r>
      <w:r w:rsidRPr="00DE1DDE">
        <w:rPr>
          <w:sz w:val="22"/>
          <w:szCs w:val="22"/>
          <w:lang w:val="en-GB"/>
        </w:rPr>
        <w:t xml:space="preserve"> </w:t>
      </w:r>
      <w:r w:rsidR="00302676" w:rsidRPr="00DE1DDE">
        <w:rPr>
          <w:sz w:val="22"/>
          <w:szCs w:val="22"/>
          <w:lang w:val="en-GB"/>
        </w:rPr>
        <w:t>(</w:t>
      </w:r>
      <w:r w:rsidRPr="00DE1DDE">
        <w:rPr>
          <w:sz w:val="22"/>
          <w:szCs w:val="22"/>
          <w:lang w:val="en-GB"/>
        </w:rPr>
        <w:t>the Focal Ministries and National Institutions</w:t>
      </w:r>
      <w:r w:rsidR="00302676" w:rsidRPr="00DE1DDE">
        <w:rPr>
          <w:sz w:val="22"/>
          <w:szCs w:val="22"/>
          <w:lang w:val="en-GB"/>
        </w:rPr>
        <w:t>)</w:t>
      </w:r>
      <w:r w:rsidRPr="00DE1DDE">
        <w:rPr>
          <w:sz w:val="22"/>
          <w:szCs w:val="22"/>
          <w:lang w:val="en-GB"/>
        </w:rPr>
        <w:t xml:space="preserve"> executing activities at the national level in the six participating countries. As an external Executing </w:t>
      </w:r>
      <w:r w:rsidR="00302676" w:rsidRPr="00DE1DDE">
        <w:rPr>
          <w:sz w:val="22"/>
          <w:szCs w:val="22"/>
          <w:lang w:val="en-GB"/>
        </w:rPr>
        <w:t>agency</w:t>
      </w:r>
      <w:r w:rsidR="00237908" w:rsidRPr="00DE1DDE">
        <w:rPr>
          <w:sz w:val="22"/>
          <w:szCs w:val="22"/>
          <w:lang w:val="en-GB"/>
        </w:rPr>
        <w:t xml:space="preserve"> for UN Environment</w:t>
      </w:r>
      <w:r w:rsidRPr="00DE1DDE">
        <w:rPr>
          <w:sz w:val="22"/>
          <w:szCs w:val="22"/>
          <w:lang w:val="en-GB"/>
        </w:rPr>
        <w:t xml:space="preserve">, UNOPS would be contractually obligated to United Nations Environment and the participating countries and, would ensure the timely </w:t>
      </w:r>
      <w:r w:rsidR="00302676" w:rsidRPr="00DE1DDE">
        <w:rPr>
          <w:sz w:val="22"/>
          <w:szCs w:val="22"/>
          <w:lang w:val="en-GB"/>
        </w:rPr>
        <w:t>engagement of the implementing partners including the proce</w:t>
      </w:r>
      <w:r w:rsidRPr="00DE1DDE">
        <w:rPr>
          <w:sz w:val="22"/>
          <w:szCs w:val="22"/>
          <w:lang w:val="en-GB"/>
        </w:rPr>
        <w:t>ssing of fund transfers to national entities</w:t>
      </w:r>
      <w:r w:rsidR="00302676" w:rsidRPr="00DE1DDE">
        <w:rPr>
          <w:sz w:val="22"/>
          <w:szCs w:val="22"/>
          <w:lang w:val="en-GB"/>
        </w:rPr>
        <w:t xml:space="preserve"> under appropriate contractual modalities</w:t>
      </w:r>
      <w:r w:rsidRPr="00DE1DDE">
        <w:rPr>
          <w:sz w:val="22"/>
          <w:szCs w:val="22"/>
          <w:lang w:val="en-GB"/>
        </w:rPr>
        <w:t xml:space="preserve"> </w:t>
      </w:r>
      <w:r w:rsidR="00302676" w:rsidRPr="00DE1DDE">
        <w:rPr>
          <w:sz w:val="22"/>
          <w:szCs w:val="22"/>
          <w:lang w:val="en-GB"/>
        </w:rPr>
        <w:t>under</w:t>
      </w:r>
      <w:r w:rsidRPr="00DE1DDE">
        <w:rPr>
          <w:sz w:val="22"/>
          <w:szCs w:val="22"/>
          <w:lang w:val="en-GB"/>
        </w:rPr>
        <w:t xml:space="preserve"> the project and to meet the high-level business standards required to ensure the efficient operation of a complex project of this magnitude.</w:t>
      </w:r>
      <w:r w:rsidR="00302676" w:rsidRPr="00DE1DDE">
        <w:rPr>
          <w:sz w:val="22"/>
          <w:szCs w:val="22"/>
          <w:lang w:val="en-GB"/>
        </w:rPr>
        <w:t xml:space="preserve"> In executing the project UNOPS will apply its administrative framework.</w:t>
      </w:r>
      <w:r w:rsidRPr="00DE1DDE">
        <w:rPr>
          <w:sz w:val="22"/>
          <w:szCs w:val="22"/>
          <w:lang w:val="en-GB"/>
        </w:rPr>
        <w:t xml:space="preserve"> </w:t>
      </w:r>
    </w:p>
    <w:p w14:paraId="2D2A6A52" w14:textId="77777777" w:rsidR="00907074" w:rsidRDefault="00DE1DDE" w:rsidP="00DA4E06">
      <w:pPr>
        <w:numPr>
          <w:ilvl w:val="0"/>
          <w:numId w:val="3"/>
        </w:numPr>
        <w:spacing w:after="120"/>
        <w:ind w:left="0" w:firstLine="0"/>
        <w:jc w:val="both"/>
        <w:rPr>
          <w:sz w:val="22"/>
          <w:szCs w:val="22"/>
          <w:lang w:val="en-GB"/>
        </w:rPr>
      </w:pPr>
      <w:r w:rsidRPr="00907074">
        <w:rPr>
          <w:sz w:val="22"/>
          <w:szCs w:val="22"/>
          <w:lang w:val="en-GB"/>
        </w:rPr>
        <w:t>Having the Fisheries Refugia project and South China Sea SAP impementaion Unit co</w:t>
      </w:r>
      <w:r w:rsidR="00907074" w:rsidRPr="00907074">
        <w:rPr>
          <w:sz w:val="22"/>
          <w:szCs w:val="22"/>
          <w:lang w:val="en-GB"/>
        </w:rPr>
        <w:t>-h</w:t>
      </w:r>
      <w:r w:rsidRPr="00907074">
        <w:rPr>
          <w:sz w:val="22"/>
          <w:szCs w:val="22"/>
          <w:lang w:val="en-GB"/>
        </w:rPr>
        <w:t>o</w:t>
      </w:r>
      <w:r w:rsidR="00907074" w:rsidRPr="00907074">
        <w:rPr>
          <w:sz w:val="22"/>
          <w:szCs w:val="22"/>
          <w:lang w:val="en-GB"/>
        </w:rPr>
        <w:t>s</w:t>
      </w:r>
      <w:r w:rsidRPr="00907074">
        <w:rPr>
          <w:sz w:val="22"/>
          <w:szCs w:val="22"/>
          <w:lang w:val="en-GB"/>
        </w:rPr>
        <w:t xml:space="preserve">ted by SEAFDEC </w:t>
      </w:r>
      <w:r w:rsidR="005A319E" w:rsidRPr="00907074">
        <w:rPr>
          <w:sz w:val="22"/>
          <w:szCs w:val="22"/>
          <w:lang w:val="en-GB"/>
        </w:rPr>
        <w:t xml:space="preserve">will have the additional benefit of fostering synergy and complementarity between the two GEF projects as envisaged under the Strategic Action Programme. </w:t>
      </w:r>
      <w:r w:rsidRPr="00907074">
        <w:rPr>
          <w:sz w:val="22"/>
          <w:szCs w:val="22"/>
          <w:lang w:val="en-GB"/>
        </w:rPr>
        <w:t>T</w:t>
      </w:r>
      <w:r w:rsidR="005A319E" w:rsidRPr="00907074">
        <w:rPr>
          <w:sz w:val="22"/>
          <w:szCs w:val="22"/>
          <w:lang w:val="en-GB"/>
        </w:rPr>
        <w:t xml:space="preserve">he regional Project Implementation Unit (PIU) will </w:t>
      </w:r>
      <w:r w:rsidR="00907074" w:rsidRPr="00907074">
        <w:rPr>
          <w:sz w:val="22"/>
          <w:szCs w:val="22"/>
          <w:lang w:val="en-GB"/>
        </w:rPr>
        <w:t>be advise</w:t>
      </w:r>
      <w:r w:rsidR="00F22EE7">
        <w:rPr>
          <w:sz w:val="22"/>
          <w:szCs w:val="22"/>
          <w:lang w:val="en-GB"/>
        </w:rPr>
        <w:t xml:space="preserve"> </w:t>
      </w:r>
      <w:r w:rsidR="00907074" w:rsidRPr="00907074">
        <w:rPr>
          <w:sz w:val="22"/>
          <w:szCs w:val="22"/>
          <w:lang w:val="en-GB"/>
        </w:rPr>
        <w:t xml:space="preserve">the SCS SAP Implementation Committee (i.e. Project Steering Committee) with substantive oversight from the responsible Task Manager at UN Environment; it will </w:t>
      </w:r>
      <w:r w:rsidR="005A319E" w:rsidRPr="00907074">
        <w:rPr>
          <w:sz w:val="22"/>
          <w:szCs w:val="22"/>
          <w:lang w:val="en-GB"/>
        </w:rPr>
        <w:t>not take any instruction from SEAFDEC</w:t>
      </w:r>
      <w:r w:rsidRPr="00907074">
        <w:rPr>
          <w:sz w:val="22"/>
          <w:szCs w:val="22"/>
          <w:lang w:val="en-GB"/>
        </w:rPr>
        <w:t xml:space="preserve">. </w:t>
      </w:r>
    </w:p>
    <w:p w14:paraId="4F3D9717" w14:textId="77777777" w:rsidR="005A319E" w:rsidRPr="00907074" w:rsidRDefault="005A319E" w:rsidP="00DA4E06">
      <w:pPr>
        <w:numPr>
          <w:ilvl w:val="0"/>
          <w:numId w:val="3"/>
        </w:numPr>
        <w:spacing w:after="120"/>
        <w:ind w:left="0" w:firstLine="0"/>
        <w:jc w:val="both"/>
        <w:rPr>
          <w:sz w:val="22"/>
          <w:szCs w:val="22"/>
          <w:lang w:val="en-GB"/>
        </w:rPr>
      </w:pPr>
      <w:r w:rsidRPr="00907074">
        <w:rPr>
          <w:sz w:val="22"/>
          <w:szCs w:val="22"/>
          <w:lang w:val="en-GB"/>
        </w:rPr>
        <w:t xml:space="preserve">The proposed strengthened arrangement will help distance project execution from </w:t>
      </w:r>
      <w:r w:rsidR="00DE1DDE" w:rsidRPr="00907074">
        <w:rPr>
          <w:sz w:val="22"/>
          <w:szCs w:val="22"/>
          <w:lang w:val="en-GB"/>
        </w:rPr>
        <w:t xml:space="preserve">the UN </w:t>
      </w:r>
      <w:r w:rsidRPr="00907074">
        <w:rPr>
          <w:sz w:val="22"/>
          <w:szCs w:val="22"/>
          <w:lang w:val="en-GB"/>
        </w:rPr>
        <w:t>Environment and therefore comply with the GEF’s External Execution policy, while also ensuring a rapprochement with the Fisheries Refugia project</w:t>
      </w:r>
      <w:r w:rsidR="00DE1DDE" w:rsidRPr="00907074">
        <w:rPr>
          <w:sz w:val="22"/>
          <w:szCs w:val="22"/>
          <w:lang w:val="en-GB"/>
        </w:rPr>
        <w:t xml:space="preserve">. It </w:t>
      </w:r>
      <w:r w:rsidRPr="00907074">
        <w:rPr>
          <w:sz w:val="22"/>
          <w:szCs w:val="22"/>
          <w:lang w:val="en-GB"/>
        </w:rPr>
        <w:t>constitute</w:t>
      </w:r>
      <w:r w:rsidR="00DE1DDE" w:rsidRPr="00907074">
        <w:rPr>
          <w:sz w:val="22"/>
          <w:szCs w:val="22"/>
          <w:lang w:val="en-GB"/>
        </w:rPr>
        <w:t>s</w:t>
      </w:r>
      <w:r w:rsidRPr="00907074">
        <w:rPr>
          <w:sz w:val="22"/>
          <w:szCs w:val="22"/>
          <w:lang w:val="en-GB"/>
        </w:rPr>
        <w:t xml:space="preserve"> a pragmatic course of action in response to current circumstances</w:t>
      </w:r>
      <w:r w:rsidR="00DE1DDE" w:rsidRPr="00907074">
        <w:rPr>
          <w:sz w:val="22"/>
          <w:szCs w:val="22"/>
          <w:lang w:val="en-GB"/>
        </w:rPr>
        <w:t xml:space="preserve">. </w:t>
      </w:r>
      <w:r w:rsidRPr="00907074">
        <w:rPr>
          <w:sz w:val="22"/>
          <w:szCs w:val="22"/>
          <w:lang w:val="en-GB"/>
        </w:rPr>
        <w:t xml:space="preserve">COBSEA </w:t>
      </w:r>
      <w:r w:rsidR="00DE1DDE" w:rsidRPr="00907074">
        <w:rPr>
          <w:sz w:val="22"/>
          <w:szCs w:val="22"/>
          <w:lang w:val="en-GB"/>
        </w:rPr>
        <w:t xml:space="preserve">will continue to play its role </w:t>
      </w:r>
      <w:r w:rsidRPr="00907074">
        <w:rPr>
          <w:sz w:val="22"/>
          <w:szCs w:val="22"/>
          <w:lang w:val="en-GB"/>
        </w:rPr>
        <w:t xml:space="preserve">as an intergovernmental platform where the South China Sea project progress and other matters will be shared biennially </w:t>
      </w:r>
      <w:r w:rsidR="00DE1DDE" w:rsidRPr="00907074">
        <w:rPr>
          <w:sz w:val="22"/>
          <w:szCs w:val="22"/>
          <w:lang w:val="en-GB"/>
        </w:rPr>
        <w:t xml:space="preserve">for uptake regionally </w:t>
      </w:r>
      <w:r w:rsidRPr="00907074">
        <w:rPr>
          <w:sz w:val="22"/>
          <w:szCs w:val="22"/>
          <w:lang w:val="en-GB"/>
        </w:rPr>
        <w:t xml:space="preserve">as </w:t>
      </w:r>
      <w:r w:rsidR="008D58D0" w:rsidRPr="00907074">
        <w:rPr>
          <w:sz w:val="22"/>
          <w:szCs w:val="22"/>
          <w:lang w:val="en-GB"/>
        </w:rPr>
        <w:t>successfully done</w:t>
      </w:r>
      <w:r w:rsidRPr="00907074">
        <w:rPr>
          <w:sz w:val="22"/>
          <w:szCs w:val="22"/>
          <w:lang w:val="en-GB"/>
        </w:rPr>
        <w:t xml:space="preserve"> during the previous phase which resulted in the formulation of the Strategic Action Programme.  </w:t>
      </w:r>
    </w:p>
    <w:p w14:paraId="08DA3C41" w14:textId="77777777" w:rsidR="00C54358" w:rsidRDefault="00C54358" w:rsidP="00C54358">
      <w:pPr>
        <w:spacing w:after="120"/>
        <w:rPr>
          <w:b/>
          <w:i/>
          <w:sz w:val="22"/>
          <w:szCs w:val="22"/>
          <w:lang w:val="en-GB"/>
        </w:rPr>
      </w:pPr>
      <w:r w:rsidRPr="00132162">
        <w:rPr>
          <w:b/>
          <w:i/>
          <w:sz w:val="22"/>
          <w:szCs w:val="22"/>
          <w:lang w:val="en-GB"/>
        </w:rPr>
        <w:t>Regional decision-making and planning</w:t>
      </w:r>
    </w:p>
    <w:p w14:paraId="3746367F" w14:textId="77777777" w:rsidR="00B91E7E" w:rsidRDefault="00B91E7E" w:rsidP="00511BAA">
      <w:pPr>
        <w:numPr>
          <w:ilvl w:val="0"/>
          <w:numId w:val="3"/>
        </w:numPr>
        <w:spacing w:after="120"/>
        <w:ind w:left="0" w:firstLine="0"/>
        <w:jc w:val="both"/>
        <w:rPr>
          <w:sz w:val="22"/>
          <w:szCs w:val="22"/>
          <w:lang w:val="en-GB"/>
        </w:rPr>
      </w:pPr>
      <w:r w:rsidRPr="00B91E7E">
        <w:rPr>
          <w:sz w:val="22"/>
          <w:szCs w:val="22"/>
          <w:lang w:val="en-GB"/>
        </w:rPr>
        <w:t xml:space="preserve">The </w:t>
      </w:r>
      <w:r w:rsidR="0043592D" w:rsidRPr="00DE1DDE">
        <w:rPr>
          <w:sz w:val="22"/>
          <w:szCs w:val="22"/>
          <w:lang w:val="en-GB"/>
        </w:rPr>
        <w:t>P</w:t>
      </w:r>
      <w:r w:rsidRPr="00DE1DDE">
        <w:rPr>
          <w:sz w:val="22"/>
          <w:szCs w:val="22"/>
          <w:lang w:val="en-GB"/>
        </w:rPr>
        <w:t xml:space="preserve">IU </w:t>
      </w:r>
      <w:r w:rsidR="00DE1DDE" w:rsidRPr="00DE1DDE">
        <w:rPr>
          <w:sz w:val="22"/>
          <w:szCs w:val="22"/>
          <w:lang w:val="en-GB"/>
        </w:rPr>
        <w:t>h</w:t>
      </w:r>
      <w:r w:rsidR="00DE1DDE">
        <w:rPr>
          <w:sz w:val="22"/>
          <w:szCs w:val="22"/>
          <w:lang w:val="en-GB"/>
        </w:rPr>
        <w:t>osted by SEAFDEC will</w:t>
      </w:r>
      <w:r w:rsidRPr="00B91E7E">
        <w:rPr>
          <w:sz w:val="22"/>
          <w:szCs w:val="22"/>
          <w:lang w:val="en-GB"/>
        </w:rPr>
        <w:t xml:space="preserve"> have responsibility for the day-to-day management of project activities, and oversight of SAP implementation, including liaison with the National Focal Ministries (ministries responsible for environmental matters), the Specialised Executing Agencies at national level and other partners involved in SAP implementation. </w:t>
      </w:r>
      <w:r w:rsidRPr="00511BAA">
        <w:rPr>
          <w:sz w:val="22"/>
          <w:szCs w:val="22"/>
          <w:lang w:val="en-GB"/>
        </w:rPr>
        <w:t xml:space="preserve">The work of the </w:t>
      </w:r>
      <w:r w:rsidR="0043592D" w:rsidRPr="008D58D0">
        <w:rPr>
          <w:sz w:val="22"/>
          <w:szCs w:val="22"/>
          <w:lang w:val="en-GB"/>
        </w:rPr>
        <w:t>P</w:t>
      </w:r>
      <w:r w:rsidRPr="008D58D0">
        <w:rPr>
          <w:sz w:val="22"/>
          <w:szCs w:val="22"/>
          <w:lang w:val="en-GB"/>
        </w:rPr>
        <w:t xml:space="preserve">IU shall be directed by </w:t>
      </w:r>
      <w:r w:rsidRPr="00511BAA">
        <w:rPr>
          <w:sz w:val="22"/>
          <w:szCs w:val="22"/>
          <w:lang w:val="en-GB"/>
        </w:rPr>
        <w:t>the South China Sea Strategic Action Programme Implementation Committee (SAP-IC) which shall meet annually and have overall responsibility for the implementation of the SAP and decisions regarding project work plans, timetables, budgets and expenditure</w:t>
      </w:r>
      <w:r w:rsidRPr="00F91284">
        <w:rPr>
          <w:rStyle w:val="FootnoteReference"/>
          <w:sz w:val="22"/>
          <w:szCs w:val="22"/>
          <w:lang w:val="en-GB"/>
        </w:rPr>
        <w:footnoteReference w:id="80"/>
      </w:r>
      <w:r w:rsidRPr="00511BAA">
        <w:rPr>
          <w:sz w:val="22"/>
          <w:szCs w:val="22"/>
          <w:lang w:val="en-GB"/>
        </w:rPr>
        <w:t>. The SAP-IC shall receive advice and recommendations on scientific and technical matters from a Regional Scientific and Technical Committee (RSTC) composed of National Technical Focal Points, the Chairpersons of the regional working groups and task forces together with up to six experts resident in the region. The RSTC in turn shall receive advice and recommendations from the participating countries and the regional bodies and endeavour to secure consensus on scientific and technical matters before advising the SAP-IC on future courses of action.</w:t>
      </w:r>
    </w:p>
    <w:p w14:paraId="1BA57869" w14:textId="77777777" w:rsidR="00511BAA" w:rsidRDefault="00511BAA" w:rsidP="00132162">
      <w:pPr>
        <w:numPr>
          <w:ilvl w:val="0"/>
          <w:numId w:val="3"/>
        </w:numPr>
        <w:spacing w:after="120"/>
        <w:ind w:left="0" w:firstLine="0"/>
        <w:jc w:val="both"/>
        <w:rPr>
          <w:sz w:val="22"/>
          <w:szCs w:val="22"/>
          <w:lang w:val="en-GB"/>
        </w:rPr>
      </w:pPr>
      <w:r>
        <w:rPr>
          <w:sz w:val="22"/>
          <w:szCs w:val="22"/>
          <w:lang w:val="en-GB"/>
        </w:rPr>
        <w:t>The SAP-IC</w:t>
      </w:r>
      <w:r w:rsidRPr="00511BAA">
        <w:rPr>
          <w:sz w:val="22"/>
          <w:szCs w:val="22"/>
          <w:lang w:val="en-GB"/>
        </w:rPr>
        <w:t xml:space="preserve">’s role will be to provide managerial and governance advice to the project, and to guide the SAP-IU in the implementation and monitoring of the overall regional project. The SCS-SAP Implementation Committee (SAP-IC) will also provide a regional forum for reviewing and resolving national concerns, reviewing and approving annual work plans and budgets, and provide a regional forum for stakeholder participation. One of the first activities during full project implementation will be to reconfirm and/or reconstitute the membership of the </w:t>
      </w:r>
      <w:r>
        <w:rPr>
          <w:sz w:val="22"/>
          <w:szCs w:val="22"/>
          <w:lang w:val="en-GB"/>
        </w:rPr>
        <w:t>SAP-IC</w:t>
      </w:r>
      <w:r w:rsidRPr="00511BAA">
        <w:rPr>
          <w:sz w:val="22"/>
          <w:szCs w:val="22"/>
          <w:lang w:val="en-GB"/>
        </w:rPr>
        <w:t xml:space="preserve">, agree on meeting procedures, and finalise Terms of Reference for the </w:t>
      </w:r>
      <w:r>
        <w:rPr>
          <w:sz w:val="22"/>
          <w:szCs w:val="22"/>
          <w:lang w:val="en-GB"/>
        </w:rPr>
        <w:t>SAP-IC</w:t>
      </w:r>
      <w:r w:rsidRPr="00511BAA">
        <w:rPr>
          <w:sz w:val="22"/>
          <w:szCs w:val="22"/>
          <w:lang w:val="en-GB"/>
        </w:rPr>
        <w:t>.</w:t>
      </w:r>
    </w:p>
    <w:p w14:paraId="3609188E" w14:textId="77777777" w:rsidR="00511BAA" w:rsidRDefault="00511BAA" w:rsidP="00132162">
      <w:pPr>
        <w:numPr>
          <w:ilvl w:val="0"/>
          <w:numId w:val="3"/>
        </w:numPr>
        <w:spacing w:after="120"/>
        <w:ind w:left="0" w:firstLine="0"/>
        <w:jc w:val="both"/>
        <w:rPr>
          <w:sz w:val="22"/>
          <w:szCs w:val="22"/>
          <w:lang w:val="en-GB"/>
        </w:rPr>
      </w:pPr>
      <w:r w:rsidRPr="00511BAA">
        <w:rPr>
          <w:sz w:val="22"/>
          <w:szCs w:val="22"/>
          <w:lang w:val="en-GB"/>
        </w:rPr>
        <w:t xml:space="preserve">The SCS-SAP Implementation Committee will meet on an annual basis during the operational phase of the project to guide the timely execution of project activities. In addition to the review and approval of reports from the SAP-IU regarding the outputs and outcomes of project activities, the SAP-IC assist the SAP-IU in ensuring co-ordination among national site-based activities and other national level activities to further enhance national capacity to achieve the targets of the Strategic Action Programme for the South China Sea. It will also review stakeholder involvement in project activities and take action where necessary to ensure appropriate levels of government, NGO, community, and private sector engagement; ensure compatibility between the activities of site and other national level activities; approve annual progress reports </w:t>
      </w:r>
      <w:r w:rsidR="00907074">
        <w:rPr>
          <w:sz w:val="22"/>
          <w:szCs w:val="22"/>
          <w:lang w:val="en-GB"/>
        </w:rPr>
        <w:t xml:space="preserve">to be shared with </w:t>
      </w:r>
      <w:r w:rsidR="00907074" w:rsidRPr="00511BAA">
        <w:rPr>
          <w:sz w:val="22"/>
          <w:szCs w:val="22"/>
          <w:lang w:val="en-GB"/>
        </w:rPr>
        <w:t xml:space="preserve">the Implementing Agency UNEP and the GEF Secretariat </w:t>
      </w:r>
      <w:r w:rsidR="00907074">
        <w:rPr>
          <w:sz w:val="22"/>
          <w:szCs w:val="22"/>
          <w:lang w:val="en-GB"/>
        </w:rPr>
        <w:t xml:space="preserve">and </w:t>
      </w:r>
      <w:r w:rsidRPr="00511BAA">
        <w:rPr>
          <w:sz w:val="22"/>
          <w:szCs w:val="22"/>
          <w:lang w:val="en-GB"/>
        </w:rPr>
        <w:t>for transmission to the Inter</w:t>
      </w:r>
      <w:r w:rsidR="00907074">
        <w:rPr>
          <w:sz w:val="22"/>
          <w:szCs w:val="22"/>
          <w:lang w:val="en-GB"/>
        </w:rPr>
        <w:t>governmental Meetings of COBSEA</w:t>
      </w:r>
      <w:r w:rsidRPr="00511BAA">
        <w:rPr>
          <w:sz w:val="22"/>
          <w:szCs w:val="22"/>
          <w:lang w:val="en-GB"/>
        </w:rPr>
        <w:t>; assist the SAP Implementation Unit in leveraging required project co-financing and additional funds that may be required from time to time; and work with the SAP-IU and National Lead Agencies in mainstreaming best practices and the replication of project successes at the national level.</w:t>
      </w:r>
    </w:p>
    <w:p w14:paraId="15FFD335" w14:textId="77777777" w:rsidR="00511BAA" w:rsidRDefault="00511BAA" w:rsidP="00132162">
      <w:pPr>
        <w:numPr>
          <w:ilvl w:val="0"/>
          <w:numId w:val="3"/>
        </w:numPr>
        <w:spacing w:after="120"/>
        <w:ind w:left="0" w:firstLine="0"/>
        <w:jc w:val="both"/>
        <w:rPr>
          <w:sz w:val="22"/>
          <w:szCs w:val="22"/>
          <w:lang w:val="en-GB"/>
        </w:rPr>
      </w:pPr>
      <w:r w:rsidRPr="00511BAA">
        <w:rPr>
          <w:sz w:val="22"/>
          <w:szCs w:val="22"/>
          <w:lang w:val="en-GB"/>
        </w:rPr>
        <w:t xml:space="preserve">Full members of the </w:t>
      </w:r>
      <w:r>
        <w:rPr>
          <w:sz w:val="22"/>
          <w:szCs w:val="22"/>
          <w:lang w:val="en-GB"/>
        </w:rPr>
        <w:t xml:space="preserve">SAP-IC </w:t>
      </w:r>
      <w:r w:rsidRPr="00511BAA">
        <w:rPr>
          <w:sz w:val="22"/>
          <w:szCs w:val="22"/>
          <w:lang w:val="en-GB"/>
        </w:rPr>
        <w:t>shall consist solely of representatives of all participating countries in the project. Each country shall designate two members: one member shall be the Chairperson of the policy-level, Inter-Ministry Committee; the other shall be the Chairperson of the National Technical Working Group. The UN</w:t>
      </w:r>
      <w:r w:rsidR="00907074">
        <w:rPr>
          <w:sz w:val="22"/>
          <w:szCs w:val="22"/>
          <w:lang w:val="en-GB"/>
        </w:rPr>
        <w:t xml:space="preserve"> Environment </w:t>
      </w:r>
      <w:r w:rsidRPr="00511BAA">
        <w:rPr>
          <w:sz w:val="22"/>
          <w:szCs w:val="22"/>
          <w:lang w:val="en-GB"/>
        </w:rPr>
        <w:t>Task Manager will participate in SAP-I</w:t>
      </w:r>
      <w:r>
        <w:rPr>
          <w:sz w:val="22"/>
          <w:szCs w:val="22"/>
          <w:lang w:val="en-GB"/>
        </w:rPr>
        <w:t>C</w:t>
      </w:r>
      <w:r w:rsidRPr="00511BAA">
        <w:rPr>
          <w:sz w:val="22"/>
          <w:szCs w:val="22"/>
          <w:lang w:val="en-GB"/>
        </w:rPr>
        <w:t xml:space="preserve"> meetings and the </w:t>
      </w:r>
      <w:r w:rsidR="00907074">
        <w:rPr>
          <w:sz w:val="22"/>
          <w:szCs w:val="22"/>
          <w:lang w:val="en-GB"/>
        </w:rPr>
        <w:t>Regional Project Coordinator</w:t>
      </w:r>
      <w:r w:rsidRPr="00511BAA">
        <w:rPr>
          <w:sz w:val="22"/>
          <w:szCs w:val="22"/>
          <w:lang w:val="en-GB"/>
        </w:rPr>
        <w:t xml:space="preserve"> shall act as Secretary to the meetings of the Committee. The </w:t>
      </w:r>
      <w:r>
        <w:rPr>
          <w:sz w:val="22"/>
          <w:szCs w:val="22"/>
          <w:lang w:val="en-GB"/>
        </w:rPr>
        <w:t>SAP-IU</w:t>
      </w:r>
      <w:r w:rsidRPr="00511BAA">
        <w:rPr>
          <w:sz w:val="22"/>
          <w:szCs w:val="22"/>
          <w:lang w:val="en-GB"/>
        </w:rPr>
        <w:t xml:space="preserve"> shall convene regular annual meetings of the </w:t>
      </w:r>
      <w:r>
        <w:rPr>
          <w:sz w:val="22"/>
          <w:szCs w:val="22"/>
          <w:lang w:val="en-GB"/>
        </w:rPr>
        <w:t>SAP-IC</w:t>
      </w:r>
      <w:r w:rsidRPr="00511BAA">
        <w:rPr>
          <w:sz w:val="22"/>
          <w:szCs w:val="22"/>
          <w:lang w:val="en-GB"/>
        </w:rPr>
        <w:t xml:space="preserve"> immediately following the Regional Scientific and Technical Committee meeting when the latter is convened at an appropriate time. The Committee shall operate and take decisions on the basis of consensus, regarding any matter relating to project execution that has regional significance.</w:t>
      </w:r>
    </w:p>
    <w:p w14:paraId="12566702" w14:textId="77777777" w:rsidR="00511BAA" w:rsidRPr="00132162" w:rsidRDefault="00511BAA" w:rsidP="00511BAA">
      <w:pPr>
        <w:spacing w:after="120"/>
        <w:jc w:val="both"/>
        <w:rPr>
          <w:b/>
          <w:i/>
          <w:sz w:val="22"/>
          <w:szCs w:val="22"/>
          <w:lang w:val="en-GB"/>
        </w:rPr>
      </w:pPr>
      <w:r w:rsidRPr="00132162">
        <w:rPr>
          <w:b/>
          <w:i/>
          <w:sz w:val="22"/>
          <w:szCs w:val="22"/>
          <w:lang w:val="en-GB"/>
        </w:rPr>
        <w:t>Regional consolidation of scientific and technical knowledge for planning</w:t>
      </w:r>
    </w:p>
    <w:p w14:paraId="17BA6789" w14:textId="77777777" w:rsidR="00511BAA" w:rsidRDefault="00511BAA" w:rsidP="00132162">
      <w:pPr>
        <w:numPr>
          <w:ilvl w:val="0"/>
          <w:numId w:val="3"/>
        </w:numPr>
        <w:spacing w:after="120"/>
        <w:ind w:left="0" w:firstLine="0"/>
        <w:jc w:val="both"/>
        <w:rPr>
          <w:sz w:val="22"/>
          <w:szCs w:val="22"/>
          <w:lang w:val="en-GB"/>
        </w:rPr>
      </w:pPr>
      <w:r w:rsidRPr="00511BAA">
        <w:rPr>
          <w:sz w:val="22"/>
          <w:szCs w:val="22"/>
          <w:lang w:val="en-GB"/>
        </w:rPr>
        <w:t>A Regional Scientific and Technical Committee (RSTC) will be established with responsibility for overseeing the scientific and technical elements of the project; ensuring effective implementation of activities undertaken during project execution; and providing sound scientific and technical advice to the SCS-SAP Implementation Committee. The RSTC will also be responsible for ensuring that scientific and technical aspects of SCS-S</w:t>
      </w:r>
      <w:r w:rsidR="00907074">
        <w:rPr>
          <w:sz w:val="22"/>
          <w:szCs w:val="22"/>
          <w:lang w:val="en-GB"/>
        </w:rPr>
        <w:t>AP Implementation project meet i</w:t>
      </w:r>
      <w:r w:rsidRPr="00511BAA">
        <w:rPr>
          <w:sz w:val="22"/>
          <w:szCs w:val="22"/>
          <w:lang w:val="en-GB"/>
        </w:rPr>
        <w:t>nternational standards. Specifically, it will review the substantive activities of the project to: (1) reduce habitat degradation and loss via national and local reforms to achieve Strategic Action Programme targets for coastal habitat management in the South China Sea; (2) strengthen knowledge-based planning for the management of coastal habitats and land-based pollution to reduce environmental degradation of the South China Sea; and (3) facilitate regional and national level integration and cooperation for implementation of the South China Sea Strategic Action Programme.</w:t>
      </w:r>
    </w:p>
    <w:p w14:paraId="6522A1E6" w14:textId="77777777" w:rsidR="00511BAA" w:rsidRDefault="00511BAA" w:rsidP="00511BAA">
      <w:pPr>
        <w:numPr>
          <w:ilvl w:val="0"/>
          <w:numId w:val="3"/>
        </w:numPr>
        <w:spacing w:after="120"/>
        <w:ind w:left="0" w:firstLine="0"/>
        <w:jc w:val="both"/>
        <w:rPr>
          <w:sz w:val="22"/>
          <w:szCs w:val="22"/>
          <w:lang w:val="en-GB"/>
        </w:rPr>
      </w:pPr>
      <w:r w:rsidRPr="00511BAA">
        <w:rPr>
          <w:sz w:val="22"/>
          <w:szCs w:val="22"/>
          <w:lang w:val="en-GB"/>
        </w:rPr>
        <w:t>The RSTC will receive and review reports, data and information from national level activities of the project and oversee the regional syntheses of this information to identify overall needs and priorities for strengthening scientific and technical support to Strategic Action Programme implementation. It will also comment on drafts of national policies and/or action frameworks and advise the SAP-IU and National Technical Focal Points of the need for public awareness and information materials concerning efforts to reverse environmental degradation trends in the South China</w:t>
      </w:r>
      <w:r w:rsidR="00D9013B">
        <w:rPr>
          <w:sz w:val="22"/>
          <w:szCs w:val="22"/>
          <w:lang w:val="en-GB"/>
        </w:rPr>
        <w:t xml:space="preserve"> Sea. The RSTC shall consist of</w:t>
      </w:r>
      <w:r w:rsidRPr="00511BAA">
        <w:rPr>
          <w:sz w:val="22"/>
          <w:szCs w:val="22"/>
          <w:lang w:val="en-GB"/>
        </w:rPr>
        <w:t xml:space="preserve"> the Chairpersons of the National Technical Working Groups (NTWGs); the Chairpersons of the Regional Working Groups (RWGs) and Regional Task Forces (RTFs); up to 5 selected regional experts; and the </w:t>
      </w:r>
      <w:r w:rsidR="00D9013B">
        <w:rPr>
          <w:sz w:val="22"/>
          <w:szCs w:val="22"/>
          <w:lang w:val="en-GB"/>
        </w:rPr>
        <w:t xml:space="preserve">Regional </w:t>
      </w:r>
      <w:r w:rsidRPr="00511BAA">
        <w:rPr>
          <w:sz w:val="22"/>
          <w:szCs w:val="22"/>
          <w:lang w:val="en-GB"/>
        </w:rPr>
        <w:t xml:space="preserve">Project </w:t>
      </w:r>
      <w:r w:rsidR="00D9013B">
        <w:rPr>
          <w:sz w:val="22"/>
          <w:szCs w:val="22"/>
          <w:lang w:val="en-GB"/>
        </w:rPr>
        <w:t xml:space="preserve">Coordinator of </w:t>
      </w:r>
      <w:r w:rsidRPr="00511BAA">
        <w:rPr>
          <w:sz w:val="22"/>
          <w:szCs w:val="22"/>
          <w:lang w:val="en-GB"/>
        </w:rPr>
        <w:t xml:space="preserve">SCS-SAP Implementation Unit. The SCS-SAP Implementation Unit, in consultation with National Technical Focal Points, shall nominate no more than 5 regional experts to ensure a balance of expertise and specialisation consistent with the mandate of the Committee. The </w:t>
      </w:r>
      <w:r>
        <w:rPr>
          <w:sz w:val="22"/>
          <w:szCs w:val="22"/>
          <w:lang w:val="en-GB"/>
        </w:rPr>
        <w:t>RSTC</w:t>
      </w:r>
      <w:r w:rsidRPr="00511BAA">
        <w:rPr>
          <w:sz w:val="22"/>
          <w:szCs w:val="22"/>
          <w:lang w:val="en-GB"/>
        </w:rPr>
        <w:t xml:space="preserve"> will operate and take decisions on the basis of consensus, regarding any matter relating to project execution that has regional significance.</w:t>
      </w:r>
    </w:p>
    <w:p w14:paraId="7CA9D80E" w14:textId="77777777" w:rsidR="00511BAA" w:rsidRPr="00132162" w:rsidRDefault="00511BAA" w:rsidP="00511BAA">
      <w:pPr>
        <w:spacing w:after="120"/>
        <w:jc w:val="both"/>
        <w:rPr>
          <w:b/>
          <w:i/>
          <w:sz w:val="22"/>
          <w:szCs w:val="22"/>
          <w:lang w:val="en-GB"/>
        </w:rPr>
      </w:pPr>
      <w:r w:rsidRPr="00132162">
        <w:rPr>
          <w:b/>
          <w:i/>
          <w:sz w:val="22"/>
          <w:szCs w:val="22"/>
          <w:lang w:val="en-GB"/>
        </w:rPr>
        <w:t>Generating regional scientific and technical knowledge</w:t>
      </w:r>
    </w:p>
    <w:p w14:paraId="1AD299AF" w14:textId="77777777" w:rsidR="00511BAA" w:rsidRDefault="00511BAA" w:rsidP="00132162">
      <w:pPr>
        <w:numPr>
          <w:ilvl w:val="0"/>
          <w:numId w:val="3"/>
        </w:numPr>
        <w:spacing w:after="120"/>
        <w:ind w:left="0" w:firstLine="0"/>
        <w:jc w:val="both"/>
        <w:rPr>
          <w:sz w:val="22"/>
          <w:szCs w:val="22"/>
          <w:lang w:val="en-GB"/>
        </w:rPr>
      </w:pPr>
      <w:r w:rsidRPr="00511BAA">
        <w:rPr>
          <w:sz w:val="22"/>
          <w:szCs w:val="22"/>
          <w:lang w:val="en-GB"/>
        </w:rPr>
        <w:t>To facilitate the achievement of the Strategic Action Programme targets a Regional Working Group on Mangroves (RWG-M), Regional Working Group on Coral Reefs (RWG-CR), Regional Working Group on Seagrass, Regional Working Group on Wetlands (RWG-W) and Regional Working Group on Land-based Pollution (RWG-LbP) shall be established with overall responsibility for: co-ordinating the work of the respective Specialized Executing Agency established in each of the participating countries; ensuring effective implementation of project activities undertaken in the context of the achievement of the SAP targets of the project; and to provide a mechanism for exchange of information and experience of scientific and technical activities in each country relevant to the specific coastal habitats and land-based pollution.</w:t>
      </w:r>
    </w:p>
    <w:p w14:paraId="1C5E8726" w14:textId="77777777" w:rsidR="00511BAA" w:rsidRDefault="00511BAA" w:rsidP="00132162">
      <w:pPr>
        <w:numPr>
          <w:ilvl w:val="0"/>
          <w:numId w:val="3"/>
        </w:numPr>
        <w:spacing w:after="120"/>
        <w:ind w:left="0" w:firstLine="0"/>
        <w:jc w:val="both"/>
        <w:rPr>
          <w:sz w:val="22"/>
          <w:szCs w:val="22"/>
          <w:lang w:val="en-GB"/>
        </w:rPr>
      </w:pPr>
      <w:r w:rsidRPr="00511BAA">
        <w:rPr>
          <w:sz w:val="22"/>
          <w:szCs w:val="22"/>
          <w:lang w:val="en-GB"/>
        </w:rPr>
        <w:t>Examples of the work to be undertaken by the Regional Working Groups on coastal habitats include: the update, in collaboration with national organs of the project, the regional SCS meta-database and GIS, including meta-data on biodiversity and the results of research pertaining to this project; the provision of guidance on the development of public awareness and information materials concerning the national and regional importance of such ecosystems; the update of regional data sets relating to the economic valuation of coastal habitat goods and services with a view to incorporation of such valuations in national economic and development planning; the review of reports, data and information from the national committees and compile regional syntheses regarding habitat management needs and priorities; develop guidelines regarding best practices for sustainable coastal habitat management for adoption and application at national level in participating countries; the formulation of recommendations, for adoption by the RSTC, the proposed targets and timelines that may be included in a revised Strategic Action programme in order to achieve, sustainable management of coastal habitats of the South China Sea in the longer-term.</w:t>
      </w:r>
    </w:p>
    <w:p w14:paraId="71737599" w14:textId="77777777" w:rsidR="00511BAA" w:rsidRDefault="00511BAA" w:rsidP="00132162">
      <w:pPr>
        <w:numPr>
          <w:ilvl w:val="0"/>
          <w:numId w:val="3"/>
        </w:numPr>
        <w:spacing w:after="120"/>
        <w:ind w:left="0" w:firstLine="0"/>
        <w:jc w:val="both"/>
        <w:rPr>
          <w:sz w:val="22"/>
          <w:szCs w:val="22"/>
          <w:lang w:val="en-GB"/>
        </w:rPr>
      </w:pPr>
      <w:r w:rsidRPr="00511BAA">
        <w:rPr>
          <w:sz w:val="22"/>
          <w:szCs w:val="22"/>
          <w:lang w:val="en-GB"/>
        </w:rPr>
        <w:t>Examples of the work of the RWG-LbP include: guiding research efforts of the project to quantify the impacts of estimated heavy metal contaminant loadings to the South China Sea and ensure that this information is communicated to decision-makers in a timely and engaging manner; collaborating with the national committees to quantify effluent volumes and contaminant loadings from coastal aquaculture to the SCS marine basin and communicate this information to decision-makers; and the provisional of regional guidance on options for strengthening and harmonizing national policies and laws, and supporting financial mechanisms, for the management of land-based sources of pollution. It will also co-ordinating the work of the National Land-Based Pollution Committees established in each of the participating countries; for ensuring effective implementation of project activities undertaken in the context of the achievement of the land-based pollution management targets of the project; and to provide a mechanism for exchange of information and experience of land-based pollution management activities in each country.</w:t>
      </w:r>
    </w:p>
    <w:p w14:paraId="757362A5" w14:textId="77777777" w:rsidR="00511BAA" w:rsidRDefault="00511BAA" w:rsidP="00132162">
      <w:pPr>
        <w:numPr>
          <w:ilvl w:val="0"/>
          <w:numId w:val="3"/>
        </w:numPr>
        <w:spacing w:after="120"/>
        <w:ind w:left="0" w:firstLine="0"/>
        <w:jc w:val="both"/>
        <w:rPr>
          <w:sz w:val="22"/>
          <w:szCs w:val="22"/>
          <w:lang w:val="en-GB"/>
        </w:rPr>
      </w:pPr>
      <w:r w:rsidRPr="00511BAA">
        <w:rPr>
          <w:sz w:val="22"/>
          <w:szCs w:val="22"/>
          <w:lang w:val="en-GB"/>
        </w:rPr>
        <w:t>The Regional Task Force on Economic Valuation (RTF-E) will be re-established with the primary objective of advising and supporting the national committees and regional working groups by providing the appropriate expertise and assistance in completing the envisaged economic valuations and cost-benefit analyses. It is anticipated that the operation of the RTF-E will contribute significantly to the achievement of the following targets: expanded datasets of economic valuation information on the goods and services of SCS coastal habitats; computation of estimates of the value for the service provided by coastal habitats as nursery areas for coastal fish and crustaceans; estimating economic losses of coastal ecosystem goods and services consequent upon coastal shipping accidents and pollution damage; and formulating updated estimates of Total Economic Values for coastal habitats of the SCS and conversion of these to 201</w:t>
      </w:r>
      <w:r w:rsidR="000A21C3">
        <w:rPr>
          <w:sz w:val="22"/>
          <w:szCs w:val="22"/>
          <w:lang w:val="en-GB"/>
        </w:rPr>
        <w:t>8</w:t>
      </w:r>
      <w:r w:rsidRPr="00511BAA">
        <w:rPr>
          <w:sz w:val="22"/>
          <w:szCs w:val="22"/>
          <w:lang w:val="en-GB"/>
        </w:rPr>
        <w:t xml:space="preserve"> value by means of the consumer price index. The RTF-E will be comprised of: one environmental or resource economist, nominated by each of the participating countries; and two regional, environmental economic experts; all of whom will serve as members in their personal capacity. The RTF-L will also be operated to facilitate decision-making with regards to the adoption of an instrument for strengthened cooperation.</w:t>
      </w:r>
    </w:p>
    <w:p w14:paraId="669C3BB7" w14:textId="77777777" w:rsidR="00511BAA" w:rsidRPr="00215CCE" w:rsidRDefault="00511BAA" w:rsidP="00215CCE">
      <w:pPr>
        <w:spacing w:after="120"/>
        <w:jc w:val="both"/>
        <w:rPr>
          <w:b/>
          <w:sz w:val="22"/>
          <w:szCs w:val="22"/>
          <w:lang w:val="en-GB"/>
        </w:rPr>
      </w:pPr>
      <w:r>
        <w:rPr>
          <w:b/>
          <w:sz w:val="22"/>
          <w:szCs w:val="22"/>
          <w:lang w:val="en-GB"/>
        </w:rPr>
        <w:t>4.2</w:t>
      </w:r>
      <w:r>
        <w:rPr>
          <w:b/>
          <w:sz w:val="22"/>
          <w:szCs w:val="22"/>
          <w:lang w:val="en-GB"/>
        </w:rPr>
        <w:tab/>
      </w:r>
      <w:r w:rsidRPr="00132162">
        <w:rPr>
          <w:b/>
          <w:sz w:val="22"/>
          <w:szCs w:val="22"/>
          <w:lang w:val="en-GB"/>
        </w:rPr>
        <w:t xml:space="preserve">National </w:t>
      </w:r>
      <w:r>
        <w:rPr>
          <w:b/>
          <w:sz w:val="22"/>
          <w:szCs w:val="22"/>
          <w:lang w:val="en-GB"/>
        </w:rPr>
        <w:t>mechanisms</w:t>
      </w:r>
    </w:p>
    <w:p w14:paraId="12ABCB5A" w14:textId="77777777" w:rsidR="00215CCE" w:rsidRPr="00132162" w:rsidRDefault="00215CCE" w:rsidP="00215CCE">
      <w:pPr>
        <w:spacing w:after="120"/>
        <w:jc w:val="both"/>
        <w:rPr>
          <w:b/>
          <w:i/>
          <w:sz w:val="22"/>
          <w:szCs w:val="22"/>
          <w:lang w:val="en-GB"/>
        </w:rPr>
      </w:pPr>
      <w:r w:rsidRPr="00132162">
        <w:rPr>
          <w:b/>
          <w:i/>
          <w:sz w:val="22"/>
          <w:szCs w:val="22"/>
          <w:lang w:val="en-GB"/>
        </w:rPr>
        <w:t>Inter-Ministry Committees</w:t>
      </w:r>
    </w:p>
    <w:p w14:paraId="63A4F670" w14:textId="77777777" w:rsidR="00215CCE" w:rsidRDefault="00215CCE" w:rsidP="00132162">
      <w:pPr>
        <w:numPr>
          <w:ilvl w:val="0"/>
          <w:numId w:val="3"/>
        </w:numPr>
        <w:spacing w:after="120"/>
        <w:ind w:left="0" w:firstLine="0"/>
        <w:jc w:val="both"/>
        <w:rPr>
          <w:sz w:val="22"/>
          <w:szCs w:val="22"/>
          <w:lang w:val="en-GB"/>
        </w:rPr>
      </w:pPr>
      <w:r w:rsidRPr="00215CCE">
        <w:rPr>
          <w:sz w:val="22"/>
          <w:szCs w:val="22"/>
          <w:lang w:val="en-GB"/>
        </w:rPr>
        <w:t xml:space="preserve">The National Inter-Ministry Committees (IMCs) shall assume overarching responsibility for the execution of </w:t>
      </w:r>
      <w:r>
        <w:rPr>
          <w:sz w:val="22"/>
          <w:szCs w:val="22"/>
          <w:lang w:val="en-GB"/>
        </w:rPr>
        <w:t>national level activities of this</w:t>
      </w:r>
      <w:r w:rsidRPr="00215CCE">
        <w:rPr>
          <w:sz w:val="22"/>
          <w:szCs w:val="22"/>
          <w:lang w:val="en-GB"/>
        </w:rPr>
        <w:t xml:space="preserve"> </w:t>
      </w:r>
      <w:r>
        <w:rPr>
          <w:sz w:val="22"/>
          <w:szCs w:val="22"/>
          <w:lang w:val="en-GB"/>
        </w:rPr>
        <w:t>project</w:t>
      </w:r>
      <w:r w:rsidRPr="00215CCE">
        <w:rPr>
          <w:sz w:val="22"/>
          <w:szCs w:val="22"/>
          <w:lang w:val="en-GB"/>
        </w:rPr>
        <w:t xml:space="preserve"> in each country. The IMCs will review and approve reports from the Nationa</w:t>
      </w:r>
      <w:r>
        <w:rPr>
          <w:sz w:val="22"/>
          <w:szCs w:val="22"/>
          <w:lang w:val="en-GB"/>
        </w:rPr>
        <w:t>l Technical Working Groups and national c</w:t>
      </w:r>
      <w:r w:rsidRPr="00215CCE">
        <w:rPr>
          <w:sz w:val="22"/>
          <w:szCs w:val="22"/>
          <w:lang w:val="en-GB"/>
        </w:rPr>
        <w:t xml:space="preserve">ommittees for mangroves, coral reefs, seagrass, wetlands, land-based pollution, and economic valuation regarding the outputs and outcomes of efforts to achieve Strategic Action Programme targets. IMCs will meet on a biannual basis during the operational phase of the project to guide the timely execution of project activities, particularly activities at the site level, and to consider, amend and endorse quarterly work-plans, narrative progress and financial reports for submission to the regional </w:t>
      </w:r>
      <w:r>
        <w:rPr>
          <w:sz w:val="22"/>
          <w:szCs w:val="22"/>
          <w:lang w:val="en-GB"/>
        </w:rPr>
        <w:t>SAP-IU.</w:t>
      </w:r>
    </w:p>
    <w:p w14:paraId="4A8F101C" w14:textId="77777777" w:rsidR="00215CCE" w:rsidRDefault="00215CCE" w:rsidP="00132162">
      <w:pPr>
        <w:numPr>
          <w:ilvl w:val="0"/>
          <w:numId w:val="3"/>
        </w:numPr>
        <w:spacing w:after="120"/>
        <w:ind w:left="0" w:firstLine="0"/>
        <w:jc w:val="both"/>
        <w:rPr>
          <w:sz w:val="22"/>
          <w:szCs w:val="22"/>
          <w:lang w:val="en-GB"/>
        </w:rPr>
      </w:pPr>
      <w:r w:rsidRPr="00215CCE">
        <w:rPr>
          <w:sz w:val="22"/>
          <w:szCs w:val="22"/>
          <w:lang w:val="en-GB"/>
        </w:rPr>
        <w:t>The IMCs will also provide direction and strategic guidance to the National Technical Working Groups and National Committees for mangroves, coral reefs, seagrass, wetlands, land-based pollution, and economic valuation on the national and local reforms to achieve SAP targets and mainstream best practices in to natural resource and environmental management of the South China Sea marine basin. They will also review planned and ongoing coastal and marine environment projects being operated along the South China Sea coast with the aim of minimising duplication of efforts, and to identify opportunities for cooperation and the sharing of examples of best practices in reversing environmental degradation trends. Importantly these committees will be responsible for assessing stakeholder involvement in national level execution of the SCS SAP Implementation project and take action where necessary to ensure appropriate levels of government, civil society and community organisation, environmental NGOs, Women’s groups, and private sector engagement in project activities. They will ensure compatibility between site-based activities of the SCS SAP Implementation project and other National, provincial and municipal activities in coastal and marine environmental management, including for example PEMSEA’s ICM initiative. IMCs will also review and approve annual progress reports for transmission to the SAP-IU, SAP-IC, COBSEA Intergovernmental Meetings, UN</w:t>
      </w:r>
      <w:r w:rsidR="000A21C3">
        <w:rPr>
          <w:sz w:val="22"/>
          <w:szCs w:val="22"/>
          <w:lang w:val="en-GB"/>
        </w:rPr>
        <w:t xml:space="preserve"> Environment </w:t>
      </w:r>
      <w:r w:rsidRPr="00215CCE">
        <w:rPr>
          <w:sz w:val="22"/>
          <w:szCs w:val="22"/>
          <w:lang w:val="en-GB"/>
        </w:rPr>
        <w:t>and the GEF Secretariat</w:t>
      </w:r>
      <w:r w:rsidR="000A21C3">
        <w:rPr>
          <w:sz w:val="22"/>
          <w:szCs w:val="22"/>
          <w:lang w:val="en-GB"/>
        </w:rPr>
        <w:t xml:space="preserve"> as relevant</w:t>
      </w:r>
      <w:r>
        <w:rPr>
          <w:sz w:val="22"/>
          <w:szCs w:val="22"/>
          <w:lang w:val="en-GB"/>
        </w:rPr>
        <w:t>.</w:t>
      </w:r>
    </w:p>
    <w:p w14:paraId="6D69F1D0" w14:textId="77777777" w:rsidR="00215CCE" w:rsidRPr="00132162" w:rsidRDefault="00215CCE" w:rsidP="00215CCE">
      <w:pPr>
        <w:spacing w:after="120"/>
        <w:jc w:val="both"/>
        <w:rPr>
          <w:b/>
          <w:i/>
          <w:sz w:val="22"/>
          <w:szCs w:val="22"/>
          <w:lang w:val="en-GB"/>
        </w:rPr>
      </w:pPr>
      <w:r>
        <w:rPr>
          <w:b/>
          <w:i/>
          <w:sz w:val="22"/>
          <w:szCs w:val="22"/>
          <w:lang w:val="en-GB"/>
        </w:rPr>
        <w:t>National Technical Working Groups</w:t>
      </w:r>
    </w:p>
    <w:p w14:paraId="146EAB21" w14:textId="77777777" w:rsidR="00215CCE" w:rsidRDefault="00215CCE" w:rsidP="00132162">
      <w:pPr>
        <w:numPr>
          <w:ilvl w:val="0"/>
          <w:numId w:val="3"/>
        </w:numPr>
        <w:spacing w:after="120"/>
        <w:ind w:left="0" w:firstLine="0"/>
        <w:jc w:val="both"/>
        <w:rPr>
          <w:sz w:val="22"/>
          <w:szCs w:val="22"/>
          <w:lang w:val="en-GB"/>
        </w:rPr>
      </w:pPr>
      <w:r w:rsidRPr="00215CCE">
        <w:rPr>
          <w:sz w:val="22"/>
          <w:szCs w:val="22"/>
          <w:lang w:val="en-GB"/>
        </w:rPr>
        <w:t>National Technical Working Groups (NTWG’s) will review and co-ordinate national scientific and technical activities of the project in each country. They will review and evaluate, from a scientific and technical perspective, progress in the achievement of Strategic Action Programme targets, and provide guidance for improvement when necessary. The NTWGs will provide the IMCs with: recommendations on proposed national and site-based activities, work plans, and budgets; technical guidance and suggestions to improve project activities where necessary, including the reform of policy, legislation and institutional arrangements; facilitate co-operation with relevant national and provincial organisations and projects to enhance the information and science base for use in achieving Strategic Action Programme targets and in preparing updated National Action Plans and a revised Strategic Action Programme in their respective country; and compile and evaluate national level sources of information and data for sharing at the regional level.</w:t>
      </w:r>
    </w:p>
    <w:p w14:paraId="74A7E07C" w14:textId="77777777" w:rsidR="00215CCE" w:rsidRPr="00132162" w:rsidRDefault="00215CCE" w:rsidP="00215CCE">
      <w:pPr>
        <w:spacing w:after="120"/>
        <w:jc w:val="both"/>
        <w:rPr>
          <w:b/>
          <w:i/>
          <w:sz w:val="22"/>
          <w:szCs w:val="22"/>
          <w:lang w:val="en-GB"/>
        </w:rPr>
      </w:pPr>
      <w:r>
        <w:rPr>
          <w:b/>
          <w:i/>
          <w:sz w:val="22"/>
          <w:szCs w:val="22"/>
          <w:lang w:val="en-GB"/>
        </w:rPr>
        <w:t>National Specialized Executing Agencies</w:t>
      </w:r>
    </w:p>
    <w:p w14:paraId="675BEA88" w14:textId="77777777" w:rsidR="00215CCE" w:rsidRDefault="00215CCE" w:rsidP="00132162">
      <w:pPr>
        <w:numPr>
          <w:ilvl w:val="0"/>
          <w:numId w:val="3"/>
        </w:numPr>
        <w:spacing w:after="120"/>
        <w:ind w:left="0" w:firstLine="0"/>
        <w:jc w:val="both"/>
        <w:rPr>
          <w:sz w:val="22"/>
          <w:szCs w:val="22"/>
          <w:lang w:val="en-GB"/>
        </w:rPr>
      </w:pPr>
      <w:r w:rsidRPr="00215CCE">
        <w:rPr>
          <w:sz w:val="22"/>
          <w:szCs w:val="22"/>
          <w:lang w:val="en-GB"/>
        </w:rPr>
        <w:t>National Specialized Executing Agencies (SEAs) will be engaged by the SAP-IU and assume overall responsibility for the execution of the national-level activities in their respective areas of expertise for this project in accordance with the project results framework. The SEAs will convene quarterly meetings of national committees for mangroves, coral reefs, seagrass, wetlands, land-based pollution, and economic valuation, and will nominate a National Focal Point to: (a) act as the main point of contact with the SCS SAP-IU and UN</w:t>
      </w:r>
      <w:r w:rsidR="000A21C3">
        <w:rPr>
          <w:sz w:val="22"/>
          <w:szCs w:val="22"/>
          <w:lang w:val="en-GB"/>
        </w:rPr>
        <w:t xml:space="preserve"> Environment</w:t>
      </w:r>
      <w:r w:rsidRPr="00215CCE">
        <w:rPr>
          <w:sz w:val="22"/>
          <w:szCs w:val="22"/>
          <w:lang w:val="en-GB"/>
        </w:rPr>
        <w:t>; (b) act as Chair of the his/her respective National Committee; (c) act as a member of NTWG; and (d) act as a member of the respective Regional Working Group or Task Force. The SEAs will also plan and implement activities based on the results framework, work plan and timetable contained in this document aimed at achieving the national-level goals and targets of the project and the Strategic Action Programme for the South China Sea. In doing so, the SEAs will engage with national networks</w:t>
      </w:r>
      <w:r w:rsidR="000A21C3">
        <w:rPr>
          <w:sz w:val="22"/>
          <w:szCs w:val="22"/>
          <w:lang w:val="en-GB"/>
        </w:rPr>
        <w:t xml:space="preserve"> to the fullest extent possible </w:t>
      </w:r>
      <w:r w:rsidRPr="00215CCE">
        <w:rPr>
          <w:sz w:val="22"/>
          <w:szCs w:val="22"/>
          <w:lang w:val="en-GB"/>
        </w:rPr>
        <w:t>and establish institutional linkages with provincial and local governments and communities.</w:t>
      </w:r>
    </w:p>
    <w:p w14:paraId="4C415C6A" w14:textId="77777777" w:rsidR="000A21C3" w:rsidRDefault="00215CCE" w:rsidP="006941D1">
      <w:pPr>
        <w:numPr>
          <w:ilvl w:val="0"/>
          <w:numId w:val="3"/>
        </w:numPr>
        <w:spacing w:after="120"/>
        <w:ind w:left="0" w:firstLine="0"/>
        <w:jc w:val="both"/>
        <w:rPr>
          <w:sz w:val="22"/>
          <w:szCs w:val="22"/>
          <w:lang w:val="en-GB"/>
        </w:rPr>
      </w:pPr>
      <w:r w:rsidRPr="00215CCE">
        <w:rPr>
          <w:sz w:val="22"/>
          <w:szCs w:val="22"/>
          <w:lang w:val="en-GB"/>
        </w:rPr>
        <w:t xml:space="preserve">SEAs will also be responsible for submitting endorsed national costed work plans to the </w:t>
      </w:r>
      <w:r w:rsidR="000A21C3">
        <w:rPr>
          <w:sz w:val="22"/>
          <w:szCs w:val="22"/>
          <w:lang w:val="en-GB"/>
        </w:rPr>
        <w:t xml:space="preserve">Regional </w:t>
      </w:r>
      <w:r w:rsidRPr="00215CCE">
        <w:rPr>
          <w:sz w:val="22"/>
          <w:szCs w:val="22"/>
          <w:lang w:val="en-GB"/>
        </w:rPr>
        <w:t xml:space="preserve">Project </w:t>
      </w:r>
      <w:r w:rsidR="000A21C3">
        <w:rPr>
          <w:sz w:val="22"/>
          <w:szCs w:val="22"/>
          <w:lang w:val="en-GB"/>
        </w:rPr>
        <w:t>Coordinator</w:t>
      </w:r>
      <w:r w:rsidRPr="00215CCE">
        <w:rPr>
          <w:sz w:val="22"/>
          <w:szCs w:val="22"/>
          <w:lang w:val="en-GB"/>
        </w:rPr>
        <w:t xml:space="preserve"> of the SAP-IU and</w:t>
      </w:r>
      <w:r w:rsidR="000A21C3">
        <w:rPr>
          <w:sz w:val="22"/>
          <w:szCs w:val="22"/>
          <w:lang w:val="en-GB"/>
        </w:rPr>
        <w:t>,</w:t>
      </w:r>
      <w:r w:rsidRPr="00215CCE">
        <w:rPr>
          <w:sz w:val="22"/>
          <w:szCs w:val="22"/>
          <w:lang w:val="en-GB"/>
        </w:rPr>
        <w:t xml:space="preserve"> for prepar</w:t>
      </w:r>
      <w:r w:rsidR="000A21C3">
        <w:rPr>
          <w:sz w:val="22"/>
          <w:szCs w:val="22"/>
          <w:lang w:val="en-GB"/>
        </w:rPr>
        <w:t>ing</w:t>
      </w:r>
      <w:r w:rsidRPr="00215CCE">
        <w:rPr>
          <w:sz w:val="22"/>
          <w:szCs w:val="22"/>
          <w:lang w:val="en-GB"/>
        </w:rPr>
        <w:t xml:space="preserve"> and submitting quarterly progress reports, expenditure reports, and cash advance requests for endorsement by the National Inter-Ministry Committee and subsequent submission to the Project Director of the SAP-IU. SEAs will also prepare annual progress reports on national-level activities and results of efforts to meet SAP targets; maintain accurate and up-to-date records and documents in respect of all expenditures incurred with the funds made available to ensure that all expenditures are in conformity with the provisions of </w:t>
      </w:r>
      <w:r w:rsidR="000A21C3">
        <w:rPr>
          <w:sz w:val="22"/>
          <w:szCs w:val="22"/>
          <w:lang w:val="en-GB"/>
        </w:rPr>
        <w:t>the endorsed costed work plans</w:t>
      </w:r>
      <w:r w:rsidRPr="00215CCE">
        <w:rPr>
          <w:sz w:val="22"/>
          <w:szCs w:val="22"/>
          <w:lang w:val="en-GB"/>
        </w:rPr>
        <w:t>. For each disbursement, proper supporting documentation shall be maintained by the SEAs, including original invoices, bills, and receipts pertinent to the transaction. The SEAs will also provide the SAP-IU with certified periodic financial statements, an annual audit of the financial statements relating to the status of project funds advanced to the SEA, and ensure the proper custody, maintenance and care of all equipment purchased for use at the national level.</w:t>
      </w:r>
      <w:r>
        <w:rPr>
          <w:sz w:val="22"/>
          <w:szCs w:val="22"/>
          <w:lang w:val="en-GB"/>
        </w:rPr>
        <w:t xml:space="preserve"> </w:t>
      </w:r>
    </w:p>
    <w:p w14:paraId="028335C3" w14:textId="77777777" w:rsidR="000A21C3" w:rsidRDefault="000A21C3" w:rsidP="000A21C3">
      <w:pPr>
        <w:spacing w:after="120"/>
        <w:jc w:val="both"/>
        <w:rPr>
          <w:sz w:val="22"/>
          <w:szCs w:val="22"/>
          <w:lang w:val="en-GB"/>
        </w:rPr>
      </w:pPr>
    </w:p>
    <w:p w14:paraId="7EB238DA" w14:textId="77777777" w:rsidR="00C32847" w:rsidRPr="000A21C3" w:rsidRDefault="00215CCE" w:rsidP="000A21C3">
      <w:pPr>
        <w:spacing w:after="120"/>
        <w:rPr>
          <w:sz w:val="22"/>
          <w:szCs w:val="22"/>
          <w:lang w:val="en-GB"/>
        </w:rPr>
        <w:sectPr w:rsidR="00C32847" w:rsidRPr="000A21C3" w:rsidSect="00064925">
          <w:pgSz w:w="12240" w:h="15840" w:code="1"/>
          <w:pgMar w:top="1440" w:right="1584" w:bottom="1440" w:left="1584" w:header="706" w:footer="706" w:gutter="0"/>
          <w:cols w:space="708"/>
          <w:docGrid w:linePitch="360"/>
        </w:sectPr>
      </w:pPr>
      <w:r w:rsidRPr="000A21C3">
        <w:rPr>
          <w:sz w:val="22"/>
          <w:szCs w:val="22"/>
          <w:lang w:val="en-GB"/>
        </w:rPr>
        <w:t xml:space="preserve">Figure 5 </w:t>
      </w:r>
      <w:r w:rsidR="000A21C3">
        <w:rPr>
          <w:sz w:val="22"/>
          <w:szCs w:val="22"/>
          <w:lang w:val="en-GB"/>
        </w:rPr>
        <w:t>summarises t</w:t>
      </w:r>
      <w:r w:rsidR="00735133">
        <w:rPr>
          <w:sz w:val="22"/>
          <w:szCs w:val="22"/>
          <w:lang w:val="en-GB"/>
        </w:rPr>
        <w:t>h</w:t>
      </w:r>
      <w:r w:rsidR="000A21C3">
        <w:rPr>
          <w:sz w:val="22"/>
          <w:szCs w:val="22"/>
          <w:lang w:val="en-GB"/>
        </w:rPr>
        <w:t xml:space="preserve">e above in </w:t>
      </w:r>
      <w:r w:rsidRPr="000A21C3">
        <w:rPr>
          <w:sz w:val="22"/>
          <w:szCs w:val="22"/>
          <w:lang w:val="en-GB"/>
        </w:rPr>
        <w:t>an organogram.</w:t>
      </w:r>
    </w:p>
    <w:p w14:paraId="163BFA30" w14:textId="77777777" w:rsidR="006941D1" w:rsidRDefault="006941D1" w:rsidP="00C32847">
      <w:pPr>
        <w:spacing w:after="120"/>
        <w:jc w:val="both"/>
        <w:rPr>
          <w:sz w:val="22"/>
          <w:szCs w:val="22"/>
          <w:lang w:val="en-GB"/>
        </w:rPr>
      </w:pPr>
    </w:p>
    <w:p w14:paraId="15F9B8B7" w14:textId="77777777" w:rsidR="00C32847" w:rsidRDefault="00C32847" w:rsidP="00C32847">
      <w:pPr>
        <w:spacing w:after="120"/>
        <w:jc w:val="both"/>
        <w:rPr>
          <w:sz w:val="22"/>
          <w:szCs w:val="22"/>
          <w:lang w:val="en-GB"/>
        </w:rPr>
      </w:pPr>
    </w:p>
    <w:p w14:paraId="282FFD94" w14:textId="3835C21A" w:rsidR="00C32847" w:rsidRDefault="000741FA" w:rsidP="00C32847">
      <w:pPr>
        <w:spacing w:after="120"/>
        <w:jc w:val="both"/>
        <w:rPr>
          <w:sz w:val="22"/>
          <w:szCs w:val="22"/>
          <w:lang w:val="en-GB"/>
        </w:rPr>
      </w:pPr>
      <w:r>
        <w:rPr>
          <w:noProof/>
          <w:sz w:val="22"/>
          <w:szCs w:val="22"/>
          <w:lang w:val="en-GB"/>
        </w:rPr>
        <w:drawing>
          <wp:inline distT="0" distB="0" distL="0" distR="0" wp14:anchorId="6D773254" wp14:editId="1BC6E46C">
            <wp:extent cx="8223250" cy="37020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223250" cy="3702050"/>
                    </a:xfrm>
                    <a:prstGeom prst="rect">
                      <a:avLst/>
                    </a:prstGeom>
                    <a:noFill/>
                    <a:ln>
                      <a:noFill/>
                    </a:ln>
                  </pic:spPr>
                </pic:pic>
              </a:graphicData>
            </a:graphic>
          </wp:inline>
        </w:drawing>
      </w:r>
    </w:p>
    <w:p w14:paraId="541FD9FA" w14:textId="77777777" w:rsidR="00C32847" w:rsidRPr="006941D1" w:rsidRDefault="00C32847" w:rsidP="00C32847">
      <w:pPr>
        <w:spacing w:after="120"/>
        <w:jc w:val="both"/>
        <w:rPr>
          <w:sz w:val="21"/>
          <w:szCs w:val="21"/>
        </w:rPr>
      </w:pPr>
      <w:r w:rsidRPr="006941D1">
        <w:rPr>
          <w:b/>
          <w:sz w:val="21"/>
          <w:szCs w:val="21"/>
        </w:rPr>
        <w:t xml:space="preserve">Figure </w:t>
      </w:r>
      <w:r>
        <w:rPr>
          <w:b/>
          <w:sz w:val="21"/>
          <w:szCs w:val="21"/>
        </w:rPr>
        <w:t>5</w:t>
      </w:r>
      <w:r w:rsidRPr="006941D1">
        <w:rPr>
          <w:b/>
          <w:sz w:val="21"/>
          <w:szCs w:val="21"/>
        </w:rPr>
        <w:tab/>
      </w:r>
      <w:r>
        <w:rPr>
          <w:sz w:val="21"/>
          <w:szCs w:val="21"/>
        </w:rPr>
        <w:t>Project Management Framework</w:t>
      </w:r>
      <w:r w:rsidRPr="006941D1">
        <w:rPr>
          <w:sz w:val="21"/>
          <w:szCs w:val="21"/>
        </w:rPr>
        <w:t xml:space="preserve"> (</w:t>
      </w:r>
      <w:r>
        <w:rPr>
          <w:sz w:val="21"/>
          <w:szCs w:val="21"/>
        </w:rPr>
        <w:t>IM</w:t>
      </w:r>
      <w:r w:rsidR="007C6458">
        <w:rPr>
          <w:sz w:val="21"/>
          <w:szCs w:val="21"/>
        </w:rPr>
        <w:t>C</w:t>
      </w:r>
      <w:r>
        <w:rPr>
          <w:sz w:val="21"/>
          <w:szCs w:val="21"/>
        </w:rPr>
        <w:t xml:space="preserve"> = Inter-Ministry Committee; NTWG = National Technical Working Group; SEA = Specialized Executing Agency; </w:t>
      </w:r>
      <w:r w:rsidRPr="006941D1">
        <w:rPr>
          <w:sz w:val="21"/>
          <w:szCs w:val="21"/>
        </w:rPr>
        <w:t xml:space="preserve">RWG-M = Regional Working Group on Mangroves; </w:t>
      </w:r>
      <w:r w:rsidR="007C6458" w:rsidRPr="007C6458">
        <w:rPr>
          <w:sz w:val="21"/>
          <w:szCs w:val="21"/>
        </w:rPr>
        <w:t>RWG-C = Regional Working Group on Coral Reefs;</w:t>
      </w:r>
      <w:r w:rsidR="007C6458">
        <w:rPr>
          <w:sz w:val="21"/>
          <w:szCs w:val="21"/>
        </w:rPr>
        <w:t xml:space="preserve"> </w:t>
      </w:r>
      <w:r w:rsidRPr="006941D1">
        <w:rPr>
          <w:sz w:val="21"/>
          <w:szCs w:val="21"/>
        </w:rPr>
        <w:t>RWG-S = Regional Working Group on Seagrass; RWG-W = Regional Working Group on Wetlands; RWG-LbP = Regional Working Group on Land-based Pollution.)</w:t>
      </w:r>
    </w:p>
    <w:p w14:paraId="64FA2309" w14:textId="77777777" w:rsidR="00C32847" w:rsidRDefault="00C32847" w:rsidP="00C32847">
      <w:pPr>
        <w:spacing w:after="120"/>
        <w:jc w:val="both"/>
        <w:rPr>
          <w:sz w:val="22"/>
          <w:szCs w:val="22"/>
          <w:lang w:val="en-GB"/>
        </w:rPr>
        <w:sectPr w:rsidR="00C32847" w:rsidSect="00C32847">
          <w:pgSz w:w="15840" w:h="12240" w:orient="landscape" w:code="1"/>
          <w:pgMar w:top="1584" w:right="1440" w:bottom="1584" w:left="1440" w:header="706" w:footer="706" w:gutter="0"/>
          <w:cols w:space="708"/>
          <w:docGrid w:linePitch="360"/>
        </w:sectPr>
      </w:pPr>
    </w:p>
    <w:p w14:paraId="6B1EFA97" w14:textId="77777777" w:rsidR="00F07F81" w:rsidRDefault="00F07F81">
      <w:pPr>
        <w:spacing w:after="120"/>
        <w:outlineLvl w:val="0"/>
        <w:rPr>
          <w:b/>
          <w:smallCaps/>
          <w:sz w:val="22"/>
          <w:szCs w:val="22"/>
          <w:lang w:val="en-GB"/>
        </w:rPr>
      </w:pPr>
      <w:bookmarkStart w:id="94" w:name="_Toc209432662"/>
      <w:r>
        <w:rPr>
          <w:b/>
          <w:smallCaps/>
          <w:sz w:val="22"/>
          <w:szCs w:val="22"/>
          <w:lang w:val="en-GB"/>
        </w:rPr>
        <w:t>Section 5: Stakeholder participation</w:t>
      </w:r>
      <w:bookmarkEnd w:id="94"/>
    </w:p>
    <w:p w14:paraId="1E806965" w14:textId="77777777" w:rsidR="00F07F81" w:rsidRDefault="006941D1" w:rsidP="006941D1">
      <w:pPr>
        <w:numPr>
          <w:ilvl w:val="0"/>
          <w:numId w:val="3"/>
        </w:numPr>
        <w:spacing w:after="120"/>
        <w:ind w:left="0" w:firstLine="0"/>
        <w:jc w:val="both"/>
        <w:rPr>
          <w:sz w:val="22"/>
          <w:szCs w:val="22"/>
          <w:lang w:val="en-GB"/>
        </w:rPr>
      </w:pPr>
      <w:r w:rsidRPr="006941D1">
        <w:rPr>
          <w:sz w:val="22"/>
          <w:szCs w:val="22"/>
          <w:lang w:val="en-GB"/>
        </w:rPr>
        <w:t>The primary level stakeholders in the implementation of the Strategic Action Programme are the central governments of the seven participating countries since these are the entities that must agree on, and oversee the co-ordination of actions at the regional level and support the achievement of the regional targets through the implementation of the national plans of action in each country. Other stakeholders at the national level include NGOs, the academic and research community that is in some countries organised through national organisations such as academies of science or professional societies. At the provincial and local levels stakeholders include the provincial and local government units, community groups and local associations or co-operatives of farmers, fishermen and others groups dependent upon coastal space and resources such as aquaculture producers and processing groups which are often controlled and operated by women.</w:t>
      </w:r>
    </w:p>
    <w:p w14:paraId="3F5808F4" w14:textId="77777777" w:rsidR="006941D1" w:rsidRDefault="006941D1" w:rsidP="00353A6C">
      <w:pPr>
        <w:numPr>
          <w:ilvl w:val="0"/>
          <w:numId w:val="3"/>
        </w:numPr>
        <w:spacing w:after="120"/>
        <w:ind w:left="0" w:firstLine="0"/>
        <w:jc w:val="both"/>
        <w:rPr>
          <w:sz w:val="22"/>
          <w:szCs w:val="22"/>
          <w:lang w:val="en-GB"/>
        </w:rPr>
      </w:pPr>
      <w:r w:rsidRPr="006941D1">
        <w:rPr>
          <w:sz w:val="22"/>
          <w:szCs w:val="22"/>
          <w:lang w:val="en-GB"/>
        </w:rPr>
        <w:t>The importance of different stakeholder groups at any one location reflects differences in the types of resources, and the human activities of exploitation and processing, characteristic of each area. In mangrove areas for example gleaning and catching crabs and village level processing of the catch may be undertaken by women’s groups, whilst canoe based net and trap fishing may be undertaken predominantly by men.</w:t>
      </w:r>
      <w:r w:rsidR="00353A6C">
        <w:rPr>
          <w:sz w:val="22"/>
          <w:szCs w:val="22"/>
          <w:lang w:val="en-GB"/>
        </w:rPr>
        <w:t xml:space="preserve"> </w:t>
      </w:r>
      <w:r w:rsidRPr="00353A6C">
        <w:rPr>
          <w:sz w:val="22"/>
          <w:szCs w:val="22"/>
          <w:lang w:val="en-GB"/>
        </w:rPr>
        <w:t>The project aims to provide appropriate fora in which scientists and government officials may periodically interact and exchange knowledge and experience regarding scientifically sound approaches to managing coastal resources (regional scientific conferences); together with fora designed to allow interaction between more operationally involved managers, government officers and community leaders (the Mayor’s Round Tables).</w:t>
      </w:r>
    </w:p>
    <w:p w14:paraId="2F5C5A80" w14:textId="77777777" w:rsidR="00353A6C" w:rsidRDefault="00353A6C" w:rsidP="00132162">
      <w:pPr>
        <w:numPr>
          <w:ilvl w:val="0"/>
          <w:numId w:val="3"/>
        </w:numPr>
        <w:spacing w:after="120"/>
        <w:ind w:left="0" w:firstLine="0"/>
        <w:jc w:val="both"/>
        <w:rPr>
          <w:sz w:val="22"/>
          <w:szCs w:val="22"/>
          <w:lang w:val="en-GB"/>
        </w:rPr>
      </w:pPr>
      <w:r w:rsidRPr="00353A6C">
        <w:rPr>
          <w:sz w:val="22"/>
          <w:szCs w:val="22"/>
          <w:lang w:val="en-GB"/>
        </w:rPr>
        <w:t>In terms of the reform of laws and regulations for the sustainable use of 602,800 ha of mangrove forest, the development and implementation of management tools (licensing and permit systems, seasonal closures, zoning) at 82 priority coral reef sites, the design and enactment of supporting laws and regulations for the sustainable management of 25,900 ha of seagrass at 21 sites, stakeholder participation will be enabled via a number of mechanisms. Firstly, members of the national committees for each of the habitat sub-components, with Secretariat support from their respective national specialized executing agencies, will be engaged in the conduct of causal chain analyses to identify priority management actions, the update of baseline reviews of policy and legal arrangements, and the formulation of recommendations on reforms.</w:t>
      </w:r>
    </w:p>
    <w:p w14:paraId="05089C86" w14:textId="77777777" w:rsidR="00353A6C" w:rsidRDefault="00353A6C" w:rsidP="00132162">
      <w:pPr>
        <w:numPr>
          <w:ilvl w:val="0"/>
          <w:numId w:val="3"/>
        </w:numPr>
        <w:spacing w:after="120"/>
        <w:ind w:left="0" w:firstLine="0"/>
        <w:jc w:val="both"/>
        <w:rPr>
          <w:sz w:val="22"/>
          <w:szCs w:val="22"/>
          <w:lang w:val="en-GB"/>
        </w:rPr>
      </w:pPr>
      <w:r w:rsidRPr="00353A6C">
        <w:rPr>
          <w:sz w:val="22"/>
          <w:szCs w:val="22"/>
          <w:lang w:val="en-GB"/>
        </w:rPr>
        <w:t>Members of the National Technical Working Groups and Inter-Ministry Committees will be engaged in the cross-sectorial level review and comment on recommendations. Participation of provincial and municipal governments, as well as community representatives, will be facilitated via consultative processes aimed at eliciting the input of local knowledge in refining the revised legal and regulatory frameworks to be adopted and implemented and national and provincial levels. From the transboundary basin-level perspective, opportunities for multilateral review of progress and feedback will be facilitated via operation of the respective regional working groups and the Regional Scientific and Technical Committee.</w:t>
      </w:r>
    </w:p>
    <w:p w14:paraId="366960C0" w14:textId="77777777" w:rsidR="00353A6C" w:rsidRDefault="00353A6C" w:rsidP="00132162">
      <w:pPr>
        <w:numPr>
          <w:ilvl w:val="0"/>
          <w:numId w:val="3"/>
        </w:numPr>
        <w:spacing w:after="120"/>
        <w:ind w:left="0" w:firstLine="0"/>
        <w:jc w:val="both"/>
        <w:rPr>
          <w:sz w:val="22"/>
          <w:szCs w:val="22"/>
          <w:lang w:val="en-GB"/>
        </w:rPr>
      </w:pPr>
      <w:r w:rsidRPr="00353A6C">
        <w:rPr>
          <w:sz w:val="22"/>
          <w:szCs w:val="22"/>
          <w:lang w:val="en-GB"/>
        </w:rPr>
        <w:t>Similar mechanisms for stakeholder participation have been agreed for activities aimed at strengthening and harmonizing national policies and laws, and supporting financial mechanism, for the management of land-based sources of pollution. Members of the national committees for land-based pollution, which include representatives from provincial governments, will participate in efforts to: document and share national best practices in waste water management, law enforcement, and community and industry participation in managing land-based sources of pollution; review legislative and institutional frameworks for land-based pollution management in participating countries; harmonize national Standard Operating Procedures for land-based pollution control and management (including agreed sediment, biota, &amp; water quality criteria); develop, enact, and implement national/provincial policies and supporting regulations for land-based pollution; and update and adopt National Investment Plans for land-based pollution management in the SCS.</w:t>
      </w:r>
    </w:p>
    <w:p w14:paraId="03B175B4" w14:textId="77777777" w:rsidR="00353A6C" w:rsidRDefault="00353A6C" w:rsidP="00132162">
      <w:pPr>
        <w:numPr>
          <w:ilvl w:val="0"/>
          <w:numId w:val="3"/>
        </w:numPr>
        <w:spacing w:after="120"/>
        <w:ind w:left="0" w:firstLine="0"/>
        <w:jc w:val="both"/>
        <w:rPr>
          <w:sz w:val="22"/>
          <w:szCs w:val="22"/>
          <w:lang w:val="en-GB"/>
        </w:rPr>
      </w:pPr>
      <w:r w:rsidRPr="00353A6C">
        <w:rPr>
          <w:sz w:val="22"/>
          <w:szCs w:val="22"/>
          <w:lang w:val="en-GB"/>
        </w:rPr>
        <w:t>The effective cross-sectorial engagement of members of the national Inter-Ministry Committees, National Technical Working Groups, and national habitat committees, as well as the active participation of provincial government leaders, will be an important element of efforts to declare 57,400 ha of mangrove as National Parks and Protected Areas, the designation of 7 new Marine Protected Areas focusing on seagrass areas, and the declaration of at least 7 wetland areas with protection status (i.e. non-hunting area, nature reserves, protected areas, Ramsar Sites). National specialists engaged in the national committees and National Technical Working Group will, through their regular meetings, participate in documenting land and marine tenure and local governance, mapping agreed values of the sites to be retained via protection, and the conduct assessments of environmental and social impacts of declaring sites as protected areas. The latter will involve intensive participation of local stakeholders in consultations focused on reaching agreement on boundaries and the programming and alignment of provincial and local government resources with the operational management of the sites. Members of the Regional Working Groups and the Regional Scientific and Technical Committee will also participate in these processes through, for example, their engagement in related activities to develop and apply objective and scientifically sound procedures to confirm the priority seagrass sites to be designated as MPAs.</w:t>
      </w:r>
    </w:p>
    <w:p w14:paraId="49FD2699" w14:textId="77777777" w:rsidR="00353A6C" w:rsidRDefault="00353A6C" w:rsidP="009460DC">
      <w:pPr>
        <w:numPr>
          <w:ilvl w:val="0"/>
          <w:numId w:val="3"/>
        </w:numPr>
        <w:spacing w:after="120"/>
        <w:ind w:left="0" w:firstLine="0"/>
        <w:jc w:val="both"/>
        <w:rPr>
          <w:sz w:val="22"/>
          <w:szCs w:val="22"/>
          <w:lang w:val="en-GB"/>
        </w:rPr>
      </w:pPr>
      <w:r w:rsidRPr="00353A6C">
        <w:rPr>
          <w:sz w:val="22"/>
          <w:szCs w:val="22"/>
          <w:lang w:val="en-GB"/>
        </w:rPr>
        <w:t xml:space="preserve">The project work plan emphasizes a high degree of provincial/local government in community participation in: the development of plans for the management of 166,600 ha of mangrove as non-conversion, sustainable use areas; the amendment of management plans for 7 existing MPAs with significant seagrass areas, to include specific seagrass-related management actions; the establishment of integrated, community-based, multiple use management frameworks at the priority coral reef sites. This will involve community participation in the identification of Terms of Reference and membership for community-based management committees at the sites where management plans will be developed and implemented. </w:t>
      </w:r>
      <w:r w:rsidR="009460DC">
        <w:rPr>
          <w:sz w:val="22"/>
          <w:szCs w:val="22"/>
          <w:lang w:val="en-GB"/>
        </w:rPr>
        <w:t xml:space="preserve">Key CSO, COs and NGOs include: </w:t>
      </w:r>
      <w:r w:rsidR="009460DC" w:rsidRPr="009460DC">
        <w:rPr>
          <w:sz w:val="22"/>
          <w:szCs w:val="22"/>
          <w:lang w:val="en-GB"/>
        </w:rPr>
        <w:t>Cambodia (the Coastal Community Fisheries Khan Stung Hav in Sihanoukville, the Environmental Protection and Development Organization, the Kampong Samaki Community Fisheries Coastal Resources Protection organization, and the Potsar and Champey Community Fisheries Federation); China (the Guangdong Ecological Society, the Zhuhai Biological Society, the Leizhou Peninsula Coastal Ecological Conservation and Education Society, Guangxi Biodiversity Research and Conservation Association, the Fangchenggang Mangrove Protection Association, the Hainan South China Sea Institute of Tropical Marine Biology and Disease, and the Beihai Civil Volunteers Association); Indonesia (Indonesian Institute of Mangrove Research and Development, WWF Indonesia, Wetland Indonesia, Komunitas Sahabat Alam, Koperasi Panter, Yayasan Karya Banua Pulanggana, Kelompok Peduli Lingkungan Belitung, Komunitas Sahabat Alam, Lembaga Pengelola Sumberdaya Terumbu Karang (LPSTK) Desa BENAN, Lembaga Swadaya Masyarakat Pelita Alam, Belukap and Yayasan Gema Lingkungan Indonesia); Philippines (the provincial Fisheries and Aquatic Resources Management Councils, the Association of Resort Owners and Tourism Establishments, the Peoples’ Organizations Anak ng Dagat, and Amahan at Ugnayan ng Pangisdaan ng Orion); Thailand (Prednai Mangrove Development and Conservation Group; fisherfolk associations; the Six-Tambol (Sub-district) Network for Collective Coastal Management in Trat Province; the Thai Nature Study Centre; the Ao Baan Don Conservation Network; the Traditional Knowledge Protection Network; the Songkhla Community Natural Resources and Environment Protection Volunteer; the Wetland Conservation Group Baan Bangnokork; the Pattani Small-scale Fisher Network; the Phatthalung Provincial Environment Network; and the Community Natural Resources Development Institute); and Vietnam (district level farmers' associations, ward level women’s associations, provincial unions of science and technology associations, provincial level fisheries associations, town level youth unions, and provincial forestry clubs).</w:t>
      </w:r>
      <w:r w:rsidR="009460DC">
        <w:rPr>
          <w:sz w:val="22"/>
          <w:szCs w:val="22"/>
          <w:lang w:val="en-GB"/>
        </w:rPr>
        <w:t xml:space="preserve"> </w:t>
      </w:r>
      <w:r w:rsidRPr="00353A6C">
        <w:rPr>
          <w:sz w:val="22"/>
          <w:szCs w:val="22"/>
          <w:lang w:val="en-GB"/>
        </w:rPr>
        <w:t xml:space="preserve">Intensive consultation processes will also be undertaken </w:t>
      </w:r>
      <w:r w:rsidR="009460DC">
        <w:rPr>
          <w:sz w:val="22"/>
          <w:szCs w:val="22"/>
          <w:lang w:val="en-GB"/>
        </w:rPr>
        <w:t xml:space="preserve">with the abovementioned stakeholders </w:t>
      </w:r>
      <w:r w:rsidRPr="00353A6C">
        <w:rPr>
          <w:sz w:val="22"/>
          <w:szCs w:val="22"/>
          <w:lang w:val="en-GB"/>
        </w:rPr>
        <w:t>to identify key threats at priority areas, agree upon management measures, and to facilitate high-levels of provincial/local government and community stakeholder ownership of management plan development and formal endorsement. In support of local implementation of the management plans, national committees and National Technical Working Groups will be engaged in supporting governments and communities in the design of awareness programmes, development of local networks of management practitioners, and capturing and sharing information about the results and best practices generated at these sites.</w:t>
      </w:r>
    </w:p>
    <w:p w14:paraId="0FBE9BDE" w14:textId="77777777" w:rsidR="00353A6C" w:rsidRDefault="00353A6C" w:rsidP="00132162">
      <w:pPr>
        <w:numPr>
          <w:ilvl w:val="0"/>
          <w:numId w:val="3"/>
        </w:numPr>
        <w:spacing w:after="120"/>
        <w:ind w:left="0" w:firstLine="0"/>
        <w:jc w:val="both"/>
        <w:rPr>
          <w:sz w:val="22"/>
          <w:szCs w:val="22"/>
          <w:lang w:val="en-GB"/>
        </w:rPr>
      </w:pPr>
      <w:r w:rsidRPr="00353A6C">
        <w:rPr>
          <w:sz w:val="22"/>
          <w:szCs w:val="22"/>
          <w:lang w:val="en-GB"/>
        </w:rPr>
        <w:t>In support of efforts to facilitate national and regional level cooperation in tracking the results of SAP actions for coastal habitat management, revitalization of committees and regional networks of habitat specialists will enable a wide range of stakeholders input to: the development of mechanisms to monitor and evaluate the impacts of SAP implementation and achievement of habitat targets, including the development and agreement on standardized methods and guidelines for inventory and assessment; and the production of knowledge products such as biennial state of coastal habitat reports. Community leaders and local government from priority habitat sites will also be engaged in these processes via their networking during national and regional round-table meetings to foster cooperation and knowledge sharing on achievements and best practices.</w:t>
      </w:r>
    </w:p>
    <w:p w14:paraId="1E6E56C9" w14:textId="77777777" w:rsidR="00353A6C" w:rsidRDefault="00353A6C" w:rsidP="00132162">
      <w:pPr>
        <w:numPr>
          <w:ilvl w:val="0"/>
          <w:numId w:val="3"/>
        </w:numPr>
        <w:spacing w:after="120"/>
        <w:ind w:left="0" w:firstLine="0"/>
        <w:jc w:val="both"/>
        <w:rPr>
          <w:sz w:val="22"/>
          <w:szCs w:val="22"/>
          <w:lang w:val="en-GB"/>
        </w:rPr>
      </w:pPr>
      <w:r w:rsidRPr="00353A6C">
        <w:rPr>
          <w:sz w:val="22"/>
          <w:szCs w:val="22"/>
          <w:lang w:val="en-GB"/>
        </w:rPr>
        <w:t>A range of other mechanisms to facilitate stakeholder input and participation are included in the project design. These include: the operation of consultative processes in support of the updating and Ministerial adoption of a revised Transboundary Diagnostic Analysis and Strategic Action Programme for the SCS marine basin, including prioritization of national management actions to address climate variability and change; knowledge exchanges between government and scientific community through biennial Regional Scientific Conferences; best practice exchanges between local government officials and coastal managers on science-based management via annual Mayor’s Round-Table meetings; consultative processes to enable agreement and implementation of Memoranda of Agreement for joint management of 2 priority transboundary water areas; coordination with the UNEP/GEF fisheries refugia initiative and other GEF-financed initiatives operating in the East Asian Seas, including PEMSEA; and the operation of an award program on best practices in coastal habitat and land-based pollution management for communities, local governments and industry.</w:t>
      </w:r>
    </w:p>
    <w:p w14:paraId="0A042D45" w14:textId="77777777" w:rsidR="00353A6C" w:rsidRDefault="00353A6C" w:rsidP="0083188E">
      <w:pPr>
        <w:numPr>
          <w:ilvl w:val="0"/>
          <w:numId w:val="3"/>
        </w:numPr>
        <w:spacing w:after="120"/>
        <w:ind w:left="0" w:firstLine="0"/>
        <w:jc w:val="both"/>
        <w:rPr>
          <w:sz w:val="22"/>
          <w:szCs w:val="22"/>
          <w:lang w:val="en-GB"/>
        </w:rPr>
      </w:pPr>
      <w:r w:rsidRPr="00353A6C">
        <w:rPr>
          <w:sz w:val="22"/>
          <w:szCs w:val="22"/>
          <w:lang w:val="en-GB"/>
        </w:rPr>
        <w:t>Mechanisms to further facilitate NGO, CSO, and CO participation in the programme include: the revitalization of cooperative arrangements with GEF SGP in the commissioning and implementation of community-level initiatives in support of the achievement of SAP targets, including those relating to reforestation and enrichment planting at priority mangrove sites. Annual NGO forums will also be convened to elicit CSO and CO inputs to planning, and monitoring and evaluation, of the SCS-SGP partnership. Similar processes will be operated to engage the private sector in identify opportunities for private sector investment (e.g. oil and gas, fisheries, tourism) in implementation of the updated SAP. The planning of cooperation between governments and the private sector for the implementation of the updated SAP will be facilitated via two partnership forums.</w:t>
      </w:r>
      <w:r w:rsidR="0083188E">
        <w:rPr>
          <w:sz w:val="22"/>
          <w:szCs w:val="22"/>
          <w:lang w:val="en-GB"/>
        </w:rPr>
        <w:t xml:space="preserve"> </w:t>
      </w:r>
      <w:r w:rsidR="0083188E" w:rsidRPr="0083188E">
        <w:rPr>
          <w:sz w:val="22"/>
          <w:szCs w:val="22"/>
          <w:lang w:val="en-GB"/>
        </w:rPr>
        <w:t>Importantly, the Terms of Reference for the SCS-SAP Implementation Committee (the regional Project Steering Committee) and the national Inter-Ministry Committees task these bodies with the review of stakeholder involvement in project activities and</w:t>
      </w:r>
      <w:r w:rsidR="0083188E">
        <w:rPr>
          <w:sz w:val="22"/>
          <w:szCs w:val="22"/>
          <w:lang w:val="en-GB"/>
        </w:rPr>
        <w:t xml:space="preserve"> with taking</w:t>
      </w:r>
      <w:r w:rsidR="0083188E" w:rsidRPr="0083188E">
        <w:rPr>
          <w:sz w:val="22"/>
          <w:szCs w:val="22"/>
          <w:lang w:val="en-GB"/>
        </w:rPr>
        <w:t xml:space="preserve"> action where necessary to ensure appropriate levels of government, NGO, community</w:t>
      </w:r>
      <w:r w:rsidR="0083188E">
        <w:rPr>
          <w:sz w:val="22"/>
          <w:szCs w:val="22"/>
          <w:lang w:val="en-GB"/>
        </w:rPr>
        <w:t xml:space="preserve">, and private sector engagement </w:t>
      </w:r>
      <w:r w:rsidR="0083188E" w:rsidRPr="0083188E">
        <w:rPr>
          <w:sz w:val="22"/>
          <w:szCs w:val="22"/>
          <w:lang w:val="en-GB"/>
        </w:rPr>
        <w:t xml:space="preserve">(refer to Appendix 11). In addition to the plans for engagement of CSO's, COs and NGOs </w:t>
      </w:r>
      <w:r w:rsidR="0083188E">
        <w:rPr>
          <w:sz w:val="22"/>
          <w:szCs w:val="22"/>
          <w:lang w:val="en-GB"/>
        </w:rPr>
        <w:t xml:space="preserve">in site-based activities of the project as </w:t>
      </w:r>
      <w:r w:rsidR="0083188E" w:rsidRPr="0083188E">
        <w:rPr>
          <w:sz w:val="22"/>
          <w:szCs w:val="22"/>
          <w:lang w:val="en-GB"/>
        </w:rPr>
        <w:t>outlined above, these organisations will be represented in the national committees for the various habitat sub-components and land-based pollution</w:t>
      </w:r>
      <w:r w:rsidR="0083188E">
        <w:rPr>
          <w:sz w:val="22"/>
          <w:szCs w:val="22"/>
          <w:lang w:val="en-GB"/>
        </w:rPr>
        <w:t xml:space="preserve"> according to their various areas of expertise and interest</w:t>
      </w:r>
      <w:r w:rsidR="0083188E" w:rsidRPr="0083188E">
        <w:rPr>
          <w:sz w:val="22"/>
          <w:szCs w:val="22"/>
          <w:lang w:val="en-GB"/>
        </w:rPr>
        <w:t xml:space="preserve">. </w:t>
      </w:r>
      <w:r w:rsidR="0083188E">
        <w:rPr>
          <w:sz w:val="22"/>
          <w:szCs w:val="22"/>
          <w:lang w:val="en-GB"/>
        </w:rPr>
        <w:t>The Chairpersons</w:t>
      </w:r>
      <w:r w:rsidR="0083188E" w:rsidRPr="0083188E">
        <w:rPr>
          <w:sz w:val="22"/>
          <w:szCs w:val="22"/>
          <w:lang w:val="en-GB"/>
        </w:rPr>
        <w:t xml:space="preserve"> of the national SGP committees will also be included as members of the Inter-Ministry Committees to ensure CSO, CO and NGO in</w:t>
      </w:r>
      <w:r w:rsidR="0083188E">
        <w:rPr>
          <w:sz w:val="22"/>
          <w:szCs w:val="22"/>
          <w:lang w:val="en-GB"/>
        </w:rPr>
        <w:t>volvement</w:t>
      </w:r>
      <w:r w:rsidR="0083188E" w:rsidRPr="0083188E">
        <w:rPr>
          <w:sz w:val="22"/>
          <w:szCs w:val="22"/>
          <w:lang w:val="en-GB"/>
        </w:rPr>
        <w:t xml:space="preserve"> </w:t>
      </w:r>
      <w:r w:rsidR="0083188E">
        <w:rPr>
          <w:sz w:val="22"/>
          <w:szCs w:val="22"/>
          <w:lang w:val="en-GB"/>
        </w:rPr>
        <w:t xml:space="preserve">in </w:t>
      </w:r>
      <w:r w:rsidR="0083188E" w:rsidRPr="0083188E">
        <w:rPr>
          <w:sz w:val="22"/>
          <w:szCs w:val="22"/>
          <w:lang w:val="en-GB"/>
        </w:rPr>
        <w:t>national project planning and decision-making.</w:t>
      </w:r>
    </w:p>
    <w:p w14:paraId="5D497825" w14:textId="77777777" w:rsidR="00353A6C" w:rsidRDefault="00353A6C" w:rsidP="00132162">
      <w:pPr>
        <w:numPr>
          <w:ilvl w:val="0"/>
          <w:numId w:val="3"/>
        </w:numPr>
        <w:spacing w:after="120"/>
        <w:ind w:left="0" w:firstLine="0"/>
        <w:jc w:val="both"/>
        <w:rPr>
          <w:sz w:val="22"/>
          <w:szCs w:val="22"/>
          <w:lang w:val="en-GB"/>
        </w:rPr>
      </w:pPr>
      <w:r w:rsidRPr="00353A6C">
        <w:rPr>
          <w:sz w:val="22"/>
          <w:szCs w:val="22"/>
          <w:lang w:val="en-GB"/>
        </w:rPr>
        <w:t>National stakeholder engagement strategies will be developed and will be deliverables of the project inception phase. The broad anticipated benefits from the development and implementation of these  strategies include: enhanced community confidence in operations of SAP implementation; more targeted delivery of support services that may be required by project stakeholders; improving understanding of and access to information about emerging issues at the levels of national, provincial and municipal government, and within target communities; greater legitimization of project decision-making; timely identification of opportunities for mutual learning; increased levels of stakeholder ‘ownership’; avoiding negative publicity or perceptions by focusing on positive communication and being proactive about communicating with stakeholders; and enabling the development of a culture of innovation.</w:t>
      </w:r>
    </w:p>
    <w:p w14:paraId="6693199A" w14:textId="77777777" w:rsidR="00353A6C" w:rsidRDefault="00353A6C" w:rsidP="00132162">
      <w:pPr>
        <w:numPr>
          <w:ilvl w:val="0"/>
          <w:numId w:val="3"/>
        </w:numPr>
        <w:spacing w:after="120"/>
        <w:ind w:left="0" w:firstLine="0"/>
        <w:jc w:val="both"/>
        <w:rPr>
          <w:sz w:val="22"/>
          <w:szCs w:val="22"/>
          <w:lang w:val="en-GB"/>
        </w:rPr>
      </w:pPr>
      <w:r w:rsidRPr="00353A6C">
        <w:rPr>
          <w:sz w:val="22"/>
          <w:szCs w:val="22"/>
          <w:lang w:val="en-GB"/>
        </w:rPr>
        <w:t>Gender mainstreaming will be central to stakeholder participation planning and engagement at all levels. Gender in the context of development projects is generally associated with unequal power and access to choices and resources. It has become increasingly accepted that women should play an important role in land, water and coastal management and that this role could be enhanced via gender mainstreaming. Gender mainstreaming is the concept of valuing the differing implications for women and men of a project intended outcomes. It is also about integrating the diverse needs of these groups into the planning and implementation of a project to better reflect the whole community’s development aspirations as well as to increase the sustainability of a project.</w:t>
      </w:r>
    </w:p>
    <w:p w14:paraId="344A13F2" w14:textId="77777777" w:rsidR="00353A6C" w:rsidRPr="00353A6C" w:rsidRDefault="00353A6C" w:rsidP="00132162">
      <w:pPr>
        <w:numPr>
          <w:ilvl w:val="0"/>
          <w:numId w:val="3"/>
        </w:numPr>
        <w:spacing w:after="120"/>
        <w:ind w:left="0" w:firstLine="0"/>
        <w:jc w:val="both"/>
        <w:rPr>
          <w:sz w:val="22"/>
          <w:szCs w:val="22"/>
          <w:lang w:val="en-GB"/>
        </w:rPr>
      </w:pPr>
      <w:r w:rsidRPr="00353A6C">
        <w:rPr>
          <w:sz w:val="22"/>
          <w:szCs w:val="22"/>
          <w:lang w:val="en-GB"/>
        </w:rPr>
        <w:t>Both UNEP and the GEF are dedicated to the improvement of gender equality and through the Policy on Gender Mainstreaming adopted by the GEF in 2012, the GEF has committed itself and partner agencies to this end. The GEF recognizes that gender equality is an important goal in the context of the projects that it finances because it advances both the GEF’s goals for attaining global environmental benefits and the goal of gender equity and social inclusion. The GEF’s Policy on Gender Mainstreaming Policy that “…the GEF Secretariat and GEF Partner Agencies shall strive to attain the goal of gender equality, the equal treatment of women and men, including the equal access to resources and services through its operations” and that “...the GEF Secretariat and GEF Partner Agencies shall mainstream gender into their operations, including efforts to analyze systematically and address the specific needs of both women and men in GEF projects” (GEF, 2012). Accordingly, the design and implementation of stakeholder engagement plans will ensure that both women and men (a) receive culturally compatible social and economic benefits, (b) do not suffer adverse effects during the development process, and that (c) full respect for their dignity and human rights is fostered as a result of project implementation. All routine monitoring and evaluation of stakeholder participation will ensure the collation of sex-disaggregated data which will be analyzed and presented as part of routine reporting at national, regional and global levels.</w:t>
      </w:r>
    </w:p>
    <w:p w14:paraId="18EBED14" w14:textId="77777777" w:rsidR="006941D1" w:rsidRPr="00D97EF8" w:rsidRDefault="006941D1" w:rsidP="00D97EF8">
      <w:pPr>
        <w:numPr>
          <w:ilvl w:val="0"/>
          <w:numId w:val="3"/>
        </w:numPr>
        <w:tabs>
          <w:tab w:val="left" w:pos="720"/>
        </w:tabs>
        <w:spacing w:after="120"/>
        <w:ind w:left="0" w:firstLine="0"/>
        <w:jc w:val="both"/>
        <w:rPr>
          <w:sz w:val="22"/>
          <w:szCs w:val="22"/>
          <w:lang w:val="en-GB"/>
        </w:rPr>
      </w:pPr>
      <w:r w:rsidRPr="00F91284">
        <w:rPr>
          <w:sz w:val="22"/>
          <w:szCs w:val="22"/>
          <w:lang w:val="en-GB"/>
        </w:rPr>
        <w:t xml:space="preserve">In implementing the demonstration site activities of the South China Sea Project each responsible organisation was required to establish a cross-sectorial management board Chaired by the Mayor or Provincial Governor or their Deputy. Membership of the board included representatives from all sectors of government involved in the use of coastal space, local stakeholder groups including the community, and where appropriate non-governmental and scientific organisations. Almost without exception this proved to be extremely valuable in mobilising additional and unplanned actions and resources and the model has now been adopted by </w:t>
      </w:r>
      <w:r w:rsidR="00CD6461">
        <w:rPr>
          <w:sz w:val="22"/>
          <w:szCs w:val="22"/>
          <w:lang w:val="en-GB"/>
        </w:rPr>
        <w:t>several government agencies</w:t>
      </w:r>
      <w:r w:rsidRPr="00F91284">
        <w:rPr>
          <w:sz w:val="22"/>
          <w:szCs w:val="22"/>
          <w:lang w:val="en-GB"/>
        </w:rPr>
        <w:t xml:space="preserve"> as the standard model for project management. </w:t>
      </w:r>
    </w:p>
    <w:p w14:paraId="2DF2DAA7" w14:textId="77777777" w:rsidR="00F07F81" w:rsidRDefault="00F07F81">
      <w:pPr>
        <w:spacing w:after="120"/>
        <w:outlineLvl w:val="0"/>
        <w:rPr>
          <w:b/>
          <w:smallCaps/>
          <w:sz w:val="22"/>
          <w:szCs w:val="22"/>
          <w:lang w:val="en-GB"/>
        </w:rPr>
      </w:pPr>
      <w:bookmarkStart w:id="95" w:name="_Toc209432663"/>
      <w:r>
        <w:rPr>
          <w:b/>
          <w:smallCaps/>
          <w:sz w:val="22"/>
          <w:szCs w:val="22"/>
          <w:lang w:val="en-GB"/>
        </w:rPr>
        <w:t>Section 6: Monitoring and evaluation Plan</w:t>
      </w:r>
      <w:bookmarkEnd w:id="95"/>
    </w:p>
    <w:p w14:paraId="58BB0FF5" w14:textId="77777777" w:rsidR="00F07F81" w:rsidRDefault="00F07F81" w:rsidP="00D97EF8">
      <w:pPr>
        <w:numPr>
          <w:ilvl w:val="0"/>
          <w:numId w:val="3"/>
        </w:numPr>
        <w:spacing w:after="120"/>
        <w:ind w:left="0" w:firstLine="0"/>
        <w:jc w:val="both"/>
        <w:rPr>
          <w:sz w:val="22"/>
          <w:szCs w:val="22"/>
          <w:lang w:val="en-GB"/>
        </w:rPr>
      </w:pPr>
      <w:r>
        <w:rPr>
          <w:sz w:val="22"/>
          <w:szCs w:val="22"/>
          <w:lang w:val="en-GB"/>
        </w:rPr>
        <w:t>The project will follow UNEP standard monitoring, reporting and evaluation processes and procedures. Substantive and financial project reporting requirements are summarized in Appendix</w:t>
      </w:r>
      <w:r w:rsidR="00D97EF8">
        <w:rPr>
          <w:sz w:val="22"/>
          <w:szCs w:val="22"/>
          <w:lang w:val="en-GB"/>
        </w:rPr>
        <w:t xml:space="preserve"> </w:t>
      </w:r>
      <w:r w:rsidR="00CD6461">
        <w:rPr>
          <w:sz w:val="22"/>
          <w:szCs w:val="22"/>
          <w:lang w:val="en-GB"/>
        </w:rPr>
        <w:t>4</w:t>
      </w:r>
      <w:r>
        <w:rPr>
          <w:sz w:val="22"/>
          <w:szCs w:val="22"/>
          <w:lang w:val="en-GB"/>
        </w:rPr>
        <w:t xml:space="preserve">. Reporting requirements and templates are an integral part of the UNEP legal instrument to be signed by the executing agency and UNEP. </w:t>
      </w:r>
    </w:p>
    <w:p w14:paraId="1B601B4C" w14:textId="77777777" w:rsidR="00F07F81" w:rsidRDefault="00F07F81" w:rsidP="00D97EF8">
      <w:pPr>
        <w:numPr>
          <w:ilvl w:val="0"/>
          <w:numId w:val="3"/>
        </w:numPr>
        <w:spacing w:after="120"/>
        <w:ind w:left="0" w:firstLine="0"/>
        <w:jc w:val="both"/>
        <w:rPr>
          <w:sz w:val="22"/>
          <w:szCs w:val="22"/>
          <w:lang w:val="en-GB"/>
        </w:rPr>
      </w:pPr>
      <w:r>
        <w:rPr>
          <w:sz w:val="22"/>
          <w:szCs w:val="22"/>
          <w:lang w:val="en-GB"/>
        </w:rPr>
        <w:t xml:space="preserve">The project M&amp;E plan is consistent with the GEF Monitoring and Evaluation policy. The Project Results Framework presented in Appendix </w:t>
      </w:r>
      <w:r w:rsidR="0013159B">
        <w:rPr>
          <w:sz w:val="22"/>
          <w:szCs w:val="22"/>
          <w:lang w:val="en-GB"/>
        </w:rPr>
        <w:t>4</w:t>
      </w:r>
      <w:r>
        <w:rPr>
          <w:sz w:val="22"/>
          <w:szCs w:val="22"/>
          <w:lang w:val="en-GB"/>
        </w:rPr>
        <w:t xml:space="preserve"> includes SMART indicators for each expected outcome as well as mid-term and end-of-project targets. These indicators along with the key deliverables and benchmarks included in Appendix </w:t>
      </w:r>
      <w:r w:rsidR="0013159B">
        <w:rPr>
          <w:sz w:val="22"/>
          <w:szCs w:val="22"/>
          <w:lang w:val="en-GB"/>
        </w:rPr>
        <w:t>6</w:t>
      </w:r>
      <w:r>
        <w:rPr>
          <w:sz w:val="22"/>
          <w:szCs w:val="22"/>
          <w:lang w:val="en-GB"/>
        </w:rPr>
        <w:t xml:space="preserve"> will be the main tools for assessing project implementation progress and whether project results are being achieved. The means of verification and the costs associated with obtaining the information to track the indicators are summarized in Appendix</w:t>
      </w:r>
      <w:r w:rsidR="00D97EF8">
        <w:rPr>
          <w:sz w:val="22"/>
          <w:szCs w:val="22"/>
          <w:lang w:val="en-GB"/>
        </w:rPr>
        <w:t xml:space="preserve"> </w:t>
      </w:r>
      <w:r w:rsidR="0013159B">
        <w:rPr>
          <w:sz w:val="22"/>
          <w:szCs w:val="22"/>
          <w:lang w:val="en-GB"/>
        </w:rPr>
        <w:t>7</w:t>
      </w:r>
      <w:r>
        <w:rPr>
          <w:sz w:val="22"/>
          <w:szCs w:val="22"/>
          <w:lang w:val="en-GB"/>
        </w:rPr>
        <w:t>. Other M&amp;E related costs are also presented in the Costed M&amp;E Plan and are fully integrated in the overall project budget.</w:t>
      </w:r>
    </w:p>
    <w:p w14:paraId="5103FEA9" w14:textId="77777777" w:rsidR="00F07F81" w:rsidRDefault="00F07F81" w:rsidP="00D97EF8">
      <w:pPr>
        <w:numPr>
          <w:ilvl w:val="0"/>
          <w:numId w:val="3"/>
        </w:numPr>
        <w:spacing w:after="120"/>
        <w:ind w:left="0" w:firstLine="0"/>
        <w:jc w:val="both"/>
        <w:rPr>
          <w:sz w:val="22"/>
          <w:szCs w:val="22"/>
          <w:lang w:val="en-GB"/>
        </w:rPr>
      </w:pPr>
      <w:r>
        <w:rPr>
          <w:sz w:val="22"/>
          <w:szCs w:val="22"/>
          <w:lang w:val="en-GB"/>
        </w:rPr>
        <w:t>The M&amp;E plan will be reviewed and revised as necessary during the project inception workshop to ensure project stakeholders understand their roles and responsibilities vis-à-vis project monitoring and evaluation. Indicators and their means of verification may also be fine-tuned at the inception workshop. Day-to-day project monitoring is the responsibility of the project management team but other project partners will have responsibilities to collect specific information to track the indicators. It is the responsibility of the Project Manager to inform UNEP of any delays or difficulties faced during implementation so that the appropriate support or corrective measures can be adopted in a timely fashion.</w:t>
      </w:r>
    </w:p>
    <w:p w14:paraId="214D813F" w14:textId="77777777" w:rsidR="00F07F81" w:rsidRDefault="00F07F81" w:rsidP="00D97EF8">
      <w:pPr>
        <w:numPr>
          <w:ilvl w:val="0"/>
          <w:numId w:val="3"/>
        </w:numPr>
        <w:spacing w:after="120"/>
        <w:ind w:left="0" w:firstLine="0"/>
        <w:jc w:val="both"/>
        <w:rPr>
          <w:sz w:val="22"/>
          <w:szCs w:val="22"/>
          <w:lang w:val="en-GB"/>
        </w:rPr>
      </w:pPr>
      <w:r>
        <w:rPr>
          <w:sz w:val="22"/>
          <w:szCs w:val="22"/>
          <w:lang w:val="en-GB"/>
        </w:rPr>
        <w:t xml:space="preserve">The project Steering Committee will receive periodic reports on progress and will make recommendations to UNEP concerning the need to revise any aspects of the Results Framework or the M&amp;E plan. Project oversight to ensure that the project meets UNEP and GEF policies and procedures is the responsibility to the Task Manager in UNEP-GEF. The Task Manager will also review the quality of draft project outputs, provide feedback to the project partners, and establish peer review procedures to ensure adequate quality of scientific and technical outputs and publications. </w:t>
      </w:r>
    </w:p>
    <w:p w14:paraId="35641E49" w14:textId="77777777" w:rsidR="00F07F81" w:rsidRDefault="00F07F81" w:rsidP="00D97EF8">
      <w:pPr>
        <w:numPr>
          <w:ilvl w:val="0"/>
          <w:numId w:val="3"/>
        </w:numPr>
        <w:spacing w:after="120"/>
        <w:ind w:left="0" w:firstLine="0"/>
        <w:jc w:val="both"/>
        <w:rPr>
          <w:sz w:val="22"/>
          <w:szCs w:val="22"/>
          <w:lang w:val="en-GB"/>
        </w:rPr>
      </w:pPr>
      <w:r>
        <w:rPr>
          <w:sz w:val="22"/>
          <w:szCs w:val="22"/>
          <w:lang w:val="en-GB"/>
        </w:rPr>
        <w:t xml:space="preserve">At the time of project approval </w:t>
      </w:r>
      <w:r w:rsidR="00D97EF8">
        <w:rPr>
          <w:sz w:val="22"/>
          <w:szCs w:val="22"/>
          <w:lang w:val="en-GB"/>
        </w:rPr>
        <w:t xml:space="preserve">85 </w:t>
      </w:r>
      <w:r>
        <w:rPr>
          <w:sz w:val="22"/>
          <w:szCs w:val="22"/>
          <w:lang w:val="en-GB"/>
        </w:rPr>
        <w:t>percent of baseline data is available. Baseline data gaps will be addressed during the first year of project implementation. A plan for collecting the necessary baseline data is presented in Appendix</w:t>
      </w:r>
      <w:r w:rsidR="00D97EF8">
        <w:rPr>
          <w:sz w:val="22"/>
          <w:szCs w:val="22"/>
          <w:lang w:val="en-GB"/>
        </w:rPr>
        <w:t xml:space="preserve"> </w:t>
      </w:r>
      <w:r w:rsidR="0013159B">
        <w:rPr>
          <w:sz w:val="22"/>
          <w:szCs w:val="22"/>
          <w:lang w:val="en-GB"/>
        </w:rPr>
        <w:t>5</w:t>
      </w:r>
      <w:r>
        <w:rPr>
          <w:sz w:val="22"/>
          <w:szCs w:val="22"/>
          <w:lang w:val="en-GB"/>
        </w:rPr>
        <w:t xml:space="preserve">. The main aspects for which additional information are needed are </w:t>
      </w:r>
      <w:r w:rsidR="0013159B">
        <w:rPr>
          <w:sz w:val="22"/>
          <w:szCs w:val="22"/>
          <w:lang w:val="en-GB"/>
        </w:rPr>
        <w:t>updated site characterisations and information relating to legal and regulatory frameworks</w:t>
      </w:r>
      <w:r>
        <w:rPr>
          <w:sz w:val="22"/>
          <w:szCs w:val="22"/>
          <w:lang w:val="en-GB"/>
        </w:rPr>
        <w:t xml:space="preserve">. </w:t>
      </w:r>
    </w:p>
    <w:p w14:paraId="5CEAAC89" w14:textId="77777777" w:rsidR="00F07F81" w:rsidRDefault="00F07F81" w:rsidP="00D97EF8">
      <w:pPr>
        <w:numPr>
          <w:ilvl w:val="0"/>
          <w:numId w:val="3"/>
        </w:numPr>
        <w:spacing w:after="120"/>
        <w:ind w:left="0" w:firstLine="0"/>
        <w:jc w:val="both"/>
        <w:rPr>
          <w:sz w:val="22"/>
          <w:szCs w:val="22"/>
          <w:lang w:val="en-GB"/>
        </w:rPr>
      </w:pPr>
      <w:r>
        <w:rPr>
          <w:sz w:val="22"/>
          <w:szCs w:val="22"/>
          <w:lang w:val="en-GB"/>
        </w:rPr>
        <w:t>Project supervision will take an adaptive management approach. The Task Manager will develop a project supervision plan at the inception of the project which will be communicated to the project partners during the inception workshop. The emphasis of the Task Manager supervision will be on outcome monitoring but without neglecting project financial management and implementation monitoring.  Progress vis-à-vis delivering the agreed project global environmental benefits will be assessed with the Steering Committee at agreed intervals. Project risks and assumptions will be regularly monitored both by project partners and UNEP. Risk assessment and rating is an integral part of the Project Implementation Review (PIR). The quality of project monitoring and evaluation will also be reviewed and rated as part of the PIR. Key financial parameters will be monitored quarterly to ensure cost-effective use of financial resources.</w:t>
      </w:r>
    </w:p>
    <w:p w14:paraId="31E9F1B1" w14:textId="77777777" w:rsidR="00F07F81" w:rsidRDefault="00F07F81" w:rsidP="00D97EF8">
      <w:pPr>
        <w:numPr>
          <w:ilvl w:val="0"/>
          <w:numId w:val="3"/>
        </w:numPr>
        <w:spacing w:after="120"/>
        <w:ind w:left="0" w:firstLine="0"/>
        <w:jc w:val="both"/>
        <w:rPr>
          <w:sz w:val="22"/>
          <w:szCs w:val="22"/>
          <w:lang w:val="en-GB"/>
        </w:rPr>
      </w:pPr>
      <w:r>
        <w:rPr>
          <w:sz w:val="22"/>
          <w:szCs w:val="22"/>
          <w:lang w:val="en-GB"/>
        </w:rPr>
        <w:t xml:space="preserve">A mid-term management review or evaluation will take place </w:t>
      </w:r>
      <w:r w:rsidR="0013159B">
        <w:rPr>
          <w:sz w:val="22"/>
          <w:szCs w:val="22"/>
          <w:lang w:val="en-GB"/>
        </w:rPr>
        <w:t>during the first half of 2019</w:t>
      </w:r>
      <w:r>
        <w:rPr>
          <w:sz w:val="22"/>
          <w:szCs w:val="22"/>
          <w:lang w:val="en-GB"/>
        </w:rPr>
        <w:t xml:space="preserve"> as indicated in the project milestones. The review will include all parameters recommended by the GEF Evaluation Office for terminal evaluations and will verify information gathered through the GEF tracking tools, as relevant. The review will be carried out using a participatory approach whereby parties that may benefit or be affected by the project will be consulted. Such parties were identified during the stakeholder analysis (see section </w:t>
      </w:r>
      <w:r w:rsidR="0013159B">
        <w:rPr>
          <w:sz w:val="22"/>
          <w:szCs w:val="22"/>
          <w:lang w:val="en-GB"/>
        </w:rPr>
        <w:t>2.5</w:t>
      </w:r>
      <w:r>
        <w:rPr>
          <w:sz w:val="22"/>
          <w:szCs w:val="22"/>
          <w:lang w:val="en-GB"/>
        </w:rPr>
        <w:t xml:space="preserve"> of the project document). The project Steering Committee will participate in the mid-term review and develop a management response to the evaluation recommendations along with an implementation plan. It is the responsibility of the UNEP Task Manager to monitor whether the agreed recommendations are being implemented.</w:t>
      </w:r>
    </w:p>
    <w:p w14:paraId="76E9D8AE" w14:textId="77777777" w:rsidR="00F07F81" w:rsidRDefault="00F07F81" w:rsidP="00D97EF8">
      <w:pPr>
        <w:numPr>
          <w:ilvl w:val="0"/>
          <w:numId w:val="3"/>
        </w:numPr>
        <w:tabs>
          <w:tab w:val="clear" w:pos="720"/>
          <w:tab w:val="num" w:pos="810"/>
        </w:tabs>
        <w:spacing w:after="120"/>
        <w:ind w:left="0" w:firstLine="0"/>
        <w:jc w:val="both"/>
        <w:rPr>
          <w:sz w:val="22"/>
          <w:szCs w:val="22"/>
          <w:lang w:val="en-GB"/>
        </w:rPr>
      </w:pPr>
      <w:r>
        <w:rPr>
          <w:sz w:val="22"/>
          <w:szCs w:val="22"/>
          <w:lang w:val="en-GB"/>
        </w:rPr>
        <w:t xml:space="preserve">An independent terminal evaluation will take place at the end of project implementation. The </w:t>
      </w:r>
      <w:r w:rsidR="00156D92">
        <w:rPr>
          <w:sz w:val="22"/>
          <w:szCs w:val="22"/>
          <w:lang w:val="en-GB"/>
        </w:rPr>
        <w:t>Evaluation Office</w:t>
      </w:r>
      <w:r w:rsidR="00DF59EF">
        <w:rPr>
          <w:sz w:val="22"/>
          <w:szCs w:val="22"/>
          <w:lang w:val="en-GB"/>
        </w:rPr>
        <w:t xml:space="preserve"> </w:t>
      </w:r>
      <w:r>
        <w:rPr>
          <w:sz w:val="22"/>
          <w:szCs w:val="22"/>
          <w:lang w:val="en-GB"/>
        </w:rPr>
        <w:t>of UNEP will manage the terminal evaluation process. A review of the quality of the evaluation report will be done by EOU and submitted along with the report to the GEF Evaluation Office not later than 6 months after the completion of the evaluation. The standard terms of reference for the terminal evaluation are included in Appendix</w:t>
      </w:r>
      <w:r w:rsidR="00472B2C">
        <w:rPr>
          <w:sz w:val="22"/>
          <w:szCs w:val="22"/>
          <w:lang w:val="en-GB"/>
        </w:rPr>
        <w:t xml:space="preserve"> 9. </w:t>
      </w:r>
      <w:r>
        <w:rPr>
          <w:sz w:val="22"/>
          <w:szCs w:val="22"/>
          <w:lang w:val="en-GB"/>
        </w:rPr>
        <w:t>These will be adjusted to the special needs of the project.</w:t>
      </w:r>
    </w:p>
    <w:p w14:paraId="042A930F" w14:textId="77777777" w:rsidR="00F07F81" w:rsidRPr="00D97EF8" w:rsidRDefault="00F07F81" w:rsidP="00D97EF8">
      <w:pPr>
        <w:numPr>
          <w:ilvl w:val="0"/>
          <w:numId w:val="3"/>
        </w:numPr>
        <w:spacing w:after="120"/>
        <w:ind w:left="0" w:firstLine="0"/>
        <w:jc w:val="both"/>
        <w:rPr>
          <w:sz w:val="22"/>
          <w:szCs w:val="22"/>
          <w:lang w:val="en-GB"/>
        </w:rPr>
      </w:pPr>
      <w:r>
        <w:rPr>
          <w:sz w:val="22"/>
          <w:szCs w:val="22"/>
          <w:lang w:val="en-GB"/>
        </w:rPr>
        <w:t>The GEF tracking tools are attached as Appendix</w:t>
      </w:r>
      <w:r w:rsidR="0013159B">
        <w:rPr>
          <w:sz w:val="22"/>
          <w:szCs w:val="22"/>
          <w:lang w:val="en-GB"/>
        </w:rPr>
        <w:t>15</w:t>
      </w:r>
      <w:r>
        <w:rPr>
          <w:sz w:val="22"/>
          <w:szCs w:val="22"/>
          <w:lang w:val="en-GB"/>
        </w:rPr>
        <w:t xml:space="preserve">. These will be updated at mid-term and at the end of the project and will be made available to the GEF Secretariat along with the project </w:t>
      </w:r>
      <w:smartTag w:uri="urn:schemas-microsoft-com:office:smarttags" w:element="stockticker">
        <w:r>
          <w:rPr>
            <w:sz w:val="22"/>
            <w:szCs w:val="22"/>
            <w:lang w:val="en-GB"/>
          </w:rPr>
          <w:t>PIR</w:t>
        </w:r>
      </w:smartTag>
      <w:r>
        <w:rPr>
          <w:sz w:val="22"/>
          <w:szCs w:val="22"/>
          <w:lang w:val="en-GB"/>
        </w:rPr>
        <w:t xml:space="preserve"> report. As mentioned above the mid-term and terminal evaluation will verify the information of the tracking tool.</w:t>
      </w:r>
    </w:p>
    <w:p w14:paraId="70586610" w14:textId="77777777" w:rsidR="00F07F81" w:rsidRDefault="00F07F81">
      <w:pPr>
        <w:spacing w:after="120"/>
        <w:outlineLvl w:val="0"/>
        <w:rPr>
          <w:b/>
          <w:smallCaps/>
          <w:sz w:val="22"/>
          <w:szCs w:val="22"/>
          <w:lang w:val="en-GB"/>
        </w:rPr>
      </w:pPr>
      <w:bookmarkStart w:id="96" w:name="_Toc209432664"/>
      <w:r>
        <w:rPr>
          <w:b/>
          <w:smallCaps/>
          <w:sz w:val="22"/>
          <w:szCs w:val="22"/>
          <w:lang w:val="en-GB"/>
        </w:rPr>
        <w:t>Section 7: Project Financing and Budget</w:t>
      </w:r>
      <w:bookmarkEnd w:id="96"/>
    </w:p>
    <w:p w14:paraId="0A5055D3" w14:textId="77777777" w:rsidR="00F07F81" w:rsidRDefault="00F07F81" w:rsidP="004B053A">
      <w:pPr>
        <w:numPr>
          <w:ilvl w:val="1"/>
          <w:numId w:val="5"/>
        </w:numPr>
        <w:spacing w:after="120"/>
        <w:outlineLvl w:val="1"/>
        <w:rPr>
          <w:b/>
          <w:sz w:val="22"/>
          <w:szCs w:val="22"/>
          <w:lang w:val="en-GB"/>
        </w:rPr>
      </w:pPr>
      <w:bookmarkStart w:id="97" w:name="_Toc209432665"/>
      <w:r>
        <w:rPr>
          <w:b/>
          <w:sz w:val="22"/>
          <w:szCs w:val="22"/>
          <w:lang w:val="en-GB"/>
        </w:rPr>
        <w:t>Overall project budget</w:t>
      </w:r>
      <w:bookmarkEnd w:id="97"/>
    </w:p>
    <w:p w14:paraId="46F9233E" w14:textId="77777777" w:rsidR="004C11FC" w:rsidRPr="00D97EF8" w:rsidRDefault="004C11FC" w:rsidP="004C11FC">
      <w:pPr>
        <w:numPr>
          <w:ilvl w:val="0"/>
          <w:numId w:val="3"/>
        </w:numPr>
        <w:spacing w:after="120"/>
        <w:ind w:left="0" w:firstLine="0"/>
        <w:jc w:val="both"/>
        <w:rPr>
          <w:sz w:val="22"/>
          <w:szCs w:val="22"/>
          <w:lang w:val="en-GB"/>
        </w:rPr>
      </w:pPr>
      <w:bookmarkStart w:id="98" w:name="_Toc209432667"/>
      <w:r>
        <w:rPr>
          <w:sz w:val="22"/>
          <w:szCs w:val="22"/>
          <w:lang w:val="en-GB"/>
        </w:rPr>
        <w:t>The overall budget for the project is US$71,060,00 of which US$15,000,000 will be financed by the GEF Trust Fund through the GEF International Waters focal area.</w:t>
      </w:r>
    </w:p>
    <w:p w14:paraId="5EC9E613" w14:textId="77777777" w:rsidR="00F07F81" w:rsidRDefault="00F07F81" w:rsidP="004B053A">
      <w:pPr>
        <w:numPr>
          <w:ilvl w:val="1"/>
          <w:numId w:val="5"/>
        </w:numPr>
        <w:spacing w:after="120"/>
        <w:outlineLvl w:val="1"/>
        <w:rPr>
          <w:b/>
          <w:sz w:val="22"/>
          <w:szCs w:val="22"/>
          <w:lang w:val="en-GB"/>
        </w:rPr>
      </w:pPr>
      <w:r>
        <w:rPr>
          <w:b/>
          <w:sz w:val="22"/>
          <w:szCs w:val="22"/>
          <w:lang w:val="en-GB"/>
        </w:rPr>
        <w:t>Project co-financing</w:t>
      </w:r>
      <w:bookmarkEnd w:id="98"/>
    </w:p>
    <w:p w14:paraId="028C5DF8" w14:textId="77777777" w:rsidR="00F07F81" w:rsidRDefault="004C11FC" w:rsidP="004C11FC">
      <w:pPr>
        <w:numPr>
          <w:ilvl w:val="0"/>
          <w:numId w:val="3"/>
        </w:numPr>
        <w:spacing w:after="120"/>
        <w:ind w:left="0" w:firstLine="0"/>
        <w:jc w:val="both"/>
        <w:rPr>
          <w:sz w:val="22"/>
          <w:szCs w:val="22"/>
          <w:lang w:val="en-GB"/>
        </w:rPr>
      </w:pPr>
      <w:r>
        <w:rPr>
          <w:sz w:val="22"/>
          <w:szCs w:val="22"/>
          <w:lang w:val="en-GB"/>
        </w:rPr>
        <w:t>The agency direct in-kind co-financing value for this project is estimated at approximately US$500,000 over the project period and will be provided through various UNEP divisions (DEPI, DEWA, and ROAP). In-kind co-financing of US$1,500,000 will also be provided by COBSEA.</w:t>
      </w:r>
    </w:p>
    <w:p w14:paraId="5DFD9842" w14:textId="77777777" w:rsidR="004C11FC" w:rsidRPr="004C11FC" w:rsidRDefault="004C11FC" w:rsidP="004C11FC">
      <w:pPr>
        <w:numPr>
          <w:ilvl w:val="0"/>
          <w:numId w:val="3"/>
        </w:numPr>
        <w:spacing w:after="120"/>
        <w:ind w:left="0" w:firstLine="0"/>
        <w:jc w:val="both"/>
        <w:rPr>
          <w:sz w:val="22"/>
          <w:szCs w:val="22"/>
          <w:lang w:val="en-GB"/>
        </w:rPr>
      </w:pPr>
      <w:r>
        <w:rPr>
          <w:sz w:val="22"/>
          <w:szCs w:val="22"/>
          <w:lang w:val="en-GB"/>
        </w:rPr>
        <w:t>The majority of the co-financing comes from the participating countries with a combined total in-kind co-financing of US$54,060,000. The total co-financing of this project is therefore US$56,060,000.</w:t>
      </w:r>
    </w:p>
    <w:p w14:paraId="64C6F96A" w14:textId="77777777" w:rsidR="00F07F81" w:rsidRDefault="00F07F81" w:rsidP="004B053A">
      <w:pPr>
        <w:numPr>
          <w:ilvl w:val="1"/>
          <w:numId w:val="5"/>
        </w:numPr>
        <w:spacing w:after="120"/>
        <w:outlineLvl w:val="1"/>
        <w:rPr>
          <w:b/>
          <w:sz w:val="22"/>
          <w:szCs w:val="22"/>
          <w:lang w:val="en-GB"/>
        </w:rPr>
      </w:pPr>
      <w:bookmarkStart w:id="99" w:name="_Toc209432669"/>
      <w:r>
        <w:rPr>
          <w:b/>
          <w:sz w:val="22"/>
          <w:szCs w:val="22"/>
          <w:lang w:val="en-GB"/>
        </w:rPr>
        <w:t>Project cost-effectiveness</w:t>
      </w:r>
      <w:bookmarkEnd w:id="99"/>
    </w:p>
    <w:p w14:paraId="405B3565" w14:textId="77777777" w:rsidR="00323051" w:rsidRPr="00323051" w:rsidRDefault="00323051" w:rsidP="00323051">
      <w:pPr>
        <w:numPr>
          <w:ilvl w:val="0"/>
          <w:numId w:val="3"/>
        </w:numPr>
        <w:ind w:left="0" w:firstLine="0"/>
        <w:jc w:val="both"/>
        <w:rPr>
          <w:sz w:val="22"/>
          <w:szCs w:val="22"/>
          <w:lang w:val="en-GB"/>
        </w:rPr>
      </w:pPr>
      <w:r>
        <w:rPr>
          <w:sz w:val="22"/>
          <w:szCs w:val="22"/>
          <w:lang w:val="en-GB"/>
        </w:rPr>
        <w:t>The Strategic Action Programme for the South China Sea</w:t>
      </w:r>
      <w:r w:rsidRPr="00323051">
        <w:rPr>
          <w:sz w:val="22"/>
          <w:szCs w:val="22"/>
          <w:lang w:val="en-GB"/>
        </w:rPr>
        <w:t xml:space="preserve"> encompasses an integrated, cross-sectorial environmental and natural resource management approach that is ideally suited to the unique scale of challenges facing the South China Sea marine basin </w:t>
      </w:r>
      <w:r w:rsidR="000A6E01">
        <w:rPr>
          <w:sz w:val="22"/>
          <w:szCs w:val="22"/>
          <w:lang w:val="en-GB"/>
        </w:rPr>
        <w:t xml:space="preserve">while simultaneously providing </w:t>
      </w:r>
      <w:r w:rsidRPr="00323051">
        <w:rPr>
          <w:sz w:val="22"/>
          <w:szCs w:val="22"/>
          <w:lang w:val="en-GB"/>
        </w:rPr>
        <w:t>a cost-effective delivery mechanism in a rapidly developing region. Through the project management framework designed for this project, synergies with existing and emerging projects at regional, sub-regional, national and local levels can be achieved and a more cost-effective and expansive engagement with stakeholders assured. This management approach will also reduce duplication and overlap thereby increasing project value. Additionally, the individual national work plans and budgets emphasize the sub-contracting of supporting national organisations rather than individual consultants. The former has been demonstrated to result in the more cost-effective delivery of high quality project outputs and result in greater national ownership of project results in the East Asian region. The project also has structures in place for the coordination of reporting and the sharing of lessons learned. This is deemed necessary to enable the cost-effective transfer of knowledge required to guide the replication and scaling-up of best practices.</w:t>
      </w:r>
    </w:p>
    <w:p w14:paraId="061C2E06" w14:textId="77777777" w:rsidR="00F07F81" w:rsidRDefault="00F07F81">
      <w:pPr>
        <w:spacing w:after="120"/>
        <w:outlineLvl w:val="1"/>
        <w:rPr>
          <w:b/>
          <w:sz w:val="22"/>
          <w:szCs w:val="22"/>
          <w:lang w:val="en-GB"/>
        </w:rPr>
      </w:pPr>
    </w:p>
    <w:p w14:paraId="021E56DA" w14:textId="77777777" w:rsidR="0045205F" w:rsidRDefault="0045205F" w:rsidP="0045205F">
      <w:pPr>
        <w:spacing w:after="120"/>
        <w:outlineLvl w:val="0"/>
        <w:rPr>
          <w:b/>
          <w:smallCaps/>
          <w:sz w:val="22"/>
          <w:szCs w:val="22"/>
          <w:lang w:val="en-GB"/>
        </w:rPr>
      </w:pPr>
      <w:r>
        <w:rPr>
          <w:b/>
          <w:smallCaps/>
          <w:sz w:val="22"/>
          <w:szCs w:val="22"/>
          <w:lang w:val="en-GB"/>
        </w:rPr>
        <w:t>Section 8: References</w:t>
      </w:r>
    </w:p>
    <w:p w14:paraId="60F6A549" w14:textId="77777777" w:rsidR="0045205F" w:rsidRPr="0045205F" w:rsidRDefault="0045205F" w:rsidP="0045205F">
      <w:pPr>
        <w:rPr>
          <w:rFonts w:eastAsia="Calibri"/>
          <w:b/>
          <w:sz w:val="22"/>
          <w:szCs w:val="22"/>
        </w:rPr>
      </w:pPr>
      <w:r w:rsidRPr="0045205F">
        <w:rPr>
          <w:rFonts w:eastAsia="Calibri"/>
          <w:b/>
          <w:sz w:val="22"/>
          <w:szCs w:val="22"/>
        </w:rPr>
        <w:t>References</w:t>
      </w:r>
    </w:p>
    <w:p w14:paraId="712FD549" w14:textId="77777777" w:rsidR="0045205F" w:rsidRPr="0045205F" w:rsidRDefault="0045205F" w:rsidP="0045205F">
      <w:pPr>
        <w:rPr>
          <w:rFonts w:eastAsia="Calibri"/>
          <w:sz w:val="22"/>
          <w:szCs w:val="22"/>
        </w:rPr>
      </w:pPr>
    </w:p>
    <w:p w14:paraId="53163459" w14:textId="77777777" w:rsidR="0045205F" w:rsidRDefault="0045205F" w:rsidP="0045205F">
      <w:pPr>
        <w:jc w:val="both"/>
        <w:rPr>
          <w:rFonts w:eastAsia="Calibri"/>
          <w:sz w:val="22"/>
          <w:szCs w:val="22"/>
        </w:rPr>
      </w:pPr>
      <w:r w:rsidRPr="0045205F">
        <w:rPr>
          <w:rFonts w:eastAsia="Calibri"/>
          <w:sz w:val="22"/>
          <w:szCs w:val="22"/>
        </w:rPr>
        <w:t>Basiron, M.N., Lexmond, S.M., 2013. Review of the legal aspects of environmental management in the South China Sea and Gulf of Thailand. Ocean &amp; Coastal Management 85, 256-266</w:t>
      </w:r>
      <w:r w:rsidR="004A6781">
        <w:rPr>
          <w:rFonts w:eastAsia="Calibri"/>
          <w:sz w:val="22"/>
          <w:szCs w:val="22"/>
        </w:rPr>
        <w:t>.</w:t>
      </w:r>
    </w:p>
    <w:p w14:paraId="15E32AA7" w14:textId="77777777" w:rsidR="004A6781" w:rsidRPr="0045205F" w:rsidRDefault="004A6781" w:rsidP="0045205F">
      <w:pPr>
        <w:jc w:val="both"/>
        <w:rPr>
          <w:rFonts w:eastAsia="Calibri"/>
          <w:sz w:val="22"/>
          <w:szCs w:val="22"/>
        </w:rPr>
      </w:pPr>
    </w:p>
    <w:p w14:paraId="46E806DC" w14:textId="77777777" w:rsidR="0045205F" w:rsidRDefault="004A6781" w:rsidP="0045205F">
      <w:pPr>
        <w:jc w:val="both"/>
        <w:rPr>
          <w:rFonts w:eastAsia="Calibri"/>
          <w:sz w:val="22"/>
          <w:szCs w:val="22"/>
        </w:rPr>
      </w:pPr>
      <w:r>
        <w:rPr>
          <w:rFonts w:eastAsia="Calibri"/>
          <w:sz w:val="22"/>
          <w:szCs w:val="22"/>
        </w:rPr>
        <w:t>Bewers, J.M. 1995. The declining influence of science on marine environmental policy. Chemistry and Ecology, 10:9-23.</w:t>
      </w:r>
    </w:p>
    <w:p w14:paraId="4E5BF69E" w14:textId="77777777" w:rsidR="004A6781" w:rsidRPr="0045205F" w:rsidRDefault="004A6781" w:rsidP="0045205F">
      <w:pPr>
        <w:jc w:val="both"/>
        <w:rPr>
          <w:rFonts w:eastAsia="Calibri"/>
          <w:sz w:val="22"/>
          <w:szCs w:val="22"/>
        </w:rPr>
      </w:pPr>
    </w:p>
    <w:p w14:paraId="3910FD4A" w14:textId="77777777" w:rsidR="0045205F" w:rsidRPr="0045205F" w:rsidRDefault="0045205F" w:rsidP="0045205F">
      <w:pPr>
        <w:jc w:val="both"/>
        <w:rPr>
          <w:rFonts w:eastAsia="Calibri"/>
          <w:sz w:val="22"/>
          <w:szCs w:val="22"/>
        </w:rPr>
      </w:pPr>
      <w:r w:rsidRPr="0045205F">
        <w:rPr>
          <w:rFonts w:eastAsia="Calibri"/>
          <w:sz w:val="22"/>
          <w:szCs w:val="22"/>
        </w:rPr>
        <w:t xml:space="preserve">Briggs, J.C., 2005a. The marine East Indies: diversity and speciation, </w:t>
      </w:r>
      <w:r w:rsidRPr="0045205F">
        <w:rPr>
          <w:rFonts w:eastAsia="Calibri"/>
          <w:i/>
          <w:iCs/>
          <w:sz w:val="22"/>
          <w:szCs w:val="22"/>
        </w:rPr>
        <w:t xml:space="preserve">Journal of Biogeography </w:t>
      </w:r>
      <w:r w:rsidRPr="0045205F">
        <w:rPr>
          <w:rFonts w:eastAsia="Calibri"/>
          <w:b/>
          <w:bCs/>
          <w:sz w:val="22"/>
          <w:szCs w:val="22"/>
        </w:rPr>
        <w:t>32</w:t>
      </w:r>
      <w:r w:rsidRPr="0045205F">
        <w:rPr>
          <w:rFonts w:eastAsia="Calibri"/>
          <w:sz w:val="22"/>
          <w:szCs w:val="22"/>
        </w:rPr>
        <w:t>: 1517–1522.</w:t>
      </w:r>
    </w:p>
    <w:p w14:paraId="5BD1DD51" w14:textId="77777777" w:rsidR="0045205F" w:rsidRPr="0045205F" w:rsidRDefault="0045205F" w:rsidP="0045205F">
      <w:pPr>
        <w:jc w:val="both"/>
        <w:rPr>
          <w:rFonts w:eastAsia="Calibri"/>
          <w:sz w:val="22"/>
          <w:szCs w:val="22"/>
        </w:rPr>
      </w:pPr>
    </w:p>
    <w:p w14:paraId="1D2459AC" w14:textId="77777777" w:rsidR="0045205F" w:rsidRPr="0045205F" w:rsidRDefault="0045205F" w:rsidP="0045205F">
      <w:pPr>
        <w:jc w:val="both"/>
        <w:rPr>
          <w:rFonts w:eastAsia="Calibri"/>
          <w:sz w:val="22"/>
          <w:szCs w:val="22"/>
        </w:rPr>
      </w:pPr>
      <w:r w:rsidRPr="0045205F">
        <w:rPr>
          <w:rFonts w:eastAsia="Calibri"/>
          <w:sz w:val="22"/>
          <w:szCs w:val="22"/>
        </w:rPr>
        <w:t xml:space="preserve">Briggs, J.C., 2005b. Coral reefs: conserving the evolutionary sources, </w:t>
      </w:r>
      <w:r w:rsidRPr="0045205F">
        <w:rPr>
          <w:rFonts w:eastAsia="Calibri"/>
          <w:i/>
          <w:iCs/>
          <w:sz w:val="22"/>
          <w:szCs w:val="22"/>
        </w:rPr>
        <w:t xml:space="preserve">Biological Conservation </w:t>
      </w:r>
      <w:r w:rsidRPr="0045205F">
        <w:rPr>
          <w:rFonts w:eastAsia="Calibri"/>
          <w:b/>
          <w:bCs/>
          <w:sz w:val="22"/>
          <w:szCs w:val="22"/>
        </w:rPr>
        <w:t>126</w:t>
      </w:r>
      <w:r w:rsidRPr="0045205F">
        <w:rPr>
          <w:rFonts w:eastAsia="Calibri"/>
          <w:sz w:val="22"/>
          <w:szCs w:val="22"/>
        </w:rPr>
        <w:t>: 297–305.</w:t>
      </w:r>
    </w:p>
    <w:p w14:paraId="1690EEE2" w14:textId="77777777" w:rsidR="0045205F" w:rsidRPr="0045205F" w:rsidRDefault="0045205F" w:rsidP="0045205F">
      <w:pPr>
        <w:jc w:val="both"/>
        <w:rPr>
          <w:rFonts w:eastAsia="Calibri"/>
          <w:sz w:val="22"/>
          <w:szCs w:val="22"/>
        </w:rPr>
      </w:pPr>
    </w:p>
    <w:p w14:paraId="51290DF2" w14:textId="77777777" w:rsidR="0045205F" w:rsidRPr="0045205F" w:rsidRDefault="0045205F" w:rsidP="0045205F">
      <w:pPr>
        <w:jc w:val="both"/>
        <w:rPr>
          <w:rFonts w:eastAsia="Calibri"/>
          <w:sz w:val="22"/>
          <w:szCs w:val="22"/>
          <w:lang w:val="en-GB"/>
        </w:rPr>
      </w:pPr>
      <w:r w:rsidRPr="0045205F">
        <w:rPr>
          <w:rFonts w:eastAsia="Calibri"/>
          <w:sz w:val="22"/>
          <w:szCs w:val="22"/>
          <w:lang w:val="en-GB"/>
        </w:rPr>
        <w:t>Burke, L., Selig, E. and Spalding. M., 2002. Reefs at Risk in Southeast Asia. World Resources Institute, Washington, DC.</w:t>
      </w:r>
    </w:p>
    <w:p w14:paraId="2F08DF72" w14:textId="77777777" w:rsidR="0045205F" w:rsidRPr="0045205F" w:rsidRDefault="0045205F" w:rsidP="0045205F">
      <w:pPr>
        <w:jc w:val="both"/>
        <w:rPr>
          <w:rFonts w:eastAsia="Calibri"/>
          <w:sz w:val="22"/>
          <w:szCs w:val="22"/>
        </w:rPr>
      </w:pPr>
    </w:p>
    <w:p w14:paraId="0270ECCA" w14:textId="77777777" w:rsidR="0045205F" w:rsidRPr="0045205F" w:rsidRDefault="0045205F" w:rsidP="0045205F">
      <w:pPr>
        <w:jc w:val="both"/>
        <w:rPr>
          <w:rFonts w:eastAsia="Calibri"/>
          <w:sz w:val="22"/>
          <w:szCs w:val="22"/>
        </w:rPr>
      </w:pPr>
      <w:r w:rsidRPr="0045205F">
        <w:rPr>
          <w:rFonts w:eastAsia="Calibri"/>
          <w:sz w:val="22"/>
          <w:szCs w:val="22"/>
          <w:lang w:val="en-GB"/>
        </w:rPr>
        <w:t>Chan, H.T., Ong, J.E., Gong, W.K. and Sasekumar, A., 1996. The socio-economic, ecological and environment values of mangrove ecosystems in Malaysia and their present state of conservation. In: The economic and environment values of mangrove forest and their present state of conservation in the South-east Aisa/Pacific region, Clough BF (ed.), International Society of Mangrove ecosystems. Mangrove ecosystems Technical Report Vol. 1</w:t>
      </w:r>
    </w:p>
    <w:p w14:paraId="4138A2BA" w14:textId="77777777" w:rsidR="0045205F" w:rsidRPr="0045205F" w:rsidRDefault="0045205F" w:rsidP="0045205F">
      <w:pPr>
        <w:jc w:val="both"/>
        <w:rPr>
          <w:rFonts w:eastAsia="Calibri"/>
          <w:sz w:val="22"/>
          <w:szCs w:val="22"/>
        </w:rPr>
      </w:pPr>
    </w:p>
    <w:p w14:paraId="34C78CE5" w14:textId="77777777" w:rsidR="0045205F" w:rsidRPr="0045205F" w:rsidRDefault="0045205F" w:rsidP="0045205F">
      <w:pPr>
        <w:jc w:val="both"/>
        <w:rPr>
          <w:rFonts w:eastAsia="Calibri"/>
          <w:sz w:val="22"/>
          <w:szCs w:val="22"/>
        </w:rPr>
      </w:pPr>
      <w:r w:rsidRPr="0045205F">
        <w:rPr>
          <w:rFonts w:eastAsia="Calibri"/>
          <w:sz w:val="22"/>
          <w:szCs w:val="22"/>
        </w:rPr>
        <w:t>Chen, S. 2013. Environmental cooperation in the South China Sea: Factors, actors and mechanisms. Ocean and Coastal Management, 85(b): 131-140</w:t>
      </w:r>
    </w:p>
    <w:p w14:paraId="6674F712" w14:textId="77777777" w:rsidR="0045205F" w:rsidRPr="0045205F" w:rsidRDefault="0045205F" w:rsidP="0045205F">
      <w:pPr>
        <w:jc w:val="both"/>
        <w:rPr>
          <w:rFonts w:eastAsia="Calibri"/>
          <w:sz w:val="22"/>
          <w:szCs w:val="22"/>
        </w:rPr>
      </w:pPr>
    </w:p>
    <w:p w14:paraId="30374B20" w14:textId="77777777" w:rsidR="0045205F" w:rsidRPr="0045205F" w:rsidRDefault="0045205F" w:rsidP="0045205F">
      <w:pPr>
        <w:jc w:val="both"/>
        <w:rPr>
          <w:rFonts w:eastAsia="Calibri"/>
          <w:sz w:val="22"/>
          <w:szCs w:val="22"/>
        </w:rPr>
      </w:pPr>
      <w:r w:rsidRPr="0045205F">
        <w:rPr>
          <w:rFonts w:eastAsia="Calibri"/>
          <w:sz w:val="22"/>
          <w:szCs w:val="22"/>
        </w:rPr>
        <w:t>Chen, S., Pernetta, J.C. and Duda, A.M., 2013. Toward a new paradigm for transboundary water governance: implementing regional frameworks through local actions. Ocean and Coastal Management, 85(b): 244-256.</w:t>
      </w:r>
    </w:p>
    <w:p w14:paraId="5449DF71" w14:textId="77777777" w:rsidR="0045205F" w:rsidRPr="0045205F" w:rsidRDefault="0045205F" w:rsidP="0045205F">
      <w:pPr>
        <w:jc w:val="both"/>
        <w:rPr>
          <w:rFonts w:eastAsia="Calibri"/>
          <w:sz w:val="22"/>
          <w:szCs w:val="22"/>
        </w:rPr>
      </w:pPr>
    </w:p>
    <w:p w14:paraId="310DE392" w14:textId="77777777" w:rsidR="0045205F" w:rsidRPr="0045205F" w:rsidRDefault="0045205F" w:rsidP="0045205F">
      <w:pPr>
        <w:jc w:val="both"/>
        <w:rPr>
          <w:rFonts w:eastAsia="Calibri"/>
          <w:sz w:val="22"/>
          <w:szCs w:val="22"/>
        </w:rPr>
      </w:pPr>
      <w:r w:rsidRPr="0045205F">
        <w:rPr>
          <w:rFonts w:eastAsia="Calibri"/>
          <w:sz w:val="22"/>
          <w:szCs w:val="22"/>
          <w:lang w:val="en"/>
        </w:rPr>
        <w:t xml:space="preserve">Costanza, R, </w:t>
      </w:r>
      <w:r w:rsidRPr="0045205F">
        <w:rPr>
          <w:rFonts w:eastAsia="Calibri"/>
          <w:sz w:val="22"/>
          <w:szCs w:val="22"/>
          <w:lang w:val="en-GB"/>
        </w:rPr>
        <w:t>R. D'arge, R. De Groot, S Farber. M. Grasso, B. Hannon, K.</w:t>
      </w:r>
      <w:r w:rsidRPr="0045205F">
        <w:rPr>
          <w:rFonts w:eastAsia="Calibri"/>
          <w:sz w:val="22"/>
          <w:szCs w:val="22"/>
          <w:lang w:val="en"/>
        </w:rPr>
        <w:t xml:space="preserve"> </w:t>
      </w:r>
      <w:r w:rsidRPr="0045205F">
        <w:rPr>
          <w:rFonts w:eastAsia="Calibri"/>
          <w:sz w:val="22"/>
          <w:szCs w:val="22"/>
          <w:lang w:val="en-GB"/>
        </w:rPr>
        <w:t>Limburg, S.</w:t>
      </w:r>
      <w:r w:rsidRPr="0045205F">
        <w:rPr>
          <w:rFonts w:eastAsia="Calibri"/>
          <w:sz w:val="22"/>
          <w:szCs w:val="22"/>
          <w:lang w:val="en"/>
        </w:rPr>
        <w:t xml:space="preserve"> </w:t>
      </w:r>
      <w:r w:rsidRPr="0045205F">
        <w:rPr>
          <w:rFonts w:eastAsia="Calibri"/>
          <w:sz w:val="22"/>
          <w:szCs w:val="22"/>
          <w:lang w:val="en-GB"/>
        </w:rPr>
        <w:t>Naeem, R. O'neill,</w:t>
      </w:r>
      <w:r w:rsidRPr="0045205F">
        <w:rPr>
          <w:rFonts w:eastAsia="Calibri"/>
          <w:sz w:val="22"/>
          <w:szCs w:val="22"/>
          <w:lang w:val="en"/>
        </w:rPr>
        <w:t xml:space="preserve"> </w:t>
      </w:r>
      <w:r w:rsidRPr="0045205F">
        <w:rPr>
          <w:rFonts w:eastAsia="Calibri"/>
          <w:sz w:val="22"/>
          <w:szCs w:val="22"/>
          <w:lang w:val="en-GB"/>
        </w:rPr>
        <w:t>J. Paruelo</w:t>
      </w:r>
      <w:r w:rsidRPr="0045205F">
        <w:rPr>
          <w:rFonts w:eastAsia="Calibri"/>
          <w:sz w:val="22"/>
          <w:szCs w:val="22"/>
          <w:lang w:val="en"/>
        </w:rPr>
        <w:t xml:space="preserve">, </w:t>
      </w:r>
      <w:r w:rsidRPr="0045205F">
        <w:rPr>
          <w:rFonts w:eastAsia="Calibri"/>
          <w:sz w:val="22"/>
          <w:szCs w:val="22"/>
          <w:lang w:val="en-GB"/>
        </w:rPr>
        <w:t>G. Raskin, P. Sutton, and M. Van Den Belt</w:t>
      </w:r>
      <w:r w:rsidRPr="0045205F">
        <w:rPr>
          <w:rFonts w:eastAsia="Calibri"/>
          <w:sz w:val="22"/>
          <w:szCs w:val="22"/>
          <w:lang w:val="en"/>
        </w:rPr>
        <w:t xml:space="preserve">, 1997. The value of the world's ecosystem services and natural capital. Nature 387:253-260 </w:t>
      </w:r>
    </w:p>
    <w:p w14:paraId="7CE012A1" w14:textId="77777777" w:rsidR="0045205F" w:rsidRPr="0045205F" w:rsidRDefault="0045205F" w:rsidP="0045205F">
      <w:pPr>
        <w:jc w:val="both"/>
        <w:rPr>
          <w:rFonts w:eastAsia="Calibri"/>
          <w:sz w:val="22"/>
          <w:szCs w:val="22"/>
        </w:rPr>
      </w:pPr>
    </w:p>
    <w:p w14:paraId="3B37AC57" w14:textId="77777777" w:rsidR="0045205F" w:rsidRPr="0045205F" w:rsidRDefault="0045205F" w:rsidP="0045205F">
      <w:pPr>
        <w:jc w:val="both"/>
        <w:rPr>
          <w:rFonts w:eastAsia="Calibri"/>
          <w:sz w:val="22"/>
          <w:szCs w:val="22"/>
        </w:rPr>
      </w:pPr>
      <w:r w:rsidRPr="0045205F">
        <w:rPr>
          <w:rFonts w:eastAsia="Calibri"/>
          <w:sz w:val="22"/>
          <w:szCs w:val="22"/>
        </w:rPr>
        <w:t>Fan, H., He, B. and Pernetta, J.C., 2013. Mangrove ecofarming in Guanxi Province, China: an innovative approach to sustainable mangrove use. Ocean and Coastal Management, 85(b): 201-208</w:t>
      </w:r>
    </w:p>
    <w:p w14:paraId="61DB5733" w14:textId="77777777" w:rsidR="0045205F" w:rsidRPr="0045205F" w:rsidRDefault="0045205F" w:rsidP="0045205F">
      <w:pPr>
        <w:jc w:val="both"/>
        <w:rPr>
          <w:rFonts w:eastAsia="Calibri"/>
          <w:sz w:val="22"/>
          <w:szCs w:val="22"/>
        </w:rPr>
      </w:pPr>
    </w:p>
    <w:p w14:paraId="36AD3850" w14:textId="77777777" w:rsidR="0045205F" w:rsidRPr="0045205F" w:rsidRDefault="0045205F" w:rsidP="0045205F">
      <w:pPr>
        <w:jc w:val="both"/>
        <w:rPr>
          <w:sz w:val="22"/>
          <w:szCs w:val="22"/>
          <w:lang w:val="en-GB" w:bidi="th-TH"/>
        </w:rPr>
      </w:pPr>
      <w:r w:rsidRPr="0045205F">
        <w:rPr>
          <w:sz w:val="22"/>
          <w:szCs w:val="22"/>
          <w:lang w:val="en-GB" w:bidi="th-TH"/>
        </w:rPr>
        <w:t>FAO, 2007. The world’s mangroves 1980-2005. FAO Forestry Paper, 153. Food and Agriculture Organization of the United Nations, Rome, Italy. 89 pp.</w:t>
      </w:r>
    </w:p>
    <w:p w14:paraId="2E562769" w14:textId="77777777" w:rsidR="0045205F" w:rsidRDefault="0045205F" w:rsidP="0045205F">
      <w:pPr>
        <w:jc w:val="both"/>
        <w:rPr>
          <w:rFonts w:eastAsia="Calibri"/>
          <w:sz w:val="22"/>
          <w:szCs w:val="22"/>
        </w:rPr>
      </w:pPr>
    </w:p>
    <w:p w14:paraId="3A32B286" w14:textId="77777777" w:rsidR="00231A5E" w:rsidRDefault="00231A5E" w:rsidP="0045205F">
      <w:pPr>
        <w:jc w:val="both"/>
        <w:rPr>
          <w:rFonts w:eastAsia="Calibri"/>
          <w:sz w:val="22"/>
          <w:szCs w:val="22"/>
        </w:rPr>
      </w:pPr>
      <w:r>
        <w:rPr>
          <w:rFonts w:eastAsia="Calibri"/>
          <w:sz w:val="22"/>
          <w:szCs w:val="22"/>
        </w:rPr>
        <w:t>FAO, 2014. The State of World Fisheries and Aquaculture: Opportunities and Challenges. Food and Agriculture Organization of the United Nations, Rome. 243 pp.</w:t>
      </w:r>
    </w:p>
    <w:p w14:paraId="45F78E2E" w14:textId="77777777" w:rsidR="00231A5E" w:rsidRPr="0045205F" w:rsidRDefault="00231A5E" w:rsidP="0045205F">
      <w:pPr>
        <w:jc w:val="both"/>
        <w:rPr>
          <w:rFonts w:eastAsia="Calibri"/>
          <w:sz w:val="22"/>
          <w:szCs w:val="22"/>
        </w:rPr>
      </w:pPr>
    </w:p>
    <w:p w14:paraId="451649D6" w14:textId="77777777" w:rsidR="0045205F" w:rsidRPr="0045205F" w:rsidRDefault="0045205F" w:rsidP="0045205F">
      <w:pPr>
        <w:jc w:val="both"/>
        <w:rPr>
          <w:rFonts w:eastAsia="Calibri"/>
          <w:sz w:val="22"/>
          <w:szCs w:val="22"/>
          <w:lang w:val="en-GB"/>
        </w:rPr>
      </w:pPr>
      <w:r w:rsidRPr="0045205F">
        <w:rPr>
          <w:rFonts w:eastAsia="Calibri"/>
          <w:sz w:val="22"/>
          <w:szCs w:val="22"/>
          <w:lang w:val="en-GB"/>
        </w:rPr>
        <w:t>GEF, 1996. Operational Strategy. Washington, DC: Global Environment Facility.</w:t>
      </w:r>
    </w:p>
    <w:p w14:paraId="031B6964" w14:textId="77777777" w:rsidR="0045205F" w:rsidRPr="0045205F" w:rsidRDefault="0045205F" w:rsidP="0045205F">
      <w:pPr>
        <w:jc w:val="both"/>
        <w:rPr>
          <w:rFonts w:eastAsia="Calibri"/>
          <w:sz w:val="22"/>
          <w:szCs w:val="22"/>
          <w:lang w:val="en-GB"/>
        </w:rPr>
      </w:pPr>
    </w:p>
    <w:p w14:paraId="4DA6E237" w14:textId="77777777" w:rsidR="0045205F" w:rsidRPr="0045205F" w:rsidRDefault="0045205F" w:rsidP="0045205F">
      <w:pPr>
        <w:jc w:val="both"/>
        <w:rPr>
          <w:rFonts w:eastAsia="Calibri"/>
          <w:sz w:val="22"/>
          <w:szCs w:val="22"/>
          <w:lang w:val="en-GB"/>
        </w:rPr>
      </w:pPr>
      <w:r w:rsidRPr="0045205F">
        <w:rPr>
          <w:rFonts w:eastAsia="Calibri"/>
          <w:sz w:val="22"/>
          <w:szCs w:val="22"/>
          <w:lang w:val="en-GB"/>
        </w:rPr>
        <w:t>GEF, 1997. GEF Operational Programs. Washington, DC: Global Environment Facility.</w:t>
      </w:r>
    </w:p>
    <w:p w14:paraId="16413D5D" w14:textId="77777777" w:rsidR="0045205F" w:rsidRDefault="0045205F" w:rsidP="0045205F">
      <w:pPr>
        <w:jc w:val="both"/>
        <w:rPr>
          <w:rFonts w:eastAsia="Calibri"/>
          <w:sz w:val="22"/>
          <w:szCs w:val="22"/>
        </w:rPr>
      </w:pPr>
    </w:p>
    <w:p w14:paraId="5FDBDA0C" w14:textId="77777777" w:rsidR="00902E5C" w:rsidRDefault="00902E5C" w:rsidP="0045205F">
      <w:pPr>
        <w:jc w:val="both"/>
        <w:rPr>
          <w:rFonts w:eastAsia="Calibri"/>
          <w:sz w:val="22"/>
          <w:szCs w:val="22"/>
        </w:rPr>
      </w:pPr>
      <w:r>
        <w:rPr>
          <w:rFonts w:eastAsia="Calibri"/>
          <w:sz w:val="22"/>
          <w:szCs w:val="22"/>
        </w:rPr>
        <w:t>GEF, 2012. Policy on Gender Mainstreaming. Washington, DC: Global Environment Facility.</w:t>
      </w:r>
    </w:p>
    <w:p w14:paraId="1048E038" w14:textId="77777777" w:rsidR="00902E5C" w:rsidRPr="0045205F" w:rsidRDefault="00902E5C" w:rsidP="0045205F">
      <w:pPr>
        <w:jc w:val="both"/>
        <w:rPr>
          <w:rFonts w:eastAsia="Calibri"/>
          <w:sz w:val="22"/>
          <w:szCs w:val="22"/>
        </w:rPr>
      </w:pPr>
    </w:p>
    <w:p w14:paraId="56CE805C" w14:textId="77777777" w:rsidR="0045205F" w:rsidRPr="0045205F" w:rsidRDefault="0045205F" w:rsidP="0045205F">
      <w:pPr>
        <w:jc w:val="both"/>
        <w:rPr>
          <w:sz w:val="22"/>
          <w:szCs w:val="22"/>
          <w:lang w:val="en-GB" w:bidi="th-TH"/>
        </w:rPr>
      </w:pPr>
      <w:r w:rsidRPr="0045205F">
        <w:rPr>
          <w:sz w:val="22"/>
          <w:szCs w:val="22"/>
          <w:lang w:val="en-GB" w:bidi="th-TH"/>
        </w:rPr>
        <w:t>Green, E.P. and Short, F.T. (eds.), 2003. World Atlas of Seagrasses. University of California Press, Berkeley, CA. 298 pp.</w:t>
      </w:r>
    </w:p>
    <w:p w14:paraId="4B1F3638" w14:textId="77777777" w:rsidR="0045205F" w:rsidRPr="0045205F" w:rsidRDefault="0045205F" w:rsidP="0045205F">
      <w:pPr>
        <w:jc w:val="both"/>
        <w:rPr>
          <w:rFonts w:eastAsia="Calibri"/>
          <w:sz w:val="22"/>
          <w:szCs w:val="22"/>
        </w:rPr>
      </w:pPr>
    </w:p>
    <w:p w14:paraId="076FD24C" w14:textId="77777777" w:rsidR="0045205F" w:rsidRPr="0045205F" w:rsidRDefault="0045205F" w:rsidP="0045205F">
      <w:pPr>
        <w:jc w:val="both"/>
        <w:rPr>
          <w:rFonts w:eastAsia="Calibri"/>
          <w:sz w:val="22"/>
          <w:szCs w:val="22"/>
        </w:rPr>
      </w:pPr>
      <w:r w:rsidRPr="0045205F">
        <w:rPr>
          <w:rFonts w:eastAsia="Calibri"/>
          <w:sz w:val="22"/>
          <w:szCs w:val="22"/>
        </w:rPr>
        <w:t>Hass, P.M., 1989. Do regimes matter? Epistemic communities and Mediterranean pollution control. International Organization, 43(3): 377-403.</w:t>
      </w:r>
    </w:p>
    <w:p w14:paraId="67E359D1" w14:textId="77777777" w:rsidR="0045205F" w:rsidRPr="0045205F" w:rsidRDefault="0045205F" w:rsidP="0045205F">
      <w:pPr>
        <w:jc w:val="both"/>
        <w:rPr>
          <w:rFonts w:eastAsia="Calibri"/>
          <w:sz w:val="22"/>
          <w:szCs w:val="22"/>
        </w:rPr>
      </w:pPr>
    </w:p>
    <w:p w14:paraId="17F98736" w14:textId="77777777" w:rsidR="0045205F" w:rsidRPr="0045205F" w:rsidRDefault="0045205F" w:rsidP="0045205F">
      <w:pPr>
        <w:jc w:val="both"/>
        <w:rPr>
          <w:rFonts w:eastAsia="Calibri"/>
          <w:sz w:val="22"/>
          <w:szCs w:val="22"/>
        </w:rPr>
      </w:pPr>
      <w:r w:rsidRPr="0045205F">
        <w:rPr>
          <w:rFonts w:eastAsia="Calibri"/>
          <w:sz w:val="22"/>
          <w:szCs w:val="22"/>
        </w:rPr>
        <w:t>Haas, P.M., 1992. Introduction: epistemic communities and international policy coordination. International Organization,46(1): 1-35.</w:t>
      </w:r>
    </w:p>
    <w:p w14:paraId="5AC4E5C0" w14:textId="77777777" w:rsidR="0045205F" w:rsidRPr="0045205F" w:rsidRDefault="0045205F" w:rsidP="0045205F">
      <w:pPr>
        <w:jc w:val="both"/>
        <w:rPr>
          <w:rFonts w:eastAsia="Calibri"/>
          <w:sz w:val="22"/>
          <w:szCs w:val="22"/>
        </w:rPr>
      </w:pPr>
    </w:p>
    <w:p w14:paraId="4EAEED5C" w14:textId="77777777" w:rsidR="0045205F" w:rsidRPr="0045205F" w:rsidRDefault="0045205F" w:rsidP="0045205F">
      <w:pPr>
        <w:autoSpaceDE w:val="0"/>
        <w:autoSpaceDN w:val="0"/>
        <w:adjustRightInd w:val="0"/>
        <w:jc w:val="both"/>
        <w:rPr>
          <w:bCs/>
          <w:sz w:val="22"/>
          <w:szCs w:val="22"/>
          <w:lang w:bidi="th-TH"/>
        </w:rPr>
      </w:pPr>
      <w:r w:rsidRPr="0045205F">
        <w:rPr>
          <w:bCs/>
          <w:color w:val="231F20"/>
          <w:sz w:val="22"/>
          <w:szCs w:val="22"/>
          <w:lang w:bidi="th-TH"/>
        </w:rPr>
        <w:t xml:space="preserve">Hoeksema B.W., Dautova, T.N., Savinkin, O.V., Vo, S.T., Hoang, X.B., Phan, K.H. and Hoang, T.D., 2010. </w:t>
      </w:r>
      <w:r w:rsidRPr="0045205F">
        <w:rPr>
          <w:color w:val="231F20"/>
          <w:sz w:val="22"/>
          <w:szCs w:val="22"/>
          <w:lang w:bidi="th-TH"/>
        </w:rPr>
        <w:t xml:space="preserve">The Westernmost Record of the Coral </w:t>
      </w:r>
      <w:r w:rsidRPr="0045205F">
        <w:rPr>
          <w:i/>
          <w:iCs/>
          <w:color w:val="231F20"/>
          <w:sz w:val="22"/>
          <w:szCs w:val="22"/>
          <w:lang w:bidi="th-TH"/>
        </w:rPr>
        <w:t>Leptoseris kalayaanensis</w:t>
      </w:r>
      <w:r w:rsidRPr="0045205F">
        <w:rPr>
          <w:color w:val="231F20"/>
          <w:sz w:val="22"/>
          <w:szCs w:val="22"/>
          <w:lang w:bidi="th-TH"/>
        </w:rPr>
        <w:t xml:space="preserve"> in the South China Sea. </w:t>
      </w:r>
      <w:r w:rsidRPr="0045205F">
        <w:rPr>
          <w:bCs/>
          <w:i/>
          <w:iCs/>
          <w:color w:val="231F20"/>
          <w:sz w:val="22"/>
          <w:szCs w:val="22"/>
          <w:lang w:bidi="th-TH"/>
        </w:rPr>
        <w:t>Zoological Studies,</w:t>
      </w:r>
      <w:r w:rsidRPr="0045205F">
        <w:rPr>
          <w:bCs/>
          <w:color w:val="231F20"/>
          <w:sz w:val="22"/>
          <w:szCs w:val="22"/>
          <w:lang w:bidi="th-TH"/>
        </w:rPr>
        <w:t xml:space="preserve"> </w:t>
      </w:r>
      <w:r w:rsidRPr="0045205F">
        <w:rPr>
          <w:color w:val="231F20"/>
          <w:sz w:val="22"/>
          <w:szCs w:val="22"/>
          <w:lang w:bidi="th-TH"/>
        </w:rPr>
        <w:t>49</w:t>
      </w:r>
      <w:r w:rsidRPr="0045205F">
        <w:rPr>
          <w:bCs/>
          <w:color w:val="231F20"/>
          <w:sz w:val="22"/>
          <w:szCs w:val="22"/>
          <w:lang w:bidi="th-TH"/>
        </w:rPr>
        <w:t>(3): 325</w:t>
      </w:r>
    </w:p>
    <w:p w14:paraId="27D4D0DE" w14:textId="77777777" w:rsidR="0045205F" w:rsidRDefault="0045205F" w:rsidP="0045205F">
      <w:pPr>
        <w:jc w:val="both"/>
        <w:rPr>
          <w:rFonts w:eastAsia="Calibri"/>
          <w:sz w:val="22"/>
          <w:szCs w:val="22"/>
        </w:rPr>
      </w:pPr>
    </w:p>
    <w:p w14:paraId="2A5DA473" w14:textId="77777777" w:rsidR="002F53B8" w:rsidRDefault="002F53B8" w:rsidP="0045205F">
      <w:pPr>
        <w:jc w:val="both"/>
        <w:rPr>
          <w:rFonts w:eastAsia="Calibri"/>
          <w:sz w:val="22"/>
          <w:szCs w:val="22"/>
        </w:rPr>
      </w:pPr>
      <w:r>
        <w:rPr>
          <w:rFonts w:eastAsia="Calibri"/>
          <w:sz w:val="22"/>
          <w:szCs w:val="22"/>
        </w:rPr>
        <w:t>International Hydrographic Organization (IHO), 1953. Limits of Oceans and Seas. Third Edition.</w:t>
      </w:r>
    </w:p>
    <w:p w14:paraId="657A9469" w14:textId="77777777" w:rsidR="00250AB6" w:rsidRDefault="00250AB6" w:rsidP="0045205F">
      <w:pPr>
        <w:jc w:val="both"/>
        <w:rPr>
          <w:rFonts w:eastAsia="Calibri"/>
          <w:sz w:val="22"/>
          <w:szCs w:val="22"/>
        </w:rPr>
      </w:pPr>
    </w:p>
    <w:p w14:paraId="2A9C68AC" w14:textId="77777777" w:rsidR="00250AB6" w:rsidRDefault="00250AB6" w:rsidP="0045205F">
      <w:pPr>
        <w:jc w:val="both"/>
        <w:rPr>
          <w:rFonts w:eastAsia="Calibri"/>
          <w:sz w:val="22"/>
          <w:szCs w:val="22"/>
        </w:rPr>
      </w:pPr>
      <w:r>
        <w:rPr>
          <w:rFonts w:eastAsia="Calibri"/>
          <w:sz w:val="22"/>
          <w:szCs w:val="22"/>
        </w:rPr>
        <w:t>IOC-UNESCO and UNEP, 2016</w:t>
      </w:r>
      <w:r w:rsidRPr="00250AB6">
        <w:rPr>
          <w:rFonts w:eastAsia="Calibri"/>
          <w:sz w:val="22"/>
          <w:szCs w:val="22"/>
        </w:rPr>
        <w:t>. Large Marine Ecosystems: Status and Trends, Summary for Policy Makers. United Nations Environment Programme (UNEP), Nairobi.</w:t>
      </w:r>
    </w:p>
    <w:p w14:paraId="4D6850DF" w14:textId="77777777" w:rsidR="002F53B8" w:rsidRDefault="002F53B8" w:rsidP="0045205F">
      <w:pPr>
        <w:jc w:val="both"/>
        <w:rPr>
          <w:rFonts w:eastAsia="Calibri"/>
          <w:sz w:val="22"/>
          <w:szCs w:val="22"/>
        </w:rPr>
      </w:pPr>
    </w:p>
    <w:p w14:paraId="35F3524E" w14:textId="77777777" w:rsidR="008F39E3" w:rsidRDefault="008F39E3" w:rsidP="0045205F">
      <w:pPr>
        <w:jc w:val="both"/>
        <w:rPr>
          <w:rFonts w:eastAsia="Calibri"/>
          <w:sz w:val="22"/>
          <w:szCs w:val="22"/>
        </w:rPr>
      </w:pPr>
      <w:r>
        <w:rPr>
          <w:rFonts w:eastAsia="Calibri"/>
          <w:sz w:val="22"/>
          <w:szCs w:val="22"/>
        </w:rPr>
        <w:t>Jeftic, L., 1993. Integrated coastal zone management in the Meditteranean Action Plan of UNEP. In Proceedings of MEDCOAST ’93, ed. E. Ozhan, 465-882. Middle East Technical University, Ankara, Turkey.</w:t>
      </w:r>
    </w:p>
    <w:p w14:paraId="52A94543" w14:textId="77777777" w:rsidR="008F39E3" w:rsidRPr="0045205F" w:rsidRDefault="008F39E3" w:rsidP="0045205F">
      <w:pPr>
        <w:jc w:val="both"/>
        <w:rPr>
          <w:rFonts w:eastAsia="Calibri"/>
          <w:sz w:val="22"/>
          <w:szCs w:val="22"/>
        </w:rPr>
      </w:pPr>
    </w:p>
    <w:p w14:paraId="42D30DC1" w14:textId="77777777" w:rsidR="0045205F" w:rsidRPr="0045205F" w:rsidRDefault="0045205F" w:rsidP="0045205F">
      <w:pPr>
        <w:jc w:val="both"/>
        <w:rPr>
          <w:rFonts w:eastAsia="Calibri"/>
          <w:sz w:val="22"/>
          <w:szCs w:val="22"/>
        </w:rPr>
      </w:pPr>
      <w:r w:rsidRPr="0045205F">
        <w:rPr>
          <w:rFonts w:eastAsia="Calibri"/>
          <w:sz w:val="22"/>
          <w:szCs w:val="22"/>
        </w:rPr>
        <w:t>Knorr-Cetina, K., 1999. Epistemic Cultures: How the Sciences Make Knowledge. Harvard University Press, Cambridge. 329p.</w:t>
      </w:r>
    </w:p>
    <w:p w14:paraId="35C38CF7" w14:textId="77777777" w:rsidR="0045205F" w:rsidRPr="0045205F" w:rsidRDefault="0045205F" w:rsidP="0045205F">
      <w:pPr>
        <w:jc w:val="both"/>
        <w:rPr>
          <w:rFonts w:eastAsia="Calibri"/>
          <w:sz w:val="22"/>
          <w:szCs w:val="22"/>
        </w:rPr>
      </w:pPr>
    </w:p>
    <w:p w14:paraId="2A03B021" w14:textId="77777777" w:rsidR="0045205F" w:rsidRPr="0045205F" w:rsidRDefault="0045205F" w:rsidP="0045205F">
      <w:pPr>
        <w:jc w:val="both"/>
        <w:rPr>
          <w:rFonts w:eastAsia="Calibri"/>
          <w:sz w:val="22"/>
          <w:szCs w:val="22"/>
        </w:rPr>
      </w:pPr>
      <w:r w:rsidRPr="0045205F">
        <w:rPr>
          <w:rFonts w:eastAsia="Calibri"/>
          <w:sz w:val="22"/>
          <w:szCs w:val="22"/>
        </w:rPr>
        <w:t>Lexmond, S.M. (2008) Review of Instruments and Mechanisms for Strengthening Marine Environmental Co-Operation in the South China Sea. UNEP/GEF/SCS Technical Publication No. 17</w:t>
      </w:r>
    </w:p>
    <w:p w14:paraId="6A88B801" w14:textId="77777777" w:rsidR="0045205F" w:rsidRPr="0045205F" w:rsidRDefault="0045205F" w:rsidP="0045205F">
      <w:pPr>
        <w:jc w:val="both"/>
        <w:rPr>
          <w:rFonts w:eastAsia="Calibri"/>
          <w:sz w:val="22"/>
          <w:szCs w:val="22"/>
        </w:rPr>
      </w:pPr>
    </w:p>
    <w:p w14:paraId="1A07EC49" w14:textId="77777777" w:rsidR="0045205F" w:rsidRPr="0045205F" w:rsidRDefault="0045205F" w:rsidP="0045205F">
      <w:pPr>
        <w:jc w:val="both"/>
        <w:rPr>
          <w:rFonts w:eastAsia="Calibri"/>
          <w:sz w:val="22"/>
          <w:szCs w:val="22"/>
        </w:rPr>
      </w:pPr>
      <w:r w:rsidRPr="0045205F">
        <w:rPr>
          <w:rFonts w:eastAsia="Calibri"/>
          <w:sz w:val="22"/>
          <w:szCs w:val="22"/>
          <w:lang w:val="en-GB"/>
        </w:rPr>
        <w:t>Licuanan, W.Y., 2009. Guide to the common corals of the Bolinao-Anda Reef Complex, Northwestern Philippines. University of the Philippines Marine Science Institute. Diliman, Quezon City, Philippines, 174 pp.</w:t>
      </w:r>
    </w:p>
    <w:p w14:paraId="3D0071E7" w14:textId="77777777" w:rsidR="0045205F" w:rsidRPr="0045205F" w:rsidRDefault="0045205F" w:rsidP="0045205F">
      <w:pPr>
        <w:jc w:val="both"/>
        <w:rPr>
          <w:rFonts w:eastAsia="Calibri"/>
          <w:sz w:val="22"/>
          <w:szCs w:val="22"/>
        </w:rPr>
      </w:pPr>
    </w:p>
    <w:p w14:paraId="551E8C66" w14:textId="77777777" w:rsidR="0045205F" w:rsidRPr="0045205F" w:rsidRDefault="0045205F" w:rsidP="0045205F">
      <w:pPr>
        <w:jc w:val="both"/>
        <w:rPr>
          <w:rFonts w:eastAsia="Calibri"/>
          <w:sz w:val="22"/>
          <w:szCs w:val="22"/>
        </w:rPr>
      </w:pPr>
      <w:r w:rsidRPr="0045205F">
        <w:rPr>
          <w:rFonts w:eastAsia="Calibri"/>
          <w:sz w:val="22"/>
          <w:szCs w:val="22"/>
        </w:rPr>
        <w:t>Linstone, H.A., Turoff, M., 1975. Delphi Method: Techniques and Applications. Addison-Wesley. 620p.</w:t>
      </w:r>
    </w:p>
    <w:p w14:paraId="0FFD0AF6" w14:textId="77777777" w:rsidR="0045205F" w:rsidRPr="0045205F" w:rsidRDefault="0045205F" w:rsidP="0045205F">
      <w:pPr>
        <w:jc w:val="both"/>
        <w:rPr>
          <w:rFonts w:eastAsia="Calibri"/>
          <w:sz w:val="22"/>
          <w:szCs w:val="22"/>
        </w:rPr>
      </w:pPr>
    </w:p>
    <w:p w14:paraId="799A340A" w14:textId="77777777" w:rsidR="0045205F" w:rsidRPr="0045205F" w:rsidRDefault="0045205F" w:rsidP="0045205F">
      <w:pPr>
        <w:jc w:val="both"/>
        <w:rPr>
          <w:rFonts w:eastAsia="Calibri"/>
          <w:sz w:val="22"/>
          <w:szCs w:val="22"/>
          <w:lang w:val="en-GB"/>
        </w:rPr>
      </w:pPr>
      <w:r w:rsidRPr="0045205F">
        <w:rPr>
          <w:rFonts w:eastAsia="Calibri"/>
          <w:sz w:val="22"/>
          <w:szCs w:val="22"/>
          <w:lang w:val="en-GB"/>
        </w:rPr>
        <w:t>MacNae, W., 1974. Mangrove Forests and fisheries. UNDP/FAO, IOFC/DEV/74/34. pp 1-35.</w:t>
      </w:r>
    </w:p>
    <w:p w14:paraId="2BCB5813" w14:textId="77777777" w:rsidR="0045205F" w:rsidRPr="0045205F" w:rsidRDefault="0045205F" w:rsidP="0045205F">
      <w:pPr>
        <w:jc w:val="both"/>
        <w:rPr>
          <w:rFonts w:eastAsia="Calibri"/>
          <w:sz w:val="22"/>
          <w:szCs w:val="22"/>
        </w:rPr>
      </w:pPr>
    </w:p>
    <w:p w14:paraId="32FE8EDF" w14:textId="77777777" w:rsidR="0045205F" w:rsidRPr="0045205F" w:rsidRDefault="0045205F" w:rsidP="0045205F">
      <w:pPr>
        <w:jc w:val="both"/>
        <w:rPr>
          <w:rFonts w:eastAsia="Calibri"/>
          <w:sz w:val="22"/>
          <w:szCs w:val="22"/>
        </w:rPr>
      </w:pPr>
      <w:r w:rsidRPr="0045205F">
        <w:rPr>
          <w:rFonts w:eastAsia="Calibri"/>
          <w:sz w:val="22"/>
          <w:szCs w:val="22"/>
        </w:rPr>
        <w:t>McKinney, M.J., 1988. Water resources planning: a collaborative, consensus-building approach. Society and Natural Resources 1 (4), 335-349.</w:t>
      </w:r>
    </w:p>
    <w:p w14:paraId="6ABBBCCD" w14:textId="77777777" w:rsidR="0045205F" w:rsidRPr="0045205F" w:rsidRDefault="0045205F" w:rsidP="0045205F">
      <w:pPr>
        <w:jc w:val="both"/>
        <w:rPr>
          <w:rFonts w:eastAsia="Calibri"/>
          <w:sz w:val="22"/>
          <w:szCs w:val="22"/>
        </w:rPr>
      </w:pPr>
    </w:p>
    <w:p w14:paraId="3F4702BA" w14:textId="77777777" w:rsidR="0045205F" w:rsidRPr="0045205F" w:rsidRDefault="0045205F" w:rsidP="0045205F">
      <w:pPr>
        <w:jc w:val="both"/>
        <w:rPr>
          <w:rFonts w:eastAsia="Calibri"/>
          <w:sz w:val="22"/>
          <w:szCs w:val="22"/>
        </w:rPr>
      </w:pPr>
      <w:r w:rsidRPr="0045205F">
        <w:rPr>
          <w:rFonts w:eastAsia="Calibri"/>
          <w:sz w:val="22"/>
          <w:szCs w:val="22"/>
        </w:rPr>
        <w:t>Munasinghe, M. (1995).  Applicability of techniques of cost-benefit analysis to climate change.  In global climate change, economic and policy issues.  Edited by Mohan Munasinghe.  World Bank Environment Paper Number 12.  The World Bank, Washington D.C.</w:t>
      </w:r>
    </w:p>
    <w:p w14:paraId="224075E2" w14:textId="77777777" w:rsidR="0045205F" w:rsidRPr="0045205F" w:rsidRDefault="0045205F" w:rsidP="0045205F">
      <w:pPr>
        <w:jc w:val="both"/>
        <w:rPr>
          <w:rFonts w:eastAsia="Calibri"/>
          <w:sz w:val="22"/>
          <w:szCs w:val="22"/>
        </w:rPr>
      </w:pPr>
    </w:p>
    <w:p w14:paraId="1DF7308D"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Ollila, P., J.I. Uitto, C. Crepin, and A.M. Duda, 2000. Multicountry Project Arrangements: Report of a Thematic Review. M&amp;E Working Paper 3. Washington, DC: Global Environment Facility.</w:t>
      </w:r>
    </w:p>
    <w:p w14:paraId="2F0E55B5" w14:textId="77777777" w:rsidR="0045205F" w:rsidRDefault="0045205F" w:rsidP="0045205F">
      <w:pPr>
        <w:jc w:val="both"/>
        <w:rPr>
          <w:rFonts w:eastAsia="Calibri"/>
          <w:sz w:val="22"/>
          <w:szCs w:val="22"/>
        </w:rPr>
      </w:pPr>
    </w:p>
    <w:p w14:paraId="53FADB57" w14:textId="77777777" w:rsidR="008F39E3" w:rsidRDefault="008F39E3" w:rsidP="0045205F">
      <w:pPr>
        <w:jc w:val="both"/>
        <w:rPr>
          <w:rFonts w:eastAsia="Calibri"/>
          <w:sz w:val="22"/>
          <w:szCs w:val="22"/>
        </w:rPr>
      </w:pPr>
      <w:r>
        <w:rPr>
          <w:rFonts w:eastAsia="Calibri"/>
          <w:sz w:val="22"/>
          <w:szCs w:val="22"/>
        </w:rPr>
        <w:t>Olsen, S., and Hale, L., 1994. Coasts: The ethical dimension. People and the Planet, 21: 29-31.</w:t>
      </w:r>
    </w:p>
    <w:p w14:paraId="59BD8999" w14:textId="77777777" w:rsidR="008F39E3" w:rsidRPr="0045205F" w:rsidRDefault="008F39E3" w:rsidP="0045205F">
      <w:pPr>
        <w:jc w:val="both"/>
        <w:rPr>
          <w:rFonts w:eastAsia="Calibri"/>
          <w:sz w:val="22"/>
          <w:szCs w:val="22"/>
        </w:rPr>
      </w:pPr>
    </w:p>
    <w:p w14:paraId="57548920"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Paterson, C.J. 2008. Connecting GEF Projects with a Global Audience: Outreach Initiatives of the South China Sea Project. GEF International Waters Experience Note, 2008-001. 9pp.</w:t>
      </w:r>
    </w:p>
    <w:p w14:paraId="611D6298" w14:textId="77777777" w:rsidR="0045205F" w:rsidRPr="0045205F" w:rsidRDefault="0045205F" w:rsidP="0045205F">
      <w:pPr>
        <w:jc w:val="both"/>
        <w:rPr>
          <w:rFonts w:eastAsia="Calibri"/>
          <w:sz w:val="22"/>
          <w:szCs w:val="22"/>
        </w:rPr>
      </w:pPr>
    </w:p>
    <w:p w14:paraId="3F5C567B" w14:textId="77777777" w:rsidR="0045205F" w:rsidRPr="0045205F" w:rsidRDefault="0045205F" w:rsidP="0045205F">
      <w:pPr>
        <w:jc w:val="both"/>
        <w:rPr>
          <w:rFonts w:eastAsia="Calibri"/>
          <w:sz w:val="22"/>
          <w:szCs w:val="22"/>
          <w:lang w:val="en-GB"/>
        </w:rPr>
      </w:pPr>
      <w:r w:rsidRPr="0045205F">
        <w:rPr>
          <w:rFonts w:eastAsia="Calibri"/>
          <w:sz w:val="22"/>
          <w:szCs w:val="22"/>
          <w:lang w:val="en-GB"/>
        </w:rPr>
        <w:t>Paterson, C.J. and J.C. Pernetta, 2013. Developing a consensual information base for identifying priorities for intervention in the South China Sea. Ocean and Coastal Management, 85(b): 164-176.</w:t>
      </w:r>
    </w:p>
    <w:p w14:paraId="546E90C9" w14:textId="77777777" w:rsidR="0045205F" w:rsidRPr="0045205F" w:rsidRDefault="0045205F" w:rsidP="0045205F">
      <w:pPr>
        <w:jc w:val="both"/>
        <w:rPr>
          <w:rFonts w:eastAsia="Calibri"/>
          <w:sz w:val="22"/>
          <w:szCs w:val="22"/>
        </w:rPr>
      </w:pPr>
    </w:p>
    <w:p w14:paraId="30B562A3" w14:textId="77777777" w:rsidR="0045205F" w:rsidRPr="0045205F" w:rsidRDefault="0045205F" w:rsidP="0045205F">
      <w:pPr>
        <w:jc w:val="both"/>
        <w:rPr>
          <w:rFonts w:eastAsia="Calibri"/>
          <w:sz w:val="22"/>
          <w:szCs w:val="22"/>
        </w:rPr>
      </w:pPr>
      <w:r w:rsidRPr="0045205F">
        <w:rPr>
          <w:rFonts w:eastAsia="Calibri"/>
          <w:sz w:val="22"/>
          <w:szCs w:val="22"/>
        </w:rPr>
        <w:t>Paterson, C.J., Pernetta, J.C., Siriraksophon, S., Kato, Y., Barut, N.C., Saikliang, P., Vibol, O., Chee, P.E., Nguyen, T.T.N., Perbowo, N., Yunanda, T., Armada, N.B., 2013. Fisheries refugia: A novel approach to integrating fisheries and habitat management in the context of small-scale fishing pressure. Ocean and Coastal Management, 85(b): 214-229.</w:t>
      </w:r>
    </w:p>
    <w:p w14:paraId="3995C51B" w14:textId="77777777" w:rsidR="0045205F" w:rsidRDefault="0045205F" w:rsidP="0045205F">
      <w:pPr>
        <w:jc w:val="both"/>
        <w:rPr>
          <w:rFonts w:eastAsia="Calibri"/>
          <w:sz w:val="22"/>
          <w:szCs w:val="22"/>
        </w:rPr>
      </w:pPr>
    </w:p>
    <w:p w14:paraId="41B777FF" w14:textId="77777777" w:rsidR="004D18BE" w:rsidRDefault="004D18BE" w:rsidP="0045205F">
      <w:pPr>
        <w:jc w:val="both"/>
        <w:rPr>
          <w:rFonts w:eastAsia="Calibri"/>
          <w:sz w:val="22"/>
          <w:szCs w:val="22"/>
        </w:rPr>
      </w:pPr>
      <w:r>
        <w:rPr>
          <w:rFonts w:eastAsia="Calibri"/>
          <w:sz w:val="22"/>
          <w:szCs w:val="22"/>
        </w:rPr>
        <w:t>Peng, Y., Chen, G., Li, S., Liu, Y. and Pernetta, J.C., 2013. Use of degraded coastal wetland in an integrated mangrove-aquaculture system: a case study from the South China Sea. Ocean and Coastal Management, 85(b): 209-213.</w:t>
      </w:r>
    </w:p>
    <w:p w14:paraId="36834DA6" w14:textId="77777777" w:rsidR="004D18BE" w:rsidRPr="0045205F" w:rsidRDefault="004D18BE" w:rsidP="0045205F">
      <w:pPr>
        <w:jc w:val="both"/>
        <w:rPr>
          <w:rFonts w:eastAsia="Calibri"/>
          <w:sz w:val="22"/>
          <w:szCs w:val="22"/>
        </w:rPr>
      </w:pPr>
    </w:p>
    <w:p w14:paraId="6646B53D"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Pernetta, J.C. and Elder, D.L. 1993. Cross-sectoral integrated and coastal area planning (CICAP): guidelines and principles for coastal area development. A marine conservation and development report. Gland, Switzerland, IUCN in collaboration with World Wide Fund for Nature. 63 pp.</w:t>
      </w:r>
    </w:p>
    <w:p w14:paraId="41A3E07E" w14:textId="77777777" w:rsidR="0045205F" w:rsidRPr="0045205F" w:rsidRDefault="0045205F" w:rsidP="0045205F">
      <w:pPr>
        <w:jc w:val="both"/>
        <w:rPr>
          <w:rFonts w:eastAsia="Calibri"/>
          <w:sz w:val="22"/>
          <w:szCs w:val="22"/>
        </w:rPr>
      </w:pPr>
    </w:p>
    <w:p w14:paraId="46E81ADD"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Pernetta, J.C. and J.M. Bewers. 2011. Transboundary diagnostic analysis in international waters interventions funded by the Global Environment Facility. Ocean and Coastal Management, 55: 1-12.</w:t>
      </w:r>
    </w:p>
    <w:p w14:paraId="515B6900" w14:textId="77777777" w:rsidR="0045205F" w:rsidRPr="0045205F" w:rsidRDefault="0045205F" w:rsidP="0045205F">
      <w:pPr>
        <w:ind w:left="720" w:hanging="720"/>
        <w:jc w:val="both"/>
        <w:rPr>
          <w:rFonts w:eastAsia="MS Mincho"/>
          <w:sz w:val="22"/>
          <w:szCs w:val="22"/>
          <w:lang w:val="en-GB" w:eastAsia="ja-JP"/>
        </w:rPr>
      </w:pPr>
    </w:p>
    <w:p w14:paraId="3AD8013D"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Pernetta, J.C. and Y. Jiang., 2013a. Managing multi-lateral intergovernmental projects and programmes: the case of the UNEP/GEF South China Sea project. Ocean and Coastal Management, 85(b): 141-152.</w:t>
      </w:r>
    </w:p>
    <w:p w14:paraId="0BB44BA4" w14:textId="77777777" w:rsidR="0045205F" w:rsidRPr="0045205F" w:rsidRDefault="0045205F" w:rsidP="0045205F">
      <w:pPr>
        <w:ind w:left="720" w:hanging="720"/>
        <w:jc w:val="both"/>
        <w:rPr>
          <w:rFonts w:eastAsia="MS Mincho"/>
          <w:sz w:val="22"/>
          <w:szCs w:val="22"/>
          <w:lang w:val="en-GB" w:eastAsia="ja-JP"/>
        </w:rPr>
      </w:pPr>
    </w:p>
    <w:p w14:paraId="1EC69B30"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Pernetta, J.C. and Jiang, Y., 2013b. Selection of demonstration sites in the face of conflicting demands and financial limitations. Ocean and Coastal Management, 85(b):186-200.</w:t>
      </w:r>
    </w:p>
    <w:p w14:paraId="443C344A" w14:textId="77777777" w:rsidR="0045205F" w:rsidRPr="0045205F" w:rsidRDefault="0045205F" w:rsidP="0045205F">
      <w:pPr>
        <w:jc w:val="both"/>
        <w:rPr>
          <w:rFonts w:eastAsia="MS Mincho"/>
          <w:sz w:val="22"/>
          <w:szCs w:val="22"/>
          <w:lang w:val="en-GB" w:eastAsia="ja-JP"/>
        </w:rPr>
      </w:pPr>
    </w:p>
    <w:p w14:paraId="54AEC908"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Pernetta, J.C., J.-E. Ong, N.E.O. Padilla, K.A. Rahim, and N.T. Chinh, 2013. Determining regionally applicable economic values for coastal habitats and their use in evaluating the cost effectiveness of regional conservation actions: the examples of mangroves, in the South China Sea. Ocean and Coastal Management, 85(b): 177-185.</w:t>
      </w:r>
    </w:p>
    <w:p w14:paraId="5063230E" w14:textId="77777777" w:rsidR="0045205F" w:rsidRPr="0045205F" w:rsidRDefault="0045205F" w:rsidP="0045205F">
      <w:pPr>
        <w:jc w:val="both"/>
        <w:rPr>
          <w:rFonts w:eastAsia="Calibri"/>
          <w:sz w:val="22"/>
          <w:szCs w:val="22"/>
        </w:rPr>
      </w:pPr>
    </w:p>
    <w:p w14:paraId="0644A030" w14:textId="77777777" w:rsidR="0045205F" w:rsidRPr="0045205F" w:rsidRDefault="0045205F" w:rsidP="0045205F">
      <w:pPr>
        <w:jc w:val="both"/>
        <w:rPr>
          <w:rFonts w:eastAsia="Calibri"/>
          <w:sz w:val="22"/>
          <w:szCs w:val="22"/>
          <w:lang w:val="en-GB"/>
        </w:rPr>
      </w:pPr>
      <w:r w:rsidRPr="0045205F">
        <w:rPr>
          <w:rFonts w:eastAsia="Calibri"/>
          <w:sz w:val="22"/>
          <w:szCs w:val="22"/>
          <w:lang w:val="en-GB"/>
        </w:rPr>
        <w:t xml:space="preserve">Polidoro, B.A., Carpenter, K.E., Collins, L., Duke, N.C. Ellison, A.M., Ellison, J.C., Farnsworth, E.J., Fernando, E.S., Kathiresan, K., Koedam, N.E,, Livingstone, S.R., Miyagi T.,, Moore, G.E. Nam, V.N., Ong, J.E., Primavera,, J.H, Salmo III, S.G., Sanciangco, J.C., Sukardjo, S., Wang, Y., &amp; Yong, J.W.H., (2010) The loss of species: mangrove extinction risk and geographic areas of global concern. PLoS ONE, 5, e10095, Doi: 0.1371/journal. pone.0010095.  </w:t>
      </w:r>
      <w:r w:rsidRPr="0045205F">
        <w:rPr>
          <w:rFonts w:eastAsia="Calibri"/>
          <w:sz w:val="22"/>
          <w:szCs w:val="22"/>
          <w:lang w:val="en-GB"/>
        </w:rPr>
        <w:br/>
      </w:r>
    </w:p>
    <w:p w14:paraId="11C20B96" w14:textId="77777777" w:rsidR="0045205F" w:rsidRPr="0045205F" w:rsidRDefault="0045205F" w:rsidP="0045205F">
      <w:pPr>
        <w:jc w:val="both"/>
        <w:rPr>
          <w:rFonts w:eastAsia="Calibri"/>
          <w:sz w:val="22"/>
          <w:szCs w:val="22"/>
        </w:rPr>
      </w:pPr>
      <w:r w:rsidRPr="0045205F">
        <w:rPr>
          <w:rFonts w:eastAsia="Calibri"/>
          <w:sz w:val="22"/>
          <w:szCs w:val="22"/>
        </w:rPr>
        <w:t>Reed, M., 2008. Stakeholder participation for environmental management: a literature review. Biological Conservation</w:t>
      </w:r>
      <w:r w:rsidR="0003121B">
        <w:rPr>
          <w:rFonts w:eastAsia="Calibri"/>
          <w:sz w:val="22"/>
          <w:szCs w:val="22"/>
        </w:rPr>
        <w:t>,</w:t>
      </w:r>
      <w:r w:rsidRPr="0045205F">
        <w:rPr>
          <w:rFonts w:eastAsia="Calibri"/>
          <w:sz w:val="22"/>
          <w:szCs w:val="22"/>
        </w:rPr>
        <w:t xml:space="preserve"> 141 (10)</w:t>
      </w:r>
      <w:r w:rsidR="0003121B">
        <w:rPr>
          <w:rFonts w:eastAsia="Calibri"/>
          <w:sz w:val="22"/>
          <w:szCs w:val="22"/>
        </w:rPr>
        <w:t>:</w:t>
      </w:r>
      <w:r w:rsidRPr="0045205F">
        <w:rPr>
          <w:rFonts w:eastAsia="Calibri"/>
          <w:sz w:val="22"/>
          <w:szCs w:val="22"/>
        </w:rPr>
        <w:t xml:space="preserve"> 2417</w:t>
      </w:r>
      <w:r w:rsidR="0003121B">
        <w:rPr>
          <w:rFonts w:eastAsia="Calibri"/>
          <w:sz w:val="22"/>
          <w:szCs w:val="22"/>
        </w:rPr>
        <w:t>-</w:t>
      </w:r>
      <w:r w:rsidRPr="0045205F">
        <w:rPr>
          <w:rFonts w:eastAsia="Calibri"/>
          <w:sz w:val="22"/>
          <w:szCs w:val="22"/>
        </w:rPr>
        <w:t>2431.</w:t>
      </w:r>
    </w:p>
    <w:p w14:paraId="5C432B2B" w14:textId="77777777" w:rsidR="0045205F" w:rsidRPr="0045205F" w:rsidRDefault="0045205F" w:rsidP="0045205F">
      <w:pPr>
        <w:jc w:val="both"/>
        <w:rPr>
          <w:rFonts w:eastAsia="Calibri"/>
          <w:sz w:val="22"/>
          <w:szCs w:val="22"/>
        </w:rPr>
      </w:pPr>
    </w:p>
    <w:p w14:paraId="17DBFADF" w14:textId="77777777" w:rsidR="0045205F" w:rsidRPr="0045205F" w:rsidRDefault="0045205F" w:rsidP="0045205F">
      <w:pPr>
        <w:jc w:val="both"/>
        <w:rPr>
          <w:rFonts w:eastAsia="Calibri"/>
          <w:sz w:val="22"/>
          <w:szCs w:val="22"/>
        </w:rPr>
      </w:pPr>
      <w:r w:rsidRPr="0045205F">
        <w:rPr>
          <w:rFonts w:eastAsia="Calibri"/>
          <w:sz w:val="22"/>
          <w:szCs w:val="22"/>
        </w:rPr>
        <w:t>Ruggie, J.G., 1975. International responses to technology: concepts and trends. International Organization, 29(3): 557-583</w:t>
      </w:r>
    </w:p>
    <w:p w14:paraId="6D340637" w14:textId="77777777" w:rsidR="0045205F" w:rsidRDefault="0045205F" w:rsidP="0045205F">
      <w:pPr>
        <w:jc w:val="both"/>
        <w:rPr>
          <w:rFonts w:eastAsia="Calibri"/>
          <w:sz w:val="22"/>
          <w:szCs w:val="22"/>
        </w:rPr>
      </w:pPr>
    </w:p>
    <w:p w14:paraId="7FDF5793" w14:textId="77777777" w:rsidR="0003640D" w:rsidRDefault="0003640D" w:rsidP="0045205F">
      <w:pPr>
        <w:jc w:val="both"/>
        <w:rPr>
          <w:rFonts w:eastAsia="Calibri"/>
          <w:sz w:val="22"/>
          <w:szCs w:val="22"/>
        </w:rPr>
      </w:pPr>
      <w:r>
        <w:rPr>
          <w:rFonts w:eastAsia="Calibri"/>
          <w:sz w:val="22"/>
          <w:szCs w:val="22"/>
        </w:rPr>
        <w:t>Sorenson, J., 1997. National and International Efforts at Integrated Management: Definitions, Achievements, and Lessons. Coastal Management, 35: 3-41.</w:t>
      </w:r>
    </w:p>
    <w:p w14:paraId="362F9C50" w14:textId="77777777" w:rsidR="0003640D" w:rsidRPr="0045205F" w:rsidRDefault="0003640D" w:rsidP="0045205F">
      <w:pPr>
        <w:jc w:val="both"/>
        <w:rPr>
          <w:rFonts w:eastAsia="Calibri"/>
          <w:sz w:val="22"/>
          <w:szCs w:val="22"/>
        </w:rPr>
      </w:pPr>
    </w:p>
    <w:p w14:paraId="5B8C70EB" w14:textId="77777777" w:rsidR="0045205F" w:rsidRPr="0045205F" w:rsidRDefault="0045205F" w:rsidP="0045205F">
      <w:pPr>
        <w:jc w:val="both"/>
        <w:rPr>
          <w:sz w:val="22"/>
          <w:szCs w:val="22"/>
          <w:lang w:val="en-GB" w:bidi="th-TH"/>
        </w:rPr>
      </w:pPr>
      <w:r w:rsidRPr="0045205F">
        <w:rPr>
          <w:sz w:val="22"/>
          <w:szCs w:val="22"/>
          <w:lang w:val="en-GB" w:bidi="th-TH"/>
        </w:rPr>
        <w:t>Spalding, M.D., Blasco, F. and Field, C.D. (Eds.), 1997. World Mangrove Atlas. The International Society for Mangrove Ecosystems, Okinawa, Japan. 178pp.</w:t>
      </w:r>
    </w:p>
    <w:p w14:paraId="35D4C8A1" w14:textId="77777777" w:rsidR="0045205F" w:rsidRPr="0045205F" w:rsidRDefault="0045205F" w:rsidP="0045205F">
      <w:pPr>
        <w:jc w:val="both"/>
        <w:rPr>
          <w:rFonts w:eastAsia="Calibri"/>
          <w:sz w:val="22"/>
          <w:szCs w:val="22"/>
        </w:rPr>
      </w:pPr>
    </w:p>
    <w:p w14:paraId="3F21997C" w14:textId="77777777" w:rsidR="0045205F" w:rsidRPr="0045205F" w:rsidRDefault="0045205F" w:rsidP="0045205F">
      <w:pPr>
        <w:jc w:val="both"/>
        <w:rPr>
          <w:rFonts w:eastAsia="Calibri"/>
          <w:sz w:val="22"/>
          <w:szCs w:val="22"/>
          <w:lang w:val="en-GB"/>
        </w:rPr>
      </w:pPr>
      <w:r w:rsidRPr="0045205F">
        <w:rPr>
          <w:rFonts w:eastAsia="Calibri"/>
          <w:sz w:val="22"/>
          <w:szCs w:val="22"/>
          <w:lang w:val="en-GB"/>
        </w:rPr>
        <w:t>Steele, J.H. 1989. The message from the oceans. Oceanus, 32(2): 4-9.</w:t>
      </w:r>
    </w:p>
    <w:p w14:paraId="070A1174" w14:textId="77777777" w:rsidR="0045205F" w:rsidRPr="0045205F" w:rsidRDefault="0045205F" w:rsidP="0045205F">
      <w:pPr>
        <w:jc w:val="both"/>
        <w:rPr>
          <w:rFonts w:eastAsia="Calibri"/>
          <w:sz w:val="22"/>
          <w:szCs w:val="22"/>
        </w:rPr>
      </w:pPr>
    </w:p>
    <w:p w14:paraId="284C35BB" w14:textId="77777777" w:rsidR="0045205F" w:rsidRPr="0045205F" w:rsidRDefault="0045205F" w:rsidP="0045205F">
      <w:pPr>
        <w:jc w:val="both"/>
        <w:rPr>
          <w:rFonts w:eastAsia="Calibri"/>
          <w:sz w:val="22"/>
          <w:szCs w:val="22"/>
        </w:rPr>
      </w:pPr>
      <w:r w:rsidRPr="0045205F">
        <w:rPr>
          <w:rFonts w:eastAsia="Calibri"/>
          <w:sz w:val="22"/>
          <w:szCs w:val="22"/>
        </w:rPr>
        <w:t>Sudara, S., Fortes, M., Nateekanjanalarp, Y. and Poovachiranon, S., 1994. Human uses and destruction of ASEAN seagrass beds, 110-113. In Wilkinson, C.R. (ed.) Living Coastal Resources of Southeast Asia: Status and Management. Report of the Consultative Forum Third ASEAN-Australia Symposium on Living Coastal Resources, May 1994, Thailand. Australian Agency for International Development, 133 pp.</w:t>
      </w:r>
    </w:p>
    <w:p w14:paraId="0EB60F51" w14:textId="77777777" w:rsidR="0045205F" w:rsidRPr="0045205F" w:rsidRDefault="0045205F" w:rsidP="0045205F">
      <w:pPr>
        <w:jc w:val="both"/>
        <w:rPr>
          <w:rFonts w:eastAsia="Calibri"/>
          <w:sz w:val="22"/>
          <w:szCs w:val="22"/>
        </w:rPr>
      </w:pPr>
    </w:p>
    <w:p w14:paraId="79765BBB" w14:textId="77777777" w:rsidR="0045205F" w:rsidRPr="0045205F" w:rsidRDefault="0045205F" w:rsidP="0045205F">
      <w:pPr>
        <w:jc w:val="both"/>
        <w:rPr>
          <w:rFonts w:eastAsia="Calibri"/>
          <w:sz w:val="22"/>
          <w:szCs w:val="22"/>
        </w:rPr>
      </w:pPr>
      <w:r w:rsidRPr="0045205F">
        <w:rPr>
          <w:rFonts w:eastAsia="Calibri"/>
          <w:sz w:val="22"/>
          <w:szCs w:val="22"/>
        </w:rPr>
        <w:t>Susskind, L., Fuller, B., Ferenz, M., Fairman, D., 2003. Multistakeholder dialogue at</w:t>
      </w:r>
      <w:r w:rsidR="004C2DF2">
        <w:rPr>
          <w:rFonts w:eastAsia="Calibri"/>
          <w:sz w:val="22"/>
          <w:szCs w:val="22"/>
        </w:rPr>
        <w:t xml:space="preserve"> </w:t>
      </w:r>
      <w:r w:rsidRPr="0045205F">
        <w:rPr>
          <w:rFonts w:eastAsia="Calibri"/>
          <w:sz w:val="22"/>
          <w:szCs w:val="22"/>
        </w:rPr>
        <w:t>the global scale. International Negotiation, 8: 235-266.</w:t>
      </w:r>
    </w:p>
    <w:p w14:paraId="4CAA15CF" w14:textId="77777777" w:rsidR="0045205F" w:rsidRPr="0045205F" w:rsidRDefault="0045205F" w:rsidP="0045205F">
      <w:pPr>
        <w:jc w:val="both"/>
        <w:rPr>
          <w:rFonts w:eastAsia="Calibri"/>
          <w:sz w:val="22"/>
          <w:szCs w:val="22"/>
        </w:rPr>
      </w:pPr>
    </w:p>
    <w:p w14:paraId="34139039" w14:textId="77777777" w:rsidR="0045205F" w:rsidRPr="0045205F" w:rsidRDefault="0045205F" w:rsidP="0045205F">
      <w:pPr>
        <w:tabs>
          <w:tab w:val="left" w:pos="0"/>
        </w:tabs>
        <w:jc w:val="both"/>
        <w:rPr>
          <w:sz w:val="22"/>
          <w:szCs w:val="22"/>
          <w:lang w:val="en-GB" w:bidi="th-TH"/>
        </w:rPr>
      </w:pPr>
      <w:r w:rsidRPr="0045205F">
        <w:rPr>
          <w:sz w:val="22"/>
          <w:szCs w:val="22"/>
          <w:lang w:val="en-GB" w:bidi="th-TH"/>
        </w:rPr>
        <w:t>Talaue-McManus, L., 2000. Transboundary Diagnostic Analysis for the South China Sea, EAS/RCU Technical Report Series No. 14, United Nations Environment Programme, Bangkok, 106 pp.</w:t>
      </w:r>
    </w:p>
    <w:p w14:paraId="6D90B55E" w14:textId="77777777" w:rsidR="0045205F" w:rsidRPr="0045205F" w:rsidRDefault="0045205F" w:rsidP="0045205F">
      <w:pPr>
        <w:jc w:val="both"/>
        <w:rPr>
          <w:rFonts w:eastAsia="Calibri"/>
          <w:sz w:val="22"/>
          <w:szCs w:val="22"/>
        </w:rPr>
      </w:pPr>
    </w:p>
    <w:p w14:paraId="638ACF1B" w14:textId="77777777" w:rsidR="0045205F" w:rsidRPr="0045205F" w:rsidRDefault="0045205F" w:rsidP="0045205F">
      <w:pPr>
        <w:jc w:val="both"/>
        <w:rPr>
          <w:sz w:val="22"/>
          <w:szCs w:val="22"/>
          <w:lang w:val="fr-FR" w:bidi="th-TH"/>
        </w:rPr>
      </w:pPr>
      <w:r w:rsidRPr="0045205F">
        <w:rPr>
          <w:sz w:val="22"/>
          <w:szCs w:val="22"/>
          <w:lang w:val="en-GB" w:bidi="th-TH"/>
        </w:rPr>
        <w:t xml:space="preserve">Tomascik, T., Mah, A.J., Nontji, A. and Moosa, M.K., 1997. The Ecology of the Indonesian Seas. </w:t>
      </w:r>
      <w:r w:rsidRPr="0045205F">
        <w:rPr>
          <w:sz w:val="22"/>
          <w:szCs w:val="22"/>
          <w:lang w:val="fr-FR" w:bidi="th-TH"/>
        </w:rPr>
        <w:t>Part 1. Dalhousie University, Periplus Editions (HK) Ltd, 642 pp.</w:t>
      </w:r>
    </w:p>
    <w:p w14:paraId="5F3837AB" w14:textId="77777777" w:rsidR="0045205F" w:rsidRPr="00B62FD7" w:rsidRDefault="0045205F" w:rsidP="0045205F">
      <w:pPr>
        <w:jc w:val="both"/>
        <w:rPr>
          <w:rFonts w:eastAsia="Calibri"/>
          <w:sz w:val="22"/>
          <w:szCs w:val="22"/>
          <w:lang w:val="fr-FR"/>
        </w:rPr>
      </w:pPr>
    </w:p>
    <w:p w14:paraId="0ABC7470" w14:textId="77777777" w:rsidR="0045205F" w:rsidRPr="0045205F" w:rsidRDefault="0045205F" w:rsidP="0045205F">
      <w:pPr>
        <w:jc w:val="both"/>
        <w:rPr>
          <w:bCs/>
          <w:color w:val="000000"/>
          <w:sz w:val="22"/>
          <w:szCs w:val="22"/>
          <w:lang w:bidi="th-TH"/>
        </w:rPr>
      </w:pPr>
      <w:r w:rsidRPr="0045205F">
        <w:rPr>
          <w:bCs/>
          <w:color w:val="000000"/>
          <w:sz w:val="22"/>
          <w:szCs w:val="22"/>
          <w:lang w:val="fr-FR" w:bidi="th-TH"/>
        </w:rPr>
        <w:t xml:space="preserve">Tu, T.L.H., Nguyen, V.T. Le, T.T. 2002. </w:t>
      </w:r>
      <w:r w:rsidRPr="0045205F">
        <w:rPr>
          <w:bCs/>
          <w:color w:val="000000"/>
          <w:sz w:val="22"/>
          <w:szCs w:val="22"/>
          <w:lang w:bidi="th-TH"/>
        </w:rPr>
        <w:t>Some studies on seagrass communities in Phu Quoc islands, Kien Giang Province. Proceedings of Scientific Conference “Bien Dong-2002”. Nha Trang, Viet Nam: 369-376.</w:t>
      </w:r>
    </w:p>
    <w:p w14:paraId="7ACBB3F1" w14:textId="77777777" w:rsidR="0045205F" w:rsidRPr="0045205F" w:rsidRDefault="0045205F" w:rsidP="0045205F">
      <w:pPr>
        <w:jc w:val="both"/>
        <w:rPr>
          <w:rFonts w:eastAsia="Calibri"/>
          <w:sz w:val="22"/>
          <w:szCs w:val="22"/>
        </w:rPr>
      </w:pPr>
    </w:p>
    <w:p w14:paraId="73C31AC9" w14:textId="77777777" w:rsidR="0045205F" w:rsidRPr="0045205F" w:rsidRDefault="0045205F" w:rsidP="0045205F">
      <w:pPr>
        <w:jc w:val="both"/>
        <w:rPr>
          <w:sz w:val="22"/>
          <w:szCs w:val="22"/>
          <w:lang w:val="en-GB" w:bidi="th-TH"/>
        </w:rPr>
      </w:pPr>
      <w:r w:rsidRPr="0045205F">
        <w:rPr>
          <w:sz w:val="22"/>
          <w:szCs w:val="22"/>
          <w:lang w:val="en-GB" w:bidi="th-TH"/>
        </w:rPr>
        <w:t>Tun, K., Chou, L. M., Cabanban, A., Tuan, V. S., Philreefs, Yeemin, T., Suharsono, Sour, K., and Lane, D., 2004. Global Status of Coral Reefs, Coral Reef Monitoring and Management in Southeast Asia, 2004. p: 235-276. In Wilkinson, C.R. (ed.). Status of coral reefs of the world: 2004. Volume 1. Australian Institute of Marine Science, Townsville, Queensland, Australia. 301p.</w:t>
      </w:r>
    </w:p>
    <w:p w14:paraId="1EE78323" w14:textId="77777777" w:rsidR="0045205F" w:rsidRPr="0045205F" w:rsidRDefault="0045205F" w:rsidP="0045205F">
      <w:pPr>
        <w:jc w:val="both"/>
        <w:rPr>
          <w:rFonts w:eastAsia="Calibri"/>
          <w:sz w:val="22"/>
          <w:szCs w:val="22"/>
        </w:rPr>
      </w:pPr>
    </w:p>
    <w:p w14:paraId="329EA1C5"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1997. Report of the first meeting of national coordinators for the formulation of a transboundary diagnostic analysis and preliminary framework of a Strategic Action Programme for the South China Sea, Bangkok, Thailand 31 March - 4 April 1997. 10pp. + VIII Annexes. UNEP(WATER)/EAS/SCS/NCM.1/3. UNEP, Bangkok, Thailand.</w:t>
      </w:r>
    </w:p>
    <w:p w14:paraId="0AB0C40F" w14:textId="77777777" w:rsidR="0045205F" w:rsidRPr="0045205F" w:rsidRDefault="0045205F" w:rsidP="0045205F">
      <w:pPr>
        <w:jc w:val="both"/>
        <w:rPr>
          <w:rFonts w:eastAsia="Calibri"/>
          <w:sz w:val="22"/>
          <w:szCs w:val="22"/>
        </w:rPr>
      </w:pPr>
    </w:p>
    <w:p w14:paraId="3A5E1D7C"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1998a. Report of the second meeting of national coordinators for the formulation of a transboundary diagnostic analysis and preliminary framework of a Strategic Action Programme for the South China Sea, Bangkok, Thailand 23 – 29 June 1998. 8pp. + X Annexes. UNEP(WATER)/EAS/SCS/NCM.2/3. UNEP, Bangkok, Thailand.</w:t>
      </w:r>
    </w:p>
    <w:p w14:paraId="479DF410" w14:textId="77777777" w:rsidR="0045205F" w:rsidRPr="0045205F" w:rsidRDefault="0045205F" w:rsidP="0045205F">
      <w:pPr>
        <w:jc w:val="both"/>
        <w:rPr>
          <w:rFonts w:eastAsia="Calibri"/>
          <w:sz w:val="22"/>
          <w:szCs w:val="22"/>
        </w:rPr>
      </w:pPr>
    </w:p>
    <w:p w14:paraId="11A8F7BC"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1998b. Report of the third meeting of national coordinators for the formulation of a transboundary diagnostic analysis and preliminary framework of a Strategic Action Programme for the South China Sea, Bangkok, Thailand 15 – 17 November 1998. UNEP(WATER)/EAS/SCS/NCM.3/3. UNEP, Bangkok, Thailand.</w:t>
      </w:r>
    </w:p>
    <w:p w14:paraId="1A34ACAF" w14:textId="77777777" w:rsidR="0045205F" w:rsidRPr="0045205F" w:rsidRDefault="0045205F" w:rsidP="0045205F">
      <w:pPr>
        <w:jc w:val="both"/>
        <w:rPr>
          <w:rFonts w:eastAsia="Calibri"/>
          <w:sz w:val="22"/>
          <w:szCs w:val="22"/>
        </w:rPr>
      </w:pPr>
    </w:p>
    <w:p w14:paraId="71D170B1" w14:textId="77777777" w:rsidR="0045205F" w:rsidRPr="0045205F" w:rsidRDefault="0045205F" w:rsidP="0045205F">
      <w:pPr>
        <w:jc w:val="both"/>
        <w:rPr>
          <w:rFonts w:eastAsia="Calibri"/>
          <w:sz w:val="22"/>
          <w:szCs w:val="22"/>
          <w:lang w:val="en-GB"/>
        </w:rPr>
      </w:pPr>
      <w:r w:rsidRPr="0045205F">
        <w:rPr>
          <w:rFonts w:eastAsia="Calibri"/>
          <w:sz w:val="22"/>
          <w:szCs w:val="22"/>
          <w:lang w:val="en-GB"/>
        </w:rPr>
        <w:t>UNEP. 1998c. Report of the Thirteenth Meeting of the Coordinating Body on the Seas of East Asia (COBSEA) on the East Asian Seas Action Plan. 11pp. + VI Annexes. UNEP, Bangkok, Thailand.</w:t>
      </w:r>
    </w:p>
    <w:p w14:paraId="0ADD1C35" w14:textId="77777777" w:rsidR="0045205F" w:rsidRDefault="0045205F" w:rsidP="0045205F">
      <w:pPr>
        <w:jc w:val="both"/>
        <w:rPr>
          <w:rFonts w:eastAsia="Calibri"/>
          <w:sz w:val="22"/>
          <w:szCs w:val="22"/>
          <w:lang w:val="en-GB"/>
        </w:rPr>
      </w:pPr>
    </w:p>
    <w:p w14:paraId="5F8FD1ED" w14:textId="77777777" w:rsidR="003B2538" w:rsidRDefault="003B2538" w:rsidP="0045205F">
      <w:pPr>
        <w:jc w:val="both"/>
        <w:rPr>
          <w:rFonts w:eastAsia="Calibri"/>
          <w:sz w:val="22"/>
          <w:szCs w:val="22"/>
          <w:lang w:val="en-GB"/>
        </w:rPr>
      </w:pPr>
      <w:r>
        <w:rPr>
          <w:rFonts w:eastAsia="Calibri"/>
          <w:sz w:val="22"/>
          <w:szCs w:val="22"/>
          <w:lang w:val="en-GB"/>
        </w:rPr>
        <w:t>UNEP, 1999. Framework Strategic Action Programme for the South China Sea (Draft Version 3, 24 February 1999). UNEP, Bangkok, Thailand, 69 pp.</w:t>
      </w:r>
    </w:p>
    <w:p w14:paraId="2B75658A" w14:textId="77777777" w:rsidR="003B2538" w:rsidRPr="0045205F" w:rsidRDefault="003B2538" w:rsidP="0045205F">
      <w:pPr>
        <w:jc w:val="both"/>
        <w:rPr>
          <w:rFonts w:eastAsia="Calibri"/>
          <w:sz w:val="22"/>
          <w:szCs w:val="22"/>
          <w:lang w:val="en-GB"/>
        </w:rPr>
      </w:pPr>
    </w:p>
    <w:p w14:paraId="51C51CF3" w14:textId="77777777" w:rsidR="0045205F" w:rsidRPr="0045205F" w:rsidRDefault="0045205F" w:rsidP="0045205F">
      <w:pPr>
        <w:jc w:val="both"/>
        <w:rPr>
          <w:rFonts w:eastAsia="Calibri"/>
          <w:sz w:val="22"/>
          <w:szCs w:val="22"/>
          <w:lang w:val="en-GB"/>
        </w:rPr>
      </w:pPr>
      <w:r w:rsidRPr="0045205F">
        <w:rPr>
          <w:rFonts w:eastAsia="Calibri"/>
          <w:sz w:val="22"/>
          <w:szCs w:val="22"/>
          <w:lang w:val="en-GB"/>
        </w:rPr>
        <w:t>UNEP, 2002a. Reversing Environmental Degradation Trends in the South China Sea and Gulf of Thailand. Report of the First Meeting of the Regional Scientific and Technical Committee. UNEP/GEF/SCS/RSTC.1/3</w:t>
      </w:r>
    </w:p>
    <w:p w14:paraId="11F46A80" w14:textId="77777777" w:rsidR="0045205F" w:rsidRPr="0045205F" w:rsidRDefault="0045205F" w:rsidP="0045205F">
      <w:pPr>
        <w:jc w:val="both"/>
        <w:rPr>
          <w:rFonts w:eastAsia="Calibri"/>
          <w:sz w:val="22"/>
          <w:szCs w:val="22"/>
          <w:lang w:val="en-GB"/>
        </w:rPr>
      </w:pPr>
    </w:p>
    <w:p w14:paraId="68A66A44"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2002b. Report of the UNEP/GEF/SCS and SEA START RC, GIS Workshop in Support of the UNEP/GEF Project “Reversing Environmental Degradation Trends in the South China Sea and Gulf of Thailand”. UNEP/GEF/SCS/EW.1/3</w:t>
      </w:r>
    </w:p>
    <w:p w14:paraId="5347B4A1" w14:textId="77777777" w:rsidR="0045205F" w:rsidRPr="0045205F" w:rsidRDefault="0045205F" w:rsidP="0045205F">
      <w:pPr>
        <w:jc w:val="both"/>
        <w:rPr>
          <w:rFonts w:eastAsia="Calibri"/>
          <w:sz w:val="22"/>
          <w:szCs w:val="22"/>
        </w:rPr>
      </w:pPr>
    </w:p>
    <w:p w14:paraId="00E95CFC"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2002c. Reversing Environmental Degradation Trends in the South China Sea and Gulf of Thailand. Report of the Second Meeting of the Regional Working Group on Mangroves. UNEP/GEF/SCS/RWG-M.2/3</w:t>
      </w:r>
    </w:p>
    <w:p w14:paraId="13A0D085" w14:textId="77777777" w:rsidR="0045205F" w:rsidRPr="0045205F" w:rsidRDefault="0045205F" w:rsidP="0045205F">
      <w:pPr>
        <w:ind w:left="720" w:hanging="720"/>
        <w:jc w:val="both"/>
        <w:rPr>
          <w:rFonts w:eastAsia="MS Mincho"/>
          <w:sz w:val="22"/>
          <w:szCs w:val="22"/>
          <w:lang w:val="en-GB" w:eastAsia="ja-JP"/>
        </w:rPr>
      </w:pPr>
    </w:p>
    <w:p w14:paraId="1B6C2ECC"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2002d. Reversing Environmental Degradation Trends in the South China Sea and Gulf of Thailand. Report of the Second Meeting of the Regional Working Group on Seagrass. UNEP/GEF/SCS/RWG-SG.2/3</w:t>
      </w:r>
    </w:p>
    <w:p w14:paraId="204C1B18" w14:textId="77777777" w:rsidR="0045205F" w:rsidRPr="0045205F" w:rsidRDefault="0045205F" w:rsidP="0045205F">
      <w:pPr>
        <w:jc w:val="both"/>
        <w:rPr>
          <w:rFonts w:eastAsia="Calibri"/>
          <w:sz w:val="22"/>
          <w:szCs w:val="22"/>
        </w:rPr>
      </w:pPr>
    </w:p>
    <w:p w14:paraId="22B834C9"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2002e. Reversing Environmental Degradation Trends in the South China Sea and Gulf of Thailand. Report of the Second Meeting of the Regional Working Group on Land-Based Pollution. UNEP/GEF/SCS/RWG-LbP.2/3</w:t>
      </w:r>
    </w:p>
    <w:p w14:paraId="0FCDC2AD" w14:textId="77777777" w:rsidR="0045205F" w:rsidRPr="0045205F" w:rsidRDefault="0045205F" w:rsidP="0045205F">
      <w:pPr>
        <w:ind w:left="720" w:hanging="720"/>
        <w:jc w:val="both"/>
        <w:rPr>
          <w:rFonts w:eastAsia="MS Mincho"/>
          <w:sz w:val="22"/>
          <w:szCs w:val="22"/>
          <w:lang w:val="en-GB" w:eastAsia="ja-JP"/>
        </w:rPr>
      </w:pPr>
    </w:p>
    <w:p w14:paraId="63B212CB"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2002f. Reversing Environmental Degradation Trends in the South China Sea and Gulf of Thailand. Report of the Second Meeting of the Regional Scientific and Technical Committee. UNEP/GEF/SCS/RSTC.2/3</w:t>
      </w:r>
    </w:p>
    <w:p w14:paraId="4187D0D2" w14:textId="77777777" w:rsidR="0045205F" w:rsidRPr="0045205F" w:rsidRDefault="0045205F" w:rsidP="0045205F">
      <w:pPr>
        <w:jc w:val="both"/>
        <w:rPr>
          <w:rFonts w:eastAsia="Calibri"/>
          <w:sz w:val="22"/>
          <w:szCs w:val="22"/>
        </w:rPr>
      </w:pPr>
    </w:p>
    <w:p w14:paraId="1262ECFF"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2003a. Reversing Environmental Degradation Trends in the South China Sea and Gulf of Thailand. Report of the Third Meeting of the Regional Working Group on Mangroves. UNEP/GEF/SCS/RWG-M.3/3</w:t>
      </w:r>
    </w:p>
    <w:p w14:paraId="782AAAE8" w14:textId="77777777" w:rsidR="0045205F" w:rsidRPr="0045205F" w:rsidRDefault="0045205F" w:rsidP="0045205F">
      <w:pPr>
        <w:jc w:val="both"/>
        <w:rPr>
          <w:rFonts w:eastAsia="MS Mincho"/>
          <w:sz w:val="22"/>
          <w:szCs w:val="22"/>
          <w:lang w:val="en-GB" w:eastAsia="ja-JP"/>
        </w:rPr>
      </w:pPr>
    </w:p>
    <w:p w14:paraId="17EB6FEF"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2003b. Reversing Environmental Degradation Trends in the South China Sea and Gulf of Thailand. Report of the Third Meeting of the Regional Working Group on Coral Reefs. UNEP/GEF/SCS/RWG-CR.3/3</w:t>
      </w:r>
    </w:p>
    <w:p w14:paraId="3E31DBCC" w14:textId="77777777" w:rsidR="0045205F" w:rsidRPr="0045205F" w:rsidRDefault="0045205F" w:rsidP="0045205F">
      <w:pPr>
        <w:jc w:val="both"/>
        <w:rPr>
          <w:rFonts w:eastAsia="MS Mincho"/>
          <w:sz w:val="22"/>
          <w:szCs w:val="22"/>
          <w:lang w:val="en-GB" w:eastAsia="ja-JP"/>
        </w:rPr>
      </w:pPr>
    </w:p>
    <w:p w14:paraId="19C9EEE3"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2003c. Reversing Environmental Degradation Trends in the South China Sea and Gulf of Thailand. Report of the Third Meeting of the Regional Working Group on Seagrass. UNEP/GEF/SCS/RWG-SG.3/3</w:t>
      </w:r>
    </w:p>
    <w:p w14:paraId="72DE42C5" w14:textId="77777777" w:rsidR="0045205F" w:rsidRPr="0045205F" w:rsidRDefault="0045205F" w:rsidP="0045205F">
      <w:pPr>
        <w:jc w:val="both"/>
        <w:rPr>
          <w:rFonts w:eastAsia="MS Mincho"/>
          <w:sz w:val="22"/>
          <w:szCs w:val="22"/>
          <w:lang w:val="en-GB" w:eastAsia="ja-JP"/>
        </w:rPr>
      </w:pPr>
    </w:p>
    <w:p w14:paraId="53B46445"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2003d. Reversing Environmental Degradation Trends in the South China Sea and Gulf of Thailand. Report of the Third Meeting of the Regional Working Group on Wetlands. UNEP/GEF/SCS/RWG-W.3/3</w:t>
      </w:r>
    </w:p>
    <w:p w14:paraId="4A7789B3" w14:textId="77777777" w:rsidR="0045205F" w:rsidRPr="0045205F" w:rsidRDefault="0045205F" w:rsidP="0045205F">
      <w:pPr>
        <w:jc w:val="both"/>
        <w:rPr>
          <w:rFonts w:eastAsia="Calibri"/>
          <w:sz w:val="22"/>
          <w:szCs w:val="22"/>
        </w:rPr>
      </w:pPr>
    </w:p>
    <w:p w14:paraId="66EA81AD"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2003e. Reversing Environmental Degradation Trends in the South China Sea and Gulf of Thailand. Report of the Fourth Meeting of the Regional Working Group on Mangroves. UNEP/GEF/SCS/RWG-M.4/3</w:t>
      </w:r>
    </w:p>
    <w:p w14:paraId="4D7DA808" w14:textId="77777777" w:rsidR="0045205F" w:rsidRPr="0045205F" w:rsidRDefault="0045205F" w:rsidP="0045205F">
      <w:pPr>
        <w:jc w:val="both"/>
        <w:rPr>
          <w:rFonts w:eastAsia="MS Mincho"/>
          <w:sz w:val="22"/>
          <w:szCs w:val="22"/>
          <w:lang w:val="en-GB" w:eastAsia="ja-JP"/>
        </w:rPr>
      </w:pPr>
    </w:p>
    <w:p w14:paraId="68A4211B"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2003f. Reversing Environmental Degradation Trends in the South China Sea and Gulf of Thailand. Report of the Fourth Meeting of the Regional Working Group on Coral Reefs. UNEP/GEF/SCS/RWG-CR.4/3</w:t>
      </w:r>
    </w:p>
    <w:p w14:paraId="7B96FFB7" w14:textId="77777777" w:rsidR="0045205F" w:rsidRPr="0045205F" w:rsidRDefault="0045205F" w:rsidP="0045205F">
      <w:pPr>
        <w:jc w:val="both"/>
        <w:rPr>
          <w:rFonts w:eastAsia="MS Mincho"/>
          <w:sz w:val="22"/>
          <w:szCs w:val="22"/>
          <w:lang w:val="en-GB" w:eastAsia="ja-JP"/>
        </w:rPr>
      </w:pPr>
    </w:p>
    <w:p w14:paraId="6ADD19CC"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2003g. Reversing Environmental Degradation Trends in the South China Sea and Gulf of Thailand. Report of the Fourth Meeting of the Regional Working Group on Seagrass. UNEP/GEF/SCS/RWG-SG.4/3</w:t>
      </w:r>
    </w:p>
    <w:p w14:paraId="3F338CF0" w14:textId="77777777" w:rsidR="0045205F" w:rsidRPr="0045205F" w:rsidRDefault="0045205F" w:rsidP="0045205F">
      <w:pPr>
        <w:jc w:val="both"/>
        <w:rPr>
          <w:rFonts w:eastAsia="MS Mincho"/>
          <w:sz w:val="22"/>
          <w:szCs w:val="22"/>
          <w:lang w:val="en-GB" w:eastAsia="ja-JP"/>
        </w:rPr>
      </w:pPr>
    </w:p>
    <w:p w14:paraId="37B2A755"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2003h. Reversing Environmental Degradation Trends in the South China Sea and Gulf of Thailand. Report of the Fourth Meeting of the Regional Working Group on Wetlands. UNEP/GEF/SCS/RWG-W.4/3</w:t>
      </w:r>
    </w:p>
    <w:p w14:paraId="5BCA410B" w14:textId="77777777" w:rsidR="0045205F" w:rsidRPr="0045205F" w:rsidRDefault="0045205F" w:rsidP="0045205F">
      <w:pPr>
        <w:jc w:val="both"/>
        <w:rPr>
          <w:rFonts w:eastAsia="Calibri"/>
          <w:sz w:val="22"/>
          <w:szCs w:val="22"/>
        </w:rPr>
      </w:pPr>
    </w:p>
    <w:p w14:paraId="792E22AD"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2004a. Reversing Environmental Degradation Trends in the South China Sea and Gulf of Thailand. Report of the Fifth Meeting of the Regional Working Group on Mangroves. UNEP/GEF/SCS/RWG-M.5/3</w:t>
      </w:r>
    </w:p>
    <w:p w14:paraId="79F54553" w14:textId="77777777" w:rsidR="0045205F" w:rsidRPr="0045205F" w:rsidRDefault="0045205F" w:rsidP="0045205F">
      <w:pPr>
        <w:ind w:left="720" w:hanging="720"/>
        <w:jc w:val="both"/>
        <w:rPr>
          <w:rFonts w:eastAsia="MS Mincho"/>
          <w:sz w:val="22"/>
          <w:szCs w:val="22"/>
          <w:lang w:val="en-GB" w:eastAsia="ja-JP"/>
        </w:rPr>
      </w:pPr>
    </w:p>
    <w:p w14:paraId="5171725E"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2004b. Reversing Environmental Degradation Trends in the South China Sea and Gulf of Thailand. Report of the Fourth Meeting of the Regional Scientific and Technical Committee. UNEP/GEF/SCS/RSTC.4/3</w:t>
      </w:r>
    </w:p>
    <w:p w14:paraId="083D6BAD" w14:textId="77777777" w:rsidR="0045205F" w:rsidRPr="0045205F" w:rsidRDefault="0045205F" w:rsidP="0045205F">
      <w:pPr>
        <w:ind w:left="720" w:hanging="720"/>
        <w:jc w:val="both"/>
        <w:rPr>
          <w:rFonts w:eastAsia="MS Mincho"/>
          <w:sz w:val="22"/>
          <w:szCs w:val="22"/>
          <w:lang w:val="en-GB" w:eastAsia="ja-JP"/>
        </w:rPr>
      </w:pPr>
    </w:p>
    <w:p w14:paraId="37587210"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2004c. Reversing Environmental Degradation Trends in the South China Sea and Gulf of Thailand. Report of the Fifth Meeting of the Regional Scientific and Technical Committee. UNEP/GEF/SCS/RSTC.5/3</w:t>
      </w:r>
    </w:p>
    <w:p w14:paraId="571C9BB7" w14:textId="77777777" w:rsidR="0045205F" w:rsidRPr="0045205F" w:rsidRDefault="0045205F" w:rsidP="0045205F">
      <w:pPr>
        <w:jc w:val="both"/>
        <w:rPr>
          <w:rFonts w:eastAsia="MS Mincho"/>
          <w:sz w:val="22"/>
          <w:szCs w:val="22"/>
          <w:lang w:val="en-GB" w:eastAsia="ja-JP"/>
        </w:rPr>
      </w:pPr>
    </w:p>
    <w:p w14:paraId="7F8E9564"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2004d. Reversing Environmental Degradation Trends in the South China Sea and Gulf of Thailand. Report of the Third Meeting of the Project Steering Committee. UNEP/GEF/SCS/PSC.3/3</w:t>
      </w:r>
    </w:p>
    <w:p w14:paraId="1C061C56" w14:textId="77777777" w:rsidR="0045205F" w:rsidRPr="0045205F" w:rsidRDefault="0045205F" w:rsidP="0045205F">
      <w:pPr>
        <w:jc w:val="both"/>
        <w:rPr>
          <w:rFonts w:eastAsia="MS Mincho"/>
          <w:sz w:val="22"/>
          <w:szCs w:val="22"/>
          <w:lang w:val="en-GB" w:eastAsia="ja-JP"/>
        </w:rPr>
      </w:pPr>
    </w:p>
    <w:p w14:paraId="3179BE39"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2005a. Reversing Environmental Degradation Trends in the South China Sea and Gulf of Thailand. Report of the Sixth Meeting of the Regional Working Group on Mangroves. UNEP/GEF/SCS/RWG-M.6/3</w:t>
      </w:r>
    </w:p>
    <w:p w14:paraId="26836647" w14:textId="77777777" w:rsidR="0045205F" w:rsidRPr="0045205F" w:rsidRDefault="0045205F" w:rsidP="0045205F">
      <w:pPr>
        <w:jc w:val="both"/>
        <w:rPr>
          <w:rFonts w:eastAsia="Calibri"/>
          <w:sz w:val="22"/>
          <w:szCs w:val="22"/>
        </w:rPr>
      </w:pPr>
    </w:p>
    <w:p w14:paraId="19F775E8"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2005b. Reversing Environmental Degradation Trends in the South China Sea and Gulf of Thailand. Report of the Fifth Meeting of the Regional Working Group on Land-Based Pollution UNEP/GEF/SCS/RWG-LbP.5/3</w:t>
      </w:r>
    </w:p>
    <w:p w14:paraId="4572FD07" w14:textId="77777777" w:rsidR="0045205F" w:rsidRPr="0045205F" w:rsidRDefault="0045205F" w:rsidP="0045205F">
      <w:pPr>
        <w:jc w:val="both"/>
        <w:rPr>
          <w:rFonts w:eastAsia="Calibri"/>
          <w:sz w:val="22"/>
          <w:szCs w:val="22"/>
        </w:rPr>
      </w:pPr>
    </w:p>
    <w:p w14:paraId="6761D4C6"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2006a. Reversing Environmental Degradation Trends in the South China Sea and Gulf of Thailand. Report of the Seventh Meeting of the Regional Working Group on Fisheries. UNEP/GEF/SCS/RWG-7.7/3</w:t>
      </w:r>
    </w:p>
    <w:p w14:paraId="2F2CAAF7" w14:textId="77777777" w:rsidR="0045205F" w:rsidRPr="0045205F" w:rsidRDefault="0045205F" w:rsidP="0045205F">
      <w:pPr>
        <w:jc w:val="both"/>
        <w:rPr>
          <w:rFonts w:eastAsia="Calibri"/>
          <w:sz w:val="22"/>
          <w:szCs w:val="22"/>
        </w:rPr>
      </w:pPr>
    </w:p>
    <w:p w14:paraId="5FA782F2" w14:textId="77777777" w:rsidR="0045205F" w:rsidRPr="0045205F" w:rsidRDefault="0045205F" w:rsidP="0045205F">
      <w:pPr>
        <w:jc w:val="both"/>
        <w:rPr>
          <w:rFonts w:eastAsia="Calibri"/>
          <w:iCs/>
          <w:sz w:val="22"/>
          <w:szCs w:val="22"/>
        </w:rPr>
      </w:pPr>
      <w:r w:rsidRPr="0045205F">
        <w:rPr>
          <w:rFonts w:eastAsia="Calibri"/>
          <w:iCs/>
          <w:sz w:val="22"/>
          <w:szCs w:val="22"/>
        </w:rPr>
        <w:t>UNEP, 2006b. Reversing Environmental Degradation Trends in the South China Sea and Gulf of Thailand. Report of the Fourth Meeting of the Regional Task Force on Economic Valuation. UNEP/GEF/SCS/RTF-E.4/3.</w:t>
      </w:r>
    </w:p>
    <w:p w14:paraId="3857671D" w14:textId="77777777" w:rsidR="0045205F" w:rsidRPr="0045205F" w:rsidRDefault="0045205F" w:rsidP="0045205F">
      <w:pPr>
        <w:jc w:val="both"/>
        <w:rPr>
          <w:rFonts w:eastAsia="Calibri"/>
          <w:iCs/>
          <w:sz w:val="22"/>
          <w:szCs w:val="22"/>
        </w:rPr>
      </w:pPr>
    </w:p>
    <w:p w14:paraId="0C1B9E47" w14:textId="77777777" w:rsidR="0045205F" w:rsidRPr="0045205F" w:rsidRDefault="0045205F" w:rsidP="0045205F">
      <w:pPr>
        <w:jc w:val="both"/>
        <w:rPr>
          <w:rFonts w:eastAsia="Calibri"/>
          <w:iCs/>
          <w:sz w:val="22"/>
          <w:szCs w:val="22"/>
        </w:rPr>
      </w:pPr>
      <w:r w:rsidRPr="0045205F">
        <w:rPr>
          <w:rFonts w:eastAsia="Calibri"/>
          <w:iCs/>
          <w:sz w:val="22"/>
          <w:szCs w:val="22"/>
        </w:rPr>
        <w:t>UNEP, 2006c. Reversing Environmental Degradation Trends in the South China Sea and Gulf of Thailand. Report of the Fifth Meeting of the Regional Task Force on Economic Valuation. UNEP/GEF/SCS/RTF-E.5/3.</w:t>
      </w:r>
    </w:p>
    <w:p w14:paraId="1A93BBFF" w14:textId="77777777" w:rsidR="0045205F" w:rsidRPr="0045205F" w:rsidRDefault="0045205F" w:rsidP="0045205F">
      <w:pPr>
        <w:jc w:val="both"/>
        <w:rPr>
          <w:rFonts w:eastAsia="Calibri"/>
          <w:sz w:val="22"/>
          <w:szCs w:val="22"/>
        </w:rPr>
      </w:pPr>
    </w:p>
    <w:p w14:paraId="309FF3F0"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 xml:space="preserve">UNEP, 2007a. Establishing an Online Collaborative Information Base in the Context of the UNEP/GEF Project Entitled: “Reversing Environmental Degradation Trends in the South China Sea and Gulf </w:t>
      </w:r>
      <w:r w:rsidRPr="0045205F">
        <w:rPr>
          <w:rFonts w:eastAsia="MS Mincho"/>
          <w:sz w:val="22"/>
          <w:szCs w:val="22"/>
          <w:lang w:val="en-GB" w:eastAsia="ja-JP" w:bidi="th-TH"/>
        </w:rPr>
        <w:t>o</w:t>
      </w:r>
      <w:r w:rsidRPr="0045205F">
        <w:rPr>
          <w:rFonts w:eastAsia="MS Mincho"/>
          <w:sz w:val="22"/>
          <w:szCs w:val="22"/>
          <w:lang w:val="en-GB" w:eastAsia="ja-JP"/>
        </w:rPr>
        <w:t xml:space="preserve">f Thailand”. </w:t>
      </w:r>
      <w:r w:rsidRPr="0045205F">
        <w:rPr>
          <w:rFonts w:eastAsia="MS Mincho"/>
          <w:iCs/>
          <w:sz w:val="22"/>
          <w:szCs w:val="22"/>
          <w:lang w:val="en-GB" w:eastAsia="ja-JP"/>
        </w:rPr>
        <w:t>S</w:t>
      </w:r>
      <w:r w:rsidRPr="0045205F">
        <w:rPr>
          <w:rFonts w:eastAsia="MS Mincho"/>
          <w:bCs/>
          <w:sz w:val="22"/>
          <w:szCs w:val="22"/>
          <w:lang w:val="en-GB" w:eastAsia="ja-JP"/>
        </w:rPr>
        <w:t xml:space="preserve">outh China Sea Knowledge Document </w:t>
      </w:r>
      <w:r w:rsidRPr="0045205F">
        <w:rPr>
          <w:rFonts w:eastAsia="MS Mincho"/>
          <w:bCs/>
          <w:iCs/>
          <w:sz w:val="22"/>
          <w:szCs w:val="22"/>
          <w:lang w:val="en-GB" w:eastAsia="ja-JP"/>
        </w:rPr>
        <w:t xml:space="preserve">No. 6. </w:t>
      </w:r>
      <w:r w:rsidRPr="0045205F">
        <w:rPr>
          <w:rFonts w:eastAsia="MS Mincho"/>
          <w:bCs/>
          <w:sz w:val="22"/>
          <w:szCs w:val="22"/>
          <w:lang w:val="en-GB" w:eastAsia="ja-JP"/>
        </w:rPr>
        <w:t>UNEP/GEF/SCS/Inf.6</w:t>
      </w:r>
    </w:p>
    <w:p w14:paraId="035E10EA" w14:textId="77777777" w:rsidR="0045205F" w:rsidRPr="0045205F" w:rsidRDefault="0045205F" w:rsidP="0045205F">
      <w:pPr>
        <w:ind w:left="720" w:hanging="720"/>
        <w:jc w:val="both"/>
        <w:rPr>
          <w:rFonts w:eastAsia="MS Mincho"/>
          <w:sz w:val="22"/>
          <w:szCs w:val="22"/>
          <w:lang w:val="en-GB" w:eastAsia="ja-JP"/>
        </w:rPr>
      </w:pPr>
    </w:p>
    <w:p w14:paraId="4ABB8280"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2007c. Reversing Environmental Degradation Trends in the South China Sea and Gulf of Thailand. Report of the Eighth Meeting of the Regional Working Group on Fisheries. UNEP/GEF/SCS/RWG-7.8/3</w:t>
      </w:r>
    </w:p>
    <w:p w14:paraId="168A49C3" w14:textId="77777777" w:rsidR="0045205F" w:rsidRPr="0045205F" w:rsidRDefault="0045205F" w:rsidP="0045205F">
      <w:pPr>
        <w:ind w:left="720" w:hanging="720"/>
        <w:jc w:val="both"/>
        <w:rPr>
          <w:rFonts w:eastAsia="MS Mincho"/>
          <w:sz w:val="22"/>
          <w:szCs w:val="22"/>
          <w:lang w:val="en-GB" w:eastAsia="ja-JP"/>
        </w:rPr>
      </w:pPr>
    </w:p>
    <w:p w14:paraId="523C6879"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2007d. Coral Reef Demonstration Sites in the South China Sea. UNEP/GEF/SCS Technical Publication No. 5.</w:t>
      </w:r>
    </w:p>
    <w:p w14:paraId="7280D15B" w14:textId="77777777" w:rsidR="0045205F" w:rsidRPr="0045205F" w:rsidRDefault="0045205F" w:rsidP="0045205F">
      <w:pPr>
        <w:jc w:val="both"/>
        <w:rPr>
          <w:rFonts w:eastAsia="MS Mincho"/>
          <w:sz w:val="22"/>
          <w:szCs w:val="22"/>
          <w:lang w:val="en-GB" w:eastAsia="ja-JP"/>
        </w:rPr>
      </w:pPr>
    </w:p>
    <w:p w14:paraId="52EC835F"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2007e. Seagrass Demonstration Sites in the South China Sea. UNEP/GEF/SCS Technical Publication No. 6.</w:t>
      </w:r>
    </w:p>
    <w:p w14:paraId="5678C254" w14:textId="77777777" w:rsidR="0045205F" w:rsidRPr="0045205F" w:rsidRDefault="0045205F" w:rsidP="0045205F">
      <w:pPr>
        <w:jc w:val="both"/>
        <w:rPr>
          <w:rFonts w:eastAsia="MS Mincho"/>
          <w:sz w:val="22"/>
          <w:szCs w:val="22"/>
          <w:lang w:val="en-GB" w:eastAsia="ja-JP"/>
        </w:rPr>
      </w:pPr>
    </w:p>
    <w:p w14:paraId="71C40327"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2007f. Mangrove Demonstration Sites in the South China Sea. UNEP/GEF/SCS Technical Publication No. 7.</w:t>
      </w:r>
    </w:p>
    <w:p w14:paraId="07B9EBED" w14:textId="77777777" w:rsidR="0045205F" w:rsidRPr="0045205F" w:rsidRDefault="0045205F" w:rsidP="0045205F">
      <w:pPr>
        <w:jc w:val="both"/>
        <w:rPr>
          <w:rFonts w:eastAsia="MS Mincho"/>
          <w:sz w:val="22"/>
          <w:szCs w:val="22"/>
          <w:lang w:val="en-GB" w:eastAsia="ja-JP"/>
        </w:rPr>
      </w:pPr>
    </w:p>
    <w:p w14:paraId="029CA736"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2007g. Land-based Pollution in the South China Sea. UNEP/GEF/SCS Technical Publication No. 10.</w:t>
      </w:r>
    </w:p>
    <w:p w14:paraId="4EC77A5D" w14:textId="77777777" w:rsidR="0045205F" w:rsidRPr="0045205F" w:rsidRDefault="0045205F" w:rsidP="0045205F">
      <w:pPr>
        <w:ind w:left="720" w:hanging="720"/>
        <w:jc w:val="both"/>
        <w:rPr>
          <w:rFonts w:eastAsia="MS Mincho"/>
          <w:sz w:val="22"/>
          <w:szCs w:val="22"/>
          <w:lang w:val="en-GB" w:eastAsia="ja-JP"/>
        </w:rPr>
      </w:pPr>
    </w:p>
    <w:p w14:paraId="55AE2105"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2007h. Guidelines for Conducting Economic Valuation of Coastal Ecosystem Goods and Services. UNEP/GEF/SCS Technical Publication No. 8.</w:t>
      </w:r>
    </w:p>
    <w:p w14:paraId="1435A87E" w14:textId="77777777" w:rsidR="0045205F" w:rsidRPr="0045205F" w:rsidRDefault="0045205F" w:rsidP="0045205F">
      <w:pPr>
        <w:ind w:left="720" w:hanging="720"/>
        <w:jc w:val="both"/>
        <w:rPr>
          <w:rFonts w:eastAsia="MS Mincho"/>
          <w:sz w:val="22"/>
          <w:szCs w:val="22"/>
          <w:lang w:val="en-GB" w:eastAsia="ja-JP"/>
        </w:rPr>
      </w:pPr>
    </w:p>
    <w:p w14:paraId="698D9DEC"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2007i. Modelling the Carrying Capacity of the South China Sea Marine Basin with respect to Nutrient Loading from Land-Based Sources</w:t>
      </w:r>
      <w:r w:rsidRPr="0045205F">
        <w:rPr>
          <w:rFonts w:eastAsia="MS Mincho"/>
          <w:bCs/>
          <w:sz w:val="22"/>
          <w:szCs w:val="22"/>
          <w:lang w:val="en-GB" w:eastAsia="ja-JP"/>
        </w:rPr>
        <w:t xml:space="preserve"> i</w:t>
      </w:r>
      <w:r w:rsidRPr="0045205F">
        <w:rPr>
          <w:rFonts w:eastAsia="MS Mincho"/>
          <w:sz w:val="22"/>
          <w:szCs w:val="22"/>
          <w:lang w:val="en-GB" w:eastAsia="ja-JP"/>
        </w:rPr>
        <w:t xml:space="preserve">n the context of </w:t>
      </w:r>
      <w:r w:rsidRPr="0045205F">
        <w:rPr>
          <w:rFonts w:eastAsia="MS Mincho"/>
          <w:bCs/>
          <w:sz w:val="22"/>
          <w:szCs w:val="22"/>
          <w:lang w:val="en-GB" w:eastAsia="ja-JP"/>
        </w:rPr>
        <w:t xml:space="preserve">the UNEP/GEF Project entitled: </w:t>
      </w:r>
      <w:r w:rsidRPr="0045205F">
        <w:rPr>
          <w:rFonts w:eastAsia="MS Mincho"/>
          <w:bCs/>
          <w:iCs/>
          <w:sz w:val="22"/>
          <w:szCs w:val="22"/>
          <w:lang w:val="en-GB" w:eastAsia="ja-JP"/>
        </w:rPr>
        <w:t>“Reversing Environmental Degradation Trends in the South China Sea and Gulf of Thailand”</w:t>
      </w:r>
      <w:r w:rsidRPr="0045205F">
        <w:rPr>
          <w:rFonts w:eastAsia="MS Mincho"/>
          <w:iCs/>
          <w:sz w:val="22"/>
          <w:szCs w:val="22"/>
          <w:lang w:val="en-GB" w:eastAsia="ja-JP"/>
        </w:rPr>
        <w:t>. S</w:t>
      </w:r>
      <w:r w:rsidRPr="0045205F">
        <w:rPr>
          <w:rFonts w:eastAsia="MS Mincho"/>
          <w:bCs/>
          <w:sz w:val="22"/>
          <w:szCs w:val="22"/>
          <w:lang w:val="en-GB" w:eastAsia="ja-JP"/>
        </w:rPr>
        <w:t xml:space="preserve">outh China Sea Knowledge Document </w:t>
      </w:r>
      <w:r w:rsidRPr="0045205F">
        <w:rPr>
          <w:rFonts w:eastAsia="MS Mincho"/>
          <w:bCs/>
          <w:iCs/>
          <w:sz w:val="22"/>
          <w:szCs w:val="22"/>
          <w:lang w:val="en-GB" w:eastAsia="ja-JP"/>
        </w:rPr>
        <w:t xml:space="preserve">No. 5. </w:t>
      </w:r>
      <w:r w:rsidRPr="0045205F">
        <w:rPr>
          <w:rFonts w:eastAsia="MS Mincho"/>
          <w:bCs/>
          <w:sz w:val="22"/>
          <w:szCs w:val="22"/>
          <w:lang w:val="en-GB" w:eastAsia="ja-JP"/>
        </w:rPr>
        <w:t>UNEP/GEF/SCS/Inf.5</w:t>
      </w:r>
    </w:p>
    <w:p w14:paraId="78F050C1" w14:textId="77777777" w:rsidR="0045205F" w:rsidRPr="0045205F" w:rsidRDefault="0045205F" w:rsidP="0045205F">
      <w:pPr>
        <w:jc w:val="both"/>
        <w:rPr>
          <w:rFonts w:eastAsia="MS Mincho"/>
          <w:bCs/>
          <w:iCs/>
          <w:sz w:val="22"/>
          <w:szCs w:val="22"/>
          <w:lang w:val="en-GB" w:eastAsia="ja-JP"/>
        </w:rPr>
      </w:pPr>
    </w:p>
    <w:p w14:paraId="3656FD24" w14:textId="77777777" w:rsidR="0045205F" w:rsidRPr="0045205F" w:rsidRDefault="0045205F" w:rsidP="0045205F">
      <w:pPr>
        <w:jc w:val="both"/>
        <w:rPr>
          <w:rFonts w:eastAsia="MS Mincho"/>
          <w:sz w:val="22"/>
          <w:szCs w:val="22"/>
          <w:lang w:val="en-GB" w:eastAsia="ja-JP"/>
        </w:rPr>
      </w:pPr>
      <w:r w:rsidRPr="0045205F">
        <w:rPr>
          <w:rFonts w:eastAsia="MS Mincho"/>
          <w:bCs/>
          <w:iCs/>
          <w:sz w:val="22"/>
          <w:szCs w:val="22"/>
          <w:lang w:val="en-GB" w:eastAsia="ja-JP"/>
        </w:rPr>
        <w:t>UNEP, 2007j. Reversing Environmental Degradation Trends in the South China Sea and Gulf of Thailand. Report of the Seventh Meeting of the Regional Task Force on Economic Valuation. UNEP/GEF/SCS/RTF-E.7/3.</w:t>
      </w:r>
    </w:p>
    <w:p w14:paraId="423A1FD3" w14:textId="77777777" w:rsidR="0045205F" w:rsidRPr="0045205F" w:rsidRDefault="0045205F" w:rsidP="0045205F">
      <w:pPr>
        <w:jc w:val="both"/>
        <w:rPr>
          <w:rFonts w:eastAsia="MS Mincho"/>
          <w:sz w:val="22"/>
          <w:szCs w:val="22"/>
          <w:lang w:val="en-GB" w:eastAsia="ja-JP"/>
        </w:rPr>
      </w:pPr>
    </w:p>
    <w:p w14:paraId="4AE3C203" w14:textId="77777777" w:rsidR="0045205F" w:rsidRPr="0045205F" w:rsidRDefault="0045205F" w:rsidP="0045205F">
      <w:pPr>
        <w:jc w:val="both"/>
        <w:rPr>
          <w:rFonts w:eastAsia="MS Mincho"/>
          <w:bCs/>
          <w:sz w:val="22"/>
          <w:szCs w:val="22"/>
          <w:lang w:val="en-GB" w:eastAsia="ja-JP"/>
        </w:rPr>
      </w:pPr>
      <w:r w:rsidRPr="0045205F">
        <w:rPr>
          <w:rFonts w:eastAsia="MS Mincho"/>
          <w:bCs/>
          <w:sz w:val="22"/>
          <w:szCs w:val="22"/>
          <w:lang w:val="en-GB" w:eastAsia="ja-JP"/>
        </w:rPr>
        <w:t>UNEP. 2007k.</w:t>
      </w:r>
      <w:r w:rsidRPr="0045205F">
        <w:rPr>
          <w:rFonts w:eastAsia="MS Mincho"/>
          <w:bCs/>
          <w:iCs/>
          <w:sz w:val="22"/>
          <w:szCs w:val="22"/>
          <w:lang w:val="en-GB" w:eastAsia="ja-JP"/>
        </w:rPr>
        <w:t xml:space="preserve"> </w:t>
      </w:r>
      <w:r w:rsidRPr="0045205F">
        <w:rPr>
          <w:rFonts w:eastAsia="MS Mincho"/>
          <w:bCs/>
          <w:sz w:val="22"/>
          <w:szCs w:val="22"/>
          <w:lang w:val="en-GB" w:eastAsia="ja-JP"/>
        </w:rPr>
        <w:t xml:space="preserve">Review of the </w:t>
      </w:r>
      <w:r w:rsidRPr="0045205F">
        <w:rPr>
          <w:rFonts w:eastAsia="MS Mincho"/>
          <w:bCs/>
          <w:sz w:val="22"/>
          <w:szCs w:val="22"/>
          <w:lang w:eastAsia="ja-JP"/>
        </w:rPr>
        <w:t>L</w:t>
      </w:r>
      <w:r w:rsidRPr="0045205F">
        <w:rPr>
          <w:rFonts w:eastAsia="MS Mincho"/>
          <w:bCs/>
          <w:sz w:val="22"/>
          <w:szCs w:val="22"/>
          <w:lang w:val="en-GB" w:eastAsia="ja-JP"/>
        </w:rPr>
        <w:t>egal Aspects of Environmental Management in the South China Sea and Gulf of Thailand.</w:t>
      </w:r>
      <w:r w:rsidRPr="0045205F">
        <w:rPr>
          <w:rFonts w:eastAsia="MS Mincho"/>
          <w:bCs/>
          <w:iCs/>
          <w:sz w:val="22"/>
          <w:szCs w:val="22"/>
          <w:lang w:val="en-GB" w:eastAsia="ja-JP"/>
        </w:rPr>
        <w:t xml:space="preserve"> </w:t>
      </w:r>
      <w:r w:rsidRPr="0045205F">
        <w:rPr>
          <w:rFonts w:eastAsia="MS Mincho"/>
          <w:bCs/>
          <w:sz w:val="22"/>
          <w:szCs w:val="22"/>
          <w:lang w:val="en-GB" w:eastAsia="ja-JP"/>
        </w:rPr>
        <w:t>UNEP/GEF/SCS Technical Publication No. 9.</w:t>
      </w:r>
    </w:p>
    <w:p w14:paraId="1E96B732" w14:textId="77777777" w:rsidR="0045205F" w:rsidRPr="0045205F" w:rsidRDefault="0045205F" w:rsidP="0045205F">
      <w:pPr>
        <w:jc w:val="both"/>
        <w:rPr>
          <w:rFonts w:eastAsia="MS Mincho"/>
          <w:sz w:val="22"/>
          <w:szCs w:val="22"/>
          <w:lang w:val="en-GB" w:eastAsia="ja-JP"/>
        </w:rPr>
      </w:pPr>
    </w:p>
    <w:p w14:paraId="16FEC54B" w14:textId="77777777" w:rsidR="0045205F" w:rsidRPr="0045205F" w:rsidRDefault="0045205F" w:rsidP="0045205F">
      <w:pPr>
        <w:jc w:val="both"/>
        <w:rPr>
          <w:rFonts w:eastAsia="MS Mincho"/>
          <w:sz w:val="22"/>
          <w:szCs w:val="22"/>
          <w:lang w:val="en-GB" w:eastAsia="ja-JP"/>
        </w:rPr>
      </w:pPr>
      <w:r w:rsidRPr="0045205F">
        <w:rPr>
          <w:rFonts w:eastAsia="MS Mincho"/>
          <w:bCs/>
          <w:sz w:val="22"/>
          <w:szCs w:val="22"/>
          <w:lang w:eastAsia="ja-JP"/>
        </w:rPr>
        <w:t>UNEP</w:t>
      </w:r>
      <w:r w:rsidRPr="0045205F">
        <w:rPr>
          <w:rFonts w:eastAsia="MS Mincho"/>
          <w:bCs/>
          <w:sz w:val="22"/>
          <w:szCs w:val="22"/>
          <w:lang w:val="en-GB" w:eastAsia="ja-JP"/>
        </w:rPr>
        <w:t>, 2007l.</w:t>
      </w:r>
      <w:r w:rsidRPr="0045205F">
        <w:rPr>
          <w:rFonts w:eastAsia="MS Mincho"/>
          <w:bCs/>
          <w:iCs/>
          <w:sz w:val="22"/>
          <w:szCs w:val="22"/>
          <w:lang w:val="en-GB" w:eastAsia="ja-JP"/>
        </w:rPr>
        <w:t xml:space="preserve"> </w:t>
      </w:r>
      <w:r w:rsidRPr="0045205F">
        <w:rPr>
          <w:rFonts w:eastAsia="MS Mincho"/>
          <w:bCs/>
          <w:iCs/>
          <w:sz w:val="22"/>
          <w:szCs w:val="22"/>
          <w:lang w:eastAsia="ja-JP"/>
        </w:rPr>
        <w:t xml:space="preserve">National Reports on </w:t>
      </w:r>
      <w:r w:rsidRPr="0045205F">
        <w:rPr>
          <w:rFonts w:eastAsia="MS Mincho"/>
          <w:iCs/>
          <w:sz w:val="22"/>
          <w:szCs w:val="22"/>
          <w:lang w:val="en-GB" w:eastAsia="ja-JP"/>
        </w:rPr>
        <w:t>Coral Reefs in the Coastal Waters of the South China Sea</w:t>
      </w:r>
      <w:r w:rsidRPr="0045205F">
        <w:rPr>
          <w:rFonts w:eastAsia="MS Mincho"/>
          <w:bCs/>
          <w:iCs/>
          <w:sz w:val="22"/>
          <w:szCs w:val="22"/>
          <w:lang w:val="en-GB" w:eastAsia="ja-JP"/>
        </w:rPr>
        <w:t>.</w:t>
      </w:r>
      <w:r w:rsidRPr="0045205F">
        <w:rPr>
          <w:rFonts w:eastAsia="MS Mincho"/>
          <w:bCs/>
          <w:sz w:val="22"/>
          <w:szCs w:val="22"/>
          <w:lang w:val="en-GB" w:eastAsia="ja-JP"/>
        </w:rPr>
        <w:t xml:space="preserve"> </w:t>
      </w:r>
      <w:r w:rsidRPr="0045205F">
        <w:rPr>
          <w:rFonts w:eastAsia="MS Mincho"/>
          <w:sz w:val="22"/>
          <w:szCs w:val="22"/>
          <w:lang w:val="en-GB" w:eastAsia="ja-JP"/>
        </w:rPr>
        <w:t>UNEP/GEF/SCS Technical Publication No. 11</w:t>
      </w:r>
    </w:p>
    <w:p w14:paraId="46E396B4" w14:textId="77777777" w:rsidR="0045205F" w:rsidRPr="0045205F" w:rsidRDefault="0045205F" w:rsidP="0045205F">
      <w:pPr>
        <w:jc w:val="both"/>
        <w:rPr>
          <w:rFonts w:eastAsia="MS Mincho"/>
          <w:sz w:val="22"/>
          <w:szCs w:val="22"/>
          <w:lang w:val="en-GB" w:eastAsia="ja-JP"/>
        </w:rPr>
      </w:pPr>
    </w:p>
    <w:p w14:paraId="241943AB"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2008a. Reversing Environmental Degradation Trends in the South China Sea and Gulf of Thailand. Report of the Ninth Meeting of the Regional Working Group on Mangroves. UNEP/GEF/SCS/RWG-M.5/3</w:t>
      </w:r>
    </w:p>
    <w:p w14:paraId="7845CD83" w14:textId="77777777" w:rsidR="0045205F" w:rsidRPr="0045205F" w:rsidRDefault="0045205F" w:rsidP="0045205F">
      <w:pPr>
        <w:jc w:val="both"/>
        <w:rPr>
          <w:rFonts w:eastAsia="Calibri"/>
          <w:sz w:val="22"/>
          <w:szCs w:val="22"/>
        </w:rPr>
      </w:pPr>
    </w:p>
    <w:p w14:paraId="28EA04FD"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GB" w:eastAsia="ja-JP"/>
        </w:rPr>
        <w:t>UNEP, 2008b. Strategic Action Programme for the South China Sea. UNEP/GEF/</w:t>
      </w:r>
      <w:smartTag w:uri="urn:schemas-microsoft-com:office:smarttags" w:element="stockticker">
        <w:r w:rsidRPr="0045205F">
          <w:rPr>
            <w:rFonts w:eastAsia="MS Mincho"/>
            <w:sz w:val="22"/>
            <w:szCs w:val="22"/>
            <w:lang w:val="en-GB" w:eastAsia="ja-JP"/>
          </w:rPr>
          <w:t>SCS</w:t>
        </w:r>
      </w:smartTag>
      <w:r w:rsidRPr="0045205F">
        <w:rPr>
          <w:rFonts w:eastAsia="MS Mincho"/>
          <w:sz w:val="22"/>
          <w:szCs w:val="22"/>
          <w:lang w:val="en-GB" w:eastAsia="ja-JP"/>
        </w:rPr>
        <w:t xml:space="preserve"> Technical Publication No. 16.</w:t>
      </w:r>
    </w:p>
    <w:p w14:paraId="34CE350E" w14:textId="77777777" w:rsidR="0045205F" w:rsidRPr="0045205F" w:rsidRDefault="0045205F" w:rsidP="0045205F">
      <w:pPr>
        <w:jc w:val="both"/>
        <w:rPr>
          <w:rFonts w:eastAsia="Calibri"/>
          <w:sz w:val="22"/>
          <w:szCs w:val="22"/>
        </w:rPr>
      </w:pPr>
    </w:p>
    <w:p w14:paraId="65D61713" w14:textId="77777777" w:rsidR="0045205F" w:rsidRPr="0045205F" w:rsidRDefault="0045205F" w:rsidP="0045205F">
      <w:pPr>
        <w:jc w:val="both"/>
        <w:rPr>
          <w:rFonts w:eastAsia="Calibri"/>
          <w:sz w:val="22"/>
          <w:szCs w:val="22"/>
        </w:rPr>
      </w:pPr>
      <w:r w:rsidRPr="0045205F">
        <w:rPr>
          <w:rFonts w:eastAsia="Calibri"/>
          <w:sz w:val="22"/>
          <w:szCs w:val="22"/>
        </w:rPr>
        <w:t>UNEP, 2008c. National Reports on Mangroves in the South China Sea. UNEP/GEF/SCS Technical Publication No. 14.</w:t>
      </w:r>
    </w:p>
    <w:p w14:paraId="61402E8F" w14:textId="77777777" w:rsidR="0045205F" w:rsidRPr="0045205F" w:rsidRDefault="0045205F" w:rsidP="0045205F">
      <w:pPr>
        <w:jc w:val="both"/>
        <w:rPr>
          <w:rFonts w:eastAsia="Calibri"/>
          <w:sz w:val="22"/>
          <w:szCs w:val="22"/>
        </w:rPr>
      </w:pPr>
    </w:p>
    <w:p w14:paraId="76470B0C" w14:textId="77777777" w:rsidR="0045205F" w:rsidRPr="0045205F" w:rsidRDefault="0045205F" w:rsidP="0045205F">
      <w:pPr>
        <w:jc w:val="both"/>
        <w:rPr>
          <w:rFonts w:eastAsia="Calibri"/>
          <w:bCs/>
          <w:sz w:val="22"/>
          <w:szCs w:val="22"/>
          <w:lang w:val="en-GB"/>
        </w:rPr>
      </w:pPr>
      <w:r w:rsidRPr="0045205F">
        <w:rPr>
          <w:rFonts w:eastAsia="Calibri"/>
          <w:bCs/>
          <w:sz w:val="22"/>
          <w:szCs w:val="22"/>
          <w:lang w:val="en-GB"/>
        </w:rPr>
        <w:t>UNEP, 2008d.</w:t>
      </w:r>
      <w:r w:rsidRPr="0045205F">
        <w:rPr>
          <w:rFonts w:eastAsia="Calibri"/>
          <w:bCs/>
          <w:iCs/>
          <w:sz w:val="22"/>
          <w:szCs w:val="22"/>
          <w:lang w:val="en-GB"/>
        </w:rPr>
        <w:t xml:space="preserve"> National Reports on Wetlands in the South China Sea. </w:t>
      </w:r>
      <w:r w:rsidRPr="0045205F">
        <w:rPr>
          <w:rFonts w:eastAsia="Calibri"/>
          <w:bCs/>
          <w:sz w:val="22"/>
          <w:szCs w:val="22"/>
          <w:lang w:val="en-GB"/>
        </w:rPr>
        <w:t>UNEP/GEF/SCS Technical Publication No. 13.</w:t>
      </w:r>
    </w:p>
    <w:p w14:paraId="1E7FC92B" w14:textId="77777777" w:rsidR="0045205F" w:rsidRPr="0045205F" w:rsidRDefault="0045205F" w:rsidP="0045205F">
      <w:pPr>
        <w:jc w:val="both"/>
        <w:rPr>
          <w:rFonts w:eastAsia="Calibri"/>
          <w:sz w:val="22"/>
          <w:szCs w:val="22"/>
        </w:rPr>
      </w:pPr>
    </w:p>
    <w:p w14:paraId="27552933" w14:textId="77777777" w:rsidR="0045205F" w:rsidRPr="0045205F" w:rsidRDefault="0045205F" w:rsidP="0045205F">
      <w:pPr>
        <w:jc w:val="both"/>
        <w:rPr>
          <w:rFonts w:eastAsia="Calibri"/>
          <w:sz w:val="22"/>
          <w:szCs w:val="22"/>
          <w:lang w:val="en-GB"/>
        </w:rPr>
      </w:pPr>
      <w:r w:rsidRPr="0045205F">
        <w:rPr>
          <w:rFonts w:eastAsia="Calibri"/>
          <w:sz w:val="22"/>
          <w:szCs w:val="22"/>
          <w:lang w:val="en-GB"/>
        </w:rPr>
        <w:t>UNEP, 2008e.</w:t>
      </w:r>
      <w:r w:rsidRPr="0045205F">
        <w:rPr>
          <w:rFonts w:eastAsia="Calibri"/>
          <w:iCs/>
          <w:sz w:val="22"/>
          <w:szCs w:val="22"/>
          <w:lang w:val="en-GB"/>
        </w:rPr>
        <w:t xml:space="preserve"> National Reports on Seagrass in the South China Sea. </w:t>
      </w:r>
      <w:r w:rsidRPr="0045205F">
        <w:rPr>
          <w:rFonts w:eastAsia="Calibri"/>
          <w:sz w:val="22"/>
          <w:szCs w:val="22"/>
          <w:lang w:val="en-GB"/>
        </w:rPr>
        <w:t>UNEP/GEF/SCS Technical Publication No. 12.</w:t>
      </w:r>
    </w:p>
    <w:p w14:paraId="091A544F" w14:textId="77777777" w:rsidR="0045205F" w:rsidRPr="0045205F" w:rsidRDefault="0045205F" w:rsidP="0045205F">
      <w:pPr>
        <w:jc w:val="both"/>
        <w:rPr>
          <w:rFonts w:eastAsia="Calibri"/>
          <w:sz w:val="22"/>
          <w:szCs w:val="22"/>
        </w:rPr>
      </w:pPr>
    </w:p>
    <w:p w14:paraId="522118D0" w14:textId="77777777" w:rsidR="0045205F" w:rsidRPr="0045205F" w:rsidRDefault="0045205F" w:rsidP="0045205F">
      <w:pPr>
        <w:jc w:val="both"/>
        <w:rPr>
          <w:rFonts w:eastAsia="Calibri"/>
          <w:sz w:val="22"/>
          <w:szCs w:val="22"/>
        </w:rPr>
      </w:pPr>
      <w:r w:rsidRPr="0045205F">
        <w:rPr>
          <w:rFonts w:eastAsia="Calibri"/>
          <w:sz w:val="22"/>
          <w:szCs w:val="22"/>
        </w:rPr>
        <w:t>Van de Kerkhof, M., 2006. Making a difference: on the constraints of consensus building and the relevance of deliberation in stakeholder dialogues. Policy Sciences 39, 279-299.</w:t>
      </w:r>
    </w:p>
    <w:p w14:paraId="5AC1D3A7" w14:textId="77777777" w:rsidR="0045205F" w:rsidRPr="0045205F" w:rsidRDefault="0045205F" w:rsidP="0045205F">
      <w:pPr>
        <w:jc w:val="both"/>
        <w:rPr>
          <w:rFonts w:eastAsia="Calibri"/>
          <w:sz w:val="22"/>
          <w:szCs w:val="22"/>
        </w:rPr>
      </w:pPr>
    </w:p>
    <w:p w14:paraId="58E1A3AE" w14:textId="77777777" w:rsidR="0045205F" w:rsidRPr="0045205F" w:rsidRDefault="0045205F" w:rsidP="0045205F">
      <w:pPr>
        <w:jc w:val="both"/>
        <w:rPr>
          <w:rFonts w:eastAsia="Calibri"/>
          <w:sz w:val="22"/>
          <w:szCs w:val="22"/>
        </w:rPr>
      </w:pPr>
      <w:r w:rsidRPr="0045205F">
        <w:rPr>
          <w:rFonts w:eastAsia="Calibri"/>
          <w:sz w:val="22"/>
          <w:szCs w:val="22"/>
        </w:rPr>
        <w:t>Veron, J. E. N., 1995. Corals in space and time. The biogeography and evolution of the Scleractinia. University of New South Wales press. 321 pp.</w:t>
      </w:r>
    </w:p>
    <w:p w14:paraId="63512745" w14:textId="77777777" w:rsidR="0045205F" w:rsidRPr="0045205F" w:rsidRDefault="0045205F" w:rsidP="0045205F">
      <w:pPr>
        <w:jc w:val="both"/>
        <w:rPr>
          <w:rFonts w:eastAsia="Calibri"/>
          <w:sz w:val="22"/>
          <w:szCs w:val="22"/>
        </w:rPr>
      </w:pPr>
    </w:p>
    <w:p w14:paraId="3B5C72D6" w14:textId="77777777" w:rsidR="0045205F" w:rsidRPr="0045205F" w:rsidRDefault="0045205F" w:rsidP="0045205F">
      <w:pPr>
        <w:jc w:val="both"/>
        <w:rPr>
          <w:rFonts w:eastAsia="Calibri"/>
          <w:sz w:val="22"/>
          <w:szCs w:val="22"/>
        </w:rPr>
      </w:pPr>
      <w:r w:rsidRPr="0045205F">
        <w:rPr>
          <w:rFonts w:eastAsia="Calibri"/>
          <w:sz w:val="22"/>
          <w:szCs w:val="22"/>
        </w:rPr>
        <w:t>Vo, S.T., 2010. An analysis on biodiversity in western waters of the South China Sea. Proceeding of Scientifc Conference for 35th Anniversary of Vietnamese Academy of Science and Technology. Publishing House of Natural Science and Technology, Ha Noi, 2010: 316-322</w:t>
      </w:r>
    </w:p>
    <w:p w14:paraId="64AE3D61" w14:textId="77777777" w:rsidR="0045205F" w:rsidRPr="0045205F" w:rsidRDefault="0045205F" w:rsidP="0045205F">
      <w:pPr>
        <w:jc w:val="both"/>
        <w:rPr>
          <w:rFonts w:eastAsia="Calibri"/>
          <w:sz w:val="22"/>
          <w:szCs w:val="22"/>
        </w:rPr>
      </w:pPr>
    </w:p>
    <w:p w14:paraId="0B759094" w14:textId="77777777" w:rsidR="0045205F" w:rsidRPr="0045205F" w:rsidRDefault="0045205F" w:rsidP="0045205F">
      <w:pPr>
        <w:jc w:val="both"/>
        <w:rPr>
          <w:rFonts w:eastAsia="Calibri"/>
          <w:sz w:val="22"/>
          <w:szCs w:val="22"/>
          <w:lang w:val="en-GB"/>
        </w:rPr>
      </w:pPr>
      <w:r w:rsidRPr="0045205F">
        <w:rPr>
          <w:rFonts w:eastAsia="Calibri"/>
          <w:sz w:val="22"/>
          <w:szCs w:val="22"/>
          <w:lang w:val="en-GB"/>
        </w:rPr>
        <w:t xml:space="preserve">Vo, S.T., DeVantier, L., Nguyen, V.L., Hua, T.T.   Nguyen, X.H., Phan, K.H., 2002. </w:t>
      </w:r>
      <w:r w:rsidRPr="0045205F">
        <w:rPr>
          <w:rFonts w:eastAsia="Calibri"/>
          <w:iCs/>
          <w:sz w:val="22"/>
          <w:szCs w:val="22"/>
          <w:lang w:val="en-GB"/>
        </w:rPr>
        <w:t>Coral Reefs of Hon Mun Marine Protected Area, Nha Trang Bay, Vietnam: 2002. Species composition, community structure, status and management recommendations</w:t>
      </w:r>
      <w:r w:rsidRPr="0045205F">
        <w:rPr>
          <w:rFonts w:eastAsia="Calibri"/>
          <w:sz w:val="22"/>
          <w:szCs w:val="22"/>
          <w:lang w:val="en-GB"/>
        </w:rPr>
        <w:t xml:space="preserve">. Proceeding of Scientific Conference “Bien Dong – 2002”. Agricultural Publishing House, 2004: 649 – 690 </w:t>
      </w:r>
    </w:p>
    <w:p w14:paraId="3838252E" w14:textId="77777777" w:rsidR="0045205F" w:rsidRPr="0045205F" w:rsidRDefault="0045205F" w:rsidP="0045205F">
      <w:pPr>
        <w:jc w:val="both"/>
        <w:rPr>
          <w:rFonts w:eastAsia="Calibri"/>
          <w:sz w:val="22"/>
          <w:szCs w:val="22"/>
        </w:rPr>
      </w:pPr>
    </w:p>
    <w:p w14:paraId="5CF71E04" w14:textId="77777777" w:rsidR="0045205F" w:rsidRPr="0045205F" w:rsidRDefault="0045205F" w:rsidP="0045205F">
      <w:pPr>
        <w:jc w:val="both"/>
        <w:rPr>
          <w:rFonts w:eastAsia="MS Mincho"/>
          <w:sz w:val="22"/>
          <w:szCs w:val="22"/>
          <w:lang w:val="en-GB" w:eastAsia="ja-JP"/>
        </w:rPr>
      </w:pPr>
      <w:r w:rsidRPr="0045205F">
        <w:rPr>
          <w:rFonts w:eastAsia="MS Mincho"/>
          <w:sz w:val="22"/>
          <w:szCs w:val="22"/>
          <w:lang w:val="en-AU" w:eastAsia="ja-JP"/>
        </w:rPr>
        <w:t xml:space="preserve">Vo Si Tuan, Tran Thi Thu Ha, Nguyen Xuan Hoa, Nguyen Thi Lien, Ngo Hoang Thanh Song,  2008. </w:t>
      </w:r>
      <w:r w:rsidRPr="0045205F">
        <w:rPr>
          <w:rFonts w:eastAsia="MS Mincho"/>
          <w:sz w:val="22"/>
          <w:szCs w:val="22"/>
          <w:lang w:val="en-GB" w:eastAsia="ja-JP"/>
        </w:rPr>
        <w:t>Wetland management at Con Chim area of Thi Nai lagoon, South Central Viet Nam. Proceeding of National Conference “Bien Dong – 2007”, 12-14/9/2007, Nha Trang, Viet Nam:  91 – 98</w:t>
      </w:r>
    </w:p>
    <w:p w14:paraId="0F476429" w14:textId="77777777" w:rsidR="0045205F" w:rsidRPr="0045205F" w:rsidRDefault="0045205F" w:rsidP="0045205F">
      <w:pPr>
        <w:jc w:val="both"/>
        <w:rPr>
          <w:rFonts w:eastAsia="Calibri"/>
          <w:sz w:val="22"/>
          <w:szCs w:val="22"/>
        </w:rPr>
      </w:pPr>
    </w:p>
    <w:p w14:paraId="40DA312A" w14:textId="77777777" w:rsidR="0045205F" w:rsidRPr="0045205F" w:rsidRDefault="0045205F" w:rsidP="0045205F">
      <w:pPr>
        <w:jc w:val="both"/>
        <w:rPr>
          <w:rFonts w:eastAsia="Calibri"/>
          <w:sz w:val="22"/>
          <w:szCs w:val="22"/>
        </w:rPr>
      </w:pPr>
      <w:r w:rsidRPr="0045205F">
        <w:rPr>
          <w:rFonts w:eastAsia="Calibri"/>
          <w:sz w:val="22"/>
          <w:szCs w:val="22"/>
        </w:rPr>
        <w:t>Vo, S.T., Pernetta, J.C. and C.J. Paterson, 2013. Status and trends in coastal habitats of the South China Sea. Ocean and Coastal Management, 85(b): 153-63.</w:t>
      </w:r>
    </w:p>
    <w:p w14:paraId="0D9D01E9" w14:textId="77777777" w:rsidR="0045205F" w:rsidRPr="0045205F" w:rsidRDefault="0045205F" w:rsidP="0045205F">
      <w:pPr>
        <w:jc w:val="both"/>
        <w:rPr>
          <w:rFonts w:eastAsia="Calibri"/>
          <w:sz w:val="22"/>
          <w:szCs w:val="22"/>
        </w:rPr>
      </w:pPr>
    </w:p>
    <w:p w14:paraId="5B5EFF77" w14:textId="77777777" w:rsidR="0045205F" w:rsidRPr="0045205F" w:rsidRDefault="0045205F" w:rsidP="0045205F">
      <w:pPr>
        <w:jc w:val="both"/>
        <w:rPr>
          <w:rFonts w:eastAsia="Calibri"/>
          <w:sz w:val="22"/>
          <w:szCs w:val="22"/>
        </w:rPr>
      </w:pPr>
      <w:r w:rsidRPr="0045205F">
        <w:rPr>
          <w:rFonts w:eastAsia="Calibri"/>
          <w:sz w:val="22"/>
          <w:szCs w:val="22"/>
        </w:rPr>
        <w:t>Zito, A.R., 2001. Epistemic communities, collective entrepreneurship and European integration. Journal of European Public Policy 8 (4), 585-603.</w:t>
      </w:r>
    </w:p>
    <w:p w14:paraId="667B5E6E" w14:textId="77777777" w:rsidR="00F07F81" w:rsidRDefault="00F07F81">
      <w:pPr>
        <w:spacing w:after="120"/>
        <w:jc w:val="center"/>
        <w:outlineLvl w:val="0"/>
        <w:rPr>
          <w:b/>
          <w:smallCaps/>
          <w:sz w:val="22"/>
          <w:szCs w:val="22"/>
          <w:lang w:val="en-GB"/>
        </w:rPr>
      </w:pPr>
      <w:r>
        <w:rPr>
          <w:b/>
          <w:sz w:val="22"/>
          <w:szCs w:val="22"/>
          <w:lang w:val="en-GB"/>
        </w:rPr>
        <w:br w:type="page"/>
      </w:r>
      <w:bookmarkStart w:id="100" w:name="_Toc209432671"/>
      <w:r>
        <w:rPr>
          <w:b/>
          <w:smallCaps/>
          <w:sz w:val="22"/>
          <w:szCs w:val="22"/>
          <w:lang w:val="en-GB"/>
        </w:rPr>
        <w:t>Appendices</w:t>
      </w:r>
      <w:bookmarkEnd w:id="100"/>
    </w:p>
    <w:p w14:paraId="25E298E0" w14:textId="77777777" w:rsidR="00323051" w:rsidRDefault="00323051">
      <w:pPr>
        <w:spacing w:after="120"/>
        <w:jc w:val="center"/>
        <w:outlineLvl w:val="0"/>
        <w:rPr>
          <w:b/>
          <w:smallCaps/>
          <w:sz w:val="22"/>
          <w:szCs w:val="22"/>
          <w:lang w:val="en-GB"/>
        </w:rPr>
      </w:pPr>
    </w:p>
    <w:p w14:paraId="010F86F8" w14:textId="77777777" w:rsidR="00F07F81" w:rsidRDefault="00F07F81">
      <w:pPr>
        <w:spacing w:after="120"/>
        <w:outlineLvl w:val="1"/>
        <w:rPr>
          <w:b/>
          <w:sz w:val="22"/>
          <w:szCs w:val="22"/>
          <w:lang w:val="en-GB"/>
        </w:rPr>
      </w:pPr>
      <w:bookmarkStart w:id="101" w:name="_Toc209432672"/>
      <w:r>
        <w:rPr>
          <w:b/>
          <w:sz w:val="22"/>
          <w:szCs w:val="22"/>
          <w:lang w:val="en-GB"/>
        </w:rPr>
        <w:t>Appendix 1:</w:t>
      </w:r>
      <w:r>
        <w:rPr>
          <w:b/>
          <w:sz w:val="22"/>
          <w:szCs w:val="22"/>
          <w:lang w:val="en-GB"/>
        </w:rPr>
        <w:tab/>
        <w:t>Budget by project components and UNEP budget lines</w:t>
      </w:r>
      <w:bookmarkEnd w:id="101"/>
      <w:r w:rsidR="00323051">
        <w:rPr>
          <w:b/>
          <w:sz w:val="22"/>
          <w:szCs w:val="22"/>
          <w:lang w:val="en-GB"/>
        </w:rPr>
        <w:t xml:space="preserve"> [</w:t>
      </w:r>
      <w:r w:rsidR="00323051" w:rsidRPr="00323051">
        <w:rPr>
          <w:b/>
          <w:sz w:val="22"/>
          <w:szCs w:val="22"/>
          <w:highlight w:val="yellow"/>
          <w:lang w:val="en-GB"/>
        </w:rPr>
        <w:t>EXCEL SHEETS</w:t>
      </w:r>
      <w:r w:rsidR="00323051">
        <w:rPr>
          <w:b/>
          <w:sz w:val="22"/>
          <w:szCs w:val="22"/>
          <w:lang w:val="en-GB"/>
        </w:rPr>
        <w:t>]</w:t>
      </w:r>
    </w:p>
    <w:p w14:paraId="4BB99768" w14:textId="77777777" w:rsidR="00323051" w:rsidRDefault="00323051">
      <w:pPr>
        <w:spacing w:after="120"/>
        <w:outlineLvl w:val="1"/>
        <w:rPr>
          <w:b/>
          <w:sz w:val="22"/>
          <w:szCs w:val="22"/>
          <w:lang w:val="en-GB"/>
        </w:rPr>
      </w:pPr>
    </w:p>
    <w:p w14:paraId="29F25D48" w14:textId="77777777" w:rsidR="00F07F81" w:rsidRDefault="00F07F81">
      <w:pPr>
        <w:spacing w:after="120"/>
        <w:outlineLvl w:val="1"/>
        <w:rPr>
          <w:b/>
          <w:sz w:val="22"/>
          <w:szCs w:val="22"/>
          <w:lang w:val="en-GB"/>
        </w:rPr>
      </w:pPr>
      <w:bookmarkStart w:id="102" w:name="_Toc209432673"/>
      <w:r>
        <w:rPr>
          <w:b/>
          <w:sz w:val="22"/>
          <w:szCs w:val="22"/>
          <w:lang w:val="en-GB"/>
        </w:rPr>
        <w:t>Appendix 2:</w:t>
      </w:r>
      <w:r>
        <w:rPr>
          <w:b/>
          <w:sz w:val="22"/>
          <w:szCs w:val="22"/>
          <w:lang w:val="en-GB"/>
        </w:rPr>
        <w:tab/>
        <w:t>Co-financing by source and UNEP budget line</w:t>
      </w:r>
      <w:bookmarkEnd w:id="102"/>
      <w:r w:rsidR="00323051">
        <w:rPr>
          <w:b/>
          <w:sz w:val="22"/>
          <w:szCs w:val="22"/>
          <w:lang w:val="en-GB"/>
        </w:rPr>
        <w:t>s [</w:t>
      </w:r>
      <w:r w:rsidR="00323051" w:rsidRPr="00323051">
        <w:rPr>
          <w:b/>
          <w:sz w:val="22"/>
          <w:szCs w:val="22"/>
          <w:highlight w:val="yellow"/>
          <w:lang w:val="en-GB"/>
        </w:rPr>
        <w:t>EXCEL SHEETS</w:t>
      </w:r>
      <w:r w:rsidR="00323051">
        <w:rPr>
          <w:b/>
          <w:sz w:val="22"/>
          <w:szCs w:val="22"/>
          <w:lang w:val="en-GB"/>
        </w:rPr>
        <w:t>]</w:t>
      </w:r>
    </w:p>
    <w:p w14:paraId="51F152B2" w14:textId="77777777" w:rsidR="00F07F81" w:rsidRDefault="00323051" w:rsidP="00323051">
      <w:pPr>
        <w:spacing w:after="120"/>
        <w:jc w:val="center"/>
        <w:outlineLvl w:val="1"/>
        <w:rPr>
          <w:b/>
          <w:sz w:val="22"/>
          <w:szCs w:val="22"/>
          <w:lang w:val="en-GB"/>
        </w:rPr>
      </w:pPr>
      <w:bookmarkStart w:id="103" w:name="_Toc209432674"/>
      <w:r>
        <w:rPr>
          <w:b/>
          <w:sz w:val="22"/>
          <w:szCs w:val="22"/>
          <w:lang w:val="en-GB"/>
        </w:rPr>
        <w:br w:type="page"/>
      </w:r>
      <w:r w:rsidR="00F07F81">
        <w:rPr>
          <w:b/>
          <w:sz w:val="22"/>
          <w:szCs w:val="22"/>
          <w:lang w:val="en-GB"/>
        </w:rPr>
        <w:t>Appendix 3:</w:t>
      </w:r>
      <w:r w:rsidR="00F07F81">
        <w:rPr>
          <w:b/>
          <w:sz w:val="22"/>
          <w:szCs w:val="22"/>
          <w:lang w:val="en-GB"/>
        </w:rPr>
        <w:tab/>
        <w:t>Incremental cost analysis</w:t>
      </w:r>
      <w:bookmarkEnd w:id="103"/>
    </w:p>
    <w:p w14:paraId="31FE51B4" w14:textId="77777777" w:rsidR="00323051" w:rsidRPr="00323051" w:rsidRDefault="00323051" w:rsidP="00323051">
      <w:pPr>
        <w:spacing w:after="120"/>
        <w:outlineLvl w:val="1"/>
        <w:rPr>
          <w:b/>
          <w:sz w:val="22"/>
          <w:szCs w:val="22"/>
          <w:lang w:val="en-GB"/>
        </w:rPr>
      </w:pPr>
      <w:bookmarkStart w:id="104" w:name="_Toc209432675"/>
      <w:r w:rsidRPr="00323051">
        <w:rPr>
          <w:b/>
          <w:sz w:val="22"/>
          <w:szCs w:val="22"/>
          <w:lang w:val="en-GB"/>
        </w:rPr>
        <w:t>Baseline</w:t>
      </w:r>
    </w:p>
    <w:p w14:paraId="04913478" w14:textId="77777777" w:rsidR="00323051" w:rsidRPr="00323051" w:rsidRDefault="00323051" w:rsidP="007D7E66">
      <w:pPr>
        <w:spacing w:after="120"/>
        <w:jc w:val="both"/>
        <w:outlineLvl w:val="1"/>
        <w:rPr>
          <w:sz w:val="22"/>
          <w:szCs w:val="22"/>
          <w:lang w:val="en-GB"/>
        </w:rPr>
      </w:pPr>
      <w:r w:rsidRPr="00323051">
        <w:rPr>
          <w:sz w:val="22"/>
          <w:szCs w:val="22"/>
          <w:lang w:val="en-GB"/>
        </w:rPr>
        <w:t>The South China Sea is a strategic body of water surrounded by nations that are currently at the helm of industrialization and rapid economic growth in the Asia-Pacific region. Bordered by the People’s Republic of China to the north, the Republic of the Philippines to the east; Malaysia, the Republic of Singapore, the Republic of Indonesia and the Sultanate of Brunei Darussalam to the south, and the Kingdoms of Thailand and Cambodia, and the Socialist Republic of Viet Nam to the west, the South China Sea has always been central to issues of economic and political stability in Southeast Asia and adjacent regions. Today, it is central to defining environmental sustainability and food security for its coastal nations. The coastal sub-regions of these nations are home to 270 000 000 people or 5% of the world’s population. About 122 major rivers drain 2.5*106 km2 of catchments and deliver materials, including suspended sediments, nutrients and pollutants, to the South China Sea.</w:t>
      </w:r>
    </w:p>
    <w:p w14:paraId="51969D69" w14:textId="77777777" w:rsidR="00323051" w:rsidRPr="00323051" w:rsidRDefault="00323051" w:rsidP="007D7E66">
      <w:pPr>
        <w:spacing w:after="120"/>
        <w:jc w:val="both"/>
        <w:outlineLvl w:val="1"/>
        <w:rPr>
          <w:sz w:val="22"/>
          <w:szCs w:val="22"/>
          <w:lang w:val="en-GB"/>
        </w:rPr>
      </w:pPr>
      <w:r w:rsidRPr="00323051">
        <w:rPr>
          <w:sz w:val="22"/>
          <w:szCs w:val="22"/>
          <w:lang w:val="en-GB"/>
        </w:rPr>
        <w:t xml:space="preserve">The Indo-West Pacific marine biogeographic province has long been recognized as the global centre of marine tropical biodiversity. Forty-five mangrove species out of a global total of 51; 50 of 70 coral genera); 20 of 50 seagrass species; and 7 of 9 giant clam species are found in the nearshore areas of the South China Sea. Compared to the Atlantic, the tropical Indo- West Pacific is highly diverse. Only 5 mangrove species and some 35 coral species are found in the Atlantic compared with the 45 mangrove species and 450 coral species recorded from the South China Sea. Like most tropical coastlines worldwide, the dominant coastal ecosystems of the South China Sea marine basin are mangroves, coral reefs and seagrass meadows. Significant other coastal ecosystems include coastal lagoons, a common coastal landform in Viet Nam, and extensive inter-tidal unvegetated mudflats that are found in many places around the South China Sea. </w:t>
      </w:r>
    </w:p>
    <w:p w14:paraId="1A21995E" w14:textId="77777777" w:rsidR="00323051" w:rsidRPr="00323051" w:rsidRDefault="00323051" w:rsidP="007D7E66">
      <w:pPr>
        <w:spacing w:after="120"/>
        <w:jc w:val="both"/>
        <w:outlineLvl w:val="1"/>
        <w:rPr>
          <w:sz w:val="22"/>
          <w:szCs w:val="22"/>
          <w:lang w:val="en-GB"/>
        </w:rPr>
      </w:pPr>
      <w:r w:rsidRPr="00323051">
        <w:rPr>
          <w:sz w:val="22"/>
          <w:szCs w:val="22"/>
          <w:lang w:val="en-GB"/>
        </w:rPr>
        <w:t xml:space="preserve">Although action aimed at reducing the rate of loss of coastal habitats has been implemented by countries bordering the South China Sea, the decadal rate of loss of such habitats remains high, e.g., seagrass beds (30 percent), mangroves (16 percent, and coral reefs (16 percent). This high and continued decline in the total area of habitat and associated biodiversity has raised serious concerns for the long-term sustainability of fisheries and coastal and marine ecosystems. Socio-economically, culturally and aesthetically, the South China Sea (SCS), the Gulf of Thailand (GoT) and regional river basins and bays form part of the common heritage of the people of the Southeast Asian region.  The region’s expanding population relies on the SCS for nutrition, recreation and economic pursuits (e.g., tourism), energy (e.g., oil and gas), aquaculture, pharmaceuticals, ornamental fish trade, construction materials and ports and shipping.  </w:t>
      </w:r>
    </w:p>
    <w:p w14:paraId="160564EC" w14:textId="77777777" w:rsidR="00323051" w:rsidRPr="00323051" w:rsidRDefault="00323051" w:rsidP="007D7E66">
      <w:pPr>
        <w:spacing w:after="120"/>
        <w:jc w:val="both"/>
        <w:outlineLvl w:val="1"/>
        <w:rPr>
          <w:sz w:val="22"/>
          <w:szCs w:val="22"/>
          <w:lang w:val="en-GB"/>
        </w:rPr>
      </w:pPr>
      <w:r w:rsidRPr="00323051">
        <w:rPr>
          <w:sz w:val="22"/>
          <w:szCs w:val="22"/>
          <w:lang w:val="en-GB"/>
        </w:rPr>
        <w:t>This degradation and loss of habitats is a result of a multitude of persistent and emerging threats that were evaluated by the SCS project and described above. Of particular note are the contemporary causes of the loss of mangrove that include: reclamation and infrastructure development; pollution from shrimp farming; conversion to industrial uses; and charcoal production. The physical removal of mangrove associated with the construction of ponds for shrimp culture is currently not the dominant threat that it had been during previous decades. Overfishing and the use of destructive fishing gears such as push nets and trawls have been confirmed as the dominant threats to coral reefs and seagrass. The Strategic Action Programme for the South China outlines an agreed common vision on priority locations and approaches for future habitat management actions. It is imperative that commitment to implement the SAP be sustained. The national and local capacity built and the vast repositories of management information created by the SCS project provide a solid foundation for SAP implementation, future planning, and monitoring and evaluation of management interventions.</w:t>
      </w:r>
    </w:p>
    <w:p w14:paraId="67FD66EE" w14:textId="77777777" w:rsidR="00323051" w:rsidRPr="00323051" w:rsidRDefault="00323051" w:rsidP="007D7E66">
      <w:pPr>
        <w:spacing w:after="120"/>
        <w:jc w:val="both"/>
        <w:outlineLvl w:val="1"/>
        <w:rPr>
          <w:b/>
          <w:sz w:val="22"/>
          <w:szCs w:val="22"/>
          <w:lang w:val="en-GB"/>
        </w:rPr>
      </w:pPr>
      <w:r w:rsidRPr="00323051">
        <w:rPr>
          <w:b/>
          <w:sz w:val="22"/>
          <w:szCs w:val="22"/>
          <w:lang w:val="en-GB"/>
        </w:rPr>
        <w:t>Business-as-usual scenario</w:t>
      </w:r>
    </w:p>
    <w:p w14:paraId="7F62B750" w14:textId="77777777" w:rsidR="00323051" w:rsidRPr="00323051" w:rsidRDefault="00323051" w:rsidP="007D7E66">
      <w:pPr>
        <w:spacing w:after="120"/>
        <w:jc w:val="both"/>
        <w:outlineLvl w:val="1"/>
        <w:rPr>
          <w:sz w:val="22"/>
          <w:szCs w:val="22"/>
          <w:lang w:val="en-GB"/>
        </w:rPr>
      </w:pPr>
      <w:r w:rsidRPr="00323051">
        <w:rPr>
          <w:sz w:val="22"/>
          <w:szCs w:val="22"/>
          <w:lang w:val="en-GB"/>
        </w:rPr>
        <w:t>The environment of the South China Sea continues to degrade despite actions taken at the national, sub-regional and regional levels. Part of the problem stems from the transboundary marine problems in the region and their impact on the ecosystems and resources of the South China Sea. This provides the ecological impetus for co-operation that is also based on the fact that the region is a large marine ecosystem with intrinsic integrity and inter-connections between all trophic levels. Fish and other migratory species do not recognise national boundaries, and the loss of endangered species in one area has not only regional but global significance. Due to the inherent conflict between the boundaries of the ecological system and man-made, national boundaries, cooperative approaches must be embraced to meet the challenges to managing and sustainably using the shared ecological system. It is unlikely that, without concerted and sustained action to implement the SAP, the degradation of the coastal and marine environment of the South China Sea will continue and most likely accelerate as population pressures and demands on coastal resources grow.</w:t>
      </w:r>
    </w:p>
    <w:p w14:paraId="091F65C3" w14:textId="77777777" w:rsidR="00323051" w:rsidRPr="00323051" w:rsidRDefault="00323051" w:rsidP="007D7E66">
      <w:pPr>
        <w:spacing w:after="120"/>
        <w:jc w:val="both"/>
        <w:outlineLvl w:val="1"/>
        <w:rPr>
          <w:b/>
          <w:sz w:val="22"/>
          <w:szCs w:val="22"/>
          <w:lang w:val="en-GB"/>
        </w:rPr>
      </w:pPr>
      <w:r w:rsidRPr="00323051">
        <w:rPr>
          <w:b/>
          <w:sz w:val="22"/>
          <w:szCs w:val="22"/>
          <w:lang w:val="en-GB"/>
        </w:rPr>
        <w:t>Incremental reasoning</w:t>
      </w:r>
    </w:p>
    <w:p w14:paraId="148F9A52" w14:textId="77777777" w:rsidR="00323051" w:rsidRPr="00323051" w:rsidRDefault="00323051" w:rsidP="007D7E66">
      <w:pPr>
        <w:spacing w:after="120"/>
        <w:jc w:val="both"/>
        <w:outlineLvl w:val="1"/>
        <w:rPr>
          <w:sz w:val="22"/>
          <w:szCs w:val="22"/>
          <w:lang w:val="en-GB"/>
        </w:rPr>
      </w:pPr>
      <w:r w:rsidRPr="00323051">
        <w:rPr>
          <w:sz w:val="22"/>
          <w:szCs w:val="22"/>
          <w:lang w:val="en-GB"/>
        </w:rPr>
        <w:t>Implementation of the Strategic Action Programme will result in significant environmental stress reduction and process and environmental state benefits. The design of the SAP aligns squarely with the GEF theory of change via implementing strategies, strengthening institutional capacity via the reform of policy, regulatory and planning frameworks, and through knowledge and information activities aimed at improving information sharing and access, awareness raising, skills building, and monitoring and evaluation. Importantly, successful implementation of the SAP will result in: appropriate forms of sustainable management established for 860,000 ha of mangrove; 153,000 ha of coral reef at 82 priority sites managed sustainably, including a reduction in the decadal rate of degradation in live coral cover from 16 to 5%; conservation, management and sustainable use of 25,900 ha of known seagrass area in the South China Sea; and integrated management of 783,900 ha of coastal wetland at 19 sites, including habitat restoration and protection strengthened at priority locations. Without the support of this project and the regional coordination, guidance and technical assistance it will provide, it is unlikely that these critically important SAP targets will be met.</w:t>
      </w:r>
    </w:p>
    <w:p w14:paraId="64200345" w14:textId="77777777" w:rsidR="00323051" w:rsidRDefault="00323051" w:rsidP="007D7E66">
      <w:pPr>
        <w:spacing w:after="120"/>
        <w:jc w:val="both"/>
        <w:outlineLvl w:val="1"/>
        <w:rPr>
          <w:sz w:val="22"/>
          <w:szCs w:val="22"/>
          <w:lang w:val="en-GB"/>
        </w:rPr>
      </w:pPr>
      <w:r w:rsidRPr="00323051">
        <w:rPr>
          <w:sz w:val="22"/>
          <w:szCs w:val="22"/>
          <w:lang w:val="en-GB"/>
        </w:rPr>
        <w:t>Importantly, the project will also make substantial contributions towards the achievement of the Sustainable Development Goals, specifically: (a) Goal 1: End poverty in all its forms everywhere – by ensuring that all men and women, in particular the poor and the vulnerable, have equal rights to natural resources, and by building the resilience of the poor and those in vulnerable situations via reducing their vulnerability to climate-related extreme events and other economic, social and environmental shocks and disasters; (b) Goal 12. Ensure sustainable consumption and production patterns – by contributing to the achievement of the sustainable management and efficient use of natural resources, and by supporting developing countries to strengthen their scientific and technological capacity to move towards more sustainable patterns of consumption and production; and (c) Goal 14. Conserve and sustainably use the oceans, seas and marine resources for sustainable development – by efforts aimed at sustainably managing and protecting marine and coastal ecosystems, conserving at least 10 per cent of coastal and marine areas, and by enhancing the conservation and sustainable use of oceans and their resources by implementing international law as reflected in UNCLOS, which provides the legal framework for the conservation and sustainable use of oceans and their resources, as recalled in paragraph 158 of ‘The Future We Want’.</w:t>
      </w:r>
    </w:p>
    <w:p w14:paraId="3B2A52D8" w14:textId="77777777" w:rsidR="00323051" w:rsidRDefault="00323051" w:rsidP="007D7E66">
      <w:pPr>
        <w:spacing w:after="120"/>
        <w:jc w:val="both"/>
        <w:outlineLvl w:val="1"/>
        <w:rPr>
          <w:sz w:val="22"/>
          <w:szCs w:val="22"/>
          <w:lang w:val="en-GB"/>
        </w:rPr>
        <w:sectPr w:rsidR="00323051" w:rsidSect="00064925">
          <w:pgSz w:w="12240" w:h="15840" w:code="1"/>
          <w:pgMar w:top="1440" w:right="1584" w:bottom="1440" w:left="1584" w:header="706" w:footer="706" w:gutter="0"/>
          <w:cols w:space="708"/>
          <w:docGrid w:linePitch="360"/>
        </w:sectPr>
      </w:pPr>
    </w:p>
    <w:p w14:paraId="61B90E12" w14:textId="77777777" w:rsidR="00F07F81" w:rsidRDefault="00F07F81" w:rsidP="00323051">
      <w:pPr>
        <w:spacing w:after="120"/>
        <w:jc w:val="center"/>
        <w:outlineLvl w:val="1"/>
        <w:rPr>
          <w:b/>
          <w:sz w:val="22"/>
          <w:szCs w:val="22"/>
          <w:lang w:val="en-GB"/>
        </w:rPr>
      </w:pPr>
      <w:r>
        <w:rPr>
          <w:b/>
          <w:sz w:val="22"/>
          <w:szCs w:val="22"/>
          <w:lang w:val="en-GB"/>
        </w:rPr>
        <w:t>Appendix 4:</w:t>
      </w:r>
      <w:r>
        <w:rPr>
          <w:b/>
          <w:sz w:val="22"/>
          <w:szCs w:val="22"/>
          <w:lang w:val="en-GB"/>
        </w:rPr>
        <w:tab/>
        <w:t>Results Framework</w:t>
      </w:r>
      <w:bookmarkEnd w:id="104"/>
    </w:p>
    <w:p w14:paraId="135DAE12" w14:textId="77777777" w:rsidR="00323051" w:rsidRDefault="00323051" w:rsidP="00323051">
      <w:pPr>
        <w:spacing w:after="120"/>
        <w:outlineLvl w:val="1"/>
        <w:rPr>
          <w:b/>
          <w:sz w:val="22"/>
          <w:szCs w:val="22"/>
          <w:lang w:val="en-GB"/>
        </w:rPr>
      </w:pPr>
    </w:p>
    <w:p w14:paraId="0BEBA0BD" w14:textId="77777777" w:rsidR="00323051" w:rsidRPr="00323051" w:rsidRDefault="00323051" w:rsidP="00323051">
      <w:pPr>
        <w:spacing w:after="120"/>
        <w:rPr>
          <w:sz w:val="22"/>
          <w:szCs w:val="22"/>
          <w:lang w:val="en-GB"/>
        </w:rPr>
      </w:pPr>
      <w:r w:rsidRPr="00323051">
        <w:rPr>
          <w:b/>
          <w:sz w:val="22"/>
          <w:szCs w:val="22"/>
          <w:lang w:val="en-GB"/>
        </w:rPr>
        <w:t>Table 1</w:t>
      </w:r>
      <w:r w:rsidRPr="00323051">
        <w:rPr>
          <w:b/>
          <w:sz w:val="22"/>
          <w:szCs w:val="22"/>
          <w:lang w:val="en-GB"/>
        </w:rPr>
        <w:tab/>
      </w:r>
      <w:r w:rsidRPr="00323051">
        <w:rPr>
          <w:sz w:val="22"/>
          <w:szCs w:val="22"/>
          <w:lang w:val="en-GB"/>
        </w:rPr>
        <w:tab/>
        <w:t>Results framework for project component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3"/>
        <w:gridCol w:w="1800"/>
        <w:gridCol w:w="1974"/>
        <w:gridCol w:w="1874"/>
        <w:gridCol w:w="1834"/>
        <w:gridCol w:w="1857"/>
        <w:gridCol w:w="1838"/>
      </w:tblGrid>
      <w:tr w:rsidR="00323051" w:rsidRPr="00323051" w14:paraId="711BD033" w14:textId="77777777" w:rsidTr="004B053A">
        <w:trPr>
          <w:tblHeader/>
        </w:trPr>
        <w:tc>
          <w:tcPr>
            <w:tcW w:w="2020" w:type="dxa"/>
            <w:tcBorders>
              <w:top w:val="single" w:sz="4" w:space="0" w:color="auto"/>
              <w:left w:val="single" w:sz="4" w:space="0" w:color="auto"/>
              <w:bottom w:val="single" w:sz="4" w:space="0" w:color="auto"/>
              <w:right w:val="single" w:sz="4" w:space="0" w:color="auto"/>
            </w:tcBorders>
            <w:vAlign w:val="center"/>
          </w:tcPr>
          <w:p w14:paraId="69822EFA" w14:textId="77777777" w:rsidR="00323051" w:rsidRPr="00323051" w:rsidRDefault="00323051" w:rsidP="00323051">
            <w:pPr>
              <w:jc w:val="center"/>
              <w:rPr>
                <w:b/>
                <w:bCs/>
                <w:sz w:val="18"/>
                <w:szCs w:val="18"/>
                <w:lang w:val="en-GB" w:bidi="th-TH"/>
              </w:rPr>
            </w:pPr>
            <w:r w:rsidRPr="00323051">
              <w:rPr>
                <w:b/>
                <w:bCs/>
                <w:sz w:val="18"/>
                <w:szCs w:val="18"/>
                <w:lang w:val="en-GB" w:bidi="th-TH"/>
              </w:rPr>
              <w:t>Component</w:t>
            </w:r>
          </w:p>
        </w:tc>
        <w:tc>
          <w:tcPr>
            <w:tcW w:w="2025" w:type="dxa"/>
            <w:tcBorders>
              <w:top w:val="single" w:sz="4" w:space="0" w:color="auto"/>
              <w:left w:val="single" w:sz="4" w:space="0" w:color="auto"/>
              <w:bottom w:val="single" w:sz="4" w:space="0" w:color="auto"/>
              <w:right w:val="single" w:sz="4" w:space="0" w:color="auto"/>
            </w:tcBorders>
            <w:vAlign w:val="center"/>
          </w:tcPr>
          <w:p w14:paraId="42510F20" w14:textId="77777777" w:rsidR="00323051" w:rsidRPr="00323051" w:rsidRDefault="00323051" w:rsidP="00323051">
            <w:pPr>
              <w:jc w:val="center"/>
              <w:rPr>
                <w:b/>
                <w:bCs/>
                <w:sz w:val="18"/>
                <w:szCs w:val="18"/>
                <w:lang w:val="en-GB" w:bidi="th-TH"/>
              </w:rPr>
            </w:pPr>
            <w:r w:rsidRPr="00323051">
              <w:rPr>
                <w:b/>
                <w:bCs/>
                <w:sz w:val="18"/>
                <w:szCs w:val="18"/>
                <w:lang w:val="en-GB" w:bidi="th-TH"/>
              </w:rPr>
              <w:t>Outcomes</w:t>
            </w:r>
          </w:p>
        </w:tc>
        <w:tc>
          <w:tcPr>
            <w:tcW w:w="2024" w:type="dxa"/>
            <w:tcBorders>
              <w:top w:val="single" w:sz="4" w:space="0" w:color="auto"/>
              <w:left w:val="single" w:sz="4" w:space="0" w:color="auto"/>
              <w:bottom w:val="single" w:sz="4" w:space="0" w:color="auto"/>
              <w:right w:val="single" w:sz="4" w:space="0" w:color="auto"/>
            </w:tcBorders>
            <w:vAlign w:val="center"/>
          </w:tcPr>
          <w:p w14:paraId="3ABE2474" w14:textId="77777777" w:rsidR="00323051" w:rsidRPr="00323051" w:rsidRDefault="00323051" w:rsidP="00323051">
            <w:pPr>
              <w:jc w:val="center"/>
              <w:rPr>
                <w:b/>
                <w:bCs/>
                <w:sz w:val="18"/>
                <w:szCs w:val="18"/>
                <w:lang w:val="en-GB" w:bidi="th-TH"/>
              </w:rPr>
            </w:pPr>
            <w:r w:rsidRPr="00323051">
              <w:rPr>
                <w:b/>
                <w:bCs/>
                <w:sz w:val="18"/>
                <w:szCs w:val="18"/>
                <w:lang w:val="en-GB" w:bidi="th-TH"/>
              </w:rPr>
              <w:t>Indicator(s)</w:t>
            </w:r>
          </w:p>
        </w:tc>
        <w:tc>
          <w:tcPr>
            <w:tcW w:w="2024" w:type="dxa"/>
            <w:tcBorders>
              <w:top w:val="single" w:sz="4" w:space="0" w:color="auto"/>
              <w:left w:val="single" w:sz="4" w:space="0" w:color="auto"/>
              <w:bottom w:val="single" w:sz="4" w:space="0" w:color="auto"/>
              <w:right w:val="single" w:sz="4" w:space="0" w:color="auto"/>
            </w:tcBorders>
            <w:vAlign w:val="center"/>
          </w:tcPr>
          <w:p w14:paraId="2B894A36" w14:textId="77777777" w:rsidR="00323051" w:rsidRPr="00323051" w:rsidRDefault="00323051" w:rsidP="00323051">
            <w:pPr>
              <w:jc w:val="center"/>
              <w:rPr>
                <w:b/>
                <w:bCs/>
                <w:sz w:val="18"/>
                <w:szCs w:val="18"/>
                <w:lang w:val="en-GB" w:bidi="th-TH"/>
              </w:rPr>
            </w:pPr>
            <w:r w:rsidRPr="00323051">
              <w:rPr>
                <w:b/>
                <w:bCs/>
                <w:sz w:val="18"/>
                <w:szCs w:val="18"/>
                <w:lang w:val="en-GB" w:bidi="th-TH"/>
              </w:rPr>
              <w:t>Baseline</w:t>
            </w:r>
          </w:p>
        </w:tc>
        <w:tc>
          <w:tcPr>
            <w:tcW w:w="2024" w:type="dxa"/>
            <w:tcBorders>
              <w:top w:val="single" w:sz="4" w:space="0" w:color="auto"/>
              <w:left w:val="single" w:sz="4" w:space="0" w:color="auto"/>
              <w:bottom w:val="single" w:sz="4" w:space="0" w:color="auto"/>
              <w:right w:val="single" w:sz="4" w:space="0" w:color="auto"/>
            </w:tcBorders>
            <w:vAlign w:val="center"/>
          </w:tcPr>
          <w:p w14:paraId="4CF0CBD0" w14:textId="77777777" w:rsidR="00323051" w:rsidRPr="00323051" w:rsidRDefault="00323051" w:rsidP="00323051">
            <w:pPr>
              <w:jc w:val="center"/>
              <w:rPr>
                <w:b/>
                <w:bCs/>
                <w:sz w:val="18"/>
                <w:szCs w:val="18"/>
                <w:lang w:val="en-GB" w:bidi="th-TH"/>
              </w:rPr>
            </w:pPr>
            <w:r w:rsidRPr="00323051">
              <w:rPr>
                <w:b/>
                <w:bCs/>
                <w:sz w:val="18"/>
                <w:szCs w:val="18"/>
                <w:lang w:val="en-GB" w:bidi="th-TH"/>
              </w:rPr>
              <w:t>Targets End of Project</w:t>
            </w:r>
          </w:p>
        </w:tc>
        <w:tc>
          <w:tcPr>
            <w:tcW w:w="2024" w:type="dxa"/>
            <w:tcBorders>
              <w:top w:val="single" w:sz="4" w:space="0" w:color="auto"/>
              <w:left w:val="single" w:sz="4" w:space="0" w:color="auto"/>
              <w:bottom w:val="single" w:sz="4" w:space="0" w:color="auto"/>
              <w:right w:val="single" w:sz="4" w:space="0" w:color="auto"/>
            </w:tcBorders>
            <w:vAlign w:val="center"/>
          </w:tcPr>
          <w:p w14:paraId="4CC7CE5E" w14:textId="77777777" w:rsidR="00323051" w:rsidRPr="00323051" w:rsidRDefault="00323051" w:rsidP="00323051">
            <w:pPr>
              <w:jc w:val="center"/>
              <w:rPr>
                <w:b/>
                <w:bCs/>
                <w:sz w:val="18"/>
                <w:szCs w:val="18"/>
                <w:lang w:val="en-GB" w:bidi="th-TH"/>
              </w:rPr>
            </w:pPr>
            <w:r w:rsidRPr="00323051">
              <w:rPr>
                <w:b/>
                <w:bCs/>
                <w:sz w:val="18"/>
                <w:szCs w:val="18"/>
                <w:lang w:val="en-GB" w:bidi="th-TH"/>
              </w:rPr>
              <w:t>Source of Verification</w:t>
            </w:r>
          </w:p>
        </w:tc>
        <w:tc>
          <w:tcPr>
            <w:tcW w:w="2029" w:type="dxa"/>
            <w:tcBorders>
              <w:top w:val="single" w:sz="4" w:space="0" w:color="auto"/>
              <w:left w:val="single" w:sz="4" w:space="0" w:color="auto"/>
              <w:bottom w:val="single" w:sz="4" w:space="0" w:color="auto"/>
              <w:right w:val="single" w:sz="4" w:space="0" w:color="auto"/>
            </w:tcBorders>
            <w:vAlign w:val="center"/>
          </w:tcPr>
          <w:p w14:paraId="2844C3E4" w14:textId="77777777" w:rsidR="00323051" w:rsidRPr="00323051" w:rsidRDefault="00323051" w:rsidP="00323051">
            <w:pPr>
              <w:jc w:val="center"/>
              <w:rPr>
                <w:b/>
                <w:bCs/>
                <w:sz w:val="18"/>
                <w:szCs w:val="18"/>
                <w:lang w:val="en-GB" w:bidi="th-TH"/>
              </w:rPr>
            </w:pPr>
            <w:r w:rsidRPr="00323051">
              <w:rPr>
                <w:b/>
                <w:bCs/>
                <w:sz w:val="18"/>
                <w:szCs w:val="18"/>
                <w:lang w:val="en-GB" w:bidi="th-TH"/>
              </w:rPr>
              <w:t>Risks and Assumptions</w:t>
            </w:r>
          </w:p>
        </w:tc>
      </w:tr>
      <w:tr w:rsidR="00323051" w:rsidRPr="00323051" w14:paraId="1BC373F4" w14:textId="77777777" w:rsidTr="004B053A">
        <w:tc>
          <w:tcPr>
            <w:tcW w:w="2020" w:type="dxa"/>
            <w:vMerge w:val="restart"/>
            <w:tcBorders>
              <w:left w:val="single" w:sz="4" w:space="0" w:color="auto"/>
              <w:right w:val="single" w:sz="4" w:space="0" w:color="auto"/>
            </w:tcBorders>
          </w:tcPr>
          <w:p w14:paraId="530F3494" w14:textId="77777777" w:rsidR="00323051" w:rsidRPr="00323051" w:rsidRDefault="00323051" w:rsidP="00323051">
            <w:pPr>
              <w:rPr>
                <w:sz w:val="18"/>
                <w:szCs w:val="18"/>
                <w:lang w:val="en-GB" w:bidi="th-TH"/>
              </w:rPr>
            </w:pPr>
            <w:r w:rsidRPr="00323051">
              <w:rPr>
                <w:sz w:val="18"/>
                <w:szCs w:val="18"/>
                <w:lang w:val="en-GB" w:bidi="th-TH"/>
              </w:rPr>
              <w:t>1. Reducing habitat degradation and loss via national and local reforms to achieve Strategic Action Programme targets for coastal habitat management in the South China Sea</w:t>
            </w:r>
          </w:p>
        </w:tc>
        <w:tc>
          <w:tcPr>
            <w:tcW w:w="2025" w:type="dxa"/>
            <w:vMerge w:val="restart"/>
            <w:tcBorders>
              <w:top w:val="single" w:sz="4" w:space="0" w:color="auto"/>
              <w:left w:val="single" w:sz="4" w:space="0" w:color="auto"/>
              <w:right w:val="single" w:sz="4" w:space="0" w:color="auto"/>
            </w:tcBorders>
            <w:vAlign w:val="center"/>
          </w:tcPr>
          <w:p w14:paraId="0960FBF1" w14:textId="77777777" w:rsidR="00323051" w:rsidRPr="00323051" w:rsidRDefault="00323051" w:rsidP="00323051">
            <w:pPr>
              <w:rPr>
                <w:sz w:val="18"/>
                <w:szCs w:val="18"/>
                <w:lang w:val="en-GB" w:bidi="th-TH"/>
              </w:rPr>
            </w:pPr>
            <w:r w:rsidRPr="00323051">
              <w:rPr>
                <w:sz w:val="18"/>
                <w:szCs w:val="18"/>
                <w:lang w:val="en-GB" w:bidi="th-TH"/>
              </w:rPr>
              <w:t>1.1 Appropriate forms of sustainable management established for 860,000 ha of mangrove by Yr 5</w:t>
            </w:r>
          </w:p>
        </w:tc>
        <w:tc>
          <w:tcPr>
            <w:tcW w:w="2024" w:type="dxa"/>
            <w:tcBorders>
              <w:top w:val="single" w:sz="4" w:space="0" w:color="auto"/>
              <w:left w:val="single" w:sz="4" w:space="0" w:color="auto"/>
              <w:bottom w:val="single" w:sz="4" w:space="0" w:color="auto"/>
              <w:right w:val="single" w:sz="4" w:space="0" w:color="auto"/>
            </w:tcBorders>
          </w:tcPr>
          <w:p w14:paraId="68AE0EC9" w14:textId="77777777" w:rsidR="00323051" w:rsidRPr="00323051" w:rsidRDefault="00323051" w:rsidP="00323051">
            <w:pPr>
              <w:rPr>
                <w:sz w:val="18"/>
                <w:szCs w:val="18"/>
                <w:lang w:val="en-GB" w:bidi="th-TH"/>
              </w:rPr>
            </w:pPr>
            <w:r w:rsidRPr="00323051">
              <w:rPr>
                <w:sz w:val="18"/>
                <w:szCs w:val="18"/>
                <w:lang w:val="en-GB" w:bidi="th-TH"/>
              </w:rPr>
              <w:t>Total area (ha) of mangrove designated as national park or protected area</w:t>
            </w:r>
          </w:p>
        </w:tc>
        <w:tc>
          <w:tcPr>
            <w:tcW w:w="2024" w:type="dxa"/>
            <w:tcBorders>
              <w:top w:val="single" w:sz="4" w:space="0" w:color="auto"/>
              <w:left w:val="single" w:sz="4" w:space="0" w:color="auto"/>
              <w:bottom w:val="single" w:sz="4" w:space="0" w:color="auto"/>
              <w:right w:val="single" w:sz="4" w:space="0" w:color="auto"/>
            </w:tcBorders>
          </w:tcPr>
          <w:p w14:paraId="787A24BC" w14:textId="77777777" w:rsidR="00323051" w:rsidRPr="00323051" w:rsidRDefault="00323051" w:rsidP="00323051">
            <w:pPr>
              <w:rPr>
                <w:sz w:val="18"/>
                <w:szCs w:val="18"/>
                <w:lang w:val="en-GB" w:bidi="th-TH"/>
              </w:rPr>
            </w:pPr>
            <w:r w:rsidRPr="00323051">
              <w:rPr>
                <w:sz w:val="18"/>
                <w:szCs w:val="18"/>
                <w:lang w:val="en-GB" w:bidi="th-TH"/>
              </w:rPr>
              <w:t>14 percent (246,122 ha) of mangrove area in SCS presently managed as national park or protected area</w:t>
            </w:r>
          </w:p>
        </w:tc>
        <w:tc>
          <w:tcPr>
            <w:tcW w:w="2024" w:type="dxa"/>
            <w:tcBorders>
              <w:top w:val="single" w:sz="4" w:space="0" w:color="auto"/>
              <w:left w:val="single" w:sz="4" w:space="0" w:color="auto"/>
              <w:bottom w:val="single" w:sz="4" w:space="0" w:color="auto"/>
              <w:right w:val="single" w:sz="4" w:space="0" w:color="auto"/>
            </w:tcBorders>
          </w:tcPr>
          <w:p w14:paraId="00E039D6" w14:textId="77777777" w:rsidR="00323051" w:rsidRPr="00323051" w:rsidRDefault="00323051" w:rsidP="00323051">
            <w:pPr>
              <w:rPr>
                <w:sz w:val="18"/>
                <w:szCs w:val="18"/>
                <w:lang w:val="en-GB" w:bidi="th-TH"/>
              </w:rPr>
            </w:pPr>
            <w:r w:rsidRPr="00323051">
              <w:rPr>
                <w:sz w:val="18"/>
                <w:szCs w:val="18"/>
                <w:lang w:val="en-GB" w:bidi="th-TH"/>
              </w:rPr>
              <w:t>1.1.1 Declaration of 57,400 ha of mangrove as National Parks and Protected Areas</w:t>
            </w:r>
          </w:p>
          <w:p w14:paraId="35176BD5"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5E90A0D9" w14:textId="77777777" w:rsidR="00323051" w:rsidRPr="00323051" w:rsidRDefault="00323051" w:rsidP="00323051">
            <w:pPr>
              <w:rPr>
                <w:sz w:val="18"/>
                <w:szCs w:val="18"/>
                <w:lang w:val="en-GB" w:bidi="th-TH"/>
              </w:rPr>
            </w:pPr>
            <w:r w:rsidRPr="00323051">
              <w:rPr>
                <w:sz w:val="18"/>
                <w:szCs w:val="18"/>
                <w:lang w:val="en-GB" w:bidi="th-TH"/>
              </w:rPr>
              <w:t>Official proclamations, executive orders, and ordinances establishing mangrove parks and protected areas</w:t>
            </w:r>
          </w:p>
        </w:tc>
        <w:tc>
          <w:tcPr>
            <w:tcW w:w="2029" w:type="dxa"/>
            <w:tcBorders>
              <w:top w:val="single" w:sz="4" w:space="0" w:color="auto"/>
              <w:left w:val="single" w:sz="4" w:space="0" w:color="auto"/>
              <w:bottom w:val="single" w:sz="4" w:space="0" w:color="auto"/>
              <w:right w:val="single" w:sz="4" w:space="0" w:color="auto"/>
            </w:tcBorders>
          </w:tcPr>
          <w:p w14:paraId="6D777B56" w14:textId="77777777" w:rsidR="00323051" w:rsidRPr="00323051" w:rsidRDefault="00323051" w:rsidP="00323051">
            <w:pPr>
              <w:rPr>
                <w:sz w:val="18"/>
                <w:szCs w:val="18"/>
                <w:lang w:val="en-GB" w:bidi="th-TH"/>
              </w:rPr>
            </w:pPr>
            <w:r w:rsidRPr="00323051">
              <w:rPr>
                <w:sz w:val="18"/>
                <w:szCs w:val="18"/>
                <w:lang w:val="en-GB" w:bidi="th-TH"/>
              </w:rPr>
              <w:t>Adequate joint government and community commitment to manage mangrove on a protected area basis</w:t>
            </w:r>
          </w:p>
        </w:tc>
      </w:tr>
      <w:tr w:rsidR="00323051" w:rsidRPr="00323051" w14:paraId="69FCE9D8" w14:textId="77777777" w:rsidTr="004B053A">
        <w:tc>
          <w:tcPr>
            <w:tcW w:w="0" w:type="auto"/>
            <w:vMerge/>
            <w:tcBorders>
              <w:left w:val="single" w:sz="4" w:space="0" w:color="auto"/>
              <w:right w:val="single" w:sz="4" w:space="0" w:color="auto"/>
            </w:tcBorders>
            <w:vAlign w:val="center"/>
          </w:tcPr>
          <w:p w14:paraId="344405B9"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tcPr>
          <w:p w14:paraId="309C58E2"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790AA54C" w14:textId="77777777" w:rsidR="00323051" w:rsidRPr="00323051" w:rsidRDefault="00323051" w:rsidP="00323051">
            <w:pPr>
              <w:rPr>
                <w:sz w:val="18"/>
                <w:szCs w:val="18"/>
                <w:lang w:val="en-GB" w:bidi="th-TH"/>
              </w:rPr>
            </w:pPr>
            <w:r w:rsidRPr="00323051">
              <w:rPr>
                <w:sz w:val="18"/>
                <w:szCs w:val="18"/>
                <w:lang w:val="en-GB" w:bidi="th-TH"/>
              </w:rPr>
              <w:t>Status of endorsement of management plans</w:t>
            </w:r>
          </w:p>
          <w:p w14:paraId="28745497" w14:textId="77777777" w:rsidR="00323051" w:rsidRPr="00323051" w:rsidRDefault="00323051" w:rsidP="00323051">
            <w:pPr>
              <w:rPr>
                <w:sz w:val="18"/>
                <w:szCs w:val="18"/>
                <w:lang w:val="en-GB" w:bidi="th-TH"/>
              </w:rPr>
            </w:pPr>
          </w:p>
          <w:p w14:paraId="11DDE1A0" w14:textId="77777777" w:rsidR="00323051" w:rsidRPr="00323051" w:rsidRDefault="00323051" w:rsidP="00323051">
            <w:pPr>
              <w:rPr>
                <w:sz w:val="18"/>
                <w:szCs w:val="18"/>
                <w:lang w:val="en-GB" w:bidi="th-TH"/>
              </w:rPr>
            </w:pPr>
            <w:r w:rsidRPr="00323051">
              <w:rPr>
                <w:sz w:val="18"/>
                <w:szCs w:val="18"/>
                <w:lang w:val="en-GB" w:bidi="th-TH"/>
              </w:rPr>
              <w:t>Total area (ha) of mangrove under management plan for sustainable use</w:t>
            </w:r>
          </w:p>
        </w:tc>
        <w:tc>
          <w:tcPr>
            <w:tcW w:w="2024" w:type="dxa"/>
            <w:tcBorders>
              <w:top w:val="single" w:sz="4" w:space="0" w:color="auto"/>
              <w:left w:val="single" w:sz="4" w:space="0" w:color="auto"/>
              <w:bottom w:val="single" w:sz="4" w:space="0" w:color="auto"/>
              <w:right w:val="single" w:sz="4" w:space="0" w:color="auto"/>
            </w:tcBorders>
          </w:tcPr>
          <w:p w14:paraId="08257685" w14:textId="77777777" w:rsidR="00323051" w:rsidRPr="00323051" w:rsidRDefault="00323051" w:rsidP="00323051">
            <w:pPr>
              <w:rPr>
                <w:sz w:val="18"/>
                <w:szCs w:val="18"/>
                <w:lang w:val="en-GB" w:bidi="th-TH"/>
              </w:rPr>
            </w:pPr>
            <w:r w:rsidRPr="00323051">
              <w:rPr>
                <w:sz w:val="18"/>
                <w:szCs w:val="18"/>
                <w:lang w:val="en-GB" w:bidi="th-TH"/>
              </w:rPr>
              <w:t xml:space="preserve">13 percent (225,512 ha) of mangrove area in SCS presently managed as non-conversion, extractive resource use areas (fish, crabs etc.) </w:t>
            </w:r>
          </w:p>
        </w:tc>
        <w:tc>
          <w:tcPr>
            <w:tcW w:w="2024" w:type="dxa"/>
            <w:tcBorders>
              <w:top w:val="single" w:sz="4" w:space="0" w:color="auto"/>
              <w:left w:val="single" w:sz="4" w:space="0" w:color="auto"/>
              <w:bottom w:val="single" w:sz="4" w:space="0" w:color="auto"/>
              <w:right w:val="single" w:sz="4" w:space="0" w:color="auto"/>
            </w:tcBorders>
          </w:tcPr>
          <w:p w14:paraId="2040730E" w14:textId="77777777" w:rsidR="00323051" w:rsidRPr="00323051" w:rsidRDefault="00323051" w:rsidP="00323051">
            <w:pPr>
              <w:rPr>
                <w:sz w:val="18"/>
                <w:szCs w:val="18"/>
                <w:lang w:val="en-GB" w:bidi="th-TH"/>
              </w:rPr>
            </w:pPr>
            <w:r w:rsidRPr="00323051">
              <w:rPr>
                <w:sz w:val="18"/>
                <w:szCs w:val="18"/>
                <w:lang w:val="en-GB" w:bidi="th-TH"/>
              </w:rPr>
              <w:t>1.1.2 Designation and plans for the management of 166,600 ha of mangrove as non-conversion, sustainable use areas</w:t>
            </w:r>
          </w:p>
        </w:tc>
        <w:tc>
          <w:tcPr>
            <w:tcW w:w="2024" w:type="dxa"/>
            <w:tcBorders>
              <w:top w:val="single" w:sz="4" w:space="0" w:color="auto"/>
              <w:left w:val="single" w:sz="4" w:space="0" w:color="auto"/>
              <w:bottom w:val="single" w:sz="4" w:space="0" w:color="auto"/>
              <w:right w:val="single" w:sz="4" w:space="0" w:color="auto"/>
            </w:tcBorders>
          </w:tcPr>
          <w:p w14:paraId="638AB667" w14:textId="77777777" w:rsidR="00323051" w:rsidRPr="00323051" w:rsidRDefault="00323051" w:rsidP="00323051">
            <w:pPr>
              <w:rPr>
                <w:sz w:val="18"/>
                <w:szCs w:val="18"/>
                <w:lang w:val="en-GB" w:bidi="th-TH"/>
              </w:rPr>
            </w:pPr>
            <w:r w:rsidRPr="00323051">
              <w:rPr>
                <w:sz w:val="18"/>
                <w:szCs w:val="18"/>
                <w:lang w:val="en-GB" w:bidi="th-TH"/>
              </w:rPr>
              <w:t>Maps and site characterisations for priority mangrove sites</w:t>
            </w:r>
          </w:p>
          <w:p w14:paraId="5B8470D9" w14:textId="77777777" w:rsidR="00323051" w:rsidRPr="00323051" w:rsidRDefault="00323051" w:rsidP="00323051">
            <w:pPr>
              <w:rPr>
                <w:sz w:val="18"/>
                <w:szCs w:val="18"/>
                <w:lang w:val="en-GB" w:bidi="th-TH"/>
              </w:rPr>
            </w:pPr>
          </w:p>
          <w:p w14:paraId="02EA1019" w14:textId="77777777" w:rsidR="00323051" w:rsidRPr="00323051" w:rsidRDefault="00323051" w:rsidP="00323051">
            <w:pPr>
              <w:rPr>
                <w:sz w:val="18"/>
                <w:szCs w:val="18"/>
                <w:lang w:val="en-GB" w:bidi="th-TH"/>
              </w:rPr>
            </w:pPr>
            <w:r w:rsidRPr="00323051">
              <w:rPr>
                <w:sz w:val="18"/>
                <w:szCs w:val="18"/>
                <w:lang w:val="en-GB" w:bidi="th-TH"/>
              </w:rPr>
              <w:t>Endorsed management plans for mangrove sites</w:t>
            </w:r>
          </w:p>
        </w:tc>
        <w:tc>
          <w:tcPr>
            <w:tcW w:w="2029" w:type="dxa"/>
            <w:tcBorders>
              <w:top w:val="single" w:sz="4" w:space="0" w:color="auto"/>
              <w:left w:val="single" w:sz="4" w:space="0" w:color="auto"/>
              <w:bottom w:val="single" w:sz="4" w:space="0" w:color="auto"/>
              <w:right w:val="single" w:sz="4" w:space="0" w:color="auto"/>
            </w:tcBorders>
          </w:tcPr>
          <w:p w14:paraId="68784BB2" w14:textId="77777777" w:rsidR="00323051" w:rsidRPr="00323051" w:rsidRDefault="00323051" w:rsidP="00323051">
            <w:pPr>
              <w:rPr>
                <w:sz w:val="18"/>
                <w:szCs w:val="18"/>
                <w:lang w:val="en-GB" w:bidi="th-TH"/>
              </w:rPr>
            </w:pPr>
            <w:r w:rsidRPr="00323051">
              <w:rPr>
                <w:sz w:val="18"/>
                <w:szCs w:val="18"/>
                <w:lang w:val="en-GB" w:bidi="th-TH"/>
              </w:rPr>
              <w:t>Adequate local cooperation to agree boundaries and compile and analyse information to identify threats and agree management actions</w:t>
            </w:r>
          </w:p>
        </w:tc>
      </w:tr>
      <w:tr w:rsidR="00323051" w:rsidRPr="00323051" w14:paraId="514C8DE4" w14:textId="77777777" w:rsidTr="004B053A">
        <w:trPr>
          <w:trHeight w:val="134"/>
        </w:trPr>
        <w:tc>
          <w:tcPr>
            <w:tcW w:w="0" w:type="auto"/>
            <w:vMerge/>
            <w:tcBorders>
              <w:left w:val="single" w:sz="4" w:space="0" w:color="auto"/>
              <w:right w:val="single" w:sz="4" w:space="0" w:color="auto"/>
            </w:tcBorders>
            <w:vAlign w:val="center"/>
          </w:tcPr>
          <w:p w14:paraId="26A3EFD1"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tcPr>
          <w:p w14:paraId="7A33F16D"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35C1CDE5" w14:textId="77777777" w:rsidR="00323051" w:rsidRPr="00323051" w:rsidRDefault="00323051" w:rsidP="00323051">
            <w:pPr>
              <w:rPr>
                <w:sz w:val="18"/>
                <w:szCs w:val="18"/>
                <w:lang w:val="en-GB" w:bidi="th-TH"/>
              </w:rPr>
            </w:pPr>
            <w:r w:rsidRPr="00323051">
              <w:rPr>
                <w:sz w:val="18"/>
                <w:szCs w:val="18"/>
                <w:lang w:val="en-GB" w:bidi="th-TH"/>
              </w:rPr>
              <w:t>Total area (ha) of presently unmanaged mangrove for which regulations/ordinances are adopted to enable sustainable management</w:t>
            </w:r>
          </w:p>
        </w:tc>
        <w:tc>
          <w:tcPr>
            <w:tcW w:w="2024" w:type="dxa"/>
            <w:tcBorders>
              <w:top w:val="single" w:sz="4" w:space="0" w:color="auto"/>
              <w:left w:val="single" w:sz="4" w:space="0" w:color="auto"/>
              <w:bottom w:val="single" w:sz="4" w:space="0" w:color="auto"/>
              <w:right w:val="single" w:sz="4" w:space="0" w:color="auto"/>
            </w:tcBorders>
          </w:tcPr>
          <w:p w14:paraId="6704A839" w14:textId="77777777" w:rsidR="00323051" w:rsidRPr="00323051" w:rsidRDefault="00323051" w:rsidP="00323051">
            <w:pPr>
              <w:rPr>
                <w:sz w:val="18"/>
                <w:szCs w:val="18"/>
                <w:lang w:val="en-GB" w:bidi="th-TH"/>
              </w:rPr>
            </w:pPr>
            <w:r w:rsidRPr="00323051">
              <w:rPr>
                <w:sz w:val="18"/>
                <w:szCs w:val="18"/>
                <w:lang w:val="en-GB" w:bidi="th-TH"/>
              </w:rPr>
              <w:t xml:space="preserve">Legal frameworks to enable sustainable management of 56 percent of mangrove area in the SCS </w:t>
            </w:r>
          </w:p>
        </w:tc>
        <w:tc>
          <w:tcPr>
            <w:tcW w:w="2024" w:type="dxa"/>
            <w:tcBorders>
              <w:top w:val="single" w:sz="4" w:space="0" w:color="auto"/>
              <w:left w:val="single" w:sz="4" w:space="0" w:color="auto"/>
              <w:bottom w:val="single" w:sz="4" w:space="0" w:color="auto"/>
              <w:right w:val="single" w:sz="4" w:space="0" w:color="auto"/>
            </w:tcBorders>
          </w:tcPr>
          <w:p w14:paraId="38B69156" w14:textId="77777777" w:rsidR="00323051" w:rsidRPr="00323051" w:rsidRDefault="00323051" w:rsidP="00323051">
            <w:pPr>
              <w:rPr>
                <w:sz w:val="18"/>
                <w:szCs w:val="18"/>
                <w:lang w:val="en-GB" w:bidi="th-TH"/>
              </w:rPr>
            </w:pPr>
            <w:r w:rsidRPr="00323051">
              <w:rPr>
                <w:sz w:val="18"/>
                <w:szCs w:val="18"/>
                <w:lang w:val="en-GB" w:bidi="th-TH"/>
              </w:rPr>
              <w:t>1.1.3 Reform of laws and regulations for the sustainable use of 602,800 ha of mangrove forest</w:t>
            </w:r>
          </w:p>
        </w:tc>
        <w:tc>
          <w:tcPr>
            <w:tcW w:w="2024" w:type="dxa"/>
            <w:tcBorders>
              <w:top w:val="single" w:sz="4" w:space="0" w:color="auto"/>
              <w:left w:val="single" w:sz="4" w:space="0" w:color="auto"/>
              <w:bottom w:val="single" w:sz="4" w:space="0" w:color="auto"/>
              <w:right w:val="single" w:sz="4" w:space="0" w:color="auto"/>
            </w:tcBorders>
          </w:tcPr>
          <w:p w14:paraId="4EF26908" w14:textId="77777777" w:rsidR="00323051" w:rsidRPr="00323051" w:rsidRDefault="00323051" w:rsidP="00323051">
            <w:pPr>
              <w:rPr>
                <w:sz w:val="18"/>
                <w:szCs w:val="18"/>
                <w:lang w:val="en-GB" w:bidi="th-TH"/>
              </w:rPr>
            </w:pPr>
            <w:r w:rsidRPr="00323051">
              <w:rPr>
                <w:sz w:val="18"/>
                <w:szCs w:val="18"/>
                <w:lang w:val="en-GB" w:bidi="th-TH"/>
              </w:rPr>
              <w:t>Endorsed policies, executive orders, provinc</w:t>
            </w:r>
            <w:r w:rsidR="0028661C">
              <w:rPr>
                <w:sz w:val="18"/>
                <w:szCs w:val="18"/>
                <w:lang w:val="en-GB" w:bidi="th-TH"/>
              </w:rPr>
              <w:t>ial/local ordinances and by-law</w:t>
            </w:r>
            <w:r w:rsidRPr="00323051">
              <w:rPr>
                <w:sz w:val="18"/>
                <w:szCs w:val="18"/>
                <w:lang w:val="en-GB" w:bidi="th-TH"/>
              </w:rPr>
              <w:t>s</w:t>
            </w:r>
          </w:p>
        </w:tc>
        <w:tc>
          <w:tcPr>
            <w:tcW w:w="2029" w:type="dxa"/>
            <w:tcBorders>
              <w:top w:val="single" w:sz="4" w:space="0" w:color="auto"/>
              <w:left w:val="single" w:sz="4" w:space="0" w:color="auto"/>
              <w:bottom w:val="single" w:sz="4" w:space="0" w:color="auto"/>
              <w:right w:val="single" w:sz="4" w:space="0" w:color="auto"/>
            </w:tcBorders>
          </w:tcPr>
          <w:p w14:paraId="44B43B1D" w14:textId="77777777" w:rsidR="00323051" w:rsidRPr="00323051" w:rsidRDefault="00323051" w:rsidP="00323051">
            <w:pPr>
              <w:rPr>
                <w:sz w:val="18"/>
                <w:szCs w:val="18"/>
                <w:lang w:val="en-GB" w:bidi="th-TH"/>
              </w:rPr>
            </w:pPr>
            <w:r w:rsidRPr="00323051">
              <w:rPr>
                <w:sz w:val="18"/>
                <w:szCs w:val="18"/>
                <w:lang w:val="en-GB" w:bidi="th-TH"/>
              </w:rPr>
              <w:t>National and provincial/local government commitment to adopt governance reforms that reflect local needs</w:t>
            </w:r>
          </w:p>
        </w:tc>
      </w:tr>
      <w:tr w:rsidR="00323051" w:rsidRPr="00323051" w14:paraId="77106712" w14:textId="77777777" w:rsidTr="004B053A">
        <w:trPr>
          <w:trHeight w:val="518"/>
        </w:trPr>
        <w:tc>
          <w:tcPr>
            <w:tcW w:w="0" w:type="auto"/>
            <w:vMerge/>
            <w:tcBorders>
              <w:left w:val="single" w:sz="4" w:space="0" w:color="auto"/>
              <w:right w:val="single" w:sz="4" w:space="0" w:color="auto"/>
            </w:tcBorders>
            <w:vAlign w:val="center"/>
          </w:tcPr>
          <w:p w14:paraId="00EC532D"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tcPr>
          <w:p w14:paraId="053F95AE"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735DEDC1" w14:textId="77777777" w:rsidR="00323051" w:rsidRPr="00323051" w:rsidRDefault="00323051" w:rsidP="00323051">
            <w:pPr>
              <w:rPr>
                <w:sz w:val="18"/>
                <w:szCs w:val="18"/>
                <w:lang w:val="en-GB" w:bidi="th-TH"/>
              </w:rPr>
            </w:pPr>
            <w:r w:rsidRPr="00323051">
              <w:rPr>
                <w:sz w:val="18"/>
                <w:szCs w:val="18"/>
                <w:lang w:val="en-GB" w:bidi="th-TH"/>
              </w:rPr>
              <w:t>Total area (ha) of deforested mangrove land rehabilitated</w:t>
            </w:r>
          </w:p>
        </w:tc>
        <w:tc>
          <w:tcPr>
            <w:tcW w:w="2024" w:type="dxa"/>
            <w:tcBorders>
              <w:top w:val="single" w:sz="4" w:space="0" w:color="auto"/>
              <w:left w:val="single" w:sz="4" w:space="0" w:color="auto"/>
              <w:bottom w:val="single" w:sz="4" w:space="0" w:color="auto"/>
              <w:right w:val="single" w:sz="4" w:space="0" w:color="auto"/>
            </w:tcBorders>
          </w:tcPr>
          <w:p w14:paraId="7576FDA1" w14:textId="77777777" w:rsidR="00323051" w:rsidRPr="00323051" w:rsidRDefault="00323051" w:rsidP="00323051">
            <w:pPr>
              <w:rPr>
                <w:sz w:val="18"/>
                <w:szCs w:val="18"/>
                <w:lang w:val="en-GB" w:bidi="th-TH"/>
              </w:rPr>
            </w:pPr>
            <w:r w:rsidRPr="00323051">
              <w:rPr>
                <w:sz w:val="18"/>
                <w:szCs w:val="18"/>
                <w:lang w:val="en-GB" w:bidi="th-TH"/>
              </w:rPr>
              <w:t>Decadal rate of loss of total mangrove area from SCS is estimated at 16 percent</w:t>
            </w:r>
          </w:p>
        </w:tc>
        <w:tc>
          <w:tcPr>
            <w:tcW w:w="2024" w:type="dxa"/>
            <w:tcBorders>
              <w:top w:val="single" w:sz="4" w:space="0" w:color="auto"/>
              <w:left w:val="single" w:sz="4" w:space="0" w:color="auto"/>
              <w:bottom w:val="single" w:sz="4" w:space="0" w:color="auto"/>
              <w:right w:val="single" w:sz="4" w:space="0" w:color="auto"/>
            </w:tcBorders>
          </w:tcPr>
          <w:p w14:paraId="70ECF575" w14:textId="77777777" w:rsidR="00323051" w:rsidRPr="00323051" w:rsidRDefault="00323051" w:rsidP="00323051">
            <w:pPr>
              <w:rPr>
                <w:sz w:val="18"/>
                <w:szCs w:val="18"/>
                <w:lang w:val="en-GB" w:bidi="th-TH"/>
              </w:rPr>
            </w:pPr>
            <w:r w:rsidRPr="00323051">
              <w:rPr>
                <w:sz w:val="18"/>
                <w:szCs w:val="18"/>
                <w:lang w:val="en-GB" w:bidi="th-TH"/>
              </w:rPr>
              <w:t>1.1.4 Replanting of 21,000 ha of deforested mangrove land</w:t>
            </w:r>
          </w:p>
        </w:tc>
        <w:tc>
          <w:tcPr>
            <w:tcW w:w="2024" w:type="dxa"/>
            <w:tcBorders>
              <w:top w:val="single" w:sz="4" w:space="0" w:color="auto"/>
              <w:left w:val="single" w:sz="4" w:space="0" w:color="auto"/>
              <w:bottom w:val="single" w:sz="4" w:space="0" w:color="auto"/>
              <w:right w:val="single" w:sz="4" w:space="0" w:color="auto"/>
            </w:tcBorders>
          </w:tcPr>
          <w:p w14:paraId="4D917FF7" w14:textId="77777777" w:rsidR="00323051" w:rsidRPr="00323051" w:rsidRDefault="00323051" w:rsidP="00323051">
            <w:pPr>
              <w:rPr>
                <w:sz w:val="18"/>
                <w:szCs w:val="18"/>
                <w:lang w:val="en-GB" w:bidi="th-TH"/>
              </w:rPr>
            </w:pPr>
            <w:r w:rsidRPr="00323051">
              <w:rPr>
                <w:sz w:val="18"/>
                <w:szCs w:val="18"/>
                <w:lang w:val="en-GB" w:bidi="th-TH"/>
              </w:rPr>
              <w:t>Maps and aerial imagery of rehabilitated mangrove areas</w:t>
            </w:r>
          </w:p>
        </w:tc>
        <w:tc>
          <w:tcPr>
            <w:tcW w:w="2029" w:type="dxa"/>
            <w:tcBorders>
              <w:top w:val="single" w:sz="4" w:space="0" w:color="auto"/>
              <w:left w:val="single" w:sz="4" w:space="0" w:color="auto"/>
              <w:bottom w:val="single" w:sz="4" w:space="0" w:color="auto"/>
              <w:right w:val="single" w:sz="4" w:space="0" w:color="auto"/>
            </w:tcBorders>
          </w:tcPr>
          <w:p w14:paraId="61E70750" w14:textId="77777777" w:rsidR="00323051" w:rsidRPr="00323051" w:rsidRDefault="00323051" w:rsidP="00323051">
            <w:pPr>
              <w:rPr>
                <w:sz w:val="18"/>
                <w:szCs w:val="18"/>
                <w:lang w:val="en-GB" w:bidi="th-TH"/>
              </w:rPr>
            </w:pPr>
            <w:r w:rsidRPr="00323051">
              <w:rPr>
                <w:sz w:val="18"/>
                <w:szCs w:val="18"/>
                <w:lang w:val="en-GB" w:bidi="th-TH"/>
              </w:rPr>
              <w:t>Landowner commitment to convert present land-use to mangrove forest</w:t>
            </w:r>
          </w:p>
        </w:tc>
      </w:tr>
      <w:tr w:rsidR="00323051" w:rsidRPr="00323051" w14:paraId="2E30A61B" w14:textId="77777777" w:rsidTr="004B053A">
        <w:trPr>
          <w:trHeight w:val="517"/>
        </w:trPr>
        <w:tc>
          <w:tcPr>
            <w:tcW w:w="0" w:type="auto"/>
            <w:vMerge/>
            <w:tcBorders>
              <w:left w:val="single" w:sz="4" w:space="0" w:color="auto"/>
              <w:right w:val="single" w:sz="4" w:space="0" w:color="auto"/>
            </w:tcBorders>
            <w:vAlign w:val="center"/>
          </w:tcPr>
          <w:p w14:paraId="4B4F03AA" w14:textId="77777777" w:rsidR="00323051" w:rsidRPr="00323051" w:rsidRDefault="00323051" w:rsidP="00323051">
            <w:pPr>
              <w:rPr>
                <w:sz w:val="18"/>
                <w:szCs w:val="18"/>
                <w:lang w:val="en-GB" w:bidi="th-TH"/>
              </w:rPr>
            </w:pPr>
          </w:p>
        </w:tc>
        <w:tc>
          <w:tcPr>
            <w:tcW w:w="2025" w:type="dxa"/>
            <w:vMerge/>
            <w:tcBorders>
              <w:left w:val="single" w:sz="4" w:space="0" w:color="auto"/>
              <w:bottom w:val="single" w:sz="4" w:space="0" w:color="auto"/>
              <w:right w:val="single" w:sz="4" w:space="0" w:color="auto"/>
            </w:tcBorders>
          </w:tcPr>
          <w:p w14:paraId="314C80C7"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5EF51AF9" w14:textId="77777777" w:rsidR="00323051" w:rsidRPr="00323051" w:rsidRDefault="00323051" w:rsidP="00323051">
            <w:pPr>
              <w:rPr>
                <w:sz w:val="18"/>
                <w:szCs w:val="18"/>
                <w:lang w:val="en-GB" w:bidi="th-TH"/>
              </w:rPr>
            </w:pPr>
            <w:r w:rsidRPr="00323051">
              <w:rPr>
                <w:sz w:val="18"/>
                <w:szCs w:val="18"/>
                <w:lang w:val="en-GB" w:bidi="th-TH"/>
              </w:rPr>
              <w:t xml:space="preserve">Measures of ecological &amp; environmental indicators at enrichment planting sites: forest cover; number and diversity of true mangrove species; and size and abundance of </w:t>
            </w:r>
            <w:r w:rsidRPr="00323051">
              <w:rPr>
                <w:i/>
                <w:sz w:val="18"/>
                <w:szCs w:val="18"/>
                <w:lang w:val="en-GB" w:bidi="th-TH"/>
              </w:rPr>
              <w:t xml:space="preserve">Scylla </w:t>
            </w:r>
            <w:r w:rsidRPr="00323051">
              <w:rPr>
                <w:sz w:val="18"/>
                <w:szCs w:val="18"/>
                <w:lang w:val="en-GB" w:bidi="th-TH"/>
              </w:rPr>
              <w:t xml:space="preserve">spp and </w:t>
            </w:r>
            <w:r w:rsidRPr="00323051">
              <w:rPr>
                <w:i/>
                <w:sz w:val="18"/>
                <w:szCs w:val="18"/>
                <w:lang w:val="en-GB" w:bidi="th-TH"/>
              </w:rPr>
              <w:t>Sesarma</w:t>
            </w:r>
            <w:r w:rsidRPr="00323051">
              <w:rPr>
                <w:sz w:val="18"/>
                <w:szCs w:val="18"/>
                <w:lang w:val="en-GB" w:bidi="th-TH"/>
              </w:rPr>
              <w:t xml:space="preserve"> spp</w:t>
            </w:r>
          </w:p>
        </w:tc>
        <w:tc>
          <w:tcPr>
            <w:tcW w:w="2024" w:type="dxa"/>
            <w:tcBorders>
              <w:top w:val="single" w:sz="4" w:space="0" w:color="auto"/>
              <w:left w:val="single" w:sz="4" w:space="0" w:color="auto"/>
              <w:bottom w:val="single" w:sz="4" w:space="0" w:color="auto"/>
              <w:right w:val="single" w:sz="4" w:space="0" w:color="auto"/>
            </w:tcBorders>
          </w:tcPr>
          <w:p w14:paraId="7C18A3A3" w14:textId="77777777" w:rsidR="00323051" w:rsidRPr="00323051" w:rsidRDefault="00323051" w:rsidP="00323051">
            <w:pPr>
              <w:rPr>
                <w:sz w:val="18"/>
                <w:szCs w:val="18"/>
                <w:lang w:val="en-GB" w:bidi="th-TH"/>
              </w:rPr>
            </w:pPr>
            <w:r w:rsidRPr="00323051">
              <w:rPr>
                <w:sz w:val="18"/>
                <w:szCs w:val="18"/>
                <w:lang w:val="en-GB" w:bidi="th-TH"/>
              </w:rPr>
              <w:t>Predominantly single-species mangrove</w:t>
            </w:r>
          </w:p>
          <w:p w14:paraId="584A949B" w14:textId="77777777" w:rsidR="00323051" w:rsidRPr="00323051" w:rsidRDefault="00323051" w:rsidP="00323051">
            <w:pPr>
              <w:rPr>
                <w:sz w:val="18"/>
                <w:szCs w:val="18"/>
                <w:lang w:val="en-GB" w:bidi="th-TH"/>
              </w:rPr>
            </w:pPr>
            <w:r w:rsidRPr="00323051">
              <w:rPr>
                <w:sz w:val="18"/>
                <w:szCs w:val="18"/>
                <w:lang w:val="en-GB" w:bidi="th-TH"/>
              </w:rPr>
              <w:t>reforestation initiatives over recent decades have compromised biodiversity and hazard risk reduction potential of rehabilitated mangrove areas</w:t>
            </w:r>
          </w:p>
        </w:tc>
        <w:tc>
          <w:tcPr>
            <w:tcW w:w="2024" w:type="dxa"/>
            <w:tcBorders>
              <w:top w:val="single" w:sz="4" w:space="0" w:color="auto"/>
              <w:left w:val="single" w:sz="4" w:space="0" w:color="auto"/>
              <w:bottom w:val="single" w:sz="4" w:space="0" w:color="auto"/>
              <w:right w:val="single" w:sz="4" w:space="0" w:color="auto"/>
            </w:tcBorders>
          </w:tcPr>
          <w:p w14:paraId="4033E9D5" w14:textId="77777777" w:rsidR="00323051" w:rsidRPr="00323051" w:rsidRDefault="00323051" w:rsidP="00323051">
            <w:pPr>
              <w:rPr>
                <w:sz w:val="18"/>
                <w:szCs w:val="18"/>
                <w:lang w:val="en-GB" w:bidi="th-TH"/>
              </w:rPr>
            </w:pPr>
            <w:r w:rsidRPr="00323051">
              <w:rPr>
                <w:sz w:val="18"/>
                <w:szCs w:val="18"/>
                <w:lang w:val="en-GB" w:bidi="th-TH"/>
              </w:rPr>
              <w:t>1.1.5 Biodiversity increased for 11,200 ha of mangrove forest via enrichment planting</w:t>
            </w:r>
          </w:p>
        </w:tc>
        <w:tc>
          <w:tcPr>
            <w:tcW w:w="2024" w:type="dxa"/>
            <w:tcBorders>
              <w:top w:val="single" w:sz="4" w:space="0" w:color="auto"/>
              <w:left w:val="single" w:sz="4" w:space="0" w:color="auto"/>
              <w:bottom w:val="single" w:sz="4" w:space="0" w:color="auto"/>
              <w:right w:val="single" w:sz="4" w:space="0" w:color="auto"/>
            </w:tcBorders>
          </w:tcPr>
          <w:p w14:paraId="229E5CF5" w14:textId="77777777" w:rsidR="00323051" w:rsidRPr="00323051" w:rsidRDefault="00323051" w:rsidP="00323051">
            <w:pPr>
              <w:rPr>
                <w:sz w:val="18"/>
                <w:szCs w:val="18"/>
                <w:lang w:val="en-GB" w:bidi="th-TH"/>
              </w:rPr>
            </w:pPr>
            <w:r w:rsidRPr="00323051">
              <w:rPr>
                <w:sz w:val="18"/>
                <w:szCs w:val="18"/>
                <w:lang w:val="en-GB" w:bidi="th-TH"/>
              </w:rPr>
              <w:t xml:space="preserve">Updated site characterisations for enrichment planting sites, including ecological and socio-economic data </w:t>
            </w:r>
          </w:p>
        </w:tc>
        <w:tc>
          <w:tcPr>
            <w:tcW w:w="2029" w:type="dxa"/>
            <w:tcBorders>
              <w:top w:val="single" w:sz="4" w:space="0" w:color="auto"/>
              <w:left w:val="single" w:sz="4" w:space="0" w:color="auto"/>
              <w:bottom w:val="single" w:sz="4" w:space="0" w:color="auto"/>
              <w:right w:val="single" w:sz="4" w:space="0" w:color="auto"/>
            </w:tcBorders>
          </w:tcPr>
          <w:p w14:paraId="3060EEE8" w14:textId="77777777" w:rsidR="00323051" w:rsidRPr="00323051" w:rsidRDefault="00323051" w:rsidP="00323051">
            <w:pPr>
              <w:rPr>
                <w:sz w:val="18"/>
                <w:szCs w:val="18"/>
                <w:lang w:val="en-GB" w:bidi="th-TH"/>
              </w:rPr>
            </w:pPr>
            <w:r w:rsidRPr="00323051">
              <w:rPr>
                <w:sz w:val="18"/>
                <w:szCs w:val="18"/>
                <w:lang w:val="en-GB" w:bidi="th-TH"/>
              </w:rPr>
              <w:t>Appropriate selection of enrichment planting sites to minimise risks associated with: chronic</w:t>
            </w:r>
          </w:p>
          <w:p w14:paraId="11BA1433" w14:textId="77777777" w:rsidR="00323051" w:rsidRPr="00323051" w:rsidRDefault="00323051" w:rsidP="00323051">
            <w:pPr>
              <w:rPr>
                <w:sz w:val="18"/>
                <w:szCs w:val="18"/>
                <w:lang w:val="en-GB" w:bidi="th-TH"/>
              </w:rPr>
            </w:pPr>
            <w:r w:rsidRPr="00323051">
              <w:rPr>
                <w:sz w:val="18"/>
                <w:szCs w:val="18"/>
                <w:lang w:val="en-GB" w:bidi="th-TH"/>
              </w:rPr>
              <w:t>pollution from shrimp farming operations;</w:t>
            </w:r>
          </w:p>
          <w:p w14:paraId="2AA59ACE" w14:textId="77777777" w:rsidR="00323051" w:rsidRPr="00323051" w:rsidRDefault="00323051" w:rsidP="00323051">
            <w:pPr>
              <w:rPr>
                <w:sz w:val="18"/>
                <w:szCs w:val="18"/>
                <w:lang w:val="en-GB" w:bidi="th-TH"/>
              </w:rPr>
            </w:pPr>
            <w:r w:rsidRPr="00323051">
              <w:rPr>
                <w:sz w:val="18"/>
                <w:szCs w:val="18"/>
                <w:lang w:val="en-GB" w:bidi="th-TH"/>
              </w:rPr>
              <w:t xml:space="preserve">charcoal production; and storm surge inundation  </w:t>
            </w:r>
          </w:p>
        </w:tc>
      </w:tr>
      <w:tr w:rsidR="00323051" w:rsidRPr="00323051" w14:paraId="374083B1" w14:textId="77777777" w:rsidTr="004B053A">
        <w:trPr>
          <w:trHeight w:val="517"/>
        </w:trPr>
        <w:tc>
          <w:tcPr>
            <w:tcW w:w="0" w:type="auto"/>
            <w:vMerge/>
            <w:tcBorders>
              <w:left w:val="single" w:sz="4" w:space="0" w:color="auto"/>
              <w:right w:val="single" w:sz="4" w:space="0" w:color="auto"/>
            </w:tcBorders>
            <w:vAlign w:val="center"/>
          </w:tcPr>
          <w:p w14:paraId="1B612869" w14:textId="77777777" w:rsidR="00323051" w:rsidRPr="00323051" w:rsidRDefault="00323051" w:rsidP="00323051">
            <w:pPr>
              <w:rPr>
                <w:sz w:val="18"/>
                <w:szCs w:val="18"/>
                <w:lang w:val="en-GB" w:bidi="th-TH"/>
              </w:rPr>
            </w:pPr>
          </w:p>
        </w:tc>
        <w:tc>
          <w:tcPr>
            <w:tcW w:w="2025" w:type="dxa"/>
            <w:vMerge w:val="restart"/>
            <w:tcBorders>
              <w:top w:val="single" w:sz="4" w:space="0" w:color="auto"/>
              <w:left w:val="single" w:sz="4" w:space="0" w:color="auto"/>
              <w:right w:val="single" w:sz="4" w:space="0" w:color="auto"/>
            </w:tcBorders>
          </w:tcPr>
          <w:p w14:paraId="79580C5F" w14:textId="77777777" w:rsidR="00323051" w:rsidRPr="00323051" w:rsidRDefault="00323051" w:rsidP="00323051">
            <w:pPr>
              <w:rPr>
                <w:sz w:val="18"/>
                <w:szCs w:val="18"/>
                <w:lang w:val="en-GB" w:bidi="th-TH"/>
              </w:rPr>
            </w:pPr>
            <w:r w:rsidRPr="00323051">
              <w:rPr>
                <w:sz w:val="18"/>
                <w:szCs w:val="18"/>
                <w:lang w:val="en-GB" w:bidi="th-TH"/>
              </w:rPr>
              <w:t>1.2  153,000 ha of coral reef at 82 priority sites managed sustainably by Yr 5, including a reduction in the decadal rate of degradation in live coral cover from 16 to 5%</w:t>
            </w:r>
          </w:p>
        </w:tc>
        <w:tc>
          <w:tcPr>
            <w:tcW w:w="2024" w:type="dxa"/>
            <w:tcBorders>
              <w:top w:val="single" w:sz="4" w:space="0" w:color="auto"/>
              <w:left w:val="single" w:sz="4" w:space="0" w:color="auto"/>
              <w:bottom w:val="single" w:sz="4" w:space="0" w:color="auto"/>
              <w:right w:val="single" w:sz="4" w:space="0" w:color="auto"/>
            </w:tcBorders>
          </w:tcPr>
          <w:p w14:paraId="41DF9C9C" w14:textId="77777777" w:rsidR="00323051" w:rsidRPr="00323051" w:rsidRDefault="00323051" w:rsidP="00323051">
            <w:pPr>
              <w:rPr>
                <w:sz w:val="18"/>
                <w:szCs w:val="18"/>
                <w:lang w:val="en-GB" w:bidi="th-TH"/>
              </w:rPr>
            </w:pPr>
            <w:r w:rsidRPr="00323051">
              <w:rPr>
                <w:sz w:val="18"/>
                <w:szCs w:val="18"/>
                <w:lang w:val="en-GB" w:bidi="th-TH"/>
              </w:rPr>
              <w:t>Status of management capacity, including:</w:t>
            </w:r>
          </w:p>
          <w:p w14:paraId="3A87EF81" w14:textId="77777777" w:rsidR="00323051" w:rsidRPr="00323051" w:rsidRDefault="00323051" w:rsidP="004B053A">
            <w:pPr>
              <w:numPr>
                <w:ilvl w:val="0"/>
                <w:numId w:val="29"/>
              </w:numPr>
              <w:ind w:left="194" w:hanging="180"/>
              <w:contextualSpacing/>
              <w:rPr>
                <w:sz w:val="18"/>
                <w:szCs w:val="18"/>
                <w:lang w:val="en-GB" w:bidi="th-TH"/>
              </w:rPr>
            </w:pPr>
            <w:r w:rsidRPr="00323051">
              <w:rPr>
                <w:sz w:val="18"/>
                <w:szCs w:val="18"/>
                <w:lang w:val="en-GB" w:bidi="th-TH"/>
              </w:rPr>
              <w:t>Human resource capacity;</w:t>
            </w:r>
          </w:p>
          <w:p w14:paraId="0BFBF1BF" w14:textId="77777777" w:rsidR="00323051" w:rsidRPr="00323051" w:rsidRDefault="00323051" w:rsidP="004B053A">
            <w:pPr>
              <w:numPr>
                <w:ilvl w:val="0"/>
                <w:numId w:val="29"/>
              </w:numPr>
              <w:ind w:left="194" w:hanging="180"/>
              <w:contextualSpacing/>
              <w:rPr>
                <w:sz w:val="18"/>
                <w:szCs w:val="18"/>
                <w:lang w:val="en-GB" w:bidi="th-TH"/>
              </w:rPr>
            </w:pPr>
            <w:r w:rsidRPr="00323051">
              <w:rPr>
                <w:sz w:val="18"/>
                <w:szCs w:val="18"/>
                <w:lang w:val="en-GB" w:bidi="th-TH"/>
              </w:rPr>
              <w:t>Facilities and equipment; and</w:t>
            </w:r>
          </w:p>
          <w:p w14:paraId="5B75E39C" w14:textId="77777777" w:rsidR="00323051" w:rsidRPr="00323051" w:rsidRDefault="00323051" w:rsidP="004B053A">
            <w:pPr>
              <w:numPr>
                <w:ilvl w:val="0"/>
                <w:numId w:val="29"/>
              </w:numPr>
              <w:ind w:left="194" w:hanging="180"/>
              <w:contextualSpacing/>
              <w:rPr>
                <w:sz w:val="18"/>
                <w:szCs w:val="18"/>
                <w:lang w:val="en-GB" w:bidi="th-TH"/>
              </w:rPr>
            </w:pPr>
            <w:r w:rsidRPr="00323051">
              <w:rPr>
                <w:sz w:val="18"/>
                <w:szCs w:val="18"/>
                <w:lang w:val="en-GB" w:bidi="th-TH"/>
              </w:rPr>
              <w:t>Sustainable financing</w:t>
            </w:r>
          </w:p>
        </w:tc>
        <w:tc>
          <w:tcPr>
            <w:tcW w:w="2024" w:type="dxa"/>
            <w:tcBorders>
              <w:top w:val="single" w:sz="4" w:space="0" w:color="auto"/>
              <w:left w:val="single" w:sz="4" w:space="0" w:color="auto"/>
              <w:bottom w:val="single" w:sz="4" w:space="0" w:color="auto"/>
              <w:right w:val="single" w:sz="4" w:space="0" w:color="auto"/>
            </w:tcBorders>
          </w:tcPr>
          <w:p w14:paraId="54A9AC7D" w14:textId="77777777" w:rsidR="00323051" w:rsidRPr="00323051" w:rsidRDefault="00323051" w:rsidP="00323051">
            <w:pPr>
              <w:rPr>
                <w:sz w:val="18"/>
                <w:szCs w:val="18"/>
                <w:lang w:val="en-GB" w:bidi="th-TH"/>
              </w:rPr>
            </w:pPr>
            <w:r w:rsidRPr="00323051">
              <w:rPr>
                <w:sz w:val="18"/>
                <w:szCs w:val="18"/>
                <w:lang w:val="en-GB" w:bidi="th-TH"/>
              </w:rPr>
              <w:t>13 of 82 priority coral reef sites in the SCS characterised as being sustainably management due to management capacity constraints</w:t>
            </w:r>
          </w:p>
        </w:tc>
        <w:tc>
          <w:tcPr>
            <w:tcW w:w="2024" w:type="dxa"/>
            <w:tcBorders>
              <w:top w:val="single" w:sz="4" w:space="0" w:color="auto"/>
              <w:left w:val="single" w:sz="4" w:space="0" w:color="auto"/>
              <w:bottom w:val="single" w:sz="4" w:space="0" w:color="auto"/>
              <w:right w:val="single" w:sz="4" w:space="0" w:color="auto"/>
            </w:tcBorders>
          </w:tcPr>
          <w:p w14:paraId="0C4B28EE" w14:textId="77777777" w:rsidR="00323051" w:rsidRPr="00323051" w:rsidRDefault="00323051" w:rsidP="00323051">
            <w:pPr>
              <w:rPr>
                <w:sz w:val="18"/>
                <w:szCs w:val="18"/>
                <w:lang w:val="en-GB" w:bidi="th-TH"/>
              </w:rPr>
            </w:pPr>
            <w:r w:rsidRPr="00323051">
              <w:rPr>
                <w:sz w:val="18"/>
                <w:szCs w:val="18"/>
                <w:lang w:val="en-GB" w:bidi="th-TH"/>
              </w:rPr>
              <w:t>1.2.1 Management capacity  built for 82 coral reef sites</w:t>
            </w:r>
          </w:p>
        </w:tc>
        <w:tc>
          <w:tcPr>
            <w:tcW w:w="2024" w:type="dxa"/>
            <w:tcBorders>
              <w:top w:val="single" w:sz="4" w:space="0" w:color="auto"/>
              <w:left w:val="single" w:sz="4" w:space="0" w:color="auto"/>
              <w:bottom w:val="single" w:sz="4" w:space="0" w:color="auto"/>
              <w:right w:val="single" w:sz="4" w:space="0" w:color="auto"/>
            </w:tcBorders>
          </w:tcPr>
          <w:p w14:paraId="3A6DED0E" w14:textId="77777777" w:rsidR="00323051" w:rsidRPr="00323051" w:rsidRDefault="00323051" w:rsidP="00323051">
            <w:pPr>
              <w:rPr>
                <w:sz w:val="18"/>
                <w:szCs w:val="18"/>
                <w:lang w:val="en-GB" w:bidi="th-TH"/>
              </w:rPr>
            </w:pPr>
            <w:r w:rsidRPr="00323051">
              <w:rPr>
                <w:sz w:val="18"/>
                <w:szCs w:val="18"/>
                <w:lang w:val="en-GB" w:bidi="th-TH"/>
              </w:rPr>
              <w:t xml:space="preserve">Assessment of government and civil society organisation competencies and mgmt. capacity developments needs </w:t>
            </w:r>
          </w:p>
          <w:p w14:paraId="262C0D93" w14:textId="77777777" w:rsidR="00323051" w:rsidRPr="00323051" w:rsidRDefault="00323051" w:rsidP="00323051">
            <w:pPr>
              <w:rPr>
                <w:sz w:val="18"/>
                <w:szCs w:val="18"/>
                <w:lang w:val="en-GB" w:bidi="th-TH"/>
              </w:rPr>
            </w:pPr>
          </w:p>
          <w:p w14:paraId="031191EE" w14:textId="77777777" w:rsidR="00323051" w:rsidRPr="00323051" w:rsidRDefault="00323051" w:rsidP="00323051">
            <w:pPr>
              <w:rPr>
                <w:sz w:val="18"/>
                <w:szCs w:val="18"/>
                <w:lang w:val="en-GB" w:bidi="th-TH"/>
              </w:rPr>
            </w:pPr>
            <w:r w:rsidRPr="00323051">
              <w:rPr>
                <w:sz w:val="18"/>
                <w:szCs w:val="18"/>
                <w:lang w:val="en-GB" w:bidi="th-TH"/>
              </w:rPr>
              <w:t>Reports of capacity building initiatives</w:t>
            </w:r>
          </w:p>
        </w:tc>
        <w:tc>
          <w:tcPr>
            <w:tcW w:w="2029" w:type="dxa"/>
            <w:tcBorders>
              <w:top w:val="single" w:sz="4" w:space="0" w:color="auto"/>
              <w:left w:val="single" w:sz="4" w:space="0" w:color="auto"/>
              <w:bottom w:val="single" w:sz="4" w:space="0" w:color="auto"/>
              <w:right w:val="single" w:sz="4" w:space="0" w:color="auto"/>
            </w:tcBorders>
          </w:tcPr>
          <w:p w14:paraId="5417FC8D" w14:textId="77777777" w:rsidR="00323051" w:rsidRPr="00323051" w:rsidRDefault="00323051" w:rsidP="00323051">
            <w:pPr>
              <w:rPr>
                <w:sz w:val="18"/>
                <w:szCs w:val="18"/>
                <w:lang w:val="en-GB" w:bidi="th-TH"/>
              </w:rPr>
            </w:pPr>
            <w:r w:rsidRPr="00323051">
              <w:rPr>
                <w:sz w:val="18"/>
                <w:szCs w:val="18"/>
                <w:lang w:val="en-GB" w:bidi="th-TH"/>
              </w:rPr>
              <w:t xml:space="preserve">Management capacity initiatives are sufficiently well planned to accommodate biodiversity conservation and livelihood/food security needs at coral reef sites </w:t>
            </w:r>
          </w:p>
        </w:tc>
      </w:tr>
      <w:tr w:rsidR="00323051" w:rsidRPr="00323051" w14:paraId="3FA00FD9" w14:textId="77777777" w:rsidTr="004B053A">
        <w:trPr>
          <w:trHeight w:val="517"/>
        </w:trPr>
        <w:tc>
          <w:tcPr>
            <w:tcW w:w="0" w:type="auto"/>
            <w:vMerge/>
            <w:tcBorders>
              <w:left w:val="single" w:sz="4" w:space="0" w:color="auto"/>
              <w:right w:val="single" w:sz="4" w:space="0" w:color="auto"/>
            </w:tcBorders>
            <w:vAlign w:val="center"/>
          </w:tcPr>
          <w:p w14:paraId="4108FF4F"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tcPr>
          <w:p w14:paraId="113743A8"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102B423A" w14:textId="77777777" w:rsidR="00323051" w:rsidRPr="00323051" w:rsidRDefault="00323051" w:rsidP="00323051">
            <w:pPr>
              <w:rPr>
                <w:sz w:val="18"/>
                <w:szCs w:val="18"/>
                <w:lang w:val="en-GB" w:bidi="th-TH"/>
              </w:rPr>
            </w:pPr>
            <w:r w:rsidRPr="00323051">
              <w:rPr>
                <w:sz w:val="18"/>
                <w:szCs w:val="18"/>
                <w:lang w:val="en-GB" w:bidi="th-TH"/>
              </w:rPr>
              <w:t>Status of institutional reform for multi-sectorial, community-based and multiple use coral reef management</w:t>
            </w:r>
          </w:p>
        </w:tc>
        <w:tc>
          <w:tcPr>
            <w:tcW w:w="2024" w:type="dxa"/>
            <w:tcBorders>
              <w:top w:val="single" w:sz="4" w:space="0" w:color="auto"/>
              <w:left w:val="single" w:sz="4" w:space="0" w:color="auto"/>
              <w:bottom w:val="single" w:sz="4" w:space="0" w:color="auto"/>
              <w:right w:val="single" w:sz="4" w:space="0" w:color="auto"/>
            </w:tcBorders>
          </w:tcPr>
          <w:p w14:paraId="66985567" w14:textId="77777777" w:rsidR="00323051" w:rsidRPr="00323051" w:rsidRDefault="00323051" w:rsidP="00323051">
            <w:pPr>
              <w:rPr>
                <w:sz w:val="18"/>
                <w:szCs w:val="18"/>
                <w:lang w:val="en-GB" w:bidi="th-TH"/>
              </w:rPr>
            </w:pPr>
            <w:r w:rsidRPr="00323051">
              <w:rPr>
                <w:sz w:val="18"/>
                <w:szCs w:val="18"/>
                <w:lang w:val="en-GB" w:bidi="th-TH"/>
              </w:rPr>
              <w:t>Predominantly single sector (environment) and centralised approach to coral reef management</w:t>
            </w:r>
          </w:p>
        </w:tc>
        <w:tc>
          <w:tcPr>
            <w:tcW w:w="2024" w:type="dxa"/>
            <w:tcBorders>
              <w:top w:val="single" w:sz="4" w:space="0" w:color="auto"/>
              <w:left w:val="single" w:sz="4" w:space="0" w:color="auto"/>
              <w:bottom w:val="single" w:sz="4" w:space="0" w:color="auto"/>
              <w:right w:val="single" w:sz="4" w:space="0" w:color="auto"/>
            </w:tcBorders>
          </w:tcPr>
          <w:p w14:paraId="7D11424E" w14:textId="77777777" w:rsidR="00323051" w:rsidRPr="00323051" w:rsidRDefault="00323051" w:rsidP="00323051">
            <w:pPr>
              <w:rPr>
                <w:sz w:val="18"/>
                <w:szCs w:val="18"/>
                <w:lang w:val="en-GB" w:bidi="th-TH"/>
              </w:rPr>
            </w:pPr>
            <w:r w:rsidRPr="00323051">
              <w:rPr>
                <w:sz w:val="18"/>
                <w:szCs w:val="18"/>
                <w:lang w:val="en-GB" w:bidi="th-TH"/>
              </w:rPr>
              <w:t>1.2.2 Management approaches (integrated, community-based, multiple use) improved at 82 coral reef sites</w:t>
            </w:r>
          </w:p>
        </w:tc>
        <w:tc>
          <w:tcPr>
            <w:tcW w:w="2024" w:type="dxa"/>
            <w:tcBorders>
              <w:top w:val="single" w:sz="4" w:space="0" w:color="auto"/>
              <w:left w:val="single" w:sz="4" w:space="0" w:color="auto"/>
              <w:bottom w:val="single" w:sz="4" w:space="0" w:color="auto"/>
              <w:right w:val="single" w:sz="4" w:space="0" w:color="auto"/>
            </w:tcBorders>
          </w:tcPr>
          <w:p w14:paraId="1A29AE23" w14:textId="77777777" w:rsidR="00323051" w:rsidRPr="00323051" w:rsidRDefault="00323051" w:rsidP="00323051">
            <w:pPr>
              <w:rPr>
                <w:sz w:val="18"/>
                <w:szCs w:val="18"/>
                <w:lang w:val="en-GB" w:bidi="th-TH"/>
              </w:rPr>
            </w:pPr>
            <w:r w:rsidRPr="00323051">
              <w:rPr>
                <w:sz w:val="18"/>
                <w:szCs w:val="18"/>
                <w:lang w:val="en-GB" w:bidi="th-TH"/>
              </w:rPr>
              <w:t>Reports of cross-sectorial, multi-stakeholder coral reef management bodies</w:t>
            </w:r>
          </w:p>
        </w:tc>
        <w:tc>
          <w:tcPr>
            <w:tcW w:w="2029" w:type="dxa"/>
            <w:tcBorders>
              <w:top w:val="single" w:sz="4" w:space="0" w:color="auto"/>
              <w:left w:val="single" w:sz="4" w:space="0" w:color="auto"/>
              <w:bottom w:val="single" w:sz="4" w:space="0" w:color="auto"/>
              <w:right w:val="single" w:sz="4" w:space="0" w:color="auto"/>
            </w:tcBorders>
          </w:tcPr>
          <w:p w14:paraId="4C0A3BAC" w14:textId="77777777" w:rsidR="00323051" w:rsidRPr="00323051" w:rsidRDefault="00323051" w:rsidP="00323051">
            <w:pPr>
              <w:rPr>
                <w:sz w:val="18"/>
                <w:szCs w:val="18"/>
                <w:lang w:val="en-GB" w:bidi="th-TH"/>
              </w:rPr>
            </w:pPr>
            <w:r w:rsidRPr="00323051">
              <w:rPr>
                <w:sz w:val="18"/>
                <w:szCs w:val="18"/>
                <w:lang w:val="en-GB" w:bidi="th-TH"/>
              </w:rPr>
              <w:t>Existing tensions between coral reef resource users and governments may limit community participation</w:t>
            </w:r>
          </w:p>
        </w:tc>
      </w:tr>
      <w:tr w:rsidR="00323051" w:rsidRPr="00323051" w14:paraId="590BDA0B" w14:textId="77777777" w:rsidTr="004B053A">
        <w:trPr>
          <w:trHeight w:val="517"/>
        </w:trPr>
        <w:tc>
          <w:tcPr>
            <w:tcW w:w="0" w:type="auto"/>
            <w:vMerge/>
            <w:tcBorders>
              <w:left w:val="single" w:sz="4" w:space="0" w:color="auto"/>
              <w:right w:val="single" w:sz="4" w:space="0" w:color="auto"/>
            </w:tcBorders>
            <w:vAlign w:val="center"/>
          </w:tcPr>
          <w:p w14:paraId="7A8CD3EA"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tcPr>
          <w:p w14:paraId="07AAC148"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3CC591A4" w14:textId="77777777" w:rsidR="00323051" w:rsidRPr="00323051" w:rsidRDefault="00323051" w:rsidP="00323051">
            <w:pPr>
              <w:rPr>
                <w:sz w:val="18"/>
                <w:szCs w:val="18"/>
                <w:lang w:val="en-GB" w:bidi="th-TH"/>
              </w:rPr>
            </w:pPr>
            <w:r w:rsidRPr="00323051">
              <w:rPr>
                <w:sz w:val="18"/>
                <w:szCs w:val="18"/>
                <w:lang w:val="en-GB" w:bidi="th-TH"/>
              </w:rPr>
              <w:t>Number of management tools developed, adopted and applied at priority coral reef sites</w:t>
            </w:r>
          </w:p>
          <w:p w14:paraId="02711A0C" w14:textId="77777777" w:rsidR="00323051" w:rsidRPr="00323051" w:rsidRDefault="00323051" w:rsidP="00323051">
            <w:pPr>
              <w:rPr>
                <w:sz w:val="18"/>
                <w:szCs w:val="18"/>
                <w:lang w:val="en-GB" w:bidi="th-TH"/>
              </w:rPr>
            </w:pPr>
          </w:p>
          <w:p w14:paraId="4800ED30"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6698386F" w14:textId="77777777" w:rsidR="00323051" w:rsidRPr="00323051" w:rsidRDefault="00323051" w:rsidP="00323051">
            <w:pPr>
              <w:rPr>
                <w:sz w:val="18"/>
                <w:szCs w:val="18"/>
                <w:lang w:val="en-GB" w:bidi="th-TH"/>
              </w:rPr>
            </w:pPr>
            <w:r w:rsidRPr="00323051">
              <w:rPr>
                <w:sz w:val="18"/>
                <w:szCs w:val="18"/>
                <w:lang w:val="en-GB" w:bidi="th-TH"/>
              </w:rPr>
              <w:t>Coral reef management largely focused on awareness raising with limited use of management tools to address threats to coral reef sites</w:t>
            </w:r>
          </w:p>
        </w:tc>
        <w:tc>
          <w:tcPr>
            <w:tcW w:w="2024" w:type="dxa"/>
            <w:tcBorders>
              <w:top w:val="single" w:sz="4" w:space="0" w:color="auto"/>
              <w:left w:val="single" w:sz="4" w:space="0" w:color="auto"/>
              <w:bottom w:val="single" w:sz="4" w:space="0" w:color="auto"/>
              <w:right w:val="single" w:sz="4" w:space="0" w:color="auto"/>
            </w:tcBorders>
          </w:tcPr>
          <w:p w14:paraId="78B9DDAD" w14:textId="77777777" w:rsidR="00323051" w:rsidRPr="00323051" w:rsidRDefault="00323051" w:rsidP="00323051">
            <w:pPr>
              <w:rPr>
                <w:sz w:val="18"/>
                <w:szCs w:val="18"/>
                <w:lang w:val="en-GB" w:bidi="th-TH"/>
              </w:rPr>
            </w:pPr>
            <w:r w:rsidRPr="00323051">
              <w:rPr>
                <w:sz w:val="18"/>
                <w:szCs w:val="18"/>
                <w:lang w:val="en-GB" w:bidi="th-TH"/>
              </w:rPr>
              <w:t>1.2.3 Management tools (licensing and permit systems, seasonal closures, zoning) developed and utilized to address key threats at priority sites</w:t>
            </w:r>
          </w:p>
        </w:tc>
        <w:tc>
          <w:tcPr>
            <w:tcW w:w="2024" w:type="dxa"/>
            <w:tcBorders>
              <w:top w:val="single" w:sz="4" w:space="0" w:color="auto"/>
              <w:left w:val="single" w:sz="4" w:space="0" w:color="auto"/>
              <w:bottom w:val="single" w:sz="4" w:space="0" w:color="auto"/>
              <w:right w:val="single" w:sz="4" w:space="0" w:color="auto"/>
            </w:tcBorders>
          </w:tcPr>
          <w:p w14:paraId="0D7A3082" w14:textId="77777777" w:rsidR="00323051" w:rsidRPr="00323051" w:rsidRDefault="00323051" w:rsidP="00323051">
            <w:pPr>
              <w:rPr>
                <w:sz w:val="18"/>
                <w:szCs w:val="18"/>
                <w:lang w:val="en-GB" w:bidi="th-TH"/>
              </w:rPr>
            </w:pPr>
            <w:r w:rsidRPr="00323051">
              <w:rPr>
                <w:sz w:val="18"/>
                <w:szCs w:val="18"/>
                <w:lang w:val="en-GB" w:bidi="th-TH"/>
              </w:rPr>
              <w:t>Endorsed policies and executive orders provincial/local ordinances and by-laws for coral reef management</w:t>
            </w:r>
          </w:p>
        </w:tc>
        <w:tc>
          <w:tcPr>
            <w:tcW w:w="2029" w:type="dxa"/>
            <w:tcBorders>
              <w:top w:val="single" w:sz="4" w:space="0" w:color="auto"/>
              <w:left w:val="single" w:sz="4" w:space="0" w:color="auto"/>
              <w:bottom w:val="single" w:sz="4" w:space="0" w:color="auto"/>
              <w:right w:val="single" w:sz="4" w:space="0" w:color="auto"/>
            </w:tcBorders>
          </w:tcPr>
          <w:p w14:paraId="23A3AC0B" w14:textId="77777777" w:rsidR="00323051" w:rsidRPr="00323051" w:rsidRDefault="00323051" w:rsidP="00323051">
            <w:pPr>
              <w:rPr>
                <w:sz w:val="18"/>
                <w:szCs w:val="18"/>
                <w:lang w:val="en-GB" w:bidi="th-TH"/>
              </w:rPr>
            </w:pPr>
            <w:r w:rsidRPr="00323051">
              <w:rPr>
                <w:sz w:val="18"/>
                <w:szCs w:val="18"/>
                <w:lang w:val="en-GB" w:bidi="th-TH"/>
              </w:rPr>
              <w:t>Commitment of central and local governments, as well as resource users, to jointly develop and apply management tools governing coral reef resource use</w:t>
            </w:r>
          </w:p>
        </w:tc>
      </w:tr>
      <w:tr w:rsidR="00323051" w:rsidRPr="00323051" w14:paraId="05144916" w14:textId="77777777" w:rsidTr="004B053A">
        <w:trPr>
          <w:trHeight w:val="517"/>
        </w:trPr>
        <w:tc>
          <w:tcPr>
            <w:tcW w:w="0" w:type="auto"/>
            <w:vMerge/>
            <w:tcBorders>
              <w:left w:val="single" w:sz="4" w:space="0" w:color="auto"/>
              <w:right w:val="single" w:sz="4" w:space="0" w:color="auto"/>
            </w:tcBorders>
            <w:vAlign w:val="center"/>
          </w:tcPr>
          <w:p w14:paraId="36B8ACBE" w14:textId="77777777" w:rsidR="00323051" w:rsidRPr="00323051" w:rsidRDefault="00323051" w:rsidP="00323051">
            <w:pPr>
              <w:rPr>
                <w:sz w:val="18"/>
                <w:szCs w:val="18"/>
                <w:lang w:val="en-GB" w:bidi="th-TH"/>
              </w:rPr>
            </w:pPr>
          </w:p>
        </w:tc>
        <w:tc>
          <w:tcPr>
            <w:tcW w:w="2025" w:type="dxa"/>
            <w:vMerge/>
            <w:tcBorders>
              <w:left w:val="single" w:sz="4" w:space="0" w:color="auto"/>
              <w:bottom w:val="single" w:sz="4" w:space="0" w:color="auto"/>
              <w:right w:val="single" w:sz="4" w:space="0" w:color="auto"/>
            </w:tcBorders>
          </w:tcPr>
          <w:p w14:paraId="65C7B935"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3A190B55" w14:textId="77777777" w:rsidR="00323051" w:rsidRPr="00323051" w:rsidRDefault="00323051" w:rsidP="00323051">
            <w:pPr>
              <w:rPr>
                <w:sz w:val="18"/>
                <w:szCs w:val="18"/>
                <w:lang w:val="en-GB" w:bidi="th-TH"/>
              </w:rPr>
            </w:pPr>
            <w:r w:rsidRPr="00323051">
              <w:rPr>
                <w:sz w:val="18"/>
                <w:szCs w:val="18"/>
                <w:lang w:val="en-GB" w:bidi="th-TH"/>
              </w:rPr>
              <w:t>Status of mechanism established for monitoring coral reef management effectiveness and stress reduction</w:t>
            </w:r>
          </w:p>
        </w:tc>
        <w:tc>
          <w:tcPr>
            <w:tcW w:w="2024" w:type="dxa"/>
            <w:tcBorders>
              <w:top w:val="single" w:sz="4" w:space="0" w:color="auto"/>
              <w:left w:val="single" w:sz="4" w:space="0" w:color="auto"/>
              <w:bottom w:val="single" w:sz="4" w:space="0" w:color="auto"/>
              <w:right w:val="single" w:sz="4" w:space="0" w:color="auto"/>
            </w:tcBorders>
          </w:tcPr>
          <w:p w14:paraId="6DD496FD" w14:textId="77777777" w:rsidR="00323051" w:rsidRPr="00323051" w:rsidRDefault="00323051" w:rsidP="00323051">
            <w:pPr>
              <w:rPr>
                <w:sz w:val="18"/>
                <w:szCs w:val="18"/>
                <w:lang w:val="en-GB" w:bidi="th-TH"/>
              </w:rPr>
            </w:pPr>
            <w:r w:rsidRPr="00323051">
              <w:rPr>
                <w:sz w:val="18"/>
                <w:szCs w:val="18"/>
                <w:lang w:val="en-GB" w:bidi="th-TH"/>
              </w:rPr>
              <w:t>Management, ecological and environmental, and socio-economic indicator frameworks developed but not yet applied at priority sites</w:t>
            </w:r>
          </w:p>
        </w:tc>
        <w:tc>
          <w:tcPr>
            <w:tcW w:w="2024" w:type="dxa"/>
            <w:tcBorders>
              <w:top w:val="single" w:sz="4" w:space="0" w:color="auto"/>
              <w:left w:val="single" w:sz="4" w:space="0" w:color="auto"/>
              <w:bottom w:val="single" w:sz="4" w:space="0" w:color="auto"/>
              <w:right w:val="single" w:sz="4" w:space="0" w:color="auto"/>
            </w:tcBorders>
          </w:tcPr>
          <w:p w14:paraId="0FB16352" w14:textId="77777777" w:rsidR="00323051" w:rsidRPr="00323051" w:rsidRDefault="00323051" w:rsidP="00323051">
            <w:pPr>
              <w:rPr>
                <w:sz w:val="18"/>
                <w:szCs w:val="18"/>
                <w:lang w:val="en-GB" w:bidi="th-TH"/>
              </w:rPr>
            </w:pPr>
            <w:r w:rsidRPr="00323051">
              <w:rPr>
                <w:sz w:val="18"/>
                <w:szCs w:val="18"/>
                <w:lang w:val="en-GB" w:bidi="th-TH"/>
              </w:rPr>
              <w:t>1.2.4 Established mechanism for the monitoring of management, ecological and socio-economic indicators at 82 sites</w:t>
            </w:r>
          </w:p>
        </w:tc>
        <w:tc>
          <w:tcPr>
            <w:tcW w:w="2024" w:type="dxa"/>
            <w:tcBorders>
              <w:top w:val="single" w:sz="4" w:space="0" w:color="auto"/>
              <w:left w:val="single" w:sz="4" w:space="0" w:color="auto"/>
              <w:bottom w:val="single" w:sz="4" w:space="0" w:color="auto"/>
              <w:right w:val="single" w:sz="4" w:space="0" w:color="auto"/>
            </w:tcBorders>
          </w:tcPr>
          <w:p w14:paraId="233BFA90" w14:textId="77777777" w:rsidR="00323051" w:rsidRPr="00323051" w:rsidRDefault="00323051" w:rsidP="00323051">
            <w:pPr>
              <w:rPr>
                <w:sz w:val="18"/>
                <w:szCs w:val="18"/>
                <w:lang w:val="en-GB" w:bidi="th-TH"/>
              </w:rPr>
            </w:pPr>
            <w:r w:rsidRPr="00323051">
              <w:rPr>
                <w:sz w:val="18"/>
                <w:szCs w:val="18"/>
                <w:lang w:val="en-GB" w:bidi="th-TH"/>
              </w:rPr>
              <w:t>Annual results reports on coral reef management at priority sites</w:t>
            </w:r>
          </w:p>
        </w:tc>
        <w:tc>
          <w:tcPr>
            <w:tcW w:w="2029" w:type="dxa"/>
            <w:tcBorders>
              <w:top w:val="single" w:sz="4" w:space="0" w:color="auto"/>
              <w:left w:val="single" w:sz="4" w:space="0" w:color="auto"/>
              <w:bottom w:val="single" w:sz="4" w:space="0" w:color="auto"/>
              <w:right w:val="single" w:sz="4" w:space="0" w:color="auto"/>
            </w:tcBorders>
          </w:tcPr>
          <w:p w14:paraId="4F081B83" w14:textId="77777777" w:rsidR="00323051" w:rsidRPr="00323051" w:rsidRDefault="00323051" w:rsidP="00323051">
            <w:pPr>
              <w:rPr>
                <w:sz w:val="18"/>
                <w:szCs w:val="18"/>
                <w:lang w:val="en-GB" w:bidi="th-TH"/>
              </w:rPr>
            </w:pPr>
            <w:r w:rsidRPr="00323051">
              <w:rPr>
                <w:sz w:val="18"/>
                <w:szCs w:val="18"/>
                <w:lang w:val="en-GB" w:bidi="th-TH"/>
              </w:rPr>
              <w:t>Capacity of provincial and local level resource managers to collate nationally and regionally comparable information and data</w:t>
            </w:r>
          </w:p>
        </w:tc>
      </w:tr>
      <w:tr w:rsidR="00323051" w:rsidRPr="00323051" w14:paraId="5DE6701A" w14:textId="77777777" w:rsidTr="004B053A">
        <w:trPr>
          <w:trHeight w:val="517"/>
        </w:trPr>
        <w:tc>
          <w:tcPr>
            <w:tcW w:w="0" w:type="auto"/>
            <w:vMerge/>
            <w:tcBorders>
              <w:left w:val="single" w:sz="4" w:space="0" w:color="auto"/>
              <w:right w:val="single" w:sz="4" w:space="0" w:color="auto"/>
            </w:tcBorders>
            <w:vAlign w:val="center"/>
          </w:tcPr>
          <w:p w14:paraId="764471F5" w14:textId="77777777" w:rsidR="00323051" w:rsidRPr="00323051" w:rsidRDefault="00323051" w:rsidP="00323051">
            <w:pPr>
              <w:rPr>
                <w:sz w:val="18"/>
                <w:szCs w:val="18"/>
                <w:lang w:val="en-GB" w:bidi="th-TH"/>
              </w:rPr>
            </w:pPr>
          </w:p>
        </w:tc>
        <w:tc>
          <w:tcPr>
            <w:tcW w:w="2025" w:type="dxa"/>
            <w:vMerge w:val="restart"/>
            <w:tcBorders>
              <w:top w:val="single" w:sz="4" w:space="0" w:color="auto"/>
              <w:left w:val="single" w:sz="4" w:space="0" w:color="auto"/>
              <w:right w:val="single" w:sz="4" w:space="0" w:color="auto"/>
            </w:tcBorders>
          </w:tcPr>
          <w:p w14:paraId="3AD4C136" w14:textId="77777777" w:rsidR="00323051" w:rsidRPr="00323051" w:rsidRDefault="00323051" w:rsidP="00323051">
            <w:pPr>
              <w:rPr>
                <w:sz w:val="18"/>
                <w:szCs w:val="18"/>
                <w:lang w:val="en-GB" w:bidi="th-TH"/>
              </w:rPr>
            </w:pPr>
            <w:r w:rsidRPr="00323051">
              <w:rPr>
                <w:sz w:val="18"/>
                <w:szCs w:val="18"/>
                <w:lang w:val="en-GB" w:bidi="th-TH"/>
              </w:rPr>
              <w:t>1.3  Conservation, management and sustainable use of 25,900 ha of known seagrass area in the South China Sea by Yr 5</w:t>
            </w:r>
          </w:p>
        </w:tc>
        <w:tc>
          <w:tcPr>
            <w:tcW w:w="2024" w:type="dxa"/>
            <w:tcBorders>
              <w:top w:val="single" w:sz="4" w:space="0" w:color="auto"/>
              <w:left w:val="single" w:sz="4" w:space="0" w:color="auto"/>
              <w:bottom w:val="single" w:sz="4" w:space="0" w:color="auto"/>
              <w:right w:val="single" w:sz="4" w:space="0" w:color="auto"/>
            </w:tcBorders>
          </w:tcPr>
          <w:p w14:paraId="0F04FC2D" w14:textId="77777777" w:rsidR="00323051" w:rsidRPr="00323051" w:rsidRDefault="00323051" w:rsidP="00323051">
            <w:pPr>
              <w:rPr>
                <w:sz w:val="18"/>
                <w:szCs w:val="18"/>
                <w:lang w:val="en-GB" w:bidi="th-TH"/>
              </w:rPr>
            </w:pPr>
            <w:r w:rsidRPr="00323051">
              <w:rPr>
                <w:sz w:val="18"/>
                <w:szCs w:val="18"/>
                <w:lang w:val="en-GB" w:bidi="th-TH"/>
              </w:rPr>
              <w:t>Number of sites under sustainable management</w:t>
            </w:r>
          </w:p>
          <w:p w14:paraId="4D4B0FBB" w14:textId="77777777" w:rsidR="00323051" w:rsidRPr="00323051" w:rsidRDefault="00323051" w:rsidP="00323051">
            <w:pPr>
              <w:rPr>
                <w:sz w:val="18"/>
                <w:szCs w:val="18"/>
                <w:lang w:val="en-GB" w:bidi="th-TH"/>
              </w:rPr>
            </w:pPr>
          </w:p>
          <w:p w14:paraId="53A75A6A" w14:textId="77777777" w:rsidR="00323051" w:rsidRPr="00323051" w:rsidRDefault="00323051" w:rsidP="00323051">
            <w:pPr>
              <w:rPr>
                <w:sz w:val="18"/>
                <w:szCs w:val="18"/>
                <w:lang w:val="en-GB" w:bidi="th-TH"/>
              </w:rPr>
            </w:pPr>
            <w:r w:rsidRPr="00323051">
              <w:rPr>
                <w:sz w:val="18"/>
                <w:szCs w:val="18"/>
                <w:lang w:val="en-GB" w:bidi="th-TH"/>
              </w:rPr>
              <w:t>Number of seagrass sites for which management regulations exist</w:t>
            </w:r>
          </w:p>
        </w:tc>
        <w:tc>
          <w:tcPr>
            <w:tcW w:w="2024" w:type="dxa"/>
            <w:tcBorders>
              <w:top w:val="single" w:sz="4" w:space="0" w:color="auto"/>
              <w:left w:val="single" w:sz="4" w:space="0" w:color="auto"/>
              <w:bottom w:val="single" w:sz="4" w:space="0" w:color="auto"/>
              <w:right w:val="single" w:sz="4" w:space="0" w:color="auto"/>
            </w:tcBorders>
          </w:tcPr>
          <w:p w14:paraId="56447A69" w14:textId="77777777" w:rsidR="00323051" w:rsidRPr="00323051" w:rsidRDefault="00323051" w:rsidP="00323051">
            <w:pPr>
              <w:rPr>
                <w:sz w:val="18"/>
                <w:szCs w:val="18"/>
                <w:lang w:val="en-GB" w:bidi="th-TH"/>
              </w:rPr>
            </w:pPr>
            <w:r w:rsidRPr="00323051">
              <w:rPr>
                <w:sz w:val="18"/>
                <w:szCs w:val="18"/>
                <w:lang w:val="en-GB" w:bidi="th-TH"/>
              </w:rPr>
              <w:t xml:space="preserve">Majority of seagrass areas in the SCS are unmanaged, or managed ineffectively, due to lack of enabling environment for zoning/regulation </w:t>
            </w:r>
          </w:p>
        </w:tc>
        <w:tc>
          <w:tcPr>
            <w:tcW w:w="2024" w:type="dxa"/>
            <w:tcBorders>
              <w:top w:val="single" w:sz="4" w:space="0" w:color="auto"/>
              <w:left w:val="single" w:sz="4" w:space="0" w:color="auto"/>
              <w:bottom w:val="single" w:sz="4" w:space="0" w:color="auto"/>
              <w:right w:val="single" w:sz="4" w:space="0" w:color="auto"/>
            </w:tcBorders>
          </w:tcPr>
          <w:p w14:paraId="1C18E92F" w14:textId="77777777" w:rsidR="00323051" w:rsidRPr="00323051" w:rsidRDefault="00323051" w:rsidP="00323051">
            <w:pPr>
              <w:rPr>
                <w:sz w:val="18"/>
                <w:szCs w:val="18"/>
                <w:lang w:val="en-GB" w:bidi="th-TH"/>
              </w:rPr>
            </w:pPr>
            <w:r w:rsidRPr="00323051">
              <w:rPr>
                <w:sz w:val="18"/>
                <w:szCs w:val="18"/>
                <w:lang w:val="en-GB" w:bidi="th-TH"/>
              </w:rPr>
              <w:t>1.3.1 Twenty-one seagrass areas totalling 25,900 ha under sustainable management with supporting laws and regulations</w:t>
            </w:r>
          </w:p>
        </w:tc>
        <w:tc>
          <w:tcPr>
            <w:tcW w:w="2024" w:type="dxa"/>
            <w:tcBorders>
              <w:top w:val="single" w:sz="4" w:space="0" w:color="auto"/>
              <w:left w:val="single" w:sz="4" w:space="0" w:color="auto"/>
              <w:bottom w:val="single" w:sz="4" w:space="0" w:color="auto"/>
              <w:right w:val="single" w:sz="4" w:space="0" w:color="auto"/>
            </w:tcBorders>
          </w:tcPr>
          <w:p w14:paraId="02B67E27" w14:textId="77777777" w:rsidR="00323051" w:rsidRPr="00323051" w:rsidRDefault="00323051" w:rsidP="00323051">
            <w:pPr>
              <w:rPr>
                <w:sz w:val="18"/>
                <w:szCs w:val="18"/>
                <w:lang w:val="en-GB" w:bidi="th-TH"/>
              </w:rPr>
            </w:pPr>
            <w:r w:rsidRPr="00323051">
              <w:rPr>
                <w:sz w:val="18"/>
                <w:szCs w:val="18"/>
                <w:lang w:val="en-GB" w:bidi="th-TH"/>
              </w:rPr>
              <w:t>Annual country reports on seagrass  mgmt</w:t>
            </w:r>
          </w:p>
          <w:p w14:paraId="2E125BFC" w14:textId="77777777" w:rsidR="00323051" w:rsidRPr="00323051" w:rsidRDefault="00323051" w:rsidP="00323051">
            <w:pPr>
              <w:rPr>
                <w:sz w:val="18"/>
                <w:szCs w:val="18"/>
                <w:lang w:val="en-GB" w:bidi="th-TH"/>
              </w:rPr>
            </w:pPr>
          </w:p>
          <w:p w14:paraId="115FA6C6" w14:textId="77777777" w:rsidR="00323051" w:rsidRPr="00323051" w:rsidRDefault="00323051" w:rsidP="00323051">
            <w:pPr>
              <w:rPr>
                <w:sz w:val="18"/>
                <w:szCs w:val="18"/>
                <w:lang w:val="en-GB" w:bidi="th-TH"/>
              </w:rPr>
            </w:pPr>
            <w:r w:rsidRPr="00323051">
              <w:rPr>
                <w:sz w:val="18"/>
                <w:szCs w:val="18"/>
                <w:lang w:val="en-GB" w:bidi="th-TH"/>
              </w:rPr>
              <w:t>Laws and regulations enacted for seagrass management</w:t>
            </w:r>
          </w:p>
        </w:tc>
        <w:tc>
          <w:tcPr>
            <w:tcW w:w="2029" w:type="dxa"/>
            <w:tcBorders>
              <w:top w:val="single" w:sz="4" w:space="0" w:color="auto"/>
              <w:left w:val="single" w:sz="4" w:space="0" w:color="auto"/>
              <w:bottom w:val="single" w:sz="4" w:space="0" w:color="auto"/>
              <w:right w:val="single" w:sz="4" w:space="0" w:color="auto"/>
            </w:tcBorders>
          </w:tcPr>
          <w:p w14:paraId="1D8DA457" w14:textId="77777777" w:rsidR="00323051" w:rsidRPr="00323051" w:rsidRDefault="00323051" w:rsidP="00323051">
            <w:pPr>
              <w:rPr>
                <w:sz w:val="18"/>
                <w:szCs w:val="18"/>
                <w:lang w:val="en-GB" w:bidi="th-TH"/>
              </w:rPr>
            </w:pPr>
            <w:r w:rsidRPr="00323051">
              <w:rPr>
                <w:sz w:val="18"/>
                <w:szCs w:val="18"/>
                <w:lang w:val="en-GB" w:bidi="th-TH"/>
              </w:rPr>
              <w:t>Central and local government commitment to enact laws for seagrass management in light of development pressures</w:t>
            </w:r>
          </w:p>
        </w:tc>
      </w:tr>
      <w:tr w:rsidR="00323051" w:rsidRPr="00323051" w14:paraId="3A3C5DD7" w14:textId="77777777" w:rsidTr="004B053A">
        <w:trPr>
          <w:trHeight w:val="517"/>
        </w:trPr>
        <w:tc>
          <w:tcPr>
            <w:tcW w:w="0" w:type="auto"/>
            <w:vMerge/>
            <w:tcBorders>
              <w:left w:val="single" w:sz="4" w:space="0" w:color="auto"/>
              <w:right w:val="single" w:sz="4" w:space="0" w:color="auto"/>
            </w:tcBorders>
            <w:vAlign w:val="center"/>
          </w:tcPr>
          <w:p w14:paraId="6C676EC2"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tcPr>
          <w:p w14:paraId="5710F618"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40BDED08" w14:textId="77777777" w:rsidR="00323051" w:rsidRPr="00323051" w:rsidRDefault="00323051" w:rsidP="00323051">
            <w:pPr>
              <w:rPr>
                <w:sz w:val="18"/>
                <w:szCs w:val="18"/>
                <w:lang w:val="en-GB" w:bidi="th-TH"/>
              </w:rPr>
            </w:pPr>
            <w:r w:rsidRPr="00323051">
              <w:rPr>
                <w:sz w:val="18"/>
                <w:szCs w:val="18"/>
                <w:lang w:val="en-GB" w:bidi="th-TH"/>
              </w:rPr>
              <w:t xml:space="preserve">Number of MPA management plans containing seagrass-related management actions </w:t>
            </w:r>
          </w:p>
        </w:tc>
        <w:tc>
          <w:tcPr>
            <w:tcW w:w="2024" w:type="dxa"/>
            <w:tcBorders>
              <w:top w:val="single" w:sz="4" w:space="0" w:color="auto"/>
              <w:left w:val="single" w:sz="4" w:space="0" w:color="auto"/>
              <w:bottom w:val="single" w:sz="4" w:space="0" w:color="auto"/>
              <w:right w:val="single" w:sz="4" w:space="0" w:color="auto"/>
            </w:tcBorders>
          </w:tcPr>
          <w:p w14:paraId="513B1E7A" w14:textId="77777777" w:rsidR="00323051" w:rsidRPr="00323051" w:rsidRDefault="00323051" w:rsidP="00323051">
            <w:pPr>
              <w:rPr>
                <w:sz w:val="18"/>
                <w:szCs w:val="18"/>
                <w:lang w:val="en-GB" w:bidi="th-TH"/>
              </w:rPr>
            </w:pPr>
            <w:r w:rsidRPr="00323051">
              <w:rPr>
                <w:sz w:val="18"/>
                <w:szCs w:val="18"/>
                <w:lang w:val="en-GB" w:bidi="th-TH"/>
              </w:rPr>
              <w:t>Sustainable use and management of seagrass and related resources is rarely addressed in management plans for MPAs in the SCS</w:t>
            </w:r>
          </w:p>
        </w:tc>
        <w:tc>
          <w:tcPr>
            <w:tcW w:w="2024" w:type="dxa"/>
            <w:tcBorders>
              <w:top w:val="single" w:sz="4" w:space="0" w:color="auto"/>
              <w:left w:val="single" w:sz="4" w:space="0" w:color="auto"/>
              <w:bottom w:val="single" w:sz="4" w:space="0" w:color="auto"/>
              <w:right w:val="single" w:sz="4" w:space="0" w:color="auto"/>
            </w:tcBorders>
          </w:tcPr>
          <w:p w14:paraId="640D0E9A" w14:textId="77777777" w:rsidR="00323051" w:rsidRPr="00323051" w:rsidRDefault="00323051" w:rsidP="00323051">
            <w:pPr>
              <w:rPr>
                <w:sz w:val="18"/>
                <w:szCs w:val="18"/>
                <w:lang w:val="en-GB" w:bidi="th-TH"/>
              </w:rPr>
            </w:pPr>
            <w:r w:rsidRPr="00323051">
              <w:rPr>
                <w:sz w:val="18"/>
                <w:szCs w:val="18"/>
                <w:lang w:val="en-GB" w:bidi="th-TH"/>
              </w:rPr>
              <w:t>1.3.2 Amended management plans for 7 existing MPAs with significant seagrass areas, to include specific seagrass-related management actions</w:t>
            </w:r>
          </w:p>
        </w:tc>
        <w:tc>
          <w:tcPr>
            <w:tcW w:w="2024" w:type="dxa"/>
            <w:tcBorders>
              <w:top w:val="single" w:sz="4" w:space="0" w:color="auto"/>
              <w:left w:val="single" w:sz="4" w:space="0" w:color="auto"/>
              <w:bottom w:val="single" w:sz="4" w:space="0" w:color="auto"/>
              <w:right w:val="single" w:sz="4" w:space="0" w:color="auto"/>
            </w:tcBorders>
          </w:tcPr>
          <w:p w14:paraId="63F61371" w14:textId="77777777" w:rsidR="00323051" w:rsidRPr="00323051" w:rsidRDefault="00323051" w:rsidP="00323051">
            <w:pPr>
              <w:rPr>
                <w:sz w:val="18"/>
                <w:szCs w:val="18"/>
                <w:lang w:val="en-GB" w:bidi="th-TH"/>
              </w:rPr>
            </w:pPr>
            <w:r w:rsidRPr="00323051">
              <w:rPr>
                <w:sz w:val="18"/>
                <w:szCs w:val="18"/>
                <w:lang w:val="en-GB" w:bidi="th-TH"/>
              </w:rPr>
              <w:t>Amended MPA management plans</w:t>
            </w:r>
          </w:p>
        </w:tc>
        <w:tc>
          <w:tcPr>
            <w:tcW w:w="2029" w:type="dxa"/>
            <w:tcBorders>
              <w:top w:val="single" w:sz="4" w:space="0" w:color="auto"/>
              <w:left w:val="single" w:sz="4" w:space="0" w:color="auto"/>
              <w:bottom w:val="single" w:sz="4" w:space="0" w:color="auto"/>
              <w:right w:val="single" w:sz="4" w:space="0" w:color="auto"/>
            </w:tcBorders>
          </w:tcPr>
          <w:p w14:paraId="7254CCA9" w14:textId="77777777" w:rsidR="00323051" w:rsidRPr="00323051" w:rsidRDefault="00323051" w:rsidP="00323051">
            <w:pPr>
              <w:rPr>
                <w:sz w:val="18"/>
                <w:szCs w:val="18"/>
                <w:lang w:val="en-GB" w:bidi="th-TH"/>
              </w:rPr>
            </w:pPr>
            <w:r w:rsidRPr="00323051">
              <w:rPr>
                <w:sz w:val="18"/>
                <w:szCs w:val="18"/>
                <w:lang w:val="en-GB" w:bidi="th-TH"/>
              </w:rPr>
              <w:t>Adequate local cooperation, as well as satisfaction with existing MPA management, to agree priority seagrass management actions</w:t>
            </w:r>
          </w:p>
        </w:tc>
      </w:tr>
      <w:tr w:rsidR="00323051" w:rsidRPr="00323051" w14:paraId="55CC1173" w14:textId="77777777" w:rsidTr="004B053A">
        <w:trPr>
          <w:trHeight w:val="517"/>
        </w:trPr>
        <w:tc>
          <w:tcPr>
            <w:tcW w:w="0" w:type="auto"/>
            <w:vMerge/>
            <w:tcBorders>
              <w:left w:val="single" w:sz="4" w:space="0" w:color="auto"/>
              <w:right w:val="single" w:sz="4" w:space="0" w:color="auto"/>
            </w:tcBorders>
            <w:vAlign w:val="center"/>
          </w:tcPr>
          <w:p w14:paraId="38E8D10E"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tcPr>
          <w:p w14:paraId="56A8D8A8"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268C8551" w14:textId="77777777" w:rsidR="00323051" w:rsidRPr="00323051" w:rsidRDefault="00323051" w:rsidP="00323051">
            <w:pPr>
              <w:rPr>
                <w:sz w:val="18"/>
                <w:szCs w:val="18"/>
                <w:lang w:val="en-GB" w:bidi="th-TH"/>
              </w:rPr>
            </w:pPr>
            <w:r w:rsidRPr="00323051">
              <w:rPr>
                <w:sz w:val="18"/>
                <w:szCs w:val="18"/>
                <w:lang w:val="en-GB" w:bidi="th-TH"/>
              </w:rPr>
              <w:t>Number of newly established MPAs focused on seagrass management</w:t>
            </w:r>
          </w:p>
        </w:tc>
        <w:tc>
          <w:tcPr>
            <w:tcW w:w="2024" w:type="dxa"/>
            <w:tcBorders>
              <w:top w:val="single" w:sz="4" w:space="0" w:color="auto"/>
              <w:left w:val="single" w:sz="4" w:space="0" w:color="auto"/>
              <w:bottom w:val="single" w:sz="4" w:space="0" w:color="auto"/>
              <w:right w:val="single" w:sz="4" w:space="0" w:color="auto"/>
            </w:tcBorders>
          </w:tcPr>
          <w:p w14:paraId="77E3378F" w14:textId="77777777" w:rsidR="00323051" w:rsidRPr="00323051" w:rsidRDefault="00323051" w:rsidP="00323051">
            <w:pPr>
              <w:rPr>
                <w:sz w:val="18"/>
                <w:szCs w:val="18"/>
                <w:lang w:val="en-GB" w:bidi="th-TH"/>
              </w:rPr>
            </w:pPr>
            <w:r w:rsidRPr="00323051">
              <w:rPr>
                <w:sz w:val="18"/>
                <w:szCs w:val="18"/>
                <w:lang w:val="en-GB" w:bidi="th-TH"/>
              </w:rPr>
              <w:t>MPA management in SCS predominantly focuses on strict protection of coral reef areas</w:t>
            </w:r>
          </w:p>
        </w:tc>
        <w:tc>
          <w:tcPr>
            <w:tcW w:w="2024" w:type="dxa"/>
            <w:tcBorders>
              <w:top w:val="single" w:sz="4" w:space="0" w:color="auto"/>
              <w:left w:val="single" w:sz="4" w:space="0" w:color="auto"/>
              <w:bottom w:val="single" w:sz="4" w:space="0" w:color="auto"/>
              <w:right w:val="single" w:sz="4" w:space="0" w:color="auto"/>
            </w:tcBorders>
          </w:tcPr>
          <w:p w14:paraId="62D75F8F" w14:textId="77777777" w:rsidR="00323051" w:rsidRPr="00323051" w:rsidRDefault="00323051" w:rsidP="00323051">
            <w:pPr>
              <w:rPr>
                <w:sz w:val="18"/>
                <w:szCs w:val="18"/>
                <w:lang w:val="en-GB" w:bidi="th-TH"/>
              </w:rPr>
            </w:pPr>
            <w:r w:rsidRPr="00323051">
              <w:rPr>
                <w:sz w:val="18"/>
                <w:szCs w:val="18"/>
                <w:lang w:val="en-GB" w:bidi="th-TH"/>
              </w:rPr>
              <w:t xml:space="preserve">1.3.3 Designation of 7 new Marine Protected Areas focusing on seagrass areas </w:t>
            </w:r>
          </w:p>
        </w:tc>
        <w:tc>
          <w:tcPr>
            <w:tcW w:w="2024" w:type="dxa"/>
            <w:tcBorders>
              <w:top w:val="single" w:sz="4" w:space="0" w:color="auto"/>
              <w:left w:val="single" w:sz="4" w:space="0" w:color="auto"/>
              <w:bottom w:val="single" w:sz="4" w:space="0" w:color="auto"/>
              <w:right w:val="single" w:sz="4" w:space="0" w:color="auto"/>
            </w:tcBorders>
          </w:tcPr>
          <w:p w14:paraId="7B79DF77" w14:textId="77777777" w:rsidR="00323051" w:rsidRPr="00323051" w:rsidRDefault="00323051" w:rsidP="00323051">
            <w:pPr>
              <w:rPr>
                <w:sz w:val="18"/>
                <w:szCs w:val="18"/>
                <w:lang w:val="en-GB" w:bidi="th-TH"/>
              </w:rPr>
            </w:pPr>
            <w:r w:rsidRPr="00323051">
              <w:rPr>
                <w:sz w:val="18"/>
                <w:szCs w:val="18"/>
                <w:lang w:val="en-GB" w:bidi="th-TH"/>
              </w:rPr>
              <w:t xml:space="preserve">Official proclamations, executive orders, and ordinances establishing MPAs for significant seagrass sites </w:t>
            </w:r>
          </w:p>
        </w:tc>
        <w:tc>
          <w:tcPr>
            <w:tcW w:w="2029" w:type="dxa"/>
            <w:tcBorders>
              <w:top w:val="single" w:sz="4" w:space="0" w:color="auto"/>
              <w:left w:val="single" w:sz="4" w:space="0" w:color="auto"/>
              <w:bottom w:val="single" w:sz="4" w:space="0" w:color="auto"/>
              <w:right w:val="single" w:sz="4" w:space="0" w:color="auto"/>
            </w:tcBorders>
          </w:tcPr>
          <w:p w14:paraId="0D7ED55D" w14:textId="77777777" w:rsidR="00323051" w:rsidRPr="00323051" w:rsidRDefault="00323051" w:rsidP="00323051">
            <w:pPr>
              <w:rPr>
                <w:sz w:val="18"/>
                <w:szCs w:val="18"/>
                <w:lang w:val="en-GB" w:bidi="th-TH"/>
              </w:rPr>
            </w:pPr>
            <w:r w:rsidRPr="00323051">
              <w:rPr>
                <w:sz w:val="18"/>
                <w:szCs w:val="18"/>
                <w:lang w:val="en-GB" w:bidi="th-TH"/>
              </w:rPr>
              <w:t>Adequate joint government and community commitment to manage seagrass on a protected area basis</w:t>
            </w:r>
          </w:p>
        </w:tc>
      </w:tr>
      <w:tr w:rsidR="00323051" w:rsidRPr="00323051" w14:paraId="5F1AF6FA" w14:textId="77777777" w:rsidTr="004B053A">
        <w:trPr>
          <w:trHeight w:val="1565"/>
        </w:trPr>
        <w:tc>
          <w:tcPr>
            <w:tcW w:w="0" w:type="auto"/>
            <w:vMerge/>
            <w:tcBorders>
              <w:left w:val="single" w:sz="4" w:space="0" w:color="auto"/>
              <w:right w:val="single" w:sz="4" w:space="0" w:color="auto"/>
            </w:tcBorders>
            <w:vAlign w:val="center"/>
          </w:tcPr>
          <w:p w14:paraId="10C63941" w14:textId="77777777" w:rsidR="00323051" w:rsidRPr="00323051" w:rsidRDefault="00323051" w:rsidP="00323051">
            <w:pPr>
              <w:rPr>
                <w:sz w:val="18"/>
                <w:szCs w:val="18"/>
                <w:lang w:val="en-GB" w:bidi="th-TH"/>
              </w:rPr>
            </w:pPr>
          </w:p>
        </w:tc>
        <w:tc>
          <w:tcPr>
            <w:tcW w:w="2025" w:type="dxa"/>
            <w:vMerge/>
            <w:tcBorders>
              <w:left w:val="single" w:sz="4" w:space="0" w:color="auto"/>
              <w:bottom w:val="single" w:sz="4" w:space="0" w:color="auto"/>
              <w:right w:val="single" w:sz="4" w:space="0" w:color="auto"/>
            </w:tcBorders>
          </w:tcPr>
          <w:p w14:paraId="1F8F293D"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522DCC98" w14:textId="77777777" w:rsidR="00323051" w:rsidRPr="00323051" w:rsidRDefault="00323051" w:rsidP="002C3D28">
            <w:pPr>
              <w:rPr>
                <w:sz w:val="18"/>
                <w:szCs w:val="18"/>
                <w:lang w:val="en-GB" w:bidi="th-TH"/>
              </w:rPr>
            </w:pPr>
            <w:r w:rsidRPr="00323051">
              <w:rPr>
                <w:sz w:val="18"/>
                <w:szCs w:val="18"/>
                <w:lang w:val="en-GB" w:bidi="th-TH"/>
              </w:rPr>
              <w:t xml:space="preserve">Status of mechanism established for monitoring </w:t>
            </w:r>
            <w:r w:rsidR="002C3D28">
              <w:rPr>
                <w:sz w:val="18"/>
                <w:szCs w:val="18"/>
                <w:lang w:val="en-GB" w:bidi="th-TH"/>
              </w:rPr>
              <w:t>seagrass</w:t>
            </w:r>
            <w:r w:rsidRPr="00323051">
              <w:rPr>
                <w:sz w:val="18"/>
                <w:szCs w:val="18"/>
                <w:lang w:val="en-GB" w:bidi="th-TH"/>
              </w:rPr>
              <w:t xml:space="preserve"> management effectiveness and stress reduction</w:t>
            </w:r>
          </w:p>
        </w:tc>
        <w:tc>
          <w:tcPr>
            <w:tcW w:w="2024" w:type="dxa"/>
            <w:tcBorders>
              <w:top w:val="single" w:sz="4" w:space="0" w:color="auto"/>
              <w:left w:val="single" w:sz="4" w:space="0" w:color="auto"/>
              <w:bottom w:val="single" w:sz="4" w:space="0" w:color="auto"/>
              <w:right w:val="single" w:sz="4" w:space="0" w:color="auto"/>
            </w:tcBorders>
          </w:tcPr>
          <w:p w14:paraId="420ECF57" w14:textId="77777777" w:rsidR="00323051" w:rsidRPr="00323051" w:rsidRDefault="00323051" w:rsidP="00323051">
            <w:pPr>
              <w:rPr>
                <w:sz w:val="18"/>
                <w:szCs w:val="18"/>
                <w:lang w:val="en-GB" w:bidi="th-TH"/>
              </w:rPr>
            </w:pPr>
            <w:r w:rsidRPr="00323051">
              <w:rPr>
                <w:sz w:val="18"/>
                <w:szCs w:val="18"/>
                <w:lang w:val="en-GB" w:bidi="th-TH"/>
              </w:rPr>
              <w:t>Management, ecological and environmental, and socio-economic indicator frameworks developed but not yet applied at priority sites</w:t>
            </w:r>
          </w:p>
        </w:tc>
        <w:tc>
          <w:tcPr>
            <w:tcW w:w="2024" w:type="dxa"/>
            <w:tcBorders>
              <w:top w:val="single" w:sz="4" w:space="0" w:color="auto"/>
              <w:left w:val="single" w:sz="4" w:space="0" w:color="auto"/>
              <w:bottom w:val="single" w:sz="4" w:space="0" w:color="auto"/>
              <w:right w:val="single" w:sz="4" w:space="0" w:color="auto"/>
            </w:tcBorders>
          </w:tcPr>
          <w:p w14:paraId="4D351A91" w14:textId="77777777" w:rsidR="00323051" w:rsidRPr="00323051" w:rsidRDefault="00323051" w:rsidP="00323051">
            <w:pPr>
              <w:rPr>
                <w:sz w:val="18"/>
                <w:szCs w:val="18"/>
                <w:lang w:val="en-GB" w:bidi="th-TH"/>
              </w:rPr>
            </w:pPr>
            <w:r w:rsidRPr="00323051">
              <w:rPr>
                <w:sz w:val="18"/>
                <w:szCs w:val="18"/>
                <w:lang w:val="en-GB" w:bidi="th-TH"/>
              </w:rPr>
              <w:t>1.3.4 Established mechanism for monitoring management, ecological and socio-economic indicators at 21 sites</w:t>
            </w:r>
          </w:p>
        </w:tc>
        <w:tc>
          <w:tcPr>
            <w:tcW w:w="2024" w:type="dxa"/>
            <w:tcBorders>
              <w:top w:val="single" w:sz="4" w:space="0" w:color="auto"/>
              <w:left w:val="single" w:sz="4" w:space="0" w:color="auto"/>
              <w:bottom w:val="single" w:sz="4" w:space="0" w:color="auto"/>
              <w:right w:val="single" w:sz="4" w:space="0" w:color="auto"/>
            </w:tcBorders>
          </w:tcPr>
          <w:p w14:paraId="0948FDFA" w14:textId="77777777" w:rsidR="00323051" w:rsidRPr="00323051" w:rsidRDefault="00323051" w:rsidP="00323051">
            <w:pPr>
              <w:rPr>
                <w:sz w:val="18"/>
                <w:szCs w:val="18"/>
                <w:lang w:val="en-GB" w:bidi="th-TH"/>
              </w:rPr>
            </w:pPr>
            <w:r w:rsidRPr="00323051">
              <w:rPr>
                <w:sz w:val="18"/>
                <w:szCs w:val="18"/>
                <w:lang w:val="en-GB" w:bidi="th-TH"/>
              </w:rPr>
              <w:t>Annual results reports on seagrass management at priority sites</w:t>
            </w:r>
          </w:p>
        </w:tc>
        <w:tc>
          <w:tcPr>
            <w:tcW w:w="2029" w:type="dxa"/>
            <w:tcBorders>
              <w:top w:val="single" w:sz="4" w:space="0" w:color="auto"/>
              <w:left w:val="single" w:sz="4" w:space="0" w:color="auto"/>
              <w:bottom w:val="single" w:sz="4" w:space="0" w:color="auto"/>
              <w:right w:val="single" w:sz="4" w:space="0" w:color="auto"/>
            </w:tcBorders>
          </w:tcPr>
          <w:p w14:paraId="5044165E" w14:textId="77777777" w:rsidR="00323051" w:rsidRPr="00323051" w:rsidRDefault="00323051" w:rsidP="00323051">
            <w:pPr>
              <w:rPr>
                <w:sz w:val="18"/>
                <w:szCs w:val="18"/>
                <w:lang w:val="en-GB" w:bidi="th-TH"/>
              </w:rPr>
            </w:pPr>
            <w:r w:rsidRPr="00323051">
              <w:rPr>
                <w:sz w:val="18"/>
                <w:szCs w:val="18"/>
                <w:lang w:val="en-GB" w:bidi="th-TH"/>
              </w:rPr>
              <w:t>Capacity of provincial and local level resource managers to collate nationally and regionally comparable information and data</w:t>
            </w:r>
          </w:p>
        </w:tc>
      </w:tr>
      <w:tr w:rsidR="00323051" w:rsidRPr="00323051" w14:paraId="1E0D9C1D" w14:textId="77777777" w:rsidTr="004B053A">
        <w:trPr>
          <w:trHeight w:val="517"/>
        </w:trPr>
        <w:tc>
          <w:tcPr>
            <w:tcW w:w="0" w:type="auto"/>
            <w:vMerge/>
            <w:tcBorders>
              <w:left w:val="single" w:sz="4" w:space="0" w:color="auto"/>
              <w:right w:val="single" w:sz="4" w:space="0" w:color="auto"/>
            </w:tcBorders>
            <w:vAlign w:val="center"/>
          </w:tcPr>
          <w:p w14:paraId="2881C511" w14:textId="77777777" w:rsidR="00323051" w:rsidRPr="00323051" w:rsidRDefault="00323051" w:rsidP="00323051">
            <w:pPr>
              <w:rPr>
                <w:sz w:val="18"/>
                <w:szCs w:val="18"/>
                <w:lang w:val="en-GB" w:bidi="th-TH"/>
              </w:rPr>
            </w:pPr>
          </w:p>
        </w:tc>
        <w:tc>
          <w:tcPr>
            <w:tcW w:w="2025" w:type="dxa"/>
            <w:vMerge w:val="restart"/>
            <w:tcBorders>
              <w:top w:val="single" w:sz="4" w:space="0" w:color="auto"/>
              <w:left w:val="single" w:sz="4" w:space="0" w:color="auto"/>
              <w:right w:val="single" w:sz="4" w:space="0" w:color="auto"/>
            </w:tcBorders>
          </w:tcPr>
          <w:p w14:paraId="1571D467" w14:textId="77777777" w:rsidR="00323051" w:rsidRPr="00323051" w:rsidRDefault="00323051" w:rsidP="00323051">
            <w:pPr>
              <w:rPr>
                <w:sz w:val="18"/>
                <w:szCs w:val="18"/>
                <w:lang w:val="en-GB" w:bidi="th-TH"/>
              </w:rPr>
            </w:pPr>
            <w:r w:rsidRPr="00323051">
              <w:rPr>
                <w:sz w:val="18"/>
                <w:szCs w:val="18"/>
                <w:lang w:val="en-GB" w:bidi="th-TH"/>
              </w:rPr>
              <w:t>1.4 Integrated management of 783,900 ha of coastal wetland at 19 sites, including habitat restoration and protection strengthened at priority locations</w:t>
            </w:r>
          </w:p>
        </w:tc>
        <w:tc>
          <w:tcPr>
            <w:tcW w:w="2024" w:type="dxa"/>
            <w:tcBorders>
              <w:top w:val="single" w:sz="4" w:space="0" w:color="auto"/>
              <w:left w:val="single" w:sz="4" w:space="0" w:color="auto"/>
              <w:bottom w:val="single" w:sz="4" w:space="0" w:color="auto"/>
              <w:right w:val="single" w:sz="4" w:space="0" w:color="auto"/>
            </w:tcBorders>
          </w:tcPr>
          <w:p w14:paraId="4AEE21E0" w14:textId="77777777" w:rsidR="00323051" w:rsidRPr="00323051" w:rsidRDefault="00323051" w:rsidP="00323051">
            <w:pPr>
              <w:rPr>
                <w:sz w:val="18"/>
                <w:szCs w:val="18"/>
                <w:lang w:val="en-GB" w:bidi="th-TH"/>
              </w:rPr>
            </w:pPr>
            <w:r w:rsidRPr="00323051">
              <w:rPr>
                <w:sz w:val="18"/>
                <w:szCs w:val="18"/>
                <w:lang w:val="en-GB" w:bidi="th-TH"/>
              </w:rPr>
              <w:t xml:space="preserve">Number of integrated management plans developed </w:t>
            </w:r>
          </w:p>
          <w:p w14:paraId="2C965988" w14:textId="77777777" w:rsidR="00323051" w:rsidRPr="00323051" w:rsidRDefault="00323051" w:rsidP="00323051">
            <w:pPr>
              <w:rPr>
                <w:sz w:val="18"/>
                <w:szCs w:val="18"/>
                <w:lang w:val="en-GB" w:bidi="th-TH"/>
              </w:rPr>
            </w:pPr>
          </w:p>
          <w:p w14:paraId="1EF57101" w14:textId="77777777" w:rsidR="00323051" w:rsidRPr="00323051" w:rsidRDefault="00323051" w:rsidP="00323051">
            <w:pPr>
              <w:rPr>
                <w:sz w:val="18"/>
                <w:szCs w:val="18"/>
                <w:lang w:val="en-GB" w:bidi="th-TH"/>
              </w:rPr>
            </w:pPr>
            <w:r w:rsidRPr="00323051">
              <w:rPr>
                <w:sz w:val="18"/>
                <w:szCs w:val="18"/>
                <w:lang w:val="en-GB" w:bidi="th-TH"/>
              </w:rPr>
              <w:t>Total area (ha) of wetland under management plan for sustainable use</w:t>
            </w:r>
          </w:p>
        </w:tc>
        <w:tc>
          <w:tcPr>
            <w:tcW w:w="2024" w:type="dxa"/>
            <w:tcBorders>
              <w:top w:val="single" w:sz="4" w:space="0" w:color="auto"/>
              <w:left w:val="single" w:sz="4" w:space="0" w:color="auto"/>
              <w:bottom w:val="single" w:sz="4" w:space="0" w:color="auto"/>
              <w:right w:val="single" w:sz="4" w:space="0" w:color="auto"/>
            </w:tcBorders>
          </w:tcPr>
          <w:p w14:paraId="48FCE87D" w14:textId="77777777" w:rsidR="00323051" w:rsidRPr="00323051" w:rsidRDefault="00323051" w:rsidP="00323051">
            <w:pPr>
              <w:rPr>
                <w:sz w:val="18"/>
                <w:szCs w:val="18"/>
                <w:lang w:val="en-GB" w:bidi="th-TH"/>
              </w:rPr>
            </w:pPr>
            <w:r w:rsidRPr="00323051">
              <w:rPr>
                <w:sz w:val="18"/>
                <w:szCs w:val="18"/>
                <w:lang w:val="en-GB" w:bidi="th-TH"/>
              </w:rPr>
              <w:t>Population growth, and urbanisation of the coastal fringe, combined with rapid economic growth in the SCS region places tremendous pressure on coastal wetland ecosystems</w:t>
            </w:r>
          </w:p>
        </w:tc>
        <w:tc>
          <w:tcPr>
            <w:tcW w:w="2024" w:type="dxa"/>
            <w:tcBorders>
              <w:top w:val="single" w:sz="4" w:space="0" w:color="auto"/>
              <w:left w:val="single" w:sz="4" w:space="0" w:color="auto"/>
              <w:bottom w:val="single" w:sz="4" w:space="0" w:color="auto"/>
              <w:right w:val="single" w:sz="4" w:space="0" w:color="auto"/>
            </w:tcBorders>
          </w:tcPr>
          <w:p w14:paraId="296FD4EF" w14:textId="77777777" w:rsidR="00323051" w:rsidRPr="00323051" w:rsidRDefault="00323051" w:rsidP="00323051">
            <w:pPr>
              <w:rPr>
                <w:sz w:val="18"/>
                <w:szCs w:val="18"/>
                <w:lang w:val="en-GB" w:bidi="th-TH"/>
              </w:rPr>
            </w:pPr>
            <w:r w:rsidRPr="00323051">
              <w:rPr>
                <w:sz w:val="18"/>
                <w:szCs w:val="18"/>
                <w:lang w:val="en-GB" w:bidi="th-TH"/>
              </w:rPr>
              <w:t>1.4.1 Integrated management plans developed and under implementation for at least 3 lagoons (26,818 ha), 9 estuaries (614,680 ha), 5 tidal flats (96,903 ha), 1 peat swamp (45,700 ha) and 1 non-peat swamp (9,808 ha)</w:t>
            </w:r>
          </w:p>
          <w:p w14:paraId="4248A047" w14:textId="77777777" w:rsidR="00323051" w:rsidRPr="00323051" w:rsidRDefault="00323051" w:rsidP="00323051">
            <w:pPr>
              <w:jc w:val="cente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77399A42" w14:textId="77777777" w:rsidR="00323051" w:rsidRPr="00323051" w:rsidRDefault="00323051" w:rsidP="00323051">
            <w:pPr>
              <w:rPr>
                <w:sz w:val="18"/>
                <w:szCs w:val="18"/>
                <w:lang w:val="en-GB" w:bidi="th-TH"/>
              </w:rPr>
            </w:pPr>
            <w:r w:rsidRPr="00323051">
              <w:rPr>
                <w:sz w:val="18"/>
                <w:szCs w:val="18"/>
                <w:lang w:val="en-GB" w:bidi="th-TH"/>
              </w:rPr>
              <w:t>Adopted integrated management plans</w:t>
            </w:r>
          </w:p>
          <w:p w14:paraId="77DFC757" w14:textId="77777777" w:rsidR="00323051" w:rsidRPr="00323051" w:rsidRDefault="00323051" w:rsidP="00323051">
            <w:pPr>
              <w:rPr>
                <w:sz w:val="18"/>
                <w:szCs w:val="18"/>
                <w:lang w:val="en-GB" w:bidi="th-TH"/>
              </w:rPr>
            </w:pPr>
          </w:p>
          <w:p w14:paraId="5EEF4E10" w14:textId="77777777" w:rsidR="00323051" w:rsidRPr="00323051" w:rsidRDefault="00323051" w:rsidP="00323051">
            <w:pPr>
              <w:rPr>
                <w:sz w:val="18"/>
                <w:szCs w:val="18"/>
                <w:lang w:val="en-GB" w:bidi="th-TH"/>
              </w:rPr>
            </w:pPr>
            <w:r w:rsidRPr="00323051">
              <w:rPr>
                <w:sz w:val="18"/>
                <w:szCs w:val="18"/>
                <w:lang w:val="en-GB" w:bidi="th-TH"/>
              </w:rPr>
              <w:t>Annual implementation reports, including results of environmental stress reduction initiatives</w:t>
            </w:r>
          </w:p>
        </w:tc>
        <w:tc>
          <w:tcPr>
            <w:tcW w:w="2029" w:type="dxa"/>
            <w:tcBorders>
              <w:top w:val="single" w:sz="4" w:space="0" w:color="auto"/>
              <w:left w:val="single" w:sz="4" w:space="0" w:color="auto"/>
              <w:bottom w:val="single" w:sz="4" w:space="0" w:color="auto"/>
              <w:right w:val="single" w:sz="4" w:space="0" w:color="auto"/>
            </w:tcBorders>
          </w:tcPr>
          <w:p w14:paraId="1D92A696" w14:textId="77777777" w:rsidR="00323051" w:rsidRPr="00323051" w:rsidRDefault="00323051" w:rsidP="00323051">
            <w:pPr>
              <w:rPr>
                <w:sz w:val="18"/>
                <w:szCs w:val="18"/>
                <w:lang w:val="en-GB" w:bidi="th-TH"/>
              </w:rPr>
            </w:pPr>
            <w:r w:rsidRPr="00323051">
              <w:rPr>
                <w:sz w:val="18"/>
                <w:szCs w:val="18"/>
                <w:lang w:val="en-GB" w:bidi="th-TH"/>
              </w:rPr>
              <w:t>Adequate local cooperation to agree boundaries and compile and analyse information to identify threats and agree management actions</w:t>
            </w:r>
          </w:p>
        </w:tc>
      </w:tr>
      <w:tr w:rsidR="00323051" w:rsidRPr="00323051" w14:paraId="184A7C8E" w14:textId="77777777" w:rsidTr="004B053A">
        <w:trPr>
          <w:trHeight w:val="517"/>
        </w:trPr>
        <w:tc>
          <w:tcPr>
            <w:tcW w:w="0" w:type="auto"/>
            <w:vMerge/>
            <w:tcBorders>
              <w:left w:val="single" w:sz="4" w:space="0" w:color="auto"/>
              <w:right w:val="single" w:sz="4" w:space="0" w:color="auto"/>
            </w:tcBorders>
            <w:vAlign w:val="center"/>
          </w:tcPr>
          <w:p w14:paraId="0B2AD34A"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tcPr>
          <w:p w14:paraId="04F86DB1"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4994CE6E" w14:textId="77777777" w:rsidR="00323051" w:rsidRPr="00323051" w:rsidRDefault="00323051" w:rsidP="00323051">
            <w:pPr>
              <w:rPr>
                <w:sz w:val="18"/>
                <w:szCs w:val="18"/>
                <w:lang w:val="en-GB" w:bidi="th-TH"/>
              </w:rPr>
            </w:pPr>
            <w:r w:rsidRPr="00323051">
              <w:rPr>
                <w:sz w:val="18"/>
                <w:szCs w:val="18"/>
                <w:lang w:val="en-GB" w:bidi="th-TH"/>
              </w:rPr>
              <w:t>Number of wetlands sites assigned protection status</w:t>
            </w:r>
          </w:p>
        </w:tc>
        <w:tc>
          <w:tcPr>
            <w:tcW w:w="2024" w:type="dxa"/>
            <w:tcBorders>
              <w:top w:val="single" w:sz="4" w:space="0" w:color="auto"/>
              <w:left w:val="single" w:sz="4" w:space="0" w:color="auto"/>
              <w:bottom w:val="single" w:sz="4" w:space="0" w:color="auto"/>
              <w:right w:val="single" w:sz="4" w:space="0" w:color="auto"/>
            </w:tcBorders>
          </w:tcPr>
          <w:p w14:paraId="6CC03577" w14:textId="77777777" w:rsidR="00323051" w:rsidRPr="00323051" w:rsidRDefault="00323051" w:rsidP="00323051">
            <w:pPr>
              <w:rPr>
                <w:sz w:val="18"/>
                <w:szCs w:val="18"/>
                <w:lang w:val="en-GB" w:bidi="th-TH"/>
              </w:rPr>
            </w:pPr>
            <w:r w:rsidRPr="00323051">
              <w:rPr>
                <w:sz w:val="18"/>
                <w:szCs w:val="18"/>
                <w:lang w:val="en-GB" w:bidi="th-TH"/>
              </w:rPr>
              <w:t>The riparian states of SCS face significant pressure to convert wetlands for economic development with little focus on conservation or sustainable use</w:t>
            </w:r>
          </w:p>
        </w:tc>
        <w:tc>
          <w:tcPr>
            <w:tcW w:w="2024" w:type="dxa"/>
            <w:tcBorders>
              <w:top w:val="single" w:sz="4" w:space="0" w:color="auto"/>
              <w:left w:val="single" w:sz="4" w:space="0" w:color="auto"/>
              <w:bottom w:val="single" w:sz="4" w:space="0" w:color="auto"/>
              <w:right w:val="single" w:sz="4" w:space="0" w:color="auto"/>
            </w:tcBorders>
          </w:tcPr>
          <w:p w14:paraId="24CFF877" w14:textId="77777777" w:rsidR="00323051" w:rsidRPr="00323051" w:rsidRDefault="00323051" w:rsidP="00323051">
            <w:pPr>
              <w:rPr>
                <w:sz w:val="18"/>
                <w:szCs w:val="18"/>
                <w:lang w:val="en-GB" w:bidi="th-TH"/>
              </w:rPr>
            </w:pPr>
            <w:r w:rsidRPr="00323051">
              <w:rPr>
                <w:sz w:val="18"/>
                <w:szCs w:val="18"/>
                <w:lang w:val="en-GB" w:bidi="th-TH"/>
              </w:rPr>
              <w:t>1.4.2 Declaration of at least 7 wetland areas with protection status (i.e. non-hunting area, nature reserves, protected areas, Ramsar Sites).</w:t>
            </w:r>
          </w:p>
        </w:tc>
        <w:tc>
          <w:tcPr>
            <w:tcW w:w="2024" w:type="dxa"/>
            <w:tcBorders>
              <w:top w:val="single" w:sz="4" w:space="0" w:color="auto"/>
              <w:left w:val="single" w:sz="4" w:space="0" w:color="auto"/>
              <w:bottom w:val="single" w:sz="4" w:space="0" w:color="auto"/>
              <w:right w:val="single" w:sz="4" w:space="0" w:color="auto"/>
            </w:tcBorders>
          </w:tcPr>
          <w:p w14:paraId="597BA5CD" w14:textId="77777777" w:rsidR="00323051" w:rsidRPr="00323051" w:rsidRDefault="00323051" w:rsidP="00323051">
            <w:pPr>
              <w:rPr>
                <w:sz w:val="18"/>
                <w:szCs w:val="18"/>
                <w:lang w:val="en-GB" w:bidi="th-TH"/>
              </w:rPr>
            </w:pPr>
            <w:r w:rsidRPr="00323051">
              <w:rPr>
                <w:sz w:val="18"/>
                <w:szCs w:val="18"/>
                <w:lang w:val="en-GB" w:bidi="th-TH"/>
              </w:rPr>
              <w:t>Official proclamations, executive orders, and ordinances establishing protection status for wetland sites</w:t>
            </w:r>
          </w:p>
        </w:tc>
        <w:tc>
          <w:tcPr>
            <w:tcW w:w="2029" w:type="dxa"/>
            <w:tcBorders>
              <w:top w:val="single" w:sz="4" w:space="0" w:color="auto"/>
              <w:left w:val="single" w:sz="4" w:space="0" w:color="auto"/>
              <w:bottom w:val="single" w:sz="4" w:space="0" w:color="auto"/>
              <w:right w:val="single" w:sz="4" w:space="0" w:color="auto"/>
            </w:tcBorders>
          </w:tcPr>
          <w:p w14:paraId="779488A1" w14:textId="77777777" w:rsidR="00323051" w:rsidRPr="00323051" w:rsidRDefault="00323051" w:rsidP="00323051">
            <w:pPr>
              <w:rPr>
                <w:sz w:val="18"/>
                <w:szCs w:val="18"/>
                <w:lang w:val="en-GB" w:bidi="th-TH"/>
              </w:rPr>
            </w:pPr>
            <w:r w:rsidRPr="00323051">
              <w:rPr>
                <w:sz w:val="18"/>
                <w:szCs w:val="18"/>
                <w:lang w:val="en-GB" w:bidi="th-TH"/>
              </w:rPr>
              <w:t>Development pressures may result in adoption or revision of land-use policies which compromise efforts to conserve priority wetland sites</w:t>
            </w:r>
          </w:p>
        </w:tc>
      </w:tr>
      <w:tr w:rsidR="00323051" w:rsidRPr="00323051" w14:paraId="004CABE3" w14:textId="77777777" w:rsidTr="004B053A">
        <w:trPr>
          <w:trHeight w:val="517"/>
        </w:trPr>
        <w:tc>
          <w:tcPr>
            <w:tcW w:w="0" w:type="auto"/>
            <w:vMerge/>
            <w:tcBorders>
              <w:left w:val="single" w:sz="4" w:space="0" w:color="auto"/>
              <w:right w:val="single" w:sz="4" w:space="0" w:color="auto"/>
            </w:tcBorders>
            <w:vAlign w:val="center"/>
          </w:tcPr>
          <w:p w14:paraId="7C9914FF" w14:textId="77777777" w:rsidR="00323051" w:rsidRPr="00323051" w:rsidRDefault="00323051" w:rsidP="00323051">
            <w:pPr>
              <w:rPr>
                <w:sz w:val="18"/>
                <w:szCs w:val="18"/>
                <w:lang w:val="en-GB" w:bidi="th-TH"/>
              </w:rPr>
            </w:pPr>
          </w:p>
        </w:tc>
        <w:tc>
          <w:tcPr>
            <w:tcW w:w="2025" w:type="dxa"/>
            <w:vMerge/>
            <w:tcBorders>
              <w:left w:val="single" w:sz="4" w:space="0" w:color="auto"/>
              <w:bottom w:val="single" w:sz="4" w:space="0" w:color="auto"/>
              <w:right w:val="single" w:sz="4" w:space="0" w:color="auto"/>
            </w:tcBorders>
          </w:tcPr>
          <w:p w14:paraId="17C76A6F"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584AD819" w14:textId="77777777" w:rsidR="00323051" w:rsidRPr="00323051" w:rsidRDefault="00323051" w:rsidP="00323051">
            <w:pPr>
              <w:rPr>
                <w:sz w:val="18"/>
                <w:szCs w:val="18"/>
                <w:lang w:val="en-GB" w:bidi="th-TH"/>
              </w:rPr>
            </w:pPr>
            <w:r w:rsidRPr="00323051">
              <w:rPr>
                <w:sz w:val="18"/>
                <w:szCs w:val="18"/>
                <w:lang w:val="en-GB" w:bidi="th-TH"/>
              </w:rPr>
              <w:t>Status of mechanism established for monitoring wetland management effectiveness and stress reduction</w:t>
            </w:r>
          </w:p>
        </w:tc>
        <w:tc>
          <w:tcPr>
            <w:tcW w:w="2024" w:type="dxa"/>
            <w:tcBorders>
              <w:top w:val="single" w:sz="4" w:space="0" w:color="auto"/>
              <w:left w:val="single" w:sz="4" w:space="0" w:color="auto"/>
              <w:bottom w:val="single" w:sz="4" w:space="0" w:color="auto"/>
              <w:right w:val="single" w:sz="4" w:space="0" w:color="auto"/>
            </w:tcBorders>
          </w:tcPr>
          <w:p w14:paraId="4A5124A0" w14:textId="77777777" w:rsidR="00323051" w:rsidRPr="00323051" w:rsidRDefault="00323051" w:rsidP="00323051">
            <w:pPr>
              <w:rPr>
                <w:sz w:val="18"/>
                <w:szCs w:val="18"/>
                <w:lang w:val="en-GB" w:bidi="th-TH"/>
              </w:rPr>
            </w:pPr>
            <w:r w:rsidRPr="00323051">
              <w:rPr>
                <w:sz w:val="18"/>
                <w:szCs w:val="18"/>
                <w:lang w:val="en-GB" w:bidi="th-TH"/>
              </w:rPr>
              <w:t>Management, ecological and environmental, and socio-economic indicator frameworks developed but not yet applied at priority sites</w:t>
            </w:r>
          </w:p>
        </w:tc>
        <w:tc>
          <w:tcPr>
            <w:tcW w:w="2024" w:type="dxa"/>
            <w:tcBorders>
              <w:top w:val="single" w:sz="4" w:space="0" w:color="auto"/>
              <w:left w:val="single" w:sz="4" w:space="0" w:color="auto"/>
              <w:bottom w:val="single" w:sz="4" w:space="0" w:color="auto"/>
              <w:right w:val="single" w:sz="4" w:space="0" w:color="auto"/>
            </w:tcBorders>
          </w:tcPr>
          <w:p w14:paraId="25F6FD65" w14:textId="77777777" w:rsidR="00323051" w:rsidRPr="00323051" w:rsidRDefault="00323051" w:rsidP="00323051">
            <w:pPr>
              <w:rPr>
                <w:sz w:val="18"/>
                <w:szCs w:val="18"/>
                <w:lang w:val="en-GB" w:bidi="th-TH"/>
              </w:rPr>
            </w:pPr>
            <w:r w:rsidRPr="00323051">
              <w:rPr>
                <w:sz w:val="18"/>
                <w:szCs w:val="18"/>
                <w:lang w:val="en-GB" w:bidi="th-TH"/>
              </w:rPr>
              <w:t xml:space="preserve">1.4.3 Adoption of a regional estuary monitoring scheme and its national implementation </w:t>
            </w:r>
          </w:p>
          <w:p w14:paraId="0F63DB6B"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04E5558A" w14:textId="77777777" w:rsidR="00323051" w:rsidRPr="00323051" w:rsidRDefault="00323051" w:rsidP="00323051">
            <w:pPr>
              <w:rPr>
                <w:sz w:val="18"/>
                <w:szCs w:val="18"/>
                <w:lang w:val="en-GB" w:bidi="th-TH"/>
              </w:rPr>
            </w:pPr>
            <w:r w:rsidRPr="00323051">
              <w:rPr>
                <w:sz w:val="18"/>
                <w:szCs w:val="18"/>
                <w:lang w:val="en-GB" w:bidi="th-TH"/>
              </w:rPr>
              <w:t>Annual results reports on wetland management at priority sites</w:t>
            </w:r>
          </w:p>
        </w:tc>
        <w:tc>
          <w:tcPr>
            <w:tcW w:w="2029" w:type="dxa"/>
            <w:tcBorders>
              <w:top w:val="single" w:sz="4" w:space="0" w:color="auto"/>
              <w:left w:val="single" w:sz="4" w:space="0" w:color="auto"/>
              <w:bottom w:val="single" w:sz="4" w:space="0" w:color="auto"/>
              <w:right w:val="single" w:sz="4" w:space="0" w:color="auto"/>
            </w:tcBorders>
          </w:tcPr>
          <w:p w14:paraId="6D0F556A" w14:textId="77777777" w:rsidR="00323051" w:rsidRPr="00323051" w:rsidRDefault="00323051" w:rsidP="00323051">
            <w:pPr>
              <w:rPr>
                <w:sz w:val="18"/>
                <w:szCs w:val="18"/>
                <w:lang w:val="en-GB" w:bidi="th-TH"/>
              </w:rPr>
            </w:pPr>
            <w:r w:rsidRPr="00323051">
              <w:rPr>
                <w:sz w:val="18"/>
                <w:szCs w:val="18"/>
                <w:lang w:val="en-GB" w:bidi="th-TH"/>
              </w:rPr>
              <w:t>Capacity of provincial and local level resource managers to collate nationally and regionally comparable information and data</w:t>
            </w:r>
          </w:p>
        </w:tc>
      </w:tr>
      <w:tr w:rsidR="00323051" w:rsidRPr="00323051" w14:paraId="641EEF87" w14:textId="77777777" w:rsidTr="004B053A">
        <w:trPr>
          <w:trHeight w:val="517"/>
        </w:trPr>
        <w:tc>
          <w:tcPr>
            <w:tcW w:w="0" w:type="auto"/>
            <w:vMerge/>
            <w:tcBorders>
              <w:left w:val="single" w:sz="4" w:space="0" w:color="auto"/>
              <w:right w:val="single" w:sz="4" w:space="0" w:color="auto"/>
            </w:tcBorders>
            <w:vAlign w:val="center"/>
          </w:tcPr>
          <w:p w14:paraId="186AD7FE" w14:textId="77777777" w:rsidR="00323051" w:rsidRPr="00323051" w:rsidRDefault="00323051" w:rsidP="00323051">
            <w:pPr>
              <w:rPr>
                <w:sz w:val="18"/>
                <w:szCs w:val="18"/>
                <w:lang w:val="en-GB" w:bidi="th-TH"/>
              </w:rPr>
            </w:pPr>
          </w:p>
        </w:tc>
        <w:tc>
          <w:tcPr>
            <w:tcW w:w="2025" w:type="dxa"/>
            <w:vMerge w:val="restart"/>
            <w:tcBorders>
              <w:top w:val="single" w:sz="4" w:space="0" w:color="auto"/>
              <w:left w:val="single" w:sz="4" w:space="0" w:color="auto"/>
              <w:right w:val="single" w:sz="4" w:space="0" w:color="auto"/>
            </w:tcBorders>
          </w:tcPr>
          <w:p w14:paraId="55ECEB6A" w14:textId="77777777" w:rsidR="00323051" w:rsidRPr="00323051" w:rsidRDefault="00323051" w:rsidP="00323051">
            <w:pPr>
              <w:rPr>
                <w:sz w:val="18"/>
                <w:szCs w:val="18"/>
                <w:lang w:val="en-GB" w:bidi="th-TH"/>
              </w:rPr>
            </w:pPr>
            <w:r w:rsidRPr="00323051">
              <w:rPr>
                <w:sz w:val="18"/>
                <w:szCs w:val="18"/>
                <w:lang w:val="en-GB" w:bidi="th-TH"/>
              </w:rPr>
              <w:t>1.5 National and regional level cooperation in tracking results of SAP actions for coastal habitat management</w:t>
            </w:r>
          </w:p>
        </w:tc>
        <w:tc>
          <w:tcPr>
            <w:tcW w:w="2024" w:type="dxa"/>
            <w:tcBorders>
              <w:top w:val="single" w:sz="4" w:space="0" w:color="auto"/>
              <w:left w:val="single" w:sz="4" w:space="0" w:color="auto"/>
              <w:bottom w:val="single" w:sz="4" w:space="0" w:color="auto"/>
              <w:right w:val="single" w:sz="4" w:space="0" w:color="auto"/>
            </w:tcBorders>
          </w:tcPr>
          <w:p w14:paraId="7D1015EE" w14:textId="77777777" w:rsidR="00323051" w:rsidRPr="00323051" w:rsidRDefault="00323051" w:rsidP="00323051">
            <w:pPr>
              <w:rPr>
                <w:sz w:val="18"/>
                <w:szCs w:val="18"/>
                <w:lang w:val="en-GB" w:bidi="th-TH"/>
              </w:rPr>
            </w:pPr>
            <w:r w:rsidRPr="00323051">
              <w:rPr>
                <w:sz w:val="18"/>
                <w:szCs w:val="18"/>
                <w:lang w:val="en-GB" w:bidi="th-TH"/>
              </w:rPr>
              <w:t>Extent and continuity of participation in regional fora for coastal habitat management</w:t>
            </w:r>
          </w:p>
          <w:p w14:paraId="6D26485D" w14:textId="77777777" w:rsidR="00323051" w:rsidRPr="00323051" w:rsidRDefault="00323051" w:rsidP="00323051">
            <w:pPr>
              <w:rPr>
                <w:sz w:val="18"/>
                <w:szCs w:val="18"/>
                <w:lang w:val="en-GB" w:bidi="th-TH"/>
              </w:rPr>
            </w:pPr>
          </w:p>
          <w:p w14:paraId="70B31031" w14:textId="77777777" w:rsidR="00323051" w:rsidRPr="00323051" w:rsidRDefault="00323051" w:rsidP="00323051">
            <w:pPr>
              <w:rPr>
                <w:sz w:val="18"/>
                <w:szCs w:val="18"/>
                <w:lang w:val="en-GB" w:bidi="th-TH"/>
              </w:rPr>
            </w:pPr>
            <w:r w:rsidRPr="00323051">
              <w:rPr>
                <w:sz w:val="18"/>
                <w:szCs w:val="18"/>
                <w:lang w:val="en-GB" w:bidi="th-TH"/>
              </w:rPr>
              <w:t>Scope and uptake of joint management and planning decisions</w:t>
            </w:r>
          </w:p>
        </w:tc>
        <w:tc>
          <w:tcPr>
            <w:tcW w:w="2024" w:type="dxa"/>
            <w:tcBorders>
              <w:top w:val="single" w:sz="4" w:space="0" w:color="auto"/>
              <w:left w:val="single" w:sz="4" w:space="0" w:color="auto"/>
              <w:bottom w:val="single" w:sz="4" w:space="0" w:color="auto"/>
              <w:right w:val="single" w:sz="4" w:space="0" w:color="auto"/>
            </w:tcBorders>
          </w:tcPr>
          <w:p w14:paraId="2081241C" w14:textId="77777777" w:rsidR="00323051" w:rsidRPr="00323051" w:rsidRDefault="00323051" w:rsidP="00323051">
            <w:pPr>
              <w:rPr>
                <w:sz w:val="18"/>
                <w:szCs w:val="18"/>
                <w:lang w:val="en-GB" w:bidi="th-TH"/>
              </w:rPr>
            </w:pPr>
            <w:r w:rsidRPr="00323051">
              <w:rPr>
                <w:sz w:val="18"/>
                <w:szCs w:val="18"/>
                <w:lang w:val="en-GB" w:bidi="th-TH"/>
              </w:rPr>
              <w:t>No existing fora at national and regional level in the SCS to network coastal habitat scientists and management specialists</w:t>
            </w:r>
          </w:p>
        </w:tc>
        <w:tc>
          <w:tcPr>
            <w:tcW w:w="2024" w:type="dxa"/>
            <w:tcBorders>
              <w:top w:val="single" w:sz="4" w:space="0" w:color="auto"/>
              <w:left w:val="single" w:sz="4" w:space="0" w:color="auto"/>
              <w:bottom w:val="single" w:sz="4" w:space="0" w:color="auto"/>
              <w:right w:val="single" w:sz="4" w:space="0" w:color="auto"/>
            </w:tcBorders>
          </w:tcPr>
          <w:p w14:paraId="155306D7" w14:textId="77777777" w:rsidR="00323051" w:rsidRPr="00323051" w:rsidRDefault="00323051" w:rsidP="00323051">
            <w:pPr>
              <w:rPr>
                <w:sz w:val="18"/>
                <w:szCs w:val="18"/>
                <w:lang w:val="en-GB" w:bidi="th-TH"/>
              </w:rPr>
            </w:pPr>
            <w:r w:rsidRPr="00323051">
              <w:rPr>
                <w:sz w:val="18"/>
                <w:szCs w:val="18"/>
                <w:lang w:val="en-GB" w:bidi="th-TH"/>
              </w:rPr>
              <w:t>1.5.1 National committees and regional networks of habitat specialists established under the SCS project revitalized and functioning</w:t>
            </w:r>
          </w:p>
        </w:tc>
        <w:tc>
          <w:tcPr>
            <w:tcW w:w="2024" w:type="dxa"/>
            <w:tcBorders>
              <w:top w:val="single" w:sz="4" w:space="0" w:color="auto"/>
              <w:left w:val="single" w:sz="4" w:space="0" w:color="auto"/>
              <w:bottom w:val="single" w:sz="4" w:space="0" w:color="auto"/>
              <w:right w:val="single" w:sz="4" w:space="0" w:color="auto"/>
            </w:tcBorders>
          </w:tcPr>
          <w:p w14:paraId="2D3A1037" w14:textId="77777777" w:rsidR="00323051" w:rsidRPr="00323051" w:rsidRDefault="00323051" w:rsidP="00323051">
            <w:pPr>
              <w:rPr>
                <w:sz w:val="18"/>
                <w:szCs w:val="18"/>
                <w:lang w:val="en-GB" w:bidi="th-TH"/>
              </w:rPr>
            </w:pPr>
            <w:r w:rsidRPr="00323051">
              <w:rPr>
                <w:sz w:val="18"/>
                <w:szCs w:val="18"/>
                <w:lang w:val="en-GB" w:bidi="th-TH"/>
              </w:rPr>
              <w:t xml:space="preserve">Meeting reports of periodic national habitat committees and regional working groups </w:t>
            </w:r>
          </w:p>
        </w:tc>
        <w:tc>
          <w:tcPr>
            <w:tcW w:w="2029" w:type="dxa"/>
            <w:tcBorders>
              <w:top w:val="single" w:sz="4" w:space="0" w:color="auto"/>
              <w:left w:val="single" w:sz="4" w:space="0" w:color="auto"/>
              <w:bottom w:val="single" w:sz="4" w:space="0" w:color="auto"/>
              <w:right w:val="single" w:sz="4" w:space="0" w:color="auto"/>
            </w:tcBorders>
          </w:tcPr>
          <w:p w14:paraId="278CEAF8" w14:textId="77777777" w:rsidR="00323051" w:rsidRPr="00323051" w:rsidRDefault="00323051" w:rsidP="00323051">
            <w:pPr>
              <w:rPr>
                <w:sz w:val="18"/>
                <w:szCs w:val="18"/>
                <w:lang w:val="en-GB" w:bidi="th-TH"/>
              </w:rPr>
            </w:pPr>
            <w:r w:rsidRPr="00323051">
              <w:rPr>
                <w:sz w:val="18"/>
                <w:szCs w:val="18"/>
                <w:lang w:val="en-GB" w:bidi="th-TH"/>
              </w:rPr>
              <w:t>Consultative processes may not elicit adequate stakeholder input and support from national participants</w:t>
            </w:r>
          </w:p>
        </w:tc>
      </w:tr>
      <w:tr w:rsidR="00323051" w:rsidRPr="00323051" w14:paraId="31278C20" w14:textId="77777777" w:rsidTr="004B053A">
        <w:trPr>
          <w:trHeight w:val="517"/>
        </w:trPr>
        <w:tc>
          <w:tcPr>
            <w:tcW w:w="0" w:type="auto"/>
            <w:vMerge/>
            <w:tcBorders>
              <w:left w:val="single" w:sz="4" w:space="0" w:color="auto"/>
              <w:right w:val="single" w:sz="4" w:space="0" w:color="auto"/>
            </w:tcBorders>
            <w:vAlign w:val="center"/>
          </w:tcPr>
          <w:p w14:paraId="11D7FA2B"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tcPr>
          <w:p w14:paraId="25A4FB38"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454664A4" w14:textId="77777777" w:rsidR="00323051" w:rsidRPr="00323051" w:rsidRDefault="00323051" w:rsidP="00323051">
            <w:pPr>
              <w:rPr>
                <w:sz w:val="18"/>
                <w:szCs w:val="18"/>
                <w:lang w:val="en-GB" w:bidi="th-TH"/>
              </w:rPr>
            </w:pPr>
            <w:r w:rsidRPr="00323051">
              <w:rPr>
                <w:sz w:val="18"/>
                <w:szCs w:val="18"/>
                <w:lang w:val="en-GB" w:bidi="th-TH"/>
              </w:rPr>
              <w:t>Status and extent of uptake by national Inter-Ministry committees of SAP implementation results reporting</w:t>
            </w:r>
          </w:p>
          <w:p w14:paraId="388FC47D" w14:textId="77777777" w:rsidR="00323051" w:rsidRPr="00323051" w:rsidRDefault="00323051" w:rsidP="00323051">
            <w:pPr>
              <w:rPr>
                <w:sz w:val="18"/>
                <w:szCs w:val="18"/>
                <w:lang w:val="en-GB" w:bidi="th-TH"/>
              </w:rPr>
            </w:pPr>
          </w:p>
          <w:p w14:paraId="7E71D23D" w14:textId="77777777" w:rsidR="00323051" w:rsidRPr="00323051" w:rsidRDefault="00323051" w:rsidP="00323051">
            <w:pPr>
              <w:rPr>
                <w:sz w:val="18"/>
                <w:szCs w:val="18"/>
                <w:lang w:val="en-GB" w:bidi="th-TH"/>
              </w:rPr>
            </w:pPr>
            <w:r w:rsidRPr="00323051">
              <w:rPr>
                <w:sz w:val="18"/>
                <w:szCs w:val="18"/>
                <w:lang w:val="en-GB" w:bidi="th-TH"/>
              </w:rPr>
              <w:t>Level of congruence of national and regional indicator sets with the proposed targets and outcomes of the SAP</w:t>
            </w:r>
          </w:p>
        </w:tc>
        <w:tc>
          <w:tcPr>
            <w:tcW w:w="2024" w:type="dxa"/>
            <w:tcBorders>
              <w:top w:val="single" w:sz="4" w:space="0" w:color="auto"/>
              <w:left w:val="single" w:sz="4" w:space="0" w:color="auto"/>
              <w:bottom w:val="single" w:sz="4" w:space="0" w:color="auto"/>
              <w:right w:val="single" w:sz="4" w:space="0" w:color="auto"/>
            </w:tcBorders>
          </w:tcPr>
          <w:p w14:paraId="6F9B5E66" w14:textId="77777777" w:rsidR="00323051" w:rsidRPr="00323051" w:rsidRDefault="00323051" w:rsidP="00323051">
            <w:pPr>
              <w:rPr>
                <w:sz w:val="18"/>
                <w:szCs w:val="18"/>
                <w:lang w:val="en-GB" w:bidi="th-TH"/>
              </w:rPr>
            </w:pPr>
            <w:r w:rsidRPr="00323051">
              <w:rPr>
                <w:sz w:val="18"/>
                <w:szCs w:val="18"/>
                <w:lang w:val="en-GB" w:bidi="th-TH"/>
              </w:rPr>
              <w:t xml:space="preserve">Results frameworks for the management of mangroves, coral reefs, seagrass and wetlands of the SCS developed through national and regional consultative process but has not yet been applied </w:t>
            </w:r>
          </w:p>
        </w:tc>
        <w:tc>
          <w:tcPr>
            <w:tcW w:w="2024" w:type="dxa"/>
            <w:tcBorders>
              <w:top w:val="single" w:sz="4" w:space="0" w:color="auto"/>
              <w:left w:val="single" w:sz="4" w:space="0" w:color="auto"/>
              <w:bottom w:val="single" w:sz="4" w:space="0" w:color="auto"/>
              <w:right w:val="single" w:sz="4" w:space="0" w:color="auto"/>
            </w:tcBorders>
          </w:tcPr>
          <w:p w14:paraId="36817327" w14:textId="77777777" w:rsidR="00323051" w:rsidRPr="00323051" w:rsidRDefault="00323051" w:rsidP="00323051">
            <w:pPr>
              <w:rPr>
                <w:sz w:val="18"/>
                <w:szCs w:val="18"/>
                <w:lang w:val="en-GB" w:bidi="th-TH"/>
              </w:rPr>
            </w:pPr>
            <w:r w:rsidRPr="00323051">
              <w:rPr>
                <w:sz w:val="18"/>
                <w:szCs w:val="18"/>
                <w:lang w:val="en-GB" w:bidi="th-TH"/>
              </w:rPr>
              <w:t>1.5.2 Mechanism to monitor and evaluate the impacts of SAP implementation and achievement of habitat targets operational [including agreement on standardized methods and guidelines for inventory and assessment]</w:t>
            </w:r>
          </w:p>
        </w:tc>
        <w:tc>
          <w:tcPr>
            <w:tcW w:w="2024" w:type="dxa"/>
            <w:tcBorders>
              <w:top w:val="single" w:sz="4" w:space="0" w:color="auto"/>
              <w:left w:val="single" w:sz="4" w:space="0" w:color="auto"/>
              <w:bottom w:val="single" w:sz="4" w:space="0" w:color="auto"/>
              <w:right w:val="single" w:sz="4" w:space="0" w:color="auto"/>
            </w:tcBorders>
          </w:tcPr>
          <w:p w14:paraId="1F2B8200" w14:textId="77777777" w:rsidR="00323051" w:rsidRPr="00323051" w:rsidRDefault="00323051" w:rsidP="00323051">
            <w:pPr>
              <w:rPr>
                <w:sz w:val="18"/>
                <w:szCs w:val="18"/>
                <w:lang w:val="en-GB" w:bidi="th-TH"/>
              </w:rPr>
            </w:pPr>
            <w:r w:rsidRPr="00323051">
              <w:rPr>
                <w:sz w:val="18"/>
                <w:szCs w:val="18"/>
                <w:lang w:val="en-GB" w:bidi="th-TH"/>
              </w:rPr>
              <w:t>Approved SAP results framework online</w:t>
            </w:r>
          </w:p>
          <w:p w14:paraId="632703E1" w14:textId="77777777" w:rsidR="00323051" w:rsidRPr="00323051" w:rsidRDefault="00323051" w:rsidP="00323051">
            <w:pPr>
              <w:rPr>
                <w:sz w:val="18"/>
                <w:szCs w:val="18"/>
                <w:lang w:val="en-GB" w:bidi="th-TH"/>
              </w:rPr>
            </w:pPr>
          </w:p>
          <w:p w14:paraId="6ACCAC52" w14:textId="77777777" w:rsidR="00323051" w:rsidRPr="00323051" w:rsidRDefault="00323051" w:rsidP="00323051">
            <w:pPr>
              <w:rPr>
                <w:sz w:val="18"/>
                <w:szCs w:val="18"/>
                <w:lang w:val="en-GB" w:bidi="th-TH"/>
              </w:rPr>
            </w:pPr>
            <w:r w:rsidRPr="00323051">
              <w:rPr>
                <w:sz w:val="18"/>
                <w:szCs w:val="18"/>
                <w:lang w:val="en-GB" w:bidi="th-TH"/>
              </w:rPr>
              <w:t>Approved national and regional reporting templates published</w:t>
            </w:r>
          </w:p>
          <w:p w14:paraId="48FBC0F9" w14:textId="77777777" w:rsidR="00323051" w:rsidRPr="00323051" w:rsidRDefault="00323051" w:rsidP="00323051">
            <w:pPr>
              <w:rPr>
                <w:sz w:val="18"/>
                <w:szCs w:val="18"/>
                <w:lang w:val="en-GB" w:bidi="th-TH"/>
              </w:rPr>
            </w:pPr>
          </w:p>
          <w:p w14:paraId="7D26DB9B" w14:textId="77777777" w:rsidR="00323051" w:rsidRPr="00323051" w:rsidRDefault="00323051" w:rsidP="00323051">
            <w:pPr>
              <w:rPr>
                <w:sz w:val="18"/>
                <w:szCs w:val="18"/>
                <w:lang w:val="en-GB" w:bidi="th-TH"/>
              </w:rPr>
            </w:pPr>
            <w:r w:rsidRPr="00323051">
              <w:rPr>
                <w:sz w:val="18"/>
                <w:szCs w:val="18"/>
                <w:lang w:val="en-GB" w:bidi="th-TH"/>
              </w:rPr>
              <w:t>Annual national and regional results reports published and disseminated</w:t>
            </w:r>
          </w:p>
        </w:tc>
        <w:tc>
          <w:tcPr>
            <w:tcW w:w="2029" w:type="dxa"/>
            <w:tcBorders>
              <w:top w:val="single" w:sz="4" w:space="0" w:color="auto"/>
              <w:left w:val="single" w:sz="4" w:space="0" w:color="auto"/>
              <w:bottom w:val="single" w:sz="4" w:space="0" w:color="auto"/>
              <w:right w:val="single" w:sz="4" w:space="0" w:color="auto"/>
            </w:tcBorders>
          </w:tcPr>
          <w:p w14:paraId="56C3D0A1" w14:textId="77777777" w:rsidR="00323051" w:rsidRPr="00323051" w:rsidRDefault="00323051" w:rsidP="00323051">
            <w:pPr>
              <w:rPr>
                <w:sz w:val="18"/>
                <w:szCs w:val="18"/>
                <w:lang w:val="en-GB" w:bidi="th-TH"/>
              </w:rPr>
            </w:pPr>
            <w:r w:rsidRPr="00323051">
              <w:rPr>
                <w:sz w:val="18"/>
                <w:szCs w:val="18"/>
                <w:lang w:val="en-GB" w:bidi="th-TH"/>
              </w:rPr>
              <w:t>Sustained commitment of senior officials with responsibility for SAP implementation to develop and operate a harmonized results monitoring and reporting system for coastal habitat management</w:t>
            </w:r>
          </w:p>
        </w:tc>
      </w:tr>
      <w:tr w:rsidR="00323051" w:rsidRPr="00323051" w14:paraId="2061EB6C" w14:textId="77777777" w:rsidTr="004B053A">
        <w:trPr>
          <w:trHeight w:val="517"/>
        </w:trPr>
        <w:tc>
          <w:tcPr>
            <w:tcW w:w="0" w:type="auto"/>
            <w:vMerge/>
            <w:tcBorders>
              <w:left w:val="single" w:sz="4" w:space="0" w:color="auto"/>
              <w:right w:val="single" w:sz="4" w:space="0" w:color="auto"/>
            </w:tcBorders>
            <w:vAlign w:val="center"/>
          </w:tcPr>
          <w:p w14:paraId="55378715"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tcPr>
          <w:p w14:paraId="4E461A34"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7268141B" w14:textId="77777777" w:rsidR="00323051" w:rsidRPr="00323051" w:rsidRDefault="00323051" w:rsidP="00323051">
            <w:pPr>
              <w:rPr>
                <w:sz w:val="18"/>
                <w:szCs w:val="18"/>
                <w:lang w:val="en-GB" w:bidi="th-TH"/>
              </w:rPr>
            </w:pPr>
            <w:r w:rsidRPr="00323051">
              <w:rPr>
                <w:sz w:val="18"/>
                <w:szCs w:val="18"/>
                <w:lang w:val="en-GB" w:bidi="th-TH"/>
              </w:rPr>
              <w:t>Extent and continuity of local leader and local government participation in community round-table meetings</w:t>
            </w:r>
          </w:p>
          <w:p w14:paraId="1DD83A22" w14:textId="77777777" w:rsidR="00323051" w:rsidRPr="00323051" w:rsidRDefault="00323051" w:rsidP="00323051">
            <w:pPr>
              <w:rPr>
                <w:sz w:val="18"/>
                <w:szCs w:val="18"/>
                <w:lang w:val="en-GB" w:bidi="th-TH"/>
              </w:rPr>
            </w:pPr>
          </w:p>
          <w:p w14:paraId="0B3AFA9A" w14:textId="77777777" w:rsidR="00323051" w:rsidRPr="00323051" w:rsidRDefault="00323051" w:rsidP="00323051">
            <w:pPr>
              <w:rPr>
                <w:sz w:val="18"/>
                <w:szCs w:val="18"/>
                <w:lang w:val="en-GB" w:bidi="th-TH"/>
              </w:rPr>
            </w:pPr>
            <w:r w:rsidRPr="00323051">
              <w:rPr>
                <w:sz w:val="18"/>
                <w:szCs w:val="18"/>
                <w:lang w:val="en-GB" w:bidi="th-TH"/>
              </w:rPr>
              <w:t>Improved local relevance of SAP implementation initiatives</w:t>
            </w:r>
          </w:p>
        </w:tc>
        <w:tc>
          <w:tcPr>
            <w:tcW w:w="2024" w:type="dxa"/>
            <w:tcBorders>
              <w:top w:val="single" w:sz="4" w:space="0" w:color="auto"/>
              <w:left w:val="single" w:sz="4" w:space="0" w:color="auto"/>
              <w:bottom w:val="single" w:sz="4" w:space="0" w:color="auto"/>
              <w:right w:val="single" w:sz="4" w:space="0" w:color="auto"/>
            </w:tcBorders>
          </w:tcPr>
          <w:p w14:paraId="70ACAE06" w14:textId="77777777" w:rsidR="00323051" w:rsidRPr="00323051" w:rsidRDefault="00323051" w:rsidP="00323051">
            <w:pPr>
              <w:rPr>
                <w:sz w:val="18"/>
                <w:szCs w:val="18"/>
                <w:lang w:val="en-GB" w:bidi="th-TH"/>
              </w:rPr>
            </w:pPr>
            <w:r w:rsidRPr="00323051">
              <w:rPr>
                <w:sz w:val="18"/>
                <w:szCs w:val="18"/>
                <w:lang w:val="en-GB" w:bidi="th-TH"/>
              </w:rPr>
              <w:t>Limited engagement of community-based governance mechanisms in planning coastal habitat management</w:t>
            </w:r>
          </w:p>
          <w:p w14:paraId="2B9D1258" w14:textId="77777777" w:rsidR="00323051" w:rsidRPr="00323051" w:rsidRDefault="00323051" w:rsidP="00323051">
            <w:pPr>
              <w:rPr>
                <w:sz w:val="18"/>
                <w:szCs w:val="18"/>
                <w:lang w:val="en-GB" w:bidi="th-TH"/>
              </w:rPr>
            </w:pPr>
          </w:p>
          <w:p w14:paraId="43D57EAE" w14:textId="77777777" w:rsidR="00323051" w:rsidRPr="00323051" w:rsidRDefault="00323051" w:rsidP="00323051">
            <w:pPr>
              <w:rPr>
                <w:sz w:val="18"/>
                <w:szCs w:val="18"/>
                <w:lang w:val="en-GB" w:bidi="th-TH"/>
              </w:rPr>
            </w:pPr>
            <w:r w:rsidRPr="00323051">
              <w:rPr>
                <w:sz w:val="18"/>
                <w:szCs w:val="18"/>
                <w:lang w:val="en-GB" w:bidi="th-TH"/>
              </w:rPr>
              <w:t>Low level mobilization of civil society, community groups and the private sector in habitat management</w:t>
            </w:r>
          </w:p>
        </w:tc>
        <w:tc>
          <w:tcPr>
            <w:tcW w:w="2024" w:type="dxa"/>
            <w:tcBorders>
              <w:top w:val="single" w:sz="4" w:space="0" w:color="auto"/>
              <w:left w:val="single" w:sz="4" w:space="0" w:color="auto"/>
              <w:bottom w:val="single" w:sz="4" w:space="0" w:color="auto"/>
              <w:right w:val="single" w:sz="4" w:space="0" w:color="auto"/>
            </w:tcBorders>
          </w:tcPr>
          <w:p w14:paraId="7069A257" w14:textId="77777777" w:rsidR="00323051" w:rsidRPr="00323051" w:rsidRDefault="00323051" w:rsidP="00323051">
            <w:pPr>
              <w:rPr>
                <w:sz w:val="18"/>
                <w:szCs w:val="18"/>
                <w:lang w:val="en-GB" w:bidi="th-TH"/>
              </w:rPr>
            </w:pPr>
            <w:r w:rsidRPr="00323051">
              <w:rPr>
                <w:sz w:val="18"/>
                <w:szCs w:val="18"/>
                <w:lang w:val="en-GB" w:bidi="th-TH"/>
              </w:rPr>
              <w:t>1.5.3 Community leaders and local government from priority habitat sites networked via national and regional round-table meetings to foster cooperation and knowledge sharing on achievements and best practices</w:t>
            </w:r>
          </w:p>
        </w:tc>
        <w:tc>
          <w:tcPr>
            <w:tcW w:w="2024" w:type="dxa"/>
            <w:tcBorders>
              <w:top w:val="single" w:sz="4" w:space="0" w:color="auto"/>
              <w:left w:val="single" w:sz="4" w:space="0" w:color="auto"/>
              <w:bottom w:val="single" w:sz="4" w:space="0" w:color="auto"/>
              <w:right w:val="single" w:sz="4" w:space="0" w:color="auto"/>
            </w:tcBorders>
          </w:tcPr>
          <w:p w14:paraId="1F85C83D" w14:textId="77777777" w:rsidR="00323051" w:rsidRPr="00323051" w:rsidRDefault="00323051" w:rsidP="00323051">
            <w:pPr>
              <w:rPr>
                <w:sz w:val="18"/>
                <w:szCs w:val="18"/>
                <w:lang w:val="en-GB" w:bidi="th-TH"/>
              </w:rPr>
            </w:pPr>
            <w:r w:rsidRPr="00323051">
              <w:rPr>
                <w:sz w:val="18"/>
                <w:szCs w:val="18"/>
                <w:lang w:val="en-GB" w:bidi="th-TH"/>
              </w:rPr>
              <w:t>Meeting reports of round-table meetings (including records of joint management decisions and participant lists)</w:t>
            </w:r>
          </w:p>
          <w:p w14:paraId="6A5F7D89" w14:textId="77777777" w:rsidR="00323051" w:rsidRPr="00323051" w:rsidRDefault="00323051" w:rsidP="00323051">
            <w:pPr>
              <w:rPr>
                <w:sz w:val="18"/>
                <w:szCs w:val="18"/>
                <w:lang w:val="en-GB" w:bidi="th-TH"/>
              </w:rPr>
            </w:pPr>
          </w:p>
          <w:p w14:paraId="6C5FE581" w14:textId="77777777" w:rsidR="00323051" w:rsidRPr="00323051" w:rsidRDefault="00323051" w:rsidP="00323051">
            <w:pPr>
              <w:rPr>
                <w:sz w:val="18"/>
                <w:szCs w:val="18"/>
                <w:lang w:val="en-GB" w:bidi="th-TH"/>
              </w:rPr>
            </w:pPr>
            <w:r w:rsidRPr="00323051">
              <w:rPr>
                <w:sz w:val="18"/>
                <w:szCs w:val="18"/>
                <w:lang w:val="en-GB" w:bidi="th-TH"/>
              </w:rPr>
              <w:t>Annual reports of best practice examples of community-led SAP implementation</w:t>
            </w:r>
          </w:p>
        </w:tc>
        <w:tc>
          <w:tcPr>
            <w:tcW w:w="2029" w:type="dxa"/>
            <w:tcBorders>
              <w:top w:val="single" w:sz="4" w:space="0" w:color="auto"/>
              <w:left w:val="single" w:sz="4" w:space="0" w:color="auto"/>
              <w:bottom w:val="single" w:sz="4" w:space="0" w:color="auto"/>
              <w:right w:val="single" w:sz="4" w:space="0" w:color="auto"/>
            </w:tcBorders>
          </w:tcPr>
          <w:p w14:paraId="35F485EB" w14:textId="77777777" w:rsidR="00323051" w:rsidRPr="00323051" w:rsidRDefault="00323051" w:rsidP="00323051">
            <w:pPr>
              <w:rPr>
                <w:sz w:val="18"/>
                <w:szCs w:val="18"/>
                <w:lang w:val="en-GB" w:bidi="th-TH"/>
              </w:rPr>
            </w:pPr>
            <w:r w:rsidRPr="00323051">
              <w:rPr>
                <w:sz w:val="18"/>
                <w:szCs w:val="18"/>
                <w:lang w:val="en-GB" w:bidi="th-TH"/>
              </w:rPr>
              <w:t>Existing tensions between land-owners and government agencies may limit community leader participation</w:t>
            </w:r>
          </w:p>
          <w:p w14:paraId="00C24C2F" w14:textId="77777777" w:rsidR="00323051" w:rsidRPr="00323051" w:rsidRDefault="00323051" w:rsidP="00323051">
            <w:pPr>
              <w:rPr>
                <w:sz w:val="18"/>
                <w:szCs w:val="18"/>
                <w:lang w:val="en-GB" w:bidi="th-TH"/>
              </w:rPr>
            </w:pPr>
          </w:p>
          <w:p w14:paraId="38F16950" w14:textId="77777777" w:rsidR="00323051" w:rsidRPr="00323051" w:rsidRDefault="00323051" w:rsidP="00323051">
            <w:pPr>
              <w:rPr>
                <w:sz w:val="18"/>
                <w:szCs w:val="18"/>
                <w:lang w:val="en-GB" w:bidi="th-TH"/>
              </w:rPr>
            </w:pPr>
            <w:r w:rsidRPr="00323051">
              <w:rPr>
                <w:sz w:val="18"/>
                <w:szCs w:val="18"/>
                <w:lang w:val="en-GB" w:bidi="th-TH"/>
              </w:rPr>
              <w:t>Internal tensions between community organisations may be exacerbated by discussions about community priorities</w:t>
            </w:r>
          </w:p>
        </w:tc>
      </w:tr>
      <w:tr w:rsidR="00323051" w:rsidRPr="00323051" w14:paraId="710CF669" w14:textId="77777777" w:rsidTr="004B053A">
        <w:trPr>
          <w:trHeight w:val="517"/>
        </w:trPr>
        <w:tc>
          <w:tcPr>
            <w:tcW w:w="0" w:type="auto"/>
            <w:vMerge/>
            <w:tcBorders>
              <w:left w:val="single" w:sz="4" w:space="0" w:color="auto"/>
              <w:right w:val="single" w:sz="4" w:space="0" w:color="auto"/>
            </w:tcBorders>
            <w:vAlign w:val="center"/>
          </w:tcPr>
          <w:p w14:paraId="67914681" w14:textId="77777777" w:rsidR="00323051" w:rsidRPr="00323051" w:rsidRDefault="00323051" w:rsidP="00323051">
            <w:pPr>
              <w:rPr>
                <w:sz w:val="18"/>
                <w:szCs w:val="18"/>
                <w:lang w:val="en-GB" w:bidi="th-TH"/>
              </w:rPr>
            </w:pPr>
          </w:p>
        </w:tc>
        <w:tc>
          <w:tcPr>
            <w:tcW w:w="2025" w:type="dxa"/>
            <w:vMerge/>
            <w:tcBorders>
              <w:left w:val="single" w:sz="4" w:space="0" w:color="auto"/>
              <w:bottom w:val="single" w:sz="4" w:space="0" w:color="auto"/>
              <w:right w:val="single" w:sz="4" w:space="0" w:color="auto"/>
            </w:tcBorders>
          </w:tcPr>
          <w:p w14:paraId="4B4AAC83"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0AC8FBC7" w14:textId="77777777" w:rsidR="00323051" w:rsidRPr="00323051" w:rsidRDefault="00323051" w:rsidP="00323051">
            <w:pPr>
              <w:rPr>
                <w:sz w:val="18"/>
                <w:szCs w:val="18"/>
                <w:lang w:val="en-GB" w:bidi="th-TH"/>
              </w:rPr>
            </w:pPr>
            <w:r w:rsidRPr="00323051">
              <w:rPr>
                <w:sz w:val="18"/>
                <w:szCs w:val="18"/>
                <w:lang w:val="en-GB" w:bidi="th-TH"/>
              </w:rPr>
              <w:t>Demonstrable use of state of coastal habitat reports in national and regional planning</w:t>
            </w:r>
          </w:p>
        </w:tc>
        <w:tc>
          <w:tcPr>
            <w:tcW w:w="2024" w:type="dxa"/>
            <w:tcBorders>
              <w:top w:val="single" w:sz="4" w:space="0" w:color="auto"/>
              <w:left w:val="single" w:sz="4" w:space="0" w:color="auto"/>
              <w:bottom w:val="single" w:sz="4" w:space="0" w:color="auto"/>
              <w:right w:val="single" w:sz="4" w:space="0" w:color="auto"/>
            </w:tcBorders>
          </w:tcPr>
          <w:p w14:paraId="5B6FC121" w14:textId="77777777" w:rsidR="00323051" w:rsidRPr="00323051" w:rsidRDefault="00323051" w:rsidP="00323051">
            <w:pPr>
              <w:rPr>
                <w:sz w:val="18"/>
                <w:szCs w:val="18"/>
                <w:lang w:val="en-GB" w:bidi="th-TH"/>
              </w:rPr>
            </w:pPr>
            <w:r w:rsidRPr="00323051">
              <w:rPr>
                <w:sz w:val="18"/>
                <w:szCs w:val="18"/>
                <w:lang w:val="en-GB" w:bidi="th-TH"/>
              </w:rPr>
              <w:t>Baseline national habitat reports developed and require periodic uptake</w:t>
            </w:r>
          </w:p>
        </w:tc>
        <w:tc>
          <w:tcPr>
            <w:tcW w:w="2024" w:type="dxa"/>
            <w:tcBorders>
              <w:top w:val="single" w:sz="4" w:space="0" w:color="auto"/>
              <w:left w:val="single" w:sz="4" w:space="0" w:color="auto"/>
              <w:bottom w:val="single" w:sz="4" w:space="0" w:color="auto"/>
              <w:right w:val="single" w:sz="4" w:space="0" w:color="auto"/>
            </w:tcBorders>
          </w:tcPr>
          <w:p w14:paraId="695105E6" w14:textId="77777777" w:rsidR="00323051" w:rsidRPr="00323051" w:rsidRDefault="00323051" w:rsidP="00323051">
            <w:pPr>
              <w:rPr>
                <w:sz w:val="18"/>
                <w:szCs w:val="18"/>
                <w:lang w:val="en-GB" w:bidi="th-TH"/>
              </w:rPr>
            </w:pPr>
            <w:r w:rsidRPr="00323051">
              <w:rPr>
                <w:sz w:val="18"/>
                <w:szCs w:val="18"/>
                <w:lang w:val="en-GB" w:bidi="th-TH"/>
              </w:rPr>
              <w:t>1.5.4 Biennial state of coastal habitat reports published</w:t>
            </w:r>
            <w:r w:rsidR="00B0697C">
              <w:rPr>
                <w:sz w:val="18"/>
                <w:szCs w:val="18"/>
                <w:lang w:val="en-GB" w:bidi="th-TH"/>
              </w:rPr>
              <w:t xml:space="preserve"> and applied in national and regional action planning</w:t>
            </w:r>
          </w:p>
        </w:tc>
        <w:tc>
          <w:tcPr>
            <w:tcW w:w="2024" w:type="dxa"/>
            <w:tcBorders>
              <w:top w:val="single" w:sz="4" w:space="0" w:color="auto"/>
              <w:left w:val="single" w:sz="4" w:space="0" w:color="auto"/>
              <w:bottom w:val="single" w:sz="4" w:space="0" w:color="auto"/>
              <w:right w:val="single" w:sz="4" w:space="0" w:color="auto"/>
            </w:tcBorders>
          </w:tcPr>
          <w:p w14:paraId="645C2C82" w14:textId="77777777" w:rsidR="00323051" w:rsidRPr="00323051" w:rsidRDefault="00323051" w:rsidP="00323051">
            <w:pPr>
              <w:rPr>
                <w:sz w:val="18"/>
                <w:szCs w:val="18"/>
                <w:lang w:val="en-GB" w:bidi="th-TH"/>
              </w:rPr>
            </w:pPr>
            <w:r w:rsidRPr="00323051">
              <w:rPr>
                <w:sz w:val="18"/>
                <w:szCs w:val="18"/>
                <w:lang w:val="en-GB" w:bidi="th-TH"/>
              </w:rPr>
              <w:t>Published state of coastal habitat reports</w:t>
            </w:r>
          </w:p>
        </w:tc>
        <w:tc>
          <w:tcPr>
            <w:tcW w:w="2029" w:type="dxa"/>
            <w:tcBorders>
              <w:top w:val="single" w:sz="4" w:space="0" w:color="auto"/>
              <w:left w:val="single" w:sz="4" w:space="0" w:color="auto"/>
              <w:bottom w:val="single" w:sz="4" w:space="0" w:color="auto"/>
              <w:right w:val="single" w:sz="4" w:space="0" w:color="auto"/>
            </w:tcBorders>
          </w:tcPr>
          <w:p w14:paraId="3F245CE8" w14:textId="77777777" w:rsidR="00323051" w:rsidRPr="00323051" w:rsidRDefault="00323051" w:rsidP="00323051">
            <w:pPr>
              <w:rPr>
                <w:sz w:val="18"/>
                <w:szCs w:val="18"/>
                <w:lang w:val="en-GB" w:bidi="th-TH"/>
              </w:rPr>
            </w:pPr>
            <w:r w:rsidRPr="00323051">
              <w:rPr>
                <w:sz w:val="18"/>
                <w:szCs w:val="18"/>
                <w:lang w:val="en-GB" w:bidi="th-TH"/>
              </w:rPr>
              <w:t>Adequate national and regional mechanisms for the step-wise review of information and data used in reporting</w:t>
            </w:r>
          </w:p>
        </w:tc>
      </w:tr>
    </w:tbl>
    <w:p w14:paraId="19561AF3" w14:textId="77777777" w:rsidR="00323051" w:rsidRPr="00323051" w:rsidRDefault="00323051" w:rsidP="00323051">
      <w:pPr>
        <w:tabs>
          <w:tab w:val="left" w:pos="9105"/>
        </w:tabs>
        <w:spacing w:after="120"/>
        <w:rPr>
          <w:b/>
          <w:sz w:val="22"/>
          <w:szCs w:val="22"/>
          <w:lang w:val="en-GB"/>
        </w:rPr>
      </w:pPr>
      <w:r w:rsidRPr="00323051">
        <w:rPr>
          <w:b/>
          <w:sz w:val="22"/>
          <w:szCs w:val="22"/>
          <w:lang w:val="en-GB"/>
        </w:rPr>
        <w:tab/>
      </w:r>
    </w:p>
    <w:p w14:paraId="1754990C" w14:textId="77777777" w:rsidR="00323051" w:rsidRPr="00323051" w:rsidRDefault="00323051" w:rsidP="00323051">
      <w:pPr>
        <w:spacing w:after="120"/>
        <w:rPr>
          <w:sz w:val="22"/>
          <w:szCs w:val="22"/>
          <w:lang w:val="en-GB"/>
        </w:rPr>
      </w:pPr>
      <w:r w:rsidRPr="00323051">
        <w:rPr>
          <w:b/>
          <w:sz w:val="22"/>
          <w:szCs w:val="22"/>
          <w:lang w:val="en-GB"/>
        </w:rPr>
        <w:br w:type="page"/>
        <w:t>Table 2</w:t>
      </w:r>
      <w:r w:rsidRPr="00323051">
        <w:rPr>
          <w:sz w:val="22"/>
          <w:szCs w:val="22"/>
          <w:lang w:val="en-GB"/>
        </w:rPr>
        <w:tab/>
      </w:r>
      <w:r w:rsidRPr="00323051">
        <w:rPr>
          <w:sz w:val="22"/>
          <w:szCs w:val="22"/>
          <w:lang w:val="en-GB"/>
        </w:rPr>
        <w:tab/>
        <w:t>Results framework for project component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2"/>
        <w:gridCol w:w="1886"/>
        <w:gridCol w:w="1850"/>
        <w:gridCol w:w="1711"/>
        <w:gridCol w:w="1925"/>
        <w:gridCol w:w="1949"/>
        <w:gridCol w:w="1837"/>
      </w:tblGrid>
      <w:tr w:rsidR="00B0697C" w:rsidRPr="00323051" w14:paraId="1CE8A3F0" w14:textId="77777777" w:rsidTr="004B053A">
        <w:trPr>
          <w:tblHeader/>
        </w:trPr>
        <w:tc>
          <w:tcPr>
            <w:tcW w:w="1838" w:type="dxa"/>
            <w:tcBorders>
              <w:top w:val="single" w:sz="4" w:space="0" w:color="auto"/>
              <w:left w:val="single" w:sz="4" w:space="0" w:color="auto"/>
              <w:bottom w:val="single" w:sz="4" w:space="0" w:color="auto"/>
              <w:right w:val="single" w:sz="4" w:space="0" w:color="auto"/>
            </w:tcBorders>
            <w:vAlign w:val="center"/>
          </w:tcPr>
          <w:p w14:paraId="238020C0" w14:textId="77777777" w:rsidR="00323051" w:rsidRPr="00323051" w:rsidRDefault="00323051" w:rsidP="00323051">
            <w:pPr>
              <w:jc w:val="center"/>
              <w:rPr>
                <w:b/>
                <w:bCs/>
                <w:sz w:val="18"/>
                <w:szCs w:val="18"/>
                <w:lang w:val="en-GB" w:bidi="th-TH"/>
              </w:rPr>
            </w:pPr>
            <w:r w:rsidRPr="00323051">
              <w:rPr>
                <w:b/>
                <w:bCs/>
                <w:sz w:val="18"/>
                <w:szCs w:val="18"/>
                <w:lang w:val="en-GB" w:bidi="th-TH"/>
              </w:rPr>
              <w:t>Components</w:t>
            </w:r>
          </w:p>
        </w:tc>
        <w:tc>
          <w:tcPr>
            <w:tcW w:w="1936" w:type="dxa"/>
            <w:tcBorders>
              <w:top w:val="single" w:sz="4" w:space="0" w:color="auto"/>
              <w:left w:val="single" w:sz="4" w:space="0" w:color="auto"/>
              <w:bottom w:val="single" w:sz="4" w:space="0" w:color="auto"/>
              <w:right w:val="single" w:sz="4" w:space="0" w:color="auto"/>
            </w:tcBorders>
            <w:vAlign w:val="center"/>
          </w:tcPr>
          <w:p w14:paraId="057532DB" w14:textId="77777777" w:rsidR="00323051" w:rsidRPr="00323051" w:rsidRDefault="00323051" w:rsidP="00323051">
            <w:pPr>
              <w:jc w:val="center"/>
              <w:rPr>
                <w:b/>
                <w:bCs/>
                <w:sz w:val="18"/>
                <w:szCs w:val="18"/>
                <w:lang w:val="en-GB" w:bidi="th-TH"/>
              </w:rPr>
            </w:pPr>
            <w:r w:rsidRPr="00323051">
              <w:rPr>
                <w:b/>
                <w:bCs/>
                <w:sz w:val="18"/>
                <w:szCs w:val="18"/>
                <w:lang w:val="en-GB" w:bidi="th-TH"/>
              </w:rPr>
              <w:t>Outcomes</w:t>
            </w:r>
          </w:p>
        </w:tc>
        <w:tc>
          <w:tcPr>
            <w:tcW w:w="1881" w:type="dxa"/>
            <w:tcBorders>
              <w:top w:val="single" w:sz="4" w:space="0" w:color="auto"/>
              <w:left w:val="single" w:sz="4" w:space="0" w:color="auto"/>
              <w:bottom w:val="single" w:sz="4" w:space="0" w:color="auto"/>
              <w:right w:val="single" w:sz="4" w:space="0" w:color="auto"/>
            </w:tcBorders>
            <w:vAlign w:val="center"/>
          </w:tcPr>
          <w:p w14:paraId="7C2CAB82" w14:textId="77777777" w:rsidR="00323051" w:rsidRPr="00323051" w:rsidRDefault="00323051" w:rsidP="00323051">
            <w:pPr>
              <w:jc w:val="center"/>
              <w:rPr>
                <w:b/>
                <w:bCs/>
                <w:sz w:val="18"/>
                <w:szCs w:val="18"/>
                <w:lang w:val="en-GB" w:bidi="th-TH"/>
              </w:rPr>
            </w:pPr>
            <w:r w:rsidRPr="00323051">
              <w:rPr>
                <w:b/>
                <w:bCs/>
                <w:sz w:val="18"/>
                <w:szCs w:val="18"/>
                <w:lang w:val="en-GB" w:bidi="th-TH"/>
              </w:rPr>
              <w:t>Indicator</w:t>
            </w:r>
          </w:p>
        </w:tc>
        <w:tc>
          <w:tcPr>
            <w:tcW w:w="1743" w:type="dxa"/>
            <w:tcBorders>
              <w:top w:val="single" w:sz="4" w:space="0" w:color="auto"/>
              <w:left w:val="single" w:sz="4" w:space="0" w:color="auto"/>
              <w:bottom w:val="single" w:sz="4" w:space="0" w:color="auto"/>
              <w:right w:val="single" w:sz="4" w:space="0" w:color="auto"/>
            </w:tcBorders>
            <w:vAlign w:val="center"/>
          </w:tcPr>
          <w:p w14:paraId="58BCA405" w14:textId="77777777" w:rsidR="00323051" w:rsidRPr="00323051" w:rsidRDefault="00323051" w:rsidP="00323051">
            <w:pPr>
              <w:jc w:val="center"/>
              <w:rPr>
                <w:b/>
                <w:bCs/>
                <w:sz w:val="18"/>
                <w:szCs w:val="18"/>
                <w:lang w:val="en-GB" w:bidi="th-TH"/>
              </w:rPr>
            </w:pPr>
            <w:r w:rsidRPr="00323051">
              <w:rPr>
                <w:b/>
                <w:bCs/>
                <w:sz w:val="18"/>
                <w:szCs w:val="18"/>
                <w:lang w:val="en-GB" w:bidi="th-TH"/>
              </w:rPr>
              <w:t>Baseline</w:t>
            </w:r>
          </w:p>
        </w:tc>
        <w:tc>
          <w:tcPr>
            <w:tcW w:w="1955" w:type="dxa"/>
            <w:tcBorders>
              <w:top w:val="single" w:sz="4" w:space="0" w:color="auto"/>
              <w:left w:val="single" w:sz="4" w:space="0" w:color="auto"/>
              <w:bottom w:val="single" w:sz="4" w:space="0" w:color="auto"/>
              <w:right w:val="single" w:sz="4" w:space="0" w:color="auto"/>
            </w:tcBorders>
            <w:vAlign w:val="center"/>
          </w:tcPr>
          <w:p w14:paraId="57ED2F27" w14:textId="77777777" w:rsidR="00323051" w:rsidRPr="00323051" w:rsidRDefault="00323051" w:rsidP="00323051">
            <w:pPr>
              <w:jc w:val="center"/>
              <w:rPr>
                <w:b/>
                <w:bCs/>
                <w:sz w:val="18"/>
                <w:szCs w:val="18"/>
                <w:lang w:val="en-GB" w:bidi="th-TH"/>
              </w:rPr>
            </w:pPr>
            <w:r w:rsidRPr="00323051">
              <w:rPr>
                <w:b/>
                <w:bCs/>
                <w:sz w:val="18"/>
                <w:szCs w:val="18"/>
                <w:lang w:val="en-GB" w:bidi="th-TH"/>
              </w:rPr>
              <w:t>Targets End of Project</w:t>
            </w:r>
          </w:p>
        </w:tc>
        <w:tc>
          <w:tcPr>
            <w:tcW w:w="1984" w:type="dxa"/>
            <w:tcBorders>
              <w:top w:val="single" w:sz="4" w:space="0" w:color="auto"/>
              <w:left w:val="single" w:sz="4" w:space="0" w:color="auto"/>
              <w:bottom w:val="single" w:sz="4" w:space="0" w:color="auto"/>
              <w:right w:val="single" w:sz="4" w:space="0" w:color="auto"/>
            </w:tcBorders>
            <w:vAlign w:val="center"/>
          </w:tcPr>
          <w:p w14:paraId="4136D51E" w14:textId="77777777" w:rsidR="00323051" w:rsidRPr="00323051" w:rsidRDefault="00323051" w:rsidP="00323051">
            <w:pPr>
              <w:jc w:val="center"/>
              <w:rPr>
                <w:b/>
                <w:bCs/>
                <w:sz w:val="18"/>
                <w:szCs w:val="18"/>
                <w:lang w:val="en-GB" w:bidi="th-TH"/>
              </w:rPr>
            </w:pPr>
            <w:r w:rsidRPr="00323051">
              <w:rPr>
                <w:b/>
                <w:bCs/>
                <w:sz w:val="18"/>
                <w:szCs w:val="18"/>
                <w:lang w:val="en-GB" w:bidi="th-TH"/>
              </w:rPr>
              <w:t>Source of Verification</w:t>
            </w:r>
          </w:p>
        </w:tc>
        <w:tc>
          <w:tcPr>
            <w:tcW w:w="1839" w:type="dxa"/>
            <w:tcBorders>
              <w:top w:val="single" w:sz="4" w:space="0" w:color="auto"/>
              <w:left w:val="single" w:sz="4" w:space="0" w:color="auto"/>
              <w:bottom w:val="single" w:sz="4" w:space="0" w:color="auto"/>
              <w:right w:val="single" w:sz="4" w:space="0" w:color="auto"/>
            </w:tcBorders>
            <w:vAlign w:val="center"/>
          </w:tcPr>
          <w:p w14:paraId="6F9AB397" w14:textId="77777777" w:rsidR="00323051" w:rsidRPr="00323051" w:rsidRDefault="00323051" w:rsidP="00323051">
            <w:pPr>
              <w:jc w:val="center"/>
              <w:rPr>
                <w:b/>
                <w:bCs/>
                <w:sz w:val="18"/>
                <w:szCs w:val="18"/>
                <w:lang w:val="en-GB" w:bidi="th-TH"/>
              </w:rPr>
            </w:pPr>
            <w:r w:rsidRPr="00323051">
              <w:rPr>
                <w:b/>
                <w:bCs/>
                <w:sz w:val="18"/>
                <w:szCs w:val="18"/>
                <w:lang w:val="en-GB" w:bidi="th-TH"/>
              </w:rPr>
              <w:t>Risks and Assumptions</w:t>
            </w:r>
          </w:p>
        </w:tc>
      </w:tr>
      <w:tr w:rsidR="00B0697C" w:rsidRPr="00323051" w14:paraId="2C0EF722" w14:textId="77777777" w:rsidTr="004B053A">
        <w:tc>
          <w:tcPr>
            <w:tcW w:w="1838" w:type="dxa"/>
            <w:vMerge w:val="restart"/>
            <w:tcBorders>
              <w:left w:val="single" w:sz="4" w:space="0" w:color="auto"/>
              <w:right w:val="single" w:sz="4" w:space="0" w:color="auto"/>
            </w:tcBorders>
          </w:tcPr>
          <w:p w14:paraId="23E6003C" w14:textId="77777777" w:rsidR="00323051" w:rsidRPr="00323051" w:rsidRDefault="00323051" w:rsidP="00323051">
            <w:pPr>
              <w:rPr>
                <w:sz w:val="18"/>
                <w:szCs w:val="18"/>
                <w:lang w:val="en-GB" w:bidi="th-TH"/>
              </w:rPr>
            </w:pPr>
            <w:r w:rsidRPr="00323051">
              <w:rPr>
                <w:sz w:val="18"/>
                <w:szCs w:val="18"/>
                <w:lang w:val="en-GB" w:bidi="th-TH"/>
              </w:rPr>
              <w:t>2. Strengthening knowledge-based action planning for the management of coastal habitats and land-based pollution to reduce environmental degradation of the South China Sea</w:t>
            </w:r>
          </w:p>
        </w:tc>
        <w:tc>
          <w:tcPr>
            <w:tcW w:w="1936" w:type="dxa"/>
            <w:vMerge w:val="restart"/>
            <w:tcBorders>
              <w:top w:val="single" w:sz="4" w:space="0" w:color="auto"/>
              <w:left w:val="single" w:sz="4" w:space="0" w:color="auto"/>
              <w:right w:val="single" w:sz="4" w:space="0" w:color="auto"/>
            </w:tcBorders>
          </w:tcPr>
          <w:p w14:paraId="49A3D3AA" w14:textId="77777777" w:rsidR="00323051" w:rsidRPr="00323051" w:rsidRDefault="00323051" w:rsidP="00323051">
            <w:pPr>
              <w:rPr>
                <w:sz w:val="18"/>
                <w:szCs w:val="18"/>
                <w:lang w:val="en-GB" w:bidi="th-TH"/>
              </w:rPr>
            </w:pPr>
            <w:r w:rsidRPr="00323051">
              <w:rPr>
                <w:sz w:val="18"/>
                <w:szCs w:val="18"/>
                <w:lang w:val="en-GB" w:bidi="th-TH"/>
              </w:rPr>
              <w:t>2.1 Enhanced information-base for coastal habitat management and action planning</w:t>
            </w:r>
          </w:p>
        </w:tc>
        <w:tc>
          <w:tcPr>
            <w:tcW w:w="1881" w:type="dxa"/>
            <w:tcBorders>
              <w:top w:val="single" w:sz="4" w:space="0" w:color="auto"/>
              <w:left w:val="single" w:sz="4" w:space="0" w:color="auto"/>
              <w:bottom w:val="single" w:sz="4" w:space="0" w:color="auto"/>
              <w:right w:val="single" w:sz="4" w:space="0" w:color="auto"/>
            </w:tcBorders>
          </w:tcPr>
          <w:p w14:paraId="2CFC00BE" w14:textId="77777777" w:rsidR="00323051" w:rsidRPr="00323051" w:rsidRDefault="00323051" w:rsidP="00323051">
            <w:pPr>
              <w:rPr>
                <w:sz w:val="18"/>
                <w:szCs w:val="18"/>
                <w:lang w:val="en-GB" w:bidi="th-TH"/>
              </w:rPr>
            </w:pPr>
            <w:r w:rsidRPr="00323051">
              <w:rPr>
                <w:sz w:val="18"/>
                <w:szCs w:val="18"/>
                <w:lang w:val="en-GB" w:bidi="th-TH"/>
              </w:rPr>
              <w:t>Volume of remotely sensed information interpreted and made available for planning</w:t>
            </w:r>
          </w:p>
          <w:p w14:paraId="5AB546A6" w14:textId="77777777" w:rsidR="00323051" w:rsidRPr="00323051" w:rsidRDefault="00323051" w:rsidP="00323051">
            <w:pPr>
              <w:rPr>
                <w:sz w:val="18"/>
                <w:szCs w:val="18"/>
                <w:lang w:val="en-GB" w:bidi="th-TH"/>
              </w:rPr>
            </w:pPr>
          </w:p>
          <w:p w14:paraId="77642F09" w14:textId="77777777" w:rsidR="00323051" w:rsidRPr="00323051" w:rsidRDefault="00323051" w:rsidP="00323051">
            <w:pPr>
              <w:rPr>
                <w:sz w:val="18"/>
                <w:szCs w:val="18"/>
                <w:lang w:val="en-GB" w:bidi="th-TH"/>
              </w:rPr>
            </w:pPr>
            <w:r w:rsidRPr="00323051">
              <w:rPr>
                <w:sz w:val="18"/>
                <w:szCs w:val="18"/>
                <w:lang w:val="en-GB" w:bidi="th-TH"/>
              </w:rPr>
              <w:t>Extent of uptake of remotely sensed coastal habitat information and data in management planning and action</w:t>
            </w:r>
          </w:p>
        </w:tc>
        <w:tc>
          <w:tcPr>
            <w:tcW w:w="1743" w:type="dxa"/>
            <w:tcBorders>
              <w:top w:val="single" w:sz="4" w:space="0" w:color="auto"/>
              <w:left w:val="single" w:sz="4" w:space="0" w:color="auto"/>
              <w:bottom w:val="single" w:sz="4" w:space="0" w:color="auto"/>
              <w:right w:val="single" w:sz="4" w:space="0" w:color="auto"/>
            </w:tcBorders>
          </w:tcPr>
          <w:p w14:paraId="596D5937" w14:textId="77777777" w:rsidR="00323051" w:rsidRPr="00323051" w:rsidRDefault="00323051" w:rsidP="00323051">
            <w:pPr>
              <w:rPr>
                <w:sz w:val="18"/>
                <w:szCs w:val="18"/>
                <w:lang w:val="en-GB" w:bidi="th-TH"/>
              </w:rPr>
            </w:pPr>
            <w:r w:rsidRPr="00323051">
              <w:rPr>
                <w:sz w:val="18"/>
                <w:szCs w:val="18"/>
                <w:lang w:val="en-GB" w:bidi="th-TH"/>
              </w:rPr>
              <w:t>Rapid advancements in aerial visual survey techniques and remote sensing of inter-tidal and shallow water biomes have potential to greatly enhance coastal habitat management planning in the SCS marine basin</w:t>
            </w:r>
          </w:p>
        </w:tc>
        <w:tc>
          <w:tcPr>
            <w:tcW w:w="1955" w:type="dxa"/>
            <w:tcBorders>
              <w:top w:val="single" w:sz="4" w:space="0" w:color="auto"/>
              <w:left w:val="single" w:sz="4" w:space="0" w:color="auto"/>
              <w:bottom w:val="single" w:sz="4" w:space="0" w:color="auto"/>
              <w:right w:val="single" w:sz="4" w:space="0" w:color="auto"/>
            </w:tcBorders>
          </w:tcPr>
          <w:p w14:paraId="53047104" w14:textId="77777777" w:rsidR="00323051" w:rsidRPr="00323051" w:rsidRDefault="00323051" w:rsidP="00323051">
            <w:pPr>
              <w:rPr>
                <w:sz w:val="18"/>
                <w:szCs w:val="18"/>
                <w:lang w:val="en-GB" w:bidi="th-TH"/>
              </w:rPr>
            </w:pPr>
            <w:r w:rsidRPr="00323051">
              <w:rPr>
                <w:sz w:val="18"/>
                <w:szCs w:val="18"/>
                <w:lang w:val="en-GB" w:bidi="th-TH"/>
              </w:rPr>
              <w:t>2.1.1 Algorithms for the interpretation of remotely sensed information and data on coastal habitat associations and zonation developed and applied</w:t>
            </w:r>
            <w:r w:rsidR="00B0697C">
              <w:rPr>
                <w:sz w:val="18"/>
                <w:szCs w:val="18"/>
                <w:lang w:val="en-GB" w:bidi="th-TH"/>
              </w:rPr>
              <w:t xml:space="preserve"> in national and regional action planning</w:t>
            </w:r>
          </w:p>
        </w:tc>
        <w:tc>
          <w:tcPr>
            <w:tcW w:w="1984" w:type="dxa"/>
            <w:tcBorders>
              <w:top w:val="single" w:sz="4" w:space="0" w:color="auto"/>
              <w:left w:val="single" w:sz="4" w:space="0" w:color="auto"/>
              <w:bottom w:val="single" w:sz="4" w:space="0" w:color="auto"/>
              <w:right w:val="single" w:sz="4" w:space="0" w:color="auto"/>
            </w:tcBorders>
          </w:tcPr>
          <w:p w14:paraId="6C707EB7" w14:textId="77777777" w:rsidR="00323051" w:rsidRPr="00323051" w:rsidRDefault="00323051" w:rsidP="00323051">
            <w:pPr>
              <w:rPr>
                <w:sz w:val="18"/>
                <w:szCs w:val="18"/>
                <w:lang w:val="en-GB" w:bidi="th-TH"/>
              </w:rPr>
            </w:pPr>
            <w:r w:rsidRPr="00323051">
              <w:rPr>
                <w:sz w:val="18"/>
                <w:szCs w:val="18"/>
                <w:lang w:val="en-GB" w:bidi="th-TH"/>
              </w:rPr>
              <w:t>Regional report on methodologies and procedures for the application of aerial visual survey and remotely sensed data in coastal habitat management in the SCS marine basin published and accessible online</w:t>
            </w:r>
          </w:p>
        </w:tc>
        <w:tc>
          <w:tcPr>
            <w:tcW w:w="1839" w:type="dxa"/>
            <w:tcBorders>
              <w:top w:val="single" w:sz="4" w:space="0" w:color="auto"/>
              <w:left w:val="single" w:sz="4" w:space="0" w:color="auto"/>
              <w:bottom w:val="single" w:sz="4" w:space="0" w:color="auto"/>
              <w:right w:val="single" w:sz="4" w:space="0" w:color="auto"/>
            </w:tcBorders>
          </w:tcPr>
          <w:p w14:paraId="32BA31A3" w14:textId="77777777" w:rsidR="00323051" w:rsidRPr="00323051" w:rsidRDefault="00323051" w:rsidP="00323051">
            <w:pPr>
              <w:rPr>
                <w:sz w:val="18"/>
                <w:szCs w:val="18"/>
                <w:lang w:val="en-GB" w:bidi="th-TH"/>
              </w:rPr>
            </w:pPr>
            <w:r w:rsidRPr="00323051">
              <w:rPr>
                <w:sz w:val="18"/>
                <w:szCs w:val="18"/>
                <w:lang w:val="en-GB" w:bidi="th-TH"/>
              </w:rPr>
              <w:t>Adequate national and local capacity to ground-truth and conduct rapid assessments f</w:t>
            </w:r>
            <w:r w:rsidR="00955D78">
              <w:rPr>
                <w:sz w:val="18"/>
                <w:szCs w:val="18"/>
                <w:lang w:val="en-GB" w:bidi="th-TH"/>
              </w:rPr>
              <w:t>or validation of remotely sensed information and data</w:t>
            </w:r>
          </w:p>
        </w:tc>
      </w:tr>
      <w:tr w:rsidR="00B0697C" w:rsidRPr="00323051" w14:paraId="2F5AA273" w14:textId="77777777" w:rsidTr="004B053A">
        <w:tc>
          <w:tcPr>
            <w:tcW w:w="0" w:type="auto"/>
            <w:vMerge/>
            <w:tcBorders>
              <w:left w:val="single" w:sz="4" w:space="0" w:color="auto"/>
              <w:right w:val="single" w:sz="4" w:space="0" w:color="auto"/>
            </w:tcBorders>
            <w:vAlign w:val="center"/>
          </w:tcPr>
          <w:p w14:paraId="552BA0AD" w14:textId="77777777" w:rsidR="00323051" w:rsidRPr="00323051" w:rsidRDefault="00323051" w:rsidP="00323051">
            <w:pPr>
              <w:rPr>
                <w:sz w:val="18"/>
                <w:szCs w:val="18"/>
                <w:lang w:val="en-GB" w:bidi="th-TH"/>
              </w:rPr>
            </w:pPr>
          </w:p>
        </w:tc>
        <w:tc>
          <w:tcPr>
            <w:tcW w:w="1936" w:type="dxa"/>
            <w:vMerge/>
            <w:tcBorders>
              <w:left w:val="single" w:sz="4" w:space="0" w:color="auto"/>
              <w:right w:val="single" w:sz="4" w:space="0" w:color="auto"/>
            </w:tcBorders>
          </w:tcPr>
          <w:p w14:paraId="05BFF813"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309CA19B" w14:textId="77777777" w:rsidR="00323051" w:rsidRPr="00323051" w:rsidRDefault="00323051" w:rsidP="00323051">
            <w:pPr>
              <w:rPr>
                <w:sz w:val="18"/>
                <w:szCs w:val="18"/>
                <w:lang w:val="en-GB" w:bidi="th-TH"/>
              </w:rPr>
            </w:pPr>
            <w:r w:rsidRPr="00323051">
              <w:rPr>
                <w:sz w:val="18"/>
                <w:szCs w:val="18"/>
                <w:lang w:val="en-GB" w:bidi="th-TH"/>
              </w:rPr>
              <w:t>Number and completeness of regionally comparable coastal habitat site characterisations</w:t>
            </w:r>
            <w:r w:rsidR="003318C3">
              <w:rPr>
                <w:sz w:val="18"/>
                <w:szCs w:val="18"/>
                <w:lang w:val="en-GB" w:bidi="th-TH"/>
              </w:rPr>
              <w:t xml:space="preserve"> for 134 sites</w:t>
            </w:r>
          </w:p>
          <w:p w14:paraId="03F093B3" w14:textId="77777777" w:rsidR="00323051" w:rsidRPr="00323051" w:rsidRDefault="00323051" w:rsidP="00323051">
            <w:pPr>
              <w:rPr>
                <w:sz w:val="18"/>
                <w:szCs w:val="18"/>
                <w:lang w:val="en-GB" w:bidi="th-TH"/>
              </w:rPr>
            </w:pPr>
          </w:p>
          <w:p w14:paraId="3F5EEC14" w14:textId="77777777" w:rsidR="00323051" w:rsidRPr="00323051" w:rsidRDefault="00323051" w:rsidP="00323051">
            <w:pPr>
              <w:rPr>
                <w:sz w:val="18"/>
                <w:szCs w:val="18"/>
                <w:lang w:val="en-GB" w:bidi="th-TH"/>
              </w:rPr>
            </w:pPr>
            <w:r w:rsidRPr="00323051">
              <w:rPr>
                <w:sz w:val="18"/>
                <w:szCs w:val="18"/>
                <w:lang w:val="en-GB" w:bidi="th-TH"/>
              </w:rPr>
              <w:t xml:space="preserve">Number of datasets for </w:t>
            </w:r>
            <w:r w:rsidR="003318C3">
              <w:rPr>
                <w:sz w:val="18"/>
                <w:szCs w:val="18"/>
                <w:lang w:val="en-GB" w:bidi="th-TH"/>
              </w:rPr>
              <w:t xml:space="preserve">134 </w:t>
            </w:r>
            <w:r w:rsidRPr="00323051">
              <w:rPr>
                <w:sz w:val="18"/>
                <w:szCs w:val="18"/>
                <w:lang w:val="en-GB" w:bidi="th-TH"/>
              </w:rPr>
              <w:t>coastal habitat sites accessible online in centralised repositorty</w:t>
            </w:r>
          </w:p>
        </w:tc>
        <w:tc>
          <w:tcPr>
            <w:tcW w:w="1743" w:type="dxa"/>
            <w:tcBorders>
              <w:top w:val="single" w:sz="4" w:space="0" w:color="auto"/>
              <w:left w:val="single" w:sz="4" w:space="0" w:color="auto"/>
              <w:bottom w:val="single" w:sz="4" w:space="0" w:color="auto"/>
              <w:right w:val="single" w:sz="4" w:space="0" w:color="auto"/>
            </w:tcBorders>
          </w:tcPr>
          <w:p w14:paraId="3793A1FE" w14:textId="77777777" w:rsidR="00323051" w:rsidRPr="00323051" w:rsidRDefault="00323051" w:rsidP="00323051">
            <w:pPr>
              <w:rPr>
                <w:sz w:val="18"/>
                <w:szCs w:val="18"/>
                <w:lang w:val="en-GB" w:bidi="th-TH"/>
              </w:rPr>
            </w:pPr>
            <w:r w:rsidRPr="00323051">
              <w:rPr>
                <w:sz w:val="18"/>
                <w:szCs w:val="18"/>
                <w:lang w:val="en-GB" w:bidi="th-TH"/>
              </w:rPr>
              <w:t>Regional GIS and meta-database of SCS coastal habitat information developed but not updated since 2008 due to lack of a regional mechanism for collation and exchange of data</w:t>
            </w:r>
          </w:p>
        </w:tc>
        <w:tc>
          <w:tcPr>
            <w:tcW w:w="1955" w:type="dxa"/>
            <w:tcBorders>
              <w:top w:val="single" w:sz="4" w:space="0" w:color="auto"/>
              <w:left w:val="single" w:sz="4" w:space="0" w:color="auto"/>
              <w:bottom w:val="single" w:sz="4" w:space="0" w:color="auto"/>
              <w:right w:val="single" w:sz="4" w:space="0" w:color="auto"/>
            </w:tcBorders>
          </w:tcPr>
          <w:p w14:paraId="35BA683D" w14:textId="77777777" w:rsidR="00323051" w:rsidRPr="00323051" w:rsidRDefault="00323051" w:rsidP="00323051">
            <w:pPr>
              <w:rPr>
                <w:sz w:val="18"/>
                <w:szCs w:val="18"/>
                <w:lang w:val="en-GB" w:bidi="th-TH"/>
              </w:rPr>
            </w:pPr>
            <w:r w:rsidRPr="00323051">
              <w:rPr>
                <w:sz w:val="18"/>
                <w:szCs w:val="18"/>
                <w:lang w:val="en-GB" w:bidi="th-TH"/>
              </w:rPr>
              <w:t>2.1.2 Mechanism for collection and exchange of regional coastal habitat information and data established</w:t>
            </w:r>
          </w:p>
        </w:tc>
        <w:tc>
          <w:tcPr>
            <w:tcW w:w="1984" w:type="dxa"/>
            <w:tcBorders>
              <w:top w:val="single" w:sz="4" w:space="0" w:color="auto"/>
              <w:left w:val="single" w:sz="4" w:space="0" w:color="auto"/>
              <w:bottom w:val="single" w:sz="4" w:space="0" w:color="auto"/>
              <w:right w:val="single" w:sz="4" w:space="0" w:color="auto"/>
            </w:tcBorders>
          </w:tcPr>
          <w:p w14:paraId="4B3DB344" w14:textId="77777777" w:rsidR="00323051" w:rsidRPr="00323051" w:rsidRDefault="00323051" w:rsidP="00323051">
            <w:pPr>
              <w:rPr>
                <w:sz w:val="18"/>
                <w:szCs w:val="18"/>
                <w:lang w:val="en-GB" w:bidi="th-TH"/>
              </w:rPr>
            </w:pPr>
            <w:r w:rsidRPr="00323051">
              <w:rPr>
                <w:sz w:val="18"/>
                <w:szCs w:val="18"/>
                <w:lang w:val="en-GB" w:bidi="th-TH"/>
              </w:rPr>
              <w:t>Agreed site characterisation forms for the compilation of regionally comparable coastal habitat information and data</w:t>
            </w:r>
          </w:p>
          <w:p w14:paraId="19132002" w14:textId="77777777" w:rsidR="00323051" w:rsidRPr="00323051" w:rsidRDefault="00323051" w:rsidP="00323051">
            <w:pPr>
              <w:rPr>
                <w:sz w:val="18"/>
                <w:szCs w:val="18"/>
                <w:lang w:val="en-GB" w:bidi="th-TH"/>
              </w:rPr>
            </w:pPr>
          </w:p>
          <w:p w14:paraId="0DBF9A36" w14:textId="77777777" w:rsidR="00323051" w:rsidRPr="00323051" w:rsidRDefault="00323051" w:rsidP="00323051">
            <w:pPr>
              <w:rPr>
                <w:sz w:val="18"/>
                <w:szCs w:val="18"/>
                <w:lang w:val="en-GB" w:bidi="th-TH"/>
              </w:rPr>
            </w:pPr>
            <w:r w:rsidRPr="00323051">
              <w:rPr>
                <w:sz w:val="18"/>
                <w:szCs w:val="18"/>
                <w:lang w:val="en-GB" w:bidi="th-TH"/>
              </w:rPr>
              <w:t>GIS and meta-database online and routinely updated by SAP implementation partners</w:t>
            </w:r>
          </w:p>
        </w:tc>
        <w:tc>
          <w:tcPr>
            <w:tcW w:w="1839" w:type="dxa"/>
            <w:tcBorders>
              <w:top w:val="single" w:sz="4" w:space="0" w:color="auto"/>
              <w:left w:val="single" w:sz="4" w:space="0" w:color="auto"/>
              <w:bottom w:val="single" w:sz="4" w:space="0" w:color="auto"/>
              <w:right w:val="single" w:sz="4" w:space="0" w:color="auto"/>
            </w:tcBorders>
          </w:tcPr>
          <w:p w14:paraId="0A8BC6EA" w14:textId="77777777" w:rsidR="00323051" w:rsidRPr="00323051" w:rsidRDefault="00323051" w:rsidP="00323051">
            <w:pPr>
              <w:rPr>
                <w:sz w:val="18"/>
                <w:szCs w:val="18"/>
                <w:lang w:val="en-GB" w:bidi="th-TH"/>
              </w:rPr>
            </w:pPr>
            <w:r w:rsidRPr="00323051">
              <w:rPr>
                <w:sz w:val="18"/>
                <w:szCs w:val="18"/>
                <w:lang w:val="en-GB" w:bidi="th-TH"/>
              </w:rPr>
              <w:t>Engaging appropriate expertise to facilitate consensus on the selection of physical, biological and socio-economic variables to be used in characterising coastal habitat sites, as well as willingness of data holders to share</w:t>
            </w:r>
          </w:p>
        </w:tc>
      </w:tr>
      <w:tr w:rsidR="00B0697C" w:rsidRPr="00323051" w14:paraId="38F5CC62" w14:textId="77777777" w:rsidTr="004B053A">
        <w:tc>
          <w:tcPr>
            <w:tcW w:w="0" w:type="auto"/>
            <w:vMerge/>
            <w:tcBorders>
              <w:left w:val="single" w:sz="4" w:space="0" w:color="auto"/>
              <w:right w:val="single" w:sz="4" w:space="0" w:color="auto"/>
            </w:tcBorders>
            <w:vAlign w:val="center"/>
          </w:tcPr>
          <w:p w14:paraId="4316EC65" w14:textId="77777777" w:rsidR="00323051" w:rsidRPr="00323051" w:rsidRDefault="00323051" w:rsidP="00323051">
            <w:pPr>
              <w:rPr>
                <w:sz w:val="18"/>
                <w:szCs w:val="18"/>
                <w:lang w:val="en-GB" w:bidi="th-TH"/>
              </w:rPr>
            </w:pPr>
          </w:p>
        </w:tc>
        <w:tc>
          <w:tcPr>
            <w:tcW w:w="1936" w:type="dxa"/>
            <w:vMerge/>
            <w:tcBorders>
              <w:left w:val="single" w:sz="4" w:space="0" w:color="auto"/>
              <w:right w:val="single" w:sz="4" w:space="0" w:color="auto"/>
            </w:tcBorders>
          </w:tcPr>
          <w:p w14:paraId="6177B7A1"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48CC8CA1" w14:textId="77777777" w:rsidR="00323051" w:rsidRPr="00323051" w:rsidRDefault="00323051" w:rsidP="00323051">
            <w:pPr>
              <w:rPr>
                <w:sz w:val="18"/>
                <w:szCs w:val="18"/>
                <w:lang w:val="en-GB" w:bidi="th-TH"/>
              </w:rPr>
            </w:pPr>
            <w:r w:rsidRPr="00323051">
              <w:rPr>
                <w:sz w:val="18"/>
                <w:szCs w:val="18"/>
                <w:lang w:val="en-GB" w:bidi="th-TH"/>
              </w:rPr>
              <w:t>Volume of CO</w:t>
            </w:r>
            <w:r w:rsidRPr="00323051">
              <w:rPr>
                <w:sz w:val="18"/>
                <w:szCs w:val="18"/>
                <w:vertAlign w:val="subscript"/>
                <w:lang w:val="en-GB" w:bidi="th-TH"/>
              </w:rPr>
              <w:t>2</w:t>
            </w:r>
            <w:r w:rsidRPr="00323051">
              <w:rPr>
                <w:sz w:val="18"/>
                <w:szCs w:val="18"/>
                <w:lang w:val="en-GB" w:bidi="th-TH"/>
              </w:rPr>
              <w:t xml:space="preserve"> captured and stored by SCS habitats defined</w:t>
            </w:r>
          </w:p>
          <w:p w14:paraId="6A3BE0F7" w14:textId="77777777" w:rsidR="00323051" w:rsidRPr="00323051" w:rsidRDefault="00323051" w:rsidP="00323051">
            <w:pPr>
              <w:rPr>
                <w:sz w:val="18"/>
                <w:szCs w:val="18"/>
                <w:lang w:val="en-GB" w:bidi="th-TH"/>
              </w:rPr>
            </w:pPr>
          </w:p>
          <w:p w14:paraId="163253D3" w14:textId="77777777" w:rsidR="00323051" w:rsidRPr="00323051" w:rsidRDefault="00323051" w:rsidP="00323051">
            <w:pPr>
              <w:rPr>
                <w:sz w:val="18"/>
                <w:szCs w:val="18"/>
                <w:lang w:val="en-GB" w:bidi="th-TH"/>
              </w:rPr>
            </w:pPr>
            <w:r w:rsidRPr="00323051">
              <w:rPr>
                <w:sz w:val="18"/>
                <w:szCs w:val="18"/>
                <w:lang w:val="en-GB" w:bidi="th-TH"/>
              </w:rPr>
              <w:t>Extent of uptake of information on carbon sequestration and storage used in mgmt. planning</w:t>
            </w:r>
          </w:p>
        </w:tc>
        <w:tc>
          <w:tcPr>
            <w:tcW w:w="1743" w:type="dxa"/>
            <w:tcBorders>
              <w:top w:val="single" w:sz="4" w:space="0" w:color="auto"/>
              <w:left w:val="single" w:sz="4" w:space="0" w:color="auto"/>
              <w:bottom w:val="single" w:sz="4" w:space="0" w:color="auto"/>
              <w:right w:val="single" w:sz="4" w:space="0" w:color="auto"/>
            </w:tcBorders>
          </w:tcPr>
          <w:p w14:paraId="23C6954E" w14:textId="77777777" w:rsidR="00323051" w:rsidRPr="00323051" w:rsidRDefault="00323051" w:rsidP="00323051">
            <w:pPr>
              <w:rPr>
                <w:sz w:val="18"/>
                <w:szCs w:val="18"/>
                <w:lang w:val="en-GB" w:bidi="th-TH"/>
              </w:rPr>
            </w:pPr>
            <w:r w:rsidRPr="00323051">
              <w:rPr>
                <w:sz w:val="18"/>
                <w:szCs w:val="18"/>
                <w:lang w:val="en-GB" w:bidi="th-TH"/>
              </w:rPr>
              <w:t>Lack of SCS specific information on carbon sequestration by coastal habitats constrains resource managers in making political case for better resourcing</w:t>
            </w:r>
          </w:p>
        </w:tc>
        <w:tc>
          <w:tcPr>
            <w:tcW w:w="1955" w:type="dxa"/>
            <w:tcBorders>
              <w:top w:val="single" w:sz="4" w:space="0" w:color="auto"/>
              <w:left w:val="single" w:sz="4" w:space="0" w:color="auto"/>
              <w:bottom w:val="single" w:sz="4" w:space="0" w:color="auto"/>
              <w:right w:val="single" w:sz="4" w:space="0" w:color="auto"/>
            </w:tcBorders>
          </w:tcPr>
          <w:p w14:paraId="145A8809" w14:textId="77777777" w:rsidR="00323051" w:rsidRPr="00323051" w:rsidRDefault="00323051" w:rsidP="00323051">
            <w:pPr>
              <w:rPr>
                <w:sz w:val="18"/>
                <w:szCs w:val="18"/>
                <w:lang w:val="en-GB" w:bidi="th-TH"/>
              </w:rPr>
            </w:pPr>
            <w:r w:rsidRPr="00323051">
              <w:rPr>
                <w:sz w:val="18"/>
                <w:szCs w:val="18"/>
                <w:lang w:val="en-GB" w:bidi="th-TH"/>
              </w:rPr>
              <w:t>2.1.3 Role of coastal habitats of the South China Sea in the sequestration and storage of carbon quantified</w:t>
            </w:r>
            <w:r w:rsidR="006F7593">
              <w:rPr>
                <w:sz w:val="18"/>
                <w:szCs w:val="18"/>
                <w:lang w:val="en-GB" w:bidi="th-TH"/>
              </w:rPr>
              <w:t>, communicated to stakeholders, and applied in national and regional action planning</w:t>
            </w:r>
          </w:p>
        </w:tc>
        <w:tc>
          <w:tcPr>
            <w:tcW w:w="1984" w:type="dxa"/>
            <w:tcBorders>
              <w:top w:val="single" w:sz="4" w:space="0" w:color="auto"/>
              <w:left w:val="single" w:sz="4" w:space="0" w:color="auto"/>
              <w:bottom w:val="single" w:sz="4" w:space="0" w:color="auto"/>
              <w:right w:val="single" w:sz="4" w:space="0" w:color="auto"/>
            </w:tcBorders>
          </w:tcPr>
          <w:p w14:paraId="70218BAC" w14:textId="77777777" w:rsidR="00323051" w:rsidRPr="00323051" w:rsidRDefault="00323051" w:rsidP="00323051">
            <w:pPr>
              <w:rPr>
                <w:sz w:val="18"/>
                <w:szCs w:val="18"/>
                <w:lang w:val="en-GB" w:bidi="th-TH"/>
              </w:rPr>
            </w:pPr>
            <w:r w:rsidRPr="00323051">
              <w:rPr>
                <w:sz w:val="18"/>
                <w:szCs w:val="18"/>
                <w:lang w:val="en-GB" w:bidi="th-TH"/>
              </w:rPr>
              <w:t>Published report on the capture and storage of carbon by coastal habitats, including national and regional strategic planning recommendations, shared online</w:t>
            </w:r>
          </w:p>
        </w:tc>
        <w:tc>
          <w:tcPr>
            <w:tcW w:w="1839" w:type="dxa"/>
            <w:tcBorders>
              <w:top w:val="single" w:sz="4" w:space="0" w:color="auto"/>
              <w:left w:val="single" w:sz="4" w:space="0" w:color="auto"/>
              <w:bottom w:val="single" w:sz="4" w:space="0" w:color="auto"/>
              <w:right w:val="single" w:sz="4" w:space="0" w:color="auto"/>
            </w:tcBorders>
          </w:tcPr>
          <w:p w14:paraId="51F82D7C" w14:textId="77777777" w:rsidR="00323051" w:rsidRPr="00323051" w:rsidRDefault="00323051" w:rsidP="00323051">
            <w:pPr>
              <w:rPr>
                <w:sz w:val="18"/>
                <w:szCs w:val="18"/>
                <w:lang w:val="en-GB" w:bidi="th-TH"/>
              </w:rPr>
            </w:pPr>
            <w:r w:rsidRPr="00323051">
              <w:rPr>
                <w:sz w:val="18"/>
                <w:szCs w:val="18"/>
                <w:lang w:val="en-GB" w:bidi="th-TH"/>
              </w:rPr>
              <w:t>Appropriate selection of in-situ monitoring sites to minimise risks associated with: typhoon; emerging development pressures; and storm surge inundation</w:t>
            </w:r>
          </w:p>
        </w:tc>
      </w:tr>
      <w:tr w:rsidR="00B0697C" w:rsidRPr="00323051" w14:paraId="33E2AB9B" w14:textId="77777777" w:rsidTr="004B053A">
        <w:tc>
          <w:tcPr>
            <w:tcW w:w="0" w:type="auto"/>
            <w:vMerge/>
            <w:tcBorders>
              <w:left w:val="single" w:sz="4" w:space="0" w:color="auto"/>
              <w:right w:val="single" w:sz="4" w:space="0" w:color="auto"/>
            </w:tcBorders>
            <w:vAlign w:val="center"/>
          </w:tcPr>
          <w:p w14:paraId="48AE9960" w14:textId="77777777" w:rsidR="00323051" w:rsidRPr="00323051" w:rsidRDefault="00323051" w:rsidP="00323051">
            <w:pPr>
              <w:rPr>
                <w:sz w:val="18"/>
                <w:szCs w:val="18"/>
                <w:lang w:val="en-GB" w:bidi="th-TH"/>
              </w:rPr>
            </w:pPr>
          </w:p>
        </w:tc>
        <w:tc>
          <w:tcPr>
            <w:tcW w:w="1936" w:type="dxa"/>
            <w:vMerge/>
            <w:tcBorders>
              <w:left w:val="single" w:sz="4" w:space="0" w:color="auto"/>
              <w:right w:val="single" w:sz="4" w:space="0" w:color="auto"/>
            </w:tcBorders>
          </w:tcPr>
          <w:p w14:paraId="6D3EE68B"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211F4734" w14:textId="77777777" w:rsidR="00323051" w:rsidRPr="00323051" w:rsidRDefault="00323051" w:rsidP="00323051">
            <w:pPr>
              <w:rPr>
                <w:sz w:val="18"/>
                <w:szCs w:val="18"/>
                <w:lang w:val="en-GB" w:bidi="th-TH"/>
              </w:rPr>
            </w:pPr>
            <w:r w:rsidRPr="00323051">
              <w:rPr>
                <w:sz w:val="18"/>
                <w:szCs w:val="18"/>
                <w:lang w:val="en-GB" w:bidi="th-TH"/>
              </w:rPr>
              <w:t>Independent peer acceptance of review</w:t>
            </w:r>
          </w:p>
          <w:p w14:paraId="47FB4E29" w14:textId="77777777" w:rsidR="00323051" w:rsidRPr="00323051" w:rsidRDefault="00323051" w:rsidP="00323051">
            <w:pPr>
              <w:rPr>
                <w:sz w:val="18"/>
                <w:szCs w:val="18"/>
                <w:lang w:val="en-GB" w:bidi="th-TH"/>
              </w:rPr>
            </w:pPr>
          </w:p>
          <w:p w14:paraId="0EF2648C" w14:textId="77777777" w:rsidR="00323051" w:rsidRPr="00323051" w:rsidRDefault="00323051" w:rsidP="00323051">
            <w:pPr>
              <w:rPr>
                <w:sz w:val="18"/>
                <w:szCs w:val="18"/>
                <w:lang w:val="en-GB" w:bidi="th-TH"/>
              </w:rPr>
            </w:pPr>
            <w:r w:rsidRPr="00323051">
              <w:rPr>
                <w:sz w:val="18"/>
                <w:szCs w:val="18"/>
                <w:lang w:val="en-GB" w:bidi="th-TH"/>
              </w:rPr>
              <w:t>Extent of uptake of review and its recommendations in updating national action plans and diagnostic analyses</w:t>
            </w:r>
          </w:p>
        </w:tc>
        <w:tc>
          <w:tcPr>
            <w:tcW w:w="1743" w:type="dxa"/>
            <w:tcBorders>
              <w:top w:val="single" w:sz="4" w:space="0" w:color="auto"/>
              <w:left w:val="single" w:sz="4" w:space="0" w:color="auto"/>
              <w:bottom w:val="single" w:sz="4" w:space="0" w:color="auto"/>
              <w:right w:val="single" w:sz="4" w:space="0" w:color="auto"/>
            </w:tcBorders>
          </w:tcPr>
          <w:p w14:paraId="040806AF" w14:textId="77777777" w:rsidR="00323051" w:rsidRPr="00323051" w:rsidRDefault="00323051" w:rsidP="00323051">
            <w:pPr>
              <w:rPr>
                <w:sz w:val="18"/>
                <w:szCs w:val="18"/>
                <w:lang w:val="en-GB" w:bidi="th-TH"/>
              </w:rPr>
            </w:pPr>
            <w:r w:rsidRPr="00323051">
              <w:rPr>
                <w:sz w:val="18"/>
                <w:szCs w:val="18"/>
                <w:lang w:val="en-GB" w:bidi="th-TH"/>
              </w:rPr>
              <w:t>Sea level rise, climate variability and change, and episodic natural disasters in SC identified as threats to sustainable management of coastal habitats</w:t>
            </w:r>
          </w:p>
        </w:tc>
        <w:tc>
          <w:tcPr>
            <w:tcW w:w="1955" w:type="dxa"/>
            <w:tcBorders>
              <w:top w:val="single" w:sz="4" w:space="0" w:color="auto"/>
              <w:left w:val="single" w:sz="4" w:space="0" w:color="auto"/>
              <w:bottom w:val="single" w:sz="4" w:space="0" w:color="auto"/>
              <w:right w:val="single" w:sz="4" w:space="0" w:color="auto"/>
            </w:tcBorders>
          </w:tcPr>
          <w:p w14:paraId="42F5276A" w14:textId="77777777" w:rsidR="00323051" w:rsidRPr="00323051" w:rsidRDefault="00323051" w:rsidP="006F7593">
            <w:pPr>
              <w:rPr>
                <w:sz w:val="18"/>
                <w:szCs w:val="18"/>
                <w:lang w:val="en-GB" w:bidi="th-TH"/>
              </w:rPr>
            </w:pPr>
            <w:r w:rsidRPr="00323051">
              <w:rPr>
                <w:sz w:val="18"/>
                <w:szCs w:val="18"/>
                <w:lang w:val="en-GB" w:bidi="th-TH"/>
              </w:rPr>
              <w:t>2.1.4 Review of the potential impacts of sea level rise, climate change, and episodic events on coastal habitats of the South China Sea</w:t>
            </w:r>
            <w:r w:rsidR="006F7593">
              <w:rPr>
                <w:sz w:val="18"/>
                <w:szCs w:val="18"/>
                <w:lang w:val="en-GB" w:bidi="th-TH"/>
              </w:rPr>
              <w:t xml:space="preserve"> applied in national action planning and update of the SCS TDA</w:t>
            </w:r>
          </w:p>
        </w:tc>
        <w:tc>
          <w:tcPr>
            <w:tcW w:w="1984" w:type="dxa"/>
            <w:tcBorders>
              <w:top w:val="single" w:sz="4" w:space="0" w:color="auto"/>
              <w:left w:val="single" w:sz="4" w:space="0" w:color="auto"/>
              <w:bottom w:val="single" w:sz="4" w:space="0" w:color="auto"/>
              <w:right w:val="single" w:sz="4" w:space="0" w:color="auto"/>
            </w:tcBorders>
          </w:tcPr>
          <w:p w14:paraId="51F5DE0E" w14:textId="77777777" w:rsidR="00323051" w:rsidRPr="00323051" w:rsidRDefault="00323051" w:rsidP="00323051">
            <w:pPr>
              <w:rPr>
                <w:sz w:val="18"/>
                <w:szCs w:val="18"/>
                <w:lang w:val="en-GB" w:bidi="th-TH"/>
              </w:rPr>
            </w:pPr>
            <w:r w:rsidRPr="00323051">
              <w:rPr>
                <w:sz w:val="18"/>
                <w:szCs w:val="18"/>
                <w:lang w:val="en-GB" w:bidi="th-TH"/>
              </w:rPr>
              <w:t>Review report published and shared regionally</w:t>
            </w:r>
          </w:p>
          <w:p w14:paraId="6054A30A" w14:textId="77777777" w:rsidR="00323051" w:rsidRPr="00323051" w:rsidRDefault="00323051" w:rsidP="00323051">
            <w:pPr>
              <w:rPr>
                <w:sz w:val="18"/>
                <w:szCs w:val="18"/>
                <w:lang w:val="en-GB" w:bidi="th-TH"/>
              </w:rPr>
            </w:pPr>
          </w:p>
          <w:p w14:paraId="29FF9C50" w14:textId="77777777" w:rsidR="00323051" w:rsidRPr="00323051" w:rsidRDefault="00323051" w:rsidP="00323051">
            <w:pPr>
              <w:rPr>
                <w:sz w:val="18"/>
                <w:szCs w:val="18"/>
                <w:lang w:val="en-GB" w:bidi="th-TH"/>
              </w:rPr>
            </w:pPr>
            <w:r w:rsidRPr="00323051">
              <w:rPr>
                <w:sz w:val="18"/>
                <w:szCs w:val="18"/>
                <w:lang w:val="en-GB" w:bidi="th-TH"/>
              </w:rPr>
              <w:t>Communications on review outcomes published by media outlets and syndicated via GEF:LME LEARN</w:t>
            </w:r>
          </w:p>
        </w:tc>
        <w:tc>
          <w:tcPr>
            <w:tcW w:w="1839" w:type="dxa"/>
            <w:tcBorders>
              <w:top w:val="single" w:sz="4" w:space="0" w:color="auto"/>
              <w:left w:val="single" w:sz="4" w:space="0" w:color="auto"/>
              <w:bottom w:val="single" w:sz="4" w:space="0" w:color="auto"/>
              <w:right w:val="single" w:sz="4" w:space="0" w:color="auto"/>
            </w:tcBorders>
          </w:tcPr>
          <w:p w14:paraId="4E1C6F32" w14:textId="77777777" w:rsidR="00323051" w:rsidRPr="00323051" w:rsidRDefault="00323051" w:rsidP="00323051">
            <w:pPr>
              <w:rPr>
                <w:sz w:val="18"/>
                <w:szCs w:val="18"/>
                <w:lang w:val="en-GB" w:bidi="th-TH"/>
              </w:rPr>
            </w:pPr>
            <w:r w:rsidRPr="00323051">
              <w:rPr>
                <w:sz w:val="18"/>
                <w:szCs w:val="18"/>
                <w:lang w:val="en-GB" w:bidi="th-TH"/>
              </w:rPr>
              <w:t>Engaging appropriate breadth of expertise in conducting review to facilitate consensus building at both national and regional levels on findings and recommendations</w:t>
            </w:r>
          </w:p>
        </w:tc>
      </w:tr>
      <w:tr w:rsidR="00B0697C" w:rsidRPr="00323051" w14:paraId="6EEFD96C" w14:textId="77777777" w:rsidTr="004B053A">
        <w:tc>
          <w:tcPr>
            <w:tcW w:w="0" w:type="auto"/>
            <w:vMerge/>
            <w:tcBorders>
              <w:left w:val="single" w:sz="4" w:space="0" w:color="auto"/>
              <w:right w:val="single" w:sz="4" w:space="0" w:color="auto"/>
            </w:tcBorders>
            <w:vAlign w:val="center"/>
          </w:tcPr>
          <w:p w14:paraId="19DE1601" w14:textId="77777777" w:rsidR="00323051" w:rsidRPr="00323051" w:rsidRDefault="00323051" w:rsidP="00323051">
            <w:pPr>
              <w:rPr>
                <w:sz w:val="18"/>
                <w:szCs w:val="18"/>
                <w:lang w:val="en-GB" w:bidi="th-TH"/>
              </w:rPr>
            </w:pPr>
          </w:p>
        </w:tc>
        <w:tc>
          <w:tcPr>
            <w:tcW w:w="1936" w:type="dxa"/>
            <w:vMerge/>
            <w:tcBorders>
              <w:left w:val="single" w:sz="4" w:space="0" w:color="auto"/>
              <w:bottom w:val="single" w:sz="4" w:space="0" w:color="auto"/>
              <w:right w:val="single" w:sz="4" w:space="0" w:color="auto"/>
            </w:tcBorders>
          </w:tcPr>
          <w:p w14:paraId="77FEDCC8"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0768DC3F" w14:textId="77777777" w:rsidR="00323051" w:rsidRPr="00323051" w:rsidRDefault="00323051" w:rsidP="00323051">
            <w:pPr>
              <w:rPr>
                <w:sz w:val="18"/>
                <w:szCs w:val="18"/>
                <w:lang w:val="en-GB" w:bidi="th-TH"/>
              </w:rPr>
            </w:pPr>
            <w:r w:rsidRPr="00323051">
              <w:rPr>
                <w:sz w:val="18"/>
                <w:szCs w:val="18"/>
                <w:lang w:val="en-GB" w:bidi="th-TH"/>
              </w:rPr>
              <w:t>Number of updated National Action Plans</w:t>
            </w:r>
            <w:r w:rsidR="00910656">
              <w:rPr>
                <w:sz w:val="18"/>
                <w:szCs w:val="18"/>
                <w:lang w:val="en-GB" w:bidi="th-TH"/>
              </w:rPr>
              <w:t xml:space="preserve">, including </w:t>
            </w:r>
            <w:r w:rsidR="007F26F1">
              <w:rPr>
                <w:sz w:val="18"/>
                <w:szCs w:val="18"/>
                <w:lang w:val="en-GB" w:bidi="th-TH"/>
              </w:rPr>
              <w:t xml:space="preserve">institutional reform and </w:t>
            </w:r>
            <w:r w:rsidR="00910656">
              <w:rPr>
                <w:sz w:val="18"/>
                <w:szCs w:val="18"/>
                <w:lang w:val="en-GB" w:bidi="th-TH"/>
              </w:rPr>
              <w:t>sustainable financing strategies,</w:t>
            </w:r>
            <w:r w:rsidRPr="00323051">
              <w:rPr>
                <w:sz w:val="18"/>
                <w:szCs w:val="18"/>
                <w:lang w:val="en-GB" w:bidi="th-TH"/>
              </w:rPr>
              <w:t xml:space="preserve"> adopted</w:t>
            </w:r>
          </w:p>
          <w:p w14:paraId="5CD60C77" w14:textId="77777777" w:rsidR="00323051" w:rsidRPr="00323051" w:rsidRDefault="00323051" w:rsidP="00323051">
            <w:pPr>
              <w:rPr>
                <w:sz w:val="18"/>
                <w:szCs w:val="18"/>
                <w:lang w:val="en-GB" w:bidi="th-TH"/>
              </w:rPr>
            </w:pPr>
          </w:p>
          <w:p w14:paraId="1AA9182F" w14:textId="77777777" w:rsidR="00323051" w:rsidRPr="00323051" w:rsidRDefault="00323051" w:rsidP="00323051">
            <w:pPr>
              <w:rPr>
                <w:sz w:val="18"/>
                <w:szCs w:val="18"/>
                <w:lang w:val="en-GB" w:bidi="th-TH"/>
              </w:rPr>
            </w:pPr>
            <w:r w:rsidRPr="00323051">
              <w:rPr>
                <w:sz w:val="18"/>
                <w:szCs w:val="18"/>
                <w:lang w:val="en-GB" w:bidi="th-TH"/>
              </w:rPr>
              <w:t xml:space="preserve">Number of </w:t>
            </w:r>
            <w:r w:rsidR="00542B15">
              <w:rPr>
                <w:sz w:val="18"/>
                <w:szCs w:val="18"/>
                <w:lang w:val="en-GB" w:bidi="th-TH"/>
              </w:rPr>
              <w:t xml:space="preserve">policies, </w:t>
            </w:r>
            <w:r w:rsidRPr="00323051">
              <w:rPr>
                <w:sz w:val="18"/>
                <w:szCs w:val="18"/>
                <w:lang w:val="en-GB" w:bidi="th-TH"/>
              </w:rPr>
              <w:t xml:space="preserve">laws and regulations adopted to enable action plan implementation </w:t>
            </w:r>
          </w:p>
        </w:tc>
        <w:tc>
          <w:tcPr>
            <w:tcW w:w="1743" w:type="dxa"/>
            <w:tcBorders>
              <w:top w:val="single" w:sz="4" w:space="0" w:color="auto"/>
              <w:left w:val="single" w:sz="4" w:space="0" w:color="auto"/>
              <w:bottom w:val="single" w:sz="4" w:space="0" w:color="auto"/>
              <w:right w:val="single" w:sz="4" w:space="0" w:color="auto"/>
            </w:tcBorders>
          </w:tcPr>
          <w:p w14:paraId="64118C94" w14:textId="77777777" w:rsidR="00323051" w:rsidRPr="00323051" w:rsidRDefault="00323051" w:rsidP="00323051">
            <w:pPr>
              <w:rPr>
                <w:sz w:val="18"/>
                <w:szCs w:val="18"/>
                <w:lang w:val="en-GB" w:bidi="th-TH"/>
              </w:rPr>
            </w:pPr>
            <w:r w:rsidRPr="00323051">
              <w:rPr>
                <w:sz w:val="18"/>
                <w:szCs w:val="18"/>
                <w:lang w:val="en-GB" w:bidi="th-TH"/>
              </w:rPr>
              <w:t>National Action Plans for mangroves, coral reefs, seagrass and wetlands developed and implemented during period 2002-2008</w:t>
            </w:r>
          </w:p>
        </w:tc>
        <w:tc>
          <w:tcPr>
            <w:tcW w:w="1955" w:type="dxa"/>
            <w:tcBorders>
              <w:top w:val="single" w:sz="4" w:space="0" w:color="auto"/>
              <w:left w:val="single" w:sz="4" w:space="0" w:color="auto"/>
              <w:bottom w:val="single" w:sz="4" w:space="0" w:color="auto"/>
              <w:right w:val="single" w:sz="4" w:space="0" w:color="auto"/>
            </w:tcBorders>
          </w:tcPr>
          <w:p w14:paraId="104AEAE0" w14:textId="77777777" w:rsidR="00323051" w:rsidRPr="00323051" w:rsidRDefault="00323051" w:rsidP="00910656">
            <w:pPr>
              <w:rPr>
                <w:sz w:val="18"/>
                <w:szCs w:val="18"/>
                <w:lang w:val="en-GB" w:bidi="th-TH"/>
              </w:rPr>
            </w:pPr>
            <w:r w:rsidRPr="00323051">
              <w:rPr>
                <w:sz w:val="18"/>
                <w:szCs w:val="18"/>
                <w:lang w:val="en-GB" w:bidi="th-TH"/>
              </w:rPr>
              <w:t xml:space="preserve">2.1.5 Updated and adopted National Action Plans for mangroves, coral reefs, seagrass and wetlands, including </w:t>
            </w:r>
            <w:r w:rsidR="007F26F1">
              <w:rPr>
                <w:sz w:val="18"/>
                <w:szCs w:val="18"/>
                <w:lang w:val="en-GB" w:bidi="th-TH"/>
              </w:rPr>
              <w:t xml:space="preserve">institutional reform and </w:t>
            </w:r>
            <w:r w:rsidR="00910656">
              <w:rPr>
                <w:sz w:val="18"/>
                <w:szCs w:val="18"/>
                <w:lang w:val="en-GB" w:bidi="th-TH"/>
              </w:rPr>
              <w:t>sustainable financing strategies</w:t>
            </w:r>
            <w:r w:rsidR="007F26F1">
              <w:rPr>
                <w:sz w:val="18"/>
                <w:szCs w:val="18"/>
                <w:lang w:val="en-GB" w:bidi="th-TH"/>
              </w:rPr>
              <w:t>,</w:t>
            </w:r>
            <w:r w:rsidR="00910656">
              <w:rPr>
                <w:sz w:val="18"/>
                <w:szCs w:val="18"/>
                <w:lang w:val="en-GB" w:bidi="th-TH"/>
              </w:rPr>
              <w:t xml:space="preserve"> and the </w:t>
            </w:r>
            <w:r w:rsidRPr="00323051">
              <w:rPr>
                <w:sz w:val="18"/>
                <w:szCs w:val="18"/>
                <w:lang w:val="en-GB" w:bidi="th-TH"/>
              </w:rPr>
              <w:t>enactment of supporting legislation where required</w:t>
            </w:r>
          </w:p>
        </w:tc>
        <w:tc>
          <w:tcPr>
            <w:tcW w:w="1984" w:type="dxa"/>
            <w:tcBorders>
              <w:top w:val="single" w:sz="4" w:space="0" w:color="auto"/>
              <w:left w:val="single" w:sz="4" w:space="0" w:color="auto"/>
              <w:bottom w:val="single" w:sz="4" w:space="0" w:color="auto"/>
              <w:right w:val="single" w:sz="4" w:space="0" w:color="auto"/>
            </w:tcBorders>
          </w:tcPr>
          <w:p w14:paraId="25215670" w14:textId="77777777" w:rsidR="00323051" w:rsidRPr="00323051" w:rsidRDefault="00323051" w:rsidP="00323051">
            <w:pPr>
              <w:rPr>
                <w:sz w:val="18"/>
                <w:szCs w:val="18"/>
                <w:lang w:val="en-GB" w:bidi="th-TH"/>
              </w:rPr>
            </w:pPr>
            <w:r w:rsidRPr="00323051">
              <w:rPr>
                <w:sz w:val="18"/>
                <w:szCs w:val="18"/>
                <w:lang w:val="en-GB" w:bidi="th-TH"/>
              </w:rPr>
              <w:t xml:space="preserve">Adopted National Action Plans </w:t>
            </w:r>
            <w:r w:rsidR="00910656">
              <w:rPr>
                <w:sz w:val="18"/>
                <w:szCs w:val="18"/>
                <w:lang w:val="en-GB" w:bidi="th-TH"/>
              </w:rPr>
              <w:t xml:space="preserve">and sustainable financing strategies </w:t>
            </w:r>
            <w:r w:rsidRPr="00323051">
              <w:rPr>
                <w:sz w:val="18"/>
                <w:szCs w:val="18"/>
                <w:lang w:val="en-GB" w:bidi="th-TH"/>
              </w:rPr>
              <w:t>accessible online</w:t>
            </w:r>
          </w:p>
          <w:p w14:paraId="0AFDCFF9" w14:textId="77777777" w:rsidR="00323051" w:rsidRPr="00323051" w:rsidRDefault="00323051" w:rsidP="00323051">
            <w:pPr>
              <w:rPr>
                <w:sz w:val="18"/>
                <w:szCs w:val="18"/>
                <w:lang w:val="en-GB" w:bidi="th-TH"/>
              </w:rPr>
            </w:pPr>
          </w:p>
          <w:p w14:paraId="4620294C" w14:textId="77777777" w:rsidR="00323051" w:rsidRPr="00323051" w:rsidRDefault="00323051" w:rsidP="00323051">
            <w:pPr>
              <w:rPr>
                <w:sz w:val="18"/>
                <w:szCs w:val="18"/>
                <w:lang w:val="en-GB" w:bidi="th-TH"/>
              </w:rPr>
            </w:pPr>
            <w:r w:rsidRPr="00323051">
              <w:rPr>
                <w:sz w:val="18"/>
                <w:szCs w:val="18"/>
                <w:lang w:val="en-GB" w:bidi="th-TH"/>
              </w:rPr>
              <w:t>Executive orders, provincial/local ordinances and by-laws</w:t>
            </w:r>
          </w:p>
        </w:tc>
        <w:tc>
          <w:tcPr>
            <w:tcW w:w="1839" w:type="dxa"/>
            <w:tcBorders>
              <w:top w:val="single" w:sz="4" w:space="0" w:color="auto"/>
              <w:left w:val="single" w:sz="4" w:space="0" w:color="auto"/>
              <w:bottom w:val="single" w:sz="4" w:space="0" w:color="auto"/>
              <w:right w:val="single" w:sz="4" w:space="0" w:color="auto"/>
            </w:tcBorders>
          </w:tcPr>
          <w:p w14:paraId="5ADD1808" w14:textId="77777777" w:rsidR="00323051" w:rsidRPr="00323051" w:rsidRDefault="00323051" w:rsidP="00323051">
            <w:pPr>
              <w:rPr>
                <w:sz w:val="18"/>
                <w:szCs w:val="18"/>
                <w:lang w:val="en-GB" w:bidi="th-TH"/>
              </w:rPr>
            </w:pPr>
            <w:r w:rsidRPr="00323051">
              <w:rPr>
                <w:sz w:val="18"/>
                <w:szCs w:val="18"/>
                <w:lang w:val="en-GB" w:bidi="th-TH"/>
              </w:rPr>
              <w:t>Ministerial level commitment to adopt updated management plans and enact supporting legislation</w:t>
            </w:r>
          </w:p>
        </w:tc>
      </w:tr>
      <w:tr w:rsidR="00B0697C" w:rsidRPr="00323051" w14:paraId="0A077550" w14:textId="77777777" w:rsidTr="004B053A">
        <w:tc>
          <w:tcPr>
            <w:tcW w:w="0" w:type="auto"/>
            <w:vMerge/>
            <w:tcBorders>
              <w:left w:val="single" w:sz="4" w:space="0" w:color="auto"/>
              <w:right w:val="single" w:sz="4" w:space="0" w:color="auto"/>
            </w:tcBorders>
            <w:vAlign w:val="center"/>
          </w:tcPr>
          <w:p w14:paraId="0275015E" w14:textId="77777777" w:rsidR="00323051" w:rsidRPr="00323051" w:rsidRDefault="00323051" w:rsidP="00323051">
            <w:pPr>
              <w:rPr>
                <w:sz w:val="18"/>
                <w:szCs w:val="18"/>
                <w:lang w:val="en-GB" w:bidi="th-TH"/>
              </w:rPr>
            </w:pPr>
          </w:p>
        </w:tc>
        <w:tc>
          <w:tcPr>
            <w:tcW w:w="1936" w:type="dxa"/>
            <w:vMerge w:val="restart"/>
            <w:tcBorders>
              <w:top w:val="single" w:sz="4" w:space="0" w:color="auto"/>
              <w:left w:val="single" w:sz="4" w:space="0" w:color="auto"/>
              <w:right w:val="single" w:sz="4" w:space="0" w:color="auto"/>
            </w:tcBorders>
          </w:tcPr>
          <w:p w14:paraId="5DC233CF" w14:textId="77777777" w:rsidR="00323051" w:rsidRPr="00323051" w:rsidRDefault="00323051" w:rsidP="00323051">
            <w:pPr>
              <w:rPr>
                <w:sz w:val="18"/>
                <w:szCs w:val="18"/>
                <w:lang w:val="en-GB" w:bidi="th-TH"/>
              </w:rPr>
            </w:pPr>
            <w:r w:rsidRPr="00323051">
              <w:rPr>
                <w:sz w:val="18"/>
                <w:szCs w:val="18"/>
                <w:lang w:val="en-GB" w:bidi="th-TH"/>
              </w:rPr>
              <w:t>2.2 Effective integration of regional science in the management of land-based pollution</w:t>
            </w:r>
          </w:p>
        </w:tc>
        <w:tc>
          <w:tcPr>
            <w:tcW w:w="1881" w:type="dxa"/>
            <w:tcBorders>
              <w:top w:val="single" w:sz="4" w:space="0" w:color="auto"/>
              <w:left w:val="single" w:sz="4" w:space="0" w:color="auto"/>
              <w:bottom w:val="single" w:sz="4" w:space="0" w:color="auto"/>
              <w:right w:val="single" w:sz="4" w:space="0" w:color="auto"/>
            </w:tcBorders>
          </w:tcPr>
          <w:p w14:paraId="7E4A8309" w14:textId="77777777" w:rsidR="00323051" w:rsidRPr="00323051" w:rsidRDefault="00323051" w:rsidP="00323051">
            <w:pPr>
              <w:rPr>
                <w:sz w:val="18"/>
                <w:szCs w:val="18"/>
                <w:lang w:val="en-GB" w:bidi="th-TH"/>
              </w:rPr>
            </w:pPr>
            <w:r w:rsidRPr="00323051">
              <w:rPr>
                <w:sz w:val="18"/>
                <w:szCs w:val="18"/>
                <w:lang w:val="en-GB" w:bidi="th-TH"/>
              </w:rPr>
              <w:t>Extent of decision-maker awareness of localised v. transboundary impacts of land-based pollution in the SCS</w:t>
            </w:r>
          </w:p>
          <w:p w14:paraId="0B91E443" w14:textId="77777777" w:rsidR="00323051" w:rsidRPr="00323051" w:rsidRDefault="00323051" w:rsidP="00323051">
            <w:pPr>
              <w:rPr>
                <w:sz w:val="18"/>
                <w:szCs w:val="18"/>
                <w:lang w:val="en-GB" w:bidi="th-TH"/>
              </w:rPr>
            </w:pPr>
          </w:p>
          <w:p w14:paraId="76EE98B5" w14:textId="77777777" w:rsidR="00323051" w:rsidRPr="00323051" w:rsidRDefault="00323051" w:rsidP="00323051">
            <w:pPr>
              <w:rPr>
                <w:sz w:val="18"/>
                <w:szCs w:val="18"/>
                <w:lang w:val="en-GB" w:bidi="th-TH"/>
              </w:rPr>
            </w:pPr>
            <w:r w:rsidRPr="00323051">
              <w:rPr>
                <w:sz w:val="18"/>
                <w:szCs w:val="18"/>
                <w:lang w:val="en-GB" w:bidi="th-TH"/>
              </w:rPr>
              <w:t>Extent of use of model outputs in revising the Strategic Action Programme for the SCS</w:t>
            </w:r>
          </w:p>
        </w:tc>
        <w:tc>
          <w:tcPr>
            <w:tcW w:w="1743" w:type="dxa"/>
            <w:tcBorders>
              <w:top w:val="single" w:sz="4" w:space="0" w:color="auto"/>
              <w:left w:val="single" w:sz="4" w:space="0" w:color="auto"/>
              <w:bottom w:val="single" w:sz="4" w:space="0" w:color="auto"/>
              <w:right w:val="single" w:sz="4" w:space="0" w:color="auto"/>
            </w:tcBorders>
          </w:tcPr>
          <w:p w14:paraId="3A6544B3" w14:textId="77777777" w:rsidR="00323051" w:rsidRPr="00323051" w:rsidRDefault="00323051" w:rsidP="00323051">
            <w:pPr>
              <w:rPr>
                <w:sz w:val="18"/>
                <w:szCs w:val="18"/>
                <w:lang w:val="en-GB" w:bidi="th-TH"/>
              </w:rPr>
            </w:pPr>
            <w:r w:rsidRPr="00323051">
              <w:rPr>
                <w:sz w:val="18"/>
                <w:szCs w:val="18"/>
                <w:lang w:val="en-GB" w:bidi="th-TH"/>
              </w:rPr>
              <w:t>Carrying capacity of the SCS open shelf system based on its natural capacity to assimilate contaminants, in particular nutrient inputs from land, has been modelled although findings not well known by decision-makers</w:t>
            </w:r>
          </w:p>
        </w:tc>
        <w:tc>
          <w:tcPr>
            <w:tcW w:w="1955" w:type="dxa"/>
            <w:tcBorders>
              <w:top w:val="single" w:sz="4" w:space="0" w:color="auto"/>
              <w:left w:val="single" w:sz="4" w:space="0" w:color="auto"/>
              <w:bottom w:val="single" w:sz="4" w:space="0" w:color="auto"/>
              <w:right w:val="single" w:sz="4" w:space="0" w:color="auto"/>
            </w:tcBorders>
          </w:tcPr>
          <w:p w14:paraId="5A096510" w14:textId="77777777" w:rsidR="00323051" w:rsidRPr="00323051" w:rsidRDefault="00323051" w:rsidP="00323051">
            <w:pPr>
              <w:rPr>
                <w:sz w:val="18"/>
                <w:szCs w:val="18"/>
                <w:lang w:val="en-GB" w:bidi="th-TH"/>
              </w:rPr>
            </w:pPr>
            <w:r w:rsidRPr="00323051">
              <w:rPr>
                <w:sz w:val="18"/>
                <w:szCs w:val="18"/>
                <w:lang w:val="en-GB" w:bidi="th-TH"/>
              </w:rPr>
              <w:t xml:space="preserve">2.2.1 Nutrient carrying capacity model for the SCS marine basin used to communicate with decision-makers </w:t>
            </w:r>
            <w:r w:rsidR="006F7593">
              <w:rPr>
                <w:sz w:val="18"/>
                <w:szCs w:val="18"/>
                <w:lang w:val="en-GB" w:bidi="th-TH"/>
              </w:rPr>
              <w:t xml:space="preserve">and to inform management planning </w:t>
            </w:r>
            <w:r w:rsidRPr="00323051">
              <w:rPr>
                <w:sz w:val="18"/>
                <w:szCs w:val="18"/>
                <w:lang w:val="en-GB" w:bidi="th-TH"/>
              </w:rPr>
              <w:t>about the localized v. transboundary impacts of land-based pollution in the SCS</w:t>
            </w:r>
          </w:p>
        </w:tc>
        <w:tc>
          <w:tcPr>
            <w:tcW w:w="1984" w:type="dxa"/>
            <w:tcBorders>
              <w:top w:val="single" w:sz="4" w:space="0" w:color="auto"/>
              <w:left w:val="single" w:sz="4" w:space="0" w:color="auto"/>
              <w:bottom w:val="single" w:sz="4" w:space="0" w:color="auto"/>
              <w:right w:val="single" w:sz="4" w:space="0" w:color="auto"/>
            </w:tcBorders>
          </w:tcPr>
          <w:p w14:paraId="3576EF14" w14:textId="77777777" w:rsidR="00323051" w:rsidRPr="00323051" w:rsidRDefault="00323051" w:rsidP="00323051">
            <w:pPr>
              <w:rPr>
                <w:sz w:val="18"/>
                <w:szCs w:val="18"/>
                <w:lang w:val="en-GB" w:bidi="th-TH"/>
              </w:rPr>
            </w:pPr>
            <w:r w:rsidRPr="00323051">
              <w:rPr>
                <w:sz w:val="18"/>
                <w:szCs w:val="18"/>
                <w:lang w:val="en-GB" w:bidi="th-TH"/>
              </w:rPr>
              <w:t>Nutrient carrying capacity accessible online</w:t>
            </w:r>
          </w:p>
          <w:p w14:paraId="2EBEAB0F" w14:textId="77777777" w:rsidR="00323051" w:rsidRPr="00323051" w:rsidRDefault="00323051" w:rsidP="00323051">
            <w:pPr>
              <w:rPr>
                <w:sz w:val="18"/>
                <w:szCs w:val="18"/>
                <w:lang w:val="en-GB" w:bidi="th-TH"/>
              </w:rPr>
            </w:pPr>
          </w:p>
          <w:p w14:paraId="63B51B4A" w14:textId="77777777" w:rsidR="00323051" w:rsidRPr="00323051" w:rsidRDefault="00323051" w:rsidP="00323051">
            <w:pPr>
              <w:rPr>
                <w:sz w:val="18"/>
                <w:szCs w:val="18"/>
                <w:lang w:val="en-GB" w:bidi="th-TH"/>
              </w:rPr>
            </w:pPr>
            <w:r w:rsidRPr="00323051">
              <w:rPr>
                <w:sz w:val="18"/>
                <w:szCs w:val="18"/>
                <w:lang w:val="en-GB" w:bidi="th-TH"/>
              </w:rPr>
              <w:t>Communications products available for regional and global sharing</w:t>
            </w:r>
          </w:p>
          <w:p w14:paraId="35E4D29B" w14:textId="77777777" w:rsidR="00323051" w:rsidRPr="00323051" w:rsidRDefault="00323051" w:rsidP="00323051">
            <w:pPr>
              <w:rPr>
                <w:sz w:val="18"/>
                <w:szCs w:val="18"/>
                <w:lang w:val="en-GB" w:bidi="th-TH"/>
              </w:rPr>
            </w:pPr>
          </w:p>
          <w:p w14:paraId="26704D4A" w14:textId="77777777" w:rsidR="00323051" w:rsidRPr="00323051" w:rsidRDefault="00323051" w:rsidP="00323051">
            <w:pPr>
              <w:rPr>
                <w:sz w:val="18"/>
                <w:szCs w:val="18"/>
                <w:lang w:val="en-GB" w:bidi="th-TH"/>
              </w:rPr>
            </w:pPr>
            <w:r w:rsidRPr="00323051">
              <w:rPr>
                <w:sz w:val="18"/>
                <w:szCs w:val="18"/>
                <w:lang w:val="en-GB" w:bidi="th-TH"/>
              </w:rPr>
              <w:t>1 * IW Experience Note</w:t>
            </w:r>
          </w:p>
        </w:tc>
        <w:tc>
          <w:tcPr>
            <w:tcW w:w="1839" w:type="dxa"/>
            <w:tcBorders>
              <w:top w:val="single" w:sz="4" w:space="0" w:color="auto"/>
              <w:left w:val="single" w:sz="4" w:space="0" w:color="auto"/>
              <w:bottom w:val="single" w:sz="4" w:space="0" w:color="auto"/>
              <w:right w:val="single" w:sz="4" w:space="0" w:color="auto"/>
            </w:tcBorders>
          </w:tcPr>
          <w:p w14:paraId="3D51E693" w14:textId="77777777" w:rsidR="00323051" w:rsidRPr="00323051" w:rsidRDefault="00323051" w:rsidP="00323051">
            <w:pPr>
              <w:rPr>
                <w:sz w:val="18"/>
                <w:szCs w:val="18"/>
                <w:lang w:val="en-GB" w:bidi="th-TH"/>
              </w:rPr>
            </w:pPr>
            <w:r w:rsidRPr="00323051">
              <w:rPr>
                <w:sz w:val="18"/>
                <w:szCs w:val="18"/>
                <w:lang w:val="en-GB" w:bidi="th-TH"/>
              </w:rPr>
              <w:t>Communication strategy and products sufficiently well designed to achieve desired reach and impact</w:t>
            </w:r>
          </w:p>
        </w:tc>
      </w:tr>
      <w:tr w:rsidR="00B0697C" w:rsidRPr="00323051" w14:paraId="4BA4AB63" w14:textId="77777777" w:rsidTr="004B053A">
        <w:tc>
          <w:tcPr>
            <w:tcW w:w="0" w:type="auto"/>
            <w:vMerge/>
            <w:tcBorders>
              <w:left w:val="single" w:sz="4" w:space="0" w:color="auto"/>
              <w:right w:val="single" w:sz="4" w:space="0" w:color="auto"/>
            </w:tcBorders>
            <w:vAlign w:val="center"/>
          </w:tcPr>
          <w:p w14:paraId="5B2C44B8" w14:textId="77777777" w:rsidR="00323051" w:rsidRPr="00323051" w:rsidRDefault="00323051" w:rsidP="00323051">
            <w:pPr>
              <w:rPr>
                <w:sz w:val="18"/>
                <w:szCs w:val="18"/>
                <w:lang w:val="en-GB" w:bidi="th-TH"/>
              </w:rPr>
            </w:pPr>
          </w:p>
        </w:tc>
        <w:tc>
          <w:tcPr>
            <w:tcW w:w="1936" w:type="dxa"/>
            <w:vMerge/>
            <w:tcBorders>
              <w:left w:val="single" w:sz="4" w:space="0" w:color="auto"/>
              <w:right w:val="single" w:sz="4" w:space="0" w:color="auto"/>
            </w:tcBorders>
          </w:tcPr>
          <w:p w14:paraId="4C552BB2"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7A7A383B" w14:textId="77777777" w:rsidR="00323051" w:rsidRPr="00323051" w:rsidRDefault="00323051" w:rsidP="00323051">
            <w:pPr>
              <w:rPr>
                <w:sz w:val="18"/>
                <w:szCs w:val="18"/>
                <w:lang w:val="en-GB" w:bidi="th-TH"/>
              </w:rPr>
            </w:pPr>
            <w:r w:rsidRPr="00323051">
              <w:rPr>
                <w:sz w:val="18"/>
                <w:szCs w:val="18"/>
                <w:lang w:val="en-GB" w:bidi="th-TH"/>
              </w:rPr>
              <w:t>Extent of decision-maker awareness of SCS open shelf carrying capacity for heavy metal contaminants</w:t>
            </w:r>
          </w:p>
          <w:p w14:paraId="3DCC3734" w14:textId="77777777" w:rsidR="00323051" w:rsidRPr="00323051" w:rsidRDefault="00323051" w:rsidP="00323051">
            <w:pPr>
              <w:rPr>
                <w:sz w:val="18"/>
                <w:szCs w:val="18"/>
                <w:lang w:val="en-GB" w:bidi="th-TH"/>
              </w:rPr>
            </w:pPr>
          </w:p>
          <w:p w14:paraId="5E6EA4D3" w14:textId="77777777" w:rsidR="00323051" w:rsidRPr="00323051" w:rsidRDefault="00323051" w:rsidP="00323051">
            <w:pPr>
              <w:rPr>
                <w:sz w:val="18"/>
                <w:szCs w:val="18"/>
                <w:lang w:val="en-GB" w:bidi="th-TH"/>
              </w:rPr>
            </w:pPr>
            <w:r w:rsidRPr="00323051">
              <w:rPr>
                <w:sz w:val="18"/>
                <w:szCs w:val="18"/>
                <w:lang w:val="en-GB" w:bidi="th-TH"/>
              </w:rPr>
              <w:t>Extent of use of model outputs in revising the Strategic Action Programme for the SCS</w:t>
            </w:r>
          </w:p>
        </w:tc>
        <w:tc>
          <w:tcPr>
            <w:tcW w:w="1743" w:type="dxa"/>
            <w:tcBorders>
              <w:top w:val="single" w:sz="4" w:space="0" w:color="auto"/>
              <w:left w:val="single" w:sz="4" w:space="0" w:color="auto"/>
              <w:bottom w:val="single" w:sz="4" w:space="0" w:color="auto"/>
              <w:right w:val="single" w:sz="4" w:space="0" w:color="auto"/>
            </w:tcBorders>
          </w:tcPr>
          <w:p w14:paraId="55B611CF" w14:textId="77777777" w:rsidR="00323051" w:rsidRPr="00323051" w:rsidRDefault="00323051" w:rsidP="00323051">
            <w:pPr>
              <w:rPr>
                <w:sz w:val="18"/>
                <w:szCs w:val="18"/>
                <w:lang w:val="en-GB" w:bidi="th-TH"/>
              </w:rPr>
            </w:pPr>
            <w:r w:rsidRPr="00323051">
              <w:rPr>
                <w:sz w:val="18"/>
                <w:szCs w:val="18"/>
                <w:lang w:val="en-GB" w:bidi="th-TH"/>
              </w:rPr>
              <w:t>Need for simple model of pollution impacts under different development scenarios, specifically as they relate to heavy metal contaminant loadings</w:t>
            </w:r>
          </w:p>
        </w:tc>
        <w:tc>
          <w:tcPr>
            <w:tcW w:w="1955" w:type="dxa"/>
            <w:tcBorders>
              <w:top w:val="single" w:sz="4" w:space="0" w:color="auto"/>
              <w:left w:val="single" w:sz="4" w:space="0" w:color="auto"/>
              <w:bottom w:val="single" w:sz="4" w:space="0" w:color="auto"/>
              <w:right w:val="single" w:sz="4" w:space="0" w:color="auto"/>
            </w:tcBorders>
          </w:tcPr>
          <w:p w14:paraId="44D62643" w14:textId="77777777" w:rsidR="00323051" w:rsidRPr="00323051" w:rsidRDefault="00323051" w:rsidP="00F80027">
            <w:pPr>
              <w:rPr>
                <w:sz w:val="18"/>
                <w:szCs w:val="18"/>
                <w:lang w:val="en-GB" w:bidi="th-TH"/>
              </w:rPr>
            </w:pPr>
            <w:r w:rsidRPr="00323051">
              <w:rPr>
                <w:sz w:val="18"/>
                <w:szCs w:val="18"/>
                <w:lang w:val="en-GB" w:bidi="th-TH"/>
              </w:rPr>
              <w:t>2.2.2 Total contaminant loading and carrying capacity of the SCS estimated via application of quantitative modeling and GIS-based techniques for seven heavy metals (Hg, Cd, Pb, Cu, Cr, As, Zn)</w:t>
            </w:r>
            <w:r w:rsidR="006F7593">
              <w:rPr>
                <w:sz w:val="18"/>
                <w:szCs w:val="18"/>
                <w:lang w:val="en-GB" w:bidi="th-TH"/>
              </w:rPr>
              <w:t xml:space="preserve"> </w:t>
            </w:r>
            <w:r w:rsidR="003873C4">
              <w:rPr>
                <w:sz w:val="18"/>
                <w:szCs w:val="18"/>
                <w:lang w:val="en-GB" w:bidi="th-TH"/>
              </w:rPr>
              <w:t xml:space="preserve">and </w:t>
            </w:r>
            <w:r w:rsidR="003873C4" w:rsidRPr="003873C4">
              <w:rPr>
                <w:sz w:val="18"/>
                <w:szCs w:val="18"/>
                <w:lang w:val="en-GB" w:bidi="th-TH"/>
              </w:rPr>
              <w:t>applied in national and regional planning</w:t>
            </w:r>
          </w:p>
        </w:tc>
        <w:tc>
          <w:tcPr>
            <w:tcW w:w="1984" w:type="dxa"/>
            <w:tcBorders>
              <w:top w:val="single" w:sz="4" w:space="0" w:color="auto"/>
              <w:left w:val="single" w:sz="4" w:space="0" w:color="auto"/>
              <w:bottom w:val="single" w:sz="4" w:space="0" w:color="auto"/>
              <w:right w:val="single" w:sz="4" w:space="0" w:color="auto"/>
            </w:tcBorders>
          </w:tcPr>
          <w:p w14:paraId="6686C00A" w14:textId="77777777" w:rsidR="00323051" w:rsidRPr="00323051" w:rsidRDefault="00323051" w:rsidP="00323051">
            <w:pPr>
              <w:rPr>
                <w:sz w:val="18"/>
                <w:szCs w:val="18"/>
                <w:lang w:val="en-GB" w:bidi="th-TH"/>
              </w:rPr>
            </w:pPr>
            <w:r w:rsidRPr="00323051">
              <w:rPr>
                <w:sz w:val="18"/>
                <w:szCs w:val="18"/>
                <w:lang w:val="en-GB" w:bidi="th-TH"/>
              </w:rPr>
              <w:t>GIS-based model of SCS carrying capacity for heavy metal contamination developed &amp; online</w:t>
            </w:r>
          </w:p>
          <w:p w14:paraId="5A822875" w14:textId="77777777" w:rsidR="00323051" w:rsidRPr="00323051" w:rsidRDefault="00323051" w:rsidP="00323051">
            <w:pPr>
              <w:rPr>
                <w:sz w:val="18"/>
                <w:szCs w:val="18"/>
                <w:lang w:val="en-GB" w:bidi="th-TH"/>
              </w:rPr>
            </w:pPr>
          </w:p>
          <w:p w14:paraId="4E56EEC3" w14:textId="77777777" w:rsidR="00323051" w:rsidRPr="00323051" w:rsidRDefault="00323051" w:rsidP="00323051">
            <w:pPr>
              <w:rPr>
                <w:sz w:val="18"/>
                <w:szCs w:val="18"/>
                <w:lang w:val="en-GB" w:bidi="th-TH"/>
              </w:rPr>
            </w:pPr>
            <w:r w:rsidRPr="00323051">
              <w:rPr>
                <w:sz w:val="18"/>
                <w:szCs w:val="18"/>
                <w:lang w:val="en-GB" w:bidi="th-TH"/>
              </w:rPr>
              <w:t>Communications products available for regional and global sharing</w:t>
            </w:r>
          </w:p>
          <w:p w14:paraId="78129C02" w14:textId="77777777" w:rsidR="00323051" w:rsidRPr="00323051" w:rsidRDefault="00323051" w:rsidP="00323051">
            <w:pPr>
              <w:rPr>
                <w:sz w:val="18"/>
                <w:szCs w:val="18"/>
                <w:lang w:val="en-GB" w:bidi="th-TH"/>
              </w:rPr>
            </w:pPr>
          </w:p>
          <w:p w14:paraId="7CF7EB83" w14:textId="77777777" w:rsidR="00323051" w:rsidRPr="00323051" w:rsidRDefault="00323051" w:rsidP="00323051">
            <w:pPr>
              <w:rPr>
                <w:sz w:val="18"/>
                <w:szCs w:val="18"/>
                <w:lang w:val="en-GB" w:bidi="th-TH"/>
              </w:rPr>
            </w:pPr>
            <w:r w:rsidRPr="00323051">
              <w:rPr>
                <w:sz w:val="18"/>
                <w:szCs w:val="18"/>
                <w:lang w:val="en-GB" w:bidi="th-TH"/>
              </w:rPr>
              <w:t>1 * IW Experience Note</w:t>
            </w:r>
          </w:p>
        </w:tc>
        <w:tc>
          <w:tcPr>
            <w:tcW w:w="1839" w:type="dxa"/>
            <w:tcBorders>
              <w:top w:val="single" w:sz="4" w:space="0" w:color="auto"/>
              <w:left w:val="single" w:sz="4" w:space="0" w:color="auto"/>
              <w:bottom w:val="single" w:sz="4" w:space="0" w:color="auto"/>
              <w:right w:val="single" w:sz="4" w:space="0" w:color="auto"/>
            </w:tcBorders>
          </w:tcPr>
          <w:p w14:paraId="4E130B48" w14:textId="77777777" w:rsidR="00323051" w:rsidRPr="00323051" w:rsidRDefault="00323051" w:rsidP="00323051">
            <w:pPr>
              <w:rPr>
                <w:sz w:val="18"/>
                <w:szCs w:val="18"/>
                <w:lang w:val="en-GB" w:bidi="th-TH"/>
              </w:rPr>
            </w:pPr>
            <w:r w:rsidRPr="00323051">
              <w:rPr>
                <w:sz w:val="18"/>
                <w:szCs w:val="18"/>
                <w:lang w:val="en-GB" w:bidi="th-TH"/>
              </w:rPr>
              <w:t>That modelling may be carried out on a 2-dimensional basis and making the assumption that the surface, mixed layer is vertically homogeneous</w:t>
            </w:r>
          </w:p>
        </w:tc>
      </w:tr>
      <w:tr w:rsidR="00B0697C" w:rsidRPr="00323051" w14:paraId="0518607B" w14:textId="77777777" w:rsidTr="004B053A">
        <w:tc>
          <w:tcPr>
            <w:tcW w:w="0" w:type="auto"/>
            <w:vMerge/>
            <w:tcBorders>
              <w:left w:val="single" w:sz="4" w:space="0" w:color="auto"/>
              <w:right w:val="single" w:sz="4" w:space="0" w:color="auto"/>
            </w:tcBorders>
            <w:vAlign w:val="center"/>
          </w:tcPr>
          <w:p w14:paraId="074FD3D4" w14:textId="77777777" w:rsidR="00323051" w:rsidRPr="00323051" w:rsidRDefault="00323051" w:rsidP="00323051">
            <w:pPr>
              <w:rPr>
                <w:sz w:val="18"/>
                <w:szCs w:val="18"/>
                <w:lang w:val="en-GB" w:bidi="th-TH"/>
              </w:rPr>
            </w:pPr>
          </w:p>
        </w:tc>
        <w:tc>
          <w:tcPr>
            <w:tcW w:w="1936" w:type="dxa"/>
            <w:vMerge/>
            <w:tcBorders>
              <w:left w:val="single" w:sz="4" w:space="0" w:color="auto"/>
              <w:right w:val="single" w:sz="4" w:space="0" w:color="auto"/>
            </w:tcBorders>
          </w:tcPr>
          <w:p w14:paraId="1C7E1DD8"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2D4BB94B" w14:textId="77777777" w:rsidR="00323051" w:rsidRPr="00323051" w:rsidRDefault="00323051" w:rsidP="00323051">
            <w:pPr>
              <w:rPr>
                <w:sz w:val="18"/>
                <w:szCs w:val="18"/>
                <w:lang w:val="en-GB" w:bidi="th-TH"/>
              </w:rPr>
            </w:pPr>
            <w:r w:rsidRPr="00323051">
              <w:rPr>
                <w:sz w:val="18"/>
                <w:szCs w:val="18"/>
                <w:lang w:val="en-GB" w:bidi="th-TH"/>
              </w:rPr>
              <w:t>Status of initiative to quantify heavy metal contaminant impacts on: (a) water quality;</w:t>
            </w:r>
          </w:p>
          <w:p w14:paraId="4D103335" w14:textId="77777777" w:rsidR="00323051" w:rsidRPr="00323051" w:rsidRDefault="00323051" w:rsidP="00323051">
            <w:pPr>
              <w:rPr>
                <w:sz w:val="18"/>
                <w:szCs w:val="18"/>
                <w:lang w:val="en-GB" w:bidi="th-TH"/>
              </w:rPr>
            </w:pPr>
            <w:r w:rsidRPr="00323051">
              <w:rPr>
                <w:sz w:val="18"/>
                <w:szCs w:val="18"/>
                <w:lang w:val="en-GB" w:bidi="th-TH"/>
              </w:rPr>
              <w:t>(b) reproductive</w:t>
            </w:r>
          </w:p>
          <w:p w14:paraId="0189649B" w14:textId="77777777" w:rsidR="00323051" w:rsidRPr="00323051" w:rsidRDefault="00323051" w:rsidP="00323051">
            <w:pPr>
              <w:rPr>
                <w:sz w:val="18"/>
                <w:szCs w:val="18"/>
                <w:lang w:val="en-GB" w:bidi="th-TH"/>
              </w:rPr>
            </w:pPr>
            <w:r w:rsidRPr="00323051">
              <w:rPr>
                <w:sz w:val="18"/>
                <w:szCs w:val="18"/>
                <w:lang w:val="en-GB" w:bidi="th-TH"/>
              </w:rPr>
              <w:t>capacity of living resources; (c) contamination of</w:t>
            </w:r>
          </w:p>
          <w:p w14:paraId="0EE53473" w14:textId="77777777" w:rsidR="00323051" w:rsidRPr="00323051" w:rsidRDefault="00323051" w:rsidP="00323051">
            <w:pPr>
              <w:rPr>
                <w:sz w:val="18"/>
                <w:szCs w:val="18"/>
                <w:lang w:val="en-GB" w:bidi="th-TH"/>
              </w:rPr>
            </w:pPr>
            <w:r w:rsidRPr="00323051">
              <w:rPr>
                <w:sz w:val="18"/>
                <w:szCs w:val="18"/>
                <w:lang w:val="en-GB" w:bidi="th-TH"/>
              </w:rPr>
              <w:t>human food</w:t>
            </w:r>
          </w:p>
          <w:p w14:paraId="0A19E4B7" w14:textId="77777777" w:rsidR="00323051" w:rsidRPr="00323051" w:rsidRDefault="00323051" w:rsidP="00323051">
            <w:pPr>
              <w:rPr>
                <w:sz w:val="18"/>
                <w:szCs w:val="18"/>
                <w:lang w:val="en-GB" w:bidi="th-TH"/>
              </w:rPr>
            </w:pPr>
            <w:r w:rsidRPr="00323051">
              <w:rPr>
                <w:sz w:val="18"/>
                <w:szCs w:val="18"/>
                <w:lang w:val="en-GB" w:bidi="th-TH"/>
              </w:rPr>
              <w:t>sources; and (d) bio-accumulation.</w:t>
            </w:r>
          </w:p>
        </w:tc>
        <w:tc>
          <w:tcPr>
            <w:tcW w:w="1743" w:type="dxa"/>
            <w:tcBorders>
              <w:top w:val="single" w:sz="4" w:space="0" w:color="auto"/>
              <w:left w:val="single" w:sz="4" w:space="0" w:color="auto"/>
              <w:bottom w:val="single" w:sz="4" w:space="0" w:color="auto"/>
              <w:right w:val="single" w:sz="4" w:space="0" w:color="auto"/>
            </w:tcBorders>
          </w:tcPr>
          <w:p w14:paraId="1E6803A8" w14:textId="77777777" w:rsidR="00323051" w:rsidRPr="00323051" w:rsidRDefault="00323051" w:rsidP="00323051">
            <w:pPr>
              <w:rPr>
                <w:sz w:val="18"/>
                <w:szCs w:val="18"/>
                <w:lang w:val="en-GB" w:bidi="th-TH"/>
              </w:rPr>
            </w:pPr>
            <w:r w:rsidRPr="00323051">
              <w:rPr>
                <w:sz w:val="18"/>
                <w:szCs w:val="18"/>
                <w:lang w:val="en-GB" w:bidi="th-TH"/>
              </w:rPr>
              <w:t>Framework procedures for estimating the impacts of heavy metal contamination in SCS have been developed although not yet applied</w:t>
            </w:r>
          </w:p>
        </w:tc>
        <w:tc>
          <w:tcPr>
            <w:tcW w:w="1955" w:type="dxa"/>
            <w:tcBorders>
              <w:top w:val="single" w:sz="4" w:space="0" w:color="auto"/>
              <w:left w:val="single" w:sz="4" w:space="0" w:color="auto"/>
              <w:bottom w:val="single" w:sz="4" w:space="0" w:color="auto"/>
              <w:right w:val="single" w:sz="4" w:space="0" w:color="auto"/>
            </w:tcBorders>
          </w:tcPr>
          <w:p w14:paraId="17610496" w14:textId="77777777" w:rsidR="00323051" w:rsidRPr="00323051" w:rsidRDefault="00323051" w:rsidP="00323051">
            <w:pPr>
              <w:rPr>
                <w:sz w:val="18"/>
                <w:szCs w:val="18"/>
                <w:lang w:val="en-GB" w:bidi="th-TH"/>
              </w:rPr>
            </w:pPr>
            <w:r w:rsidRPr="00323051">
              <w:rPr>
                <w:sz w:val="18"/>
                <w:szCs w:val="18"/>
                <w:lang w:val="en-GB" w:bidi="th-TH"/>
              </w:rPr>
              <w:t>2.2.3 Impacts of estimated heavy metal contaminant loadings defined, quantified and communicated to decision-makers</w:t>
            </w:r>
          </w:p>
        </w:tc>
        <w:tc>
          <w:tcPr>
            <w:tcW w:w="1984" w:type="dxa"/>
            <w:tcBorders>
              <w:top w:val="single" w:sz="4" w:space="0" w:color="auto"/>
              <w:left w:val="single" w:sz="4" w:space="0" w:color="auto"/>
              <w:bottom w:val="single" w:sz="4" w:space="0" w:color="auto"/>
              <w:right w:val="single" w:sz="4" w:space="0" w:color="auto"/>
            </w:tcBorders>
          </w:tcPr>
          <w:p w14:paraId="7FF9A154" w14:textId="77777777" w:rsidR="00323051" w:rsidRPr="00323051" w:rsidRDefault="00323051" w:rsidP="00323051">
            <w:pPr>
              <w:rPr>
                <w:sz w:val="18"/>
                <w:szCs w:val="18"/>
                <w:lang w:val="en-GB" w:bidi="th-TH"/>
              </w:rPr>
            </w:pPr>
            <w:r w:rsidRPr="00323051">
              <w:rPr>
                <w:sz w:val="18"/>
                <w:szCs w:val="18"/>
                <w:lang w:val="en-GB" w:bidi="th-TH"/>
              </w:rPr>
              <w:t>Published report shared nationally and regionally, including national language translation where appropriate</w:t>
            </w:r>
          </w:p>
          <w:p w14:paraId="26AF09DE" w14:textId="77777777" w:rsidR="00323051" w:rsidRPr="00323051" w:rsidRDefault="00323051" w:rsidP="00323051">
            <w:pPr>
              <w:rPr>
                <w:sz w:val="18"/>
                <w:szCs w:val="18"/>
                <w:lang w:val="en-GB" w:bidi="th-TH"/>
              </w:rPr>
            </w:pPr>
          </w:p>
          <w:p w14:paraId="241A4C90" w14:textId="77777777" w:rsidR="00323051" w:rsidRPr="00323051" w:rsidRDefault="00323051" w:rsidP="00323051">
            <w:pPr>
              <w:rPr>
                <w:sz w:val="18"/>
                <w:szCs w:val="18"/>
                <w:lang w:val="en-GB" w:bidi="th-TH"/>
              </w:rPr>
            </w:pPr>
            <w:r w:rsidRPr="00323051">
              <w:rPr>
                <w:sz w:val="18"/>
                <w:szCs w:val="18"/>
                <w:lang w:val="en-GB" w:bidi="th-TH"/>
              </w:rPr>
              <w:t>1 * IW Experience Note</w:t>
            </w:r>
          </w:p>
        </w:tc>
        <w:tc>
          <w:tcPr>
            <w:tcW w:w="1839" w:type="dxa"/>
            <w:tcBorders>
              <w:top w:val="single" w:sz="4" w:space="0" w:color="auto"/>
              <w:left w:val="single" w:sz="4" w:space="0" w:color="auto"/>
              <w:bottom w:val="single" w:sz="4" w:space="0" w:color="auto"/>
              <w:right w:val="single" w:sz="4" w:space="0" w:color="auto"/>
            </w:tcBorders>
          </w:tcPr>
          <w:p w14:paraId="1FF7EBA8" w14:textId="77777777" w:rsidR="00323051" w:rsidRPr="00323051" w:rsidRDefault="00323051" w:rsidP="00323051">
            <w:pPr>
              <w:rPr>
                <w:sz w:val="18"/>
                <w:szCs w:val="18"/>
                <w:lang w:val="en-GB" w:bidi="th-TH"/>
              </w:rPr>
            </w:pPr>
            <w:r w:rsidRPr="00323051">
              <w:rPr>
                <w:sz w:val="18"/>
                <w:szCs w:val="18"/>
                <w:lang w:val="en-GB" w:bidi="th-TH"/>
              </w:rPr>
              <w:t xml:space="preserve">Characterisations of pollution hotspots provide adequate information regarding heavy metal contaminants and threats to environmental and public health </w:t>
            </w:r>
          </w:p>
        </w:tc>
      </w:tr>
      <w:tr w:rsidR="00B0697C" w:rsidRPr="00323051" w14:paraId="4C056762" w14:textId="77777777" w:rsidTr="004B053A">
        <w:trPr>
          <w:trHeight w:val="242"/>
        </w:trPr>
        <w:tc>
          <w:tcPr>
            <w:tcW w:w="0" w:type="auto"/>
            <w:vMerge/>
            <w:tcBorders>
              <w:left w:val="single" w:sz="4" w:space="0" w:color="auto"/>
              <w:right w:val="single" w:sz="4" w:space="0" w:color="auto"/>
            </w:tcBorders>
            <w:vAlign w:val="center"/>
          </w:tcPr>
          <w:p w14:paraId="1339F700" w14:textId="77777777" w:rsidR="00323051" w:rsidRPr="00323051" w:rsidRDefault="00323051" w:rsidP="00323051">
            <w:pPr>
              <w:rPr>
                <w:sz w:val="18"/>
                <w:szCs w:val="18"/>
                <w:lang w:val="en-GB" w:bidi="th-TH"/>
              </w:rPr>
            </w:pPr>
          </w:p>
        </w:tc>
        <w:tc>
          <w:tcPr>
            <w:tcW w:w="1936" w:type="dxa"/>
            <w:vMerge/>
            <w:tcBorders>
              <w:left w:val="single" w:sz="4" w:space="0" w:color="auto"/>
              <w:right w:val="single" w:sz="4" w:space="0" w:color="auto"/>
            </w:tcBorders>
          </w:tcPr>
          <w:p w14:paraId="31C563D6"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7C93E25A" w14:textId="77777777" w:rsidR="00323051" w:rsidRPr="00323051" w:rsidRDefault="00323051" w:rsidP="00323051">
            <w:pPr>
              <w:rPr>
                <w:sz w:val="18"/>
                <w:szCs w:val="18"/>
                <w:lang w:val="en-GB" w:bidi="th-TH"/>
              </w:rPr>
            </w:pPr>
            <w:r w:rsidRPr="00323051">
              <w:rPr>
                <w:sz w:val="18"/>
                <w:szCs w:val="18"/>
                <w:lang w:val="en-GB" w:bidi="th-TH"/>
              </w:rPr>
              <w:t>Number of heavy metal pollution hotspots characterised</w:t>
            </w:r>
          </w:p>
        </w:tc>
        <w:tc>
          <w:tcPr>
            <w:tcW w:w="1743" w:type="dxa"/>
            <w:tcBorders>
              <w:top w:val="single" w:sz="4" w:space="0" w:color="auto"/>
              <w:left w:val="single" w:sz="4" w:space="0" w:color="auto"/>
              <w:bottom w:val="single" w:sz="4" w:space="0" w:color="auto"/>
              <w:right w:val="single" w:sz="4" w:space="0" w:color="auto"/>
            </w:tcBorders>
          </w:tcPr>
          <w:p w14:paraId="505FA030" w14:textId="77777777" w:rsidR="00323051" w:rsidRPr="00323051" w:rsidRDefault="00323051" w:rsidP="00323051">
            <w:pPr>
              <w:rPr>
                <w:sz w:val="18"/>
                <w:szCs w:val="18"/>
                <w:lang w:val="en-GB" w:bidi="th-TH"/>
              </w:rPr>
            </w:pPr>
            <w:r w:rsidRPr="00323051">
              <w:rPr>
                <w:sz w:val="18"/>
                <w:szCs w:val="18"/>
                <w:lang w:val="en-GB" w:bidi="th-TH"/>
              </w:rPr>
              <w:t>Lack of regionally comparable information and data on heavy metal contaminated hotspots</w:t>
            </w:r>
          </w:p>
        </w:tc>
        <w:tc>
          <w:tcPr>
            <w:tcW w:w="1955" w:type="dxa"/>
            <w:tcBorders>
              <w:top w:val="single" w:sz="4" w:space="0" w:color="auto"/>
              <w:left w:val="single" w:sz="4" w:space="0" w:color="auto"/>
              <w:bottom w:val="single" w:sz="4" w:space="0" w:color="auto"/>
              <w:right w:val="single" w:sz="4" w:space="0" w:color="auto"/>
            </w:tcBorders>
          </w:tcPr>
          <w:p w14:paraId="7F913743" w14:textId="77777777" w:rsidR="00323051" w:rsidRPr="00323051" w:rsidRDefault="00323051" w:rsidP="00323051">
            <w:pPr>
              <w:rPr>
                <w:sz w:val="18"/>
                <w:szCs w:val="18"/>
                <w:lang w:val="en-GB" w:bidi="th-TH"/>
              </w:rPr>
            </w:pPr>
            <w:r w:rsidRPr="00323051">
              <w:rPr>
                <w:sz w:val="18"/>
                <w:szCs w:val="18"/>
                <w:lang w:val="en-GB" w:bidi="th-TH"/>
              </w:rPr>
              <w:t>2.2.4 Characterization of heavy metal pollution hotspots</w:t>
            </w:r>
          </w:p>
        </w:tc>
        <w:tc>
          <w:tcPr>
            <w:tcW w:w="1984" w:type="dxa"/>
            <w:tcBorders>
              <w:top w:val="single" w:sz="4" w:space="0" w:color="auto"/>
              <w:left w:val="single" w:sz="4" w:space="0" w:color="auto"/>
              <w:bottom w:val="single" w:sz="4" w:space="0" w:color="auto"/>
              <w:right w:val="single" w:sz="4" w:space="0" w:color="auto"/>
            </w:tcBorders>
          </w:tcPr>
          <w:p w14:paraId="0101FFC7" w14:textId="77777777" w:rsidR="00323051" w:rsidRPr="00323051" w:rsidRDefault="00323051" w:rsidP="00323051">
            <w:pPr>
              <w:rPr>
                <w:sz w:val="18"/>
                <w:szCs w:val="18"/>
                <w:lang w:val="en-GB" w:bidi="th-TH"/>
              </w:rPr>
            </w:pPr>
            <w:r w:rsidRPr="00323051">
              <w:rPr>
                <w:sz w:val="18"/>
                <w:szCs w:val="18"/>
                <w:lang w:val="en-GB" w:bidi="th-TH"/>
              </w:rPr>
              <w:t>Pollution hotspot site characterisation templates developed</w:t>
            </w:r>
          </w:p>
          <w:p w14:paraId="44BE2147" w14:textId="77777777" w:rsidR="00323051" w:rsidRPr="00323051" w:rsidRDefault="00323051" w:rsidP="00323051">
            <w:pPr>
              <w:rPr>
                <w:sz w:val="18"/>
                <w:szCs w:val="18"/>
                <w:lang w:val="en-GB" w:bidi="th-TH"/>
              </w:rPr>
            </w:pPr>
          </w:p>
          <w:p w14:paraId="4D0F6C2C" w14:textId="77777777" w:rsidR="00323051" w:rsidRPr="00323051" w:rsidRDefault="00323051" w:rsidP="00323051">
            <w:pPr>
              <w:rPr>
                <w:sz w:val="18"/>
                <w:szCs w:val="18"/>
                <w:lang w:val="en-GB" w:bidi="th-TH"/>
              </w:rPr>
            </w:pPr>
            <w:r w:rsidRPr="00323051">
              <w:rPr>
                <w:sz w:val="18"/>
                <w:szCs w:val="18"/>
                <w:lang w:val="en-GB" w:bidi="th-TH"/>
              </w:rPr>
              <w:t>Hotspot information accessible online</w:t>
            </w:r>
          </w:p>
        </w:tc>
        <w:tc>
          <w:tcPr>
            <w:tcW w:w="1839" w:type="dxa"/>
            <w:tcBorders>
              <w:top w:val="single" w:sz="4" w:space="0" w:color="auto"/>
              <w:left w:val="single" w:sz="4" w:space="0" w:color="auto"/>
              <w:bottom w:val="single" w:sz="4" w:space="0" w:color="auto"/>
              <w:right w:val="single" w:sz="4" w:space="0" w:color="auto"/>
            </w:tcBorders>
          </w:tcPr>
          <w:p w14:paraId="63B5AEF2" w14:textId="77777777" w:rsidR="00323051" w:rsidRPr="00323051" w:rsidRDefault="00323051" w:rsidP="00323051">
            <w:pPr>
              <w:rPr>
                <w:sz w:val="18"/>
                <w:szCs w:val="18"/>
                <w:lang w:val="en-GB" w:bidi="th-TH"/>
              </w:rPr>
            </w:pPr>
            <w:r w:rsidRPr="00323051">
              <w:rPr>
                <w:sz w:val="18"/>
                <w:szCs w:val="18"/>
                <w:lang w:val="en-GB" w:bidi="th-TH"/>
              </w:rPr>
              <w:t>Sufficient national and local capacity, including laboratory facilities, to compile regionally comparable site characterisations</w:t>
            </w:r>
          </w:p>
        </w:tc>
      </w:tr>
      <w:tr w:rsidR="00B0697C" w:rsidRPr="00323051" w14:paraId="31DE3283" w14:textId="77777777" w:rsidTr="004B053A">
        <w:tc>
          <w:tcPr>
            <w:tcW w:w="0" w:type="auto"/>
            <w:vMerge/>
            <w:tcBorders>
              <w:left w:val="single" w:sz="4" w:space="0" w:color="auto"/>
              <w:right w:val="single" w:sz="4" w:space="0" w:color="auto"/>
            </w:tcBorders>
            <w:vAlign w:val="center"/>
          </w:tcPr>
          <w:p w14:paraId="065C02E8" w14:textId="77777777" w:rsidR="00323051" w:rsidRPr="00323051" w:rsidRDefault="00323051" w:rsidP="00323051">
            <w:pPr>
              <w:rPr>
                <w:sz w:val="18"/>
                <w:szCs w:val="18"/>
                <w:lang w:val="en-GB" w:bidi="th-TH"/>
              </w:rPr>
            </w:pPr>
          </w:p>
        </w:tc>
        <w:tc>
          <w:tcPr>
            <w:tcW w:w="1936" w:type="dxa"/>
            <w:vMerge/>
            <w:tcBorders>
              <w:left w:val="single" w:sz="4" w:space="0" w:color="auto"/>
              <w:bottom w:val="single" w:sz="4" w:space="0" w:color="auto"/>
              <w:right w:val="single" w:sz="4" w:space="0" w:color="auto"/>
            </w:tcBorders>
          </w:tcPr>
          <w:p w14:paraId="12E82BC4"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6FE3BB7E" w14:textId="77777777" w:rsidR="00323051" w:rsidRPr="00323051" w:rsidRDefault="00323051" w:rsidP="00323051">
            <w:pPr>
              <w:rPr>
                <w:sz w:val="18"/>
                <w:szCs w:val="18"/>
                <w:lang w:val="en-GB" w:bidi="th-TH"/>
              </w:rPr>
            </w:pPr>
            <w:r w:rsidRPr="00323051">
              <w:rPr>
                <w:sz w:val="18"/>
                <w:szCs w:val="18"/>
                <w:lang w:val="en-GB" w:bidi="th-TH"/>
              </w:rPr>
              <w:t>Number of aquaculture sites for which effluent and contaminant loadings estimated</w:t>
            </w:r>
          </w:p>
        </w:tc>
        <w:tc>
          <w:tcPr>
            <w:tcW w:w="1743" w:type="dxa"/>
            <w:tcBorders>
              <w:top w:val="single" w:sz="4" w:space="0" w:color="auto"/>
              <w:left w:val="single" w:sz="4" w:space="0" w:color="auto"/>
              <w:bottom w:val="single" w:sz="4" w:space="0" w:color="auto"/>
              <w:right w:val="single" w:sz="4" w:space="0" w:color="auto"/>
            </w:tcBorders>
          </w:tcPr>
          <w:p w14:paraId="0E9CC0F2" w14:textId="77777777" w:rsidR="00323051" w:rsidRPr="00323051" w:rsidRDefault="00323051" w:rsidP="00323051">
            <w:pPr>
              <w:rPr>
                <w:sz w:val="18"/>
                <w:szCs w:val="18"/>
                <w:lang w:val="en-GB" w:bidi="th-TH"/>
              </w:rPr>
            </w:pPr>
            <w:r w:rsidRPr="00323051">
              <w:rPr>
                <w:sz w:val="18"/>
                <w:szCs w:val="18"/>
                <w:lang w:val="en-GB" w:bidi="th-TH"/>
              </w:rPr>
              <w:t>Effluent from aquaculture and mariculture operations identified as key threat to dominant coastal biomes</w:t>
            </w:r>
          </w:p>
        </w:tc>
        <w:tc>
          <w:tcPr>
            <w:tcW w:w="1955" w:type="dxa"/>
            <w:tcBorders>
              <w:top w:val="single" w:sz="4" w:space="0" w:color="auto"/>
              <w:left w:val="single" w:sz="4" w:space="0" w:color="auto"/>
              <w:bottom w:val="single" w:sz="4" w:space="0" w:color="auto"/>
              <w:right w:val="single" w:sz="4" w:space="0" w:color="auto"/>
            </w:tcBorders>
          </w:tcPr>
          <w:p w14:paraId="2EA2B43F" w14:textId="77777777" w:rsidR="00323051" w:rsidRPr="00323051" w:rsidRDefault="00323051" w:rsidP="00323051">
            <w:pPr>
              <w:rPr>
                <w:sz w:val="18"/>
                <w:szCs w:val="18"/>
                <w:lang w:val="en-GB" w:bidi="th-TH"/>
              </w:rPr>
            </w:pPr>
            <w:r w:rsidRPr="00323051">
              <w:rPr>
                <w:sz w:val="18"/>
                <w:szCs w:val="18"/>
                <w:lang w:val="en-GB" w:bidi="th-TH"/>
              </w:rPr>
              <w:t>2.2.5 Quantification of effluent volumes and contaminant loadings from coastal aquaculture to the SCS marine basin</w:t>
            </w:r>
          </w:p>
        </w:tc>
        <w:tc>
          <w:tcPr>
            <w:tcW w:w="1984" w:type="dxa"/>
            <w:tcBorders>
              <w:top w:val="single" w:sz="4" w:space="0" w:color="auto"/>
              <w:left w:val="single" w:sz="4" w:space="0" w:color="auto"/>
              <w:bottom w:val="single" w:sz="4" w:space="0" w:color="auto"/>
              <w:right w:val="single" w:sz="4" w:space="0" w:color="auto"/>
            </w:tcBorders>
          </w:tcPr>
          <w:p w14:paraId="32E98E6F" w14:textId="77777777" w:rsidR="00323051" w:rsidRPr="00323051" w:rsidRDefault="00323051" w:rsidP="00323051">
            <w:pPr>
              <w:rPr>
                <w:sz w:val="18"/>
                <w:szCs w:val="18"/>
                <w:lang w:val="en-GB" w:bidi="th-TH"/>
              </w:rPr>
            </w:pPr>
            <w:r w:rsidRPr="00323051">
              <w:rPr>
                <w:sz w:val="18"/>
                <w:szCs w:val="18"/>
                <w:lang w:val="en-GB" w:bidi="th-TH"/>
              </w:rPr>
              <w:t>Published methodology and procedures for estimating aquaculture pollution loadings and impacts</w:t>
            </w:r>
          </w:p>
          <w:p w14:paraId="4509FEFB" w14:textId="77777777" w:rsidR="00323051" w:rsidRPr="00323051" w:rsidRDefault="00323051" w:rsidP="00323051">
            <w:pPr>
              <w:rPr>
                <w:sz w:val="18"/>
                <w:szCs w:val="18"/>
                <w:lang w:val="en-GB" w:bidi="th-TH"/>
              </w:rPr>
            </w:pPr>
          </w:p>
          <w:p w14:paraId="2B87C80A" w14:textId="77777777" w:rsidR="00323051" w:rsidRPr="00323051" w:rsidRDefault="00323051" w:rsidP="00323051">
            <w:pPr>
              <w:rPr>
                <w:sz w:val="18"/>
                <w:szCs w:val="18"/>
                <w:lang w:val="en-GB" w:bidi="th-TH"/>
              </w:rPr>
            </w:pPr>
            <w:r w:rsidRPr="00323051">
              <w:rPr>
                <w:sz w:val="18"/>
                <w:szCs w:val="18"/>
                <w:lang w:val="en-GB" w:bidi="th-TH"/>
              </w:rPr>
              <w:t>1 * IW Experience Note</w:t>
            </w:r>
          </w:p>
        </w:tc>
        <w:tc>
          <w:tcPr>
            <w:tcW w:w="1839" w:type="dxa"/>
            <w:tcBorders>
              <w:top w:val="single" w:sz="4" w:space="0" w:color="auto"/>
              <w:left w:val="single" w:sz="4" w:space="0" w:color="auto"/>
              <w:bottom w:val="single" w:sz="4" w:space="0" w:color="auto"/>
              <w:right w:val="single" w:sz="4" w:space="0" w:color="auto"/>
            </w:tcBorders>
          </w:tcPr>
          <w:p w14:paraId="1311EDD8" w14:textId="77777777" w:rsidR="00323051" w:rsidRPr="00323051" w:rsidRDefault="00323051" w:rsidP="00323051">
            <w:pPr>
              <w:rPr>
                <w:sz w:val="18"/>
                <w:szCs w:val="18"/>
                <w:lang w:val="en-GB" w:bidi="th-TH"/>
              </w:rPr>
            </w:pPr>
            <w:r w:rsidRPr="00323051">
              <w:rPr>
                <w:sz w:val="18"/>
                <w:szCs w:val="18"/>
                <w:lang w:val="en-GB" w:bidi="th-TH"/>
              </w:rPr>
              <w:t>Willingness of private sector to engage and cooperate in efforts to determine environmental impact of operations</w:t>
            </w:r>
          </w:p>
        </w:tc>
      </w:tr>
      <w:tr w:rsidR="00B0697C" w:rsidRPr="00323051" w14:paraId="2878BBB7" w14:textId="77777777" w:rsidTr="004B053A">
        <w:tc>
          <w:tcPr>
            <w:tcW w:w="0" w:type="auto"/>
            <w:vMerge/>
            <w:tcBorders>
              <w:left w:val="single" w:sz="4" w:space="0" w:color="auto"/>
              <w:right w:val="single" w:sz="4" w:space="0" w:color="auto"/>
            </w:tcBorders>
            <w:vAlign w:val="center"/>
          </w:tcPr>
          <w:p w14:paraId="3444AA86" w14:textId="77777777" w:rsidR="00323051" w:rsidRPr="00323051" w:rsidRDefault="00323051" w:rsidP="00323051">
            <w:pPr>
              <w:rPr>
                <w:sz w:val="18"/>
                <w:szCs w:val="18"/>
                <w:lang w:val="en-GB" w:bidi="th-TH"/>
              </w:rPr>
            </w:pPr>
          </w:p>
        </w:tc>
        <w:tc>
          <w:tcPr>
            <w:tcW w:w="1936" w:type="dxa"/>
            <w:vMerge w:val="restart"/>
            <w:tcBorders>
              <w:top w:val="single" w:sz="4" w:space="0" w:color="auto"/>
              <w:left w:val="single" w:sz="4" w:space="0" w:color="auto"/>
              <w:right w:val="single" w:sz="4" w:space="0" w:color="auto"/>
            </w:tcBorders>
          </w:tcPr>
          <w:p w14:paraId="494EB5D7" w14:textId="77777777" w:rsidR="00323051" w:rsidRPr="00323051" w:rsidRDefault="00323051" w:rsidP="00323051">
            <w:pPr>
              <w:rPr>
                <w:sz w:val="18"/>
                <w:szCs w:val="18"/>
                <w:lang w:val="en-GB" w:bidi="th-TH"/>
              </w:rPr>
            </w:pPr>
            <w:r w:rsidRPr="00323051">
              <w:rPr>
                <w:sz w:val="18"/>
                <w:szCs w:val="18"/>
                <w:lang w:val="en-GB" w:bidi="th-TH"/>
              </w:rPr>
              <w:t>2.3 Strengthened and harmonized national policies and laws, and supporting financial mechanism, for the management of land-based sources of pollution</w:t>
            </w:r>
          </w:p>
        </w:tc>
        <w:tc>
          <w:tcPr>
            <w:tcW w:w="1881" w:type="dxa"/>
            <w:tcBorders>
              <w:top w:val="single" w:sz="4" w:space="0" w:color="auto"/>
              <w:left w:val="single" w:sz="4" w:space="0" w:color="auto"/>
              <w:bottom w:val="single" w:sz="4" w:space="0" w:color="auto"/>
              <w:right w:val="single" w:sz="4" w:space="0" w:color="auto"/>
            </w:tcBorders>
          </w:tcPr>
          <w:p w14:paraId="6BA2C6CE" w14:textId="77777777" w:rsidR="00323051" w:rsidRPr="00323051" w:rsidRDefault="00323051" w:rsidP="00323051">
            <w:pPr>
              <w:rPr>
                <w:sz w:val="18"/>
                <w:szCs w:val="18"/>
                <w:lang w:val="en-GB" w:bidi="th-TH"/>
              </w:rPr>
            </w:pPr>
            <w:r w:rsidRPr="00323051">
              <w:rPr>
                <w:sz w:val="18"/>
                <w:szCs w:val="18"/>
                <w:lang w:val="en-GB" w:bidi="th-TH"/>
              </w:rPr>
              <w:t>Number of best practice technologies and measures tested, documented and shared</w:t>
            </w:r>
          </w:p>
        </w:tc>
        <w:tc>
          <w:tcPr>
            <w:tcW w:w="1743" w:type="dxa"/>
            <w:tcBorders>
              <w:top w:val="single" w:sz="4" w:space="0" w:color="auto"/>
              <w:left w:val="single" w:sz="4" w:space="0" w:color="auto"/>
              <w:bottom w:val="single" w:sz="4" w:space="0" w:color="auto"/>
              <w:right w:val="single" w:sz="4" w:space="0" w:color="auto"/>
            </w:tcBorders>
          </w:tcPr>
          <w:p w14:paraId="5EB1B489" w14:textId="77777777" w:rsidR="00323051" w:rsidRPr="00323051" w:rsidRDefault="00323051" w:rsidP="00323051">
            <w:pPr>
              <w:rPr>
                <w:sz w:val="18"/>
                <w:szCs w:val="18"/>
                <w:lang w:val="en-GB" w:bidi="th-TH"/>
              </w:rPr>
            </w:pPr>
            <w:r w:rsidRPr="00323051">
              <w:rPr>
                <w:sz w:val="18"/>
                <w:szCs w:val="18"/>
                <w:lang w:val="en-GB" w:bidi="th-TH"/>
              </w:rPr>
              <w:t>Lesson learned in community-based wastewater mgmt. in Batam, Indonesia documented and shared regionally although other examples from East Asian seas region largely focus on broad scale ICM planning</w:t>
            </w:r>
          </w:p>
        </w:tc>
        <w:tc>
          <w:tcPr>
            <w:tcW w:w="1955" w:type="dxa"/>
            <w:tcBorders>
              <w:top w:val="single" w:sz="4" w:space="0" w:color="auto"/>
              <w:left w:val="single" w:sz="4" w:space="0" w:color="auto"/>
              <w:bottom w:val="single" w:sz="4" w:space="0" w:color="auto"/>
              <w:right w:val="single" w:sz="4" w:space="0" w:color="auto"/>
            </w:tcBorders>
          </w:tcPr>
          <w:p w14:paraId="6267D498" w14:textId="77777777" w:rsidR="00323051" w:rsidRPr="00323051" w:rsidRDefault="00323051" w:rsidP="00323051">
            <w:pPr>
              <w:rPr>
                <w:sz w:val="18"/>
                <w:szCs w:val="18"/>
                <w:lang w:val="en-GB" w:bidi="th-TH"/>
              </w:rPr>
            </w:pPr>
            <w:r w:rsidRPr="00323051">
              <w:rPr>
                <w:sz w:val="18"/>
                <w:szCs w:val="18"/>
                <w:lang w:val="en-GB" w:bidi="th-TH"/>
              </w:rPr>
              <w:t>2.3.1 National best practices in waste water management, law enforcement, and community and industry participation in managing land-based sources of pollution documented and shared</w:t>
            </w:r>
          </w:p>
        </w:tc>
        <w:tc>
          <w:tcPr>
            <w:tcW w:w="1984" w:type="dxa"/>
            <w:tcBorders>
              <w:top w:val="single" w:sz="4" w:space="0" w:color="auto"/>
              <w:left w:val="single" w:sz="4" w:space="0" w:color="auto"/>
              <w:bottom w:val="single" w:sz="4" w:space="0" w:color="auto"/>
              <w:right w:val="single" w:sz="4" w:space="0" w:color="auto"/>
            </w:tcBorders>
          </w:tcPr>
          <w:p w14:paraId="4453A97B" w14:textId="77777777" w:rsidR="00323051" w:rsidRPr="00323051" w:rsidRDefault="00323051" w:rsidP="00323051">
            <w:pPr>
              <w:rPr>
                <w:sz w:val="18"/>
                <w:szCs w:val="18"/>
                <w:lang w:val="en-GB" w:bidi="th-TH"/>
              </w:rPr>
            </w:pPr>
            <w:r w:rsidRPr="00323051">
              <w:rPr>
                <w:sz w:val="18"/>
                <w:szCs w:val="18"/>
                <w:lang w:val="en-GB" w:bidi="th-TH"/>
              </w:rPr>
              <w:t>Catalogue of best practice technologies and management approaches for land-based pollution published and accessible online</w:t>
            </w:r>
          </w:p>
        </w:tc>
        <w:tc>
          <w:tcPr>
            <w:tcW w:w="1839" w:type="dxa"/>
            <w:tcBorders>
              <w:top w:val="single" w:sz="4" w:space="0" w:color="auto"/>
              <w:left w:val="single" w:sz="4" w:space="0" w:color="auto"/>
              <w:bottom w:val="single" w:sz="4" w:space="0" w:color="auto"/>
              <w:right w:val="single" w:sz="4" w:space="0" w:color="auto"/>
            </w:tcBorders>
          </w:tcPr>
          <w:p w14:paraId="58999A7D" w14:textId="77777777" w:rsidR="00323051" w:rsidRPr="00323051" w:rsidRDefault="00323051" w:rsidP="00323051">
            <w:pPr>
              <w:rPr>
                <w:sz w:val="18"/>
                <w:szCs w:val="18"/>
                <w:lang w:val="en-GB" w:bidi="th-TH"/>
              </w:rPr>
            </w:pPr>
            <w:r w:rsidRPr="00323051">
              <w:rPr>
                <w:sz w:val="18"/>
                <w:szCs w:val="18"/>
                <w:lang w:val="en-GB" w:bidi="th-TH"/>
              </w:rPr>
              <w:t>Challenges and costs associated with demonstrating stress reduction benefits may constrain replication and upscaling</w:t>
            </w:r>
          </w:p>
          <w:p w14:paraId="17C8A034" w14:textId="77777777" w:rsidR="00323051" w:rsidRPr="00323051" w:rsidRDefault="00323051" w:rsidP="00323051">
            <w:pPr>
              <w:rPr>
                <w:sz w:val="18"/>
                <w:szCs w:val="18"/>
                <w:lang w:val="en-GB" w:bidi="th-TH"/>
              </w:rPr>
            </w:pPr>
          </w:p>
          <w:p w14:paraId="06B6A8DC" w14:textId="77777777" w:rsidR="00323051" w:rsidRPr="00323051" w:rsidRDefault="00323051" w:rsidP="00323051">
            <w:pPr>
              <w:rPr>
                <w:sz w:val="18"/>
                <w:szCs w:val="18"/>
                <w:lang w:val="en-GB" w:bidi="th-TH"/>
              </w:rPr>
            </w:pPr>
            <w:r w:rsidRPr="00323051">
              <w:rPr>
                <w:sz w:val="18"/>
                <w:szCs w:val="18"/>
                <w:lang w:val="en-GB" w:bidi="th-TH"/>
              </w:rPr>
              <w:t>Uptake of best practices may also be constrained if the publicizing of the benefits is inadequate</w:t>
            </w:r>
          </w:p>
        </w:tc>
      </w:tr>
      <w:tr w:rsidR="00B0697C" w:rsidRPr="00323051" w14:paraId="070ECF2C" w14:textId="77777777" w:rsidTr="004B053A">
        <w:tc>
          <w:tcPr>
            <w:tcW w:w="0" w:type="auto"/>
            <w:vMerge/>
            <w:tcBorders>
              <w:left w:val="single" w:sz="4" w:space="0" w:color="auto"/>
              <w:right w:val="single" w:sz="4" w:space="0" w:color="auto"/>
            </w:tcBorders>
            <w:vAlign w:val="center"/>
          </w:tcPr>
          <w:p w14:paraId="3AC6335F" w14:textId="77777777" w:rsidR="00323051" w:rsidRPr="00323051" w:rsidRDefault="00323051" w:rsidP="00323051">
            <w:pPr>
              <w:rPr>
                <w:sz w:val="18"/>
                <w:szCs w:val="18"/>
                <w:lang w:val="en-GB" w:bidi="th-TH"/>
              </w:rPr>
            </w:pPr>
          </w:p>
        </w:tc>
        <w:tc>
          <w:tcPr>
            <w:tcW w:w="1936" w:type="dxa"/>
            <w:vMerge/>
            <w:tcBorders>
              <w:left w:val="single" w:sz="4" w:space="0" w:color="auto"/>
              <w:right w:val="single" w:sz="4" w:space="0" w:color="auto"/>
            </w:tcBorders>
          </w:tcPr>
          <w:p w14:paraId="60AD9FD2"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7FD93319" w14:textId="77777777" w:rsidR="00323051" w:rsidRPr="00323051" w:rsidRDefault="00B0697C" w:rsidP="00323051">
            <w:pPr>
              <w:rPr>
                <w:sz w:val="18"/>
                <w:szCs w:val="18"/>
                <w:lang w:val="en-GB" w:bidi="th-TH"/>
              </w:rPr>
            </w:pPr>
            <w:r>
              <w:rPr>
                <w:sz w:val="18"/>
                <w:szCs w:val="18"/>
                <w:lang w:val="en-GB" w:bidi="th-TH"/>
              </w:rPr>
              <w:t>Number of countries with</w:t>
            </w:r>
            <w:r w:rsidR="00323051" w:rsidRPr="00323051">
              <w:rPr>
                <w:sz w:val="18"/>
                <w:szCs w:val="18"/>
                <w:lang w:val="en-GB" w:bidi="th-TH"/>
              </w:rPr>
              <w:t xml:space="preserve"> </w:t>
            </w:r>
            <w:r>
              <w:rPr>
                <w:sz w:val="18"/>
                <w:szCs w:val="18"/>
                <w:lang w:val="en-GB" w:bidi="th-TH"/>
              </w:rPr>
              <w:t xml:space="preserve">demonstrable </w:t>
            </w:r>
            <w:r w:rsidR="00323051" w:rsidRPr="00323051">
              <w:rPr>
                <w:sz w:val="18"/>
                <w:szCs w:val="18"/>
                <w:lang w:val="en-GB" w:bidi="th-TH"/>
              </w:rPr>
              <w:t>harmonization of sectoral governance frameworks achieved as a result of review findings</w:t>
            </w:r>
          </w:p>
        </w:tc>
        <w:tc>
          <w:tcPr>
            <w:tcW w:w="1743" w:type="dxa"/>
            <w:tcBorders>
              <w:top w:val="single" w:sz="4" w:space="0" w:color="auto"/>
              <w:left w:val="single" w:sz="4" w:space="0" w:color="auto"/>
              <w:bottom w:val="single" w:sz="4" w:space="0" w:color="auto"/>
              <w:right w:val="single" w:sz="4" w:space="0" w:color="auto"/>
            </w:tcBorders>
          </w:tcPr>
          <w:p w14:paraId="4A8A30EE" w14:textId="77777777" w:rsidR="00323051" w:rsidRPr="00323051" w:rsidRDefault="00323051" w:rsidP="00323051">
            <w:pPr>
              <w:rPr>
                <w:sz w:val="18"/>
                <w:szCs w:val="18"/>
                <w:lang w:val="en-GB" w:bidi="th-TH"/>
              </w:rPr>
            </w:pPr>
            <w:r w:rsidRPr="00323051">
              <w:rPr>
                <w:sz w:val="18"/>
                <w:szCs w:val="18"/>
                <w:lang w:val="en-GB" w:bidi="th-TH"/>
              </w:rPr>
              <w:t>Effectiveness of existing legal and institutional frameworks limited by predominantly single sector approaches</w:t>
            </w:r>
          </w:p>
        </w:tc>
        <w:tc>
          <w:tcPr>
            <w:tcW w:w="1955" w:type="dxa"/>
            <w:tcBorders>
              <w:top w:val="single" w:sz="4" w:space="0" w:color="auto"/>
              <w:left w:val="single" w:sz="4" w:space="0" w:color="auto"/>
              <w:bottom w:val="single" w:sz="4" w:space="0" w:color="auto"/>
              <w:right w:val="single" w:sz="4" w:space="0" w:color="auto"/>
            </w:tcBorders>
          </w:tcPr>
          <w:p w14:paraId="3283F533" w14:textId="77777777" w:rsidR="00323051" w:rsidRPr="00323051" w:rsidRDefault="00323051" w:rsidP="00323051">
            <w:pPr>
              <w:rPr>
                <w:sz w:val="18"/>
                <w:szCs w:val="18"/>
                <w:lang w:val="en-GB" w:bidi="th-TH"/>
              </w:rPr>
            </w:pPr>
            <w:r w:rsidRPr="00323051">
              <w:rPr>
                <w:sz w:val="18"/>
                <w:szCs w:val="18"/>
                <w:lang w:val="en-GB" w:bidi="th-TH"/>
              </w:rPr>
              <w:t>2.3.2 Review of legislative and institutional frameworks for land-based pollution management in participating countries</w:t>
            </w:r>
          </w:p>
        </w:tc>
        <w:tc>
          <w:tcPr>
            <w:tcW w:w="1984" w:type="dxa"/>
            <w:tcBorders>
              <w:top w:val="single" w:sz="4" w:space="0" w:color="auto"/>
              <w:left w:val="single" w:sz="4" w:space="0" w:color="auto"/>
              <w:bottom w:val="single" w:sz="4" w:space="0" w:color="auto"/>
              <w:right w:val="single" w:sz="4" w:space="0" w:color="auto"/>
            </w:tcBorders>
          </w:tcPr>
          <w:p w14:paraId="0B627E19" w14:textId="77777777" w:rsidR="00323051" w:rsidRPr="00323051" w:rsidRDefault="00323051" w:rsidP="00323051">
            <w:pPr>
              <w:rPr>
                <w:sz w:val="18"/>
                <w:szCs w:val="18"/>
                <w:lang w:val="en-GB" w:bidi="th-TH"/>
              </w:rPr>
            </w:pPr>
            <w:r w:rsidRPr="00323051">
              <w:rPr>
                <w:sz w:val="18"/>
                <w:szCs w:val="18"/>
                <w:lang w:val="en-GB" w:bidi="th-TH"/>
              </w:rPr>
              <w:t>Review published and shared regionally</w:t>
            </w:r>
          </w:p>
        </w:tc>
        <w:tc>
          <w:tcPr>
            <w:tcW w:w="1839" w:type="dxa"/>
            <w:tcBorders>
              <w:top w:val="single" w:sz="4" w:space="0" w:color="auto"/>
              <w:left w:val="single" w:sz="4" w:space="0" w:color="auto"/>
              <w:bottom w:val="single" w:sz="4" w:space="0" w:color="auto"/>
              <w:right w:val="single" w:sz="4" w:space="0" w:color="auto"/>
            </w:tcBorders>
          </w:tcPr>
          <w:p w14:paraId="5C8C2D04" w14:textId="77777777" w:rsidR="00323051" w:rsidRPr="00323051" w:rsidRDefault="00323051" w:rsidP="00323051">
            <w:pPr>
              <w:rPr>
                <w:sz w:val="18"/>
                <w:szCs w:val="18"/>
                <w:lang w:val="en-GB" w:bidi="th-TH"/>
              </w:rPr>
            </w:pPr>
            <w:r w:rsidRPr="00323051">
              <w:rPr>
                <w:sz w:val="18"/>
                <w:szCs w:val="18"/>
                <w:lang w:val="en-GB" w:bidi="th-TH"/>
              </w:rPr>
              <w:t>Willingness of sector agencies to participate in review</w:t>
            </w:r>
          </w:p>
          <w:p w14:paraId="08A7EB8A" w14:textId="77777777" w:rsidR="00323051" w:rsidRPr="00323051" w:rsidRDefault="00323051" w:rsidP="00323051">
            <w:pPr>
              <w:rPr>
                <w:sz w:val="18"/>
                <w:szCs w:val="18"/>
                <w:lang w:val="en-GB" w:bidi="th-TH"/>
              </w:rPr>
            </w:pPr>
          </w:p>
          <w:p w14:paraId="2D03D4FE" w14:textId="77777777" w:rsidR="00323051" w:rsidRPr="00323051" w:rsidRDefault="00323051" w:rsidP="00323051">
            <w:pPr>
              <w:rPr>
                <w:sz w:val="18"/>
                <w:szCs w:val="18"/>
                <w:lang w:val="en-GB" w:bidi="th-TH"/>
              </w:rPr>
            </w:pPr>
            <w:r w:rsidRPr="00323051">
              <w:rPr>
                <w:sz w:val="18"/>
                <w:szCs w:val="18"/>
                <w:lang w:val="en-GB" w:bidi="th-TH"/>
              </w:rPr>
              <w:t>Harmonization of governance frameworks may take longer than the period of the project</w:t>
            </w:r>
          </w:p>
        </w:tc>
      </w:tr>
      <w:tr w:rsidR="00B0697C" w:rsidRPr="00323051" w14:paraId="5CF6759F" w14:textId="77777777" w:rsidTr="004B053A">
        <w:tc>
          <w:tcPr>
            <w:tcW w:w="0" w:type="auto"/>
            <w:vMerge/>
            <w:tcBorders>
              <w:left w:val="single" w:sz="4" w:space="0" w:color="auto"/>
              <w:right w:val="single" w:sz="4" w:space="0" w:color="auto"/>
            </w:tcBorders>
            <w:vAlign w:val="center"/>
          </w:tcPr>
          <w:p w14:paraId="5E2E759E" w14:textId="77777777" w:rsidR="00323051" w:rsidRPr="00323051" w:rsidRDefault="00323051" w:rsidP="00323051">
            <w:pPr>
              <w:rPr>
                <w:sz w:val="18"/>
                <w:szCs w:val="18"/>
                <w:lang w:val="en-GB" w:bidi="th-TH"/>
              </w:rPr>
            </w:pPr>
          </w:p>
        </w:tc>
        <w:tc>
          <w:tcPr>
            <w:tcW w:w="1936" w:type="dxa"/>
            <w:vMerge/>
            <w:tcBorders>
              <w:left w:val="single" w:sz="4" w:space="0" w:color="auto"/>
              <w:right w:val="single" w:sz="4" w:space="0" w:color="auto"/>
            </w:tcBorders>
          </w:tcPr>
          <w:p w14:paraId="376315CD"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6F48266C" w14:textId="77777777" w:rsidR="00323051" w:rsidRPr="00323051" w:rsidRDefault="00323051" w:rsidP="00B0697C">
            <w:pPr>
              <w:rPr>
                <w:sz w:val="18"/>
                <w:szCs w:val="18"/>
                <w:lang w:val="en-GB" w:bidi="th-TH"/>
              </w:rPr>
            </w:pPr>
            <w:r w:rsidRPr="00323051">
              <w:rPr>
                <w:sz w:val="18"/>
                <w:szCs w:val="18"/>
                <w:lang w:val="en-GB" w:bidi="th-TH"/>
              </w:rPr>
              <w:t xml:space="preserve">Number of countries </w:t>
            </w:r>
            <w:r w:rsidR="00B0697C">
              <w:rPr>
                <w:sz w:val="18"/>
                <w:szCs w:val="18"/>
                <w:lang w:val="en-GB" w:bidi="th-TH"/>
              </w:rPr>
              <w:t>with demonstrable</w:t>
            </w:r>
            <w:r w:rsidRPr="00323051">
              <w:rPr>
                <w:sz w:val="18"/>
                <w:szCs w:val="18"/>
                <w:lang w:val="en-GB" w:bidi="th-TH"/>
              </w:rPr>
              <w:t xml:space="preserve"> adopt</w:t>
            </w:r>
            <w:r w:rsidR="00B0697C">
              <w:rPr>
                <w:sz w:val="18"/>
                <w:szCs w:val="18"/>
                <w:lang w:val="en-GB" w:bidi="th-TH"/>
              </w:rPr>
              <w:t>ion of</w:t>
            </w:r>
            <w:r w:rsidRPr="00323051">
              <w:rPr>
                <w:sz w:val="18"/>
                <w:szCs w:val="18"/>
                <w:lang w:val="en-GB" w:bidi="th-TH"/>
              </w:rPr>
              <w:t xml:space="preserve"> harmonized, regionally comparable SOPs </w:t>
            </w:r>
          </w:p>
        </w:tc>
        <w:tc>
          <w:tcPr>
            <w:tcW w:w="1743" w:type="dxa"/>
            <w:tcBorders>
              <w:top w:val="single" w:sz="4" w:space="0" w:color="auto"/>
              <w:left w:val="single" w:sz="4" w:space="0" w:color="auto"/>
              <w:bottom w:val="single" w:sz="4" w:space="0" w:color="auto"/>
              <w:right w:val="single" w:sz="4" w:space="0" w:color="auto"/>
            </w:tcBorders>
          </w:tcPr>
          <w:p w14:paraId="3DF6EBFB" w14:textId="77777777" w:rsidR="00323051" w:rsidRPr="00323051" w:rsidRDefault="00323051" w:rsidP="00323051">
            <w:pPr>
              <w:rPr>
                <w:sz w:val="18"/>
                <w:szCs w:val="18"/>
                <w:lang w:val="en-GB" w:bidi="th-TH"/>
              </w:rPr>
            </w:pPr>
            <w:r w:rsidRPr="00323051">
              <w:rPr>
                <w:sz w:val="18"/>
                <w:szCs w:val="18"/>
                <w:lang w:val="en-GB" w:bidi="th-TH"/>
              </w:rPr>
              <w:t>Lack of Standard Operating Procedures for land-based pollution management</w:t>
            </w:r>
          </w:p>
        </w:tc>
        <w:tc>
          <w:tcPr>
            <w:tcW w:w="1955" w:type="dxa"/>
            <w:tcBorders>
              <w:top w:val="single" w:sz="4" w:space="0" w:color="auto"/>
              <w:left w:val="single" w:sz="4" w:space="0" w:color="auto"/>
              <w:bottom w:val="single" w:sz="4" w:space="0" w:color="auto"/>
              <w:right w:val="single" w:sz="4" w:space="0" w:color="auto"/>
            </w:tcBorders>
          </w:tcPr>
          <w:p w14:paraId="44C7C1A4" w14:textId="77777777" w:rsidR="00323051" w:rsidRPr="00323051" w:rsidRDefault="00323051" w:rsidP="00323051">
            <w:pPr>
              <w:rPr>
                <w:sz w:val="18"/>
                <w:szCs w:val="18"/>
                <w:lang w:val="en-GB" w:bidi="th-TH"/>
              </w:rPr>
            </w:pPr>
            <w:r w:rsidRPr="00323051">
              <w:rPr>
                <w:sz w:val="18"/>
                <w:szCs w:val="18"/>
                <w:lang w:val="en-GB" w:bidi="th-TH"/>
              </w:rPr>
              <w:t>2.3.3 Harmonized national Standard Operating Procedures for land-based pollution control and management [including agreed sediment, biota, &amp; water quality criteria]</w:t>
            </w:r>
          </w:p>
        </w:tc>
        <w:tc>
          <w:tcPr>
            <w:tcW w:w="1984" w:type="dxa"/>
            <w:tcBorders>
              <w:top w:val="single" w:sz="4" w:space="0" w:color="auto"/>
              <w:left w:val="single" w:sz="4" w:space="0" w:color="auto"/>
              <w:bottom w:val="single" w:sz="4" w:space="0" w:color="auto"/>
              <w:right w:val="single" w:sz="4" w:space="0" w:color="auto"/>
            </w:tcBorders>
          </w:tcPr>
          <w:p w14:paraId="3E5C9907" w14:textId="77777777" w:rsidR="00323051" w:rsidRPr="00323051" w:rsidRDefault="00323051" w:rsidP="00323051">
            <w:pPr>
              <w:rPr>
                <w:sz w:val="18"/>
                <w:szCs w:val="18"/>
                <w:lang w:val="en-GB" w:bidi="th-TH"/>
              </w:rPr>
            </w:pPr>
            <w:r w:rsidRPr="00323051">
              <w:rPr>
                <w:sz w:val="18"/>
                <w:szCs w:val="18"/>
                <w:lang w:val="en-GB" w:bidi="th-TH"/>
              </w:rPr>
              <w:t>Regional guidelines on Standard Operating Procedures published</w:t>
            </w:r>
          </w:p>
          <w:p w14:paraId="01678354" w14:textId="77777777" w:rsidR="00323051" w:rsidRPr="00323051" w:rsidRDefault="00323051" w:rsidP="00323051">
            <w:pPr>
              <w:rPr>
                <w:sz w:val="18"/>
                <w:szCs w:val="18"/>
                <w:lang w:val="en-GB" w:bidi="th-TH"/>
              </w:rPr>
            </w:pPr>
          </w:p>
          <w:p w14:paraId="7B25E290" w14:textId="77777777" w:rsidR="00323051" w:rsidRPr="00323051" w:rsidRDefault="00323051" w:rsidP="00323051">
            <w:pPr>
              <w:rPr>
                <w:sz w:val="18"/>
                <w:szCs w:val="18"/>
                <w:lang w:val="en-GB" w:bidi="th-TH"/>
              </w:rPr>
            </w:pPr>
            <w:r w:rsidRPr="00323051">
              <w:rPr>
                <w:sz w:val="18"/>
                <w:szCs w:val="18"/>
                <w:lang w:val="en-GB" w:bidi="th-TH"/>
              </w:rPr>
              <w:t>Adopted National Standard Operating Procedures available online</w:t>
            </w:r>
          </w:p>
        </w:tc>
        <w:tc>
          <w:tcPr>
            <w:tcW w:w="1839" w:type="dxa"/>
            <w:tcBorders>
              <w:top w:val="single" w:sz="4" w:space="0" w:color="auto"/>
              <w:left w:val="single" w:sz="4" w:space="0" w:color="auto"/>
              <w:bottom w:val="single" w:sz="4" w:space="0" w:color="auto"/>
              <w:right w:val="single" w:sz="4" w:space="0" w:color="auto"/>
            </w:tcBorders>
          </w:tcPr>
          <w:p w14:paraId="77719F3A" w14:textId="77777777" w:rsidR="00323051" w:rsidRPr="00323051" w:rsidRDefault="00323051" w:rsidP="00323051">
            <w:pPr>
              <w:rPr>
                <w:sz w:val="18"/>
                <w:szCs w:val="18"/>
                <w:lang w:val="en-GB" w:bidi="th-TH"/>
              </w:rPr>
            </w:pPr>
            <w:r w:rsidRPr="00323051">
              <w:rPr>
                <w:sz w:val="18"/>
                <w:szCs w:val="18"/>
                <w:lang w:val="en-GB" w:bidi="th-TH"/>
              </w:rPr>
              <w:t xml:space="preserve">Willingness of sectoral agencies to participate in the development of Standard Operating Procedures </w:t>
            </w:r>
          </w:p>
        </w:tc>
      </w:tr>
      <w:tr w:rsidR="00B0697C" w:rsidRPr="00323051" w14:paraId="77EC01F1" w14:textId="77777777" w:rsidTr="004B053A">
        <w:tc>
          <w:tcPr>
            <w:tcW w:w="0" w:type="auto"/>
            <w:vMerge/>
            <w:tcBorders>
              <w:left w:val="single" w:sz="4" w:space="0" w:color="auto"/>
              <w:right w:val="single" w:sz="4" w:space="0" w:color="auto"/>
            </w:tcBorders>
            <w:vAlign w:val="center"/>
          </w:tcPr>
          <w:p w14:paraId="760B30D8" w14:textId="77777777" w:rsidR="00323051" w:rsidRPr="00323051" w:rsidRDefault="00323051" w:rsidP="00323051">
            <w:pPr>
              <w:rPr>
                <w:sz w:val="18"/>
                <w:szCs w:val="18"/>
                <w:lang w:val="en-GB" w:bidi="th-TH"/>
              </w:rPr>
            </w:pPr>
          </w:p>
        </w:tc>
        <w:tc>
          <w:tcPr>
            <w:tcW w:w="1936" w:type="dxa"/>
            <w:vMerge/>
            <w:tcBorders>
              <w:left w:val="single" w:sz="4" w:space="0" w:color="auto"/>
              <w:right w:val="single" w:sz="4" w:space="0" w:color="auto"/>
            </w:tcBorders>
          </w:tcPr>
          <w:p w14:paraId="265DD7BD"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792A3E81" w14:textId="77777777" w:rsidR="00323051" w:rsidRPr="00323051" w:rsidRDefault="00B0697C" w:rsidP="00B0697C">
            <w:pPr>
              <w:rPr>
                <w:sz w:val="18"/>
                <w:szCs w:val="18"/>
                <w:lang w:val="en-GB" w:bidi="th-TH"/>
              </w:rPr>
            </w:pPr>
            <w:r>
              <w:rPr>
                <w:sz w:val="18"/>
                <w:szCs w:val="18"/>
                <w:lang w:val="en-GB" w:bidi="th-TH"/>
              </w:rPr>
              <w:t>Number of countries with endorsed</w:t>
            </w:r>
            <w:r w:rsidR="00323051" w:rsidRPr="00323051">
              <w:rPr>
                <w:sz w:val="18"/>
                <w:szCs w:val="18"/>
                <w:lang w:val="en-GB" w:bidi="th-TH"/>
              </w:rPr>
              <w:t xml:space="preserve"> national policies and </w:t>
            </w:r>
            <w:r w:rsidRPr="00323051">
              <w:rPr>
                <w:sz w:val="18"/>
                <w:szCs w:val="18"/>
                <w:lang w:val="en-GB" w:bidi="th-TH"/>
              </w:rPr>
              <w:t>enact</w:t>
            </w:r>
            <w:r>
              <w:rPr>
                <w:sz w:val="18"/>
                <w:szCs w:val="18"/>
                <w:lang w:val="en-GB" w:bidi="th-TH"/>
              </w:rPr>
              <w:t>ed</w:t>
            </w:r>
            <w:r w:rsidRPr="00323051">
              <w:rPr>
                <w:sz w:val="18"/>
                <w:szCs w:val="18"/>
                <w:lang w:val="en-GB" w:bidi="th-TH"/>
              </w:rPr>
              <w:t xml:space="preserve"> </w:t>
            </w:r>
            <w:r w:rsidR="00323051" w:rsidRPr="00323051">
              <w:rPr>
                <w:sz w:val="18"/>
                <w:szCs w:val="18"/>
                <w:lang w:val="en-GB" w:bidi="th-TH"/>
              </w:rPr>
              <w:t>laws and regulations for land-based pollution control</w:t>
            </w:r>
          </w:p>
        </w:tc>
        <w:tc>
          <w:tcPr>
            <w:tcW w:w="1743" w:type="dxa"/>
            <w:tcBorders>
              <w:top w:val="single" w:sz="4" w:space="0" w:color="auto"/>
              <w:left w:val="single" w:sz="4" w:space="0" w:color="auto"/>
              <w:bottom w:val="single" w:sz="4" w:space="0" w:color="auto"/>
              <w:right w:val="single" w:sz="4" w:space="0" w:color="auto"/>
            </w:tcBorders>
          </w:tcPr>
          <w:p w14:paraId="64ACDAB0" w14:textId="77777777" w:rsidR="00323051" w:rsidRPr="00323051" w:rsidRDefault="00323051" w:rsidP="00323051">
            <w:pPr>
              <w:rPr>
                <w:sz w:val="18"/>
                <w:szCs w:val="18"/>
                <w:lang w:val="en-GB" w:bidi="th-TH"/>
              </w:rPr>
            </w:pPr>
            <w:r w:rsidRPr="00323051">
              <w:rPr>
                <w:sz w:val="18"/>
                <w:szCs w:val="18"/>
                <w:lang w:val="en-GB" w:bidi="th-TH"/>
              </w:rPr>
              <w:t>Absence of clear and effective policies, laws, and regulations relating to control of land-based pollution</w:t>
            </w:r>
          </w:p>
        </w:tc>
        <w:tc>
          <w:tcPr>
            <w:tcW w:w="1955" w:type="dxa"/>
            <w:tcBorders>
              <w:top w:val="single" w:sz="4" w:space="0" w:color="auto"/>
              <w:left w:val="single" w:sz="4" w:space="0" w:color="auto"/>
              <w:bottom w:val="single" w:sz="4" w:space="0" w:color="auto"/>
              <w:right w:val="single" w:sz="4" w:space="0" w:color="auto"/>
            </w:tcBorders>
          </w:tcPr>
          <w:p w14:paraId="564E8DA5" w14:textId="77777777" w:rsidR="00323051" w:rsidRPr="00323051" w:rsidRDefault="00323051" w:rsidP="00323051">
            <w:pPr>
              <w:rPr>
                <w:sz w:val="18"/>
                <w:szCs w:val="18"/>
                <w:lang w:val="en-GB" w:bidi="th-TH"/>
              </w:rPr>
            </w:pPr>
            <w:r w:rsidRPr="00323051">
              <w:rPr>
                <w:sz w:val="18"/>
                <w:szCs w:val="18"/>
                <w:lang w:val="en-GB" w:bidi="th-TH"/>
              </w:rPr>
              <w:t>2.3.4 Revised national/provincial policies and supporting regulations for land-based pollution developed, enacted and implemented by Yr 5</w:t>
            </w:r>
          </w:p>
        </w:tc>
        <w:tc>
          <w:tcPr>
            <w:tcW w:w="1984" w:type="dxa"/>
            <w:tcBorders>
              <w:top w:val="single" w:sz="4" w:space="0" w:color="auto"/>
              <w:left w:val="single" w:sz="4" w:space="0" w:color="auto"/>
              <w:bottom w:val="single" w:sz="4" w:space="0" w:color="auto"/>
              <w:right w:val="single" w:sz="4" w:space="0" w:color="auto"/>
            </w:tcBorders>
          </w:tcPr>
          <w:p w14:paraId="1E9CC883" w14:textId="77777777" w:rsidR="00323051" w:rsidRPr="00323051" w:rsidRDefault="00323051" w:rsidP="00323051">
            <w:pPr>
              <w:rPr>
                <w:sz w:val="18"/>
                <w:szCs w:val="18"/>
                <w:lang w:val="en-GB" w:bidi="th-TH"/>
              </w:rPr>
            </w:pPr>
            <w:r w:rsidRPr="00323051">
              <w:rPr>
                <w:sz w:val="18"/>
                <w:szCs w:val="18"/>
                <w:lang w:val="en-GB" w:bidi="th-TH"/>
              </w:rPr>
              <w:t>6 national reports on policy and legal aspects of land-based pollution management</w:t>
            </w:r>
          </w:p>
          <w:p w14:paraId="7FC50DB2" w14:textId="77777777" w:rsidR="00323051" w:rsidRPr="00323051" w:rsidRDefault="00323051" w:rsidP="00323051">
            <w:pPr>
              <w:rPr>
                <w:sz w:val="18"/>
                <w:szCs w:val="18"/>
                <w:lang w:val="en-GB" w:bidi="th-TH"/>
              </w:rPr>
            </w:pPr>
          </w:p>
          <w:p w14:paraId="45AB6A23" w14:textId="77777777" w:rsidR="00323051" w:rsidRPr="00323051" w:rsidRDefault="00323051" w:rsidP="00323051">
            <w:pPr>
              <w:rPr>
                <w:sz w:val="18"/>
                <w:szCs w:val="18"/>
                <w:lang w:val="en-GB" w:bidi="th-TH"/>
              </w:rPr>
            </w:pPr>
            <w:r w:rsidRPr="00323051">
              <w:rPr>
                <w:sz w:val="18"/>
                <w:szCs w:val="18"/>
                <w:lang w:val="en-GB" w:bidi="th-TH"/>
              </w:rPr>
              <w:t>Endorsed policy and executive orders, provincial/local ordinances and by-laws</w:t>
            </w:r>
          </w:p>
        </w:tc>
        <w:tc>
          <w:tcPr>
            <w:tcW w:w="1839" w:type="dxa"/>
            <w:tcBorders>
              <w:top w:val="single" w:sz="4" w:space="0" w:color="auto"/>
              <w:left w:val="single" w:sz="4" w:space="0" w:color="auto"/>
              <w:bottom w:val="single" w:sz="4" w:space="0" w:color="auto"/>
              <w:right w:val="single" w:sz="4" w:space="0" w:color="auto"/>
            </w:tcBorders>
          </w:tcPr>
          <w:p w14:paraId="5C139FF3" w14:textId="77777777" w:rsidR="00323051" w:rsidRPr="00323051" w:rsidRDefault="00323051" w:rsidP="00323051">
            <w:pPr>
              <w:rPr>
                <w:sz w:val="18"/>
                <w:szCs w:val="18"/>
                <w:lang w:val="en-GB" w:bidi="th-TH"/>
              </w:rPr>
            </w:pPr>
            <w:r w:rsidRPr="00323051">
              <w:rPr>
                <w:sz w:val="18"/>
                <w:szCs w:val="18"/>
                <w:lang w:val="en-GB" w:bidi="th-TH"/>
              </w:rPr>
              <w:t>National and provincial government commitment to reform</w:t>
            </w:r>
          </w:p>
        </w:tc>
      </w:tr>
      <w:tr w:rsidR="00B0697C" w:rsidRPr="00323051" w14:paraId="5AD405D0" w14:textId="77777777" w:rsidTr="004B053A">
        <w:tc>
          <w:tcPr>
            <w:tcW w:w="0" w:type="auto"/>
            <w:vMerge/>
            <w:tcBorders>
              <w:left w:val="single" w:sz="4" w:space="0" w:color="auto"/>
              <w:right w:val="single" w:sz="4" w:space="0" w:color="auto"/>
            </w:tcBorders>
            <w:vAlign w:val="center"/>
          </w:tcPr>
          <w:p w14:paraId="3413847F" w14:textId="77777777" w:rsidR="00323051" w:rsidRPr="00323051" w:rsidRDefault="00323051" w:rsidP="00323051">
            <w:pPr>
              <w:rPr>
                <w:sz w:val="18"/>
                <w:szCs w:val="18"/>
                <w:lang w:val="en-GB" w:bidi="th-TH"/>
              </w:rPr>
            </w:pPr>
          </w:p>
        </w:tc>
        <w:tc>
          <w:tcPr>
            <w:tcW w:w="1936" w:type="dxa"/>
            <w:vMerge/>
            <w:tcBorders>
              <w:left w:val="single" w:sz="4" w:space="0" w:color="auto"/>
              <w:right w:val="single" w:sz="4" w:space="0" w:color="auto"/>
            </w:tcBorders>
          </w:tcPr>
          <w:p w14:paraId="6BCEBF0C"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75841110" w14:textId="77777777" w:rsidR="00323051" w:rsidRPr="00323051" w:rsidRDefault="00B0697C" w:rsidP="00323051">
            <w:pPr>
              <w:rPr>
                <w:sz w:val="18"/>
                <w:szCs w:val="18"/>
                <w:lang w:val="en-GB" w:bidi="th-TH"/>
              </w:rPr>
            </w:pPr>
            <w:r>
              <w:rPr>
                <w:sz w:val="18"/>
                <w:szCs w:val="18"/>
                <w:lang w:val="en-GB" w:bidi="th-TH"/>
              </w:rPr>
              <w:t>Number of countries with endorsed</w:t>
            </w:r>
            <w:r w:rsidR="004D3CE5">
              <w:rPr>
                <w:sz w:val="18"/>
                <w:szCs w:val="18"/>
                <w:lang w:val="en-GB" w:bidi="th-TH"/>
              </w:rPr>
              <w:t xml:space="preserve"> </w:t>
            </w:r>
            <w:r w:rsidR="00323051" w:rsidRPr="00323051">
              <w:rPr>
                <w:sz w:val="18"/>
                <w:szCs w:val="18"/>
                <w:lang w:val="en-GB" w:bidi="th-TH"/>
              </w:rPr>
              <w:t xml:space="preserve">National </w:t>
            </w:r>
            <w:r w:rsidR="004D3CE5">
              <w:rPr>
                <w:sz w:val="18"/>
                <w:szCs w:val="18"/>
                <w:lang w:val="en-GB" w:bidi="th-TH"/>
              </w:rPr>
              <w:t>Action Plans, including institutional reform and sustainable financing strategies</w:t>
            </w:r>
          </w:p>
          <w:p w14:paraId="668F8D9E" w14:textId="77777777" w:rsidR="00323051" w:rsidRPr="00323051" w:rsidRDefault="00323051" w:rsidP="004D3CE5">
            <w:pPr>
              <w:rPr>
                <w:sz w:val="18"/>
                <w:szCs w:val="18"/>
                <w:lang w:val="en-GB" w:bidi="th-TH"/>
              </w:rPr>
            </w:pPr>
          </w:p>
        </w:tc>
        <w:tc>
          <w:tcPr>
            <w:tcW w:w="1743" w:type="dxa"/>
            <w:tcBorders>
              <w:top w:val="single" w:sz="4" w:space="0" w:color="auto"/>
              <w:left w:val="single" w:sz="4" w:space="0" w:color="auto"/>
              <w:bottom w:val="single" w:sz="4" w:space="0" w:color="auto"/>
              <w:right w:val="single" w:sz="4" w:space="0" w:color="auto"/>
            </w:tcBorders>
          </w:tcPr>
          <w:p w14:paraId="2C38DB83" w14:textId="77777777" w:rsidR="00323051" w:rsidRPr="00323051" w:rsidRDefault="00323051" w:rsidP="00323051">
            <w:pPr>
              <w:rPr>
                <w:sz w:val="18"/>
                <w:szCs w:val="18"/>
                <w:lang w:val="en-GB" w:bidi="th-TH"/>
              </w:rPr>
            </w:pPr>
            <w:r w:rsidRPr="00323051">
              <w:rPr>
                <w:sz w:val="18"/>
                <w:szCs w:val="18"/>
                <w:lang w:val="en-GB" w:bidi="th-TH"/>
              </w:rPr>
              <w:t>Guidelines for assessing the economic impacts of land-based pollution developed but not yet applied as part of benefit-cost analysis of pollution mgmt. in the SCS</w:t>
            </w:r>
          </w:p>
        </w:tc>
        <w:tc>
          <w:tcPr>
            <w:tcW w:w="1955" w:type="dxa"/>
            <w:tcBorders>
              <w:top w:val="single" w:sz="4" w:space="0" w:color="auto"/>
              <w:left w:val="single" w:sz="4" w:space="0" w:color="auto"/>
              <w:bottom w:val="single" w:sz="4" w:space="0" w:color="auto"/>
              <w:right w:val="single" w:sz="4" w:space="0" w:color="auto"/>
            </w:tcBorders>
          </w:tcPr>
          <w:p w14:paraId="1C4A06C3" w14:textId="77777777" w:rsidR="00323051" w:rsidRPr="00323051" w:rsidRDefault="00323051" w:rsidP="007F26F1">
            <w:pPr>
              <w:rPr>
                <w:sz w:val="18"/>
                <w:szCs w:val="18"/>
                <w:lang w:val="en-GB" w:bidi="th-TH"/>
              </w:rPr>
            </w:pPr>
            <w:r w:rsidRPr="00323051">
              <w:rPr>
                <w:sz w:val="18"/>
                <w:szCs w:val="18"/>
                <w:lang w:val="en-GB" w:bidi="th-TH"/>
              </w:rPr>
              <w:t xml:space="preserve">2.3.5 Updated and adopted National </w:t>
            </w:r>
            <w:r w:rsidR="007F26F1">
              <w:rPr>
                <w:sz w:val="18"/>
                <w:szCs w:val="18"/>
                <w:lang w:val="en-GB" w:bidi="th-TH"/>
              </w:rPr>
              <w:t>Action Plans, including instutitional reform and sustainable financing strategies,</w:t>
            </w:r>
            <w:r w:rsidRPr="00323051">
              <w:rPr>
                <w:sz w:val="18"/>
                <w:szCs w:val="18"/>
                <w:lang w:val="en-GB" w:bidi="th-TH"/>
              </w:rPr>
              <w:t xml:space="preserve"> for land-based pollution management in the SCS [Yr 5]</w:t>
            </w:r>
          </w:p>
        </w:tc>
        <w:tc>
          <w:tcPr>
            <w:tcW w:w="1984" w:type="dxa"/>
            <w:tcBorders>
              <w:top w:val="single" w:sz="4" w:space="0" w:color="auto"/>
              <w:left w:val="single" w:sz="4" w:space="0" w:color="auto"/>
              <w:bottom w:val="single" w:sz="4" w:space="0" w:color="auto"/>
              <w:right w:val="single" w:sz="4" w:space="0" w:color="auto"/>
            </w:tcBorders>
          </w:tcPr>
          <w:p w14:paraId="5EF215F8" w14:textId="77777777" w:rsidR="00323051" w:rsidRPr="00323051" w:rsidRDefault="00323051" w:rsidP="00323051">
            <w:pPr>
              <w:rPr>
                <w:sz w:val="18"/>
                <w:szCs w:val="18"/>
                <w:lang w:val="en-GB" w:bidi="th-TH"/>
              </w:rPr>
            </w:pPr>
            <w:r w:rsidRPr="00323051">
              <w:rPr>
                <w:sz w:val="18"/>
                <w:szCs w:val="18"/>
                <w:lang w:val="en-GB" w:bidi="th-TH"/>
              </w:rPr>
              <w:t>6 endorsed National Investment Plans published and disseminated nationally and regionally</w:t>
            </w:r>
          </w:p>
        </w:tc>
        <w:tc>
          <w:tcPr>
            <w:tcW w:w="1839" w:type="dxa"/>
            <w:tcBorders>
              <w:top w:val="single" w:sz="4" w:space="0" w:color="auto"/>
              <w:left w:val="single" w:sz="4" w:space="0" w:color="auto"/>
              <w:bottom w:val="single" w:sz="4" w:space="0" w:color="auto"/>
              <w:right w:val="single" w:sz="4" w:space="0" w:color="auto"/>
            </w:tcBorders>
          </w:tcPr>
          <w:p w14:paraId="0841AE9A" w14:textId="77777777" w:rsidR="00323051" w:rsidRPr="00323051" w:rsidRDefault="00323051" w:rsidP="00323051">
            <w:pPr>
              <w:rPr>
                <w:sz w:val="18"/>
                <w:szCs w:val="18"/>
                <w:lang w:val="en-GB" w:bidi="th-TH"/>
              </w:rPr>
            </w:pPr>
            <w:r w:rsidRPr="00323051">
              <w:rPr>
                <w:sz w:val="18"/>
                <w:szCs w:val="18"/>
                <w:lang w:val="en-GB" w:bidi="th-TH"/>
              </w:rPr>
              <w:t>Availability of information and data to enable comparison of cost of action versus cost of inaction as part of investment planning approach</w:t>
            </w:r>
          </w:p>
        </w:tc>
      </w:tr>
      <w:tr w:rsidR="00B0697C" w:rsidRPr="00323051" w14:paraId="1EF0825B" w14:textId="77777777" w:rsidTr="004B053A">
        <w:tc>
          <w:tcPr>
            <w:tcW w:w="0" w:type="auto"/>
            <w:vMerge/>
            <w:tcBorders>
              <w:left w:val="single" w:sz="4" w:space="0" w:color="auto"/>
              <w:right w:val="single" w:sz="4" w:space="0" w:color="auto"/>
            </w:tcBorders>
            <w:vAlign w:val="center"/>
          </w:tcPr>
          <w:p w14:paraId="12EFDB6D" w14:textId="77777777" w:rsidR="00323051" w:rsidRPr="00323051" w:rsidRDefault="00323051" w:rsidP="00323051">
            <w:pPr>
              <w:rPr>
                <w:sz w:val="18"/>
                <w:szCs w:val="18"/>
                <w:lang w:val="en-GB" w:bidi="th-TH"/>
              </w:rPr>
            </w:pPr>
          </w:p>
        </w:tc>
        <w:tc>
          <w:tcPr>
            <w:tcW w:w="1936" w:type="dxa"/>
            <w:vMerge/>
            <w:tcBorders>
              <w:left w:val="single" w:sz="4" w:space="0" w:color="auto"/>
              <w:bottom w:val="single" w:sz="4" w:space="0" w:color="auto"/>
              <w:right w:val="single" w:sz="4" w:space="0" w:color="auto"/>
            </w:tcBorders>
          </w:tcPr>
          <w:p w14:paraId="16C1966E"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1BB4A56C" w14:textId="77777777" w:rsidR="00323051" w:rsidRPr="00323051" w:rsidRDefault="00323051" w:rsidP="00323051">
            <w:pPr>
              <w:rPr>
                <w:sz w:val="18"/>
                <w:szCs w:val="18"/>
                <w:lang w:val="en-GB" w:bidi="th-TH"/>
              </w:rPr>
            </w:pPr>
            <w:r w:rsidRPr="00323051">
              <w:rPr>
                <w:sz w:val="18"/>
                <w:szCs w:val="18"/>
                <w:lang w:val="en-GB" w:bidi="th-TH"/>
              </w:rPr>
              <w:t>Status of agreement among participating countries on a sustainable financing approach for regional actions</w:t>
            </w:r>
          </w:p>
        </w:tc>
        <w:tc>
          <w:tcPr>
            <w:tcW w:w="1743" w:type="dxa"/>
            <w:tcBorders>
              <w:top w:val="single" w:sz="4" w:space="0" w:color="auto"/>
              <w:left w:val="single" w:sz="4" w:space="0" w:color="auto"/>
              <w:bottom w:val="single" w:sz="4" w:space="0" w:color="auto"/>
              <w:right w:val="single" w:sz="4" w:space="0" w:color="auto"/>
            </w:tcBorders>
          </w:tcPr>
          <w:p w14:paraId="7C3AE132" w14:textId="77777777" w:rsidR="00323051" w:rsidRPr="00323051" w:rsidRDefault="00323051" w:rsidP="00323051">
            <w:pPr>
              <w:rPr>
                <w:sz w:val="18"/>
                <w:szCs w:val="18"/>
                <w:lang w:val="en-GB" w:bidi="th-TH"/>
              </w:rPr>
            </w:pPr>
            <w:r w:rsidRPr="00323051">
              <w:rPr>
                <w:sz w:val="18"/>
                <w:szCs w:val="18"/>
                <w:lang w:val="en-GB" w:bidi="th-TH"/>
              </w:rPr>
              <w:t xml:space="preserve">Lack of sustainable mechanism to finance regional support actions including M&amp;E </w:t>
            </w:r>
          </w:p>
        </w:tc>
        <w:tc>
          <w:tcPr>
            <w:tcW w:w="1955" w:type="dxa"/>
            <w:tcBorders>
              <w:top w:val="single" w:sz="4" w:space="0" w:color="auto"/>
              <w:left w:val="single" w:sz="4" w:space="0" w:color="auto"/>
              <w:bottom w:val="single" w:sz="4" w:space="0" w:color="auto"/>
              <w:right w:val="single" w:sz="4" w:space="0" w:color="auto"/>
            </w:tcBorders>
          </w:tcPr>
          <w:p w14:paraId="79DE2782" w14:textId="77777777" w:rsidR="00323051" w:rsidRPr="00323051" w:rsidRDefault="00323051" w:rsidP="00323051">
            <w:pPr>
              <w:rPr>
                <w:sz w:val="18"/>
                <w:szCs w:val="18"/>
                <w:lang w:val="en-GB" w:bidi="th-TH"/>
              </w:rPr>
            </w:pPr>
            <w:r w:rsidRPr="00323051">
              <w:rPr>
                <w:sz w:val="18"/>
                <w:szCs w:val="18"/>
                <w:lang w:val="en-GB" w:bidi="th-TH"/>
              </w:rPr>
              <w:t>2.3.6 Regional financial mechanism for land-based pollution management [Yr 5]</w:t>
            </w:r>
          </w:p>
        </w:tc>
        <w:tc>
          <w:tcPr>
            <w:tcW w:w="1984" w:type="dxa"/>
            <w:tcBorders>
              <w:top w:val="single" w:sz="4" w:space="0" w:color="auto"/>
              <w:left w:val="single" w:sz="4" w:space="0" w:color="auto"/>
              <w:bottom w:val="single" w:sz="4" w:space="0" w:color="auto"/>
              <w:right w:val="single" w:sz="4" w:space="0" w:color="auto"/>
            </w:tcBorders>
          </w:tcPr>
          <w:p w14:paraId="5A9E993D" w14:textId="77777777" w:rsidR="00323051" w:rsidRPr="00323051" w:rsidRDefault="00323051" w:rsidP="00323051">
            <w:pPr>
              <w:rPr>
                <w:sz w:val="18"/>
                <w:szCs w:val="18"/>
                <w:lang w:val="en-GB" w:bidi="th-TH"/>
              </w:rPr>
            </w:pPr>
            <w:r w:rsidRPr="00323051">
              <w:rPr>
                <w:sz w:val="18"/>
                <w:szCs w:val="18"/>
                <w:lang w:val="en-GB" w:bidi="th-TH"/>
              </w:rPr>
              <w:t>Endorsed regional report on sustainable financing of regional actions for land-based pollution in the SCS</w:t>
            </w:r>
          </w:p>
        </w:tc>
        <w:tc>
          <w:tcPr>
            <w:tcW w:w="1839" w:type="dxa"/>
            <w:tcBorders>
              <w:top w:val="single" w:sz="4" w:space="0" w:color="auto"/>
              <w:left w:val="single" w:sz="4" w:space="0" w:color="auto"/>
              <w:bottom w:val="single" w:sz="4" w:space="0" w:color="auto"/>
              <w:right w:val="single" w:sz="4" w:space="0" w:color="auto"/>
            </w:tcBorders>
          </w:tcPr>
          <w:p w14:paraId="1169B279" w14:textId="77777777" w:rsidR="00323051" w:rsidRPr="00323051" w:rsidRDefault="00323051" w:rsidP="00323051">
            <w:pPr>
              <w:rPr>
                <w:sz w:val="18"/>
                <w:szCs w:val="18"/>
                <w:lang w:val="en-GB" w:bidi="th-TH"/>
              </w:rPr>
            </w:pPr>
            <w:r w:rsidRPr="00323051">
              <w:rPr>
                <w:sz w:val="18"/>
                <w:szCs w:val="18"/>
                <w:lang w:val="en-GB" w:bidi="th-TH"/>
              </w:rPr>
              <w:t>Level of commitment of participating countries, development partners, and donors to invest in coordinated action</w:t>
            </w:r>
          </w:p>
        </w:tc>
      </w:tr>
      <w:tr w:rsidR="00B0697C" w:rsidRPr="00323051" w14:paraId="556A97E3" w14:textId="77777777" w:rsidTr="004B053A">
        <w:tc>
          <w:tcPr>
            <w:tcW w:w="0" w:type="auto"/>
            <w:vMerge/>
            <w:tcBorders>
              <w:left w:val="single" w:sz="4" w:space="0" w:color="auto"/>
              <w:right w:val="single" w:sz="4" w:space="0" w:color="auto"/>
            </w:tcBorders>
            <w:vAlign w:val="center"/>
          </w:tcPr>
          <w:p w14:paraId="0BC5B1F5" w14:textId="77777777" w:rsidR="00323051" w:rsidRPr="00323051" w:rsidRDefault="00323051" w:rsidP="00323051">
            <w:pPr>
              <w:rPr>
                <w:sz w:val="18"/>
                <w:szCs w:val="18"/>
                <w:lang w:val="en-GB" w:bidi="th-TH"/>
              </w:rPr>
            </w:pPr>
          </w:p>
        </w:tc>
        <w:tc>
          <w:tcPr>
            <w:tcW w:w="1936" w:type="dxa"/>
            <w:vMerge w:val="restart"/>
            <w:tcBorders>
              <w:top w:val="single" w:sz="4" w:space="0" w:color="auto"/>
              <w:left w:val="single" w:sz="4" w:space="0" w:color="auto"/>
              <w:right w:val="single" w:sz="4" w:space="0" w:color="auto"/>
            </w:tcBorders>
          </w:tcPr>
          <w:p w14:paraId="3A48AFC3" w14:textId="77777777" w:rsidR="00323051" w:rsidRPr="00323051" w:rsidRDefault="00323051" w:rsidP="00323051">
            <w:pPr>
              <w:rPr>
                <w:sz w:val="18"/>
                <w:szCs w:val="18"/>
                <w:lang w:val="en-GB" w:bidi="th-TH"/>
              </w:rPr>
            </w:pPr>
            <w:r w:rsidRPr="00323051">
              <w:rPr>
                <w:sz w:val="18"/>
                <w:szCs w:val="18"/>
                <w:lang w:val="en-GB" w:bidi="th-TH"/>
              </w:rPr>
              <w:t>2.4 Improved national and regional values for the Total Economic</w:t>
            </w:r>
          </w:p>
          <w:p w14:paraId="118BA8AE" w14:textId="77777777" w:rsidR="00323051" w:rsidRPr="00323051" w:rsidRDefault="00323051" w:rsidP="00323051">
            <w:pPr>
              <w:rPr>
                <w:sz w:val="18"/>
                <w:szCs w:val="18"/>
                <w:lang w:val="en-GB" w:bidi="th-TH"/>
              </w:rPr>
            </w:pPr>
            <w:r w:rsidRPr="00323051">
              <w:rPr>
                <w:sz w:val="18"/>
                <w:szCs w:val="18"/>
                <w:lang w:val="en-GB" w:bidi="th-TH"/>
              </w:rPr>
              <w:t>Values of coastal habitats for use in development planning and decision-making</w:t>
            </w:r>
          </w:p>
        </w:tc>
        <w:tc>
          <w:tcPr>
            <w:tcW w:w="1881" w:type="dxa"/>
            <w:tcBorders>
              <w:top w:val="single" w:sz="4" w:space="0" w:color="auto"/>
              <w:left w:val="single" w:sz="4" w:space="0" w:color="auto"/>
              <w:bottom w:val="single" w:sz="4" w:space="0" w:color="auto"/>
              <w:right w:val="single" w:sz="4" w:space="0" w:color="auto"/>
            </w:tcBorders>
          </w:tcPr>
          <w:p w14:paraId="35D2D0B6" w14:textId="77777777" w:rsidR="00323051" w:rsidRPr="00323051" w:rsidRDefault="00323051" w:rsidP="00323051">
            <w:pPr>
              <w:rPr>
                <w:sz w:val="18"/>
                <w:szCs w:val="18"/>
                <w:lang w:val="en-GB" w:bidi="th-TH"/>
              </w:rPr>
            </w:pPr>
            <w:r w:rsidRPr="00323051">
              <w:rPr>
                <w:sz w:val="18"/>
                <w:szCs w:val="18"/>
                <w:lang w:val="en-GB" w:bidi="th-TH"/>
              </w:rPr>
              <w:t>Completeness of value information compiled for coastal biome goods and services</w:t>
            </w:r>
          </w:p>
        </w:tc>
        <w:tc>
          <w:tcPr>
            <w:tcW w:w="1743" w:type="dxa"/>
            <w:tcBorders>
              <w:top w:val="single" w:sz="4" w:space="0" w:color="auto"/>
              <w:left w:val="single" w:sz="4" w:space="0" w:color="auto"/>
              <w:bottom w:val="single" w:sz="4" w:space="0" w:color="auto"/>
              <w:right w:val="single" w:sz="4" w:space="0" w:color="auto"/>
            </w:tcBorders>
          </w:tcPr>
          <w:p w14:paraId="739DA41D" w14:textId="77777777" w:rsidR="00323051" w:rsidRPr="00323051" w:rsidRDefault="00323051" w:rsidP="00323051">
            <w:pPr>
              <w:rPr>
                <w:sz w:val="18"/>
                <w:szCs w:val="18"/>
                <w:lang w:val="en-GB" w:bidi="th-TH"/>
              </w:rPr>
            </w:pPr>
            <w:r w:rsidRPr="00323051">
              <w:rPr>
                <w:sz w:val="18"/>
                <w:szCs w:val="18"/>
                <w:lang w:val="en-GB" w:bidi="th-TH"/>
              </w:rPr>
              <w:t>Values determined for SCS are incomplete as not all known goods and services from individual biomes have been valued</w:t>
            </w:r>
          </w:p>
        </w:tc>
        <w:tc>
          <w:tcPr>
            <w:tcW w:w="1955" w:type="dxa"/>
            <w:tcBorders>
              <w:top w:val="single" w:sz="4" w:space="0" w:color="auto"/>
              <w:left w:val="single" w:sz="4" w:space="0" w:color="auto"/>
              <w:bottom w:val="single" w:sz="4" w:space="0" w:color="auto"/>
              <w:right w:val="single" w:sz="4" w:space="0" w:color="auto"/>
            </w:tcBorders>
          </w:tcPr>
          <w:p w14:paraId="01ADF01D" w14:textId="77777777" w:rsidR="00323051" w:rsidRPr="00323051" w:rsidRDefault="00323051" w:rsidP="00323051">
            <w:pPr>
              <w:rPr>
                <w:sz w:val="18"/>
                <w:szCs w:val="18"/>
                <w:lang w:val="en-GB" w:bidi="th-TH"/>
              </w:rPr>
            </w:pPr>
            <w:r w:rsidRPr="00323051">
              <w:rPr>
                <w:sz w:val="18"/>
                <w:szCs w:val="18"/>
                <w:lang w:val="en-GB" w:bidi="th-TH"/>
              </w:rPr>
              <w:t>2.4.1 Expanded datasets of economic valuation information on the goods and services of SCS coastal habitats</w:t>
            </w:r>
          </w:p>
        </w:tc>
        <w:tc>
          <w:tcPr>
            <w:tcW w:w="1984" w:type="dxa"/>
            <w:tcBorders>
              <w:top w:val="single" w:sz="4" w:space="0" w:color="auto"/>
              <w:left w:val="single" w:sz="4" w:space="0" w:color="auto"/>
              <w:bottom w:val="single" w:sz="4" w:space="0" w:color="auto"/>
              <w:right w:val="single" w:sz="4" w:space="0" w:color="auto"/>
            </w:tcBorders>
          </w:tcPr>
          <w:p w14:paraId="08E13A84" w14:textId="77777777" w:rsidR="00323051" w:rsidRPr="00323051" w:rsidRDefault="00323051" w:rsidP="00323051">
            <w:pPr>
              <w:rPr>
                <w:sz w:val="18"/>
                <w:szCs w:val="18"/>
                <w:lang w:val="en-GB" w:bidi="th-TH"/>
              </w:rPr>
            </w:pPr>
            <w:r w:rsidRPr="00323051">
              <w:rPr>
                <w:sz w:val="18"/>
                <w:szCs w:val="18"/>
                <w:lang w:val="en-GB" w:bidi="th-TH"/>
              </w:rPr>
              <w:t>6 national reports on economic valuation of coastal biomes, including tabulated data and reference material, published</w:t>
            </w:r>
          </w:p>
          <w:p w14:paraId="438E935A" w14:textId="77777777" w:rsidR="00323051" w:rsidRPr="00323051" w:rsidRDefault="00323051" w:rsidP="00323051">
            <w:pPr>
              <w:rPr>
                <w:sz w:val="18"/>
                <w:szCs w:val="18"/>
                <w:lang w:val="en-GB" w:bidi="th-TH"/>
              </w:rPr>
            </w:pPr>
          </w:p>
        </w:tc>
        <w:tc>
          <w:tcPr>
            <w:tcW w:w="1839" w:type="dxa"/>
            <w:tcBorders>
              <w:top w:val="single" w:sz="4" w:space="0" w:color="auto"/>
              <w:left w:val="single" w:sz="4" w:space="0" w:color="auto"/>
              <w:bottom w:val="single" w:sz="4" w:space="0" w:color="auto"/>
              <w:right w:val="single" w:sz="4" w:space="0" w:color="auto"/>
            </w:tcBorders>
          </w:tcPr>
          <w:p w14:paraId="4FB7B369" w14:textId="77777777" w:rsidR="00323051" w:rsidRPr="00323051" w:rsidRDefault="00323051" w:rsidP="00323051">
            <w:pPr>
              <w:rPr>
                <w:sz w:val="18"/>
                <w:szCs w:val="18"/>
                <w:lang w:val="en-GB" w:bidi="th-TH"/>
              </w:rPr>
            </w:pPr>
            <w:r w:rsidRPr="00323051">
              <w:rPr>
                <w:sz w:val="18"/>
                <w:szCs w:val="18"/>
                <w:lang w:val="en-GB" w:bidi="th-TH"/>
              </w:rPr>
              <w:t>Application of regionally consistent methodology in the collection and review of information and data</w:t>
            </w:r>
          </w:p>
        </w:tc>
      </w:tr>
      <w:tr w:rsidR="00B0697C" w:rsidRPr="00323051" w14:paraId="01E15791" w14:textId="77777777" w:rsidTr="004B053A">
        <w:tc>
          <w:tcPr>
            <w:tcW w:w="0" w:type="auto"/>
            <w:vMerge/>
            <w:tcBorders>
              <w:left w:val="single" w:sz="4" w:space="0" w:color="auto"/>
              <w:right w:val="single" w:sz="4" w:space="0" w:color="auto"/>
            </w:tcBorders>
            <w:vAlign w:val="center"/>
          </w:tcPr>
          <w:p w14:paraId="7551CA03" w14:textId="77777777" w:rsidR="00323051" w:rsidRPr="00323051" w:rsidRDefault="00323051" w:rsidP="00323051">
            <w:pPr>
              <w:rPr>
                <w:sz w:val="18"/>
                <w:szCs w:val="18"/>
                <w:lang w:val="en-GB" w:bidi="th-TH"/>
              </w:rPr>
            </w:pPr>
          </w:p>
        </w:tc>
        <w:tc>
          <w:tcPr>
            <w:tcW w:w="1936" w:type="dxa"/>
            <w:vMerge/>
            <w:tcBorders>
              <w:left w:val="single" w:sz="4" w:space="0" w:color="auto"/>
              <w:bottom w:val="nil"/>
              <w:right w:val="single" w:sz="4" w:space="0" w:color="auto"/>
            </w:tcBorders>
          </w:tcPr>
          <w:p w14:paraId="5DBFBA2B"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1F55DED0" w14:textId="77777777" w:rsidR="00323051" w:rsidRPr="00323051" w:rsidRDefault="00323051" w:rsidP="00323051">
            <w:pPr>
              <w:rPr>
                <w:sz w:val="18"/>
                <w:szCs w:val="18"/>
                <w:lang w:val="en-GB" w:bidi="th-TH"/>
              </w:rPr>
            </w:pPr>
            <w:r w:rsidRPr="00323051">
              <w:rPr>
                <w:sz w:val="18"/>
                <w:szCs w:val="18"/>
                <w:lang w:val="en-GB" w:bidi="th-TH"/>
              </w:rPr>
              <w:t>Status of initiative to develop national and regional estimates economic linkages between habitats and coastal fish production</w:t>
            </w:r>
          </w:p>
        </w:tc>
        <w:tc>
          <w:tcPr>
            <w:tcW w:w="1743" w:type="dxa"/>
            <w:tcBorders>
              <w:top w:val="single" w:sz="4" w:space="0" w:color="auto"/>
              <w:left w:val="single" w:sz="4" w:space="0" w:color="auto"/>
              <w:bottom w:val="single" w:sz="4" w:space="0" w:color="auto"/>
              <w:right w:val="single" w:sz="4" w:space="0" w:color="auto"/>
            </w:tcBorders>
          </w:tcPr>
          <w:p w14:paraId="3C518736" w14:textId="77777777" w:rsidR="00323051" w:rsidRPr="00323051" w:rsidRDefault="00323051" w:rsidP="00323051">
            <w:pPr>
              <w:rPr>
                <w:sz w:val="18"/>
                <w:szCs w:val="18"/>
                <w:lang w:val="en-GB" w:bidi="th-TH"/>
              </w:rPr>
            </w:pPr>
            <w:r w:rsidRPr="00323051">
              <w:rPr>
                <w:sz w:val="18"/>
                <w:szCs w:val="18"/>
                <w:lang w:val="en-GB" w:bidi="th-TH"/>
              </w:rPr>
              <w:t>Comparatively few existing values for the services provided by habitats as nursery areas for coastal living resources</w:t>
            </w:r>
          </w:p>
        </w:tc>
        <w:tc>
          <w:tcPr>
            <w:tcW w:w="1955" w:type="dxa"/>
            <w:tcBorders>
              <w:top w:val="single" w:sz="4" w:space="0" w:color="auto"/>
              <w:left w:val="single" w:sz="4" w:space="0" w:color="auto"/>
              <w:bottom w:val="single" w:sz="4" w:space="0" w:color="auto"/>
              <w:right w:val="single" w:sz="4" w:space="0" w:color="auto"/>
            </w:tcBorders>
          </w:tcPr>
          <w:p w14:paraId="1EBCFE8E" w14:textId="77777777" w:rsidR="00323051" w:rsidRPr="00323051" w:rsidRDefault="00323051" w:rsidP="00323051">
            <w:pPr>
              <w:rPr>
                <w:sz w:val="18"/>
                <w:szCs w:val="18"/>
                <w:lang w:val="en-GB" w:bidi="th-TH"/>
              </w:rPr>
            </w:pPr>
            <w:r w:rsidRPr="00323051">
              <w:rPr>
                <w:sz w:val="18"/>
                <w:szCs w:val="18"/>
                <w:lang w:val="en-GB" w:bidi="th-TH"/>
              </w:rPr>
              <w:t>2.4.2 Estimates of the value for the service provided by coastal habitats as nursery areas for coastal fish and crustaceans</w:t>
            </w:r>
          </w:p>
        </w:tc>
        <w:tc>
          <w:tcPr>
            <w:tcW w:w="1984" w:type="dxa"/>
            <w:tcBorders>
              <w:top w:val="single" w:sz="4" w:space="0" w:color="auto"/>
              <w:left w:val="single" w:sz="4" w:space="0" w:color="auto"/>
              <w:bottom w:val="single" w:sz="4" w:space="0" w:color="auto"/>
              <w:right w:val="single" w:sz="4" w:space="0" w:color="auto"/>
            </w:tcBorders>
          </w:tcPr>
          <w:p w14:paraId="537E628E" w14:textId="77777777" w:rsidR="00323051" w:rsidRPr="00323051" w:rsidRDefault="00323051" w:rsidP="00323051">
            <w:pPr>
              <w:rPr>
                <w:sz w:val="18"/>
                <w:szCs w:val="18"/>
                <w:lang w:val="en-GB" w:bidi="th-TH"/>
              </w:rPr>
            </w:pPr>
            <w:r w:rsidRPr="00323051">
              <w:rPr>
                <w:sz w:val="18"/>
                <w:szCs w:val="18"/>
                <w:lang w:val="en-GB" w:bidi="th-TH"/>
              </w:rPr>
              <w:t>6 national and 1 regional report on the economic contribution of coastal habitats to coastal fisheries production in the SCS, including tabulated data and reference material, published</w:t>
            </w:r>
          </w:p>
        </w:tc>
        <w:tc>
          <w:tcPr>
            <w:tcW w:w="1839" w:type="dxa"/>
            <w:tcBorders>
              <w:top w:val="single" w:sz="4" w:space="0" w:color="auto"/>
              <w:left w:val="single" w:sz="4" w:space="0" w:color="auto"/>
              <w:bottom w:val="single" w:sz="4" w:space="0" w:color="auto"/>
              <w:right w:val="single" w:sz="4" w:space="0" w:color="auto"/>
            </w:tcBorders>
          </w:tcPr>
          <w:p w14:paraId="3297BAAD" w14:textId="77777777" w:rsidR="00323051" w:rsidRPr="00323051" w:rsidRDefault="00323051" w:rsidP="00323051">
            <w:pPr>
              <w:rPr>
                <w:sz w:val="18"/>
                <w:szCs w:val="18"/>
                <w:lang w:val="en-GB" w:bidi="th-TH"/>
              </w:rPr>
            </w:pPr>
            <w:r w:rsidRPr="00323051">
              <w:rPr>
                <w:sz w:val="18"/>
                <w:szCs w:val="18"/>
                <w:lang w:val="en-GB" w:bidi="th-TH"/>
              </w:rPr>
              <w:t>Application of regionally consistent methodology in the collection, review and analysis of information and data</w:t>
            </w:r>
          </w:p>
        </w:tc>
      </w:tr>
      <w:tr w:rsidR="00B0697C" w:rsidRPr="00323051" w14:paraId="49F8D06C" w14:textId="77777777" w:rsidTr="004B053A">
        <w:tc>
          <w:tcPr>
            <w:tcW w:w="0" w:type="auto"/>
            <w:vMerge/>
            <w:tcBorders>
              <w:left w:val="single" w:sz="4" w:space="0" w:color="auto"/>
              <w:right w:val="single" w:sz="4" w:space="0" w:color="auto"/>
            </w:tcBorders>
            <w:vAlign w:val="center"/>
          </w:tcPr>
          <w:p w14:paraId="3CE90B8D" w14:textId="77777777" w:rsidR="00323051" w:rsidRPr="00323051" w:rsidRDefault="00323051" w:rsidP="00323051">
            <w:pPr>
              <w:rPr>
                <w:sz w:val="18"/>
                <w:szCs w:val="18"/>
                <w:lang w:val="en-GB" w:bidi="th-TH"/>
              </w:rPr>
            </w:pPr>
          </w:p>
        </w:tc>
        <w:tc>
          <w:tcPr>
            <w:tcW w:w="1936" w:type="dxa"/>
            <w:vMerge w:val="restart"/>
            <w:tcBorders>
              <w:top w:val="nil"/>
              <w:left w:val="single" w:sz="4" w:space="0" w:color="auto"/>
              <w:right w:val="single" w:sz="4" w:space="0" w:color="auto"/>
            </w:tcBorders>
          </w:tcPr>
          <w:p w14:paraId="536CEAB4"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1474DB01" w14:textId="77777777" w:rsidR="00323051" w:rsidRPr="00323051" w:rsidRDefault="00323051" w:rsidP="00323051">
            <w:pPr>
              <w:rPr>
                <w:sz w:val="18"/>
                <w:szCs w:val="18"/>
                <w:lang w:val="en-GB" w:bidi="th-TH"/>
              </w:rPr>
            </w:pPr>
            <w:r w:rsidRPr="00323051">
              <w:rPr>
                <w:sz w:val="18"/>
                <w:szCs w:val="18"/>
                <w:lang w:val="en-GB" w:bidi="th-TH"/>
              </w:rPr>
              <w:t>Status of initiative to value economic costs of coastal shipping accidents and pollution damage</w:t>
            </w:r>
          </w:p>
        </w:tc>
        <w:tc>
          <w:tcPr>
            <w:tcW w:w="1743" w:type="dxa"/>
            <w:tcBorders>
              <w:top w:val="single" w:sz="4" w:space="0" w:color="auto"/>
              <w:left w:val="single" w:sz="4" w:space="0" w:color="auto"/>
              <w:bottom w:val="single" w:sz="4" w:space="0" w:color="auto"/>
              <w:right w:val="single" w:sz="4" w:space="0" w:color="auto"/>
            </w:tcBorders>
          </w:tcPr>
          <w:p w14:paraId="62026025" w14:textId="77777777" w:rsidR="00323051" w:rsidRPr="00323051" w:rsidRDefault="00323051" w:rsidP="00323051">
            <w:pPr>
              <w:rPr>
                <w:sz w:val="18"/>
                <w:szCs w:val="18"/>
                <w:lang w:val="en-GB" w:bidi="th-TH"/>
              </w:rPr>
            </w:pPr>
            <w:r w:rsidRPr="00323051">
              <w:rPr>
                <w:sz w:val="18"/>
                <w:szCs w:val="18"/>
                <w:lang w:val="en-GB" w:bidi="th-TH"/>
              </w:rPr>
              <w:t>No existing information linking shipping accidents to loss of economic benefits associated coastal biomes in the SCS</w:t>
            </w:r>
          </w:p>
        </w:tc>
        <w:tc>
          <w:tcPr>
            <w:tcW w:w="1955" w:type="dxa"/>
            <w:tcBorders>
              <w:top w:val="single" w:sz="4" w:space="0" w:color="auto"/>
              <w:left w:val="single" w:sz="4" w:space="0" w:color="auto"/>
              <w:bottom w:val="single" w:sz="4" w:space="0" w:color="auto"/>
              <w:right w:val="single" w:sz="4" w:space="0" w:color="auto"/>
            </w:tcBorders>
          </w:tcPr>
          <w:p w14:paraId="102F60C8" w14:textId="77777777" w:rsidR="00323051" w:rsidRPr="00323051" w:rsidRDefault="00323051" w:rsidP="00323051">
            <w:pPr>
              <w:rPr>
                <w:sz w:val="18"/>
                <w:szCs w:val="18"/>
                <w:lang w:val="en-GB" w:bidi="th-TH"/>
              </w:rPr>
            </w:pPr>
            <w:r w:rsidRPr="00323051">
              <w:rPr>
                <w:sz w:val="18"/>
                <w:szCs w:val="18"/>
                <w:lang w:val="en-GB" w:bidi="th-TH"/>
              </w:rPr>
              <w:t>2.4.3 Estimates of economic losses of coastal ecosystem goods and services consequent upon coastal shipping accidents and pollution damage</w:t>
            </w:r>
          </w:p>
        </w:tc>
        <w:tc>
          <w:tcPr>
            <w:tcW w:w="1984" w:type="dxa"/>
            <w:tcBorders>
              <w:top w:val="single" w:sz="4" w:space="0" w:color="auto"/>
              <w:left w:val="single" w:sz="4" w:space="0" w:color="auto"/>
              <w:bottom w:val="single" w:sz="4" w:space="0" w:color="auto"/>
              <w:right w:val="single" w:sz="4" w:space="0" w:color="auto"/>
            </w:tcBorders>
          </w:tcPr>
          <w:p w14:paraId="04A09D5F" w14:textId="77777777" w:rsidR="00323051" w:rsidRPr="00323051" w:rsidRDefault="00323051" w:rsidP="00323051">
            <w:pPr>
              <w:rPr>
                <w:sz w:val="18"/>
                <w:szCs w:val="18"/>
                <w:lang w:val="en-GB" w:bidi="th-TH"/>
              </w:rPr>
            </w:pPr>
            <w:r w:rsidRPr="00323051">
              <w:rPr>
                <w:sz w:val="18"/>
                <w:szCs w:val="18"/>
                <w:lang w:val="en-GB" w:bidi="th-TH"/>
              </w:rPr>
              <w:t>1 regional report on the economic losses consequent upon coastal shipping accidents and pollution damage</w:t>
            </w:r>
          </w:p>
        </w:tc>
        <w:tc>
          <w:tcPr>
            <w:tcW w:w="1839" w:type="dxa"/>
            <w:tcBorders>
              <w:top w:val="single" w:sz="4" w:space="0" w:color="auto"/>
              <w:left w:val="single" w:sz="4" w:space="0" w:color="auto"/>
              <w:bottom w:val="single" w:sz="4" w:space="0" w:color="auto"/>
              <w:right w:val="single" w:sz="4" w:space="0" w:color="auto"/>
            </w:tcBorders>
          </w:tcPr>
          <w:p w14:paraId="20C1E848" w14:textId="77777777" w:rsidR="00323051" w:rsidRPr="00323051" w:rsidRDefault="00323051" w:rsidP="00323051">
            <w:pPr>
              <w:rPr>
                <w:sz w:val="18"/>
                <w:szCs w:val="18"/>
                <w:lang w:val="en-GB" w:bidi="th-TH"/>
              </w:rPr>
            </w:pPr>
            <w:r w:rsidRPr="00323051">
              <w:rPr>
                <w:sz w:val="18"/>
                <w:szCs w:val="18"/>
                <w:lang w:val="en-GB" w:bidi="th-TH"/>
              </w:rPr>
              <w:t>Application of regionally consistent methodology in the collection, review and analysis of information and data</w:t>
            </w:r>
          </w:p>
        </w:tc>
      </w:tr>
      <w:tr w:rsidR="00B0697C" w:rsidRPr="00323051" w14:paraId="651F5265" w14:textId="77777777" w:rsidTr="004B053A">
        <w:tc>
          <w:tcPr>
            <w:tcW w:w="0" w:type="auto"/>
            <w:vMerge/>
            <w:tcBorders>
              <w:left w:val="single" w:sz="4" w:space="0" w:color="auto"/>
              <w:right w:val="single" w:sz="4" w:space="0" w:color="auto"/>
            </w:tcBorders>
            <w:vAlign w:val="center"/>
          </w:tcPr>
          <w:p w14:paraId="696096E6" w14:textId="77777777" w:rsidR="00323051" w:rsidRPr="00323051" w:rsidRDefault="00323051" w:rsidP="00323051">
            <w:pPr>
              <w:rPr>
                <w:sz w:val="18"/>
                <w:szCs w:val="18"/>
                <w:lang w:val="en-GB" w:bidi="th-TH"/>
              </w:rPr>
            </w:pPr>
          </w:p>
        </w:tc>
        <w:tc>
          <w:tcPr>
            <w:tcW w:w="1936" w:type="dxa"/>
            <w:vMerge/>
            <w:tcBorders>
              <w:left w:val="single" w:sz="4" w:space="0" w:color="auto"/>
              <w:bottom w:val="single" w:sz="4" w:space="0" w:color="auto"/>
              <w:right w:val="single" w:sz="4" w:space="0" w:color="auto"/>
            </w:tcBorders>
          </w:tcPr>
          <w:p w14:paraId="3989E353"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79E2C4F6" w14:textId="77777777" w:rsidR="00323051" w:rsidRPr="00323051" w:rsidRDefault="00323051" w:rsidP="00323051">
            <w:pPr>
              <w:rPr>
                <w:sz w:val="18"/>
                <w:szCs w:val="18"/>
                <w:lang w:val="en-GB" w:bidi="th-TH"/>
              </w:rPr>
            </w:pPr>
            <w:r w:rsidRPr="00323051">
              <w:rPr>
                <w:sz w:val="18"/>
                <w:szCs w:val="18"/>
                <w:lang w:val="en-GB" w:bidi="th-TH"/>
              </w:rPr>
              <w:t>Status of initiative to update estimates of total economic values of coastal biomes</w:t>
            </w:r>
          </w:p>
        </w:tc>
        <w:tc>
          <w:tcPr>
            <w:tcW w:w="1743" w:type="dxa"/>
            <w:tcBorders>
              <w:top w:val="single" w:sz="4" w:space="0" w:color="auto"/>
              <w:left w:val="single" w:sz="4" w:space="0" w:color="auto"/>
              <w:bottom w:val="single" w:sz="4" w:space="0" w:color="auto"/>
              <w:right w:val="single" w:sz="4" w:space="0" w:color="auto"/>
            </w:tcBorders>
          </w:tcPr>
          <w:p w14:paraId="0BAAFB18" w14:textId="77777777" w:rsidR="00323051" w:rsidRPr="00323051" w:rsidRDefault="00323051" w:rsidP="00323051">
            <w:pPr>
              <w:rPr>
                <w:sz w:val="18"/>
                <w:szCs w:val="18"/>
                <w:lang w:val="en-GB" w:bidi="th-TH"/>
              </w:rPr>
            </w:pPr>
            <w:r w:rsidRPr="00323051">
              <w:rPr>
                <w:sz w:val="18"/>
                <w:szCs w:val="18"/>
                <w:lang w:val="en-GB" w:bidi="th-TH"/>
              </w:rPr>
              <w:t>Economic valuation of coastal habitats used in cost benefit analysis of endorsed Strategic Action Programme actions in 2008</w:t>
            </w:r>
          </w:p>
        </w:tc>
        <w:tc>
          <w:tcPr>
            <w:tcW w:w="1955" w:type="dxa"/>
            <w:tcBorders>
              <w:top w:val="single" w:sz="4" w:space="0" w:color="auto"/>
              <w:left w:val="single" w:sz="4" w:space="0" w:color="auto"/>
              <w:bottom w:val="single" w:sz="4" w:space="0" w:color="auto"/>
              <w:right w:val="single" w:sz="4" w:space="0" w:color="auto"/>
            </w:tcBorders>
          </w:tcPr>
          <w:p w14:paraId="396F8696" w14:textId="77777777" w:rsidR="00323051" w:rsidRPr="00323051" w:rsidRDefault="00323051" w:rsidP="00323051">
            <w:pPr>
              <w:rPr>
                <w:sz w:val="18"/>
                <w:szCs w:val="18"/>
                <w:lang w:val="en-GB" w:bidi="th-TH"/>
              </w:rPr>
            </w:pPr>
            <w:r w:rsidRPr="00323051">
              <w:rPr>
                <w:sz w:val="18"/>
                <w:szCs w:val="18"/>
                <w:lang w:val="en-GB" w:bidi="th-TH"/>
              </w:rPr>
              <w:t>2.4.4 Updated estimates of Total Economic Values for coastal habitats of the SCS and converted to 2017 value by means of the consumer price index</w:t>
            </w:r>
          </w:p>
        </w:tc>
        <w:tc>
          <w:tcPr>
            <w:tcW w:w="1984" w:type="dxa"/>
            <w:tcBorders>
              <w:top w:val="single" w:sz="4" w:space="0" w:color="auto"/>
              <w:left w:val="single" w:sz="4" w:space="0" w:color="auto"/>
              <w:bottom w:val="single" w:sz="4" w:space="0" w:color="auto"/>
              <w:right w:val="single" w:sz="4" w:space="0" w:color="auto"/>
            </w:tcBorders>
          </w:tcPr>
          <w:p w14:paraId="068AEB2F" w14:textId="77777777" w:rsidR="00323051" w:rsidRPr="00323051" w:rsidRDefault="00323051" w:rsidP="00323051">
            <w:pPr>
              <w:rPr>
                <w:sz w:val="18"/>
                <w:szCs w:val="18"/>
                <w:lang w:val="en-GB" w:bidi="th-TH"/>
              </w:rPr>
            </w:pPr>
            <w:r w:rsidRPr="00323051">
              <w:rPr>
                <w:sz w:val="18"/>
                <w:szCs w:val="18"/>
                <w:lang w:val="en-GB" w:bidi="th-TH"/>
              </w:rPr>
              <w:t>1 regional report on updated Total Economic Values for coastal habitats published and online</w:t>
            </w:r>
          </w:p>
        </w:tc>
        <w:tc>
          <w:tcPr>
            <w:tcW w:w="1839" w:type="dxa"/>
            <w:tcBorders>
              <w:top w:val="single" w:sz="4" w:space="0" w:color="auto"/>
              <w:left w:val="single" w:sz="4" w:space="0" w:color="auto"/>
              <w:bottom w:val="single" w:sz="4" w:space="0" w:color="auto"/>
              <w:right w:val="single" w:sz="4" w:space="0" w:color="auto"/>
            </w:tcBorders>
          </w:tcPr>
          <w:p w14:paraId="1A6D1084" w14:textId="77777777" w:rsidR="00323051" w:rsidRPr="00323051" w:rsidRDefault="00323051" w:rsidP="00323051">
            <w:pPr>
              <w:rPr>
                <w:sz w:val="18"/>
                <w:szCs w:val="18"/>
                <w:lang w:val="en-GB" w:bidi="th-TH"/>
              </w:rPr>
            </w:pPr>
            <w:r w:rsidRPr="00323051">
              <w:rPr>
                <w:sz w:val="18"/>
                <w:szCs w:val="18"/>
                <w:lang w:val="en-GB" w:bidi="th-TH"/>
              </w:rPr>
              <w:t>Application of regionally consistent methodology in the collection, review and analysis of information and data</w:t>
            </w:r>
          </w:p>
        </w:tc>
      </w:tr>
      <w:tr w:rsidR="00B0697C" w:rsidRPr="00323051" w14:paraId="6428059D" w14:textId="77777777" w:rsidTr="004B053A">
        <w:tc>
          <w:tcPr>
            <w:tcW w:w="0" w:type="auto"/>
            <w:vMerge/>
            <w:tcBorders>
              <w:left w:val="single" w:sz="4" w:space="0" w:color="auto"/>
              <w:right w:val="single" w:sz="4" w:space="0" w:color="auto"/>
            </w:tcBorders>
            <w:vAlign w:val="center"/>
          </w:tcPr>
          <w:p w14:paraId="7DA8E09A" w14:textId="77777777" w:rsidR="00323051" w:rsidRPr="00323051" w:rsidRDefault="00323051" w:rsidP="00323051">
            <w:pPr>
              <w:rPr>
                <w:sz w:val="18"/>
                <w:szCs w:val="18"/>
                <w:lang w:val="en-GB" w:bidi="th-TH"/>
              </w:rPr>
            </w:pPr>
          </w:p>
        </w:tc>
        <w:tc>
          <w:tcPr>
            <w:tcW w:w="1936" w:type="dxa"/>
            <w:vMerge w:val="restart"/>
            <w:tcBorders>
              <w:top w:val="single" w:sz="4" w:space="0" w:color="auto"/>
              <w:left w:val="single" w:sz="4" w:space="0" w:color="auto"/>
              <w:right w:val="single" w:sz="4" w:space="0" w:color="auto"/>
            </w:tcBorders>
          </w:tcPr>
          <w:p w14:paraId="52BD7412" w14:textId="77777777" w:rsidR="00323051" w:rsidRPr="00323051" w:rsidRDefault="00323051" w:rsidP="00323051">
            <w:pPr>
              <w:rPr>
                <w:sz w:val="18"/>
                <w:szCs w:val="18"/>
                <w:lang w:val="en-GB" w:bidi="th-TH"/>
              </w:rPr>
            </w:pPr>
            <w:r w:rsidRPr="00323051">
              <w:rPr>
                <w:sz w:val="18"/>
                <w:szCs w:val="18"/>
                <w:lang w:val="en-GB" w:bidi="th-TH"/>
              </w:rPr>
              <w:t>2.5 Regionally appropriate tools and mechanisms to guide the development of sustainable management systems for coastal habitats and land-based pollution</w:t>
            </w:r>
          </w:p>
        </w:tc>
        <w:tc>
          <w:tcPr>
            <w:tcW w:w="1881" w:type="dxa"/>
            <w:tcBorders>
              <w:top w:val="single" w:sz="4" w:space="0" w:color="auto"/>
              <w:left w:val="single" w:sz="4" w:space="0" w:color="auto"/>
              <w:bottom w:val="single" w:sz="4" w:space="0" w:color="auto"/>
              <w:right w:val="single" w:sz="4" w:space="0" w:color="auto"/>
            </w:tcBorders>
          </w:tcPr>
          <w:p w14:paraId="491AC7C1" w14:textId="77777777" w:rsidR="00323051" w:rsidRPr="00323051" w:rsidRDefault="00323051" w:rsidP="00AD5D5E">
            <w:pPr>
              <w:rPr>
                <w:sz w:val="18"/>
                <w:szCs w:val="18"/>
                <w:lang w:val="en-GB" w:bidi="th-TH"/>
              </w:rPr>
            </w:pPr>
            <w:r w:rsidRPr="00323051">
              <w:rPr>
                <w:sz w:val="18"/>
                <w:szCs w:val="18"/>
                <w:lang w:val="en-GB" w:bidi="th-TH"/>
              </w:rPr>
              <w:t>Status of initiative to develop and apply standards and criteria</w:t>
            </w:r>
            <w:r w:rsidR="00AD5D5E">
              <w:rPr>
                <w:sz w:val="18"/>
                <w:szCs w:val="18"/>
                <w:lang w:val="en-GB" w:bidi="th-TH"/>
              </w:rPr>
              <w:t>, including TWAP methodology,</w:t>
            </w:r>
            <w:r w:rsidRPr="00323051">
              <w:rPr>
                <w:sz w:val="18"/>
                <w:szCs w:val="18"/>
                <w:lang w:val="en-GB" w:bidi="th-TH"/>
              </w:rPr>
              <w:t xml:space="preserve"> for determining the sustainability of coastal management systems</w:t>
            </w:r>
          </w:p>
        </w:tc>
        <w:tc>
          <w:tcPr>
            <w:tcW w:w="1743" w:type="dxa"/>
            <w:tcBorders>
              <w:top w:val="single" w:sz="4" w:space="0" w:color="auto"/>
              <w:left w:val="single" w:sz="4" w:space="0" w:color="auto"/>
              <w:bottom w:val="single" w:sz="4" w:space="0" w:color="auto"/>
              <w:right w:val="single" w:sz="4" w:space="0" w:color="auto"/>
            </w:tcBorders>
          </w:tcPr>
          <w:p w14:paraId="236E2290" w14:textId="77777777" w:rsidR="00323051" w:rsidRPr="00323051" w:rsidRDefault="00323051" w:rsidP="00323051">
            <w:pPr>
              <w:rPr>
                <w:sz w:val="18"/>
                <w:szCs w:val="18"/>
                <w:lang w:val="en-GB" w:bidi="th-TH"/>
              </w:rPr>
            </w:pPr>
            <w:r w:rsidRPr="00323051">
              <w:rPr>
                <w:sz w:val="18"/>
                <w:szCs w:val="18"/>
                <w:lang w:val="en-GB" w:bidi="th-TH"/>
              </w:rPr>
              <w:t>Sustainable management indicator matrices developed for dominant coastal habitats but not yet applied and tested in framework of SAP implementation</w:t>
            </w:r>
          </w:p>
        </w:tc>
        <w:tc>
          <w:tcPr>
            <w:tcW w:w="1955" w:type="dxa"/>
            <w:tcBorders>
              <w:top w:val="single" w:sz="4" w:space="0" w:color="auto"/>
              <w:left w:val="single" w:sz="4" w:space="0" w:color="auto"/>
              <w:bottom w:val="single" w:sz="4" w:space="0" w:color="auto"/>
              <w:right w:val="single" w:sz="4" w:space="0" w:color="auto"/>
            </w:tcBorders>
          </w:tcPr>
          <w:p w14:paraId="5330B3EC" w14:textId="77777777" w:rsidR="00323051" w:rsidRPr="00323051" w:rsidRDefault="00323051" w:rsidP="00323051">
            <w:pPr>
              <w:rPr>
                <w:sz w:val="18"/>
                <w:szCs w:val="18"/>
                <w:lang w:val="en-GB" w:bidi="th-TH"/>
              </w:rPr>
            </w:pPr>
            <w:r w:rsidRPr="00323051">
              <w:rPr>
                <w:sz w:val="18"/>
                <w:szCs w:val="18"/>
                <w:lang w:val="en-GB" w:bidi="th-TH"/>
              </w:rPr>
              <w:t>2.5.1 Regionally applicable standards and criteria for defining the sustainability of coastal habitat management systems, including documented models of sustainable use</w:t>
            </w:r>
          </w:p>
        </w:tc>
        <w:tc>
          <w:tcPr>
            <w:tcW w:w="1984" w:type="dxa"/>
            <w:tcBorders>
              <w:top w:val="single" w:sz="4" w:space="0" w:color="auto"/>
              <w:left w:val="single" w:sz="4" w:space="0" w:color="auto"/>
              <w:bottom w:val="single" w:sz="4" w:space="0" w:color="auto"/>
              <w:right w:val="single" w:sz="4" w:space="0" w:color="auto"/>
            </w:tcBorders>
          </w:tcPr>
          <w:p w14:paraId="0E7334C3" w14:textId="77777777" w:rsidR="00323051" w:rsidRPr="00323051" w:rsidRDefault="00323051" w:rsidP="00323051">
            <w:pPr>
              <w:rPr>
                <w:sz w:val="18"/>
                <w:szCs w:val="18"/>
                <w:lang w:val="en-GB" w:bidi="th-TH"/>
              </w:rPr>
            </w:pPr>
            <w:r w:rsidRPr="00323051">
              <w:rPr>
                <w:sz w:val="18"/>
                <w:szCs w:val="18"/>
                <w:lang w:val="en-GB" w:bidi="th-TH"/>
              </w:rPr>
              <w:t>1 regional report documenting sustainability of management systems developed and applied at priority coastal habitat sites</w:t>
            </w:r>
          </w:p>
        </w:tc>
        <w:tc>
          <w:tcPr>
            <w:tcW w:w="1839" w:type="dxa"/>
            <w:tcBorders>
              <w:top w:val="single" w:sz="4" w:space="0" w:color="auto"/>
              <w:left w:val="single" w:sz="4" w:space="0" w:color="auto"/>
              <w:bottom w:val="single" w:sz="4" w:space="0" w:color="auto"/>
              <w:right w:val="single" w:sz="4" w:space="0" w:color="auto"/>
            </w:tcBorders>
          </w:tcPr>
          <w:p w14:paraId="74BBD003" w14:textId="77777777" w:rsidR="00323051" w:rsidRPr="00323051" w:rsidRDefault="00323051" w:rsidP="00323051">
            <w:pPr>
              <w:rPr>
                <w:sz w:val="18"/>
                <w:szCs w:val="18"/>
                <w:lang w:val="en-GB" w:bidi="th-TH"/>
              </w:rPr>
            </w:pPr>
            <w:r w:rsidRPr="00323051">
              <w:rPr>
                <w:sz w:val="18"/>
                <w:szCs w:val="18"/>
                <w:lang w:val="en-GB" w:bidi="th-TH"/>
              </w:rPr>
              <w:t>Supporting communication approach and facilitation of consultative processes are sufficiently well design to ensure stakeholder engagement and participation</w:t>
            </w:r>
          </w:p>
        </w:tc>
      </w:tr>
      <w:tr w:rsidR="00B0697C" w:rsidRPr="00323051" w14:paraId="0909F97B" w14:textId="77777777" w:rsidTr="004B053A">
        <w:tc>
          <w:tcPr>
            <w:tcW w:w="0" w:type="auto"/>
            <w:vMerge/>
            <w:tcBorders>
              <w:left w:val="single" w:sz="4" w:space="0" w:color="auto"/>
              <w:right w:val="single" w:sz="4" w:space="0" w:color="auto"/>
            </w:tcBorders>
            <w:vAlign w:val="center"/>
          </w:tcPr>
          <w:p w14:paraId="6E6C420E" w14:textId="77777777" w:rsidR="00323051" w:rsidRPr="00323051" w:rsidRDefault="00323051" w:rsidP="00323051">
            <w:pPr>
              <w:rPr>
                <w:sz w:val="18"/>
                <w:szCs w:val="18"/>
                <w:lang w:val="en-GB" w:bidi="th-TH"/>
              </w:rPr>
            </w:pPr>
          </w:p>
        </w:tc>
        <w:tc>
          <w:tcPr>
            <w:tcW w:w="1936" w:type="dxa"/>
            <w:vMerge/>
            <w:tcBorders>
              <w:left w:val="single" w:sz="4" w:space="0" w:color="auto"/>
              <w:right w:val="single" w:sz="4" w:space="0" w:color="auto"/>
            </w:tcBorders>
          </w:tcPr>
          <w:p w14:paraId="4A2F141D"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0B236E49" w14:textId="77777777" w:rsidR="00323051" w:rsidRPr="00323051" w:rsidRDefault="00323051" w:rsidP="00323051">
            <w:pPr>
              <w:rPr>
                <w:sz w:val="18"/>
                <w:szCs w:val="18"/>
                <w:lang w:val="en-GB" w:bidi="th-TH"/>
              </w:rPr>
            </w:pPr>
            <w:r w:rsidRPr="00323051">
              <w:rPr>
                <w:sz w:val="18"/>
                <w:szCs w:val="18"/>
                <w:lang w:val="en-GB" w:bidi="th-TH"/>
              </w:rPr>
              <w:t>Number of best practice management measures and technologies documented, codified, and accessible via online catalogue</w:t>
            </w:r>
          </w:p>
        </w:tc>
        <w:tc>
          <w:tcPr>
            <w:tcW w:w="1743" w:type="dxa"/>
            <w:tcBorders>
              <w:top w:val="single" w:sz="4" w:space="0" w:color="auto"/>
              <w:left w:val="single" w:sz="4" w:space="0" w:color="auto"/>
              <w:bottom w:val="single" w:sz="4" w:space="0" w:color="auto"/>
              <w:right w:val="single" w:sz="4" w:space="0" w:color="auto"/>
            </w:tcBorders>
          </w:tcPr>
          <w:p w14:paraId="694AA083" w14:textId="77777777" w:rsidR="00323051" w:rsidRPr="00323051" w:rsidRDefault="00323051" w:rsidP="00323051">
            <w:pPr>
              <w:rPr>
                <w:sz w:val="18"/>
                <w:szCs w:val="18"/>
                <w:lang w:val="en-GB" w:bidi="th-TH"/>
              </w:rPr>
            </w:pPr>
            <w:r w:rsidRPr="00323051">
              <w:rPr>
                <w:sz w:val="18"/>
                <w:szCs w:val="18"/>
                <w:lang w:val="en-GB" w:bidi="th-TH"/>
              </w:rPr>
              <w:t>Lessons learned and best practices in coastal habitat management from 23 demonstration sites documented and published in peer reviewed article</w:t>
            </w:r>
          </w:p>
        </w:tc>
        <w:tc>
          <w:tcPr>
            <w:tcW w:w="1955" w:type="dxa"/>
            <w:tcBorders>
              <w:top w:val="single" w:sz="4" w:space="0" w:color="auto"/>
              <w:left w:val="single" w:sz="4" w:space="0" w:color="auto"/>
              <w:bottom w:val="single" w:sz="4" w:space="0" w:color="auto"/>
              <w:right w:val="single" w:sz="4" w:space="0" w:color="auto"/>
            </w:tcBorders>
          </w:tcPr>
          <w:p w14:paraId="6EFCB20E" w14:textId="77777777" w:rsidR="00323051" w:rsidRPr="00323051" w:rsidRDefault="00323051" w:rsidP="00323051">
            <w:pPr>
              <w:rPr>
                <w:sz w:val="18"/>
                <w:szCs w:val="18"/>
                <w:lang w:val="en-GB" w:bidi="th-TH"/>
              </w:rPr>
            </w:pPr>
            <w:r w:rsidRPr="00323051">
              <w:rPr>
                <w:sz w:val="18"/>
                <w:szCs w:val="18"/>
                <w:lang w:val="en-GB" w:bidi="th-TH"/>
              </w:rPr>
              <w:t>2.5.2 Online catalogue of best practice management measures and technologies for sustainable use of SCS coastal habitats and land-based pollution management</w:t>
            </w:r>
          </w:p>
        </w:tc>
        <w:tc>
          <w:tcPr>
            <w:tcW w:w="1984" w:type="dxa"/>
            <w:tcBorders>
              <w:top w:val="single" w:sz="4" w:space="0" w:color="auto"/>
              <w:left w:val="single" w:sz="4" w:space="0" w:color="auto"/>
              <w:bottom w:val="single" w:sz="4" w:space="0" w:color="auto"/>
              <w:right w:val="single" w:sz="4" w:space="0" w:color="auto"/>
            </w:tcBorders>
          </w:tcPr>
          <w:p w14:paraId="6F47B593" w14:textId="77777777" w:rsidR="00323051" w:rsidRPr="00323051" w:rsidRDefault="00323051" w:rsidP="00323051">
            <w:pPr>
              <w:rPr>
                <w:sz w:val="18"/>
                <w:szCs w:val="18"/>
                <w:lang w:val="en-GB" w:bidi="th-TH"/>
              </w:rPr>
            </w:pPr>
            <w:r w:rsidRPr="00323051">
              <w:rPr>
                <w:sz w:val="18"/>
                <w:szCs w:val="18"/>
                <w:lang w:val="en-GB" w:bidi="th-TH"/>
              </w:rPr>
              <w:t>Catalogue of best practices accessible online</w:t>
            </w:r>
          </w:p>
          <w:p w14:paraId="2D0DB739" w14:textId="77777777" w:rsidR="00323051" w:rsidRPr="00323051" w:rsidRDefault="00323051" w:rsidP="00323051">
            <w:pPr>
              <w:rPr>
                <w:sz w:val="18"/>
                <w:szCs w:val="18"/>
                <w:lang w:val="en-GB" w:bidi="th-TH"/>
              </w:rPr>
            </w:pPr>
          </w:p>
          <w:p w14:paraId="023AD210" w14:textId="77777777" w:rsidR="00323051" w:rsidRPr="00323051" w:rsidRDefault="00323051" w:rsidP="00323051">
            <w:pPr>
              <w:rPr>
                <w:sz w:val="18"/>
                <w:szCs w:val="18"/>
                <w:lang w:val="en-GB" w:bidi="th-TH"/>
              </w:rPr>
            </w:pPr>
            <w:r w:rsidRPr="00323051">
              <w:rPr>
                <w:sz w:val="18"/>
                <w:szCs w:val="18"/>
                <w:lang w:val="en-GB" w:bidi="th-TH"/>
              </w:rPr>
              <w:t>Communications products on best practices produced and syndicated online</w:t>
            </w:r>
          </w:p>
        </w:tc>
        <w:tc>
          <w:tcPr>
            <w:tcW w:w="1839" w:type="dxa"/>
            <w:tcBorders>
              <w:top w:val="single" w:sz="4" w:space="0" w:color="auto"/>
              <w:left w:val="single" w:sz="4" w:space="0" w:color="auto"/>
              <w:bottom w:val="single" w:sz="4" w:space="0" w:color="auto"/>
              <w:right w:val="single" w:sz="4" w:space="0" w:color="auto"/>
            </w:tcBorders>
          </w:tcPr>
          <w:p w14:paraId="259966D0" w14:textId="77777777" w:rsidR="00323051" w:rsidRPr="00323051" w:rsidRDefault="00323051" w:rsidP="00323051">
            <w:pPr>
              <w:rPr>
                <w:sz w:val="18"/>
                <w:szCs w:val="18"/>
                <w:lang w:val="en-GB" w:bidi="th-TH"/>
              </w:rPr>
            </w:pPr>
            <w:r w:rsidRPr="00323051">
              <w:rPr>
                <w:sz w:val="18"/>
                <w:szCs w:val="18"/>
                <w:lang w:val="en-GB" w:bidi="th-TH"/>
              </w:rPr>
              <w:t xml:space="preserve">Internet connectivity and in provincial and local offices of environment and natural resource agencies adequate to support effective online knowledge sharing </w:t>
            </w:r>
          </w:p>
        </w:tc>
      </w:tr>
      <w:tr w:rsidR="00B0697C" w:rsidRPr="00323051" w14:paraId="2C7E6F0F" w14:textId="77777777" w:rsidTr="004B053A">
        <w:tc>
          <w:tcPr>
            <w:tcW w:w="0" w:type="auto"/>
            <w:vMerge/>
            <w:tcBorders>
              <w:left w:val="single" w:sz="4" w:space="0" w:color="auto"/>
              <w:right w:val="single" w:sz="4" w:space="0" w:color="auto"/>
            </w:tcBorders>
            <w:vAlign w:val="center"/>
          </w:tcPr>
          <w:p w14:paraId="5EB4ABD7" w14:textId="77777777" w:rsidR="00323051" w:rsidRPr="00323051" w:rsidRDefault="00323051" w:rsidP="00323051">
            <w:pPr>
              <w:rPr>
                <w:sz w:val="18"/>
                <w:szCs w:val="18"/>
                <w:lang w:val="en-GB" w:bidi="th-TH"/>
              </w:rPr>
            </w:pPr>
          </w:p>
        </w:tc>
        <w:tc>
          <w:tcPr>
            <w:tcW w:w="1936" w:type="dxa"/>
            <w:vMerge/>
            <w:tcBorders>
              <w:left w:val="single" w:sz="4" w:space="0" w:color="auto"/>
              <w:bottom w:val="nil"/>
              <w:right w:val="single" w:sz="4" w:space="0" w:color="auto"/>
            </w:tcBorders>
          </w:tcPr>
          <w:p w14:paraId="54312DDF"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7DB9AAE3" w14:textId="77777777" w:rsidR="00323051" w:rsidRPr="00323051" w:rsidRDefault="00323051" w:rsidP="00323051">
            <w:pPr>
              <w:rPr>
                <w:sz w:val="18"/>
                <w:szCs w:val="18"/>
                <w:lang w:val="en-GB" w:bidi="th-TH"/>
              </w:rPr>
            </w:pPr>
            <w:r w:rsidRPr="00323051">
              <w:rPr>
                <w:sz w:val="18"/>
                <w:szCs w:val="18"/>
                <w:lang w:val="en-GB" w:bidi="th-TH"/>
              </w:rPr>
              <w:t>Extent and continuity of local leader and local government participation in study tour and exchange initiatives</w:t>
            </w:r>
          </w:p>
          <w:p w14:paraId="56DDAF5D" w14:textId="77777777" w:rsidR="00323051" w:rsidRPr="00323051" w:rsidRDefault="00323051" w:rsidP="00323051">
            <w:pPr>
              <w:rPr>
                <w:sz w:val="18"/>
                <w:szCs w:val="18"/>
                <w:lang w:val="en-GB" w:bidi="th-TH"/>
              </w:rPr>
            </w:pPr>
          </w:p>
          <w:p w14:paraId="119D6804" w14:textId="77777777" w:rsidR="00323051" w:rsidRPr="00323051" w:rsidRDefault="00323051" w:rsidP="00323051">
            <w:pPr>
              <w:rPr>
                <w:sz w:val="18"/>
                <w:szCs w:val="18"/>
                <w:lang w:val="en-GB" w:bidi="th-TH"/>
              </w:rPr>
            </w:pPr>
            <w:r w:rsidRPr="00323051">
              <w:rPr>
                <w:sz w:val="18"/>
                <w:szCs w:val="18"/>
                <w:lang w:val="en-GB" w:bidi="th-TH"/>
              </w:rPr>
              <w:t>Level of improved local relevance of national policy and planning efforts for reducing environmental degradation in the SCS</w:t>
            </w:r>
          </w:p>
        </w:tc>
        <w:tc>
          <w:tcPr>
            <w:tcW w:w="1743" w:type="dxa"/>
            <w:tcBorders>
              <w:top w:val="single" w:sz="4" w:space="0" w:color="auto"/>
              <w:left w:val="single" w:sz="4" w:space="0" w:color="auto"/>
              <w:bottom w:val="single" w:sz="4" w:space="0" w:color="auto"/>
              <w:right w:val="single" w:sz="4" w:space="0" w:color="auto"/>
            </w:tcBorders>
          </w:tcPr>
          <w:p w14:paraId="5EAC2423" w14:textId="77777777" w:rsidR="00323051" w:rsidRPr="00323051" w:rsidRDefault="00323051" w:rsidP="00323051">
            <w:pPr>
              <w:rPr>
                <w:sz w:val="18"/>
                <w:szCs w:val="18"/>
                <w:lang w:val="en-GB" w:bidi="th-TH"/>
              </w:rPr>
            </w:pPr>
            <w:r w:rsidRPr="00323051">
              <w:rPr>
                <w:sz w:val="18"/>
                <w:szCs w:val="18"/>
                <w:lang w:val="en-GB" w:bidi="th-TH"/>
              </w:rPr>
              <w:t>Limited engagement of community-based governance mechanisms in national policy and planning</w:t>
            </w:r>
          </w:p>
          <w:p w14:paraId="0CF345E2" w14:textId="77777777" w:rsidR="00323051" w:rsidRPr="00323051" w:rsidRDefault="00323051" w:rsidP="00323051">
            <w:pPr>
              <w:rPr>
                <w:sz w:val="18"/>
                <w:szCs w:val="18"/>
                <w:lang w:val="en-GB" w:bidi="th-TH"/>
              </w:rPr>
            </w:pPr>
          </w:p>
          <w:p w14:paraId="6BCCA98B" w14:textId="77777777" w:rsidR="00323051" w:rsidRPr="00323051" w:rsidRDefault="00323051" w:rsidP="00323051">
            <w:pPr>
              <w:rPr>
                <w:sz w:val="18"/>
                <w:szCs w:val="18"/>
                <w:lang w:val="en-GB" w:bidi="th-TH"/>
              </w:rPr>
            </w:pPr>
            <w:r w:rsidRPr="00323051">
              <w:rPr>
                <w:sz w:val="18"/>
                <w:szCs w:val="18"/>
                <w:lang w:val="en-GB" w:bidi="th-TH"/>
              </w:rPr>
              <w:t>Low level mobilization of civil society, community organisation and the private sector in environmental investment planning</w:t>
            </w:r>
          </w:p>
        </w:tc>
        <w:tc>
          <w:tcPr>
            <w:tcW w:w="1955" w:type="dxa"/>
            <w:tcBorders>
              <w:top w:val="single" w:sz="4" w:space="0" w:color="auto"/>
              <w:left w:val="single" w:sz="4" w:space="0" w:color="auto"/>
              <w:bottom w:val="single" w:sz="4" w:space="0" w:color="auto"/>
              <w:right w:val="single" w:sz="4" w:space="0" w:color="auto"/>
            </w:tcBorders>
          </w:tcPr>
          <w:p w14:paraId="25912D69" w14:textId="77777777" w:rsidR="00323051" w:rsidRPr="00323051" w:rsidRDefault="00323051" w:rsidP="00323051">
            <w:pPr>
              <w:rPr>
                <w:sz w:val="18"/>
                <w:szCs w:val="18"/>
                <w:lang w:val="en-GB" w:bidi="th-TH"/>
              </w:rPr>
            </w:pPr>
            <w:r w:rsidRPr="00323051">
              <w:rPr>
                <w:sz w:val="18"/>
                <w:szCs w:val="18"/>
                <w:lang w:val="en-GB" w:bidi="th-TH"/>
              </w:rPr>
              <w:t>2.5.3 Government officials, community leaders, and habitat and pollution managers exposed to on-going practices in rehabilitation, management , and pollution control and treatment via programme of study tours and exchange</w:t>
            </w:r>
          </w:p>
        </w:tc>
        <w:tc>
          <w:tcPr>
            <w:tcW w:w="1984" w:type="dxa"/>
            <w:tcBorders>
              <w:top w:val="single" w:sz="4" w:space="0" w:color="auto"/>
              <w:left w:val="single" w:sz="4" w:space="0" w:color="auto"/>
              <w:bottom w:val="single" w:sz="4" w:space="0" w:color="auto"/>
              <w:right w:val="single" w:sz="4" w:space="0" w:color="auto"/>
            </w:tcBorders>
          </w:tcPr>
          <w:p w14:paraId="4D87EEFC" w14:textId="77777777" w:rsidR="00323051" w:rsidRPr="00323051" w:rsidRDefault="00323051" w:rsidP="00323051">
            <w:pPr>
              <w:rPr>
                <w:sz w:val="18"/>
                <w:szCs w:val="18"/>
                <w:lang w:val="en-GB" w:bidi="th-TH"/>
              </w:rPr>
            </w:pPr>
            <w:r w:rsidRPr="00323051">
              <w:rPr>
                <w:sz w:val="18"/>
                <w:szCs w:val="18"/>
                <w:lang w:val="en-GB" w:bidi="th-TH"/>
              </w:rPr>
              <w:t>Reports of study tour and exchange initiatives</w:t>
            </w:r>
          </w:p>
          <w:p w14:paraId="72E80B37" w14:textId="77777777" w:rsidR="00323051" w:rsidRPr="00323051" w:rsidRDefault="00323051" w:rsidP="00323051">
            <w:pPr>
              <w:rPr>
                <w:sz w:val="18"/>
                <w:szCs w:val="18"/>
                <w:lang w:val="en-GB" w:bidi="th-TH"/>
              </w:rPr>
            </w:pPr>
          </w:p>
          <w:p w14:paraId="4B033CBC" w14:textId="77777777" w:rsidR="00323051" w:rsidRPr="00323051" w:rsidRDefault="00323051" w:rsidP="00323051">
            <w:pPr>
              <w:rPr>
                <w:sz w:val="18"/>
                <w:szCs w:val="18"/>
                <w:lang w:val="en-GB" w:bidi="th-TH"/>
              </w:rPr>
            </w:pPr>
            <w:r w:rsidRPr="00323051">
              <w:rPr>
                <w:sz w:val="18"/>
                <w:szCs w:val="18"/>
                <w:lang w:val="en-GB" w:bidi="th-TH"/>
              </w:rPr>
              <w:t xml:space="preserve">Annual reports of best practice examples of community level inputs to SAP implementation initiatives </w:t>
            </w:r>
          </w:p>
        </w:tc>
        <w:tc>
          <w:tcPr>
            <w:tcW w:w="1839" w:type="dxa"/>
            <w:tcBorders>
              <w:top w:val="single" w:sz="4" w:space="0" w:color="auto"/>
              <w:left w:val="single" w:sz="4" w:space="0" w:color="auto"/>
              <w:bottom w:val="single" w:sz="4" w:space="0" w:color="auto"/>
              <w:right w:val="single" w:sz="4" w:space="0" w:color="auto"/>
            </w:tcBorders>
          </w:tcPr>
          <w:p w14:paraId="563DC699" w14:textId="77777777" w:rsidR="00323051" w:rsidRPr="00323051" w:rsidRDefault="00323051" w:rsidP="00323051">
            <w:pPr>
              <w:rPr>
                <w:sz w:val="18"/>
                <w:szCs w:val="18"/>
                <w:lang w:val="en-GB" w:bidi="th-TH"/>
              </w:rPr>
            </w:pPr>
            <w:r w:rsidRPr="00323051">
              <w:rPr>
                <w:sz w:val="18"/>
                <w:szCs w:val="18"/>
                <w:lang w:val="en-GB" w:bidi="th-TH"/>
              </w:rPr>
              <w:t>Existing tensions between local leaders, land owners, and government agencies may limit community leader or government official participation</w:t>
            </w:r>
          </w:p>
          <w:p w14:paraId="1AF8AE4E" w14:textId="77777777" w:rsidR="00323051" w:rsidRPr="00323051" w:rsidRDefault="00323051" w:rsidP="00323051">
            <w:pPr>
              <w:rPr>
                <w:sz w:val="18"/>
                <w:szCs w:val="18"/>
                <w:lang w:val="en-GB" w:bidi="th-TH"/>
              </w:rPr>
            </w:pPr>
          </w:p>
          <w:p w14:paraId="5143AE31" w14:textId="77777777" w:rsidR="00323051" w:rsidRPr="00323051" w:rsidRDefault="00323051" w:rsidP="00323051">
            <w:pPr>
              <w:rPr>
                <w:sz w:val="18"/>
                <w:szCs w:val="18"/>
                <w:lang w:val="en-GB" w:bidi="th-TH"/>
              </w:rPr>
            </w:pPr>
            <w:r w:rsidRPr="00323051">
              <w:rPr>
                <w:sz w:val="18"/>
                <w:szCs w:val="18"/>
                <w:lang w:val="en-GB" w:bidi="th-TH"/>
              </w:rPr>
              <w:t xml:space="preserve">Study tours and exchange initiatives are sufficiently well designed to guide uptake of best practice at provincial/community levels </w:t>
            </w:r>
          </w:p>
        </w:tc>
      </w:tr>
      <w:tr w:rsidR="00B0697C" w:rsidRPr="00323051" w14:paraId="0717E4B7" w14:textId="77777777" w:rsidTr="004B053A">
        <w:tc>
          <w:tcPr>
            <w:tcW w:w="0" w:type="auto"/>
            <w:vMerge/>
            <w:tcBorders>
              <w:left w:val="single" w:sz="4" w:space="0" w:color="auto"/>
              <w:right w:val="single" w:sz="4" w:space="0" w:color="auto"/>
            </w:tcBorders>
            <w:vAlign w:val="center"/>
          </w:tcPr>
          <w:p w14:paraId="09776373" w14:textId="77777777" w:rsidR="00323051" w:rsidRPr="00323051" w:rsidRDefault="00323051" w:rsidP="00323051">
            <w:pPr>
              <w:rPr>
                <w:sz w:val="18"/>
                <w:szCs w:val="18"/>
                <w:lang w:val="en-GB" w:bidi="th-TH"/>
              </w:rPr>
            </w:pPr>
          </w:p>
        </w:tc>
        <w:tc>
          <w:tcPr>
            <w:tcW w:w="1936" w:type="dxa"/>
            <w:tcBorders>
              <w:top w:val="nil"/>
              <w:left w:val="single" w:sz="4" w:space="0" w:color="auto"/>
              <w:bottom w:val="single" w:sz="4" w:space="0" w:color="auto"/>
              <w:right w:val="single" w:sz="4" w:space="0" w:color="auto"/>
            </w:tcBorders>
          </w:tcPr>
          <w:p w14:paraId="442EF3D1"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584C65E0" w14:textId="77777777" w:rsidR="00323051" w:rsidRPr="00323051" w:rsidRDefault="00323051" w:rsidP="00323051">
            <w:pPr>
              <w:rPr>
                <w:sz w:val="18"/>
                <w:szCs w:val="18"/>
                <w:lang w:val="en-GB" w:bidi="th-TH"/>
              </w:rPr>
            </w:pPr>
            <w:r w:rsidRPr="00323051">
              <w:rPr>
                <w:sz w:val="18"/>
                <w:szCs w:val="18"/>
                <w:lang w:val="en-GB" w:bidi="th-TH"/>
              </w:rPr>
              <w:t>Number of public awareness products accessible online</w:t>
            </w:r>
          </w:p>
          <w:p w14:paraId="05ED311F" w14:textId="77777777" w:rsidR="00323051" w:rsidRPr="00323051" w:rsidRDefault="00323051" w:rsidP="00323051">
            <w:pPr>
              <w:rPr>
                <w:sz w:val="18"/>
                <w:szCs w:val="18"/>
                <w:lang w:val="en-GB" w:bidi="th-TH"/>
              </w:rPr>
            </w:pPr>
          </w:p>
          <w:p w14:paraId="77823791" w14:textId="77777777" w:rsidR="00323051" w:rsidRPr="00323051" w:rsidRDefault="00323051" w:rsidP="00323051">
            <w:pPr>
              <w:rPr>
                <w:sz w:val="18"/>
                <w:szCs w:val="18"/>
                <w:lang w:val="en-GB" w:bidi="th-TH"/>
              </w:rPr>
            </w:pPr>
            <w:r w:rsidRPr="00323051">
              <w:rPr>
                <w:sz w:val="18"/>
                <w:szCs w:val="18"/>
                <w:lang w:val="en-GB" w:bidi="th-TH"/>
              </w:rPr>
              <w:t>Extent of local uptake and use of awareness products</w:t>
            </w:r>
          </w:p>
        </w:tc>
        <w:tc>
          <w:tcPr>
            <w:tcW w:w="1743" w:type="dxa"/>
            <w:tcBorders>
              <w:top w:val="single" w:sz="4" w:space="0" w:color="auto"/>
              <w:left w:val="single" w:sz="4" w:space="0" w:color="auto"/>
              <w:bottom w:val="single" w:sz="4" w:space="0" w:color="auto"/>
              <w:right w:val="single" w:sz="4" w:space="0" w:color="auto"/>
            </w:tcBorders>
          </w:tcPr>
          <w:p w14:paraId="599AB68D" w14:textId="77777777" w:rsidR="00323051" w:rsidRPr="00323051" w:rsidRDefault="00323051" w:rsidP="00323051">
            <w:pPr>
              <w:rPr>
                <w:sz w:val="18"/>
                <w:szCs w:val="18"/>
                <w:lang w:val="en-GB" w:bidi="th-TH"/>
              </w:rPr>
            </w:pPr>
            <w:r w:rsidRPr="00323051">
              <w:rPr>
                <w:sz w:val="18"/>
                <w:szCs w:val="18"/>
                <w:lang w:val="en-GB" w:bidi="th-TH"/>
              </w:rPr>
              <w:t>Public awareness materials developed via TDA/SAP project compiled and accessible via SCS website</w:t>
            </w:r>
          </w:p>
        </w:tc>
        <w:tc>
          <w:tcPr>
            <w:tcW w:w="1955" w:type="dxa"/>
            <w:tcBorders>
              <w:top w:val="single" w:sz="4" w:space="0" w:color="auto"/>
              <w:left w:val="single" w:sz="4" w:space="0" w:color="auto"/>
              <w:bottom w:val="single" w:sz="4" w:space="0" w:color="auto"/>
              <w:right w:val="single" w:sz="4" w:space="0" w:color="auto"/>
            </w:tcBorders>
          </w:tcPr>
          <w:p w14:paraId="1F5A2940" w14:textId="77777777" w:rsidR="00323051" w:rsidRPr="00323051" w:rsidRDefault="00323051" w:rsidP="00323051">
            <w:pPr>
              <w:rPr>
                <w:sz w:val="18"/>
                <w:szCs w:val="18"/>
                <w:lang w:val="en-GB" w:bidi="th-TH"/>
              </w:rPr>
            </w:pPr>
            <w:r w:rsidRPr="00323051">
              <w:rPr>
                <w:sz w:val="18"/>
                <w:szCs w:val="18"/>
                <w:lang w:val="en-GB" w:bidi="th-TH"/>
              </w:rPr>
              <w:t>2.5.4 Expanded South China Sea online public awareness centre, including awareness packages for local adoption</w:t>
            </w:r>
          </w:p>
        </w:tc>
        <w:tc>
          <w:tcPr>
            <w:tcW w:w="1984" w:type="dxa"/>
            <w:tcBorders>
              <w:top w:val="single" w:sz="4" w:space="0" w:color="auto"/>
              <w:left w:val="single" w:sz="4" w:space="0" w:color="auto"/>
              <w:bottom w:val="single" w:sz="4" w:space="0" w:color="auto"/>
              <w:right w:val="single" w:sz="4" w:space="0" w:color="auto"/>
            </w:tcBorders>
          </w:tcPr>
          <w:p w14:paraId="60ED308C" w14:textId="77777777" w:rsidR="00323051" w:rsidRPr="00323051" w:rsidRDefault="00323051" w:rsidP="00323051">
            <w:pPr>
              <w:rPr>
                <w:sz w:val="18"/>
                <w:szCs w:val="18"/>
                <w:lang w:val="en-GB" w:bidi="th-TH"/>
              </w:rPr>
            </w:pPr>
            <w:r w:rsidRPr="00323051">
              <w:rPr>
                <w:sz w:val="18"/>
                <w:szCs w:val="18"/>
                <w:lang w:val="en-GB" w:bidi="th-TH"/>
              </w:rPr>
              <w:t>Awareness packages accessible online via a SCS SAP implementation website</w:t>
            </w:r>
          </w:p>
        </w:tc>
        <w:tc>
          <w:tcPr>
            <w:tcW w:w="1839" w:type="dxa"/>
            <w:tcBorders>
              <w:top w:val="single" w:sz="4" w:space="0" w:color="auto"/>
              <w:left w:val="single" w:sz="4" w:space="0" w:color="auto"/>
              <w:bottom w:val="single" w:sz="4" w:space="0" w:color="auto"/>
              <w:right w:val="single" w:sz="4" w:space="0" w:color="auto"/>
            </w:tcBorders>
          </w:tcPr>
          <w:p w14:paraId="066C62D3" w14:textId="77777777" w:rsidR="00323051" w:rsidRPr="00323051" w:rsidRDefault="00323051" w:rsidP="00323051">
            <w:pPr>
              <w:rPr>
                <w:sz w:val="18"/>
                <w:szCs w:val="18"/>
                <w:lang w:val="en-GB" w:bidi="th-TH"/>
              </w:rPr>
            </w:pPr>
            <w:r w:rsidRPr="00323051">
              <w:rPr>
                <w:sz w:val="18"/>
                <w:szCs w:val="18"/>
                <w:lang w:val="en-GB" w:bidi="th-TH"/>
              </w:rPr>
              <w:t>Awareness materials are sufficiently well designed and shared with stakeholders to ensure uptake and desire local impact</w:t>
            </w:r>
          </w:p>
        </w:tc>
      </w:tr>
      <w:tr w:rsidR="00B0697C" w:rsidRPr="00323051" w14:paraId="1C530BC4" w14:textId="77777777" w:rsidTr="004B053A">
        <w:tc>
          <w:tcPr>
            <w:tcW w:w="0" w:type="auto"/>
            <w:vMerge/>
            <w:tcBorders>
              <w:left w:val="single" w:sz="4" w:space="0" w:color="auto"/>
              <w:right w:val="single" w:sz="4" w:space="0" w:color="auto"/>
            </w:tcBorders>
            <w:vAlign w:val="center"/>
          </w:tcPr>
          <w:p w14:paraId="3AADEC77" w14:textId="77777777" w:rsidR="00323051" w:rsidRPr="00323051" w:rsidRDefault="00323051" w:rsidP="00323051">
            <w:pPr>
              <w:rPr>
                <w:sz w:val="18"/>
                <w:szCs w:val="18"/>
                <w:lang w:val="en-GB" w:bidi="th-TH"/>
              </w:rPr>
            </w:pPr>
          </w:p>
        </w:tc>
        <w:tc>
          <w:tcPr>
            <w:tcW w:w="1936" w:type="dxa"/>
            <w:vMerge w:val="restart"/>
            <w:tcBorders>
              <w:top w:val="single" w:sz="4" w:space="0" w:color="auto"/>
              <w:left w:val="single" w:sz="4" w:space="0" w:color="auto"/>
              <w:right w:val="single" w:sz="4" w:space="0" w:color="auto"/>
            </w:tcBorders>
          </w:tcPr>
          <w:p w14:paraId="3D555C9C" w14:textId="77777777" w:rsidR="00323051" w:rsidRPr="00323051" w:rsidRDefault="00323051" w:rsidP="00323051">
            <w:pPr>
              <w:rPr>
                <w:sz w:val="18"/>
                <w:szCs w:val="18"/>
                <w:lang w:val="en-GB" w:bidi="th-TH"/>
              </w:rPr>
            </w:pPr>
            <w:r w:rsidRPr="00323051">
              <w:rPr>
                <w:sz w:val="18"/>
                <w:szCs w:val="18"/>
                <w:lang w:val="en-GB" w:bidi="th-TH"/>
              </w:rPr>
              <w:t>2.6 Updated and Ministerially adopted Transboundary Diagnostic Analysis and Strategic Action Programme, including prioritization of national management actions to address climate variability and change</w:t>
            </w:r>
          </w:p>
        </w:tc>
        <w:tc>
          <w:tcPr>
            <w:tcW w:w="1881" w:type="dxa"/>
            <w:tcBorders>
              <w:top w:val="single" w:sz="4" w:space="0" w:color="auto"/>
              <w:left w:val="single" w:sz="4" w:space="0" w:color="auto"/>
              <w:bottom w:val="single" w:sz="4" w:space="0" w:color="auto"/>
              <w:right w:val="single" w:sz="4" w:space="0" w:color="auto"/>
            </w:tcBorders>
          </w:tcPr>
          <w:p w14:paraId="0ECE9C2D" w14:textId="77777777" w:rsidR="00323051" w:rsidRPr="00323051" w:rsidRDefault="00323051" w:rsidP="00323051">
            <w:pPr>
              <w:rPr>
                <w:sz w:val="18"/>
                <w:szCs w:val="18"/>
                <w:lang w:val="en-GB" w:bidi="th-TH"/>
              </w:rPr>
            </w:pPr>
            <w:r w:rsidRPr="00323051">
              <w:rPr>
                <w:sz w:val="18"/>
                <w:szCs w:val="18"/>
                <w:lang w:val="en-GB" w:bidi="th-TH"/>
              </w:rPr>
              <w:t>Status of national and regional level consensus on contemporary issues of transboundary significance with respect to coastal habitat and land-based pollution management</w:t>
            </w:r>
          </w:p>
        </w:tc>
        <w:tc>
          <w:tcPr>
            <w:tcW w:w="1743" w:type="dxa"/>
            <w:tcBorders>
              <w:top w:val="single" w:sz="4" w:space="0" w:color="auto"/>
              <w:left w:val="single" w:sz="4" w:space="0" w:color="auto"/>
              <w:bottom w:val="single" w:sz="4" w:space="0" w:color="auto"/>
              <w:right w:val="single" w:sz="4" w:space="0" w:color="auto"/>
            </w:tcBorders>
          </w:tcPr>
          <w:p w14:paraId="274A131C" w14:textId="77777777" w:rsidR="00323051" w:rsidRPr="00323051" w:rsidRDefault="00323051" w:rsidP="00323051">
            <w:pPr>
              <w:rPr>
                <w:sz w:val="18"/>
                <w:szCs w:val="18"/>
                <w:lang w:val="en-GB" w:bidi="th-TH"/>
              </w:rPr>
            </w:pPr>
            <w:r w:rsidRPr="00323051">
              <w:rPr>
                <w:sz w:val="18"/>
                <w:szCs w:val="18"/>
                <w:lang w:val="en-GB" w:bidi="th-TH"/>
              </w:rPr>
              <w:t>TDA for SCS published in 2000</w:t>
            </w:r>
          </w:p>
          <w:p w14:paraId="5FCBEBD1" w14:textId="77777777" w:rsidR="00323051" w:rsidRPr="00323051" w:rsidRDefault="00323051" w:rsidP="00323051">
            <w:pPr>
              <w:rPr>
                <w:sz w:val="18"/>
                <w:szCs w:val="18"/>
                <w:lang w:val="en-GB" w:bidi="th-TH"/>
              </w:rPr>
            </w:pPr>
          </w:p>
          <w:p w14:paraId="2D22982E" w14:textId="77777777" w:rsidR="00323051" w:rsidRPr="00323051" w:rsidRDefault="00323051" w:rsidP="00323051">
            <w:pPr>
              <w:rPr>
                <w:sz w:val="18"/>
                <w:szCs w:val="18"/>
                <w:lang w:val="en-GB" w:bidi="th-TH"/>
              </w:rPr>
            </w:pPr>
            <w:r w:rsidRPr="00323051">
              <w:rPr>
                <w:sz w:val="18"/>
                <w:szCs w:val="18"/>
                <w:lang w:val="en-GB" w:bidi="th-TH"/>
              </w:rPr>
              <w:t xml:space="preserve">Special Issue of Ocean and Coastal Management on South China Sea published in 2013 </w:t>
            </w:r>
          </w:p>
        </w:tc>
        <w:tc>
          <w:tcPr>
            <w:tcW w:w="1955" w:type="dxa"/>
            <w:tcBorders>
              <w:top w:val="single" w:sz="4" w:space="0" w:color="auto"/>
              <w:left w:val="single" w:sz="4" w:space="0" w:color="auto"/>
              <w:bottom w:val="single" w:sz="4" w:space="0" w:color="auto"/>
              <w:right w:val="single" w:sz="4" w:space="0" w:color="auto"/>
            </w:tcBorders>
          </w:tcPr>
          <w:p w14:paraId="2334DBBA" w14:textId="77777777" w:rsidR="00323051" w:rsidRPr="00323051" w:rsidRDefault="00323051" w:rsidP="00323051">
            <w:pPr>
              <w:rPr>
                <w:sz w:val="18"/>
                <w:szCs w:val="18"/>
                <w:lang w:val="en-GB" w:bidi="th-TH"/>
              </w:rPr>
            </w:pPr>
            <w:r w:rsidRPr="00323051">
              <w:rPr>
                <w:sz w:val="18"/>
                <w:szCs w:val="18"/>
                <w:lang w:val="en-GB" w:bidi="th-TH"/>
              </w:rPr>
              <w:t>2.6.1 National and regional level consensus on contemporary issues and problems, including the quantification of environmental compromises and the prioritization of problems (Yr 2)</w:t>
            </w:r>
          </w:p>
        </w:tc>
        <w:tc>
          <w:tcPr>
            <w:tcW w:w="1984" w:type="dxa"/>
            <w:tcBorders>
              <w:top w:val="single" w:sz="4" w:space="0" w:color="auto"/>
              <w:left w:val="single" w:sz="4" w:space="0" w:color="auto"/>
              <w:bottom w:val="single" w:sz="4" w:space="0" w:color="auto"/>
              <w:right w:val="single" w:sz="4" w:space="0" w:color="auto"/>
            </w:tcBorders>
          </w:tcPr>
          <w:p w14:paraId="3DDE3F32" w14:textId="77777777" w:rsidR="00323051" w:rsidRPr="00323051" w:rsidRDefault="00323051" w:rsidP="00323051">
            <w:pPr>
              <w:rPr>
                <w:sz w:val="18"/>
                <w:szCs w:val="18"/>
                <w:lang w:val="en-GB" w:bidi="th-TH"/>
              </w:rPr>
            </w:pPr>
            <w:r w:rsidRPr="00323051">
              <w:rPr>
                <w:sz w:val="18"/>
                <w:szCs w:val="18"/>
                <w:lang w:val="en-GB" w:bidi="th-TH"/>
              </w:rPr>
              <w:t>Updated and regionally endorsed Transboundary Diagnostic Analysis for the SCS marine basin published and disseminated at national and regional levels</w:t>
            </w:r>
          </w:p>
        </w:tc>
        <w:tc>
          <w:tcPr>
            <w:tcW w:w="1839" w:type="dxa"/>
            <w:tcBorders>
              <w:top w:val="single" w:sz="4" w:space="0" w:color="auto"/>
              <w:left w:val="single" w:sz="4" w:space="0" w:color="auto"/>
              <w:bottom w:val="single" w:sz="4" w:space="0" w:color="auto"/>
              <w:right w:val="single" w:sz="4" w:space="0" w:color="auto"/>
            </w:tcBorders>
          </w:tcPr>
          <w:p w14:paraId="122B25BA" w14:textId="77777777" w:rsidR="00323051" w:rsidRPr="00323051" w:rsidRDefault="00323051" w:rsidP="00323051">
            <w:pPr>
              <w:rPr>
                <w:sz w:val="18"/>
                <w:szCs w:val="18"/>
                <w:lang w:val="en-GB" w:bidi="th-TH"/>
              </w:rPr>
            </w:pPr>
            <w:r w:rsidRPr="00323051">
              <w:rPr>
                <w:sz w:val="18"/>
                <w:szCs w:val="18"/>
                <w:lang w:val="en-GB" w:bidi="th-TH"/>
              </w:rPr>
              <w:t>Securing adequate and consistent inputs of expertise may be compromised if incentives for national and regional specialists to participate in work are inadequate</w:t>
            </w:r>
          </w:p>
        </w:tc>
      </w:tr>
      <w:tr w:rsidR="00B0697C" w:rsidRPr="00323051" w14:paraId="2EC65DCE" w14:textId="77777777" w:rsidTr="004B053A">
        <w:tc>
          <w:tcPr>
            <w:tcW w:w="0" w:type="auto"/>
            <w:vMerge/>
            <w:tcBorders>
              <w:left w:val="single" w:sz="4" w:space="0" w:color="auto"/>
              <w:right w:val="single" w:sz="4" w:space="0" w:color="auto"/>
            </w:tcBorders>
            <w:vAlign w:val="center"/>
          </w:tcPr>
          <w:p w14:paraId="38F724B6" w14:textId="77777777" w:rsidR="00323051" w:rsidRPr="00323051" w:rsidRDefault="00323051" w:rsidP="00323051">
            <w:pPr>
              <w:rPr>
                <w:sz w:val="18"/>
                <w:szCs w:val="18"/>
                <w:lang w:val="en-GB" w:bidi="th-TH"/>
              </w:rPr>
            </w:pPr>
          </w:p>
        </w:tc>
        <w:tc>
          <w:tcPr>
            <w:tcW w:w="1936" w:type="dxa"/>
            <w:vMerge/>
            <w:tcBorders>
              <w:left w:val="single" w:sz="4" w:space="0" w:color="auto"/>
              <w:bottom w:val="nil"/>
              <w:right w:val="single" w:sz="4" w:space="0" w:color="auto"/>
            </w:tcBorders>
          </w:tcPr>
          <w:p w14:paraId="7C483108"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788DF4B7" w14:textId="77777777" w:rsidR="00323051" w:rsidRPr="00323051" w:rsidRDefault="00323051" w:rsidP="00323051">
            <w:pPr>
              <w:rPr>
                <w:sz w:val="18"/>
                <w:szCs w:val="18"/>
                <w:lang w:val="en-GB" w:bidi="th-TH"/>
              </w:rPr>
            </w:pPr>
            <w:r w:rsidRPr="00323051">
              <w:rPr>
                <w:sz w:val="18"/>
                <w:szCs w:val="18"/>
                <w:lang w:val="en-GB" w:bidi="th-TH"/>
              </w:rPr>
              <w:t>Status of national and regional level consensus reached on priority actions for intervention</w:t>
            </w:r>
          </w:p>
          <w:p w14:paraId="78F21793" w14:textId="77777777" w:rsidR="00323051" w:rsidRPr="00323051" w:rsidRDefault="00323051" w:rsidP="00323051">
            <w:pPr>
              <w:rPr>
                <w:sz w:val="18"/>
                <w:szCs w:val="18"/>
                <w:lang w:val="en-GB" w:bidi="th-TH"/>
              </w:rPr>
            </w:pPr>
          </w:p>
          <w:p w14:paraId="7A7F4F6B" w14:textId="77777777" w:rsidR="00323051" w:rsidRPr="00323051" w:rsidRDefault="00323051" w:rsidP="00323051">
            <w:pPr>
              <w:rPr>
                <w:sz w:val="18"/>
                <w:szCs w:val="18"/>
                <w:lang w:val="en-GB" w:bidi="th-TH"/>
              </w:rPr>
            </w:pPr>
            <w:r w:rsidRPr="00323051">
              <w:rPr>
                <w:sz w:val="18"/>
                <w:szCs w:val="18"/>
                <w:lang w:val="en-GB" w:bidi="th-TH"/>
              </w:rPr>
              <w:t>Status of cost benefit analysis of comparative net benefits of alternative options for management</w:t>
            </w:r>
          </w:p>
        </w:tc>
        <w:tc>
          <w:tcPr>
            <w:tcW w:w="1743" w:type="dxa"/>
            <w:tcBorders>
              <w:top w:val="single" w:sz="4" w:space="0" w:color="auto"/>
              <w:left w:val="single" w:sz="4" w:space="0" w:color="auto"/>
              <w:bottom w:val="single" w:sz="4" w:space="0" w:color="auto"/>
              <w:right w:val="single" w:sz="4" w:space="0" w:color="auto"/>
            </w:tcBorders>
          </w:tcPr>
          <w:p w14:paraId="0116C72B" w14:textId="77777777" w:rsidR="00323051" w:rsidRPr="00323051" w:rsidRDefault="00323051" w:rsidP="00323051">
            <w:pPr>
              <w:rPr>
                <w:sz w:val="18"/>
                <w:szCs w:val="18"/>
                <w:lang w:val="en-GB" w:bidi="th-TH"/>
              </w:rPr>
            </w:pPr>
            <w:r w:rsidRPr="00323051">
              <w:rPr>
                <w:sz w:val="18"/>
                <w:szCs w:val="18"/>
                <w:lang w:val="en-GB" w:bidi="th-TH"/>
              </w:rPr>
              <w:t>Strategic Action Programme endorsed in 2008 outlines priorities for management</w:t>
            </w:r>
          </w:p>
          <w:p w14:paraId="61E36382" w14:textId="77777777" w:rsidR="00323051" w:rsidRPr="00323051" w:rsidRDefault="00323051" w:rsidP="00323051">
            <w:pPr>
              <w:rPr>
                <w:sz w:val="18"/>
                <w:szCs w:val="18"/>
                <w:lang w:val="en-GB" w:bidi="th-TH"/>
              </w:rPr>
            </w:pPr>
          </w:p>
          <w:p w14:paraId="6B6D567B" w14:textId="77777777" w:rsidR="00323051" w:rsidRPr="00323051" w:rsidRDefault="00323051" w:rsidP="00323051">
            <w:pPr>
              <w:rPr>
                <w:sz w:val="18"/>
                <w:szCs w:val="18"/>
                <w:lang w:val="en-GB" w:bidi="th-TH"/>
              </w:rPr>
            </w:pPr>
            <w:r w:rsidRPr="00323051">
              <w:rPr>
                <w:sz w:val="18"/>
                <w:szCs w:val="18"/>
                <w:lang w:val="en-GB" w:bidi="th-TH"/>
              </w:rPr>
              <w:t xml:space="preserve">Established methodology for cost of action versus non-action in the context of SCS SAP implementation </w:t>
            </w:r>
          </w:p>
        </w:tc>
        <w:tc>
          <w:tcPr>
            <w:tcW w:w="1955" w:type="dxa"/>
            <w:tcBorders>
              <w:top w:val="single" w:sz="4" w:space="0" w:color="auto"/>
              <w:left w:val="single" w:sz="4" w:space="0" w:color="auto"/>
              <w:bottom w:val="single" w:sz="4" w:space="0" w:color="auto"/>
              <w:right w:val="single" w:sz="4" w:space="0" w:color="auto"/>
            </w:tcBorders>
          </w:tcPr>
          <w:p w14:paraId="5C9B9355" w14:textId="77777777" w:rsidR="00323051" w:rsidRPr="00323051" w:rsidRDefault="00323051" w:rsidP="00323051">
            <w:pPr>
              <w:rPr>
                <w:sz w:val="18"/>
                <w:szCs w:val="18"/>
                <w:lang w:val="en-GB" w:bidi="th-TH"/>
              </w:rPr>
            </w:pPr>
            <w:r w:rsidRPr="00323051">
              <w:rPr>
                <w:sz w:val="18"/>
                <w:szCs w:val="18"/>
                <w:lang w:val="en-GB" w:bidi="th-TH"/>
              </w:rPr>
              <w:t>2.6.2 The immediate and ultimate root causes of the problems identified and consensus reached on priorities for intervention, including comparative analysis of the net benefits of alternative options (Yr 3)</w:t>
            </w:r>
          </w:p>
        </w:tc>
        <w:tc>
          <w:tcPr>
            <w:tcW w:w="1984" w:type="dxa"/>
            <w:tcBorders>
              <w:top w:val="single" w:sz="4" w:space="0" w:color="auto"/>
              <w:left w:val="single" w:sz="4" w:space="0" w:color="auto"/>
              <w:bottom w:val="single" w:sz="4" w:space="0" w:color="auto"/>
              <w:right w:val="single" w:sz="4" w:space="0" w:color="auto"/>
            </w:tcBorders>
          </w:tcPr>
          <w:p w14:paraId="57701E63" w14:textId="77777777" w:rsidR="00323051" w:rsidRPr="00323051" w:rsidRDefault="00323051" w:rsidP="00323051">
            <w:pPr>
              <w:rPr>
                <w:sz w:val="18"/>
                <w:szCs w:val="18"/>
                <w:lang w:val="en-GB" w:bidi="th-TH"/>
              </w:rPr>
            </w:pPr>
            <w:r w:rsidRPr="00323051">
              <w:rPr>
                <w:sz w:val="18"/>
                <w:szCs w:val="18"/>
                <w:lang w:val="en-GB" w:bidi="th-TH"/>
              </w:rPr>
              <w:t xml:space="preserve">Updated and regionally endorsed prioritisation of options for management intervention in the SCS </w:t>
            </w:r>
          </w:p>
          <w:p w14:paraId="034A9522" w14:textId="77777777" w:rsidR="00323051" w:rsidRPr="00323051" w:rsidRDefault="00323051" w:rsidP="00323051">
            <w:pPr>
              <w:rPr>
                <w:sz w:val="18"/>
                <w:szCs w:val="18"/>
                <w:lang w:val="en-GB" w:bidi="th-TH"/>
              </w:rPr>
            </w:pPr>
          </w:p>
          <w:p w14:paraId="5F47F2AC" w14:textId="77777777" w:rsidR="00323051" w:rsidRPr="00323051" w:rsidRDefault="00323051" w:rsidP="00323051">
            <w:pPr>
              <w:rPr>
                <w:sz w:val="18"/>
                <w:szCs w:val="18"/>
                <w:lang w:val="en-GB" w:bidi="th-TH"/>
              </w:rPr>
            </w:pPr>
            <w:r w:rsidRPr="00323051">
              <w:rPr>
                <w:sz w:val="18"/>
                <w:szCs w:val="18"/>
                <w:lang w:val="en-GB" w:bidi="th-TH"/>
              </w:rPr>
              <w:t xml:space="preserve">Published cost benefit analysis of alternative options for coastal habitat and land-based pollution interventions </w:t>
            </w:r>
          </w:p>
        </w:tc>
        <w:tc>
          <w:tcPr>
            <w:tcW w:w="1839" w:type="dxa"/>
            <w:tcBorders>
              <w:top w:val="single" w:sz="4" w:space="0" w:color="auto"/>
              <w:left w:val="single" w:sz="4" w:space="0" w:color="auto"/>
              <w:bottom w:val="single" w:sz="4" w:space="0" w:color="auto"/>
              <w:right w:val="single" w:sz="4" w:space="0" w:color="auto"/>
            </w:tcBorders>
          </w:tcPr>
          <w:p w14:paraId="6635889A" w14:textId="77777777" w:rsidR="00323051" w:rsidRPr="00323051" w:rsidRDefault="00323051" w:rsidP="00323051">
            <w:pPr>
              <w:rPr>
                <w:sz w:val="18"/>
                <w:szCs w:val="18"/>
                <w:lang w:val="en-GB" w:bidi="th-TH"/>
              </w:rPr>
            </w:pPr>
            <w:r w:rsidRPr="00323051">
              <w:rPr>
                <w:sz w:val="18"/>
                <w:szCs w:val="18"/>
                <w:lang w:val="en-GB" w:bidi="th-TH"/>
              </w:rPr>
              <w:t>Securing adequate and consistent inputs of expertise may be compromised if incentives for national and regional specialists to participate in work are inadequate</w:t>
            </w:r>
          </w:p>
        </w:tc>
      </w:tr>
      <w:tr w:rsidR="00B0697C" w:rsidRPr="00323051" w14:paraId="7E646A52" w14:textId="77777777" w:rsidTr="004B053A">
        <w:tc>
          <w:tcPr>
            <w:tcW w:w="0" w:type="auto"/>
            <w:vMerge/>
            <w:tcBorders>
              <w:left w:val="single" w:sz="4" w:space="0" w:color="auto"/>
              <w:right w:val="single" w:sz="4" w:space="0" w:color="auto"/>
            </w:tcBorders>
            <w:vAlign w:val="center"/>
          </w:tcPr>
          <w:p w14:paraId="0B0963DB" w14:textId="77777777" w:rsidR="00323051" w:rsidRPr="00323051" w:rsidRDefault="00323051" w:rsidP="00323051">
            <w:pPr>
              <w:rPr>
                <w:sz w:val="18"/>
                <w:szCs w:val="18"/>
                <w:lang w:val="en-GB" w:bidi="th-TH"/>
              </w:rPr>
            </w:pPr>
          </w:p>
        </w:tc>
        <w:tc>
          <w:tcPr>
            <w:tcW w:w="1936" w:type="dxa"/>
            <w:vMerge w:val="restart"/>
            <w:tcBorders>
              <w:top w:val="nil"/>
              <w:left w:val="single" w:sz="4" w:space="0" w:color="auto"/>
              <w:right w:val="single" w:sz="4" w:space="0" w:color="auto"/>
            </w:tcBorders>
          </w:tcPr>
          <w:p w14:paraId="02488EFF"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34A27639" w14:textId="77777777" w:rsidR="00323051" w:rsidRPr="00323051" w:rsidRDefault="00323051" w:rsidP="00CB247D">
            <w:pPr>
              <w:rPr>
                <w:sz w:val="18"/>
                <w:szCs w:val="18"/>
                <w:lang w:val="en-GB" w:bidi="th-TH"/>
              </w:rPr>
            </w:pPr>
            <w:r w:rsidRPr="00323051">
              <w:rPr>
                <w:sz w:val="18"/>
                <w:szCs w:val="18"/>
                <w:lang w:val="en-GB" w:bidi="th-TH"/>
              </w:rPr>
              <w:t xml:space="preserve">Status of adoption </w:t>
            </w:r>
            <w:r w:rsidR="00CB247D">
              <w:rPr>
                <w:sz w:val="18"/>
                <w:szCs w:val="18"/>
                <w:lang w:val="en-GB" w:bidi="th-TH"/>
              </w:rPr>
              <w:t xml:space="preserve">by appropriate Ministers </w:t>
            </w:r>
            <w:r w:rsidRPr="00323051">
              <w:rPr>
                <w:sz w:val="18"/>
                <w:szCs w:val="18"/>
                <w:lang w:val="en-GB" w:bidi="th-TH"/>
              </w:rPr>
              <w:t>of an updated Strategic Action Programme for the South China Sea</w:t>
            </w:r>
          </w:p>
        </w:tc>
        <w:tc>
          <w:tcPr>
            <w:tcW w:w="1743" w:type="dxa"/>
            <w:tcBorders>
              <w:top w:val="single" w:sz="4" w:space="0" w:color="auto"/>
              <w:left w:val="single" w:sz="4" w:space="0" w:color="auto"/>
              <w:bottom w:val="single" w:sz="4" w:space="0" w:color="auto"/>
              <w:right w:val="single" w:sz="4" w:space="0" w:color="auto"/>
            </w:tcBorders>
          </w:tcPr>
          <w:p w14:paraId="579E3B47" w14:textId="77777777" w:rsidR="00323051" w:rsidRPr="00323051" w:rsidRDefault="00323051" w:rsidP="00323051">
            <w:pPr>
              <w:rPr>
                <w:sz w:val="18"/>
                <w:szCs w:val="18"/>
                <w:lang w:val="en-GB" w:bidi="th-TH"/>
              </w:rPr>
            </w:pPr>
            <w:r w:rsidRPr="00323051">
              <w:rPr>
                <w:sz w:val="18"/>
                <w:szCs w:val="18"/>
                <w:lang w:val="en-GB" w:bidi="th-TH"/>
              </w:rPr>
              <w:t>Strategic Action Programme for the South China Sea endorsed inter-governmentally in 2008</w:t>
            </w:r>
          </w:p>
        </w:tc>
        <w:tc>
          <w:tcPr>
            <w:tcW w:w="1955" w:type="dxa"/>
            <w:tcBorders>
              <w:top w:val="single" w:sz="4" w:space="0" w:color="auto"/>
              <w:left w:val="single" w:sz="4" w:space="0" w:color="auto"/>
              <w:bottom w:val="single" w:sz="4" w:space="0" w:color="auto"/>
              <w:right w:val="single" w:sz="4" w:space="0" w:color="auto"/>
            </w:tcBorders>
          </w:tcPr>
          <w:p w14:paraId="6C550A14" w14:textId="77777777" w:rsidR="00323051" w:rsidRPr="00323051" w:rsidRDefault="00323051" w:rsidP="006F7593">
            <w:pPr>
              <w:rPr>
                <w:sz w:val="18"/>
                <w:szCs w:val="18"/>
                <w:lang w:val="en-GB" w:bidi="th-TH"/>
              </w:rPr>
            </w:pPr>
            <w:r w:rsidRPr="00323051">
              <w:rPr>
                <w:sz w:val="18"/>
                <w:szCs w:val="18"/>
                <w:lang w:val="en-GB" w:bidi="th-TH"/>
              </w:rPr>
              <w:t xml:space="preserve">2.6.3 National and regional consultative process to develop updated Strategic Action Programme SAP for adoption </w:t>
            </w:r>
            <w:r w:rsidR="006F7593">
              <w:rPr>
                <w:sz w:val="18"/>
                <w:szCs w:val="18"/>
                <w:lang w:val="en-GB" w:bidi="th-TH"/>
              </w:rPr>
              <w:t>by appropriate Ministers</w:t>
            </w:r>
            <w:r w:rsidRPr="00323051">
              <w:rPr>
                <w:sz w:val="18"/>
                <w:szCs w:val="18"/>
                <w:lang w:val="en-GB" w:bidi="th-TH"/>
              </w:rPr>
              <w:t xml:space="preserve"> (Yr 5)</w:t>
            </w:r>
          </w:p>
        </w:tc>
        <w:tc>
          <w:tcPr>
            <w:tcW w:w="1984" w:type="dxa"/>
            <w:tcBorders>
              <w:top w:val="single" w:sz="4" w:space="0" w:color="auto"/>
              <w:left w:val="single" w:sz="4" w:space="0" w:color="auto"/>
              <w:bottom w:val="single" w:sz="4" w:space="0" w:color="auto"/>
              <w:right w:val="single" w:sz="4" w:space="0" w:color="auto"/>
            </w:tcBorders>
          </w:tcPr>
          <w:p w14:paraId="157081B4" w14:textId="77777777" w:rsidR="00323051" w:rsidRPr="00323051" w:rsidRDefault="00323051" w:rsidP="00323051">
            <w:pPr>
              <w:rPr>
                <w:sz w:val="18"/>
                <w:szCs w:val="18"/>
                <w:lang w:val="en-GB" w:bidi="th-TH"/>
              </w:rPr>
            </w:pPr>
            <w:r w:rsidRPr="00323051">
              <w:rPr>
                <w:sz w:val="18"/>
                <w:szCs w:val="18"/>
                <w:lang w:val="en-GB" w:bidi="th-TH"/>
              </w:rPr>
              <w:t>Endorsed  Strategic Action Programme published</w:t>
            </w:r>
          </w:p>
        </w:tc>
        <w:tc>
          <w:tcPr>
            <w:tcW w:w="1839" w:type="dxa"/>
            <w:tcBorders>
              <w:top w:val="single" w:sz="4" w:space="0" w:color="auto"/>
              <w:left w:val="single" w:sz="4" w:space="0" w:color="auto"/>
              <w:bottom w:val="single" w:sz="4" w:space="0" w:color="auto"/>
              <w:right w:val="single" w:sz="4" w:space="0" w:color="auto"/>
            </w:tcBorders>
          </w:tcPr>
          <w:p w14:paraId="182C812D" w14:textId="77777777" w:rsidR="00323051" w:rsidRPr="00323051" w:rsidRDefault="00323051" w:rsidP="00323051">
            <w:pPr>
              <w:rPr>
                <w:sz w:val="18"/>
                <w:szCs w:val="18"/>
                <w:lang w:val="en-GB" w:bidi="th-TH"/>
              </w:rPr>
            </w:pPr>
            <w:r w:rsidRPr="00323051">
              <w:rPr>
                <w:sz w:val="18"/>
                <w:szCs w:val="18"/>
                <w:lang w:val="en-GB" w:bidi="th-TH"/>
              </w:rPr>
              <w:t>Minister-level commitment to adopt and sign the revised SAP</w:t>
            </w:r>
          </w:p>
        </w:tc>
      </w:tr>
      <w:tr w:rsidR="00B0697C" w:rsidRPr="00323051" w14:paraId="2983B4C3" w14:textId="77777777" w:rsidTr="004B053A">
        <w:tc>
          <w:tcPr>
            <w:tcW w:w="0" w:type="auto"/>
            <w:vMerge/>
            <w:tcBorders>
              <w:left w:val="single" w:sz="4" w:space="0" w:color="auto"/>
              <w:right w:val="single" w:sz="4" w:space="0" w:color="auto"/>
            </w:tcBorders>
            <w:vAlign w:val="center"/>
          </w:tcPr>
          <w:p w14:paraId="6D4FB6DC" w14:textId="77777777" w:rsidR="00323051" w:rsidRPr="00323051" w:rsidRDefault="00323051" w:rsidP="00323051">
            <w:pPr>
              <w:rPr>
                <w:sz w:val="18"/>
                <w:szCs w:val="18"/>
                <w:lang w:val="en-GB" w:bidi="th-TH"/>
              </w:rPr>
            </w:pPr>
          </w:p>
        </w:tc>
        <w:tc>
          <w:tcPr>
            <w:tcW w:w="1936" w:type="dxa"/>
            <w:vMerge/>
            <w:tcBorders>
              <w:left w:val="single" w:sz="4" w:space="0" w:color="auto"/>
              <w:bottom w:val="single" w:sz="4" w:space="0" w:color="auto"/>
              <w:right w:val="single" w:sz="4" w:space="0" w:color="auto"/>
            </w:tcBorders>
          </w:tcPr>
          <w:p w14:paraId="2627057E" w14:textId="77777777" w:rsidR="00323051" w:rsidRPr="00323051" w:rsidRDefault="00323051" w:rsidP="00323051">
            <w:pPr>
              <w:rPr>
                <w:sz w:val="18"/>
                <w:szCs w:val="18"/>
                <w:lang w:val="en-GB" w:bidi="th-TH"/>
              </w:rPr>
            </w:pPr>
          </w:p>
        </w:tc>
        <w:tc>
          <w:tcPr>
            <w:tcW w:w="1881" w:type="dxa"/>
            <w:tcBorders>
              <w:top w:val="single" w:sz="4" w:space="0" w:color="auto"/>
              <w:left w:val="single" w:sz="4" w:space="0" w:color="auto"/>
              <w:bottom w:val="single" w:sz="4" w:space="0" w:color="auto"/>
              <w:right w:val="single" w:sz="4" w:space="0" w:color="auto"/>
            </w:tcBorders>
          </w:tcPr>
          <w:p w14:paraId="420A7815" w14:textId="77777777" w:rsidR="00323051" w:rsidRPr="00323051" w:rsidRDefault="001F3CC9" w:rsidP="00323051">
            <w:pPr>
              <w:rPr>
                <w:sz w:val="18"/>
                <w:szCs w:val="18"/>
                <w:lang w:val="en-GB" w:bidi="th-TH"/>
              </w:rPr>
            </w:pPr>
            <w:r>
              <w:rPr>
                <w:sz w:val="18"/>
                <w:szCs w:val="18"/>
                <w:lang w:val="en-GB" w:bidi="th-TH"/>
              </w:rPr>
              <w:t>Level of</w:t>
            </w:r>
            <w:r w:rsidR="00323051" w:rsidRPr="00323051">
              <w:rPr>
                <w:sz w:val="18"/>
                <w:szCs w:val="18"/>
                <w:lang w:val="en-GB" w:bidi="th-TH"/>
              </w:rPr>
              <w:t xml:space="preserve"> demonstrable use of the regional review on sea level rise, climate change, and episodic events in SAP formulation</w:t>
            </w:r>
          </w:p>
        </w:tc>
        <w:tc>
          <w:tcPr>
            <w:tcW w:w="1743" w:type="dxa"/>
            <w:tcBorders>
              <w:top w:val="single" w:sz="4" w:space="0" w:color="auto"/>
              <w:left w:val="single" w:sz="4" w:space="0" w:color="auto"/>
              <w:bottom w:val="single" w:sz="4" w:space="0" w:color="auto"/>
              <w:right w:val="single" w:sz="4" w:space="0" w:color="auto"/>
            </w:tcBorders>
          </w:tcPr>
          <w:p w14:paraId="26AD9825" w14:textId="77777777" w:rsidR="00323051" w:rsidRPr="00323051" w:rsidRDefault="00323051" w:rsidP="00323051">
            <w:pPr>
              <w:rPr>
                <w:sz w:val="18"/>
                <w:szCs w:val="18"/>
                <w:lang w:val="en-GB" w:bidi="th-TH"/>
              </w:rPr>
            </w:pPr>
            <w:r w:rsidRPr="00323051">
              <w:rPr>
                <w:sz w:val="18"/>
                <w:szCs w:val="18"/>
                <w:lang w:val="en-GB" w:bidi="th-TH"/>
              </w:rPr>
              <w:t>Evolving understanding of sea level rise, climate change, and episodic events in East Asia but not applied in context of transboundary planning in the South China Sea</w:t>
            </w:r>
          </w:p>
        </w:tc>
        <w:tc>
          <w:tcPr>
            <w:tcW w:w="1955" w:type="dxa"/>
            <w:tcBorders>
              <w:top w:val="single" w:sz="4" w:space="0" w:color="auto"/>
              <w:left w:val="single" w:sz="4" w:space="0" w:color="auto"/>
              <w:bottom w:val="single" w:sz="4" w:space="0" w:color="auto"/>
              <w:right w:val="single" w:sz="4" w:space="0" w:color="auto"/>
            </w:tcBorders>
          </w:tcPr>
          <w:p w14:paraId="6CB28719" w14:textId="77777777" w:rsidR="00323051" w:rsidRPr="00323051" w:rsidRDefault="00323051" w:rsidP="00323051">
            <w:pPr>
              <w:rPr>
                <w:sz w:val="18"/>
                <w:szCs w:val="18"/>
                <w:lang w:val="en-GB" w:bidi="th-TH"/>
              </w:rPr>
            </w:pPr>
            <w:r w:rsidRPr="00323051">
              <w:rPr>
                <w:sz w:val="18"/>
                <w:szCs w:val="18"/>
                <w:lang w:val="en-GB" w:bidi="th-TH"/>
              </w:rPr>
              <w:t>2.6.4 Prioritization of national management actions to address climate variability and change for incorporation into national policies and plans</w:t>
            </w:r>
          </w:p>
        </w:tc>
        <w:tc>
          <w:tcPr>
            <w:tcW w:w="1984" w:type="dxa"/>
            <w:tcBorders>
              <w:top w:val="single" w:sz="4" w:space="0" w:color="auto"/>
              <w:left w:val="single" w:sz="4" w:space="0" w:color="auto"/>
              <w:bottom w:val="single" w:sz="4" w:space="0" w:color="auto"/>
              <w:right w:val="single" w:sz="4" w:space="0" w:color="auto"/>
            </w:tcBorders>
          </w:tcPr>
          <w:p w14:paraId="17F5CB1D" w14:textId="77777777" w:rsidR="00323051" w:rsidRPr="00323051" w:rsidRDefault="00323051" w:rsidP="00323051">
            <w:pPr>
              <w:rPr>
                <w:sz w:val="18"/>
                <w:szCs w:val="18"/>
                <w:lang w:val="en-GB" w:bidi="th-TH"/>
              </w:rPr>
            </w:pPr>
            <w:r w:rsidRPr="00323051">
              <w:rPr>
                <w:sz w:val="18"/>
                <w:szCs w:val="18"/>
                <w:lang w:val="en-GB" w:bidi="th-TH"/>
              </w:rPr>
              <w:t>Report of priority actions</w:t>
            </w:r>
          </w:p>
          <w:p w14:paraId="4B7DC2EB" w14:textId="77777777" w:rsidR="00323051" w:rsidRPr="00323051" w:rsidRDefault="00323051" w:rsidP="00323051">
            <w:pPr>
              <w:rPr>
                <w:sz w:val="18"/>
                <w:szCs w:val="18"/>
                <w:lang w:val="en-GB" w:bidi="th-TH"/>
              </w:rPr>
            </w:pPr>
          </w:p>
          <w:p w14:paraId="32AB91BB" w14:textId="77777777" w:rsidR="00323051" w:rsidRPr="00323051" w:rsidRDefault="00323051" w:rsidP="00323051">
            <w:pPr>
              <w:rPr>
                <w:sz w:val="18"/>
                <w:szCs w:val="18"/>
                <w:lang w:val="en-GB" w:bidi="th-TH"/>
              </w:rPr>
            </w:pPr>
            <w:r w:rsidRPr="00323051">
              <w:rPr>
                <w:sz w:val="18"/>
                <w:szCs w:val="18"/>
                <w:lang w:val="en-GB" w:bidi="th-TH"/>
              </w:rPr>
              <w:t>National policies and plans with demonstrable uptake of priority actions</w:t>
            </w:r>
          </w:p>
        </w:tc>
        <w:tc>
          <w:tcPr>
            <w:tcW w:w="1839" w:type="dxa"/>
            <w:tcBorders>
              <w:top w:val="single" w:sz="4" w:space="0" w:color="auto"/>
              <w:left w:val="single" w:sz="4" w:space="0" w:color="auto"/>
              <w:bottom w:val="single" w:sz="4" w:space="0" w:color="auto"/>
              <w:right w:val="single" w:sz="4" w:space="0" w:color="auto"/>
            </w:tcBorders>
          </w:tcPr>
          <w:p w14:paraId="7B027D09" w14:textId="77777777" w:rsidR="00323051" w:rsidRPr="00323051" w:rsidRDefault="00323051" w:rsidP="00323051">
            <w:pPr>
              <w:rPr>
                <w:sz w:val="18"/>
                <w:szCs w:val="18"/>
                <w:lang w:val="en-GB" w:bidi="th-TH"/>
              </w:rPr>
            </w:pPr>
            <w:r w:rsidRPr="00323051">
              <w:rPr>
                <w:sz w:val="18"/>
                <w:szCs w:val="18"/>
                <w:lang w:val="en-GB" w:bidi="th-TH"/>
              </w:rPr>
              <w:t>Engaging appropriate technical expertise to identify priority national actions that achieve local benefit as well as high transboundary impact</w:t>
            </w:r>
          </w:p>
        </w:tc>
      </w:tr>
    </w:tbl>
    <w:p w14:paraId="3CBA654C" w14:textId="77777777" w:rsidR="00323051" w:rsidRPr="00323051" w:rsidRDefault="00323051" w:rsidP="00323051">
      <w:pPr>
        <w:spacing w:after="120"/>
        <w:rPr>
          <w:b/>
          <w:sz w:val="22"/>
          <w:szCs w:val="22"/>
          <w:lang w:val="en-GB"/>
        </w:rPr>
      </w:pPr>
    </w:p>
    <w:p w14:paraId="55CCE0E3" w14:textId="77777777" w:rsidR="00323051" w:rsidRPr="00323051" w:rsidRDefault="00323051" w:rsidP="00323051">
      <w:pPr>
        <w:spacing w:after="120"/>
        <w:rPr>
          <w:b/>
          <w:sz w:val="22"/>
          <w:szCs w:val="22"/>
          <w:lang w:val="en-GB"/>
        </w:rPr>
      </w:pPr>
      <w:r w:rsidRPr="00323051">
        <w:rPr>
          <w:b/>
          <w:sz w:val="22"/>
          <w:szCs w:val="22"/>
          <w:lang w:val="en-GB"/>
        </w:rPr>
        <w:br w:type="page"/>
      </w:r>
    </w:p>
    <w:p w14:paraId="2FDC3ADC" w14:textId="77777777" w:rsidR="00323051" w:rsidRPr="00323051" w:rsidRDefault="00323051" w:rsidP="00323051">
      <w:pPr>
        <w:spacing w:after="120"/>
        <w:rPr>
          <w:sz w:val="22"/>
          <w:szCs w:val="22"/>
          <w:lang w:val="en-GB"/>
        </w:rPr>
      </w:pPr>
      <w:r w:rsidRPr="00323051">
        <w:rPr>
          <w:b/>
          <w:sz w:val="22"/>
          <w:szCs w:val="22"/>
          <w:lang w:val="en-GB"/>
        </w:rPr>
        <w:t>Table 3</w:t>
      </w:r>
      <w:r w:rsidRPr="00323051">
        <w:rPr>
          <w:sz w:val="22"/>
          <w:szCs w:val="22"/>
          <w:lang w:val="en-GB"/>
        </w:rPr>
        <w:tab/>
      </w:r>
      <w:r w:rsidRPr="00323051">
        <w:rPr>
          <w:sz w:val="22"/>
          <w:szCs w:val="22"/>
          <w:lang w:val="en-GB"/>
        </w:rPr>
        <w:tab/>
        <w:t>Results framework for project component 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1"/>
        <w:gridCol w:w="1836"/>
        <w:gridCol w:w="1820"/>
        <w:gridCol w:w="1820"/>
        <w:gridCol w:w="1920"/>
        <w:gridCol w:w="1920"/>
        <w:gridCol w:w="1833"/>
      </w:tblGrid>
      <w:tr w:rsidR="00323051" w:rsidRPr="00323051" w14:paraId="168C78C8" w14:textId="77777777" w:rsidTr="004B053A">
        <w:trPr>
          <w:tblHeader/>
        </w:trPr>
        <w:tc>
          <w:tcPr>
            <w:tcW w:w="2025" w:type="dxa"/>
            <w:tcBorders>
              <w:top w:val="single" w:sz="4" w:space="0" w:color="auto"/>
              <w:left w:val="single" w:sz="4" w:space="0" w:color="auto"/>
              <w:bottom w:val="single" w:sz="4" w:space="0" w:color="auto"/>
              <w:right w:val="single" w:sz="4" w:space="0" w:color="auto"/>
            </w:tcBorders>
            <w:vAlign w:val="center"/>
          </w:tcPr>
          <w:p w14:paraId="2ECACDF5" w14:textId="77777777" w:rsidR="00323051" w:rsidRPr="00323051" w:rsidRDefault="00323051" w:rsidP="00323051">
            <w:pPr>
              <w:jc w:val="center"/>
              <w:rPr>
                <w:b/>
                <w:bCs/>
                <w:sz w:val="18"/>
                <w:szCs w:val="18"/>
                <w:lang w:val="en-GB" w:bidi="th-TH"/>
              </w:rPr>
            </w:pPr>
            <w:r w:rsidRPr="00323051">
              <w:rPr>
                <w:b/>
                <w:bCs/>
                <w:sz w:val="18"/>
                <w:szCs w:val="18"/>
                <w:lang w:val="en-GB" w:bidi="th-TH"/>
              </w:rPr>
              <w:t>Components</w:t>
            </w:r>
          </w:p>
        </w:tc>
        <w:tc>
          <w:tcPr>
            <w:tcW w:w="2025" w:type="dxa"/>
            <w:tcBorders>
              <w:top w:val="single" w:sz="4" w:space="0" w:color="auto"/>
              <w:left w:val="single" w:sz="4" w:space="0" w:color="auto"/>
              <w:bottom w:val="single" w:sz="4" w:space="0" w:color="auto"/>
              <w:right w:val="single" w:sz="4" w:space="0" w:color="auto"/>
            </w:tcBorders>
            <w:vAlign w:val="center"/>
          </w:tcPr>
          <w:p w14:paraId="354C0726" w14:textId="77777777" w:rsidR="00323051" w:rsidRPr="00323051" w:rsidRDefault="00323051" w:rsidP="00323051">
            <w:pPr>
              <w:jc w:val="center"/>
              <w:rPr>
                <w:b/>
                <w:bCs/>
                <w:sz w:val="18"/>
                <w:szCs w:val="18"/>
                <w:lang w:val="en-GB" w:bidi="th-TH"/>
              </w:rPr>
            </w:pPr>
            <w:r w:rsidRPr="00323051">
              <w:rPr>
                <w:b/>
                <w:bCs/>
                <w:sz w:val="18"/>
                <w:szCs w:val="18"/>
                <w:lang w:val="en-GB" w:bidi="th-TH"/>
              </w:rPr>
              <w:t>Outcomes</w:t>
            </w:r>
          </w:p>
        </w:tc>
        <w:tc>
          <w:tcPr>
            <w:tcW w:w="2024" w:type="dxa"/>
            <w:tcBorders>
              <w:top w:val="single" w:sz="4" w:space="0" w:color="auto"/>
              <w:left w:val="single" w:sz="4" w:space="0" w:color="auto"/>
              <w:bottom w:val="single" w:sz="4" w:space="0" w:color="auto"/>
              <w:right w:val="single" w:sz="4" w:space="0" w:color="auto"/>
            </w:tcBorders>
            <w:vAlign w:val="center"/>
          </w:tcPr>
          <w:p w14:paraId="40BAF9CC" w14:textId="77777777" w:rsidR="00323051" w:rsidRPr="00323051" w:rsidRDefault="00323051" w:rsidP="00323051">
            <w:pPr>
              <w:jc w:val="center"/>
              <w:rPr>
                <w:b/>
                <w:bCs/>
                <w:sz w:val="18"/>
                <w:szCs w:val="18"/>
                <w:lang w:val="en-GB" w:bidi="th-TH"/>
              </w:rPr>
            </w:pPr>
            <w:r w:rsidRPr="00323051">
              <w:rPr>
                <w:b/>
                <w:bCs/>
                <w:sz w:val="18"/>
                <w:szCs w:val="18"/>
                <w:lang w:val="en-GB" w:bidi="th-TH"/>
              </w:rPr>
              <w:t>Indicator</w:t>
            </w:r>
          </w:p>
        </w:tc>
        <w:tc>
          <w:tcPr>
            <w:tcW w:w="2024" w:type="dxa"/>
            <w:tcBorders>
              <w:top w:val="single" w:sz="4" w:space="0" w:color="auto"/>
              <w:left w:val="single" w:sz="4" w:space="0" w:color="auto"/>
              <w:bottom w:val="single" w:sz="4" w:space="0" w:color="auto"/>
              <w:right w:val="single" w:sz="4" w:space="0" w:color="auto"/>
            </w:tcBorders>
            <w:vAlign w:val="center"/>
          </w:tcPr>
          <w:p w14:paraId="600DDB67" w14:textId="77777777" w:rsidR="00323051" w:rsidRPr="00323051" w:rsidRDefault="00323051" w:rsidP="00323051">
            <w:pPr>
              <w:jc w:val="center"/>
              <w:rPr>
                <w:b/>
                <w:bCs/>
                <w:sz w:val="18"/>
                <w:szCs w:val="18"/>
                <w:lang w:val="en-GB" w:bidi="th-TH"/>
              </w:rPr>
            </w:pPr>
            <w:r w:rsidRPr="00323051">
              <w:rPr>
                <w:b/>
                <w:bCs/>
                <w:sz w:val="18"/>
                <w:szCs w:val="18"/>
                <w:lang w:val="en-GB" w:bidi="th-TH"/>
              </w:rPr>
              <w:t>Baseline</w:t>
            </w:r>
          </w:p>
        </w:tc>
        <w:tc>
          <w:tcPr>
            <w:tcW w:w="2024" w:type="dxa"/>
            <w:tcBorders>
              <w:top w:val="single" w:sz="4" w:space="0" w:color="auto"/>
              <w:left w:val="single" w:sz="4" w:space="0" w:color="auto"/>
              <w:bottom w:val="single" w:sz="4" w:space="0" w:color="auto"/>
              <w:right w:val="single" w:sz="4" w:space="0" w:color="auto"/>
            </w:tcBorders>
            <w:vAlign w:val="center"/>
          </w:tcPr>
          <w:p w14:paraId="0EA6E586" w14:textId="77777777" w:rsidR="00323051" w:rsidRPr="00323051" w:rsidRDefault="00323051" w:rsidP="00323051">
            <w:pPr>
              <w:jc w:val="center"/>
              <w:rPr>
                <w:b/>
                <w:bCs/>
                <w:sz w:val="18"/>
                <w:szCs w:val="18"/>
                <w:lang w:val="en-GB" w:bidi="th-TH"/>
              </w:rPr>
            </w:pPr>
            <w:r w:rsidRPr="00323051">
              <w:rPr>
                <w:b/>
                <w:bCs/>
                <w:sz w:val="18"/>
                <w:szCs w:val="18"/>
                <w:lang w:val="en-GB" w:bidi="th-TH"/>
              </w:rPr>
              <w:t>Targets End of Project</w:t>
            </w:r>
          </w:p>
        </w:tc>
        <w:tc>
          <w:tcPr>
            <w:tcW w:w="2024" w:type="dxa"/>
            <w:tcBorders>
              <w:top w:val="single" w:sz="4" w:space="0" w:color="auto"/>
              <w:left w:val="single" w:sz="4" w:space="0" w:color="auto"/>
              <w:bottom w:val="single" w:sz="4" w:space="0" w:color="auto"/>
              <w:right w:val="single" w:sz="4" w:space="0" w:color="auto"/>
            </w:tcBorders>
            <w:vAlign w:val="center"/>
          </w:tcPr>
          <w:p w14:paraId="33BFF6C2" w14:textId="77777777" w:rsidR="00323051" w:rsidRPr="00323051" w:rsidRDefault="00323051" w:rsidP="00323051">
            <w:pPr>
              <w:jc w:val="center"/>
              <w:rPr>
                <w:b/>
                <w:bCs/>
                <w:sz w:val="18"/>
                <w:szCs w:val="18"/>
                <w:lang w:val="en-GB" w:bidi="th-TH"/>
              </w:rPr>
            </w:pPr>
            <w:r w:rsidRPr="00323051">
              <w:rPr>
                <w:b/>
                <w:bCs/>
                <w:sz w:val="18"/>
                <w:szCs w:val="18"/>
                <w:lang w:val="en-GB" w:bidi="th-TH"/>
              </w:rPr>
              <w:t>Source of Verification</w:t>
            </w:r>
          </w:p>
        </w:tc>
        <w:tc>
          <w:tcPr>
            <w:tcW w:w="2024" w:type="dxa"/>
            <w:tcBorders>
              <w:top w:val="single" w:sz="4" w:space="0" w:color="auto"/>
              <w:left w:val="single" w:sz="4" w:space="0" w:color="auto"/>
              <w:bottom w:val="single" w:sz="4" w:space="0" w:color="auto"/>
              <w:right w:val="single" w:sz="4" w:space="0" w:color="auto"/>
            </w:tcBorders>
            <w:vAlign w:val="center"/>
          </w:tcPr>
          <w:p w14:paraId="666A4957" w14:textId="77777777" w:rsidR="00323051" w:rsidRPr="00323051" w:rsidRDefault="00323051" w:rsidP="00323051">
            <w:pPr>
              <w:jc w:val="center"/>
              <w:rPr>
                <w:b/>
                <w:bCs/>
                <w:sz w:val="18"/>
                <w:szCs w:val="18"/>
                <w:lang w:val="en-GB" w:bidi="th-TH"/>
              </w:rPr>
            </w:pPr>
            <w:r w:rsidRPr="00323051">
              <w:rPr>
                <w:b/>
                <w:bCs/>
                <w:sz w:val="18"/>
                <w:szCs w:val="18"/>
                <w:lang w:val="en-GB" w:bidi="th-TH"/>
              </w:rPr>
              <w:t>Risks and Assumptions</w:t>
            </w:r>
          </w:p>
        </w:tc>
      </w:tr>
      <w:tr w:rsidR="00323051" w:rsidRPr="00323051" w14:paraId="240532F9" w14:textId="77777777" w:rsidTr="004B053A">
        <w:tc>
          <w:tcPr>
            <w:tcW w:w="2025" w:type="dxa"/>
            <w:vMerge w:val="restart"/>
            <w:tcBorders>
              <w:left w:val="single" w:sz="4" w:space="0" w:color="auto"/>
              <w:right w:val="single" w:sz="4" w:space="0" w:color="auto"/>
            </w:tcBorders>
          </w:tcPr>
          <w:p w14:paraId="260252E5" w14:textId="77777777" w:rsidR="00323051" w:rsidRPr="00323051" w:rsidRDefault="00694C9F" w:rsidP="00323051">
            <w:pPr>
              <w:rPr>
                <w:sz w:val="18"/>
                <w:szCs w:val="18"/>
                <w:lang w:val="en-GB" w:bidi="th-TH"/>
              </w:rPr>
            </w:pPr>
            <w:r>
              <w:rPr>
                <w:sz w:val="18"/>
                <w:szCs w:val="18"/>
                <w:lang w:val="en-GB" w:bidi="th-TH"/>
              </w:rPr>
              <w:t>3. Facilitating regional and national level integration and cooperation for implementation of the South China Sea Strategic Action Programme</w:t>
            </w:r>
          </w:p>
        </w:tc>
        <w:tc>
          <w:tcPr>
            <w:tcW w:w="2025" w:type="dxa"/>
            <w:vMerge w:val="restart"/>
            <w:tcBorders>
              <w:top w:val="single" w:sz="4" w:space="0" w:color="auto"/>
              <w:left w:val="single" w:sz="4" w:space="0" w:color="auto"/>
              <w:right w:val="single" w:sz="4" w:space="0" w:color="auto"/>
            </w:tcBorders>
          </w:tcPr>
          <w:p w14:paraId="4232E48C" w14:textId="77777777" w:rsidR="00323051" w:rsidRPr="00323051" w:rsidRDefault="00323051" w:rsidP="00323051">
            <w:pPr>
              <w:rPr>
                <w:sz w:val="18"/>
                <w:szCs w:val="18"/>
                <w:lang w:val="en-GB" w:bidi="th-TH"/>
              </w:rPr>
            </w:pPr>
            <w:r w:rsidRPr="00323051">
              <w:rPr>
                <w:sz w:val="18"/>
                <w:szCs w:val="18"/>
                <w:lang w:val="en-GB" w:bidi="th-TH"/>
              </w:rPr>
              <w:t>3.1 Regional and sub-regional co-operation in the integration of scientific knowledge and research outputs with management and policy making</w:t>
            </w:r>
          </w:p>
        </w:tc>
        <w:tc>
          <w:tcPr>
            <w:tcW w:w="2024" w:type="dxa"/>
            <w:tcBorders>
              <w:top w:val="single" w:sz="4" w:space="0" w:color="auto"/>
              <w:left w:val="single" w:sz="4" w:space="0" w:color="auto"/>
              <w:bottom w:val="single" w:sz="4" w:space="0" w:color="auto"/>
              <w:right w:val="single" w:sz="4" w:space="0" w:color="auto"/>
            </w:tcBorders>
          </w:tcPr>
          <w:p w14:paraId="3576A208" w14:textId="77777777" w:rsidR="00323051" w:rsidRPr="00323051" w:rsidRDefault="00323051" w:rsidP="00323051">
            <w:pPr>
              <w:rPr>
                <w:sz w:val="18"/>
                <w:szCs w:val="18"/>
                <w:lang w:val="en-GB" w:bidi="th-TH"/>
              </w:rPr>
            </w:pPr>
            <w:r w:rsidRPr="00323051">
              <w:rPr>
                <w:sz w:val="18"/>
                <w:szCs w:val="18"/>
                <w:lang w:val="en-GB" w:bidi="th-TH"/>
              </w:rPr>
              <w:t>Status of the RSTC and the uptake of the scientific and technical advice it provides</w:t>
            </w:r>
          </w:p>
          <w:p w14:paraId="2332D836" w14:textId="77777777" w:rsidR="00323051" w:rsidRPr="00323051" w:rsidRDefault="00323051" w:rsidP="00323051">
            <w:pPr>
              <w:rPr>
                <w:sz w:val="18"/>
                <w:szCs w:val="18"/>
                <w:lang w:val="en-GB" w:bidi="th-TH"/>
              </w:rPr>
            </w:pPr>
          </w:p>
          <w:p w14:paraId="709D5825" w14:textId="77777777" w:rsidR="00323051" w:rsidRPr="00323051" w:rsidRDefault="00323051" w:rsidP="00323051">
            <w:pPr>
              <w:rPr>
                <w:sz w:val="18"/>
                <w:szCs w:val="18"/>
                <w:lang w:val="en-GB" w:bidi="th-TH"/>
              </w:rPr>
            </w:pPr>
            <w:r w:rsidRPr="00323051">
              <w:rPr>
                <w:sz w:val="18"/>
                <w:szCs w:val="18"/>
                <w:lang w:val="en-GB" w:bidi="th-TH"/>
              </w:rPr>
              <w:t xml:space="preserve">Continuity of participation of RSTC members in annual meetings </w:t>
            </w:r>
          </w:p>
        </w:tc>
        <w:tc>
          <w:tcPr>
            <w:tcW w:w="2024" w:type="dxa"/>
            <w:tcBorders>
              <w:top w:val="single" w:sz="4" w:space="0" w:color="auto"/>
              <w:left w:val="single" w:sz="4" w:space="0" w:color="auto"/>
              <w:bottom w:val="single" w:sz="4" w:space="0" w:color="auto"/>
              <w:right w:val="single" w:sz="4" w:space="0" w:color="auto"/>
            </w:tcBorders>
          </w:tcPr>
          <w:p w14:paraId="5F4B7D0C" w14:textId="77777777" w:rsidR="00323051" w:rsidRPr="00323051" w:rsidRDefault="00323051" w:rsidP="00323051">
            <w:pPr>
              <w:rPr>
                <w:sz w:val="18"/>
                <w:szCs w:val="18"/>
                <w:lang w:val="en-GB" w:bidi="th-TH"/>
              </w:rPr>
            </w:pPr>
            <w:r w:rsidRPr="00323051">
              <w:rPr>
                <w:sz w:val="18"/>
                <w:szCs w:val="18"/>
                <w:lang w:val="en-GB" w:bidi="th-TH"/>
              </w:rPr>
              <w:t>Lack of a formal mechanism for the sharing of science and technical knowledge relating to the South China Sea SAP implementation</w:t>
            </w:r>
          </w:p>
        </w:tc>
        <w:tc>
          <w:tcPr>
            <w:tcW w:w="2024" w:type="dxa"/>
            <w:tcBorders>
              <w:top w:val="single" w:sz="4" w:space="0" w:color="auto"/>
              <w:left w:val="single" w:sz="4" w:space="0" w:color="auto"/>
              <w:bottom w:val="single" w:sz="4" w:space="0" w:color="auto"/>
              <w:right w:val="single" w:sz="4" w:space="0" w:color="auto"/>
            </w:tcBorders>
          </w:tcPr>
          <w:p w14:paraId="6E092E11" w14:textId="77777777" w:rsidR="00323051" w:rsidRPr="00323051" w:rsidRDefault="00323051" w:rsidP="00323051">
            <w:pPr>
              <w:rPr>
                <w:sz w:val="18"/>
                <w:szCs w:val="18"/>
                <w:lang w:val="en-GB" w:bidi="th-TH"/>
              </w:rPr>
            </w:pPr>
            <w:r w:rsidRPr="00323051">
              <w:rPr>
                <w:sz w:val="18"/>
                <w:szCs w:val="18"/>
                <w:lang w:val="en-GB" w:bidi="th-TH"/>
              </w:rPr>
              <w:t>3.1.1 Regional Scientific and Technical Committee of the SCS project functioning as a bridge between the scientific community and decision-makers [annual meetings]</w:t>
            </w:r>
          </w:p>
        </w:tc>
        <w:tc>
          <w:tcPr>
            <w:tcW w:w="2024" w:type="dxa"/>
            <w:tcBorders>
              <w:top w:val="single" w:sz="4" w:space="0" w:color="auto"/>
              <w:left w:val="single" w:sz="4" w:space="0" w:color="auto"/>
              <w:bottom w:val="single" w:sz="4" w:space="0" w:color="auto"/>
              <w:right w:val="single" w:sz="4" w:space="0" w:color="auto"/>
            </w:tcBorders>
          </w:tcPr>
          <w:p w14:paraId="713933EA" w14:textId="77777777" w:rsidR="00323051" w:rsidRPr="00323051" w:rsidRDefault="00323051" w:rsidP="00323051">
            <w:pPr>
              <w:rPr>
                <w:sz w:val="18"/>
                <w:szCs w:val="18"/>
                <w:lang w:val="en-GB" w:bidi="th-TH"/>
              </w:rPr>
            </w:pPr>
            <w:r w:rsidRPr="00323051">
              <w:rPr>
                <w:sz w:val="18"/>
                <w:szCs w:val="18"/>
                <w:lang w:val="en-GB" w:bidi="th-TH"/>
              </w:rPr>
              <w:t>RSTC Terms of Reference</w:t>
            </w:r>
          </w:p>
          <w:p w14:paraId="3A898E05" w14:textId="77777777" w:rsidR="00323051" w:rsidRPr="00323051" w:rsidRDefault="00323051" w:rsidP="00323051">
            <w:pPr>
              <w:rPr>
                <w:sz w:val="18"/>
                <w:szCs w:val="18"/>
                <w:lang w:val="en-GB" w:bidi="th-TH"/>
              </w:rPr>
            </w:pPr>
          </w:p>
          <w:p w14:paraId="4A1A32F4" w14:textId="77777777" w:rsidR="00323051" w:rsidRPr="00323051" w:rsidRDefault="00323051" w:rsidP="00323051">
            <w:pPr>
              <w:rPr>
                <w:sz w:val="18"/>
                <w:szCs w:val="18"/>
                <w:lang w:val="en-GB" w:bidi="th-TH"/>
              </w:rPr>
            </w:pPr>
            <w:r w:rsidRPr="00323051">
              <w:rPr>
                <w:sz w:val="18"/>
                <w:szCs w:val="18"/>
                <w:lang w:val="en-GB" w:bidi="th-TH"/>
              </w:rPr>
              <w:t>Annual meeting reports (documenting scientific and technical advice and participant lists)</w:t>
            </w:r>
          </w:p>
        </w:tc>
        <w:tc>
          <w:tcPr>
            <w:tcW w:w="2024" w:type="dxa"/>
            <w:tcBorders>
              <w:top w:val="single" w:sz="4" w:space="0" w:color="auto"/>
              <w:left w:val="single" w:sz="4" w:space="0" w:color="auto"/>
              <w:bottom w:val="single" w:sz="4" w:space="0" w:color="auto"/>
              <w:right w:val="single" w:sz="4" w:space="0" w:color="auto"/>
            </w:tcBorders>
          </w:tcPr>
          <w:p w14:paraId="6A218C03" w14:textId="77777777" w:rsidR="00323051" w:rsidRPr="00323051" w:rsidRDefault="00323051" w:rsidP="00323051">
            <w:pPr>
              <w:rPr>
                <w:sz w:val="18"/>
                <w:szCs w:val="18"/>
                <w:lang w:val="en-GB" w:bidi="th-TH"/>
              </w:rPr>
            </w:pPr>
            <w:r w:rsidRPr="00323051">
              <w:rPr>
                <w:sz w:val="18"/>
                <w:szCs w:val="18"/>
                <w:lang w:val="en-GB" w:bidi="th-TH"/>
              </w:rPr>
              <w:t>Harnessing sufficient scientific and technical expertise across disciplines in coastal habitats, ecology, economic valuation, oceanography, land-based pollution and its impacts</w:t>
            </w:r>
          </w:p>
        </w:tc>
      </w:tr>
      <w:tr w:rsidR="00323051" w:rsidRPr="00323051" w14:paraId="4E7C19B8" w14:textId="77777777" w:rsidTr="004B053A">
        <w:tc>
          <w:tcPr>
            <w:tcW w:w="0" w:type="auto"/>
            <w:vMerge/>
            <w:tcBorders>
              <w:left w:val="single" w:sz="4" w:space="0" w:color="auto"/>
              <w:right w:val="single" w:sz="4" w:space="0" w:color="auto"/>
            </w:tcBorders>
            <w:vAlign w:val="center"/>
          </w:tcPr>
          <w:p w14:paraId="768132CD"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tcPr>
          <w:p w14:paraId="5586D317"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305CF37F" w14:textId="77777777" w:rsidR="00323051" w:rsidRPr="00323051" w:rsidRDefault="00B0697C" w:rsidP="00B0697C">
            <w:pPr>
              <w:rPr>
                <w:sz w:val="18"/>
                <w:szCs w:val="18"/>
                <w:lang w:val="en-GB" w:bidi="th-TH"/>
              </w:rPr>
            </w:pPr>
            <w:r>
              <w:rPr>
                <w:sz w:val="18"/>
                <w:szCs w:val="18"/>
                <w:lang w:val="en-GB" w:bidi="th-TH"/>
              </w:rPr>
              <w:t>Number of central and provincial government agencies demonstrating</w:t>
            </w:r>
            <w:r w:rsidR="00323051" w:rsidRPr="00323051">
              <w:rPr>
                <w:sz w:val="18"/>
                <w:szCs w:val="18"/>
                <w:lang w:val="en-GB" w:bidi="th-TH"/>
              </w:rPr>
              <w:t xml:space="preserve"> use of scientific knowledge exchanged during biennial conferences </w:t>
            </w:r>
          </w:p>
        </w:tc>
        <w:tc>
          <w:tcPr>
            <w:tcW w:w="2024" w:type="dxa"/>
            <w:tcBorders>
              <w:top w:val="single" w:sz="4" w:space="0" w:color="auto"/>
              <w:left w:val="single" w:sz="4" w:space="0" w:color="auto"/>
              <w:bottom w:val="single" w:sz="4" w:space="0" w:color="auto"/>
              <w:right w:val="single" w:sz="4" w:space="0" w:color="auto"/>
            </w:tcBorders>
          </w:tcPr>
          <w:p w14:paraId="78F61651" w14:textId="77777777" w:rsidR="00323051" w:rsidRPr="00323051" w:rsidRDefault="00323051" w:rsidP="00323051">
            <w:pPr>
              <w:rPr>
                <w:sz w:val="18"/>
                <w:szCs w:val="18"/>
                <w:lang w:val="en-GB" w:bidi="th-TH"/>
              </w:rPr>
            </w:pPr>
            <w:r w:rsidRPr="00323051">
              <w:rPr>
                <w:sz w:val="18"/>
                <w:szCs w:val="18"/>
                <w:lang w:val="en-GB" w:bidi="th-TH"/>
              </w:rPr>
              <w:t>Limited application of evidence-based approaches by central and provincial government agencies</w:t>
            </w:r>
          </w:p>
        </w:tc>
        <w:tc>
          <w:tcPr>
            <w:tcW w:w="2024" w:type="dxa"/>
            <w:tcBorders>
              <w:top w:val="single" w:sz="4" w:space="0" w:color="auto"/>
              <w:left w:val="single" w:sz="4" w:space="0" w:color="auto"/>
              <w:bottom w:val="single" w:sz="4" w:space="0" w:color="auto"/>
              <w:right w:val="single" w:sz="4" w:space="0" w:color="auto"/>
            </w:tcBorders>
          </w:tcPr>
          <w:p w14:paraId="13C310B3" w14:textId="77777777" w:rsidR="00323051" w:rsidRPr="00323051" w:rsidRDefault="00323051" w:rsidP="00323051">
            <w:pPr>
              <w:rPr>
                <w:sz w:val="18"/>
                <w:szCs w:val="18"/>
                <w:lang w:val="en-GB" w:bidi="th-TH"/>
              </w:rPr>
            </w:pPr>
            <w:r w:rsidRPr="00323051">
              <w:rPr>
                <w:sz w:val="18"/>
                <w:szCs w:val="18"/>
                <w:lang w:val="en-GB" w:bidi="th-TH"/>
              </w:rPr>
              <w:t>3.1.2 Knowledge exchanges between government and scientific community through biennial Regional Scientific Conferences</w:t>
            </w:r>
          </w:p>
        </w:tc>
        <w:tc>
          <w:tcPr>
            <w:tcW w:w="2024" w:type="dxa"/>
            <w:tcBorders>
              <w:top w:val="single" w:sz="4" w:space="0" w:color="auto"/>
              <w:left w:val="single" w:sz="4" w:space="0" w:color="auto"/>
              <w:bottom w:val="single" w:sz="4" w:space="0" w:color="auto"/>
              <w:right w:val="single" w:sz="4" w:space="0" w:color="auto"/>
            </w:tcBorders>
          </w:tcPr>
          <w:p w14:paraId="3D644C77" w14:textId="77777777" w:rsidR="00323051" w:rsidRPr="00323051" w:rsidRDefault="00323051" w:rsidP="00323051">
            <w:pPr>
              <w:rPr>
                <w:sz w:val="18"/>
                <w:szCs w:val="18"/>
                <w:lang w:val="en-GB" w:bidi="th-TH"/>
              </w:rPr>
            </w:pPr>
            <w:r w:rsidRPr="00323051">
              <w:rPr>
                <w:sz w:val="18"/>
                <w:szCs w:val="18"/>
                <w:lang w:val="en-GB" w:bidi="th-TH"/>
              </w:rPr>
              <w:t>Published reports of the Regional Scientific Conferences</w:t>
            </w:r>
          </w:p>
          <w:p w14:paraId="4BD635DD" w14:textId="77777777" w:rsidR="00323051" w:rsidRPr="00323051" w:rsidRDefault="00323051" w:rsidP="00323051">
            <w:pPr>
              <w:rPr>
                <w:sz w:val="18"/>
                <w:szCs w:val="18"/>
                <w:lang w:val="en-GB" w:bidi="th-TH"/>
              </w:rPr>
            </w:pPr>
          </w:p>
          <w:p w14:paraId="73DD47CF" w14:textId="77777777" w:rsidR="00323051" w:rsidRPr="00323051" w:rsidRDefault="00323051" w:rsidP="00323051">
            <w:pPr>
              <w:rPr>
                <w:sz w:val="18"/>
                <w:szCs w:val="18"/>
                <w:lang w:val="en-GB" w:bidi="th-TH"/>
              </w:rPr>
            </w:pPr>
            <w:r w:rsidRPr="00323051">
              <w:rPr>
                <w:sz w:val="18"/>
                <w:szCs w:val="18"/>
                <w:lang w:val="en-GB" w:bidi="th-TH"/>
              </w:rPr>
              <w:t>Report on the uptake and use of regionally accumulated science</w:t>
            </w:r>
          </w:p>
        </w:tc>
        <w:tc>
          <w:tcPr>
            <w:tcW w:w="2024" w:type="dxa"/>
            <w:tcBorders>
              <w:top w:val="single" w:sz="4" w:space="0" w:color="auto"/>
              <w:left w:val="single" w:sz="4" w:space="0" w:color="auto"/>
              <w:bottom w:val="single" w:sz="4" w:space="0" w:color="auto"/>
              <w:right w:val="single" w:sz="4" w:space="0" w:color="auto"/>
            </w:tcBorders>
          </w:tcPr>
          <w:p w14:paraId="0B18B8F4" w14:textId="77777777" w:rsidR="00323051" w:rsidRPr="00323051" w:rsidRDefault="00323051" w:rsidP="00323051">
            <w:pPr>
              <w:rPr>
                <w:sz w:val="18"/>
                <w:szCs w:val="18"/>
                <w:lang w:val="en-GB" w:bidi="th-TH"/>
              </w:rPr>
            </w:pPr>
            <w:r w:rsidRPr="00323051">
              <w:rPr>
                <w:sz w:val="18"/>
                <w:szCs w:val="18"/>
                <w:lang w:val="en-GB" w:bidi="th-TH"/>
              </w:rPr>
              <w:t>Strong and consistent support from government agencies to actively participate in scientific fora</w:t>
            </w:r>
          </w:p>
        </w:tc>
      </w:tr>
      <w:tr w:rsidR="00323051" w:rsidRPr="00323051" w14:paraId="62067E3C" w14:textId="77777777" w:rsidTr="004B053A">
        <w:tc>
          <w:tcPr>
            <w:tcW w:w="0" w:type="auto"/>
            <w:vMerge/>
            <w:tcBorders>
              <w:left w:val="single" w:sz="4" w:space="0" w:color="auto"/>
              <w:right w:val="single" w:sz="4" w:space="0" w:color="auto"/>
            </w:tcBorders>
            <w:vAlign w:val="center"/>
          </w:tcPr>
          <w:p w14:paraId="09F380B6"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tcPr>
          <w:p w14:paraId="5D9D89ED"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tcPr>
          <w:p w14:paraId="7FC131B2" w14:textId="77777777" w:rsidR="00323051" w:rsidRPr="00323051" w:rsidRDefault="00323051" w:rsidP="00323051">
            <w:pPr>
              <w:rPr>
                <w:sz w:val="18"/>
                <w:szCs w:val="18"/>
                <w:lang w:val="en-GB" w:bidi="th-TH"/>
              </w:rPr>
            </w:pPr>
            <w:r w:rsidRPr="00323051">
              <w:rPr>
                <w:sz w:val="18"/>
                <w:szCs w:val="18"/>
                <w:lang w:val="en-GB" w:bidi="th-TH"/>
              </w:rPr>
              <w:t>Number of Mayor’s Round-Table meetings convened</w:t>
            </w:r>
          </w:p>
          <w:p w14:paraId="319C6962" w14:textId="77777777" w:rsidR="00323051" w:rsidRPr="00323051" w:rsidRDefault="00323051" w:rsidP="00323051">
            <w:pPr>
              <w:rPr>
                <w:sz w:val="18"/>
                <w:szCs w:val="18"/>
                <w:lang w:val="en-GB" w:bidi="th-TH"/>
              </w:rPr>
            </w:pPr>
          </w:p>
          <w:p w14:paraId="5883A7D9" w14:textId="77777777" w:rsidR="00323051" w:rsidRPr="00323051" w:rsidRDefault="00323051" w:rsidP="00323051">
            <w:pPr>
              <w:rPr>
                <w:sz w:val="18"/>
                <w:szCs w:val="18"/>
                <w:lang w:val="en-GB" w:bidi="th-TH"/>
              </w:rPr>
            </w:pPr>
            <w:r w:rsidRPr="00323051">
              <w:rPr>
                <w:sz w:val="18"/>
                <w:szCs w:val="18"/>
                <w:lang w:val="en-GB" w:bidi="th-TH"/>
              </w:rPr>
              <w:t>Number, scope &amp; reach of communications to raise local official awareness of best practices</w:t>
            </w:r>
          </w:p>
        </w:tc>
        <w:tc>
          <w:tcPr>
            <w:tcW w:w="2024" w:type="dxa"/>
            <w:tcBorders>
              <w:top w:val="single" w:sz="4" w:space="0" w:color="auto"/>
              <w:left w:val="single" w:sz="4" w:space="0" w:color="auto"/>
              <w:bottom w:val="single" w:sz="4" w:space="0" w:color="auto"/>
              <w:right w:val="single" w:sz="4" w:space="0" w:color="auto"/>
            </w:tcBorders>
          </w:tcPr>
          <w:p w14:paraId="4DCB021A" w14:textId="77777777" w:rsidR="00323051" w:rsidRPr="00323051" w:rsidRDefault="00323051" w:rsidP="00323051">
            <w:pPr>
              <w:rPr>
                <w:sz w:val="18"/>
                <w:szCs w:val="18"/>
                <w:lang w:val="en-GB" w:bidi="th-TH"/>
              </w:rPr>
            </w:pPr>
            <w:r w:rsidRPr="00323051">
              <w:rPr>
                <w:sz w:val="18"/>
                <w:szCs w:val="18"/>
                <w:lang w:val="en-GB" w:bidi="th-TH"/>
              </w:rPr>
              <w:t>Four Mayors Round-Table meetings convened during period 2005-2008 and documented as a key innovation for improving local relevance of action planning and M&amp;E</w:t>
            </w:r>
          </w:p>
        </w:tc>
        <w:tc>
          <w:tcPr>
            <w:tcW w:w="2024" w:type="dxa"/>
            <w:tcBorders>
              <w:top w:val="single" w:sz="4" w:space="0" w:color="auto"/>
              <w:left w:val="single" w:sz="4" w:space="0" w:color="auto"/>
              <w:bottom w:val="single" w:sz="4" w:space="0" w:color="auto"/>
              <w:right w:val="single" w:sz="4" w:space="0" w:color="auto"/>
            </w:tcBorders>
          </w:tcPr>
          <w:p w14:paraId="001C8A39" w14:textId="77777777" w:rsidR="00323051" w:rsidRPr="00323051" w:rsidRDefault="00323051" w:rsidP="00323051">
            <w:pPr>
              <w:rPr>
                <w:sz w:val="18"/>
                <w:szCs w:val="18"/>
                <w:lang w:val="en-GB" w:bidi="th-TH"/>
              </w:rPr>
            </w:pPr>
            <w:r w:rsidRPr="00323051">
              <w:rPr>
                <w:sz w:val="18"/>
                <w:szCs w:val="18"/>
                <w:lang w:val="en-GB" w:bidi="th-TH"/>
              </w:rPr>
              <w:t>3.1.3 Best practice exchanges between local government officials and coastal managers on science-based management via annual Mayor’s Round-Table meetings</w:t>
            </w:r>
          </w:p>
        </w:tc>
        <w:tc>
          <w:tcPr>
            <w:tcW w:w="2024" w:type="dxa"/>
            <w:tcBorders>
              <w:top w:val="single" w:sz="4" w:space="0" w:color="auto"/>
              <w:left w:val="single" w:sz="4" w:space="0" w:color="auto"/>
              <w:bottom w:val="single" w:sz="4" w:space="0" w:color="auto"/>
              <w:right w:val="single" w:sz="4" w:space="0" w:color="auto"/>
            </w:tcBorders>
          </w:tcPr>
          <w:p w14:paraId="61EF59F6" w14:textId="77777777" w:rsidR="00323051" w:rsidRPr="00323051" w:rsidRDefault="00323051" w:rsidP="00323051">
            <w:pPr>
              <w:rPr>
                <w:sz w:val="18"/>
                <w:szCs w:val="18"/>
                <w:lang w:val="en-GB" w:bidi="th-TH"/>
              </w:rPr>
            </w:pPr>
            <w:r w:rsidRPr="00323051">
              <w:rPr>
                <w:sz w:val="18"/>
                <w:szCs w:val="18"/>
                <w:lang w:val="en-GB" w:bidi="th-TH"/>
              </w:rPr>
              <w:t>Reports of Mayor’s Round-Table Meetings, including documented evidence of behaviour change as a result of exposure to best practice guidance</w:t>
            </w:r>
          </w:p>
        </w:tc>
        <w:tc>
          <w:tcPr>
            <w:tcW w:w="2024" w:type="dxa"/>
            <w:tcBorders>
              <w:top w:val="single" w:sz="4" w:space="0" w:color="auto"/>
              <w:left w:val="single" w:sz="4" w:space="0" w:color="auto"/>
              <w:bottom w:val="single" w:sz="4" w:space="0" w:color="auto"/>
              <w:right w:val="single" w:sz="4" w:space="0" w:color="auto"/>
            </w:tcBorders>
          </w:tcPr>
          <w:p w14:paraId="365B277C" w14:textId="77777777" w:rsidR="00323051" w:rsidRPr="00323051" w:rsidRDefault="00323051" w:rsidP="00323051">
            <w:pPr>
              <w:rPr>
                <w:sz w:val="18"/>
                <w:szCs w:val="18"/>
                <w:lang w:val="en-GB" w:bidi="th-TH"/>
              </w:rPr>
            </w:pPr>
            <w:r w:rsidRPr="00323051">
              <w:rPr>
                <w:sz w:val="18"/>
                <w:szCs w:val="18"/>
                <w:lang w:val="en-GB" w:bidi="th-TH"/>
              </w:rPr>
              <w:t>Strong and consistent support from local government officials to actively participate in fora aimed at stimulating knowledge sharing on best practice management approaches and technologies</w:t>
            </w:r>
          </w:p>
        </w:tc>
      </w:tr>
      <w:tr w:rsidR="00323051" w:rsidRPr="00323051" w14:paraId="734456D4" w14:textId="77777777" w:rsidTr="004B053A">
        <w:tc>
          <w:tcPr>
            <w:tcW w:w="0" w:type="auto"/>
            <w:vMerge/>
            <w:tcBorders>
              <w:left w:val="single" w:sz="4" w:space="0" w:color="auto"/>
              <w:right w:val="single" w:sz="4" w:space="0" w:color="auto"/>
            </w:tcBorders>
            <w:vAlign w:val="center"/>
          </w:tcPr>
          <w:p w14:paraId="2E25BADC"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shd w:val="clear" w:color="auto" w:fill="auto"/>
          </w:tcPr>
          <w:p w14:paraId="787E5572"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21A0FA37" w14:textId="77777777" w:rsidR="00323051" w:rsidRPr="00323051" w:rsidRDefault="00323051" w:rsidP="00323051">
            <w:pPr>
              <w:rPr>
                <w:sz w:val="18"/>
                <w:szCs w:val="18"/>
                <w:lang w:val="en-GB" w:bidi="th-TH"/>
              </w:rPr>
            </w:pPr>
            <w:r w:rsidRPr="00323051">
              <w:rPr>
                <w:sz w:val="18"/>
                <w:szCs w:val="18"/>
                <w:lang w:val="en-GB" w:bidi="th-TH"/>
              </w:rPr>
              <w:t>Status of bilateral cooperation for transboundary resource management between (a) Cambodia and Vietnam and (b) Cambodia and Thailand</w:t>
            </w:r>
          </w:p>
          <w:p w14:paraId="37ABD6F0" w14:textId="77777777" w:rsidR="00323051" w:rsidRPr="00323051" w:rsidRDefault="00323051" w:rsidP="00323051">
            <w:pPr>
              <w:rPr>
                <w:sz w:val="18"/>
                <w:szCs w:val="18"/>
                <w:lang w:val="en-GB" w:bidi="th-TH"/>
              </w:rPr>
            </w:pPr>
          </w:p>
          <w:p w14:paraId="56618F8D" w14:textId="77777777" w:rsidR="00323051" w:rsidRPr="00323051" w:rsidRDefault="00323051" w:rsidP="00323051">
            <w:pPr>
              <w:rPr>
                <w:sz w:val="18"/>
                <w:szCs w:val="18"/>
                <w:lang w:val="en-GB" w:bidi="th-TH"/>
              </w:rPr>
            </w:pPr>
            <w:r w:rsidRPr="00323051">
              <w:rPr>
                <w:sz w:val="18"/>
                <w:szCs w:val="18"/>
                <w:lang w:val="en-GB" w:bidi="th-TH"/>
              </w:rPr>
              <w:t>Status of signature of Memoranda of Agreement</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77CCF04E" w14:textId="77777777" w:rsidR="00323051" w:rsidRPr="00323051" w:rsidRDefault="00323051" w:rsidP="00323051">
            <w:pPr>
              <w:rPr>
                <w:sz w:val="18"/>
                <w:szCs w:val="18"/>
                <w:lang w:val="en-GB" w:bidi="th-TH"/>
              </w:rPr>
            </w:pPr>
            <w:r w:rsidRPr="00323051">
              <w:rPr>
                <w:sz w:val="18"/>
                <w:szCs w:val="18"/>
                <w:lang w:val="en-GB" w:bidi="th-TH"/>
              </w:rPr>
              <w:t>Bilateral cooperation between Cambodia and Vietnam initiated during the period 2007-2008 although this has stagnated as a result of a lack of regional coordination support</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0C2BE99C" w14:textId="77777777" w:rsidR="00323051" w:rsidRPr="00323051" w:rsidRDefault="00323051" w:rsidP="00323051">
            <w:pPr>
              <w:rPr>
                <w:sz w:val="18"/>
                <w:szCs w:val="18"/>
                <w:lang w:val="en-GB" w:bidi="th-TH"/>
              </w:rPr>
            </w:pPr>
            <w:r w:rsidRPr="00323051">
              <w:rPr>
                <w:sz w:val="18"/>
                <w:szCs w:val="18"/>
                <w:lang w:val="en-GB" w:bidi="th-TH"/>
              </w:rPr>
              <w:t>3.1.4 Memoranda of Agreement for joint management of 2 priority transboundary water areas agreed &amp; implemented</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0BADB029" w14:textId="77777777" w:rsidR="00323051" w:rsidRPr="00323051" w:rsidRDefault="00323051" w:rsidP="00323051">
            <w:pPr>
              <w:rPr>
                <w:sz w:val="18"/>
                <w:szCs w:val="18"/>
                <w:lang w:val="en-GB" w:bidi="th-TH"/>
              </w:rPr>
            </w:pPr>
            <w:r w:rsidRPr="00323051">
              <w:rPr>
                <w:sz w:val="18"/>
                <w:szCs w:val="18"/>
                <w:lang w:val="en-GB" w:bidi="th-TH"/>
              </w:rPr>
              <w:t>Signed Memoranda of Agreement outlining agreed joint actions for transboundary coastal resource management</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214BC7FF" w14:textId="77777777" w:rsidR="00323051" w:rsidRPr="00323051" w:rsidRDefault="00323051" w:rsidP="00323051">
            <w:pPr>
              <w:rPr>
                <w:sz w:val="18"/>
                <w:szCs w:val="18"/>
                <w:lang w:val="en-GB" w:bidi="th-TH"/>
              </w:rPr>
            </w:pPr>
            <w:r w:rsidRPr="00323051">
              <w:rPr>
                <w:sz w:val="18"/>
                <w:szCs w:val="18"/>
                <w:lang w:val="en-GB" w:bidi="th-TH"/>
              </w:rPr>
              <w:t>Commitment of central governments, provincial governments, and resources users to participate in consultative processes relating to the joint management of transboundary resources</w:t>
            </w:r>
          </w:p>
        </w:tc>
      </w:tr>
      <w:tr w:rsidR="00323051" w:rsidRPr="00323051" w14:paraId="4CC4528D" w14:textId="77777777" w:rsidTr="004B053A">
        <w:tc>
          <w:tcPr>
            <w:tcW w:w="0" w:type="auto"/>
            <w:vMerge/>
            <w:tcBorders>
              <w:left w:val="single" w:sz="4" w:space="0" w:color="auto"/>
              <w:right w:val="single" w:sz="4" w:space="0" w:color="auto"/>
            </w:tcBorders>
            <w:vAlign w:val="center"/>
          </w:tcPr>
          <w:p w14:paraId="1FC3F103" w14:textId="77777777" w:rsidR="00323051" w:rsidRPr="00323051" w:rsidRDefault="00323051" w:rsidP="00323051">
            <w:pPr>
              <w:rPr>
                <w:sz w:val="18"/>
                <w:szCs w:val="18"/>
                <w:lang w:val="en-GB" w:bidi="th-TH"/>
              </w:rPr>
            </w:pPr>
          </w:p>
        </w:tc>
        <w:tc>
          <w:tcPr>
            <w:tcW w:w="2025" w:type="dxa"/>
            <w:vMerge/>
            <w:tcBorders>
              <w:left w:val="single" w:sz="4" w:space="0" w:color="auto"/>
              <w:bottom w:val="nil"/>
              <w:right w:val="single" w:sz="4" w:space="0" w:color="auto"/>
            </w:tcBorders>
            <w:shd w:val="clear" w:color="auto" w:fill="auto"/>
          </w:tcPr>
          <w:p w14:paraId="3B01CC71"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4F0CE869" w14:textId="77777777" w:rsidR="00323051" w:rsidRPr="00323051" w:rsidRDefault="00323051" w:rsidP="00323051">
            <w:pPr>
              <w:rPr>
                <w:sz w:val="18"/>
                <w:szCs w:val="18"/>
                <w:lang w:val="en-GB" w:bidi="th-TH"/>
              </w:rPr>
            </w:pPr>
            <w:r w:rsidRPr="00323051">
              <w:rPr>
                <w:sz w:val="18"/>
                <w:szCs w:val="18"/>
                <w:lang w:val="en-GB" w:bidi="th-TH"/>
              </w:rPr>
              <w:t>Extent of joint planning by both projects</w:t>
            </w:r>
          </w:p>
          <w:p w14:paraId="3D3CEA6C" w14:textId="77777777" w:rsidR="00323051" w:rsidRPr="00323051" w:rsidRDefault="00323051" w:rsidP="00323051">
            <w:pPr>
              <w:rPr>
                <w:sz w:val="18"/>
                <w:szCs w:val="18"/>
                <w:lang w:val="en-GB" w:bidi="th-TH"/>
              </w:rPr>
            </w:pPr>
          </w:p>
          <w:p w14:paraId="64FA08C0" w14:textId="77777777" w:rsidR="00323051" w:rsidRPr="00323051" w:rsidRDefault="00323051" w:rsidP="00323051">
            <w:pPr>
              <w:rPr>
                <w:sz w:val="18"/>
                <w:szCs w:val="18"/>
                <w:lang w:val="en-GB" w:bidi="th-TH"/>
              </w:rPr>
            </w:pPr>
            <w:r w:rsidRPr="00323051">
              <w:rPr>
                <w:sz w:val="18"/>
                <w:szCs w:val="18"/>
                <w:lang w:val="en-GB" w:bidi="th-TH"/>
              </w:rPr>
              <w:t>Number of best practices and lessons learned captured from the fisheries refugia project</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672E8D95" w14:textId="77777777" w:rsidR="00323051" w:rsidRPr="00323051" w:rsidRDefault="00323051" w:rsidP="00323051">
            <w:pPr>
              <w:rPr>
                <w:sz w:val="18"/>
                <w:szCs w:val="18"/>
                <w:lang w:val="en-GB" w:bidi="th-TH"/>
              </w:rPr>
            </w:pPr>
            <w:r w:rsidRPr="00323051">
              <w:rPr>
                <w:sz w:val="18"/>
                <w:szCs w:val="18"/>
                <w:lang w:val="en-GB" w:bidi="th-TH"/>
              </w:rPr>
              <w:t>Execution of the UNEP/GEF Fisheries Refugia project to commence in Q3 of 2016 through SEAFEDC and national fisheries agencies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7FFA732D" w14:textId="77777777" w:rsidR="00323051" w:rsidRPr="00323051" w:rsidRDefault="00323051" w:rsidP="00323051">
            <w:pPr>
              <w:rPr>
                <w:sz w:val="18"/>
                <w:szCs w:val="18"/>
                <w:lang w:val="en-GB" w:bidi="th-TH"/>
              </w:rPr>
            </w:pPr>
            <w:r w:rsidRPr="00323051">
              <w:rPr>
                <w:sz w:val="18"/>
                <w:szCs w:val="18"/>
                <w:lang w:val="en-GB" w:bidi="th-TH"/>
              </w:rPr>
              <w:t xml:space="preserve">3.1.5 Cooperation with the GEF fisheries refugia project and other relevant </w:t>
            </w:r>
            <w:r w:rsidR="00325F66">
              <w:rPr>
                <w:sz w:val="18"/>
                <w:szCs w:val="18"/>
                <w:lang w:val="en-GB" w:bidi="th-TH"/>
              </w:rPr>
              <w:t>regional initiatives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462194AF" w14:textId="77777777" w:rsidR="00323051" w:rsidRPr="00323051" w:rsidRDefault="00323051" w:rsidP="00323051">
            <w:pPr>
              <w:rPr>
                <w:sz w:val="18"/>
                <w:szCs w:val="18"/>
                <w:lang w:val="en-GB" w:bidi="th-TH"/>
              </w:rPr>
            </w:pPr>
            <w:r w:rsidRPr="00323051">
              <w:rPr>
                <w:sz w:val="18"/>
                <w:szCs w:val="18"/>
                <w:lang w:val="en-GB" w:bidi="th-TH"/>
              </w:rPr>
              <w:t>Reports of joint planning meeting</w:t>
            </w:r>
          </w:p>
          <w:p w14:paraId="1151E9D9" w14:textId="77777777" w:rsidR="00323051" w:rsidRPr="00323051" w:rsidRDefault="00323051" w:rsidP="00323051">
            <w:pPr>
              <w:rPr>
                <w:sz w:val="18"/>
                <w:szCs w:val="18"/>
                <w:lang w:val="en-GB" w:bidi="th-TH"/>
              </w:rPr>
            </w:pPr>
          </w:p>
          <w:p w14:paraId="0E84EF5E" w14:textId="77777777" w:rsidR="00323051" w:rsidRPr="00323051" w:rsidRDefault="00323051" w:rsidP="00323051">
            <w:pPr>
              <w:rPr>
                <w:sz w:val="18"/>
                <w:szCs w:val="18"/>
                <w:lang w:val="en-GB" w:bidi="th-TH"/>
              </w:rPr>
            </w:pPr>
            <w:r w:rsidRPr="00323051">
              <w:rPr>
                <w:sz w:val="18"/>
                <w:szCs w:val="18"/>
                <w:lang w:val="en-GB" w:bidi="th-TH"/>
              </w:rPr>
              <w:t>Published revised NAPs and SAP containing section on lessons from fisheries refugia project</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1CDFB235" w14:textId="77777777" w:rsidR="00323051" w:rsidRPr="00323051" w:rsidRDefault="00323051" w:rsidP="00323051">
            <w:pPr>
              <w:rPr>
                <w:sz w:val="18"/>
                <w:szCs w:val="18"/>
                <w:lang w:val="en-GB" w:bidi="th-TH"/>
              </w:rPr>
            </w:pPr>
            <w:r w:rsidRPr="00323051">
              <w:rPr>
                <w:sz w:val="18"/>
                <w:szCs w:val="18"/>
                <w:lang w:val="en-GB" w:bidi="th-TH"/>
              </w:rPr>
              <w:t>Commitment of SEAFDEC and UNEP to actively and constructively cooperate on identifying and sharing best practices between projects</w:t>
            </w:r>
          </w:p>
        </w:tc>
      </w:tr>
      <w:tr w:rsidR="00323051" w:rsidRPr="00323051" w14:paraId="75B29468" w14:textId="77777777" w:rsidTr="004B053A">
        <w:tc>
          <w:tcPr>
            <w:tcW w:w="0" w:type="auto"/>
            <w:vMerge/>
            <w:tcBorders>
              <w:left w:val="single" w:sz="4" w:space="0" w:color="auto"/>
              <w:right w:val="single" w:sz="4" w:space="0" w:color="auto"/>
            </w:tcBorders>
            <w:vAlign w:val="center"/>
          </w:tcPr>
          <w:p w14:paraId="229FC703" w14:textId="77777777" w:rsidR="00323051" w:rsidRPr="00323051" w:rsidRDefault="00323051" w:rsidP="00323051">
            <w:pPr>
              <w:rPr>
                <w:sz w:val="18"/>
                <w:szCs w:val="18"/>
                <w:lang w:val="en-GB" w:bidi="th-TH"/>
              </w:rPr>
            </w:pPr>
          </w:p>
        </w:tc>
        <w:tc>
          <w:tcPr>
            <w:tcW w:w="2025" w:type="dxa"/>
            <w:tcBorders>
              <w:top w:val="nil"/>
              <w:left w:val="single" w:sz="4" w:space="0" w:color="auto"/>
              <w:bottom w:val="single" w:sz="4" w:space="0" w:color="auto"/>
              <w:right w:val="single" w:sz="4" w:space="0" w:color="auto"/>
            </w:tcBorders>
            <w:shd w:val="clear" w:color="auto" w:fill="auto"/>
          </w:tcPr>
          <w:p w14:paraId="66A2851F"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03D9D799" w14:textId="77777777" w:rsidR="00323051" w:rsidRPr="00323051" w:rsidRDefault="00323051" w:rsidP="00323051">
            <w:pPr>
              <w:rPr>
                <w:sz w:val="18"/>
                <w:szCs w:val="18"/>
                <w:lang w:val="en-GB" w:bidi="th-TH"/>
              </w:rPr>
            </w:pPr>
            <w:r w:rsidRPr="00323051">
              <w:rPr>
                <w:sz w:val="18"/>
                <w:szCs w:val="18"/>
                <w:lang w:val="en-GB" w:bidi="th-TH"/>
              </w:rPr>
              <w:t>Number of best practices identified</w:t>
            </w:r>
          </w:p>
          <w:p w14:paraId="5730BA2F" w14:textId="77777777" w:rsidR="00323051" w:rsidRPr="00323051" w:rsidRDefault="00323051" w:rsidP="00323051">
            <w:pPr>
              <w:rPr>
                <w:sz w:val="18"/>
                <w:szCs w:val="18"/>
                <w:lang w:val="en-GB" w:bidi="th-TH"/>
              </w:rPr>
            </w:pPr>
          </w:p>
          <w:p w14:paraId="0363805C" w14:textId="77777777" w:rsidR="00323051" w:rsidRPr="00323051" w:rsidRDefault="00323051" w:rsidP="00323051">
            <w:pPr>
              <w:rPr>
                <w:sz w:val="18"/>
                <w:szCs w:val="18"/>
                <w:lang w:val="en-GB" w:bidi="th-TH"/>
              </w:rPr>
            </w:pPr>
            <w:r w:rsidRPr="00323051">
              <w:rPr>
                <w:sz w:val="18"/>
                <w:szCs w:val="18"/>
                <w:lang w:val="en-GB" w:bidi="th-TH"/>
              </w:rPr>
              <w:t>Number of community organisations, local governments and industry receiving awarrds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1B3FF063" w14:textId="77777777" w:rsidR="00323051" w:rsidRPr="00323051" w:rsidRDefault="00323051" w:rsidP="00323051">
            <w:pPr>
              <w:rPr>
                <w:sz w:val="18"/>
                <w:szCs w:val="18"/>
                <w:lang w:val="en-GB" w:bidi="th-TH"/>
              </w:rPr>
            </w:pPr>
            <w:r w:rsidRPr="00323051">
              <w:rPr>
                <w:sz w:val="18"/>
                <w:szCs w:val="18"/>
                <w:lang w:val="en-GB" w:bidi="th-TH"/>
              </w:rPr>
              <w:t>Lack of mechanism to formally recognize and award communities, local governments and industry for innovation and generation of best practices for environmental management of the South China Sea</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7EF5CAD2" w14:textId="77777777" w:rsidR="00323051" w:rsidRPr="00323051" w:rsidRDefault="00323051" w:rsidP="00323051">
            <w:pPr>
              <w:rPr>
                <w:sz w:val="18"/>
                <w:szCs w:val="18"/>
                <w:lang w:val="en-GB" w:bidi="th-TH"/>
              </w:rPr>
            </w:pPr>
            <w:r w:rsidRPr="00323051">
              <w:rPr>
                <w:sz w:val="18"/>
                <w:szCs w:val="18"/>
                <w:lang w:val="en-GB" w:bidi="th-TH"/>
              </w:rPr>
              <w:t>3.1.6 Operational award program on best practices in coastal habitat and land-based pollution management for communities, local governments and industry [annual]</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3672D7B8" w14:textId="77777777" w:rsidR="00323051" w:rsidRPr="00323051" w:rsidRDefault="00323051" w:rsidP="00323051">
            <w:pPr>
              <w:rPr>
                <w:sz w:val="18"/>
                <w:szCs w:val="18"/>
                <w:lang w:val="en-GB" w:bidi="th-TH"/>
              </w:rPr>
            </w:pPr>
            <w:r w:rsidRPr="00323051">
              <w:rPr>
                <w:sz w:val="18"/>
                <w:szCs w:val="18"/>
                <w:lang w:val="en-GB" w:bidi="th-TH"/>
              </w:rPr>
              <w:t>Documented examples of innovation and best practice by communities, local governments and industry</w:t>
            </w:r>
          </w:p>
          <w:p w14:paraId="6ECA8A61" w14:textId="77777777" w:rsidR="00323051" w:rsidRPr="00323051" w:rsidRDefault="00323051" w:rsidP="00323051">
            <w:pPr>
              <w:rPr>
                <w:sz w:val="18"/>
                <w:szCs w:val="18"/>
                <w:lang w:val="en-GB" w:bidi="th-TH"/>
              </w:rPr>
            </w:pPr>
          </w:p>
          <w:p w14:paraId="6B2B9197" w14:textId="77777777" w:rsidR="00323051" w:rsidRPr="00323051" w:rsidRDefault="00323051" w:rsidP="00323051">
            <w:pPr>
              <w:rPr>
                <w:sz w:val="18"/>
                <w:szCs w:val="18"/>
                <w:lang w:val="en-GB" w:bidi="th-TH"/>
              </w:rPr>
            </w:pPr>
            <w:r w:rsidRPr="00323051">
              <w:rPr>
                <w:sz w:val="18"/>
                <w:szCs w:val="18"/>
                <w:lang w:val="en-GB" w:bidi="th-TH"/>
              </w:rPr>
              <w:t>Annual report of award project</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017D2C7E" w14:textId="77777777" w:rsidR="00323051" w:rsidRPr="00323051" w:rsidRDefault="00323051" w:rsidP="00323051">
            <w:pPr>
              <w:rPr>
                <w:sz w:val="18"/>
                <w:szCs w:val="18"/>
                <w:lang w:val="en-GB" w:bidi="th-TH"/>
              </w:rPr>
            </w:pPr>
            <w:r w:rsidRPr="00323051">
              <w:rPr>
                <w:sz w:val="18"/>
                <w:szCs w:val="18"/>
                <w:lang w:val="en-GB" w:bidi="th-TH"/>
              </w:rPr>
              <w:t>Communities, local governments and industry initiatives result in innovative approaches</w:t>
            </w:r>
          </w:p>
          <w:p w14:paraId="3A20A122" w14:textId="77777777" w:rsidR="00323051" w:rsidRPr="00323051" w:rsidRDefault="00323051" w:rsidP="00323051">
            <w:pPr>
              <w:rPr>
                <w:sz w:val="18"/>
                <w:szCs w:val="18"/>
                <w:lang w:val="en-GB" w:bidi="th-TH"/>
              </w:rPr>
            </w:pPr>
          </w:p>
          <w:p w14:paraId="10D27A82" w14:textId="77777777" w:rsidR="00323051" w:rsidRPr="00323051" w:rsidRDefault="00323051" w:rsidP="00323051">
            <w:pPr>
              <w:rPr>
                <w:sz w:val="18"/>
                <w:szCs w:val="18"/>
                <w:lang w:val="en-GB" w:bidi="th-TH"/>
              </w:rPr>
            </w:pPr>
            <w:r w:rsidRPr="00323051">
              <w:rPr>
                <w:sz w:val="18"/>
                <w:szCs w:val="18"/>
                <w:lang w:val="en-GB" w:bidi="th-TH"/>
              </w:rPr>
              <w:t>Interest of stakeholders to participate in such a programme</w:t>
            </w:r>
          </w:p>
        </w:tc>
      </w:tr>
      <w:tr w:rsidR="00323051" w:rsidRPr="00323051" w14:paraId="20507AA2" w14:textId="77777777" w:rsidTr="004B053A">
        <w:tc>
          <w:tcPr>
            <w:tcW w:w="0" w:type="auto"/>
            <w:vMerge/>
            <w:tcBorders>
              <w:left w:val="single" w:sz="4" w:space="0" w:color="auto"/>
              <w:right w:val="single" w:sz="4" w:space="0" w:color="auto"/>
            </w:tcBorders>
            <w:vAlign w:val="center"/>
          </w:tcPr>
          <w:p w14:paraId="5EF4490C" w14:textId="77777777" w:rsidR="00323051" w:rsidRPr="00323051" w:rsidRDefault="00323051" w:rsidP="00323051">
            <w:pPr>
              <w:rPr>
                <w:sz w:val="18"/>
                <w:szCs w:val="18"/>
                <w:lang w:val="en-GB" w:bidi="th-TH"/>
              </w:rPr>
            </w:pPr>
          </w:p>
        </w:tc>
        <w:tc>
          <w:tcPr>
            <w:tcW w:w="2025" w:type="dxa"/>
            <w:vMerge w:val="restart"/>
            <w:tcBorders>
              <w:top w:val="single" w:sz="4" w:space="0" w:color="auto"/>
              <w:left w:val="single" w:sz="4" w:space="0" w:color="auto"/>
              <w:right w:val="single" w:sz="4" w:space="0" w:color="auto"/>
            </w:tcBorders>
            <w:shd w:val="clear" w:color="auto" w:fill="auto"/>
          </w:tcPr>
          <w:p w14:paraId="5CA34785" w14:textId="77777777" w:rsidR="00323051" w:rsidRPr="00323051" w:rsidRDefault="00323051" w:rsidP="00323051">
            <w:pPr>
              <w:rPr>
                <w:sz w:val="18"/>
                <w:szCs w:val="18"/>
                <w:lang w:val="en-GB" w:bidi="th-TH"/>
              </w:rPr>
            </w:pPr>
            <w:r w:rsidRPr="00323051">
              <w:rPr>
                <w:sz w:val="18"/>
                <w:szCs w:val="18"/>
                <w:lang w:val="en-GB" w:bidi="th-TH"/>
              </w:rPr>
              <w:t>3.2 Capacity for civil society and community organization participation in SAP implementation strengthened via operational partnership with GEF SGP</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7EFBA44F" w14:textId="77777777" w:rsidR="00323051" w:rsidRPr="00323051" w:rsidRDefault="00323051" w:rsidP="00323051">
            <w:pPr>
              <w:rPr>
                <w:sz w:val="18"/>
                <w:szCs w:val="18"/>
                <w:lang w:val="en-GB" w:bidi="th-TH"/>
              </w:rPr>
            </w:pPr>
            <w:r w:rsidRPr="00323051">
              <w:rPr>
                <w:sz w:val="18"/>
                <w:szCs w:val="18"/>
                <w:lang w:val="en-GB" w:bidi="th-TH"/>
              </w:rPr>
              <w:t xml:space="preserve">Number of GEF Small Grants Programme projects commissioned and implemented in support </w:t>
            </w:r>
            <w:r w:rsidR="00B0697C">
              <w:rPr>
                <w:sz w:val="18"/>
                <w:szCs w:val="18"/>
                <w:lang w:val="en-GB" w:bidi="th-TH"/>
              </w:rPr>
              <w:t xml:space="preserve">of </w:t>
            </w:r>
            <w:r w:rsidRPr="00323051">
              <w:rPr>
                <w:sz w:val="18"/>
                <w:szCs w:val="18"/>
                <w:lang w:val="en-GB" w:bidi="th-TH"/>
              </w:rPr>
              <w:t>SAP implementation</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16DB7997" w14:textId="77777777" w:rsidR="00323051" w:rsidRPr="00323051" w:rsidRDefault="00323051" w:rsidP="00323051">
            <w:pPr>
              <w:rPr>
                <w:sz w:val="18"/>
                <w:szCs w:val="18"/>
                <w:lang w:val="en-GB" w:bidi="th-TH"/>
              </w:rPr>
            </w:pPr>
            <w:r w:rsidRPr="00323051">
              <w:rPr>
                <w:sz w:val="18"/>
                <w:szCs w:val="18"/>
                <w:lang w:val="en-GB" w:bidi="th-TH"/>
              </w:rPr>
              <w:t>Need for strengthened mobilization of civil society and community organizations in SAP implementation</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7CD45850" w14:textId="77777777" w:rsidR="00323051" w:rsidRPr="00323051" w:rsidRDefault="00323051" w:rsidP="00B0697C">
            <w:pPr>
              <w:rPr>
                <w:sz w:val="18"/>
                <w:szCs w:val="18"/>
                <w:lang w:val="en-GB" w:bidi="th-TH"/>
              </w:rPr>
            </w:pPr>
            <w:r w:rsidRPr="00323051">
              <w:rPr>
                <w:sz w:val="18"/>
                <w:szCs w:val="18"/>
                <w:lang w:val="en-GB" w:bidi="th-TH"/>
              </w:rPr>
              <w:t xml:space="preserve">3.2.1 Cooperation with GEF SGP in the commissioning and implementation of an additional </w:t>
            </w:r>
            <w:r w:rsidR="00B0697C">
              <w:rPr>
                <w:sz w:val="18"/>
                <w:szCs w:val="18"/>
                <w:lang w:val="en-GB" w:bidi="th-TH"/>
              </w:rPr>
              <w:t>12</w:t>
            </w:r>
            <w:r w:rsidRPr="00323051">
              <w:rPr>
                <w:sz w:val="18"/>
                <w:szCs w:val="18"/>
                <w:lang w:val="en-GB" w:bidi="th-TH"/>
              </w:rPr>
              <w:t xml:space="preserve"> community-based projects for SAP implementation</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794CF9AF" w14:textId="77777777" w:rsidR="00323051" w:rsidRPr="00323051" w:rsidRDefault="00323051" w:rsidP="00323051">
            <w:pPr>
              <w:rPr>
                <w:sz w:val="18"/>
                <w:szCs w:val="18"/>
                <w:lang w:val="en-GB" w:bidi="th-TH"/>
              </w:rPr>
            </w:pPr>
            <w:r w:rsidRPr="00323051">
              <w:rPr>
                <w:sz w:val="18"/>
                <w:szCs w:val="18"/>
                <w:lang w:val="en-GB" w:bidi="th-TH"/>
              </w:rPr>
              <w:t>5 annual reports of SGP-SAP implementation partnership</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19139BE6" w14:textId="77777777" w:rsidR="00323051" w:rsidRPr="00323051" w:rsidRDefault="00323051" w:rsidP="00323051">
            <w:pPr>
              <w:rPr>
                <w:sz w:val="18"/>
                <w:szCs w:val="18"/>
                <w:lang w:val="en-GB" w:bidi="th-TH"/>
              </w:rPr>
            </w:pPr>
            <w:r w:rsidRPr="00323051">
              <w:rPr>
                <w:sz w:val="18"/>
                <w:szCs w:val="18"/>
                <w:lang w:val="en-GB" w:bidi="th-TH"/>
              </w:rPr>
              <w:t>There will be sufficient number of civil society and community based organisations to act as GEF SGP proponents in support of SAP implementation</w:t>
            </w:r>
          </w:p>
        </w:tc>
      </w:tr>
      <w:tr w:rsidR="00323051" w:rsidRPr="00323051" w14:paraId="69150E75" w14:textId="77777777" w:rsidTr="004B053A">
        <w:tc>
          <w:tcPr>
            <w:tcW w:w="0" w:type="auto"/>
            <w:vMerge/>
            <w:tcBorders>
              <w:left w:val="single" w:sz="4" w:space="0" w:color="auto"/>
              <w:right w:val="single" w:sz="4" w:space="0" w:color="auto"/>
            </w:tcBorders>
            <w:vAlign w:val="center"/>
          </w:tcPr>
          <w:p w14:paraId="4A7D558B"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shd w:val="clear" w:color="auto" w:fill="auto"/>
          </w:tcPr>
          <w:p w14:paraId="45479448"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66105F60" w14:textId="77777777" w:rsidR="00323051" w:rsidRPr="00323051" w:rsidRDefault="00323051" w:rsidP="00323051">
            <w:pPr>
              <w:spacing w:after="120"/>
              <w:rPr>
                <w:sz w:val="18"/>
                <w:szCs w:val="18"/>
                <w:lang w:val="en-GB" w:bidi="th-TH"/>
              </w:rPr>
            </w:pPr>
            <w:r w:rsidRPr="00323051">
              <w:rPr>
                <w:sz w:val="18"/>
                <w:szCs w:val="18"/>
                <w:lang w:val="en-GB" w:bidi="th-TH"/>
              </w:rPr>
              <w:t>Extent and scope of inputs from CSOs and COs</w:t>
            </w:r>
          </w:p>
          <w:p w14:paraId="1D27E22F" w14:textId="77777777" w:rsidR="00323051" w:rsidRPr="00323051" w:rsidRDefault="00323051" w:rsidP="00323051">
            <w:pPr>
              <w:rPr>
                <w:sz w:val="18"/>
                <w:szCs w:val="18"/>
                <w:lang w:val="en-GB" w:bidi="th-TH"/>
              </w:rPr>
            </w:pPr>
            <w:r w:rsidRPr="00323051">
              <w:rPr>
                <w:sz w:val="18"/>
                <w:szCs w:val="18"/>
                <w:lang w:val="en-GB" w:bidi="th-TH"/>
              </w:rPr>
              <w:t>Number of NGO forums convened</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1E1CE5AA" w14:textId="77777777" w:rsidR="00323051" w:rsidRPr="00323051" w:rsidRDefault="00323051" w:rsidP="00323051">
            <w:pPr>
              <w:rPr>
                <w:sz w:val="18"/>
                <w:szCs w:val="18"/>
                <w:lang w:val="en-GB" w:bidi="th-TH"/>
              </w:rPr>
            </w:pPr>
            <w:r w:rsidRPr="00323051">
              <w:rPr>
                <w:sz w:val="18"/>
                <w:szCs w:val="18"/>
                <w:lang w:val="en-GB" w:bidi="th-TH"/>
              </w:rPr>
              <w:t>Need for CSO and CO inputs to planning of an SCS-SGP partnership</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55A37443" w14:textId="77777777" w:rsidR="00323051" w:rsidRPr="00323051" w:rsidRDefault="00323051" w:rsidP="00323051">
            <w:pPr>
              <w:rPr>
                <w:sz w:val="18"/>
                <w:szCs w:val="18"/>
                <w:lang w:val="en-GB" w:bidi="th-TH"/>
              </w:rPr>
            </w:pPr>
            <w:r w:rsidRPr="00323051">
              <w:rPr>
                <w:sz w:val="18"/>
                <w:szCs w:val="18"/>
                <w:lang w:val="en-GB" w:bidi="th-TH"/>
              </w:rPr>
              <w:t>3.2.2 CSO &amp; CO inputs elicited for planning and M&amp;E of the SCS-SGP partnership via annual NGO forums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7AB00F72" w14:textId="77777777" w:rsidR="00323051" w:rsidRPr="00323051" w:rsidRDefault="00323051" w:rsidP="00323051">
            <w:pPr>
              <w:rPr>
                <w:sz w:val="18"/>
                <w:szCs w:val="18"/>
                <w:lang w:val="en-GB" w:bidi="th-TH"/>
              </w:rPr>
            </w:pPr>
            <w:r w:rsidRPr="00323051">
              <w:rPr>
                <w:sz w:val="18"/>
                <w:szCs w:val="18"/>
                <w:lang w:val="en-GB" w:bidi="th-TH"/>
              </w:rPr>
              <w:t>Reports of NGO forum meetings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4F4D71D6" w14:textId="77777777" w:rsidR="00323051" w:rsidRPr="00323051" w:rsidRDefault="00323051" w:rsidP="00323051">
            <w:pPr>
              <w:rPr>
                <w:sz w:val="18"/>
                <w:szCs w:val="18"/>
                <w:lang w:val="en-GB" w:bidi="th-TH"/>
              </w:rPr>
            </w:pPr>
            <w:r w:rsidRPr="00323051">
              <w:rPr>
                <w:sz w:val="18"/>
                <w:szCs w:val="18"/>
                <w:lang w:val="en-GB" w:bidi="th-TH"/>
              </w:rPr>
              <w:t>That linked capacity building initiatives are sufficiently well designed to build capacity of CSOs and COs for planning</w:t>
            </w:r>
          </w:p>
        </w:tc>
      </w:tr>
      <w:tr w:rsidR="00323051" w:rsidRPr="00323051" w14:paraId="76BECEF7" w14:textId="77777777" w:rsidTr="00B470CF">
        <w:trPr>
          <w:trHeight w:val="917"/>
        </w:trPr>
        <w:tc>
          <w:tcPr>
            <w:tcW w:w="0" w:type="auto"/>
            <w:vMerge/>
            <w:tcBorders>
              <w:left w:val="single" w:sz="4" w:space="0" w:color="auto"/>
              <w:right w:val="single" w:sz="4" w:space="0" w:color="auto"/>
            </w:tcBorders>
            <w:vAlign w:val="center"/>
          </w:tcPr>
          <w:p w14:paraId="67D89809" w14:textId="77777777" w:rsidR="00323051" w:rsidRPr="00323051" w:rsidRDefault="00323051" w:rsidP="00323051">
            <w:pPr>
              <w:rPr>
                <w:sz w:val="18"/>
                <w:szCs w:val="18"/>
                <w:lang w:val="en-GB" w:bidi="th-TH"/>
              </w:rPr>
            </w:pPr>
          </w:p>
        </w:tc>
        <w:tc>
          <w:tcPr>
            <w:tcW w:w="2025" w:type="dxa"/>
            <w:vMerge/>
            <w:tcBorders>
              <w:left w:val="single" w:sz="4" w:space="0" w:color="auto"/>
              <w:bottom w:val="single" w:sz="4" w:space="0" w:color="auto"/>
              <w:right w:val="single" w:sz="4" w:space="0" w:color="auto"/>
            </w:tcBorders>
            <w:shd w:val="clear" w:color="auto" w:fill="auto"/>
          </w:tcPr>
          <w:p w14:paraId="7B4D82EF"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67A4F9B7" w14:textId="77777777" w:rsidR="00323051" w:rsidRPr="00323051" w:rsidRDefault="00B0697C" w:rsidP="00323051">
            <w:pPr>
              <w:rPr>
                <w:sz w:val="18"/>
                <w:szCs w:val="18"/>
                <w:lang w:val="en-GB" w:bidi="th-TH"/>
              </w:rPr>
            </w:pPr>
            <w:r>
              <w:rPr>
                <w:sz w:val="18"/>
                <w:szCs w:val="18"/>
                <w:lang w:val="en-GB" w:bidi="th-TH"/>
              </w:rPr>
              <w:t>Number of</w:t>
            </w:r>
            <w:r w:rsidR="00323051" w:rsidRPr="00323051">
              <w:rPr>
                <w:sz w:val="18"/>
                <w:szCs w:val="18"/>
                <w:lang w:val="en-GB" w:bidi="th-TH"/>
              </w:rPr>
              <w:t xml:space="preserve"> SGP proponents</w:t>
            </w:r>
            <w:r>
              <w:rPr>
                <w:sz w:val="18"/>
                <w:szCs w:val="18"/>
                <w:lang w:val="en-GB" w:bidi="th-TH"/>
              </w:rPr>
              <w:t xml:space="preserve"> trained</w:t>
            </w:r>
            <w:r w:rsidR="00323051" w:rsidRPr="00323051">
              <w:rPr>
                <w:sz w:val="18"/>
                <w:szCs w:val="18"/>
                <w:lang w:val="en-GB" w:bidi="th-TH"/>
              </w:rPr>
              <w:t xml:space="preserve"> to implement local actions in support of the achievement of SAP targets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3F0CDB17" w14:textId="77777777" w:rsidR="00323051" w:rsidRPr="00323051" w:rsidRDefault="00323051" w:rsidP="00323051">
            <w:pPr>
              <w:rPr>
                <w:sz w:val="18"/>
                <w:szCs w:val="18"/>
                <w:lang w:val="en-GB" w:bidi="th-TH"/>
              </w:rPr>
            </w:pPr>
            <w:r w:rsidRPr="00323051">
              <w:rPr>
                <w:sz w:val="18"/>
                <w:szCs w:val="18"/>
                <w:lang w:val="en-GB" w:bidi="th-TH"/>
              </w:rPr>
              <w:t>Limited civil society and community organisation experience and capacity for coastal habitat and land-based pollution management</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6B3DD3A0" w14:textId="77777777" w:rsidR="00323051" w:rsidRPr="00323051" w:rsidRDefault="00323051" w:rsidP="00323051">
            <w:pPr>
              <w:rPr>
                <w:sz w:val="18"/>
                <w:szCs w:val="18"/>
                <w:lang w:val="en-GB" w:bidi="th-TH"/>
              </w:rPr>
            </w:pPr>
            <w:r w:rsidRPr="00323051">
              <w:rPr>
                <w:sz w:val="18"/>
                <w:szCs w:val="18"/>
                <w:lang w:val="en-GB" w:bidi="th-TH"/>
              </w:rPr>
              <w:t>3.2.3 Training program on science and management of SCS coastal habitats and resources for SGP proponents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3DEC8BE6" w14:textId="77777777" w:rsidR="00323051" w:rsidRPr="00323051" w:rsidRDefault="00323051" w:rsidP="00323051">
            <w:pPr>
              <w:rPr>
                <w:sz w:val="18"/>
                <w:szCs w:val="18"/>
                <w:lang w:val="en-GB" w:bidi="th-TH"/>
              </w:rPr>
            </w:pPr>
            <w:r w:rsidRPr="00323051">
              <w:rPr>
                <w:sz w:val="18"/>
                <w:szCs w:val="18"/>
                <w:lang w:val="en-GB" w:bidi="th-TH"/>
              </w:rPr>
              <w:t>Training modules for SGP proponents developed and accessible online</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36BFCA40" w14:textId="77777777" w:rsidR="00323051" w:rsidRPr="00323051" w:rsidRDefault="00323051" w:rsidP="00323051">
            <w:pPr>
              <w:rPr>
                <w:sz w:val="18"/>
                <w:szCs w:val="18"/>
                <w:lang w:val="en-GB" w:bidi="th-TH"/>
              </w:rPr>
            </w:pPr>
            <w:r w:rsidRPr="00323051">
              <w:rPr>
                <w:sz w:val="18"/>
                <w:szCs w:val="18"/>
                <w:lang w:val="en-GB" w:bidi="th-TH"/>
              </w:rPr>
              <w:t>Training materials are sufficiently well planned and presented in local languages to meet needs of the staff of SGP proponent organisations</w:t>
            </w:r>
          </w:p>
        </w:tc>
      </w:tr>
      <w:tr w:rsidR="00323051" w:rsidRPr="00323051" w14:paraId="09474F2B" w14:textId="77777777" w:rsidTr="004B053A">
        <w:tc>
          <w:tcPr>
            <w:tcW w:w="0" w:type="auto"/>
            <w:vMerge/>
            <w:tcBorders>
              <w:left w:val="single" w:sz="4" w:space="0" w:color="auto"/>
              <w:right w:val="single" w:sz="4" w:space="0" w:color="auto"/>
            </w:tcBorders>
            <w:vAlign w:val="center"/>
          </w:tcPr>
          <w:p w14:paraId="1116D225" w14:textId="77777777" w:rsidR="00323051" w:rsidRPr="00323051" w:rsidRDefault="00323051" w:rsidP="00323051">
            <w:pPr>
              <w:rPr>
                <w:sz w:val="18"/>
                <w:szCs w:val="18"/>
                <w:lang w:val="en-GB" w:bidi="th-TH"/>
              </w:rPr>
            </w:pPr>
          </w:p>
        </w:tc>
        <w:tc>
          <w:tcPr>
            <w:tcW w:w="2025" w:type="dxa"/>
            <w:tcBorders>
              <w:top w:val="single" w:sz="4" w:space="0" w:color="auto"/>
              <w:left w:val="single" w:sz="4" w:space="0" w:color="auto"/>
              <w:bottom w:val="single" w:sz="4" w:space="0" w:color="auto"/>
              <w:right w:val="single" w:sz="4" w:space="0" w:color="auto"/>
            </w:tcBorders>
            <w:shd w:val="clear" w:color="auto" w:fill="auto"/>
          </w:tcPr>
          <w:p w14:paraId="33888506" w14:textId="77777777" w:rsidR="00323051" w:rsidRPr="00323051" w:rsidRDefault="00323051" w:rsidP="00323051">
            <w:pPr>
              <w:rPr>
                <w:sz w:val="18"/>
                <w:szCs w:val="18"/>
                <w:lang w:val="en-GB" w:bidi="th-TH"/>
              </w:rPr>
            </w:pPr>
            <w:r w:rsidRPr="00323051">
              <w:rPr>
                <w:sz w:val="18"/>
                <w:szCs w:val="18"/>
                <w:lang w:val="en-GB" w:bidi="th-TH"/>
              </w:rPr>
              <w:t>3.3 Relationships between central and local governments and the private sector strengthened and formalized</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1763F7C5" w14:textId="77777777" w:rsidR="00323051" w:rsidRPr="00323051" w:rsidRDefault="00323051" w:rsidP="00323051">
            <w:pPr>
              <w:rPr>
                <w:sz w:val="18"/>
                <w:szCs w:val="18"/>
                <w:lang w:val="en-GB" w:bidi="th-TH"/>
              </w:rPr>
            </w:pPr>
            <w:r w:rsidRPr="00323051">
              <w:rPr>
                <w:sz w:val="18"/>
                <w:szCs w:val="18"/>
                <w:lang w:val="en-GB" w:bidi="th-TH"/>
              </w:rPr>
              <w:t>Number of public-private partnerships identified and documented</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71250A12" w14:textId="77777777" w:rsidR="00323051" w:rsidRPr="00323051" w:rsidRDefault="00323051" w:rsidP="00323051">
            <w:pPr>
              <w:rPr>
                <w:sz w:val="18"/>
                <w:szCs w:val="18"/>
                <w:lang w:val="en-GB" w:bidi="th-TH"/>
              </w:rPr>
            </w:pPr>
            <w:r w:rsidRPr="00323051">
              <w:rPr>
                <w:sz w:val="18"/>
                <w:szCs w:val="18"/>
                <w:lang w:val="en-GB" w:bidi="th-TH"/>
              </w:rPr>
              <w:t>Many private sector oganisations operate corporate social and environmental responsibility programmes but they are not aligned with SAP implementation</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350035A6" w14:textId="77777777" w:rsidR="00323051" w:rsidRPr="00323051" w:rsidRDefault="00323051" w:rsidP="00323051">
            <w:pPr>
              <w:rPr>
                <w:sz w:val="18"/>
                <w:szCs w:val="18"/>
                <w:lang w:val="en-GB" w:bidi="th-TH"/>
              </w:rPr>
            </w:pPr>
            <w:r w:rsidRPr="00323051">
              <w:rPr>
                <w:sz w:val="18"/>
                <w:szCs w:val="18"/>
                <w:lang w:val="en-GB" w:bidi="th-TH"/>
              </w:rPr>
              <w:t>3.3.1 Review of past and ongoing public-private partnerships for coastal management in SCS region</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6416E45D" w14:textId="77777777" w:rsidR="00323051" w:rsidRPr="00323051" w:rsidRDefault="00323051" w:rsidP="00323051">
            <w:pPr>
              <w:rPr>
                <w:sz w:val="18"/>
                <w:szCs w:val="18"/>
                <w:lang w:val="en-GB" w:bidi="th-TH"/>
              </w:rPr>
            </w:pPr>
            <w:r w:rsidRPr="00323051">
              <w:rPr>
                <w:sz w:val="18"/>
                <w:szCs w:val="18"/>
                <w:lang w:val="en-GB" w:bidi="th-TH"/>
              </w:rPr>
              <w:t xml:space="preserve">Review </w:t>
            </w:r>
            <w:r w:rsidR="00B332AD">
              <w:rPr>
                <w:sz w:val="18"/>
                <w:szCs w:val="18"/>
                <w:lang w:val="en-GB" w:bidi="th-TH"/>
              </w:rPr>
              <w:t xml:space="preserve">of </w:t>
            </w:r>
            <w:r w:rsidRPr="00323051">
              <w:rPr>
                <w:sz w:val="18"/>
                <w:szCs w:val="18"/>
                <w:lang w:val="en-GB" w:bidi="th-TH"/>
              </w:rPr>
              <w:t>report</w:t>
            </w:r>
            <w:r w:rsidR="00B332AD">
              <w:rPr>
                <w:sz w:val="18"/>
                <w:szCs w:val="18"/>
                <w:lang w:val="en-GB" w:bidi="th-TH"/>
              </w:rPr>
              <w:t xml:space="preserve"> on public-private partnerships</w:t>
            </w:r>
            <w:r w:rsidRPr="00323051">
              <w:rPr>
                <w:sz w:val="18"/>
                <w:szCs w:val="18"/>
                <w:lang w:val="en-GB" w:bidi="th-TH"/>
              </w:rPr>
              <w:t xml:space="preserve"> pu</w:t>
            </w:r>
            <w:r w:rsidR="00B332AD">
              <w:rPr>
                <w:sz w:val="18"/>
                <w:szCs w:val="18"/>
                <w:lang w:val="en-GB" w:bidi="th-TH"/>
              </w:rPr>
              <w:t>blished</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5D43B36D" w14:textId="77777777" w:rsidR="00323051" w:rsidRPr="00323051" w:rsidRDefault="00323051" w:rsidP="00323051">
            <w:pPr>
              <w:rPr>
                <w:sz w:val="18"/>
                <w:szCs w:val="18"/>
                <w:lang w:val="en-GB" w:bidi="th-TH"/>
              </w:rPr>
            </w:pPr>
            <w:r w:rsidRPr="00323051">
              <w:rPr>
                <w:sz w:val="18"/>
                <w:szCs w:val="18"/>
                <w:lang w:val="en-GB" w:bidi="th-TH"/>
              </w:rPr>
              <w:t>Engaging appropriate expertise to link information on corporate social responsibility to SAP targets and implementation priorities</w:t>
            </w:r>
          </w:p>
        </w:tc>
      </w:tr>
      <w:tr w:rsidR="00323051" w:rsidRPr="00323051" w14:paraId="3E72BA25" w14:textId="77777777" w:rsidTr="004B053A">
        <w:tc>
          <w:tcPr>
            <w:tcW w:w="0" w:type="auto"/>
            <w:vMerge/>
            <w:tcBorders>
              <w:left w:val="single" w:sz="4" w:space="0" w:color="auto"/>
              <w:right w:val="single" w:sz="4" w:space="0" w:color="auto"/>
            </w:tcBorders>
            <w:vAlign w:val="center"/>
          </w:tcPr>
          <w:p w14:paraId="0FB4CDAF" w14:textId="77777777" w:rsidR="00323051" w:rsidRPr="00323051" w:rsidRDefault="00323051" w:rsidP="00323051">
            <w:pPr>
              <w:rPr>
                <w:sz w:val="18"/>
                <w:szCs w:val="18"/>
                <w:lang w:val="en-GB" w:bidi="th-TH"/>
              </w:rPr>
            </w:pPr>
          </w:p>
        </w:tc>
        <w:tc>
          <w:tcPr>
            <w:tcW w:w="2025" w:type="dxa"/>
            <w:tcBorders>
              <w:top w:val="single" w:sz="4" w:space="0" w:color="auto"/>
              <w:left w:val="single" w:sz="4" w:space="0" w:color="auto"/>
              <w:bottom w:val="single" w:sz="4" w:space="0" w:color="auto"/>
              <w:right w:val="single" w:sz="4" w:space="0" w:color="auto"/>
            </w:tcBorders>
            <w:shd w:val="clear" w:color="auto" w:fill="auto"/>
          </w:tcPr>
          <w:p w14:paraId="26437ABB"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05C82EB4" w14:textId="77777777" w:rsidR="00323051" w:rsidRPr="00323051" w:rsidRDefault="00323051" w:rsidP="00323051">
            <w:pPr>
              <w:rPr>
                <w:sz w:val="18"/>
                <w:szCs w:val="18"/>
                <w:lang w:val="en-GB" w:bidi="th-TH"/>
              </w:rPr>
            </w:pPr>
            <w:r w:rsidRPr="00323051">
              <w:rPr>
                <w:sz w:val="18"/>
                <w:szCs w:val="18"/>
                <w:lang w:val="en-GB" w:bidi="th-TH"/>
              </w:rPr>
              <w:t>Number of opportunities for private sector investment in SAP implementation identified</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6BB46FE7" w14:textId="77777777" w:rsidR="00323051" w:rsidRPr="00323051" w:rsidRDefault="00323051" w:rsidP="00323051">
            <w:pPr>
              <w:rPr>
                <w:sz w:val="18"/>
                <w:szCs w:val="18"/>
                <w:lang w:val="en-GB" w:bidi="th-TH"/>
              </w:rPr>
            </w:pPr>
            <w:r w:rsidRPr="00323051">
              <w:rPr>
                <w:sz w:val="18"/>
                <w:szCs w:val="18"/>
                <w:lang w:val="en-GB" w:bidi="th-TH"/>
              </w:rPr>
              <w:t xml:space="preserve">Significant commercial enterprise is conducted in waters of the South China Sea, particularly in the areas of oil and gas, fisheries and tourism </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0435D9D2" w14:textId="77777777" w:rsidR="00323051" w:rsidRPr="00323051" w:rsidRDefault="00323051" w:rsidP="00323051">
            <w:pPr>
              <w:rPr>
                <w:sz w:val="18"/>
                <w:szCs w:val="18"/>
                <w:lang w:val="en-GB" w:bidi="th-TH"/>
              </w:rPr>
            </w:pPr>
            <w:r w:rsidRPr="00323051">
              <w:rPr>
                <w:sz w:val="18"/>
                <w:szCs w:val="18"/>
                <w:lang w:val="en-GB" w:bidi="th-TH"/>
              </w:rPr>
              <w:t>3.3.2 Identification of opportunities for private sector investment (e.g. oil and gas, fisheries, tourism) in implementation of the updated SAP</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20F20C28" w14:textId="77777777" w:rsidR="00323051" w:rsidRPr="00323051" w:rsidRDefault="00323051" w:rsidP="00323051">
            <w:pPr>
              <w:rPr>
                <w:sz w:val="18"/>
                <w:szCs w:val="18"/>
                <w:lang w:val="en-GB" w:bidi="th-TH"/>
              </w:rPr>
            </w:pPr>
            <w:r w:rsidRPr="00323051">
              <w:rPr>
                <w:sz w:val="18"/>
                <w:szCs w:val="18"/>
                <w:lang w:val="en-GB" w:bidi="th-TH"/>
              </w:rPr>
              <w:t>Letters of commitment from private sector entities with regards to support for SAP implementation</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00C91D39" w14:textId="77777777" w:rsidR="00323051" w:rsidRPr="00323051" w:rsidRDefault="00323051" w:rsidP="00323051">
            <w:pPr>
              <w:rPr>
                <w:sz w:val="18"/>
                <w:szCs w:val="18"/>
                <w:lang w:val="en-GB" w:bidi="th-TH"/>
              </w:rPr>
            </w:pPr>
            <w:r w:rsidRPr="00323051">
              <w:rPr>
                <w:sz w:val="18"/>
                <w:szCs w:val="18"/>
                <w:lang w:val="en-GB" w:bidi="th-TH"/>
              </w:rPr>
              <w:t xml:space="preserve">Communications and engagement strategies sufficiently well planned to establish interest among private sector entities in SAP implementation </w:t>
            </w:r>
          </w:p>
        </w:tc>
      </w:tr>
      <w:tr w:rsidR="00323051" w:rsidRPr="00323051" w14:paraId="7CE357CA" w14:textId="77777777" w:rsidTr="004B053A">
        <w:tc>
          <w:tcPr>
            <w:tcW w:w="0" w:type="auto"/>
            <w:vMerge/>
            <w:tcBorders>
              <w:left w:val="single" w:sz="4" w:space="0" w:color="auto"/>
              <w:right w:val="single" w:sz="4" w:space="0" w:color="auto"/>
            </w:tcBorders>
            <w:vAlign w:val="center"/>
          </w:tcPr>
          <w:p w14:paraId="525BFE40" w14:textId="77777777" w:rsidR="00323051" w:rsidRPr="00323051" w:rsidRDefault="00323051" w:rsidP="00323051">
            <w:pPr>
              <w:rPr>
                <w:sz w:val="18"/>
                <w:szCs w:val="18"/>
                <w:lang w:val="en-GB" w:bidi="th-TH"/>
              </w:rPr>
            </w:pPr>
          </w:p>
        </w:tc>
        <w:tc>
          <w:tcPr>
            <w:tcW w:w="2025" w:type="dxa"/>
            <w:tcBorders>
              <w:top w:val="single" w:sz="4" w:space="0" w:color="auto"/>
              <w:left w:val="single" w:sz="4" w:space="0" w:color="auto"/>
              <w:bottom w:val="single" w:sz="4" w:space="0" w:color="auto"/>
              <w:right w:val="single" w:sz="4" w:space="0" w:color="auto"/>
            </w:tcBorders>
            <w:shd w:val="clear" w:color="auto" w:fill="auto"/>
          </w:tcPr>
          <w:p w14:paraId="2E35B644"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5D9E2073" w14:textId="77777777" w:rsidR="00323051" w:rsidRPr="00323051" w:rsidRDefault="00323051" w:rsidP="00323051">
            <w:pPr>
              <w:rPr>
                <w:sz w:val="18"/>
                <w:szCs w:val="18"/>
                <w:lang w:val="en-GB" w:bidi="th-TH"/>
              </w:rPr>
            </w:pPr>
            <w:r w:rsidRPr="00323051">
              <w:rPr>
                <w:sz w:val="18"/>
                <w:szCs w:val="18"/>
                <w:lang w:val="en-GB" w:bidi="th-TH"/>
              </w:rPr>
              <w:t>Status of agreement on financial arrangements for private sector and donor investment in the implementation of the revised Strategic Action Programme</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164FBC23" w14:textId="77777777" w:rsidR="00323051" w:rsidRPr="00323051" w:rsidRDefault="00323051" w:rsidP="00323051">
            <w:pPr>
              <w:rPr>
                <w:sz w:val="18"/>
                <w:szCs w:val="18"/>
                <w:lang w:val="en-GB" w:bidi="th-TH"/>
              </w:rPr>
            </w:pPr>
            <w:r w:rsidRPr="00323051">
              <w:rPr>
                <w:sz w:val="18"/>
                <w:szCs w:val="18"/>
                <w:lang w:val="en-GB" w:bidi="th-TH"/>
              </w:rPr>
              <w:t>Low-level mobilization of the private sector in environmental investment planning in the South China Sea</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0BF154D3" w14:textId="77777777" w:rsidR="00323051" w:rsidRPr="00323051" w:rsidRDefault="00323051" w:rsidP="00323051">
            <w:pPr>
              <w:rPr>
                <w:sz w:val="18"/>
                <w:szCs w:val="18"/>
                <w:lang w:val="en-GB" w:bidi="th-TH"/>
              </w:rPr>
            </w:pPr>
            <w:r w:rsidRPr="00323051">
              <w:rPr>
                <w:sz w:val="18"/>
                <w:szCs w:val="18"/>
                <w:lang w:val="en-GB" w:bidi="th-TH"/>
              </w:rPr>
              <w:t>3.3.3 Two partnership forums to facilitate cooperation with private sector on implementation of the updated SAP</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444FC86B" w14:textId="77777777" w:rsidR="00323051" w:rsidRPr="00323051" w:rsidRDefault="00323051" w:rsidP="00323051">
            <w:pPr>
              <w:rPr>
                <w:sz w:val="18"/>
                <w:szCs w:val="18"/>
                <w:lang w:val="en-GB" w:bidi="th-TH"/>
              </w:rPr>
            </w:pPr>
            <w:r w:rsidRPr="00323051">
              <w:rPr>
                <w:sz w:val="18"/>
                <w:szCs w:val="18"/>
                <w:lang w:val="en-GB" w:bidi="th-TH"/>
              </w:rPr>
              <w:t>Letters of investment commitment from private sector partners and donors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43C87954" w14:textId="77777777" w:rsidR="00323051" w:rsidRPr="00323051" w:rsidRDefault="00323051" w:rsidP="00323051">
            <w:pPr>
              <w:rPr>
                <w:sz w:val="18"/>
                <w:szCs w:val="18"/>
                <w:lang w:val="en-GB" w:bidi="th-TH"/>
              </w:rPr>
            </w:pPr>
            <w:r w:rsidRPr="00323051">
              <w:rPr>
                <w:sz w:val="18"/>
                <w:szCs w:val="18"/>
                <w:lang w:val="en-GB" w:bidi="th-TH"/>
              </w:rPr>
              <w:t>Limited private sector interest or alignment of donor investment strategies with revised SAP targets and actions</w:t>
            </w:r>
          </w:p>
        </w:tc>
      </w:tr>
      <w:tr w:rsidR="00323051" w:rsidRPr="00323051" w14:paraId="599B9167" w14:textId="77777777" w:rsidTr="004B053A">
        <w:tc>
          <w:tcPr>
            <w:tcW w:w="0" w:type="auto"/>
            <w:vMerge/>
            <w:tcBorders>
              <w:left w:val="single" w:sz="4" w:space="0" w:color="auto"/>
              <w:right w:val="single" w:sz="4" w:space="0" w:color="auto"/>
            </w:tcBorders>
            <w:vAlign w:val="center"/>
          </w:tcPr>
          <w:p w14:paraId="38ABDD24" w14:textId="77777777" w:rsidR="00323051" w:rsidRPr="00323051" w:rsidRDefault="00323051" w:rsidP="00323051">
            <w:pPr>
              <w:rPr>
                <w:sz w:val="18"/>
                <w:szCs w:val="18"/>
                <w:lang w:val="en-GB" w:bidi="th-TH"/>
              </w:rPr>
            </w:pPr>
          </w:p>
        </w:tc>
        <w:tc>
          <w:tcPr>
            <w:tcW w:w="2025" w:type="dxa"/>
            <w:vMerge w:val="restart"/>
            <w:tcBorders>
              <w:top w:val="single" w:sz="4" w:space="0" w:color="auto"/>
              <w:left w:val="single" w:sz="4" w:space="0" w:color="auto"/>
              <w:right w:val="single" w:sz="4" w:space="0" w:color="auto"/>
            </w:tcBorders>
            <w:shd w:val="clear" w:color="auto" w:fill="auto"/>
          </w:tcPr>
          <w:p w14:paraId="344F7230" w14:textId="77777777" w:rsidR="00323051" w:rsidRPr="00323051" w:rsidRDefault="00323051" w:rsidP="00323051">
            <w:pPr>
              <w:rPr>
                <w:sz w:val="18"/>
                <w:szCs w:val="18"/>
                <w:lang w:val="en-GB" w:bidi="th-TH"/>
              </w:rPr>
            </w:pPr>
            <w:r w:rsidRPr="00323051">
              <w:rPr>
                <w:sz w:val="18"/>
                <w:szCs w:val="18"/>
                <w:lang w:val="en-GB" w:bidi="th-TH"/>
              </w:rPr>
              <w:t>3.4 Revitalization of regional mechanisms for communications, knowledge exchange, and information and data management and sharing</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66DC798C" w14:textId="77777777" w:rsidR="00323051" w:rsidRPr="00323051" w:rsidRDefault="00323051" w:rsidP="00323051">
            <w:pPr>
              <w:rPr>
                <w:sz w:val="18"/>
                <w:szCs w:val="18"/>
                <w:lang w:val="en-GB" w:bidi="th-TH"/>
              </w:rPr>
            </w:pPr>
            <w:r w:rsidRPr="00323051">
              <w:rPr>
                <w:sz w:val="18"/>
                <w:szCs w:val="18"/>
                <w:lang w:val="en-GB" w:bidi="th-TH"/>
              </w:rPr>
              <w:t>Number of multi-media and knowledge products produced</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332FCF18" w14:textId="77777777" w:rsidR="00323051" w:rsidRPr="00323051" w:rsidRDefault="00323051" w:rsidP="00323051">
            <w:pPr>
              <w:rPr>
                <w:sz w:val="18"/>
                <w:szCs w:val="18"/>
                <w:lang w:val="en-GB" w:bidi="th-TH"/>
              </w:rPr>
            </w:pPr>
            <w:r w:rsidRPr="00323051">
              <w:rPr>
                <w:sz w:val="18"/>
                <w:szCs w:val="18"/>
                <w:lang w:val="en-GB" w:bidi="th-TH"/>
              </w:rPr>
              <w:t>The SCS project produced an extensive range of knowledge products, technical guides, and training and awareness materials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4C28A063" w14:textId="77777777" w:rsidR="00323051" w:rsidRPr="00323051" w:rsidRDefault="00323051" w:rsidP="00323051">
            <w:pPr>
              <w:rPr>
                <w:sz w:val="18"/>
                <w:szCs w:val="18"/>
                <w:lang w:val="en-GB" w:bidi="th-TH"/>
              </w:rPr>
            </w:pPr>
            <w:r w:rsidRPr="00323051">
              <w:rPr>
                <w:sz w:val="18"/>
                <w:szCs w:val="18"/>
                <w:lang w:val="en-GB" w:bidi="th-TH"/>
              </w:rPr>
              <w:t>3.4.1 A variety of multi-media information and knowledge products based on SCS SAP implementation communications strategy</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4D9DD98B" w14:textId="77777777" w:rsidR="00323051" w:rsidRPr="00323051" w:rsidRDefault="00323051" w:rsidP="00323051">
            <w:pPr>
              <w:rPr>
                <w:sz w:val="18"/>
                <w:szCs w:val="18"/>
                <w:lang w:val="en-GB" w:bidi="th-TH"/>
              </w:rPr>
            </w:pPr>
            <w:r w:rsidRPr="00323051">
              <w:rPr>
                <w:sz w:val="18"/>
                <w:szCs w:val="18"/>
                <w:lang w:val="en-GB" w:bidi="th-TH"/>
              </w:rPr>
              <w:t>Multi-media information and knowledge products published and accessible online</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3BAF92B2" w14:textId="77777777" w:rsidR="00323051" w:rsidRPr="00323051" w:rsidRDefault="00323051" w:rsidP="00323051">
            <w:pPr>
              <w:rPr>
                <w:sz w:val="18"/>
                <w:szCs w:val="18"/>
                <w:lang w:val="en-GB" w:bidi="th-TH"/>
              </w:rPr>
            </w:pPr>
            <w:r w:rsidRPr="00323051">
              <w:rPr>
                <w:sz w:val="18"/>
                <w:szCs w:val="18"/>
                <w:lang w:val="en-GB" w:bidi="th-TH"/>
              </w:rPr>
              <w:t>Sufficient creative input can be harnessed to produce products that have high impact on stakeholders</w:t>
            </w:r>
          </w:p>
        </w:tc>
      </w:tr>
      <w:tr w:rsidR="00323051" w:rsidRPr="00323051" w14:paraId="0E535326" w14:textId="77777777" w:rsidTr="004B053A">
        <w:tc>
          <w:tcPr>
            <w:tcW w:w="0" w:type="auto"/>
            <w:vMerge/>
            <w:tcBorders>
              <w:left w:val="single" w:sz="4" w:space="0" w:color="auto"/>
              <w:right w:val="single" w:sz="4" w:space="0" w:color="auto"/>
            </w:tcBorders>
            <w:vAlign w:val="center"/>
          </w:tcPr>
          <w:p w14:paraId="4025F4FC"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shd w:val="clear" w:color="auto" w:fill="auto"/>
          </w:tcPr>
          <w:p w14:paraId="0B3435DA"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6D02988D" w14:textId="77777777" w:rsidR="00323051" w:rsidRPr="00323051" w:rsidRDefault="00323051" w:rsidP="00323051">
            <w:pPr>
              <w:rPr>
                <w:sz w:val="18"/>
                <w:szCs w:val="18"/>
                <w:lang w:val="en-GB" w:bidi="th-TH"/>
              </w:rPr>
            </w:pPr>
            <w:r w:rsidRPr="00323051">
              <w:rPr>
                <w:sz w:val="18"/>
                <w:szCs w:val="18"/>
                <w:lang w:val="en-GB" w:bidi="th-TH"/>
              </w:rPr>
              <w:t>Status of knowledge tool development to support evidence-based coastal and marine management and spatial planning</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17A34772" w14:textId="77777777" w:rsidR="00323051" w:rsidRPr="00323051" w:rsidRDefault="00323051" w:rsidP="00323051">
            <w:pPr>
              <w:rPr>
                <w:sz w:val="18"/>
                <w:szCs w:val="18"/>
                <w:lang w:val="en-GB" w:bidi="th-TH"/>
              </w:rPr>
            </w:pPr>
            <w:r w:rsidRPr="00323051">
              <w:rPr>
                <w:sz w:val="18"/>
                <w:szCs w:val="18"/>
                <w:lang w:val="en-GB" w:bidi="th-TH"/>
              </w:rPr>
              <w:t>Transboundary coastal and marine mgmt. spatial planning constrained by lack of a regionally coordinated approach to harnessing sectorial expertise and knowledge</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6DF89B61" w14:textId="77777777" w:rsidR="00323051" w:rsidRPr="00323051" w:rsidRDefault="00323051" w:rsidP="00323051">
            <w:pPr>
              <w:rPr>
                <w:sz w:val="18"/>
                <w:szCs w:val="18"/>
                <w:lang w:val="en-GB" w:bidi="th-TH"/>
              </w:rPr>
            </w:pPr>
            <w:r w:rsidRPr="00323051">
              <w:rPr>
                <w:sz w:val="18"/>
                <w:szCs w:val="18"/>
                <w:lang w:val="en-GB" w:bidi="th-TH"/>
              </w:rPr>
              <w:t>3.4.2 Regionally appropriate knowledge tools developed to support decision-making and planning</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756DD691" w14:textId="77777777" w:rsidR="00323051" w:rsidRPr="00323051" w:rsidRDefault="00323051" w:rsidP="00323051">
            <w:pPr>
              <w:rPr>
                <w:sz w:val="18"/>
                <w:szCs w:val="18"/>
                <w:lang w:val="en-GB" w:bidi="th-TH"/>
              </w:rPr>
            </w:pPr>
            <w:r w:rsidRPr="00323051">
              <w:rPr>
                <w:sz w:val="18"/>
                <w:szCs w:val="18"/>
                <w:lang w:val="en-GB" w:bidi="th-TH"/>
              </w:rPr>
              <w:t>Published synthesis reports on: climate variability in coastal systems; hazards and coastal area planning; blue forests and livelihoods; and land and marine tenure and use designation</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11CD5C1C" w14:textId="77777777" w:rsidR="00323051" w:rsidRPr="00323051" w:rsidRDefault="00323051" w:rsidP="00323051">
            <w:pPr>
              <w:rPr>
                <w:sz w:val="18"/>
                <w:szCs w:val="18"/>
                <w:lang w:val="en-GB" w:bidi="th-TH"/>
              </w:rPr>
            </w:pPr>
            <w:r w:rsidRPr="00323051">
              <w:rPr>
                <w:sz w:val="18"/>
                <w:szCs w:val="18"/>
                <w:lang w:val="en-GB" w:bidi="th-TH"/>
              </w:rPr>
              <w:t>Limited scientific understanding of the role climate variability and anthropogenic induced change on the SCS marine basin may result in climate issues dominating scientific &amp; technical discussions</w:t>
            </w:r>
          </w:p>
        </w:tc>
      </w:tr>
      <w:tr w:rsidR="00323051" w:rsidRPr="00323051" w14:paraId="7DD9F58F" w14:textId="77777777" w:rsidTr="004B053A">
        <w:tc>
          <w:tcPr>
            <w:tcW w:w="0" w:type="auto"/>
            <w:vMerge/>
            <w:tcBorders>
              <w:left w:val="single" w:sz="4" w:space="0" w:color="auto"/>
              <w:right w:val="single" w:sz="4" w:space="0" w:color="auto"/>
            </w:tcBorders>
            <w:vAlign w:val="center"/>
          </w:tcPr>
          <w:p w14:paraId="2DA99C64"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shd w:val="clear" w:color="auto" w:fill="auto"/>
          </w:tcPr>
          <w:p w14:paraId="5EE17C05"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0B5FC7E7" w14:textId="77777777" w:rsidR="00323051" w:rsidRPr="00323051" w:rsidRDefault="00323051" w:rsidP="00323051">
            <w:pPr>
              <w:rPr>
                <w:sz w:val="18"/>
                <w:szCs w:val="18"/>
                <w:lang w:val="en-GB" w:bidi="th-TH"/>
              </w:rPr>
            </w:pPr>
            <w:r w:rsidRPr="00323051">
              <w:rPr>
                <w:sz w:val="18"/>
                <w:szCs w:val="18"/>
                <w:lang w:val="en-GB" w:bidi="th-TH"/>
              </w:rPr>
              <w:t>Number of users, volume of content accessed, and online visibility of the SCS website and associated databases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74849499" w14:textId="77777777" w:rsidR="00323051" w:rsidRPr="00323051" w:rsidRDefault="00323051" w:rsidP="00323051">
            <w:pPr>
              <w:rPr>
                <w:sz w:val="18"/>
                <w:szCs w:val="18"/>
                <w:lang w:val="en-GB" w:bidi="th-TH"/>
              </w:rPr>
            </w:pPr>
            <w:r w:rsidRPr="00323051">
              <w:rPr>
                <w:sz w:val="18"/>
                <w:szCs w:val="18"/>
                <w:lang w:val="en-GB" w:bidi="th-TH"/>
              </w:rPr>
              <w:t>Need for media platforms and targeted communications in support of efforts to harness support for inter-ministerial coordination and policy and planning elements of SAP implementation and revision</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1D45ADD1" w14:textId="77777777" w:rsidR="00323051" w:rsidRPr="00323051" w:rsidRDefault="00323051" w:rsidP="00323051">
            <w:pPr>
              <w:rPr>
                <w:sz w:val="18"/>
                <w:szCs w:val="18"/>
                <w:lang w:val="en-GB" w:bidi="th-TH"/>
              </w:rPr>
            </w:pPr>
            <w:r w:rsidRPr="00323051">
              <w:rPr>
                <w:sz w:val="18"/>
                <w:szCs w:val="18"/>
                <w:lang w:val="en-GB" w:bidi="th-TH"/>
              </w:rPr>
              <w:t>3.4.3 The SCS project web portal &lt;www.unepscs.org&gt; and associated regional databases online, updated and linked to IW-Learn and other GEF Knowledge management systems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1529E4B3" w14:textId="77777777" w:rsidR="00323051" w:rsidRPr="00323051" w:rsidRDefault="00323051" w:rsidP="00323051">
            <w:pPr>
              <w:rPr>
                <w:sz w:val="18"/>
                <w:szCs w:val="18"/>
                <w:lang w:val="en-GB" w:bidi="th-TH"/>
              </w:rPr>
            </w:pPr>
            <w:r w:rsidRPr="00323051">
              <w:rPr>
                <w:sz w:val="18"/>
                <w:szCs w:val="18"/>
                <w:lang w:val="en-GB" w:bidi="th-TH"/>
              </w:rPr>
              <w:t>Regional and national portals, GIS and meta-databses, repository of best practices, lessons learned and results accessible online via &lt;www.unepscs.org&gt;</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03375C3B" w14:textId="77777777" w:rsidR="00323051" w:rsidRPr="00323051" w:rsidRDefault="00323051" w:rsidP="00323051">
            <w:pPr>
              <w:rPr>
                <w:sz w:val="18"/>
                <w:szCs w:val="18"/>
                <w:lang w:val="en-GB" w:bidi="th-TH"/>
              </w:rPr>
            </w:pPr>
            <w:r w:rsidRPr="00323051">
              <w:rPr>
                <w:sz w:val="18"/>
                <w:szCs w:val="18"/>
                <w:lang w:val="en-GB" w:bidi="th-TH"/>
              </w:rPr>
              <w:t>Internet connectivity in national and regional offices is adequate to support the efficient online compilation and sharing of information and data</w:t>
            </w:r>
          </w:p>
        </w:tc>
      </w:tr>
      <w:tr w:rsidR="00323051" w:rsidRPr="00323051" w14:paraId="68E3AC2B" w14:textId="77777777" w:rsidTr="004B053A">
        <w:tc>
          <w:tcPr>
            <w:tcW w:w="0" w:type="auto"/>
            <w:vMerge/>
            <w:tcBorders>
              <w:left w:val="single" w:sz="4" w:space="0" w:color="auto"/>
              <w:right w:val="single" w:sz="4" w:space="0" w:color="auto"/>
            </w:tcBorders>
            <w:vAlign w:val="center"/>
          </w:tcPr>
          <w:p w14:paraId="2DAE5CA6" w14:textId="77777777" w:rsidR="00323051" w:rsidRPr="00323051" w:rsidRDefault="00323051" w:rsidP="00323051">
            <w:pPr>
              <w:rPr>
                <w:sz w:val="18"/>
                <w:szCs w:val="18"/>
                <w:lang w:val="en-GB" w:bidi="th-TH"/>
              </w:rPr>
            </w:pPr>
          </w:p>
        </w:tc>
        <w:tc>
          <w:tcPr>
            <w:tcW w:w="2025" w:type="dxa"/>
            <w:vMerge/>
            <w:tcBorders>
              <w:left w:val="single" w:sz="4" w:space="0" w:color="auto"/>
              <w:bottom w:val="single" w:sz="4" w:space="0" w:color="auto"/>
              <w:right w:val="single" w:sz="4" w:space="0" w:color="auto"/>
            </w:tcBorders>
            <w:shd w:val="clear" w:color="auto" w:fill="auto"/>
          </w:tcPr>
          <w:p w14:paraId="152513DD"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4A77CAAB" w14:textId="77777777" w:rsidR="00323051" w:rsidRPr="00323051" w:rsidRDefault="00323051" w:rsidP="00323051">
            <w:pPr>
              <w:rPr>
                <w:sz w:val="18"/>
                <w:szCs w:val="18"/>
                <w:lang w:val="en-GB" w:bidi="th-TH"/>
              </w:rPr>
            </w:pPr>
            <w:r w:rsidRPr="00323051">
              <w:rPr>
                <w:sz w:val="18"/>
                <w:szCs w:val="18"/>
                <w:lang w:val="en-GB" w:bidi="th-TH"/>
              </w:rPr>
              <w:t>Number of IW:LEARN experience notes publis</w:t>
            </w:r>
            <w:r w:rsidR="008600AE">
              <w:rPr>
                <w:sz w:val="18"/>
                <w:szCs w:val="18"/>
                <w:lang w:val="en-GB" w:bidi="th-TH"/>
              </w:rPr>
              <w:t>h</w:t>
            </w:r>
            <w:r w:rsidRPr="00323051">
              <w:rPr>
                <w:sz w:val="18"/>
                <w:szCs w:val="18"/>
                <w:lang w:val="en-GB" w:bidi="th-TH"/>
              </w:rPr>
              <w:t>ed</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70A6E39A" w14:textId="77777777" w:rsidR="00323051" w:rsidRPr="00323051" w:rsidRDefault="00323051" w:rsidP="00323051">
            <w:pPr>
              <w:rPr>
                <w:sz w:val="18"/>
                <w:szCs w:val="18"/>
                <w:lang w:val="en-GB" w:bidi="th-TH"/>
              </w:rPr>
            </w:pPr>
            <w:r w:rsidRPr="00323051">
              <w:rPr>
                <w:sz w:val="18"/>
                <w:szCs w:val="18"/>
                <w:lang w:val="en-GB" w:bidi="th-TH"/>
              </w:rPr>
              <w:t>Limited regional and global sharing of information on best practices and lessons learned from investments in the SCS despite for example publication of a complete Special Issue of an academic journal on the progress to date</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4D7670D9" w14:textId="77777777" w:rsidR="00323051" w:rsidRPr="00323051" w:rsidRDefault="00323051" w:rsidP="00323051">
            <w:pPr>
              <w:rPr>
                <w:sz w:val="18"/>
                <w:szCs w:val="18"/>
                <w:lang w:val="en-GB" w:bidi="th-TH"/>
              </w:rPr>
            </w:pPr>
            <w:r w:rsidRPr="00323051">
              <w:rPr>
                <w:sz w:val="18"/>
                <w:szCs w:val="18"/>
                <w:lang w:val="en-GB" w:bidi="th-TH"/>
              </w:rPr>
              <w:t>3.4.4 Active engagement with  GEF IW:LEARN [1% of project resources] including participation in IW conferences and 3 experience notes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53D40FDE" w14:textId="77777777" w:rsidR="00323051" w:rsidRPr="00323051" w:rsidRDefault="00323051" w:rsidP="00323051">
            <w:pPr>
              <w:rPr>
                <w:sz w:val="18"/>
                <w:szCs w:val="18"/>
                <w:lang w:val="en-GB" w:bidi="th-TH"/>
              </w:rPr>
            </w:pPr>
            <w:r w:rsidRPr="00323051">
              <w:rPr>
                <w:sz w:val="18"/>
                <w:szCs w:val="18"/>
                <w:lang w:val="en-GB" w:bidi="th-TH"/>
              </w:rPr>
              <w:t>Published experience notes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0971AC17" w14:textId="77777777" w:rsidR="00323051" w:rsidRPr="00323051" w:rsidRDefault="00323051" w:rsidP="00323051">
            <w:pPr>
              <w:rPr>
                <w:sz w:val="18"/>
                <w:szCs w:val="18"/>
                <w:lang w:val="en-GB" w:bidi="th-TH"/>
              </w:rPr>
            </w:pPr>
            <w:r w:rsidRPr="00323051">
              <w:rPr>
                <w:sz w:val="18"/>
                <w:szCs w:val="18"/>
                <w:lang w:val="en-GB" w:bidi="th-TH"/>
              </w:rPr>
              <w:t>Retention of national and regional level staff required to resource the documentation of experiences and lessons learned as IW:LEARN experience notes</w:t>
            </w:r>
          </w:p>
        </w:tc>
      </w:tr>
      <w:tr w:rsidR="00323051" w:rsidRPr="00323051" w14:paraId="0F5F951D" w14:textId="77777777" w:rsidTr="004B053A">
        <w:tc>
          <w:tcPr>
            <w:tcW w:w="0" w:type="auto"/>
            <w:vMerge/>
            <w:tcBorders>
              <w:left w:val="single" w:sz="4" w:space="0" w:color="auto"/>
              <w:right w:val="single" w:sz="4" w:space="0" w:color="auto"/>
            </w:tcBorders>
            <w:vAlign w:val="center"/>
          </w:tcPr>
          <w:p w14:paraId="0150E835" w14:textId="77777777" w:rsidR="00323051" w:rsidRPr="00323051" w:rsidRDefault="00323051" w:rsidP="00323051">
            <w:pPr>
              <w:rPr>
                <w:sz w:val="18"/>
                <w:szCs w:val="18"/>
                <w:lang w:val="en-GB" w:bidi="th-TH"/>
              </w:rPr>
            </w:pPr>
          </w:p>
        </w:tc>
        <w:tc>
          <w:tcPr>
            <w:tcW w:w="2025" w:type="dxa"/>
            <w:vMerge w:val="restart"/>
            <w:tcBorders>
              <w:top w:val="single" w:sz="4" w:space="0" w:color="auto"/>
              <w:left w:val="single" w:sz="4" w:space="0" w:color="auto"/>
              <w:right w:val="single" w:sz="4" w:space="0" w:color="auto"/>
            </w:tcBorders>
            <w:shd w:val="clear" w:color="auto" w:fill="auto"/>
          </w:tcPr>
          <w:p w14:paraId="17E8F307" w14:textId="77777777" w:rsidR="00323051" w:rsidRPr="00323051" w:rsidRDefault="00323051" w:rsidP="00323051">
            <w:pPr>
              <w:rPr>
                <w:sz w:val="18"/>
                <w:szCs w:val="18"/>
                <w:lang w:val="en-GB" w:bidi="th-TH"/>
              </w:rPr>
            </w:pPr>
            <w:r w:rsidRPr="00323051">
              <w:rPr>
                <w:sz w:val="18"/>
                <w:szCs w:val="18"/>
                <w:lang w:val="en-GB" w:bidi="th-TH"/>
              </w:rPr>
              <w:t>3.5 Agreed arrangements for strengthened regional cooperation in the management of the marine and coastal environment of the South China Sea</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5EC008BE" w14:textId="77777777" w:rsidR="00323051" w:rsidRPr="00323051" w:rsidRDefault="00323051" w:rsidP="00323051">
            <w:pPr>
              <w:rPr>
                <w:rFonts w:eastAsia="Calibri"/>
                <w:sz w:val="18"/>
                <w:szCs w:val="18"/>
              </w:rPr>
            </w:pPr>
            <w:r w:rsidRPr="00323051">
              <w:rPr>
                <w:rFonts w:eastAsia="Calibri"/>
                <w:sz w:val="18"/>
                <w:szCs w:val="18"/>
              </w:rPr>
              <w:t>Number of Regional Task Force meetings</w:t>
            </w:r>
          </w:p>
          <w:p w14:paraId="081C4505" w14:textId="77777777" w:rsidR="00323051" w:rsidRPr="00323051" w:rsidRDefault="00323051" w:rsidP="00323051">
            <w:pPr>
              <w:rPr>
                <w:rFonts w:eastAsia="Calibri"/>
                <w:sz w:val="18"/>
                <w:szCs w:val="18"/>
              </w:rPr>
            </w:pPr>
            <w:r w:rsidRPr="00323051">
              <w:rPr>
                <w:rFonts w:eastAsia="Calibri"/>
                <w:sz w:val="18"/>
                <w:szCs w:val="18"/>
              </w:rPr>
              <w:t>Continuity of participation of nationally nominated members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3F908079" w14:textId="77777777" w:rsidR="00323051" w:rsidRPr="00323051" w:rsidRDefault="00323051" w:rsidP="00323051">
            <w:pPr>
              <w:rPr>
                <w:rFonts w:eastAsia="Calibri"/>
                <w:sz w:val="18"/>
                <w:szCs w:val="18"/>
              </w:rPr>
            </w:pPr>
            <w:r w:rsidRPr="00323051">
              <w:rPr>
                <w:rFonts w:eastAsia="Calibri"/>
                <w:sz w:val="18"/>
                <w:szCs w:val="18"/>
              </w:rPr>
              <w:t>Regional Task Force on Legal Matters established through SCS project but presently not functioning</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259D6984" w14:textId="77777777" w:rsidR="00323051" w:rsidRPr="00323051" w:rsidRDefault="00323051" w:rsidP="00323051">
            <w:pPr>
              <w:rPr>
                <w:sz w:val="18"/>
                <w:szCs w:val="18"/>
                <w:lang w:val="en-GB" w:bidi="th-TH"/>
              </w:rPr>
            </w:pPr>
            <w:r w:rsidRPr="00323051">
              <w:rPr>
                <w:sz w:val="18"/>
                <w:szCs w:val="18"/>
                <w:lang w:val="en-GB" w:bidi="th-TH"/>
              </w:rPr>
              <w:t>3.5.1 Biannual meetings of the Regional Task Force on Legal Matters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22E5B257" w14:textId="77777777" w:rsidR="00323051" w:rsidRPr="00323051" w:rsidRDefault="00323051" w:rsidP="00323051">
            <w:pPr>
              <w:rPr>
                <w:sz w:val="18"/>
                <w:szCs w:val="18"/>
                <w:lang w:val="en-GB" w:bidi="th-TH"/>
              </w:rPr>
            </w:pPr>
            <w:r w:rsidRPr="00323051">
              <w:rPr>
                <w:sz w:val="18"/>
                <w:szCs w:val="18"/>
                <w:lang w:val="en-GB" w:bidi="th-TH"/>
              </w:rPr>
              <w:t xml:space="preserve">Reports of the meetings of the Regional Task Force on Legal Matters </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60F76EB9" w14:textId="77777777" w:rsidR="00323051" w:rsidRPr="00323051" w:rsidRDefault="00323051" w:rsidP="00323051">
            <w:pPr>
              <w:rPr>
                <w:sz w:val="18"/>
                <w:szCs w:val="18"/>
                <w:lang w:val="en-GB" w:bidi="th-TH"/>
              </w:rPr>
            </w:pPr>
            <w:r w:rsidRPr="00323051">
              <w:rPr>
                <w:sz w:val="18"/>
                <w:szCs w:val="18"/>
                <w:lang w:val="en-GB" w:bidi="th-TH"/>
              </w:rPr>
              <w:t>National government commitment to ensure continuity of participation of nominated members</w:t>
            </w:r>
          </w:p>
        </w:tc>
      </w:tr>
      <w:tr w:rsidR="00323051" w:rsidRPr="00323051" w14:paraId="2B72ABBB" w14:textId="77777777" w:rsidTr="004B053A">
        <w:tc>
          <w:tcPr>
            <w:tcW w:w="0" w:type="auto"/>
            <w:vMerge/>
            <w:tcBorders>
              <w:left w:val="single" w:sz="4" w:space="0" w:color="auto"/>
              <w:right w:val="single" w:sz="4" w:space="0" w:color="auto"/>
            </w:tcBorders>
            <w:vAlign w:val="center"/>
          </w:tcPr>
          <w:p w14:paraId="60E82E35"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shd w:val="clear" w:color="auto" w:fill="auto"/>
          </w:tcPr>
          <w:p w14:paraId="46419BB1"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5DFEB97A" w14:textId="77777777" w:rsidR="00323051" w:rsidRPr="00323051" w:rsidRDefault="00323051" w:rsidP="00323051">
            <w:pPr>
              <w:rPr>
                <w:rFonts w:eastAsia="Calibri"/>
                <w:sz w:val="18"/>
                <w:szCs w:val="18"/>
              </w:rPr>
            </w:pPr>
            <w:r w:rsidRPr="00323051">
              <w:rPr>
                <w:rFonts w:eastAsia="Calibri"/>
                <w:sz w:val="18"/>
                <w:szCs w:val="18"/>
              </w:rPr>
              <w:t>Number of National Working Group meetings</w:t>
            </w:r>
          </w:p>
          <w:p w14:paraId="101E77E8" w14:textId="77777777" w:rsidR="00323051" w:rsidRPr="00323051" w:rsidRDefault="00323051" w:rsidP="00323051">
            <w:pPr>
              <w:rPr>
                <w:rFonts w:eastAsia="Calibri"/>
                <w:sz w:val="18"/>
                <w:szCs w:val="18"/>
              </w:rPr>
            </w:pPr>
            <w:r w:rsidRPr="00323051">
              <w:rPr>
                <w:rFonts w:eastAsia="Calibri"/>
                <w:sz w:val="18"/>
                <w:szCs w:val="18"/>
              </w:rPr>
              <w:t>Continuity of participation of nationally nominated members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7BEAB90C" w14:textId="77777777" w:rsidR="00323051" w:rsidRPr="00323051" w:rsidRDefault="00323051" w:rsidP="00323051">
            <w:pPr>
              <w:rPr>
                <w:rFonts w:eastAsia="Calibri"/>
                <w:sz w:val="18"/>
                <w:szCs w:val="18"/>
              </w:rPr>
            </w:pPr>
            <w:r w:rsidRPr="00323051">
              <w:rPr>
                <w:rFonts w:eastAsia="Calibri"/>
                <w:sz w:val="18"/>
                <w:szCs w:val="18"/>
              </w:rPr>
              <w:t>National Working Groups established through SCS project but presently not functioning</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76CA0348" w14:textId="77777777" w:rsidR="00323051" w:rsidRPr="00323051" w:rsidRDefault="00323051" w:rsidP="00323051">
            <w:pPr>
              <w:rPr>
                <w:sz w:val="18"/>
                <w:szCs w:val="18"/>
                <w:lang w:val="en-GB" w:bidi="th-TH"/>
              </w:rPr>
            </w:pPr>
            <w:r w:rsidRPr="00323051">
              <w:rPr>
                <w:sz w:val="18"/>
                <w:szCs w:val="18"/>
                <w:lang w:val="en-GB" w:bidi="th-TH"/>
              </w:rPr>
              <w:t>3.5.2 National Working Groups on established and functional</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3EECE029" w14:textId="77777777" w:rsidR="00323051" w:rsidRPr="00323051" w:rsidRDefault="00323051" w:rsidP="00323051">
            <w:pPr>
              <w:rPr>
                <w:sz w:val="18"/>
                <w:szCs w:val="18"/>
                <w:lang w:val="en-GB" w:bidi="th-TH"/>
              </w:rPr>
            </w:pPr>
            <w:r w:rsidRPr="00323051">
              <w:rPr>
                <w:sz w:val="18"/>
                <w:szCs w:val="18"/>
                <w:lang w:val="en-GB" w:bidi="th-TH"/>
              </w:rPr>
              <w:t>Reports of the meetings of National Working Groups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20605A3D" w14:textId="77777777" w:rsidR="00323051" w:rsidRPr="00323051" w:rsidRDefault="00323051" w:rsidP="00323051">
            <w:pPr>
              <w:rPr>
                <w:sz w:val="18"/>
                <w:szCs w:val="18"/>
                <w:lang w:val="en-GB" w:bidi="th-TH"/>
              </w:rPr>
            </w:pPr>
            <w:r w:rsidRPr="00323051">
              <w:rPr>
                <w:sz w:val="18"/>
                <w:szCs w:val="18"/>
                <w:lang w:val="en-GB" w:bidi="th-TH"/>
              </w:rPr>
              <w:t>Adequate incentive structures are in place nationally to secure adequate expertise to consider matters relating to cooperation</w:t>
            </w:r>
          </w:p>
        </w:tc>
      </w:tr>
      <w:tr w:rsidR="00323051" w:rsidRPr="00323051" w14:paraId="48FC49F3" w14:textId="77777777" w:rsidTr="004B053A">
        <w:tc>
          <w:tcPr>
            <w:tcW w:w="0" w:type="auto"/>
            <w:vMerge/>
            <w:tcBorders>
              <w:left w:val="single" w:sz="4" w:space="0" w:color="auto"/>
              <w:right w:val="single" w:sz="4" w:space="0" w:color="auto"/>
            </w:tcBorders>
            <w:vAlign w:val="center"/>
          </w:tcPr>
          <w:p w14:paraId="6932E90B"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shd w:val="clear" w:color="auto" w:fill="auto"/>
          </w:tcPr>
          <w:p w14:paraId="6123291B"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1CECD00B" w14:textId="77777777" w:rsidR="00323051" w:rsidRPr="00323051" w:rsidRDefault="00323051" w:rsidP="00323051">
            <w:pPr>
              <w:rPr>
                <w:rFonts w:eastAsia="Calibri"/>
                <w:sz w:val="18"/>
                <w:szCs w:val="18"/>
              </w:rPr>
            </w:pPr>
            <w:r w:rsidRPr="00323051">
              <w:rPr>
                <w:rFonts w:eastAsia="Calibri"/>
                <w:sz w:val="18"/>
                <w:szCs w:val="18"/>
              </w:rPr>
              <w:t>Status of agreement on identified process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43F60AAA" w14:textId="77777777" w:rsidR="00323051" w:rsidRPr="00323051" w:rsidRDefault="00323051" w:rsidP="00323051">
            <w:pPr>
              <w:rPr>
                <w:rFonts w:eastAsia="Calibri"/>
                <w:sz w:val="18"/>
                <w:szCs w:val="18"/>
              </w:rPr>
            </w:pPr>
            <w:r w:rsidRPr="00323051">
              <w:rPr>
                <w:rFonts w:eastAsia="Calibri"/>
                <w:sz w:val="18"/>
                <w:szCs w:val="18"/>
              </w:rPr>
              <w:t>Framework process developed but requires national and regional consultation</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5103FF56" w14:textId="77777777" w:rsidR="00323051" w:rsidRPr="00323051" w:rsidRDefault="00323051" w:rsidP="00323051">
            <w:pPr>
              <w:rPr>
                <w:sz w:val="18"/>
                <w:szCs w:val="18"/>
                <w:lang w:val="en-GB" w:bidi="th-TH"/>
              </w:rPr>
            </w:pPr>
            <w:r w:rsidRPr="00323051">
              <w:rPr>
                <w:sz w:val="18"/>
                <w:szCs w:val="18"/>
                <w:lang w:val="en-GB" w:bidi="th-TH"/>
              </w:rPr>
              <w:t>3.5.3 Process for development of a proposed arrangement for regional cooperation defined and planned</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21676F72" w14:textId="77777777" w:rsidR="00323051" w:rsidRPr="00323051" w:rsidRDefault="00323051" w:rsidP="00323051">
            <w:pPr>
              <w:rPr>
                <w:sz w:val="18"/>
                <w:szCs w:val="18"/>
                <w:lang w:val="en-GB" w:bidi="th-TH"/>
              </w:rPr>
            </w:pPr>
            <w:r w:rsidRPr="00323051">
              <w:rPr>
                <w:sz w:val="18"/>
                <w:szCs w:val="18"/>
                <w:lang w:val="en-GB" w:bidi="th-TH"/>
              </w:rPr>
              <w:t>Report outlining agreed process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182B1CCB" w14:textId="77777777" w:rsidR="00323051" w:rsidRPr="00323051" w:rsidRDefault="00323051" w:rsidP="00323051">
            <w:pPr>
              <w:rPr>
                <w:sz w:val="18"/>
                <w:szCs w:val="18"/>
                <w:lang w:val="en-GB" w:bidi="th-TH"/>
              </w:rPr>
            </w:pPr>
            <w:r w:rsidRPr="00323051">
              <w:rPr>
                <w:sz w:val="18"/>
                <w:szCs w:val="18"/>
                <w:lang w:val="en-GB" w:bidi="th-TH"/>
              </w:rPr>
              <w:t>Adequate planning and facilitation to support consensus building</w:t>
            </w:r>
          </w:p>
        </w:tc>
      </w:tr>
      <w:tr w:rsidR="00323051" w:rsidRPr="00323051" w14:paraId="23D3F436" w14:textId="77777777" w:rsidTr="004B053A">
        <w:tc>
          <w:tcPr>
            <w:tcW w:w="0" w:type="auto"/>
            <w:vMerge/>
            <w:tcBorders>
              <w:left w:val="single" w:sz="4" w:space="0" w:color="auto"/>
              <w:right w:val="single" w:sz="4" w:space="0" w:color="auto"/>
            </w:tcBorders>
            <w:vAlign w:val="center"/>
          </w:tcPr>
          <w:p w14:paraId="11ADBD95" w14:textId="77777777" w:rsidR="00323051" w:rsidRPr="00323051" w:rsidRDefault="00323051" w:rsidP="00323051">
            <w:pPr>
              <w:rPr>
                <w:sz w:val="18"/>
                <w:szCs w:val="18"/>
                <w:lang w:val="en-GB" w:bidi="th-TH"/>
              </w:rPr>
            </w:pPr>
          </w:p>
        </w:tc>
        <w:tc>
          <w:tcPr>
            <w:tcW w:w="2025" w:type="dxa"/>
            <w:vMerge/>
            <w:tcBorders>
              <w:left w:val="single" w:sz="4" w:space="0" w:color="auto"/>
              <w:right w:val="single" w:sz="4" w:space="0" w:color="auto"/>
            </w:tcBorders>
            <w:shd w:val="clear" w:color="auto" w:fill="auto"/>
          </w:tcPr>
          <w:p w14:paraId="514EA97C"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51C8E844" w14:textId="77777777" w:rsidR="00323051" w:rsidRPr="00323051" w:rsidRDefault="00323051" w:rsidP="00323051">
            <w:pPr>
              <w:rPr>
                <w:rFonts w:eastAsia="Calibri"/>
                <w:sz w:val="18"/>
                <w:szCs w:val="18"/>
              </w:rPr>
            </w:pPr>
            <w:r w:rsidRPr="00323051">
              <w:rPr>
                <w:rFonts w:eastAsia="Calibri"/>
                <w:sz w:val="18"/>
                <w:szCs w:val="18"/>
              </w:rPr>
              <w:t>Extent of national stakeholder input to drafting phase of instrument for cooperation</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238359F6" w14:textId="77777777" w:rsidR="00323051" w:rsidRPr="00323051" w:rsidRDefault="00323051" w:rsidP="00323051">
            <w:pPr>
              <w:rPr>
                <w:rFonts w:eastAsia="Calibri"/>
                <w:sz w:val="18"/>
                <w:szCs w:val="18"/>
              </w:rPr>
            </w:pPr>
            <w:r w:rsidRPr="00323051">
              <w:rPr>
                <w:rFonts w:eastAsia="Calibri"/>
                <w:sz w:val="18"/>
                <w:szCs w:val="18"/>
              </w:rPr>
              <w:t>SAP formulation benefit</w:t>
            </w:r>
            <w:r w:rsidR="005D3DD5">
              <w:rPr>
                <w:rFonts w:eastAsia="Calibri"/>
                <w:sz w:val="18"/>
                <w:szCs w:val="18"/>
              </w:rPr>
              <w:t>ed</w:t>
            </w:r>
            <w:r w:rsidRPr="00323051">
              <w:rPr>
                <w:rFonts w:eastAsia="Calibri"/>
                <w:sz w:val="18"/>
                <w:szCs w:val="18"/>
              </w:rPr>
              <w:t xml:space="preserve"> from an emphasis on consensual planning and decision making</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011F035E" w14:textId="77777777" w:rsidR="00323051" w:rsidRPr="00323051" w:rsidRDefault="00323051" w:rsidP="00323051">
            <w:pPr>
              <w:rPr>
                <w:sz w:val="18"/>
                <w:szCs w:val="18"/>
                <w:lang w:val="en-GB" w:bidi="th-TH"/>
              </w:rPr>
            </w:pPr>
            <w:r w:rsidRPr="00323051">
              <w:rPr>
                <w:sz w:val="18"/>
                <w:szCs w:val="18"/>
                <w:lang w:val="en-GB" w:bidi="th-TH"/>
              </w:rPr>
              <w:t>3.5.4 National stakeholder inputs to drafting of instrument for strengthened regional cooperation facilitated via national consultations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1DD0EE30" w14:textId="77777777" w:rsidR="00323051" w:rsidRPr="00323051" w:rsidRDefault="00323051" w:rsidP="00323051">
            <w:pPr>
              <w:rPr>
                <w:sz w:val="18"/>
                <w:szCs w:val="18"/>
                <w:lang w:val="en-GB" w:bidi="th-TH"/>
              </w:rPr>
            </w:pPr>
            <w:r w:rsidRPr="00323051">
              <w:rPr>
                <w:sz w:val="18"/>
                <w:szCs w:val="18"/>
                <w:lang w:val="en-GB" w:bidi="th-TH"/>
              </w:rPr>
              <w:t>Reports of national stakeholder consultation process</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734E7463" w14:textId="77777777" w:rsidR="00323051" w:rsidRPr="00323051" w:rsidRDefault="00323051" w:rsidP="00323051">
            <w:pPr>
              <w:rPr>
                <w:sz w:val="18"/>
                <w:szCs w:val="18"/>
                <w:lang w:val="en-GB" w:bidi="th-TH"/>
              </w:rPr>
            </w:pPr>
            <w:r w:rsidRPr="00323051">
              <w:rPr>
                <w:sz w:val="18"/>
                <w:szCs w:val="18"/>
                <w:lang w:val="en-GB" w:bidi="th-TH"/>
              </w:rPr>
              <w:t>Adequate planning and facilitation to elicit national inputs required to support consensus building</w:t>
            </w:r>
          </w:p>
        </w:tc>
      </w:tr>
      <w:tr w:rsidR="00323051" w:rsidRPr="00323051" w14:paraId="5410DB00" w14:textId="77777777" w:rsidTr="004B053A">
        <w:tc>
          <w:tcPr>
            <w:tcW w:w="0" w:type="auto"/>
            <w:vMerge/>
            <w:tcBorders>
              <w:left w:val="single" w:sz="4" w:space="0" w:color="auto"/>
              <w:right w:val="single" w:sz="4" w:space="0" w:color="auto"/>
            </w:tcBorders>
            <w:vAlign w:val="center"/>
          </w:tcPr>
          <w:p w14:paraId="154C8F9D" w14:textId="77777777" w:rsidR="00323051" w:rsidRPr="00323051" w:rsidRDefault="00323051" w:rsidP="00323051">
            <w:pPr>
              <w:rPr>
                <w:sz w:val="18"/>
                <w:szCs w:val="18"/>
                <w:lang w:val="en-GB" w:bidi="th-TH"/>
              </w:rPr>
            </w:pPr>
          </w:p>
        </w:tc>
        <w:tc>
          <w:tcPr>
            <w:tcW w:w="2025" w:type="dxa"/>
            <w:vMerge/>
            <w:tcBorders>
              <w:left w:val="single" w:sz="4" w:space="0" w:color="auto"/>
              <w:bottom w:val="single" w:sz="4" w:space="0" w:color="auto"/>
              <w:right w:val="single" w:sz="4" w:space="0" w:color="auto"/>
            </w:tcBorders>
            <w:shd w:val="clear" w:color="auto" w:fill="auto"/>
          </w:tcPr>
          <w:p w14:paraId="352E4544" w14:textId="77777777" w:rsidR="00323051" w:rsidRPr="00323051" w:rsidRDefault="00323051" w:rsidP="00323051">
            <w:pPr>
              <w:rPr>
                <w:sz w:val="18"/>
                <w:szCs w:val="18"/>
                <w:lang w:val="en-GB" w:bidi="th-TH"/>
              </w:rPr>
            </w:pP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4B240344" w14:textId="77777777" w:rsidR="00323051" w:rsidRPr="00323051" w:rsidRDefault="00323051" w:rsidP="00323051">
            <w:pPr>
              <w:rPr>
                <w:rFonts w:eastAsia="Calibri"/>
                <w:sz w:val="18"/>
                <w:szCs w:val="18"/>
              </w:rPr>
            </w:pPr>
            <w:r w:rsidRPr="00323051">
              <w:rPr>
                <w:rFonts w:eastAsia="Calibri"/>
                <w:sz w:val="18"/>
                <w:szCs w:val="18"/>
              </w:rPr>
              <w:t>Status of adoption of the instrument</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3F9E1F12" w14:textId="77777777" w:rsidR="00323051" w:rsidRPr="00323051" w:rsidRDefault="00323051" w:rsidP="00323051">
            <w:pPr>
              <w:rPr>
                <w:rFonts w:eastAsia="Calibri"/>
                <w:sz w:val="18"/>
                <w:szCs w:val="18"/>
              </w:rPr>
            </w:pPr>
            <w:r w:rsidRPr="00323051">
              <w:rPr>
                <w:rFonts w:eastAsia="Calibri"/>
                <w:sz w:val="18"/>
                <w:szCs w:val="18"/>
              </w:rPr>
              <w:t>Participating countries agreed in the SAP, and in endorsing the PIF for this project, to explore the development of an instrument for strengthened regional cooperation</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301AC770" w14:textId="77777777" w:rsidR="00323051" w:rsidRPr="00323051" w:rsidRDefault="00323051" w:rsidP="00323051">
            <w:pPr>
              <w:rPr>
                <w:sz w:val="18"/>
                <w:szCs w:val="18"/>
                <w:lang w:val="en-GB" w:bidi="th-TH"/>
              </w:rPr>
            </w:pPr>
            <w:r w:rsidRPr="00323051">
              <w:rPr>
                <w:sz w:val="18"/>
                <w:szCs w:val="18"/>
                <w:lang w:val="en-GB" w:bidi="th-TH"/>
              </w:rPr>
              <w:t>3.5.5 Adopted instrument for strengthened regional cooperation</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0E61DB9F" w14:textId="77777777" w:rsidR="00323051" w:rsidRPr="00323051" w:rsidRDefault="00323051" w:rsidP="00323051">
            <w:pPr>
              <w:rPr>
                <w:sz w:val="18"/>
                <w:szCs w:val="18"/>
                <w:lang w:val="en-GB" w:bidi="th-TH"/>
              </w:rPr>
            </w:pPr>
            <w:r w:rsidRPr="00323051">
              <w:rPr>
                <w:sz w:val="18"/>
                <w:szCs w:val="18"/>
                <w:lang w:val="en-GB" w:bidi="th-TH"/>
              </w:rPr>
              <w:t>Adopted instrument</w:t>
            </w:r>
          </w:p>
        </w:tc>
        <w:tc>
          <w:tcPr>
            <w:tcW w:w="2024" w:type="dxa"/>
            <w:tcBorders>
              <w:top w:val="single" w:sz="4" w:space="0" w:color="auto"/>
              <w:left w:val="single" w:sz="4" w:space="0" w:color="auto"/>
              <w:bottom w:val="single" w:sz="4" w:space="0" w:color="auto"/>
              <w:right w:val="single" w:sz="4" w:space="0" w:color="auto"/>
            </w:tcBorders>
            <w:shd w:val="clear" w:color="auto" w:fill="auto"/>
          </w:tcPr>
          <w:p w14:paraId="5B33249F" w14:textId="77777777" w:rsidR="00323051" w:rsidRPr="00323051" w:rsidRDefault="00323051" w:rsidP="00323051">
            <w:pPr>
              <w:rPr>
                <w:sz w:val="18"/>
                <w:szCs w:val="18"/>
                <w:lang w:val="en-GB" w:bidi="th-TH"/>
              </w:rPr>
            </w:pPr>
            <w:r w:rsidRPr="00323051">
              <w:rPr>
                <w:sz w:val="18"/>
                <w:szCs w:val="18"/>
                <w:lang w:val="en-GB" w:bidi="th-TH"/>
              </w:rPr>
              <w:t>Government commitment to cooperate on matters relating to coastal and marine environmental management in the South China Sea basin</w:t>
            </w:r>
          </w:p>
        </w:tc>
      </w:tr>
    </w:tbl>
    <w:p w14:paraId="25AE76C7" w14:textId="77777777" w:rsidR="00323051" w:rsidRPr="00323051" w:rsidRDefault="00323051" w:rsidP="00323051">
      <w:pPr>
        <w:spacing w:after="120"/>
      </w:pPr>
    </w:p>
    <w:p w14:paraId="310F79B9" w14:textId="77777777" w:rsidR="00323051" w:rsidRDefault="00323051" w:rsidP="00323051">
      <w:pPr>
        <w:spacing w:after="120"/>
        <w:outlineLvl w:val="1"/>
        <w:rPr>
          <w:b/>
          <w:sz w:val="22"/>
          <w:szCs w:val="22"/>
          <w:lang w:val="en-GB"/>
        </w:rPr>
        <w:sectPr w:rsidR="00323051" w:rsidSect="00064925">
          <w:pgSz w:w="15840" w:h="12240" w:orient="landscape" w:code="1"/>
          <w:pgMar w:top="1584" w:right="1440" w:bottom="1584" w:left="1440" w:header="706" w:footer="706" w:gutter="0"/>
          <w:cols w:space="708"/>
          <w:docGrid w:linePitch="360"/>
        </w:sectPr>
      </w:pPr>
    </w:p>
    <w:p w14:paraId="39BD8859" w14:textId="77777777" w:rsidR="00323051" w:rsidRDefault="00323051" w:rsidP="00323051">
      <w:pPr>
        <w:spacing w:after="120"/>
        <w:outlineLvl w:val="1"/>
        <w:rPr>
          <w:b/>
          <w:sz w:val="22"/>
          <w:szCs w:val="22"/>
          <w:lang w:val="en-GB"/>
        </w:rPr>
      </w:pPr>
    </w:p>
    <w:p w14:paraId="37248584" w14:textId="77777777" w:rsidR="00AF3581" w:rsidRPr="00AF3581" w:rsidRDefault="00F07F81" w:rsidP="00AF3581">
      <w:pPr>
        <w:spacing w:after="120"/>
        <w:jc w:val="center"/>
        <w:outlineLvl w:val="1"/>
        <w:rPr>
          <w:b/>
          <w:sz w:val="22"/>
          <w:szCs w:val="22"/>
          <w:lang w:val="en-GB"/>
        </w:rPr>
      </w:pPr>
      <w:bookmarkStart w:id="105" w:name="_Toc209432676"/>
      <w:r>
        <w:rPr>
          <w:b/>
          <w:sz w:val="22"/>
          <w:szCs w:val="22"/>
          <w:lang w:val="en-GB"/>
        </w:rPr>
        <w:t>Appendix 5:</w:t>
      </w:r>
      <w:r>
        <w:rPr>
          <w:b/>
          <w:sz w:val="22"/>
          <w:szCs w:val="22"/>
          <w:lang w:val="en-GB"/>
        </w:rPr>
        <w:tab/>
        <w:t>Workplan and timetable</w:t>
      </w:r>
      <w:bookmarkEnd w:id="105"/>
    </w:p>
    <w:p w14:paraId="0F22E1DD" w14:textId="77777777" w:rsidR="00AF3581" w:rsidRPr="00770FB2" w:rsidRDefault="00AF3581" w:rsidP="00AF3581">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3301"/>
        <w:gridCol w:w="438"/>
        <w:gridCol w:w="438"/>
        <w:gridCol w:w="438"/>
        <w:gridCol w:w="437"/>
        <w:gridCol w:w="437"/>
        <w:gridCol w:w="437"/>
        <w:gridCol w:w="437"/>
        <w:gridCol w:w="437"/>
        <w:gridCol w:w="437"/>
        <w:gridCol w:w="437"/>
        <w:gridCol w:w="438"/>
        <w:gridCol w:w="438"/>
        <w:gridCol w:w="438"/>
        <w:gridCol w:w="438"/>
        <w:gridCol w:w="438"/>
        <w:gridCol w:w="438"/>
        <w:gridCol w:w="438"/>
        <w:gridCol w:w="438"/>
        <w:gridCol w:w="438"/>
        <w:gridCol w:w="438"/>
      </w:tblGrid>
      <w:tr w:rsidR="00AF3581" w:rsidRPr="00506303" w14:paraId="6B70DFC8" w14:textId="77777777" w:rsidTr="00506303">
        <w:trPr>
          <w:tblHeader/>
        </w:trPr>
        <w:tc>
          <w:tcPr>
            <w:tcW w:w="944" w:type="dxa"/>
            <w:shd w:val="clear" w:color="auto" w:fill="auto"/>
          </w:tcPr>
          <w:p w14:paraId="483F84A5" w14:textId="77777777" w:rsidR="00AF3581" w:rsidRPr="00506303" w:rsidRDefault="00AF3581" w:rsidP="0067543B">
            <w:pPr>
              <w:rPr>
                <w:sz w:val="18"/>
                <w:szCs w:val="18"/>
              </w:rPr>
            </w:pPr>
          </w:p>
        </w:tc>
        <w:tc>
          <w:tcPr>
            <w:tcW w:w="3776" w:type="dxa"/>
            <w:shd w:val="clear" w:color="auto" w:fill="auto"/>
          </w:tcPr>
          <w:p w14:paraId="47D091F8" w14:textId="77777777" w:rsidR="00AF3581" w:rsidRPr="00506303" w:rsidRDefault="00AF3581" w:rsidP="0067543B">
            <w:pPr>
              <w:rPr>
                <w:sz w:val="18"/>
                <w:szCs w:val="18"/>
              </w:rPr>
            </w:pPr>
          </w:p>
        </w:tc>
        <w:tc>
          <w:tcPr>
            <w:tcW w:w="1888" w:type="dxa"/>
            <w:gridSpan w:val="4"/>
            <w:shd w:val="clear" w:color="auto" w:fill="auto"/>
          </w:tcPr>
          <w:p w14:paraId="277CC3BE" w14:textId="77777777" w:rsidR="00AF3581" w:rsidRPr="00506303" w:rsidRDefault="00AF3581" w:rsidP="00506303">
            <w:pPr>
              <w:jc w:val="center"/>
              <w:rPr>
                <w:b/>
                <w:sz w:val="18"/>
                <w:szCs w:val="18"/>
              </w:rPr>
            </w:pPr>
            <w:r w:rsidRPr="00506303">
              <w:rPr>
                <w:b/>
                <w:sz w:val="18"/>
                <w:szCs w:val="18"/>
              </w:rPr>
              <w:t>Year 1</w:t>
            </w:r>
          </w:p>
        </w:tc>
        <w:tc>
          <w:tcPr>
            <w:tcW w:w="1888" w:type="dxa"/>
            <w:gridSpan w:val="4"/>
            <w:shd w:val="clear" w:color="auto" w:fill="auto"/>
          </w:tcPr>
          <w:p w14:paraId="786E1208" w14:textId="77777777" w:rsidR="00AF3581" w:rsidRPr="00506303" w:rsidRDefault="00AF3581" w:rsidP="00506303">
            <w:pPr>
              <w:jc w:val="center"/>
              <w:rPr>
                <w:b/>
                <w:sz w:val="18"/>
                <w:szCs w:val="18"/>
              </w:rPr>
            </w:pPr>
            <w:r w:rsidRPr="00506303">
              <w:rPr>
                <w:b/>
                <w:sz w:val="18"/>
                <w:szCs w:val="18"/>
              </w:rPr>
              <w:t>Year 2</w:t>
            </w:r>
          </w:p>
        </w:tc>
        <w:tc>
          <w:tcPr>
            <w:tcW w:w="1890" w:type="dxa"/>
            <w:gridSpan w:val="4"/>
            <w:shd w:val="clear" w:color="auto" w:fill="auto"/>
          </w:tcPr>
          <w:p w14:paraId="31B6BE15" w14:textId="77777777" w:rsidR="00AF3581" w:rsidRPr="00506303" w:rsidRDefault="00AF3581" w:rsidP="00506303">
            <w:pPr>
              <w:jc w:val="center"/>
              <w:rPr>
                <w:b/>
                <w:sz w:val="18"/>
                <w:szCs w:val="18"/>
              </w:rPr>
            </w:pPr>
            <w:r w:rsidRPr="00506303">
              <w:rPr>
                <w:b/>
                <w:sz w:val="18"/>
                <w:szCs w:val="18"/>
              </w:rPr>
              <w:t>Year 3</w:t>
            </w:r>
          </w:p>
        </w:tc>
        <w:tc>
          <w:tcPr>
            <w:tcW w:w="1892" w:type="dxa"/>
            <w:gridSpan w:val="4"/>
            <w:shd w:val="clear" w:color="auto" w:fill="auto"/>
          </w:tcPr>
          <w:p w14:paraId="4AA70B2A" w14:textId="77777777" w:rsidR="00AF3581" w:rsidRPr="00506303" w:rsidRDefault="00AF3581" w:rsidP="00506303">
            <w:pPr>
              <w:jc w:val="center"/>
              <w:rPr>
                <w:b/>
                <w:sz w:val="18"/>
                <w:szCs w:val="18"/>
              </w:rPr>
            </w:pPr>
            <w:r w:rsidRPr="00506303">
              <w:rPr>
                <w:b/>
                <w:sz w:val="18"/>
                <w:szCs w:val="18"/>
              </w:rPr>
              <w:t>Year 4</w:t>
            </w:r>
          </w:p>
        </w:tc>
        <w:tc>
          <w:tcPr>
            <w:tcW w:w="1892" w:type="dxa"/>
            <w:gridSpan w:val="4"/>
            <w:shd w:val="clear" w:color="auto" w:fill="auto"/>
          </w:tcPr>
          <w:p w14:paraId="05641471" w14:textId="77777777" w:rsidR="00AF3581" w:rsidRPr="00506303" w:rsidRDefault="00AF3581" w:rsidP="00506303">
            <w:pPr>
              <w:jc w:val="center"/>
              <w:rPr>
                <w:b/>
                <w:sz w:val="18"/>
                <w:szCs w:val="18"/>
              </w:rPr>
            </w:pPr>
            <w:r w:rsidRPr="00506303">
              <w:rPr>
                <w:b/>
                <w:sz w:val="18"/>
                <w:szCs w:val="18"/>
              </w:rPr>
              <w:t>Year 5</w:t>
            </w:r>
          </w:p>
        </w:tc>
      </w:tr>
      <w:tr w:rsidR="00AF3581" w:rsidRPr="00506303" w14:paraId="0BD62394" w14:textId="77777777" w:rsidTr="00506303">
        <w:trPr>
          <w:tblHeader/>
        </w:trPr>
        <w:tc>
          <w:tcPr>
            <w:tcW w:w="944" w:type="dxa"/>
            <w:shd w:val="clear" w:color="auto" w:fill="auto"/>
          </w:tcPr>
          <w:p w14:paraId="6445E65A" w14:textId="77777777" w:rsidR="00AF3581" w:rsidRPr="00506303" w:rsidRDefault="00AF3581" w:rsidP="0067543B">
            <w:pPr>
              <w:rPr>
                <w:sz w:val="18"/>
                <w:szCs w:val="18"/>
              </w:rPr>
            </w:pPr>
          </w:p>
        </w:tc>
        <w:tc>
          <w:tcPr>
            <w:tcW w:w="3776" w:type="dxa"/>
            <w:tcBorders>
              <w:bottom w:val="single" w:sz="4" w:space="0" w:color="auto"/>
            </w:tcBorders>
            <w:shd w:val="clear" w:color="auto" w:fill="auto"/>
          </w:tcPr>
          <w:p w14:paraId="68A2FDB5" w14:textId="77777777" w:rsidR="00AF3581" w:rsidRPr="00506303" w:rsidRDefault="00AF3581" w:rsidP="0067543B">
            <w:pPr>
              <w:rPr>
                <w:b/>
                <w:sz w:val="18"/>
                <w:szCs w:val="18"/>
              </w:rPr>
            </w:pPr>
            <w:r w:rsidRPr="00506303">
              <w:rPr>
                <w:b/>
                <w:sz w:val="18"/>
                <w:szCs w:val="18"/>
              </w:rPr>
              <w:t>Activity Description</w:t>
            </w:r>
          </w:p>
        </w:tc>
        <w:tc>
          <w:tcPr>
            <w:tcW w:w="472" w:type="dxa"/>
            <w:tcBorders>
              <w:bottom w:val="single" w:sz="4" w:space="0" w:color="auto"/>
            </w:tcBorders>
            <w:shd w:val="clear" w:color="auto" w:fill="auto"/>
          </w:tcPr>
          <w:p w14:paraId="4FEC01FD" w14:textId="77777777" w:rsidR="00AF3581" w:rsidRPr="00506303" w:rsidRDefault="00AF3581" w:rsidP="00506303">
            <w:pPr>
              <w:jc w:val="center"/>
              <w:rPr>
                <w:b/>
                <w:sz w:val="18"/>
                <w:szCs w:val="18"/>
              </w:rPr>
            </w:pPr>
            <w:r w:rsidRPr="00506303">
              <w:rPr>
                <w:b/>
                <w:sz w:val="18"/>
                <w:szCs w:val="18"/>
              </w:rPr>
              <w:t>1</w:t>
            </w:r>
          </w:p>
        </w:tc>
        <w:tc>
          <w:tcPr>
            <w:tcW w:w="472" w:type="dxa"/>
            <w:tcBorders>
              <w:bottom w:val="single" w:sz="4" w:space="0" w:color="auto"/>
            </w:tcBorders>
            <w:shd w:val="clear" w:color="auto" w:fill="auto"/>
          </w:tcPr>
          <w:p w14:paraId="2C151CB4" w14:textId="77777777" w:rsidR="00AF3581" w:rsidRPr="00506303" w:rsidRDefault="00AF3581" w:rsidP="00506303">
            <w:pPr>
              <w:jc w:val="center"/>
              <w:rPr>
                <w:b/>
                <w:sz w:val="18"/>
                <w:szCs w:val="18"/>
              </w:rPr>
            </w:pPr>
            <w:r w:rsidRPr="00506303">
              <w:rPr>
                <w:b/>
                <w:sz w:val="18"/>
                <w:szCs w:val="18"/>
              </w:rPr>
              <w:t>2</w:t>
            </w:r>
          </w:p>
        </w:tc>
        <w:tc>
          <w:tcPr>
            <w:tcW w:w="472" w:type="dxa"/>
            <w:tcBorders>
              <w:bottom w:val="single" w:sz="4" w:space="0" w:color="auto"/>
            </w:tcBorders>
            <w:shd w:val="clear" w:color="auto" w:fill="auto"/>
          </w:tcPr>
          <w:p w14:paraId="40FAFE68" w14:textId="77777777" w:rsidR="00AF3581" w:rsidRPr="00506303" w:rsidRDefault="00AF3581" w:rsidP="00506303">
            <w:pPr>
              <w:jc w:val="center"/>
              <w:rPr>
                <w:b/>
                <w:sz w:val="18"/>
                <w:szCs w:val="18"/>
              </w:rPr>
            </w:pPr>
            <w:r w:rsidRPr="00506303">
              <w:rPr>
                <w:b/>
                <w:sz w:val="18"/>
                <w:szCs w:val="18"/>
              </w:rPr>
              <w:t>3</w:t>
            </w:r>
          </w:p>
        </w:tc>
        <w:tc>
          <w:tcPr>
            <w:tcW w:w="472" w:type="dxa"/>
            <w:tcBorders>
              <w:bottom w:val="single" w:sz="4" w:space="0" w:color="auto"/>
            </w:tcBorders>
            <w:shd w:val="clear" w:color="auto" w:fill="auto"/>
          </w:tcPr>
          <w:p w14:paraId="77FEAD86" w14:textId="77777777" w:rsidR="00AF3581" w:rsidRPr="00506303" w:rsidRDefault="00AF3581" w:rsidP="00506303">
            <w:pPr>
              <w:jc w:val="center"/>
              <w:rPr>
                <w:b/>
                <w:sz w:val="18"/>
                <w:szCs w:val="18"/>
              </w:rPr>
            </w:pPr>
            <w:r w:rsidRPr="00506303">
              <w:rPr>
                <w:b/>
                <w:sz w:val="18"/>
                <w:szCs w:val="18"/>
              </w:rPr>
              <w:t>4</w:t>
            </w:r>
          </w:p>
        </w:tc>
        <w:tc>
          <w:tcPr>
            <w:tcW w:w="472" w:type="dxa"/>
            <w:tcBorders>
              <w:bottom w:val="single" w:sz="4" w:space="0" w:color="auto"/>
            </w:tcBorders>
            <w:shd w:val="clear" w:color="auto" w:fill="auto"/>
          </w:tcPr>
          <w:p w14:paraId="0053F468" w14:textId="77777777" w:rsidR="00AF3581" w:rsidRPr="00506303" w:rsidRDefault="00AF3581" w:rsidP="00506303">
            <w:pPr>
              <w:jc w:val="center"/>
              <w:rPr>
                <w:b/>
                <w:sz w:val="18"/>
                <w:szCs w:val="18"/>
              </w:rPr>
            </w:pPr>
            <w:r w:rsidRPr="00506303">
              <w:rPr>
                <w:b/>
                <w:sz w:val="18"/>
                <w:szCs w:val="18"/>
              </w:rPr>
              <w:t>1</w:t>
            </w:r>
          </w:p>
        </w:tc>
        <w:tc>
          <w:tcPr>
            <w:tcW w:w="472" w:type="dxa"/>
            <w:tcBorders>
              <w:bottom w:val="single" w:sz="4" w:space="0" w:color="auto"/>
            </w:tcBorders>
            <w:shd w:val="clear" w:color="auto" w:fill="auto"/>
          </w:tcPr>
          <w:p w14:paraId="2FD3DDAC" w14:textId="77777777" w:rsidR="00AF3581" w:rsidRPr="00506303" w:rsidRDefault="00AF3581" w:rsidP="00506303">
            <w:pPr>
              <w:jc w:val="center"/>
              <w:rPr>
                <w:b/>
                <w:sz w:val="18"/>
                <w:szCs w:val="18"/>
              </w:rPr>
            </w:pPr>
            <w:r w:rsidRPr="00506303">
              <w:rPr>
                <w:b/>
                <w:sz w:val="18"/>
                <w:szCs w:val="18"/>
              </w:rPr>
              <w:t>2</w:t>
            </w:r>
          </w:p>
        </w:tc>
        <w:tc>
          <w:tcPr>
            <w:tcW w:w="472" w:type="dxa"/>
            <w:tcBorders>
              <w:bottom w:val="single" w:sz="4" w:space="0" w:color="auto"/>
            </w:tcBorders>
            <w:shd w:val="clear" w:color="auto" w:fill="auto"/>
          </w:tcPr>
          <w:p w14:paraId="6DEBE98C" w14:textId="77777777" w:rsidR="00AF3581" w:rsidRPr="00506303" w:rsidRDefault="00AF3581" w:rsidP="00506303">
            <w:pPr>
              <w:jc w:val="center"/>
              <w:rPr>
                <w:b/>
                <w:sz w:val="18"/>
                <w:szCs w:val="18"/>
              </w:rPr>
            </w:pPr>
            <w:r w:rsidRPr="00506303">
              <w:rPr>
                <w:b/>
                <w:sz w:val="18"/>
                <w:szCs w:val="18"/>
              </w:rPr>
              <w:t>3</w:t>
            </w:r>
          </w:p>
        </w:tc>
        <w:tc>
          <w:tcPr>
            <w:tcW w:w="472" w:type="dxa"/>
            <w:tcBorders>
              <w:bottom w:val="single" w:sz="4" w:space="0" w:color="auto"/>
            </w:tcBorders>
            <w:shd w:val="clear" w:color="auto" w:fill="auto"/>
          </w:tcPr>
          <w:p w14:paraId="0E6B94D3" w14:textId="77777777" w:rsidR="00AF3581" w:rsidRPr="00506303" w:rsidRDefault="00AF3581" w:rsidP="00506303">
            <w:pPr>
              <w:jc w:val="center"/>
              <w:rPr>
                <w:b/>
                <w:sz w:val="18"/>
                <w:szCs w:val="18"/>
              </w:rPr>
            </w:pPr>
            <w:r w:rsidRPr="00506303">
              <w:rPr>
                <w:b/>
                <w:sz w:val="18"/>
                <w:szCs w:val="18"/>
              </w:rPr>
              <w:t>4</w:t>
            </w:r>
          </w:p>
        </w:tc>
        <w:tc>
          <w:tcPr>
            <w:tcW w:w="472" w:type="dxa"/>
            <w:tcBorders>
              <w:bottom w:val="single" w:sz="4" w:space="0" w:color="auto"/>
            </w:tcBorders>
            <w:shd w:val="clear" w:color="auto" w:fill="auto"/>
          </w:tcPr>
          <w:p w14:paraId="50392AF5" w14:textId="77777777" w:rsidR="00AF3581" w:rsidRPr="00506303" w:rsidRDefault="00AF3581" w:rsidP="00506303">
            <w:pPr>
              <w:jc w:val="center"/>
              <w:rPr>
                <w:b/>
                <w:sz w:val="18"/>
                <w:szCs w:val="18"/>
              </w:rPr>
            </w:pPr>
            <w:r w:rsidRPr="00506303">
              <w:rPr>
                <w:b/>
                <w:sz w:val="18"/>
                <w:szCs w:val="18"/>
              </w:rPr>
              <w:t>1</w:t>
            </w:r>
          </w:p>
        </w:tc>
        <w:tc>
          <w:tcPr>
            <w:tcW w:w="472" w:type="dxa"/>
            <w:tcBorders>
              <w:bottom w:val="single" w:sz="4" w:space="0" w:color="auto"/>
            </w:tcBorders>
            <w:shd w:val="clear" w:color="auto" w:fill="auto"/>
          </w:tcPr>
          <w:p w14:paraId="3C31DDB5" w14:textId="77777777" w:rsidR="00AF3581" w:rsidRPr="00506303" w:rsidRDefault="00AF3581" w:rsidP="00506303">
            <w:pPr>
              <w:jc w:val="center"/>
              <w:rPr>
                <w:b/>
                <w:sz w:val="18"/>
                <w:szCs w:val="18"/>
              </w:rPr>
            </w:pPr>
            <w:r w:rsidRPr="00506303">
              <w:rPr>
                <w:b/>
                <w:sz w:val="18"/>
                <w:szCs w:val="18"/>
              </w:rPr>
              <w:t>2</w:t>
            </w:r>
          </w:p>
        </w:tc>
        <w:tc>
          <w:tcPr>
            <w:tcW w:w="473" w:type="dxa"/>
            <w:tcBorders>
              <w:bottom w:val="single" w:sz="4" w:space="0" w:color="auto"/>
            </w:tcBorders>
            <w:shd w:val="clear" w:color="auto" w:fill="auto"/>
          </w:tcPr>
          <w:p w14:paraId="60134763" w14:textId="77777777" w:rsidR="00AF3581" w:rsidRPr="00506303" w:rsidRDefault="00AF3581" w:rsidP="00506303">
            <w:pPr>
              <w:jc w:val="center"/>
              <w:rPr>
                <w:b/>
                <w:sz w:val="18"/>
                <w:szCs w:val="18"/>
              </w:rPr>
            </w:pPr>
            <w:r w:rsidRPr="00506303">
              <w:rPr>
                <w:b/>
                <w:sz w:val="18"/>
                <w:szCs w:val="18"/>
              </w:rPr>
              <w:t>3</w:t>
            </w:r>
          </w:p>
        </w:tc>
        <w:tc>
          <w:tcPr>
            <w:tcW w:w="473" w:type="dxa"/>
            <w:tcBorders>
              <w:bottom w:val="single" w:sz="4" w:space="0" w:color="auto"/>
            </w:tcBorders>
            <w:shd w:val="clear" w:color="auto" w:fill="auto"/>
          </w:tcPr>
          <w:p w14:paraId="5EA68A9D" w14:textId="77777777" w:rsidR="00AF3581" w:rsidRPr="00506303" w:rsidRDefault="00AF3581" w:rsidP="00506303">
            <w:pPr>
              <w:jc w:val="center"/>
              <w:rPr>
                <w:b/>
                <w:sz w:val="18"/>
                <w:szCs w:val="18"/>
              </w:rPr>
            </w:pPr>
            <w:r w:rsidRPr="00506303">
              <w:rPr>
                <w:b/>
                <w:sz w:val="18"/>
                <w:szCs w:val="18"/>
              </w:rPr>
              <w:t>4</w:t>
            </w:r>
          </w:p>
        </w:tc>
        <w:tc>
          <w:tcPr>
            <w:tcW w:w="473" w:type="dxa"/>
            <w:tcBorders>
              <w:bottom w:val="single" w:sz="4" w:space="0" w:color="auto"/>
            </w:tcBorders>
            <w:shd w:val="clear" w:color="auto" w:fill="auto"/>
          </w:tcPr>
          <w:p w14:paraId="36208739" w14:textId="77777777" w:rsidR="00AF3581" w:rsidRPr="00506303" w:rsidRDefault="00AF3581" w:rsidP="00506303">
            <w:pPr>
              <w:jc w:val="center"/>
              <w:rPr>
                <w:b/>
                <w:sz w:val="18"/>
                <w:szCs w:val="18"/>
              </w:rPr>
            </w:pPr>
            <w:r w:rsidRPr="00506303">
              <w:rPr>
                <w:b/>
                <w:sz w:val="18"/>
                <w:szCs w:val="18"/>
              </w:rPr>
              <w:t>1</w:t>
            </w:r>
          </w:p>
        </w:tc>
        <w:tc>
          <w:tcPr>
            <w:tcW w:w="473" w:type="dxa"/>
            <w:tcBorders>
              <w:bottom w:val="single" w:sz="4" w:space="0" w:color="auto"/>
            </w:tcBorders>
            <w:shd w:val="clear" w:color="auto" w:fill="auto"/>
          </w:tcPr>
          <w:p w14:paraId="18F0558C" w14:textId="77777777" w:rsidR="00AF3581" w:rsidRPr="00506303" w:rsidRDefault="00AF3581" w:rsidP="00506303">
            <w:pPr>
              <w:jc w:val="center"/>
              <w:rPr>
                <w:b/>
                <w:sz w:val="18"/>
                <w:szCs w:val="18"/>
              </w:rPr>
            </w:pPr>
            <w:r w:rsidRPr="00506303">
              <w:rPr>
                <w:b/>
                <w:sz w:val="18"/>
                <w:szCs w:val="18"/>
              </w:rPr>
              <w:t>2</w:t>
            </w:r>
          </w:p>
        </w:tc>
        <w:tc>
          <w:tcPr>
            <w:tcW w:w="473" w:type="dxa"/>
            <w:tcBorders>
              <w:bottom w:val="single" w:sz="4" w:space="0" w:color="auto"/>
            </w:tcBorders>
            <w:shd w:val="clear" w:color="auto" w:fill="auto"/>
          </w:tcPr>
          <w:p w14:paraId="570EAC68" w14:textId="77777777" w:rsidR="00AF3581" w:rsidRPr="00506303" w:rsidRDefault="00AF3581" w:rsidP="00506303">
            <w:pPr>
              <w:jc w:val="center"/>
              <w:rPr>
                <w:b/>
                <w:sz w:val="18"/>
                <w:szCs w:val="18"/>
              </w:rPr>
            </w:pPr>
            <w:r w:rsidRPr="00506303">
              <w:rPr>
                <w:b/>
                <w:sz w:val="18"/>
                <w:szCs w:val="18"/>
              </w:rPr>
              <w:t>3</w:t>
            </w:r>
          </w:p>
        </w:tc>
        <w:tc>
          <w:tcPr>
            <w:tcW w:w="473" w:type="dxa"/>
            <w:tcBorders>
              <w:bottom w:val="single" w:sz="4" w:space="0" w:color="auto"/>
            </w:tcBorders>
            <w:shd w:val="clear" w:color="auto" w:fill="auto"/>
          </w:tcPr>
          <w:p w14:paraId="68F8F5BC" w14:textId="77777777" w:rsidR="00AF3581" w:rsidRPr="00506303" w:rsidRDefault="00AF3581" w:rsidP="00506303">
            <w:pPr>
              <w:jc w:val="center"/>
              <w:rPr>
                <w:b/>
                <w:sz w:val="18"/>
                <w:szCs w:val="18"/>
              </w:rPr>
            </w:pPr>
            <w:r w:rsidRPr="00506303">
              <w:rPr>
                <w:b/>
                <w:sz w:val="18"/>
                <w:szCs w:val="18"/>
              </w:rPr>
              <w:t>4</w:t>
            </w:r>
          </w:p>
        </w:tc>
        <w:tc>
          <w:tcPr>
            <w:tcW w:w="473" w:type="dxa"/>
            <w:tcBorders>
              <w:bottom w:val="single" w:sz="4" w:space="0" w:color="auto"/>
            </w:tcBorders>
            <w:shd w:val="clear" w:color="auto" w:fill="auto"/>
          </w:tcPr>
          <w:p w14:paraId="31F812FA" w14:textId="77777777" w:rsidR="00AF3581" w:rsidRPr="00506303" w:rsidRDefault="00AF3581" w:rsidP="00506303">
            <w:pPr>
              <w:jc w:val="center"/>
              <w:rPr>
                <w:b/>
                <w:sz w:val="18"/>
                <w:szCs w:val="18"/>
              </w:rPr>
            </w:pPr>
            <w:r w:rsidRPr="00506303">
              <w:rPr>
                <w:b/>
                <w:sz w:val="18"/>
                <w:szCs w:val="18"/>
              </w:rPr>
              <w:t>1</w:t>
            </w:r>
          </w:p>
        </w:tc>
        <w:tc>
          <w:tcPr>
            <w:tcW w:w="473" w:type="dxa"/>
            <w:tcBorders>
              <w:bottom w:val="single" w:sz="4" w:space="0" w:color="auto"/>
            </w:tcBorders>
            <w:shd w:val="clear" w:color="auto" w:fill="auto"/>
          </w:tcPr>
          <w:p w14:paraId="14FCC6F5" w14:textId="77777777" w:rsidR="00AF3581" w:rsidRPr="00506303" w:rsidRDefault="00AF3581" w:rsidP="00506303">
            <w:pPr>
              <w:jc w:val="center"/>
              <w:rPr>
                <w:b/>
                <w:sz w:val="18"/>
                <w:szCs w:val="18"/>
              </w:rPr>
            </w:pPr>
            <w:r w:rsidRPr="00506303">
              <w:rPr>
                <w:b/>
                <w:sz w:val="18"/>
                <w:szCs w:val="18"/>
              </w:rPr>
              <w:t>2</w:t>
            </w:r>
          </w:p>
        </w:tc>
        <w:tc>
          <w:tcPr>
            <w:tcW w:w="473" w:type="dxa"/>
            <w:tcBorders>
              <w:bottom w:val="single" w:sz="4" w:space="0" w:color="auto"/>
            </w:tcBorders>
            <w:shd w:val="clear" w:color="auto" w:fill="auto"/>
          </w:tcPr>
          <w:p w14:paraId="40695914" w14:textId="77777777" w:rsidR="00AF3581" w:rsidRPr="00506303" w:rsidRDefault="00AF3581" w:rsidP="00506303">
            <w:pPr>
              <w:jc w:val="center"/>
              <w:rPr>
                <w:b/>
                <w:sz w:val="18"/>
                <w:szCs w:val="18"/>
              </w:rPr>
            </w:pPr>
            <w:r w:rsidRPr="00506303">
              <w:rPr>
                <w:b/>
                <w:sz w:val="18"/>
                <w:szCs w:val="18"/>
              </w:rPr>
              <w:t>3</w:t>
            </w:r>
          </w:p>
        </w:tc>
        <w:tc>
          <w:tcPr>
            <w:tcW w:w="473" w:type="dxa"/>
            <w:tcBorders>
              <w:bottom w:val="single" w:sz="4" w:space="0" w:color="auto"/>
            </w:tcBorders>
            <w:shd w:val="clear" w:color="auto" w:fill="auto"/>
          </w:tcPr>
          <w:p w14:paraId="248B3753" w14:textId="77777777" w:rsidR="00AF3581" w:rsidRPr="00506303" w:rsidRDefault="00AF3581" w:rsidP="00506303">
            <w:pPr>
              <w:jc w:val="center"/>
              <w:rPr>
                <w:b/>
                <w:sz w:val="18"/>
                <w:szCs w:val="18"/>
              </w:rPr>
            </w:pPr>
            <w:r w:rsidRPr="00506303">
              <w:rPr>
                <w:b/>
                <w:sz w:val="18"/>
                <w:szCs w:val="18"/>
              </w:rPr>
              <w:t>4</w:t>
            </w:r>
          </w:p>
        </w:tc>
      </w:tr>
      <w:tr w:rsidR="00AF3581" w:rsidRPr="00506303" w14:paraId="22D5C312" w14:textId="77777777" w:rsidTr="00506303">
        <w:tc>
          <w:tcPr>
            <w:tcW w:w="14170" w:type="dxa"/>
            <w:gridSpan w:val="22"/>
            <w:shd w:val="clear" w:color="auto" w:fill="BFBFBF"/>
          </w:tcPr>
          <w:p w14:paraId="311F8FA0" w14:textId="77777777" w:rsidR="00AF3581" w:rsidRPr="00506303" w:rsidRDefault="00AF3581" w:rsidP="00506303">
            <w:pPr>
              <w:jc w:val="center"/>
              <w:rPr>
                <w:b/>
                <w:sz w:val="18"/>
                <w:szCs w:val="18"/>
              </w:rPr>
            </w:pPr>
            <w:r w:rsidRPr="00506303">
              <w:rPr>
                <w:b/>
                <w:sz w:val="18"/>
                <w:szCs w:val="18"/>
              </w:rPr>
              <w:t>COMPONENT 1: Reducing habitat degradation and loss via national and local reforms to achieve SAP targets for coastal habitat management in the South China Sea</w:t>
            </w:r>
          </w:p>
        </w:tc>
      </w:tr>
      <w:tr w:rsidR="00AF3581" w:rsidRPr="00506303" w14:paraId="6DDFCBF4" w14:textId="77777777" w:rsidTr="00506303">
        <w:tc>
          <w:tcPr>
            <w:tcW w:w="944" w:type="dxa"/>
            <w:shd w:val="clear" w:color="auto" w:fill="D9D9D9"/>
          </w:tcPr>
          <w:p w14:paraId="7DA94A20" w14:textId="77777777" w:rsidR="00AF3581" w:rsidRPr="00506303" w:rsidRDefault="00AF3581" w:rsidP="0067543B">
            <w:pPr>
              <w:rPr>
                <w:b/>
                <w:sz w:val="18"/>
                <w:szCs w:val="18"/>
              </w:rPr>
            </w:pPr>
            <w:r w:rsidRPr="00506303">
              <w:rPr>
                <w:b/>
                <w:sz w:val="18"/>
                <w:szCs w:val="18"/>
              </w:rPr>
              <w:t>1.1</w:t>
            </w:r>
          </w:p>
        </w:tc>
        <w:tc>
          <w:tcPr>
            <w:tcW w:w="13226" w:type="dxa"/>
            <w:gridSpan w:val="21"/>
            <w:shd w:val="clear" w:color="auto" w:fill="D9D9D9"/>
          </w:tcPr>
          <w:p w14:paraId="628D9D7E" w14:textId="77777777" w:rsidR="00AF3581" w:rsidRPr="00506303" w:rsidRDefault="00AF3581" w:rsidP="0067543B">
            <w:pPr>
              <w:rPr>
                <w:b/>
                <w:sz w:val="18"/>
                <w:szCs w:val="18"/>
              </w:rPr>
            </w:pPr>
            <w:r w:rsidRPr="00506303">
              <w:rPr>
                <w:b/>
                <w:sz w:val="18"/>
                <w:szCs w:val="18"/>
              </w:rPr>
              <w:t>Establishing appropriate forms of sustainable management for 860,000 ha of mangrove by Yr 5</w:t>
            </w:r>
          </w:p>
        </w:tc>
      </w:tr>
      <w:tr w:rsidR="00AF3581" w:rsidRPr="00506303" w14:paraId="79C46E89" w14:textId="77777777" w:rsidTr="00506303">
        <w:tc>
          <w:tcPr>
            <w:tcW w:w="944" w:type="dxa"/>
            <w:shd w:val="clear" w:color="auto" w:fill="F2F2F2"/>
          </w:tcPr>
          <w:p w14:paraId="3DA04009" w14:textId="77777777" w:rsidR="00AF3581" w:rsidRPr="00506303" w:rsidRDefault="00AF3581" w:rsidP="0067543B">
            <w:pPr>
              <w:rPr>
                <w:b/>
                <w:sz w:val="18"/>
                <w:szCs w:val="18"/>
              </w:rPr>
            </w:pPr>
            <w:r w:rsidRPr="00506303">
              <w:rPr>
                <w:b/>
                <w:sz w:val="18"/>
                <w:szCs w:val="18"/>
              </w:rPr>
              <w:t>1.1.1</w:t>
            </w:r>
          </w:p>
        </w:tc>
        <w:tc>
          <w:tcPr>
            <w:tcW w:w="13226" w:type="dxa"/>
            <w:gridSpan w:val="21"/>
            <w:shd w:val="clear" w:color="auto" w:fill="F2F2F2"/>
          </w:tcPr>
          <w:p w14:paraId="47C55E6E" w14:textId="77777777" w:rsidR="00AF3581" w:rsidRPr="00506303" w:rsidRDefault="00AF3581" w:rsidP="0067543B">
            <w:pPr>
              <w:rPr>
                <w:b/>
                <w:sz w:val="18"/>
                <w:szCs w:val="18"/>
              </w:rPr>
            </w:pPr>
            <w:r w:rsidRPr="00506303">
              <w:rPr>
                <w:b/>
                <w:sz w:val="18"/>
                <w:szCs w:val="18"/>
              </w:rPr>
              <w:t>Declaration of 57,400 ha of mangrove as National Parks and Protected Areas</w:t>
            </w:r>
          </w:p>
        </w:tc>
      </w:tr>
      <w:tr w:rsidR="00AF3581" w:rsidRPr="00506303" w14:paraId="1F679F4B" w14:textId="77777777" w:rsidTr="00E071AC">
        <w:tc>
          <w:tcPr>
            <w:tcW w:w="944" w:type="dxa"/>
            <w:shd w:val="clear" w:color="auto" w:fill="auto"/>
          </w:tcPr>
          <w:p w14:paraId="7FD17008" w14:textId="77777777" w:rsidR="00AF3581" w:rsidRPr="00506303" w:rsidRDefault="00AF3581" w:rsidP="0067543B">
            <w:pPr>
              <w:rPr>
                <w:sz w:val="18"/>
                <w:szCs w:val="18"/>
              </w:rPr>
            </w:pPr>
            <w:r w:rsidRPr="00506303">
              <w:rPr>
                <w:sz w:val="18"/>
                <w:szCs w:val="18"/>
              </w:rPr>
              <w:t>1.1.1.1</w:t>
            </w:r>
          </w:p>
        </w:tc>
        <w:tc>
          <w:tcPr>
            <w:tcW w:w="3776" w:type="dxa"/>
            <w:shd w:val="clear" w:color="auto" w:fill="auto"/>
          </w:tcPr>
          <w:p w14:paraId="20C3E343" w14:textId="77777777" w:rsidR="00AF3581" w:rsidRPr="00506303" w:rsidRDefault="00AF3581" w:rsidP="0067543B">
            <w:pPr>
              <w:rPr>
                <w:sz w:val="18"/>
                <w:szCs w:val="18"/>
              </w:rPr>
            </w:pPr>
            <w:r w:rsidRPr="00506303">
              <w:rPr>
                <w:sz w:val="18"/>
                <w:szCs w:val="18"/>
              </w:rPr>
              <w:t>Using assembled baseline data, operate national consultations process to confirm priority sites</w:t>
            </w:r>
          </w:p>
        </w:tc>
        <w:tc>
          <w:tcPr>
            <w:tcW w:w="472" w:type="dxa"/>
            <w:shd w:val="clear" w:color="auto" w:fill="D9D9D9"/>
          </w:tcPr>
          <w:p w14:paraId="15F23AAA" w14:textId="77777777" w:rsidR="00AF3581" w:rsidRPr="00506303" w:rsidRDefault="00AF3581" w:rsidP="0067543B">
            <w:pPr>
              <w:rPr>
                <w:sz w:val="18"/>
                <w:szCs w:val="18"/>
              </w:rPr>
            </w:pPr>
          </w:p>
        </w:tc>
        <w:tc>
          <w:tcPr>
            <w:tcW w:w="472" w:type="dxa"/>
            <w:shd w:val="clear" w:color="auto" w:fill="D9D9D9"/>
          </w:tcPr>
          <w:p w14:paraId="08C13D84" w14:textId="77777777" w:rsidR="00AF3581" w:rsidRPr="00506303" w:rsidRDefault="00AF3581" w:rsidP="0067543B">
            <w:pPr>
              <w:rPr>
                <w:sz w:val="18"/>
                <w:szCs w:val="18"/>
              </w:rPr>
            </w:pPr>
          </w:p>
        </w:tc>
        <w:tc>
          <w:tcPr>
            <w:tcW w:w="472" w:type="dxa"/>
            <w:shd w:val="clear" w:color="auto" w:fill="D9D9D9"/>
          </w:tcPr>
          <w:p w14:paraId="78619571" w14:textId="77777777" w:rsidR="00AF3581" w:rsidRPr="00506303" w:rsidRDefault="00AF3581" w:rsidP="0067543B">
            <w:pPr>
              <w:rPr>
                <w:sz w:val="18"/>
                <w:szCs w:val="18"/>
              </w:rPr>
            </w:pPr>
          </w:p>
        </w:tc>
        <w:tc>
          <w:tcPr>
            <w:tcW w:w="472" w:type="dxa"/>
            <w:shd w:val="clear" w:color="auto" w:fill="D9D9D9"/>
          </w:tcPr>
          <w:p w14:paraId="52AEFB7F" w14:textId="77777777" w:rsidR="00AF3581" w:rsidRPr="00506303" w:rsidRDefault="00AF3581" w:rsidP="0067543B">
            <w:pPr>
              <w:rPr>
                <w:sz w:val="18"/>
                <w:szCs w:val="18"/>
              </w:rPr>
            </w:pPr>
          </w:p>
        </w:tc>
        <w:tc>
          <w:tcPr>
            <w:tcW w:w="472" w:type="dxa"/>
            <w:shd w:val="clear" w:color="auto" w:fill="auto"/>
          </w:tcPr>
          <w:p w14:paraId="1DF32343" w14:textId="77777777" w:rsidR="00AF3581" w:rsidRPr="00506303" w:rsidRDefault="00AF3581" w:rsidP="0067543B">
            <w:pPr>
              <w:rPr>
                <w:sz w:val="18"/>
                <w:szCs w:val="18"/>
              </w:rPr>
            </w:pPr>
          </w:p>
        </w:tc>
        <w:tc>
          <w:tcPr>
            <w:tcW w:w="472" w:type="dxa"/>
            <w:shd w:val="clear" w:color="auto" w:fill="auto"/>
          </w:tcPr>
          <w:p w14:paraId="139C78F1" w14:textId="77777777" w:rsidR="00AF3581" w:rsidRPr="00506303" w:rsidRDefault="00AF3581" w:rsidP="0067543B">
            <w:pPr>
              <w:rPr>
                <w:sz w:val="18"/>
                <w:szCs w:val="18"/>
              </w:rPr>
            </w:pPr>
          </w:p>
        </w:tc>
        <w:tc>
          <w:tcPr>
            <w:tcW w:w="472" w:type="dxa"/>
            <w:shd w:val="clear" w:color="auto" w:fill="auto"/>
          </w:tcPr>
          <w:p w14:paraId="74D8607B" w14:textId="77777777" w:rsidR="00AF3581" w:rsidRPr="00506303" w:rsidRDefault="00AF3581" w:rsidP="0067543B">
            <w:pPr>
              <w:rPr>
                <w:sz w:val="18"/>
                <w:szCs w:val="18"/>
              </w:rPr>
            </w:pPr>
          </w:p>
        </w:tc>
        <w:tc>
          <w:tcPr>
            <w:tcW w:w="472" w:type="dxa"/>
            <w:shd w:val="clear" w:color="auto" w:fill="auto"/>
          </w:tcPr>
          <w:p w14:paraId="2BFA51F6" w14:textId="77777777" w:rsidR="00AF3581" w:rsidRPr="00506303" w:rsidRDefault="00AF3581" w:rsidP="0067543B">
            <w:pPr>
              <w:rPr>
                <w:sz w:val="18"/>
                <w:szCs w:val="18"/>
              </w:rPr>
            </w:pPr>
          </w:p>
        </w:tc>
        <w:tc>
          <w:tcPr>
            <w:tcW w:w="472" w:type="dxa"/>
            <w:shd w:val="clear" w:color="auto" w:fill="auto"/>
          </w:tcPr>
          <w:p w14:paraId="3D2706D6" w14:textId="77777777" w:rsidR="00AF3581" w:rsidRPr="00506303" w:rsidRDefault="00AF3581" w:rsidP="0067543B">
            <w:pPr>
              <w:rPr>
                <w:sz w:val="18"/>
                <w:szCs w:val="18"/>
              </w:rPr>
            </w:pPr>
          </w:p>
        </w:tc>
        <w:tc>
          <w:tcPr>
            <w:tcW w:w="472" w:type="dxa"/>
            <w:shd w:val="clear" w:color="auto" w:fill="auto"/>
          </w:tcPr>
          <w:p w14:paraId="1D3E09A0" w14:textId="77777777" w:rsidR="00AF3581" w:rsidRPr="00506303" w:rsidRDefault="00AF3581" w:rsidP="0067543B">
            <w:pPr>
              <w:rPr>
                <w:sz w:val="18"/>
                <w:szCs w:val="18"/>
              </w:rPr>
            </w:pPr>
          </w:p>
        </w:tc>
        <w:tc>
          <w:tcPr>
            <w:tcW w:w="473" w:type="dxa"/>
            <w:shd w:val="clear" w:color="auto" w:fill="auto"/>
          </w:tcPr>
          <w:p w14:paraId="7003F658" w14:textId="77777777" w:rsidR="00AF3581" w:rsidRPr="00506303" w:rsidRDefault="00AF3581" w:rsidP="0067543B">
            <w:pPr>
              <w:rPr>
                <w:sz w:val="18"/>
                <w:szCs w:val="18"/>
              </w:rPr>
            </w:pPr>
          </w:p>
        </w:tc>
        <w:tc>
          <w:tcPr>
            <w:tcW w:w="473" w:type="dxa"/>
            <w:shd w:val="clear" w:color="auto" w:fill="auto"/>
          </w:tcPr>
          <w:p w14:paraId="630E8926" w14:textId="77777777" w:rsidR="00AF3581" w:rsidRPr="00506303" w:rsidRDefault="00AF3581" w:rsidP="0067543B">
            <w:pPr>
              <w:rPr>
                <w:sz w:val="18"/>
                <w:szCs w:val="18"/>
              </w:rPr>
            </w:pPr>
          </w:p>
        </w:tc>
        <w:tc>
          <w:tcPr>
            <w:tcW w:w="473" w:type="dxa"/>
            <w:shd w:val="clear" w:color="auto" w:fill="auto"/>
          </w:tcPr>
          <w:p w14:paraId="3FB06852" w14:textId="77777777" w:rsidR="00AF3581" w:rsidRPr="00506303" w:rsidRDefault="00AF3581" w:rsidP="0067543B">
            <w:pPr>
              <w:rPr>
                <w:sz w:val="18"/>
                <w:szCs w:val="18"/>
              </w:rPr>
            </w:pPr>
          </w:p>
        </w:tc>
        <w:tc>
          <w:tcPr>
            <w:tcW w:w="473" w:type="dxa"/>
            <w:shd w:val="clear" w:color="auto" w:fill="auto"/>
          </w:tcPr>
          <w:p w14:paraId="6D9EF2BE" w14:textId="77777777" w:rsidR="00AF3581" w:rsidRPr="00506303" w:rsidRDefault="00AF3581" w:rsidP="0067543B">
            <w:pPr>
              <w:rPr>
                <w:sz w:val="18"/>
                <w:szCs w:val="18"/>
              </w:rPr>
            </w:pPr>
          </w:p>
        </w:tc>
        <w:tc>
          <w:tcPr>
            <w:tcW w:w="473" w:type="dxa"/>
            <w:shd w:val="clear" w:color="auto" w:fill="auto"/>
          </w:tcPr>
          <w:p w14:paraId="05D364E1" w14:textId="77777777" w:rsidR="00AF3581" w:rsidRPr="00506303" w:rsidRDefault="00AF3581" w:rsidP="0067543B">
            <w:pPr>
              <w:rPr>
                <w:sz w:val="18"/>
                <w:szCs w:val="18"/>
              </w:rPr>
            </w:pPr>
          </w:p>
        </w:tc>
        <w:tc>
          <w:tcPr>
            <w:tcW w:w="473" w:type="dxa"/>
            <w:shd w:val="clear" w:color="auto" w:fill="auto"/>
          </w:tcPr>
          <w:p w14:paraId="19D1B6F9" w14:textId="77777777" w:rsidR="00AF3581" w:rsidRPr="00506303" w:rsidRDefault="00AF3581" w:rsidP="0067543B">
            <w:pPr>
              <w:rPr>
                <w:sz w:val="18"/>
                <w:szCs w:val="18"/>
              </w:rPr>
            </w:pPr>
          </w:p>
        </w:tc>
        <w:tc>
          <w:tcPr>
            <w:tcW w:w="473" w:type="dxa"/>
            <w:shd w:val="clear" w:color="auto" w:fill="auto"/>
          </w:tcPr>
          <w:p w14:paraId="1D6540E1" w14:textId="77777777" w:rsidR="00AF3581" w:rsidRPr="00506303" w:rsidRDefault="00AF3581" w:rsidP="0067543B">
            <w:pPr>
              <w:rPr>
                <w:sz w:val="18"/>
                <w:szCs w:val="18"/>
              </w:rPr>
            </w:pPr>
          </w:p>
        </w:tc>
        <w:tc>
          <w:tcPr>
            <w:tcW w:w="473" w:type="dxa"/>
            <w:shd w:val="clear" w:color="auto" w:fill="auto"/>
          </w:tcPr>
          <w:p w14:paraId="5076CA15" w14:textId="77777777" w:rsidR="00AF3581" w:rsidRPr="00506303" w:rsidRDefault="00AF3581" w:rsidP="0067543B">
            <w:pPr>
              <w:rPr>
                <w:sz w:val="18"/>
                <w:szCs w:val="18"/>
              </w:rPr>
            </w:pPr>
          </w:p>
        </w:tc>
        <w:tc>
          <w:tcPr>
            <w:tcW w:w="473" w:type="dxa"/>
            <w:shd w:val="clear" w:color="auto" w:fill="auto"/>
          </w:tcPr>
          <w:p w14:paraId="7833795E" w14:textId="77777777" w:rsidR="00AF3581" w:rsidRPr="00506303" w:rsidRDefault="00AF3581" w:rsidP="0067543B">
            <w:pPr>
              <w:rPr>
                <w:sz w:val="18"/>
                <w:szCs w:val="18"/>
              </w:rPr>
            </w:pPr>
          </w:p>
        </w:tc>
        <w:tc>
          <w:tcPr>
            <w:tcW w:w="473" w:type="dxa"/>
            <w:shd w:val="clear" w:color="auto" w:fill="auto"/>
          </w:tcPr>
          <w:p w14:paraId="69C40102" w14:textId="77777777" w:rsidR="00AF3581" w:rsidRPr="00506303" w:rsidRDefault="00AF3581" w:rsidP="0067543B">
            <w:pPr>
              <w:rPr>
                <w:sz w:val="18"/>
                <w:szCs w:val="18"/>
              </w:rPr>
            </w:pPr>
          </w:p>
        </w:tc>
      </w:tr>
      <w:tr w:rsidR="00AF3581" w:rsidRPr="00506303" w14:paraId="0D50EF11" w14:textId="77777777" w:rsidTr="00E071AC">
        <w:tc>
          <w:tcPr>
            <w:tcW w:w="944" w:type="dxa"/>
            <w:shd w:val="clear" w:color="auto" w:fill="auto"/>
          </w:tcPr>
          <w:p w14:paraId="6556B37F" w14:textId="77777777" w:rsidR="00AF3581" w:rsidRPr="00506303" w:rsidRDefault="00AF3581" w:rsidP="0067543B">
            <w:pPr>
              <w:rPr>
                <w:sz w:val="18"/>
                <w:szCs w:val="18"/>
              </w:rPr>
            </w:pPr>
            <w:r w:rsidRPr="00506303">
              <w:rPr>
                <w:sz w:val="18"/>
                <w:szCs w:val="18"/>
              </w:rPr>
              <w:t>1.1.1.2</w:t>
            </w:r>
          </w:p>
        </w:tc>
        <w:tc>
          <w:tcPr>
            <w:tcW w:w="3776" w:type="dxa"/>
            <w:shd w:val="clear" w:color="auto" w:fill="auto"/>
          </w:tcPr>
          <w:p w14:paraId="4A30F244" w14:textId="77777777" w:rsidR="00AF3581" w:rsidRPr="00506303" w:rsidRDefault="00AF3581" w:rsidP="0067543B">
            <w:pPr>
              <w:rPr>
                <w:sz w:val="18"/>
                <w:szCs w:val="18"/>
              </w:rPr>
            </w:pPr>
            <w:r w:rsidRPr="00506303">
              <w:rPr>
                <w:sz w:val="18"/>
                <w:szCs w:val="18"/>
              </w:rPr>
              <w:t>Document land and marine tenure and local governance systems at priority sites</w:t>
            </w:r>
          </w:p>
        </w:tc>
        <w:tc>
          <w:tcPr>
            <w:tcW w:w="472" w:type="dxa"/>
            <w:shd w:val="clear" w:color="auto" w:fill="auto"/>
          </w:tcPr>
          <w:p w14:paraId="52CB0074" w14:textId="77777777" w:rsidR="00AF3581" w:rsidRPr="00506303" w:rsidRDefault="00AF3581" w:rsidP="0067543B">
            <w:pPr>
              <w:rPr>
                <w:sz w:val="18"/>
                <w:szCs w:val="18"/>
              </w:rPr>
            </w:pPr>
          </w:p>
        </w:tc>
        <w:tc>
          <w:tcPr>
            <w:tcW w:w="472" w:type="dxa"/>
            <w:shd w:val="clear" w:color="auto" w:fill="auto"/>
          </w:tcPr>
          <w:p w14:paraId="50DD559B" w14:textId="77777777" w:rsidR="00AF3581" w:rsidRPr="00506303" w:rsidRDefault="00AF3581" w:rsidP="0067543B">
            <w:pPr>
              <w:rPr>
                <w:sz w:val="18"/>
                <w:szCs w:val="18"/>
              </w:rPr>
            </w:pPr>
          </w:p>
        </w:tc>
        <w:tc>
          <w:tcPr>
            <w:tcW w:w="472" w:type="dxa"/>
            <w:shd w:val="clear" w:color="auto" w:fill="D9D9D9"/>
          </w:tcPr>
          <w:p w14:paraId="5629F1A0" w14:textId="77777777" w:rsidR="00AF3581" w:rsidRPr="00506303" w:rsidRDefault="00AF3581" w:rsidP="0067543B">
            <w:pPr>
              <w:rPr>
                <w:sz w:val="18"/>
                <w:szCs w:val="18"/>
              </w:rPr>
            </w:pPr>
          </w:p>
        </w:tc>
        <w:tc>
          <w:tcPr>
            <w:tcW w:w="472" w:type="dxa"/>
            <w:shd w:val="clear" w:color="auto" w:fill="D9D9D9"/>
          </w:tcPr>
          <w:p w14:paraId="22276A8F" w14:textId="77777777" w:rsidR="00AF3581" w:rsidRPr="00506303" w:rsidRDefault="00AF3581" w:rsidP="0067543B">
            <w:pPr>
              <w:rPr>
                <w:sz w:val="18"/>
                <w:szCs w:val="18"/>
              </w:rPr>
            </w:pPr>
          </w:p>
        </w:tc>
        <w:tc>
          <w:tcPr>
            <w:tcW w:w="472" w:type="dxa"/>
            <w:shd w:val="clear" w:color="auto" w:fill="D9D9D9"/>
          </w:tcPr>
          <w:p w14:paraId="5D2FA4D9" w14:textId="77777777" w:rsidR="00AF3581" w:rsidRPr="00506303" w:rsidRDefault="00AF3581" w:rsidP="0067543B">
            <w:pPr>
              <w:rPr>
                <w:sz w:val="18"/>
                <w:szCs w:val="18"/>
              </w:rPr>
            </w:pPr>
          </w:p>
        </w:tc>
        <w:tc>
          <w:tcPr>
            <w:tcW w:w="472" w:type="dxa"/>
            <w:shd w:val="clear" w:color="auto" w:fill="auto"/>
          </w:tcPr>
          <w:p w14:paraId="07D3FBD1" w14:textId="77777777" w:rsidR="00AF3581" w:rsidRPr="00506303" w:rsidRDefault="00AF3581" w:rsidP="0067543B">
            <w:pPr>
              <w:rPr>
                <w:sz w:val="18"/>
                <w:szCs w:val="18"/>
              </w:rPr>
            </w:pPr>
          </w:p>
        </w:tc>
        <w:tc>
          <w:tcPr>
            <w:tcW w:w="472" w:type="dxa"/>
            <w:shd w:val="clear" w:color="auto" w:fill="auto"/>
          </w:tcPr>
          <w:p w14:paraId="6A703260" w14:textId="77777777" w:rsidR="00AF3581" w:rsidRPr="00506303" w:rsidRDefault="00AF3581" w:rsidP="0067543B">
            <w:pPr>
              <w:rPr>
                <w:sz w:val="18"/>
                <w:szCs w:val="18"/>
              </w:rPr>
            </w:pPr>
          </w:p>
        </w:tc>
        <w:tc>
          <w:tcPr>
            <w:tcW w:w="472" w:type="dxa"/>
            <w:shd w:val="clear" w:color="auto" w:fill="auto"/>
          </w:tcPr>
          <w:p w14:paraId="6D498894" w14:textId="77777777" w:rsidR="00AF3581" w:rsidRPr="00506303" w:rsidRDefault="00AF3581" w:rsidP="0067543B">
            <w:pPr>
              <w:rPr>
                <w:sz w:val="18"/>
                <w:szCs w:val="18"/>
              </w:rPr>
            </w:pPr>
          </w:p>
        </w:tc>
        <w:tc>
          <w:tcPr>
            <w:tcW w:w="472" w:type="dxa"/>
            <w:shd w:val="clear" w:color="auto" w:fill="auto"/>
          </w:tcPr>
          <w:p w14:paraId="390991B3" w14:textId="77777777" w:rsidR="00AF3581" w:rsidRPr="00506303" w:rsidRDefault="00AF3581" w:rsidP="0067543B">
            <w:pPr>
              <w:rPr>
                <w:sz w:val="18"/>
                <w:szCs w:val="18"/>
              </w:rPr>
            </w:pPr>
          </w:p>
        </w:tc>
        <w:tc>
          <w:tcPr>
            <w:tcW w:w="472" w:type="dxa"/>
            <w:shd w:val="clear" w:color="auto" w:fill="auto"/>
          </w:tcPr>
          <w:p w14:paraId="3F27444A" w14:textId="77777777" w:rsidR="00AF3581" w:rsidRPr="00506303" w:rsidRDefault="00AF3581" w:rsidP="0067543B">
            <w:pPr>
              <w:rPr>
                <w:sz w:val="18"/>
                <w:szCs w:val="18"/>
              </w:rPr>
            </w:pPr>
          </w:p>
        </w:tc>
        <w:tc>
          <w:tcPr>
            <w:tcW w:w="473" w:type="dxa"/>
            <w:shd w:val="clear" w:color="auto" w:fill="auto"/>
          </w:tcPr>
          <w:p w14:paraId="60739091" w14:textId="77777777" w:rsidR="00AF3581" w:rsidRPr="00506303" w:rsidRDefault="00AF3581" w:rsidP="0067543B">
            <w:pPr>
              <w:rPr>
                <w:sz w:val="18"/>
                <w:szCs w:val="18"/>
              </w:rPr>
            </w:pPr>
          </w:p>
        </w:tc>
        <w:tc>
          <w:tcPr>
            <w:tcW w:w="473" w:type="dxa"/>
            <w:shd w:val="clear" w:color="auto" w:fill="auto"/>
          </w:tcPr>
          <w:p w14:paraId="4C7DE1AB" w14:textId="77777777" w:rsidR="00AF3581" w:rsidRPr="00506303" w:rsidRDefault="00AF3581" w:rsidP="0067543B">
            <w:pPr>
              <w:rPr>
                <w:sz w:val="18"/>
                <w:szCs w:val="18"/>
              </w:rPr>
            </w:pPr>
          </w:p>
        </w:tc>
        <w:tc>
          <w:tcPr>
            <w:tcW w:w="473" w:type="dxa"/>
            <w:shd w:val="clear" w:color="auto" w:fill="auto"/>
          </w:tcPr>
          <w:p w14:paraId="1447328B" w14:textId="77777777" w:rsidR="00AF3581" w:rsidRPr="00506303" w:rsidRDefault="00AF3581" w:rsidP="0067543B">
            <w:pPr>
              <w:rPr>
                <w:sz w:val="18"/>
                <w:szCs w:val="18"/>
              </w:rPr>
            </w:pPr>
          </w:p>
        </w:tc>
        <w:tc>
          <w:tcPr>
            <w:tcW w:w="473" w:type="dxa"/>
            <w:shd w:val="clear" w:color="auto" w:fill="auto"/>
          </w:tcPr>
          <w:p w14:paraId="0A6AB4AC" w14:textId="77777777" w:rsidR="00AF3581" w:rsidRPr="00506303" w:rsidRDefault="00AF3581" w:rsidP="0067543B">
            <w:pPr>
              <w:rPr>
                <w:sz w:val="18"/>
                <w:szCs w:val="18"/>
              </w:rPr>
            </w:pPr>
          </w:p>
        </w:tc>
        <w:tc>
          <w:tcPr>
            <w:tcW w:w="473" w:type="dxa"/>
            <w:shd w:val="clear" w:color="auto" w:fill="auto"/>
          </w:tcPr>
          <w:p w14:paraId="3AA1EA79" w14:textId="77777777" w:rsidR="00AF3581" w:rsidRPr="00506303" w:rsidRDefault="00AF3581" w:rsidP="0067543B">
            <w:pPr>
              <w:rPr>
                <w:sz w:val="18"/>
                <w:szCs w:val="18"/>
              </w:rPr>
            </w:pPr>
          </w:p>
        </w:tc>
        <w:tc>
          <w:tcPr>
            <w:tcW w:w="473" w:type="dxa"/>
            <w:shd w:val="clear" w:color="auto" w:fill="auto"/>
          </w:tcPr>
          <w:p w14:paraId="70AD0270" w14:textId="77777777" w:rsidR="00AF3581" w:rsidRPr="00506303" w:rsidRDefault="00AF3581" w:rsidP="0067543B">
            <w:pPr>
              <w:rPr>
                <w:sz w:val="18"/>
                <w:szCs w:val="18"/>
              </w:rPr>
            </w:pPr>
          </w:p>
        </w:tc>
        <w:tc>
          <w:tcPr>
            <w:tcW w:w="473" w:type="dxa"/>
            <w:shd w:val="clear" w:color="auto" w:fill="auto"/>
          </w:tcPr>
          <w:p w14:paraId="384384C4" w14:textId="77777777" w:rsidR="00AF3581" w:rsidRPr="00506303" w:rsidRDefault="00AF3581" w:rsidP="0067543B">
            <w:pPr>
              <w:rPr>
                <w:sz w:val="18"/>
                <w:szCs w:val="18"/>
              </w:rPr>
            </w:pPr>
          </w:p>
        </w:tc>
        <w:tc>
          <w:tcPr>
            <w:tcW w:w="473" w:type="dxa"/>
            <w:shd w:val="clear" w:color="auto" w:fill="auto"/>
          </w:tcPr>
          <w:p w14:paraId="11491345" w14:textId="77777777" w:rsidR="00AF3581" w:rsidRPr="00506303" w:rsidRDefault="00AF3581" w:rsidP="0067543B">
            <w:pPr>
              <w:rPr>
                <w:sz w:val="18"/>
                <w:szCs w:val="18"/>
              </w:rPr>
            </w:pPr>
          </w:p>
        </w:tc>
        <w:tc>
          <w:tcPr>
            <w:tcW w:w="473" w:type="dxa"/>
            <w:shd w:val="clear" w:color="auto" w:fill="auto"/>
          </w:tcPr>
          <w:p w14:paraId="3B74FD28" w14:textId="77777777" w:rsidR="00AF3581" w:rsidRPr="00506303" w:rsidRDefault="00AF3581" w:rsidP="0067543B">
            <w:pPr>
              <w:rPr>
                <w:sz w:val="18"/>
                <w:szCs w:val="18"/>
              </w:rPr>
            </w:pPr>
          </w:p>
        </w:tc>
        <w:tc>
          <w:tcPr>
            <w:tcW w:w="473" w:type="dxa"/>
            <w:shd w:val="clear" w:color="auto" w:fill="auto"/>
          </w:tcPr>
          <w:p w14:paraId="1220BF20" w14:textId="77777777" w:rsidR="00AF3581" w:rsidRPr="00506303" w:rsidRDefault="00AF3581" w:rsidP="0067543B">
            <w:pPr>
              <w:rPr>
                <w:sz w:val="18"/>
                <w:szCs w:val="18"/>
              </w:rPr>
            </w:pPr>
          </w:p>
        </w:tc>
      </w:tr>
      <w:tr w:rsidR="00AF3581" w:rsidRPr="00506303" w14:paraId="7B0F53AF" w14:textId="77777777" w:rsidTr="00E071AC">
        <w:tc>
          <w:tcPr>
            <w:tcW w:w="944" w:type="dxa"/>
            <w:shd w:val="clear" w:color="auto" w:fill="auto"/>
          </w:tcPr>
          <w:p w14:paraId="74F01ABE" w14:textId="77777777" w:rsidR="00AF3581" w:rsidRPr="00506303" w:rsidRDefault="00AF3581" w:rsidP="0067543B">
            <w:pPr>
              <w:rPr>
                <w:sz w:val="18"/>
                <w:szCs w:val="18"/>
              </w:rPr>
            </w:pPr>
            <w:r w:rsidRPr="00506303">
              <w:rPr>
                <w:sz w:val="18"/>
                <w:szCs w:val="18"/>
              </w:rPr>
              <w:t>1.1.1.3</w:t>
            </w:r>
          </w:p>
        </w:tc>
        <w:tc>
          <w:tcPr>
            <w:tcW w:w="3776" w:type="dxa"/>
            <w:shd w:val="clear" w:color="auto" w:fill="auto"/>
          </w:tcPr>
          <w:p w14:paraId="3A3ED460" w14:textId="77777777" w:rsidR="00AF3581" w:rsidRPr="00506303" w:rsidRDefault="00AF3581" w:rsidP="0067543B">
            <w:pPr>
              <w:rPr>
                <w:sz w:val="18"/>
                <w:szCs w:val="18"/>
              </w:rPr>
            </w:pPr>
            <w:r w:rsidRPr="00506303">
              <w:rPr>
                <w:sz w:val="18"/>
                <w:szCs w:val="18"/>
              </w:rPr>
              <w:t>Prepare GIS maps for priority sites depicting the agreed values to be retained via protection</w:t>
            </w:r>
          </w:p>
        </w:tc>
        <w:tc>
          <w:tcPr>
            <w:tcW w:w="472" w:type="dxa"/>
            <w:shd w:val="clear" w:color="auto" w:fill="auto"/>
          </w:tcPr>
          <w:p w14:paraId="17662957" w14:textId="77777777" w:rsidR="00AF3581" w:rsidRPr="00506303" w:rsidRDefault="00AF3581" w:rsidP="0067543B">
            <w:pPr>
              <w:rPr>
                <w:sz w:val="18"/>
                <w:szCs w:val="18"/>
              </w:rPr>
            </w:pPr>
          </w:p>
        </w:tc>
        <w:tc>
          <w:tcPr>
            <w:tcW w:w="472" w:type="dxa"/>
            <w:shd w:val="clear" w:color="auto" w:fill="auto"/>
          </w:tcPr>
          <w:p w14:paraId="454CA681" w14:textId="77777777" w:rsidR="00AF3581" w:rsidRPr="00506303" w:rsidRDefault="00AF3581" w:rsidP="0067543B">
            <w:pPr>
              <w:rPr>
                <w:sz w:val="18"/>
                <w:szCs w:val="18"/>
              </w:rPr>
            </w:pPr>
          </w:p>
        </w:tc>
        <w:tc>
          <w:tcPr>
            <w:tcW w:w="472" w:type="dxa"/>
            <w:shd w:val="clear" w:color="auto" w:fill="D9D9D9"/>
          </w:tcPr>
          <w:p w14:paraId="289C69AC" w14:textId="77777777" w:rsidR="00AF3581" w:rsidRPr="00506303" w:rsidRDefault="00AF3581" w:rsidP="0067543B">
            <w:pPr>
              <w:rPr>
                <w:sz w:val="18"/>
                <w:szCs w:val="18"/>
              </w:rPr>
            </w:pPr>
          </w:p>
        </w:tc>
        <w:tc>
          <w:tcPr>
            <w:tcW w:w="472" w:type="dxa"/>
            <w:shd w:val="clear" w:color="auto" w:fill="D9D9D9"/>
          </w:tcPr>
          <w:p w14:paraId="138EB7EA" w14:textId="77777777" w:rsidR="00AF3581" w:rsidRPr="00506303" w:rsidRDefault="00AF3581" w:rsidP="0067543B">
            <w:pPr>
              <w:rPr>
                <w:sz w:val="18"/>
                <w:szCs w:val="18"/>
              </w:rPr>
            </w:pPr>
          </w:p>
        </w:tc>
        <w:tc>
          <w:tcPr>
            <w:tcW w:w="472" w:type="dxa"/>
            <w:shd w:val="clear" w:color="auto" w:fill="D9D9D9"/>
          </w:tcPr>
          <w:p w14:paraId="653249F9" w14:textId="77777777" w:rsidR="00AF3581" w:rsidRPr="00506303" w:rsidRDefault="00AF3581" w:rsidP="0067543B">
            <w:pPr>
              <w:rPr>
                <w:sz w:val="18"/>
                <w:szCs w:val="18"/>
              </w:rPr>
            </w:pPr>
          </w:p>
        </w:tc>
        <w:tc>
          <w:tcPr>
            <w:tcW w:w="472" w:type="dxa"/>
            <w:shd w:val="clear" w:color="auto" w:fill="auto"/>
          </w:tcPr>
          <w:p w14:paraId="554CB79D" w14:textId="77777777" w:rsidR="00AF3581" w:rsidRPr="00506303" w:rsidRDefault="00AF3581" w:rsidP="0067543B">
            <w:pPr>
              <w:rPr>
                <w:sz w:val="18"/>
                <w:szCs w:val="18"/>
              </w:rPr>
            </w:pPr>
          </w:p>
        </w:tc>
        <w:tc>
          <w:tcPr>
            <w:tcW w:w="472" w:type="dxa"/>
            <w:shd w:val="clear" w:color="auto" w:fill="auto"/>
          </w:tcPr>
          <w:p w14:paraId="7B2CD9EC" w14:textId="77777777" w:rsidR="00AF3581" w:rsidRPr="00506303" w:rsidRDefault="00AF3581" w:rsidP="0067543B">
            <w:pPr>
              <w:rPr>
                <w:sz w:val="18"/>
                <w:szCs w:val="18"/>
              </w:rPr>
            </w:pPr>
          </w:p>
        </w:tc>
        <w:tc>
          <w:tcPr>
            <w:tcW w:w="472" w:type="dxa"/>
            <w:shd w:val="clear" w:color="auto" w:fill="auto"/>
          </w:tcPr>
          <w:p w14:paraId="02B1356A" w14:textId="77777777" w:rsidR="00AF3581" w:rsidRPr="00506303" w:rsidRDefault="00AF3581" w:rsidP="0067543B">
            <w:pPr>
              <w:rPr>
                <w:sz w:val="18"/>
                <w:szCs w:val="18"/>
              </w:rPr>
            </w:pPr>
          </w:p>
        </w:tc>
        <w:tc>
          <w:tcPr>
            <w:tcW w:w="472" w:type="dxa"/>
            <w:shd w:val="clear" w:color="auto" w:fill="auto"/>
          </w:tcPr>
          <w:p w14:paraId="635ACE97" w14:textId="77777777" w:rsidR="00AF3581" w:rsidRPr="00506303" w:rsidRDefault="00AF3581" w:rsidP="0067543B">
            <w:pPr>
              <w:rPr>
                <w:sz w:val="18"/>
                <w:szCs w:val="18"/>
              </w:rPr>
            </w:pPr>
          </w:p>
        </w:tc>
        <w:tc>
          <w:tcPr>
            <w:tcW w:w="472" w:type="dxa"/>
            <w:shd w:val="clear" w:color="auto" w:fill="auto"/>
          </w:tcPr>
          <w:p w14:paraId="2DB461B5" w14:textId="77777777" w:rsidR="00AF3581" w:rsidRPr="00506303" w:rsidRDefault="00AF3581" w:rsidP="0067543B">
            <w:pPr>
              <w:rPr>
                <w:sz w:val="18"/>
                <w:szCs w:val="18"/>
              </w:rPr>
            </w:pPr>
          </w:p>
        </w:tc>
        <w:tc>
          <w:tcPr>
            <w:tcW w:w="473" w:type="dxa"/>
            <w:shd w:val="clear" w:color="auto" w:fill="auto"/>
          </w:tcPr>
          <w:p w14:paraId="7C1527FB" w14:textId="77777777" w:rsidR="00AF3581" w:rsidRPr="00506303" w:rsidRDefault="00AF3581" w:rsidP="0067543B">
            <w:pPr>
              <w:rPr>
                <w:sz w:val="18"/>
                <w:szCs w:val="18"/>
              </w:rPr>
            </w:pPr>
          </w:p>
        </w:tc>
        <w:tc>
          <w:tcPr>
            <w:tcW w:w="473" w:type="dxa"/>
            <w:shd w:val="clear" w:color="auto" w:fill="auto"/>
          </w:tcPr>
          <w:p w14:paraId="52ABB01C" w14:textId="77777777" w:rsidR="00AF3581" w:rsidRPr="00506303" w:rsidRDefault="00AF3581" w:rsidP="0067543B">
            <w:pPr>
              <w:rPr>
                <w:sz w:val="18"/>
                <w:szCs w:val="18"/>
              </w:rPr>
            </w:pPr>
          </w:p>
        </w:tc>
        <w:tc>
          <w:tcPr>
            <w:tcW w:w="473" w:type="dxa"/>
            <w:shd w:val="clear" w:color="auto" w:fill="auto"/>
          </w:tcPr>
          <w:p w14:paraId="1F8FF99E" w14:textId="77777777" w:rsidR="00AF3581" w:rsidRPr="00506303" w:rsidRDefault="00AF3581" w:rsidP="0067543B">
            <w:pPr>
              <w:rPr>
                <w:sz w:val="18"/>
                <w:szCs w:val="18"/>
              </w:rPr>
            </w:pPr>
          </w:p>
        </w:tc>
        <w:tc>
          <w:tcPr>
            <w:tcW w:w="473" w:type="dxa"/>
            <w:shd w:val="clear" w:color="auto" w:fill="auto"/>
          </w:tcPr>
          <w:p w14:paraId="7167D4E6" w14:textId="77777777" w:rsidR="00AF3581" w:rsidRPr="00506303" w:rsidRDefault="00AF3581" w:rsidP="0067543B">
            <w:pPr>
              <w:rPr>
                <w:sz w:val="18"/>
                <w:szCs w:val="18"/>
              </w:rPr>
            </w:pPr>
          </w:p>
        </w:tc>
        <w:tc>
          <w:tcPr>
            <w:tcW w:w="473" w:type="dxa"/>
            <w:shd w:val="clear" w:color="auto" w:fill="auto"/>
          </w:tcPr>
          <w:p w14:paraId="375F65BB" w14:textId="77777777" w:rsidR="00AF3581" w:rsidRPr="00506303" w:rsidRDefault="00AF3581" w:rsidP="0067543B">
            <w:pPr>
              <w:rPr>
                <w:sz w:val="18"/>
                <w:szCs w:val="18"/>
              </w:rPr>
            </w:pPr>
          </w:p>
        </w:tc>
        <w:tc>
          <w:tcPr>
            <w:tcW w:w="473" w:type="dxa"/>
            <w:shd w:val="clear" w:color="auto" w:fill="auto"/>
          </w:tcPr>
          <w:p w14:paraId="61CE793E" w14:textId="77777777" w:rsidR="00AF3581" w:rsidRPr="00506303" w:rsidRDefault="00AF3581" w:rsidP="0067543B">
            <w:pPr>
              <w:rPr>
                <w:sz w:val="18"/>
                <w:szCs w:val="18"/>
              </w:rPr>
            </w:pPr>
          </w:p>
        </w:tc>
        <w:tc>
          <w:tcPr>
            <w:tcW w:w="473" w:type="dxa"/>
            <w:shd w:val="clear" w:color="auto" w:fill="auto"/>
          </w:tcPr>
          <w:p w14:paraId="490E3636" w14:textId="77777777" w:rsidR="00AF3581" w:rsidRPr="00506303" w:rsidRDefault="00AF3581" w:rsidP="0067543B">
            <w:pPr>
              <w:rPr>
                <w:sz w:val="18"/>
                <w:szCs w:val="18"/>
              </w:rPr>
            </w:pPr>
          </w:p>
        </w:tc>
        <w:tc>
          <w:tcPr>
            <w:tcW w:w="473" w:type="dxa"/>
            <w:shd w:val="clear" w:color="auto" w:fill="auto"/>
          </w:tcPr>
          <w:p w14:paraId="414284AB" w14:textId="77777777" w:rsidR="00AF3581" w:rsidRPr="00506303" w:rsidRDefault="00AF3581" w:rsidP="0067543B">
            <w:pPr>
              <w:rPr>
                <w:sz w:val="18"/>
                <w:szCs w:val="18"/>
              </w:rPr>
            </w:pPr>
          </w:p>
        </w:tc>
        <w:tc>
          <w:tcPr>
            <w:tcW w:w="473" w:type="dxa"/>
            <w:shd w:val="clear" w:color="auto" w:fill="auto"/>
          </w:tcPr>
          <w:p w14:paraId="2FE85FCD" w14:textId="77777777" w:rsidR="00AF3581" w:rsidRPr="00506303" w:rsidRDefault="00AF3581" w:rsidP="0067543B">
            <w:pPr>
              <w:rPr>
                <w:sz w:val="18"/>
                <w:szCs w:val="18"/>
              </w:rPr>
            </w:pPr>
          </w:p>
        </w:tc>
        <w:tc>
          <w:tcPr>
            <w:tcW w:w="473" w:type="dxa"/>
            <w:shd w:val="clear" w:color="auto" w:fill="auto"/>
          </w:tcPr>
          <w:p w14:paraId="00B0007C" w14:textId="77777777" w:rsidR="00AF3581" w:rsidRPr="00506303" w:rsidRDefault="00AF3581" w:rsidP="0067543B">
            <w:pPr>
              <w:rPr>
                <w:sz w:val="18"/>
                <w:szCs w:val="18"/>
              </w:rPr>
            </w:pPr>
          </w:p>
        </w:tc>
      </w:tr>
      <w:tr w:rsidR="00AF3581" w:rsidRPr="00506303" w14:paraId="0F7EC121" w14:textId="77777777" w:rsidTr="00E071AC">
        <w:tc>
          <w:tcPr>
            <w:tcW w:w="944" w:type="dxa"/>
            <w:shd w:val="clear" w:color="auto" w:fill="auto"/>
          </w:tcPr>
          <w:p w14:paraId="160A5B16" w14:textId="77777777" w:rsidR="00AF3581" w:rsidRPr="00506303" w:rsidRDefault="00AF3581" w:rsidP="0067543B">
            <w:pPr>
              <w:rPr>
                <w:sz w:val="18"/>
                <w:szCs w:val="18"/>
              </w:rPr>
            </w:pPr>
            <w:r w:rsidRPr="00506303">
              <w:rPr>
                <w:sz w:val="18"/>
                <w:szCs w:val="18"/>
              </w:rPr>
              <w:t>1.1.1.4</w:t>
            </w:r>
          </w:p>
        </w:tc>
        <w:tc>
          <w:tcPr>
            <w:tcW w:w="3776" w:type="dxa"/>
            <w:shd w:val="clear" w:color="auto" w:fill="auto"/>
          </w:tcPr>
          <w:p w14:paraId="26551969" w14:textId="77777777" w:rsidR="00AF3581" w:rsidRPr="00506303" w:rsidRDefault="00AF3581" w:rsidP="0067543B">
            <w:pPr>
              <w:rPr>
                <w:sz w:val="18"/>
                <w:szCs w:val="18"/>
              </w:rPr>
            </w:pPr>
            <w:r w:rsidRPr="00506303">
              <w:rPr>
                <w:sz w:val="18"/>
                <w:szCs w:val="18"/>
              </w:rPr>
              <w:t>Conduct assessments of environmental and social impacts of declaration of protection status</w:t>
            </w:r>
          </w:p>
        </w:tc>
        <w:tc>
          <w:tcPr>
            <w:tcW w:w="472" w:type="dxa"/>
            <w:shd w:val="clear" w:color="auto" w:fill="auto"/>
          </w:tcPr>
          <w:p w14:paraId="29BC9063" w14:textId="77777777" w:rsidR="00AF3581" w:rsidRPr="00506303" w:rsidRDefault="00AF3581" w:rsidP="0067543B">
            <w:pPr>
              <w:rPr>
                <w:sz w:val="18"/>
                <w:szCs w:val="18"/>
              </w:rPr>
            </w:pPr>
          </w:p>
        </w:tc>
        <w:tc>
          <w:tcPr>
            <w:tcW w:w="472" w:type="dxa"/>
            <w:shd w:val="clear" w:color="auto" w:fill="auto"/>
          </w:tcPr>
          <w:p w14:paraId="41FBE521" w14:textId="77777777" w:rsidR="00AF3581" w:rsidRPr="00506303" w:rsidRDefault="00AF3581" w:rsidP="0067543B">
            <w:pPr>
              <w:rPr>
                <w:sz w:val="18"/>
                <w:szCs w:val="18"/>
              </w:rPr>
            </w:pPr>
          </w:p>
        </w:tc>
        <w:tc>
          <w:tcPr>
            <w:tcW w:w="472" w:type="dxa"/>
            <w:shd w:val="clear" w:color="auto" w:fill="D9D9D9"/>
          </w:tcPr>
          <w:p w14:paraId="7792018B" w14:textId="77777777" w:rsidR="00AF3581" w:rsidRPr="00506303" w:rsidRDefault="00AF3581" w:rsidP="0067543B">
            <w:pPr>
              <w:rPr>
                <w:sz w:val="18"/>
                <w:szCs w:val="18"/>
              </w:rPr>
            </w:pPr>
          </w:p>
        </w:tc>
        <w:tc>
          <w:tcPr>
            <w:tcW w:w="472" w:type="dxa"/>
            <w:shd w:val="clear" w:color="auto" w:fill="D9D9D9"/>
          </w:tcPr>
          <w:p w14:paraId="37523A8A" w14:textId="77777777" w:rsidR="00AF3581" w:rsidRPr="00506303" w:rsidRDefault="00AF3581" w:rsidP="0067543B">
            <w:pPr>
              <w:rPr>
                <w:sz w:val="18"/>
                <w:szCs w:val="18"/>
              </w:rPr>
            </w:pPr>
          </w:p>
        </w:tc>
        <w:tc>
          <w:tcPr>
            <w:tcW w:w="472" w:type="dxa"/>
            <w:shd w:val="clear" w:color="auto" w:fill="D9D9D9"/>
          </w:tcPr>
          <w:p w14:paraId="689CA283" w14:textId="77777777" w:rsidR="00AF3581" w:rsidRPr="00506303" w:rsidRDefault="00AF3581" w:rsidP="0067543B">
            <w:pPr>
              <w:rPr>
                <w:sz w:val="18"/>
                <w:szCs w:val="18"/>
              </w:rPr>
            </w:pPr>
          </w:p>
        </w:tc>
        <w:tc>
          <w:tcPr>
            <w:tcW w:w="472" w:type="dxa"/>
            <w:shd w:val="clear" w:color="auto" w:fill="auto"/>
          </w:tcPr>
          <w:p w14:paraId="5C136862" w14:textId="77777777" w:rsidR="00AF3581" w:rsidRPr="00506303" w:rsidRDefault="00AF3581" w:rsidP="0067543B">
            <w:pPr>
              <w:rPr>
                <w:sz w:val="18"/>
                <w:szCs w:val="18"/>
              </w:rPr>
            </w:pPr>
          </w:p>
        </w:tc>
        <w:tc>
          <w:tcPr>
            <w:tcW w:w="472" w:type="dxa"/>
            <w:shd w:val="clear" w:color="auto" w:fill="auto"/>
          </w:tcPr>
          <w:p w14:paraId="6F986DE9" w14:textId="77777777" w:rsidR="00AF3581" w:rsidRPr="00506303" w:rsidRDefault="00AF3581" w:rsidP="0067543B">
            <w:pPr>
              <w:rPr>
                <w:sz w:val="18"/>
                <w:szCs w:val="18"/>
              </w:rPr>
            </w:pPr>
          </w:p>
        </w:tc>
        <w:tc>
          <w:tcPr>
            <w:tcW w:w="472" w:type="dxa"/>
            <w:shd w:val="clear" w:color="auto" w:fill="auto"/>
          </w:tcPr>
          <w:p w14:paraId="45BD7C94" w14:textId="77777777" w:rsidR="00AF3581" w:rsidRPr="00506303" w:rsidRDefault="00AF3581" w:rsidP="0067543B">
            <w:pPr>
              <w:rPr>
                <w:sz w:val="18"/>
                <w:szCs w:val="18"/>
              </w:rPr>
            </w:pPr>
          </w:p>
        </w:tc>
        <w:tc>
          <w:tcPr>
            <w:tcW w:w="472" w:type="dxa"/>
            <w:shd w:val="clear" w:color="auto" w:fill="auto"/>
          </w:tcPr>
          <w:p w14:paraId="11611A34" w14:textId="77777777" w:rsidR="00AF3581" w:rsidRPr="00506303" w:rsidRDefault="00AF3581" w:rsidP="0067543B">
            <w:pPr>
              <w:rPr>
                <w:sz w:val="18"/>
                <w:szCs w:val="18"/>
              </w:rPr>
            </w:pPr>
          </w:p>
        </w:tc>
        <w:tc>
          <w:tcPr>
            <w:tcW w:w="472" w:type="dxa"/>
            <w:shd w:val="clear" w:color="auto" w:fill="auto"/>
          </w:tcPr>
          <w:p w14:paraId="5536E799" w14:textId="77777777" w:rsidR="00AF3581" w:rsidRPr="00506303" w:rsidRDefault="00AF3581" w:rsidP="0067543B">
            <w:pPr>
              <w:rPr>
                <w:sz w:val="18"/>
                <w:szCs w:val="18"/>
              </w:rPr>
            </w:pPr>
          </w:p>
        </w:tc>
        <w:tc>
          <w:tcPr>
            <w:tcW w:w="473" w:type="dxa"/>
            <w:shd w:val="clear" w:color="auto" w:fill="auto"/>
          </w:tcPr>
          <w:p w14:paraId="365FC6F4" w14:textId="77777777" w:rsidR="00AF3581" w:rsidRPr="00506303" w:rsidRDefault="00AF3581" w:rsidP="0067543B">
            <w:pPr>
              <w:rPr>
                <w:sz w:val="18"/>
                <w:szCs w:val="18"/>
              </w:rPr>
            </w:pPr>
          </w:p>
        </w:tc>
        <w:tc>
          <w:tcPr>
            <w:tcW w:w="473" w:type="dxa"/>
            <w:shd w:val="clear" w:color="auto" w:fill="auto"/>
          </w:tcPr>
          <w:p w14:paraId="13604779" w14:textId="77777777" w:rsidR="00AF3581" w:rsidRPr="00506303" w:rsidRDefault="00AF3581" w:rsidP="0067543B">
            <w:pPr>
              <w:rPr>
                <w:sz w:val="18"/>
                <w:szCs w:val="18"/>
              </w:rPr>
            </w:pPr>
          </w:p>
        </w:tc>
        <w:tc>
          <w:tcPr>
            <w:tcW w:w="473" w:type="dxa"/>
            <w:shd w:val="clear" w:color="auto" w:fill="auto"/>
          </w:tcPr>
          <w:p w14:paraId="6FA2B5B6" w14:textId="77777777" w:rsidR="00AF3581" w:rsidRPr="00506303" w:rsidRDefault="00AF3581" w:rsidP="0067543B">
            <w:pPr>
              <w:rPr>
                <w:sz w:val="18"/>
                <w:szCs w:val="18"/>
              </w:rPr>
            </w:pPr>
          </w:p>
        </w:tc>
        <w:tc>
          <w:tcPr>
            <w:tcW w:w="473" w:type="dxa"/>
            <w:shd w:val="clear" w:color="auto" w:fill="auto"/>
          </w:tcPr>
          <w:p w14:paraId="5021EF44" w14:textId="77777777" w:rsidR="00AF3581" w:rsidRPr="00506303" w:rsidRDefault="00AF3581" w:rsidP="0067543B">
            <w:pPr>
              <w:rPr>
                <w:sz w:val="18"/>
                <w:szCs w:val="18"/>
              </w:rPr>
            </w:pPr>
          </w:p>
        </w:tc>
        <w:tc>
          <w:tcPr>
            <w:tcW w:w="473" w:type="dxa"/>
            <w:shd w:val="clear" w:color="auto" w:fill="auto"/>
          </w:tcPr>
          <w:p w14:paraId="40E4F020" w14:textId="77777777" w:rsidR="00AF3581" w:rsidRPr="00506303" w:rsidRDefault="00AF3581" w:rsidP="0067543B">
            <w:pPr>
              <w:rPr>
                <w:sz w:val="18"/>
                <w:szCs w:val="18"/>
              </w:rPr>
            </w:pPr>
          </w:p>
        </w:tc>
        <w:tc>
          <w:tcPr>
            <w:tcW w:w="473" w:type="dxa"/>
            <w:shd w:val="clear" w:color="auto" w:fill="auto"/>
          </w:tcPr>
          <w:p w14:paraId="29DCCF19" w14:textId="77777777" w:rsidR="00AF3581" w:rsidRPr="00506303" w:rsidRDefault="00AF3581" w:rsidP="0067543B">
            <w:pPr>
              <w:rPr>
                <w:sz w:val="18"/>
                <w:szCs w:val="18"/>
              </w:rPr>
            </w:pPr>
          </w:p>
        </w:tc>
        <w:tc>
          <w:tcPr>
            <w:tcW w:w="473" w:type="dxa"/>
            <w:shd w:val="clear" w:color="auto" w:fill="auto"/>
          </w:tcPr>
          <w:p w14:paraId="1701B2E6" w14:textId="77777777" w:rsidR="00AF3581" w:rsidRPr="00506303" w:rsidRDefault="00AF3581" w:rsidP="0067543B">
            <w:pPr>
              <w:rPr>
                <w:sz w:val="18"/>
                <w:szCs w:val="18"/>
              </w:rPr>
            </w:pPr>
          </w:p>
        </w:tc>
        <w:tc>
          <w:tcPr>
            <w:tcW w:w="473" w:type="dxa"/>
            <w:shd w:val="clear" w:color="auto" w:fill="auto"/>
          </w:tcPr>
          <w:p w14:paraId="3738D99A" w14:textId="77777777" w:rsidR="00AF3581" w:rsidRPr="00506303" w:rsidRDefault="00AF3581" w:rsidP="0067543B">
            <w:pPr>
              <w:rPr>
                <w:sz w:val="18"/>
                <w:szCs w:val="18"/>
              </w:rPr>
            </w:pPr>
          </w:p>
        </w:tc>
        <w:tc>
          <w:tcPr>
            <w:tcW w:w="473" w:type="dxa"/>
            <w:shd w:val="clear" w:color="auto" w:fill="auto"/>
          </w:tcPr>
          <w:p w14:paraId="1B00BDB1" w14:textId="77777777" w:rsidR="00AF3581" w:rsidRPr="00506303" w:rsidRDefault="00AF3581" w:rsidP="0067543B">
            <w:pPr>
              <w:rPr>
                <w:sz w:val="18"/>
                <w:szCs w:val="18"/>
              </w:rPr>
            </w:pPr>
          </w:p>
        </w:tc>
        <w:tc>
          <w:tcPr>
            <w:tcW w:w="473" w:type="dxa"/>
            <w:shd w:val="clear" w:color="auto" w:fill="auto"/>
          </w:tcPr>
          <w:p w14:paraId="0679F37D" w14:textId="77777777" w:rsidR="00AF3581" w:rsidRPr="00506303" w:rsidRDefault="00AF3581" w:rsidP="0067543B">
            <w:pPr>
              <w:rPr>
                <w:sz w:val="18"/>
                <w:szCs w:val="18"/>
              </w:rPr>
            </w:pPr>
          </w:p>
        </w:tc>
      </w:tr>
      <w:tr w:rsidR="00E071AC" w:rsidRPr="00506303" w14:paraId="098A47DF" w14:textId="77777777" w:rsidTr="00E071AC">
        <w:tc>
          <w:tcPr>
            <w:tcW w:w="944" w:type="dxa"/>
            <w:shd w:val="clear" w:color="auto" w:fill="auto"/>
          </w:tcPr>
          <w:p w14:paraId="0CC3C3BE" w14:textId="77777777" w:rsidR="00AF3581" w:rsidRPr="00506303" w:rsidRDefault="00AF3581" w:rsidP="0067543B">
            <w:pPr>
              <w:rPr>
                <w:sz w:val="18"/>
                <w:szCs w:val="18"/>
              </w:rPr>
            </w:pPr>
            <w:r w:rsidRPr="00506303">
              <w:rPr>
                <w:sz w:val="18"/>
                <w:szCs w:val="18"/>
              </w:rPr>
              <w:t>1.1.1.5</w:t>
            </w:r>
          </w:p>
        </w:tc>
        <w:tc>
          <w:tcPr>
            <w:tcW w:w="3776" w:type="dxa"/>
            <w:shd w:val="clear" w:color="auto" w:fill="auto"/>
          </w:tcPr>
          <w:p w14:paraId="4D38FEB4" w14:textId="77777777" w:rsidR="00AF3581" w:rsidRPr="00506303" w:rsidRDefault="00AF3581" w:rsidP="0067543B">
            <w:pPr>
              <w:rPr>
                <w:sz w:val="18"/>
                <w:szCs w:val="18"/>
              </w:rPr>
            </w:pPr>
            <w:r w:rsidRPr="00506303">
              <w:rPr>
                <w:sz w:val="18"/>
                <w:szCs w:val="18"/>
              </w:rPr>
              <w:t>Operate local consultation processes to seek stakeholder input to boundary delineation</w:t>
            </w:r>
          </w:p>
        </w:tc>
        <w:tc>
          <w:tcPr>
            <w:tcW w:w="472" w:type="dxa"/>
            <w:shd w:val="clear" w:color="auto" w:fill="auto"/>
          </w:tcPr>
          <w:p w14:paraId="1E901F73" w14:textId="77777777" w:rsidR="00AF3581" w:rsidRPr="00506303" w:rsidRDefault="00AF3581" w:rsidP="0067543B">
            <w:pPr>
              <w:rPr>
                <w:sz w:val="18"/>
                <w:szCs w:val="18"/>
              </w:rPr>
            </w:pPr>
          </w:p>
        </w:tc>
        <w:tc>
          <w:tcPr>
            <w:tcW w:w="472" w:type="dxa"/>
            <w:shd w:val="clear" w:color="auto" w:fill="auto"/>
          </w:tcPr>
          <w:p w14:paraId="1A135360" w14:textId="77777777" w:rsidR="00AF3581" w:rsidRPr="00506303" w:rsidRDefault="00AF3581" w:rsidP="0067543B">
            <w:pPr>
              <w:rPr>
                <w:sz w:val="18"/>
                <w:szCs w:val="18"/>
              </w:rPr>
            </w:pPr>
          </w:p>
        </w:tc>
        <w:tc>
          <w:tcPr>
            <w:tcW w:w="472" w:type="dxa"/>
            <w:shd w:val="clear" w:color="auto" w:fill="auto"/>
          </w:tcPr>
          <w:p w14:paraId="7272401F" w14:textId="77777777" w:rsidR="00AF3581" w:rsidRPr="00506303" w:rsidRDefault="00AF3581" w:rsidP="0067543B">
            <w:pPr>
              <w:rPr>
                <w:sz w:val="18"/>
                <w:szCs w:val="18"/>
              </w:rPr>
            </w:pPr>
          </w:p>
        </w:tc>
        <w:tc>
          <w:tcPr>
            <w:tcW w:w="472" w:type="dxa"/>
            <w:shd w:val="clear" w:color="auto" w:fill="auto"/>
          </w:tcPr>
          <w:p w14:paraId="2412D296" w14:textId="77777777" w:rsidR="00AF3581" w:rsidRPr="00506303" w:rsidRDefault="00AF3581" w:rsidP="0067543B">
            <w:pPr>
              <w:rPr>
                <w:sz w:val="18"/>
                <w:szCs w:val="18"/>
              </w:rPr>
            </w:pPr>
          </w:p>
        </w:tc>
        <w:tc>
          <w:tcPr>
            <w:tcW w:w="472" w:type="dxa"/>
            <w:shd w:val="clear" w:color="auto" w:fill="D9D9D9"/>
          </w:tcPr>
          <w:p w14:paraId="01257892" w14:textId="77777777" w:rsidR="00AF3581" w:rsidRPr="00506303" w:rsidRDefault="00AF3581" w:rsidP="0067543B">
            <w:pPr>
              <w:rPr>
                <w:sz w:val="18"/>
                <w:szCs w:val="18"/>
              </w:rPr>
            </w:pPr>
          </w:p>
        </w:tc>
        <w:tc>
          <w:tcPr>
            <w:tcW w:w="472" w:type="dxa"/>
            <w:shd w:val="clear" w:color="auto" w:fill="D9D9D9"/>
          </w:tcPr>
          <w:p w14:paraId="158F35BC" w14:textId="77777777" w:rsidR="00AF3581" w:rsidRPr="00506303" w:rsidRDefault="00AF3581" w:rsidP="0067543B">
            <w:pPr>
              <w:rPr>
                <w:sz w:val="18"/>
                <w:szCs w:val="18"/>
              </w:rPr>
            </w:pPr>
          </w:p>
        </w:tc>
        <w:tc>
          <w:tcPr>
            <w:tcW w:w="472" w:type="dxa"/>
            <w:shd w:val="clear" w:color="auto" w:fill="D9D9D9"/>
          </w:tcPr>
          <w:p w14:paraId="320D25B8" w14:textId="77777777" w:rsidR="00AF3581" w:rsidRPr="00506303" w:rsidRDefault="00AF3581" w:rsidP="0067543B">
            <w:pPr>
              <w:rPr>
                <w:sz w:val="18"/>
                <w:szCs w:val="18"/>
              </w:rPr>
            </w:pPr>
          </w:p>
        </w:tc>
        <w:tc>
          <w:tcPr>
            <w:tcW w:w="472" w:type="dxa"/>
            <w:shd w:val="clear" w:color="auto" w:fill="D9D9D9"/>
          </w:tcPr>
          <w:p w14:paraId="3D6CE091" w14:textId="77777777" w:rsidR="00AF3581" w:rsidRPr="00506303" w:rsidRDefault="00AF3581" w:rsidP="0067543B">
            <w:pPr>
              <w:rPr>
                <w:sz w:val="18"/>
                <w:szCs w:val="18"/>
              </w:rPr>
            </w:pPr>
          </w:p>
        </w:tc>
        <w:tc>
          <w:tcPr>
            <w:tcW w:w="472" w:type="dxa"/>
            <w:shd w:val="clear" w:color="auto" w:fill="D9D9D9"/>
          </w:tcPr>
          <w:p w14:paraId="14EFFF45" w14:textId="77777777" w:rsidR="00AF3581" w:rsidRPr="00506303" w:rsidRDefault="00AF3581" w:rsidP="0067543B">
            <w:pPr>
              <w:rPr>
                <w:sz w:val="18"/>
                <w:szCs w:val="18"/>
              </w:rPr>
            </w:pPr>
          </w:p>
        </w:tc>
        <w:tc>
          <w:tcPr>
            <w:tcW w:w="472" w:type="dxa"/>
            <w:shd w:val="clear" w:color="auto" w:fill="D9D9D9"/>
          </w:tcPr>
          <w:p w14:paraId="5620BB1A" w14:textId="77777777" w:rsidR="00AF3581" w:rsidRPr="00506303" w:rsidRDefault="00AF3581" w:rsidP="0067543B">
            <w:pPr>
              <w:rPr>
                <w:sz w:val="18"/>
                <w:szCs w:val="18"/>
              </w:rPr>
            </w:pPr>
          </w:p>
        </w:tc>
        <w:tc>
          <w:tcPr>
            <w:tcW w:w="473" w:type="dxa"/>
            <w:shd w:val="clear" w:color="auto" w:fill="D9D9D9"/>
          </w:tcPr>
          <w:p w14:paraId="40B6C7C3" w14:textId="77777777" w:rsidR="00AF3581" w:rsidRPr="00506303" w:rsidRDefault="00AF3581" w:rsidP="0067543B">
            <w:pPr>
              <w:rPr>
                <w:sz w:val="18"/>
                <w:szCs w:val="18"/>
              </w:rPr>
            </w:pPr>
          </w:p>
        </w:tc>
        <w:tc>
          <w:tcPr>
            <w:tcW w:w="473" w:type="dxa"/>
            <w:shd w:val="clear" w:color="auto" w:fill="D9D9D9"/>
          </w:tcPr>
          <w:p w14:paraId="3F1A4C39" w14:textId="77777777" w:rsidR="00AF3581" w:rsidRPr="00506303" w:rsidRDefault="00AF3581" w:rsidP="0067543B">
            <w:pPr>
              <w:rPr>
                <w:sz w:val="18"/>
                <w:szCs w:val="18"/>
              </w:rPr>
            </w:pPr>
          </w:p>
        </w:tc>
        <w:tc>
          <w:tcPr>
            <w:tcW w:w="473" w:type="dxa"/>
            <w:shd w:val="clear" w:color="auto" w:fill="auto"/>
          </w:tcPr>
          <w:p w14:paraId="6EEAEC03" w14:textId="77777777" w:rsidR="00AF3581" w:rsidRPr="00506303" w:rsidRDefault="00AF3581" w:rsidP="0067543B">
            <w:pPr>
              <w:rPr>
                <w:sz w:val="18"/>
                <w:szCs w:val="18"/>
              </w:rPr>
            </w:pPr>
          </w:p>
        </w:tc>
        <w:tc>
          <w:tcPr>
            <w:tcW w:w="473" w:type="dxa"/>
            <w:shd w:val="clear" w:color="auto" w:fill="auto"/>
          </w:tcPr>
          <w:p w14:paraId="456D2FF7" w14:textId="77777777" w:rsidR="00AF3581" w:rsidRPr="00506303" w:rsidRDefault="00AF3581" w:rsidP="0067543B">
            <w:pPr>
              <w:rPr>
                <w:sz w:val="18"/>
                <w:szCs w:val="18"/>
              </w:rPr>
            </w:pPr>
          </w:p>
        </w:tc>
        <w:tc>
          <w:tcPr>
            <w:tcW w:w="473" w:type="dxa"/>
            <w:shd w:val="clear" w:color="auto" w:fill="auto"/>
          </w:tcPr>
          <w:p w14:paraId="08D600C2" w14:textId="77777777" w:rsidR="00AF3581" w:rsidRPr="00506303" w:rsidRDefault="00AF3581" w:rsidP="0067543B">
            <w:pPr>
              <w:rPr>
                <w:sz w:val="18"/>
                <w:szCs w:val="18"/>
              </w:rPr>
            </w:pPr>
          </w:p>
        </w:tc>
        <w:tc>
          <w:tcPr>
            <w:tcW w:w="473" w:type="dxa"/>
            <w:shd w:val="clear" w:color="auto" w:fill="auto"/>
          </w:tcPr>
          <w:p w14:paraId="14E7C6C8" w14:textId="77777777" w:rsidR="00AF3581" w:rsidRPr="00506303" w:rsidRDefault="00AF3581" w:rsidP="0067543B">
            <w:pPr>
              <w:rPr>
                <w:sz w:val="18"/>
                <w:szCs w:val="18"/>
              </w:rPr>
            </w:pPr>
          </w:p>
        </w:tc>
        <w:tc>
          <w:tcPr>
            <w:tcW w:w="473" w:type="dxa"/>
            <w:shd w:val="clear" w:color="auto" w:fill="auto"/>
          </w:tcPr>
          <w:p w14:paraId="1AC191E4" w14:textId="77777777" w:rsidR="00AF3581" w:rsidRPr="00506303" w:rsidRDefault="00AF3581" w:rsidP="0067543B">
            <w:pPr>
              <w:rPr>
                <w:sz w:val="18"/>
                <w:szCs w:val="18"/>
              </w:rPr>
            </w:pPr>
          </w:p>
        </w:tc>
        <w:tc>
          <w:tcPr>
            <w:tcW w:w="473" w:type="dxa"/>
            <w:shd w:val="clear" w:color="auto" w:fill="auto"/>
          </w:tcPr>
          <w:p w14:paraId="0F06AA41" w14:textId="77777777" w:rsidR="00AF3581" w:rsidRPr="00506303" w:rsidRDefault="00AF3581" w:rsidP="0067543B">
            <w:pPr>
              <w:rPr>
                <w:sz w:val="18"/>
                <w:szCs w:val="18"/>
              </w:rPr>
            </w:pPr>
          </w:p>
        </w:tc>
        <w:tc>
          <w:tcPr>
            <w:tcW w:w="473" w:type="dxa"/>
            <w:shd w:val="clear" w:color="auto" w:fill="auto"/>
          </w:tcPr>
          <w:p w14:paraId="0DBE2B99" w14:textId="77777777" w:rsidR="00AF3581" w:rsidRPr="00506303" w:rsidRDefault="00AF3581" w:rsidP="0067543B">
            <w:pPr>
              <w:rPr>
                <w:sz w:val="18"/>
                <w:szCs w:val="18"/>
              </w:rPr>
            </w:pPr>
          </w:p>
        </w:tc>
        <w:tc>
          <w:tcPr>
            <w:tcW w:w="473" w:type="dxa"/>
            <w:shd w:val="clear" w:color="auto" w:fill="auto"/>
          </w:tcPr>
          <w:p w14:paraId="539B57F6" w14:textId="77777777" w:rsidR="00AF3581" w:rsidRPr="00506303" w:rsidRDefault="00AF3581" w:rsidP="0067543B">
            <w:pPr>
              <w:rPr>
                <w:sz w:val="18"/>
                <w:szCs w:val="18"/>
              </w:rPr>
            </w:pPr>
          </w:p>
        </w:tc>
      </w:tr>
      <w:tr w:rsidR="00E071AC" w:rsidRPr="00506303" w14:paraId="66446C36" w14:textId="77777777" w:rsidTr="00E071AC">
        <w:tc>
          <w:tcPr>
            <w:tcW w:w="944" w:type="dxa"/>
            <w:shd w:val="clear" w:color="auto" w:fill="auto"/>
          </w:tcPr>
          <w:p w14:paraId="18F3DEC7" w14:textId="77777777" w:rsidR="00AF3581" w:rsidRPr="00506303" w:rsidRDefault="00AF3581" w:rsidP="0067543B">
            <w:pPr>
              <w:rPr>
                <w:sz w:val="18"/>
                <w:szCs w:val="18"/>
              </w:rPr>
            </w:pPr>
            <w:r w:rsidRPr="00506303">
              <w:rPr>
                <w:sz w:val="18"/>
                <w:szCs w:val="18"/>
              </w:rPr>
              <w:t>1.1.1.6</w:t>
            </w:r>
          </w:p>
        </w:tc>
        <w:tc>
          <w:tcPr>
            <w:tcW w:w="3776" w:type="dxa"/>
            <w:shd w:val="clear" w:color="auto" w:fill="auto"/>
          </w:tcPr>
          <w:p w14:paraId="5EB62493" w14:textId="77777777" w:rsidR="00AF3581" w:rsidRPr="00506303" w:rsidRDefault="00AF3581" w:rsidP="0067543B">
            <w:pPr>
              <w:rPr>
                <w:sz w:val="18"/>
                <w:szCs w:val="18"/>
              </w:rPr>
            </w:pPr>
            <w:r w:rsidRPr="00506303">
              <w:rPr>
                <w:sz w:val="18"/>
                <w:szCs w:val="18"/>
              </w:rPr>
              <w:t>Secure formal government declaration of sites as national parks and protected areas</w:t>
            </w:r>
          </w:p>
        </w:tc>
        <w:tc>
          <w:tcPr>
            <w:tcW w:w="472" w:type="dxa"/>
            <w:shd w:val="clear" w:color="auto" w:fill="auto"/>
          </w:tcPr>
          <w:p w14:paraId="0CA602A8" w14:textId="77777777" w:rsidR="00AF3581" w:rsidRPr="00506303" w:rsidRDefault="00AF3581" w:rsidP="0067543B">
            <w:pPr>
              <w:rPr>
                <w:sz w:val="18"/>
                <w:szCs w:val="18"/>
              </w:rPr>
            </w:pPr>
          </w:p>
        </w:tc>
        <w:tc>
          <w:tcPr>
            <w:tcW w:w="472" w:type="dxa"/>
            <w:shd w:val="clear" w:color="auto" w:fill="auto"/>
          </w:tcPr>
          <w:p w14:paraId="57C0A60B" w14:textId="77777777" w:rsidR="00AF3581" w:rsidRPr="00506303" w:rsidRDefault="00AF3581" w:rsidP="0067543B">
            <w:pPr>
              <w:rPr>
                <w:sz w:val="18"/>
                <w:szCs w:val="18"/>
              </w:rPr>
            </w:pPr>
          </w:p>
        </w:tc>
        <w:tc>
          <w:tcPr>
            <w:tcW w:w="472" w:type="dxa"/>
            <w:shd w:val="clear" w:color="auto" w:fill="auto"/>
          </w:tcPr>
          <w:p w14:paraId="14AEEAFC" w14:textId="77777777" w:rsidR="00AF3581" w:rsidRPr="00506303" w:rsidRDefault="00AF3581" w:rsidP="0067543B">
            <w:pPr>
              <w:rPr>
                <w:sz w:val="18"/>
                <w:szCs w:val="18"/>
              </w:rPr>
            </w:pPr>
          </w:p>
        </w:tc>
        <w:tc>
          <w:tcPr>
            <w:tcW w:w="472" w:type="dxa"/>
            <w:shd w:val="clear" w:color="auto" w:fill="auto"/>
          </w:tcPr>
          <w:p w14:paraId="15798A1C" w14:textId="77777777" w:rsidR="00AF3581" w:rsidRPr="00506303" w:rsidRDefault="00AF3581" w:rsidP="0067543B">
            <w:pPr>
              <w:rPr>
                <w:sz w:val="18"/>
                <w:szCs w:val="18"/>
              </w:rPr>
            </w:pPr>
          </w:p>
        </w:tc>
        <w:tc>
          <w:tcPr>
            <w:tcW w:w="472" w:type="dxa"/>
            <w:shd w:val="clear" w:color="auto" w:fill="auto"/>
          </w:tcPr>
          <w:p w14:paraId="72B40F5D" w14:textId="77777777" w:rsidR="00AF3581" w:rsidRPr="00506303" w:rsidRDefault="00AF3581" w:rsidP="0067543B">
            <w:pPr>
              <w:rPr>
                <w:sz w:val="18"/>
                <w:szCs w:val="18"/>
              </w:rPr>
            </w:pPr>
          </w:p>
        </w:tc>
        <w:tc>
          <w:tcPr>
            <w:tcW w:w="472" w:type="dxa"/>
            <w:shd w:val="clear" w:color="auto" w:fill="auto"/>
          </w:tcPr>
          <w:p w14:paraId="00BE4FA9" w14:textId="77777777" w:rsidR="00AF3581" w:rsidRPr="00506303" w:rsidRDefault="00AF3581" w:rsidP="0067543B">
            <w:pPr>
              <w:rPr>
                <w:sz w:val="18"/>
                <w:szCs w:val="18"/>
              </w:rPr>
            </w:pPr>
          </w:p>
        </w:tc>
        <w:tc>
          <w:tcPr>
            <w:tcW w:w="472" w:type="dxa"/>
            <w:shd w:val="clear" w:color="auto" w:fill="auto"/>
          </w:tcPr>
          <w:p w14:paraId="2002B706" w14:textId="77777777" w:rsidR="00AF3581" w:rsidRPr="00506303" w:rsidRDefault="00AF3581" w:rsidP="0067543B">
            <w:pPr>
              <w:rPr>
                <w:sz w:val="18"/>
                <w:szCs w:val="18"/>
              </w:rPr>
            </w:pPr>
          </w:p>
        </w:tc>
        <w:tc>
          <w:tcPr>
            <w:tcW w:w="472" w:type="dxa"/>
            <w:shd w:val="clear" w:color="auto" w:fill="auto"/>
          </w:tcPr>
          <w:p w14:paraId="2334369A" w14:textId="77777777" w:rsidR="00AF3581" w:rsidRPr="00506303" w:rsidRDefault="00AF3581" w:rsidP="0067543B">
            <w:pPr>
              <w:rPr>
                <w:sz w:val="18"/>
                <w:szCs w:val="18"/>
              </w:rPr>
            </w:pPr>
          </w:p>
        </w:tc>
        <w:tc>
          <w:tcPr>
            <w:tcW w:w="472" w:type="dxa"/>
            <w:shd w:val="clear" w:color="auto" w:fill="auto"/>
          </w:tcPr>
          <w:p w14:paraId="251F739F" w14:textId="77777777" w:rsidR="00AF3581" w:rsidRPr="00506303" w:rsidRDefault="00AF3581" w:rsidP="0067543B">
            <w:pPr>
              <w:rPr>
                <w:sz w:val="18"/>
                <w:szCs w:val="18"/>
              </w:rPr>
            </w:pPr>
          </w:p>
        </w:tc>
        <w:tc>
          <w:tcPr>
            <w:tcW w:w="472" w:type="dxa"/>
            <w:shd w:val="clear" w:color="auto" w:fill="auto"/>
          </w:tcPr>
          <w:p w14:paraId="42A36966" w14:textId="77777777" w:rsidR="00AF3581" w:rsidRPr="00506303" w:rsidRDefault="00AF3581" w:rsidP="0067543B">
            <w:pPr>
              <w:rPr>
                <w:sz w:val="18"/>
                <w:szCs w:val="18"/>
              </w:rPr>
            </w:pPr>
          </w:p>
        </w:tc>
        <w:tc>
          <w:tcPr>
            <w:tcW w:w="473" w:type="dxa"/>
            <w:shd w:val="clear" w:color="auto" w:fill="D9D9D9"/>
          </w:tcPr>
          <w:p w14:paraId="120F4CF4" w14:textId="77777777" w:rsidR="00AF3581" w:rsidRPr="00506303" w:rsidRDefault="00AF3581" w:rsidP="0067543B">
            <w:pPr>
              <w:rPr>
                <w:sz w:val="18"/>
                <w:szCs w:val="18"/>
              </w:rPr>
            </w:pPr>
          </w:p>
        </w:tc>
        <w:tc>
          <w:tcPr>
            <w:tcW w:w="473" w:type="dxa"/>
            <w:shd w:val="clear" w:color="auto" w:fill="D9D9D9"/>
          </w:tcPr>
          <w:p w14:paraId="7007F52B" w14:textId="77777777" w:rsidR="00AF3581" w:rsidRPr="00506303" w:rsidRDefault="00AF3581" w:rsidP="0067543B">
            <w:pPr>
              <w:rPr>
                <w:sz w:val="18"/>
                <w:szCs w:val="18"/>
              </w:rPr>
            </w:pPr>
          </w:p>
        </w:tc>
        <w:tc>
          <w:tcPr>
            <w:tcW w:w="473" w:type="dxa"/>
            <w:shd w:val="clear" w:color="auto" w:fill="D9D9D9"/>
          </w:tcPr>
          <w:p w14:paraId="7C556C3A" w14:textId="77777777" w:rsidR="00AF3581" w:rsidRPr="00506303" w:rsidRDefault="00AF3581" w:rsidP="0067543B">
            <w:pPr>
              <w:rPr>
                <w:sz w:val="18"/>
                <w:szCs w:val="18"/>
              </w:rPr>
            </w:pPr>
          </w:p>
        </w:tc>
        <w:tc>
          <w:tcPr>
            <w:tcW w:w="473" w:type="dxa"/>
            <w:shd w:val="clear" w:color="auto" w:fill="D9D9D9"/>
          </w:tcPr>
          <w:p w14:paraId="7425E5C7" w14:textId="77777777" w:rsidR="00AF3581" w:rsidRPr="00506303" w:rsidRDefault="00AF3581" w:rsidP="0067543B">
            <w:pPr>
              <w:rPr>
                <w:sz w:val="18"/>
                <w:szCs w:val="18"/>
              </w:rPr>
            </w:pPr>
          </w:p>
        </w:tc>
        <w:tc>
          <w:tcPr>
            <w:tcW w:w="473" w:type="dxa"/>
            <w:shd w:val="clear" w:color="auto" w:fill="D9D9D9"/>
          </w:tcPr>
          <w:p w14:paraId="6CECF51B" w14:textId="77777777" w:rsidR="00AF3581" w:rsidRPr="00506303" w:rsidRDefault="00AF3581" w:rsidP="0067543B">
            <w:pPr>
              <w:rPr>
                <w:sz w:val="18"/>
                <w:szCs w:val="18"/>
              </w:rPr>
            </w:pPr>
          </w:p>
        </w:tc>
        <w:tc>
          <w:tcPr>
            <w:tcW w:w="473" w:type="dxa"/>
            <w:shd w:val="clear" w:color="auto" w:fill="D9D9D9"/>
          </w:tcPr>
          <w:p w14:paraId="598409B6" w14:textId="77777777" w:rsidR="00AF3581" w:rsidRPr="00506303" w:rsidRDefault="00AF3581" w:rsidP="0067543B">
            <w:pPr>
              <w:rPr>
                <w:sz w:val="18"/>
                <w:szCs w:val="18"/>
              </w:rPr>
            </w:pPr>
          </w:p>
        </w:tc>
        <w:tc>
          <w:tcPr>
            <w:tcW w:w="473" w:type="dxa"/>
            <w:shd w:val="clear" w:color="auto" w:fill="D9D9D9"/>
          </w:tcPr>
          <w:p w14:paraId="39758387" w14:textId="77777777" w:rsidR="00AF3581" w:rsidRPr="00506303" w:rsidRDefault="00AF3581" w:rsidP="0067543B">
            <w:pPr>
              <w:rPr>
                <w:sz w:val="18"/>
                <w:szCs w:val="18"/>
              </w:rPr>
            </w:pPr>
          </w:p>
        </w:tc>
        <w:tc>
          <w:tcPr>
            <w:tcW w:w="473" w:type="dxa"/>
            <w:shd w:val="clear" w:color="auto" w:fill="D9D9D9"/>
          </w:tcPr>
          <w:p w14:paraId="6C43A7E9" w14:textId="77777777" w:rsidR="00AF3581" w:rsidRPr="00506303" w:rsidRDefault="00AF3581" w:rsidP="0067543B">
            <w:pPr>
              <w:rPr>
                <w:sz w:val="18"/>
                <w:szCs w:val="18"/>
              </w:rPr>
            </w:pPr>
          </w:p>
        </w:tc>
        <w:tc>
          <w:tcPr>
            <w:tcW w:w="473" w:type="dxa"/>
            <w:shd w:val="clear" w:color="auto" w:fill="D9D9D9"/>
          </w:tcPr>
          <w:p w14:paraId="7A8D75A0" w14:textId="77777777" w:rsidR="00AF3581" w:rsidRPr="00506303" w:rsidRDefault="00AF3581" w:rsidP="0067543B">
            <w:pPr>
              <w:rPr>
                <w:sz w:val="18"/>
                <w:szCs w:val="18"/>
              </w:rPr>
            </w:pPr>
          </w:p>
        </w:tc>
        <w:tc>
          <w:tcPr>
            <w:tcW w:w="473" w:type="dxa"/>
            <w:shd w:val="clear" w:color="auto" w:fill="D9D9D9"/>
          </w:tcPr>
          <w:p w14:paraId="1FE66F31" w14:textId="77777777" w:rsidR="00AF3581" w:rsidRPr="00506303" w:rsidRDefault="00AF3581" w:rsidP="0067543B">
            <w:pPr>
              <w:rPr>
                <w:sz w:val="18"/>
                <w:szCs w:val="18"/>
              </w:rPr>
            </w:pPr>
          </w:p>
        </w:tc>
      </w:tr>
      <w:tr w:rsidR="00AF3581" w:rsidRPr="00506303" w14:paraId="2D21D0B4" w14:textId="77777777" w:rsidTr="00506303">
        <w:tc>
          <w:tcPr>
            <w:tcW w:w="944" w:type="dxa"/>
            <w:shd w:val="clear" w:color="auto" w:fill="F2F2F2"/>
          </w:tcPr>
          <w:p w14:paraId="69F84368" w14:textId="77777777" w:rsidR="00AF3581" w:rsidRPr="00506303" w:rsidRDefault="00AF3581" w:rsidP="0067543B">
            <w:pPr>
              <w:rPr>
                <w:b/>
                <w:sz w:val="18"/>
                <w:szCs w:val="18"/>
              </w:rPr>
            </w:pPr>
            <w:r w:rsidRPr="00506303">
              <w:rPr>
                <w:b/>
                <w:sz w:val="18"/>
                <w:szCs w:val="18"/>
              </w:rPr>
              <w:t>1.1.2</w:t>
            </w:r>
          </w:p>
        </w:tc>
        <w:tc>
          <w:tcPr>
            <w:tcW w:w="13226" w:type="dxa"/>
            <w:gridSpan w:val="21"/>
            <w:shd w:val="clear" w:color="auto" w:fill="F2F2F2"/>
          </w:tcPr>
          <w:p w14:paraId="743EED48" w14:textId="77777777" w:rsidR="00AF3581" w:rsidRPr="00506303" w:rsidRDefault="00AF3581" w:rsidP="0067543B">
            <w:pPr>
              <w:rPr>
                <w:b/>
                <w:sz w:val="18"/>
                <w:szCs w:val="18"/>
              </w:rPr>
            </w:pPr>
            <w:r w:rsidRPr="00506303">
              <w:rPr>
                <w:b/>
                <w:sz w:val="18"/>
                <w:szCs w:val="18"/>
              </w:rPr>
              <w:t>Designation and development of plans for the management of 166,600 ha of mangrove as non-conversion, sustainable use areas</w:t>
            </w:r>
          </w:p>
        </w:tc>
      </w:tr>
      <w:tr w:rsidR="00AF3581" w:rsidRPr="00506303" w14:paraId="6BC202FB" w14:textId="77777777" w:rsidTr="00E071AC">
        <w:tc>
          <w:tcPr>
            <w:tcW w:w="944" w:type="dxa"/>
            <w:shd w:val="clear" w:color="auto" w:fill="auto"/>
          </w:tcPr>
          <w:p w14:paraId="05505273" w14:textId="77777777" w:rsidR="00AF3581" w:rsidRPr="00506303" w:rsidRDefault="00AF3581" w:rsidP="0067543B">
            <w:pPr>
              <w:rPr>
                <w:sz w:val="18"/>
                <w:szCs w:val="18"/>
              </w:rPr>
            </w:pPr>
            <w:r w:rsidRPr="00506303">
              <w:rPr>
                <w:sz w:val="18"/>
                <w:szCs w:val="18"/>
              </w:rPr>
              <w:t>1.1.2.1</w:t>
            </w:r>
          </w:p>
        </w:tc>
        <w:tc>
          <w:tcPr>
            <w:tcW w:w="3776" w:type="dxa"/>
            <w:shd w:val="clear" w:color="auto" w:fill="auto"/>
          </w:tcPr>
          <w:p w14:paraId="7577BD12" w14:textId="77777777" w:rsidR="00AF3581" w:rsidRPr="00506303" w:rsidRDefault="00AF3581" w:rsidP="0067543B">
            <w:pPr>
              <w:rPr>
                <w:sz w:val="18"/>
                <w:szCs w:val="18"/>
              </w:rPr>
            </w:pPr>
            <w:r w:rsidRPr="00506303">
              <w:rPr>
                <w:sz w:val="18"/>
                <w:szCs w:val="18"/>
              </w:rPr>
              <w:t>Using assembled baseline data, operate national consultations process to confirm priority sites</w:t>
            </w:r>
          </w:p>
        </w:tc>
        <w:tc>
          <w:tcPr>
            <w:tcW w:w="472" w:type="dxa"/>
            <w:shd w:val="clear" w:color="auto" w:fill="D9D9D9"/>
          </w:tcPr>
          <w:p w14:paraId="0D9D5DB1" w14:textId="77777777" w:rsidR="00AF3581" w:rsidRPr="00506303" w:rsidRDefault="00AF3581" w:rsidP="0067543B">
            <w:pPr>
              <w:rPr>
                <w:sz w:val="18"/>
                <w:szCs w:val="18"/>
              </w:rPr>
            </w:pPr>
          </w:p>
        </w:tc>
        <w:tc>
          <w:tcPr>
            <w:tcW w:w="472" w:type="dxa"/>
            <w:shd w:val="clear" w:color="auto" w:fill="D9D9D9"/>
          </w:tcPr>
          <w:p w14:paraId="69201668" w14:textId="77777777" w:rsidR="00AF3581" w:rsidRPr="00506303" w:rsidRDefault="00AF3581" w:rsidP="0067543B">
            <w:pPr>
              <w:rPr>
                <w:sz w:val="18"/>
                <w:szCs w:val="18"/>
              </w:rPr>
            </w:pPr>
          </w:p>
        </w:tc>
        <w:tc>
          <w:tcPr>
            <w:tcW w:w="472" w:type="dxa"/>
            <w:shd w:val="clear" w:color="auto" w:fill="D9D9D9"/>
          </w:tcPr>
          <w:p w14:paraId="0F087C16" w14:textId="77777777" w:rsidR="00AF3581" w:rsidRPr="00506303" w:rsidRDefault="00AF3581" w:rsidP="0067543B">
            <w:pPr>
              <w:rPr>
                <w:sz w:val="18"/>
                <w:szCs w:val="18"/>
              </w:rPr>
            </w:pPr>
          </w:p>
        </w:tc>
        <w:tc>
          <w:tcPr>
            <w:tcW w:w="472" w:type="dxa"/>
            <w:shd w:val="clear" w:color="auto" w:fill="D9D9D9"/>
          </w:tcPr>
          <w:p w14:paraId="538D0579" w14:textId="77777777" w:rsidR="00AF3581" w:rsidRPr="00506303" w:rsidRDefault="00AF3581" w:rsidP="0067543B">
            <w:pPr>
              <w:rPr>
                <w:sz w:val="18"/>
                <w:szCs w:val="18"/>
              </w:rPr>
            </w:pPr>
          </w:p>
        </w:tc>
        <w:tc>
          <w:tcPr>
            <w:tcW w:w="472" w:type="dxa"/>
            <w:shd w:val="clear" w:color="auto" w:fill="auto"/>
          </w:tcPr>
          <w:p w14:paraId="6417D69C" w14:textId="77777777" w:rsidR="00AF3581" w:rsidRPr="00506303" w:rsidRDefault="00AF3581" w:rsidP="0067543B">
            <w:pPr>
              <w:rPr>
                <w:sz w:val="18"/>
                <w:szCs w:val="18"/>
              </w:rPr>
            </w:pPr>
          </w:p>
        </w:tc>
        <w:tc>
          <w:tcPr>
            <w:tcW w:w="472" w:type="dxa"/>
            <w:shd w:val="clear" w:color="auto" w:fill="auto"/>
          </w:tcPr>
          <w:p w14:paraId="01910ED8" w14:textId="77777777" w:rsidR="00AF3581" w:rsidRPr="00506303" w:rsidRDefault="00AF3581" w:rsidP="0067543B">
            <w:pPr>
              <w:rPr>
                <w:sz w:val="18"/>
                <w:szCs w:val="18"/>
              </w:rPr>
            </w:pPr>
          </w:p>
        </w:tc>
        <w:tc>
          <w:tcPr>
            <w:tcW w:w="472" w:type="dxa"/>
            <w:shd w:val="clear" w:color="auto" w:fill="auto"/>
          </w:tcPr>
          <w:p w14:paraId="34F324B9" w14:textId="77777777" w:rsidR="00AF3581" w:rsidRPr="00506303" w:rsidRDefault="00AF3581" w:rsidP="0067543B">
            <w:pPr>
              <w:rPr>
                <w:sz w:val="18"/>
                <w:szCs w:val="18"/>
              </w:rPr>
            </w:pPr>
          </w:p>
        </w:tc>
        <w:tc>
          <w:tcPr>
            <w:tcW w:w="472" w:type="dxa"/>
            <w:shd w:val="clear" w:color="auto" w:fill="auto"/>
          </w:tcPr>
          <w:p w14:paraId="6ED4A625" w14:textId="77777777" w:rsidR="00AF3581" w:rsidRPr="00506303" w:rsidRDefault="00AF3581" w:rsidP="0067543B">
            <w:pPr>
              <w:rPr>
                <w:sz w:val="18"/>
                <w:szCs w:val="18"/>
              </w:rPr>
            </w:pPr>
          </w:p>
        </w:tc>
        <w:tc>
          <w:tcPr>
            <w:tcW w:w="472" w:type="dxa"/>
            <w:shd w:val="clear" w:color="auto" w:fill="auto"/>
          </w:tcPr>
          <w:p w14:paraId="6EF6D615" w14:textId="77777777" w:rsidR="00AF3581" w:rsidRPr="00506303" w:rsidRDefault="00AF3581" w:rsidP="0067543B">
            <w:pPr>
              <w:rPr>
                <w:sz w:val="18"/>
                <w:szCs w:val="18"/>
              </w:rPr>
            </w:pPr>
          </w:p>
        </w:tc>
        <w:tc>
          <w:tcPr>
            <w:tcW w:w="472" w:type="dxa"/>
            <w:shd w:val="clear" w:color="auto" w:fill="auto"/>
          </w:tcPr>
          <w:p w14:paraId="0E7FD6CC" w14:textId="77777777" w:rsidR="00AF3581" w:rsidRPr="00506303" w:rsidRDefault="00AF3581" w:rsidP="0067543B">
            <w:pPr>
              <w:rPr>
                <w:sz w:val="18"/>
                <w:szCs w:val="18"/>
              </w:rPr>
            </w:pPr>
          </w:p>
        </w:tc>
        <w:tc>
          <w:tcPr>
            <w:tcW w:w="473" w:type="dxa"/>
            <w:shd w:val="clear" w:color="auto" w:fill="auto"/>
          </w:tcPr>
          <w:p w14:paraId="59600AA1" w14:textId="77777777" w:rsidR="00AF3581" w:rsidRPr="00506303" w:rsidRDefault="00AF3581" w:rsidP="0067543B">
            <w:pPr>
              <w:rPr>
                <w:sz w:val="18"/>
                <w:szCs w:val="18"/>
              </w:rPr>
            </w:pPr>
          </w:p>
        </w:tc>
        <w:tc>
          <w:tcPr>
            <w:tcW w:w="473" w:type="dxa"/>
            <w:shd w:val="clear" w:color="auto" w:fill="auto"/>
          </w:tcPr>
          <w:p w14:paraId="54849702" w14:textId="77777777" w:rsidR="00AF3581" w:rsidRPr="00506303" w:rsidRDefault="00AF3581" w:rsidP="0067543B">
            <w:pPr>
              <w:rPr>
                <w:sz w:val="18"/>
                <w:szCs w:val="18"/>
              </w:rPr>
            </w:pPr>
          </w:p>
        </w:tc>
        <w:tc>
          <w:tcPr>
            <w:tcW w:w="473" w:type="dxa"/>
            <w:shd w:val="clear" w:color="auto" w:fill="auto"/>
          </w:tcPr>
          <w:p w14:paraId="7DA1FD5E" w14:textId="77777777" w:rsidR="00AF3581" w:rsidRPr="00506303" w:rsidRDefault="00AF3581" w:rsidP="0067543B">
            <w:pPr>
              <w:rPr>
                <w:sz w:val="18"/>
                <w:szCs w:val="18"/>
              </w:rPr>
            </w:pPr>
          </w:p>
        </w:tc>
        <w:tc>
          <w:tcPr>
            <w:tcW w:w="473" w:type="dxa"/>
            <w:shd w:val="clear" w:color="auto" w:fill="auto"/>
          </w:tcPr>
          <w:p w14:paraId="4A81F097" w14:textId="77777777" w:rsidR="00AF3581" w:rsidRPr="00506303" w:rsidRDefault="00AF3581" w:rsidP="0067543B">
            <w:pPr>
              <w:rPr>
                <w:sz w:val="18"/>
                <w:szCs w:val="18"/>
              </w:rPr>
            </w:pPr>
          </w:p>
        </w:tc>
        <w:tc>
          <w:tcPr>
            <w:tcW w:w="473" w:type="dxa"/>
            <w:shd w:val="clear" w:color="auto" w:fill="auto"/>
          </w:tcPr>
          <w:p w14:paraId="75F7AAFE" w14:textId="77777777" w:rsidR="00AF3581" w:rsidRPr="00506303" w:rsidRDefault="00AF3581" w:rsidP="0067543B">
            <w:pPr>
              <w:rPr>
                <w:sz w:val="18"/>
                <w:szCs w:val="18"/>
              </w:rPr>
            </w:pPr>
          </w:p>
        </w:tc>
        <w:tc>
          <w:tcPr>
            <w:tcW w:w="473" w:type="dxa"/>
            <w:shd w:val="clear" w:color="auto" w:fill="auto"/>
          </w:tcPr>
          <w:p w14:paraId="3967BFD2" w14:textId="77777777" w:rsidR="00AF3581" w:rsidRPr="00506303" w:rsidRDefault="00AF3581" w:rsidP="0067543B">
            <w:pPr>
              <w:rPr>
                <w:sz w:val="18"/>
                <w:szCs w:val="18"/>
              </w:rPr>
            </w:pPr>
          </w:p>
        </w:tc>
        <w:tc>
          <w:tcPr>
            <w:tcW w:w="473" w:type="dxa"/>
            <w:shd w:val="clear" w:color="auto" w:fill="auto"/>
          </w:tcPr>
          <w:p w14:paraId="5C36A458" w14:textId="77777777" w:rsidR="00AF3581" w:rsidRPr="00506303" w:rsidRDefault="00AF3581" w:rsidP="0067543B">
            <w:pPr>
              <w:rPr>
                <w:sz w:val="18"/>
                <w:szCs w:val="18"/>
              </w:rPr>
            </w:pPr>
          </w:p>
        </w:tc>
        <w:tc>
          <w:tcPr>
            <w:tcW w:w="473" w:type="dxa"/>
            <w:shd w:val="clear" w:color="auto" w:fill="auto"/>
          </w:tcPr>
          <w:p w14:paraId="374BA1A1" w14:textId="77777777" w:rsidR="00AF3581" w:rsidRPr="00506303" w:rsidRDefault="00AF3581" w:rsidP="0067543B">
            <w:pPr>
              <w:rPr>
                <w:sz w:val="18"/>
                <w:szCs w:val="18"/>
              </w:rPr>
            </w:pPr>
          </w:p>
        </w:tc>
        <w:tc>
          <w:tcPr>
            <w:tcW w:w="473" w:type="dxa"/>
            <w:shd w:val="clear" w:color="auto" w:fill="auto"/>
          </w:tcPr>
          <w:p w14:paraId="6B847946" w14:textId="77777777" w:rsidR="00AF3581" w:rsidRPr="00506303" w:rsidRDefault="00AF3581" w:rsidP="0067543B">
            <w:pPr>
              <w:rPr>
                <w:sz w:val="18"/>
                <w:szCs w:val="18"/>
              </w:rPr>
            </w:pPr>
          </w:p>
        </w:tc>
        <w:tc>
          <w:tcPr>
            <w:tcW w:w="473" w:type="dxa"/>
            <w:shd w:val="clear" w:color="auto" w:fill="auto"/>
          </w:tcPr>
          <w:p w14:paraId="542D5FD3" w14:textId="77777777" w:rsidR="00AF3581" w:rsidRPr="00506303" w:rsidRDefault="00AF3581" w:rsidP="0067543B">
            <w:pPr>
              <w:rPr>
                <w:sz w:val="18"/>
                <w:szCs w:val="18"/>
              </w:rPr>
            </w:pPr>
          </w:p>
        </w:tc>
      </w:tr>
      <w:tr w:rsidR="00AF3581" w:rsidRPr="00506303" w14:paraId="75005DBD" w14:textId="77777777" w:rsidTr="00E071AC">
        <w:tc>
          <w:tcPr>
            <w:tcW w:w="944" w:type="dxa"/>
            <w:shd w:val="clear" w:color="auto" w:fill="auto"/>
          </w:tcPr>
          <w:p w14:paraId="0CF95584" w14:textId="77777777" w:rsidR="00AF3581" w:rsidRPr="00506303" w:rsidRDefault="00AF3581" w:rsidP="0067543B">
            <w:pPr>
              <w:rPr>
                <w:sz w:val="18"/>
                <w:szCs w:val="18"/>
              </w:rPr>
            </w:pPr>
            <w:r w:rsidRPr="00506303">
              <w:rPr>
                <w:sz w:val="18"/>
                <w:szCs w:val="18"/>
              </w:rPr>
              <w:t>1.1.2.2</w:t>
            </w:r>
          </w:p>
        </w:tc>
        <w:tc>
          <w:tcPr>
            <w:tcW w:w="3776" w:type="dxa"/>
            <w:shd w:val="clear" w:color="auto" w:fill="auto"/>
          </w:tcPr>
          <w:p w14:paraId="54526605" w14:textId="77777777" w:rsidR="00AF3581" w:rsidRPr="00506303" w:rsidRDefault="00AF3581" w:rsidP="0067543B">
            <w:pPr>
              <w:rPr>
                <w:sz w:val="18"/>
                <w:szCs w:val="18"/>
              </w:rPr>
            </w:pPr>
            <w:r w:rsidRPr="00506303">
              <w:rPr>
                <w:sz w:val="18"/>
                <w:szCs w:val="18"/>
              </w:rPr>
              <w:t>Consultations to identify key threats at priority areas and identify management measures</w:t>
            </w:r>
          </w:p>
        </w:tc>
        <w:tc>
          <w:tcPr>
            <w:tcW w:w="472" w:type="dxa"/>
            <w:shd w:val="clear" w:color="auto" w:fill="auto"/>
          </w:tcPr>
          <w:p w14:paraId="7820A913" w14:textId="77777777" w:rsidR="00AF3581" w:rsidRPr="00506303" w:rsidRDefault="00AF3581" w:rsidP="0067543B">
            <w:pPr>
              <w:rPr>
                <w:sz w:val="18"/>
                <w:szCs w:val="18"/>
              </w:rPr>
            </w:pPr>
          </w:p>
        </w:tc>
        <w:tc>
          <w:tcPr>
            <w:tcW w:w="472" w:type="dxa"/>
            <w:shd w:val="clear" w:color="auto" w:fill="auto"/>
          </w:tcPr>
          <w:p w14:paraId="18034740" w14:textId="77777777" w:rsidR="00AF3581" w:rsidRPr="00506303" w:rsidRDefault="00AF3581" w:rsidP="0067543B">
            <w:pPr>
              <w:rPr>
                <w:sz w:val="18"/>
                <w:szCs w:val="18"/>
              </w:rPr>
            </w:pPr>
          </w:p>
        </w:tc>
        <w:tc>
          <w:tcPr>
            <w:tcW w:w="472" w:type="dxa"/>
            <w:shd w:val="clear" w:color="auto" w:fill="D9D9D9"/>
          </w:tcPr>
          <w:p w14:paraId="50D113C7" w14:textId="77777777" w:rsidR="00AF3581" w:rsidRPr="00506303" w:rsidRDefault="00AF3581" w:rsidP="0067543B">
            <w:pPr>
              <w:rPr>
                <w:sz w:val="18"/>
                <w:szCs w:val="18"/>
              </w:rPr>
            </w:pPr>
          </w:p>
        </w:tc>
        <w:tc>
          <w:tcPr>
            <w:tcW w:w="472" w:type="dxa"/>
            <w:shd w:val="clear" w:color="auto" w:fill="D9D9D9"/>
          </w:tcPr>
          <w:p w14:paraId="7FF0959A" w14:textId="77777777" w:rsidR="00AF3581" w:rsidRPr="00506303" w:rsidRDefault="00AF3581" w:rsidP="0067543B">
            <w:pPr>
              <w:rPr>
                <w:sz w:val="18"/>
                <w:szCs w:val="18"/>
              </w:rPr>
            </w:pPr>
          </w:p>
        </w:tc>
        <w:tc>
          <w:tcPr>
            <w:tcW w:w="472" w:type="dxa"/>
            <w:shd w:val="clear" w:color="auto" w:fill="D9D9D9"/>
          </w:tcPr>
          <w:p w14:paraId="4BA82CC1" w14:textId="77777777" w:rsidR="00AF3581" w:rsidRPr="00506303" w:rsidRDefault="00AF3581" w:rsidP="0067543B">
            <w:pPr>
              <w:rPr>
                <w:sz w:val="18"/>
                <w:szCs w:val="18"/>
              </w:rPr>
            </w:pPr>
          </w:p>
        </w:tc>
        <w:tc>
          <w:tcPr>
            <w:tcW w:w="472" w:type="dxa"/>
            <w:shd w:val="clear" w:color="auto" w:fill="D9D9D9"/>
          </w:tcPr>
          <w:p w14:paraId="0DC9D30A" w14:textId="77777777" w:rsidR="00AF3581" w:rsidRPr="00506303" w:rsidRDefault="00AF3581" w:rsidP="0067543B">
            <w:pPr>
              <w:rPr>
                <w:sz w:val="18"/>
                <w:szCs w:val="18"/>
              </w:rPr>
            </w:pPr>
          </w:p>
        </w:tc>
        <w:tc>
          <w:tcPr>
            <w:tcW w:w="472" w:type="dxa"/>
            <w:shd w:val="clear" w:color="auto" w:fill="D9D9D9"/>
          </w:tcPr>
          <w:p w14:paraId="12B1E1D4" w14:textId="77777777" w:rsidR="00AF3581" w:rsidRPr="00506303" w:rsidRDefault="00AF3581" w:rsidP="0067543B">
            <w:pPr>
              <w:rPr>
                <w:sz w:val="18"/>
                <w:szCs w:val="18"/>
              </w:rPr>
            </w:pPr>
          </w:p>
        </w:tc>
        <w:tc>
          <w:tcPr>
            <w:tcW w:w="472" w:type="dxa"/>
            <w:shd w:val="clear" w:color="auto" w:fill="auto"/>
          </w:tcPr>
          <w:p w14:paraId="4D314886" w14:textId="77777777" w:rsidR="00AF3581" w:rsidRPr="00506303" w:rsidRDefault="00AF3581" w:rsidP="0067543B">
            <w:pPr>
              <w:rPr>
                <w:sz w:val="18"/>
                <w:szCs w:val="18"/>
              </w:rPr>
            </w:pPr>
          </w:p>
        </w:tc>
        <w:tc>
          <w:tcPr>
            <w:tcW w:w="472" w:type="dxa"/>
            <w:shd w:val="clear" w:color="auto" w:fill="auto"/>
          </w:tcPr>
          <w:p w14:paraId="76B81398" w14:textId="77777777" w:rsidR="00AF3581" w:rsidRPr="00506303" w:rsidRDefault="00AF3581" w:rsidP="0067543B">
            <w:pPr>
              <w:rPr>
                <w:sz w:val="18"/>
                <w:szCs w:val="18"/>
              </w:rPr>
            </w:pPr>
          </w:p>
        </w:tc>
        <w:tc>
          <w:tcPr>
            <w:tcW w:w="472" w:type="dxa"/>
            <w:shd w:val="clear" w:color="auto" w:fill="auto"/>
          </w:tcPr>
          <w:p w14:paraId="0ED4A309" w14:textId="77777777" w:rsidR="00AF3581" w:rsidRPr="00506303" w:rsidRDefault="00AF3581" w:rsidP="0067543B">
            <w:pPr>
              <w:rPr>
                <w:sz w:val="18"/>
                <w:szCs w:val="18"/>
              </w:rPr>
            </w:pPr>
          </w:p>
        </w:tc>
        <w:tc>
          <w:tcPr>
            <w:tcW w:w="473" w:type="dxa"/>
            <w:shd w:val="clear" w:color="auto" w:fill="auto"/>
          </w:tcPr>
          <w:p w14:paraId="0E7F4AA4" w14:textId="77777777" w:rsidR="00AF3581" w:rsidRPr="00506303" w:rsidRDefault="00AF3581" w:rsidP="0067543B">
            <w:pPr>
              <w:rPr>
                <w:sz w:val="18"/>
                <w:szCs w:val="18"/>
              </w:rPr>
            </w:pPr>
          </w:p>
        </w:tc>
        <w:tc>
          <w:tcPr>
            <w:tcW w:w="473" w:type="dxa"/>
            <w:shd w:val="clear" w:color="auto" w:fill="auto"/>
          </w:tcPr>
          <w:p w14:paraId="445F3C29" w14:textId="77777777" w:rsidR="00AF3581" w:rsidRPr="00506303" w:rsidRDefault="00AF3581" w:rsidP="0067543B">
            <w:pPr>
              <w:rPr>
                <w:sz w:val="18"/>
                <w:szCs w:val="18"/>
              </w:rPr>
            </w:pPr>
          </w:p>
        </w:tc>
        <w:tc>
          <w:tcPr>
            <w:tcW w:w="473" w:type="dxa"/>
            <w:shd w:val="clear" w:color="auto" w:fill="auto"/>
          </w:tcPr>
          <w:p w14:paraId="1493CEC8" w14:textId="77777777" w:rsidR="00AF3581" w:rsidRPr="00506303" w:rsidRDefault="00AF3581" w:rsidP="0067543B">
            <w:pPr>
              <w:rPr>
                <w:sz w:val="18"/>
                <w:szCs w:val="18"/>
              </w:rPr>
            </w:pPr>
          </w:p>
        </w:tc>
        <w:tc>
          <w:tcPr>
            <w:tcW w:w="473" w:type="dxa"/>
            <w:shd w:val="clear" w:color="auto" w:fill="auto"/>
          </w:tcPr>
          <w:p w14:paraId="057098FD" w14:textId="77777777" w:rsidR="00AF3581" w:rsidRPr="00506303" w:rsidRDefault="00AF3581" w:rsidP="0067543B">
            <w:pPr>
              <w:rPr>
                <w:sz w:val="18"/>
                <w:szCs w:val="18"/>
              </w:rPr>
            </w:pPr>
          </w:p>
        </w:tc>
        <w:tc>
          <w:tcPr>
            <w:tcW w:w="473" w:type="dxa"/>
            <w:shd w:val="clear" w:color="auto" w:fill="auto"/>
          </w:tcPr>
          <w:p w14:paraId="4BA9DC94" w14:textId="77777777" w:rsidR="00AF3581" w:rsidRPr="00506303" w:rsidRDefault="00AF3581" w:rsidP="0067543B">
            <w:pPr>
              <w:rPr>
                <w:sz w:val="18"/>
                <w:szCs w:val="18"/>
              </w:rPr>
            </w:pPr>
          </w:p>
        </w:tc>
        <w:tc>
          <w:tcPr>
            <w:tcW w:w="473" w:type="dxa"/>
            <w:shd w:val="clear" w:color="auto" w:fill="auto"/>
          </w:tcPr>
          <w:p w14:paraId="4E7FFC39" w14:textId="77777777" w:rsidR="00AF3581" w:rsidRPr="00506303" w:rsidRDefault="00AF3581" w:rsidP="0067543B">
            <w:pPr>
              <w:rPr>
                <w:sz w:val="18"/>
                <w:szCs w:val="18"/>
              </w:rPr>
            </w:pPr>
          </w:p>
        </w:tc>
        <w:tc>
          <w:tcPr>
            <w:tcW w:w="473" w:type="dxa"/>
            <w:shd w:val="clear" w:color="auto" w:fill="auto"/>
          </w:tcPr>
          <w:p w14:paraId="1EFBE41C" w14:textId="77777777" w:rsidR="00AF3581" w:rsidRPr="00506303" w:rsidRDefault="00AF3581" w:rsidP="0067543B">
            <w:pPr>
              <w:rPr>
                <w:sz w:val="18"/>
                <w:szCs w:val="18"/>
              </w:rPr>
            </w:pPr>
          </w:p>
        </w:tc>
        <w:tc>
          <w:tcPr>
            <w:tcW w:w="473" w:type="dxa"/>
            <w:shd w:val="clear" w:color="auto" w:fill="auto"/>
          </w:tcPr>
          <w:p w14:paraId="406AD200" w14:textId="77777777" w:rsidR="00AF3581" w:rsidRPr="00506303" w:rsidRDefault="00AF3581" w:rsidP="0067543B">
            <w:pPr>
              <w:rPr>
                <w:sz w:val="18"/>
                <w:szCs w:val="18"/>
              </w:rPr>
            </w:pPr>
          </w:p>
        </w:tc>
        <w:tc>
          <w:tcPr>
            <w:tcW w:w="473" w:type="dxa"/>
            <w:shd w:val="clear" w:color="auto" w:fill="auto"/>
          </w:tcPr>
          <w:p w14:paraId="5D071CF2" w14:textId="77777777" w:rsidR="00AF3581" w:rsidRPr="00506303" w:rsidRDefault="00AF3581" w:rsidP="0067543B">
            <w:pPr>
              <w:rPr>
                <w:sz w:val="18"/>
                <w:szCs w:val="18"/>
              </w:rPr>
            </w:pPr>
          </w:p>
        </w:tc>
        <w:tc>
          <w:tcPr>
            <w:tcW w:w="473" w:type="dxa"/>
            <w:shd w:val="clear" w:color="auto" w:fill="auto"/>
          </w:tcPr>
          <w:p w14:paraId="74EE4CAC" w14:textId="77777777" w:rsidR="00AF3581" w:rsidRPr="00506303" w:rsidRDefault="00AF3581" w:rsidP="0067543B">
            <w:pPr>
              <w:rPr>
                <w:sz w:val="18"/>
                <w:szCs w:val="18"/>
              </w:rPr>
            </w:pPr>
          </w:p>
        </w:tc>
      </w:tr>
      <w:tr w:rsidR="00AF3581" w:rsidRPr="00506303" w14:paraId="2D74DDC7" w14:textId="77777777" w:rsidTr="00E071AC">
        <w:tc>
          <w:tcPr>
            <w:tcW w:w="944" w:type="dxa"/>
            <w:shd w:val="clear" w:color="auto" w:fill="auto"/>
          </w:tcPr>
          <w:p w14:paraId="2A191439" w14:textId="77777777" w:rsidR="00AF3581" w:rsidRPr="00506303" w:rsidRDefault="00AF3581" w:rsidP="0067543B">
            <w:pPr>
              <w:rPr>
                <w:sz w:val="18"/>
                <w:szCs w:val="18"/>
              </w:rPr>
            </w:pPr>
            <w:r w:rsidRPr="00506303">
              <w:rPr>
                <w:sz w:val="18"/>
                <w:szCs w:val="18"/>
              </w:rPr>
              <w:t>1.1.2.3</w:t>
            </w:r>
          </w:p>
        </w:tc>
        <w:tc>
          <w:tcPr>
            <w:tcW w:w="3776" w:type="dxa"/>
            <w:shd w:val="clear" w:color="auto" w:fill="auto"/>
          </w:tcPr>
          <w:p w14:paraId="1F298C3A" w14:textId="77777777" w:rsidR="00AF3581" w:rsidRPr="00506303" w:rsidRDefault="00AF3581" w:rsidP="0067543B">
            <w:pPr>
              <w:rPr>
                <w:sz w:val="18"/>
                <w:szCs w:val="18"/>
              </w:rPr>
            </w:pPr>
            <w:r w:rsidRPr="00506303">
              <w:rPr>
                <w:sz w:val="18"/>
                <w:szCs w:val="18"/>
              </w:rPr>
              <w:t>Prepare GIS maps for priority sites depicting the agreed values to be retained via protection</w:t>
            </w:r>
          </w:p>
        </w:tc>
        <w:tc>
          <w:tcPr>
            <w:tcW w:w="472" w:type="dxa"/>
            <w:shd w:val="clear" w:color="auto" w:fill="auto"/>
          </w:tcPr>
          <w:p w14:paraId="17F5456B" w14:textId="77777777" w:rsidR="00AF3581" w:rsidRPr="00506303" w:rsidRDefault="00AF3581" w:rsidP="0067543B">
            <w:pPr>
              <w:rPr>
                <w:sz w:val="18"/>
                <w:szCs w:val="18"/>
              </w:rPr>
            </w:pPr>
          </w:p>
        </w:tc>
        <w:tc>
          <w:tcPr>
            <w:tcW w:w="472" w:type="dxa"/>
            <w:shd w:val="clear" w:color="auto" w:fill="auto"/>
          </w:tcPr>
          <w:p w14:paraId="3774E420" w14:textId="77777777" w:rsidR="00AF3581" w:rsidRPr="00506303" w:rsidRDefault="00AF3581" w:rsidP="0067543B">
            <w:pPr>
              <w:rPr>
                <w:sz w:val="18"/>
                <w:szCs w:val="18"/>
              </w:rPr>
            </w:pPr>
          </w:p>
        </w:tc>
        <w:tc>
          <w:tcPr>
            <w:tcW w:w="472" w:type="dxa"/>
            <w:shd w:val="clear" w:color="auto" w:fill="auto"/>
          </w:tcPr>
          <w:p w14:paraId="1A6079B1" w14:textId="77777777" w:rsidR="00AF3581" w:rsidRPr="00506303" w:rsidRDefault="00AF3581" w:rsidP="0067543B">
            <w:pPr>
              <w:rPr>
                <w:sz w:val="18"/>
                <w:szCs w:val="18"/>
              </w:rPr>
            </w:pPr>
          </w:p>
        </w:tc>
        <w:tc>
          <w:tcPr>
            <w:tcW w:w="472" w:type="dxa"/>
            <w:shd w:val="clear" w:color="auto" w:fill="D9D9D9"/>
          </w:tcPr>
          <w:p w14:paraId="02293B85" w14:textId="77777777" w:rsidR="00AF3581" w:rsidRPr="00506303" w:rsidRDefault="00AF3581" w:rsidP="0067543B">
            <w:pPr>
              <w:rPr>
                <w:sz w:val="18"/>
                <w:szCs w:val="18"/>
              </w:rPr>
            </w:pPr>
          </w:p>
        </w:tc>
        <w:tc>
          <w:tcPr>
            <w:tcW w:w="472" w:type="dxa"/>
            <w:shd w:val="clear" w:color="auto" w:fill="D9D9D9"/>
          </w:tcPr>
          <w:p w14:paraId="02DD03FC" w14:textId="77777777" w:rsidR="00AF3581" w:rsidRPr="00506303" w:rsidRDefault="00AF3581" w:rsidP="0067543B">
            <w:pPr>
              <w:rPr>
                <w:sz w:val="18"/>
                <w:szCs w:val="18"/>
              </w:rPr>
            </w:pPr>
          </w:p>
        </w:tc>
        <w:tc>
          <w:tcPr>
            <w:tcW w:w="472" w:type="dxa"/>
            <w:shd w:val="clear" w:color="auto" w:fill="D9D9D9"/>
          </w:tcPr>
          <w:p w14:paraId="73EE8388" w14:textId="77777777" w:rsidR="00AF3581" w:rsidRPr="00506303" w:rsidRDefault="00AF3581" w:rsidP="0067543B">
            <w:pPr>
              <w:rPr>
                <w:sz w:val="18"/>
                <w:szCs w:val="18"/>
              </w:rPr>
            </w:pPr>
          </w:p>
        </w:tc>
        <w:tc>
          <w:tcPr>
            <w:tcW w:w="472" w:type="dxa"/>
            <w:shd w:val="clear" w:color="auto" w:fill="D9D9D9"/>
          </w:tcPr>
          <w:p w14:paraId="2038F6F5" w14:textId="77777777" w:rsidR="00AF3581" w:rsidRPr="00506303" w:rsidRDefault="00AF3581" w:rsidP="0067543B">
            <w:pPr>
              <w:rPr>
                <w:sz w:val="18"/>
                <w:szCs w:val="18"/>
              </w:rPr>
            </w:pPr>
          </w:p>
        </w:tc>
        <w:tc>
          <w:tcPr>
            <w:tcW w:w="472" w:type="dxa"/>
            <w:shd w:val="clear" w:color="auto" w:fill="D9D9D9"/>
          </w:tcPr>
          <w:p w14:paraId="4466DF42" w14:textId="77777777" w:rsidR="00AF3581" w:rsidRPr="00506303" w:rsidRDefault="00AF3581" w:rsidP="0067543B">
            <w:pPr>
              <w:rPr>
                <w:sz w:val="18"/>
                <w:szCs w:val="18"/>
              </w:rPr>
            </w:pPr>
          </w:p>
        </w:tc>
        <w:tc>
          <w:tcPr>
            <w:tcW w:w="472" w:type="dxa"/>
            <w:shd w:val="clear" w:color="auto" w:fill="auto"/>
          </w:tcPr>
          <w:p w14:paraId="398FC10B" w14:textId="77777777" w:rsidR="00AF3581" w:rsidRPr="00506303" w:rsidRDefault="00AF3581" w:rsidP="0067543B">
            <w:pPr>
              <w:rPr>
                <w:sz w:val="18"/>
                <w:szCs w:val="18"/>
              </w:rPr>
            </w:pPr>
          </w:p>
        </w:tc>
        <w:tc>
          <w:tcPr>
            <w:tcW w:w="472" w:type="dxa"/>
            <w:shd w:val="clear" w:color="auto" w:fill="auto"/>
          </w:tcPr>
          <w:p w14:paraId="5AED8335" w14:textId="77777777" w:rsidR="00AF3581" w:rsidRPr="00506303" w:rsidRDefault="00AF3581" w:rsidP="0067543B">
            <w:pPr>
              <w:rPr>
                <w:sz w:val="18"/>
                <w:szCs w:val="18"/>
              </w:rPr>
            </w:pPr>
          </w:p>
        </w:tc>
        <w:tc>
          <w:tcPr>
            <w:tcW w:w="473" w:type="dxa"/>
            <w:shd w:val="clear" w:color="auto" w:fill="auto"/>
          </w:tcPr>
          <w:p w14:paraId="64CF7BA4" w14:textId="77777777" w:rsidR="00AF3581" w:rsidRPr="00506303" w:rsidRDefault="00AF3581" w:rsidP="0067543B">
            <w:pPr>
              <w:rPr>
                <w:sz w:val="18"/>
                <w:szCs w:val="18"/>
              </w:rPr>
            </w:pPr>
          </w:p>
        </w:tc>
        <w:tc>
          <w:tcPr>
            <w:tcW w:w="473" w:type="dxa"/>
            <w:shd w:val="clear" w:color="auto" w:fill="auto"/>
          </w:tcPr>
          <w:p w14:paraId="06C7384B" w14:textId="77777777" w:rsidR="00AF3581" w:rsidRPr="00506303" w:rsidRDefault="00AF3581" w:rsidP="0067543B">
            <w:pPr>
              <w:rPr>
                <w:sz w:val="18"/>
                <w:szCs w:val="18"/>
              </w:rPr>
            </w:pPr>
          </w:p>
        </w:tc>
        <w:tc>
          <w:tcPr>
            <w:tcW w:w="473" w:type="dxa"/>
            <w:shd w:val="clear" w:color="auto" w:fill="auto"/>
          </w:tcPr>
          <w:p w14:paraId="23C75670" w14:textId="77777777" w:rsidR="00AF3581" w:rsidRPr="00506303" w:rsidRDefault="00AF3581" w:rsidP="0067543B">
            <w:pPr>
              <w:rPr>
                <w:sz w:val="18"/>
                <w:szCs w:val="18"/>
              </w:rPr>
            </w:pPr>
          </w:p>
        </w:tc>
        <w:tc>
          <w:tcPr>
            <w:tcW w:w="473" w:type="dxa"/>
            <w:shd w:val="clear" w:color="auto" w:fill="auto"/>
          </w:tcPr>
          <w:p w14:paraId="314BBB37" w14:textId="77777777" w:rsidR="00AF3581" w:rsidRPr="00506303" w:rsidRDefault="00AF3581" w:rsidP="0067543B">
            <w:pPr>
              <w:rPr>
                <w:sz w:val="18"/>
                <w:szCs w:val="18"/>
              </w:rPr>
            </w:pPr>
          </w:p>
        </w:tc>
        <w:tc>
          <w:tcPr>
            <w:tcW w:w="473" w:type="dxa"/>
            <w:shd w:val="clear" w:color="auto" w:fill="auto"/>
          </w:tcPr>
          <w:p w14:paraId="4159ED1F" w14:textId="77777777" w:rsidR="00AF3581" w:rsidRPr="00506303" w:rsidRDefault="00AF3581" w:rsidP="0067543B">
            <w:pPr>
              <w:rPr>
                <w:sz w:val="18"/>
                <w:szCs w:val="18"/>
              </w:rPr>
            </w:pPr>
          </w:p>
        </w:tc>
        <w:tc>
          <w:tcPr>
            <w:tcW w:w="473" w:type="dxa"/>
            <w:shd w:val="clear" w:color="auto" w:fill="auto"/>
          </w:tcPr>
          <w:p w14:paraId="31EA8452" w14:textId="77777777" w:rsidR="00AF3581" w:rsidRPr="00506303" w:rsidRDefault="00AF3581" w:rsidP="0067543B">
            <w:pPr>
              <w:rPr>
                <w:sz w:val="18"/>
                <w:szCs w:val="18"/>
              </w:rPr>
            </w:pPr>
          </w:p>
        </w:tc>
        <w:tc>
          <w:tcPr>
            <w:tcW w:w="473" w:type="dxa"/>
            <w:shd w:val="clear" w:color="auto" w:fill="auto"/>
          </w:tcPr>
          <w:p w14:paraId="0CE31143" w14:textId="77777777" w:rsidR="00AF3581" w:rsidRPr="00506303" w:rsidRDefault="00AF3581" w:rsidP="0067543B">
            <w:pPr>
              <w:rPr>
                <w:sz w:val="18"/>
                <w:szCs w:val="18"/>
              </w:rPr>
            </w:pPr>
          </w:p>
        </w:tc>
        <w:tc>
          <w:tcPr>
            <w:tcW w:w="473" w:type="dxa"/>
            <w:shd w:val="clear" w:color="auto" w:fill="auto"/>
          </w:tcPr>
          <w:p w14:paraId="7E19F826" w14:textId="77777777" w:rsidR="00AF3581" w:rsidRPr="00506303" w:rsidRDefault="00AF3581" w:rsidP="0067543B">
            <w:pPr>
              <w:rPr>
                <w:sz w:val="18"/>
                <w:szCs w:val="18"/>
              </w:rPr>
            </w:pPr>
          </w:p>
        </w:tc>
        <w:tc>
          <w:tcPr>
            <w:tcW w:w="473" w:type="dxa"/>
            <w:shd w:val="clear" w:color="auto" w:fill="auto"/>
          </w:tcPr>
          <w:p w14:paraId="4551CE94" w14:textId="77777777" w:rsidR="00AF3581" w:rsidRPr="00506303" w:rsidRDefault="00AF3581" w:rsidP="0067543B">
            <w:pPr>
              <w:rPr>
                <w:sz w:val="18"/>
                <w:szCs w:val="18"/>
              </w:rPr>
            </w:pPr>
          </w:p>
        </w:tc>
        <w:tc>
          <w:tcPr>
            <w:tcW w:w="473" w:type="dxa"/>
            <w:shd w:val="clear" w:color="auto" w:fill="auto"/>
          </w:tcPr>
          <w:p w14:paraId="6E6ED882" w14:textId="77777777" w:rsidR="00AF3581" w:rsidRPr="00506303" w:rsidRDefault="00AF3581" w:rsidP="0067543B">
            <w:pPr>
              <w:rPr>
                <w:sz w:val="18"/>
                <w:szCs w:val="18"/>
              </w:rPr>
            </w:pPr>
          </w:p>
        </w:tc>
      </w:tr>
      <w:tr w:rsidR="00E071AC" w:rsidRPr="00506303" w14:paraId="01EF2660" w14:textId="77777777" w:rsidTr="00E071AC">
        <w:tc>
          <w:tcPr>
            <w:tcW w:w="944" w:type="dxa"/>
            <w:shd w:val="clear" w:color="auto" w:fill="auto"/>
          </w:tcPr>
          <w:p w14:paraId="776CDA28" w14:textId="77777777" w:rsidR="00AF3581" w:rsidRPr="00506303" w:rsidRDefault="00AF3581" w:rsidP="0067543B">
            <w:pPr>
              <w:rPr>
                <w:sz w:val="18"/>
                <w:szCs w:val="18"/>
              </w:rPr>
            </w:pPr>
            <w:r w:rsidRPr="00506303">
              <w:rPr>
                <w:sz w:val="18"/>
                <w:szCs w:val="18"/>
              </w:rPr>
              <w:t>1.1.2.4</w:t>
            </w:r>
          </w:p>
        </w:tc>
        <w:tc>
          <w:tcPr>
            <w:tcW w:w="3776" w:type="dxa"/>
            <w:shd w:val="clear" w:color="auto" w:fill="auto"/>
          </w:tcPr>
          <w:p w14:paraId="25FA1995" w14:textId="77777777" w:rsidR="00AF3581" w:rsidRPr="00506303" w:rsidRDefault="00AF3581" w:rsidP="0067543B">
            <w:pPr>
              <w:rPr>
                <w:sz w:val="18"/>
                <w:szCs w:val="18"/>
              </w:rPr>
            </w:pPr>
            <w:r w:rsidRPr="00506303">
              <w:rPr>
                <w:sz w:val="18"/>
                <w:szCs w:val="18"/>
              </w:rPr>
              <w:t>Develop management plans for sustainable use areas through community-based consultations</w:t>
            </w:r>
          </w:p>
        </w:tc>
        <w:tc>
          <w:tcPr>
            <w:tcW w:w="472" w:type="dxa"/>
            <w:shd w:val="clear" w:color="auto" w:fill="auto"/>
          </w:tcPr>
          <w:p w14:paraId="06B43616" w14:textId="77777777" w:rsidR="00AF3581" w:rsidRPr="00506303" w:rsidRDefault="00AF3581" w:rsidP="0067543B">
            <w:pPr>
              <w:rPr>
                <w:sz w:val="18"/>
                <w:szCs w:val="18"/>
              </w:rPr>
            </w:pPr>
          </w:p>
        </w:tc>
        <w:tc>
          <w:tcPr>
            <w:tcW w:w="472" w:type="dxa"/>
            <w:shd w:val="clear" w:color="auto" w:fill="auto"/>
          </w:tcPr>
          <w:p w14:paraId="4A8B8C02" w14:textId="77777777" w:rsidR="00AF3581" w:rsidRPr="00506303" w:rsidRDefault="00AF3581" w:rsidP="0067543B">
            <w:pPr>
              <w:rPr>
                <w:sz w:val="18"/>
                <w:szCs w:val="18"/>
              </w:rPr>
            </w:pPr>
          </w:p>
        </w:tc>
        <w:tc>
          <w:tcPr>
            <w:tcW w:w="472" w:type="dxa"/>
            <w:shd w:val="clear" w:color="auto" w:fill="auto"/>
          </w:tcPr>
          <w:p w14:paraId="66871466" w14:textId="77777777" w:rsidR="00AF3581" w:rsidRPr="00506303" w:rsidRDefault="00AF3581" w:rsidP="0067543B">
            <w:pPr>
              <w:rPr>
                <w:sz w:val="18"/>
                <w:szCs w:val="18"/>
              </w:rPr>
            </w:pPr>
          </w:p>
        </w:tc>
        <w:tc>
          <w:tcPr>
            <w:tcW w:w="472" w:type="dxa"/>
            <w:shd w:val="clear" w:color="auto" w:fill="auto"/>
          </w:tcPr>
          <w:p w14:paraId="67266791" w14:textId="77777777" w:rsidR="00AF3581" w:rsidRPr="00506303" w:rsidRDefault="00AF3581" w:rsidP="0067543B">
            <w:pPr>
              <w:rPr>
                <w:sz w:val="18"/>
                <w:szCs w:val="18"/>
              </w:rPr>
            </w:pPr>
          </w:p>
        </w:tc>
        <w:tc>
          <w:tcPr>
            <w:tcW w:w="472" w:type="dxa"/>
            <w:shd w:val="clear" w:color="auto" w:fill="auto"/>
          </w:tcPr>
          <w:p w14:paraId="47600FB3" w14:textId="77777777" w:rsidR="00AF3581" w:rsidRPr="00506303" w:rsidRDefault="00AF3581" w:rsidP="0067543B">
            <w:pPr>
              <w:rPr>
                <w:sz w:val="18"/>
                <w:szCs w:val="18"/>
              </w:rPr>
            </w:pPr>
          </w:p>
        </w:tc>
        <w:tc>
          <w:tcPr>
            <w:tcW w:w="472" w:type="dxa"/>
            <w:shd w:val="clear" w:color="auto" w:fill="auto"/>
          </w:tcPr>
          <w:p w14:paraId="4B4720B1" w14:textId="77777777" w:rsidR="00AF3581" w:rsidRPr="00506303" w:rsidRDefault="00AF3581" w:rsidP="0067543B">
            <w:pPr>
              <w:rPr>
                <w:sz w:val="18"/>
                <w:szCs w:val="18"/>
              </w:rPr>
            </w:pPr>
          </w:p>
        </w:tc>
        <w:tc>
          <w:tcPr>
            <w:tcW w:w="472" w:type="dxa"/>
            <w:shd w:val="clear" w:color="auto" w:fill="auto"/>
          </w:tcPr>
          <w:p w14:paraId="02BDF7E7" w14:textId="77777777" w:rsidR="00AF3581" w:rsidRPr="00506303" w:rsidRDefault="00AF3581" w:rsidP="0067543B">
            <w:pPr>
              <w:rPr>
                <w:sz w:val="18"/>
                <w:szCs w:val="18"/>
              </w:rPr>
            </w:pPr>
          </w:p>
        </w:tc>
        <w:tc>
          <w:tcPr>
            <w:tcW w:w="472" w:type="dxa"/>
            <w:shd w:val="clear" w:color="auto" w:fill="auto"/>
          </w:tcPr>
          <w:p w14:paraId="4CDC04FA" w14:textId="77777777" w:rsidR="00AF3581" w:rsidRPr="00506303" w:rsidRDefault="00AF3581" w:rsidP="0067543B">
            <w:pPr>
              <w:rPr>
                <w:sz w:val="18"/>
                <w:szCs w:val="18"/>
              </w:rPr>
            </w:pPr>
          </w:p>
        </w:tc>
        <w:tc>
          <w:tcPr>
            <w:tcW w:w="472" w:type="dxa"/>
            <w:shd w:val="clear" w:color="auto" w:fill="D9D9D9"/>
          </w:tcPr>
          <w:p w14:paraId="2FB7BD2C" w14:textId="77777777" w:rsidR="00AF3581" w:rsidRPr="00506303" w:rsidRDefault="00AF3581" w:rsidP="0067543B">
            <w:pPr>
              <w:rPr>
                <w:sz w:val="18"/>
                <w:szCs w:val="18"/>
              </w:rPr>
            </w:pPr>
          </w:p>
        </w:tc>
        <w:tc>
          <w:tcPr>
            <w:tcW w:w="472" w:type="dxa"/>
            <w:shd w:val="clear" w:color="auto" w:fill="D9D9D9"/>
          </w:tcPr>
          <w:p w14:paraId="36E0FD01" w14:textId="77777777" w:rsidR="00AF3581" w:rsidRPr="00506303" w:rsidRDefault="00AF3581" w:rsidP="0067543B">
            <w:pPr>
              <w:rPr>
                <w:sz w:val="18"/>
                <w:szCs w:val="18"/>
              </w:rPr>
            </w:pPr>
          </w:p>
        </w:tc>
        <w:tc>
          <w:tcPr>
            <w:tcW w:w="473" w:type="dxa"/>
            <w:shd w:val="clear" w:color="auto" w:fill="D9D9D9"/>
          </w:tcPr>
          <w:p w14:paraId="7056D5CB" w14:textId="77777777" w:rsidR="00AF3581" w:rsidRPr="00506303" w:rsidRDefault="00AF3581" w:rsidP="0067543B">
            <w:pPr>
              <w:rPr>
                <w:sz w:val="18"/>
                <w:szCs w:val="18"/>
              </w:rPr>
            </w:pPr>
          </w:p>
        </w:tc>
        <w:tc>
          <w:tcPr>
            <w:tcW w:w="473" w:type="dxa"/>
            <w:shd w:val="clear" w:color="auto" w:fill="D9D9D9"/>
          </w:tcPr>
          <w:p w14:paraId="4E54C30F" w14:textId="77777777" w:rsidR="00AF3581" w:rsidRPr="00506303" w:rsidRDefault="00AF3581" w:rsidP="0067543B">
            <w:pPr>
              <w:rPr>
                <w:sz w:val="18"/>
                <w:szCs w:val="18"/>
              </w:rPr>
            </w:pPr>
          </w:p>
        </w:tc>
        <w:tc>
          <w:tcPr>
            <w:tcW w:w="473" w:type="dxa"/>
            <w:shd w:val="clear" w:color="auto" w:fill="D9D9D9"/>
          </w:tcPr>
          <w:p w14:paraId="24CBE919" w14:textId="77777777" w:rsidR="00AF3581" w:rsidRPr="00506303" w:rsidRDefault="00AF3581" w:rsidP="0067543B">
            <w:pPr>
              <w:rPr>
                <w:sz w:val="18"/>
                <w:szCs w:val="18"/>
              </w:rPr>
            </w:pPr>
          </w:p>
        </w:tc>
        <w:tc>
          <w:tcPr>
            <w:tcW w:w="473" w:type="dxa"/>
            <w:shd w:val="clear" w:color="auto" w:fill="D9D9D9"/>
          </w:tcPr>
          <w:p w14:paraId="3DBA24F8" w14:textId="77777777" w:rsidR="00AF3581" w:rsidRPr="00506303" w:rsidRDefault="00AF3581" w:rsidP="0067543B">
            <w:pPr>
              <w:rPr>
                <w:sz w:val="18"/>
                <w:szCs w:val="18"/>
              </w:rPr>
            </w:pPr>
          </w:p>
        </w:tc>
        <w:tc>
          <w:tcPr>
            <w:tcW w:w="473" w:type="dxa"/>
            <w:shd w:val="clear" w:color="auto" w:fill="D9D9D9"/>
          </w:tcPr>
          <w:p w14:paraId="29292379" w14:textId="77777777" w:rsidR="00AF3581" w:rsidRPr="00506303" w:rsidRDefault="00AF3581" w:rsidP="0067543B">
            <w:pPr>
              <w:rPr>
                <w:sz w:val="18"/>
                <w:szCs w:val="18"/>
              </w:rPr>
            </w:pPr>
          </w:p>
        </w:tc>
        <w:tc>
          <w:tcPr>
            <w:tcW w:w="473" w:type="dxa"/>
            <w:shd w:val="clear" w:color="auto" w:fill="D9D9D9"/>
          </w:tcPr>
          <w:p w14:paraId="2A42A995" w14:textId="77777777" w:rsidR="00AF3581" w:rsidRPr="00506303" w:rsidRDefault="00AF3581" w:rsidP="0067543B">
            <w:pPr>
              <w:rPr>
                <w:sz w:val="18"/>
                <w:szCs w:val="18"/>
              </w:rPr>
            </w:pPr>
          </w:p>
        </w:tc>
        <w:tc>
          <w:tcPr>
            <w:tcW w:w="473" w:type="dxa"/>
            <w:shd w:val="clear" w:color="auto" w:fill="auto"/>
          </w:tcPr>
          <w:p w14:paraId="5A707DB0" w14:textId="77777777" w:rsidR="00AF3581" w:rsidRPr="00506303" w:rsidRDefault="00AF3581" w:rsidP="0067543B">
            <w:pPr>
              <w:rPr>
                <w:sz w:val="18"/>
                <w:szCs w:val="18"/>
              </w:rPr>
            </w:pPr>
          </w:p>
        </w:tc>
        <w:tc>
          <w:tcPr>
            <w:tcW w:w="473" w:type="dxa"/>
            <w:shd w:val="clear" w:color="auto" w:fill="auto"/>
          </w:tcPr>
          <w:p w14:paraId="2892AA7F" w14:textId="77777777" w:rsidR="00AF3581" w:rsidRPr="00506303" w:rsidRDefault="00AF3581" w:rsidP="0067543B">
            <w:pPr>
              <w:rPr>
                <w:sz w:val="18"/>
                <w:szCs w:val="18"/>
              </w:rPr>
            </w:pPr>
          </w:p>
        </w:tc>
        <w:tc>
          <w:tcPr>
            <w:tcW w:w="473" w:type="dxa"/>
            <w:shd w:val="clear" w:color="auto" w:fill="auto"/>
          </w:tcPr>
          <w:p w14:paraId="1DA390A6" w14:textId="77777777" w:rsidR="00AF3581" w:rsidRPr="00506303" w:rsidRDefault="00AF3581" w:rsidP="0067543B">
            <w:pPr>
              <w:rPr>
                <w:sz w:val="18"/>
                <w:szCs w:val="18"/>
              </w:rPr>
            </w:pPr>
          </w:p>
        </w:tc>
        <w:tc>
          <w:tcPr>
            <w:tcW w:w="473" w:type="dxa"/>
            <w:shd w:val="clear" w:color="auto" w:fill="auto"/>
          </w:tcPr>
          <w:p w14:paraId="26F0E0DC" w14:textId="77777777" w:rsidR="00AF3581" w:rsidRPr="00506303" w:rsidRDefault="00AF3581" w:rsidP="0067543B">
            <w:pPr>
              <w:rPr>
                <w:sz w:val="18"/>
                <w:szCs w:val="18"/>
              </w:rPr>
            </w:pPr>
          </w:p>
        </w:tc>
      </w:tr>
      <w:tr w:rsidR="00E071AC" w:rsidRPr="00506303" w14:paraId="18D00EDD" w14:textId="77777777" w:rsidTr="00E071AC">
        <w:tc>
          <w:tcPr>
            <w:tcW w:w="944" w:type="dxa"/>
            <w:shd w:val="clear" w:color="auto" w:fill="auto"/>
          </w:tcPr>
          <w:p w14:paraId="4E9FEB2B" w14:textId="77777777" w:rsidR="00AF3581" w:rsidRPr="00506303" w:rsidRDefault="00AF3581" w:rsidP="0067543B">
            <w:pPr>
              <w:rPr>
                <w:sz w:val="18"/>
                <w:szCs w:val="18"/>
              </w:rPr>
            </w:pPr>
            <w:r w:rsidRPr="00506303">
              <w:rPr>
                <w:sz w:val="18"/>
                <w:szCs w:val="18"/>
              </w:rPr>
              <w:t>1.1.2.5</w:t>
            </w:r>
          </w:p>
        </w:tc>
        <w:tc>
          <w:tcPr>
            <w:tcW w:w="3776" w:type="dxa"/>
            <w:shd w:val="clear" w:color="auto" w:fill="auto"/>
          </w:tcPr>
          <w:p w14:paraId="680DB699" w14:textId="77777777" w:rsidR="00AF3581" w:rsidRPr="00506303" w:rsidRDefault="00AF3581" w:rsidP="0067543B">
            <w:pPr>
              <w:rPr>
                <w:sz w:val="18"/>
                <w:szCs w:val="18"/>
              </w:rPr>
            </w:pPr>
            <w:r w:rsidRPr="00506303">
              <w:rPr>
                <w:sz w:val="18"/>
                <w:szCs w:val="18"/>
              </w:rPr>
              <w:t>Regulations/rules required for sustainable use management drafted with local stakeholders</w:t>
            </w:r>
          </w:p>
        </w:tc>
        <w:tc>
          <w:tcPr>
            <w:tcW w:w="472" w:type="dxa"/>
            <w:shd w:val="clear" w:color="auto" w:fill="auto"/>
          </w:tcPr>
          <w:p w14:paraId="71230497" w14:textId="77777777" w:rsidR="00AF3581" w:rsidRPr="00506303" w:rsidRDefault="00AF3581" w:rsidP="0067543B">
            <w:pPr>
              <w:rPr>
                <w:sz w:val="18"/>
                <w:szCs w:val="18"/>
              </w:rPr>
            </w:pPr>
          </w:p>
        </w:tc>
        <w:tc>
          <w:tcPr>
            <w:tcW w:w="472" w:type="dxa"/>
            <w:shd w:val="clear" w:color="auto" w:fill="auto"/>
          </w:tcPr>
          <w:p w14:paraId="6773FC1B" w14:textId="77777777" w:rsidR="00AF3581" w:rsidRPr="00506303" w:rsidRDefault="00AF3581" w:rsidP="0067543B">
            <w:pPr>
              <w:rPr>
                <w:sz w:val="18"/>
                <w:szCs w:val="18"/>
              </w:rPr>
            </w:pPr>
          </w:p>
        </w:tc>
        <w:tc>
          <w:tcPr>
            <w:tcW w:w="472" w:type="dxa"/>
            <w:shd w:val="clear" w:color="auto" w:fill="auto"/>
          </w:tcPr>
          <w:p w14:paraId="679B7D56" w14:textId="77777777" w:rsidR="00AF3581" w:rsidRPr="00506303" w:rsidRDefault="00AF3581" w:rsidP="0067543B">
            <w:pPr>
              <w:rPr>
                <w:sz w:val="18"/>
                <w:szCs w:val="18"/>
              </w:rPr>
            </w:pPr>
          </w:p>
        </w:tc>
        <w:tc>
          <w:tcPr>
            <w:tcW w:w="472" w:type="dxa"/>
            <w:shd w:val="clear" w:color="auto" w:fill="auto"/>
          </w:tcPr>
          <w:p w14:paraId="53242ACD" w14:textId="77777777" w:rsidR="00AF3581" w:rsidRPr="00506303" w:rsidRDefault="00AF3581" w:rsidP="0067543B">
            <w:pPr>
              <w:rPr>
                <w:sz w:val="18"/>
                <w:szCs w:val="18"/>
              </w:rPr>
            </w:pPr>
          </w:p>
        </w:tc>
        <w:tc>
          <w:tcPr>
            <w:tcW w:w="472" w:type="dxa"/>
            <w:shd w:val="clear" w:color="auto" w:fill="auto"/>
          </w:tcPr>
          <w:p w14:paraId="2D8ADD28" w14:textId="77777777" w:rsidR="00AF3581" w:rsidRPr="00506303" w:rsidRDefault="00AF3581" w:rsidP="0067543B">
            <w:pPr>
              <w:rPr>
                <w:sz w:val="18"/>
                <w:szCs w:val="18"/>
              </w:rPr>
            </w:pPr>
          </w:p>
        </w:tc>
        <w:tc>
          <w:tcPr>
            <w:tcW w:w="472" w:type="dxa"/>
            <w:shd w:val="clear" w:color="auto" w:fill="auto"/>
          </w:tcPr>
          <w:p w14:paraId="43530379" w14:textId="77777777" w:rsidR="00AF3581" w:rsidRPr="00506303" w:rsidRDefault="00AF3581" w:rsidP="0067543B">
            <w:pPr>
              <w:rPr>
                <w:sz w:val="18"/>
                <w:szCs w:val="18"/>
              </w:rPr>
            </w:pPr>
          </w:p>
        </w:tc>
        <w:tc>
          <w:tcPr>
            <w:tcW w:w="472" w:type="dxa"/>
            <w:shd w:val="clear" w:color="auto" w:fill="auto"/>
          </w:tcPr>
          <w:p w14:paraId="62B91EC8" w14:textId="77777777" w:rsidR="00AF3581" w:rsidRPr="00506303" w:rsidRDefault="00AF3581" w:rsidP="0067543B">
            <w:pPr>
              <w:rPr>
                <w:sz w:val="18"/>
                <w:szCs w:val="18"/>
              </w:rPr>
            </w:pPr>
          </w:p>
        </w:tc>
        <w:tc>
          <w:tcPr>
            <w:tcW w:w="472" w:type="dxa"/>
            <w:shd w:val="clear" w:color="auto" w:fill="auto"/>
          </w:tcPr>
          <w:p w14:paraId="72DED916" w14:textId="77777777" w:rsidR="00AF3581" w:rsidRPr="00506303" w:rsidRDefault="00AF3581" w:rsidP="0067543B">
            <w:pPr>
              <w:rPr>
                <w:sz w:val="18"/>
                <w:szCs w:val="18"/>
              </w:rPr>
            </w:pPr>
          </w:p>
        </w:tc>
        <w:tc>
          <w:tcPr>
            <w:tcW w:w="472" w:type="dxa"/>
            <w:shd w:val="clear" w:color="auto" w:fill="D9D9D9"/>
          </w:tcPr>
          <w:p w14:paraId="6A3B198D" w14:textId="77777777" w:rsidR="00AF3581" w:rsidRPr="00506303" w:rsidRDefault="00AF3581" w:rsidP="0067543B">
            <w:pPr>
              <w:rPr>
                <w:sz w:val="18"/>
                <w:szCs w:val="18"/>
              </w:rPr>
            </w:pPr>
          </w:p>
        </w:tc>
        <w:tc>
          <w:tcPr>
            <w:tcW w:w="472" w:type="dxa"/>
            <w:shd w:val="clear" w:color="auto" w:fill="D9D9D9"/>
          </w:tcPr>
          <w:p w14:paraId="78501A19" w14:textId="77777777" w:rsidR="00AF3581" w:rsidRPr="00506303" w:rsidRDefault="00AF3581" w:rsidP="0067543B">
            <w:pPr>
              <w:rPr>
                <w:sz w:val="18"/>
                <w:szCs w:val="18"/>
              </w:rPr>
            </w:pPr>
          </w:p>
        </w:tc>
        <w:tc>
          <w:tcPr>
            <w:tcW w:w="473" w:type="dxa"/>
            <w:shd w:val="clear" w:color="auto" w:fill="D9D9D9"/>
          </w:tcPr>
          <w:p w14:paraId="34063628" w14:textId="77777777" w:rsidR="00AF3581" w:rsidRPr="00506303" w:rsidRDefault="00AF3581" w:rsidP="0067543B">
            <w:pPr>
              <w:rPr>
                <w:sz w:val="18"/>
                <w:szCs w:val="18"/>
              </w:rPr>
            </w:pPr>
          </w:p>
        </w:tc>
        <w:tc>
          <w:tcPr>
            <w:tcW w:w="473" w:type="dxa"/>
            <w:shd w:val="clear" w:color="auto" w:fill="D9D9D9"/>
          </w:tcPr>
          <w:p w14:paraId="6D5866C8" w14:textId="77777777" w:rsidR="00AF3581" w:rsidRPr="00506303" w:rsidRDefault="00AF3581" w:rsidP="0067543B">
            <w:pPr>
              <w:rPr>
                <w:sz w:val="18"/>
                <w:szCs w:val="18"/>
              </w:rPr>
            </w:pPr>
          </w:p>
        </w:tc>
        <w:tc>
          <w:tcPr>
            <w:tcW w:w="473" w:type="dxa"/>
            <w:shd w:val="clear" w:color="auto" w:fill="D9D9D9"/>
          </w:tcPr>
          <w:p w14:paraId="736C0715" w14:textId="77777777" w:rsidR="00AF3581" w:rsidRPr="00506303" w:rsidRDefault="00AF3581" w:rsidP="0067543B">
            <w:pPr>
              <w:rPr>
                <w:sz w:val="18"/>
                <w:szCs w:val="18"/>
              </w:rPr>
            </w:pPr>
          </w:p>
        </w:tc>
        <w:tc>
          <w:tcPr>
            <w:tcW w:w="473" w:type="dxa"/>
            <w:shd w:val="clear" w:color="auto" w:fill="D9D9D9"/>
          </w:tcPr>
          <w:p w14:paraId="1258975C" w14:textId="77777777" w:rsidR="00AF3581" w:rsidRPr="00506303" w:rsidRDefault="00AF3581" w:rsidP="0067543B">
            <w:pPr>
              <w:rPr>
                <w:sz w:val="18"/>
                <w:szCs w:val="18"/>
              </w:rPr>
            </w:pPr>
          </w:p>
        </w:tc>
        <w:tc>
          <w:tcPr>
            <w:tcW w:w="473" w:type="dxa"/>
            <w:shd w:val="clear" w:color="auto" w:fill="D9D9D9"/>
          </w:tcPr>
          <w:p w14:paraId="6BB35918" w14:textId="77777777" w:rsidR="00AF3581" w:rsidRPr="00506303" w:rsidRDefault="00AF3581" w:rsidP="0067543B">
            <w:pPr>
              <w:rPr>
                <w:sz w:val="18"/>
                <w:szCs w:val="18"/>
              </w:rPr>
            </w:pPr>
          </w:p>
        </w:tc>
        <w:tc>
          <w:tcPr>
            <w:tcW w:w="473" w:type="dxa"/>
            <w:shd w:val="clear" w:color="auto" w:fill="D9D9D9"/>
          </w:tcPr>
          <w:p w14:paraId="5A6DE228" w14:textId="77777777" w:rsidR="00AF3581" w:rsidRPr="00506303" w:rsidRDefault="00AF3581" w:rsidP="0067543B">
            <w:pPr>
              <w:rPr>
                <w:sz w:val="18"/>
                <w:szCs w:val="18"/>
              </w:rPr>
            </w:pPr>
          </w:p>
        </w:tc>
        <w:tc>
          <w:tcPr>
            <w:tcW w:w="473" w:type="dxa"/>
            <w:shd w:val="clear" w:color="auto" w:fill="auto"/>
          </w:tcPr>
          <w:p w14:paraId="4489FCDC" w14:textId="77777777" w:rsidR="00AF3581" w:rsidRPr="00506303" w:rsidRDefault="00AF3581" w:rsidP="0067543B">
            <w:pPr>
              <w:rPr>
                <w:sz w:val="18"/>
                <w:szCs w:val="18"/>
              </w:rPr>
            </w:pPr>
          </w:p>
        </w:tc>
        <w:tc>
          <w:tcPr>
            <w:tcW w:w="473" w:type="dxa"/>
            <w:shd w:val="clear" w:color="auto" w:fill="auto"/>
          </w:tcPr>
          <w:p w14:paraId="7CB66613" w14:textId="77777777" w:rsidR="00AF3581" w:rsidRPr="00506303" w:rsidRDefault="00AF3581" w:rsidP="0067543B">
            <w:pPr>
              <w:rPr>
                <w:sz w:val="18"/>
                <w:szCs w:val="18"/>
              </w:rPr>
            </w:pPr>
          </w:p>
        </w:tc>
        <w:tc>
          <w:tcPr>
            <w:tcW w:w="473" w:type="dxa"/>
            <w:shd w:val="clear" w:color="auto" w:fill="auto"/>
          </w:tcPr>
          <w:p w14:paraId="7C76E527" w14:textId="77777777" w:rsidR="00AF3581" w:rsidRPr="00506303" w:rsidRDefault="00AF3581" w:rsidP="0067543B">
            <w:pPr>
              <w:rPr>
                <w:sz w:val="18"/>
                <w:szCs w:val="18"/>
              </w:rPr>
            </w:pPr>
          </w:p>
        </w:tc>
        <w:tc>
          <w:tcPr>
            <w:tcW w:w="473" w:type="dxa"/>
            <w:shd w:val="clear" w:color="auto" w:fill="auto"/>
          </w:tcPr>
          <w:p w14:paraId="78420BEA" w14:textId="77777777" w:rsidR="00AF3581" w:rsidRPr="00506303" w:rsidRDefault="00AF3581" w:rsidP="0067543B">
            <w:pPr>
              <w:rPr>
                <w:sz w:val="18"/>
                <w:szCs w:val="18"/>
              </w:rPr>
            </w:pPr>
          </w:p>
        </w:tc>
      </w:tr>
      <w:tr w:rsidR="00E071AC" w:rsidRPr="00506303" w14:paraId="6504D8F6" w14:textId="77777777" w:rsidTr="00E071AC">
        <w:tc>
          <w:tcPr>
            <w:tcW w:w="944" w:type="dxa"/>
            <w:shd w:val="clear" w:color="auto" w:fill="auto"/>
          </w:tcPr>
          <w:p w14:paraId="00D6FBB2" w14:textId="77777777" w:rsidR="00AF3581" w:rsidRPr="00506303" w:rsidRDefault="00AF3581" w:rsidP="0067543B">
            <w:pPr>
              <w:rPr>
                <w:sz w:val="18"/>
                <w:szCs w:val="18"/>
              </w:rPr>
            </w:pPr>
            <w:r w:rsidRPr="00506303">
              <w:rPr>
                <w:sz w:val="18"/>
                <w:szCs w:val="18"/>
              </w:rPr>
              <w:t>1.1.2.6</w:t>
            </w:r>
          </w:p>
        </w:tc>
        <w:tc>
          <w:tcPr>
            <w:tcW w:w="3776" w:type="dxa"/>
            <w:shd w:val="clear" w:color="auto" w:fill="auto"/>
          </w:tcPr>
          <w:p w14:paraId="5282931C" w14:textId="77777777" w:rsidR="00AF3581" w:rsidRPr="00506303" w:rsidRDefault="00AF3581" w:rsidP="0067543B">
            <w:pPr>
              <w:rPr>
                <w:sz w:val="18"/>
                <w:szCs w:val="18"/>
              </w:rPr>
            </w:pPr>
            <w:r w:rsidRPr="00506303">
              <w:rPr>
                <w:sz w:val="18"/>
                <w:szCs w:val="18"/>
              </w:rPr>
              <w:t>Management plans adopted and implemented by local authorities and regulatory reforms enacted</w:t>
            </w:r>
          </w:p>
        </w:tc>
        <w:tc>
          <w:tcPr>
            <w:tcW w:w="472" w:type="dxa"/>
            <w:shd w:val="clear" w:color="auto" w:fill="auto"/>
          </w:tcPr>
          <w:p w14:paraId="765282E5" w14:textId="77777777" w:rsidR="00AF3581" w:rsidRPr="00506303" w:rsidRDefault="00AF3581" w:rsidP="0067543B">
            <w:pPr>
              <w:rPr>
                <w:sz w:val="18"/>
                <w:szCs w:val="18"/>
              </w:rPr>
            </w:pPr>
          </w:p>
        </w:tc>
        <w:tc>
          <w:tcPr>
            <w:tcW w:w="472" w:type="dxa"/>
            <w:shd w:val="clear" w:color="auto" w:fill="auto"/>
          </w:tcPr>
          <w:p w14:paraId="56747BCF" w14:textId="77777777" w:rsidR="00AF3581" w:rsidRPr="00506303" w:rsidRDefault="00AF3581" w:rsidP="0067543B">
            <w:pPr>
              <w:rPr>
                <w:sz w:val="18"/>
                <w:szCs w:val="18"/>
              </w:rPr>
            </w:pPr>
          </w:p>
        </w:tc>
        <w:tc>
          <w:tcPr>
            <w:tcW w:w="472" w:type="dxa"/>
            <w:shd w:val="clear" w:color="auto" w:fill="auto"/>
          </w:tcPr>
          <w:p w14:paraId="4DBE8E56" w14:textId="77777777" w:rsidR="00AF3581" w:rsidRPr="00506303" w:rsidRDefault="00AF3581" w:rsidP="0067543B">
            <w:pPr>
              <w:rPr>
                <w:sz w:val="18"/>
                <w:szCs w:val="18"/>
              </w:rPr>
            </w:pPr>
          </w:p>
        </w:tc>
        <w:tc>
          <w:tcPr>
            <w:tcW w:w="472" w:type="dxa"/>
            <w:shd w:val="clear" w:color="auto" w:fill="auto"/>
          </w:tcPr>
          <w:p w14:paraId="226766CA" w14:textId="77777777" w:rsidR="00AF3581" w:rsidRPr="00506303" w:rsidRDefault="00AF3581" w:rsidP="0067543B">
            <w:pPr>
              <w:rPr>
                <w:sz w:val="18"/>
                <w:szCs w:val="18"/>
              </w:rPr>
            </w:pPr>
          </w:p>
        </w:tc>
        <w:tc>
          <w:tcPr>
            <w:tcW w:w="472" w:type="dxa"/>
            <w:shd w:val="clear" w:color="auto" w:fill="auto"/>
          </w:tcPr>
          <w:p w14:paraId="73DF1C49" w14:textId="77777777" w:rsidR="00AF3581" w:rsidRPr="00506303" w:rsidRDefault="00AF3581" w:rsidP="0067543B">
            <w:pPr>
              <w:rPr>
                <w:sz w:val="18"/>
                <w:szCs w:val="18"/>
              </w:rPr>
            </w:pPr>
          </w:p>
        </w:tc>
        <w:tc>
          <w:tcPr>
            <w:tcW w:w="472" w:type="dxa"/>
            <w:shd w:val="clear" w:color="auto" w:fill="auto"/>
          </w:tcPr>
          <w:p w14:paraId="514D129B" w14:textId="77777777" w:rsidR="00AF3581" w:rsidRPr="00506303" w:rsidRDefault="00AF3581" w:rsidP="0067543B">
            <w:pPr>
              <w:rPr>
                <w:sz w:val="18"/>
                <w:szCs w:val="18"/>
              </w:rPr>
            </w:pPr>
          </w:p>
        </w:tc>
        <w:tc>
          <w:tcPr>
            <w:tcW w:w="472" w:type="dxa"/>
            <w:shd w:val="clear" w:color="auto" w:fill="auto"/>
          </w:tcPr>
          <w:p w14:paraId="14CFA857" w14:textId="77777777" w:rsidR="00AF3581" w:rsidRPr="00506303" w:rsidRDefault="00AF3581" w:rsidP="0067543B">
            <w:pPr>
              <w:rPr>
                <w:sz w:val="18"/>
                <w:szCs w:val="18"/>
              </w:rPr>
            </w:pPr>
          </w:p>
        </w:tc>
        <w:tc>
          <w:tcPr>
            <w:tcW w:w="472" w:type="dxa"/>
            <w:shd w:val="clear" w:color="auto" w:fill="auto"/>
          </w:tcPr>
          <w:p w14:paraId="7D79D7E3" w14:textId="77777777" w:rsidR="00AF3581" w:rsidRPr="00506303" w:rsidRDefault="00AF3581" w:rsidP="0067543B">
            <w:pPr>
              <w:rPr>
                <w:sz w:val="18"/>
                <w:szCs w:val="18"/>
              </w:rPr>
            </w:pPr>
          </w:p>
        </w:tc>
        <w:tc>
          <w:tcPr>
            <w:tcW w:w="472" w:type="dxa"/>
            <w:shd w:val="clear" w:color="auto" w:fill="auto"/>
          </w:tcPr>
          <w:p w14:paraId="465C07D7" w14:textId="77777777" w:rsidR="00AF3581" w:rsidRPr="00506303" w:rsidRDefault="00AF3581" w:rsidP="0067543B">
            <w:pPr>
              <w:rPr>
                <w:sz w:val="18"/>
                <w:szCs w:val="18"/>
              </w:rPr>
            </w:pPr>
          </w:p>
        </w:tc>
        <w:tc>
          <w:tcPr>
            <w:tcW w:w="472" w:type="dxa"/>
            <w:shd w:val="clear" w:color="auto" w:fill="auto"/>
          </w:tcPr>
          <w:p w14:paraId="53A59DFE" w14:textId="77777777" w:rsidR="00AF3581" w:rsidRPr="00506303" w:rsidRDefault="00AF3581" w:rsidP="0067543B">
            <w:pPr>
              <w:rPr>
                <w:sz w:val="18"/>
                <w:szCs w:val="18"/>
              </w:rPr>
            </w:pPr>
          </w:p>
        </w:tc>
        <w:tc>
          <w:tcPr>
            <w:tcW w:w="473" w:type="dxa"/>
            <w:shd w:val="clear" w:color="auto" w:fill="auto"/>
          </w:tcPr>
          <w:p w14:paraId="13AAFFC7" w14:textId="77777777" w:rsidR="00AF3581" w:rsidRPr="00506303" w:rsidRDefault="00AF3581" w:rsidP="0067543B">
            <w:pPr>
              <w:rPr>
                <w:sz w:val="18"/>
                <w:szCs w:val="18"/>
              </w:rPr>
            </w:pPr>
          </w:p>
        </w:tc>
        <w:tc>
          <w:tcPr>
            <w:tcW w:w="473" w:type="dxa"/>
            <w:shd w:val="clear" w:color="auto" w:fill="auto"/>
          </w:tcPr>
          <w:p w14:paraId="22233B5A" w14:textId="77777777" w:rsidR="00AF3581" w:rsidRPr="00506303" w:rsidRDefault="00AF3581" w:rsidP="0067543B">
            <w:pPr>
              <w:rPr>
                <w:sz w:val="18"/>
                <w:szCs w:val="18"/>
              </w:rPr>
            </w:pPr>
          </w:p>
        </w:tc>
        <w:tc>
          <w:tcPr>
            <w:tcW w:w="473" w:type="dxa"/>
            <w:shd w:val="clear" w:color="auto" w:fill="auto"/>
          </w:tcPr>
          <w:p w14:paraId="3CA8BF2A" w14:textId="77777777" w:rsidR="00AF3581" w:rsidRPr="00506303" w:rsidRDefault="00AF3581" w:rsidP="0067543B">
            <w:pPr>
              <w:rPr>
                <w:sz w:val="18"/>
                <w:szCs w:val="18"/>
              </w:rPr>
            </w:pPr>
          </w:p>
        </w:tc>
        <w:tc>
          <w:tcPr>
            <w:tcW w:w="473" w:type="dxa"/>
            <w:shd w:val="clear" w:color="auto" w:fill="auto"/>
          </w:tcPr>
          <w:p w14:paraId="30BA956F" w14:textId="77777777" w:rsidR="00AF3581" w:rsidRPr="00506303" w:rsidRDefault="00AF3581" w:rsidP="0067543B">
            <w:pPr>
              <w:rPr>
                <w:sz w:val="18"/>
                <w:szCs w:val="18"/>
              </w:rPr>
            </w:pPr>
          </w:p>
        </w:tc>
        <w:tc>
          <w:tcPr>
            <w:tcW w:w="473" w:type="dxa"/>
            <w:shd w:val="clear" w:color="auto" w:fill="D9D9D9"/>
          </w:tcPr>
          <w:p w14:paraId="0103A1BD" w14:textId="77777777" w:rsidR="00AF3581" w:rsidRPr="00506303" w:rsidRDefault="00AF3581" w:rsidP="0067543B">
            <w:pPr>
              <w:rPr>
                <w:sz w:val="18"/>
                <w:szCs w:val="18"/>
              </w:rPr>
            </w:pPr>
          </w:p>
        </w:tc>
        <w:tc>
          <w:tcPr>
            <w:tcW w:w="473" w:type="dxa"/>
            <w:shd w:val="clear" w:color="auto" w:fill="D9D9D9"/>
          </w:tcPr>
          <w:p w14:paraId="03607E0B" w14:textId="77777777" w:rsidR="00AF3581" w:rsidRPr="00506303" w:rsidRDefault="00AF3581" w:rsidP="0067543B">
            <w:pPr>
              <w:rPr>
                <w:sz w:val="18"/>
                <w:szCs w:val="18"/>
              </w:rPr>
            </w:pPr>
          </w:p>
        </w:tc>
        <w:tc>
          <w:tcPr>
            <w:tcW w:w="473" w:type="dxa"/>
            <w:shd w:val="clear" w:color="auto" w:fill="D9D9D9"/>
          </w:tcPr>
          <w:p w14:paraId="27D0302F" w14:textId="77777777" w:rsidR="00AF3581" w:rsidRPr="00506303" w:rsidRDefault="00AF3581" w:rsidP="0067543B">
            <w:pPr>
              <w:rPr>
                <w:sz w:val="18"/>
                <w:szCs w:val="18"/>
              </w:rPr>
            </w:pPr>
          </w:p>
        </w:tc>
        <w:tc>
          <w:tcPr>
            <w:tcW w:w="473" w:type="dxa"/>
            <w:shd w:val="clear" w:color="auto" w:fill="D9D9D9"/>
          </w:tcPr>
          <w:p w14:paraId="78D54548" w14:textId="77777777" w:rsidR="00AF3581" w:rsidRPr="00506303" w:rsidRDefault="00AF3581" w:rsidP="0067543B">
            <w:pPr>
              <w:rPr>
                <w:sz w:val="18"/>
                <w:szCs w:val="18"/>
              </w:rPr>
            </w:pPr>
          </w:p>
        </w:tc>
        <w:tc>
          <w:tcPr>
            <w:tcW w:w="473" w:type="dxa"/>
            <w:shd w:val="clear" w:color="auto" w:fill="D9D9D9"/>
          </w:tcPr>
          <w:p w14:paraId="28CFE3A4" w14:textId="77777777" w:rsidR="00AF3581" w:rsidRPr="00506303" w:rsidRDefault="00AF3581" w:rsidP="0067543B">
            <w:pPr>
              <w:rPr>
                <w:sz w:val="18"/>
                <w:szCs w:val="18"/>
              </w:rPr>
            </w:pPr>
          </w:p>
        </w:tc>
        <w:tc>
          <w:tcPr>
            <w:tcW w:w="473" w:type="dxa"/>
            <w:shd w:val="clear" w:color="auto" w:fill="D9D9D9"/>
          </w:tcPr>
          <w:p w14:paraId="4A5CCBD7" w14:textId="77777777" w:rsidR="00AF3581" w:rsidRPr="00506303" w:rsidRDefault="00AF3581" w:rsidP="0067543B">
            <w:pPr>
              <w:rPr>
                <w:sz w:val="18"/>
                <w:szCs w:val="18"/>
              </w:rPr>
            </w:pPr>
          </w:p>
        </w:tc>
      </w:tr>
      <w:tr w:rsidR="00AF3581" w:rsidRPr="00506303" w14:paraId="02DDE607" w14:textId="77777777" w:rsidTr="00506303">
        <w:tc>
          <w:tcPr>
            <w:tcW w:w="944" w:type="dxa"/>
            <w:shd w:val="clear" w:color="auto" w:fill="auto"/>
          </w:tcPr>
          <w:p w14:paraId="060437C0" w14:textId="77777777" w:rsidR="00AF3581" w:rsidRPr="00506303" w:rsidRDefault="00AF3581" w:rsidP="0067543B">
            <w:pPr>
              <w:rPr>
                <w:b/>
                <w:sz w:val="18"/>
                <w:szCs w:val="18"/>
              </w:rPr>
            </w:pPr>
            <w:r w:rsidRPr="00506303">
              <w:rPr>
                <w:b/>
                <w:sz w:val="18"/>
                <w:szCs w:val="18"/>
              </w:rPr>
              <w:t>1.1.3</w:t>
            </w:r>
          </w:p>
        </w:tc>
        <w:tc>
          <w:tcPr>
            <w:tcW w:w="13226" w:type="dxa"/>
            <w:gridSpan w:val="21"/>
            <w:shd w:val="clear" w:color="auto" w:fill="auto"/>
          </w:tcPr>
          <w:p w14:paraId="6ADB872E" w14:textId="77777777" w:rsidR="00AF3581" w:rsidRPr="00506303" w:rsidRDefault="00AF3581" w:rsidP="0067543B">
            <w:pPr>
              <w:rPr>
                <w:b/>
                <w:sz w:val="18"/>
                <w:szCs w:val="18"/>
              </w:rPr>
            </w:pPr>
            <w:r w:rsidRPr="00506303">
              <w:rPr>
                <w:b/>
                <w:sz w:val="18"/>
                <w:szCs w:val="18"/>
              </w:rPr>
              <w:t>Reform of laws and regulations for the sustainable use of 602,800 ha of mangrove forest</w:t>
            </w:r>
          </w:p>
        </w:tc>
      </w:tr>
      <w:tr w:rsidR="00AF3581" w:rsidRPr="00506303" w14:paraId="5720A66F" w14:textId="77777777" w:rsidTr="00E071AC">
        <w:tc>
          <w:tcPr>
            <w:tcW w:w="944" w:type="dxa"/>
            <w:shd w:val="clear" w:color="auto" w:fill="auto"/>
          </w:tcPr>
          <w:p w14:paraId="15CE46D4" w14:textId="77777777" w:rsidR="00AF3581" w:rsidRPr="00506303" w:rsidRDefault="00AF3581" w:rsidP="0067543B">
            <w:pPr>
              <w:rPr>
                <w:sz w:val="18"/>
                <w:szCs w:val="18"/>
              </w:rPr>
            </w:pPr>
            <w:r w:rsidRPr="00506303">
              <w:rPr>
                <w:sz w:val="18"/>
                <w:szCs w:val="18"/>
              </w:rPr>
              <w:t>1.1.3.1</w:t>
            </w:r>
          </w:p>
        </w:tc>
        <w:tc>
          <w:tcPr>
            <w:tcW w:w="3776" w:type="dxa"/>
            <w:shd w:val="clear" w:color="auto" w:fill="auto"/>
          </w:tcPr>
          <w:p w14:paraId="257FF3E8" w14:textId="77777777" w:rsidR="00AF3581" w:rsidRPr="00506303" w:rsidRDefault="00AF3581" w:rsidP="0067543B">
            <w:pPr>
              <w:rPr>
                <w:sz w:val="18"/>
                <w:szCs w:val="18"/>
              </w:rPr>
            </w:pPr>
            <w:r w:rsidRPr="00506303">
              <w:rPr>
                <w:sz w:val="18"/>
                <w:szCs w:val="18"/>
              </w:rPr>
              <w:t>Review policy and legal aspects of mangrove management (terminology, procedures, recommended reforms) in the 6 countries</w:t>
            </w:r>
          </w:p>
        </w:tc>
        <w:tc>
          <w:tcPr>
            <w:tcW w:w="472" w:type="dxa"/>
            <w:shd w:val="clear" w:color="auto" w:fill="D9D9D9"/>
          </w:tcPr>
          <w:p w14:paraId="38BCE14D" w14:textId="77777777" w:rsidR="00AF3581" w:rsidRPr="00506303" w:rsidRDefault="00AF3581" w:rsidP="0067543B">
            <w:pPr>
              <w:rPr>
                <w:sz w:val="18"/>
                <w:szCs w:val="18"/>
              </w:rPr>
            </w:pPr>
          </w:p>
        </w:tc>
        <w:tc>
          <w:tcPr>
            <w:tcW w:w="472" w:type="dxa"/>
            <w:shd w:val="clear" w:color="auto" w:fill="D9D9D9"/>
          </w:tcPr>
          <w:p w14:paraId="411C0E88" w14:textId="77777777" w:rsidR="00AF3581" w:rsidRPr="00506303" w:rsidRDefault="00AF3581" w:rsidP="0067543B">
            <w:pPr>
              <w:rPr>
                <w:sz w:val="18"/>
                <w:szCs w:val="18"/>
              </w:rPr>
            </w:pPr>
          </w:p>
        </w:tc>
        <w:tc>
          <w:tcPr>
            <w:tcW w:w="472" w:type="dxa"/>
            <w:shd w:val="clear" w:color="auto" w:fill="D9D9D9"/>
          </w:tcPr>
          <w:p w14:paraId="6C663CCA" w14:textId="77777777" w:rsidR="00AF3581" w:rsidRPr="00506303" w:rsidRDefault="00AF3581" w:rsidP="0067543B">
            <w:pPr>
              <w:rPr>
                <w:sz w:val="18"/>
                <w:szCs w:val="18"/>
              </w:rPr>
            </w:pPr>
          </w:p>
        </w:tc>
        <w:tc>
          <w:tcPr>
            <w:tcW w:w="472" w:type="dxa"/>
            <w:shd w:val="clear" w:color="auto" w:fill="D9D9D9"/>
          </w:tcPr>
          <w:p w14:paraId="2936F2DE" w14:textId="77777777" w:rsidR="00AF3581" w:rsidRPr="00506303" w:rsidRDefault="00AF3581" w:rsidP="0067543B">
            <w:pPr>
              <w:rPr>
                <w:sz w:val="18"/>
                <w:szCs w:val="18"/>
              </w:rPr>
            </w:pPr>
          </w:p>
        </w:tc>
        <w:tc>
          <w:tcPr>
            <w:tcW w:w="472" w:type="dxa"/>
            <w:shd w:val="clear" w:color="auto" w:fill="auto"/>
          </w:tcPr>
          <w:p w14:paraId="3C0FEE43" w14:textId="77777777" w:rsidR="00AF3581" w:rsidRPr="00506303" w:rsidRDefault="00AF3581" w:rsidP="0067543B">
            <w:pPr>
              <w:rPr>
                <w:sz w:val="18"/>
                <w:szCs w:val="18"/>
              </w:rPr>
            </w:pPr>
          </w:p>
        </w:tc>
        <w:tc>
          <w:tcPr>
            <w:tcW w:w="472" w:type="dxa"/>
            <w:shd w:val="clear" w:color="auto" w:fill="auto"/>
          </w:tcPr>
          <w:p w14:paraId="4A346259" w14:textId="77777777" w:rsidR="00AF3581" w:rsidRPr="00506303" w:rsidRDefault="00AF3581" w:rsidP="0067543B">
            <w:pPr>
              <w:rPr>
                <w:sz w:val="18"/>
                <w:szCs w:val="18"/>
              </w:rPr>
            </w:pPr>
          </w:p>
        </w:tc>
        <w:tc>
          <w:tcPr>
            <w:tcW w:w="472" w:type="dxa"/>
            <w:shd w:val="clear" w:color="auto" w:fill="auto"/>
          </w:tcPr>
          <w:p w14:paraId="56ADBA49" w14:textId="77777777" w:rsidR="00AF3581" w:rsidRPr="00506303" w:rsidRDefault="00AF3581" w:rsidP="0067543B">
            <w:pPr>
              <w:rPr>
                <w:sz w:val="18"/>
                <w:szCs w:val="18"/>
              </w:rPr>
            </w:pPr>
          </w:p>
        </w:tc>
        <w:tc>
          <w:tcPr>
            <w:tcW w:w="472" w:type="dxa"/>
            <w:shd w:val="clear" w:color="auto" w:fill="auto"/>
          </w:tcPr>
          <w:p w14:paraId="61D06712" w14:textId="77777777" w:rsidR="00AF3581" w:rsidRPr="00506303" w:rsidRDefault="00AF3581" w:rsidP="0067543B">
            <w:pPr>
              <w:rPr>
                <w:sz w:val="18"/>
                <w:szCs w:val="18"/>
              </w:rPr>
            </w:pPr>
          </w:p>
        </w:tc>
        <w:tc>
          <w:tcPr>
            <w:tcW w:w="472" w:type="dxa"/>
            <w:shd w:val="clear" w:color="auto" w:fill="auto"/>
          </w:tcPr>
          <w:p w14:paraId="130F149A" w14:textId="77777777" w:rsidR="00AF3581" w:rsidRPr="00506303" w:rsidRDefault="00AF3581" w:rsidP="0067543B">
            <w:pPr>
              <w:rPr>
                <w:sz w:val="18"/>
                <w:szCs w:val="18"/>
              </w:rPr>
            </w:pPr>
          </w:p>
        </w:tc>
        <w:tc>
          <w:tcPr>
            <w:tcW w:w="472" w:type="dxa"/>
            <w:shd w:val="clear" w:color="auto" w:fill="auto"/>
          </w:tcPr>
          <w:p w14:paraId="44962379" w14:textId="77777777" w:rsidR="00AF3581" w:rsidRPr="00506303" w:rsidRDefault="00AF3581" w:rsidP="0067543B">
            <w:pPr>
              <w:rPr>
                <w:sz w:val="18"/>
                <w:szCs w:val="18"/>
              </w:rPr>
            </w:pPr>
          </w:p>
        </w:tc>
        <w:tc>
          <w:tcPr>
            <w:tcW w:w="473" w:type="dxa"/>
            <w:shd w:val="clear" w:color="auto" w:fill="auto"/>
          </w:tcPr>
          <w:p w14:paraId="4EDBB664" w14:textId="77777777" w:rsidR="00AF3581" w:rsidRPr="00506303" w:rsidRDefault="00AF3581" w:rsidP="0067543B">
            <w:pPr>
              <w:rPr>
                <w:sz w:val="18"/>
                <w:szCs w:val="18"/>
              </w:rPr>
            </w:pPr>
          </w:p>
        </w:tc>
        <w:tc>
          <w:tcPr>
            <w:tcW w:w="473" w:type="dxa"/>
            <w:shd w:val="clear" w:color="auto" w:fill="auto"/>
          </w:tcPr>
          <w:p w14:paraId="5DF10792" w14:textId="77777777" w:rsidR="00AF3581" w:rsidRPr="00506303" w:rsidRDefault="00AF3581" w:rsidP="0067543B">
            <w:pPr>
              <w:rPr>
                <w:sz w:val="18"/>
                <w:szCs w:val="18"/>
              </w:rPr>
            </w:pPr>
          </w:p>
        </w:tc>
        <w:tc>
          <w:tcPr>
            <w:tcW w:w="473" w:type="dxa"/>
            <w:shd w:val="clear" w:color="auto" w:fill="auto"/>
          </w:tcPr>
          <w:p w14:paraId="02BC65CD" w14:textId="77777777" w:rsidR="00AF3581" w:rsidRPr="00506303" w:rsidRDefault="00AF3581" w:rsidP="0067543B">
            <w:pPr>
              <w:rPr>
                <w:sz w:val="18"/>
                <w:szCs w:val="18"/>
              </w:rPr>
            </w:pPr>
          </w:p>
        </w:tc>
        <w:tc>
          <w:tcPr>
            <w:tcW w:w="473" w:type="dxa"/>
            <w:shd w:val="clear" w:color="auto" w:fill="auto"/>
          </w:tcPr>
          <w:p w14:paraId="109A2352" w14:textId="77777777" w:rsidR="00AF3581" w:rsidRPr="00506303" w:rsidRDefault="00AF3581" w:rsidP="0067543B">
            <w:pPr>
              <w:rPr>
                <w:sz w:val="18"/>
                <w:szCs w:val="18"/>
              </w:rPr>
            </w:pPr>
          </w:p>
        </w:tc>
        <w:tc>
          <w:tcPr>
            <w:tcW w:w="473" w:type="dxa"/>
            <w:shd w:val="clear" w:color="auto" w:fill="auto"/>
          </w:tcPr>
          <w:p w14:paraId="0449BCF6" w14:textId="77777777" w:rsidR="00AF3581" w:rsidRPr="00506303" w:rsidRDefault="00AF3581" w:rsidP="0067543B">
            <w:pPr>
              <w:rPr>
                <w:sz w:val="18"/>
                <w:szCs w:val="18"/>
              </w:rPr>
            </w:pPr>
          </w:p>
        </w:tc>
        <w:tc>
          <w:tcPr>
            <w:tcW w:w="473" w:type="dxa"/>
            <w:shd w:val="clear" w:color="auto" w:fill="auto"/>
          </w:tcPr>
          <w:p w14:paraId="1BE2EE61" w14:textId="77777777" w:rsidR="00AF3581" w:rsidRPr="00506303" w:rsidRDefault="00AF3581" w:rsidP="0067543B">
            <w:pPr>
              <w:rPr>
                <w:sz w:val="18"/>
                <w:szCs w:val="18"/>
              </w:rPr>
            </w:pPr>
          </w:p>
        </w:tc>
        <w:tc>
          <w:tcPr>
            <w:tcW w:w="473" w:type="dxa"/>
            <w:shd w:val="clear" w:color="auto" w:fill="auto"/>
          </w:tcPr>
          <w:p w14:paraId="6BDFBDE0" w14:textId="77777777" w:rsidR="00AF3581" w:rsidRPr="00506303" w:rsidRDefault="00AF3581" w:rsidP="0067543B">
            <w:pPr>
              <w:rPr>
                <w:sz w:val="18"/>
                <w:szCs w:val="18"/>
              </w:rPr>
            </w:pPr>
          </w:p>
        </w:tc>
        <w:tc>
          <w:tcPr>
            <w:tcW w:w="473" w:type="dxa"/>
            <w:shd w:val="clear" w:color="auto" w:fill="auto"/>
          </w:tcPr>
          <w:p w14:paraId="018434E3" w14:textId="77777777" w:rsidR="00AF3581" w:rsidRPr="00506303" w:rsidRDefault="00AF3581" w:rsidP="0067543B">
            <w:pPr>
              <w:rPr>
                <w:sz w:val="18"/>
                <w:szCs w:val="18"/>
              </w:rPr>
            </w:pPr>
          </w:p>
        </w:tc>
        <w:tc>
          <w:tcPr>
            <w:tcW w:w="473" w:type="dxa"/>
            <w:shd w:val="clear" w:color="auto" w:fill="auto"/>
          </w:tcPr>
          <w:p w14:paraId="47ED9B57" w14:textId="77777777" w:rsidR="00AF3581" w:rsidRPr="00506303" w:rsidRDefault="00AF3581" w:rsidP="0067543B">
            <w:pPr>
              <w:rPr>
                <w:sz w:val="18"/>
                <w:szCs w:val="18"/>
              </w:rPr>
            </w:pPr>
          </w:p>
        </w:tc>
        <w:tc>
          <w:tcPr>
            <w:tcW w:w="473" w:type="dxa"/>
            <w:shd w:val="clear" w:color="auto" w:fill="auto"/>
          </w:tcPr>
          <w:p w14:paraId="016D3F43" w14:textId="77777777" w:rsidR="00AF3581" w:rsidRPr="00506303" w:rsidRDefault="00AF3581" w:rsidP="0067543B">
            <w:pPr>
              <w:rPr>
                <w:sz w:val="18"/>
                <w:szCs w:val="18"/>
              </w:rPr>
            </w:pPr>
          </w:p>
        </w:tc>
      </w:tr>
      <w:tr w:rsidR="00AF3581" w:rsidRPr="00506303" w14:paraId="51D1D108" w14:textId="77777777" w:rsidTr="00E071AC">
        <w:tc>
          <w:tcPr>
            <w:tcW w:w="944" w:type="dxa"/>
            <w:shd w:val="clear" w:color="auto" w:fill="auto"/>
          </w:tcPr>
          <w:p w14:paraId="1A9DD9E7" w14:textId="77777777" w:rsidR="00AF3581" w:rsidRPr="00506303" w:rsidRDefault="00AF3581" w:rsidP="0067543B">
            <w:pPr>
              <w:rPr>
                <w:sz w:val="18"/>
                <w:szCs w:val="18"/>
              </w:rPr>
            </w:pPr>
            <w:r w:rsidRPr="00506303">
              <w:rPr>
                <w:sz w:val="18"/>
                <w:szCs w:val="18"/>
              </w:rPr>
              <w:t>1.1.3.2</w:t>
            </w:r>
          </w:p>
        </w:tc>
        <w:tc>
          <w:tcPr>
            <w:tcW w:w="3776" w:type="dxa"/>
            <w:shd w:val="clear" w:color="auto" w:fill="auto"/>
          </w:tcPr>
          <w:p w14:paraId="34BD2F3C" w14:textId="77777777" w:rsidR="00AF3581" w:rsidRPr="00506303" w:rsidRDefault="00AF3581" w:rsidP="0067543B">
            <w:pPr>
              <w:rPr>
                <w:sz w:val="18"/>
                <w:szCs w:val="18"/>
              </w:rPr>
            </w:pPr>
            <w:r w:rsidRPr="00506303">
              <w:rPr>
                <w:sz w:val="18"/>
                <w:szCs w:val="18"/>
              </w:rPr>
              <w:t>Formulate recommendations on policy and legal reforms to support sustainable use management of priority mangrove areas in the 6 countries</w:t>
            </w:r>
          </w:p>
        </w:tc>
        <w:tc>
          <w:tcPr>
            <w:tcW w:w="472" w:type="dxa"/>
            <w:shd w:val="clear" w:color="auto" w:fill="auto"/>
          </w:tcPr>
          <w:p w14:paraId="58C9F31A" w14:textId="77777777" w:rsidR="00AF3581" w:rsidRPr="00506303" w:rsidRDefault="00AF3581" w:rsidP="0067543B">
            <w:pPr>
              <w:rPr>
                <w:sz w:val="18"/>
                <w:szCs w:val="18"/>
              </w:rPr>
            </w:pPr>
          </w:p>
        </w:tc>
        <w:tc>
          <w:tcPr>
            <w:tcW w:w="472" w:type="dxa"/>
            <w:shd w:val="clear" w:color="auto" w:fill="auto"/>
          </w:tcPr>
          <w:p w14:paraId="56801246" w14:textId="77777777" w:rsidR="00AF3581" w:rsidRPr="00506303" w:rsidRDefault="00AF3581" w:rsidP="0067543B">
            <w:pPr>
              <w:rPr>
                <w:sz w:val="18"/>
                <w:szCs w:val="18"/>
              </w:rPr>
            </w:pPr>
          </w:p>
        </w:tc>
        <w:tc>
          <w:tcPr>
            <w:tcW w:w="472" w:type="dxa"/>
            <w:shd w:val="clear" w:color="auto" w:fill="D9D9D9"/>
          </w:tcPr>
          <w:p w14:paraId="0A49DB81" w14:textId="77777777" w:rsidR="00AF3581" w:rsidRPr="00506303" w:rsidRDefault="00AF3581" w:rsidP="0067543B">
            <w:pPr>
              <w:rPr>
                <w:sz w:val="18"/>
                <w:szCs w:val="18"/>
              </w:rPr>
            </w:pPr>
          </w:p>
        </w:tc>
        <w:tc>
          <w:tcPr>
            <w:tcW w:w="472" w:type="dxa"/>
            <w:shd w:val="clear" w:color="auto" w:fill="D9D9D9"/>
          </w:tcPr>
          <w:p w14:paraId="4E768FB2" w14:textId="77777777" w:rsidR="00AF3581" w:rsidRPr="00506303" w:rsidRDefault="00AF3581" w:rsidP="0067543B">
            <w:pPr>
              <w:rPr>
                <w:sz w:val="18"/>
                <w:szCs w:val="18"/>
              </w:rPr>
            </w:pPr>
          </w:p>
        </w:tc>
        <w:tc>
          <w:tcPr>
            <w:tcW w:w="472" w:type="dxa"/>
            <w:shd w:val="clear" w:color="auto" w:fill="D9D9D9"/>
          </w:tcPr>
          <w:p w14:paraId="35738378" w14:textId="77777777" w:rsidR="00AF3581" w:rsidRPr="00506303" w:rsidRDefault="00AF3581" w:rsidP="0067543B">
            <w:pPr>
              <w:rPr>
                <w:sz w:val="18"/>
                <w:szCs w:val="18"/>
              </w:rPr>
            </w:pPr>
          </w:p>
        </w:tc>
        <w:tc>
          <w:tcPr>
            <w:tcW w:w="472" w:type="dxa"/>
            <w:shd w:val="clear" w:color="auto" w:fill="D9D9D9"/>
          </w:tcPr>
          <w:p w14:paraId="2B876A56" w14:textId="77777777" w:rsidR="00AF3581" w:rsidRPr="00506303" w:rsidRDefault="00AF3581" w:rsidP="0067543B">
            <w:pPr>
              <w:rPr>
                <w:sz w:val="18"/>
                <w:szCs w:val="18"/>
              </w:rPr>
            </w:pPr>
          </w:p>
        </w:tc>
        <w:tc>
          <w:tcPr>
            <w:tcW w:w="472" w:type="dxa"/>
            <w:shd w:val="clear" w:color="auto" w:fill="D9D9D9"/>
          </w:tcPr>
          <w:p w14:paraId="0507339F" w14:textId="77777777" w:rsidR="00AF3581" w:rsidRPr="00506303" w:rsidRDefault="00AF3581" w:rsidP="0067543B">
            <w:pPr>
              <w:rPr>
                <w:sz w:val="18"/>
                <w:szCs w:val="18"/>
              </w:rPr>
            </w:pPr>
          </w:p>
        </w:tc>
        <w:tc>
          <w:tcPr>
            <w:tcW w:w="472" w:type="dxa"/>
            <w:shd w:val="clear" w:color="auto" w:fill="D9D9D9"/>
          </w:tcPr>
          <w:p w14:paraId="00540E18" w14:textId="77777777" w:rsidR="00AF3581" w:rsidRPr="00506303" w:rsidRDefault="00AF3581" w:rsidP="0067543B">
            <w:pPr>
              <w:rPr>
                <w:sz w:val="18"/>
                <w:szCs w:val="18"/>
              </w:rPr>
            </w:pPr>
          </w:p>
        </w:tc>
        <w:tc>
          <w:tcPr>
            <w:tcW w:w="472" w:type="dxa"/>
            <w:shd w:val="clear" w:color="auto" w:fill="auto"/>
          </w:tcPr>
          <w:p w14:paraId="33AD4C17" w14:textId="77777777" w:rsidR="00AF3581" w:rsidRPr="00506303" w:rsidRDefault="00AF3581" w:rsidP="0067543B">
            <w:pPr>
              <w:rPr>
                <w:sz w:val="18"/>
                <w:szCs w:val="18"/>
              </w:rPr>
            </w:pPr>
          </w:p>
        </w:tc>
        <w:tc>
          <w:tcPr>
            <w:tcW w:w="472" w:type="dxa"/>
            <w:shd w:val="clear" w:color="auto" w:fill="auto"/>
          </w:tcPr>
          <w:p w14:paraId="1A4CEFFE" w14:textId="77777777" w:rsidR="00AF3581" w:rsidRPr="00506303" w:rsidRDefault="00AF3581" w:rsidP="0067543B">
            <w:pPr>
              <w:rPr>
                <w:sz w:val="18"/>
                <w:szCs w:val="18"/>
              </w:rPr>
            </w:pPr>
          </w:p>
        </w:tc>
        <w:tc>
          <w:tcPr>
            <w:tcW w:w="473" w:type="dxa"/>
            <w:shd w:val="clear" w:color="auto" w:fill="auto"/>
          </w:tcPr>
          <w:p w14:paraId="149F98C6" w14:textId="77777777" w:rsidR="00AF3581" w:rsidRPr="00506303" w:rsidRDefault="00AF3581" w:rsidP="0067543B">
            <w:pPr>
              <w:rPr>
                <w:sz w:val="18"/>
                <w:szCs w:val="18"/>
              </w:rPr>
            </w:pPr>
          </w:p>
        </w:tc>
        <w:tc>
          <w:tcPr>
            <w:tcW w:w="473" w:type="dxa"/>
            <w:shd w:val="clear" w:color="auto" w:fill="auto"/>
          </w:tcPr>
          <w:p w14:paraId="49B4B1EE" w14:textId="77777777" w:rsidR="00AF3581" w:rsidRPr="00506303" w:rsidRDefault="00AF3581" w:rsidP="0067543B">
            <w:pPr>
              <w:rPr>
                <w:sz w:val="18"/>
                <w:szCs w:val="18"/>
              </w:rPr>
            </w:pPr>
          </w:p>
        </w:tc>
        <w:tc>
          <w:tcPr>
            <w:tcW w:w="473" w:type="dxa"/>
            <w:shd w:val="clear" w:color="auto" w:fill="auto"/>
          </w:tcPr>
          <w:p w14:paraId="341AD4AC" w14:textId="77777777" w:rsidR="00AF3581" w:rsidRPr="00506303" w:rsidRDefault="00AF3581" w:rsidP="0067543B">
            <w:pPr>
              <w:rPr>
                <w:sz w:val="18"/>
                <w:szCs w:val="18"/>
              </w:rPr>
            </w:pPr>
          </w:p>
        </w:tc>
        <w:tc>
          <w:tcPr>
            <w:tcW w:w="473" w:type="dxa"/>
            <w:shd w:val="clear" w:color="auto" w:fill="auto"/>
          </w:tcPr>
          <w:p w14:paraId="045DA2D4" w14:textId="77777777" w:rsidR="00AF3581" w:rsidRPr="00506303" w:rsidRDefault="00AF3581" w:rsidP="0067543B">
            <w:pPr>
              <w:rPr>
                <w:sz w:val="18"/>
                <w:szCs w:val="18"/>
              </w:rPr>
            </w:pPr>
          </w:p>
        </w:tc>
        <w:tc>
          <w:tcPr>
            <w:tcW w:w="473" w:type="dxa"/>
            <w:shd w:val="clear" w:color="auto" w:fill="auto"/>
          </w:tcPr>
          <w:p w14:paraId="173C586A" w14:textId="77777777" w:rsidR="00AF3581" w:rsidRPr="00506303" w:rsidRDefault="00AF3581" w:rsidP="0067543B">
            <w:pPr>
              <w:rPr>
                <w:sz w:val="18"/>
                <w:szCs w:val="18"/>
              </w:rPr>
            </w:pPr>
          </w:p>
        </w:tc>
        <w:tc>
          <w:tcPr>
            <w:tcW w:w="473" w:type="dxa"/>
            <w:shd w:val="clear" w:color="auto" w:fill="auto"/>
          </w:tcPr>
          <w:p w14:paraId="0118933C" w14:textId="77777777" w:rsidR="00AF3581" w:rsidRPr="00506303" w:rsidRDefault="00AF3581" w:rsidP="0067543B">
            <w:pPr>
              <w:rPr>
                <w:sz w:val="18"/>
                <w:szCs w:val="18"/>
              </w:rPr>
            </w:pPr>
          </w:p>
        </w:tc>
        <w:tc>
          <w:tcPr>
            <w:tcW w:w="473" w:type="dxa"/>
            <w:shd w:val="clear" w:color="auto" w:fill="auto"/>
          </w:tcPr>
          <w:p w14:paraId="26D5052B" w14:textId="77777777" w:rsidR="00AF3581" w:rsidRPr="00506303" w:rsidRDefault="00AF3581" w:rsidP="0067543B">
            <w:pPr>
              <w:rPr>
                <w:sz w:val="18"/>
                <w:szCs w:val="18"/>
              </w:rPr>
            </w:pPr>
          </w:p>
        </w:tc>
        <w:tc>
          <w:tcPr>
            <w:tcW w:w="473" w:type="dxa"/>
            <w:shd w:val="clear" w:color="auto" w:fill="auto"/>
          </w:tcPr>
          <w:p w14:paraId="55340814" w14:textId="77777777" w:rsidR="00AF3581" w:rsidRPr="00506303" w:rsidRDefault="00AF3581" w:rsidP="0067543B">
            <w:pPr>
              <w:rPr>
                <w:sz w:val="18"/>
                <w:szCs w:val="18"/>
              </w:rPr>
            </w:pPr>
          </w:p>
        </w:tc>
        <w:tc>
          <w:tcPr>
            <w:tcW w:w="473" w:type="dxa"/>
            <w:shd w:val="clear" w:color="auto" w:fill="auto"/>
          </w:tcPr>
          <w:p w14:paraId="4826DB38" w14:textId="77777777" w:rsidR="00AF3581" w:rsidRPr="00506303" w:rsidRDefault="00AF3581" w:rsidP="0067543B">
            <w:pPr>
              <w:rPr>
                <w:sz w:val="18"/>
                <w:szCs w:val="18"/>
              </w:rPr>
            </w:pPr>
          </w:p>
        </w:tc>
        <w:tc>
          <w:tcPr>
            <w:tcW w:w="473" w:type="dxa"/>
            <w:shd w:val="clear" w:color="auto" w:fill="auto"/>
          </w:tcPr>
          <w:p w14:paraId="15B4BD60" w14:textId="77777777" w:rsidR="00AF3581" w:rsidRPr="00506303" w:rsidRDefault="00AF3581" w:rsidP="0067543B">
            <w:pPr>
              <w:rPr>
                <w:sz w:val="18"/>
                <w:szCs w:val="18"/>
              </w:rPr>
            </w:pPr>
          </w:p>
        </w:tc>
      </w:tr>
      <w:tr w:rsidR="00E071AC" w:rsidRPr="00506303" w14:paraId="2D292006" w14:textId="77777777" w:rsidTr="00E071AC">
        <w:tc>
          <w:tcPr>
            <w:tcW w:w="944" w:type="dxa"/>
            <w:shd w:val="clear" w:color="auto" w:fill="auto"/>
          </w:tcPr>
          <w:p w14:paraId="794D12D8" w14:textId="77777777" w:rsidR="00AF3581" w:rsidRPr="00506303" w:rsidRDefault="00AF3581" w:rsidP="0067543B">
            <w:pPr>
              <w:rPr>
                <w:sz w:val="18"/>
                <w:szCs w:val="18"/>
              </w:rPr>
            </w:pPr>
            <w:r w:rsidRPr="00506303">
              <w:rPr>
                <w:sz w:val="18"/>
                <w:szCs w:val="18"/>
              </w:rPr>
              <w:t>1.1.3.3</w:t>
            </w:r>
          </w:p>
        </w:tc>
        <w:tc>
          <w:tcPr>
            <w:tcW w:w="3776" w:type="dxa"/>
            <w:shd w:val="clear" w:color="auto" w:fill="auto"/>
          </w:tcPr>
          <w:p w14:paraId="1CD8DABD" w14:textId="77777777" w:rsidR="00AF3581" w:rsidRPr="00506303" w:rsidRDefault="00AF3581" w:rsidP="0067543B">
            <w:pPr>
              <w:rPr>
                <w:sz w:val="18"/>
                <w:szCs w:val="18"/>
              </w:rPr>
            </w:pPr>
            <w:r w:rsidRPr="00506303">
              <w:rPr>
                <w:sz w:val="18"/>
                <w:szCs w:val="18"/>
              </w:rPr>
              <w:t>National expert consultations to formulate agreed recommendations for legal/regulatory reforms for sustainable use management</w:t>
            </w:r>
          </w:p>
        </w:tc>
        <w:tc>
          <w:tcPr>
            <w:tcW w:w="472" w:type="dxa"/>
            <w:shd w:val="clear" w:color="auto" w:fill="auto"/>
          </w:tcPr>
          <w:p w14:paraId="464C3849" w14:textId="77777777" w:rsidR="00AF3581" w:rsidRPr="00506303" w:rsidRDefault="00AF3581" w:rsidP="0067543B">
            <w:pPr>
              <w:rPr>
                <w:sz w:val="18"/>
                <w:szCs w:val="18"/>
              </w:rPr>
            </w:pPr>
          </w:p>
        </w:tc>
        <w:tc>
          <w:tcPr>
            <w:tcW w:w="472" w:type="dxa"/>
            <w:shd w:val="clear" w:color="auto" w:fill="auto"/>
          </w:tcPr>
          <w:p w14:paraId="75182820" w14:textId="77777777" w:rsidR="00AF3581" w:rsidRPr="00506303" w:rsidRDefault="00AF3581" w:rsidP="0067543B">
            <w:pPr>
              <w:rPr>
                <w:sz w:val="18"/>
                <w:szCs w:val="18"/>
              </w:rPr>
            </w:pPr>
          </w:p>
        </w:tc>
        <w:tc>
          <w:tcPr>
            <w:tcW w:w="472" w:type="dxa"/>
            <w:shd w:val="clear" w:color="auto" w:fill="auto"/>
          </w:tcPr>
          <w:p w14:paraId="3AC84B23" w14:textId="77777777" w:rsidR="00AF3581" w:rsidRPr="00506303" w:rsidRDefault="00AF3581" w:rsidP="0067543B">
            <w:pPr>
              <w:rPr>
                <w:sz w:val="18"/>
                <w:szCs w:val="18"/>
              </w:rPr>
            </w:pPr>
          </w:p>
        </w:tc>
        <w:tc>
          <w:tcPr>
            <w:tcW w:w="472" w:type="dxa"/>
            <w:shd w:val="clear" w:color="auto" w:fill="auto"/>
          </w:tcPr>
          <w:p w14:paraId="30F74CC4" w14:textId="77777777" w:rsidR="00AF3581" w:rsidRPr="00506303" w:rsidRDefault="00AF3581" w:rsidP="0067543B">
            <w:pPr>
              <w:rPr>
                <w:sz w:val="18"/>
                <w:szCs w:val="18"/>
              </w:rPr>
            </w:pPr>
          </w:p>
        </w:tc>
        <w:tc>
          <w:tcPr>
            <w:tcW w:w="472" w:type="dxa"/>
            <w:shd w:val="clear" w:color="auto" w:fill="auto"/>
          </w:tcPr>
          <w:p w14:paraId="1A48C6E2" w14:textId="77777777" w:rsidR="00AF3581" w:rsidRPr="00506303" w:rsidRDefault="00AF3581" w:rsidP="0067543B">
            <w:pPr>
              <w:rPr>
                <w:sz w:val="18"/>
                <w:szCs w:val="18"/>
              </w:rPr>
            </w:pPr>
          </w:p>
        </w:tc>
        <w:tc>
          <w:tcPr>
            <w:tcW w:w="472" w:type="dxa"/>
            <w:shd w:val="clear" w:color="auto" w:fill="auto"/>
          </w:tcPr>
          <w:p w14:paraId="7502911C" w14:textId="77777777" w:rsidR="00AF3581" w:rsidRPr="00506303" w:rsidRDefault="00AF3581" w:rsidP="0067543B">
            <w:pPr>
              <w:rPr>
                <w:sz w:val="18"/>
                <w:szCs w:val="18"/>
              </w:rPr>
            </w:pPr>
          </w:p>
        </w:tc>
        <w:tc>
          <w:tcPr>
            <w:tcW w:w="472" w:type="dxa"/>
            <w:shd w:val="clear" w:color="auto" w:fill="D9D9D9"/>
          </w:tcPr>
          <w:p w14:paraId="7E85C42C" w14:textId="77777777" w:rsidR="00AF3581" w:rsidRPr="00506303" w:rsidRDefault="00AF3581" w:rsidP="0067543B">
            <w:pPr>
              <w:rPr>
                <w:sz w:val="18"/>
                <w:szCs w:val="18"/>
              </w:rPr>
            </w:pPr>
          </w:p>
        </w:tc>
        <w:tc>
          <w:tcPr>
            <w:tcW w:w="472" w:type="dxa"/>
            <w:shd w:val="clear" w:color="auto" w:fill="D9D9D9"/>
          </w:tcPr>
          <w:p w14:paraId="6CC3C67D" w14:textId="77777777" w:rsidR="00AF3581" w:rsidRPr="00506303" w:rsidRDefault="00AF3581" w:rsidP="0067543B">
            <w:pPr>
              <w:rPr>
                <w:sz w:val="18"/>
                <w:szCs w:val="18"/>
              </w:rPr>
            </w:pPr>
          </w:p>
        </w:tc>
        <w:tc>
          <w:tcPr>
            <w:tcW w:w="472" w:type="dxa"/>
            <w:shd w:val="clear" w:color="auto" w:fill="D9D9D9"/>
          </w:tcPr>
          <w:p w14:paraId="2DA2A904" w14:textId="77777777" w:rsidR="00AF3581" w:rsidRPr="00506303" w:rsidRDefault="00AF3581" w:rsidP="0067543B">
            <w:pPr>
              <w:rPr>
                <w:sz w:val="18"/>
                <w:szCs w:val="18"/>
              </w:rPr>
            </w:pPr>
          </w:p>
        </w:tc>
        <w:tc>
          <w:tcPr>
            <w:tcW w:w="472" w:type="dxa"/>
            <w:shd w:val="clear" w:color="auto" w:fill="D9D9D9"/>
          </w:tcPr>
          <w:p w14:paraId="543ABED1" w14:textId="77777777" w:rsidR="00AF3581" w:rsidRPr="00506303" w:rsidRDefault="00AF3581" w:rsidP="0067543B">
            <w:pPr>
              <w:rPr>
                <w:sz w:val="18"/>
                <w:szCs w:val="18"/>
              </w:rPr>
            </w:pPr>
          </w:p>
        </w:tc>
        <w:tc>
          <w:tcPr>
            <w:tcW w:w="473" w:type="dxa"/>
            <w:shd w:val="clear" w:color="auto" w:fill="D9D9D9"/>
          </w:tcPr>
          <w:p w14:paraId="6CB732E3" w14:textId="77777777" w:rsidR="00AF3581" w:rsidRPr="00506303" w:rsidRDefault="00AF3581" w:rsidP="0067543B">
            <w:pPr>
              <w:rPr>
                <w:sz w:val="18"/>
                <w:szCs w:val="18"/>
              </w:rPr>
            </w:pPr>
          </w:p>
        </w:tc>
        <w:tc>
          <w:tcPr>
            <w:tcW w:w="473" w:type="dxa"/>
            <w:shd w:val="clear" w:color="auto" w:fill="D9D9D9"/>
          </w:tcPr>
          <w:p w14:paraId="4B281BEF" w14:textId="77777777" w:rsidR="00AF3581" w:rsidRPr="00506303" w:rsidRDefault="00AF3581" w:rsidP="0067543B">
            <w:pPr>
              <w:rPr>
                <w:sz w:val="18"/>
                <w:szCs w:val="18"/>
              </w:rPr>
            </w:pPr>
          </w:p>
        </w:tc>
        <w:tc>
          <w:tcPr>
            <w:tcW w:w="473" w:type="dxa"/>
            <w:shd w:val="clear" w:color="auto" w:fill="auto"/>
          </w:tcPr>
          <w:p w14:paraId="5CC48833" w14:textId="77777777" w:rsidR="00AF3581" w:rsidRPr="00506303" w:rsidRDefault="00AF3581" w:rsidP="0067543B">
            <w:pPr>
              <w:rPr>
                <w:sz w:val="18"/>
                <w:szCs w:val="18"/>
              </w:rPr>
            </w:pPr>
          </w:p>
        </w:tc>
        <w:tc>
          <w:tcPr>
            <w:tcW w:w="473" w:type="dxa"/>
            <w:shd w:val="clear" w:color="auto" w:fill="auto"/>
          </w:tcPr>
          <w:p w14:paraId="7AA9E756" w14:textId="77777777" w:rsidR="00AF3581" w:rsidRPr="00506303" w:rsidRDefault="00AF3581" w:rsidP="0067543B">
            <w:pPr>
              <w:rPr>
                <w:sz w:val="18"/>
                <w:szCs w:val="18"/>
              </w:rPr>
            </w:pPr>
          </w:p>
        </w:tc>
        <w:tc>
          <w:tcPr>
            <w:tcW w:w="473" w:type="dxa"/>
            <w:shd w:val="clear" w:color="auto" w:fill="auto"/>
          </w:tcPr>
          <w:p w14:paraId="631CD423" w14:textId="77777777" w:rsidR="00AF3581" w:rsidRPr="00506303" w:rsidRDefault="00AF3581" w:rsidP="0067543B">
            <w:pPr>
              <w:rPr>
                <w:sz w:val="18"/>
                <w:szCs w:val="18"/>
              </w:rPr>
            </w:pPr>
          </w:p>
        </w:tc>
        <w:tc>
          <w:tcPr>
            <w:tcW w:w="473" w:type="dxa"/>
            <w:shd w:val="clear" w:color="auto" w:fill="auto"/>
          </w:tcPr>
          <w:p w14:paraId="64033355" w14:textId="77777777" w:rsidR="00AF3581" w:rsidRPr="00506303" w:rsidRDefault="00AF3581" w:rsidP="0067543B">
            <w:pPr>
              <w:rPr>
                <w:sz w:val="18"/>
                <w:szCs w:val="18"/>
              </w:rPr>
            </w:pPr>
          </w:p>
        </w:tc>
        <w:tc>
          <w:tcPr>
            <w:tcW w:w="473" w:type="dxa"/>
            <w:shd w:val="clear" w:color="auto" w:fill="auto"/>
          </w:tcPr>
          <w:p w14:paraId="69D51DF1" w14:textId="77777777" w:rsidR="00AF3581" w:rsidRPr="00506303" w:rsidRDefault="00AF3581" w:rsidP="0067543B">
            <w:pPr>
              <w:rPr>
                <w:sz w:val="18"/>
                <w:szCs w:val="18"/>
              </w:rPr>
            </w:pPr>
          </w:p>
        </w:tc>
        <w:tc>
          <w:tcPr>
            <w:tcW w:w="473" w:type="dxa"/>
            <w:shd w:val="clear" w:color="auto" w:fill="auto"/>
          </w:tcPr>
          <w:p w14:paraId="2FEA8D21" w14:textId="77777777" w:rsidR="00AF3581" w:rsidRPr="00506303" w:rsidRDefault="00AF3581" w:rsidP="0067543B">
            <w:pPr>
              <w:rPr>
                <w:sz w:val="18"/>
                <w:szCs w:val="18"/>
              </w:rPr>
            </w:pPr>
          </w:p>
        </w:tc>
        <w:tc>
          <w:tcPr>
            <w:tcW w:w="473" w:type="dxa"/>
            <w:shd w:val="clear" w:color="auto" w:fill="auto"/>
          </w:tcPr>
          <w:p w14:paraId="5434F803" w14:textId="77777777" w:rsidR="00AF3581" w:rsidRPr="00506303" w:rsidRDefault="00AF3581" w:rsidP="0067543B">
            <w:pPr>
              <w:rPr>
                <w:sz w:val="18"/>
                <w:szCs w:val="18"/>
              </w:rPr>
            </w:pPr>
          </w:p>
        </w:tc>
        <w:tc>
          <w:tcPr>
            <w:tcW w:w="473" w:type="dxa"/>
            <w:shd w:val="clear" w:color="auto" w:fill="auto"/>
          </w:tcPr>
          <w:p w14:paraId="0F1B80CE" w14:textId="77777777" w:rsidR="00AF3581" w:rsidRPr="00506303" w:rsidRDefault="00AF3581" w:rsidP="0067543B">
            <w:pPr>
              <w:rPr>
                <w:sz w:val="18"/>
                <w:szCs w:val="18"/>
              </w:rPr>
            </w:pPr>
          </w:p>
        </w:tc>
      </w:tr>
      <w:tr w:rsidR="00E071AC" w:rsidRPr="00506303" w14:paraId="11004388" w14:textId="77777777" w:rsidTr="00E071AC">
        <w:tc>
          <w:tcPr>
            <w:tcW w:w="944" w:type="dxa"/>
            <w:shd w:val="clear" w:color="auto" w:fill="auto"/>
          </w:tcPr>
          <w:p w14:paraId="1DBE6112" w14:textId="77777777" w:rsidR="00AF3581" w:rsidRPr="00506303" w:rsidRDefault="00AF3581" w:rsidP="0067543B">
            <w:pPr>
              <w:rPr>
                <w:sz w:val="18"/>
                <w:szCs w:val="18"/>
              </w:rPr>
            </w:pPr>
            <w:r w:rsidRPr="00506303">
              <w:rPr>
                <w:sz w:val="18"/>
                <w:szCs w:val="18"/>
              </w:rPr>
              <w:t>1.1.3.4</w:t>
            </w:r>
          </w:p>
        </w:tc>
        <w:tc>
          <w:tcPr>
            <w:tcW w:w="3776" w:type="dxa"/>
            <w:shd w:val="clear" w:color="auto" w:fill="auto"/>
          </w:tcPr>
          <w:p w14:paraId="2B9EAFAE" w14:textId="77777777" w:rsidR="00AF3581" w:rsidRPr="00506303" w:rsidRDefault="00AF3581" w:rsidP="0067543B">
            <w:pPr>
              <w:rPr>
                <w:sz w:val="18"/>
                <w:szCs w:val="18"/>
              </w:rPr>
            </w:pPr>
            <w:r w:rsidRPr="00506303">
              <w:rPr>
                <w:sz w:val="18"/>
                <w:szCs w:val="18"/>
              </w:rPr>
              <w:t>Draft required policy and legal reforms to support mangrove management in 6 countries</w:t>
            </w:r>
          </w:p>
        </w:tc>
        <w:tc>
          <w:tcPr>
            <w:tcW w:w="472" w:type="dxa"/>
            <w:shd w:val="clear" w:color="auto" w:fill="auto"/>
          </w:tcPr>
          <w:p w14:paraId="01C66C46" w14:textId="77777777" w:rsidR="00AF3581" w:rsidRPr="00506303" w:rsidRDefault="00AF3581" w:rsidP="0067543B">
            <w:pPr>
              <w:rPr>
                <w:sz w:val="18"/>
                <w:szCs w:val="18"/>
              </w:rPr>
            </w:pPr>
          </w:p>
        </w:tc>
        <w:tc>
          <w:tcPr>
            <w:tcW w:w="472" w:type="dxa"/>
            <w:shd w:val="clear" w:color="auto" w:fill="auto"/>
          </w:tcPr>
          <w:p w14:paraId="3434668A" w14:textId="77777777" w:rsidR="00AF3581" w:rsidRPr="00506303" w:rsidRDefault="00AF3581" w:rsidP="0067543B">
            <w:pPr>
              <w:rPr>
                <w:sz w:val="18"/>
                <w:szCs w:val="18"/>
              </w:rPr>
            </w:pPr>
          </w:p>
        </w:tc>
        <w:tc>
          <w:tcPr>
            <w:tcW w:w="472" w:type="dxa"/>
            <w:shd w:val="clear" w:color="auto" w:fill="auto"/>
          </w:tcPr>
          <w:p w14:paraId="594E7CF2" w14:textId="77777777" w:rsidR="00AF3581" w:rsidRPr="00506303" w:rsidRDefault="00AF3581" w:rsidP="0067543B">
            <w:pPr>
              <w:rPr>
                <w:sz w:val="18"/>
                <w:szCs w:val="18"/>
              </w:rPr>
            </w:pPr>
          </w:p>
        </w:tc>
        <w:tc>
          <w:tcPr>
            <w:tcW w:w="472" w:type="dxa"/>
            <w:shd w:val="clear" w:color="auto" w:fill="auto"/>
          </w:tcPr>
          <w:p w14:paraId="331C4554" w14:textId="77777777" w:rsidR="00AF3581" w:rsidRPr="00506303" w:rsidRDefault="00AF3581" w:rsidP="0067543B">
            <w:pPr>
              <w:rPr>
                <w:sz w:val="18"/>
                <w:szCs w:val="18"/>
              </w:rPr>
            </w:pPr>
          </w:p>
        </w:tc>
        <w:tc>
          <w:tcPr>
            <w:tcW w:w="472" w:type="dxa"/>
            <w:shd w:val="clear" w:color="auto" w:fill="auto"/>
          </w:tcPr>
          <w:p w14:paraId="5E9C7331" w14:textId="77777777" w:rsidR="00AF3581" w:rsidRPr="00506303" w:rsidRDefault="00AF3581" w:rsidP="0067543B">
            <w:pPr>
              <w:rPr>
                <w:sz w:val="18"/>
                <w:szCs w:val="18"/>
              </w:rPr>
            </w:pPr>
          </w:p>
        </w:tc>
        <w:tc>
          <w:tcPr>
            <w:tcW w:w="472" w:type="dxa"/>
            <w:shd w:val="clear" w:color="auto" w:fill="auto"/>
          </w:tcPr>
          <w:p w14:paraId="32FC0A2D" w14:textId="77777777" w:rsidR="00AF3581" w:rsidRPr="00506303" w:rsidRDefault="00AF3581" w:rsidP="0067543B">
            <w:pPr>
              <w:rPr>
                <w:sz w:val="18"/>
                <w:szCs w:val="18"/>
              </w:rPr>
            </w:pPr>
          </w:p>
        </w:tc>
        <w:tc>
          <w:tcPr>
            <w:tcW w:w="472" w:type="dxa"/>
            <w:shd w:val="clear" w:color="auto" w:fill="auto"/>
          </w:tcPr>
          <w:p w14:paraId="0A1F1EFE" w14:textId="77777777" w:rsidR="00AF3581" w:rsidRPr="00506303" w:rsidRDefault="00AF3581" w:rsidP="0067543B">
            <w:pPr>
              <w:rPr>
                <w:sz w:val="18"/>
                <w:szCs w:val="18"/>
              </w:rPr>
            </w:pPr>
          </w:p>
        </w:tc>
        <w:tc>
          <w:tcPr>
            <w:tcW w:w="472" w:type="dxa"/>
            <w:shd w:val="clear" w:color="auto" w:fill="auto"/>
          </w:tcPr>
          <w:p w14:paraId="66F4A40D" w14:textId="77777777" w:rsidR="00AF3581" w:rsidRPr="00506303" w:rsidRDefault="00AF3581" w:rsidP="0067543B">
            <w:pPr>
              <w:rPr>
                <w:sz w:val="18"/>
                <w:szCs w:val="18"/>
              </w:rPr>
            </w:pPr>
          </w:p>
        </w:tc>
        <w:tc>
          <w:tcPr>
            <w:tcW w:w="472" w:type="dxa"/>
            <w:shd w:val="clear" w:color="auto" w:fill="auto"/>
          </w:tcPr>
          <w:p w14:paraId="52468640" w14:textId="77777777" w:rsidR="00AF3581" w:rsidRPr="00506303" w:rsidRDefault="00AF3581" w:rsidP="0067543B">
            <w:pPr>
              <w:rPr>
                <w:sz w:val="18"/>
                <w:szCs w:val="18"/>
              </w:rPr>
            </w:pPr>
          </w:p>
        </w:tc>
        <w:tc>
          <w:tcPr>
            <w:tcW w:w="472" w:type="dxa"/>
            <w:shd w:val="clear" w:color="auto" w:fill="auto"/>
          </w:tcPr>
          <w:p w14:paraId="769924EE" w14:textId="77777777" w:rsidR="00AF3581" w:rsidRPr="00506303" w:rsidRDefault="00AF3581" w:rsidP="0067543B">
            <w:pPr>
              <w:rPr>
                <w:sz w:val="18"/>
                <w:szCs w:val="18"/>
              </w:rPr>
            </w:pPr>
          </w:p>
        </w:tc>
        <w:tc>
          <w:tcPr>
            <w:tcW w:w="473" w:type="dxa"/>
            <w:shd w:val="clear" w:color="auto" w:fill="D9D9D9"/>
          </w:tcPr>
          <w:p w14:paraId="6C2ABCF0" w14:textId="77777777" w:rsidR="00AF3581" w:rsidRPr="00506303" w:rsidRDefault="00AF3581" w:rsidP="0067543B">
            <w:pPr>
              <w:rPr>
                <w:sz w:val="18"/>
                <w:szCs w:val="18"/>
              </w:rPr>
            </w:pPr>
          </w:p>
        </w:tc>
        <w:tc>
          <w:tcPr>
            <w:tcW w:w="473" w:type="dxa"/>
            <w:shd w:val="clear" w:color="auto" w:fill="D9D9D9"/>
          </w:tcPr>
          <w:p w14:paraId="3E9F3468" w14:textId="77777777" w:rsidR="00AF3581" w:rsidRPr="00506303" w:rsidRDefault="00AF3581" w:rsidP="0067543B">
            <w:pPr>
              <w:rPr>
                <w:sz w:val="18"/>
                <w:szCs w:val="18"/>
              </w:rPr>
            </w:pPr>
          </w:p>
        </w:tc>
        <w:tc>
          <w:tcPr>
            <w:tcW w:w="473" w:type="dxa"/>
            <w:shd w:val="clear" w:color="auto" w:fill="D9D9D9"/>
          </w:tcPr>
          <w:p w14:paraId="7CAA3EF0" w14:textId="77777777" w:rsidR="00AF3581" w:rsidRPr="00506303" w:rsidRDefault="00AF3581" w:rsidP="0067543B">
            <w:pPr>
              <w:rPr>
                <w:sz w:val="18"/>
                <w:szCs w:val="18"/>
              </w:rPr>
            </w:pPr>
          </w:p>
        </w:tc>
        <w:tc>
          <w:tcPr>
            <w:tcW w:w="473" w:type="dxa"/>
            <w:shd w:val="clear" w:color="auto" w:fill="D9D9D9"/>
          </w:tcPr>
          <w:p w14:paraId="2A3D7021" w14:textId="77777777" w:rsidR="00AF3581" w:rsidRPr="00506303" w:rsidRDefault="00AF3581" w:rsidP="0067543B">
            <w:pPr>
              <w:rPr>
                <w:sz w:val="18"/>
                <w:szCs w:val="18"/>
              </w:rPr>
            </w:pPr>
          </w:p>
        </w:tc>
        <w:tc>
          <w:tcPr>
            <w:tcW w:w="473" w:type="dxa"/>
            <w:shd w:val="clear" w:color="auto" w:fill="D9D9D9"/>
          </w:tcPr>
          <w:p w14:paraId="12036E0B" w14:textId="77777777" w:rsidR="00AF3581" w:rsidRPr="00506303" w:rsidRDefault="00AF3581" w:rsidP="0067543B">
            <w:pPr>
              <w:rPr>
                <w:sz w:val="18"/>
                <w:szCs w:val="18"/>
              </w:rPr>
            </w:pPr>
          </w:p>
        </w:tc>
        <w:tc>
          <w:tcPr>
            <w:tcW w:w="473" w:type="dxa"/>
            <w:shd w:val="clear" w:color="auto" w:fill="D9D9D9"/>
          </w:tcPr>
          <w:p w14:paraId="28A15D7C" w14:textId="77777777" w:rsidR="00AF3581" w:rsidRPr="00506303" w:rsidRDefault="00AF3581" w:rsidP="0067543B">
            <w:pPr>
              <w:rPr>
                <w:sz w:val="18"/>
                <w:szCs w:val="18"/>
              </w:rPr>
            </w:pPr>
          </w:p>
        </w:tc>
        <w:tc>
          <w:tcPr>
            <w:tcW w:w="473" w:type="dxa"/>
            <w:shd w:val="clear" w:color="auto" w:fill="auto"/>
          </w:tcPr>
          <w:p w14:paraId="518C2E72" w14:textId="77777777" w:rsidR="00AF3581" w:rsidRPr="00506303" w:rsidRDefault="00AF3581" w:rsidP="0067543B">
            <w:pPr>
              <w:rPr>
                <w:sz w:val="18"/>
                <w:szCs w:val="18"/>
              </w:rPr>
            </w:pPr>
          </w:p>
        </w:tc>
        <w:tc>
          <w:tcPr>
            <w:tcW w:w="473" w:type="dxa"/>
            <w:shd w:val="clear" w:color="auto" w:fill="auto"/>
          </w:tcPr>
          <w:p w14:paraId="09DEA16F" w14:textId="77777777" w:rsidR="00AF3581" w:rsidRPr="00506303" w:rsidRDefault="00AF3581" w:rsidP="0067543B">
            <w:pPr>
              <w:rPr>
                <w:sz w:val="18"/>
                <w:szCs w:val="18"/>
              </w:rPr>
            </w:pPr>
          </w:p>
        </w:tc>
        <w:tc>
          <w:tcPr>
            <w:tcW w:w="473" w:type="dxa"/>
            <w:shd w:val="clear" w:color="auto" w:fill="auto"/>
          </w:tcPr>
          <w:p w14:paraId="3CE3E6E2" w14:textId="77777777" w:rsidR="00AF3581" w:rsidRPr="00506303" w:rsidRDefault="00AF3581" w:rsidP="0067543B">
            <w:pPr>
              <w:rPr>
                <w:sz w:val="18"/>
                <w:szCs w:val="18"/>
              </w:rPr>
            </w:pPr>
          </w:p>
        </w:tc>
        <w:tc>
          <w:tcPr>
            <w:tcW w:w="473" w:type="dxa"/>
            <w:shd w:val="clear" w:color="auto" w:fill="auto"/>
          </w:tcPr>
          <w:p w14:paraId="0E1D317D" w14:textId="77777777" w:rsidR="00AF3581" w:rsidRPr="00506303" w:rsidRDefault="00AF3581" w:rsidP="0067543B">
            <w:pPr>
              <w:rPr>
                <w:sz w:val="18"/>
                <w:szCs w:val="18"/>
              </w:rPr>
            </w:pPr>
          </w:p>
        </w:tc>
      </w:tr>
      <w:tr w:rsidR="00E071AC" w:rsidRPr="00506303" w14:paraId="2E2B4516" w14:textId="77777777" w:rsidTr="00E071AC">
        <w:tc>
          <w:tcPr>
            <w:tcW w:w="944" w:type="dxa"/>
            <w:shd w:val="clear" w:color="auto" w:fill="auto"/>
          </w:tcPr>
          <w:p w14:paraId="522B77F2" w14:textId="77777777" w:rsidR="00AF3581" w:rsidRPr="00506303" w:rsidRDefault="00AF3581" w:rsidP="0067543B">
            <w:pPr>
              <w:rPr>
                <w:sz w:val="18"/>
                <w:szCs w:val="18"/>
              </w:rPr>
            </w:pPr>
            <w:r w:rsidRPr="00506303">
              <w:rPr>
                <w:sz w:val="18"/>
                <w:szCs w:val="18"/>
              </w:rPr>
              <w:t>1.1.3.5</w:t>
            </w:r>
          </w:p>
        </w:tc>
        <w:tc>
          <w:tcPr>
            <w:tcW w:w="3776" w:type="dxa"/>
            <w:shd w:val="clear" w:color="auto" w:fill="auto"/>
          </w:tcPr>
          <w:p w14:paraId="68A559F3" w14:textId="77777777" w:rsidR="00AF3581" w:rsidRPr="00506303" w:rsidRDefault="00AF3581" w:rsidP="0067543B">
            <w:pPr>
              <w:rPr>
                <w:sz w:val="18"/>
                <w:szCs w:val="18"/>
              </w:rPr>
            </w:pPr>
            <w:r w:rsidRPr="00506303">
              <w:rPr>
                <w:sz w:val="18"/>
                <w:szCs w:val="18"/>
              </w:rPr>
              <w:t>Facilitate approval, formal adoption and enforcement of reforms by authorities at national and provincial levels for priority mangrove areas of SCS</w:t>
            </w:r>
          </w:p>
        </w:tc>
        <w:tc>
          <w:tcPr>
            <w:tcW w:w="472" w:type="dxa"/>
            <w:shd w:val="clear" w:color="auto" w:fill="auto"/>
          </w:tcPr>
          <w:p w14:paraId="2A78B3B8" w14:textId="77777777" w:rsidR="00AF3581" w:rsidRPr="00506303" w:rsidRDefault="00AF3581" w:rsidP="0067543B">
            <w:pPr>
              <w:rPr>
                <w:sz w:val="18"/>
                <w:szCs w:val="18"/>
              </w:rPr>
            </w:pPr>
          </w:p>
        </w:tc>
        <w:tc>
          <w:tcPr>
            <w:tcW w:w="472" w:type="dxa"/>
            <w:shd w:val="clear" w:color="auto" w:fill="auto"/>
          </w:tcPr>
          <w:p w14:paraId="739357A8" w14:textId="77777777" w:rsidR="00AF3581" w:rsidRPr="00506303" w:rsidRDefault="00AF3581" w:rsidP="0067543B">
            <w:pPr>
              <w:rPr>
                <w:sz w:val="18"/>
                <w:szCs w:val="18"/>
              </w:rPr>
            </w:pPr>
          </w:p>
        </w:tc>
        <w:tc>
          <w:tcPr>
            <w:tcW w:w="472" w:type="dxa"/>
            <w:shd w:val="clear" w:color="auto" w:fill="auto"/>
          </w:tcPr>
          <w:p w14:paraId="7696C29C" w14:textId="77777777" w:rsidR="00AF3581" w:rsidRPr="00506303" w:rsidRDefault="00AF3581" w:rsidP="0067543B">
            <w:pPr>
              <w:rPr>
                <w:sz w:val="18"/>
                <w:szCs w:val="18"/>
              </w:rPr>
            </w:pPr>
          </w:p>
        </w:tc>
        <w:tc>
          <w:tcPr>
            <w:tcW w:w="472" w:type="dxa"/>
            <w:shd w:val="clear" w:color="auto" w:fill="auto"/>
          </w:tcPr>
          <w:p w14:paraId="10B4E12C" w14:textId="77777777" w:rsidR="00AF3581" w:rsidRPr="00506303" w:rsidRDefault="00AF3581" w:rsidP="0067543B">
            <w:pPr>
              <w:rPr>
                <w:sz w:val="18"/>
                <w:szCs w:val="18"/>
              </w:rPr>
            </w:pPr>
          </w:p>
        </w:tc>
        <w:tc>
          <w:tcPr>
            <w:tcW w:w="472" w:type="dxa"/>
            <w:shd w:val="clear" w:color="auto" w:fill="auto"/>
          </w:tcPr>
          <w:p w14:paraId="062F0A43" w14:textId="77777777" w:rsidR="00AF3581" w:rsidRPr="00506303" w:rsidRDefault="00AF3581" w:rsidP="0067543B">
            <w:pPr>
              <w:rPr>
                <w:sz w:val="18"/>
                <w:szCs w:val="18"/>
              </w:rPr>
            </w:pPr>
          </w:p>
        </w:tc>
        <w:tc>
          <w:tcPr>
            <w:tcW w:w="472" w:type="dxa"/>
            <w:shd w:val="clear" w:color="auto" w:fill="auto"/>
          </w:tcPr>
          <w:p w14:paraId="55A9656F" w14:textId="77777777" w:rsidR="00AF3581" w:rsidRPr="00506303" w:rsidRDefault="00AF3581" w:rsidP="0067543B">
            <w:pPr>
              <w:rPr>
                <w:sz w:val="18"/>
                <w:szCs w:val="18"/>
              </w:rPr>
            </w:pPr>
          </w:p>
        </w:tc>
        <w:tc>
          <w:tcPr>
            <w:tcW w:w="472" w:type="dxa"/>
            <w:shd w:val="clear" w:color="auto" w:fill="auto"/>
          </w:tcPr>
          <w:p w14:paraId="5EA53CE6" w14:textId="77777777" w:rsidR="00AF3581" w:rsidRPr="00506303" w:rsidRDefault="00AF3581" w:rsidP="0067543B">
            <w:pPr>
              <w:rPr>
                <w:sz w:val="18"/>
                <w:szCs w:val="18"/>
              </w:rPr>
            </w:pPr>
          </w:p>
        </w:tc>
        <w:tc>
          <w:tcPr>
            <w:tcW w:w="472" w:type="dxa"/>
            <w:shd w:val="clear" w:color="auto" w:fill="auto"/>
          </w:tcPr>
          <w:p w14:paraId="041E1AC6" w14:textId="77777777" w:rsidR="00AF3581" w:rsidRPr="00506303" w:rsidRDefault="00AF3581" w:rsidP="0067543B">
            <w:pPr>
              <w:rPr>
                <w:sz w:val="18"/>
                <w:szCs w:val="18"/>
              </w:rPr>
            </w:pPr>
          </w:p>
        </w:tc>
        <w:tc>
          <w:tcPr>
            <w:tcW w:w="472" w:type="dxa"/>
            <w:shd w:val="clear" w:color="auto" w:fill="auto"/>
          </w:tcPr>
          <w:p w14:paraId="11F5E1E5" w14:textId="77777777" w:rsidR="00AF3581" w:rsidRPr="00506303" w:rsidRDefault="00AF3581" w:rsidP="0067543B">
            <w:pPr>
              <w:rPr>
                <w:sz w:val="18"/>
                <w:szCs w:val="18"/>
              </w:rPr>
            </w:pPr>
          </w:p>
        </w:tc>
        <w:tc>
          <w:tcPr>
            <w:tcW w:w="472" w:type="dxa"/>
            <w:shd w:val="clear" w:color="auto" w:fill="auto"/>
          </w:tcPr>
          <w:p w14:paraId="20E7B801" w14:textId="77777777" w:rsidR="00AF3581" w:rsidRPr="00506303" w:rsidRDefault="00AF3581" w:rsidP="0067543B">
            <w:pPr>
              <w:rPr>
                <w:sz w:val="18"/>
                <w:szCs w:val="18"/>
              </w:rPr>
            </w:pPr>
          </w:p>
        </w:tc>
        <w:tc>
          <w:tcPr>
            <w:tcW w:w="473" w:type="dxa"/>
            <w:shd w:val="clear" w:color="auto" w:fill="auto"/>
          </w:tcPr>
          <w:p w14:paraId="748ABF79" w14:textId="77777777" w:rsidR="00AF3581" w:rsidRPr="00506303" w:rsidRDefault="00AF3581" w:rsidP="0067543B">
            <w:pPr>
              <w:rPr>
                <w:sz w:val="18"/>
                <w:szCs w:val="18"/>
              </w:rPr>
            </w:pPr>
          </w:p>
        </w:tc>
        <w:tc>
          <w:tcPr>
            <w:tcW w:w="473" w:type="dxa"/>
            <w:shd w:val="clear" w:color="auto" w:fill="auto"/>
          </w:tcPr>
          <w:p w14:paraId="09E07F3E" w14:textId="77777777" w:rsidR="00AF3581" w:rsidRPr="00506303" w:rsidRDefault="00AF3581" w:rsidP="0067543B">
            <w:pPr>
              <w:rPr>
                <w:sz w:val="18"/>
                <w:szCs w:val="18"/>
              </w:rPr>
            </w:pPr>
          </w:p>
        </w:tc>
        <w:tc>
          <w:tcPr>
            <w:tcW w:w="473" w:type="dxa"/>
            <w:shd w:val="clear" w:color="auto" w:fill="D9D9D9"/>
          </w:tcPr>
          <w:p w14:paraId="047E31C9" w14:textId="77777777" w:rsidR="00AF3581" w:rsidRPr="00506303" w:rsidRDefault="00AF3581" w:rsidP="0067543B">
            <w:pPr>
              <w:rPr>
                <w:sz w:val="18"/>
                <w:szCs w:val="18"/>
              </w:rPr>
            </w:pPr>
          </w:p>
        </w:tc>
        <w:tc>
          <w:tcPr>
            <w:tcW w:w="473" w:type="dxa"/>
            <w:shd w:val="clear" w:color="auto" w:fill="D9D9D9"/>
          </w:tcPr>
          <w:p w14:paraId="7848B1B3" w14:textId="77777777" w:rsidR="00AF3581" w:rsidRPr="00506303" w:rsidRDefault="00AF3581" w:rsidP="0067543B">
            <w:pPr>
              <w:rPr>
                <w:sz w:val="18"/>
                <w:szCs w:val="18"/>
              </w:rPr>
            </w:pPr>
          </w:p>
        </w:tc>
        <w:tc>
          <w:tcPr>
            <w:tcW w:w="473" w:type="dxa"/>
            <w:shd w:val="clear" w:color="auto" w:fill="D9D9D9"/>
          </w:tcPr>
          <w:p w14:paraId="17D61D63" w14:textId="77777777" w:rsidR="00AF3581" w:rsidRPr="00506303" w:rsidRDefault="00AF3581" w:rsidP="0067543B">
            <w:pPr>
              <w:rPr>
                <w:sz w:val="18"/>
                <w:szCs w:val="18"/>
              </w:rPr>
            </w:pPr>
          </w:p>
        </w:tc>
        <w:tc>
          <w:tcPr>
            <w:tcW w:w="473" w:type="dxa"/>
            <w:shd w:val="clear" w:color="auto" w:fill="D9D9D9"/>
          </w:tcPr>
          <w:p w14:paraId="0C320E19" w14:textId="77777777" w:rsidR="00AF3581" w:rsidRPr="00506303" w:rsidRDefault="00AF3581" w:rsidP="0067543B">
            <w:pPr>
              <w:rPr>
                <w:sz w:val="18"/>
                <w:szCs w:val="18"/>
              </w:rPr>
            </w:pPr>
          </w:p>
        </w:tc>
        <w:tc>
          <w:tcPr>
            <w:tcW w:w="473" w:type="dxa"/>
            <w:shd w:val="clear" w:color="auto" w:fill="D9D9D9"/>
          </w:tcPr>
          <w:p w14:paraId="77539238" w14:textId="77777777" w:rsidR="00AF3581" w:rsidRPr="00506303" w:rsidRDefault="00AF3581" w:rsidP="0067543B">
            <w:pPr>
              <w:rPr>
                <w:sz w:val="18"/>
                <w:szCs w:val="18"/>
              </w:rPr>
            </w:pPr>
          </w:p>
        </w:tc>
        <w:tc>
          <w:tcPr>
            <w:tcW w:w="473" w:type="dxa"/>
            <w:shd w:val="clear" w:color="auto" w:fill="D9D9D9"/>
          </w:tcPr>
          <w:p w14:paraId="5C1D76F0" w14:textId="77777777" w:rsidR="00AF3581" w:rsidRPr="00506303" w:rsidRDefault="00AF3581" w:rsidP="0067543B">
            <w:pPr>
              <w:rPr>
                <w:sz w:val="18"/>
                <w:szCs w:val="18"/>
              </w:rPr>
            </w:pPr>
          </w:p>
        </w:tc>
        <w:tc>
          <w:tcPr>
            <w:tcW w:w="473" w:type="dxa"/>
            <w:shd w:val="clear" w:color="auto" w:fill="D9D9D9"/>
          </w:tcPr>
          <w:p w14:paraId="7168B41E" w14:textId="77777777" w:rsidR="00AF3581" w:rsidRPr="00506303" w:rsidRDefault="00AF3581" w:rsidP="0067543B">
            <w:pPr>
              <w:rPr>
                <w:sz w:val="18"/>
                <w:szCs w:val="18"/>
              </w:rPr>
            </w:pPr>
          </w:p>
        </w:tc>
        <w:tc>
          <w:tcPr>
            <w:tcW w:w="473" w:type="dxa"/>
            <w:shd w:val="clear" w:color="auto" w:fill="D9D9D9"/>
          </w:tcPr>
          <w:p w14:paraId="58D2E86B" w14:textId="77777777" w:rsidR="00AF3581" w:rsidRPr="00506303" w:rsidRDefault="00AF3581" w:rsidP="0067543B">
            <w:pPr>
              <w:rPr>
                <w:sz w:val="18"/>
                <w:szCs w:val="18"/>
              </w:rPr>
            </w:pPr>
          </w:p>
        </w:tc>
      </w:tr>
      <w:tr w:rsidR="00AF3581" w:rsidRPr="00506303" w14:paraId="3B538887" w14:textId="77777777" w:rsidTr="00506303">
        <w:tc>
          <w:tcPr>
            <w:tcW w:w="944" w:type="dxa"/>
            <w:shd w:val="clear" w:color="auto" w:fill="F2F2F2"/>
          </w:tcPr>
          <w:p w14:paraId="4D062C44" w14:textId="77777777" w:rsidR="00AF3581" w:rsidRPr="00506303" w:rsidRDefault="00AF3581" w:rsidP="0067543B">
            <w:pPr>
              <w:rPr>
                <w:b/>
                <w:sz w:val="18"/>
                <w:szCs w:val="18"/>
              </w:rPr>
            </w:pPr>
            <w:r w:rsidRPr="00506303">
              <w:rPr>
                <w:b/>
                <w:sz w:val="18"/>
                <w:szCs w:val="18"/>
              </w:rPr>
              <w:t>1.1.4</w:t>
            </w:r>
          </w:p>
        </w:tc>
        <w:tc>
          <w:tcPr>
            <w:tcW w:w="13226" w:type="dxa"/>
            <w:gridSpan w:val="21"/>
            <w:shd w:val="clear" w:color="auto" w:fill="F2F2F2"/>
          </w:tcPr>
          <w:p w14:paraId="00DD0D4A" w14:textId="77777777" w:rsidR="00AF3581" w:rsidRPr="00506303" w:rsidRDefault="00AF3581" w:rsidP="0067543B">
            <w:pPr>
              <w:rPr>
                <w:b/>
                <w:sz w:val="18"/>
                <w:szCs w:val="18"/>
              </w:rPr>
            </w:pPr>
            <w:r w:rsidRPr="00506303">
              <w:rPr>
                <w:b/>
                <w:sz w:val="18"/>
                <w:szCs w:val="18"/>
              </w:rPr>
              <w:t>Replanting of 21,000 ha of deforested mangrove land</w:t>
            </w:r>
          </w:p>
        </w:tc>
      </w:tr>
      <w:tr w:rsidR="00AF3581" w:rsidRPr="00506303" w14:paraId="41395CEC" w14:textId="77777777" w:rsidTr="00E071AC">
        <w:tc>
          <w:tcPr>
            <w:tcW w:w="944" w:type="dxa"/>
            <w:shd w:val="clear" w:color="auto" w:fill="auto"/>
          </w:tcPr>
          <w:p w14:paraId="0EA9892D" w14:textId="77777777" w:rsidR="00AF3581" w:rsidRPr="00506303" w:rsidRDefault="00AF3581" w:rsidP="0067543B">
            <w:pPr>
              <w:rPr>
                <w:sz w:val="18"/>
                <w:szCs w:val="18"/>
              </w:rPr>
            </w:pPr>
            <w:r w:rsidRPr="00506303">
              <w:rPr>
                <w:sz w:val="18"/>
                <w:szCs w:val="18"/>
              </w:rPr>
              <w:t>1.1.4.1</w:t>
            </w:r>
          </w:p>
        </w:tc>
        <w:tc>
          <w:tcPr>
            <w:tcW w:w="3776" w:type="dxa"/>
            <w:shd w:val="clear" w:color="auto" w:fill="auto"/>
          </w:tcPr>
          <w:p w14:paraId="19003208" w14:textId="77777777" w:rsidR="00AF3581" w:rsidRPr="00506303" w:rsidRDefault="00AF3581" w:rsidP="0067543B">
            <w:pPr>
              <w:rPr>
                <w:sz w:val="18"/>
                <w:szCs w:val="18"/>
              </w:rPr>
            </w:pPr>
            <w:r w:rsidRPr="00506303">
              <w:rPr>
                <w:sz w:val="18"/>
                <w:szCs w:val="18"/>
              </w:rPr>
              <w:t xml:space="preserve">Develop an objective and scientifically sound method and procedure for identifying priority areas for mangrove reforestation </w:t>
            </w:r>
          </w:p>
        </w:tc>
        <w:tc>
          <w:tcPr>
            <w:tcW w:w="472" w:type="dxa"/>
            <w:shd w:val="clear" w:color="auto" w:fill="D9D9D9"/>
          </w:tcPr>
          <w:p w14:paraId="378C169A" w14:textId="77777777" w:rsidR="00AF3581" w:rsidRPr="00506303" w:rsidRDefault="00AF3581" w:rsidP="0067543B">
            <w:pPr>
              <w:rPr>
                <w:sz w:val="18"/>
                <w:szCs w:val="18"/>
              </w:rPr>
            </w:pPr>
          </w:p>
        </w:tc>
        <w:tc>
          <w:tcPr>
            <w:tcW w:w="472" w:type="dxa"/>
            <w:shd w:val="clear" w:color="auto" w:fill="D9D9D9"/>
          </w:tcPr>
          <w:p w14:paraId="144BE68B" w14:textId="77777777" w:rsidR="00AF3581" w:rsidRPr="00506303" w:rsidRDefault="00AF3581" w:rsidP="0067543B">
            <w:pPr>
              <w:rPr>
                <w:sz w:val="18"/>
                <w:szCs w:val="18"/>
              </w:rPr>
            </w:pPr>
          </w:p>
        </w:tc>
        <w:tc>
          <w:tcPr>
            <w:tcW w:w="472" w:type="dxa"/>
            <w:shd w:val="clear" w:color="auto" w:fill="D9D9D9"/>
          </w:tcPr>
          <w:p w14:paraId="3ED818BF" w14:textId="77777777" w:rsidR="00AF3581" w:rsidRPr="00506303" w:rsidRDefault="00AF3581" w:rsidP="0067543B">
            <w:pPr>
              <w:rPr>
                <w:sz w:val="18"/>
                <w:szCs w:val="18"/>
              </w:rPr>
            </w:pPr>
          </w:p>
        </w:tc>
        <w:tc>
          <w:tcPr>
            <w:tcW w:w="472" w:type="dxa"/>
            <w:shd w:val="clear" w:color="auto" w:fill="D9D9D9"/>
          </w:tcPr>
          <w:p w14:paraId="033A1E59" w14:textId="77777777" w:rsidR="00AF3581" w:rsidRPr="00506303" w:rsidRDefault="00AF3581" w:rsidP="0067543B">
            <w:pPr>
              <w:rPr>
                <w:sz w:val="18"/>
                <w:szCs w:val="18"/>
              </w:rPr>
            </w:pPr>
          </w:p>
        </w:tc>
        <w:tc>
          <w:tcPr>
            <w:tcW w:w="472" w:type="dxa"/>
            <w:shd w:val="clear" w:color="auto" w:fill="D9D9D9"/>
          </w:tcPr>
          <w:p w14:paraId="67AAF055" w14:textId="77777777" w:rsidR="00AF3581" w:rsidRPr="00506303" w:rsidRDefault="00AF3581" w:rsidP="0067543B">
            <w:pPr>
              <w:rPr>
                <w:sz w:val="18"/>
                <w:szCs w:val="18"/>
              </w:rPr>
            </w:pPr>
          </w:p>
        </w:tc>
        <w:tc>
          <w:tcPr>
            <w:tcW w:w="472" w:type="dxa"/>
            <w:shd w:val="clear" w:color="auto" w:fill="D9D9D9"/>
          </w:tcPr>
          <w:p w14:paraId="23D2C8F8" w14:textId="77777777" w:rsidR="00AF3581" w:rsidRPr="00506303" w:rsidRDefault="00AF3581" w:rsidP="0067543B">
            <w:pPr>
              <w:rPr>
                <w:sz w:val="18"/>
                <w:szCs w:val="18"/>
              </w:rPr>
            </w:pPr>
          </w:p>
        </w:tc>
        <w:tc>
          <w:tcPr>
            <w:tcW w:w="472" w:type="dxa"/>
            <w:shd w:val="clear" w:color="auto" w:fill="auto"/>
          </w:tcPr>
          <w:p w14:paraId="6874A5A3" w14:textId="77777777" w:rsidR="00AF3581" w:rsidRPr="00506303" w:rsidRDefault="00AF3581" w:rsidP="0067543B">
            <w:pPr>
              <w:rPr>
                <w:sz w:val="18"/>
                <w:szCs w:val="18"/>
              </w:rPr>
            </w:pPr>
          </w:p>
        </w:tc>
        <w:tc>
          <w:tcPr>
            <w:tcW w:w="472" w:type="dxa"/>
            <w:shd w:val="clear" w:color="auto" w:fill="auto"/>
          </w:tcPr>
          <w:p w14:paraId="5E034C5C" w14:textId="77777777" w:rsidR="00AF3581" w:rsidRPr="00506303" w:rsidRDefault="00AF3581" w:rsidP="0067543B">
            <w:pPr>
              <w:rPr>
                <w:sz w:val="18"/>
                <w:szCs w:val="18"/>
              </w:rPr>
            </w:pPr>
          </w:p>
        </w:tc>
        <w:tc>
          <w:tcPr>
            <w:tcW w:w="472" w:type="dxa"/>
            <w:shd w:val="clear" w:color="auto" w:fill="auto"/>
          </w:tcPr>
          <w:p w14:paraId="3F953FB6" w14:textId="77777777" w:rsidR="00AF3581" w:rsidRPr="00506303" w:rsidRDefault="00AF3581" w:rsidP="0067543B">
            <w:pPr>
              <w:rPr>
                <w:sz w:val="18"/>
                <w:szCs w:val="18"/>
              </w:rPr>
            </w:pPr>
          </w:p>
        </w:tc>
        <w:tc>
          <w:tcPr>
            <w:tcW w:w="472" w:type="dxa"/>
            <w:shd w:val="clear" w:color="auto" w:fill="auto"/>
          </w:tcPr>
          <w:p w14:paraId="5BB9FE3C" w14:textId="77777777" w:rsidR="00AF3581" w:rsidRPr="00506303" w:rsidRDefault="00AF3581" w:rsidP="0067543B">
            <w:pPr>
              <w:rPr>
                <w:sz w:val="18"/>
                <w:szCs w:val="18"/>
              </w:rPr>
            </w:pPr>
          </w:p>
        </w:tc>
        <w:tc>
          <w:tcPr>
            <w:tcW w:w="473" w:type="dxa"/>
            <w:shd w:val="clear" w:color="auto" w:fill="auto"/>
          </w:tcPr>
          <w:p w14:paraId="095B2AD4" w14:textId="77777777" w:rsidR="00AF3581" w:rsidRPr="00506303" w:rsidRDefault="00AF3581" w:rsidP="0067543B">
            <w:pPr>
              <w:rPr>
                <w:sz w:val="18"/>
                <w:szCs w:val="18"/>
              </w:rPr>
            </w:pPr>
          </w:p>
        </w:tc>
        <w:tc>
          <w:tcPr>
            <w:tcW w:w="473" w:type="dxa"/>
            <w:shd w:val="clear" w:color="auto" w:fill="auto"/>
          </w:tcPr>
          <w:p w14:paraId="0986B121" w14:textId="77777777" w:rsidR="00AF3581" w:rsidRPr="00506303" w:rsidRDefault="00AF3581" w:rsidP="0067543B">
            <w:pPr>
              <w:rPr>
                <w:sz w:val="18"/>
                <w:szCs w:val="18"/>
              </w:rPr>
            </w:pPr>
          </w:p>
        </w:tc>
        <w:tc>
          <w:tcPr>
            <w:tcW w:w="473" w:type="dxa"/>
            <w:shd w:val="clear" w:color="auto" w:fill="auto"/>
          </w:tcPr>
          <w:p w14:paraId="0F45F59D" w14:textId="77777777" w:rsidR="00AF3581" w:rsidRPr="00506303" w:rsidRDefault="00AF3581" w:rsidP="0067543B">
            <w:pPr>
              <w:rPr>
                <w:sz w:val="18"/>
                <w:szCs w:val="18"/>
              </w:rPr>
            </w:pPr>
          </w:p>
        </w:tc>
        <w:tc>
          <w:tcPr>
            <w:tcW w:w="473" w:type="dxa"/>
            <w:shd w:val="clear" w:color="auto" w:fill="auto"/>
          </w:tcPr>
          <w:p w14:paraId="09EC4B79" w14:textId="77777777" w:rsidR="00AF3581" w:rsidRPr="00506303" w:rsidRDefault="00AF3581" w:rsidP="0067543B">
            <w:pPr>
              <w:rPr>
                <w:sz w:val="18"/>
                <w:szCs w:val="18"/>
              </w:rPr>
            </w:pPr>
          </w:p>
        </w:tc>
        <w:tc>
          <w:tcPr>
            <w:tcW w:w="473" w:type="dxa"/>
            <w:shd w:val="clear" w:color="auto" w:fill="auto"/>
          </w:tcPr>
          <w:p w14:paraId="491826B7" w14:textId="77777777" w:rsidR="00AF3581" w:rsidRPr="00506303" w:rsidRDefault="00AF3581" w:rsidP="0067543B">
            <w:pPr>
              <w:rPr>
                <w:sz w:val="18"/>
                <w:szCs w:val="18"/>
              </w:rPr>
            </w:pPr>
          </w:p>
        </w:tc>
        <w:tc>
          <w:tcPr>
            <w:tcW w:w="473" w:type="dxa"/>
            <w:shd w:val="clear" w:color="auto" w:fill="auto"/>
          </w:tcPr>
          <w:p w14:paraId="3E921871" w14:textId="77777777" w:rsidR="00AF3581" w:rsidRPr="00506303" w:rsidRDefault="00AF3581" w:rsidP="0067543B">
            <w:pPr>
              <w:rPr>
                <w:sz w:val="18"/>
                <w:szCs w:val="18"/>
              </w:rPr>
            </w:pPr>
          </w:p>
        </w:tc>
        <w:tc>
          <w:tcPr>
            <w:tcW w:w="473" w:type="dxa"/>
            <w:shd w:val="clear" w:color="auto" w:fill="auto"/>
          </w:tcPr>
          <w:p w14:paraId="05C0785A" w14:textId="77777777" w:rsidR="00AF3581" w:rsidRPr="00506303" w:rsidRDefault="00AF3581" w:rsidP="0067543B">
            <w:pPr>
              <w:rPr>
                <w:sz w:val="18"/>
                <w:szCs w:val="18"/>
              </w:rPr>
            </w:pPr>
          </w:p>
        </w:tc>
        <w:tc>
          <w:tcPr>
            <w:tcW w:w="473" w:type="dxa"/>
            <w:shd w:val="clear" w:color="auto" w:fill="auto"/>
          </w:tcPr>
          <w:p w14:paraId="43D5CB3E" w14:textId="77777777" w:rsidR="00AF3581" w:rsidRPr="00506303" w:rsidRDefault="00AF3581" w:rsidP="0067543B">
            <w:pPr>
              <w:rPr>
                <w:sz w:val="18"/>
                <w:szCs w:val="18"/>
              </w:rPr>
            </w:pPr>
          </w:p>
        </w:tc>
        <w:tc>
          <w:tcPr>
            <w:tcW w:w="473" w:type="dxa"/>
            <w:shd w:val="clear" w:color="auto" w:fill="auto"/>
          </w:tcPr>
          <w:p w14:paraId="7BE2EC5A" w14:textId="77777777" w:rsidR="00AF3581" w:rsidRPr="00506303" w:rsidRDefault="00AF3581" w:rsidP="0067543B">
            <w:pPr>
              <w:rPr>
                <w:sz w:val="18"/>
                <w:szCs w:val="18"/>
              </w:rPr>
            </w:pPr>
          </w:p>
        </w:tc>
        <w:tc>
          <w:tcPr>
            <w:tcW w:w="473" w:type="dxa"/>
            <w:shd w:val="clear" w:color="auto" w:fill="auto"/>
          </w:tcPr>
          <w:p w14:paraId="4B9228F0" w14:textId="77777777" w:rsidR="00AF3581" w:rsidRPr="00506303" w:rsidRDefault="00AF3581" w:rsidP="0067543B">
            <w:pPr>
              <w:rPr>
                <w:sz w:val="18"/>
                <w:szCs w:val="18"/>
              </w:rPr>
            </w:pPr>
          </w:p>
        </w:tc>
      </w:tr>
      <w:tr w:rsidR="00AF3581" w:rsidRPr="00506303" w14:paraId="4521C025" w14:textId="77777777" w:rsidTr="00E071AC">
        <w:tc>
          <w:tcPr>
            <w:tcW w:w="944" w:type="dxa"/>
            <w:shd w:val="clear" w:color="auto" w:fill="auto"/>
          </w:tcPr>
          <w:p w14:paraId="50AEAC7D" w14:textId="77777777" w:rsidR="00AF3581" w:rsidRPr="00506303" w:rsidRDefault="00AF3581" w:rsidP="0067543B">
            <w:pPr>
              <w:rPr>
                <w:sz w:val="18"/>
                <w:szCs w:val="18"/>
              </w:rPr>
            </w:pPr>
            <w:r w:rsidRPr="00506303">
              <w:rPr>
                <w:sz w:val="18"/>
                <w:szCs w:val="18"/>
              </w:rPr>
              <w:t>1.1.4.2</w:t>
            </w:r>
          </w:p>
        </w:tc>
        <w:tc>
          <w:tcPr>
            <w:tcW w:w="3776" w:type="dxa"/>
            <w:shd w:val="clear" w:color="auto" w:fill="auto"/>
          </w:tcPr>
          <w:p w14:paraId="581C20AF" w14:textId="77777777" w:rsidR="00AF3581" w:rsidRPr="00506303" w:rsidRDefault="00AF3581" w:rsidP="0067543B">
            <w:pPr>
              <w:rPr>
                <w:sz w:val="18"/>
                <w:szCs w:val="18"/>
              </w:rPr>
            </w:pPr>
            <w:r w:rsidRPr="00506303">
              <w:rPr>
                <w:sz w:val="18"/>
                <w:szCs w:val="18"/>
              </w:rPr>
              <w:t>Identify priority sites for reforestation to meet reforestation targets of the SAP</w:t>
            </w:r>
          </w:p>
        </w:tc>
        <w:tc>
          <w:tcPr>
            <w:tcW w:w="472" w:type="dxa"/>
            <w:shd w:val="clear" w:color="auto" w:fill="auto"/>
          </w:tcPr>
          <w:p w14:paraId="4A1EBB48" w14:textId="77777777" w:rsidR="00AF3581" w:rsidRPr="00506303" w:rsidRDefault="00AF3581" w:rsidP="0067543B">
            <w:pPr>
              <w:rPr>
                <w:sz w:val="18"/>
                <w:szCs w:val="18"/>
              </w:rPr>
            </w:pPr>
          </w:p>
        </w:tc>
        <w:tc>
          <w:tcPr>
            <w:tcW w:w="472" w:type="dxa"/>
            <w:shd w:val="clear" w:color="auto" w:fill="auto"/>
          </w:tcPr>
          <w:p w14:paraId="18038D9A" w14:textId="77777777" w:rsidR="00AF3581" w:rsidRPr="00506303" w:rsidRDefault="00AF3581" w:rsidP="0067543B">
            <w:pPr>
              <w:rPr>
                <w:sz w:val="18"/>
                <w:szCs w:val="18"/>
              </w:rPr>
            </w:pPr>
          </w:p>
        </w:tc>
        <w:tc>
          <w:tcPr>
            <w:tcW w:w="472" w:type="dxa"/>
            <w:shd w:val="clear" w:color="auto" w:fill="auto"/>
          </w:tcPr>
          <w:p w14:paraId="5B5C1B9E" w14:textId="77777777" w:rsidR="00AF3581" w:rsidRPr="00506303" w:rsidRDefault="00AF3581" w:rsidP="0067543B">
            <w:pPr>
              <w:rPr>
                <w:sz w:val="18"/>
                <w:szCs w:val="18"/>
              </w:rPr>
            </w:pPr>
          </w:p>
        </w:tc>
        <w:tc>
          <w:tcPr>
            <w:tcW w:w="472" w:type="dxa"/>
            <w:shd w:val="clear" w:color="auto" w:fill="auto"/>
          </w:tcPr>
          <w:p w14:paraId="779C71F5" w14:textId="77777777" w:rsidR="00AF3581" w:rsidRPr="00506303" w:rsidRDefault="00AF3581" w:rsidP="0067543B">
            <w:pPr>
              <w:rPr>
                <w:sz w:val="18"/>
                <w:szCs w:val="18"/>
              </w:rPr>
            </w:pPr>
          </w:p>
        </w:tc>
        <w:tc>
          <w:tcPr>
            <w:tcW w:w="472" w:type="dxa"/>
            <w:shd w:val="clear" w:color="auto" w:fill="D9D9D9"/>
          </w:tcPr>
          <w:p w14:paraId="47CCC3FB" w14:textId="77777777" w:rsidR="00AF3581" w:rsidRPr="00506303" w:rsidRDefault="00AF3581" w:rsidP="0067543B">
            <w:pPr>
              <w:rPr>
                <w:sz w:val="18"/>
                <w:szCs w:val="18"/>
              </w:rPr>
            </w:pPr>
          </w:p>
        </w:tc>
        <w:tc>
          <w:tcPr>
            <w:tcW w:w="472" w:type="dxa"/>
            <w:shd w:val="clear" w:color="auto" w:fill="D9D9D9"/>
          </w:tcPr>
          <w:p w14:paraId="15875751" w14:textId="77777777" w:rsidR="00AF3581" w:rsidRPr="00506303" w:rsidRDefault="00AF3581" w:rsidP="0067543B">
            <w:pPr>
              <w:rPr>
                <w:sz w:val="18"/>
                <w:szCs w:val="18"/>
              </w:rPr>
            </w:pPr>
          </w:p>
        </w:tc>
        <w:tc>
          <w:tcPr>
            <w:tcW w:w="472" w:type="dxa"/>
            <w:shd w:val="clear" w:color="auto" w:fill="D9D9D9"/>
          </w:tcPr>
          <w:p w14:paraId="042D7DD2" w14:textId="77777777" w:rsidR="00AF3581" w:rsidRPr="00506303" w:rsidRDefault="00AF3581" w:rsidP="0067543B">
            <w:pPr>
              <w:rPr>
                <w:sz w:val="18"/>
                <w:szCs w:val="18"/>
              </w:rPr>
            </w:pPr>
          </w:p>
        </w:tc>
        <w:tc>
          <w:tcPr>
            <w:tcW w:w="472" w:type="dxa"/>
            <w:shd w:val="clear" w:color="auto" w:fill="D9D9D9"/>
          </w:tcPr>
          <w:p w14:paraId="60408806" w14:textId="77777777" w:rsidR="00AF3581" w:rsidRPr="00506303" w:rsidRDefault="00AF3581" w:rsidP="0067543B">
            <w:pPr>
              <w:rPr>
                <w:sz w:val="18"/>
                <w:szCs w:val="18"/>
              </w:rPr>
            </w:pPr>
          </w:p>
        </w:tc>
        <w:tc>
          <w:tcPr>
            <w:tcW w:w="472" w:type="dxa"/>
            <w:shd w:val="clear" w:color="auto" w:fill="auto"/>
          </w:tcPr>
          <w:p w14:paraId="26AF4ADD" w14:textId="77777777" w:rsidR="00AF3581" w:rsidRPr="00506303" w:rsidRDefault="00AF3581" w:rsidP="0067543B">
            <w:pPr>
              <w:rPr>
                <w:sz w:val="18"/>
                <w:szCs w:val="18"/>
              </w:rPr>
            </w:pPr>
          </w:p>
        </w:tc>
        <w:tc>
          <w:tcPr>
            <w:tcW w:w="472" w:type="dxa"/>
            <w:shd w:val="clear" w:color="auto" w:fill="auto"/>
          </w:tcPr>
          <w:p w14:paraId="2DD7BD5A" w14:textId="77777777" w:rsidR="00AF3581" w:rsidRPr="00506303" w:rsidRDefault="00AF3581" w:rsidP="0067543B">
            <w:pPr>
              <w:rPr>
                <w:sz w:val="18"/>
                <w:szCs w:val="18"/>
              </w:rPr>
            </w:pPr>
          </w:p>
        </w:tc>
        <w:tc>
          <w:tcPr>
            <w:tcW w:w="473" w:type="dxa"/>
            <w:shd w:val="clear" w:color="auto" w:fill="auto"/>
          </w:tcPr>
          <w:p w14:paraId="488800F5" w14:textId="77777777" w:rsidR="00AF3581" w:rsidRPr="00506303" w:rsidRDefault="00AF3581" w:rsidP="0067543B">
            <w:pPr>
              <w:rPr>
                <w:sz w:val="18"/>
                <w:szCs w:val="18"/>
              </w:rPr>
            </w:pPr>
          </w:p>
        </w:tc>
        <w:tc>
          <w:tcPr>
            <w:tcW w:w="473" w:type="dxa"/>
            <w:shd w:val="clear" w:color="auto" w:fill="auto"/>
          </w:tcPr>
          <w:p w14:paraId="249999FC" w14:textId="77777777" w:rsidR="00AF3581" w:rsidRPr="00506303" w:rsidRDefault="00AF3581" w:rsidP="0067543B">
            <w:pPr>
              <w:rPr>
                <w:sz w:val="18"/>
                <w:szCs w:val="18"/>
              </w:rPr>
            </w:pPr>
          </w:p>
        </w:tc>
        <w:tc>
          <w:tcPr>
            <w:tcW w:w="473" w:type="dxa"/>
            <w:shd w:val="clear" w:color="auto" w:fill="auto"/>
          </w:tcPr>
          <w:p w14:paraId="33B5305D" w14:textId="77777777" w:rsidR="00AF3581" w:rsidRPr="00506303" w:rsidRDefault="00AF3581" w:rsidP="0067543B">
            <w:pPr>
              <w:rPr>
                <w:sz w:val="18"/>
                <w:szCs w:val="18"/>
              </w:rPr>
            </w:pPr>
          </w:p>
        </w:tc>
        <w:tc>
          <w:tcPr>
            <w:tcW w:w="473" w:type="dxa"/>
            <w:shd w:val="clear" w:color="auto" w:fill="auto"/>
          </w:tcPr>
          <w:p w14:paraId="490D3521" w14:textId="77777777" w:rsidR="00AF3581" w:rsidRPr="00506303" w:rsidRDefault="00AF3581" w:rsidP="0067543B">
            <w:pPr>
              <w:rPr>
                <w:sz w:val="18"/>
                <w:szCs w:val="18"/>
              </w:rPr>
            </w:pPr>
          </w:p>
        </w:tc>
        <w:tc>
          <w:tcPr>
            <w:tcW w:w="473" w:type="dxa"/>
            <w:shd w:val="clear" w:color="auto" w:fill="auto"/>
          </w:tcPr>
          <w:p w14:paraId="1ABC088F" w14:textId="77777777" w:rsidR="00AF3581" w:rsidRPr="00506303" w:rsidRDefault="00AF3581" w:rsidP="0067543B">
            <w:pPr>
              <w:rPr>
                <w:sz w:val="18"/>
                <w:szCs w:val="18"/>
              </w:rPr>
            </w:pPr>
          </w:p>
        </w:tc>
        <w:tc>
          <w:tcPr>
            <w:tcW w:w="473" w:type="dxa"/>
            <w:shd w:val="clear" w:color="auto" w:fill="auto"/>
          </w:tcPr>
          <w:p w14:paraId="3AA11A0F" w14:textId="77777777" w:rsidR="00AF3581" w:rsidRPr="00506303" w:rsidRDefault="00AF3581" w:rsidP="0067543B">
            <w:pPr>
              <w:rPr>
                <w:sz w:val="18"/>
                <w:szCs w:val="18"/>
              </w:rPr>
            </w:pPr>
          </w:p>
        </w:tc>
        <w:tc>
          <w:tcPr>
            <w:tcW w:w="473" w:type="dxa"/>
            <w:shd w:val="clear" w:color="auto" w:fill="auto"/>
          </w:tcPr>
          <w:p w14:paraId="51718F8F" w14:textId="77777777" w:rsidR="00AF3581" w:rsidRPr="00506303" w:rsidRDefault="00AF3581" w:rsidP="0067543B">
            <w:pPr>
              <w:rPr>
                <w:sz w:val="18"/>
                <w:szCs w:val="18"/>
              </w:rPr>
            </w:pPr>
          </w:p>
        </w:tc>
        <w:tc>
          <w:tcPr>
            <w:tcW w:w="473" w:type="dxa"/>
            <w:shd w:val="clear" w:color="auto" w:fill="auto"/>
          </w:tcPr>
          <w:p w14:paraId="0C9D4030" w14:textId="77777777" w:rsidR="00AF3581" w:rsidRPr="00506303" w:rsidRDefault="00AF3581" w:rsidP="0067543B">
            <w:pPr>
              <w:rPr>
                <w:sz w:val="18"/>
                <w:szCs w:val="18"/>
              </w:rPr>
            </w:pPr>
          </w:p>
        </w:tc>
        <w:tc>
          <w:tcPr>
            <w:tcW w:w="473" w:type="dxa"/>
            <w:shd w:val="clear" w:color="auto" w:fill="auto"/>
          </w:tcPr>
          <w:p w14:paraId="07B41FBF" w14:textId="77777777" w:rsidR="00AF3581" w:rsidRPr="00506303" w:rsidRDefault="00AF3581" w:rsidP="0067543B">
            <w:pPr>
              <w:rPr>
                <w:sz w:val="18"/>
                <w:szCs w:val="18"/>
              </w:rPr>
            </w:pPr>
          </w:p>
        </w:tc>
        <w:tc>
          <w:tcPr>
            <w:tcW w:w="473" w:type="dxa"/>
            <w:shd w:val="clear" w:color="auto" w:fill="auto"/>
          </w:tcPr>
          <w:p w14:paraId="24329F9B" w14:textId="77777777" w:rsidR="00AF3581" w:rsidRPr="00506303" w:rsidRDefault="00AF3581" w:rsidP="0067543B">
            <w:pPr>
              <w:rPr>
                <w:sz w:val="18"/>
                <w:szCs w:val="18"/>
              </w:rPr>
            </w:pPr>
          </w:p>
        </w:tc>
      </w:tr>
      <w:tr w:rsidR="00E071AC" w:rsidRPr="00506303" w14:paraId="0DDFE387" w14:textId="77777777" w:rsidTr="00E071AC">
        <w:tc>
          <w:tcPr>
            <w:tcW w:w="944" w:type="dxa"/>
            <w:shd w:val="clear" w:color="auto" w:fill="auto"/>
          </w:tcPr>
          <w:p w14:paraId="3AD5262E" w14:textId="77777777" w:rsidR="00AF3581" w:rsidRPr="00506303" w:rsidRDefault="00AF3581" w:rsidP="0067543B">
            <w:pPr>
              <w:rPr>
                <w:sz w:val="18"/>
                <w:szCs w:val="18"/>
              </w:rPr>
            </w:pPr>
            <w:r w:rsidRPr="00506303">
              <w:rPr>
                <w:sz w:val="18"/>
                <w:szCs w:val="18"/>
              </w:rPr>
              <w:t>1.1.4.3</w:t>
            </w:r>
          </w:p>
        </w:tc>
        <w:tc>
          <w:tcPr>
            <w:tcW w:w="3776" w:type="dxa"/>
            <w:shd w:val="clear" w:color="auto" w:fill="auto"/>
          </w:tcPr>
          <w:p w14:paraId="1E268B47" w14:textId="77777777" w:rsidR="00AF3581" w:rsidRPr="00506303" w:rsidRDefault="00AF3581" w:rsidP="0067543B">
            <w:pPr>
              <w:rPr>
                <w:sz w:val="18"/>
                <w:szCs w:val="18"/>
              </w:rPr>
            </w:pPr>
            <w:r w:rsidRPr="00506303">
              <w:rPr>
                <w:sz w:val="18"/>
                <w:szCs w:val="18"/>
              </w:rPr>
              <w:t xml:space="preserve">Procure technical and nursery services to ensure timely and efficient reforestation of priority sites </w:t>
            </w:r>
          </w:p>
        </w:tc>
        <w:tc>
          <w:tcPr>
            <w:tcW w:w="472" w:type="dxa"/>
            <w:shd w:val="clear" w:color="auto" w:fill="auto"/>
          </w:tcPr>
          <w:p w14:paraId="47B9F118" w14:textId="77777777" w:rsidR="00AF3581" w:rsidRPr="00506303" w:rsidRDefault="00AF3581" w:rsidP="0067543B">
            <w:pPr>
              <w:rPr>
                <w:sz w:val="18"/>
                <w:szCs w:val="18"/>
              </w:rPr>
            </w:pPr>
          </w:p>
        </w:tc>
        <w:tc>
          <w:tcPr>
            <w:tcW w:w="472" w:type="dxa"/>
            <w:shd w:val="clear" w:color="auto" w:fill="auto"/>
          </w:tcPr>
          <w:p w14:paraId="4362F871" w14:textId="77777777" w:rsidR="00AF3581" w:rsidRPr="00506303" w:rsidRDefault="00AF3581" w:rsidP="0067543B">
            <w:pPr>
              <w:rPr>
                <w:sz w:val="18"/>
                <w:szCs w:val="18"/>
              </w:rPr>
            </w:pPr>
          </w:p>
        </w:tc>
        <w:tc>
          <w:tcPr>
            <w:tcW w:w="472" w:type="dxa"/>
            <w:shd w:val="clear" w:color="auto" w:fill="auto"/>
          </w:tcPr>
          <w:p w14:paraId="46E1CEE8" w14:textId="77777777" w:rsidR="00AF3581" w:rsidRPr="00506303" w:rsidRDefault="00AF3581" w:rsidP="0067543B">
            <w:pPr>
              <w:rPr>
                <w:sz w:val="18"/>
                <w:szCs w:val="18"/>
              </w:rPr>
            </w:pPr>
          </w:p>
        </w:tc>
        <w:tc>
          <w:tcPr>
            <w:tcW w:w="472" w:type="dxa"/>
            <w:shd w:val="clear" w:color="auto" w:fill="auto"/>
          </w:tcPr>
          <w:p w14:paraId="5FCB7B89" w14:textId="77777777" w:rsidR="00AF3581" w:rsidRPr="00506303" w:rsidRDefault="00AF3581" w:rsidP="0067543B">
            <w:pPr>
              <w:rPr>
                <w:sz w:val="18"/>
                <w:szCs w:val="18"/>
              </w:rPr>
            </w:pPr>
          </w:p>
        </w:tc>
        <w:tc>
          <w:tcPr>
            <w:tcW w:w="472" w:type="dxa"/>
            <w:shd w:val="clear" w:color="auto" w:fill="auto"/>
          </w:tcPr>
          <w:p w14:paraId="1C4F2E22" w14:textId="77777777" w:rsidR="00AF3581" w:rsidRPr="00506303" w:rsidRDefault="00AF3581" w:rsidP="0067543B">
            <w:pPr>
              <w:rPr>
                <w:sz w:val="18"/>
                <w:szCs w:val="18"/>
              </w:rPr>
            </w:pPr>
          </w:p>
        </w:tc>
        <w:tc>
          <w:tcPr>
            <w:tcW w:w="472" w:type="dxa"/>
            <w:shd w:val="clear" w:color="auto" w:fill="auto"/>
          </w:tcPr>
          <w:p w14:paraId="24A98F64" w14:textId="77777777" w:rsidR="00AF3581" w:rsidRPr="00506303" w:rsidRDefault="00AF3581" w:rsidP="0067543B">
            <w:pPr>
              <w:rPr>
                <w:sz w:val="18"/>
                <w:szCs w:val="18"/>
              </w:rPr>
            </w:pPr>
          </w:p>
        </w:tc>
        <w:tc>
          <w:tcPr>
            <w:tcW w:w="472" w:type="dxa"/>
            <w:shd w:val="clear" w:color="auto" w:fill="auto"/>
          </w:tcPr>
          <w:p w14:paraId="17EEBC48" w14:textId="77777777" w:rsidR="00AF3581" w:rsidRPr="00506303" w:rsidRDefault="00AF3581" w:rsidP="0067543B">
            <w:pPr>
              <w:rPr>
                <w:sz w:val="18"/>
                <w:szCs w:val="18"/>
              </w:rPr>
            </w:pPr>
          </w:p>
        </w:tc>
        <w:tc>
          <w:tcPr>
            <w:tcW w:w="472" w:type="dxa"/>
            <w:shd w:val="clear" w:color="auto" w:fill="auto"/>
          </w:tcPr>
          <w:p w14:paraId="3CB9DE8A" w14:textId="77777777" w:rsidR="00AF3581" w:rsidRPr="00506303" w:rsidRDefault="00AF3581" w:rsidP="0067543B">
            <w:pPr>
              <w:rPr>
                <w:sz w:val="18"/>
                <w:szCs w:val="18"/>
              </w:rPr>
            </w:pPr>
          </w:p>
        </w:tc>
        <w:tc>
          <w:tcPr>
            <w:tcW w:w="472" w:type="dxa"/>
            <w:shd w:val="clear" w:color="auto" w:fill="D9D9D9"/>
          </w:tcPr>
          <w:p w14:paraId="419B1971" w14:textId="77777777" w:rsidR="00AF3581" w:rsidRPr="00506303" w:rsidRDefault="00AF3581" w:rsidP="0067543B">
            <w:pPr>
              <w:rPr>
                <w:sz w:val="18"/>
                <w:szCs w:val="18"/>
              </w:rPr>
            </w:pPr>
          </w:p>
        </w:tc>
        <w:tc>
          <w:tcPr>
            <w:tcW w:w="472" w:type="dxa"/>
            <w:shd w:val="clear" w:color="auto" w:fill="D9D9D9"/>
          </w:tcPr>
          <w:p w14:paraId="762BDE90" w14:textId="77777777" w:rsidR="00AF3581" w:rsidRPr="00506303" w:rsidRDefault="00AF3581" w:rsidP="0067543B">
            <w:pPr>
              <w:rPr>
                <w:sz w:val="18"/>
                <w:szCs w:val="18"/>
              </w:rPr>
            </w:pPr>
          </w:p>
        </w:tc>
        <w:tc>
          <w:tcPr>
            <w:tcW w:w="473" w:type="dxa"/>
            <w:shd w:val="clear" w:color="auto" w:fill="D9D9D9"/>
          </w:tcPr>
          <w:p w14:paraId="0C062457" w14:textId="77777777" w:rsidR="00AF3581" w:rsidRPr="00506303" w:rsidRDefault="00AF3581" w:rsidP="0067543B">
            <w:pPr>
              <w:rPr>
                <w:sz w:val="18"/>
                <w:szCs w:val="18"/>
              </w:rPr>
            </w:pPr>
          </w:p>
        </w:tc>
        <w:tc>
          <w:tcPr>
            <w:tcW w:w="473" w:type="dxa"/>
            <w:shd w:val="clear" w:color="auto" w:fill="D9D9D9"/>
          </w:tcPr>
          <w:p w14:paraId="62ACD1FB" w14:textId="77777777" w:rsidR="00AF3581" w:rsidRPr="00506303" w:rsidRDefault="00AF3581" w:rsidP="0067543B">
            <w:pPr>
              <w:rPr>
                <w:sz w:val="18"/>
                <w:szCs w:val="18"/>
              </w:rPr>
            </w:pPr>
          </w:p>
        </w:tc>
        <w:tc>
          <w:tcPr>
            <w:tcW w:w="473" w:type="dxa"/>
            <w:shd w:val="clear" w:color="auto" w:fill="auto"/>
          </w:tcPr>
          <w:p w14:paraId="1B0062C0" w14:textId="77777777" w:rsidR="00AF3581" w:rsidRPr="00506303" w:rsidRDefault="00AF3581" w:rsidP="0067543B">
            <w:pPr>
              <w:rPr>
                <w:sz w:val="18"/>
                <w:szCs w:val="18"/>
              </w:rPr>
            </w:pPr>
          </w:p>
        </w:tc>
        <w:tc>
          <w:tcPr>
            <w:tcW w:w="473" w:type="dxa"/>
            <w:shd w:val="clear" w:color="auto" w:fill="auto"/>
          </w:tcPr>
          <w:p w14:paraId="78D92E0C" w14:textId="77777777" w:rsidR="00AF3581" w:rsidRPr="00506303" w:rsidRDefault="00AF3581" w:rsidP="0067543B">
            <w:pPr>
              <w:rPr>
                <w:sz w:val="18"/>
                <w:szCs w:val="18"/>
              </w:rPr>
            </w:pPr>
          </w:p>
        </w:tc>
        <w:tc>
          <w:tcPr>
            <w:tcW w:w="473" w:type="dxa"/>
            <w:shd w:val="clear" w:color="auto" w:fill="auto"/>
          </w:tcPr>
          <w:p w14:paraId="3EC87B72" w14:textId="77777777" w:rsidR="00AF3581" w:rsidRPr="00506303" w:rsidRDefault="00AF3581" w:rsidP="0067543B">
            <w:pPr>
              <w:rPr>
                <w:sz w:val="18"/>
                <w:szCs w:val="18"/>
              </w:rPr>
            </w:pPr>
          </w:p>
        </w:tc>
        <w:tc>
          <w:tcPr>
            <w:tcW w:w="473" w:type="dxa"/>
            <w:shd w:val="clear" w:color="auto" w:fill="auto"/>
          </w:tcPr>
          <w:p w14:paraId="2C348C46" w14:textId="77777777" w:rsidR="00AF3581" w:rsidRPr="00506303" w:rsidRDefault="00AF3581" w:rsidP="0067543B">
            <w:pPr>
              <w:rPr>
                <w:sz w:val="18"/>
                <w:szCs w:val="18"/>
              </w:rPr>
            </w:pPr>
          </w:p>
        </w:tc>
        <w:tc>
          <w:tcPr>
            <w:tcW w:w="473" w:type="dxa"/>
            <w:shd w:val="clear" w:color="auto" w:fill="auto"/>
          </w:tcPr>
          <w:p w14:paraId="76F61452" w14:textId="77777777" w:rsidR="00AF3581" w:rsidRPr="00506303" w:rsidRDefault="00AF3581" w:rsidP="0067543B">
            <w:pPr>
              <w:rPr>
                <w:sz w:val="18"/>
                <w:szCs w:val="18"/>
              </w:rPr>
            </w:pPr>
          </w:p>
        </w:tc>
        <w:tc>
          <w:tcPr>
            <w:tcW w:w="473" w:type="dxa"/>
            <w:shd w:val="clear" w:color="auto" w:fill="auto"/>
          </w:tcPr>
          <w:p w14:paraId="59768526" w14:textId="77777777" w:rsidR="00AF3581" w:rsidRPr="00506303" w:rsidRDefault="00AF3581" w:rsidP="0067543B">
            <w:pPr>
              <w:rPr>
                <w:sz w:val="18"/>
                <w:szCs w:val="18"/>
              </w:rPr>
            </w:pPr>
          </w:p>
        </w:tc>
        <w:tc>
          <w:tcPr>
            <w:tcW w:w="473" w:type="dxa"/>
            <w:shd w:val="clear" w:color="auto" w:fill="auto"/>
          </w:tcPr>
          <w:p w14:paraId="32DEEA48" w14:textId="77777777" w:rsidR="00AF3581" w:rsidRPr="00506303" w:rsidRDefault="00AF3581" w:rsidP="0067543B">
            <w:pPr>
              <w:rPr>
                <w:sz w:val="18"/>
                <w:szCs w:val="18"/>
              </w:rPr>
            </w:pPr>
          </w:p>
        </w:tc>
        <w:tc>
          <w:tcPr>
            <w:tcW w:w="473" w:type="dxa"/>
            <w:shd w:val="clear" w:color="auto" w:fill="auto"/>
          </w:tcPr>
          <w:p w14:paraId="2CCEA014" w14:textId="77777777" w:rsidR="00AF3581" w:rsidRPr="00506303" w:rsidRDefault="00AF3581" w:rsidP="0067543B">
            <w:pPr>
              <w:rPr>
                <w:sz w:val="18"/>
                <w:szCs w:val="18"/>
              </w:rPr>
            </w:pPr>
          </w:p>
        </w:tc>
      </w:tr>
      <w:tr w:rsidR="00E071AC" w:rsidRPr="00506303" w14:paraId="5569230F" w14:textId="77777777" w:rsidTr="00E071AC">
        <w:tc>
          <w:tcPr>
            <w:tcW w:w="944" w:type="dxa"/>
            <w:shd w:val="clear" w:color="auto" w:fill="auto"/>
          </w:tcPr>
          <w:p w14:paraId="612877B9" w14:textId="77777777" w:rsidR="00AF3581" w:rsidRPr="00506303" w:rsidRDefault="00AF3581" w:rsidP="0067543B">
            <w:pPr>
              <w:rPr>
                <w:sz w:val="18"/>
                <w:szCs w:val="18"/>
              </w:rPr>
            </w:pPr>
            <w:r w:rsidRPr="00506303">
              <w:rPr>
                <w:sz w:val="18"/>
                <w:szCs w:val="18"/>
              </w:rPr>
              <w:t>1.1.4.4</w:t>
            </w:r>
          </w:p>
        </w:tc>
        <w:tc>
          <w:tcPr>
            <w:tcW w:w="3776" w:type="dxa"/>
            <w:shd w:val="clear" w:color="auto" w:fill="auto"/>
          </w:tcPr>
          <w:p w14:paraId="6885F18F" w14:textId="77777777" w:rsidR="00AF3581" w:rsidRPr="00506303" w:rsidRDefault="00AF3581" w:rsidP="0067543B">
            <w:pPr>
              <w:rPr>
                <w:sz w:val="18"/>
                <w:szCs w:val="18"/>
              </w:rPr>
            </w:pPr>
            <w:r w:rsidRPr="00506303">
              <w:rPr>
                <w:sz w:val="18"/>
                <w:szCs w:val="18"/>
              </w:rPr>
              <w:t>Produce regional guidelines on identification of priority sites for mangrove reforestation</w:t>
            </w:r>
          </w:p>
        </w:tc>
        <w:tc>
          <w:tcPr>
            <w:tcW w:w="472" w:type="dxa"/>
            <w:shd w:val="clear" w:color="auto" w:fill="auto"/>
          </w:tcPr>
          <w:p w14:paraId="7590F6BA" w14:textId="77777777" w:rsidR="00AF3581" w:rsidRPr="00506303" w:rsidRDefault="00AF3581" w:rsidP="0067543B">
            <w:pPr>
              <w:rPr>
                <w:sz w:val="18"/>
                <w:szCs w:val="18"/>
              </w:rPr>
            </w:pPr>
          </w:p>
        </w:tc>
        <w:tc>
          <w:tcPr>
            <w:tcW w:w="472" w:type="dxa"/>
            <w:shd w:val="clear" w:color="auto" w:fill="auto"/>
          </w:tcPr>
          <w:p w14:paraId="55564078" w14:textId="77777777" w:rsidR="00AF3581" w:rsidRPr="00506303" w:rsidRDefault="00AF3581" w:rsidP="0067543B">
            <w:pPr>
              <w:rPr>
                <w:sz w:val="18"/>
                <w:szCs w:val="18"/>
              </w:rPr>
            </w:pPr>
          </w:p>
        </w:tc>
        <w:tc>
          <w:tcPr>
            <w:tcW w:w="472" w:type="dxa"/>
            <w:shd w:val="clear" w:color="auto" w:fill="auto"/>
          </w:tcPr>
          <w:p w14:paraId="68F42205" w14:textId="77777777" w:rsidR="00AF3581" w:rsidRPr="00506303" w:rsidRDefault="00AF3581" w:rsidP="0067543B">
            <w:pPr>
              <w:rPr>
                <w:sz w:val="18"/>
                <w:szCs w:val="18"/>
              </w:rPr>
            </w:pPr>
          </w:p>
        </w:tc>
        <w:tc>
          <w:tcPr>
            <w:tcW w:w="472" w:type="dxa"/>
            <w:shd w:val="clear" w:color="auto" w:fill="auto"/>
          </w:tcPr>
          <w:p w14:paraId="78C9FF44" w14:textId="77777777" w:rsidR="00AF3581" w:rsidRPr="00506303" w:rsidRDefault="00AF3581" w:rsidP="0067543B">
            <w:pPr>
              <w:rPr>
                <w:sz w:val="18"/>
                <w:szCs w:val="18"/>
              </w:rPr>
            </w:pPr>
          </w:p>
        </w:tc>
        <w:tc>
          <w:tcPr>
            <w:tcW w:w="472" w:type="dxa"/>
            <w:shd w:val="clear" w:color="auto" w:fill="auto"/>
          </w:tcPr>
          <w:p w14:paraId="7852D1A8" w14:textId="77777777" w:rsidR="00AF3581" w:rsidRPr="00506303" w:rsidRDefault="00AF3581" w:rsidP="0067543B">
            <w:pPr>
              <w:rPr>
                <w:sz w:val="18"/>
                <w:szCs w:val="18"/>
              </w:rPr>
            </w:pPr>
          </w:p>
        </w:tc>
        <w:tc>
          <w:tcPr>
            <w:tcW w:w="472" w:type="dxa"/>
            <w:shd w:val="clear" w:color="auto" w:fill="auto"/>
          </w:tcPr>
          <w:p w14:paraId="1C4200E9" w14:textId="77777777" w:rsidR="00AF3581" w:rsidRPr="00506303" w:rsidRDefault="00AF3581" w:rsidP="0067543B">
            <w:pPr>
              <w:rPr>
                <w:sz w:val="18"/>
                <w:szCs w:val="18"/>
              </w:rPr>
            </w:pPr>
          </w:p>
        </w:tc>
        <w:tc>
          <w:tcPr>
            <w:tcW w:w="472" w:type="dxa"/>
            <w:shd w:val="clear" w:color="auto" w:fill="auto"/>
          </w:tcPr>
          <w:p w14:paraId="2B29AD42" w14:textId="77777777" w:rsidR="00AF3581" w:rsidRPr="00506303" w:rsidRDefault="00AF3581" w:rsidP="0067543B">
            <w:pPr>
              <w:rPr>
                <w:sz w:val="18"/>
                <w:szCs w:val="18"/>
              </w:rPr>
            </w:pPr>
          </w:p>
        </w:tc>
        <w:tc>
          <w:tcPr>
            <w:tcW w:w="472" w:type="dxa"/>
            <w:shd w:val="clear" w:color="auto" w:fill="auto"/>
          </w:tcPr>
          <w:p w14:paraId="78E882CE" w14:textId="77777777" w:rsidR="00AF3581" w:rsidRPr="00506303" w:rsidRDefault="00AF3581" w:rsidP="0067543B">
            <w:pPr>
              <w:rPr>
                <w:sz w:val="18"/>
                <w:szCs w:val="18"/>
              </w:rPr>
            </w:pPr>
          </w:p>
        </w:tc>
        <w:tc>
          <w:tcPr>
            <w:tcW w:w="472" w:type="dxa"/>
            <w:shd w:val="clear" w:color="auto" w:fill="auto"/>
          </w:tcPr>
          <w:p w14:paraId="0AEF2422" w14:textId="77777777" w:rsidR="00AF3581" w:rsidRPr="00506303" w:rsidRDefault="00AF3581" w:rsidP="0067543B">
            <w:pPr>
              <w:rPr>
                <w:sz w:val="18"/>
                <w:szCs w:val="18"/>
              </w:rPr>
            </w:pPr>
          </w:p>
        </w:tc>
        <w:tc>
          <w:tcPr>
            <w:tcW w:w="472" w:type="dxa"/>
            <w:shd w:val="clear" w:color="auto" w:fill="auto"/>
          </w:tcPr>
          <w:p w14:paraId="1349D33E" w14:textId="77777777" w:rsidR="00AF3581" w:rsidRPr="00506303" w:rsidRDefault="00AF3581" w:rsidP="0067543B">
            <w:pPr>
              <w:rPr>
                <w:sz w:val="18"/>
                <w:szCs w:val="18"/>
              </w:rPr>
            </w:pPr>
          </w:p>
        </w:tc>
        <w:tc>
          <w:tcPr>
            <w:tcW w:w="473" w:type="dxa"/>
            <w:shd w:val="clear" w:color="auto" w:fill="D9D9D9"/>
          </w:tcPr>
          <w:p w14:paraId="1239AF6B" w14:textId="77777777" w:rsidR="00AF3581" w:rsidRPr="00506303" w:rsidRDefault="00AF3581" w:rsidP="0067543B">
            <w:pPr>
              <w:rPr>
                <w:sz w:val="18"/>
                <w:szCs w:val="18"/>
              </w:rPr>
            </w:pPr>
          </w:p>
        </w:tc>
        <w:tc>
          <w:tcPr>
            <w:tcW w:w="473" w:type="dxa"/>
            <w:shd w:val="clear" w:color="auto" w:fill="D9D9D9"/>
          </w:tcPr>
          <w:p w14:paraId="4A0B50B2" w14:textId="77777777" w:rsidR="00AF3581" w:rsidRPr="00506303" w:rsidRDefault="00AF3581" w:rsidP="0067543B">
            <w:pPr>
              <w:rPr>
                <w:sz w:val="18"/>
                <w:szCs w:val="18"/>
              </w:rPr>
            </w:pPr>
          </w:p>
        </w:tc>
        <w:tc>
          <w:tcPr>
            <w:tcW w:w="473" w:type="dxa"/>
            <w:shd w:val="clear" w:color="auto" w:fill="D9D9D9"/>
          </w:tcPr>
          <w:p w14:paraId="2F2398AD" w14:textId="77777777" w:rsidR="00AF3581" w:rsidRPr="00506303" w:rsidRDefault="00AF3581" w:rsidP="0067543B">
            <w:pPr>
              <w:rPr>
                <w:sz w:val="18"/>
                <w:szCs w:val="18"/>
              </w:rPr>
            </w:pPr>
          </w:p>
        </w:tc>
        <w:tc>
          <w:tcPr>
            <w:tcW w:w="473" w:type="dxa"/>
            <w:shd w:val="clear" w:color="auto" w:fill="D9D9D9"/>
          </w:tcPr>
          <w:p w14:paraId="03A500CA" w14:textId="77777777" w:rsidR="00AF3581" w:rsidRPr="00506303" w:rsidRDefault="00AF3581" w:rsidP="0067543B">
            <w:pPr>
              <w:rPr>
                <w:sz w:val="18"/>
                <w:szCs w:val="18"/>
              </w:rPr>
            </w:pPr>
          </w:p>
        </w:tc>
        <w:tc>
          <w:tcPr>
            <w:tcW w:w="473" w:type="dxa"/>
            <w:shd w:val="clear" w:color="auto" w:fill="D9D9D9"/>
          </w:tcPr>
          <w:p w14:paraId="6C1BF3FC" w14:textId="77777777" w:rsidR="00AF3581" w:rsidRPr="00506303" w:rsidRDefault="00AF3581" w:rsidP="0067543B">
            <w:pPr>
              <w:rPr>
                <w:sz w:val="18"/>
                <w:szCs w:val="18"/>
              </w:rPr>
            </w:pPr>
          </w:p>
        </w:tc>
        <w:tc>
          <w:tcPr>
            <w:tcW w:w="473" w:type="dxa"/>
            <w:shd w:val="clear" w:color="auto" w:fill="D9D9D9"/>
          </w:tcPr>
          <w:p w14:paraId="076C0A01" w14:textId="77777777" w:rsidR="00AF3581" w:rsidRPr="00506303" w:rsidRDefault="00AF3581" w:rsidP="0067543B">
            <w:pPr>
              <w:rPr>
                <w:sz w:val="18"/>
                <w:szCs w:val="18"/>
              </w:rPr>
            </w:pPr>
          </w:p>
        </w:tc>
        <w:tc>
          <w:tcPr>
            <w:tcW w:w="473" w:type="dxa"/>
            <w:shd w:val="clear" w:color="auto" w:fill="auto"/>
          </w:tcPr>
          <w:p w14:paraId="56C87ACA" w14:textId="77777777" w:rsidR="00AF3581" w:rsidRPr="00506303" w:rsidRDefault="00AF3581" w:rsidP="0067543B">
            <w:pPr>
              <w:rPr>
                <w:sz w:val="18"/>
                <w:szCs w:val="18"/>
              </w:rPr>
            </w:pPr>
          </w:p>
        </w:tc>
        <w:tc>
          <w:tcPr>
            <w:tcW w:w="473" w:type="dxa"/>
            <w:shd w:val="clear" w:color="auto" w:fill="auto"/>
          </w:tcPr>
          <w:p w14:paraId="641B7A96" w14:textId="77777777" w:rsidR="00AF3581" w:rsidRPr="00506303" w:rsidRDefault="00AF3581" w:rsidP="0067543B">
            <w:pPr>
              <w:rPr>
                <w:sz w:val="18"/>
                <w:szCs w:val="18"/>
              </w:rPr>
            </w:pPr>
          </w:p>
        </w:tc>
        <w:tc>
          <w:tcPr>
            <w:tcW w:w="473" w:type="dxa"/>
            <w:shd w:val="clear" w:color="auto" w:fill="auto"/>
          </w:tcPr>
          <w:p w14:paraId="0D3AB937" w14:textId="77777777" w:rsidR="00AF3581" w:rsidRPr="00506303" w:rsidRDefault="00AF3581" w:rsidP="0067543B">
            <w:pPr>
              <w:rPr>
                <w:sz w:val="18"/>
                <w:szCs w:val="18"/>
              </w:rPr>
            </w:pPr>
          </w:p>
        </w:tc>
        <w:tc>
          <w:tcPr>
            <w:tcW w:w="473" w:type="dxa"/>
            <w:shd w:val="clear" w:color="auto" w:fill="auto"/>
          </w:tcPr>
          <w:p w14:paraId="20E03BF6" w14:textId="77777777" w:rsidR="00AF3581" w:rsidRPr="00506303" w:rsidRDefault="00AF3581" w:rsidP="0067543B">
            <w:pPr>
              <w:rPr>
                <w:sz w:val="18"/>
                <w:szCs w:val="18"/>
              </w:rPr>
            </w:pPr>
          </w:p>
        </w:tc>
      </w:tr>
      <w:tr w:rsidR="00AF3581" w:rsidRPr="00506303" w14:paraId="163E3A1F" w14:textId="77777777" w:rsidTr="00506303">
        <w:tc>
          <w:tcPr>
            <w:tcW w:w="944" w:type="dxa"/>
            <w:shd w:val="clear" w:color="auto" w:fill="F2F2F2"/>
          </w:tcPr>
          <w:p w14:paraId="3D72D65C" w14:textId="77777777" w:rsidR="00AF3581" w:rsidRPr="00506303" w:rsidRDefault="00AF3581" w:rsidP="0067543B">
            <w:pPr>
              <w:rPr>
                <w:b/>
                <w:sz w:val="18"/>
                <w:szCs w:val="18"/>
              </w:rPr>
            </w:pPr>
            <w:r w:rsidRPr="00506303">
              <w:rPr>
                <w:b/>
                <w:sz w:val="18"/>
                <w:szCs w:val="18"/>
              </w:rPr>
              <w:t>1.1.5</w:t>
            </w:r>
          </w:p>
        </w:tc>
        <w:tc>
          <w:tcPr>
            <w:tcW w:w="13226" w:type="dxa"/>
            <w:gridSpan w:val="21"/>
            <w:shd w:val="clear" w:color="auto" w:fill="F2F2F2"/>
          </w:tcPr>
          <w:p w14:paraId="79964E13" w14:textId="77777777" w:rsidR="00AF3581" w:rsidRPr="00506303" w:rsidRDefault="00AF3581" w:rsidP="0067543B">
            <w:pPr>
              <w:rPr>
                <w:b/>
                <w:sz w:val="18"/>
                <w:szCs w:val="18"/>
              </w:rPr>
            </w:pPr>
            <w:r w:rsidRPr="00506303">
              <w:rPr>
                <w:b/>
                <w:sz w:val="18"/>
                <w:szCs w:val="18"/>
              </w:rPr>
              <w:t>Biodiversity increased for 11,200 ha of mangrove forest via enrichment planting</w:t>
            </w:r>
          </w:p>
        </w:tc>
      </w:tr>
      <w:tr w:rsidR="00AF3581" w:rsidRPr="00506303" w14:paraId="4A1769B3" w14:textId="77777777" w:rsidTr="00E071AC">
        <w:tc>
          <w:tcPr>
            <w:tcW w:w="944" w:type="dxa"/>
            <w:shd w:val="clear" w:color="auto" w:fill="auto"/>
          </w:tcPr>
          <w:p w14:paraId="6C487D9E" w14:textId="77777777" w:rsidR="00AF3581" w:rsidRPr="00506303" w:rsidRDefault="00AF3581" w:rsidP="0067543B">
            <w:pPr>
              <w:rPr>
                <w:sz w:val="18"/>
                <w:szCs w:val="18"/>
              </w:rPr>
            </w:pPr>
            <w:r w:rsidRPr="00506303">
              <w:rPr>
                <w:sz w:val="18"/>
                <w:szCs w:val="18"/>
              </w:rPr>
              <w:t>1.1.5.1</w:t>
            </w:r>
          </w:p>
        </w:tc>
        <w:tc>
          <w:tcPr>
            <w:tcW w:w="3776" w:type="dxa"/>
            <w:shd w:val="clear" w:color="auto" w:fill="auto"/>
          </w:tcPr>
          <w:p w14:paraId="340805BE" w14:textId="77777777" w:rsidR="00AF3581" w:rsidRPr="00506303" w:rsidRDefault="00AF3581" w:rsidP="0067543B">
            <w:pPr>
              <w:rPr>
                <w:sz w:val="18"/>
                <w:szCs w:val="18"/>
              </w:rPr>
            </w:pPr>
            <w:r w:rsidRPr="00506303">
              <w:rPr>
                <w:sz w:val="18"/>
                <w:szCs w:val="18"/>
              </w:rPr>
              <w:t>Using assembled baseline data, develop an objective and scientifically sound method and procedure for identifying priority areas for enrichment planting</w:t>
            </w:r>
          </w:p>
        </w:tc>
        <w:tc>
          <w:tcPr>
            <w:tcW w:w="472" w:type="dxa"/>
            <w:shd w:val="clear" w:color="auto" w:fill="D9D9D9"/>
          </w:tcPr>
          <w:p w14:paraId="32D120DE" w14:textId="77777777" w:rsidR="00AF3581" w:rsidRPr="00506303" w:rsidRDefault="00AF3581" w:rsidP="0067543B">
            <w:pPr>
              <w:rPr>
                <w:sz w:val="18"/>
                <w:szCs w:val="18"/>
              </w:rPr>
            </w:pPr>
          </w:p>
        </w:tc>
        <w:tc>
          <w:tcPr>
            <w:tcW w:w="472" w:type="dxa"/>
            <w:shd w:val="clear" w:color="auto" w:fill="D9D9D9"/>
          </w:tcPr>
          <w:p w14:paraId="1BE6AC22" w14:textId="77777777" w:rsidR="00AF3581" w:rsidRPr="00506303" w:rsidRDefault="00AF3581" w:rsidP="0067543B">
            <w:pPr>
              <w:rPr>
                <w:sz w:val="18"/>
                <w:szCs w:val="18"/>
              </w:rPr>
            </w:pPr>
          </w:p>
        </w:tc>
        <w:tc>
          <w:tcPr>
            <w:tcW w:w="472" w:type="dxa"/>
            <w:shd w:val="clear" w:color="auto" w:fill="D9D9D9"/>
          </w:tcPr>
          <w:p w14:paraId="7B6652C3" w14:textId="77777777" w:rsidR="00AF3581" w:rsidRPr="00506303" w:rsidRDefault="00AF3581" w:rsidP="0067543B">
            <w:pPr>
              <w:rPr>
                <w:sz w:val="18"/>
                <w:szCs w:val="18"/>
              </w:rPr>
            </w:pPr>
          </w:p>
        </w:tc>
        <w:tc>
          <w:tcPr>
            <w:tcW w:w="472" w:type="dxa"/>
            <w:shd w:val="clear" w:color="auto" w:fill="D9D9D9"/>
          </w:tcPr>
          <w:p w14:paraId="1F820ECF" w14:textId="77777777" w:rsidR="00AF3581" w:rsidRPr="00506303" w:rsidRDefault="00AF3581" w:rsidP="0067543B">
            <w:pPr>
              <w:rPr>
                <w:sz w:val="18"/>
                <w:szCs w:val="18"/>
              </w:rPr>
            </w:pPr>
          </w:p>
        </w:tc>
        <w:tc>
          <w:tcPr>
            <w:tcW w:w="472" w:type="dxa"/>
            <w:shd w:val="clear" w:color="auto" w:fill="D9D9D9"/>
          </w:tcPr>
          <w:p w14:paraId="5B7EDA5D" w14:textId="77777777" w:rsidR="00AF3581" w:rsidRPr="00506303" w:rsidRDefault="00AF3581" w:rsidP="0067543B">
            <w:pPr>
              <w:rPr>
                <w:sz w:val="18"/>
                <w:szCs w:val="18"/>
              </w:rPr>
            </w:pPr>
          </w:p>
        </w:tc>
        <w:tc>
          <w:tcPr>
            <w:tcW w:w="472" w:type="dxa"/>
            <w:shd w:val="clear" w:color="auto" w:fill="D9D9D9"/>
          </w:tcPr>
          <w:p w14:paraId="2C8C0059" w14:textId="77777777" w:rsidR="00AF3581" w:rsidRPr="00506303" w:rsidRDefault="00AF3581" w:rsidP="0067543B">
            <w:pPr>
              <w:rPr>
                <w:sz w:val="18"/>
                <w:szCs w:val="18"/>
              </w:rPr>
            </w:pPr>
          </w:p>
        </w:tc>
        <w:tc>
          <w:tcPr>
            <w:tcW w:w="472" w:type="dxa"/>
            <w:shd w:val="clear" w:color="auto" w:fill="auto"/>
          </w:tcPr>
          <w:p w14:paraId="11F612A7" w14:textId="77777777" w:rsidR="00AF3581" w:rsidRPr="00506303" w:rsidRDefault="00AF3581" w:rsidP="0067543B">
            <w:pPr>
              <w:rPr>
                <w:sz w:val="18"/>
                <w:szCs w:val="18"/>
              </w:rPr>
            </w:pPr>
          </w:p>
        </w:tc>
        <w:tc>
          <w:tcPr>
            <w:tcW w:w="472" w:type="dxa"/>
            <w:shd w:val="clear" w:color="auto" w:fill="auto"/>
          </w:tcPr>
          <w:p w14:paraId="28364C9D" w14:textId="77777777" w:rsidR="00AF3581" w:rsidRPr="00506303" w:rsidRDefault="00AF3581" w:rsidP="0067543B">
            <w:pPr>
              <w:rPr>
                <w:sz w:val="18"/>
                <w:szCs w:val="18"/>
              </w:rPr>
            </w:pPr>
          </w:p>
        </w:tc>
        <w:tc>
          <w:tcPr>
            <w:tcW w:w="472" w:type="dxa"/>
            <w:shd w:val="clear" w:color="auto" w:fill="auto"/>
          </w:tcPr>
          <w:p w14:paraId="4625E280" w14:textId="77777777" w:rsidR="00AF3581" w:rsidRPr="00506303" w:rsidRDefault="00AF3581" w:rsidP="0067543B">
            <w:pPr>
              <w:rPr>
                <w:sz w:val="18"/>
                <w:szCs w:val="18"/>
              </w:rPr>
            </w:pPr>
          </w:p>
        </w:tc>
        <w:tc>
          <w:tcPr>
            <w:tcW w:w="472" w:type="dxa"/>
            <w:shd w:val="clear" w:color="auto" w:fill="auto"/>
          </w:tcPr>
          <w:p w14:paraId="366F1C92" w14:textId="77777777" w:rsidR="00AF3581" w:rsidRPr="00506303" w:rsidRDefault="00AF3581" w:rsidP="0067543B">
            <w:pPr>
              <w:rPr>
                <w:sz w:val="18"/>
                <w:szCs w:val="18"/>
              </w:rPr>
            </w:pPr>
          </w:p>
        </w:tc>
        <w:tc>
          <w:tcPr>
            <w:tcW w:w="473" w:type="dxa"/>
            <w:shd w:val="clear" w:color="auto" w:fill="auto"/>
          </w:tcPr>
          <w:p w14:paraId="5FA7DF3C" w14:textId="77777777" w:rsidR="00AF3581" w:rsidRPr="00506303" w:rsidRDefault="00AF3581" w:rsidP="0067543B">
            <w:pPr>
              <w:rPr>
                <w:sz w:val="18"/>
                <w:szCs w:val="18"/>
              </w:rPr>
            </w:pPr>
          </w:p>
        </w:tc>
        <w:tc>
          <w:tcPr>
            <w:tcW w:w="473" w:type="dxa"/>
            <w:shd w:val="clear" w:color="auto" w:fill="auto"/>
          </w:tcPr>
          <w:p w14:paraId="462BE49A" w14:textId="77777777" w:rsidR="00AF3581" w:rsidRPr="00506303" w:rsidRDefault="00AF3581" w:rsidP="0067543B">
            <w:pPr>
              <w:rPr>
                <w:sz w:val="18"/>
                <w:szCs w:val="18"/>
              </w:rPr>
            </w:pPr>
          </w:p>
        </w:tc>
        <w:tc>
          <w:tcPr>
            <w:tcW w:w="473" w:type="dxa"/>
            <w:shd w:val="clear" w:color="auto" w:fill="auto"/>
          </w:tcPr>
          <w:p w14:paraId="1CEDBFB0" w14:textId="77777777" w:rsidR="00AF3581" w:rsidRPr="00506303" w:rsidRDefault="00AF3581" w:rsidP="0067543B">
            <w:pPr>
              <w:rPr>
                <w:sz w:val="18"/>
                <w:szCs w:val="18"/>
              </w:rPr>
            </w:pPr>
          </w:p>
        </w:tc>
        <w:tc>
          <w:tcPr>
            <w:tcW w:w="473" w:type="dxa"/>
            <w:shd w:val="clear" w:color="auto" w:fill="auto"/>
          </w:tcPr>
          <w:p w14:paraId="67DF914F" w14:textId="77777777" w:rsidR="00AF3581" w:rsidRPr="00506303" w:rsidRDefault="00AF3581" w:rsidP="0067543B">
            <w:pPr>
              <w:rPr>
                <w:sz w:val="18"/>
                <w:szCs w:val="18"/>
              </w:rPr>
            </w:pPr>
          </w:p>
        </w:tc>
        <w:tc>
          <w:tcPr>
            <w:tcW w:w="473" w:type="dxa"/>
            <w:shd w:val="clear" w:color="auto" w:fill="auto"/>
          </w:tcPr>
          <w:p w14:paraId="06D683C1" w14:textId="77777777" w:rsidR="00AF3581" w:rsidRPr="00506303" w:rsidRDefault="00AF3581" w:rsidP="0067543B">
            <w:pPr>
              <w:rPr>
                <w:sz w:val="18"/>
                <w:szCs w:val="18"/>
              </w:rPr>
            </w:pPr>
          </w:p>
        </w:tc>
        <w:tc>
          <w:tcPr>
            <w:tcW w:w="473" w:type="dxa"/>
            <w:shd w:val="clear" w:color="auto" w:fill="auto"/>
          </w:tcPr>
          <w:p w14:paraId="6E8946D9" w14:textId="77777777" w:rsidR="00AF3581" w:rsidRPr="00506303" w:rsidRDefault="00AF3581" w:rsidP="0067543B">
            <w:pPr>
              <w:rPr>
                <w:sz w:val="18"/>
                <w:szCs w:val="18"/>
              </w:rPr>
            </w:pPr>
          </w:p>
        </w:tc>
        <w:tc>
          <w:tcPr>
            <w:tcW w:w="473" w:type="dxa"/>
            <w:shd w:val="clear" w:color="auto" w:fill="auto"/>
          </w:tcPr>
          <w:p w14:paraId="236FD477" w14:textId="77777777" w:rsidR="00AF3581" w:rsidRPr="00506303" w:rsidRDefault="00AF3581" w:rsidP="0067543B">
            <w:pPr>
              <w:rPr>
                <w:sz w:val="18"/>
                <w:szCs w:val="18"/>
              </w:rPr>
            </w:pPr>
          </w:p>
        </w:tc>
        <w:tc>
          <w:tcPr>
            <w:tcW w:w="473" w:type="dxa"/>
            <w:shd w:val="clear" w:color="auto" w:fill="auto"/>
          </w:tcPr>
          <w:p w14:paraId="1436A6C9" w14:textId="77777777" w:rsidR="00AF3581" w:rsidRPr="00506303" w:rsidRDefault="00AF3581" w:rsidP="0067543B">
            <w:pPr>
              <w:rPr>
                <w:sz w:val="18"/>
                <w:szCs w:val="18"/>
              </w:rPr>
            </w:pPr>
          </w:p>
        </w:tc>
        <w:tc>
          <w:tcPr>
            <w:tcW w:w="473" w:type="dxa"/>
            <w:shd w:val="clear" w:color="auto" w:fill="auto"/>
          </w:tcPr>
          <w:p w14:paraId="0FA9206C" w14:textId="77777777" w:rsidR="00AF3581" w:rsidRPr="00506303" w:rsidRDefault="00AF3581" w:rsidP="0067543B">
            <w:pPr>
              <w:rPr>
                <w:sz w:val="18"/>
                <w:szCs w:val="18"/>
              </w:rPr>
            </w:pPr>
          </w:p>
        </w:tc>
        <w:tc>
          <w:tcPr>
            <w:tcW w:w="473" w:type="dxa"/>
            <w:shd w:val="clear" w:color="auto" w:fill="auto"/>
          </w:tcPr>
          <w:p w14:paraId="664D99F0" w14:textId="77777777" w:rsidR="00AF3581" w:rsidRPr="00506303" w:rsidRDefault="00AF3581" w:rsidP="0067543B">
            <w:pPr>
              <w:rPr>
                <w:sz w:val="18"/>
                <w:szCs w:val="18"/>
              </w:rPr>
            </w:pPr>
          </w:p>
        </w:tc>
      </w:tr>
      <w:tr w:rsidR="00AF3581" w:rsidRPr="00506303" w14:paraId="14B965BE" w14:textId="77777777" w:rsidTr="00E071AC">
        <w:tc>
          <w:tcPr>
            <w:tcW w:w="944" w:type="dxa"/>
            <w:shd w:val="clear" w:color="auto" w:fill="auto"/>
          </w:tcPr>
          <w:p w14:paraId="7F3EC5E0" w14:textId="77777777" w:rsidR="00AF3581" w:rsidRPr="00506303" w:rsidRDefault="00AF3581" w:rsidP="0067543B">
            <w:pPr>
              <w:rPr>
                <w:sz w:val="18"/>
                <w:szCs w:val="18"/>
              </w:rPr>
            </w:pPr>
            <w:r w:rsidRPr="00506303">
              <w:rPr>
                <w:sz w:val="18"/>
                <w:szCs w:val="18"/>
              </w:rPr>
              <w:t>1.1.5.2</w:t>
            </w:r>
          </w:p>
        </w:tc>
        <w:tc>
          <w:tcPr>
            <w:tcW w:w="3776" w:type="dxa"/>
            <w:shd w:val="clear" w:color="auto" w:fill="auto"/>
          </w:tcPr>
          <w:p w14:paraId="263A1804" w14:textId="77777777" w:rsidR="00AF3581" w:rsidRPr="00506303" w:rsidRDefault="00AF3581" w:rsidP="0067543B">
            <w:pPr>
              <w:rPr>
                <w:sz w:val="18"/>
                <w:szCs w:val="18"/>
              </w:rPr>
            </w:pPr>
            <w:r w:rsidRPr="00506303">
              <w:rPr>
                <w:sz w:val="18"/>
                <w:szCs w:val="18"/>
              </w:rPr>
              <w:t>Conduct site surveys to ground-truth compiled information and data and conduct rapid biodiversity assessments at priority sites</w:t>
            </w:r>
          </w:p>
        </w:tc>
        <w:tc>
          <w:tcPr>
            <w:tcW w:w="472" w:type="dxa"/>
            <w:shd w:val="clear" w:color="auto" w:fill="auto"/>
          </w:tcPr>
          <w:p w14:paraId="1DB80BD3" w14:textId="77777777" w:rsidR="00AF3581" w:rsidRPr="00506303" w:rsidRDefault="00AF3581" w:rsidP="0067543B">
            <w:pPr>
              <w:rPr>
                <w:sz w:val="18"/>
                <w:szCs w:val="18"/>
              </w:rPr>
            </w:pPr>
          </w:p>
        </w:tc>
        <w:tc>
          <w:tcPr>
            <w:tcW w:w="472" w:type="dxa"/>
            <w:shd w:val="clear" w:color="auto" w:fill="auto"/>
          </w:tcPr>
          <w:p w14:paraId="38AA643C" w14:textId="77777777" w:rsidR="00AF3581" w:rsidRPr="00506303" w:rsidRDefault="00AF3581" w:rsidP="0067543B">
            <w:pPr>
              <w:rPr>
                <w:sz w:val="18"/>
                <w:szCs w:val="18"/>
              </w:rPr>
            </w:pPr>
          </w:p>
        </w:tc>
        <w:tc>
          <w:tcPr>
            <w:tcW w:w="472" w:type="dxa"/>
            <w:shd w:val="clear" w:color="auto" w:fill="auto"/>
          </w:tcPr>
          <w:p w14:paraId="7BD42FAE" w14:textId="77777777" w:rsidR="00AF3581" w:rsidRPr="00506303" w:rsidRDefault="00AF3581" w:rsidP="0067543B">
            <w:pPr>
              <w:rPr>
                <w:sz w:val="18"/>
                <w:szCs w:val="18"/>
              </w:rPr>
            </w:pPr>
          </w:p>
        </w:tc>
        <w:tc>
          <w:tcPr>
            <w:tcW w:w="472" w:type="dxa"/>
            <w:shd w:val="clear" w:color="auto" w:fill="auto"/>
          </w:tcPr>
          <w:p w14:paraId="163616E8" w14:textId="77777777" w:rsidR="00AF3581" w:rsidRPr="00506303" w:rsidRDefault="00AF3581" w:rsidP="0067543B">
            <w:pPr>
              <w:rPr>
                <w:sz w:val="18"/>
                <w:szCs w:val="18"/>
              </w:rPr>
            </w:pPr>
          </w:p>
        </w:tc>
        <w:tc>
          <w:tcPr>
            <w:tcW w:w="472" w:type="dxa"/>
            <w:shd w:val="clear" w:color="auto" w:fill="D9D9D9"/>
          </w:tcPr>
          <w:p w14:paraId="34197CF3" w14:textId="77777777" w:rsidR="00AF3581" w:rsidRPr="00506303" w:rsidRDefault="00AF3581" w:rsidP="0067543B">
            <w:pPr>
              <w:rPr>
                <w:sz w:val="18"/>
                <w:szCs w:val="18"/>
              </w:rPr>
            </w:pPr>
          </w:p>
        </w:tc>
        <w:tc>
          <w:tcPr>
            <w:tcW w:w="472" w:type="dxa"/>
            <w:shd w:val="clear" w:color="auto" w:fill="D9D9D9"/>
          </w:tcPr>
          <w:p w14:paraId="50DB58BB" w14:textId="77777777" w:rsidR="00AF3581" w:rsidRPr="00506303" w:rsidRDefault="00AF3581" w:rsidP="0067543B">
            <w:pPr>
              <w:rPr>
                <w:sz w:val="18"/>
                <w:szCs w:val="18"/>
              </w:rPr>
            </w:pPr>
          </w:p>
        </w:tc>
        <w:tc>
          <w:tcPr>
            <w:tcW w:w="472" w:type="dxa"/>
            <w:shd w:val="clear" w:color="auto" w:fill="D9D9D9"/>
          </w:tcPr>
          <w:p w14:paraId="09E7F1B4" w14:textId="77777777" w:rsidR="00AF3581" w:rsidRPr="00506303" w:rsidRDefault="00AF3581" w:rsidP="0067543B">
            <w:pPr>
              <w:rPr>
                <w:sz w:val="18"/>
                <w:szCs w:val="18"/>
              </w:rPr>
            </w:pPr>
          </w:p>
        </w:tc>
        <w:tc>
          <w:tcPr>
            <w:tcW w:w="472" w:type="dxa"/>
            <w:shd w:val="clear" w:color="auto" w:fill="D9D9D9"/>
          </w:tcPr>
          <w:p w14:paraId="22302BDB" w14:textId="77777777" w:rsidR="00AF3581" w:rsidRPr="00506303" w:rsidRDefault="00AF3581" w:rsidP="0067543B">
            <w:pPr>
              <w:rPr>
                <w:sz w:val="18"/>
                <w:szCs w:val="18"/>
              </w:rPr>
            </w:pPr>
          </w:p>
        </w:tc>
        <w:tc>
          <w:tcPr>
            <w:tcW w:w="472" w:type="dxa"/>
            <w:shd w:val="clear" w:color="auto" w:fill="auto"/>
          </w:tcPr>
          <w:p w14:paraId="2D0F4381" w14:textId="77777777" w:rsidR="00AF3581" w:rsidRPr="00506303" w:rsidRDefault="00AF3581" w:rsidP="0067543B">
            <w:pPr>
              <w:rPr>
                <w:sz w:val="18"/>
                <w:szCs w:val="18"/>
              </w:rPr>
            </w:pPr>
          </w:p>
        </w:tc>
        <w:tc>
          <w:tcPr>
            <w:tcW w:w="472" w:type="dxa"/>
            <w:shd w:val="clear" w:color="auto" w:fill="auto"/>
          </w:tcPr>
          <w:p w14:paraId="3D9D88A0" w14:textId="77777777" w:rsidR="00AF3581" w:rsidRPr="00506303" w:rsidRDefault="00AF3581" w:rsidP="0067543B">
            <w:pPr>
              <w:rPr>
                <w:sz w:val="18"/>
                <w:szCs w:val="18"/>
              </w:rPr>
            </w:pPr>
          </w:p>
        </w:tc>
        <w:tc>
          <w:tcPr>
            <w:tcW w:w="473" w:type="dxa"/>
            <w:shd w:val="clear" w:color="auto" w:fill="auto"/>
          </w:tcPr>
          <w:p w14:paraId="5F8F3704" w14:textId="77777777" w:rsidR="00AF3581" w:rsidRPr="00506303" w:rsidRDefault="00AF3581" w:rsidP="0067543B">
            <w:pPr>
              <w:rPr>
                <w:sz w:val="18"/>
                <w:szCs w:val="18"/>
              </w:rPr>
            </w:pPr>
          </w:p>
        </w:tc>
        <w:tc>
          <w:tcPr>
            <w:tcW w:w="473" w:type="dxa"/>
            <w:shd w:val="clear" w:color="auto" w:fill="auto"/>
          </w:tcPr>
          <w:p w14:paraId="143E8CF1" w14:textId="77777777" w:rsidR="00AF3581" w:rsidRPr="00506303" w:rsidRDefault="00AF3581" w:rsidP="0067543B">
            <w:pPr>
              <w:rPr>
                <w:sz w:val="18"/>
                <w:szCs w:val="18"/>
              </w:rPr>
            </w:pPr>
          </w:p>
        </w:tc>
        <w:tc>
          <w:tcPr>
            <w:tcW w:w="473" w:type="dxa"/>
            <w:shd w:val="clear" w:color="auto" w:fill="auto"/>
          </w:tcPr>
          <w:p w14:paraId="3EB1B006" w14:textId="77777777" w:rsidR="00AF3581" w:rsidRPr="00506303" w:rsidRDefault="00AF3581" w:rsidP="0067543B">
            <w:pPr>
              <w:rPr>
                <w:sz w:val="18"/>
                <w:szCs w:val="18"/>
              </w:rPr>
            </w:pPr>
          </w:p>
        </w:tc>
        <w:tc>
          <w:tcPr>
            <w:tcW w:w="473" w:type="dxa"/>
            <w:shd w:val="clear" w:color="auto" w:fill="auto"/>
          </w:tcPr>
          <w:p w14:paraId="41BAB20B" w14:textId="77777777" w:rsidR="00AF3581" w:rsidRPr="00506303" w:rsidRDefault="00AF3581" w:rsidP="0067543B">
            <w:pPr>
              <w:rPr>
                <w:sz w:val="18"/>
                <w:szCs w:val="18"/>
              </w:rPr>
            </w:pPr>
          </w:p>
        </w:tc>
        <w:tc>
          <w:tcPr>
            <w:tcW w:w="473" w:type="dxa"/>
            <w:shd w:val="clear" w:color="auto" w:fill="auto"/>
          </w:tcPr>
          <w:p w14:paraId="324D1DFF" w14:textId="77777777" w:rsidR="00AF3581" w:rsidRPr="00506303" w:rsidRDefault="00AF3581" w:rsidP="0067543B">
            <w:pPr>
              <w:rPr>
                <w:sz w:val="18"/>
                <w:szCs w:val="18"/>
              </w:rPr>
            </w:pPr>
          </w:p>
        </w:tc>
        <w:tc>
          <w:tcPr>
            <w:tcW w:w="473" w:type="dxa"/>
            <w:shd w:val="clear" w:color="auto" w:fill="auto"/>
          </w:tcPr>
          <w:p w14:paraId="53849CD9" w14:textId="77777777" w:rsidR="00AF3581" w:rsidRPr="00506303" w:rsidRDefault="00AF3581" w:rsidP="0067543B">
            <w:pPr>
              <w:rPr>
                <w:sz w:val="18"/>
                <w:szCs w:val="18"/>
              </w:rPr>
            </w:pPr>
          </w:p>
        </w:tc>
        <w:tc>
          <w:tcPr>
            <w:tcW w:w="473" w:type="dxa"/>
            <w:shd w:val="clear" w:color="auto" w:fill="auto"/>
          </w:tcPr>
          <w:p w14:paraId="2182092D" w14:textId="77777777" w:rsidR="00AF3581" w:rsidRPr="00506303" w:rsidRDefault="00AF3581" w:rsidP="0067543B">
            <w:pPr>
              <w:rPr>
                <w:sz w:val="18"/>
                <w:szCs w:val="18"/>
              </w:rPr>
            </w:pPr>
          </w:p>
        </w:tc>
        <w:tc>
          <w:tcPr>
            <w:tcW w:w="473" w:type="dxa"/>
            <w:shd w:val="clear" w:color="auto" w:fill="auto"/>
          </w:tcPr>
          <w:p w14:paraId="14A6BCBF" w14:textId="77777777" w:rsidR="00AF3581" w:rsidRPr="00506303" w:rsidRDefault="00AF3581" w:rsidP="0067543B">
            <w:pPr>
              <w:rPr>
                <w:sz w:val="18"/>
                <w:szCs w:val="18"/>
              </w:rPr>
            </w:pPr>
          </w:p>
        </w:tc>
        <w:tc>
          <w:tcPr>
            <w:tcW w:w="473" w:type="dxa"/>
            <w:shd w:val="clear" w:color="auto" w:fill="auto"/>
          </w:tcPr>
          <w:p w14:paraId="5BA3A41B" w14:textId="77777777" w:rsidR="00AF3581" w:rsidRPr="00506303" w:rsidRDefault="00AF3581" w:rsidP="0067543B">
            <w:pPr>
              <w:rPr>
                <w:sz w:val="18"/>
                <w:szCs w:val="18"/>
              </w:rPr>
            </w:pPr>
          </w:p>
        </w:tc>
        <w:tc>
          <w:tcPr>
            <w:tcW w:w="473" w:type="dxa"/>
            <w:shd w:val="clear" w:color="auto" w:fill="auto"/>
          </w:tcPr>
          <w:p w14:paraId="2FDB8CE8" w14:textId="77777777" w:rsidR="00AF3581" w:rsidRPr="00506303" w:rsidRDefault="00AF3581" w:rsidP="0067543B">
            <w:pPr>
              <w:rPr>
                <w:sz w:val="18"/>
                <w:szCs w:val="18"/>
              </w:rPr>
            </w:pPr>
          </w:p>
        </w:tc>
      </w:tr>
      <w:tr w:rsidR="00E071AC" w:rsidRPr="00506303" w14:paraId="5BE306AC" w14:textId="77777777" w:rsidTr="00E071AC">
        <w:tc>
          <w:tcPr>
            <w:tcW w:w="944" w:type="dxa"/>
            <w:shd w:val="clear" w:color="auto" w:fill="auto"/>
          </w:tcPr>
          <w:p w14:paraId="2780EC1D" w14:textId="77777777" w:rsidR="00AF3581" w:rsidRPr="00506303" w:rsidRDefault="00AF3581" w:rsidP="0067543B">
            <w:pPr>
              <w:rPr>
                <w:sz w:val="18"/>
                <w:szCs w:val="18"/>
              </w:rPr>
            </w:pPr>
            <w:r w:rsidRPr="00506303">
              <w:rPr>
                <w:sz w:val="18"/>
                <w:szCs w:val="18"/>
              </w:rPr>
              <w:t>1.1.5.3</w:t>
            </w:r>
          </w:p>
        </w:tc>
        <w:tc>
          <w:tcPr>
            <w:tcW w:w="3776" w:type="dxa"/>
            <w:shd w:val="clear" w:color="auto" w:fill="auto"/>
          </w:tcPr>
          <w:p w14:paraId="17EECFF5" w14:textId="77777777" w:rsidR="00AF3581" w:rsidRPr="00506303" w:rsidRDefault="00AF3581" w:rsidP="0067543B">
            <w:pPr>
              <w:rPr>
                <w:sz w:val="18"/>
                <w:szCs w:val="18"/>
              </w:rPr>
            </w:pPr>
            <w:r w:rsidRPr="00506303">
              <w:rPr>
                <w:sz w:val="18"/>
                <w:szCs w:val="18"/>
              </w:rPr>
              <w:t>Procure technical nursery surveys to ensure timely and efficient enrichment planting</w:t>
            </w:r>
          </w:p>
        </w:tc>
        <w:tc>
          <w:tcPr>
            <w:tcW w:w="472" w:type="dxa"/>
            <w:shd w:val="clear" w:color="auto" w:fill="auto"/>
          </w:tcPr>
          <w:p w14:paraId="3FAC9F0E" w14:textId="77777777" w:rsidR="00AF3581" w:rsidRPr="00506303" w:rsidRDefault="00AF3581" w:rsidP="0067543B">
            <w:pPr>
              <w:rPr>
                <w:sz w:val="18"/>
                <w:szCs w:val="18"/>
              </w:rPr>
            </w:pPr>
          </w:p>
        </w:tc>
        <w:tc>
          <w:tcPr>
            <w:tcW w:w="472" w:type="dxa"/>
            <w:shd w:val="clear" w:color="auto" w:fill="auto"/>
          </w:tcPr>
          <w:p w14:paraId="5C5EA6A3" w14:textId="77777777" w:rsidR="00AF3581" w:rsidRPr="00506303" w:rsidRDefault="00AF3581" w:rsidP="0067543B">
            <w:pPr>
              <w:rPr>
                <w:sz w:val="18"/>
                <w:szCs w:val="18"/>
              </w:rPr>
            </w:pPr>
          </w:p>
        </w:tc>
        <w:tc>
          <w:tcPr>
            <w:tcW w:w="472" w:type="dxa"/>
            <w:shd w:val="clear" w:color="auto" w:fill="auto"/>
          </w:tcPr>
          <w:p w14:paraId="362BB127" w14:textId="77777777" w:rsidR="00AF3581" w:rsidRPr="00506303" w:rsidRDefault="00AF3581" w:rsidP="0067543B">
            <w:pPr>
              <w:rPr>
                <w:sz w:val="18"/>
                <w:szCs w:val="18"/>
              </w:rPr>
            </w:pPr>
          </w:p>
        </w:tc>
        <w:tc>
          <w:tcPr>
            <w:tcW w:w="472" w:type="dxa"/>
            <w:shd w:val="clear" w:color="auto" w:fill="auto"/>
          </w:tcPr>
          <w:p w14:paraId="4537FB43" w14:textId="77777777" w:rsidR="00AF3581" w:rsidRPr="00506303" w:rsidRDefault="00AF3581" w:rsidP="0067543B">
            <w:pPr>
              <w:rPr>
                <w:sz w:val="18"/>
                <w:szCs w:val="18"/>
              </w:rPr>
            </w:pPr>
          </w:p>
        </w:tc>
        <w:tc>
          <w:tcPr>
            <w:tcW w:w="472" w:type="dxa"/>
            <w:shd w:val="clear" w:color="auto" w:fill="auto"/>
          </w:tcPr>
          <w:p w14:paraId="0FAF07DE" w14:textId="77777777" w:rsidR="00AF3581" w:rsidRPr="00506303" w:rsidRDefault="00AF3581" w:rsidP="0067543B">
            <w:pPr>
              <w:rPr>
                <w:sz w:val="18"/>
                <w:szCs w:val="18"/>
              </w:rPr>
            </w:pPr>
          </w:p>
        </w:tc>
        <w:tc>
          <w:tcPr>
            <w:tcW w:w="472" w:type="dxa"/>
            <w:shd w:val="clear" w:color="auto" w:fill="auto"/>
          </w:tcPr>
          <w:p w14:paraId="48CD90E9" w14:textId="77777777" w:rsidR="00AF3581" w:rsidRPr="00506303" w:rsidRDefault="00AF3581" w:rsidP="0067543B">
            <w:pPr>
              <w:rPr>
                <w:sz w:val="18"/>
                <w:szCs w:val="18"/>
              </w:rPr>
            </w:pPr>
          </w:p>
        </w:tc>
        <w:tc>
          <w:tcPr>
            <w:tcW w:w="472" w:type="dxa"/>
            <w:shd w:val="clear" w:color="auto" w:fill="auto"/>
          </w:tcPr>
          <w:p w14:paraId="113D1C81" w14:textId="77777777" w:rsidR="00AF3581" w:rsidRPr="00506303" w:rsidRDefault="00AF3581" w:rsidP="0067543B">
            <w:pPr>
              <w:rPr>
                <w:sz w:val="18"/>
                <w:szCs w:val="18"/>
              </w:rPr>
            </w:pPr>
          </w:p>
        </w:tc>
        <w:tc>
          <w:tcPr>
            <w:tcW w:w="472" w:type="dxa"/>
            <w:shd w:val="clear" w:color="auto" w:fill="auto"/>
          </w:tcPr>
          <w:p w14:paraId="707B3CE1" w14:textId="77777777" w:rsidR="00AF3581" w:rsidRPr="00506303" w:rsidRDefault="00AF3581" w:rsidP="0067543B">
            <w:pPr>
              <w:rPr>
                <w:sz w:val="18"/>
                <w:szCs w:val="18"/>
              </w:rPr>
            </w:pPr>
          </w:p>
        </w:tc>
        <w:tc>
          <w:tcPr>
            <w:tcW w:w="472" w:type="dxa"/>
            <w:shd w:val="clear" w:color="auto" w:fill="D9D9D9"/>
          </w:tcPr>
          <w:p w14:paraId="42DB7089" w14:textId="77777777" w:rsidR="00AF3581" w:rsidRPr="00506303" w:rsidRDefault="00AF3581" w:rsidP="0067543B">
            <w:pPr>
              <w:rPr>
                <w:sz w:val="18"/>
                <w:szCs w:val="18"/>
              </w:rPr>
            </w:pPr>
          </w:p>
        </w:tc>
        <w:tc>
          <w:tcPr>
            <w:tcW w:w="472" w:type="dxa"/>
            <w:shd w:val="clear" w:color="auto" w:fill="D9D9D9"/>
          </w:tcPr>
          <w:p w14:paraId="777907B7" w14:textId="77777777" w:rsidR="00AF3581" w:rsidRPr="00506303" w:rsidRDefault="00AF3581" w:rsidP="0067543B">
            <w:pPr>
              <w:rPr>
                <w:sz w:val="18"/>
                <w:szCs w:val="18"/>
              </w:rPr>
            </w:pPr>
          </w:p>
        </w:tc>
        <w:tc>
          <w:tcPr>
            <w:tcW w:w="473" w:type="dxa"/>
            <w:shd w:val="clear" w:color="auto" w:fill="D9D9D9"/>
          </w:tcPr>
          <w:p w14:paraId="7929F069" w14:textId="77777777" w:rsidR="00AF3581" w:rsidRPr="00506303" w:rsidRDefault="00AF3581" w:rsidP="0067543B">
            <w:pPr>
              <w:rPr>
                <w:sz w:val="18"/>
                <w:szCs w:val="18"/>
              </w:rPr>
            </w:pPr>
          </w:p>
        </w:tc>
        <w:tc>
          <w:tcPr>
            <w:tcW w:w="473" w:type="dxa"/>
            <w:shd w:val="clear" w:color="auto" w:fill="D9D9D9"/>
          </w:tcPr>
          <w:p w14:paraId="58F8F2F0" w14:textId="77777777" w:rsidR="00AF3581" w:rsidRPr="00506303" w:rsidRDefault="00AF3581" w:rsidP="0067543B">
            <w:pPr>
              <w:rPr>
                <w:sz w:val="18"/>
                <w:szCs w:val="18"/>
              </w:rPr>
            </w:pPr>
          </w:p>
        </w:tc>
        <w:tc>
          <w:tcPr>
            <w:tcW w:w="473" w:type="dxa"/>
            <w:shd w:val="clear" w:color="auto" w:fill="auto"/>
          </w:tcPr>
          <w:p w14:paraId="618CD8B2" w14:textId="77777777" w:rsidR="00AF3581" w:rsidRPr="00506303" w:rsidRDefault="00AF3581" w:rsidP="0067543B">
            <w:pPr>
              <w:rPr>
                <w:sz w:val="18"/>
                <w:szCs w:val="18"/>
              </w:rPr>
            </w:pPr>
          </w:p>
        </w:tc>
        <w:tc>
          <w:tcPr>
            <w:tcW w:w="473" w:type="dxa"/>
            <w:shd w:val="clear" w:color="auto" w:fill="auto"/>
          </w:tcPr>
          <w:p w14:paraId="73621A00" w14:textId="77777777" w:rsidR="00AF3581" w:rsidRPr="00506303" w:rsidRDefault="00AF3581" w:rsidP="0067543B">
            <w:pPr>
              <w:rPr>
                <w:sz w:val="18"/>
                <w:szCs w:val="18"/>
              </w:rPr>
            </w:pPr>
          </w:p>
        </w:tc>
        <w:tc>
          <w:tcPr>
            <w:tcW w:w="473" w:type="dxa"/>
            <w:shd w:val="clear" w:color="auto" w:fill="auto"/>
          </w:tcPr>
          <w:p w14:paraId="158C5D13" w14:textId="77777777" w:rsidR="00AF3581" w:rsidRPr="00506303" w:rsidRDefault="00AF3581" w:rsidP="0067543B">
            <w:pPr>
              <w:rPr>
                <w:sz w:val="18"/>
                <w:szCs w:val="18"/>
              </w:rPr>
            </w:pPr>
          </w:p>
        </w:tc>
        <w:tc>
          <w:tcPr>
            <w:tcW w:w="473" w:type="dxa"/>
            <w:shd w:val="clear" w:color="auto" w:fill="auto"/>
          </w:tcPr>
          <w:p w14:paraId="44DB6B1B" w14:textId="77777777" w:rsidR="00AF3581" w:rsidRPr="00506303" w:rsidRDefault="00AF3581" w:rsidP="0067543B">
            <w:pPr>
              <w:rPr>
                <w:sz w:val="18"/>
                <w:szCs w:val="18"/>
              </w:rPr>
            </w:pPr>
          </w:p>
        </w:tc>
        <w:tc>
          <w:tcPr>
            <w:tcW w:w="473" w:type="dxa"/>
            <w:shd w:val="clear" w:color="auto" w:fill="auto"/>
          </w:tcPr>
          <w:p w14:paraId="30A8D668" w14:textId="77777777" w:rsidR="00AF3581" w:rsidRPr="00506303" w:rsidRDefault="00AF3581" w:rsidP="0067543B">
            <w:pPr>
              <w:rPr>
                <w:sz w:val="18"/>
                <w:szCs w:val="18"/>
              </w:rPr>
            </w:pPr>
          </w:p>
        </w:tc>
        <w:tc>
          <w:tcPr>
            <w:tcW w:w="473" w:type="dxa"/>
            <w:shd w:val="clear" w:color="auto" w:fill="auto"/>
          </w:tcPr>
          <w:p w14:paraId="58362753" w14:textId="77777777" w:rsidR="00AF3581" w:rsidRPr="00506303" w:rsidRDefault="00AF3581" w:rsidP="0067543B">
            <w:pPr>
              <w:rPr>
                <w:sz w:val="18"/>
                <w:szCs w:val="18"/>
              </w:rPr>
            </w:pPr>
          </w:p>
        </w:tc>
        <w:tc>
          <w:tcPr>
            <w:tcW w:w="473" w:type="dxa"/>
            <w:shd w:val="clear" w:color="auto" w:fill="auto"/>
          </w:tcPr>
          <w:p w14:paraId="308F894C" w14:textId="77777777" w:rsidR="00AF3581" w:rsidRPr="00506303" w:rsidRDefault="00AF3581" w:rsidP="0067543B">
            <w:pPr>
              <w:rPr>
                <w:sz w:val="18"/>
                <w:szCs w:val="18"/>
              </w:rPr>
            </w:pPr>
          </w:p>
        </w:tc>
        <w:tc>
          <w:tcPr>
            <w:tcW w:w="473" w:type="dxa"/>
            <w:shd w:val="clear" w:color="auto" w:fill="auto"/>
          </w:tcPr>
          <w:p w14:paraId="0D9302E7" w14:textId="77777777" w:rsidR="00AF3581" w:rsidRPr="00506303" w:rsidRDefault="00AF3581" w:rsidP="0067543B">
            <w:pPr>
              <w:rPr>
                <w:sz w:val="18"/>
                <w:szCs w:val="18"/>
              </w:rPr>
            </w:pPr>
          </w:p>
        </w:tc>
      </w:tr>
      <w:tr w:rsidR="00E071AC" w:rsidRPr="00506303" w14:paraId="09C09C4F" w14:textId="77777777" w:rsidTr="00E071AC">
        <w:tc>
          <w:tcPr>
            <w:tcW w:w="944" w:type="dxa"/>
            <w:shd w:val="clear" w:color="auto" w:fill="auto"/>
          </w:tcPr>
          <w:p w14:paraId="2F83DB83" w14:textId="77777777" w:rsidR="00AF3581" w:rsidRPr="00506303" w:rsidRDefault="00AF3581" w:rsidP="0067543B">
            <w:pPr>
              <w:rPr>
                <w:sz w:val="18"/>
                <w:szCs w:val="18"/>
              </w:rPr>
            </w:pPr>
            <w:r w:rsidRPr="00506303">
              <w:rPr>
                <w:sz w:val="18"/>
                <w:szCs w:val="18"/>
              </w:rPr>
              <w:t>1.1.5.4</w:t>
            </w:r>
          </w:p>
        </w:tc>
        <w:tc>
          <w:tcPr>
            <w:tcW w:w="3776" w:type="dxa"/>
            <w:shd w:val="clear" w:color="auto" w:fill="auto"/>
          </w:tcPr>
          <w:p w14:paraId="7089010F" w14:textId="77777777" w:rsidR="00AF3581" w:rsidRPr="00506303" w:rsidRDefault="00AF3581" w:rsidP="0067543B">
            <w:pPr>
              <w:rPr>
                <w:sz w:val="18"/>
                <w:szCs w:val="18"/>
              </w:rPr>
            </w:pPr>
            <w:r w:rsidRPr="00506303">
              <w:rPr>
                <w:sz w:val="18"/>
                <w:szCs w:val="18"/>
              </w:rPr>
              <w:t>Conduct in situ monitoring at enrichment planting sites and report on biodiversity benefits</w:t>
            </w:r>
          </w:p>
        </w:tc>
        <w:tc>
          <w:tcPr>
            <w:tcW w:w="472" w:type="dxa"/>
            <w:shd w:val="clear" w:color="auto" w:fill="auto"/>
          </w:tcPr>
          <w:p w14:paraId="52FA9FCC" w14:textId="77777777" w:rsidR="00AF3581" w:rsidRPr="00506303" w:rsidRDefault="00AF3581" w:rsidP="0067543B">
            <w:pPr>
              <w:rPr>
                <w:sz w:val="18"/>
                <w:szCs w:val="18"/>
              </w:rPr>
            </w:pPr>
          </w:p>
        </w:tc>
        <w:tc>
          <w:tcPr>
            <w:tcW w:w="472" w:type="dxa"/>
            <w:shd w:val="clear" w:color="auto" w:fill="auto"/>
          </w:tcPr>
          <w:p w14:paraId="73D13EFB" w14:textId="77777777" w:rsidR="00AF3581" w:rsidRPr="00506303" w:rsidRDefault="00AF3581" w:rsidP="0067543B">
            <w:pPr>
              <w:rPr>
                <w:sz w:val="18"/>
                <w:szCs w:val="18"/>
              </w:rPr>
            </w:pPr>
          </w:p>
        </w:tc>
        <w:tc>
          <w:tcPr>
            <w:tcW w:w="472" w:type="dxa"/>
            <w:shd w:val="clear" w:color="auto" w:fill="auto"/>
          </w:tcPr>
          <w:p w14:paraId="3D6A1646" w14:textId="77777777" w:rsidR="00AF3581" w:rsidRPr="00506303" w:rsidRDefault="00AF3581" w:rsidP="0067543B">
            <w:pPr>
              <w:rPr>
                <w:sz w:val="18"/>
                <w:szCs w:val="18"/>
              </w:rPr>
            </w:pPr>
          </w:p>
        </w:tc>
        <w:tc>
          <w:tcPr>
            <w:tcW w:w="472" w:type="dxa"/>
            <w:shd w:val="clear" w:color="auto" w:fill="auto"/>
          </w:tcPr>
          <w:p w14:paraId="29E55545" w14:textId="77777777" w:rsidR="00AF3581" w:rsidRPr="00506303" w:rsidRDefault="00AF3581" w:rsidP="0067543B">
            <w:pPr>
              <w:rPr>
                <w:sz w:val="18"/>
                <w:szCs w:val="18"/>
              </w:rPr>
            </w:pPr>
          </w:p>
        </w:tc>
        <w:tc>
          <w:tcPr>
            <w:tcW w:w="472" w:type="dxa"/>
            <w:shd w:val="clear" w:color="auto" w:fill="auto"/>
          </w:tcPr>
          <w:p w14:paraId="5E0509BD" w14:textId="77777777" w:rsidR="00AF3581" w:rsidRPr="00506303" w:rsidRDefault="00AF3581" w:rsidP="0067543B">
            <w:pPr>
              <w:rPr>
                <w:sz w:val="18"/>
                <w:szCs w:val="18"/>
              </w:rPr>
            </w:pPr>
          </w:p>
        </w:tc>
        <w:tc>
          <w:tcPr>
            <w:tcW w:w="472" w:type="dxa"/>
            <w:shd w:val="clear" w:color="auto" w:fill="auto"/>
          </w:tcPr>
          <w:p w14:paraId="0253710E" w14:textId="77777777" w:rsidR="00AF3581" w:rsidRPr="00506303" w:rsidRDefault="00AF3581" w:rsidP="0067543B">
            <w:pPr>
              <w:rPr>
                <w:sz w:val="18"/>
                <w:szCs w:val="18"/>
              </w:rPr>
            </w:pPr>
          </w:p>
        </w:tc>
        <w:tc>
          <w:tcPr>
            <w:tcW w:w="472" w:type="dxa"/>
            <w:shd w:val="clear" w:color="auto" w:fill="auto"/>
          </w:tcPr>
          <w:p w14:paraId="5624CDF2" w14:textId="77777777" w:rsidR="00AF3581" w:rsidRPr="00506303" w:rsidRDefault="00AF3581" w:rsidP="0067543B">
            <w:pPr>
              <w:rPr>
                <w:sz w:val="18"/>
                <w:szCs w:val="18"/>
              </w:rPr>
            </w:pPr>
          </w:p>
        </w:tc>
        <w:tc>
          <w:tcPr>
            <w:tcW w:w="472" w:type="dxa"/>
            <w:shd w:val="clear" w:color="auto" w:fill="auto"/>
          </w:tcPr>
          <w:p w14:paraId="5CFDAF08" w14:textId="77777777" w:rsidR="00AF3581" w:rsidRPr="00506303" w:rsidRDefault="00AF3581" w:rsidP="0067543B">
            <w:pPr>
              <w:rPr>
                <w:sz w:val="18"/>
                <w:szCs w:val="18"/>
              </w:rPr>
            </w:pPr>
          </w:p>
        </w:tc>
        <w:tc>
          <w:tcPr>
            <w:tcW w:w="472" w:type="dxa"/>
            <w:shd w:val="clear" w:color="auto" w:fill="D9D9D9"/>
          </w:tcPr>
          <w:p w14:paraId="0B30A8E4" w14:textId="77777777" w:rsidR="00AF3581" w:rsidRPr="00506303" w:rsidRDefault="00AF3581" w:rsidP="0067543B">
            <w:pPr>
              <w:rPr>
                <w:sz w:val="18"/>
                <w:szCs w:val="18"/>
              </w:rPr>
            </w:pPr>
          </w:p>
        </w:tc>
        <w:tc>
          <w:tcPr>
            <w:tcW w:w="472" w:type="dxa"/>
            <w:shd w:val="clear" w:color="auto" w:fill="D9D9D9"/>
          </w:tcPr>
          <w:p w14:paraId="64CBE447" w14:textId="77777777" w:rsidR="00AF3581" w:rsidRPr="00506303" w:rsidRDefault="00AF3581" w:rsidP="0067543B">
            <w:pPr>
              <w:rPr>
                <w:sz w:val="18"/>
                <w:szCs w:val="18"/>
              </w:rPr>
            </w:pPr>
          </w:p>
        </w:tc>
        <w:tc>
          <w:tcPr>
            <w:tcW w:w="473" w:type="dxa"/>
            <w:shd w:val="clear" w:color="auto" w:fill="D9D9D9"/>
          </w:tcPr>
          <w:p w14:paraId="7D01737F" w14:textId="77777777" w:rsidR="00AF3581" w:rsidRPr="00506303" w:rsidRDefault="00AF3581" w:rsidP="0067543B">
            <w:pPr>
              <w:rPr>
                <w:sz w:val="18"/>
                <w:szCs w:val="18"/>
              </w:rPr>
            </w:pPr>
          </w:p>
        </w:tc>
        <w:tc>
          <w:tcPr>
            <w:tcW w:w="473" w:type="dxa"/>
            <w:shd w:val="clear" w:color="auto" w:fill="D9D9D9"/>
          </w:tcPr>
          <w:p w14:paraId="3BB8CB12" w14:textId="77777777" w:rsidR="00AF3581" w:rsidRPr="00506303" w:rsidRDefault="00AF3581" w:rsidP="0067543B">
            <w:pPr>
              <w:rPr>
                <w:sz w:val="18"/>
                <w:szCs w:val="18"/>
              </w:rPr>
            </w:pPr>
          </w:p>
        </w:tc>
        <w:tc>
          <w:tcPr>
            <w:tcW w:w="473" w:type="dxa"/>
            <w:shd w:val="clear" w:color="auto" w:fill="D9D9D9"/>
          </w:tcPr>
          <w:p w14:paraId="3B5335CD" w14:textId="77777777" w:rsidR="00AF3581" w:rsidRPr="00506303" w:rsidRDefault="00AF3581" w:rsidP="0067543B">
            <w:pPr>
              <w:rPr>
                <w:sz w:val="18"/>
                <w:szCs w:val="18"/>
              </w:rPr>
            </w:pPr>
          </w:p>
        </w:tc>
        <w:tc>
          <w:tcPr>
            <w:tcW w:w="473" w:type="dxa"/>
            <w:shd w:val="clear" w:color="auto" w:fill="D9D9D9"/>
          </w:tcPr>
          <w:p w14:paraId="0243BF29" w14:textId="77777777" w:rsidR="00AF3581" w:rsidRPr="00506303" w:rsidRDefault="00AF3581" w:rsidP="0067543B">
            <w:pPr>
              <w:rPr>
                <w:sz w:val="18"/>
                <w:szCs w:val="18"/>
              </w:rPr>
            </w:pPr>
          </w:p>
        </w:tc>
        <w:tc>
          <w:tcPr>
            <w:tcW w:w="473" w:type="dxa"/>
            <w:shd w:val="clear" w:color="auto" w:fill="D9D9D9"/>
          </w:tcPr>
          <w:p w14:paraId="7C093885" w14:textId="77777777" w:rsidR="00AF3581" w:rsidRPr="00506303" w:rsidRDefault="00AF3581" w:rsidP="0067543B">
            <w:pPr>
              <w:rPr>
                <w:sz w:val="18"/>
                <w:szCs w:val="18"/>
              </w:rPr>
            </w:pPr>
          </w:p>
        </w:tc>
        <w:tc>
          <w:tcPr>
            <w:tcW w:w="473" w:type="dxa"/>
            <w:shd w:val="clear" w:color="auto" w:fill="D9D9D9"/>
          </w:tcPr>
          <w:p w14:paraId="08CA421B" w14:textId="77777777" w:rsidR="00AF3581" w:rsidRPr="00506303" w:rsidRDefault="00AF3581" w:rsidP="0067543B">
            <w:pPr>
              <w:rPr>
                <w:sz w:val="18"/>
                <w:szCs w:val="18"/>
              </w:rPr>
            </w:pPr>
          </w:p>
        </w:tc>
        <w:tc>
          <w:tcPr>
            <w:tcW w:w="473" w:type="dxa"/>
            <w:shd w:val="clear" w:color="auto" w:fill="D9D9D9"/>
          </w:tcPr>
          <w:p w14:paraId="5256ACB2" w14:textId="77777777" w:rsidR="00AF3581" w:rsidRPr="00506303" w:rsidRDefault="00AF3581" w:rsidP="0067543B">
            <w:pPr>
              <w:rPr>
                <w:sz w:val="18"/>
                <w:szCs w:val="18"/>
              </w:rPr>
            </w:pPr>
          </w:p>
        </w:tc>
        <w:tc>
          <w:tcPr>
            <w:tcW w:w="473" w:type="dxa"/>
            <w:shd w:val="clear" w:color="auto" w:fill="D9D9D9"/>
          </w:tcPr>
          <w:p w14:paraId="622C0CEB" w14:textId="77777777" w:rsidR="00AF3581" w:rsidRPr="00506303" w:rsidRDefault="00AF3581" w:rsidP="0067543B">
            <w:pPr>
              <w:rPr>
                <w:sz w:val="18"/>
                <w:szCs w:val="18"/>
              </w:rPr>
            </w:pPr>
          </w:p>
        </w:tc>
        <w:tc>
          <w:tcPr>
            <w:tcW w:w="473" w:type="dxa"/>
            <w:shd w:val="clear" w:color="auto" w:fill="D9D9D9"/>
          </w:tcPr>
          <w:p w14:paraId="4EF86E8F" w14:textId="77777777" w:rsidR="00AF3581" w:rsidRPr="00506303" w:rsidRDefault="00AF3581" w:rsidP="0067543B">
            <w:pPr>
              <w:rPr>
                <w:sz w:val="18"/>
                <w:szCs w:val="18"/>
              </w:rPr>
            </w:pPr>
          </w:p>
        </w:tc>
        <w:tc>
          <w:tcPr>
            <w:tcW w:w="473" w:type="dxa"/>
            <w:shd w:val="clear" w:color="auto" w:fill="D9D9D9"/>
          </w:tcPr>
          <w:p w14:paraId="2BB63FF6" w14:textId="77777777" w:rsidR="00AF3581" w:rsidRPr="00506303" w:rsidRDefault="00AF3581" w:rsidP="0067543B">
            <w:pPr>
              <w:rPr>
                <w:sz w:val="18"/>
                <w:szCs w:val="18"/>
              </w:rPr>
            </w:pPr>
          </w:p>
        </w:tc>
      </w:tr>
      <w:tr w:rsidR="00AF3581" w:rsidRPr="00506303" w14:paraId="71716C4F" w14:textId="77777777" w:rsidTr="00506303">
        <w:tc>
          <w:tcPr>
            <w:tcW w:w="944" w:type="dxa"/>
            <w:shd w:val="clear" w:color="auto" w:fill="D9D9D9"/>
          </w:tcPr>
          <w:p w14:paraId="3D39314E" w14:textId="77777777" w:rsidR="00AF3581" w:rsidRPr="00506303" w:rsidRDefault="00AF3581" w:rsidP="0067543B">
            <w:pPr>
              <w:rPr>
                <w:b/>
                <w:sz w:val="18"/>
                <w:szCs w:val="18"/>
              </w:rPr>
            </w:pPr>
            <w:r w:rsidRPr="00506303">
              <w:rPr>
                <w:b/>
                <w:sz w:val="18"/>
                <w:szCs w:val="18"/>
              </w:rPr>
              <w:t>1.2</w:t>
            </w:r>
          </w:p>
        </w:tc>
        <w:tc>
          <w:tcPr>
            <w:tcW w:w="13226" w:type="dxa"/>
            <w:gridSpan w:val="21"/>
            <w:shd w:val="clear" w:color="auto" w:fill="D9D9D9"/>
          </w:tcPr>
          <w:p w14:paraId="5625566D" w14:textId="77777777" w:rsidR="00AF3581" w:rsidRPr="00506303" w:rsidRDefault="00AF3581" w:rsidP="0067543B">
            <w:pPr>
              <w:rPr>
                <w:b/>
                <w:sz w:val="18"/>
                <w:szCs w:val="18"/>
              </w:rPr>
            </w:pPr>
            <w:r w:rsidRPr="00506303">
              <w:rPr>
                <w:b/>
                <w:sz w:val="18"/>
                <w:szCs w:val="18"/>
              </w:rPr>
              <w:t>153,000 ha of coral reef at 82 priority sites managed sustainably by Yr 5, including a reduction in the decadal rate of degradation in live coral cover from 16 to 5%</w:t>
            </w:r>
          </w:p>
        </w:tc>
      </w:tr>
      <w:tr w:rsidR="00AF3581" w:rsidRPr="00506303" w14:paraId="6CBE0B9D" w14:textId="77777777" w:rsidTr="00506303">
        <w:tc>
          <w:tcPr>
            <w:tcW w:w="944" w:type="dxa"/>
            <w:shd w:val="clear" w:color="auto" w:fill="F2F2F2"/>
          </w:tcPr>
          <w:p w14:paraId="2755154D" w14:textId="77777777" w:rsidR="00AF3581" w:rsidRPr="00506303" w:rsidRDefault="00AF3581" w:rsidP="0067543B">
            <w:pPr>
              <w:rPr>
                <w:b/>
                <w:sz w:val="18"/>
                <w:szCs w:val="18"/>
              </w:rPr>
            </w:pPr>
            <w:r w:rsidRPr="00506303">
              <w:rPr>
                <w:b/>
                <w:sz w:val="18"/>
                <w:szCs w:val="18"/>
              </w:rPr>
              <w:t>1.2.1</w:t>
            </w:r>
          </w:p>
        </w:tc>
        <w:tc>
          <w:tcPr>
            <w:tcW w:w="13226" w:type="dxa"/>
            <w:gridSpan w:val="21"/>
            <w:shd w:val="clear" w:color="auto" w:fill="F2F2F2"/>
          </w:tcPr>
          <w:p w14:paraId="061EF588" w14:textId="77777777" w:rsidR="00AF3581" w:rsidRPr="00506303" w:rsidRDefault="00AF3581" w:rsidP="0067543B">
            <w:pPr>
              <w:rPr>
                <w:b/>
                <w:sz w:val="18"/>
                <w:szCs w:val="18"/>
              </w:rPr>
            </w:pPr>
            <w:r w:rsidRPr="00506303">
              <w:rPr>
                <w:b/>
                <w:sz w:val="18"/>
                <w:szCs w:val="18"/>
              </w:rPr>
              <w:t>Management capacity built for 82 coral reef sites</w:t>
            </w:r>
          </w:p>
        </w:tc>
      </w:tr>
      <w:tr w:rsidR="00AF3581" w:rsidRPr="00506303" w14:paraId="07858443" w14:textId="77777777" w:rsidTr="00E071AC">
        <w:tc>
          <w:tcPr>
            <w:tcW w:w="944" w:type="dxa"/>
            <w:shd w:val="clear" w:color="auto" w:fill="auto"/>
          </w:tcPr>
          <w:p w14:paraId="51D0827E" w14:textId="77777777" w:rsidR="00AF3581" w:rsidRPr="00506303" w:rsidRDefault="00AF3581" w:rsidP="0067543B">
            <w:pPr>
              <w:rPr>
                <w:sz w:val="18"/>
                <w:szCs w:val="18"/>
              </w:rPr>
            </w:pPr>
            <w:r w:rsidRPr="00506303">
              <w:rPr>
                <w:sz w:val="18"/>
                <w:szCs w:val="18"/>
              </w:rPr>
              <w:t>1.2.1.1</w:t>
            </w:r>
          </w:p>
        </w:tc>
        <w:tc>
          <w:tcPr>
            <w:tcW w:w="3776" w:type="dxa"/>
            <w:shd w:val="clear" w:color="auto" w:fill="auto"/>
          </w:tcPr>
          <w:p w14:paraId="472AEA60" w14:textId="77777777" w:rsidR="00AF3581" w:rsidRPr="00506303" w:rsidRDefault="00AF3581" w:rsidP="0067543B">
            <w:pPr>
              <w:rPr>
                <w:sz w:val="18"/>
                <w:szCs w:val="18"/>
              </w:rPr>
            </w:pPr>
            <w:r w:rsidRPr="00506303">
              <w:rPr>
                <w:sz w:val="18"/>
                <w:szCs w:val="18"/>
              </w:rPr>
              <w:t>Engage consortium of international recognized educational institutes to deliver a cost-effective post-graduate training course on coral reef mgmt</w:t>
            </w:r>
          </w:p>
        </w:tc>
        <w:tc>
          <w:tcPr>
            <w:tcW w:w="472" w:type="dxa"/>
            <w:shd w:val="clear" w:color="auto" w:fill="D9D9D9"/>
          </w:tcPr>
          <w:p w14:paraId="546E2D1B" w14:textId="77777777" w:rsidR="00AF3581" w:rsidRPr="00506303" w:rsidRDefault="00AF3581" w:rsidP="0067543B">
            <w:pPr>
              <w:rPr>
                <w:sz w:val="18"/>
                <w:szCs w:val="18"/>
              </w:rPr>
            </w:pPr>
          </w:p>
        </w:tc>
        <w:tc>
          <w:tcPr>
            <w:tcW w:w="472" w:type="dxa"/>
            <w:shd w:val="clear" w:color="auto" w:fill="D9D9D9"/>
          </w:tcPr>
          <w:p w14:paraId="21C5428C" w14:textId="77777777" w:rsidR="00AF3581" w:rsidRPr="00506303" w:rsidRDefault="00AF3581" w:rsidP="0067543B">
            <w:pPr>
              <w:rPr>
                <w:sz w:val="18"/>
                <w:szCs w:val="18"/>
              </w:rPr>
            </w:pPr>
          </w:p>
        </w:tc>
        <w:tc>
          <w:tcPr>
            <w:tcW w:w="472" w:type="dxa"/>
            <w:shd w:val="clear" w:color="auto" w:fill="D9D9D9"/>
          </w:tcPr>
          <w:p w14:paraId="2796B141" w14:textId="77777777" w:rsidR="00AF3581" w:rsidRPr="00506303" w:rsidRDefault="00AF3581" w:rsidP="0067543B">
            <w:pPr>
              <w:rPr>
                <w:sz w:val="18"/>
                <w:szCs w:val="18"/>
              </w:rPr>
            </w:pPr>
          </w:p>
        </w:tc>
        <w:tc>
          <w:tcPr>
            <w:tcW w:w="472" w:type="dxa"/>
            <w:shd w:val="clear" w:color="auto" w:fill="D9D9D9"/>
          </w:tcPr>
          <w:p w14:paraId="5B1ACD86" w14:textId="77777777" w:rsidR="00AF3581" w:rsidRPr="00506303" w:rsidRDefault="00AF3581" w:rsidP="0067543B">
            <w:pPr>
              <w:rPr>
                <w:sz w:val="18"/>
                <w:szCs w:val="18"/>
              </w:rPr>
            </w:pPr>
          </w:p>
        </w:tc>
        <w:tc>
          <w:tcPr>
            <w:tcW w:w="472" w:type="dxa"/>
            <w:shd w:val="clear" w:color="auto" w:fill="auto"/>
          </w:tcPr>
          <w:p w14:paraId="2E4B6F63" w14:textId="77777777" w:rsidR="00AF3581" w:rsidRPr="00506303" w:rsidRDefault="00AF3581" w:rsidP="0067543B">
            <w:pPr>
              <w:rPr>
                <w:sz w:val="18"/>
                <w:szCs w:val="18"/>
              </w:rPr>
            </w:pPr>
          </w:p>
        </w:tc>
        <w:tc>
          <w:tcPr>
            <w:tcW w:w="472" w:type="dxa"/>
            <w:shd w:val="clear" w:color="auto" w:fill="auto"/>
          </w:tcPr>
          <w:p w14:paraId="1EFCFD69" w14:textId="77777777" w:rsidR="00AF3581" w:rsidRPr="00506303" w:rsidRDefault="00AF3581" w:rsidP="0067543B">
            <w:pPr>
              <w:rPr>
                <w:sz w:val="18"/>
                <w:szCs w:val="18"/>
              </w:rPr>
            </w:pPr>
          </w:p>
        </w:tc>
        <w:tc>
          <w:tcPr>
            <w:tcW w:w="472" w:type="dxa"/>
            <w:shd w:val="clear" w:color="auto" w:fill="auto"/>
          </w:tcPr>
          <w:p w14:paraId="6A9273D1" w14:textId="77777777" w:rsidR="00AF3581" w:rsidRPr="00506303" w:rsidRDefault="00AF3581" w:rsidP="0067543B">
            <w:pPr>
              <w:rPr>
                <w:sz w:val="18"/>
                <w:szCs w:val="18"/>
              </w:rPr>
            </w:pPr>
          </w:p>
        </w:tc>
        <w:tc>
          <w:tcPr>
            <w:tcW w:w="472" w:type="dxa"/>
            <w:shd w:val="clear" w:color="auto" w:fill="auto"/>
          </w:tcPr>
          <w:p w14:paraId="0F720E7E" w14:textId="77777777" w:rsidR="00AF3581" w:rsidRPr="00506303" w:rsidRDefault="00AF3581" w:rsidP="0067543B">
            <w:pPr>
              <w:rPr>
                <w:sz w:val="18"/>
                <w:szCs w:val="18"/>
              </w:rPr>
            </w:pPr>
          </w:p>
        </w:tc>
        <w:tc>
          <w:tcPr>
            <w:tcW w:w="472" w:type="dxa"/>
            <w:shd w:val="clear" w:color="auto" w:fill="auto"/>
          </w:tcPr>
          <w:p w14:paraId="25A2AB07" w14:textId="77777777" w:rsidR="00AF3581" w:rsidRPr="00506303" w:rsidRDefault="00AF3581" w:rsidP="0067543B">
            <w:pPr>
              <w:rPr>
                <w:sz w:val="18"/>
                <w:szCs w:val="18"/>
              </w:rPr>
            </w:pPr>
          </w:p>
        </w:tc>
        <w:tc>
          <w:tcPr>
            <w:tcW w:w="472" w:type="dxa"/>
            <w:shd w:val="clear" w:color="auto" w:fill="auto"/>
          </w:tcPr>
          <w:p w14:paraId="6C87E84F" w14:textId="77777777" w:rsidR="00AF3581" w:rsidRPr="00506303" w:rsidRDefault="00AF3581" w:rsidP="0067543B">
            <w:pPr>
              <w:rPr>
                <w:sz w:val="18"/>
                <w:szCs w:val="18"/>
              </w:rPr>
            </w:pPr>
          </w:p>
        </w:tc>
        <w:tc>
          <w:tcPr>
            <w:tcW w:w="473" w:type="dxa"/>
            <w:shd w:val="clear" w:color="auto" w:fill="auto"/>
          </w:tcPr>
          <w:p w14:paraId="34E80474" w14:textId="77777777" w:rsidR="00AF3581" w:rsidRPr="00506303" w:rsidRDefault="00AF3581" w:rsidP="0067543B">
            <w:pPr>
              <w:rPr>
                <w:sz w:val="18"/>
                <w:szCs w:val="18"/>
              </w:rPr>
            </w:pPr>
          </w:p>
        </w:tc>
        <w:tc>
          <w:tcPr>
            <w:tcW w:w="473" w:type="dxa"/>
            <w:shd w:val="clear" w:color="auto" w:fill="auto"/>
          </w:tcPr>
          <w:p w14:paraId="43FFA364" w14:textId="77777777" w:rsidR="00AF3581" w:rsidRPr="00506303" w:rsidRDefault="00AF3581" w:rsidP="0067543B">
            <w:pPr>
              <w:rPr>
                <w:sz w:val="18"/>
                <w:szCs w:val="18"/>
              </w:rPr>
            </w:pPr>
          </w:p>
        </w:tc>
        <w:tc>
          <w:tcPr>
            <w:tcW w:w="473" w:type="dxa"/>
            <w:shd w:val="clear" w:color="auto" w:fill="auto"/>
          </w:tcPr>
          <w:p w14:paraId="412C1795" w14:textId="77777777" w:rsidR="00AF3581" w:rsidRPr="00506303" w:rsidRDefault="00AF3581" w:rsidP="0067543B">
            <w:pPr>
              <w:rPr>
                <w:sz w:val="18"/>
                <w:szCs w:val="18"/>
              </w:rPr>
            </w:pPr>
          </w:p>
        </w:tc>
        <w:tc>
          <w:tcPr>
            <w:tcW w:w="473" w:type="dxa"/>
            <w:shd w:val="clear" w:color="auto" w:fill="auto"/>
          </w:tcPr>
          <w:p w14:paraId="53918A51" w14:textId="77777777" w:rsidR="00AF3581" w:rsidRPr="00506303" w:rsidRDefault="00AF3581" w:rsidP="0067543B">
            <w:pPr>
              <w:rPr>
                <w:sz w:val="18"/>
                <w:szCs w:val="18"/>
              </w:rPr>
            </w:pPr>
          </w:p>
        </w:tc>
        <w:tc>
          <w:tcPr>
            <w:tcW w:w="473" w:type="dxa"/>
            <w:shd w:val="clear" w:color="auto" w:fill="auto"/>
          </w:tcPr>
          <w:p w14:paraId="11742171" w14:textId="77777777" w:rsidR="00AF3581" w:rsidRPr="00506303" w:rsidRDefault="00AF3581" w:rsidP="0067543B">
            <w:pPr>
              <w:rPr>
                <w:sz w:val="18"/>
                <w:szCs w:val="18"/>
              </w:rPr>
            </w:pPr>
          </w:p>
        </w:tc>
        <w:tc>
          <w:tcPr>
            <w:tcW w:w="473" w:type="dxa"/>
            <w:shd w:val="clear" w:color="auto" w:fill="auto"/>
          </w:tcPr>
          <w:p w14:paraId="2F33A1A0" w14:textId="77777777" w:rsidR="00AF3581" w:rsidRPr="00506303" w:rsidRDefault="00AF3581" w:rsidP="0067543B">
            <w:pPr>
              <w:rPr>
                <w:sz w:val="18"/>
                <w:szCs w:val="18"/>
              </w:rPr>
            </w:pPr>
          </w:p>
        </w:tc>
        <w:tc>
          <w:tcPr>
            <w:tcW w:w="473" w:type="dxa"/>
            <w:shd w:val="clear" w:color="auto" w:fill="auto"/>
          </w:tcPr>
          <w:p w14:paraId="6ACC4C17" w14:textId="77777777" w:rsidR="00AF3581" w:rsidRPr="00506303" w:rsidRDefault="00AF3581" w:rsidP="0067543B">
            <w:pPr>
              <w:rPr>
                <w:sz w:val="18"/>
                <w:szCs w:val="18"/>
              </w:rPr>
            </w:pPr>
          </w:p>
        </w:tc>
        <w:tc>
          <w:tcPr>
            <w:tcW w:w="473" w:type="dxa"/>
            <w:shd w:val="clear" w:color="auto" w:fill="auto"/>
          </w:tcPr>
          <w:p w14:paraId="3A900DCF" w14:textId="77777777" w:rsidR="00AF3581" w:rsidRPr="00506303" w:rsidRDefault="00AF3581" w:rsidP="0067543B">
            <w:pPr>
              <w:rPr>
                <w:sz w:val="18"/>
                <w:szCs w:val="18"/>
              </w:rPr>
            </w:pPr>
          </w:p>
        </w:tc>
        <w:tc>
          <w:tcPr>
            <w:tcW w:w="473" w:type="dxa"/>
            <w:shd w:val="clear" w:color="auto" w:fill="auto"/>
          </w:tcPr>
          <w:p w14:paraId="436E96FD" w14:textId="77777777" w:rsidR="00AF3581" w:rsidRPr="00506303" w:rsidRDefault="00AF3581" w:rsidP="0067543B">
            <w:pPr>
              <w:rPr>
                <w:sz w:val="18"/>
                <w:szCs w:val="18"/>
              </w:rPr>
            </w:pPr>
          </w:p>
        </w:tc>
        <w:tc>
          <w:tcPr>
            <w:tcW w:w="473" w:type="dxa"/>
            <w:shd w:val="clear" w:color="auto" w:fill="auto"/>
          </w:tcPr>
          <w:p w14:paraId="04A34B1F" w14:textId="77777777" w:rsidR="00AF3581" w:rsidRPr="00506303" w:rsidRDefault="00AF3581" w:rsidP="0067543B">
            <w:pPr>
              <w:rPr>
                <w:sz w:val="18"/>
                <w:szCs w:val="18"/>
              </w:rPr>
            </w:pPr>
          </w:p>
        </w:tc>
      </w:tr>
      <w:tr w:rsidR="00AF3581" w:rsidRPr="00506303" w14:paraId="45A7192F" w14:textId="77777777" w:rsidTr="00E071AC">
        <w:tc>
          <w:tcPr>
            <w:tcW w:w="944" w:type="dxa"/>
            <w:shd w:val="clear" w:color="auto" w:fill="auto"/>
          </w:tcPr>
          <w:p w14:paraId="282FA0F5" w14:textId="77777777" w:rsidR="00AF3581" w:rsidRPr="00506303" w:rsidRDefault="00AF3581" w:rsidP="0067543B">
            <w:pPr>
              <w:rPr>
                <w:sz w:val="18"/>
                <w:szCs w:val="18"/>
              </w:rPr>
            </w:pPr>
            <w:r w:rsidRPr="00506303">
              <w:rPr>
                <w:sz w:val="18"/>
                <w:szCs w:val="18"/>
              </w:rPr>
              <w:t>1.2.1.2</w:t>
            </w:r>
          </w:p>
        </w:tc>
        <w:tc>
          <w:tcPr>
            <w:tcW w:w="3776" w:type="dxa"/>
            <w:shd w:val="clear" w:color="auto" w:fill="auto"/>
          </w:tcPr>
          <w:p w14:paraId="463EADB2" w14:textId="77777777" w:rsidR="00AF3581" w:rsidRPr="00506303" w:rsidRDefault="00AF3581" w:rsidP="0067543B">
            <w:pPr>
              <w:rPr>
                <w:sz w:val="18"/>
                <w:szCs w:val="18"/>
              </w:rPr>
            </w:pPr>
            <w:r w:rsidRPr="00506303">
              <w:rPr>
                <w:sz w:val="18"/>
                <w:szCs w:val="18"/>
              </w:rPr>
              <w:t>Develop an agreed curricula and regional appropriate training materials and strategies</w:t>
            </w:r>
          </w:p>
        </w:tc>
        <w:tc>
          <w:tcPr>
            <w:tcW w:w="472" w:type="dxa"/>
            <w:shd w:val="clear" w:color="auto" w:fill="auto"/>
          </w:tcPr>
          <w:p w14:paraId="6D9A6592" w14:textId="77777777" w:rsidR="00AF3581" w:rsidRPr="00506303" w:rsidRDefault="00AF3581" w:rsidP="0067543B">
            <w:pPr>
              <w:rPr>
                <w:sz w:val="18"/>
                <w:szCs w:val="18"/>
              </w:rPr>
            </w:pPr>
          </w:p>
        </w:tc>
        <w:tc>
          <w:tcPr>
            <w:tcW w:w="472" w:type="dxa"/>
            <w:shd w:val="clear" w:color="auto" w:fill="auto"/>
          </w:tcPr>
          <w:p w14:paraId="57377F0F" w14:textId="77777777" w:rsidR="00AF3581" w:rsidRPr="00506303" w:rsidRDefault="00AF3581" w:rsidP="0067543B">
            <w:pPr>
              <w:rPr>
                <w:sz w:val="18"/>
                <w:szCs w:val="18"/>
              </w:rPr>
            </w:pPr>
          </w:p>
        </w:tc>
        <w:tc>
          <w:tcPr>
            <w:tcW w:w="472" w:type="dxa"/>
            <w:shd w:val="clear" w:color="auto" w:fill="D9D9D9"/>
          </w:tcPr>
          <w:p w14:paraId="07124762" w14:textId="77777777" w:rsidR="00AF3581" w:rsidRPr="00506303" w:rsidRDefault="00AF3581" w:rsidP="0067543B">
            <w:pPr>
              <w:rPr>
                <w:sz w:val="18"/>
                <w:szCs w:val="18"/>
              </w:rPr>
            </w:pPr>
          </w:p>
        </w:tc>
        <w:tc>
          <w:tcPr>
            <w:tcW w:w="472" w:type="dxa"/>
            <w:shd w:val="clear" w:color="auto" w:fill="D9D9D9"/>
          </w:tcPr>
          <w:p w14:paraId="6349216A" w14:textId="77777777" w:rsidR="00AF3581" w:rsidRPr="00506303" w:rsidRDefault="00AF3581" w:rsidP="0067543B">
            <w:pPr>
              <w:rPr>
                <w:sz w:val="18"/>
                <w:szCs w:val="18"/>
              </w:rPr>
            </w:pPr>
          </w:p>
        </w:tc>
        <w:tc>
          <w:tcPr>
            <w:tcW w:w="472" w:type="dxa"/>
            <w:shd w:val="clear" w:color="auto" w:fill="D9D9D9"/>
          </w:tcPr>
          <w:p w14:paraId="0793BCCC" w14:textId="77777777" w:rsidR="00AF3581" w:rsidRPr="00506303" w:rsidRDefault="00AF3581" w:rsidP="0067543B">
            <w:pPr>
              <w:rPr>
                <w:sz w:val="18"/>
                <w:szCs w:val="18"/>
              </w:rPr>
            </w:pPr>
          </w:p>
        </w:tc>
        <w:tc>
          <w:tcPr>
            <w:tcW w:w="472" w:type="dxa"/>
            <w:shd w:val="clear" w:color="auto" w:fill="D9D9D9"/>
          </w:tcPr>
          <w:p w14:paraId="49BE970E" w14:textId="77777777" w:rsidR="00AF3581" w:rsidRPr="00506303" w:rsidRDefault="00AF3581" w:rsidP="0067543B">
            <w:pPr>
              <w:rPr>
                <w:sz w:val="18"/>
                <w:szCs w:val="18"/>
              </w:rPr>
            </w:pPr>
          </w:p>
        </w:tc>
        <w:tc>
          <w:tcPr>
            <w:tcW w:w="472" w:type="dxa"/>
            <w:shd w:val="clear" w:color="auto" w:fill="D9D9D9"/>
          </w:tcPr>
          <w:p w14:paraId="2FB5CFB9" w14:textId="77777777" w:rsidR="00AF3581" w:rsidRPr="00506303" w:rsidRDefault="00AF3581" w:rsidP="0067543B">
            <w:pPr>
              <w:rPr>
                <w:sz w:val="18"/>
                <w:szCs w:val="18"/>
              </w:rPr>
            </w:pPr>
          </w:p>
        </w:tc>
        <w:tc>
          <w:tcPr>
            <w:tcW w:w="472" w:type="dxa"/>
            <w:shd w:val="clear" w:color="auto" w:fill="D9D9D9"/>
          </w:tcPr>
          <w:p w14:paraId="6CEECBAA" w14:textId="77777777" w:rsidR="00AF3581" w:rsidRPr="00506303" w:rsidRDefault="00AF3581" w:rsidP="0067543B">
            <w:pPr>
              <w:rPr>
                <w:sz w:val="18"/>
                <w:szCs w:val="18"/>
              </w:rPr>
            </w:pPr>
          </w:p>
        </w:tc>
        <w:tc>
          <w:tcPr>
            <w:tcW w:w="472" w:type="dxa"/>
            <w:shd w:val="clear" w:color="auto" w:fill="auto"/>
          </w:tcPr>
          <w:p w14:paraId="20082256" w14:textId="77777777" w:rsidR="00AF3581" w:rsidRPr="00506303" w:rsidRDefault="00AF3581" w:rsidP="0067543B">
            <w:pPr>
              <w:rPr>
                <w:sz w:val="18"/>
                <w:szCs w:val="18"/>
              </w:rPr>
            </w:pPr>
          </w:p>
        </w:tc>
        <w:tc>
          <w:tcPr>
            <w:tcW w:w="472" w:type="dxa"/>
            <w:shd w:val="clear" w:color="auto" w:fill="auto"/>
          </w:tcPr>
          <w:p w14:paraId="7319EE2B" w14:textId="77777777" w:rsidR="00AF3581" w:rsidRPr="00506303" w:rsidRDefault="00AF3581" w:rsidP="0067543B">
            <w:pPr>
              <w:rPr>
                <w:sz w:val="18"/>
                <w:szCs w:val="18"/>
              </w:rPr>
            </w:pPr>
          </w:p>
        </w:tc>
        <w:tc>
          <w:tcPr>
            <w:tcW w:w="473" w:type="dxa"/>
            <w:shd w:val="clear" w:color="auto" w:fill="auto"/>
          </w:tcPr>
          <w:p w14:paraId="44D2D8EA" w14:textId="77777777" w:rsidR="00AF3581" w:rsidRPr="00506303" w:rsidRDefault="00AF3581" w:rsidP="0067543B">
            <w:pPr>
              <w:rPr>
                <w:sz w:val="18"/>
                <w:szCs w:val="18"/>
              </w:rPr>
            </w:pPr>
          </w:p>
        </w:tc>
        <w:tc>
          <w:tcPr>
            <w:tcW w:w="473" w:type="dxa"/>
            <w:shd w:val="clear" w:color="auto" w:fill="auto"/>
          </w:tcPr>
          <w:p w14:paraId="67D8550F" w14:textId="77777777" w:rsidR="00AF3581" w:rsidRPr="00506303" w:rsidRDefault="00AF3581" w:rsidP="0067543B">
            <w:pPr>
              <w:rPr>
                <w:sz w:val="18"/>
                <w:szCs w:val="18"/>
              </w:rPr>
            </w:pPr>
          </w:p>
        </w:tc>
        <w:tc>
          <w:tcPr>
            <w:tcW w:w="473" w:type="dxa"/>
            <w:shd w:val="clear" w:color="auto" w:fill="auto"/>
          </w:tcPr>
          <w:p w14:paraId="7144084C" w14:textId="77777777" w:rsidR="00AF3581" w:rsidRPr="00506303" w:rsidRDefault="00AF3581" w:rsidP="0067543B">
            <w:pPr>
              <w:rPr>
                <w:sz w:val="18"/>
                <w:szCs w:val="18"/>
              </w:rPr>
            </w:pPr>
          </w:p>
        </w:tc>
        <w:tc>
          <w:tcPr>
            <w:tcW w:w="473" w:type="dxa"/>
            <w:shd w:val="clear" w:color="auto" w:fill="auto"/>
          </w:tcPr>
          <w:p w14:paraId="59FF425F" w14:textId="77777777" w:rsidR="00AF3581" w:rsidRPr="00506303" w:rsidRDefault="00AF3581" w:rsidP="0067543B">
            <w:pPr>
              <w:rPr>
                <w:sz w:val="18"/>
                <w:szCs w:val="18"/>
              </w:rPr>
            </w:pPr>
          </w:p>
        </w:tc>
        <w:tc>
          <w:tcPr>
            <w:tcW w:w="473" w:type="dxa"/>
            <w:shd w:val="clear" w:color="auto" w:fill="auto"/>
          </w:tcPr>
          <w:p w14:paraId="30A20C9B" w14:textId="77777777" w:rsidR="00AF3581" w:rsidRPr="00506303" w:rsidRDefault="00AF3581" w:rsidP="0067543B">
            <w:pPr>
              <w:rPr>
                <w:sz w:val="18"/>
                <w:szCs w:val="18"/>
              </w:rPr>
            </w:pPr>
          </w:p>
        </w:tc>
        <w:tc>
          <w:tcPr>
            <w:tcW w:w="473" w:type="dxa"/>
            <w:shd w:val="clear" w:color="auto" w:fill="auto"/>
          </w:tcPr>
          <w:p w14:paraId="53CA64D5" w14:textId="77777777" w:rsidR="00AF3581" w:rsidRPr="00506303" w:rsidRDefault="00AF3581" w:rsidP="0067543B">
            <w:pPr>
              <w:rPr>
                <w:sz w:val="18"/>
                <w:szCs w:val="18"/>
              </w:rPr>
            </w:pPr>
          </w:p>
        </w:tc>
        <w:tc>
          <w:tcPr>
            <w:tcW w:w="473" w:type="dxa"/>
            <w:shd w:val="clear" w:color="auto" w:fill="auto"/>
          </w:tcPr>
          <w:p w14:paraId="168B2702" w14:textId="77777777" w:rsidR="00AF3581" w:rsidRPr="00506303" w:rsidRDefault="00AF3581" w:rsidP="0067543B">
            <w:pPr>
              <w:rPr>
                <w:sz w:val="18"/>
                <w:szCs w:val="18"/>
              </w:rPr>
            </w:pPr>
          </w:p>
        </w:tc>
        <w:tc>
          <w:tcPr>
            <w:tcW w:w="473" w:type="dxa"/>
            <w:shd w:val="clear" w:color="auto" w:fill="auto"/>
          </w:tcPr>
          <w:p w14:paraId="73643338" w14:textId="77777777" w:rsidR="00AF3581" w:rsidRPr="00506303" w:rsidRDefault="00AF3581" w:rsidP="0067543B">
            <w:pPr>
              <w:rPr>
                <w:sz w:val="18"/>
                <w:szCs w:val="18"/>
              </w:rPr>
            </w:pPr>
          </w:p>
        </w:tc>
        <w:tc>
          <w:tcPr>
            <w:tcW w:w="473" w:type="dxa"/>
            <w:shd w:val="clear" w:color="auto" w:fill="auto"/>
          </w:tcPr>
          <w:p w14:paraId="660DCDB9" w14:textId="77777777" w:rsidR="00AF3581" w:rsidRPr="00506303" w:rsidRDefault="00AF3581" w:rsidP="0067543B">
            <w:pPr>
              <w:rPr>
                <w:sz w:val="18"/>
                <w:szCs w:val="18"/>
              </w:rPr>
            </w:pPr>
          </w:p>
        </w:tc>
        <w:tc>
          <w:tcPr>
            <w:tcW w:w="473" w:type="dxa"/>
            <w:shd w:val="clear" w:color="auto" w:fill="auto"/>
          </w:tcPr>
          <w:p w14:paraId="3A9A1F14" w14:textId="77777777" w:rsidR="00AF3581" w:rsidRPr="00506303" w:rsidRDefault="00AF3581" w:rsidP="0067543B">
            <w:pPr>
              <w:rPr>
                <w:sz w:val="18"/>
                <w:szCs w:val="18"/>
              </w:rPr>
            </w:pPr>
          </w:p>
        </w:tc>
      </w:tr>
      <w:tr w:rsidR="00AF3581" w:rsidRPr="00506303" w14:paraId="0B2DC001" w14:textId="77777777" w:rsidTr="00E071AC">
        <w:tc>
          <w:tcPr>
            <w:tcW w:w="944" w:type="dxa"/>
            <w:shd w:val="clear" w:color="auto" w:fill="auto"/>
          </w:tcPr>
          <w:p w14:paraId="367DEE86" w14:textId="77777777" w:rsidR="00AF3581" w:rsidRPr="00506303" w:rsidRDefault="00AF3581" w:rsidP="0067543B">
            <w:pPr>
              <w:rPr>
                <w:sz w:val="18"/>
                <w:szCs w:val="18"/>
              </w:rPr>
            </w:pPr>
            <w:r w:rsidRPr="00506303">
              <w:rPr>
                <w:sz w:val="18"/>
                <w:szCs w:val="18"/>
              </w:rPr>
              <w:t>1.2.1.3</w:t>
            </w:r>
          </w:p>
        </w:tc>
        <w:tc>
          <w:tcPr>
            <w:tcW w:w="3776" w:type="dxa"/>
            <w:shd w:val="clear" w:color="auto" w:fill="auto"/>
          </w:tcPr>
          <w:p w14:paraId="18346B57" w14:textId="77777777" w:rsidR="00AF3581" w:rsidRPr="00506303" w:rsidRDefault="00AF3581" w:rsidP="0067543B">
            <w:pPr>
              <w:rPr>
                <w:sz w:val="18"/>
                <w:szCs w:val="18"/>
              </w:rPr>
            </w:pPr>
            <w:r w:rsidRPr="00506303">
              <w:rPr>
                <w:sz w:val="18"/>
                <w:szCs w:val="18"/>
              </w:rPr>
              <w:t>Benchmark and track management, coordination, technical and financial capacity for mgmt..</w:t>
            </w:r>
          </w:p>
        </w:tc>
        <w:tc>
          <w:tcPr>
            <w:tcW w:w="472" w:type="dxa"/>
            <w:shd w:val="clear" w:color="auto" w:fill="D9D9D9"/>
          </w:tcPr>
          <w:p w14:paraId="2E06A839" w14:textId="77777777" w:rsidR="00AF3581" w:rsidRPr="00506303" w:rsidRDefault="00AF3581" w:rsidP="0067543B">
            <w:pPr>
              <w:rPr>
                <w:sz w:val="18"/>
                <w:szCs w:val="18"/>
              </w:rPr>
            </w:pPr>
          </w:p>
        </w:tc>
        <w:tc>
          <w:tcPr>
            <w:tcW w:w="472" w:type="dxa"/>
            <w:shd w:val="clear" w:color="auto" w:fill="D9D9D9"/>
          </w:tcPr>
          <w:p w14:paraId="50704E59" w14:textId="77777777" w:rsidR="00AF3581" w:rsidRPr="00506303" w:rsidRDefault="00AF3581" w:rsidP="0067543B">
            <w:pPr>
              <w:rPr>
                <w:sz w:val="18"/>
                <w:szCs w:val="18"/>
              </w:rPr>
            </w:pPr>
          </w:p>
        </w:tc>
        <w:tc>
          <w:tcPr>
            <w:tcW w:w="472" w:type="dxa"/>
            <w:shd w:val="clear" w:color="auto" w:fill="D9D9D9"/>
          </w:tcPr>
          <w:p w14:paraId="7F7A9CA5" w14:textId="77777777" w:rsidR="00AF3581" w:rsidRPr="00506303" w:rsidRDefault="00AF3581" w:rsidP="0067543B">
            <w:pPr>
              <w:rPr>
                <w:sz w:val="18"/>
                <w:szCs w:val="18"/>
              </w:rPr>
            </w:pPr>
          </w:p>
        </w:tc>
        <w:tc>
          <w:tcPr>
            <w:tcW w:w="472" w:type="dxa"/>
            <w:shd w:val="clear" w:color="auto" w:fill="D9D9D9"/>
          </w:tcPr>
          <w:p w14:paraId="1DD870DC" w14:textId="77777777" w:rsidR="00AF3581" w:rsidRPr="00506303" w:rsidRDefault="00AF3581" w:rsidP="0067543B">
            <w:pPr>
              <w:rPr>
                <w:sz w:val="18"/>
                <w:szCs w:val="18"/>
              </w:rPr>
            </w:pPr>
          </w:p>
        </w:tc>
        <w:tc>
          <w:tcPr>
            <w:tcW w:w="472" w:type="dxa"/>
            <w:shd w:val="clear" w:color="auto" w:fill="D9D9D9"/>
          </w:tcPr>
          <w:p w14:paraId="136E78C6" w14:textId="77777777" w:rsidR="00AF3581" w:rsidRPr="00506303" w:rsidRDefault="00AF3581" w:rsidP="0067543B">
            <w:pPr>
              <w:rPr>
                <w:sz w:val="18"/>
                <w:szCs w:val="18"/>
              </w:rPr>
            </w:pPr>
          </w:p>
        </w:tc>
        <w:tc>
          <w:tcPr>
            <w:tcW w:w="472" w:type="dxa"/>
            <w:shd w:val="clear" w:color="auto" w:fill="D9D9D9"/>
          </w:tcPr>
          <w:p w14:paraId="101BF709" w14:textId="77777777" w:rsidR="00AF3581" w:rsidRPr="00506303" w:rsidRDefault="00AF3581" w:rsidP="0067543B">
            <w:pPr>
              <w:rPr>
                <w:sz w:val="18"/>
                <w:szCs w:val="18"/>
              </w:rPr>
            </w:pPr>
          </w:p>
        </w:tc>
        <w:tc>
          <w:tcPr>
            <w:tcW w:w="472" w:type="dxa"/>
            <w:shd w:val="clear" w:color="auto" w:fill="D9D9D9"/>
          </w:tcPr>
          <w:p w14:paraId="1BE0C31A" w14:textId="77777777" w:rsidR="00AF3581" w:rsidRPr="00506303" w:rsidRDefault="00AF3581" w:rsidP="0067543B">
            <w:pPr>
              <w:rPr>
                <w:sz w:val="18"/>
                <w:szCs w:val="18"/>
              </w:rPr>
            </w:pPr>
          </w:p>
        </w:tc>
        <w:tc>
          <w:tcPr>
            <w:tcW w:w="472" w:type="dxa"/>
            <w:shd w:val="clear" w:color="auto" w:fill="D9D9D9"/>
          </w:tcPr>
          <w:p w14:paraId="18A98414" w14:textId="77777777" w:rsidR="00AF3581" w:rsidRPr="00506303" w:rsidRDefault="00AF3581" w:rsidP="0067543B">
            <w:pPr>
              <w:rPr>
                <w:sz w:val="18"/>
                <w:szCs w:val="18"/>
              </w:rPr>
            </w:pPr>
          </w:p>
        </w:tc>
        <w:tc>
          <w:tcPr>
            <w:tcW w:w="472" w:type="dxa"/>
            <w:shd w:val="clear" w:color="auto" w:fill="auto"/>
          </w:tcPr>
          <w:p w14:paraId="3A3CBF9E" w14:textId="77777777" w:rsidR="00AF3581" w:rsidRPr="00506303" w:rsidRDefault="00AF3581" w:rsidP="0067543B">
            <w:pPr>
              <w:rPr>
                <w:sz w:val="18"/>
                <w:szCs w:val="18"/>
              </w:rPr>
            </w:pPr>
          </w:p>
        </w:tc>
        <w:tc>
          <w:tcPr>
            <w:tcW w:w="472" w:type="dxa"/>
            <w:shd w:val="clear" w:color="auto" w:fill="auto"/>
          </w:tcPr>
          <w:p w14:paraId="478FEDC2" w14:textId="77777777" w:rsidR="00AF3581" w:rsidRPr="00506303" w:rsidRDefault="00AF3581" w:rsidP="0067543B">
            <w:pPr>
              <w:rPr>
                <w:sz w:val="18"/>
                <w:szCs w:val="18"/>
              </w:rPr>
            </w:pPr>
          </w:p>
        </w:tc>
        <w:tc>
          <w:tcPr>
            <w:tcW w:w="473" w:type="dxa"/>
            <w:shd w:val="clear" w:color="auto" w:fill="auto"/>
          </w:tcPr>
          <w:p w14:paraId="77A111C0" w14:textId="77777777" w:rsidR="00AF3581" w:rsidRPr="00506303" w:rsidRDefault="00AF3581" w:rsidP="0067543B">
            <w:pPr>
              <w:rPr>
                <w:sz w:val="18"/>
                <w:szCs w:val="18"/>
              </w:rPr>
            </w:pPr>
          </w:p>
        </w:tc>
        <w:tc>
          <w:tcPr>
            <w:tcW w:w="473" w:type="dxa"/>
            <w:shd w:val="clear" w:color="auto" w:fill="auto"/>
          </w:tcPr>
          <w:p w14:paraId="7932F0A0" w14:textId="77777777" w:rsidR="00AF3581" w:rsidRPr="00506303" w:rsidRDefault="00AF3581" w:rsidP="0067543B">
            <w:pPr>
              <w:rPr>
                <w:sz w:val="18"/>
                <w:szCs w:val="18"/>
              </w:rPr>
            </w:pPr>
          </w:p>
        </w:tc>
        <w:tc>
          <w:tcPr>
            <w:tcW w:w="473" w:type="dxa"/>
            <w:shd w:val="clear" w:color="auto" w:fill="auto"/>
          </w:tcPr>
          <w:p w14:paraId="32463053" w14:textId="77777777" w:rsidR="00AF3581" w:rsidRPr="00506303" w:rsidRDefault="00AF3581" w:rsidP="0067543B">
            <w:pPr>
              <w:rPr>
                <w:sz w:val="18"/>
                <w:szCs w:val="18"/>
              </w:rPr>
            </w:pPr>
          </w:p>
        </w:tc>
        <w:tc>
          <w:tcPr>
            <w:tcW w:w="473" w:type="dxa"/>
            <w:shd w:val="clear" w:color="auto" w:fill="auto"/>
          </w:tcPr>
          <w:p w14:paraId="49B89FEB" w14:textId="77777777" w:rsidR="00AF3581" w:rsidRPr="00506303" w:rsidRDefault="00AF3581" w:rsidP="0067543B">
            <w:pPr>
              <w:rPr>
                <w:sz w:val="18"/>
                <w:szCs w:val="18"/>
              </w:rPr>
            </w:pPr>
          </w:p>
        </w:tc>
        <w:tc>
          <w:tcPr>
            <w:tcW w:w="473" w:type="dxa"/>
            <w:shd w:val="clear" w:color="auto" w:fill="auto"/>
          </w:tcPr>
          <w:p w14:paraId="4ADBC3F3" w14:textId="77777777" w:rsidR="00AF3581" w:rsidRPr="00506303" w:rsidRDefault="00AF3581" w:rsidP="0067543B">
            <w:pPr>
              <w:rPr>
                <w:sz w:val="18"/>
                <w:szCs w:val="18"/>
              </w:rPr>
            </w:pPr>
          </w:p>
        </w:tc>
        <w:tc>
          <w:tcPr>
            <w:tcW w:w="473" w:type="dxa"/>
            <w:shd w:val="clear" w:color="auto" w:fill="auto"/>
          </w:tcPr>
          <w:p w14:paraId="6BF9295A" w14:textId="77777777" w:rsidR="00AF3581" w:rsidRPr="00506303" w:rsidRDefault="00AF3581" w:rsidP="0067543B">
            <w:pPr>
              <w:rPr>
                <w:sz w:val="18"/>
                <w:szCs w:val="18"/>
              </w:rPr>
            </w:pPr>
          </w:p>
        </w:tc>
        <w:tc>
          <w:tcPr>
            <w:tcW w:w="473" w:type="dxa"/>
            <w:shd w:val="clear" w:color="auto" w:fill="auto"/>
          </w:tcPr>
          <w:p w14:paraId="50B446FF" w14:textId="77777777" w:rsidR="00AF3581" w:rsidRPr="00506303" w:rsidRDefault="00AF3581" w:rsidP="0067543B">
            <w:pPr>
              <w:rPr>
                <w:sz w:val="18"/>
                <w:szCs w:val="18"/>
              </w:rPr>
            </w:pPr>
          </w:p>
        </w:tc>
        <w:tc>
          <w:tcPr>
            <w:tcW w:w="473" w:type="dxa"/>
            <w:shd w:val="clear" w:color="auto" w:fill="auto"/>
          </w:tcPr>
          <w:p w14:paraId="2F1494A8" w14:textId="77777777" w:rsidR="00AF3581" w:rsidRPr="00506303" w:rsidRDefault="00AF3581" w:rsidP="0067543B">
            <w:pPr>
              <w:rPr>
                <w:sz w:val="18"/>
                <w:szCs w:val="18"/>
              </w:rPr>
            </w:pPr>
          </w:p>
        </w:tc>
        <w:tc>
          <w:tcPr>
            <w:tcW w:w="473" w:type="dxa"/>
            <w:shd w:val="clear" w:color="auto" w:fill="auto"/>
          </w:tcPr>
          <w:p w14:paraId="4397B9B6" w14:textId="77777777" w:rsidR="00AF3581" w:rsidRPr="00506303" w:rsidRDefault="00AF3581" w:rsidP="0067543B">
            <w:pPr>
              <w:rPr>
                <w:sz w:val="18"/>
                <w:szCs w:val="18"/>
              </w:rPr>
            </w:pPr>
          </w:p>
        </w:tc>
        <w:tc>
          <w:tcPr>
            <w:tcW w:w="473" w:type="dxa"/>
            <w:shd w:val="clear" w:color="auto" w:fill="auto"/>
          </w:tcPr>
          <w:p w14:paraId="2EBC5C4D" w14:textId="77777777" w:rsidR="00AF3581" w:rsidRPr="00506303" w:rsidRDefault="00AF3581" w:rsidP="0067543B">
            <w:pPr>
              <w:rPr>
                <w:sz w:val="18"/>
                <w:szCs w:val="18"/>
              </w:rPr>
            </w:pPr>
          </w:p>
        </w:tc>
      </w:tr>
      <w:tr w:rsidR="00E071AC" w:rsidRPr="00506303" w14:paraId="06B47D99" w14:textId="77777777" w:rsidTr="00E071AC">
        <w:tc>
          <w:tcPr>
            <w:tcW w:w="944" w:type="dxa"/>
            <w:shd w:val="clear" w:color="auto" w:fill="auto"/>
          </w:tcPr>
          <w:p w14:paraId="752BAB85" w14:textId="77777777" w:rsidR="00AF3581" w:rsidRPr="00506303" w:rsidRDefault="00AF3581" w:rsidP="0067543B">
            <w:pPr>
              <w:rPr>
                <w:sz w:val="18"/>
                <w:szCs w:val="18"/>
              </w:rPr>
            </w:pPr>
            <w:r w:rsidRPr="00506303">
              <w:rPr>
                <w:sz w:val="18"/>
                <w:szCs w:val="18"/>
              </w:rPr>
              <w:t>1.2.1.4</w:t>
            </w:r>
          </w:p>
        </w:tc>
        <w:tc>
          <w:tcPr>
            <w:tcW w:w="3776" w:type="dxa"/>
            <w:shd w:val="clear" w:color="auto" w:fill="auto"/>
          </w:tcPr>
          <w:p w14:paraId="27600042" w14:textId="77777777" w:rsidR="00AF3581" w:rsidRPr="00506303" w:rsidRDefault="00AF3581" w:rsidP="0067543B">
            <w:pPr>
              <w:rPr>
                <w:sz w:val="18"/>
                <w:szCs w:val="18"/>
              </w:rPr>
            </w:pPr>
            <w:r w:rsidRPr="00506303">
              <w:rPr>
                <w:sz w:val="18"/>
                <w:szCs w:val="18"/>
              </w:rPr>
              <w:t>Implement targeted annual capacity building programmes at the 82 priority sites</w:t>
            </w:r>
          </w:p>
        </w:tc>
        <w:tc>
          <w:tcPr>
            <w:tcW w:w="472" w:type="dxa"/>
            <w:shd w:val="clear" w:color="auto" w:fill="auto"/>
          </w:tcPr>
          <w:p w14:paraId="28F6B008" w14:textId="77777777" w:rsidR="00AF3581" w:rsidRPr="00506303" w:rsidRDefault="00AF3581" w:rsidP="0067543B">
            <w:pPr>
              <w:rPr>
                <w:sz w:val="18"/>
                <w:szCs w:val="18"/>
              </w:rPr>
            </w:pPr>
          </w:p>
        </w:tc>
        <w:tc>
          <w:tcPr>
            <w:tcW w:w="472" w:type="dxa"/>
            <w:shd w:val="clear" w:color="auto" w:fill="auto"/>
          </w:tcPr>
          <w:p w14:paraId="1ACBE465" w14:textId="77777777" w:rsidR="00AF3581" w:rsidRPr="00506303" w:rsidRDefault="00AF3581" w:rsidP="0067543B">
            <w:pPr>
              <w:rPr>
                <w:sz w:val="18"/>
                <w:szCs w:val="18"/>
              </w:rPr>
            </w:pPr>
          </w:p>
        </w:tc>
        <w:tc>
          <w:tcPr>
            <w:tcW w:w="472" w:type="dxa"/>
            <w:shd w:val="clear" w:color="auto" w:fill="auto"/>
          </w:tcPr>
          <w:p w14:paraId="1B05C718" w14:textId="77777777" w:rsidR="00AF3581" w:rsidRPr="00506303" w:rsidRDefault="00AF3581" w:rsidP="0067543B">
            <w:pPr>
              <w:rPr>
                <w:sz w:val="18"/>
                <w:szCs w:val="18"/>
              </w:rPr>
            </w:pPr>
          </w:p>
        </w:tc>
        <w:tc>
          <w:tcPr>
            <w:tcW w:w="472" w:type="dxa"/>
            <w:shd w:val="clear" w:color="auto" w:fill="auto"/>
          </w:tcPr>
          <w:p w14:paraId="47B3935F" w14:textId="77777777" w:rsidR="00AF3581" w:rsidRPr="00506303" w:rsidRDefault="00AF3581" w:rsidP="0067543B">
            <w:pPr>
              <w:rPr>
                <w:sz w:val="18"/>
                <w:szCs w:val="18"/>
              </w:rPr>
            </w:pPr>
          </w:p>
        </w:tc>
        <w:tc>
          <w:tcPr>
            <w:tcW w:w="472" w:type="dxa"/>
            <w:shd w:val="clear" w:color="auto" w:fill="D9D9D9"/>
          </w:tcPr>
          <w:p w14:paraId="4F29916E" w14:textId="77777777" w:rsidR="00AF3581" w:rsidRPr="00506303" w:rsidRDefault="00AF3581" w:rsidP="0067543B">
            <w:pPr>
              <w:rPr>
                <w:sz w:val="18"/>
                <w:szCs w:val="18"/>
              </w:rPr>
            </w:pPr>
          </w:p>
        </w:tc>
        <w:tc>
          <w:tcPr>
            <w:tcW w:w="472" w:type="dxa"/>
            <w:shd w:val="clear" w:color="auto" w:fill="D9D9D9"/>
          </w:tcPr>
          <w:p w14:paraId="08BD14B6" w14:textId="77777777" w:rsidR="00AF3581" w:rsidRPr="00506303" w:rsidRDefault="00AF3581" w:rsidP="0067543B">
            <w:pPr>
              <w:rPr>
                <w:sz w:val="18"/>
                <w:szCs w:val="18"/>
              </w:rPr>
            </w:pPr>
          </w:p>
        </w:tc>
        <w:tc>
          <w:tcPr>
            <w:tcW w:w="472" w:type="dxa"/>
            <w:shd w:val="clear" w:color="auto" w:fill="D9D9D9"/>
          </w:tcPr>
          <w:p w14:paraId="58D0453C" w14:textId="77777777" w:rsidR="00AF3581" w:rsidRPr="00506303" w:rsidRDefault="00AF3581" w:rsidP="0067543B">
            <w:pPr>
              <w:rPr>
                <w:sz w:val="18"/>
                <w:szCs w:val="18"/>
              </w:rPr>
            </w:pPr>
          </w:p>
        </w:tc>
        <w:tc>
          <w:tcPr>
            <w:tcW w:w="472" w:type="dxa"/>
            <w:shd w:val="clear" w:color="auto" w:fill="D9D9D9"/>
          </w:tcPr>
          <w:p w14:paraId="48FCF4B3" w14:textId="77777777" w:rsidR="00AF3581" w:rsidRPr="00506303" w:rsidRDefault="00AF3581" w:rsidP="0067543B">
            <w:pPr>
              <w:rPr>
                <w:sz w:val="18"/>
                <w:szCs w:val="18"/>
              </w:rPr>
            </w:pPr>
          </w:p>
        </w:tc>
        <w:tc>
          <w:tcPr>
            <w:tcW w:w="472" w:type="dxa"/>
            <w:shd w:val="clear" w:color="auto" w:fill="D9D9D9"/>
          </w:tcPr>
          <w:p w14:paraId="2B445211" w14:textId="77777777" w:rsidR="00AF3581" w:rsidRPr="00506303" w:rsidRDefault="00AF3581" w:rsidP="0067543B">
            <w:pPr>
              <w:rPr>
                <w:sz w:val="18"/>
                <w:szCs w:val="18"/>
              </w:rPr>
            </w:pPr>
          </w:p>
        </w:tc>
        <w:tc>
          <w:tcPr>
            <w:tcW w:w="472" w:type="dxa"/>
            <w:shd w:val="clear" w:color="auto" w:fill="D9D9D9"/>
          </w:tcPr>
          <w:p w14:paraId="770D243F" w14:textId="77777777" w:rsidR="00AF3581" w:rsidRPr="00506303" w:rsidRDefault="00AF3581" w:rsidP="0067543B">
            <w:pPr>
              <w:rPr>
                <w:sz w:val="18"/>
                <w:szCs w:val="18"/>
              </w:rPr>
            </w:pPr>
          </w:p>
        </w:tc>
        <w:tc>
          <w:tcPr>
            <w:tcW w:w="473" w:type="dxa"/>
            <w:shd w:val="clear" w:color="auto" w:fill="D9D9D9"/>
          </w:tcPr>
          <w:p w14:paraId="4E348F6E" w14:textId="77777777" w:rsidR="00AF3581" w:rsidRPr="00506303" w:rsidRDefault="00AF3581" w:rsidP="0067543B">
            <w:pPr>
              <w:rPr>
                <w:sz w:val="18"/>
                <w:szCs w:val="18"/>
              </w:rPr>
            </w:pPr>
          </w:p>
        </w:tc>
        <w:tc>
          <w:tcPr>
            <w:tcW w:w="473" w:type="dxa"/>
            <w:shd w:val="clear" w:color="auto" w:fill="D9D9D9"/>
          </w:tcPr>
          <w:p w14:paraId="516F4341" w14:textId="77777777" w:rsidR="00AF3581" w:rsidRPr="00506303" w:rsidRDefault="00AF3581" w:rsidP="0067543B">
            <w:pPr>
              <w:rPr>
                <w:sz w:val="18"/>
                <w:szCs w:val="18"/>
              </w:rPr>
            </w:pPr>
          </w:p>
        </w:tc>
        <w:tc>
          <w:tcPr>
            <w:tcW w:w="473" w:type="dxa"/>
            <w:shd w:val="clear" w:color="auto" w:fill="D9D9D9"/>
          </w:tcPr>
          <w:p w14:paraId="3473FBB7" w14:textId="77777777" w:rsidR="00AF3581" w:rsidRPr="00506303" w:rsidRDefault="00AF3581" w:rsidP="0067543B">
            <w:pPr>
              <w:rPr>
                <w:sz w:val="18"/>
                <w:szCs w:val="18"/>
              </w:rPr>
            </w:pPr>
          </w:p>
        </w:tc>
        <w:tc>
          <w:tcPr>
            <w:tcW w:w="473" w:type="dxa"/>
            <w:shd w:val="clear" w:color="auto" w:fill="D9D9D9"/>
          </w:tcPr>
          <w:p w14:paraId="608C72EC" w14:textId="77777777" w:rsidR="00AF3581" w:rsidRPr="00506303" w:rsidRDefault="00AF3581" w:rsidP="0067543B">
            <w:pPr>
              <w:rPr>
                <w:sz w:val="18"/>
                <w:szCs w:val="18"/>
              </w:rPr>
            </w:pPr>
          </w:p>
        </w:tc>
        <w:tc>
          <w:tcPr>
            <w:tcW w:w="473" w:type="dxa"/>
            <w:shd w:val="clear" w:color="auto" w:fill="D9D9D9"/>
          </w:tcPr>
          <w:p w14:paraId="0721A09A" w14:textId="77777777" w:rsidR="00AF3581" w:rsidRPr="00506303" w:rsidRDefault="00AF3581" w:rsidP="0067543B">
            <w:pPr>
              <w:rPr>
                <w:sz w:val="18"/>
                <w:szCs w:val="18"/>
              </w:rPr>
            </w:pPr>
          </w:p>
        </w:tc>
        <w:tc>
          <w:tcPr>
            <w:tcW w:w="473" w:type="dxa"/>
            <w:shd w:val="clear" w:color="auto" w:fill="D9D9D9"/>
          </w:tcPr>
          <w:p w14:paraId="301AF7C2" w14:textId="77777777" w:rsidR="00AF3581" w:rsidRPr="00506303" w:rsidRDefault="00AF3581" w:rsidP="0067543B">
            <w:pPr>
              <w:rPr>
                <w:sz w:val="18"/>
                <w:szCs w:val="18"/>
              </w:rPr>
            </w:pPr>
          </w:p>
        </w:tc>
        <w:tc>
          <w:tcPr>
            <w:tcW w:w="473" w:type="dxa"/>
            <w:shd w:val="clear" w:color="auto" w:fill="D9D9D9"/>
          </w:tcPr>
          <w:p w14:paraId="159F8FB7" w14:textId="77777777" w:rsidR="00AF3581" w:rsidRPr="00506303" w:rsidRDefault="00AF3581" w:rsidP="0067543B">
            <w:pPr>
              <w:rPr>
                <w:sz w:val="18"/>
                <w:szCs w:val="18"/>
              </w:rPr>
            </w:pPr>
          </w:p>
        </w:tc>
        <w:tc>
          <w:tcPr>
            <w:tcW w:w="473" w:type="dxa"/>
            <w:shd w:val="clear" w:color="auto" w:fill="D9D9D9"/>
          </w:tcPr>
          <w:p w14:paraId="255928D6" w14:textId="77777777" w:rsidR="00AF3581" w:rsidRPr="00506303" w:rsidRDefault="00AF3581" w:rsidP="0067543B">
            <w:pPr>
              <w:rPr>
                <w:sz w:val="18"/>
                <w:szCs w:val="18"/>
              </w:rPr>
            </w:pPr>
          </w:p>
        </w:tc>
        <w:tc>
          <w:tcPr>
            <w:tcW w:w="473" w:type="dxa"/>
            <w:shd w:val="clear" w:color="auto" w:fill="D9D9D9"/>
          </w:tcPr>
          <w:p w14:paraId="68806CE9" w14:textId="77777777" w:rsidR="00AF3581" w:rsidRPr="00506303" w:rsidRDefault="00AF3581" w:rsidP="0067543B">
            <w:pPr>
              <w:rPr>
                <w:sz w:val="18"/>
                <w:szCs w:val="18"/>
              </w:rPr>
            </w:pPr>
          </w:p>
        </w:tc>
        <w:tc>
          <w:tcPr>
            <w:tcW w:w="473" w:type="dxa"/>
            <w:shd w:val="clear" w:color="auto" w:fill="D9D9D9"/>
          </w:tcPr>
          <w:p w14:paraId="21DF1850" w14:textId="77777777" w:rsidR="00AF3581" w:rsidRPr="00506303" w:rsidRDefault="00AF3581" w:rsidP="0067543B">
            <w:pPr>
              <w:rPr>
                <w:sz w:val="18"/>
                <w:szCs w:val="18"/>
              </w:rPr>
            </w:pPr>
          </w:p>
        </w:tc>
      </w:tr>
      <w:tr w:rsidR="00E071AC" w:rsidRPr="00506303" w14:paraId="34CFCB0A" w14:textId="77777777" w:rsidTr="00E071AC">
        <w:tc>
          <w:tcPr>
            <w:tcW w:w="944" w:type="dxa"/>
            <w:shd w:val="clear" w:color="auto" w:fill="auto"/>
          </w:tcPr>
          <w:p w14:paraId="55430377" w14:textId="77777777" w:rsidR="00AF3581" w:rsidRPr="00506303" w:rsidRDefault="00AF3581" w:rsidP="0067543B">
            <w:pPr>
              <w:rPr>
                <w:sz w:val="18"/>
                <w:szCs w:val="18"/>
              </w:rPr>
            </w:pPr>
            <w:r w:rsidRPr="00506303">
              <w:rPr>
                <w:sz w:val="18"/>
                <w:szCs w:val="18"/>
              </w:rPr>
              <w:t>1.2.1.5</w:t>
            </w:r>
          </w:p>
        </w:tc>
        <w:tc>
          <w:tcPr>
            <w:tcW w:w="3776" w:type="dxa"/>
            <w:shd w:val="clear" w:color="auto" w:fill="auto"/>
          </w:tcPr>
          <w:p w14:paraId="06E8BE81" w14:textId="77777777" w:rsidR="00AF3581" w:rsidRPr="00506303" w:rsidRDefault="00AF3581" w:rsidP="0067543B">
            <w:pPr>
              <w:rPr>
                <w:sz w:val="18"/>
                <w:szCs w:val="18"/>
              </w:rPr>
            </w:pPr>
            <w:r w:rsidRPr="00506303">
              <w:rPr>
                <w:sz w:val="18"/>
                <w:szCs w:val="18"/>
              </w:rPr>
              <w:t>Establish agreements with bilateral Aid agencies and universities for the placement of volunteer workers, young professionals and development workers in national agencies and at sites</w:t>
            </w:r>
          </w:p>
        </w:tc>
        <w:tc>
          <w:tcPr>
            <w:tcW w:w="472" w:type="dxa"/>
            <w:shd w:val="clear" w:color="auto" w:fill="D9D9D9"/>
          </w:tcPr>
          <w:p w14:paraId="29E11F46" w14:textId="77777777" w:rsidR="00AF3581" w:rsidRPr="00506303" w:rsidRDefault="00AF3581" w:rsidP="0067543B">
            <w:pPr>
              <w:rPr>
                <w:sz w:val="18"/>
                <w:szCs w:val="18"/>
              </w:rPr>
            </w:pPr>
          </w:p>
        </w:tc>
        <w:tc>
          <w:tcPr>
            <w:tcW w:w="472" w:type="dxa"/>
            <w:shd w:val="clear" w:color="auto" w:fill="D9D9D9"/>
          </w:tcPr>
          <w:p w14:paraId="3C79940D" w14:textId="77777777" w:rsidR="00AF3581" w:rsidRPr="00506303" w:rsidRDefault="00AF3581" w:rsidP="0067543B">
            <w:pPr>
              <w:rPr>
                <w:sz w:val="18"/>
                <w:szCs w:val="18"/>
              </w:rPr>
            </w:pPr>
          </w:p>
        </w:tc>
        <w:tc>
          <w:tcPr>
            <w:tcW w:w="472" w:type="dxa"/>
            <w:shd w:val="clear" w:color="auto" w:fill="D9D9D9"/>
          </w:tcPr>
          <w:p w14:paraId="1F31857A" w14:textId="77777777" w:rsidR="00AF3581" w:rsidRPr="00506303" w:rsidRDefault="00AF3581" w:rsidP="0067543B">
            <w:pPr>
              <w:rPr>
                <w:sz w:val="18"/>
                <w:szCs w:val="18"/>
              </w:rPr>
            </w:pPr>
          </w:p>
        </w:tc>
        <w:tc>
          <w:tcPr>
            <w:tcW w:w="472" w:type="dxa"/>
            <w:shd w:val="clear" w:color="auto" w:fill="D9D9D9"/>
          </w:tcPr>
          <w:p w14:paraId="49DA4920" w14:textId="77777777" w:rsidR="00AF3581" w:rsidRPr="00506303" w:rsidRDefault="00AF3581" w:rsidP="0067543B">
            <w:pPr>
              <w:rPr>
                <w:sz w:val="18"/>
                <w:szCs w:val="18"/>
              </w:rPr>
            </w:pPr>
          </w:p>
        </w:tc>
        <w:tc>
          <w:tcPr>
            <w:tcW w:w="472" w:type="dxa"/>
            <w:shd w:val="clear" w:color="auto" w:fill="D9D9D9"/>
          </w:tcPr>
          <w:p w14:paraId="5634261E" w14:textId="77777777" w:rsidR="00AF3581" w:rsidRPr="00506303" w:rsidRDefault="00AF3581" w:rsidP="0067543B">
            <w:pPr>
              <w:rPr>
                <w:sz w:val="18"/>
                <w:szCs w:val="18"/>
              </w:rPr>
            </w:pPr>
          </w:p>
        </w:tc>
        <w:tc>
          <w:tcPr>
            <w:tcW w:w="472" w:type="dxa"/>
            <w:shd w:val="clear" w:color="auto" w:fill="D9D9D9"/>
          </w:tcPr>
          <w:p w14:paraId="29A73068" w14:textId="77777777" w:rsidR="00AF3581" w:rsidRPr="00506303" w:rsidRDefault="00AF3581" w:rsidP="0067543B">
            <w:pPr>
              <w:rPr>
                <w:sz w:val="18"/>
                <w:szCs w:val="18"/>
              </w:rPr>
            </w:pPr>
          </w:p>
        </w:tc>
        <w:tc>
          <w:tcPr>
            <w:tcW w:w="472" w:type="dxa"/>
            <w:shd w:val="clear" w:color="auto" w:fill="D9D9D9"/>
          </w:tcPr>
          <w:p w14:paraId="0DF8C1A7" w14:textId="77777777" w:rsidR="00AF3581" w:rsidRPr="00506303" w:rsidRDefault="00AF3581" w:rsidP="0067543B">
            <w:pPr>
              <w:rPr>
                <w:sz w:val="18"/>
                <w:szCs w:val="18"/>
              </w:rPr>
            </w:pPr>
          </w:p>
        </w:tc>
        <w:tc>
          <w:tcPr>
            <w:tcW w:w="472" w:type="dxa"/>
            <w:shd w:val="clear" w:color="auto" w:fill="D9D9D9"/>
          </w:tcPr>
          <w:p w14:paraId="1B29DC2B" w14:textId="77777777" w:rsidR="00AF3581" w:rsidRPr="00506303" w:rsidRDefault="00AF3581" w:rsidP="0067543B">
            <w:pPr>
              <w:rPr>
                <w:sz w:val="18"/>
                <w:szCs w:val="18"/>
              </w:rPr>
            </w:pPr>
          </w:p>
        </w:tc>
        <w:tc>
          <w:tcPr>
            <w:tcW w:w="472" w:type="dxa"/>
            <w:shd w:val="clear" w:color="auto" w:fill="D9D9D9"/>
          </w:tcPr>
          <w:p w14:paraId="2FF00F73" w14:textId="77777777" w:rsidR="00AF3581" w:rsidRPr="00506303" w:rsidRDefault="00AF3581" w:rsidP="0067543B">
            <w:pPr>
              <w:rPr>
                <w:sz w:val="18"/>
                <w:szCs w:val="18"/>
              </w:rPr>
            </w:pPr>
          </w:p>
        </w:tc>
        <w:tc>
          <w:tcPr>
            <w:tcW w:w="472" w:type="dxa"/>
            <w:shd w:val="clear" w:color="auto" w:fill="D9D9D9"/>
          </w:tcPr>
          <w:p w14:paraId="278D809A" w14:textId="77777777" w:rsidR="00AF3581" w:rsidRPr="00506303" w:rsidRDefault="00AF3581" w:rsidP="0067543B">
            <w:pPr>
              <w:rPr>
                <w:sz w:val="18"/>
                <w:szCs w:val="18"/>
              </w:rPr>
            </w:pPr>
          </w:p>
        </w:tc>
        <w:tc>
          <w:tcPr>
            <w:tcW w:w="473" w:type="dxa"/>
            <w:shd w:val="clear" w:color="auto" w:fill="D9D9D9"/>
          </w:tcPr>
          <w:p w14:paraId="7A8B54E8" w14:textId="77777777" w:rsidR="00AF3581" w:rsidRPr="00506303" w:rsidRDefault="00AF3581" w:rsidP="0067543B">
            <w:pPr>
              <w:rPr>
                <w:sz w:val="18"/>
                <w:szCs w:val="18"/>
              </w:rPr>
            </w:pPr>
          </w:p>
        </w:tc>
        <w:tc>
          <w:tcPr>
            <w:tcW w:w="473" w:type="dxa"/>
            <w:shd w:val="clear" w:color="auto" w:fill="D9D9D9"/>
          </w:tcPr>
          <w:p w14:paraId="4E4534A1" w14:textId="77777777" w:rsidR="00AF3581" w:rsidRPr="00506303" w:rsidRDefault="00AF3581" w:rsidP="0067543B">
            <w:pPr>
              <w:rPr>
                <w:sz w:val="18"/>
                <w:szCs w:val="18"/>
              </w:rPr>
            </w:pPr>
          </w:p>
        </w:tc>
        <w:tc>
          <w:tcPr>
            <w:tcW w:w="473" w:type="dxa"/>
            <w:shd w:val="clear" w:color="auto" w:fill="D9D9D9"/>
          </w:tcPr>
          <w:p w14:paraId="5000D124" w14:textId="77777777" w:rsidR="00AF3581" w:rsidRPr="00506303" w:rsidRDefault="00AF3581" w:rsidP="0067543B">
            <w:pPr>
              <w:rPr>
                <w:sz w:val="18"/>
                <w:szCs w:val="18"/>
              </w:rPr>
            </w:pPr>
          </w:p>
        </w:tc>
        <w:tc>
          <w:tcPr>
            <w:tcW w:w="473" w:type="dxa"/>
            <w:shd w:val="clear" w:color="auto" w:fill="D9D9D9"/>
          </w:tcPr>
          <w:p w14:paraId="4A6424F3" w14:textId="77777777" w:rsidR="00AF3581" w:rsidRPr="00506303" w:rsidRDefault="00AF3581" w:rsidP="0067543B">
            <w:pPr>
              <w:rPr>
                <w:sz w:val="18"/>
                <w:szCs w:val="18"/>
              </w:rPr>
            </w:pPr>
          </w:p>
        </w:tc>
        <w:tc>
          <w:tcPr>
            <w:tcW w:w="473" w:type="dxa"/>
            <w:shd w:val="clear" w:color="auto" w:fill="D9D9D9"/>
          </w:tcPr>
          <w:p w14:paraId="7EEA5411" w14:textId="77777777" w:rsidR="00AF3581" w:rsidRPr="00506303" w:rsidRDefault="00AF3581" w:rsidP="0067543B">
            <w:pPr>
              <w:rPr>
                <w:sz w:val="18"/>
                <w:szCs w:val="18"/>
              </w:rPr>
            </w:pPr>
          </w:p>
        </w:tc>
        <w:tc>
          <w:tcPr>
            <w:tcW w:w="473" w:type="dxa"/>
            <w:shd w:val="clear" w:color="auto" w:fill="D9D9D9"/>
          </w:tcPr>
          <w:p w14:paraId="7EA80F8D" w14:textId="77777777" w:rsidR="00AF3581" w:rsidRPr="00506303" w:rsidRDefault="00AF3581" w:rsidP="0067543B">
            <w:pPr>
              <w:rPr>
                <w:sz w:val="18"/>
                <w:szCs w:val="18"/>
              </w:rPr>
            </w:pPr>
          </w:p>
        </w:tc>
        <w:tc>
          <w:tcPr>
            <w:tcW w:w="473" w:type="dxa"/>
            <w:shd w:val="clear" w:color="auto" w:fill="D9D9D9"/>
          </w:tcPr>
          <w:p w14:paraId="10698C56" w14:textId="77777777" w:rsidR="00AF3581" w:rsidRPr="00506303" w:rsidRDefault="00AF3581" w:rsidP="0067543B">
            <w:pPr>
              <w:rPr>
                <w:sz w:val="18"/>
                <w:szCs w:val="18"/>
              </w:rPr>
            </w:pPr>
          </w:p>
        </w:tc>
        <w:tc>
          <w:tcPr>
            <w:tcW w:w="473" w:type="dxa"/>
            <w:shd w:val="clear" w:color="auto" w:fill="D9D9D9"/>
          </w:tcPr>
          <w:p w14:paraId="3C397950" w14:textId="77777777" w:rsidR="00AF3581" w:rsidRPr="00506303" w:rsidRDefault="00AF3581" w:rsidP="0067543B">
            <w:pPr>
              <w:rPr>
                <w:sz w:val="18"/>
                <w:szCs w:val="18"/>
              </w:rPr>
            </w:pPr>
          </w:p>
        </w:tc>
        <w:tc>
          <w:tcPr>
            <w:tcW w:w="473" w:type="dxa"/>
            <w:shd w:val="clear" w:color="auto" w:fill="D9D9D9"/>
          </w:tcPr>
          <w:p w14:paraId="03EFC324" w14:textId="77777777" w:rsidR="00AF3581" w:rsidRPr="00506303" w:rsidRDefault="00AF3581" w:rsidP="0067543B">
            <w:pPr>
              <w:rPr>
                <w:sz w:val="18"/>
                <w:szCs w:val="18"/>
              </w:rPr>
            </w:pPr>
          </w:p>
        </w:tc>
        <w:tc>
          <w:tcPr>
            <w:tcW w:w="473" w:type="dxa"/>
            <w:shd w:val="clear" w:color="auto" w:fill="D9D9D9"/>
          </w:tcPr>
          <w:p w14:paraId="201DDDB9" w14:textId="77777777" w:rsidR="00AF3581" w:rsidRPr="00506303" w:rsidRDefault="00AF3581" w:rsidP="0067543B">
            <w:pPr>
              <w:rPr>
                <w:sz w:val="18"/>
                <w:szCs w:val="18"/>
              </w:rPr>
            </w:pPr>
          </w:p>
        </w:tc>
      </w:tr>
      <w:tr w:rsidR="00AF3581" w:rsidRPr="00506303" w14:paraId="435EC9CF" w14:textId="77777777" w:rsidTr="00506303">
        <w:tc>
          <w:tcPr>
            <w:tcW w:w="944" w:type="dxa"/>
            <w:shd w:val="clear" w:color="auto" w:fill="F2F2F2"/>
          </w:tcPr>
          <w:p w14:paraId="22AD0764" w14:textId="77777777" w:rsidR="00AF3581" w:rsidRPr="00506303" w:rsidRDefault="00AF3581" w:rsidP="0067543B">
            <w:pPr>
              <w:rPr>
                <w:b/>
                <w:sz w:val="18"/>
                <w:szCs w:val="18"/>
              </w:rPr>
            </w:pPr>
            <w:r w:rsidRPr="00506303">
              <w:rPr>
                <w:b/>
                <w:sz w:val="18"/>
                <w:szCs w:val="18"/>
              </w:rPr>
              <w:t>1.2.2</w:t>
            </w:r>
          </w:p>
        </w:tc>
        <w:tc>
          <w:tcPr>
            <w:tcW w:w="13226" w:type="dxa"/>
            <w:gridSpan w:val="21"/>
            <w:shd w:val="clear" w:color="auto" w:fill="F2F2F2"/>
          </w:tcPr>
          <w:p w14:paraId="6301491D" w14:textId="77777777" w:rsidR="00AF3581" w:rsidRPr="00506303" w:rsidRDefault="00AF3581" w:rsidP="0067543B">
            <w:pPr>
              <w:rPr>
                <w:b/>
                <w:sz w:val="18"/>
                <w:szCs w:val="18"/>
              </w:rPr>
            </w:pPr>
            <w:r w:rsidRPr="00506303">
              <w:rPr>
                <w:b/>
                <w:sz w:val="18"/>
                <w:szCs w:val="18"/>
              </w:rPr>
              <w:t>Management approaches (integrated, community-based, multiple use) improved at 82 coral reef sites</w:t>
            </w:r>
          </w:p>
        </w:tc>
      </w:tr>
      <w:tr w:rsidR="00AF3581" w:rsidRPr="00506303" w14:paraId="3147306A" w14:textId="77777777" w:rsidTr="00E071AC">
        <w:tc>
          <w:tcPr>
            <w:tcW w:w="944" w:type="dxa"/>
            <w:shd w:val="clear" w:color="auto" w:fill="auto"/>
          </w:tcPr>
          <w:p w14:paraId="2670CFBC" w14:textId="77777777" w:rsidR="00AF3581" w:rsidRPr="00506303" w:rsidRDefault="00AF3581" w:rsidP="0067543B">
            <w:pPr>
              <w:rPr>
                <w:sz w:val="18"/>
                <w:szCs w:val="18"/>
              </w:rPr>
            </w:pPr>
            <w:r w:rsidRPr="00506303">
              <w:rPr>
                <w:sz w:val="18"/>
                <w:szCs w:val="18"/>
              </w:rPr>
              <w:t>1.2.2.1</w:t>
            </w:r>
          </w:p>
        </w:tc>
        <w:tc>
          <w:tcPr>
            <w:tcW w:w="3776" w:type="dxa"/>
            <w:shd w:val="clear" w:color="auto" w:fill="auto"/>
          </w:tcPr>
          <w:p w14:paraId="50DE285A" w14:textId="77777777" w:rsidR="00AF3581" w:rsidRPr="00506303" w:rsidRDefault="00AF3581" w:rsidP="0067543B">
            <w:pPr>
              <w:rPr>
                <w:sz w:val="18"/>
                <w:szCs w:val="18"/>
              </w:rPr>
            </w:pPr>
            <w:r w:rsidRPr="00506303">
              <w:rPr>
                <w:sz w:val="18"/>
                <w:szCs w:val="18"/>
              </w:rPr>
              <w:t>Review governance arrangements at 82 sites to identify needs for strengthened mgmt</w:t>
            </w:r>
          </w:p>
        </w:tc>
        <w:tc>
          <w:tcPr>
            <w:tcW w:w="472" w:type="dxa"/>
            <w:shd w:val="clear" w:color="auto" w:fill="D9D9D9"/>
          </w:tcPr>
          <w:p w14:paraId="75BEE25A" w14:textId="77777777" w:rsidR="00AF3581" w:rsidRPr="00506303" w:rsidRDefault="00AF3581" w:rsidP="0067543B">
            <w:pPr>
              <w:rPr>
                <w:sz w:val="18"/>
                <w:szCs w:val="18"/>
              </w:rPr>
            </w:pPr>
          </w:p>
        </w:tc>
        <w:tc>
          <w:tcPr>
            <w:tcW w:w="472" w:type="dxa"/>
            <w:shd w:val="clear" w:color="auto" w:fill="D9D9D9"/>
          </w:tcPr>
          <w:p w14:paraId="36FE98D9" w14:textId="77777777" w:rsidR="00AF3581" w:rsidRPr="00506303" w:rsidRDefault="00AF3581" w:rsidP="0067543B">
            <w:pPr>
              <w:rPr>
                <w:sz w:val="18"/>
                <w:szCs w:val="18"/>
              </w:rPr>
            </w:pPr>
          </w:p>
        </w:tc>
        <w:tc>
          <w:tcPr>
            <w:tcW w:w="472" w:type="dxa"/>
            <w:shd w:val="clear" w:color="auto" w:fill="D9D9D9"/>
          </w:tcPr>
          <w:p w14:paraId="603A83F0" w14:textId="77777777" w:rsidR="00AF3581" w:rsidRPr="00506303" w:rsidRDefault="00AF3581" w:rsidP="0067543B">
            <w:pPr>
              <w:rPr>
                <w:sz w:val="18"/>
                <w:szCs w:val="18"/>
              </w:rPr>
            </w:pPr>
          </w:p>
        </w:tc>
        <w:tc>
          <w:tcPr>
            <w:tcW w:w="472" w:type="dxa"/>
            <w:shd w:val="clear" w:color="auto" w:fill="D9D9D9"/>
          </w:tcPr>
          <w:p w14:paraId="3FE4767D" w14:textId="77777777" w:rsidR="00AF3581" w:rsidRPr="00506303" w:rsidRDefault="00AF3581" w:rsidP="0067543B">
            <w:pPr>
              <w:rPr>
                <w:sz w:val="18"/>
                <w:szCs w:val="18"/>
              </w:rPr>
            </w:pPr>
          </w:p>
        </w:tc>
        <w:tc>
          <w:tcPr>
            <w:tcW w:w="472" w:type="dxa"/>
            <w:shd w:val="clear" w:color="auto" w:fill="auto"/>
          </w:tcPr>
          <w:p w14:paraId="3AA26D41" w14:textId="77777777" w:rsidR="00AF3581" w:rsidRPr="00506303" w:rsidRDefault="00AF3581" w:rsidP="0067543B">
            <w:pPr>
              <w:rPr>
                <w:sz w:val="18"/>
                <w:szCs w:val="18"/>
              </w:rPr>
            </w:pPr>
          </w:p>
        </w:tc>
        <w:tc>
          <w:tcPr>
            <w:tcW w:w="472" w:type="dxa"/>
            <w:shd w:val="clear" w:color="auto" w:fill="auto"/>
          </w:tcPr>
          <w:p w14:paraId="04463A46" w14:textId="77777777" w:rsidR="00AF3581" w:rsidRPr="00506303" w:rsidRDefault="00AF3581" w:rsidP="0067543B">
            <w:pPr>
              <w:rPr>
                <w:sz w:val="18"/>
                <w:szCs w:val="18"/>
              </w:rPr>
            </w:pPr>
          </w:p>
        </w:tc>
        <w:tc>
          <w:tcPr>
            <w:tcW w:w="472" w:type="dxa"/>
            <w:shd w:val="clear" w:color="auto" w:fill="auto"/>
          </w:tcPr>
          <w:p w14:paraId="153632E0" w14:textId="77777777" w:rsidR="00AF3581" w:rsidRPr="00506303" w:rsidRDefault="00AF3581" w:rsidP="0067543B">
            <w:pPr>
              <w:rPr>
                <w:sz w:val="18"/>
                <w:szCs w:val="18"/>
              </w:rPr>
            </w:pPr>
          </w:p>
        </w:tc>
        <w:tc>
          <w:tcPr>
            <w:tcW w:w="472" w:type="dxa"/>
            <w:shd w:val="clear" w:color="auto" w:fill="auto"/>
          </w:tcPr>
          <w:p w14:paraId="5B4A6BA1" w14:textId="77777777" w:rsidR="00AF3581" w:rsidRPr="00506303" w:rsidRDefault="00AF3581" w:rsidP="0067543B">
            <w:pPr>
              <w:rPr>
                <w:sz w:val="18"/>
                <w:szCs w:val="18"/>
              </w:rPr>
            </w:pPr>
          </w:p>
        </w:tc>
        <w:tc>
          <w:tcPr>
            <w:tcW w:w="472" w:type="dxa"/>
            <w:shd w:val="clear" w:color="auto" w:fill="auto"/>
          </w:tcPr>
          <w:p w14:paraId="510FD86D" w14:textId="77777777" w:rsidR="00AF3581" w:rsidRPr="00506303" w:rsidRDefault="00AF3581" w:rsidP="0067543B">
            <w:pPr>
              <w:rPr>
                <w:sz w:val="18"/>
                <w:szCs w:val="18"/>
              </w:rPr>
            </w:pPr>
          </w:p>
        </w:tc>
        <w:tc>
          <w:tcPr>
            <w:tcW w:w="472" w:type="dxa"/>
            <w:shd w:val="clear" w:color="auto" w:fill="auto"/>
          </w:tcPr>
          <w:p w14:paraId="67EEBEBD" w14:textId="77777777" w:rsidR="00AF3581" w:rsidRPr="00506303" w:rsidRDefault="00AF3581" w:rsidP="0067543B">
            <w:pPr>
              <w:rPr>
                <w:sz w:val="18"/>
                <w:szCs w:val="18"/>
              </w:rPr>
            </w:pPr>
          </w:p>
        </w:tc>
        <w:tc>
          <w:tcPr>
            <w:tcW w:w="473" w:type="dxa"/>
            <w:shd w:val="clear" w:color="auto" w:fill="auto"/>
          </w:tcPr>
          <w:p w14:paraId="4D183D23" w14:textId="77777777" w:rsidR="00AF3581" w:rsidRPr="00506303" w:rsidRDefault="00AF3581" w:rsidP="0067543B">
            <w:pPr>
              <w:rPr>
                <w:sz w:val="18"/>
                <w:szCs w:val="18"/>
              </w:rPr>
            </w:pPr>
          </w:p>
        </w:tc>
        <w:tc>
          <w:tcPr>
            <w:tcW w:w="473" w:type="dxa"/>
            <w:shd w:val="clear" w:color="auto" w:fill="auto"/>
          </w:tcPr>
          <w:p w14:paraId="35EE57CF" w14:textId="77777777" w:rsidR="00AF3581" w:rsidRPr="00506303" w:rsidRDefault="00AF3581" w:rsidP="0067543B">
            <w:pPr>
              <w:rPr>
                <w:sz w:val="18"/>
                <w:szCs w:val="18"/>
              </w:rPr>
            </w:pPr>
          </w:p>
        </w:tc>
        <w:tc>
          <w:tcPr>
            <w:tcW w:w="473" w:type="dxa"/>
            <w:shd w:val="clear" w:color="auto" w:fill="auto"/>
          </w:tcPr>
          <w:p w14:paraId="13AB6FDA" w14:textId="77777777" w:rsidR="00AF3581" w:rsidRPr="00506303" w:rsidRDefault="00AF3581" w:rsidP="0067543B">
            <w:pPr>
              <w:rPr>
                <w:sz w:val="18"/>
                <w:szCs w:val="18"/>
              </w:rPr>
            </w:pPr>
          </w:p>
        </w:tc>
        <w:tc>
          <w:tcPr>
            <w:tcW w:w="473" w:type="dxa"/>
            <w:shd w:val="clear" w:color="auto" w:fill="auto"/>
          </w:tcPr>
          <w:p w14:paraId="32EEB4E5" w14:textId="77777777" w:rsidR="00AF3581" w:rsidRPr="00506303" w:rsidRDefault="00AF3581" w:rsidP="0067543B">
            <w:pPr>
              <w:rPr>
                <w:sz w:val="18"/>
                <w:szCs w:val="18"/>
              </w:rPr>
            </w:pPr>
          </w:p>
        </w:tc>
        <w:tc>
          <w:tcPr>
            <w:tcW w:w="473" w:type="dxa"/>
            <w:shd w:val="clear" w:color="auto" w:fill="auto"/>
          </w:tcPr>
          <w:p w14:paraId="0A9E7F99" w14:textId="77777777" w:rsidR="00AF3581" w:rsidRPr="00506303" w:rsidRDefault="00AF3581" w:rsidP="0067543B">
            <w:pPr>
              <w:rPr>
                <w:sz w:val="18"/>
                <w:szCs w:val="18"/>
              </w:rPr>
            </w:pPr>
          </w:p>
        </w:tc>
        <w:tc>
          <w:tcPr>
            <w:tcW w:w="473" w:type="dxa"/>
            <w:shd w:val="clear" w:color="auto" w:fill="auto"/>
          </w:tcPr>
          <w:p w14:paraId="7D91D237" w14:textId="77777777" w:rsidR="00AF3581" w:rsidRPr="00506303" w:rsidRDefault="00AF3581" w:rsidP="0067543B">
            <w:pPr>
              <w:rPr>
                <w:sz w:val="18"/>
                <w:szCs w:val="18"/>
              </w:rPr>
            </w:pPr>
          </w:p>
        </w:tc>
        <w:tc>
          <w:tcPr>
            <w:tcW w:w="473" w:type="dxa"/>
            <w:shd w:val="clear" w:color="auto" w:fill="auto"/>
          </w:tcPr>
          <w:p w14:paraId="5E3A8CAD" w14:textId="77777777" w:rsidR="00AF3581" w:rsidRPr="00506303" w:rsidRDefault="00AF3581" w:rsidP="0067543B">
            <w:pPr>
              <w:rPr>
                <w:sz w:val="18"/>
                <w:szCs w:val="18"/>
              </w:rPr>
            </w:pPr>
          </w:p>
        </w:tc>
        <w:tc>
          <w:tcPr>
            <w:tcW w:w="473" w:type="dxa"/>
            <w:shd w:val="clear" w:color="auto" w:fill="auto"/>
          </w:tcPr>
          <w:p w14:paraId="0733BD11" w14:textId="77777777" w:rsidR="00AF3581" w:rsidRPr="00506303" w:rsidRDefault="00AF3581" w:rsidP="0067543B">
            <w:pPr>
              <w:rPr>
                <w:sz w:val="18"/>
                <w:szCs w:val="18"/>
              </w:rPr>
            </w:pPr>
          </w:p>
        </w:tc>
        <w:tc>
          <w:tcPr>
            <w:tcW w:w="473" w:type="dxa"/>
            <w:shd w:val="clear" w:color="auto" w:fill="auto"/>
          </w:tcPr>
          <w:p w14:paraId="66E8DE16" w14:textId="77777777" w:rsidR="00AF3581" w:rsidRPr="00506303" w:rsidRDefault="00AF3581" w:rsidP="0067543B">
            <w:pPr>
              <w:rPr>
                <w:sz w:val="18"/>
                <w:szCs w:val="18"/>
              </w:rPr>
            </w:pPr>
          </w:p>
        </w:tc>
        <w:tc>
          <w:tcPr>
            <w:tcW w:w="473" w:type="dxa"/>
            <w:shd w:val="clear" w:color="auto" w:fill="auto"/>
          </w:tcPr>
          <w:p w14:paraId="0E9CD294" w14:textId="77777777" w:rsidR="00AF3581" w:rsidRPr="00506303" w:rsidRDefault="00AF3581" w:rsidP="0067543B">
            <w:pPr>
              <w:rPr>
                <w:sz w:val="18"/>
                <w:szCs w:val="18"/>
              </w:rPr>
            </w:pPr>
          </w:p>
        </w:tc>
      </w:tr>
      <w:tr w:rsidR="00AF3581" w:rsidRPr="00506303" w14:paraId="74151F99" w14:textId="77777777" w:rsidTr="00E071AC">
        <w:tc>
          <w:tcPr>
            <w:tcW w:w="944" w:type="dxa"/>
            <w:shd w:val="clear" w:color="auto" w:fill="auto"/>
          </w:tcPr>
          <w:p w14:paraId="13191246" w14:textId="77777777" w:rsidR="00AF3581" w:rsidRPr="00506303" w:rsidRDefault="00AF3581" w:rsidP="0067543B">
            <w:pPr>
              <w:rPr>
                <w:sz w:val="18"/>
                <w:szCs w:val="18"/>
              </w:rPr>
            </w:pPr>
            <w:r w:rsidRPr="00506303">
              <w:rPr>
                <w:sz w:val="18"/>
                <w:szCs w:val="18"/>
              </w:rPr>
              <w:t>1.2.2.2</w:t>
            </w:r>
          </w:p>
        </w:tc>
        <w:tc>
          <w:tcPr>
            <w:tcW w:w="3776" w:type="dxa"/>
            <w:shd w:val="clear" w:color="auto" w:fill="auto"/>
          </w:tcPr>
          <w:p w14:paraId="43DED102" w14:textId="77777777" w:rsidR="00AF3581" w:rsidRPr="00506303" w:rsidRDefault="00AF3581" w:rsidP="0067543B">
            <w:pPr>
              <w:rPr>
                <w:sz w:val="18"/>
                <w:szCs w:val="18"/>
              </w:rPr>
            </w:pPr>
            <w:r w:rsidRPr="00506303">
              <w:rPr>
                <w:sz w:val="18"/>
                <w:szCs w:val="18"/>
              </w:rPr>
              <w:t>Identify ToR and membership of community-based management committees for 82 sites</w:t>
            </w:r>
          </w:p>
        </w:tc>
        <w:tc>
          <w:tcPr>
            <w:tcW w:w="472" w:type="dxa"/>
            <w:shd w:val="clear" w:color="auto" w:fill="auto"/>
          </w:tcPr>
          <w:p w14:paraId="560521CD" w14:textId="77777777" w:rsidR="00AF3581" w:rsidRPr="00506303" w:rsidRDefault="00AF3581" w:rsidP="0067543B">
            <w:pPr>
              <w:rPr>
                <w:sz w:val="18"/>
                <w:szCs w:val="18"/>
              </w:rPr>
            </w:pPr>
          </w:p>
        </w:tc>
        <w:tc>
          <w:tcPr>
            <w:tcW w:w="472" w:type="dxa"/>
            <w:shd w:val="clear" w:color="auto" w:fill="auto"/>
          </w:tcPr>
          <w:p w14:paraId="1DEE9AC7" w14:textId="77777777" w:rsidR="00AF3581" w:rsidRPr="00506303" w:rsidRDefault="00AF3581" w:rsidP="0067543B">
            <w:pPr>
              <w:rPr>
                <w:sz w:val="18"/>
                <w:szCs w:val="18"/>
              </w:rPr>
            </w:pPr>
          </w:p>
        </w:tc>
        <w:tc>
          <w:tcPr>
            <w:tcW w:w="472" w:type="dxa"/>
            <w:shd w:val="clear" w:color="auto" w:fill="D9D9D9"/>
          </w:tcPr>
          <w:p w14:paraId="65B48DF2" w14:textId="77777777" w:rsidR="00AF3581" w:rsidRPr="00506303" w:rsidRDefault="00AF3581" w:rsidP="0067543B">
            <w:pPr>
              <w:rPr>
                <w:sz w:val="18"/>
                <w:szCs w:val="18"/>
              </w:rPr>
            </w:pPr>
          </w:p>
        </w:tc>
        <w:tc>
          <w:tcPr>
            <w:tcW w:w="472" w:type="dxa"/>
            <w:shd w:val="clear" w:color="auto" w:fill="D9D9D9"/>
          </w:tcPr>
          <w:p w14:paraId="5AB66BF5" w14:textId="77777777" w:rsidR="00AF3581" w:rsidRPr="00506303" w:rsidRDefault="00AF3581" w:rsidP="0067543B">
            <w:pPr>
              <w:rPr>
                <w:sz w:val="18"/>
                <w:szCs w:val="18"/>
              </w:rPr>
            </w:pPr>
          </w:p>
        </w:tc>
        <w:tc>
          <w:tcPr>
            <w:tcW w:w="472" w:type="dxa"/>
            <w:shd w:val="clear" w:color="auto" w:fill="D9D9D9"/>
          </w:tcPr>
          <w:p w14:paraId="23587730" w14:textId="77777777" w:rsidR="00AF3581" w:rsidRPr="00506303" w:rsidRDefault="00AF3581" w:rsidP="0067543B">
            <w:pPr>
              <w:rPr>
                <w:sz w:val="18"/>
                <w:szCs w:val="18"/>
              </w:rPr>
            </w:pPr>
          </w:p>
        </w:tc>
        <w:tc>
          <w:tcPr>
            <w:tcW w:w="472" w:type="dxa"/>
            <w:shd w:val="clear" w:color="auto" w:fill="D9D9D9"/>
          </w:tcPr>
          <w:p w14:paraId="13E13678" w14:textId="77777777" w:rsidR="00AF3581" w:rsidRPr="00506303" w:rsidRDefault="00AF3581" w:rsidP="0067543B">
            <w:pPr>
              <w:rPr>
                <w:sz w:val="18"/>
                <w:szCs w:val="18"/>
              </w:rPr>
            </w:pPr>
          </w:p>
        </w:tc>
        <w:tc>
          <w:tcPr>
            <w:tcW w:w="472" w:type="dxa"/>
            <w:shd w:val="clear" w:color="auto" w:fill="auto"/>
          </w:tcPr>
          <w:p w14:paraId="41F35EC1" w14:textId="77777777" w:rsidR="00AF3581" w:rsidRPr="00506303" w:rsidRDefault="00AF3581" w:rsidP="0067543B">
            <w:pPr>
              <w:rPr>
                <w:sz w:val="18"/>
                <w:szCs w:val="18"/>
              </w:rPr>
            </w:pPr>
          </w:p>
        </w:tc>
        <w:tc>
          <w:tcPr>
            <w:tcW w:w="472" w:type="dxa"/>
            <w:shd w:val="clear" w:color="auto" w:fill="auto"/>
          </w:tcPr>
          <w:p w14:paraId="3086DEB1" w14:textId="77777777" w:rsidR="00AF3581" w:rsidRPr="00506303" w:rsidRDefault="00AF3581" w:rsidP="0067543B">
            <w:pPr>
              <w:rPr>
                <w:sz w:val="18"/>
                <w:szCs w:val="18"/>
              </w:rPr>
            </w:pPr>
          </w:p>
        </w:tc>
        <w:tc>
          <w:tcPr>
            <w:tcW w:w="472" w:type="dxa"/>
            <w:shd w:val="clear" w:color="auto" w:fill="auto"/>
          </w:tcPr>
          <w:p w14:paraId="4119F834" w14:textId="77777777" w:rsidR="00AF3581" w:rsidRPr="00506303" w:rsidRDefault="00AF3581" w:rsidP="0067543B">
            <w:pPr>
              <w:rPr>
                <w:sz w:val="18"/>
                <w:szCs w:val="18"/>
              </w:rPr>
            </w:pPr>
          </w:p>
        </w:tc>
        <w:tc>
          <w:tcPr>
            <w:tcW w:w="472" w:type="dxa"/>
            <w:shd w:val="clear" w:color="auto" w:fill="auto"/>
          </w:tcPr>
          <w:p w14:paraId="1C53BCCF" w14:textId="77777777" w:rsidR="00AF3581" w:rsidRPr="00506303" w:rsidRDefault="00AF3581" w:rsidP="0067543B">
            <w:pPr>
              <w:rPr>
                <w:sz w:val="18"/>
                <w:szCs w:val="18"/>
              </w:rPr>
            </w:pPr>
          </w:p>
        </w:tc>
        <w:tc>
          <w:tcPr>
            <w:tcW w:w="473" w:type="dxa"/>
            <w:shd w:val="clear" w:color="auto" w:fill="auto"/>
          </w:tcPr>
          <w:p w14:paraId="537F037A" w14:textId="77777777" w:rsidR="00AF3581" w:rsidRPr="00506303" w:rsidRDefault="00AF3581" w:rsidP="0067543B">
            <w:pPr>
              <w:rPr>
                <w:sz w:val="18"/>
                <w:szCs w:val="18"/>
              </w:rPr>
            </w:pPr>
          </w:p>
        </w:tc>
        <w:tc>
          <w:tcPr>
            <w:tcW w:w="473" w:type="dxa"/>
            <w:shd w:val="clear" w:color="auto" w:fill="auto"/>
          </w:tcPr>
          <w:p w14:paraId="4AB53497" w14:textId="77777777" w:rsidR="00AF3581" w:rsidRPr="00506303" w:rsidRDefault="00AF3581" w:rsidP="0067543B">
            <w:pPr>
              <w:rPr>
                <w:sz w:val="18"/>
                <w:szCs w:val="18"/>
              </w:rPr>
            </w:pPr>
          </w:p>
        </w:tc>
        <w:tc>
          <w:tcPr>
            <w:tcW w:w="473" w:type="dxa"/>
            <w:shd w:val="clear" w:color="auto" w:fill="auto"/>
          </w:tcPr>
          <w:p w14:paraId="24AF5375" w14:textId="77777777" w:rsidR="00AF3581" w:rsidRPr="00506303" w:rsidRDefault="00AF3581" w:rsidP="0067543B">
            <w:pPr>
              <w:rPr>
                <w:sz w:val="18"/>
                <w:szCs w:val="18"/>
              </w:rPr>
            </w:pPr>
          </w:p>
        </w:tc>
        <w:tc>
          <w:tcPr>
            <w:tcW w:w="473" w:type="dxa"/>
            <w:shd w:val="clear" w:color="auto" w:fill="auto"/>
          </w:tcPr>
          <w:p w14:paraId="752177BB" w14:textId="77777777" w:rsidR="00AF3581" w:rsidRPr="00506303" w:rsidRDefault="00AF3581" w:rsidP="0067543B">
            <w:pPr>
              <w:rPr>
                <w:sz w:val="18"/>
                <w:szCs w:val="18"/>
              </w:rPr>
            </w:pPr>
          </w:p>
        </w:tc>
        <w:tc>
          <w:tcPr>
            <w:tcW w:w="473" w:type="dxa"/>
            <w:shd w:val="clear" w:color="auto" w:fill="auto"/>
          </w:tcPr>
          <w:p w14:paraId="1FFB4509" w14:textId="77777777" w:rsidR="00AF3581" w:rsidRPr="00506303" w:rsidRDefault="00AF3581" w:rsidP="0067543B">
            <w:pPr>
              <w:rPr>
                <w:sz w:val="18"/>
                <w:szCs w:val="18"/>
              </w:rPr>
            </w:pPr>
          </w:p>
        </w:tc>
        <w:tc>
          <w:tcPr>
            <w:tcW w:w="473" w:type="dxa"/>
            <w:shd w:val="clear" w:color="auto" w:fill="auto"/>
          </w:tcPr>
          <w:p w14:paraId="059426BE" w14:textId="77777777" w:rsidR="00AF3581" w:rsidRPr="00506303" w:rsidRDefault="00AF3581" w:rsidP="0067543B">
            <w:pPr>
              <w:rPr>
                <w:sz w:val="18"/>
                <w:szCs w:val="18"/>
              </w:rPr>
            </w:pPr>
          </w:p>
        </w:tc>
        <w:tc>
          <w:tcPr>
            <w:tcW w:w="473" w:type="dxa"/>
            <w:shd w:val="clear" w:color="auto" w:fill="auto"/>
          </w:tcPr>
          <w:p w14:paraId="1F9EEA8B" w14:textId="77777777" w:rsidR="00AF3581" w:rsidRPr="00506303" w:rsidRDefault="00AF3581" w:rsidP="0067543B">
            <w:pPr>
              <w:rPr>
                <w:sz w:val="18"/>
                <w:szCs w:val="18"/>
              </w:rPr>
            </w:pPr>
          </w:p>
        </w:tc>
        <w:tc>
          <w:tcPr>
            <w:tcW w:w="473" w:type="dxa"/>
            <w:shd w:val="clear" w:color="auto" w:fill="auto"/>
          </w:tcPr>
          <w:p w14:paraId="2E988DB8" w14:textId="77777777" w:rsidR="00AF3581" w:rsidRPr="00506303" w:rsidRDefault="00AF3581" w:rsidP="0067543B">
            <w:pPr>
              <w:rPr>
                <w:sz w:val="18"/>
                <w:szCs w:val="18"/>
              </w:rPr>
            </w:pPr>
          </w:p>
        </w:tc>
        <w:tc>
          <w:tcPr>
            <w:tcW w:w="473" w:type="dxa"/>
            <w:shd w:val="clear" w:color="auto" w:fill="auto"/>
          </w:tcPr>
          <w:p w14:paraId="2D81A0AA" w14:textId="77777777" w:rsidR="00AF3581" w:rsidRPr="00506303" w:rsidRDefault="00AF3581" w:rsidP="0067543B">
            <w:pPr>
              <w:rPr>
                <w:sz w:val="18"/>
                <w:szCs w:val="18"/>
              </w:rPr>
            </w:pPr>
          </w:p>
        </w:tc>
        <w:tc>
          <w:tcPr>
            <w:tcW w:w="473" w:type="dxa"/>
            <w:shd w:val="clear" w:color="auto" w:fill="auto"/>
          </w:tcPr>
          <w:p w14:paraId="60FD64E9" w14:textId="77777777" w:rsidR="00AF3581" w:rsidRPr="00506303" w:rsidRDefault="00AF3581" w:rsidP="0067543B">
            <w:pPr>
              <w:rPr>
                <w:sz w:val="18"/>
                <w:szCs w:val="18"/>
              </w:rPr>
            </w:pPr>
          </w:p>
        </w:tc>
      </w:tr>
      <w:tr w:rsidR="00E071AC" w:rsidRPr="00506303" w14:paraId="69A9F9AB" w14:textId="77777777" w:rsidTr="00E071AC">
        <w:tc>
          <w:tcPr>
            <w:tcW w:w="944" w:type="dxa"/>
            <w:shd w:val="clear" w:color="auto" w:fill="auto"/>
          </w:tcPr>
          <w:p w14:paraId="696A326E" w14:textId="77777777" w:rsidR="00AF3581" w:rsidRPr="00506303" w:rsidRDefault="00AF3581" w:rsidP="0067543B">
            <w:pPr>
              <w:rPr>
                <w:sz w:val="18"/>
                <w:szCs w:val="18"/>
              </w:rPr>
            </w:pPr>
            <w:r w:rsidRPr="00506303">
              <w:rPr>
                <w:sz w:val="18"/>
                <w:szCs w:val="18"/>
              </w:rPr>
              <w:t>1.2.2.3</w:t>
            </w:r>
          </w:p>
        </w:tc>
        <w:tc>
          <w:tcPr>
            <w:tcW w:w="3776" w:type="dxa"/>
            <w:shd w:val="clear" w:color="auto" w:fill="auto"/>
          </w:tcPr>
          <w:p w14:paraId="2A1D9DEC" w14:textId="77777777" w:rsidR="00AF3581" w:rsidRPr="00506303" w:rsidRDefault="00AF3581" w:rsidP="0067543B">
            <w:pPr>
              <w:rPr>
                <w:sz w:val="18"/>
                <w:szCs w:val="18"/>
              </w:rPr>
            </w:pPr>
            <w:r w:rsidRPr="00506303">
              <w:rPr>
                <w:sz w:val="18"/>
                <w:szCs w:val="18"/>
              </w:rPr>
              <w:t>Procure technical &amp;  managerial services to ensure timely &amp; efficient management of 82 sites</w:t>
            </w:r>
          </w:p>
        </w:tc>
        <w:tc>
          <w:tcPr>
            <w:tcW w:w="472" w:type="dxa"/>
            <w:shd w:val="clear" w:color="auto" w:fill="auto"/>
          </w:tcPr>
          <w:p w14:paraId="4D403928" w14:textId="77777777" w:rsidR="00AF3581" w:rsidRPr="00506303" w:rsidRDefault="00AF3581" w:rsidP="0067543B">
            <w:pPr>
              <w:rPr>
                <w:sz w:val="18"/>
                <w:szCs w:val="18"/>
              </w:rPr>
            </w:pPr>
          </w:p>
        </w:tc>
        <w:tc>
          <w:tcPr>
            <w:tcW w:w="472" w:type="dxa"/>
            <w:shd w:val="clear" w:color="auto" w:fill="auto"/>
          </w:tcPr>
          <w:p w14:paraId="33DD85E1" w14:textId="77777777" w:rsidR="00AF3581" w:rsidRPr="00506303" w:rsidRDefault="00AF3581" w:rsidP="0067543B">
            <w:pPr>
              <w:rPr>
                <w:sz w:val="18"/>
                <w:szCs w:val="18"/>
              </w:rPr>
            </w:pPr>
          </w:p>
        </w:tc>
        <w:tc>
          <w:tcPr>
            <w:tcW w:w="472" w:type="dxa"/>
            <w:shd w:val="clear" w:color="auto" w:fill="auto"/>
          </w:tcPr>
          <w:p w14:paraId="5465D41D" w14:textId="77777777" w:rsidR="00AF3581" w:rsidRPr="00506303" w:rsidRDefault="00AF3581" w:rsidP="0067543B">
            <w:pPr>
              <w:rPr>
                <w:sz w:val="18"/>
                <w:szCs w:val="18"/>
              </w:rPr>
            </w:pPr>
          </w:p>
        </w:tc>
        <w:tc>
          <w:tcPr>
            <w:tcW w:w="472" w:type="dxa"/>
            <w:shd w:val="clear" w:color="auto" w:fill="auto"/>
          </w:tcPr>
          <w:p w14:paraId="61875265" w14:textId="77777777" w:rsidR="00AF3581" w:rsidRPr="00506303" w:rsidRDefault="00AF3581" w:rsidP="0067543B">
            <w:pPr>
              <w:rPr>
                <w:sz w:val="18"/>
                <w:szCs w:val="18"/>
              </w:rPr>
            </w:pPr>
          </w:p>
        </w:tc>
        <w:tc>
          <w:tcPr>
            <w:tcW w:w="472" w:type="dxa"/>
            <w:shd w:val="clear" w:color="auto" w:fill="D9D9D9"/>
          </w:tcPr>
          <w:p w14:paraId="1F70E22E" w14:textId="77777777" w:rsidR="00AF3581" w:rsidRPr="00506303" w:rsidRDefault="00AF3581" w:rsidP="0067543B">
            <w:pPr>
              <w:rPr>
                <w:sz w:val="18"/>
                <w:szCs w:val="18"/>
              </w:rPr>
            </w:pPr>
          </w:p>
        </w:tc>
        <w:tc>
          <w:tcPr>
            <w:tcW w:w="472" w:type="dxa"/>
            <w:shd w:val="clear" w:color="auto" w:fill="D9D9D9"/>
          </w:tcPr>
          <w:p w14:paraId="48A1D15B" w14:textId="77777777" w:rsidR="00AF3581" w:rsidRPr="00506303" w:rsidRDefault="00AF3581" w:rsidP="0067543B">
            <w:pPr>
              <w:rPr>
                <w:sz w:val="18"/>
                <w:szCs w:val="18"/>
              </w:rPr>
            </w:pPr>
          </w:p>
        </w:tc>
        <w:tc>
          <w:tcPr>
            <w:tcW w:w="472" w:type="dxa"/>
            <w:shd w:val="clear" w:color="auto" w:fill="D9D9D9"/>
          </w:tcPr>
          <w:p w14:paraId="02E97750" w14:textId="77777777" w:rsidR="00AF3581" w:rsidRPr="00506303" w:rsidRDefault="00AF3581" w:rsidP="0067543B">
            <w:pPr>
              <w:rPr>
                <w:sz w:val="18"/>
                <w:szCs w:val="18"/>
              </w:rPr>
            </w:pPr>
          </w:p>
        </w:tc>
        <w:tc>
          <w:tcPr>
            <w:tcW w:w="472" w:type="dxa"/>
            <w:shd w:val="clear" w:color="auto" w:fill="D9D9D9"/>
          </w:tcPr>
          <w:p w14:paraId="5192F714" w14:textId="77777777" w:rsidR="00AF3581" w:rsidRPr="00506303" w:rsidRDefault="00AF3581" w:rsidP="0067543B">
            <w:pPr>
              <w:rPr>
                <w:sz w:val="18"/>
                <w:szCs w:val="18"/>
              </w:rPr>
            </w:pPr>
          </w:p>
        </w:tc>
        <w:tc>
          <w:tcPr>
            <w:tcW w:w="472" w:type="dxa"/>
            <w:shd w:val="clear" w:color="auto" w:fill="D9D9D9"/>
          </w:tcPr>
          <w:p w14:paraId="0E1D8AE5" w14:textId="77777777" w:rsidR="00AF3581" w:rsidRPr="00506303" w:rsidRDefault="00AF3581" w:rsidP="0067543B">
            <w:pPr>
              <w:rPr>
                <w:sz w:val="18"/>
                <w:szCs w:val="18"/>
              </w:rPr>
            </w:pPr>
          </w:p>
        </w:tc>
        <w:tc>
          <w:tcPr>
            <w:tcW w:w="472" w:type="dxa"/>
            <w:shd w:val="clear" w:color="auto" w:fill="D9D9D9"/>
          </w:tcPr>
          <w:p w14:paraId="1E662865" w14:textId="77777777" w:rsidR="00AF3581" w:rsidRPr="00506303" w:rsidRDefault="00AF3581" w:rsidP="0067543B">
            <w:pPr>
              <w:rPr>
                <w:sz w:val="18"/>
                <w:szCs w:val="18"/>
              </w:rPr>
            </w:pPr>
          </w:p>
        </w:tc>
        <w:tc>
          <w:tcPr>
            <w:tcW w:w="473" w:type="dxa"/>
            <w:shd w:val="clear" w:color="auto" w:fill="D9D9D9"/>
          </w:tcPr>
          <w:p w14:paraId="50285CD1" w14:textId="77777777" w:rsidR="00AF3581" w:rsidRPr="00506303" w:rsidRDefault="00AF3581" w:rsidP="0067543B">
            <w:pPr>
              <w:rPr>
                <w:sz w:val="18"/>
                <w:szCs w:val="18"/>
              </w:rPr>
            </w:pPr>
          </w:p>
        </w:tc>
        <w:tc>
          <w:tcPr>
            <w:tcW w:w="473" w:type="dxa"/>
            <w:shd w:val="clear" w:color="auto" w:fill="D9D9D9"/>
          </w:tcPr>
          <w:p w14:paraId="377DAB9F" w14:textId="77777777" w:rsidR="00AF3581" w:rsidRPr="00506303" w:rsidRDefault="00AF3581" w:rsidP="0067543B">
            <w:pPr>
              <w:rPr>
                <w:sz w:val="18"/>
                <w:szCs w:val="18"/>
              </w:rPr>
            </w:pPr>
          </w:p>
        </w:tc>
        <w:tc>
          <w:tcPr>
            <w:tcW w:w="473" w:type="dxa"/>
            <w:shd w:val="clear" w:color="auto" w:fill="D9D9D9"/>
          </w:tcPr>
          <w:p w14:paraId="6B2DC99A" w14:textId="77777777" w:rsidR="00AF3581" w:rsidRPr="00506303" w:rsidRDefault="00AF3581" w:rsidP="0067543B">
            <w:pPr>
              <w:rPr>
                <w:sz w:val="18"/>
                <w:szCs w:val="18"/>
              </w:rPr>
            </w:pPr>
          </w:p>
        </w:tc>
        <w:tc>
          <w:tcPr>
            <w:tcW w:w="473" w:type="dxa"/>
            <w:shd w:val="clear" w:color="auto" w:fill="D9D9D9"/>
          </w:tcPr>
          <w:p w14:paraId="569C06CA" w14:textId="77777777" w:rsidR="00AF3581" w:rsidRPr="00506303" w:rsidRDefault="00AF3581" w:rsidP="0067543B">
            <w:pPr>
              <w:rPr>
                <w:sz w:val="18"/>
                <w:szCs w:val="18"/>
              </w:rPr>
            </w:pPr>
          </w:p>
        </w:tc>
        <w:tc>
          <w:tcPr>
            <w:tcW w:w="473" w:type="dxa"/>
            <w:shd w:val="clear" w:color="auto" w:fill="D9D9D9"/>
          </w:tcPr>
          <w:p w14:paraId="3ABD5850" w14:textId="77777777" w:rsidR="00AF3581" w:rsidRPr="00506303" w:rsidRDefault="00AF3581" w:rsidP="0067543B">
            <w:pPr>
              <w:rPr>
                <w:sz w:val="18"/>
                <w:szCs w:val="18"/>
              </w:rPr>
            </w:pPr>
          </w:p>
        </w:tc>
        <w:tc>
          <w:tcPr>
            <w:tcW w:w="473" w:type="dxa"/>
            <w:shd w:val="clear" w:color="auto" w:fill="D9D9D9"/>
          </w:tcPr>
          <w:p w14:paraId="0CF1C23E" w14:textId="77777777" w:rsidR="00AF3581" w:rsidRPr="00506303" w:rsidRDefault="00AF3581" w:rsidP="0067543B">
            <w:pPr>
              <w:rPr>
                <w:sz w:val="18"/>
                <w:szCs w:val="18"/>
              </w:rPr>
            </w:pPr>
          </w:p>
        </w:tc>
        <w:tc>
          <w:tcPr>
            <w:tcW w:w="473" w:type="dxa"/>
            <w:shd w:val="clear" w:color="auto" w:fill="D9D9D9"/>
          </w:tcPr>
          <w:p w14:paraId="31B57B72" w14:textId="77777777" w:rsidR="00AF3581" w:rsidRPr="00506303" w:rsidRDefault="00AF3581" w:rsidP="0067543B">
            <w:pPr>
              <w:rPr>
                <w:sz w:val="18"/>
                <w:szCs w:val="18"/>
              </w:rPr>
            </w:pPr>
          </w:p>
        </w:tc>
        <w:tc>
          <w:tcPr>
            <w:tcW w:w="473" w:type="dxa"/>
            <w:shd w:val="clear" w:color="auto" w:fill="D9D9D9"/>
          </w:tcPr>
          <w:p w14:paraId="1A4DA3BA" w14:textId="77777777" w:rsidR="00AF3581" w:rsidRPr="00506303" w:rsidRDefault="00AF3581" w:rsidP="0067543B">
            <w:pPr>
              <w:rPr>
                <w:sz w:val="18"/>
                <w:szCs w:val="18"/>
              </w:rPr>
            </w:pPr>
          </w:p>
        </w:tc>
        <w:tc>
          <w:tcPr>
            <w:tcW w:w="473" w:type="dxa"/>
            <w:shd w:val="clear" w:color="auto" w:fill="D9D9D9"/>
          </w:tcPr>
          <w:p w14:paraId="2F8ECBD8" w14:textId="77777777" w:rsidR="00AF3581" w:rsidRPr="00506303" w:rsidRDefault="00AF3581" w:rsidP="0067543B">
            <w:pPr>
              <w:rPr>
                <w:sz w:val="18"/>
                <w:szCs w:val="18"/>
              </w:rPr>
            </w:pPr>
          </w:p>
        </w:tc>
        <w:tc>
          <w:tcPr>
            <w:tcW w:w="473" w:type="dxa"/>
            <w:shd w:val="clear" w:color="auto" w:fill="D9D9D9"/>
          </w:tcPr>
          <w:p w14:paraId="142EFCEE" w14:textId="77777777" w:rsidR="00AF3581" w:rsidRPr="00506303" w:rsidRDefault="00AF3581" w:rsidP="0067543B">
            <w:pPr>
              <w:rPr>
                <w:sz w:val="18"/>
                <w:szCs w:val="18"/>
              </w:rPr>
            </w:pPr>
          </w:p>
        </w:tc>
      </w:tr>
      <w:tr w:rsidR="00E071AC" w:rsidRPr="00506303" w14:paraId="4315DBC6" w14:textId="77777777" w:rsidTr="00E071AC">
        <w:tc>
          <w:tcPr>
            <w:tcW w:w="944" w:type="dxa"/>
            <w:shd w:val="clear" w:color="auto" w:fill="auto"/>
          </w:tcPr>
          <w:p w14:paraId="38DC12B4" w14:textId="77777777" w:rsidR="00AF3581" w:rsidRPr="00506303" w:rsidRDefault="00AF3581" w:rsidP="0067543B">
            <w:pPr>
              <w:rPr>
                <w:sz w:val="18"/>
                <w:szCs w:val="18"/>
              </w:rPr>
            </w:pPr>
            <w:r w:rsidRPr="00506303">
              <w:rPr>
                <w:sz w:val="18"/>
                <w:szCs w:val="18"/>
              </w:rPr>
              <w:t>1.2.2.4</w:t>
            </w:r>
          </w:p>
        </w:tc>
        <w:tc>
          <w:tcPr>
            <w:tcW w:w="3776" w:type="dxa"/>
            <w:shd w:val="clear" w:color="auto" w:fill="auto"/>
          </w:tcPr>
          <w:p w14:paraId="6DC64759" w14:textId="77777777" w:rsidR="00AF3581" w:rsidRPr="00506303" w:rsidRDefault="00AF3581" w:rsidP="0067543B">
            <w:pPr>
              <w:rPr>
                <w:sz w:val="18"/>
                <w:szCs w:val="18"/>
              </w:rPr>
            </w:pPr>
            <w:r w:rsidRPr="00506303">
              <w:rPr>
                <w:sz w:val="18"/>
                <w:szCs w:val="18"/>
              </w:rPr>
              <w:t>Develop and conduct training for site-based committees on results-oriented management</w:t>
            </w:r>
          </w:p>
        </w:tc>
        <w:tc>
          <w:tcPr>
            <w:tcW w:w="472" w:type="dxa"/>
            <w:shd w:val="clear" w:color="auto" w:fill="auto"/>
          </w:tcPr>
          <w:p w14:paraId="6AAC17DE" w14:textId="77777777" w:rsidR="00AF3581" w:rsidRPr="00506303" w:rsidRDefault="00AF3581" w:rsidP="0067543B">
            <w:pPr>
              <w:rPr>
                <w:sz w:val="18"/>
                <w:szCs w:val="18"/>
              </w:rPr>
            </w:pPr>
          </w:p>
        </w:tc>
        <w:tc>
          <w:tcPr>
            <w:tcW w:w="472" w:type="dxa"/>
            <w:shd w:val="clear" w:color="auto" w:fill="auto"/>
          </w:tcPr>
          <w:p w14:paraId="671C8746" w14:textId="77777777" w:rsidR="00AF3581" w:rsidRPr="00506303" w:rsidRDefault="00AF3581" w:rsidP="0067543B">
            <w:pPr>
              <w:rPr>
                <w:sz w:val="18"/>
                <w:szCs w:val="18"/>
              </w:rPr>
            </w:pPr>
          </w:p>
        </w:tc>
        <w:tc>
          <w:tcPr>
            <w:tcW w:w="472" w:type="dxa"/>
            <w:shd w:val="clear" w:color="auto" w:fill="auto"/>
          </w:tcPr>
          <w:p w14:paraId="4C7E6A49" w14:textId="77777777" w:rsidR="00AF3581" w:rsidRPr="00506303" w:rsidRDefault="00AF3581" w:rsidP="0067543B">
            <w:pPr>
              <w:rPr>
                <w:sz w:val="18"/>
                <w:szCs w:val="18"/>
              </w:rPr>
            </w:pPr>
          </w:p>
        </w:tc>
        <w:tc>
          <w:tcPr>
            <w:tcW w:w="472" w:type="dxa"/>
            <w:shd w:val="clear" w:color="auto" w:fill="auto"/>
          </w:tcPr>
          <w:p w14:paraId="28C054E7" w14:textId="77777777" w:rsidR="00AF3581" w:rsidRPr="00506303" w:rsidRDefault="00AF3581" w:rsidP="0067543B">
            <w:pPr>
              <w:rPr>
                <w:sz w:val="18"/>
                <w:szCs w:val="18"/>
              </w:rPr>
            </w:pPr>
          </w:p>
        </w:tc>
        <w:tc>
          <w:tcPr>
            <w:tcW w:w="472" w:type="dxa"/>
            <w:shd w:val="clear" w:color="auto" w:fill="auto"/>
          </w:tcPr>
          <w:p w14:paraId="7585E859" w14:textId="77777777" w:rsidR="00AF3581" w:rsidRPr="00506303" w:rsidRDefault="00AF3581" w:rsidP="0067543B">
            <w:pPr>
              <w:rPr>
                <w:sz w:val="18"/>
                <w:szCs w:val="18"/>
              </w:rPr>
            </w:pPr>
          </w:p>
        </w:tc>
        <w:tc>
          <w:tcPr>
            <w:tcW w:w="472" w:type="dxa"/>
            <w:shd w:val="clear" w:color="auto" w:fill="D9D9D9"/>
          </w:tcPr>
          <w:p w14:paraId="2D2F94A5" w14:textId="77777777" w:rsidR="00AF3581" w:rsidRPr="00506303" w:rsidRDefault="00AF3581" w:rsidP="0067543B">
            <w:pPr>
              <w:rPr>
                <w:sz w:val="18"/>
                <w:szCs w:val="18"/>
              </w:rPr>
            </w:pPr>
          </w:p>
        </w:tc>
        <w:tc>
          <w:tcPr>
            <w:tcW w:w="472" w:type="dxa"/>
            <w:shd w:val="clear" w:color="auto" w:fill="auto"/>
          </w:tcPr>
          <w:p w14:paraId="15665097" w14:textId="77777777" w:rsidR="00AF3581" w:rsidRPr="00506303" w:rsidRDefault="00AF3581" w:rsidP="0067543B">
            <w:pPr>
              <w:rPr>
                <w:sz w:val="18"/>
                <w:szCs w:val="18"/>
              </w:rPr>
            </w:pPr>
          </w:p>
        </w:tc>
        <w:tc>
          <w:tcPr>
            <w:tcW w:w="472" w:type="dxa"/>
            <w:shd w:val="clear" w:color="auto" w:fill="D9D9D9"/>
          </w:tcPr>
          <w:p w14:paraId="112E71BF" w14:textId="77777777" w:rsidR="00AF3581" w:rsidRPr="00506303" w:rsidRDefault="00AF3581" w:rsidP="0067543B">
            <w:pPr>
              <w:rPr>
                <w:sz w:val="18"/>
                <w:szCs w:val="18"/>
              </w:rPr>
            </w:pPr>
          </w:p>
        </w:tc>
        <w:tc>
          <w:tcPr>
            <w:tcW w:w="472" w:type="dxa"/>
            <w:shd w:val="clear" w:color="auto" w:fill="auto"/>
          </w:tcPr>
          <w:p w14:paraId="3DCE6B67" w14:textId="77777777" w:rsidR="00AF3581" w:rsidRPr="00506303" w:rsidRDefault="00AF3581" w:rsidP="0067543B">
            <w:pPr>
              <w:rPr>
                <w:sz w:val="18"/>
                <w:szCs w:val="18"/>
              </w:rPr>
            </w:pPr>
          </w:p>
        </w:tc>
        <w:tc>
          <w:tcPr>
            <w:tcW w:w="472" w:type="dxa"/>
            <w:shd w:val="clear" w:color="auto" w:fill="D9D9D9"/>
          </w:tcPr>
          <w:p w14:paraId="32FB1F0B" w14:textId="77777777" w:rsidR="00AF3581" w:rsidRPr="00506303" w:rsidRDefault="00AF3581" w:rsidP="0067543B">
            <w:pPr>
              <w:rPr>
                <w:sz w:val="18"/>
                <w:szCs w:val="18"/>
              </w:rPr>
            </w:pPr>
          </w:p>
        </w:tc>
        <w:tc>
          <w:tcPr>
            <w:tcW w:w="473" w:type="dxa"/>
            <w:shd w:val="clear" w:color="auto" w:fill="auto"/>
          </w:tcPr>
          <w:p w14:paraId="66E2AD8E" w14:textId="77777777" w:rsidR="00AF3581" w:rsidRPr="00506303" w:rsidRDefault="00AF3581" w:rsidP="0067543B">
            <w:pPr>
              <w:rPr>
                <w:sz w:val="18"/>
                <w:szCs w:val="18"/>
              </w:rPr>
            </w:pPr>
          </w:p>
        </w:tc>
        <w:tc>
          <w:tcPr>
            <w:tcW w:w="473" w:type="dxa"/>
            <w:shd w:val="clear" w:color="auto" w:fill="D9D9D9"/>
          </w:tcPr>
          <w:p w14:paraId="21290225" w14:textId="77777777" w:rsidR="00AF3581" w:rsidRPr="00506303" w:rsidRDefault="00AF3581" w:rsidP="0067543B">
            <w:pPr>
              <w:rPr>
                <w:sz w:val="18"/>
                <w:szCs w:val="18"/>
              </w:rPr>
            </w:pPr>
          </w:p>
        </w:tc>
        <w:tc>
          <w:tcPr>
            <w:tcW w:w="473" w:type="dxa"/>
            <w:shd w:val="clear" w:color="auto" w:fill="auto"/>
          </w:tcPr>
          <w:p w14:paraId="3D440BF3" w14:textId="77777777" w:rsidR="00AF3581" w:rsidRPr="00506303" w:rsidRDefault="00AF3581" w:rsidP="0067543B">
            <w:pPr>
              <w:rPr>
                <w:sz w:val="18"/>
                <w:szCs w:val="18"/>
              </w:rPr>
            </w:pPr>
          </w:p>
        </w:tc>
        <w:tc>
          <w:tcPr>
            <w:tcW w:w="473" w:type="dxa"/>
            <w:shd w:val="clear" w:color="auto" w:fill="D9D9D9"/>
          </w:tcPr>
          <w:p w14:paraId="768B4031" w14:textId="77777777" w:rsidR="00AF3581" w:rsidRPr="00506303" w:rsidRDefault="00AF3581" w:rsidP="0067543B">
            <w:pPr>
              <w:rPr>
                <w:sz w:val="18"/>
                <w:szCs w:val="18"/>
              </w:rPr>
            </w:pPr>
          </w:p>
        </w:tc>
        <w:tc>
          <w:tcPr>
            <w:tcW w:w="473" w:type="dxa"/>
            <w:shd w:val="clear" w:color="auto" w:fill="auto"/>
          </w:tcPr>
          <w:p w14:paraId="572A8C9D" w14:textId="77777777" w:rsidR="00AF3581" w:rsidRPr="00506303" w:rsidRDefault="00AF3581" w:rsidP="0067543B">
            <w:pPr>
              <w:rPr>
                <w:sz w:val="18"/>
                <w:szCs w:val="18"/>
              </w:rPr>
            </w:pPr>
          </w:p>
        </w:tc>
        <w:tc>
          <w:tcPr>
            <w:tcW w:w="473" w:type="dxa"/>
            <w:shd w:val="clear" w:color="auto" w:fill="D9D9D9"/>
          </w:tcPr>
          <w:p w14:paraId="166143C5" w14:textId="77777777" w:rsidR="00AF3581" w:rsidRPr="00506303" w:rsidRDefault="00AF3581" w:rsidP="0067543B">
            <w:pPr>
              <w:rPr>
                <w:sz w:val="18"/>
                <w:szCs w:val="18"/>
              </w:rPr>
            </w:pPr>
          </w:p>
        </w:tc>
        <w:tc>
          <w:tcPr>
            <w:tcW w:w="473" w:type="dxa"/>
            <w:shd w:val="clear" w:color="auto" w:fill="auto"/>
          </w:tcPr>
          <w:p w14:paraId="2C71A326" w14:textId="77777777" w:rsidR="00AF3581" w:rsidRPr="00506303" w:rsidRDefault="00AF3581" w:rsidP="0067543B">
            <w:pPr>
              <w:rPr>
                <w:sz w:val="18"/>
                <w:szCs w:val="18"/>
              </w:rPr>
            </w:pPr>
          </w:p>
        </w:tc>
        <w:tc>
          <w:tcPr>
            <w:tcW w:w="473" w:type="dxa"/>
            <w:shd w:val="clear" w:color="auto" w:fill="D9D9D9"/>
          </w:tcPr>
          <w:p w14:paraId="1E8CC6B1" w14:textId="77777777" w:rsidR="00AF3581" w:rsidRPr="00506303" w:rsidRDefault="00AF3581" w:rsidP="0067543B">
            <w:pPr>
              <w:rPr>
                <w:sz w:val="18"/>
                <w:szCs w:val="18"/>
              </w:rPr>
            </w:pPr>
          </w:p>
        </w:tc>
        <w:tc>
          <w:tcPr>
            <w:tcW w:w="473" w:type="dxa"/>
            <w:shd w:val="clear" w:color="auto" w:fill="auto"/>
          </w:tcPr>
          <w:p w14:paraId="19AF3EA2" w14:textId="77777777" w:rsidR="00AF3581" w:rsidRPr="00506303" w:rsidRDefault="00AF3581" w:rsidP="0067543B">
            <w:pPr>
              <w:rPr>
                <w:sz w:val="18"/>
                <w:szCs w:val="18"/>
              </w:rPr>
            </w:pPr>
          </w:p>
        </w:tc>
        <w:tc>
          <w:tcPr>
            <w:tcW w:w="473" w:type="dxa"/>
            <w:shd w:val="clear" w:color="auto" w:fill="auto"/>
          </w:tcPr>
          <w:p w14:paraId="73028785" w14:textId="77777777" w:rsidR="00AF3581" w:rsidRPr="00506303" w:rsidRDefault="00AF3581" w:rsidP="0067543B">
            <w:pPr>
              <w:rPr>
                <w:sz w:val="18"/>
                <w:szCs w:val="18"/>
              </w:rPr>
            </w:pPr>
          </w:p>
        </w:tc>
      </w:tr>
      <w:tr w:rsidR="00E071AC" w:rsidRPr="00506303" w14:paraId="3A0F687E" w14:textId="77777777" w:rsidTr="00E071AC">
        <w:tc>
          <w:tcPr>
            <w:tcW w:w="944" w:type="dxa"/>
            <w:shd w:val="clear" w:color="auto" w:fill="auto"/>
          </w:tcPr>
          <w:p w14:paraId="389D087B" w14:textId="77777777" w:rsidR="00AF3581" w:rsidRPr="00506303" w:rsidRDefault="00AF3581" w:rsidP="0067543B">
            <w:pPr>
              <w:rPr>
                <w:sz w:val="18"/>
                <w:szCs w:val="18"/>
              </w:rPr>
            </w:pPr>
            <w:r w:rsidRPr="00506303">
              <w:rPr>
                <w:sz w:val="18"/>
                <w:szCs w:val="18"/>
              </w:rPr>
              <w:t>1.2.2.5</w:t>
            </w:r>
          </w:p>
        </w:tc>
        <w:tc>
          <w:tcPr>
            <w:tcW w:w="3776" w:type="dxa"/>
            <w:shd w:val="clear" w:color="auto" w:fill="auto"/>
          </w:tcPr>
          <w:p w14:paraId="7B5B3072" w14:textId="77777777" w:rsidR="00AF3581" w:rsidRPr="00506303" w:rsidRDefault="00AF3581" w:rsidP="0067543B">
            <w:pPr>
              <w:rPr>
                <w:sz w:val="18"/>
                <w:szCs w:val="18"/>
              </w:rPr>
            </w:pPr>
            <w:r w:rsidRPr="00506303">
              <w:rPr>
                <w:sz w:val="18"/>
                <w:szCs w:val="18"/>
              </w:rPr>
              <w:t>Develop locally appropriate learning materials and strategies to facilitate knowledge exchange on best practice coral reef mgmt approaches</w:t>
            </w:r>
          </w:p>
        </w:tc>
        <w:tc>
          <w:tcPr>
            <w:tcW w:w="472" w:type="dxa"/>
            <w:shd w:val="clear" w:color="auto" w:fill="auto"/>
          </w:tcPr>
          <w:p w14:paraId="745E767A" w14:textId="77777777" w:rsidR="00AF3581" w:rsidRPr="00506303" w:rsidRDefault="00AF3581" w:rsidP="0067543B">
            <w:pPr>
              <w:rPr>
                <w:sz w:val="18"/>
                <w:szCs w:val="18"/>
              </w:rPr>
            </w:pPr>
          </w:p>
        </w:tc>
        <w:tc>
          <w:tcPr>
            <w:tcW w:w="472" w:type="dxa"/>
            <w:shd w:val="clear" w:color="auto" w:fill="auto"/>
          </w:tcPr>
          <w:p w14:paraId="66F42A44" w14:textId="77777777" w:rsidR="00AF3581" w:rsidRPr="00506303" w:rsidRDefault="00AF3581" w:rsidP="0067543B">
            <w:pPr>
              <w:rPr>
                <w:sz w:val="18"/>
                <w:szCs w:val="18"/>
              </w:rPr>
            </w:pPr>
          </w:p>
        </w:tc>
        <w:tc>
          <w:tcPr>
            <w:tcW w:w="472" w:type="dxa"/>
            <w:shd w:val="clear" w:color="auto" w:fill="auto"/>
          </w:tcPr>
          <w:p w14:paraId="40066DF6" w14:textId="77777777" w:rsidR="00AF3581" w:rsidRPr="00506303" w:rsidRDefault="00AF3581" w:rsidP="0067543B">
            <w:pPr>
              <w:rPr>
                <w:sz w:val="18"/>
                <w:szCs w:val="18"/>
              </w:rPr>
            </w:pPr>
          </w:p>
        </w:tc>
        <w:tc>
          <w:tcPr>
            <w:tcW w:w="472" w:type="dxa"/>
            <w:shd w:val="clear" w:color="auto" w:fill="auto"/>
          </w:tcPr>
          <w:p w14:paraId="51B5487D" w14:textId="77777777" w:rsidR="00AF3581" w:rsidRPr="00506303" w:rsidRDefault="00AF3581" w:rsidP="0067543B">
            <w:pPr>
              <w:rPr>
                <w:sz w:val="18"/>
                <w:szCs w:val="18"/>
              </w:rPr>
            </w:pPr>
          </w:p>
        </w:tc>
        <w:tc>
          <w:tcPr>
            <w:tcW w:w="472" w:type="dxa"/>
            <w:shd w:val="clear" w:color="auto" w:fill="D9D9D9"/>
          </w:tcPr>
          <w:p w14:paraId="32AAC03F" w14:textId="77777777" w:rsidR="00AF3581" w:rsidRPr="00506303" w:rsidRDefault="00AF3581" w:rsidP="0067543B">
            <w:pPr>
              <w:rPr>
                <w:sz w:val="18"/>
                <w:szCs w:val="18"/>
              </w:rPr>
            </w:pPr>
          </w:p>
        </w:tc>
        <w:tc>
          <w:tcPr>
            <w:tcW w:w="472" w:type="dxa"/>
            <w:shd w:val="clear" w:color="auto" w:fill="auto"/>
          </w:tcPr>
          <w:p w14:paraId="5B9E0CBF" w14:textId="77777777" w:rsidR="00AF3581" w:rsidRPr="00506303" w:rsidRDefault="00AF3581" w:rsidP="0067543B">
            <w:pPr>
              <w:rPr>
                <w:sz w:val="18"/>
                <w:szCs w:val="18"/>
              </w:rPr>
            </w:pPr>
          </w:p>
        </w:tc>
        <w:tc>
          <w:tcPr>
            <w:tcW w:w="472" w:type="dxa"/>
            <w:shd w:val="clear" w:color="auto" w:fill="D9D9D9"/>
          </w:tcPr>
          <w:p w14:paraId="595BEFC0" w14:textId="77777777" w:rsidR="00AF3581" w:rsidRPr="00506303" w:rsidRDefault="00AF3581" w:rsidP="0067543B">
            <w:pPr>
              <w:rPr>
                <w:sz w:val="18"/>
                <w:szCs w:val="18"/>
              </w:rPr>
            </w:pPr>
          </w:p>
        </w:tc>
        <w:tc>
          <w:tcPr>
            <w:tcW w:w="472" w:type="dxa"/>
            <w:shd w:val="clear" w:color="auto" w:fill="auto"/>
          </w:tcPr>
          <w:p w14:paraId="370975F6" w14:textId="77777777" w:rsidR="00AF3581" w:rsidRPr="00506303" w:rsidRDefault="00AF3581" w:rsidP="0067543B">
            <w:pPr>
              <w:rPr>
                <w:sz w:val="18"/>
                <w:szCs w:val="18"/>
              </w:rPr>
            </w:pPr>
          </w:p>
        </w:tc>
        <w:tc>
          <w:tcPr>
            <w:tcW w:w="472" w:type="dxa"/>
            <w:shd w:val="clear" w:color="auto" w:fill="D9D9D9"/>
          </w:tcPr>
          <w:p w14:paraId="00FF36B6" w14:textId="77777777" w:rsidR="00AF3581" w:rsidRPr="00506303" w:rsidRDefault="00AF3581" w:rsidP="0067543B">
            <w:pPr>
              <w:rPr>
                <w:sz w:val="18"/>
                <w:szCs w:val="18"/>
              </w:rPr>
            </w:pPr>
          </w:p>
        </w:tc>
        <w:tc>
          <w:tcPr>
            <w:tcW w:w="472" w:type="dxa"/>
            <w:shd w:val="clear" w:color="auto" w:fill="auto"/>
          </w:tcPr>
          <w:p w14:paraId="59E29D83" w14:textId="77777777" w:rsidR="00AF3581" w:rsidRPr="00506303" w:rsidRDefault="00AF3581" w:rsidP="0067543B">
            <w:pPr>
              <w:rPr>
                <w:sz w:val="18"/>
                <w:szCs w:val="18"/>
              </w:rPr>
            </w:pPr>
          </w:p>
        </w:tc>
        <w:tc>
          <w:tcPr>
            <w:tcW w:w="473" w:type="dxa"/>
            <w:shd w:val="clear" w:color="auto" w:fill="D9D9D9"/>
          </w:tcPr>
          <w:p w14:paraId="65C189AC" w14:textId="77777777" w:rsidR="00AF3581" w:rsidRPr="00506303" w:rsidRDefault="00AF3581" w:rsidP="0067543B">
            <w:pPr>
              <w:rPr>
                <w:sz w:val="18"/>
                <w:szCs w:val="18"/>
              </w:rPr>
            </w:pPr>
          </w:p>
        </w:tc>
        <w:tc>
          <w:tcPr>
            <w:tcW w:w="473" w:type="dxa"/>
            <w:shd w:val="clear" w:color="auto" w:fill="auto"/>
          </w:tcPr>
          <w:p w14:paraId="4CCB840B" w14:textId="77777777" w:rsidR="00AF3581" w:rsidRPr="00506303" w:rsidRDefault="00AF3581" w:rsidP="0067543B">
            <w:pPr>
              <w:rPr>
                <w:sz w:val="18"/>
                <w:szCs w:val="18"/>
              </w:rPr>
            </w:pPr>
          </w:p>
        </w:tc>
        <w:tc>
          <w:tcPr>
            <w:tcW w:w="473" w:type="dxa"/>
            <w:shd w:val="clear" w:color="auto" w:fill="D9D9D9"/>
          </w:tcPr>
          <w:p w14:paraId="36957DCD" w14:textId="77777777" w:rsidR="00AF3581" w:rsidRPr="00506303" w:rsidRDefault="00AF3581" w:rsidP="0067543B">
            <w:pPr>
              <w:rPr>
                <w:sz w:val="18"/>
                <w:szCs w:val="18"/>
              </w:rPr>
            </w:pPr>
          </w:p>
        </w:tc>
        <w:tc>
          <w:tcPr>
            <w:tcW w:w="473" w:type="dxa"/>
            <w:shd w:val="clear" w:color="auto" w:fill="auto"/>
          </w:tcPr>
          <w:p w14:paraId="2007F937" w14:textId="77777777" w:rsidR="00AF3581" w:rsidRPr="00506303" w:rsidRDefault="00AF3581" w:rsidP="0067543B">
            <w:pPr>
              <w:rPr>
                <w:sz w:val="18"/>
                <w:szCs w:val="18"/>
              </w:rPr>
            </w:pPr>
          </w:p>
        </w:tc>
        <w:tc>
          <w:tcPr>
            <w:tcW w:w="473" w:type="dxa"/>
            <w:shd w:val="clear" w:color="auto" w:fill="D9D9D9"/>
          </w:tcPr>
          <w:p w14:paraId="6CF0815A" w14:textId="77777777" w:rsidR="00AF3581" w:rsidRPr="00506303" w:rsidRDefault="00AF3581" w:rsidP="0067543B">
            <w:pPr>
              <w:rPr>
                <w:sz w:val="18"/>
                <w:szCs w:val="18"/>
              </w:rPr>
            </w:pPr>
          </w:p>
        </w:tc>
        <w:tc>
          <w:tcPr>
            <w:tcW w:w="473" w:type="dxa"/>
            <w:shd w:val="clear" w:color="auto" w:fill="auto"/>
          </w:tcPr>
          <w:p w14:paraId="619F59BF" w14:textId="77777777" w:rsidR="00AF3581" w:rsidRPr="00506303" w:rsidRDefault="00AF3581" w:rsidP="0067543B">
            <w:pPr>
              <w:rPr>
                <w:sz w:val="18"/>
                <w:szCs w:val="18"/>
              </w:rPr>
            </w:pPr>
          </w:p>
        </w:tc>
        <w:tc>
          <w:tcPr>
            <w:tcW w:w="473" w:type="dxa"/>
            <w:shd w:val="clear" w:color="auto" w:fill="D9D9D9"/>
          </w:tcPr>
          <w:p w14:paraId="3942DE90" w14:textId="77777777" w:rsidR="00AF3581" w:rsidRPr="00506303" w:rsidRDefault="00AF3581" w:rsidP="0067543B">
            <w:pPr>
              <w:rPr>
                <w:sz w:val="18"/>
                <w:szCs w:val="18"/>
              </w:rPr>
            </w:pPr>
          </w:p>
        </w:tc>
        <w:tc>
          <w:tcPr>
            <w:tcW w:w="473" w:type="dxa"/>
            <w:shd w:val="clear" w:color="auto" w:fill="auto"/>
          </w:tcPr>
          <w:p w14:paraId="5560FC8C" w14:textId="77777777" w:rsidR="00AF3581" w:rsidRPr="00506303" w:rsidRDefault="00AF3581" w:rsidP="0067543B">
            <w:pPr>
              <w:rPr>
                <w:sz w:val="18"/>
                <w:szCs w:val="18"/>
              </w:rPr>
            </w:pPr>
          </w:p>
        </w:tc>
        <w:tc>
          <w:tcPr>
            <w:tcW w:w="473" w:type="dxa"/>
            <w:shd w:val="clear" w:color="auto" w:fill="D9D9D9"/>
          </w:tcPr>
          <w:p w14:paraId="04C57695" w14:textId="77777777" w:rsidR="00AF3581" w:rsidRPr="00506303" w:rsidRDefault="00AF3581" w:rsidP="0067543B">
            <w:pPr>
              <w:rPr>
                <w:sz w:val="18"/>
                <w:szCs w:val="18"/>
              </w:rPr>
            </w:pPr>
          </w:p>
        </w:tc>
        <w:tc>
          <w:tcPr>
            <w:tcW w:w="473" w:type="dxa"/>
            <w:shd w:val="clear" w:color="auto" w:fill="auto"/>
          </w:tcPr>
          <w:p w14:paraId="2662DEF0" w14:textId="77777777" w:rsidR="00AF3581" w:rsidRPr="00506303" w:rsidRDefault="00AF3581" w:rsidP="0067543B">
            <w:pPr>
              <w:rPr>
                <w:sz w:val="18"/>
                <w:szCs w:val="18"/>
              </w:rPr>
            </w:pPr>
          </w:p>
        </w:tc>
      </w:tr>
      <w:tr w:rsidR="00AF3581" w:rsidRPr="00506303" w14:paraId="7C683F79" w14:textId="77777777" w:rsidTr="00506303">
        <w:tc>
          <w:tcPr>
            <w:tcW w:w="944" w:type="dxa"/>
            <w:shd w:val="clear" w:color="auto" w:fill="F2F2F2"/>
          </w:tcPr>
          <w:p w14:paraId="7C28724D" w14:textId="77777777" w:rsidR="00AF3581" w:rsidRPr="00506303" w:rsidRDefault="00AF3581" w:rsidP="0067543B">
            <w:pPr>
              <w:rPr>
                <w:b/>
                <w:sz w:val="18"/>
                <w:szCs w:val="18"/>
              </w:rPr>
            </w:pPr>
            <w:r w:rsidRPr="00506303">
              <w:rPr>
                <w:b/>
                <w:sz w:val="18"/>
                <w:szCs w:val="18"/>
              </w:rPr>
              <w:t>1.2.3</w:t>
            </w:r>
          </w:p>
        </w:tc>
        <w:tc>
          <w:tcPr>
            <w:tcW w:w="13226" w:type="dxa"/>
            <w:gridSpan w:val="21"/>
            <w:shd w:val="clear" w:color="auto" w:fill="F2F2F2"/>
          </w:tcPr>
          <w:p w14:paraId="36B5ED95" w14:textId="77777777" w:rsidR="00AF3581" w:rsidRPr="00506303" w:rsidRDefault="00AF3581" w:rsidP="0067543B">
            <w:pPr>
              <w:rPr>
                <w:b/>
                <w:sz w:val="18"/>
                <w:szCs w:val="18"/>
              </w:rPr>
            </w:pPr>
            <w:r w:rsidRPr="00506303">
              <w:rPr>
                <w:b/>
                <w:sz w:val="18"/>
                <w:szCs w:val="18"/>
              </w:rPr>
              <w:t>Management tools (licensing and permit systems, seasonal closures, zoning) developed and utilized to address key threats at priority sites</w:t>
            </w:r>
          </w:p>
        </w:tc>
      </w:tr>
      <w:tr w:rsidR="00AF3581" w:rsidRPr="00506303" w14:paraId="59A01836" w14:textId="77777777" w:rsidTr="00E071AC">
        <w:tc>
          <w:tcPr>
            <w:tcW w:w="944" w:type="dxa"/>
            <w:shd w:val="clear" w:color="auto" w:fill="auto"/>
          </w:tcPr>
          <w:p w14:paraId="4657F6B3" w14:textId="77777777" w:rsidR="00AF3581" w:rsidRPr="00506303" w:rsidRDefault="00AF3581" w:rsidP="0067543B">
            <w:pPr>
              <w:rPr>
                <w:sz w:val="18"/>
                <w:szCs w:val="18"/>
              </w:rPr>
            </w:pPr>
            <w:r w:rsidRPr="00506303">
              <w:rPr>
                <w:sz w:val="18"/>
                <w:szCs w:val="18"/>
              </w:rPr>
              <w:t>1.2.3.1</w:t>
            </w:r>
          </w:p>
        </w:tc>
        <w:tc>
          <w:tcPr>
            <w:tcW w:w="3776" w:type="dxa"/>
            <w:shd w:val="clear" w:color="auto" w:fill="auto"/>
          </w:tcPr>
          <w:p w14:paraId="37A000AD" w14:textId="77777777" w:rsidR="00AF3581" w:rsidRPr="00506303" w:rsidRDefault="00AF3581" w:rsidP="0067543B">
            <w:pPr>
              <w:rPr>
                <w:sz w:val="18"/>
                <w:szCs w:val="18"/>
              </w:rPr>
            </w:pPr>
            <w:r w:rsidRPr="00506303">
              <w:rPr>
                <w:sz w:val="18"/>
                <w:szCs w:val="18"/>
              </w:rPr>
              <w:t>Conduct causal chain analyses at the 82 priority sites and identify priority management measures</w:t>
            </w:r>
          </w:p>
        </w:tc>
        <w:tc>
          <w:tcPr>
            <w:tcW w:w="472" w:type="dxa"/>
            <w:shd w:val="clear" w:color="auto" w:fill="D9D9D9"/>
          </w:tcPr>
          <w:p w14:paraId="1046C9E9" w14:textId="77777777" w:rsidR="00AF3581" w:rsidRPr="00506303" w:rsidRDefault="00AF3581" w:rsidP="0067543B">
            <w:pPr>
              <w:rPr>
                <w:sz w:val="18"/>
                <w:szCs w:val="18"/>
              </w:rPr>
            </w:pPr>
          </w:p>
        </w:tc>
        <w:tc>
          <w:tcPr>
            <w:tcW w:w="472" w:type="dxa"/>
            <w:shd w:val="clear" w:color="auto" w:fill="D9D9D9"/>
          </w:tcPr>
          <w:p w14:paraId="06BCBA0D" w14:textId="77777777" w:rsidR="00AF3581" w:rsidRPr="00506303" w:rsidRDefault="00AF3581" w:rsidP="0067543B">
            <w:pPr>
              <w:rPr>
                <w:sz w:val="18"/>
                <w:szCs w:val="18"/>
              </w:rPr>
            </w:pPr>
          </w:p>
        </w:tc>
        <w:tc>
          <w:tcPr>
            <w:tcW w:w="472" w:type="dxa"/>
            <w:shd w:val="clear" w:color="auto" w:fill="D9D9D9"/>
          </w:tcPr>
          <w:p w14:paraId="113A465D" w14:textId="77777777" w:rsidR="00AF3581" w:rsidRPr="00506303" w:rsidRDefault="00AF3581" w:rsidP="0067543B">
            <w:pPr>
              <w:rPr>
                <w:sz w:val="18"/>
                <w:szCs w:val="18"/>
              </w:rPr>
            </w:pPr>
          </w:p>
        </w:tc>
        <w:tc>
          <w:tcPr>
            <w:tcW w:w="472" w:type="dxa"/>
            <w:shd w:val="clear" w:color="auto" w:fill="D9D9D9"/>
          </w:tcPr>
          <w:p w14:paraId="03AA15C3" w14:textId="77777777" w:rsidR="00AF3581" w:rsidRPr="00506303" w:rsidRDefault="00AF3581" w:rsidP="0067543B">
            <w:pPr>
              <w:rPr>
                <w:sz w:val="18"/>
                <w:szCs w:val="18"/>
              </w:rPr>
            </w:pPr>
          </w:p>
        </w:tc>
        <w:tc>
          <w:tcPr>
            <w:tcW w:w="472" w:type="dxa"/>
            <w:shd w:val="clear" w:color="auto" w:fill="auto"/>
          </w:tcPr>
          <w:p w14:paraId="2F118141" w14:textId="77777777" w:rsidR="00AF3581" w:rsidRPr="00506303" w:rsidRDefault="00AF3581" w:rsidP="0067543B">
            <w:pPr>
              <w:rPr>
                <w:sz w:val="18"/>
                <w:szCs w:val="18"/>
              </w:rPr>
            </w:pPr>
          </w:p>
        </w:tc>
        <w:tc>
          <w:tcPr>
            <w:tcW w:w="472" w:type="dxa"/>
            <w:shd w:val="clear" w:color="auto" w:fill="auto"/>
          </w:tcPr>
          <w:p w14:paraId="4D9862EB" w14:textId="77777777" w:rsidR="00AF3581" w:rsidRPr="00506303" w:rsidRDefault="00AF3581" w:rsidP="0067543B">
            <w:pPr>
              <w:rPr>
                <w:sz w:val="18"/>
                <w:szCs w:val="18"/>
              </w:rPr>
            </w:pPr>
          </w:p>
        </w:tc>
        <w:tc>
          <w:tcPr>
            <w:tcW w:w="472" w:type="dxa"/>
            <w:shd w:val="clear" w:color="auto" w:fill="auto"/>
          </w:tcPr>
          <w:p w14:paraId="6A17B613" w14:textId="77777777" w:rsidR="00AF3581" w:rsidRPr="00506303" w:rsidRDefault="00AF3581" w:rsidP="0067543B">
            <w:pPr>
              <w:rPr>
                <w:sz w:val="18"/>
                <w:szCs w:val="18"/>
              </w:rPr>
            </w:pPr>
          </w:p>
        </w:tc>
        <w:tc>
          <w:tcPr>
            <w:tcW w:w="472" w:type="dxa"/>
            <w:shd w:val="clear" w:color="auto" w:fill="auto"/>
          </w:tcPr>
          <w:p w14:paraId="2AB0D58A" w14:textId="77777777" w:rsidR="00AF3581" w:rsidRPr="00506303" w:rsidRDefault="00AF3581" w:rsidP="0067543B">
            <w:pPr>
              <w:rPr>
                <w:sz w:val="18"/>
                <w:szCs w:val="18"/>
              </w:rPr>
            </w:pPr>
          </w:p>
        </w:tc>
        <w:tc>
          <w:tcPr>
            <w:tcW w:w="472" w:type="dxa"/>
            <w:shd w:val="clear" w:color="auto" w:fill="auto"/>
          </w:tcPr>
          <w:p w14:paraId="5CFCD26B" w14:textId="77777777" w:rsidR="00AF3581" w:rsidRPr="00506303" w:rsidRDefault="00AF3581" w:rsidP="0067543B">
            <w:pPr>
              <w:rPr>
                <w:sz w:val="18"/>
                <w:szCs w:val="18"/>
              </w:rPr>
            </w:pPr>
          </w:p>
        </w:tc>
        <w:tc>
          <w:tcPr>
            <w:tcW w:w="472" w:type="dxa"/>
            <w:shd w:val="clear" w:color="auto" w:fill="auto"/>
          </w:tcPr>
          <w:p w14:paraId="6A21310E" w14:textId="77777777" w:rsidR="00AF3581" w:rsidRPr="00506303" w:rsidRDefault="00AF3581" w:rsidP="0067543B">
            <w:pPr>
              <w:rPr>
                <w:sz w:val="18"/>
                <w:szCs w:val="18"/>
              </w:rPr>
            </w:pPr>
          </w:p>
        </w:tc>
        <w:tc>
          <w:tcPr>
            <w:tcW w:w="473" w:type="dxa"/>
            <w:shd w:val="clear" w:color="auto" w:fill="auto"/>
          </w:tcPr>
          <w:p w14:paraId="1663CC4A" w14:textId="77777777" w:rsidR="00AF3581" w:rsidRPr="00506303" w:rsidRDefault="00AF3581" w:rsidP="0067543B">
            <w:pPr>
              <w:rPr>
                <w:sz w:val="18"/>
                <w:szCs w:val="18"/>
              </w:rPr>
            </w:pPr>
          </w:p>
        </w:tc>
        <w:tc>
          <w:tcPr>
            <w:tcW w:w="473" w:type="dxa"/>
            <w:shd w:val="clear" w:color="auto" w:fill="auto"/>
          </w:tcPr>
          <w:p w14:paraId="0DA1036F" w14:textId="77777777" w:rsidR="00AF3581" w:rsidRPr="00506303" w:rsidRDefault="00AF3581" w:rsidP="0067543B">
            <w:pPr>
              <w:rPr>
                <w:sz w:val="18"/>
                <w:szCs w:val="18"/>
              </w:rPr>
            </w:pPr>
          </w:p>
        </w:tc>
        <w:tc>
          <w:tcPr>
            <w:tcW w:w="473" w:type="dxa"/>
            <w:shd w:val="clear" w:color="auto" w:fill="auto"/>
          </w:tcPr>
          <w:p w14:paraId="750D76EA" w14:textId="77777777" w:rsidR="00AF3581" w:rsidRPr="00506303" w:rsidRDefault="00AF3581" w:rsidP="0067543B">
            <w:pPr>
              <w:rPr>
                <w:sz w:val="18"/>
                <w:szCs w:val="18"/>
              </w:rPr>
            </w:pPr>
          </w:p>
        </w:tc>
        <w:tc>
          <w:tcPr>
            <w:tcW w:w="473" w:type="dxa"/>
            <w:shd w:val="clear" w:color="auto" w:fill="auto"/>
          </w:tcPr>
          <w:p w14:paraId="2097D4B0" w14:textId="77777777" w:rsidR="00AF3581" w:rsidRPr="00506303" w:rsidRDefault="00AF3581" w:rsidP="0067543B">
            <w:pPr>
              <w:rPr>
                <w:sz w:val="18"/>
                <w:szCs w:val="18"/>
              </w:rPr>
            </w:pPr>
          </w:p>
        </w:tc>
        <w:tc>
          <w:tcPr>
            <w:tcW w:w="473" w:type="dxa"/>
            <w:shd w:val="clear" w:color="auto" w:fill="auto"/>
          </w:tcPr>
          <w:p w14:paraId="7BC72A24" w14:textId="77777777" w:rsidR="00AF3581" w:rsidRPr="00506303" w:rsidRDefault="00AF3581" w:rsidP="0067543B">
            <w:pPr>
              <w:rPr>
                <w:sz w:val="18"/>
                <w:szCs w:val="18"/>
              </w:rPr>
            </w:pPr>
          </w:p>
        </w:tc>
        <w:tc>
          <w:tcPr>
            <w:tcW w:w="473" w:type="dxa"/>
            <w:shd w:val="clear" w:color="auto" w:fill="auto"/>
          </w:tcPr>
          <w:p w14:paraId="22A8AEDA" w14:textId="77777777" w:rsidR="00AF3581" w:rsidRPr="00506303" w:rsidRDefault="00AF3581" w:rsidP="0067543B">
            <w:pPr>
              <w:rPr>
                <w:sz w:val="18"/>
                <w:szCs w:val="18"/>
              </w:rPr>
            </w:pPr>
          </w:p>
        </w:tc>
        <w:tc>
          <w:tcPr>
            <w:tcW w:w="473" w:type="dxa"/>
            <w:shd w:val="clear" w:color="auto" w:fill="auto"/>
          </w:tcPr>
          <w:p w14:paraId="3C4899C4" w14:textId="77777777" w:rsidR="00AF3581" w:rsidRPr="00506303" w:rsidRDefault="00AF3581" w:rsidP="0067543B">
            <w:pPr>
              <w:rPr>
                <w:sz w:val="18"/>
                <w:szCs w:val="18"/>
              </w:rPr>
            </w:pPr>
          </w:p>
        </w:tc>
        <w:tc>
          <w:tcPr>
            <w:tcW w:w="473" w:type="dxa"/>
            <w:shd w:val="clear" w:color="auto" w:fill="auto"/>
          </w:tcPr>
          <w:p w14:paraId="483FD35D" w14:textId="77777777" w:rsidR="00AF3581" w:rsidRPr="00506303" w:rsidRDefault="00AF3581" w:rsidP="0067543B">
            <w:pPr>
              <w:rPr>
                <w:sz w:val="18"/>
                <w:szCs w:val="18"/>
              </w:rPr>
            </w:pPr>
          </w:p>
        </w:tc>
        <w:tc>
          <w:tcPr>
            <w:tcW w:w="473" w:type="dxa"/>
            <w:shd w:val="clear" w:color="auto" w:fill="auto"/>
          </w:tcPr>
          <w:p w14:paraId="539C647C" w14:textId="77777777" w:rsidR="00AF3581" w:rsidRPr="00506303" w:rsidRDefault="00AF3581" w:rsidP="0067543B">
            <w:pPr>
              <w:rPr>
                <w:sz w:val="18"/>
                <w:szCs w:val="18"/>
              </w:rPr>
            </w:pPr>
          </w:p>
        </w:tc>
        <w:tc>
          <w:tcPr>
            <w:tcW w:w="473" w:type="dxa"/>
            <w:shd w:val="clear" w:color="auto" w:fill="auto"/>
          </w:tcPr>
          <w:p w14:paraId="31C7D0C0" w14:textId="77777777" w:rsidR="00AF3581" w:rsidRPr="00506303" w:rsidRDefault="00AF3581" w:rsidP="0067543B">
            <w:pPr>
              <w:rPr>
                <w:sz w:val="18"/>
                <w:szCs w:val="18"/>
              </w:rPr>
            </w:pPr>
          </w:p>
        </w:tc>
      </w:tr>
      <w:tr w:rsidR="00AF3581" w:rsidRPr="00506303" w14:paraId="657A4982" w14:textId="77777777" w:rsidTr="00E071AC">
        <w:tc>
          <w:tcPr>
            <w:tcW w:w="944" w:type="dxa"/>
            <w:shd w:val="clear" w:color="auto" w:fill="auto"/>
          </w:tcPr>
          <w:p w14:paraId="6DCDADE0" w14:textId="77777777" w:rsidR="00AF3581" w:rsidRPr="00506303" w:rsidRDefault="00AF3581" w:rsidP="0067543B">
            <w:pPr>
              <w:rPr>
                <w:sz w:val="18"/>
                <w:szCs w:val="18"/>
              </w:rPr>
            </w:pPr>
            <w:r w:rsidRPr="00506303">
              <w:rPr>
                <w:sz w:val="18"/>
                <w:szCs w:val="18"/>
              </w:rPr>
              <w:t>1.2.3.2</w:t>
            </w:r>
          </w:p>
        </w:tc>
        <w:tc>
          <w:tcPr>
            <w:tcW w:w="3776" w:type="dxa"/>
            <w:shd w:val="clear" w:color="auto" w:fill="auto"/>
          </w:tcPr>
          <w:p w14:paraId="0694578D" w14:textId="77777777" w:rsidR="00AF3581" w:rsidRPr="00506303" w:rsidRDefault="00AF3581" w:rsidP="0067543B">
            <w:pPr>
              <w:rPr>
                <w:sz w:val="18"/>
                <w:szCs w:val="18"/>
              </w:rPr>
            </w:pPr>
            <w:r w:rsidRPr="00506303">
              <w:rPr>
                <w:sz w:val="18"/>
                <w:szCs w:val="18"/>
              </w:rPr>
              <w:t>Draft regulations/rules to strengthen operational management at the 82 priority sites</w:t>
            </w:r>
          </w:p>
        </w:tc>
        <w:tc>
          <w:tcPr>
            <w:tcW w:w="472" w:type="dxa"/>
            <w:shd w:val="clear" w:color="auto" w:fill="auto"/>
          </w:tcPr>
          <w:p w14:paraId="03EF625D" w14:textId="77777777" w:rsidR="00AF3581" w:rsidRPr="00506303" w:rsidRDefault="00AF3581" w:rsidP="0067543B">
            <w:pPr>
              <w:rPr>
                <w:sz w:val="18"/>
                <w:szCs w:val="18"/>
              </w:rPr>
            </w:pPr>
          </w:p>
        </w:tc>
        <w:tc>
          <w:tcPr>
            <w:tcW w:w="472" w:type="dxa"/>
            <w:shd w:val="clear" w:color="auto" w:fill="auto"/>
          </w:tcPr>
          <w:p w14:paraId="119D4EB9" w14:textId="77777777" w:rsidR="00AF3581" w:rsidRPr="00506303" w:rsidRDefault="00AF3581" w:rsidP="0067543B">
            <w:pPr>
              <w:rPr>
                <w:sz w:val="18"/>
                <w:szCs w:val="18"/>
              </w:rPr>
            </w:pPr>
          </w:p>
        </w:tc>
        <w:tc>
          <w:tcPr>
            <w:tcW w:w="472" w:type="dxa"/>
            <w:shd w:val="clear" w:color="auto" w:fill="D9D9D9"/>
          </w:tcPr>
          <w:p w14:paraId="5AE1C6E1" w14:textId="77777777" w:rsidR="00AF3581" w:rsidRPr="00506303" w:rsidRDefault="00AF3581" w:rsidP="0067543B">
            <w:pPr>
              <w:rPr>
                <w:sz w:val="18"/>
                <w:szCs w:val="18"/>
              </w:rPr>
            </w:pPr>
          </w:p>
        </w:tc>
        <w:tc>
          <w:tcPr>
            <w:tcW w:w="472" w:type="dxa"/>
            <w:shd w:val="clear" w:color="auto" w:fill="D9D9D9"/>
          </w:tcPr>
          <w:p w14:paraId="22977E02" w14:textId="77777777" w:rsidR="00AF3581" w:rsidRPr="00506303" w:rsidRDefault="00AF3581" w:rsidP="0067543B">
            <w:pPr>
              <w:rPr>
                <w:sz w:val="18"/>
                <w:szCs w:val="18"/>
              </w:rPr>
            </w:pPr>
          </w:p>
        </w:tc>
        <w:tc>
          <w:tcPr>
            <w:tcW w:w="472" w:type="dxa"/>
            <w:shd w:val="clear" w:color="auto" w:fill="D9D9D9"/>
          </w:tcPr>
          <w:p w14:paraId="28C9C528" w14:textId="77777777" w:rsidR="00AF3581" w:rsidRPr="00506303" w:rsidRDefault="00AF3581" w:rsidP="0067543B">
            <w:pPr>
              <w:rPr>
                <w:sz w:val="18"/>
                <w:szCs w:val="18"/>
              </w:rPr>
            </w:pPr>
          </w:p>
        </w:tc>
        <w:tc>
          <w:tcPr>
            <w:tcW w:w="472" w:type="dxa"/>
            <w:shd w:val="clear" w:color="auto" w:fill="D9D9D9"/>
          </w:tcPr>
          <w:p w14:paraId="5F9D4C5F" w14:textId="77777777" w:rsidR="00AF3581" w:rsidRPr="00506303" w:rsidRDefault="00AF3581" w:rsidP="0067543B">
            <w:pPr>
              <w:rPr>
                <w:sz w:val="18"/>
                <w:szCs w:val="18"/>
              </w:rPr>
            </w:pPr>
          </w:p>
        </w:tc>
        <w:tc>
          <w:tcPr>
            <w:tcW w:w="472" w:type="dxa"/>
            <w:shd w:val="clear" w:color="auto" w:fill="auto"/>
          </w:tcPr>
          <w:p w14:paraId="3087C53C" w14:textId="77777777" w:rsidR="00AF3581" w:rsidRPr="00506303" w:rsidRDefault="00AF3581" w:rsidP="0067543B">
            <w:pPr>
              <w:rPr>
                <w:sz w:val="18"/>
                <w:szCs w:val="18"/>
              </w:rPr>
            </w:pPr>
          </w:p>
        </w:tc>
        <w:tc>
          <w:tcPr>
            <w:tcW w:w="472" w:type="dxa"/>
            <w:shd w:val="clear" w:color="auto" w:fill="auto"/>
          </w:tcPr>
          <w:p w14:paraId="63A657C6" w14:textId="77777777" w:rsidR="00AF3581" w:rsidRPr="00506303" w:rsidRDefault="00AF3581" w:rsidP="0067543B">
            <w:pPr>
              <w:rPr>
                <w:sz w:val="18"/>
                <w:szCs w:val="18"/>
              </w:rPr>
            </w:pPr>
          </w:p>
        </w:tc>
        <w:tc>
          <w:tcPr>
            <w:tcW w:w="472" w:type="dxa"/>
            <w:shd w:val="clear" w:color="auto" w:fill="auto"/>
          </w:tcPr>
          <w:p w14:paraId="7F8243FB" w14:textId="77777777" w:rsidR="00AF3581" w:rsidRPr="00506303" w:rsidRDefault="00AF3581" w:rsidP="0067543B">
            <w:pPr>
              <w:rPr>
                <w:sz w:val="18"/>
                <w:szCs w:val="18"/>
              </w:rPr>
            </w:pPr>
          </w:p>
        </w:tc>
        <w:tc>
          <w:tcPr>
            <w:tcW w:w="472" w:type="dxa"/>
            <w:shd w:val="clear" w:color="auto" w:fill="auto"/>
          </w:tcPr>
          <w:p w14:paraId="4376FA75" w14:textId="77777777" w:rsidR="00AF3581" w:rsidRPr="00506303" w:rsidRDefault="00AF3581" w:rsidP="0067543B">
            <w:pPr>
              <w:rPr>
                <w:sz w:val="18"/>
                <w:szCs w:val="18"/>
              </w:rPr>
            </w:pPr>
          </w:p>
        </w:tc>
        <w:tc>
          <w:tcPr>
            <w:tcW w:w="473" w:type="dxa"/>
            <w:shd w:val="clear" w:color="auto" w:fill="auto"/>
          </w:tcPr>
          <w:p w14:paraId="46732129" w14:textId="77777777" w:rsidR="00AF3581" w:rsidRPr="00506303" w:rsidRDefault="00AF3581" w:rsidP="0067543B">
            <w:pPr>
              <w:rPr>
                <w:sz w:val="18"/>
                <w:szCs w:val="18"/>
              </w:rPr>
            </w:pPr>
          </w:p>
        </w:tc>
        <w:tc>
          <w:tcPr>
            <w:tcW w:w="473" w:type="dxa"/>
            <w:shd w:val="clear" w:color="auto" w:fill="auto"/>
          </w:tcPr>
          <w:p w14:paraId="49CC06BF" w14:textId="77777777" w:rsidR="00AF3581" w:rsidRPr="00506303" w:rsidRDefault="00AF3581" w:rsidP="0067543B">
            <w:pPr>
              <w:rPr>
                <w:sz w:val="18"/>
                <w:szCs w:val="18"/>
              </w:rPr>
            </w:pPr>
          </w:p>
        </w:tc>
        <w:tc>
          <w:tcPr>
            <w:tcW w:w="473" w:type="dxa"/>
            <w:shd w:val="clear" w:color="auto" w:fill="auto"/>
          </w:tcPr>
          <w:p w14:paraId="332BB9F5" w14:textId="77777777" w:rsidR="00AF3581" w:rsidRPr="00506303" w:rsidRDefault="00AF3581" w:rsidP="0067543B">
            <w:pPr>
              <w:rPr>
                <w:sz w:val="18"/>
                <w:szCs w:val="18"/>
              </w:rPr>
            </w:pPr>
          </w:p>
        </w:tc>
        <w:tc>
          <w:tcPr>
            <w:tcW w:w="473" w:type="dxa"/>
            <w:shd w:val="clear" w:color="auto" w:fill="auto"/>
          </w:tcPr>
          <w:p w14:paraId="2F89CD69" w14:textId="77777777" w:rsidR="00AF3581" w:rsidRPr="00506303" w:rsidRDefault="00AF3581" w:rsidP="0067543B">
            <w:pPr>
              <w:rPr>
                <w:sz w:val="18"/>
                <w:szCs w:val="18"/>
              </w:rPr>
            </w:pPr>
          </w:p>
        </w:tc>
        <w:tc>
          <w:tcPr>
            <w:tcW w:w="473" w:type="dxa"/>
            <w:shd w:val="clear" w:color="auto" w:fill="auto"/>
          </w:tcPr>
          <w:p w14:paraId="549A1414" w14:textId="77777777" w:rsidR="00AF3581" w:rsidRPr="00506303" w:rsidRDefault="00AF3581" w:rsidP="0067543B">
            <w:pPr>
              <w:rPr>
                <w:sz w:val="18"/>
                <w:szCs w:val="18"/>
              </w:rPr>
            </w:pPr>
          </w:p>
        </w:tc>
        <w:tc>
          <w:tcPr>
            <w:tcW w:w="473" w:type="dxa"/>
            <w:shd w:val="clear" w:color="auto" w:fill="auto"/>
          </w:tcPr>
          <w:p w14:paraId="3601226D" w14:textId="77777777" w:rsidR="00AF3581" w:rsidRPr="00506303" w:rsidRDefault="00AF3581" w:rsidP="0067543B">
            <w:pPr>
              <w:rPr>
                <w:sz w:val="18"/>
                <w:szCs w:val="18"/>
              </w:rPr>
            </w:pPr>
          </w:p>
        </w:tc>
        <w:tc>
          <w:tcPr>
            <w:tcW w:w="473" w:type="dxa"/>
            <w:shd w:val="clear" w:color="auto" w:fill="auto"/>
          </w:tcPr>
          <w:p w14:paraId="64927D4C" w14:textId="77777777" w:rsidR="00AF3581" w:rsidRPr="00506303" w:rsidRDefault="00AF3581" w:rsidP="0067543B">
            <w:pPr>
              <w:rPr>
                <w:sz w:val="18"/>
                <w:szCs w:val="18"/>
              </w:rPr>
            </w:pPr>
          </w:p>
        </w:tc>
        <w:tc>
          <w:tcPr>
            <w:tcW w:w="473" w:type="dxa"/>
            <w:shd w:val="clear" w:color="auto" w:fill="auto"/>
          </w:tcPr>
          <w:p w14:paraId="62DDB44F" w14:textId="77777777" w:rsidR="00AF3581" w:rsidRPr="00506303" w:rsidRDefault="00AF3581" w:rsidP="0067543B">
            <w:pPr>
              <w:rPr>
                <w:sz w:val="18"/>
                <w:szCs w:val="18"/>
              </w:rPr>
            </w:pPr>
          </w:p>
        </w:tc>
        <w:tc>
          <w:tcPr>
            <w:tcW w:w="473" w:type="dxa"/>
            <w:shd w:val="clear" w:color="auto" w:fill="auto"/>
          </w:tcPr>
          <w:p w14:paraId="6E5B2385" w14:textId="77777777" w:rsidR="00AF3581" w:rsidRPr="00506303" w:rsidRDefault="00AF3581" w:rsidP="0067543B">
            <w:pPr>
              <w:rPr>
                <w:sz w:val="18"/>
                <w:szCs w:val="18"/>
              </w:rPr>
            </w:pPr>
          </w:p>
        </w:tc>
        <w:tc>
          <w:tcPr>
            <w:tcW w:w="473" w:type="dxa"/>
            <w:shd w:val="clear" w:color="auto" w:fill="auto"/>
          </w:tcPr>
          <w:p w14:paraId="396EA9F1" w14:textId="77777777" w:rsidR="00AF3581" w:rsidRPr="00506303" w:rsidRDefault="00AF3581" w:rsidP="0067543B">
            <w:pPr>
              <w:rPr>
                <w:sz w:val="18"/>
                <w:szCs w:val="18"/>
              </w:rPr>
            </w:pPr>
          </w:p>
        </w:tc>
      </w:tr>
      <w:tr w:rsidR="00E071AC" w:rsidRPr="00506303" w14:paraId="7E1E527A" w14:textId="77777777" w:rsidTr="00E071AC">
        <w:tc>
          <w:tcPr>
            <w:tcW w:w="944" w:type="dxa"/>
            <w:shd w:val="clear" w:color="auto" w:fill="auto"/>
          </w:tcPr>
          <w:p w14:paraId="1F62DA98" w14:textId="77777777" w:rsidR="00AF3581" w:rsidRPr="00506303" w:rsidRDefault="00AF3581" w:rsidP="0067543B">
            <w:pPr>
              <w:rPr>
                <w:sz w:val="18"/>
                <w:szCs w:val="18"/>
              </w:rPr>
            </w:pPr>
            <w:r w:rsidRPr="00506303">
              <w:rPr>
                <w:sz w:val="18"/>
                <w:szCs w:val="18"/>
              </w:rPr>
              <w:t>1.2.3.3</w:t>
            </w:r>
          </w:p>
        </w:tc>
        <w:tc>
          <w:tcPr>
            <w:tcW w:w="3776" w:type="dxa"/>
            <w:shd w:val="clear" w:color="auto" w:fill="auto"/>
          </w:tcPr>
          <w:p w14:paraId="2E68AEF2" w14:textId="77777777" w:rsidR="00AF3581" w:rsidRPr="00506303" w:rsidRDefault="00AF3581" w:rsidP="0067543B">
            <w:pPr>
              <w:rPr>
                <w:sz w:val="18"/>
                <w:szCs w:val="18"/>
              </w:rPr>
            </w:pPr>
            <w:r w:rsidRPr="00506303">
              <w:rPr>
                <w:sz w:val="18"/>
                <w:szCs w:val="18"/>
              </w:rPr>
              <w:t>Amend/develop management plans for sites, including adoption by local authorities and enactment of regulatory reforms</w:t>
            </w:r>
          </w:p>
        </w:tc>
        <w:tc>
          <w:tcPr>
            <w:tcW w:w="472" w:type="dxa"/>
            <w:shd w:val="clear" w:color="auto" w:fill="auto"/>
          </w:tcPr>
          <w:p w14:paraId="010C3676" w14:textId="77777777" w:rsidR="00AF3581" w:rsidRPr="00506303" w:rsidRDefault="00AF3581" w:rsidP="0067543B">
            <w:pPr>
              <w:rPr>
                <w:sz w:val="18"/>
                <w:szCs w:val="18"/>
              </w:rPr>
            </w:pPr>
          </w:p>
        </w:tc>
        <w:tc>
          <w:tcPr>
            <w:tcW w:w="472" w:type="dxa"/>
            <w:shd w:val="clear" w:color="auto" w:fill="auto"/>
          </w:tcPr>
          <w:p w14:paraId="4C91F75A" w14:textId="77777777" w:rsidR="00AF3581" w:rsidRPr="00506303" w:rsidRDefault="00AF3581" w:rsidP="0067543B">
            <w:pPr>
              <w:rPr>
                <w:sz w:val="18"/>
                <w:szCs w:val="18"/>
              </w:rPr>
            </w:pPr>
          </w:p>
        </w:tc>
        <w:tc>
          <w:tcPr>
            <w:tcW w:w="472" w:type="dxa"/>
            <w:shd w:val="clear" w:color="auto" w:fill="auto"/>
          </w:tcPr>
          <w:p w14:paraId="16CB112A" w14:textId="77777777" w:rsidR="00AF3581" w:rsidRPr="00506303" w:rsidRDefault="00AF3581" w:rsidP="0067543B">
            <w:pPr>
              <w:rPr>
                <w:sz w:val="18"/>
                <w:szCs w:val="18"/>
              </w:rPr>
            </w:pPr>
          </w:p>
        </w:tc>
        <w:tc>
          <w:tcPr>
            <w:tcW w:w="472" w:type="dxa"/>
            <w:shd w:val="clear" w:color="auto" w:fill="auto"/>
          </w:tcPr>
          <w:p w14:paraId="075E328E" w14:textId="77777777" w:rsidR="00AF3581" w:rsidRPr="00506303" w:rsidRDefault="00AF3581" w:rsidP="0067543B">
            <w:pPr>
              <w:rPr>
                <w:sz w:val="18"/>
                <w:szCs w:val="18"/>
              </w:rPr>
            </w:pPr>
          </w:p>
        </w:tc>
        <w:tc>
          <w:tcPr>
            <w:tcW w:w="472" w:type="dxa"/>
            <w:shd w:val="clear" w:color="auto" w:fill="auto"/>
          </w:tcPr>
          <w:p w14:paraId="43C63133" w14:textId="77777777" w:rsidR="00AF3581" w:rsidRPr="00506303" w:rsidRDefault="00AF3581" w:rsidP="0067543B">
            <w:pPr>
              <w:rPr>
                <w:sz w:val="18"/>
                <w:szCs w:val="18"/>
              </w:rPr>
            </w:pPr>
          </w:p>
        </w:tc>
        <w:tc>
          <w:tcPr>
            <w:tcW w:w="472" w:type="dxa"/>
            <w:shd w:val="clear" w:color="auto" w:fill="auto"/>
          </w:tcPr>
          <w:p w14:paraId="255A5389" w14:textId="77777777" w:rsidR="00AF3581" w:rsidRPr="00506303" w:rsidRDefault="00AF3581" w:rsidP="0067543B">
            <w:pPr>
              <w:rPr>
                <w:sz w:val="18"/>
                <w:szCs w:val="18"/>
              </w:rPr>
            </w:pPr>
          </w:p>
        </w:tc>
        <w:tc>
          <w:tcPr>
            <w:tcW w:w="472" w:type="dxa"/>
            <w:shd w:val="clear" w:color="auto" w:fill="D9D9D9"/>
          </w:tcPr>
          <w:p w14:paraId="154378BA" w14:textId="77777777" w:rsidR="00AF3581" w:rsidRPr="00506303" w:rsidRDefault="00AF3581" w:rsidP="0067543B">
            <w:pPr>
              <w:rPr>
                <w:sz w:val="18"/>
                <w:szCs w:val="18"/>
              </w:rPr>
            </w:pPr>
          </w:p>
        </w:tc>
        <w:tc>
          <w:tcPr>
            <w:tcW w:w="472" w:type="dxa"/>
            <w:shd w:val="clear" w:color="auto" w:fill="D9D9D9"/>
          </w:tcPr>
          <w:p w14:paraId="587B35C2" w14:textId="77777777" w:rsidR="00AF3581" w:rsidRPr="00506303" w:rsidRDefault="00AF3581" w:rsidP="0067543B">
            <w:pPr>
              <w:rPr>
                <w:sz w:val="18"/>
                <w:szCs w:val="18"/>
              </w:rPr>
            </w:pPr>
          </w:p>
        </w:tc>
        <w:tc>
          <w:tcPr>
            <w:tcW w:w="472" w:type="dxa"/>
            <w:shd w:val="clear" w:color="auto" w:fill="D9D9D9"/>
          </w:tcPr>
          <w:p w14:paraId="09CA4A8B" w14:textId="77777777" w:rsidR="00AF3581" w:rsidRPr="00506303" w:rsidRDefault="00AF3581" w:rsidP="0067543B">
            <w:pPr>
              <w:rPr>
                <w:sz w:val="18"/>
                <w:szCs w:val="18"/>
              </w:rPr>
            </w:pPr>
          </w:p>
        </w:tc>
        <w:tc>
          <w:tcPr>
            <w:tcW w:w="472" w:type="dxa"/>
            <w:shd w:val="clear" w:color="auto" w:fill="D9D9D9"/>
          </w:tcPr>
          <w:p w14:paraId="309A5BA9" w14:textId="77777777" w:rsidR="00AF3581" w:rsidRPr="00506303" w:rsidRDefault="00AF3581" w:rsidP="0067543B">
            <w:pPr>
              <w:rPr>
                <w:sz w:val="18"/>
                <w:szCs w:val="18"/>
              </w:rPr>
            </w:pPr>
          </w:p>
        </w:tc>
        <w:tc>
          <w:tcPr>
            <w:tcW w:w="473" w:type="dxa"/>
            <w:shd w:val="clear" w:color="auto" w:fill="D9D9D9"/>
          </w:tcPr>
          <w:p w14:paraId="2CBB3FD5" w14:textId="77777777" w:rsidR="00AF3581" w:rsidRPr="00506303" w:rsidRDefault="00AF3581" w:rsidP="0067543B">
            <w:pPr>
              <w:rPr>
                <w:sz w:val="18"/>
                <w:szCs w:val="18"/>
              </w:rPr>
            </w:pPr>
          </w:p>
        </w:tc>
        <w:tc>
          <w:tcPr>
            <w:tcW w:w="473" w:type="dxa"/>
            <w:shd w:val="clear" w:color="auto" w:fill="D9D9D9"/>
          </w:tcPr>
          <w:p w14:paraId="268C9543" w14:textId="77777777" w:rsidR="00AF3581" w:rsidRPr="00506303" w:rsidRDefault="00AF3581" w:rsidP="0067543B">
            <w:pPr>
              <w:rPr>
                <w:sz w:val="18"/>
                <w:szCs w:val="18"/>
              </w:rPr>
            </w:pPr>
          </w:p>
        </w:tc>
        <w:tc>
          <w:tcPr>
            <w:tcW w:w="473" w:type="dxa"/>
            <w:shd w:val="clear" w:color="auto" w:fill="auto"/>
          </w:tcPr>
          <w:p w14:paraId="7A46FEBB" w14:textId="77777777" w:rsidR="00AF3581" w:rsidRPr="00506303" w:rsidRDefault="00AF3581" w:rsidP="0067543B">
            <w:pPr>
              <w:rPr>
                <w:sz w:val="18"/>
                <w:szCs w:val="18"/>
              </w:rPr>
            </w:pPr>
          </w:p>
        </w:tc>
        <w:tc>
          <w:tcPr>
            <w:tcW w:w="473" w:type="dxa"/>
            <w:shd w:val="clear" w:color="auto" w:fill="auto"/>
          </w:tcPr>
          <w:p w14:paraId="10A75282" w14:textId="77777777" w:rsidR="00AF3581" w:rsidRPr="00506303" w:rsidRDefault="00AF3581" w:rsidP="0067543B">
            <w:pPr>
              <w:rPr>
                <w:sz w:val="18"/>
                <w:szCs w:val="18"/>
              </w:rPr>
            </w:pPr>
          </w:p>
        </w:tc>
        <w:tc>
          <w:tcPr>
            <w:tcW w:w="473" w:type="dxa"/>
            <w:shd w:val="clear" w:color="auto" w:fill="auto"/>
          </w:tcPr>
          <w:p w14:paraId="7E150164" w14:textId="77777777" w:rsidR="00AF3581" w:rsidRPr="00506303" w:rsidRDefault="00AF3581" w:rsidP="0067543B">
            <w:pPr>
              <w:rPr>
                <w:sz w:val="18"/>
                <w:szCs w:val="18"/>
              </w:rPr>
            </w:pPr>
          </w:p>
        </w:tc>
        <w:tc>
          <w:tcPr>
            <w:tcW w:w="473" w:type="dxa"/>
            <w:shd w:val="clear" w:color="auto" w:fill="auto"/>
          </w:tcPr>
          <w:p w14:paraId="06E35411" w14:textId="77777777" w:rsidR="00AF3581" w:rsidRPr="00506303" w:rsidRDefault="00AF3581" w:rsidP="0067543B">
            <w:pPr>
              <w:rPr>
                <w:sz w:val="18"/>
                <w:szCs w:val="18"/>
              </w:rPr>
            </w:pPr>
          </w:p>
        </w:tc>
        <w:tc>
          <w:tcPr>
            <w:tcW w:w="473" w:type="dxa"/>
            <w:shd w:val="clear" w:color="auto" w:fill="auto"/>
          </w:tcPr>
          <w:p w14:paraId="5A1CB1AB" w14:textId="77777777" w:rsidR="00AF3581" w:rsidRPr="00506303" w:rsidRDefault="00AF3581" w:rsidP="0067543B">
            <w:pPr>
              <w:rPr>
                <w:sz w:val="18"/>
                <w:szCs w:val="18"/>
              </w:rPr>
            </w:pPr>
          </w:p>
        </w:tc>
        <w:tc>
          <w:tcPr>
            <w:tcW w:w="473" w:type="dxa"/>
            <w:shd w:val="clear" w:color="auto" w:fill="auto"/>
          </w:tcPr>
          <w:p w14:paraId="19D8CE61" w14:textId="77777777" w:rsidR="00AF3581" w:rsidRPr="00506303" w:rsidRDefault="00AF3581" w:rsidP="0067543B">
            <w:pPr>
              <w:rPr>
                <w:sz w:val="18"/>
                <w:szCs w:val="18"/>
              </w:rPr>
            </w:pPr>
          </w:p>
        </w:tc>
        <w:tc>
          <w:tcPr>
            <w:tcW w:w="473" w:type="dxa"/>
            <w:shd w:val="clear" w:color="auto" w:fill="auto"/>
          </w:tcPr>
          <w:p w14:paraId="2D72303D" w14:textId="77777777" w:rsidR="00AF3581" w:rsidRPr="00506303" w:rsidRDefault="00AF3581" w:rsidP="0067543B">
            <w:pPr>
              <w:rPr>
                <w:sz w:val="18"/>
                <w:szCs w:val="18"/>
              </w:rPr>
            </w:pPr>
          </w:p>
        </w:tc>
        <w:tc>
          <w:tcPr>
            <w:tcW w:w="473" w:type="dxa"/>
            <w:shd w:val="clear" w:color="auto" w:fill="auto"/>
          </w:tcPr>
          <w:p w14:paraId="10B15533" w14:textId="77777777" w:rsidR="00AF3581" w:rsidRPr="00506303" w:rsidRDefault="00AF3581" w:rsidP="0067543B">
            <w:pPr>
              <w:rPr>
                <w:sz w:val="18"/>
                <w:szCs w:val="18"/>
              </w:rPr>
            </w:pPr>
          </w:p>
        </w:tc>
      </w:tr>
      <w:tr w:rsidR="00E071AC" w:rsidRPr="00506303" w14:paraId="3549D553" w14:textId="77777777" w:rsidTr="00E071AC">
        <w:tc>
          <w:tcPr>
            <w:tcW w:w="944" w:type="dxa"/>
            <w:shd w:val="clear" w:color="auto" w:fill="auto"/>
          </w:tcPr>
          <w:p w14:paraId="6C4F0110" w14:textId="77777777" w:rsidR="00AF3581" w:rsidRPr="00506303" w:rsidRDefault="00AF3581" w:rsidP="0067543B">
            <w:pPr>
              <w:rPr>
                <w:sz w:val="18"/>
                <w:szCs w:val="18"/>
              </w:rPr>
            </w:pPr>
            <w:r w:rsidRPr="00506303">
              <w:rPr>
                <w:sz w:val="18"/>
                <w:szCs w:val="18"/>
              </w:rPr>
              <w:t>1.2.3.4</w:t>
            </w:r>
          </w:p>
        </w:tc>
        <w:tc>
          <w:tcPr>
            <w:tcW w:w="3776" w:type="dxa"/>
            <w:shd w:val="clear" w:color="auto" w:fill="auto"/>
          </w:tcPr>
          <w:p w14:paraId="2DE8AEA3" w14:textId="77777777" w:rsidR="00AF3581" w:rsidRPr="00506303" w:rsidRDefault="00AF3581" w:rsidP="0067543B">
            <w:pPr>
              <w:rPr>
                <w:sz w:val="18"/>
                <w:szCs w:val="18"/>
              </w:rPr>
            </w:pPr>
            <w:r w:rsidRPr="00506303">
              <w:rPr>
                <w:sz w:val="18"/>
                <w:szCs w:val="18"/>
              </w:rPr>
              <w:t>Establish management teams and site-based volunteer networks for application of tools</w:t>
            </w:r>
          </w:p>
        </w:tc>
        <w:tc>
          <w:tcPr>
            <w:tcW w:w="472" w:type="dxa"/>
            <w:shd w:val="clear" w:color="auto" w:fill="auto"/>
          </w:tcPr>
          <w:p w14:paraId="52806560" w14:textId="77777777" w:rsidR="00AF3581" w:rsidRPr="00506303" w:rsidRDefault="00AF3581" w:rsidP="0067543B">
            <w:pPr>
              <w:rPr>
                <w:sz w:val="18"/>
                <w:szCs w:val="18"/>
              </w:rPr>
            </w:pPr>
          </w:p>
        </w:tc>
        <w:tc>
          <w:tcPr>
            <w:tcW w:w="472" w:type="dxa"/>
            <w:shd w:val="clear" w:color="auto" w:fill="auto"/>
          </w:tcPr>
          <w:p w14:paraId="22BDFCA0" w14:textId="77777777" w:rsidR="00AF3581" w:rsidRPr="00506303" w:rsidRDefault="00AF3581" w:rsidP="0067543B">
            <w:pPr>
              <w:rPr>
                <w:sz w:val="18"/>
                <w:szCs w:val="18"/>
              </w:rPr>
            </w:pPr>
          </w:p>
        </w:tc>
        <w:tc>
          <w:tcPr>
            <w:tcW w:w="472" w:type="dxa"/>
            <w:shd w:val="clear" w:color="auto" w:fill="auto"/>
          </w:tcPr>
          <w:p w14:paraId="6D915D6A" w14:textId="77777777" w:rsidR="00AF3581" w:rsidRPr="00506303" w:rsidRDefault="00AF3581" w:rsidP="0067543B">
            <w:pPr>
              <w:rPr>
                <w:sz w:val="18"/>
                <w:szCs w:val="18"/>
              </w:rPr>
            </w:pPr>
          </w:p>
        </w:tc>
        <w:tc>
          <w:tcPr>
            <w:tcW w:w="472" w:type="dxa"/>
            <w:shd w:val="clear" w:color="auto" w:fill="auto"/>
          </w:tcPr>
          <w:p w14:paraId="7CB99CCC" w14:textId="77777777" w:rsidR="00AF3581" w:rsidRPr="00506303" w:rsidRDefault="00AF3581" w:rsidP="0067543B">
            <w:pPr>
              <w:rPr>
                <w:sz w:val="18"/>
                <w:szCs w:val="18"/>
              </w:rPr>
            </w:pPr>
          </w:p>
        </w:tc>
        <w:tc>
          <w:tcPr>
            <w:tcW w:w="472" w:type="dxa"/>
            <w:shd w:val="clear" w:color="auto" w:fill="auto"/>
          </w:tcPr>
          <w:p w14:paraId="77C13086" w14:textId="77777777" w:rsidR="00AF3581" w:rsidRPr="00506303" w:rsidRDefault="00AF3581" w:rsidP="0067543B">
            <w:pPr>
              <w:rPr>
                <w:sz w:val="18"/>
                <w:szCs w:val="18"/>
              </w:rPr>
            </w:pPr>
          </w:p>
        </w:tc>
        <w:tc>
          <w:tcPr>
            <w:tcW w:w="472" w:type="dxa"/>
            <w:shd w:val="clear" w:color="auto" w:fill="auto"/>
          </w:tcPr>
          <w:p w14:paraId="496F6C9B" w14:textId="77777777" w:rsidR="00AF3581" w:rsidRPr="00506303" w:rsidRDefault="00AF3581" w:rsidP="0067543B">
            <w:pPr>
              <w:rPr>
                <w:sz w:val="18"/>
                <w:szCs w:val="18"/>
              </w:rPr>
            </w:pPr>
          </w:p>
        </w:tc>
        <w:tc>
          <w:tcPr>
            <w:tcW w:w="472" w:type="dxa"/>
            <w:shd w:val="clear" w:color="auto" w:fill="auto"/>
          </w:tcPr>
          <w:p w14:paraId="52A64DC0" w14:textId="77777777" w:rsidR="00AF3581" w:rsidRPr="00506303" w:rsidRDefault="00AF3581" w:rsidP="0067543B">
            <w:pPr>
              <w:rPr>
                <w:sz w:val="18"/>
                <w:szCs w:val="18"/>
              </w:rPr>
            </w:pPr>
          </w:p>
        </w:tc>
        <w:tc>
          <w:tcPr>
            <w:tcW w:w="472" w:type="dxa"/>
            <w:shd w:val="clear" w:color="auto" w:fill="FFFFFF"/>
          </w:tcPr>
          <w:p w14:paraId="5101979D" w14:textId="77777777" w:rsidR="00AF3581" w:rsidRPr="00506303" w:rsidRDefault="00AF3581" w:rsidP="0067543B">
            <w:pPr>
              <w:rPr>
                <w:sz w:val="18"/>
                <w:szCs w:val="18"/>
              </w:rPr>
            </w:pPr>
          </w:p>
        </w:tc>
        <w:tc>
          <w:tcPr>
            <w:tcW w:w="472" w:type="dxa"/>
            <w:shd w:val="clear" w:color="auto" w:fill="D9D9D9"/>
          </w:tcPr>
          <w:p w14:paraId="45224C35" w14:textId="77777777" w:rsidR="00AF3581" w:rsidRPr="00506303" w:rsidRDefault="00AF3581" w:rsidP="0067543B">
            <w:pPr>
              <w:rPr>
                <w:sz w:val="18"/>
                <w:szCs w:val="18"/>
              </w:rPr>
            </w:pPr>
          </w:p>
        </w:tc>
        <w:tc>
          <w:tcPr>
            <w:tcW w:w="472" w:type="dxa"/>
            <w:shd w:val="clear" w:color="auto" w:fill="D9D9D9"/>
          </w:tcPr>
          <w:p w14:paraId="4FD275DA" w14:textId="77777777" w:rsidR="00AF3581" w:rsidRPr="00506303" w:rsidRDefault="00AF3581" w:rsidP="0067543B">
            <w:pPr>
              <w:rPr>
                <w:sz w:val="18"/>
                <w:szCs w:val="18"/>
              </w:rPr>
            </w:pPr>
          </w:p>
        </w:tc>
        <w:tc>
          <w:tcPr>
            <w:tcW w:w="473" w:type="dxa"/>
            <w:shd w:val="clear" w:color="auto" w:fill="D9D9D9"/>
          </w:tcPr>
          <w:p w14:paraId="58001BEA" w14:textId="77777777" w:rsidR="00AF3581" w:rsidRPr="00506303" w:rsidRDefault="00AF3581" w:rsidP="0067543B">
            <w:pPr>
              <w:rPr>
                <w:sz w:val="18"/>
                <w:szCs w:val="18"/>
              </w:rPr>
            </w:pPr>
          </w:p>
        </w:tc>
        <w:tc>
          <w:tcPr>
            <w:tcW w:w="473" w:type="dxa"/>
            <w:shd w:val="clear" w:color="auto" w:fill="D9D9D9"/>
          </w:tcPr>
          <w:p w14:paraId="173BB32E" w14:textId="77777777" w:rsidR="00AF3581" w:rsidRPr="00506303" w:rsidRDefault="00AF3581" w:rsidP="0067543B">
            <w:pPr>
              <w:rPr>
                <w:sz w:val="18"/>
                <w:szCs w:val="18"/>
              </w:rPr>
            </w:pPr>
          </w:p>
        </w:tc>
        <w:tc>
          <w:tcPr>
            <w:tcW w:w="473" w:type="dxa"/>
            <w:shd w:val="clear" w:color="auto" w:fill="D9D9D9"/>
          </w:tcPr>
          <w:p w14:paraId="6855B703" w14:textId="77777777" w:rsidR="00AF3581" w:rsidRPr="00506303" w:rsidRDefault="00AF3581" w:rsidP="0067543B">
            <w:pPr>
              <w:rPr>
                <w:sz w:val="18"/>
                <w:szCs w:val="18"/>
              </w:rPr>
            </w:pPr>
          </w:p>
        </w:tc>
        <w:tc>
          <w:tcPr>
            <w:tcW w:w="473" w:type="dxa"/>
            <w:shd w:val="clear" w:color="auto" w:fill="D9D9D9"/>
          </w:tcPr>
          <w:p w14:paraId="3B5ADCFC" w14:textId="77777777" w:rsidR="00AF3581" w:rsidRPr="00506303" w:rsidRDefault="00AF3581" w:rsidP="0067543B">
            <w:pPr>
              <w:rPr>
                <w:sz w:val="18"/>
                <w:szCs w:val="18"/>
              </w:rPr>
            </w:pPr>
          </w:p>
        </w:tc>
        <w:tc>
          <w:tcPr>
            <w:tcW w:w="473" w:type="dxa"/>
            <w:shd w:val="clear" w:color="auto" w:fill="D9D9D9"/>
          </w:tcPr>
          <w:p w14:paraId="27DC82CB" w14:textId="77777777" w:rsidR="00AF3581" w:rsidRPr="00506303" w:rsidRDefault="00AF3581" w:rsidP="0067543B">
            <w:pPr>
              <w:rPr>
                <w:sz w:val="18"/>
                <w:szCs w:val="18"/>
              </w:rPr>
            </w:pPr>
          </w:p>
        </w:tc>
        <w:tc>
          <w:tcPr>
            <w:tcW w:w="473" w:type="dxa"/>
            <w:shd w:val="clear" w:color="auto" w:fill="D9D9D9"/>
          </w:tcPr>
          <w:p w14:paraId="51927804" w14:textId="77777777" w:rsidR="00AF3581" w:rsidRPr="00506303" w:rsidRDefault="00AF3581" w:rsidP="0067543B">
            <w:pPr>
              <w:rPr>
                <w:sz w:val="18"/>
                <w:szCs w:val="18"/>
              </w:rPr>
            </w:pPr>
          </w:p>
        </w:tc>
        <w:tc>
          <w:tcPr>
            <w:tcW w:w="473" w:type="dxa"/>
            <w:shd w:val="clear" w:color="auto" w:fill="D9D9D9"/>
          </w:tcPr>
          <w:p w14:paraId="7B131C39" w14:textId="77777777" w:rsidR="00AF3581" w:rsidRPr="00506303" w:rsidRDefault="00AF3581" w:rsidP="0067543B">
            <w:pPr>
              <w:rPr>
                <w:sz w:val="18"/>
                <w:szCs w:val="18"/>
              </w:rPr>
            </w:pPr>
          </w:p>
        </w:tc>
        <w:tc>
          <w:tcPr>
            <w:tcW w:w="473" w:type="dxa"/>
            <w:shd w:val="clear" w:color="auto" w:fill="D9D9D9"/>
          </w:tcPr>
          <w:p w14:paraId="272EB0B1" w14:textId="77777777" w:rsidR="00AF3581" w:rsidRPr="00506303" w:rsidRDefault="00AF3581" w:rsidP="0067543B">
            <w:pPr>
              <w:rPr>
                <w:sz w:val="18"/>
                <w:szCs w:val="18"/>
              </w:rPr>
            </w:pPr>
          </w:p>
        </w:tc>
        <w:tc>
          <w:tcPr>
            <w:tcW w:w="473" w:type="dxa"/>
            <w:shd w:val="clear" w:color="auto" w:fill="D9D9D9"/>
          </w:tcPr>
          <w:p w14:paraId="453D450D" w14:textId="77777777" w:rsidR="00AF3581" w:rsidRPr="00506303" w:rsidRDefault="00AF3581" w:rsidP="0067543B">
            <w:pPr>
              <w:rPr>
                <w:sz w:val="18"/>
                <w:szCs w:val="18"/>
              </w:rPr>
            </w:pPr>
          </w:p>
        </w:tc>
        <w:tc>
          <w:tcPr>
            <w:tcW w:w="473" w:type="dxa"/>
            <w:shd w:val="clear" w:color="auto" w:fill="D9D9D9"/>
          </w:tcPr>
          <w:p w14:paraId="5A8ED9E4" w14:textId="77777777" w:rsidR="00AF3581" w:rsidRPr="00506303" w:rsidRDefault="00AF3581" w:rsidP="0067543B">
            <w:pPr>
              <w:rPr>
                <w:sz w:val="18"/>
                <w:szCs w:val="18"/>
              </w:rPr>
            </w:pPr>
          </w:p>
        </w:tc>
      </w:tr>
      <w:tr w:rsidR="00E071AC" w:rsidRPr="00506303" w14:paraId="7E62C7F2" w14:textId="77777777" w:rsidTr="00E071AC">
        <w:tc>
          <w:tcPr>
            <w:tcW w:w="944" w:type="dxa"/>
            <w:shd w:val="clear" w:color="auto" w:fill="auto"/>
          </w:tcPr>
          <w:p w14:paraId="6C898E4B" w14:textId="77777777" w:rsidR="00AF3581" w:rsidRPr="00506303" w:rsidRDefault="00AF3581" w:rsidP="0067543B">
            <w:pPr>
              <w:rPr>
                <w:sz w:val="18"/>
                <w:szCs w:val="18"/>
              </w:rPr>
            </w:pPr>
            <w:r w:rsidRPr="00506303">
              <w:rPr>
                <w:sz w:val="18"/>
                <w:szCs w:val="18"/>
              </w:rPr>
              <w:t>1.2.3.5</w:t>
            </w:r>
          </w:p>
        </w:tc>
        <w:tc>
          <w:tcPr>
            <w:tcW w:w="3776" w:type="dxa"/>
            <w:shd w:val="clear" w:color="auto" w:fill="auto"/>
          </w:tcPr>
          <w:p w14:paraId="7424B579" w14:textId="77777777" w:rsidR="00AF3581" w:rsidRPr="00506303" w:rsidRDefault="00AF3581" w:rsidP="0067543B">
            <w:pPr>
              <w:rPr>
                <w:sz w:val="18"/>
                <w:szCs w:val="18"/>
              </w:rPr>
            </w:pPr>
            <w:r w:rsidRPr="00506303">
              <w:rPr>
                <w:sz w:val="18"/>
                <w:szCs w:val="18"/>
              </w:rPr>
              <w:t>Coordinate annual training and awareness activities at the 82 sites</w:t>
            </w:r>
          </w:p>
        </w:tc>
        <w:tc>
          <w:tcPr>
            <w:tcW w:w="472" w:type="dxa"/>
            <w:shd w:val="clear" w:color="auto" w:fill="auto"/>
          </w:tcPr>
          <w:p w14:paraId="3F52E841" w14:textId="77777777" w:rsidR="00AF3581" w:rsidRPr="00506303" w:rsidRDefault="00AF3581" w:rsidP="0067543B">
            <w:pPr>
              <w:rPr>
                <w:sz w:val="18"/>
                <w:szCs w:val="18"/>
              </w:rPr>
            </w:pPr>
          </w:p>
        </w:tc>
        <w:tc>
          <w:tcPr>
            <w:tcW w:w="472" w:type="dxa"/>
            <w:shd w:val="clear" w:color="auto" w:fill="auto"/>
          </w:tcPr>
          <w:p w14:paraId="6AA4E4D8" w14:textId="77777777" w:rsidR="00AF3581" w:rsidRPr="00506303" w:rsidRDefault="00AF3581" w:rsidP="0067543B">
            <w:pPr>
              <w:rPr>
                <w:sz w:val="18"/>
                <w:szCs w:val="18"/>
              </w:rPr>
            </w:pPr>
          </w:p>
        </w:tc>
        <w:tc>
          <w:tcPr>
            <w:tcW w:w="472" w:type="dxa"/>
            <w:shd w:val="clear" w:color="auto" w:fill="auto"/>
          </w:tcPr>
          <w:p w14:paraId="52EC2D80" w14:textId="77777777" w:rsidR="00AF3581" w:rsidRPr="00506303" w:rsidRDefault="00AF3581" w:rsidP="0067543B">
            <w:pPr>
              <w:rPr>
                <w:sz w:val="18"/>
                <w:szCs w:val="18"/>
              </w:rPr>
            </w:pPr>
          </w:p>
        </w:tc>
        <w:tc>
          <w:tcPr>
            <w:tcW w:w="472" w:type="dxa"/>
            <w:shd w:val="clear" w:color="auto" w:fill="auto"/>
          </w:tcPr>
          <w:p w14:paraId="499A6B14" w14:textId="77777777" w:rsidR="00AF3581" w:rsidRPr="00506303" w:rsidRDefault="00AF3581" w:rsidP="0067543B">
            <w:pPr>
              <w:rPr>
                <w:sz w:val="18"/>
                <w:szCs w:val="18"/>
              </w:rPr>
            </w:pPr>
          </w:p>
        </w:tc>
        <w:tc>
          <w:tcPr>
            <w:tcW w:w="472" w:type="dxa"/>
            <w:shd w:val="clear" w:color="auto" w:fill="auto"/>
          </w:tcPr>
          <w:p w14:paraId="440AC777" w14:textId="77777777" w:rsidR="00AF3581" w:rsidRPr="00506303" w:rsidRDefault="00AF3581" w:rsidP="0067543B">
            <w:pPr>
              <w:rPr>
                <w:sz w:val="18"/>
                <w:szCs w:val="18"/>
              </w:rPr>
            </w:pPr>
          </w:p>
        </w:tc>
        <w:tc>
          <w:tcPr>
            <w:tcW w:w="472" w:type="dxa"/>
            <w:shd w:val="clear" w:color="auto" w:fill="auto"/>
          </w:tcPr>
          <w:p w14:paraId="6C92FAF7" w14:textId="77777777" w:rsidR="00AF3581" w:rsidRPr="00506303" w:rsidRDefault="00AF3581" w:rsidP="0067543B">
            <w:pPr>
              <w:rPr>
                <w:sz w:val="18"/>
                <w:szCs w:val="18"/>
              </w:rPr>
            </w:pPr>
          </w:p>
        </w:tc>
        <w:tc>
          <w:tcPr>
            <w:tcW w:w="472" w:type="dxa"/>
            <w:shd w:val="clear" w:color="auto" w:fill="D9D9D9"/>
          </w:tcPr>
          <w:p w14:paraId="5DB2D4A8" w14:textId="77777777" w:rsidR="00AF3581" w:rsidRPr="00506303" w:rsidRDefault="00AF3581" w:rsidP="0067543B">
            <w:pPr>
              <w:rPr>
                <w:sz w:val="18"/>
                <w:szCs w:val="18"/>
              </w:rPr>
            </w:pPr>
          </w:p>
        </w:tc>
        <w:tc>
          <w:tcPr>
            <w:tcW w:w="472" w:type="dxa"/>
            <w:shd w:val="clear" w:color="auto" w:fill="auto"/>
          </w:tcPr>
          <w:p w14:paraId="309525D9" w14:textId="77777777" w:rsidR="00AF3581" w:rsidRPr="00506303" w:rsidRDefault="00AF3581" w:rsidP="0067543B">
            <w:pPr>
              <w:rPr>
                <w:sz w:val="18"/>
                <w:szCs w:val="18"/>
              </w:rPr>
            </w:pPr>
          </w:p>
        </w:tc>
        <w:tc>
          <w:tcPr>
            <w:tcW w:w="472" w:type="dxa"/>
            <w:shd w:val="clear" w:color="auto" w:fill="auto"/>
          </w:tcPr>
          <w:p w14:paraId="64D9B020" w14:textId="77777777" w:rsidR="00AF3581" w:rsidRPr="00506303" w:rsidRDefault="00AF3581" w:rsidP="0067543B">
            <w:pPr>
              <w:rPr>
                <w:sz w:val="18"/>
                <w:szCs w:val="18"/>
              </w:rPr>
            </w:pPr>
          </w:p>
        </w:tc>
        <w:tc>
          <w:tcPr>
            <w:tcW w:w="472" w:type="dxa"/>
            <w:shd w:val="clear" w:color="auto" w:fill="auto"/>
          </w:tcPr>
          <w:p w14:paraId="0E46A19B" w14:textId="77777777" w:rsidR="00AF3581" w:rsidRPr="00506303" w:rsidRDefault="00AF3581" w:rsidP="0067543B">
            <w:pPr>
              <w:rPr>
                <w:sz w:val="18"/>
                <w:szCs w:val="18"/>
              </w:rPr>
            </w:pPr>
          </w:p>
        </w:tc>
        <w:tc>
          <w:tcPr>
            <w:tcW w:w="473" w:type="dxa"/>
            <w:shd w:val="clear" w:color="auto" w:fill="D9D9D9"/>
          </w:tcPr>
          <w:p w14:paraId="46B272F4" w14:textId="77777777" w:rsidR="00AF3581" w:rsidRPr="00506303" w:rsidRDefault="00AF3581" w:rsidP="0067543B">
            <w:pPr>
              <w:rPr>
                <w:sz w:val="18"/>
                <w:szCs w:val="18"/>
              </w:rPr>
            </w:pPr>
          </w:p>
        </w:tc>
        <w:tc>
          <w:tcPr>
            <w:tcW w:w="473" w:type="dxa"/>
            <w:shd w:val="clear" w:color="auto" w:fill="auto"/>
          </w:tcPr>
          <w:p w14:paraId="46F0C498" w14:textId="77777777" w:rsidR="00AF3581" w:rsidRPr="00506303" w:rsidRDefault="00AF3581" w:rsidP="0067543B">
            <w:pPr>
              <w:rPr>
                <w:sz w:val="18"/>
                <w:szCs w:val="18"/>
              </w:rPr>
            </w:pPr>
          </w:p>
        </w:tc>
        <w:tc>
          <w:tcPr>
            <w:tcW w:w="473" w:type="dxa"/>
            <w:shd w:val="clear" w:color="auto" w:fill="auto"/>
          </w:tcPr>
          <w:p w14:paraId="1DB2DFC6" w14:textId="77777777" w:rsidR="00AF3581" w:rsidRPr="00506303" w:rsidRDefault="00AF3581" w:rsidP="0067543B">
            <w:pPr>
              <w:rPr>
                <w:sz w:val="18"/>
                <w:szCs w:val="18"/>
              </w:rPr>
            </w:pPr>
          </w:p>
        </w:tc>
        <w:tc>
          <w:tcPr>
            <w:tcW w:w="473" w:type="dxa"/>
            <w:shd w:val="clear" w:color="auto" w:fill="auto"/>
          </w:tcPr>
          <w:p w14:paraId="723F7FA0" w14:textId="77777777" w:rsidR="00AF3581" w:rsidRPr="00506303" w:rsidRDefault="00AF3581" w:rsidP="0067543B">
            <w:pPr>
              <w:rPr>
                <w:sz w:val="18"/>
                <w:szCs w:val="18"/>
              </w:rPr>
            </w:pPr>
          </w:p>
        </w:tc>
        <w:tc>
          <w:tcPr>
            <w:tcW w:w="473" w:type="dxa"/>
            <w:shd w:val="clear" w:color="auto" w:fill="D9D9D9"/>
          </w:tcPr>
          <w:p w14:paraId="09100F05" w14:textId="77777777" w:rsidR="00AF3581" w:rsidRPr="00506303" w:rsidRDefault="00AF3581" w:rsidP="0067543B">
            <w:pPr>
              <w:rPr>
                <w:sz w:val="18"/>
                <w:szCs w:val="18"/>
              </w:rPr>
            </w:pPr>
          </w:p>
        </w:tc>
        <w:tc>
          <w:tcPr>
            <w:tcW w:w="473" w:type="dxa"/>
            <w:shd w:val="clear" w:color="auto" w:fill="auto"/>
          </w:tcPr>
          <w:p w14:paraId="481CE9E3" w14:textId="77777777" w:rsidR="00AF3581" w:rsidRPr="00506303" w:rsidRDefault="00AF3581" w:rsidP="0067543B">
            <w:pPr>
              <w:rPr>
                <w:sz w:val="18"/>
                <w:szCs w:val="18"/>
              </w:rPr>
            </w:pPr>
          </w:p>
        </w:tc>
        <w:tc>
          <w:tcPr>
            <w:tcW w:w="473" w:type="dxa"/>
            <w:shd w:val="clear" w:color="auto" w:fill="auto"/>
          </w:tcPr>
          <w:p w14:paraId="184596B7" w14:textId="77777777" w:rsidR="00AF3581" w:rsidRPr="00506303" w:rsidRDefault="00AF3581" w:rsidP="0067543B">
            <w:pPr>
              <w:rPr>
                <w:sz w:val="18"/>
                <w:szCs w:val="18"/>
              </w:rPr>
            </w:pPr>
          </w:p>
        </w:tc>
        <w:tc>
          <w:tcPr>
            <w:tcW w:w="473" w:type="dxa"/>
            <w:shd w:val="clear" w:color="auto" w:fill="auto"/>
          </w:tcPr>
          <w:p w14:paraId="40B39783" w14:textId="77777777" w:rsidR="00AF3581" w:rsidRPr="00506303" w:rsidRDefault="00AF3581" w:rsidP="0067543B">
            <w:pPr>
              <w:rPr>
                <w:sz w:val="18"/>
                <w:szCs w:val="18"/>
              </w:rPr>
            </w:pPr>
          </w:p>
        </w:tc>
        <w:tc>
          <w:tcPr>
            <w:tcW w:w="473" w:type="dxa"/>
            <w:shd w:val="clear" w:color="auto" w:fill="D9D9D9"/>
          </w:tcPr>
          <w:p w14:paraId="44C85CCC" w14:textId="77777777" w:rsidR="00AF3581" w:rsidRPr="00506303" w:rsidRDefault="00AF3581" w:rsidP="0067543B">
            <w:pPr>
              <w:rPr>
                <w:sz w:val="18"/>
                <w:szCs w:val="18"/>
              </w:rPr>
            </w:pPr>
          </w:p>
        </w:tc>
        <w:tc>
          <w:tcPr>
            <w:tcW w:w="473" w:type="dxa"/>
            <w:shd w:val="clear" w:color="auto" w:fill="auto"/>
          </w:tcPr>
          <w:p w14:paraId="559CE0A4" w14:textId="77777777" w:rsidR="00AF3581" w:rsidRPr="00506303" w:rsidRDefault="00AF3581" w:rsidP="0067543B">
            <w:pPr>
              <w:rPr>
                <w:sz w:val="18"/>
                <w:szCs w:val="18"/>
              </w:rPr>
            </w:pPr>
          </w:p>
        </w:tc>
      </w:tr>
      <w:tr w:rsidR="00E071AC" w:rsidRPr="00506303" w14:paraId="6D566FEB" w14:textId="77777777" w:rsidTr="00E071AC">
        <w:tc>
          <w:tcPr>
            <w:tcW w:w="944" w:type="dxa"/>
            <w:shd w:val="clear" w:color="auto" w:fill="auto"/>
          </w:tcPr>
          <w:p w14:paraId="2E9D7CFC" w14:textId="77777777" w:rsidR="00AF3581" w:rsidRPr="00506303" w:rsidRDefault="00AF3581" w:rsidP="0067543B">
            <w:pPr>
              <w:rPr>
                <w:sz w:val="18"/>
                <w:szCs w:val="18"/>
              </w:rPr>
            </w:pPr>
            <w:r w:rsidRPr="00506303">
              <w:rPr>
                <w:sz w:val="18"/>
                <w:szCs w:val="18"/>
              </w:rPr>
              <w:t>1.2.3.6</w:t>
            </w:r>
          </w:p>
        </w:tc>
        <w:tc>
          <w:tcPr>
            <w:tcW w:w="3776" w:type="dxa"/>
            <w:shd w:val="clear" w:color="auto" w:fill="auto"/>
          </w:tcPr>
          <w:p w14:paraId="6AD0A2F1" w14:textId="77777777" w:rsidR="00AF3581" w:rsidRPr="00506303" w:rsidRDefault="00AF3581" w:rsidP="0067543B">
            <w:pPr>
              <w:rPr>
                <w:sz w:val="18"/>
                <w:szCs w:val="18"/>
              </w:rPr>
            </w:pPr>
            <w:r w:rsidRPr="00506303">
              <w:rPr>
                <w:sz w:val="18"/>
                <w:szCs w:val="18"/>
              </w:rPr>
              <w:t>Develop and implement collaborative observer and enforcement programmes at the 82 sites</w:t>
            </w:r>
          </w:p>
        </w:tc>
        <w:tc>
          <w:tcPr>
            <w:tcW w:w="472" w:type="dxa"/>
            <w:shd w:val="clear" w:color="auto" w:fill="auto"/>
          </w:tcPr>
          <w:p w14:paraId="6107D7C2" w14:textId="77777777" w:rsidR="00AF3581" w:rsidRPr="00506303" w:rsidRDefault="00AF3581" w:rsidP="0067543B">
            <w:pPr>
              <w:rPr>
                <w:sz w:val="18"/>
                <w:szCs w:val="18"/>
              </w:rPr>
            </w:pPr>
          </w:p>
        </w:tc>
        <w:tc>
          <w:tcPr>
            <w:tcW w:w="472" w:type="dxa"/>
            <w:shd w:val="clear" w:color="auto" w:fill="auto"/>
          </w:tcPr>
          <w:p w14:paraId="04ED1003" w14:textId="77777777" w:rsidR="00AF3581" w:rsidRPr="00506303" w:rsidRDefault="00AF3581" w:rsidP="0067543B">
            <w:pPr>
              <w:rPr>
                <w:sz w:val="18"/>
                <w:szCs w:val="18"/>
              </w:rPr>
            </w:pPr>
          </w:p>
        </w:tc>
        <w:tc>
          <w:tcPr>
            <w:tcW w:w="472" w:type="dxa"/>
            <w:shd w:val="clear" w:color="auto" w:fill="auto"/>
          </w:tcPr>
          <w:p w14:paraId="158BF119" w14:textId="77777777" w:rsidR="00AF3581" w:rsidRPr="00506303" w:rsidRDefault="00AF3581" w:rsidP="0067543B">
            <w:pPr>
              <w:rPr>
                <w:sz w:val="18"/>
                <w:szCs w:val="18"/>
              </w:rPr>
            </w:pPr>
          </w:p>
        </w:tc>
        <w:tc>
          <w:tcPr>
            <w:tcW w:w="472" w:type="dxa"/>
            <w:shd w:val="clear" w:color="auto" w:fill="auto"/>
          </w:tcPr>
          <w:p w14:paraId="34AD13CA" w14:textId="77777777" w:rsidR="00AF3581" w:rsidRPr="00506303" w:rsidRDefault="00AF3581" w:rsidP="0067543B">
            <w:pPr>
              <w:rPr>
                <w:sz w:val="18"/>
                <w:szCs w:val="18"/>
              </w:rPr>
            </w:pPr>
          </w:p>
        </w:tc>
        <w:tc>
          <w:tcPr>
            <w:tcW w:w="472" w:type="dxa"/>
            <w:shd w:val="clear" w:color="auto" w:fill="auto"/>
          </w:tcPr>
          <w:p w14:paraId="6EDCFFB3" w14:textId="77777777" w:rsidR="00AF3581" w:rsidRPr="00506303" w:rsidRDefault="00AF3581" w:rsidP="0067543B">
            <w:pPr>
              <w:rPr>
                <w:sz w:val="18"/>
                <w:szCs w:val="18"/>
              </w:rPr>
            </w:pPr>
          </w:p>
        </w:tc>
        <w:tc>
          <w:tcPr>
            <w:tcW w:w="472" w:type="dxa"/>
            <w:shd w:val="clear" w:color="auto" w:fill="auto"/>
          </w:tcPr>
          <w:p w14:paraId="2F4A75A2" w14:textId="77777777" w:rsidR="00AF3581" w:rsidRPr="00506303" w:rsidRDefault="00AF3581" w:rsidP="0067543B">
            <w:pPr>
              <w:rPr>
                <w:sz w:val="18"/>
                <w:szCs w:val="18"/>
              </w:rPr>
            </w:pPr>
          </w:p>
        </w:tc>
        <w:tc>
          <w:tcPr>
            <w:tcW w:w="472" w:type="dxa"/>
            <w:shd w:val="clear" w:color="auto" w:fill="auto"/>
          </w:tcPr>
          <w:p w14:paraId="568F8837" w14:textId="77777777" w:rsidR="00AF3581" w:rsidRPr="00506303" w:rsidRDefault="00AF3581" w:rsidP="0067543B">
            <w:pPr>
              <w:rPr>
                <w:sz w:val="18"/>
                <w:szCs w:val="18"/>
              </w:rPr>
            </w:pPr>
          </w:p>
        </w:tc>
        <w:tc>
          <w:tcPr>
            <w:tcW w:w="472" w:type="dxa"/>
            <w:shd w:val="clear" w:color="auto" w:fill="auto"/>
          </w:tcPr>
          <w:p w14:paraId="5B6980F1" w14:textId="77777777" w:rsidR="00AF3581" w:rsidRPr="00506303" w:rsidRDefault="00AF3581" w:rsidP="0067543B">
            <w:pPr>
              <w:rPr>
                <w:sz w:val="18"/>
                <w:szCs w:val="18"/>
              </w:rPr>
            </w:pPr>
          </w:p>
        </w:tc>
        <w:tc>
          <w:tcPr>
            <w:tcW w:w="472" w:type="dxa"/>
            <w:shd w:val="clear" w:color="auto" w:fill="D9D9D9"/>
          </w:tcPr>
          <w:p w14:paraId="79848B05" w14:textId="77777777" w:rsidR="00AF3581" w:rsidRPr="00506303" w:rsidRDefault="00AF3581" w:rsidP="0067543B">
            <w:pPr>
              <w:rPr>
                <w:sz w:val="18"/>
                <w:szCs w:val="18"/>
              </w:rPr>
            </w:pPr>
          </w:p>
        </w:tc>
        <w:tc>
          <w:tcPr>
            <w:tcW w:w="472" w:type="dxa"/>
            <w:shd w:val="clear" w:color="auto" w:fill="D9D9D9"/>
          </w:tcPr>
          <w:p w14:paraId="6CD6271D" w14:textId="77777777" w:rsidR="00AF3581" w:rsidRPr="00506303" w:rsidRDefault="00AF3581" w:rsidP="0067543B">
            <w:pPr>
              <w:rPr>
                <w:sz w:val="18"/>
                <w:szCs w:val="18"/>
              </w:rPr>
            </w:pPr>
          </w:p>
        </w:tc>
        <w:tc>
          <w:tcPr>
            <w:tcW w:w="473" w:type="dxa"/>
            <w:shd w:val="clear" w:color="auto" w:fill="D9D9D9"/>
          </w:tcPr>
          <w:p w14:paraId="6EA77DBE" w14:textId="77777777" w:rsidR="00AF3581" w:rsidRPr="00506303" w:rsidRDefault="00AF3581" w:rsidP="0067543B">
            <w:pPr>
              <w:rPr>
                <w:sz w:val="18"/>
                <w:szCs w:val="18"/>
              </w:rPr>
            </w:pPr>
          </w:p>
        </w:tc>
        <w:tc>
          <w:tcPr>
            <w:tcW w:w="473" w:type="dxa"/>
            <w:shd w:val="clear" w:color="auto" w:fill="D9D9D9"/>
          </w:tcPr>
          <w:p w14:paraId="2A8FC5C1" w14:textId="77777777" w:rsidR="00AF3581" w:rsidRPr="00506303" w:rsidRDefault="00AF3581" w:rsidP="0067543B">
            <w:pPr>
              <w:rPr>
                <w:sz w:val="18"/>
                <w:szCs w:val="18"/>
              </w:rPr>
            </w:pPr>
          </w:p>
        </w:tc>
        <w:tc>
          <w:tcPr>
            <w:tcW w:w="473" w:type="dxa"/>
            <w:shd w:val="clear" w:color="auto" w:fill="D9D9D9"/>
          </w:tcPr>
          <w:p w14:paraId="68A24DF5" w14:textId="77777777" w:rsidR="00AF3581" w:rsidRPr="00506303" w:rsidRDefault="00AF3581" w:rsidP="0067543B">
            <w:pPr>
              <w:rPr>
                <w:sz w:val="18"/>
                <w:szCs w:val="18"/>
              </w:rPr>
            </w:pPr>
          </w:p>
        </w:tc>
        <w:tc>
          <w:tcPr>
            <w:tcW w:w="473" w:type="dxa"/>
            <w:shd w:val="clear" w:color="auto" w:fill="D9D9D9"/>
          </w:tcPr>
          <w:p w14:paraId="3595AFD5" w14:textId="77777777" w:rsidR="00AF3581" w:rsidRPr="00506303" w:rsidRDefault="00AF3581" w:rsidP="0067543B">
            <w:pPr>
              <w:rPr>
                <w:sz w:val="18"/>
                <w:szCs w:val="18"/>
              </w:rPr>
            </w:pPr>
          </w:p>
        </w:tc>
        <w:tc>
          <w:tcPr>
            <w:tcW w:w="473" w:type="dxa"/>
            <w:shd w:val="clear" w:color="auto" w:fill="D9D9D9"/>
          </w:tcPr>
          <w:p w14:paraId="4A875392" w14:textId="77777777" w:rsidR="00AF3581" w:rsidRPr="00506303" w:rsidRDefault="00AF3581" w:rsidP="0067543B">
            <w:pPr>
              <w:rPr>
                <w:sz w:val="18"/>
                <w:szCs w:val="18"/>
              </w:rPr>
            </w:pPr>
          </w:p>
        </w:tc>
        <w:tc>
          <w:tcPr>
            <w:tcW w:w="473" w:type="dxa"/>
            <w:shd w:val="clear" w:color="auto" w:fill="D9D9D9"/>
          </w:tcPr>
          <w:p w14:paraId="449DF609" w14:textId="77777777" w:rsidR="00AF3581" w:rsidRPr="00506303" w:rsidRDefault="00AF3581" w:rsidP="0067543B">
            <w:pPr>
              <w:rPr>
                <w:sz w:val="18"/>
                <w:szCs w:val="18"/>
              </w:rPr>
            </w:pPr>
          </w:p>
        </w:tc>
        <w:tc>
          <w:tcPr>
            <w:tcW w:w="473" w:type="dxa"/>
            <w:shd w:val="clear" w:color="auto" w:fill="D9D9D9"/>
          </w:tcPr>
          <w:p w14:paraId="7AF4839E" w14:textId="77777777" w:rsidR="00AF3581" w:rsidRPr="00506303" w:rsidRDefault="00AF3581" w:rsidP="0067543B">
            <w:pPr>
              <w:rPr>
                <w:sz w:val="18"/>
                <w:szCs w:val="18"/>
              </w:rPr>
            </w:pPr>
          </w:p>
        </w:tc>
        <w:tc>
          <w:tcPr>
            <w:tcW w:w="473" w:type="dxa"/>
            <w:shd w:val="clear" w:color="auto" w:fill="D9D9D9"/>
          </w:tcPr>
          <w:p w14:paraId="116A4820" w14:textId="77777777" w:rsidR="00AF3581" w:rsidRPr="00506303" w:rsidRDefault="00AF3581" w:rsidP="0067543B">
            <w:pPr>
              <w:rPr>
                <w:sz w:val="18"/>
                <w:szCs w:val="18"/>
              </w:rPr>
            </w:pPr>
          </w:p>
        </w:tc>
        <w:tc>
          <w:tcPr>
            <w:tcW w:w="473" w:type="dxa"/>
            <w:shd w:val="clear" w:color="auto" w:fill="D9D9D9"/>
          </w:tcPr>
          <w:p w14:paraId="355DB3B1" w14:textId="77777777" w:rsidR="00AF3581" w:rsidRPr="00506303" w:rsidRDefault="00AF3581" w:rsidP="0067543B">
            <w:pPr>
              <w:rPr>
                <w:sz w:val="18"/>
                <w:szCs w:val="18"/>
              </w:rPr>
            </w:pPr>
          </w:p>
        </w:tc>
        <w:tc>
          <w:tcPr>
            <w:tcW w:w="473" w:type="dxa"/>
            <w:shd w:val="clear" w:color="auto" w:fill="D9D9D9"/>
          </w:tcPr>
          <w:p w14:paraId="66C34C63" w14:textId="77777777" w:rsidR="00AF3581" w:rsidRPr="00506303" w:rsidRDefault="00AF3581" w:rsidP="0067543B">
            <w:pPr>
              <w:rPr>
                <w:sz w:val="18"/>
                <w:szCs w:val="18"/>
              </w:rPr>
            </w:pPr>
          </w:p>
        </w:tc>
      </w:tr>
      <w:tr w:rsidR="00AF3581" w:rsidRPr="00506303" w14:paraId="3C8EA85C" w14:textId="77777777" w:rsidTr="00506303">
        <w:tc>
          <w:tcPr>
            <w:tcW w:w="944" w:type="dxa"/>
            <w:shd w:val="clear" w:color="auto" w:fill="F2F2F2"/>
          </w:tcPr>
          <w:p w14:paraId="2810712D" w14:textId="77777777" w:rsidR="00AF3581" w:rsidRPr="00506303" w:rsidRDefault="00AF3581" w:rsidP="0067543B">
            <w:pPr>
              <w:rPr>
                <w:b/>
                <w:sz w:val="18"/>
                <w:szCs w:val="18"/>
              </w:rPr>
            </w:pPr>
            <w:r w:rsidRPr="00506303">
              <w:rPr>
                <w:b/>
                <w:sz w:val="18"/>
                <w:szCs w:val="18"/>
              </w:rPr>
              <w:t>1.2.4</w:t>
            </w:r>
          </w:p>
        </w:tc>
        <w:tc>
          <w:tcPr>
            <w:tcW w:w="13226" w:type="dxa"/>
            <w:gridSpan w:val="21"/>
            <w:shd w:val="clear" w:color="auto" w:fill="F2F2F2"/>
          </w:tcPr>
          <w:p w14:paraId="19D286EB" w14:textId="77777777" w:rsidR="00AF3581" w:rsidRPr="00506303" w:rsidRDefault="00AF3581" w:rsidP="0067543B">
            <w:pPr>
              <w:rPr>
                <w:b/>
                <w:sz w:val="18"/>
                <w:szCs w:val="18"/>
              </w:rPr>
            </w:pPr>
            <w:r w:rsidRPr="00506303">
              <w:rPr>
                <w:b/>
                <w:sz w:val="18"/>
                <w:szCs w:val="18"/>
              </w:rPr>
              <w:t>Established mechanism for the monitoring of management, ecological and socio-economic indicators at 82 sites</w:t>
            </w:r>
          </w:p>
        </w:tc>
      </w:tr>
      <w:tr w:rsidR="00AF3581" w:rsidRPr="00506303" w14:paraId="53BC1428" w14:textId="77777777" w:rsidTr="00E071AC">
        <w:tc>
          <w:tcPr>
            <w:tcW w:w="944" w:type="dxa"/>
            <w:shd w:val="clear" w:color="auto" w:fill="auto"/>
          </w:tcPr>
          <w:p w14:paraId="47DD93BC" w14:textId="77777777" w:rsidR="00AF3581" w:rsidRPr="00506303" w:rsidRDefault="00AF3581" w:rsidP="0067543B">
            <w:pPr>
              <w:rPr>
                <w:sz w:val="18"/>
                <w:szCs w:val="18"/>
              </w:rPr>
            </w:pPr>
            <w:r w:rsidRPr="00506303">
              <w:rPr>
                <w:sz w:val="18"/>
                <w:szCs w:val="18"/>
              </w:rPr>
              <w:t>1.2.4.1</w:t>
            </w:r>
          </w:p>
        </w:tc>
        <w:tc>
          <w:tcPr>
            <w:tcW w:w="3776" w:type="dxa"/>
            <w:shd w:val="clear" w:color="auto" w:fill="auto"/>
          </w:tcPr>
          <w:p w14:paraId="1A79639F" w14:textId="77777777" w:rsidR="00AF3581" w:rsidRPr="00506303" w:rsidRDefault="00AF3581" w:rsidP="0067543B">
            <w:pPr>
              <w:rPr>
                <w:sz w:val="18"/>
                <w:szCs w:val="18"/>
              </w:rPr>
            </w:pPr>
            <w:r w:rsidRPr="00506303">
              <w:rPr>
                <w:sz w:val="18"/>
                <w:szCs w:val="18"/>
              </w:rPr>
              <w:t>Develop coral reef management results framework and associated indicator sets</w:t>
            </w:r>
          </w:p>
        </w:tc>
        <w:tc>
          <w:tcPr>
            <w:tcW w:w="472" w:type="dxa"/>
            <w:shd w:val="clear" w:color="auto" w:fill="D9D9D9"/>
          </w:tcPr>
          <w:p w14:paraId="3DEF99D0" w14:textId="77777777" w:rsidR="00AF3581" w:rsidRPr="00506303" w:rsidRDefault="00AF3581" w:rsidP="0067543B">
            <w:pPr>
              <w:rPr>
                <w:sz w:val="18"/>
                <w:szCs w:val="18"/>
              </w:rPr>
            </w:pPr>
          </w:p>
        </w:tc>
        <w:tc>
          <w:tcPr>
            <w:tcW w:w="472" w:type="dxa"/>
            <w:shd w:val="clear" w:color="auto" w:fill="D9D9D9"/>
          </w:tcPr>
          <w:p w14:paraId="2BEC8C3E" w14:textId="77777777" w:rsidR="00AF3581" w:rsidRPr="00506303" w:rsidRDefault="00AF3581" w:rsidP="0067543B">
            <w:pPr>
              <w:rPr>
                <w:sz w:val="18"/>
                <w:szCs w:val="18"/>
              </w:rPr>
            </w:pPr>
          </w:p>
        </w:tc>
        <w:tc>
          <w:tcPr>
            <w:tcW w:w="472" w:type="dxa"/>
            <w:shd w:val="clear" w:color="auto" w:fill="D9D9D9"/>
          </w:tcPr>
          <w:p w14:paraId="2CCCEB89" w14:textId="77777777" w:rsidR="00AF3581" w:rsidRPr="00506303" w:rsidRDefault="00AF3581" w:rsidP="0067543B">
            <w:pPr>
              <w:rPr>
                <w:sz w:val="18"/>
                <w:szCs w:val="18"/>
              </w:rPr>
            </w:pPr>
          </w:p>
        </w:tc>
        <w:tc>
          <w:tcPr>
            <w:tcW w:w="472" w:type="dxa"/>
            <w:shd w:val="clear" w:color="auto" w:fill="D9D9D9"/>
          </w:tcPr>
          <w:p w14:paraId="4C74A569" w14:textId="77777777" w:rsidR="00AF3581" w:rsidRPr="00506303" w:rsidRDefault="00AF3581" w:rsidP="0067543B">
            <w:pPr>
              <w:rPr>
                <w:sz w:val="18"/>
                <w:szCs w:val="18"/>
              </w:rPr>
            </w:pPr>
          </w:p>
        </w:tc>
        <w:tc>
          <w:tcPr>
            <w:tcW w:w="472" w:type="dxa"/>
            <w:shd w:val="clear" w:color="auto" w:fill="auto"/>
          </w:tcPr>
          <w:p w14:paraId="31FA814A" w14:textId="77777777" w:rsidR="00AF3581" w:rsidRPr="00506303" w:rsidRDefault="00AF3581" w:rsidP="0067543B">
            <w:pPr>
              <w:rPr>
                <w:sz w:val="18"/>
                <w:szCs w:val="18"/>
              </w:rPr>
            </w:pPr>
          </w:p>
        </w:tc>
        <w:tc>
          <w:tcPr>
            <w:tcW w:w="472" w:type="dxa"/>
            <w:shd w:val="clear" w:color="auto" w:fill="auto"/>
          </w:tcPr>
          <w:p w14:paraId="723ECD0B" w14:textId="77777777" w:rsidR="00AF3581" w:rsidRPr="00506303" w:rsidRDefault="00AF3581" w:rsidP="0067543B">
            <w:pPr>
              <w:rPr>
                <w:sz w:val="18"/>
                <w:szCs w:val="18"/>
              </w:rPr>
            </w:pPr>
          </w:p>
        </w:tc>
        <w:tc>
          <w:tcPr>
            <w:tcW w:w="472" w:type="dxa"/>
            <w:shd w:val="clear" w:color="auto" w:fill="auto"/>
          </w:tcPr>
          <w:p w14:paraId="6E4D250A" w14:textId="77777777" w:rsidR="00AF3581" w:rsidRPr="00506303" w:rsidRDefault="00AF3581" w:rsidP="0067543B">
            <w:pPr>
              <w:rPr>
                <w:sz w:val="18"/>
                <w:szCs w:val="18"/>
              </w:rPr>
            </w:pPr>
          </w:p>
        </w:tc>
        <w:tc>
          <w:tcPr>
            <w:tcW w:w="472" w:type="dxa"/>
            <w:shd w:val="clear" w:color="auto" w:fill="auto"/>
          </w:tcPr>
          <w:p w14:paraId="2092EF30" w14:textId="77777777" w:rsidR="00AF3581" w:rsidRPr="00506303" w:rsidRDefault="00AF3581" w:rsidP="0067543B">
            <w:pPr>
              <w:rPr>
                <w:sz w:val="18"/>
                <w:szCs w:val="18"/>
              </w:rPr>
            </w:pPr>
          </w:p>
        </w:tc>
        <w:tc>
          <w:tcPr>
            <w:tcW w:w="472" w:type="dxa"/>
            <w:shd w:val="clear" w:color="auto" w:fill="auto"/>
          </w:tcPr>
          <w:p w14:paraId="3FEED656" w14:textId="77777777" w:rsidR="00AF3581" w:rsidRPr="00506303" w:rsidRDefault="00AF3581" w:rsidP="0067543B">
            <w:pPr>
              <w:rPr>
                <w:sz w:val="18"/>
                <w:szCs w:val="18"/>
              </w:rPr>
            </w:pPr>
          </w:p>
        </w:tc>
        <w:tc>
          <w:tcPr>
            <w:tcW w:w="472" w:type="dxa"/>
            <w:shd w:val="clear" w:color="auto" w:fill="auto"/>
          </w:tcPr>
          <w:p w14:paraId="48A1692C" w14:textId="77777777" w:rsidR="00AF3581" w:rsidRPr="00506303" w:rsidRDefault="00AF3581" w:rsidP="0067543B">
            <w:pPr>
              <w:rPr>
                <w:sz w:val="18"/>
                <w:szCs w:val="18"/>
              </w:rPr>
            </w:pPr>
          </w:p>
        </w:tc>
        <w:tc>
          <w:tcPr>
            <w:tcW w:w="473" w:type="dxa"/>
            <w:shd w:val="clear" w:color="auto" w:fill="auto"/>
          </w:tcPr>
          <w:p w14:paraId="734CA535" w14:textId="77777777" w:rsidR="00AF3581" w:rsidRPr="00506303" w:rsidRDefault="00AF3581" w:rsidP="0067543B">
            <w:pPr>
              <w:rPr>
                <w:sz w:val="18"/>
                <w:szCs w:val="18"/>
              </w:rPr>
            </w:pPr>
          </w:p>
        </w:tc>
        <w:tc>
          <w:tcPr>
            <w:tcW w:w="473" w:type="dxa"/>
            <w:shd w:val="clear" w:color="auto" w:fill="auto"/>
          </w:tcPr>
          <w:p w14:paraId="5E6AD57E" w14:textId="77777777" w:rsidR="00AF3581" w:rsidRPr="00506303" w:rsidRDefault="00AF3581" w:rsidP="0067543B">
            <w:pPr>
              <w:rPr>
                <w:sz w:val="18"/>
                <w:szCs w:val="18"/>
              </w:rPr>
            </w:pPr>
          </w:p>
        </w:tc>
        <w:tc>
          <w:tcPr>
            <w:tcW w:w="473" w:type="dxa"/>
            <w:shd w:val="clear" w:color="auto" w:fill="auto"/>
          </w:tcPr>
          <w:p w14:paraId="438D2AB3" w14:textId="77777777" w:rsidR="00AF3581" w:rsidRPr="00506303" w:rsidRDefault="00AF3581" w:rsidP="0067543B">
            <w:pPr>
              <w:rPr>
                <w:sz w:val="18"/>
                <w:szCs w:val="18"/>
              </w:rPr>
            </w:pPr>
          </w:p>
        </w:tc>
        <w:tc>
          <w:tcPr>
            <w:tcW w:w="473" w:type="dxa"/>
            <w:shd w:val="clear" w:color="auto" w:fill="auto"/>
          </w:tcPr>
          <w:p w14:paraId="19ABEC65" w14:textId="77777777" w:rsidR="00AF3581" w:rsidRPr="00506303" w:rsidRDefault="00AF3581" w:rsidP="0067543B">
            <w:pPr>
              <w:rPr>
                <w:sz w:val="18"/>
                <w:szCs w:val="18"/>
              </w:rPr>
            </w:pPr>
          </w:p>
        </w:tc>
        <w:tc>
          <w:tcPr>
            <w:tcW w:w="473" w:type="dxa"/>
            <w:shd w:val="clear" w:color="auto" w:fill="auto"/>
          </w:tcPr>
          <w:p w14:paraId="7398B096" w14:textId="77777777" w:rsidR="00AF3581" w:rsidRPr="00506303" w:rsidRDefault="00AF3581" w:rsidP="0067543B">
            <w:pPr>
              <w:rPr>
                <w:sz w:val="18"/>
                <w:szCs w:val="18"/>
              </w:rPr>
            </w:pPr>
          </w:p>
        </w:tc>
        <w:tc>
          <w:tcPr>
            <w:tcW w:w="473" w:type="dxa"/>
            <w:shd w:val="clear" w:color="auto" w:fill="auto"/>
          </w:tcPr>
          <w:p w14:paraId="43BB58C9" w14:textId="77777777" w:rsidR="00AF3581" w:rsidRPr="00506303" w:rsidRDefault="00AF3581" w:rsidP="0067543B">
            <w:pPr>
              <w:rPr>
                <w:sz w:val="18"/>
                <w:szCs w:val="18"/>
              </w:rPr>
            </w:pPr>
          </w:p>
        </w:tc>
        <w:tc>
          <w:tcPr>
            <w:tcW w:w="473" w:type="dxa"/>
            <w:shd w:val="clear" w:color="auto" w:fill="auto"/>
          </w:tcPr>
          <w:p w14:paraId="0549FF40" w14:textId="77777777" w:rsidR="00AF3581" w:rsidRPr="00506303" w:rsidRDefault="00AF3581" w:rsidP="0067543B">
            <w:pPr>
              <w:rPr>
                <w:sz w:val="18"/>
                <w:szCs w:val="18"/>
              </w:rPr>
            </w:pPr>
          </w:p>
        </w:tc>
        <w:tc>
          <w:tcPr>
            <w:tcW w:w="473" w:type="dxa"/>
            <w:shd w:val="clear" w:color="auto" w:fill="auto"/>
          </w:tcPr>
          <w:p w14:paraId="02D1E0C4" w14:textId="77777777" w:rsidR="00AF3581" w:rsidRPr="00506303" w:rsidRDefault="00AF3581" w:rsidP="0067543B">
            <w:pPr>
              <w:rPr>
                <w:sz w:val="18"/>
                <w:szCs w:val="18"/>
              </w:rPr>
            </w:pPr>
          </w:p>
        </w:tc>
        <w:tc>
          <w:tcPr>
            <w:tcW w:w="473" w:type="dxa"/>
            <w:shd w:val="clear" w:color="auto" w:fill="auto"/>
          </w:tcPr>
          <w:p w14:paraId="48A8809E" w14:textId="77777777" w:rsidR="00AF3581" w:rsidRPr="00506303" w:rsidRDefault="00AF3581" w:rsidP="0067543B">
            <w:pPr>
              <w:rPr>
                <w:sz w:val="18"/>
                <w:szCs w:val="18"/>
              </w:rPr>
            </w:pPr>
          </w:p>
        </w:tc>
        <w:tc>
          <w:tcPr>
            <w:tcW w:w="473" w:type="dxa"/>
            <w:shd w:val="clear" w:color="auto" w:fill="auto"/>
          </w:tcPr>
          <w:p w14:paraId="035AF6D6" w14:textId="77777777" w:rsidR="00AF3581" w:rsidRPr="00506303" w:rsidRDefault="00AF3581" w:rsidP="0067543B">
            <w:pPr>
              <w:rPr>
                <w:sz w:val="18"/>
                <w:szCs w:val="18"/>
              </w:rPr>
            </w:pPr>
          </w:p>
        </w:tc>
      </w:tr>
      <w:tr w:rsidR="00AF3581" w:rsidRPr="00506303" w14:paraId="4FBE72CD" w14:textId="77777777" w:rsidTr="00E071AC">
        <w:tc>
          <w:tcPr>
            <w:tcW w:w="944" w:type="dxa"/>
            <w:shd w:val="clear" w:color="auto" w:fill="auto"/>
          </w:tcPr>
          <w:p w14:paraId="715E2702" w14:textId="77777777" w:rsidR="00AF3581" w:rsidRPr="00506303" w:rsidRDefault="00AF3581" w:rsidP="0067543B">
            <w:pPr>
              <w:rPr>
                <w:sz w:val="18"/>
                <w:szCs w:val="18"/>
              </w:rPr>
            </w:pPr>
            <w:r w:rsidRPr="00506303">
              <w:rPr>
                <w:sz w:val="18"/>
                <w:szCs w:val="18"/>
              </w:rPr>
              <w:t>1.2.4.2</w:t>
            </w:r>
          </w:p>
        </w:tc>
        <w:tc>
          <w:tcPr>
            <w:tcW w:w="3776" w:type="dxa"/>
            <w:shd w:val="clear" w:color="auto" w:fill="auto"/>
          </w:tcPr>
          <w:p w14:paraId="440B67D2" w14:textId="77777777" w:rsidR="00AF3581" w:rsidRPr="00506303" w:rsidRDefault="00AF3581" w:rsidP="0067543B">
            <w:pPr>
              <w:rPr>
                <w:sz w:val="18"/>
                <w:szCs w:val="18"/>
              </w:rPr>
            </w:pPr>
            <w:r w:rsidRPr="00506303">
              <w:rPr>
                <w:sz w:val="18"/>
                <w:szCs w:val="18"/>
              </w:rPr>
              <w:t>Establish network of coral reef scientists for collation of regionally comparable data</w:t>
            </w:r>
          </w:p>
        </w:tc>
        <w:tc>
          <w:tcPr>
            <w:tcW w:w="472" w:type="dxa"/>
            <w:shd w:val="clear" w:color="auto" w:fill="auto"/>
          </w:tcPr>
          <w:p w14:paraId="049AB2F1" w14:textId="77777777" w:rsidR="00AF3581" w:rsidRPr="00506303" w:rsidRDefault="00AF3581" w:rsidP="0067543B">
            <w:pPr>
              <w:rPr>
                <w:sz w:val="18"/>
                <w:szCs w:val="18"/>
              </w:rPr>
            </w:pPr>
          </w:p>
        </w:tc>
        <w:tc>
          <w:tcPr>
            <w:tcW w:w="472" w:type="dxa"/>
            <w:shd w:val="clear" w:color="auto" w:fill="auto"/>
          </w:tcPr>
          <w:p w14:paraId="3DCF7E40" w14:textId="77777777" w:rsidR="00AF3581" w:rsidRPr="00506303" w:rsidRDefault="00AF3581" w:rsidP="0067543B">
            <w:pPr>
              <w:rPr>
                <w:sz w:val="18"/>
                <w:szCs w:val="18"/>
              </w:rPr>
            </w:pPr>
          </w:p>
        </w:tc>
        <w:tc>
          <w:tcPr>
            <w:tcW w:w="472" w:type="dxa"/>
            <w:shd w:val="clear" w:color="auto" w:fill="D9D9D9"/>
          </w:tcPr>
          <w:p w14:paraId="5C2B27A7" w14:textId="77777777" w:rsidR="00AF3581" w:rsidRPr="00506303" w:rsidRDefault="00AF3581" w:rsidP="0067543B">
            <w:pPr>
              <w:rPr>
                <w:sz w:val="18"/>
                <w:szCs w:val="18"/>
              </w:rPr>
            </w:pPr>
          </w:p>
        </w:tc>
        <w:tc>
          <w:tcPr>
            <w:tcW w:w="472" w:type="dxa"/>
            <w:shd w:val="clear" w:color="auto" w:fill="D9D9D9"/>
          </w:tcPr>
          <w:p w14:paraId="7E9D19AA" w14:textId="77777777" w:rsidR="00AF3581" w:rsidRPr="00506303" w:rsidRDefault="00AF3581" w:rsidP="0067543B">
            <w:pPr>
              <w:rPr>
                <w:sz w:val="18"/>
                <w:szCs w:val="18"/>
              </w:rPr>
            </w:pPr>
          </w:p>
        </w:tc>
        <w:tc>
          <w:tcPr>
            <w:tcW w:w="472" w:type="dxa"/>
            <w:shd w:val="clear" w:color="auto" w:fill="D9D9D9"/>
          </w:tcPr>
          <w:p w14:paraId="6BEE9374" w14:textId="77777777" w:rsidR="00AF3581" w:rsidRPr="00506303" w:rsidRDefault="00AF3581" w:rsidP="0067543B">
            <w:pPr>
              <w:rPr>
                <w:sz w:val="18"/>
                <w:szCs w:val="18"/>
              </w:rPr>
            </w:pPr>
          </w:p>
        </w:tc>
        <w:tc>
          <w:tcPr>
            <w:tcW w:w="472" w:type="dxa"/>
            <w:shd w:val="clear" w:color="auto" w:fill="D9D9D9"/>
          </w:tcPr>
          <w:p w14:paraId="3A9BBD5B" w14:textId="77777777" w:rsidR="00AF3581" w:rsidRPr="00506303" w:rsidRDefault="00AF3581" w:rsidP="0067543B">
            <w:pPr>
              <w:rPr>
                <w:sz w:val="18"/>
                <w:szCs w:val="18"/>
              </w:rPr>
            </w:pPr>
          </w:p>
        </w:tc>
        <w:tc>
          <w:tcPr>
            <w:tcW w:w="472" w:type="dxa"/>
            <w:shd w:val="clear" w:color="auto" w:fill="auto"/>
          </w:tcPr>
          <w:p w14:paraId="03BC1B69" w14:textId="77777777" w:rsidR="00AF3581" w:rsidRPr="00506303" w:rsidRDefault="00AF3581" w:rsidP="0067543B">
            <w:pPr>
              <w:rPr>
                <w:sz w:val="18"/>
                <w:szCs w:val="18"/>
              </w:rPr>
            </w:pPr>
          </w:p>
        </w:tc>
        <w:tc>
          <w:tcPr>
            <w:tcW w:w="472" w:type="dxa"/>
            <w:shd w:val="clear" w:color="auto" w:fill="auto"/>
          </w:tcPr>
          <w:p w14:paraId="62744C55" w14:textId="77777777" w:rsidR="00AF3581" w:rsidRPr="00506303" w:rsidRDefault="00AF3581" w:rsidP="0067543B">
            <w:pPr>
              <w:rPr>
                <w:sz w:val="18"/>
                <w:szCs w:val="18"/>
              </w:rPr>
            </w:pPr>
          </w:p>
        </w:tc>
        <w:tc>
          <w:tcPr>
            <w:tcW w:w="472" w:type="dxa"/>
            <w:shd w:val="clear" w:color="auto" w:fill="auto"/>
          </w:tcPr>
          <w:p w14:paraId="22A133C5" w14:textId="77777777" w:rsidR="00AF3581" w:rsidRPr="00506303" w:rsidRDefault="00AF3581" w:rsidP="0067543B">
            <w:pPr>
              <w:rPr>
                <w:sz w:val="18"/>
                <w:szCs w:val="18"/>
              </w:rPr>
            </w:pPr>
          </w:p>
        </w:tc>
        <w:tc>
          <w:tcPr>
            <w:tcW w:w="472" w:type="dxa"/>
            <w:shd w:val="clear" w:color="auto" w:fill="auto"/>
          </w:tcPr>
          <w:p w14:paraId="1D4BCCB5" w14:textId="77777777" w:rsidR="00AF3581" w:rsidRPr="00506303" w:rsidRDefault="00AF3581" w:rsidP="0067543B">
            <w:pPr>
              <w:rPr>
                <w:sz w:val="18"/>
                <w:szCs w:val="18"/>
              </w:rPr>
            </w:pPr>
          </w:p>
        </w:tc>
        <w:tc>
          <w:tcPr>
            <w:tcW w:w="473" w:type="dxa"/>
            <w:shd w:val="clear" w:color="auto" w:fill="auto"/>
          </w:tcPr>
          <w:p w14:paraId="7FF901CF" w14:textId="77777777" w:rsidR="00AF3581" w:rsidRPr="00506303" w:rsidRDefault="00AF3581" w:rsidP="0067543B">
            <w:pPr>
              <w:rPr>
                <w:sz w:val="18"/>
                <w:szCs w:val="18"/>
              </w:rPr>
            </w:pPr>
          </w:p>
        </w:tc>
        <w:tc>
          <w:tcPr>
            <w:tcW w:w="473" w:type="dxa"/>
            <w:shd w:val="clear" w:color="auto" w:fill="auto"/>
          </w:tcPr>
          <w:p w14:paraId="0EC75C09" w14:textId="77777777" w:rsidR="00AF3581" w:rsidRPr="00506303" w:rsidRDefault="00AF3581" w:rsidP="0067543B">
            <w:pPr>
              <w:rPr>
                <w:sz w:val="18"/>
                <w:szCs w:val="18"/>
              </w:rPr>
            </w:pPr>
          </w:p>
        </w:tc>
        <w:tc>
          <w:tcPr>
            <w:tcW w:w="473" w:type="dxa"/>
            <w:shd w:val="clear" w:color="auto" w:fill="auto"/>
          </w:tcPr>
          <w:p w14:paraId="1122863C" w14:textId="77777777" w:rsidR="00AF3581" w:rsidRPr="00506303" w:rsidRDefault="00AF3581" w:rsidP="0067543B">
            <w:pPr>
              <w:rPr>
                <w:sz w:val="18"/>
                <w:szCs w:val="18"/>
              </w:rPr>
            </w:pPr>
          </w:p>
        </w:tc>
        <w:tc>
          <w:tcPr>
            <w:tcW w:w="473" w:type="dxa"/>
            <w:shd w:val="clear" w:color="auto" w:fill="auto"/>
          </w:tcPr>
          <w:p w14:paraId="748471C7" w14:textId="77777777" w:rsidR="00AF3581" w:rsidRPr="00506303" w:rsidRDefault="00AF3581" w:rsidP="0067543B">
            <w:pPr>
              <w:rPr>
                <w:sz w:val="18"/>
                <w:szCs w:val="18"/>
              </w:rPr>
            </w:pPr>
          </w:p>
        </w:tc>
        <w:tc>
          <w:tcPr>
            <w:tcW w:w="473" w:type="dxa"/>
            <w:shd w:val="clear" w:color="auto" w:fill="auto"/>
          </w:tcPr>
          <w:p w14:paraId="180DD229" w14:textId="77777777" w:rsidR="00AF3581" w:rsidRPr="00506303" w:rsidRDefault="00AF3581" w:rsidP="0067543B">
            <w:pPr>
              <w:rPr>
                <w:sz w:val="18"/>
                <w:szCs w:val="18"/>
              </w:rPr>
            </w:pPr>
          </w:p>
        </w:tc>
        <w:tc>
          <w:tcPr>
            <w:tcW w:w="473" w:type="dxa"/>
            <w:shd w:val="clear" w:color="auto" w:fill="auto"/>
          </w:tcPr>
          <w:p w14:paraId="654433E7" w14:textId="77777777" w:rsidR="00AF3581" w:rsidRPr="00506303" w:rsidRDefault="00AF3581" w:rsidP="0067543B">
            <w:pPr>
              <w:rPr>
                <w:sz w:val="18"/>
                <w:szCs w:val="18"/>
              </w:rPr>
            </w:pPr>
          </w:p>
        </w:tc>
        <w:tc>
          <w:tcPr>
            <w:tcW w:w="473" w:type="dxa"/>
            <w:shd w:val="clear" w:color="auto" w:fill="auto"/>
          </w:tcPr>
          <w:p w14:paraId="048809ED" w14:textId="77777777" w:rsidR="00AF3581" w:rsidRPr="00506303" w:rsidRDefault="00AF3581" w:rsidP="0067543B">
            <w:pPr>
              <w:rPr>
                <w:sz w:val="18"/>
                <w:szCs w:val="18"/>
              </w:rPr>
            </w:pPr>
          </w:p>
        </w:tc>
        <w:tc>
          <w:tcPr>
            <w:tcW w:w="473" w:type="dxa"/>
            <w:shd w:val="clear" w:color="auto" w:fill="auto"/>
          </w:tcPr>
          <w:p w14:paraId="71F176E0" w14:textId="77777777" w:rsidR="00AF3581" w:rsidRPr="00506303" w:rsidRDefault="00AF3581" w:rsidP="0067543B">
            <w:pPr>
              <w:rPr>
                <w:sz w:val="18"/>
                <w:szCs w:val="18"/>
              </w:rPr>
            </w:pPr>
          </w:p>
        </w:tc>
        <w:tc>
          <w:tcPr>
            <w:tcW w:w="473" w:type="dxa"/>
            <w:shd w:val="clear" w:color="auto" w:fill="auto"/>
          </w:tcPr>
          <w:p w14:paraId="576A6EE7" w14:textId="77777777" w:rsidR="00AF3581" w:rsidRPr="00506303" w:rsidRDefault="00AF3581" w:rsidP="0067543B">
            <w:pPr>
              <w:rPr>
                <w:sz w:val="18"/>
                <w:szCs w:val="18"/>
              </w:rPr>
            </w:pPr>
          </w:p>
        </w:tc>
        <w:tc>
          <w:tcPr>
            <w:tcW w:w="473" w:type="dxa"/>
            <w:shd w:val="clear" w:color="auto" w:fill="auto"/>
          </w:tcPr>
          <w:p w14:paraId="292D73C1" w14:textId="77777777" w:rsidR="00AF3581" w:rsidRPr="00506303" w:rsidRDefault="00AF3581" w:rsidP="0067543B">
            <w:pPr>
              <w:rPr>
                <w:sz w:val="18"/>
                <w:szCs w:val="18"/>
              </w:rPr>
            </w:pPr>
          </w:p>
        </w:tc>
      </w:tr>
      <w:tr w:rsidR="00AF3581" w:rsidRPr="00506303" w14:paraId="0F029A58" w14:textId="77777777" w:rsidTr="00E071AC">
        <w:tc>
          <w:tcPr>
            <w:tcW w:w="944" w:type="dxa"/>
            <w:shd w:val="clear" w:color="auto" w:fill="auto"/>
          </w:tcPr>
          <w:p w14:paraId="58470B72" w14:textId="77777777" w:rsidR="00AF3581" w:rsidRPr="00506303" w:rsidRDefault="00AF3581" w:rsidP="0067543B">
            <w:pPr>
              <w:rPr>
                <w:sz w:val="18"/>
                <w:szCs w:val="18"/>
              </w:rPr>
            </w:pPr>
            <w:r w:rsidRPr="00506303">
              <w:rPr>
                <w:sz w:val="18"/>
                <w:szCs w:val="18"/>
              </w:rPr>
              <w:t>1.2.4.3</w:t>
            </w:r>
          </w:p>
        </w:tc>
        <w:tc>
          <w:tcPr>
            <w:tcW w:w="3776" w:type="dxa"/>
            <w:shd w:val="clear" w:color="auto" w:fill="auto"/>
          </w:tcPr>
          <w:p w14:paraId="388F009C" w14:textId="77777777" w:rsidR="00AF3581" w:rsidRPr="00506303" w:rsidRDefault="00AF3581" w:rsidP="0067543B">
            <w:pPr>
              <w:rPr>
                <w:sz w:val="18"/>
                <w:szCs w:val="18"/>
              </w:rPr>
            </w:pPr>
            <w:r w:rsidRPr="00506303">
              <w:rPr>
                <w:sz w:val="18"/>
                <w:szCs w:val="18"/>
              </w:rPr>
              <w:t>Develop guidelines and conduct annual training on the collection of indicator data</w:t>
            </w:r>
          </w:p>
        </w:tc>
        <w:tc>
          <w:tcPr>
            <w:tcW w:w="472" w:type="dxa"/>
            <w:shd w:val="clear" w:color="auto" w:fill="auto"/>
          </w:tcPr>
          <w:p w14:paraId="61174599" w14:textId="77777777" w:rsidR="00AF3581" w:rsidRPr="00506303" w:rsidRDefault="00AF3581" w:rsidP="0067543B">
            <w:pPr>
              <w:rPr>
                <w:sz w:val="18"/>
                <w:szCs w:val="18"/>
              </w:rPr>
            </w:pPr>
          </w:p>
        </w:tc>
        <w:tc>
          <w:tcPr>
            <w:tcW w:w="472" w:type="dxa"/>
            <w:shd w:val="clear" w:color="auto" w:fill="auto"/>
          </w:tcPr>
          <w:p w14:paraId="54D5F21F" w14:textId="77777777" w:rsidR="00AF3581" w:rsidRPr="00506303" w:rsidRDefault="00AF3581" w:rsidP="0067543B">
            <w:pPr>
              <w:rPr>
                <w:sz w:val="18"/>
                <w:szCs w:val="18"/>
              </w:rPr>
            </w:pPr>
          </w:p>
        </w:tc>
        <w:tc>
          <w:tcPr>
            <w:tcW w:w="472" w:type="dxa"/>
            <w:shd w:val="clear" w:color="auto" w:fill="D9D9D9"/>
          </w:tcPr>
          <w:p w14:paraId="2EB66C8C" w14:textId="77777777" w:rsidR="00AF3581" w:rsidRPr="00506303" w:rsidRDefault="00AF3581" w:rsidP="0067543B">
            <w:pPr>
              <w:rPr>
                <w:sz w:val="18"/>
                <w:szCs w:val="18"/>
              </w:rPr>
            </w:pPr>
          </w:p>
        </w:tc>
        <w:tc>
          <w:tcPr>
            <w:tcW w:w="472" w:type="dxa"/>
            <w:shd w:val="clear" w:color="auto" w:fill="D9D9D9"/>
          </w:tcPr>
          <w:p w14:paraId="276F162C" w14:textId="77777777" w:rsidR="00AF3581" w:rsidRPr="00506303" w:rsidRDefault="00AF3581" w:rsidP="0067543B">
            <w:pPr>
              <w:rPr>
                <w:sz w:val="18"/>
                <w:szCs w:val="18"/>
              </w:rPr>
            </w:pPr>
          </w:p>
        </w:tc>
        <w:tc>
          <w:tcPr>
            <w:tcW w:w="472" w:type="dxa"/>
            <w:shd w:val="clear" w:color="auto" w:fill="D9D9D9"/>
          </w:tcPr>
          <w:p w14:paraId="6BB24B42" w14:textId="77777777" w:rsidR="00AF3581" w:rsidRPr="00506303" w:rsidRDefault="00AF3581" w:rsidP="0067543B">
            <w:pPr>
              <w:rPr>
                <w:sz w:val="18"/>
                <w:szCs w:val="18"/>
              </w:rPr>
            </w:pPr>
          </w:p>
        </w:tc>
        <w:tc>
          <w:tcPr>
            <w:tcW w:w="472" w:type="dxa"/>
            <w:shd w:val="clear" w:color="auto" w:fill="D9D9D9"/>
          </w:tcPr>
          <w:p w14:paraId="31FE0270" w14:textId="77777777" w:rsidR="00AF3581" w:rsidRPr="00506303" w:rsidRDefault="00AF3581" w:rsidP="0067543B">
            <w:pPr>
              <w:rPr>
                <w:sz w:val="18"/>
                <w:szCs w:val="18"/>
              </w:rPr>
            </w:pPr>
          </w:p>
        </w:tc>
        <w:tc>
          <w:tcPr>
            <w:tcW w:w="472" w:type="dxa"/>
            <w:shd w:val="clear" w:color="auto" w:fill="auto"/>
          </w:tcPr>
          <w:p w14:paraId="78B0460B" w14:textId="77777777" w:rsidR="00AF3581" w:rsidRPr="00506303" w:rsidRDefault="00AF3581" w:rsidP="0067543B">
            <w:pPr>
              <w:rPr>
                <w:sz w:val="18"/>
                <w:szCs w:val="18"/>
              </w:rPr>
            </w:pPr>
          </w:p>
        </w:tc>
        <w:tc>
          <w:tcPr>
            <w:tcW w:w="472" w:type="dxa"/>
            <w:shd w:val="clear" w:color="auto" w:fill="auto"/>
          </w:tcPr>
          <w:p w14:paraId="1D7C1F84" w14:textId="77777777" w:rsidR="00AF3581" w:rsidRPr="00506303" w:rsidRDefault="00AF3581" w:rsidP="0067543B">
            <w:pPr>
              <w:rPr>
                <w:sz w:val="18"/>
                <w:szCs w:val="18"/>
              </w:rPr>
            </w:pPr>
          </w:p>
        </w:tc>
        <w:tc>
          <w:tcPr>
            <w:tcW w:w="472" w:type="dxa"/>
            <w:shd w:val="clear" w:color="auto" w:fill="auto"/>
          </w:tcPr>
          <w:p w14:paraId="3DD1C6D2" w14:textId="77777777" w:rsidR="00AF3581" w:rsidRPr="00506303" w:rsidRDefault="00AF3581" w:rsidP="0067543B">
            <w:pPr>
              <w:rPr>
                <w:sz w:val="18"/>
                <w:szCs w:val="18"/>
              </w:rPr>
            </w:pPr>
          </w:p>
        </w:tc>
        <w:tc>
          <w:tcPr>
            <w:tcW w:w="472" w:type="dxa"/>
            <w:shd w:val="clear" w:color="auto" w:fill="auto"/>
          </w:tcPr>
          <w:p w14:paraId="33C54526" w14:textId="77777777" w:rsidR="00AF3581" w:rsidRPr="00506303" w:rsidRDefault="00AF3581" w:rsidP="0067543B">
            <w:pPr>
              <w:rPr>
                <w:sz w:val="18"/>
                <w:szCs w:val="18"/>
              </w:rPr>
            </w:pPr>
          </w:p>
        </w:tc>
        <w:tc>
          <w:tcPr>
            <w:tcW w:w="473" w:type="dxa"/>
            <w:shd w:val="clear" w:color="auto" w:fill="auto"/>
          </w:tcPr>
          <w:p w14:paraId="31FA9AFF" w14:textId="77777777" w:rsidR="00AF3581" w:rsidRPr="00506303" w:rsidRDefault="00AF3581" w:rsidP="0067543B">
            <w:pPr>
              <w:rPr>
                <w:sz w:val="18"/>
                <w:szCs w:val="18"/>
              </w:rPr>
            </w:pPr>
          </w:p>
        </w:tc>
        <w:tc>
          <w:tcPr>
            <w:tcW w:w="473" w:type="dxa"/>
            <w:shd w:val="clear" w:color="auto" w:fill="auto"/>
          </w:tcPr>
          <w:p w14:paraId="7618FA75" w14:textId="77777777" w:rsidR="00AF3581" w:rsidRPr="00506303" w:rsidRDefault="00AF3581" w:rsidP="0067543B">
            <w:pPr>
              <w:rPr>
                <w:sz w:val="18"/>
                <w:szCs w:val="18"/>
              </w:rPr>
            </w:pPr>
          </w:p>
        </w:tc>
        <w:tc>
          <w:tcPr>
            <w:tcW w:w="473" w:type="dxa"/>
            <w:shd w:val="clear" w:color="auto" w:fill="auto"/>
          </w:tcPr>
          <w:p w14:paraId="374D41D5" w14:textId="77777777" w:rsidR="00AF3581" w:rsidRPr="00506303" w:rsidRDefault="00AF3581" w:rsidP="0067543B">
            <w:pPr>
              <w:rPr>
                <w:sz w:val="18"/>
                <w:szCs w:val="18"/>
              </w:rPr>
            </w:pPr>
          </w:p>
        </w:tc>
        <w:tc>
          <w:tcPr>
            <w:tcW w:w="473" w:type="dxa"/>
            <w:shd w:val="clear" w:color="auto" w:fill="auto"/>
          </w:tcPr>
          <w:p w14:paraId="29E34E70" w14:textId="77777777" w:rsidR="00AF3581" w:rsidRPr="00506303" w:rsidRDefault="00AF3581" w:rsidP="0067543B">
            <w:pPr>
              <w:rPr>
                <w:sz w:val="18"/>
                <w:szCs w:val="18"/>
              </w:rPr>
            </w:pPr>
          </w:p>
        </w:tc>
        <w:tc>
          <w:tcPr>
            <w:tcW w:w="473" w:type="dxa"/>
            <w:shd w:val="clear" w:color="auto" w:fill="auto"/>
          </w:tcPr>
          <w:p w14:paraId="1044F229" w14:textId="77777777" w:rsidR="00AF3581" w:rsidRPr="00506303" w:rsidRDefault="00AF3581" w:rsidP="0067543B">
            <w:pPr>
              <w:rPr>
                <w:sz w:val="18"/>
                <w:szCs w:val="18"/>
              </w:rPr>
            </w:pPr>
          </w:p>
        </w:tc>
        <w:tc>
          <w:tcPr>
            <w:tcW w:w="473" w:type="dxa"/>
            <w:shd w:val="clear" w:color="auto" w:fill="auto"/>
          </w:tcPr>
          <w:p w14:paraId="400ACFB5" w14:textId="77777777" w:rsidR="00AF3581" w:rsidRPr="00506303" w:rsidRDefault="00AF3581" w:rsidP="0067543B">
            <w:pPr>
              <w:rPr>
                <w:sz w:val="18"/>
                <w:szCs w:val="18"/>
              </w:rPr>
            </w:pPr>
          </w:p>
        </w:tc>
        <w:tc>
          <w:tcPr>
            <w:tcW w:w="473" w:type="dxa"/>
            <w:shd w:val="clear" w:color="auto" w:fill="auto"/>
          </w:tcPr>
          <w:p w14:paraId="79CF3129" w14:textId="77777777" w:rsidR="00AF3581" w:rsidRPr="00506303" w:rsidRDefault="00AF3581" w:rsidP="0067543B">
            <w:pPr>
              <w:rPr>
                <w:sz w:val="18"/>
                <w:szCs w:val="18"/>
              </w:rPr>
            </w:pPr>
          </w:p>
        </w:tc>
        <w:tc>
          <w:tcPr>
            <w:tcW w:w="473" w:type="dxa"/>
            <w:shd w:val="clear" w:color="auto" w:fill="auto"/>
          </w:tcPr>
          <w:p w14:paraId="1C9DED01" w14:textId="77777777" w:rsidR="00AF3581" w:rsidRPr="00506303" w:rsidRDefault="00AF3581" w:rsidP="0067543B">
            <w:pPr>
              <w:rPr>
                <w:sz w:val="18"/>
                <w:szCs w:val="18"/>
              </w:rPr>
            </w:pPr>
          </w:p>
        </w:tc>
        <w:tc>
          <w:tcPr>
            <w:tcW w:w="473" w:type="dxa"/>
            <w:shd w:val="clear" w:color="auto" w:fill="auto"/>
          </w:tcPr>
          <w:p w14:paraId="719A039F" w14:textId="77777777" w:rsidR="00AF3581" w:rsidRPr="00506303" w:rsidRDefault="00AF3581" w:rsidP="0067543B">
            <w:pPr>
              <w:rPr>
                <w:sz w:val="18"/>
                <w:szCs w:val="18"/>
              </w:rPr>
            </w:pPr>
          </w:p>
        </w:tc>
        <w:tc>
          <w:tcPr>
            <w:tcW w:w="473" w:type="dxa"/>
            <w:shd w:val="clear" w:color="auto" w:fill="auto"/>
          </w:tcPr>
          <w:p w14:paraId="3C89D6CF" w14:textId="77777777" w:rsidR="00AF3581" w:rsidRPr="00506303" w:rsidRDefault="00AF3581" w:rsidP="0067543B">
            <w:pPr>
              <w:rPr>
                <w:sz w:val="18"/>
                <w:szCs w:val="18"/>
              </w:rPr>
            </w:pPr>
          </w:p>
        </w:tc>
      </w:tr>
      <w:tr w:rsidR="00E071AC" w:rsidRPr="00506303" w14:paraId="29863A96" w14:textId="77777777" w:rsidTr="00E071AC">
        <w:tc>
          <w:tcPr>
            <w:tcW w:w="944" w:type="dxa"/>
            <w:shd w:val="clear" w:color="auto" w:fill="auto"/>
          </w:tcPr>
          <w:p w14:paraId="71E7DEF5" w14:textId="77777777" w:rsidR="00AF3581" w:rsidRPr="00506303" w:rsidRDefault="00AF3581" w:rsidP="0067543B">
            <w:pPr>
              <w:rPr>
                <w:sz w:val="18"/>
                <w:szCs w:val="18"/>
              </w:rPr>
            </w:pPr>
            <w:r w:rsidRPr="00506303">
              <w:rPr>
                <w:sz w:val="18"/>
                <w:szCs w:val="18"/>
              </w:rPr>
              <w:t>1.2.4.4</w:t>
            </w:r>
          </w:p>
        </w:tc>
        <w:tc>
          <w:tcPr>
            <w:tcW w:w="3776" w:type="dxa"/>
            <w:shd w:val="clear" w:color="auto" w:fill="auto"/>
          </w:tcPr>
          <w:p w14:paraId="676157A9" w14:textId="77777777" w:rsidR="00AF3581" w:rsidRPr="00506303" w:rsidRDefault="00AF3581" w:rsidP="0067543B">
            <w:pPr>
              <w:rPr>
                <w:sz w:val="18"/>
                <w:szCs w:val="18"/>
              </w:rPr>
            </w:pPr>
            <w:r w:rsidRPr="00506303">
              <w:rPr>
                <w:sz w:val="18"/>
                <w:szCs w:val="18"/>
              </w:rPr>
              <w:t>Annual reporting on management effectiveness to Regional Working Group on Coral Reefs</w:t>
            </w:r>
          </w:p>
        </w:tc>
        <w:tc>
          <w:tcPr>
            <w:tcW w:w="472" w:type="dxa"/>
            <w:shd w:val="clear" w:color="auto" w:fill="auto"/>
          </w:tcPr>
          <w:p w14:paraId="1C6CD593" w14:textId="77777777" w:rsidR="00AF3581" w:rsidRPr="00506303" w:rsidRDefault="00AF3581" w:rsidP="0067543B">
            <w:pPr>
              <w:rPr>
                <w:sz w:val="18"/>
                <w:szCs w:val="18"/>
              </w:rPr>
            </w:pPr>
          </w:p>
        </w:tc>
        <w:tc>
          <w:tcPr>
            <w:tcW w:w="472" w:type="dxa"/>
            <w:shd w:val="clear" w:color="auto" w:fill="auto"/>
          </w:tcPr>
          <w:p w14:paraId="164A2074" w14:textId="77777777" w:rsidR="00AF3581" w:rsidRPr="00506303" w:rsidRDefault="00AF3581" w:rsidP="0067543B">
            <w:pPr>
              <w:rPr>
                <w:sz w:val="18"/>
                <w:szCs w:val="18"/>
              </w:rPr>
            </w:pPr>
          </w:p>
        </w:tc>
        <w:tc>
          <w:tcPr>
            <w:tcW w:w="472" w:type="dxa"/>
            <w:shd w:val="clear" w:color="auto" w:fill="auto"/>
          </w:tcPr>
          <w:p w14:paraId="34CBB086" w14:textId="77777777" w:rsidR="00AF3581" w:rsidRPr="00506303" w:rsidRDefault="00AF3581" w:rsidP="0067543B">
            <w:pPr>
              <w:rPr>
                <w:sz w:val="18"/>
                <w:szCs w:val="18"/>
              </w:rPr>
            </w:pPr>
          </w:p>
        </w:tc>
        <w:tc>
          <w:tcPr>
            <w:tcW w:w="472" w:type="dxa"/>
            <w:shd w:val="clear" w:color="auto" w:fill="auto"/>
          </w:tcPr>
          <w:p w14:paraId="053FC8DE" w14:textId="77777777" w:rsidR="00AF3581" w:rsidRPr="00506303" w:rsidRDefault="00AF3581" w:rsidP="0067543B">
            <w:pPr>
              <w:rPr>
                <w:sz w:val="18"/>
                <w:szCs w:val="18"/>
              </w:rPr>
            </w:pPr>
          </w:p>
        </w:tc>
        <w:tc>
          <w:tcPr>
            <w:tcW w:w="472" w:type="dxa"/>
            <w:shd w:val="clear" w:color="auto" w:fill="auto"/>
          </w:tcPr>
          <w:p w14:paraId="7B09AB5C" w14:textId="77777777" w:rsidR="00AF3581" w:rsidRPr="00506303" w:rsidRDefault="00AF3581" w:rsidP="0067543B">
            <w:pPr>
              <w:rPr>
                <w:sz w:val="18"/>
                <w:szCs w:val="18"/>
              </w:rPr>
            </w:pPr>
          </w:p>
        </w:tc>
        <w:tc>
          <w:tcPr>
            <w:tcW w:w="472" w:type="dxa"/>
            <w:shd w:val="clear" w:color="auto" w:fill="D9D9D9"/>
          </w:tcPr>
          <w:p w14:paraId="3CFFE9E6" w14:textId="77777777" w:rsidR="00AF3581" w:rsidRPr="00506303" w:rsidRDefault="00AF3581" w:rsidP="0067543B">
            <w:pPr>
              <w:rPr>
                <w:sz w:val="18"/>
                <w:szCs w:val="18"/>
              </w:rPr>
            </w:pPr>
          </w:p>
        </w:tc>
        <w:tc>
          <w:tcPr>
            <w:tcW w:w="472" w:type="dxa"/>
            <w:shd w:val="clear" w:color="auto" w:fill="auto"/>
          </w:tcPr>
          <w:p w14:paraId="40BCF199" w14:textId="77777777" w:rsidR="00AF3581" w:rsidRPr="00506303" w:rsidRDefault="00AF3581" w:rsidP="0067543B">
            <w:pPr>
              <w:rPr>
                <w:sz w:val="18"/>
                <w:szCs w:val="18"/>
              </w:rPr>
            </w:pPr>
          </w:p>
        </w:tc>
        <w:tc>
          <w:tcPr>
            <w:tcW w:w="472" w:type="dxa"/>
            <w:shd w:val="clear" w:color="auto" w:fill="auto"/>
          </w:tcPr>
          <w:p w14:paraId="2B8D5AA4" w14:textId="77777777" w:rsidR="00AF3581" w:rsidRPr="00506303" w:rsidRDefault="00AF3581" w:rsidP="0067543B">
            <w:pPr>
              <w:rPr>
                <w:sz w:val="18"/>
                <w:szCs w:val="18"/>
              </w:rPr>
            </w:pPr>
          </w:p>
        </w:tc>
        <w:tc>
          <w:tcPr>
            <w:tcW w:w="472" w:type="dxa"/>
            <w:shd w:val="clear" w:color="auto" w:fill="auto"/>
          </w:tcPr>
          <w:p w14:paraId="68DB1A2C" w14:textId="77777777" w:rsidR="00AF3581" w:rsidRPr="00506303" w:rsidRDefault="00AF3581" w:rsidP="0067543B">
            <w:pPr>
              <w:rPr>
                <w:sz w:val="18"/>
                <w:szCs w:val="18"/>
              </w:rPr>
            </w:pPr>
          </w:p>
        </w:tc>
        <w:tc>
          <w:tcPr>
            <w:tcW w:w="472" w:type="dxa"/>
            <w:shd w:val="clear" w:color="auto" w:fill="D9D9D9"/>
          </w:tcPr>
          <w:p w14:paraId="3887E699" w14:textId="77777777" w:rsidR="00AF3581" w:rsidRPr="00506303" w:rsidRDefault="00AF3581" w:rsidP="0067543B">
            <w:pPr>
              <w:rPr>
                <w:sz w:val="18"/>
                <w:szCs w:val="18"/>
              </w:rPr>
            </w:pPr>
          </w:p>
        </w:tc>
        <w:tc>
          <w:tcPr>
            <w:tcW w:w="473" w:type="dxa"/>
            <w:shd w:val="clear" w:color="auto" w:fill="auto"/>
          </w:tcPr>
          <w:p w14:paraId="50A6428A" w14:textId="77777777" w:rsidR="00AF3581" w:rsidRPr="00506303" w:rsidRDefault="00AF3581" w:rsidP="0067543B">
            <w:pPr>
              <w:rPr>
                <w:sz w:val="18"/>
                <w:szCs w:val="18"/>
              </w:rPr>
            </w:pPr>
          </w:p>
        </w:tc>
        <w:tc>
          <w:tcPr>
            <w:tcW w:w="473" w:type="dxa"/>
            <w:shd w:val="clear" w:color="auto" w:fill="auto"/>
          </w:tcPr>
          <w:p w14:paraId="15538280" w14:textId="77777777" w:rsidR="00AF3581" w:rsidRPr="00506303" w:rsidRDefault="00AF3581" w:rsidP="0067543B">
            <w:pPr>
              <w:rPr>
                <w:sz w:val="18"/>
                <w:szCs w:val="18"/>
              </w:rPr>
            </w:pPr>
          </w:p>
        </w:tc>
        <w:tc>
          <w:tcPr>
            <w:tcW w:w="473" w:type="dxa"/>
            <w:shd w:val="clear" w:color="auto" w:fill="auto"/>
          </w:tcPr>
          <w:p w14:paraId="3FC21E39" w14:textId="77777777" w:rsidR="00AF3581" w:rsidRPr="00506303" w:rsidRDefault="00AF3581" w:rsidP="0067543B">
            <w:pPr>
              <w:rPr>
                <w:sz w:val="18"/>
                <w:szCs w:val="18"/>
              </w:rPr>
            </w:pPr>
          </w:p>
        </w:tc>
        <w:tc>
          <w:tcPr>
            <w:tcW w:w="473" w:type="dxa"/>
            <w:shd w:val="clear" w:color="auto" w:fill="D9D9D9"/>
          </w:tcPr>
          <w:p w14:paraId="150E539E" w14:textId="77777777" w:rsidR="00AF3581" w:rsidRPr="00506303" w:rsidRDefault="00AF3581" w:rsidP="0067543B">
            <w:pPr>
              <w:rPr>
                <w:sz w:val="18"/>
                <w:szCs w:val="18"/>
              </w:rPr>
            </w:pPr>
          </w:p>
        </w:tc>
        <w:tc>
          <w:tcPr>
            <w:tcW w:w="473" w:type="dxa"/>
            <w:shd w:val="clear" w:color="auto" w:fill="auto"/>
          </w:tcPr>
          <w:p w14:paraId="61AA7EE2" w14:textId="77777777" w:rsidR="00AF3581" w:rsidRPr="00506303" w:rsidRDefault="00AF3581" w:rsidP="0067543B">
            <w:pPr>
              <w:rPr>
                <w:sz w:val="18"/>
                <w:szCs w:val="18"/>
              </w:rPr>
            </w:pPr>
          </w:p>
        </w:tc>
        <w:tc>
          <w:tcPr>
            <w:tcW w:w="473" w:type="dxa"/>
            <w:shd w:val="clear" w:color="auto" w:fill="auto"/>
          </w:tcPr>
          <w:p w14:paraId="64D27D90" w14:textId="77777777" w:rsidR="00AF3581" w:rsidRPr="00506303" w:rsidRDefault="00AF3581" w:rsidP="0067543B">
            <w:pPr>
              <w:rPr>
                <w:sz w:val="18"/>
                <w:szCs w:val="18"/>
              </w:rPr>
            </w:pPr>
          </w:p>
        </w:tc>
        <w:tc>
          <w:tcPr>
            <w:tcW w:w="473" w:type="dxa"/>
            <w:shd w:val="clear" w:color="auto" w:fill="auto"/>
          </w:tcPr>
          <w:p w14:paraId="7A27F8DE" w14:textId="77777777" w:rsidR="00AF3581" w:rsidRPr="00506303" w:rsidRDefault="00AF3581" w:rsidP="0067543B">
            <w:pPr>
              <w:rPr>
                <w:sz w:val="18"/>
                <w:szCs w:val="18"/>
              </w:rPr>
            </w:pPr>
          </w:p>
        </w:tc>
        <w:tc>
          <w:tcPr>
            <w:tcW w:w="473" w:type="dxa"/>
            <w:shd w:val="clear" w:color="auto" w:fill="D9D9D9"/>
          </w:tcPr>
          <w:p w14:paraId="6A834AA4" w14:textId="77777777" w:rsidR="00AF3581" w:rsidRPr="00506303" w:rsidRDefault="00AF3581" w:rsidP="0067543B">
            <w:pPr>
              <w:rPr>
                <w:sz w:val="18"/>
                <w:szCs w:val="18"/>
              </w:rPr>
            </w:pPr>
          </w:p>
        </w:tc>
        <w:tc>
          <w:tcPr>
            <w:tcW w:w="473" w:type="dxa"/>
            <w:shd w:val="clear" w:color="auto" w:fill="auto"/>
          </w:tcPr>
          <w:p w14:paraId="49D3684B" w14:textId="77777777" w:rsidR="00AF3581" w:rsidRPr="00506303" w:rsidRDefault="00AF3581" w:rsidP="0067543B">
            <w:pPr>
              <w:rPr>
                <w:sz w:val="18"/>
                <w:szCs w:val="18"/>
              </w:rPr>
            </w:pPr>
          </w:p>
        </w:tc>
        <w:tc>
          <w:tcPr>
            <w:tcW w:w="473" w:type="dxa"/>
            <w:shd w:val="clear" w:color="auto" w:fill="auto"/>
          </w:tcPr>
          <w:p w14:paraId="4E54E29B" w14:textId="77777777" w:rsidR="00AF3581" w:rsidRPr="00506303" w:rsidRDefault="00AF3581" w:rsidP="0067543B">
            <w:pPr>
              <w:rPr>
                <w:sz w:val="18"/>
                <w:szCs w:val="18"/>
              </w:rPr>
            </w:pPr>
          </w:p>
        </w:tc>
      </w:tr>
      <w:tr w:rsidR="00AF3581" w:rsidRPr="00506303" w14:paraId="6EA7D400" w14:textId="77777777" w:rsidTr="00506303">
        <w:tc>
          <w:tcPr>
            <w:tcW w:w="944" w:type="dxa"/>
            <w:shd w:val="clear" w:color="auto" w:fill="D9D9D9"/>
          </w:tcPr>
          <w:p w14:paraId="1D826403" w14:textId="77777777" w:rsidR="00AF3581" w:rsidRPr="00506303" w:rsidRDefault="00AF3581" w:rsidP="0067543B">
            <w:pPr>
              <w:rPr>
                <w:b/>
                <w:sz w:val="18"/>
                <w:szCs w:val="18"/>
              </w:rPr>
            </w:pPr>
            <w:r w:rsidRPr="00506303">
              <w:rPr>
                <w:b/>
                <w:sz w:val="18"/>
                <w:szCs w:val="18"/>
              </w:rPr>
              <w:t>1.3</w:t>
            </w:r>
          </w:p>
        </w:tc>
        <w:tc>
          <w:tcPr>
            <w:tcW w:w="13226" w:type="dxa"/>
            <w:gridSpan w:val="21"/>
            <w:shd w:val="clear" w:color="auto" w:fill="D9D9D9"/>
          </w:tcPr>
          <w:p w14:paraId="2E438090" w14:textId="77777777" w:rsidR="00AF3581" w:rsidRPr="00506303" w:rsidRDefault="00AF3581" w:rsidP="0067543B">
            <w:pPr>
              <w:rPr>
                <w:b/>
                <w:sz w:val="18"/>
                <w:szCs w:val="18"/>
              </w:rPr>
            </w:pPr>
            <w:r w:rsidRPr="00506303">
              <w:rPr>
                <w:b/>
                <w:sz w:val="18"/>
                <w:szCs w:val="18"/>
              </w:rPr>
              <w:t>Conservation, management and sustainable use of 25,900 ha of known seagrass area in the South China Sea by Yr 5</w:t>
            </w:r>
          </w:p>
        </w:tc>
      </w:tr>
      <w:tr w:rsidR="00AF3581" w:rsidRPr="00506303" w14:paraId="50A1E377" w14:textId="77777777" w:rsidTr="00506303">
        <w:tc>
          <w:tcPr>
            <w:tcW w:w="944" w:type="dxa"/>
            <w:shd w:val="clear" w:color="auto" w:fill="F2F2F2"/>
          </w:tcPr>
          <w:p w14:paraId="377CECFA" w14:textId="77777777" w:rsidR="00AF3581" w:rsidRPr="00506303" w:rsidRDefault="00AF3581" w:rsidP="0067543B">
            <w:pPr>
              <w:rPr>
                <w:b/>
                <w:sz w:val="18"/>
                <w:szCs w:val="18"/>
              </w:rPr>
            </w:pPr>
            <w:r w:rsidRPr="00506303">
              <w:rPr>
                <w:b/>
                <w:sz w:val="18"/>
                <w:szCs w:val="18"/>
              </w:rPr>
              <w:t>1.3.1</w:t>
            </w:r>
          </w:p>
        </w:tc>
        <w:tc>
          <w:tcPr>
            <w:tcW w:w="13226" w:type="dxa"/>
            <w:gridSpan w:val="21"/>
            <w:shd w:val="clear" w:color="auto" w:fill="F2F2F2"/>
          </w:tcPr>
          <w:p w14:paraId="4E9BF8BA" w14:textId="77777777" w:rsidR="00AF3581" w:rsidRPr="00506303" w:rsidRDefault="00AF3581" w:rsidP="0067543B">
            <w:pPr>
              <w:rPr>
                <w:b/>
                <w:sz w:val="18"/>
                <w:szCs w:val="18"/>
              </w:rPr>
            </w:pPr>
            <w:r w:rsidRPr="00506303">
              <w:rPr>
                <w:b/>
                <w:sz w:val="18"/>
                <w:szCs w:val="18"/>
              </w:rPr>
              <w:t>Twenty-one seagrass areas totalling 25,900 ha under sustainable management with supporting laws and regulations</w:t>
            </w:r>
          </w:p>
        </w:tc>
      </w:tr>
      <w:tr w:rsidR="00AF3581" w:rsidRPr="00506303" w14:paraId="5EC24512" w14:textId="77777777" w:rsidTr="00E071AC">
        <w:tc>
          <w:tcPr>
            <w:tcW w:w="944" w:type="dxa"/>
            <w:shd w:val="clear" w:color="auto" w:fill="auto"/>
          </w:tcPr>
          <w:p w14:paraId="6DA03BA5" w14:textId="77777777" w:rsidR="00AF3581" w:rsidRPr="00506303" w:rsidRDefault="00AF3581" w:rsidP="0067543B">
            <w:pPr>
              <w:rPr>
                <w:sz w:val="18"/>
                <w:szCs w:val="18"/>
              </w:rPr>
            </w:pPr>
            <w:r w:rsidRPr="00506303">
              <w:rPr>
                <w:sz w:val="18"/>
                <w:szCs w:val="18"/>
              </w:rPr>
              <w:t>1.3.1.1</w:t>
            </w:r>
          </w:p>
        </w:tc>
        <w:tc>
          <w:tcPr>
            <w:tcW w:w="3776" w:type="dxa"/>
            <w:shd w:val="clear" w:color="auto" w:fill="auto"/>
          </w:tcPr>
          <w:p w14:paraId="371D2CF7" w14:textId="77777777" w:rsidR="00AF3581" w:rsidRPr="00506303" w:rsidRDefault="00AF3581" w:rsidP="0067543B">
            <w:pPr>
              <w:rPr>
                <w:sz w:val="18"/>
                <w:szCs w:val="18"/>
              </w:rPr>
            </w:pPr>
            <w:r w:rsidRPr="00506303">
              <w:rPr>
                <w:sz w:val="18"/>
                <w:szCs w:val="18"/>
              </w:rPr>
              <w:t>Review policy and legal aspects of seagrass management (terminology, procedures, recommended reforms) in the 6 countries</w:t>
            </w:r>
          </w:p>
        </w:tc>
        <w:tc>
          <w:tcPr>
            <w:tcW w:w="472" w:type="dxa"/>
            <w:shd w:val="clear" w:color="auto" w:fill="D9D9D9"/>
          </w:tcPr>
          <w:p w14:paraId="7552DBAA" w14:textId="77777777" w:rsidR="00AF3581" w:rsidRPr="00506303" w:rsidRDefault="00AF3581" w:rsidP="0067543B">
            <w:pPr>
              <w:rPr>
                <w:sz w:val="18"/>
                <w:szCs w:val="18"/>
              </w:rPr>
            </w:pPr>
          </w:p>
        </w:tc>
        <w:tc>
          <w:tcPr>
            <w:tcW w:w="472" w:type="dxa"/>
            <w:shd w:val="clear" w:color="auto" w:fill="D9D9D9"/>
          </w:tcPr>
          <w:p w14:paraId="06C20418" w14:textId="77777777" w:rsidR="00AF3581" w:rsidRPr="00506303" w:rsidRDefault="00AF3581" w:rsidP="0067543B">
            <w:pPr>
              <w:rPr>
                <w:sz w:val="18"/>
                <w:szCs w:val="18"/>
              </w:rPr>
            </w:pPr>
          </w:p>
        </w:tc>
        <w:tc>
          <w:tcPr>
            <w:tcW w:w="472" w:type="dxa"/>
            <w:shd w:val="clear" w:color="auto" w:fill="D9D9D9"/>
          </w:tcPr>
          <w:p w14:paraId="5C23BF98" w14:textId="77777777" w:rsidR="00AF3581" w:rsidRPr="00506303" w:rsidRDefault="00AF3581" w:rsidP="0067543B">
            <w:pPr>
              <w:rPr>
                <w:sz w:val="18"/>
                <w:szCs w:val="18"/>
              </w:rPr>
            </w:pPr>
          </w:p>
        </w:tc>
        <w:tc>
          <w:tcPr>
            <w:tcW w:w="472" w:type="dxa"/>
            <w:shd w:val="clear" w:color="auto" w:fill="D9D9D9"/>
          </w:tcPr>
          <w:p w14:paraId="627A10DE" w14:textId="77777777" w:rsidR="00AF3581" w:rsidRPr="00506303" w:rsidRDefault="00AF3581" w:rsidP="0067543B">
            <w:pPr>
              <w:rPr>
                <w:sz w:val="18"/>
                <w:szCs w:val="18"/>
              </w:rPr>
            </w:pPr>
          </w:p>
        </w:tc>
        <w:tc>
          <w:tcPr>
            <w:tcW w:w="472" w:type="dxa"/>
            <w:shd w:val="clear" w:color="auto" w:fill="auto"/>
          </w:tcPr>
          <w:p w14:paraId="7FE60F01" w14:textId="77777777" w:rsidR="00AF3581" w:rsidRPr="00506303" w:rsidRDefault="00AF3581" w:rsidP="0067543B">
            <w:pPr>
              <w:rPr>
                <w:sz w:val="18"/>
                <w:szCs w:val="18"/>
              </w:rPr>
            </w:pPr>
          </w:p>
        </w:tc>
        <w:tc>
          <w:tcPr>
            <w:tcW w:w="472" w:type="dxa"/>
            <w:shd w:val="clear" w:color="auto" w:fill="auto"/>
          </w:tcPr>
          <w:p w14:paraId="37DA8AF5" w14:textId="77777777" w:rsidR="00AF3581" w:rsidRPr="00506303" w:rsidRDefault="00AF3581" w:rsidP="0067543B">
            <w:pPr>
              <w:rPr>
                <w:sz w:val="18"/>
                <w:szCs w:val="18"/>
              </w:rPr>
            </w:pPr>
          </w:p>
        </w:tc>
        <w:tc>
          <w:tcPr>
            <w:tcW w:w="472" w:type="dxa"/>
            <w:shd w:val="clear" w:color="auto" w:fill="auto"/>
          </w:tcPr>
          <w:p w14:paraId="56119A91" w14:textId="77777777" w:rsidR="00AF3581" w:rsidRPr="00506303" w:rsidRDefault="00AF3581" w:rsidP="0067543B">
            <w:pPr>
              <w:rPr>
                <w:sz w:val="18"/>
                <w:szCs w:val="18"/>
              </w:rPr>
            </w:pPr>
          </w:p>
        </w:tc>
        <w:tc>
          <w:tcPr>
            <w:tcW w:w="472" w:type="dxa"/>
            <w:shd w:val="clear" w:color="auto" w:fill="auto"/>
          </w:tcPr>
          <w:p w14:paraId="7C63840A" w14:textId="77777777" w:rsidR="00AF3581" w:rsidRPr="00506303" w:rsidRDefault="00AF3581" w:rsidP="0067543B">
            <w:pPr>
              <w:rPr>
                <w:sz w:val="18"/>
                <w:szCs w:val="18"/>
              </w:rPr>
            </w:pPr>
          </w:p>
        </w:tc>
        <w:tc>
          <w:tcPr>
            <w:tcW w:w="472" w:type="dxa"/>
            <w:shd w:val="clear" w:color="auto" w:fill="auto"/>
          </w:tcPr>
          <w:p w14:paraId="10CD6BE5" w14:textId="77777777" w:rsidR="00AF3581" w:rsidRPr="00506303" w:rsidRDefault="00AF3581" w:rsidP="0067543B">
            <w:pPr>
              <w:rPr>
                <w:sz w:val="18"/>
                <w:szCs w:val="18"/>
              </w:rPr>
            </w:pPr>
          </w:p>
        </w:tc>
        <w:tc>
          <w:tcPr>
            <w:tcW w:w="472" w:type="dxa"/>
            <w:shd w:val="clear" w:color="auto" w:fill="auto"/>
          </w:tcPr>
          <w:p w14:paraId="33B0F833" w14:textId="77777777" w:rsidR="00AF3581" w:rsidRPr="00506303" w:rsidRDefault="00AF3581" w:rsidP="0067543B">
            <w:pPr>
              <w:rPr>
                <w:sz w:val="18"/>
                <w:szCs w:val="18"/>
              </w:rPr>
            </w:pPr>
          </w:p>
        </w:tc>
        <w:tc>
          <w:tcPr>
            <w:tcW w:w="473" w:type="dxa"/>
            <w:shd w:val="clear" w:color="auto" w:fill="auto"/>
          </w:tcPr>
          <w:p w14:paraId="272E855C" w14:textId="77777777" w:rsidR="00AF3581" w:rsidRPr="00506303" w:rsidRDefault="00AF3581" w:rsidP="0067543B">
            <w:pPr>
              <w:rPr>
                <w:sz w:val="18"/>
                <w:szCs w:val="18"/>
              </w:rPr>
            </w:pPr>
          </w:p>
        </w:tc>
        <w:tc>
          <w:tcPr>
            <w:tcW w:w="473" w:type="dxa"/>
            <w:shd w:val="clear" w:color="auto" w:fill="auto"/>
          </w:tcPr>
          <w:p w14:paraId="3EBEE32D" w14:textId="77777777" w:rsidR="00AF3581" w:rsidRPr="00506303" w:rsidRDefault="00AF3581" w:rsidP="0067543B">
            <w:pPr>
              <w:rPr>
                <w:sz w:val="18"/>
                <w:szCs w:val="18"/>
              </w:rPr>
            </w:pPr>
          </w:p>
        </w:tc>
        <w:tc>
          <w:tcPr>
            <w:tcW w:w="473" w:type="dxa"/>
            <w:shd w:val="clear" w:color="auto" w:fill="auto"/>
          </w:tcPr>
          <w:p w14:paraId="3C1E1D80" w14:textId="77777777" w:rsidR="00AF3581" w:rsidRPr="00506303" w:rsidRDefault="00AF3581" w:rsidP="0067543B">
            <w:pPr>
              <w:rPr>
                <w:sz w:val="18"/>
                <w:szCs w:val="18"/>
              </w:rPr>
            </w:pPr>
          </w:p>
        </w:tc>
        <w:tc>
          <w:tcPr>
            <w:tcW w:w="473" w:type="dxa"/>
            <w:shd w:val="clear" w:color="auto" w:fill="auto"/>
          </w:tcPr>
          <w:p w14:paraId="6A5E7D68" w14:textId="77777777" w:rsidR="00AF3581" w:rsidRPr="00506303" w:rsidRDefault="00AF3581" w:rsidP="0067543B">
            <w:pPr>
              <w:rPr>
                <w:sz w:val="18"/>
                <w:szCs w:val="18"/>
              </w:rPr>
            </w:pPr>
          </w:p>
        </w:tc>
        <w:tc>
          <w:tcPr>
            <w:tcW w:w="473" w:type="dxa"/>
            <w:shd w:val="clear" w:color="auto" w:fill="auto"/>
          </w:tcPr>
          <w:p w14:paraId="45FDEAAE" w14:textId="77777777" w:rsidR="00AF3581" w:rsidRPr="00506303" w:rsidRDefault="00AF3581" w:rsidP="0067543B">
            <w:pPr>
              <w:rPr>
                <w:sz w:val="18"/>
                <w:szCs w:val="18"/>
              </w:rPr>
            </w:pPr>
          </w:p>
        </w:tc>
        <w:tc>
          <w:tcPr>
            <w:tcW w:w="473" w:type="dxa"/>
            <w:shd w:val="clear" w:color="auto" w:fill="auto"/>
          </w:tcPr>
          <w:p w14:paraId="3920DE44" w14:textId="77777777" w:rsidR="00AF3581" w:rsidRPr="00506303" w:rsidRDefault="00AF3581" w:rsidP="0067543B">
            <w:pPr>
              <w:rPr>
                <w:sz w:val="18"/>
                <w:szCs w:val="18"/>
              </w:rPr>
            </w:pPr>
          </w:p>
        </w:tc>
        <w:tc>
          <w:tcPr>
            <w:tcW w:w="473" w:type="dxa"/>
            <w:shd w:val="clear" w:color="auto" w:fill="auto"/>
          </w:tcPr>
          <w:p w14:paraId="3CFBB45D" w14:textId="77777777" w:rsidR="00AF3581" w:rsidRPr="00506303" w:rsidRDefault="00AF3581" w:rsidP="0067543B">
            <w:pPr>
              <w:rPr>
                <w:sz w:val="18"/>
                <w:szCs w:val="18"/>
              </w:rPr>
            </w:pPr>
          </w:p>
        </w:tc>
        <w:tc>
          <w:tcPr>
            <w:tcW w:w="473" w:type="dxa"/>
            <w:shd w:val="clear" w:color="auto" w:fill="auto"/>
          </w:tcPr>
          <w:p w14:paraId="1F432F93" w14:textId="77777777" w:rsidR="00AF3581" w:rsidRPr="00506303" w:rsidRDefault="00AF3581" w:rsidP="0067543B">
            <w:pPr>
              <w:rPr>
                <w:sz w:val="18"/>
                <w:szCs w:val="18"/>
              </w:rPr>
            </w:pPr>
          </w:p>
        </w:tc>
        <w:tc>
          <w:tcPr>
            <w:tcW w:w="473" w:type="dxa"/>
            <w:shd w:val="clear" w:color="auto" w:fill="auto"/>
          </w:tcPr>
          <w:p w14:paraId="6F84E16F" w14:textId="77777777" w:rsidR="00AF3581" w:rsidRPr="00506303" w:rsidRDefault="00AF3581" w:rsidP="0067543B">
            <w:pPr>
              <w:rPr>
                <w:sz w:val="18"/>
                <w:szCs w:val="18"/>
              </w:rPr>
            </w:pPr>
          </w:p>
        </w:tc>
        <w:tc>
          <w:tcPr>
            <w:tcW w:w="473" w:type="dxa"/>
            <w:shd w:val="clear" w:color="auto" w:fill="auto"/>
          </w:tcPr>
          <w:p w14:paraId="57C940A8" w14:textId="77777777" w:rsidR="00AF3581" w:rsidRPr="00506303" w:rsidRDefault="00AF3581" w:rsidP="0067543B">
            <w:pPr>
              <w:rPr>
                <w:sz w:val="18"/>
                <w:szCs w:val="18"/>
              </w:rPr>
            </w:pPr>
          </w:p>
        </w:tc>
      </w:tr>
      <w:tr w:rsidR="00AF3581" w:rsidRPr="00506303" w14:paraId="062E6517" w14:textId="77777777" w:rsidTr="00E071AC">
        <w:tc>
          <w:tcPr>
            <w:tcW w:w="944" w:type="dxa"/>
            <w:shd w:val="clear" w:color="auto" w:fill="auto"/>
          </w:tcPr>
          <w:p w14:paraId="5DE0ADC9" w14:textId="77777777" w:rsidR="00AF3581" w:rsidRPr="00506303" w:rsidRDefault="00AF3581" w:rsidP="0067543B">
            <w:pPr>
              <w:rPr>
                <w:sz w:val="18"/>
                <w:szCs w:val="18"/>
              </w:rPr>
            </w:pPr>
            <w:r w:rsidRPr="00506303">
              <w:rPr>
                <w:sz w:val="18"/>
                <w:szCs w:val="18"/>
              </w:rPr>
              <w:t>1.3.1.2</w:t>
            </w:r>
          </w:p>
        </w:tc>
        <w:tc>
          <w:tcPr>
            <w:tcW w:w="3776" w:type="dxa"/>
            <w:shd w:val="clear" w:color="auto" w:fill="auto"/>
          </w:tcPr>
          <w:p w14:paraId="0F77E797" w14:textId="77777777" w:rsidR="00AF3581" w:rsidRPr="00506303" w:rsidRDefault="00AF3581" w:rsidP="0067543B">
            <w:pPr>
              <w:rPr>
                <w:sz w:val="18"/>
                <w:szCs w:val="18"/>
              </w:rPr>
            </w:pPr>
            <w:r w:rsidRPr="00506303">
              <w:rPr>
                <w:sz w:val="18"/>
                <w:szCs w:val="18"/>
              </w:rPr>
              <w:t>Formulate recommendations on policy and legal reforms to support sustainable use management of priority seagrass areas in the 6 countries</w:t>
            </w:r>
          </w:p>
        </w:tc>
        <w:tc>
          <w:tcPr>
            <w:tcW w:w="472" w:type="dxa"/>
            <w:shd w:val="clear" w:color="auto" w:fill="auto"/>
          </w:tcPr>
          <w:p w14:paraId="05FC5118" w14:textId="77777777" w:rsidR="00AF3581" w:rsidRPr="00506303" w:rsidRDefault="00AF3581" w:rsidP="0067543B">
            <w:pPr>
              <w:rPr>
                <w:sz w:val="18"/>
                <w:szCs w:val="18"/>
              </w:rPr>
            </w:pPr>
          </w:p>
        </w:tc>
        <w:tc>
          <w:tcPr>
            <w:tcW w:w="472" w:type="dxa"/>
            <w:shd w:val="clear" w:color="auto" w:fill="auto"/>
          </w:tcPr>
          <w:p w14:paraId="3BBFB2E7" w14:textId="77777777" w:rsidR="00AF3581" w:rsidRPr="00506303" w:rsidRDefault="00AF3581" w:rsidP="0067543B">
            <w:pPr>
              <w:rPr>
                <w:sz w:val="18"/>
                <w:szCs w:val="18"/>
              </w:rPr>
            </w:pPr>
          </w:p>
        </w:tc>
        <w:tc>
          <w:tcPr>
            <w:tcW w:w="472" w:type="dxa"/>
            <w:shd w:val="clear" w:color="auto" w:fill="D9D9D9"/>
          </w:tcPr>
          <w:p w14:paraId="443F0FB3" w14:textId="77777777" w:rsidR="00AF3581" w:rsidRPr="00506303" w:rsidRDefault="00AF3581" w:rsidP="0067543B">
            <w:pPr>
              <w:rPr>
                <w:sz w:val="18"/>
                <w:szCs w:val="18"/>
              </w:rPr>
            </w:pPr>
          </w:p>
        </w:tc>
        <w:tc>
          <w:tcPr>
            <w:tcW w:w="472" w:type="dxa"/>
            <w:shd w:val="clear" w:color="auto" w:fill="D9D9D9"/>
          </w:tcPr>
          <w:p w14:paraId="424A2051" w14:textId="77777777" w:rsidR="00AF3581" w:rsidRPr="00506303" w:rsidRDefault="00AF3581" w:rsidP="0067543B">
            <w:pPr>
              <w:rPr>
                <w:sz w:val="18"/>
                <w:szCs w:val="18"/>
              </w:rPr>
            </w:pPr>
          </w:p>
        </w:tc>
        <w:tc>
          <w:tcPr>
            <w:tcW w:w="472" w:type="dxa"/>
            <w:shd w:val="clear" w:color="auto" w:fill="D9D9D9"/>
          </w:tcPr>
          <w:p w14:paraId="30C6988C" w14:textId="77777777" w:rsidR="00AF3581" w:rsidRPr="00506303" w:rsidRDefault="00AF3581" w:rsidP="0067543B">
            <w:pPr>
              <w:rPr>
                <w:sz w:val="18"/>
                <w:szCs w:val="18"/>
              </w:rPr>
            </w:pPr>
          </w:p>
        </w:tc>
        <w:tc>
          <w:tcPr>
            <w:tcW w:w="472" w:type="dxa"/>
            <w:shd w:val="clear" w:color="auto" w:fill="D9D9D9"/>
          </w:tcPr>
          <w:p w14:paraId="4DD6F386" w14:textId="77777777" w:rsidR="00AF3581" w:rsidRPr="00506303" w:rsidRDefault="00AF3581" w:rsidP="0067543B">
            <w:pPr>
              <w:rPr>
                <w:sz w:val="18"/>
                <w:szCs w:val="18"/>
              </w:rPr>
            </w:pPr>
          </w:p>
        </w:tc>
        <w:tc>
          <w:tcPr>
            <w:tcW w:w="472" w:type="dxa"/>
            <w:shd w:val="clear" w:color="auto" w:fill="auto"/>
          </w:tcPr>
          <w:p w14:paraId="4A492C27" w14:textId="77777777" w:rsidR="00AF3581" w:rsidRPr="00506303" w:rsidRDefault="00AF3581" w:rsidP="0067543B">
            <w:pPr>
              <w:rPr>
                <w:sz w:val="18"/>
                <w:szCs w:val="18"/>
              </w:rPr>
            </w:pPr>
          </w:p>
        </w:tc>
        <w:tc>
          <w:tcPr>
            <w:tcW w:w="472" w:type="dxa"/>
            <w:shd w:val="clear" w:color="auto" w:fill="auto"/>
          </w:tcPr>
          <w:p w14:paraId="742FB127" w14:textId="77777777" w:rsidR="00AF3581" w:rsidRPr="00506303" w:rsidRDefault="00AF3581" w:rsidP="0067543B">
            <w:pPr>
              <w:rPr>
                <w:sz w:val="18"/>
                <w:szCs w:val="18"/>
              </w:rPr>
            </w:pPr>
          </w:p>
        </w:tc>
        <w:tc>
          <w:tcPr>
            <w:tcW w:w="472" w:type="dxa"/>
            <w:shd w:val="clear" w:color="auto" w:fill="auto"/>
          </w:tcPr>
          <w:p w14:paraId="64AC0EF7" w14:textId="77777777" w:rsidR="00AF3581" w:rsidRPr="00506303" w:rsidRDefault="00AF3581" w:rsidP="0067543B">
            <w:pPr>
              <w:rPr>
                <w:sz w:val="18"/>
                <w:szCs w:val="18"/>
              </w:rPr>
            </w:pPr>
          </w:p>
        </w:tc>
        <w:tc>
          <w:tcPr>
            <w:tcW w:w="472" w:type="dxa"/>
            <w:shd w:val="clear" w:color="auto" w:fill="auto"/>
          </w:tcPr>
          <w:p w14:paraId="37C705DA" w14:textId="77777777" w:rsidR="00AF3581" w:rsidRPr="00506303" w:rsidRDefault="00AF3581" w:rsidP="0067543B">
            <w:pPr>
              <w:rPr>
                <w:sz w:val="18"/>
                <w:szCs w:val="18"/>
              </w:rPr>
            </w:pPr>
          </w:p>
        </w:tc>
        <w:tc>
          <w:tcPr>
            <w:tcW w:w="473" w:type="dxa"/>
            <w:shd w:val="clear" w:color="auto" w:fill="auto"/>
          </w:tcPr>
          <w:p w14:paraId="69385A27" w14:textId="77777777" w:rsidR="00AF3581" w:rsidRPr="00506303" w:rsidRDefault="00AF3581" w:rsidP="0067543B">
            <w:pPr>
              <w:rPr>
                <w:sz w:val="18"/>
                <w:szCs w:val="18"/>
              </w:rPr>
            </w:pPr>
          </w:p>
        </w:tc>
        <w:tc>
          <w:tcPr>
            <w:tcW w:w="473" w:type="dxa"/>
            <w:shd w:val="clear" w:color="auto" w:fill="auto"/>
          </w:tcPr>
          <w:p w14:paraId="31E781D4" w14:textId="77777777" w:rsidR="00AF3581" w:rsidRPr="00506303" w:rsidRDefault="00AF3581" w:rsidP="0067543B">
            <w:pPr>
              <w:rPr>
                <w:sz w:val="18"/>
                <w:szCs w:val="18"/>
              </w:rPr>
            </w:pPr>
          </w:p>
        </w:tc>
        <w:tc>
          <w:tcPr>
            <w:tcW w:w="473" w:type="dxa"/>
            <w:shd w:val="clear" w:color="auto" w:fill="auto"/>
          </w:tcPr>
          <w:p w14:paraId="196C7EEE" w14:textId="77777777" w:rsidR="00AF3581" w:rsidRPr="00506303" w:rsidRDefault="00AF3581" w:rsidP="0067543B">
            <w:pPr>
              <w:rPr>
                <w:sz w:val="18"/>
                <w:szCs w:val="18"/>
              </w:rPr>
            </w:pPr>
          </w:p>
        </w:tc>
        <w:tc>
          <w:tcPr>
            <w:tcW w:w="473" w:type="dxa"/>
            <w:shd w:val="clear" w:color="auto" w:fill="auto"/>
          </w:tcPr>
          <w:p w14:paraId="724E2CED" w14:textId="77777777" w:rsidR="00AF3581" w:rsidRPr="00506303" w:rsidRDefault="00AF3581" w:rsidP="0067543B">
            <w:pPr>
              <w:rPr>
                <w:sz w:val="18"/>
                <w:szCs w:val="18"/>
              </w:rPr>
            </w:pPr>
          </w:p>
        </w:tc>
        <w:tc>
          <w:tcPr>
            <w:tcW w:w="473" w:type="dxa"/>
            <w:shd w:val="clear" w:color="auto" w:fill="auto"/>
          </w:tcPr>
          <w:p w14:paraId="3C1E7057" w14:textId="77777777" w:rsidR="00AF3581" w:rsidRPr="00506303" w:rsidRDefault="00AF3581" w:rsidP="0067543B">
            <w:pPr>
              <w:rPr>
                <w:sz w:val="18"/>
                <w:szCs w:val="18"/>
              </w:rPr>
            </w:pPr>
          </w:p>
        </w:tc>
        <w:tc>
          <w:tcPr>
            <w:tcW w:w="473" w:type="dxa"/>
            <w:shd w:val="clear" w:color="auto" w:fill="auto"/>
          </w:tcPr>
          <w:p w14:paraId="76C89756" w14:textId="77777777" w:rsidR="00AF3581" w:rsidRPr="00506303" w:rsidRDefault="00AF3581" w:rsidP="0067543B">
            <w:pPr>
              <w:rPr>
                <w:sz w:val="18"/>
                <w:szCs w:val="18"/>
              </w:rPr>
            </w:pPr>
          </w:p>
        </w:tc>
        <w:tc>
          <w:tcPr>
            <w:tcW w:w="473" w:type="dxa"/>
            <w:shd w:val="clear" w:color="auto" w:fill="auto"/>
          </w:tcPr>
          <w:p w14:paraId="0862C75D" w14:textId="77777777" w:rsidR="00AF3581" w:rsidRPr="00506303" w:rsidRDefault="00AF3581" w:rsidP="0067543B">
            <w:pPr>
              <w:rPr>
                <w:sz w:val="18"/>
                <w:szCs w:val="18"/>
              </w:rPr>
            </w:pPr>
          </w:p>
        </w:tc>
        <w:tc>
          <w:tcPr>
            <w:tcW w:w="473" w:type="dxa"/>
            <w:shd w:val="clear" w:color="auto" w:fill="auto"/>
          </w:tcPr>
          <w:p w14:paraId="5086FDD8" w14:textId="77777777" w:rsidR="00AF3581" w:rsidRPr="00506303" w:rsidRDefault="00AF3581" w:rsidP="0067543B">
            <w:pPr>
              <w:rPr>
                <w:sz w:val="18"/>
                <w:szCs w:val="18"/>
              </w:rPr>
            </w:pPr>
          </w:p>
        </w:tc>
        <w:tc>
          <w:tcPr>
            <w:tcW w:w="473" w:type="dxa"/>
            <w:shd w:val="clear" w:color="auto" w:fill="auto"/>
          </w:tcPr>
          <w:p w14:paraId="65C5371C" w14:textId="77777777" w:rsidR="00AF3581" w:rsidRPr="00506303" w:rsidRDefault="00AF3581" w:rsidP="0067543B">
            <w:pPr>
              <w:rPr>
                <w:sz w:val="18"/>
                <w:szCs w:val="18"/>
              </w:rPr>
            </w:pPr>
          </w:p>
        </w:tc>
        <w:tc>
          <w:tcPr>
            <w:tcW w:w="473" w:type="dxa"/>
            <w:shd w:val="clear" w:color="auto" w:fill="auto"/>
          </w:tcPr>
          <w:p w14:paraId="59E01FBC" w14:textId="77777777" w:rsidR="00AF3581" w:rsidRPr="00506303" w:rsidRDefault="00AF3581" w:rsidP="0067543B">
            <w:pPr>
              <w:rPr>
                <w:sz w:val="18"/>
                <w:szCs w:val="18"/>
              </w:rPr>
            </w:pPr>
          </w:p>
        </w:tc>
      </w:tr>
      <w:tr w:rsidR="00AF3581" w:rsidRPr="00506303" w14:paraId="2D025E70" w14:textId="77777777" w:rsidTr="00E071AC">
        <w:tc>
          <w:tcPr>
            <w:tcW w:w="944" w:type="dxa"/>
            <w:shd w:val="clear" w:color="auto" w:fill="auto"/>
          </w:tcPr>
          <w:p w14:paraId="3CE8C526" w14:textId="77777777" w:rsidR="00AF3581" w:rsidRPr="00506303" w:rsidRDefault="00AF3581" w:rsidP="0067543B">
            <w:pPr>
              <w:rPr>
                <w:sz w:val="18"/>
                <w:szCs w:val="18"/>
              </w:rPr>
            </w:pPr>
            <w:r w:rsidRPr="00506303">
              <w:rPr>
                <w:sz w:val="18"/>
                <w:szCs w:val="18"/>
              </w:rPr>
              <w:t>1.3.1.3</w:t>
            </w:r>
          </w:p>
        </w:tc>
        <w:tc>
          <w:tcPr>
            <w:tcW w:w="3776" w:type="dxa"/>
            <w:shd w:val="clear" w:color="auto" w:fill="auto"/>
          </w:tcPr>
          <w:p w14:paraId="48E01992" w14:textId="77777777" w:rsidR="00AF3581" w:rsidRPr="00506303" w:rsidRDefault="00AF3581" w:rsidP="0067543B">
            <w:pPr>
              <w:rPr>
                <w:sz w:val="18"/>
                <w:szCs w:val="18"/>
              </w:rPr>
            </w:pPr>
            <w:r w:rsidRPr="00506303">
              <w:rPr>
                <w:sz w:val="18"/>
                <w:szCs w:val="18"/>
              </w:rPr>
              <w:t>National expert consultations to formulate agreed recommendations for legal/regulatory reforms for sustainable use management</w:t>
            </w:r>
          </w:p>
        </w:tc>
        <w:tc>
          <w:tcPr>
            <w:tcW w:w="472" w:type="dxa"/>
            <w:shd w:val="clear" w:color="auto" w:fill="auto"/>
          </w:tcPr>
          <w:p w14:paraId="5841DCEA" w14:textId="77777777" w:rsidR="00AF3581" w:rsidRPr="00506303" w:rsidRDefault="00AF3581" w:rsidP="0067543B">
            <w:pPr>
              <w:rPr>
                <w:sz w:val="18"/>
                <w:szCs w:val="18"/>
              </w:rPr>
            </w:pPr>
          </w:p>
        </w:tc>
        <w:tc>
          <w:tcPr>
            <w:tcW w:w="472" w:type="dxa"/>
            <w:shd w:val="clear" w:color="auto" w:fill="auto"/>
          </w:tcPr>
          <w:p w14:paraId="71C4E5E8" w14:textId="77777777" w:rsidR="00AF3581" w:rsidRPr="00506303" w:rsidRDefault="00AF3581" w:rsidP="0067543B">
            <w:pPr>
              <w:rPr>
                <w:sz w:val="18"/>
                <w:szCs w:val="18"/>
              </w:rPr>
            </w:pPr>
          </w:p>
        </w:tc>
        <w:tc>
          <w:tcPr>
            <w:tcW w:w="472" w:type="dxa"/>
            <w:shd w:val="clear" w:color="auto" w:fill="auto"/>
          </w:tcPr>
          <w:p w14:paraId="29B4DA83" w14:textId="77777777" w:rsidR="00AF3581" w:rsidRPr="00506303" w:rsidRDefault="00AF3581" w:rsidP="0067543B">
            <w:pPr>
              <w:rPr>
                <w:sz w:val="18"/>
                <w:szCs w:val="18"/>
              </w:rPr>
            </w:pPr>
          </w:p>
        </w:tc>
        <w:tc>
          <w:tcPr>
            <w:tcW w:w="472" w:type="dxa"/>
            <w:shd w:val="clear" w:color="auto" w:fill="auto"/>
          </w:tcPr>
          <w:p w14:paraId="1A2F965B" w14:textId="77777777" w:rsidR="00AF3581" w:rsidRPr="00506303" w:rsidRDefault="00AF3581" w:rsidP="0067543B">
            <w:pPr>
              <w:rPr>
                <w:sz w:val="18"/>
                <w:szCs w:val="18"/>
              </w:rPr>
            </w:pPr>
          </w:p>
        </w:tc>
        <w:tc>
          <w:tcPr>
            <w:tcW w:w="472" w:type="dxa"/>
            <w:shd w:val="clear" w:color="auto" w:fill="D9D9D9"/>
          </w:tcPr>
          <w:p w14:paraId="2EA7CE77" w14:textId="77777777" w:rsidR="00AF3581" w:rsidRPr="00506303" w:rsidRDefault="00AF3581" w:rsidP="0067543B">
            <w:pPr>
              <w:rPr>
                <w:sz w:val="18"/>
                <w:szCs w:val="18"/>
              </w:rPr>
            </w:pPr>
          </w:p>
        </w:tc>
        <w:tc>
          <w:tcPr>
            <w:tcW w:w="472" w:type="dxa"/>
            <w:shd w:val="clear" w:color="auto" w:fill="D9D9D9"/>
          </w:tcPr>
          <w:p w14:paraId="76A887EA" w14:textId="77777777" w:rsidR="00AF3581" w:rsidRPr="00506303" w:rsidRDefault="00AF3581" w:rsidP="0067543B">
            <w:pPr>
              <w:rPr>
                <w:sz w:val="18"/>
                <w:szCs w:val="18"/>
              </w:rPr>
            </w:pPr>
          </w:p>
        </w:tc>
        <w:tc>
          <w:tcPr>
            <w:tcW w:w="472" w:type="dxa"/>
            <w:shd w:val="clear" w:color="auto" w:fill="D9D9D9"/>
          </w:tcPr>
          <w:p w14:paraId="3A73104C" w14:textId="77777777" w:rsidR="00AF3581" w:rsidRPr="00506303" w:rsidRDefault="00AF3581" w:rsidP="0067543B">
            <w:pPr>
              <w:rPr>
                <w:sz w:val="18"/>
                <w:szCs w:val="18"/>
              </w:rPr>
            </w:pPr>
          </w:p>
        </w:tc>
        <w:tc>
          <w:tcPr>
            <w:tcW w:w="472" w:type="dxa"/>
            <w:shd w:val="clear" w:color="auto" w:fill="D9D9D9"/>
          </w:tcPr>
          <w:p w14:paraId="6B4509D9" w14:textId="77777777" w:rsidR="00AF3581" w:rsidRPr="00506303" w:rsidRDefault="00AF3581" w:rsidP="0067543B">
            <w:pPr>
              <w:rPr>
                <w:sz w:val="18"/>
                <w:szCs w:val="18"/>
              </w:rPr>
            </w:pPr>
          </w:p>
        </w:tc>
        <w:tc>
          <w:tcPr>
            <w:tcW w:w="472" w:type="dxa"/>
            <w:shd w:val="clear" w:color="auto" w:fill="auto"/>
          </w:tcPr>
          <w:p w14:paraId="5297CCA8" w14:textId="77777777" w:rsidR="00AF3581" w:rsidRPr="00506303" w:rsidRDefault="00AF3581" w:rsidP="0067543B">
            <w:pPr>
              <w:rPr>
                <w:sz w:val="18"/>
                <w:szCs w:val="18"/>
              </w:rPr>
            </w:pPr>
          </w:p>
        </w:tc>
        <w:tc>
          <w:tcPr>
            <w:tcW w:w="472" w:type="dxa"/>
            <w:shd w:val="clear" w:color="auto" w:fill="auto"/>
          </w:tcPr>
          <w:p w14:paraId="24932891" w14:textId="77777777" w:rsidR="00AF3581" w:rsidRPr="00506303" w:rsidRDefault="00AF3581" w:rsidP="0067543B">
            <w:pPr>
              <w:rPr>
                <w:sz w:val="18"/>
                <w:szCs w:val="18"/>
              </w:rPr>
            </w:pPr>
          </w:p>
        </w:tc>
        <w:tc>
          <w:tcPr>
            <w:tcW w:w="473" w:type="dxa"/>
            <w:shd w:val="clear" w:color="auto" w:fill="auto"/>
          </w:tcPr>
          <w:p w14:paraId="3C880CDB" w14:textId="77777777" w:rsidR="00AF3581" w:rsidRPr="00506303" w:rsidRDefault="00AF3581" w:rsidP="0067543B">
            <w:pPr>
              <w:rPr>
                <w:sz w:val="18"/>
                <w:szCs w:val="18"/>
              </w:rPr>
            </w:pPr>
          </w:p>
        </w:tc>
        <w:tc>
          <w:tcPr>
            <w:tcW w:w="473" w:type="dxa"/>
            <w:shd w:val="clear" w:color="auto" w:fill="auto"/>
          </w:tcPr>
          <w:p w14:paraId="4A6200A7" w14:textId="77777777" w:rsidR="00AF3581" w:rsidRPr="00506303" w:rsidRDefault="00AF3581" w:rsidP="0067543B">
            <w:pPr>
              <w:rPr>
                <w:sz w:val="18"/>
                <w:szCs w:val="18"/>
              </w:rPr>
            </w:pPr>
          </w:p>
        </w:tc>
        <w:tc>
          <w:tcPr>
            <w:tcW w:w="473" w:type="dxa"/>
            <w:shd w:val="clear" w:color="auto" w:fill="auto"/>
          </w:tcPr>
          <w:p w14:paraId="2CBFF15E" w14:textId="77777777" w:rsidR="00AF3581" w:rsidRPr="00506303" w:rsidRDefault="00AF3581" w:rsidP="0067543B">
            <w:pPr>
              <w:rPr>
                <w:sz w:val="18"/>
                <w:szCs w:val="18"/>
              </w:rPr>
            </w:pPr>
          </w:p>
        </w:tc>
        <w:tc>
          <w:tcPr>
            <w:tcW w:w="473" w:type="dxa"/>
            <w:shd w:val="clear" w:color="auto" w:fill="auto"/>
          </w:tcPr>
          <w:p w14:paraId="5A9B6FCC" w14:textId="77777777" w:rsidR="00AF3581" w:rsidRPr="00506303" w:rsidRDefault="00AF3581" w:rsidP="0067543B">
            <w:pPr>
              <w:rPr>
                <w:sz w:val="18"/>
                <w:szCs w:val="18"/>
              </w:rPr>
            </w:pPr>
          </w:p>
        </w:tc>
        <w:tc>
          <w:tcPr>
            <w:tcW w:w="473" w:type="dxa"/>
            <w:shd w:val="clear" w:color="auto" w:fill="auto"/>
          </w:tcPr>
          <w:p w14:paraId="181CDE59" w14:textId="77777777" w:rsidR="00AF3581" w:rsidRPr="00506303" w:rsidRDefault="00AF3581" w:rsidP="0067543B">
            <w:pPr>
              <w:rPr>
                <w:sz w:val="18"/>
                <w:szCs w:val="18"/>
              </w:rPr>
            </w:pPr>
          </w:p>
        </w:tc>
        <w:tc>
          <w:tcPr>
            <w:tcW w:w="473" w:type="dxa"/>
            <w:shd w:val="clear" w:color="auto" w:fill="auto"/>
          </w:tcPr>
          <w:p w14:paraId="268AABC3" w14:textId="77777777" w:rsidR="00AF3581" w:rsidRPr="00506303" w:rsidRDefault="00AF3581" w:rsidP="0067543B">
            <w:pPr>
              <w:rPr>
                <w:sz w:val="18"/>
                <w:szCs w:val="18"/>
              </w:rPr>
            </w:pPr>
          </w:p>
        </w:tc>
        <w:tc>
          <w:tcPr>
            <w:tcW w:w="473" w:type="dxa"/>
            <w:shd w:val="clear" w:color="auto" w:fill="auto"/>
          </w:tcPr>
          <w:p w14:paraId="30EC30DB" w14:textId="77777777" w:rsidR="00AF3581" w:rsidRPr="00506303" w:rsidRDefault="00AF3581" w:rsidP="0067543B">
            <w:pPr>
              <w:rPr>
                <w:sz w:val="18"/>
                <w:szCs w:val="18"/>
              </w:rPr>
            </w:pPr>
          </w:p>
        </w:tc>
        <w:tc>
          <w:tcPr>
            <w:tcW w:w="473" w:type="dxa"/>
            <w:shd w:val="clear" w:color="auto" w:fill="auto"/>
          </w:tcPr>
          <w:p w14:paraId="701B134E" w14:textId="77777777" w:rsidR="00AF3581" w:rsidRPr="00506303" w:rsidRDefault="00AF3581" w:rsidP="0067543B">
            <w:pPr>
              <w:rPr>
                <w:sz w:val="18"/>
                <w:szCs w:val="18"/>
              </w:rPr>
            </w:pPr>
          </w:p>
        </w:tc>
        <w:tc>
          <w:tcPr>
            <w:tcW w:w="473" w:type="dxa"/>
            <w:shd w:val="clear" w:color="auto" w:fill="auto"/>
          </w:tcPr>
          <w:p w14:paraId="59C077B1" w14:textId="77777777" w:rsidR="00AF3581" w:rsidRPr="00506303" w:rsidRDefault="00AF3581" w:rsidP="0067543B">
            <w:pPr>
              <w:rPr>
                <w:sz w:val="18"/>
                <w:szCs w:val="18"/>
              </w:rPr>
            </w:pPr>
          </w:p>
        </w:tc>
        <w:tc>
          <w:tcPr>
            <w:tcW w:w="473" w:type="dxa"/>
            <w:shd w:val="clear" w:color="auto" w:fill="auto"/>
          </w:tcPr>
          <w:p w14:paraId="47BCB1EB" w14:textId="77777777" w:rsidR="00AF3581" w:rsidRPr="00506303" w:rsidRDefault="00AF3581" w:rsidP="0067543B">
            <w:pPr>
              <w:rPr>
                <w:sz w:val="18"/>
                <w:szCs w:val="18"/>
              </w:rPr>
            </w:pPr>
          </w:p>
        </w:tc>
      </w:tr>
      <w:tr w:rsidR="00AF3581" w:rsidRPr="00506303" w14:paraId="6F3C9223" w14:textId="77777777" w:rsidTr="00E071AC">
        <w:tc>
          <w:tcPr>
            <w:tcW w:w="944" w:type="dxa"/>
            <w:shd w:val="clear" w:color="auto" w:fill="auto"/>
          </w:tcPr>
          <w:p w14:paraId="4EEDAEE7" w14:textId="77777777" w:rsidR="00AF3581" w:rsidRPr="00506303" w:rsidRDefault="00AF3581" w:rsidP="0067543B">
            <w:pPr>
              <w:rPr>
                <w:sz w:val="18"/>
                <w:szCs w:val="18"/>
              </w:rPr>
            </w:pPr>
            <w:r w:rsidRPr="00506303">
              <w:rPr>
                <w:sz w:val="18"/>
                <w:szCs w:val="18"/>
              </w:rPr>
              <w:t>1.3.1.4</w:t>
            </w:r>
          </w:p>
        </w:tc>
        <w:tc>
          <w:tcPr>
            <w:tcW w:w="3776" w:type="dxa"/>
            <w:shd w:val="clear" w:color="auto" w:fill="auto"/>
          </w:tcPr>
          <w:p w14:paraId="0F5BA0F3" w14:textId="77777777" w:rsidR="00AF3581" w:rsidRPr="00506303" w:rsidRDefault="00AF3581" w:rsidP="0067543B">
            <w:pPr>
              <w:rPr>
                <w:sz w:val="18"/>
                <w:szCs w:val="18"/>
              </w:rPr>
            </w:pPr>
            <w:r w:rsidRPr="00506303">
              <w:rPr>
                <w:sz w:val="18"/>
                <w:szCs w:val="18"/>
              </w:rPr>
              <w:t>Draft required policy and legal reforms to support seagrass management in 6 countries</w:t>
            </w:r>
          </w:p>
        </w:tc>
        <w:tc>
          <w:tcPr>
            <w:tcW w:w="472" w:type="dxa"/>
            <w:shd w:val="clear" w:color="auto" w:fill="auto"/>
          </w:tcPr>
          <w:p w14:paraId="493A3343" w14:textId="77777777" w:rsidR="00AF3581" w:rsidRPr="00506303" w:rsidRDefault="00AF3581" w:rsidP="0067543B">
            <w:pPr>
              <w:rPr>
                <w:sz w:val="18"/>
                <w:szCs w:val="18"/>
              </w:rPr>
            </w:pPr>
          </w:p>
        </w:tc>
        <w:tc>
          <w:tcPr>
            <w:tcW w:w="472" w:type="dxa"/>
            <w:shd w:val="clear" w:color="auto" w:fill="auto"/>
          </w:tcPr>
          <w:p w14:paraId="58CD78E4" w14:textId="77777777" w:rsidR="00AF3581" w:rsidRPr="00506303" w:rsidRDefault="00AF3581" w:rsidP="0067543B">
            <w:pPr>
              <w:rPr>
                <w:sz w:val="18"/>
                <w:szCs w:val="18"/>
              </w:rPr>
            </w:pPr>
          </w:p>
        </w:tc>
        <w:tc>
          <w:tcPr>
            <w:tcW w:w="472" w:type="dxa"/>
            <w:shd w:val="clear" w:color="auto" w:fill="auto"/>
          </w:tcPr>
          <w:p w14:paraId="5DA39DB7" w14:textId="77777777" w:rsidR="00AF3581" w:rsidRPr="00506303" w:rsidRDefault="00AF3581" w:rsidP="0067543B">
            <w:pPr>
              <w:rPr>
                <w:sz w:val="18"/>
                <w:szCs w:val="18"/>
              </w:rPr>
            </w:pPr>
          </w:p>
        </w:tc>
        <w:tc>
          <w:tcPr>
            <w:tcW w:w="472" w:type="dxa"/>
            <w:shd w:val="clear" w:color="auto" w:fill="auto"/>
          </w:tcPr>
          <w:p w14:paraId="68E65BFB" w14:textId="77777777" w:rsidR="00AF3581" w:rsidRPr="00506303" w:rsidRDefault="00AF3581" w:rsidP="0067543B">
            <w:pPr>
              <w:rPr>
                <w:sz w:val="18"/>
                <w:szCs w:val="18"/>
              </w:rPr>
            </w:pPr>
          </w:p>
        </w:tc>
        <w:tc>
          <w:tcPr>
            <w:tcW w:w="472" w:type="dxa"/>
            <w:shd w:val="clear" w:color="auto" w:fill="auto"/>
          </w:tcPr>
          <w:p w14:paraId="6863989A" w14:textId="77777777" w:rsidR="00AF3581" w:rsidRPr="00506303" w:rsidRDefault="00AF3581" w:rsidP="0067543B">
            <w:pPr>
              <w:rPr>
                <w:sz w:val="18"/>
                <w:szCs w:val="18"/>
              </w:rPr>
            </w:pPr>
          </w:p>
        </w:tc>
        <w:tc>
          <w:tcPr>
            <w:tcW w:w="472" w:type="dxa"/>
            <w:shd w:val="clear" w:color="auto" w:fill="auto"/>
          </w:tcPr>
          <w:p w14:paraId="4FE245C7" w14:textId="77777777" w:rsidR="00AF3581" w:rsidRPr="00506303" w:rsidRDefault="00AF3581" w:rsidP="0067543B">
            <w:pPr>
              <w:rPr>
                <w:sz w:val="18"/>
                <w:szCs w:val="18"/>
              </w:rPr>
            </w:pPr>
          </w:p>
        </w:tc>
        <w:tc>
          <w:tcPr>
            <w:tcW w:w="472" w:type="dxa"/>
            <w:shd w:val="clear" w:color="auto" w:fill="D9D9D9"/>
          </w:tcPr>
          <w:p w14:paraId="369BCA78" w14:textId="77777777" w:rsidR="00AF3581" w:rsidRPr="00506303" w:rsidRDefault="00AF3581" w:rsidP="0067543B">
            <w:pPr>
              <w:rPr>
                <w:sz w:val="18"/>
                <w:szCs w:val="18"/>
              </w:rPr>
            </w:pPr>
          </w:p>
        </w:tc>
        <w:tc>
          <w:tcPr>
            <w:tcW w:w="472" w:type="dxa"/>
            <w:shd w:val="clear" w:color="auto" w:fill="D9D9D9"/>
          </w:tcPr>
          <w:p w14:paraId="11B33C02" w14:textId="77777777" w:rsidR="00AF3581" w:rsidRPr="00506303" w:rsidRDefault="00AF3581" w:rsidP="0067543B">
            <w:pPr>
              <w:rPr>
                <w:sz w:val="18"/>
                <w:szCs w:val="18"/>
              </w:rPr>
            </w:pPr>
          </w:p>
        </w:tc>
        <w:tc>
          <w:tcPr>
            <w:tcW w:w="472" w:type="dxa"/>
            <w:shd w:val="clear" w:color="auto" w:fill="D9D9D9"/>
          </w:tcPr>
          <w:p w14:paraId="2411C71C" w14:textId="77777777" w:rsidR="00AF3581" w:rsidRPr="00506303" w:rsidRDefault="00AF3581" w:rsidP="0067543B">
            <w:pPr>
              <w:rPr>
                <w:sz w:val="18"/>
                <w:szCs w:val="18"/>
              </w:rPr>
            </w:pPr>
          </w:p>
        </w:tc>
        <w:tc>
          <w:tcPr>
            <w:tcW w:w="472" w:type="dxa"/>
            <w:shd w:val="clear" w:color="auto" w:fill="D9D9D9"/>
          </w:tcPr>
          <w:p w14:paraId="5910415B" w14:textId="77777777" w:rsidR="00AF3581" w:rsidRPr="00506303" w:rsidRDefault="00AF3581" w:rsidP="0067543B">
            <w:pPr>
              <w:rPr>
                <w:sz w:val="18"/>
                <w:szCs w:val="18"/>
              </w:rPr>
            </w:pPr>
          </w:p>
        </w:tc>
        <w:tc>
          <w:tcPr>
            <w:tcW w:w="473" w:type="dxa"/>
            <w:shd w:val="clear" w:color="auto" w:fill="auto"/>
          </w:tcPr>
          <w:p w14:paraId="5FA82523" w14:textId="77777777" w:rsidR="00AF3581" w:rsidRPr="00506303" w:rsidRDefault="00AF3581" w:rsidP="0067543B">
            <w:pPr>
              <w:rPr>
                <w:sz w:val="18"/>
                <w:szCs w:val="18"/>
              </w:rPr>
            </w:pPr>
          </w:p>
        </w:tc>
        <w:tc>
          <w:tcPr>
            <w:tcW w:w="473" w:type="dxa"/>
            <w:shd w:val="clear" w:color="auto" w:fill="auto"/>
          </w:tcPr>
          <w:p w14:paraId="50A58AD4" w14:textId="77777777" w:rsidR="00AF3581" w:rsidRPr="00506303" w:rsidRDefault="00AF3581" w:rsidP="0067543B">
            <w:pPr>
              <w:rPr>
                <w:sz w:val="18"/>
                <w:szCs w:val="18"/>
              </w:rPr>
            </w:pPr>
          </w:p>
        </w:tc>
        <w:tc>
          <w:tcPr>
            <w:tcW w:w="473" w:type="dxa"/>
            <w:shd w:val="clear" w:color="auto" w:fill="auto"/>
          </w:tcPr>
          <w:p w14:paraId="79CBBC0E" w14:textId="77777777" w:rsidR="00AF3581" w:rsidRPr="00506303" w:rsidRDefault="00AF3581" w:rsidP="0067543B">
            <w:pPr>
              <w:rPr>
                <w:sz w:val="18"/>
                <w:szCs w:val="18"/>
              </w:rPr>
            </w:pPr>
          </w:p>
        </w:tc>
        <w:tc>
          <w:tcPr>
            <w:tcW w:w="473" w:type="dxa"/>
            <w:shd w:val="clear" w:color="auto" w:fill="auto"/>
          </w:tcPr>
          <w:p w14:paraId="17FA6B83" w14:textId="77777777" w:rsidR="00AF3581" w:rsidRPr="00506303" w:rsidRDefault="00AF3581" w:rsidP="0067543B">
            <w:pPr>
              <w:rPr>
                <w:sz w:val="18"/>
                <w:szCs w:val="18"/>
              </w:rPr>
            </w:pPr>
          </w:p>
        </w:tc>
        <w:tc>
          <w:tcPr>
            <w:tcW w:w="473" w:type="dxa"/>
            <w:shd w:val="clear" w:color="auto" w:fill="auto"/>
          </w:tcPr>
          <w:p w14:paraId="7CFB2EF8" w14:textId="77777777" w:rsidR="00AF3581" w:rsidRPr="00506303" w:rsidRDefault="00AF3581" w:rsidP="0067543B">
            <w:pPr>
              <w:rPr>
                <w:sz w:val="18"/>
                <w:szCs w:val="18"/>
              </w:rPr>
            </w:pPr>
          </w:p>
        </w:tc>
        <w:tc>
          <w:tcPr>
            <w:tcW w:w="473" w:type="dxa"/>
            <w:shd w:val="clear" w:color="auto" w:fill="auto"/>
          </w:tcPr>
          <w:p w14:paraId="4B45CAA4" w14:textId="77777777" w:rsidR="00AF3581" w:rsidRPr="00506303" w:rsidRDefault="00AF3581" w:rsidP="0067543B">
            <w:pPr>
              <w:rPr>
                <w:sz w:val="18"/>
                <w:szCs w:val="18"/>
              </w:rPr>
            </w:pPr>
          </w:p>
        </w:tc>
        <w:tc>
          <w:tcPr>
            <w:tcW w:w="473" w:type="dxa"/>
            <w:shd w:val="clear" w:color="auto" w:fill="auto"/>
          </w:tcPr>
          <w:p w14:paraId="4F7BDACE" w14:textId="77777777" w:rsidR="00AF3581" w:rsidRPr="00506303" w:rsidRDefault="00AF3581" w:rsidP="0067543B">
            <w:pPr>
              <w:rPr>
                <w:sz w:val="18"/>
                <w:szCs w:val="18"/>
              </w:rPr>
            </w:pPr>
          </w:p>
        </w:tc>
        <w:tc>
          <w:tcPr>
            <w:tcW w:w="473" w:type="dxa"/>
            <w:shd w:val="clear" w:color="auto" w:fill="auto"/>
          </w:tcPr>
          <w:p w14:paraId="5D85F9E2" w14:textId="77777777" w:rsidR="00AF3581" w:rsidRPr="00506303" w:rsidRDefault="00AF3581" w:rsidP="0067543B">
            <w:pPr>
              <w:rPr>
                <w:sz w:val="18"/>
                <w:szCs w:val="18"/>
              </w:rPr>
            </w:pPr>
          </w:p>
        </w:tc>
        <w:tc>
          <w:tcPr>
            <w:tcW w:w="473" w:type="dxa"/>
            <w:shd w:val="clear" w:color="auto" w:fill="auto"/>
          </w:tcPr>
          <w:p w14:paraId="77D04643" w14:textId="77777777" w:rsidR="00AF3581" w:rsidRPr="00506303" w:rsidRDefault="00AF3581" w:rsidP="0067543B">
            <w:pPr>
              <w:rPr>
                <w:sz w:val="18"/>
                <w:szCs w:val="18"/>
              </w:rPr>
            </w:pPr>
          </w:p>
        </w:tc>
        <w:tc>
          <w:tcPr>
            <w:tcW w:w="473" w:type="dxa"/>
            <w:shd w:val="clear" w:color="auto" w:fill="auto"/>
          </w:tcPr>
          <w:p w14:paraId="0C247F84" w14:textId="77777777" w:rsidR="00AF3581" w:rsidRPr="00506303" w:rsidRDefault="00AF3581" w:rsidP="0067543B">
            <w:pPr>
              <w:rPr>
                <w:sz w:val="18"/>
                <w:szCs w:val="18"/>
              </w:rPr>
            </w:pPr>
          </w:p>
        </w:tc>
      </w:tr>
      <w:tr w:rsidR="00E071AC" w:rsidRPr="00506303" w14:paraId="5FC8B437" w14:textId="77777777" w:rsidTr="00E071AC">
        <w:tc>
          <w:tcPr>
            <w:tcW w:w="944" w:type="dxa"/>
            <w:shd w:val="clear" w:color="auto" w:fill="auto"/>
          </w:tcPr>
          <w:p w14:paraId="01BF48D9" w14:textId="77777777" w:rsidR="00AF3581" w:rsidRPr="00506303" w:rsidRDefault="00AF3581" w:rsidP="0067543B">
            <w:pPr>
              <w:rPr>
                <w:sz w:val="18"/>
                <w:szCs w:val="18"/>
              </w:rPr>
            </w:pPr>
            <w:r w:rsidRPr="00506303">
              <w:rPr>
                <w:sz w:val="18"/>
                <w:szCs w:val="18"/>
              </w:rPr>
              <w:t>1.3.1.5</w:t>
            </w:r>
          </w:p>
        </w:tc>
        <w:tc>
          <w:tcPr>
            <w:tcW w:w="3776" w:type="dxa"/>
            <w:shd w:val="clear" w:color="auto" w:fill="auto"/>
          </w:tcPr>
          <w:p w14:paraId="225A5153" w14:textId="77777777" w:rsidR="00AF3581" w:rsidRPr="00506303" w:rsidRDefault="00AF3581" w:rsidP="0067543B">
            <w:pPr>
              <w:rPr>
                <w:sz w:val="18"/>
                <w:szCs w:val="18"/>
              </w:rPr>
            </w:pPr>
            <w:r w:rsidRPr="00506303">
              <w:rPr>
                <w:sz w:val="18"/>
                <w:szCs w:val="18"/>
              </w:rPr>
              <w:t>Facilitate approval, formal adoption and enforcement of reforms by authorities at national and provincial levels for priority seagrass areas of SCS</w:t>
            </w:r>
          </w:p>
        </w:tc>
        <w:tc>
          <w:tcPr>
            <w:tcW w:w="472" w:type="dxa"/>
            <w:shd w:val="clear" w:color="auto" w:fill="auto"/>
          </w:tcPr>
          <w:p w14:paraId="7DEEA23C" w14:textId="77777777" w:rsidR="00AF3581" w:rsidRPr="00506303" w:rsidRDefault="00AF3581" w:rsidP="0067543B">
            <w:pPr>
              <w:rPr>
                <w:sz w:val="18"/>
                <w:szCs w:val="18"/>
              </w:rPr>
            </w:pPr>
          </w:p>
        </w:tc>
        <w:tc>
          <w:tcPr>
            <w:tcW w:w="472" w:type="dxa"/>
            <w:shd w:val="clear" w:color="auto" w:fill="auto"/>
          </w:tcPr>
          <w:p w14:paraId="46D2DAC5" w14:textId="77777777" w:rsidR="00AF3581" w:rsidRPr="00506303" w:rsidRDefault="00AF3581" w:rsidP="0067543B">
            <w:pPr>
              <w:rPr>
                <w:sz w:val="18"/>
                <w:szCs w:val="18"/>
              </w:rPr>
            </w:pPr>
          </w:p>
        </w:tc>
        <w:tc>
          <w:tcPr>
            <w:tcW w:w="472" w:type="dxa"/>
            <w:shd w:val="clear" w:color="auto" w:fill="auto"/>
          </w:tcPr>
          <w:p w14:paraId="221FA4E4" w14:textId="77777777" w:rsidR="00AF3581" w:rsidRPr="00506303" w:rsidRDefault="00AF3581" w:rsidP="0067543B">
            <w:pPr>
              <w:rPr>
                <w:sz w:val="18"/>
                <w:szCs w:val="18"/>
              </w:rPr>
            </w:pPr>
          </w:p>
        </w:tc>
        <w:tc>
          <w:tcPr>
            <w:tcW w:w="472" w:type="dxa"/>
            <w:shd w:val="clear" w:color="auto" w:fill="auto"/>
          </w:tcPr>
          <w:p w14:paraId="330572D4" w14:textId="77777777" w:rsidR="00AF3581" w:rsidRPr="00506303" w:rsidRDefault="00AF3581" w:rsidP="0067543B">
            <w:pPr>
              <w:rPr>
                <w:sz w:val="18"/>
                <w:szCs w:val="18"/>
              </w:rPr>
            </w:pPr>
          </w:p>
        </w:tc>
        <w:tc>
          <w:tcPr>
            <w:tcW w:w="472" w:type="dxa"/>
            <w:shd w:val="clear" w:color="auto" w:fill="auto"/>
          </w:tcPr>
          <w:p w14:paraId="73130B1A" w14:textId="77777777" w:rsidR="00AF3581" w:rsidRPr="00506303" w:rsidRDefault="00AF3581" w:rsidP="0067543B">
            <w:pPr>
              <w:rPr>
                <w:sz w:val="18"/>
                <w:szCs w:val="18"/>
              </w:rPr>
            </w:pPr>
          </w:p>
        </w:tc>
        <w:tc>
          <w:tcPr>
            <w:tcW w:w="472" w:type="dxa"/>
            <w:shd w:val="clear" w:color="auto" w:fill="auto"/>
          </w:tcPr>
          <w:p w14:paraId="3C9DC75A" w14:textId="77777777" w:rsidR="00AF3581" w:rsidRPr="00506303" w:rsidRDefault="00AF3581" w:rsidP="0067543B">
            <w:pPr>
              <w:rPr>
                <w:sz w:val="18"/>
                <w:szCs w:val="18"/>
              </w:rPr>
            </w:pPr>
          </w:p>
        </w:tc>
        <w:tc>
          <w:tcPr>
            <w:tcW w:w="472" w:type="dxa"/>
            <w:shd w:val="clear" w:color="auto" w:fill="auto"/>
          </w:tcPr>
          <w:p w14:paraId="0BF5988C" w14:textId="77777777" w:rsidR="00AF3581" w:rsidRPr="00506303" w:rsidRDefault="00AF3581" w:rsidP="0067543B">
            <w:pPr>
              <w:rPr>
                <w:sz w:val="18"/>
                <w:szCs w:val="18"/>
              </w:rPr>
            </w:pPr>
          </w:p>
        </w:tc>
        <w:tc>
          <w:tcPr>
            <w:tcW w:w="472" w:type="dxa"/>
            <w:shd w:val="clear" w:color="auto" w:fill="auto"/>
          </w:tcPr>
          <w:p w14:paraId="67E9E5F5" w14:textId="77777777" w:rsidR="00AF3581" w:rsidRPr="00506303" w:rsidRDefault="00AF3581" w:rsidP="0067543B">
            <w:pPr>
              <w:rPr>
                <w:sz w:val="18"/>
                <w:szCs w:val="18"/>
              </w:rPr>
            </w:pPr>
          </w:p>
        </w:tc>
        <w:tc>
          <w:tcPr>
            <w:tcW w:w="472" w:type="dxa"/>
            <w:shd w:val="clear" w:color="auto" w:fill="auto"/>
          </w:tcPr>
          <w:p w14:paraId="1327E390" w14:textId="77777777" w:rsidR="00AF3581" w:rsidRPr="00506303" w:rsidRDefault="00AF3581" w:rsidP="0067543B">
            <w:pPr>
              <w:rPr>
                <w:sz w:val="18"/>
                <w:szCs w:val="18"/>
              </w:rPr>
            </w:pPr>
          </w:p>
        </w:tc>
        <w:tc>
          <w:tcPr>
            <w:tcW w:w="472" w:type="dxa"/>
            <w:shd w:val="clear" w:color="auto" w:fill="auto"/>
          </w:tcPr>
          <w:p w14:paraId="7C51D2F1" w14:textId="77777777" w:rsidR="00AF3581" w:rsidRPr="00506303" w:rsidRDefault="00AF3581" w:rsidP="0067543B">
            <w:pPr>
              <w:rPr>
                <w:sz w:val="18"/>
                <w:szCs w:val="18"/>
              </w:rPr>
            </w:pPr>
          </w:p>
        </w:tc>
        <w:tc>
          <w:tcPr>
            <w:tcW w:w="473" w:type="dxa"/>
            <w:shd w:val="clear" w:color="auto" w:fill="D9D9D9"/>
          </w:tcPr>
          <w:p w14:paraId="6A165A44" w14:textId="77777777" w:rsidR="00AF3581" w:rsidRPr="00506303" w:rsidRDefault="00AF3581" w:rsidP="0067543B">
            <w:pPr>
              <w:rPr>
                <w:sz w:val="18"/>
                <w:szCs w:val="18"/>
              </w:rPr>
            </w:pPr>
          </w:p>
        </w:tc>
        <w:tc>
          <w:tcPr>
            <w:tcW w:w="473" w:type="dxa"/>
            <w:shd w:val="clear" w:color="auto" w:fill="D9D9D9"/>
          </w:tcPr>
          <w:p w14:paraId="7691C023" w14:textId="77777777" w:rsidR="00AF3581" w:rsidRPr="00506303" w:rsidRDefault="00AF3581" w:rsidP="0067543B">
            <w:pPr>
              <w:rPr>
                <w:sz w:val="18"/>
                <w:szCs w:val="18"/>
              </w:rPr>
            </w:pPr>
          </w:p>
        </w:tc>
        <w:tc>
          <w:tcPr>
            <w:tcW w:w="473" w:type="dxa"/>
            <w:shd w:val="clear" w:color="auto" w:fill="D9D9D9"/>
          </w:tcPr>
          <w:p w14:paraId="5084EBF6" w14:textId="77777777" w:rsidR="00AF3581" w:rsidRPr="00506303" w:rsidRDefault="00AF3581" w:rsidP="0067543B">
            <w:pPr>
              <w:rPr>
                <w:sz w:val="18"/>
                <w:szCs w:val="18"/>
              </w:rPr>
            </w:pPr>
          </w:p>
        </w:tc>
        <w:tc>
          <w:tcPr>
            <w:tcW w:w="473" w:type="dxa"/>
            <w:shd w:val="clear" w:color="auto" w:fill="D9D9D9"/>
          </w:tcPr>
          <w:p w14:paraId="165D0FEA" w14:textId="77777777" w:rsidR="00AF3581" w:rsidRPr="00506303" w:rsidRDefault="00AF3581" w:rsidP="0067543B">
            <w:pPr>
              <w:rPr>
                <w:sz w:val="18"/>
                <w:szCs w:val="18"/>
              </w:rPr>
            </w:pPr>
          </w:p>
        </w:tc>
        <w:tc>
          <w:tcPr>
            <w:tcW w:w="473" w:type="dxa"/>
            <w:shd w:val="clear" w:color="auto" w:fill="D9D9D9"/>
          </w:tcPr>
          <w:p w14:paraId="0B384BCB" w14:textId="77777777" w:rsidR="00AF3581" w:rsidRPr="00506303" w:rsidRDefault="00AF3581" w:rsidP="0067543B">
            <w:pPr>
              <w:rPr>
                <w:sz w:val="18"/>
                <w:szCs w:val="18"/>
              </w:rPr>
            </w:pPr>
          </w:p>
        </w:tc>
        <w:tc>
          <w:tcPr>
            <w:tcW w:w="473" w:type="dxa"/>
            <w:shd w:val="clear" w:color="auto" w:fill="D9D9D9"/>
          </w:tcPr>
          <w:p w14:paraId="09C05EAD" w14:textId="77777777" w:rsidR="00AF3581" w:rsidRPr="00506303" w:rsidRDefault="00AF3581" w:rsidP="0067543B">
            <w:pPr>
              <w:rPr>
                <w:sz w:val="18"/>
                <w:szCs w:val="18"/>
              </w:rPr>
            </w:pPr>
          </w:p>
        </w:tc>
        <w:tc>
          <w:tcPr>
            <w:tcW w:w="473" w:type="dxa"/>
            <w:shd w:val="clear" w:color="auto" w:fill="D9D9D9"/>
          </w:tcPr>
          <w:p w14:paraId="33FCC19B" w14:textId="77777777" w:rsidR="00AF3581" w:rsidRPr="00506303" w:rsidRDefault="00AF3581" w:rsidP="0067543B">
            <w:pPr>
              <w:rPr>
                <w:sz w:val="18"/>
                <w:szCs w:val="18"/>
              </w:rPr>
            </w:pPr>
          </w:p>
        </w:tc>
        <w:tc>
          <w:tcPr>
            <w:tcW w:w="473" w:type="dxa"/>
            <w:shd w:val="clear" w:color="auto" w:fill="D9D9D9"/>
          </w:tcPr>
          <w:p w14:paraId="029C17FA" w14:textId="77777777" w:rsidR="00AF3581" w:rsidRPr="00506303" w:rsidRDefault="00AF3581" w:rsidP="0067543B">
            <w:pPr>
              <w:rPr>
                <w:sz w:val="18"/>
                <w:szCs w:val="18"/>
              </w:rPr>
            </w:pPr>
          </w:p>
        </w:tc>
        <w:tc>
          <w:tcPr>
            <w:tcW w:w="473" w:type="dxa"/>
            <w:shd w:val="clear" w:color="auto" w:fill="D9D9D9"/>
          </w:tcPr>
          <w:p w14:paraId="39507BEE" w14:textId="77777777" w:rsidR="00AF3581" w:rsidRPr="00506303" w:rsidRDefault="00AF3581" w:rsidP="0067543B">
            <w:pPr>
              <w:rPr>
                <w:sz w:val="18"/>
                <w:szCs w:val="18"/>
              </w:rPr>
            </w:pPr>
          </w:p>
        </w:tc>
        <w:tc>
          <w:tcPr>
            <w:tcW w:w="473" w:type="dxa"/>
            <w:shd w:val="clear" w:color="auto" w:fill="D9D9D9"/>
          </w:tcPr>
          <w:p w14:paraId="5FAF3673" w14:textId="77777777" w:rsidR="00AF3581" w:rsidRPr="00506303" w:rsidRDefault="00AF3581" w:rsidP="0067543B">
            <w:pPr>
              <w:rPr>
                <w:sz w:val="18"/>
                <w:szCs w:val="18"/>
              </w:rPr>
            </w:pPr>
          </w:p>
        </w:tc>
      </w:tr>
      <w:tr w:rsidR="00AF3581" w:rsidRPr="00506303" w14:paraId="0F08AF50" w14:textId="77777777" w:rsidTr="00506303">
        <w:tc>
          <w:tcPr>
            <w:tcW w:w="944" w:type="dxa"/>
            <w:shd w:val="clear" w:color="auto" w:fill="F2F2F2"/>
          </w:tcPr>
          <w:p w14:paraId="31B68509" w14:textId="77777777" w:rsidR="00AF3581" w:rsidRPr="00506303" w:rsidRDefault="00AF3581" w:rsidP="0067543B">
            <w:pPr>
              <w:rPr>
                <w:b/>
                <w:sz w:val="18"/>
                <w:szCs w:val="18"/>
              </w:rPr>
            </w:pPr>
            <w:r w:rsidRPr="00506303">
              <w:rPr>
                <w:b/>
                <w:sz w:val="18"/>
                <w:szCs w:val="18"/>
              </w:rPr>
              <w:t>1.3.2</w:t>
            </w:r>
          </w:p>
        </w:tc>
        <w:tc>
          <w:tcPr>
            <w:tcW w:w="13226" w:type="dxa"/>
            <w:gridSpan w:val="21"/>
            <w:shd w:val="clear" w:color="auto" w:fill="F2F2F2"/>
          </w:tcPr>
          <w:p w14:paraId="421A890E" w14:textId="77777777" w:rsidR="00AF3581" w:rsidRPr="00506303" w:rsidRDefault="00AF3581" w:rsidP="0067543B">
            <w:pPr>
              <w:rPr>
                <w:b/>
                <w:sz w:val="18"/>
                <w:szCs w:val="18"/>
              </w:rPr>
            </w:pPr>
            <w:r w:rsidRPr="00506303">
              <w:rPr>
                <w:b/>
                <w:sz w:val="18"/>
                <w:szCs w:val="18"/>
              </w:rPr>
              <w:t>Amended management plans for 7 existing MPAs with significant seagrass areas, to include specific seagrass-related management actions</w:t>
            </w:r>
          </w:p>
        </w:tc>
      </w:tr>
      <w:tr w:rsidR="00AF3581" w:rsidRPr="00506303" w14:paraId="659E7F50" w14:textId="77777777" w:rsidTr="00E071AC">
        <w:tc>
          <w:tcPr>
            <w:tcW w:w="944" w:type="dxa"/>
            <w:shd w:val="clear" w:color="auto" w:fill="auto"/>
          </w:tcPr>
          <w:p w14:paraId="5B3A3FA4" w14:textId="77777777" w:rsidR="00AF3581" w:rsidRPr="00506303" w:rsidRDefault="00AF3581" w:rsidP="0067543B">
            <w:pPr>
              <w:rPr>
                <w:sz w:val="18"/>
                <w:szCs w:val="18"/>
              </w:rPr>
            </w:pPr>
            <w:r w:rsidRPr="00506303">
              <w:rPr>
                <w:sz w:val="18"/>
                <w:szCs w:val="18"/>
              </w:rPr>
              <w:t>1.3.2.1</w:t>
            </w:r>
          </w:p>
        </w:tc>
        <w:tc>
          <w:tcPr>
            <w:tcW w:w="3776" w:type="dxa"/>
            <w:shd w:val="clear" w:color="auto" w:fill="auto"/>
          </w:tcPr>
          <w:p w14:paraId="64A85D87" w14:textId="77777777" w:rsidR="00AF3581" w:rsidRPr="00506303" w:rsidRDefault="00AF3581" w:rsidP="0067543B">
            <w:pPr>
              <w:rPr>
                <w:sz w:val="18"/>
                <w:szCs w:val="18"/>
              </w:rPr>
            </w:pPr>
            <w:r w:rsidRPr="00506303">
              <w:rPr>
                <w:sz w:val="18"/>
                <w:szCs w:val="18"/>
              </w:rPr>
              <w:t>Review management plans for SCS MPAs to identify need for seagrass specific actions</w:t>
            </w:r>
          </w:p>
        </w:tc>
        <w:tc>
          <w:tcPr>
            <w:tcW w:w="472" w:type="dxa"/>
            <w:shd w:val="clear" w:color="auto" w:fill="D9D9D9"/>
          </w:tcPr>
          <w:p w14:paraId="2A18F3EA" w14:textId="77777777" w:rsidR="00AF3581" w:rsidRPr="00506303" w:rsidRDefault="00AF3581" w:rsidP="0067543B">
            <w:pPr>
              <w:rPr>
                <w:sz w:val="18"/>
                <w:szCs w:val="18"/>
              </w:rPr>
            </w:pPr>
          </w:p>
        </w:tc>
        <w:tc>
          <w:tcPr>
            <w:tcW w:w="472" w:type="dxa"/>
            <w:shd w:val="clear" w:color="auto" w:fill="D9D9D9"/>
          </w:tcPr>
          <w:p w14:paraId="1A5212C1" w14:textId="77777777" w:rsidR="00AF3581" w:rsidRPr="00506303" w:rsidRDefault="00AF3581" w:rsidP="0067543B">
            <w:pPr>
              <w:rPr>
                <w:sz w:val="18"/>
                <w:szCs w:val="18"/>
              </w:rPr>
            </w:pPr>
          </w:p>
        </w:tc>
        <w:tc>
          <w:tcPr>
            <w:tcW w:w="472" w:type="dxa"/>
            <w:shd w:val="clear" w:color="auto" w:fill="D9D9D9"/>
          </w:tcPr>
          <w:p w14:paraId="59A6392C" w14:textId="77777777" w:rsidR="00AF3581" w:rsidRPr="00506303" w:rsidRDefault="00AF3581" w:rsidP="0067543B">
            <w:pPr>
              <w:rPr>
                <w:sz w:val="18"/>
                <w:szCs w:val="18"/>
              </w:rPr>
            </w:pPr>
          </w:p>
        </w:tc>
        <w:tc>
          <w:tcPr>
            <w:tcW w:w="472" w:type="dxa"/>
            <w:shd w:val="clear" w:color="auto" w:fill="D9D9D9"/>
          </w:tcPr>
          <w:p w14:paraId="58EC3CA0" w14:textId="77777777" w:rsidR="00AF3581" w:rsidRPr="00506303" w:rsidRDefault="00AF3581" w:rsidP="0067543B">
            <w:pPr>
              <w:rPr>
                <w:sz w:val="18"/>
                <w:szCs w:val="18"/>
              </w:rPr>
            </w:pPr>
          </w:p>
        </w:tc>
        <w:tc>
          <w:tcPr>
            <w:tcW w:w="472" w:type="dxa"/>
            <w:shd w:val="clear" w:color="auto" w:fill="auto"/>
          </w:tcPr>
          <w:p w14:paraId="79DEB8B0" w14:textId="77777777" w:rsidR="00AF3581" w:rsidRPr="00506303" w:rsidRDefault="00AF3581" w:rsidP="0067543B">
            <w:pPr>
              <w:rPr>
                <w:sz w:val="18"/>
                <w:szCs w:val="18"/>
              </w:rPr>
            </w:pPr>
          </w:p>
        </w:tc>
        <w:tc>
          <w:tcPr>
            <w:tcW w:w="472" w:type="dxa"/>
            <w:shd w:val="clear" w:color="auto" w:fill="auto"/>
          </w:tcPr>
          <w:p w14:paraId="70602DB9" w14:textId="77777777" w:rsidR="00AF3581" w:rsidRPr="00506303" w:rsidRDefault="00AF3581" w:rsidP="0067543B">
            <w:pPr>
              <w:rPr>
                <w:sz w:val="18"/>
                <w:szCs w:val="18"/>
              </w:rPr>
            </w:pPr>
          </w:p>
        </w:tc>
        <w:tc>
          <w:tcPr>
            <w:tcW w:w="472" w:type="dxa"/>
            <w:shd w:val="clear" w:color="auto" w:fill="auto"/>
          </w:tcPr>
          <w:p w14:paraId="34C700BA" w14:textId="77777777" w:rsidR="00AF3581" w:rsidRPr="00506303" w:rsidRDefault="00AF3581" w:rsidP="0067543B">
            <w:pPr>
              <w:rPr>
                <w:sz w:val="18"/>
                <w:szCs w:val="18"/>
              </w:rPr>
            </w:pPr>
          </w:p>
        </w:tc>
        <w:tc>
          <w:tcPr>
            <w:tcW w:w="472" w:type="dxa"/>
            <w:shd w:val="clear" w:color="auto" w:fill="auto"/>
          </w:tcPr>
          <w:p w14:paraId="5173B669" w14:textId="77777777" w:rsidR="00AF3581" w:rsidRPr="00506303" w:rsidRDefault="00AF3581" w:rsidP="0067543B">
            <w:pPr>
              <w:rPr>
                <w:sz w:val="18"/>
                <w:szCs w:val="18"/>
              </w:rPr>
            </w:pPr>
          </w:p>
        </w:tc>
        <w:tc>
          <w:tcPr>
            <w:tcW w:w="472" w:type="dxa"/>
            <w:shd w:val="clear" w:color="auto" w:fill="auto"/>
          </w:tcPr>
          <w:p w14:paraId="5F29C7FD" w14:textId="77777777" w:rsidR="00AF3581" w:rsidRPr="00506303" w:rsidRDefault="00AF3581" w:rsidP="0067543B">
            <w:pPr>
              <w:rPr>
                <w:sz w:val="18"/>
                <w:szCs w:val="18"/>
              </w:rPr>
            </w:pPr>
          </w:p>
        </w:tc>
        <w:tc>
          <w:tcPr>
            <w:tcW w:w="472" w:type="dxa"/>
            <w:shd w:val="clear" w:color="auto" w:fill="auto"/>
          </w:tcPr>
          <w:p w14:paraId="60EA19B0" w14:textId="77777777" w:rsidR="00AF3581" w:rsidRPr="00506303" w:rsidRDefault="00AF3581" w:rsidP="0067543B">
            <w:pPr>
              <w:rPr>
                <w:sz w:val="18"/>
                <w:szCs w:val="18"/>
              </w:rPr>
            </w:pPr>
          </w:p>
        </w:tc>
        <w:tc>
          <w:tcPr>
            <w:tcW w:w="473" w:type="dxa"/>
            <w:shd w:val="clear" w:color="auto" w:fill="auto"/>
          </w:tcPr>
          <w:p w14:paraId="0FE85A8B" w14:textId="77777777" w:rsidR="00AF3581" w:rsidRPr="00506303" w:rsidRDefault="00AF3581" w:rsidP="0067543B">
            <w:pPr>
              <w:rPr>
                <w:sz w:val="18"/>
                <w:szCs w:val="18"/>
              </w:rPr>
            </w:pPr>
          </w:p>
        </w:tc>
        <w:tc>
          <w:tcPr>
            <w:tcW w:w="473" w:type="dxa"/>
            <w:shd w:val="clear" w:color="auto" w:fill="auto"/>
          </w:tcPr>
          <w:p w14:paraId="5FE645A9" w14:textId="77777777" w:rsidR="00AF3581" w:rsidRPr="00506303" w:rsidRDefault="00AF3581" w:rsidP="0067543B">
            <w:pPr>
              <w:rPr>
                <w:sz w:val="18"/>
                <w:szCs w:val="18"/>
              </w:rPr>
            </w:pPr>
          </w:p>
        </w:tc>
        <w:tc>
          <w:tcPr>
            <w:tcW w:w="473" w:type="dxa"/>
            <w:shd w:val="clear" w:color="auto" w:fill="auto"/>
          </w:tcPr>
          <w:p w14:paraId="200B42F5" w14:textId="77777777" w:rsidR="00AF3581" w:rsidRPr="00506303" w:rsidRDefault="00AF3581" w:rsidP="0067543B">
            <w:pPr>
              <w:rPr>
                <w:sz w:val="18"/>
                <w:szCs w:val="18"/>
              </w:rPr>
            </w:pPr>
          </w:p>
        </w:tc>
        <w:tc>
          <w:tcPr>
            <w:tcW w:w="473" w:type="dxa"/>
            <w:shd w:val="clear" w:color="auto" w:fill="auto"/>
          </w:tcPr>
          <w:p w14:paraId="6B146D52" w14:textId="77777777" w:rsidR="00AF3581" w:rsidRPr="00506303" w:rsidRDefault="00AF3581" w:rsidP="0067543B">
            <w:pPr>
              <w:rPr>
                <w:sz w:val="18"/>
                <w:szCs w:val="18"/>
              </w:rPr>
            </w:pPr>
          </w:p>
        </w:tc>
        <w:tc>
          <w:tcPr>
            <w:tcW w:w="473" w:type="dxa"/>
            <w:shd w:val="clear" w:color="auto" w:fill="auto"/>
          </w:tcPr>
          <w:p w14:paraId="09B2C519" w14:textId="77777777" w:rsidR="00AF3581" w:rsidRPr="00506303" w:rsidRDefault="00AF3581" w:rsidP="0067543B">
            <w:pPr>
              <w:rPr>
                <w:sz w:val="18"/>
                <w:szCs w:val="18"/>
              </w:rPr>
            </w:pPr>
          </w:p>
        </w:tc>
        <w:tc>
          <w:tcPr>
            <w:tcW w:w="473" w:type="dxa"/>
            <w:shd w:val="clear" w:color="auto" w:fill="auto"/>
          </w:tcPr>
          <w:p w14:paraId="2A400F8C" w14:textId="77777777" w:rsidR="00AF3581" w:rsidRPr="00506303" w:rsidRDefault="00AF3581" w:rsidP="0067543B">
            <w:pPr>
              <w:rPr>
                <w:sz w:val="18"/>
                <w:szCs w:val="18"/>
              </w:rPr>
            </w:pPr>
          </w:p>
        </w:tc>
        <w:tc>
          <w:tcPr>
            <w:tcW w:w="473" w:type="dxa"/>
            <w:shd w:val="clear" w:color="auto" w:fill="auto"/>
          </w:tcPr>
          <w:p w14:paraId="76A141ED" w14:textId="77777777" w:rsidR="00AF3581" w:rsidRPr="00506303" w:rsidRDefault="00AF3581" w:rsidP="0067543B">
            <w:pPr>
              <w:rPr>
                <w:sz w:val="18"/>
                <w:szCs w:val="18"/>
              </w:rPr>
            </w:pPr>
          </w:p>
        </w:tc>
        <w:tc>
          <w:tcPr>
            <w:tcW w:w="473" w:type="dxa"/>
            <w:shd w:val="clear" w:color="auto" w:fill="auto"/>
          </w:tcPr>
          <w:p w14:paraId="236B19A9" w14:textId="77777777" w:rsidR="00AF3581" w:rsidRPr="00506303" w:rsidRDefault="00AF3581" w:rsidP="0067543B">
            <w:pPr>
              <w:rPr>
                <w:sz w:val="18"/>
                <w:szCs w:val="18"/>
              </w:rPr>
            </w:pPr>
          </w:p>
        </w:tc>
        <w:tc>
          <w:tcPr>
            <w:tcW w:w="473" w:type="dxa"/>
            <w:shd w:val="clear" w:color="auto" w:fill="auto"/>
          </w:tcPr>
          <w:p w14:paraId="5EC425E9" w14:textId="77777777" w:rsidR="00AF3581" w:rsidRPr="00506303" w:rsidRDefault="00AF3581" w:rsidP="0067543B">
            <w:pPr>
              <w:rPr>
                <w:sz w:val="18"/>
                <w:szCs w:val="18"/>
              </w:rPr>
            </w:pPr>
          </w:p>
        </w:tc>
        <w:tc>
          <w:tcPr>
            <w:tcW w:w="473" w:type="dxa"/>
            <w:shd w:val="clear" w:color="auto" w:fill="auto"/>
          </w:tcPr>
          <w:p w14:paraId="25EF3A5B" w14:textId="77777777" w:rsidR="00AF3581" w:rsidRPr="00506303" w:rsidRDefault="00AF3581" w:rsidP="0067543B">
            <w:pPr>
              <w:rPr>
                <w:sz w:val="18"/>
                <w:szCs w:val="18"/>
              </w:rPr>
            </w:pPr>
          </w:p>
        </w:tc>
      </w:tr>
      <w:tr w:rsidR="00AF3581" w:rsidRPr="00506303" w14:paraId="305A2C92" w14:textId="77777777" w:rsidTr="00E071AC">
        <w:tc>
          <w:tcPr>
            <w:tcW w:w="944" w:type="dxa"/>
            <w:shd w:val="clear" w:color="auto" w:fill="auto"/>
          </w:tcPr>
          <w:p w14:paraId="0C86FA21" w14:textId="77777777" w:rsidR="00AF3581" w:rsidRPr="00506303" w:rsidRDefault="00AF3581" w:rsidP="0067543B">
            <w:pPr>
              <w:rPr>
                <w:sz w:val="18"/>
                <w:szCs w:val="18"/>
              </w:rPr>
            </w:pPr>
            <w:r w:rsidRPr="00506303">
              <w:rPr>
                <w:sz w:val="18"/>
                <w:szCs w:val="18"/>
              </w:rPr>
              <w:t>1.3.2.2</w:t>
            </w:r>
          </w:p>
        </w:tc>
        <w:tc>
          <w:tcPr>
            <w:tcW w:w="3776" w:type="dxa"/>
            <w:shd w:val="clear" w:color="auto" w:fill="auto"/>
          </w:tcPr>
          <w:p w14:paraId="31368434" w14:textId="77777777" w:rsidR="00AF3581" w:rsidRPr="00506303" w:rsidRDefault="00AF3581" w:rsidP="0067543B">
            <w:pPr>
              <w:rPr>
                <w:sz w:val="18"/>
                <w:szCs w:val="18"/>
              </w:rPr>
            </w:pPr>
            <w:r w:rsidRPr="00506303">
              <w:rPr>
                <w:sz w:val="18"/>
                <w:szCs w:val="18"/>
              </w:rPr>
              <w:t>Using assembled baseline data, develop an objective and scientifically sound procedure for identifying 7 priority MPA plans for revision</w:t>
            </w:r>
          </w:p>
        </w:tc>
        <w:tc>
          <w:tcPr>
            <w:tcW w:w="472" w:type="dxa"/>
            <w:shd w:val="clear" w:color="auto" w:fill="auto"/>
          </w:tcPr>
          <w:p w14:paraId="137A8BEC" w14:textId="77777777" w:rsidR="00AF3581" w:rsidRPr="00506303" w:rsidRDefault="00AF3581" w:rsidP="0067543B">
            <w:pPr>
              <w:rPr>
                <w:sz w:val="18"/>
                <w:szCs w:val="18"/>
              </w:rPr>
            </w:pPr>
          </w:p>
        </w:tc>
        <w:tc>
          <w:tcPr>
            <w:tcW w:w="472" w:type="dxa"/>
            <w:shd w:val="clear" w:color="auto" w:fill="auto"/>
          </w:tcPr>
          <w:p w14:paraId="5F5685B8" w14:textId="77777777" w:rsidR="00AF3581" w:rsidRPr="00506303" w:rsidRDefault="00AF3581" w:rsidP="0067543B">
            <w:pPr>
              <w:rPr>
                <w:sz w:val="18"/>
                <w:szCs w:val="18"/>
              </w:rPr>
            </w:pPr>
          </w:p>
        </w:tc>
        <w:tc>
          <w:tcPr>
            <w:tcW w:w="472" w:type="dxa"/>
            <w:shd w:val="clear" w:color="auto" w:fill="D9D9D9"/>
          </w:tcPr>
          <w:p w14:paraId="1554CB66" w14:textId="77777777" w:rsidR="00AF3581" w:rsidRPr="00506303" w:rsidRDefault="00AF3581" w:rsidP="0067543B">
            <w:pPr>
              <w:rPr>
                <w:sz w:val="18"/>
                <w:szCs w:val="18"/>
              </w:rPr>
            </w:pPr>
          </w:p>
        </w:tc>
        <w:tc>
          <w:tcPr>
            <w:tcW w:w="472" w:type="dxa"/>
            <w:shd w:val="clear" w:color="auto" w:fill="D9D9D9"/>
          </w:tcPr>
          <w:p w14:paraId="710BBC94" w14:textId="77777777" w:rsidR="00AF3581" w:rsidRPr="00506303" w:rsidRDefault="00AF3581" w:rsidP="0067543B">
            <w:pPr>
              <w:rPr>
                <w:sz w:val="18"/>
                <w:szCs w:val="18"/>
              </w:rPr>
            </w:pPr>
          </w:p>
        </w:tc>
        <w:tc>
          <w:tcPr>
            <w:tcW w:w="472" w:type="dxa"/>
            <w:shd w:val="clear" w:color="auto" w:fill="D9D9D9"/>
          </w:tcPr>
          <w:p w14:paraId="6A4E6044" w14:textId="77777777" w:rsidR="00AF3581" w:rsidRPr="00506303" w:rsidRDefault="00AF3581" w:rsidP="0067543B">
            <w:pPr>
              <w:rPr>
                <w:sz w:val="18"/>
                <w:szCs w:val="18"/>
              </w:rPr>
            </w:pPr>
          </w:p>
        </w:tc>
        <w:tc>
          <w:tcPr>
            <w:tcW w:w="472" w:type="dxa"/>
            <w:shd w:val="clear" w:color="auto" w:fill="D9D9D9"/>
          </w:tcPr>
          <w:p w14:paraId="5BCFFD1F" w14:textId="77777777" w:rsidR="00AF3581" w:rsidRPr="00506303" w:rsidRDefault="00AF3581" w:rsidP="0067543B">
            <w:pPr>
              <w:rPr>
                <w:sz w:val="18"/>
                <w:szCs w:val="18"/>
              </w:rPr>
            </w:pPr>
          </w:p>
        </w:tc>
        <w:tc>
          <w:tcPr>
            <w:tcW w:w="472" w:type="dxa"/>
            <w:shd w:val="clear" w:color="auto" w:fill="D9D9D9"/>
          </w:tcPr>
          <w:p w14:paraId="552E8818" w14:textId="77777777" w:rsidR="00AF3581" w:rsidRPr="00506303" w:rsidRDefault="00AF3581" w:rsidP="0067543B">
            <w:pPr>
              <w:rPr>
                <w:sz w:val="18"/>
                <w:szCs w:val="18"/>
              </w:rPr>
            </w:pPr>
          </w:p>
        </w:tc>
        <w:tc>
          <w:tcPr>
            <w:tcW w:w="472" w:type="dxa"/>
            <w:shd w:val="clear" w:color="auto" w:fill="D9D9D9"/>
          </w:tcPr>
          <w:p w14:paraId="7527E7E4" w14:textId="77777777" w:rsidR="00AF3581" w:rsidRPr="00506303" w:rsidRDefault="00AF3581" w:rsidP="0067543B">
            <w:pPr>
              <w:rPr>
                <w:sz w:val="18"/>
                <w:szCs w:val="18"/>
              </w:rPr>
            </w:pPr>
          </w:p>
        </w:tc>
        <w:tc>
          <w:tcPr>
            <w:tcW w:w="472" w:type="dxa"/>
            <w:shd w:val="clear" w:color="auto" w:fill="auto"/>
          </w:tcPr>
          <w:p w14:paraId="16F81A9B" w14:textId="77777777" w:rsidR="00AF3581" w:rsidRPr="00506303" w:rsidRDefault="00AF3581" w:rsidP="0067543B">
            <w:pPr>
              <w:rPr>
                <w:sz w:val="18"/>
                <w:szCs w:val="18"/>
              </w:rPr>
            </w:pPr>
          </w:p>
        </w:tc>
        <w:tc>
          <w:tcPr>
            <w:tcW w:w="472" w:type="dxa"/>
            <w:shd w:val="clear" w:color="auto" w:fill="auto"/>
          </w:tcPr>
          <w:p w14:paraId="47215AB0" w14:textId="77777777" w:rsidR="00AF3581" w:rsidRPr="00506303" w:rsidRDefault="00AF3581" w:rsidP="0067543B">
            <w:pPr>
              <w:rPr>
                <w:sz w:val="18"/>
                <w:szCs w:val="18"/>
              </w:rPr>
            </w:pPr>
          </w:p>
        </w:tc>
        <w:tc>
          <w:tcPr>
            <w:tcW w:w="473" w:type="dxa"/>
            <w:shd w:val="clear" w:color="auto" w:fill="auto"/>
          </w:tcPr>
          <w:p w14:paraId="65A0FC7C" w14:textId="77777777" w:rsidR="00AF3581" w:rsidRPr="00506303" w:rsidRDefault="00AF3581" w:rsidP="0067543B">
            <w:pPr>
              <w:rPr>
                <w:sz w:val="18"/>
                <w:szCs w:val="18"/>
              </w:rPr>
            </w:pPr>
          </w:p>
        </w:tc>
        <w:tc>
          <w:tcPr>
            <w:tcW w:w="473" w:type="dxa"/>
            <w:shd w:val="clear" w:color="auto" w:fill="auto"/>
          </w:tcPr>
          <w:p w14:paraId="6C03061F" w14:textId="77777777" w:rsidR="00AF3581" w:rsidRPr="00506303" w:rsidRDefault="00AF3581" w:rsidP="0067543B">
            <w:pPr>
              <w:rPr>
                <w:sz w:val="18"/>
                <w:szCs w:val="18"/>
              </w:rPr>
            </w:pPr>
          </w:p>
        </w:tc>
        <w:tc>
          <w:tcPr>
            <w:tcW w:w="473" w:type="dxa"/>
            <w:shd w:val="clear" w:color="auto" w:fill="auto"/>
          </w:tcPr>
          <w:p w14:paraId="4B0ED4BD" w14:textId="77777777" w:rsidR="00AF3581" w:rsidRPr="00506303" w:rsidRDefault="00AF3581" w:rsidP="0067543B">
            <w:pPr>
              <w:rPr>
                <w:sz w:val="18"/>
                <w:szCs w:val="18"/>
              </w:rPr>
            </w:pPr>
          </w:p>
        </w:tc>
        <w:tc>
          <w:tcPr>
            <w:tcW w:w="473" w:type="dxa"/>
            <w:shd w:val="clear" w:color="auto" w:fill="auto"/>
          </w:tcPr>
          <w:p w14:paraId="13042BB5" w14:textId="77777777" w:rsidR="00AF3581" w:rsidRPr="00506303" w:rsidRDefault="00AF3581" w:rsidP="0067543B">
            <w:pPr>
              <w:rPr>
                <w:sz w:val="18"/>
                <w:szCs w:val="18"/>
              </w:rPr>
            </w:pPr>
          </w:p>
        </w:tc>
        <w:tc>
          <w:tcPr>
            <w:tcW w:w="473" w:type="dxa"/>
            <w:shd w:val="clear" w:color="auto" w:fill="auto"/>
          </w:tcPr>
          <w:p w14:paraId="220D7873" w14:textId="77777777" w:rsidR="00AF3581" w:rsidRPr="00506303" w:rsidRDefault="00AF3581" w:rsidP="0067543B">
            <w:pPr>
              <w:rPr>
                <w:sz w:val="18"/>
                <w:szCs w:val="18"/>
              </w:rPr>
            </w:pPr>
          </w:p>
        </w:tc>
        <w:tc>
          <w:tcPr>
            <w:tcW w:w="473" w:type="dxa"/>
            <w:shd w:val="clear" w:color="auto" w:fill="auto"/>
          </w:tcPr>
          <w:p w14:paraId="79D2A85E" w14:textId="77777777" w:rsidR="00AF3581" w:rsidRPr="00506303" w:rsidRDefault="00AF3581" w:rsidP="0067543B">
            <w:pPr>
              <w:rPr>
                <w:sz w:val="18"/>
                <w:szCs w:val="18"/>
              </w:rPr>
            </w:pPr>
          </w:p>
        </w:tc>
        <w:tc>
          <w:tcPr>
            <w:tcW w:w="473" w:type="dxa"/>
            <w:shd w:val="clear" w:color="auto" w:fill="auto"/>
          </w:tcPr>
          <w:p w14:paraId="21922120" w14:textId="77777777" w:rsidR="00AF3581" w:rsidRPr="00506303" w:rsidRDefault="00AF3581" w:rsidP="0067543B">
            <w:pPr>
              <w:rPr>
                <w:sz w:val="18"/>
                <w:szCs w:val="18"/>
              </w:rPr>
            </w:pPr>
          </w:p>
        </w:tc>
        <w:tc>
          <w:tcPr>
            <w:tcW w:w="473" w:type="dxa"/>
            <w:shd w:val="clear" w:color="auto" w:fill="auto"/>
          </w:tcPr>
          <w:p w14:paraId="7E0D8F94" w14:textId="77777777" w:rsidR="00AF3581" w:rsidRPr="00506303" w:rsidRDefault="00AF3581" w:rsidP="0067543B">
            <w:pPr>
              <w:rPr>
                <w:sz w:val="18"/>
                <w:szCs w:val="18"/>
              </w:rPr>
            </w:pPr>
          </w:p>
        </w:tc>
        <w:tc>
          <w:tcPr>
            <w:tcW w:w="473" w:type="dxa"/>
            <w:shd w:val="clear" w:color="auto" w:fill="auto"/>
          </w:tcPr>
          <w:p w14:paraId="694A217E" w14:textId="77777777" w:rsidR="00AF3581" w:rsidRPr="00506303" w:rsidRDefault="00AF3581" w:rsidP="0067543B">
            <w:pPr>
              <w:rPr>
                <w:sz w:val="18"/>
                <w:szCs w:val="18"/>
              </w:rPr>
            </w:pPr>
          </w:p>
        </w:tc>
        <w:tc>
          <w:tcPr>
            <w:tcW w:w="473" w:type="dxa"/>
            <w:shd w:val="clear" w:color="auto" w:fill="auto"/>
          </w:tcPr>
          <w:p w14:paraId="5BF3BB02" w14:textId="77777777" w:rsidR="00AF3581" w:rsidRPr="00506303" w:rsidRDefault="00AF3581" w:rsidP="0067543B">
            <w:pPr>
              <w:rPr>
                <w:sz w:val="18"/>
                <w:szCs w:val="18"/>
              </w:rPr>
            </w:pPr>
          </w:p>
        </w:tc>
      </w:tr>
      <w:tr w:rsidR="00AF3581" w:rsidRPr="00506303" w14:paraId="54781759" w14:textId="77777777" w:rsidTr="00E071AC">
        <w:tc>
          <w:tcPr>
            <w:tcW w:w="944" w:type="dxa"/>
            <w:shd w:val="clear" w:color="auto" w:fill="auto"/>
          </w:tcPr>
          <w:p w14:paraId="0E6CA5A6" w14:textId="77777777" w:rsidR="00AF3581" w:rsidRPr="00506303" w:rsidRDefault="00AF3581" w:rsidP="0067543B">
            <w:pPr>
              <w:rPr>
                <w:sz w:val="18"/>
                <w:szCs w:val="18"/>
              </w:rPr>
            </w:pPr>
            <w:r w:rsidRPr="00506303">
              <w:rPr>
                <w:sz w:val="18"/>
                <w:szCs w:val="18"/>
              </w:rPr>
              <w:t>1.3.2.3</w:t>
            </w:r>
          </w:p>
        </w:tc>
        <w:tc>
          <w:tcPr>
            <w:tcW w:w="3776" w:type="dxa"/>
            <w:shd w:val="clear" w:color="auto" w:fill="auto"/>
          </w:tcPr>
          <w:p w14:paraId="791B8527" w14:textId="77777777" w:rsidR="00AF3581" w:rsidRPr="00506303" w:rsidRDefault="00AF3581" w:rsidP="0067543B">
            <w:pPr>
              <w:rPr>
                <w:sz w:val="18"/>
                <w:szCs w:val="18"/>
              </w:rPr>
            </w:pPr>
            <w:r w:rsidRPr="00506303">
              <w:rPr>
                <w:sz w:val="18"/>
                <w:szCs w:val="18"/>
              </w:rPr>
              <w:t>Conduct causal chain analyses at 7 selected MPA sites to identify key threats to seagrass and priorities for management</w:t>
            </w:r>
          </w:p>
        </w:tc>
        <w:tc>
          <w:tcPr>
            <w:tcW w:w="472" w:type="dxa"/>
            <w:shd w:val="clear" w:color="auto" w:fill="auto"/>
          </w:tcPr>
          <w:p w14:paraId="2FD01DAF" w14:textId="77777777" w:rsidR="00AF3581" w:rsidRPr="00506303" w:rsidRDefault="00AF3581" w:rsidP="0067543B">
            <w:pPr>
              <w:rPr>
                <w:sz w:val="18"/>
                <w:szCs w:val="18"/>
              </w:rPr>
            </w:pPr>
          </w:p>
        </w:tc>
        <w:tc>
          <w:tcPr>
            <w:tcW w:w="472" w:type="dxa"/>
            <w:shd w:val="clear" w:color="auto" w:fill="auto"/>
          </w:tcPr>
          <w:p w14:paraId="5E0F876F" w14:textId="77777777" w:rsidR="00AF3581" w:rsidRPr="00506303" w:rsidRDefault="00AF3581" w:rsidP="0067543B">
            <w:pPr>
              <w:rPr>
                <w:sz w:val="18"/>
                <w:szCs w:val="18"/>
              </w:rPr>
            </w:pPr>
          </w:p>
        </w:tc>
        <w:tc>
          <w:tcPr>
            <w:tcW w:w="472" w:type="dxa"/>
            <w:shd w:val="clear" w:color="auto" w:fill="auto"/>
          </w:tcPr>
          <w:p w14:paraId="14CB8465" w14:textId="77777777" w:rsidR="00AF3581" w:rsidRPr="00506303" w:rsidRDefault="00AF3581" w:rsidP="0067543B">
            <w:pPr>
              <w:rPr>
                <w:sz w:val="18"/>
                <w:szCs w:val="18"/>
              </w:rPr>
            </w:pPr>
          </w:p>
        </w:tc>
        <w:tc>
          <w:tcPr>
            <w:tcW w:w="472" w:type="dxa"/>
            <w:shd w:val="clear" w:color="auto" w:fill="auto"/>
          </w:tcPr>
          <w:p w14:paraId="5EA2CCB7" w14:textId="77777777" w:rsidR="00AF3581" w:rsidRPr="00506303" w:rsidRDefault="00AF3581" w:rsidP="0067543B">
            <w:pPr>
              <w:rPr>
                <w:sz w:val="18"/>
                <w:szCs w:val="18"/>
              </w:rPr>
            </w:pPr>
          </w:p>
        </w:tc>
        <w:tc>
          <w:tcPr>
            <w:tcW w:w="472" w:type="dxa"/>
            <w:shd w:val="clear" w:color="auto" w:fill="D9D9D9"/>
          </w:tcPr>
          <w:p w14:paraId="269460E6" w14:textId="77777777" w:rsidR="00AF3581" w:rsidRPr="00506303" w:rsidRDefault="00AF3581" w:rsidP="0067543B">
            <w:pPr>
              <w:rPr>
                <w:sz w:val="18"/>
                <w:szCs w:val="18"/>
              </w:rPr>
            </w:pPr>
          </w:p>
        </w:tc>
        <w:tc>
          <w:tcPr>
            <w:tcW w:w="472" w:type="dxa"/>
            <w:shd w:val="clear" w:color="auto" w:fill="D9D9D9"/>
          </w:tcPr>
          <w:p w14:paraId="255617EC" w14:textId="77777777" w:rsidR="00AF3581" w:rsidRPr="00506303" w:rsidRDefault="00AF3581" w:rsidP="0067543B">
            <w:pPr>
              <w:rPr>
                <w:sz w:val="18"/>
                <w:szCs w:val="18"/>
              </w:rPr>
            </w:pPr>
          </w:p>
        </w:tc>
        <w:tc>
          <w:tcPr>
            <w:tcW w:w="472" w:type="dxa"/>
            <w:shd w:val="clear" w:color="auto" w:fill="D9D9D9"/>
          </w:tcPr>
          <w:p w14:paraId="72E06D55" w14:textId="77777777" w:rsidR="00AF3581" w:rsidRPr="00506303" w:rsidRDefault="00AF3581" w:rsidP="0067543B">
            <w:pPr>
              <w:rPr>
                <w:sz w:val="18"/>
                <w:szCs w:val="18"/>
              </w:rPr>
            </w:pPr>
          </w:p>
        </w:tc>
        <w:tc>
          <w:tcPr>
            <w:tcW w:w="472" w:type="dxa"/>
            <w:shd w:val="clear" w:color="auto" w:fill="D9D9D9"/>
          </w:tcPr>
          <w:p w14:paraId="26CF435A" w14:textId="77777777" w:rsidR="00AF3581" w:rsidRPr="00506303" w:rsidRDefault="00AF3581" w:rsidP="0067543B">
            <w:pPr>
              <w:rPr>
                <w:sz w:val="18"/>
                <w:szCs w:val="18"/>
              </w:rPr>
            </w:pPr>
          </w:p>
        </w:tc>
        <w:tc>
          <w:tcPr>
            <w:tcW w:w="472" w:type="dxa"/>
            <w:shd w:val="clear" w:color="auto" w:fill="auto"/>
          </w:tcPr>
          <w:p w14:paraId="785795B4" w14:textId="77777777" w:rsidR="00AF3581" w:rsidRPr="00506303" w:rsidRDefault="00AF3581" w:rsidP="0067543B">
            <w:pPr>
              <w:rPr>
                <w:sz w:val="18"/>
                <w:szCs w:val="18"/>
              </w:rPr>
            </w:pPr>
          </w:p>
        </w:tc>
        <w:tc>
          <w:tcPr>
            <w:tcW w:w="472" w:type="dxa"/>
            <w:shd w:val="clear" w:color="auto" w:fill="auto"/>
          </w:tcPr>
          <w:p w14:paraId="53171B91" w14:textId="77777777" w:rsidR="00AF3581" w:rsidRPr="00506303" w:rsidRDefault="00AF3581" w:rsidP="0067543B">
            <w:pPr>
              <w:rPr>
                <w:sz w:val="18"/>
                <w:szCs w:val="18"/>
              </w:rPr>
            </w:pPr>
          </w:p>
        </w:tc>
        <w:tc>
          <w:tcPr>
            <w:tcW w:w="473" w:type="dxa"/>
            <w:shd w:val="clear" w:color="auto" w:fill="auto"/>
          </w:tcPr>
          <w:p w14:paraId="38896936" w14:textId="77777777" w:rsidR="00AF3581" w:rsidRPr="00506303" w:rsidRDefault="00AF3581" w:rsidP="0067543B">
            <w:pPr>
              <w:rPr>
                <w:sz w:val="18"/>
                <w:szCs w:val="18"/>
              </w:rPr>
            </w:pPr>
          </w:p>
        </w:tc>
        <w:tc>
          <w:tcPr>
            <w:tcW w:w="473" w:type="dxa"/>
            <w:shd w:val="clear" w:color="auto" w:fill="auto"/>
          </w:tcPr>
          <w:p w14:paraId="0A9606CD" w14:textId="77777777" w:rsidR="00AF3581" w:rsidRPr="00506303" w:rsidRDefault="00AF3581" w:rsidP="0067543B">
            <w:pPr>
              <w:rPr>
                <w:sz w:val="18"/>
                <w:szCs w:val="18"/>
              </w:rPr>
            </w:pPr>
          </w:p>
        </w:tc>
        <w:tc>
          <w:tcPr>
            <w:tcW w:w="473" w:type="dxa"/>
            <w:shd w:val="clear" w:color="auto" w:fill="auto"/>
          </w:tcPr>
          <w:p w14:paraId="388F9335" w14:textId="77777777" w:rsidR="00AF3581" w:rsidRPr="00506303" w:rsidRDefault="00AF3581" w:rsidP="0067543B">
            <w:pPr>
              <w:rPr>
                <w:sz w:val="18"/>
                <w:szCs w:val="18"/>
              </w:rPr>
            </w:pPr>
          </w:p>
        </w:tc>
        <w:tc>
          <w:tcPr>
            <w:tcW w:w="473" w:type="dxa"/>
            <w:shd w:val="clear" w:color="auto" w:fill="auto"/>
          </w:tcPr>
          <w:p w14:paraId="770F1C96" w14:textId="77777777" w:rsidR="00AF3581" w:rsidRPr="00506303" w:rsidRDefault="00AF3581" w:rsidP="0067543B">
            <w:pPr>
              <w:rPr>
                <w:sz w:val="18"/>
                <w:szCs w:val="18"/>
              </w:rPr>
            </w:pPr>
          </w:p>
        </w:tc>
        <w:tc>
          <w:tcPr>
            <w:tcW w:w="473" w:type="dxa"/>
            <w:shd w:val="clear" w:color="auto" w:fill="auto"/>
          </w:tcPr>
          <w:p w14:paraId="19C89983" w14:textId="77777777" w:rsidR="00AF3581" w:rsidRPr="00506303" w:rsidRDefault="00AF3581" w:rsidP="0067543B">
            <w:pPr>
              <w:rPr>
                <w:sz w:val="18"/>
                <w:szCs w:val="18"/>
              </w:rPr>
            </w:pPr>
          </w:p>
        </w:tc>
        <w:tc>
          <w:tcPr>
            <w:tcW w:w="473" w:type="dxa"/>
            <w:shd w:val="clear" w:color="auto" w:fill="auto"/>
          </w:tcPr>
          <w:p w14:paraId="3FB5E32C" w14:textId="77777777" w:rsidR="00AF3581" w:rsidRPr="00506303" w:rsidRDefault="00AF3581" w:rsidP="0067543B">
            <w:pPr>
              <w:rPr>
                <w:sz w:val="18"/>
                <w:szCs w:val="18"/>
              </w:rPr>
            </w:pPr>
          </w:p>
        </w:tc>
        <w:tc>
          <w:tcPr>
            <w:tcW w:w="473" w:type="dxa"/>
            <w:shd w:val="clear" w:color="auto" w:fill="auto"/>
          </w:tcPr>
          <w:p w14:paraId="3FD8EBBF" w14:textId="77777777" w:rsidR="00AF3581" w:rsidRPr="00506303" w:rsidRDefault="00AF3581" w:rsidP="0067543B">
            <w:pPr>
              <w:rPr>
                <w:sz w:val="18"/>
                <w:szCs w:val="18"/>
              </w:rPr>
            </w:pPr>
          </w:p>
        </w:tc>
        <w:tc>
          <w:tcPr>
            <w:tcW w:w="473" w:type="dxa"/>
            <w:shd w:val="clear" w:color="auto" w:fill="auto"/>
          </w:tcPr>
          <w:p w14:paraId="7FD8D347" w14:textId="77777777" w:rsidR="00AF3581" w:rsidRPr="00506303" w:rsidRDefault="00AF3581" w:rsidP="0067543B">
            <w:pPr>
              <w:rPr>
                <w:sz w:val="18"/>
                <w:szCs w:val="18"/>
              </w:rPr>
            </w:pPr>
          </w:p>
        </w:tc>
        <w:tc>
          <w:tcPr>
            <w:tcW w:w="473" w:type="dxa"/>
            <w:shd w:val="clear" w:color="auto" w:fill="auto"/>
          </w:tcPr>
          <w:p w14:paraId="3C2E4347" w14:textId="77777777" w:rsidR="00AF3581" w:rsidRPr="00506303" w:rsidRDefault="00AF3581" w:rsidP="0067543B">
            <w:pPr>
              <w:rPr>
                <w:sz w:val="18"/>
                <w:szCs w:val="18"/>
              </w:rPr>
            </w:pPr>
          </w:p>
        </w:tc>
        <w:tc>
          <w:tcPr>
            <w:tcW w:w="473" w:type="dxa"/>
            <w:shd w:val="clear" w:color="auto" w:fill="auto"/>
          </w:tcPr>
          <w:p w14:paraId="55D7D7A1" w14:textId="77777777" w:rsidR="00AF3581" w:rsidRPr="00506303" w:rsidRDefault="00AF3581" w:rsidP="0067543B">
            <w:pPr>
              <w:rPr>
                <w:sz w:val="18"/>
                <w:szCs w:val="18"/>
              </w:rPr>
            </w:pPr>
          </w:p>
        </w:tc>
      </w:tr>
      <w:tr w:rsidR="00E071AC" w:rsidRPr="00506303" w14:paraId="19F96494" w14:textId="77777777" w:rsidTr="00E071AC">
        <w:tc>
          <w:tcPr>
            <w:tcW w:w="944" w:type="dxa"/>
            <w:shd w:val="clear" w:color="auto" w:fill="auto"/>
          </w:tcPr>
          <w:p w14:paraId="1E24A5B3" w14:textId="77777777" w:rsidR="00AF3581" w:rsidRPr="00506303" w:rsidRDefault="00AF3581" w:rsidP="0067543B">
            <w:pPr>
              <w:rPr>
                <w:sz w:val="18"/>
                <w:szCs w:val="18"/>
              </w:rPr>
            </w:pPr>
            <w:r w:rsidRPr="00506303">
              <w:rPr>
                <w:sz w:val="18"/>
                <w:szCs w:val="18"/>
              </w:rPr>
              <w:t>1.2.3.4</w:t>
            </w:r>
          </w:p>
        </w:tc>
        <w:tc>
          <w:tcPr>
            <w:tcW w:w="3776" w:type="dxa"/>
            <w:shd w:val="clear" w:color="auto" w:fill="auto"/>
          </w:tcPr>
          <w:p w14:paraId="7EF57ADF" w14:textId="77777777" w:rsidR="00AF3581" w:rsidRPr="00506303" w:rsidRDefault="00AF3581" w:rsidP="0067543B">
            <w:pPr>
              <w:rPr>
                <w:sz w:val="18"/>
                <w:szCs w:val="18"/>
              </w:rPr>
            </w:pPr>
            <w:r w:rsidRPr="00506303">
              <w:rPr>
                <w:sz w:val="18"/>
                <w:szCs w:val="18"/>
              </w:rPr>
              <w:t>Conduct consultative processes at each MPA site to secure adoption of mgmtt plan amendments</w:t>
            </w:r>
          </w:p>
        </w:tc>
        <w:tc>
          <w:tcPr>
            <w:tcW w:w="472" w:type="dxa"/>
            <w:shd w:val="clear" w:color="auto" w:fill="auto"/>
          </w:tcPr>
          <w:p w14:paraId="2A77BBB8" w14:textId="77777777" w:rsidR="00AF3581" w:rsidRPr="00506303" w:rsidRDefault="00AF3581" w:rsidP="0067543B">
            <w:pPr>
              <w:rPr>
                <w:sz w:val="18"/>
                <w:szCs w:val="18"/>
              </w:rPr>
            </w:pPr>
          </w:p>
        </w:tc>
        <w:tc>
          <w:tcPr>
            <w:tcW w:w="472" w:type="dxa"/>
            <w:shd w:val="clear" w:color="auto" w:fill="auto"/>
          </w:tcPr>
          <w:p w14:paraId="4E693B50" w14:textId="77777777" w:rsidR="00AF3581" w:rsidRPr="00506303" w:rsidRDefault="00AF3581" w:rsidP="0067543B">
            <w:pPr>
              <w:rPr>
                <w:sz w:val="18"/>
                <w:szCs w:val="18"/>
              </w:rPr>
            </w:pPr>
          </w:p>
        </w:tc>
        <w:tc>
          <w:tcPr>
            <w:tcW w:w="472" w:type="dxa"/>
            <w:shd w:val="clear" w:color="auto" w:fill="auto"/>
          </w:tcPr>
          <w:p w14:paraId="3615521E" w14:textId="77777777" w:rsidR="00AF3581" w:rsidRPr="00506303" w:rsidRDefault="00AF3581" w:rsidP="0067543B">
            <w:pPr>
              <w:rPr>
                <w:sz w:val="18"/>
                <w:szCs w:val="18"/>
              </w:rPr>
            </w:pPr>
          </w:p>
        </w:tc>
        <w:tc>
          <w:tcPr>
            <w:tcW w:w="472" w:type="dxa"/>
            <w:shd w:val="clear" w:color="auto" w:fill="auto"/>
          </w:tcPr>
          <w:p w14:paraId="6AFC0B82" w14:textId="77777777" w:rsidR="00AF3581" w:rsidRPr="00506303" w:rsidRDefault="00AF3581" w:rsidP="0067543B">
            <w:pPr>
              <w:rPr>
                <w:sz w:val="18"/>
                <w:szCs w:val="18"/>
              </w:rPr>
            </w:pPr>
          </w:p>
        </w:tc>
        <w:tc>
          <w:tcPr>
            <w:tcW w:w="472" w:type="dxa"/>
            <w:shd w:val="clear" w:color="auto" w:fill="auto"/>
          </w:tcPr>
          <w:p w14:paraId="6252666C" w14:textId="77777777" w:rsidR="00AF3581" w:rsidRPr="00506303" w:rsidRDefault="00AF3581" w:rsidP="0067543B">
            <w:pPr>
              <w:rPr>
                <w:sz w:val="18"/>
                <w:szCs w:val="18"/>
              </w:rPr>
            </w:pPr>
          </w:p>
        </w:tc>
        <w:tc>
          <w:tcPr>
            <w:tcW w:w="472" w:type="dxa"/>
            <w:shd w:val="clear" w:color="auto" w:fill="auto"/>
          </w:tcPr>
          <w:p w14:paraId="0E30222B" w14:textId="77777777" w:rsidR="00AF3581" w:rsidRPr="00506303" w:rsidRDefault="00AF3581" w:rsidP="0067543B">
            <w:pPr>
              <w:rPr>
                <w:sz w:val="18"/>
                <w:szCs w:val="18"/>
              </w:rPr>
            </w:pPr>
          </w:p>
        </w:tc>
        <w:tc>
          <w:tcPr>
            <w:tcW w:w="472" w:type="dxa"/>
            <w:shd w:val="clear" w:color="auto" w:fill="auto"/>
          </w:tcPr>
          <w:p w14:paraId="679B726F" w14:textId="77777777" w:rsidR="00AF3581" w:rsidRPr="00506303" w:rsidRDefault="00AF3581" w:rsidP="0067543B">
            <w:pPr>
              <w:rPr>
                <w:sz w:val="18"/>
                <w:szCs w:val="18"/>
              </w:rPr>
            </w:pPr>
          </w:p>
        </w:tc>
        <w:tc>
          <w:tcPr>
            <w:tcW w:w="472" w:type="dxa"/>
            <w:shd w:val="clear" w:color="auto" w:fill="FFFFFF"/>
          </w:tcPr>
          <w:p w14:paraId="5181E99C" w14:textId="77777777" w:rsidR="00AF3581" w:rsidRPr="00506303" w:rsidRDefault="00AF3581" w:rsidP="0067543B">
            <w:pPr>
              <w:rPr>
                <w:sz w:val="18"/>
                <w:szCs w:val="18"/>
              </w:rPr>
            </w:pPr>
          </w:p>
        </w:tc>
        <w:tc>
          <w:tcPr>
            <w:tcW w:w="472" w:type="dxa"/>
            <w:shd w:val="clear" w:color="auto" w:fill="D9D9D9"/>
          </w:tcPr>
          <w:p w14:paraId="7FEBE4FA" w14:textId="77777777" w:rsidR="00AF3581" w:rsidRPr="00506303" w:rsidRDefault="00AF3581" w:rsidP="0067543B">
            <w:pPr>
              <w:rPr>
                <w:sz w:val="18"/>
                <w:szCs w:val="18"/>
              </w:rPr>
            </w:pPr>
          </w:p>
        </w:tc>
        <w:tc>
          <w:tcPr>
            <w:tcW w:w="472" w:type="dxa"/>
            <w:shd w:val="clear" w:color="auto" w:fill="D9D9D9"/>
          </w:tcPr>
          <w:p w14:paraId="17BC4CD3" w14:textId="77777777" w:rsidR="00AF3581" w:rsidRPr="00506303" w:rsidRDefault="00AF3581" w:rsidP="0067543B">
            <w:pPr>
              <w:rPr>
                <w:sz w:val="18"/>
                <w:szCs w:val="18"/>
              </w:rPr>
            </w:pPr>
          </w:p>
        </w:tc>
        <w:tc>
          <w:tcPr>
            <w:tcW w:w="473" w:type="dxa"/>
            <w:shd w:val="clear" w:color="auto" w:fill="D9D9D9"/>
          </w:tcPr>
          <w:p w14:paraId="2DDBF3D3" w14:textId="77777777" w:rsidR="00AF3581" w:rsidRPr="00506303" w:rsidRDefault="00AF3581" w:rsidP="0067543B">
            <w:pPr>
              <w:rPr>
                <w:sz w:val="18"/>
                <w:szCs w:val="18"/>
              </w:rPr>
            </w:pPr>
          </w:p>
        </w:tc>
        <w:tc>
          <w:tcPr>
            <w:tcW w:w="473" w:type="dxa"/>
            <w:shd w:val="clear" w:color="auto" w:fill="D9D9D9"/>
          </w:tcPr>
          <w:p w14:paraId="6A25AFD4" w14:textId="77777777" w:rsidR="00AF3581" w:rsidRPr="00506303" w:rsidRDefault="00AF3581" w:rsidP="0067543B">
            <w:pPr>
              <w:rPr>
                <w:sz w:val="18"/>
                <w:szCs w:val="18"/>
              </w:rPr>
            </w:pPr>
          </w:p>
        </w:tc>
        <w:tc>
          <w:tcPr>
            <w:tcW w:w="473" w:type="dxa"/>
            <w:shd w:val="clear" w:color="auto" w:fill="D9D9D9"/>
          </w:tcPr>
          <w:p w14:paraId="42D75179" w14:textId="77777777" w:rsidR="00AF3581" w:rsidRPr="00506303" w:rsidRDefault="00AF3581" w:rsidP="0067543B">
            <w:pPr>
              <w:rPr>
                <w:sz w:val="18"/>
                <w:szCs w:val="18"/>
              </w:rPr>
            </w:pPr>
          </w:p>
        </w:tc>
        <w:tc>
          <w:tcPr>
            <w:tcW w:w="473" w:type="dxa"/>
            <w:shd w:val="clear" w:color="auto" w:fill="D9D9D9"/>
          </w:tcPr>
          <w:p w14:paraId="595D79A7" w14:textId="77777777" w:rsidR="00AF3581" w:rsidRPr="00506303" w:rsidRDefault="00AF3581" w:rsidP="0067543B">
            <w:pPr>
              <w:rPr>
                <w:sz w:val="18"/>
                <w:szCs w:val="18"/>
              </w:rPr>
            </w:pPr>
          </w:p>
        </w:tc>
        <w:tc>
          <w:tcPr>
            <w:tcW w:w="473" w:type="dxa"/>
            <w:shd w:val="clear" w:color="auto" w:fill="D9D9D9"/>
          </w:tcPr>
          <w:p w14:paraId="7210EEAE" w14:textId="77777777" w:rsidR="00AF3581" w:rsidRPr="00506303" w:rsidRDefault="00AF3581" w:rsidP="0067543B">
            <w:pPr>
              <w:rPr>
                <w:sz w:val="18"/>
                <w:szCs w:val="18"/>
              </w:rPr>
            </w:pPr>
          </w:p>
        </w:tc>
        <w:tc>
          <w:tcPr>
            <w:tcW w:w="473" w:type="dxa"/>
            <w:shd w:val="clear" w:color="auto" w:fill="D9D9D9"/>
          </w:tcPr>
          <w:p w14:paraId="0EA18273" w14:textId="77777777" w:rsidR="00AF3581" w:rsidRPr="00506303" w:rsidRDefault="00AF3581" w:rsidP="0067543B">
            <w:pPr>
              <w:rPr>
                <w:sz w:val="18"/>
                <w:szCs w:val="18"/>
              </w:rPr>
            </w:pPr>
          </w:p>
        </w:tc>
        <w:tc>
          <w:tcPr>
            <w:tcW w:w="473" w:type="dxa"/>
            <w:shd w:val="clear" w:color="auto" w:fill="auto"/>
          </w:tcPr>
          <w:p w14:paraId="6516255B" w14:textId="77777777" w:rsidR="00AF3581" w:rsidRPr="00506303" w:rsidRDefault="00AF3581" w:rsidP="0067543B">
            <w:pPr>
              <w:rPr>
                <w:sz w:val="18"/>
                <w:szCs w:val="18"/>
              </w:rPr>
            </w:pPr>
          </w:p>
        </w:tc>
        <w:tc>
          <w:tcPr>
            <w:tcW w:w="473" w:type="dxa"/>
            <w:shd w:val="clear" w:color="auto" w:fill="auto"/>
          </w:tcPr>
          <w:p w14:paraId="1DA3FB03" w14:textId="77777777" w:rsidR="00AF3581" w:rsidRPr="00506303" w:rsidRDefault="00AF3581" w:rsidP="0067543B">
            <w:pPr>
              <w:rPr>
                <w:sz w:val="18"/>
                <w:szCs w:val="18"/>
              </w:rPr>
            </w:pPr>
          </w:p>
        </w:tc>
        <w:tc>
          <w:tcPr>
            <w:tcW w:w="473" w:type="dxa"/>
            <w:shd w:val="clear" w:color="auto" w:fill="auto"/>
          </w:tcPr>
          <w:p w14:paraId="36E16B98" w14:textId="77777777" w:rsidR="00AF3581" w:rsidRPr="00506303" w:rsidRDefault="00AF3581" w:rsidP="0067543B">
            <w:pPr>
              <w:rPr>
                <w:sz w:val="18"/>
                <w:szCs w:val="18"/>
              </w:rPr>
            </w:pPr>
          </w:p>
        </w:tc>
        <w:tc>
          <w:tcPr>
            <w:tcW w:w="473" w:type="dxa"/>
            <w:shd w:val="clear" w:color="auto" w:fill="auto"/>
          </w:tcPr>
          <w:p w14:paraId="00E98754" w14:textId="77777777" w:rsidR="00AF3581" w:rsidRPr="00506303" w:rsidRDefault="00AF3581" w:rsidP="0067543B">
            <w:pPr>
              <w:rPr>
                <w:sz w:val="18"/>
                <w:szCs w:val="18"/>
              </w:rPr>
            </w:pPr>
          </w:p>
        </w:tc>
      </w:tr>
      <w:tr w:rsidR="00AF3581" w:rsidRPr="00506303" w14:paraId="4786BAE3" w14:textId="77777777" w:rsidTr="00506303">
        <w:tc>
          <w:tcPr>
            <w:tcW w:w="944" w:type="dxa"/>
            <w:shd w:val="clear" w:color="auto" w:fill="F2F2F2"/>
          </w:tcPr>
          <w:p w14:paraId="0F944B0D" w14:textId="77777777" w:rsidR="00AF3581" w:rsidRPr="00506303" w:rsidRDefault="00AF3581" w:rsidP="0067543B">
            <w:pPr>
              <w:rPr>
                <w:b/>
                <w:sz w:val="18"/>
                <w:szCs w:val="18"/>
              </w:rPr>
            </w:pPr>
            <w:r w:rsidRPr="00506303">
              <w:rPr>
                <w:b/>
                <w:sz w:val="18"/>
                <w:szCs w:val="18"/>
              </w:rPr>
              <w:t>1.3.3</w:t>
            </w:r>
          </w:p>
        </w:tc>
        <w:tc>
          <w:tcPr>
            <w:tcW w:w="13226" w:type="dxa"/>
            <w:gridSpan w:val="21"/>
            <w:shd w:val="clear" w:color="auto" w:fill="F2F2F2"/>
          </w:tcPr>
          <w:p w14:paraId="470FE310" w14:textId="77777777" w:rsidR="00AF3581" w:rsidRPr="00506303" w:rsidRDefault="00AF3581" w:rsidP="0067543B">
            <w:pPr>
              <w:rPr>
                <w:b/>
                <w:sz w:val="18"/>
                <w:szCs w:val="18"/>
              </w:rPr>
            </w:pPr>
            <w:r w:rsidRPr="00506303">
              <w:rPr>
                <w:b/>
                <w:sz w:val="18"/>
                <w:szCs w:val="18"/>
              </w:rPr>
              <w:t>Designation of 7 new Marine Protected Areas focusing on seagrass areas</w:t>
            </w:r>
          </w:p>
        </w:tc>
      </w:tr>
      <w:tr w:rsidR="00AF3581" w:rsidRPr="00506303" w14:paraId="5CDE8743" w14:textId="77777777" w:rsidTr="00E071AC">
        <w:tc>
          <w:tcPr>
            <w:tcW w:w="944" w:type="dxa"/>
            <w:shd w:val="clear" w:color="auto" w:fill="auto"/>
          </w:tcPr>
          <w:p w14:paraId="16BC5F00" w14:textId="77777777" w:rsidR="00AF3581" w:rsidRPr="00506303" w:rsidRDefault="00AF3581" w:rsidP="0067543B">
            <w:pPr>
              <w:rPr>
                <w:sz w:val="18"/>
                <w:szCs w:val="18"/>
              </w:rPr>
            </w:pPr>
            <w:r w:rsidRPr="00506303">
              <w:rPr>
                <w:sz w:val="18"/>
                <w:szCs w:val="18"/>
              </w:rPr>
              <w:t>1.3.3.1</w:t>
            </w:r>
          </w:p>
        </w:tc>
        <w:tc>
          <w:tcPr>
            <w:tcW w:w="3776" w:type="dxa"/>
            <w:shd w:val="clear" w:color="auto" w:fill="auto"/>
          </w:tcPr>
          <w:p w14:paraId="53952FE2" w14:textId="77777777" w:rsidR="00AF3581" w:rsidRPr="00506303" w:rsidRDefault="00AF3581" w:rsidP="0067543B">
            <w:pPr>
              <w:rPr>
                <w:sz w:val="18"/>
                <w:szCs w:val="18"/>
              </w:rPr>
            </w:pPr>
            <w:r w:rsidRPr="00506303">
              <w:rPr>
                <w:sz w:val="18"/>
                <w:szCs w:val="18"/>
              </w:rPr>
              <w:t xml:space="preserve">Using assembled baseline data, develop an objective and scientifically sound procedure for identifying priority sites for seagrass MPAs </w:t>
            </w:r>
          </w:p>
        </w:tc>
        <w:tc>
          <w:tcPr>
            <w:tcW w:w="472" w:type="dxa"/>
            <w:shd w:val="clear" w:color="auto" w:fill="D9D9D9"/>
          </w:tcPr>
          <w:p w14:paraId="1D5AC360" w14:textId="77777777" w:rsidR="00AF3581" w:rsidRPr="00506303" w:rsidRDefault="00AF3581" w:rsidP="0067543B">
            <w:pPr>
              <w:rPr>
                <w:sz w:val="18"/>
                <w:szCs w:val="18"/>
              </w:rPr>
            </w:pPr>
          </w:p>
        </w:tc>
        <w:tc>
          <w:tcPr>
            <w:tcW w:w="472" w:type="dxa"/>
            <w:shd w:val="clear" w:color="auto" w:fill="D9D9D9"/>
          </w:tcPr>
          <w:p w14:paraId="3E05FE49" w14:textId="77777777" w:rsidR="00AF3581" w:rsidRPr="00506303" w:rsidRDefault="00AF3581" w:rsidP="0067543B">
            <w:pPr>
              <w:rPr>
                <w:sz w:val="18"/>
                <w:szCs w:val="18"/>
              </w:rPr>
            </w:pPr>
          </w:p>
        </w:tc>
        <w:tc>
          <w:tcPr>
            <w:tcW w:w="472" w:type="dxa"/>
            <w:shd w:val="clear" w:color="auto" w:fill="D9D9D9"/>
          </w:tcPr>
          <w:p w14:paraId="06F90A25" w14:textId="77777777" w:rsidR="00AF3581" w:rsidRPr="00506303" w:rsidRDefault="00AF3581" w:rsidP="0067543B">
            <w:pPr>
              <w:rPr>
                <w:sz w:val="18"/>
                <w:szCs w:val="18"/>
              </w:rPr>
            </w:pPr>
          </w:p>
        </w:tc>
        <w:tc>
          <w:tcPr>
            <w:tcW w:w="472" w:type="dxa"/>
            <w:shd w:val="clear" w:color="auto" w:fill="D9D9D9"/>
          </w:tcPr>
          <w:p w14:paraId="1B06D5D5" w14:textId="77777777" w:rsidR="00AF3581" w:rsidRPr="00506303" w:rsidRDefault="00AF3581" w:rsidP="0067543B">
            <w:pPr>
              <w:rPr>
                <w:sz w:val="18"/>
                <w:szCs w:val="18"/>
              </w:rPr>
            </w:pPr>
          </w:p>
        </w:tc>
        <w:tc>
          <w:tcPr>
            <w:tcW w:w="472" w:type="dxa"/>
            <w:shd w:val="clear" w:color="auto" w:fill="auto"/>
          </w:tcPr>
          <w:p w14:paraId="7045FC2E" w14:textId="77777777" w:rsidR="00AF3581" w:rsidRPr="00506303" w:rsidRDefault="00AF3581" w:rsidP="0067543B">
            <w:pPr>
              <w:rPr>
                <w:sz w:val="18"/>
                <w:szCs w:val="18"/>
              </w:rPr>
            </w:pPr>
          </w:p>
        </w:tc>
        <w:tc>
          <w:tcPr>
            <w:tcW w:w="472" w:type="dxa"/>
            <w:shd w:val="clear" w:color="auto" w:fill="auto"/>
          </w:tcPr>
          <w:p w14:paraId="47E86C91" w14:textId="77777777" w:rsidR="00AF3581" w:rsidRPr="00506303" w:rsidRDefault="00AF3581" w:rsidP="0067543B">
            <w:pPr>
              <w:rPr>
                <w:sz w:val="18"/>
                <w:szCs w:val="18"/>
              </w:rPr>
            </w:pPr>
          </w:p>
        </w:tc>
        <w:tc>
          <w:tcPr>
            <w:tcW w:w="472" w:type="dxa"/>
            <w:shd w:val="clear" w:color="auto" w:fill="auto"/>
          </w:tcPr>
          <w:p w14:paraId="3A99DA42" w14:textId="77777777" w:rsidR="00AF3581" w:rsidRPr="00506303" w:rsidRDefault="00AF3581" w:rsidP="0067543B">
            <w:pPr>
              <w:rPr>
                <w:sz w:val="18"/>
                <w:szCs w:val="18"/>
              </w:rPr>
            </w:pPr>
          </w:p>
        </w:tc>
        <w:tc>
          <w:tcPr>
            <w:tcW w:w="472" w:type="dxa"/>
            <w:shd w:val="clear" w:color="auto" w:fill="auto"/>
          </w:tcPr>
          <w:p w14:paraId="3B56D8D0" w14:textId="77777777" w:rsidR="00AF3581" w:rsidRPr="00506303" w:rsidRDefault="00AF3581" w:rsidP="0067543B">
            <w:pPr>
              <w:rPr>
                <w:sz w:val="18"/>
                <w:szCs w:val="18"/>
              </w:rPr>
            </w:pPr>
          </w:p>
        </w:tc>
        <w:tc>
          <w:tcPr>
            <w:tcW w:w="472" w:type="dxa"/>
            <w:shd w:val="clear" w:color="auto" w:fill="auto"/>
          </w:tcPr>
          <w:p w14:paraId="0DC87E4E" w14:textId="77777777" w:rsidR="00AF3581" w:rsidRPr="00506303" w:rsidRDefault="00AF3581" w:rsidP="0067543B">
            <w:pPr>
              <w:rPr>
                <w:sz w:val="18"/>
                <w:szCs w:val="18"/>
              </w:rPr>
            </w:pPr>
          </w:p>
        </w:tc>
        <w:tc>
          <w:tcPr>
            <w:tcW w:w="472" w:type="dxa"/>
            <w:shd w:val="clear" w:color="auto" w:fill="auto"/>
          </w:tcPr>
          <w:p w14:paraId="5FA22889" w14:textId="77777777" w:rsidR="00AF3581" w:rsidRPr="00506303" w:rsidRDefault="00AF3581" w:rsidP="0067543B">
            <w:pPr>
              <w:rPr>
                <w:sz w:val="18"/>
                <w:szCs w:val="18"/>
              </w:rPr>
            </w:pPr>
          </w:p>
        </w:tc>
        <w:tc>
          <w:tcPr>
            <w:tcW w:w="473" w:type="dxa"/>
            <w:shd w:val="clear" w:color="auto" w:fill="auto"/>
          </w:tcPr>
          <w:p w14:paraId="6AFA046E" w14:textId="77777777" w:rsidR="00AF3581" w:rsidRPr="00506303" w:rsidRDefault="00AF3581" w:rsidP="0067543B">
            <w:pPr>
              <w:rPr>
                <w:sz w:val="18"/>
                <w:szCs w:val="18"/>
              </w:rPr>
            </w:pPr>
          </w:p>
        </w:tc>
        <w:tc>
          <w:tcPr>
            <w:tcW w:w="473" w:type="dxa"/>
            <w:shd w:val="clear" w:color="auto" w:fill="auto"/>
          </w:tcPr>
          <w:p w14:paraId="1488E90C" w14:textId="77777777" w:rsidR="00AF3581" w:rsidRPr="00506303" w:rsidRDefault="00AF3581" w:rsidP="0067543B">
            <w:pPr>
              <w:rPr>
                <w:sz w:val="18"/>
                <w:szCs w:val="18"/>
              </w:rPr>
            </w:pPr>
          </w:p>
        </w:tc>
        <w:tc>
          <w:tcPr>
            <w:tcW w:w="473" w:type="dxa"/>
            <w:shd w:val="clear" w:color="auto" w:fill="auto"/>
          </w:tcPr>
          <w:p w14:paraId="63613937" w14:textId="77777777" w:rsidR="00AF3581" w:rsidRPr="00506303" w:rsidRDefault="00AF3581" w:rsidP="0067543B">
            <w:pPr>
              <w:rPr>
                <w:sz w:val="18"/>
                <w:szCs w:val="18"/>
              </w:rPr>
            </w:pPr>
          </w:p>
        </w:tc>
        <w:tc>
          <w:tcPr>
            <w:tcW w:w="473" w:type="dxa"/>
            <w:shd w:val="clear" w:color="auto" w:fill="auto"/>
          </w:tcPr>
          <w:p w14:paraId="23DCD43D" w14:textId="77777777" w:rsidR="00AF3581" w:rsidRPr="00506303" w:rsidRDefault="00AF3581" w:rsidP="0067543B">
            <w:pPr>
              <w:rPr>
                <w:sz w:val="18"/>
                <w:szCs w:val="18"/>
              </w:rPr>
            </w:pPr>
          </w:p>
        </w:tc>
        <w:tc>
          <w:tcPr>
            <w:tcW w:w="473" w:type="dxa"/>
            <w:shd w:val="clear" w:color="auto" w:fill="auto"/>
          </w:tcPr>
          <w:p w14:paraId="69C6F928" w14:textId="77777777" w:rsidR="00AF3581" w:rsidRPr="00506303" w:rsidRDefault="00AF3581" w:rsidP="0067543B">
            <w:pPr>
              <w:rPr>
                <w:sz w:val="18"/>
                <w:szCs w:val="18"/>
              </w:rPr>
            </w:pPr>
          </w:p>
        </w:tc>
        <w:tc>
          <w:tcPr>
            <w:tcW w:w="473" w:type="dxa"/>
            <w:shd w:val="clear" w:color="auto" w:fill="auto"/>
          </w:tcPr>
          <w:p w14:paraId="11515AEF" w14:textId="77777777" w:rsidR="00AF3581" w:rsidRPr="00506303" w:rsidRDefault="00AF3581" w:rsidP="0067543B">
            <w:pPr>
              <w:rPr>
                <w:sz w:val="18"/>
                <w:szCs w:val="18"/>
              </w:rPr>
            </w:pPr>
          </w:p>
        </w:tc>
        <w:tc>
          <w:tcPr>
            <w:tcW w:w="473" w:type="dxa"/>
            <w:shd w:val="clear" w:color="auto" w:fill="auto"/>
          </w:tcPr>
          <w:p w14:paraId="791A4FC6" w14:textId="77777777" w:rsidR="00AF3581" w:rsidRPr="00506303" w:rsidRDefault="00AF3581" w:rsidP="0067543B">
            <w:pPr>
              <w:rPr>
                <w:sz w:val="18"/>
                <w:szCs w:val="18"/>
              </w:rPr>
            </w:pPr>
          </w:p>
        </w:tc>
        <w:tc>
          <w:tcPr>
            <w:tcW w:w="473" w:type="dxa"/>
            <w:shd w:val="clear" w:color="auto" w:fill="auto"/>
          </w:tcPr>
          <w:p w14:paraId="01734DAE" w14:textId="77777777" w:rsidR="00AF3581" w:rsidRPr="00506303" w:rsidRDefault="00AF3581" w:rsidP="0067543B">
            <w:pPr>
              <w:rPr>
                <w:sz w:val="18"/>
                <w:szCs w:val="18"/>
              </w:rPr>
            </w:pPr>
          </w:p>
        </w:tc>
        <w:tc>
          <w:tcPr>
            <w:tcW w:w="473" w:type="dxa"/>
            <w:shd w:val="clear" w:color="auto" w:fill="auto"/>
          </w:tcPr>
          <w:p w14:paraId="3F77AB4E" w14:textId="77777777" w:rsidR="00AF3581" w:rsidRPr="00506303" w:rsidRDefault="00AF3581" w:rsidP="0067543B">
            <w:pPr>
              <w:rPr>
                <w:sz w:val="18"/>
                <w:szCs w:val="18"/>
              </w:rPr>
            </w:pPr>
          </w:p>
        </w:tc>
        <w:tc>
          <w:tcPr>
            <w:tcW w:w="473" w:type="dxa"/>
            <w:shd w:val="clear" w:color="auto" w:fill="auto"/>
          </w:tcPr>
          <w:p w14:paraId="6CF3B7C9" w14:textId="77777777" w:rsidR="00AF3581" w:rsidRPr="00506303" w:rsidRDefault="00AF3581" w:rsidP="0067543B">
            <w:pPr>
              <w:rPr>
                <w:sz w:val="18"/>
                <w:szCs w:val="18"/>
              </w:rPr>
            </w:pPr>
          </w:p>
        </w:tc>
      </w:tr>
      <w:tr w:rsidR="00AF3581" w:rsidRPr="00506303" w14:paraId="07AA4AAA" w14:textId="77777777" w:rsidTr="00E071AC">
        <w:tc>
          <w:tcPr>
            <w:tcW w:w="944" w:type="dxa"/>
            <w:shd w:val="clear" w:color="auto" w:fill="auto"/>
          </w:tcPr>
          <w:p w14:paraId="5FF80F3F" w14:textId="77777777" w:rsidR="00AF3581" w:rsidRPr="00506303" w:rsidRDefault="00AF3581" w:rsidP="0067543B">
            <w:pPr>
              <w:rPr>
                <w:sz w:val="18"/>
                <w:szCs w:val="18"/>
              </w:rPr>
            </w:pPr>
            <w:r w:rsidRPr="00506303">
              <w:rPr>
                <w:sz w:val="18"/>
                <w:szCs w:val="18"/>
              </w:rPr>
              <w:t>1.3.3.2</w:t>
            </w:r>
          </w:p>
        </w:tc>
        <w:tc>
          <w:tcPr>
            <w:tcW w:w="3776" w:type="dxa"/>
            <w:shd w:val="clear" w:color="auto" w:fill="auto"/>
          </w:tcPr>
          <w:p w14:paraId="4A6DD208" w14:textId="77777777" w:rsidR="00AF3581" w:rsidRPr="00506303" w:rsidRDefault="00AF3581" w:rsidP="0067543B">
            <w:pPr>
              <w:rPr>
                <w:sz w:val="18"/>
                <w:szCs w:val="18"/>
              </w:rPr>
            </w:pPr>
            <w:r w:rsidRPr="00506303">
              <w:rPr>
                <w:sz w:val="18"/>
                <w:szCs w:val="18"/>
              </w:rPr>
              <w:t>Conduct consultations to identify key threats to seagrass at priority MPA sites and determine MPA category (IUCN system) for each</w:t>
            </w:r>
          </w:p>
        </w:tc>
        <w:tc>
          <w:tcPr>
            <w:tcW w:w="472" w:type="dxa"/>
            <w:shd w:val="clear" w:color="auto" w:fill="auto"/>
          </w:tcPr>
          <w:p w14:paraId="721F5731" w14:textId="77777777" w:rsidR="00AF3581" w:rsidRPr="00506303" w:rsidRDefault="00AF3581" w:rsidP="0067543B">
            <w:pPr>
              <w:rPr>
                <w:sz w:val="18"/>
                <w:szCs w:val="18"/>
              </w:rPr>
            </w:pPr>
          </w:p>
        </w:tc>
        <w:tc>
          <w:tcPr>
            <w:tcW w:w="472" w:type="dxa"/>
            <w:shd w:val="clear" w:color="auto" w:fill="auto"/>
          </w:tcPr>
          <w:p w14:paraId="3760EE49" w14:textId="77777777" w:rsidR="00AF3581" w:rsidRPr="00506303" w:rsidRDefault="00AF3581" w:rsidP="0067543B">
            <w:pPr>
              <w:rPr>
                <w:sz w:val="18"/>
                <w:szCs w:val="18"/>
              </w:rPr>
            </w:pPr>
          </w:p>
        </w:tc>
        <w:tc>
          <w:tcPr>
            <w:tcW w:w="472" w:type="dxa"/>
            <w:shd w:val="clear" w:color="auto" w:fill="D9D9D9"/>
          </w:tcPr>
          <w:p w14:paraId="1CA2272F" w14:textId="77777777" w:rsidR="00AF3581" w:rsidRPr="00506303" w:rsidRDefault="00AF3581" w:rsidP="0067543B">
            <w:pPr>
              <w:rPr>
                <w:sz w:val="18"/>
                <w:szCs w:val="18"/>
              </w:rPr>
            </w:pPr>
          </w:p>
        </w:tc>
        <w:tc>
          <w:tcPr>
            <w:tcW w:w="472" w:type="dxa"/>
            <w:shd w:val="clear" w:color="auto" w:fill="D9D9D9"/>
          </w:tcPr>
          <w:p w14:paraId="13C6068D" w14:textId="77777777" w:rsidR="00AF3581" w:rsidRPr="00506303" w:rsidRDefault="00AF3581" w:rsidP="0067543B">
            <w:pPr>
              <w:rPr>
                <w:sz w:val="18"/>
                <w:szCs w:val="18"/>
              </w:rPr>
            </w:pPr>
          </w:p>
        </w:tc>
        <w:tc>
          <w:tcPr>
            <w:tcW w:w="472" w:type="dxa"/>
            <w:shd w:val="clear" w:color="auto" w:fill="D9D9D9"/>
          </w:tcPr>
          <w:p w14:paraId="2EF605D9" w14:textId="77777777" w:rsidR="00AF3581" w:rsidRPr="00506303" w:rsidRDefault="00AF3581" w:rsidP="0067543B">
            <w:pPr>
              <w:rPr>
                <w:sz w:val="18"/>
                <w:szCs w:val="18"/>
              </w:rPr>
            </w:pPr>
          </w:p>
        </w:tc>
        <w:tc>
          <w:tcPr>
            <w:tcW w:w="472" w:type="dxa"/>
            <w:shd w:val="clear" w:color="auto" w:fill="D9D9D9"/>
          </w:tcPr>
          <w:p w14:paraId="2F4B1945" w14:textId="77777777" w:rsidR="00AF3581" w:rsidRPr="00506303" w:rsidRDefault="00AF3581" w:rsidP="0067543B">
            <w:pPr>
              <w:rPr>
                <w:sz w:val="18"/>
                <w:szCs w:val="18"/>
              </w:rPr>
            </w:pPr>
          </w:p>
        </w:tc>
        <w:tc>
          <w:tcPr>
            <w:tcW w:w="472" w:type="dxa"/>
            <w:shd w:val="clear" w:color="auto" w:fill="D9D9D9"/>
          </w:tcPr>
          <w:p w14:paraId="6F1531D2" w14:textId="77777777" w:rsidR="00AF3581" w:rsidRPr="00506303" w:rsidRDefault="00AF3581" w:rsidP="0067543B">
            <w:pPr>
              <w:rPr>
                <w:sz w:val="18"/>
                <w:szCs w:val="18"/>
              </w:rPr>
            </w:pPr>
          </w:p>
        </w:tc>
        <w:tc>
          <w:tcPr>
            <w:tcW w:w="472" w:type="dxa"/>
            <w:shd w:val="clear" w:color="auto" w:fill="D9D9D9"/>
          </w:tcPr>
          <w:p w14:paraId="1B25499D" w14:textId="77777777" w:rsidR="00AF3581" w:rsidRPr="00506303" w:rsidRDefault="00AF3581" w:rsidP="0067543B">
            <w:pPr>
              <w:rPr>
                <w:sz w:val="18"/>
                <w:szCs w:val="18"/>
              </w:rPr>
            </w:pPr>
          </w:p>
        </w:tc>
        <w:tc>
          <w:tcPr>
            <w:tcW w:w="472" w:type="dxa"/>
            <w:shd w:val="clear" w:color="auto" w:fill="auto"/>
          </w:tcPr>
          <w:p w14:paraId="0085DD7D" w14:textId="77777777" w:rsidR="00AF3581" w:rsidRPr="00506303" w:rsidRDefault="00AF3581" w:rsidP="0067543B">
            <w:pPr>
              <w:rPr>
                <w:sz w:val="18"/>
                <w:szCs w:val="18"/>
              </w:rPr>
            </w:pPr>
          </w:p>
        </w:tc>
        <w:tc>
          <w:tcPr>
            <w:tcW w:w="472" w:type="dxa"/>
            <w:shd w:val="clear" w:color="auto" w:fill="auto"/>
          </w:tcPr>
          <w:p w14:paraId="2A8EA288" w14:textId="77777777" w:rsidR="00AF3581" w:rsidRPr="00506303" w:rsidRDefault="00AF3581" w:rsidP="0067543B">
            <w:pPr>
              <w:rPr>
                <w:sz w:val="18"/>
                <w:szCs w:val="18"/>
              </w:rPr>
            </w:pPr>
          </w:p>
        </w:tc>
        <w:tc>
          <w:tcPr>
            <w:tcW w:w="473" w:type="dxa"/>
            <w:shd w:val="clear" w:color="auto" w:fill="auto"/>
          </w:tcPr>
          <w:p w14:paraId="3CFE15FF" w14:textId="77777777" w:rsidR="00AF3581" w:rsidRPr="00506303" w:rsidRDefault="00AF3581" w:rsidP="0067543B">
            <w:pPr>
              <w:rPr>
                <w:sz w:val="18"/>
                <w:szCs w:val="18"/>
              </w:rPr>
            </w:pPr>
          </w:p>
        </w:tc>
        <w:tc>
          <w:tcPr>
            <w:tcW w:w="473" w:type="dxa"/>
            <w:shd w:val="clear" w:color="auto" w:fill="auto"/>
          </w:tcPr>
          <w:p w14:paraId="7A9EADC3" w14:textId="77777777" w:rsidR="00AF3581" w:rsidRPr="00506303" w:rsidRDefault="00AF3581" w:rsidP="0067543B">
            <w:pPr>
              <w:rPr>
                <w:sz w:val="18"/>
                <w:szCs w:val="18"/>
              </w:rPr>
            </w:pPr>
          </w:p>
        </w:tc>
        <w:tc>
          <w:tcPr>
            <w:tcW w:w="473" w:type="dxa"/>
            <w:shd w:val="clear" w:color="auto" w:fill="auto"/>
          </w:tcPr>
          <w:p w14:paraId="347D1D5B" w14:textId="77777777" w:rsidR="00AF3581" w:rsidRPr="00506303" w:rsidRDefault="00AF3581" w:rsidP="0067543B">
            <w:pPr>
              <w:rPr>
                <w:sz w:val="18"/>
                <w:szCs w:val="18"/>
              </w:rPr>
            </w:pPr>
          </w:p>
        </w:tc>
        <w:tc>
          <w:tcPr>
            <w:tcW w:w="473" w:type="dxa"/>
            <w:shd w:val="clear" w:color="auto" w:fill="auto"/>
          </w:tcPr>
          <w:p w14:paraId="3EDC0E4A" w14:textId="77777777" w:rsidR="00AF3581" w:rsidRPr="00506303" w:rsidRDefault="00AF3581" w:rsidP="0067543B">
            <w:pPr>
              <w:rPr>
                <w:sz w:val="18"/>
                <w:szCs w:val="18"/>
              </w:rPr>
            </w:pPr>
          </w:p>
        </w:tc>
        <w:tc>
          <w:tcPr>
            <w:tcW w:w="473" w:type="dxa"/>
            <w:shd w:val="clear" w:color="auto" w:fill="auto"/>
          </w:tcPr>
          <w:p w14:paraId="1B1D0BBF" w14:textId="77777777" w:rsidR="00AF3581" w:rsidRPr="00506303" w:rsidRDefault="00AF3581" w:rsidP="0067543B">
            <w:pPr>
              <w:rPr>
                <w:sz w:val="18"/>
                <w:szCs w:val="18"/>
              </w:rPr>
            </w:pPr>
          </w:p>
        </w:tc>
        <w:tc>
          <w:tcPr>
            <w:tcW w:w="473" w:type="dxa"/>
            <w:shd w:val="clear" w:color="auto" w:fill="auto"/>
          </w:tcPr>
          <w:p w14:paraId="44585037" w14:textId="77777777" w:rsidR="00AF3581" w:rsidRPr="00506303" w:rsidRDefault="00AF3581" w:rsidP="0067543B">
            <w:pPr>
              <w:rPr>
                <w:sz w:val="18"/>
                <w:szCs w:val="18"/>
              </w:rPr>
            </w:pPr>
          </w:p>
        </w:tc>
        <w:tc>
          <w:tcPr>
            <w:tcW w:w="473" w:type="dxa"/>
            <w:shd w:val="clear" w:color="auto" w:fill="auto"/>
          </w:tcPr>
          <w:p w14:paraId="0B0A1FCE" w14:textId="77777777" w:rsidR="00AF3581" w:rsidRPr="00506303" w:rsidRDefault="00AF3581" w:rsidP="0067543B">
            <w:pPr>
              <w:rPr>
                <w:sz w:val="18"/>
                <w:szCs w:val="18"/>
              </w:rPr>
            </w:pPr>
          </w:p>
        </w:tc>
        <w:tc>
          <w:tcPr>
            <w:tcW w:w="473" w:type="dxa"/>
            <w:shd w:val="clear" w:color="auto" w:fill="auto"/>
          </w:tcPr>
          <w:p w14:paraId="1E72E2CD" w14:textId="77777777" w:rsidR="00AF3581" w:rsidRPr="00506303" w:rsidRDefault="00AF3581" w:rsidP="0067543B">
            <w:pPr>
              <w:rPr>
                <w:sz w:val="18"/>
                <w:szCs w:val="18"/>
              </w:rPr>
            </w:pPr>
          </w:p>
        </w:tc>
        <w:tc>
          <w:tcPr>
            <w:tcW w:w="473" w:type="dxa"/>
            <w:shd w:val="clear" w:color="auto" w:fill="auto"/>
          </w:tcPr>
          <w:p w14:paraId="38739875" w14:textId="77777777" w:rsidR="00AF3581" w:rsidRPr="00506303" w:rsidRDefault="00AF3581" w:rsidP="0067543B">
            <w:pPr>
              <w:rPr>
                <w:sz w:val="18"/>
                <w:szCs w:val="18"/>
              </w:rPr>
            </w:pPr>
          </w:p>
        </w:tc>
        <w:tc>
          <w:tcPr>
            <w:tcW w:w="473" w:type="dxa"/>
            <w:shd w:val="clear" w:color="auto" w:fill="auto"/>
          </w:tcPr>
          <w:p w14:paraId="45AC8D01" w14:textId="77777777" w:rsidR="00AF3581" w:rsidRPr="00506303" w:rsidRDefault="00AF3581" w:rsidP="0067543B">
            <w:pPr>
              <w:rPr>
                <w:sz w:val="18"/>
                <w:szCs w:val="18"/>
              </w:rPr>
            </w:pPr>
          </w:p>
        </w:tc>
      </w:tr>
      <w:tr w:rsidR="00E071AC" w:rsidRPr="00506303" w14:paraId="56DFA752" w14:textId="77777777" w:rsidTr="00E071AC">
        <w:tc>
          <w:tcPr>
            <w:tcW w:w="944" w:type="dxa"/>
            <w:shd w:val="clear" w:color="auto" w:fill="auto"/>
          </w:tcPr>
          <w:p w14:paraId="2AFF136E" w14:textId="77777777" w:rsidR="00AF3581" w:rsidRPr="00506303" w:rsidRDefault="00AF3581" w:rsidP="0067543B">
            <w:pPr>
              <w:rPr>
                <w:sz w:val="18"/>
                <w:szCs w:val="18"/>
              </w:rPr>
            </w:pPr>
            <w:r w:rsidRPr="00506303">
              <w:rPr>
                <w:sz w:val="18"/>
                <w:szCs w:val="18"/>
              </w:rPr>
              <w:t>1.3.3.3</w:t>
            </w:r>
          </w:p>
        </w:tc>
        <w:tc>
          <w:tcPr>
            <w:tcW w:w="3776" w:type="dxa"/>
            <w:shd w:val="clear" w:color="auto" w:fill="auto"/>
          </w:tcPr>
          <w:p w14:paraId="16993B3B" w14:textId="77777777" w:rsidR="00AF3581" w:rsidRPr="00506303" w:rsidRDefault="00AF3581" w:rsidP="0067543B">
            <w:pPr>
              <w:rPr>
                <w:sz w:val="18"/>
                <w:szCs w:val="18"/>
              </w:rPr>
            </w:pPr>
            <w:r w:rsidRPr="00506303">
              <w:rPr>
                <w:sz w:val="18"/>
                <w:szCs w:val="18"/>
              </w:rPr>
              <w:t>Develop, secure endorsement of, and support local agency implementation of management plans at each of the priority sites</w:t>
            </w:r>
          </w:p>
        </w:tc>
        <w:tc>
          <w:tcPr>
            <w:tcW w:w="472" w:type="dxa"/>
            <w:shd w:val="clear" w:color="auto" w:fill="auto"/>
          </w:tcPr>
          <w:p w14:paraId="0F81F8DD" w14:textId="77777777" w:rsidR="00AF3581" w:rsidRPr="00506303" w:rsidRDefault="00AF3581" w:rsidP="0067543B">
            <w:pPr>
              <w:rPr>
                <w:sz w:val="18"/>
                <w:szCs w:val="18"/>
              </w:rPr>
            </w:pPr>
          </w:p>
        </w:tc>
        <w:tc>
          <w:tcPr>
            <w:tcW w:w="472" w:type="dxa"/>
            <w:shd w:val="clear" w:color="auto" w:fill="auto"/>
          </w:tcPr>
          <w:p w14:paraId="0834F321" w14:textId="77777777" w:rsidR="00AF3581" w:rsidRPr="00506303" w:rsidRDefault="00AF3581" w:rsidP="0067543B">
            <w:pPr>
              <w:rPr>
                <w:sz w:val="18"/>
                <w:szCs w:val="18"/>
              </w:rPr>
            </w:pPr>
          </w:p>
        </w:tc>
        <w:tc>
          <w:tcPr>
            <w:tcW w:w="472" w:type="dxa"/>
            <w:shd w:val="clear" w:color="auto" w:fill="auto"/>
          </w:tcPr>
          <w:p w14:paraId="725FFF58" w14:textId="77777777" w:rsidR="00AF3581" w:rsidRPr="00506303" w:rsidRDefault="00AF3581" w:rsidP="0067543B">
            <w:pPr>
              <w:rPr>
                <w:sz w:val="18"/>
                <w:szCs w:val="18"/>
              </w:rPr>
            </w:pPr>
          </w:p>
        </w:tc>
        <w:tc>
          <w:tcPr>
            <w:tcW w:w="472" w:type="dxa"/>
            <w:shd w:val="clear" w:color="auto" w:fill="auto"/>
          </w:tcPr>
          <w:p w14:paraId="67D3C24F" w14:textId="77777777" w:rsidR="00AF3581" w:rsidRPr="00506303" w:rsidRDefault="00AF3581" w:rsidP="0067543B">
            <w:pPr>
              <w:rPr>
                <w:sz w:val="18"/>
                <w:szCs w:val="18"/>
              </w:rPr>
            </w:pPr>
          </w:p>
        </w:tc>
        <w:tc>
          <w:tcPr>
            <w:tcW w:w="472" w:type="dxa"/>
            <w:shd w:val="clear" w:color="auto" w:fill="auto"/>
          </w:tcPr>
          <w:p w14:paraId="41D24DE8" w14:textId="77777777" w:rsidR="00AF3581" w:rsidRPr="00506303" w:rsidRDefault="00AF3581" w:rsidP="0067543B">
            <w:pPr>
              <w:rPr>
                <w:sz w:val="18"/>
                <w:szCs w:val="18"/>
              </w:rPr>
            </w:pPr>
          </w:p>
        </w:tc>
        <w:tc>
          <w:tcPr>
            <w:tcW w:w="472" w:type="dxa"/>
            <w:shd w:val="clear" w:color="auto" w:fill="auto"/>
          </w:tcPr>
          <w:p w14:paraId="3C0384C3" w14:textId="77777777" w:rsidR="00AF3581" w:rsidRPr="00506303" w:rsidRDefault="00AF3581" w:rsidP="0067543B">
            <w:pPr>
              <w:rPr>
                <w:sz w:val="18"/>
                <w:szCs w:val="18"/>
              </w:rPr>
            </w:pPr>
          </w:p>
        </w:tc>
        <w:tc>
          <w:tcPr>
            <w:tcW w:w="472" w:type="dxa"/>
            <w:shd w:val="clear" w:color="auto" w:fill="auto"/>
          </w:tcPr>
          <w:p w14:paraId="6E09119E" w14:textId="77777777" w:rsidR="00AF3581" w:rsidRPr="00506303" w:rsidRDefault="00AF3581" w:rsidP="0067543B">
            <w:pPr>
              <w:rPr>
                <w:sz w:val="18"/>
                <w:szCs w:val="18"/>
              </w:rPr>
            </w:pPr>
          </w:p>
        </w:tc>
        <w:tc>
          <w:tcPr>
            <w:tcW w:w="472" w:type="dxa"/>
            <w:shd w:val="clear" w:color="auto" w:fill="auto"/>
          </w:tcPr>
          <w:p w14:paraId="6CF5C000" w14:textId="77777777" w:rsidR="00AF3581" w:rsidRPr="00506303" w:rsidRDefault="00AF3581" w:rsidP="0067543B">
            <w:pPr>
              <w:rPr>
                <w:sz w:val="18"/>
                <w:szCs w:val="18"/>
              </w:rPr>
            </w:pPr>
          </w:p>
        </w:tc>
        <w:tc>
          <w:tcPr>
            <w:tcW w:w="472" w:type="dxa"/>
            <w:shd w:val="clear" w:color="auto" w:fill="D9D9D9"/>
          </w:tcPr>
          <w:p w14:paraId="2AD3A588" w14:textId="77777777" w:rsidR="00AF3581" w:rsidRPr="00506303" w:rsidRDefault="00AF3581" w:rsidP="0067543B">
            <w:pPr>
              <w:rPr>
                <w:sz w:val="18"/>
                <w:szCs w:val="18"/>
              </w:rPr>
            </w:pPr>
          </w:p>
        </w:tc>
        <w:tc>
          <w:tcPr>
            <w:tcW w:w="472" w:type="dxa"/>
            <w:shd w:val="clear" w:color="auto" w:fill="D9D9D9"/>
          </w:tcPr>
          <w:p w14:paraId="14820AAE" w14:textId="77777777" w:rsidR="00AF3581" w:rsidRPr="00506303" w:rsidRDefault="00AF3581" w:rsidP="0067543B">
            <w:pPr>
              <w:rPr>
                <w:sz w:val="18"/>
                <w:szCs w:val="18"/>
              </w:rPr>
            </w:pPr>
          </w:p>
        </w:tc>
        <w:tc>
          <w:tcPr>
            <w:tcW w:w="473" w:type="dxa"/>
            <w:shd w:val="clear" w:color="auto" w:fill="D9D9D9"/>
          </w:tcPr>
          <w:p w14:paraId="5BE0787F" w14:textId="77777777" w:rsidR="00AF3581" w:rsidRPr="00506303" w:rsidRDefault="00AF3581" w:rsidP="0067543B">
            <w:pPr>
              <w:rPr>
                <w:sz w:val="18"/>
                <w:szCs w:val="18"/>
              </w:rPr>
            </w:pPr>
          </w:p>
        </w:tc>
        <w:tc>
          <w:tcPr>
            <w:tcW w:w="473" w:type="dxa"/>
            <w:shd w:val="clear" w:color="auto" w:fill="D9D9D9"/>
          </w:tcPr>
          <w:p w14:paraId="4D7B7E52" w14:textId="77777777" w:rsidR="00AF3581" w:rsidRPr="00506303" w:rsidRDefault="00AF3581" w:rsidP="0067543B">
            <w:pPr>
              <w:rPr>
                <w:sz w:val="18"/>
                <w:szCs w:val="18"/>
              </w:rPr>
            </w:pPr>
          </w:p>
        </w:tc>
        <w:tc>
          <w:tcPr>
            <w:tcW w:w="473" w:type="dxa"/>
            <w:shd w:val="clear" w:color="auto" w:fill="D9D9D9"/>
          </w:tcPr>
          <w:p w14:paraId="15A9F5FF" w14:textId="77777777" w:rsidR="00AF3581" w:rsidRPr="00506303" w:rsidRDefault="00AF3581" w:rsidP="0067543B">
            <w:pPr>
              <w:rPr>
                <w:sz w:val="18"/>
                <w:szCs w:val="18"/>
              </w:rPr>
            </w:pPr>
          </w:p>
        </w:tc>
        <w:tc>
          <w:tcPr>
            <w:tcW w:w="473" w:type="dxa"/>
            <w:shd w:val="clear" w:color="auto" w:fill="D9D9D9"/>
          </w:tcPr>
          <w:p w14:paraId="344EE1D3" w14:textId="77777777" w:rsidR="00AF3581" w:rsidRPr="00506303" w:rsidRDefault="00AF3581" w:rsidP="0067543B">
            <w:pPr>
              <w:rPr>
                <w:sz w:val="18"/>
                <w:szCs w:val="18"/>
              </w:rPr>
            </w:pPr>
          </w:p>
        </w:tc>
        <w:tc>
          <w:tcPr>
            <w:tcW w:w="473" w:type="dxa"/>
            <w:shd w:val="clear" w:color="auto" w:fill="D9D9D9"/>
          </w:tcPr>
          <w:p w14:paraId="513A193E" w14:textId="77777777" w:rsidR="00AF3581" w:rsidRPr="00506303" w:rsidRDefault="00AF3581" w:rsidP="0067543B">
            <w:pPr>
              <w:rPr>
                <w:sz w:val="18"/>
                <w:szCs w:val="18"/>
              </w:rPr>
            </w:pPr>
          </w:p>
        </w:tc>
        <w:tc>
          <w:tcPr>
            <w:tcW w:w="473" w:type="dxa"/>
            <w:shd w:val="clear" w:color="auto" w:fill="D9D9D9"/>
          </w:tcPr>
          <w:p w14:paraId="3CE74534" w14:textId="77777777" w:rsidR="00AF3581" w:rsidRPr="00506303" w:rsidRDefault="00AF3581" w:rsidP="0067543B">
            <w:pPr>
              <w:rPr>
                <w:sz w:val="18"/>
                <w:szCs w:val="18"/>
              </w:rPr>
            </w:pPr>
          </w:p>
        </w:tc>
        <w:tc>
          <w:tcPr>
            <w:tcW w:w="473" w:type="dxa"/>
            <w:shd w:val="clear" w:color="auto" w:fill="D9D9D9"/>
          </w:tcPr>
          <w:p w14:paraId="0F56A207" w14:textId="77777777" w:rsidR="00AF3581" w:rsidRPr="00506303" w:rsidRDefault="00AF3581" w:rsidP="0067543B">
            <w:pPr>
              <w:rPr>
                <w:sz w:val="18"/>
                <w:szCs w:val="18"/>
              </w:rPr>
            </w:pPr>
          </w:p>
        </w:tc>
        <w:tc>
          <w:tcPr>
            <w:tcW w:w="473" w:type="dxa"/>
            <w:shd w:val="clear" w:color="auto" w:fill="auto"/>
          </w:tcPr>
          <w:p w14:paraId="09929A9F" w14:textId="77777777" w:rsidR="00AF3581" w:rsidRPr="00506303" w:rsidRDefault="00AF3581" w:rsidP="0067543B">
            <w:pPr>
              <w:rPr>
                <w:sz w:val="18"/>
                <w:szCs w:val="18"/>
              </w:rPr>
            </w:pPr>
          </w:p>
        </w:tc>
        <w:tc>
          <w:tcPr>
            <w:tcW w:w="473" w:type="dxa"/>
            <w:shd w:val="clear" w:color="auto" w:fill="auto"/>
          </w:tcPr>
          <w:p w14:paraId="58428274" w14:textId="77777777" w:rsidR="00AF3581" w:rsidRPr="00506303" w:rsidRDefault="00AF3581" w:rsidP="0067543B">
            <w:pPr>
              <w:rPr>
                <w:sz w:val="18"/>
                <w:szCs w:val="18"/>
              </w:rPr>
            </w:pPr>
          </w:p>
        </w:tc>
        <w:tc>
          <w:tcPr>
            <w:tcW w:w="473" w:type="dxa"/>
            <w:shd w:val="clear" w:color="auto" w:fill="auto"/>
          </w:tcPr>
          <w:p w14:paraId="0A937AEE" w14:textId="77777777" w:rsidR="00AF3581" w:rsidRPr="00506303" w:rsidRDefault="00AF3581" w:rsidP="0067543B">
            <w:pPr>
              <w:rPr>
                <w:sz w:val="18"/>
                <w:szCs w:val="18"/>
              </w:rPr>
            </w:pPr>
          </w:p>
        </w:tc>
      </w:tr>
      <w:tr w:rsidR="00AF3581" w:rsidRPr="00506303" w14:paraId="118723F9" w14:textId="77777777" w:rsidTr="00506303">
        <w:tc>
          <w:tcPr>
            <w:tcW w:w="944" w:type="dxa"/>
            <w:shd w:val="clear" w:color="auto" w:fill="F2F2F2"/>
          </w:tcPr>
          <w:p w14:paraId="5D22CABB" w14:textId="77777777" w:rsidR="00AF3581" w:rsidRPr="00506303" w:rsidRDefault="00AF3581" w:rsidP="0067543B">
            <w:pPr>
              <w:rPr>
                <w:b/>
                <w:sz w:val="18"/>
                <w:szCs w:val="18"/>
              </w:rPr>
            </w:pPr>
            <w:r w:rsidRPr="00506303">
              <w:rPr>
                <w:b/>
                <w:sz w:val="18"/>
                <w:szCs w:val="18"/>
              </w:rPr>
              <w:t>1.3.4</w:t>
            </w:r>
          </w:p>
        </w:tc>
        <w:tc>
          <w:tcPr>
            <w:tcW w:w="13226" w:type="dxa"/>
            <w:gridSpan w:val="21"/>
            <w:shd w:val="clear" w:color="auto" w:fill="F2F2F2"/>
          </w:tcPr>
          <w:p w14:paraId="1AC84EE3" w14:textId="77777777" w:rsidR="00AF3581" w:rsidRPr="00506303" w:rsidRDefault="00AF3581" w:rsidP="0067543B">
            <w:pPr>
              <w:rPr>
                <w:b/>
                <w:sz w:val="18"/>
                <w:szCs w:val="18"/>
              </w:rPr>
            </w:pPr>
            <w:r w:rsidRPr="00506303">
              <w:rPr>
                <w:b/>
                <w:sz w:val="18"/>
                <w:szCs w:val="18"/>
              </w:rPr>
              <w:t>Established mechanism for monitoring management, ecological and socio-economic indicators at 21 sites</w:t>
            </w:r>
          </w:p>
        </w:tc>
      </w:tr>
      <w:tr w:rsidR="00AF3581" w:rsidRPr="00506303" w14:paraId="417DCB98" w14:textId="77777777" w:rsidTr="00E071AC">
        <w:tc>
          <w:tcPr>
            <w:tcW w:w="944" w:type="dxa"/>
            <w:shd w:val="clear" w:color="auto" w:fill="auto"/>
          </w:tcPr>
          <w:p w14:paraId="087BC234" w14:textId="77777777" w:rsidR="00AF3581" w:rsidRPr="00506303" w:rsidRDefault="00AF3581" w:rsidP="0067543B">
            <w:pPr>
              <w:rPr>
                <w:sz w:val="18"/>
                <w:szCs w:val="18"/>
              </w:rPr>
            </w:pPr>
            <w:r w:rsidRPr="00506303">
              <w:rPr>
                <w:sz w:val="18"/>
                <w:szCs w:val="18"/>
              </w:rPr>
              <w:t>1.3.4.1</w:t>
            </w:r>
          </w:p>
        </w:tc>
        <w:tc>
          <w:tcPr>
            <w:tcW w:w="3776" w:type="dxa"/>
            <w:shd w:val="clear" w:color="auto" w:fill="auto"/>
          </w:tcPr>
          <w:p w14:paraId="0ED607F4" w14:textId="77777777" w:rsidR="00AF3581" w:rsidRPr="00506303" w:rsidRDefault="00AF3581" w:rsidP="00D5094C">
            <w:pPr>
              <w:rPr>
                <w:sz w:val="18"/>
                <w:szCs w:val="18"/>
              </w:rPr>
            </w:pPr>
            <w:r w:rsidRPr="00506303">
              <w:rPr>
                <w:sz w:val="18"/>
                <w:szCs w:val="18"/>
              </w:rPr>
              <w:t xml:space="preserve">Develop </w:t>
            </w:r>
            <w:r w:rsidR="00D5094C">
              <w:rPr>
                <w:sz w:val="18"/>
                <w:szCs w:val="18"/>
              </w:rPr>
              <w:t>seagrass</w:t>
            </w:r>
            <w:r w:rsidRPr="00506303">
              <w:rPr>
                <w:sz w:val="18"/>
                <w:szCs w:val="18"/>
              </w:rPr>
              <w:t xml:space="preserve"> management results framework and associated indicator sets</w:t>
            </w:r>
          </w:p>
        </w:tc>
        <w:tc>
          <w:tcPr>
            <w:tcW w:w="472" w:type="dxa"/>
            <w:shd w:val="clear" w:color="auto" w:fill="D9D9D9"/>
          </w:tcPr>
          <w:p w14:paraId="43FBE4EC" w14:textId="77777777" w:rsidR="00AF3581" w:rsidRPr="00506303" w:rsidRDefault="00AF3581" w:rsidP="0067543B">
            <w:pPr>
              <w:rPr>
                <w:sz w:val="18"/>
                <w:szCs w:val="18"/>
              </w:rPr>
            </w:pPr>
          </w:p>
        </w:tc>
        <w:tc>
          <w:tcPr>
            <w:tcW w:w="472" w:type="dxa"/>
            <w:shd w:val="clear" w:color="auto" w:fill="D9D9D9"/>
          </w:tcPr>
          <w:p w14:paraId="3189FDF0" w14:textId="77777777" w:rsidR="00AF3581" w:rsidRPr="00506303" w:rsidRDefault="00AF3581" w:rsidP="0067543B">
            <w:pPr>
              <w:rPr>
                <w:sz w:val="18"/>
                <w:szCs w:val="18"/>
              </w:rPr>
            </w:pPr>
          </w:p>
        </w:tc>
        <w:tc>
          <w:tcPr>
            <w:tcW w:w="472" w:type="dxa"/>
            <w:shd w:val="clear" w:color="auto" w:fill="D9D9D9"/>
          </w:tcPr>
          <w:p w14:paraId="15DFAF9D" w14:textId="77777777" w:rsidR="00AF3581" w:rsidRPr="00506303" w:rsidRDefault="00AF3581" w:rsidP="0067543B">
            <w:pPr>
              <w:rPr>
                <w:sz w:val="18"/>
                <w:szCs w:val="18"/>
              </w:rPr>
            </w:pPr>
          </w:p>
        </w:tc>
        <w:tc>
          <w:tcPr>
            <w:tcW w:w="472" w:type="dxa"/>
            <w:shd w:val="clear" w:color="auto" w:fill="D9D9D9"/>
          </w:tcPr>
          <w:p w14:paraId="4160E231" w14:textId="77777777" w:rsidR="00AF3581" w:rsidRPr="00506303" w:rsidRDefault="00AF3581" w:rsidP="0067543B">
            <w:pPr>
              <w:rPr>
                <w:sz w:val="18"/>
                <w:szCs w:val="18"/>
              </w:rPr>
            </w:pPr>
          </w:p>
        </w:tc>
        <w:tc>
          <w:tcPr>
            <w:tcW w:w="472" w:type="dxa"/>
            <w:shd w:val="clear" w:color="auto" w:fill="auto"/>
          </w:tcPr>
          <w:p w14:paraId="3CD24891" w14:textId="77777777" w:rsidR="00AF3581" w:rsidRPr="00506303" w:rsidRDefault="00AF3581" w:rsidP="0067543B">
            <w:pPr>
              <w:rPr>
                <w:sz w:val="18"/>
                <w:szCs w:val="18"/>
              </w:rPr>
            </w:pPr>
          </w:p>
        </w:tc>
        <w:tc>
          <w:tcPr>
            <w:tcW w:w="472" w:type="dxa"/>
            <w:shd w:val="clear" w:color="auto" w:fill="auto"/>
          </w:tcPr>
          <w:p w14:paraId="6A36C98D" w14:textId="77777777" w:rsidR="00AF3581" w:rsidRPr="00506303" w:rsidRDefault="00AF3581" w:rsidP="0067543B">
            <w:pPr>
              <w:rPr>
                <w:sz w:val="18"/>
                <w:szCs w:val="18"/>
              </w:rPr>
            </w:pPr>
          </w:p>
        </w:tc>
        <w:tc>
          <w:tcPr>
            <w:tcW w:w="472" w:type="dxa"/>
            <w:shd w:val="clear" w:color="auto" w:fill="auto"/>
          </w:tcPr>
          <w:p w14:paraId="52DF0F1F" w14:textId="77777777" w:rsidR="00AF3581" w:rsidRPr="00506303" w:rsidRDefault="00AF3581" w:rsidP="0067543B">
            <w:pPr>
              <w:rPr>
                <w:sz w:val="18"/>
                <w:szCs w:val="18"/>
              </w:rPr>
            </w:pPr>
          </w:p>
        </w:tc>
        <w:tc>
          <w:tcPr>
            <w:tcW w:w="472" w:type="dxa"/>
            <w:shd w:val="clear" w:color="auto" w:fill="auto"/>
          </w:tcPr>
          <w:p w14:paraId="5253FD7D" w14:textId="77777777" w:rsidR="00AF3581" w:rsidRPr="00506303" w:rsidRDefault="00AF3581" w:rsidP="0067543B">
            <w:pPr>
              <w:rPr>
                <w:sz w:val="18"/>
                <w:szCs w:val="18"/>
              </w:rPr>
            </w:pPr>
          </w:p>
        </w:tc>
        <w:tc>
          <w:tcPr>
            <w:tcW w:w="472" w:type="dxa"/>
            <w:shd w:val="clear" w:color="auto" w:fill="auto"/>
          </w:tcPr>
          <w:p w14:paraId="7B308D75" w14:textId="77777777" w:rsidR="00AF3581" w:rsidRPr="00506303" w:rsidRDefault="00AF3581" w:rsidP="0067543B">
            <w:pPr>
              <w:rPr>
                <w:sz w:val="18"/>
                <w:szCs w:val="18"/>
              </w:rPr>
            </w:pPr>
          </w:p>
        </w:tc>
        <w:tc>
          <w:tcPr>
            <w:tcW w:w="472" w:type="dxa"/>
            <w:shd w:val="clear" w:color="auto" w:fill="auto"/>
          </w:tcPr>
          <w:p w14:paraId="10AFB4AC" w14:textId="77777777" w:rsidR="00AF3581" w:rsidRPr="00506303" w:rsidRDefault="00AF3581" w:rsidP="0067543B">
            <w:pPr>
              <w:rPr>
                <w:sz w:val="18"/>
                <w:szCs w:val="18"/>
              </w:rPr>
            </w:pPr>
          </w:p>
        </w:tc>
        <w:tc>
          <w:tcPr>
            <w:tcW w:w="473" w:type="dxa"/>
            <w:shd w:val="clear" w:color="auto" w:fill="auto"/>
          </w:tcPr>
          <w:p w14:paraId="3FB2E501" w14:textId="77777777" w:rsidR="00AF3581" w:rsidRPr="00506303" w:rsidRDefault="00AF3581" w:rsidP="0067543B">
            <w:pPr>
              <w:rPr>
                <w:sz w:val="18"/>
                <w:szCs w:val="18"/>
              </w:rPr>
            </w:pPr>
          </w:p>
        </w:tc>
        <w:tc>
          <w:tcPr>
            <w:tcW w:w="473" w:type="dxa"/>
            <w:shd w:val="clear" w:color="auto" w:fill="auto"/>
          </w:tcPr>
          <w:p w14:paraId="4D082BE2" w14:textId="77777777" w:rsidR="00AF3581" w:rsidRPr="00506303" w:rsidRDefault="00AF3581" w:rsidP="0067543B">
            <w:pPr>
              <w:rPr>
                <w:sz w:val="18"/>
                <w:szCs w:val="18"/>
              </w:rPr>
            </w:pPr>
          </w:p>
        </w:tc>
        <w:tc>
          <w:tcPr>
            <w:tcW w:w="473" w:type="dxa"/>
            <w:shd w:val="clear" w:color="auto" w:fill="auto"/>
          </w:tcPr>
          <w:p w14:paraId="4D8852BE" w14:textId="77777777" w:rsidR="00AF3581" w:rsidRPr="00506303" w:rsidRDefault="00AF3581" w:rsidP="0067543B">
            <w:pPr>
              <w:rPr>
                <w:sz w:val="18"/>
                <w:szCs w:val="18"/>
              </w:rPr>
            </w:pPr>
          </w:p>
        </w:tc>
        <w:tc>
          <w:tcPr>
            <w:tcW w:w="473" w:type="dxa"/>
            <w:shd w:val="clear" w:color="auto" w:fill="auto"/>
          </w:tcPr>
          <w:p w14:paraId="01DB3478" w14:textId="77777777" w:rsidR="00AF3581" w:rsidRPr="00506303" w:rsidRDefault="00AF3581" w:rsidP="0067543B">
            <w:pPr>
              <w:rPr>
                <w:sz w:val="18"/>
                <w:szCs w:val="18"/>
              </w:rPr>
            </w:pPr>
          </w:p>
        </w:tc>
        <w:tc>
          <w:tcPr>
            <w:tcW w:w="473" w:type="dxa"/>
            <w:shd w:val="clear" w:color="auto" w:fill="auto"/>
          </w:tcPr>
          <w:p w14:paraId="51789338" w14:textId="77777777" w:rsidR="00AF3581" w:rsidRPr="00506303" w:rsidRDefault="00AF3581" w:rsidP="0067543B">
            <w:pPr>
              <w:rPr>
                <w:sz w:val="18"/>
                <w:szCs w:val="18"/>
              </w:rPr>
            </w:pPr>
          </w:p>
        </w:tc>
        <w:tc>
          <w:tcPr>
            <w:tcW w:w="473" w:type="dxa"/>
            <w:shd w:val="clear" w:color="auto" w:fill="auto"/>
          </w:tcPr>
          <w:p w14:paraId="19B4AAF5" w14:textId="77777777" w:rsidR="00AF3581" w:rsidRPr="00506303" w:rsidRDefault="00AF3581" w:rsidP="0067543B">
            <w:pPr>
              <w:rPr>
                <w:sz w:val="18"/>
                <w:szCs w:val="18"/>
              </w:rPr>
            </w:pPr>
          </w:p>
        </w:tc>
        <w:tc>
          <w:tcPr>
            <w:tcW w:w="473" w:type="dxa"/>
            <w:shd w:val="clear" w:color="auto" w:fill="auto"/>
          </w:tcPr>
          <w:p w14:paraId="430F3ACB" w14:textId="77777777" w:rsidR="00AF3581" w:rsidRPr="00506303" w:rsidRDefault="00AF3581" w:rsidP="0067543B">
            <w:pPr>
              <w:rPr>
                <w:sz w:val="18"/>
                <w:szCs w:val="18"/>
              </w:rPr>
            </w:pPr>
          </w:p>
        </w:tc>
        <w:tc>
          <w:tcPr>
            <w:tcW w:w="473" w:type="dxa"/>
            <w:shd w:val="clear" w:color="auto" w:fill="auto"/>
          </w:tcPr>
          <w:p w14:paraId="3A4F43A8" w14:textId="77777777" w:rsidR="00AF3581" w:rsidRPr="00506303" w:rsidRDefault="00AF3581" w:rsidP="0067543B">
            <w:pPr>
              <w:rPr>
                <w:sz w:val="18"/>
                <w:szCs w:val="18"/>
              </w:rPr>
            </w:pPr>
          </w:p>
        </w:tc>
        <w:tc>
          <w:tcPr>
            <w:tcW w:w="473" w:type="dxa"/>
            <w:shd w:val="clear" w:color="auto" w:fill="auto"/>
          </w:tcPr>
          <w:p w14:paraId="0DE34991" w14:textId="77777777" w:rsidR="00AF3581" w:rsidRPr="00506303" w:rsidRDefault="00AF3581" w:rsidP="0067543B">
            <w:pPr>
              <w:rPr>
                <w:sz w:val="18"/>
                <w:szCs w:val="18"/>
              </w:rPr>
            </w:pPr>
          </w:p>
        </w:tc>
        <w:tc>
          <w:tcPr>
            <w:tcW w:w="473" w:type="dxa"/>
            <w:shd w:val="clear" w:color="auto" w:fill="auto"/>
          </w:tcPr>
          <w:p w14:paraId="638A08BB" w14:textId="77777777" w:rsidR="00AF3581" w:rsidRPr="00506303" w:rsidRDefault="00AF3581" w:rsidP="0067543B">
            <w:pPr>
              <w:rPr>
                <w:sz w:val="18"/>
                <w:szCs w:val="18"/>
              </w:rPr>
            </w:pPr>
          </w:p>
        </w:tc>
      </w:tr>
      <w:tr w:rsidR="00AF3581" w:rsidRPr="00506303" w14:paraId="51650985" w14:textId="77777777" w:rsidTr="00E071AC">
        <w:tc>
          <w:tcPr>
            <w:tcW w:w="944" w:type="dxa"/>
            <w:shd w:val="clear" w:color="auto" w:fill="auto"/>
          </w:tcPr>
          <w:p w14:paraId="11F86202" w14:textId="77777777" w:rsidR="00AF3581" w:rsidRPr="00506303" w:rsidRDefault="00AF3581" w:rsidP="0067543B">
            <w:pPr>
              <w:rPr>
                <w:sz w:val="18"/>
                <w:szCs w:val="18"/>
              </w:rPr>
            </w:pPr>
            <w:r w:rsidRPr="00506303">
              <w:rPr>
                <w:sz w:val="18"/>
                <w:szCs w:val="18"/>
              </w:rPr>
              <w:t>1.3.4.2</w:t>
            </w:r>
          </w:p>
        </w:tc>
        <w:tc>
          <w:tcPr>
            <w:tcW w:w="3776" w:type="dxa"/>
            <w:shd w:val="clear" w:color="auto" w:fill="auto"/>
          </w:tcPr>
          <w:p w14:paraId="00D4ADC3" w14:textId="77777777" w:rsidR="00AF3581" w:rsidRPr="00506303" w:rsidRDefault="00AF3581" w:rsidP="00D5094C">
            <w:pPr>
              <w:rPr>
                <w:sz w:val="18"/>
                <w:szCs w:val="18"/>
              </w:rPr>
            </w:pPr>
            <w:r w:rsidRPr="00506303">
              <w:rPr>
                <w:sz w:val="18"/>
                <w:szCs w:val="18"/>
              </w:rPr>
              <w:t xml:space="preserve">Establish network of </w:t>
            </w:r>
            <w:r w:rsidR="00D5094C">
              <w:rPr>
                <w:sz w:val="18"/>
                <w:szCs w:val="18"/>
              </w:rPr>
              <w:t>seagrass</w:t>
            </w:r>
            <w:r w:rsidRPr="00506303">
              <w:rPr>
                <w:sz w:val="18"/>
                <w:szCs w:val="18"/>
              </w:rPr>
              <w:t xml:space="preserve"> scientists for collation of regionally comparable data</w:t>
            </w:r>
          </w:p>
        </w:tc>
        <w:tc>
          <w:tcPr>
            <w:tcW w:w="472" w:type="dxa"/>
            <w:shd w:val="clear" w:color="auto" w:fill="auto"/>
          </w:tcPr>
          <w:p w14:paraId="7A1ACCCE" w14:textId="77777777" w:rsidR="00AF3581" w:rsidRPr="00506303" w:rsidRDefault="00AF3581" w:rsidP="0067543B">
            <w:pPr>
              <w:rPr>
                <w:sz w:val="18"/>
                <w:szCs w:val="18"/>
              </w:rPr>
            </w:pPr>
          </w:p>
        </w:tc>
        <w:tc>
          <w:tcPr>
            <w:tcW w:w="472" w:type="dxa"/>
            <w:shd w:val="clear" w:color="auto" w:fill="auto"/>
          </w:tcPr>
          <w:p w14:paraId="712FF92A" w14:textId="77777777" w:rsidR="00AF3581" w:rsidRPr="00506303" w:rsidRDefault="00AF3581" w:rsidP="0067543B">
            <w:pPr>
              <w:rPr>
                <w:sz w:val="18"/>
                <w:szCs w:val="18"/>
              </w:rPr>
            </w:pPr>
          </w:p>
        </w:tc>
        <w:tc>
          <w:tcPr>
            <w:tcW w:w="472" w:type="dxa"/>
            <w:shd w:val="clear" w:color="auto" w:fill="D9D9D9"/>
          </w:tcPr>
          <w:p w14:paraId="5876AF13" w14:textId="77777777" w:rsidR="00AF3581" w:rsidRPr="00506303" w:rsidRDefault="00AF3581" w:rsidP="0067543B">
            <w:pPr>
              <w:rPr>
                <w:sz w:val="18"/>
                <w:szCs w:val="18"/>
              </w:rPr>
            </w:pPr>
          </w:p>
        </w:tc>
        <w:tc>
          <w:tcPr>
            <w:tcW w:w="472" w:type="dxa"/>
            <w:shd w:val="clear" w:color="auto" w:fill="D9D9D9"/>
          </w:tcPr>
          <w:p w14:paraId="5C275E9E" w14:textId="77777777" w:rsidR="00AF3581" w:rsidRPr="00506303" w:rsidRDefault="00AF3581" w:rsidP="0067543B">
            <w:pPr>
              <w:rPr>
                <w:sz w:val="18"/>
                <w:szCs w:val="18"/>
              </w:rPr>
            </w:pPr>
          </w:p>
        </w:tc>
        <w:tc>
          <w:tcPr>
            <w:tcW w:w="472" w:type="dxa"/>
            <w:shd w:val="clear" w:color="auto" w:fill="D9D9D9"/>
          </w:tcPr>
          <w:p w14:paraId="6D65B0C2" w14:textId="77777777" w:rsidR="00AF3581" w:rsidRPr="00506303" w:rsidRDefault="00AF3581" w:rsidP="0067543B">
            <w:pPr>
              <w:rPr>
                <w:sz w:val="18"/>
                <w:szCs w:val="18"/>
              </w:rPr>
            </w:pPr>
          </w:p>
        </w:tc>
        <w:tc>
          <w:tcPr>
            <w:tcW w:w="472" w:type="dxa"/>
            <w:shd w:val="clear" w:color="auto" w:fill="D9D9D9"/>
          </w:tcPr>
          <w:p w14:paraId="713AE8C0" w14:textId="77777777" w:rsidR="00AF3581" w:rsidRPr="00506303" w:rsidRDefault="00AF3581" w:rsidP="0067543B">
            <w:pPr>
              <w:rPr>
                <w:sz w:val="18"/>
                <w:szCs w:val="18"/>
              </w:rPr>
            </w:pPr>
          </w:p>
        </w:tc>
        <w:tc>
          <w:tcPr>
            <w:tcW w:w="472" w:type="dxa"/>
            <w:shd w:val="clear" w:color="auto" w:fill="auto"/>
          </w:tcPr>
          <w:p w14:paraId="7C000BB3" w14:textId="77777777" w:rsidR="00AF3581" w:rsidRPr="00506303" w:rsidRDefault="00AF3581" w:rsidP="0067543B">
            <w:pPr>
              <w:rPr>
                <w:sz w:val="18"/>
                <w:szCs w:val="18"/>
              </w:rPr>
            </w:pPr>
          </w:p>
        </w:tc>
        <w:tc>
          <w:tcPr>
            <w:tcW w:w="472" w:type="dxa"/>
            <w:shd w:val="clear" w:color="auto" w:fill="auto"/>
          </w:tcPr>
          <w:p w14:paraId="28CDDF45" w14:textId="77777777" w:rsidR="00AF3581" w:rsidRPr="00506303" w:rsidRDefault="00AF3581" w:rsidP="0067543B">
            <w:pPr>
              <w:rPr>
                <w:sz w:val="18"/>
                <w:szCs w:val="18"/>
              </w:rPr>
            </w:pPr>
          </w:p>
        </w:tc>
        <w:tc>
          <w:tcPr>
            <w:tcW w:w="472" w:type="dxa"/>
            <w:shd w:val="clear" w:color="auto" w:fill="auto"/>
          </w:tcPr>
          <w:p w14:paraId="7CFB1CAD" w14:textId="77777777" w:rsidR="00AF3581" w:rsidRPr="00506303" w:rsidRDefault="00AF3581" w:rsidP="0067543B">
            <w:pPr>
              <w:rPr>
                <w:sz w:val="18"/>
                <w:szCs w:val="18"/>
              </w:rPr>
            </w:pPr>
          </w:p>
        </w:tc>
        <w:tc>
          <w:tcPr>
            <w:tcW w:w="472" w:type="dxa"/>
            <w:shd w:val="clear" w:color="auto" w:fill="auto"/>
          </w:tcPr>
          <w:p w14:paraId="4888050B" w14:textId="77777777" w:rsidR="00AF3581" w:rsidRPr="00506303" w:rsidRDefault="00AF3581" w:rsidP="0067543B">
            <w:pPr>
              <w:rPr>
                <w:sz w:val="18"/>
                <w:szCs w:val="18"/>
              </w:rPr>
            </w:pPr>
          </w:p>
        </w:tc>
        <w:tc>
          <w:tcPr>
            <w:tcW w:w="473" w:type="dxa"/>
            <w:shd w:val="clear" w:color="auto" w:fill="auto"/>
          </w:tcPr>
          <w:p w14:paraId="25365BED" w14:textId="77777777" w:rsidR="00AF3581" w:rsidRPr="00506303" w:rsidRDefault="00AF3581" w:rsidP="0067543B">
            <w:pPr>
              <w:rPr>
                <w:sz w:val="18"/>
                <w:szCs w:val="18"/>
              </w:rPr>
            </w:pPr>
          </w:p>
        </w:tc>
        <w:tc>
          <w:tcPr>
            <w:tcW w:w="473" w:type="dxa"/>
            <w:shd w:val="clear" w:color="auto" w:fill="auto"/>
          </w:tcPr>
          <w:p w14:paraId="31716046" w14:textId="77777777" w:rsidR="00AF3581" w:rsidRPr="00506303" w:rsidRDefault="00AF3581" w:rsidP="0067543B">
            <w:pPr>
              <w:rPr>
                <w:sz w:val="18"/>
                <w:szCs w:val="18"/>
              </w:rPr>
            </w:pPr>
          </w:p>
        </w:tc>
        <w:tc>
          <w:tcPr>
            <w:tcW w:w="473" w:type="dxa"/>
            <w:shd w:val="clear" w:color="auto" w:fill="auto"/>
          </w:tcPr>
          <w:p w14:paraId="65873AB7" w14:textId="77777777" w:rsidR="00AF3581" w:rsidRPr="00506303" w:rsidRDefault="00AF3581" w:rsidP="0067543B">
            <w:pPr>
              <w:rPr>
                <w:sz w:val="18"/>
                <w:szCs w:val="18"/>
              </w:rPr>
            </w:pPr>
          </w:p>
        </w:tc>
        <w:tc>
          <w:tcPr>
            <w:tcW w:w="473" w:type="dxa"/>
            <w:shd w:val="clear" w:color="auto" w:fill="auto"/>
          </w:tcPr>
          <w:p w14:paraId="0FE45DCB" w14:textId="77777777" w:rsidR="00AF3581" w:rsidRPr="00506303" w:rsidRDefault="00AF3581" w:rsidP="0067543B">
            <w:pPr>
              <w:rPr>
                <w:sz w:val="18"/>
                <w:szCs w:val="18"/>
              </w:rPr>
            </w:pPr>
          </w:p>
        </w:tc>
        <w:tc>
          <w:tcPr>
            <w:tcW w:w="473" w:type="dxa"/>
            <w:shd w:val="clear" w:color="auto" w:fill="auto"/>
          </w:tcPr>
          <w:p w14:paraId="46EEEA05" w14:textId="77777777" w:rsidR="00AF3581" w:rsidRPr="00506303" w:rsidRDefault="00AF3581" w:rsidP="0067543B">
            <w:pPr>
              <w:rPr>
                <w:sz w:val="18"/>
                <w:szCs w:val="18"/>
              </w:rPr>
            </w:pPr>
          </w:p>
        </w:tc>
        <w:tc>
          <w:tcPr>
            <w:tcW w:w="473" w:type="dxa"/>
            <w:shd w:val="clear" w:color="auto" w:fill="auto"/>
          </w:tcPr>
          <w:p w14:paraId="5694A146" w14:textId="77777777" w:rsidR="00AF3581" w:rsidRPr="00506303" w:rsidRDefault="00AF3581" w:rsidP="0067543B">
            <w:pPr>
              <w:rPr>
                <w:sz w:val="18"/>
                <w:szCs w:val="18"/>
              </w:rPr>
            </w:pPr>
          </w:p>
        </w:tc>
        <w:tc>
          <w:tcPr>
            <w:tcW w:w="473" w:type="dxa"/>
            <w:shd w:val="clear" w:color="auto" w:fill="auto"/>
          </w:tcPr>
          <w:p w14:paraId="1EFBE402" w14:textId="77777777" w:rsidR="00AF3581" w:rsidRPr="00506303" w:rsidRDefault="00AF3581" w:rsidP="0067543B">
            <w:pPr>
              <w:rPr>
                <w:sz w:val="18"/>
                <w:szCs w:val="18"/>
              </w:rPr>
            </w:pPr>
          </w:p>
        </w:tc>
        <w:tc>
          <w:tcPr>
            <w:tcW w:w="473" w:type="dxa"/>
            <w:shd w:val="clear" w:color="auto" w:fill="auto"/>
          </w:tcPr>
          <w:p w14:paraId="4066D195" w14:textId="77777777" w:rsidR="00AF3581" w:rsidRPr="00506303" w:rsidRDefault="00AF3581" w:rsidP="0067543B">
            <w:pPr>
              <w:rPr>
                <w:sz w:val="18"/>
                <w:szCs w:val="18"/>
              </w:rPr>
            </w:pPr>
          </w:p>
        </w:tc>
        <w:tc>
          <w:tcPr>
            <w:tcW w:w="473" w:type="dxa"/>
            <w:shd w:val="clear" w:color="auto" w:fill="auto"/>
          </w:tcPr>
          <w:p w14:paraId="43830517" w14:textId="77777777" w:rsidR="00AF3581" w:rsidRPr="00506303" w:rsidRDefault="00AF3581" w:rsidP="0067543B">
            <w:pPr>
              <w:rPr>
                <w:sz w:val="18"/>
                <w:szCs w:val="18"/>
              </w:rPr>
            </w:pPr>
          </w:p>
        </w:tc>
        <w:tc>
          <w:tcPr>
            <w:tcW w:w="473" w:type="dxa"/>
            <w:shd w:val="clear" w:color="auto" w:fill="auto"/>
          </w:tcPr>
          <w:p w14:paraId="14671388" w14:textId="77777777" w:rsidR="00AF3581" w:rsidRPr="00506303" w:rsidRDefault="00AF3581" w:rsidP="0067543B">
            <w:pPr>
              <w:rPr>
                <w:sz w:val="18"/>
                <w:szCs w:val="18"/>
              </w:rPr>
            </w:pPr>
          </w:p>
        </w:tc>
      </w:tr>
      <w:tr w:rsidR="00AF3581" w:rsidRPr="00506303" w14:paraId="03B32B3A" w14:textId="77777777" w:rsidTr="00E071AC">
        <w:tc>
          <w:tcPr>
            <w:tcW w:w="944" w:type="dxa"/>
            <w:shd w:val="clear" w:color="auto" w:fill="auto"/>
          </w:tcPr>
          <w:p w14:paraId="2C2B073D" w14:textId="77777777" w:rsidR="00AF3581" w:rsidRPr="00506303" w:rsidRDefault="00AF3581" w:rsidP="0067543B">
            <w:pPr>
              <w:rPr>
                <w:sz w:val="18"/>
                <w:szCs w:val="18"/>
              </w:rPr>
            </w:pPr>
            <w:r w:rsidRPr="00506303">
              <w:rPr>
                <w:sz w:val="18"/>
                <w:szCs w:val="18"/>
              </w:rPr>
              <w:t>1.3.4.3</w:t>
            </w:r>
          </w:p>
        </w:tc>
        <w:tc>
          <w:tcPr>
            <w:tcW w:w="3776" w:type="dxa"/>
            <w:shd w:val="clear" w:color="auto" w:fill="auto"/>
          </w:tcPr>
          <w:p w14:paraId="09C1736C" w14:textId="77777777" w:rsidR="00AF3581" w:rsidRPr="00506303" w:rsidRDefault="00AF3581" w:rsidP="0067543B">
            <w:pPr>
              <w:rPr>
                <w:sz w:val="18"/>
                <w:szCs w:val="18"/>
              </w:rPr>
            </w:pPr>
            <w:r w:rsidRPr="00506303">
              <w:rPr>
                <w:sz w:val="18"/>
                <w:szCs w:val="18"/>
              </w:rPr>
              <w:t>Develop guidelines and conduct annual training on the collection of indicator data</w:t>
            </w:r>
          </w:p>
        </w:tc>
        <w:tc>
          <w:tcPr>
            <w:tcW w:w="472" w:type="dxa"/>
            <w:shd w:val="clear" w:color="auto" w:fill="auto"/>
          </w:tcPr>
          <w:p w14:paraId="5D75BBEB" w14:textId="77777777" w:rsidR="00AF3581" w:rsidRPr="00506303" w:rsidRDefault="00AF3581" w:rsidP="0067543B">
            <w:pPr>
              <w:rPr>
                <w:sz w:val="18"/>
                <w:szCs w:val="18"/>
              </w:rPr>
            </w:pPr>
          </w:p>
        </w:tc>
        <w:tc>
          <w:tcPr>
            <w:tcW w:w="472" w:type="dxa"/>
            <w:shd w:val="clear" w:color="auto" w:fill="auto"/>
          </w:tcPr>
          <w:p w14:paraId="08B6FD5E" w14:textId="77777777" w:rsidR="00AF3581" w:rsidRPr="00506303" w:rsidRDefault="00AF3581" w:rsidP="0067543B">
            <w:pPr>
              <w:rPr>
                <w:sz w:val="18"/>
                <w:szCs w:val="18"/>
              </w:rPr>
            </w:pPr>
          </w:p>
        </w:tc>
        <w:tc>
          <w:tcPr>
            <w:tcW w:w="472" w:type="dxa"/>
            <w:shd w:val="clear" w:color="auto" w:fill="D9D9D9"/>
          </w:tcPr>
          <w:p w14:paraId="6F22AE33" w14:textId="77777777" w:rsidR="00AF3581" w:rsidRPr="00506303" w:rsidRDefault="00AF3581" w:rsidP="0067543B">
            <w:pPr>
              <w:rPr>
                <w:sz w:val="18"/>
                <w:szCs w:val="18"/>
              </w:rPr>
            </w:pPr>
          </w:p>
        </w:tc>
        <w:tc>
          <w:tcPr>
            <w:tcW w:w="472" w:type="dxa"/>
            <w:shd w:val="clear" w:color="auto" w:fill="D9D9D9"/>
          </w:tcPr>
          <w:p w14:paraId="2081DD6E" w14:textId="77777777" w:rsidR="00AF3581" w:rsidRPr="00506303" w:rsidRDefault="00AF3581" w:rsidP="0067543B">
            <w:pPr>
              <w:rPr>
                <w:sz w:val="18"/>
                <w:szCs w:val="18"/>
              </w:rPr>
            </w:pPr>
          </w:p>
        </w:tc>
        <w:tc>
          <w:tcPr>
            <w:tcW w:w="472" w:type="dxa"/>
            <w:shd w:val="clear" w:color="auto" w:fill="D9D9D9"/>
          </w:tcPr>
          <w:p w14:paraId="31188507" w14:textId="77777777" w:rsidR="00AF3581" w:rsidRPr="00506303" w:rsidRDefault="00AF3581" w:rsidP="0067543B">
            <w:pPr>
              <w:rPr>
                <w:sz w:val="18"/>
                <w:szCs w:val="18"/>
              </w:rPr>
            </w:pPr>
          </w:p>
        </w:tc>
        <w:tc>
          <w:tcPr>
            <w:tcW w:w="472" w:type="dxa"/>
            <w:shd w:val="clear" w:color="auto" w:fill="D9D9D9"/>
          </w:tcPr>
          <w:p w14:paraId="14B41CA3" w14:textId="77777777" w:rsidR="00AF3581" w:rsidRPr="00506303" w:rsidRDefault="00AF3581" w:rsidP="0067543B">
            <w:pPr>
              <w:rPr>
                <w:sz w:val="18"/>
                <w:szCs w:val="18"/>
              </w:rPr>
            </w:pPr>
          </w:p>
        </w:tc>
        <w:tc>
          <w:tcPr>
            <w:tcW w:w="472" w:type="dxa"/>
            <w:shd w:val="clear" w:color="auto" w:fill="auto"/>
          </w:tcPr>
          <w:p w14:paraId="5CBB4A71" w14:textId="77777777" w:rsidR="00AF3581" w:rsidRPr="00506303" w:rsidRDefault="00AF3581" w:rsidP="0067543B">
            <w:pPr>
              <w:rPr>
                <w:sz w:val="18"/>
                <w:szCs w:val="18"/>
              </w:rPr>
            </w:pPr>
          </w:p>
        </w:tc>
        <w:tc>
          <w:tcPr>
            <w:tcW w:w="472" w:type="dxa"/>
            <w:shd w:val="clear" w:color="auto" w:fill="auto"/>
          </w:tcPr>
          <w:p w14:paraId="1823B7DB" w14:textId="77777777" w:rsidR="00AF3581" w:rsidRPr="00506303" w:rsidRDefault="00AF3581" w:rsidP="0067543B">
            <w:pPr>
              <w:rPr>
                <w:sz w:val="18"/>
                <w:szCs w:val="18"/>
              </w:rPr>
            </w:pPr>
          </w:p>
        </w:tc>
        <w:tc>
          <w:tcPr>
            <w:tcW w:w="472" w:type="dxa"/>
            <w:shd w:val="clear" w:color="auto" w:fill="auto"/>
          </w:tcPr>
          <w:p w14:paraId="2D510821" w14:textId="77777777" w:rsidR="00AF3581" w:rsidRPr="00506303" w:rsidRDefault="00AF3581" w:rsidP="0067543B">
            <w:pPr>
              <w:rPr>
                <w:sz w:val="18"/>
                <w:szCs w:val="18"/>
              </w:rPr>
            </w:pPr>
          </w:p>
        </w:tc>
        <w:tc>
          <w:tcPr>
            <w:tcW w:w="472" w:type="dxa"/>
            <w:shd w:val="clear" w:color="auto" w:fill="auto"/>
          </w:tcPr>
          <w:p w14:paraId="18B19CFA" w14:textId="77777777" w:rsidR="00AF3581" w:rsidRPr="00506303" w:rsidRDefault="00AF3581" w:rsidP="0067543B">
            <w:pPr>
              <w:rPr>
                <w:sz w:val="18"/>
                <w:szCs w:val="18"/>
              </w:rPr>
            </w:pPr>
          </w:p>
        </w:tc>
        <w:tc>
          <w:tcPr>
            <w:tcW w:w="473" w:type="dxa"/>
            <w:shd w:val="clear" w:color="auto" w:fill="auto"/>
          </w:tcPr>
          <w:p w14:paraId="70DFE521" w14:textId="77777777" w:rsidR="00AF3581" w:rsidRPr="00506303" w:rsidRDefault="00AF3581" w:rsidP="0067543B">
            <w:pPr>
              <w:rPr>
                <w:sz w:val="18"/>
                <w:szCs w:val="18"/>
              </w:rPr>
            </w:pPr>
          </w:p>
        </w:tc>
        <w:tc>
          <w:tcPr>
            <w:tcW w:w="473" w:type="dxa"/>
            <w:shd w:val="clear" w:color="auto" w:fill="auto"/>
          </w:tcPr>
          <w:p w14:paraId="586619AC" w14:textId="77777777" w:rsidR="00AF3581" w:rsidRPr="00506303" w:rsidRDefault="00AF3581" w:rsidP="0067543B">
            <w:pPr>
              <w:rPr>
                <w:sz w:val="18"/>
                <w:szCs w:val="18"/>
              </w:rPr>
            </w:pPr>
          </w:p>
        </w:tc>
        <w:tc>
          <w:tcPr>
            <w:tcW w:w="473" w:type="dxa"/>
            <w:shd w:val="clear" w:color="auto" w:fill="auto"/>
          </w:tcPr>
          <w:p w14:paraId="5FF3D0E5" w14:textId="77777777" w:rsidR="00AF3581" w:rsidRPr="00506303" w:rsidRDefault="00AF3581" w:rsidP="0067543B">
            <w:pPr>
              <w:rPr>
                <w:sz w:val="18"/>
                <w:szCs w:val="18"/>
              </w:rPr>
            </w:pPr>
          </w:p>
        </w:tc>
        <w:tc>
          <w:tcPr>
            <w:tcW w:w="473" w:type="dxa"/>
            <w:shd w:val="clear" w:color="auto" w:fill="auto"/>
          </w:tcPr>
          <w:p w14:paraId="27A1D33C" w14:textId="77777777" w:rsidR="00AF3581" w:rsidRPr="00506303" w:rsidRDefault="00AF3581" w:rsidP="0067543B">
            <w:pPr>
              <w:rPr>
                <w:sz w:val="18"/>
                <w:szCs w:val="18"/>
              </w:rPr>
            </w:pPr>
          </w:p>
        </w:tc>
        <w:tc>
          <w:tcPr>
            <w:tcW w:w="473" w:type="dxa"/>
            <w:shd w:val="clear" w:color="auto" w:fill="auto"/>
          </w:tcPr>
          <w:p w14:paraId="063169CF" w14:textId="77777777" w:rsidR="00AF3581" w:rsidRPr="00506303" w:rsidRDefault="00AF3581" w:rsidP="0067543B">
            <w:pPr>
              <w:rPr>
                <w:sz w:val="18"/>
                <w:szCs w:val="18"/>
              </w:rPr>
            </w:pPr>
          </w:p>
        </w:tc>
        <w:tc>
          <w:tcPr>
            <w:tcW w:w="473" w:type="dxa"/>
            <w:shd w:val="clear" w:color="auto" w:fill="auto"/>
          </w:tcPr>
          <w:p w14:paraId="30B4E8D7" w14:textId="77777777" w:rsidR="00AF3581" w:rsidRPr="00506303" w:rsidRDefault="00AF3581" w:rsidP="0067543B">
            <w:pPr>
              <w:rPr>
                <w:sz w:val="18"/>
                <w:szCs w:val="18"/>
              </w:rPr>
            </w:pPr>
          </w:p>
        </w:tc>
        <w:tc>
          <w:tcPr>
            <w:tcW w:w="473" w:type="dxa"/>
            <w:shd w:val="clear" w:color="auto" w:fill="auto"/>
          </w:tcPr>
          <w:p w14:paraId="27555440" w14:textId="77777777" w:rsidR="00AF3581" w:rsidRPr="00506303" w:rsidRDefault="00AF3581" w:rsidP="0067543B">
            <w:pPr>
              <w:rPr>
                <w:sz w:val="18"/>
                <w:szCs w:val="18"/>
              </w:rPr>
            </w:pPr>
          </w:p>
        </w:tc>
        <w:tc>
          <w:tcPr>
            <w:tcW w:w="473" w:type="dxa"/>
            <w:shd w:val="clear" w:color="auto" w:fill="auto"/>
          </w:tcPr>
          <w:p w14:paraId="0F8DF46B" w14:textId="77777777" w:rsidR="00AF3581" w:rsidRPr="00506303" w:rsidRDefault="00AF3581" w:rsidP="0067543B">
            <w:pPr>
              <w:rPr>
                <w:sz w:val="18"/>
                <w:szCs w:val="18"/>
              </w:rPr>
            </w:pPr>
          </w:p>
        </w:tc>
        <w:tc>
          <w:tcPr>
            <w:tcW w:w="473" w:type="dxa"/>
            <w:shd w:val="clear" w:color="auto" w:fill="auto"/>
          </w:tcPr>
          <w:p w14:paraId="53E66631" w14:textId="77777777" w:rsidR="00AF3581" w:rsidRPr="00506303" w:rsidRDefault="00AF3581" w:rsidP="0067543B">
            <w:pPr>
              <w:rPr>
                <w:sz w:val="18"/>
                <w:szCs w:val="18"/>
              </w:rPr>
            </w:pPr>
          </w:p>
        </w:tc>
        <w:tc>
          <w:tcPr>
            <w:tcW w:w="473" w:type="dxa"/>
            <w:shd w:val="clear" w:color="auto" w:fill="auto"/>
          </w:tcPr>
          <w:p w14:paraId="48EB3DEB" w14:textId="77777777" w:rsidR="00AF3581" w:rsidRPr="00506303" w:rsidRDefault="00AF3581" w:rsidP="0067543B">
            <w:pPr>
              <w:rPr>
                <w:sz w:val="18"/>
                <w:szCs w:val="18"/>
              </w:rPr>
            </w:pPr>
          </w:p>
        </w:tc>
      </w:tr>
      <w:tr w:rsidR="00E071AC" w:rsidRPr="00506303" w14:paraId="787392DC" w14:textId="77777777" w:rsidTr="00E071AC">
        <w:tc>
          <w:tcPr>
            <w:tcW w:w="944" w:type="dxa"/>
            <w:shd w:val="clear" w:color="auto" w:fill="auto"/>
          </w:tcPr>
          <w:p w14:paraId="0B8E1528" w14:textId="77777777" w:rsidR="00AF3581" w:rsidRPr="00506303" w:rsidRDefault="00AF3581" w:rsidP="0067543B">
            <w:pPr>
              <w:rPr>
                <w:sz w:val="18"/>
                <w:szCs w:val="18"/>
              </w:rPr>
            </w:pPr>
            <w:r w:rsidRPr="00506303">
              <w:rPr>
                <w:sz w:val="18"/>
                <w:szCs w:val="18"/>
              </w:rPr>
              <w:t>1.3.4.4</w:t>
            </w:r>
          </w:p>
        </w:tc>
        <w:tc>
          <w:tcPr>
            <w:tcW w:w="3776" w:type="dxa"/>
            <w:shd w:val="clear" w:color="auto" w:fill="auto"/>
          </w:tcPr>
          <w:p w14:paraId="64CE6523" w14:textId="77777777" w:rsidR="00AF3581" w:rsidRPr="00506303" w:rsidRDefault="00AF3581" w:rsidP="00D5094C">
            <w:pPr>
              <w:rPr>
                <w:sz w:val="18"/>
                <w:szCs w:val="18"/>
              </w:rPr>
            </w:pPr>
            <w:r w:rsidRPr="00506303">
              <w:rPr>
                <w:sz w:val="18"/>
                <w:szCs w:val="18"/>
              </w:rPr>
              <w:t xml:space="preserve">Annual reporting on management effectiveness to Regional Working Group on </w:t>
            </w:r>
            <w:r w:rsidR="00D5094C">
              <w:rPr>
                <w:sz w:val="18"/>
                <w:szCs w:val="18"/>
              </w:rPr>
              <w:t>Seagrass</w:t>
            </w:r>
          </w:p>
        </w:tc>
        <w:tc>
          <w:tcPr>
            <w:tcW w:w="472" w:type="dxa"/>
            <w:shd w:val="clear" w:color="auto" w:fill="auto"/>
          </w:tcPr>
          <w:p w14:paraId="5D0AE61A" w14:textId="77777777" w:rsidR="00AF3581" w:rsidRPr="00506303" w:rsidRDefault="00AF3581" w:rsidP="0067543B">
            <w:pPr>
              <w:rPr>
                <w:sz w:val="18"/>
                <w:szCs w:val="18"/>
              </w:rPr>
            </w:pPr>
          </w:p>
        </w:tc>
        <w:tc>
          <w:tcPr>
            <w:tcW w:w="472" w:type="dxa"/>
            <w:shd w:val="clear" w:color="auto" w:fill="auto"/>
          </w:tcPr>
          <w:p w14:paraId="062A4CFD" w14:textId="77777777" w:rsidR="00AF3581" w:rsidRPr="00506303" w:rsidRDefault="00AF3581" w:rsidP="0067543B">
            <w:pPr>
              <w:rPr>
                <w:sz w:val="18"/>
                <w:szCs w:val="18"/>
              </w:rPr>
            </w:pPr>
          </w:p>
        </w:tc>
        <w:tc>
          <w:tcPr>
            <w:tcW w:w="472" w:type="dxa"/>
            <w:shd w:val="clear" w:color="auto" w:fill="auto"/>
          </w:tcPr>
          <w:p w14:paraId="1FD83BB6" w14:textId="77777777" w:rsidR="00AF3581" w:rsidRPr="00506303" w:rsidRDefault="00AF3581" w:rsidP="0067543B">
            <w:pPr>
              <w:rPr>
                <w:sz w:val="18"/>
                <w:szCs w:val="18"/>
              </w:rPr>
            </w:pPr>
          </w:p>
        </w:tc>
        <w:tc>
          <w:tcPr>
            <w:tcW w:w="472" w:type="dxa"/>
            <w:shd w:val="clear" w:color="auto" w:fill="auto"/>
          </w:tcPr>
          <w:p w14:paraId="457778A1" w14:textId="77777777" w:rsidR="00AF3581" w:rsidRPr="00506303" w:rsidRDefault="00AF3581" w:rsidP="0067543B">
            <w:pPr>
              <w:rPr>
                <w:sz w:val="18"/>
                <w:szCs w:val="18"/>
              </w:rPr>
            </w:pPr>
          </w:p>
        </w:tc>
        <w:tc>
          <w:tcPr>
            <w:tcW w:w="472" w:type="dxa"/>
            <w:shd w:val="clear" w:color="auto" w:fill="auto"/>
          </w:tcPr>
          <w:p w14:paraId="135B8538" w14:textId="77777777" w:rsidR="00AF3581" w:rsidRPr="00506303" w:rsidRDefault="00AF3581" w:rsidP="0067543B">
            <w:pPr>
              <w:rPr>
                <w:sz w:val="18"/>
                <w:szCs w:val="18"/>
              </w:rPr>
            </w:pPr>
          </w:p>
        </w:tc>
        <w:tc>
          <w:tcPr>
            <w:tcW w:w="472" w:type="dxa"/>
            <w:shd w:val="clear" w:color="auto" w:fill="D9D9D9"/>
          </w:tcPr>
          <w:p w14:paraId="391268D2" w14:textId="77777777" w:rsidR="00AF3581" w:rsidRPr="00506303" w:rsidRDefault="00AF3581" w:rsidP="0067543B">
            <w:pPr>
              <w:rPr>
                <w:sz w:val="18"/>
                <w:szCs w:val="18"/>
              </w:rPr>
            </w:pPr>
          </w:p>
        </w:tc>
        <w:tc>
          <w:tcPr>
            <w:tcW w:w="472" w:type="dxa"/>
            <w:shd w:val="clear" w:color="auto" w:fill="auto"/>
          </w:tcPr>
          <w:p w14:paraId="124C11F7" w14:textId="77777777" w:rsidR="00AF3581" w:rsidRPr="00506303" w:rsidRDefault="00AF3581" w:rsidP="0067543B">
            <w:pPr>
              <w:rPr>
                <w:sz w:val="18"/>
                <w:szCs w:val="18"/>
              </w:rPr>
            </w:pPr>
          </w:p>
        </w:tc>
        <w:tc>
          <w:tcPr>
            <w:tcW w:w="472" w:type="dxa"/>
            <w:shd w:val="clear" w:color="auto" w:fill="auto"/>
          </w:tcPr>
          <w:p w14:paraId="0B59E3C3" w14:textId="77777777" w:rsidR="00AF3581" w:rsidRPr="00506303" w:rsidRDefault="00AF3581" w:rsidP="0067543B">
            <w:pPr>
              <w:rPr>
                <w:sz w:val="18"/>
                <w:szCs w:val="18"/>
              </w:rPr>
            </w:pPr>
          </w:p>
        </w:tc>
        <w:tc>
          <w:tcPr>
            <w:tcW w:w="472" w:type="dxa"/>
            <w:shd w:val="clear" w:color="auto" w:fill="auto"/>
          </w:tcPr>
          <w:p w14:paraId="128357B4" w14:textId="77777777" w:rsidR="00AF3581" w:rsidRPr="00506303" w:rsidRDefault="00AF3581" w:rsidP="0067543B">
            <w:pPr>
              <w:rPr>
                <w:sz w:val="18"/>
                <w:szCs w:val="18"/>
              </w:rPr>
            </w:pPr>
          </w:p>
        </w:tc>
        <w:tc>
          <w:tcPr>
            <w:tcW w:w="472" w:type="dxa"/>
            <w:shd w:val="clear" w:color="auto" w:fill="D9D9D9"/>
          </w:tcPr>
          <w:p w14:paraId="53C86024" w14:textId="77777777" w:rsidR="00AF3581" w:rsidRPr="00506303" w:rsidRDefault="00AF3581" w:rsidP="0067543B">
            <w:pPr>
              <w:rPr>
                <w:sz w:val="18"/>
                <w:szCs w:val="18"/>
              </w:rPr>
            </w:pPr>
          </w:p>
        </w:tc>
        <w:tc>
          <w:tcPr>
            <w:tcW w:w="473" w:type="dxa"/>
            <w:shd w:val="clear" w:color="auto" w:fill="auto"/>
          </w:tcPr>
          <w:p w14:paraId="491D376B" w14:textId="77777777" w:rsidR="00AF3581" w:rsidRPr="00506303" w:rsidRDefault="00AF3581" w:rsidP="0067543B">
            <w:pPr>
              <w:rPr>
                <w:sz w:val="18"/>
                <w:szCs w:val="18"/>
              </w:rPr>
            </w:pPr>
          </w:p>
        </w:tc>
        <w:tc>
          <w:tcPr>
            <w:tcW w:w="473" w:type="dxa"/>
            <w:shd w:val="clear" w:color="auto" w:fill="auto"/>
          </w:tcPr>
          <w:p w14:paraId="00E3E4C2" w14:textId="77777777" w:rsidR="00AF3581" w:rsidRPr="00506303" w:rsidRDefault="00AF3581" w:rsidP="0067543B">
            <w:pPr>
              <w:rPr>
                <w:sz w:val="18"/>
                <w:szCs w:val="18"/>
              </w:rPr>
            </w:pPr>
          </w:p>
        </w:tc>
        <w:tc>
          <w:tcPr>
            <w:tcW w:w="473" w:type="dxa"/>
            <w:shd w:val="clear" w:color="auto" w:fill="auto"/>
          </w:tcPr>
          <w:p w14:paraId="41CB94A2" w14:textId="77777777" w:rsidR="00AF3581" w:rsidRPr="00506303" w:rsidRDefault="00AF3581" w:rsidP="0067543B">
            <w:pPr>
              <w:rPr>
                <w:sz w:val="18"/>
                <w:szCs w:val="18"/>
              </w:rPr>
            </w:pPr>
          </w:p>
        </w:tc>
        <w:tc>
          <w:tcPr>
            <w:tcW w:w="473" w:type="dxa"/>
            <w:shd w:val="clear" w:color="auto" w:fill="D9D9D9"/>
          </w:tcPr>
          <w:p w14:paraId="3A11E07F" w14:textId="77777777" w:rsidR="00AF3581" w:rsidRPr="00506303" w:rsidRDefault="00AF3581" w:rsidP="0067543B">
            <w:pPr>
              <w:rPr>
                <w:sz w:val="18"/>
                <w:szCs w:val="18"/>
              </w:rPr>
            </w:pPr>
          </w:p>
        </w:tc>
        <w:tc>
          <w:tcPr>
            <w:tcW w:w="473" w:type="dxa"/>
            <w:shd w:val="clear" w:color="auto" w:fill="auto"/>
          </w:tcPr>
          <w:p w14:paraId="5ADE3EAD" w14:textId="77777777" w:rsidR="00AF3581" w:rsidRPr="00506303" w:rsidRDefault="00AF3581" w:rsidP="0067543B">
            <w:pPr>
              <w:rPr>
                <w:sz w:val="18"/>
                <w:szCs w:val="18"/>
              </w:rPr>
            </w:pPr>
          </w:p>
        </w:tc>
        <w:tc>
          <w:tcPr>
            <w:tcW w:w="473" w:type="dxa"/>
            <w:shd w:val="clear" w:color="auto" w:fill="auto"/>
          </w:tcPr>
          <w:p w14:paraId="1B176B2F" w14:textId="77777777" w:rsidR="00AF3581" w:rsidRPr="00506303" w:rsidRDefault="00AF3581" w:rsidP="0067543B">
            <w:pPr>
              <w:rPr>
                <w:sz w:val="18"/>
                <w:szCs w:val="18"/>
              </w:rPr>
            </w:pPr>
          </w:p>
        </w:tc>
        <w:tc>
          <w:tcPr>
            <w:tcW w:w="473" w:type="dxa"/>
            <w:shd w:val="clear" w:color="auto" w:fill="auto"/>
          </w:tcPr>
          <w:p w14:paraId="6C77B8F9" w14:textId="77777777" w:rsidR="00AF3581" w:rsidRPr="00506303" w:rsidRDefault="00AF3581" w:rsidP="0067543B">
            <w:pPr>
              <w:rPr>
                <w:sz w:val="18"/>
                <w:szCs w:val="18"/>
              </w:rPr>
            </w:pPr>
          </w:p>
        </w:tc>
        <w:tc>
          <w:tcPr>
            <w:tcW w:w="473" w:type="dxa"/>
            <w:shd w:val="clear" w:color="auto" w:fill="D9D9D9"/>
          </w:tcPr>
          <w:p w14:paraId="48000C90" w14:textId="77777777" w:rsidR="00AF3581" w:rsidRPr="00506303" w:rsidRDefault="00AF3581" w:rsidP="0067543B">
            <w:pPr>
              <w:rPr>
                <w:sz w:val="18"/>
                <w:szCs w:val="18"/>
              </w:rPr>
            </w:pPr>
          </w:p>
        </w:tc>
        <w:tc>
          <w:tcPr>
            <w:tcW w:w="473" w:type="dxa"/>
            <w:shd w:val="clear" w:color="auto" w:fill="auto"/>
          </w:tcPr>
          <w:p w14:paraId="44EEBD90" w14:textId="77777777" w:rsidR="00AF3581" w:rsidRPr="00506303" w:rsidRDefault="00AF3581" w:rsidP="0067543B">
            <w:pPr>
              <w:rPr>
                <w:sz w:val="18"/>
                <w:szCs w:val="18"/>
              </w:rPr>
            </w:pPr>
          </w:p>
        </w:tc>
        <w:tc>
          <w:tcPr>
            <w:tcW w:w="473" w:type="dxa"/>
            <w:shd w:val="clear" w:color="auto" w:fill="auto"/>
          </w:tcPr>
          <w:p w14:paraId="15EB2192" w14:textId="77777777" w:rsidR="00AF3581" w:rsidRPr="00506303" w:rsidRDefault="00AF3581" w:rsidP="0067543B">
            <w:pPr>
              <w:rPr>
                <w:sz w:val="18"/>
                <w:szCs w:val="18"/>
              </w:rPr>
            </w:pPr>
          </w:p>
        </w:tc>
      </w:tr>
      <w:tr w:rsidR="00AF3581" w:rsidRPr="00506303" w14:paraId="5547D6D4" w14:textId="77777777" w:rsidTr="00506303">
        <w:tc>
          <w:tcPr>
            <w:tcW w:w="944" w:type="dxa"/>
            <w:shd w:val="clear" w:color="auto" w:fill="BFBFBF"/>
          </w:tcPr>
          <w:p w14:paraId="04D6044D" w14:textId="77777777" w:rsidR="00AF3581" w:rsidRPr="00506303" w:rsidRDefault="00AF3581" w:rsidP="0067543B">
            <w:pPr>
              <w:rPr>
                <w:b/>
                <w:sz w:val="18"/>
                <w:szCs w:val="18"/>
              </w:rPr>
            </w:pPr>
            <w:r w:rsidRPr="00506303">
              <w:rPr>
                <w:b/>
                <w:sz w:val="18"/>
                <w:szCs w:val="18"/>
              </w:rPr>
              <w:t>1.4</w:t>
            </w:r>
          </w:p>
        </w:tc>
        <w:tc>
          <w:tcPr>
            <w:tcW w:w="13226" w:type="dxa"/>
            <w:gridSpan w:val="21"/>
            <w:shd w:val="clear" w:color="auto" w:fill="BFBFBF"/>
          </w:tcPr>
          <w:p w14:paraId="216FB38C" w14:textId="77777777" w:rsidR="00AF3581" w:rsidRPr="00506303" w:rsidRDefault="00AF3581" w:rsidP="0067543B">
            <w:pPr>
              <w:rPr>
                <w:b/>
                <w:sz w:val="18"/>
                <w:szCs w:val="18"/>
              </w:rPr>
            </w:pPr>
            <w:r w:rsidRPr="00506303">
              <w:rPr>
                <w:b/>
                <w:sz w:val="18"/>
                <w:szCs w:val="18"/>
              </w:rPr>
              <w:t>Integrated management of 783,900 ha of coastal wetland at 19 sites, including habitat restoration and protection strengthened at priority locations</w:t>
            </w:r>
          </w:p>
        </w:tc>
      </w:tr>
      <w:tr w:rsidR="00E071AC" w:rsidRPr="00506303" w14:paraId="6EB2CCBD" w14:textId="77777777" w:rsidTr="00E071AC">
        <w:tc>
          <w:tcPr>
            <w:tcW w:w="944" w:type="dxa"/>
            <w:shd w:val="clear" w:color="auto" w:fill="auto"/>
          </w:tcPr>
          <w:p w14:paraId="40095C1B" w14:textId="77777777" w:rsidR="00AF3581" w:rsidRPr="00506303" w:rsidRDefault="00AF3581" w:rsidP="0067543B">
            <w:pPr>
              <w:rPr>
                <w:sz w:val="18"/>
                <w:szCs w:val="18"/>
              </w:rPr>
            </w:pPr>
            <w:r w:rsidRPr="00506303">
              <w:rPr>
                <w:sz w:val="18"/>
                <w:szCs w:val="18"/>
              </w:rPr>
              <w:t>1.4.1</w:t>
            </w:r>
          </w:p>
        </w:tc>
        <w:tc>
          <w:tcPr>
            <w:tcW w:w="3776" w:type="dxa"/>
            <w:shd w:val="clear" w:color="auto" w:fill="auto"/>
          </w:tcPr>
          <w:p w14:paraId="421F5086" w14:textId="77777777" w:rsidR="00AF3581" w:rsidRPr="00506303" w:rsidRDefault="00AF3581" w:rsidP="0067543B">
            <w:pPr>
              <w:rPr>
                <w:sz w:val="18"/>
                <w:szCs w:val="18"/>
              </w:rPr>
            </w:pPr>
            <w:r w:rsidRPr="00506303">
              <w:rPr>
                <w:sz w:val="18"/>
                <w:szCs w:val="18"/>
              </w:rPr>
              <w:t>Develop and implement integrated management plans for 3 lagoons (26,818 ha), 9 estuaries (614,680 ha), 5 tidal flats (96,903 ha), 1 peat swamp (45,700 ha) and 1 non-peat swamp (9,808 ha</w:t>
            </w:r>
          </w:p>
        </w:tc>
        <w:tc>
          <w:tcPr>
            <w:tcW w:w="472" w:type="dxa"/>
            <w:shd w:val="clear" w:color="auto" w:fill="auto"/>
          </w:tcPr>
          <w:p w14:paraId="466100EB" w14:textId="77777777" w:rsidR="00AF3581" w:rsidRPr="00506303" w:rsidRDefault="00AF3581" w:rsidP="0067543B">
            <w:pPr>
              <w:rPr>
                <w:sz w:val="18"/>
                <w:szCs w:val="18"/>
              </w:rPr>
            </w:pPr>
          </w:p>
        </w:tc>
        <w:tc>
          <w:tcPr>
            <w:tcW w:w="472" w:type="dxa"/>
            <w:shd w:val="clear" w:color="auto" w:fill="auto"/>
          </w:tcPr>
          <w:p w14:paraId="126D01DA" w14:textId="77777777" w:rsidR="00AF3581" w:rsidRPr="00506303" w:rsidRDefault="00AF3581" w:rsidP="0067543B">
            <w:pPr>
              <w:rPr>
                <w:sz w:val="18"/>
                <w:szCs w:val="18"/>
              </w:rPr>
            </w:pPr>
          </w:p>
        </w:tc>
        <w:tc>
          <w:tcPr>
            <w:tcW w:w="472" w:type="dxa"/>
            <w:shd w:val="clear" w:color="auto" w:fill="auto"/>
          </w:tcPr>
          <w:p w14:paraId="7AECD0CC" w14:textId="77777777" w:rsidR="00AF3581" w:rsidRPr="00506303" w:rsidRDefault="00AF3581" w:rsidP="0067543B">
            <w:pPr>
              <w:rPr>
                <w:sz w:val="18"/>
                <w:szCs w:val="18"/>
              </w:rPr>
            </w:pPr>
          </w:p>
        </w:tc>
        <w:tc>
          <w:tcPr>
            <w:tcW w:w="472" w:type="dxa"/>
            <w:shd w:val="clear" w:color="auto" w:fill="auto"/>
          </w:tcPr>
          <w:p w14:paraId="6A1322AF" w14:textId="77777777" w:rsidR="00AF3581" w:rsidRPr="00506303" w:rsidRDefault="00AF3581" w:rsidP="0067543B">
            <w:pPr>
              <w:rPr>
                <w:sz w:val="18"/>
                <w:szCs w:val="18"/>
              </w:rPr>
            </w:pPr>
          </w:p>
        </w:tc>
        <w:tc>
          <w:tcPr>
            <w:tcW w:w="472" w:type="dxa"/>
            <w:shd w:val="clear" w:color="auto" w:fill="D9D9D9"/>
          </w:tcPr>
          <w:p w14:paraId="7B268816" w14:textId="77777777" w:rsidR="00AF3581" w:rsidRPr="00506303" w:rsidRDefault="00AF3581" w:rsidP="0067543B">
            <w:pPr>
              <w:rPr>
                <w:sz w:val="18"/>
                <w:szCs w:val="18"/>
              </w:rPr>
            </w:pPr>
          </w:p>
        </w:tc>
        <w:tc>
          <w:tcPr>
            <w:tcW w:w="472" w:type="dxa"/>
            <w:shd w:val="clear" w:color="auto" w:fill="D9D9D9"/>
          </w:tcPr>
          <w:p w14:paraId="103F9F25" w14:textId="77777777" w:rsidR="00AF3581" w:rsidRPr="00506303" w:rsidRDefault="00AF3581" w:rsidP="0067543B">
            <w:pPr>
              <w:rPr>
                <w:sz w:val="18"/>
                <w:szCs w:val="18"/>
              </w:rPr>
            </w:pPr>
          </w:p>
        </w:tc>
        <w:tc>
          <w:tcPr>
            <w:tcW w:w="472" w:type="dxa"/>
            <w:shd w:val="clear" w:color="auto" w:fill="D9D9D9"/>
          </w:tcPr>
          <w:p w14:paraId="73C8F853" w14:textId="77777777" w:rsidR="00AF3581" w:rsidRPr="00506303" w:rsidRDefault="00AF3581" w:rsidP="0067543B">
            <w:pPr>
              <w:rPr>
                <w:sz w:val="18"/>
                <w:szCs w:val="18"/>
              </w:rPr>
            </w:pPr>
          </w:p>
        </w:tc>
        <w:tc>
          <w:tcPr>
            <w:tcW w:w="472" w:type="dxa"/>
            <w:shd w:val="clear" w:color="auto" w:fill="D9D9D9"/>
          </w:tcPr>
          <w:p w14:paraId="7FEB7698" w14:textId="77777777" w:rsidR="00AF3581" w:rsidRPr="00506303" w:rsidRDefault="00AF3581" w:rsidP="0067543B">
            <w:pPr>
              <w:rPr>
                <w:sz w:val="18"/>
                <w:szCs w:val="18"/>
              </w:rPr>
            </w:pPr>
          </w:p>
        </w:tc>
        <w:tc>
          <w:tcPr>
            <w:tcW w:w="472" w:type="dxa"/>
            <w:shd w:val="clear" w:color="auto" w:fill="D9D9D9"/>
          </w:tcPr>
          <w:p w14:paraId="07319B89" w14:textId="77777777" w:rsidR="00AF3581" w:rsidRPr="00506303" w:rsidRDefault="00AF3581" w:rsidP="0067543B">
            <w:pPr>
              <w:rPr>
                <w:sz w:val="18"/>
                <w:szCs w:val="18"/>
              </w:rPr>
            </w:pPr>
          </w:p>
        </w:tc>
        <w:tc>
          <w:tcPr>
            <w:tcW w:w="472" w:type="dxa"/>
            <w:shd w:val="clear" w:color="auto" w:fill="D9D9D9"/>
          </w:tcPr>
          <w:p w14:paraId="1528830E" w14:textId="77777777" w:rsidR="00AF3581" w:rsidRPr="00506303" w:rsidRDefault="00AF3581" w:rsidP="0067543B">
            <w:pPr>
              <w:rPr>
                <w:sz w:val="18"/>
                <w:szCs w:val="18"/>
              </w:rPr>
            </w:pPr>
          </w:p>
        </w:tc>
        <w:tc>
          <w:tcPr>
            <w:tcW w:w="473" w:type="dxa"/>
            <w:shd w:val="clear" w:color="auto" w:fill="D9D9D9"/>
          </w:tcPr>
          <w:p w14:paraId="4E3870F9" w14:textId="77777777" w:rsidR="00AF3581" w:rsidRPr="00506303" w:rsidRDefault="00AF3581" w:rsidP="0067543B">
            <w:pPr>
              <w:rPr>
                <w:sz w:val="18"/>
                <w:szCs w:val="18"/>
              </w:rPr>
            </w:pPr>
          </w:p>
        </w:tc>
        <w:tc>
          <w:tcPr>
            <w:tcW w:w="473" w:type="dxa"/>
            <w:shd w:val="clear" w:color="auto" w:fill="D9D9D9"/>
          </w:tcPr>
          <w:p w14:paraId="6652E5D5" w14:textId="77777777" w:rsidR="00AF3581" w:rsidRPr="00506303" w:rsidRDefault="00AF3581" w:rsidP="0067543B">
            <w:pPr>
              <w:rPr>
                <w:sz w:val="18"/>
                <w:szCs w:val="18"/>
              </w:rPr>
            </w:pPr>
          </w:p>
        </w:tc>
        <w:tc>
          <w:tcPr>
            <w:tcW w:w="473" w:type="dxa"/>
            <w:shd w:val="clear" w:color="auto" w:fill="D9D9D9"/>
          </w:tcPr>
          <w:p w14:paraId="1548135E" w14:textId="77777777" w:rsidR="00AF3581" w:rsidRPr="00506303" w:rsidRDefault="00AF3581" w:rsidP="0067543B">
            <w:pPr>
              <w:rPr>
                <w:sz w:val="18"/>
                <w:szCs w:val="18"/>
              </w:rPr>
            </w:pPr>
          </w:p>
        </w:tc>
        <w:tc>
          <w:tcPr>
            <w:tcW w:w="473" w:type="dxa"/>
            <w:shd w:val="clear" w:color="auto" w:fill="D9D9D9"/>
          </w:tcPr>
          <w:p w14:paraId="091BC1B6" w14:textId="77777777" w:rsidR="00AF3581" w:rsidRPr="00506303" w:rsidRDefault="00AF3581" w:rsidP="0067543B">
            <w:pPr>
              <w:rPr>
                <w:sz w:val="18"/>
                <w:szCs w:val="18"/>
              </w:rPr>
            </w:pPr>
          </w:p>
        </w:tc>
        <w:tc>
          <w:tcPr>
            <w:tcW w:w="473" w:type="dxa"/>
            <w:shd w:val="clear" w:color="auto" w:fill="D9D9D9"/>
          </w:tcPr>
          <w:p w14:paraId="08E31E50" w14:textId="77777777" w:rsidR="00AF3581" w:rsidRPr="00506303" w:rsidRDefault="00AF3581" w:rsidP="0067543B">
            <w:pPr>
              <w:rPr>
                <w:sz w:val="18"/>
                <w:szCs w:val="18"/>
              </w:rPr>
            </w:pPr>
          </w:p>
        </w:tc>
        <w:tc>
          <w:tcPr>
            <w:tcW w:w="473" w:type="dxa"/>
            <w:shd w:val="clear" w:color="auto" w:fill="D9D9D9"/>
          </w:tcPr>
          <w:p w14:paraId="0C0EA993" w14:textId="77777777" w:rsidR="00AF3581" w:rsidRPr="00506303" w:rsidRDefault="00AF3581" w:rsidP="0067543B">
            <w:pPr>
              <w:rPr>
                <w:sz w:val="18"/>
                <w:szCs w:val="18"/>
              </w:rPr>
            </w:pPr>
          </w:p>
        </w:tc>
        <w:tc>
          <w:tcPr>
            <w:tcW w:w="473" w:type="dxa"/>
            <w:shd w:val="clear" w:color="auto" w:fill="auto"/>
          </w:tcPr>
          <w:p w14:paraId="298C1CF5" w14:textId="77777777" w:rsidR="00AF3581" w:rsidRPr="00506303" w:rsidRDefault="00AF3581" w:rsidP="0067543B">
            <w:pPr>
              <w:rPr>
                <w:sz w:val="18"/>
                <w:szCs w:val="18"/>
              </w:rPr>
            </w:pPr>
          </w:p>
        </w:tc>
        <w:tc>
          <w:tcPr>
            <w:tcW w:w="473" w:type="dxa"/>
            <w:shd w:val="clear" w:color="auto" w:fill="auto"/>
          </w:tcPr>
          <w:p w14:paraId="7F3FB173" w14:textId="77777777" w:rsidR="00AF3581" w:rsidRPr="00506303" w:rsidRDefault="00AF3581" w:rsidP="0067543B">
            <w:pPr>
              <w:rPr>
                <w:sz w:val="18"/>
                <w:szCs w:val="18"/>
              </w:rPr>
            </w:pPr>
          </w:p>
        </w:tc>
        <w:tc>
          <w:tcPr>
            <w:tcW w:w="473" w:type="dxa"/>
            <w:shd w:val="clear" w:color="auto" w:fill="auto"/>
          </w:tcPr>
          <w:p w14:paraId="49878FCC" w14:textId="77777777" w:rsidR="00AF3581" w:rsidRPr="00506303" w:rsidRDefault="00AF3581" w:rsidP="0067543B">
            <w:pPr>
              <w:rPr>
                <w:sz w:val="18"/>
                <w:szCs w:val="18"/>
              </w:rPr>
            </w:pPr>
          </w:p>
        </w:tc>
        <w:tc>
          <w:tcPr>
            <w:tcW w:w="473" w:type="dxa"/>
            <w:shd w:val="clear" w:color="auto" w:fill="auto"/>
          </w:tcPr>
          <w:p w14:paraId="70A46B3C" w14:textId="77777777" w:rsidR="00AF3581" w:rsidRPr="00506303" w:rsidRDefault="00AF3581" w:rsidP="0067543B">
            <w:pPr>
              <w:rPr>
                <w:sz w:val="18"/>
                <w:szCs w:val="18"/>
              </w:rPr>
            </w:pPr>
          </w:p>
        </w:tc>
      </w:tr>
      <w:tr w:rsidR="00E071AC" w:rsidRPr="00506303" w14:paraId="0AC1FA33" w14:textId="77777777" w:rsidTr="00E071AC">
        <w:tc>
          <w:tcPr>
            <w:tcW w:w="944" w:type="dxa"/>
            <w:shd w:val="clear" w:color="auto" w:fill="auto"/>
          </w:tcPr>
          <w:p w14:paraId="5C6556E2" w14:textId="77777777" w:rsidR="00AF3581" w:rsidRPr="00506303" w:rsidRDefault="00AF3581" w:rsidP="0067543B">
            <w:pPr>
              <w:rPr>
                <w:sz w:val="18"/>
                <w:szCs w:val="18"/>
              </w:rPr>
            </w:pPr>
            <w:r w:rsidRPr="00506303">
              <w:rPr>
                <w:sz w:val="18"/>
                <w:szCs w:val="18"/>
              </w:rPr>
              <w:t>1.4.2</w:t>
            </w:r>
          </w:p>
        </w:tc>
        <w:tc>
          <w:tcPr>
            <w:tcW w:w="3776" w:type="dxa"/>
            <w:shd w:val="clear" w:color="auto" w:fill="auto"/>
          </w:tcPr>
          <w:p w14:paraId="36C30F6B" w14:textId="77777777" w:rsidR="00AF3581" w:rsidRPr="00506303" w:rsidRDefault="00AF3581" w:rsidP="0067543B">
            <w:pPr>
              <w:rPr>
                <w:sz w:val="18"/>
                <w:szCs w:val="18"/>
              </w:rPr>
            </w:pPr>
            <w:r w:rsidRPr="00506303">
              <w:rPr>
                <w:sz w:val="18"/>
                <w:szCs w:val="18"/>
              </w:rPr>
              <w:t>Declare at least 7 wetland areas with protection status (i.e. non-hunting area, nature reserves, protected areas, Ramsar Sites).</w:t>
            </w:r>
          </w:p>
        </w:tc>
        <w:tc>
          <w:tcPr>
            <w:tcW w:w="472" w:type="dxa"/>
            <w:shd w:val="clear" w:color="auto" w:fill="auto"/>
          </w:tcPr>
          <w:p w14:paraId="74334440" w14:textId="77777777" w:rsidR="00AF3581" w:rsidRPr="00506303" w:rsidRDefault="00AF3581" w:rsidP="0067543B">
            <w:pPr>
              <w:rPr>
                <w:sz w:val="18"/>
                <w:szCs w:val="18"/>
              </w:rPr>
            </w:pPr>
          </w:p>
        </w:tc>
        <w:tc>
          <w:tcPr>
            <w:tcW w:w="472" w:type="dxa"/>
            <w:shd w:val="clear" w:color="auto" w:fill="auto"/>
          </w:tcPr>
          <w:p w14:paraId="6DCE36EB" w14:textId="77777777" w:rsidR="00AF3581" w:rsidRPr="00506303" w:rsidRDefault="00AF3581" w:rsidP="0067543B">
            <w:pPr>
              <w:rPr>
                <w:sz w:val="18"/>
                <w:szCs w:val="18"/>
              </w:rPr>
            </w:pPr>
          </w:p>
        </w:tc>
        <w:tc>
          <w:tcPr>
            <w:tcW w:w="472" w:type="dxa"/>
            <w:shd w:val="clear" w:color="auto" w:fill="auto"/>
          </w:tcPr>
          <w:p w14:paraId="1B1DD653" w14:textId="77777777" w:rsidR="00AF3581" w:rsidRPr="00506303" w:rsidRDefault="00AF3581" w:rsidP="0067543B">
            <w:pPr>
              <w:rPr>
                <w:sz w:val="18"/>
                <w:szCs w:val="18"/>
              </w:rPr>
            </w:pPr>
          </w:p>
        </w:tc>
        <w:tc>
          <w:tcPr>
            <w:tcW w:w="472" w:type="dxa"/>
            <w:shd w:val="clear" w:color="auto" w:fill="auto"/>
          </w:tcPr>
          <w:p w14:paraId="62B3F8DB" w14:textId="77777777" w:rsidR="00AF3581" w:rsidRPr="00506303" w:rsidRDefault="00AF3581" w:rsidP="0067543B">
            <w:pPr>
              <w:rPr>
                <w:sz w:val="18"/>
                <w:szCs w:val="18"/>
              </w:rPr>
            </w:pPr>
          </w:p>
        </w:tc>
        <w:tc>
          <w:tcPr>
            <w:tcW w:w="472" w:type="dxa"/>
            <w:shd w:val="clear" w:color="auto" w:fill="auto"/>
          </w:tcPr>
          <w:p w14:paraId="2D5EC712" w14:textId="77777777" w:rsidR="00AF3581" w:rsidRPr="00506303" w:rsidRDefault="00AF3581" w:rsidP="0067543B">
            <w:pPr>
              <w:rPr>
                <w:sz w:val="18"/>
                <w:szCs w:val="18"/>
              </w:rPr>
            </w:pPr>
          </w:p>
        </w:tc>
        <w:tc>
          <w:tcPr>
            <w:tcW w:w="472" w:type="dxa"/>
            <w:shd w:val="clear" w:color="auto" w:fill="auto"/>
          </w:tcPr>
          <w:p w14:paraId="2807CB64" w14:textId="77777777" w:rsidR="00AF3581" w:rsidRPr="00506303" w:rsidRDefault="00AF3581" w:rsidP="0067543B">
            <w:pPr>
              <w:rPr>
                <w:sz w:val="18"/>
                <w:szCs w:val="18"/>
              </w:rPr>
            </w:pPr>
          </w:p>
        </w:tc>
        <w:tc>
          <w:tcPr>
            <w:tcW w:w="472" w:type="dxa"/>
            <w:shd w:val="clear" w:color="auto" w:fill="auto"/>
          </w:tcPr>
          <w:p w14:paraId="4E128A9A" w14:textId="77777777" w:rsidR="00AF3581" w:rsidRPr="00506303" w:rsidRDefault="00AF3581" w:rsidP="0067543B">
            <w:pPr>
              <w:rPr>
                <w:sz w:val="18"/>
                <w:szCs w:val="18"/>
              </w:rPr>
            </w:pPr>
          </w:p>
        </w:tc>
        <w:tc>
          <w:tcPr>
            <w:tcW w:w="472" w:type="dxa"/>
            <w:shd w:val="clear" w:color="auto" w:fill="auto"/>
          </w:tcPr>
          <w:p w14:paraId="385C1687" w14:textId="77777777" w:rsidR="00AF3581" w:rsidRPr="00506303" w:rsidRDefault="00AF3581" w:rsidP="0067543B">
            <w:pPr>
              <w:rPr>
                <w:sz w:val="18"/>
                <w:szCs w:val="18"/>
              </w:rPr>
            </w:pPr>
          </w:p>
        </w:tc>
        <w:tc>
          <w:tcPr>
            <w:tcW w:w="472" w:type="dxa"/>
            <w:shd w:val="clear" w:color="auto" w:fill="auto"/>
          </w:tcPr>
          <w:p w14:paraId="3FD9180D" w14:textId="77777777" w:rsidR="00AF3581" w:rsidRPr="00506303" w:rsidRDefault="00AF3581" w:rsidP="0067543B">
            <w:pPr>
              <w:rPr>
                <w:sz w:val="18"/>
                <w:szCs w:val="18"/>
              </w:rPr>
            </w:pPr>
          </w:p>
        </w:tc>
        <w:tc>
          <w:tcPr>
            <w:tcW w:w="472" w:type="dxa"/>
            <w:shd w:val="clear" w:color="auto" w:fill="auto"/>
          </w:tcPr>
          <w:p w14:paraId="067C90DB" w14:textId="77777777" w:rsidR="00AF3581" w:rsidRPr="00506303" w:rsidRDefault="00AF3581" w:rsidP="0067543B">
            <w:pPr>
              <w:rPr>
                <w:sz w:val="18"/>
                <w:szCs w:val="18"/>
              </w:rPr>
            </w:pPr>
          </w:p>
        </w:tc>
        <w:tc>
          <w:tcPr>
            <w:tcW w:w="473" w:type="dxa"/>
            <w:shd w:val="clear" w:color="auto" w:fill="auto"/>
          </w:tcPr>
          <w:p w14:paraId="73CDC4C6" w14:textId="77777777" w:rsidR="00AF3581" w:rsidRPr="00506303" w:rsidRDefault="00AF3581" w:rsidP="0067543B">
            <w:pPr>
              <w:rPr>
                <w:sz w:val="18"/>
                <w:szCs w:val="18"/>
              </w:rPr>
            </w:pPr>
          </w:p>
        </w:tc>
        <w:tc>
          <w:tcPr>
            <w:tcW w:w="473" w:type="dxa"/>
            <w:shd w:val="clear" w:color="auto" w:fill="auto"/>
          </w:tcPr>
          <w:p w14:paraId="3802C802" w14:textId="77777777" w:rsidR="00AF3581" w:rsidRPr="00506303" w:rsidRDefault="00AF3581" w:rsidP="0067543B">
            <w:pPr>
              <w:rPr>
                <w:sz w:val="18"/>
                <w:szCs w:val="18"/>
              </w:rPr>
            </w:pPr>
          </w:p>
        </w:tc>
        <w:tc>
          <w:tcPr>
            <w:tcW w:w="473" w:type="dxa"/>
            <w:shd w:val="clear" w:color="auto" w:fill="D9D9D9"/>
          </w:tcPr>
          <w:p w14:paraId="5DBFB3BD" w14:textId="77777777" w:rsidR="00AF3581" w:rsidRPr="00506303" w:rsidRDefault="00AF3581" w:rsidP="0067543B">
            <w:pPr>
              <w:rPr>
                <w:sz w:val="18"/>
                <w:szCs w:val="18"/>
              </w:rPr>
            </w:pPr>
          </w:p>
        </w:tc>
        <w:tc>
          <w:tcPr>
            <w:tcW w:w="473" w:type="dxa"/>
            <w:shd w:val="clear" w:color="auto" w:fill="D9D9D9"/>
          </w:tcPr>
          <w:p w14:paraId="1E5F50A6" w14:textId="77777777" w:rsidR="00AF3581" w:rsidRPr="00506303" w:rsidRDefault="00AF3581" w:rsidP="0067543B">
            <w:pPr>
              <w:rPr>
                <w:sz w:val="18"/>
                <w:szCs w:val="18"/>
              </w:rPr>
            </w:pPr>
          </w:p>
        </w:tc>
        <w:tc>
          <w:tcPr>
            <w:tcW w:w="473" w:type="dxa"/>
            <w:shd w:val="clear" w:color="auto" w:fill="D9D9D9"/>
          </w:tcPr>
          <w:p w14:paraId="49A5B4DD" w14:textId="77777777" w:rsidR="00AF3581" w:rsidRPr="00506303" w:rsidRDefault="00AF3581" w:rsidP="0067543B">
            <w:pPr>
              <w:rPr>
                <w:sz w:val="18"/>
                <w:szCs w:val="18"/>
              </w:rPr>
            </w:pPr>
          </w:p>
        </w:tc>
        <w:tc>
          <w:tcPr>
            <w:tcW w:w="473" w:type="dxa"/>
            <w:shd w:val="clear" w:color="auto" w:fill="D9D9D9"/>
          </w:tcPr>
          <w:p w14:paraId="751863D7" w14:textId="77777777" w:rsidR="00AF3581" w:rsidRPr="00506303" w:rsidRDefault="00AF3581" w:rsidP="0067543B">
            <w:pPr>
              <w:rPr>
                <w:sz w:val="18"/>
                <w:szCs w:val="18"/>
              </w:rPr>
            </w:pPr>
          </w:p>
        </w:tc>
        <w:tc>
          <w:tcPr>
            <w:tcW w:w="473" w:type="dxa"/>
            <w:shd w:val="clear" w:color="auto" w:fill="auto"/>
          </w:tcPr>
          <w:p w14:paraId="43BB1BFA" w14:textId="77777777" w:rsidR="00AF3581" w:rsidRPr="00506303" w:rsidRDefault="00AF3581" w:rsidP="0067543B">
            <w:pPr>
              <w:rPr>
                <w:sz w:val="18"/>
                <w:szCs w:val="18"/>
              </w:rPr>
            </w:pPr>
          </w:p>
        </w:tc>
        <w:tc>
          <w:tcPr>
            <w:tcW w:w="473" w:type="dxa"/>
            <w:shd w:val="clear" w:color="auto" w:fill="auto"/>
          </w:tcPr>
          <w:p w14:paraId="7C2D1CCF" w14:textId="77777777" w:rsidR="00AF3581" w:rsidRPr="00506303" w:rsidRDefault="00AF3581" w:rsidP="0067543B">
            <w:pPr>
              <w:rPr>
                <w:sz w:val="18"/>
                <w:szCs w:val="18"/>
              </w:rPr>
            </w:pPr>
          </w:p>
        </w:tc>
        <w:tc>
          <w:tcPr>
            <w:tcW w:w="473" w:type="dxa"/>
            <w:shd w:val="clear" w:color="auto" w:fill="auto"/>
          </w:tcPr>
          <w:p w14:paraId="69B72CFB" w14:textId="77777777" w:rsidR="00AF3581" w:rsidRPr="00506303" w:rsidRDefault="00AF3581" w:rsidP="0067543B">
            <w:pPr>
              <w:rPr>
                <w:sz w:val="18"/>
                <w:szCs w:val="18"/>
              </w:rPr>
            </w:pPr>
          </w:p>
        </w:tc>
        <w:tc>
          <w:tcPr>
            <w:tcW w:w="473" w:type="dxa"/>
            <w:shd w:val="clear" w:color="auto" w:fill="auto"/>
          </w:tcPr>
          <w:p w14:paraId="334575B9" w14:textId="77777777" w:rsidR="00AF3581" w:rsidRPr="00506303" w:rsidRDefault="00AF3581" w:rsidP="0067543B">
            <w:pPr>
              <w:rPr>
                <w:sz w:val="18"/>
                <w:szCs w:val="18"/>
              </w:rPr>
            </w:pPr>
          </w:p>
        </w:tc>
      </w:tr>
      <w:tr w:rsidR="00E071AC" w:rsidRPr="00506303" w14:paraId="7527E728" w14:textId="77777777" w:rsidTr="00E071AC">
        <w:tc>
          <w:tcPr>
            <w:tcW w:w="944" w:type="dxa"/>
            <w:shd w:val="clear" w:color="auto" w:fill="auto"/>
          </w:tcPr>
          <w:p w14:paraId="4EA82EA6" w14:textId="77777777" w:rsidR="00AF3581" w:rsidRPr="00506303" w:rsidRDefault="00AF3581" w:rsidP="0067543B">
            <w:pPr>
              <w:rPr>
                <w:sz w:val="18"/>
                <w:szCs w:val="18"/>
              </w:rPr>
            </w:pPr>
            <w:r w:rsidRPr="00506303">
              <w:rPr>
                <w:sz w:val="18"/>
                <w:szCs w:val="18"/>
              </w:rPr>
              <w:t>1.4.3</w:t>
            </w:r>
          </w:p>
        </w:tc>
        <w:tc>
          <w:tcPr>
            <w:tcW w:w="3776" w:type="dxa"/>
            <w:shd w:val="clear" w:color="auto" w:fill="auto"/>
          </w:tcPr>
          <w:p w14:paraId="25127205" w14:textId="77777777" w:rsidR="00AF3581" w:rsidRPr="00506303" w:rsidRDefault="00AF3581" w:rsidP="0067543B">
            <w:pPr>
              <w:rPr>
                <w:sz w:val="18"/>
                <w:szCs w:val="18"/>
              </w:rPr>
            </w:pPr>
            <w:r w:rsidRPr="00506303">
              <w:rPr>
                <w:sz w:val="18"/>
                <w:szCs w:val="18"/>
              </w:rPr>
              <w:t>Develop, adopt and implement a regional estuary monitoring scheme at the national level</w:t>
            </w:r>
          </w:p>
        </w:tc>
        <w:tc>
          <w:tcPr>
            <w:tcW w:w="472" w:type="dxa"/>
            <w:shd w:val="clear" w:color="auto" w:fill="auto"/>
          </w:tcPr>
          <w:p w14:paraId="4FACE9E1" w14:textId="77777777" w:rsidR="00AF3581" w:rsidRPr="00506303" w:rsidRDefault="00AF3581" w:rsidP="0067543B">
            <w:pPr>
              <w:rPr>
                <w:sz w:val="18"/>
                <w:szCs w:val="18"/>
              </w:rPr>
            </w:pPr>
          </w:p>
        </w:tc>
        <w:tc>
          <w:tcPr>
            <w:tcW w:w="472" w:type="dxa"/>
            <w:shd w:val="clear" w:color="auto" w:fill="auto"/>
          </w:tcPr>
          <w:p w14:paraId="37954231" w14:textId="77777777" w:rsidR="00AF3581" w:rsidRPr="00506303" w:rsidRDefault="00AF3581" w:rsidP="0067543B">
            <w:pPr>
              <w:rPr>
                <w:sz w:val="18"/>
                <w:szCs w:val="18"/>
              </w:rPr>
            </w:pPr>
          </w:p>
        </w:tc>
        <w:tc>
          <w:tcPr>
            <w:tcW w:w="472" w:type="dxa"/>
            <w:shd w:val="clear" w:color="auto" w:fill="auto"/>
          </w:tcPr>
          <w:p w14:paraId="74192964" w14:textId="77777777" w:rsidR="00AF3581" w:rsidRPr="00506303" w:rsidRDefault="00AF3581" w:rsidP="0067543B">
            <w:pPr>
              <w:rPr>
                <w:sz w:val="18"/>
                <w:szCs w:val="18"/>
              </w:rPr>
            </w:pPr>
          </w:p>
        </w:tc>
        <w:tc>
          <w:tcPr>
            <w:tcW w:w="472" w:type="dxa"/>
            <w:shd w:val="clear" w:color="auto" w:fill="auto"/>
          </w:tcPr>
          <w:p w14:paraId="0455C822" w14:textId="77777777" w:rsidR="00AF3581" w:rsidRPr="00506303" w:rsidRDefault="00AF3581" w:rsidP="0067543B">
            <w:pPr>
              <w:rPr>
                <w:sz w:val="18"/>
                <w:szCs w:val="18"/>
              </w:rPr>
            </w:pPr>
          </w:p>
        </w:tc>
        <w:tc>
          <w:tcPr>
            <w:tcW w:w="472" w:type="dxa"/>
            <w:shd w:val="clear" w:color="auto" w:fill="auto"/>
          </w:tcPr>
          <w:p w14:paraId="69EB7BEB" w14:textId="77777777" w:rsidR="00AF3581" w:rsidRPr="00506303" w:rsidRDefault="00AF3581" w:rsidP="0067543B">
            <w:pPr>
              <w:rPr>
                <w:sz w:val="18"/>
                <w:szCs w:val="18"/>
              </w:rPr>
            </w:pPr>
          </w:p>
        </w:tc>
        <w:tc>
          <w:tcPr>
            <w:tcW w:w="472" w:type="dxa"/>
            <w:shd w:val="clear" w:color="auto" w:fill="auto"/>
          </w:tcPr>
          <w:p w14:paraId="09FDCFB9" w14:textId="77777777" w:rsidR="00AF3581" w:rsidRPr="00506303" w:rsidRDefault="00AF3581" w:rsidP="0067543B">
            <w:pPr>
              <w:rPr>
                <w:sz w:val="18"/>
                <w:szCs w:val="18"/>
              </w:rPr>
            </w:pPr>
          </w:p>
        </w:tc>
        <w:tc>
          <w:tcPr>
            <w:tcW w:w="472" w:type="dxa"/>
            <w:shd w:val="clear" w:color="auto" w:fill="auto"/>
          </w:tcPr>
          <w:p w14:paraId="6916AE84" w14:textId="77777777" w:rsidR="00AF3581" w:rsidRPr="00506303" w:rsidRDefault="00AF3581" w:rsidP="0067543B">
            <w:pPr>
              <w:rPr>
                <w:sz w:val="18"/>
                <w:szCs w:val="18"/>
              </w:rPr>
            </w:pPr>
          </w:p>
        </w:tc>
        <w:tc>
          <w:tcPr>
            <w:tcW w:w="472" w:type="dxa"/>
            <w:shd w:val="clear" w:color="auto" w:fill="auto"/>
          </w:tcPr>
          <w:p w14:paraId="2631F4A4" w14:textId="77777777" w:rsidR="00AF3581" w:rsidRPr="00506303" w:rsidRDefault="00AF3581" w:rsidP="0067543B">
            <w:pPr>
              <w:rPr>
                <w:sz w:val="18"/>
                <w:szCs w:val="18"/>
              </w:rPr>
            </w:pPr>
          </w:p>
        </w:tc>
        <w:tc>
          <w:tcPr>
            <w:tcW w:w="472" w:type="dxa"/>
            <w:shd w:val="clear" w:color="auto" w:fill="D9D9D9"/>
          </w:tcPr>
          <w:p w14:paraId="658306A0" w14:textId="77777777" w:rsidR="00AF3581" w:rsidRPr="00506303" w:rsidRDefault="00AF3581" w:rsidP="0067543B">
            <w:pPr>
              <w:rPr>
                <w:sz w:val="18"/>
                <w:szCs w:val="18"/>
              </w:rPr>
            </w:pPr>
          </w:p>
        </w:tc>
        <w:tc>
          <w:tcPr>
            <w:tcW w:w="472" w:type="dxa"/>
            <w:shd w:val="clear" w:color="auto" w:fill="D9D9D9"/>
          </w:tcPr>
          <w:p w14:paraId="6EA21A2A" w14:textId="77777777" w:rsidR="00AF3581" w:rsidRPr="00506303" w:rsidRDefault="00AF3581" w:rsidP="0067543B">
            <w:pPr>
              <w:rPr>
                <w:sz w:val="18"/>
                <w:szCs w:val="18"/>
              </w:rPr>
            </w:pPr>
          </w:p>
        </w:tc>
        <w:tc>
          <w:tcPr>
            <w:tcW w:w="473" w:type="dxa"/>
            <w:shd w:val="clear" w:color="auto" w:fill="D9D9D9"/>
          </w:tcPr>
          <w:p w14:paraId="5BD2A8A1" w14:textId="77777777" w:rsidR="00AF3581" w:rsidRPr="00506303" w:rsidRDefault="00AF3581" w:rsidP="0067543B">
            <w:pPr>
              <w:rPr>
                <w:sz w:val="18"/>
                <w:szCs w:val="18"/>
              </w:rPr>
            </w:pPr>
          </w:p>
        </w:tc>
        <w:tc>
          <w:tcPr>
            <w:tcW w:w="473" w:type="dxa"/>
            <w:shd w:val="clear" w:color="auto" w:fill="D9D9D9"/>
          </w:tcPr>
          <w:p w14:paraId="3B9C0D91" w14:textId="77777777" w:rsidR="00AF3581" w:rsidRPr="00506303" w:rsidRDefault="00AF3581" w:rsidP="0067543B">
            <w:pPr>
              <w:rPr>
                <w:sz w:val="18"/>
                <w:szCs w:val="18"/>
              </w:rPr>
            </w:pPr>
          </w:p>
        </w:tc>
        <w:tc>
          <w:tcPr>
            <w:tcW w:w="473" w:type="dxa"/>
            <w:shd w:val="clear" w:color="auto" w:fill="D9D9D9"/>
          </w:tcPr>
          <w:p w14:paraId="6CC14EC9" w14:textId="77777777" w:rsidR="00AF3581" w:rsidRPr="00506303" w:rsidRDefault="00AF3581" w:rsidP="0067543B">
            <w:pPr>
              <w:rPr>
                <w:sz w:val="18"/>
                <w:szCs w:val="18"/>
              </w:rPr>
            </w:pPr>
          </w:p>
        </w:tc>
        <w:tc>
          <w:tcPr>
            <w:tcW w:w="473" w:type="dxa"/>
            <w:shd w:val="clear" w:color="auto" w:fill="D9D9D9"/>
          </w:tcPr>
          <w:p w14:paraId="4EF8706D" w14:textId="77777777" w:rsidR="00AF3581" w:rsidRPr="00506303" w:rsidRDefault="00AF3581" w:rsidP="0067543B">
            <w:pPr>
              <w:rPr>
                <w:sz w:val="18"/>
                <w:szCs w:val="18"/>
              </w:rPr>
            </w:pPr>
          </w:p>
        </w:tc>
        <w:tc>
          <w:tcPr>
            <w:tcW w:w="473" w:type="dxa"/>
            <w:shd w:val="clear" w:color="auto" w:fill="D9D9D9"/>
          </w:tcPr>
          <w:p w14:paraId="2BFDE5BB" w14:textId="77777777" w:rsidR="00AF3581" w:rsidRPr="00506303" w:rsidRDefault="00AF3581" w:rsidP="0067543B">
            <w:pPr>
              <w:rPr>
                <w:sz w:val="18"/>
                <w:szCs w:val="18"/>
              </w:rPr>
            </w:pPr>
          </w:p>
        </w:tc>
        <w:tc>
          <w:tcPr>
            <w:tcW w:w="473" w:type="dxa"/>
            <w:shd w:val="clear" w:color="auto" w:fill="D9D9D9"/>
          </w:tcPr>
          <w:p w14:paraId="4663127F" w14:textId="77777777" w:rsidR="00AF3581" w:rsidRPr="00506303" w:rsidRDefault="00AF3581" w:rsidP="0067543B">
            <w:pPr>
              <w:rPr>
                <w:sz w:val="18"/>
                <w:szCs w:val="18"/>
              </w:rPr>
            </w:pPr>
          </w:p>
        </w:tc>
        <w:tc>
          <w:tcPr>
            <w:tcW w:w="473" w:type="dxa"/>
            <w:shd w:val="clear" w:color="auto" w:fill="D9D9D9"/>
          </w:tcPr>
          <w:p w14:paraId="61C96AA0" w14:textId="77777777" w:rsidR="00AF3581" w:rsidRPr="00506303" w:rsidRDefault="00AF3581" w:rsidP="0067543B">
            <w:pPr>
              <w:rPr>
                <w:sz w:val="18"/>
                <w:szCs w:val="18"/>
              </w:rPr>
            </w:pPr>
          </w:p>
        </w:tc>
        <w:tc>
          <w:tcPr>
            <w:tcW w:w="473" w:type="dxa"/>
            <w:shd w:val="clear" w:color="auto" w:fill="D9D9D9"/>
          </w:tcPr>
          <w:p w14:paraId="070C69D3" w14:textId="77777777" w:rsidR="00AF3581" w:rsidRPr="00506303" w:rsidRDefault="00AF3581" w:rsidP="0067543B">
            <w:pPr>
              <w:rPr>
                <w:sz w:val="18"/>
                <w:szCs w:val="18"/>
              </w:rPr>
            </w:pPr>
          </w:p>
        </w:tc>
        <w:tc>
          <w:tcPr>
            <w:tcW w:w="473" w:type="dxa"/>
            <w:shd w:val="clear" w:color="auto" w:fill="D9D9D9"/>
          </w:tcPr>
          <w:p w14:paraId="02447423" w14:textId="77777777" w:rsidR="00AF3581" w:rsidRPr="00506303" w:rsidRDefault="00AF3581" w:rsidP="0067543B">
            <w:pPr>
              <w:rPr>
                <w:sz w:val="18"/>
                <w:szCs w:val="18"/>
              </w:rPr>
            </w:pPr>
          </w:p>
        </w:tc>
        <w:tc>
          <w:tcPr>
            <w:tcW w:w="473" w:type="dxa"/>
            <w:shd w:val="clear" w:color="auto" w:fill="D9D9D9"/>
          </w:tcPr>
          <w:p w14:paraId="172803D6" w14:textId="77777777" w:rsidR="00AF3581" w:rsidRPr="00506303" w:rsidRDefault="00AF3581" w:rsidP="0067543B">
            <w:pPr>
              <w:rPr>
                <w:sz w:val="18"/>
                <w:szCs w:val="18"/>
              </w:rPr>
            </w:pPr>
          </w:p>
        </w:tc>
      </w:tr>
      <w:tr w:rsidR="00AF3581" w:rsidRPr="00506303" w14:paraId="0621E29B" w14:textId="77777777" w:rsidTr="00506303">
        <w:tc>
          <w:tcPr>
            <w:tcW w:w="944" w:type="dxa"/>
            <w:shd w:val="clear" w:color="auto" w:fill="BFBFBF"/>
          </w:tcPr>
          <w:p w14:paraId="16DBE624" w14:textId="77777777" w:rsidR="00AF3581" w:rsidRPr="00506303" w:rsidRDefault="00AF3581" w:rsidP="0067543B">
            <w:pPr>
              <w:rPr>
                <w:b/>
                <w:sz w:val="18"/>
                <w:szCs w:val="18"/>
              </w:rPr>
            </w:pPr>
            <w:r w:rsidRPr="00506303">
              <w:rPr>
                <w:b/>
                <w:sz w:val="18"/>
                <w:szCs w:val="18"/>
              </w:rPr>
              <w:t>1.5</w:t>
            </w:r>
          </w:p>
        </w:tc>
        <w:tc>
          <w:tcPr>
            <w:tcW w:w="13226" w:type="dxa"/>
            <w:gridSpan w:val="21"/>
            <w:shd w:val="clear" w:color="auto" w:fill="BFBFBF"/>
          </w:tcPr>
          <w:p w14:paraId="0D18A941" w14:textId="77777777" w:rsidR="00AF3581" w:rsidRPr="00506303" w:rsidRDefault="00AF3581" w:rsidP="0067543B">
            <w:pPr>
              <w:rPr>
                <w:b/>
                <w:sz w:val="18"/>
                <w:szCs w:val="18"/>
              </w:rPr>
            </w:pPr>
            <w:r w:rsidRPr="00506303">
              <w:rPr>
                <w:b/>
                <w:sz w:val="18"/>
                <w:szCs w:val="18"/>
              </w:rPr>
              <w:t>National and regional level cooperation in tracking results of SAP actions for coastal habitat management</w:t>
            </w:r>
          </w:p>
        </w:tc>
      </w:tr>
      <w:tr w:rsidR="00E071AC" w:rsidRPr="00506303" w14:paraId="17278C2A" w14:textId="77777777" w:rsidTr="00E071AC">
        <w:tc>
          <w:tcPr>
            <w:tcW w:w="944" w:type="dxa"/>
            <w:shd w:val="clear" w:color="auto" w:fill="auto"/>
          </w:tcPr>
          <w:p w14:paraId="5CFF0C6E" w14:textId="77777777" w:rsidR="00AF3581" w:rsidRPr="00506303" w:rsidRDefault="00AF3581" w:rsidP="0067543B">
            <w:pPr>
              <w:rPr>
                <w:sz w:val="18"/>
                <w:szCs w:val="18"/>
              </w:rPr>
            </w:pPr>
            <w:r w:rsidRPr="00506303">
              <w:rPr>
                <w:sz w:val="18"/>
                <w:szCs w:val="18"/>
              </w:rPr>
              <w:t>1.5.1</w:t>
            </w:r>
          </w:p>
        </w:tc>
        <w:tc>
          <w:tcPr>
            <w:tcW w:w="3776" w:type="dxa"/>
            <w:shd w:val="clear" w:color="auto" w:fill="auto"/>
          </w:tcPr>
          <w:p w14:paraId="3F8CB3AC" w14:textId="77777777" w:rsidR="00AF3581" w:rsidRPr="00506303" w:rsidRDefault="00AF3581" w:rsidP="0067543B">
            <w:pPr>
              <w:rPr>
                <w:sz w:val="18"/>
                <w:szCs w:val="18"/>
              </w:rPr>
            </w:pPr>
            <w:r w:rsidRPr="00506303">
              <w:rPr>
                <w:sz w:val="18"/>
                <w:szCs w:val="18"/>
              </w:rPr>
              <w:t>Revitalize national committees and regional networks of habitat specialists established under the SCS project</w:t>
            </w:r>
          </w:p>
        </w:tc>
        <w:tc>
          <w:tcPr>
            <w:tcW w:w="472" w:type="dxa"/>
            <w:shd w:val="clear" w:color="auto" w:fill="auto"/>
          </w:tcPr>
          <w:p w14:paraId="13D5B3EA" w14:textId="77777777" w:rsidR="00AF3581" w:rsidRPr="00506303" w:rsidRDefault="00AF3581" w:rsidP="0067543B">
            <w:pPr>
              <w:rPr>
                <w:sz w:val="18"/>
                <w:szCs w:val="18"/>
              </w:rPr>
            </w:pPr>
          </w:p>
        </w:tc>
        <w:tc>
          <w:tcPr>
            <w:tcW w:w="472" w:type="dxa"/>
            <w:shd w:val="clear" w:color="auto" w:fill="D9D9D9"/>
          </w:tcPr>
          <w:p w14:paraId="0863D71A" w14:textId="77777777" w:rsidR="00AF3581" w:rsidRPr="00506303" w:rsidRDefault="00AF3581" w:rsidP="0067543B">
            <w:pPr>
              <w:rPr>
                <w:sz w:val="18"/>
                <w:szCs w:val="18"/>
              </w:rPr>
            </w:pPr>
          </w:p>
        </w:tc>
        <w:tc>
          <w:tcPr>
            <w:tcW w:w="472" w:type="dxa"/>
            <w:shd w:val="clear" w:color="auto" w:fill="auto"/>
          </w:tcPr>
          <w:p w14:paraId="793FB1AC" w14:textId="77777777" w:rsidR="00AF3581" w:rsidRPr="00506303" w:rsidRDefault="00AF3581" w:rsidP="0067543B">
            <w:pPr>
              <w:rPr>
                <w:sz w:val="18"/>
                <w:szCs w:val="18"/>
              </w:rPr>
            </w:pPr>
          </w:p>
        </w:tc>
        <w:tc>
          <w:tcPr>
            <w:tcW w:w="472" w:type="dxa"/>
            <w:shd w:val="clear" w:color="auto" w:fill="auto"/>
          </w:tcPr>
          <w:p w14:paraId="1B8FFA4A" w14:textId="77777777" w:rsidR="00AF3581" w:rsidRPr="00506303" w:rsidRDefault="00AF3581" w:rsidP="0067543B">
            <w:pPr>
              <w:rPr>
                <w:sz w:val="18"/>
                <w:szCs w:val="18"/>
              </w:rPr>
            </w:pPr>
          </w:p>
        </w:tc>
        <w:tc>
          <w:tcPr>
            <w:tcW w:w="472" w:type="dxa"/>
            <w:shd w:val="clear" w:color="auto" w:fill="FFFFFF"/>
          </w:tcPr>
          <w:p w14:paraId="7D81A473" w14:textId="77777777" w:rsidR="00AF3581" w:rsidRPr="00506303" w:rsidRDefault="00AF3581" w:rsidP="0067543B">
            <w:pPr>
              <w:rPr>
                <w:sz w:val="18"/>
                <w:szCs w:val="18"/>
              </w:rPr>
            </w:pPr>
          </w:p>
        </w:tc>
        <w:tc>
          <w:tcPr>
            <w:tcW w:w="472" w:type="dxa"/>
            <w:shd w:val="clear" w:color="auto" w:fill="D9D9D9"/>
          </w:tcPr>
          <w:p w14:paraId="718EB920" w14:textId="77777777" w:rsidR="00AF3581" w:rsidRPr="00506303" w:rsidRDefault="00AF3581" w:rsidP="0067543B">
            <w:pPr>
              <w:rPr>
                <w:sz w:val="18"/>
                <w:szCs w:val="18"/>
              </w:rPr>
            </w:pPr>
          </w:p>
        </w:tc>
        <w:tc>
          <w:tcPr>
            <w:tcW w:w="472" w:type="dxa"/>
            <w:shd w:val="clear" w:color="auto" w:fill="auto"/>
          </w:tcPr>
          <w:p w14:paraId="0B60E974" w14:textId="77777777" w:rsidR="00AF3581" w:rsidRPr="00506303" w:rsidRDefault="00AF3581" w:rsidP="0067543B">
            <w:pPr>
              <w:rPr>
                <w:sz w:val="18"/>
                <w:szCs w:val="18"/>
              </w:rPr>
            </w:pPr>
          </w:p>
        </w:tc>
        <w:tc>
          <w:tcPr>
            <w:tcW w:w="472" w:type="dxa"/>
            <w:shd w:val="clear" w:color="auto" w:fill="auto"/>
          </w:tcPr>
          <w:p w14:paraId="1FE8BF1D" w14:textId="77777777" w:rsidR="00AF3581" w:rsidRPr="00506303" w:rsidRDefault="00AF3581" w:rsidP="0067543B">
            <w:pPr>
              <w:rPr>
                <w:sz w:val="18"/>
                <w:szCs w:val="18"/>
              </w:rPr>
            </w:pPr>
          </w:p>
        </w:tc>
        <w:tc>
          <w:tcPr>
            <w:tcW w:w="472" w:type="dxa"/>
            <w:shd w:val="clear" w:color="auto" w:fill="FFFFFF"/>
          </w:tcPr>
          <w:p w14:paraId="3EF88950" w14:textId="77777777" w:rsidR="00AF3581" w:rsidRPr="00506303" w:rsidRDefault="00AF3581" w:rsidP="0067543B">
            <w:pPr>
              <w:rPr>
                <w:sz w:val="18"/>
                <w:szCs w:val="18"/>
              </w:rPr>
            </w:pPr>
          </w:p>
        </w:tc>
        <w:tc>
          <w:tcPr>
            <w:tcW w:w="472" w:type="dxa"/>
            <w:shd w:val="clear" w:color="auto" w:fill="D9D9D9"/>
          </w:tcPr>
          <w:p w14:paraId="5FB88A5E" w14:textId="77777777" w:rsidR="00AF3581" w:rsidRPr="00506303" w:rsidRDefault="00AF3581" w:rsidP="0067543B">
            <w:pPr>
              <w:rPr>
                <w:sz w:val="18"/>
                <w:szCs w:val="18"/>
              </w:rPr>
            </w:pPr>
          </w:p>
        </w:tc>
        <w:tc>
          <w:tcPr>
            <w:tcW w:w="473" w:type="dxa"/>
            <w:shd w:val="clear" w:color="auto" w:fill="auto"/>
          </w:tcPr>
          <w:p w14:paraId="45A11CDA" w14:textId="77777777" w:rsidR="00AF3581" w:rsidRPr="00506303" w:rsidRDefault="00AF3581" w:rsidP="0067543B">
            <w:pPr>
              <w:rPr>
                <w:sz w:val="18"/>
                <w:szCs w:val="18"/>
              </w:rPr>
            </w:pPr>
          </w:p>
        </w:tc>
        <w:tc>
          <w:tcPr>
            <w:tcW w:w="473" w:type="dxa"/>
            <w:shd w:val="clear" w:color="auto" w:fill="auto"/>
          </w:tcPr>
          <w:p w14:paraId="50DCB5D4" w14:textId="77777777" w:rsidR="00AF3581" w:rsidRPr="00506303" w:rsidRDefault="00AF3581" w:rsidP="0067543B">
            <w:pPr>
              <w:rPr>
                <w:sz w:val="18"/>
                <w:szCs w:val="18"/>
              </w:rPr>
            </w:pPr>
          </w:p>
        </w:tc>
        <w:tc>
          <w:tcPr>
            <w:tcW w:w="473" w:type="dxa"/>
            <w:shd w:val="clear" w:color="auto" w:fill="auto"/>
          </w:tcPr>
          <w:p w14:paraId="3E386FAA" w14:textId="77777777" w:rsidR="00AF3581" w:rsidRPr="00506303" w:rsidRDefault="00AF3581" w:rsidP="0067543B">
            <w:pPr>
              <w:rPr>
                <w:sz w:val="18"/>
                <w:szCs w:val="18"/>
              </w:rPr>
            </w:pPr>
          </w:p>
        </w:tc>
        <w:tc>
          <w:tcPr>
            <w:tcW w:w="473" w:type="dxa"/>
            <w:shd w:val="clear" w:color="auto" w:fill="D9D9D9"/>
          </w:tcPr>
          <w:p w14:paraId="1620AAF2" w14:textId="77777777" w:rsidR="00AF3581" w:rsidRPr="00506303" w:rsidRDefault="00AF3581" w:rsidP="0067543B">
            <w:pPr>
              <w:rPr>
                <w:sz w:val="18"/>
                <w:szCs w:val="18"/>
              </w:rPr>
            </w:pPr>
          </w:p>
        </w:tc>
        <w:tc>
          <w:tcPr>
            <w:tcW w:w="473" w:type="dxa"/>
            <w:shd w:val="clear" w:color="auto" w:fill="auto"/>
          </w:tcPr>
          <w:p w14:paraId="7E4AC5C0" w14:textId="77777777" w:rsidR="00AF3581" w:rsidRPr="00506303" w:rsidRDefault="00AF3581" w:rsidP="0067543B">
            <w:pPr>
              <w:rPr>
                <w:sz w:val="18"/>
                <w:szCs w:val="18"/>
              </w:rPr>
            </w:pPr>
          </w:p>
        </w:tc>
        <w:tc>
          <w:tcPr>
            <w:tcW w:w="473" w:type="dxa"/>
            <w:shd w:val="clear" w:color="auto" w:fill="auto"/>
          </w:tcPr>
          <w:p w14:paraId="15914DAA" w14:textId="77777777" w:rsidR="00AF3581" w:rsidRPr="00506303" w:rsidRDefault="00AF3581" w:rsidP="0067543B">
            <w:pPr>
              <w:rPr>
                <w:sz w:val="18"/>
                <w:szCs w:val="18"/>
              </w:rPr>
            </w:pPr>
          </w:p>
        </w:tc>
        <w:tc>
          <w:tcPr>
            <w:tcW w:w="473" w:type="dxa"/>
            <w:shd w:val="clear" w:color="auto" w:fill="auto"/>
          </w:tcPr>
          <w:p w14:paraId="025D306E" w14:textId="77777777" w:rsidR="00AF3581" w:rsidRPr="00506303" w:rsidRDefault="00AF3581" w:rsidP="0067543B">
            <w:pPr>
              <w:rPr>
                <w:sz w:val="18"/>
                <w:szCs w:val="18"/>
              </w:rPr>
            </w:pPr>
          </w:p>
        </w:tc>
        <w:tc>
          <w:tcPr>
            <w:tcW w:w="473" w:type="dxa"/>
            <w:shd w:val="clear" w:color="auto" w:fill="D9D9D9"/>
          </w:tcPr>
          <w:p w14:paraId="4C178BE1" w14:textId="77777777" w:rsidR="00AF3581" w:rsidRPr="00506303" w:rsidRDefault="00AF3581" w:rsidP="0067543B">
            <w:pPr>
              <w:rPr>
                <w:sz w:val="18"/>
                <w:szCs w:val="18"/>
              </w:rPr>
            </w:pPr>
          </w:p>
        </w:tc>
        <w:tc>
          <w:tcPr>
            <w:tcW w:w="473" w:type="dxa"/>
            <w:shd w:val="clear" w:color="auto" w:fill="auto"/>
          </w:tcPr>
          <w:p w14:paraId="3E5E1F1E" w14:textId="77777777" w:rsidR="00AF3581" w:rsidRPr="00506303" w:rsidRDefault="00AF3581" w:rsidP="0067543B">
            <w:pPr>
              <w:rPr>
                <w:sz w:val="18"/>
                <w:szCs w:val="18"/>
              </w:rPr>
            </w:pPr>
          </w:p>
        </w:tc>
        <w:tc>
          <w:tcPr>
            <w:tcW w:w="473" w:type="dxa"/>
            <w:shd w:val="clear" w:color="auto" w:fill="auto"/>
          </w:tcPr>
          <w:p w14:paraId="3BDC8D5A" w14:textId="77777777" w:rsidR="00AF3581" w:rsidRPr="00506303" w:rsidRDefault="00AF3581" w:rsidP="0067543B">
            <w:pPr>
              <w:rPr>
                <w:sz w:val="18"/>
                <w:szCs w:val="18"/>
              </w:rPr>
            </w:pPr>
          </w:p>
        </w:tc>
      </w:tr>
      <w:tr w:rsidR="00AF3581" w:rsidRPr="00506303" w14:paraId="6966E457" w14:textId="77777777" w:rsidTr="00E071AC">
        <w:tc>
          <w:tcPr>
            <w:tcW w:w="944" w:type="dxa"/>
            <w:shd w:val="clear" w:color="auto" w:fill="auto"/>
          </w:tcPr>
          <w:p w14:paraId="6338F242" w14:textId="77777777" w:rsidR="00AF3581" w:rsidRPr="00506303" w:rsidRDefault="00AF3581" w:rsidP="0067543B">
            <w:pPr>
              <w:rPr>
                <w:sz w:val="18"/>
                <w:szCs w:val="18"/>
              </w:rPr>
            </w:pPr>
            <w:r w:rsidRPr="00506303">
              <w:rPr>
                <w:sz w:val="18"/>
                <w:szCs w:val="18"/>
              </w:rPr>
              <w:t>1.5.2</w:t>
            </w:r>
          </w:p>
        </w:tc>
        <w:tc>
          <w:tcPr>
            <w:tcW w:w="3776" w:type="dxa"/>
            <w:shd w:val="clear" w:color="auto" w:fill="auto"/>
          </w:tcPr>
          <w:p w14:paraId="1AB2C75D" w14:textId="77777777" w:rsidR="00AF3581" w:rsidRPr="00506303" w:rsidRDefault="00AF3581" w:rsidP="0067543B">
            <w:pPr>
              <w:rPr>
                <w:sz w:val="18"/>
                <w:szCs w:val="18"/>
              </w:rPr>
            </w:pPr>
            <w:r w:rsidRPr="00506303">
              <w:rPr>
                <w:sz w:val="18"/>
                <w:szCs w:val="18"/>
              </w:rPr>
              <w:t>Develop mechanism to monitor and evaluate the impacts of SAP implementation and achievement of habitat targets operational [including agreement on standardized methods and guidelines for inventory and assessment]</w:t>
            </w:r>
          </w:p>
        </w:tc>
        <w:tc>
          <w:tcPr>
            <w:tcW w:w="472" w:type="dxa"/>
            <w:shd w:val="clear" w:color="auto" w:fill="D9D9D9"/>
          </w:tcPr>
          <w:p w14:paraId="5796F826" w14:textId="77777777" w:rsidR="00AF3581" w:rsidRPr="00506303" w:rsidRDefault="00AF3581" w:rsidP="0067543B">
            <w:pPr>
              <w:rPr>
                <w:sz w:val="18"/>
                <w:szCs w:val="18"/>
              </w:rPr>
            </w:pPr>
          </w:p>
        </w:tc>
        <w:tc>
          <w:tcPr>
            <w:tcW w:w="472" w:type="dxa"/>
            <w:shd w:val="clear" w:color="auto" w:fill="D9D9D9"/>
          </w:tcPr>
          <w:p w14:paraId="55BAC0F1" w14:textId="77777777" w:rsidR="00AF3581" w:rsidRPr="00506303" w:rsidRDefault="00AF3581" w:rsidP="0067543B">
            <w:pPr>
              <w:rPr>
                <w:sz w:val="18"/>
                <w:szCs w:val="18"/>
              </w:rPr>
            </w:pPr>
          </w:p>
        </w:tc>
        <w:tc>
          <w:tcPr>
            <w:tcW w:w="472" w:type="dxa"/>
            <w:shd w:val="clear" w:color="auto" w:fill="D9D9D9"/>
          </w:tcPr>
          <w:p w14:paraId="7888B00B" w14:textId="77777777" w:rsidR="00AF3581" w:rsidRPr="00506303" w:rsidRDefault="00AF3581" w:rsidP="0067543B">
            <w:pPr>
              <w:rPr>
                <w:sz w:val="18"/>
                <w:szCs w:val="18"/>
              </w:rPr>
            </w:pPr>
          </w:p>
        </w:tc>
        <w:tc>
          <w:tcPr>
            <w:tcW w:w="472" w:type="dxa"/>
            <w:shd w:val="clear" w:color="auto" w:fill="D9D9D9"/>
          </w:tcPr>
          <w:p w14:paraId="2ED695AD" w14:textId="77777777" w:rsidR="00AF3581" w:rsidRPr="00506303" w:rsidRDefault="00AF3581" w:rsidP="0067543B">
            <w:pPr>
              <w:rPr>
                <w:sz w:val="18"/>
                <w:szCs w:val="18"/>
              </w:rPr>
            </w:pPr>
          </w:p>
        </w:tc>
        <w:tc>
          <w:tcPr>
            <w:tcW w:w="472" w:type="dxa"/>
            <w:shd w:val="clear" w:color="auto" w:fill="D9D9D9"/>
          </w:tcPr>
          <w:p w14:paraId="7938D51A" w14:textId="77777777" w:rsidR="00AF3581" w:rsidRPr="00506303" w:rsidRDefault="00AF3581" w:rsidP="0067543B">
            <w:pPr>
              <w:rPr>
                <w:sz w:val="18"/>
                <w:szCs w:val="18"/>
              </w:rPr>
            </w:pPr>
          </w:p>
        </w:tc>
        <w:tc>
          <w:tcPr>
            <w:tcW w:w="472" w:type="dxa"/>
            <w:shd w:val="clear" w:color="auto" w:fill="D9D9D9"/>
          </w:tcPr>
          <w:p w14:paraId="14543CAF" w14:textId="77777777" w:rsidR="00AF3581" w:rsidRPr="00506303" w:rsidRDefault="00AF3581" w:rsidP="0067543B">
            <w:pPr>
              <w:rPr>
                <w:sz w:val="18"/>
                <w:szCs w:val="18"/>
              </w:rPr>
            </w:pPr>
          </w:p>
        </w:tc>
        <w:tc>
          <w:tcPr>
            <w:tcW w:w="472" w:type="dxa"/>
            <w:shd w:val="clear" w:color="auto" w:fill="auto"/>
          </w:tcPr>
          <w:p w14:paraId="7EA8D153" w14:textId="77777777" w:rsidR="00AF3581" w:rsidRPr="00506303" w:rsidRDefault="00AF3581" w:rsidP="0067543B">
            <w:pPr>
              <w:rPr>
                <w:sz w:val="18"/>
                <w:szCs w:val="18"/>
              </w:rPr>
            </w:pPr>
          </w:p>
        </w:tc>
        <w:tc>
          <w:tcPr>
            <w:tcW w:w="472" w:type="dxa"/>
            <w:shd w:val="clear" w:color="auto" w:fill="auto"/>
          </w:tcPr>
          <w:p w14:paraId="2D734F7F" w14:textId="77777777" w:rsidR="00AF3581" w:rsidRPr="00506303" w:rsidRDefault="00AF3581" w:rsidP="0067543B">
            <w:pPr>
              <w:rPr>
                <w:sz w:val="18"/>
                <w:szCs w:val="18"/>
              </w:rPr>
            </w:pPr>
          </w:p>
        </w:tc>
        <w:tc>
          <w:tcPr>
            <w:tcW w:w="472" w:type="dxa"/>
            <w:shd w:val="clear" w:color="auto" w:fill="auto"/>
          </w:tcPr>
          <w:p w14:paraId="3BBD75CE" w14:textId="77777777" w:rsidR="00AF3581" w:rsidRPr="00506303" w:rsidRDefault="00AF3581" w:rsidP="0067543B">
            <w:pPr>
              <w:rPr>
                <w:sz w:val="18"/>
                <w:szCs w:val="18"/>
              </w:rPr>
            </w:pPr>
          </w:p>
        </w:tc>
        <w:tc>
          <w:tcPr>
            <w:tcW w:w="472" w:type="dxa"/>
            <w:shd w:val="clear" w:color="auto" w:fill="auto"/>
          </w:tcPr>
          <w:p w14:paraId="6E5D424A" w14:textId="77777777" w:rsidR="00AF3581" w:rsidRPr="00506303" w:rsidRDefault="00AF3581" w:rsidP="0067543B">
            <w:pPr>
              <w:rPr>
                <w:sz w:val="18"/>
                <w:szCs w:val="18"/>
              </w:rPr>
            </w:pPr>
          </w:p>
        </w:tc>
        <w:tc>
          <w:tcPr>
            <w:tcW w:w="473" w:type="dxa"/>
            <w:shd w:val="clear" w:color="auto" w:fill="auto"/>
          </w:tcPr>
          <w:p w14:paraId="0AC504A7" w14:textId="77777777" w:rsidR="00AF3581" w:rsidRPr="00506303" w:rsidRDefault="00AF3581" w:rsidP="0067543B">
            <w:pPr>
              <w:rPr>
                <w:sz w:val="18"/>
                <w:szCs w:val="18"/>
              </w:rPr>
            </w:pPr>
          </w:p>
        </w:tc>
        <w:tc>
          <w:tcPr>
            <w:tcW w:w="473" w:type="dxa"/>
            <w:shd w:val="clear" w:color="auto" w:fill="auto"/>
          </w:tcPr>
          <w:p w14:paraId="43502035" w14:textId="77777777" w:rsidR="00AF3581" w:rsidRPr="00506303" w:rsidRDefault="00AF3581" w:rsidP="0067543B">
            <w:pPr>
              <w:rPr>
                <w:sz w:val="18"/>
                <w:szCs w:val="18"/>
              </w:rPr>
            </w:pPr>
          </w:p>
        </w:tc>
        <w:tc>
          <w:tcPr>
            <w:tcW w:w="473" w:type="dxa"/>
            <w:shd w:val="clear" w:color="auto" w:fill="auto"/>
          </w:tcPr>
          <w:p w14:paraId="73F06B2A" w14:textId="77777777" w:rsidR="00AF3581" w:rsidRPr="00506303" w:rsidRDefault="00AF3581" w:rsidP="0067543B">
            <w:pPr>
              <w:rPr>
                <w:sz w:val="18"/>
                <w:szCs w:val="18"/>
              </w:rPr>
            </w:pPr>
          </w:p>
        </w:tc>
        <w:tc>
          <w:tcPr>
            <w:tcW w:w="473" w:type="dxa"/>
            <w:shd w:val="clear" w:color="auto" w:fill="auto"/>
          </w:tcPr>
          <w:p w14:paraId="694C2942" w14:textId="77777777" w:rsidR="00AF3581" w:rsidRPr="00506303" w:rsidRDefault="00AF3581" w:rsidP="0067543B">
            <w:pPr>
              <w:rPr>
                <w:sz w:val="18"/>
                <w:szCs w:val="18"/>
              </w:rPr>
            </w:pPr>
          </w:p>
        </w:tc>
        <w:tc>
          <w:tcPr>
            <w:tcW w:w="473" w:type="dxa"/>
            <w:shd w:val="clear" w:color="auto" w:fill="auto"/>
          </w:tcPr>
          <w:p w14:paraId="29D7C4AF" w14:textId="77777777" w:rsidR="00AF3581" w:rsidRPr="00506303" w:rsidRDefault="00AF3581" w:rsidP="0067543B">
            <w:pPr>
              <w:rPr>
                <w:sz w:val="18"/>
                <w:szCs w:val="18"/>
              </w:rPr>
            </w:pPr>
          </w:p>
        </w:tc>
        <w:tc>
          <w:tcPr>
            <w:tcW w:w="473" w:type="dxa"/>
            <w:shd w:val="clear" w:color="auto" w:fill="auto"/>
          </w:tcPr>
          <w:p w14:paraId="55A14324" w14:textId="77777777" w:rsidR="00AF3581" w:rsidRPr="00506303" w:rsidRDefault="00AF3581" w:rsidP="0067543B">
            <w:pPr>
              <w:rPr>
                <w:sz w:val="18"/>
                <w:szCs w:val="18"/>
              </w:rPr>
            </w:pPr>
          </w:p>
        </w:tc>
        <w:tc>
          <w:tcPr>
            <w:tcW w:w="473" w:type="dxa"/>
            <w:shd w:val="clear" w:color="auto" w:fill="auto"/>
          </w:tcPr>
          <w:p w14:paraId="2699A68E" w14:textId="77777777" w:rsidR="00AF3581" w:rsidRPr="00506303" w:rsidRDefault="00AF3581" w:rsidP="0067543B">
            <w:pPr>
              <w:rPr>
                <w:sz w:val="18"/>
                <w:szCs w:val="18"/>
              </w:rPr>
            </w:pPr>
          </w:p>
        </w:tc>
        <w:tc>
          <w:tcPr>
            <w:tcW w:w="473" w:type="dxa"/>
            <w:shd w:val="clear" w:color="auto" w:fill="auto"/>
          </w:tcPr>
          <w:p w14:paraId="6F974D54" w14:textId="77777777" w:rsidR="00AF3581" w:rsidRPr="00506303" w:rsidRDefault="00AF3581" w:rsidP="0067543B">
            <w:pPr>
              <w:rPr>
                <w:sz w:val="18"/>
                <w:szCs w:val="18"/>
              </w:rPr>
            </w:pPr>
          </w:p>
        </w:tc>
        <w:tc>
          <w:tcPr>
            <w:tcW w:w="473" w:type="dxa"/>
            <w:shd w:val="clear" w:color="auto" w:fill="auto"/>
          </w:tcPr>
          <w:p w14:paraId="1A7E951E" w14:textId="77777777" w:rsidR="00AF3581" w:rsidRPr="00506303" w:rsidRDefault="00AF3581" w:rsidP="0067543B">
            <w:pPr>
              <w:rPr>
                <w:sz w:val="18"/>
                <w:szCs w:val="18"/>
              </w:rPr>
            </w:pPr>
          </w:p>
        </w:tc>
        <w:tc>
          <w:tcPr>
            <w:tcW w:w="473" w:type="dxa"/>
            <w:shd w:val="clear" w:color="auto" w:fill="auto"/>
          </w:tcPr>
          <w:p w14:paraId="052B4E48" w14:textId="77777777" w:rsidR="00AF3581" w:rsidRPr="00506303" w:rsidRDefault="00AF3581" w:rsidP="0067543B">
            <w:pPr>
              <w:rPr>
                <w:sz w:val="18"/>
                <w:szCs w:val="18"/>
              </w:rPr>
            </w:pPr>
          </w:p>
        </w:tc>
      </w:tr>
      <w:tr w:rsidR="00E071AC" w:rsidRPr="00506303" w14:paraId="2A560808" w14:textId="77777777" w:rsidTr="00E071AC">
        <w:tc>
          <w:tcPr>
            <w:tcW w:w="944" w:type="dxa"/>
            <w:shd w:val="clear" w:color="auto" w:fill="auto"/>
          </w:tcPr>
          <w:p w14:paraId="2B52C2AF" w14:textId="77777777" w:rsidR="00AF3581" w:rsidRPr="00506303" w:rsidRDefault="00AF3581" w:rsidP="0067543B">
            <w:pPr>
              <w:rPr>
                <w:sz w:val="18"/>
                <w:szCs w:val="18"/>
              </w:rPr>
            </w:pPr>
            <w:r w:rsidRPr="00506303">
              <w:rPr>
                <w:sz w:val="18"/>
                <w:szCs w:val="18"/>
              </w:rPr>
              <w:t>1.5.3</w:t>
            </w:r>
          </w:p>
        </w:tc>
        <w:tc>
          <w:tcPr>
            <w:tcW w:w="3776" w:type="dxa"/>
            <w:shd w:val="clear" w:color="auto" w:fill="auto"/>
          </w:tcPr>
          <w:p w14:paraId="21038EB0" w14:textId="77777777" w:rsidR="00AF3581" w:rsidRPr="00506303" w:rsidRDefault="00AF3581" w:rsidP="0067543B">
            <w:pPr>
              <w:rPr>
                <w:sz w:val="18"/>
                <w:szCs w:val="18"/>
              </w:rPr>
            </w:pPr>
            <w:r w:rsidRPr="00506303">
              <w:rPr>
                <w:sz w:val="18"/>
                <w:szCs w:val="18"/>
              </w:rPr>
              <w:t>Network community leaders and local government from priority habitat sites networked via national and regional round-table meetings to foster cooperation and knowledge sharing on achievements and best practices</w:t>
            </w:r>
          </w:p>
        </w:tc>
        <w:tc>
          <w:tcPr>
            <w:tcW w:w="472" w:type="dxa"/>
            <w:shd w:val="clear" w:color="auto" w:fill="auto"/>
          </w:tcPr>
          <w:p w14:paraId="2085CAFC" w14:textId="77777777" w:rsidR="00AF3581" w:rsidRPr="00506303" w:rsidRDefault="00AF3581" w:rsidP="0067543B">
            <w:pPr>
              <w:rPr>
                <w:sz w:val="18"/>
                <w:szCs w:val="18"/>
              </w:rPr>
            </w:pPr>
          </w:p>
        </w:tc>
        <w:tc>
          <w:tcPr>
            <w:tcW w:w="472" w:type="dxa"/>
            <w:shd w:val="clear" w:color="auto" w:fill="auto"/>
          </w:tcPr>
          <w:p w14:paraId="47C8DF3E" w14:textId="77777777" w:rsidR="00AF3581" w:rsidRPr="00506303" w:rsidRDefault="00AF3581" w:rsidP="0067543B">
            <w:pPr>
              <w:rPr>
                <w:sz w:val="18"/>
                <w:szCs w:val="18"/>
              </w:rPr>
            </w:pPr>
          </w:p>
        </w:tc>
        <w:tc>
          <w:tcPr>
            <w:tcW w:w="472" w:type="dxa"/>
            <w:shd w:val="clear" w:color="auto" w:fill="auto"/>
          </w:tcPr>
          <w:p w14:paraId="0029221F" w14:textId="77777777" w:rsidR="00AF3581" w:rsidRPr="00506303" w:rsidRDefault="00AF3581" w:rsidP="0067543B">
            <w:pPr>
              <w:rPr>
                <w:sz w:val="18"/>
                <w:szCs w:val="18"/>
              </w:rPr>
            </w:pPr>
          </w:p>
        </w:tc>
        <w:tc>
          <w:tcPr>
            <w:tcW w:w="472" w:type="dxa"/>
            <w:shd w:val="clear" w:color="auto" w:fill="auto"/>
          </w:tcPr>
          <w:p w14:paraId="450EB583" w14:textId="77777777" w:rsidR="00AF3581" w:rsidRPr="00506303" w:rsidRDefault="00AF3581" w:rsidP="0067543B">
            <w:pPr>
              <w:rPr>
                <w:sz w:val="18"/>
                <w:szCs w:val="18"/>
              </w:rPr>
            </w:pPr>
          </w:p>
        </w:tc>
        <w:tc>
          <w:tcPr>
            <w:tcW w:w="472" w:type="dxa"/>
            <w:shd w:val="clear" w:color="auto" w:fill="D9D9D9"/>
          </w:tcPr>
          <w:p w14:paraId="6056298C" w14:textId="77777777" w:rsidR="00AF3581" w:rsidRPr="00506303" w:rsidRDefault="00AF3581" w:rsidP="0067543B">
            <w:pPr>
              <w:rPr>
                <w:sz w:val="18"/>
                <w:szCs w:val="18"/>
              </w:rPr>
            </w:pPr>
          </w:p>
        </w:tc>
        <w:tc>
          <w:tcPr>
            <w:tcW w:w="472" w:type="dxa"/>
            <w:shd w:val="clear" w:color="auto" w:fill="D9D9D9"/>
          </w:tcPr>
          <w:p w14:paraId="6484C89B" w14:textId="77777777" w:rsidR="00AF3581" w:rsidRPr="00506303" w:rsidRDefault="00AF3581" w:rsidP="0067543B">
            <w:pPr>
              <w:rPr>
                <w:sz w:val="18"/>
                <w:szCs w:val="18"/>
              </w:rPr>
            </w:pPr>
          </w:p>
        </w:tc>
        <w:tc>
          <w:tcPr>
            <w:tcW w:w="472" w:type="dxa"/>
            <w:shd w:val="clear" w:color="auto" w:fill="D9D9D9"/>
          </w:tcPr>
          <w:p w14:paraId="5510DFF6" w14:textId="77777777" w:rsidR="00AF3581" w:rsidRPr="00506303" w:rsidRDefault="00AF3581" w:rsidP="0067543B">
            <w:pPr>
              <w:rPr>
                <w:sz w:val="18"/>
                <w:szCs w:val="18"/>
              </w:rPr>
            </w:pPr>
          </w:p>
        </w:tc>
        <w:tc>
          <w:tcPr>
            <w:tcW w:w="472" w:type="dxa"/>
            <w:shd w:val="clear" w:color="auto" w:fill="D9D9D9"/>
          </w:tcPr>
          <w:p w14:paraId="036CD1AA" w14:textId="77777777" w:rsidR="00AF3581" w:rsidRPr="00506303" w:rsidRDefault="00AF3581" w:rsidP="0067543B">
            <w:pPr>
              <w:rPr>
                <w:sz w:val="18"/>
                <w:szCs w:val="18"/>
              </w:rPr>
            </w:pPr>
          </w:p>
        </w:tc>
        <w:tc>
          <w:tcPr>
            <w:tcW w:w="472" w:type="dxa"/>
            <w:shd w:val="clear" w:color="auto" w:fill="auto"/>
          </w:tcPr>
          <w:p w14:paraId="00B40C73" w14:textId="77777777" w:rsidR="00AF3581" w:rsidRPr="00506303" w:rsidRDefault="00AF3581" w:rsidP="0067543B">
            <w:pPr>
              <w:rPr>
                <w:sz w:val="18"/>
                <w:szCs w:val="18"/>
              </w:rPr>
            </w:pPr>
          </w:p>
        </w:tc>
        <w:tc>
          <w:tcPr>
            <w:tcW w:w="472" w:type="dxa"/>
            <w:shd w:val="clear" w:color="auto" w:fill="auto"/>
          </w:tcPr>
          <w:p w14:paraId="164E5944" w14:textId="77777777" w:rsidR="00AF3581" w:rsidRPr="00506303" w:rsidRDefault="00AF3581" w:rsidP="0067543B">
            <w:pPr>
              <w:rPr>
                <w:sz w:val="18"/>
                <w:szCs w:val="18"/>
              </w:rPr>
            </w:pPr>
          </w:p>
        </w:tc>
        <w:tc>
          <w:tcPr>
            <w:tcW w:w="473" w:type="dxa"/>
            <w:shd w:val="clear" w:color="auto" w:fill="auto"/>
          </w:tcPr>
          <w:p w14:paraId="56C3561A" w14:textId="77777777" w:rsidR="00AF3581" w:rsidRPr="00506303" w:rsidRDefault="00AF3581" w:rsidP="0067543B">
            <w:pPr>
              <w:rPr>
                <w:sz w:val="18"/>
                <w:szCs w:val="18"/>
              </w:rPr>
            </w:pPr>
          </w:p>
        </w:tc>
        <w:tc>
          <w:tcPr>
            <w:tcW w:w="473" w:type="dxa"/>
            <w:shd w:val="clear" w:color="auto" w:fill="D9D9D9"/>
          </w:tcPr>
          <w:p w14:paraId="1ECB04F8" w14:textId="77777777" w:rsidR="00AF3581" w:rsidRPr="00506303" w:rsidRDefault="00AF3581" w:rsidP="0067543B">
            <w:pPr>
              <w:rPr>
                <w:sz w:val="18"/>
                <w:szCs w:val="18"/>
              </w:rPr>
            </w:pPr>
          </w:p>
        </w:tc>
        <w:tc>
          <w:tcPr>
            <w:tcW w:w="473" w:type="dxa"/>
            <w:shd w:val="clear" w:color="auto" w:fill="auto"/>
          </w:tcPr>
          <w:p w14:paraId="6D8A4DE5" w14:textId="77777777" w:rsidR="00AF3581" w:rsidRPr="00506303" w:rsidRDefault="00AF3581" w:rsidP="0067543B">
            <w:pPr>
              <w:rPr>
                <w:sz w:val="18"/>
                <w:szCs w:val="18"/>
              </w:rPr>
            </w:pPr>
          </w:p>
        </w:tc>
        <w:tc>
          <w:tcPr>
            <w:tcW w:w="473" w:type="dxa"/>
            <w:shd w:val="clear" w:color="auto" w:fill="auto"/>
          </w:tcPr>
          <w:p w14:paraId="6DDB460C" w14:textId="77777777" w:rsidR="00AF3581" w:rsidRPr="00506303" w:rsidRDefault="00AF3581" w:rsidP="0067543B">
            <w:pPr>
              <w:rPr>
                <w:sz w:val="18"/>
                <w:szCs w:val="18"/>
              </w:rPr>
            </w:pPr>
          </w:p>
        </w:tc>
        <w:tc>
          <w:tcPr>
            <w:tcW w:w="473" w:type="dxa"/>
            <w:shd w:val="clear" w:color="auto" w:fill="auto"/>
          </w:tcPr>
          <w:p w14:paraId="101B1DF1" w14:textId="77777777" w:rsidR="00AF3581" w:rsidRPr="00506303" w:rsidRDefault="00AF3581" w:rsidP="0067543B">
            <w:pPr>
              <w:rPr>
                <w:sz w:val="18"/>
                <w:szCs w:val="18"/>
              </w:rPr>
            </w:pPr>
          </w:p>
        </w:tc>
        <w:tc>
          <w:tcPr>
            <w:tcW w:w="473" w:type="dxa"/>
            <w:shd w:val="clear" w:color="auto" w:fill="D9D9D9"/>
          </w:tcPr>
          <w:p w14:paraId="7B586975" w14:textId="77777777" w:rsidR="00AF3581" w:rsidRPr="00506303" w:rsidRDefault="00AF3581" w:rsidP="0067543B">
            <w:pPr>
              <w:rPr>
                <w:sz w:val="18"/>
                <w:szCs w:val="18"/>
              </w:rPr>
            </w:pPr>
          </w:p>
        </w:tc>
        <w:tc>
          <w:tcPr>
            <w:tcW w:w="473" w:type="dxa"/>
            <w:shd w:val="clear" w:color="auto" w:fill="auto"/>
          </w:tcPr>
          <w:p w14:paraId="09D2B594" w14:textId="77777777" w:rsidR="00AF3581" w:rsidRPr="00506303" w:rsidRDefault="00AF3581" w:rsidP="0067543B">
            <w:pPr>
              <w:rPr>
                <w:sz w:val="18"/>
                <w:szCs w:val="18"/>
              </w:rPr>
            </w:pPr>
          </w:p>
        </w:tc>
        <w:tc>
          <w:tcPr>
            <w:tcW w:w="473" w:type="dxa"/>
            <w:shd w:val="clear" w:color="auto" w:fill="auto"/>
          </w:tcPr>
          <w:p w14:paraId="738C9CD8" w14:textId="77777777" w:rsidR="00AF3581" w:rsidRPr="00506303" w:rsidRDefault="00AF3581" w:rsidP="0067543B">
            <w:pPr>
              <w:rPr>
                <w:sz w:val="18"/>
                <w:szCs w:val="18"/>
              </w:rPr>
            </w:pPr>
          </w:p>
        </w:tc>
        <w:tc>
          <w:tcPr>
            <w:tcW w:w="473" w:type="dxa"/>
            <w:shd w:val="clear" w:color="auto" w:fill="auto"/>
          </w:tcPr>
          <w:p w14:paraId="7469FF81" w14:textId="77777777" w:rsidR="00AF3581" w:rsidRPr="00506303" w:rsidRDefault="00AF3581" w:rsidP="0067543B">
            <w:pPr>
              <w:rPr>
                <w:sz w:val="18"/>
                <w:szCs w:val="18"/>
              </w:rPr>
            </w:pPr>
          </w:p>
        </w:tc>
        <w:tc>
          <w:tcPr>
            <w:tcW w:w="473" w:type="dxa"/>
            <w:shd w:val="clear" w:color="auto" w:fill="D9D9D9"/>
          </w:tcPr>
          <w:p w14:paraId="217BED94" w14:textId="77777777" w:rsidR="00AF3581" w:rsidRPr="00506303" w:rsidRDefault="00AF3581" w:rsidP="0067543B">
            <w:pPr>
              <w:rPr>
                <w:sz w:val="18"/>
                <w:szCs w:val="18"/>
              </w:rPr>
            </w:pPr>
          </w:p>
        </w:tc>
      </w:tr>
      <w:tr w:rsidR="00E071AC" w:rsidRPr="00506303" w14:paraId="6EFE654C" w14:textId="77777777" w:rsidTr="00E071AC">
        <w:tc>
          <w:tcPr>
            <w:tcW w:w="944" w:type="dxa"/>
            <w:shd w:val="clear" w:color="auto" w:fill="auto"/>
          </w:tcPr>
          <w:p w14:paraId="417ED666" w14:textId="77777777" w:rsidR="00AF3581" w:rsidRPr="00506303" w:rsidRDefault="00AF3581" w:rsidP="0067543B">
            <w:pPr>
              <w:rPr>
                <w:sz w:val="18"/>
                <w:szCs w:val="18"/>
              </w:rPr>
            </w:pPr>
            <w:r w:rsidRPr="00506303">
              <w:rPr>
                <w:sz w:val="18"/>
                <w:szCs w:val="18"/>
              </w:rPr>
              <w:t>1.5.4</w:t>
            </w:r>
          </w:p>
        </w:tc>
        <w:tc>
          <w:tcPr>
            <w:tcW w:w="3776" w:type="dxa"/>
            <w:shd w:val="clear" w:color="auto" w:fill="auto"/>
          </w:tcPr>
          <w:p w14:paraId="39F3E970" w14:textId="77777777" w:rsidR="00AF3581" w:rsidRPr="00506303" w:rsidRDefault="00AF3581" w:rsidP="0067543B">
            <w:pPr>
              <w:rPr>
                <w:sz w:val="18"/>
                <w:szCs w:val="18"/>
              </w:rPr>
            </w:pPr>
            <w:r w:rsidRPr="00506303">
              <w:rPr>
                <w:sz w:val="18"/>
                <w:szCs w:val="18"/>
              </w:rPr>
              <w:t>Publish biennial state of coastal habitat reports</w:t>
            </w:r>
          </w:p>
        </w:tc>
        <w:tc>
          <w:tcPr>
            <w:tcW w:w="472" w:type="dxa"/>
            <w:shd w:val="clear" w:color="auto" w:fill="auto"/>
          </w:tcPr>
          <w:p w14:paraId="5D4F341E" w14:textId="77777777" w:rsidR="00AF3581" w:rsidRPr="00506303" w:rsidRDefault="00AF3581" w:rsidP="0067543B">
            <w:pPr>
              <w:rPr>
                <w:sz w:val="18"/>
                <w:szCs w:val="18"/>
              </w:rPr>
            </w:pPr>
          </w:p>
        </w:tc>
        <w:tc>
          <w:tcPr>
            <w:tcW w:w="472" w:type="dxa"/>
            <w:shd w:val="clear" w:color="auto" w:fill="auto"/>
          </w:tcPr>
          <w:p w14:paraId="428F5936" w14:textId="77777777" w:rsidR="00AF3581" w:rsidRPr="00506303" w:rsidRDefault="00AF3581" w:rsidP="0067543B">
            <w:pPr>
              <w:rPr>
                <w:sz w:val="18"/>
                <w:szCs w:val="18"/>
              </w:rPr>
            </w:pPr>
          </w:p>
        </w:tc>
        <w:tc>
          <w:tcPr>
            <w:tcW w:w="472" w:type="dxa"/>
            <w:shd w:val="clear" w:color="auto" w:fill="auto"/>
          </w:tcPr>
          <w:p w14:paraId="105E3F31" w14:textId="77777777" w:rsidR="00AF3581" w:rsidRPr="00506303" w:rsidRDefault="00AF3581" w:rsidP="0067543B">
            <w:pPr>
              <w:rPr>
                <w:sz w:val="18"/>
                <w:szCs w:val="18"/>
              </w:rPr>
            </w:pPr>
          </w:p>
        </w:tc>
        <w:tc>
          <w:tcPr>
            <w:tcW w:w="472" w:type="dxa"/>
            <w:shd w:val="clear" w:color="auto" w:fill="auto"/>
          </w:tcPr>
          <w:p w14:paraId="0AAAF4B9" w14:textId="77777777" w:rsidR="00AF3581" w:rsidRPr="00506303" w:rsidRDefault="00AF3581" w:rsidP="0067543B">
            <w:pPr>
              <w:rPr>
                <w:sz w:val="18"/>
                <w:szCs w:val="18"/>
              </w:rPr>
            </w:pPr>
          </w:p>
        </w:tc>
        <w:tc>
          <w:tcPr>
            <w:tcW w:w="472" w:type="dxa"/>
            <w:shd w:val="clear" w:color="auto" w:fill="D9D9D9"/>
          </w:tcPr>
          <w:p w14:paraId="5B7B2057" w14:textId="77777777" w:rsidR="00AF3581" w:rsidRPr="00506303" w:rsidRDefault="00AF3581" w:rsidP="0067543B">
            <w:pPr>
              <w:rPr>
                <w:sz w:val="18"/>
                <w:szCs w:val="18"/>
              </w:rPr>
            </w:pPr>
          </w:p>
        </w:tc>
        <w:tc>
          <w:tcPr>
            <w:tcW w:w="472" w:type="dxa"/>
            <w:shd w:val="clear" w:color="auto" w:fill="FFFFFF"/>
          </w:tcPr>
          <w:p w14:paraId="1D94A038" w14:textId="77777777" w:rsidR="00AF3581" w:rsidRPr="00506303" w:rsidRDefault="00AF3581" w:rsidP="0067543B">
            <w:pPr>
              <w:rPr>
                <w:sz w:val="18"/>
                <w:szCs w:val="18"/>
              </w:rPr>
            </w:pPr>
          </w:p>
        </w:tc>
        <w:tc>
          <w:tcPr>
            <w:tcW w:w="472" w:type="dxa"/>
            <w:shd w:val="clear" w:color="auto" w:fill="auto"/>
          </w:tcPr>
          <w:p w14:paraId="69D34C6C" w14:textId="77777777" w:rsidR="00AF3581" w:rsidRPr="00506303" w:rsidRDefault="00AF3581" w:rsidP="0067543B">
            <w:pPr>
              <w:rPr>
                <w:sz w:val="18"/>
                <w:szCs w:val="18"/>
              </w:rPr>
            </w:pPr>
          </w:p>
        </w:tc>
        <w:tc>
          <w:tcPr>
            <w:tcW w:w="472" w:type="dxa"/>
            <w:shd w:val="clear" w:color="auto" w:fill="auto"/>
          </w:tcPr>
          <w:p w14:paraId="6A27C165" w14:textId="77777777" w:rsidR="00AF3581" w:rsidRPr="00506303" w:rsidRDefault="00AF3581" w:rsidP="0067543B">
            <w:pPr>
              <w:rPr>
                <w:sz w:val="18"/>
                <w:szCs w:val="18"/>
              </w:rPr>
            </w:pPr>
          </w:p>
        </w:tc>
        <w:tc>
          <w:tcPr>
            <w:tcW w:w="472" w:type="dxa"/>
            <w:shd w:val="clear" w:color="auto" w:fill="auto"/>
          </w:tcPr>
          <w:p w14:paraId="12332AB1" w14:textId="77777777" w:rsidR="00AF3581" w:rsidRPr="00506303" w:rsidRDefault="00AF3581" w:rsidP="0067543B">
            <w:pPr>
              <w:rPr>
                <w:sz w:val="18"/>
                <w:szCs w:val="18"/>
              </w:rPr>
            </w:pPr>
          </w:p>
        </w:tc>
        <w:tc>
          <w:tcPr>
            <w:tcW w:w="472" w:type="dxa"/>
            <w:shd w:val="clear" w:color="auto" w:fill="auto"/>
          </w:tcPr>
          <w:p w14:paraId="4FF98A76" w14:textId="77777777" w:rsidR="00AF3581" w:rsidRPr="00506303" w:rsidRDefault="00AF3581" w:rsidP="0067543B">
            <w:pPr>
              <w:rPr>
                <w:sz w:val="18"/>
                <w:szCs w:val="18"/>
              </w:rPr>
            </w:pPr>
          </w:p>
        </w:tc>
        <w:tc>
          <w:tcPr>
            <w:tcW w:w="473" w:type="dxa"/>
            <w:shd w:val="clear" w:color="auto" w:fill="auto"/>
          </w:tcPr>
          <w:p w14:paraId="3341B99E" w14:textId="77777777" w:rsidR="00AF3581" w:rsidRPr="00506303" w:rsidRDefault="00AF3581" w:rsidP="0067543B">
            <w:pPr>
              <w:rPr>
                <w:sz w:val="18"/>
                <w:szCs w:val="18"/>
              </w:rPr>
            </w:pPr>
          </w:p>
        </w:tc>
        <w:tc>
          <w:tcPr>
            <w:tcW w:w="473" w:type="dxa"/>
            <w:shd w:val="clear" w:color="auto" w:fill="auto"/>
          </w:tcPr>
          <w:p w14:paraId="7B7AB9B0" w14:textId="77777777" w:rsidR="00AF3581" w:rsidRPr="00506303" w:rsidRDefault="00AF3581" w:rsidP="0067543B">
            <w:pPr>
              <w:rPr>
                <w:sz w:val="18"/>
                <w:szCs w:val="18"/>
              </w:rPr>
            </w:pPr>
          </w:p>
        </w:tc>
        <w:tc>
          <w:tcPr>
            <w:tcW w:w="473" w:type="dxa"/>
            <w:shd w:val="clear" w:color="auto" w:fill="D9D9D9"/>
          </w:tcPr>
          <w:p w14:paraId="2E32863B" w14:textId="77777777" w:rsidR="00AF3581" w:rsidRPr="00506303" w:rsidRDefault="00AF3581" w:rsidP="0067543B">
            <w:pPr>
              <w:rPr>
                <w:sz w:val="18"/>
                <w:szCs w:val="18"/>
              </w:rPr>
            </w:pPr>
          </w:p>
        </w:tc>
        <w:tc>
          <w:tcPr>
            <w:tcW w:w="473" w:type="dxa"/>
            <w:shd w:val="clear" w:color="auto" w:fill="auto"/>
          </w:tcPr>
          <w:p w14:paraId="6354517C" w14:textId="77777777" w:rsidR="00AF3581" w:rsidRPr="00506303" w:rsidRDefault="00AF3581" w:rsidP="0067543B">
            <w:pPr>
              <w:rPr>
                <w:sz w:val="18"/>
                <w:szCs w:val="18"/>
              </w:rPr>
            </w:pPr>
          </w:p>
        </w:tc>
        <w:tc>
          <w:tcPr>
            <w:tcW w:w="473" w:type="dxa"/>
            <w:shd w:val="clear" w:color="auto" w:fill="auto"/>
          </w:tcPr>
          <w:p w14:paraId="34C6E9E6" w14:textId="77777777" w:rsidR="00AF3581" w:rsidRPr="00506303" w:rsidRDefault="00AF3581" w:rsidP="0067543B">
            <w:pPr>
              <w:rPr>
                <w:sz w:val="18"/>
                <w:szCs w:val="18"/>
              </w:rPr>
            </w:pPr>
          </w:p>
        </w:tc>
        <w:tc>
          <w:tcPr>
            <w:tcW w:w="473" w:type="dxa"/>
            <w:shd w:val="clear" w:color="auto" w:fill="auto"/>
          </w:tcPr>
          <w:p w14:paraId="4E07ECF4" w14:textId="77777777" w:rsidR="00AF3581" w:rsidRPr="00506303" w:rsidRDefault="00AF3581" w:rsidP="0067543B">
            <w:pPr>
              <w:rPr>
                <w:sz w:val="18"/>
                <w:szCs w:val="18"/>
              </w:rPr>
            </w:pPr>
          </w:p>
        </w:tc>
        <w:tc>
          <w:tcPr>
            <w:tcW w:w="473" w:type="dxa"/>
            <w:shd w:val="clear" w:color="auto" w:fill="auto"/>
          </w:tcPr>
          <w:p w14:paraId="211A22A9" w14:textId="77777777" w:rsidR="00AF3581" w:rsidRPr="00506303" w:rsidRDefault="00AF3581" w:rsidP="0067543B">
            <w:pPr>
              <w:rPr>
                <w:sz w:val="18"/>
                <w:szCs w:val="18"/>
              </w:rPr>
            </w:pPr>
          </w:p>
        </w:tc>
        <w:tc>
          <w:tcPr>
            <w:tcW w:w="473" w:type="dxa"/>
            <w:shd w:val="clear" w:color="auto" w:fill="auto"/>
          </w:tcPr>
          <w:p w14:paraId="02B074F5" w14:textId="77777777" w:rsidR="00AF3581" w:rsidRPr="00506303" w:rsidRDefault="00AF3581" w:rsidP="0067543B">
            <w:pPr>
              <w:rPr>
                <w:sz w:val="18"/>
                <w:szCs w:val="18"/>
              </w:rPr>
            </w:pPr>
          </w:p>
        </w:tc>
        <w:tc>
          <w:tcPr>
            <w:tcW w:w="473" w:type="dxa"/>
            <w:shd w:val="clear" w:color="auto" w:fill="auto"/>
          </w:tcPr>
          <w:p w14:paraId="46837A06" w14:textId="77777777" w:rsidR="00AF3581" w:rsidRPr="00506303" w:rsidRDefault="00AF3581" w:rsidP="0067543B">
            <w:pPr>
              <w:rPr>
                <w:sz w:val="18"/>
                <w:szCs w:val="18"/>
              </w:rPr>
            </w:pPr>
          </w:p>
        </w:tc>
        <w:tc>
          <w:tcPr>
            <w:tcW w:w="473" w:type="dxa"/>
            <w:shd w:val="clear" w:color="auto" w:fill="D9D9D9"/>
          </w:tcPr>
          <w:p w14:paraId="3CED19AA" w14:textId="77777777" w:rsidR="00AF3581" w:rsidRPr="00506303" w:rsidRDefault="00AF3581" w:rsidP="0067543B">
            <w:pPr>
              <w:rPr>
                <w:sz w:val="18"/>
                <w:szCs w:val="18"/>
              </w:rPr>
            </w:pPr>
          </w:p>
        </w:tc>
      </w:tr>
    </w:tbl>
    <w:p w14:paraId="30810CF2" w14:textId="77777777" w:rsidR="00AF3581" w:rsidRPr="00770FB2" w:rsidRDefault="00AF3581" w:rsidP="00AF3581">
      <w:pPr>
        <w:rPr>
          <w:sz w:val="18"/>
          <w:szCs w:val="18"/>
        </w:rPr>
      </w:pPr>
    </w:p>
    <w:p w14:paraId="61DA6EF6" w14:textId="77777777" w:rsidR="00AF3581" w:rsidRPr="00770FB2" w:rsidRDefault="00AF3581" w:rsidP="00AF3581">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3321"/>
        <w:gridCol w:w="438"/>
        <w:gridCol w:w="438"/>
        <w:gridCol w:w="438"/>
        <w:gridCol w:w="438"/>
        <w:gridCol w:w="438"/>
        <w:gridCol w:w="438"/>
        <w:gridCol w:w="438"/>
        <w:gridCol w:w="438"/>
        <w:gridCol w:w="438"/>
        <w:gridCol w:w="438"/>
        <w:gridCol w:w="438"/>
        <w:gridCol w:w="438"/>
        <w:gridCol w:w="438"/>
        <w:gridCol w:w="438"/>
        <w:gridCol w:w="438"/>
        <w:gridCol w:w="438"/>
        <w:gridCol w:w="438"/>
        <w:gridCol w:w="438"/>
        <w:gridCol w:w="438"/>
        <w:gridCol w:w="438"/>
      </w:tblGrid>
      <w:tr w:rsidR="00AF3581" w:rsidRPr="00506303" w14:paraId="5155FBDC" w14:textId="77777777" w:rsidTr="00506303">
        <w:trPr>
          <w:tblHeader/>
        </w:trPr>
        <w:tc>
          <w:tcPr>
            <w:tcW w:w="944" w:type="dxa"/>
            <w:shd w:val="clear" w:color="auto" w:fill="auto"/>
          </w:tcPr>
          <w:p w14:paraId="13DFC569" w14:textId="77777777" w:rsidR="00AF3581" w:rsidRPr="00506303" w:rsidRDefault="00AF3581" w:rsidP="0067543B">
            <w:pPr>
              <w:rPr>
                <w:sz w:val="18"/>
                <w:szCs w:val="18"/>
              </w:rPr>
            </w:pPr>
          </w:p>
        </w:tc>
        <w:tc>
          <w:tcPr>
            <w:tcW w:w="3776" w:type="dxa"/>
            <w:shd w:val="clear" w:color="auto" w:fill="auto"/>
          </w:tcPr>
          <w:p w14:paraId="0AA51228" w14:textId="77777777" w:rsidR="00AF3581" w:rsidRPr="00506303" w:rsidRDefault="00AF3581" w:rsidP="0067543B">
            <w:pPr>
              <w:rPr>
                <w:sz w:val="18"/>
                <w:szCs w:val="18"/>
              </w:rPr>
            </w:pPr>
          </w:p>
        </w:tc>
        <w:tc>
          <w:tcPr>
            <w:tcW w:w="1888" w:type="dxa"/>
            <w:gridSpan w:val="4"/>
            <w:shd w:val="clear" w:color="auto" w:fill="auto"/>
          </w:tcPr>
          <w:p w14:paraId="79B6472B" w14:textId="77777777" w:rsidR="00AF3581" w:rsidRPr="00506303" w:rsidRDefault="00AF3581" w:rsidP="00506303">
            <w:pPr>
              <w:jc w:val="center"/>
              <w:rPr>
                <w:b/>
                <w:sz w:val="18"/>
                <w:szCs w:val="18"/>
              </w:rPr>
            </w:pPr>
            <w:r w:rsidRPr="00506303">
              <w:rPr>
                <w:b/>
                <w:sz w:val="18"/>
                <w:szCs w:val="18"/>
              </w:rPr>
              <w:t>Year 1</w:t>
            </w:r>
          </w:p>
        </w:tc>
        <w:tc>
          <w:tcPr>
            <w:tcW w:w="1888" w:type="dxa"/>
            <w:gridSpan w:val="4"/>
            <w:shd w:val="clear" w:color="auto" w:fill="auto"/>
          </w:tcPr>
          <w:p w14:paraId="60D53721" w14:textId="77777777" w:rsidR="00AF3581" w:rsidRPr="00506303" w:rsidRDefault="00AF3581" w:rsidP="00506303">
            <w:pPr>
              <w:jc w:val="center"/>
              <w:rPr>
                <w:b/>
                <w:sz w:val="18"/>
                <w:szCs w:val="18"/>
              </w:rPr>
            </w:pPr>
            <w:r w:rsidRPr="00506303">
              <w:rPr>
                <w:b/>
                <w:sz w:val="18"/>
                <w:szCs w:val="18"/>
              </w:rPr>
              <w:t>Year 2</w:t>
            </w:r>
          </w:p>
        </w:tc>
        <w:tc>
          <w:tcPr>
            <w:tcW w:w="1890" w:type="dxa"/>
            <w:gridSpan w:val="4"/>
            <w:shd w:val="clear" w:color="auto" w:fill="auto"/>
          </w:tcPr>
          <w:p w14:paraId="6EB0C63A" w14:textId="77777777" w:rsidR="00AF3581" w:rsidRPr="00506303" w:rsidRDefault="00AF3581" w:rsidP="00506303">
            <w:pPr>
              <w:jc w:val="center"/>
              <w:rPr>
                <w:b/>
                <w:sz w:val="18"/>
                <w:szCs w:val="18"/>
              </w:rPr>
            </w:pPr>
            <w:r w:rsidRPr="00506303">
              <w:rPr>
                <w:b/>
                <w:sz w:val="18"/>
                <w:szCs w:val="18"/>
              </w:rPr>
              <w:t>Year 3</w:t>
            </w:r>
          </w:p>
        </w:tc>
        <w:tc>
          <w:tcPr>
            <w:tcW w:w="1892" w:type="dxa"/>
            <w:gridSpan w:val="4"/>
            <w:shd w:val="clear" w:color="auto" w:fill="auto"/>
          </w:tcPr>
          <w:p w14:paraId="0EB185BA" w14:textId="77777777" w:rsidR="00AF3581" w:rsidRPr="00506303" w:rsidRDefault="00AF3581" w:rsidP="00506303">
            <w:pPr>
              <w:jc w:val="center"/>
              <w:rPr>
                <w:b/>
                <w:sz w:val="18"/>
                <w:szCs w:val="18"/>
              </w:rPr>
            </w:pPr>
            <w:r w:rsidRPr="00506303">
              <w:rPr>
                <w:b/>
                <w:sz w:val="18"/>
                <w:szCs w:val="18"/>
              </w:rPr>
              <w:t>Year 4</w:t>
            </w:r>
          </w:p>
        </w:tc>
        <w:tc>
          <w:tcPr>
            <w:tcW w:w="1892" w:type="dxa"/>
            <w:gridSpan w:val="4"/>
            <w:shd w:val="clear" w:color="auto" w:fill="auto"/>
          </w:tcPr>
          <w:p w14:paraId="4B63DE5A" w14:textId="77777777" w:rsidR="00AF3581" w:rsidRPr="00506303" w:rsidRDefault="00AF3581" w:rsidP="00506303">
            <w:pPr>
              <w:jc w:val="center"/>
              <w:rPr>
                <w:b/>
                <w:sz w:val="18"/>
                <w:szCs w:val="18"/>
              </w:rPr>
            </w:pPr>
            <w:r w:rsidRPr="00506303">
              <w:rPr>
                <w:b/>
                <w:sz w:val="18"/>
                <w:szCs w:val="18"/>
              </w:rPr>
              <w:t>Year 5</w:t>
            </w:r>
          </w:p>
        </w:tc>
      </w:tr>
      <w:tr w:rsidR="00AF3581" w:rsidRPr="00506303" w14:paraId="1CFA6CAF" w14:textId="77777777" w:rsidTr="00506303">
        <w:trPr>
          <w:tblHeader/>
        </w:trPr>
        <w:tc>
          <w:tcPr>
            <w:tcW w:w="944" w:type="dxa"/>
            <w:shd w:val="clear" w:color="auto" w:fill="auto"/>
          </w:tcPr>
          <w:p w14:paraId="6AAC069A" w14:textId="77777777" w:rsidR="00AF3581" w:rsidRPr="00506303" w:rsidRDefault="00AF3581" w:rsidP="0067543B">
            <w:pPr>
              <w:rPr>
                <w:sz w:val="18"/>
                <w:szCs w:val="18"/>
              </w:rPr>
            </w:pPr>
          </w:p>
        </w:tc>
        <w:tc>
          <w:tcPr>
            <w:tcW w:w="3776" w:type="dxa"/>
            <w:tcBorders>
              <w:bottom w:val="single" w:sz="4" w:space="0" w:color="auto"/>
            </w:tcBorders>
            <w:shd w:val="clear" w:color="auto" w:fill="auto"/>
          </w:tcPr>
          <w:p w14:paraId="6486406C" w14:textId="77777777" w:rsidR="00AF3581" w:rsidRPr="00506303" w:rsidRDefault="00AF3581" w:rsidP="0067543B">
            <w:pPr>
              <w:rPr>
                <w:b/>
                <w:sz w:val="18"/>
                <w:szCs w:val="18"/>
              </w:rPr>
            </w:pPr>
            <w:r w:rsidRPr="00506303">
              <w:rPr>
                <w:b/>
                <w:sz w:val="18"/>
                <w:szCs w:val="18"/>
              </w:rPr>
              <w:t>Activity Description</w:t>
            </w:r>
          </w:p>
        </w:tc>
        <w:tc>
          <w:tcPr>
            <w:tcW w:w="472" w:type="dxa"/>
            <w:tcBorders>
              <w:bottom w:val="single" w:sz="4" w:space="0" w:color="auto"/>
            </w:tcBorders>
            <w:shd w:val="clear" w:color="auto" w:fill="auto"/>
          </w:tcPr>
          <w:p w14:paraId="0D626074" w14:textId="77777777" w:rsidR="00AF3581" w:rsidRPr="00506303" w:rsidRDefault="00AF3581" w:rsidP="00506303">
            <w:pPr>
              <w:jc w:val="center"/>
              <w:rPr>
                <w:b/>
                <w:sz w:val="18"/>
                <w:szCs w:val="18"/>
              </w:rPr>
            </w:pPr>
            <w:r w:rsidRPr="00506303">
              <w:rPr>
                <w:b/>
                <w:sz w:val="18"/>
                <w:szCs w:val="18"/>
              </w:rPr>
              <w:t>1</w:t>
            </w:r>
          </w:p>
        </w:tc>
        <w:tc>
          <w:tcPr>
            <w:tcW w:w="472" w:type="dxa"/>
            <w:tcBorders>
              <w:bottom w:val="single" w:sz="4" w:space="0" w:color="auto"/>
            </w:tcBorders>
            <w:shd w:val="clear" w:color="auto" w:fill="auto"/>
          </w:tcPr>
          <w:p w14:paraId="121B073A" w14:textId="77777777" w:rsidR="00AF3581" w:rsidRPr="00506303" w:rsidRDefault="00AF3581" w:rsidP="00506303">
            <w:pPr>
              <w:jc w:val="center"/>
              <w:rPr>
                <w:b/>
                <w:sz w:val="18"/>
                <w:szCs w:val="18"/>
              </w:rPr>
            </w:pPr>
            <w:r w:rsidRPr="00506303">
              <w:rPr>
                <w:b/>
                <w:sz w:val="18"/>
                <w:szCs w:val="18"/>
              </w:rPr>
              <w:t>2</w:t>
            </w:r>
          </w:p>
        </w:tc>
        <w:tc>
          <w:tcPr>
            <w:tcW w:w="472" w:type="dxa"/>
            <w:tcBorders>
              <w:bottom w:val="single" w:sz="4" w:space="0" w:color="auto"/>
            </w:tcBorders>
            <w:shd w:val="clear" w:color="auto" w:fill="auto"/>
          </w:tcPr>
          <w:p w14:paraId="31F101AE" w14:textId="77777777" w:rsidR="00AF3581" w:rsidRPr="00506303" w:rsidRDefault="00AF3581" w:rsidP="00506303">
            <w:pPr>
              <w:jc w:val="center"/>
              <w:rPr>
                <w:b/>
                <w:sz w:val="18"/>
                <w:szCs w:val="18"/>
              </w:rPr>
            </w:pPr>
            <w:r w:rsidRPr="00506303">
              <w:rPr>
                <w:b/>
                <w:sz w:val="18"/>
                <w:szCs w:val="18"/>
              </w:rPr>
              <w:t>3</w:t>
            </w:r>
          </w:p>
        </w:tc>
        <w:tc>
          <w:tcPr>
            <w:tcW w:w="472" w:type="dxa"/>
            <w:tcBorders>
              <w:bottom w:val="single" w:sz="4" w:space="0" w:color="auto"/>
            </w:tcBorders>
            <w:shd w:val="clear" w:color="auto" w:fill="auto"/>
          </w:tcPr>
          <w:p w14:paraId="05DA403D" w14:textId="77777777" w:rsidR="00AF3581" w:rsidRPr="00506303" w:rsidRDefault="00AF3581" w:rsidP="00506303">
            <w:pPr>
              <w:jc w:val="center"/>
              <w:rPr>
                <w:b/>
                <w:sz w:val="18"/>
                <w:szCs w:val="18"/>
              </w:rPr>
            </w:pPr>
            <w:r w:rsidRPr="00506303">
              <w:rPr>
                <w:b/>
                <w:sz w:val="18"/>
                <w:szCs w:val="18"/>
              </w:rPr>
              <w:t>4</w:t>
            </w:r>
          </w:p>
        </w:tc>
        <w:tc>
          <w:tcPr>
            <w:tcW w:w="472" w:type="dxa"/>
            <w:tcBorders>
              <w:bottom w:val="single" w:sz="4" w:space="0" w:color="auto"/>
            </w:tcBorders>
            <w:shd w:val="clear" w:color="auto" w:fill="auto"/>
          </w:tcPr>
          <w:p w14:paraId="20DF1757" w14:textId="77777777" w:rsidR="00AF3581" w:rsidRPr="00506303" w:rsidRDefault="00AF3581" w:rsidP="00506303">
            <w:pPr>
              <w:jc w:val="center"/>
              <w:rPr>
                <w:b/>
                <w:sz w:val="18"/>
                <w:szCs w:val="18"/>
              </w:rPr>
            </w:pPr>
            <w:r w:rsidRPr="00506303">
              <w:rPr>
                <w:b/>
                <w:sz w:val="18"/>
                <w:szCs w:val="18"/>
              </w:rPr>
              <w:t>1</w:t>
            </w:r>
          </w:p>
        </w:tc>
        <w:tc>
          <w:tcPr>
            <w:tcW w:w="472" w:type="dxa"/>
            <w:tcBorders>
              <w:bottom w:val="single" w:sz="4" w:space="0" w:color="auto"/>
            </w:tcBorders>
            <w:shd w:val="clear" w:color="auto" w:fill="auto"/>
          </w:tcPr>
          <w:p w14:paraId="298F1A68" w14:textId="77777777" w:rsidR="00AF3581" w:rsidRPr="00506303" w:rsidRDefault="00AF3581" w:rsidP="00506303">
            <w:pPr>
              <w:jc w:val="center"/>
              <w:rPr>
                <w:b/>
                <w:sz w:val="18"/>
                <w:szCs w:val="18"/>
              </w:rPr>
            </w:pPr>
            <w:r w:rsidRPr="00506303">
              <w:rPr>
                <w:b/>
                <w:sz w:val="18"/>
                <w:szCs w:val="18"/>
              </w:rPr>
              <w:t>2</w:t>
            </w:r>
          </w:p>
        </w:tc>
        <w:tc>
          <w:tcPr>
            <w:tcW w:w="472" w:type="dxa"/>
            <w:tcBorders>
              <w:bottom w:val="single" w:sz="4" w:space="0" w:color="auto"/>
            </w:tcBorders>
            <w:shd w:val="clear" w:color="auto" w:fill="auto"/>
          </w:tcPr>
          <w:p w14:paraId="71F4CB4A" w14:textId="77777777" w:rsidR="00AF3581" w:rsidRPr="00506303" w:rsidRDefault="00AF3581" w:rsidP="00506303">
            <w:pPr>
              <w:jc w:val="center"/>
              <w:rPr>
                <w:b/>
                <w:sz w:val="18"/>
                <w:szCs w:val="18"/>
              </w:rPr>
            </w:pPr>
            <w:r w:rsidRPr="00506303">
              <w:rPr>
                <w:b/>
                <w:sz w:val="18"/>
                <w:szCs w:val="18"/>
              </w:rPr>
              <w:t>3</w:t>
            </w:r>
          </w:p>
        </w:tc>
        <w:tc>
          <w:tcPr>
            <w:tcW w:w="472" w:type="dxa"/>
            <w:tcBorders>
              <w:bottom w:val="single" w:sz="4" w:space="0" w:color="auto"/>
            </w:tcBorders>
            <w:shd w:val="clear" w:color="auto" w:fill="auto"/>
          </w:tcPr>
          <w:p w14:paraId="5727C8F9" w14:textId="77777777" w:rsidR="00AF3581" w:rsidRPr="00506303" w:rsidRDefault="00AF3581" w:rsidP="00506303">
            <w:pPr>
              <w:jc w:val="center"/>
              <w:rPr>
                <w:b/>
                <w:sz w:val="18"/>
                <w:szCs w:val="18"/>
              </w:rPr>
            </w:pPr>
            <w:r w:rsidRPr="00506303">
              <w:rPr>
                <w:b/>
                <w:sz w:val="18"/>
                <w:szCs w:val="18"/>
              </w:rPr>
              <w:t>4</w:t>
            </w:r>
          </w:p>
        </w:tc>
        <w:tc>
          <w:tcPr>
            <w:tcW w:w="472" w:type="dxa"/>
            <w:tcBorders>
              <w:bottom w:val="single" w:sz="4" w:space="0" w:color="auto"/>
            </w:tcBorders>
            <w:shd w:val="clear" w:color="auto" w:fill="auto"/>
          </w:tcPr>
          <w:p w14:paraId="2C55D24C" w14:textId="77777777" w:rsidR="00AF3581" w:rsidRPr="00506303" w:rsidRDefault="00AF3581" w:rsidP="00506303">
            <w:pPr>
              <w:jc w:val="center"/>
              <w:rPr>
                <w:b/>
                <w:sz w:val="18"/>
                <w:szCs w:val="18"/>
              </w:rPr>
            </w:pPr>
            <w:r w:rsidRPr="00506303">
              <w:rPr>
                <w:b/>
                <w:sz w:val="18"/>
                <w:szCs w:val="18"/>
              </w:rPr>
              <w:t>1</w:t>
            </w:r>
          </w:p>
        </w:tc>
        <w:tc>
          <w:tcPr>
            <w:tcW w:w="472" w:type="dxa"/>
            <w:tcBorders>
              <w:bottom w:val="single" w:sz="4" w:space="0" w:color="auto"/>
            </w:tcBorders>
            <w:shd w:val="clear" w:color="auto" w:fill="auto"/>
          </w:tcPr>
          <w:p w14:paraId="73717F47" w14:textId="77777777" w:rsidR="00AF3581" w:rsidRPr="00506303" w:rsidRDefault="00AF3581" w:rsidP="00506303">
            <w:pPr>
              <w:jc w:val="center"/>
              <w:rPr>
                <w:b/>
                <w:sz w:val="18"/>
                <w:szCs w:val="18"/>
              </w:rPr>
            </w:pPr>
            <w:r w:rsidRPr="00506303">
              <w:rPr>
                <w:b/>
                <w:sz w:val="18"/>
                <w:szCs w:val="18"/>
              </w:rPr>
              <w:t>2</w:t>
            </w:r>
          </w:p>
        </w:tc>
        <w:tc>
          <w:tcPr>
            <w:tcW w:w="473" w:type="dxa"/>
            <w:tcBorders>
              <w:bottom w:val="single" w:sz="4" w:space="0" w:color="auto"/>
            </w:tcBorders>
            <w:shd w:val="clear" w:color="auto" w:fill="auto"/>
          </w:tcPr>
          <w:p w14:paraId="642CC68B" w14:textId="77777777" w:rsidR="00AF3581" w:rsidRPr="00506303" w:rsidRDefault="00AF3581" w:rsidP="00506303">
            <w:pPr>
              <w:jc w:val="center"/>
              <w:rPr>
                <w:b/>
                <w:sz w:val="18"/>
                <w:szCs w:val="18"/>
              </w:rPr>
            </w:pPr>
            <w:r w:rsidRPr="00506303">
              <w:rPr>
                <w:b/>
                <w:sz w:val="18"/>
                <w:szCs w:val="18"/>
              </w:rPr>
              <w:t>3</w:t>
            </w:r>
          </w:p>
        </w:tc>
        <w:tc>
          <w:tcPr>
            <w:tcW w:w="473" w:type="dxa"/>
            <w:tcBorders>
              <w:bottom w:val="single" w:sz="4" w:space="0" w:color="auto"/>
            </w:tcBorders>
            <w:shd w:val="clear" w:color="auto" w:fill="auto"/>
          </w:tcPr>
          <w:p w14:paraId="24C9B729" w14:textId="77777777" w:rsidR="00AF3581" w:rsidRPr="00506303" w:rsidRDefault="00AF3581" w:rsidP="00506303">
            <w:pPr>
              <w:jc w:val="center"/>
              <w:rPr>
                <w:b/>
                <w:sz w:val="18"/>
                <w:szCs w:val="18"/>
              </w:rPr>
            </w:pPr>
            <w:r w:rsidRPr="00506303">
              <w:rPr>
                <w:b/>
                <w:sz w:val="18"/>
                <w:szCs w:val="18"/>
              </w:rPr>
              <w:t>4</w:t>
            </w:r>
          </w:p>
        </w:tc>
        <w:tc>
          <w:tcPr>
            <w:tcW w:w="473" w:type="dxa"/>
            <w:tcBorders>
              <w:bottom w:val="single" w:sz="4" w:space="0" w:color="auto"/>
            </w:tcBorders>
            <w:shd w:val="clear" w:color="auto" w:fill="auto"/>
          </w:tcPr>
          <w:p w14:paraId="6984729D" w14:textId="77777777" w:rsidR="00AF3581" w:rsidRPr="00506303" w:rsidRDefault="00AF3581" w:rsidP="00506303">
            <w:pPr>
              <w:jc w:val="center"/>
              <w:rPr>
                <w:b/>
                <w:sz w:val="18"/>
                <w:szCs w:val="18"/>
              </w:rPr>
            </w:pPr>
            <w:r w:rsidRPr="00506303">
              <w:rPr>
                <w:b/>
                <w:sz w:val="18"/>
                <w:szCs w:val="18"/>
              </w:rPr>
              <w:t>1</w:t>
            </w:r>
          </w:p>
        </w:tc>
        <w:tc>
          <w:tcPr>
            <w:tcW w:w="473" w:type="dxa"/>
            <w:tcBorders>
              <w:bottom w:val="single" w:sz="4" w:space="0" w:color="auto"/>
            </w:tcBorders>
            <w:shd w:val="clear" w:color="auto" w:fill="auto"/>
          </w:tcPr>
          <w:p w14:paraId="192DDF42" w14:textId="77777777" w:rsidR="00AF3581" w:rsidRPr="00506303" w:rsidRDefault="00AF3581" w:rsidP="00506303">
            <w:pPr>
              <w:jc w:val="center"/>
              <w:rPr>
                <w:b/>
                <w:sz w:val="18"/>
                <w:szCs w:val="18"/>
              </w:rPr>
            </w:pPr>
            <w:r w:rsidRPr="00506303">
              <w:rPr>
                <w:b/>
                <w:sz w:val="18"/>
                <w:szCs w:val="18"/>
              </w:rPr>
              <w:t>2</w:t>
            </w:r>
          </w:p>
        </w:tc>
        <w:tc>
          <w:tcPr>
            <w:tcW w:w="473" w:type="dxa"/>
            <w:tcBorders>
              <w:bottom w:val="single" w:sz="4" w:space="0" w:color="auto"/>
            </w:tcBorders>
            <w:shd w:val="clear" w:color="auto" w:fill="auto"/>
          </w:tcPr>
          <w:p w14:paraId="0FDAA1E0" w14:textId="77777777" w:rsidR="00AF3581" w:rsidRPr="00506303" w:rsidRDefault="00AF3581" w:rsidP="00506303">
            <w:pPr>
              <w:jc w:val="center"/>
              <w:rPr>
                <w:b/>
                <w:sz w:val="18"/>
                <w:szCs w:val="18"/>
              </w:rPr>
            </w:pPr>
            <w:r w:rsidRPr="00506303">
              <w:rPr>
                <w:b/>
                <w:sz w:val="18"/>
                <w:szCs w:val="18"/>
              </w:rPr>
              <w:t>3</w:t>
            </w:r>
          </w:p>
        </w:tc>
        <w:tc>
          <w:tcPr>
            <w:tcW w:w="473" w:type="dxa"/>
            <w:tcBorders>
              <w:bottom w:val="single" w:sz="4" w:space="0" w:color="auto"/>
            </w:tcBorders>
            <w:shd w:val="clear" w:color="auto" w:fill="auto"/>
          </w:tcPr>
          <w:p w14:paraId="5180B902" w14:textId="77777777" w:rsidR="00AF3581" w:rsidRPr="00506303" w:rsidRDefault="00AF3581" w:rsidP="00506303">
            <w:pPr>
              <w:jc w:val="center"/>
              <w:rPr>
                <w:b/>
                <w:sz w:val="18"/>
                <w:szCs w:val="18"/>
              </w:rPr>
            </w:pPr>
            <w:r w:rsidRPr="00506303">
              <w:rPr>
                <w:b/>
                <w:sz w:val="18"/>
                <w:szCs w:val="18"/>
              </w:rPr>
              <w:t>4</w:t>
            </w:r>
          </w:p>
        </w:tc>
        <w:tc>
          <w:tcPr>
            <w:tcW w:w="473" w:type="dxa"/>
            <w:tcBorders>
              <w:bottom w:val="single" w:sz="4" w:space="0" w:color="auto"/>
            </w:tcBorders>
            <w:shd w:val="clear" w:color="auto" w:fill="auto"/>
          </w:tcPr>
          <w:p w14:paraId="52466920" w14:textId="77777777" w:rsidR="00AF3581" w:rsidRPr="00506303" w:rsidRDefault="00AF3581" w:rsidP="00506303">
            <w:pPr>
              <w:jc w:val="center"/>
              <w:rPr>
                <w:b/>
                <w:sz w:val="18"/>
                <w:szCs w:val="18"/>
              </w:rPr>
            </w:pPr>
            <w:r w:rsidRPr="00506303">
              <w:rPr>
                <w:b/>
                <w:sz w:val="18"/>
                <w:szCs w:val="18"/>
              </w:rPr>
              <w:t>1</w:t>
            </w:r>
          </w:p>
        </w:tc>
        <w:tc>
          <w:tcPr>
            <w:tcW w:w="473" w:type="dxa"/>
            <w:tcBorders>
              <w:bottom w:val="single" w:sz="4" w:space="0" w:color="auto"/>
            </w:tcBorders>
            <w:shd w:val="clear" w:color="auto" w:fill="auto"/>
          </w:tcPr>
          <w:p w14:paraId="723BE3F0" w14:textId="77777777" w:rsidR="00AF3581" w:rsidRPr="00506303" w:rsidRDefault="00AF3581" w:rsidP="00506303">
            <w:pPr>
              <w:jc w:val="center"/>
              <w:rPr>
                <w:b/>
                <w:sz w:val="18"/>
                <w:szCs w:val="18"/>
              </w:rPr>
            </w:pPr>
            <w:r w:rsidRPr="00506303">
              <w:rPr>
                <w:b/>
                <w:sz w:val="18"/>
                <w:szCs w:val="18"/>
              </w:rPr>
              <w:t>2</w:t>
            </w:r>
          </w:p>
        </w:tc>
        <w:tc>
          <w:tcPr>
            <w:tcW w:w="473" w:type="dxa"/>
            <w:tcBorders>
              <w:bottom w:val="single" w:sz="4" w:space="0" w:color="auto"/>
            </w:tcBorders>
            <w:shd w:val="clear" w:color="auto" w:fill="auto"/>
          </w:tcPr>
          <w:p w14:paraId="7EA45CEE" w14:textId="77777777" w:rsidR="00AF3581" w:rsidRPr="00506303" w:rsidRDefault="00AF3581" w:rsidP="00506303">
            <w:pPr>
              <w:jc w:val="center"/>
              <w:rPr>
                <w:b/>
                <w:sz w:val="18"/>
                <w:szCs w:val="18"/>
              </w:rPr>
            </w:pPr>
            <w:r w:rsidRPr="00506303">
              <w:rPr>
                <w:b/>
                <w:sz w:val="18"/>
                <w:szCs w:val="18"/>
              </w:rPr>
              <w:t>3</w:t>
            </w:r>
          </w:p>
        </w:tc>
        <w:tc>
          <w:tcPr>
            <w:tcW w:w="473" w:type="dxa"/>
            <w:tcBorders>
              <w:bottom w:val="single" w:sz="4" w:space="0" w:color="auto"/>
            </w:tcBorders>
            <w:shd w:val="clear" w:color="auto" w:fill="auto"/>
          </w:tcPr>
          <w:p w14:paraId="028E0249" w14:textId="77777777" w:rsidR="00AF3581" w:rsidRPr="00506303" w:rsidRDefault="00AF3581" w:rsidP="00506303">
            <w:pPr>
              <w:jc w:val="center"/>
              <w:rPr>
                <w:b/>
                <w:sz w:val="18"/>
                <w:szCs w:val="18"/>
              </w:rPr>
            </w:pPr>
            <w:r w:rsidRPr="00506303">
              <w:rPr>
                <w:b/>
                <w:sz w:val="18"/>
                <w:szCs w:val="18"/>
              </w:rPr>
              <w:t>4</w:t>
            </w:r>
          </w:p>
        </w:tc>
      </w:tr>
      <w:tr w:rsidR="00AF3581" w:rsidRPr="00506303" w14:paraId="77F7C6A9" w14:textId="77777777" w:rsidTr="00506303">
        <w:tc>
          <w:tcPr>
            <w:tcW w:w="14170" w:type="dxa"/>
            <w:gridSpan w:val="22"/>
            <w:shd w:val="clear" w:color="auto" w:fill="BFBFBF"/>
          </w:tcPr>
          <w:p w14:paraId="4E2837F6" w14:textId="77777777" w:rsidR="00AF3581" w:rsidRPr="00506303" w:rsidRDefault="00AF3581" w:rsidP="00506303">
            <w:pPr>
              <w:jc w:val="center"/>
              <w:rPr>
                <w:b/>
                <w:sz w:val="18"/>
                <w:szCs w:val="18"/>
              </w:rPr>
            </w:pPr>
            <w:r w:rsidRPr="00506303">
              <w:rPr>
                <w:b/>
                <w:sz w:val="18"/>
                <w:szCs w:val="18"/>
              </w:rPr>
              <w:t>COMPONENT 2: Strengthening knowledge-based action planning for the management of coastal habitats and land-based pollution to reduce environmental degradation of the South China Sea</w:t>
            </w:r>
          </w:p>
        </w:tc>
      </w:tr>
      <w:tr w:rsidR="00AF3581" w:rsidRPr="00506303" w14:paraId="135085F0" w14:textId="77777777" w:rsidTr="00506303">
        <w:tc>
          <w:tcPr>
            <w:tcW w:w="944" w:type="dxa"/>
            <w:shd w:val="clear" w:color="auto" w:fill="D9D9D9"/>
          </w:tcPr>
          <w:p w14:paraId="778D299E" w14:textId="77777777" w:rsidR="00AF3581" w:rsidRPr="00506303" w:rsidRDefault="00AF3581" w:rsidP="0067543B">
            <w:pPr>
              <w:rPr>
                <w:b/>
                <w:sz w:val="18"/>
                <w:szCs w:val="18"/>
              </w:rPr>
            </w:pPr>
            <w:r w:rsidRPr="00506303">
              <w:rPr>
                <w:b/>
                <w:sz w:val="18"/>
                <w:szCs w:val="18"/>
              </w:rPr>
              <w:t>2.1</w:t>
            </w:r>
          </w:p>
        </w:tc>
        <w:tc>
          <w:tcPr>
            <w:tcW w:w="13226" w:type="dxa"/>
            <w:gridSpan w:val="21"/>
            <w:shd w:val="clear" w:color="auto" w:fill="D9D9D9"/>
          </w:tcPr>
          <w:p w14:paraId="7D8285B6" w14:textId="77777777" w:rsidR="00AF3581" w:rsidRPr="00506303" w:rsidRDefault="00AF3581" w:rsidP="0067543B">
            <w:pPr>
              <w:rPr>
                <w:b/>
                <w:sz w:val="18"/>
                <w:szCs w:val="18"/>
              </w:rPr>
            </w:pPr>
            <w:r w:rsidRPr="00506303">
              <w:rPr>
                <w:b/>
                <w:sz w:val="18"/>
                <w:szCs w:val="18"/>
              </w:rPr>
              <w:t>Enhanced information-base for coastal habitat management and action planning</w:t>
            </w:r>
          </w:p>
        </w:tc>
      </w:tr>
      <w:tr w:rsidR="00E071AC" w:rsidRPr="00506303" w14:paraId="42C5D5B0" w14:textId="77777777" w:rsidTr="00E071AC">
        <w:tc>
          <w:tcPr>
            <w:tcW w:w="944" w:type="dxa"/>
            <w:shd w:val="clear" w:color="auto" w:fill="auto"/>
          </w:tcPr>
          <w:p w14:paraId="132F148B" w14:textId="77777777" w:rsidR="00AF3581" w:rsidRPr="00506303" w:rsidRDefault="00AF3581" w:rsidP="0067543B">
            <w:pPr>
              <w:rPr>
                <w:sz w:val="18"/>
                <w:szCs w:val="18"/>
              </w:rPr>
            </w:pPr>
            <w:r w:rsidRPr="00506303">
              <w:rPr>
                <w:sz w:val="18"/>
                <w:szCs w:val="18"/>
              </w:rPr>
              <w:t>2.1.1</w:t>
            </w:r>
          </w:p>
        </w:tc>
        <w:tc>
          <w:tcPr>
            <w:tcW w:w="3776" w:type="dxa"/>
            <w:shd w:val="clear" w:color="auto" w:fill="auto"/>
          </w:tcPr>
          <w:p w14:paraId="1033CF7F" w14:textId="77777777" w:rsidR="00AF3581" w:rsidRPr="00506303" w:rsidRDefault="00AF3581" w:rsidP="0067543B">
            <w:pPr>
              <w:rPr>
                <w:sz w:val="18"/>
                <w:szCs w:val="18"/>
              </w:rPr>
            </w:pPr>
            <w:r w:rsidRPr="00506303">
              <w:rPr>
                <w:sz w:val="18"/>
                <w:szCs w:val="18"/>
              </w:rPr>
              <w:t>Develop and apply algorithms for the interpretation of remotely sensed information and data on coastal habitat associations and zonation</w:t>
            </w:r>
          </w:p>
        </w:tc>
        <w:tc>
          <w:tcPr>
            <w:tcW w:w="472" w:type="dxa"/>
            <w:shd w:val="clear" w:color="auto" w:fill="auto"/>
          </w:tcPr>
          <w:p w14:paraId="2EABFB0D" w14:textId="77777777" w:rsidR="00AF3581" w:rsidRPr="00506303" w:rsidRDefault="00AF3581" w:rsidP="0067543B">
            <w:pPr>
              <w:rPr>
                <w:sz w:val="18"/>
                <w:szCs w:val="18"/>
              </w:rPr>
            </w:pPr>
          </w:p>
        </w:tc>
        <w:tc>
          <w:tcPr>
            <w:tcW w:w="472" w:type="dxa"/>
            <w:shd w:val="clear" w:color="auto" w:fill="auto"/>
          </w:tcPr>
          <w:p w14:paraId="16CAF93E" w14:textId="77777777" w:rsidR="00AF3581" w:rsidRPr="00506303" w:rsidRDefault="00AF3581" w:rsidP="0067543B">
            <w:pPr>
              <w:rPr>
                <w:sz w:val="18"/>
                <w:szCs w:val="18"/>
              </w:rPr>
            </w:pPr>
          </w:p>
        </w:tc>
        <w:tc>
          <w:tcPr>
            <w:tcW w:w="472" w:type="dxa"/>
            <w:shd w:val="clear" w:color="auto" w:fill="auto"/>
          </w:tcPr>
          <w:p w14:paraId="03C878FF" w14:textId="77777777" w:rsidR="00AF3581" w:rsidRPr="00506303" w:rsidRDefault="00AF3581" w:rsidP="0067543B">
            <w:pPr>
              <w:rPr>
                <w:sz w:val="18"/>
                <w:szCs w:val="18"/>
              </w:rPr>
            </w:pPr>
          </w:p>
        </w:tc>
        <w:tc>
          <w:tcPr>
            <w:tcW w:w="472" w:type="dxa"/>
            <w:shd w:val="clear" w:color="auto" w:fill="auto"/>
          </w:tcPr>
          <w:p w14:paraId="3CD68E54" w14:textId="77777777" w:rsidR="00AF3581" w:rsidRPr="00506303" w:rsidRDefault="00AF3581" w:rsidP="0067543B">
            <w:pPr>
              <w:rPr>
                <w:sz w:val="18"/>
                <w:szCs w:val="18"/>
              </w:rPr>
            </w:pPr>
          </w:p>
        </w:tc>
        <w:tc>
          <w:tcPr>
            <w:tcW w:w="472" w:type="dxa"/>
            <w:shd w:val="clear" w:color="auto" w:fill="D9D9D9"/>
          </w:tcPr>
          <w:p w14:paraId="0E1EEF21" w14:textId="77777777" w:rsidR="00AF3581" w:rsidRPr="00506303" w:rsidRDefault="00AF3581" w:rsidP="0067543B">
            <w:pPr>
              <w:rPr>
                <w:sz w:val="18"/>
                <w:szCs w:val="18"/>
              </w:rPr>
            </w:pPr>
          </w:p>
        </w:tc>
        <w:tc>
          <w:tcPr>
            <w:tcW w:w="472" w:type="dxa"/>
            <w:shd w:val="clear" w:color="auto" w:fill="D9D9D9"/>
          </w:tcPr>
          <w:p w14:paraId="53C88AD2" w14:textId="77777777" w:rsidR="00AF3581" w:rsidRPr="00506303" w:rsidRDefault="00AF3581" w:rsidP="0067543B">
            <w:pPr>
              <w:rPr>
                <w:sz w:val="18"/>
                <w:szCs w:val="18"/>
              </w:rPr>
            </w:pPr>
          </w:p>
        </w:tc>
        <w:tc>
          <w:tcPr>
            <w:tcW w:w="472" w:type="dxa"/>
            <w:shd w:val="clear" w:color="auto" w:fill="D9D9D9"/>
          </w:tcPr>
          <w:p w14:paraId="4F827F38" w14:textId="77777777" w:rsidR="00AF3581" w:rsidRPr="00506303" w:rsidRDefault="00AF3581" w:rsidP="0067543B">
            <w:pPr>
              <w:rPr>
                <w:sz w:val="18"/>
                <w:szCs w:val="18"/>
              </w:rPr>
            </w:pPr>
          </w:p>
        </w:tc>
        <w:tc>
          <w:tcPr>
            <w:tcW w:w="472" w:type="dxa"/>
            <w:shd w:val="clear" w:color="auto" w:fill="D9D9D9"/>
          </w:tcPr>
          <w:p w14:paraId="5C575485" w14:textId="77777777" w:rsidR="00AF3581" w:rsidRPr="00506303" w:rsidRDefault="00AF3581" w:rsidP="0067543B">
            <w:pPr>
              <w:rPr>
                <w:sz w:val="18"/>
                <w:szCs w:val="18"/>
              </w:rPr>
            </w:pPr>
          </w:p>
        </w:tc>
        <w:tc>
          <w:tcPr>
            <w:tcW w:w="472" w:type="dxa"/>
            <w:shd w:val="clear" w:color="auto" w:fill="auto"/>
          </w:tcPr>
          <w:p w14:paraId="1D524F9B" w14:textId="77777777" w:rsidR="00AF3581" w:rsidRPr="00506303" w:rsidRDefault="00AF3581" w:rsidP="0067543B">
            <w:pPr>
              <w:rPr>
                <w:sz w:val="18"/>
                <w:szCs w:val="18"/>
              </w:rPr>
            </w:pPr>
          </w:p>
        </w:tc>
        <w:tc>
          <w:tcPr>
            <w:tcW w:w="472" w:type="dxa"/>
            <w:shd w:val="clear" w:color="auto" w:fill="auto"/>
          </w:tcPr>
          <w:p w14:paraId="79C4A640" w14:textId="77777777" w:rsidR="00AF3581" w:rsidRPr="00506303" w:rsidRDefault="00AF3581" w:rsidP="0067543B">
            <w:pPr>
              <w:rPr>
                <w:sz w:val="18"/>
                <w:szCs w:val="18"/>
              </w:rPr>
            </w:pPr>
          </w:p>
        </w:tc>
        <w:tc>
          <w:tcPr>
            <w:tcW w:w="473" w:type="dxa"/>
            <w:shd w:val="clear" w:color="auto" w:fill="auto"/>
          </w:tcPr>
          <w:p w14:paraId="082AE741" w14:textId="77777777" w:rsidR="00AF3581" w:rsidRPr="00506303" w:rsidRDefault="00AF3581" w:rsidP="0067543B">
            <w:pPr>
              <w:rPr>
                <w:sz w:val="18"/>
                <w:szCs w:val="18"/>
              </w:rPr>
            </w:pPr>
          </w:p>
        </w:tc>
        <w:tc>
          <w:tcPr>
            <w:tcW w:w="473" w:type="dxa"/>
            <w:shd w:val="clear" w:color="auto" w:fill="auto"/>
          </w:tcPr>
          <w:p w14:paraId="70F661C8" w14:textId="77777777" w:rsidR="00AF3581" w:rsidRPr="00506303" w:rsidRDefault="00AF3581" w:rsidP="0067543B">
            <w:pPr>
              <w:rPr>
                <w:sz w:val="18"/>
                <w:szCs w:val="18"/>
              </w:rPr>
            </w:pPr>
          </w:p>
        </w:tc>
        <w:tc>
          <w:tcPr>
            <w:tcW w:w="473" w:type="dxa"/>
            <w:shd w:val="clear" w:color="auto" w:fill="auto"/>
          </w:tcPr>
          <w:p w14:paraId="37122633" w14:textId="77777777" w:rsidR="00AF3581" w:rsidRPr="00506303" w:rsidRDefault="00AF3581" w:rsidP="0067543B">
            <w:pPr>
              <w:rPr>
                <w:sz w:val="18"/>
                <w:szCs w:val="18"/>
              </w:rPr>
            </w:pPr>
          </w:p>
        </w:tc>
        <w:tc>
          <w:tcPr>
            <w:tcW w:w="473" w:type="dxa"/>
            <w:shd w:val="clear" w:color="auto" w:fill="auto"/>
          </w:tcPr>
          <w:p w14:paraId="4E5045C6" w14:textId="77777777" w:rsidR="00AF3581" w:rsidRPr="00506303" w:rsidRDefault="00AF3581" w:rsidP="0067543B">
            <w:pPr>
              <w:rPr>
                <w:sz w:val="18"/>
                <w:szCs w:val="18"/>
              </w:rPr>
            </w:pPr>
          </w:p>
        </w:tc>
        <w:tc>
          <w:tcPr>
            <w:tcW w:w="473" w:type="dxa"/>
            <w:shd w:val="clear" w:color="auto" w:fill="auto"/>
          </w:tcPr>
          <w:p w14:paraId="78918F33" w14:textId="77777777" w:rsidR="00AF3581" w:rsidRPr="00506303" w:rsidRDefault="00AF3581" w:rsidP="0067543B">
            <w:pPr>
              <w:rPr>
                <w:sz w:val="18"/>
                <w:szCs w:val="18"/>
              </w:rPr>
            </w:pPr>
          </w:p>
        </w:tc>
        <w:tc>
          <w:tcPr>
            <w:tcW w:w="473" w:type="dxa"/>
            <w:shd w:val="clear" w:color="auto" w:fill="auto"/>
          </w:tcPr>
          <w:p w14:paraId="032F824E" w14:textId="77777777" w:rsidR="00AF3581" w:rsidRPr="00506303" w:rsidRDefault="00AF3581" w:rsidP="0067543B">
            <w:pPr>
              <w:rPr>
                <w:sz w:val="18"/>
                <w:szCs w:val="18"/>
              </w:rPr>
            </w:pPr>
          </w:p>
        </w:tc>
        <w:tc>
          <w:tcPr>
            <w:tcW w:w="473" w:type="dxa"/>
            <w:shd w:val="clear" w:color="auto" w:fill="auto"/>
          </w:tcPr>
          <w:p w14:paraId="50A697AB" w14:textId="77777777" w:rsidR="00AF3581" w:rsidRPr="00506303" w:rsidRDefault="00AF3581" w:rsidP="0067543B">
            <w:pPr>
              <w:rPr>
                <w:sz w:val="18"/>
                <w:szCs w:val="18"/>
              </w:rPr>
            </w:pPr>
          </w:p>
        </w:tc>
        <w:tc>
          <w:tcPr>
            <w:tcW w:w="473" w:type="dxa"/>
            <w:shd w:val="clear" w:color="auto" w:fill="auto"/>
          </w:tcPr>
          <w:p w14:paraId="221550D8" w14:textId="77777777" w:rsidR="00AF3581" w:rsidRPr="00506303" w:rsidRDefault="00AF3581" w:rsidP="0067543B">
            <w:pPr>
              <w:rPr>
                <w:sz w:val="18"/>
                <w:szCs w:val="18"/>
              </w:rPr>
            </w:pPr>
          </w:p>
        </w:tc>
        <w:tc>
          <w:tcPr>
            <w:tcW w:w="473" w:type="dxa"/>
            <w:shd w:val="clear" w:color="auto" w:fill="auto"/>
          </w:tcPr>
          <w:p w14:paraId="26CB3128" w14:textId="77777777" w:rsidR="00AF3581" w:rsidRPr="00506303" w:rsidRDefault="00AF3581" w:rsidP="0067543B">
            <w:pPr>
              <w:rPr>
                <w:sz w:val="18"/>
                <w:szCs w:val="18"/>
              </w:rPr>
            </w:pPr>
          </w:p>
        </w:tc>
        <w:tc>
          <w:tcPr>
            <w:tcW w:w="473" w:type="dxa"/>
            <w:shd w:val="clear" w:color="auto" w:fill="auto"/>
          </w:tcPr>
          <w:p w14:paraId="5C299855" w14:textId="77777777" w:rsidR="00AF3581" w:rsidRPr="00506303" w:rsidRDefault="00AF3581" w:rsidP="0067543B">
            <w:pPr>
              <w:rPr>
                <w:sz w:val="18"/>
                <w:szCs w:val="18"/>
              </w:rPr>
            </w:pPr>
          </w:p>
        </w:tc>
      </w:tr>
      <w:tr w:rsidR="00E071AC" w:rsidRPr="00506303" w14:paraId="5E985F26" w14:textId="77777777" w:rsidTr="00E071AC">
        <w:tc>
          <w:tcPr>
            <w:tcW w:w="944" w:type="dxa"/>
            <w:shd w:val="clear" w:color="auto" w:fill="auto"/>
          </w:tcPr>
          <w:p w14:paraId="3AA38E7D" w14:textId="77777777" w:rsidR="00AF3581" w:rsidRPr="00506303" w:rsidRDefault="00AF3581" w:rsidP="0067543B">
            <w:pPr>
              <w:rPr>
                <w:sz w:val="18"/>
                <w:szCs w:val="18"/>
              </w:rPr>
            </w:pPr>
            <w:r w:rsidRPr="00506303">
              <w:rPr>
                <w:sz w:val="18"/>
                <w:szCs w:val="18"/>
              </w:rPr>
              <w:t>2.1.2</w:t>
            </w:r>
          </w:p>
        </w:tc>
        <w:tc>
          <w:tcPr>
            <w:tcW w:w="3776" w:type="dxa"/>
            <w:shd w:val="clear" w:color="auto" w:fill="auto"/>
          </w:tcPr>
          <w:p w14:paraId="2F9E2B2D" w14:textId="77777777" w:rsidR="00AF3581" w:rsidRPr="00506303" w:rsidRDefault="00AF3581" w:rsidP="0067543B">
            <w:pPr>
              <w:rPr>
                <w:sz w:val="18"/>
                <w:szCs w:val="18"/>
              </w:rPr>
            </w:pPr>
            <w:r w:rsidRPr="00506303">
              <w:rPr>
                <w:sz w:val="18"/>
                <w:szCs w:val="18"/>
              </w:rPr>
              <w:t>Establish mechanism for collection and exchange of regional coastal habitat information and data</w:t>
            </w:r>
          </w:p>
        </w:tc>
        <w:tc>
          <w:tcPr>
            <w:tcW w:w="472" w:type="dxa"/>
            <w:shd w:val="clear" w:color="auto" w:fill="auto"/>
          </w:tcPr>
          <w:p w14:paraId="61EB280D" w14:textId="77777777" w:rsidR="00AF3581" w:rsidRPr="00506303" w:rsidRDefault="00AF3581" w:rsidP="0067543B">
            <w:pPr>
              <w:rPr>
                <w:sz w:val="18"/>
                <w:szCs w:val="18"/>
              </w:rPr>
            </w:pPr>
          </w:p>
        </w:tc>
        <w:tc>
          <w:tcPr>
            <w:tcW w:w="472" w:type="dxa"/>
            <w:shd w:val="clear" w:color="auto" w:fill="auto"/>
          </w:tcPr>
          <w:p w14:paraId="156C583C" w14:textId="77777777" w:rsidR="00AF3581" w:rsidRPr="00506303" w:rsidRDefault="00AF3581" w:rsidP="0067543B">
            <w:pPr>
              <w:rPr>
                <w:sz w:val="18"/>
                <w:szCs w:val="18"/>
              </w:rPr>
            </w:pPr>
          </w:p>
        </w:tc>
        <w:tc>
          <w:tcPr>
            <w:tcW w:w="472" w:type="dxa"/>
            <w:shd w:val="clear" w:color="auto" w:fill="D9D9D9"/>
          </w:tcPr>
          <w:p w14:paraId="7881C3A5" w14:textId="77777777" w:rsidR="00AF3581" w:rsidRPr="00506303" w:rsidRDefault="00AF3581" w:rsidP="0067543B">
            <w:pPr>
              <w:rPr>
                <w:sz w:val="18"/>
                <w:szCs w:val="18"/>
              </w:rPr>
            </w:pPr>
          </w:p>
        </w:tc>
        <w:tc>
          <w:tcPr>
            <w:tcW w:w="472" w:type="dxa"/>
            <w:shd w:val="clear" w:color="auto" w:fill="D9D9D9"/>
          </w:tcPr>
          <w:p w14:paraId="253B8695" w14:textId="77777777" w:rsidR="00AF3581" w:rsidRPr="00506303" w:rsidRDefault="00AF3581" w:rsidP="0067543B">
            <w:pPr>
              <w:rPr>
                <w:sz w:val="18"/>
                <w:szCs w:val="18"/>
              </w:rPr>
            </w:pPr>
          </w:p>
        </w:tc>
        <w:tc>
          <w:tcPr>
            <w:tcW w:w="472" w:type="dxa"/>
            <w:shd w:val="clear" w:color="auto" w:fill="D9D9D9"/>
          </w:tcPr>
          <w:p w14:paraId="77A6BC7F" w14:textId="77777777" w:rsidR="00AF3581" w:rsidRPr="00506303" w:rsidRDefault="00AF3581" w:rsidP="0067543B">
            <w:pPr>
              <w:rPr>
                <w:sz w:val="18"/>
                <w:szCs w:val="18"/>
              </w:rPr>
            </w:pPr>
          </w:p>
        </w:tc>
        <w:tc>
          <w:tcPr>
            <w:tcW w:w="472" w:type="dxa"/>
            <w:shd w:val="clear" w:color="auto" w:fill="D9D9D9"/>
          </w:tcPr>
          <w:p w14:paraId="529A4115" w14:textId="77777777" w:rsidR="00AF3581" w:rsidRPr="00506303" w:rsidRDefault="00AF3581" w:rsidP="0067543B">
            <w:pPr>
              <w:rPr>
                <w:sz w:val="18"/>
                <w:szCs w:val="18"/>
              </w:rPr>
            </w:pPr>
          </w:p>
        </w:tc>
        <w:tc>
          <w:tcPr>
            <w:tcW w:w="472" w:type="dxa"/>
            <w:shd w:val="clear" w:color="auto" w:fill="D9D9D9"/>
          </w:tcPr>
          <w:p w14:paraId="02BFA0AB" w14:textId="77777777" w:rsidR="00AF3581" w:rsidRPr="00506303" w:rsidRDefault="00AF3581" w:rsidP="0067543B">
            <w:pPr>
              <w:rPr>
                <w:sz w:val="18"/>
                <w:szCs w:val="18"/>
              </w:rPr>
            </w:pPr>
          </w:p>
        </w:tc>
        <w:tc>
          <w:tcPr>
            <w:tcW w:w="472" w:type="dxa"/>
            <w:shd w:val="clear" w:color="auto" w:fill="D9D9D9"/>
          </w:tcPr>
          <w:p w14:paraId="0C837207" w14:textId="77777777" w:rsidR="00AF3581" w:rsidRPr="00506303" w:rsidRDefault="00AF3581" w:rsidP="0067543B">
            <w:pPr>
              <w:rPr>
                <w:sz w:val="18"/>
                <w:szCs w:val="18"/>
              </w:rPr>
            </w:pPr>
          </w:p>
        </w:tc>
        <w:tc>
          <w:tcPr>
            <w:tcW w:w="472" w:type="dxa"/>
            <w:shd w:val="clear" w:color="auto" w:fill="D9D9D9"/>
          </w:tcPr>
          <w:p w14:paraId="29BA28F9" w14:textId="77777777" w:rsidR="00AF3581" w:rsidRPr="00506303" w:rsidRDefault="00AF3581" w:rsidP="0067543B">
            <w:pPr>
              <w:rPr>
                <w:sz w:val="18"/>
                <w:szCs w:val="18"/>
              </w:rPr>
            </w:pPr>
          </w:p>
        </w:tc>
        <w:tc>
          <w:tcPr>
            <w:tcW w:w="472" w:type="dxa"/>
            <w:shd w:val="clear" w:color="auto" w:fill="D9D9D9"/>
          </w:tcPr>
          <w:p w14:paraId="65C2AC4A" w14:textId="77777777" w:rsidR="00AF3581" w:rsidRPr="00506303" w:rsidRDefault="00AF3581" w:rsidP="0067543B">
            <w:pPr>
              <w:rPr>
                <w:sz w:val="18"/>
                <w:szCs w:val="18"/>
              </w:rPr>
            </w:pPr>
          </w:p>
        </w:tc>
        <w:tc>
          <w:tcPr>
            <w:tcW w:w="473" w:type="dxa"/>
            <w:shd w:val="clear" w:color="auto" w:fill="D9D9D9"/>
          </w:tcPr>
          <w:p w14:paraId="78588DA6" w14:textId="77777777" w:rsidR="00AF3581" w:rsidRPr="00506303" w:rsidRDefault="00AF3581" w:rsidP="0067543B">
            <w:pPr>
              <w:rPr>
                <w:sz w:val="18"/>
                <w:szCs w:val="18"/>
              </w:rPr>
            </w:pPr>
          </w:p>
        </w:tc>
        <w:tc>
          <w:tcPr>
            <w:tcW w:w="473" w:type="dxa"/>
            <w:shd w:val="clear" w:color="auto" w:fill="D9D9D9"/>
          </w:tcPr>
          <w:p w14:paraId="783F1E13" w14:textId="77777777" w:rsidR="00AF3581" w:rsidRPr="00506303" w:rsidRDefault="00AF3581" w:rsidP="0067543B">
            <w:pPr>
              <w:rPr>
                <w:sz w:val="18"/>
                <w:szCs w:val="18"/>
              </w:rPr>
            </w:pPr>
          </w:p>
        </w:tc>
        <w:tc>
          <w:tcPr>
            <w:tcW w:w="473" w:type="dxa"/>
            <w:shd w:val="clear" w:color="auto" w:fill="D9D9D9"/>
          </w:tcPr>
          <w:p w14:paraId="2871BA03" w14:textId="77777777" w:rsidR="00AF3581" w:rsidRPr="00506303" w:rsidRDefault="00AF3581" w:rsidP="0067543B">
            <w:pPr>
              <w:rPr>
                <w:sz w:val="18"/>
                <w:szCs w:val="18"/>
              </w:rPr>
            </w:pPr>
          </w:p>
        </w:tc>
        <w:tc>
          <w:tcPr>
            <w:tcW w:w="473" w:type="dxa"/>
            <w:shd w:val="clear" w:color="auto" w:fill="D9D9D9"/>
          </w:tcPr>
          <w:p w14:paraId="2DF9C95A" w14:textId="77777777" w:rsidR="00AF3581" w:rsidRPr="00506303" w:rsidRDefault="00AF3581" w:rsidP="0067543B">
            <w:pPr>
              <w:rPr>
                <w:sz w:val="18"/>
                <w:szCs w:val="18"/>
              </w:rPr>
            </w:pPr>
          </w:p>
        </w:tc>
        <w:tc>
          <w:tcPr>
            <w:tcW w:w="473" w:type="dxa"/>
            <w:shd w:val="clear" w:color="auto" w:fill="D9D9D9"/>
          </w:tcPr>
          <w:p w14:paraId="62AE4760" w14:textId="77777777" w:rsidR="00AF3581" w:rsidRPr="00506303" w:rsidRDefault="00AF3581" w:rsidP="0067543B">
            <w:pPr>
              <w:rPr>
                <w:sz w:val="18"/>
                <w:szCs w:val="18"/>
              </w:rPr>
            </w:pPr>
          </w:p>
        </w:tc>
        <w:tc>
          <w:tcPr>
            <w:tcW w:w="473" w:type="dxa"/>
            <w:shd w:val="clear" w:color="auto" w:fill="D9D9D9"/>
          </w:tcPr>
          <w:p w14:paraId="52F52B3B" w14:textId="77777777" w:rsidR="00AF3581" w:rsidRPr="00506303" w:rsidRDefault="00AF3581" w:rsidP="0067543B">
            <w:pPr>
              <w:rPr>
                <w:sz w:val="18"/>
                <w:szCs w:val="18"/>
              </w:rPr>
            </w:pPr>
          </w:p>
        </w:tc>
        <w:tc>
          <w:tcPr>
            <w:tcW w:w="473" w:type="dxa"/>
            <w:shd w:val="clear" w:color="auto" w:fill="D9D9D9"/>
          </w:tcPr>
          <w:p w14:paraId="22884BDB" w14:textId="77777777" w:rsidR="00AF3581" w:rsidRPr="00506303" w:rsidRDefault="00AF3581" w:rsidP="0067543B">
            <w:pPr>
              <w:rPr>
                <w:sz w:val="18"/>
                <w:szCs w:val="18"/>
              </w:rPr>
            </w:pPr>
          </w:p>
        </w:tc>
        <w:tc>
          <w:tcPr>
            <w:tcW w:w="473" w:type="dxa"/>
            <w:shd w:val="clear" w:color="auto" w:fill="D9D9D9"/>
          </w:tcPr>
          <w:p w14:paraId="61D2C6BB" w14:textId="77777777" w:rsidR="00AF3581" w:rsidRPr="00506303" w:rsidRDefault="00AF3581" w:rsidP="0067543B">
            <w:pPr>
              <w:rPr>
                <w:sz w:val="18"/>
                <w:szCs w:val="18"/>
              </w:rPr>
            </w:pPr>
          </w:p>
        </w:tc>
        <w:tc>
          <w:tcPr>
            <w:tcW w:w="473" w:type="dxa"/>
            <w:shd w:val="clear" w:color="auto" w:fill="D9D9D9"/>
          </w:tcPr>
          <w:p w14:paraId="6E1EDA48" w14:textId="77777777" w:rsidR="00AF3581" w:rsidRPr="00506303" w:rsidRDefault="00AF3581" w:rsidP="0067543B">
            <w:pPr>
              <w:rPr>
                <w:sz w:val="18"/>
                <w:szCs w:val="18"/>
              </w:rPr>
            </w:pPr>
          </w:p>
        </w:tc>
        <w:tc>
          <w:tcPr>
            <w:tcW w:w="473" w:type="dxa"/>
            <w:shd w:val="clear" w:color="auto" w:fill="D9D9D9"/>
          </w:tcPr>
          <w:p w14:paraId="30A90101" w14:textId="77777777" w:rsidR="00AF3581" w:rsidRPr="00506303" w:rsidRDefault="00AF3581" w:rsidP="0067543B">
            <w:pPr>
              <w:rPr>
                <w:sz w:val="18"/>
                <w:szCs w:val="18"/>
              </w:rPr>
            </w:pPr>
          </w:p>
        </w:tc>
      </w:tr>
      <w:tr w:rsidR="00E071AC" w:rsidRPr="00506303" w14:paraId="223063E0" w14:textId="77777777" w:rsidTr="00E071AC">
        <w:tc>
          <w:tcPr>
            <w:tcW w:w="944" w:type="dxa"/>
            <w:shd w:val="clear" w:color="auto" w:fill="auto"/>
          </w:tcPr>
          <w:p w14:paraId="16872234" w14:textId="77777777" w:rsidR="00AF3581" w:rsidRPr="00506303" w:rsidRDefault="00AF3581" w:rsidP="0067543B">
            <w:pPr>
              <w:rPr>
                <w:sz w:val="18"/>
                <w:szCs w:val="18"/>
              </w:rPr>
            </w:pPr>
            <w:r w:rsidRPr="00506303">
              <w:rPr>
                <w:sz w:val="18"/>
                <w:szCs w:val="18"/>
              </w:rPr>
              <w:t>2.1.3</w:t>
            </w:r>
          </w:p>
        </w:tc>
        <w:tc>
          <w:tcPr>
            <w:tcW w:w="3776" w:type="dxa"/>
            <w:shd w:val="clear" w:color="auto" w:fill="auto"/>
          </w:tcPr>
          <w:p w14:paraId="5937DFDC" w14:textId="77777777" w:rsidR="00AF3581" w:rsidRPr="00506303" w:rsidRDefault="00AF3581" w:rsidP="0067543B">
            <w:pPr>
              <w:rPr>
                <w:sz w:val="18"/>
                <w:szCs w:val="18"/>
              </w:rPr>
            </w:pPr>
            <w:r w:rsidRPr="00506303">
              <w:rPr>
                <w:sz w:val="18"/>
                <w:szCs w:val="18"/>
              </w:rPr>
              <w:t>Quantify the role of coastal habitats of the South China Sea in the sequestration and storage of carbon</w:t>
            </w:r>
          </w:p>
        </w:tc>
        <w:tc>
          <w:tcPr>
            <w:tcW w:w="472" w:type="dxa"/>
            <w:shd w:val="clear" w:color="auto" w:fill="auto"/>
          </w:tcPr>
          <w:p w14:paraId="4F93D2E3" w14:textId="77777777" w:rsidR="00AF3581" w:rsidRPr="00506303" w:rsidRDefault="00AF3581" w:rsidP="0067543B">
            <w:pPr>
              <w:rPr>
                <w:sz w:val="18"/>
                <w:szCs w:val="18"/>
              </w:rPr>
            </w:pPr>
          </w:p>
        </w:tc>
        <w:tc>
          <w:tcPr>
            <w:tcW w:w="472" w:type="dxa"/>
            <w:shd w:val="clear" w:color="auto" w:fill="auto"/>
          </w:tcPr>
          <w:p w14:paraId="750E31BE" w14:textId="77777777" w:rsidR="00AF3581" w:rsidRPr="00506303" w:rsidRDefault="00AF3581" w:rsidP="0067543B">
            <w:pPr>
              <w:rPr>
                <w:sz w:val="18"/>
                <w:szCs w:val="18"/>
              </w:rPr>
            </w:pPr>
          </w:p>
        </w:tc>
        <w:tc>
          <w:tcPr>
            <w:tcW w:w="472" w:type="dxa"/>
            <w:shd w:val="clear" w:color="auto" w:fill="auto"/>
          </w:tcPr>
          <w:p w14:paraId="3C9739B7" w14:textId="77777777" w:rsidR="00AF3581" w:rsidRPr="00506303" w:rsidRDefault="00AF3581" w:rsidP="0067543B">
            <w:pPr>
              <w:rPr>
                <w:sz w:val="18"/>
                <w:szCs w:val="18"/>
              </w:rPr>
            </w:pPr>
          </w:p>
        </w:tc>
        <w:tc>
          <w:tcPr>
            <w:tcW w:w="472" w:type="dxa"/>
            <w:shd w:val="clear" w:color="auto" w:fill="auto"/>
          </w:tcPr>
          <w:p w14:paraId="108DE658" w14:textId="77777777" w:rsidR="00AF3581" w:rsidRPr="00506303" w:rsidRDefault="00AF3581" w:rsidP="0067543B">
            <w:pPr>
              <w:rPr>
                <w:sz w:val="18"/>
                <w:szCs w:val="18"/>
              </w:rPr>
            </w:pPr>
          </w:p>
        </w:tc>
        <w:tc>
          <w:tcPr>
            <w:tcW w:w="472" w:type="dxa"/>
            <w:shd w:val="clear" w:color="auto" w:fill="D9D9D9"/>
          </w:tcPr>
          <w:p w14:paraId="2ECA6EAC" w14:textId="77777777" w:rsidR="00AF3581" w:rsidRPr="00506303" w:rsidRDefault="00AF3581" w:rsidP="0067543B">
            <w:pPr>
              <w:rPr>
                <w:sz w:val="18"/>
                <w:szCs w:val="18"/>
              </w:rPr>
            </w:pPr>
          </w:p>
        </w:tc>
        <w:tc>
          <w:tcPr>
            <w:tcW w:w="472" w:type="dxa"/>
            <w:shd w:val="clear" w:color="auto" w:fill="D9D9D9"/>
          </w:tcPr>
          <w:p w14:paraId="270498DF" w14:textId="77777777" w:rsidR="00AF3581" w:rsidRPr="00506303" w:rsidRDefault="00AF3581" w:rsidP="0067543B">
            <w:pPr>
              <w:rPr>
                <w:sz w:val="18"/>
                <w:szCs w:val="18"/>
              </w:rPr>
            </w:pPr>
          </w:p>
        </w:tc>
        <w:tc>
          <w:tcPr>
            <w:tcW w:w="472" w:type="dxa"/>
            <w:shd w:val="clear" w:color="auto" w:fill="D9D9D9"/>
          </w:tcPr>
          <w:p w14:paraId="76697B6D" w14:textId="77777777" w:rsidR="00AF3581" w:rsidRPr="00506303" w:rsidRDefault="00AF3581" w:rsidP="0067543B">
            <w:pPr>
              <w:rPr>
                <w:sz w:val="18"/>
                <w:szCs w:val="18"/>
              </w:rPr>
            </w:pPr>
          </w:p>
        </w:tc>
        <w:tc>
          <w:tcPr>
            <w:tcW w:w="472" w:type="dxa"/>
            <w:shd w:val="clear" w:color="auto" w:fill="D9D9D9"/>
          </w:tcPr>
          <w:p w14:paraId="47B0EB53" w14:textId="77777777" w:rsidR="00AF3581" w:rsidRPr="00506303" w:rsidRDefault="00AF3581" w:rsidP="0067543B">
            <w:pPr>
              <w:rPr>
                <w:sz w:val="18"/>
                <w:szCs w:val="18"/>
              </w:rPr>
            </w:pPr>
          </w:p>
        </w:tc>
        <w:tc>
          <w:tcPr>
            <w:tcW w:w="472" w:type="dxa"/>
            <w:shd w:val="clear" w:color="auto" w:fill="D9D9D9"/>
          </w:tcPr>
          <w:p w14:paraId="6940AA30" w14:textId="77777777" w:rsidR="00AF3581" w:rsidRPr="00506303" w:rsidRDefault="00AF3581" w:rsidP="0067543B">
            <w:pPr>
              <w:rPr>
                <w:sz w:val="18"/>
                <w:szCs w:val="18"/>
              </w:rPr>
            </w:pPr>
          </w:p>
        </w:tc>
        <w:tc>
          <w:tcPr>
            <w:tcW w:w="472" w:type="dxa"/>
            <w:shd w:val="clear" w:color="auto" w:fill="D9D9D9"/>
          </w:tcPr>
          <w:p w14:paraId="70CDE7E0" w14:textId="77777777" w:rsidR="00AF3581" w:rsidRPr="00506303" w:rsidRDefault="00AF3581" w:rsidP="0067543B">
            <w:pPr>
              <w:rPr>
                <w:sz w:val="18"/>
                <w:szCs w:val="18"/>
              </w:rPr>
            </w:pPr>
          </w:p>
        </w:tc>
        <w:tc>
          <w:tcPr>
            <w:tcW w:w="473" w:type="dxa"/>
            <w:shd w:val="clear" w:color="auto" w:fill="D9D9D9"/>
          </w:tcPr>
          <w:p w14:paraId="2645608E" w14:textId="77777777" w:rsidR="00AF3581" w:rsidRPr="00506303" w:rsidRDefault="00AF3581" w:rsidP="0067543B">
            <w:pPr>
              <w:rPr>
                <w:sz w:val="18"/>
                <w:szCs w:val="18"/>
              </w:rPr>
            </w:pPr>
          </w:p>
        </w:tc>
        <w:tc>
          <w:tcPr>
            <w:tcW w:w="473" w:type="dxa"/>
            <w:shd w:val="clear" w:color="auto" w:fill="D9D9D9"/>
          </w:tcPr>
          <w:p w14:paraId="4E95FBE1" w14:textId="77777777" w:rsidR="00AF3581" w:rsidRPr="00506303" w:rsidRDefault="00AF3581" w:rsidP="0067543B">
            <w:pPr>
              <w:rPr>
                <w:sz w:val="18"/>
                <w:szCs w:val="18"/>
              </w:rPr>
            </w:pPr>
          </w:p>
        </w:tc>
        <w:tc>
          <w:tcPr>
            <w:tcW w:w="473" w:type="dxa"/>
            <w:shd w:val="clear" w:color="auto" w:fill="auto"/>
          </w:tcPr>
          <w:p w14:paraId="6AECCDD6" w14:textId="77777777" w:rsidR="00AF3581" w:rsidRPr="00506303" w:rsidRDefault="00AF3581" w:rsidP="0067543B">
            <w:pPr>
              <w:rPr>
                <w:sz w:val="18"/>
                <w:szCs w:val="18"/>
              </w:rPr>
            </w:pPr>
          </w:p>
        </w:tc>
        <w:tc>
          <w:tcPr>
            <w:tcW w:w="473" w:type="dxa"/>
            <w:shd w:val="clear" w:color="auto" w:fill="auto"/>
          </w:tcPr>
          <w:p w14:paraId="19A1888D" w14:textId="77777777" w:rsidR="00AF3581" w:rsidRPr="00506303" w:rsidRDefault="00AF3581" w:rsidP="0067543B">
            <w:pPr>
              <w:rPr>
                <w:sz w:val="18"/>
                <w:szCs w:val="18"/>
              </w:rPr>
            </w:pPr>
          </w:p>
        </w:tc>
        <w:tc>
          <w:tcPr>
            <w:tcW w:w="473" w:type="dxa"/>
            <w:shd w:val="clear" w:color="auto" w:fill="auto"/>
          </w:tcPr>
          <w:p w14:paraId="65003BCC" w14:textId="77777777" w:rsidR="00AF3581" w:rsidRPr="00506303" w:rsidRDefault="00AF3581" w:rsidP="0067543B">
            <w:pPr>
              <w:rPr>
                <w:sz w:val="18"/>
                <w:szCs w:val="18"/>
              </w:rPr>
            </w:pPr>
          </w:p>
        </w:tc>
        <w:tc>
          <w:tcPr>
            <w:tcW w:w="473" w:type="dxa"/>
            <w:shd w:val="clear" w:color="auto" w:fill="auto"/>
          </w:tcPr>
          <w:p w14:paraId="5502F240" w14:textId="77777777" w:rsidR="00AF3581" w:rsidRPr="00506303" w:rsidRDefault="00AF3581" w:rsidP="0067543B">
            <w:pPr>
              <w:rPr>
                <w:sz w:val="18"/>
                <w:szCs w:val="18"/>
              </w:rPr>
            </w:pPr>
          </w:p>
        </w:tc>
        <w:tc>
          <w:tcPr>
            <w:tcW w:w="473" w:type="dxa"/>
            <w:shd w:val="clear" w:color="auto" w:fill="auto"/>
          </w:tcPr>
          <w:p w14:paraId="6D1465BA" w14:textId="77777777" w:rsidR="00AF3581" w:rsidRPr="00506303" w:rsidRDefault="00AF3581" w:rsidP="0067543B">
            <w:pPr>
              <w:rPr>
                <w:sz w:val="18"/>
                <w:szCs w:val="18"/>
              </w:rPr>
            </w:pPr>
          </w:p>
        </w:tc>
        <w:tc>
          <w:tcPr>
            <w:tcW w:w="473" w:type="dxa"/>
            <w:shd w:val="clear" w:color="auto" w:fill="auto"/>
          </w:tcPr>
          <w:p w14:paraId="428F80AA" w14:textId="77777777" w:rsidR="00AF3581" w:rsidRPr="00506303" w:rsidRDefault="00AF3581" w:rsidP="0067543B">
            <w:pPr>
              <w:rPr>
                <w:sz w:val="18"/>
                <w:szCs w:val="18"/>
              </w:rPr>
            </w:pPr>
          </w:p>
        </w:tc>
        <w:tc>
          <w:tcPr>
            <w:tcW w:w="473" w:type="dxa"/>
            <w:shd w:val="clear" w:color="auto" w:fill="auto"/>
          </w:tcPr>
          <w:p w14:paraId="1647C969" w14:textId="77777777" w:rsidR="00AF3581" w:rsidRPr="00506303" w:rsidRDefault="00AF3581" w:rsidP="0067543B">
            <w:pPr>
              <w:rPr>
                <w:sz w:val="18"/>
                <w:szCs w:val="18"/>
              </w:rPr>
            </w:pPr>
          </w:p>
        </w:tc>
        <w:tc>
          <w:tcPr>
            <w:tcW w:w="473" w:type="dxa"/>
            <w:shd w:val="clear" w:color="auto" w:fill="auto"/>
          </w:tcPr>
          <w:p w14:paraId="5B0677D7" w14:textId="77777777" w:rsidR="00AF3581" w:rsidRPr="00506303" w:rsidRDefault="00AF3581" w:rsidP="0067543B">
            <w:pPr>
              <w:rPr>
                <w:sz w:val="18"/>
                <w:szCs w:val="18"/>
              </w:rPr>
            </w:pPr>
          </w:p>
        </w:tc>
      </w:tr>
      <w:tr w:rsidR="00E071AC" w:rsidRPr="00506303" w14:paraId="2FD667F5" w14:textId="77777777" w:rsidTr="00E071AC">
        <w:tc>
          <w:tcPr>
            <w:tcW w:w="944" w:type="dxa"/>
            <w:shd w:val="clear" w:color="auto" w:fill="auto"/>
          </w:tcPr>
          <w:p w14:paraId="35744A03" w14:textId="77777777" w:rsidR="00AF3581" w:rsidRPr="00506303" w:rsidRDefault="00AF3581" w:rsidP="0067543B">
            <w:pPr>
              <w:rPr>
                <w:sz w:val="18"/>
                <w:szCs w:val="18"/>
              </w:rPr>
            </w:pPr>
            <w:r w:rsidRPr="00506303">
              <w:rPr>
                <w:sz w:val="18"/>
                <w:szCs w:val="18"/>
              </w:rPr>
              <w:t>2.1.4</w:t>
            </w:r>
          </w:p>
        </w:tc>
        <w:tc>
          <w:tcPr>
            <w:tcW w:w="3776" w:type="dxa"/>
            <w:shd w:val="clear" w:color="auto" w:fill="auto"/>
          </w:tcPr>
          <w:p w14:paraId="4948336D" w14:textId="77777777" w:rsidR="00AF3581" w:rsidRPr="00506303" w:rsidRDefault="00AF3581" w:rsidP="0067543B">
            <w:pPr>
              <w:rPr>
                <w:sz w:val="18"/>
                <w:szCs w:val="18"/>
              </w:rPr>
            </w:pPr>
            <w:r w:rsidRPr="00506303">
              <w:rPr>
                <w:sz w:val="18"/>
                <w:szCs w:val="18"/>
              </w:rPr>
              <w:t>Review the potential impacts of sea level rise, climate change, and episodic events on coastal habitats of the South China Sea</w:t>
            </w:r>
          </w:p>
        </w:tc>
        <w:tc>
          <w:tcPr>
            <w:tcW w:w="472" w:type="dxa"/>
            <w:shd w:val="clear" w:color="auto" w:fill="auto"/>
          </w:tcPr>
          <w:p w14:paraId="71E9AA5F" w14:textId="77777777" w:rsidR="00AF3581" w:rsidRPr="00506303" w:rsidRDefault="00AF3581" w:rsidP="0067543B">
            <w:pPr>
              <w:rPr>
                <w:sz w:val="18"/>
                <w:szCs w:val="18"/>
              </w:rPr>
            </w:pPr>
          </w:p>
        </w:tc>
        <w:tc>
          <w:tcPr>
            <w:tcW w:w="472" w:type="dxa"/>
            <w:shd w:val="clear" w:color="auto" w:fill="auto"/>
          </w:tcPr>
          <w:p w14:paraId="2C39ED2F" w14:textId="77777777" w:rsidR="00AF3581" w:rsidRPr="00506303" w:rsidRDefault="00AF3581" w:rsidP="0067543B">
            <w:pPr>
              <w:rPr>
                <w:sz w:val="18"/>
                <w:szCs w:val="18"/>
              </w:rPr>
            </w:pPr>
          </w:p>
        </w:tc>
        <w:tc>
          <w:tcPr>
            <w:tcW w:w="472" w:type="dxa"/>
            <w:shd w:val="clear" w:color="auto" w:fill="auto"/>
          </w:tcPr>
          <w:p w14:paraId="454CE27D" w14:textId="77777777" w:rsidR="00AF3581" w:rsidRPr="00506303" w:rsidRDefault="00AF3581" w:rsidP="0067543B">
            <w:pPr>
              <w:rPr>
                <w:sz w:val="18"/>
                <w:szCs w:val="18"/>
              </w:rPr>
            </w:pPr>
          </w:p>
        </w:tc>
        <w:tc>
          <w:tcPr>
            <w:tcW w:w="472" w:type="dxa"/>
            <w:shd w:val="clear" w:color="auto" w:fill="auto"/>
          </w:tcPr>
          <w:p w14:paraId="3199BB04" w14:textId="77777777" w:rsidR="00AF3581" w:rsidRPr="00506303" w:rsidRDefault="00AF3581" w:rsidP="0067543B">
            <w:pPr>
              <w:rPr>
                <w:sz w:val="18"/>
                <w:szCs w:val="18"/>
              </w:rPr>
            </w:pPr>
          </w:p>
        </w:tc>
        <w:tc>
          <w:tcPr>
            <w:tcW w:w="472" w:type="dxa"/>
            <w:shd w:val="clear" w:color="auto" w:fill="auto"/>
          </w:tcPr>
          <w:p w14:paraId="71A8479D" w14:textId="77777777" w:rsidR="00AF3581" w:rsidRPr="00506303" w:rsidRDefault="00AF3581" w:rsidP="0067543B">
            <w:pPr>
              <w:rPr>
                <w:sz w:val="18"/>
                <w:szCs w:val="18"/>
              </w:rPr>
            </w:pPr>
          </w:p>
        </w:tc>
        <w:tc>
          <w:tcPr>
            <w:tcW w:w="472" w:type="dxa"/>
            <w:shd w:val="clear" w:color="auto" w:fill="auto"/>
          </w:tcPr>
          <w:p w14:paraId="5FD056F5" w14:textId="77777777" w:rsidR="00AF3581" w:rsidRPr="00506303" w:rsidRDefault="00AF3581" w:rsidP="0067543B">
            <w:pPr>
              <w:rPr>
                <w:sz w:val="18"/>
                <w:szCs w:val="18"/>
              </w:rPr>
            </w:pPr>
          </w:p>
        </w:tc>
        <w:tc>
          <w:tcPr>
            <w:tcW w:w="472" w:type="dxa"/>
            <w:shd w:val="clear" w:color="auto" w:fill="D9D9D9"/>
          </w:tcPr>
          <w:p w14:paraId="56A4D7D5" w14:textId="77777777" w:rsidR="00AF3581" w:rsidRPr="00506303" w:rsidRDefault="00AF3581" w:rsidP="0067543B">
            <w:pPr>
              <w:rPr>
                <w:sz w:val="18"/>
                <w:szCs w:val="18"/>
              </w:rPr>
            </w:pPr>
          </w:p>
        </w:tc>
        <w:tc>
          <w:tcPr>
            <w:tcW w:w="472" w:type="dxa"/>
            <w:shd w:val="clear" w:color="auto" w:fill="D9D9D9"/>
          </w:tcPr>
          <w:p w14:paraId="0CF8F6A0" w14:textId="77777777" w:rsidR="00AF3581" w:rsidRPr="00506303" w:rsidRDefault="00AF3581" w:rsidP="0067543B">
            <w:pPr>
              <w:rPr>
                <w:sz w:val="18"/>
                <w:szCs w:val="18"/>
              </w:rPr>
            </w:pPr>
          </w:p>
        </w:tc>
        <w:tc>
          <w:tcPr>
            <w:tcW w:w="472" w:type="dxa"/>
            <w:shd w:val="clear" w:color="auto" w:fill="D9D9D9"/>
          </w:tcPr>
          <w:p w14:paraId="461A0F59" w14:textId="77777777" w:rsidR="00AF3581" w:rsidRPr="00506303" w:rsidRDefault="00AF3581" w:rsidP="0067543B">
            <w:pPr>
              <w:rPr>
                <w:sz w:val="18"/>
                <w:szCs w:val="18"/>
              </w:rPr>
            </w:pPr>
          </w:p>
        </w:tc>
        <w:tc>
          <w:tcPr>
            <w:tcW w:w="472" w:type="dxa"/>
            <w:shd w:val="clear" w:color="auto" w:fill="D9D9D9"/>
          </w:tcPr>
          <w:p w14:paraId="70CB9E26" w14:textId="77777777" w:rsidR="00AF3581" w:rsidRPr="00506303" w:rsidRDefault="00AF3581" w:rsidP="0067543B">
            <w:pPr>
              <w:rPr>
                <w:sz w:val="18"/>
                <w:szCs w:val="18"/>
              </w:rPr>
            </w:pPr>
          </w:p>
        </w:tc>
        <w:tc>
          <w:tcPr>
            <w:tcW w:w="473" w:type="dxa"/>
            <w:shd w:val="clear" w:color="auto" w:fill="D9D9D9"/>
          </w:tcPr>
          <w:p w14:paraId="4E7F0952" w14:textId="77777777" w:rsidR="00AF3581" w:rsidRPr="00506303" w:rsidRDefault="00AF3581" w:rsidP="0067543B">
            <w:pPr>
              <w:rPr>
                <w:sz w:val="18"/>
                <w:szCs w:val="18"/>
              </w:rPr>
            </w:pPr>
          </w:p>
        </w:tc>
        <w:tc>
          <w:tcPr>
            <w:tcW w:w="473" w:type="dxa"/>
            <w:shd w:val="clear" w:color="auto" w:fill="D9D9D9"/>
          </w:tcPr>
          <w:p w14:paraId="7A956FD1" w14:textId="77777777" w:rsidR="00AF3581" w:rsidRPr="00506303" w:rsidRDefault="00AF3581" w:rsidP="0067543B">
            <w:pPr>
              <w:rPr>
                <w:sz w:val="18"/>
                <w:szCs w:val="18"/>
              </w:rPr>
            </w:pPr>
          </w:p>
        </w:tc>
        <w:tc>
          <w:tcPr>
            <w:tcW w:w="473" w:type="dxa"/>
            <w:shd w:val="clear" w:color="auto" w:fill="auto"/>
          </w:tcPr>
          <w:p w14:paraId="51EFADBE" w14:textId="77777777" w:rsidR="00AF3581" w:rsidRPr="00506303" w:rsidRDefault="00AF3581" w:rsidP="0067543B">
            <w:pPr>
              <w:rPr>
                <w:sz w:val="18"/>
                <w:szCs w:val="18"/>
              </w:rPr>
            </w:pPr>
          </w:p>
        </w:tc>
        <w:tc>
          <w:tcPr>
            <w:tcW w:w="473" w:type="dxa"/>
            <w:shd w:val="clear" w:color="auto" w:fill="auto"/>
          </w:tcPr>
          <w:p w14:paraId="72E945EF" w14:textId="77777777" w:rsidR="00AF3581" w:rsidRPr="00506303" w:rsidRDefault="00AF3581" w:rsidP="0067543B">
            <w:pPr>
              <w:rPr>
                <w:sz w:val="18"/>
                <w:szCs w:val="18"/>
              </w:rPr>
            </w:pPr>
          </w:p>
        </w:tc>
        <w:tc>
          <w:tcPr>
            <w:tcW w:w="473" w:type="dxa"/>
            <w:shd w:val="clear" w:color="auto" w:fill="auto"/>
          </w:tcPr>
          <w:p w14:paraId="7A2CE1F3" w14:textId="77777777" w:rsidR="00AF3581" w:rsidRPr="00506303" w:rsidRDefault="00AF3581" w:rsidP="0067543B">
            <w:pPr>
              <w:rPr>
                <w:sz w:val="18"/>
                <w:szCs w:val="18"/>
              </w:rPr>
            </w:pPr>
          </w:p>
        </w:tc>
        <w:tc>
          <w:tcPr>
            <w:tcW w:w="473" w:type="dxa"/>
            <w:shd w:val="clear" w:color="auto" w:fill="auto"/>
          </w:tcPr>
          <w:p w14:paraId="26E5187F" w14:textId="77777777" w:rsidR="00AF3581" w:rsidRPr="00506303" w:rsidRDefault="00AF3581" w:rsidP="0067543B">
            <w:pPr>
              <w:rPr>
                <w:sz w:val="18"/>
                <w:szCs w:val="18"/>
              </w:rPr>
            </w:pPr>
          </w:p>
        </w:tc>
        <w:tc>
          <w:tcPr>
            <w:tcW w:w="473" w:type="dxa"/>
            <w:shd w:val="clear" w:color="auto" w:fill="auto"/>
          </w:tcPr>
          <w:p w14:paraId="3DE9854C" w14:textId="77777777" w:rsidR="00AF3581" w:rsidRPr="00506303" w:rsidRDefault="00AF3581" w:rsidP="0067543B">
            <w:pPr>
              <w:rPr>
                <w:sz w:val="18"/>
                <w:szCs w:val="18"/>
              </w:rPr>
            </w:pPr>
          </w:p>
        </w:tc>
        <w:tc>
          <w:tcPr>
            <w:tcW w:w="473" w:type="dxa"/>
            <w:shd w:val="clear" w:color="auto" w:fill="auto"/>
          </w:tcPr>
          <w:p w14:paraId="42AB8130" w14:textId="77777777" w:rsidR="00AF3581" w:rsidRPr="00506303" w:rsidRDefault="00AF3581" w:rsidP="0067543B">
            <w:pPr>
              <w:rPr>
                <w:sz w:val="18"/>
                <w:szCs w:val="18"/>
              </w:rPr>
            </w:pPr>
          </w:p>
        </w:tc>
        <w:tc>
          <w:tcPr>
            <w:tcW w:w="473" w:type="dxa"/>
            <w:shd w:val="clear" w:color="auto" w:fill="auto"/>
          </w:tcPr>
          <w:p w14:paraId="4887DA57" w14:textId="77777777" w:rsidR="00AF3581" w:rsidRPr="00506303" w:rsidRDefault="00AF3581" w:rsidP="0067543B">
            <w:pPr>
              <w:rPr>
                <w:sz w:val="18"/>
                <w:szCs w:val="18"/>
              </w:rPr>
            </w:pPr>
          </w:p>
        </w:tc>
        <w:tc>
          <w:tcPr>
            <w:tcW w:w="473" w:type="dxa"/>
            <w:shd w:val="clear" w:color="auto" w:fill="auto"/>
          </w:tcPr>
          <w:p w14:paraId="1ED01586" w14:textId="77777777" w:rsidR="00AF3581" w:rsidRPr="00506303" w:rsidRDefault="00AF3581" w:rsidP="0067543B">
            <w:pPr>
              <w:rPr>
                <w:sz w:val="18"/>
                <w:szCs w:val="18"/>
              </w:rPr>
            </w:pPr>
          </w:p>
        </w:tc>
      </w:tr>
      <w:tr w:rsidR="00E071AC" w:rsidRPr="00506303" w14:paraId="4599EB84" w14:textId="77777777" w:rsidTr="00E071AC">
        <w:tc>
          <w:tcPr>
            <w:tcW w:w="944" w:type="dxa"/>
            <w:shd w:val="clear" w:color="auto" w:fill="auto"/>
          </w:tcPr>
          <w:p w14:paraId="4F5EF746" w14:textId="77777777" w:rsidR="00AF3581" w:rsidRPr="00506303" w:rsidRDefault="00AF3581" w:rsidP="0067543B">
            <w:pPr>
              <w:rPr>
                <w:sz w:val="18"/>
                <w:szCs w:val="18"/>
              </w:rPr>
            </w:pPr>
            <w:r w:rsidRPr="00506303">
              <w:rPr>
                <w:sz w:val="18"/>
                <w:szCs w:val="18"/>
              </w:rPr>
              <w:t>2.1.5</w:t>
            </w:r>
          </w:p>
        </w:tc>
        <w:tc>
          <w:tcPr>
            <w:tcW w:w="3776" w:type="dxa"/>
            <w:shd w:val="clear" w:color="auto" w:fill="auto"/>
          </w:tcPr>
          <w:p w14:paraId="09410708" w14:textId="77777777" w:rsidR="00AF3581" w:rsidRPr="00506303" w:rsidRDefault="00AF3581" w:rsidP="0067543B">
            <w:pPr>
              <w:rPr>
                <w:sz w:val="18"/>
                <w:szCs w:val="18"/>
              </w:rPr>
            </w:pPr>
            <w:r w:rsidRPr="00506303">
              <w:rPr>
                <w:sz w:val="18"/>
                <w:szCs w:val="18"/>
              </w:rPr>
              <w:t>Update and adopt National Action Plans for mangroves, coral reefs, seagrass and wetlands, including enactment of supporting legislation where required</w:t>
            </w:r>
          </w:p>
        </w:tc>
        <w:tc>
          <w:tcPr>
            <w:tcW w:w="472" w:type="dxa"/>
            <w:shd w:val="clear" w:color="auto" w:fill="auto"/>
          </w:tcPr>
          <w:p w14:paraId="1EB78624" w14:textId="77777777" w:rsidR="00AF3581" w:rsidRPr="00506303" w:rsidRDefault="00AF3581" w:rsidP="0067543B">
            <w:pPr>
              <w:rPr>
                <w:sz w:val="18"/>
                <w:szCs w:val="18"/>
              </w:rPr>
            </w:pPr>
          </w:p>
        </w:tc>
        <w:tc>
          <w:tcPr>
            <w:tcW w:w="472" w:type="dxa"/>
            <w:shd w:val="clear" w:color="auto" w:fill="auto"/>
          </w:tcPr>
          <w:p w14:paraId="01A1CA74" w14:textId="77777777" w:rsidR="00AF3581" w:rsidRPr="00506303" w:rsidRDefault="00AF3581" w:rsidP="0067543B">
            <w:pPr>
              <w:rPr>
                <w:sz w:val="18"/>
                <w:szCs w:val="18"/>
              </w:rPr>
            </w:pPr>
          </w:p>
        </w:tc>
        <w:tc>
          <w:tcPr>
            <w:tcW w:w="472" w:type="dxa"/>
            <w:shd w:val="clear" w:color="auto" w:fill="auto"/>
          </w:tcPr>
          <w:p w14:paraId="36E08089" w14:textId="77777777" w:rsidR="00AF3581" w:rsidRPr="00506303" w:rsidRDefault="00AF3581" w:rsidP="0067543B">
            <w:pPr>
              <w:rPr>
                <w:sz w:val="18"/>
                <w:szCs w:val="18"/>
              </w:rPr>
            </w:pPr>
          </w:p>
        </w:tc>
        <w:tc>
          <w:tcPr>
            <w:tcW w:w="472" w:type="dxa"/>
            <w:shd w:val="clear" w:color="auto" w:fill="auto"/>
          </w:tcPr>
          <w:p w14:paraId="5DAFCAAE" w14:textId="77777777" w:rsidR="00AF3581" w:rsidRPr="00506303" w:rsidRDefault="00AF3581" w:rsidP="0067543B">
            <w:pPr>
              <w:rPr>
                <w:sz w:val="18"/>
                <w:szCs w:val="18"/>
              </w:rPr>
            </w:pPr>
          </w:p>
        </w:tc>
        <w:tc>
          <w:tcPr>
            <w:tcW w:w="472" w:type="dxa"/>
            <w:shd w:val="clear" w:color="auto" w:fill="D9D9D9"/>
          </w:tcPr>
          <w:p w14:paraId="3BFF6262" w14:textId="77777777" w:rsidR="00AF3581" w:rsidRPr="00506303" w:rsidRDefault="00AF3581" w:rsidP="0067543B">
            <w:pPr>
              <w:rPr>
                <w:sz w:val="18"/>
                <w:szCs w:val="18"/>
              </w:rPr>
            </w:pPr>
          </w:p>
        </w:tc>
        <w:tc>
          <w:tcPr>
            <w:tcW w:w="472" w:type="dxa"/>
            <w:shd w:val="clear" w:color="auto" w:fill="D9D9D9"/>
          </w:tcPr>
          <w:p w14:paraId="4F6E1607" w14:textId="77777777" w:rsidR="00AF3581" w:rsidRPr="00506303" w:rsidRDefault="00AF3581" w:rsidP="0067543B">
            <w:pPr>
              <w:rPr>
                <w:sz w:val="18"/>
                <w:szCs w:val="18"/>
              </w:rPr>
            </w:pPr>
          </w:p>
        </w:tc>
        <w:tc>
          <w:tcPr>
            <w:tcW w:w="472" w:type="dxa"/>
            <w:shd w:val="clear" w:color="auto" w:fill="D9D9D9"/>
          </w:tcPr>
          <w:p w14:paraId="4D4FEEDF" w14:textId="77777777" w:rsidR="00AF3581" w:rsidRPr="00506303" w:rsidRDefault="00AF3581" w:rsidP="0067543B">
            <w:pPr>
              <w:rPr>
                <w:sz w:val="18"/>
                <w:szCs w:val="18"/>
              </w:rPr>
            </w:pPr>
          </w:p>
        </w:tc>
        <w:tc>
          <w:tcPr>
            <w:tcW w:w="472" w:type="dxa"/>
            <w:shd w:val="clear" w:color="auto" w:fill="D9D9D9"/>
          </w:tcPr>
          <w:p w14:paraId="0E8BC32C" w14:textId="77777777" w:rsidR="00AF3581" w:rsidRPr="00506303" w:rsidRDefault="00AF3581" w:rsidP="0067543B">
            <w:pPr>
              <w:rPr>
                <w:sz w:val="18"/>
                <w:szCs w:val="18"/>
              </w:rPr>
            </w:pPr>
          </w:p>
        </w:tc>
        <w:tc>
          <w:tcPr>
            <w:tcW w:w="472" w:type="dxa"/>
            <w:shd w:val="clear" w:color="auto" w:fill="D9D9D9"/>
          </w:tcPr>
          <w:p w14:paraId="22CB2084" w14:textId="77777777" w:rsidR="00AF3581" w:rsidRPr="00506303" w:rsidRDefault="00AF3581" w:rsidP="0067543B">
            <w:pPr>
              <w:rPr>
                <w:sz w:val="18"/>
                <w:szCs w:val="18"/>
              </w:rPr>
            </w:pPr>
          </w:p>
        </w:tc>
        <w:tc>
          <w:tcPr>
            <w:tcW w:w="472" w:type="dxa"/>
            <w:shd w:val="clear" w:color="auto" w:fill="D9D9D9"/>
          </w:tcPr>
          <w:p w14:paraId="65AB1DE6" w14:textId="77777777" w:rsidR="00AF3581" w:rsidRPr="00506303" w:rsidRDefault="00AF3581" w:rsidP="0067543B">
            <w:pPr>
              <w:rPr>
                <w:sz w:val="18"/>
                <w:szCs w:val="18"/>
              </w:rPr>
            </w:pPr>
          </w:p>
        </w:tc>
        <w:tc>
          <w:tcPr>
            <w:tcW w:w="473" w:type="dxa"/>
            <w:shd w:val="clear" w:color="auto" w:fill="D9D9D9"/>
          </w:tcPr>
          <w:p w14:paraId="70A6F85D" w14:textId="77777777" w:rsidR="00AF3581" w:rsidRPr="00506303" w:rsidRDefault="00AF3581" w:rsidP="0067543B">
            <w:pPr>
              <w:rPr>
                <w:sz w:val="18"/>
                <w:szCs w:val="18"/>
              </w:rPr>
            </w:pPr>
          </w:p>
        </w:tc>
        <w:tc>
          <w:tcPr>
            <w:tcW w:w="473" w:type="dxa"/>
            <w:shd w:val="clear" w:color="auto" w:fill="D9D9D9"/>
          </w:tcPr>
          <w:p w14:paraId="5092F2A2" w14:textId="77777777" w:rsidR="00AF3581" w:rsidRPr="00506303" w:rsidRDefault="00AF3581" w:rsidP="0067543B">
            <w:pPr>
              <w:rPr>
                <w:sz w:val="18"/>
                <w:szCs w:val="18"/>
              </w:rPr>
            </w:pPr>
          </w:p>
        </w:tc>
        <w:tc>
          <w:tcPr>
            <w:tcW w:w="473" w:type="dxa"/>
            <w:shd w:val="clear" w:color="auto" w:fill="D9D9D9"/>
          </w:tcPr>
          <w:p w14:paraId="30730B97" w14:textId="77777777" w:rsidR="00AF3581" w:rsidRPr="00506303" w:rsidRDefault="00AF3581" w:rsidP="0067543B">
            <w:pPr>
              <w:rPr>
                <w:sz w:val="18"/>
                <w:szCs w:val="18"/>
              </w:rPr>
            </w:pPr>
          </w:p>
        </w:tc>
        <w:tc>
          <w:tcPr>
            <w:tcW w:w="473" w:type="dxa"/>
            <w:shd w:val="clear" w:color="auto" w:fill="D9D9D9"/>
          </w:tcPr>
          <w:p w14:paraId="4890786C" w14:textId="77777777" w:rsidR="00AF3581" w:rsidRPr="00506303" w:rsidRDefault="00AF3581" w:rsidP="0067543B">
            <w:pPr>
              <w:rPr>
                <w:sz w:val="18"/>
                <w:szCs w:val="18"/>
              </w:rPr>
            </w:pPr>
          </w:p>
        </w:tc>
        <w:tc>
          <w:tcPr>
            <w:tcW w:w="473" w:type="dxa"/>
            <w:shd w:val="clear" w:color="auto" w:fill="auto"/>
          </w:tcPr>
          <w:p w14:paraId="69689588" w14:textId="77777777" w:rsidR="00AF3581" w:rsidRPr="00506303" w:rsidRDefault="00AF3581" w:rsidP="0067543B">
            <w:pPr>
              <w:rPr>
                <w:sz w:val="18"/>
                <w:szCs w:val="18"/>
              </w:rPr>
            </w:pPr>
          </w:p>
        </w:tc>
        <w:tc>
          <w:tcPr>
            <w:tcW w:w="473" w:type="dxa"/>
            <w:shd w:val="clear" w:color="auto" w:fill="auto"/>
          </w:tcPr>
          <w:p w14:paraId="6C3D7B7D" w14:textId="77777777" w:rsidR="00AF3581" w:rsidRPr="00506303" w:rsidRDefault="00AF3581" w:rsidP="0067543B">
            <w:pPr>
              <w:rPr>
                <w:sz w:val="18"/>
                <w:szCs w:val="18"/>
              </w:rPr>
            </w:pPr>
          </w:p>
        </w:tc>
        <w:tc>
          <w:tcPr>
            <w:tcW w:w="473" w:type="dxa"/>
            <w:shd w:val="clear" w:color="auto" w:fill="auto"/>
          </w:tcPr>
          <w:p w14:paraId="0DB758A2" w14:textId="77777777" w:rsidR="00AF3581" w:rsidRPr="00506303" w:rsidRDefault="00AF3581" w:rsidP="0067543B">
            <w:pPr>
              <w:rPr>
                <w:sz w:val="18"/>
                <w:szCs w:val="18"/>
              </w:rPr>
            </w:pPr>
          </w:p>
        </w:tc>
        <w:tc>
          <w:tcPr>
            <w:tcW w:w="473" w:type="dxa"/>
            <w:shd w:val="clear" w:color="auto" w:fill="auto"/>
          </w:tcPr>
          <w:p w14:paraId="4DCFF9D2" w14:textId="77777777" w:rsidR="00AF3581" w:rsidRPr="00506303" w:rsidRDefault="00AF3581" w:rsidP="0067543B">
            <w:pPr>
              <w:rPr>
                <w:sz w:val="18"/>
                <w:szCs w:val="18"/>
              </w:rPr>
            </w:pPr>
          </w:p>
        </w:tc>
        <w:tc>
          <w:tcPr>
            <w:tcW w:w="473" w:type="dxa"/>
            <w:shd w:val="clear" w:color="auto" w:fill="auto"/>
          </w:tcPr>
          <w:p w14:paraId="3EAFC541" w14:textId="77777777" w:rsidR="00AF3581" w:rsidRPr="00506303" w:rsidRDefault="00AF3581" w:rsidP="0067543B">
            <w:pPr>
              <w:rPr>
                <w:sz w:val="18"/>
                <w:szCs w:val="18"/>
              </w:rPr>
            </w:pPr>
          </w:p>
        </w:tc>
        <w:tc>
          <w:tcPr>
            <w:tcW w:w="473" w:type="dxa"/>
            <w:shd w:val="clear" w:color="auto" w:fill="auto"/>
          </w:tcPr>
          <w:p w14:paraId="782F31E4" w14:textId="77777777" w:rsidR="00AF3581" w:rsidRPr="00506303" w:rsidRDefault="00AF3581" w:rsidP="0067543B">
            <w:pPr>
              <w:rPr>
                <w:sz w:val="18"/>
                <w:szCs w:val="18"/>
              </w:rPr>
            </w:pPr>
          </w:p>
        </w:tc>
      </w:tr>
      <w:tr w:rsidR="00AF3581" w:rsidRPr="00506303" w14:paraId="23C501E5" w14:textId="77777777" w:rsidTr="00506303">
        <w:tc>
          <w:tcPr>
            <w:tcW w:w="944" w:type="dxa"/>
            <w:shd w:val="clear" w:color="auto" w:fill="F2F2F2"/>
          </w:tcPr>
          <w:p w14:paraId="3CED122D" w14:textId="77777777" w:rsidR="00AF3581" w:rsidRPr="00506303" w:rsidRDefault="00AF3581" w:rsidP="0067543B">
            <w:pPr>
              <w:rPr>
                <w:b/>
                <w:sz w:val="18"/>
                <w:szCs w:val="18"/>
              </w:rPr>
            </w:pPr>
            <w:r w:rsidRPr="00506303">
              <w:rPr>
                <w:b/>
                <w:sz w:val="18"/>
                <w:szCs w:val="18"/>
              </w:rPr>
              <w:t>2.2</w:t>
            </w:r>
          </w:p>
        </w:tc>
        <w:tc>
          <w:tcPr>
            <w:tcW w:w="13226" w:type="dxa"/>
            <w:gridSpan w:val="21"/>
            <w:shd w:val="clear" w:color="auto" w:fill="F2F2F2"/>
          </w:tcPr>
          <w:p w14:paraId="6DDF1F69" w14:textId="77777777" w:rsidR="00AF3581" w:rsidRPr="00506303" w:rsidRDefault="00AF3581" w:rsidP="0067543B">
            <w:pPr>
              <w:rPr>
                <w:b/>
                <w:sz w:val="18"/>
                <w:szCs w:val="18"/>
              </w:rPr>
            </w:pPr>
            <w:r w:rsidRPr="00506303">
              <w:rPr>
                <w:b/>
                <w:sz w:val="18"/>
                <w:szCs w:val="18"/>
              </w:rPr>
              <w:t>Effective integration of regional science in the management of land-based pollution</w:t>
            </w:r>
          </w:p>
        </w:tc>
      </w:tr>
      <w:tr w:rsidR="00AF3581" w:rsidRPr="00506303" w14:paraId="6E06C392" w14:textId="77777777" w:rsidTr="00E071AC">
        <w:tc>
          <w:tcPr>
            <w:tcW w:w="944" w:type="dxa"/>
            <w:shd w:val="clear" w:color="auto" w:fill="auto"/>
          </w:tcPr>
          <w:p w14:paraId="57E686AE" w14:textId="77777777" w:rsidR="00AF3581" w:rsidRPr="00506303" w:rsidRDefault="00AF3581" w:rsidP="0067543B">
            <w:pPr>
              <w:rPr>
                <w:sz w:val="18"/>
                <w:szCs w:val="18"/>
              </w:rPr>
            </w:pPr>
            <w:r w:rsidRPr="00506303">
              <w:rPr>
                <w:sz w:val="18"/>
                <w:szCs w:val="18"/>
              </w:rPr>
              <w:t>2.2.1</w:t>
            </w:r>
          </w:p>
        </w:tc>
        <w:tc>
          <w:tcPr>
            <w:tcW w:w="3776" w:type="dxa"/>
            <w:shd w:val="clear" w:color="auto" w:fill="auto"/>
          </w:tcPr>
          <w:p w14:paraId="41C9AEE8" w14:textId="77777777" w:rsidR="00AF3581" w:rsidRPr="00506303" w:rsidRDefault="00AF3581" w:rsidP="0067543B">
            <w:pPr>
              <w:rPr>
                <w:sz w:val="18"/>
                <w:szCs w:val="18"/>
              </w:rPr>
            </w:pPr>
            <w:r w:rsidRPr="00506303">
              <w:rPr>
                <w:sz w:val="18"/>
                <w:szCs w:val="18"/>
              </w:rPr>
              <w:t>Nutrient carrying capacity model for the SCS marine basin used to communicate with decision-makers about the localized v. transboundary impacts of land-based pollution in the SCS</w:t>
            </w:r>
          </w:p>
        </w:tc>
        <w:tc>
          <w:tcPr>
            <w:tcW w:w="472" w:type="dxa"/>
            <w:shd w:val="clear" w:color="auto" w:fill="D9D9D9"/>
          </w:tcPr>
          <w:p w14:paraId="7147D11F" w14:textId="77777777" w:rsidR="00AF3581" w:rsidRPr="00506303" w:rsidRDefault="00AF3581" w:rsidP="0067543B">
            <w:pPr>
              <w:rPr>
                <w:sz w:val="18"/>
                <w:szCs w:val="18"/>
              </w:rPr>
            </w:pPr>
          </w:p>
        </w:tc>
        <w:tc>
          <w:tcPr>
            <w:tcW w:w="472" w:type="dxa"/>
            <w:shd w:val="clear" w:color="auto" w:fill="D9D9D9"/>
          </w:tcPr>
          <w:p w14:paraId="6B2E801B" w14:textId="77777777" w:rsidR="00AF3581" w:rsidRPr="00506303" w:rsidRDefault="00AF3581" w:rsidP="0067543B">
            <w:pPr>
              <w:rPr>
                <w:sz w:val="18"/>
                <w:szCs w:val="18"/>
              </w:rPr>
            </w:pPr>
          </w:p>
        </w:tc>
        <w:tc>
          <w:tcPr>
            <w:tcW w:w="472" w:type="dxa"/>
            <w:shd w:val="clear" w:color="auto" w:fill="D9D9D9"/>
          </w:tcPr>
          <w:p w14:paraId="71F570BC" w14:textId="77777777" w:rsidR="00AF3581" w:rsidRPr="00506303" w:rsidRDefault="00AF3581" w:rsidP="0067543B">
            <w:pPr>
              <w:rPr>
                <w:sz w:val="18"/>
                <w:szCs w:val="18"/>
              </w:rPr>
            </w:pPr>
          </w:p>
        </w:tc>
        <w:tc>
          <w:tcPr>
            <w:tcW w:w="472" w:type="dxa"/>
            <w:shd w:val="clear" w:color="auto" w:fill="D9D9D9"/>
          </w:tcPr>
          <w:p w14:paraId="6FF2CFE9" w14:textId="77777777" w:rsidR="00AF3581" w:rsidRPr="00506303" w:rsidRDefault="00AF3581" w:rsidP="0067543B">
            <w:pPr>
              <w:rPr>
                <w:sz w:val="18"/>
                <w:szCs w:val="18"/>
              </w:rPr>
            </w:pPr>
          </w:p>
        </w:tc>
        <w:tc>
          <w:tcPr>
            <w:tcW w:w="472" w:type="dxa"/>
            <w:shd w:val="clear" w:color="auto" w:fill="auto"/>
          </w:tcPr>
          <w:p w14:paraId="511F01F9" w14:textId="77777777" w:rsidR="00AF3581" w:rsidRPr="00506303" w:rsidRDefault="00AF3581" w:rsidP="0067543B">
            <w:pPr>
              <w:rPr>
                <w:sz w:val="18"/>
                <w:szCs w:val="18"/>
              </w:rPr>
            </w:pPr>
          </w:p>
        </w:tc>
        <w:tc>
          <w:tcPr>
            <w:tcW w:w="472" w:type="dxa"/>
            <w:shd w:val="clear" w:color="auto" w:fill="auto"/>
          </w:tcPr>
          <w:p w14:paraId="2D9B8FB1" w14:textId="77777777" w:rsidR="00AF3581" w:rsidRPr="00506303" w:rsidRDefault="00AF3581" w:rsidP="0067543B">
            <w:pPr>
              <w:rPr>
                <w:sz w:val="18"/>
                <w:szCs w:val="18"/>
              </w:rPr>
            </w:pPr>
          </w:p>
        </w:tc>
        <w:tc>
          <w:tcPr>
            <w:tcW w:w="472" w:type="dxa"/>
            <w:shd w:val="clear" w:color="auto" w:fill="auto"/>
          </w:tcPr>
          <w:p w14:paraId="43E431CC" w14:textId="77777777" w:rsidR="00AF3581" w:rsidRPr="00506303" w:rsidRDefault="00AF3581" w:rsidP="0067543B">
            <w:pPr>
              <w:rPr>
                <w:sz w:val="18"/>
                <w:szCs w:val="18"/>
              </w:rPr>
            </w:pPr>
          </w:p>
        </w:tc>
        <w:tc>
          <w:tcPr>
            <w:tcW w:w="472" w:type="dxa"/>
            <w:shd w:val="clear" w:color="auto" w:fill="auto"/>
          </w:tcPr>
          <w:p w14:paraId="2457374D" w14:textId="77777777" w:rsidR="00AF3581" w:rsidRPr="00506303" w:rsidRDefault="00AF3581" w:rsidP="0067543B">
            <w:pPr>
              <w:rPr>
                <w:sz w:val="18"/>
                <w:szCs w:val="18"/>
              </w:rPr>
            </w:pPr>
          </w:p>
        </w:tc>
        <w:tc>
          <w:tcPr>
            <w:tcW w:w="472" w:type="dxa"/>
            <w:shd w:val="clear" w:color="auto" w:fill="auto"/>
          </w:tcPr>
          <w:p w14:paraId="40F156CB" w14:textId="77777777" w:rsidR="00AF3581" w:rsidRPr="00506303" w:rsidRDefault="00AF3581" w:rsidP="0067543B">
            <w:pPr>
              <w:rPr>
                <w:sz w:val="18"/>
                <w:szCs w:val="18"/>
              </w:rPr>
            </w:pPr>
          </w:p>
        </w:tc>
        <w:tc>
          <w:tcPr>
            <w:tcW w:w="472" w:type="dxa"/>
            <w:shd w:val="clear" w:color="auto" w:fill="auto"/>
          </w:tcPr>
          <w:p w14:paraId="059B9113" w14:textId="77777777" w:rsidR="00AF3581" w:rsidRPr="00506303" w:rsidRDefault="00AF3581" w:rsidP="0067543B">
            <w:pPr>
              <w:rPr>
                <w:sz w:val="18"/>
                <w:szCs w:val="18"/>
              </w:rPr>
            </w:pPr>
          </w:p>
        </w:tc>
        <w:tc>
          <w:tcPr>
            <w:tcW w:w="473" w:type="dxa"/>
            <w:shd w:val="clear" w:color="auto" w:fill="auto"/>
          </w:tcPr>
          <w:p w14:paraId="3C194BE3" w14:textId="77777777" w:rsidR="00AF3581" w:rsidRPr="00506303" w:rsidRDefault="00AF3581" w:rsidP="0067543B">
            <w:pPr>
              <w:rPr>
                <w:sz w:val="18"/>
                <w:szCs w:val="18"/>
              </w:rPr>
            </w:pPr>
          </w:p>
        </w:tc>
        <w:tc>
          <w:tcPr>
            <w:tcW w:w="473" w:type="dxa"/>
            <w:shd w:val="clear" w:color="auto" w:fill="auto"/>
          </w:tcPr>
          <w:p w14:paraId="31810FF8" w14:textId="77777777" w:rsidR="00AF3581" w:rsidRPr="00506303" w:rsidRDefault="00AF3581" w:rsidP="0067543B">
            <w:pPr>
              <w:rPr>
                <w:sz w:val="18"/>
                <w:szCs w:val="18"/>
              </w:rPr>
            </w:pPr>
          </w:p>
        </w:tc>
        <w:tc>
          <w:tcPr>
            <w:tcW w:w="473" w:type="dxa"/>
            <w:shd w:val="clear" w:color="auto" w:fill="auto"/>
          </w:tcPr>
          <w:p w14:paraId="3F4E6207" w14:textId="77777777" w:rsidR="00AF3581" w:rsidRPr="00506303" w:rsidRDefault="00AF3581" w:rsidP="0067543B">
            <w:pPr>
              <w:rPr>
                <w:sz w:val="18"/>
                <w:szCs w:val="18"/>
              </w:rPr>
            </w:pPr>
          </w:p>
        </w:tc>
        <w:tc>
          <w:tcPr>
            <w:tcW w:w="473" w:type="dxa"/>
            <w:shd w:val="clear" w:color="auto" w:fill="auto"/>
          </w:tcPr>
          <w:p w14:paraId="3D138494" w14:textId="77777777" w:rsidR="00AF3581" w:rsidRPr="00506303" w:rsidRDefault="00AF3581" w:rsidP="0067543B">
            <w:pPr>
              <w:rPr>
                <w:sz w:val="18"/>
                <w:szCs w:val="18"/>
              </w:rPr>
            </w:pPr>
          </w:p>
        </w:tc>
        <w:tc>
          <w:tcPr>
            <w:tcW w:w="473" w:type="dxa"/>
            <w:shd w:val="clear" w:color="auto" w:fill="auto"/>
          </w:tcPr>
          <w:p w14:paraId="30D1FA08" w14:textId="77777777" w:rsidR="00AF3581" w:rsidRPr="00506303" w:rsidRDefault="00AF3581" w:rsidP="0067543B">
            <w:pPr>
              <w:rPr>
                <w:sz w:val="18"/>
                <w:szCs w:val="18"/>
              </w:rPr>
            </w:pPr>
          </w:p>
        </w:tc>
        <w:tc>
          <w:tcPr>
            <w:tcW w:w="473" w:type="dxa"/>
            <w:shd w:val="clear" w:color="auto" w:fill="auto"/>
          </w:tcPr>
          <w:p w14:paraId="0271DDB3" w14:textId="77777777" w:rsidR="00AF3581" w:rsidRPr="00506303" w:rsidRDefault="00AF3581" w:rsidP="0067543B">
            <w:pPr>
              <w:rPr>
                <w:sz w:val="18"/>
                <w:szCs w:val="18"/>
              </w:rPr>
            </w:pPr>
          </w:p>
        </w:tc>
        <w:tc>
          <w:tcPr>
            <w:tcW w:w="473" w:type="dxa"/>
            <w:shd w:val="clear" w:color="auto" w:fill="auto"/>
          </w:tcPr>
          <w:p w14:paraId="6552D8DE" w14:textId="77777777" w:rsidR="00AF3581" w:rsidRPr="00506303" w:rsidRDefault="00AF3581" w:rsidP="0067543B">
            <w:pPr>
              <w:rPr>
                <w:sz w:val="18"/>
                <w:szCs w:val="18"/>
              </w:rPr>
            </w:pPr>
          </w:p>
        </w:tc>
        <w:tc>
          <w:tcPr>
            <w:tcW w:w="473" w:type="dxa"/>
            <w:shd w:val="clear" w:color="auto" w:fill="auto"/>
          </w:tcPr>
          <w:p w14:paraId="3656A95F" w14:textId="77777777" w:rsidR="00AF3581" w:rsidRPr="00506303" w:rsidRDefault="00AF3581" w:rsidP="0067543B">
            <w:pPr>
              <w:rPr>
                <w:sz w:val="18"/>
                <w:szCs w:val="18"/>
              </w:rPr>
            </w:pPr>
          </w:p>
        </w:tc>
        <w:tc>
          <w:tcPr>
            <w:tcW w:w="473" w:type="dxa"/>
            <w:shd w:val="clear" w:color="auto" w:fill="auto"/>
          </w:tcPr>
          <w:p w14:paraId="35AC817F" w14:textId="77777777" w:rsidR="00AF3581" w:rsidRPr="00506303" w:rsidRDefault="00AF3581" w:rsidP="0067543B">
            <w:pPr>
              <w:rPr>
                <w:sz w:val="18"/>
                <w:szCs w:val="18"/>
              </w:rPr>
            </w:pPr>
          </w:p>
        </w:tc>
        <w:tc>
          <w:tcPr>
            <w:tcW w:w="473" w:type="dxa"/>
            <w:shd w:val="clear" w:color="auto" w:fill="auto"/>
          </w:tcPr>
          <w:p w14:paraId="35F0B2C3" w14:textId="77777777" w:rsidR="00AF3581" w:rsidRPr="00506303" w:rsidRDefault="00AF3581" w:rsidP="0067543B">
            <w:pPr>
              <w:rPr>
                <w:sz w:val="18"/>
                <w:szCs w:val="18"/>
              </w:rPr>
            </w:pPr>
          </w:p>
        </w:tc>
      </w:tr>
      <w:tr w:rsidR="00E071AC" w:rsidRPr="00506303" w14:paraId="12BEE5FF" w14:textId="77777777" w:rsidTr="00E071AC">
        <w:tc>
          <w:tcPr>
            <w:tcW w:w="944" w:type="dxa"/>
            <w:shd w:val="clear" w:color="auto" w:fill="auto"/>
          </w:tcPr>
          <w:p w14:paraId="1489A4FD" w14:textId="77777777" w:rsidR="00AF3581" w:rsidRPr="00506303" w:rsidRDefault="00AF3581" w:rsidP="0067543B">
            <w:pPr>
              <w:rPr>
                <w:sz w:val="18"/>
                <w:szCs w:val="18"/>
              </w:rPr>
            </w:pPr>
            <w:r w:rsidRPr="00506303">
              <w:rPr>
                <w:sz w:val="18"/>
                <w:szCs w:val="18"/>
              </w:rPr>
              <w:t>2.2.2</w:t>
            </w:r>
          </w:p>
        </w:tc>
        <w:tc>
          <w:tcPr>
            <w:tcW w:w="3776" w:type="dxa"/>
            <w:shd w:val="clear" w:color="auto" w:fill="auto"/>
          </w:tcPr>
          <w:p w14:paraId="7F8B3594" w14:textId="77777777" w:rsidR="00AF3581" w:rsidRPr="00506303" w:rsidRDefault="00AF3581" w:rsidP="0067543B">
            <w:pPr>
              <w:rPr>
                <w:sz w:val="18"/>
                <w:szCs w:val="18"/>
              </w:rPr>
            </w:pPr>
            <w:r w:rsidRPr="00506303">
              <w:rPr>
                <w:sz w:val="18"/>
                <w:szCs w:val="18"/>
              </w:rPr>
              <w:t>Total contaminant loading and carrying capacity of the SCS estimated via application of quantitative modeling and GIS-based techniques for seven heavy metals (Hg, Cd, Pb, Cu, Cr, As, Zn</w:t>
            </w:r>
          </w:p>
        </w:tc>
        <w:tc>
          <w:tcPr>
            <w:tcW w:w="472" w:type="dxa"/>
            <w:shd w:val="clear" w:color="auto" w:fill="auto"/>
          </w:tcPr>
          <w:p w14:paraId="1A936D66" w14:textId="77777777" w:rsidR="00AF3581" w:rsidRPr="00506303" w:rsidRDefault="00AF3581" w:rsidP="0067543B">
            <w:pPr>
              <w:rPr>
                <w:sz w:val="18"/>
                <w:szCs w:val="18"/>
              </w:rPr>
            </w:pPr>
          </w:p>
        </w:tc>
        <w:tc>
          <w:tcPr>
            <w:tcW w:w="472" w:type="dxa"/>
            <w:shd w:val="clear" w:color="auto" w:fill="auto"/>
          </w:tcPr>
          <w:p w14:paraId="24D894A2" w14:textId="77777777" w:rsidR="00AF3581" w:rsidRPr="00506303" w:rsidRDefault="00AF3581" w:rsidP="0067543B">
            <w:pPr>
              <w:rPr>
                <w:sz w:val="18"/>
                <w:szCs w:val="18"/>
              </w:rPr>
            </w:pPr>
          </w:p>
        </w:tc>
        <w:tc>
          <w:tcPr>
            <w:tcW w:w="472" w:type="dxa"/>
            <w:shd w:val="clear" w:color="auto" w:fill="auto"/>
          </w:tcPr>
          <w:p w14:paraId="23CAD5A2" w14:textId="77777777" w:rsidR="00AF3581" w:rsidRPr="00506303" w:rsidRDefault="00AF3581" w:rsidP="0067543B">
            <w:pPr>
              <w:rPr>
                <w:sz w:val="18"/>
                <w:szCs w:val="18"/>
              </w:rPr>
            </w:pPr>
          </w:p>
        </w:tc>
        <w:tc>
          <w:tcPr>
            <w:tcW w:w="472" w:type="dxa"/>
            <w:shd w:val="clear" w:color="auto" w:fill="auto"/>
          </w:tcPr>
          <w:p w14:paraId="377265F8" w14:textId="77777777" w:rsidR="00AF3581" w:rsidRPr="00506303" w:rsidRDefault="00AF3581" w:rsidP="0067543B">
            <w:pPr>
              <w:rPr>
                <w:sz w:val="18"/>
                <w:szCs w:val="18"/>
              </w:rPr>
            </w:pPr>
          </w:p>
        </w:tc>
        <w:tc>
          <w:tcPr>
            <w:tcW w:w="472" w:type="dxa"/>
            <w:shd w:val="clear" w:color="auto" w:fill="D9D9D9"/>
          </w:tcPr>
          <w:p w14:paraId="3ABEA4D3" w14:textId="77777777" w:rsidR="00AF3581" w:rsidRPr="00506303" w:rsidRDefault="00AF3581" w:rsidP="0067543B">
            <w:pPr>
              <w:rPr>
                <w:sz w:val="18"/>
                <w:szCs w:val="18"/>
              </w:rPr>
            </w:pPr>
          </w:p>
        </w:tc>
        <w:tc>
          <w:tcPr>
            <w:tcW w:w="472" w:type="dxa"/>
            <w:shd w:val="clear" w:color="auto" w:fill="D9D9D9"/>
          </w:tcPr>
          <w:p w14:paraId="3EC6024D" w14:textId="77777777" w:rsidR="00AF3581" w:rsidRPr="00506303" w:rsidRDefault="00AF3581" w:rsidP="0067543B">
            <w:pPr>
              <w:rPr>
                <w:sz w:val="18"/>
                <w:szCs w:val="18"/>
              </w:rPr>
            </w:pPr>
          </w:p>
        </w:tc>
        <w:tc>
          <w:tcPr>
            <w:tcW w:w="472" w:type="dxa"/>
            <w:shd w:val="clear" w:color="auto" w:fill="D9D9D9"/>
          </w:tcPr>
          <w:p w14:paraId="4D532108" w14:textId="77777777" w:rsidR="00AF3581" w:rsidRPr="00506303" w:rsidRDefault="00AF3581" w:rsidP="0067543B">
            <w:pPr>
              <w:rPr>
                <w:sz w:val="18"/>
                <w:szCs w:val="18"/>
              </w:rPr>
            </w:pPr>
          </w:p>
        </w:tc>
        <w:tc>
          <w:tcPr>
            <w:tcW w:w="472" w:type="dxa"/>
            <w:shd w:val="clear" w:color="auto" w:fill="D9D9D9"/>
          </w:tcPr>
          <w:p w14:paraId="092720AD" w14:textId="77777777" w:rsidR="00AF3581" w:rsidRPr="00506303" w:rsidRDefault="00AF3581" w:rsidP="0067543B">
            <w:pPr>
              <w:rPr>
                <w:sz w:val="18"/>
                <w:szCs w:val="18"/>
              </w:rPr>
            </w:pPr>
          </w:p>
        </w:tc>
        <w:tc>
          <w:tcPr>
            <w:tcW w:w="472" w:type="dxa"/>
            <w:shd w:val="clear" w:color="auto" w:fill="auto"/>
          </w:tcPr>
          <w:p w14:paraId="3D1D4E7C" w14:textId="77777777" w:rsidR="00AF3581" w:rsidRPr="00506303" w:rsidRDefault="00AF3581" w:rsidP="0067543B">
            <w:pPr>
              <w:rPr>
                <w:sz w:val="18"/>
                <w:szCs w:val="18"/>
              </w:rPr>
            </w:pPr>
          </w:p>
        </w:tc>
        <w:tc>
          <w:tcPr>
            <w:tcW w:w="472" w:type="dxa"/>
            <w:shd w:val="clear" w:color="auto" w:fill="auto"/>
          </w:tcPr>
          <w:p w14:paraId="2858C962" w14:textId="77777777" w:rsidR="00AF3581" w:rsidRPr="00506303" w:rsidRDefault="00AF3581" w:rsidP="0067543B">
            <w:pPr>
              <w:rPr>
                <w:sz w:val="18"/>
                <w:szCs w:val="18"/>
              </w:rPr>
            </w:pPr>
          </w:p>
        </w:tc>
        <w:tc>
          <w:tcPr>
            <w:tcW w:w="473" w:type="dxa"/>
            <w:shd w:val="clear" w:color="auto" w:fill="auto"/>
          </w:tcPr>
          <w:p w14:paraId="71328260" w14:textId="77777777" w:rsidR="00AF3581" w:rsidRPr="00506303" w:rsidRDefault="00AF3581" w:rsidP="0067543B">
            <w:pPr>
              <w:rPr>
                <w:sz w:val="18"/>
                <w:szCs w:val="18"/>
              </w:rPr>
            </w:pPr>
          </w:p>
        </w:tc>
        <w:tc>
          <w:tcPr>
            <w:tcW w:w="473" w:type="dxa"/>
            <w:shd w:val="clear" w:color="auto" w:fill="auto"/>
          </w:tcPr>
          <w:p w14:paraId="39C08B8B" w14:textId="77777777" w:rsidR="00AF3581" w:rsidRPr="00506303" w:rsidRDefault="00AF3581" w:rsidP="0067543B">
            <w:pPr>
              <w:rPr>
                <w:sz w:val="18"/>
                <w:szCs w:val="18"/>
              </w:rPr>
            </w:pPr>
          </w:p>
        </w:tc>
        <w:tc>
          <w:tcPr>
            <w:tcW w:w="473" w:type="dxa"/>
            <w:shd w:val="clear" w:color="auto" w:fill="auto"/>
          </w:tcPr>
          <w:p w14:paraId="2AB63847" w14:textId="77777777" w:rsidR="00AF3581" w:rsidRPr="00506303" w:rsidRDefault="00AF3581" w:rsidP="0067543B">
            <w:pPr>
              <w:rPr>
                <w:sz w:val="18"/>
                <w:szCs w:val="18"/>
              </w:rPr>
            </w:pPr>
          </w:p>
        </w:tc>
        <w:tc>
          <w:tcPr>
            <w:tcW w:w="473" w:type="dxa"/>
            <w:shd w:val="clear" w:color="auto" w:fill="auto"/>
          </w:tcPr>
          <w:p w14:paraId="2B99BB09" w14:textId="77777777" w:rsidR="00AF3581" w:rsidRPr="00506303" w:rsidRDefault="00AF3581" w:rsidP="0067543B">
            <w:pPr>
              <w:rPr>
                <w:sz w:val="18"/>
                <w:szCs w:val="18"/>
              </w:rPr>
            </w:pPr>
          </w:p>
        </w:tc>
        <w:tc>
          <w:tcPr>
            <w:tcW w:w="473" w:type="dxa"/>
            <w:shd w:val="clear" w:color="auto" w:fill="auto"/>
          </w:tcPr>
          <w:p w14:paraId="43A9076F" w14:textId="77777777" w:rsidR="00AF3581" w:rsidRPr="00506303" w:rsidRDefault="00AF3581" w:rsidP="0067543B">
            <w:pPr>
              <w:rPr>
                <w:sz w:val="18"/>
                <w:szCs w:val="18"/>
              </w:rPr>
            </w:pPr>
          </w:p>
        </w:tc>
        <w:tc>
          <w:tcPr>
            <w:tcW w:w="473" w:type="dxa"/>
            <w:shd w:val="clear" w:color="auto" w:fill="auto"/>
          </w:tcPr>
          <w:p w14:paraId="468F0BE2" w14:textId="77777777" w:rsidR="00AF3581" w:rsidRPr="00506303" w:rsidRDefault="00AF3581" w:rsidP="0067543B">
            <w:pPr>
              <w:rPr>
                <w:sz w:val="18"/>
                <w:szCs w:val="18"/>
              </w:rPr>
            </w:pPr>
          </w:p>
        </w:tc>
        <w:tc>
          <w:tcPr>
            <w:tcW w:w="473" w:type="dxa"/>
            <w:shd w:val="clear" w:color="auto" w:fill="auto"/>
          </w:tcPr>
          <w:p w14:paraId="78C7BFC7" w14:textId="77777777" w:rsidR="00AF3581" w:rsidRPr="00506303" w:rsidRDefault="00AF3581" w:rsidP="0067543B">
            <w:pPr>
              <w:rPr>
                <w:sz w:val="18"/>
                <w:szCs w:val="18"/>
              </w:rPr>
            </w:pPr>
          </w:p>
        </w:tc>
        <w:tc>
          <w:tcPr>
            <w:tcW w:w="473" w:type="dxa"/>
            <w:shd w:val="clear" w:color="auto" w:fill="auto"/>
          </w:tcPr>
          <w:p w14:paraId="22153DF7" w14:textId="77777777" w:rsidR="00AF3581" w:rsidRPr="00506303" w:rsidRDefault="00AF3581" w:rsidP="0067543B">
            <w:pPr>
              <w:rPr>
                <w:sz w:val="18"/>
                <w:szCs w:val="18"/>
              </w:rPr>
            </w:pPr>
          </w:p>
        </w:tc>
        <w:tc>
          <w:tcPr>
            <w:tcW w:w="473" w:type="dxa"/>
            <w:shd w:val="clear" w:color="auto" w:fill="auto"/>
          </w:tcPr>
          <w:p w14:paraId="23F6EC32" w14:textId="77777777" w:rsidR="00AF3581" w:rsidRPr="00506303" w:rsidRDefault="00AF3581" w:rsidP="0067543B">
            <w:pPr>
              <w:rPr>
                <w:sz w:val="18"/>
                <w:szCs w:val="18"/>
              </w:rPr>
            </w:pPr>
          </w:p>
        </w:tc>
        <w:tc>
          <w:tcPr>
            <w:tcW w:w="473" w:type="dxa"/>
            <w:shd w:val="clear" w:color="auto" w:fill="auto"/>
          </w:tcPr>
          <w:p w14:paraId="52D00E3C" w14:textId="77777777" w:rsidR="00AF3581" w:rsidRPr="00506303" w:rsidRDefault="00AF3581" w:rsidP="0067543B">
            <w:pPr>
              <w:rPr>
                <w:sz w:val="18"/>
                <w:szCs w:val="18"/>
              </w:rPr>
            </w:pPr>
          </w:p>
        </w:tc>
      </w:tr>
      <w:tr w:rsidR="00E071AC" w:rsidRPr="00506303" w14:paraId="5E3D2C81" w14:textId="77777777" w:rsidTr="00E071AC">
        <w:tc>
          <w:tcPr>
            <w:tcW w:w="944" w:type="dxa"/>
            <w:shd w:val="clear" w:color="auto" w:fill="auto"/>
          </w:tcPr>
          <w:p w14:paraId="408A2514" w14:textId="77777777" w:rsidR="00AF3581" w:rsidRPr="00506303" w:rsidRDefault="00AF3581" w:rsidP="0067543B">
            <w:pPr>
              <w:rPr>
                <w:sz w:val="18"/>
                <w:szCs w:val="18"/>
              </w:rPr>
            </w:pPr>
            <w:r w:rsidRPr="00506303">
              <w:rPr>
                <w:sz w:val="18"/>
                <w:szCs w:val="18"/>
              </w:rPr>
              <w:t>2.2.3</w:t>
            </w:r>
          </w:p>
        </w:tc>
        <w:tc>
          <w:tcPr>
            <w:tcW w:w="3776" w:type="dxa"/>
            <w:shd w:val="clear" w:color="auto" w:fill="auto"/>
          </w:tcPr>
          <w:p w14:paraId="0EBD4803" w14:textId="77777777" w:rsidR="00AF3581" w:rsidRPr="00506303" w:rsidRDefault="00AF3581" w:rsidP="0067543B">
            <w:pPr>
              <w:rPr>
                <w:sz w:val="18"/>
                <w:szCs w:val="18"/>
              </w:rPr>
            </w:pPr>
            <w:r w:rsidRPr="00506303">
              <w:rPr>
                <w:sz w:val="18"/>
                <w:szCs w:val="18"/>
              </w:rPr>
              <w:t>Impacts of estimated heavy metal contaminant loadings defined, quantified and communicated to decision-makers</w:t>
            </w:r>
          </w:p>
        </w:tc>
        <w:tc>
          <w:tcPr>
            <w:tcW w:w="472" w:type="dxa"/>
            <w:shd w:val="clear" w:color="auto" w:fill="auto"/>
          </w:tcPr>
          <w:p w14:paraId="0E80431B" w14:textId="77777777" w:rsidR="00AF3581" w:rsidRPr="00506303" w:rsidRDefault="00AF3581" w:rsidP="0067543B">
            <w:pPr>
              <w:rPr>
                <w:sz w:val="18"/>
                <w:szCs w:val="18"/>
              </w:rPr>
            </w:pPr>
          </w:p>
        </w:tc>
        <w:tc>
          <w:tcPr>
            <w:tcW w:w="472" w:type="dxa"/>
            <w:shd w:val="clear" w:color="auto" w:fill="auto"/>
          </w:tcPr>
          <w:p w14:paraId="699B1622" w14:textId="77777777" w:rsidR="00AF3581" w:rsidRPr="00506303" w:rsidRDefault="00AF3581" w:rsidP="0067543B">
            <w:pPr>
              <w:rPr>
                <w:sz w:val="18"/>
                <w:szCs w:val="18"/>
              </w:rPr>
            </w:pPr>
          </w:p>
        </w:tc>
        <w:tc>
          <w:tcPr>
            <w:tcW w:w="472" w:type="dxa"/>
            <w:shd w:val="clear" w:color="auto" w:fill="auto"/>
          </w:tcPr>
          <w:p w14:paraId="7DAD0072" w14:textId="77777777" w:rsidR="00AF3581" w:rsidRPr="00506303" w:rsidRDefault="00AF3581" w:rsidP="0067543B">
            <w:pPr>
              <w:rPr>
                <w:sz w:val="18"/>
                <w:szCs w:val="18"/>
              </w:rPr>
            </w:pPr>
          </w:p>
        </w:tc>
        <w:tc>
          <w:tcPr>
            <w:tcW w:w="472" w:type="dxa"/>
            <w:shd w:val="clear" w:color="auto" w:fill="auto"/>
          </w:tcPr>
          <w:p w14:paraId="70F71D68" w14:textId="77777777" w:rsidR="00AF3581" w:rsidRPr="00506303" w:rsidRDefault="00AF3581" w:rsidP="0067543B">
            <w:pPr>
              <w:rPr>
                <w:sz w:val="18"/>
                <w:szCs w:val="18"/>
              </w:rPr>
            </w:pPr>
          </w:p>
        </w:tc>
        <w:tc>
          <w:tcPr>
            <w:tcW w:w="472" w:type="dxa"/>
            <w:shd w:val="clear" w:color="auto" w:fill="auto"/>
          </w:tcPr>
          <w:p w14:paraId="533012B2" w14:textId="77777777" w:rsidR="00AF3581" w:rsidRPr="00506303" w:rsidRDefault="00AF3581" w:rsidP="0067543B">
            <w:pPr>
              <w:rPr>
                <w:sz w:val="18"/>
                <w:szCs w:val="18"/>
              </w:rPr>
            </w:pPr>
          </w:p>
        </w:tc>
        <w:tc>
          <w:tcPr>
            <w:tcW w:w="472" w:type="dxa"/>
            <w:shd w:val="clear" w:color="auto" w:fill="auto"/>
          </w:tcPr>
          <w:p w14:paraId="764A1080" w14:textId="77777777" w:rsidR="00AF3581" w:rsidRPr="00506303" w:rsidRDefault="00AF3581" w:rsidP="0067543B">
            <w:pPr>
              <w:rPr>
                <w:sz w:val="18"/>
                <w:szCs w:val="18"/>
              </w:rPr>
            </w:pPr>
          </w:p>
        </w:tc>
        <w:tc>
          <w:tcPr>
            <w:tcW w:w="472" w:type="dxa"/>
            <w:shd w:val="clear" w:color="auto" w:fill="D9D9D9"/>
          </w:tcPr>
          <w:p w14:paraId="1267F68A" w14:textId="77777777" w:rsidR="00AF3581" w:rsidRPr="00506303" w:rsidRDefault="00AF3581" w:rsidP="0067543B">
            <w:pPr>
              <w:rPr>
                <w:sz w:val="18"/>
                <w:szCs w:val="18"/>
              </w:rPr>
            </w:pPr>
          </w:p>
        </w:tc>
        <w:tc>
          <w:tcPr>
            <w:tcW w:w="472" w:type="dxa"/>
            <w:shd w:val="clear" w:color="auto" w:fill="D9D9D9"/>
          </w:tcPr>
          <w:p w14:paraId="3969BF4F" w14:textId="77777777" w:rsidR="00AF3581" w:rsidRPr="00506303" w:rsidRDefault="00AF3581" w:rsidP="0067543B">
            <w:pPr>
              <w:rPr>
                <w:sz w:val="18"/>
                <w:szCs w:val="18"/>
              </w:rPr>
            </w:pPr>
          </w:p>
        </w:tc>
        <w:tc>
          <w:tcPr>
            <w:tcW w:w="472" w:type="dxa"/>
            <w:shd w:val="clear" w:color="auto" w:fill="D9D9D9"/>
          </w:tcPr>
          <w:p w14:paraId="28DD15DD" w14:textId="77777777" w:rsidR="00AF3581" w:rsidRPr="00506303" w:rsidRDefault="00AF3581" w:rsidP="0067543B">
            <w:pPr>
              <w:rPr>
                <w:sz w:val="18"/>
                <w:szCs w:val="18"/>
              </w:rPr>
            </w:pPr>
          </w:p>
        </w:tc>
        <w:tc>
          <w:tcPr>
            <w:tcW w:w="472" w:type="dxa"/>
            <w:shd w:val="clear" w:color="auto" w:fill="D9D9D9"/>
          </w:tcPr>
          <w:p w14:paraId="449C82CC" w14:textId="77777777" w:rsidR="00AF3581" w:rsidRPr="00506303" w:rsidRDefault="00AF3581" w:rsidP="0067543B">
            <w:pPr>
              <w:rPr>
                <w:sz w:val="18"/>
                <w:szCs w:val="18"/>
              </w:rPr>
            </w:pPr>
          </w:p>
        </w:tc>
        <w:tc>
          <w:tcPr>
            <w:tcW w:w="473" w:type="dxa"/>
            <w:shd w:val="clear" w:color="auto" w:fill="auto"/>
          </w:tcPr>
          <w:p w14:paraId="435298D6" w14:textId="77777777" w:rsidR="00AF3581" w:rsidRPr="00506303" w:rsidRDefault="00AF3581" w:rsidP="0067543B">
            <w:pPr>
              <w:rPr>
                <w:sz w:val="18"/>
                <w:szCs w:val="18"/>
              </w:rPr>
            </w:pPr>
          </w:p>
        </w:tc>
        <w:tc>
          <w:tcPr>
            <w:tcW w:w="473" w:type="dxa"/>
            <w:shd w:val="clear" w:color="auto" w:fill="auto"/>
          </w:tcPr>
          <w:p w14:paraId="52BE2395" w14:textId="77777777" w:rsidR="00AF3581" w:rsidRPr="00506303" w:rsidRDefault="00AF3581" w:rsidP="0067543B">
            <w:pPr>
              <w:rPr>
                <w:sz w:val="18"/>
                <w:szCs w:val="18"/>
              </w:rPr>
            </w:pPr>
          </w:p>
        </w:tc>
        <w:tc>
          <w:tcPr>
            <w:tcW w:w="473" w:type="dxa"/>
            <w:shd w:val="clear" w:color="auto" w:fill="auto"/>
          </w:tcPr>
          <w:p w14:paraId="6367DCCD" w14:textId="77777777" w:rsidR="00AF3581" w:rsidRPr="00506303" w:rsidRDefault="00AF3581" w:rsidP="0067543B">
            <w:pPr>
              <w:rPr>
                <w:sz w:val="18"/>
                <w:szCs w:val="18"/>
              </w:rPr>
            </w:pPr>
          </w:p>
        </w:tc>
        <w:tc>
          <w:tcPr>
            <w:tcW w:w="473" w:type="dxa"/>
            <w:shd w:val="clear" w:color="auto" w:fill="auto"/>
          </w:tcPr>
          <w:p w14:paraId="228E7DDD" w14:textId="77777777" w:rsidR="00AF3581" w:rsidRPr="00506303" w:rsidRDefault="00AF3581" w:rsidP="0067543B">
            <w:pPr>
              <w:rPr>
                <w:sz w:val="18"/>
                <w:szCs w:val="18"/>
              </w:rPr>
            </w:pPr>
          </w:p>
        </w:tc>
        <w:tc>
          <w:tcPr>
            <w:tcW w:w="473" w:type="dxa"/>
            <w:shd w:val="clear" w:color="auto" w:fill="auto"/>
          </w:tcPr>
          <w:p w14:paraId="4F7F5582" w14:textId="77777777" w:rsidR="00AF3581" w:rsidRPr="00506303" w:rsidRDefault="00AF3581" w:rsidP="0067543B">
            <w:pPr>
              <w:rPr>
                <w:sz w:val="18"/>
                <w:szCs w:val="18"/>
              </w:rPr>
            </w:pPr>
          </w:p>
        </w:tc>
        <w:tc>
          <w:tcPr>
            <w:tcW w:w="473" w:type="dxa"/>
            <w:shd w:val="clear" w:color="auto" w:fill="auto"/>
          </w:tcPr>
          <w:p w14:paraId="63004E57" w14:textId="77777777" w:rsidR="00AF3581" w:rsidRPr="00506303" w:rsidRDefault="00AF3581" w:rsidP="0067543B">
            <w:pPr>
              <w:rPr>
                <w:sz w:val="18"/>
                <w:szCs w:val="18"/>
              </w:rPr>
            </w:pPr>
          </w:p>
        </w:tc>
        <w:tc>
          <w:tcPr>
            <w:tcW w:w="473" w:type="dxa"/>
            <w:shd w:val="clear" w:color="auto" w:fill="auto"/>
          </w:tcPr>
          <w:p w14:paraId="1DCA51F3" w14:textId="77777777" w:rsidR="00AF3581" w:rsidRPr="00506303" w:rsidRDefault="00AF3581" w:rsidP="0067543B">
            <w:pPr>
              <w:rPr>
                <w:sz w:val="18"/>
                <w:szCs w:val="18"/>
              </w:rPr>
            </w:pPr>
          </w:p>
        </w:tc>
        <w:tc>
          <w:tcPr>
            <w:tcW w:w="473" w:type="dxa"/>
            <w:shd w:val="clear" w:color="auto" w:fill="auto"/>
          </w:tcPr>
          <w:p w14:paraId="75B691CB" w14:textId="77777777" w:rsidR="00AF3581" w:rsidRPr="00506303" w:rsidRDefault="00AF3581" w:rsidP="0067543B">
            <w:pPr>
              <w:rPr>
                <w:sz w:val="18"/>
                <w:szCs w:val="18"/>
              </w:rPr>
            </w:pPr>
          </w:p>
        </w:tc>
        <w:tc>
          <w:tcPr>
            <w:tcW w:w="473" w:type="dxa"/>
            <w:shd w:val="clear" w:color="auto" w:fill="auto"/>
          </w:tcPr>
          <w:p w14:paraId="780413A0" w14:textId="77777777" w:rsidR="00AF3581" w:rsidRPr="00506303" w:rsidRDefault="00AF3581" w:rsidP="0067543B">
            <w:pPr>
              <w:rPr>
                <w:sz w:val="18"/>
                <w:szCs w:val="18"/>
              </w:rPr>
            </w:pPr>
          </w:p>
        </w:tc>
        <w:tc>
          <w:tcPr>
            <w:tcW w:w="473" w:type="dxa"/>
            <w:shd w:val="clear" w:color="auto" w:fill="auto"/>
          </w:tcPr>
          <w:p w14:paraId="4F71DD21" w14:textId="77777777" w:rsidR="00AF3581" w:rsidRPr="00506303" w:rsidRDefault="00AF3581" w:rsidP="0067543B">
            <w:pPr>
              <w:rPr>
                <w:sz w:val="18"/>
                <w:szCs w:val="18"/>
              </w:rPr>
            </w:pPr>
          </w:p>
        </w:tc>
      </w:tr>
      <w:tr w:rsidR="00E071AC" w:rsidRPr="00506303" w14:paraId="487EC0F8" w14:textId="77777777" w:rsidTr="00E071AC">
        <w:tc>
          <w:tcPr>
            <w:tcW w:w="944" w:type="dxa"/>
            <w:shd w:val="clear" w:color="auto" w:fill="auto"/>
          </w:tcPr>
          <w:p w14:paraId="6BE131D1" w14:textId="77777777" w:rsidR="00AF3581" w:rsidRPr="00506303" w:rsidRDefault="00AF3581" w:rsidP="0067543B">
            <w:pPr>
              <w:rPr>
                <w:sz w:val="18"/>
                <w:szCs w:val="18"/>
              </w:rPr>
            </w:pPr>
            <w:r w:rsidRPr="00506303">
              <w:rPr>
                <w:sz w:val="18"/>
                <w:szCs w:val="18"/>
              </w:rPr>
              <w:t>2.2.4</w:t>
            </w:r>
          </w:p>
        </w:tc>
        <w:tc>
          <w:tcPr>
            <w:tcW w:w="3776" w:type="dxa"/>
            <w:shd w:val="clear" w:color="auto" w:fill="auto"/>
          </w:tcPr>
          <w:p w14:paraId="394120C7" w14:textId="77777777" w:rsidR="00AF3581" w:rsidRPr="00506303" w:rsidRDefault="00AF3581" w:rsidP="0067543B">
            <w:pPr>
              <w:rPr>
                <w:sz w:val="18"/>
                <w:szCs w:val="18"/>
              </w:rPr>
            </w:pPr>
            <w:r w:rsidRPr="00506303">
              <w:rPr>
                <w:sz w:val="18"/>
                <w:szCs w:val="18"/>
              </w:rPr>
              <w:t>Characterization of heavy metal pollution hotspots</w:t>
            </w:r>
          </w:p>
        </w:tc>
        <w:tc>
          <w:tcPr>
            <w:tcW w:w="472" w:type="dxa"/>
            <w:shd w:val="clear" w:color="auto" w:fill="D9D9D9"/>
          </w:tcPr>
          <w:p w14:paraId="129343E5" w14:textId="77777777" w:rsidR="00AF3581" w:rsidRPr="00506303" w:rsidRDefault="00AF3581" w:rsidP="0067543B">
            <w:pPr>
              <w:rPr>
                <w:sz w:val="18"/>
                <w:szCs w:val="18"/>
              </w:rPr>
            </w:pPr>
          </w:p>
        </w:tc>
        <w:tc>
          <w:tcPr>
            <w:tcW w:w="472" w:type="dxa"/>
            <w:shd w:val="clear" w:color="auto" w:fill="D9D9D9"/>
          </w:tcPr>
          <w:p w14:paraId="36A05440" w14:textId="77777777" w:rsidR="00AF3581" w:rsidRPr="00506303" w:rsidRDefault="00AF3581" w:rsidP="0067543B">
            <w:pPr>
              <w:rPr>
                <w:sz w:val="18"/>
                <w:szCs w:val="18"/>
              </w:rPr>
            </w:pPr>
          </w:p>
        </w:tc>
        <w:tc>
          <w:tcPr>
            <w:tcW w:w="472" w:type="dxa"/>
            <w:shd w:val="clear" w:color="auto" w:fill="D9D9D9"/>
          </w:tcPr>
          <w:p w14:paraId="3FCCED99" w14:textId="77777777" w:rsidR="00AF3581" w:rsidRPr="00506303" w:rsidRDefault="00AF3581" w:rsidP="0067543B">
            <w:pPr>
              <w:rPr>
                <w:sz w:val="18"/>
                <w:szCs w:val="18"/>
              </w:rPr>
            </w:pPr>
          </w:p>
        </w:tc>
        <w:tc>
          <w:tcPr>
            <w:tcW w:w="472" w:type="dxa"/>
            <w:shd w:val="clear" w:color="auto" w:fill="D9D9D9"/>
          </w:tcPr>
          <w:p w14:paraId="33C3D1F6" w14:textId="77777777" w:rsidR="00AF3581" w:rsidRPr="00506303" w:rsidRDefault="00AF3581" w:rsidP="0067543B">
            <w:pPr>
              <w:rPr>
                <w:sz w:val="18"/>
                <w:szCs w:val="18"/>
              </w:rPr>
            </w:pPr>
          </w:p>
        </w:tc>
        <w:tc>
          <w:tcPr>
            <w:tcW w:w="472" w:type="dxa"/>
            <w:shd w:val="clear" w:color="auto" w:fill="D9D9D9"/>
          </w:tcPr>
          <w:p w14:paraId="7A5A99DD" w14:textId="77777777" w:rsidR="00AF3581" w:rsidRPr="00506303" w:rsidRDefault="00AF3581" w:rsidP="0067543B">
            <w:pPr>
              <w:rPr>
                <w:sz w:val="18"/>
                <w:szCs w:val="18"/>
              </w:rPr>
            </w:pPr>
          </w:p>
        </w:tc>
        <w:tc>
          <w:tcPr>
            <w:tcW w:w="472" w:type="dxa"/>
            <w:shd w:val="clear" w:color="auto" w:fill="D9D9D9"/>
          </w:tcPr>
          <w:p w14:paraId="00CDA8C7" w14:textId="77777777" w:rsidR="00AF3581" w:rsidRPr="00506303" w:rsidRDefault="00AF3581" w:rsidP="0067543B">
            <w:pPr>
              <w:rPr>
                <w:sz w:val="18"/>
                <w:szCs w:val="18"/>
              </w:rPr>
            </w:pPr>
          </w:p>
        </w:tc>
        <w:tc>
          <w:tcPr>
            <w:tcW w:w="472" w:type="dxa"/>
            <w:shd w:val="clear" w:color="auto" w:fill="D9D9D9"/>
          </w:tcPr>
          <w:p w14:paraId="6CD08693" w14:textId="77777777" w:rsidR="00AF3581" w:rsidRPr="00506303" w:rsidRDefault="00AF3581" w:rsidP="0067543B">
            <w:pPr>
              <w:rPr>
                <w:sz w:val="18"/>
                <w:szCs w:val="18"/>
              </w:rPr>
            </w:pPr>
          </w:p>
        </w:tc>
        <w:tc>
          <w:tcPr>
            <w:tcW w:w="472" w:type="dxa"/>
            <w:shd w:val="clear" w:color="auto" w:fill="D9D9D9"/>
          </w:tcPr>
          <w:p w14:paraId="16C79CA8" w14:textId="77777777" w:rsidR="00AF3581" w:rsidRPr="00506303" w:rsidRDefault="00AF3581" w:rsidP="0067543B">
            <w:pPr>
              <w:rPr>
                <w:sz w:val="18"/>
                <w:szCs w:val="18"/>
              </w:rPr>
            </w:pPr>
          </w:p>
        </w:tc>
        <w:tc>
          <w:tcPr>
            <w:tcW w:w="472" w:type="dxa"/>
            <w:shd w:val="clear" w:color="auto" w:fill="D9D9D9"/>
          </w:tcPr>
          <w:p w14:paraId="02D1A397" w14:textId="77777777" w:rsidR="00AF3581" w:rsidRPr="00506303" w:rsidRDefault="00AF3581" w:rsidP="0067543B">
            <w:pPr>
              <w:rPr>
                <w:sz w:val="18"/>
                <w:szCs w:val="18"/>
              </w:rPr>
            </w:pPr>
          </w:p>
        </w:tc>
        <w:tc>
          <w:tcPr>
            <w:tcW w:w="472" w:type="dxa"/>
            <w:shd w:val="clear" w:color="auto" w:fill="D9D9D9"/>
          </w:tcPr>
          <w:p w14:paraId="3F7D8111" w14:textId="77777777" w:rsidR="00AF3581" w:rsidRPr="00506303" w:rsidRDefault="00AF3581" w:rsidP="0067543B">
            <w:pPr>
              <w:rPr>
                <w:sz w:val="18"/>
                <w:szCs w:val="18"/>
              </w:rPr>
            </w:pPr>
          </w:p>
        </w:tc>
        <w:tc>
          <w:tcPr>
            <w:tcW w:w="473" w:type="dxa"/>
            <w:shd w:val="clear" w:color="auto" w:fill="D9D9D9"/>
          </w:tcPr>
          <w:p w14:paraId="4CCD3F45" w14:textId="77777777" w:rsidR="00AF3581" w:rsidRPr="00506303" w:rsidRDefault="00AF3581" w:rsidP="0067543B">
            <w:pPr>
              <w:rPr>
                <w:sz w:val="18"/>
                <w:szCs w:val="18"/>
              </w:rPr>
            </w:pPr>
          </w:p>
        </w:tc>
        <w:tc>
          <w:tcPr>
            <w:tcW w:w="473" w:type="dxa"/>
            <w:shd w:val="clear" w:color="auto" w:fill="D9D9D9"/>
          </w:tcPr>
          <w:p w14:paraId="79011F97" w14:textId="77777777" w:rsidR="00AF3581" w:rsidRPr="00506303" w:rsidRDefault="00AF3581" w:rsidP="0067543B">
            <w:pPr>
              <w:rPr>
                <w:sz w:val="18"/>
                <w:szCs w:val="18"/>
              </w:rPr>
            </w:pPr>
          </w:p>
        </w:tc>
        <w:tc>
          <w:tcPr>
            <w:tcW w:w="473" w:type="dxa"/>
            <w:shd w:val="clear" w:color="auto" w:fill="D9D9D9"/>
          </w:tcPr>
          <w:p w14:paraId="3B25E8C7" w14:textId="77777777" w:rsidR="00AF3581" w:rsidRPr="00506303" w:rsidRDefault="00AF3581" w:rsidP="0067543B">
            <w:pPr>
              <w:rPr>
                <w:sz w:val="18"/>
                <w:szCs w:val="18"/>
              </w:rPr>
            </w:pPr>
          </w:p>
        </w:tc>
        <w:tc>
          <w:tcPr>
            <w:tcW w:w="473" w:type="dxa"/>
            <w:shd w:val="clear" w:color="auto" w:fill="D9D9D9"/>
          </w:tcPr>
          <w:p w14:paraId="385FFD20" w14:textId="77777777" w:rsidR="00AF3581" w:rsidRPr="00506303" w:rsidRDefault="00AF3581" w:rsidP="0067543B">
            <w:pPr>
              <w:rPr>
                <w:sz w:val="18"/>
                <w:szCs w:val="18"/>
              </w:rPr>
            </w:pPr>
          </w:p>
        </w:tc>
        <w:tc>
          <w:tcPr>
            <w:tcW w:w="473" w:type="dxa"/>
            <w:shd w:val="clear" w:color="auto" w:fill="D9D9D9"/>
          </w:tcPr>
          <w:p w14:paraId="557E7E81" w14:textId="77777777" w:rsidR="00AF3581" w:rsidRPr="00506303" w:rsidRDefault="00AF3581" w:rsidP="0067543B">
            <w:pPr>
              <w:rPr>
                <w:sz w:val="18"/>
                <w:szCs w:val="18"/>
              </w:rPr>
            </w:pPr>
          </w:p>
        </w:tc>
        <w:tc>
          <w:tcPr>
            <w:tcW w:w="473" w:type="dxa"/>
            <w:shd w:val="clear" w:color="auto" w:fill="D9D9D9"/>
          </w:tcPr>
          <w:p w14:paraId="70C7F872" w14:textId="77777777" w:rsidR="00AF3581" w:rsidRPr="00506303" w:rsidRDefault="00AF3581" w:rsidP="0067543B">
            <w:pPr>
              <w:rPr>
                <w:sz w:val="18"/>
                <w:szCs w:val="18"/>
              </w:rPr>
            </w:pPr>
          </w:p>
        </w:tc>
        <w:tc>
          <w:tcPr>
            <w:tcW w:w="473" w:type="dxa"/>
            <w:shd w:val="clear" w:color="auto" w:fill="D9D9D9"/>
          </w:tcPr>
          <w:p w14:paraId="42932899" w14:textId="77777777" w:rsidR="00AF3581" w:rsidRPr="00506303" w:rsidRDefault="00AF3581" w:rsidP="0067543B">
            <w:pPr>
              <w:rPr>
                <w:sz w:val="18"/>
                <w:szCs w:val="18"/>
              </w:rPr>
            </w:pPr>
          </w:p>
        </w:tc>
        <w:tc>
          <w:tcPr>
            <w:tcW w:w="473" w:type="dxa"/>
            <w:shd w:val="clear" w:color="auto" w:fill="D9D9D9"/>
          </w:tcPr>
          <w:p w14:paraId="228940BD" w14:textId="77777777" w:rsidR="00AF3581" w:rsidRPr="00506303" w:rsidRDefault="00AF3581" w:rsidP="0067543B">
            <w:pPr>
              <w:rPr>
                <w:sz w:val="18"/>
                <w:szCs w:val="18"/>
              </w:rPr>
            </w:pPr>
          </w:p>
        </w:tc>
        <w:tc>
          <w:tcPr>
            <w:tcW w:w="473" w:type="dxa"/>
            <w:shd w:val="clear" w:color="auto" w:fill="D9D9D9"/>
          </w:tcPr>
          <w:p w14:paraId="06854D42" w14:textId="77777777" w:rsidR="00AF3581" w:rsidRPr="00506303" w:rsidRDefault="00AF3581" w:rsidP="0067543B">
            <w:pPr>
              <w:rPr>
                <w:sz w:val="18"/>
                <w:szCs w:val="18"/>
              </w:rPr>
            </w:pPr>
          </w:p>
        </w:tc>
        <w:tc>
          <w:tcPr>
            <w:tcW w:w="473" w:type="dxa"/>
            <w:shd w:val="clear" w:color="auto" w:fill="D9D9D9"/>
          </w:tcPr>
          <w:p w14:paraId="42F1921A" w14:textId="77777777" w:rsidR="00AF3581" w:rsidRPr="00506303" w:rsidRDefault="00AF3581" w:rsidP="0067543B">
            <w:pPr>
              <w:rPr>
                <w:sz w:val="18"/>
                <w:szCs w:val="18"/>
              </w:rPr>
            </w:pPr>
          </w:p>
        </w:tc>
      </w:tr>
      <w:tr w:rsidR="00E071AC" w:rsidRPr="00506303" w14:paraId="529CFC68" w14:textId="77777777" w:rsidTr="00E071AC">
        <w:tc>
          <w:tcPr>
            <w:tcW w:w="944" w:type="dxa"/>
            <w:shd w:val="clear" w:color="auto" w:fill="auto"/>
          </w:tcPr>
          <w:p w14:paraId="41BDB58C" w14:textId="77777777" w:rsidR="00AF3581" w:rsidRPr="00506303" w:rsidRDefault="00AF3581" w:rsidP="0067543B">
            <w:pPr>
              <w:rPr>
                <w:sz w:val="18"/>
                <w:szCs w:val="18"/>
              </w:rPr>
            </w:pPr>
            <w:r w:rsidRPr="00506303">
              <w:rPr>
                <w:sz w:val="18"/>
                <w:szCs w:val="18"/>
              </w:rPr>
              <w:t>2.2.5</w:t>
            </w:r>
          </w:p>
        </w:tc>
        <w:tc>
          <w:tcPr>
            <w:tcW w:w="3776" w:type="dxa"/>
            <w:shd w:val="clear" w:color="auto" w:fill="auto"/>
          </w:tcPr>
          <w:p w14:paraId="25EA9254" w14:textId="77777777" w:rsidR="00AF3581" w:rsidRPr="00506303" w:rsidRDefault="00AF3581" w:rsidP="0067543B">
            <w:pPr>
              <w:rPr>
                <w:sz w:val="18"/>
                <w:szCs w:val="18"/>
              </w:rPr>
            </w:pPr>
            <w:r w:rsidRPr="00506303">
              <w:rPr>
                <w:sz w:val="18"/>
                <w:szCs w:val="18"/>
              </w:rPr>
              <w:t>Quantification of effluent volumes and contaminant loadings from coastal aquaculture to the SCS marine basin</w:t>
            </w:r>
          </w:p>
        </w:tc>
        <w:tc>
          <w:tcPr>
            <w:tcW w:w="472" w:type="dxa"/>
            <w:shd w:val="clear" w:color="auto" w:fill="auto"/>
          </w:tcPr>
          <w:p w14:paraId="32FC6B85" w14:textId="77777777" w:rsidR="00AF3581" w:rsidRPr="00506303" w:rsidRDefault="00AF3581" w:rsidP="0067543B">
            <w:pPr>
              <w:rPr>
                <w:sz w:val="18"/>
                <w:szCs w:val="18"/>
              </w:rPr>
            </w:pPr>
          </w:p>
        </w:tc>
        <w:tc>
          <w:tcPr>
            <w:tcW w:w="472" w:type="dxa"/>
            <w:shd w:val="clear" w:color="auto" w:fill="auto"/>
          </w:tcPr>
          <w:p w14:paraId="18B5A057" w14:textId="77777777" w:rsidR="00AF3581" w:rsidRPr="00506303" w:rsidRDefault="00AF3581" w:rsidP="0067543B">
            <w:pPr>
              <w:rPr>
                <w:sz w:val="18"/>
                <w:szCs w:val="18"/>
              </w:rPr>
            </w:pPr>
          </w:p>
        </w:tc>
        <w:tc>
          <w:tcPr>
            <w:tcW w:w="472" w:type="dxa"/>
            <w:shd w:val="clear" w:color="auto" w:fill="auto"/>
          </w:tcPr>
          <w:p w14:paraId="0AD4E6FA" w14:textId="77777777" w:rsidR="00AF3581" w:rsidRPr="00506303" w:rsidRDefault="00AF3581" w:rsidP="0067543B">
            <w:pPr>
              <w:rPr>
                <w:sz w:val="18"/>
                <w:szCs w:val="18"/>
              </w:rPr>
            </w:pPr>
          </w:p>
        </w:tc>
        <w:tc>
          <w:tcPr>
            <w:tcW w:w="472" w:type="dxa"/>
            <w:shd w:val="clear" w:color="auto" w:fill="auto"/>
          </w:tcPr>
          <w:p w14:paraId="24ADAF3B" w14:textId="77777777" w:rsidR="00AF3581" w:rsidRPr="00506303" w:rsidRDefault="00AF3581" w:rsidP="0067543B">
            <w:pPr>
              <w:rPr>
                <w:sz w:val="18"/>
                <w:szCs w:val="18"/>
              </w:rPr>
            </w:pPr>
          </w:p>
        </w:tc>
        <w:tc>
          <w:tcPr>
            <w:tcW w:w="472" w:type="dxa"/>
            <w:shd w:val="clear" w:color="auto" w:fill="D9D9D9"/>
          </w:tcPr>
          <w:p w14:paraId="36283CEE" w14:textId="77777777" w:rsidR="00AF3581" w:rsidRPr="00506303" w:rsidRDefault="00AF3581" w:rsidP="0067543B">
            <w:pPr>
              <w:rPr>
                <w:sz w:val="18"/>
                <w:szCs w:val="18"/>
              </w:rPr>
            </w:pPr>
          </w:p>
        </w:tc>
        <w:tc>
          <w:tcPr>
            <w:tcW w:w="472" w:type="dxa"/>
            <w:shd w:val="clear" w:color="auto" w:fill="D9D9D9"/>
          </w:tcPr>
          <w:p w14:paraId="40B64FC7" w14:textId="77777777" w:rsidR="00AF3581" w:rsidRPr="00506303" w:rsidRDefault="00AF3581" w:rsidP="0067543B">
            <w:pPr>
              <w:rPr>
                <w:sz w:val="18"/>
                <w:szCs w:val="18"/>
              </w:rPr>
            </w:pPr>
          </w:p>
        </w:tc>
        <w:tc>
          <w:tcPr>
            <w:tcW w:w="472" w:type="dxa"/>
            <w:shd w:val="clear" w:color="auto" w:fill="D9D9D9"/>
          </w:tcPr>
          <w:p w14:paraId="2D1F4C8D" w14:textId="77777777" w:rsidR="00AF3581" w:rsidRPr="00506303" w:rsidRDefault="00AF3581" w:rsidP="0067543B">
            <w:pPr>
              <w:rPr>
                <w:sz w:val="18"/>
                <w:szCs w:val="18"/>
              </w:rPr>
            </w:pPr>
          </w:p>
        </w:tc>
        <w:tc>
          <w:tcPr>
            <w:tcW w:w="472" w:type="dxa"/>
            <w:shd w:val="clear" w:color="auto" w:fill="D9D9D9"/>
          </w:tcPr>
          <w:p w14:paraId="24C88D19" w14:textId="77777777" w:rsidR="00AF3581" w:rsidRPr="00506303" w:rsidRDefault="00AF3581" w:rsidP="0067543B">
            <w:pPr>
              <w:rPr>
                <w:sz w:val="18"/>
                <w:szCs w:val="18"/>
              </w:rPr>
            </w:pPr>
          </w:p>
        </w:tc>
        <w:tc>
          <w:tcPr>
            <w:tcW w:w="472" w:type="dxa"/>
            <w:shd w:val="clear" w:color="auto" w:fill="D9D9D9"/>
          </w:tcPr>
          <w:p w14:paraId="3CD9C3AF" w14:textId="77777777" w:rsidR="00AF3581" w:rsidRPr="00506303" w:rsidRDefault="00AF3581" w:rsidP="0067543B">
            <w:pPr>
              <w:rPr>
                <w:sz w:val="18"/>
                <w:szCs w:val="18"/>
              </w:rPr>
            </w:pPr>
          </w:p>
        </w:tc>
        <w:tc>
          <w:tcPr>
            <w:tcW w:w="472" w:type="dxa"/>
            <w:shd w:val="clear" w:color="auto" w:fill="D9D9D9"/>
          </w:tcPr>
          <w:p w14:paraId="0934F4FB" w14:textId="77777777" w:rsidR="00AF3581" w:rsidRPr="00506303" w:rsidRDefault="00AF3581" w:rsidP="0067543B">
            <w:pPr>
              <w:rPr>
                <w:sz w:val="18"/>
                <w:szCs w:val="18"/>
              </w:rPr>
            </w:pPr>
          </w:p>
        </w:tc>
        <w:tc>
          <w:tcPr>
            <w:tcW w:w="473" w:type="dxa"/>
            <w:shd w:val="clear" w:color="auto" w:fill="D9D9D9"/>
          </w:tcPr>
          <w:p w14:paraId="4FA703F2" w14:textId="77777777" w:rsidR="00AF3581" w:rsidRPr="00506303" w:rsidRDefault="00AF3581" w:rsidP="0067543B">
            <w:pPr>
              <w:rPr>
                <w:sz w:val="18"/>
                <w:szCs w:val="18"/>
              </w:rPr>
            </w:pPr>
          </w:p>
        </w:tc>
        <w:tc>
          <w:tcPr>
            <w:tcW w:w="473" w:type="dxa"/>
            <w:shd w:val="clear" w:color="auto" w:fill="D9D9D9"/>
          </w:tcPr>
          <w:p w14:paraId="554F2EAF" w14:textId="77777777" w:rsidR="00AF3581" w:rsidRPr="00506303" w:rsidRDefault="00AF3581" w:rsidP="0067543B">
            <w:pPr>
              <w:rPr>
                <w:sz w:val="18"/>
                <w:szCs w:val="18"/>
              </w:rPr>
            </w:pPr>
          </w:p>
        </w:tc>
        <w:tc>
          <w:tcPr>
            <w:tcW w:w="473" w:type="dxa"/>
            <w:shd w:val="clear" w:color="auto" w:fill="D9D9D9"/>
          </w:tcPr>
          <w:p w14:paraId="59BECC42" w14:textId="77777777" w:rsidR="00AF3581" w:rsidRPr="00506303" w:rsidRDefault="00AF3581" w:rsidP="0067543B">
            <w:pPr>
              <w:rPr>
                <w:sz w:val="18"/>
                <w:szCs w:val="18"/>
              </w:rPr>
            </w:pPr>
          </w:p>
        </w:tc>
        <w:tc>
          <w:tcPr>
            <w:tcW w:w="473" w:type="dxa"/>
            <w:shd w:val="clear" w:color="auto" w:fill="D9D9D9"/>
          </w:tcPr>
          <w:p w14:paraId="07AEF445" w14:textId="77777777" w:rsidR="00AF3581" w:rsidRPr="00506303" w:rsidRDefault="00AF3581" w:rsidP="0067543B">
            <w:pPr>
              <w:rPr>
                <w:sz w:val="18"/>
                <w:szCs w:val="18"/>
              </w:rPr>
            </w:pPr>
          </w:p>
        </w:tc>
        <w:tc>
          <w:tcPr>
            <w:tcW w:w="473" w:type="dxa"/>
            <w:shd w:val="clear" w:color="auto" w:fill="D9D9D9"/>
          </w:tcPr>
          <w:p w14:paraId="5DDDAAF2" w14:textId="77777777" w:rsidR="00AF3581" w:rsidRPr="00506303" w:rsidRDefault="00AF3581" w:rsidP="0067543B">
            <w:pPr>
              <w:rPr>
                <w:sz w:val="18"/>
                <w:szCs w:val="18"/>
              </w:rPr>
            </w:pPr>
          </w:p>
        </w:tc>
        <w:tc>
          <w:tcPr>
            <w:tcW w:w="473" w:type="dxa"/>
            <w:shd w:val="clear" w:color="auto" w:fill="D9D9D9"/>
          </w:tcPr>
          <w:p w14:paraId="1BF3E261" w14:textId="77777777" w:rsidR="00AF3581" w:rsidRPr="00506303" w:rsidRDefault="00AF3581" w:rsidP="0067543B">
            <w:pPr>
              <w:rPr>
                <w:sz w:val="18"/>
                <w:szCs w:val="18"/>
              </w:rPr>
            </w:pPr>
          </w:p>
        </w:tc>
        <w:tc>
          <w:tcPr>
            <w:tcW w:w="473" w:type="dxa"/>
            <w:shd w:val="clear" w:color="auto" w:fill="FFFFFF"/>
          </w:tcPr>
          <w:p w14:paraId="76405C41" w14:textId="77777777" w:rsidR="00AF3581" w:rsidRPr="00506303" w:rsidRDefault="00AF3581" w:rsidP="0067543B">
            <w:pPr>
              <w:rPr>
                <w:sz w:val="18"/>
                <w:szCs w:val="18"/>
              </w:rPr>
            </w:pPr>
          </w:p>
        </w:tc>
        <w:tc>
          <w:tcPr>
            <w:tcW w:w="473" w:type="dxa"/>
            <w:shd w:val="clear" w:color="auto" w:fill="FFFFFF"/>
          </w:tcPr>
          <w:p w14:paraId="1E203296" w14:textId="77777777" w:rsidR="00AF3581" w:rsidRPr="00506303" w:rsidRDefault="00AF3581" w:rsidP="0067543B">
            <w:pPr>
              <w:rPr>
                <w:sz w:val="18"/>
                <w:szCs w:val="18"/>
              </w:rPr>
            </w:pPr>
          </w:p>
        </w:tc>
        <w:tc>
          <w:tcPr>
            <w:tcW w:w="473" w:type="dxa"/>
            <w:shd w:val="clear" w:color="auto" w:fill="FFFFFF"/>
          </w:tcPr>
          <w:p w14:paraId="54415977" w14:textId="77777777" w:rsidR="00AF3581" w:rsidRPr="00506303" w:rsidRDefault="00AF3581" w:rsidP="0067543B">
            <w:pPr>
              <w:rPr>
                <w:sz w:val="18"/>
                <w:szCs w:val="18"/>
              </w:rPr>
            </w:pPr>
          </w:p>
        </w:tc>
        <w:tc>
          <w:tcPr>
            <w:tcW w:w="473" w:type="dxa"/>
            <w:shd w:val="clear" w:color="auto" w:fill="FFFFFF"/>
          </w:tcPr>
          <w:p w14:paraId="6A12142D" w14:textId="77777777" w:rsidR="00AF3581" w:rsidRPr="00506303" w:rsidRDefault="00AF3581" w:rsidP="0067543B">
            <w:pPr>
              <w:rPr>
                <w:sz w:val="18"/>
                <w:szCs w:val="18"/>
              </w:rPr>
            </w:pPr>
          </w:p>
        </w:tc>
      </w:tr>
      <w:tr w:rsidR="00AF3581" w:rsidRPr="00506303" w14:paraId="4501BFCD" w14:textId="77777777" w:rsidTr="00506303">
        <w:tc>
          <w:tcPr>
            <w:tcW w:w="944" w:type="dxa"/>
            <w:shd w:val="clear" w:color="auto" w:fill="auto"/>
          </w:tcPr>
          <w:p w14:paraId="6B8BF77F" w14:textId="77777777" w:rsidR="00AF3581" w:rsidRPr="00506303" w:rsidRDefault="00AF3581" w:rsidP="0067543B">
            <w:pPr>
              <w:rPr>
                <w:b/>
                <w:sz w:val="18"/>
                <w:szCs w:val="18"/>
              </w:rPr>
            </w:pPr>
            <w:r w:rsidRPr="00506303">
              <w:rPr>
                <w:b/>
                <w:sz w:val="18"/>
                <w:szCs w:val="18"/>
              </w:rPr>
              <w:t>2.3</w:t>
            </w:r>
          </w:p>
        </w:tc>
        <w:tc>
          <w:tcPr>
            <w:tcW w:w="13226" w:type="dxa"/>
            <w:gridSpan w:val="21"/>
            <w:shd w:val="clear" w:color="auto" w:fill="auto"/>
          </w:tcPr>
          <w:p w14:paraId="73A2BB8B" w14:textId="77777777" w:rsidR="00AF3581" w:rsidRPr="00506303" w:rsidRDefault="00AF3581" w:rsidP="0067543B">
            <w:pPr>
              <w:rPr>
                <w:b/>
                <w:sz w:val="18"/>
                <w:szCs w:val="18"/>
              </w:rPr>
            </w:pPr>
            <w:r w:rsidRPr="00506303">
              <w:rPr>
                <w:b/>
                <w:sz w:val="18"/>
                <w:szCs w:val="18"/>
              </w:rPr>
              <w:t>Strengthened and harmonized national policies and laws, and supporting financial mechanism, for the management of land-based sources of pollution</w:t>
            </w:r>
          </w:p>
        </w:tc>
      </w:tr>
      <w:tr w:rsidR="00E071AC" w:rsidRPr="00506303" w14:paraId="1AF3880D" w14:textId="77777777" w:rsidTr="00E071AC">
        <w:tc>
          <w:tcPr>
            <w:tcW w:w="944" w:type="dxa"/>
            <w:shd w:val="clear" w:color="auto" w:fill="auto"/>
          </w:tcPr>
          <w:p w14:paraId="6F28027F" w14:textId="77777777" w:rsidR="00AF3581" w:rsidRPr="00506303" w:rsidRDefault="00AF3581" w:rsidP="0067543B">
            <w:pPr>
              <w:rPr>
                <w:sz w:val="18"/>
                <w:szCs w:val="18"/>
              </w:rPr>
            </w:pPr>
            <w:r w:rsidRPr="00506303">
              <w:rPr>
                <w:sz w:val="18"/>
                <w:szCs w:val="18"/>
              </w:rPr>
              <w:t>2.3.1</w:t>
            </w:r>
          </w:p>
        </w:tc>
        <w:tc>
          <w:tcPr>
            <w:tcW w:w="3776" w:type="dxa"/>
            <w:shd w:val="clear" w:color="auto" w:fill="auto"/>
          </w:tcPr>
          <w:p w14:paraId="6CF4B8F8" w14:textId="77777777" w:rsidR="00AF3581" w:rsidRPr="00506303" w:rsidRDefault="00AF3581" w:rsidP="0067543B">
            <w:pPr>
              <w:rPr>
                <w:sz w:val="18"/>
                <w:szCs w:val="18"/>
              </w:rPr>
            </w:pPr>
            <w:r w:rsidRPr="00506303">
              <w:rPr>
                <w:sz w:val="18"/>
                <w:szCs w:val="18"/>
              </w:rPr>
              <w:t>Document and share national best practices in waste water management, law enforcement, and community and industry participation in managing land-based sources of pollution</w:t>
            </w:r>
          </w:p>
        </w:tc>
        <w:tc>
          <w:tcPr>
            <w:tcW w:w="472" w:type="dxa"/>
            <w:shd w:val="clear" w:color="auto" w:fill="auto"/>
          </w:tcPr>
          <w:p w14:paraId="03690599" w14:textId="77777777" w:rsidR="00AF3581" w:rsidRPr="00506303" w:rsidRDefault="00AF3581" w:rsidP="0067543B">
            <w:pPr>
              <w:rPr>
                <w:sz w:val="18"/>
                <w:szCs w:val="18"/>
              </w:rPr>
            </w:pPr>
          </w:p>
        </w:tc>
        <w:tc>
          <w:tcPr>
            <w:tcW w:w="472" w:type="dxa"/>
            <w:shd w:val="clear" w:color="auto" w:fill="auto"/>
          </w:tcPr>
          <w:p w14:paraId="6F0869AA" w14:textId="77777777" w:rsidR="00AF3581" w:rsidRPr="00506303" w:rsidRDefault="00AF3581" w:rsidP="0067543B">
            <w:pPr>
              <w:rPr>
                <w:sz w:val="18"/>
                <w:szCs w:val="18"/>
              </w:rPr>
            </w:pPr>
          </w:p>
        </w:tc>
        <w:tc>
          <w:tcPr>
            <w:tcW w:w="472" w:type="dxa"/>
            <w:shd w:val="clear" w:color="auto" w:fill="D9D9D9"/>
          </w:tcPr>
          <w:p w14:paraId="30CA899B" w14:textId="77777777" w:rsidR="00AF3581" w:rsidRPr="00506303" w:rsidRDefault="00AF3581" w:rsidP="0067543B">
            <w:pPr>
              <w:rPr>
                <w:sz w:val="18"/>
                <w:szCs w:val="18"/>
              </w:rPr>
            </w:pPr>
          </w:p>
        </w:tc>
        <w:tc>
          <w:tcPr>
            <w:tcW w:w="472" w:type="dxa"/>
            <w:shd w:val="clear" w:color="auto" w:fill="D9D9D9"/>
          </w:tcPr>
          <w:p w14:paraId="650DDA0B" w14:textId="77777777" w:rsidR="00AF3581" w:rsidRPr="00506303" w:rsidRDefault="00AF3581" w:rsidP="0067543B">
            <w:pPr>
              <w:rPr>
                <w:sz w:val="18"/>
                <w:szCs w:val="18"/>
              </w:rPr>
            </w:pPr>
          </w:p>
        </w:tc>
        <w:tc>
          <w:tcPr>
            <w:tcW w:w="472" w:type="dxa"/>
            <w:shd w:val="clear" w:color="auto" w:fill="D9D9D9"/>
          </w:tcPr>
          <w:p w14:paraId="5F72D6EC" w14:textId="77777777" w:rsidR="00AF3581" w:rsidRPr="00506303" w:rsidRDefault="00AF3581" w:rsidP="0067543B">
            <w:pPr>
              <w:rPr>
                <w:sz w:val="18"/>
                <w:szCs w:val="18"/>
              </w:rPr>
            </w:pPr>
          </w:p>
        </w:tc>
        <w:tc>
          <w:tcPr>
            <w:tcW w:w="472" w:type="dxa"/>
            <w:shd w:val="clear" w:color="auto" w:fill="D9D9D9"/>
          </w:tcPr>
          <w:p w14:paraId="53AC1066" w14:textId="77777777" w:rsidR="00AF3581" w:rsidRPr="00506303" w:rsidRDefault="00AF3581" w:rsidP="0067543B">
            <w:pPr>
              <w:rPr>
                <w:sz w:val="18"/>
                <w:szCs w:val="18"/>
              </w:rPr>
            </w:pPr>
          </w:p>
        </w:tc>
        <w:tc>
          <w:tcPr>
            <w:tcW w:w="472" w:type="dxa"/>
            <w:shd w:val="clear" w:color="auto" w:fill="D9D9D9"/>
          </w:tcPr>
          <w:p w14:paraId="0AFDEBC7" w14:textId="77777777" w:rsidR="00AF3581" w:rsidRPr="00506303" w:rsidRDefault="00AF3581" w:rsidP="0067543B">
            <w:pPr>
              <w:rPr>
                <w:sz w:val="18"/>
                <w:szCs w:val="18"/>
              </w:rPr>
            </w:pPr>
          </w:p>
        </w:tc>
        <w:tc>
          <w:tcPr>
            <w:tcW w:w="472" w:type="dxa"/>
            <w:shd w:val="clear" w:color="auto" w:fill="D9D9D9"/>
          </w:tcPr>
          <w:p w14:paraId="4A4AF926" w14:textId="77777777" w:rsidR="00AF3581" w:rsidRPr="00506303" w:rsidRDefault="00AF3581" w:rsidP="0067543B">
            <w:pPr>
              <w:rPr>
                <w:sz w:val="18"/>
                <w:szCs w:val="18"/>
              </w:rPr>
            </w:pPr>
          </w:p>
        </w:tc>
        <w:tc>
          <w:tcPr>
            <w:tcW w:w="472" w:type="dxa"/>
            <w:shd w:val="clear" w:color="auto" w:fill="auto"/>
          </w:tcPr>
          <w:p w14:paraId="39450810" w14:textId="77777777" w:rsidR="00AF3581" w:rsidRPr="00506303" w:rsidRDefault="00AF3581" w:rsidP="0067543B">
            <w:pPr>
              <w:rPr>
                <w:sz w:val="18"/>
                <w:szCs w:val="18"/>
              </w:rPr>
            </w:pPr>
          </w:p>
        </w:tc>
        <w:tc>
          <w:tcPr>
            <w:tcW w:w="472" w:type="dxa"/>
            <w:shd w:val="clear" w:color="auto" w:fill="auto"/>
          </w:tcPr>
          <w:p w14:paraId="28531ED0" w14:textId="77777777" w:rsidR="00AF3581" w:rsidRPr="00506303" w:rsidRDefault="00AF3581" w:rsidP="0067543B">
            <w:pPr>
              <w:rPr>
                <w:sz w:val="18"/>
                <w:szCs w:val="18"/>
              </w:rPr>
            </w:pPr>
          </w:p>
        </w:tc>
        <w:tc>
          <w:tcPr>
            <w:tcW w:w="473" w:type="dxa"/>
            <w:shd w:val="clear" w:color="auto" w:fill="auto"/>
          </w:tcPr>
          <w:p w14:paraId="17D1D29A" w14:textId="77777777" w:rsidR="00AF3581" w:rsidRPr="00506303" w:rsidRDefault="00AF3581" w:rsidP="0067543B">
            <w:pPr>
              <w:rPr>
                <w:sz w:val="18"/>
                <w:szCs w:val="18"/>
              </w:rPr>
            </w:pPr>
          </w:p>
        </w:tc>
        <w:tc>
          <w:tcPr>
            <w:tcW w:w="473" w:type="dxa"/>
            <w:shd w:val="clear" w:color="auto" w:fill="auto"/>
          </w:tcPr>
          <w:p w14:paraId="67892AE5" w14:textId="77777777" w:rsidR="00AF3581" w:rsidRPr="00506303" w:rsidRDefault="00AF3581" w:rsidP="0067543B">
            <w:pPr>
              <w:rPr>
                <w:sz w:val="18"/>
                <w:szCs w:val="18"/>
              </w:rPr>
            </w:pPr>
          </w:p>
        </w:tc>
        <w:tc>
          <w:tcPr>
            <w:tcW w:w="473" w:type="dxa"/>
            <w:shd w:val="clear" w:color="auto" w:fill="auto"/>
          </w:tcPr>
          <w:p w14:paraId="143F81F0" w14:textId="77777777" w:rsidR="00AF3581" w:rsidRPr="00506303" w:rsidRDefault="00AF3581" w:rsidP="0067543B">
            <w:pPr>
              <w:rPr>
                <w:sz w:val="18"/>
                <w:szCs w:val="18"/>
              </w:rPr>
            </w:pPr>
          </w:p>
        </w:tc>
        <w:tc>
          <w:tcPr>
            <w:tcW w:w="473" w:type="dxa"/>
            <w:shd w:val="clear" w:color="auto" w:fill="auto"/>
          </w:tcPr>
          <w:p w14:paraId="6368997F" w14:textId="77777777" w:rsidR="00AF3581" w:rsidRPr="00506303" w:rsidRDefault="00AF3581" w:rsidP="0067543B">
            <w:pPr>
              <w:rPr>
                <w:sz w:val="18"/>
                <w:szCs w:val="18"/>
              </w:rPr>
            </w:pPr>
          </w:p>
        </w:tc>
        <w:tc>
          <w:tcPr>
            <w:tcW w:w="473" w:type="dxa"/>
            <w:shd w:val="clear" w:color="auto" w:fill="auto"/>
          </w:tcPr>
          <w:p w14:paraId="3ED577A7" w14:textId="77777777" w:rsidR="00AF3581" w:rsidRPr="00506303" w:rsidRDefault="00AF3581" w:rsidP="0067543B">
            <w:pPr>
              <w:rPr>
                <w:sz w:val="18"/>
                <w:szCs w:val="18"/>
              </w:rPr>
            </w:pPr>
          </w:p>
        </w:tc>
        <w:tc>
          <w:tcPr>
            <w:tcW w:w="473" w:type="dxa"/>
            <w:shd w:val="clear" w:color="auto" w:fill="auto"/>
          </w:tcPr>
          <w:p w14:paraId="1E5C0555" w14:textId="77777777" w:rsidR="00AF3581" w:rsidRPr="00506303" w:rsidRDefault="00AF3581" w:rsidP="0067543B">
            <w:pPr>
              <w:rPr>
                <w:sz w:val="18"/>
                <w:szCs w:val="18"/>
              </w:rPr>
            </w:pPr>
          </w:p>
        </w:tc>
        <w:tc>
          <w:tcPr>
            <w:tcW w:w="473" w:type="dxa"/>
            <w:shd w:val="clear" w:color="auto" w:fill="auto"/>
          </w:tcPr>
          <w:p w14:paraId="4B45422E" w14:textId="77777777" w:rsidR="00AF3581" w:rsidRPr="00506303" w:rsidRDefault="00AF3581" w:rsidP="0067543B">
            <w:pPr>
              <w:rPr>
                <w:sz w:val="18"/>
                <w:szCs w:val="18"/>
              </w:rPr>
            </w:pPr>
          </w:p>
        </w:tc>
        <w:tc>
          <w:tcPr>
            <w:tcW w:w="473" w:type="dxa"/>
            <w:shd w:val="clear" w:color="auto" w:fill="auto"/>
          </w:tcPr>
          <w:p w14:paraId="3B08B04F" w14:textId="77777777" w:rsidR="00AF3581" w:rsidRPr="00506303" w:rsidRDefault="00AF3581" w:rsidP="0067543B">
            <w:pPr>
              <w:rPr>
                <w:sz w:val="18"/>
                <w:szCs w:val="18"/>
              </w:rPr>
            </w:pPr>
          </w:p>
        </w:tc>
        <w:tc>
          <w:tcPr>
            <w:tcW w:w="473" w:type="dxa"/>
            <w:shd w:val="clear" w:color="auto" w:fill="auto"/>
          </w:tcPr>
          <w:p w14:paraId="5760991F" w14:textId="77777777" w:rsidR="00AF3581" w:rsidRPr="00506303" w:rsidRDefault="00AF3581" w:rsidP="0067543B">
            <w:pPr>
              <w:rPr>
                <w:sz w:val="18"/>
                <w:szCs w:val="18"/>
              </w:rPr>
            </w:pPr>
          </w:p>
        </w:tc>
        <w:tc>
          <w:tcPr>
            <w:tcW w:w="473" w:type="dxa"/>
            <w:shd w:val="clear" w:color="auto" w:fill="auto"/>
          </w:tcPr>
          <w:p w14:paraId="2FDF0C9C" w14:textId="77777777" w:rsidR="00AF3581" w:rsidRPr="00506303" w:rsidRDefault="00AF3581" w:rsidP="0067543B">
            <w:pPr>
              <w:rPr>
                <w:sz w:val="18"/>
                <w:szCs w:val="18"/>
              </w:rPr>
            </w:pPr>
          </w:p>
        </w:tc>
      </w:tr>
      <w:tr w:rsidR="00AF3581" w:rsidRPr="00506303" w14:paraId="2BAD7E0E" w14:textId="77777777" w:rsidTr="00E071AC">
        <w:tc>
          <w:tcPr>
            <w:tcW w:w="944" w:type="dxa"/>
            <w:shd w:val="clear" w:color="auto" w:fill="auto"/>
          </w:tcPr>
          <w:p w14:paraId="0BB72A3A" w14:textId="77777777" w:rsidR="00AF3581" w:rsidRPr="00506303" w:rsidRDefault="00AF3581" w:rsidP="0067543B">
            <w:pPr>
              <w:rPr>
                <w:sz w:val="18"/>
                <w:szCs w:val="18"/>
              </w:rPr>
            </w:pPr>
            <w:r w:rsidRPr="00506303">
              <w:rPr>
                <w:sz w:val="18"/>
                <w:szCs w:val="18"/>
              </w:rPr>
              <w:t>2.3.2</w:t>
            </w:r>
          </w:p>
        </w:tc>
        <w:tc>
          <w:tcPr>
            <w:tcW w:w="3776" w:type="dxa"/>
            <w:shd w:val="clear" w:color="auto" w:fill="auto"/>
          </w:tcPr>
          <w:p w14:paraId="0CDB9BD6" w14:textId="77777777" w:rsidR="00AF3581" w:rsidRPr="00506303" w:rsidRDefault="00AF3581" w:rsidP="0067543B">
            <w:pPr>
              <w:rPr>
                <w:sz w:val="18"/>
                <w:szCs w:val="18"/>
              </w:rPr>
            </w:pPr>
            <w:r w:rsidRPr="00506303">
              <w:rPr>
                <w:sz w:val="18"/>
                <w:szCs w:val="18"/>
              </w:rPr>
              <w:t>Review legislative and institutional frameworks for land-based pollution management in participating countries</w:t>
            </w:r>
          </w:p>
        </w:tc>
        <w:tc>
          <w:tcPr>
            <w:tcW w:w="472" w:type="dxa"/>
            <w:shd w:val="clear" w:color="auto" w:fill="D9D9D9"/>
          </w:tcPr>
          <w:p w14:paraId="5FF60D06" w14:textId="77777777" w:rsidR="00AF3581" w:rsidRPr="00506303" w:rsidRDefault="00AF3581" w:rsidP="0067543B">
            <w:pPr>
              <w:rPr>
                <w:sz w:val="18"/>
                <w:szCs w:val="18"/>
              </w:rPr>
            </w:pPr>
          </w:p>
        </w:tc>
        <w:tc>
          <w:tcPr>
            <w:tcW w:w="472" w:type="dxa"/>
            <w:shd w:val="clear" w:color="auto" w:fill="D9D9D9"/>
          </w:tcPr>
          <w:p w14:paraId="7D5E866D" w14:textId="77777777" w:rsidR="00AF3581" w:rsidRPr="00506303" w:rsidRDefault="00AF3581" w:rsidP="0067543B">
            <w:pPr>
              <w:rPr>
                <w:sz w:val="18"/>
                <w:szCs w:val="18"/>
              </w:rPr>
            </w:pPr>
          </w:p>
        </w:tc>
        <w:tc>
          <w:tcPr>
            <w:tcW w:w="472" w:type="dxa"/>
            <w:shd w:val="clear" w:color="auto" w:fill="D9D9D9"/>
          </w:tcPr>
          <w:p w14:paraId="2E580F57" w14:textId="77777777" w:rsidR="00AF3581" w:rsidRPr="00506303" w:rsidRDefault="00AF3581" w:rsidP="0067543B">
            <w:pPr>
              <w:rPr>
                <w:sz w:val="18"/>
                <w:szCs w:val="18"/>
              </w:rPr>
            </w:pPr>
          </w:p>
        </w:tc>
        <w:tc>
          <w:tcPr>
            <w:tcW w:w="472" w:type="dxa"/>
            <w:shd w:val="clear" w:color="auto" w:fill="D9D9D9"/>
          </w:tcPr>
          <w:p w14:paraId="03514D4F" w14:textId="77777777" w:rsidR="00AF3581" w:rsidRPr="00506303" w:rsidRDefault="00AF3581" w:rsidP="0067543B">
            <w:pPr>
              <w:rPr>
                <w:sz w:val="18"/>
                <w:szCs w:val="18"/>
              </w:rPr>
            </w:pPr>
          </w:p>
        </w:tc>
        <w:tc>
          <w:tcPr>
            <w:tcW w:w="472" w:type="dxa"/>
            <w:shd w:val="clear" w:color="auto" w:fill="auto"/>
          </w:tcPr>
          <w:p w14:paraId="610F74DD" w14:textId="77777777" w:rsidR="00AF3581" w:rsidRPr="00506303" w:rsidRDefault="00AF3581" w:rsidP="0067543B">
            <w:pPr>
              <w:rPr>
                <w:sz w:val="18"/>
                <w:szCs w:val="18"/>
              </w:rPr>
            </w:pPr>
          </w:p>
        </w:tc>
        <w:tc>
          <w:tcPr>
            <w:tcW w:w="472" w:type="dxa"/>
            <w:shd w:val="clear" w:color="auto" w:fill="auto"/>
          </w:tcPr>
          <w:p w14:paraId="29031FBA" w14:textId="77777777" w:rsidR="00AF3581" w:rsidRPr="00506303" w:rsidRDefault="00AF3581" w:rsidP="0067543B">
            <w:pPr>
              <w:rPr>
                <w:sz w:val="18"/>
                <w:szCs w:val="18"/>
              </w:rPr>
            </w:pPr>
          </w:p>
        </w:tc>
        <w:tc>
          <w:tcPr>
            <w:tcW w:w="472" w:type="dxa"/>
            <w:shd w:val="clear" w:color="auto" w:fill="auto"/>
          </w:tcPr>
          <w:p w14:paraId="77E4DA17" w14:textId="77777777" w:rsidR="00AF3581" w:rsidRPr="00506303" w:rsidRDefault="00AF3581" w:rsidP="0067543B">
            <w:pPr>
              <w:rPr>
                <w:sz w:val="18"/>
                <w:szCs w:val="18"/>
              </w:rPr>
            </w:pPr>
          </w:p>
        </w:tc>
        <w:tc>
          <w:tcPr>
            <w:tcW w:w="472" w:type="dxa"/>
            <w:shd w:val="clear" w:color="auto" w:fill="auto"/>
          </w:tcPr>
          <w:p w14:paraId="218F950D" w14:textId="77777777" w:rsidR="00AF3581" w:rsidRPr="00506303" w:rsidRDefault="00AF3581" w:rsidP="0067543B">
            <w:pPr>
              <w:rPr>
                <w:sz w:val="18"/>
                <w:szCs w:val="18"/>
              </w:rPr>
            </w:pPr>
          </w:p>
        </w:tc>
        <w:tc>
          <w:tcPr>
            <w:tcW w:w="472" w:type="dxa"/>
            <w:shd w:val="clear" w:color="auto" w:fill="auto"/>
          </w:tcPr>
          <w:p w14:paraId="1C55CE65" w14:textId="77777777" w:rsidR="00AF3581" w:rsidRPr="00506303" w:rsidRDefault="00AF3581" w:rsidP="0067543B">
            <w:pPr>
              <w:rPr>
                <w:sz w:val="18"/>
                <w:szCs w:val="18"/>
              </w:rPr>
            </w:pPr>
          </w:p>
        </w:tc>
        <w:tc>
          <w:tcPr>
            <w:tcW w:w="472" w:type="dxa"/>
            <w:shd w:val="clear" w:color="auto" w:fill="auto"/>
          </w:tcPr>
          <w:p w14:paraId="22DBB4C9" w14:textId="77777777" w:rsidR="00AF3581" w:rsidRPr="00506303" w:rsidRDefault="00AF3581" w:rsidP="0067543B">
            <w:pPr>
              <w:rPr>
                <w:sz w:val="18"/>
                <w:szCs w:val="18"/>
              </w:rPr>
            </w:pPr>
          </w:p>
        </w:tc>
        <w:tc>
          <w:tcPr>
            <w:tcW w:w="473" w:type="dxa"/>
            <w:shd w:val="clear" w:color="auto" w:fill="auto"/>
          </w:tcPr>
          <w:p w14:paraId="61B3506B" w14:textId="77777777" w:rsidR="00AF3581" w:rsidRPr="00506303" w:rsidRDefault="00AF3581" w:rsidP="0067543B">
            <w:pPr>
              <w:rPr>
                <w:sz w:val="18"/>
                <w:szCs w:val="18"/>
              </w:rPr>
            </w:pPr>
          </w:p>
        </w:tc>
        <w:tc>
          <w:tcPr>
            <w:tcW w:w="473" w:type="dxa"/>
            <w:shd w:val="clear" w:color="auto" w:fill="auto"/>
          </w:tcPr>
          <w:p w14:paraId="37210B10" w14:textId="77777777" w:rsidR="00AF3581" w:rsidRPr="00506303" w:rsidRDefault="00AF3581" w:rsidP="0067543B">
            <w:pPr>
              <w:rPr>
                <w:sz w:val="18"/>
                <w:szCs w:val="18"/>
              </w:rPr>
            </w:pPr>
          </w:p>
        </w:tc>
        <w:tc>
          <w:tcPr>
            <w:tcW w:w="473" w:type="dxa"/>
            <w:shd w:val="clear" w:color="auto" w:fill="auto"/>
          </w:tcPr>
          <w:p w14:paraId="09B237C3" w14:textId="77777777" w:rsidR="00AF3581" w:rsidRPr="00506303" w:rsidRDefault="00AF3581" w:rsidP="0067543B">
            <w:pPr>
              <w:rPr>
                <w:sz w:val="18"/>
                <w:szCs w:val="18"/>
              </w:rPr>
            </w:pPr>
          </w:p>
        </w:tc>
        <w:tc>
          <w:tcPr>
            <w:tcW w:w="473" w:type="dxa"/>
            <w:shd w:val="clear" w:color="auto" w:fill="auto"/>
          </w:tcPr>
          <w:p w14:paraId="1511EA3E" w14:textId="77777777" w:rsidR="00AF3581" w:rsidRPr="00506303" w:rsidRDefault="00AF3581" w:rsidP="0067543B">
            <w:pPr>
              <w:rPr>
                <w:sz w:val="18"/>
                <w:szCs w:val="18"/>
              </w:rPr>
            </w:pPr>
          </w:p>
        </w:tc>
        <w:tc>
          <w:tcPr>
            <w:tcW w:w="473" w:type="dxa"/>
            <w:shd w:val="clear" w:color="auto" w:fill="auto"/>
          </w:tcPr>
          <w:p w14:paraId="6B53FB0D" w14:textId="77777777" w:rsidR="00AF3581" w:rsidRPr="00506303" w:rsidRDefault="00AF3581" w:rsidP="0067543B">
            <w:pPr>
              <w:rPr>
                <w:sz w:val="18"/>
                <w:szCs w:val="18"/>
              </w:rPr>
            </w:pPr>
          </w:p>
        </w:tc>
        <w:tc>
          <w:tcPr>
            <w:tcW w:w="473" w:type="dxa"/>
            <w:shd w:val="clear" w:color="auto" w:fill="auto"/>
          </w:tcPr>
          <w:p w14:paraId="0FD31A36" w14:textId="77777777" w:rsidR="00AF3581" w:rsidRPr="00506303" w:rsidRDefault="00AF3581" w:rsidP="0067543B">
            <w:pPr>
              <w:rPr>
                <w:sz w:val="18"/>
                <w:szCs w:val="18"/>
              </w:rPr>
            </w:pPr>
          </w:p>
        </w:tc>
        <w:tc>
          <w:tcPr>
            <w:tcW w:w="473" w:type="dxa"/>
            <w:shd w:val="clear" w:color="auto" w:fill="auto"/>
          </w:tcPr>
          <w:p w14:paraId="30A14017" w14:textId="77777777" w:rsidR="00AF3581" w:rsidRPr="00506303" w:rsidRDefault="00AF3581" w:rsidP="0067543B">
            <w:pPr>
              <w:rPr>
                <w:sz w:val="18"/>
                <w:szCs w:val="18"/>
              </w:rPr>
            </w:pPr>
          </w:p>
        </w:tc>
        <w:tc>
          <w:tcPr>
            <w:tcW w:w="473" w:type="dxa"/>
            <w:shd w:val="clear" w:color="auto" w:fill="auto"/>
          </w:tcPr>
          <w:p w14:paraId="35248E38" w14:textId="77777777" w:rsidR="00AF3581" w:rsidRPr="00506303" w:rsidRDefault="00AF3581" w:rsidP="0067543B">
            <w:pPr>
              <w:rPr>
                <w:sz w:val="18"/>
                <w:szCs w:val="18"/>
              </w:rPr>
            </w:pPr>
          </w:p>
        </w:tc>
        <w:tc>
          <w:tcPr>
            <w:tcW w:w="473" w:type="dxa"/>
            <w:shd w:val="clear" w:color="auto" w:fill="auto"/>
          </w:tcPr>
          <w:p w14:paraId="5670C858" w14:textId="77777777" w:rsidR="00AF3581" w:rsidRPr="00506303" w:rsidRDefault="00AF3581" w:rsidP="0067543B">
            <w:pPr>
              <w:rPr>
                <w:sz w:val="18"/>
                <w:szCs w:val="18"/>
              </w:rPr>
            </w:pPr>
          </w:p>
        </w:tc>
        <w:tc>
          <w:tcPr>
            <w:tcW w:w="473" w:type="dxa"/>
            <w:shd w:val="clear" w:color="auto" w:fill="auto"/>
          </w:tcPr>
          <w:p w14:paraId="3FC2B52E" w14:textId="77777777" w:rsidR="00AF3581" w:rsidRPr="00506303" w:rsidRDefault="00AF3581" w:rsidP="0067543B">
            <w:pPr>
              <w:rPr>
                <w:sz w:val="18"/>
                <w:szCs w:val="18"/>
              </w:rPr>
            </w:pPr>
          </w:p>
        </w:tc>
      </w:tr>
      <w:tr w:rsidR="00E071AC" w:rsidRPr="00506303" w14:paraId="28DEC505" w14:textId="77777777" w:rsidTr="00E071AC">
        <w:tc>
          <w:tcPr>
            <w:tcW w:w="944" w:type="dxa"/>
            <w:shd w:val="clear" w:color="auto" w:fill="auto"/>
          </w:tcPr>
          <w:p w14:paraId="39C9987B" w14:textId="77777777" w:rsidR="00AF3581" w:rsidRPr="00506303" w:rsidRDefault="00AF3581" w:rsidP="0067543B">
            <w:pPr>
              <w:rPr>
                <w:sz w:val="18"/>
                <w:szCs w:val="18"/>
              </w:rPr>
            </w:pPr>
            <w:r w:rsidRPr="00506303">
              <w:rPr>
                <w:sz w:val="18"/>
                <w:szCs w:val="18"/>
              </w:rPr>
              <w:t>2.3.3</w:t>
            </w:r>
          </w:p>
        </w:tc>
        <w:tc>
          <w:tcPr>
            <w:tcW w:w="3776" w:type="dxa"/>
            <w:shd w:val="clear" w:color="auto" w:fill="auto"/>
          </w:tcPr>
          <w:p w14:paraId="05EB85C5" w14:textId="77777777" w:rsidR="00AF3581" w:rsidRPr="00506303" w:rsidRDefault="00AF3581" w:rsidP="0067543B">
            <w:pPr>
              <w:rPr>
                <w:sz w:val="18"/>
                <w:szCs w:val="18"/>
              </w:rPr>
            </w:pPr>
            <w:r w:rsidRPr="00506303">
              <w:rPr>
                <w:sz w:val="18"/>
                <w:szCs w:val="18"/>
              </w:rPr>
              <w:t>Harmonize national Standard Operating Procedures for land-based pollution control and management [including agreed sediment, biota, &amp; water quality criteria]</w:t>
            </w:r>
          </w:p>
        </w:tc>
        <w:tc>
          <w:tcPr>
            <w:tcW w:w="472" w:type="dxa"/>
            <w:shd w:val="clear" w:color="auto" w:fill="auto"/>
          </w:tcPr>
          <w:p w14:paraId="37779D4D" w14:textId="77777777" w:rsidR="00AF3581" w:rsidRPr="00506303" w:rsidRDefault="00AF3581" w:rsidP="0067543B">
            <w:pPr>
              <w:rPr>
                <w:sz w:val="18"/>
                <w:szCs w:val="18"/>
              </w:rPr>
            </w:pPr>
          </w:p>
        </w:tc>
        <w:tc>
          <w:tcPr>
            <w:tcW w:w="472" w:type="dxa"/>
            <w:shd w:val="clear" w:color="auto" w:fill="auto"/>
          </w:tcPr>
          <w:p w14:paraId="02DA586F" w14:textId="77777777" w:rsidR="00AF3581" w:rsidRPr="00506303" w:rsidRDefault="00AF3581" w:rsidP="0067543B">
            <w:pPr>
              <w:rPr>
                <w:sz w:val="18"/>
                <w:szCs w:val="18"/>
              </w:rPr>
            </w:pPr>
          </w:p>
        </w:tc>
        <w:tc>
          <w:tcPr>
            <w:tcW w:w="472" w:type="dxa"/>
            <w:shd w:val="clear" w:color="auto" w:fill="auto"/>
          </w:tcPr>
          <w:p w14:paraId="0D7F5C6A" w14:textId="77777777" w:rsidR="00AF3581" w:rsidRPr="00506303" w:rsidRDefault="00AF3581" w:rsidP="0067543B">
            <w:pPr>
              <w:rPr>
                <w:sz w:val="18"/>
                <w:szCs w:val="18"/>
              </w:rPr>
            </w:pPr>
          </w:p>
        </w:tc>
        <w:tc>
          <w:tcPr>
            <w:tcW w:w="472" w:type="dxa"/>
            <w:shd w:val="clear" w:color="auto" w:fill="auto"/>
          </w:tcPr>
          <w:p w14:paraId="6A0909ED" w14:textId="77777777" w:rsidR="00AF3581" w:rsidRPr="00506303" w:rsidRDefault="00AF3581" w:rsidP="0067543B">
            <w:pPr>
              <w:rPr>
                <w:sz w:val="18"/>
                <w:szCs w:val="18"/>
              </w:rPr>
            </w:pPr>
          </w:p>
        </w:tc>
        <w:tc>
          <w:tcPr>
            <w:tcW w:w="472" w:type="dxa"/>
            <w:shd w:val="clear" w:color="auto" w:fill="D9D9D9"/>
          </w:tcPr>
          <w:p w14:paraId="77CEBB83" w14:textId="77777777" w:rsidR="00AF3581" w:rsidRPr="00506303" w:rsidRDefault="00AF3581" w:rsidP="0067543B">
            <w:pPr>
              <w:rPr>
                <w:sz w:val="18"/>
                <w:szCs w:val="18"/>
              </w:rPr>
            </w:pPr>
          </w:p>
        </w:tc>
        <w:tc>
          <w:tcPr>
            <w:tcW w:w="472" w:type="dxa"/>
            <w:shd w:val="clear" w:color="auto" w:fill="D9D9D9"/>
          </w:tcPr>
          <w:p w14:paraId="50FC7871" w14:textId="77777777" w:rsidR="00AF3581" w:rsidRPr="00506303" w:rsidRDefault="00AF3581" w:rsidP="0067543B">
            <w:pPr>
              <w:rPr>
                <w:sz w:val="18"/>
                <w:szCs w:val="18"/>
              </w:rPr>
            </w:pPr>
          </w:p>
        </w:tc>
        <w:tc>
          <w:tcPr>
            <w:tcW w:w="472" w:type="dxa"/>
            <w:shd w:val="clear" w:color="auto" w:fill="D9D9D9"/>
          </w:tcPr>
          <w:p w14:paraId="00A5579A" w14:textId="77777777" w:rsidR="00AF3581" w:rsidRPr="00506303" w:rsidRDefault="00AF3581" w:rsidP="0067543B">
            <w:pPr>
              <w:rPr>
                <w:sz w:val="18"/>
                <w:szCs w:val="18"/>
              </w:rPr>
            </w:pPr>
          </w:p>
        </w:tc>
        <w:tc>
          <w:tcPr>
            <w:tcW w:w="472" w:type="dxa"/>
            <w:shd w:val="clear" w:color="auto" w:fill="D9D9D9"/>
          </w:tcPr>
          <w:p w14:paraId="621E6C89" w14:textId="77777777" w:rsidR="00AF3581" w:rsidRPr="00506303" w:rsidRDefault="00AF3581" w:rsidP="0067543B">
            <w:pPr>
              <w:rPr>
                <w:sz w:val="18"/>
                <w:szCs w:val="18"/>
              </w:rPr>
            </w:pPr>
          </w:p>
        </w:tc>
        <w:tc>
          <w:tcPr>
            <w:tcW w:w="472" w:type="dxa"/>
            <w:shd w:val="clear" w:color="auto" w:fill="D9D9D9"/>
          </w:tcPr>
          <w:p w14:paraId="4436A973" w14:textId="77777777" w:rsidR="00AF3581" w:rsidRPr="00506303" w:rsidRDefault="00AF3581" w:rsidP="0067543B">
            <w:pPr>
              <w:rPr>
                <w:sz w:val="18"/>
                <w:szCs w:val="18"/>
              </w:rPr>
            </w:pPr>
          </w:p>
        </w:tc>
        <w:tc>
          <w:tcPr>
            <w:tcW w:w="472" w:type="dxa"/>
            <w:shd w:val="clear" w:color="auto" w:fill="D9D9D9"/>
          </w:tcPr>
          <w:p w14:paraId="000F7261" w14:textId="77777777" w:rsidR="00AF3581" w:rsidRPr="00506303" w:rsidRDefault="00AF3581" w:rsidP="0067543B">
            <w:pPr>
              <w:rPr>
                <w:sz w:val="18"/>
                <w:szCs w:val="18"/>
              </w:rPr>
            </w:pPr>
          </w:p>
        </w:tc>
        <w:tc>
          <w:tcPr>
            <w:tcW w:w="473" w:type="dxa"/>
            <w:shd w:val="clear" w:color="auto" w:fill="D9D9D9"/>
          </w:tcPr>
          <w:p w14:paraId="6BA39F4B" w14:textId="77777777" w:rsidR="00AF3581" w:rsidRPr="00506303" w:rsidRDefault="00AF3581" w:rsidP="0067543B">
            <w:pPr>
              <w:rPr>
                <w:sz w:val="18"/>
                <w:szCs w:val="18"/>
              </w:rPr>
            </w:pPr>
          </w:p>
        </w:tc>
        <w:tc>
          <w:tcPr>
            <w:tcW w:w="473" w:type="dxa"/>
            <w:shd w:val="clear" w:color="auto" w:fill="D9D9D9"/>
          </w:tcPr>
          <w:p w14:paraId="7F22F8F4" w14:textId="77777777" w:rsidR="00AF3581" w:rsidRPr="00506303" w:rsidRDefault="00AF3581" w:rsidP="0067543B">
            <w:pPr>
              <w:rPr>
                <w:sz w:val="18"/>
                <w:szCs w:val="18"/>
              </w:rPr>
            </w:pPr>
          </w:p>
        </w:tc>
        <w:tc>
          <w:tcPr>
            <w:tcW w:w="473" w:type="dxa"/>
            <w:shd w:val="clear" w:color="auto" w:fill="auto"/>
          </w:tcPr>
          <w:p w14:paraId="7BB5A817" w14:textId="77777777" w:rsidR="00AF3581" w:rsidRPr="00506303" w:rsidRDefault="00AF3581" w:rsidP="0067543B">
            <w:pPr>
              <w:rPr>
                <w:sz w:val="18"/>
                <w:szCs w:val="18"/>
              </w:rPr>
            </w:pPr>
          </w:p>
        </w:tc>
        <w:tc>
          <w:tcPr>
            <w:tcW w:w="473" w:type="dxa"/>
            <w:shd w:val="clear" w:color="auto" w:fill="auto"/>
          </w:tcPr>
          <w:p w14:paraId="02FE7983" w14:textId="77777777" w:rsidR="00AF3581" w:rsidRPr="00506303" w:rsidRDefault="00AF3581" w:rsidP="0067543B">
            <w:pPr>
              <w:rPr>
                <w:sz w:val="18"/>
                <w:szCs w:val="18"/>
              </w:rPr>
            </w:pPr>
          </w:p>
        </w:tc>
        <w:tc>
          <w:tcPr>
            <w:tcW w:w="473" w:type="dxa"/>
            <w:shd w:val="clear" w:color="auto" w:fill="auto"/>
          </w:tcPr>
          <w:p w14:paraId="77885381" w14:textId="77777777" w:rsidR="00AF3581" w:rsidRPr="00506303" w:rsidRDefault="00AF3581" w:rsidP="0067543B">
            <w:pPr>
              <w:rPr>
                <w:sz w:val="18"/>
                <w:szCs w:val="18"/>
              </w:rPr>
            </w:pPr>
          </w:p>
        </w:tc>
        <w:tc>
          <w:tcPr>
            <w:tcW w:w="473" w:type="dxa"/>
            <w:shd w:val="clear" w:color="auto" w:fill="auto"/>
          </w:tcPr>
          <w:p w14:paraId="43F86F8E" w14:textId="77777777" w:rsidR="00AF3581" w:rsidRPr="00506303" w:rsidRDefault="00AF3581" w:rsidP="0067543B">
            <w:pPr>
              <w:rPr>
                <w:sz w:val="18"/>
                <w:szCs w:val="18"/>
              </w:rPr>
            </w:pPr>
          </w:p>
        </w:tc>
        <w:tc>
          <w:tcPr>
            <w:tcW w:w="473" w:type="dxa"/>
            <w:shd w:val="clear" w:color="auto" w:fill="auto"/>
          </w:tcPr>
          <w:p w14:paraId="2CDC7686" w14:textId="77777777" w:rsidR="00AF3581" w:rsidRPr="00506303" w:rsidRDefault="00AF3581" w:rsidP="0067543B">
            <w:pPr>
              <w:rPr>
                <w:sz w:val="18"/>
                <w:szCs w:val="18"/>
              </w:rPr>
            </w:pPr>
          </w:p>
        </w:tc>
        <w:tc>
          <w:tcPr>
            <w:tcW w:w="473" w:type="dxa"/>
            <w:shd w:val="clear" w:color="auto" w:fill="auto"/>
          </w:tcPr>
          <w:p w14:paraId="20BBC7A7" w14:textId="77777777" w:rsidR="00AF3581" w:rsidRPr="00506303" w:rsidRDefault="00AF3581" w:rsidP="0067543B">
            <w:pPr>
              <w:rPr>
                <w:sz w:val="18"/>
                <w:szCs w:val="18"/>
              </w:rPr>
            </w:pPr>
          </w:p>
        </w:tc>
        <w:tc>
          <w:tcPr>
            <w:tcW w:w="473" w:type="dxa"/>
            <w:shd w:val="clear" w:color="auto" w:fill="auto"/>
          </w:tcPr>
          <w:p w14:paraId="5EE70465" w14:textId="77777777" w:rsidR="00AF3581" w:rsidRPr="00506303" w:rsidRDefault="00AF3581" w:rsidP="0067543B">
            <w:pPr>
              <w:rPr>
                <w:sz w:val="18"/>
                <w:szCs w:val="18"/>
              </w:rPr>
            </w:pPr>
          </w:p>
        </w:tc>
        <w:tc>
          <w:tcPr>
            <w:tcW w:w="473" w:type="dxa"/>
            <w:shd w:val="clear" w:color="auto" w:fill="auto"/>
          </w:tcPr>
          <w:p w14:paraId="5FA06F68" w14:textId="77777777" w:rsidR="00AF3581" w:rsidRPr="00506303" w:rsidRDefault="00AF3581" w:rsidP="0067543B">
            <w:pPr>
              <w:rPr>
                <w:sz w:val="18"/>
                <w:szCs w:val="18"/>
              </w:rPr>
            </w:pPr>
          </w:p>
        </w:tc>
      </w:tr>
      <w:tr w:rsidR="00E071AC" w:rsidRPr="00506303" w14:paraId="261AB068" w14:textId="77777777" w:rsidTr="00E071AC">
        <w:tc>
          <w:tcPr>
            <w:tcW w:w="944" w:type="dxa"/>
            <w:shd w:val="clear" w:color="auto" w:fill="auto"/>
          </w:tcPr>
          <w:p w14:paraId="05391B4D" w14:textId="77777777" w:rsidR="00AF3581" w:rsidRPr="00506303" w:rsidRDefault="00AF3581" w:rsidP="0067543B">
            <w:pPr>
              <w:rPr>
                <w:sz w:val="18"/>
                <w:szCs w:val="18"/>
              </w:rPr>
            </w:pPr>
            <w:r w:rsidRPr="00506303">
              <w:rPr>
                <w:sz w:val="18"/>
                <w:szCs w:val="18"/>
              </w:rPr>
              <w:t>2.3.4</w:t>
            </w:r>
          </w:p>
        </w:tc>
        <w:tc>
          <w:tcPr>
            <w:tcW w:w="3776" w:type="dxa"/>
            <w:shd w:val="clear" w:color="auto" w:fill="auto"/>
          </w:tcPr>
          <w:p w14:paraId="7AD8FB36" w14:textId="77777777" w:rsidR="00AF3581" w:rsidRPr="00506303" w:rsidRDefault="00AF3581" w:rsidP="0067543B">
            <w:pPr>
              <w:rPr>
                <w:sz w:val="18"/>
                <w:szCs w:val="18"/>
              </w:rPr>
            </w:pPr>
            <w:r w:rsidRPr="00506303">
              <w:rPr>
                <w:sz w:val="18"/>
                <w:szCs w:val="18"/>
              </w:rPr>
              <w:t>Develop, enact, and implement national/provincial policies and supporting regulations for land-based pollution</w:t>
            </w:r>
          </w:p>
        </w:tc>
        <w:tc>
          <w:tcPr>
            <w:tcW w:w="472" w:type="dxa"/>
            <w:shd w:val="clear" w:color="auto" w:fill="auto"/>
          </w:tcPr>
          <w:p w14:paraId="712A4731" w14:textId="77777777" w:rsidR="00AF3581" w:rsidRPr="00506303" w:rsidRDefault="00AF3581" w:rsidP="0067543B">
            <w:pPr>
              <w:rPr>
                <w:sz w:val="18"/>
                <w:szCs w:val="18"/>
              </w:rPr>
            </w:pPr>
          </w:p>
        </w:tc>
        <w:tc>
          <w:tcPr>
            <w:tcW w:w="472" w:type="dxa"/>
            <w:shd w:val="clear" w:color="auto" w:fill="auto"/>
          </w:tcPr>
          <w:p w14:paraId="7DFA1750" w14:textId="77777777" w:rsidR="00AF3581" w:rsidRPr="00506303" w:rsidRDefault="00AF3581" w:rsidP="0067543B">
            <w:pPr>
              <w:rPr>
                <w:sz w:val="18"/>
                <w:szCs w:val="18"/>
              </w:rPr>
            </w:pPr>
          </w:p>
        </w:tc>
        <w:tc>
          <w:tcPr>
            <w:tcW w:w="472" w:type="dxa"/>
            <w:shd w:val="clear" w:color="auto" w:fill="auto"/>
          </w:tcPr>
          <w:p w14:paraId="7E5D4348" w14:textId="77777777" w:rsidR="00AF3581" w:rsidRPr="00506303" w:rsidRDefault="00AF3581" w:rsidP="0067543B">
            <w:pPr>
              <w:rPr>
                <w:sz w:val="18"/>
                <w:szCs w:val="18"/>
              </w:rPr>
            </w:pPr>
          </w:p>
        </w:tc>
        <w:tc>
          <w:tcPr>
            <w:tcW w:w="472" w:type="dxa"/>
            <w:shd w:val="clear" w:color="auto" w:fill="auto"/>
          </w:tcPr>
          <w:p w14:paraId="5AEB1EA9" w14:textId="77777777" w:rsidR="00AF3581" w:rsidRPr="00506303" w:rsidRDefault="00AF3581" w:rsidP="0067543B">
            <w:pPr>
              <w:rPr>
                <w:sz w:val="18"/>
                <w:szCs w:val="18"/>
              </w:rPr>
            </w:pPr>
          </w:p>
        </w:tc>
        <w:tc>
          <w:tcPr>
            <w:tcW w:w="472" w:type="dxa"/>
            <w:shd w:val="clear" w:color="auto" w:fill="auto"/>
          </w:tcPr>
          <w:p w14:paraId="09041CD4" w14:textId="77777777" w:rsidR="00AF3581" w:rsidRPr="00506303" w:rsidRDefault="00AF3581" w:rsidP="0067543B">
            <w:pPr>
              <w:rPr>
                <w:sz w:val="18"/>
                <w:szCs w:val="18"/>
              </w:rPr>
            </w:pPr>
          </w:p>
        </w:tc>
        <w:tc>
          <w:tcPr>
            <w:tcW w:w="472" w:type="dxa"/>
            <w:shd w:val="clear" w:color="auto" w:fill="auto"/>
          </w:tcPr>
          <w:p w14:paraId="7DD2A5E9" w14:textId="77777777" w:rsidR="00AF3581" w:rsidRPr="00506303" w:rsidRDefault="00AF3581" w:rsidP="0067543B">
            <w:pPr>
              <w:rPr>
                <w:sz w:val="18"/>
                <w:szCs w:val="18"/>
              </w:rPr>
            </w:pPr>
          </w:p>
        </w:tc>
        <w:tc>
          <w:tcPr>
            <w:tcW w:w="472" w:type="dxa"/>
            <w:shd w:val="clear" w:color="auto" w:fill="D9D9D9"/>
          </w:tcPr>
          <w:p w14:paraId="1533E4FE" w14:textId="77777777" w:rsidR="00AF3581" w:rsidRPr="00506303" w:rsidRDefault="00AF3581" w:rsidP="0067543B">
            <w:pPr>
              <w:rPr>
                <w:sz w:val="18"/>
                <w:szCs w:val="18"/>
              </w:rPr>
            </w:pPr>
          </w:p>
        </w:tc>
        <w:tc>
          <w:tcPr>
            <w:tcW w:w="472" w:type="dxa"/>
            <w:shd w:val="clear" w:color="auto" w:fill="D9D9D9"/>
          </w:tcPr>
          <w:p w14:paraId="02E495CE" w14:textId="77777777" w:rsidR="00AF3581" w:rsidRPr="00506303" w:rsidRDefault="00AF3581" w:rsidP="0067543B">
            <w:pPr>
              <w:rPr>
                <w:sz w:val="18"/>
                <w:szCs w:val="18"/>
              </w:rPr>
            </w:pPr>
          </w:p>
        </w:tc>
        <w:tc>
          <w:tcPr>
            <w:tcW w:w="472" w:type="dxa"/>
            <w:shd w:val="clear" w:color="auto" w:fill="D9D9D9"/>
          </w:tcPr>
          <w:p w14:paraId="1653B5CA" w14:textId="77777777" w:rsidR="00AF3581" w:rsidRPr="00506303" w:rsidRDefault="00AF3581" w:rsidP="0067543B">
            <w:pPr>
              <w:rPr>
                <w:sz w:val="18"/>
                <w:szCs w:val="18"/>
              </w:rPr>
            </w:pPr>
          </w:p>
        </w:tc>
        <w:tc>
          <w:tcPr>
            <w:tcW w:w="472" w:type="dxa"/>
            <w:shd w:val="clear" w:color="auto" w:fill="D9D9D9"/>
          </w:tcPr>
          <w:p w14:paraId="2471B179" w14:textId="77777777" w:rsidR="00AF3581" w:rsidRPr="00506303" w:rsidRDefault="00AF3581" w:rsidP="0067543B">
            <w:pPr>
              <w:rPr>
                <w:sz w:val="18"/>
                <w:szCs w:val="18"/>
              </w:rPr>
            </w:pPr>
          </w:p>
        </w:tc>
        <w:tc>
          <w:tcPr>
            <w:tcW w:w="473" w:type="dxa"/>
            <w:shd w:val="clear" w:color="auto" w:fill="D9D9D9"/>
          </w:tcPr>
          <w:p w14:paraId="38B22415" w14:textId="77777777" w:rsidR="00AF3581" w:rsidRPr="00506303" w:rsidRDefault="00AF3581" w:rsidP="0067543B">
            <w:pPr>
              <w:rPr>
                <w:sz w:val="18"/>
                <w:szCs w:val="18"/>
              </w:rPr>
            </w:pPr>
          </w:p>
        </w:tc>
        <w:tc>
          <w:tcPr>
            <w:tcW w:w="473" w:type="dxa"/>
            <w:shd w:val="clear" w:color="auto" w:fill="D9D9D9"/>
          </w:tcPr>
          <w:p w14:paraId="251F0B27" w14:textId="77777777" w:rsidR="00AF3581" w:rsidRPr="00506303" w:rsidRDefault="00AF3581" w:rsidP="0067543B">
            <w:pPr>
              <w:rPr>
                <w:sz w:val="18"/>
                <w:szCs w:val="18"/>
              </w:rPr>
            </w:pPr>
          </w:p>
        </w:tc>
        <w:tc>
          <w:tcPr>
            <w:tcW w:w="473" w:type="dxa"/>
            <w:shd w:val="clear" w:color="auto" w:fill="D9D9D9"/>
          </w:tcPr>
          <w:p w14:paraId="32FBA29F" w14:textId="77777777" w:rsidR="00AF3581" w:rsidRPr="00506303" w:rsidRDefault="00AF3581" w:rsidP="0067543B">
            <w:pPr>
              <w:rPr>
                <w:sz w:val="18"/>
                <w:szCs w:val="18"/>
              </w:rPr>
            </w:pPr>
          </w:p>
        </w:tc>
        <w:tc>
          <w:tcPr>
            <w:tcW w:w="473" w:type="dxa"/>
            <w:shd w:val="clear" w:color="auto" w:fill="D9D9D9"/>
          </w:tcPr>
          <w:p w14:paraId="7A9A843A" w14:textId="77777777" w:rsidR="00AF3581" w:rsidRPr="00506303" w:rsidRDefault="00AF3581" w:rsidP="0067543B">
            <w:pPr>
              <w:rPr>
                <w:sz w:val="18"/>
                <w:szCs w:val="18"/>
              </w:rPr>
            </w:pPr>
          </w:p>
        </w:tc>
        <w:tc>
          <w:tcPr>
            <w:tcW w:w="473" w:type="dxa"/>
            <w:shd w:val="clear" w:color="auto" w:fill="auto"/>
          </w:tcPr>
          <w:p w14:paraId="14CF9671" w14:textId="77777777" w:rsidR="00AF3581" w:rsidRPr="00506303" w:rsidRDefault="00AF3581" w:rsidP="0067543B">
            <w:pPr>
              <w:rPr>
                <w:sz w:val="18"/>
                <w:szCs w:val="18"/>
              </w:rPr>
            </w:pPr>
          </w:p>
        </w:tc>
        <w:tc>
          <w:tcPr>
            <w:tcW w:w="473" w:type="dxa"/>
            <w:shd w:val="clear" w:color="auto" w:fill="auto"/>
          </w:tcPr>
          <w:p w14:paraId="7ACB19C8" w14:textId="77777777" w:rsidR="00AF3581" w:rsidRPr="00506303" w:rsidRDefault="00AF3581" w:rsidP="0067543B">
            <w:pPr>
              <w:rPr>
                <w:sz w:val="18"/>
                <w:szCs w:val="18"/>
              </w:rPr>
            </w:pPr>
          </w:p>
        </w:tc>
        <w:tc>
          <w:tcPr>
            <w:tcW w:w="473" w:type="dxa"/>
            <w:shd w:val="clear" w:color="auto" w:fill="auto"/>
          </w:tcPr>
          <w:p w14:paraId="5CA8F85A" w14:textId="77777777" w:rsidR="00AF3581" w:rsidRPr="00506303" w:rsidRDefault="00AF3581" w:rsidP="0067543B">
            <w:pPr>
              <w:rPr>
                <w:sz w:val="18"/>
                <w:szCs w:val="18"/>
              </w:rPr>
            </w:pPr>
          </w:p>
        </w:tc>
        <w:tc>
          <w:tcPr>
            <w:tcW w:w="473" w:type="dxa"/>
            <w:shd w:val="clear" w:color="auto" w:fill="auto"/>
          </w:tcPr>
          <w:p w14:paraId="594C87B6" w14:textId="77777777" w:rsidR="00AF3581" w:rsidRPr="00506303" w:rsidRDefault="00AF3581" w:rsidP="0067543B">
            <w:pPr>
              <w:rPr>
                <w:sz w:val="18"/>
                <w:szCs w:val="18"/>
              </w:rPr>
            </w:pPr>
          </w:p>
        </w:tc>
        <w:tc>
          <w:tcPr>
            <w:tcW w:w="473" w:type="dxa"/>
            <w:shd w:val="clear" w:color="auto" w:fill="auto"/>
          </w:tcPr>
          <w:p w14:paraId="67FF23FC" w14:textId="77777777" w:rsidR="00AF3581" w:rsidRPr="00506303" w:rsidRDefault="00AF3581" w:rsidP="0067543B">
            <w:pPr>
              <w:rPr>
                <w:sz w:val="18"/>
                <w:szCs w:val="18"/>
              </w:rPr>
            </w:pPr>
          </w:p>
        </w:tc>
        <w:tc>
          <w:tcPr>
            <w:tcW w:w="473" w:type="dxa"/>
            <w:shd w:val="clear" w:color="auto" w:fill="auto"/>
          </w:tcPr>
          <w:p w14:paraId="421476B4" w14:textId="77777777" w:rsidR="00AF3581" w:rsidRPr="00506303" w:rsidRDefault="00AF3581" w:rsidP="0067543B">
            <w:pPr>
              <w:rPr>
                <w:sz w:val="18"/>
                <w:szCs w:val="18"/>
              </w:rPr>
            </w:pPr>
          </w:p>
        </w:tc>
      </w:tr>
      <w:tr w:rsidR="00E071AC" w:rsidRPr="00506303" w14:paraId="3599A15D" w14:textId="77777777" w:rsidTr="00E071AC">
        <w:tc>
          <w:tcPr>
            <w:tcW w:w="944" w:type="dxa"/>
            <w:shd w:val="clear" w:color="auto" w:fill="auto"/>
          </w:tcPr>
          <w:p w14:paraId="68EE5787" w14:textId="77777777" w:rsidR="00AF3581" w:rsidRPr="00506303" w:rsidRDefault="00AF3581" w:rsidP="0067543B">
            <w:pPr>
              <w:rPr>
                <w:sz w:val="18"/>
                <w:szCs w:val="18"/>
              </w:rPr>
            </w:pPr>
            <w:r w:rsidRPr="00506303">
              <w:rPr>
                <w:sz w:val="18"/>
                <w:szCs w:val="18"/>
              </w:rPr>
              <w:t>2.3.5</w:t>
            </w:r>
          </w:p>
        </w:tc>
        <w:tc>
          <w:tcPr>
            <w:tcW w:w="3776" w:type="dxa"/>
            <w:shd w:val="clear" w:color="auto" w:fill="auto"/>
          </w:tcPr>
          <w:p w14:paraId="1AA0B667" w14:textId="77777777" w:rsidR="00AF3581" w:rsidRPr="00506303" w:rsidRDefault="00AF3581" w:rsidP="0067543B">
            <w:pPr>
              <w:rPr>
                <w:sz w:val="18"/>
                <w:szCs w:val="18"/>
              </w:rPr>
            </w:pPr>
            <w:r w:rsidRPr="00506303">
              <w:rPr>
                <w:sz w:val="18"/>
                <w:szCs w:val="18"/>
              </w:rPr>
              <w:t>Update and adopt National Investment Plans for land-based pollution management in the SCS</w:t>
            </w:r>
          </w:p>
        </w:tc>
        <w:tc>
          <w:tcPr>
            <w:tcW w:w="472" w:type="dxa"/>
            <w:shd w:val="clear" w:color="auto" w:fill="auto"/>
          </w:tcPr>
          <w:p w14:paraId="22825786" w14:textId="77777777" w:rsidR="00AF3581" w:rsidRPr="00506303" w:rsidRDefault="00AF3581" w:rsidP="0067543B">
            <w:pPr>
              <w:rPr>
                <w:sz w:val="18"/>
                <w:szCs w:val="18"/>
              </w:rPr>
            </w:pPr>
          </w:p>
        </w:tc>
        <w:tc>
          <w:tcPr>
            <w:tcW w:w="472" w:type="dxa"/>
            <w:shd w:val="clear" w:color="auto" w:fill="auto"/>
          </w:tcPr>
          <w:p w14:paraId="7D647BCE" w14:textId="77777777" w:rsidR="00AF3581" w:rsidRPr="00506303" w:rsidRDefault="00AF3581" w:rsidP="0067543B">
            <w:pPr>
              <w:rPr>
                <w:sz w:val="18"/>
                <w:szCs w:val="18"/>
              </w:rPr>
            </w:pPr>
          </w:p>
        </w:tc>
        <w:tc>
          <w:tcPr>
            <w:tcW w:w="472" w:type="dxa"/>
            <w:shd w:val="clear" w:color="auto" w:fill="auto"/>
          </w:tcPr>
          <w:p w14:paraId="12EE7CA8" w14:textId="77777777" w:rsidR="00AF3581" w:rsidRPr="00506303" w:rsidRDefault="00AF3581" w:rsidP="0067543B">
            <w:pPr>
              <w:rPr>
                <w:sz w:val="18"/>
                <w:szCs w:val="18"/>
              </w:rPr>
            </w:pPr>
          </w:p>
        </w:tc>
        <w:tc>
          <w:tcPr>
            <w:tcW w:w="472" w:type="dxa"/>
            <w:shd w:val="clear" w:color="auto" w:fill="auto"/>
          </w:tcPr>
          <w:p w14:paraId="62310562" w14:textId="77777777" w:rsidR="00AF3581" w:rsidRPr="00506303" w:rsidRDefault="00AF3581" w:rsidP="0067543B">
            <w:pPr>
              <w:rPr>
                <w:sz w:val="18"/>
                <w:szCs w:val="18"/>
              </w:rPr>
            </w:pPr>
          </w:p>
        </w:tc>
        <w:tc>
          <w:tcPr>
            <w:tcW w:w="472" w:type="dxa"/>
            <w:shd w:val="clear" w:color="auto" w:fill="auto"/>
          </w:tcPr>
          <w:p w14:paraId="0DA85DF7" w14:textId="77777777" w:rsidR="00AF3581" w:rsidRPr="00506303" w:rsidRDefault="00AF3581" w:rsidP="0067543B">
            <w:pPr>
              <w:rPr>
                <w:sz w:val="18"/>
                <w:szCs w:val="18"/>
              </w:rPr>
            </w:pPr>
          </w:p>
        </w:tc>
        <w:tc>
          <w:tcPr>
            <w:tcW w:w="472" w:type="dxa"/>
            <w:shd w:val="clear" w:color="auto" w:fill="auto"/>
          </w:tcPr>
          <w:p w14:paraId="0F298CA6" w14:textId="77777777" w:rsidR="00AF3581" w:rsidRPr="00506303" w:rsidRDefault="00AF3581" w:rsidP="0067543B">
            <w:pPr>
              <w:rPr>
                <w:sz w:val="18"/>
                <w:szCs w:val="18"/>
              </w:rPr>
            </w:pPr>
          </w:p>
        </w:tc>
        <w:tc>
          <w:tcPr>
            <w:tcW w:w="472" w:type="dxa"/>
            <w:shd w:val="clear" w:color="auto" w:fill="D9D9D9"/>
          </w:tcPr>
          <w:p w14:paraId="48056D75" w14:textId="77777777" w:rsidR="00AF3581" w:rsidRPr="00506303" w:rsidRDefault="00AF3581" w:rsidP="0067543B">
            <w:pPr>
              <w:rPr>
                <w:sz w:val="18"/>
                <w:szCs w:val="18"/>
              </w:rPr>
            </w:pPr>
          </w:p>
        </w:tc>
        <w:tc>
          <w:tcPr>
            <w:tcW w:w="472" w:type="dxa"/>
            <w:shd w:val="clear" w:color="auto" w:fill="D9D9D9"/>
          </w:tcPr>
          <w:p w14:paraId="13450157" w14:textId="77777777" w:rsidR="00AF3581" w:rsidRPr="00506303" w:rsidRDefault="00AF3581" w:rsidP="0067543B">
            <w:pPr>
              <w:rPr>
                <w:sz w:val="18"/>
                <w:szCs w:val="18"/>
              </w:rPr>
            </w:pPr>
          </w:p>
        </w:tc>
        <w:tc>
          <w:tcPr>
            <w:tcW w:w="472" w:type="dxa"/>
            <w:shd w:val="clear" w:color="auto" w:fill="D9D9D9"/>
          </w:tcPr>
          <w:p w14:paraId="5951264B" w14:textId="77777777" w:rsidR="00AF3581" w:rsidRPr="00506303" w:rsidRDefault="00AF3581" w:rsidP="0067543B">
            <w:pPr>
              <w:rPr>
                <w:sz w:val="18"/>
                <w:szCs w:val="18"/>
              </w:rPr>
            </w:pPr>
          </w:p>
        </w:tc>
        <w:tc>
          <w:tcPr>
            <w:tcW w:w="472" w:type="dxa"/>
            <w:shd w:val="clear" w:color="auto" w:fill="D9D9D9"/>
          </w:tcPr>
          <w:p w14:paraId="1936F439" w14:textId="77777777" w:rsidR="00AF3581" w:rsidRPr="00506303" w:rsidRDefault="00AF3581" w:rsidP="0067543B">
            <w:pPr>
              <w:rPr>
                <w:sz w:val="18"/>
                <w:szCs w:val="18"/>
              </w:rPr>
            </w:pPr>
          </w:p>
        </w:tc>
        <w:tc>
          <w:tcPr>
            <w:tcW w:w="473" w:type="dxa"/>
            <w:shd w:val="clear" w:color="auto" w:fill="D9D9D9"/>
          </w:tcPr>
          <w:p w14:paraId="6C43F48A" w14:textId="77777777" w:rsidR="00AF3581" w:rsidRPr="00506303" w:rsidRDefault="00AF3581" w:rsidP="0067543B">
            <w:pPr>
              <w:rPr>
                <w:sz w:val="18"/>
                <w:szCs w:val="18"/>
              </w:rPr>
            </w:pPr>
          </w:p>
        </w:tc>
        <w:tc>
          <w:tcPr>
            <w:tcW w:w="473" w:type="dxa"/>
            <w:shd w:val="clear" w:color="auto" w:fill="D9D9D9"/>
          </w:tcPr>
          <w:p w14:paraId="06093711" w14:textId="77777777" w:rsidR="00AF3581" w:rsidRPr="00506303" w:rsidRDefault="00AF3581" w:rsidP="0067543B">
            <w:pPr>
              <w:rPr>
                <w:sz w:val="18"/>
                <w:szCs w:val="18"/>
              </w:rPr>
            </w:pPr>
          </w:p>
        </w:tc>
        <w:tc>
          <w:tcPr>
            <w:tcW w:w="473" w:type="dxa"/>
            <w:shd w:val="clear" w:color="auto" w:fill="D9D9D9"/>
          </w:tcPr>
          <w:p w14:paraId="2A922E11" w14:textId="77777777" w:rsidR="00AF3581" w:rsidRPr="00506303" w:rsidRDefault="00AF3581" w:rsidP="0067543B">
            <w:pPr>
              <w:rPr>
                <w:sz w:val="18"/>
                <w:szCs w:val="18"/>
              </w:rPr>
            </w:pPr>
          </w:p>
        </w:tc>
        <w:tc>
          <w:tcPr>
            <w:tcW w:w="473" w:type="dxa"/>
            <w:shd w:val="clear" w:color="auto" w:fill="D9D9D9"/>
          </w:tcPr>
          <w:p w14:paraId="44FE0011" w14:textId="77777777" w:rsidR="00AF3581" w:rsidRPr="00506303" w:rsidRDefault="00AF3581" w:rsidP="0067543B">
            <w:pPr>
              <w:rPr>
                <w:sz w:val="18"/>
                <w:szCs w:val="18"/>
              </w:rPr>
            </w:pPr>
          </w:p>
        </w:tc>
        <w:tc>
          <w:tcPr>
            <w:tcW w:w="473" w:type="dxa"/>
            <w:shd w:val="clear" w:color="auto" w:fill="D9D9D9"/>
          </w:tcPr>
          <w:p w14:paraId="5F55675D" w14:textId="77777777" w:rsidR="00AF3581" w:rsidRPr="00506303" w:rsidRDefault="00AF3581" w:rsidP="0067543B">
            <w:pPr>
              <w:rPr>
                <w:sz w:val="18"/>
                <w:szCs w:val="18"/>
              </w:rPr>
            </w:pPr>
          </w:p>
        </w:tc>
        <w:tc>
          <w:tcPr>
            <w:tcW w:w="473" w:type="dxa"/>
            <w:shd w:val="clear" w:color="auto" w:fill="D9D9D9"/>
          </w:tcPr>
          <w:p w14:paraId="6A6B36CB" w14:textId="77777777" w:rsidR="00AF3581" w:rsidRPr="00506303" w:rsidRDefault="00AF3581" w:rsidP="0067543B">
            <w:pPr>
              <w:rPr>
                <w:sz w:val="18"/>
                <w:szCs w:val="18"/>
              </w:rPr>
            </w:pPr>
          </w:p>
        </w:tc>
        <w:tc>
          <w:tcPr>
            <w:tcW w:w="473" w:type="dxa"/>
            <w:shd w:val="clear" w:color="auto" w:fill="auto"/>
          </w:tcPr>
          <w:p w14:paraId="2E220C0C" w14:textId="77777777" w:rsidR="00AF3581" w:rsidRPr="00506303" w:rsidRDefault="00AF3581" w:rsidP="0067543B">
            <w:pPr>
              <w:rPr>
                <w:sz w:val="18"/>
                <w:szCs w:val="18"/>
              </w:rPr>
            </w:pPr>
          </w:p>
        </w:tc>
        <w:tc>
          <w:tcPr>
            <w:tcW w:w="473" w:type="dxa"/>
            <w:shd w:val="clear" w:color="auto" w:fill="auto"/>
          </w:tcPr>
          <w:p w14:paraId="6B34FD53" w14:textId="77777777" w:rsidR="00AF3581" w:rsidRPr="00506303" w:rsidRDefault="00AF3581" w:rsidP="0067543B">
            <w:pPr>
              <w:rPr>
                <w:sz w:val="18"/>
                <w:szCs w:val="18"/>
              </w:rPr>
            </w:pPr>
          </w:p>
        </w:tc>
        <w:tc>
          <w:tcPr>
            <w:tcW w:w="473" w:type="dxa"/>
            <w:shd w:val="clear" w:color="auto" w:fill="auto"/>
          </w:tcPr>
          <w:p w14:paraId="6AE7589A" w14:textId="77777777" w:rsidR="00AF3581" w:rsidRPr="00506303" w:rsidRDefault="00AF3581" w:rsidP="0067543B">
            <w:pPr>
              <w:rPr>
                <w:sz w:val="18"/>
                <w:szCs w:val="18"/>
              </w:rPr>
            </w:pPr>
          </w:p>
        </w:tc>
        <w:tc>
          <w:tcPr>
            <w:tcW w:w="473" w:type="dxa"/>
            <w:shd w:val="clear" w:color="auto" w:fill="auto"/>
          </w:tcPr>
          <w:p w14:paraId="483F0B19" w14:textId="77777777" w:rsidR="00AF3581" w:rsidRPr="00506303" w:rsidRDefault="00AF3581" w:rsidP="0067543B">
            <w:pPr>
              <w:rPr>
                <w:sz w:val="18"/>
                <w:szCs w:val="18"/>
              </w:rPr>
            </w:pPr>
          </w:p>
        </w:tc>
      </w:tr>
      <w:tr w:rsidR="00E071AC" w:rsidRPr="00506303" w14:paraId="1A8543C4" w14:textId="77777777" w:rsidTr="00E071AC">
        <w:tc>
          <w:tcPr>
            <w:tcW w:w="944" w:type="dxa"/>
            <w:shd w:val="clear" w:color="auto" w:fill="auto"/>
          </w:tcPr>
          <w:p w14:paraId="61D03A1C" w14:textId="77777777" w:rsidR="00AF3581" w:rsidRPr="00506303" w:rsidRDefault="00AF3581" w:rsidP="0067543B">
            <w:pPr>
              <w:rPr>
                <w:sz w:val="18"/>
                <w:szCs w:val="18"/>
              </w:rPr>
            </w:pPr>
            <w:r w:rsidRPr="00506303">
              <w:rPr>
                <w:sz w:val="18"/>
                <w:szCs w:val="18"/>
              </w:rPr>
              <w:t>2.3.6</w:t>
            </w:r>
          </w:p>
        </w:tc>
        <w:tc>
          <w:tcPr>
            <w:tcW w:w="3776" w:type="dxa"/>
            <w:shd w:val="clear" w:color="auto" w:fill="auto"/>
          </w:tcPr>
          <w:p w14:paraId="0C522F66" w14:textId="77777777" w:rsidR="00AF3581" w:rsidRPr="00506303" w:rsidRDefault="00AF3581" w:rsidP="0067543B">
            <w:pPr>
              <w:rPr>
                <w:sz w:val="18"/>
                <w:szCs w:val="18"/>
              </w:rPr>
            </w:pPr>
            <w:r w:rsidRPr="00506303">
              <w:rPr>
                <w:sz w:val="18"/>
                <w:szCs w:val="18"/>
              </w:rPr>
              <w:t>Develop and agree regional financial mechanism for land-based pollution management</w:t>
            </w:r>
          </w:p>
        </w:tc>
        <w:tc>
          <w:tcPr>
            <w:tcW w:w="472" w:type="dxa"/>
            <w:shd w:val="clear" w:color="auto" w:fill="auto"/>
          </w:tcPr>
          <w:p w14:paraId="47F10CC2" w14:textId="77777777" w:rsidR="00AF3581" w:rsidRPr="00506303" w:rsidRDefault="00AF3581" w:rsidP="0067543B">
            <w:pPr>
              <w:rPr>
                <w:sz w:val="18"/>
                <w:szCs w:val="18"/>
              </w:rPr>
            </w:pPr>
          </w:p>
        </w:tc>
        <w:tc>
          <w:tcPr>
            <w:tcW w:w="472" w:type="dxa"/>
            <w:shd w:val="clear" w:color="auto" w:fill="auto"/>
          </w:tcPr>
          <w:p w14:paraId="05834ADE" w14:textId="77777777" w:rsidR="00AF3581" w:rsidRPr="00506303" w:rsidRDefault="00AF3581" w:rsidP="0067543B">
            <w:pPr>
              <w:rPr>
                <w:sz w:val="18"/>
                <w:szCs w:val="18"/>
              </w:rPr>
            </w:pPr>
          </w:p>
        </w:tc>
        <w:tc>
          <w:tcPr>
            <w:tcW w:w="472" w:type="dxa"/>
            <w:shd w:val="clear" w:color="auto" w:fill="auto"/>
          </w:tcPr>
          <w:p w14:paraId="18DBD8B4" w14:textId="77777777" w:rsidR="00AF3581" w:rsidRPr="00506303" w:rsidRDefault="00AF3581" w:rsidP="0067543B">
            <w:pPr>
              <w:rPr>
                <w:sz w:val="18"/>
                <w:szCs w:val="18"/>
              </w:rPr>
            </w:pPr>
          </w:p>
        </w:tc>
        <w:tc>
          <w:tcPr>
            <w:tcW w:w="472" w:type="dxa"/>
            <w:shd w:val="clear" w:color="auto" w:fill="auto"/>
          </w:tcPr>
          <w:p w14:paraId="451531C1" w14:textId="77777777" w:rsidR="00AF3581" w:rsidRPr="00506303" w:rsidRDefault="00AF3581" w:rsidP="0067543B">
            <w:pPr>
              <w:rPr>
                <w:sz w:val="18"/>
                <w:szCs w:val="18"/>
              </w:rPr>
            </w:pPr>
          </w:p>
        </w:tc>
        <w:tc>
          <w:tcPr>
            <w:tcW w:w="472" w:type="dxa"/>
            <w:shd w:val="clear" w:color="auto" w:fill="auto"/>
          </w:tcPr>
          <w:p w14:paraId="59229413" w14:textId="77777777" w:rsidR="00AF3581" w:rsidRPr="00506303" w:rsidRDefault="00AF3581" w:rsidP="0067543B">
            <w:pPr>
              <w:rPr>
                <w:sz w:val="18"/>
                <w:szCs w:val="18"/>
              </w:rPr>
            </w:pPr>
          </w:p>
        </w:tc>
        <w:tc>
          <w:tcPr>
            <w:tcW w:w="472" w:type="dxa"/>
            <w:shd w:val="clear" w:color="auto" w:fill="auto"/>
          </w:tcPr>
          <w:p w14:paraId="1E978A60" w14:textId="77777777" w:rsidR="00AF3581" w:rsidRPr="00506303" w:rsidRDefault="00AF3581" w:rsidP="0067543B">
            <w:pPr>
              <w:rPr>
                <w:sz w:val="18"/>
                <w:szCs w:val="18"/>
              </w:rPr>
            </w:pPr>
          </w:p>
        </w:tc>
        <w:tc>
          <w:tcPr>
            <w:tcW w:w="472" w:type="dxa"/>
            <w:shd w:val="clear" w:color="auto" w:fill="auto"/>
          </w:tcPr>
          <w:p w14:paraId="36A446D0" w14:textId="77777777" w:rsidR="00AF3581" w:rsidRPr="00506303" w:rsidRDefault="00AF3581" w:rsidP="0067543B">
            <w:pPr>
              <w:rPr>
                <w:sz w:val="18"/>
                <w:szCs w:val="18"/>
              </w:rPr>
            </w:pPr>
          </w:p>
        </w:tc>
        <w:tc>
          <w:tcPr>
            <w:tcW w:w="472" w:type="dxa"/>
            <w:shd w:val="clear" w:color="auto" w:fill="auto"/>
          </w:tcPr>
          <w:p w14:paraId="573D6D68" w14:textId="77777777" w:rsidR="00AF3581" w:rsidRPr="00506303" w:rsidRDefault="00AF3581" w:rsidP="0067543B">
            <w:pPr>
              <w:rPr>
                <w:sz w:val="18"/>
                <w:szCs w:val="18"/>
              </w:rPr>
            </w:pPr>
          </w:p>
        </w:tc>
        <w:tc>
          <w:tcPr>
            <w:tcW w:w="472" w:type="dxa"/>
            <w:shd w:val="clear" w:color="auto" w:fill="D9D9D9"/>
          </w:tcPr>
          <w:p w14:paraId="6A9B126F" w14:textId="77777777" w:rsidR="00AF3581" w:rsidRPr="00506303" w:rsidRDefault="00AF3581" w:rsidP="0067543B">
            <w:pPr>
              <w:rPr>
                <w:sz w:val="18"/>
                <w:szCs w:val="18"/>
              </w:rPr>
            </w:pPr>
          </w:p>
        </w:tc>
        <w:tc>
          <w:tcPr>
            <w:tcW w:w="472" w:type="dxa"/>
            <w:shd w:val="clear" w:color="auto" w:fill="D9D9D9"/>
          </w:tcPr>
          <w:p w14:paraId="5A1F1C7E" w14:textId="77777777" w:rsidR="00AF3581" w:rsidRPr="00506303" w:rsidRDefault="00AF3581" w:rsidP="0067543B">
            <w:pPr>
              <w:rPr>
                <w:sz w:val="18"/>
                <w:szCs w:val="18"/>
              </w:rPr>
            </w:pPr>
          </w:p>
        </w:tc>
        <w:tc>
          <w:tcPr>
            <w:tcW w:w="473" w:type="dxa"/>
            <w:shd w:val="clear" w:color="auto" w:fill="D9D9D9"/>
          </w:tcPr>
          <w:p w14:paraId="7694E463" w14:textId="77777777" w:rsidR="00AF3581" w:rsidRPr="00506303" w:rsidRDefault="00AF3581" w:rsidP="0067543B">
            <w:pPr>
              <w:rPr>
                <w:sz w:val="18"/>
                <w:szCs w:val="18"/>
              </w:rPr>
            </w:pPr>
          </w:p>
        </w:tc>
        <w:tc>
          <w:tcPr>
            <w:tcW w:w="473" w:type="dxa"/>
            <w:shd w:val="clear" w:color="auto" w:fill="D9D9D9"/>
          </w:tcPr>
          <w:p w14:paraId="490AA945" w14:textId="77777777" w:rsidR="00AF3581" w:rsidRPr="00506303" w:rsidRDefault="00AF3581" w:rsidP="0067543B">
            <w:pPr>
              <w:rPr>
                <w:sz w:val="18"/>
                <w:szCs w:val="18"/>
              </w:rPr>
            </w:pPr>
          </w:p>
        </w:tc>
        <w:tc>
          <w:tcPr>
            <w:tcW w:w="473" w:type="dxa"/>
            <w:shd w:val="clear" w:color="auto" w:fill="D9D9D9"/>
          </w:tcPr>
          <w:p w14:paraId="390C86EC" w14:textId="77777777" w:rsidR="00AF3581" w:rsidRPr="00506303" w:rsidRDefault="00AF3581" w:rsidP="0067543B">
            <w:pPr>
              <w:rPr>
                <w:sz w:val="18"/>
                <w:szCs w:val="18"/>
              </w:rPr>
            </w:pPr>
          </w:p>
        </w:tc>
        <w:tc>
          <w:tcPr>
            <w:tcW w:w="473" w:type="dxa"/>
            <w:shd w:val="clear" w:color="auto" w:fill="D9D9D9"/>
          </w:tcPr>
          <w:p w14:paraId="30A0D0D2" w14:textId="77777777" w:rsidR="00AF3581" w:rsidRPr="00506303" w:rsidRDefault="00AF3581" w:rsidP="0067543B">
            <w:pPr>
              <w:rPr>
                <w:sz w:val="18"/>
                <w:szCs w:val="18"/>
              </w:rPr>
            </w:pPr>
          </w:p>
        </w:tc>
        <w:tc>
          <w:tcPr>
            <w:tcW w:w="473" w:type="dxa"/>
            <w:shd w:val="clear" w:color="auto" w:fill="D9D9D9"/>
          </w:tcPr>
          <w:p w14:paraId="2477CDE6" w14:textId="77777777" w:rsidR="00AF3581" w:rsidRPr="00506303" w:rsidRDefault="00AF3581" w:rsidP="0067543B">
            <w:pPr>
              <w:rPr>
                <w:sz w:val="18"/>
                <w:szCs w:val="18"/>
              </w:rPr>
            </w:pPr>
          </w:p>
        </w:tc>
        <w:tc>
          <w:tcPr>
            <w:tcW w:w="473" w:type="dxa"/>
            <w:shd w:val="clear" w:color="auto" w:fill="D9D9D9"/>
          </w:tcPr>
          <w:p w14:paraId="2322C095" w14:textId="77777777" w:rsidR="00AF3581" w:rsidRPr="00506303" w:rsidRDefault="00AF3581" w:rsidP="0067543B">
            <w:pPr>
              <w:rPr>
                <w:sz w:val="18"/>
                <w:szCs w:val="18"/>
              </w:rPr>
            </w:pPr>
          </w:p>
        </w:tc>
        <w:tc>
          <w:tcPr>
            <w:tcW w:w="473" w:type="dxa"/>
            <w:shd w:val="clear" w:color="auto" w:fill="D9D9D9"/>
          </w:tcPr>
          <w:p w14:paraId="0742C74F" w14:textId="77777777" w:rsidR="00AF3581" w:rsidRPr="00506303" w:rsidRDefault="00AF3581" w:rsidP="0067543B">
            <w:pPr>
              <w:rPr>
                <w:sz w:val="18"/>
                <w:szCs w:val="18"/>
              </w:rPr>
            </w:pPr>
          </w:p>
        </w:tc>
        <w:tc>
          <w:tcPr>
            <w:tcW w:w="473" w:type="dxa"/>
            <w:shd w:val="clear" w:color="auto" w:fill="D9D9D9"/>
          </w:tcPr>
          <w:p w14:paraId="27E4D780" w14:textId="77777777" w:rsidR="00AF3581" w:rsidRPr="00506303" w:rsidRDefault="00AF3581" w:rsidP="0067543B">
            <w:pPr>
              <w:rPr>
                <w:sz w:val="18"/>
                <w:szCs w:val="18"/>
              </w:rPr>
            </w:pPr>
          </w:p>
        </w:tc>
        <w:tc>
          <w:tcPr>
            <w:tcW w:w="473" w:type="dxa"/>
            <w:shd w:val="clear" w:color="auto" w:fill="D9D9D9"/>
          </w:tcPr>
          <w:p w14:paraId="112C0D03" w14:textId="77777777" w:rsidR="00AF3581" w:rsidRPr="00506303" w:rsidRDefault="00AF3581" w:rsidP="0067543B">
            <w:pPr>
              <w:rPr>
                <w:sz w:val="18"/>
                <w:szCs w:val="18"/>
              </w:rPr>
            </w:pPr>
          </w:p>
        </w:tc>
        <w:tc>
          <w:tcPr>
            <w:tcW w:w="473" w:type="dxa"/>
            <w:shd w:val="clear" w:color="auto" w:fill="D9D9D9"/>
          </w:tcPr>
          <w:p w14:paraId="61FBF8D1" w14:textId="77777777" w:rsidR="00AF3581" w:rsidRPr="00506303" w:rsidRDefault="00AF3581" w:rsidP="0067543B">
            <w:pPr>
              <w:rPr>
                <w:sz w:val="18"/>
                <w:szCs w:val="18"/>
              </w:rPr>
            </w:pPr>
          </w:p>
        </w:tc>
      </w:tr>
      <w:tr w:rsidR="00AF3581" w:rsidRPr="00506303" w14:paraId="0244AE6F" w14:textId="77777777" w:rsidTr="00506303">
        <w:tc>
          <w:tcPr>
            <w:tcW w:w="944" w:type="dxa"/>
            <w:shd w:val="clear" w:color="auto" w:fill="F2F2F2"/>
          </w:tcPr>
          <w:p w14:paraId="058587E1" w14:textId="77777777" w:rsidR="00AF3581" w:rsidRPr="00506303" w:rsidRDefault="00AF3581" w:rsidP="0067543B">
            <w:pPr>
              <w:rPr>
                <w:b/>
                <w:sz w:val="18"/>
                <w:szCs w:val="18"/>
              </w:rPr>
            </w:pPr>
            <w:r w:rsidRPr="00506303">
              <w:rPr>
                <w:b/>
                <w:sz w:val="18"/>
                <w:szCs w:val="18"/>
              </w:rPr>
              <w:t>2.4</w:t>
            </w:r>
          </w:p>
        </w:tc>
        <w:tc>
          <w:tcPr>
            <w:tcW w:w="13226" w:type="dxa"/>
            <w:gridSpan w:val="21"/>
            <w:shd w:val="clear" w:color="auto" w:fill="F2F2F2"/>
          </w:tcPr>
          <w:p w14:paraId="6EBA75C3" w14:textId="77777777" w:rsidR="00AF3581" w:rsidRPr="00506303" w:rsidRDefault="00AF3581" w:rsidP="0067543B">
            <w:pPr>
              <w:rPr>
                <w:b/>
                <w:sz w:val="18"/>
                <w:szCs w:val="18"/>
              </w:rPr>
            </w:pPr>
            <w:r w:rsidRPr="00506303">
              <w:rPr>
                <w:b/>
                <w:sz w:val="18"/>
                <w:szCs w:val="18"/>
              </w:rPr>
              <w:t>Improved national and regional values for the Total Economic Values of coastal habitats for use in development planning and decision-making</w:t>
            </w:r>
          </w:p>
        </w:tc>
      </w:tr>
      <w:tr w:rsidR="00E071AC" w:rsidRPr="00506303" w14:paraId="48F9DA8C" w14:textId="77777777" w:rsidTr="00E071AC">
        <w:tc>
          <w:tcPr>
            <w:tcW w:w="944" w:type="dxa"/>
            <w:shd w:val="clear" w:color="auto" w:fill="auto"/>
          </w:tcPr>
          <w:p w14:paraId="1FE47DB7" w14:textId="77777777" w:rsidR="00AF3581" w:rsidRPr="00506303" w:rsidRDefault="00AF3581" w:rsidP="0067543B">
            <w:pPr>
              <w:rPr>
                <w:sz w:val="18"/>
                <w:szCs w:val="18"/>
              </w:rPr>
            </w:pPr>
            <w:r w:rsidRPr="00506303">
              <w:rPr>
                <w:sz w:val="18"/>
                <w:szCs w:val="18"/>
              </w:rPr>
              <w:t>2.4.1</w:t>
            </w:r>
          </w:p>
        </w:tc>
        <w:tc>
          <w:tcPr>
            <w:tcW w:w="3776" w:type="dxa"/>
            <w:shd w:val="clear" w:color="auto" w:fill="auto"/>
          </w:tcPr>
          <w:p w14:paraId="1BB7A176" w14:textId="77777777" w:rsidR="00AF3581" w:rsidRPr="00506303" w:rsidRDefault="00AF3581" w:rsidP="0067543B">
            <w:pPr>
              <w:rPr>
                <w:sz w:val="18"/>
                <w:szCs w:val="18"/>
              </w:rPr>
            </w:pPr>
            <w:r w:rsidRPr="00506303">
              <w:rPr>
                <w:sz w:val="18"/>
                <w:szCs w:val="18"/>
              </w:rPr>
              <w:t>Expand datasets of economic valuation information on the goods and services of SCS coastal habitats</w:t>
            </w:r>
          </w:p>
        </w:tc>
        <w:tc>
          <w:tcPr>
            <w:tcW w:w="472" w:type="dxa"/>
            <w:shd w:val="clear" w:color="auto" w:fill="D9D9D9"/>
          </w:tcPr>
          <w:p w14:paraId="6EB9FD63" w14:textId="77777777" w:rsidR="00AF3581" w:rsidRPr="00506303" w:rsidRDefault="00AF3581" w:rsidP="0067543B">
            <w:pPr>
              <w:rPr>
                <w:sz w:val="18"/>
                <w:szCs w:val="18"/>
              </w:rPr>
            </w:pPr>
          </w:p>
        </w:tc>
        <w:tc>
          <w:tcPr>
            <w:tcW w:w="472" w:type="dxa"/>
            <w:shd w:val="clear" w:color="auto" w:fill="D9D9D9"/>
          </w:tcPr>
          <w:p w14:paraId="703AB0C7" w14:textId="77777777" w:rsidR="00AF3581" w:rsidRPr="00506303" w:rsidRDefault="00AF3581" w:rsidP="0067543B">
            <w:pPr>
              <w:rPr>
                <w:sz w:val="18"/>
                <w:szCs w:val="18"/>
              </w:rPr>
            </w:pPr>
          </w:p>
        </w:tc>
        <w:tc>
          <w:tcPr>
            <w:tcW w:w="472" w:type="dxa"/>
            <w:shd w:val="clear" w:color="auto" w:fill="D9D9D9"/>
          </w:tcPr>
          <w:p w14:paraId="169CBF34" w14:textId="77777777" w:rsidR="00AF3581" w:rsidRPr="00506303" w:rsidRDefault="00AF3581" w:rsidP="0067543B">
            <w:pPr>
              <w:rPr>
                <w:sz w:val="18"/>
                <w:szCs w:val="18"/>
              </w:rPr>
            </w:pPr>
          </w:p>
        </w:tc>
        <w:tc>
          <w:tcPr>
            <w:tcW w:w="472" w:type="dxa"/>
            <w:shd w:val="clear" w:color="auto" w:fill="D9D9D9"/>
          </w:tcPr>
          <w:p w14:paraId="165FD994" w14:textId="77777777" w:rsidR="00AF3581" w:rsidRPr="00506303" w:rsidRDefault="00AF3581" w:rsidP="0067543B">
            <w:pPr>
              <w:rPr>
                <w:sz w:val="18"/>
                <w:szCs w:val="18"/>
              </w:rPr>
            </w:pPr>
          </w:p>
        </w:tc>
        <w:tc>
          <w:tcPr>
            <w:tcW w:w="472" w:type="dxa"/>
            <w:shd w:val="clear" w:color="auto" w:fill="D9D9D9"/>
          </w:tcPr>
          <w:p w14:paraId="762AB244" w14:textId="77777777" w:rsidR="00AF3581" w:rsidRPr="00506303" w:rsidRDefault="00AF3581" w:rsidP="0067543B">
            <w:pPr>
              <w:rPr>
                <w:sz w:val="18"/>
                <w:szCs w:val="18"/>
              </w:rPr>
            </w:pPr>
          </w:p>
        </w:tc>
        <w:tc>
          <w:tcPr>
            <w:tcW w:w="472" w:type="dxa"/>
            <w:shd w:val="clear" w:color="auto" w:fill="D9D9D9"/>
          </w:tcPr>
          <w:p w14:paraId="5F05E10C" w14:textId="77777777" w:rsidR="00AF3581" w:rsidRPr="00506303" w:rsidRDefault="00AF3581" w:rsidP="0067543B">
            <w:pPr>
              <w:rPr>
                <w:sz w:val="18"/>
                <w:szCs w:val="18"/>
              </w:rPr>
            </w:pPr>
          </w:p>
        </w:tc>
        <w:tc>
          <w:tcPr>
            <w:tcW w:w="472" w:type="dxa"/>
            <w:shd w:val="clear" w:color="auto" w:fill="D9D9D9"/>
          </w:tcPr>
          <w:p w14:paraId="7F977D6B" w14:textId="77777777" w:rsidR="00AF3581" w:rsidRPr="00506303" w:rsidRDefault="00AF3581" w:rsidP="0067543B">
            <w:pPr>
              <w:rPr>
                <w:sz w:val="18"/>
                <w:szCs w:val="18"/>
              </w:rPr>
            </w:pPr>
          </w:p>
        </w:tc>
        <w:tc>
          <w:tcPr>
            <w:tcW w:w="472" w:type="dxa"/>
            <w:shd w:val="clear" w:color="auto" w:fill="D9D9D9"/>
          </w:tcPr>
          <w:p w14:paraId="71B37FEF" w14:textId="77777777" w:rsidR="00AF3581" w:rsidRPr="00506303" w:rsidRDefault="00AF3581" w:rsidP="0067543B">
            <w:pPr>
              <w:rPr>
                <w:sz w:val="18"/>
                <w:szCs w:val="18"/>
              </w:rPr>
            </w:pPr>
          </w:p>
        </w:tc>
        <w:tc>
          <w:tcPr>
            <w:tcW w:w="472" w:type="dxa"/>
            <w:shd w:val="clear" w:color="auto" w:fill="D9D9D9"/>
          </w:tcPr>
          <w:p w14:paraId="0E3FDCA7" w14:textId="77777777" w:rsidR="00AF3581" w:rsidRPr="00506303" w:rsidRDefault="00AF3581" w:rsidP="0067543B">
            <w:pPr>
              <w:rPr>
                <w:sz w:val="18"/>
                <w:szCs w:val="18"/>
              </w:rPr>
            </w:pPr>
          </w:p>
        </w:tc>
        <w:tc>
          <w:tcPr>
            <w:tcW w:w="472" w:type="dxa"/>
            <w:shd w:val="clear" w:color="auto" w:fill="D9D9D9"/>
          </w:tcPr>
          <w:p w14:paraId="4300AAA4" w14:textId="77777777" w:rsidR="00AF3581" w:rsidRPr="00506303" w:rsidRDefault="00AF3581" w:rsidP="0067543B">
            <w:pPr>
              <w:rPr>
                <w:sz w:val="18"/>
                <w:szCs w:val="18"/>
              </w:rPr>
            </w:pPr>
          </w:p>
        </w:tc>
        <w:tc>
          <w:tcPr>
            <w:tcW w:w="473" w:type="dxa"/>
            <w:shd w:val="clear" w:color="auto" w:fill="D9D9D9"/>
          </w:tcPr>
          <w:p w14:paraId="0B9F235B" w14:textId="77777777" w:rsidR="00AF3581" w:rsidRPr="00506303" w:rsidRDefault="00AF3581" w:rsidP="0067543B">
            <w:pPr>
              <w:rPr>
                <w:sz w:val="18"/>
                <w:szCs w:val="18"/>
              </w:rPr>
            </w:pPr>
          </w:p>
        </w:tc>
        <w:tc>
          <w:tcPr>
            <w:tcW w:w="473" w:type="dxa"/>
            <w:shd w:val="clear" w:color="auto" w:fill="D9D9D9"/>
          </w:tcPr>
          <w:p w14:paraId="731C225D" w14:textId="77777777" w:rsidR="00AF3581" w:rsidRPr="00506303" w:rsidRDefault="00AF3581" w:rsidP="0067543B">
            <w:pPr>
              <w:rPr>
                <w:sz w:val="18"/>
                <w:szCs w:val="18"/>
              </w:rPr>
            </w:pPr>
          </w:p>
        </w:tc>
        <w:tc>
          <w:tcPr>
            <w:tcW w:w="473" w:type="dxa"/>
            <w:shd w:val="clear" w:color="auto" w:fill="D9D9D9"/>
          </w:tcPr>
          <w:p w14:paraId="195F2E7E" w14:textId="77777777" w:rsidR="00AF3581" w:rsidRPr="00506303" w:rsidRDefault="00AF3581" w:rsidP="0067543B">
            <w:pPr>
              <w:rPr>
                <w:sz w:val="18"/>
                <w:szCs w:val="18"/>
              </w:rPr>
            </w:pPr>
          </w:p>
        </w:tc>
        <w:tc>
          <w:tcPr>
            <w:tcW w:w="473" w:type="dxa"/>
            <w:shd w:val="clear" w:color="auto" w:fill="D9D9D9"/>
          </w:tcPr>
          <w:p w14:paraId="7387500B" w14:textId="77777777" w:rsidR="00AF3581" w:rsidRPr="00506303" w:rsidRDefault="00AF3581" w:rsidP="0067543B">
            <w:pPr>
              <w:rPr>
                <w:sz w:val="18"/>
                <w:szCs w:val="18"/>
              </w:rPr>
            </w:pPr>
          </w:p>
        </w:tc>
        <w:tc>
          <w:tcPr>
            <w:tcW w:w="473" w:type="dxa"/>
            <w:shd w:val="clear" w:color="auto" w:fill="D9D9D9"/>
          </w:tcPr>
          <w:p w14:paraId="29169FA6" w14:textId="77777777" w:rsidR="00AF3581" w:rsidRPr="00506303" w:rsidRDefault="00AF3581" w:rsidP="0067543B">
            <w:pPr>
              <w:rPr>
                <w:sz w:val="18"/>
                <w:szCs w:val="18"/>
              </w:rPr>
            </w:pPr>
          </w:p>
        </w:tc>
        <w:tc>
          <w:tcPr>
            <w:tcW w:w="473" w:type="dxa"/>
            <w:shd w:val="clear" w:color="auto" w:fill="D9D9D9"/>
          </w:tcPr>
          <w:p w14:paraId="63F75B46" w14:textId="77777777" w:rsidR="00AF3581" w:rsidRPr="00506303" w:rsidRDefault="00AF3581" w:rsidP="0067543B">
            <w:pPr>
              <w:rPr>
                <w:sz w:val="18"/>
                <w:szCs w:val="18"/>
              </w:rPr>
            </w:pPr>
          </w:p>
        </w:tc>
        <w:tc>
          <w:tcPr>
            <w:tcW w:w="473" w:type="dxa"/>
            <w:shd w:val="clear" w:color="auto" w:fill="D9D9D9"/>
          </w:tcPr>
          <w:p w14:paraId="23758092" w14:textId="77777777" w:rsidR="00AF3581" w:rsidRPr="00506303" w:rsidRDefault="00AF3581" w:rsidP="0067543B">
            <w:pPr>
              <w:rPr>
                <w:sz w:val="18"/>
                <w:szCs w:val="18"/>
              </w:rPr>
            </w:pPr>
          </w:p>
        </w:tc>
        <w:tc>
          <w:tcPr>
            <w:tcW w:w="473" w:type="dxa"/>
            <w:shd w:val="clear" w:color="auto" w:fill="D9D9D9"/>
          </w:tcPr>
          <w:p w14:paraId="6DD22958" w14:textId="77777777" w:rsidR="00AF3581" w:rsidRPr="00506303" w:rsidRDefault="00AF3581" w:rsidP="0067543B">
            <w:pPr>
              <w:rPr>
                <w:sz w:val="18"/>
                <w:szCs w:val="18"/>
              </w:rPr>
            </w:pPr>
          </w:p>
        </w:tc>
        <w:tc>
          <w:tcPr>
            <w:tcW w:w="473" w:type="dxa"/>
            <w:shd w:val="clear" w:color="auto" w:fill="D9D9D9"/>
          </w:tcPr>
          <w:p w14:paraId="3288F9AC" w14:textId="77777777" w:rsidR="00AF3581" w:rsidRPr="00506303" w:rsidRDefault="00AF3581" w:rsidP="0067543B">
            <w:pPr>
              <w:rPr>
                <w:sz w:val="18"/>
                <w:szCs w:val="18"/>
              </w:rPr>
            </w:pPr>
          </w:p>
        </w:tc>
        <w:tc>
          <w:tcPr>
            <w:tcW w:w="473" w:type="dxa"/>
            <w:shd w:val="clear" w:color="auto" w:fill="D9D9D9"/>
          </w:tcPr>
          <w:p w14:paraId="4BDF1A1E" w14:textId="77777777" w:rsidR="00AF3581" w:rsidRPr="00506303" w:rsidRDefault="00AF3581" w:rsidP="0067543B">
            <w:pPr>
              <w:rPr>
                <w:sz w:val="18"/>
                <w:szCs w:val="18"/>
              </w:rPr>
            </w:pPr>
          </w:p>
        </w:tc>
      </w:tr>
      <w:tr w:rsidR="00E071AC" w:rsidRPr="00506303" w14:paraId="179778DC" w14:textId="77777777" w:rsidTr="00E071AC">
        <w:tc>
          <w:tcPr>
            <w:tcW w:w="944" w:type="dxa"/>
            <w:shd w:val="clear" w:color="auto" w:fill="auto"/>
          </w:tcPr>
          <w:p w14:paraId="34420B0C" w14:textId="77777777" w:rsidR="00AF3581" w:rsidRPr="00506303" w:rsidRDefault="00AF3581" w:rsidP="0067543B">
            <w:pPr>
              <w:rPr>
                <w:sz w:val="18"/>
                <w:szCs w:val="18"/>
              </w:rPr>
            </w:pPr>
            <w:r w:rsidRPr="00506303">
              <w:rPr>
                <w:sz w:val="18"/>
                <w:szCs w:val="18"/>
              </w:rPr>
              <w:t>2.4.2</w:t>
            </w:r>
          </w:p>
        </w:tc>
        <w:tc>
          <w:tcPr>
            <w:tcW w:w="3776" w:type="dxa"/>
            <w:shd w:val="clear" w:color="auto" w:fill="auto"/>
          </w:tcPr>
          <w:p w14:paraId="64AE8B32" w14:textId="77777777" w:rsidR="00AF3581" w:rsidRPr="00506303" w:rsidRDefault="00AF3581" w:rsidP="0067543B">
            <w:pPr>
              <w:rPr>
                <w:sz w:val="18"/>
                <w:szCs w:val="18"/>
              </w:rPr>
            </w:pPr>
            <w:r w:rsidRPr="00506303">
              <w:rPr>
                <w:sz w:val="18"/>
                <w:szCs w:val="18"/>
              </w:rPr>
              <w:t>Estimate the value for the service provided by coastal habitats as nursery areas for coastal fish and crustaceans</w:t>
            </w:r>
          </w:p>
        </w:tc>
        <w:tc>
          <w:tcPr>
            <w:tcW w:w="472" w:type="dxa"/>
            <w:shd w:val="clear" w:color="auto" w:fill="auto"/>
          </w:tcPr>
          <w:p w14:paraId="171EF414" w14:textId="77777777" w:rsidR="00AF3581" w:rsidRPr="00506303" w:rsidRDefault="00AF3581" w:rsidP="0067543B">
            <w:pPr>
              <w:rPr>
                <w:sz w:val="18"/>
                <w:szCs w:val="18"/>
              </w:rPr>
            </w:pPr>
          </w:p>
        </w:tc>
        <w:tc>
          <w:tcPr>
            <w:tcW w:w="472" w:type="dxa"/>
            <w:shd w:val="clear" w:color="auto" w:fill="auto"/>
          </w:tcPr>
          <w:p w14:paraId="198660DC" w14:textId="77777777" w:rsidR="00AF3581" w:rsidRPr="00506303" w:rsidRDefault="00AF3581" w:rsidP="0067543B">
            <w:pPr>
              <w:rPr>
                <w:sz w:val="18"/>
                <w:szCs w:val="18"/>
              </w:rPr>
            </w:pPr>
          </w:p>
        </w:tc>
        <w:tc>
          <w:tcPr>
            <w:tcW w:w="472" w:type="dxa"/>
            <w:shd w:val="clear" w:color="auto" w:fill="auto"/>
          </w:tcPr>
          <w:p w14:paraId="533E973C" w14:textId="77777777" w:rsidR="00AF3581" w:rsidRPr="00506303" w:rsidRDefault="00AF3581" w:rsidP="0067543B">
            <w:pPr>
              <w:rPr>
                <w:sz w:val="18"/>
                <w:szCs w:val="18"/>
              </w:rPr>
            </w:pPr>
          </w:p>
        </w:tc>
        <w:tc>
          <w:tcPr>
            <w:tcW w:w="472" w:type="dxa"/>
            <w:shd w:val="clear" w:color="auto" w:fill="auto"/>
          </w:tcPr>
          <w:p w14:paraId="233CC54C" w14:textId="77777777" w:rsidR="00AF3581" w:rsidRPr="00506303" w:rsidRDefault="00AF3581" w:rsidP="0067543B">
            <w:pPr>
              <w:rPr>
                <w:sz w:val="18"/>
                <w:szCs w:val="18"/>
              </w:rPr>
            </w:pPr>
          </w:p>
        </w:tc>
        <w:tc>
          <w:tcPr>
            <w:tcW w:w="472" w:type="dxa"/>
            <w:shd w:val="clear" w:color="auto" w:fill="D9D9D9"/>
          </w:tcPr>
          <w:p w14:paraId="6D69A8AF" w14:textId="77777777" w:rsidR="00AF3581" w:rsidRPr="00506303" w:rsidRDefault="00AF3581" w:rsidP="0067543B">
            <w:pPr>
              <w:rPr>
                <w:sz w:val="18"/>
                <w:szCs w:val="18"/>
              </w:rPr>
            </w:pPr>
          </w:p>
        </w:tc>
        <w:tc>
          <w:tcPr>
            <w:tcW w:w="472" w:type="dxa"/>
            <w:shd w:val="clear" w:color="auto" w:fill="D9D9D9"/>
          </w:tcPr>
          <w:p w14:paraId="097924A2" w14:textId="77777777" w:rsidR="00AF3581" w:rsidRPr="00506303" w:rsidRDefault="00AF3581" w:rsidP="0067543B">
            <w:pPr>
              <w:rPr>
                <w:sz w:val="18"/>
                <w:szCs w:val="18"/>
              </w:rPr>
            </w:pPr>
          </w:p>
        </w:tc>
        <w:tc>
          <w:tcPr>
            <w:tcW w:w="472" w:type="dxa"/>
            <w:shd w:val="clear" w:color="auto" w:fill="D9D9D9"/>
          </w:tcPr>
          <w:p w14:paraId="077F136D" w14:textId="77777777" w:rsidR="00AF3581" w:rsidRPr="00506303" w:rsidRDefault="00AF3581" w:rsidP="0067543B">
            <w:pPr>
              <w:rPr>
                <w:sz w:val="18"/>
                <w:szCs w:val="18"/>
              </w:rPr>
            </w:pPr>
          </w:p>
        </w:tc>
        <w:tc>
          <w:tcPr>
            <w:tcW w:w="472" w:type="dxa"/>
            <w:shd w:val="clear" w:color="auto" w:fill="D9D9D9"/>
          </w:tcPr>
          <w:p w14:paraId="3118F565" w14:textId="77777777" w:rsidR="00AF3581" w:rsidRPr="00506303" w:rsidRDefault="00AF3581" w:rsidP="0067543B">
            <w:pPr>
              <w:rPr>
                <w:sz w:val="18"/>
                <w:szCs w:val="18"/>
              </w:rPr>
            </w:pPr>
          </w:p>
        </w:tc>
        <w:tc>
          <w:tcPr>
            <w:tcW w:w="472" w:type="dxa"/>
            <w:shd w:val="clear" w:color="auto" w:fill="D9D9D9"/>
          </w:tcPr>
          <w:p w14:paraId="258AF165" w14:textId="77777777" w:rsidR="00AF3581" w:rsidRPr="00506303" w:rsidRDefault="00AF3581" w:rsidP="0067543B">
            <w:pPr>
              <w:rPr>
                <w:sz w:val="18"/>
                <w:szCs w:val="18"/>
              </w:rPr>
            </w:pPr>
          </w:p>
        </w:tc>
        <w:tc>
          <w:tcPr>
            <w:tcW w:w="472" w:type="dxa"/>
            <w:shd w:val="clear" w:color="auto" w:fill="D9D9D9"/>
          </w:tcPr>
          <w:p w14:paraId="5E5B7107" w14:textId="77777777" w:rsidR="00AF3581" w:rsidRPr="00506303" w:rsidRDefault="00AF3581" w:rsidP="0067543B">
            <w:pPr>
              <w:rPr>
                <w:sz w:val="18"/>
                <w:szCs w:val="18"/>
              </w:rPr>
            </w:pPr>
          </w:p>
        </w:tc>
        <w:tc>
          <w:tcPr>
            <w:tcW w:w="473" w:type="dxa"/>
            <w:shd w:val="clear" w:color="auto" w:fill="D9D9D9"/>
          </w:tcPr>
          <w:p w14:paraId="750C025D" w14:textId="77777777" w:rsidR="00AF3581" w:rsidRPr="00506303" w:rsidRDefault="00AF3581" w:rsidP="0067543B">
            <w:pPr>
              <w:rPr>
                <w:sz w:val="18"/>
                <w:szCs w:val="18"/>
              </w:rPr>
            </w:pPr>
          </w:p>
        </w:tc>
        <w:tc>
          <w:tcPr>
            <w:tcW w:w="473" w:type="dxa"/>
            <w:shd w:val="clear" w:color="auto" w:fill="D9D9D9"/>
          </w:tcPr>
          <w:p w14:paraId="68C3AE68" w14:textId="77777777" w:rsidR="00AF3581" w:rsidRPr="00506303" w:rsidRDefault="00AF3581" w:rsidP="0067543B">
            <w:pPr>
              <w:rPr>
                <w:sz w:val="18"/>
                <w:szCs w:val="18"/>
              </w:rPr>
            </w:pPr>
          </w:p>
        </w:tc>
        <w:tc>
          <w:tcPr>
            <w:tcW w:w="473" w:type="dxa"/>
            <w:shd w:val="clear" w:color="auto" w:fill="auto"/>
          </w:tcPr>
          <w:p w14:paraId="3606B91A" w14:textId="77777777" w:rsidR="00AF3581" w:rsidRPr="00506303" w:rsidRDefault="00AF3581" w:rsidP="0067543B">
            <w:pPr>
              <w:rPr>
                <w:sz w:val="18"/>
                <w:szCs w:val="18"/>
              </w:rPr>
            </w:pPr>
          </w:p>
        </w:tc>
        <w:tc>
          <w:tcPr>
            <w:tcW w:w="473" w:type="dxa"/>
            <w:shd w:val="clear" w:color="auto" w:fill="auto"/>
          </w:tcPr>
          <w:p w14:paraId="3AF7F4CF" w14:textId="77777777" w:rsidR="00AF3581" w:rsidRPr="00506303" w:rsidRDefault="00AF3581" w:rsidP="0067543B">
            <w:pPr>
              <w:rPr>
                <w:sz w:val="18"/>
                <w:szCs w:val="18"/>
              </w:rPr>
            </w:pPr>
          </w:p>
        </w:tc>
        <w:tc>
          <w:tcPr>
            <w:tcW w:w="473" w:type="dxa"/>
            <w:shd w:val="clear" w:color="auto" w:fill="auto"/>
          </w:tcPr>
          <w:p w14:paraId="55778549" w14:textId="77777777" w:rsidR="00AF3581" w:rsidRPr="00506303" w:rsidRDefault="00AF3581" w:rsidP="0067543B">
            <w:pPr>
              <w:rPr>
                <w:sz w:val="18"/>
                <w:szCs w:val="18"/>
              </w:rPr>
            </w:pPr>
          </w:p>
        </w:tc>
        <w:tc>
          <w:tcPr>
            <w:tcW w:w="473" w:type="dxa"/>
            <w:shd w:val="clear" w:color="auto" w:fill="auto"/>
          </w:tcPr>
          <w:p w14:paraId="6541246C" w14:textId="77777777" w:rsidR="00AF3581" w:rsidRPr="00506303" w:rsidRDefault="00AF3581" w:rsidP="0067543B">
            <w:pPr>
              <w:rPr>
                <w:sz w:val="18"/>
                <w:szCs w:val="18"/>
              </w:rPr>
            </w:pPr>
          </w:p>
        </w:tc>
        <w:tc>
          <w:tcPr>
            <w:tcW w:w="473" w:type="dxa"/>
            <w:shd w:val="clear" w:color="auto" w:fill="auto"/>
          </w:tcPr>
          <w:p w14:paraId="0F1F3A73" w14:textId="77777777" w:rsidR="00AF3581" w:rsidRPr="00506303" w:rsidRDefault="00AF3581" w:rsidP="0067543B">
            <w:pPr>
              <w:rPr>
                <w:sz w:val="18"/>
                <w:szCs w:val="18"/>
              </w:rPr>
            </w:pPr>
          </w:p>
        </w:tc>
        <w:tc>
          <w:tcPr>
            <w:tcW w:w="473" w:type="dxa"/>
            <w:shd w:val="clear" w:color="auto" w:fill="auto"/>
          </w:tcPr>
          <w:p w14:paraId="3C1200E1" w14:textId="77777777" w:rsidR="00AF3581" w:rsidRPr="00506303" w:rsidRDefault="00AF3581" w:rsidP="0067543B">
            <w:pPr>
              <w:rPr>
                <w:sz w:val="18"/>
                <w:szCs w:val="18"/>
              </w:rPr>
            </w:pPr>
          </w:p>
        </w:tc>
        <w:tc>
          <w:tcPr>
            <w:tcW w:w="473" w:type="dxa"/>
            <w:shd w:val="clear" w:color="auto" w:fill="auto"/>
          </w:tcPr>
          <w:p w14:paraId="19B88CEF" w14:textId="77777777" w:rsidR="00AF3581" w:rsidRPr="00506303" w:rsidRDefault="00AF3581" w:rsidP="0067543B">
            <w:pPr>
              <w:rPr>
                <w:sz w:val="18"/>
                <w:szCs w:val="18"/>
              </w:rPr>
            </w:pPr>
          </w:p>
        </w:tc>
        <w:tc>
          <w:tcPr>
            <w:tcW w:w="473" w:type="dxa"/>
            <w:shd w:val="clear" w:color="auto" w:fill="auto"/>
          </w:tcPr>
          <w:p w14:paraId="58037474" w14:textId="77777777" w:rsidR="00AF3581" w:rsidRPr="00506303" w:rsidRDefault="00AF3581" w:rsidP="0067543B">
            <w:pPr>
              <w:rPr>
                <w:sz w:val="18"/>
                <w:szCs w:val="18"/>
              </w:rPr>
            </w:pPr>
          </w:p>
        </w:tc>
      </w:tr>
      <w:tr w:rsidR="00E071AC" w:rsidRPr="00506303" w14:paraId="00780688" w14:textId="77777777" w:rsidTr="00E071AC">
        <w:tc>
          <w:tcPr>
            <w:tcW w:w="944" w:type="dxa"/>
            <w:shd w:val="clear" w:color="auto" w:fill="auto"/>
          </w:tcPr>
          <w:p w14:paraId="290446EC" w14:textId="77777777" w:rsidR="00AF3581" w:rsidRPr="00506303" w:rsidRDefault="00AF3581" w:rsidP="0067543B">
            <w:pPr>
              <w:rPr>
                <w:sz w:val="18"/>
                <w:szCs w:val="18"/>
              </w:rPr>
            </w:pPr>
            <w:r w:rsidRPr="00506303">
              <w:rPr>
                <w:sz w:val="18"/>
                <w:szCs w:val="18"/>
              </w:rPr>
              <w:t>2.4.3</w:t>
            </w:r>
          </w:p>
        </w:tc>
        <w:tc>
          <w:tcPr>
            <w:tcW w:w="3776" w:type="dxa"/>
            <w:shd w:val="clear" w:color="auto" w:fill="auto"/>
          </w:tcPr>
          <w:p w14:paraId="24218BA6" w14:textId="77777777" w:rsidR="00AF3581" w:rsidRPr="00506303" w:rsidRDefault="00AF3581" w:rsidP="0067543B">
            <w:pPr>
              <w:rPr>
                <w:sz w:val="18"/>
                <w:szCs w:val="18"/>
              </w:rPr>
            </w:pPr>
            <w:r w:rsidRPr="00506303">
              <w:rPr>
                <w:sz w:val="18"/>
                <w:szCs w:val="18"/>
              </w:rPr>
              <w:t>Estimate economic losses of coastal ecosystem goods and services consequent upon coastal shipping accidents and pollution damage</w:t>
            </w:r>
          </w:p>
        </w:tc>
        <w:tc>
          <w:tcPr>
            <w:tcW w:w="472" w:type="dxa"/>
            <w:shd w:val="clear" w:color="auto" w:fill="auto"/>
          </w:tcPr>
          <w:p w14:paraId="35F736D2" w14:textId="77777777" w:rsidR="00AF3581" w:rsidRPr="00506303" w:rsidRDefault="00AF3581" w:rsidP="0067543B">
            <w:pPr>
              <w:rPr>
                <w:sz w:val="18"/>
                <w:szCs w:val="18"/>
              </w:rPr>
            </w:pPr>
          </w:p>
        </w:tc>
        <w:tc>
          <w:tcPr>
            <w:tcW w:w="472" w:type="dxa"/>
            <w:shd w:val="clear" w:color="auto" w:fill="auto"/>
          </w:tcPr>
          <w:p w14:paraId="67FEF61F" w14:textId="77777777" w:rsidR="00AF3581" w:rsidRPr="00506303" w:rsidRDefault="00AF3581" w:rsidP="0067543B">
            <w:pPr>
              <w:rPr>
                <w:sz w:val="18"/>
                <w:szCs w:val="18"/>
              </w:rPr>
            </w:pPr>
          </w:p>
        </w:tc>
        <w:tc>
          <w:tcPr>
            <w:tcW w:w="472" w:type="dxa"/>
            <w:shd w:val="clear" w:color="auto" w:fill="auto"/>
          </w:tcPr>
          <w:p w14:paraId="3B34E951" w14:textId="77777777" w:rsidR="00AF3581" w:rsidRPr="00506303" w:rsidRDefault="00AF3581" w:rsidP="0067543B">
            <w:pPr>
              <w:rPr>
                <w:sz w:val="18"/>
                <w:szCs w:val="18"/>
              </w:rPr>
            </w:pPr>
          </w:p>
        </w:tc>
        <w:tc>
          <w:tcPr>
            <w:tcW w:w="472" w:type="dxa"/>
            <w:shd w:val="clear" w:color="auto" w:fill="auto"/>
          </w:tcPr>
          <w:p w14:paraId="77E78B09" w14:textId="77777777" w:rsidR="00AF3581" w:rsidRPr="00506303" w:rsidRDefault="00AF3581" w:rsidP="0067543B">
            <w:pPr>
              <w:rPr>
                <w:sz w:val="18"/>
                <w:szCs w:val="18"/>
              </w:rPr>
            </w:pPr>
          </w:p>
        </w:tc>
        <w:tc>
          <w:tcPr>
            <w:tcW w:w="472" w:type="dxa"/>
            <w:shd w:val="clear" w:color="auto" w:fill="D9D9D9"/>
          </w:tcPr>
          <w:p w14:paraId="08CDC478" w14:textId="77777777" w:rsidR="00AF3581" w:rsidRPr="00506303" w:rsidRDefault="00AF3581" w:rsidP="0067543B">
            <w:pPr>
              <w:rPr>
                <w:sz w:val="18"/>
                <w:szCs w:val="18"/>
              </w:rPr>
            </w:pPr>
          </w:p>
        </w:tc>
        <w:tc>
          <w:tcPr>
            <w:tcW w:w="472" w:type="dxa"/>
            <w:shd w:val="clear" w:color="auto" w:fill="D9D9D9"/>
          </w:tcPr>
          <w:p w14:paraId="58F6EE28" w14:textId="77777777" w:rsidR="00AF3581" w:rsidRPr="00506303" w:rsidRDefault="00AF3581" w:rsidP="0067543B">
            <w:pPr>
              <w:rPr>
                <w:sz w:val="18"/>
                <w:szCs w:val="18"/>
              </w:rPr>
            </w:pPr>
          </w:p>
        </w:tc>
        <w:tc>
          <w:tcPr>
            <w:tcW w:w="472" w:type="dxa"/>
            <w:shd w:val="clear" w:color="auto" w:fill="D9D9D9"/>
          </w:tcPr>
          <w:p w14:paraId="141B6813" w14:textId="77777777" w:rsidR="00AF3581" w:rsidRPr="00506303" w:rsidRDefault="00AF3581" w:rsidP="0067543B">
            <w:pPr>
              <w:rPr>
                <w:sz w:val="18"/>
                <w:szCs w:val="18"/>
              </w:rPr>
            </w:pPr>
          </w:p>
        </w:tc>
        <w:tc>
          <w:tcPr>
            <w:tcW w:w="472" w:type="dxa"/>
            <w:shd w:val="clear" w:color="auto" w:fill="D9D9D9"/>
          </w:tcPr>
          <w:p w14:paraId="7A7457D2" w14:textId="77777777" w:rsidR="00AF3581" w:rsidRPr="00506303" w:rsidRDefault="00AF3581" w:rsidP="0067543B">
            <w:pPr>
              <w:rPr>
                <w:sz w:val="18"/>
                <w:szCs w:val="18"/>
              </w:rPr>
            </w:pPr>
          </w:p>
        </w:tc>
        <w:tc>
          <w:tcPr>
            <w:tcW w:w="472" w:type="dxa"/>
            <w:shd w:val="clear" w:color="auto" w:fill="D9D9D9"/>
          </w:tcPr>
          <w:p w14:paraId="5C5A18F6" w14:textId="77777777" w:rsidR="00AF3581" w:rsidRPr="00506303" w:rsidRDefault="00AF3581" w:rsidP="0067543B">
            <w:pPr>
              <w:rPr>
                <w:sz w:val="18"/>
                <w:szCs w:val="18"/>
              </w:rPr>
            </w:pPr>
          </w:p>
        </w:tc>
        <w:tc>
          <w:tcPr>
            <w:tcW w:w="472" w:type="dxa"/>
            <w:shd w:val="clear" w:color="auto" w:fill="D9D9D9"/>
          </w:tcPr>
          <w:p w14:paraId="077C7102" w14:textId="77777777" w:rsidR="00AF3581" w:rsidRPr="00506303" w:rsidRDefault="00AF3581" w:rsidP="0067543B">
            <w:pPr>
              <w:rPr>
                <w:sz w:val="18"/>
                <w:szCs w:val="18"/>
              </w:rPr>
            </w:pPr>
          </w:p>
        </w:tc>
        <w:tc>
          <w:tcPr>
            <w:tcW w:w="473" w:type="dxa"/>
            <w:shd w:val="clear" w:color="auto" w:fill="D9D9D9"/>
          </w:tcPr>
          <w:p w14:paraId="4C0812D2" w14:textId="77777777" w:rsidR="00AF3581" w:rsidRPr="00506303" w:rsidRDefault="00AF3581" w:rsidP="0067543B">
            <w:pPr>
              <w:rPr>
                <w:sz w:val="18"/>
                <w:szCs w:val="18"/>
              </w:rPr>
            </w:pPr>
          </w:p>
        </w:tc>
        <w:tc>
          <w:tcPr>
            <w:tcW w:w="473" w:type="dxa"/>
            <w:shd w:val="clear" w:color="auto" w:fill="D9D9D9"/>
          </w:tcPr>
          <w:p w14:paraId="6CC6EBDC" w14:textId="77777777" w:rsidR="00AF3581" w:rsidRPr="00506303" w:rsidRDefault="00AF3581" w:rsidP="0067543B">
            <w:pPr>
              <w:rPr>
                <w:sz w:val="18"/>
                <w:szCs w:val="18"/>
              </w:rPr>
            </w:pPr>
          </w:p>
        </w:tc>
        <w:tc>
          <w:tcPr>
            <w:tcW w:w="473" w:type="dxa"/>
            <w:shd w:val="clear" w:color="auto" w:fill="auto"/>
          </w:tcPr>
          <w:p w14:paraId="26535481" w14:textId="77777777" w:rsidR="00AF3581" w:rsidRPr="00506303" w:rsidRDefault="00AF3581" w:rsidP="0067543B">
            <w:pPr>
              <w:rPr>
                <w:sz w:val="18"/>
                <w:szCs w:val="18"/>
              </w:rPr>
            </w:pPr>
          </w:p>
        </w:tc>
        <w:tc>
          <w:tcPr>
            <w:tcW w:w="473" w:type="dxa"/>
            <w:shd w:val="clear" w:color="auto" w:fill="auto"/>
          </w:tcPr>
          <w:p w14:paraId="65DD9CD2" w14:textId="77777777" w:rsidR="00AF3581" w:rsidRPr="00506303" w:rsidRDefault="00AF3581" w:rsidP="0067543B">
            <w:pPr>
              <w:rPr>
                <w:sz w:val="18"/>
                <w:szCs w:val="18"/>
              </w:rPr>
            </w:pPr>
          </w:p>
        </w:tc>
        <w:tc>
          <w:tcPr>
            <w:tcW w:w="473" w:type="dxa"/>
            <w:shd w:val="clear" w:color="auto" w:fill="auto"/>
          </w:tcPr>
          <w:p w14:paraId="01D61AD4" w14:textId="77777777" w:rsidR="00AF3581" w:rsidRPr="00506303" w:rsidRDefault="00AF3581" w:rsidP="0067543B">
            <w:pPr>
              <w:rPr>
                <w:sz w:val="18"/>
                <w:szCs w:val="18"/>
              </w:rPr>
            </w:pPr>
          </w:p>
        </w:tc>
        <w:tc>
          <w:tcPr>
            <w:tcW w:w="473" w:type="dxa"/>
            <w:shd w:val="clear" w:color="auto" w:fill="auto"/>
          </w:tcPr>
          <w:p w14:paraId="0DCFF822" w14:textId="77777777" w:rsidR="00AF3581" w:rsidRPr="00506303" w:rsidRDefault="00AF3581" w:rsidP="0067543B">
            <w:pPr>
              <w:rPr>
                <w:sz w:val="18"/>
                <w:szCs w:val="18"/>
              </w:rPr>
            </w:pPr>
          </w:p>
        </w:tc>
        <w:tc>
          <w:tcPr>
            <w:tcW w:w="473" w:type="dxa"/>
            <w:shd w:val="clear" w:color="auto" w:fill="auto"/>
          </w:tcPr>
          <w:p w14:paraId="7E6EDDE8" w14:textId="77777777" w:rsidR="00AF3581" w:rsidRPr="00506303" w:rsidRDefault="00AF3581" w:rsidP="0067543B">
            <w:pPr>
              <w:rPr>
                <w:sz w:val="18"/>
                <w:szCs w:val="18"/>
              </w:rPr>
            </w:pPr>
          </w:p>
        </w:tc>
        <w:tc>
          <w:tcPr>
            <w:tcW w:w="473" w:type="dxa"/>
            <w:shd w:val="clear" w:color="auto" w:fill="auto"/>
          </w:tcPr>
          <w:p w14:paraId="7E440EE7" w14:textId="77777777" w:rsidR="00AF3581" w:rsidRPr="00506303" w:rsidRDefault="00AF3581" w:rsidP="0067543B">
            <w:pPr>
              <w:rPr>
                <w:sz w:val="18"/>
                <w:szCs w:val="18"/>
              </w:rPr>
            </w:pPr>
          </w:p>
        </w:tc>
        <w:tc>
          <w:tcPr>
            <w:tcW w:w="473" w:type="dxa"/>
            <w:shd w:val="clear" w:color="auto" w:fill="auto"/>
          </w:tcPr>
          <w:p w14:paraId="13FCBD6A" w14:textId="77777777" w:rsidR="00AF3581" w:rsidRPr="00506303" w:rsidRDefault="00AF3581" w:rsidP="0067543B">
            <w:pPr>
              <w:rPr>
                <w:sz w:val="18"/>
                <w:szCs w:val="18"/>
              </w:rPr>
            </w:pPr>
          </w:p>
        </w:tc>
        <w:tc>
          <w:tcPr>
            <w:tcW w:w="473" w:type="dxa"/>
            <w:shd w:val="clear" w:color="auto" w:fill="auto"/>
          </w:tcPr>
          <w:p w14:paraId="61FB4AF8" w14:textId="77777777" w:rsidR="00AF3581" w:rsidRPr="00506303" w:rsidRDefault="00AF3581" w:rsidP="0067543B">
            <w:pPr>
              <w:rPr>
                <w:sz w:val="18"/>
                <w:szCs w:val="18"/>
              </w:rPr>
            </w:pPr>
          </w:p>
        </w:tc>
      </w:tr>
      <w:tr w:rsidR="00E071AC" w:rsidRPr="00506303" w14:paraId="3B188FE3" w14:textId="77777777" w:rsidTr="00E071AC">
        <w:tc>
          <w:tcPr>
            <w:tcW w:w="944" w:type="dxa"/>
            <w:shd w:val="clear" w:color="auto" w:fill="auto"/>
          </w:tcPr>
          <w:p w14:paraId="179F3B3E" w14:textId="77777777" w:rsidR="00AF3581" w:rsidRPr="00506303" w:rsidRDefault="00AF3581" w:rsidP="0067543B">
            <w:pPr>
              <w:rPr>
                <w:sz w:val="18"/>
                <w:szCs w:val="18"/>
              </w:rPr>
            </w:pPr>
            <w:r w:rsidRPr="00506303">
              <w:rPr>
                <w:sz w:val="18"/>
                <w:szCs w:val="18"/>
              </w:rPr>
              <w:t>2.4.4</w:t>
            </w:r>
          </w:p>
        </w:tc>
        <w:tc>
          <w:tcPr>
            <w:tcW w:w="3776" w:type="dxa"/>
            <w:shd w:val="clear" w:color="auto" w:fill="auto"/>
          </w:tcPr>
          <w:p w14:paraId="52B076F7" w14:textId="77777777" w:rsidR="00AF3581" w:rsidRPr="00506303" w:rsidRDefault="00AF3581" w:rsidP="0067543B">
            <w:pPr>
              <w:rPr>
                <w:sz w:val="18"/>
                <w:szCs w:val="18"/>
              </w:rPr>
            </w:pPr>
            <w:r w:rsidRPr="00506303">
              <w:rPr>
                <w:sz w:val="18"/>
                <w:szCs w:val="18"/>
              </w:rPr>
              <w:t>Update estimates of Total Economic Values for coastal habitats of the SCS and converted to 2017 value by means of the consumer price index roduce regional guidelines on identification of priority sites for mangrove reforestation</w:t>
            </w:r>
          </w:p>
        </w:tc>
        <w:tc>
          <w:tcPr>
            <w:tcW w:w="472" w:type="dxa"/>
            <w:shd w:val="clear" w:color="auto" w:fill="auto"/>
          </w:tcPr>
          <w:p w14:paraId="56D0C4F9" w14:textId="77777777" w:rsidR="00AF3581" w:rsidRPr="00506303" w:rsidRDefault="00AF3581" w:rsidP="0067543B">
            <w:pPr>
              <w:rPr>
                <w:sz w:val="18"/>
                <w:szCs w:val="18"/>
              </w:rPr>
            </w:pPr>
          </w:p>
        </w:tc>
        <w:tc>
          <w:tcPr>
            <w:tcW w:w="472" w:type="dxa"/>
            <w:shd w:val="clear" w:color="auto" w:fill="auto"/>
          </w:tcPr>
          <w:p w14:paraId="22216185" w14:textId="77777777" w:rsidR="00AF3581" w:rsidRPr="00506303" w:rsidRDefault="00AF3581" w:rsidP="0067543B">
            <w:pPr>
              <w:rPr>
                <w:sz w:val="18"/>
                <w:szCs w:val="18"/>
              </w:rPr>
            </w:pPr>
          </w:p>
        </w:tc>
        <w:tc>
          <w:tcPr>
            <w:tcW w:w="472" w:type="dxa"/>
            <w:shd w:val="clear" w:color="auto" w:fill="auto"/>
          </w:tcPr>
          <w:p w14:paraId="75A6F5B8" w14:textId="77777777" w:rsidR="00AF3581" w:rsidRPr="00506303" w:rsidRDefault="00AF3581" w:rsidP="0067543B">
            <w:pPr>
              <w:rPr>
                <w:sz w:val="18"/>
                <w:szCs w:val="18"/>
              </w:rPr>
            </w:pPr>
          </w:p>
        </w:tc>
        <w:tc>
          <w:tcPr>
            <w:tcW w:w="472" w:type="dxa"/>
            <w:shd w:val="clear" w:color="auto" w:fill="auto"/>
          </w:tcPr>
          <w:p w14:paraId="212D7BD9" w14:textId="77777777" w:rsidR="00AF3581" w:rsidRPr="00506303" w:rsidRDefault="00AF3581" w:rsidP="0067543B">
            <w:pPr>
              <w:rPr>
                <w:sz w:val="18"/>
                <w:szCs w:val="18"/>
              </w:rPr>
            </w:pPr>
          </w:p>
        </w:tc>
        <w:tc>
          <w:tcPr>
            <w:tcW w:w="472" w:type="dxa"/>
            <w:shd w:val="clear" w:color="auto" w:fill="auto"/>
          </w:tcPr>
          <w:p w14:paraId="68F4EBCD" w14:textId="77777777" w:rsidR="00AF3581" w:rsidRPr="00506303" w:rsidRDefault="00AF3581" w:rsidP="0067543B">
            <w:pPr>
              <w:rPr>
                <w:sz w:val="18"/>
                <w:szCs w:val="18"/>
              </w:rPr>
            </w:pPr>
          </w:p>
        </w:tc>
        <w:tc>
          <w:tcPr>
            <w:tcW w:w="472" w:type="dxa"/>
            <w:shd w:val="clear" w:color="auto" w:fill="auto"/>
          </w:tcPr>
          <w:p w14:paraId="17070B9D" w14:textId="77777777" w:rsidR="00AF3581" w:rsidRPr="00506303" w:rsidRDefault="00AF3581" w:rsidP="0067543B">
            <w:pPr>
              <w:rPr>
                <w:sz w:val="18"/>
                <w:szCs w:val="18"/>
              </w:rPr>
            </w:pPr>
          </w:p>
        </w:tc>
        <w:tc>
          <w:tcPr>
            <w:tcW w:w="472" w:type="dxa"/>
            <w:shd w:val="clear" w:color="auto" w:fill="auto"/>
          </w:tcPr>
          <w:p w14:paraId="04554E58" w14:textId="77777777" w:rsidR="00AF3581" w:rsidRPr="00506303" w:rsidRDefault="00AF3581" w:rsidP="0067543B">
            <w:pPr>
              <w:rPr>
                <w:sz w:val="18"/>
                <w:szCs w:val="18"/>
              </w:rPr>
            </w:pPr>
          </w:p>
        </w:tc>
        <w:tc>
          <w:tcPr>
            <w:tcW w:w="472" w:type="dxa"/>
            <w:shd w:val="clear" w:color="auto" w:fill="auto"/>
          </w:tcPr>
          <w:p w14:paraId="57AB444F" w14:textId="77777777" w:rsidR="00AF3581" w:rsidRPr="00506303" w:rsidRDefault="00AF3581" w:rsidP="0067543B">
            <w:pPr>
              <w:rPr>
                <w:sz w:val="18"/>
                <w:szCs w:val="18"/>
              </w:rPr>
            </w:pPr>
          </w:p>
        </w:tc>
        <w:tc>
          <w:tcPr>
            <w:tcW w:w="472" w:type="dxa"/>
            <w:shd w:val="clear" w:color="auto" w:fill="D9D9D9"/>
          </w:tcPr>
          <w:p w14:paraId="60686955" w14:textId="77777777" w:rsidR="00AF3581" w:rsidRPr="00506303" w:rsidRDefault="00AF3581" w:rsidP="0067543B">
            <w:pPr>
              <w:rPr>
                <w:sz w:val="18"/>
                <w:szCs w:val="18"/>
              </w:rPr>
            </w:pPr>
          </w:p>
        </w:tc>
        <w:tc>
          <w:tcPr>
            <w:tcW w:w="472" w:type="dxa"/>
            <w:shd w:val="clear" w:color="auto" w:fill="D9D9D9"/>
          </w:tcPr>
          <w:p w14:paraId="209DCB88" w14:textId="77777777" w:rsidR="00AF3581" w:rsidRPr="00506303" w:rsidRDefault="00AF3581" w:rsidP="0067543B">
            <w:pPr>
              <w:rPr>
                <w:sz w:val="18"/>
                <w:szCs w:val="18"/>
              </w:rPr>
            </w:pPr>
          </w:p>
        </w:tc>
        <w:tc>
          <w:tcPr>
            <w:tcW w:w="473" w:type="dxa"/>
            <w:shd w:val="clear" w:color="auto" w:fill="D9D9D9"/>
          </w:tcPr>
          <w:p w14:paraId="6095D83A" w14:textId="77777777" w:rsidR="00AF3581" w:rsidRPr="00506303" w:rsidRDefault="00AF3581" w:rsidP="0067543B">
            <w:pPr>
              <w:rPr>
                <w:sz w:val="18"/>
                <w:szCs w:val="18"/>
              </w:rPr>
            </w:pPr>
          </w:p>
        </w:tc>
        <w:tc>
          <w:tcPr>
            <w:tcW w:w="473" w:type="dxa"/>
            <w:shd w:val="clear" w:color="auto" w:fill="D9D9D9"/>
          </w:tcPr>
          <w:p w14:paraId="6F950F45" w14:textId="77777777" w:rsidR="00AF3581" w:rsidRPr="00506303" w:rsidRDefault="00AF3581" w:rsidP="0067543B">
            <w:pPr>
              <w:rPr>
                <w:sz w:val="18"/>
                <w:szCs w:val="18"/>
              </w:rPr>
            </w:pPr>
          </w:p>
        </w:tc>
        <w:tc>
          <w:tcPr>
            <w:tcW w:w="473" w:type="dxa"/>
            <w:shd w:val="clear" w:color="auto" w:fill="D9D9D9"/>
          </w:tcPr>
          <w:p w14:paraId="4477C0FA" w14:textId="77777777" w:rsidR="00AF3581" w:rsidRPr="00506303" w:rsidRDefault="00AF3581" w:rsidP="0067543B">
            <w:pPr>
              <w:rPr>
                <w:sz w:val="18"/>
                <w:szCs w:val="18"/>
              </w:rPr>
            </w:pPr>
          </w:p>
        </w:tc>
        <w:tc>
          <w:tcPr>
            <w:tcW w:w="473" w:type="dxa"/>
            <w:shd w:val="clear" w:color="auto" w:fill="D9D9D9"/>
          </w:tcPr>
          <w:p w14:paraId="41331ADA" w14:textId="77777777" w:rsidR="00AF3581" w:rsidRPr="00506303" w:rsidRDefault="00AF3581" w:rsidP="0067543B">
            <w:pPr>
              <w:rPr>
                <w:sz w:val="18"/>
                <w:szCs w:val="18"/>
              </w:rPr>
            </w:pPr>
          </w:p>
        </w:tc>
        <w:tc>
          <w:tcPr>
            <w:tcW w:w="473" w:type="dxa"/>
            <w:shd w:val="clear" w:color="auto" w:fill="D9D9D9"/>
          </w:tcPr>
          <w:p w14:paraId="6099E37A" w14:textId="77777777" w:rsidR="00AF3581" w:rsidRPr="00506303" w:rsidRDefault="00AF3581" w:rsidP="0067543B">
            <w:pPr>
              <w:rPr>
                <w:sz w:val="18"/>
                <w:szCs w:val="18"/>
              </w:rPr>
            </w:pPr>
          </w:p>
        </w:tc>
        <w:tc>
          <w:tcPr>
            <w:tcW w:w="473" w:type="dxa"/>
            <w:shd w:val="clear" w:color="auto" w:fill="D9D9D9"/>
          </w:tcPr>
          <w:p w14:paraId="0AB8A7B3" w14:textId="77777777" w:rsidR="00AF3581" w:rsidRPr="00506303" w:rsidRDefault="00AF3581" w:rsidP="0067543B">
            <w:pPr>
              <w:rPr>
                <w:sz w:val="18"/>
                <w:szCs w:val="18"/>
              </w:rPr>
            </w:pPr>
          </w:p>
        </w:tc>
        <w:tc>
          <w:tcPr>
            <w:tcW w:w="473" w:type="dxa"/>
            <w:shd w:val="clear" w:color="auto" w:fill="auto"/>
          </w:tcPr>
          <w:p w14:paraId="6906327A" w14:textId="77777777" w:rsidR="00AF3581" w:rsidRPr="00506303" w:rsidRDefault="00AF3581" w:rsidP="0067543B">
            <w:pPr>
              <w:rPr>
                <w:sz w:val="18"/>
                <w:szCs w:val="18"/>
              </w:rPr>
            </w:pPr>
          </w:p>
        </w:tc>
        <w:tc>
          <w:tcPr>
            <w:tcW w:w="473" w:type="dxa"/>
            <w:shd w:val="clear" w:color="auto" w:fill="auto"/>
          </w:tcPr>
          <w:p w14:paraId="2DCB51DB" w14:textId="77777777" w:rsidR="00AF3581" w:rsidRPr="00506303" w:rsidRDefault="00AF3581" w:rsidP="0067543B">
            <w:pPr>
              <w:rPr>
                <w:sz w:val="18"/>
                <w:szCs w:val="18"/>
              </w:rPr>
            </w:pPr>
          </w:p>
        </w:tc>
        <w:tc>
          <w:tcPr>
            <w:tcW w:w="473" w:type="dxa"/>
            <w:shd w:val="clear" w:color="auto" w:fill="auto"/>
          </w:tcPr>
          <w:p w14:paraId="6C1008BC" w14:textId="77777777" w:rsidR="00AF3581" w:rsidRPr="00506303" w:rsidRDefault="00AF3581" w:rsidP="0067543B">
            <w:pPr>
              <w:rPr>
                <w:sz w:val="18"/>
                <w:szCs w:val="18"/>
              </w:rPr>
            </w:pPr>
          </w:p>
        </w:tc>
        <w:tc>
          <w:tcPr>
            <w:tcW w:w="473" w:type="dxa"/>
            <w:shd w:val="clear" w:color="auto" w:fill="auto"/>
          </w:tcPr>
          <w:p w14:paraId="3E2C0DC2" w14:textId="77777777" w:rsidR="00AF3581" w:rsidRPr="00506303" w:rsidRDefault="00AF3581" w:rsidP="0067543B">
            <w:pPr>
              <w:rPr>
                <w:sz w:val="18"/>
                <w:szCs w:val="18"/>
              </w:rPr>
            </w:pPr>
          </w:p>
        </w:tc>
      </w:tr>
      <w:tr w:rsidR="00AF3581" w:rsidRPr="00506303" w14:paraId="1D512432" w14:textId="77777777" w:rsidTr="00506303">
        <w:tc>
          <w:tcPr>
            <w:tcW w:w="944" w:type="dxa"/>
            <w:shd w:val="clear" w:color="auto" w:fill="F2F2F2"/>
          </w:tcPr>
          <w:p w14:paraId="3854CB16" w14:textId="77777777" w:rsidR="00AF3581" w:rsidRPr="00506303" w:rsidRDefault="00AF3581" w:rsidP="0067543B">
            <w:pPr>
              <w:rPr>
                <w:b/>
                <w:sz w:val="18"/>
                <w:szCs w:val="18"/>
              </w:rPr>
            </w:pPr>
            <w:r w:rsidRPr="00506303">
              <w:rPr>
                <w:b/>
                <w:sz w:val="18"/>
                <w:szCs w:val="18"/>
              </w:rPr>
              <w:t>2.5</w:t>
            </w:r>
          </w:p>
        </w:tc>
        <w:tc>
          <w:tcPr>
            <w:tcW w:w="13226" w:type="dxa"/>
            <w:gridSpan w:val="21"/>
            <w:shd w:val="clear" w:color="auto" w:fill="F2F2F2"/>
          </w:tcPr>
          <w:p w14:paraId="27FFD9BE" w14:textId="77777777" w:rsidR="00AF3581" w:rsidRPr="00506303" w:rsidRDefault="00AF3581" w:rsidP="0067543B">
            <w:pPr>
              <w:rPr>
                <w:b/>
                <w:sz w:val="18"/>
                <w:szCs w:val="18"/>
              </w:rPr>
            </w:pPr>
            <w:r w:rsidRPr="00506303">
              <w:rPr>
                <w:b/>
                <w:sz w:val="18"/>
                <w:szCs w:val="18"/>
              </w:rPr>
              <w:t>Regionally appropriate tools and mechanisms to guide the development of sustainable management systems for coastal habitats and land-based pollution</w:t>
            </w:r>
          </w:p>
        </w:tc>
      </w:tr>
      <w:tr w:rsidR="00AF3581" w:rsidRPr="00506303" w14:paraId="767AB711" w14:textId="77777777" w:rsidTr="00E071AC">
        <w:tc>
          <w:tcPr>
            <w:tcW w:w="944" w:type="dxa"/>
            <w:shd w:val="clear" w:color="auto" w:fill="auto"/>
          </w:tcPr>
          <w:p w14:paraId="4CE6414B" w14:textId="77777777" w:rsidR="00AF3581" w:rsidRPr="00506303" w:rsidRDefault="00AF3581" w:rsidP="0067543B">
            <w:pPr>
              <w:rPr>
                <w:sz w:val="18"/>
                <w:szCs w:val="18"/>
              </w:rPr>
            </w:pPr>
            <w:r w:rsidRPr="00506303">
              <w:rPr>
                <w:sz w:val="18"/>
                <w:szCs w:val="18"/>
              </w:rPr>
              <w:t>2.5.1</w:t>
            </w:r>
          </w:p>
        </w:tc>
        <w:tc>
          <w:tcPr>
            <w:tcW w:w="3776" w:type="dxa"/>
            <w:shd w:val="clear" w:color="auto" w:fill="auto"/>
          </w:tcPr>
          <w:p w14:paraId="3863BDC0" w14:textId="77777777" w:rsidR="00AF3581" w:rsidRPr="00506303" w:rsidRDefault="00AF3581" w:rsidP="0067543B">
            <w:pPr>
              <w:rPr>
                <w:sz w:val="18"/>
                <w:szCs w:val="18"/>
              </w:rPr>
            </w:pPr>
            <w:r w:rsidRPr="00506303">
              <w:rPr>
                <w:sz w:val="18"/>
                <w:szCs w:val="18"/>
              </w:rPr>
              <w:t>Develop regionally applicable standards and criteria for defining the sustainability of coastal habitat management systems, including documented models of sustainable use</w:t>
            </w:r>
          </w:p>
        </w:tc>
        <w:tc>
          <w:tcPr>
            <w:tcW w:w="472" w:type="dxa"/>
            <w:shd w:val="clear" w:color="auto" w:fill="D9D9D9"/>
          </w:tcPr>
          <w:p w14:paraId="657350FB" w14:textId="77777777" w:rsidR="00AF3581" w:rsidRPr="00506303" w:rsidRDefault="00AF3581" w:rsidP="0067543B">
            <w:pPr>
              <w:rPr>
                <w:sz w:val="18"/>
                <w:szCs w:val="18"/>
              </w:rPr>
            </w:pPr>
          </w:p>
        </w:tc>
        <w:tc>
          <w:tcPr>
            <w:tcW w:w="472" w:type="dxa"/>
            <w:shd w:val="clear" w:color="auto" w:fill="D9D9D9"/>
          </w:tcPr>
          <w:p w14:paraId="13F68C0C" w14:textId="77777777" w:rsidR="00AF3581" w:rsidRPr="00506303" w:rsidRDefault="00AF3581" w:rsidP="0067543B">
            <w:pPr>
              <w:rPr>
                <w:sz w:val="18"/>
                <w:szCs w:val="18"/>
              </w:rPr>
            </w:pPr>
          </w:p>
        </w:tc>
        <w:tc>
          <w:tcPr>
            <w:tcW w:w="472" w:type="dxa"/>
            <w:shd w:val="clear" w:color="auto" w:fill="D9D9D9"/>
          </w:tcPr>
          <w:p w14:paraId="74675A2F" w14:textId="77777777" w:rsidR="00AF3581" w:rsidRPr="00506303" w:rsidRDefault="00AF3581" w:rsidP="0067543B">
            <w:pPr>
              <w:rPr>
                <w:sz w:val="18"/>
                <w:szCs w:val="18"/>
              </w:rPr>
            </w:pPr>
          </w:p>
        </w:tc>
        <w:tc>
          <w:tcPr>
            <w:tcW w:w="472" w:type="dxa"/>
            <w:shd w:val="clear" w:color="auto" w:fill="D9D9D9"/>
          </w:tcPr>
          <w:p w14:paraId="3BFBB543" w14:textId="77777777" w:rsidR="00AF3581" w:rsidRPr="00506303" w:rsidRDefault="00AF3581" w:rsidP="0067543B">
            <w:pPr>
              <w:rPr>
                <w:sz w:val="18"/>
                <w:szCs w:val="18"/>
              </w:rPr>
            </w:pPr>
          </w:p>
        </w:tc>
        <w:tc>
          <w:tcPr>
            <w:tcW w:w="472" w:type="dxa"/>
            <w:shd w:val="clear" w:color="auto" w:fill="auto"/>
          </w:tcPr>
          <w:p w14:paraId="42658C4E" w14:textId="77777777" w:rsidR="00AF3581" w:rsidRPr="00506303" w:rsidRDefault="00AF3581" w:rsidP="0067543B">
            <w:pPr>
              <w:rPr>
                <w:sz w:val="18"/>
                <w:szCs w:val="18"/>
              </w:rPr>
            </w:pPr>
          </w:p>
        </w:tc>
        <w:tc>
          <w:tcPr>
            <w:tcW w:w="472" w:type="dxa"/>
            <w:shd w:val="clear" w:color="auto" w:fill="auto"/>
          </w:tcPr>
          <w:p w14:paraId="4CC45252" w14:textId="77777777" w:rsidR="00AF3581" w:rsidRPr="00506303" w:rsidRDefault="00AF3581" w:rsidP="0067543B">
            <w:pPr>
              <w:rPr>
                <w:sz w:val="18"/>
                <w:szCs w:val="18"/>
              </w:rPr>
            </w:pPr>
          </w:p>
        </w:tc>
        <w:tc>
          <w:tcPr>
            <w:tcW w:w="472" w:type="dxa"/>
            <w:shd w:val="clear" w:color="auto" w:fill="auto"/>
          </w:tcPr>
          <w:p w14:paraId="2296E04B" w14:textId="77777777" w:rsidR="00AF3581" w:rsidRPr="00506303" w:rsidRDefault="00AF3581" w:rsidP="0067543B">
            <w:pPr>
              <w:rPr>
                <w:sz w:val="18"/>
                <w:szCs w:val="18"/>
              </w:rPr>
            </w:pPr>
          </w:p>
        </w:tc>
        <w:tc>
          <w:tcPr>
            <w:tcW w:w="472" w:type="dxa"/>
            <w:shd w:val="clear" w:color="auto" w:fill="auto"/>
          </w:tcPr>
          <w:p w14:paraId="1127622F" w14:textId="77777777" w:rsidR="00AF3581" w:rsidRPr="00506303" w:rsidRDefault="00AF3581" w:rsidP="0067543B">
            <w:pPr>
              <w:rPr>
                <w:sz w:val="18"/>
                <w:szCs w:val="18"/>
              </w:rPr>
            </w:pPr>
          </w:p>
        </w:tc>
        <w:tc>
          <w:tcPr>
            <w:tcW w:w="472" w:type="dxa"/>
            <w:shd w:val="clear" w:color="auto" w:fill="auto"/>
          </w:tcPr>
          <w:p w14:paraId="2EEE5CBF" w14:textId="77777777" w:rsidR="00AF3581" w:rsidRPr="00506303" w:rsidRDefault="00AF3581" w:rsidP="0067543B">
            <w:pPr>
              <w:rPr>
                <w:sz w:val="18"/>
                <w:szCs w:val="18"/>
              </w:rPr>
            </w:pPr>
          </w:p>
        </w:tc>
        <w:tc>
          <w:tcPr>
            <w:tcW w:w="472" w:type="dxa"/>
            <w:shd w:val="clear" w:color="auto" w:fill="auto"/>
          </w:tcPr>
          <w:p w14:paraId="0968E3A8" w14:textId="77777777" w:rsidR="00AF3581" w:rsidRPr="00506303" w:rsidRDefault="00AF3581" w:rsidP="0067543B">
            <w:pPr>
              <w:rPr>
                <w:sz w:val="18"/>
                <w:szCs w:val="18"/>
              </w:rPr>
            </w:pPr>
          </w:p>
        </w:tc>
        <w:tc>
          <w:tcPr>
            <w:tcW w:w="473" w:type="dxa"/>
            <w:shd w:val="clear" w:color="auto" w:fill="auto"/>
          </w:tcPr>
          <w:p w14:paraId="17F25676" w14:textId="77777777" w:rsidR="00AF3581" w:rsidRPr="00506303" w:rsidRDefault="00AF3581" w:rsidP="0067543B">
            <w:pPr>
              <w:rPr>
                <w:sz w:val="18"/>
                <w:szCs w:val="18"/>
              </w:rPr>
            </w:pPr>
          </w:p>
        </w:tc>
        <w:tc>
          <w:tcPr>
            <w:tcW w:w="473" w:type="dxa"/>
            <w:shd w:val="clear" w:color="auto" w:fill="auto"/>
          </w:tcPr>
          <w:p w14:paraId="46EBA9B5" w14:textId="77777777" w:rsidR="00AF3581" w:rsidRPr="00506303" w:rsidRDefault="00AF3581" w:rsidP="0067543B">
            <w:pPr>
              <w:rPr>
                <w:sz w:val="18"/>
                <w:szCs w:val="18"/>
              </w:rPr>
            </w:pPr>
          </w:p>
        </w:tc>
        <w:tc>
          <w:tcPr>
            <w:tcW w:w="473" w:type="dxa"/>
            <w:shd w:val="clear" w:color="auto" w:fill="auto"/>
          </w:tcPr>
          <w:p w14:paraId="59DA7179" w14:textId="77777777" w:rsidR="00AF3581" w:rsidRPr="00506303" w:rsidRDefault="00AF3581" w:rsidP="0067543B">
            <w:pPr>
              <w:rPr>
                <w:sz w:val="18"/>
                <w:szCs w:val="18"/>
              </w:rPr>
            </w:pPr>
          </w:p>
        </w:tc>
        <w:tc>
          <w:tcPr>
            <w:tcW w:w="473" w:type="dxa"/>
            <w:shd w:val="clear" w:color="auto" w:fill="auto"/>
          </w:tcPr>
          <w:p w14:paraId="2C401E4D" w14:textId="77777777" w:rsidR="00AF3581" w:rsidRPr="00506303" w:rsidRDefault="00AF3581" w:rsidP="0067543B">
            <w:pPr>
              <w:rPr>
                <w:sz w:val="18"/>
                <w:szCs w:val="18"/>
              </w:rPr>
            </w:pPr>
          </w:p>
        </w:tc>
        <w:tc>
          <w:tcPr>
            <w:tcW w:w="473" w:type="dxa"/>
            <w:shd w:val="clear" w:color="auto" w:fill="auto"/>
          </w:tcPr>
          <w:p w14:paraId="32D746AA" w14:textId="77777777" w:rsidR="00AF3581" w:rsidRPr="00506303" w:rsidRDefault="00AF3581" w:rsidP="0067543B">
            <w:pPr>
              <w:rPr>
                <w:sz w:val="18"/>
                <w:szCs w:val="18"/>
              </w:rPr>
            </w:pPr>
          </w:p>
        </w:tc>
        <w:tc>
          <w:tcPr>
            <w:tcW w:w="473" w:type="dxa"/>
            <w:shd w:val="clear" w:color="auto" w:fill="auto"/>
          </w:tcPr>
          <w:p w14:paraId="07BEC7AB" w14:textId="77777777" w:rsidR="00AF3581" w:rsidRPr="00506303" w:rsidRDefault="00AF3581" w:rsidP="0067543B">
            <w:pPr>
              <w:rPr>
                <w:sz w:val="18"/>
                <w:szCs w:val="18"/>
              </w:rPr>
            </w:pPr>
          </w:p>
        </w:tc>
        <w:tc>
          <w:tcPr>
            <w:tcW w:w="473" w:type="dxa"/>
            <w:shd w:val="clear" w:color="auto" w:fill="auto"/>
          </w:tcPr>
          <w:p w14:paraId="3CFEB1C7" w14:textId="77777777" w:rsidR="00AF3581" w:rsidRPr="00506303" w:rsidRDefault="00AF3581" w:rsidP="0067543B">
            <w:pPr>
              <w:rPr>
                <w:sz w:val="18"/>
                <w:szCs w:val="18"/>
              </w:rPr>
            </w:pPr>
          </w:p>
        </w:tc>
        <w:tc>
          <w:tcPr>
            <w:tcW w:w="473" w:type="dxa"/>
            <w:shd w:val="clear" w:color="auto" w:fill="auto"/>
          </w:tcPr>
          <w:p w14:paraId="11F70426" w14:textId="77777777" w:rsidR="00AF3581" w:rsidRPr="00506303" w:rsidRDefault="00AF3581" w:rsidP="0067543B">
            <w:pPr>
              <w:rPr>
                <w:sz w:val="18"/>
                <w:szCs w:val="18"/>
              </w:rPr>
            </w:pPr>
          </w:p>
        </w:tc>
        <w:tc>
          <w:tcPr>
            <w:tcW w:w="473" w:type="dxa"/>
            <w:shd w:val="clear" w:color="auto" w:fill="auto"/>
          </w:tcPr>
          <w:p w14:paraId="4C66EC03" w14:textId="77777777" w:rsidR="00AF3581" w:rsidRPr="00506303" w:rsidRDefault="00AF3581" w:rsidP="0067543B">
            <w:pPr>
              <w:rPr>
                <w:sz w:val="18"/>
                <w:szCs w:val="18"/>
              </w:rPr>
            </w:pPr>
          </w:p>
        </w:tc>
        <w:tc>
          <w:tcPr>
            <w:tcW w:w="473" w:type="dxa"/>
            <w:shd w:val="clear" w:color="auto" w:fill="auto"/>
          </w:tcPr>
          <w:p w14:paraId="23791080" w14:textId="77777777" w:rsidR="00AF3581" w:rsidRPr="00506303" w:rsidRDefault="00AF3581" w:rsidP="0067543B">
            <w:pPr>
              <w:rPr>
                <w:sz w:val="18"/>
                <w:szCs w:val="18"/>
              </w:rPr>
            </w:pPr>
          </w:p>
        </w:tc>
      </w:tr>
      <w:tr w:rsidR="00E071AC" w:rsidRPr="00506303" w14:paraId="39AD73F0" w14:textId="77777777" w:rsidTr="00E071AC">
        <w:tc>
          <w:tcPr>
            <w:tcW w:w="944" w:type="dxa"/>
            <w:shd w:val="clear" w:color="auto" w:fill="auto"/>
          </w:tcPr>
          <w:p w14:paraId="5CCE0CB2" w14:textId="77777777" w:rsidR="00AF3581" w:rsidRPr="00506303" w:rsidRDefault="00AF3581" w:rsidP="0067543B">
            <w:pPr>
              <w:rPr>
                <w:sz w:val="18"/>
                <w:szCs w:val="18"/>
              </w:rPr>
            </w:pPr>
            <w:r w:rsidRPr="00506303">
              <w:rPr>
                <w:sz w:val="18"/>
                <w:szCs w:val="18"/>
              </w:rPr>
              <w:t>2.5.2</w:t>
            </w:r>
          </w:p>
        </w:tc>
        <w:tc>
          <w:tcPr>
            <w:tcW w:w="3776" w:type="dxa"/>
            <w:shd w:val="clear" w:color="auto" w:fill="auto"/>
          </w:tcPr>
          <w:p w14:paraId="67C9FCE0" w14:textId="77777777" w:rsidR="00AF3581" w:rsidRPr="00506303" w:rsidRDefault="00AF3581" w:rsidP="0067543B">
            <w:pPr>
              <w:rPr>
                <w:sz w:val="18"/>
                <w:szCs w:val="18"/>
              </w:rPr>
            </w:pPr>
            <w:r w:rsidRPr="00506303">
              <w:rPr>
                <w:sz w:val="18"/>
                <w:szCs w:val="18"/>
              </w:rPr>
              <w:t>Develop an online catalogue of best practice management measures and technologies for sustainable use of SCS coastal habitats and land-based pollution management</w:t>
            </w:r>
          </w:p>
        </w:tc>
        <w:tc>
          <w:tcPr>
            <w:tcW w:w="472" w:type="dxa"/>
            <w:shd w:val="clear" w:color="auto" w:fill="auto"/>
          </w:tcPr>
          <w:p w14:paraId="4AF71303" w14:textId="77777777" w:rsidR="00AF3581" w:rsidRPr="00506303" w:rsidRDefault="00AF3581" w:rsidP="0067543B">
            <w:pPr>
              <w:rPr>
                <w:sz w:val="18"/>
                <w:szCs w:val="18"/>
              </w:rPr>
            </w:pPr>
          </w:p>
        </w:tc>
        <w:tc>
          <w:tcPr>
            <w:tcW w:w="472" w:type="dxa"/>
            <w:shd w:val="clear" w:color="auto" w:fill="auto"/>
          </w:tcPr>
          <w:p w14:paraId="03A13AAD" w14:textId="77777777" w:rsidR="00AF3581" w:rsidRPr="00506303" w:rsidRDefault="00AF3581" w:rsidP="0067543B">
            <w:pPr>
              <w:rPr>
                <w:sz w:val="18"/>
                <w:szCs w:val="18"/>
              </w:rPr>
            </w:pPr>
          </w:p>
        </w:tc>
        <w:tc>
          <w:tcPr>
            <w:tcW w:w="472" w:type="dxa"/>
            <w:shd w:val="clear" w:color="auto" w:fill="D9D9D9"/>
          </w:tcPr>
          <w:p w14:paraId="5B54B77E" w14:textId="77777777" w:rsidR="00AF3581" w:rsidRPr="00506303" w:rsidRDefault="00AF3581" w:rsidP="0067543B">
            <w:pPr>
              <w:rPr>
                <w:sz w:val="18"/>
                <w:szCs w:val="18"/>
              </w:rPr>
            </w:pPr>
          </w:p>
        </w:tc>
        <w:tc>
          <w:tcPr>
            <w:tcW w:w="472" w:type="dxa"/>
            <w:shd w:val="clear" w:color="auto" w:fill="D9D9D9"/>
          </w:tcPr>
          <w:p w14:paraId="5C1042E6" w14:textId="77777777" w:rsidR="00AF3581" w:rsidRPr="00506303" w:rsidRDefault="00AF3581" w:rsidP="0067543B">
            <w:pPr>
              <w:rPr>
                <w:sz w:val="18"/>
                <w:szCs w:val="18"/>
              </w:rPr>
            </w:pPr>
          </w:p>
        </w:tc>
        <w:tc>
          <w:tcPr>
            <w:tcW w:w="472" w:type="dxa"/>
            <w:shd w:val="clear" w:color="auto" w:fill="D9D9D9"/>
          </w:tcPr>
          <w:p w14:paraId="76E3617F" w14:textId="77777777" w:rsidR="00AF3581" w:rsidRPr="00506303" w:rsidRDefault="00AF3581" w:rsidP="0067543B">
            <w:pPr>
              <w:rPr>
                <w:sz w:val="18"/>
                <w:szCs w:val="18"/>
              </w:rPr>
            </w:pPr>
          </w:p>
        </w:tc>
        <w:tc>
          <w:tcPr>
            <w:tcW w:w="472" w:type="dxa"/>
            <w:shd w:val="clear" w:color="auto" w:fill="D9D9D9"/>
          </w:tcPr>
          <w:p w14:paraId="0C202D37" w14:textId="77777777" w:rsidR="00AF3581" w:rsidRPr="00506303" w:rsidRDefault="00AF3581" w:rsidP="0067543B">
            <w:pPr>
              <w:rPr>
                <w:sz w:val="18"/>
                <w:szCs w:val="18"/>
              </w:rPr>
            </w:pPr>
          </w:p>
        </w:tc>
        <w:tc>
          <w:tcPr>
            <w:tcW w:w="472" w:type="dxa"/>
            <w:shd w:val="clear" w:color="auto" w:fill="auto"/>
          </w:tcPr>
          <w:p w14:paraId="497355FF" w14:textId="77777777" w:rsidR="00AF3581" w:rsidRPr="00506303" w:rsidRDefault="00AF3581" w:rsidP="0067543B">
            <w:pPr>
              <w:rPr>
                <w:sz w:val="18"/>
                <w:szCs w:val="18"/>
              </w:rPr>
            </w:pPr>
          </w:p>
        </w:tc>
        <w:tc>
          <w:tcPr>
            <w:tcW w:w="472" w:type="dxa"/>
            <w:shd w:val="clear" w:color="auto" w:fill="auto"/>
          </w:tcPr>
          <w:p w14:paraId="68B6E842" w14:textId="77777777" w:rsidR="00AF3581" w:rsidRPr="00506303" w:rsidRDefault="00AF3581" w:rsidP="0067543B">
            <w:pPr>
              <w:rPr>
                <w:sz w:val="18"/>
                <w:szCs w:val="18"/>
              </w:rPr>
            </w:pPr>
          </w:p>
        </w:tc>
        <w:tc>
          <w:tcPr>
            <w:tcW w:w="472" w:type="dxa"/>
            <w:shd w:val="clear" w:color="auto" w:fill="auto"/>
          </w:tcPr>
          <w:p w14:paraId="4BF916E6" w14:textId="77777777" w:rsidR="00AF3581" w:rsidRPr="00506303" w:rsidRDefault="00AF3581" w:rsidP="0067543B">
            <w:pPr>
              <w:rPr>
                <w:sz w:val="18"/>
                <w:szCs w:val="18"/>
              </w:rPr>
            </w:pPr>
          </w:p>
        </w:tc>
        <w:tc>
          <w:tcPr>
            <w:tcW w:w="472" w:type="dxa"/>
            <w:shd w:val="clear" w:color="auto" w:fill="auto"/>
          </w:tcPr>
          <w:p w14:paraId="2DF0571D" w14:textId="77777777" w:rsidR="00AF3581" w:rsidRPr="00506303" w:rsidRDefault="00AF3581" w:rsidP="0067543B">
            <w:pPr>
              <w:rPr>
                <w:sz w:val="18"/>
                <w:szCs w:val="18"/>
              </w:rPr>
            </w:pPr>
          </w:p>
        </w:tc>
        <w:tc>
          <w:tcPr>
            <w:tcW w:w="473" w:type="dxa"/>
            <w:shd w:val="clear" w:color="auto" w:fill="auto"/>
          </w:tcPr>
          <w:p w14:paraId="784ABA0A" w14:textId="77777777" w:rsidR="00AF3581" w:rsidRPr="00506303" w:rsidRDefault="00AF3581" w:rsidP="0067543B">
            <w:pPr>
              <w:rPr>
                <w:sz w:val="18"/>
                <w:szCs w:val="18"/>
              </w:rPr>
            </w:pPr>
          </w:p>
        </w:tc>
        <w:tc>
          <w:tcPr>
            <w:tcW w:w="473" w:type="dxa"/>
            <w:shd w:val="clear" w:color="auto" w:fill="auto"/>
          </w:tcPr>
          <w:p w14:paraId="65D00EE9" w14:textId="77777777" w:rsidR="00AF3581" w:rsidRPr="00506303" w:rsidRDefault="00AF3581" w:rsidP="0067543B">
            <w:pPr>
              <w:rPr>
                <w:sz w:val="18"/>
                <w:szCs w:val="18"/>
              </w:rPr>
            </w:pPr>
          </w:p>
        </w:tc>
        <w:tc>
          <w:tcPr>
            <w:tcW w:w="473" w:type="dxa"/>
            <w:shd w:val="clear" w:color="auto" w:fill="auto"/>
          </w:tcPr>
          <w:p w14:paraId="79D8F574" w14:textId="77777777" w:rsidR="00AF3581" w:rsidRPr="00506303" w:rsidRDefault="00AF3581" w:rsidP="0067543B">
            <w:pPr>
              <w:rPr>
                <w:sz w:val="18"/>
                <w:szCs w:val="18"/>
              </w:rPr>
            </w:pPr>
          </w:p>
        </w:tc>
        <w:tc>
          <w:tcPr>
            <w:tcW w:w="473" w:type="dxa"/>
            <w:shd w:val="clear" w:color="auto" w:fill="auto"/>
          </w:tcPr>
          <w:p w14:paraId="134D6A2A" w14:textId="77777777" w:rsidR="00AF3581" w:rsidRPr="00506303" w:rsidRDefault="00AF3581" w:rsidP="0067543B">
            <w:pPr>
              <w:rPr>
                <w:sz w:val="18"/>
                <w:szCs w:val="18"/>
              </w:rPr>
            </w:pPr>
          </w:p>
        </w:tc>
        <w:tc>
          <w:tcPr>
            <w:tcW w:w="473" w:type="dxa"/>
            <w:shd w:val="clear" w:color="auto" w:fill="auto"/>
          </w:tcPr>
          <w:p w14:paraId="1BEE8D06" w14:textId="77777777" w:rsidR="00AF3581" w:rsidRPr="00506303" w:rsidRDefault="00AF3581" w:rsidP="0067543B">
            <w:pPr>
              <w:rPr>
                <w:sz w:val="18"/>
                <w:szCs w:val="18"/>
              </w:rPr>
            </w:pPr>
          </w:p>
        </w:tc>
        <w:tc>
          <w:tcPr>
            <w:tcW w:w="473" w:type="dxa"/>
            <w:shd w:val="clear" w:color="auto" w:fill="auto"/>
          </w:tcPr>
          <w:p w14:paraId="29A4E8C3" w14:textId="77777777" w:rsidR="00AF3581" w:rsidRPr="00506303" w:rsidRDefault="00AF3581" w:rsidP="0067543B">
            <w:pPr>
              <w:rPr>
                <w:sz w:val="18"/>
                <w:szCs w:val="18"/>
              </w:rPr>
            </w:pPr>
          </w:p>
        </w:tc>
        <w:tc>
          <w:tcPr>
            <w:tcW w:w="473" w:type="dxa"/>
            <w:shd w:val="clear" w:color="auto" w:fill="auto"/>
          </w:tcPr>
          <w:p w14:paraId="3682428E" w14:textId="77777777" w:rsidR="00AF3581" w:rsidRPr="00506303" w:rsidRDefault="00AF3581" w:rsidP="0067543B">
            <w:pPr>
              <w:rPr>
                <w:sz w:val="18"/>
                <w:szCs w:val="18"/>
              </w:rPr>
            </w:pPr>
          </w:p>
        </w:tc>
        <w:tc>
          <w:tcPr>
            <w:tcW w:w="473" w:type="dxa"/>
            <w:shd w:val="clear" w:color="auto" w:fill="auto"/>
          </w:tcPr>
          <w:p w14:paraId="3E400087" w14:textId="77777777" w:rsidR="00AF3581" w:rsidRPr="00506303" w:rsidRDefault="00AF3581" w:rsidP="0067543B">
            <w:pPr>
              <w:rPr>
                <w:sz w:val="18"/>
                <w:szCs w:val="18"/>
              </w:rPr>
            </w:pPr>
          </w:p>
        </w:tc>
        <w:tc>
          <w:tcPr>
            <w:tcW w:w="473" w:type="dxa"/>
            <w:shd w:val="clear" w:color="auto" w:fill="auto"/>
          </w:tcPr>
          <w:p w14:paraId="386104B3" w14:textId="77777777" w:rsidR="00AF3581" w:rsidRPr="00506303" w:rsidRDefault="00AF3581" w:rsidP="0067543B">
            <w:pPr>
              <w:rPr>
                <w:sz w:val="18"/>
                <w:szCs w:val="18"/>
              </w:rPr>
            </w:pPr>
          </w:p>
        </w:tc>
        <w:tc>
          <w:tcPr>
            <w:tcW w:w="473" w:type="dxa"/>
            <w:shd w:val="clear" w:color="auto" w:fill="auto"/>
          </w:tcPr>
          <w:p w14:paraId="7CFE0FB4" w14:textId="77777777" w:rsidR="00AF3581" w:rsidRPr="00506303" w:rsidRDefault="00AF3581" w:rsidP="0067543B">
            <w:pPr>
              <w:rPr>
                <w:sz w:val="18"/>
                <w:szCs w:val="18"/>
              </w:rPr>
            </w:pPr>
          </w:p>
        </w:tc>
      </w:tr>
      <w:tr w:rsidR="00E071AC" w:rsidRPr="00506303" w14:paraId="4A2018CC" w14:textId="77777777" w:rsidTr="00E071AC">
        <w:tc>
          <w:tcPr>
            <w:tcW w:w="944" w:type="dxa"/>
            <w:shd w:val="clear" w:color="auto" w:fill="auto"/>
          </w:tcPr>
          <w:p w14:paraId="4E45884B" w14:textId="77777777" w:rsidR="00AF3581" w:rsidRPr="00506303" w:rsidRDefault="00AF3581" w:rsidP="0067543B">
            <w:pPr>
              <w:rPr>
                <w:sz w:val="18"/>
                <w:szCs w:val="18"/>
              </w:rPr>
            </w:pPr>
            <w:r w:rsidRPr="00506303">
              <w:rPr>
                <w:sz w:val="18"/>
                <w:szCs w:val="18"/>
              </w:rPr>
              <w:t>2.5.3</w:t>
            </w:r>
          </w:p>
        </w:tc>
        <w:tc>
          <w:tcPr>
            <w:tcW w:w="3776" w:type="dxa"/>
            <w:shd w:val="clear" w:color="auto" w:fill="auto"/>
          </w:tcPr>
          <w:p w14:paraId="5C8A715F" w14:textId="77777777" w:rsidR="00AF3581" w:rsidRPr="00506303" w:rsidRDefault="00AF3581" w:rsidP="0067543B">
            <w:pPr>
              <w:rPr>
                <w:sz w:val="18"/>
                <w:szCs w:val="18"/>
              </w:rPr>
            </w:pPr>
            <w:r w:rsidRPr="00506303">
              <w:rPr>
                <w:sz w:val="18"/>
                <w:szCs w:val="18"/>
              </w:rPr>
              <w:t>Operate a programme of study tours and exchanges to expose government officials, community leaders, and habitat and pollution managers best practices in rehabilitation, management, and pollution control</w:t>
            </w:r>
          </w:p>
        </w:tc>
        <w:tc>
          <w:tcPr>
            <w:tcW w:w="472" w:type="dxa"/>
            <w:shd w:val="clear" w:color="auto" w:fill="auto"/>
          </w:tcPr>
          <w:p w14:paraId="462C3855" w14:textId="77777777" w:rsidR="00AF3581" w:rsidRPr="00506303" w:rsidRDefault="00AF3581" w:rsidP="0067543B">
            <w:pPr>
              <w:rPr>
                <w:sz w:val="18"/>
                <w:szCs w:val="18"/>
              </w:rPr>
            </w:pPr>
          </w:p>
        </w:tc>
        <w:tc>
          <w:tcPr>
            <w:tcW w:w="472" w:type="dxa"/>
            <w:shd w:val="clear" w:color="auto" w:fill="auto"/>
          </w:tcPr>
          <w:p w14:paraId="2979E128" w14:textId="77777777" w:rsidR="00AF3581" w:rsidRPr="00506303" w:rsidRDefault="00AF3581" w:rsidP="0067543B">
            <w:pPr>
              <w:rPr>
                <w:sz w:val="18"/>
                <w:szCs w:val="18"/>
              </w:rPr>
            </w:pPr>
          </w:p>
        </w:tc>
        <w:tc>
          <w:tcPr>
            <w:tcW w:w="472" w:type="dxa"/>
            <w:shd w:val="clear" w:color="auto" w:fill="auto"/>
          </w:tcPr>
          <w:p w14:paraId="43BF91EC" w14:textId="77777777" w:rsidR="00AF3581" w:rsidRPr="00506303" w:rsidRDefault="00AF3581" w:rsidP="0067543B">
            <w:pPr>
              <w:rPr>
                <w:sz w:val="18"/>
                <w:szCs w:val="18"/>
              </w:rPr>
            </w:pPr>
          </w:p>
        </w:tc>
        <w:tc>
          <w:tcPr>
            <w:tcW w:w="472" w:type="dxa"/>
            <w:shd w:val="clear" w:color="auto" w:fill="auto"/>
          </w:tcPr>
          <w:p w14:paraId="274DF522" w14:textId="77777777" w:rsidR="00AF3581" w:rsidRPr="00506303" w:rsidRDefault="00AF3581" w:rsidP="0067543B">
            <w:pPr>
              <w:rPr>
                <w:sz w:val="18"/>
                <w:szCs w:val="18"/>
              </w:rPr>
            </w:pPr>
          </w:p>
        </w:tc>
        <w:tc>
          <w:tcPr>
            <w:tcW w:w="472" w:type="dxa"/>
            <w:shd w:val="clear" w:color="auto" w:fill="auto"/>
          </w:tcPr>
          <w:p w14:paraId="74C1F07E" w14:textId="77777777" w:rsidR="00AF3581" w:rsidRPr="00506303" w:rsidRDefault="00AF3581" w:rsidP="0067543B">
            <w:pPr>
              <w:rPr>
                <w:sz w:val="18"/>
                <w:szCs w:val="18"/>
              </w:rPr>
            </w:pPr>
          </w:p>
        </w:tc>
        <w:tc>
          <w:tcPr>
            <w:tcW w:w="472" w:type="dxa"/>
            <w:shd w:val="clear" w:color="auto" w:fill="auto"/>
          </w:tcPr>
          <w:p w14:paraId="4F33F521" w14:textId="77777777" w:rsidR="00AF3581" w:rsidRPr="00506303" w:rsidRDefault="00AF3581" w:rsidP="0067543B">
            <w:pPr>
              <w:rPr>
                <w:sz w:val="18"/>
                <w:szCs w:val="18"/>
              </w:rPr>
            </w:pPr>
          </w:p>
        </w:tc>
        <w:tc>
          <w:tcPr>
            <w:tcW w:w="472" w:type="dxa"/>
            <w:shd w:val="clear" w:color="auto" w:fill="D9D9D9"/>
          </w:tcPr>
          <w:p w14:paraId="174FC76F" w14:textId="77777777" w:rsidR="00AF3581" w:rsidRPr="00506303" w:rsidRDefault="00AF3581" w:rsidP="0067543B">
            <w:pPr>
              <w:rPr>
                <w:sz w:val="18"/>
                <w:szCs w:val="18"/>
              </w:rPr>
            </w:pPr>
          </w:p>
        </w:tc>
        <w:tc>
          <w:tcPr>
            <w:tcW w:w="472" w:type="dxa"/>
            <w:shd w:val="clear" w:color="auto" w:fill="D9D9D9"/>
          </w:tcPr>
          <w:p w14:paraId="6AA2BBFF" w14:textId="77777777" w:rsidR="00AF3581" w:rsidRPr="00506303" w:rsidRDefault="00AF3581" w:rsidP="0067543B">
            <w:pPr>
              <w:rPr>
                <w:sz w:val="18"/>
                <w:szCs w:val="18"/>
              </w:rPr>
            </w:pPr>
          </w:p>
        </w:tc>
        <w:tc>
          <w:tcPr>
            <w:tcW w:w="472" w:type="dxa"/>
            <w:shd w:val="clear" w:color="auto" w:fill="D9D9D9"/>
          </w:tcPr>
          <w:p w14:paraId="00131B34" w14:textId="77777777" w:rsidR="00AF3581" w:rsidRPr="00506303" w:rsidRDefault="00AF3581" w:rsidP="0067543B">
            <w:pPr>
              <w:rPr>
                <w:sz w:val="18"/>
                <w:szCs w:val="18"/>
              </w:rPr>
            </w:pPr>
          </w:p>
        </w:tc>
        <w:tc>
          <w:tcPr>
            <w:tcW w:w="472" w:type="dxa"/>
            <w:shd w:val="clear" w:color="auto" w:fill="D9D9D9"/>
          </w:tcPr>
          <w:p w14:paraId="78074D23" w14:textId="77777777" w:rsidR="00AF3581" w:rsidRPr="00506303" w:rsidRDefault="00AF3581" w:rsidP="0067543B">
            <w:pPr>
              <w:rPr>
                <w:sz w:val="18"/>
                <w:szCs w:val="18"/>
              </w:rPr>
            </w:pPr>
          </w:p>
        </w:tc>
        <w:tc>
          <w:tcPr>
            <w:tcW w:w="473" w:type="dxa"/>
            <w:shd w:val="clear" w:color="auto" w:fill="D9D9D9"/>
          </w:tcPr>
          <w:p w14:paraId="4B274136" w14:textId="77777777" w:rsidR="00AF3581" w:rsidRPr="00506303" w:rsidRDefault="00AF3581" w:rsidP="0067543B">
            <w:pPr>
              <w:rPr>
                <w:sz w:val="18"/>
                <w:szCs w:val="18"/>
              </w:rPr>
            </w:pPr>
          </w:p>
        </w:tc>
        <w:tc>
          <w:tcPr>
            <w:tcW w:w="473" w:type="dxa"/>
            <w:shd w:val="clear" w:color="auto" w:fill="D9D9D9"/>
          </w:tcPr>
          <w:p w14:paraId="3BFD81B8" w14:textId="77777777" w:rsidR="00AF3581" w:rsidRPr="00506303" w:rsidRDefault="00AF3581" w:rsidP="0067543B">
            <w:pPr>
              <w:rPr>
                <w:sz w:val="18"/>
                <w:szCs w:val="18"/>
              </w:rPr>
            </w:pPr>
          </w:p>
        </w:tc>
        <w:tc>
          <w:tcPr>
            <w:tcW w:w="473" w:type="dxa"/>
            <w:shd w:val="clear" w:color="auto" w:fill="D9D9D9"/>
          </w:tcPr>
          <w:p w14:paraId="0766462A" w14:textId="77777777" w:rsidR="00AF3581" w:rsidRPr="00506303" w:rsidRDefault="00AF3581" w:rsidP="0067543B">
            <w:pPr>
              <w:rPr>
                <w:sz w:val="18"/>
                <w:szCs w:val="18"/>
              </w:rPr>
            </w:pPr>
          </w:p>
        </w:tc>
        <w:tc>
          <w:tcPr>
            <w:tcW w:w="473" w:type="dxa"/>
            <w:shd w:val="clear" w:color="auto" w:fill="D9D9D9"/>
          </w:tcPr>
          <w:p w14:paraId="799E7652" w14:textId="77777777" w:rsidR="00AF3581" w:rsidRPr="00506303" w:rsidRDefault="00AF3581" w:rsidP="0067543B">
            <w:pPr>
              <w:rPr>
                <w:sz w:val="18"/>
                <w:szCs w:val="18"/>
              </w:rPr>
            </w:pPr>
          </w:p>
        </w:tc>
        <w:tc>
          <w:tcPr>
            <w:tcW w:w="473" w:type="dxa"/>
            <w:shd w:val="clear" w:color="auto" w:fill="D9D9D9"/>
          </w:tcPr>
          <w:p w14:paraId="4F2E296A" w14:textId="77777777" w:rsidR="00AF3581" w:rsidRPr="00506303" w:rsidRDefault="00AF3581" w:rsidP="0067543B">
            <w:pPr>
              <w:rPr>
                <w:sz w:val="18"/>
                <w:szCs w:val="18"/>
              </w:rPr>
            </w:pPr>
          </w:p>
        </w:tc>
        <w:tc>
          <w:tcPr>
            <w:tcW w:w="473" w:type="dxa"/>
            <w:shd w:val="clear" w:color="auto" w:fill="D9D9D9"/>
          </w:tcPr>
          <w:p w14:paraId="38F7AAA4" w14:textId="77777777" w:rsidR="00AF3581" w:rsidRPr="00506303" w:rsidRDefault="00AF3581" w:rsidP="0067543B">
            <w:pPr>
              <w:rPr>
                <w:sz w:val="18"/>
                <w:szCs w:val="18"/>
              </w:rPr>
            </w:pPr>
          </w:p>
        </w:tc>
        <w:tc>
          <w:tcPr>
            <w:tcW w:w="473" w:type="dxa"/>
            <w:shd w:val="clear" w:color="auto" w:fill="D9D9D9"/>
          </w:tcPr>
          <w:p w14:paraId="105A14F8" w14:textId="77777777" w:rsidR="00AF3581" w:rsidRPr="00506303" w:rsidRDefault="00AF3581" w:rsidP="0067543B">
            <w:pPr>
              <w:rPr>
                <w:sz w:val="18"/>
                <w:szCs w:val="18"/>
              </w:rPr>
            </w:pPr>
          </w:p>
        </w:tc>
        <w:tc>
          <w:tcPr>
            <w:tcW w:w="473" w:type="dxa"/>
            <w:shd w:val="clear" w:color="auto" w:fill="D9D9D9"/>
          </w:tcPr>
          <w:p w14:paraId="6AE33B31" w14:textId="77777777" w:rsidR="00AF3581" w:rsidRPr="00506303" w:rsidRDefault="00AF3581" w:rsidP="0067543B">
            <w:pPr>
              <w:rPr>
                <w:sz w:val="18"/>
                <w:szCs w:val="18"/>
              </w:rPr>
            </w:pPr>
          </w:p>
        </w:tc>
        <w:tc>
          <w:tcPr>
            <w:tcW w:w="473" w:type="dxa"/>
            <w:shd w:val="clear" w:color="auto" w:fill="D9D9D9"/>
          </w:tcPr>
          <w:p w14:paraId="2A62C37C" w14:textId="77777777" w:rsidR="00AF3581" w:rsidRPr="00506303" w:rsidRDefault="00AF3581" w:rsidP="0067543B">
            <w:pPr>
              <w:rPr>
                <w:sz w:val="18"/>
                <w:szCs w:val="18"/>
              </w:rPr>
            </w:pPr>
          </w:p>
        </w:tc>
        <w:tc>
          <w:tcPr>
            <w:tcW w:w="473" w:type="dxa"/>
            <w:shd w:val="clear" w:color="auto" w:fill="D9D9D9"/>
          </w:tcPr>
          <w:p w14:paraId="29F2291D" w14:textId="77777777" w:rsidR="00AF3581" w:rsidRPr="00506303" w:rsidRDefault="00AF3581" w:rsidP="0067543B">
            <w:pPr>
              <w:rPr>
                <w:sz w:val="18"/>
                <w:szCs w:val="18"/>
              </w:rPr>
            </w:pPr>
          </w:p>
        </w:tc>
      </w:tr>
      <w:tr w:rsidR="00E071AC" w:rsidRPr="00506303" w14:paraId="66A5EF17" w14:textId="77777777" w:rsidTr="00E071AC">
        <w:tc>
          <w:tcPr>
            <w:tcW w:w="944" w:type="dxa"/>
            <w:shd w:val="clear" w:color="auto" w:fill="auto"/>
          </w:tcPr>
          <w:p w14:paraId="4C642D17" w14:textId="77777777" w:rsidR="00AF3581" w:rsidRPr="00506303" w:rsidRDefault="00AF3581" w:rsidP="0067543B">
            <w:pPr>
              <w:rPr>
                <w:sz w:val="18"/>
                <w:szCs w:val="18"/>
              </w:rPr>
            </w:pPr>
            <w:r w:rsidRPr="00506303">
              <w:rPr>
                <w:sz w:val="18"/>
                <w:szCs w:val="18"/>
              </w:rPr>
              <w:t>2.5.4</w:t>
            </w:r>
          </w:p>
        </w:tc>
        <w:tc>
          <w:tcPr>
            <w:tcW w:w="3776" w:type="dxa"/>
            <w:shd w:val="clear" w:color="auto" w:fill="auto"/>
          </w:tcPr>
          <w:p w14:paraId="3A22A32C" w14:textId="77777777" w:rsidR="00AF3581" w:rsidRPr="00506303" w:rsidRDefault="00AF3581" w:rsidP="0067543B">
            <w:pPr>
              <w:rPr>
                <w:sz w:val="18"/>
                <w:szCs w:val="18"/>
              </w:rPr>
            </w:pPr>
            <w:r w:rsidRPr="00506303">
              <w:rPr>
                <w:sz w:val="18"/>
                <w:szCs w:val="18"/>
              </w:rPr>
              <w:t>Expand the South China Sea online public awareness centre, including awareness packages for local adoption</w:t>
            </w:r>
          </w:p>
        </w:tc>
        <w:tc>
          <w:tcPr>
            <w:tcW w:w="472" w:type="dxa"/>
            <w:shd w:val="clear" w:color="auto" w:fill="D9D9D9"/>
          </w:tcPr>
          <w:p w14:paraId="5DDAA454" w14:textId="77777777" w:rsidR="00AF3581" w:rsidRPr="00506303" w:rsidRDefault="00AF3581" w:rsidP="0067543B">
            <w:pPr>
              <w:rPr>
                <w:sz w:val="18"/>
                <w:szCs w:val="18"/>
              </w:rPr>
            </w:pPr>
          </w:p>
        </w:tc>
        <w:tc>
          <w:tcPr>
            <w:tcW w:w="472" w:type="dxa"/>
            <w:shd w:val="clear" w:color="auto" w:fill="D9D9D9"/>
          </w:tcPr>
          <w:p w14:paraId="27DF0016" w14:textId="77777777" w:rsidR="00AF3581" w:rsidRPr="00506303" w:rsidRDefault="00AF3581" w:rsidP="0067543B">
            <w:pPr>
              <w:rPr>
                <w:sz w:val="18"/>
                <w:szCs w:val="18"/>
              </w:rPr>
            </w:pPr>
          </w:p>
        </w:tc>
        <w:tc>
          <w:tcPr>
            <w:tcW w:w="472" w:type="dxa"/>
            <w:shd w:val="clear" w:color="auto" w:fill="D9D9D9"/>
          </w:tcPr>
          <w:p w14:paraId="3113101A" w14:textId="77777777" w:rsidR="00AF3581" w:rsidRPr="00506303" w:rsidRDefault="00AF3581" w:rsidP="0067543B">
            <w:pPr>
              <w:rPr>
                <w:sz w:val="18"/>
                <w:szCs w:val="18"/>
              </w:rPr>
            </w:pPr>
          </w:p>
        </w:tc>
        <w:tc>
          <w:tcPr>
            <w:tcW w:w="472" w:type="dxa"/>
            <w:shd w:val="clear" w:color="auto" w:fill="D9D9D9"/>
          </w:tcPr>
          <w:p w14:paraId="435D938E" w14:textId="77777777" w:rsidR="00AF3581" w:rsidRPr="00506303" w:rsidRDefault="00AF3581" w:rsidP="0067543B">
            <w:pPr>
              <w:rPr>
                <w:sz w:val="18"/>
                <w:szCs w:val="18"/>
              </w:rPr>
            </w:pPr>
          </w:p>
        </w:tc>
        <w:tc>
          <w:tcPr>
            <w:tcW w:w="472" w:type="dxa"/>
            <w:shd w:val="clear" w:color="auto" w:fill="D9D9D9"/>
          </w:tcPr>
          <w:p w14:paraId="77F28DD1" w14:textId="77777777" w:rsidR="00AF3581" w:rsidRPr="00506303" w:rsidRDefault="00AF3581" w:rsidP="0067543B">
            <w:pPr>
              <w:rPr>
                <w:sz w:val="18"/>
                <w:szCs w:val="18"/>
              </w:rPr>
            </w:pPr>
          </w:p>
        </w:tc>
        <w:tc>
          <w:tcPr>
            <w:tcW w:w="472" w:type="dxa"/>
            <w:shd w:val="clear" w:color="auto" w:fill="D9D9D9"/>
          </w:tcPr>
          <w:p w14:paraId="2F3785F6" w14:textId="77777777" w:rsidR="00AF3581" w:rsidRPr="00506303" w:rsidRDefault="00AF3581" w:rsidP="0067543B">
            <w:pPr>
              <w:rPr>
                <w:sz w:val="18"/>
                <w:szCs w:val="18"/>
              </w:rPr>
            </w:pPr>
          </w:p>
        </w:tc>
        <w:tc>
          <w:tcPr>
            <w:tcW w:w="472" w:type="dxa"/>
            <w:shd w:val="clear" w:color="auto" w:fill="D9D9D9"/>
          </w:tcPr>
          <w:p w14:paraId="001AEBBD" w14:textId="77777777" w:rsidR="00AF3581" w:rsidRPr="00506303" w:rsidRDefault="00AF3581" w:rsidP="0067543B">
            <w:pPr>
              <w:rPr>
                <w:sz w:val="18"/>
                <w:szCs w:val="18"/>
              </w:rPr>
            </w:pPr>
          </w:p>
        </w:tc>
        <w:tc>
          <w:tcPr>
            <w:tcW w:w="472" w:type="dxa"/>
            <w:shd w:val="clear" w:color="auto" w:fill="D9D9D9"/>
          </w:tcPr>
          <w:p w14:paraId="23D25C12" w14:textId="77777777" w:rsidR="00AF3581" w:rsidRPr="00506303" w:rsidRDefault="00AF3581" w:rsidP="0067543B">
            <w:pPr>
              <w:rPr>
                <w:sz w:val="18"/>
                <w:szCs w:val="18"/>
              </w:rPr>
            </w:pPr>
          </w:p>
        </w:tc>
        <w:tc>
          <w:tcPr>
            <w:tcW w:w="472" w:type="dxa"/>
            <w:shd w:val="clear" w:color="auto" w:fill="D9D9D9"/>
          </w:tcPr>
          <w:p w14:paraId="5822F109" w14:textId="77777777" w:rsidR="00AF3581" w:rsidRPr="00506303" w:rsidRDefault="00AF3581" w:rsidP="0067543B">
            <w:pPr>
              <w:rPr>
                <w:sz w:val="18"/>
                <w:szCs w:val="18"/>
              </w:rPr>
            </w:pPr>
          </w:p>
        </w:tc>
        <w:tc>
          <w:tcPr>
            <w:tcW w:w="472" w:type="dxa"/>
            <w:shd w:val="clear" w:color="auto" w:fill="D9D9D9"/>
          </w:tcPr>
          <w:p w14:paraId="4F85CDF8" w14:textId="77777777" w:rsidR="00AF3581" w:rsidRPr="00506303" w:rsidRDefault="00AF3581" w:rsidP="0067543B">
            <w:pPr>
              <w:rPr>
                <w:sz w:val="18"/>
                <w:szCs w:val="18"/>
              </w:rPr>
            </w:pPr>
          </w:p>
        </w:tc>
        <w:tc>
          <w:tcPr>
            <w:tcW w:w="473" w:type="dxa"/>
            <w:shd w:val="clear" w:color="auto" w:fill="D9D9D9"/>
          </w:tcPr>
          <w:p w14:paraId="5B3B8BEB" w14:textId="77777777" w:rsidR="00AF3581" w:rsidRPr="00506303" w:rsidRDefault="00AF3581" w:rsidP="0067543B">
            <w:pPr>
              <w:rPr>
                <w:sz w:val="18"/>
                <w:szCs w:val="18"/>
              </w:rPr>
            </w:pPr>
          </w:p>
        </w:tc>
        <w:tc>
          <w:tcPr>
            <w:tcW w:w="473" w:type="dxa"/>
            <w:shd w:val="clear" w:color="auto" w:fill="D9D9D9"/>
          </w:tcPr>
          <w:p w14:paraId="167394A2" w14:textId="77777777" w:rsidR="00AF3581" w:rsidRPr="00506303" w:rsidRDefault="00AF3581" w:rsidP="0067543B">
            <w:pPr>
              <w:rPr>
                <w:sz w:val="18"/>
                <w:szCs w:val="18"/>
              </w:rPr>
            </w:pPr>
          </w:p>
        </w:tc>
        <w:tc>
          <w:tcPr>
            <w:tcW w:w="473" w:type="dxa"/>
            <w:shd w:val="clear" w:color="auto" w:fill="D9D9D9"/>
          </w:tcPr>
          <w:p w14:paraId="6B19D1A8" w14:textId="77777777" w:rsidR="00AF3581" w:rsidRPr="00506303" w:rsidRDefault="00AF3581" w:rsidP="0067543B">
            <w:pPr>
              <w:rPr>
                <w:sz w:val="18"/>
                <w:szCs w:val="18"/>
              </w:rPr>
            </w:pPr>
          </w:p>
        </w:tc>
        <w:tc>
          <w:tcPr>
            <w:tcW w:w="473" w:type="dxa"/>
            <w:shd w:val="clear" w:color="auto" w:fill="D9D9D9"/>
          </w:tcPr>
          <w:p w14:paraId="588D0CD2" w14:textId="77777777" w:rsidR="00AF3581" w:rsidRPr="00506303" w:rsidRDefault="00AF3581" w:rsidP="0067543B">
            <w:pPr>
              <w:rPr>
                <w:sz w:val="18"/>
                <w:szCs w:val="18"/>
              </w:rPr>
            </w:pPr>
          </w:p>
        </w:tc>
        <w:tc>
          <w:tcPr>
            <w:tcW w:w="473" w:type="dxa"/>
            <w:shd w:val="clear" w:color="auto" w:fill="D9D9D9"/>
          </w:tcPr>
          <w:p w14:paraId="3631B89E" w14:textId="77777777" w:rsidR="00AF3581" w:rsidRPr="00506303" w:rsidRDefault="00AF3581" w:rsidP="0067543B">
            <w:pPr>
              <w:rPr>
                <w:sz w:val="18"/>
                <w:szCs w:val="18"/>
              </w:rPr>
            </w:pPr>
          </w:p>
        </w:tc>
        <w:tc>
          <w:tcPr>
            <w:tcW w:w="473" w:type="dxa"/>
            <w:shd w:val="clear" w:color="auto" w:fill="D9D9D9"/>
          </w:tcPr>
          <w:p w14:paraId="2C84678E" w14:textId="77777777" w:rsidR="00AF3581" w:rsidRPr="00506303" w:rsidRDefault="00AF3581" w:rsidP="0067543B">
            <w:pPr>
              <w:rPr>
                <w:sz w:val="18"/>
                <w:szCs w:val="18"/>
              </w:rPr>
            </w:pPr>
          </w:p>
        </w:tc>
        <w:tc>
          <w:tcPr>
            <w:tcW w:w="473" w:type="dxa"/>
            <w:shd w:val="clear" w:color="auto" w:fill="D9D9D9"/>
          </w:tcPr>
          <w:p w14:paraId="6E858A79" w14:textId="77777777" w:rsidR="00AF3581" w:rsidRPr="00506303" w:rsidRDefault="00AF3581" w:rsidP="0067543B">
            <w:pPr>
              <w:rPr>
                <w:sz w:val="18"/>
                <w:szCs w:val="18"/>
              </w:rPr>
            </w:pPr>
          </w:p>
        </w:tc>
        <w:tc>
          <w:tcPr>
            <w:tcW w:w="473" w:type="dxa"/>
            <w:shd w:val="clear" w:color="auto" w:fill="D9D9D9"/>
          </w:tcPr>
          <w:p w14:paraId="141E46A3" w14:textId="77777777" w:rsidR="00AF3581" w:rsidRPr="00506303" w:rsidRDefault="00AF3581" w:rsidP="0067543B">
            <w:pPr>
              <w:rPr>
                <w:sz w:val="18"/>
                <w:szCs w:val="18"/>
              </w:rPr>
            </w:pPr>
          </w:p>
        </w:tc>
        <w:tc>
          <w:tcPr>
            <w:tcW w:w="473" w:type="dxa"/>
            <w:shd w:val="clear" w:color="auto" w:fill="D9D9D9"/>
          </w:tcPr>
          <w:p w14:paraId="6888864C" w14:textId="77777777" w:rsidR="00AF3581" w:rsidRPr="00506303" w:rsidRDefault="00AF3581" w:rsidP="0067543B">
            <w:pPr>
              <w:rPr>
                <w:sz w:val="18"/>
                <w:szCs w:val="18"/>
              </w:rPr>
            </w:pPr>
          </w:p>
        </w:tc>
        <w:tc>
          <w:tcPr>
            <w:tcW w:w="473" w:type="dxa"/>
            <w:shd w:val="clear" w:color="auto" w:fill="D9D9D9"/>
          </w:tcPr>
          <w:p w14:paraId="5894FC75" w14:textId="77777777" w:rsidR="00AF3581" w:rsidRPr="00506303" w:rsidRDefault="00AF3581" w:rsidP="0067543B">
            <w:pPr>
              <w:rPr>
                <w:sz w:val="18"/>
                <w:szCs w:val="18"/>
              </w:rPr>
            </w:pPr>
          </w:p>
        </w:tc>
      </w:tr>
      <w:tr w:rsidR="00AF3581" w:rsidRPr="00506303" w14:paraId="2D22C559" w14:textId="77777777" w:rsidTr="00506303">
        <w:tc>
          <w:tcPr>
            <w:tcW w:w="944" w:type="dxa"/>
            <w:shd w:val="clear" w:color="auto" w:fill="D9D9D9"/>
          </w:tcPr>
          <w:p w14:paraId="06D2365A" w14:textId="77777777" w:rsidR="00AF3581" w:rsidRPr="00506303" w:rsidRDefault="00AF3581" w:rsidP="0067543B">
            <w:pPr>
              <w:rPr>
                <w:b/>
                <w:sz w:val="18"/>
                <w:szCs w:val="18"/>
              </w:rPr>
            </w:pPr>
            <w:r w:rsidRPr="00506303">
              <w:rPr>
                <w:b/>
                <w:sz w:val="18"/>
                <w:szCs w:val="18"/>
              </w:rPr>
              <w:t>2.6</w:t>
            </w:r>
          </w:p>
        </w:tc>
        <w:tc>
          <w:tcPr>
            <w:tcW w:w="13226" w:type="dxa"/>
            <w:gridSpan w:val="21"/>
            <w:shd w:val="clear" w:color="auto" w:fill="D9D9D9"/>
          </w:tcPr>
          <w:p w14:paraId="497BCAE0" w14:textId="77777777" w:rsidR="00AF3581" w:rsidRPr="00506303" w:rsidRDefault="00AF3581" w:rsidP="0067543B">
            <w:pPr>
              <w:rPr>
                <w:b/>
                <w:sz w:val="18"/>
                <w:szCs w:val="18"/>
              </w:rPr>
            </w:pPr>
            <w:r w:rsidRPr="00506303">
              <w:rPr>
                <w:b/>
                <w:sz w:val="18"/>
                <w:szCs w:val="18"/>
              </w:rPr>
              <w:t>Update and secure Ministerial adoption of a revised Transboundary Diagnostic Analysis and Strategic Action Programme, including prioritization of national management actions to address climate variability and change</w:t>
            </w:r>
          </w:p>
        </w:tc>
      </w:tr>
      <w:tr w:rsidR="00E071AC" w:rsidRPr="00506303" w14:paraId="7357DC50" w14:textId="77777777" w:rsidTr="00E071AC">
        <w:tc>
          <w:tcPr>
            <w:tcW w:w="944" w:type="dxa"/>
            <w:shd w:val="clear" w:color="auto" w:fill="auto"/>
          </w:tcPr>
          <w:p w14:paraId="29F9B63C" w14:textId="77777777" w:rsidR="00AF3581" w:rsidRPr="00506303" w:rsidRDefault="00AF3581" w:rsidP="0067543B">
            <w:pPr>
              <w:rPr>
                <w:sz w:val="18"/>
                <w:szCs w:val="18"/>
              </w:rPr>
            </w:pPr>
            <w:r w:rsidRPr="00506303">
              <w:rPr>
                <w:sz w:val="18"/>
                <w:szCs w:val="18"/>
              </w:rPr>
              <w:t>2.6.1</w:t>
            </w:r>
          </w:p>
        </w:tc>
        <w:tc>
          <w:tcPr>
            <w:tcW w:w="3776" w:type="dxa"/>
            <w:shd w:val="clear" w:color="auto" w:fill="auto"/>
          </w:tcPr>
          <w:p w14:paraId="6BD0D989" w14:textId="77777777" w:rsidR="00AF3581" w:rsidRPr="00506303" w:rsidRDefault="00AF3581" w:rsidP="0067543B">
            <w:pPr>
              <w:rPr>
                <w:sz w:val="18"/>
                <w:szCs w:val="18"/>
              </w:rPr>
            </w:pPr>
            <w:r w:rsidRPr="00506303">
              <w:rPr>
                <w:sz w:val="18"/>
                <w:szCs w:val="18"/>
              </w:rPr>
              <w:t>Operate consultative process to facilitate national and regional level consensus on contemporary issues and problems, including the quantification of environmental compromises and the prioritization of problems in the SCS</w:t>
            </w:r>
          </w:p>
        </w:tc>
        <w:tc>
          <w:tcPr>
            <w:tcW w:w="472" w:type="dxa"/>
            <w:shd w:val="clear" w:color="auto" w:fill="D9D9D9"/>
          </w:tcPr>
          <w:p w14:paraId="46365062" w14:textId="77777777" w:rsidR="00AF3581" w:rsidRPr="00506303" w:rsidRDefault="00AF3581" w:rsidP="0067543B">
            <w:pPr>
              <w:rPr>
                <w:sz w:val="18"/>
                <w:szCs w:val="18"/>
              </w:rPr>
            </w:pPr>
          </w:p>
        </w:tc>
        <w:tc>
          <w:tcPr>
            <w:tcW w:w="472" w:type="dxa"/>
            <w:shd w:val="clear" w:color="auto" w:fill="D9D9D9"/>
          </w:tcPr>
          <w:p w14:paraId="2CB6A3EF" w14:textId="77777777" w:rsidR="00AF3581" w:rsidRPr="00506303" w:rsidRDefault="00AF3581" w:rsidP="0067543B">
            <w:pPr>
              <w:rPr>
                <w:sz w:val="18"/>
                <w:szCs w:val="18"/>
              </w:rPr>
            </w:pPr>
          </w:p>
        </w:tc>
        <w:tc>
          <w:tcPr>
            <w:tcW w:w="472" w:type="dxa"/>
            <w:shd w:val="clear" w:color="auto" w:fill="D9D9D9"/>
          </w:tcPr>
          <w:p w14:paraId="75BBC39D" w14:textId="77777777" w:rsidR="00AF3581" w:rsidRPr="00506303" w:rsidRDefault="00AF3581" w:rsidP="0067543B">
            <w:pPr>
              <w:rPr>
                <w:sz w:val="18"/>
                <w:szCs w:val="18"/>
              </w:rPr>
            </w:pPr>
          </w:p>
        </w:tc>
        <w:tc>
          <w:tcPr>
            <w:tcW w:w="472" w:type="dxa"/>
            <w:shd w:val="clear" w:color="auto" w:fill="D9D9D9"/>
          </w:tcPr>
          <w:p w14:paraId="3F4C5C4A" w14:textId="77777777" w:rsidR="00AF3581" w:rsidRPr="00506303" w:rsidRDefault="00AF3581" w:rsidP="0067543B">
            <w:pPr>
              <w:rPr>
                <w:sz w:val="18"/>
                <w:szCs w:val="18"/>
              </w:rPr>
            </w:pPr>
          </w:p>
        </w:tc>
        <w:tc>
          <w:tcPr>
            <w:tcW w:w="472" w:type="dxa"/>
            <w:shd w:val="clear" w:color="auto" w:fill="D9D9D9"/>
          </w:tcPr>
          <w:p w14:paraId="6F7D5F44" w14:textId="77777777" w:rsidR="00AF3581" w:rsidRPr="00506303" w:rsidRDefault="00AF3581" w:rsidP="0067543B">
            <w:pPr>
              <w:rPr>
                <w:sz w:val="18"/>
                <w:szCs w:val="18"/>
              </w:rPr>
            </w:pPr>
          </w:p>
        </w:tc>
        <w:tc>
          <w:tcPr>
            <w:tcW w:w="472" w:type="dxa"/>
            <w:shd w:val="clear" w:color="auto" w:fill="D9D9D9"/>
          </w:tcPr>
          <w:p w14:paraId="37BCB27C" w14:textId="77777777" w:rsidR="00AF3581" w:rsidRPr="00506303" w:rsidRDefault="00AF3581" w:rsidP="0067543B">
            <w:pPr>
              <w:rPr>
                <w:sz w:val="18"/>
                <w:szCs w:val="18"/>
              </w:rPr>
            </w:pPr>
          </w:p>
        </w:tc>
        <w:tc>
          <w:tcPr>
            <w:tcW w:w="472" w:type="dxa"/>
            <w:shd w:val="clear" w:color="auto" w:fill="D9D9D9"/>
          </w:tcPr>
          <w:p w14:paraId="5D17FF69" w14:textId="77777777" w:rsidR="00AF3581" w:rsidRPr="00506303" w:rsidRDefault="00AF3581" w:rsidP="0067543B">
            <w:pPr>
              <w:rPr>
                <w:sz w:val="18"/>
                <w:szCs w:val="18"/>
              </w:rPr>
            </w:pPr>
          </w:p>
        </w:tc>
        <w:tc>
          <w:tcPr>
            <w:tcW w:w="472" w:type="dxa"/>
            <w:shd w:val="clear" w:color="auto" w:fill="D9D9D9"/>
          </w:tcPr>
          <w:p w14:paraId="7CAE3A1B" w14:textId="77777777" w:rsidR="00AF3581" w:rsidRPr="00506303" w:rsidRDefault="00AF3581" w:rsidP="0067543B">
            <w:pPr>
              <w:rPr>
                <w:sz w:val="18"/>
                <w:szCs w:val="18"/>
              </w:rPr>
            </w:pPr>
          </w:p>
        </w:tc>
        <w:tc>
          <w:tcPr>
            <w:tcW w:w="472" w:type="dxa"/>
            <w:shd w:val="clear" w:color="auto" w:fill="auto"/>
          </w:tcPr>
          <w:p w14:paraId="42F80B47" w14:textId="77777777" w:rsidR="00AF3581" w:rsidRPr="00506303" w:rsidRDefault="00AF3581" w:rsidP="0067543B">
            <w:pPr>
              <w:rPr>
                <w:sz w:val="18"/>
                <w:szCs w:val="18"/>
              </w:rPr>
            </w:pPr>
          </w:p>
        </w:tc>
        <w:tc>
          <w:tcPr>
            <w:tcW w:w="472" w:type="dxa"/>
            <w:shd w:val="clear" w:color="auto" w:fill="auto"/>
          </w:tcPr>
          <w:p w14:paraId="40D58B2B" w14:textId="77777777" w:rsidR="00AF3581" w:rsidRPr="00506303" w:rsidRDefault="00AF3581" w:rsidP="0067543B">
            <w:pPr>
              <w:rPr>
                <w:sz w:val="18"/>
                <w:szCs w:val="18"/>
              </w:rPr>
            </w:pPr>
          </w:p>
        </w:tc>
        <w:tc>
          <w:tcPr>
            <w:tcW w:w="473" w:type="dxa"/>
            <w:shd w:val="clear" w:color="auto" w:fill="auto"/>
          </w:tcPr>
          <w:p w14:paraId="5B48CB6F" w14:textId="77777777" w:rsidR="00AF3581" w:rsidRPr="00506303" w:rsidRDefault="00AF3581" w:rsidP="0067543B">
            <w:pPr>
              <w:rPr>
                <w:sz w:val="18"/>
                <w:szCs w:val="18"/>
              </w:rPr>
            </w:pPr>
          </w:p>
        </w:tc>
        <w:tc>
          <w:tcPr>
            <w:tcW w:w="473" w:type="dxa"/>
            <w:shd w:val="clear" w:color="auto" w:fill="auto"/>
          </w:tcPr>
          <w:p w14:paraId="12B140DC" w14:textId="77777777" w:rsidR="00AF3581" w:rsidRPr="00506303" w:rsidRDefault="00AF3581" w:rsidP="0067543B">
            <w:pPr>
              <w:rPr>
                <w:sz w:val="18"/>
                <w:szCs w:val="18"/>
              </w:rPr>
            </w:pPr>
          </w:p>
        </w:tc>
        <w:tc>
          <w:tcPr>
            <w:tcW w:w="473" w:type="dxa"/>
            <w:shd w:val="clear" w:color="auto" w:fill="auto"/>
          </w:tcPr>
          <w:p w14:paraId="3512021A" w14:textId="77777777" w:rsidR="00AF3581" w:rsidRPr="00506303" w:rsidRDefault="00AF3581" w:rsidP="0067543B">
            <w:pPr>
              <w:rPr>
                <w:sz w:val="18"/>
                <w:szCs w:val="18"/>
              </w:rPr>
            </w:pPr>
          </w:p>
        </w:tc>
        <w:tc>
          <w:tcPr>
            <w:tcW w:w="473" w:type="dxa"/>
            <w:shd w:val="clear" w:color="auto" w:fill="auto"/>
          </w:tcPr>
          <w:p w14:paraId="0EE7728B" w14:textId="77777777" w:rsidR="00AF3581" w:rsidRPr="00506303" w:rsidRDefault="00AF3581" w:rsidP="0067543B">
            <w:pPr>
              <w:rPr>
                <w:sz w:val="18"/>
                <w:szCs w:val="18"/>
              </w:rPr>
            </w:pPr>
          </w:p>
        </w:tc>
        <w:tc>
          <w:tcPr>
            <w:tcW w:w="473" w:type="dxa"/>
            <w:shd w:val="clear" w:color="auto" w:fill="auto"/>
          </w:tcPr>
          <w:p w14:paraId="602202D4" w14:textId="77777777" w:rsidR="00AF3581" w:rsidRPr="00506303" w:rsidRDefault="00AF3581" w:rsidP="0067543B">
            <w:pPr>
              <w:rPr>
                <w:sz w:val="18"/>
                <w:szCs w:val="18"/>
              </w:rPr>
            </w:pPr>
          </w:p>
        </w:tc>
        <w:tc>
          <w:tcPr>
            <w:tcW w:w="473" w:type="dxa"/>
            <w:shd w:val="clear" w:color="auto" w:fill="auto"/>
          </w:tcPr>
          <w:p w14:paraId="13D37209" w14:textId="77777777" w:rsidR="00AF3581" w:rsidRPr="00506303" w:rsidRDefault="00AF3581" w:rsidP="0067543B">
            <w:pPr>
              <w:rPr>
                <w:sz w:val="18"/>
                <w:szCs w:val="18"/>
              </w:rPr>
            </w:pPr>
          </w:p>
        </w:tc>
        <w:tc>
          <w:tcPr>
            <w:tcW w:w="473" w:type="dxa"/>
            <w:shd w:val="clear" w:color="auto" w:fill="auto"/>
          </w:tcPr>
          <w:p w14:paraId="31CA6FC7" w14:textId="77777777" w:rsidR="00AF3581" w:rsidRPr="00506303" w:rsidRDefault="00AF3581" w:rsidP="0067543B">
            <w:pPr>
              <w:rPr>
                <w:sz w:val="18"/>
                <w:szCs w:val="18"/>
              </w:rPr>
            </w:pPr>
          </w:p>
        </w:tc>
        <w:tc>
          <w:tcPr>
            <w:tcW w:w="473" w:type="dxa"/>
            <w:shd w:val="clear" w:color="auto" w:fill="auto"/>
          </w:tcPr>
          <w:p w14:paraId="3E2EFB16" w14:textId="77777777" w:rsidR="00AF3581" w:rsidRPr="00506303" w:rsidRDefault="00AF3581" w:rsidP="0067543B">
            <w:pPr>
              <w:rPr>
                <w:sz w:val="18"/>
                <w:szCs w:val="18"/>
              </w:rPr>
            </w:pPr>
          </w:p>
        </w:tc>
        <w:tc>
          <w:tcPr>
            <w:tcW w:w="473" w:type="dxa"/>
            <w:shd w:val="clear" w:color="auto" w:fill="auto"/>
          </w:tcPr>
          <w:p w14:paraId="2B635402" w14:textId="77777777" w:rsidR="00AF3581" w:rsidRPr="00506303" w:rsidRDefault="00AF3581" w:rsidP="0067543B">
            <w:pPr>
              <w:rPr>
                <w:sz w:val="18"/>
                <w:szCs w:val="18"/>
              </w:rPr>
            </w:pPr>
          </w:p>
        </w:tc>
        <w:tc>
          <w:tcPr>
            <w:tcW w:w="473" w:type="dxa"/>
            <w:shd w:val="clear" w:color="auto" w:fill="auto"/>
          </w:tcPr>
          <w:p w14:paraId="1C9AA27A" w14:textId="77777777" w:rsidR="00AF3581" w:rsidRPr="00506303" w:rsidRDefault="00AF3581" w:rsidP="0067543B">
            <w:pPr>
              <w:rPr>
                <w:sz w:val="18"/>
                <w:szCs w:val="18"/>
              </w:rPr>
            </w:pPr>
          </w:p>
        </w:tc>
      </w:tr>
      <w:tr w:rsidR="00E071AC" w:rsidRPr="00506303" w14:paraId="03A50347" w14:textId="77777777" w:rsidTr="00E071AC">
        <w:tc>
          <w:tcPr>
            <w:tcW w:w="944" w:type="dxa"/>
            <w:shd w:val="clear" w:color="auto" w:fill="auto"/>
          </w:tcPr>
          <w:p w14:paraId="0CABD989" w14:textId="77777777" w:rsidR="00AF3581" w:rsidRPr="00506303" w:rsidRDefault="00AF3581" w:rsidP="0067543B">
            <w:pPr>
              <w:rPr>
                <w:sz w:val="18"/>
                <w:szCs w:val="18"/>
              </w:rPr>
            </w:pPr>
            <w:r w:rsidRPr="00506303">
              <w:rPr>
                <w:sz w:val="18"/>
                <w:szCs w:val="18"/>
              </w:rPr>
              <w:t>2.6.2</w:t>
            </w:r>
          </w:p>
        </w:tc>
        <w:tc>
          <w:tcPr>
            <w:tcW w:w="3776" w:type="dxa"/>
            <w:shd w:val="clear" w:color="auto" w:fill="auto"/>
          </w:tcPr>
          <w:p w14:paraId="37C5029C" w14:textId="77777777" w:rsidR="00AF3581" w:rsidRPr="00506303" w:rsidRDefault="00AF3581" w:rsidP="0067543B">
            <w:pPr>
              <w:rPr>
                <w:sz w:val="18"/>
                <w:szCs w:val="18"/>
              </w:rPr>
            </w:pPr>
            <w:r w:rsidRPr="00506303">
              <w:rPr>
                <w:sz w:val="18"/>
                <w:szCs w:val="18"/>
              </w:rPr>
              <w:t>Identify the immediate and ultimate root causes of the problems identified and facilitate consensus building on the priorities for intervention, including comparative analysis of the net benefits of alternative options</w:t>
            </w:r>
          </w:p>
        </w:tc>
        <w:tc>
          <w:tcPr>
            <w:tcW w:w="472" w:type="dxa"/>
            <w:shd w:val="clear" w:color="auto" w:fill="auto"/>
          </w:tcPr>
          <w:p w14:paraId="1C01EA19" w14:textId="77777777" w:rsidR="00AF3581" w:rsidRPr="00506303" w:rsidRDefault="00AF3581" w:rsidP="0067543B">
            <w:pPr>
              <w:rPr>
                <w:sz w:val="18"/>
                <w:szCs w:val="18"/>
              </w:rPr>
            </w:pPr>
          </w:p>
        </w:tc>
        <w:tc>
          <w:tcPr>
            <w:tcW w:w="472" w:type="dxa"/>
            <w:shd w:val="clear" w:color="auto" w:fill="auto"/>
          </w:tcPr>
          <w:p w14:paraId="107E893E" w14:textId="77777777" w:rsidR="00AF3581" w:rsidRPr="00506303" w:rsidRDefault="00AF3581" w:rsidP="0067543B">
            <w:pPr>
              <w:rPr>
                <w:sz w:val="18"/>
                <w:szCs w:val="18"/>
              </w:rPr>
            </w:pPr>
          </w:p>
        </w:tc>
        <w:tc>
          <w:tcPr>
            <w:tcW w:w="472" w:type="dxa"/>
            <w:shd w:val="clear" w:color="auto" w:fill="D9D9D9"/>
          </w:tcPr>
          <w:p w14:paraId="6163BFED" w14:textId="77777777" w:rsidR="00AF3581" w:rsidRPr="00506303" w:rsidRDefault="00AF3581" w:rsidP="0067543B">
            <w:pPr>
              <w:rPr>
                <w:sz w:val="18"/>
                <w:szCs w:val="18"/>
              </w:rPr>
            </w:pPr>
          </w:p>
        </w:tc>
        <w:tc>
          <w:tcPr>
            <w:tcW w:w="472" w:type="dxa"/>
            <w:shd w:val="clear" w:color="auto" w:fill="D9D9D9"/>
          </w:tcPr>
          <w:p w14:paraId="4AC6CDF9" w14:textId="77777777" w:rsidR="00AF3581" w:rsidRPr="00506303" w:rsidRDefault="00AF3581" w:rsidP="0067543B">
            <w:pPr>
              <w:rPr>
                <w:sz w:val="18"/>
                <w:szCs w:val="18"/>
              </w:rPr>
            </w:pPr>
          </w:p>
        </w:tc>
        <w:tc>
          <w:tcPr>
            <w:tcW w:w="472" w:type="dxa"/>
            <w:shd w:val="clear" w:color="auto" w:fill="D9D9D9"/>
          </w:tcPr>
          <w:p w14:paraId="47D8B25B" w14:textId="77777777" w:rsidR="00AF3581" w:rsidRPr="00506303" w:rsidRDefault="00AF3581" w:rsidP="0067543B">
            <w:pPr>
              <w:rPr>
                <w:sz w:val="18"/>
                <w:szCs w:val="18"/>
              </w:rPr>
            </w:pPr>
          </w:p>
        </w:tc>
        <w:tc>
          <w:tcPr>
            <w:tcW w:w="472" w:type="dxa"/>
            <w:shd w:val="clear" w:color="auto" w:fill="D9D9D9"/>
          </w:tcPr>
          <w:p w14:paraId="5F3F3249" w14:textId="77777777" w:rsidR="00AF3581" w:rsidRPr="00506303" w:rsidRDefault="00AF3581" w:rsidP="0067543B">
            <w:pPr>
              <w:rPr>
                <w:sz w:val="18"/>
                <w:szCs w:val="18"/>
              </w:rPr>
            </w:pPr>
          </w:p>
        </w:tc>
        <w:tc>
          <w:tcPr>
            <w:tcW w:w="472" w:type="dxa"/>
            <w:shd w:val="clear" w:color="auto" w:fill="D9D9D9"/>
          </w:tcPr>
          <w:p w14:paraId="16790392" w14:textId="77777777" w:rsidR="00AF3581" w:rsidRPr="00506303" w:rsidRDefault="00AF3581" w:rsidP="0067543B">
            <w:pPr>
              <w:rPr>
                <w:sz w:val="18"/>
                <w:szCs w:val="18"/>
              </w:rPr>
            </w:pPr>
          </w:p>
        </w:tc>
        <w:tc>
          <w:tcPr>
            <w:tcW w:w="472" w:type="dxa"/>
            <w:shd w:val="clear" w:color="auto" w:fill="D9D9D9"/>
          </w:tcPr>
          <w:p w14:paraId="3B8AC4D7" w14:textId="77777777" w:rsidR="00AF3581" w:rsidRPr="00506303" w:rsidRDefault="00AF3581" w:rsidP="0067543B">
            <w:pPr>
              <w:rPr>
                <w:sz w:val="18"/>
                <w:szCs w:val="18"/>
              </w:rPr>
            </w:pPr>
          </w:p>
        </w:tc>
        <w:tc>
          <w:tcPr>
            <w:tcW w:w="472" w:type="dxa"/>
            <w:shd w:val="clear" w:color="auto" w:fill="D9D9D9"/>
          </w:tcPr>
          <w:p w14:paraId="55AE4CE9" w14:textId="77777777" w:rsidR="00AF3581" w:rsidRPr="00506303" w:rsidRDefault="00AF3581" w:rsidP="0067543B">
            <w:pPr>
              <w:rPr>
                <w:sz w:val="18"/>
                <w:szCs w:val="18"/>
              </w:rPr>
            </w:pPr>
          </w:p>
        </w:tc>
        <w:tc>
          <w:tcPr>
            <w:tcW w:w="472" w:type="dxa"/>
            <w:shd w:val="clear" w:color="auto" w:fill="D9D9D9"/>
          </w:tcPr>
          <w:p w14:paraId="1AC97A90" w14:textId="77777777" w:rsidR="00AF3581" w:rsidRPr="00506303" w:rsidRDefault="00AF3581" w:rsidP="0067543B">
            <w:pPr>
              <w:rPr>
                <w:sz w:val="18"/>
                <w:szCs w:val="18"/>
              </w:rPr>
            </w:pPr>
          </w:p>
        </w:tc>
        <w:tc>
          <w:tcPr>
            <w:tcW w:w="473" w:type="dxa"/>
            <w:shd w:val="clear" w:color="auto" w:fill="auto"/>
          </w:tcPr>
          <w:p w14:paraId="3E6F99B7" w14:textId="77777777" w:rsidR="00AF3581" w:rsidRPr="00506303" w:rsidRDefault="00AF3581" w:rsidP="0067543B">
            <w:pPr>
              <w:rPr>
                <w:sz w:val="18"/>
                <w:szCs w:val="18"/>
              </w:rPr>
            </w:pPr>
          </w:p>
        </w:tc>
        <w:tc>
          <w:tcPr>
            <w:tcW w:w="473" w:type="dxa"/>
            <w:shd w:val="clear" w:color="auto" w:fill="auto"/>
          </w:tcPr>
          <w:p w14:paraId="5A68CC2F" w14:textId="77777777" w:rsidR="00AF3581" w:rsidRPr="00506303" w:rsidRDefault="00AF3581" w:rsidP="0067543B">
            <w:pPr>
              <w:rPr>
                <w:sz w:val="18"/>
                <w:szCs w:val="18"/>
              </w:rPr>
            </w:pPr>
          </w:p>
        </w:tc>
        <w:tc>
          <w:tcPr>
            <w:tcW w:w="473" w:type="dxa"/>
            <w:shd w:val="clear" w:color="auto" w:fill="auto"/>
          </w:tcPr>
          <w:p w14:paraId="016E0497" w14:textId="77777777" w:rsidR="00AF3581" w:rsidRPr="00506303" w:rsidRDefault="00AF3581" w:rsidP="0067543B">
            <w:pPr>
              <w:rPr>
                <w:sz w:val="18"/>
                <w:szCs w:val="18"/>
              </w:rPr>
            </w:pPr>
          </w:p>
        </w:tc>
        <w:tc>
          <w:tcPr>
            <w:tcW w:w="473" w:type="dxa"/>
            <w:shd w:val="clear" w:color="auto" w:fill="auto"/>
          </w:tcPr>
          <w:p w14:paraId="74B2BC57" w14:textId="77777777" w:rsidR="00AF3581" w:rsidRPr="00506303" w:rsidRDefault="00AF3581" w:rsidP="0067543B">
            <w:pPr>
              <w:rPr>
                <w:sz w:val="18"/>
                <w:szCs w:val="18"/>
              </w:rPr>
            </w:pPr>
          </w:p>
        </w:tc>
        <w:tc>
          <w:tcPr>
            <w:tcW w:w="473" w:type="dxa"/>
            <w:shd w:val="clear" w:color="auto" w:fill="auto"/>
          </w:tcPr>
          <w:p w14:paraId="07F04B3F" w14:textId="77777777" w:rsidR="00AF3581" w:rsidRPr="00506303" w:rsidRDefault="00AF3581" w:rsidP="0067543B">
            <w:pPr>
              <w:rPr>
                <w:sz w:val="18"/>
                <w:szCs w:val="18"/>
              </w:rPr>
            </w:pPr>
          </w:p>
        </w:tc>
        <w:tc>
          <w:tcPr>
            <w:tcW w:w="473" w:type="dxa"/>
            <w:shd w:val="clear" w:color="auto" w:fill="auto"/>
          </w:tcPr>
          <w:p w14:paraId="288375A6" w14:textId="77777777" w:rsidR="00AF3581" w:rsidRPr="00506303" w:rsidRDefault="00AF3581" w:rsidP="0067543B">
            <w:pPr>
              <w:rPr>
                <w:sz w:val="18"/>
                <w:szCs w:val="18"/>
              </w:rPr>
            </w:pPr>
          </w:p>
        </w:tc>
        <w:tc>
          <w:tcPr>
            <w:tcW w:w="473" w:type="dxa"/>
            <w:shd w:val="clear" w:color="auto" w:fill="auto"/>
          </w:tcPr>
          <w:p w14:paraId="564518E7" w14:textId="77777777" w:rsidR="00AF3581" w:rsidRPr="00506303" w:rsidRDefault="00AF3581" w:rsidP="0067543B">
            <w:pPr>
              <w:rPr>
                <w:sz w:val="18"/>
                <w:szCs w:val="18"/>
              </w:rPr>
            </w:pPr>
          </w:p>
        </w:tc>
        <w:tc>
          <w:tcPr>
            <w:tcW w:w="473" w:type="dxa"/>
            <w:shd w:val="clear" w:color="auto" w:fill="auto"/>
          </w:tcPr>
          <w:p w14:paraId="33D92737" w14:textId="77777777" w:rsidR="00AF3581" w:rsidRPr="00506303" w:rsidRDefault="00AF3581" w:rsidP="0067543B">
            <w:pPr>
              <w:rPr>
                <w:sz w:val="18"/>
                <w:szCs w:val="18"/>
              </w:rPr>
            </w:pPr>
          </w:p>
        </w:tc>
        <w:tc>
          <w:tcPr>
            <w:tcW w:w="473" w:type="dxa"/>
            <w:shd w:val="clear" w:color="auto" w:fill="auto"/>
          </w:tcPr>
          <w:p w14:paraId="2CC245E5" w14:textId="77777777" w:rsidR="00AF3581" w:rsidRPr="00506303" w:rsidRDefault="00AF3581" w:rsidP="0067543B">
            <w:pPr>
              <w:rPr>
                <w:sz w:val="18"/>
                <w:szCs w:val="18"/>
              </w:rPr>
            </w:pPr>
          </w:p>
        </w:tc>
        <w:tc>
          <w:tcPr>
            <w:tcW w:w="473" w:type="dxa"/>
            <w:shd w:val="clear" w:color="auto" w:fill="auto"/>
          </w:tcPr>
          <w:p w14:paraId="34001EA9" w14:textId="77777777" w:rsidR="00AF3581" w:rsidRPr="00506303" w:rsidRDefault="00AF3581" w:rsidP="0067543B">
            <w:pPr>
              <w:rPr>
                <w:sz w:val="18"/>
                <w:szCs w:val="18"/>
              </w:rPr>
            </w:pPr>
          </w:p>
        </w:tc>
      </w:tr>
      <w:tr w:rsidR="00E071AC" w:rsidRPr="00506303" w14:paraId="757AE5A3" w14:textId="77777777" w:rsidTr="00E071AC">
        <w:tc>
          <w:tcPr>
            <w:tcW w:w="944" w:type="dxa"/>
            <w:shd w:val="clear" w:color="auto" w:fill="auto"/>
          </w:tcPr>
          <w:p w14:paraId="6C7B7203" w14:textId="77777777" w:rsidR="00AF3581" w:rsidRPr="00506303" w:rsidRDefault="00AF3581" w:rsidP="0067543B">
            <w:pPr>
              <w:rPr>
                <w:sz w:val="18"/>
                <w:szCs w:val="18"/>
              </w:rPr>
            </w:pPr>
            <w:r w:rsidRPr="00506303">
              <w:rPr>
                <w:sz w:val="18"/>
                <w:szCs w:val="18"/>
              </w:rPr>
              <w:t>2.6.3</w:t>
            </w:r>
          </w:p>
        </w:tc>
        <w:tc>
          <w:tcPr>
            <w:tcW w:w="3776" w:type="dxa"/>
            <w:shd w:val="clear" w:color="auto" w:fill="auto"/>
          </w:tcPr>
          <w:p w14:paraId="56D1D845" w14:textId="77777777" w:rsidR="00AF3581" w:rsidRPr="00506303" w:rsidRDefault="00AF3581" w:rsidP="0067543B">
            <w:pPr>
              <w:rPr>
                <w:sz w:val="18"/>
                <w:szCs w:val="18"/>
              </w:rPr>
            </w:pPr>
            <w:r w:rsidRPr="00506303">
              <w:rPr>
                <w:sz w:val="18"/>
                <w:szCs w:val="18"/>
              </w:rPr>
              <w:t>Operate national and regional consultative processes to develop an updated Strategic Action Programme for adoption at the Ministerial level</w:t>
            </w:r>
          </w:p>
        </w:tc>
        <w:tc>
          <w:tcPr>
            <w:tcW w:w="472" w:type="dxa"/>
            <w:shd w:val="clear" w:color="auto" w:fill="auto"/>
          </w:tcPr>
          <w:p w14:paraId="4B62C095" w14:textId="77777777" w:rsidR="00AF3581" w:rsidRPr="00506303" w:rsidRDefault="00AF3581" w:rsidP="0067543B">
            <w:pPr>
              <w:rPr>
                <w:sz w:val="18"/>
                <w:szCs w:val="18"/>
              </w:rPr>
            </w:pPr>
          </w:p>
        </w:tc>
        <w:tc>
          <w:tcPr>
            <w:tcW w:w="472" w:type="dxa"/>
            <w:shd w:val="clear" w:color="auto" w:fill="auto"/>
          </w:tcPr>
          <w:p w14:paraId="2682F517" w14:textId="77777777" w:rsidR="00AF3581" w:rsidRPr="00506303" w:rsidRDefault="00AF3581" w:rsidP="0067543B">
            <w:pPr>
              <w:rPr>
                <w:sz w:val="18"/>
                <w:szCs w:val="18"/>
              </w:rPr>
            </w:pPr>
          </w:p>
        </w:tc>
        <w:tc>
          <w:tcPr>
            <w:tcW w:w="472" w:type="dxa"/>
            <w:shd w:val="clear" w:color="auto" w:fill="auto"/>
          </w:tcPr>
          <w:p w14:paraId="0901287C" w14:textId="77777777" w:rsidR="00AF3581" w:rsidRPr="00506303" w:rsidRDefault="00AF3581" w:rsidP="0067543B">
            <w:pPr>
              <w:rPr>
                <w:sz w:val="18"/>
                <w:szCs w:val="18"/>
              </w:rPr>
            </w:pPr>
          </w:p>
        </w:tc>
        <w:tc>
          <w:tcPr>
            <w:tcW w:w="472" w:type="dxa"/>
            <w:shd w:val="clear" w:color="auto" w:fill="auto"/>
          </w:tcPr>
          <w:p w14:paraId="0C7AC836" w14:textId="77777777" w:rsidR="00AF3581" w:rsidRPr="00506303" w:rsidRDefault="00AF3581" w:rsidP="0067543B">
            <w:pPr>
              <w:rPr>
                <w:sz w:val="18"/>
                <w:szCs w:val="18"/>
              </w:rPr>
            </w:pPr>
          </w:p>
        </w:tc>
        <w:tc>
          <w:tcPr>
            <w:tcW w:w="472" w:type="dxa"/>
            <w:shd w:val="clear" w:color="auto" w:fill="auto"/>
          </w:tcPr>
          <w:p w14:paraId="5D5F64B5" w14:textId="77777777" w:rsidR="00AF3581" w:rsidRPr="00506303" w:rsidRDefault="00AF3581" w:rsidP="0067543B">
            <w:pPr>
              <w:rPr>
                <w:sz w:val="18"/>
                <w:szCs w:val="18"/>
              </w:rPr>
            </w:pPr>
          </w:p>
        </w:tc>
        <w:tc>
          <w:tcPr>
            <w:tcW w:w="472" w:type="dxa"/>
            <w:shd w:val="clear" w:color="auto" w:fill="auto"/>
          </w:tcPr>
          <w:p w14:paraId="2FA74A39" w14:textId="77777777" w:rsidR="00AF3581" w:rsidRPr="00506303" w:rsidRDefault="00AF3581" w:rsidP="0067543B">
            <w:pPr>
              <w:rPr>
                <w:sz w:val="18"/>
                <w:szCs w:val="18"/>
              </w:rPr>
            </w:pPr>
          </w:p>
        </w:tc>
        <w:tc>
          <w:tcPr>
            <w:tcW w:w="472" w:type="dxa"/>
            <w:shd w:val="clear" w:color="auto" w:fill="auto"/>
          </w:tcPr>
          <w:p w14:paraId="3FD737B6" w14:textId="77777777" w:rsidR="00AF3581" w:rsidRPr="00506303" w:rsidRDefault="00AF3581" w:rsidP="0067543B">
            <w:pPr>
              <w:rPr>
                <w:sz w:val="18"/>
                <w:szCs w:val="18"/>
              </w:rPr>
            </w:pPr>
          </w:p>
        </w:tc>
        <w:tc>
          <w:tcPr>
            <w:tcW w:w="472" w:type="dxa"/>
            <w:shd w:val="clear" w:color="auto" w:fill="auto"/>
          </w:tcPr>
          <w:p w14:paraId="3E811423" w14:textId="77777777" w:rsidR="00AF3581" w:rsidRPr="00506303" w:rsidRDefault="00AF3581" w:rsidP="0067543B">
            <w:pPr>
              <w:rPr>
                <w:sz w:val="18"/>
                <w:szCs w:val="18"/>
              </w:rPr>
            </w:pPr>
          </w:p>
        </w:tc>
        <w:tc>
          <w:tcPr>
            <w:tcW w:w="472" w:type="dxa"/>
            <w:shd w:val="clear" w:color="auto" w:fill="D9D9D9"/>
          </w:tcPr>
          <w:p w14:paraId="78EE6671" w14:textId="77777777" w:rsidR="00AF3581" w:rsidRPr="00506303" w:rsidRDefault="00AF3581" w:rsidP="0067543B">
            <w:pPr>
              <w:rPr>
                <w:sz w:val="18"/>
                <w:szCs w:val="18"/>
              </w:rPr>
            </w:pPr>
          </w:p>
        </w:tc>
        <w:tc>
          <w:tcPr>
            <w:tcW w:w="472" w:type="dxa"/>
            <w:shd w:val="clear" w:color="auto" w:fill="D9D9D9"/>
          </w:tcPr>
          <w:p w14:paraId="6CDCF42F" w14:textId="77777777" w:rsidR="00AF3581" w:rsidRPr="00506303" w:rsidRDefault="00AF3581" w:rsidP="0067543B">
            <w:pPr>
              <w:rPr>
                <w:sz w:val="18"/>
                <w:szCs w:val="18"/>
              </w:rPr>
            </w:pPr>
          </w:p>
        </w:tc>
        <w:tc>
          <w:tcPr>
            <w:tcW w:w="473" w:type="dxa"/>
            <w:shd w:val="clear" w:color="auto" w:fill="D9D9D9"/>
          </w:tcPr>
          <w:p w14:paraId="7390A815" w14:textId="77777777" w:rsidR="00AF3581" w:rsidRPr="00506303" w:rsidRDefault="00AF3581" w:rsidP="0067543B">
            <w:pPr>
              <w:rPr>
                <w:sz w:val="18"/>
                <w:szCs w:val="18"/>
              </w:rPr>
            </w:pPr>
          </w:p>
        </w:tc>
        <w:tc>
          <w:tcPr>
            <w:tcW w:w="473" w:type="dxa"/>
            <w:shd w:val="clear" w:color="auto" w:fill="D9D9D9"/>
          </w:tcPr>
          <w:p w14:paraId="0F8D14F5" w14:textId="77777777" w:rsidR="00AF3581" w:rsidRPr="00506303" w:rsidRDefault="00AF3581" w:rsidP="0067543B">
            <w:pPr>
              <w:rPr>
                <w:sz w:val="18"/>
                <w:szCs w:val="18"/>
              </w:rPr>
            </w:pPr>
          </w:p>
        </w:tc>
        <w:tc>
          <w:tcPr>
            <w:tcW w:w="473" w:type="dxa"/>
            <w:shd w:val="clear" w:color="auto" w:fill="D9D9D9"/>
          </w:tcPr>
          <w:p w14:paraId="3269C110" w14:textId="77777777" w:rsidR="00AF3581" w:rsidRPr="00506303" w:rsidRDefault="00AF3581" w:rsidP="0067543B">
            <w:pPr>
              <w:rPr>
                <w:sz w:val="18"/>
                <w:szCs w:val="18"/>
              </w:rPr>
            </w:pPr>
          </w:p>
        </w:tc>
        <w:tc>
          <w:tcPr>
            <w:tcW w:w="473" w:type="dxa"/>
            <w:shd w:val="clear" w:color="auto" w:fill="D9D9D9"/>
          </w:tcPr>
          <w:p w14:paraId="1E205649" w14:textId="77777777" w:rsidR="00AF3581" w:rsidRPr="00506303" w:rsidRDefault="00AF3581" w:rsidP="0067543B">
            <w:pPr>
              <w:rPr>
                <w:sz w:val="18"/>
                <w:szCs w:val="18"/>
              </w:rPr>
            </w:pPr>
          </w:p>
        </w:tc>
        <w:tc>
          <w:tcPr>
            <w:tcW w:w="473" w:type="dxa"/>
            <w:shd w:val="clear" w:color="auto" w:fill="D9D9D9"/>
          </w:tcPr>
          <w:p w14:paraId="599AEF55" w14:textId="77777777" w:rsidR="00AF3581" w:rsidRPr="00506303" w:rsidRDefault="00AF3581" w:rsidP="0067543B">
            <w:pPr>
              <w:rPr>
                <w:sz w:val="18"/>
                <w:szCs w:val="18"/>
              </w:rPr>
            </w:pPr>
          </w:p>
        </w:tc>
        <w:tc>
          <w:tcPr>
            <w:tcW w:w="473" w:type="dxa"/>
            <w:shd w:val="clear" w:color="auto" w:fill="D9D9D9"/>
          </w:tcPr>
          <w:p w14:paraId="27DC6E4A" w14:textId="77777777" w:rsidR="00AF3581" w:rsidRPr="00506303" w:rsidRDefault="00AF3581" w:rsidP="0067543B">
            <w:pPr>
              <w:rPr>
                <w:sz w:val="18"/>
                <w:szCs w:val="18"/>
              </w:rPr>
            </w:pPr>
          </w:p>
        </w:tc>
        <w:tc>
          <w:tcPr>
            <w:tcW w:w="473" w:type="dxa"/>
            <w:shd w:val="clear" w:color="auto" w:fill="auto"/>
          </w:tcPr>
          <w:p w14:paraId="4E7FE1A0" w14:textId="77777777" w:rsidR="00AF3581" w:rsidRPr="00506303" w:rsidRDefault="00AF3581" w:rsidP="0067543B">
            <w:pPr>
              <w:rPr>
                <w:sz w:val="18"/>
                <w:szCs w:val="18"/>
              </w:rPr>
            </w:pPr>
          </w:p>
        </w:tc>
        <w:tc>
          <w:tcPr>
            <w:tcW w:w="473" w:type="dxa"/>
            <w:shd w:val="clear" w:color="auto" w:fill="auto"/>
          </w:tcPr>
          <w:p w14:paraId="1AFFA1AD" w14:textId="77777777" w:rsidR="00AF3581" w:rsidRPr="00506303" w:rsidRDefault="00AF3581" w:rsidP="0067543B">
            <w:pPr>
              <w:rPr>
                <w:sz w:val="18"/>
                <w:szCs w:val="18"/>
              </w:rPr>
            </w:pPr>
          </w:p>
        </w:tc>
        <w:tc>
          <w:tcPr>
            <w:tcW w:w="473" w:type="dxa"/>
            <w:shd w:val="clear" w:color="auto" w:fill="auto"/>
          </w:tcPr>
          <w:p w14:paraId="5BEA2890" w14:textId="77777777" w:rsidR="00AF3581" w:rsidRPr="00506303" w:rsidRDefault="00AF3581" w:rsidP="0067543B">
            <w:pPr>
              <w:rPr>
                <w:sz w:val="18"/>
                <w:szCs w:val="18"/>
              </w:rPr>
            </w:pPr>
          </w:p>
        </w:tc>
        <w:tc>
          <w:tcPr>
            <w:tcW w:w="473" w:type="dxa"/>
            <w:shd w:val="clear" w:color="auto" w:fill="auto"/>
          </w:tcPr>
          <w:p w14:paraId="4122F76D" w14:textId="77777777" w:rsidR="00AF3581" w:rsidRPr="00506303" w:rsidRDefault="00AF3581" w:rsidP="0067543B">
            <w:pPr>
              <w:rPr>
                <w:sz w:val="18"/>
                <w:szCs w:val="18"/>
              </w:rPr>
            </w:pPr>
          </w:p>
        </w:tc>
      </w:tr>
      <w:tr w:rsidR="00E071AC" w:rsidRPr="00506303" w14:paraId="755A3194" w14:textId="77777777" w:rsidTr="00E071AC">
        <w:tc>
          <w:tcPr>
            <w:tcW w:w="944" w:type="dxa"/>
            <w:shd w:val="clear" w:color="auto" w:fill="auto"/>
          </w:tcPr>
          <w:p w14:paraId="06C8A4A4" w14:textId="77777777" w:rsidR="00AF3581" w:rsidRPr="00506303" w:rsidRDefault="00AF3581" w:rsidP="0067543B">
            <w:pPr>
              <w:rPr>
                <w:sz w:val="18"/>
                <w:szCs w:val="18"/>
              </w:rPr>
            </w:pPr>
            <w:r w:rsidRPr="00506303">
              <w:rPr>
                <w:sz w:val="18"/>
                <w:szCs w:val="18"/>
              </w:rPr>
              <w:t>2.6.4</w:t>
            </w:r>
          </w:p>
        </w:tc>
        <w:tc>
          <w:tcPr>
            <w:tcW w:w="3776" w:type="dxa"/>
            <w:shd w:val="clear" w:color="auto" w:fill="auto"/>
          </w:tcPr>
          <w:p w14:paraId="5A60D5F5" w14:textId="77777777" w:rsidR="00AF3581" w:rsidRPr="00506303" w:rsidRDefault="00AF3581" w:rsidP="0067543B">
            <w:pPr>
              <w:rPr>
                <w:sz w:val="18"/>
                <w:szCs w:val="18"/>
              </w:rPr>
            </w:pPr>
            <w:r w:rsidRPr="00506303">
              <w:rPr>
                <w:sz w:val="18"/>
                <w:szCs w:val="18"/>
              </w:rPr>
              <w:t>Identify priority national management actions to address climate variability and change for incorporation into national policies and plans</w:t>
            </w:r>
          </w:p>
        </w:tc>
        <w:tc>
          <w:tcPr>
            <w:tcW w:w="472" w:type="dxa"/>
            <w:shd w:val="clear" w:color="auto" w:fill="auto"/>
          </w:tcPr>
          <w:p w14:paraId="4FFD028D" w14:textId="77777777" w:rsidR="00AF3581" w:rsidRPr="00506303" w:rsidRDefault="00AF3581" w:rsidP="0067543B">
            <w:pPr>
              <w:rPr>
                <w:sz w:val="18"/>
                <w:szCs w:val="18"/>
              </w:rPr>
            </w:pPr>
          </w:p>
        </w:tc>
        <w:tc>
          <w:tcPr>
            <w:tcW w:w="472" w:type="dxa"/>
            <w:shd w:val="clear" w:color="auto" w:fill="auto"/>
          </w:tcPr>
          <w:p w14:paraId="3857C04D" w14:textId="77777777" w:rsidR="00AF3581" w:rsidRPr="00506303" w:rsidRDefault="00AF3581" w:rsidP="0067543B">
            <w:pPr>
              <w:rPr>
                <w:sz w:val="18"/>
                <w:szCs w:val="18"/>
              </w:rPr>
            </w:pPr>
          </w:p>
        </w:tc>
        <w:tc>
          <w:tcPr>
            <w:tcW w:w="472" w:type="dxa"/>
            <w:shd w:val="clear" w:color="auto" w:fill="auto"/>
          </w:tcPr>
          <w:p w14:paraId="19792517" w14:textId="77777777" w:rsidR="00AF3581" w:rsidRPr="00506303" w:rsidRDefault="00AF3581" w:rsidP="0067543B">
            <w:pPr>
              <w:rPr>
                <w:sz w:val="18"/>
                <w:szCs w:val="18"/>
              </w:rPr>
            </w:pPr>
          </w:p>
        </w:tc>
        <w:tc>
          <w:tcPr>
            <w:tcW w:w="472" w:type="dxa"/>
            <w:shd w:val="clear" w:color="auto" w:fill="auto"/>
          </w:tcPr>
          <w:p w14:paraId="57909209" w14:textId="77777777" w:rsidR="00AF3581" w:rsidRPr="00506303" w:rsidRDefault="00AF3581" w:rsidP="0067543B">
            <w:pPr>
              <w:rPr>
                <w:sz w:val="18"/>
                <w:szCs w:val="18"/>
              </w:rPr>
            </w:pPr>
          </w:p>
        </w:tc>
        <w:tc>
          <w:tcPr>
            <w:tcW w:w="472" w:type="dxa"/>
            <w:shd w:val="clear" w:color="auto" w:fill="auto"/>
          </w:tcPr>
          <w:p w14:paraId="603F4353" w14:textId="77777777" w:rsidR="00AF3581" w:rsidRPr="00506303" w:rsidRDefault="00AF3581" w:rsidP="0067543B">
            <w:pPr>
              <w:rPr>
                <w:sz w:val="18"/>
                <w:szCs w:val="18"/>
              </w:rPr>
            </w:pPr>
          </w:p>
        </w:tc>
        <w:tc>
          <w:tcPr>
            <w:tcW w:w="472" w:type="dxa"/>
            <w:shd w:val="clear" w:color="auto" w:fill="auto"/>
          </w:tcPr>
          <w:p w14:paraId="7606C21B" w14:textId="77777777" w:rsidR="00AF3581" w:rsidRPr="00506303" w:rsidRDefault="00AF3581" w:rsidP="0067543B">
            <w:pPr>
              <w:rPr>
                <w:sz w:val="18"/>
                <w:szCs w:val="18"/>
              </w:rPr>
            </w:pPr>
          </w:p>
        </w:tc>
        <w:tc>
          <w:tcPr>
            <w:tcW w:w="472" w:type="dxa"/>
            <w:shd w:val="clear" w:color="auto" w:fill="auto"/>
          </w:tcPr>
          <w:p w14:paraId="7C5188C8" w14:textId="77777777" w:rsidR="00AF3581" w:rsidRPr="00506303" w:rsidRDefault="00AF3581" w:rsidP="0067543B">
            <w:pPr>
              <w:rPr>
                <w:sz w:val="18"/>
                <w:szCs w:val="18"/>
              </w:rPr>
            </w:pPr>
          </w:p>
        </w:tc>
        <w:tc>
          <w:tcPr>
            <w:tcW w:w="472" w:type="dxa"/>
            <w:shd w:val="clear" w:color="auto" w:fill="auto"/>
          </w:tcPr>
          <w:p w14:paraId="5EF94DFA" w14:textId="77777777" w:rsidR="00AF3581" w:rsidRPr="00506303" w:rsidRDefault="00AF3581" w:rsidP="0067543B">
            <w:pPr>
              <w:rPr>
                <w:sz w:val="18"/>
                <w:szCs w:val="18"/>
              </w:rPr>
            </w:pPr>
          </w:p>
        </w:tc>
        <w:tc>
          <w:tcPr>
            <w:tcW w:w="472" w:type="dxa"/>
            <w:shd w:val="clear" w:color="auto" w:fill="auto"/>
          </w:tcPr>
          <w:p w14:paraId="1D314A43" w14:textId="77777777" w:rsidR="00AF3581" w:rsidRPr="00506303" w:rsidRDefault="00AF3581" w:rsidP="0067543B">
            <w:pPr>
              <w:rPr>
                <w:sz w:val="18"/>
                <w:szCs w:val="18"/>
              </w:rPr>
            </w:pPr>
          </w:p>
        </w:tc>
        <w:tc>
          <w:tcPr>
            <w:tcW w:w="472" w:type="dxa"/>
            <w:shd w:val="clear" w:color="auto" w:fill="auto"/>
          </w:tcPr>
          <w:p w14:paraId="06FAA909" w14:textId="77777777" w:rsidR="00AF3581" w:rsidRPr="00506303" w:rsidRDefault="00AF3581" w:rsidP="0067543B">
            <w:pPr>
              <w:rPr>
                <w:sz w:val="18"/>
                <w:szCs w:val="18"/>
              </w:rPr>
            </w:pPr>
          </w:p>
        </w:tc>
        <w:tc>
          <w:tcPr>
            <w:tcW w:w="473" w:type="dxa"/>
            <w:shd w:val="clear" w:color="auto" w:fill="auto"/>
          </w:tcPr>
          <w:p w14:paraId="593376B0" w14:textId="77777777" w:rsidR="00AF3581" w:rsidRPr="00506303" w:rsidRDefault="00AF3581" w:rsidP="0067543B">
            <w:pPr>
              <w:rPr>
                <w:sz w:val="18"/>
                <w:szCs w:val="18"/>
              </w:rPr>
            </w:pPr>
          </w:p>
        </w:tc>
        <w:tc>
          <w:tcPr>
            <w:tcW w:w="473" w:type="dxa"/>
            <w:shd w:val="clear" w:color="auto" w:fill="auto"/>
          </w:tcPr>
          <w:p w14:paraId="265D3586" w14:textId="77777777" w:rsidR="00AF3581" w:rsidRPr="00506303" w:rsidRDefault="00AF3581" w:rsidP="0067543B">
            <w:pPr>
              <w:rPr>
                <w:sz w:val="18"/>
                <w:szCs w:val="18"/>
              </w:rPr>
            </w:pPr>
          </w:p>
        </w:tc>
        <w:tc>
          <w:tcPr>
            <w:tcW w:w="473" w:type="dxa"/>
            <w:shd w:val="clear" w:color="auto" w:fill="auto"/>
          </w:tcPr>
          <w:p w14:paraId="60DB2B9F" w14:textId="77777777" w:rsidR="00AF3581" w:rsidRPr="00506303" w:rsidRDefault="00AF3581" w:rsidP="0067543B">
            <w:pPr>
              <w:rPr>
                <w:sz w:val="18"/>
                <w:szCs w:val="18"/>
              </w:rPr>
            </w:pPr>
          </w:p>
        </w:tc>
        <w:tc>
          <w:tcPr>
            <w:tcW w:w="473" w:type="dxa"/>
            <w:shd w:val="clear" w:color="auto" w:fill="auto"/>
          </w:tcPr>
          <w:p w14:paraId="532559B6" w14:textId="77777777" w:rsidR="00AF3581" w:rsidRPr="00506303" w:rsidRDefault="00AF3581" w:rsidP="0067543B">
            <w:pPr>
              <w:rPr>
                <w:sz w:val="18"/>
                <w:szCs w:val="18"/>
              </w:rPr>
            </w:pPr>
          </w:p>
        </w:tc>
        <w:tc>
          <w:tcPr>
            <w:tcW w:w="473" w:type="dxa"/>
            <w:shd w:val="clear" w:color="auto" w:fill="D9D9D9"/>
          </w:tcPr>
          <w:p w14:paraId="5AEF8AFC" w14:textId="77777777" w:rsidR="00AF3581" w:rsidRPr="00506303" w:rsidRDefault="00AF3581" w:rsidP="0067543B">
            <w:pPr>
              <w:rPr>
                <w:sz w:val="18"/>
                <w:szCs w:val="18"/>
              </w:rPr>
            </w:pPr>
          </w:p>
        </w:tc>
        <w:tc>
          <w:tcPr>
            <w:tcW w:w="473" w:type="dxa"/>
            <w:shd w:val="clear" w:color="auto" w:fill="D9D9D9"/>
          </w:tcPr>
          <w:p w14:paraId="32B3C6A8" w14:textId="77777777" w:rsidR="00AF3581" w:rsidRPr="00506303" w:rsidRDefault="00AF3581" w:rsidP="0067543B">
            <w:pPr>
              <w:rPr>
                <w:sz w:val="18"/>
                <w:szCs w:val="18"/>
              </w:rPr>
            </w:pPr>
          </w:p>
        </w:tc>
        <w:tc>
          <w:tcPr>
            <w:tcW w:w="473" w:type="dxa"/>
            <w:shd w:val="clear" w:color="auto" w:fill="D9D9D9"/>
          </w:tcPr>
          <w:p w14:paraId="35D8DE18" w14:textId="77777777" w:rsidR="00AF3581" w:rsidRPr="00506303" w:rsidRDefault="00AF3581" w:rsidP="0067543B">
            <w:pPr>
              <w:rPr>
                <w:sz w:val="18"/>
                <w:szCs w:val="18"/>
              </w:rPr>
            </w:pPr>
          </w:p>
        </w:tc>
        <w:tc>
          <w:tcPr>
            <w:tcW w:w="473" w:type="dxa"/>
            <w:shd w:val="clear" w:color="auto" w:fill="D9D9D9"/>
          </w:tcPr>
          <w:p w14:paraId="5BCD07FF" w14:textId="77777777" w:rsidR="00AF3581" w:rsidRPr="00506303" w:rsidRDefault="00AF3581" w:rsidP="0067543B">
            <w:pPr>
              <w:rPr>
                <w:sz w:val="18"/>
                <w:szCs w:val="18"/>
              </w:rPr>
            </w:pPr>
          </w:p>
        </w:tc>
        <w:tc>
          <w:tcPr>
            <w:tcW w:w="473" w:type="dxa"/>
            <w:shd w:val="clear" w:color="auto" w:fill="auto"/>
          </w:tcPr>
          <w:p w14:paraId="63B8B433" w14:textId="77777777" w:rsidR="00AF3581" w:rsidRPr="00506303" w:rsidRDefault="00AF3581" w:rsidP="0067543B">
            <w:pPr>
              <w:rPr>
                <w:sz w:val="18"/>
                <w:szCs w:val="18"/>
              </w:rPr>
            </w:pPr>
          </w:p>
        </w:tc>
        <w:tc>
          <w:tcPr>
            <w:tcW w:w="473" w:type="dxa"/>
            <w:shd w:val="clear" w:color="auto" w:fill="auto"/>
          </w:tcPr>
          <w:p w14:paraId="3FE5FE51" w14:textId="77777777" w:rsidR="00AF3581" w:rsidRPr="00506303" w:rsidRDefault="00AF3581" w:rsidP="0067543B">
            <w:pPr>
              <w:rPr>
                <w:sz w:val="18"/>
                <w:szCs w:val="18"/>
              </w:rPr>
            </w:pPr>
          </w:p>
        </w:tc>
      </w:tr>
    </w:tbl>
    <w:p w14:paraId="202CF7E6" w14:textId="77777777" w:rsidR="00AF3581" w:rsidRDefault="00AF3581" w:rsidP="00AF3581">
      <w:pPr>
        <w:rPr>
          <w:sz w:val="18"/>
          <w:szCs w:val="18"/>
        </w:rPr>
      </w:pPr>
    </w:p>
    <w:p w14:paraId="782EF337" w14:textId="77777777" w:rsidR="00AF3581" w:rsidRDefault="00AF3581" w:rsidP="00AF3581">
      <w:pPr>
        <w:rPr>
          <w:sz w:val="18"/>
          <w:szCs w:val="18"/>
        </w:rPr>
      </w:pPr>
    </w:p>
    <w:p w14:paraId="3C357BD1" w14:textId="77777777" w:rsidR="00AF3581" w:rsidRDefault="00AF3581" w:rsidP="00AF3581">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5"/>
        <w:gridCol w:w="3338"/>
        <w:gridCol w:w="436"/>
        <w:gridCol w:w="436"/>
        <w:gridCol w:w="436"/>
        <w:gridCol w:w="437"/>
        <w:gridCol w:w="437"/>
        <w:gridCol w:w="437"/>
        <w:gridCol w:w="437"/>
        <w:gridCol w:w="437"/>
        <w:gridCol w:w="437"/>
        <w:gridCol w:w="437"/>
        <w:gridCol w:w="438"/>
        <w:gridCol w:w="438"/>
        <w:gridCol w:w="438"/>
        <w:gridCol w:w="438"/>
        <w:gridCol w:w="438"/>
        <w:gridCol w:w="438"/>
        <w:gridCol w:w="438"/>
        <w:gridCol w:w="438"/>
        <w:gridCol w:w="438"/>
        <w:gridCol w:w="438"/>
      </w:tblGrid>
      <w:tr w:rsidR="00AF3581" w:rsidRPr="00506303" w14:paraId="33F9D9EA" w14:textId="77777777" w:rsidTr="00506303">
        <w:trPr>
          <w:tblHeader/>
        </w:trPr>
        <w:tc>
          <w:tcPr>
            <w:tcW w:w="944" w:type="dxa"/>
            <w:shd w:val="clear" w:color="auto" w:fill="auto"/>
          </w:tcPr>
          <w:p w14:paraId="6ADBDE0F" w14:textId="77777777" w:rsidR="00AF3581" w:rsidRPr="00506303" w:rsidRDefault="00AF3581" w:rsidP="0067543B">
            <w:pPr>
              <w:rPr>
                <w:sz w:val="18"/>
                <w:szCs w:val="18"/>
              </w:rPr>
            </w:pPr>
          </w:p>
        </w:tc>
        <w:tc>
          <w:tcPr>
            <w:tcW w:w="3776" w:type="dxa"/>
            <w:shd w:val="clear" w:color="auto" w:fill="auto"/>
          </w:tcPr>
          <w:p w14:paraId="0FE2DD30" w14:textId="77777777" w:rsidR="00AF3581" w:rsidRPr="00506303" w:rsidRDefault="00AF3581" w:rsidP="0067543B">
            <w:pPr>
              <w:rPr>
                <w:sz w:val="18"/>
                <w:szCs w:val="18"/>
              </w:rPr>
            </w:pPr>
          </w:p>
        </w:tc>
        <w:tc>
          <w:tcPr>
            <w:tcW w:w="1888" w:type="dxa"/>
            <w:gridSpan w:val="4"/>
            <w:shd w:val="clear" w:color="auto" w:fill="auto"/>
          </w:tcPr>
          <w:p w14:paraId="0D4C381B" w14:textId="77777777" w:rsidR="00AF3581" w:rsidRPr="00506303" w:rsidRDefault="00AF3581" w:rsidP="00506303">
            <w:pPr>
              <w:jc w:val="center"/>
              <w:rPr>
                <w:b/>
                <w:sz w:val="18"/>
                <w:szCs w:val="18"/>
              </w:rPr>
            </w:pPr>
            <w:r w:rsidRPr="00506303">
              <w:rPr>
                <w:b/>
                <w:sz w:val="18"/>
                <w:szCs w:val="18"/>
              </w:rPr>
              <w:t>Year 1</w:t>
            </w:r>
          </w:p>
        </w:tc>
        <w:tc>
          <w:tcPr>
            <w:tcW w:w="1888" w:type="dxa"/>
            <w:gridSpan w:val="4"/>
            <w:shd w:val="clear" w:color="auto" w:fill="auto"/>
          </w:tcPr>
          <w:p w14:paraId="40112A17" w14:textId="77777777" w:rsidR="00AF3581" w:rsidRPr="00506303" w:rsidRDefault="00AF3581" w:rsidP="00506303">
            <w:pPr>
              <w:jc w:val="center"/>
              <w:rPr>
                <w:b/>
                <w:sz w:val="18"/>
                <w:szCs w:val="18"/>
              </w:rPr>
            </w:pPr>
            <w:r w:rsidRPr="00506303">
              <w:rPr>
                <w:b/>
                <w:sz w:val="18"/>
                <w:szCs w:val="18"/>
              </w:rPr>
              <w:t>Year 2</w:t>
            </w:r>
          </w:p>
        </w:tc>
        <w:tc>
          <w:tcPr>
            <w:tcW w:w="1890" w:type="dxa"/>
            <w:gridSpan w:val="4"/>
            <w:shd w:val="clear" w:color="auto" w:fill="auto"/>
          </w:tcPr>
          <w:p w14:paraId="6D889CBA" w14:textId="77777777" w:rsidR="00AF3581" w:rsidRPr="00506303" w:rsidRDefault="00AF3581" w:rsidP="00506303">
            <w:pPr>
              <w:jc w:val="center"/>
              <w:rPr>
                <w:b/>
                <w:sz w:val="18"/>
                <w:szCs w:val="18"/>
              </w:rPr>
            </w:pPr>
            <w:r w:rsidRPr="00506303">
              <w:rPr>
                <w:b/>
                <w:sz w:val="18"/>
                <w:szCs w:val="18"/>
              </w:rPr>
              <w:t>Year 3</w:t>
            </w:r>
          </w:p>
        </w:tc>
        <w:tc>
          <w:tcPr>
            <w:tcW w:w="1892" w:type="dxa"/>
            <w:gridSpan w:val="4"/>
            <w:shd w:val="clear" w:color="auto" w:fill="auto"/>
          </w:tcPr>
          <w:p w14:paraId="2CF18CC0" w14:textId="77777777" w:rsidR="00AF3581" w:rsidRPr="00506303" w:rsidRDefault="00AF3581" w:rsidP="00506303">
            <w:pPr>
              <w:jc w:val="center"/>
              <w:rPr>
                <w:b/>
                <w:sz w:val="18"/>
                <w:szCs w:val="18"/>
              </w:rPr>
            </w:pPr>
            <w:r w:rsidRPr="00506303">
              <w:rPr>
                <w:b/>
                <w:sz w:val="18"/>
                <w:szCs w:val="18"/>
              </w:rPr>
              <w:t>Year 4</w:t>
            </w:r>
          </w:p>
        </w:tc>
        <w:tc>
          <w:tcPr>
            <w:tcW w:w="1892" w:type="dxa"/>
            <w:gridSpan w:val="4"/>
            <w:shd w:val="clear" w:color="auto" w:fill="auto"/>
          </w:tcPr>
          <w:p w14:paraId="49B15AEC" w14:textId="77777777" w:rsidR="00AF3581" w:rsidRPr="00506303" w:rsidRDefault="00AF3581" w:rsidP="00506303">
            <w:pPr>
              <w:jc w:val="center"/>
              <w:rPr>
                <w:b/>
                <w:sz w:val="18"/>
                <w:szCs w:val="18"/>
              </w:rPr>
            </w:pPr>
            <w:r w:rsidRPr="00506303">
              <w:rPr>
                <w:b/>
                <w:sz w:val="18"/>
                <w:szCs w:val="18"/>
              </w:rPr>
              <w:t>Year 5</w:t>
            </w:r>
          </w:p>
        </w:tc>
      </w:tr>
      <w:tr w:rsidR="00AF3581" w:rsidRPr="00506303" w14:paraId="703B03A1" w14:textId="77777777" w:rsidTr="00506303">
        <w:trPr>
          <w:tblHeader/>
        </w:trPr>
        <w:tc>
          <w:tcPr>
            <w:tcW w:w="944" w:type="dxa"/>
            <w:shd w:val="clear" w:color="auto" w:fill="auto"/>
          </w:tcPr>
          <w:p w14:paraId="1329B91B" w14:textId="77777777" w:rsidR="00AF3581" w:rsidRPr="00506303" w:rsidRDefault="00AF3581" w:rsidP="0067543B">
            <w:pPr>
              <w:rPr>
                <w:sz w:val="18"/>
                <w:szCs w:val="18"/>
              </w:rPr>
            </w:pPr>
          </w:p>
        </w:tc>
        <w:tc>
          <w:tcPr>
            <w:tcW w:w="3776" w:type="dxa"/>
            <w:tcBorders>
              <w:bottom w:val="single" w:sz="4" w:space="0" w:color="auto"/>
            </w:tcBorders>
            <w:shd w:val="clear" w:color="auto" w:fill="auto"/>
          </w:tcPr>
          <w:p w14:paraId="42AF0525" w14:textId="77777777" w:rsidR="00AF3581" w:rsidRPr="00506303" w:rsidRDefault="00AF3581" w:rsidP="0067543B">
            <w:pPr>
              <w:rPr>
                <w:b/>
                <w:sz w:val="18"/>
                <w:szCs w:val="18"/>
              </w:rPr>
            </w:pPr>
            <w:r w:rsidRPr="00506303">
              <w:rPr>
                <w:b/>
                <w:sz w:val="18"/>
                <w:szCs w:val="18"/>
              </w:rPr>
              <w:t>Activity Description</w:t>
            </w:r>
          </w:p>
        </w:tc>
        <w:tc>
          <w:tcPr>
            <w:tcW w:w="472" w:type="dxa"/>
            <w:tcBorders>
              <w:bottom w:val="single" w:sz="4" w:space="0" w:color="auto"/>
            </w:tcBorders>
            <w:shd w:val="clear" w:color="auto" w:fill="auto"/>
          </w:tcPr>
          <w:p w14:paraId="4F652918" w14:textId="77777777" w:rsidR="00AF3581" w:rsidRPr="00506303" w:rsidRDefault="00AF3581" w:rsidP="00506303">
            <w:pPr>
              <w:jc w:val="center"/>
              <w:rPr>
                <w:b/>
                <w:sz w:val="18"/>
                <w:szCs w:val="18"/>
              </w:rPr>
            </w:pPr>
            <w:r w:rsidRPr="00506303">
              <w:rPr>
                <w:b/>
                <w:sz w:val="18"/>
                <w:szCs w:val="18"/>
              </w:rPr>
              <w:t>1</w:t>
            </w:r>
          </w:p>
        </w:tc>
        <w:tc>
          <w:tcPr>
            <w:tcW w:w="472" w:type="dxa"/>
            <w:tcBorders>
              <w:bottom w:val="single" w:sz="4" w:space="0" w:color="auto"/>
            </w:tcBorders>
            <w:shd w:val="clear" w:color="auto" w:fill="auto"/>
          </w:tcPr>
          <w:p w14:paraId="76E65096" w14:textId="77777777" w:rsidR="00AF3581" w:rsidRPr="00506303" w:rsidRDefault="00AF3581" w:rsidP="00506303">
            <w:pPr>
              <w:jc w:val="center"/>
              <w:rPr>
                <w:b/>
                <w:sz w:val="18"/>
                <w:szCs w:val="18"/>
              </w:rPr>
            </w:pPr>
            <w:r w:rsidRPr="00506303">
              <w:rPr>
                <w:b/>
                <w:sz w:val="18"/>
                <w:szCs w:val="18"/>
              </w:rPr>
              <w:t>2</w:t>
            </w:r>
          </w:p>
        </w:tc>
        <w:tc>
          <w:tcPr>
            <w:tcW w:w="472" w:type="dxa"/>
            <w:tcBorders>
              <w:bottom w:val="single" w:sz="4" w:space="0" w:color="auto"/>
            </w:tcBorders>
            <w:shd w:val="clear" w:color="auto" w:fill="auto"/>
          </w:tcPr>
          <w:p w14:paraId="7CAE86A5" w14:textId="77777777" w:rsidR="00AF3581" w:rsidRPr="00506303" w:rsidRDefault="00AF3581" w:rsidP="00506303">
            <w:pPr>
              <w:jc w:val="center"/>
              <w:rPr>
                <w:b/>
                <w:sz w:val="18"/>
                <w:szCs w:val="18"/>
              </w:rPr>
            </w:pPr>
            <w:r w:rsidRPr="00506303">
              <w:rPr>
                <w:b/>
                <w:sz w:val="18"/>
                <w:szCs w:val="18"/>
              </w:rPr>
              <w:t>3</w:t>
            </w:r>
          </w:p>
        </w:tc>
        <w:tc>
          <w:tcPr>
            <w:tcW w:w="472" w:type="dxa"/>
            <w:tcBorders>
              <w:bottom w:val="single" w:sz="4" w:space="0" w:color="auto"/>
            </w:tcBorders>
            <w:shd w:val="clear" w:color="auto" w:fill="auto"/>
          </w:tcPr>
          <w:p w14:paraId="4E706765" w14:textId="77777777" w:rsidR="00AF3581" w:rsidRPr="00506303" w:rsidRDefault="00AF3581" w:rsidP="00506303">
            <w:pPr>
              <w:jc w:val="center"/>
              <w:rPr>
                <w:b/>
                <w:sz w:val="18"/>
                <w:szCs w:val="18"/>
              </w:rPr>
            </w:pPr>
            <w:r w:rsidRPr="00506303">
              <w:rPr>
                <w:b/>
                <w:sz w:val="18"/>
                <w:szCs w:val="18"/>
              </w:rPr>
              <w:t>4</w:t>
            </w:r>
          </w:p>
        </w:tc>
        <w:tc>
          <w:tcPr>
            <w:tcW w:w="472" w:type="dxa"/>
            <w:tcBorders>
              <w:bottom w:val="single" w:sz="4" w:space="0" w:color="auto"/>
            </w:tcBorders>
            <w:shd w:val="clear" w:color="auto" w:fill="auto"/>
          </w:tcPr>
          <w:p w14:paraId="493B667B" w14:textId="77777777" w:rsidR="00AF3581" w:rsidRPr="00506303" w:rsidRDefault="00AF3581" w:rsidP="00506303">
            <w:pPr>
              <w:jc w:val="center"/>
              <w:rPr>
                <w:b/>
                <w:sz w:val="18"/>
                <w:szCs w:val="18"/>
              </w:rPr>
            </w:pPr>
            <w:r w:rsidRPr="00506303">
              <w:rPr>
                <w:b/>
                <w:sz w:val="18"/>
                <w:szCs w:val="18"/>
              </w:rPr>
              <w:t>1</w:t>
            </w:r>
          </w:p>
        </w:tc>
        <w:tc>
          <w:tcPr>
            <w:tcW w:w="472" w:type="dxa"/>
            <w:tcBorders>
              <w:bottom w:val="single" w:sz="4" w:space="0" w:color="auto"/>
            </w:tcBorders>
            <w:shd w:val="clear" w:color="auto" w:fill="auto"/>
          </w:tcPr>
          <w:p w14:paraId="06D75FE4" w14:textId="77777777" w:rsidR="00AF3581" w:rsidRPr="00506303" w:rsidRDefault="00AF3581" w:rsidP="00506303">
            <w:pPr>
              <w:jc w:val="center"/>
              <w:rPr>
                <w:b/>
                <w:sz w:val="18"/>
                <w:szCs w:val="18"/>
              </w:rPr>
            </w:pPr>
            <w:r w:rsidRPr="00506303">
              <w:rPr>
                <w:b/>
                <w:sz w:val="18"/>
                <w:szCs w:val="18"/>
              </w:rPr>
              <w:t>2</w:t>
            </w:r>
          </w:p>
        </w:tc>
        <w:tc>
          <w:tcPr>
            <w:tcW w:w="472" w:type="dxa"/>
            <w:tcBorders>
              <w:bottom w:val="single" w:sz="4" w:space="0" w:color="auto"/>
            </w:tcBorders>
            <w:shd w:val="clear" w:color="auto" w:fill="auto"/>
          </w:tcPr>
          <w:p w14:paraId="0F867430" w14:textId="77777777" w:rsidR="00AF3581" w:rsidRPr="00506303" w:rsidRDefault="00AF3581" w:rsidP="00506303">
            <w:pPr>
              <w:jc w:val="center"/>
              <w:rPr>
                <w:b/>
                <w:sz w:val="18"/>
                <w:szCs w:val="18"/>
              </w:rPr>
            </w:pPr>
            <w:r w:rsidRPr="00506303">
              <w:rPr>
                <w:b/>
                <w:sz w:val="18"/>
                <w:szCs w:val="18"/>
              </w:rPr>
              <w:t>3</w:t>
            </w:r>
          </w:p>
        </w:tc>
        <w:tc>
          <w:tcPr>
            <w:tcW w:w="472" w:type="dxa"/>
            <w:tcBorders>
              <w:bottom w:val="single" w:sz="4" w:space="0" w:color="auto"/>
            </w:tcBorders>
            <w:shd w:val="clear" w:color="auto" w:fill="auto"/>
          </w:tcPr>
          <w:p w14:paraId="34241E6B" w14:textId="77777777" w:rsidR="00AF3581" w:rsidRPr="00506303" w:rsidRDefault="00AF3581" w:rsidP="00506303">
            <w:pPr>
              <w:jc w:val="center"/>
              <w:rPr>
                <w:b/>
                <w:sz w:val="18"/>
                <w:szCs w:val="18"/>
              </w:rPr>
            </w:pPr>
            <w:r w:rsidRPr="00506303">
              <w:rPr>
                <w:b/>
                <w:sz w:val="18"/>
                <w:szCs w:val="18"/>
              </w:rPr>
              <w:t>4</w:t>
            </w:r>
          </w:p>
        </w:tc>
        <w:tc>
          <w:tcPr>
            <w:tcW w:w="472" w:type="dxa"/>
            <w:tcBorders>
              <w:bottom w:val="single" w:sz="4" w:space="0" w:color="auto"/>
            </w:tcBorders>
            <w:shd w:val="clear" w:color="auto" w:fill="auto"/>
          </w:tcPr>
          <w:p w14:paraId="68AFC590" w14:textId="77777777" w:rsidR="00AF3581" w:rsidRPr="00506303" w:rsidRDefault="00AF3581" w:rsidP="00506303">
            <w:pPr>
              <w:jc w:val="center"/>
              <w:rPr>
                <w:b/>
                <w:sz w:val="18"/>
                <w:szCs w:val="18"/>
              </w:rPr>
            </w:pPr>
            <w:r w:rsidRPr="00506303">
              <w:rPr>
                <w:b/>
                <w:sz w:val="18"/>
                <w:szCs w:val="18"/>
              </w:rPr>
              <w:t>1</w:t>
            </w:r>
          </w:p>
        </w:tc>
        <w:tc>
          <w:tcPr>
            <w:tcW w:w="472" w:type="dxa"/>
            <w:tcBorders>
              <w:bottom w:val="single" w:sz="4" w:space="0" w:color="auto"/>
            </w:tcBorders>
            <w:shd w:val="clear" w:color="auto" w:fill="auto"/>
          </w:tcPr>
          <w:p w14:paraId="3A3B0539" w14:textId="77777777" w:rsidR="00AF3581" w:rsidRPr="00506303" w:rsidRDefault="00AF3581" w:rsidP="00506303">
            <w:pPr>
              <w:jc w:val="center"/>
              <w:rPr>
                <w:b/>
                <w:sz w:val="18"/>
                <w:szCs w:val="18"/>
              </w:rPr>
            </w:pPr>
            <w:r w:rsidRPr="00506303">
              <w:rPr>
                <w:b/>
                <w:sz w:val="18"/>
                <w:szCs w:val="18"/>
              </w:rPr>
              <w:t>2</w:t>
            </w:r>
          </w:p>
        </w:tc>
        <w:tc>
          <w:tcPr>
            <w:tcW w:w="473" w:type="dxa"/>
            <w:tcBorders>
              <w:bottom w:val="single" w:sz="4" w:space="0" w:color="auto"/>
            </w:tcBorders>
            <w:shd w:val="clear" w:color="auto" w:fill="auto"/>
          </w:tcPr>
          <w:p w14:paraId="0544225E" w14:textId="77777777" w:rsidR="00AF3581" w:rsidRPr="00506303" w:rsidRDefault="00AF3581" w:rsidP="00506303">
            <w:pPr>
              <w:jc w:val="center"/>
              <w:rPr>
                <w:b/>
                <w:sz w:val="18"/>
                <w:szCs w:val="18"/>
              </w:rPr>
            </w:pPr>
            <w:r w:rsidRPr="00506303">
              <w:rPr>
                <w:b/>
                <w:sz w:val="18"/>
                <w:szCs w:val="18"/>
              </w:rPr>
              <w:t>3</w:t>
            </w:r>
          </w:p>
        </w:tc>
        <w:tc>
          <w:tcPr>
            <w:tcW w:w="473" w:type="dxa"/>
            <w:tcBorders>
              <w:bottom w:val="single" w:sz="4" w:space="0" w:color="auto"/>
            </w:tcBorders>
            <w:shd w:val="clear" w:color="auto" w:fill="auto"/>
          </w:tcPr>
          <w:p w14:paraId="21E72EA4" w14:textId="77777777" w:rsidR="00AF3581" w:rsidRPr="00506303" w:rsidRDefault="00AF3581" w:rsidP="00506303">
            <w:pPr>
              <w:jc w:val="center"/>
              <w:rPr>
                <w:b/>
                <w:sz w:val="18"/>
                <w:szCs w:val="18"/>
              </w:rPr>
            </w:pPr>
            <w:r w:rsidRPr="00506303">
              <w:rPr>
                <w:b/>
                <w:sz w:val="18"/>
                <w:szCs w:val="18"/>
              </w:rPr>
              <w:t>4</w:t>
            </w:r>
          </w:p>
        </w:tc>
        <w:tc>
          <w:tcPr>
            <w:tcW w:w="473" w:type="dxa"/>
            <w:tcBorders>
              <w:bottom w:val="single" w:sz="4" w:space="0" w:color="auto"/>
            </w:tcBorders>
            <w:shd w:val="clear" w:color="auto" w:fill="auto"/>
          </w:tcPr>
          <w:p w14:paraId="3CF50FC9" w14:textId="77777777" w:rsidR="00AF3581" w:rsidRPr="00506303" w:rsidRDefault="00AF3581" w:rsidP="00506303">
            <w:pPr>
              <w:jc w:val="center"/>
              <w:rPr>
                <w:b/>
                <w:sz w:val="18"/>
                <w:szCs w:val="18"/>
              </w:rPr>
            </w:pPr>
            <w:r w:rsidRPr="00506303">
              <w:rPr>
                <w:b/>
                <w:sz w:val="18"/>
                <w:szCs w:val="18"/>
              </w:rPr>
              <w:t>1</w:t>
            </w:r>
          </w:p>
        </w:tc>
        <w:tc>
          <w:tcPr>
            <w:tcW w:w="473" w:type="dxa"/>
            <w:tcBorders>
              <w:bottom w:val="single" w:sz="4" w:space="0" w:color="auto"/>
            </w:tcBorders>
            <w:shd w:val="clear" w:color="auto" w:fill="auto"/>
          </w:tcPr>
          <w:p w14:paraId="206B736E" w14:textId="77777777" w:rsidR="00AF3581" w:rsidRPr="00506303" w:rsidRDefault="00AF3581" w:rsidP="00506303">
            <w:pPr>
              <w:jc w:val="center"/>
              <w:rPr>
                <w:b/>
                <w:sz w:val="18"/>
                <w:szCs w:val="18"/>
              </w:rPr>
            </w:pPr>
            <w:r w:rsidRPr="00506303">
              <w:rPr>
                <w:b/>
                <w:sz w:val="18"/>
                <w:szCs w:val="18"/>
              </w:rPr>
              <w:t>2</w:t>
            </w:r>
          </w:p>
        </w:tc>
        <w:tc>
          <w:tcPr>
            <w:tcW w:w="473" w:type="dxa"/>
            <w:tcBorders>
              <w:bottom w:val="single" w:sz="4" w:space="0" w:color="auto"/>
            </w:tcBorders>
            <w:shd w:val="clear" w:color="auto" w:fill="auto"/>
          </w:tcPr>
          <w:p w14:paraId="5537FB88" w14:textId="77777777" w:rsidR="00AF3581" w:rsidRPr="00506303" w:rsidRDefault="00AF3581" w:rsidP="00506303">
            <w:pPr>
              <w:jc w:val="center"/>
              <w:rPr>
                <w:b/>
                <w:sz w:val="18"/>
                <w:szCs w:val="18"/>
              </w:rPr>
            </w:pPr>
            <w:r w:rsidRPr="00506303">
              <w:rPr>
                <w:b/>
                <w:sz w:val="18"/>
                <w:szCs w:val="18"/>
              </w:rPr>
              <w:t>3</w:t>
            </w:r>
          </w:p>
        </w:tc>
        <w:tc>
          <w:tcPr>
            <w:tcW w:w="473" w:type="dxa"/>
            <w:tcBorders>
              <w:bottom w:val="single" w:sz="4" w:space="0" w:color="auto"/>
            </w:tcBorders>
            <w:shd w:val="clear" w:color="auto" w:fill="auto"/>
          </w:tcPr>
          <w:p w14:paraId="5FB96F90" w14:textId="77777777" w:rsidR="00AF3581" w:rsidRPr="00506303" w:rsidRDefault="00AF3581" w:rsidP="00506303">
            <w:pPr>
              <w:jc w:val="center"/>
              <w:rPr>
                <w:b/>
                <w:sz w:val="18"/>
                <w:szCs w:val="18"/>
              </w:rPr>
            </w:pPr>
            <w:r w:rsidRPr="00506303">
              <w:rPr>
                <w:b/>
                <w:sz w:val="18"/>
                <w:szCs w:val="18"/>
              </w:rPr>
              <w:t>4</w:t>
            </w:r>
          </w:p>
        </w:tc>
        <w:tc>
          <w:tcPr>
            <w:tcW w:w="473" w:type="dxa"/>
            <w:tcBorders>
              <w:bottom w:val="single" w:sz="4" w:space="0" w:color="auto"/>
            </w:tcBorders>
            <w:shd w:val="clear" w:color="auto" w:fill="auto"/>
          </w:tcPr>
          <w:p w14:paraId="67F9DB60" w14:textId="77777777" w:rsidR="00AF3581" w:rsidRPr="00506303" w:rsidRDefault="00AF3581" w:rsidP="00506303">
            <w:pPr>
              <w:jc w:val="center"/>
              <w:rPr>
                <w:b/>
                <w:sz w:val="18"/>
                <w:szCs w:val="18"/>
              </w:rPr>
            </w:pPr>
            <w:r w:rsidRPr="00506303">
              <w:rPr>
                <w:b/>
                <w:sz w:val="18"/>
                <w:szCs w:val="18"/>
              </w:rPr>
              <w:t>1</w:t>
            </w:r>
          </w:p>
        </w:tc>
        <w:tc>
          <w:tcPr>
            <w:tcW w:w="473" w:type="dxa"/>
            <w:tcBorders>
              <w:bottom w:val="single" w:sz="4" w:space="0" w:color="auto"/>
            </w:tcBorders>
            <w:shd w:val="clear" w:color="auto" w:fill="auto"/>
          </w:tcPr>
          <w:p w14:paraId="7761D993" w14:textId="77777777" w:rsidR="00AF3581" w:rsidRPr="00506303" w:rsidRDefault="00AF3581" w:rsidP="00506303">
            <w:pPr>
              <w:jc w:val="center"/>
              <w:rPr>
                <w:b/>
                <w:sz w:val="18"/>
                <w:szCs w:val="18"/>
              </w:rPr>
            </w:pPr>
            <w:r w:rsidRPr="00506303">
              <w:rPr>
                <w:b/>
                <w:sz w:val="18"/>
                <w:szCs w:val="18"/>
              </w:rPr>
              <w:t>2</w:t>
            </w:r>
          </w:p>
        </w:tc>
        <w:tc>
          <w:tcPr>
            <w:tcW w:w="473" w:type="dxa"/>
            <w:tcBorders>
              <w:bottom w:val="single" w:sz="4" w:space="0" w:color="auto"/>
            </w:tcBorders>
            <w:shd w:val="clear" w:color="auto" w:fill="auto"/>
          </w:tcPr>
          <w:p w14:paraId="7FE4C539" w14:textId="77777777" w:rsidR="00AF3581" w:rsidRPr="00506303" w:rsidRDefault="00AF3581" w:rsidP="00506303">
            <w:pPr>
              <w:jc w:val="center"/>
              <w:rPr>
                <w:b/>
                <w:sz w:val="18"/>
                <w:szCs w:val="18"/>
              </w:rPr>
            </w:pPr>
            <w:r w:rsidRPr="00506303">
              <w:rPr>
                <w:b/>
                <w:sz w:val="18"/>
                <w:szCs w:val="18"/>
              </w:rPr>
              <w:t>3</w:t>
            </w:r>
          </w:p>
        </w:tc>
        <w:tc>
          <w:tcPr>
            <w:tcW w:w="473" w:type="dxa"/>
            <w:tcBorders>
              <w:bottom w:val="single" w:sz="4" w:space="0" w:color="auto"/>
            </w:tcBorders>
            <w:shd w:val="clear" w:color="auto" w:fill="auto"/>
          </w:tcPr>
          <w:p w14:paraId="066F2069" w14:textId="77777777" w:rsidR="00AF3581" w:rsidRPr="00506303" w:rsidRDefault="00AF3581" w:rsidP="00506303">
            <w:pPr>
              <w:jc w:val="center"/>
              <w:rPr>
                <w:b/>
                <w:sz w:val="18"/>
                <w:szCs w:val="18"/>
              </w:rPr>
            </w:pPr>
            <w:r w:rsidRPr="00506303">
              <w:rPr>
                <w:b/>
                <w:sz w:val="18"/>
                <w:szCs w:val="18"/>
              </w:rPr>
              <w:t>4</w:t>
            </w:r>
          </w:p>
        </w:tc>
      </w:tr>
      <w:tr w:rsidR="00AF3581" w:rsidRPr="00506303" w14:paraId="655B055B" w14:textId="77777777" w:rsidTr="00506303">
        <w:tc>
          <w:tcPr>
            <w:tcW w:w="14170" w:type="dxa"/>
            <w:gridSpan w:val="22"/>
            <w:shd w:val="clear" w:color="auto" w:fill="BFBFBF"/>
          </w:tcPr>
          <w:p w14:paraId="23072D21" w14:textId="77777777" w:rsidR="00AF3581" w:rsidRPr="00506303" w:rsidRDefault="00AF3581" w:rsidP="00506303">
            <w:pPr>
              <w:jc w:val="center"/>
              <w:rPr>
                <w:b/>
                <w:sz w:val="18"/>
                <w:szCs w:val="18"/>
              </w:rPr>
            </w:pPr>
            <w:r w:rsidRPr="00506303">
              <w:rPr>
                <w:b/>
                <w:sz w:val="18"/>
                <w:szCs w:val="18"/>
              </w:rPr>
              <w:t>COMPONENT 3: Facilitating regional and national level integration and cooperation for implementation of the South China Sea Strategic Action Programme</w:t>
            </w:r>
          </w:p>
        </w:tc>
      </w:tr>
      <w:tr w:rsidR="00AF3581" w:rsidRPr="00506303" w14:paraId="6742FEA7" w14:textId="77777777" w:rsidTr="00506303">
        <w:tc>
          <w:tcPr>
            <w:tcW w:w="944" w:type="dxa"/>
            <w:shd w:val="clear" w:color="auto" w:fill="D9D9D9"/>
          </w:tcPr>
          <w:p w14:paraId="6FE96100" w14:textId="77777777" w:rsidR="00AF3581" w:rsidRPr="00506303" w:rsidRDefault="00AF3581" w:rsidP="0067543B">
            <w:pPr>
              <w:rPr>
                <w:b/>
                <w:sz w:val="18"/>
                <w:szCs w:val="18"/>
              </w:rPr>
            </w:pPr>
            <w:r w:rsidRPr="00506303">
              <w:rPr>
                <w:b/>
                <w:sz w:val="18"/>
                <w:szCs w:val="18"/>
              </w:rPr>
              <w:t>3.1</w:t>
            </w:r>
          </w:p>
        </w:tc>
        <w:tc>
          <w:tcPr>
            <w:tcW w:w="13226" w:type="dxa"/>
            <w:gridSpan w:val="21"/>
            <w:shd w:val="clear" w:color="auto" w:fill="D9D9D9"/>
          </w:tcPr>
          <w:p w14:paraId="673B413F" w14:textId="77777777" w:rsidR="00AF3581" w:rsidRPr="00506303" w:rsidRDefault="00AF3581" w:rsidP="0067543B">
            <w:pPr>
              <w:rPr>
                <w:b/>
                <w:sz w:val="18"/>
                <w:szCs w:val="18"/>
              </w:rPr>
            </w:pPr>
            <w:r w:rsidRPr="00506303">
              <w:rPr>
                <w:b/>
                <w:sz w:val="18"/>
                <w:szCs w:val="18"/>
              </w:rPr>
              <w:t>Regional and sub-regional co-operation in the integration of scientific knowledge and research outputs with management and policy making</w:t>
            </w:r>
          </w:p>
        </w:tc>
      </w:tr>
      <w:tr w:rsidR="00E071AC" w:rsidRPr="00506303" w14:paraId="02C526DA" w14:textId="77777777" w:rsidTr="00E071AC">
        <w:tc>
          <w:tcPr>
            <w:tcW w:w="944" w:type="dxa"/>
            <w:shd w:val="clear" w:color="auto" w:fill="auto"/>
          </w:tcPr>
          <w:p w14:paraId="103034AC" w14:textId="77777777" w:rsidR="00AF3581" w:rsidRPr="00506303" w:rsidRDefault="00AF3581" w:rsidP="0067543B">
            <w:pPr>
              <w:rPr>
                <w:sz w:val="18"/>
                <w:szCs w:val="18"/>
              </w:rPr>
            </w:pPr>
            <w:r w:rsidRPr="00506303">
              <w:rPr>
                <w:sz w:val="18"/>
                <w:szCs w:val="18"/>
              </w:rPr>
              <w:t>3.1.1</w:t>
            </w:r>
          </w:p>
        </w:tc>
        <w:tc>
          <w:tcPr>
            <w:tcW w:w="3776" w:type="dxa"/>
            <w:shd w:val="clear" w:color="auto" w:fill="auto"/>
          </w:tcPr>
          <w:p w14:paraId="24616275" w14:textId="77777777" w:rsidR="00AF3581" w:rsidRPr="00506303" w:rsidRDefault="00AF3581" w:rsidP="0067543B">
            <w:pPr>
              <w:rPr>
                <w:sz w:val="18"/>
                <w:szCs w:val="18"/>
              </w:rPr>
            </w:pPr>
            <w:r w:rsidRPr="00506303">
              <w:rPr>
                <w:sz w:val="18"/>
                <w:szCs w:val="18"/>
              </w:rPr>
              <w:t>Convene meetings of the Regional Scientific and Technical Committee [annual meetings]</w:t>
            </w:r>
          </w:p>
        </w:tc>
        <w:tc>
          <w:tcPr>
            <w:tcW w:w="472" w:type="dxa"/>
            <w:shd w:val="clear" w:color="auto" w:fill="auto"/>
          </w:tcPr>
          <w:p w14:paraId="470AF048" w14:textId="77777777" w:rsidR="00AF3581" w:rsidRPr="00506303" w:rsidRDefault="00AF3581" w:rsidP="0067543B">
            <w:pPr>
              <w:rPr>
                <w:sz w:val="18"/>
                <w:szCs w:val="18"/>
              </w:rPr>
            </w:pPr>
          </w:p>
        </w:tc>
        <w:tc>
          <w:tcPr>
            <w:tcW w:w="472" w:type="dxa"/>
            <w:shd w:val="clear" w:color="auto" w:fill="D9D9D9"/>
          </w:tcPr>
          <w:p w14:paraId="09B0C277" w14:textId="77777777" w:rsidR="00AF3581" w:rsidRPr="00506303" w:rsidRDefault="00AF3581" w:rsidP="0067543B">
            <w:pPr>
              <w:rPr>
                <w:sz w:val="18"/>
                <w:szCs w:val="18"/>
              </w:rPr>
            </w:pPr>
          </w:p>
        </w:tc>
        <w:tc>
          <w:tcPr>
            <w:tcW w:w="472" w:type="dxa"/>
            <w:shd w:val="clear" w:color="auto" w:fill="auto"/>
          </w:tcPr>
          <w:p w14:paraId="5D210D92" w14:textId="77777777" w:rsidR="00AF3581" w:rsidRPr="00506303" w:rsidRDefault="00AF3581" w:rsidP="0067543B">
            <w:pPr>
              <w:rPr>
                <w:sz w:val="18"/>
                <w:szCs w:val="18"/>
              </w:rPr>
            </w:pPr>
          </w:p>
        </w:tc>
        <w:tc>
          <w:tcPr>
            <w:tcW w:w="472" w:type="dxa"/>
            <w:shd w:val="clear" w:color="auto" w:fill="auto"/>
          </w:tcPr>
          <w:p w14:paraId="581278AC" w14:textId="77777777" w:rsidR="00AF3581" w:rsidRPr="00506303" w:rsidRDefault="00AF3581" w:rsidP="0067543B">
            <w:pPr>
              <w:rPr>
                <w:sz w:val="18"/>
                <w:szCs w:val="18"/>
              </w:rPr>
            </w:pPr>
          </w:p>
        </w:tc>
        <w:tc>
          <w:tcPr>
            <w:tcW w:w="472" w:type="dxa"/>
            <w:shd w:val="clear" w:color="auto" w:fill="auto"/>
          </w:tcPr>
          <w:p w14:paraId="57AC4822" w14:textId="77777777" w:rsidR="00AF3581" w:rsidRPr="00506303" w:rsidRDefault="00AF3581" w:rsidP="0067543B">
            <w:pPr>
              <w:rPr>
                <w:sz w:val="18"/>
                <w:szCs w:val="18"/>
              </w:rPr>
            </w:pPr>
          </w:p>
        </w:tc>
        <w:tc>
          <w:tcPr>
            <w:tcW w:w="472" w:type="dxa"/>
            <w:shd w:val="clear" w:color="auto" w:fill="D9D9D9"/>
          </w:tcPr>
          <w:p w14:paraId="07581E8A" w14:textId="77777777" w:rsidR="00AF3581" w:rsidRPr="00506303" w:rsidRDefault="00AF3581" w:rsidP="0067543B">
            <w:pPr>
              <w:rPr>
                <w:sz w:val="18"/>
                <w:szCs w:val="18"/>
              </w:rPr>
            </w:pPr>
          </w:p>
        </w:tc>
        <w:tc>
          <w:tcPr>
            <w:tcW w:w="472" w:type="dxa"/>
            <w:shd w:val="clear" w:color="auto" w:fill="auto"/>
          </w:tcPr>
          <w:p w14:paraId="5A9853F8" w14:textId="77777777" w:rsidR="00AF3581" w:rsidRPr="00506303" w:rsidRDefault="00AF3581" w:rsidP="0067543B">
            <w:pPr>
              <w:rPr>
                <w:sz w:val="18"/>
                <w:szCs w:val="18"/>
              </w:rPr>
            </w:pPr>
          </w:p>
        </w:tc>
        <w:tc>
          <w:tcPr>
            <w:tcW w:w="472" w:type="dxa"/>
            <w:shd w:val="clear" w:color="auto" w:fill="auto"/>
          </w:tcPr>
          <w:p w14:paraId="20DA4802" w14:textId="77777777" w:rsidR="00AF3581" w:rsidRPr="00506303" w:rsidRDefault="00AF3581" w:rsidP="0067543B">
            <w:pPr>
              <w:rPr>
                <w:sz w:val="18"/>
                <w:szCs w:val="18"/>
              </w:rPr>
            </w:pPr>
          </w:p>
        </w:tc>
        <w:tc>
          <w:tcPr>
            <w:tcW w:w="472" w:type="dxa"/>
            <w:shd w:val="clear" w:color="auto" w:fill="auto"/>
          </w:tcPr>
          <w:p w14:paraId="71093251" w14:textId="77777777" w:rsidR="00AF3581" w:rsidRPr="00506303" w:rsidRDefault="00AF3581" w:rsidP="0067543B">
            <w:pPr>
              <w:rPr>
                <w:sz w:val="18"/>
                <w:szCs w:val="18"/>
              </w:rPr>
            </w:pPr>
          </w:p>
        </w:tc>
        <w:tc>
          <w:tcPr>
            <w:tcW w:w="472" w:type="dxa"/>
            <w:shd w:val="clear" w:color="auto" w:fill="D9D9D9"/>
          </w:tcPr>
          <w:p w14:paraId="08DC331B" w14:textId="77777777" w:rsidR="00AF3581" w:rsidRPr="00506303" w:rsidRDefault="00AF3581" w:rsidP="0067543B">
            <w:pPr>
              <w:rPr>
                <w:sz w:val="18"/>
                <w:szCs w:val="18"/>
              </w:rPr>
            </w:pPr>
          </w:p>
        </w:tc>
        <w:tc>
          <w:tcPr>
            <w:tcW w:w="473" w:type="dxa"/>
            <w:shd w:val="clear" w:color="auto" w:fill="auto"/>
          </w:tcPr>
          <w:p w14:paraId="02A15905" w14:textId="77777777" w:rsidR="00AF3581" w:rsidRPr="00506303" w:rsidRDefault="00AF3581" w:rsidP="0067543B">
            <w:pPr>
              <w:rPr>
                <w:sz w:val="18"/>
                <w:szCs w:val="18"/>
              </w:rPr>
            </w:pPr>
          </w:p>
        </w:tc>
        <w:tc>
          <w:tcPr>
            <w:tcW w:w="473" w:type="dxa"/>
            <w:shd w:val="clear" w:color="auto" w:fill="auto"/>
          </w:tcPr>
          <w:p w14:paraId="02E0CFDD" w14:textId="77777777" w:rsidR="00AF3581" w:rsidRPr="00506303" w:rsidRDefault="00AF3581" w:rsidP="0067543B">
            <w:pPr>
              <w:rPr>
                <w:sz w:val="18"/>
                <w:szCs w:val="18"/>
              </w:rPr>
            </w:pPr>
          </w:p>
        </w:tc>
        <w:tc>
          <w:tcPr>
            <w:tcW w:w="473" w:type="dxa"/>
            <w:shd w:val="clear" w:color="auto" w:fill="auto"/>
          </w:tcPr>
          <w:p w14:paraId="059309DD" w14:textId="77777777" w:rsidR="00AF3581" w:rsidRPr="00506303" w:rsidRDefault="00AF3581" w:rsidP="0067543B">
            <w:pPr>
              <w:rPr>
                <w:sz w:val="18"/>
                <w:szCs w:val="18"/>
              </w:rPr>
            </w:pPr>
          </w:p>
        </w:tc>
        <w:tc>
          <w:tcPr>
            <w:tcW w:w="473" w:type="dxa"/>
            <w:shd w:val="clear" w:color="auto" w:fill="D9D9D9"/>
          </w:tcPr>
          <w:p w14:paraId="74EE0CB7" w14:textId="77777777" w:rsidR="00AF3581" w:rsidRPr="00506303" w:rsidRDefault="00AF3581" w:rsidP="0067543B">
            <w:pPr>
              <w:rPr>
                <w:sz w:val="18"/>
                <w:szCs w:val="18"/>
              </w:rPr>
            </w:pPr>
          </w:p>
        </w:tc>
        <w:tc>
          <w:tcPr>
            <w:tcW w:w="473" w:type="dxa"/>
            <w:shd w:val="clear" w:color="auto" w:fill="auto"/>
          </w:tcPr>
          <w:p w14:paraId="6B6AABD9" w14:textId="77777777" w:rsidR="00AF3581" w:rsidRPr="00506303" w:rsidRDefault="00AF3581" w:rsidP="0067543B">
            <w:pPr>
              <w:rPr>
                <w:sz w:val="18"/>
                <w:szCs w:val="18"/>
              </w:rPr>
            </w:pPr>
          </w:p>
        </w:tc>
        <w:tc>
          <w:tcPr>
            <w:tcW w:w="473" w:type="dxa"/>
            <w:shd w:val="clear" w:color="auto" w:fill="auto"/>
          </w:tcPr>
          <w:p w14:paraId="764F8F0D" w14:textId="77777777" w:rsidR="00AF3581" w:rsidRPr="00506303" w:rsidRDefault="00AF3581" w:rsidP="0067543B">
            <w:pPr>
              <w:rPr>
                <w:sz w:val="18"/>
                <w:szCs w:val="18"/>
              </w:rPr>
            </w:pPr>
          </w:p>
        </w:tc>
        <w:tc>
          <w:tcPr>
            <w:tcW w:w="473" w:type="dxa"/>
            <w:shd w:val="clear" w:color="auto" w:fill="auto"/>
          </w:tcPr>
          <w:p w14:paraId="652FE33A" w14:textId="77777777" w:rsidR="00AF3581" w:rsidRPr="00506303" w:rsidRDefault="00AF3581" w:rsidP="0067543B">
            <w:pPr>
              <w:rPr>
                <w:sz w:val="18"/>
                <w:szCs w:val="18"/>
              </w:rPr>
            </w:pPr>
          </w:p>
        </w:tc>
        <w:tc>
          <w:tcPr>
            <w:tcW w:w="473" w:type="dxa"/>
            <w:shd w:val="clear" w:color="auto" w:fill="D9D9D9"/>
          </w:tcPr>
          <w:p w14:paraId="792D0B7F" w14:textId="77777777" w:rsidR="00AF3581" w:rsidRPr="00506303" w:rsidRDefault="00AF3581" w:rsidP="0067543B">
            <w:pPr>
              <w:rPr>
                <w:sz w:val="18"/>
                <w:szCs w:val="18"/>
              </w:rPr>
            </w:pPr>
          </w:p>
        </w:tc>
        <w:tc>
          <w:tcPr>
            <w:tcW w:w="473" w:type="dxa"/>
            <w:shd w:val="clear" w:color="auto" w:fill="auto"/>
          </w:tcPr>
          <w:p w14:paraId="501F08C3" w14:textId="77777777" w:rsidR="00AF3581" w:rsidRPr="00506303" w:rsidRDefault="00AF3581" w:rsidP="0067543B">
            <w:pPr>
              <w:rPr>
                <w:sz w:val="18"/>
                <w:szCs w:val="18"/>
              </w:rPr>
            </w:pPr>
          </w:p>
        </w:tc>
        <w:tc>
          <w:tcPr>
            <w:tcW w:w="473" w:type="dxa"/>
            <w:shd w:val="clear" w:color="auto" w:fill="auto"/>
          </w:tcPr>
          <w:p w14:paraId="51A003F8" w14:textId="77777777" w:rsidR="00AF3581" w:rsidRPr="00506303" w:rsidRDefault="00AF3581" w:rsidP="0067543B">
            <w:pPr>
              <w:rPr>
                <w:sz w:val="18"/>
                <w:szCs w:val="18"/>
              </w:rPr>
            </w:pPr>
          </w:p>
        </w:tc>
      </w:tr>
      <w:tr w:rsidR="00E071AC" w:rsidRPr="00506303" w14:paraId="32F023FC" w14:textId="77777777" w:rsidTr="00E071AC">
        <w:tc>
          <w:tcPr>
            <w:tcW w:w="944" w:type="dxa"/>
            <w:shd w:val="clear" w:color="auto" w:fill="auto"/>
          </w:tcPr>
          <w:p w14:paraId="60701FEE" w14:textId="77777777" w:rsidR="00AF3581" w:rsidRPr="00506303" w:rsidRDefault="00AF3581" w:rsidP="0067543B">
            <w:pPr>
              <w:rPr>
                <w:sz w:val="18"/>
                <w:szCs w:val="18"/>
              </w:rPr>
            </w:pPr>
            <w:r w:rsidRPr="00506303">
              <w:rPr>
                <w:sz w:val="18"/>
                <w:szCs w:val="18"/>
              </w:rPr>
              <w:t>3.1.2</w:t>
            </w:r>
          </w:p>
        </w:tc>
        <w:tc>
          <w:tcPr>
            <w:tcW w:w="3776" w:type="dxa"/>
            <w:shd w:val="clear" w:color="auto" w:fill="auto"/>
          </w:tcPr>
          <w:p w14:paraId="4885EA25" w14:textId="77777777" w:rsidR="00AF3581" w:rsidRPr="00506303" w:rsidRDefault="00AF3581" w:rsidP="0067543B">
            <w:pPr>
              <w:rPr>
                <w:sz w:val="18"/>
                <w:szCs w:val="18"/>
              </w:rPr>
            </w:pPr>
            <w:r w:rsidRPr="00506303">
              <w:rPr>
                <w:sz w:val="18"/>
                <w:szCs w:val="18"/>
              </w:rPr>
              <w:t>Facilitate knowledge exchanges between government and scientific community through biennial Regional Scientific Conferences</w:t>
            </w:r>
          </w:p>
        </w:tc>
        <w:tc>
          <w:tcPr>
            <w:tcW w:w="472" w:type="dxa"/>
            <w:shd w:val="clear" w:color="auto" w:fill="auto"/>
          </w:tcPr>
          <w:p w14:paraId="54746183" w14:textId="77777777" w:rsidR="00AF3581" w:rsidRPr="00506303" w:rsidRDefault="00AF3581" w:rsidP="0067543B">
            <w:pPr>
              <w:rPr>
                <w:sz w:val="18"/>
                <w:szCs w:val="18"/>
              </w:rPr>
            </w:pPr>
          </w:p>
        </w:tc>
        <w:tc>
          <w:tcPr>
            <w:tcW w:w="472" w:type="dxa"/>
            <w:shd w:val="clear" w:color="auto" w:fill="auto"/>
          </w:tcPr>
          <w:p w14:paraId="0FCDB0CA" w14:textId="77777777" w:rsidR="00AF3581" w:rsidRPr="00506303" w:rsidRDefault="00AF3581" w:rsidP="0067543B">
            <w:pPr>
              <w:rPr>
                <w:sz w:val="18"/>
                <w:szCs w:val="18"/>
              </w:rPr>
            </w:pPr>
          </w:p>
        </w:tc>
        <w:tc>
          <w:tcPr>
            <w:tcW w:w="472" w:type="dxa"/>
            <w:shd w:val="clear" w:color="auto" w:fill="auto"/>
          </w:tcPr>
          <w:p w14:paraId="6103F2D3" w14:textId="77777777" w:rsidR="00AF3581" w:rsidRPr="00506303" w:rsidRDefault="00AF3581" w:rsidP="0067543B">
            <w:pPr>
              <w:rPr>
                <w:sz w:val="18"/>
                <w:szCs w:val="18"/>
              </w:rPr>
            </w:pPr>
          </w:p>
        </w:tc>
        <w:tc>
          <w:tcPr>
            <w:tcW w:w="472" w:type="dxa"/>
            <w:shd w:val="clear" w:color="auto" w:fill="auto"/>
          </w:tcPr>
          <w:p w14:paraId="6F876064" w14:textId="77777777" w:rsidR="00AF3581" w:rsidRPr="00506303" w:rsidRDefault="00AF3581" w:rsidP="0067543B">
            <w:pPr>
              <w:rPr>
                <w:sz w:val="18"/>
                <w:szCs w:val="18"/>
              </w:rPr>
            </w:pPr>
          </w:p>
        </w:tc>
        <w:tc>
          <w:tcPr>
            <w:tcW w:w="472" w:type="dxa"/>
            <w:shd w:val="clear" w:color="auto" w:fill="auto"/>
          </w:tcPr>
          <w:p w14:paraId="3789D111" w14:textId="77777777" w:rsidR="00AF3581" w:rsidRPr="00506303" w:rsidRDefault="00AF3581" w:rsidP="0067543B">
            <w:pPr>
              <w:rPr>
                <w:sz w:val="18"/>
                <w:szCs w:val="18"/>
              </w:rPr>
            </w:pPr>
          </w:p>
        </w:tc>
        <w:tc>
          <w:tcPr>
            <w:tcW w:w="472" w:type="dxa"/>
            <w:shd w:val="clear" w:color="auto" w:fill="auto"/>
          </w:tcPr>
          <w:p w14:paraId="3D265304" w14:textId="77777777" w:rsidR="00AF3581" w:rsidRPr="00506303" w:rsidRDefault="00AF3581" w:rsidP="0067543B">
            <w:pPr>
              <w:rPr>
                <w:sz w:val="18"/>
                <w:szCs w:val="18"/>
              </w:rPr>
            </w:pPr>
          </w:p>
        </w:tc>
        <w:tc>
          <w:tcPr>
            <w:tcW w:w="472" w:type="dxa"/>
            <w:shd w:val="clear" w:color="auto" w:fill="auto"/>
          </w:tcPr>
          <w:p w14:paraId="024B9221" w14:textId="77777777" w:rsidR="00AF3581" w:rsidRPr="00506303" w:rsidRDefault="00AF3581" w:rsidP="0067543B">
            <w:pPr>
              <w:rPr>
                <w:sz w:val="18"/>
                <w:szCs w:val="18"/>
              </w:rPr>
            </w:pPr>
          </w:p>
        </w:tc>
        <w:tc>
          <w:tcPr>
            <w:tcW w:w="472" w:type="dxa"/>
            <w:shd w:val="clear" w:color="auto" w:fill="D9D9D9"/>
          </w:tcPr>
          <w:p w14:paraId="2831AF04" w14:textId="77777777" w:rsidR="00AF3581" w:rsidRPr="00506303" w:rsidRDefault="00AF3581" w:rsidP="0067543B">
            <w:pPr>
              <w:rPr>
                <w:sz w:val="18"/>
                <w:szCs w:val="18"/>
              </w:rPr>
            </w:pPr>
          </w:p>
        </w:tc>
        <w:tc>
          <w:tcPr>
            <w:tcW w:w="472" w:type="dxa"/>
            <w:shd w:val="clear" w:color="auto" w:fill="auto"/>
          </w:tcPr>
          <w:p w14:paraId="1513FAAF" w14:textId="77777777" w:rsidR="00AF3581" w:rsidRPr="00506303" w:rsidRDefault="00AF3581" w:rsidP="0067543B">
            <w:pPr>
              <w:rPr>
                <w:sz w:val="18"/>
                <w:szCs w:val="18"/>
              </w:rPr>
            </w:pPr>
          </w:p>
        </w:tc>
        <w:tc>
          <w:tcPr>
            <w:tcW w:w="472" w:type="dxa"/>
            <w:shd w:val="clear" w:color="auto" w:fill="auto"/>
          </w:tcPr>
          <w:p w14:paraId="3A84C7F8" w14:textId="77777777" w:rsidR="00AF3581" w:rsidRPr="00506303" w:rsidRDefault="00AF3581" w:rsidP="0067543B">
            <w:pPr>
              <w:rPr>
                <w:sz w:val="18"/>
                <w:szCs w:val="18"/>
              </w:rPr>
            </w:pPr>
          </w:p>
        </w:tc>
        <w:tc>
          <w:tcPr>
            <w:tcW w:w="473" w:type="dxa"/>
            <w:shd w:val="clear" w:color="auto" w:fill="auto"/>
          </w:tcPr>
          <w:p w14:paraId="12F83802" w14:textId="77777777" w:rsidR="00AF3581" w:rsidRPr="00506303" w:rsidRDefault="00AF3581" w:rsidP="0067543B">
            <w:pPr>
              <w:rPr>
                <w:sz w:val="18"/>
                <w:szCs w:val="18"/>
              </w:rPr>
            </w:pPr>
          </w:p>
        </w:tc>
        <w:tc>
          <w:tcPr>
            <w:tcW w:w="473" w:type="dxa"/>
            <w:shd w:val="clear" w:color="auto" w:fill="auto"/>
          </w:tcPr>
          <w:p w14:paraId="57896012" w14:textId="77777777" w:rsidR="00AF3581" w:rsidRPr="00506303" w:rsidRDefault="00AF3581" w:rsidP="0067543B">
            <w:pPr>
              <w:rPr>
                <w:sz w:val="18"/>
                <w:szCs w:val="18"/>
              </w:rPr>
            </w:pPr>
          </w:p>
        </w:tc>
        <w:tc>
          <w:tcPr>
            <w:tcW w:w="473" w:type="dxa"/>
            <w:shd w:val="clear" w:color="auto" w:fill="auto"/>
          </w:tcPr>
          <w:p w14:paraId="4C3766FC" w14:textId="77777777" w:rsidR="00AF3581" w:rsidRPr="00506303" w:rsidRDefault="00AF3581" w:rsidP="0067543B">
            <w:pPr>
              <w:rPr>
                <w:sz w:val="18"/>
                <w:szCs w:val="18"/>
              </w:rPr>
            </w:pPr>
          </w:p>
        </w:tc>
        <w:tc>
          <w:tcPr>
            <w:tcW w:w="473" w:type="dxa"/>
            <w:shd w:val="clear" w:color="auto" w:fill="auto"/>
          </w:tcPr>
          <w:p w14:paraId="0476A03A" w14:textId="77777777" w:rsidR="00AF3581" w:rsidRPr="00506303" w:rsidRDefault="00AF3581" w:rsidP="0067543B">
            <w:pPr>
              <w:rPr>
                <w:sz w:val="18"/>
                <w:szCs w:val="18"/>
              </w:rPr>
            </w:pPr>
          </w:p>
        </w:tc>
        <w:tc>
          <w:tcPr>
            <w:tcW w:w="473" w:type="dxa"/>
            <w:shd w:val="clear" w:color="auto" w:fill="auto"/>
          </w:tcPr>
          <w:p w14:paraId="55ED79E8" w14:textId="77777777" w:rsidR="00AF3581" w:rsidRPr="00506303" w:rsidRDefault="00AF3581" w:rsidP="0067543B">
            <w:pPr>
              <w:rPr>
                <w:sz w:val="18"/>
                <w:szCs w:val="18"/>
              </w:rPr>
            </w:pPr>
          </w:p>
        </w:tc>
        <w:tc>
          <w:tcPr>
            <w:tcW w:w="473" w:type="dxa"/>
            <w:shd w:val="clear" w:color="auto" w:fill="D9D9D9"/>
          </w:tcPr>
          <w:p w14:paraId="126A92E6" w14:textId="77777777" w:rsidR="00AF3581" w:rsidRPr="00506303" w:rsidRDefault="00AF3581" w:rsidP="0067543B">
            <w:pPr>
              <w:rPr>
                <w:sz w:val="18"/>
                <w:szCs w:val="18"/>
              </w:rPr>
            </w:pPr>
          </w:p>
        </w:tc>
        <w:tc>
          <w:tcPr>
            <w:tcW w:w="473" w:type="dxa"/>
            <w:shd w:val="clear" w:color="auto" w:fill="auto"/>
          </w:tcPr>
          <w:p w14:paraId="1D923E53" w14:textId="77777777" w:rsidR="00AF3581" w:rsidRPr="00506303" w:rsidRDefault="00AF3581" w:rsidP="0067543B">
            <w:pPr>
              <w:rPr>
                <w:sz w:val="18"/>
                <w:szCs w:val="18"/>
              </w:rPr>
            </w:pPr>
          </w:p>
        </w:tc>
        <w:tc>
          <w:tcPr>
            <w:tcW w:w="473" w:type="dxa"/>
            <w:shd w:val="clear" w:color="auto" w:fill="auto"/>
          </w:tcPr>
          <w:p w14:paraId="0E6DB58C" w14:textId="77777777" w:rsidR="00AF3581" w:rsidRPr="00506303" w:rsidRDefault="00AF3581" w:rsidP="0067543B">
            <w:pPr>
              <w:rPr>
                <w:sz w:val="18"/>
                <w:szCs w:val="18"/>
              </w:rPr>
            </w:pPr>
          </w:p>
        </w:tc>
        <w:tc>
          <w:tcPr>
            <w:tcW w:w="473" w:type="dxa"/>
            <w:shd w:val="clear" w:color="auto" w:fill="auto"/>
          </w:tcPr>
          <w:p w14:paraId="21DA6299" w14:textId="77777777" w:rsidR="00AF3581" w:rsidRPr="00506303" w:rsidRDefault="00AF3581" w:rsidP="0067543B">
            <w:pPr>
              <w:rPr>
                <w:sz w:val="18"/>
                <w:szCs w:val="18"/>
              </w:rPr>
            </w:pPr>
          </w:p>
        </w:tc>
        <w:tc>
          <w:tcPr>
            <w:tcW w:w="473" w:type="dxa"/>
            <w:shd w:val="clear" w:color="auto" w:fill="auto"/>
          </w:tcPr>
          <w:p w14:paraId="52055DE6" w14:textId="77777777" w:rsidR="00AF3581" w:rsidRPr="00506303" w:rsidRDefault="00AF3581" w:rsidP="0067543B">
            <w:pPr>
              <w:rPr>
                <w:sz w:val="18"/>
                <w:szCs w:val="18"/>
              </w:rPr>
            </w:pPr>
          </w:p>
        </w:tc>
      </w:tr>
      <w:tr w:rsidR="00E071AC" w:rsidRPr="00506303" w14:paraId="1FFB33FC" w14:textId="77777777" w:rsidTr="00E071AC">
        <w:tc>
          <w:tcPr>
            <w:tcW w:w="944" w:type="dxa"/>
            <w:shd w:val="clear" w:color="auto" w:fill="auto"/>
          </w:tcPr>
          <w:p w14:paraId="41A155CF" w14:textId="77777777" w:rsidR="00AF3581" w:rsidRPr="00506303" w:rsidRDefault="00AF3581" w:rsidP="0067543B">
            <w:pPr>
              <w:rPr>
                <w:sz w:val="18"/>
                <w:szCs w:val="18"/>
              </w:rPr>
            </w:pPr>
            <w:r w:rsidRPr="00506303">
              <w:rPr>
                <w:sz w:val="18"/>
                <w:szCs w:val="18"/>
              </w:rPr>
              <w:t>3.1.3</w:t>
            </w:r>
          </w:p>
        </w:tc>
        <w:tc>
          <w:tcPr>
            <w:tcW w:w="3776" w:type="dxa"/>
            <w:shd w:val="clear" w:color="auto" w:fill="auto"/>
          </w:tcPr>
          <w:p w14:paraId="6565C92D" w14:textId="77777777" w:rsidR="00AF3581" w:rsidRPr="00506303" w:rsidRDefault="00AF3581" w:rsidP="0067543B">
            <w:pPr>
              <w:rPr>
                <w:sz w:val="18"/>
                <w:szCs w:val="18"/>
              </w:rPr>
            </w:pPr>
            <w:r w:rsidRPr="00506303">
              <w:rPr>
                <w:sz w:val="18"/>
                <w:szCs w:val="18"/>
              </w:rPr>
              <w:t>Facilitate best practice exchanges between local government officials and coastal managers on science-based management via annual Mayor’s Round-Table meetings</w:t>
            </w:r>
          </w:p>
        </w:tc>
        <w:tc>
          <w:tcPr>
            <w:tcW w:w="472" w:type="dxa"/>
            <w:shd w:val="clear" w:color="auto" w:fill="auto"/>
          </w:tcPr>
          <w:p w14:paraId="0CE3C188" w14:textId="77777777" w:rsidR="00AF3581" w:rsidRPr="00506303" w:rsidRDefault="00AF3581" w:rsidP="0067543B">
            <w:pPr>
              <w:rPr>
                <w:sz w:val="18"/>
                <w:szCs w:val="18"/>
              </w:rPr>
            </w:pPr>
          </w:p>
        </w:tc>
        <w:tc>
          <w:tcPr>
            <w:tcW w:w="472" w:type="dxa"/>
            <w:shd w:val="clear" w:color="auto" w:fill="auto"/>
          </w:tcPr>
          <w:p w14:paraId="18842D64" w14:textId="77777777" w:rsidR="00AF3581" w:rsidRPr="00506303" w:rsidRDefault="00AF3581" w:rsidP="0067543B">
            <w:pPr>
              <w:rPr>
                <w:sz w:val="18"/>
                <w:szCs w:val="18"/>
              </w:rPr>
            </w:pPr>
          </w:p>
        </w:tc>
        <w:tc>
          <w:tcPr>
            <w:tcW w:w="472" w:type="dxa"/>
            <w:shd w:val="clear" w:color="auto" w:fill="auto"/>
          </w:tcPr>
          <w:p w14:paraId="21CE0489" w14:textId="77777777" w:rsidR="00AF3581" w:rsidRPr="00506303" w:rsidRDefault="00AF3581" w:rsidP="0067543B">
            <w:pPr>
              <w:rPr>
                <w:sz w:val="18"/>
                <w:szCs w:val="18"/>
              </w:rPr>
            </w:pPr>
          </w:p>
        </w:tc>
        <w:tc>
          <w:tcPr>
            <w:tcW w:w="472" w:type="dxa"/>
            <w:shd w:val="clear" w:color="auto" w:fill="D9D9D9"/>
          </w:tcPr>
          <w:p w14:paraId="7790BFE0" w14:textId="77777777" w:rsidR="00AF3581" w:rsidRPr="00506303" w:rsidRDefault="00AF3581" w:rsidP="0067543B">
            <w:pPr>
              <w:rPr>
                <w:sz w:val="18"/>
                <w:szCs w:val="18"/>
              </w:rPr>
            </w:pPr>
          </w:p>
        </w:tc>
        <w:tc>
          <w:tcPr>
            <w:tcW w:w="472" w:type="dxa"/>
            <w:shd w:val="clear" w:color="auto" w:fill="auto"/>
          </w:tcPr>
          <w:p w14:paraId="071DF8DA" w14:textId="77777777" w:rsidR="00AF3581" w:rsidRPr="00506303" w:rsidRDefault="00AF3581" w:rsidP="0067543B">
            <w:pPr>
              <w:rPr>
                <w:sz w:val="18"/>
                <w:szCs w:val="18"/>
              </w:rPr>
            </w:pPr>
          </w:p>
        </w:tc>
        <w:tc>
          <w:tcPr>
            <w:tcW w:w="472" w:type="dxa"/>
            <w:shd w:val="clear" w:color="auto" w:fill="auto"/>
          </w:tcPr>
          <w:p w14:paraId="23E07C11" w14:textId="77777777" w:rsidR="00AF3581" w:rsidRPr="00506303" w:rsidRDefault="00AF3581" w:rsidP="0067543B">
            <w:pPr>
              <w:rPr>
                <w:sz w:val="18"/>
                <w:szCs w:val="18"/>
              </w:rPr>
            </w:pPr>
          </w:p>
        </w:tc>
        <w:tc>
          <w:tcPr>
            <w:tcW w:w="472" w:type="dxa"/>
            <w:shd w:val="clear" w:color="auto" w:fill="auto"/>
          </w:tcPr>
          <w:p w14:paraId="76046CD7" w14:textId="77777777" w:rsidR="00AF3581" w:rsidRPr="00506303" w:rsidRDefault="00AF3581" w:rsidP="0067543B">
            <w:pPr>
              <w:rPr>
                <w:sz w:val="18"/>
                <w:szCs w:val="18"/>
              </w:rPr>
            </w:pPr>
          </w:p>
        </w:tc>
        <w:tc>
          <w:tcPr>
            <w:tcW w:w="472" w:type="dxa"/>
            <w:shd w:val="clear" w:color="auto" w:fill="D9D9D9"/>
          </w:tcPr>
          <w:p w14:paraId="22D07E0D" w14:textId="77777777" w:rsidR="00AF3581" w:rsidRPr="00506303" w:rsidRDefault="00AF3581" w:rsidP="0067543B">
            <w:pPr>
              <w:rPr>
                <w:sz w:val="18"/>
                <w:szCs w:val="18"/>
              </w:rPr>
            </w:pPr>
          </w:p>
        </w:tc>
        <w:tc>
          <w:tcPr>
            <w:tcW w:w="472" w:type="dxa"/>
            <w:shd w:val="clear" w:color="auto" w:fill="auto"/>
          </w:tcPr>
          <w:p w14:paraId="33807BA2" w14:textId="77777777" w:rsidR="00AF3581" w:rsidRPr="00506303" w:rsidRDefault="00AF3581" w:rsidP="0067543B">
            <w:pPr>
              <w:rPr>
                <w:sz w:val="18"/>
                <w:szCs w:val="18"/>
              </w:rPr>
            </w:pPr>
          </w:p>
        </w:tc>
        <w:tc>
          <w:tcPr>
            <w:tcW w:w="472" w:type="dxa"/>
            <w:shd w:val="clear" w:color="auto" w:fill="auto"/>
          </w:tcPr>
          <w:p w14:paraId="6313D78E" w14:textId="77777777" w:rsidR="00AF3581" w:rsidRPr="00506303" w:rsidRDefault="00AF3581" w:rsidP="0067543B">
            <w:pPr>
              <w:rPr>
                <w:sz w:val="18"/>
                <w:szCs w:val="18"/>
              </w:rPr>
            </w:pPr>
          </w:p>
        </w:tc>
        <w:tc>
          <w:tcPr>
            <w:tcW w:w="473" w:type="dxa"/>
            <w:shd w:val="clear" w:color="auto" w:fill="auto"/>
          </w:tcPr>
          <w:p w14:paraId="0B415D66" w14:textId="77777777" w:rsidR="00AF3581" w:rsidRPr="00506303" w:rsidRDefault="00AF3581" w:rsidP="0067543B">
            <w:pPr>
              <w:rPr>
                <w:sz w:val="18"/>
                <w:szCs w:val="18"/>
              </w:rPr>
            </w:pPr>
          </w:p>
        </w:tc>
        <w:tc>
          <w:tcPr>
            <w:tcW w:w="473" w:type="dxa"/>
            <w:shd w:val="clear" w:color="auto" w:fill="D9D9D9"/>
          </w:tcPr>
          <w:p w14:paraId="65A8BA5D" w14:textId="77777777" w:rsidR="00AF3581" w:rsidRPr="00506303" w:rsidRDefault="00AF3581" w:rsidP="0067543B">
            <w:pPr>
              <w:rPr>
                <w:sz w:val="18"/>
                <w:szCs w:val="18"/>
              </w:rPr>
            </w:pPr>
          </w:p>
        </w:tc>
        <w:tc>
          <w:tcPr>
            <w:tcW w:w="473" w:type="dxa"/>
            <w:shd w:val="clear" w:color="auto" w:fill="auto"/>
          </w:tcPr>
          <w:p w14:paraId="1502775A" w14:textId="77777777" w:rsidR="00AF3581" w:rsidRPr="00506303" w:rsidRDefault="00AF3581" w:rsidP="0067543B">
            <w:pPr>
              <w:rPr>
                <w:sz w:val="18"/>
                <w:szCs w:val="18"/>
              </w:rPr>
            </w:pPr>
          </w:p>
        </w:tc>
        <w:tc>
          <w:tcPr>
            <w:tcW w:w="473" w:type="dxa"/>
            <w:shd w:val="clear" w:color="auto" w:fill="auto"/>
          </w:tcPr>
          <w:p w14:paraId="1AA96AF3" w14:textId="77777777" w:rsidR="00AF3581" w:rsidRPr="00506303" w:rsidRDefault="00AF3581" w:rsidP="0067543B">
            <w:pPr>
              <w:rPr>
                <w:sz w:val="18"/>
                <w:szCs w:val="18"/>
              </w:rPr>
            </w:pPr>
          </w:p>
        </w:tc>
        <w:tc>
          <w:tcPr>
            <w:tcW w:w="473" w:type="dxa"/>
            <w:shd w:val="clear" w:color="auto" w:fill="auto"/>
          </w:tcPr>
          <w:p w14:paraId="7078A90B" w14:textId="77777777" w:rsidR="00AF3581" w:rsidRPr="00506303" w:rsidRDefault="00AF3581" w:rsidP="0067543B">
            <w:pPr>
              <w:rPr>
                <w:sz w:val="18"/>
                <w:szCs w:val="18"/>
              </w:rPr>
            </w:pPr>
          </w:p>
        </w:tc>
        <w:tc>
          <w:tcPr>
            <w:tcW w:w="473" w:type="dxa"/>
            <w:shd w:val="clear" w:color="auto" w:fill="D9D9D9"/>
          </w:tcPr>
          <w:p w14:paraId="5FF9F0BF" w14:textId="77777777" w:rsidR="00AF3581" w:rsidRPr="00506303" w:rsidRDefault="00AF3581" w:rsidP="0067543B">
            <w:pPr>
              <w:rPr>
                <w:sz w:val="18"/>
                <w:szCs w:val="18"/>
              </w:rPr>
            </w:pPr>
          </w:p>
        </w:tc>
        <w:tc>
          <w:tcPr>
            <w:tcW w:w="473" w:type="dxa"/>
            <w:shd w:val="clear" w:color="auto" w:fill="auto"/>
          </w:tcPr>
          <w:p w14:paraId="1295C301" w14:textId="77777777" w:rsidR="00AF3581" w:rsidRPr="00506303" w:rsidRDefault="00AF3581" w:rsidP="0067543B">
            <w:pPr>
              <w:rPr>
                <w:sz w:val="18"/>
                <w:szCs w:val="18"/>
              </w:rPr>
            </w:pPr>
          </w:p>
        </w:tc>
        <w:tc>
          <w:tcPr>
            <w:tcW w:w="473" w:type="dxa"/>
            <w:shd w:val="clear" w:color="auto" w:fill="auto"/>
          </w:tcPr>
          <w:p w14:paraId="1666BB42" w14:textId="77777777" w:rsidR="00AF3581" w:rsidRPr="00506303" w:rsidRDefault="00AF3581" w:rsidP="0067543B">
            <w:pPr>
              <w:rPr>
                <w:sz w:val="18"/>
                <w:szCs w:val="18"/>
              </w:rPr>
            </w:pPr>
          </w:p>
        </w:tc>
        <w:tc>
          <w:tcPr>
            <w:tcW w:w="473" w:type="dxa"/>
            <w:shd w:val="clear" w:color="auto" w:fill="auto"/>
          </w:tcPr>
          <w:p w14:paraId="7E2A87CC" w14:textId="77777777" w:rsidR="00AF3581" w:rsidRPr="00506303" w:rsidRDefault="00AF3581" w:rsidP="0067543B">
            <w:pPr>
              <w:rPr>
                <w:sz w:val="18"/>
                <w:szCs w:val="18"/>
              </w:rPr>
            </w:pPr>
          </w:p>
        </w:tc>
        <w:tc>
          <w:tcPr>
            <w:tcW w:w="473" w:type="dxa"/>
            <w:shd w:val="clear" w:color="auto" w:fill="D9D9D9"/>
          </w:tcPr>
          <w:p w14:paraId="40A89F7C" w14:textId="77777777" w:rsidR="00AF3581" w:rsidRPr="00506303" w:rsidRDefault="00AF3581" w:rsidP="0067543B">
            <w:pPr>
              <w:rPr>
                <w:sz w:val="18"/>
                <w:szCs w:val="18"/>
              </w:rPr>
            </w:pPr>
          </w:p>
        </w:tc>
      </w:tr>
      <w:tr w:rsidR="00E071AC" w:rsidRPr="00506303" w14:paraId="369F8C1E" w14:textId="77777777" w:rsidTr="00E071AC">
        <w:tc>
          <w:tcPr>
            <w:tcW w:w="944" w:type="dxa"/>
            <w:shd w:val="clear" w:color="auto" w:fill="auto"/>
          </w:tcPr>
          <w:p w14:paraId="03061F85" w14:textId="77777777" w:rsidR="00AF3581" w:rsidRPr="00506303" w:rsidRDefault="00AF3581" w:rsidP="0067543B">
            <w:pPr>
              <w:rPr>
                <w:sz w:val="18"/>
                <w:szCs w:val="18"/>
              </w:rPr>
            </w:pPr>
            <w:r w:rsidRPr="00506303">
              <w:rPr>
                <w:sz w:val="18"/>
                <w:szCs w:val="18"/>
              </w:rPr>
              <w:t>3.1.4</w:t>
            </w:r>
          </w:p>
        </w:tc>
        <w:tc>
          <w:tcPr>
            <w:tcW w:w="3776" w:type="dxa"/>
            <w:shd w:val="clear" w:color="auto" w:fill="auto"/>
          </w:tcPr>
          <w:p w14:paraId="1CF3E40C" w14:textId="77777777" w:rsidR="00AF3581" w:rsidRPr="00506303" w:rsidRDefault="00AF3581" w:rsidP="0067543B">
            <w:pPr>
              <w:rPr>
                <w:sz w:val="18"/>
                <w:szCs w:val="18"/>
              </w:rPr>
            </w:pPr>
            <w:r w:rsidRPr="00506303">
              <w:rPr>
                <w:sz w:val="18"/>
                <w:szCs w:val="18"/>
              </w:rPr>
              <w:t>Operate consultative processes to enable agreement and implementation of Memoranda of Agreement for joint management of 2 priority transboundary water areas</w:t>
            </w:r>
          </w:p>
        </w:tc>
        <w:tc>
          <w:tcPr>
            <w:tcW w:w="472" w:type="dxa"/>
            <w:shd w:val="clear" w:color="auto" w:fill="auto"/>
          </w:tcPr>
          <w:p w14:paraId="538052B6" w14:textId="77777777" w:rsidR="00AF3581" w:rsidRPr="00506303" w:rsidRDefault="00AF3581" w:rsidP="0067543B">
            <w:pPr>
              <w:rPr>
                <w:sz w:val="18"/>
                <w:szCs w:val="18"/>
              </w:rPr>
            </w:pPr>
          </w:p>
        </w:tc>
        <w:tc>
          <w:tcPr>
            <w:tcW w:w="472" w:type="dxa"/>
            <w:shd w:val="clear" w:color="auto" w:fill="auto"/>
          </w:tcPr>
          <w:p w14:paraId="7CF2035A" w14:textId="77777777" w:rsidR="00AF3581" w:rsidRPr="00506303" w:rsidRDefault="00AF3581" w:rsidP="0067543B">
            <w:pPr>
              <w:rPr>
                <w:sz w:val="18"/>
                <w:szCs w:val="18"/>
              </w:rPr>
            </w:pPr>
          </w:p>
        </w:tc>
        <w:tc>
          <w:tcPr>
            <w:tcW w:w="472" w:type="dxa"/>
            <w:shd w:val="clear" w:color="auto" w:fill="D9D9D9"/>
          </w:tcPr>
          <w:p w14:paraId="6B77A1D5" w14:textId="77777777" w:rsidR="00AF3581" w:rsidRPr="00506303" w:rsidRDefault="00AF3581" w:rsidP="0067543B">
            <w:pPr>
              <w:rPr>
                <w:sz w:val="18"/>
                <w:szCs w:val="18"/>
              </w:rPr>
            </w:pPr>
          </w:p>
        </w:tc>
        <w:tc>
          <w:tcPr>
            <w:tcW w:w="472" w:type="dxa"/>
            <w:shd w:val="clear" w:color="auto" w:fill="D9D9D9"/>
          </w:tcPr>
          <w:p w14:paraId="6788583F" w14:textId="77777777" w:rsidR="00AF3581" w:rsidRPr="00506303" w:rsidRDefault="00AF3581" w:rsidP="0067543B">
            <w:pPr>
              <w:rPr>
                <w:sz w:val="18"/>
                <w:szCs w:val="18"/>
              </w:rPr>
            </w:pPr>
          </w:p>
        </w:tc>
        <w:tc>
          <w:tcPr>
            <w:tcW w:w="472" w:type="dxa"/>
            <w:shd w:val="clear" w:color="auto" w:fill="D9D9D9"/>
          </w:tcPr>
          <w:p w14:paraId="74AE4A11" w14:textId="77777777" w:rsidR="00AF3581" w:rsidRPr="00506303" w:rsidRDefault="00AF3581" w:rsidP="0067543B">
            <w:pPr>
              <w:rPr>
                <w:sz w:val="18"/>
                <w:szCs w:val="18"/>
              </w:rPr>
            </w:pPr>
          </w:p>
        </w:tc>
        <w:tc>
          <w:tcPr>
            <w:tcW w:w="472" w:type="dxa"/>
            <w:shd w:val="clear" w:color="auto" w:fill="D9D9D9"/>
          </w:tcPr>
          <w:p w14:paraId="5D5C5E91" w14:textId="77777777" w:rsidR="00AF3581" w:rsidRPr="00506303" w:rsidRDefault="00AF3581" w:rsidP="0067543B">
            <w:pPr>
              <w:rPr>
                <w:sz w:val="18"/>
                <w:szCs w:val="18"/>
              </w:rPr>
            </w:pPr>
          </w:p>
        </w:tc>
        <w:tc>
          <w:tcPr>
            <w:tcW w:w="472" w:type="dxa"/>
            <w:shd w:val="clear" w:color="auto" w:fill="D9D9D9"/>
          </w:tcPr>
          <w:p w14:paraId="3BA4CC33" w14:textId="77777777" w:rsidR="00AF3581" w:rsidRPr="00506303" w:rsidRDefault="00AF3581" w:rsidP="0067543B">
            <w:pPr>
              <w:rPr>
                <w:sz w:val="18"/>
                <w:szCs w:val="18"/>
              </w:rPr>
            </w:pPr>
          </w:p>
        </w:tc>
        <w:tc>
          <w:tcPr>
            <w:tcW w:w="472" w:type="dxa"/>
            <w:shd w:val="clear" w:color="auto" w:fill="D9D9D9"/>
          </w:tcPr>
          <w:p w14:paraId="3C3A8D1B" w14:textId="77777777" w:rsidR="00AF3581" w:rsidRPr="00506303" w:rsidRDefault="00AF3581" w:rsidP="0067543B">
            <w:pPr>
              <w:rPr>
                <w:sz w:val="18"/>
                <w:szCs w:val="18"/>
              </w:rPr>
            </w:pPr>
          </w:p>
        </w:tc>
        <w:tc>
          <w:tcPr>
            <w:tcW w:w="472" w:type="dxa"/>
            <w:shd w:val="clear" w:color="auto" w:fill="D9D9D9"/>
          </w:tcPr>
          <w:p w14:paraId="2D4410B6" w14:textId="77777777" w:rsidR="00AF3581" w:rsidRPr="00506303" w:rsidRDefault="00AF3581" w:rsidP="0067543B">
            <w:pPr>
              <w:rPr>
                <w:sz w:val="18"/>
                <w:szCs w:val="18"/>
              </w:rPr>
            </w:pPr>
          </w:p>
        </w:tc>
        <w:tc>
          <w:tcPr>
            <w:tcW w:w="472" w:type="dxa"/>
            <w:shd w:val="clear" w:color="auto" w:fill="D9D9D9"/>
          </w:tcPr>
          <w:p w14:paraId="2741F008" w14:textId="77777777" w:rsidR="00AF3581" w:rsidRPr="00506303" w:rsidRDefault="00AF3581" w:rsidP="0067543B">
            <w:pPr>
              <w:rPr>
                <w:sz w:val="18"/>
                <w:szCs w:val="18"/>
              </w:rPr>
            </w:pPr>
          </w:p>
        </w:tc>
        <w:tc>
          <w:tcPr>
            <w:tcW w:w="473" w:type="dxa"/>
            <w:shd w:val="clear" w:color="auto" w:fill="D9D9D9"/>
          </w:tcPr>
          <w:p w14:paraId="27A23B8C" w14:textId="77777777" w:rsidR="00AF3581" w:rsidRPr="00506303" w:rsidRDefault="00AF3581" w:rsidP="0067543B">
            <w:pPr>
              <w:rPr>
                <w:sz w:val="18"/>
                <w:szCs w:val="18"/>
              </w:rPr>
            </w:pPr>
          </w:p>
        </w:tc>
        <w:tc>
          <w:tcPr>
            <w:tcW w:w="473" w:type="dxa"/>
            <w:shd w:val="clear" w:color="auto" w:fill="D9D9D9"/>
          </w:tcPr>
          <w:p w14:paraId="15D33F21" w14:textId="77777777" w:rsidR="00AF3581" w:rsidRPr="00506303" w:rsidRDefault="00AF3581" w:rsidP="0067543B">
            <w:pPr>
              <w:rPr>
                <w:sz w:val="18"/>
                <w:szCs w:val="18"/>
              </w:rPr>
            </w:pPr>
          </w:p>
        </w:tc>
        <w:tc>
          <w:tcPr>
            <w:tcW w:w="473" w:type="dxa"/>
            <w:shd w:val="clear" w:color="auto" w:fill="D9D9D9"/>
          </w:tcPr>
          <w:p w14:paraId="6429A396" w14:textId="77777777" w:rsidR="00AF3581" w:rsidRPr="00506303" w:rsidRDefault="00AF3581" w:rsidP="0067543B">
            <w:pPr>
              <w:rPr>
                <w:sz w:val="18"/>
                <w:szCs w:val="18"/>
              </w:rPr>
            </w:pPr>
          </w:p>
        </w:tc>
        <w:tc>
          <w:tcPr>
            <w:tcW w:w="473" w:type="dxa"/>
            <w:shd w:val="clear" w:color="auto" w:fill="D9D9D9"/>
          </w:tcPr>
          <w:p w14:paraId="2C75A016" w14:textId="77777777" w:rsidR="00AF3581" w:rsidRPr="00506303" w:rsidRDefault="00AF3581" w:rsidP="0067543B">
            <w:pPr>
              <w:rPr>
                <w:sz w:val="18"/>
                <w:szCs w:val="18"/>
              </w:rPr>
            </w:pPr>
          </w:p>
        </w:tc>
        <w:tc>
          <w:tcPr>
            <w:tcW w:w="473" w:type="dxa"/>
            <w:shd w:val="clear" w:color="auto" w:fill="auto"/>
          </w:tcPr>
          <w:p w14:paraId="378B49BA" w14:textId="77777777" w:rsidR="00AF3581" w:rsidRPr="00506303" w:rsidRDefault="00AF3581" w:rsidP="0067543B">
            <w:pPr>
              <w:rPr>
                <w:sz w:val="18"/>
                <w:szCs w:val="18"/>
              </w:rPr>
            </w:pPr>
          </w:p>
        </w:tc>
        <w:tc>
          <w:tcPr>
            <w:tcW w:w="473" w:type="dxa"/>
            <w:shd w:val="clear" w:color="auto" w:fill="auto"/>
          </w:tcPr>
          <w:p w14:paraId="75984753" w14:textId="77777777" w:rsidR="00AF3581" w:rsidRPr="00506303" w:rsidRDefault="00AF3581" w:rsidP="0067543B">
            <w:pPr>
              <w:rPr>
                <w:sz w:val="18"/>
                <w:szCs w:val="18"/>
              </w:rPr>
            </w:pPr>
          </w:p>
        </w:tc>
        <w:tc>
          <w:tcPr>
            <w:tcW w:w="473" w:type="dxa"/>
            <w:shd w:val="clear" w:color="auto" w:fill="auto"/>
          </w:tcPr>
          <w:p w14:paraId="6DF5246D" w14:textId="77777777" w:rsidR="00AF3581" w:rsidRPr="00506303" w:rsidRDefault="00AF3581" w:rsidP="0067543B">
            <w:pPr>
              <w:rPr>
                <w:sz w:val="18"/>
                <w:szCs w:val="18"/>
              </w:rPr>
            </w:pPr>
          </w:p>
        </w:tc>
        <w:tc>
          <w:tcPr>
            <w:tcW w:w="473" w:type="dxa"/>
            <w:shd w:val="clear" w:color="auto" w:fill="auto"/>
          </w:tcPr>
          <w:p w14:paraId="70834B60" w14:textId="77777777" w:rsidR="00AF3581" w:rsidRPr="00506303" w:rsidRDefault="00AF3581" w:rsidP="0067543B">
            <w:pPr>
              <w:rPr>
                <w:sz w:val="18"/>
                <w:szCs w:val="18"/>
              </w:rPr>
            </w:pPr>
          </w:p>
        </w:tc>
        <w:tc>
          <w:tcPr>
            <w:tcW w:w="473" w:type="dxa"/>
            <w:shd w:val="clear" w:color="auto" w:fill="auto"/>
          </w:tcPr>
          <w:p w14:paraId="77EFA3B9" w14:textId="77777777" w:rsidR="00AF3581" w:rsidRPr="00506303" w:rsidRDefault="00AF3581" w:rsidP="0067543B">
            <w:pPr>
              <w:rPr>
                <w:sz w:val="18"/>
                <w:szCs w:val="18"/>
              </w:rPr>
            </w:pPr>
          </w:p>
        </w:tc>
        <w:tc>
          <w:tcPr>
            <w:tcW w:w="473" w:type="dxa"/>
            <w:shd w:val="clear" w:color="auto" w:fill="auto"/>
          </w:tcPr>
          <w:p w14:paraId="3F68E82B" w14:textId="77777777" w:rsidR="00AF3581" w:rsidRPr="00506303" w:rsidRDefault="00AF3581" w:rsidP="0067543B">
            <w:pPr>
              <w:rPr>
                <w:sz w:val="18"/>
                <w:szCs w:val="18"/>
              </w:rPr>
            </w:pPr>
          </w:p>
        </w:tc>
      </w:tr>
      <w:tr w:rsidR="00E071AC" w:rsidRPr="00506303" w14:paraId="3CAF1971" w14:textId="77777777" w:rsidTr="00E071AC">
        <w:tc>
          <w:tcPr>
            <w:tcW w:w="944" w:type="dxa"/>
            <w:shd w:val="clear" w:color="auto" w:fill="auto"/>
          </w:tcPr>
          <w:p w14:paraId="21CF3437" w14:textId="77777777" w:rsidR="00AF3581" w:rsidRPr="00506303" w:rsidRDefault="00AF3581" w:rsidP="0067543B">
            <w:pPr>
              <w:rPr>
                <w:sz w:val="18"/>
                <w:szCs w:val="18"/>
              </w:rPr>
            </w:pPr>
            <w:r w:rsidRPr="00506303">
              <w:rPr>
                <w:sz w:val="18"/>
                <w:szCs w:val="18"/>
              </w:rPr>
              <w:t>3.1.5</w:t>
            </w:r>
          </w:p>
        </w:tc>
        <w:tc>
          <w:tcPr>
            <w:tcW w:w="3776" w:type="dxa"/>
            <w:shd w:val="clear" w:color="auto" w:fill="auto"/>
          </w:tcPr>
          <w:p w14:paraId="2512E93D" w14:textId="77777777" w:rsidR="00AF3581" w:rsidRPr="00506303" w:rsidRDefault="00AF3581" w:rsidP="0067543B">
            <w:pPr>
              <w:rPr>
                <w:sz w:val="18"/>
                <w:szCs w:val="18"/>
              </w:rPr>
            </w:pPr>
            <w:r w:rsidRPr="00506303">
              <w:rPr>
                <w:sz w:val="18"/>
                <w:szCs w:val="18"/>
              </w:rPr>
              <w:t>Establish cooperative arrangements with the GEF fisheries refugia project and other relevant regional initiatives such as PEMSEA</w:t>
            </w:r>
          </w:p>
        </w:tc>
        <w:tc>
          <w:tcPr>
            <w:tcW w:w="472" w:type="dxa"/>
            <w:shd w:val="clear" w:color="auto" w:fill="D9D9D9"/>
          </w:tcPr>
          <w:p w14:paraId="618A9908" w14:textId="77777777" w:rsidR="00AF3581" w:rsidRPr="00506303" w:rsidRDefault="00AF3581" w:rsidP="0067543B">
            <w:pPr>
              <w:rPr>
                <w:sz w:val="18"/>
                <w:szCs w:val="18"/>
              </w:rPr>
            </w:pPr>
          </w:p>
        </w:tc>
        <w:tc>
          <w:tcPr>
            <w:tcW w:w="472" w:type="dxa"/>
            <w:shd w:val="clear" w:color="auto" w:fill="D9D9D9"/>
          </w:tcPr>
          <w:p w14:paraId="1D1DB9E0" w14:textId="77777777" w:rsidR="00AF3581" w:rsidRPr="00506303" w:rsidRDefault="00AF3581" w:rsidP="0067543B">
            <w:pPr>
              <w:rPr>
                <w:sz w:val="18"/>
                <w:szCs w:val="18"/>
              </w:rPr>
            </w:pPr>
          </w:p>
        </w:tc>
        <w:tc>
          <w:tcPr>
            <w:tcW w:w="472" w:type="dxa"/>
            <w:shd w:val="clear" w:color="auto" w:fill="D9D9D9"/>
          </w:tcPr>
          <w:p w14:paraId="1870846B" w14:textId="77777777" w:rsidR="00AF3581" w:rsidRPr="00506303" w:rsidRDefault="00AF3581" w:rsidP="0067543B">
            <w:pPr>
              <w:rPr>
                <w:sz w:val="18"/>
                <w:szCs w:val="18"/>
              </w:rPr>
            </w:pPr>
          </w:p>
        </w:tc>
        <w:tc>
          <w:tcPr>
            <w:tcW w:w="472" w:type="dxa"/>
            <w:shd w:val="clear" w:color="auto" w:fill="D9D9D9"/>
          </w:tcPr>
          <w:p w14:paraId="2F94BFA2" w14:textId="77777777" w:rsidR="00AF3581" w:rsidRPr="00506303" w:rsidRDefault="00AF3581" w:rsidP="0067543B">
            <w:pPr>
              <w:rPr>
                <w:sz w:val="18"/>
                <w:szCs w:val="18"/>
              </w:rPr>
            </w:pPr>
          </w:p>
        </w:tc>
        <w:tc>
          <w:tcPr>
            <w:tcW w:w="472" w:type="dxa"/>
            <w:shd w:val="clear" w:color="auto" w:fill="D9D9D9"/>
          </w:tcPr>
          <w:p w14:paraId="78887D9E" w14:textId="77777777" w:rsidR="00AF3581" w:rsidRPr="00506303" w:rsidRDefault="00AF3581" w:rsidP="0067543B">
            <w:pPr>
              <w:rPr>
                <w:sz w:val="18"/>
                <w:szCs w:val="18"/>
              </w:rPr>
            </w:pPr>
          </w:p>
        </w:tc>
        <w:tc>
          <w:tcPr>
            <w:tcW w:w="472" w:type="dxa"/>
            <w:shd w:val="clear" w:color="auto" w:fill="D9D9D9"/>
          </w:tcPr>
          <w:p w14:paraId="27481973" w14:textId="77777777" w:rsidR="00AF3581" w:rsidRPr="00506303" w:rsidRDefault="00AF3581" w:rsidP="0067543B">
            <w:pPr>
              <w:rPr>
                <w:sz w:val="18"/>
                <w:szCs w:val="18"/>
              </w:rPr>
            </w:pPr>
          </w:p>
        </w:tc>
        <w:tc>
          <w:tcPr>
            <w:tcW w:w="472" w:type="dxa"/>
            <w:shd w:val="clear" w:color="auto" w:fill="D9D9D9"/>
          </w:tcPr>
          <w:p w14:paraId="14051EC8" w14:textId="77777777" w:rsidR="00AF3581" w:rsidRPr="00506303" w:rsidRDefault="00AF3581" w:rsidP="0067543B">
            <w:pPr>
              <w:rPr>
                <w:sz w:val="18"/>
                <w:szCs w:val="18"/>
              </w:rPr>
            </w:pPr>
          </w:p>
        </w:tc>
        <w:tc>
          <w:tcPr>
            <w:tcW w:w="472" w:type="dxa"/>
            <w:shd w:val="clear" w:color="auto" w:fill="D9D9D9"/>
          </w:tcPr>
          <w:p w14:paraId="237A9581" w14:textId="77777777" w:rsidR="00AF3581" w:rsidRPr="00506303" w:rsidRDefault="00AF3581" w:rsidP="0067543B">
            <w:pPr>
              <w:rPr>
                <w:sz w:val="18"/>
                <w:szCs w:val="18"/>
              </w:rPr>
            </w:pPr>
          </w:p>
        </w:tc>
        <w:tc>
          <w:tcPr>
            <w:tcW w:w="472" w:type="dxa"/>
            <w:shd w:val="clear" w:color="auto" w:fill="D9D9D9"/>
          </w:tcPr>
          <w:p w14:paraId="30C64E34" w14:textId="77777777" w:rsidR="00AF3581" w:rsidRPr="00506303" w:rsidRDefault="00AF3581" w:rsidP="0067543B">
            <w:pPr>
              <w:rPr>
                <w:sz w:val="18"/>
                <w:szCs w:val="18"/>
              </w:rPr>
            </w:pPr>
          </w:p>
        </w:tc>
        <w:tc>
          <w:tcPr>
            <w:tcW w:w="472" w:type="dxa"/>
            <w:shd w:val="clear" w:color="auto" w:fill="D9D9D9"/>
          </w:tcPr>
          <w:p w14:paraId="42B300A6" w14:textId="77777777" w:rsidR="00AF3581" w:rsidRPr="00506303" w:rsidRDefault="00AF3581" w:rsidP="0067543B">
            <w:pPr>
              <w:rPr>
                <w:sz w:val="18"/>
                <w:szCs w:val="18"/>
              </w:rPr>
            </w:pPr>
          </w:p>
        </w:tc>
        <w:tc>
          <w:tcPr>
            <w:tcW w:w="473" w:type="dxa"/>
            <w:shd w:val="clear" w:color="auto" w:fill="D9D9D9"/>
          </w:tcPr>
          <w:p w14:paraId="682CBF63" w14:textId="77777777" w:rsidR="00AF3581" w:rsidRPr="00506303" w:rsidRDefault="00AF3581" w:rsidP="0067543B">
            <w:pPr>
              <w:rPr>
                <w:sz w:val="18"/>
                <w:szCs w:val="18"/>
              </w:rPr>
            </w:pPr>
          </w:p>
        </w:tc>
        <w:tc>
          <w:tcPr>
            <w:tcW w:w="473" w:type="dxa"/>
            <w:shd w:val="clear" w:color="auto" w:fill="D9D9D9"/>
          </w:tcPr>
          <w:p w14:paraId="17B72610" w14:textId="77777777" w:rsidR="00AF3581" w:rsidRPr="00506303" w:rsidRDefault="00AF3581" w:rsidP="0067543B">
            <w:pPr>
              <w:rPr>
                <w:sz w:val="18"/>
                <w:szCs w:val="18"/>
              </w:rPr>
            </w:pPr>
          </w:p>
        </w:tc>
        <w:tc>
          <w:tcPr>
            <w:tcW w:w="473" w:type="dxa"/>
            <w:shd w:val="clear" w:color="auto" w:fill="auto"/>
          </w:tcPr>
          <w:p w14:paraId="683BF945" w14:textId="77777777" w:rsidR="00AF3581" w:rsidRPr="00506303" w:rsidRDefault="00AF3581" w:rsidP="0067543B">
            <w:pPr>
              <w:rPr>
                <w:sz w:val="18"/>
                <w:szCs w:val="18"/>
              </w:rPr>
            </w:pPr>
          </w:p>
        </w:tc>
        <w:tc>
          <w:tcPr>
            <w:tcW w:w="473" w:type="dxa"/>
            <w:shd w:val="clear" w:color="auto" w:fill="auto"/>
          </w:tcPr>
          <w:p w14:paraId="5FD6B484" w14:textId="77777777" w:rsidR="00AF3581" w:rsidRPr="00506303" w:rsidRDefault="00AF3581" w:rsidP="0067543B">
            <w:pPr>
              <w:rPr>
                <w:sz w:val="18"/>
                <w:szCs w:val="18"/>
              </w:rPr>
            </w:pPr>
          </w:p>
        </w:tc>
        <w:tc>
          <w:tcPr>
            <w:tcW w:w="473" w:type="dxa"/>
            <w:shd w:val="clear" w:color="auto" w:fill="auto"/>
          </w:tcPr>
          <w:p w14:paraId="4AD80DBC" w14:textId="77777777" w:rsidR="00AF3581" w:rsidRPr="00506303" w:rsidRDefault="00AF3581" w:rsidP="0067543B">
            <w:pPr>
              <w:rPr>
                <w:sz w:val="18"/>
                <w:szCs w:val="18"/>
              </w:rPr>
            </w:pPr>
          </w:p>
        </w:tc>
        <w:tc>
          <w:tcPr>
            <w:tcW w:w="473" w:type="dxa"/>
            <w:shd w:val="clear" w:color="auto" w:fill="auto"/>
          </w:tcPr>
          <w:p w14:paraId="5D93C0B5" w14:textId="77777777" w:rsidR="00AF3581" w:rsidRPr="00506303" w:rsidRDefault="00AF3581" w:rsidP="0067543B">
            <w:pPr>
              <w:rPr>
                <w:sz w:val="18"/>
                <w:szCs w:val="18"/>
              </w:rPr>
            </w:pPr>
          </w:p>
        </w:tc>
        <w:tc>
          <w:tcPr>
            <w:tcW w:w="473" w:type="dxa"/>
            <w:shd w:val="clear" w:color="auto" w:fill="auto"/>
          </w:tcPr>
          <w:p w14:paraId="0854D0AD" w14:textId="77777777" w:rsidR="00AF3581" w:rsidRPr="00506303" w:rsidRDefault="00AF3581" w:rsidP="0067543B">
            <w:pPr>
              <w:rPr>
                <w:sz w:val="18"/>
                <w:szCs w:val="18"/>
              </w:rPr>
            </w:pPr>
          </w:p>
        </w:tc>
        <w:tc>
          <w:tcPr>
            <w:tcW w:w="473" w:type="dxa"/>
            <w:shd w:val="clear" w:color="auto" w:fill="auto"/>
          </w:tcPr>
          <w:p w14:paraId="38D6260F" w14:textId="77777777" w:rsidR="00AF3581" w:rsidRPr="00506303" w:rsidRDefault="00AF3581" w:rsidP="0067543B">
            <w:pPr>
              <w:rPr>
                <w:sz w:val="18"/>
                <w:szCs w:val="18"/>
              </w:rPr>
            </w:pPr>
          </w:p>
        </w:tc>
        <w:tc>
          <w:tcPr>
            <w:tcW w:w="473" w:type="dxa"/>
            <w:shd w:val="clear" w:color="auto" w:fill="auto"/>
          </w:tcPr>
          <w:p w14:paraId="0A7EE38C" w14:textId="77777777" w:rsidR="00AF3581" w:rsidRPr="00506303" w:rsidRDefault="00AF3581" w:rsidP="0067543B">
            <w:pPr>
              <w:rPr>
                <w:sz w:val="18"/>
                <w:szCs w:val="18"/>
              </w:rPr>
            </w:pPr>
          </w:p>
        </w:tc>
        <w:tc>
          <w:tcPr>
            <w:tcW w:w="473" w:type="dxa"/>
            <w:shd w:val="clear" w:color="auto" w:fill="auto"/>
          </w:tcPr>
          <w:p w14:paraId="40EC1A05" w14:textId="77777777" w:rsidR="00AF3581" w:rsidRPr="00506303" w:rsidRDefault="00AF3581" w:rsidP="0067543B">
            <w:pPr>
              <w:rPr>
                <w:sz w:val="18"/>
                <w:szCs w:val="18"/>
              </w:rPr>
            </w:pPr>
          </w:p>
        </w:tc>
      </w:tr>
      <w:tr w:rsidR="00E071AC" w:rsidRPr="00506303" w14:paraId="7663DE4A" w14:textId="77777777" w:rsidTr="00E071AC">
        <w:tc>
          <w:tcPr>
            <w:tcW w:w="944" w:type="dxa"/>
            <w:shd w:val="clear" w:color="auto" w:fill="auto"/>
          </w:tcPr>
          <w:p w14:paraId="246FE5E9" w14:textId="77777777" w:rsidR="00AF3581" w:rsidRPr="00506303" w:rsidRDefault="00AF3581" w:rsidP="0067543B">
            <w:pPr>
              <w:rPr>
                <w:sz w:val="18"/>
                <w:szCs w:val="18"/>
              </w:rPr>
            </w:pPr>
            <w:r w:rsidRPr="00506303">
              <w:rPr>
                <w:sz w:val="18"/>
                <w:szCs w:val="18"/>
              </w:rPr>
              <w:t>3.1.6</w:t>
            </w:r>
          </w:p>
        </w:tc>
        <w:tc>
          <w:tcPr>
            <w:tcW w:w="3776" w:type="dxa"/>
            <w:shd w:val="clear" w:color="auto" w:fill="auto"/>
          </w:tcPr>
          <w:p w14:paraId="73D3D7A9" w14:textId="77777777" w:rsidR="00AF3581" w:rsidRPr="00506303" w:rsidRDefault="00AF3581" w:rsidP="0067543B">
            <w:pPr>
              <w:rPr>
                <w:sz w:val="18"/>
                <w:szCs w:val="18"/>
              </w:rPr>
            </w:pPr>
            <w:r w:rsidRPr="00506303">
              <w:rPr>
                <w:sz w:val="18"/>
                <w:szCs w:val="18"/>
              </w:rPr>
              <w:t>Establish and operate an award program on best practices in coastal habitat and land-based pollution management for communities, local governments and industry [annual]</w:t>
            </w:r>
          </w:p>
        </w:tc>
        <w:tc>
          <w:tcPr>
            <w:tcW w:w="472" w:type="dxa"/>
            <w:shd w:val="clear" w:color="auto" w:fill="auto"/>
          </w:tcPr>
          <w:p w14:paraId="21055B31" w14:textId="77777777" w:rsidR="00AF3581" w:rsidRPr="00506303" w:rsidRDefault="00AF3581" w:rsidP="0067543B">
            <w:pPr>
              <w:rPr>
                <w:sz w:val="18"/>
                <w:szCs w:val="18"/>
              </w:rPr>
            </w:pPr>
          </w:p>
        </w:tc>
        <w:tc>
          <w:tcPr>
            <w:tcW w:w="472" w:type="dxa"/>
            <w:shd w:val="clear" w:color="auto" w:fill="D9D9D9"/>
          </w:tcPr>
          <w:p w14:paraId="658836BF" w14:textId="77777777" w:rsidR="00AF3581" w:rsidRPr="00506303" w:rsidRDefault="00AF3581" w:rsidP="0067543B">
            <w:pPr>
              <w:rPr>
                <w:sz w:val="18"/>
                <w:szCs w:val="18"/>
              </w:rPr>
            </w:pPr>
          </w:p>
        </w:tc>
        <w:tc>
          <w:tcPr>
            <w:tcW w:w="472" w:type="dxa"/>
            <w:shd w:val="clear" w:color="auto" w:fill="D9D9D9"/>
          </w:tcPr>
          <w:p w14:paraId="35A93652" w14:textId="77777777" w:rsidR="00AF3581" w:rsidRPr="00506303" w:rsidRDefault="00AF3581" w:rsidP="0067543B">
            <w:pPr>
              <w:rPr>
                <w:sz w:val="18"/>
                <w:szCs w:val="18"/>
              </w:rPr>
            </w:pPr>
          </w:p>
        </w:tc>
        <w:tc>
          <w:tcPr>
            <w:tcW w:w="472" w:type="dxa"/>
            <w:shd w:val="clear" w:color="auto" w:fill="D9D9D9"/>
          </w:tcPr>
          <w:p w14:paraId="3795C813" w14:textId="77777777" w:rsidR="00AF3581" w:rsidRPr="00506303" w:rsidRDefault="00AF3581" w:rsidP="0067543B">
            <w:pPr>
              <w:rPr>
                <w:sz w:val="18"/>
                <w:szCs w:val="18"/>
              </w:rPr>
            </w:pPr>
          </w:p>
        </w:tc>
        <w:tc>
          <w:tcPr>
            <w:tcW w:w="472" w:type="dxa"/>
            <w:shd w:val="clear" w:color="auto" w:fill="auto"/>
          </w:tcPr>
          <w:p w14:paraId="0829440B" w14:textId="77777777" w:rsidR="00AF3581" w:rsidRPr="00506303" w:rsidRDefault="00AF3581" w:rsidP="0067543B">
            <w:pPr>
              <w:rPr>
                <w:sz w:val="18"/>
                <w:szCs w:val="18"/>
              </w:rPr>
            </w:pPr>
          </w:p>
        </w:tc>
        <w:tc>
          <w:tcPr>
            <w:tcW w:w="472" w:type="dxa"/>
            <w:shd w:val="clear" w:color="auto" w:fill="auto"/>
          </w:tcPr>
          <w:p w14:paraId="322403E2" w14:textId="77777777" w:rsidR="00AF3581" w:rsidRPr="00506303" w:rsidRDefault="00AF3581" w:rsidP="0067543B">
            <w:pPr>
              <w:rPr>
                <w:sz w:val="18"/>
                <w:szCs w:val="18"/>
              </w:rPr>
            </w:pPr>
          </w:p>
        </w:tc>
        <w:tc>
          <w:tcPr>
            <w:tcW w:w="472" w:type="dxa"/>
            <w:shd w:val="clear" w:color="auto" w:fill="auto"/>
          </w:tcPr>
          <w:p w14:paraId="2AB5BD2F" w14:textId="77777777" w:rsidR="00AF3581" w:rsidRPr="00506303" w:rsidRDefault="00AF3581" w:rsidP="0067543B">
            <w:pPr>
              <w:rPr>
                <w:sz w:val="18"/>
                <w:szCs w:val="18"/>
              </w:rPr>
            </w:pPr>
          </w:p>
        </w:tc>
        <w:tc>
          <w:tcPr>
            <w:tcW w:w="472" w:type="dxa"/>
            <w:shd w:val="clear" w:color="auto" w:fill="D9D9D9"/>
          </w:tcPr>
          <w:p w14:paraId="192783E0" w14:textId="77777777" w:rsidR="00AF3581" w:rsidRPr="00506303" w:rsidRDefault="00AF3581" w:rsidP="0067543B">
            <w:pPr>
              <w:rPr>
                <w:sz w:val="18"/>
                <w:szCs w:val="18"/>
              </w:rPr>
            </w:pPr>
          </w:p>
        </w:tc>
        <w:tc>
          <w:tcPr>
            <w:tcW w:w="472" w:type="dxa"/>
            <w:shd w:val="clear" w:color="auto" w:fill="auto"/>
          </w:tcPr>
          <w:p w14:paraId="1BFAED03" w14:textId="77777777" w:rsidR="00AF3581" w:rsidRPr="00506303" w:rsidRDefault="00AF3581" w:rsidP="0067543B">
            <w:pPr>
              <w:rPr>
                <w:sz w:val="18"/>
                <w:szCs w:val="18"/>
              </w:rPr>
            </w:pPr>
          </w:p>
        </w:tc>
        <w:tc>
          <w:tcPr>
            <w:tcW w:w="472" w:type="dxa"/>
            <w:shd w:val="clear" w:color="auto" w:fill="auto"/>
          </w:tcPr>
          <w:p w14:paraId="04634E41" w14:textId="77777777" w:rsidR="00AF3581" w:rsidRPr="00506303" w:rsidRDefault="00AF3581" w:rsidP="0067543B">
            <w:pPr>
              <w:rPr>
                <w:sz w:val="18"/>
                <w:szCs w:val="18"/>
              </w:rPr>
            </w:pPr>
          </w:p>
        </w:tc>
        <w:tc>
          <w:tcPr>
            <w:tcW w:w="473" w:type="dxa"/>
            <w:shd w:val="clear" w:color="auto" w:fill="auto"/>
          </w:tcPr>
          <w:p w14:paraId="70BDD5FF" w14:textId="77777777" w:rsidR="00AF3581" w:rsidRPr="00506303" w:rsidRDefault="00AF3581" w:rsidP="0067543B">
            <w:pPr>
              <w:rPr>
                <w:sz w:val="18"/>
                <w:szCs w:val="18"/>
              </w:rPr>
            </w:pPr>
          </w:p>
        </w:tc>
        <w:tc>
          <w:tcPr>
            <w:tcW w:w="473" w:type="dxa"/>
            <w:shd w:val="clear" w:color="auto" w:fill="D9D9D9"/>
          </w:tcPr>
          <w:p w14:paraId="3DC7954B" w14:textId="77777777" w:rsidR="00AF3581" w:rsidRPr="00506303" w:rsidRDefault="00AF3581" w:rsidP="0067543B">
            <w:pPr>
              <w:rPr>
                <w:sz w:val="18"/>
                <w:szCs w:val="18"/>
              </w:rPr>
            </w:pPr>
          </w:p>
        </w:tc>
        <w:tc>
          <w:tcPr>
            <w:tcW w:w="473" w:type="dxa"/>
            <w:shd w:val="clear" w:color="auto" w:fill="auto"/>
          </w:tcPr>
          <w:p w14:paraId="2CB72940" w14:textId="77777777" w:rsidR="00AF3581" w:rsidRPr="00506303" w:rsidRDefault="00AF3581" w:rsidP="0067543B">
            <w:pPr>
              <w:rPr>
                <w:sz w:val="18"/>
                <w:szCs w:val="18"/>
              </w:rPr>
            </w:pPr>
          </w:p>
        </w:tc>
        <w:tc>
          <w:tcPr>
            <w:tcW w:w="473" w:type="dxa"/>
            <w:shd w:val="clear" w:color="auto" w:fill="auto"/>
          </w:tcPr>
          <w:p w14:paraId="09B64F46" w14:textId="77777777" w:rsidR="00AF3581" w:rsidRPr="00506303" w:rsidRDefault="00AF3581" w:rsidP="0067543B">
            <w:pPr>
              <w:rPr>
                <w:sz w:val="18"/>
                <w:szCs w:val="18"/>
              </w:rPr>
            </w:pPr>
          </w:p>
        </w:tc>
        <w:tc>
          <w:tcPr>
            <w:tcW w:w="473" w:type="dxa"/>
            <w:shd w:val="clear" w:color="auto" w:fill="auto"/>
          </w:tcPr>
          <w:p w14:paraId="320BEDCC" w14:textId="77777777" w:rsidR="00AF3581" w:rsidRPr="00506303" w:rsidRDefault="00AF3581" w:rsidP="0067543B">
            <w:pPr>
              <w:rPr>
                <w:sz w:val="18"/>
                <w:szCs w:val="18"/>
              </w:rPr>
            </w:pPr>
          </w:p>
        </w:tc>
        <w:tc>
          <w:tcPr>
            <w:tcW w:w="473" w:type="dxa"/>
            <w:shd w:val="clear" w:color="auto" w:fill="D9D9D9"/>
          </w:tcPr>
          <w:p w14:paraId="0EAE7BE3" w14:textId="77777777" w:rsidR="00AF3581" w:rsidRPr="00506303" w:rsidRDefault="00AF3581" w:rsidP="0067543B">
            <w:pPr>
              <w:rPr>
                <w:sz w:val="18"/>
                <w:szCs w:val="18"/>
              </w:rPr>
            </w:pPr>
          </w:p>
        </w:tc>
        <w:tc>
          <w:tcPr>
            <w:tcW w:w="473" w:type="dxa"/>
            <w:shd w:val="clear" w:color="auto" w:fill="auto"/>
          </w:tcPr>
          <w:p w14:paraId="56D35F99" w14:textId="77777777" w:rsidR="00AF3581" w:rsidRPr="00506303" w:rsidRDefault="00AF3581" w:rsidP="0067543B">
            <w:pPr>
              <w:rPr>
                <w:sz w:val="18"/>
                <w:szCs w:val="18"/>
              </w:rPr>
            </w:pPr>
          </w:p>
        </w:tc>
        <w:tc>
          <w:tcPr>
            <w:tcW w:w="473" w:type="dxa"/>
            <w:shd w:val="clear" w:color="auto" w:fill="auto"/>
          </w:tcPr>
          <w:p w14:paraId="060749E7" w14:textId="77777777" w:rsidR="00AF3581" w:rsidRPr="00506303" w:rsidRDefault="00AF3581" w:rsidP="0067543B">
            <w:pPr>
              <w:rPr>
                <w:sz w:val="18"/>
                <w:szCs w:val="18"/>
              </w:rPr>
            </w:pPr>
          </w:p>
        </w:tc>
        <w:tc>
          <w:tcPr>
            <w:tcW w:w="473" w:type="dxa"/>
            <w:shd w:val="clear" w:color="auto" w:fill="auto"/>
          </w:tcPr>
          <w:p w14:paraId="60AAC3CF" w14:textId="77777777" w:rsidR="00AF3581" w:rsidRPr="00506303" w:rsidRDefault="00AF3581" w:rsidP="0067543B">
            <w:pPr>
              <w:rPr>
                <w:sz w:val="18"/>
                <w:szCs w:val="18"/>
              </w:rPr>
            </w:pPr>
          </w:p>
        </w:tc>
        <w:tc>
          <w:tcPr>
            <w:tcW w:w="473" w:type="dxa"/>
            <w:shd w:val="clear" w:color="auto" w:fill="D9D9D9"/>
          </w:tcPr>
          <w:p w14:paraId="1226D270" w14:textId="77777777" w:rsidR="00AF3581" w:rsidRPr="00506303" w:rsidRDefault="00AF3581" w:rsidP="0067543B">
            <w:pPr>
              <w:rPr>
                <w:sz w:val="18"/>
                <w:szCs w:val="18"/>
              </w:rPr>
            </w:pPr>
          </w:p>
        </w:tc>
      </w:tr>
      <w:tr w:rsidR="00AF3581" w:rsidRPr="00506303" w14:paraId="0B8BCBCA" w14:textId="77777777" w:rsidTr="00506303">
        <w:tc>
          <w:tcPr>
            <w:tcW w:w="944" w:type="dxa"/>
            <w:shd w:val="clear" w:color="auto" w:fill="F2F2F2"/>
          </w:tcPr>
          <w:p w14:paraId="7053A149" w14:textId="77777777" w:rsidR="00AF3581" w:rsidRPr="00506303" w:rsidRDefault="00AF3581" w:rsidP="0067543B">
            <w:pPr>
              <w:rPr>
                <w:b/>
                <w:sz w:val="18"/>
                <w:szCs w:val="18"/>
              </w:rPr>
            </w:pPr>
            <w:r w:rsidRPr="00506303">
              <w:rPr>
                <w:b/>
                <w:sz w:val="18"/>
                <w:szCs w:val="18"/>
              </w:rPr>
              <w:t>3.2</w:t>
            </w:r>
          </w:p>
        </w:tc>
        <w:tc>
          <w:tcPr>
            <w:tcW w:w="13226" w:type="dxa"/>
            <w:gridSpan w:val="21"/>
            <w:shd w:val="clear" w:color="auto" w:fill="F2F2F2"/>
          </w:tcPr>
          <w:p w14:paraId="535F56A5" w14:textId="77777777" w:rsidR="00AF3581" w:rsidRPr="00506303" w:rsidRDefault="00AF3581" w:rsidP="0067543B">
            <w:pPr>
              <w:rPr>
                <w:b/>
                <w:sz w:val="18"/>
                <w:szCs w:val="18"/>
              </w:rPr>
            </w:pPr>
            <w:r w:rsidRPr="00506303">
              <w:rPr>
                <w:b/>
                <w:sz w:val="18"/>
                <w:szCs w:val="18"/>
              </w:rPr>
              <w:t>Capacity for civil society and community organization participation in SAP implementation strengthened via operational partnership with GEF SGP</w:t>
            </w:r>
          </w:p>
        </w:tc>
      </w:tr>
      <w:tr w:rsidR="00E071AC" w:rsidRPr="00506303" w14:paraId="6C4D461E" w14:textId="77777777" w:rsidTr="00E071AC">
        <w:tc>
          <w:tcPr>
            <w:tcW w:w="944" w:type="dxa"/>
            <w:shd w:val="clear" w:color="auto" w:fill="auto"/>
          </w:tcPr>
          <w:p w14:paraId="0D15C1AD" w14:textId="77777777" w:rsidR="00AF3581" w:rsidRPr="00506303" w:rsidRDefault="00AF3581" w:rsidP="0067543B">
            <w:pPr>
              <w:rPr>
                <w:sz w:val="18"/>
                <w:szCs w:val="18"/>
              </w:rPr>
            </w:pPr>
            <w:r w:rsidRPr="00506303">
              <w:rPr>
                <w:sz w:val="18"/>
                <w:szCs w:val="18"/>
              </w:rPr>
              <w:t>3.2.1</w:t>
            </w:r>
          </w:p>
        </w:tc>
        <w:tc>
          <w:tcPr>
            <w:tcW w:w="3776" w:type="dxa"/>
            <w:shd w:val="clear" w:color="auto" w:fill="auto"/>
          </w:tcPr>
          <w:p w14:paraId="16B3D3A8" w14:textId="77777777" w:rsidR="00AF3581" w:rsidRPr="00506303" w:rsidRDefault="00AF3581" w:rsidP="0067543B">
            <w:pPr>
              <w:rPr>
                <w:sz w:val="18"/>
                <w:szCs w:val="18"/>
              </w:rPr>
            </w:pPr>
            <w:r w:rsidRPr="00506303">
              <w:rPr>
                <w:sz w:val="18"/>
                <w:szCs w:val="18"/>
              </w:rPr>
              <w:t>Establish cooperative arrangements with GEF SGP in the commissioning and implementation of an additional [#] of community-based projects for SAP implementation</w:t>
            </w:r>
          </w:p>
        </w:tc>
        <w:tc>
          <w:tcPr>
            <w:tcW w:w="472" w:type="dxa"/>
            <w:shd w:val="clear" w:color="auto" w:fill="D9D9D9"/>
          </w:tcPr>
          <w:p w14:paraId="0BCB844A" w14:textId="77777777" w:rsidR="00AF3581" w:rsidRPr="00506303" w:rsidRDefault="00AF3581" w:rsidP="0067543B">
            <w:pPr>
              <w:rPr>
                <w:sz w:val="18"/>
                <w:szCs w:val="18"/>
              </w:rPr>
            </w:pPr>
          </w:p>
        </w:tc>
        <w:tc>
          <w:tcPr>
            <w:tcW w:w="472" w:type="dxa"/>
            <w:shd w:val="clear" w:color="auto" w:fill="D9D9D9"/>
          </w:tcPr>
          <w:p w14:paraId="199EBD76" w14:textId="77777777" w:rsidR="00AF3581" w:rsidRPr="00506303" w:rsidRDefault="00AF3581" w:rsidP="0067543B">
            <w:pPr>
              <w:rPr>
                <w:sz w:val="18"/>
                <w:szCs w:val="18"/>
              </w:rPr>
            </w:pPr>
          </w:p>
        </w:tc>
        <w:tc>
          <w:tcPr>
            <w:tcW w:w="472" w:type="dxa"/>
            <w:shd w:val="clear" w:color="auto" w:fill="D9D9D9"/>
          </w:tcPr>
          <w:p w14:paraId="79D722A4" w14:textId="77777777" w:rsidR="00AF3581" w:rsidRPr="00506303" w:rsidRDefault="00AF3581" w:rsidP="0067543B">
            <w:pPr>
              <w:rPr>
                <w:sz w:val="18"/>
                <w:szCs w:val="18"/>
              </w:rPr>
            </w:pPr>
          </w:p>
        </w:tc>
        <w:tc>
          <w:tcPr>
            <w:tcW w:w="472" w:type="dxa"/>
            <w:shd w:val="clear" w:color="auto" w:fill="D9D9D9"/>
          </w:tcPr>
          <w:p w14:paraId="4D58F86B" w14:textId="77777777" w:rsidR="00AF3581" w:rsidRPr="00506303" w:rsidRDefault="00AF3581" w:rsidP="0067543B">
            <w:pPr>
              <w:rPr>
                <w:sz w:val="18"/>
                <w:szCs w:val="18"/>
              </w:rPr>
            </w:pPr>
          </w:p>
        </w:tc>
        <w:tc>
          <w:tcPr>
            <w:tcW w:w="472" w:type="dxa"/>
            <w:shd w:val="clear" w:color="auto" w:fill="D9D9D9"/>
          </w:tcPr>
          <w:p w14:paraId="693F1109" w14:textId="77777777" w:rsidR="00AF3581" w:rsidRPr="00506303" w:rsidRDefault="00AF3581" w:rsidP="0067543B">
            <w:pPr>
              <w:rPr>
                <w:sz w:val="18"/>
                <w:szCs w:val="18"/>
              </w:rPr>
            </w:pPr>
          </w:p>
        </w:tc>
        <w:tc>
          <w:tcPr>
            <w:tcW w:w="472" w:type="dxa"/>
            <w:shd w:val="clear" w:color="auto" w:fill="D9D9D9"/>
          </w:tcPr>
          <w:p w14:paraId="337D8340" w14:textId="77777777" w:rsidR="00AF3581" w:rsidRPr="00506303" w:rsidRDefault="00AF3581" w:rsidP="0067543B">
            <w:pPr>
              <w:rPr>
                <w:sz w:val="18"/>
                <w:szCs w:val="18"/>
              </w:rPr>
            </w:pPr>
          </w:p>
        </w:tc>
        <w:tc>
          <w:tcPr>
            <w:tcW w:w="472" w:type="dxa"/>
            <w:shd w:val="clear" w:color="auto" w:fill="D9D9D9"/>
          </w:tcPr>
          <w:p w14:paraId="71210730" w14:textId="77777777" w:rsidR="00AF3581" w:rsidRPr="00506303" w:rsidRDefault="00AF3581" w:rsidP="0067543B">
            <w:pPr>
              <w:rPr>
                <w:sz w:val="18"/>
                <w:szCs w:val="18"/>
              </w:rPr>
            </w:pPr>
          </w:p>
        </w:tc>
        <w:tc>
          <w:tcPr>
            <w:tcW w:w="472" w:type="dxa"/>
            <w:shd w:val="clear" w:color="auto" w:fill="D9D9D9"/>
          </w:tcPr>
          <w:p w14:paraId="1B1DAD95" w14:textId="77777777" w:rsidR="00AF3581" w:rsidRPr="00506303" w:rsidRDefault="00AF3581" w:rsidP="0067543B">
            <w:pPr>
              <w:rPr>
                <w:sz w:val="18"/>
                <w:szCs w:val="18"/>
              </w:rPr>
            </w:pPr>
          </w:p>
        </w:tc>
        <w:tc>
          <w:tcPr>
            <w:tcW w:w="472" w:type="dxa"/>
            <w:shd w:val="clear" w:color="auto" w:fill="D9D9D9"/>
          </w:tcPr>
          <w:p w14:paraId="5C98EB65" w14:textId="77777777" w:rsidR="00AF3581" w:rsidRPr="00506303" w:rsidRDefault="00AF3581" w:rsidP="0067543B">
            <w:pPr>
              <w:rPr>
                <w:sz w:val="18"/>
                <w:szCs w:val="18"/>
              </w:rPr>
            </w:pPr>
          </w:p>
        </w:tc>
        <w:tc>
          <w:tcPr>
            <w:tcW w:w="472" w:type="dxa"/>
            <w:shd w:val="clear" w:color="auto" w:fill="D9D9D9"/>
          </w:tcPr>
          <w:p w14:paraId="718B595B" w14:textId="77777777" w:rsidR="00AF3581" w:rsidRPr="00506303" w:rsidRDefault="00AF3581" w:rsidP="0067543B">
            <w:pPr>
              <w:rPr>
                <w:sz w:val="18"/>
                <w:szCs w:val="18"/>
              </w:rPr>
            </w:pPr>
          </w:p>
        </w:tc>
        <w:tc>
          <w:tcPr>
            <w:tcW w:w="473" w:type="dxa"/>
            <w:shd w:val="clear" w:color="auto" w:fill="D9D9D9"/>
          </w:tcPr>
          <w:p w14:paraId="09EFE5D5" w14:textId="77777777" w:rsidR="00AF3581" w:rsidRPr="00506303" w:rsidRDefault="00AF3581" w:rsidP="0067543B">
            <w:pPr>
              <w:rPr>
                <w:sz w:val="18"/>
                <w:szCs w:val="18"/>
              </w:rPr>
            </w:pPr>
          </w:p>
        </w:tc>
        <w:tc>
          <w:tcPr>
            <w:tcW w:w="473" w:type="dxa"/>
            <w:shd w:val="clear" w:color="auto" w:fill="D9D9D9"/>
          </w:tcPr>
          <w:p w14:paraId="5350D3E6" w14:textId="77777777" w:rsidR="00AF3581" w:rsidRPr="00506303" w:rsidRDefault="00AF3581" w:rsidP="0067543B">
            <w:pPr>
              <w:rPr>
                <w:sz w:val="18"/>
                <w:szCs w:val="18"/>
              </w:rPr>
            </w:pPr>
          </w:p>
        </w:tc>
        <w:tc>
          <w:tcPr>
            <w:tcW w:w="473" w:type="dxa"/>
            <w:shd w:val="clear" w:color="auto" w:fill="D9D9D9"/>
          </w:tcPr>
          <w:p w14:paraId="5EDE0F3F" w14:textId="77777777" w:rsidR="00AF3581" w:rsidRPr="00506303" w:rsidRDefault="00AF3581" w:rsidP="0067543B">
            <w:pPr>
              <w:rPr>
                <w:sz w:val="18"/>
                <w:szCs w:val="18"/>
              </w:rPr>
            </w:pPr>
          </w:p>
        </w:tc>
        <w:tc>
          <w:tcPr>
            <w:tcW w:w="473" w:type="dxa"/>
            <w:shd w:val="clear" w:color="auto" w:fill="D9D9D9"/>
          </w:tcPr>
          <w:p w14:paraId="07FBC4EC" w14:textId="77777777" w:rsidR="00AF3581" w:rsidRPr="00506303" w:rsidRDefault="00AF3581" w:rsidP="0067543B">
            <w:pPr>
              <w:rPr>
                <w:sz w:val="18"/>
                <w:szCs w:val="18"/>
              </w:rPr>
            </w:pPr>
          </w:p>
        </w:tc>
        <w:tc>
          <w:tcPr>
            <w:tcW w:w="473" w:type="dxa"/>
            <w:shd w:val="clear" w:color="auto" w:fill="D9D9D9"/>
          </w:tcPr>
          <w:p w14:paraId="60BE4DD3" w14:textId="77777777" w:rsidR="00AF3581" w:rsidRPr="00506303" w:rsidRDefault="00AF3581" w:rsidP="0067543B">
            <w:pPr>
              <w:rPr>
                <w:sz w:val="18"/>
                <w:szCs w:val="18"/>
              </w:rPr>
            </w:pPr>
          </w:p>
        </w:tc>
        <w:tc>
          <w:tcPr>
            <w:tcW w:w="473" w:type="dxa"/>
            <w:shd w:val="clear" w:color="auto" w:fill="D9D9D9"/>
          </w:tcPr>
          <w:p w14:paraId="7FBC8B6A" w14:textId="77777777" w:rsidR="00AF3581" w:rsidRPr="00506303" w:rsidRDefault="00AF3581" w:rsidP="0067543B">
            <w:pPr>
              <w:rPr>
                <w:sz w:val="18"/>
                <w:szCs w:val="18"/>
              </w:rPr>
            </w:pPr>
          </w:p>
        </w:tc>
        <w:tc>
          <w:tcPr>
            <w:tcW w:w="473" w:type="dxa"/>
            <w:shd w:val="clear" w:color="auto" w:fill="D9D9D9"/>
          </w:tcPr>
          <w:p w14:paraId="7F3D53B2" w14:textId="77777777" w:rsidR="00AF3581" w:rsidRPr="00506303" w:rsidRDefault="00AF3581" w:rsidP="0067543B">
            <w:pPr>
              <w:rPr>
                <w:sz w:val="18"/>
                <w:szCs w:val="18"/>
              </w:rPr>
            </w:pPr>
          </w:p>
        </w:tc>
        <w:tc>
          <w:tcPr>
            <w:tcW w:w="473" w:type="dxa"/>
            <w:shd w:val="clear" w:color="auto" w:fill="D9D9D9"/>
          </w:tcPr>
          <w:p w14:paraId="6EC0CCF8" w14:textId="77777777" w:rsidR="00AF3581" w:rsidRPr="00506303" w:rsidRDefault="00AF3581" w:rsidP="0067543B">
            <w:pPr>
              <w:rPr>
                <w:sz w:val="18"/>
                <w:szCs w:val="18"/>
              </w:rPr>
            </w:pPr>
          </w:p>
        </w:tc>
        <w:tc>
          <w:tcPr>
            <w:tcW w:w="473" w:type="dxa"/>
            <w:shd w:val="clear" w:color="auto" w:fill="D9D9D9"/>
          </w:tcPr>
          <w:p w14:paraId="7584494A" w14:textId="77777777" w:rsidR="00AF3581" w:rsidRPr="00506303" w:rsidRDefault="00AF3581" w:rsidP="0067543B">
            <w:pPr>
              <w:rPr>
                <w:sz w:val="18"/>
                <w:szCs w:val="18"/>
              </w:rPr>
            </w:pPr>
          </w:p>
        </w:tc>
        <w:tc>
          <w:tcPr>
            <w:tcW w:w="473" w:type="dxa"/>
            <w:shd w:val="clear" w:color="auto" w:fill="D9D9D9"/>
          </w:tcPr>
          <w:p w14:paraId="6EFC9E2E" w14:textId="77777777" w:rsidR="00AF3581" w:rsidRPr="00506303" w:rsidRDefault="00AF3581" w:rsidP="0067543B">
            <w:pPr>
              <w:rPr>
                <w:sz w:val="18"/>
                <w:szCs w:val="18"/>
              </w:rPr>
            </w:pPr>
          </w:p>
        </w:tc>
      </w:tr>
      <w:tr w:rsidR="00E071AC" w:rsidRPr="00506303" w14:paraId="19F8184B" w14:textId="77777777" w:rsidTr="00E071AC">
        <w:tc>
          <w:tcPr>
            <w:tcW w:w="944" w:type="dxa"/>
            <w:shd w:val="clear" w:color="auto" w:fill="auto"/>
          </w:tcPr>
          <w:p w14:paraId="6B87CD07" w14:textId="77777777" w:rsidR="00AF3581" w:rsidRPr="00506303" w:rsidRDefault="00AF3581" w:rsidP="0067543B">
            <w:pPr>
              <w:rPr>
                <w:sz w:val="18"/>
                <w:szCs w:val="18"/>
              </w:rPr>
            </w:pPr>
            <w:r w:rsidRPr="00506303">
              <w:rPr>
                <w:sz w:val="18"/>
                <w:szCs w:val="18"/>
              </w:rPr>
              <w:t>3.2.2</w:t>
            </w:r>
          </w:p>
        </w:tc>
        <w:tc>
          <w:tcPr>
            <w:tcW w:w="3776" w:type="dxa"/>
            <w:shd w:val="clear" w:color="auto" w:fill="auto"/>
          </w:tcPr>
          <w:p w14:paraId="53D1878B" w14:textId="77777777" w:rsidR="00AF3581" w:rsidRPr="00506303" w:rsidRDefault="00AF3581" w:rsidP="0067543B">
            <w:pPr>
              <w:rPr>
                <w:sz w:val="18"/>
                <w:szCs w:val="18"/>
              </w:rPr>
            </w:pPr>
            <w:r w:rsidRPr="00506303">
              <w:rPr>
                <w:sz w:val="18"/>
                <w:szCs w:val="18"/>
              </w:rPr>
              <w:t>Elicit CSO &amp; CO inputs to planning and M&amp;E of the SCS-SGP partnership via annual NGO forums</w:t>
            </w:r>
          </w:p>
        </w:tc>
        <w:tc>
          <w:tcPr>
            <w:tcW w:w="472" w:type="dxa"/>
            <w:shd w:val="clear" w:color="auto" w:fill="auto"/>
          </w:tcPr>
          <w:p w14:paraId="2849BF08" w14:textId="77777777" w:rsidR="00AF3581" w:rsidRPr="00506303" w:rsidRDefault="00AF3581" w:rsidP="0067543B">
            <w:pPr>
              <w:rPr>
                <w:sz w:val="18"/>
                <w:szCs w:val="18"/>
              </w:rPr>
            </w:pPr>
          </w:p>
        </w:tc>
        <w:tc>
          <w:tcPr>
            <w:tcW w:w="472" w:type="dxa"/>
            <w:shd w:val="clear" w:color="auto" w:fill="auto"/>
          </w:tcPr>
          <w:p w14:paraId="30326016" w14:textId="77777777" w:rsidR="00AF3581" w:rsidRPr="00506303" w:rsidRDefault="00AF3581" w:rsidP="0067543B">
            <w:pPr>
              <w:rPr>
                <w:sz w:val="18"/>
                <w:szCs w:val="18"/>
              </w:rPr>
            </w:pPr>
          </w:p>
        </w:tc>
        <w:tc>
          <w:tcPr>
            <w:tcW w:w="472" w:type="dxa"/>
            <w:shd w:val="clear" w:color="auto" w:fill="auto"/>
          </w:tcPr>
          <w:p w14:paraId="179CFF17" w14:textId="77777777" w:rsidR="00AF3581" w:rsidRPr="00506303" w:rsidRDefault="00AF3581" w:rsidP="0067543B">
            <w:pPr>
              <w:rPr>
                <w:sz w:val="18"/>
                <w:szCs w:val="18"/>
              </w:rPr>
            </w:pPr>
          </w:p>
        </w:tc>
        <w:tc>
          <w:tcPr>
            <w:tcW w:w="472" w:type="dxa"/>
            <w:shd w:val="clear" w:color="auto" w:fill="D9D9D9"/>
          </w:tcPr>
          <w:p w14:paraId="7CF2D9B0" w14:textId="77777777" w:rsidR="00AF3581" w:rsidRPr="00506303" w:rsidRDefault="00AF3581" w:rsidP="0067543B">
            <w:pPr>
              <w:rPr>
                <w:sz w:val="18"/>
                <w:szCs w:val="18"/>
              </w:rPr>
            </w:pPr>
          </w:p>
        </w:tc>
        <w:tc>
          <w:tcPr>
            <w:tcW w:w="472" w:type="dxa"/>
            <w:shd w:val="clear" w:color="auto" w:fill="auto"/>
          </w:tcPr>
          <w:p w14:paraId="0B9627F5" w14:textId="77777777" w:rsidR="00AF3581" w:rsidRPr="00506303" w:rsidRDefault="00AF3581" w:rsidP="0067543B">
            <w:pPr>
              <w:rPr>
                <w:sz w:val="18"/>
                <w:szCs w:val="18"/>
              </w:rPr>
            </w:pPr>
          </w:p>
        </w:tc>
        <w:tc>
          <w:tcPr>
            <w:tcW w:w="472" w:type="dxa"/>
            <w:shd w:val="clear" w:color="auto" w:fill="auto"/>
          </w:tcPr>
          <w:p w14:paraId="1A878E97" w14:textId="77777777" w:rsidR="00AF3581" w:rsidRPr="00506303" w:rsidRDefault="00AF3581" w:rsidP="0067543B">
            <w:pPr>
              <w:rPr>
                <w:sz w:val="18"/>
                <w:szCs w:val="18"/>
              </w:rPr>
            </w:pPr>
          </w:p>
        </w:tc>
        <w:tc>
          <w:tcPr>
            <w:tcW w:w="472" w:type="dxa"/>
            <w:shd w:val="clear" w:color="auto" w:fill="auto"/>
          </w:tcPr>
          <w:p w14:paraId="5D75ED40" w14:textId="77777777" w:rsidR="00AF3581" w:rsidRPr="00506303" w:rsidRDefault="00AF3581" w:rsidP="0067543B">
            <w:pPr>
              <w:rPr>
                <w:sz w:val="18"/>
                <w:szCs w:val="18"/>
              </w:rPr>
            </w:pPr>
          </w:p>
        </w:tc>
        <w:tc>
          <w:tcPr>
            <w:tcW w:w="472" w:type="dxa"/>
            <w:shd w:val="clear" w:color="auto" w:fill="D9D9D9"/>
          </w:tcPr>
          <w:p w14:paraId="101BAB83" w14:textId="77777777" w:rsidR="00AF3581" w:rsidRPr="00506303" w:rsidRDefault="00AF3581" w:rsidP="0067543B">
            <w:pPr>
              <w:rPr>
                <w:sz w:val="18"/>
                <w:szCs w:val="18"/>
              </w:rPr>
            </w:pPr>
          </w:p>
        </w:tc>
        <w:tc>
          <w:tcPr>
            <w:tcW w:w="472" w:type="dxa"/>
            <w:shd w:val="clear" w:color="auto" w:fill="auto"/>
          </w:tcPr>
          <w:p w14:paraId="108F6C5A" w14:textId="77777777" w:rsidR="00AF3581" w:rsidRPr="00506303" w:rsidRDefault="00AF3581" w:rsidP="0067543B">
            <w:pPr>
              <w:rPr>
                <w:sz w:val="18"/>
                <w:szCs w:val="18"/>
              </w:rPr>
            </w:pPr>
          </w:p>
        </w:tc>
        <w:tc>
          <w:tcPr>
            <w:tcW w:w="472" w:type="dxa"/>
            <w:shd w:val="clear" w:color="auto" w:fill="auto"/>
          </w:tcPr>
          <w:p w14:paraId="693C6F2A" w14:textId="77777777" w:rsidR="00AF3581" w:rsidRPr="00506303" w:rsidRDefault="00AF3581" w:rsidP="0067543B">
            <w:pPr>
              <w:rPr>
                <w:sz w:val="18"/>
                <w:szCs w:val="18"/>
              </w:rPr>
            </w:pPr>
          </w:p>
        </w:tc>
        <w:tc>
          <w:tcPr>
            <w:tcW w:w="473" w:type="dxa"/>
            <w:shd w:val="clear" w:color="auto" w:fill="auto"/>
          </w:tcPr>
          <w:p w14:paraId="4E81A07C" w14:textId="77777777" w:rsidR="00AF3581" w:rsidRPr="00506303" w:rsidRDefault="00AF3581" w:rsidP="0067543B">
            <w:pPr>
              <w:rPr>
                <w:sz w:val="18"/>
                <w:szCs w:val="18"/>
              </w:rPr>
            </w:pPr>
          </w:p>
        </w:tc>
        <w:tc>
          <w:tcPr>
            <w:tcW w:w="473" w:type="dxa"/>
            <w:shd w:val="clear" w:color="auto" w:fill="D9D9D9"/>
          </w:tcPr>
          <w:p w14:paraId="5DF6830C" w14:textId="77777777" w:rsidR="00AF3581" w:rsidRPr="00506303" w:rsidRDefault="00AF3581" w:rsidP="0067543B">
            <w:pPr>
              <w:rPr>
                <w:sz w:val="18"/>
                <w:szCs w:val="18"/>
              </w:rPr>
            </w:pPr>
          </w:p>
        </w:tc>
        <w:tc>
          <w:tcPr>
            <w:tcW w:w="473" w:type="dxa"/>
            <w:shd w:val="clear" w:color="auto" w:fill="auto"/>
          </w:tcPr>
          <w:p w14:paraId="550E4092" w14:textId="77777777" w:rsidR="00AF3581" w:rsidRPr="00506303" w:rsidRDefault="00AF3581" w:rsidP="0067543B">
            <w:pPr>
              <w:rPr>
                <w:sz w:val="18"/>
                <w:szCs w:val="18"/>
              </w:rPr>
            </w:pPr>
          </w:p>
        </w:tc>
        <w:tc>
          <w:tcPr>
            <w:tcW w:w="473" w:type="dxa"/>
            <w:shd w:val="clear" w:color="auto" w:fill="auto"/>
          </w:tcPr>
          <w:p w14:paraId="1ECFF962" w14:textId="77777777" w:rsidR="00AF3581" w:rsidRPr="00506303" w:rsidRDefault="00AF3581" w:rsidP="0067543B">
            <w:pPr>
              <w:rPr>
                <w:sz w:val="18"/>
                <w:szCs w:val="18"/>
              </w:rPr>
            </w:pPr>
          </w:p>
        </w:tc>
        <w:tc>
          <w:tcPr>
            <w:tcW w:w="473" w:type="dxa"/>
            <w:shd w:val="clear" w:color="auto" w:fill="auto"/>
          </w:tcPr>
          <w:p w14:paraId="2B9EDE00" w14:textId="77777777" w:rsidR="00AF3581" w:rsidRPr="00506303" w:rsidRDefault="00AF3581" w:rsidP="0067543B">
            <w:pPr>
              <w:rPr>
                <w:sz w:val="18"/>
                <w:szCs w:val="18"/>
              </w:rPr>
            </w:pPr>
          </w:p>
        </w:tc>
        <w:tc>
          <w:tcPr>
            <w:tcW w:w="473" w:type="dxa"/>
            <w:shd w:val="clear" w:color="auto" w:fill="D9D9D9"/>
          </w:tcPr>
          <w:p w14:paraId="08B75EB9" w14:textId="77777777" w:rsidR="00AF3581" w:rsidRPr="00506303" w:rsidRDefault="00AF3581" w:rsidP="0067543B">
            <w:pPr>
              <w:rPr>
                <w:sz w:val="18"/>
                <w:szCs w:val="18"/>
              </w:rPr>
            </w:pPr>
          </w:p>
        </w:tc>
        <w:tc>
          <w:tcPr>
            <w:tcW w:w="473" w:type="dxa"/>
            <w:shd w:val="clear" w:color="auto" w:fill="auto"/>
          </w:tcPr>
          <w:p w14:paraId="7DB9A5F0" w14:textId="77777777" w:rsidR="00AF3581" w:rsidRPr="00506303" w:rsidRDefault="00AF3581" w:rsidP="0067543B">
            <w:pPr>
              <w:rPr>
                <w:sz w:val="18"/>
                <w:szCs w:val="18"/>
              </w:rPr>
            </w:pPr>
          </w:p>
        </w:tc>
        <w:tc>
          <w:tcPr>
            <w:tcW w:w="473" w:type="dxa"/>
            <w:shd w:val="clear" w:color="auto" w:fill="auto"/>
          </w:tcPr>
          <w:p w14:paraId="561FD402" w14:textId="77777777" w:rsidR="00AF3581" w:rsidRPr="00506303" w:rsidRDefault="00AF3581" w:rsidP="0067543B">
            <w:pPr>
              <w:rPr>
                <w:sz w:val="18"/>
                <w:szCs w:val="18"/>
              </w:rPr>
            </w:pPr>
          </w:p>
        </w:tc>
        <w:tc>
          <w:tcPr>
            <w:tcW w:w="473" w:type="dxa"/>
            <w:shd w:val="clear" w:color="auto" w:fill="auto"/>
          </w:tcPr>
          <w:p w14:paraId="1E153941" w14:textId="77777777" w:rsidR="00AF3581" w:rsidRPr="00506303" w:rsidRDefault="00AF3581" w:rsidP="0067543B">
            <w:pPr>
              <w:rPr>
                <w:sz w:val="18"/>
                <w:szCs w:val="18"/>
              </w:rPr>
            </w:pPr>
          </w:p>
        </w:tc>
        <w:tc>
          <w:tcPr>
            <w:tcW w:w="473" w:type="dxa"/>
            <w:shd w:val="clear" w:color="auto" w:fill="D9D9D9"/>
          </w:tcPr>
          <w:p w14:paraId="2F423500" w14:textId="77777777" w:rsidR="00AF3581" w:rsidRPr="00506303" w:rsidRDefault="00AF3581" w:rsidP="0067543B">
            <w:pPr>
              <w:rPr>
                <w:sz w:val="18"/>
                <w:szCs w:val="18"/>
              </w:rPr>
            </w:pPr>
          </w:p>
        </w:tc>
      </w:tr>
      <w:tr w:rsidR="00E071AC" w:rsidRPr="00506303" w14:paraId="22C3DA30" w14:textId="77777777" w:rsidTr="00E071AC">
        <w:tc>
          <w:tcPr>
            <w:tcW w:w="944" w:type="dxa"/>
            <w:shd w:val="clear" w:color="auto" w:fill="auto"/>
          </w:tcPr>
          <w:p w14:paraId="5DC8C02C" w14:textId="77777777" w:rsidR="00AF3581" w:rsidRPr="00506303" w:rsidRDefault="00AF3581" w:rsidP="0067543B">
            <w:pPr>
              <w:rPr>
                <w:sz w:val="18"/>
                <w:szCs w:val="18"/>
              </w:rPr>
            </w:pPr>
            <w:r w:rsidRPr="00506303">
              <w:rPr>
                <w:sz w:val="18"/>
                <w:szCs w:val="18"/>
              </w:rPr>
              <w:t>3.2.3</w:t>
            </w:r>
          </w:p>
        </w:tc>
        <w:tc>
          <w:tcPr>
            <w:tcW w:w="3776" w:type="dxa"/>
            <w:shd w:val="clear" w:color="auto" w:fill="auto"/>
          </w:tcPr>
          <w:p w14:paraId="79814A66" w14:textId="77777777" w:rsidR="00AF3581" w:rsidRPr="00506303" w:rsidRDefault="00AF3581" w:rsidP="0067543B">
            <w:pPr>
              <w:rPr>
                <w:sz w:val="18"/>
                <w:szCs w:val="18"/>
              </w:rPr>
            </w:pPr>
            <w:r w:rsidRPr="00506303">
              <w:rPr>
                <w:sz w:val="18"/>
                <w:szCs w:val="18"/>
              </w:rPr>
              <w:t>Develop and operate a training program on the science and management of SCS coastal habitats and resources for SGP proponents</w:t>
            </w:r>
          </w:p>
        </w:tc>
        <w:tc>
          <w:tcPr>
            <w:tcW w:w="472" w:type="dxa"/>
            <w:shd w:val="clear" w:color="auto" w:fill="D9D9D9"/>
          </w:tcPr>
          <w:p w14:paraId="701012E7" w14:textId="77777777" w:rsidR="00AF3581" w:rsidRPr="00506303" w:rsidRDefault="00AF3581" w:rsidP="0067543B">
            <w:pPr>
              <w:rPr>
                <w:sz w:val="18"/>
                <w:szCs w:val="18"/>
              </w:rPr>
            </w:pPr>
          </w:p>
        </w:tc>
        <w:tc>
          <w:tcPr>
            <w:tcW w:w="472" w:type="dxa"/>
            <w:shd w:val="clear" w:color="auto" w:fill="D9D9D9"/>
          </w:tcPr>
          <w:p w14:paraId="33B21ED5" w14:textId="77777777" w:rsidR="00AF3581" w:rsidRPr="00506303" w:rsidRDefault="00AF3581" w:rsidP="0067543B">
            <w:pPr>
              <w:rPr>
                <w:sz w:val="18"/>
                <w:szCs w:val="18"/>
              </w:rPr>
            </w:pPr>
          </w:p>
        </w:tc>
        <w:tc>
          <w:tcPr>
            <w:tcW w:w="472" w:type="dxa"/>
            <w:shd w:val="clear" w:color="auto" w:fill="D9D9D9"/>
          </w:tcPr>
          <w:p w14:paraId="53558F0B" w14:textId="77777777" w:rsidR="00AF3581" w:rsidRPr="00506303" w:rsidRDefault="00AF3581" w:rsidP="0067543B">
            <w:pPr>
              <w:rPr>
                <w:sz w:val="18"/>
                <w:szCs w:val="18"/>
              </w:rPr>
            </w:pPr>
          </w:p>
        </w:tc>
        <w:tc>
          <w:tcPr>
            <w:tcW w:w="472" w:type="dxa"/>
            <w:shd w:val="clear" w:color="auto" w:fill="D9D9D9"/>
          </w:tcPr>
          <w:p w14:paraId="145D85A5" w14:textId="77777777" w:rsidR="00AF3581" w:rsidRPr="00506303" w:rsidRDefault="00AF3581" w:rsidP="0067543B">
            <w:pPr>
              <w:rPr>
                <w:sz w:val="18"/>
                <w:szCs w:val="18"/>
              </w:rPr>
            </w:pPr>
          </w:p>
        </w:tc>
        <w:tc>
          <w:tcPr>
            <w:tcW w:w="472" w:type="dxa"/>
            <w:shd w:val="clear" w:color="auto" w:fill="auto"/>
          </w:tcPr>
          <w:p w14:paraId="62DCCCF4" w14:textId="77777777" w:rsidR="00AF3581" w:rsidRPr="00506303" w:rsidRDefault="00AF3581" w:rsidP="0067543B">
            <w:pPr>
              <w:rPr>
                <w:sz w:val="18"/>
                <w:szCs w:val="18"/>
              </w:rPr>
            </w:pPr>
          </w:p>
        </w:tc>
        <w:tc>
          <w:tcPr>
            <w:tcW w:w="472" w:type="dxa"/>
            <w:shd w:val="clear" w:color="auto" w:fill="D9D9D9"/>
          </w:tcPr>
          <w:p w14:paraId="4BAF8774" w14:textId="77777777" w:rsidR="00AF3581" w:rsidRPr="00506303" w:rsidRDefault="00AF3581" w:rsidP="0067543B">
            <w:pPr>
              <w:rPr>
                <w:sz w:val="18"/>
                <w:szCs w:val="18"/>
              </w:rPr>
            </w:pPr>
          </w:p>
        </w:tc>
        <w:tc>
          <w:tcPr>
            <w:tcW w:w="472" w:type="dxa"/>
            <w:shd w:val="clear" w:color="auto" w:fill="auto"/>
          </w:tcPr>
          <w:p w14:paraId="27EC4CAD" w14:textId="77777777" w:rsidR="00AF3581" w:rsidRPr="00506303" w:rsidRDefault="00AF3581" w:rsidP="0067543B">
            <w:pPr>
              <w:rPr>
                <w:sz w:val="18"/>
                <w:szCs w:val="18"/>
              </w:rPr>
            </w:pPr>
          </w:p>
        </w:tc>
        <w:tc>
          <w:tcPr>
            <w:tcW w:w="472" w:type="dxa"/>
            <w:shd w:val="clear" w:color="auto" w:fill="auto"/>
          </w:tcPr>
          <w:p w14:paraId="2F465307" w14:textId="77777777" w:rsidR="00AF3581" w:rsidRPr="00506303" w:rsidRDefault="00AF3581" w:rsidP="0067543B">
            <w:pPr>
              <w:rPr>
                <w:sz w:val="18"/>
                <w:szCs w:val="18"/>
              </w:rPr>
            </w:pPr>
          </w:p>
        </w:tc>
        <w:tc>
          <w:tcPr>
            <w:tcW w:w="472" w:type="dxa"/>
            <w:shd w:val="clear" w:color="auto" w:fill="auto"/>
          </w:tcPr>
          <w:p w14:paraId="37EC06A4" w14:textId="77777777" w:rsidR="00AF3581" w:rsidRPr="00506303" w:rsidRDefault="00AF3581" w:rsidP="0067543B">
            <w:pPr>
              <w:rPr>
                <w:sz w:val="18"/>
                <w:szCs w:val="18"/>
              </w:rPr>
            </w:pPr>
          </w:p>
        </w:tc>
        <w:tc>
          <w:tcPr>
            <w:tcW w:w="472" w:type="dxa"/>
            <w:shd w:val="clear" w:color="auto" w:fill="D9D9D9"/>
          </w:tcPr>
          <w:p w14:paraId="74C785E9" w14:textId="77777777" w:rsidR="00AF3581" w:rsidRPr="00506303" w:rsidRDefault="00AF3581" w:rsidP="0067543B">
            <w:pPr>
              <w:rPr>
                <w:sz w:val="18"/>
                <w:szCs w:val="18"/>
              </w:rPr>
            </w:pPr>
          </w:p>
        </w:tc>
        <w:tc>
          <w:tcPr>
            <w:tcW w:w="473" w:type="dxa"/>
            <w:shd w:val="clear" w:color="auto" w:fill="auto"/>
          </w:tcPr>
          <w:p w14:paraId="25692EA9" w14:textId="77777777" w:rsidR="00AF3581" w:rsidRPr="00506303" w:rsidRDefault="00AF3581" w:rsidP="0067543B">
            <w:pPr>
              <w:rPr>
                <w:sz w:val="18"/>
                <w:szCs w:val="18"/>
              </w:rPr>
            </w:pPr>
          </w:p>
        </w:tc>
        <w:tc>
          <w:tcPr>
            <w:tcW w:w="473" w:type="dxa"/>
            <w:shd w:val="clear" w:color="auto" w:fill="auto"/>
          </w:tcPr>
          <w:p w14:paraId="4F2FDC57" w14:textId="77777777" w:rsidR="00AF3581" w:rsidRPr="00506303" w:rsidRDefault="00AF3581" w:rsidP="0067543B">
            <w:pPr>
              <w:rPr>
                <w:sz w:val="18"/>
                <w:szCs w:val="18"/>
              </w:rPr>
            </w:pPr>
          </w:p>
        </w:tc>
        <w:tc>
          <w:tcPr>
            <w:tcW w:w="473" w:type="dxa"/>
            <w:shd w:val="clear" w:color="auto" w:fill="auto"/>
          </w:tcPr>
          <w:p w14:paraId="7A24D25D" w14:textId="77777777" w:rsidR="00AF3581" w:rsidRPr="00506303" w:rsidRDefault="00AF3581" w:rsidP="0067543B">
            <w:pPr>
              <w:rPr>
                <w:sz w:val="18"/>
                <w:szCs w:val="18"/>
              </w:rPr>
            </w:pPr>
          </w:p>
        </w:tc>
        <w:tc>
          <w:tcPr>
            <w:tcW w:w="473" w:type="dxa"/>
            <w:shd w:val="clear" w:color="auto" w:fill="D9D9D9"/>
          </w:tcPr>
          <w:p w14:paraId="71A7350A" w14:textId="77777777" w:rsidR="00AF3581" w:rsidRPr="00506303" w:rsidRDefault="00AF3581" w:rsidP="0067543B">
            <w:pPr>
              <w:rPr>
                <w:sz w:val="18"/>
                <w:szCs w:val="18"/>
              </w:rPr>
            </w:pPr>
          </w:p>
        </w:tc>
        <w:tc>
          <w:tcPr>
            <w:tcW w:w="473" w:type="dxa"/>
            <w:shd w:val="clear" w:color="auto" w:fill="auto"/>
          </w:tcPr>
          <w:p w14:paraId="36AAB931" w14:textId="77777777" w:rsidR="00AF3581" w:rsidRPr="00506303" w:rsidRDefault="00AF3581" w:rsidP="0067543B">
            <w:pPr>
              <w:rPr>
                <w:sz w:val="18"/>
                <w:szCs w:val="18"/>
              </w:rPr>
            </w:pPr>
          </w:p>
        </w:tc>
        <w:tc>
          <w:tcPr>
            <w:tcW w:w="473" w:type="dxa"/>
            <w:shd w:val="clear" w:color="auto" w:fill="auto"/>
          </w:tcPr>
          <w:p w14:paraId="4E8F70AE" w14:textId="77777777" w:rsidR="00AF3581" w:rsidRPr="00506303" w:rsidRDefault="00AF3581" w:rsidP="0067543B">
            <w:pPr>
              <w:rPr>
                <w:sz w:val="18"/>
                <w:szCs w:val="18"/>
              </w:rPr>
            </w:pPr>
          </w:p>
        </w:tc>
        <w:tc>
          <w:tcPr>
            <w:tcW w:w="473" w:type="dxa"/>
            <w:shd w:val="clear" w:color="auto" w:fill="auto"/>
          </w:tcPr>
          <w:p w14:paraId="6FE2A1EB" w14:textId="77777777" w:rsidR="00AF3581" w:rsidRPr="00506303" w:rsidRDefault="00AF3581" w:rsidP="0067543B">
            <w:pPr>
              <w:rPr>
                <w:sz w:val="18"/>
                <w:szCs w:val="18"/>
              </w:rPr>
            </w:pPr>
          </w:p>
        </w:tc>
        <w:tc>
          <w:tcPr>
            <w:tcW w:w="473" w:type="dxa"/>
            <w:shd w:val="clear" w:color="auto" w:fill="D9D9D9"/>
          </w:tcPr>
          <w:p w14:paraId="646AA4FD" w14:textId="77777777" w:rsidR="00AF3581" w:rsidRPr="00506303" w:rsidRDefault="00AF3581" w:rsidP="0067543B">
            <w:pPr>
              <w:rPr>
                <w:sz w:val="18"/>
                <w:szCs w:val="18"/>
              </w:rPr>
            </w:pPr>
          </w:p>
        </w:tc>
        <w:tc>
          <w:tcPr>
            <w:tcW w:w="473" w:type="dxa"/>
            <w:shd w:val="clear" w:color="auto" w:fill="auto"/>
          </w:tcPr>
          <w:p w14:paraId="6A48580C" w14:textId="77777777" w:rsidR="00AF3581" w:rsidRPr="00506303" w:rsidRDefault="00AF3581" w:rsidP="0067543B">
            <w:pPr>
              <w:rPr>
                <w:sz w:val="18"/>
                <w:szCs w:val="18"/>
              </w:rPr>
            </w:pPr>
          </w:p>
        </w:tc>
        <w:tc>
          <w:tcPr>
            <w:tcW w:w="473" w:type="dxa"/>
            <w:shd w:val="clear" w:color="auto" w:fill="auto"/>
          </w:tcPr>
          <w:p w14:paraId="7466B1E7" w14:textId="77777777" w:rsidR="00AF3581" w:rsidRPr="00506303" w:rsidRDefault="00AF3581" w:rsidP="0067543B">
            <w:pPr>
              <w:rPr>
                <w:sz w:val="18"/>
                <w:szCs w:val="18"/>
              </w:rPr>
            </w:pPr>
          </w:p>
        </w:tc>
      </w:tr>
      <w:tr w:rsidR="00AF3581" w:rsidRPr="00506303" w14:paraId="5725A745" w14:textId="77777777" w:rsidTr="00506303">
        <w:tc>
          <w:tcPr>
            <w:tcW w:w="944" w:type="dxa"/>
            <w:shd w:val="clear" w:color="auto" w:fill="F2F2F2"/>
          </w:tcPr>
          <w:p w14:paraId="4E96333C" w14:textId="77777777" w:rsidR="00AF3581" w:rsidRPr="00506303" w:rsidRDefault="00AF3581" w:rsidP="0067543B">
            <w:pPr>
              <w:rPr>
                <w:b/>
                <w:sz w:val="18"/>
                <w:szCs w:val="18"/>
              </w:rPr>
            </w:pPr>
            <w:r w:rsidRPr="00506303">
              <w:rPr>
                <w:b/>
                <w:sz w:val="18"/>
                <w:szCs w:val="18"/>
              </w:rPr>
              <w:t>3.3</w:t>
            </w:r>
          </w:p>
        </w:tc>
        <w:tc>
          <w:tcPr>
            <w:tcW w:w="13226" w:type="dxa"/>
            <w:gridSpan w:val="21"/>
            <w:shd w:val="clear" w:color="auto" w:fill="F2F2F2"/>
          </w:tcPr>
          <w:p w14:paraId="73386FCB" w14:textId="77777777" w:rsidR="00AF3581" w:rsidRPr="00506303" w:rsidRDefault="00AF3581" w:rsidP="0067543B">
            <w:pPr>
              <w:rPr>
                <w:b/>
                <w:sz w:val="18"/>
                <w:szCs w:val="18"/>
              </w:rPr>
            </w:pPr>
            <w:r w:rsidRPr="00506303">
              <w:rPr>
                <w:b/>
                <w:sz w:val="18"/>
                <w:szCs w:val="18"/>
              </w:rPr>
              <w:t>Relationships between central and local governments and the private sector strengthened and formalized</w:t>
            </w:r>
          </w:p>
        </w:tc>
      </w:tr>
      <w:tr w:rsidR="00E071AC" w:rsidRPr="00506303" w14:paraId="456280E3" w14:textId="77777777" w:rsidTr="00E071AC">
        <w:tc>
          <w:tcPr>
            <w:tcW w:w="944" w:type="dxa"/>
            <w:shd w:val="clear" w:color="auto" w:fill="auto"/>
          </w:tcPr>
          <w:p w14:paraId="5A8EEAE4" w14:textId="77777777" w:rsidR="00AF3581" w:rsidRPr="00506303" w:rsidRDefault="00AF3581" w:rsidP="0067543B">
            <w:pPr>
              <w:rPr>
                <w:sz w:val="18"/>
                <w:szCs w:val="18"/>
              </w:rPr>
            </w:pPr>
            <w:r w:rsidRPr="00506303">
              <w:rPr>
                <w:sz w:val="18"/>
                <w:szCs w:val="18"/>
              </w:rPr>
              <w:t>3.3.1</w:t>
            </w:r>
          </w:p>
        </w:tc>
        <w:tc>
          <w:tcPr>
            <w:tcW w:w="3776" w:type="dxa"/>
            <w:shd w:val="clear" w:color="auto" w:fill="auto"/>
          </w:tcPr>
          <w:p w14:paraId="37D60B17" w14:textId="77777777" w:rsidR="00AF3581" w:rsidRPr="00506303" w:rsidRDefault="00AF3581" w:rsidP="0067543B">
            <w:pPr>
              <w:rPr>
                <w:sz w:val="18"/>
                <w:szCs w:val="18"/>
              </w:rPr>
            </w:pPr>
            <w:r w:rsidRPr="00506303">
              <w:rPr>
                <w:sz w:val="18"/>
                <w:szCs w:val="18"/>
              </w:rPr>
              <w:t>Conduct review of past and ongoing public-private partnerships for coastal management in SCS region</w:t>
            </w:r>
          </w:p>
        </w:tc>
        <w:tc>
          <w:tcPr>
            <w:tcW w:w="472" w:type="dxa"/>
            <w:shd w:val="clear" w:color="auto" w:fill="auto"/>
          </w:tcPr>
          <w:p w14:paraId="2974382A" w14:textId="77777777" w:rsidR="00AF3581" w:rsidRPr="00506303" w:rsidRDefault="00AF3581" w:rsidP="0067543B">
            <w:pPr>
              <w:rPr>
                <w:sz w:val="18"/>
                <w:szCs w:val="18"/>
              </w:rPr>
            </w:pPr>
          </w:p>
        </w:tc>
        <w:tc>
          <w:tcPr>
            <w:tcW w:w="472" w:type="dxa"/>
            <w:shd w:val="clear" w:color="auto" w:fill="auto"/>
          </w:tcPr>
          <w:p w14:paraId="6A9B6FAF" w14:textId="77777777" w:rsidR="00AF3581" w:rsidRPr="00506303" w:rsidRDefault="00AF3581" w:rsidP="0067543B">
            <w:pPr>
              <w:rPr>
                <w:sz w:val="18"/>
                <w:szCs w:val="18"/>
              </w:rPr>
            </w:pPr>
          </w:p>
        </w:tc>
        <w:tc>
          <w:tcPr>
            <w:tcW w:w="472" w:type="dxa"/>
            <w:shd w:val="clear" w:color="auto" w:fill="D9D9D9"/>
          </w:tcPr>
          <w:p w14:paraId="681870E7" w14:textId="77777777" w:rsidR="00AF3581" w:rsidRPr="00506303" w:rsidRDefault="00AF3581" w:rsidP="0067543B">
            <w:pPr>
              <w:rPr>
                <w:sz w:val="18"/>
                <w:szCs w:val="18"/>
              </w:rPr>
            </w:pPr>
          </w:p>
        </w:tc>
        <w:tc>
          <w:tcPr>
            <w:tcW w:w="472" w:type="dxa"/>
            <w:shd w:val="clear" w:color="auto" w:fill="D9D9D9"/>
          </w:tcPr>
          <w:p w14:paraId="0CB03014" w14:textId="77777777" w:rsidR="00AF3581" w:rsidRPr="00506303" w:rsidRDefault="00AF3581" w:rsidP="0067543B">
            <w:pPr>
              <w:rPr>
                <w:sz w:val="18"/>
                <w:szCs w:val="18"/>
              </w:rPr>
            </w:pPr>
          </w:p>
        </w:tc>
        <w:tc>
          <w:tcPr>
            <w:tcW w:w="472" w:type="dxa"/>
            <w:shd w:val="clear" w:color="auto" w:fill="D9D9D9"/>
          </w:tcPr>
          <w:p w14:paraId="5E3120CB" w14:textId="77777777" w:rsidR="00AF3581" w:rsidRPr="00506303" w:rsidRDefault="00AF3581" w:rsidP="0067543B">
            <w:pPr>
              <w:rPr>
                <w:sz w:val="18"/>
                <w:szCs w:val="18"/>
              </w:rPr>
            </w:pPr>
          </w:p>
        </w:tc>
        <w:tc>
          <w:tcPr>
            <w:tcW w:w="472" w:type="dxa"/>
            <w:shd w:val="clear" w:color="auto" w:fill="D9D9D9"/>
          </w:tcPr>
          <w:p w14:paraId="1DC3E80F" w14:textId="77777777" w:rsidR="00AF3581" w:rsidRPr="00506303" w:rsidRDefault="00AF3581" w:rsidP="0067543B">
            <w:pPr>
              <w:rPr>
                <w:sz w:val="18"/>
                <w:szCs w:val="18"/>
              </w:rPr>
            </w:pPr>
          </w:p>
        </w:tc>
        <w:tc>
          <w:tcPr>
            <w:tcW w:w="472" w:type="dxa"/>
            <w:shd w:val="clear" w:color="auto" w:fill="auto"/>
          </w:tcPr>
          <w:p w14:paraId="7FAA58E5" w14:textId="77777777" w:rsidR="00AF3581" w:rsidRPr="00506303" w:rsidRDefault="00AF3581" w:rsidP="0067543B">
            <w:pPr>
              <w:rPr>
                <w:sz w:val="18"/>
                <w:szCs w:val="18"/>
              </w:rPr>
            </w:pPr>
          </w:p>
        </w:tc>
        <w:tc>
          <w:tcPr>
            <w:tcW w:w="472" w:type="dxa"/>
            <w:shd w:val="clear" w:color="auto" w:fill="auto"/>
          </w:tcPr>
          <w:p w14:paraId="4521340A" w14:textId="77777777" w:rsidR="00AF3581" w:rsidRPr="00506303" w:rsidRDefault="00AF3581" w:rsidP="0067543B">
            <w:pPr>
              <w:rPr>
                <w:sz w:val="18"/>
                <w:szCs w:val="18"/>
              </w:rPr>
            </w:pPr>
          </w:p>
        </w:tc>
        <w:tc>
          <w:tcPr>
            <w:tcW w:w="472" w:type="dxa"/>
            <w:shd w:val="clear" w:color="auto" w:fill="auto"/>
          </w:tcPr>
          <w:p w14:paraId="25D63E5F" w14:textId="77777777" w:rsidR="00AF3581" w:rsidRPr="00506303" w:rsidRDefault="00AF3581" w:rsidP="0067543B">
            <w:pPr>
              <w:rPr>
                <w:sz w:val="18"/>
                <w:szCs w:val="18"/>
              </w:rPr>
            </w:pPr>
          </w:p>
        </w:tc>
        <w:tc>
          <w:tcPr>
            <w:tcW w:w="472" w:type="dxa"/>
            <w:shd w:val="clear" w:color="auto" w:fill="auto"/>
          </w:tcPr>
          <w:p w14:paraId="27239B14" w14:textId="77777777" w:rsidR="00AF3581" w:rsidRPr="00506303" w:rsidRDefault="00AF3581" w:rsidP="0067543B">
            <w:pPr>
              <w:rPr>
                <w:sz w:val="18"/>
                <w:szCs w:val="18"/>
              </w:rPr>
            </w:pPr>
          </w:p>
        </w:tc>
        <w:tc>
          <w:tcPr>
            <w:tcW w:w="473" w:type="dxa"/>
            <w:shd w:val="clear" w:color="auto" w:fill="auto"/>
          </w:tcPr>
          <w:p w14:paraId="1C011C91" w14:textId="77777777" w:rsidR="00AF3581" w:rsidRPr="00506303" w:rsidRDefault="00AF3581" w:rsidP="0067543B">
            <w:pPr>
              <w:rPr>
                <w:sz w:val="18"/>
                <w:szCs w:val="18"/>
              </w:rPr>
            </w:pPr>
          </w:p>
        </w:tc>
        <w:tc>
          <w:tcPr>
            <w:tcW w:w="473" w:type="dxa"/>
            <w:shd w:val="clear" w:color="auto" w:fill="auto"/>
          </w:tcPr>
          <w:p w14:paraId="71B1B965" w14:textId="77777777" w:rsidR="00AF3581" w:rsidRPr="00506303" w:rsidRDefault="00AF3581" w:rsidP="0067543B">
            <w:pPr>
              <w:rPr>
                <w:sz w:val="18"/>
                <w:szCs w:val="18"/>
              </w:rPr>
            </w:pPr>
          </w:p>
        </w:tc>
        <w:tc>
          <w:tcPr>
            <w:tcW w:w="473" w:type="dxa"/>
            <w:shd w:val="clear" w:color="auto" w:fill="auto"/>
          </w:tcPr>
          <w:p w14:paraId="4A2245E9" w14:textId="77777777" w:rsidR="00AF3581" w:rsidRPr="00506303" w:rsidRDefault="00AF3581" w:rsidP="0067543B">
            <w:pPr>
              <w:rPr>
                <w:sz w:val="18"/>
                <w:szCs w:val="18"/>
              </w:rPr>
            </w:pPr>
          </w:p>
        </w:tc>
        <w:tc>
          <w:tcPr>
            <w:tcW w:w="473" w:type="dxa"/>
            <w:shd w:val="clear" w:color="auto" w:fill="auto"/>
          </w:tcPr>
          <w:p w14:paraId="1FE0DCFB" w14:textId="77777777" w:rsidR="00AF3581" w:rsidRPr="00506303" w:rsidRDefault="00AF3581" w:rsidP="0067543B">
            <w:pPr>
              <w:rPr>
                <w:sz w:val="18"/>
                <w:szCs w:val="18"/>
              </w:rPr>
            </w:pPr>
          </w:p>
        </w:tc>
        <w:tc>
          <w:tcPr>
            <w:tcW w:w="473" w:type="dxa"/>
            <w:shd w:val="clear" w:color="auto" w:fill="auto"/>
          </w:tcPr>
          <w:p w14:paraId="108A3ACA" w14:textId="77777777" w:rsidR="00AF3581" w:rsidRPr="00506303" w:rsidRDefault="00AF3581" w:rsidP="0067543B">
            <w:pPr>
              <w:rPr>
                <w:sz w:val="18"/>
                <w:szCs w:val="18"/>
              </w:rPr>
            </w:pPr>
          </w:p>
        </w:tc>
        <w:tc>
          <w:tcPr>
            <w:tcW w:w="473" w:type="dxa"/>
            <w:shd w:val="clear" w:color="auto" w:fill="auto"/>
          </w:tcPr>
          <w:p w14:paraId="21FE144D" w14:textId="77777777" w:rsidR="00AF3581" w:rsidRPr="00506303" w:rsidRDefault="00AF3581" w:rsidP="0067543B">
            <w:pPr>
              <w:rPr>
                <w:sz w:val="18"/>
                <w:szCs w:val="18"/>
              </w:rPr>
            </w:pPr>
          </w:p>
        </w:tc>
        <w:tc>
          <w:tcPr>
            <w:tcW w:w="473" w:type="dxa"/>
            <w:shd w:val="clear" w:color="auto" w:fill="auto"/>
          </w:tcPr>
          <w:p w14:paraId="2B5D9B4D" w14:textId="77777777" w:rsidR="00AF3581" w:rsidRPr="00506303" w:rsidRDefault="00AF3581" w:rsidP="0067543B">
            <w:pPr>
              <w:rPr>
                <w:sz w:val="18"/>
                <w:szCs w:val="18"/>
              </w:rPr>
            </w:pPr>
          </w:p>
        </w:tc>
        <w:tc>
          <w:tcPr>
            <w:tcW w:w="473" w:type="dxa"/>
            <w:shd w:val="clear" w:color="auto" w:fill="auto"/>
          </w:tcPr>
          <w:p w14:paraId="411B9DD5" w14:textId="77777777" w:rsidR="00AF3581" w:rsidRPr="00506303" w:rsidRDefault="00AF3581" w:rsidP="0067543B">
            <w:pPr>
              <w:rPr>
                <w:sz w:val="18"/>
                <w:szCs w:val="18"/>
              </w:rPr>
            </w:pPr>
          </w:p>
        </w:tc>
        <w:tc>
          <w:tcPr>
            <w:tcW w:w="473" w:type="dxa"/>
            <w:shd w:val="clear" w:color="auto" w:fill="auto"/>
          </w:tcPr>
          <w:p w14:paraId="5B82CB72" w14:textId="77777777" w:rsidR="00AF3581" w:rsidRPr="00506303" w:rsidRDefault="00AF3581" w:rsidP="0067543B">
            <w:pPr>
              <w:rPr>
                <w:sz w:val="18"/>
                <w:szCs w:val="18"/>
              </w:rPr>
            </w:pPr>
          </w:p>
        </w:tc>
        <w:tc>
          <w:tcPr>
            <w:tcW w:w="473" w:type="dxa"/>
            <w:shd w:val="clear" w:color="auto" w:fill="auto"/>
          </w:tcPr>
          <w:p w14:paraId="43C3B0CD" w14:textId="77777777" w:rsidR="00AF3581" w:rsidRPr="00506303" w:rsidRDefault="00AF3581" w:rsidP="0067543B">
            <w:pPr>
              <w:rPr>
                <w:sz w:val="18"/>
                <w:szCs w:val="18"/>
              </w:rPr>
            </w:pPr>
          </w:p>
        </w:tc>
      </w:tr>
      <w:tr w:rsidR="00E071AC" w:rsidRPr="00506303" w14:paraId="06BE4897" w14:textId="77777777" w:rsidTr="00E071AC">
        <w:tc>
          <w:tcPr>
            <w:tcW w:w="944" w:type="dxa"/>
            <w:shd w:val="clear" w:color="auto" w:fill="auto"/>
          </w:tcPr>
          <w:p w14:paraId="6EF76B30" w14:textId="77777777" w:rsidR="00AF3581" w:rsidRPr="00506303" w:rsidRDefault="00AF3581" w:rsidP="0067543B">
            <w:pPr>
              <w:rPr>
                <w:sz w:val="18"/>
                <w:szCs w:val="18"/>
              </w:rPr>
            </w:pPr>
            <w:r w:rsidRPr="00506303">
              <w:rPr>
                <w:sz w:val="18"/>
                <w:szCs w:val="18"/>
              </w:rPr>
              <w:t>3.3.2</w:t>
            </w:r>
          </w:p>
        </w:tc>
        <w:tc>
          <w:tcPr>
            <w:tcW w:w="3776" w:type="dxa"/>
            <w:shd w:val="clear" w:color="auto" w:fill="auto"/>
          </w:tcPr>
          <w:p w14:paraId="24D811C4" w14:textId="77777777" w:rsidR="00AF3581" w:rsidRPr="00506303" w:rsidRDefault="00AF3581" w:rsidP="0067543B">
            <w:pPr>
              <w:rPr>
                <w:sz w:val="18"/>
                <w:szCs w:val="18"/>
              </w:rPr>
            </w:pPr>
            <w:r w:rsidRPr="00506303">
              <w:rPr>
                <w:sz w:val="18"/>
                <w:szCs w:val="18"/>
              </w:rPr>
              <w:t>Identify opportunities for private sector investment (e.g. oil and gas, fisheries, tourism) in implementation of the updated SAP</w:t>
            </w:r>
          </w:p>
        </w:tc>
        <w:tc>
          <w:tcPr>
            <w:tcW w:w="472" w:type="dxa"/>
            <w:shd w:val="clear" w:color="auto" w:fill="auto"/>
          </w:tcPr>
          <w:p w14:paraId="102E5377" w14:textId="77777777" w:rsidR="00AF3581" w:rsidRPr="00506303" w:rsidRDefault="00AF3581" w:rsidP="0067543B">
            <w:pPr>
              <w:rPr>
                <w:sz w:val="18"/>
                <w:szCs w:val="18"/>
              </w:rPr>
            </w:pPr>
          </w:p>
        </w:tc>
        <w:tc>
          <w:tcPr>
            <w:tcW w:w="472" w:type="dxa"/>
            <w:shd w:val="clear" w:color="auto" w:fill="auto"/>
          </w:tcPr>
          <w:p w14:paraId="5C44A5BD" w14:textId="77777777" w:rsidR="00AF3581" w:rsidRPr="00506303" w:rsidRDefault="00AF3581" w:rsidP="0067543B">
            <w:pPr>
              <w:rPr>
                <w:sz w:val="18"/>
                <w:szCs w:val="18"/>
              </w:rPr>
            </w:pPr>
          </w:p>
        </w:tc>
        <w:tc>
          <w:tcPr>
            <w:tcW w:w="472" w:type="dxa"/>
            <w:shd w:val="clear" w:color="auto" w:fill="auto"/>
          </w:tcPr>
          <w:p w14:paraId="509735A0" w14:textId="77777777" w:rsidR="00AF3581" w:rsidRPr="00506303" w:rsidRDefault="00AF3581" w:rsidP="0067543B">
            <w:pPr>
              <w:rPr>
                <w:sz w:val="18"/>
                <w:szCs w:val="18"/>
              </w:rPr>
            </w:pPr>
          </w:p>
        </w:tc>
        <w:tc>
          <w:tcPr>
            <w:tcW w:w="472" w:type="dxa"/>
            <w:shd w:val="clear" w:color="auto" w:fill="auto"/>
          </w:tcPr>
          <w:p w14:paraId="53F11F87" w14:textId="77777777" w:rsidR="00AF3581" w:rsidRPr="00506303" w:rsidRDefault="00AF3581" w:rsidP="0067543B">
            <w:pPr>
              <w:rPr>
                <w:sz w:val="18"/>
                <w:szCs w:val="18"/>
              </w:rPr>
            </w:pPr>
          </w:p>
        </w:tc>
        <w:tc>
          <w:tcPr>
            <w:tcW w:w="472" w:type="dxa"/>
            <w:shd w:val="clear" w:color="auto" w:fill="D9D9D9"/>
          </w:tcPr>
          <w:p w14:paraId="6453672A" w14:textId="77777777" w:rsidR="00AF3581" w:rsidRPr="00506303" w:rsidRDefault="00AF3581" w:rsidP="0067543B">
            <w:pPr>
              <w:rPr>
                <w:sz w:val="18"/>
                <w:szCs w:val="18"/>
              </w:rPr>
            </w:pPr>
          </w:p>
        </w:tc>
        <w:tc>
          <w:tcPr>
            <w:tcW w:w="472" w:type="dxa"/>
            <w:shd w:val="clear" w:color="auto" w:fill="D9D9D9"/>
          </w:tcPr>
          <w:p w14:paraId="6EA9B063" w14:textId="77777777" w:rsidR="00AF3581" w:rsidRPr="00506303" w:rsidRDefault="00AF3581" w:rsidP="0067543B">
            <w:pPr>
              <w:rPr>
                <w:sz w:val="18"/>
                <w:szCs w:val="18"/>
              </w:rPr>
            </w:pPr>
          </w:p>
        </w:tc>
        <w:tc>
          <w:tcPr>
            <w:tcW w:w="472" w:type="dxa"/>
            <w:shd w:val="clear" w:color="auto" w:fill="D9D9D9"/>
          </w:tcPr>
          <w:p w14:paraId="7EE0C903" w14:textId="77777777" w:rsidR="00AF3581" w:rsidRPr="00506303" w:rsidRDefault="00AF3581" w:rsidP="0067543B">
            <w:pPr>
              <w:rPr>
                <w:sz w:val="18"/>
                <w:szCs w:val="18"/>
              </w:rPr>
            </w:pPr>
          </w:p>
        </w:tc>
        <w:tc>
          <w:tcPr>
            <w:tcW w:w="472" w:type="dxa"/>
            <w:shd w:val="clear" w:color="auto" w:fill="D9D9D9"/>
          </w:tcPr>
          <w:p w14:paraId="108C6C75" w14:textId="77777777" w:rsidR="00AF3581" w:rsidRPr="00506303" w:rsidRDefault="00AF3581" w:rsidP="0067543B">
            <w:pPr>
              <w:rPr>
                <w:sz w:val="18"/>
                <w:szCs w:val="18"/>
              </w:rPr>
            </w:pPr>
          </w:p>
        </w:tc>
        <w:tc>
          <w:tcPr>
            <w:tcW w:w="472" w:type="dxa"/>
            <w:shd w:val="clear" w:color="auto" w:fill="auto"/>
          </w:tcPr>
          <w:p w14:paraId="76297B6C" w14:textId="77777777" w:rsidR="00AF3581" w:rsidRPr="00506303" w:rsidRDefault="00AF3581" w:rsidP="0067543B">
            <w:pPr>
              <w:rPr>
                <w:sz w:val="18"/>
                <w:szCs w:val="18"/>
              </w:rPr>
            </w:pPr>
          </w:p>
        </w:tc>
        <w:tc>
          <w:tcPr>
            <w:tcW w:w="472" w:type="dxa"/>
            <w:shd w:val="clear" w:color="auto" w:fill="auto"/>
          </w:tcPr>
          <w:p w14:paraId="3070E3E8" w14:textId="77777777" w:rsidR="00AF3581" w:rsidRPr="00506303" w:rsidRDefault="00AF3581" w:rsidP="0067543B">
            <w:pPr>
              <w:rPr>
                <w:sz w:val="18"/>
                <w:szCs w:val="18"/>
              </w:rPr>
            </w:pPr>
          </w:p>
        </w:tc>
        <w:tc>
          <w:tcPr>
            <w:tcW w:w="473" w:type="dxa"/>
            <w:shd w:val="clear" w:color="auto" w:fill="auto"/>
          </w:tcPr>
          <w:p w14:paraId="75E416EA" w14:textId="77777777" w:rsidR="00AF3581" w:rsidRPr="00506303" w:rsidRDefault="00AF3581" w:rsidP="0067543B">
            <w:pPr>
              <w:rPr>
                <w:sz w:val="18"/>
                <w:szCs w:val="18"/>
              </w:rPr>
            </w:pPr>
          </w:p>
        </w:tc>
        <w:tc>
          <w:tcPr>
            <w:tcW w:w="473" w:type="dxa"/>
            <w:shd w:val="clear" w:color="auto" w:fill="auto"/>
          </w:tcPr>
          <w:p w14:paraId="4A5014D4" w14:textId="77777777" w:rsidR="00AF3581" w:rsidRPr="00506303" w:rsidRDefault="00AF3581" w:rsidP="0067543B">
            <w:pPr>
              <w:rPr>
                <w:sz w:val="18"/>
                <w:szCs w:val="18"/>
              </w:rPr>
            </w:pPr>
          </w:p>
        </w:tc>
        <w:tc>
          <w:tcPr>
            <w:tcW w:w="473" w:type="dxa"/>
            <w:shd w:val="clear" w:color="auto" w:fill="auto"/>
          </w:tcPr>
          <w:p w14:paraId="7D3BF2BC" w14:textId="77777777" w:rsidR="00AF3581" w:rsidRPr="00506303" w:rsidRDefault="00AF3581" w:rsidP="0067543B">
            <w:pPr>
              <w:rPr>
                <w:sz w:val="18"/>
                <w:szCs w:val="18"/>
              </w:rPr>
            </w:pPr>
          </w:p>
        </w:tc>
        <w:tc>
          <w:tcPr>
            <w:tcW w:w="473" w:type="dxa"/>
            <w:shd w:val="clear" w:color="auto" w:fill="auto"/>
          </w:tcPr>
          <w:p w14:paraId="7FDC21CF" w14:textId="77777777" w:rsidR="00AF3581" w:rsidRPr="00506303" w:rsidRDefault="00AF3581" w:rsidP="0067543B">
            <w:pPr>
              <w:rPr>
                <w:sz w:val="18"/>
                <w:szCs w:val="18"/>
              </w:rPr>
            </w:pPr>
          </w:p>
        </w:tc>
        <w:tc>
          <w:tcPr>
            <w:tcW w:w="473" w:type="dxa"/>
            <w:shd w:val="clear" w:color="auto" w:fill="auto"/>
          </w:tcPr>
          <w:p w14:paraId="3B0A0ACB" w14:textId="77777777" w:rsidR="00AF3581" w:rsidRPr="00506303" w:rsidRDefault="00AF3581" w:rsidP="0067543B">
            <w:pPr>
              <w:rPr>
                <w:sz w:val="18"/>
                <w:szCs w:val="18"/>
              </w:rPr>
            </w:pPr>
          </w:p>
        </w:tc>
        <w:tc>
          <w:tcPr>
            <w:tcW w:w="473" w:type="dxa"/>
            <w:shd w:val="clear" w:color="auto" w:fill="auto"/>
          </w:tcPr>
          <w:p w14:paraId="0B4CECAF" w14:textId="77777777" w:rsidR="00AF3581" w:rsidRPr="00506303" w:rsidRDefault="00AF3581" w:rsidP="0067543B">
            <w:pPr>
              <w:rPr>
                <w:sz w:val="18"/>
                <w:szCs w:val="18"/>
              </w:rPr>
            </w:pPr>
          </w:p>
        </w:tc>
        <w:tc>
          <w:tcPr>
            <w:tcW w:w="473" w:type="dxa"/>
            <w:shd w:val="clear" w:color="auto" w:fill="auto"/>
          </w:tcPr>
          <w:p w14:paraId="2120AE5F" w14:textId="77777777" w:rsidR="00AF3581" w:rsidRPr="00506303" w:rsidRDefault="00AF3581" w:rsidP="0067543B">
            <w:pPr>
              <w:rPr>
                <w:sz w:val="18"/>
                <w:szCs w:val="18"/>
              </w:rPr>
            </w:pPr>
          </w:p>
        </w:tc>
        <w:tc>
          <w:tcPr>
            <w:tcW w:w="473" w:type="dxa"/>
            <w:shd w:val="clear" w:color="auto" w:fill="auto"/>
          </w:tcPr>
          <w:p w14:paraId="7DCE4035" w14:textId="77777777" w:rsidR="00AF3581" w:rsidRPr="00506303" w:rsidRDefault="00AF3581" w:rsidP="0067543B">
            <w:pPr>
              <w:rPr>
                <w:sz w:val="18"/>
                <w:szCs w:val="18"/>
              </w:rPr>
            </w:pPr>
          </w:p>
        </w:tc>
        <w:tc>
          <w:tcPr>
            <w:tcW w:w="473" w:type="dxa"/>
            <w:shd w:val="clear" w:color="auto" w:fill="auto"/>
          </w:tcPr>
          <w:p w14:paraId="6C823F51" w14:textId="77777777" w:rsidR="00AF3581" w:rsidRPr="00506303" w:rsidRDefault="00AF3581" w:rsidP="0067543B">
            <w:pPr>
              <w:rPr>
                <w:sz w:val="18"/>
                <w:szCs w:val="18"/>
              </w:rPr>
            </w:pPr>
          </w:p>
        </w:tc>
        <w:tc>
          <w:tcPr>
            <w:tcW w:w="473" w:type="dxa"/>
            <w:shd w:val="clear" w:color="auto" w:fill="auto"/>
          </w:tcPr>
          <w:p w14:paraId="5BC3EF40" w14:textId="77777777" w:rsidR="00AF3581" w:rsidRPr="00506303" w:rsidRDefault="00AF3581" w:rsidP="0067543B">
            <w:pPr>
              <w:rPr>
                <w:sz w:val="18"/>
                <w:szCs w:val="18"/>
              </w:rPr>
            </w:pPr>
          </w:p>
        </w:tc>
      </w:tr>
      <w:tr w:rsidR="00E071AC" w:rsidRPr="00506303" w14:paraId="069A6019" w14:textId="77777777" w:rsidTr="00E071AC">
        <w:tc>
          <w:tcPr>
            <w:tcW w:w="944" w:type="dxa"/>
            <w:shd w:val="clear" w:color="auto" w:fill="auto"/>
          </w:tcPr>
          <w:p w14:paraId="4CF37044" w14:textId="77777777" w:rsidR="00AF3581" w:rsidRPr="00506303" w:rsidRDefault="00AF3581" w:rsidP="0067543B">
            <w:pPr>
              <w:rPr>
                <w:sz w:val="18"/>
                <w:szCs w:val="18"/>
              </w:rPr>
            </w:pPr>
            <w:r w:rsidRPr="00506303">
              <w:rPr>
                <w:sz w:val="18"/>
                <w:szCs w:val="18"/>
              </w:rPr>
              <w:t>3.3.3</w:t>
            </w:r>
          </w:p>
        </w:tc>
        <w:tc>
          <w:tcPr>
            <w:tcW w:w="3776" w:type="dxa"/>
            <w:shd w:val="clear" w:color="auto" w:fill="auto"/>
          </w:tcPr>
          <w:p w14:paraId="3226CF60" w14:textId="77777777" w:rsidR="00AF3581" w:rsidRPr="00506303" w:rsidRDefault="00AF3581" w:rsidP="0067543B">
            <w:pPr>
              <w:rPr>
                <w:sz w:val="18"/>
                <w:szCs w:val="18"/>
              </w:rPr>
            </w:pPr>
            <w:r w:rsidRPr="00506303">
              <w:rPr>
                <w:sz w:val="18"/>
                <w:szCs w:val="18"/>
              </w:rPr>
              <w:t>Facilitate cooperation with private sector on implementation of the updated SAP via two partnership forums</w:t>
            </w:r>
          </w:p>
        </w:tc>
        <w:tc>
          <w:tcPr>
            <w:tcW w:w="472" w:type="dxa"/>
            <w:shd w:val="clear" w:color="auto" w:fill="auto"/>
          </w:tcPr>
          <w:p w14:paraId="15EE5438" w14:textId="77777777" w:rsidR="00AF3581" w:rsidRPr="00506303" w:rsidRDefault="00AF3581" w:rsidP="0067543B">
            <w:pPr>
              <w:rPr>
                <w:sz w:val="18"/>
                <w:szCs w:val="18"/>
              </w:rPr>
            </w:pPr>
          </w:p>
        </w:tc>
        <w:tc>
          <w:tcPr>
            <w:tcW w:w="472" w:type="dxa"/>
            <w:shd w:val="clear" w:color="auto" w:fill="auto"/>
          </w:tcPr>
          <w:p w14:paraId="7321A09D" w14:textId="77777777" w:rsidR="00AF3581" w:rsidRPr="00506303" w:rsidRDefault="00AF3581" w:rsidP="0067543B">
            <w:pPr>
              <w:rPr>
                <w:sz w:val="18"/>
                <w:szCs w:val="18"/>
              </w:rPr>
            </w:pPr>
          </w:p>
        </w:tc>
        <w:tc>
          <w:tcPr>
            <w:tcW w:w="472" w:type="dxa"/>
            <w:shd w:val="clear" w:color="auto" w:fill="auto"/>
          </w:tcPr>
          <w:p w14:paraId="6C1B90AF" w14:textId="77777777" w:rsidR="00AF3581" w:rsidRPr="00506303" w:rsidRDefault="00AF3581" w:rsidP="0067543B">
            <w:pPr>
              <w:rPr>
                <w:sz w:val="18"/>
                <w:szCs w:val="18"/>
              </w:rPr>
            </w:pPr>
          </w:p>
        </w:tc>
        <w:tc>
          <w:tcPr>
            <w:tcW w:w="472" w:type="dxa"/>
            <w:shd w:val="clear" w:color="auto" w:fill="auto"/>
          </w:tcPr>
          <w:p w14:paraId="788A67E8" w14:textId="77777777" w:rsidR="00AF3581" w:rsidRPr="00506303" w:rsidRDefault="00AF3581" w:rsidP="0067543B">
            <w:pPr>
              <w:rPr>
                <w:sz w:val="18"/>
                <w:szCs w:val="18"/>
              </w:rPr>
            </w:pPr>
          </w:p>
        </w:tc>
        <w:tc>
          <w:tcPr>
            <w:tcW w:w="472" w:type="dxa"/>
            <w:shd w:val="clear" w:color="auto" w:fill="auto"/>
          </w:tcPr>
          <w:p w14:paraId="70C1237E" w14:textId="77777777" w:rsidR="00AF3581" w:rsidRPr="00506303" w:rsidRDefault="00AF3581" w:rsidP="0067543B">
            <w:pPr>
              <w:rPr>
                <w:sz w:val="18"/>
                <w:szCs w:val="18"/>
              </w:rPr>
            </w:pPr>
          </w:p>
        </w:tc>
        <w:tc>
          <w:tcPr>
            <w:tcW w:w="472" w:type="dxa"/>
            <w:shd w:val="clear" w:color="auto" w:fill="auto"/>
          </w:tcPr>
          <w:p w14:paraId="3C7B8E7D" w14:textId="77777777" w:rsidR="00AF3581" w:rsidRPr="00506303" w:rsidRDefault="00AF3581" w:rsidP="0067543B">
            <w:pPr>
              <w:rPr>
                <w:sz w:val="18"/>
                <w:szCs w:val="18"/>
              </w:rPr>
            </w:pPr>
          </w:p>
        </w:tc>
        <w:tc>
          <w:tcPr>
            <w:tcW w:w="472" w:type="dxa"/>
            <w:shd w:val="clear" w:color="auto" w:fill="auto"/>
          </w:tcPr>
          <w:p w14:paraId="6B1612AC" w14:textId="77777777" w:rsidR="00AF3581" w:rsidRPr="00506303" w:rsidRDefault="00AF3581" w:rsidP="0067543B">
            <w:pPr>
              <w:rPr>
                <w:sz w:val="18"/>
                <w:szCs w:val="18"/>
              </w:rPr>
            </w:pPr>
          </w:p>
        </w:tc>
        <w:tc>
          <w:tcPr>
            <w:tcW w:w="472" w:type="dxa"/>
            <w:shd w:val="clear" w:color="auto" w:fill="auto"/>
          </w:tcPr>
          <w:p w14:paraId="48D73257" w14:textId="77777777" w:rsidR="00AF3581" w:rsidRPr="00506303" w:rsidRDefault="00AF3581" w:rsidP="0067543B">
            <w:pPr>
              <w:rPr>
                <w:sz w:val="18"/>
                <w:szCs w:val="18"/>
              </w:rPr>
            </w:pPr>
          </w:p>
        </w:tc>
        <w:tc>
          <w:tcPr>
            <w:tcW w:w="472" w:type="dxa"/>
            <w:shd w:val="clear" w:color="auto" w:fill="auto"/>
          </w:tcPr>
          <w:p w14:paraId="02B31624" w14:textId="77777777" w:rsidR="00AF3581" w:rsidRPr="00506303" w:rsidRDefault="00AF3581" w:rsidP="0067543B">
            <w:pPr>
              <w:rPr>
                <w:sz w:val="18"/>
                <w:szCs w:val="18"/>
              </w:rPr>
            </w:pPr>
          </w:p>
        </w:tc>
        <w:tc>
          <w:tcPr>
            <w:tcW w:w="472" w:type="dxa"/>
            <w:shd w:val="clear" w:color="auto" w:fill="auto"/>
          </w:tcPr>
          <w:p w14:paraId="2B651116" w14:textId="77777777" w:rsidR="00AF3581" w:rsidRPr="00506303" w:rsidRDefault="00AF3581" w:rsidP="0067543B">
            <w:pPr>
              <w:rPr>
                <w:sz w:val="18"/>
                <w:szCs w:val="18"/>
              </w:rPr>
            </w:pPr>
          </w:p>
        </w:tc>
        <w:tc>
          <w:tcPr>
            <w:tcW w:w="473" w:type="dxa"/>
            <w:shd w:val="clear" w:color="auto" w:fill="auto"/>
          </w:tcPr>
          <w:p w14:paraId="5F4D40B3" w14:textId="77777777" w:rsidR="00AF3581" w:rsidRPr="00506303" w:rsidRDefault="00AF3581" w:rsidP="0067543B">
            <w:pPr>
              <w:rPr>
                <w:sz w:val="18"/>
                <w:szCs w:val="18"/>
              </w:rPr>
            </w:pPr>
          </w:p>
        </w:tc>
        <w:tc>
          <w:tcPr>
            <w:tcW w:w="473" w:type="dxa"/>
            <w:shd w:val="clear" w:color="auto" w:fill="D9D9D9"/>
          </w:tcPr>
          <w:p w14:paraId="31B7FD5A" w14:textId="77777777" w:rsidR="00AF3581" w:rsidRPr="00506303" w:rsidRDefault="00AF3581" w:rsidP="0067543B">
            <w:pPr>
              <w:rPr>
                <w:sz w:val="18"/>
                <w:szCs w:val="18"/>
              </w:rPr>
            </w:pPr>
          </w:p>
        </w:tc>
        <w:tc>
          <w:tcPr>
            <w:tcW w:w="473" w:type="dxa"/>
            <w:shd w:val="clear" w:color="auto" w:fill="auto"/>
          </w:tcPr>
          <w:p w14:paraId="7A7F35DE" w14:textId="77777777" w:rsidR="00AF3581" w:rsidRPr="00506303" w:rsidRDefault="00AF3581" w:rsidP="0067543B">
            <w:pPr>
              <w:rPr>
                <w:sz w:val="18"/>
                <w:szCs w:val="18"/>
              </w:rPr>
            </w:pPr>
          </w:p>
        </w:tc>
        <w:tc>
          <w:tcPr>
            <w:tcW w:w="473" w:type="dxa"/>
            <w:shd w:val="clear" w:color="auto" w:fill="auto"/>
          </w:tcPr>
          <w:p w14:paraId="7D426D1F" w14:textId="77777777" w:rsidR="00AF3581" w:rsidRPr="00506303" w:rsidRDefault="00AF3581" w:rsidP="0067543B">
            <w:pPr>
              <w:rPr>
                <w:sz w:val="18"/>
                <w:szCs w:val="18"/>
              </w:rPr>
            </w:pPr>
          </w:p>
        </w:tc>
        <w:tc>
          <w:tcPr>
            <w:tcW w:w="473" w:type="dxa"/>
            <w:shd w:val="clear" w:color="auto" w:fill="auto"/>
          </w:tcPr>
          <w:p w14:paraId="7861389E" w14:textId="77777777" w:rsidR="00AF3581" w:rsidRPr="00506303" w:rsidRDefault="00AF3581" w:rsidP="0067543B">
            <w:pPr>
              <w:rPr>
                <w:sz w:val="18"/>
                <w:szCs w:val="18"/>
              </w:rPr>
            </w:pPr>
          </w:p>
        </w:tc>
        <w:tc>
          <w:tcPr>
            <w:tcW w:w="473" w:type="dxa"/>
            <w:shd w:val="clear" w:color="auto" w:fill="D9D9D9"/>
          </w:tcPr>
          <w:p w14:paraId="44C5F711" w14:textId="77777777" w:rsidR="00AF3581" w:rsidRPr="00506303" w:rsidRDefault="00AF3581" w:rsidP="0067543B">
            <w:pPr>
              <w:rPr>
                <w:sz w:val="18"/>
                <w:szCs w:val="18"/>
              </w:rPr>
            </w:pPr>
          </w:p>
        </w:tc>
        <w:tc>
          <w:tcPr>
            <w:tcW w:w="473" w:type="dxa"/>
            <w:shd w:val="clear" w:color="auto" w:fill="auto"/>
          </w:tcPr>
          <w:p w14:paraId="79A40FC7" w14:textId="77777777" w:rsidR="00AF3581" w:rsidRPr="00506303" w:rsidRDefault="00AF3581" w:rsidP="0067543B">
            <w:pPr>
              <w:rPr>
                <w:sz w:val="18"/>
                <w:szCs w:val="18"/>
              </w:rPr>
            </w:pPr>
          </w:p>
        </w:tc>
        <w:tc>
          <w:tcPr>
            <w:tcW w:w="473" w:type="dxa"/>
            <w:shd w:val="clear" w:color="auto" w:fill="auto"/>
          </w:tcPr>
          <w:p w14:paraId="25FE45DF" w14:textId="77777777" w:rsidR="00AF3581" w:rsidRPr="00506303" w:rsidRDefault="00AF3581" w:rsidP="0067543B">
            <w:pPr>
              <w:rPr>
                <w:sz w:val="18"/>
                <w:szCs w:val="18"/>
              </w:rPr>
            </w:pPr>
          </w:p>
        </w:tc>
        <w:tc>
          <w:tcPr>
            <w:tcW w:w="473" w:type="dxa"/>
            <w:shd w:val="clear" w:color="auto" w:fill="auto"/>
          </w:tcPr>
          <w:p w14:paraId="26CB4A2A" w14:textId="77777777" w:rsidR="00AF3581" w:rsidRPr="00506303" w:rsidRDefault="00AF3581" w:rsidP="0067543B">
            <w:pPr>
              <w:rPr>
                <w:sz w:val="18"/>
                <w:szCs w:val="18"/>
              </w:rPr>
            </w:pPr>
          </w:p>
        </w:tc>
        <w:tc>
          <w:tcPr>
            <w:tcW w:w="473" w:type="dxa"/>
            <w:shd w:val="clear" w:color="auto" w:fill="auto"/>
          </w:tcPr>
          <w:p w14:paraId="5FE8F20A" w14:textId="77777777" w:rsidR="00AF3581" w:rsidRPr="00506303" w:rsidRDefault="00AF3581" w:rsidP="0067543B">
            <w:pPr>
              <w:rPr>
                <w:sz w:val="18"/>
                <w:szCs w:val="18"/>
              </w:rPr>
            </w:pPr>
          </w:p>
        </w:tc>
      </w:tr>
      <w:tr w:rsidR="00AF3581" w:rsidRPr="00506303" w14:paraId="3081C27F" w14:textId="77777777" w:rsidTr="00506303">
        <w:tc>
          <w:tcPr>
            <w:tcW w:w="944" w:type="dxa"/>
            <w:shd w:val="clear" w:color="auto" w:fill="F2F2F2"/>
          </w:tcPr>
          <w:p w14:paraId="6B655939" w14:textId="77777777" w:rsidR="00AF3581" w:rsidRPr="00506303" w:rsidRDefault="00AF3581" w:rsidP="0067543B">
            <w:pPr>
              <w:rPr>
                <w:b/>
                <w:sz w:val="18"/>
                <w:szCs w:val="18"/>
              </w:rPr>
            </w:pPr>
            <w:r w:rsidRPr="00506303">
              <w:rPr>
                <w:b/>
                <w:sz w:val="18"/>
                <w:szCs w:val="18"/>
              </w:rPr>
              <w:t>3.4</w:t>
            </w:r>
          </w:p>
        </w:tc>
        <w:tc>
          <w:tcPr>
            <w:tcW w:w="13226" w:type="dxa"/>
            <w:gridSpan w:val="21"/>
            <w:shd w:val="clear" w:color="auto" w:fill="F2F2F2"/>
          </w:tcPr>
          <w:p w14:paraId="2A1CDE1D" w14:textId="77777777" w:rsidR="00AF3581" w:rsidRPr="00506303" w:rsidRDefault="00AF3581" w:rsidP="0067543B">
            <w:pPr>
              <w:rPr>
                <w:b/>
                <w:sz w:val="18"/>
                <w:szCs w:val="18"/>
              </w:rPr>
            </w:pPr>
            <w:r w:rsidRPr="00506303">
              <w:rPr>
                <w:b/>
                <w:sz w:val="18"/>
                <w:szCs w:val="18"/>
              </w:rPr>
              <w:t>Revitalization of regional mechanisms for communications, knowledge exchange, and information and data management and sharing</w:t>
            </w:r>
          </w:p>
        </w:tc>
      </w:tr>
      <w:tr w:rsidR="00E071AC" w:rsidRPr="00506303" w14:paraId="4B62347D" w14:textId="77777777" w:rsidTr="00E071AC">
        <w:tc>
          <w:tcPr>
            <w:tcW w:w="944" w:type="dxa"/>
            <w:shd w:val="clear" w:color="auto" w:fill="auto"/>
          </w:tcPr>
          <w:p w14:paraId="7D0F524E" w14:textId="77777777" w:rsidR="00AF3581" w:rsidRPr="00506303" w:rsidRDefault="00AF3581" w:rsidP="0067543B">
            <w:pPr>
              <w:rPr>
                <w:sz w:val="18"/>
                <w:szCs w:val="18"/>
              </w:rPr>
            </w:pPr>
            <w:r w:rsidRPr="00506303">
              <w:rPr>
                <w:sz w:val="18"/>
                <w:szCs w:val="18"/>
              </w:rPr>
              <w:t>3.4.1</w:t>
            </w:r>
          </w:p>
        </w:tc>
        <w:tc>
          <w:tcPr>
            <w:tcW w:w="3776" w:type="dxa"/>
            <w:shd w:val="clear" w:color="auto" w:fill="auto"/>
          </w:tcPr>
          <w:p w14:paraId="4FD5882D" w14:textId="77777777" w:rsidR="00AF3581" w:rsidRPr="00506303" w:rsidRDefault="00AF3581" w:rsidP="0067543B">
            <w:pPr>
              <w:rPr>
                <w:sz w:val="18"/>
                <w:szCs w:val="18"/>
              </w:rPr>
            </w:pPr>
            <w:r w:rsidRPr="00506303">
              <w:rPr>
                <w:sz w:val="18"/>
                <w:szCs w:val="18"/>
              </w:rPr>
              <w:t>Produce a variety of multi-media information and knowledge products based on SCS SAP implementation communications strategy</w:t>
            </w:r>
          </w:p>
        </w:tc>
        <w:tc>
          <w:tcPr>
            <w:tcW w:w="472" w:type="dxa"/>
            <w:shd w:val="clear" w:color="auto" w:fill="D9D9D9"/>
          </w:tcPr>
          <w:p w14:paraId="4DD5FA57" w14:textId="77777777" w:rsidR="00AF3581" w:rsidRPr="00506303" w:rsidRDefault="00AF3581" w:rsidP="0067543B">
            <w:pPr>
              <w:rPr>
                <w:sz w:val="18"/>
                <w:szCs w:val="18"/>
              </w:rPr>
            </w:pPr>
          </w:p>
        </w:tc>
        <w:tc>
          <w:tcPr>
            <w:tcW w:w="472" w:type="dxa"/>
            <w:shd w:val="clear" w:color="auto" w:fill="D9D9D9"/>
          </w:tcPr>
          <w:p w14:paraId="24F1CD33" w14:textId="77777777" w:rsidR="00AF3581" w:rsidRPr="00506303" w:rsidRDefault="00AF3581" w:rsidP="0067543B">
            <w:pPr>
              <w:rPr>
                <w:sz w:val="18"/>
                <w:szCs w:val="18"/>
              </w:rPr>
            </w:pPr>
          </w:p>
        </w:tc>
        <w:tc>
          <w:tcPr>
            <w:tcW w:w="472" w:type="dxa"/>
            <w:shd w:val="clear" w:color="auto" w:fill="D9D9D9"/>
          </w:tcPr>
          <w:p w14:paraId="6B59DF16" w14:textId="77777777" w:rsidR="00AF3581" w:rsidRPr="00506303" w:rsidRDefault="00AF3581" w:rsidP="0067543B">
            <w:pPr>
              <w:rPr>
                <w:sz w:val="18"/>
                <w:szCs w:val="18"/>
              </w:rPr>
            </w:pPr>
          </w:p>
        </w:tc>
        <w:tc>
          <w:tcPr>
            <w:tcW w:w="472" w:type="dxa"/>
            <w:shd w:val="clear" w:color="auto" w:fill="D9D9D9"/>
          </w:tcPr>
          <w:p w14:paraId="71D04CB8" w14:textId="77777777" w:rsidR="00AF3581" w:rsidRPr="00506303" w:rsidRDefault="00AF3581" w:rsidP="0067543B">
            <w:pPr>
              <w:rPr>
                <w:sz w:val="18"/>
                <w:szCs w:val="18"/>
              </w:rPr>
            </w:pPr>
          </w:p>
        </w:tc>
        <w:tc>
          <w:tcPr>
            <w:tcW w:w="472" w:type="dxa"/>
            <w:shd w:val="clear" w:color="auto" w:fill="D9D9D9"/>
          </w:tcPr>
          <w:p w14:paraId="5F1C2740" w14:textId="77777777" w:rsidR="00AF3581" w:rsidRPr="00506303" w:rsidRDefault="00AF3581" w:rsidP="0067543B">
            <w:pPr>
              <w:rPr>
                <w:sz w:val="18"/>
                <w:szCs w:val="18"/>
              </w:rPr>
            </w:pPr>
          </w:p>
        </w:tc>
        <w:tc>
          <w:tcPr>
            <w:tcW w:w="472" w:type="dxa"/>
            <w:shd w:val="clear" w:color="auto" w:fill="D9D9D9"/>
          </w:tcPr>
          <w:p w14:paraId="561ABE8E" w14:textId="77777777" w:rsidR="00AF3581" w:rsidRPr="00506303" w:rsidRDefault="00AF3581" w:rsidP="0067543B">
            <w:pPr>
              <w:rPr>
                <w:sz w:val="18"/>
                <w:szCs w:val="18"/>
              </w:rPr>
            </w:pPr>
          </w:p>
        </w:tc>
        <w:tc>
          <w:tcPr>
            <w:tcW w:w="472" w:type="dxa"/>
            <w:shd w:val="clear" w:color="auto" w:fill="D9D9D9"/>
          </w:tcPr>
          <w:p w14:paraId="5B0D3489" w14:textId="77777777" w:rsidR="00AF3581" w:rsidRPr="00506303" w:rsidRDefault="00AF3581" w:rsidP="0067543B">
            <w:pPr>
              <w:rPr>
                <w:sz w:val="18"/>
                <w:szCs w:val="18"/>
              </w:rPr>
            </w:pPr>
          </w:p>
        </w:tc>
        <w:tc>
          <w:tcPr>
            <w:tcW w:w="472" w:type="dxa"/>
            <w:shd w:val="clear" w:color="auto" w:fill="D9D9D9"/>
          </w:tcPr>
          <w:p w14:paraId="24A55BA4" w14:textId="77777777" w:rsidR="00AF3581" w:rsidRPr="00506303" w:rsidRDefault="00AF3581" w:rsidP="0067543B">
            <w:pPr>
              <w:rPr>
                <w:sz w:val="18"/>
                <w:szCs w:val="18"/>
              </w:rPr>
            </w:pPr>
          </w:p>
        </w:tc>
        <w:tc>
          <w:tcPr>
            <w:tcW w:w="472" w:type="dxa"/>
            <w:shd w:val="clear" w:color="auto" w:fill="D9D9D9"/>
          </w:tcPr>
          <w:p w14:paraId="76B95D52" w14:textId="77777777" w:rsidR="00AF3581" w:rsidRPr="00506303" w:rsidRDefault="00AF3581" w:rsidP="0067543B">
            <w:pPr>
              <w:rPr>
                <w:sz w:val="18"/>
                <w:szCs w:val="18"/>
              </w:rPr>
            </w:pPr>
          </w:p>
        </w:tc>
        <w:tc>
          <w:tcPr>
            <w:tcW w:w="472" w:type="dxa"/>
            <w:shd w:val="clear" w:color="auto" w:fill="D9D9D9"/>
          </w:tcPr>
          <w:p w14:paraId="403DFC37" w14:textId="77777777" w:rsidR="00AF3581" w:rsidRPr="00506303" w:rsidRDefault="00AF3581" w:rsidP="0067543B">
            <w:pPr>
              <w:rPr>
                <w:sz w:val="18"/>
                <w:szCs w:val="18"/>
              </w:rPr>
            </w:pPr>
          </w:p>
        </w:tc>
        <w:tc>
          <w:tcPr>
            <w:tcW w:w="473" w:type="dxa"/>
            <w:shd w:val="clear" w:color="auto" w:fill="D9D9D9"/>
          </w:tcPr>
          <w:p w14:paraId="25019356" w14:textId="77777777" w:rsidR="00AF3581" w:rsidRPr="00506303" w:rsidRDefault="00AF3581" w:rsidP="0067543B">
            <w:pPr>
              <w:rPr>
                <w:sz w:val="18"/>
                <w:szCs w:val="18"/>
              </w:rPr>
            </w:pPr>
          </w:p>
        </w:tc>
        <w:tc>
          <w:tcPr>
            <w:tcW w:w="473" w:type="dxa"/>
            <w:shd w:val="clear" w:color="auto" w:fill="D9D9D9"/>
          </w:tcPr>
          <w:p w14:paraId="487E1D6A" w14:textId="77777777" w:rsidR="00AF3581" w:rsidRPr="00506303" w:rsidRDefault="00AF3581" w:rsidP="0067543B">
            <w:pPr>
              <w:rPr>
                <w:sz w:val="18"/>
                <w:szCs w:val="18"/>
              </w:rPr>
            </w:pPr>
          </w:p>
        </w:tc>
        <w:tc>
          <w:tcPr>
            <w:tcW w:w="473" w:type="dxa"/>
            <w:shd w:val="clear" w:color="auto" w:fill="D9D9D9"/>
          </w:tcPr>
          <w:p w14:paraId="293B36D0" w14:textId="77777777" w:rsidR="00AF3581" w:rsidRPr="00506303" w:rsidRDefault="00AF3581" w:rsidP="0067543B">
            <w:pPr>
              <w:rPr>
                <w:sz w:val="18"/>
                <w:szCs w:val="18"/>
              </w:rPr>
            </w:pPr>
          </w:p>
        </w:tc>
        <w:tc>
          <w:tcPr>
            <w:tcW w:w="473" w:type="dxa"/>
            <w:shd w:val="clear" w:color="auto" w:fill="D9D9D9"/>
          </w:tcPr>
          <w:p w14:paraId="5FB29217" w14:textId="77777777" w:rsidR="00AF3581" w:rsidRPr="00506303" w:rsidRDefault="00AF3581" w:rsidP="0067543B">
            <w:pPr>
              <w:rPr>
                <w:sz w:val="18"/>
                <w:szCs w:val="18"/>
              </w:rPr>
            </w:pPr>
          </w:p>
        </w:tc>
        <w:tc>
          <w:tcPr>
            <w:tcW w:w="473" w:type="dxa"/>
            <w:shd w:val="clear" w:color="auto" w:fill="D9D9D9"/>
          </w:tcPr>
          <w:p w14:paraId="609B75F6" w14:textId="77777777" w:rsidR="00AF3581" w:rsidRPr="00506303" w:rsidRDefault="00AF3581" w:rsidP="0067543B">
            <w:pPr>
              <w:rPr>
                <w:sz w:val="18"/>
                <w:szCs w:val="18"/>
              </w:rPr>
            </w:pPr>
          </w:p>
        </w:tc>
        <w:tc>
          <w:tcPr>
            <w:tcW w:w="473" w:type="dxa"/>
            <w:shd w:val="clear" w:color="auto" w:fill="D9D9D9"/>
          </w:tcPr>
          <w:p w14:paraId="47095700" w14:textId="77777777" w:rsidR="00AF3581" w:rsidRPr="00506303" w:rsidRDefault="00AF3581" w:rsidP="0067543B">
            <w:pPr>
              <w:rPr>
                <w:sz w:val="18"/>
                <w:szCs w:val="18"/>
              </w:rPr>
            </w:pPr>
          </w:p>
        </w:tc>
        <w:tc>
          <w:tcPr>
            <w:tcW w:w="473" w:type="dxa"/>
            <w:shd w:val="clear" w:color="auto" w:fill="D9D9D9"/>
          </w:tcPr>
          <w:p w14:paraId="4C5B85C6" w14:textId="77777777" w:rsidR="00AF3581" w:rsidRPr="00506303" w:rsidRDefault="00AF3581" w:rsidP="0067543B">
            <w:pPr>
              <w:rPr>
                <w:sz w:val="18"/>
                <w:szCs w:val="18"/>
              </w:rPr>
            </w:pPr>
          </w:p>
        </w:tc>
        <w:tc>
          <w:tcPr>
            <w:tcW w:w="473" w:type="dxa"/>
            <w:shd w:val="clear" w:color="auto" w:fill="D9D9D9"/>
          </w:tcPr>
          <w:p w14:paraId="6E27D08C" w14:textId="77777777" w:rsidR="00AF3581" w:rsidRPr="00506303" w:rsidRDefault="00AF3581" w:rsidP="0067543B">
            <w:pPr>
              <w:rPr>
                <w:sz w:val="18"/>
                <w:szCs w:val="18"/>
              </w:rPr>
            </w:pPr>
          </w:p>
        </w:tc>
        <w:tc>
          <w:tcPr>
            <w:tcW w:w="473" w:type="dxa"/>
            <w:shd w:val="clear" w:color="auto" w:fill="D9D9D9"/>
          </w:tcPr>
          <w:p w14:paraId="08787FFA" w14:textId="77777777" w:rsidR="00AF3581" w:rsidRPr="00506303" w:rsidRDefault="00AF3581" w:rsidP="0067543B">
            <w:pPr>
              <w:rPr>
                <w:sz w:val="18"/>
                <w:szCs w:val="18"/>
              </w:rPr>
            </w:pPr>
          </w:p>
        </w:tc>
        <w:tc>
          <w:tcPr>
            <w:tcW w:w="473" w:type="dxa"/>
            <w:shd w:val="clear" w:color="auto" w:fill="D9D9D9"/>
          </w:tcPr>
          <w:p w14:paraId="11D249B4" w14:textId="77777777" w:rsidR="00AF3581" w:rsidRPr="00506303" w:rsidRDefault="00AF3581" w:rsidP="0067543B">
            <w:pPr>
              <w:rPr>
                <w:sz w:val="18"/>
                <w:szCs w:val="18"/>
              </w:rPr>
            </w:pPr>
          </w:p>
        </w:tc>
      </w:tr>
      <w:tr w:rsidR="00E071AC" w:rsidRPr="00506303" w14:paraId="15BE908E" w14:textId="77777777" w:rsidTr="00E071AC">
        <w:tc>
          <w:tcPr>
            <w:tcW w:w="944" w:type="dxa"/>
            <w:shd w:val="clear" w:color="auto" w:fill="auto"/>
          </w:tcPr>
          <w:p w14:paraId="11847ECC" w14:textId="77777777" w:rsidR="00AF3581" w:rsidRPr="00506303" w:rsidRDefault="00AF3581" w:rsidP="0067543B">
            <w:pPr>
              <w:rPr>
                <w:sz w:val="18"/>
                <w:szCs w:val="18"/>
              </w:rPr>
            </w:pPr>
            <w:r w:rsidRPr="00506303">
              <w:rPr>
                <w:sz w:val="18"/>
                <w:szCs w:val="18"/>
              </w:rPr>
              <w:t>3.4.2</w:t>
            </w:r>
          </w:p>
        </w:tc>
        <w:tc>
          <w:tcPr>
            <w:tcW w:w="3776" w:type="dxa"/>
            <w:shd w:val="clear" w:color="auto" w:fill="auto"/>
          </w:tcPr>
          <w:p w14:paraId="2301145B" w14:textId="77777777" w:rsidR="00AF3581" w:rsidRPr="00506303" w:rsidRDefault="00AF3581" w:rsidP="0067543B">
            <w:pPr>
              <w:rPr>
                <w:sz w:val="18"/>
                <w:szCs w:val="18"/>
              </w:rPr>
            </w:pPr>
            <w:r w:rsidRPr="00506303">
              <w:rPr>
                <w:sz w:val="18"/>
                <w:szCs w:val="18"/>
              </w:rPr>
              <w:t>Develop synthesis reports on: climate variability in coastal systems; hazards and coastal area planning; blue forests and livelihoods; and land and marine tenure and use designation</w:t>
            </w:r>
          </w:p>
        </w:tc>
        <w:tc>
          <w:tcPr>
            <w:tcW w:w="472" w:type="dxa"/>
            <w:shd w:val="clear" w:color="auto" w:fill="D9D9D9"/>
          </w:tcPr>
          <w:p w14:paraId="7B769C08" w14:textId="77777777" w:rsidR="00AF3581" w:rsidRPr="00506303" w:rsidRDefault="00AF3581" w:rsidP="0067543B">
            <w:pPr>
              <w:rPr>
                <w:sz w:val="18"/>
                <w:szCs w:val="18"/>
              </w:rPr>
            </w:pPr>
          </w:p>
        </w:tc>
        <w:tc>
          <w:tcPr>
            <w:tcW w:w="472" w:type="dxa"/>
            <w:shd w:val="clear" w:color="auto" w:fill="D9D9D9"/>
          </w:tcPr>
          <w:p w14:paraId="104CC8DC" w14:textId="77777777" w:rsidR="00AF3581" w:rsidRPr="00506303" w:rsidRDefault="00AF3581" w:rsidP="0067543B">
            <w:pPr>
              <w:rPr>
                <w:sz w:val="18"/>
                <w:szCs w:val="18"/>
              </w:rPr>
            </w:pPr>
          </w:p>
        </w:tc>
        <w:tc>
          <w:tcPr>
            <w:tcW w:w="472" w:type="dxa"/>
            <w:shd w:val="clear" w:color="auto" w:fill="D9D9D9"/>
          </w:tcPr>
          <w:p w14:paraId="6CC24D67" w14:textId="77777777" w:rsidR="00AF3581" w:rsidRPr="00506303" w:rsidRDefault="00AF3581" w:rsidP="0067543B">
            <w:pPr>
              <w:rPr>
                <w:sz w:val="18"/>
                <w:szCs w:val="18"/>
              </w:rPr>
            </w:pPr>
          </w:p>
        </w:tc>
        <w:tc>
          <w:tcPr>
            <w:tcW w:w="472" w:type="dxa"/>
            <w:shd w:val="clear" w:color="auto" w:fill="D9D9D9"/>
          </w:tcPr>
          <w:p w14:paraId="75204C12" w14:textId="77777777" w:rsidR="00AF3581" w:rsidRPr="00506303" w:rsidRDefault="00AF3581" w:rsidP="0067543B">
            <w:pPr>
              <w:rPr>
                <w:sz w:val="18"/>
                <w:szCs w:val="18"/>
              </w:rPr>
            </w:pPr>
          </w:p>
        </w:tc>
        <w:tc>
          <w:tcPr>
            <w:tcW w:w="472" w:type="dxa"/>
            <w:shd w:val="clear" w:color="auto" w:fill="D9D9D9"/>
          </w:tcPr>
          <w:p w14:paraId="73133EDB" w14:textId="77777777" w:rsidR="00AF3581" w:rsidRPr="00506303" w:rsidRDefault="00AF3581" w:rsidP="0067543B">
            <w:pPr>
              <w:rPr>
                <w:sz w:val="18"/>
                <w:szCs w:val="18"/>
              </w:rPr>
            </w:pPr>
          </w:p>
        </w:tc>
        <w:tc>
          <w:tcPr>
            <w:tcW w:w="472" w:type="dxa"/>
            <w:shd w:val="clear" w:color="auto" w:fill="D9D9D9"/>
          </w:tcPr>
          <w:p w14:paraId="445F3C30" w14:textId="77777777" w:rsidR="00AF3581" w:rsidRPr="00506303" w:rsidRDefault="00AF3581" w:rsidP="0067543B">
            <w:pPr>
              <w:rPr>
                <w:sz w:val="18"/>
                <w:szCs w:val="18"/>
              </w:rPr>
            </w:pPr>
          </w:p>
        </w:tc>
        <w:tc>
          <w:tcPr>
            <w:tcW w:w="472" w:type="dxa"/>
            <w:shd w:val="clear" w:color="auto" w:fill="D9D9D9"/>
          </w:tcPr>
          <w:p w14:paraId="1494D52E" w14:textId="77777777" w:rsidR="00AF3581" w:rsidRPr="00506303" w:rsidRDefault="00AF3581" w:rsidP="0067543B">
            <w:pPr>
              <w:rPr>
                <w:sz w:val="18"/>
                <w:szCs w:val="18"/>
              </w:rPr>
            </w:pPr>
          </w:p>
        </w:tc>
        <w:tc>
          <w:tcPr>
            <w:tcW w:w="472" w:type="dxa"/>
            <w:shd w:val="clear" w:color="auto" w:fill="D9D9D9"/>
          </w:tcPr>
          <w:p w14:paraId="2CC31416" w14:textId="77777777" w:rsidR="00AF3581" w:rsidRPr="00506303" w:rsidRDefault="00AF3581" w:rsidP="0067543B">
            <w:pPr>
              <w:rPr>
                <w:sz w:val="18"/>
                <w:szCs w:val="18"/>
              </w:rPr>
            </w:pPr>
          </w:p>
        </w:tc>
        <w:tc>
          <w:tcPr>
            <w:tcW w:w="472" w:type="dxa"/>
            <w:shd w:val="clear" w:color="auto" w:fill="auto"/>
          </w:tcPr>
          <w:p w14:paraId="52E669AE" w14:textId="77777777" w:rsidR="00AF3581" w:rsidRPr="00506303" w:rsidRDefault="00AF3581" w:rsidP="0067543B">
            <w:pPr>
              <w:rPr>
                <w:sz w:val="18"/>
                <w:szCs w:val="18"/>
              </w:rPr>
            </w:pPr>
          </w:p>
        </w:tc>
        <w:tc>
          <w:tcPr>
            <w:tcW w:w="472" w:type="dxa"/>
            <w:shd w:val="clear" w:color="auto" w:fill="auto"/>
          </w:tcPr>
          <w:p w14:paraId="6C71224F" w14:textId="77777777" w:rsidR="00AF3581" w:rsidRPr="00506303" w:rsidRDefault="00AF3581" w:rsidP="0067543B">
            <w:pPr>
              <w:rPr>
                <w:sz w:val="18"/>
                <w:szCs w:val="18"/>
              </w:rPr>
            </w:pPr>
          </w:p>
        </w:tc>
        <w:tc>
          <w:tcPr>
            <w:tcW w:w="473" w:type="dxa"/>
            <w:shd w:val="clear" w:color="auto" w:fill="auto"/>
          </w:tcPr>
          <w:p w14:paraId="4B3E1255" w14:textId="77777777" w:rsidR="00AF3581" w:rsidRPr="00506303" w:rsidRDefault="00AF3581" w:rsidP="0067543B">
            <w:pPr>
              <w:rPr>
                <w:sz w:val="18"/>
                <w:szCs w:val="18"/>
              </w:rPr>
            </w:pPr>
          </w:p>
        </w:tc>
        <w:tc>
          <w:tcPr>
            <w:tcW w:w="473" w:type="dxa"/>
            <w:shd w:val="clear" w:color="auto" w:fill="auto"/>
          </w:tcPr>
          <w:p w14:paraId="2752146E" w14:textId="77777777" w:rsidR="00AF3581" w:rsidRPr="00506303" w:rsidRDefault="00AF3581" w:rsidP="0067543B">
            <w:pPr>
              <w:rPr>
                <w:sz w:val="18"/>
                <w:szCs w:val="18"/>
              </w:rPr>
            </w:pPr>
          </w:p>
        </w:tc>
        <w:tc>
          <w:tcPr>
            <w:tcW w:w="473" w:type="dxa"/>
            <w:shd w:val="clear" w:color="auto" w:fill="auto"/>
          </w:tcPr>
          <w:p w14:paraId="12E699BA" w14:textId="77777777" w:rsidR="00AF3581" w:rsidRPr="00506303" w:rsidRDefault="00AF3581" w:rsidP="0067543B">
            <w:pPr>
              <w:rPr>
                <w:sz w:val="18"/>
                <w:szCs w:val="18"/>
              </w:rPr>
            </w:pPr>
          </w:p>
        </w:tc>
        <w:tc>
          <w:tcPr>
            <w:tcW w:w="473" w:type="dxa"/>
            <w:shd w:val="clear" w:color="auto" w:fill="auto"/>
          </w:tcPr>
          <w:p w14:paraId="33A43F46" w14:textId="77777777" w:rsidR="00AF3581" w:rsidRPr="00506303" w:rsidRDefault="00AF3581" w:rsidP="0067543B">
            <w:pPr>
              <w:rPr>
                <w:sz w:val="18"/>
                <w:szCs w:val="18"/>
              </w:rPr>
            </w:pPr>
          </w:p>
        </w:tc>
        <w:tc>
          <w:tcPr>
            <w:tcW w:w="473" w:type="dxa"/>
            <w:shd w:val="clear" w:color="auto" w:fill="auto"/>
          </w:tcPr>
          <w:p w14:paraId="3F1C3DF1" w14:textId="77777777" w:rsidR="00AF3581" w:rsidRPr="00506303" w:rsidRDefault="00AF3581" w:rsidP="0067543B">
            <w:pPr>
              <w:rPr>
                <w:sz w:val="18"/>
                <w:szCs w:val="18"/>
              </w:rPr>
            </w:pPr>
          </w:p>
        </w:tc>
        <w:tc>
          <w:tcPr>
            <w:tcW w:w="473" w:type="dxa"/>
            <w:shd w:val="clear" w:color="auto" w:fill="auto"/>
          </w:tcPr>
          <w:p w14:paraId="39811467" w14:textId="77777777" w:rsidR="00AF3581" w:rsidRPr="00506303" w:rsidRDefault="00AF3581" w:rsidP="0067543B">
            <w:pPr>
              <w:rPr>
                <w:sz w:val="18"/>
                <w:szCs w:val="18"/>
              </w:rPr>
            </w:pPr>
          </w:p>
        </w:tc>
        <w:tc>
          <w:tcPr>
            <w:tcW w:w="473" w:type="dxa"/>
            <w:shd w:val="clear" w:color="auto" w:fill="auto"/>
          </w:tcPr>
          <w:p w14:paraId="27F882B2" w14:textId="77777777" w:rsidR="00AF3581" w:rsidRPr="00506303" w:rsidRDefault="00AF3581" w:rsidP="0067543B">
            <w:pPr>
              <w:rPr>
                <w:sz w:val="18"/>
                <w:szCs w:val="18"/>
              </w:rPr>
            </w:pPr>
          </w:p>
        </w:tc>
        <w:tc>
          <w:tcPr>
            <w:tcW w:w="473" w:type="dxa"/>
            <w:shd w:val="clear" w:color="auto" w:fill="auto"/>
          </w:tcPr>
          <w:p w14:paraId="03BAA0E3" w14:textId="77777777" w:rsidR="00AF3581" w:rsidRPr="00506303" w:rsidRDefault="00AF3581" w:rsidP="0067543B">
            <w:pPr>
              <w:rPr>
                <w:sz w:val="18"/>
                <w:szCs w:val="18"/>
              </w:rPr>
            </w:pPr>
          </w:p>
        </w:tc>
        <w:tc>
          <w:tcPr>
            <w:tcW w:w="473" w:type="dxa"/>
            <w:shd w:val="clear" w:color="auto" w:fill="auto"/>
          </w:tcPr>
          <w:p w14:paraId="29BADD1D" w14:textId="77777777" w:rsidR="00AF3581" w:rsidRPr="00506303" w:rsidRDefault="00AF3581" w:rsidP="0067543B">
            <w:pPr>
              <w:rPr>
                <w:sz w:val="18"/>
                <w:szCs w:val="18"/>
              </w:rPr>
            </w:pPr>
          </w:p>
        </w:tc>
        <w:tc>
          <w:tcPr>
            <w:tcW w:w="473" w:type="dxa"/>
            <w:shd w:val="clear" w:color="auto" w:fill="auto"/>
          </w:tcPr>
          <w:p w14:paraId="00C1614E" w14:textId="77777777" w:rsidR="00AF3581" w:rsidRPr="00506303" w:rsidRDefault="00AF3581" w:rsidP="0067543B">
            <w:pPr>
              <w:rPr>
                <w:sz w:val="18"/>
                <w:szCs w:val="18"/>
              </w:rPr>
            </w:pPr>
          </w:p>
        </w:tc>
      </w:tr>
      <w:tr w:rsidR="00E071AC" w:rsidRPr="00506303" w14:paraId="0E2C6A5B" w14:textId="77777777" w:rsidTr="00E071AC">
        <w:tc>
          <w:tcPr>
            <w:tcW w:w="944" w:type="dxa"/>
            <w:shd w:val="clear" w:color="auto" w:fill="auto"/>
          </w:tcPr>
          <w:p w14:paraId="4ABC594D" w14:textId="77777777" w:rsidR="00AF3581" w:rsidRPr="00506303" w:rsidRDefault="00AF3581" w:rsidP="0067543B">
            <w:pPr>
              <w:rPr>
                <w:sz w:val="18"/>
                <w:szCs w:val="18"/>
              </w:rPr>
            </w:pPr>
            <w:r w:rsidRPr="00506303">
              <w:rPr>
                <w:sz w:val="18"/>
                <w:szCs w:val="18"/>
              </w:rPr>
              <w:t>3.4.3</w:t>
            </w:r>
          </w:p>
        </w:tc>
        <w:tc>
          <w:tcPr>
            <w:tcW w:w="3776" w:type="dxa"/>
            <w:shd w:val="clear" w:color="auto" w:fill="auto"/>
          </w:tcPr>
          <w:p w14:paraId="36BAA96A" w14:textId="77777777" w:rsidR="00AF3581" w:rsidRPr="00506303" w:rsidRDefault="00AF3581" w:rsidP="0067543B">
            <w:pPr>
              <w:rPr>
                <w:sz w:val="18"/>
                <w:szCs w:val="18"/>
              </w:rPr>
            </w:pPr>
            <w:r w:rsidRPr="00506303">
              <w:rPr>
                <w:sz w:val="18"/>
                <w:szCs w:val="18"/>
              </w:rPr>
              <w:t>Secure technical resources to ensure the SCS project web portal &lt;www.unepscs.org&gt; and associated regional databases are online, updated and linked to IW-Learn and other GEF Knowledge management system</w:t>
            </w:r>
          </w:p>
        </w:tc>
        <w:tc>
          <w:tcPr>
            <w:tcW w:w="472" w:type="dxa"/>
            <w:shd w:val="clear" w:color="auto" w:fill="D9D9D9"/>
          </w:tcPr>
          <w:p w14:paraId="32021FC6" w14:textId="77777777" w:rsidR="00AF3581" w:rsidRPr="00506303" w:rsidRDefault="00AF3581" w:rsidP="0067543B">
            <w:pPr>
              <w:rPr>
                <w:sz w:val="18"/>
                <w:szCs w:val="18"/>
              </w:rPr>
            </w:pPr>
          </w:p>
        </w:tc>
        <w:tc>
          <w:tcPr>
            <w:tcW w:w="472" w:type="dxa"/>
            <w:shd w:val="clear" w:color="auto" w:fill="D9D9D9"/>
          </w:tcPr>
          <w:p w14:paraId="1689C7B9" w14:textId="77777777" w:rsidR="00AF3581" w:rsidRPr="00506303" w:rsidRDefault="00AF3581" w:rsidP="0067543B">
            <w:pPr>
              <w:rPr>
                <w:sz w:val="18"/>
                <w:szCs w:val="18"/>
              </w:rPr>
            </w:pPr>
          </w:p>
        </w:tc>
        <w:tc>
          <w:tcPr>
            <w:tcW w:w="472" w:type="dxa"/>
            <w:shd w:val="clear" w:color="auto" w:fill="D9D9D9"/>
          </w:tcPr>
          <w:p w14:paraId="3EBFC10D" w14:textId="77777777" w:rsidR="00AF3581" w:rsidRPr="00506303" w:rsidRDefault="00AF3581" w:rsidP="0067543B">
            <w:pPr>
              <w:rPr>
                <w:sz w:val="18"/>
                <w:szCs w:val="18"/>
              </w:rPr>
            </w:pPr>
          </w:p>
        </w:tc>
        <w:tc>
          <w:tcPr>
            <w:tcW w:w="472" w:type="dxa"/>
            <w:shd w:val="clear" w:color="auto" w:fill="D9D9D9"/>
          </w:tcPr>
          <w:p w14:paraId="5D5DD614" w14:textId="77777777" w:rsidR="00AF3581" w:rsidRPr="00506303" w:rsidRDefault="00AF3581" w:rsidP="0067543B">
            <w:pPr>
              <w:rPr>
                <w:sz w:val="18"/>
                <w:szCs w:val="18"/>
              </w:rPr>
            </w:pPr>
          </w:p>
        </w:tc>
        <w:tc>
          <w:tcPr>
            <w:tcW w:w="472" w:type="dxa"/>
            <w:shd w:val="clear" w:color="auto" w:fill="D9D9D9"/>
          </w:tcPr>
          <w:p w14:paraId="73EAAC9B" w14:textId="77777777" w:rsidR="00AF3581" w:rsidRPr="00506303" w:rsidRDefault="00AF3581" w:rsidP="0067543B">
            <w:pPr>
              <w:rPr>
                <w:sz w:val="18"/>
                <w:szCs w:val="18"/>
              </w:rPr>
            </w:pPr>
          </w:p>
        </w:tc>
        <w:tc>
          <w:tcPr>
            <w:tcW w:w="472" w:type="dxa"/>
            <w:shd w:val="clear" w:color="auto" w:fill="D9D9D9"/>
          </w:tcPr>
          <w:p w14:paraId="0CECB35E" w14:textId="77777777" w:rsidR="00AF3581" w:rsidRPr="00506303" w:rsidRDefault="00AF3581" w:rsidP="0067543B">
            <w:pPr>
              <w:rPr>
                <w:sz w:val="18"/>
                <w:szCs w:val="18"/>
              </w:rPr>
            </w:pPr>
          </w:p>
        </w:tc>
        <w:tc>
          <w:tcPr>
            <w:tcW w:w="472" w:type="dxa"/>
            <w:shd w:val="clear" w:color="auto" w:fill="D9D9D9"/>
          </w:tcPr>
          <w:p w14:paraId="6FA9D6C4" w14:textId="77777777" w:rsidR="00AF3581" w:rsidRPr="00506303" w:rsidRDefault="00AF3581" w:rsidP="0067543B">
            <w:pPr>
              <w:rPr>
                <w:sz w:val="18"/>
                <w:szCs w:val="18"/>
              </w:rPr>
            </w:pPr>
          </w:p>
        </w:tc>
        <w:tc>
          <w:tcPr>
            <w:tcW w:w="472" w:type="dxa"/>
            <w:shd w:val="clear" w:color="auto" w:fill="D9D9D9"/>
          </w:tcPr>
          <w:p w14:paraId="61A11131" w14:textId="77777777" w:rsidR="00AF3581" w:rsidRPr="00506303" w:rsidRDefault="00AF3581" w:rsidP="0067543B">
            <w:pPr>
              <w:rPr>
                <w:sz w:val="18"/>
                <w:szCs w:val="18"/>
              </w:rPr>
            </w:pPr>
          </w:p>
        </w:tc>
        <w:tc>
          <w:tcPr>
            <w:tcW w:w="472" w:type="dxa"/>
            <w:shd w:val="clear" w:color="auto" w:fill="D9D9D9"/>
          </w:tcPr>
          <w:p w14:paraId="7B1D6588" w14:textId="77777777" w:rsidR="00AF3581" w:rsidRPr="00506303" w:rsidRDefault="00AF3581" w:rsidP="0067543B">
            <w:pPr>
              <w:rPr>
                <w:sz w:val="18"/>
                <w:szCs w:val="18"/>
              </w:rPr>
            </w:pPr>
          </w:p>
        </w:tc>
        <w:tc>
          <w:tcPr>
            <w:tcW w:w="472" w:type="dxa"/>
            <w:shd w:val="clear" w:color="auto" w:fill="D9D9D9"/>
          </w:tcPr>
          <w:p w14:paraId="31CCFF5A" w14:textId="77777777" w:rsidR="00AF3581" w:rsidRPr="00506303" w:rsidRDefault="00AF3581" w:rsidP="0067543B">
            <w:pPr>
              <w:rPr>
                <w:sz w:val="18"/>
                <w:szCs w:val="18"/>
              </w:rPr>
            </w:pPr>
          </w:p>
        </w:tc>
        <w:tc>
          <w:tcPr>
            <w:tcW w:w="473" w:type="dxa"/>
            <w:shd w:val="clear" w:color="auto" w:fill="D9D9D9"/>
          </w:tcPr>
          <w:p w14:paraId="206CFDBC" w14:textId="77777777" w:rsidR="00AF3581" w:rsidRPr="00506303" w:rsidRDefault="00AF3581" w:rsidP="0067543B">
            <w:pPr>
              <w:rPr>
                <w:sz w:val="18"/>
                <w:szCs w:val="18"/>
              </w:rPr>
            </w:pPr>
          </w:p>
        </w:tc>
        <w:tc>
          <w:tcPr>
            <w:tcW w:w="473" w:type="dxa"/>
            <w:shd w:val="clear" w:color="auto" w:fill="D9D9D9"/>
          </w:tcPr>
          <w:p w14:paraId="104EC734" w14:textId="77777777" w:rsidR="00AF3581" w:rsidRPr="00506303" w:rsidRDefault="00AF3581" w:rsidP="0067543B">
            <w:pPr>
              <w:rPr>
                <w:sz w:val="18"/>
                <w:szCs w:val="18"/>
              </w:rPr>
            </w:pPr>
          </w:p>
        </w:tc>
        <w:tc>
          <w:tcPr>
            <w:tcW w:w="473" w:type="dxa"/>
            <w:shd w:val="clear" w:color="auto" w:fill="D9D9D9"/>
          </w:tcPr>
          <w:p w14:paraId="393CC851" w14:textId="77777777" w:rsidR="00AF3581" w:rsidRPr="00506303" w:rsidRDefault="00AF3581" w:rsidP="0067543B">
            <w:pPr>
              <w:rPr>
                <w:sz w:val="18"/>
                <w:szCs w:val="18"/>
              </w:rPr>
            </w:pPr>
          </w:p>
        </w:tc>
        <w:tc>
          <w:tcPr>
            <w:tcW w:w="473" w:type="dxa"/>
            <w:shd w:val="clear" w:color="auto" w:fill="D9D9D9"/>
          </w:tcPr>
          <w:p w14:paraId="6BDDAEA1" w14:textId="77777777" w:rsidR="00AF3581" w:rsidRPr="00506303" w:rsidRDefault="00AF3581" w:rsidP="0067543B">
            <w:pPr>
              <w:rPr>
                <w:sz w:val="18"/>
                <w:szCs w:val="18"/>
              </w:rPr>
            </w:pPr>
          </w:p>
        </w:tc>
        <w:tc>
          <w:tcPr>
            <w:tcW w:w="473" w:type="dxa"/>
            <w:shd w:val="clear" w:color="auto" w:fill="D9D9D9"/>
          </w:tcPr>
          <w:p w14:paraId="32814336" w14:textId="77777777" w:rsidR="00AF3581" w:rsidRPr="00506303" w:rsidRDefault="00AF3581" w:rsidP="0067543B">
            <w:pPr>
              <w:rPr>
                <w:sz w:val="18"/>
                <w:szCs w:val="18"/>
              </w:rPr>
            </w:pPr>
          </w:p>
        </w:tc>
        <w:tc>
          <w:tcPr>
            <w:tcW w:w="473" w:type="dxa"/>
            <w:shd w:val="clear" w:color="auto" w:fill="D9D9D9"/>
          </w:tcPr>
          <w:p w14:paraId="23FC37AD" w14:textId="77777777" w:rsidR="00AF3581" w:rsidRPr="00506303" w:rsidRDefault="00AF3581" w:rsidP="0067543B">
            <w:pPr>
              <w:rPr>
                <w:sz w:val="18"/>
                <w:szCs w:val="18"/>
              </w:rPr>
            </w:pPr>
          </w:p>
        </w:tc>
        <w:tc>
          <w:tcPr>
            <w:tcW w:w="473" w:type="dxa"/>
            <w:shd w:val="clear" w:color="auto" w:fill="D9D9D9"/>
          </w:tcPr>
          <w:p w14:paraId="1DF09F26" w14:textId="77777777" w:rsidR="00AF3581" w:rsidRPr="00506303" w:rsidRDefault="00AF3581" w:rsidP="0067543B">
            <w:pPr>
              <w:rPr>
                <w:sz w:val="18"/>
                <w:szCs w:val="18"/>
              </w:rPr>
            </w:pPr>
          </w:p>
        </w:tc>
        <w:tc>
          <w:tcPr>
            <w:tcW w:w="473" w:type="dxa"/>
            <w:shd w:val="clear" w:color="auto" w:fill="D9D9D9"/>
          </w:tcPr>
          <w:p w14:paraId="33162A3B" w14:textId="77777777" w:rsidR="00AF3581" w:rsidRPr="00506303" w:rsidRDefault="00AF3581" w:rsidP="0067543B">
            <w:pPr>
              <w:rPr>
                <w:sz w:val="18"/>
                <w:szCs w:val="18"/>
              </w:rPr>
            </w:pPr>
          </w:p>
        </w:tc>
        <w:tc>
          <w:tcPr>
            <w:tcW w:w="473" w:type="dxa"/>
            <w:shd w:val="clear" w:color="auto" w:fill="D9D9D9"/>
          </w:tcPr>
          <w:p w14:paraId="745EE076" w14:textId="77777777" w:rsidR="00AF3581" w:rsidRPr="00506303" w:rsidRDefault="00AF3581" w:rsidP="0067543B">
            <w:pPr>
              <w:rPr>
                <w:sz w:val="18"/>
                <w:szCs w:val="18"/>
              </w:rPr>
            </w:pPr>
          </w:p>
        </w:tc>
        <w:tc>
          <w:tcPr>
            <w:tcW w:w="473" w:type="dxa"/>
            <w:shd w:val="clear" w:color="auto" w:fill="D9D9D9"/>
          </w:tcPr>
          <w:p w14:paraId="76D6168F" w14:textId="77777777" w:rsidR="00AF3581" w:rsidRPr="00506303" w:rsidRDefault="00AF3581" w:rsidP="0067543B">
            <w:pPr>
              <w:rPr>
                <w:sz w:val="18"/>
                <w:szCs w:val="18"/>
              </w:rPr>
            </w:pPr>
          </w:p>
        </w:tc>
      </w:tr>
      <w:tr w:rsidR="00E071AC" w:rsidRPr="00506303" w14:paraId="012A33EA" w14:textId="77777777" w:rsidTr="00E071AC">
        <w:tc>
          <w:tcPr>
            <w:tcW w:w="944" w:type="dxa"/>
            <w:shd w:val="clear" w:color="auto" w:fill="auto"/>
          </w:tcPr>
          <w:p w14:paraId="58F8E904" w14:textId="77777777" w:rsidR="00AF3581" w:rsidRPr="00506303" w:rsidRDefault="00AF3581" w:rsidP="0067543B">
            <w:pPr>
              <w:rPr>
                <w:sz w:val="18"/>
                <w:szCs w:val="18"/>
              </w:rPr>
            </w:pPr>
            <w:r w:rsidRPr="00506303">
              <w:rPr>
                <w:sz w:val="18"/>
                <w:szCs w:val="18"/>
              </w:rPr>
              <w:t>3.4.4</w:t>
            </w:r>
          </w:p>
        </w:tc>
        <w:tc>
          <w:tcPr>
            <w:tcW w:w="3776" w:type="dxa"/>
            <w:shd w:val="clear" w:color="auto" w:fill="auto"/>
          </w:tcPr>
          <w:p w14:paraId="601034FD" w14:textId="77777777" w:rsidR="00AF3581" w:rsidRPr="00506303" w:rsidRDefault="00AF3581" w:rsidP="0067543B">
            <w:pPr>
              <w:rPr>
                <w:sz w:val="18"/>
                <w:szCs w:val="18"/>
              </w:rPr>
            </w:pPr>
            <w:r w:rsidRPr="00506303">
              <w:rPr>
                <w:sz w:val="18"/>
                <w:szCs w:val="18"/>
              </w:rPr>
              <w:t>Actively engage with  GEF IW:LEARN [1% of project resources] including participation in IW conferences and 3 experience notes</w:t>
            </w:r>
          </w:p>
        </w:tc>
        <w:tc>
          <w:tcPr>
            <w:tcW w:w="472" w:type="dxa"/>
            <w:shd w:val="clear" w:color="auto" w:fill="D9D9D9"/>
          </w:tcPr>
          <w:p w14:paraId="68CDB562" w14:textId="77777777" w:rsidR="00AF3581" w:rsidRPr="00506303" w:rsidRDefault="00AF3581" w:rsidP="0067543B">
            <w:pPr>
              <w:rPr>
                <w:sz w:val="18"/>
                <w:szCs w:val="18"/>
              </w:rPr>
            </w:pPr>
          </w:p>
        </w:tc>
        <w:tc>
          <w:tcPr>
            <w:tcW w:w="472" w:type="dxa"/>
            <w:shd w:val="clear" w:color="auto" w:fill="D9D9D9"/>
          </w:tcPr>
          <w:p w14:paraId="36B46AE3" w14:textId="77777777" w:rsidR="00AF3581" w:rsidRPr="00506303" w:rsidRDefault="00AF3581" w:rsidP="0067543B">
            <w:pPr>
              <w:rPr>
                <w:sz w:val="18"/>
                <w:szCs w:val="18"/>
              </w:rPr>
            </w:pPr>
          </w:p>
        </w:tc>
        <w:tc>
          <w:tcPr>
            <w:tcW w:w="472" w:type="dxa"/>
            <w:shd w:val="clear" w:color="auto" w:fill="D9D9D9"/>
          </w:tcPr>
          <w:p w14:paraId="42754ABA" w14:textId="77777777" w:rsidR="00AF3581" w:rsidRPr="00506303" w:rsidRDefault="00AF3581" w:rsidP="0067543B">
            <w:pPr>
              <w:rPr>
                <w:sz w:val="18"/>
                <w:szCs w:val="18"/>
              </w:rPr>
            </w:pPr>
          </w:p>
        </w:tc>
        <w:tc>
          <w:tcPr>
            <w:tcW w:w="472" w:type="dxa"/>
            <w:shd w:val="clear" w:color="auto" w:fill="D9D9D9"/>
          </w:tcPr>
          <w:p w14:paraId="28C08741" w14:textId="77777777" w:rsidR="00AF3581" w:rsidRPr="00506303" w:rsidRDefault="00AF3581" w:rsidP="0067543B">
            <w:pPr>
              <w:rPr>
                <w:sz w:val="18"/>
                <w:szCs w:val="18"/>
              </w:rPr>
            </w:pPr>
          </w:p>
        </w:tc>
        <w:tc>
          <w:tcPr>
            <w:tcW w:w="472" w:type="dxa"/>
            <w:shd w:val="clear" w:color="auto" w:fill="D9D9D9"/>
          </w:tcPr>
          <w:p w14:paraId="7D119F9A" w14:textId="77777777" w:rsidR="00AF3581" w:rsidRPr="00506303" w:rsidRDefault="00AF3581" w:rsidP="0067543B">
            <w:pPr>
              <w:rPr>
                <w:sz w:val="18"/>
                <w:szCs w:val="18"/>
              </w:rPr>
            </w:pPr>
          </w:p>
        </w:tc>
        <w:tc>
          <w:tcPr>
            <w:tcW w:w="472" w:type="dxa"/>
            <w:shd w:val="clear" w:color="auto" w:fill="D9D9D9"/>
          </w:tcPr>
          <w:p w14:paraId="2824D2BB" w14:textId="77777777" w:rsidR="00AF3581" w:rsidRPr="00506303" w:rsidRDefault="00AF3581" w:rsidP="0067543B">
            <w:pPr>
              <w:rPr>
                <w:sz w:val="18"/>
                <w:szCs w:val="18"/>
              </w:rPr>
            </w:pPr>
          </w:p>
        </w:tc>
        <w:tc>
          <w:tcPr>
            <w:tcW w:w="472" w:type="dxa"/>
            <w:shd w:val="clear" w:color="auto" w:fill="D9D9D9"/>
          </w:tcPr>
          <w:p w14:paraId="27B5061C" w14:textId="77777777" w:rsidR="00AF3581" w:rsidRPr="00506303" w:rsidRDefault="00AF3581" w:rsidP="0067543B">
            <w:pPr>
              <w:rPr>
                <w:sz w:val="18"/>
                <w:szCs w:val="18"/>
              </w:rPr>
            </w:pPr>
          </w:p>
        </w:tc>
        <w:tc>
          <w:tcPr>
            <w:tcW w:w="472" w:type="dxa"/>
            <w:shd w:val="clear" w:color="auto" w:fill="D9D9D9"/>
          </w:tcPr>
          <w:p w14:paraId="66B82029" w14:textId="77777777" w:rsidR="00AF3581" w:rsidRPr="00506303" w:rsidRDefault="00AF3581" w:rsidP="0067543B">
            <w:pPr>
              <w:rPr>
                <w:sz w:val="18"/>
                <w:szCs w:val="18"/>
              </w:rPr>
            </w:pPr>
          </w:p>
        </w:tc>
        <w:tc>
          <w:tcPr>
            <w:tcW w:w="472" w:type="dxa"/>
            <w:shd w:val="clear" w:color="auto" w:fill="D9D9D9"/>
          </w:tcPr>
          <w:p w14:paraId="40B6A361" w14:textId="77777777" w:rsidR="00AF3581" w:rsidRPr="00506303" w:rsidRDefault="00AF3581" w:rsidP="0067543B">
            <w:pPr>
              <w:rPr>
                <w:sz w:val="18"/>
                <w:szCs w:val="18"/>
              </w:rPr>
            </w:pPr>
          </w:p>
        </w:tc>
        <w:tc>
          <w:tcPr>
            <w:tcW w:w="472" w:type="dxa"/>
            <w:shd w:val="clear" w:color="auto" w:fill="D9D9D9"/>
          </w:tcPr>
          <w:p w14:paraId="39A69BF4" w14:textId="77777777" w:rsidR="00AF3581" w:rsidRPr="00506303" w:rsidRDefault="00AF3581" w:rsidP="0067543B">
            <w:pPr>
              <w:rPr>
                <w:sz w:val="18"/>
                <w:szCs w:val="18"/>
              </w:rPr>
            </w:pPr>
          </w:p>
        </w:tc>
        <w:tc>
          <w:tcPr>
            <w:tcW w:w="473" w:type="dxa"/>
            <w:shd w:val="clear" w:color="auto" w:fill="D9D9D9"/>
          </w:tcPr>
          <w:p w14:paraId="47B99FB4" w14:textId="77777777" w:rsidR="00AF3581" w:rsidRPr="00506303" w:rsidRDefault="00AF3581" w:rsidP="0067543B">
            <w:pPr>
              <w:rPr>
                <w:sz w:val="18"/>
                <w:szCs w:val="18"/>
              </w:rPr>
            </w:pPr>
          </w:p>
        </w:tc>
        <w:tc>
          <w:tcPr>
            <w:tcW w:w="473" w:type="dxa"/>
            <w:shd w:val="clear" w:color="auto" w:fill="D9D9D9"/>
          </w:tcPr>
          <w:p w14:paraId="3730A1D8" w14:textId="77777777" w:rsidR="00AF3581" w:rsidRPr="00506303" w:rsidRDefault="00AF3581" w:rsidP="0067543B">
            <w:pPr>
              <w:rPr>
                <w:sz w:val="18"/>
                <w:szCs w:val="18"/>
              </w:rPr>
            </w:pPr>
          </w:p>
        </w:tc>
        <w:tc>
          <w:tcPr>
            <w:tcW w:w="473" w:type="dxa"/>
            <w:shd w:val="clear" w:color="auto" w:fill="D9D9D9"/>
          </w:tcPr>
          <w:p w14:paraId="5FBDB30F" w14:textId="77777777" w:rsidR="00AF3581" w:rsidRPr="00506303" w:rsidRDefault="00AF3581" w:rsidP="0067543B">
            <w:pPr>
              <w:rPr>
                <w:sz w:val="18"/>
                <w:szCs w:val="18"/>
              </w:rPr>
            </w:pPr>
          </w:p>
        </w:tc>
        <w:tc>
          <w:tcPr>
            <w:tcW w:w="473" w:type="dxa"/>
            <w:shd w:val="clear" w:color="auto" w:fill="D9D9D9"/>
          </w:tcPr>
          <w:p w14:paraId="0B8B2D41" w14:textId="77777777" w:rsidR="00AF3581" w:rsidRPr="00506303" w:rsidRDefault="00AF3581" w:rsidP="0067543B">
            <w:pPr>
              <w:rPr>
                <w:sz w:val="18"/>
                <w:szCs w:val="18"/>
              </w:rPr>
            </w:pPr>
          </w:p>
        </w:tc>
        <w:tc>
          <w:tcPr>
            <w:tcW w:w="473" w:type="dxa"/>
            <w:shd w:val="clear" w:color="auto" w:fill="D9D9D9"/>
          </w:tcPr>
          <w:p w14:paraId="7553D22E" w14:textId="77777777" w:rsidR="00AF3581" w:rsidRPr="00506303" w:rsidRDefault="00AF3581" w:rsidP="0067543B">
            <w:pPr>
              <w:rPr>
                <w:sz w:val="18"/>
                <w:szCs w:val="18"/>
              </w:rPr>
            </w:pPr>
          </w:p>
        </w:tc>
        <w:tc>
          <w:tcPr>
            <w:tcW w:w="473" w:type="dxa"/>
            <w:shd w:val="clear" w:color="auto" w:fill="D9D9D9"/>
          </w:tcPr>
          <w:p w14:paraId="2BB31810" w14:textId="77777777" w:rsidR="00AF3581" w:rsidRPr="00506303" w:rsidRDefault="00AF3581" w:rsidP="0067543B">
            <w:pPr>
              <w:rPr>
                <w:sz w:val="18"/>
                <w:szCs w:val="18"/>
              </w:rPr>
            </w:pPr>
          </w:p>
        </w:tc>
        <w:tc>
          <w:tcPr>
            <w:tcW w:w="473" w:type="dxa"/>
            <w:shd w:val="clear" w:color="auto" w:fill="D9D9D9"/>
          </w:tcPr>
          <w:p w14:paraId="10AEE047" w14:textId="77777777" w:rsidR="00AF3581" w:rsidRPr="00506303" w:rsidRDefault="00AF3581" w:rsidP="0067543B">
            <w:pPr>
              <w:rPr>
                <w:sz w:val="18"/>
                <w:szCs w:val="18"/>
              </w:rPr>
            </w:pPr>
          </w:p>
        </w:tc>
        <w:tc>
          <w:tcPr>
            <w:tcW w:w="473" w:type="dxa"/>
            <w:shd w:val="clear" w:color="auto" w:fill="D9D9D9"/>
          </w:tcPr>
          <w:p w14:paraId="1FDEBBB1" w14:textId="77777777" w:rsidR="00AF3581" w:rsidRPr="00506303" w:rsidRDefault="00AF3581" w:rsidP="0067543B">
            <w:pPr>
              <w:rPr>
                <w:sz w:val="18"/>
                <w:szCs w:val="18"/>
              </w:rPr>
            </w:pPr>
          </w:p>
        </w:tc>
        <w:tc>
          <w:tcPr>
            <w:tcW w:w="473" w:type="dxa"/>
            <w:shd w:val="clear" w:color="auto" w:fill="D9D9D9"/>
          </w:tcPr>
          <w:p w14:paraId="3ED33C1C" w14:textId="77777777" w:rsidR="00AF3581" w:rsidRPr="00506303" w:rsidRDefault="00AF3581" w:rsidP="0067543B">
            <w:pPr>
              <w:rPr>
                <w:sz w:val="18"/>
                <w:szCs w:val="18"/>
              </w:rPr>
            </w:pPr>
          </w:p>
        </w:tc>
        <w:tc>
          <w:tcPr>
            <w:tcW w:w="473" w:type="dxa"/>
            <w:shd w:val="clear" w:color="auto" w:fill="D9D9D9"/>
          </w:tcPr>
          <w:p w14:paraId="48B5CA99" w14:textId="77777777" w:rsidR="00AF3581" w:rsidRPr="00506303" w:rsidRDefault="00AF3581" w:rsidP="0067543B">
            <w:pPr>
              <w:rPr>
                <w:sz w:val="18"/>
                <w:szCs w:val="18"/>
              </w:rPr>
            </w:pPr>
          </w:p>
        </w:tc>
      </w:tr>
      <w:tr w:rsidR="00AF3581" w:rsidRPr="00506303" w14:paraId="4E1C528F" w14:textId="77777777" w:rsidTr="00506303">
        <w:tc>
          <w:tcPr>
            <w:tcW w:w="944" w:type="dxa"/>
            <w:shd w:val="clear" w:color="auto" w:fill="F2F2F2"/>
          </w:tcPr>
          <w:p w14:paraId="4B1653CD" w14:textId="77777777" w:rsidR="00AF3581" w:rsidRPr="00506303" w:rsidRDefault="00AF3581" w:rsidP="0067543B">
            <w:pPr>
              <w:rPr>
                <w:b/>
                <w:sz w:val="18"/>
                <w:szCs w:val="18"/>
              </w:rPr>
            </w:pPr>
            <w:r w:rsidRPr="00506303">
              <w:rPr>
                <w:b/>
                <w:sz w:val="18"/>
                <w:szCs w:val="18"/>
              </w:rPr>
              <w:t>3.5</w:t>
            </w:r>
          </w:p>
        </w:tc>
        <w:tc>
          <w:tcPr>
            <w:tcW w:w="13226" w:type="dxa"/>
            <w:gridSpan w:val="21"/>
            <w:shd w:val="clear" w:color="auto" w:fill="F2F2F2"/>
          </w:tcPr>
          <w:p w14:paraId="3299B75E" w14:textId="77777777" w:rsidR="00AF3581" w:rsidRPr="00506303" w:rsidRDefault="00AF3581" w:rsidP="0067543B">
            <w:pPr>
              <w:rPr>
                <w:b/>
                <w:sz w:val="18"/>
                <w:szCs w:val="18"/>
              </w:rPr>
            </w:pPr>
            <w:r w:rsidRPr="00506303">
              <w:rPr>
                <w:b/>
                <w:sz w:val="18"/>
                <w:szCs w:val="18"/>
              </w:rPr>
              <w:t>Agreed arrangements for strengthened regional cooperation in the management of the marine and coastal environment of the South China Sea</w:t>
            </w:r>
          </w:p>
        </w:tc>
      </w:tr>
      <w:tr w:rsidR="00E071AC" w:rsidRPr="00506303" w14:paraId="59D9454C" w14:textId="77777777" w:rsidTr="00E071AC">
        <w:tc>
          <w:tcPr>
            <w:tcW w:w="944" w:type="dxa"/>
            <w:shd w:val="clear" w:color="auto" w:fill="auto"/>
          </w:tcPr>
          <w:p w14:paraId="2F9827BE" w14:textId="77777777" w:rsidR="00AF3581" w:rsidRPr="00506303" w:rsidRDefault="00AF3581" w:rsidP="0067543B">
            <w:pPr>
              <w:rPr>
                <w:sz w:val="18"/>
                <w:szCs w:val="18"/>
              </w:rPr>
            </w:pPr>
            <w:r w:rsidRPr="00506303">
              <w:rPr>
                <w:sz w:val="18"/>
                <w:szCs w:val="18"/>
              </w:rPr>
              <w:t>3.5.1</w:t>
            </w:r>
          </w:p>
        </w:tc>
        <w:tc>
          <w:tcPr>
            <w:tcW w:w="3776" w:type="dxa"/>
            <w:shd w:val="clear" w:color="auto" w:fill="auto"/>
          </w:tcPr>
          <w:p w14:paraId="7B397E29" w14:textId="77777777" w:rsidR="00AF3581" w:rsidRPr="00506303" w:rsidRDefault="00AF3581" w:rsidP="0067543B">
            <w:pPr>
              <w:rPr>
                <w:sz w:val="18"/>
                <w:szCs w:val="18"/>
              </w:rPr>
            </w:pPr>
            <w:r w:rsidRPr="00506303">
              <w:rPr>
                <w:sz w:val="18"/>
                <w:szCs w:val="18"/>
              </w:rPr>
              <w:t>Convene biannual meetings of the Regional Task Force on Legal Matters</w:t>
            </w:r>
          </w:p>
        </w:tc>
        <w:tc>
          <w:tcPr>
            <w:tcW w:w="472" w:type="dxa"/>
            <w:shd w:val="clear" w:color="auto" w:fill="auto"/>
          </w:tcPr>
          <w:p w14:paraId="67A9D870" w14:textId="77777777" w:rsidR="00AF3581" w:rsidRPr="00506303" w:rsidRDefault="00AF3581" w:rsidP="0067543B">
            <w:pPr>
              <w:rPr>
                <w:sz w:val="18"/>
                <w:szCs w:val="18"/>
              </w:rPr>
            </w:pPr>
          </w:p>
        </w:tc>
        <w:tc>
          <w:tcPr>
            <w:tcW w:w="472" w:type="dxa"/>
            <w:shd w:val="clear" w:color="auto" w:fill="D9D9D9"/>
          </w:tcPr>
          <w:p w14:paraId="79E1301A" w14:textId="77777777" w:rsidR="00AF3581" w:rsidRPr="00506303" w:rsidRDefault="00AF3581" w:rsidP="0067543B">
            <w:pPr>
              <w:rPr>
                <w:sz w:val="18"/>
                <w:szCs w:val="18"/>
              </w:rPr>
            </w:pPr>
          </w:p>
        </w:tc>
        <w:tc>
          <w:tcPr>
            <w:tcW w:w="472" w:type="dxa"/>
            <w:shd w:val="clear" w:color="auto" w:fill="auto"/>
          </w:tcPr>
          <w:p w14:paraId="4EFF5978" w14:textId="77777777" w:rsidR="00AF3581" w:rsidRPr="00506303" w:rsidRDefault="00AF3581" w:rsidP="0067543B">
            <w:pPr>
              <w:rPr>
                <w:sz w:val="18"/>
                <w:szCs w:val="18"/>
              </w:rPr>
            </w:pPr>
          </w:p>
        </w:tc>
        <w:tc>
          <w:tcPr>
            <w:tcW w:w="472" w:type="dxa"/>
            <w:shd w:val="clear" w:color="auto" w:fill="D9D9D9"/>
          </w:tcPr>
          <w:p w14:paraId="35182C88" w14:textId="77777777" w:rsidR="00AF3581" w:rsidRPr="00506303" w:rsidRDefault="00AF3581" w:rsidP="0067543B">
            <w:pPr>
              <w:rPr>
                <w:sz w:val="18"/>
                <w:szCs w:val="18"/>
              </w:rPr>
            </w:pPr>
          </w:p>
        </w:tc>
        <w:tc>
          <w:tcPr>
            <w:tcW w:w="472" w:type="dxa"/>
            <w:shd w:val="clear" w:color="auto" w:fill="auto"/>
          </w:tcPr>
          <w:p w14:paraId="7B71325F" w14:textId="77777777" w:rsidR="00AF3581" w:rsidRPr="00506303" w:rsidRDefault="00AF3581" w:rsidP="0067543B">
            <w:pPr>
              <w:rPr>
                <w:sz w:val="18"/>
                <w:szCs w:val="18"/>
              </w:rPr>
            </w:pPr>
          </w:p>
        </w:tc>
        <w:tc>
          <w:tcPr>
            <w:tcW w:w="472" w:type="dxa"/>
            <w:shd w:val="clear" w:color="auto" w:fill="D9D9D9"/>
          </w:tcPr>
          <w:p w14:paraId="40A665F7" w14:textId="77777777" w:rsidR="00AF3581" w:rsidRPr="00506303" w:rsidRDefault="00AF3581" w:rsidP="0067543B">
            <w:pPr>
              <w:rPr>
                <w:sz w:val="18"/>
                <w:szCs w:val="18"/>
              </w:rPr>
            </w:pPr>
          </w:p>
        </w:tc>
        <w:tc>
          <w:tcPr>
            <w:tcW w:w="472" w:type="dxa"/>
            <w:shd w:val="clear" w:color="auto" w:fill="auto"/>
          </w:tcPr>
          <w:p w14:paraId="4AA28D85" w14:textId="77777777" w:rsidR="00AF3581" w:rsidRPr="00506303" w:rsidRDefault="00AF3581" w:rsidP="0067543B">
            <w:pPr>
              <w:rPr>
                <w:sz w:val="18"/>
                <w:szCs w:val="18"/>
              </w:rPr>
            </w:pPr>
          </w:p>
        </w:tc>
        <w:tc>
          <w:tcPr>
            <w:tcW w:w="472" w:type="dxa"/>
            <w:shd w:val="clear" w:color="auto" w:fill="D9D9D9"/>
          </w:tcPr>
          <w:p w14:paraId="591C0A85" w14:textId="77777777" w:rsidR="00AF3581" w:rsidRPr="00506303" w:rsidRDefault="00AF3581" w:rsidP="0067543B">
            <w:pPr>
              <w:rPr>
                <w:sz w:val="18"/>
                <w:szCs w:val="18"/>
              </w:rPr>
            </w:pPr>
          </w:p>
        </w:tc>
        <w:tc>
          <w:tcPr>
            <w:tcW w:w="472" w:type="dxa"/>
            <w:shd w:val="clear" w:color="auto" w:fill="auto"/>
          </w:tcPr>
          <w:p w14:paraId="23CC7D0A" w14:textId="77777777" w:rsidR="00AF3581" w:rsidRPr="00506303" w:rsidRDefault="00AF3581" w:rsidP="0067543B">
            <w:pPr>
              <w:rPr>
                <w:sz w:val="18"/>
                <w:szCs w:val="18"/>
              </w:rPr>
            </w:pPr>
          </w:p>
        </w:tc>
        <w:tc>
          <w:tcPr>
            <w:tcW w:w="472" w:type="dxa"/>
            <w:shd w:val="clear" w:color="auto" w:fill="D9D9D9"/>
          </w:tcPr>
          <w:p w14:paraId="76E5B19C" w14:textId="77777777" w:rsidR="00AF3581" w:rsidRPr="00506303" w:rsidRDefault="00AF3581" w:rsidP="0067543B">
            <w:pPr>
              <w:rPr>
                <w:sz w:val="18"/>
                <w:szCs w:val="18"/>
              </w:rPr>
            </w:pPr>
          </w:p>
        </w:tc>
        <w:tc>
          <w:tcPr>
            <w:tcW w:w="473" w:type="dxa"/>
            <w:shd w:val="clear" w:color="auto" w:fill="auto"/>
          </w:tcPr>
          <w:p w14:paraId="64DBAABA" w14:textId="77777777" w:rsidR="00AF3581" w:rsidRPr="00506303" w:rsidRDefault="00AF3581" w:rsidP="0067543B">
            <w:pPr>
              <w:rPr>
                <w:sz w:val="18"/>
                <w:szCs w:val="18"/>
              </w:rPr>
            </w:pPr>
          </w:p>
        </w:tc>
        <w:tc>
          <w:tcPr>
            <w:tcW w:w="473" w:type="dxa"/>
            <w:shd w:val="clear" w:color="auto" w:fill="D9D9D9"/>
          </w:tcPr>
          <w:p w14:paraId="5A31818D" w14:textId="77777777" w:rsidR="00AF3581" w:rsidRPr="00506303" w:rsidRDefault="00AF3581" w:rsidP="0067543B">
            <w:pPr>
              <w:rPr>
                <w:sz w:val="18"/>
                <w:szCs w:val="18"/>
              </w:rPr>
            </w:pPr>
          </w:p>
        </w:tc>
        <w:tc>
          <w:tcPr>
            <w:tcW w:w="473" w:type="dxa"/>
            <w:shd w:val="clear" w:color="auto" w:fill="auto"/>
          </w:tcPr>
          <w:p w14:paraId="3843F236" w14:textId="77777777" w:rsidR="00AF3581" w:rsidRPr="00506303" w:rsidRDefault="00AF3581" w:rsidP="0067543B">
            <w:pPr>
              <w:rPr>
                <w:sz w:val="18"/>
                <w:szCs w:val="18"/>
              </w:rPr>
            </w:pPr>
          </w:p>
        </w:tc>
        <w:tc>
          <w:tcPr>
            <w:tcW w:w="473" w:type="dxa"/>
            <w:shd w:val="clear" w:color="auto" w:fill="D9D9D9"/>
          </w:tcPr>
          <w:p w14:paraId="21AFE25A" w14:textId="77777777" w:rsidR="00AF3581" w:rsidRPr="00506303" w:rsidRDefault="00AF3581" w:rsidP="0067543B">
            <w:pPr>
              <w:rPr>
                <w:sz w:val="18"/>
                <w:szCs w:val="18"/>
              </w:rPr>
            </w:pPr>
          </w:p>
        </w:tc>
        <w:tc>
          <w:tcPr>
            <w:tcW w:w="473" w:type="dxa"/>
            <w:shd w:val="clear" w:color="auto" w:fill="auto"/>
          </w:tcPr>
          <w:p w14:paraId="738B5D46" w14:textId="77777777" w:rsidR="00AF3581" w:rsidRPr="00506303" w:rsidRDefault="00AF3581" w:rsidP="0067543B">
            <w:pPr>
              <w:rPr>
                <w:sz w:val="18"/>
                <w:szCs w:val="18"/>
              </w:rPr>
            </w:pPr>
          </w:p>
        </w:tc>
        <w:tc>
          <w:tcPr>
            <w:tcW w:w="473" w:type="dxa"/>
            <w:shd w:val="clear" w:color="auto" w:fill="D9D9D9"/>
          </w:tcPr>
          <w:p w14:paraId="44864AAE" w14:textId="77777777" w:rsidR="00AF3581" w:rsidRPr="00506303" w:rsidRDefault="00AF3581" w:rsidP="0067543B">
            <w:pPr>
              <w:rPr>
                <w:sz w:val="18"/>
                <w:szCs w:val="18"/>
              </w:rPr>
            </w:pPr>
          </w:p>
        </w:tc>
        <w:tc>
          <w:tcPr>
            <w:tcW w:w="473" w:type="dxa"/>
            <w:shd w:val="clear" w:color="auto" w:fill="auto"/>
          </w:tcPr>
          <w:p w14:paraId="6EEBBF9D" w14:textId="77777777" w:rsidR="00AF3581" w:rsidRPr="00506303" w:rsidRDefault="00AF3581" w:rsidP="0067543B">
            <w:pPr>
              <w:rPr>
                <w:sz w:val="18"/>
                <w:szCs w:val="18"/>
              </w:rPr>
            </w:pPr>
          </w:p>
        </w:tc>
        <w:tc>
          <w:tcPr>
            <w:tcW w:w="473" w:type="dxa"/>
            <w:shd w:val="clear" w:color="auto" w:fill="D9D9D9"/>
          </w:tcPr>
          <w:p w14:paraId="6522D209" w14:textId="77777777" w:rsidR="00AF3581" w:rsidRPr="00506303" w:rsidRDefault="00AF3581" w:rsidP="0067543B">
            <w:pPr>
              <w:rPr>
                <w:sz w:val="18"/>
                <w:szCs w:val="18"/>
              </w:rPr>
            </w:pPr>
          </w:p>
        </w:tc>
        <w:tc>
          <w:tcPr>
            <w:tcW w:w="473" w:type="dxa"/>
            <w:shd w:val="clear" w:color="auto" w:fill="auto"/>
          </w:tcPr>
          <w:p w14:paraId="03E0819C" w14:textId="77777777" w:rsidR="00AF3581" w:rsidRPr="00506303" w:rsidRDefault="00AF3581" w:rsidP="0067543B">
            <w:pPr>
              <w:rPr>
                <w:sz w:val="18"/>
                <w:szCs w:val="18"/>
              </w:rPr>
            </w:pPr>
          </w:p>
        </w:tc>
        <w:tc>
          <w:tcPr>
            <w:tcW w:w="473" w:type="dxa"/>
            <w:shd w:val="clear" w:color="auto" w:fill="D9D9D9"/>
          </w:tcPr>
          <w:p w14:paraId="56D8E515" w14:textId="77777777" w:rsidR="00AF3581" w:rsidRPr="00506303" w:rsidRDefault="00AF3581" w:rsidP="0067543B">
            <w:pPr>
              <w:rPr>
                <w:sz w:val="18"/>
                <w:szCs w:val="18"/>
              </w:rPr>
            </w:pPr>
          </w:p>
        </w:tc>
      </w:tr>
      <w:tr w:rsidR="00E071AC" w:rsidRPr="00506303" w14:paraId="29B02C67" w14:textId="77777777" w:rsidTr="00E071AC">
        <w:tc>
          <w:tcPr>
            <w:tcW w:w="944" w:type="dxa"/>
            <w:shd w:val="clear" w:color="auto" w:fill="auto"/>
          </w:tcPr>
          <w:p w14:paraId="7F44594F" w14:textId="77777777" w:rsidR="00AF3581" w:rsidRPr="00506303" w:rsidRDefault="00AF3581" w:rsidP="0067543B">
            <w:pPr>
              <w:rPr>
                <w:sz w:val="18"/>
                <w:szCs w:val="18"/>
              </w:rPr>
            </w:pPr>
            <w:r w:rsidRPr="00506303">
              <w:rPr>
                <w:sz w:val="18"/>
                <w:szCs w:val="18"/>
              </w:rPr>
              <w:t>3.5.2</w:t>
            </w:r>
          </w:p>
        </w:tc>
        <w:tc>
          <w:tcPr>
            <w:tcW w:w="3776" w:type="dxa"/>
            <w:shd w:val="clear" w:color="auto" w:fill="auto"/>
          </w:tcPr>
          <w:p w14:paraId="7C2330B2" w14:textId="77777777" w:rsidR="00AF3581" w:rsidRPr="00506303" w:rsidRDefault="00AF3581" w:rsidP="0067543B">
            <w:pPr>
              <w:rPr>
                <w:sz w:val="18"/>
                <w:szCs w:val="18"/>
              </w:rPr>
            </w:pPr>
            <w:r w:rsidRPr="00506303">
              <w:rPr>
                <w:sz w:val="18"/>
                <w:szCs w:val="18"/>
              </w:rPr>
              <w:t>Establish and operate National Working Groups on matters relating to cooperation</w:t>
            </w:r>
          </w:p>
        </w:tc>
        <w:tc>
          <w:tcPr>
            <w:tcW w:w="472" w:type="dxa"/>
            <w:shd w:val="clear" w:color="auto" w:fill="D9D9D9"/>
          </w:tcPr>
          <w:p w14:paraId="6D100663" w14:textId="77777777" w:rsidR="00AF3581" w:rsidRPr="00506303" w:rsidRDefault="00AF3581" w:rsidP="0067543B">
            <w:pPr>
              <w:rPr>
                <w:sz w:val="18"/>
                <w:szCs w:val="18"/>
              </w:rPr>
            </w:pPr>
          </w:p>
        </w:tc>
        <w:tc>
          <w:tcPr>
            <w:tcW w:w="472" w:type="dxa"/>
            <w:shd w:val="clear" w:color="auto" w:fill="D9D9D9"/>
          </w:tcPr>
          <w:p w14:paraId="1AD1E932" w14:textId="77777777" w:rsidR="00AF3581" w:rsidRPr="00506303" w:rsidRDefault="00AF3581" w:rsidP="0067543B">
            <w:pPr>
              <w:rPr>
                <w:sz w:val="18"/>
                <w:szCs w:val="18"/>
              </w:rPr>
            </w:pPr>
          </w:p>
        </w:tc>
        <w:tc>
          <w:tcPr>
            <w:tcW w:w="472" w:type="dxa"/>
            <w:shd w:val="clear" w:color="auto" w:fill="D9D9D9"/>
          </w:tcPr>
          <w:p w14:paraId="01EBE5EE" w14:textId="77777777" w:rsidR="00AF3581" w:rsidRPr="00506303" w:rsidRDefault="00AF3581" w:rsidP="0067543B">
            <w:pPr>
              <w:rPr>
                <w:sz w:val="18"/>
                <w:szCs w:val="18"/>
              </w:rPr>
            </w:pPr>
          </w:p>
        </w:tc>
        <w:tc>
          <w:tcPr>
            <w:tcW w:w="472" w:type="dxa"/>
            <w:shd w:val="clear" w:color="auto" w:fill="D9D9D9"/>
          </w:tcPr>
          <w:p w14:paraId="51E088DE" w14:textId="77777777" w:rsidR="00AF3581" w:rsidRPr="00506303" w:rsidRDefault="00AF3581" w:rsidP="0067543B">
            <w:pPr>
              <w:rPr>
                <w:sz w:val="18"/>
                <w:szCs w:val="18"/>
              </w:rPr>
            </w:pPr>
          </w:p>
        </w:tc>
        <w:tc>
          <w:tcPr>
            <w:tcW w:w="472" w:type="dxa"/>
            <w:shd w:val="clear" w:color="auto" w:fill="D9D9D9"/>
          </w:tcPr>
          <w:p w14:paraId="2DEF8957" w14:textId="77777777" w:rsidR="00AF3581" w:rsidRPr="00506303" w:rsidRDefault="00AF3581" w:rsidP="0067543B">
            <w:pPr>
              <w:rPr>
                <w:sz w:val="18"/>
                <w:szCs w:val="18"/>
              </w:rPr>
            </w:pPr>
          </w:p>
        </w:tc>
        <w:tc>
          <w:tcPr>
            <w:tcW w:w="472" w:type="dxa"/>
            <w:shd w:val="clear" w:color="auto" w:fill="D9D9D9"/>
          </w:tcPr>
          <w:p w14:paraId="59748D2B" w14:textId="77777777" w:rsidR="00AF3581" w:rsidRPr="00506303" w:rsidRDefault="00AF3581" w:rsidP="0067543B">
            <w:pPr>
              <w:rPr>
                <w:sz w:val="18"/>
                <w:szCs w:val="18"/>
              </w:rPr>
            </w:pPr>
          </w:p>
        </w:tc>
        <w:tc>
          <w:tcPr>
            <w:tcW w:w="472" w:type="dxa"/>
            <w:shd w:val="clear" w:color="auto" w:fill="D9D9D9"/>
          </w:tcPr>
          <w:p w14:paraId="67589E29" w14:textId="77777777" w:rsidR="00AF3581" w:rsidRPr="00506303" w:rsidRDefault="00AF3581" w:rsidP="0067543B">
            <w:pPr>
              <w:rPr>
                <w:sz w:val="18"/>
                <w:szCs w:val="18"/>
              </w:rPr>
            </w:pPr>
          </w:p>
        </w:tc>
        <w:tc>
          <w:tcPr>
            <w:tcW w:w="472" w:type="dxa"/>
            <w:shd w:val="clear" w:color="auto" w:fill="D9D9D9"/>
          </w:tcPr>
          <w:p w14:paraId="4DB8682E" w14:textId="77777777" w:rsidR="00AF3581" w:rsidRPr="00506303" w:rsidRDefault="00AF3581" w:rsidP="0067543B">
            <w:pPr>
              <w:rPr>
                <w:sz w:val="18"/>
                <w:szCs w:val="18"/>
              </w:rPr>
            </w:pPr>
          </w:p>
        </w:tc>
        <w:tc>
          <w:tcPr>
            <w:tcW w:w="472" w:type="dxa"/>
            <w:shd w:val="clear" w:color="auto" w:fill="D9D9D9"/>
          </w:tcPr>
          <w:p w14:paraId="36818C05" w14:textId="77777777" w:rsidR="00AF3581" w:rsidRPr="00506303" w:rsidRDefault="00AF3581" w:rsidP="0067543B">
            <w:pPr>
              <w:rPr>
                <w:sz w:val="18"/>
                <w:szCs w:val="18"/>
              </w:rPr>
            </w:pPr>
          </w:p>
        </w:tc>
        <w:tc>
          <w:tcPr>
            <w:tcW w:w="472" w:type="dxa"/>
            <w:shd w:val="clear" w:color="auto" w:fill="D9D9D9"/>
          </w:tcPr>
          <w:p w14:paraId="22E57775" w14:textId="77777777" w:rsidR="00AF3581" w:rsidRPr="00506303" w:rsidRDefault="00AF3581" w:rsidP="0067543B">
            <w:pPr>
              <w:rPr>
                <w:sz w:val="18"/>
                <w:szCs w:val="18"/>
              </w:rPr>
            </w:pPr>
          </w:p>
        </w:tc>
        <w:tc>
          <w:tcPr>
            <w:tcW w:w="473" w:type="dxa"/>
            <w:shd w:val="clear" w:color="auto" w:fill="D9D9D9"/>
          </w:tcPr>
          <w:p w14:paraId="58247C99" w14:textId="77777777" w:rsidR="00AF3581" w:rsidRPr="00506303" w:rsidRDefault="00AF3581" w:rsidP="0067543B">
            <w:pPr>
              <w:rPr>
                <w:sz w:val="18"/>
                <w:szCs w:val="18"/>
              </w:rPr>
            </w:pPr>
          </w:p>
        </w:tc>
        <w:tc>
          <w:tcPr>
            <w:tcW w:w="473" w:type="dxa"/>
            <w:shd w:val="clear" w:color="auto" w:fill="D9D9D9"/>
          </w:tcPr>
          <w:p w14:paraId="0ACCE329" w14:textId="77777777" w:rsidR="00AF3581" w:rsidRPr="00506303" w:rsidRDefault="00AF3581" w:rsidP="0067543B">
            <w:pPr>
              <w:rPr>
                <w:sz w:val="18"/>
                <w:szCs w:val="18"/>
              </w:rPr>
            </w:pPr>
          </w:p>
        </w:tc>
        <w:tc>
          <w:tcPr>
            <w:tcW w:w="473" w:type="dxa"/>
            <w:shd w:val="clear" w:color="auto" w:fill="D9D9D9"/>
          </w:tcPr>
          <w:p w14:paraId="71334CBF" w14:textId="77777777" w:rsidR="00AF3581" w:rsidRPr="00506303" w:rsidRDefault="00AF3581" w:rsidP="0067543B">
            <w:pPr>
              <w:rPr>
                <w:sz w:val="18"/>
                <w:szCs w:val="18"/>
              </w:rPr>
            </w:pPr>
          </w:p>
        </w:tc>
        <w:tc>
          <w:tcPr>
            <w:tcW w:w="473" w:type="dxa"/>
            <w:shd w:val="clear" w:color="auto" w:fill="D9D9D9"/>
          </w:tcPr>
          <w:p w14:paraId="581425B5" w14:textId="77777777" w:rsidR="00AF3581" w:rsidRPr="00506303" w:rsidRDefault="00AF3581" w:rsidP="0067543B">
            <w:pPr>
              <w:rPr>
                <w:sz w:val="18"/>
                <w:szCs w:val="18"/>
              </w:rPr>
            </w:pPr>
          </w:p>
        </w:tc>
        <w:tc>
          <w:tcPr>
            <w:tcW w:w="473" w:type="dxa"/>
            <w:shd w:val="clear" w:color="auto" w:fill="D9D9D9"/>
          </w:tcPr>
          <w:p w14:paraId="17F7875E" w14:textId="77777777" w:rsidR="00AF3581" w:rsidRPr="00506303" w:rsidRDefault="00AF3581" w:rsidP="0067543B">
            <w:pPr>
              <w:rPr>
                <w:sz w:val="18"/>
                <w:szCs w:val="18"/>
              </w:rPr>
            </w:pPr>
          </w:p>
        </w:tc>
        <w:tc>
          <w:tcPr>
            <w:tcW w:w="473" w:type="dxa"/>
            <w:shd w:val="clear" w:color="auto" w:fill="D9D9D9"/>
          </w:tcPr>
          <w:p w14:paraId="0E10E93C" w14:textId="77777777" w:rsidR="00AF3581" w:rsidRPr="00506303" w:rsidRDefault="00AF3581" w:rsidP="0067543B">
            <w:pPr>
              <w:rPr>
                <w:sz w:val="18"/>
                <w:szCs w:val="18"/>
              </w:rPr>
            </w:pPr>
          </w:p>
        </w:tc>
        <w:tc>
          <w:tcPr>
            <w:tcW w:w="473" w:type="dxa"/>
            <w:shd w:val="clear" w:color="auto" w:fill="D9D9D9"/>
          </w:tcPr>
          <w:p w14:paraId="39D04C3C" w14:textId="77777777" w:rsidR="00AF3581" w:rsidRPr="00506303" w:rsidRDefault="00AF3581" w:rsidP="0067543B">
            <w:pPr>
              <w:rPr>
                <w:sz w:val="18"/>
                <w:szCs w:val="18"/>
              </w:rPr>
            </w:pPr>
          </w:p>
        </w:tc>
        <w:tc>
          <w:tcPr>
            <w:tcW w:w="473" w:type="dxa"/>
            <w:shd w:val="clear" w:color="auto" w:fill="D9D9D9"/>
          </w:tcPr>
          <w:p w14:paraId="07095E6F" w14:textId="77777777" w:rsidR="00AF3581" w:rsidRPr="00506303" w:rsidRDefault="00AF3581" w:rsidP="0067543B">
            <w:pPr>
              <w:rPr>
                <w:sz w:val="18"/>
                <w:szCs w:val="18"/>
              </w:rPr>
            </w:pPr>
          </w:p>
        </w:tc>
        <w:tc>
          <w:tcPr>
            <w:tcW w:w="473" w:type="dxa"/>
            <w:shd w:val="clear" w:color="auto" w:fill="D9D9D9"/>
          </w:tcPr>
          <w:p w14:paraId="0D788A7D" w14:textId="77777777" w:rsidR="00AF3581" w:rsidRPr="00506303" w:rsidRDefault="00AF3581" w:rsidP="0067543B">
            <w:pPr>
              <w:rPr>
                <w:sz w:val="18"/>
                <w:szCs w:val="18"/>
              </w:rPr>
            </w:pPr>
          </w:p>
        </w:tc>
        <w:tc>
          <w:tcPr>
            <w:tcW w:w="473" w:type="dxa"/>
            <w:shd w:val="clear" w:color="auto" w:fill="D9D9D9"/>
          </w:tcPr>
          <w:p w14:paraId="64659FCB" w14:textId="77777777" w:rsidR="00AF3581" w:rsidRPr="00506303" w:rsidRDefault="00AF3581" w:rsidP="0067543B">
            <w:pPr>
              <w:rPr>
                <w:sz w:val="18"/>
                <w:szCs w:val="18"/>
              </w:rPr>
            </w:pPr>
          </w:p>
        </w:tc>
      </w:tr>
      <w:tr w:rsidR="00E071AC" w:rsidRPr="00506303" w14:paraId="3AB815CF" w14:textId="77777777" w:rsidTr="00E071AC">
        <w:tc>
          <w:tcPr>
            <w:tcW w:w="944" w:type="dxa"/>
            <w:shd w:val="clear" w:color="auto" w:fill="auto"/>
          </w:tcPr>
          <w:p w14:paraId="66A43658" w14:textId="77777777" w:rsidR="00AF3581" w:rsidRPr="00506303" w:rsidRDefault="00AF3581" w:rsidP="0067543B">
            <w:pPr>
              <w:rPr>
                <w:sz w:val="18"/>
                <w:szCs w:val="18"/>
              </w:rPr>
            </w:pPr>
            <w:r w:rsidRPr="00506303">
              <w:rPr>
                <w:sz w:val="18"/>
                <w:szCs w:val="18"/>
              </w:rPr>
              <w:t>3.5.3</w:t>
            </w:r>
          </w:p>
        </w:tc>
        <w:tc>
          <w:tcPr>
            <w:tcW w:w="3776" w:type="dxa"/>
            <w:shd w:val="clear" w:color="auto" w:fill="auto"/>
          </w:tcPr>
          <w:p w14:paraId="44C5C062" w14:textId="77777777" w:rsidR="00AF3581" w:rsidRPr="00506303" w:rsidRDefault="00AF3581" w:rsidP="0067543B">
            <w:pPr>
              <w:rPr>
                <w:sz w:val="18"/>
                <w:szCs w:val="18"/>
              </w:rPr>
            </w:pPr>
            <w:r w:rsidRPr="00506303">
              <w:rPr>
                <w:sz w:val="18"/>
                <w:szCs w:val="18"/>
              </w:rPr>
              <w:t>Implement a consultative process aimed at development of a proposed arrangement for regional cooperation</w:t>
            </w:r>
          </w:p>
        </w:tc>
        <w:tc>
          <w:tcPr>
            <w:tcW w:w="472" w:type="dxa"/>
            <w:shd w:val="clear" w:color="auto" w:fill="auto"/>
          </w:tcPr>
          <w:p w14:paraId="71725773" w14:textId="77777777" w:rsidR="00AF3581" w:rsidRPr="00506303" w:rsidRDefault="00AF3581" w:rsidP="0067543B">
            <w:pPr>
              <w:rPr>
                <w:sz w:val="18"/>
                <w:szCs w:val="18"/>
              </w:rPr>
            </w:pPr>
          </w:p>
        </w:tc>
        <w:tc>
          <w:tcPr>
            <w:tcW w:w="472" w:type="dxa"/>
            <w:shd w:val="clear" w:color="auto" w:fill="auto"/>
          </w:tcPr>
          <w:p w14:paraId="4A91CD8A" w14:textId="77777777" w:rsidR="00AF3581" w:rsidRPr="00506303" w:rsidRDefault="00AF3581" w:rsidP="0067543B">
            <w:pPr>
              <w:rPr>
                <w:sz w:val="18"/>
                <w:szCs w:val="18"/>
              </w:rPr>
            </w:pPr>
          </w:p>
        </w:tc>
        <w:tc>
          <w:tcPr>
            <w:tcW w:w="472" w:type="dxa"/>
            <w:shd w:val="clear" w:color="auto" w:fill="auto"/>
          </w:tcPr>
          <w:p w14:paraId="5686FD39" w14:textId="77777777" w:rsidR="00AF3581" w:rsidRPr="00506303" w:rsidRDefault="00AF3581" w:rsidP="0067543B">
            <w:pPr>
              <w:rPr>
                <w:sz w:val="18"/>
                <w:szCs w:val="18"/>
              </w:rPr>
            </w:pPr>
          </w:p>
        </w:tc>
        <w:tc>
          <w:tcPr>
            <w:tcW w:w="472" w:type="dxa"/>
            <w:shd w:val="clear" w:color="auto" w:fill="auto"/>
          </w:tcPr>
          <w:p w14:paraId="13AD6899" w14:textId="77777777" w:rsidR="00AF3581" w:rsidRPr="00506303" w:rsidRDefault="00AF3581" w:rsidP="0067543B">
            <w:pPr>
              <w:rPr>
                <w:sz w:val="18"/>
                <w:szCs w:val="18"/>
              </w:rPr>
            </w:pPr>
          </w:p>
        </w:tc>
        <w:tc>
          <w:tcPr>
            <w:tcW w:w="472" w:type="dxa"/>
            <w:shd w:val="clear" w:color="auto" w:fill="D9D9D9"/>
          </w:tcPr>
          <w:p w14:paraId="7E9276D7" w14:textId="77777777" w:rsidR="00AF3581" w:rsidRPr="00506303" w:rsidRDefault="00AF3581" w:rsidP="0067543B">
            <w:pPr>
              <w:rPr>
                <w:sz w:val="18"/>
                <w:szCs w:val="18"/>
              </w:rPr>
            </w:pPr>
          </w:p>
        </w:tc>
        <w:tc>
          <w:tcPr>
            <w:tcW w:w="472" w:type="dxa"/>
            <w:shd w:val="clear" w:color="auto" w:fill="D9D9D9"/>
          </w:tcPr>
          <w:p w14:paraId="53E61E53" w14:textId="77777777" w:rsidR="00AF3581" w:rsidRPr="00506303" w:rsidRDefault="00AF3581" w:rsidP="0067543B">
            <w:pPr>
              <w:rPr>
                <w:sz w:val="18"/>
                <w:szCs w:val="18"/>
              </w:rPr>
            </w:pPr>
          </w:p>
        </w:tc>
        <w:tc>
          <w:tcPr>
            <w:tcW w:w="472" w:type="dxa"/>
            <w:shd w:val="clear" w:color="auto" w:fill="D9D9D9"/>
          </w:tcPr>
          <w:p w14:paraId="3E2638AF" w14:textId="77777777" w:rsidR="00AF3581" w:rsidRPr="00506303" w:rsidRDefault="00AF3581" w:rsidP="0067543B">
            <w:pPr>
              <w:rPr>
                <w:sz w:val="18"/>
                <w:szCs w:val="18"/>
              </w:rPr>
            </w:pPr>
          </w:p>
        </w:tc>
        <w:tc>
          <w:tcPr>
            <w:tcW w:w="472" w:type="dxa"/>
            <w:shd w:val="clear" w:color="auto" w:fill="D9D9D9"/>
          </w:tcPr>
          <w:p w14:paraId="5B5965F1" w14:textId="77777777" w:rsidR="00AF3581" w:rsidRPr="00506303" w:rsidRDefault="00AF3581" w:rsidP="0067543B">
            <w:pPr>
              <w:rPr>
                <w:sz w:val="18"/>
                <w:szCs w:val="18"/>
              </w:rPr>
            </w:pPr>
          </w:p>
        </w:tc>
        <w:tc>
          <w:tcPr>
            <w:tcW w:w="472" w:type="dxa"/>
            <w:shd w:val="clear" w:color="auto" w:fill="D9D9D9"/>
          </w:tcPr>
          <w:p w14:paraId="0FA8BCA0" w14:textId="77777777" w:rsidR="00AF3581" w:rsidRPr="00506303" w:rsidRDefault="00AF3581" w:rsidP="0067543B">
            <w:pPr>
              <w:rPr>
                <w:sz w:val="18"/>
                <w:szCs w:val="18"/>
              </w:rPr>
            </w:pPr>
          </w:p>
        </w:tc>
        <w:tc>
          <w:tcPr>
            <w:tcW w:w="472" w:type="dxa"/>
            <w:shd w:val="clear" w:color="auto" w:fill="D9D9D9"/>
          </w:tcPr>
          <w:p w14:paraId="5758F315" w14:textId="77777777" w:rsidR="00AF3581" w:rsidRPr="00506303" w:rsidRDefault="00AF3581" w:rsidP="0067543B">
            <w:pPr>
              <w:rPr>
                <w:sz w:val="18"/>
                <w:szCs w:val="18"/>
              </w:rPr>
            </w:pPr>
          </w:p>
        </w:tc>
        <w:tc>
          <w:tcPr>
            <w:tcW w:w="473" w:type="dxa"/>
            <w:shd w:val="clear" w:color="auto" w:fill="D9D9D9"/>
          </w:tcPr>
          <w:p w14:paraId="0A7245DF" w14:textId="77777777" w:rsidR="00AF3581" w:rsidRPr="00506303" w:rsidRDefault="00AF3581" w:rsidP="0067543B">
            <w:pPr>
              <w:rPr>
                <w:sz w:val="18"/>
                <w:szCs w:val="18"/>
              </w:rPr>
            </w:pPr>
          </w:p>
        </w:tc>
        <w:tc>
          <w:tcPr>
            <w:tcW w:w="473" w:type="dxa"/>
            <w:shd w:val="clear" w:color="auto" w:fill="D9D9D9"/>
          </w:tcPr>
          <w:p w14:paraId="5CEF3C4C" w14:textId="77777777" w:rsidR="00AF3581" w:rsidRPr="00506303" w:rsidRDefault="00AF3581" w:rsidP="0067543B">
            <w:pPr>
              <w:rPr>
                <w:sz w:val="18"/>
                <w:szCs w:val="18"/>
              </w:rPr>
            </w:pPr>
          </w:p>
        </w:tc>
        <w:tc>
          <w:tcPr>
            <w:tcW w:w="473" w:type="dxa"/>
            <w:shd w:val="clear" w:color="auto" w:fill="D9D9D9"/>
          </w:tcPr>
          <w:p w14:paraId="60E929F7" w14:textId="77777777" w:rsidR="00AF3581" w:rsidRPr="00506303" w:rsidRDefault="00AF3581" w:rsidP="0067543B">
            <w:pPr>
              <w:rPr>
                <w:sz w:val="18"/>
                <w:szCs w:val="18"/>
              </w:rPr>
            </w:pPr>
          </w:p>
        </w:tc>
        <w:tc>
          <w:tcPr>
            <w:tcW w:w="473" w:type="dxa"/>
            <w:shd w:val="clear" w:color="auto" w:fill="D9D9D9"/>
          </w:tcPr>
          <w:p w14:paraId="6BFBDA52" w14:textId="77777777" w:rsidR="00AF3581" w:rsidRPr="00506303" w:rsidRDefault="00AF3581" w:rsidP="0067543B">
            <w:pPr>
              <w:rPr>
                <w:sz w:val="18"/>
                <w:szCs w:val="18"/>
              </w:rPr>
            </w:pPr>
          </w:p>
        </w:tc>
        <w:tc>
          <w:tcPr>
            <w:tcW w:w="473" w:type="dxa"/>
            <w:shd w:val="clear" w:color="auto" w:fill="D9D9D9"/>
          </w:tcPr>
          <w:p w14:paraId="37F363B7" w14:textId="77777777" w:rsidR="00AF3581" w:rsidRPr="00506303" w:rsidRDefault="00AF3581" w:rsidP="0067543B">
            <w:pPr>
              <w:rPr>
                <w:sz w:val="18"/>
                <w:szCs w:val="18"/>
              </w:rPr>
            </w:pPr>
          </w:p>
        </w:tc>
        <w:tc>
          <w:tcPr>
            <w:tcW w:w="473" w:type="dxa"/>
            <w:shd w:val="clear" w:color="auto" w:fill="D9D9D9"/>
          </w:tcPr>
          <w:p w14:paraId="0F453AED" w14:textId="77777777" w:rsidR="00AF3581" w:rsidRPr="00506303" w:rsidRDefault="00AF3581" w:rsidP="0067543B">
            <w:pPr>
              <w:rPr>
                <w:sz w:val="18"/>
                <w:szCs w:val="18"/>
              </w:rPr>
            </w:pPr>
          </w:p>
        </w:tc>
        <w:tc>
          <w:tcPr>
            <w:tcW w:w="473" w:type="dxa"/>
            <w:shd w:val="clear" w:color="auto" w:fill="auto"/>
          </w:tcPr>
          <w:p w14:paraId="6DF24899" w14:textId="77777777" w:rsidR="00AF3581" w:rsidRPr="00506303" w:rsidRDefault="00AF3581" w:rsidP="0067543B">
            <w:pPr>
              <w:rPr>
                <w:sz w:val="18"/>
                <w:szCs w:val="18"/>
              </w:rPr>
            </w:pPr>
          </w:p>
        </w:tc>
        <w:tc>
          <w:tcPr>
            <w:tcW w:w="473" w:type="dxa"/>
            <w:shd w:val="clear" w:color="auto" w:fill="auto"/>
          </w:tcPr>
          <w:p w14:paraId="02D7FFC2" w14:textId="77777777" w:rsidR="00AF3581" w:rsidRPr="00506303" w:rsidRDefault="00AF3581" w:rsidP="0067543B">
            <w:pPr>
              <w:rPr>
                <w:sz w:val="18"/>
                <w:szCs w:val="18"/>
              </w:rPr>
            </w:pPr>
          </w:p>
        </w:tc>
        <w:tc>
          <w:tcPr>
            <w:tcW w:w="473" w:type="dxa"/>
            <w:shd w:val="clear" w:color="auto" w:fill="auto"/>
          </w:tcPr>
          <w:p w14:paraId="337B77CA" w14:textId="77777777" w:rsidR="00AF3581" w:rsidRPr="00506303" w:rsidRDefault="00AF3581" w:rsidP="0067543B">
            <w:pPr>
              <w:rPr>
                <w:sz w:val="18"/>
                <w:szCs w:val="18"/>
              </w:rPr>
            </w:pPr>
          </w:p>
        </w:tc>
        <w:tc>
          <w:tcPr>
            <w:tcW w:w="473" w:type="dxa"/>
            <w:shd w:val="clear" w:color="auto" w:fill="auto"/>
          </w:tcPr>
          <w:p w14:paraId="22AF50B6" w14:textId="77777777" w:rsidR="00AF3581" w:rsidRPr="00506303" w:rsidRDefault="00AF3581" w:rsidP="0067543B">
            <w:pPr>
              <w:rPr>
                <w:sz w:val="18"/>
                <w:szCs w:val="18"/>
              </w:rPr>
            </w:pPr>
          </w:p>
        </w:tc>
      </w:tr>
      <w:tr w:rsidR="00E071AC" w:rsidRPr="00506303" w14:paraId="5EAD256F" w14:textId="77777777" w:rsidTr="00E071AC">
        <w:tc>
          <w:tcPr>
            <w:tcW w:w="944" w:type="dxa"/>
            <w:shd w:val="clear" w:color="auto" w:fill="auto"/>
          </w:tcPr>
          <w:p w14:paraId="432968D0" w14:textId="77777777" w:rsidR="00AF3581" w:rsidRPr="00506303" w:rsidRDefault="00AF3581" w:rsidP="0067543B">
            <w:pPr>
              <w:rPr>
                <w:sz w:val="18"/>
                <w:szCs w:val="18"/>
              </w:rPr>
            </w:pPr>
            <w:r w:rsidRPr="00506303">
              <w:rPr>
                <w:sz w:val="18"/>
                <w:szCs w:val="18"/>
              </w:rPr>
              <w:t>3.5.4</w:t>
            </w:r>
          </w:p>
        </w:tc>
        <w:tc>
          <w:tcPr>
            <w:tcW w:w="3776" w:type="dxa"/>
            <w:shd w:val="clear" w:color="auto" w:fill="auto"/>
          </w:tcPr>
          <w:p w14:paraId="26A6B966" w14:textId="77777777" w:rsidR="00AF3581" w:rsidRPr="00506303" w:rsidRDefault="00AF3581" w:rsidP="0067543B">
            <w:pPr>
              <w:rPr>
                <w:sz w:val="18"/>
                <w:szCs w:val="18"/>
              </w:rPr>
            </w:pPr>
            <w:r w:rsidRPr="00506303">
              <w:rPr>
                <w:sz w:val="18"/>
                <w:szCs w:val="18"/>
              </w:rPr>
              <w:t>Convene consultations to elicit National stakeholder inputs to drafting of instrument for strengthened regional cooperation</w:t>
            </w:r>
          </w:p>
        </w:tc>
        <w:tc>
          <w:tcPr>
            <w:tcW w:w="472" w:type="dxa"/>
            <w:shd w:val="clear" w:color="auto" w:fill="auto"/>
          </w:tcPr>
          <w:p w14:paraId="65233C9E" w14:textId="77777777" w:rsidR="00AF3581" w:rsidRPr="00506303" w:rsidRDefault="00AF3581" w:rsidP="0067543B">
            <w:pPr>
              <w:rPr>
                <w:sz w:val="18"/>
                <w:szCs w:val="18"/>
              </w:rPr>
            </w:pPr>
          </w:p>
        </w:tc>
        <w:tc>
          <w:tcPr>
            <w:tcW w:w="472" w:type="dxa"/>
            <w:shd w:val="clear" w:color="auto" w:fill="auto"/>
          </w:tcPr>
          <w:p w14:paraId="13D96CF1" w14:textId="77777777" w:rsidR="00AF3581" w:rsidRPr="00506303" w:rsidRDefault="00AF3581" w:rsidP="0067543B">
            <w:pPr>
              <w:rPr>
                <w:sz w:val="18"/>
                <w:szCs w:val="18"/>
              </w:rPr>
            </w:pPr>
          </w:p>
        </w:tc>
        <w:tc>
          <w:tcPr>
            <w:tcW w:w="472" w:type="dxa"/>
            <w:shd w:val="clear" w:color="auto" w:fill="auto"/>
          </w:tcPr>
          <w:p w14:paraId="1735107A" w14:textId="77777777" w:rsidR="00AF3581" w:rsidRPr="00506303" w:rsidRDefault="00AF3581" w:rsidP="0067543B">
            <w:pPr>
              <w:rPr>
                <w:sz w:val="18"/>
                <w:szCs w:val="18"/>
              </w:rPr>
            </w:pPr>
          </w:p>
        </w:tc>
        <w:tc>
          <w:tcPr>
            <w:tcW w:w="472" w:type="dxa"/>
            <w:shd w:val="clear" w:color="auto" w:fill="auto"/>
          </w:tcPr>
          <w:p w14:paraId="69C5D143" w14:textId="77777777" w:rsidR="00AF3581" w:rsidRPr="00506303" w:rsidRDefault="00AF3581" w:rsidP="0067543B">
            <w:pPr>
              <w:rPr>
                <w:sz w:val="18"/>
                <w:szCs w:val="18"/>
              </w:rPr>
            </w:pPr>
          </w:p>
        </w:tc>
        <w:tc>
          <w:tcPr>
            <w:tcW w:w="472" w:type="dxa"/>
            <w:shd w:val="clear" w:color="auto" w:fill="D9D9D9"/>
          </w:tcPr>
          <w:p w14:paraId="64F9F957" w14:textId="77777777" w:rsidR="00AF3581" w:rsidRPr="00506303" w:rsidRDefault="00AF3581" w:rsidP="0067543B">
            <w:pPr>
              <w:rPr>
                <w:sz w:val="18"/>
                <w:szCs w:val="18"/>
              </w:rPr>
            </w:pPr>
          </w:p>
        </w:tc>
        <w:tc>
          <w:tcPr>
            <w:tcW w:w="472" w:type="dxa"/>
            <w:shd w:val="clear" w:color="auto" w:fill="D9D9D9"/>
          </w:tcPr>
          <w:p w14:paraId="64DF5E10" w14:textId="77777777" w:rsidR="00AF3581" w:rsidRPr="00506303" w:rsidRDefault="00AF3581" w:rsidP="0067543B">
            <w:pPr>
              <w:rPr>
                <w:sz w:val="18"/>
                <w:szCs w:val="18"/>
              </w:rPr>
            </w:pPr>
          </w:p>
        </w:tc>
        <w:tc>
          <w:tcPr>
            <w:tcW w:w="472" w:type="dxa"/>
            <w:shd w:val="clear" w:color="auto" w:fill="D9D9D9"/>
          </w:tcPr>
          <w:p w14:paraId="68287562" w14:textId="77777777" w:rsidR="00AF3581" w:rsidRPr="00506303" w:rsidRDefault="00AF3581" w:rsidP="0067543B">
            <w:pPr>
              <w:rPr>
                <w:sz w:val="18"/>
                <w:szCs w:val="18"/>
              </w:rPr>
            </w:pPr>
          </w:p>
        </w:tc>
        <w:tc>
          <w:tcPr>
            <w:tcW w:w="472" w:type="dxa"/>
            <w:shd w:val="clear" w:color="auto" w:fill="D9D9D9"/>
          </w:tcPr>
          <w:p w14:paraId="732C2E2E" w14:textId="77777777" w:rsidR="00AF3581" w:rsidRPr="00506303" w:rsidRDefault="00AF3581" w:rsidP="0067543B">
            <w:pPr>
              <w:rPr>
                <w:sz w:val="18"/>
                <w:szCs w:val="18"/>
              </w:rPr>
            </w:pPr>
          </w:p>
        </w:tc>
        <w:tc>
          <w:tcPr>
            <w:tcW w:w="472" w:type="dxa"/>
            <w:shd w:val="clear" w:color="auto" w:fill="D9D9D9"/>
          </w:tcPr>
          <w:p w14:paraId="00F4850A" w14:textId="77777777" w:rsidR="00AF3581" w:rsidRPr="00506303" w:rsidRDefault="00AF3581" w:rsidP="0067543B">
            <w:pPr>
              <w:rPr>
                <w:sz w:val="18"/>
                <w:szCs w:val="18"/>
              </w:rPr>
            </w:pPr>
          </w:p>
        </w:tc>
        <w:tc>
          <w:tcPr>
            <w:tcW w:w="472" w:type="dxa"/>
            <w:shd w:val="clear" w:color="auto" w:fill="D9D9D9"/>
          </w:tcPr>
          <w:p w14:paraId="3FA07A85" w14:textId="77777777" w:rsidR="00AF3581" w:rsidRPr="00506303" w:rsidRDefault="00AF3581" w:rsidP="0067543B">
            <w:pPr>
              <w:rPr>
                <w:sz w:val="18"/>
                <w:szCs w:val="18"/>
              </w:rPr>
            </w:pPr>
          </w:p>
        </w:tc>
        <w:tc>
          <w:tcPr>
            <w:tcW w:w="473" w:type="dxa"/>
            <w:shd w:val="clear" w:color="auto" w:fill="D9D9D9"/>
          </w:tcPr>
          <w:p w14:paraId="0A890867" w14:textId="77777777" w:rsidR="00AF3581" w:rsidRPr="00506303" w:rsidRDefault="00AF3581" w:rsidP="0067543B">
            <w:pPr>
              <w:rPr>
                <w:sz w:val="18"/>
                <w:szCs w:val="18"/>
              </w:rPr>
            </w:pPr>
          </w:p>
        </w:tc>
        <w:tc>
          <w:tcPr>
            <w:tcW w:w="473" w:type="dxa"/>
            <w:shd w:val="clear" w:color="auto" w:fill="D9D9D9"/>
          </w:tcPr>
          <w:p w14:paraId="46140C51" w14:textId="77777777" w:rsidR="00AF3581" w:rsidRPr="00506303" w:rsidRDefault="00AF3581" w:rsidP="0067543B">
            <w:pPr>
              <w:rPr>
                <w:sz w:val="18"/>
                <w:szCs w:val="18"/>
              </w:rPr>
            </w:pPr>
          </w:p>
        </w:tc>
        <w:tc>
          <w:tcPr>
            <w:tcW w:w="473" w:type="dxa"/>
            <w:shd w:val="clear" w:color="auto" w:fill="D9D9D9"/>
          </w:tcPr>
          <w:p w14:paraId="0A296269" w14:textId="77777777" w:rsidR="00AF3581" w:rsidRPr="00506303" w:rsidRDefault="00AF3581" w:rsidP="0067543B">
            <w:pPr>
              <w:rPr>
                <w:sz w:val="18"/>
                <w:szCs w:val="18"/>
              </w:rPr>
            </w:pPr>
          </w:p>
        </w:tc>
        <w:tc>
          <w:tcPr>
            <w:tcW w:w="473" w:type="dxa"/>
            <w:shd w:val="clear" w:color="auto" w:fill="D9D9D9"/>
          </w:tcPr>
          <w:p w14:paraId="70B10798" w14:textId="77777777" w:rsidR="00AF3581" w:rsidRPr="00506303" w:rsidRDefault="00AF3581" w:rsidP="0067543B">
            <w:pPr>
              <w:rPr>
                <w:sz w:val="18"/>
                <w:szCs w:val="18"/>
              </w:rPr>
            </w:pPr>
          </w:p>
        </w:tc>
        <w:tc>
          <w:tcPr>
            <w:tcW w:w="473" w:type="dxa"/>
            <w:shd w:val="clear" w:color="auto" w:fill="D9D9D9"/>
          </w:tcPr>
          <w:p w14:paraId="527D4DED" w14:textId="77777777" w:rsidR="00AF3581" w:rsidRPr="00506303" w:rsidRDefault="00AF3581" w:rsidP="0067543B">
            <w:pPr>
              <w:rPr>
                <w:sz w:val="18"/>
                <w:szCs w:val="18"/>
              </w:rPr>
            </w:pPr>
          </w:p>
        </w:tc>
        <w:tc>
          <w:tcPr>
            <w:tcW w:w="473" w:type="dxa"/>
            <w:shd w:val="clear" w:color="auto" w:fill="D9D9D9"/>
          </w:tcPr>
          <w:p w14:paraId="2C2352BE" w14:textId="77777777" w:rsidR="00AF3581" w:rsidRPr="00506303" w:rsidRDefault="00AF3581" w:rsidP="0067543B">
            <w:pPr>
              <w:rPr>
                <w:sz w:val="18"/>
                <w:szCs w:val="18"/>
              </w:rPr>
            </w:pPr>
          </w:p>
        </w:tc>
        <w:tc>
          <w:tcPr>
            <w:tcW w:w="473" w:type="dxa"/>
            <w:shd w:val="clear" w:color="auto" w:fill="auto"/>
          </w:tcPr>
          <w:p w14:paraId="622A0E1A" w14:textId="77777777" w:rsidR="00AF3581" w:rsidRPr="00506303" w:rsidRDefault="00AF3581" w:rsidP="0067543B">
            <w:pPr>
              <w:rPr>
                <w:sz w:val="18"/>
                <w:szCs w:val="18"/>
              </w:rPr>
            </w:pPr>
          </w:p>
        </w:tc>
        <w:tc>
          <w:tcPr>
            <w:tcW w:w="473" w:type="dxa"/>
            <w:shd w:val="clear" w:color="auto" w:fill="auto"/>
          </w:tcPr>
          <w:p w14:paraId="026BD570" w14:textId="77777777" w:rsidR="00AF3581" w:rsidRPr="00506303" w:rsidRDefault="00AF3581" w:rsidP="0067543B">
            <w:pPr>
              <w:rPr>
                <w:sz w:val="18"/>
                <w:szCs w:val="18"/>
              </w:rPr>
            </w:pPr>
          </w:p>
        </w:tc>
        <w:tc>
          <w:tcPr>
            <w:tcW w:w="473" w:type="dxa"/>
            <w:shd w:val="clear" w:color="auto" w:fill="auto"/>
          </w:tcPr>
          <w:p w14:paraId="7DE7E2EE" w14:textId="77777777" w:rsidR="00AF3581" w:rsidRPr="00506303" w:rsidRDefault="00AF3581" w:rsidP="0067543B">
            <w:pPr>
              <w:rPr>
                <w:sz w:val="18"/>
                <w:szCs w:val="18"/>
              </w:rPr>
            </w:pPr>
          </w:p>
        </w:tc>
        <w:tc>
          <w:tcPr>
            <w:tcW w:w="473" w:type="dxa"/>
            <w:shd w:val="clear" w:color="auto" w:fill="auto"/>
          </w:tcPr>
          <w:p w14:paraId="43F9BBF9" w14:textId="77777777" w:rsidR="00AF3581" w:rsidRPr="00506303" w:rsidRDefault="00AF3581" w:rsidP="0067543B">
            <w:pPr>
              <w:rPr>
                <w:sz w:val="18"/>
                <w:szCs w:val="18"/>
              </w:rPr>
            </w:pPr>
          </w:p>
        </w:tc>
      </w:tr>
      <w:tr w:rsidR="00E071AC" w:rsidRPr="00506303" w14:paraId="3FE1CD87" w14:textId="77777777" w:rsidTr="00E071AC">
        <w:tc>
          <w:tcPr>
            <w:tcW w:w="944" w:type="dxa"/>
            <w:shd w:val="clear" w:color="auto" w:fill="auto"/>
          </w:tcPr>
          <w:p w14:paraId="3381F555" w14:textId="77777777" w:rsidR="00AF3581" w:rsidRPr="00506303" w:rsidRDefault="00AF3581" w:rsidP="0067543B">
            <w:pPr>
              <w:rPr>
                <w:sz w:val="18"/>
                <w:szCs w:val="18"/>
              </w:rPr>
            </w:pPr>
            <w:r w:rsidRPr="00506303">
              <w:rPr>
                <w:sz w:val="18"/>
                <w:szCs w:val="18"/>
              </w:rPr>
              <w:t>3.5.5</w:t>
            </w:r>
          </w:p>
        </w:tc>
        <w:tc>
          <w:tcPr>
            <w:tcW w:w="3776" w:type="dxa"/>
            <w:shd w:val="clear" w:color="auto" w:fill="auto"/>
          </w:tcPr>
          <w:p w14:paraId="1BAD87D6" w14:textId="77777777" w:rsidR="00AF3581" w:rsidRPr="00506303" w:rsidRDefault="00AF3581" w:rsidP="0067543B">
            <w:pPr>
              <w:rPr>
                <w:sz w:val="18"/>
                <w:szCs w:val="18"/>
              </w:rPr>
            </w:pPr>
            <w:r w:rsidRPr="00506303">
              <w:rPr>
                <w:sz w:val="18"/>
                <w:szCs w:val="18"/>
              </w:rPr>
              <w:t>Support the participating countries in considering for adoption an instrument for strengthened regional cooperation</w:t>
            </w:r>
          </w:p>
        </w:tc>
        <w:tc>
          <w:tcPr>
            <w:tcW w:w="472" w:type="dxa"/>
            <w:shd w:val="clear" w:color="auto" w:fill="auto"/>
          </w:tcPr>
          <w:p w14:paraId="6B40DAEE" w14:textId="77777777" w:rsidR="00AF3581" w:rsidRPr="00506303" w:rsidRDefault="00AF3581" w:rsidP="0067543B">
            <w:pPr>
              <w:rPr>
                <w:sz w:val="18"/>
                <w:szCs w:val="18"/>
              </w:rPr>
            </w:pPr>
          </w:p>
        </w:tc>
        <w:tc>
          <w:tcPr>
            <w:tcW w:w="472" w:type="dxa"/>
            <w:shd w:val="clear" w:color="auto" w:fill="auto"/>
          </w:tcPr>
          <w:p w14:paraId="321BD386" w14:textId="77777777" w:rsidR="00AF3581" w:rsidRPr="00506303" w:rsidRDefault="00AF3581" w:rsidP="0067543B">
            <w:pPr>
              <w:rPr>
                <w:sz w:val="18"/>
                <w:szCs w:val="18"/>
              </w:rPr>
            </w:pPr>
          </w:p>
        </w:tc>
        <w:tc>
          <w:tcPr>
            <w:tcW w:w="472" w:type="dxa"/>
            <w:shd w:val="clear" w:color="auto" w:fill="auto"/>
          </w:tcPr>
          <w:p w14:paraId="708E8748" w14:textId="77777777" w:rsidR="00AF3581" w:rsidRPr="00506303" w:rsidRDefault="00AF3581" w:rsidP="0067543B">
            <w:pPr>
              <w:rPr>
                <w:sz w:val="18"/>
                <w:szCs w:val="18"/>
              </w:rPr>
            </w:pPr>
          </w:p>
        </w:tc>
        <w:tc>
          <w:tcPr>
            <w:tcW w:w="472" w:type="dxa"/>
            <w:shd w:val="clear" w:color="auto" w:fill="auto"/>
          </w:tcPr>
          <w:p w14:paraId="26E8B990" w14:textId="77777777" w:rsidR="00AF3581" w:rsidRPr="00506303" w:rsidRDefault="00AF3581" w:rsidP="0067543B">
            <w:pPr>
              <w:rPr>
                <w:sz w:val="18"/>
                <w:szCs w:val="18"/>
              </w:rPr>
            </w:pPr>
          </w:p>
        </w:tc>
        <w:tc>
          <w:tcPr>
            <w:tcW w:w="472" w:type="dxa"/>
            <w:shd w:val="clear" w:color="auto" w:fill="auto"/>
          </w:tcPr>
          <w:p w14:paraId="49238C13" w14:textId="77777777" w:rsidR="00AF3581" w:rsidRPr="00506303" w:rsidRDefault="00AF3581" w:rsidP="0067543B">
            <w:pPr>
              <w:rPr>
                <w:sz w:val="18"/>
                <w:szCs w:val="18"/>
              </w:rPr>
            </w:pPr>
          </w:p>
        </w:tc>
        <w:tc>
          <w:tcPr>
            <w:tcW w:w="472" w:type="dxa"/>
            <w:shd w:val="clear" w:color="auto" w:fill="auto"/>
          </w:tcPr>
          <w:p w14:paraId="73C188AB" w14:textId="77777777" w:rsidR="00AF3581" w:rsidRPr="00506303" w:rsidRDefault="00AF3581" w:rsidP="0067543B">
            <w:pPr>
              <w:rPr>
                <w:sz w:val="18"/>
                <w:szCs w:val="18"/>
              </w:rPr>
            </w:pPr>
          </w:p>
        </w:tc>
        <w:tc>
          <w:tcPr>
            <w:tcW w:w="472" w:type="dxa"/>
            <w:shd w:val="clear" w:color="auto" w:fill="auto"/>
          </w:tcPr>
          <w:p w14:paraId="62A50B2B" w14:textId="77777777" w:rsidR="00AF3581" w:rsidRPr="00506303" w:rsidRDefault="00AF3581" w:rsidP="0067543B">
            <w:pPr>
              <w:rPr>
                <w:sz w:val="18"/>
                <w:szCs w:val="18"/>
              </w:rPr>
            </w:pPr>
          </w:p>
        </w:tc>
        <w:tc>
          <w:tcPr>
            <w:tcW w:w="472" w:type="dxa"/>
            <w:shd w:val="clear" w:color="auto" w:fill="auto"/>
          </w:tcPr>
          <w:p w14:paraId="70AA64FB" w14:textId="77777777" w:rsidR="00AF3581" w:rsidRPr="00506303" w:rsidRDefault="00AF3581" w:rsidP="0067543B">
            <w:pPr>
              <w:rPr>
                <w:sz w:val="18"/>
                <w:szCs w:val="18"/>
              </w:rPr>
            </w:pPr>
          </w:p>
        </w:tc>
        <w:tc>
          <w:tcPr>
            <w:tcW w:w="472" w:type="dxa"/>
            <w:shd w:val="clear" w:color="auto" w:fill="auto"/>
          </w:tcPr>
          <w:p w14:paraId="53F0F4C2" w14:textId="77777777" w:rsidR="00AF3581" w:rsidRPr="00506303" w:rsidRDefault="00AF3581" w:rsidP="0067543B">
            <w:pPr>
              <w:rPr>
                <w:sz w:val="18"/>
                <w:szCs w:val="18"/>
              </w:rPr>
            </w:pPr>
          </w:p>
        </w:tc>
        <w:tc>
          <w:tcPr>
            <w:tcW w:w="472" w:type="dxa"/>
            <w:shd w:val="clear" w:color="auto" w:fill="auto"/>
          </w:tcPr>
          <w:p w14:paraId="5DEA8ED1" w14:textId="77777777" w:rsidR="00AF3581" w:rsidRPr="00506303" w:rsidRDefault="00AF3581" w:rsidP="0067543B">
            <w:pPr>
              <w:rPr>
                <w:sz w:val="18"/>
                <w:szCs w:val="18"/>
              </w:rPr>
            </w:pPr>
          </w:p>
        </w:tc>
        <w:tc>
          <w:tcPr>
            <w:tcW w:w="473" w:type="dxa"/>
            <w:shd w:val="clear" w:color="auto" w:fill="auto"/>
          </w:tcPr>
          <w:p w14:paraId="0A75C7B0" w14:textId="77777777" w:rsidR="00AF3581" w:rsidRPr="00506303" w:rsidRDefault="00AF3581" w:rsidP="0067543B">
            <w:pPr>
              <w:rPr>
                <w:sz w:val="18"/>
                <w:szCs w:val="18"/>
              </w:rPr>
            </w:pPr>
          </w:p>
        </w:tc>
        <w:tc>
          <w:tcPr>
            <w:tcW w:w="473" w:type="dxa"/>
            <w:shd w:val="clear" w:color="auto" w:fill="auto"/>
          </w:tcPr>
          <w:p w14:paraId="637A63A8" w14:textId="77777777" w:rsidR="00AF3581" w:rsidRPr="00506303" w:rsidRDefault="00AF3581" w:rsidP="0067543B">
            <w:pPr>
              <w:rPr>
                <w:sz w:val="18"/>
                <w:szCs w:val="18"/>
              </w:rPr>
            </w:pPr>
          </w:p>
        </w:tc>
        <w:tc>
          <w:tcPr>
            <w:tcW w:w="473" w:type="dxa"/>
            <w:shd w:val="clear" w:color="auto" w:fill="D9D9D9"/>
          </w:tcPr>
          <w:p w14:paraId="694E1120" w14:textId="77777777" w:rsidR="00AF3581" w:rsidRPr="00506303" w:rsidRDefault="00AF3581" w:rsidP="0067543B">
            <w:pPr>
              <w:rPr>
                <w:sz w:val="18"/>
                <w:szCs w:val="18"/>
              </w:rPr>
            </w:pPr>
          </w:p>
        </w:tc>
        <w:tc>
          <w:tcPr>
            <w:tcW w:w="473" w:type="dxa"/>
            <w:shd w:val="clear" w:color="auto" w:fill="D9D9D9"/>
          </w:tcPr>
          <w:p w14:paraId="72F3E472" w14:textId="77777777" w:rsidR="00AF3581" w:rsidRPr="00506303" w:rsidRDefault="00AF3581" w:rsidP="0067543B">
            <w:pPr>
              <w:rPr>
                <w:sz w:val="18"/>
                <w:szCs w:val="18"/>
              </w:rPr>
            </w:pPr>
          </w:p>
        </w:tc>
        <w:tc>
          <w:tcPr>
            <w:tcW w:w="473" w:type="dxa"/>
            <w:shd w:val="clear" w:color="auto" w:fill="D9D9D9"/>
          </w:tcPr>
          <w:p w14:paraId="118FD1DE" w14:textId="77777777" w:rsidR="00AF3581" w:rsidRPr="00506303" w:rsidRDefault="00AF3581" w:rsidP="0067543B">
            <w:pPr>
              <w:rPr>
                <w:sz w:val="18"/>
                <w:szCs w:val="18"/>
              </w:rPr>
            </w:pPr>
          </w:p>
        </w:tc>
        <w:tc>
          <w:tcPr>
            <w:tcW w:w="473" w:type="dxa"/>
            <w:shd w:val="clear" w:color="auto" w:fill="D9D9D9"/>
          </w:tcPr>
          <w:p w14:paraId="5572ED37" w14:textId="77777777" w:rsidR="00AF3581" w:rsidRPr="00506303" w:rsidRDefault="00AF3581" w:rsidP="0067543B">
            <w:pPr>
              <w:rPr>
                <w:sz w:val="18"/>
                <w:szCs w:val="18"/>
              </w:rPr>
            </w:pPr>
          </w:p>
        </w:tc>
        <w:tc>
          <w:tcPr>
            <w:tcW w:w="473" w:type="dxa"/>
            <w:shd w:val="clear" w:color="auto" w:fill="D9D9D9"/>
          </w:tcPr>
          <w:p w14:paraId="35034055" w14:textId="77777777" w:rsidR="00AF3581" w:rsidRPr="00506303" w:rsidRDefault="00AF3581" w:rsidP="0067543B">
            <w:pPr>
              <w:rPr>
                <w:sz w:val="18"/>
                <w:szCs w:val="18"/>
              </w:rPr>
            </w:pPr>
          </w:p>
        </w:tc>
        <w:tc>
          <w:tcPr>
            <w:tcW w:w="473" w:type="dxa"/>
            <w:shd w:val="clear" w:color="auto" w:fill="D9D9D9"/>
          </w:tcPr>
          <w:p w14:paraId="58C7BF30" w14:textId="77777777" w:rsidR="00AF3581" w:rsidRPr="00506303" w:rsidRDefault="00AF3581" w:rsidP="0067543B">
            <w:pPr>
              <w:rPr>
                <w:sz w:val="18"/>
                <w:szCs w:val="18"/>
              </w:rPr>
            </w:pPr>
          </w:p>
        </w:tc>
        <w:tc>
          <w:tcPr>
            <w:tcW w:w="473" w:type="dxa"/>
            <w:shd w:val="clear" w:color="auto" w:fill="D9D9D9"/>
          </w:tcPr>
          <w:p w14:paraId="01FE8B21" w14:textId="77777777" w:rsidR="00AF3581" w:rsidRPr="00506303" w:rsidRDefault="00AF3581" w:rsidP="0067543B">
            <w:pPr>
              <w:rPr>
                <w:sz w:val="18"/>
                <w:szCs w:val="18"/>
              </w:rPr>
            </w:pPr>
          </w:p>
        </w:tc>
        <w:tc>
          <w:tcPr>
            <w:tcW w:w="473" w:type="dxa"/>
            <w:shd w:val="clear" w:color="auto" w:fill="D9D9D9"/>
          </w:tcPr>
          <w:p w14:paraId="1D2C19AD" w14:textId="77777777" w:rsidR="00AF3581" w:rsidRPr="00506303" w:rsidRDefault="00AF3581" w:rsidP="0067543B">
            <w:pPr>
              <w:rPr>
                <w:sz w:val="18"/>
                <w:szCs w:val="18"/>
              </w:rPr>
            </w:pPr>
          </w:p>
        </w:tc>
      </w:tr>
    </w:tbl>
    <w:p w14:paraId="5496900E" w14:textId="77777777" w:rsidR="00AF3581" w:rsidRPr="00770FB2" w:rsidRDefault="00AF3581" w:rsidP="00AF3581">
      <w:pPr>
        <w:rPr>
          <w:sz w:val="18"/>
          <w:szCs w:val="18"/>
        </w:rPr>
      </w:pPr>
    </w:p>
    <w:p w14:paraId="2F214506" w14:textId="77777777" w:rsidR="00AF3581" w:rsidRDefault="00AF3581" w:rsidP="00AF3581">
      <w:pPr>
        <w:spacing w:after="120"/>
        <w:jc w:val="center"/>
        <w:outlineLvl w:val="1"/>
        <w:rPr>
          <w:b/>
          <w:sz w:val="22"/>
          <w:szCs w:val="22"/>
          <w:lang w:val="en-GB"/>
        </w:rPr>
        <w:sectPr w:rsidR="00AF3581" w:rsidSect="00064925">
          <w:pgSz w:w="15840" w:h="12240" w:orient="landscape" w:code="1"/>
          <w:pgMar w:top="1584" w:right="1440" w:bottom="1584" w:left="1440" w:header="706" w:footer="706" w:gutter="0"/>
          <w:cols w:space="708"/>
          <w:docGrid w:linePitch="360"/>
        </w:sectPr>
      </w:pPr>
    </w:p>
    <w:p w14:paraId="2A61CC26" w14:textId="77777777" w:rsidR="00AF3581" w:rsidRDefault="00AF3581">
      <w:pPr>
        <w:spacing w:after="120"/>
        <w:outlineLvl w:val="1"/>
        <w:rPr>
          <w:b/>
          <w:sz w:val="22"/>
          <w:szCs w:val="22"/>
          <w:lang w:val="en-GB"/>
        </w:rPr>
      </w:pPr>
    </w:p>
    <w:p w14:paraId="04E1A6E6" w14:textId="77777777" w:rsidR="00F07F81" w:rsidRDefault="00F07F81">
      <w:pPr>
        <w:spacing w:after="120"/>
        <w:outlineLvl w:val="1"/>
        <w:rPr>
          <w:b/>
          <w:sz w:val="22"/>
          <w:szCs w:val="22"/>
          <w:lang w:val="en-GB"/>
        </w:rPr>
      </w:pPr>
      <w:bookmarkStart w:id="106" w:name="_Toc209432677"/>
      <w:r>
        <w:rPr>
          <w:b/>
          <w:sz w:val="22"/>
          <w:szCs w:val="22"/>
          <w:lang w:val="en-GB"/>
        </w:rPr>
        <w:t>Appendix 6:</w:t>
      </w:r>
      <w:r>
        <w:rPr>
          <w:b/>
          <w:sz w:val="22"/>
          <w:szCs w:val="22"/>
          <w:lang w:val="en-GB"/>
        </w:rPr>
        <w:tab/>
        <w:t>Key deliverables and benchmarks</w:t>
      </w:r>
      <w:bookmarkEnd w:id="106"/>
    </w:p>
    <w:p w14:paraId="5FCC77E8" w14:textId="77777777" w:rsidR="005D3DD5" w:rsidRPr="005D3DD5" w:rsidRDefault="005D3DD5" w:rsidP="005D3DD5">
      <w:r w:rsidRPr="005D3DD5">
        <w:rPr>
          <w:b/>
        </w:rPr>
        <w:t>Table 1</w:t>
      </w:r>
      <w:r w:rsidRPr="005D3DD5">
        <w:tab/>
      </w:r>
      <w:r w:rsidRPr="005D3DD5">
        <w:tab/>
        <w:t>Key deliverables and benchmarks for project component 1</w:t>
      </w:r>
    </w:p>
    <w:p w14:paraId="4220DB85" w14:textId="77777777" w:rsidR="005D3DD5" w:rsidRPr="005D3DD5" w:rsidRDefault="005D3DD5" w:rsidP="005D3DD5"/>
    <w:tbl>
      <w:tblPr>
        <w:tblW w:w="94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84"/>
        <w:gridCol w:w="1884"/>
        <w:gridCol w:w="1884"/>
        <w:gridCol w:w="1884"/>
        <w:gridCol w:w="1884"/>
      </w:tblGrid>
      <w:tr w:rsidR="005D3DD5" w:rsidRPr="005D3DD5" w14:paraId="1D39BA7D" w14:textId="77777777" w:rsidTr="005D3DD5">
        <w:trPr>
          <w:tblHeader/>
          <w:jc w:val="center"/>
        </w:trPr>
        <w:tc>
          <w:tcPr>
            <w:tcW w:w="1884" w:type="dxa"/>
            <w:shd w:val="clear" w:color="auto" w:fill="B3B3B3"/>
            <w:vAlign w:val="center"/>
          </w:tcPr>
          <w:p w14:paraId="019247CD" w14:textId="77777777" w:rsidR="005D3DD5" w:rsidRPr="005D3DD5" w:rsidRDefault="005D3DD5" w:rsidP="005D3DD5">
            <w:pPr>
              <w:keepNext/>
              <w:jc w:val="center"/>
              <w:rPr>
                <w:b/>
                <w:sz w:val="20"/>
                <w:szCs w:val="20"/>
                <w:lang w:val="en-GB"/>
              </w:rPr>
            </w:pPr>
            <w:r w:rsidRPr="005D3DD5">
              <w:rPr>
                <w:b/>
                <w:sz w:val="20"/>
                <w:szCs w:val="20"/>
                <w:lang w:val="en-GB"/>
              </w:rPr>
              <w:t>Project Outputs</w:t>
            </w:r>
          </w:p>
        </w:tc>
        <w:tc>
          <w:tcPr>
            <w:tcW w:w="1884" w:type="dxa"/>
            <w:shd w:val="clear" w:color="auto" w:fill="B3B3B3"/>
            <w:vAlign w:val="center"/>
          </w:tcPr>
          <w:p w14:paraId="63D925B7" w14:textId="77777777" w:rsidR="005D3DD5" w:rsidRPr="005D3DD5" w:rsidRDefault="005D3DD5" w:rsidP="005D3DD5">
            <w:pPr>
              <w:jc w:val="center"/>
              <w:rPr>
                <w:b/>
                <w:sz w:val="20"/>
                <w:szCs w:val="20"/>
                <w:lang w:val="en-GB"/>
              </w:rPr>
            </w:pPr>
            <w:r w:rsidRPr="005D3DD5">
              <w:rPr>
                <w:b/>
                <w:sz w:val="20"/>
                <w:szCs w:val="20"/>
                <w:lang w:val="en-GB"/>
              </w:rPr>
              <w:t>Description of indicator</w:t>
            </w:r>
          </w:p>
        </w:tc>
        <w:tc>
          <w:tcPr>
            <w:tcW w:w="1884" w:type="dxa"/>
            <w:shd w:val="clear" w:color="auto" w:fill="B3B3B3"/>
            <w:vAlign w:val="center"/>
          </w:tcPr>
          <w:p w14:paraId="1C88B7B3" w14:textId="77777777" w:rsidR="005D3DD5" w:rsidRPr="005D3DD5" w:rsidRDefault="005D3DD5" w:rsidP="005D3DD5">
            <w:pPr>
              <w:jc w:val="center"/>
              <w:rPr>
                <w:b/>
                <w:sz w:val="20"/>
                <w:szCs w:val="20"/>
                <w:lang w:val="en-GB"/>
              </w:rPr>
            </w:pPr>
            <w:r w:rsidRPr="005D3DD5">
              <w:rPr>
                <w:b/>
                <w:sz w:val="20"/>
                <w:szCs w:val="20"/>
                <w:lang w:val="en-GB"/>
              </w:rPr>
              <w:t>Baseline level</w:t>
            </w:r>
          </w:p>
        </w:tc>
        <w:tc>
          <w:tcPr>
            <w:tcW w:w="1884" w:type="dxa"/>
            <w:shd w:val="clear" w:color="auto" w:fill="B3B3B3"/>
            <w:vAlign w:val="center"/>
          </w:tcPr>
          <w:p w14:paraId="43FC0147" w14:textId="77777777" w:rsidR="005D3DD5" w:rsidRPr="005D3DD5" w:rsidRDefault="005D3DD5" w:rsidP="005D3DD5">
            <w:pPr>
              <w:jc w:val="center"/>
              <w:rPr>
                <w:b/>
                <w:sz w:val="20"/>
                <w:szCs w:val="20"/>
                <w:lang w:val="en-GB"/>
              </w:rPr>
            </w:pPr>
            <w:r w:rsidRPr="005D3DD5">
              <w:rPr>
                <w:b/>
                <w:sz w:val="20"/>
                <w:szCs w:val="20"/>
                <w:lang w:val="en-GB"/>
              </w:rPr>
              <w:t>Mid-term target</w:t>
            </w:r>
          </w:p>
        </w:tc>
        <w:tc>
          <w:tcPr>
            <w:tcW w:w="1884" w:type="dxa"/>
            <w:shd w:val="clear" w:color="auto" w:fill="B3B3B3"/>
            <w:vAlign w:val="center"/>
          </w:tcPr>
          <w:p w14:paraId="35C9E3ED" w14:textId="77777777" w:rsidR="005D3DD5" w:rsidRPr="005D3DD5" w:rsidRDefault="005D3DD5" w:rsidP="005D3DD5">
            <w:pPr>
              <w:jc w:val="center"/>
              <w:rPr>
                <w:b/>
                <w:sz w:val="20"/>
                <w:szCs w:val="20"/>
                <w:lang w:val="en-GB"/>
              </w:rPr>
            </w:pPr>
            <w:r w:rsidRPr="005D3DD5">
              <w:rPr>
                <w:b/>
                <w:sz w:val="20"/>
                <w:szCs w:val="20"/>
                <w:lang w:val="en-GB"/>
              </w:rPr>
              <w:t>End-of-project target</w:t>
            </w:r>
          </w:p>
        </w:tc>
      </w:tr>
      <w:tr w:rsidR="005D3DD5" w:rsidRPr="005D3DD5" w14:paraId="7A69E9E7" w14:textId="77777777" w:rsidTr="005D3DD5">
        <w:trPr>
          <w:trHeight w:val="567"/>
          <w:tblHeader/>
          <w:jc w:val="center"/>
        </w:trPr>
        <w:tc>
          <w:tcPr>
            <w:tcW w:w="9420" w:type="dxa"/>
            <w:gridSpan w:val="5"/>
            <w:shd w:val="clear" w:color="auto" w:fill="D9D9D9"/>
            <w:vAlign w:val="center"/>
          </w:tcPr>
          <w:p w14:paraId="4AB41A83" w14:textId="77777777" w:rsidR="005D3DD5" w:rsidRPr="005D3DD5" w:rsidRDefault="005D3DD5" w:rsidP="005D3DD5">
            <w:pPr>
              <w:jc w:val="center"/>
              <w:rPr>
                <w:b/>
                <w:sz w:val="20"/>
                <w:szCs w:val="20"/>
                <w:lang w:val="en-GB"/>
              </w:rPr>
            </w:pPr>
            <w:r w:rsidRPr="005D3DD5">
              <w:rPr>
                <w:b/>
                <w:sz w:val="20"/>
                <w:szCs w:val="20"/>
                <w:lang w:val="en-GB"/>
              </w:rPr>
              <w:t>Component I: – Reducing habitat degradation and loss via national and local reforms to achieve Strategic Action Programme targets for coastal habitat management in the South China Sea</w:t>
            </w:r>
          </w:p>
        </w:tc>
      </w:tr>
      <w:tr w:rsidR="005D3DD5" w:rsidRPr="005D3DD5" w14:paraId="336EBD75" w14:textId="77777777" w:rsidTr="005D3DD5">
        <w:trPr>
          <w:trHeight w:val="567"/>
          <w:jc w:val="center"/>
        </w:trPr>
        <w:tc>
          <w:tcPr>
            <w:tcW w:w="9420" w:type="dxa"/>
            <w:gridSpan w:val="5"/>
            <w:shd w:val="clear" w:color="auto" w:fill="F2F2F2"/>
            <w:vAlign w:val="center"/>
          </w:tcPr>
          <w:p w14:paraId="4C3F4CB6" w14:textId="77777777" w:rsidR="005D3DD5" w:rsidRPr="005D3DD5" w:rsidRDefault="005D3DD5" w:rsidP="005D3DD5">
            <w:pPr>
              <w:jc w:val="center"/>
              <w:rPr>
                <w:b/>
                <w:sz w:val="20"/>
                <w:szCs w:val="20"/>
                <w:lang w:val="en-GB"/>
              </w:rPr>
            </w:pPr>
            <w:r w:rsidRPr="005D3DD5">
              <w:rPr>
                <w:b/>
                <w:sz w:val="20"/>
                <w:szCs w:val="20"/>
                <w:lang w:val="en-GB"/>
              </w:rPr>
              <w:t>1.1 Appropriate forms of sustainable management established for 860,000 ha of mangrove by Yr 5</w:t>
            </w:r>
          </w:p>
        </w:tc>
      </w:tr>
      <w:tr w:rsidR="005D3DD5" w:rsidRPr="005D3DD5" w14:paraId="2A428D44" w14:textId="77777777" w:rsidTr="005D3DD5">
        <w:trPr>
          <w:trHeight w:val="1080"/>
          <w:jc w:val="center"/>
        </w:trPr>
        <w:tc>
          <w:tcPr>
            <w:tcW w:w="1884" w:type="dxa"/>
            <w:vAlign w:val="center"/>
          </w:tcPr>
          <w:p w14:paraId="3A66F517" w14:textId="77777777" w:rsidR="005D3DD5" w:rsidRPr="005D3DD5" w:rsidRDefault="005D3DD5" w:rsidP="005D3DD5">
            <w:pPr>
              <w:spacing w:before="40"/>
              <w:rPr>
                <w:sz w:val="19"/>
                <w:szCs w:val="19"/>
                <w:lang w:val="en-GB"/>
              </w:rPr>
            </w:pPr>
            <w:r w:rsidRPr="005D3DD5">
              <w:rPr>
                <w:bCs/>
                <w:sz w:val="19"/>
                <w:szCs w:val="19"/>
                <w:lang w:val="en-GB"/>
              </w:rPr>
              <w:t>1.1.1: Official proclamations, executive orders, and ordinances establishing mangrove parks and protected areas</w:t>
            </w:r>
          </w:p>
        </w:tc>
        <w:tc>
          <w:tcPr>
            <w:tcW w:w="1884" w:type="dxa"/>
            <w:vAlign w:val="center"/>
          </w:tcPr>
          <w:p w14:paraId="1AD5470E" w14:textId="77777777" w:rsidR="005D3DD5" w:rsidRPr="005D3DD5" w:rsidRDefault="005D3DD5" w:rsidP="005D3DD5">
            <w:pPr>
              <w:spacing w:before="40"/>
              <w:rPr>
                <w:bCs/>
                <w:sz w:val="19"/>
                <w:szCs w:val="19"/>
                <w:lang w:val="en-GB"/>
              </w:rPr>
            </w:pPr>
            <w:r w:rsidRPr="005D3DD5">
              <w:rPr>
                <w:bCs/>
                <w:sz w:val="19"/>
                <w:szCs w:val="19"/>
                <w:lang w:val="en-GB"/>
              </w:rPr>
              <w:t>Total area (ha) of mangrove designated as national park or protected area</w:t>
            </w:r>
          </w:p>
        </w:tc>
        <w:tc>
          <w:tcPr>
            <w:tcW w:w="1884" w:type="dxa"/>
            <w:vAlign w:val="center"/>
          </w:tcPr>
          <w:p w14:paraId="03139372" w14:textId="77777777" w:rsidR="005D3DD5" w:rsidRPr="005D3DD5" w:rsidRDefault="005D3DD5" w:rsidP="005D3DD5">
            <w:pPr>
              <w:spacing w:before="40"/>
              <w:rPr>
                <w:sz w:val="19"/>
                <w:szCs w:val="19"/>
                <w:lang w:val="en-GB"/>
              </w:rPr>
            </w:pPr>
            <w:r w:rsidRPr="005D3DD5">
              <w:rPr>
                <w:sz w:val="18"/>
                <w:szCs w:val="18"/>
                <w:lang w:val="en-GB" w:bidi="th-TH"/>
              </w:rPr>
              <w:t>14 percent (246,122 ha) of mangrove area in SCS presently managed as national park or protected area</w:t>
            </w:r>
          </w:p>
        </w:tc>
        <w:tc>
          <w:tcPr>
            <w:tcW w:w="1884" w:type="dxa"/>
            <w:vAlign w:val="center"/>
          </w:tcPr>
          <w:p w14:paraId="210C2819" w14:textId="77777777" w:rsidR="005D3DD5" w:rsidRPr="005D3DD5" w:rsidRDefault="005D3DD5" w:rsidP="005D3DD5">
            <w:pPr>
              <w:rPr>
                <w:sz w:val="19"/>
                <w:szCs w:val="19"/>
                <w:lang w:val="en-GB"/>
              </w:rPr>
            </w:pPr>
            <w:r w:rsidRPr="005D3DD5">
              <w:rPr>
                <w:sz w:val="19"/>
                <w:szCs w:val="19"/>
                <w:lang w:val="en-GB"/>
              </w:rPr>
              <w:t>Equivalent to end-of-project target</w:t>
            </w:r>
          </w:p>
        </w:tc>
        <w:tc>
          <w:tcPr>
            <w:tcW w:w="1884" w:type="dxa"/>
            <w:vAlign w:val="center"/>
          </w:tcPr>
          <w:p w14:paraId="6A6B1CF3" w14:textId="77777777" w:rsidR="005D3DD5" w:rsidRPr="005D3DD5" w:rsidRDefault="005D3DD5" w:rsidP="005D3DD5">
            <w:pPr>
              <w:spacing w:before="40"/>
              <w:rPr>
                <w:sz w:val="19"/>
                <w:szCs w:val="19"/>
                <w:lang w:val="en-GB"/>
              </w:rPr>
            </w:pPr>
            <w:r w:rsidRPr="005D3DD5">
              <w:rPr>
                <w:sz w:val="19"/>
                <w:szCs w:val="19"/>
                <w:lang w:val="en-GB"/>
              </w:rPr>
              <w:t>Declaration of 57,400 ha of mangrove as National Parks and Protected Areas</w:t>
            </w:r>
          </w:p>
        </w:tc>
      </w:tr>
      <w:tr w:rsidR="005D3DD5" w:rsidRPr="005D3DD5" w14:paraId="456C6A6C" w14:textId="77777777" w:rsidTr="005D3DD5">
        <w:trPr>
          <w:trHeight w:val="1080"/>
          <w:jc w:val="center"/>
        </w:trPr>
        <w:tc>
          <w:tcPr>
            <w:tcW w:w="1884" w:type="dxa"/>
            <w:vAlign w:val="center"/>
          </w:tcPr>
          <w:p w14:paraId="56322E43" w14:textId="77777777" w:rsidR="005D3DD5" w:rsidRPr="005D3DD5" w:rsidRDefault="005D3DD5" w:rsidP="005D3DD5">
            <w:pPr>
              <w:spacing w:before="40"/>
              <w:rPr>
                <w:bCs/>
                <w:sz w:val="19"/>
                <w:szCs w:val="19"/>
                <w:lang w:val="en-GB"/>
              </w:rPr>
            </w:pPr>
            <w:r w:rsidRPr="005D3DD5">
              <w:rPr>
                <w:bCs/>
                <w:sz w:val="19"/>
                <w:szCs w:val="19"/>
                <w:lang w:val="en-GB"/>
              </w:rPr>
              <w:t>1.1.2(a): Maps and site characterisations for priority mangrove sites</w:t>
            </w:r>
          </w:p>
          <w:p w14:paraId="5E25A1E5" w14:textId="77777777" w:rsidR="005D3DD5" w:rsidRPr="005D3DD5" w:rsidRDefault="005D3DD5" w:rsidP="005D3DD5">
            <w:pPr>
              <w:spacing w:before="40"/>
              <w:rPr>
                <w:bCs/>
                <w:sz w:val="19"/>
                <w:szCs w:val="19"/>
                <w:lang w:val="en-GB"/>
              </w:rPr>
            </w:pPr>
            <w:r w:rsidRPr="005D3DD5">
              <w:rPr>
                <w:bCs/>
                <w:sz w:val="19"/>
                <w:szCs w:val="19"/>
                <w:lang w:val="en-GB"/>
              </w:rPr>
              <w:t>1.1.2 (b): Endorsed management plans for mangrove sites</w:t>
            </w:r>
          </w:p>
        </w:tc>
        <w:tc>
          <w:tcPr>
            <w:tcW w:w="1884" w:type="dxa"/>
            <w:vAlign w:val="center"/>
          </w:tcPr>
          <w:p w14:paraId="64C0BB0F" w14:textId="77777777" w:rsidR="005D3DD5" w:rsidRPr="005D3DD5" w:rsidRDefault="005D3DD5" w:rsidP="005D3DD5">
            <w:pPr>
              <w:spacing w:before="40"/>
              <w:rPr>
                <w:bCs/>
                <w:sz w:val="19"/>
                <w:szCs w:val="19"/>
                <w:lang w:val="en-GB"/>
              </w:rPr>
            </w:pPr>
            <w:r w:rsidRPr="005D3DD5">
              <w:rPr>
                <w:bCs/>
                <w:sz w:val="19"/>
                <w:szCs w:val="19"/>
                <w:lang w:val="en-GB"/>
              </w:rPr>
              <w:t>Status of endorsement of management plans</w:t>
            </w:r>
          </w:p>
          <w:p w14:paraId="50D52BBB" w14:textId="77777777" w:rsidR="005D3DD5" w:rsidRPr="005D3DD5" w:rsidRDefault="005D3DD5" w:rsidP="005D3DD5">
            <w:pPr>
              <w:spacing w:before="40"/>
              <w:rPr>
                <w:bCs/>
                <w:sz w:val="19"/>
                <w:szCs w:val="19"/>
                <w:lang w:val="en-GB"/>
              </w:rPr>
            </w:pPr>
            <w:r w:rsidRPr="005D3DD5">
              <w:rPr>
                <w:bCs/>
                <w:sz w:val="19"/>
                <w:szCs w:val="19"/>
                <w:lang w:val="en-GB"/>
              </w:rPr>
              <w:t>Total area (ha) of mangrove under management plan for sustainable use</w:t>
            </w:r>
          </w:p>
        </w:tc>
        <w:tc>
          <w:tcPr>
            <w:tcW w:w="1884" w:type="dxa"/>
            <w:vAlign w:val="center"/>
          </w:tcPr>
          <w:p w14:paraId="1CFB7363" w14:textId="77777777" w:rsidR="005D3DD5" w:rsidRPr="005D3DD5" w:rsidRDefault="005D3DD5" w:rsidP="005D3DD5">
            <w:pPr>
              <w:spacing w:before="40"/>
              <w:rPr>
                <w:sz w:val="19"/>
                <w:szCs w:val="19"/>
                <w:lang w:val="en-GB"/>
              </w:rPr>
            </w:pPr>
            <w:r w:rsidRPr="005D3DD5">
              <w:rPr>
                <w:sz w:val="19"/>
                <w:szCs w:val="19"/>
                <w:lang w:val="en-GB"/>
              </w:rPr>
              <w:t>13 percent (225,512 ha) of mangrove area in SCS presently managed as non-conversion, extractive resource use areas (fish, crabs etc.)</w:t>
            </w:r>
          </w:p>
        </w:tc>
        <w:tc>
          <w:tcPr>
            <w:tcW w:w="1884" w:type="dxa"/>
            <w:vAlign w:val="center"/>
          </w:tcPr>
          <w:p w14:paraId="75865742" w14:textId="77777777" w:rsidR="005D3DD5" w:rsidRPr="005D3DD5" w:rsidRDefault="005D3DD5" w:rsidP="005D3DD5">
            <w:pPr>
              <w:spacing w:before="40"/>
              <w:rPr>
                <w:sz w:val="19"/>
                <w:szCs w:val="19"/>
                <w:lang w:val="en-GB"/>
              </w:rPr>
            </w:pPr>
            <w:r w:rsidRPr="005D3DD5">
              <w:rPr>
                <w:sz w:val="19"/>
                <w:szCs w:val="19"/>
                <w:lang w:val="en-GB"/>
              </w:rPr>
              <w:t>Key threats to priority sites identified</w:t>
            </w:r>
          </w:p>
          <w:p w14:paraId="3DCE64F4" w14:textId="77777777" w:rsidR="005D3DD5" w:rsidRPr="005D3DD5" w:rsidRDefault="005D3DD5" w:rsidP="005D3DD5">
            <w:pPr>
              <w:spacing w:before="40"/>
              <w:rPr>
                <w:sz w:val="19"/>
                <w:szCs w:val="19"/>
                <w:lang w:val="en-GB"/>
              </w:rPr>
            </w:pPr>
          </w:p>
          <w:p w14:paraId="3203C6B9" w14:textId="77777777" w:rsidR="005D3DD5" w:rsidRPr="005D3DD5" w:rsidRDefault="005D3DD5" w:rsidP="005D3DD5">
            <w:pPr>
              <w:spacing w:before="40"/>
              <w:rPr>
                <w:color w:val="FF0000"/>
                <w:sz w:val="19"/>
                <w:szCs w:val="19"/>
                <w:lang w:val="en-GB"/>
              </w:rPr>
            </w:pPr>
            <w:r w:rsidRPr="005D3DD5">
              <w:rPr>
                <w:sz w:val="19"/>
                <w:szCs w:val="19"/>
                <w:lang w:val="en-GB"/>
              </w:rPr>
              <w:t>Draft management plans</w:t>
            </w:r>
          </w:p>
        </w:tc>
        <w:tc>
          <w:tcPr>
            <w:tcW w:w="1884" w:type="dxa"/>
            <w:vAlign w:val="center"/>
          </w:tcPr>
          <w:p w14:paraId="55EB7821" w14:textId="77777777" w:rsidR="005D3DD5" w:rsidRPr="005D3DD5" w:rsidRDefault="005D3DD5" w:rsidP="005D3DD5">
            <w:pPr>
              <w:spacing w:before="40"/>
              <w:rPr>
                <w:sz w:val="19"/>
                <w:szCs w:val="19"/>
                <w:lang w:val="en-GB"/>
              </w:rPr>
            </w:pPr>
            <w:r w:rsidRPr="005D3DD5">
              <w:rPr>
                <w:sz w:val="19"/>
                <w:szCs w:val="19"/>
                <w:lang w:val="en-GB"/>
              </w:rPr>
              <w:t>Designation and plans for the management of 166,600 ha of mangrove as non-conversion, sustainable use areas</w:t>
            </w:r>
          </w:p>
        </w:tc>
      </w:tr>
      <w:tr w:rsidR="005D3DD5" w:rsidRPr="005D3DD5" w14:paraId="241765D2" w14:textId="77777777" w:rsidTr="005D3DD5">
        <w:trPr>
          <w:trHeight w:val="1080"/>
          <w:jc w:val="center"/>
        </w:trPr>
        <w:tc>
          <w:tcPr>
            <w:tcW w:w="1884" w:type="dxa"/>
            <w:vAlign w:val="center"/>
          </w:tcPr>
          <w:p w14:paraId="6B3B824E" w14:textId="77777777" w:rsidR="005D3DD5" w:rsidRPr="005D3DD5" w:rsidRDefault="005D3DD5" w:rsidP="005D3DD5">
            <w:pPr>
              <w:spacing w:before="40"/>
              <w:rPr>
                <w:sz w:val="19"/>
                <w:szCs w:val="19"/>
                <w:lang w:val="en-GB"/>
              </w:rPr>
            </w:pPr>
            <w:r w:rsidRPr="005D3DD5">
              <w:rPr>
                <w:sz w:val="19"/>
                <w:szCs w:val="19"/>
                <w:lang w:val="en-GB"/>
              </w:rPr>
              <w:t>1.1.3: Endorsed policies, executive orders, provincial/local ordinances and by-laws</w:t>
            </w:r>
          </w:p>
        </w:tc>
        <w:tc>
          <w:tcPr>
            <w:tcW w:w="1884" w:type="dxa"/>
            <w:vAlign w:val="center"/>
          </w:tcPr>
          <w:p w14:paraId="6502D8B4" w14:textId="77777777" w:rsidR="005D3DD5" w:rsidRPr="005D3DD5" w:rsidRDefault="005D3DD5" w:rsidP="005D3DD5">
            <w:pPr>
              <w:spacing w:before="40"/>
              <w:rPr>
                <w:bCs/>
                <w:sz w:val="19"/>
                <w:szCs w:val="19"/>
                <w:lang w:val="en-GB"/>
              </w:rPr>
            </w:pPr>
            <w:r w:rsidRPr="005D3DD5">
              <w:rPr>
                <w:bCs/>
                <w:sz w:val="19"/>
                <w:szCs w:val="19"/>
                <w:lang w:val="en-GB"/>
              </w:rPr>
              <w:t>Total area (ha) of presently unmanaged mangrove for which regulations/ordinances are adopted to enable sustainable management</w:t>
            </w:r>
          </w:p>
        </w:tc>
        <w:tc>
          <w:tcPr>
            <w:tcW w:w="1884" w:type="dxa"/>
            <w:vAlign w:val="center"/>
          </w:tcPr>
          <w:p w14:paraId="394060A9" w14:textId="77777777" w:rsidR="005D3DD5" w:rsidRPr="005D3DD5" w:rsidRDefault="005D3DD5" w:rsidP="005D3DD5">
            <w:pPr>
              <w:spacing w:before="40"/>
              <w:rPr>
                <w:sz w:val="19"/>
                <w:szCs w:val="19"/>
                <w:lang w:val="en-GB"/>
              </w:rPr>
            </w:pPr>
            <w:r w:rsidRPr="005D3DD5">
              <w:rPr>
                <w:sz w:val="19"/>
                <w:szCs w:val="19"/>
                <w:lang w:val="en-GB"/>
              </w:rPr>
              <w:t>Legal frameworks to enable sustainable management of 56 percent of mangrove area in the SCS</w:t>
            </w:r>
          </w:p>
        </w:tc>
        <w:tc>
          <w:tcPr>
            <w:tcW w:w="1884" w:type="dxa"/>
            <w:vAlign w:val="center"/>
          </w:tcPr>
          <w:p w14:paraId="75C9031E" w14:textId="77777777" w:rsidR="005D3DD5" w:rsidRPr="005D3DD5" w:rsidRDefault="005D3DD5" w:rsidP="005D3DD5">
            <w:pPr>
              <w:spacing w:before="40"/>
              <w:rPr>
                <w:sz w:val="19"/>
                <w:szCs w:val="19"/>
                <w:lang w:val="en-GB"/>
              </w:rPr>
            </w:pPr>
            <w:r w:rsidRPr="005D3DD5">
              <w:rPr>
                <w:sz w:val="19"/>
                <w:szCs w:val="19"/>
                <w:lang w:val="en-GB"/>
              </w:rPr>
              <w:t>National expert consultations undertaken to agree priority needs for reform</w:t>
            </w:r>
          </w:p>
        </w:tc>
        <w:tc>
          <w:tcPr>
            <w:tcW w:w="1884" w:type="dxa"/>
            <w:vAlign w:val="center"/>
          </w:tcPr>
          <w:p w14:paraId="3B8979EE" w14:textId="77777777" w:rsidR="005D3DD5" w:rsidRPr="005D3DD5" w:rsidRDefault="005D3DD5" w:rsidP="005D3DD5">
            <w:pPr>
              <w:spacing w:before="40"/>
              <w:rPr>
                <w:sz w:val="19"/>
                <w:szCs w:val="19"/>
                <w:lang w:val="en-GB"/>
              </w:rPr>
            </w:pPr>
            <w:r w:rsidRPr="005D3DD5">
              <w:rPr>
                <w:sz w:val="19"/>
                <w:szCs w:val="19"/>
                <w:lang w:val="en-GB"/>
              </w:rPr>
              <w:t>Reform of laws and regulations for the sustainable use of 602,800 ha of mangrove forest.</w:t>
            </w:r>
          </w:p>
        </w:tc>
      </w:tr>
      <w:tr w:rsidR="005D3DD5" w:rsidRPr="005D3DD5" w14:paraId="280CC0E8" w14:textId="77777777" w:rsidTr="005D3DD5">
        <w:trPr>
          <w:trHeight w:val="875"/>
          <w:jc w:val="center"/>
        </w:trPr>
        <w:tc>
          <w:tcPr>
            <w:tcW w:w="1884" w:type="dxa"/>
            <w:vAlign w:val="center"/>
          </w:tcPr>
          <w:p w14:paraId="30A9F245" w14:textId="77777777" w:rsidR="005D3DD5" w:rsidRPr="005D3DD5" w:rsidRDefault="005D3DD5" w:rsidP="005D3DD5">
            <w:pPr>
              <w:spacing w:before="40"/>
              <w:rPr>
                <w:sz w:val="19"/>
                <w:szCs w:val="19"/>
                <w:lang w:val="en-GB"/>
              </w:rPr>
            </w:pPr>
            <w:r w:rsidRPr="005D3DD5">
              <w:rPr>
                <w:bCs/>
                <w:sz w:val="19"/>
                <w:szCs w:val="19"/>
                <w:lang w:val="en-GB"/>
              </w:rPr>
              <w:t>1.1.4: Maps and aerial imagery of rehabilitated mangrove areas</w:t>
            </w:r>
          </w:p>
        </w:tc>
        <w:tc>
          <w:tcPr>
            <w:tcW w:w="1884" w:type="dxa"/>
            <w:vAlign w:val="center"/>
          </w:tcPr>
          <w:p w14:paraId="02C017C3" w14:textId="77777777" w:rsidR="005D3DD5" w:rsidRPr="005D3DD5" w:rsidRDefault="005D3DD5" w:rsidP="005D3DD5">
            <w:pPr>
              <w:spacing w:before="40"/>
              <w:rPr>
                <w:sz w:val="19"/>
                <w:szCs w:val="19"/>
                <w:lang w:val="en-GB"/>
              </w:rPr>
            </w:pPr>
            <w:r w:rsidRPr="005D3DD5">
              <w:rPr>
                <w:bCs/>
                <w:sz w:val="19"/>
                <w:szCs w:val="19"/>
                <w:lang w:val="en-GB"/>
              </w:rPr>
              <w:t>Total area (ha) of deforested mangrove land rehabilitated</w:t>
            </w:r>
          </w:p>
        </w:tc>
        <w:tc>
          <w:tcPr>
            <w:tcW w:w="1884" w:type="dxa"/>
            <w:vAlign w:val="center"/>
          </w:tcPr>
          <w:p w14:paraId="1E5C4D63" w14:textId="77777777" w:rsidR="005D3DD5" w:rsidRPr="005D3DD5" w:rsidRDefault="005D3DD5" w:rsidP="005D3DD5">
            <w:pPr>
              <w:spacing w:before="40"/>
              <w:rPr>
                <w:sz w:val="19"/>
                <w:szCs w:val="19"/>
                <w:lang w:val="en-GB"/>
              </w:rPr>
            </w:pPr>
            <w:r w:rsidRPr="005D3DD5">
              <w:rPr>
                <w:sz w:val="19"/>
                <w:szCs w:val="19"/>
                <w:lang w:val="en-GB"/>
              </w:rPr>
              <w:t>Decadal rate of loss of total mangrove area from SCS is estimated at 16 percent</w:t>
            </w:r>
          </w:p>
        </w:tc>
        <w:tc>
          <w:tcPr>
            <w:tcW w:w="1884" w:type="dxa"/>
            <w:vAlign w:val="center"/>
          </w:tcPr>
          <w:p w14:paraId="561195A0" w14:textId="77777777" w:rsidR="005D3DD5" w:rsidRPr="005D3DD5" w:rsidRDefault="005D3DD5" w:rsidP="005D3DD5">
            <w:pPr>
              <w:rPr>
                <w:color w:val="FF0000"/>
                <w:sz w:val="19"/>
                <w:szCs w:val="19"/>
                <w:lang w:val="en-GB"/>
              </w:rPr>
            </w:pPr>
            <w:r w:rsidRPr="005D3DD5">
              <w:rPr>
                <w:sz w:val="19"/>
                <w:szCs w:val="19"/>
                <w:lang w:val="en-GB"/>
              </w:rPr>
              <w:t>Procedure developed and agreed for identifying priority areas for rehabilitation</w:t>
            </w:r>
          </w:p>
        </w:tc>
        <w:tc>
          <w:tcPr>
            <w:tcW w:w="1884" w:type="dxa"/>
            <w:vAlign w:val="center"/>
          </w:tcPr>
          <w:p w14:paraId="7BA5F09D" w14:textId="77777777" w:rsidR="005D3DD5" w:rsidRPr="005D3DD5" w:rsidRDefault="005D3DD5" w:rsidP="005D3DD5">
            <w:pPr>
              <w:spacing w:before="40"/>
              <w:rPr>
                <w:sz w:val="19"/>
                <w:szCs w:val="19"/>
                <w:lang w:val="en-GB"/>
              </w:rPr>
            </w:pPr>
            <w:r w:rsidRPr="005D3DD5">
              <w:rPr>
                <w:sz w:val="19"/>
                <w:szCs w:val="19"/>
                <w:lang w:val="en-GB"/>
              </w:rPr>
              <w:t>Replanting of 21,000 ha of deforested mangrove land</w:t>
            </w:r>
          </w:p>
        </w:tc>
      </w:tr>
      <w:tr w:rsidR="005D3DD5" w:rsidRPr="005D3DD5" w14:paraId="45ED2B7D" w14:textId="77777777" w:rsidTr="005D3DD5">
        <w:trPr>
          <w:trHeight w:val="1080"/>
          <w:jc w:val="center"/>
        </w:trPr>
        <w:tc>
          <w:tcPr>
            <w:tcW w:w="1884" w:type="dxa"/>
            <w:vAlign w:val="center"/>
          </w:tcPr>
          <w:p w14:paraId="0C514027" w14:textId="77777777" w:rsidR="005D3DD5" w:rsidRPr="005D3DD5" w:rsidRDefault="005D3DD5" w:rsidP="005D3DD5">
            <w:pPr>
              <w:spacing w:before="40"/>
              <w:rPr>
                <w:sz w:val="19"/>
                <w:szCs w:val="19"/>
                <w:lang w:val="en-GB"/>
              </w:rPr>
            </w:pPr>
            <w:r w:rsidRPr="005D3DD5">
              <w:rPr>
                <w:bCs/>
                <w:sz w:val="19"/>
                <w:szCs w:val="19"/>
                <w:lang w:val="en-GB"/>
              </w:rPr>
              <w:t xml:space="preserve">1.1.5: </w:t>
            </w:r>
            <w:r w:rsidRPr="005D3DD5">
              <w:rPr>
                <w:sz w:val="19"/>
                <w:szCs w:val="19"/>
                <w:lang w:val="en-GB"/>
              </w:rPr>
              <w:t>Updated site characterisations for enrichment planting sites, including ecological and socio-economic data</w:t>
            </w:r>
          </w:p>
        </w:tc>
        <w:tc>
          <w:tcPr>
            <w:tcW w:w="1884" w:type="dxa"/>
            <w:vAlign w:val="center"/>
          </w:tcPr>
          <w:p w14:paraId="2416D0AA" w14:textId="77777777" w:rsidR="005D3DD5" w:rsidRPr="005D3DD5" w:rsidRDefault="005D3DD5" w:rsidP="005D3DD5">
            <w:pPr>
              <w:spacing w:before="40"/>
              <w:rPr>
                <w:bCs/>
                <w:sz w:val="19"/>
                <w:szCs w:val="19"/>
                <w:lang w:val="en-GB"/>
              </w:rPr>
            </w:pPr>
            <w:r w:rsidRPr="005D3DD5">
              <w:rPr>
                <w:bCs/>
                <w:sz w:val="19"/>
                <w:szCs w:val="19"/>
                <w:lang w:val="en-GB"/>
              </w:rPr>
              <w:t>Measures of ecological &amp; environmental indicators at enrichment planting sites: forest cover; number and diversity of true mangrove species; and size and abundance of Scylla spp and Sesarma spp</w:t>
            </w:r>
          </w:p>
        </w:tc>
        <w:tc>
          <w:tcPr>
            <w:tcW w:w="1884" w:type="dxa"/>
            <w:vAlign w:val="center"/>
          </w:tcPr>
          <w:p w14:paraId="1A4FE1F3" w14:textId="77777777" w:rsidR="005D3DD5" w:rsidRPr="005D3DD5" w:rsidRDefault="005D3DD5" w:rsidP="005D3DD5">
            <w:pPr>
              <w:spacing w:before="40"/>
              <w:rPr>
                <w:sz w:val="19"/>
                <w:szCs w:val="19"/>
                <w:lang w:val="en-GB"/>
              </w:rPr>
            </w:pPr>
            <w:r w:rsidRPr="005D3DD5">
              <w:rPr>
                <w:sz w:val="19"/>
                <w:szCs w:val="19"/>
                <w:lang w:val="en-GB"/>
              </w:rPr>
              <w:t>Predominantly single-species mangrove</w:t>
            </w:r>
          </w:p>
          <w:p w14:paraId="059BF91A" w14:textId="77777777" w:rsidR="005D3DD5" w:rsidRPr="005D3DD5" w:rsidRDefault="005D3DD5" w:rsidP="005D3DD5">
            <w:pPr>
              <w:spacing w:before="40"/>
              <w:rPr>
                <w:sz w:val="19"/>
                <w:szCs w:val="19"/>
                <w:lang w:val="en-GB"/>
              </w:rPr>
            </w:pPr>
            <w:r w:rsidRPr="005D3DD5">
              <w:rPr>
                <w:sz w:val="19"/>
                <w:szCs w:val="19"/>
                <w:lang w:val="en-GB"/>
              </w:rPr>
              <w:t>reforestation initiatives over recent decades have compromised biodiversity and hazard risk reduction potential of rehabilitated mangrove areas</w:t>
            </w:r>
          </w:p>
        </w:tc>
        <w:tc>
          <w:tcPr>
            <w:tcW w:w="1884" w:type="dxa"/>
            <w:vAlign w:val="center"/>
          </w:tcPr>
          <w:p w14:paraId="4BB01B68" w14:textId="77777777" w:rsidR="005D3DD5" w:rsidRPr="005D3DD5" w:rsidRDefault="005D3DD5" w:rsidP="005D3DD5">
            <w:pPr>
              <w:rPr>
                <w:sz w:val="19"/>
                <w:szCs w:val="19"/>
                <w:lang w:val="en-GB"/>
              </w:rPr>
            </w:pPr>
            <w:r w:rsidRPr="005D3DD5">
              <w:rPr>
                <w:sz w:val="19"/>
                <w:szCs w:val="19"/>
                <w:lang w:val="en-GB"/>
              </w:rPr>
              <w:t xml:space="preserve">Procedure developed and agreed for identifying priority areas for enrichment planting </w:t>
            </w:r>
          </w:p>
        </w:tc>
        <w:tc>
          <w:tcPr>
            <w:tcW w:w="1884" w:type="dxa"/>
            <w:vAlign w:val="center"/>
          </w:tcPr>
          <w:p w14:paraId="3E185121" w14:textId="77777777" w:rsidR="005D3DD5" w:rsidRPr="005D3DD5" w:rsidRDefault="005D3DD5" w:rsidP="005D3DD5">
            <w:pPr>
              <w:spacing w:before="40"/>
              <w:rPr>
                <w:sz w:val="19"/>
                <w:szCs w:val="19"/>
                <w:lang w:val="en-GB"/>
              </w:rPr>
            </w:pPr>
            <w:r w:rsidRPr="005D3DD5">
              <w:rPr>
                <w:sz w:val="19"/>
                <w:szCs w:val="19"/>
                <w:lang w:val="en-GB"/>
              </w:rPr>
              <w:t>Biodiversity increased for 11,200 ha of mangrove forest via enrichment planting</w:t>
            </w:r>
          </w:p>
        </w:tc>
      </w:tr>
      <w:tr w:rsidR="005D3DD5" w:rsidRPr="005D3DD5" w14:paraId="3D410ECA" w14:textId="77777777" w:rsidTr="005D3DD5">
        <w:trPr>
          <w:trHeight w:val="620"/>
          <w:jc w:val="center"/>
        </w:trPr>
        <w:tc>
          <w:tcPr>
            <w:tcW w:w="9420" w:type="dxa"/>
            <w:gridSpan w:val="5"/>
            <w:shd w:val="clear" w:color="auto" w:fill="F2F2F2"/>
            <w:vAlign w:val="center"/>
          </w:tcPr>
          <w:p w14:paraId="36AA45B5" w14:textId="77777777" w:rsidR="005D3DD5" w:rsidRPr="005D3DD5" w:rsidRDefault="005D3DD5" w:rsidP="005D3DD5">
            <w:pPr>
              <w:spacing w:before="40"/>
              <w:jc w:val="center"/>
              <w:rPr>
                <w:b/>
                <w:sz w:val="19"/>
                <w:szCs w:val="19"/>
                <w:lang w:val="en-GB"/>
              </w:rPr>
            </w:pPr>
            <w:r w:rsidRPr="005D3DD5">
              <w:rPr>
                <w:b/>
                <w:sz w:val="19"/>
                <w:szCs w:val="19"/>
                <w:lang w:val="en-GB"/>
              </w:rPr>
              <w:t>1.2  153,000 ha of coral reef at 82 priority sites managed sustainably by Yr 5, including a reduction in the decadal rate of degradation in live coral cover from 16 to 5%</w:t>
            </w:r>
          </w:p>
        </w:tc>
      </w:tr>
      <w:tr w:rsidR="005D3DD5" w:rsidRPr="005D3DD5" w14:paraId="0DDF0695" w14:textId="77777777" w:rsidTr="005D3DD5">
        <w:trPr>
          <w:trHeight w:val="1080"/>
          <w:jc w:val="center"/>
        </w:trPr>
        <w:tc>
          <w:tcPr>
            <w:tcW w:w="1884" w:type="dxa"/>
            <w:vAlign w:val="center"/>
          </w:tcPr>
          <w:p w14:paraId="03E133A7" w14:textId="77777777" w:rsidR="005D3DD5" w:rsidRPr="005D3DD5" w:rsidRDefault="005D3DD5" w:rsidP="005D3DD5">
            <w:pPr>
              <w:spacing w:before="40"/>
              <w:rPr>
                <w:bCs/>
                <w:sz w:val="19"/>
                <w:szCs w:val="19"/>
                <w:lang w:val="en-GB"/>
              </w:rPr>
            </w:pPr>
            <w:r w:rsidRPr="005D3DD5">
              <w:rPr>
                <w:bCs/>
                <w:sz w:val="19"/>
                <w:szCs w:val="19"/>
                <w:lang w:val="en-GB"/>
              </w:rPr>
              <w:t xml:space="preserve">1.2.1(a): Assessment of government and civil society organisation competencies and mgmt. capacity developments needs </w:t>
            </w:r>
          </w:p>
          <w:p w14:paraId="71874018" w14:textId="77777777" w:rsidR="005D3DD5" w:rsidRPr="005D3DD5" w:rsidRDefault="005D3DD5" w:rsidP="005D3DD5">
            <w:pPr>
              <w:spacing w:before="40"/>
              <w:rPr>
                <w:bCs/>
                <w:sz w:val="19"/>
                <w:szCs w:val="19"/>
                <w:lang w:val="en-GB"/>
              </w:rPr>
            </w:pPr>
            <w:r w:rsidRPr="005D3DD5">
              <w:rPr>
                <w:bCs/>
                <w:sz w:val="19"/>
                <w:szCs w:val="19"/>
                <w:lang w:val="en-GB"/>
              </w:rPr>
              <w:t>1.2.1(b): Report of capacity building initiative</w:t>
            </w:r>
          </w:p>
        </w:tc>
        <w:tc>
          <w:tcPr>
            <w:tcW w:w="1884" w:type="dxa"/>
            <w:vAlign w:val="center"/>
          </w:tcPr>
          <w:p w14:paraId="6CB2BBEC" w14:textId="77777777" w:rsidR="005D3DD5" w:rsidRPr="005D3DD5" w:rsidRDefault="005D3DD5" w:rsidP="005D3DD5">
            <w:pPr>
              <w:rPr>
                <w:sz w:val="19"/>
                <w:szCs w:val="19"/>
                <w:lang w:val="en-GB" w:bidi="th-TH"/>
              </w:rPr>
            </w:pPr>
            <w:r w:rsidRPr="005D3DD5">
              <w:rPr>
                <w:sz w:val="19"/>
                <w:szCs w:val="19"/>
                <w:lang w:val="en-GB" w:bidi="th-TH"/>
              </w:rPr>
              <w:t>Status of management capacity, including:</w:t>
            </w:r>
          </w:p>
          <w:p w14:paraId="1FE03975" w14:textId="77777777" w:rsidR="005D3DD5" w:rsidRPr="005D3DD5" w:rsidRDefault="005D3DD5" w:rsidP="005D3DD5">
            <w:pPr>
              <w:numPr>
                <w:ilvl w:val="0"/>
                <w:numId w:val="29"/>
              </w:numPr>
              <w:ind w:left="194" w:hanging="180"/>
              <w:contextualSpacing/>
              <w:rPr>
                <w:sz w:val="19"/>
                <w:szCs w:val="19"/>
                <w:lang w:val="en-GB" w:bidi="th-TH"/>
              </w:rPr>
            </w:pPr>
            <w:r w:rsidRPr="005D3DD5">
              <w:rPr>
                <w:sz w:val="19"/>
                <w:szCs w:val="19"/>
                <w:lang w:val="en-GB" w:bidi="th-TH"/>
              </w:rPr>
              <w:t>Human resource capacity;</w:t>
            </w:r>
          </w:p>
          <w:p w14:paraId="7809068E" w14:textId="77777777" w:rsidR="005D3DD5" w:rsidRPr="005D3DD5" w:rsidRDefault="005D3DD5" w:rsidP="005D3DD5">
            <w:pPr>
              <w:numPr>
                <w:ilvl w:val="0"/>
                <w:numId w:val="29"/>
              </w:numPr>
              <w:ind w:left="194" w:hanging="180"/>
              <w:contextualSpacing/>
              <w:rPr>
                <w:sz w:val="19"/>
                <w:szCs w:val="19"/>
                <w:lang w:val="en-GB" w:bidi="th-TH"/>
              </w:rPr>
            </w:pPr>
            <w:r w:rsidRPr="005D3DD5">
              <w:rPr>
                <w:sz w:val="19"/>
                <w:szCs w:val="19"/>
                <w:lang w:val="en-GB" w:bidi="th-TH"/>
              </w:rPr>
              <w:t>Facilities and equipment; and</w:t>
            </w:r>
          </w:p>
          <w:p w14:paraId="0D4D799D" w14:textId="77777777" w:rsidR="005D3DD5" w:rsidRPr="005D3DD5" w:rsidRDefault="005D3DD5" w:rsidP="005D3DD5">
            <w:pPr>
              <w:numPr>
                <w:ilvl w:val="0"/>
                <w:numId w:val="29"/>
              </w:numPr>
              <w:ind w:left="194" w:hanging="180"/>
              <w:contextualSpacing/>
              <w:rPr>
                <w:sz w:val="19"/>
                <w:szCs w:val="19"/>
                <w:lang w:val="en-GB" w:bidi="th-TH"/>
              </w:rPr>
            </w:pPr>
            <w:r w:rsidRPr="005D3DD5">
              <w:rPr>
                <w:sz w:val="19"/>
                <w:szCs w:val="19"/>
                <w:lang w:val="en-GB" w:bidi="th-TH"/>
              </w:rPr>
              <w:t>Sustainable financing</w:t>
            </w:r>
          </w:p>
        </w:tc>
        <w:tc>
          <w:tcPr>
            <w:tcW w:w="1884" w:type="dxa"/>
            <w:vAlign w:val="center"/>
          </w:tcPr>
          <w:p w14:paraId="703F319B" w14:textId="77777777" w:rsidR="005D3DD5" w:rsidRPr="005D3DD5" w:rsidRDefault="005D3DD5" w:rsidP="005D3DD5">
            <w:pPr>
              <w:spacing w:before="40"/>
              <w:rPr>
                <w:sz w:val="19"/>
                <w:szCs w:val="19"/>
                <w:lang w:val="en-GB"/>
              </w:rPr>
            </w:pPr>
            <w:r w:rsidRPr="005D3DD5">
              <w:rPr>
                <w:sz w:val="19"/>
                <w:szCs w:val="19"/>
                <w:lang w:val="en-GB"/>
              </w:rPr>
              <w:t>13 of 82 priority coral reef sites in the SCS characterised as being sustainably management due to management capacity constraints</w:t>
            </w:r>
          </w:p>
        </w:tc>
        <w:tc>
          <w:tcPr>
            <w:tcW w:w="1884" w:type="dxa"/>
            <w:vAlign w:val="center"/>
          </w:tcPr>
          <w:p w14:paraId="435F02A4" w14:textId="77777777" w:rsidR="005D3DD5" w:rsidRPr="005D3DD5" w:rsidRDefault="005D3DD5" w:rsidP="005D3DD5">
            <w:pPr>
              <w:rPr>
                <w:sz w:val="19"/>
                <w:szCs w:val="19"/>
                <w:lang w:val="en-GB"/>
              </w:rPr>
            </w:pPr>
            <w:r w:rsidRPr="005D3DD5">
              <w:rPr>
                <w:sz w:val="19"/>
                <w:szCs w:val="19"/>
                <w:lang w:val="en-GB"/>
              </w:rPr>
              <w:t>Training programme syllabus developed by international consortium of educational institutes, including agreed programme of capacity building activities at the 82 sites</w:t>
            </w:r>
          </w:p>
        </w:tc>
        <w:tc>
          <w:tcPr>
            <w:tcW w:w="1884" w:type="dxa"/>
            <w:vAlign w:val="center"/>
          </w:tcPr>
          <w:p w14:paraId="2EF526D2" w14:textId="77777777" w:rsidR="005D3DD5" w:rsidRPr="005D3DD5" w:rsidRDefault="005D3DD5" w:rsidP="005D3DD5">
            <w:pPr>
              <w:spacing w:before="40"/>
              <w:rPr>
                <w:sz w:val="19"/>
                <w:szCs w:val="19"/>
                <w:lang w:val="en-GB"/>
              </w:rPr>
            </w:pPr>
            <w:r w:rsidRPr="005D3DD5">
              <w:rPr>
                <w:sz w:val="19"/>
                <w:szCs w:val="19"/>
                <w:lang w:val="en-GB"/>
              </w:rPr>
              <w:t>Management capacity  built for 82 coral reef sites</w:t>
            </w:r>
          </w:p>
        </w:tc>
      </w:tr>
      <w:tr w:rsidR="005D3DD5" w:rsidRPr="005D3DD5" w14:paraId="5B3906CC" w14:textId="77777777" w:rsidTr="005D3DD5">
        <w:trPr>
          <w:trHeight w:val="1080"/>
          <w:jc w:val="center"/>
        </w:trPr>
        <w:tc>
          <w:tcPr>
            <w:tcW w:w="1884" w:type="dxa"/>
            <w:vAlign w:val="center"/>
          </w:tcPr>
          <w:p w14:paraId="400C2FC3" w14:textId="77777777" w:rsidR="005D3DD5" w:rsidRPr="005D3DD5" w:rsidRDefault="005D3DD5" w:rsidP="005D3DD5">
            <w:pPr>
              <w:spacing w:before="40"/>
              <w:rPr>
                <w:bCs/>
                <w:sz w:val="19"/>
                <w:szCs w:val="19"/>
                <w:lang w:val="en-GB"/>
              </w:rPr>
            </w:pPr>
            <w:r w:rsidRPr="005D3DD5">
              <w:rPr>
                <w:bCs/>
                <w:sz w:val="19"/>
                <w:szCs w:val="19"/>
                <w:lang w:val="en-GB"/>
              </w:rPr>
              <w:t>1.2.2: Reports of cross-sectorial, multi-stakeholder coral reef management bodies</w:t>
            </w:r>
          </w:p>
        </w:tc>
        <w:tc>
          <w:tcPr>
            <w:tcW w:w="1884" w:type="dxa"/>
            <w:vAlign w:val="center"/>
          </w:tcPr>
          <w:p w14:paraId="2E911712" w14:textId="77777777" w:rsidR="005D3DD5" w:rsidRPr="005D3DD5" w:rsidRDefault="005D3DD5" w:rsidP="005D3DD5">
            <w:pPr>
              <w:spacing w:before="40"/>
              <w:rPr>
                <w:bCs/>
                <w:sz w:val="19"/>
                <w:szCs w:val="19"/>
                <w:lang w:val="en-GB"/>
              </w:rPr>
            </w:pPr>
            <w:r w:rsidRPr="005D3DD5">
              <w:rPr>
                <w:bCs/>
                <w:sz w:val="19"/>
                <w:szCs w:val="19"/>
                <w:lang w:val="en-GB"/>
              </w:rPr>
              <w:t>Status of institutional reform for multi-sectorial, community-based and multiple use coral reef management</w:t>
            </w:r>
          </w:p>
        </w:tc>
        <w:tc>
          <w:tcPr>
            <w:tcW w:w="1884" w:type="dxa"/>
            <w:vAlign w:val="center"/>
          </w:tcPr>
          <w:p w14:paraId="0F2ECF1B" w14:textId="77777777" w:rsidR="005D3DD5" w:rsidRPr="005D3DD5" w:rsidRDefault="005D3DD5" w:rsidP="005D3DD5">
            <w:pPr>
              <w:spacing w:before="40"/>
              <w:rPr>
                <w:sz w:val="19"/>
                <w:szCs w:val="19"/>
                <w:lang w:val="en-GB"/>
              </w:rPr>
            </w:pPr>
            <w:r w:rsidRPr="005D3DD5">
              <w:rPr>
                <w:sz w:val="19"/>
                <w:szCs w:val="19"/>
                <w:lang w:val="en-GB"/>
              </w:rPr>
              <w:t>Predominantly single sector (environment) and centralised approach to coral reef management</w:t>
            </w:r>
          </w:p>
        </w:tc>
        <w:tc>
          <w:tcPr>
            <w:tcW w:w="1884" w:type="dxa"/>
            <w:vAlign w:val="center"/>
          </w:tcPr>
          <w:p w14:paraId="11CBEFD1" w14:textId="77777777" w:rsidR="005D3DD5" w:rsidRPr="005D3DD5" w:rsidRDefault="005D3DD5" w:rsidP="005D3DD5">
            <w:pPr>
              <w:rPr>
                <w:sz w:val="19"/>
                <w:szCs w:val="19"/>
                <w:lang w:val="en-GB"/>
              </w:rPr>
            </w:pPr>
            <w:r w:rsidRPr="005D3DD5">
              <w:rPr>
                <w:sz w:val="19"/>
                <w:szCs w:val="19"/>
                <w:lang w:val="en-GB"/>
              </w:rPr>
              <w:t>Governance structures and institutional frameworks defined for each site</w:t>
            </w:r>
          </w:p>
        </w:tc>
        <w:tc>
          <w:tcPr>
            <w:tcW w:w="1884" w:type="dxa"/>
            <w:vAlign w:val="center"/>
          </w:tcPr>
          <w:p w14:paraId="57BBD075" w14:textId="77777777" w:rsidR="005D3DD5" w:rsidRPr="005D3DD5" w:rsidRDefault="005D3DD5" w:rsidP="005D3DD5">
            <w:pPr>
              <w:spacing w:before="40"/>
              <w:rPr>
                <w:sz w:val="19"/>
                <w:szCs w:val="19"/>
                <w:lang w:val="en-GB"/>
              </w:rPr>
            </w:pPr>
            <w:r w:rsidRPr="005D3DD5">
              <w:rPr>
                <w:sz w:val="19"/>
                <w:szCs w:val="19"/>
                <w:lang w:val="en-GB"/>
              </w:rPr>
              <w:t>Management approaches (integrated, community-based, multiple use) improved at 82 coral reef sites</w:t>
            </w:r>
          </w:p>
        </w:tc>
      </w:tr>
      <w:tr w:rsidR="005D3DD5" w:rsidRPr="005D3DD5" w14:paraId="22231D02" w14:textId="77777777" w:rsidTr="005D3DD5">
        <w:trPr>
          <w:trHeight w:val="1080"/>
          <w:jc w:val="center"/>
        </w:trPr>
        <w:tc>
          <w:tcPr>
            <w:tcW w:w="1884" w:type="dxa"/>
            <w:vAlign w:val="center"/>
          </w:tcPr>
          <w:p w14:paraId="35C6A856" w14:textId="77777777" w:rsidR="005D3DD5" w:rsidRPr="005D3DD5" w:rsidRDefault="005D3DD5" w:rsidP="005D3DD5">
            <w:pPr>
              <w:spacing w:before="40"/>
              <w:rPr>
                <w:bCs/>
                <w:sz w:val="19"/>
                <w:szCs w:val="19"/>
                <w:lang w:val="en-GB"/>
              </w:rPr>
            </w:pPr>
            <w:r w:rsidRPr="005D3DD5">
              <w:rPr>
                <w:bCs/>
                <w:sz w:val="19"/>
                <w:szCs w:val="19"/>
                <w:lang w:val="en-GB"/>
              </w:rPr>
              <w:t>1.2.3: Endorsed policies and executive orders provincial/local ordinances and by-laws for coral reef management</w:t>
            </w:r>
          </w:p>
        </w:tc>
        <w:tc>
          <w:tcPr>
            <w:tcW w:w="1884" w:type="dxa"/>
            <w:vAlign w:val="center"/>
          </w:tcPr>
          <w:p w14:paraId="2134B81F" w14:textId="77777777" w:rsidR="005D3DD5" w:rsidRPr="005D3DD5" w:rsidRDefault="005D3DD5" w:rsidP="005D3DD5">
            <w:pPr>
              <w:spacing w:before="40"/>
              <w:rPr>
                <w:bCs/>
                <w:sz w:val="19"/>
                <w:szCs w:val="19"/>
                <w:lang w:val="en-GB"/>
              </w:rPr>
            </w:pPr>
            <w:r w:rsidRPr="005D3DD5">
              <w:rPr>
                <w:bCs/>
                <w:sz w:val="19"/>
                <w:szCs w:val="19"/>
                <w:lang w:val="en-GB"/>
              </w:rPr>
              <w:t>Number of management tools developed, adopted and applied at priority coral reef sites</w:t>
            </w:r>
          </w:p>
        </w:tc>
        <w:tc>
          <w:tcPr>
            <w:tcW w:w="1884" w:type="dxa"/>
            <w:vAlign w:val="center"/>
          </w:tcPr>
          <w:p w14:paraId="7E883EAC" w14:textId="77777777" w:rsidR="005D3DD5" w:rsidRPr="005D3DD5" w:rsidRDefault="005D3DD5" w:rsidP="005D3DD5">
            <w:pPr>
              <w:spacing w:before="40"/>
              <w:rPr>
                <w:sz w:val="19"/>
                <w:szCs w:val="19"/>
                <w:lang w:val="en-GB"/>
              </w:rPr>
            </w:pPr>
            <w:r w:rsidRPr="005D3DD5">
              <w:rPr>
                <w:sz w:val="19"/>
                <w:szCs w:val="19"/>
                <w:lang w:val="en-GB"/>
              </w:rPr>
              <w:t>Coral reef management largely focused on awareness raising with limited use of management tools to address threats to coral reef sites</w:t>
            </w:r>
          </w:p>
        </w:tc>
        <w:tc>
          <w:tcPr>
            <w:tcW w:w="1884" w:type="dxa"/>
            <w:vAlign w:val="center"/>
          </w:tcPr>
          <w:p w14:paraId="4BD93C47" w14:textId="77777777" w:rsidR="005D3DD5" w:rsidRPr="005D3DD5" w:rsidRDefault="005D3DD5" w:rsidP="005D3DD5">
            <w:pPr>
              <w:rPr>
                <w:sz w:val="19"/>
                <w:szCs w:val="19"/>
                <w:lang w:val="en-GB"/>
              </w:rPr>
            </w:pPr>
            <w:r w:rsidRPr="005D3DD5">
              <w:rPr>
                <w:sz w:val="19"/>
                <w:szCs w:val="19"/>
                <w:lang w:val="en-GB"/>
              </w:rPr>
              <w:t>Causal chain analyses completed at each of the 82 sites to identify needs for application of management approaches and tools</w:t>
            </w:r>
          </w:p>
        </w:tc>
        <w:tc>
          <w:tcPr>
            <w:tcW w:w="1884" w:type="dxa"/>
            <w:vAlign w:val="center"/>
          </w:tcPr>
          <w:p w14:paraId="67EA49EE" w14:textId="77777777" w:rsidR="005D3DD5" w:rsidRPr="005D3DD5" w:rsidRDefault="005D3DD5" w:rsidP="005D3DD5">
            <w:pPr>
              <w:spacing w:before="40"/>
              <w:rPr>
                <w:sz w:val="19"/>
                <w:szCs w:val="19"/>
                <w:lang w:val="en-GB"/>
              </w:rPr>
            </w:pPr>
            <w:r w:rsidRPr="005D3DD5">
              <w:rPr>
                <w:sz w:val="19"/>
                <w:szCs w:val="19"/>
                <w:lang w:val="en-GB"/>
              </w:rPr>
              <w:t>Management tools (licensing and permit systems, seasonal closures, zoning) developed and utilized to address key threats at priority sites</w:t>
            </w:r>
          </w:p>
        </w:tc>
      </w:tr>
      <w:tr w:rsidR="005D3DD5" w:rsidRPr="005D3DD5" w14:paraId="1C1FE977" w14:textId="77777777" w:rsidTr="005D3DD5">
        <w:trPr>
          <w:trHeight w:val="1080"/>
          <w:jc w:val="center"/>
        </w:trPr>
        <w:tc>
          <w:tcPr>
            <w:tcW w:w="1884" w:type="dxa"/>
            <w:vAlign w:val="center"/>
          </w:tcPr>
          <w:p w14:paraId="381C9EA2" w14:textId="77777777" w:rsidR="005D3DD5" w:rsidRPr="005D3DD5" w:rsidRDefault="005D3DD5" w:rsidP="005D3DD5">
            <w:pPr>
              <w:spacing w:before="40"/>
              <w:rPr>
                <w:bCs/>
                <w:sz w:val="19"/>
                <w:szCs w:val="19"/>
                <w:lang w:val="en-GB"/>
              </w:rPr>
            </w:pPr>
            <w:r w:rsidRPr="005D3DD5">
              <w:rPr>
                <w:bCs/>
                <w:sz w:val="19"/>
                <w:szCs w:val="19"/>
                <w:lang w:val="en-GB"/>
              </w:rPr>
              <w:t>1.2.4: Annual results reports on coral reef management at priority sites</w:t>
            </w:r>
          </w:p>
        </w:tc>
        <w:tc>
          <w:tcPr>
            <w:tcW w:w="1884" w:type="dxa"/>
            <w:vAlign w:val="center"/>
          </w:tcPr>
          <w:p w14:paraId="3CFE7C93" w14:textId="77777777" w:rsidR="005D3DD5" w:rsidRPr="005D3DD5" w:rsidRDefault="005D3DD5" w:rsidP="005D3DD5">
            <w:pPr>
              <w:spacing w:before="40"/>
              <w:rPr>
                <w:bCs/>
                <w:sz w:val="19"/>
                <w:szCs w:val="19"/>
                <w:lang w:val="en-GB"/>
              </w:rPr>
            </w:pPr>
            <w:r w:rsidRPr="005D3DD5">
              <w:rPr>
                <w:bCs/>
                <w:sz w:val="19"/>
                <w:szCs w:val="19"/>
                <w:lang w:val="en-GB"/>
              </w:rPr>
              <w:t>Status of mechanism established for monitoring coral reef management effectiveness and stress reduction</w:t>
            </w:r>
          </w:p>
        </w:tc>
        <w:tc>
          <w:tcPr>
            <w:tcW w:w="1884" w:type="dxa"/>
            <w:vAlign w:val="center"/>
          </w:tcPr>
          <w:p w14:paraId="09FDF76F" w14:textId="77777777" w:rsidR="005D3DD5" w:rsidRPr="005D3DD5" w:rsidRDefault="005D3DD5" w:rsidP="005D3DD5">
            <w:pPr>
              <w:spacing w:before="40"/>
              <w:rPr>
                <w:sz w:val="19"/>
                <w:szCs w:val="19"/>
                <w:lang w:val="en-GB"/>
              </w:rPr>
            </w:pPr>
            <w:r w:rsidRPr="005D3DD5">
              <w:rPr>
                <w:sz w:val="19"/>
                <w:szCs w:val="19"/>
                <w:lang w:val="en-GB"/>
              </w:rPr>
              <w:t>Management, ecological and environmental, and socio-economic indicator frameworks developed but not yet applied at priority sites</w:t>
            </w:r>
          </w:p>
        </w:tc>
        <w:tc>
          <w:tcPr>
            <w:tcW w:w="1884" w:type="dxa"/>
            <w:vAlign w:val="center"/>
          </w:tcPr>
          <w:p w14:paraId="6F0A239B" w14:textId="77777777" w:rsidR="005D3DD5" w:rsidRPr="005D3DD5" w:rsidRDefault="005D3DD5" w:rsidP="005D3DD5">
            <w:pPr>
              <w:rPr>
                <w:sz w:val="19"/>
                <w:szCs w:val="19"/>
                <w:lang w:val="en-GB"/>
              </w:rPr>
            </w:pPr>
            <w:r w:rsidRPr="005D3DD5">
              <w:rPr>
                <w:sz w:val="19"/>
                <w:szCs w:val="19"/>
                <w:lang w:val="en-GB"/>
              </w:rPr>
              <w:t>Indicator sets agreed and capacity needs of national scientists to compile regionally comparable data identified</w:t>
            </w:r>
          </w:p>
        </w:tc>
        <w:tc>
          <w:tcPr>
            <w:tcW w:w="1884" w:type="dxa"/>
            <w:vAlign w:val="center"/>
          </w:tcPr>
          <w:p w14:paraId="7304D9AE" w14:textId="77777777" w:rsidR="005D3DD5" w:rsidRPr="005D3DD5" w:rsidRDefault="005D3DD5" w:rsidP="005D3DD5">
            <w:pPr>
              <w:spacing w:before="40"/>
              <w:rPr>
                <w:sz w:val="19"/>
                <w:szCs w:val="19"/>
                <w:lang w:val="en-GB"/>
              </w:rPr>
            </w:pPr>
            <w:r w:rsidRPr="005D3DD5">
              <w:rPr>
                <w:sz w:val="19"/>
                <w:szCs w:val="19"/>
                <w:lang w:val="en-GB"/>
              </w:rPr>
              <w:t>Established mechanism for the monitoring of management, ecological and socio-economic indicators at 82 sites</w:t>
            </w:r>
          </w:p>
        </w:tc>
      </w:tr>
      <w:tr w:rsidR="005D3DD5" w:rsidRPr="005D3DD5" w14:paraId="7A6AF470" w14:textId="77777777" w:rsidTr="005D3DD5">
        <w:trPr>
          <w:trHeight w:val="602"/>
          <w:jc w:val="center"/>
        </w:trPr>
        <w:tc>
          <w:tcPr>
            <w:tcW w:w="9420" w:type="dxa"/>
            <w:gridSpan w:val="5"/>
            <w:shd w:val="clear" w:color="auto" w:fill="F2F2F2"/>
            <w:vAlign w:val="center"/>
          </w:tcPr>
          <w:p w14:paraId="0F4C3A73" w14:textId="77777777" w:rsidR="005D3DD5" w:rsidRPr="005D3DD5" w:rsidRDefault="005D3DD5" w:rsidP="005D3DD5">
            <w:pPr>
              <w:spacing w:before="40"/>
              <w:jc w:val="center"/>
              <w:rPr>
                <w:b/>
                <w:sz w:val="19"/>
                <w:szCs w:val="19"/>
                <w:lang w:val="en-GB"/>
              </w:rPr>
            </w:pPr>
            <w:r w:rsidRPr="005D3DD5">
              <w:rPr>
                <w:b/>
                <w:sz w:val="19"/>
                <w:szCs w:val="19"/>
                <w:lang w:val="en-GB"/>
              </w:rPr>
              <w:t>1.3  Conservation, management and sustainable use of 25,900 ha of known seagrass area in the South China Sea by Yr 5</w:t>
            </w:r>
          </w:p>
        </w:tc>
      </w:tr>
      <w:tr w:rsidR="005D3DD5" w:rsidRPr="005D3DD5" w14:paraId="08C48D85" w14:textId="77777777" w:rsidTr="005D3DD5">
        <w:trPr>
          <w:trHeight w:val="1080"/>
          <w:jc w:val="center"/>
        </w:trPr>
        <w:tc>
          <w:tcPr>
            <w:tcW w:w="1884" w:type="dxa"/>
            <w:vAlign w:val="center"/>
          </w:tcPr>
          <w:p w14:paraId="74306266" w14:textId="77777777" w:rsidR="005D3DD5" w:rsidRPr="005D3DD5" w:rsidRDefault="005D3DD5" w:rsidP="005D3DD5">
            <w:pPr>
              <w:spacing w:before="40"/>
              <w:rPr>
                <w:bCs/>
                <w:sz w:val="19"/>
                <w:szCs w:val="19"/>
                <w:lang w:val="en-GB"/>
              </w:rPr>
            </w:pPr>
            <w:r w:rsidRPr="005D3DD5">
              <w:rPr>
                <w:bCs/>
                <w:sz w:val="19"/>
                <w:szCs w:val="19"/>
                <w:lang w:val="en-GB"/>
              </w:rPr>
              <w:t>1.3.1(a): Annual country reports on seagrass  mgmt</w:t>
            </w:r>
          </w:p>
          <w:p w14:paraId="7F3BCAAD" w14:textId="77777777" w:rsidR="005D3DD5" w:rsidRPr="005D3DD5" w:rsidRDefault="005D3DD5" w:rsidP="005D3DD5">
            <w:pPr>
              <w:spacing w:before="40"/>
              <w:rPr>
                <w:bCs/>
                <w:sz w:val="19"/>
                <w:szCs w:val="19"/>
                <w:lang w:val="en-GB"/>
              </w:rPr>
            </w:pPr>
            <w:r w:rsidRPr="005D3DD5">
              <w:rPr>
                <w:bCs/>
                <w:sz w:val="19"/>
                <w:szCs w:val="19"/>
                <w:lang w:val="en-GB"/>
              </w:rPr>
              <w:t>1.3.1(b): Laws and regulations enacted for seagrass management</w:t>
            </w:r>
          </w:p>
        </w:tc>
        <w:tc>
          <w:tcPr>
            <w:tcW w:w="1884" w:type="dxa"/>
            <w:vAlign w:val="center"/>
          </w:tcPr>
          <w:p w14:paraId="33DB5725" w14:textId="77777777" w:rsidR="005D3DD5" w:rsidRPr="005D3DD5" w:rsidRDefault="005D3DD5" w:rsidP="005D3DD5">
            <w:pPr>
              <w:spacing w:before="40"/>
              <w:rPr>
                <w:bCs/>
                <w:sz w:val="19"/>
                <w:szCs w:val="19"/>
                <w:lang w:val="en-GB"/>
              </w:rPr>
            </w:pPr>
            <w:r w:rsidRPr="005D3DD5">
              <w:rPr>
                <w:bCs/>
                <w:sz w:val="19"/>
                <w:szCs w:val="19"/>
                <w:lang w:val="en-GB"/>
              </w:rPr>
              <w:t>Number of sites under sustainable management</w:t>
            </w:r>
          </w:p>
          <w:p w14:paraId="00AAE982" w14:textId="77777777" w:rsidR="005D3DD5" w:rsidRPr="005D3DD5" w:rsidRDefault="005D3DD5" w:rsidP="005D3DD5">
            <w:pPr>
              <w:spacing w:before="40"/>
              <w:rPr>
                <w:bCs/>
                <w:sz w:val="19"/>
                <w:szCs w:val="19"/>
                <w:lang w:val="en-GB"/>
              </w:rPr>
            </w:pPr>
            <w:r w:rsidRPr="005D3DD5">
              <w:rPr>
                <w:bCs/>
                <w:sz w:val="19"/>
                <w:szCs w:val="19"/>
                <w:lang w:val="en-GB"/>
              </w:rPr>
              <w:t>Number of seagrass sites for which management regulations exist</w:t>
            </w:r>
          </w:p>
        </w:tc>
        <w:tc>
          <w:tcPr>
            <w:tcW w:w="1884" w:type="dxa"/>
            <w:vAlign w:val="center"/>
          </w:tcPr>
          <w:p w14:paraId="37CCC325" w14:textId="77777777" w:rsidR="005D3DD5" w:rsidRPr="005D3DD5" w:rsidRDefault="005D3DD5" w:rsidP="005D3DD5">
            <w:pPr>
              <w:spacing w:before="40"/>
              <w:rPr>
                <w:sz w:val="19"/>
                <w:szCs w:val="19"/>
                <w:lang w:val="en-GB"/>
              </w:rPr>
            </w:pPr>
            <w:r w:rsidRPr="005D3DD5">
              <w:rPr>
                <w:sz w:val="19"/>
                <w:szCs w:val="19"/>
                <w:lang w:val="en-GB"/>
              </w:rPr>
              <w:t>Majority of seagrass areas in the SCS are unmanaged, or managed ineffectively, due to lack of enabling environment for zoning/regulation</w:t>
            </w:r>
          </w:p>
        </w:tc>
        <w:tc>
          <w:tcPr>
            <w:tcW w:w="1884" w:type="dxa"/>
            <w:vAlign w:val="center"/>
          </w:tcPr>
          <w:p w14:paraId="45672EA5" w14:textId="77777777" w:rsidR="005D3DD5" w:rsidRPr="005D3DD5" w:rsidRDefault="005D3DD5" w:rsidP="005D3DD5">
            <w:pPr>
              <w:rPr>
                <w:sz w:val="19"/>
                <w:szCs w:val="19"/>
                <w:lang w:val="en-GB"/>
              </w:rPr>
            </w:pPr>
            <w:r w:rsidRPr="005D3DD5">
              <w:rPr>
                <w:sz w:val="19"/>
                <w:szCs w:val="19"/>
                <w:lang w:val="en-GB"/>
              </w:rPr>
              <w:t>National and local consultation process completed to identify needs for legal reforms (based on causal chain analyses)</w:t>
            </w:r>
          </w:p>
        </w:tc>
        <w:tc>
          <w:tcPr>
            <w:tcW w:w="1884" w:type="dxa"/>
            <w:vAlign w:val="center"/>
          </w:tcPr>
          <w:p w14:paraId="22754AD5" w14:textId="77777777" w:rsidR="005D3DD5" w:rsidRPr="005D3DD5" w:rsidRDefault="005D3DD5" w:rsidP="005D3DD5">
            <w:pPr>
              <w:spacing w:before="40"/>
              <w:rPr>
                <w:sz w:val="19"/>
                <w:szCs w:val="19"/>
                <w:lang w:val="en-GB"/>
              </w:rPr>
            </w:pPr>
            <w:r w:rsidRPr="005D3DD5">
              <w:rPr>
                <w:sz w:val="19"/>
                <w:szCs w:val="19"/>
                <w:lang w:val="en-GB"/>
              </w:rPr>
              <w:t>Twenty-one seagrass areas totalling 25,900 ha under sustainable management with supporting laws and regulations</w:t>
            </w:r>
          </w:p>
        </w:tc>
      </w:tr>
      <w:tr w:rsidR="005D3DD5" w:rsidRPr="005D3DD5" w14:paraId="703A806F" w14:textId="77777777" w:rsidTr="005D3DD5">
        <w:trPr>
          <w:trHeight w:val="1080"/>
          <w:jc w:val="center"/>
        </w:trPr>
        <w:tc>
          <w:tcPr>
            <w:tcW w:w="1884" w:type="dxa"/>
            <w:vAlign w:val="center"/>
          </w:tcPr>
          <w:p w14:paraId="7775ED5F" w14:textId="77777777" w:rsidR="005D3DD5" w:rsidRPr="005D3DD5" w:rsidRDefault="005D3DD5" w:rsidP="005D3DD5">
            <w:pPr>
              <w:spacing w:before="40"/>
              <w:rPr>
                <w:bCs/>
                <w:sz w:val="19"/>
                <w:szCs w:val="19"/>
                <w:lang w:val="en-GB"/>
              </w:rPr>
            </w:pPr>
            <w:r w:rsidRPr="005D3DD5">
              <w:rPr>
                <w:bCs/>
                <w:sz w:val="19"/>
                <w:szCs w:val="19"/>
                <w:lang w:val="en-GB"/>
              </w:rPr>
              <w:t>1.3.2: Seven (7) amended MPA management plans</w:t>
            </w:r>
          </w:p>
        </w:tc>
        <w:tc>
          <w:tcPr>
            <w:tcW w:w="1884" w:type="dxa"/>
            <w:vAlign w:val="center"/>
          </w:tcPr>
          <w:p w14:paraId="02204F59" w14:textId="77777777" w:rsidR="005D3DD5" w:rsidRPr="005D3DD5" w:rsidRDefault="005D3DD5" w:rsidP="005D3DD5">
            <w:pPr>
              <w:spacing w:before="40"/>
              <w:rPr>
                <w:bCs/>
                <w:sz w:val="19"/>
                <w:szCs w:val="19"/>
                <w:lang w:val="en-GB"/>
              </w:rPr>
            </w:pPr>
            <w:r w:rsidRPr="005D3DD5">
              <w:rPr>
                <w:bCs/>
                <w:sz w:val="19"/>
                <w:szCs w:val="19"/>
                <w:lang w:val="en-GB"/>
              </w:rPr>
              <w:t>Number of MPA management plans containing seagrass-related management actions</w:t>
            </w:r>
          </w:p>
        </w:tc>
        <w:tc>
          <w:tcPr>
            <w:tcW w:w="1884" w:type="dxa"/>
            <w:vAlign w:val="center"/>
          </w:tcPr>
          <w:p w14:paraId="2C90CA4C" w14:textId="77777777" w:rsidR="005D3DD5" w:rsidRPr="005D3DD5" w:rsidRDefault="005D3DD5" w:rsidP="005D3DD5">
            <w:pPr>
              <w:spacing w:before="40"/>
              <w:rPr>
                <w:sz w:val="19"/>
                <w:szCs w:val="19"/>
                <w:lang w:val="en-GB"/>
              </w:rPr>
            </w:pPr>
            <w:r w:rsidRPr="005D3DD5">
              <w:rPr>
                <w:sz w:val="19"/>
                <w:szCs w:val="19"/>
                <w:lang w:val="en-GB"/>
              </w:rPr>
              <w:t>Sustainable use and management of seagrass and related resources is rarely addressed in management plans for MPAs in the SCS</w:t>
            </w:r>
          </w:p>
        </w:tc>
        <w:tc>
          <w:tcPr>
            <w:tcW w:w="1884" w:type="dxa"/>
            <w:vAlign w:val="center"/>
          </w:tcPr>
          <w:p w14:paraId="49AD8B98" w14:textId="77777777" w:rsidR="005D3DD5" w:rsidRPr="005D3DD5" w:rsidRDefault="005D3DD5" w:rsidP="005D3DD5">
            <w:pPr>
              <w:rPr>
                <w:sz w:val="19"/>
                <w:szCs w:val="19"/>
                <w:lang w:val="en-GB"/>
              </w:rPr>
            </w:pPr>
            <w:r w:rsidRPr="005D3DD5">
              <w:rPr>
                <w:sz w:val="19"/>
                <w:szCs w:val="19"/>
                <w:lang w:val="en-GB"/>
              </w:rPr>
              <w:t>Procedure for identifying priority MPA sites for seagrass management action developed and applied</w:t>
            </w:r>
          </w:p>
        </w:tc>
        <w:tc>
          <w:tcPr>
            <w:tcW w:w="1884" w:type="dxa"/>
            <w:vAlign w:val="center"/>
          </w:tcPr>
          <w:p w14:paraId="21D129BA" w14:textId="77777777" w:rsidR="005D3DD5" w:rsidRPr="005D3DD5" w:rsidRDefault="005D3DD5" w:rsidP="005D3DD5">
            <w:pPr>
              <w:spacing w:before="40"/>
              <w:rPr>
                <w:sz w:val="19"/>
                <w:szCs w:val="19"/>
                <w:lang w:val="en-GB"/>
              </w:rPr>
            </w:pPr>
            <w:r w:rsidRPr="005D3DD5">
              <w:rPr>
                <w:sz w:val="19"/>
                <w:szCs w:val="19"/>
                <w:lang w:val="en-GB"/>
              </w:rPr>
              <w:t>Amended management plans for 7 existing MPAs with significant seagrass areas, to include specific seagrass-related management actions</w:t>
            </w:r>
          </w:p>
        </w:tc>
      </w:tr>
      <w:tr w:rsidR="005D3DD5" w:rsidRPr="005D3DD5" w14:paraId="77A44174" w14:textId="77777777" w:rsidTr="005D3DD5">
        <w:trPr>
          <w:trHeight w:val="1080"/>
          <w:jc w:val="center"/>
        </w:trPr>
        <w:tc>
          <w:tcPr>
            <w:tcW w:w="1884" w:type="dxa"/>
            <w:vAlign w:val="center"/>
          </w:tcPr>
          <w:p w14:paraId="0F5E278D" w14:textId="77777777" w:rsidR="005D3DD5" w:rsidRPr="005D3DD5" w:rsidRDefault="005D3DD5" w:rsidP="005D3DD5">
            <w:pPr>
              <w:spacing w:before="40"/>
              <w:rPr>
                <w:bCs/>
                <w:sz w:val="19"/>
                <w:szCs w:val="19"/>
                <w:lang w:val="en-GB"/>
              </w:rPr>
            </w:pPr>
            <w:r w:rsidRPr="005D3DD5">
              <w:rPr>
                <w:bCs/>
                <w:sz w:val="19"/>
                <w:szCs w:val="19"/>
                <w:lang w:val="en-GB"/>
              </w:rPr>
              <w:t>1.3.3: Official proclamations, executive orders, and ordinances establishing MPAs for seven (7) significant seagrass sites</w:t>
            </w:r>
          </w:p>
        </w:tc>
        <w:tc>
          <w:tcPr>
            <w:tcW w:w="1884" w:type="dxa"/>
            <w:vAlign w:val="center"/>
          </w:tcPr>
          <w:p w14:paraId="2A1FFE34" w14:textId="77777777" w:rsidR="005D3DD5" w:rsidRPr="005D3DD5" w:rsidRDefault="005D3DD5" w:rsidP="005D3DD5">
            <w:pPr>
              <w:spacing w:before="40"/>
              <w:rPr>
                <w:bCs/>
                <w:sz w:val="19"/>
                <w:szCs w:val="19"/>
                <w:lang w:val="en-GB"/>
              </w:rPr>
            </w:pPr>
            <w:r w:rsidRPr="005D3DD5">
              <w:rPr>
                <w:bCs/>
                <w:sz w:val="19"/>
                <w:szCs w:val="19"/>
                <w:lang w:val="en-GB"/>
              </w:rPr>
              <w:t>Number of newly established MPAs focused on seagrass management</w:t>
            </w:r>
          </w:p>
        </w:tc>
        <w:tc>
          <w:tcPr>
            <w:tcW w:w="1884" w:type="dxa"/>
            <w:vAlign w:val="center"/>
          </w:tcPr>
          <w:p w14:paraId="2867CA4A" w14:textId="77777777" w:rsidR="005D3DD5" w:rsidRPr="005D3DD5" w:rsidRDefault="005D3DD5" w:rsidP="005D3DD5">
            <w:pPr>
              <w:spacing w:before="40"/>
              <w:rPr>
                <w:sz w:val="19"/>
                <w:szCs w:val="19"/>
                <w:lang w:val="en-GB"/>
              </w:rPr>
            </w:pPr>
            <w:r w:rsidRPr="005D3DD5">
              <w:rPr>
                <w:sz w:val="19"/>
                <w:szCs w:val="19"/>
                <w:lang w:val="en-GB"/>
              </w:rPr>
              <w:t>MPA management in SCS predominantly focuses on strict protection of coral reef areas</w:t>
            </w:r>
          </w:p>
        </w:tc>
        <w:tc>
          <w:tcPr>
            <w:tcW w:w="1884" w:type="dxa"/>
            <w:vAlign w:val="center"/>
          </w:tcPr>
          <w:p w14:paraId="30C8319B" w14:textId="77777777" w:rsidR="005D3DD5" w:rsidRPr="005D3DD5" w:rsidRDefault="005D3DD5" w:rsidP="005D3DD5">
            <w:pPr>
              <w:rPr>
                <w:sz w:val="19"/>
                <w:szCs w:val="19"/>
                <w:lang w:val="en-GB"/>
              </w:rPr>
            </w:pPr>
            <w:r w:rsidRPr="005D3DD5">
              <w:rPr>
                <w:sz w:val="19"/>
                <w:szCs w:val="19"/>
                <w:lang w:val="en-GB"/>
              </w:rPr>
              <w:t>Procedure for identification of priority seagrass sites for designation as MPAs developed and applied</w:t>
            </w:r>
          </w:p>
        </w:tc>
        <w:tc>
          <w:tcPr>
            <w:tcW w:w="1884" w:type="dxa"/>
            <w:vAlign w:val="center"/>
          </w:tcPr>
          <w:p w14:paraId="0B23CE0B" w14:textId="77777777" w:rsidR="005D3DD5" w:rsidRPr="005D3DD5" w:rsidRDefault="005D3DD5" w:rsidP="005D3DD5">
            <w:pPr>
              <w:spacing w:before="40"/>
              <w:rPr>
                <w:sz w:val="19"/>
                <w:szCs w:val="19"/>
                <w:lang w:val="en-GB"/>
              </w:rPr>
            </w:pPr>
            <w:r w:rsidRPr="005D3DD5">
              <w:rPr>
                <w:sz w:val="19"/>
                <w:szCs w:val="19"/>
                <w:lang w:val="en-GB"/>
              </w:rPr>
              <w:t>Designation of 7 new Marine Protected Areas focusing on seagrass areas</w:t>
            </w:r>
          </w:p>
        </w:tc>
      </w:tr>
      <w:tr w:rsidR="005D3DD5" w:rsidRPr="005D3DD5" w14:paraId="4B4D1F26" w14:textId="77777777" w:rsidTr="005D3DD5">
        <w:trPr>
          <w:trHeight w:val="377"/>
          <w:jc w:val="center"/>
        </w:trPr>
        <w:tc>
          <w:tcPr>
            <w:tcW w:w="1884" w:type="dxa"/>
            <w:vAlign w:val="center"/>
          </w:tcPr>
          <w:p w14:paraId="736FE796" w14:textId="77777777" w:rsidR="005D3DD5" w:rsidRPr="005D3DD5" w:rsidRDefault="005D3DD5" w:rsidP="005D3DD5">
            <w:pPr>
              <w:spacing w:before="40"/>
              <w:rPr>
                <w:bCs/>
                <w:sz w:val="19"/>
                <w:szCs w:val="19"/>
                <w:lang w:val="en-GB"/>
              </w:rPr>
            </w:pPr>
            <w:r w:rsidRPr="005D3DD5">
              <w:rPr>
                <w:bCs/>
                <w:sz w:val="19"/>
                <w:szCs w:val="19"/>
                <w:lang w:val="en-GB"/>
              </w:rPr>
              <w:t>1.3.4: Annual results reports on seagrass management at priority sites</w:t>
            </w:r>
          </w:p>
        </w:tc>
        <w:tc>
          <w:tcPr>
            <w:tcW w:w="1884" w:type="dxa"/>
            <w:vAlign w:val="center"/>
          </w:tcPr>
          <w:p w14:paraId="27146DCA" w14:textId="77777777" w:rsidR="005D3DD5" w:rsidRPr="005D3DD5" w:rsidRDefault="005D3DD5" w:rsidP="005D3DD5">
            <w:pPr>
              <w:spacing w:before="40"/>
              <w:rPr>
                <w:bCs/>
                <w:sz w:val="19"/>
                <w:szCs w:val="19"/>
                <w:lang w:val="en-GB"/>
              </w:rPr>
            </w:pPr>
            <w:r w:rsidRPr="005D3DD5">
              <w:rPr>
                <w:bCs/>
                <w:sz w:val="19"/>
                <w:szCs w:val="19"/>
                <w:lang w:val="en-GB"/>
              </w:rPr>
              <w:t>Status of mechanism established for monitoring seagrass management effectiveness and stress reduction</w:t>
            </w:r>
          </w:p>
        </w:tc>
        <w:tc>
          <w:tcPr>
            <w:tcW w:w="1884" w:type="dxa"/>
            <w:vAlign w:val="center"/>
          </w:tcPr>
          <w:p w14:paraId="55C4A171" w14:textId="77777777" w:rsidR="005D3DD5" w:rsidRPr="005D3DD5" w:rsidRDefault="005D3DD5" w:rsidP="005D3DD5">
            <w:pPr>
              <w:spacing w:before="40"/>
              <w:rPr>
                <w:sz w:val="19"/>
                <w:szCs w:val="19"/>
                <w:lang w:val="en-GB"/>
              </w:rPr>
            </w:pPr>
            <w:r w:rsidRPr="005D3DD5">
              <w:rPr>
                <w:sz w:val="19"/>
                <w:szCs w:val="19"/>
                <w:lang w:val="en-GB"/>
              </w:rPr>
              <w:t>Management, ecological and environmental, and socio-economic indicator frameworks developed but not yet applied at priority sites</w:t>
            </w:r>
          </w:p>
        </w:tc>
        <w:tc>
          <w:tcPr>
            <w:tcW w:w="1884" w:type="dxa"/>
            <w:vAlign w:val="center"/>
          </w:tcPr>
          <w:p w14:paraId="73725BB1" w14:textId="77777777" w:rsidR="005D3DD5" w:rsidRPr="005D3DD5" w:rsidRDefault="005D3DD5" w:rsidP="005D3DD5">
            <w:pPr>
              <w:rPr>
                <w:sz w:val="19"/>
                <w:szCs w:val="19"/>
                <w:lang w:val="en-GB"/>
              </w:rPr>
            </w:pPr>
            <w:r w:rsidRPr="005D3DD5">
              <w:rPr>
                <w:sz w:val="19"/>
                <w:szCs w:val="19"/>
                <w:lang w:val="en-GB"/>
              </w:rPr>
              <w:t>Indicator sets agreed and capacity needs of national scientists to compile regionally comparable data identified</w:t>
            </w:r>
          </w:p>
        </w:tc>
        <w:tc>
          <w:tcPr>
            <w:tcW w:w="1884" w:type="dxa"/>
            <w:vAlign w:val="center"/>
          </w:tcPr>
          <w:p w14:paraId="053487DF" w14:textId="77777777" w:rsidR="005D3DD5" w:rsidRPr="005D3DD5" w:rsidRDefault="005D3DD5" w:rsidP="005D3DD5">
            <w:pPr>
              <w:spacing w:before="40"/>
              <w:rPr>
                <w:sz w:val="19"/>
                <w:szCs w:val="19"/>
                <w:lang w:val="en-GB"/>
              </w:rPr>
            </w:pPr>
            <w:r w:rsidRPr="005D3DD5">
              <w:rPr>
                <w:sz w:val="19"/>
                <w:szCs w:val="19"/>
                <w:lang w:val="en-GB"/>
              </w:rPr>
              <w:t>Established mechanism for monitoring management, ecological and socio-economic indicators at 21 sites</w:t>
            </w:r>
          </w:p>
        </w:tc>
      </w:tr>
      <w:tr w:rsidR="005D3DD5" w:rsidRPr="005D3DD5" w14:paraId="6059541B" w14:textId="77777777" w:rsidTr="005D3DD5">
        <w:trPr>
          <w:trHeight w:val="647"/>
          <w:jc w:val="center"/>
        </w:trPr>
        <w:tc>
          <w:tcPr>
            <w:tcW w:w="9420" w:type="dxa"/>
            <w:gridSpan w:val="5"/>
            <w:shd w:val="clear" w:color="auto" w:fill="F2F2F2"/>
            <w:vAlign w:val="center"/>
          </w:tcPr>
          <w:p w14:paraId="68B0C3ED" w14:textId="77777777" w:rsidR="005D3DD5" w:rsidRPr="005D3DD5" w:rsidRDefault="005D3DD5" w:rsidP="005D3DD5">
            <w:pPr>
              <w:spacing w:before="40"/>
              <w:jc w:val="center"/>
              <w:rPr>
                <w:b/>
                <w:sz w:val="19"/>
                <w:szCs w:val="19"/>
                <w:lang w:val="en-GB"/>
              </w:rPr>
            </w:pPr>
            <w:r w:rsidRPr="005D3DD5">
              <w:rPr>
                <w:b/>
                <w:sz w:val="19"/>
                <w:szCs w:val="19"/>
                <w:lang w:val="en-GB"/>
              </w:rPr>
              <w:t>1.4 Integrated management of 783,900 ha of coastal wetland at 19 sites, including habitat restoration and protection strengthened at priority locations</w:t>
            </w:r>
          </w:p>
        </w:tc>
      </w:tr>
      <w:tr w:rsidR="005D3DD5" w:rsidRPr="005D3DD5" w14:paraId="6097F3A2" w14:textId="77777777" w:rsidTr="005D3DD5">
        <w:trPr>
          <w:trHeight w:val="1080"/>
          <w:jc w:val="center"/>
        </w:trPr>
        <w:tc>
          <w:tcPr>
            <w:tcW w:w="1884" w:type="dxa"/>
            <w:vAlign w:val="center"/>
          </w:tcPr>
          <w:p w14:paraId="5DFC770F" w14:textId="77777777" w:rsidR="005D3DD5" w:rsidRPr="005D3DD5" w:rsidRDefault="005D3DD5" w:rsidP="005D3DD5">
            <w:pPr>
              <w:spacing w:before="40"/>
              <w:rPr>
                <w:bCs/>
                <w:sz w:val="19"/>
                <w:szCs w:val="19"/>
                <w:lang w:val="en-GB"/>
              </w:rPr>
            </w:pPr>
            <w:r w:rsidRPr="005D3DD5">
              <w:rPr>
                <w:bCs/>
                <w:sz w:val="19"/>
                <w:szCs w:val="19"/>
                <w:lang w:val="en-GB"/>
              </w:rPr>
              <w:t>1.4.1(a): Adopted integrated management plans</w:t>
            </w:r>
          </w:p>
          <w:p w14:paraId="39705FD4" w14:textId="77777777" w:rsidR="005D3DD5" w:rsidRPr="005D3DD5" w:rsidRDefault="005D3DD5" w:rsidP="005D3DD5">
            <w:pPr>
              <w:spacing w:before="40"/>
              <w:rPr>
                <w:bCs/>
                <w:sz w:val="19"/>
                <w:szCs w:val="19"/>
                <w:lang w:val="en-GB"/>
              </w:rPr>
            </w:pPr>
            <w:r w:rsidRPr="005D3DD5">
              <w:rPr>
                <w:bCs/>
                <w:sz w:val="19"/>
                <w:szCs w:val="19"/>
                <w:lang w:val="en-GB"/>
              </w:rPr>
              <w:t>1.4.1(b) Annual implementation reports, including results of environmental stress reduction initiatives</w:t>
            </w:r>
          </w:p>
        </w:tc>
        <w:tc>
          <w:tcPr>
            <w:tcW w:w="1884" w:type="dxa"/>
            <w:vAlign w:val="center"/>
          </w:tcPr>
          <w:p w14:paraId="271918A4" w14:textId="77777777" w:rsidR="005D3DD5" w:rsidRPr="005D3DD5" w:rsidRDefault="005D3DD5" w:rsidP="005D3DD5">
            <w:pPr>
              <w:spacing w:before="40"/>
              <w:rPr>
                <w:bCs/>
                <w:sz w:val="19"/>
                <w:szCs w:val="19"/>
                <w:lang w:val="en-GB"/>
              </w:rPr>
            </w:pPr>
            <w:r w:rsidRPr="005D3DD5">
              <w:rPr>
                <w:bCs/>
                <w:sz w:val="19"/>
                <w:szCs w:val="19"/>
                <w:lang w:val="en-GB"/>
              </w:rPr>
              <w:t xml:space="preserve">Number of integrated management plans developed </w:t>
            </w:r>
          </w:p>
          <w:p w14:paraId="08D31024" w14:textId="77777777" w:rsidR="005D3DD5" w:rsidRPr="005D3DD5" w:rsidRDefault="005D3DD5" w:rsidP="005D3DD5">
            <w:pPr>
              <w:spacing w:before="40"/>
              <w:rPr>
                <w:bCs/>
                <w:sz w:val="19"/>
                <w:szCs w:val="19"/>
                <w:lang w:val="en-GB"/>
              </w:rPr>
            </w:pPr>
          </w:p>
          <w:p w14:paraId="241EF046" w14:textId="77777777" w:rsidR="005D3DD5" w:rsidRPr="005D3DD5" w:rsidRDefault="005D3DD5" w:rsidP="005D3DD5">
            <w:pPr>
              <w:spacing w:before="40"/>
              <w:rPr>
                <w:bCs/>
                <w:sz w:val="19"/>
                <w:szCs w:val="19"/>
                <w:lang w:val="en-GB"/>
              </w:rPr>
            </w:pPr>
            <w:r w:rsidRPr="005D3DD5">
              <w:rPr>
                <w:bCs/>
                <w:sz w:val="19"/>
                <w:szCs w:val="19"/>
                <w:lang w:val="en-GB"/>
              </w:rPr>
              <w:t>Total area (ha) of wetland under management plan for sustainable use</w:t>
            </w:r>
          </w:p>
        </w:tc>
        <w:tc>
          <w:tcPr>
            <w:tcW w:w="1884" w:type="dxa"/>
            <w:vAlign w:val="center"/>
          </w:tcPr>
          <w:p w14:paraId="51F473F0" w14:textId="77777777" w:rsidR="005D3DD5" w:rsidRPr="005D3DD5" w:rsidRDefault="005D3DD5" w:rsidP="005D3DD5">
            <w:pPr>
              <w:spacing w:before="40"/>
              <w:rPr>
                <w:sz w:val="19"/>
                <w:szCs w:val="19"/>
                <w:lang w:val="en-GB"/>
              </w:rPr>
            </w:pPr>
            <w:r w:rsidRPr="005D3DD5">
              <w:rPr>
                <w:sz w:val="19"/>
                <w:szCs w:val="19"/>
                <w:lang w:val="en-GB"/>
              </w:rPr>
              <w:t>Population growth, and urbanisation of the coastal fringe, combined with rapid economic growth in the SCS region places tremendous pressure on coastal wetland ecosystems</w:t>
            </w:r>
          </w:p>
        </w:tc>
        <w:tc>
          <w:tcPr>
            <w:tcW w:w="1884" w:type="dxa"/>
            <w:vAlign w:val="center"/>
          </w:tcPr>
          <w:p w14:paraId="2A10951B" w14:textId="77777777" w:rsidR="005D3DD5" w:rsidRPr="005D3DD5" w:rsidRDefault="005D3DD5" w:rsidP="005D3DD5">
            <w:pPr>
              <w:rPr>
                <w:sz w:val="19"/>
                <w:szCs w:val="19"/>
                <w:lang w:val="en-GB"/>
              </w:rPr>
            </w:pPr>
            <w:r w:rsidRPr="005D3DD5">
              <w:rPr>
                <w:sz w:val="19"/>
                <w:szCs w:val="19"/>
                <w:lang w:val="en-GB"/>
              </w:rPr>
              <w:t>Consultative processes at each location completed to ensure adequate local cooperation to agree boundaries and compile and analyse information to identify threats and agree management actions</w:t>
            </w:r>
          </w:p>
        </w:tc>
        <w:tc>
          <w:tcPr>
            <w:tcW w:w="1884" w:type="dxa"/>
            <w:vAlign w:val="center"/>
          </w:tcPr>
          <w:p w14:paraId="5934FB42" w14:textId="77777777" w:rsidR="005D3DD5" w:rsidRPr="005D3DD5" w:rsidRDefault="005D3DD5" w:rsidP="005D3DD5">
            <w:pPr>
              <w:spacing w:before="40"/>
              <w:rPr>
                <w:sz w:val="19"/>
                <w:szCs w:val="19"/>
                <w:lang w:val="en-GB"/>
              </w:rPr>
            </w:pPr>
            <w:r w:rsidRPr="005D3DD5">
              <w:rPr>
                <w:sz w:val="19"/>
                <w:szCs w:val="19"/>
                <w:lang w:val="en-GB"/>
              </w:rPr>
              <w:t>Integrated management plans developed and under implementation for at least 3 lagoons (26,818 ha), 9 estuaries (614,680 ha), 5 tidal flats (96,903 ha), 1 peat swamp (45,700 ha) and 1 non-peat swamp (9,808 ha)</w:t>
            </w:r>
          </w:p>
        </w:tc>
      </w:tr>
      <w:tr w:rsidR="005D3DD5" w:rsidRPr="005D3DD5" w14:paraId="600846B6" w14:textId="77777777" w:rsidTr="005D3DD5">
        <w:trPr>
          <w:trHeight w:val="1080"/>
          <w:jc w:val="center"/>
        </w:trPr>
        <w:tc>
          <w:tcPr>
            <w:tcW w:w="1884" w:type="dxa"/>
            <w:vAlign w:val="center"/>
          </w:tcPr>
          <w:p w14:paraId="406A73D4" w14:textId="77777777" w:rsidR="005D3DD5" w:rsidRPr="005D3DD5" w:rsidRDefault="005D3DD5" w:rsidP="005D3DD5">
            <w:pPr>
              <w:spacing w:before="40"/>
              <w:rPr>
                <w:bCs/>
                <w:sz w:val="19"/>
                <w:szCs w:val="19"/>
                <w:lang w:val="en-GB"/>
              </w:rPr>
            </w:pPr>
            <w:r w:rsidRPr="005D3DD5">
              <w:rPr>
                <w:bCs/>
                <w:sz w:val="19"/>
                <w:szCs w:val="19"/>
                <w:lang w:val="en-GB"/>
              </w:rPr>
              <w:t>1.4.2: Official proclamations, executive orders, and ordinances establishing protection status for wetland sites</w:t>
            </w:r>
          </w:p>
        </w:tc>
        <w:tc>
          <w:tcPr>
            <w:tcW w:w="1884" w:type="dxa"/>
            <w:vAlign w:val="center"/>
          </w:tcPr>
          <w:p w14:paraId="4EEA6E05" w14:textId="77777777" w:rsidR="005D3DD5" w:rsidRPr="005D3DD5" w:rsidRDefault="005D3DD5" w:rsidP="005D3DD5">
            <w:pPr>
              <w:spacing w:before="40"/>
              <w:rPr>
                <w:bCs/>
                <w:sz w:val="19"/>
                <w:szCs w:val="19"/>
                <w:lang w:val="en-GB"/>
              </w:rPr>
            </w:pPr>
            <w:r w:rsidRPr="005D3DD5">
              <w:rPr>
                <w:bCs/>
                <w:sz w:val="19"/>
                <w:szCs w:val="19"/>
                <w:lang w:val="en-GB"/>
              </w:rPr>
              <w:t>Number of wetlands sites assigned protection status</w:t>
            </w:r>
          </w:p>
        </w:tc>
        <w:tc>
          <w:tcPr>
            <w:tcW w:w="1884" w:type="dxa"/>
            <w:vAlign w:val="center"/>
          </w:tcPr>
          <w:p w14:paraId="128BA623" w14:textId="77777777" w:rsidR="005D3DD5" w:rsidRPr="005D3DD5" w:rsidRDefault="005D3DD5" w:rsidP="005D3DD5">
            <w:pPr>
              <w:spacing w:before="40"/>
              <w:rPr>
                <w:sz w:val="19"/>
                <w:szCs w:val="19"/>
                <w:lang w:val="en-GB"/>
              </w:rPr>
            </w:pPr>
            <w:r w:rsidRPr="005D3DD5">
              <w:rPr>
                <w:sz w:val="19"/>
                <w:szCs w:val="19"/>
                <w:lang w:val="en-GB"/>
              </w:rPr>
              <w:t>The riparian states of SCS face significant pressure to convert wetlands for economic development with little focus on conservation or sustainable use</w:t>
            </w:r>
          </w:p>
        </w:tc>
        <w:tc>
          <w:tcPr>
            <w:tcW w:w="1884" w:type="dxa"/>
            <w:vAlign w:val="center"/>
          </w:tcPr>
          <w:p w14:paraId="12714AE9" w14:textId="77777777" w:rsidR="005D3DD5" w:rsidRPr="005D3DD5" w:rsidRDefault="005D3DD5" w:rsidP="005D3DD5">
            <w:pPr>
              <w:rPr>
                <w:sz w:val="19"/>
                <w:szCs w:val="19"/>
                <w:lang w:val="en-GB"/>
              </w:rPr>
            </w:pPr>
            <w:r w:rsidRPr="005D3DD5">
              <w:rPr>
                <w:sz w:val="19"/>
                <w:szCs w:val="19"/>
                <w:lang w:val="en-GB"/>
              </w:rPr>
              <w:t>Consultative processes at each location completed to ensure adequate local cooperation to agree on designation and rules and regulations pertaining to protection</w:t>
            </w:r>
          </w:p>
        </w:tc>
        <w:tc>
          <w:tcPr>
            <w:tcW w:w="1884" w:type="dxa"/>
            <w:vAlign w:val="center"/>
          </w:tcPr>
          <w:p w14:paraId="1F5376FB" w14:textId="77777777" w:rsidR="005D3DD5" w:rsidRPr="005D3DD5" w:rsidRDefault="005D3DD5" w:rsidP="005D3DD5">
            <w:pPr>
              <w:spacing w:before="40"/>
              <w:rPr>
                <w:sz w:val="19"/>
                <w:szCs w:val="19"/>
                <w:lang w:val="en-GB"/>
              </w:rPr>
            </w:pPr>
            <w:r w:rsidRPr="005D3DD5">
              <w:rPr>
                <w:sz w:val="19"/>
                <w:szCs w:val="19"/>
                <w:lang w:val="en-GB"/>
              </w:rPr>
              <w:t>Declaration of at least 7 wetland areas with protection status (i.e. non-hunting area, nature reserves, protected areas, Ramsar Sites)</w:t>
            </w:r>
          </w:p>
        </w:tc>
      </w:tr>
      <w:tr w:rsidR="005D3DD5" w:rsidRPr="005D3DD5" w14:paraId="715AD854" w14:textId="77777777" w:rsidTr="005D3DD5">
        <w:trPr>
          <w:trHeight w:val="1080"/>
          <w:jc w:val="center"/>
        </w:trPr>
        <w:tc>
          <w:tcPr>
            <w:tcW w:w="1884" w:type="dxa"/>
            <w:vAlign w:val="center"/>
          </w:tcPr>
          <w:p w14:paraId="388D918E" w14:textId="77777777" w:rsidR="005D3DD5" w:rsidRPr="005D3DD5" w:rsidRDefault="005D3DD5" w:rsidP="005D3DD5">
            <w:pPr>
              <w:spacing w:before="40"/>
              <w:rPr>
                <w:bCs/>
                <w:sz w:val="19"/>
                <w:szCs w:val="19"/>
                <w:lang w:val="en-GB"/>
              </w:rPr>
            </w:pPr>
            <w:r w:rsidRPr="005D3DD5">
              <w:rPr>
                <w:bCs/>
                <w:sz w:val="19"/>
                <w:szCs w:val="19"/>
                <w:lang w:val="en-GB"/>
              </w:rPr>
              <w:t>1.4.3: Annual results reports on wetland management at priority sites</w:t>
            </w:r>
          </w:p>
        </w:tc>
        <w:tc>
          <w:tcPr>
            <w:tcW w:w="1884" w:type="dxa"/>
            <w:vAlign w:val="center"/>
          </w:tcPr>
          <w:p w14:paraId="2A15BB78" w14:textId="77777777" w:rsidR="005D3DD5" w:rsidRPr="005D3DD5" w:rsidRDefault="005D3DD5" w:rsidP="005D3DD5">
            <w:pPr>
              <w:spacing w:before="40"/>
              <w:rPr>
                <w:bCs/>
                <w:sz w:val="19"/>
                <w:szCs w:val="19"/>
                <w:lang w:val="en-GB"/>
              </w:rPr>
            </w:pPr>
            <w:r w:rsidRPr="005D3DD5">
              <w:rPr>
                <w:bCs/>
                <w:sz w:val="19"/>
                <w:szCs w:val="19"/>
                <w:lang w:val="en-GB"/>
              </w:rPr>
              <w:t>Status of mechanism established for monitoring wetland management effectiveness and stress reduction</w:t>
            </w:r>
          </w:p>
        </w:tc>
        <w:tc>
          <w:tcPr>
            <w:tcW w:w="1884" w:type="dxa"/>
            <w:vAlign w:val="center"/>
          </w:tcPr>
          <w:p w14:paraId="1EC5BDFE" w14:textId="77777777" w:rsidR="005D3DD5" w:rsidRPr="005D3DD5" w:rsidRDefault="005D3DD5" w:rsidP="005D3DD5">
            <w:pPr>
              <w:spacing w:before="40"/>
              <w:rPr>
                <w:sz w:val="19"/>
                <w:szCs w:val="19"/>
                <w:lang w:val="en-GB"/>
              </w:rPr>
            </w:pPr>
            <w:r w:rsidRPr="005D3DD5">
              <w:rPr>
                <w:sz w:val="19"/>
                <w:szCs w:val="19"/>
                <w:lang w:val="en-GB"/>
              </w:rPr>
              <w:t>Management, ecological and environmental, and socio-economic indicator frameworks developed but not yet applied at priority sites</w:t>
            </w:r>
          </w:p>
        </w:tc>
        <w:tc>
          <w:tcPr>
            <w:tcW w:w="1884" w:type="dxa"/>
            <w:vAlign w:val="center"/>
          </w:tcPr>
          <w:p w14:paraId="2316731F" w14:textId="77777777" w:rsidR="005D3DD5" w:rsidRPr="005D3DD5" w:rsidRDefault="005D3DD5" w:rsidP="005D3DD5">
            <w:pPr>
              <w:rPr>
                <w:sz w:val="19"/>
                <w:szCs w:val="19"/>
                <w:lang w:val="en-GB"/>
              </w:rPr>
            </w:pPr>
            <w:r w:rsidRPr="005D3DD5">
              <w:rPr>
                <w:sz w:val="19"/>
                <w:szCs w:val="19"/>
                <w:lang w:val="en-GB"/>
              </w:rPr>
              <w:t>Indicator sets agreed and capacity needs of national scientists to compile regionally comparable data identified</w:t>
            </w:r>
          </w:p>
        </w:tc>
        <w:tc>
          <w:tcPr>
            <w:tcW w:w="1884" w:type="dxa"/>
            <w:vAlign w:val="center"/>
          </w:tcPr>
          <w:p w14:paraId="2F4B286E" w14:textId="77777777" w:rsidR="005D3DD5" w:rsidRPr="005D3DD5" w:rsidRDefault="005D3DD5" w:rsidP="005D3DD5">
            <w:pPr>
              <w:spacing w:before="40"/>
              <w:rPr>
                <w:sz w:val="19"/>
                <w:szCs w:val="19"/>
                <w:lang w:val="en-GB"/>
              </w:rPr>
            </w:pPr>
            <w:r w:rsidRPr="005D3DD5">
              <w:rPr>
                <w:sz w:val="19"/>
                <w:szCs w:val="19"/>
                <w:lang w:val="en-GB"/>
              </w:rPr>
              <w:t>Adoption of a regional estuary monitoring scheme and its national implementation</w:t>
            </w:r>
          </w:p>
        </w:tc>
      </w:tr>
      <w:tr w:rsidR="005D3DD5" w:rsidRPr="005D3DD5" w14:paraId="76CBD9E2" w14:textId="77777777" w:rsidTr="005D3DD5">
        <w:trPr>
          <w:trHeight w:val="503"/>
          <w:jc w:val="center"/>
        </w:trPr>
        <w:tc>
          <w:tcPr>
            <w:tcW w:w="9420" w:type="dxa"/>
            <w:gridSpan w:val="5"/>
            <w:shd w:val="clear" w:color="auto" w:fill="F2F2F2"/>
            <w:vAlign w:val="center"/>
          </w:tcPr>
          <w:p w14:paraId="4529FC96" w14:textId="77777777" w:rsidR="005D3DD5" w:rsidRPr="005D3DD5" w:rsidRDefault="005D3DD5" w:rsidP="005D3DD5">
            <w:pPr>
              <w:spacing w:before="40"/>
              <w:jc w:val="center"/>
              <w:rPr>
                <w:b/>
                <w:sz w:val="19"/>
                <w:szCs w:val="19"/>
                <w:lang w:val="en-GB"/>
              </w:rPr>
            </w:pPr>
            <w:r w:rsidRPr="005D3DD5">
              <w:rPr>
                <w:b/>
                <w:sz w:val="19"/>
                <w:szCs w:val="19"/>
                <w:lang w:val="en-GB"/>
              </w:rPr>
              <w:t>1.5 National and regional level cooperation in tracking results of SAP actions for coastal habitat management</w:t>
            </w:r>
          </w:p>
        </w:tc>
      </w:tr>
      <w:tr w:rsidR="005D3DD5" w:rsidRPr="005D3DD5" w14:paraId="131FB7FF" w14:textId="77777777" w:rsidTr="005D3DD5">
        <w:trPr>
          <w:trHeight w:val="1080"/>
          <w:jc w:val="center"/>
        </w:trPr>
        <w:tc>
          <w:tcPr>
            <w:tcW w:w="1884" w:type="dxa"/>
            <w:vAlign w:val="center"/>
          </w:tcPr>
          <w:p w14:paraId="0572B9AD" w14:textId="77777777" w:rsidR="005D3DD5" w:rsidRPr="005D3DD5" w:rsidRDefault="005D3DD5" w:rsidP="005D3DD5">
            <w:pPr>
              <w:spacing w:before="40"/>
              <w:rPr>
                <w:bCs/>
                <w:sz w:val="19"/>
                <w:szCs w:val="19"/>
                <w:lang w:val="en-GB"/>
              </w:rPr>
            </w:pPr>
            <w:r w:rsidRPr="005D3DD5">
              <w:rPr>
                <w:bCs/>
                <w:sz w:val="19"/>
                <w:szCs w:val="19"/>
                <w:lang w:val="en-GB"/>
              </w:rPr>
              <w:t>1.5.1: Meeting reports of periodic national habitat committees and regional working groups</w:t>
            </w:r>
          </w:p>
        </w:tc>
        <w:tc>
          <w:tcPr>
            <w:tcW w:w="1884" w:type="dxa"/>
            <w:vAlign w:val="center"/>
          </w:tcPr>
          <w:p w14:paraId="1D49DE04" w14:textId="77777777" w:rsidR="005D3DD5" w:rsidRPr="005D3DD5" w:rsidRDefault="005D3DD5" w:rsidP="005D3DD5">
            <w:pPr>
              <w:spacing w:before="40"/>
              <w:rPr>
                <w:bCs/>
                <w:sz w:val="19"/>
                <w:szCs w:val="19"/>
                <w:lang w:val="en-GB"/>
              </w:rPr>
            </w:pPr>
            <w:r w:rsidRPr="005D3DD5">
              <w:rPr>
                <w:bCs/>
                <w:sz w:val="19"/>
                <w:szCs w:val="19"/>
                <w:lang w:val="en-GB"/>
              </w:rPr>
              <w:t>Extent and continuity of participation in regional fora for coastal habitat management</w:t>
            </w:r>
          </w:p>
          <w:p w14:paraId="35D713D3" w14:textId="77777777" w:rsidR="005D3DD5" w:rsidRPr="005D3DD5" w:rsidRDefault="005D3DD5" w:rsidP="005D3DD5">
            <w:pPr>
              <w:spacing w:before="40"/>
              <w:rPr>
                <w:bCs/>
                <w:sz w:val="19"/>
                <w:szCs w:val="19"/>
                <w:lang w:val="en-GB"/>
              </w:rPr>
            </w:pPr>
            <w:r w:rsidRPr="005D3DD5">
              <w:rPr>
                <w:bCs/>
                <w:sz w:val="19"/>
                <w:szCs w:val="19"/>
                <w:lang w:val="en-GB"/>
              </w:rPr>
              <w:t>Scope and uptake of joint management and planning decisions</w:t>
            </w:r>
          </w:p>
        </w:tc>
        <w:tc>
          <w:tcPr>
            <w:tcW w:w="1884" w:type="dxa"/>
            <w:vAlign w:val="center"/>
          </w:tcPr>
          <w:p w14:paraId="17204D5D" w14:textId="77777777" w:rsidR="005D3DD5" w:rsidRPr="005D3DD5" w:rsidRDefault="005D3DD5" w:rsidP="005D3DD5">
            <w:pPr>
              <w:spacing w:before="40"/>
              <w:rPr>
                <w:sz w:val="19"/>
                <w:szCs w:val="19"/>
                <w:lang w:val="en-GB"/>
              </w:rPr>
            </w:pPr>
            <w:r w:rsidRPr="005D3DD5">
              <w:rPr>
                <w:sz w:val="19"/>
                <w:szCs w:val="19"/>
                <w:lang w:val="en-GB"/>
              </w:rPr>
              <w:t>No existing fora at national and regional level in the SCS to network coastal habitat scientists and management specialists</w:t>
            </w:r>
          </w:p>
        </w:tc>
        <w:tc>
          <w:tcPr>
            <w:tcW w:w="1884" w:type="dxa"/>
            <w:vAlign w:val="center"/>
          </w:tcPr>
          <w:p w14:paraId="4D4495BE" w14:textId="77777777" w:rsidR="005D3DD5" w:rsidRPr="005D3DD5" w:rsidRDefault="005D3DD5" w:rsidP="005D3DD5">
            <w:pPr>
              <w:rPr>
                <w:sz w:val="19"/>
                <w:szCs w:val="19"/>
                <w:lang w:val="en-GB"/>
              </w:rPr>
            </w:pPr>
            <w:r w:rsidRPr="005D3DD5">
              <w:rPr>
                <w:sz w:val="19"/>
                <w:szCs w:val="19"/>
                <w:lang w:val="en-GB"/>
              </w:rPr>
              <w:t>Terms of Reference, membership lists, and work plans of national committees and regional networks developed, agreed, and under implementation</w:t>
            </w:r>
          </w:p>
        </w:tc>
        <w:tc>
          <w:tcPr>
            <w:tcW w:w="1884" w:type="dxa"/>
            <w:vAlign w:val="center"/>
          </w:tcPr>
          <w:p w14:paraId="5B317343" w14:textId="77777777" w:rsidR="005D3DD5" w:rsidRPr="005D3DD5" w:rsidRDefault="005D3DD5" w:rsidP="005D3DD5">
            <w:pPr>
              <w:spacing w:before="40"/>
              <w:rPr>
                <w:sz w:val="19"/>
                <w:szCs w:val="19"/>
                <w:lang w:val="en-GB"/>
              </w:rPr>
            </w:pPr>
            <w:r w:rsidRPr="005D3DD5">
              <w:rPr>
                <w:sz w:val="19"/>
                <w:szCs w:val="19"/>
                <w:lang w:val="en-GB"/>
              </w:rPr>
              <w:t>National committees and regional networks of habitat specialists established under the SCS project revitalized and functioning</w:t>
            </w:r>
          </w:p>
        </w:tc>
      </w:tr>
      <w:tr w:rsidR="005D3DD5" w:rsidRPr="005D3DD5" w14:paraId="37A486E4" w14:textId="77777777" w:rsidTr="005D3DD5">
        <w:trPr>
          <w:trHeight w:val="287"/>
          <w:jc w:val="center"/>
        </w:trPr>
        <w:tc>
          <w:tcPr>
            <w:tcW w:w="1884" w:type="dxa"/>
            <w:vAlign w:val="center"/>
          </w:tcPr>
          <w:p w14:paraId="42E25F45" w14:textId="77777777" w:rsidR="005D3DD5" w:rsidRPr="005D3DD5" w:rsidRDefault="005D3DD5" w:rsidP="005D3DD5">
            <w:pPr>
              <w:spacing w:before="40"/>
              <w:rPr>
                <w:bCs/>
                <w:sz w:val="19"/>
                <w:szCs w:val="19"/>
                <w:lang w:val="en-GB"/>
              </w:rPr>
            </w:pPr>
            <w:r w:rsidRPr="005D3DD5">
              <w:rPr>
                <w:bCs/>
                <w:sz w:val="19"/>
                <w:szCs w:val="19"/>
                <w:lang w:val="en-GB"/>
              </w:rPr>
              <w:t>1.5.2(a): Approved SAP results framework online</w:t>
            </w:r>
          </w:p>
          <w:p w14:paraId="016DA54C" w14:textId="77777777" w:rsidR="005D3DD5" w:rsidRPr="005D3DD5" w:rsidRDefault="005D3DD5" w:rsidP="005D3DD5">
            <w:pPr>
              <w:spacing w:before="40"/>
              <w:rPr>
                <w:bCs/>
                <w:sz w:val="19"/>
                <w:szCs w:val="19"/>
                <w:lang w:val="en-GB"/>
              </w:rPr>
            </w:pPr>
            <w:r w:rsidRPr="005D3DD5">
              <w:rPr>
                <w:bCs/>
                <w:sz w:val="19"/>
                <w:szCs w:val="19"/>
                <w:lang w:val="en-GB"/>
              </w:rPr>
              <w:t>1.5.2(b): Approved national and regional reporting templates published</w:t>
            </w:r>
          </w:p>
          <w:p w14:paraId="666B162B" w14:textId="77777777" w:rsidR="005D3DD5" w:rsidRPr="005D3DD5" w:rsidRDefault="005D3DD5" w:rsidP="005D3DD5">
            <w:pPr>
              <w:spacing w:before="40"/>
              <w:rPr>
                <w:bCs/>
                <w:sz w:val="19"/>
                <w:szCs w:val="19"/>
                <w:lang w:val="en-GB"/>
              </w:rPr>
            </w:pPr>
            <w:r w:rsidRPr="005D3DD5">
              <w:rPr>
                <w:bCs/>
                <w:sz w:val="19"/>
                <w:szCs w:val="19"/>
                <w:lang w:val="en-GB"/>
              </w:rPr>
              <w:t>1.5.3(c): Annual national and regional results reports published and disseminated</w:t>
            </w:r>
          </w:p>
        </w:tc>
        <w:tc>
          <w:tcPr>
            <w:tcW w:w="1884" w:type="dxa"/>
            <w:vAlign w:val="center"/>
          </w:tcPr>
          <w:p w14:paraId="353E6D5A" w14:textId="77777777" w:rsidR="005D3DD5" w:rsidRPr="005D3DD5" w:rsidRDefault="005D3DD5" w:rsidP="005D3DD5">
            <w:pPr>
              <w:spacing w:before="40"/>
              <w:rPr>
                <w:bCs/>
                <w:sz w:val="19"/>
                <w:szCs w:val="19"/>
                <w:lang w:val="en-GB"/>
              </w:rPr>
            </w:pPr>
            <w:r w:rsidRPr="005D3DD5">
              <w:rPr>
                <w:bCs/>
                <w:sz w:val="19"/>
                <w:szCs w:val="19"/>
                <w:lang w:val="en-GB"/>
              </w:rPr>
              <w:t>Status and extent of uptake by national Inter-Ministry committees of SAP implementation results reporting</w:t>
            </w:r>
          </w:p>
          <w:p w14:paraId="36F5F30F" w14:textId="77777777" w:rsidR="005D3DD5" w:rsidRPr="005D3DD5" w:rsidRDefault="005D3DD5" w:rsidP="005D3DD5">
            <w:pPr>
              <w:spacing w:before="40"/>
              <w:rPr>
                <w:bCs/>
                <w:sz w:val="19"/>
                <w:szCs w:val="19"/>
                <w:lang w:val="en-GB"/>
              </w:rPr>
            </w:pPr>
            <w:r w:rsidRPr="005D3DD5">
              <w:rPr>
                <w:bCs/>
                <w:sz w:val="19"/>
                <w:szCs w:val="19"/>
                <w:lang w:val="en-GB"/>
              </w:rPr>
              <w:t>Level of congruence of national and regional indicator sets with the proposed targets and outcomes of the SAP</w:t>
            </w:r>
          </w:p>
        </w:tc>
        <w:tc>
          <w:tcPr>
            <w:tcW w:w="1884" w:type="dxa"/>
            <w:vAlign w:val="center"/>
          </w:tcPr>
          <w:p w14:paraId="147A465E" w14:textId="77777777" w:rsidR="005D3DD5" w:rsidRPr="005D3DD5" w:rsidRDefault="005D3DD5" w:rsidP="005D3DD5">
            <w:pPr>
              <w:spacing w:before="40"/>
              <w:rPr>
                <w:sz w:val="19"/>
                <w:szCs w:val="19"/>
                <w:lang w:val="en-GB"/>
              </w:rPr>
            </w:pPr>
            <w:r w:rsidRPr="005D3DD5">
              <w:rPr>
                <w:sz w:val="19"/>
                <w:szCs w:val="19"/>
                <w:lang w:val="en-GB"/>
              </w:rPr>
              <w:t>Results frameworks for the management of mangroves, coral reefs, seagrass and wetlands of the SCS developed through national and regional consultative process but has not yet been applied</w:t>
            </w:r>
          </w:p>
        </w:tc>
        <w:tc>
          <w:tcPr>
            <w:tcW w:w="1884" w:type="dxa"/>
            <w:vAlign w:val="center"/>
          </w:tcPr>
          <w:p w14:paraId="31EA354D" w14:textId="77777777" w:rsidR="005D3DD5" w:rsidRPr="005D3DD5" w:rsidRDefault="005D3DD5" w:rsidP="005D3DD5">
            <w:pPr>
              <w:rPr>
                <w:sz w:val="19"/>
                <w:szCs w:val="19"/>
                <w:lang w:val="en-GB"/>
              </w:rPr>
            </w:pPr>
            <w:r w:rsidRPr="005D3DD5">
              <w:rPr>
                <w:sz w:val="19"/>
                <w:szCs w:val="19"/>
                <w:lang w:val="en-GB"/>
              </w:rPr>
              <w:t>Consultative process to identify and agree indicator sets and reporting approach completed and supporting information and data for indicators being compiled routinely</w:t>
            </w:r>
          </w:p>
        </w:tc>
        <w:tc>
          <w:tcPr>
            <w:tcW w:w="1884" w:type="dxa"/>
            <w:vAlign w:val="center"/>
          </w:tcPr>
          <w:p w14:paraId="010BAACF" w14:textId="77777777" w:rsidR="005D3DD5" w:rsidRPr="005D3DD5" w:rsidRDefault="005D3DD5" w:rsidP="005D3DD5">
            <w:pPr>
              <w:spacing w:before="40"/>
              <w:rPr>
                <w:sz w:val="19"/>
                <w:szCs w:val="19"/>
                <w:lang w:val="en-GB"/>
              </w:rPr>
            </w:pPr>
            <w:r w:rsidRPr="005D3DD5">
              <w:rPr>
                <w:sz w:val="19"/>
                <w:szCs w:val="19"/>
                <w:lang w:val="en-GB"/>
              </w:rPr>
              <w:t>Mechanism to monitor and evaluate the impacts of SAP implementation and achievement of habitat targets operational [including agreement on standardized methods and guidelines for inventory and assessment]</w:t>
            </w:r>
          </w:p>
        </w:tc>
      </w:tr>
      <w:tr w:rsidR="005D3DD5" w:rsidRPr="005D3DD5" w14:paraId="4D0AC086" w14:textId="77777777" w:rsidTr="005D3DD5">
        <w:trPr>
          <w:trHeight w:val="1080"/>
          <w:jc w:val="center"/>
        </w:trPr>
        <w:tc>
          <w:tcPr>
            <w:tcW w:w="1884" w:type="dxa"/>
            <w:vAlign w:val="center"/>
          </w:tcPr>
          <w:p w14:paraId="3DD79B71" w14:textId="77777777" w:rsidR="005D3DD5" w:rsidRPr="005D3DD5" w:rsidRDefault="005D3DD5" w:rsidP="005D3DD5">
            <w:pPr>
              <w:spacing w:before="40"/>
              <w:rPr>
                <w:bCs/>
                <w:sz w:val="19"/>
                <w:szCs w:val="19"/>
                <w:lang w:val="en-GB"/>
              </w:rPr>
            </w:pPr>
            <w:r w:rsidRPr="005D3DD5">
              <w:rPr>
                <w:bCs/>
                <w:sz w:val="19"/>
                <w:szCs w:val="19"/>
                <w:lang w:val="en-GB"/>
              </w:rPr>
              <w:t>1.5.3(a): Meeting reports of round-table meetings (including records of joint management decisions and participant lists)</w:t>
            </w:r>
          </w:p>
          <w:p w14:paraId="13730F5A" w14:textId="77777777" w:rsidR="005D3DD5" w:rsidRPr="005D3DD5" w:rsidRDefault="005D3DD5" w:rsidP="005D3DD5">
            <w:pPr>
              <w:spacing w:before="40"/>
              <w:rPr>
                <w:bCs/>
                <w:sz w:val="19"/>
                <w:szCs w:val="19"/>
                <w:lang w:val="en-GB"/>
              </w:rPr>
            </w:pPr>
          </w:p>
          <w:p w14:paraId="4020A63E" w14:textId="77777777" w:rsidR="005D3DD5" w:rsidRPr="005D3DD5" w:rsidRDefault="005D3DD5" w:rsidP="005D3DD5">
            <w:pPr>
              <w:spacing w:before="40"/>
              <w:rPr>
                <w:bCs/>
                <w:sz w:val="19"/>
                <w:szCs w:val="19"/>
                <w:lang w:val="en-GB"/>
              </w:rPr>
            </w:pPr>
            <w:r w:rsidRPr="005D3DD5">
              <w:rPr>
                <w:bCs/>
                <w:sz w:val="19"/>
                <w:szCs w:val="19"/>
                <w:lang w:val="en-GB"/>
              </w:rPr>
              <w:t>1.5.3(b): Annual reports of best practice examples of community-led SAP implementation</w:t>
            </w:r>
          </w:p>
        </w:tc>
        <w:tc>
          <w:tcPr>
            <w:tcW w:w="1884" w:type="dxa"/>
            <w:vAlign w:val="center"/>
          </w:tcPr>
          <w:p w14:paraId="3F967B5B" w14:textId="77777777" w:rsidR="005D3DD5" w:rsidRPr="005D3DD5" w:rsidRDefault="005D3DD5" w:rsidP="005D3DD5">
            <w:pPr>
              <w:spacing w:before="40"/>
              <w:rPr>
                <w:bCs/>
                <w:sz w:val="19"/>
                <w:szCs w:val="19"/>
                <w:lang w:val="en-GB"/>
              </w:rPr>
            </w:pPr>
            <w:r w:rsidRPr="005D3DD5">
              <w:rPr>
                <w:bCs/>
                <w:sz w:val="19"/>
                <w:szCs w:val="19"/>
                <w:lang w:val="en-GB"/>
              </w:rPr>
              <w:t>Extent and continuity of local leader and local government participation in community round-table meetings</w:t>
            </w:r>
          </w:p>
          <w:p w14:paraId="0B071BF1" w14:textId="77777777" w:rsidR="005D3DD5" w:rsidRPr="005D3DD5" w:rsidRDefault="005D3DD5" w:rsidP="005D3DD5">
            <w:pPr>
              <w:spacing w:before="40"/>
              <w:rPr>
                <w:bCs/>
                <w:sz w:val="19"/>
                <w:szCs w:val="19"/>
                <w:lang w:val="en-GB"/>
              </w:rPr>
            </w:pPr>
          </w:p>
          <w:p w14:paraId="2AC7A3C6" w14:textId="77777777" w:rsidR="005D3DD5" w:rsidRPr="005D3DD5" w:rsidRDefault="005D3DD5" w:rsidP="005D3DD5">
            <w:pPr>
              <w:spacing w:before="40"/>
              <w:rPr>
                <w:bCs/>
                <w:sz w:val="19"/>
                <w:szCs w:val="19"/>
                <w:lang w:val="en-GB"/>
              </w:rPr>
            </w:pPr>
            <w:r w:rsidRPr="005D3DD5">
              <w:rPr>
                <w:bCs/>
                <w:sz w:val="19"/>
                <w:szCs w:val="19"/>
                <w:lang w:val="en-GB"/>
              </w:rPr>
              <w:t>Extent of improved local relevance of SAP implementation initiatives</w:t>
            </w:r>
          </w:p>
        </w:tc>
        <w:tc>
          <w:tcPr>
            <w:tcW w:w="1884" w:type="dxa"/>
            <w:vAlign w:val="center"/>
          </w:tcPr>
          <w:p w14:paraId="47E2B7C0" w14:textId="77777777" w:rsidR="005D3DD5" w:rsidRPr="005D3DD5" w:rsidRDefault="005D3DD5" w:rsidP="005D3DD5">
            <w:pPr>
              <w:spacing w:before="40"/>
              <w:rPr>
                <w:sz w:val="19"/>
                <w:szCs w:val="19"/>
                <w:lang w:val="en-GB"/>
              </w:rPr>
            </w:pPr>
            <w:r w:rsidRPr="005D3DD5">
              <w:rPr>
                <w:sz w:val="19"/>
                <w:szCs w:val="19"/>
                <w:lang w:val="en-GB"/>
              </w:rPr>
              <w:t>Limited engagement of community-based governance mechanisms in planning coastal habitat management</w:t>
            </w:r>
          </w:p>
          <w:p w14:paraId="5FB00BE7" w14:textId="77777777" w:rsidR="005D3DD5" w:rsidRPr="005D3DD5" w:rsidRDefault="005D3DD5" w:rsidP="005D3DD5">
            <w:pPr>
              <w:spacing w:before="40"/>
              <w:rPr>
                <w:sz w:val="19"/>
                <w:szCs w:val="19"/>
                <w:lang w:val="en-GB"/>
              </w:rPr>
            </w:pPr>
          </w:p>
          <w:p w14:paraId="7FC57DDF" w14:textId="77777777" w:rsidR="005D3DD5" w:rsidRPr="005D3DD5" w:rsidRDefault="005D3DD5" w:rsidP="005D3DD5">
            <w:pPr>
              <w:spacing w:before="40"/>
              <w:rPr>
                <w:sz w:val="19"/>
                <w:szCs w:val="19"/>
                <w:lang w:val="en-GB"/>
              </w:rPr>
            </w:pPr>
            <w:r w:rsidRPr="005D3DD5">
              <w:rPr>
                <w:sz w:val="19"/>
                <w:szCs w:val="19"/>
                <w:lang w:val="en-GB"/>
              </w:rPr>
              <w:t>Low level mobilization of civil society, community groups and the private sector in habitat management</w:t>
            </w:r>
          </w:p>
        </w:tc>
        <w:tc>
          <w:tcPr>
            <w:tcW w:w="1884" w:type="dxa"/>
            <w:vAlign w:val="center"/>
          </w:tcPr>
          <w:p w14:paraId="567AD5DD" w14:textId="77777777" w:rsidR="005D3DD5" w:rsidRPr="005D3DD5" w:rsidRDefault="005D3DD5" w:rsidP="005D3DD5">
            <w:pPr>
              <w:rPr>
                <w:sz w:val="19"/>
                <w:szCs w:val="19"/>
                <w:lang w:val="en-GB"/>
              </w:rPr>
            </w:pPr>
            <w:r w:rsidRPr="005D3DD5">
              <w:rPr>
                <w:sz w:val="19"/>
                <w:szCs w:val="19"/>
                <w:lang w:val="en-GB"/>
              </w:rPr>
              <w:t>Consultation process withagreement on: govt agencies and community leaders that will be target participants/champions for knowledge exchange in support of SAP implementation</w:t>
            </w:r>
          </w:p>
        </w:tc>
        <w:tc>
          <w:tcPr>
            <w:tcW w:w="1884" w:type="dxa"/>
            <w:vAlign w:val="center"/>
          </w:tcPr>
          <w:p w14:paraId="416B50E2" w14:textId="77777777" w:rsidR="005D3DD5" w:rsidRPr="005D3DD5" w:rsidRDefault="005D3DD5" w:rsidP="005D3DD5">
            <w:pPr>
              <w:spacing w:before="40"/>
              <w:rPr>
                <w:sz w:val="19"/>
                <w:szCs w:val="19"/>
                <w:lang w:val="en-GB"/>
              </w:rPr>
            </w:pPr>
            <w:r w:rsidRPr="005D3DD5">
              <w:rPr>
                <w:sz w:val="19"/>
                <w:szCs w:val="19"/>
                <w:lang w:val="en-GB"/>
              </w:rPr>
              <w:t>Community leaders and local government from priority habitat sites networked via national and regional round-table meetings to foster cooperation and knowledge sharing on achievements and best practices</w:t>
            </w:r>
          </w:p>
        </w:tc>
      </w:tr>
      <w:tr w:rsidR="005D3DD5" w:rsidRPr="005D3DD5" w14:paraId="47830F7D" w14:textId="77777777" w:rsidTr="005D3DD5">
        <w:trPr>
          <w:trHeight w:val="1080"/>
          <w:jc w:val="center"/>
        </w:trPr>
        <w:tc>
          <w:tcPr>
            <w:tcW w:w="1884" w:type="dxa"/>
            <w:vAlign w:val="center"/>
          </w:tcPr>
          <w:p w14:paraId="3088A707" w14:textId="77777777" w:rsidR="005D3DD5" w:rsidRPr="005D3DD5" w:rsidRDefault="005D3DD5" w:rsidP="005D3DD5">
            <w:pPr>
              <w:spacing w:before="40"/>
              <w:rPr>
                <w:bCs/>
                <w:sz w:val="19"/>
                <w:szCs w:val="19"/>
                <w:lang w:val="en-GB"/>
              </w:rPr>
            </w:pPr>
            <w:r w:rsidRPr="005D3DD5">
              <w:rPr>
                <w:bCs/>
                <w:sz w:val="19"/>
                <w:szCs w:val="19"/>
                <w:lang w:val="en-GB"/>
              </w:rPr>
              <w:t>1.5.4: Published state of coastal habitat reports</w:t>
            </w:r>
          </w:p>
        </w:tc>
        <w:tc>
          <w:tcPr>
            <w:tcW w:w="1884" w:type="dxa"/>
            <w:vAlign w:val="center"/>
          </w:tcPr>
          <w:p w14:paraId="057C82ED" w14:textId="77777777" w:rsidR="005D3DD5" w:rsidRPr="005D3DD5" w:rsidRDefault="005D3DD5" w:rsidP="005D3DD5">
            <w:pPr>
              <w:spacing w:before="40"/>
              <w:rPr>
                <w:bCs/>
                <w:sz w:val="19"/>
                <w:szCs w:val="19"/>
                <w:lang w:val="en-GB"/>
              </w:rPr>
            </w:pPr>
            <w:r w:rsidRPr="005D3DD5">
              <w:rPr>
                <w:bCs/>
                <w:sz w:val="19"/>
                <w:szCs w:val="19"/>
                <w:lang w:val="en-GB"/>
              </w:rPr>
              <w:t>Demonstrable use of state of coastal habitat reports in national and regional planning</w:t>
            </w:r>
          </w:p>
        </w:tc>
        <w:tc>
          <w:tcPr>
            <w:tcW w:w="1884" w:type="dxa"/>
            <w:vAlign w:val="center"/>
          </w:tcPr>
          <w:p w14:paraId="14B7673C" w14:textId="77777777" w:rsidR="005D3DD5" w:rsidRPr="005D3DD5" w:rsidRDefault="005D3DD5" w:rsidP="005D3DD5">
            <w:pPr>
              <w:spacing w:before="40"/>
              <w:rPr>
                <w:sz w:val="19"/>
                <w:szCs w:val="19"/>
                <w:lang w:val="en-GB"/>
              </w:rPr>
            </w:pPr>
            <w:r w:rsidRPr="005D3DD5">
              <w:rPr>
                <w:sz w:val="19"/>
                <w:szCs w:val="19"/>
                <w:lang w:val="en-GB"/>
              </w:rPr>
              <w:t>Baseline national habitat reports developed and require periodic uptake</w:t>
            </w:r>
          </w:p>
        </w:tc>
        <w:tc>
          <w:tcPr>
            <w:tcW w:w="1884" w:type="dxa"/>
            <w:vAlign w:val="center"/>
          </w:tcPr>
          <w:p w14:paraId="5B0037EB" w14:textId="77777777" w:rsidR="005D3DD5" w:rsidRPr="005D3DD5" w:rsidRDefault="005D3DD5" w:rsidP="005D3DD5">
            <w:pPr>
              <w:rPr>
                <w:sz w:val="19"/>
                <w:szCs w:val="19"/>
                <w:lang w:val="en-GB"/>
              </w:rPr>
            </w:pPr>
            <w:r w:rsidRPr="005D3DD5">
              <w:rPr>
                <w:sz w:val="19"/>
                <w:szCs w:val="19"/>
                <w:lang w:val="en-GB"/>
              </w:rPr>
              <w:t>First biennial state of coastal habitat reports published</w:t>
            </w:r>
          </w:p>
        </w:tc>
        <w:tc>
          <w:tcPr>
            <w:tcW w:w="1884" w:type="dxa"/>
            <w:vAlign w:val="center"/>
          </w:tcPr>
          <w:p w14:paraId="326E2B62" w14:textId="77777777" w:rsidR="005D3DD5" w:rsidRPr="005D3DD5" w:rsidRDefault="005D3DD5" w:rsidP="005D3DD5">
            <w:pPr>
              <w:spacing w:before="40"/>
              <w:rPr>
                <w:sz w:val="19"/>
                <w:szCs w:val="19"/>
                <w:lang w:val="en-GB"/>
              </w:rPr>
            </w:pPr>
            <w:r w:rsidRPr="005D3DD5">
              <w:rPr>
                <w:sz w:val="19"/>
                <w:szCs w:val="19"/>
                <w:lang w:val="en-GB"/>
              </w:rPr>
              <w:t>Biennial state of coastal habitat reports published</w:t>
            </w:r>
          </w:p>
        </w:tc>
      </w:tr>
    </w:tbl>
    <w:p w14:paraId="09F613CB" w14:textId="77777777" w:rsidR="005D3DD5" w:rsidRPr="005D3DD5" w:rsidRDefault="005D3DD5" w:rsidP="005D3DD5"/>
    <w:p w14:paraId="4061FD02" w14:textId="77777777" w:rsidR="005D3DD5" w:rsidRPr="005D3DD5" w:rsidRDefault="005D3DD5" w:rsidP="005D3DD5">
      <w:r w:rsidRPr="005D3DD5">
        <w:rPr>
          <w:b/>
        </w:rPr>
        <w:t>Table 2</w:t>
      </w:r>
      <w:r w:rsidRPr="005D3DD5">
        <w:tab/>
      </w:r>
      <w:r w:rsidRPr="005D3DD5">
        <w:tab/>
        <w:t>Key deliverables and benchmarks for project component 2</w:t>
      </w:r>
    </w:p>
    <w:p w14:paraId="0A33FA4A" w14:textId="77777777" w:rsidR="005D3DD5" w:rsidRPr="005D3DD5" w:rsidRDefault="005D3DD5" w:rsidP="005D3DD5"/>
    <w:tbl>
      <w:tblPr>
        <w:tblW w:w="94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84"/>
        <w:gridCol w:w="1884"/>
        <w:gridCol w:w="1884"/>
        <w:gridCol w:w="1884"/>
        <w:gridCol w:w="1884"/>
      </w:tblGrid>
      <w:tr w:rsidR="005D3DD5" w:rsidRPr="005D3DD5" w14:paraId="0EDE318B" w14:textId="77777777" w:rsidTr="005D3DD5">
        <w:trPr>
          <w:tblHeader/>
          <w:jc w:val="center"/>
        </w:trPr>
        <w:tc>
          <w:tcPr>
            <w:tcW w:w="1884" w:type="dxa"/>
            <w:shd w:val="clear" w:color="auto" w:fill="B3B3B3"/>
            <w:vAlign w:val="center"/>
          </w:tcPr>
          <w:p w14:paraId="0715A414" w14:textId="77777777" w:rsidR="005D3DD5" w:rsidRPr="005D3DD5" w:rsidRDefault="005D3DD5" w:rsidP="005D3DD5">
            <w:pPr>
              <w:keepNext/>
              <w:jc w:val="center"/>
              <w:rPr>
                <w:b/>
                <w:sz w:val="20"/>
                <w:szCs w:val="20"/>
                <w:lang w:val="en-GB"/>
              </w:rPr>
            </w:pPr>
            <w:r w:rsidRPr="005D3DD5">
              <w:rPr>
                <w:b/>
                <w:sz w:val="20"/>
                <w:szCs w:val="20"/>
                <w:lang w:val="en-GB"/>
              </w:rPr>
              <w:t>Project Outputs</w:t>
            </w:r>
          </w:p>
        </w:tc>
        <w:tc>
          <w:tcPr>
            <w:tcW w:w="1884" w:type="dxa"/>
            <w:shd w:val="clear" w:color="auto" w:fill="B3B3B3"/>
            <w:vAlign w:val="center"/>
          </w:tcPr>
          <w:p w14:paraId="644459C5" w14:textId="77777777" w:rsidR="005D3DD5" w:rsidRPr="005D3DD5" w:rsidRDefault="005D3DD5" w:rsidP="005D3DD5">
            <w:pPr>
              <w:jc w:val="center"/>
              <w:rPr>
                <w:b/>
                <w:sz w:val="20"/>
                <w:szCs w:val="20"/>
                <w:lang w:val="en-GB"/>
              </w:rPr>
            </w:pPr>
            <w:r w:rsidRPr="005D3DD5">
              <w:rPr>
                <w:b/>
                <w:sz w:val="20"/>
                <w:szCs w:val="20"/>
                <w:lang w:val="en-GB"/>
              </w:rPr>
              <w:t>Description of indicator</w:t>
            </w:r>
          </w:p>
        </w:tc>
        <w:tc>
          <w:tcPr>
            <w:tcW w:w="1884" w:type="dxa"/>
            <w:shd w:val="clear" w:color="auto" w:fill="B3B3B3"/>
            <w:vAlign w:val="center"/>
          </w:tcPr>
          <w:p w14:paraId="2D34D7D9" w14:textId="77777777" w:rsidR="005D3DD5" w:rsidRPr="005D3DD5" w:rsidRDefault="005D3DD5" w:rsidP="005D3DD5">
            <w:pPr>
              <w:jc w:val="center"/>
              <w:rPr>
                <w:b/>
                <w:sz w:val="20"/>
                <w:szCs w:val="20"/>
                <w:lang w:val="en-GB"/>
              </w:rPr>
            </w:pPr>
            <w:r w:rsidRPr="005D3DD5">
              <w:rPr>
                <w:b/>
                <w:sz w:val="20"/>
                <w:szCs w:val="20"/>
                <w:lang w:val="en-GB"/>
              </w:rPr>
              <w:t>Baseline level</w:t>
            </w:r>
          </w:p>
        </w:tc>
        <w:tc>
          <w:tcPr>
            <w:tcW w:w="1884" w:type="dxa"/>
            <w:shd w:val="clear" w:color="auto" w:fill="B3B3B3"/>
            <w:vAlign w:val="center"/>
          </w:tcPr>
          <w:p w14:paraId="5F496E48" w14:textId="77777777" w:rsidR="005D3DD5" w:rsidRPr="005D3DD5" w:rsidRDefault="005D3DD5" w:rsidP="005D3DD5">
            <w:pPr>
              <w:jc w:val="center"/>
              <w:rPr>
                <w:b/>
                <w:sz w:val="20"/>
                <w:szCs w:val="20"/>
                <w:lang w:val="en-GB"/>
              </w:rPr>
            </w:pPr>
            <w:r w:rsidRPr="005D3DD5">
              <w:rPr>
                <w:b/>
                <w:sz w:val="20"/>
                <w:szCs w:val="20"/>
                <w:lang w:val="en-GB"/>
              </w:rPr>
              <w:t>Mid-term target</w:t>
            </w:r>
          </w:p>
        </w:tc>
        <w:tc>
          <w:tcPr>
            <w:tcW w:w="1884" w:type="dxa"/>
            <w:shd w:val="clear" w:color="auto" w:fill="B3B3B3"/>
            <w:vAlign w:val="center"/>
          </w:tcPr>
          <w:p w14:paraId="1F18A0D1" w14:textId="77777777" w:rsidR="005D3DD5" w:rsidRPr="005D3DD5" w:rsidRDefault="005D3DD5" w:rsidP="005D3DD5">
            <w:pPr>
              <w:jc w:val="center"/>
              <w:rPr>
                <w:b/>
                <w:sz w:val="20"/>
                <w:szCs w:val="20"/>
                <w:lang w:val="en-GB"/>
              </w:rPr>
            </w:pPr>
            <w:r w:rsidRPr="005D3DD5">
              <w:rPr>
                <w:b/>
                <w:sz w:val="20"/>
                <w:szCs w:val="20"/>
                <w:lang w:val="en-GB"/>
              </w:rPr>
              <w:t>End-of-project target</w:t>
            </w:r>
          </w:p>
        </w:tc>
      </w:tr>
      <w:tr w:rsidR="005D3DD5" w:rsidRPr="005D3DD5" w14:paraId="3744F809" w14:textId="77777777" w:rsidTr="005D3DD5">
        <w:trPr>
          <w:trHeight w:val="567"/>
          <w:tblHeader/>
          <w:jc w:val="center"/>
        </w:trPr>
        <w:tc>
          <w:tcPr>
            <w:tcW w:w="9420" w:type="dxa"/>
            <w:gridSpan w:val="5"/>
            <w:shd w:val="clear" w:color="auto" w:fill="D9D9D9"/>
            <w:vAlign w:val="center"/>
          </w:tcPr>
          <w:p w14:paraId="7D1F5D23" w14:textId="77777777" w:rsidR="005D3DD5" w:rsidRPr="005D3DD5" w:rsidRDefault="005D3DD5" w:rsidP="005D3DD5">
            <w:pPr>
              <w:jc w:val="center"/>
              <w:rPr>
                <w:b/>
                <w:sz w:val="20"/>
                <w:szCs w:val="20"/>
                <w:lang w:val="en-GB"/>
              </w:rPr>
            </w:pPr>
            <w:r w:rsidRPr="005D3DD5">
              <w:rPr>
                <w:b/>
                <w:sz w:val="20"/>
                <w:szCs w:val="20"/>
                <w:lang w:val="en-GB"/>
              </w:rPr>
              <w:t>Component II: – Strengthening knowledge-based action planning for the management of coastal habitats and land-based pollution to reduce environmental degradation of the South China Sea</w:t>
            </w:r>
          </w:p>
        </w:tc>
      </w:tr>
      <w:tr w:rsidR="005D3DD5" w:rsidRPr="005D3DD5" w14:paraId="5EE8726F" w14:textId="77777777" w:rsidTr="005D3DD5">
        <w:trPr>
          <w:trHeight w:val="567"/>
          <w:jc w:val="center"/>
        </w:trPr>
        <w:tc>
          <w:tcPr>
            <w:tcW w:w="9420" w:type="dxa"/>
            <w:gridSpan w:val="5"/>
            <w:shd w:val="clear" w:color="auto" w:fill="F2F2F2"/>
            <w:vAlign w:val="center"/>
          </w:tcPr>
          <w:p w14:paraId="6BEC2F88" w14:textId="77777777" w:rsidR="005D3DD5" w:rsidRPr="005D3DD5" w:rsidRDefault="005D3DD5" w:rsidP="005D3DD5">
            <w:pPr>
              <w:jc w:val="center"/>
              <w:rPr>
                <w:b/>
                <w:sz w:val="20"/>
                <w:szCs w:val="20"/>
                <w:lang w:val="en-GB"/>
              </w:rPr>
            </w:pPr>
            <w:r w:rsidRPr="005D3DD5">
              <w:rPr>
                <w:b/>
                <w:sz w:val="20"/>
                <w:szCs w:val="20"/>
                <w:lang w:val="en-GB"/>
              </w:rPr>
              <w:t>2.1 Enhanced information-base for coastal habitat management and action planning</w:t>
            </w:r>
          </w:p>
        </w:tc>
      </w:tr>
      <w:tr w:rsidR="005D3DD5" w:rsidRPr="005D3DD5" w14:paraId="70BB7621" w14:textId="77777777" w:rsidTr="005D3DD5">
        <w:trPr>
          <w:trHeight w:val="1080"/>
          <w:jc w:val="center"/>
        </w:trPr>
        <w:tc>
          <w:tcPr>
            <w:tcW w:w="1884" w:type="dxa"/>
            <w:vAlign w:val="center"/>
          </w:tcPr>
          <w:p w14:paraId="167AFA3F" w14:textId="77777777" w:rsidR="005D3DD5" w:rsidRPr="005D3DD5" w:rsidRDefault="005D3DD5" w:rsidP="005D3DD5">
            <w:pPr>
              <w:spacing w:before="40"/>
              <w:rPr>
                <w:sz w:val="19"/>
                <w:szCs w:val="19"/>
                <w:lang w:val="en-GB"/>
              </w:rPr>
            </w:pPr>
            <w:r w:rsidRPr="005D3DD5">
              <w:rPr>
                <w:bCs/>
                <w:sz w:val="19"/>
                <w:szCs w:val="19"/>
                <w:lang w:val="en-GB"/>
              </w:rPr>
              <w:t>2.1.1: Regional report on methodologies and procedures for the application of aerial visual survey and remotely sensed data in coastal habitat management in the SCS marine basin published and accessible online</w:t>
            </w:r>
          </w:p>
        </w:tc>
        <w:tc>
          <w:tcPr>
            <w:tcW w:w="1884" w:type="dxa"/>
            <w:vAlign w:val="center"/>
          </w:tcPr>
          <w:p w14:paraId="06DF0846" w14:textId="77777777" w:rsidR="005D3DD5" w:rsidRPr="005D3DD5" w:rsidRDefault="005D3DD5" w:rsidP="005D3DD5">
            <w:pPr>
              <w:spacing w:before="40"/>
              <w:rPr>
                <w:bCs/>
                <w:sz w:val="19"/>
                <w:szCs w:val="19"/>
                <w:lang w:val="en-GB"/>
              </w:rPr>
            </w:pPr>
            <w:r w:rsidRPr="005D3DD5">
              <w:rPr>
                <w:bCs/>
                <w:sz w:val="19"/>
                <w:szCs w:val="19"/>
                <w:lang w:val="en-GB"/>
              </w:rPr>
              <w:t>Volume of remotely sensed information interpreted and made available for planning</w:t>
            </w:r>
          </w:p>
          <w:p w14:paraId="354D208D" w14:textId="77777777" w:rsidR="005D3DD5" w:rsidRPr="005D3DD5" w:rsidRDefault="005D3DD5" w:rsidP="005D3DD5">
            <w:pPr>
              <w:spacing w:before="40"/>
              <w:rPr>
                <w:bCs/>
                <w:sz w:val="19"/>
                <w:szCs w:val="19"/>
                <w:lang w:val="en-GB"/>
              </w:rPr>
            </w:pPr>
          </w:p>
          <w:p w14:paraId="6AE680C2" w14:textId="77777777" w:rsidR="005D3DD5" w:rsidRPr="005D3DD5" w:rsidRDefault="005D3DD5" w:rsidP="005D3DD5">
            <w:pPr>
              <w:spacing w:before="40"/>
              <w:rPr>
                <w:bCs/>
                <w:sz w:val="19"/>
                <w:szCs w:val="19"/>
                <w:lang w:val="en-GB"/>
              </w:rPr>
            </w:pPr>
            <w:r w:rsidRPr="005D3DD5">
              <w:rPr>
                <w:bCs/>
                <w:sz w:val="19"/>
                <w:szCs w:val="19"/>
                <w:lang w:val="en-GB"/>
              </w:rPr>
              <w:t>Extent of uptake of remotely sensed coastal habitat information and data in management planning and action</w:t>
            </w:r>
          </w:p>
        </w:tc>
        <w:tc>
          <w:tcPr>
            <w:tcW w:w="1884" w:type="dxa"/>
            <w:vAlign w:val="center"/>
          </w:tcPr>
          <w:p w14:paraId="27E693E1" w14:textId="77777777" w:rsidR="005D3DD5" w:rsidRPr="005D3DD5" w:rsidRDefault="005D3DD5" w:rsidP="005D3DD5">
            <w:pPr>
              <w:spacing w:before="40"/>
              <w:rPr>
                <w:sz w:val="19"/>
                <w:szCs w:val="19"/>
                <w:lang w:val="en-GB"/>
              </w:rPr>
            </w:pPr>
            <w:r w:rsidRPr="005D3DD5">
              <w:rPr>
                <w:sz w:val="19"/>
                <w:szCs w:val="19"/>
                <w:lang w:val="en-GB"/>
              </w:rPr>
              <w:t>Rapid advancements in aerial visual survey techniques and remote sensing of inter-tidal and shallow water biomes have potential to greatly enhance coastal habitat management planning in the SCS marine basin</w:t>
            </w:r>
          </w:p>
        </w:tc>
        <w:tc>
          <w:tcPr>
            <w:tcW w:w="1884" w:type="dxa"/>
            <w:vAlign w:val="center"/>
          </w:tcPr>
          <w:p w14:paraId="53C3ECE3" w14:textId="77777777" w:rsidR="005D3DD5" w:rsidRPr="005D3DD5" w:rsidRDefault="005D3DD5" w:rsidP="005D3DD5">
            <w:pPr>
              <w:rPr>
                <w:sz w:val="19"/>
                <w:szCs w:val="19"/>
                <w:lang w:val="en-GB"/>
              </w:rPr>
            </w:pPr>
            <w:r w:rsidRPr="005D3DD5">
              <w:rPr>
                <w:sz w:val="19"/>
                <w:szCs w:val="19"/>
                <w:lang w:val="en-GB"/>
              </w:rPr>
              <w:t>Mechanisms established for the collation of remotely sensed information and data, including guidelines and protocols developed for use of aerial visual survey techniques</w:t>
            </w:r>
          </w:p>
        </w:tc>
        <w:tc>
          <w:tcPr>
            <w:tcW w:w="1884" w:type="dxa"/>
            <w:vAlign w:val="center"/>
          </w:tcPr>
          <w:p w14:paraId="1E63AB9D" w14:textId="77777777" w:rsidR="005D3DD5" w:rsidRPr="005D3DD5" w:rsidRDefault="005D3DD5" w:rsidP="005D3DD5">
            <w:pPr>
              <w:spacing w:before="40"/>
              <w:rPr>
                <w:sz w:val="19"/>
                <w:szCs w:val="19"/>
                <w:lang w:val="en-GB"/>
              </w:rPr>
            </w:pPr>
            <w:r w:rsidRPr="005D3DD5">
              <w:rPr>
                <w:sz w:val="19"/>
                <w:szCs w:val="19"/>
                <w:lang w:val="en-GB"/>
              </w:rPr>
              <w:t>Algorithms for the interpretation of remotely sensed information and data on coastal habitat associations and zonation developed and applied</w:t>
            </w:r>
          </w:p>
        </w:tc>
      </w:tr>
      <w:tr w:rsidR="005D3DD5" w:rsidRPr="005D3DD5" w14:paraId="0CE43903" w14:textId="77777777" w:rsidTr="005D3DD5">
        <w:trPr>
          <w:trHeight w:val="1080"/>
          <w:jc w:val="center"/>
        </w:trPr>
        <w:tc>
          <w:tcPr>
            <w:tcW w:w="1884" w:type="dxa"/>
            <w:vAlign w:val="center"/>
          </w:tcPr>
          <w:p w14:paraId="62AFD6DB" w14:textId="77777777" w:rsidR="005D3DD5" w:rsidRPr="005D3DD5" w:rsidRDefault="005D3DD5" w:rsidP="005D3DD5">
            <w:pPr>
              <w:spacing w:before="40"/>
              <w:rPr>
                <w:bCs/>
                <w:sz w:val="19"/>
                <w:szCs w:val="19"/>
                <w:lang w:val="en-GB"/>
              </w:rPr>
            </w:pPr>
            <w:r w:rsidRPr="005D3DD5">
              <w:rPr>
                <w:bCs/>
                <w:sz w:val="19"/>
                <w:szCs w:val="19"/>
                <w:lang w:val="en-GB"/>
              </w:rPr>
              <w:t>2.1.2(a): Agreed site characterisation forms for the compilation of regionally comparable coastal habitat information and data</w:t>
            </w:r>
          </w:p>
          <w:p w14:paraId="0ED28DF7" w14:textId="77777777" w:rsidR="005D3DD5" w:rsidRPr="005D3DD5" w:rsidRDefault="005D3DD5" w:rsidP="005D3DD5">
            <w:pPr>
              <w:spacing w:before="40"/>
              <w:rPr>
                <w:bCs/>
                <w:sz w:val="19"/>
                <w:szCs w:val="19"/>
                <w:lang w:val="en-GB"/>
              </w:rPr>
            </w:pPr>
            <w:r w:rsidRPr="005D3DD5">
              <w:rPr>
                <w:bCs/>
                <w:sz w:val="19"/>
                <w:szCs w:val="19"/>
                <w:lang w:val="en-GB"/>
              </w:rPr>
              <w:t>2.1.2(b): GIS and meta-database online and routinely updated by SAP implementation partners</w:t>
            </w:r>
          </w:p>
        </w:tc>
        <w:tc>
          <w:tcPr>
            <w:tcW w:w="1884" w:type="dxa"/>
            <w:vAlign w:val="center"/>
          </w:tcPr>
          <w:p w14:paraId="3E9D009E" w14:textId="77777777" w:rsidR="005D3DD5" w:rsidRPr="005D3DD5" w:rsidRDefault="005D3DD5" w:rsidP="005D3DD5">
            <w:pPr>
              <w:spacing w:before="40"/>
              <w:rPr>
                <w:bCs/>
                <w:sz w:val="19"/>
                <w:szCs w:val="19"/>
                <w:lang w:val="en-GB"/>
              </w:rPr>
            </w:pPr>
            <w:r w:rsidRPr="005D3DD5">
              <w:rPr>
                <w:bCs/>
                <w:sz w:val="19"/>
                <w:szCs w:val="19"/>
                <w:lang w:val="en-GB"/>
              </w:rPr>
              <w:t>Number and completeness of regionally comparable coastal habitat site characterisations</w:t>
            </w:r>
          </w:p>
          <w:p w14:paraId="282D769B" w14:textId="77777777" w:rsidR="005D3DD5" w:rsidRPr="005D3DD5" w:rsidRDefault="005D3DD5" w:rsidP="005D3DD5">
            <w:pPr>
              <w:spacing w:before="40"/>
              <w:rPr>
                <w:bCs/>
                <w:sz w:val="19"/>
                <w:szCs w:val="19"/>
                <w:lang w:val="en-GB"/>
              </w:rPr>
            </w:pPr>
          </w:p>
          <w:p w14:paraId="732BDD8A" w14:textId="77777777" w:rsidR="005D3DD5" w:rsidRPr="005D3DD5" w:rsidRDefault="005D3DD5" w:rsidP="005D3DD5">
            <w:pPr>
              <w:spacing w:before="40"/>
              <w:rPr>
                <w:bCs/>
                <w:sz w:val="19"/>
                <w:szCs w:val="19"/>
                <w:lang w:val="en-GB"/>
              </w:rPr>
            </w:pPr>
            <w:r w:rsidRPr="005D3DD5">
              <w:rPr>
                <w:bCs/>
                <w:sz w:val="19"/>
                <w:szCs w:val="19"/>
                <w:lang w:val="en-GB"/>
              </w:rPr>
              <w:t>Number of datasets for coastal habitat sites accessible online in centralised repositorty</w:t>
            </w:r>
          </w:p>
        </w:tc>
        <w:tc>
          <w:tcPr>
            <w:tcW w:w="1884" w:type="dxa"/>
            <w:vAlign w:val="center"/>
          </w:tcPr>
          <w:p w14:paraId="74DEF10A" w14:textId="77777777" w:rsidR="005D3DD5" w:rsidRPr="005D3DD5" w:rsidRDefault="005D3DD5" w:rsidP="005D3DD5">
            <w:pPr>
              <w:spacing w:before="40"/>
              <w:rPr>
                <w:sz w:val="19"/>
                <w:szCs w:val="19"/>
                <w:lang w:val="en-GB"/>
              </w:rPr>
            </w:pPr>
            <w:r w:rsidRPr="005D3DD5">
              <w:rPr>
                <w:sz w:val="19"/>
                <w:szCs w:val="19"/>
                <w:lang w:val="en-GB"/>
              </w:rPr>
              <w:t>Regional GIS and meta-database of SCS coastal habitat information developed but not updated since 2008 due to lack of a regional mechanism for collation and exchange of data</w:t>
            </w:r>
          </w:p>
        </w:tc>
        <w:tc>
          <w:tcPr>
            <w:tcW w:w="1884" w:type="dxa"/>
            <w:vAlign w:val="center"/>
          </w:tcPr>
          <w:p w14:paraId="27D1FADB" w14:textId="77777777" w:rsidR="005D3DD5" w:rsidRPr="005D3DD5" w:rsidRDefault="005D3DD5" w:rsidP="005D3DD5">
            <w:pPr>
              <w:spacing w:before="40"/>
              <w:rPr>
                <w:color w:val="FF0000"/>
                <w:sz w:val="19"/>
                <w:szCs w:val="19"/>
                <w:lang w:val="en-GB"/>
              </w:rPr>
            </w:pPr>
            <w:r w:rsidRPr="005D3DD5">
              <w:rPr>
                <w:sz w:val="19"/>
                <w:szCs w:val="19"/>
                <w:lang w:val="en-GB"/>
              </w:rPr>
              <w:t>Site characterisation forms revisited, revised where necessary, and national scientists engaged in the collation of regionally comparable data</w:t>
            </w:r>
          </w:p>
        </w:tc>
        <w:tc>
          <w:tcPr>
            <w:tcW w:w="1884" w:type="dxa"/>
            <w:vAlign w:val="center"/>
          </w:tcPr>
          <w:p w14:paraId="3D915E87" w14:textId="77777777" w:rsidR="005D3DD5" w:rsidRPr="005D3DD5" w:rsidRDefault="005D3DD5" w:rsidP="005D3DD5">
            <w:pPr>
              <w:spacing w:before="40"/>
              <w:rPr>
                <w:sz w:val="19"/>
                <w:szCs w:val="19"/>
                <w:lang w:val="en-GB"/>
              </w:rPr>
            </w:pPr>
            <w:r w:rsidRPr="005D3DD5">
              <w:rPr>
                <w:sz w:val="19"/>
                <w:szCs w:val="19"/>
                <w:lang w:val="en-GB"/>
              </w:rPr>
              <w:t>Mechanism for collection and exchange of regional coastal habitat information and data established</w:t>
            </w:r>
          </w:p>
        </w:tc>
      </w:tr>
      <w:tr w:rsidR="005D3DD5" w:rsidRPr="005D3DD5" w14:paraId="10C20B9D" w14:textId="77777777" w:rsidTr="005D3DD5">
        <w:trPr>
          <w:trHeight w:val="1080"/>
          <w:jc w:val="center"/>
        </w:trPr>
        <w:tc>
          <w:tcPr>
            <w:tcW w:w="1884" w:type="dxa"/>
            <w:vAlign w:val="center"/>
          </w:tcPr>
          <w:p w14:paraId="2A6BE502" w14:textId="77777777" w:rsidR="005D3DD5" w:rsidRPr="005D3DD5" w:rsidRDefault="005D3DD5" w:rsidP="005D3DD5">
            <w:pPr>
              <w:spacing w:before="40"/>
              <w:rPr>
                <w:sz w:val="19"/>
                <w:szCs w:val="19"/>
                <w:lang w:val="en-GB"/>
              </w:rPr>
            </w:pPr>
            <w:r w:rsidRPr="005D3DD5">
              <w:rPr>
                <w:sz w:val="19"/>
                <w:szCs w:val="19"/>
                <w:lang w:val="en-GB"/>
              </w:rPr>
              <w:t>2.1.3: Published report on the capture and storage of carbon by coastal habitats, including national and regional strategic planning recommendations, shared online</w:t>
            </w:r>
          </w:p>
        </w:tc>
        <w:tc>
          <w:tcPr>
            <w:tcW w:w="1884" w:type="dxa"/>
            <w:vAlign w:val="center"/>
          </w:tcPr>
          <w:p w14:paraId="083D4B0E" w14:textId="77777777" w:rsidR="005D3DD5" w:rsidRPr="005D3DD5" w:rsidRDefault="005D3DD5" w:rsidP="005D3DD5">
            <w:pPr>
              <w:spacing w:before="40"/>
              <w:rPr>
                <w:bCs/>
                <w:sz w:val="19"/>
                <w:szCs w:val="19"/>
                <w:lang w:val="en-GB"/>
              </w:rPr>
            </w:pPr>
            <w:r w:rsidRPr="005D3DD5">
              <w:rPr>
                <w:bCs/>
                <w:sz w:val="19"/>
                <w:szCs w:val="19"/>
                <w:lang w:val="en-GB"/>
              </w:rPr>
              <w:t>Volume of CO2 captured and stored by SCS habitats defined</w:t>
            </w:r>
          </w:p>
          <w:p w14:paraId="32751CF2" w14:textId="77777777" w:rsidR="005D3DD5" w:rsidRPr="005D3DD5" w:rsidRDefault="005D3DD5" w:rsidP="005D3DD5">
            <w:pPr>
              <w:spacing w:before="40"/>
              <w:rPr>
                <w:bCs/>
                <w:sz w:val="19"/>
                <w:szCs w:val="19"/>
                <w:lang w:val="en-GB"/>
              </w:rPr>
            </w:pPr>
          </w:p>
          <w:p w14:paraId="51E446FB" w14:textId="77777777" w:rsidR="005D3DD5" w:rsidRPr="005D3DD5" w:rsidRDefault="005D3DD5" w:rsidP="005D3DD5">
            <w:pPr>
              <w:spacing w:before="40"/>
              <w:rPr>
                <w:bCs/>
                <w:sz w:val="19"/>
                <w:szCs w:val="19"/>
                <w:lang w:val="en-GB"/>
              </w:rPr>
            </w:pPr>
            <w:r w:rsidRPr="005D3DD5">
              <w:rPr>
                <w:bCs/>
                <w:sz w:val="19"/>
                <w:szCs w:val="19"/>
                <w:lang w:val="en-GB"/>
              </w:rPr>
              <w:t>Extent of uptake of information on carbon sequestration and storage used in mgmt. planning</w:t>
            </w:r>
          </w:p>
        </w:tc>
        <w:tc>
          <w:tcPr>
            <w:tcW w:w="1884" w:type="dxa"/>
            <w:vAlign w:val="center"/>
          </w:tcPr>
          <w:p w14:paraId="3D83E792" w14:textId="77777777" w:rsidR="005D3DD5" w:rsidRPr="005D3DD5" w:rsidRDefault="005D3DD5" w:rsidP="005D3DD5">
            <w:pPr>
              <w:spacing w:before="40"/>
              <w:rPr>
                <w:sz w:val="19"/>
                <w:szCs w:val="19"/>
                <w:lang w:val="en-GB"/>
              </w:rPr>
            </w:pPr>
            <w:r w:rsidRPr="005D3DD5">
              <w:rPr>
                <w:sz w:val="19"/>
                <w:szCs w:val="19"/>
                <w:lang w:val="en-GB"/>
              </w:rPr>
              <w:t>Lack of SCS specific information on carbon sequestration by coastal habitats constrains resource managers in making political case for better resourcing</w:t>
            </w:r>
          </w:p>
        </w:tc>
        <w:tc>
          <w:tcPr>
            <w:tcW w:w="1884" w:type="dxa"/>
            <w:vAlign w:val="center"/>
          </w:tcPr>
          <w:p w14:paraId="0857A475" w14:textId="77777777" w:rsidR="005D3DD5" w:rsidRPr="005D3DD5" w:rsidRDefault="005D3DD5" w:rsidP="005D3DD5">
            <w:pPr>
              <w:spacing w:before="40"/>
              <w:rPr>
                <w:sz w:val="19"/>
                <w:szCs w:val="19"/>
                <w:lang w:val="en-GB"/>
              </w:rPr>
            </w:pPr>
            <w:r w:rsidRPr="005D3DD5">
              <w:rPr>
                <w:sz w:val="19"/>
                <w:szCs w:val="19"/>
                <w:lang w:val="en-GB"/>
              </w:rPr>
              <w:t>Sites selected for in-situ monitoring that have minimal risks associated with: typhoon; emerging development pressures; and storm surge inundation</w:t>
            </w:r>
          </w:p>
        </w:tc>
        <w:tc>
          <w:tcPr>
            <w:tcW w:w="1884" w:type="dxa"/>
            <w:vAlign w:val="center"/>
          </w:tcPr>
          <w:p w14:paraId="254CDCDF" w14:textId="77777777" w:rsidR="005D3DD5" w:rsidRPr="005D3DD5" w:rsidRDefault="005D3DD5" w:rsidP="005D3DD5">
            <w:pPr>
              <w:spacing w:before="40"/>
              <w:rPr>
                <w:sz w:val="19"/>
                <w:szCs w:val="19"/>
                <w:lang w:val="en-GB"/>
              </w:rPr>
            </w:pPr>
            <w:r w:rsidRPr="005D3DD5">
              <w:rPr>
                <w:sz w:val="19"/>
                <w:szCs w:val="19"/>
                <w:lang w:val="en-GB"/>
              </w:rPr>
              <w:t>Role of coastal habitats of the South China Sea in the sequestration and storage of carbon quantified</w:t>
            </w:r>
          </w:p>
        </w:tc>
      </w:tr>
      <w:tr w:rsidR="005D3DD5" w:rsidRPr="005D3DD5" w14:paraId="7EAB94E5" w14:textId="77777777" w:rsidTr="005D3DD5">
        <w:trPr>
          <w:trHeight w:val="875"/>
          <w:jc w:val="center"/>
        </w:trPr>
        <w:tc>
          <w:tcPr>
            <w:tcW w:w="1884" w:type="dxa"/>
            <w:vAlign w:val="center"/>
          </w:tcPr>
          <w:p w14:paraId="7F444D23" w14:textId="77777777" w:rsidR="005D3DD5" w:rsidRPr="005D3DD5" w:rsidRDefault="005D3DD5" w:rsidP="005D3DD5">
            <w:pPr>
              <w:spacing w:before="40"/>
              <w:rPr>
                <w:bCs/>
                <w:sz w:val="19"/>
                <w:szCs w:val="19"/>
                <w:lang w:val="en-GB"/>
              </w:rPr>
            </w:pPr>
            <w:r w:rsidRPr="005D3DD5">
              <w:rPr>
                <w:bCs/>
                <w:sz w:val="19"/>
                <w:szCs w:val="19"/>
                <w:lang w:val="en-GB"/>
              </w:rPr>
              <w:t>2.1.4(a): Review report published and shared regionally</w:t>
            </w:r>
          </w:p>
          <w:p w14:paraId="7A504660" w14:textId="77777777" w:rsidR="005D3DD5" w:rsidRPr="005D3DD5" w:rsidRDefault="005D3DD5" w:rsidP="005D3DD5">
            <w:pPr>
              <w:spacing w:before="40"/>
              <w:rPr>
                <w:sz w:val="19"/>
                <w:szCs w:val="19"/>
                <w:lang w:val="en-GB"/>
              </w:rPr>
            </w:pPr>
            <w:r w:rsidRPr="005D3DD5">
              <w:rPr>
                <w:bCs/>
                <w:sz w:val="19"/>
                <w:szCs w:val="19"/>
                <w:lang w:val="en-GB"/>
              </w:rPr>
              <w:t>2.1.4(b):Communications on review outcomes published by media outlets and syndicated via GEF:LME LEARN</w:t>
            </w:r>
          </w:p>
        </w:tc>
        <w:tc>
          <w:tcPr>
            <w:tcW w:w="1884" w:type="dxa"/>
            <w:vAlign w:val="center"/>
          </w:tcPr>
          <w:p w14:paraId="74A8CB15" w14:textId="77777777" w:rsidR="005D3DD5" w:rsidRPr="005D3DD5" w:rsidRDefault="005D3DD5" w:rsidP="005D3DD5">
            <w:pPr>
              <w:spacing w:before="40"/>
              <w:rPr>
                <w:bCs/>
                <w:sz w:val="19"/>
                <w:szCs w:val="19"/>
                <w:lang w:val="en-GB"/>
              </w:rPr>
            </w:pPr>
            <w:r w:rsidRPr="005D3DD5">
              <w:rPr>
                <w:bCs/>
                <w:sz w:val="19"/>
                <w:szCs w:val="19"/>
                <w:lang w:val="en-GB"/>
              </w:rPr>
              <w:t>Independent peer acceptance of review</w:t>
            </w:r>
          </w:p>
          <w:p w14:paraId="0A83C85D" w14:textId="77777777" w:rsidR="005D3DD5" w:rsidRPr="005D3DD5" w:rsidRDefault="005D3DD5" w:rsidP="005D3DD5">
            <w:pPr>
              <w:spacing w:before="40"/>
              <w:rPr>
                <w:bCs/>
                <w:sz w:val="19"/>
                <w:szCs w:val="19"/>
                <w:lang w:val="en-GB"/>
              </w:rPr>
            </w:pPr>
          </w:p>
          <w:p w14:paraId="7CAA4244" w14:textId="77777777" w:rsidR="005D3DD5" w:rsidRPr="005D3DD5" w:rsidRDefault="005D3DD5" w:rsidP="005D3DD5">
            <w:pPr>
              <w:spacing w:before="40"/>
              <w:rPr>
                <w:sz w:val="19"/>
                <w:szCs w:val="19"/>
                <w:lang w:val="en-GB"/>
              </w:rPr>
            </w:pPr>
            <w:r w:rsidRPr="005D3DD5">
              <w:rPr>
                <w:bCs/>
                <w:sz w:val="19"/>
                <w:szCs w:val="19"/>
                <w:lang w:val="en-GB"/>
              </w:rPr>
              <w:t>Extent of uptake of review and its recommendations in updating national action plans and diagnostic analyses</w:t>
            </w:r>
          </w:p>
        </w:tc>
        <w:tc>
          <w:tcPr>
            <w:tcW w:w="1884" w:type="dxa"/>
            <w:vAlign w:val="center"/>
          </w:tcPr>
          <w:p w14:paraId="2ABD2A88" w14:textId="77777777" w:rsidR="005D3DD5" w:rsidRPr="005D3DD5" w:rsidRDefault="005D3DD5" w:rsidP="005D3DD5">
            <w:pPr>
              <w:spacing w:before="40"/>
              <w:rPr>
                <w:sz w:val="19"/>
                <w:szCs w:val="19"/>
                <w:lang w:val="en-GB"/>
              </w:rPr>
            </w:pPr>
            <w:r w:rsidRPr="005D3DD5">
              <w:rPr>
                <w:sz w:val="19"/>
                <w:szCs w:val="19"/>
                <w:lang w:val="en-GB"/>
              </w:rPr>
              <w:t>Sea level rise, climate variability and change, and episodic natural disasters in SC identified as threats to sustainable management of coastal habitats</w:t>
            </w:r>
          </w:p>
        </w:tc>
        <w:tc>
          <w:tcPr>
            <w:tcW w:w="1884" w:type="dxa"/>
            <w:vAlign w:val="center"/>
          </w:tcPr>
          <w:p w14:paraId="361578C0" w14:textId="77777777" w:rsidR="005D3DD5" w:rsidRPr="005D3DD5" w:rsidRDefault="005D3DD5" w:rsidP="005D3DD5">
            <w:pPr>
              <w:rPr>
                <w:color w:val="FF0000"/>
                <w:sz w:val="19"/>
                <w:szCs w:val="19"/>
                <w:lang w:val="en-GB"/>
              </w:rPr>
            </w:pPr>
            <w:r w:rsidRPr="005D3DD5">
              <w:rPr>
                <w:sz w:val="19"/>
                <w:szCs w:val="19"/>
                <w:lang w:val="en-GB"/>
              </w:rPr>
              <w:t>Appropriate breadth of expertise identified and engaged to conduct review to facilitate consensus building at both national and regional levels</w:t>
            </w:r>
          </w:p>
        </w:tc>
        <w:tc>
          <w:tcPr>
            <w:tcW w:w="1884" w:type="dxa"/>
            <w:vAlign w:val="center"/>
          </w:tcPr>
          <w:p w14:paraId="70C63351" w14:textId="77777777" w:rsidR="005D3DD5" w:rsidRPr="005D3DD5" w:rsidRDefault="005D3DD5" w:rsidP="005D3DD5">
            <w:pPr>
              <w:spacing w:before="40"/>
              <w:rPr>
                <w:sz w:val="19"/>
                <w:szCs w:val="19"/>
                <w:lang w:val="en-GB"/>
              </w:rPr>
            </w:pPr>
            <w:r w:rsidRPr="005D3DD5">
              <w:rPr>
                <w:sz w:val="19"/>
                <w:szCs w:val="19"/>
                <w:lang w:val="en-GB"/>
              </w:rPr>
              <w:t>Review of the potential impacts of sea level rise, climate change, and episodic events on coastal habitats of the South China Sea</w:t>
            </w:r>
          </w:p>
        </w:tc>
      </w:tr>
      <w:tr w:rsidR="005D3DD5" w:rsidRPr="005D3DD5" w14:paraId="605A2E24" w14:textId="77777777" w:rsidTr="005D3DD5">
        <w:trPr>
          <w:trHeight w:val="557"/>
          <w:jc w:val="center"/>
        </w:trPr>
        <w:tc>
          <w:tcPr>
            <w:tcW w:w="1884" w:type="dxa"/>
            <w:vAlign w:val="center"/>
          </w:tcPr>
          <w:p w14:paraId="177C19BE" w14:textId="77777777" w:rsidR="005D3DD5" w:rsidRPr="005D3DD5" w:rsidRDefault="005D3DD5" w:rsidP="005D3DD5">
            <w:pPr>
              <w:spacing w:before="40"/>
              <w:rPr>
                <w:sz w:val="19"/>
                <w:szCs w:val="19"/>
                <w:lang w:val="en-GB"/>
              </w:rPr>
            </w:pPr>
            <w:r w:rsidRPr="005D3DD5">
              <w:rPr>
                <w:bCs/>
                <w:sz w:val="19"/>
                <w:szCs w:val="19"/>
                <w:lang w:val="en-GB"/>
              </w:rPr>
              <w:t xml:space="preserve">2.1.5(a): </w:t>
            </w:r>
            <w:r w:rsidRPr="005D3DD5">
              <w:rPr>
                <w:sz w:val="19"/>
                <w:szCs w:val="19"/>
                <w:lang w:val="en-GB"/>
              </w:rPr>
              <w:t>Adopted National Action Plans accessible online</w:t>
            </w:r>
          </w:p>
          <w:p w14:paraId="0EF44DF1" w14:textId="77777777" w:rsidR="005D3DD5" w:rsidRPr="005D3DD5" w:rsidRDefault="005D3DD5" w:rsidP="005D3DD5">
            <w:pPr>
              <w:spacing w:before="40"/>
              <w:rPr>
                <w:sz w:val="19"/>
                <w:szCs w:val="19"/>
                <w:lang w:val="en-GB"/>
              </w:rPr>
            </w:pPr>
            <w:r w:rsidRPr="005D3DD5">
              <w:rPr>
                <w:sz w:val="19"/>
                <w:szCs w:val="19"/>
                <w:lang w:val="en-GB"/>
              </w:rPr>
              <w:t>2.1.5(b): Executive orders, provincial/ local ordinances and by-laws</w:t>
            </w:r>
          </w:p>
        </w:tc>
        <w:tc>
          <w:tcPr>
            <w:tcW w:w="1884" w:type="dxa"/>
            <w:vAlign w:val="center"/>
          </w:tcPr>
          <w:p w14:paraId="4D5EC7B4" w14:textId="77777777" w:rsidR="005D3DD5" w:rsidRPr="005D3DD5" w:rsidRDefault="005D3DD5" w:rsidP="005D3DD5">
            <w:pPr>
              <w:spacing w:before="40"/>
              <w:rPr>
                <w:bCs/>
                <w:sz w:val="19"/>
                <w:szCs w:val="19"/>
                <w:lang w:val="en-GB"/>
              </w:rPr>
            </w:pPr>
            <w:r w:rsidRPr="005D3DD5">
              <w:rPr>
                <w:bCs/>
                <w:sz w:val="19"/>
                <w:szCs w:val="19"/>
                <w:lang w:val="en-GB"/>
              </w:rPr>
              <w:t>Number of updated National Action Plans adopted</w:t>
            </w:r>
          </w:p>
          <w:p w14:paraId="48202439" w14:textId="77777777" w:rsidR="005D3DD5" w:rsidRPr="005D3DD5" w:rsidRDefault="005D3DD5" w:rsidP="005D3DD5">
            <w:pPr>
              <w:spacing w:before="40"/>
              <w:rPr>
                <w:bCs/>
                <w:sz w:val="19"/>
                <w:szCs w:val="19"/>
                <w:lang w:val="en-GB"/>
              </w:rPr>
            </w:pPr>
          </w:p>
          <w:p w14:paraId="141A84C3" w14:textId="77777777" w:rsidR="005D3DD5" w:rsidRPr="005D3DD5" w:rsidRDefault="005D3DD5" w:rsidP="005D3DD5">
            <w:pPr>
              <w:spacing w:before="40"/>
              <w:rPr>
                <w:bCs/>
                <w:sz w:val="19"/>
                <w:szCs w:val="19"/>
                <w:lang w:val="en-GB"/>
              </w:rPr>
            </w:pPr>
            <w:r w:rsidRPr="005D3DD5">
              <w:rPr>
                <w:bCs/>
                <w:sz w:val="19"/>
                <w:szCs w:val="19"/>
                <w:lang w:val="en-GB"/>
              </w:rPr>
              <w:t>Number of laws and regulations adopted to enable action plan implementation</w:t>
            </w:r>
          </w:p>
        </w:tc>
        <w:tc>
          <w:tcPr>
            <w:tcW w:w="1884" w:type="dxa"/>
            <w:vAlign w:val="center"/>
          </w:tcPr>
          <w:p w14:paraId="5863EF73" w14:textId="77777777" w:rsidR="005D3DD5" w:rsidRPr="005D3DD5" w:rsidRDefault="005D3DD5" w:rsidP="005D3DD5">
            <w:pPr>
              <w:spacing w:before="40"/>
              <w:rPr>
                <w:sz w:val="19"/>
                <w:szCs w:val="19"/>
                <w:lang w:val="en-GB"/>
              </w:rPr>
            </w:pPr>
            <w:r w:rsidRPr="005D3DD5">
              <w:rPr>
                <w:sz w:val="19"/>
                <w:szCs w:val="19"/>
                <w:lang w:val="en-GB"/>
              </w:rPr>
              <w:t>National Action Plans for mangroves, coral reefs, seagrass and wetlands developed and implemented during period 2002-2008</w:t>
            </w:r>
          </w:p>
        </w:tc>
        <w:tc>
          <w:tcPr>
            <w:tcW w:w="1884" w:type="dxa"/>
            <w:vAlign w:val="center"/>
          </w:tcPr>
          <w:p w14:paraId="0CE5FAFA" w14:textId="77777777" w:rsidR="005D3DD5" w:rsidRPr="005D3DD5" w:rsidRDefault="005D3DD5" w:rsidP="005D3DD5">
            <w:pPr>
              <w:rPr>
                <w:sz w:val="19"/>
                <w:szCs w:val="19"/>
                <w:lang w:val="en-GB"/>
              </w:rPr>
            </w:pPr>
            <w:r w:rsidRPr="005D3DD5">
              <w:rPr>
                <w:sz w:val="19"/>
                <w:szCs w:val="19"/>
                <w:lang w:val="en-GB"/>
              </w:rPr>
              <w:t>Outdated National Action Plans assessed and contemporary priority issues for management planning identified</w:t>
            </w:r>
          </w:p>
        </w:tc>
        <w:tc>
          <w:tcPr>
            <w:tcW w:w="1884" w:type="dxa"/>
            <w:vAlign w:val="center"/>
          </w:tcPr>
          <w:p w14:paraId="6DDA0762" w14:textId="77777777" w:rsidR="005D3DD5" w:rsidRPr="005D3DD5" w:rsidRDefault="005D3DD5" w:rsidP="005D3DD5">
            <w:pPr>
              <w:spacing w:before="40"/>
              <w:rPr>
                <w:sz w:val="19"/>
                <w:szCs w:val="19"/>
                <w:lang w:val="en-GB"/>
              </w:rPr>
            </w:pPr>
            <w:r w:rsidRPr="005D3DD5">
              <w:rPr>
                <w:sz w:val="19"/>
                <w:szCs w:val="19"/>
                <w:lang w:val="en-GB"/>
              </w:rPr>
              <w:t>Updated and adopted National Action Plans for mangroves, coral reefs, seagrass and wetlands, including enactment of supporting legislation where required</w:t>
            </w:r>
          </w:p>
        </w:tc>
      </w:tr>
      <w:tr w:rsidR="005D3DD5" w:rsidRPr="005D3DD5" w14:paraId="3352A6D6" w14:textId="77777777" w:rsidTr="005D3DD5">
        <w:trPr>
          <w:trHeight w:val="530"/>
          <w:jc w:val="center"/>
        </w:trPr>
        <w:tc>
          <w:tcPr>
            <w:tcW w:w="9420" w:type="dxa"/>
            <w:gridSpan w:val="5"/>
            <w:shd w:val="clear" w:color="auto" w:fill="F2F2F2"/>
            <w:vAlign w:val="center"/>
          </w:tcPr>
          <w:p w14:paraId="7EA8F883" w14:textId="77777777" w:rsidR="005D3DD5" w:rsidRPr="005D3DD5" w:rsidRDefault="005D3DD5" w:rsidP="005D3DD5">
            <w:pPr>
              <w:spacing w:before="40"/>
              <w:jc w:val="center"/>
              <w:rPr>
                <w:b/>
                <w:sz w:val="19"/>
                <w:szCs w:val="19"/>
                <w:lang w:val="en-GB"/>
              </w:rPr>
            </w:pPr>
            <w:r w:rsidRPr="005D3DD5">
              <w:rPr>
                <w:b/>
                <w:sz w:val="19"/>
                <w:szCs w:val="19"/>
                <w:lang w:val="en-GB"/>
              </w:rPr>
              <w:t>2.2  Effective integration of regional science in the management of land-based pollution</w:t>
            </w:r>
          </w:p>
        </w:tc>
      </w:tr>
      <w:tr w:rsidR="005D3DD5" w:rsidRPr="005D3DD5" w14:paraId="715AFA10" w14:textId="77777777" w:rsidTr="005D3DD5">
        <w:trPr>
          <w:trHeight w:val="1080"/>
          <w:jc w:val="center"/>
        </w:trPr>
        <w:tc>
          <w:tcPr>
            <w:tcW w:w="1884" w:type="dxa"/>
            <w:vAlign w:val="center"/>
          </w:tcPr>
          <w:p w14:paraId="04D7334B" w14:textId="77777777" w:rsidR="005D3DD5" w:rsidRPr="005D3DD5" w:rsidRDefault="005D3DD5" w:rsidP="005D3DD5">
            <w:pPr>
              <w:spacing w:before="40"/>
              <w:rPr>
                <w:bCs/>
                <w:sz w:val="19"/>
                <w:szCs w:val="19"/>
                <w:lang w:val="en-GB"/>
              </w:rPr>
            </w:pPr>
            <w:r w:rsidRPr="005D3DD5">
              <w:rPr>
                <w:bCs/>
                <w:sz w:val="19"/>
                <w:szCs w:val="19"/>
                <w:lang w:val="en-GB"/>
              </w:rPr>
              <w:t>2.2.1(a): Nutrient carrying capacity accessible online</w:t>
            </w:r>
          </w:p>
          <w:p w14:paraId="4ED765AA" w14:textId="77777777" w:rsidR="005D3DD5" w:rsidRPr="005D3DD5" w:rsidRDefault="005D3DD5" w:rsidP="005D3DD5">
            <w:pPr>
              <w:spacing w:before="40"/>
              <w:rPr>
                <w:bCs/>
                <w:sz w:val="19"/>
                <w:szCs w:val="19"/>
                <w:lang w:val="en-GB"/>
              </w:rPr>
            </w:pPr>
            <w:r w:rsidRPr="005D3DD5">
              <w:rPr>
                <w:bCs/>
                <w:sz w:val="19"/>
                <w:szCs w:val="19"/>
                <w:lang w:val="en-GB"/>
              </w:rPr>
              <w:t>2.2.1(b):Communications products available for regional and global sharing</w:t>
            </w:r>
          </w:p>
          <w:p w14:paraId="3864050C" w14:textId="77777777" w:rsidR="005D3DD5" w:rsidRPr="005D3DD5" w:rsidRDefault="005D3DD5" w:rsidP="005D3DD5">
            <w:pPr>
              <w:spacing w:before="40"/>
              <w:rPr>
                <w:bCs/>
                <w:sz w:val="19"/>
                <w:szCs w:val="19"/>
                <w:lang w:val="en-GB"/>
              </w:rPr>
            </w:pPr>
            <w:r w:rsidRPr="005D3DD5">
              <w:rPr>
                <w:bCs/>
                <w:sz w:val="19"/>
                <w:szCs w:val="19"/>
                <w:lang w:val="en-GB"/>
              </w:rPr>
              <w:t>2.2.1(c): 1 * IW Experience Note</w:t>
            </w:r>
          </w:p>
        </w:tc>
        <w:tc>
          <w:tcPr>
            <w:tcW w:w="1884" w:type="dxa"/>
            <w:vAlign w:val="center"/>
          </w:tcPr>
          <w:p w14:paraId="7022727A" w14:textId="77777777" w:rsidR="005D3DD5" w:rsidRPr="005D3DD5" w:rsidRDefault="005D3DD5" w:rsidP="005D3DD5">
            <w:pPr>
              <w:rPr>
                <w:sz w:val="19"/>
                <w:szCs w:val="19"/>
                <w:lang w:val="en-GB" w:bidi="th-TH"/>
              </w:rPr>
            </w:pPr>
            <w:r w:rsidRPr="005D3DD5">
              <w:rPr>
                <w:sz w:val="19"/>
                <w:szCs w:val="19"/>
                <w:lang w:val="en-GB" w:bidi="th-TH"/>
              </w:rPr>
              <w:t>Extent of decision-maker awareness of localised v. transboundary impacts of land-based pollution in the SCS</w:t>
            </w:r>
          </w:p>
          <w:p w14:paraId="748E9958" w14:textId="77777777" w:rsidR="005D3DD5" w:rsidRPr="005D3DD5" w:rsidRDefault="005D3DD5" w:rsidP="005D3DD5">
            <w:pPr>
              <w:rPr>
                <w:sz w:val="19"/>
                <w:szCs w:val="19"/>
                <w:lang w:val="en-GB" w:bidi="th-TH"/>
              </w:rPr>
            </w:pPr>
          </w:p>
          <w:p w14:paraId="1D9DBBE2" w14:textId="77777777" w:rsidR="005D3DD5" w:rsidRPr="005D3DD5" w:rsidRDefault="005D3DD5" w:rsidP="005D3DD5">
            <w:pPr>
              <w:contextualSpacing/>
              <w:rPr>
                <w:sz w:val="19"/>
                <w:szCs w:val="19"/>
                <w:lang w:val="en-GB" w:bidi="th-TH"/>
              </w:rPr>
            </w:pPr>
            <w:r w:rsidRPr="005D3DD5">
              <w:rPr>
                <w:sz w:val="19"/>
                <w:szCs w:val="19"/>
                <w:lang w:val="en-GB" w:bidi="th-TH"/>
              </w:rPr>
              <w:t>Extent of use of model outputs in revising the Strategic Action Programme for the SCS</w:t>
            </w:r>
          </w:p>
        </w:tc>
        <w:tc>
          <w:tcPr>
            <w:tcW w:w="1884" w:type="dxa"/>
            <w:vAlign w:val="center"/>
          </w:tcPr>
          <w:p w14:paraId="473D8AC4" w14:textId="77777777" w:rsidR="005D3DD5" w:rsidRPr="005D3DD5" w:rsidRDefault="005D3DD5" w:rsidP="005D3DD5">
            <w:pPr>
              <w:spacing w:before="40"/>
              <w:rPr>
                <w:sz w:val="19"/>
                <w:szCs w:val="19"/>
                <w:lang w:val="en-GB"/>
              </w:rPr>
            </w:pPr>
            <w:r w:rsidRPr="005D3DD5">
              <w:rPr>
                <w:sz w:val="19"/>
                <w:szCs w:val="19"/>
                <w:lang w:val="en-GB"/>
              </w:rPr>
              <w:t>Carrying capacity of the SCS open shelf system based on its natural capacity to assimilate contaminants, in particular nutrient inputs from land, has been modelled although findings not well known by decision-makers</w:t>
            </w:r>
          </w:p>
        </w:tc>
        <w:tc>
          <w:tcPr>
            <w:tcW w:w="1884" w:type="dxa"/>
            <w:vAlign w:val="center"/>
          </w:tcPr>
          <w:p w14:paraId="1F016DDA" w14:textId="77777777" w:rsidR="005D3DD5" w:rsidRPr="005D3DD5" w:rsidRDefault="005D3DD5" w:rsidP="005D3DD5">
            <w:pPr>
              <w:rPr>
                <w:sz w:val="19"/>
                <w:szCs w:val="19"/>
                <w:lang w:val="en-GB"/>
              </w:rPr>
            </w:pPr>
            <w:r w:rsidRPr="005D3DD5">
              <w:rPr>
                <w:sz w:val="19"/>
                <w:szCs w:val="19"/>
                <w:lang w:val="en-GB"/>
              </w:rPr>
              <w:t>Communication strategy development and under implementation, including online dissemination of user-friendly scientific communications</w:t>
            </w:r>
          </w:p>
        </w:tc>
        <w:tc>
          <w:tcPr>
            <w:tcW w:w="1884" w:type="dxa"/>
            <w:vAlign w:val="center"/>
          </w:tcPr>
          <w:p w14:paraId="14E00636" w14:textId="77777777" w:rsidR="005D3DD5" w:rsidRPr="005D3DD5" w:rsidRDefault="005D3DD5" w:rsidP="005D3DD5">
            <w:pPr>
              <w:spacing w:before="40"/>
              <w:rPr>
                <w:sz w:val="19"/>
                <w:szCs w:val="19"/>
                <w:lang w:val="en-GB"/>
              </w:rPr>
            </w:pPr>
            <w:r w:rsidRPr="005D3DD5">
              <w:rPr>
                <w:sz w:val="19"/>
                <w:szCs w:val="19"/>
                <w:lang w:val="en-GB"/>
              </w:rPr>
              <w:t>Nutrient carrying capacity model for the SCS marine basin used to communicate with decision-makers about the localized v. transboundary impacts of land-based pollution in the SCS</w:t>
            </w:r>
          </w:p>
        </w:tc>
      </w:tr>
      <w:tr w:rsidR="005D3DD5" w:rsidRPr="005D3DD5" w14:paraId="362A7C57" w14:textId="77777777" w:rsidTr="005D3DD5">
        <w:trPr>
          <w:trHeight w:val="1080"/>
          <w:jc w:val="center"/>
        </w:trPr>
        <w:tc>
          <w:tcPr>
            <w:tcW w:w="1884" w:type="dxa"/>
            <w:vAlign w:val="center"/>
          </w:tcPr>
          <w:p w14:paraId="4A383DB6" w14:textId="77777777" w:rsidR="005D3DD5" w:rsidRPr="005D3DD5" w:rsidRDefault="005D3DD5" w:rsidP="005D3DD5">
            <w:pPr>
              <w:spacing w:before="40"/>
              <w:rPr>
                <w:bCs/>
                <w:sz w:val="19"/>
                <w:szCs w:val="19"/>
                <w:lang w:val="en-GB"/>
              </w:rPr>
            </w:pPr>
            <w:r w:rsidRPr="005D3DD5">
              <w:rPr>
                <w:bCs/>
                <w:sz w:val="19"/>
                <w:szCs w:val="19"/>
                <w:lang w:val="en-GB"/>
              </w:rPr>
              <w:t>2.2.2(a): GIS-based model of SCS carrying capacity for heavy metal contamination developed &amp; online</w:t>
            </w:r>
          </w:p>
          <w:p w14:paraId="6AA4395E" w14:textId="77777777" w:rsidR="005D3DD5" w:rsidRPr="005D3DD5" w:rsidRDefault="005D3DD5" w:rsidP="005D3DD5">
            <w:pPr>
              <w:spacing w:before="40"/>
              <w:rPr>
                <w:bCs/>
                <w:sz w:val="19"/>
                <w:szCs w:val="19"/>
                <w:lang w:val="en-GB"/>
              </w:rPr>
            </w:pPr>
            <w:r w:rsidRPr="005D3DD5">
              <w:rPr>
                <w:bCs/>
                <w:sz w:val="19"/>
                <w:szCs w:val="19"/>
                <w:lang w:val="en-GB"/>
              </w:rPr>
              <w:t>2.2.2(b):Communications products available for regional and global sharing</w:t>
            </w:r>
          </w:p>
          <w:p w14:paraId="3939CB94" w14:textId="77777777" w:rsidR="005D3DD5" w:rsidRPr="005D3DD5" w:rsidRDefault="005D3DD5" w:rsidP="005D3DD5">
            <w:pPr>
              <w:spacing w:before="40"/>
              <w:rPr>
                <w:bCs/>
                <w:sz w:val="19"/>
                <w:szCs w:val="19"/>
                <w:lang w:val="en-GB"/>
              </w:rPr>
            </w:pPr>
            <w:r w:rsidRPr="005D3DD5">
              <w:rPr>
                <w:bCs/>
                <w:sz w:val="19"/>
                <w:szCs w:val="19"/>
                <w:lang w:val="en-GB"/>
              </w:rPr>
              <w:t>2.2.2(c): 1 * IW Experience Note</w:t>
            </w:r>
          </w:p>
        </w:tc>
        <w:tc>
          <w:tcPr>
            <w:tcW w:w="1884" w:type="dxa"/>
            <w:vAlign w:val="center"/>
          </w:tcPr>
          <w:p w14:paraId="7943ACFA" w14:textId="77777777" w:rsidR="005D3DD5" w:rsidRPr="005D3DD5" w:rsidRDefault="005D3DD5" w:rsidP="005D3DD5">
            <w:pPr>
              <w:spacing w:before="40"/>
              <w:rPr>
                <w:bCs/>
                <w:sz w:val="19"/>
                <w:szCs w:val="19"/>
                <w:lang w:val="en-GB"/>
              </w:rPr>
            </w:pPr>
            <w:r w:rsidRPr="005D3DD5">
              <w:rPr>
                <w:bCs/>
                <w:sz w:val="19"/>
                <w:szCs w:val="19"/>
                <w:lang w:val="en-GB"/>
              </w:rPr>
              <w:t>Extent of decision-maker awareness of SCS open shelf carrying capacity for heavy metal contaminants</w:t>
            </w:r>
          </w:p>
          <w:p w14:paraId="344FE636" w14:textId="77777777" w:rsidR="005D3DD5" w:rsidRPr="005D3DD5" w:rsidRDefault="005D3DD5" w:rsidP="005D3DD5">
            <w:pPr>
              <w:spacing w:before="40"/>
              <w:rPr>
                <w:bCs/>
                <w:sz w:val="19"/>
                <w:szCs w:val="19"/>
                <w:lang w:val="en-GB"/>
              </w:rPr>
            </w:pPr>
          </w:p>
          <w:p w14:paraId="783F74F7" w14:textId="77777777" w:rsidR="005D3DD5" w:rsidRPr="005D3DD5" w:rsidRDefault="005D3DD5" w:rsidP="005D3DD5">
            <w:pPr>
              <w:spacing w:before="40"/>
              <w:rPr>
                <w:bCs/>
                <w:sz w:val="19"/>
                <w:szCs w:val="19"/>
                <w:lang w:val="en-GB"/>
              </w:rPr>
            </w:pPr>
            <w:r w:rsidRPr="005D3DD5">
              <w:rPr>
                <w:bCs/>
                <w:sz w:val="19"/>
                <w:szCs w:val="19"/>
                <w:lang w:val="en-GB"/>
              </w:rPr>
              <w:t>Extent of use of model outputs in revising the Strategic Action Programme for the SCS</w:t>
            </w:r>
          </w:p>
        </w:tc>
        <w:tc>
          <w:tcPr>
            <w:tcW w:w="1884" w:type="dxa"/>
            <w:vAlign w:val="center"/>
          </w:tcPr>
          <w:p w14:paraId="35770F48" w14:textId="77777777" w:rsidR="005D3DD5" w:rsidRPr="005D3DD5" w:rsidRDefault="005D3DD5" w:rsidP="005D3DD5">
            <w:pPr>
              <w:spacing w:before="40"/>
              <w:rPr>
                <w:sz w:val="19"/>
                <w:szCs w:val="19"/>
                <w:lang w:val="en-GB"/>
              </w:rPr>
            </w:pPr>
            <w:r w:rsidRPr="005D3DD5">
              <w:rPr>
                <w:sz w:val="19"/>
                <w:szCs w:val="19"/>
                <w:lang w:val="en-GB"/>
              </w:rPr>
              <w:t>Need for simple model of pollution impacts under different development scenarios, specifically as they relate to heavy metal contaminant loadings</w:t>
            </w:r>
          </w:p>
        </w:tc>
        <w:tc>
          <w:tcPr>
            <w:tcW w:w="1884" w:type="dxa"/>
            <w:vAlign w:val="center"/>
          </w:tcPr>
          <w:p w14:paraId="33921832" w14:textId="77777777" w:rsidR="005D3DD5" w:rsidRPr="005D3DD5" w:rsidRDefault="005D3DD5" w:rsidP="005D3DD5">
            <w:pPr>
              <w:rPr>
                <w:sz w:val="19"/>
                <w:szCs w:val="19"/>
                <w:lang w:val="en-GB"/>
              </w:rPr>
            </w:pPr>
            <w:r w:rsidRPr="005D3DD5">
              <w:rPr>
                <w:sz w:val="19"/>
                <w:szCs w:val="19"/>
                <w:lang w:val="en-GB"/>
              </w:rPr>
              <w:t>Model parameters defined, tested, and that data and information from heavy metal hotspots are being collated to support running the model under various loading scenarios</w:t>
            </w:r>
          </w:p>
        </w:tc>
        <w:tc>
          <w:tcPr>
            <w:tcW w:w="1884" w:type="dxa"/>
            <w:vAlign w:val="center"/>
          </w:tcPr>
          <w:p w14:paraId="06B7043E" w14:textId="77777777" w:rsidR="005D3DD5" w:rsidRPr="005D3DD5" w:rsidRDefault="005D3DD5" w:rsidP="005D3DD5">
            <w:pPr>
              <w:spacing w:before="40"/>
              <w:rPr>
                <w:sz w:val="19"/>
                <w:szCs w:val="19"/>
                <w:lang w:val="en-GB"/>
              </w:rPr>
            </w:pPr>
            <w:r w:rsidRPr="005D3DD5">
              <w:rPr>
                <w:sz w:val="19"/>
                <w:szCs w:val="19"/>
                <w:lang w:val="en-GB"/>
              </w:rPr>
              <w:t>Management approaches (integrated, community-based, multiple use) improved at 82 coral reef sites</w:t>
            </w:r>
          </w:p>
        </w:tc>
      </w:tr>
      <w:tr w:rsidR="005D3DD5" w:rsidRPr="005D3DD5" w14:paraId="2FF007AF" w14:textId="77777777" w:rsidTr="005D3DD5">
        <w:trPr>
          <w:trHeight w:val="1080"/>
          <w:jc w:val="center"/>
        </w:trPr>
        <w:tc>
          <w:tcPr>
            <w:tcW w:w="1884" w:type="dxa"/>
            <w:vAlign w:val="center"/>
          </w:tcPr>
          <w:p w14:paraId="16F0E9D4" w14:textId="77777777" w:rsidR="005D3DD5" w:rsidRPr="005D3DD5" w:rsidRDefault="005D3DD5" w:rsidP="005D3DD5">
            <w:pPr>
              <w:spacing w:before="40"/>
              <w:rPr>
                <w:bCs/>
                <w:sz w:val="19"/>
                <w:szCs w:val="19"/>
                <w:lang w:val="en-GB"/>
              </w:rPr>
            </w:pPr>
            <w:r w:rsidRPr="005D3DD5">
              <w:rPr>
                <w:bCs/>
                <w:sz w:val="19"/>
                <w:szCs w:val="19"/>
                <w:lang w:val="en-GB"/>
              </w:rPr>
              <w:t>2.2.3: Published report shared nationally and regionally, including national language translation where appropriate</w:t>
            </w:r>
          </w:p>
        </w:tc>
        <w:tc>
          <w:tcPr>
            <w:tcW w:w="1884" w:type="dxa"/>
            <w:vAlign w:val="center"/>
          </w:tcPr>
          <w:p w14:paraId="334723C9" w14:textId="77777777" w:rsidR="005D3DD5" w:rsidRPr="005D3DD5" w:rsidRDefault="005D3DD5" w:rsidP="005D3DD5">
            <w:pPr>
              <w:spacing w:before="40"/>
              <w:rPr>
                <w:bCs/>
                <w:sz w:val="19"/>
                <w:szCs w:val="19"/>
                <w:lang w:val="en-GB"/>
              </w:rPr>
            </w:pPr>
            <w:r w:rsidRPr="005D3DD5">
              <w:rPr>
                <w:bCs/>
                <w:sz w:val="19"/>
                <w:szCs w:val="19"/>
                <w:lang w:val="en-GB"/>
              </w:rPr>
              <w:t>Status of initiative to quantify heavy metal contaminant impacts on: (a) water quality;</w:t>
            </w:r>
          </w:p>
          <w:p w14:paraId="4B34B195" w14:textId="77777777" w:rsidR="005D3DD5" w:rsidRPr="005D3DD5" w:rsidRDefault="005D3DD5" w:rsidP="005D3DD5">
            <w:pPr>
              <w:spacing w:before="40"/>
              <w:rPr>
                <w:bCs/>
                <w:sz w:val="19"/>
                <w:szCs w:val="19"/>
                <w:lang w:val="en-GB"/>
              </w:rPr>
            </w:pPr>
            <w:r w:rsidRPr="005D3DD5">
              <w:rPr>
                <w:bCs/>
                <w:sz w:val="19"/>
                <w:szCs w:val="19"/>
                <w:lang w:val="en-GB"/>
              </w:rPr>
              <w:t>(b) reproductive</w:t>
            </w:r>
          </w:p>
          <w:p w14:paraId="3F8D799F" w14:textId="77777777" w:rsidR="005D3DD5" w:rsidRPr="005D3DD5" w:rsidRDefault="005D3DD5" w:rsidP="005D3DD5">
            <w:pPr>
              <w:spacing w:before="40"/>
              <w:rPr>
                <w:bCs/>
                <w:sz w:val="19"/>
                <w:szCs w:val="19"/>
                <w:lang w:val="en-GB"/>
              </w:rPr>
            </w:pPr>
            <w:r w:rsidRPr="005D3DD5">
              <w:rPr>
                <w:bCs/>
                <w:sz w:val="19"/>
                <w:szCs w:val="19"/>
                <w:lang w:val="en-GB"/>
              </w:rPr>
              <w:t>capacity of living resources; (c) contamination of</w:t>
            </w:r>
          </w:p>
          <w:p w14:paraId="317F9018" w14:textId="77777777" w:rsidR="005D3DD5" w:rsidRPr="005D3DD5" w:rsidRDefault="005D3DD5" w:rsidP="005D3DD5">
            <w:pPr>
              <w:spacing w:before="40"/>
              <w:rPr>
                <w:bCs/>
                <w:sz w:val="19"/>
                <w:szCs w:val="19"/>
                <w:lang w:val="en-GB"/>
              </w:rPr>
            </w:pPr>
            <w:r w:rsidRPr="005D3DD5">
              <w:rPr>
                <w:bCs/>
                <w:sz w:val="19"/>
                <w:szCs w:val="19"/>
                <w:lang w:val="en-GB"/>
              </w:rPr>
              <w:t>human food</w:t>
            </w:r>
          </w:p>
          <w:p w14:paraId="05C7BF91" w14:textId="77777777" w:rsidR="005D3DD5" w:rsidRPr="005D3DD5" w:rsidRDefault="005D3DD5" w:rsidP="005D3DD5">
            <w:pPr>
              <w:spacing w:before="40"/>
              <w:rPr>
                <w:bCs/>
                <w:sz w:val="19"/>
                <w:szCs w:val="19"/>
                <w:lang w:val="en-GB"/>
              </w:rPr>
            </w:pPr>
            <w:r w:rsidRPr="005D3DD5">
              <w:rPr>
                <w:bCs/>
                <w:sz w:val="19"/>
                <w:szCs w:val="19"/>
                <w:lang w:val="en-GB"/>
              </w:rPr>
              <w:t>sources; and (d) bio-accumulation.</w:t>
            </w:r>
          </w:p>
        </w:tc>
        <w:tc>
          <w:tcPr>
            <w:tcW w:w="1884" w:type="dxa"/>
            <w:vAlign w:val="center"/>
          </w:tcPr>
          <w:p w14:paraId="5B0CBECB" w14:textId="77777777" w:rsidR="005D3DD5" w:rsidRPr="005D3DD5" w:rsidRDefault="005D3DD5" w:rsidP="005D3DD5">
            <w:pPr>
              <w:spacing w:before="40"/>
              <w:rPr>
                <w:sz w:val="19"/>
                <w:szCs w:val="19"/>
                <w:lang w:val="en-GB"/>
              </w:rPr>
            </w:pPr>
            <w:r w:rsidRPr="005D3DD5">
              <w:rPr>
                <w:sz w:val="19"/>
                <w:szCs w:val="19"/>
                <w:lang w:val="en-GB"/>
              </w:rPr>
              <w:t>Framework procedures for estimating the impacts of heavy metal contamination in SCS have been developed although not yet applied</w:t>
            </w:r>
          </w:p>
        </w:tc>
        <w:tc>
          <w:tcPr>
            <w:tcW w:w="1884" w:type="dxa"/>
            <w:vAlign w:val="center"/>
          </w:tcPr>
          <w:p w14:paraId="13005687" w14:textId="77777777" w:rsidR="005D3DD5" w:rsidRPr="005D3DD5" w:rsidRDefault="005D3DD5" w:rsidP="005D3DD5">
            <w:pPr>
              <w:rPr>
                <w:sz w:val="19"/>
                <w:szCs w:val="19"/>
                <w:lang w:val="en-GB"/>
              </w:rPr>
            </w:pPr>
            <w:r w:rsidRPr="005D3DD5">
              <w:rPr>
                <w:sz w:val="19"/>
                <w:szCs w:val="19"/>
                <w:lang w:val="en-GB"/>
              </w:rPr>
              <w:t>Approach for the characterisation of heavy metal pollution hotspots agreed and templates being used nationally to compile regionally comparable information and data</w:t>
            </w:r>
          </w:p>
        </w:tc>
        <w:tc>
          <w:tcPr>
            <w:tcW w:w="1884" w:type="dxa"/>
            <w:vAlign w:val="center"/>
          </w:tcPr>
          <w:p w14:paraId="0F043849" w14:textId="77777777" w:rsidR="005D3DD5" w:rsidRPr="005D3DD5" w:rsidRDefault="005D3DD5" w:rsidP="005D3DD5">
            <w:pPr>
              <w:spacing w:before="40"/>
              <w:rPr>
                <w:sz w:val="19"/>
                <w:szCs w:val="19"/>
                <w:lang w:val="en-GB"/>
              </w:rPr>
            </w:pPr>
            <w:r w:rsidRPr="005D3DD5">
              <w:rPr>
                <w:sz w:val="19"/>
                <w:szCs w:val="19"/>
                <w:lang w:val="en-GB"/>
              </w:rPr>
              <w:t>Impacts of estimated heavy metal contaminant loadings defined, quantified and communicated to decision-makers</w:t>
            </w:r>
          </w:p>
        </w:tc>
      </w:tr>
      <w:tr w:rsidR="005D3DD5" w:rsidRPr="005D3DD5" w14:paraId="59B75438" w14:textId="77777777" w:rsidTr="005D3DD5">
        <w:trPr>
          <w:trHeight w:val="1080"/>
          <w:jc w:val="center"/>
        </w:trPr>
        <w:tc>
          <w:tcPr>
            <w:tcW w:w="1884" w:type="dxa"/>
            <w:vAlign w:val="center"/>
          </w:tcPr>
          <w:p w14:paraId="2663A323" w14:textId="77777777" w:rsidR="005D3DD5" w:rsidRPr="005D3DD5" w:rsidRDefault="005D3DD5" w:rsidP="005D3DD5">
            <w:pPr>
              <w:spacing w:before="40"/>
              <w:rPr>
                <w:bCs/>
                <w:sz w:val="19"/>
                <w:szCs w:val="19"/>
                <w:lang w:val="en-GB"/>
              </w:rPr>
            </w:pPr>
            <w:r w:rsidRPr="005D3DD5">
              <w:rPr>
                <w:bCs/>
                <w:sz w:val="19"/>
                <w:szCs w:val="19"/>
                <w:lang w:val="en-GB"/>
              </w:rPr>
              <w:t>2.2.4(a): Pollution hotspot site characterisation templates developed</w:t>
            </w:r>
          </w:p>
          <w:p w14:paraId="57763208" w14:textId="77777777" w:rsidR="005D3DD5" w:rsidRPr="005D3DD5" w:rsidRDefault="005D3DD5" w:rsidP="005D3DD5">
            <w:pPr>
              <w:spacing w:before="40"/>
              <w:rPr>
                <w:bCs/>
                <w:sz w:val="19"/>
                <w:szCs w:val="19"/>
                <w:lang w:val="en-GB"/>
              </w:rPr>
            </w:pPr>
            <w:r w:rsidRPr="005D3DD5">
              <w:rPr>
                <w:bCs/>
                <w:sz w:val="19"/>
                <w:szCs w:val="19"/>
                <w:lang w:val="en-GB"/>
              </w:rPr>
              <w:t>2.2.4(b): Hotspot information accessible online</w:t>
            </w:r>
          </w:p>
        </w:tc>
        <w:tc>
          <w:tcPr>
            <w:tcW w:w="1884" w:type="dxa"/>
            <w:vAlign w:val="center"/>
          </w:tcPr>
          <w:p w14:paraId="6C6A3F36" w14:textId="77777777" w:rsidR="005D3DD5" w:rsidRPr="005D3DD5" w:rsidRDefault="005D3DD5" w:rsidP="005D3DD5">
            <w:pPr>
              <w:spacing w:before="40"/>
              <w:rPr>
                <w:bCs/>
                <w:sz w:val="19"/>
                <w:szCs w:val="19"/>
                <w:lang w:val="en-GB"/>
              </w:rPr>
            </w:pPr>
            <w:r w:rsidRPr="005D3DD5">
              <w:rPr>
                <w:bCs/>
                <w:sz w:val="19"/>
                <w:szCs w:val="19"/>
                <w:lang w:val="en-GB"/>
              </w:rPr>
              <w:t>Number of heavy metal pollution hotspots characterised</w:t>
            </w:r>
          </w:p>
        </w:tc>
        <w:tc>
          <w:tcPr>
            <w:tcW w:w="1884" w:type="dxa"/>
            <w:vAlign w:val="center"/>
          </w:tcPr>
          <w:p w14:paraId="4307E072" w14:textId="77777777" w:rsidR="005D3DD5" w:rsidRPr="005D3DD5" w:rsidRDefault="005D3DD5" w:rsidP="005D3DD5">
            <w:pPr>
              <w:spacing w:before="40"/>
              <w:rPr>
                <w:sz w:val="19"/>
                <w:szCs w:val="19"/>
                <w:lang w:val="en-GB"/>
              </w:rPr>
            </w:pPr>
            <w:r w:rsidRPr="005D3DD5">
              <w:rPr>
                <w:sz w:val="19"/>
                <w:szCs w:val="19"/>
                <w:lang w:val="en-GB"/>
              </w:rPr>
              <w:t>Lack of regionally comparable information and data on heavy metal contaminated hotspots</w:t>
            </w:r>
          </w:p>
        </w:tc>
        <w:tc>
          <w:tcPr>
            <w:tcW w:w="1884" w:type="dxa"/>
            <w:vAlign w:val="center"/>
          </w:tcPr>
          <w:p w14:paraId="203A4990" w14:textId="77777777" w:rsidR="005D3DD5" w:rsidRPr="005D3DD5" w:rsidRDefault="005D3DD5" w:rsidP="005D3DD5">
            <w:pPr>
              <w:rPr>
                <w:sz w:val="19"/>
                <w:szCs w:val="19"/>
                <w:lang w:val="en-GB"/>
              </w:rPr>
            </w:pPr>
            <w:r w:rsidRPr="005D3DD5">
              <w:rPr>
                <w:sz w:val="19"/>
                <w:szCs w:val="19"/>
                <w:lang w:val="en-GB"/>
              </w:rPr>
              <w:t>Hotspot site characterisation templates agreed and national staff trained in their use</w:t>
            </w:r>
          </w:p>
        </w:tc>
        <w:tc>
          <w:tcPr>
            <w:tcW w:w="1884" w:type="dxa"/>
            <w:vAlign w:val="center"/>
          </w:tcPr>
          <w:p w14:paraId="7724CC1C" w14:textId="77777777" w:rsidR="005D3DD5" w:rsidRPr="005D3DD5" w:rsidRDefault="005D3DD5" w:rsidP="005D3DD5">
            <w:pPr>
              <w:spacing w:before="40"/>
              <w:rPr>
                <w:sz w:val="19"/>
                <w:szCs w:val="19"/>
                <w:lang w:val="en-GB"/>
              </w:rPr>
            </w:pPr>
            <w:r w:rsidRPr="005D3DD5">
              <w:rPr>
                <w:sz w:val="19"/>
                <w:szCs w:val="19"/>
                <w:lang w:val="en-GB"/>
              </w:rPr>
              <w:t>Characterization of heavy metal pollution hotspots</w:t>
            </w:r>
          </w:p>
        </w:tc>
      </w:tr>
      <w:tr w:rsidR="005D3DD5" w:rsidRPr="005D3DD5" w14:paraId="3104AB70" w14:textId="77777777" w:rsidTr="005D3DD5">
        <w:trPr>
          <w:trHeight w:val="1080"/>
          <w:jc w:val="center"/>
        </w:trPr>
        <w:tc>
          <w:tcPr>
            <w:tcW w:w="1884" w:type="dxa"/>
            <w:vAlign w:val="center"/>
          </w:tcPr>
          <w:p w14:paraId="6926C088" w14:textId="77777777" w:rsidR="005D3DD5" w:rsidRPr="005D3DD5" w:rsidRDefault="005D3DD5" w:rsidP="005D3DD5">
            <w:pPr>
              <w:spacing w:before="40"/>
              <w:rPr>
                <w:bCs/>
                <w:sz w:val="19"/>
                <w:szCs w:val="19"/>
                <w:lang w:val="en-GB"/>
              </w:rPr>
            </w:pPr>
            <w:r w:rsidRPr="005D3DD5">
              <w:rPr>
                <w:bCs/>
                <w:sz w:val="19"/>
                <w:szCs w:val="19"/>
                <w:lang w:val="en-GB"/>
              </w:rPr>
              <w:t>2.2.5(a): Published methodology and procedures for estimating aquaculture pollution loadings and impacts</w:t>
            </w:r>
          </w:p>
          <w:p w14:paraId="0EB51998" w14:textId="77777777" w:rsidR="005D3DD5" w:rsidRPr="005D3DD5" w:rsidRDefault="005D3DD5" w:rsidP="005D3DD5">
            <w:pPr>
              <w:spacing w:before="40"/>
              <w:rPr>
                <w:bCs/>
                <w:sz w:val="19"/>
                <w:szCs w:val="19"/>
                <w:lang w:val="en-GB"/>
              </w:rPr>
            </w:pPr>
            <w:r w:rsidRPr="005D3DD5">
              <w:rPr>
                <w:bCs/>
                <w:sz w:val="19"/>
                <w:szCs w:val="19"/>
                <w:lang w:val="en-GB"/>
              </w:rPr>
              <w:t>2.2.5(b): 1 * IW Experience Note</w:t>
            </w:r>
          </w:p>
        </w:tc>
        <w:tc>
          <w:tcPr>
            <w:tcW w:w="1884" w:type="dxa"/>
            <w:vAlign w:val="center"/>
          </w:tcPr>
          <w:p w14:paraId="54A39D2E" w14:textId="77777777" w:rsidR="005D3DD5" w:rsidRPr="005D3DD5" w:rsidRDefault="005D3DD5" w:rsidP="005D3DD5">
            <w:pPr>
              <w:spacing w:before="40"/>
              <w:rPr>
                <w:bCs/>
                <w:sz w:val="19"/>
                <w:szCs w:val="19"/>
                <w:lang w:val="en-GB"/>
              </w:rPr>
            </w:pPr>
            <w:r w:rsidRPr="005D3DD5">
              <w:rPr>
                <w:bCs/>
                <w:sz w:val="19"/>
                <w:szCs w:val="19"/>
                <w:lang w:val="en-GB"/>
              </w:rPr>
              <w:t>Number of aquaculture sites for which effluent and contaminant loadings estimated</w:t>
            </w:r>
          </w:p>
        </w:tc>
        <w:tc>
          <w:tcPr>
            <w:tcW w:w="1884" w:type="dxa"/>
            <w:vAlign w:val="center"/>
          </w:tcPr>
          <w:p w14:paraId="23D1DA0F" w14:textId="77777777" w:rsidR="005D3DD5" w:rsidRPr="005D3DD5" w:rsidRDefault="005D3DD5" w:rsidP="005D3DD5">
            <w:pPr>
              <w:spacing w:before="40"/>
              <w:rPr>
                <w:sz w:val="19"/>
                <w:szCs w:val="19"/>
                <w:lang w:val="en-GB"/>
              </w:rPr>
            </w:pPr>
            <w:r w:rsidRPr="005D3DD5">
              <w:rPr>
                <w:sz w:val="19"/>
                <w:szCs w:val="19"/>
                <w:lang w:val="en-GB"/>
              </w:rPr>
              <w:t>Effluent from aquaculture and mariculture operations identified as key threat to dominant coastal biomes</w:t>
            </w:r>
          </w:p>
        </w:tc>
        <w:tc>
          <w:tcPr>
            <w:tcW w:w="1884" w:type="dxa"/>
            <w:vAlign w:val="center"/>
          </w:tcPr>
          <w:p w14:paraId="44A73DF3" w14:textId="77777777" w:rsidR="005D3DD5" w:rsidRPr="005D3DD5" w:rsidRDefault="005D3DD5" w:rsidP="005D3DD5">
            <w:pPr>
              <w:rPr>
                <w:sz w:val="19"/>
                <w:szCs w:val="19"/>
                <w:lang w:val="en-GB"/>
              </w:rPr>
            </w:pPr>
            <w:r w:rsidRPr="005D3DD5">
              <w:rPr>
                <w:sz w:val="19"/>
                <w:szCs w:val="19"/>
                <w:lang w:val="en-GB"/>
              </w:rPr>
              <w:t>Consultations with private sector completed and their  cooperate in efforts to determine environmental impact of operations secured</w:t>
            </w:r>
          </w:p>
        </w:tc>
        <w:tc>
          <w:tcPr>
            <w:tcW w:w="1884" w:type="dxa"/>
            <w:vAlign w:val="center"/>
          </w:tcPr>
          <w:p w14:paraId="5F007E93" w14:textId="77777777" w:rsidR="005D3DD5" w:rsidRPr="005D3DD5" w:rsidRDefault="005D3DD5" w:rsidP="005D3DD5">
            <w:pPr>
              <w:spacing w:before="40"/>
              <w:rPr>
                <w:sz w:val="19"/>
                <w:szCs w:val="19"/>
                <w:lang w:val="en-GB"/>
              </w:rPr>
            </w:pPr>
            <w:r w:rsidRPr="005D3DD5">
              <w:rPr>
                <w:sz w:val="19"/>
                <w:szCs w:val="19"/>
                <w:lang w:val="en-GB"/>
              </w:rPr>
              <w:t>Quantification of effluent volumes and contaminant loadings from coastal aquaculture to the SCS marine basin</w:t>
            </w:r>
          </w:p>
        </w:tc>
      </w:tr>
      <w:tr w:rsidR="005D3DD5" w:rsidRPr="005D3DD5" w14:paraId="5E9DCC6E" w14:textId="77777777" w:rsidTr="005D3DD5">
        <w:trPr>
          <w:trHeight w:val="602"/>
          <w:jc w:val="center"/>
        </w:trPr>
        <w:tc>
          <w:tcPr>
            <w:tcW w:w="9420" w:type="dxa"/>
            <w:gridSpan w:val="5"/>
            <w:shd w:val="clear" w:color="auto" w:fill="F2F2F2"/>
            <w:vAlign w:val="center"/>
          </w:tcPr>
          <w:p w14:paraId="1B31BFF5" w14:textId="77777777" w:rsidR="005D3DD5" w:rsidRPr="005D3DD5" w:rsidRDefault="005D3DD5" w:rsidP="005D3DD5">
            <w:pPr>
              <w:spacing w:before="40"/>
              <w:jc w:val="center"/>
              <w:rPr>
                <w:b/>
                <w:sz w:val="19"/>
                <w:szCs w:val="19"/>
                <w:lang w:val="en-GB"/>
              </w:rPr>
            </w:pPr>
            <w:r w:rsidRPr="005D3DD5">
              <w:rPr>
                <w:b/>
                <w:sz w:val="19"/>
                <w:szCs w:val="19"/>
                <w:lang w:val="en-GB"/>
              </w:rPr>
              <w:t>2.3.</w:t>
            </w:r>
            <w:r w:rsidRPr="005D3DD5">
              <w:t xml:space="preserve"> </w:t>
            </w:r>
            <w:r w:rsidRPr="005D3DD5">
              <w:rPr>
                <w:b/>
                <w:sz w:val="19"/>
                <w:szCs w:val="19"/>
                <w:lang w:val="en-GB"/>
              </w:rPr>
              <w:t>Strengthened and harmonized national policies and laws, and supporting financial mechanism, for the management of land-based sources of pollution</w:t>
            </w:r>
          </w:p>
        </w:tc>
      </w:tr>
      <w:tr w:rsidR="005D3DD5" w:rsidRPr="005D3DD5" w14:paraId="29F48719" w14:textId="77777777" w:rsidTr="005D3DD5">
        <w:trPr>
          <w:trHeight w:val="1080"/>
          <w:jc w:val="center"/>
        </w:trPr>
        <w:tc>
          <w:tcPr>
            <w:tcW w:w="1884" w:type="dxa"/>
            <w:vAlign w:val="center"/>
          </w:tcPr>
          <w:p w14:paraId="66B87B2A" w14:textId="77777777" w:rsidR="005D3DD5" w:rsidRPr="005D3DD5" w:rsidRDefault="005D3DD5" w:rsidP="005D3DD5">
            <w:pPr>
              <w:spacing w:before="40"/>
              <w:rPr>
                <w:bCs/>
                <w:sz w:val="19"/>
                <w:szCs w:val="19"/>
                <w:lang w:val="en-GB"/>
              </w:rPr>
            </w:pPr>
            <w:r w:rsidRPr="005D3DD5">
              <w:rPr>
                <w:bCs/>
                <w:sz w:val="19"/>
                <w:szCs w:val="19"/>
                <w:lang w:val="en-GB"/>
              </w:rPr>
              <w:t>2.3.1:Catalogue of best practice technologies and management approaches for land-based pollution published and accessible online</w:t>
            </w:r>
          </w:p>
        </w:tc>
        <w:tc>
          <w:tcPr>
            <w:tcW w:w="1884" w:type="dxa"/>
            <w:vAlign w:val="center"/>
          </w:tcPr>
          <w:p w14:paraId="4E59E6FA" w14:textId="77777777" w:rsidR="005D3DD5" w:rsidRPr="005D3DD5" w:rsidRDefault="005D3DD5" w:rsidP="005D3DD5">
            <w:pPr>
              <w:spacing w:before="40"/>
              <w:rPr>
                <w:bCs/>
                <w:sz w:val="19"/>
                <w:szCs w:val="19"/>
                <w:lang w:val="en-GB"/>
              </w:rPr>
            </w:pPr>
            <w:r w:rsidRPr="005D3DD5">
              <w:rPr>
                <w:bCs/>
                <w:sz w:val="19"/>
                <w:szCs w:val="19"/>
                <w:lang w:val="en-GB"/>
              </w:rPr>
              <w:t>Number of best practice technologies and measures tested, documented and shared</w:t>
            </w:r>
          </w:p>
        </w:tc>
        <w:tc>
          <w:tcPr>
            <w:tcW w:w="1884" w:type="dxa"/>
            <w:vAlign w:val="center"/>
          </w:tcPr>
          <w:p w14:paraId="69FEF429" w14:textId="77777777" w:rsidR="005D3DD5" w:rsidRPr="005D3DD5" w:rsidRDefault="005D3DD5" w:rsidP="005D3DD5">
            <w:pPr>
              <w:spacing w:before="40"/>
              <w:rPr>
                <w:sz w:val="19"/>
                <w:szCs w:val="19"/>
                <w:lang w:val="en-GB"/>
              </w:rPr>
            </w:pPr>
            <w:r w:rsidRPr="005D3DD5">
              <w:rPr>
                <w:sz w:val="19"/>
                <w:szCs w:val="19"/>
                <w:lang w:val="en-GB"/>
              </w:rPr>
              <w:t>Lesson learned in community-based wastewater mgmt. in Batam, Indonesia documented and shared regionally although other examples from East Asian seas region largely focus on broad scale ICM planning</w:t>
            </w:r>
          </w:p>
        </w:tc>
        <w:tc>
          <w:tcPr>
            <w:tcW w:w="1884" w:type="dxa"/>
            <w:vAlign w:val="center"/>
          </w:tcPr>
          <w:p w14:paraId="74E9C5F2" w14:textId="77777777" w:rsidR="005D3DD5" w:rsidRPr="005D3DD5" w:rsidRDefault="005D3DD5" w:rsidP="005D3DD5">
            <w:pPr>
              <w:rPr>
                <w:sz w:val="19"/>
                <w:szCs w:val="19"/>
                <w:lang w:val="en-GB"/>
              </w:rPr>
            </w:pPr>
            <w:r w:rsidRPr="005D3DD5">
              <w:rPr>
                <w:sz w:val="19"/>
                <w:szCs w:val="19"/>
                <w:lang w:val="en-GB"/>
              </w:rPr>
              <w:t>Template for the collation of best practice information developed and being used to prepare best practice examples</w:t>
            </w:r>
          </w:p>
        </w:tc>
        <w:tc>
          <w:tcPr>
            <w:tcW w:w="1884" w:type="dxa"/>
            <w:vAlign w:val="center"/>
          </w:tcPr>
          <w:p w14:paraId="475BDB2F" w14:textId="77777777" w:rsidR="005D3DD5" w:rsidRPr="005D3DD5" w:rsidRDefault="005D3DD5" w:rsidP="005D3DD5">
            <w:pPr>
              <w:spacing w:before="40"/>
              <w:rPr>
                <w:sz w:val="19"/>
                <w:szCs w:val="19"/>
                <w:lang w:val="en-GB"/>
              </w:rPr>
            </w:pPr>
            <w:r w:rsidRPr="005D3DD5">
              <w:rPr>
                <w:sz w:val="19"/>
                <w:szCs w:val="19"/>
                <w:lang w:val="en-GB"/>
              </w:rPr>
              <w:t>National best practices in waste water management, law enforcement, and community and industry participation in managing land-based sources of pollution documented and shared</w:t>
            </w:r>
          </w:p>
        </w:tc>
      </w:tr>
      <w:tr w:rsidR="005D3DD5" w:rsidRPr="005D3DD5" w14:paraId="28358183" w14:textId="77777777" w:rsidTr="005D3DD5">
        <w:trPr>
          <w:trHeight w:val="1080"/>
          <w:jc w:val="center"/>
        </w:trPr>
        <w:tc>
          <w:tcPr>
            <w:tcW w:w="1884" w:type="dxa"/>
            <w:vAlign w:val="center"/>
          </w:tcPr>
          <w:p w14:paraId="24EF8893" w14:textId="77777777" w:rsidR="005D3DD5" w:rsidRPr="005D3DD5" w:rsidRDefault="005D3DD5" w:rsidP="005D3DD5">
            <w:pPr>
              <w:spacing w:before="40"/>
              <w:rPr>
                <w:bCs/>
                <w:sz w:val="19"/>
                <w:szCs w:val="19"/>
                <w:lang w:val="en-GB"/>
              </w:rPr>
            </w:pPr>
            <w:r w:rsidRPr="005D3DD5">
              <w:rPr>
                <w:bCs/>
                <w:sz w:val="19"/>
                <w:szCs w:val="19"/>
                <w:lang w:val="en-GB"/>
              </w:rPr>
              <w:t>2.3.2: Review published and shared regionally</w:t>
            </w:r>
          </w:p>
        </w:tc>
        <w:tc>
          <w:tcPr>
            <w:tcW w:w="1884" w:type="dxa"/>
            <w:vAlign w:val="center"/>
          </w:tcPr>
          <w:p w14:paraId="1457359D" w14:textId="77777777" w:rsidR="005D3DD5" w:rsidRPr="005D3DD5" w:rsidRDefault="005D3DD5" w:rsidP="005D3DD5">
            <w:pPr>
              <w:spacing w:before="40"/>
              <w:rPr>
                <w:bCs/>
                <w:sz w:val="19"/>
                <w:szCs w:val="19"/>
                <w:lang w:val="en-GB"/>
              </w:rPr>
            </w:pPr>
            <w:r w:rsidRPr="005D3DD5">
              <w:rPr>
                <w:bCs/>
                <w:sz w:val="19"/>
                <w:szCs w:val="19"/>
                <w:lang w:val="en-GB"/>
              </w:rPr>
              <w:t>Extent of harmonization of sectoral governance frameworks achieved as a result of review findings</w:t>
            </w:r>
          </w:p>
        </w:tc>
        <w:tc>
          <w:tcPr>
            <w:tcW w:w="1884" w:type="dxa"/>
            <w:vAlign w:val="center"/>
          </w:tcPr>
          <w:p w14:paraId="70B08313" w14:textId="77777777" w:rsidR="005D3DD5" w:rsidRPr="005D3DD5" w:rsidRDefault="005D3DD5" w:rsidP="005D3DD5">
            <w:pPr>
              <w:spacing w:before="40"/>
              <w:rPr>
                <w:sz w:val="19"/>
                <w:szCs w:val="19"/>
                <w:lang w:val="en-GB"/>
              </w:rPr>
            </w:pPr>
            <w:r w:rsidRPr="005D3DD5">
              <w:rPr>
                <w:sz w:val="19"/>
                <w:szCs w:val="19"/>
                <w:lang w:val="en-GB"/>
              </w:rPr>
              <w:t>Effectiveness of existing legal and institutional frameworks limited by predominantly single sector approaches</w:t>
            </w:r>
          </w:p>
        </w:tc>
        <w:tc>
          <w:tcPr>
            <w:tcW w:w="1884" w:type="dxa"/>
            <w:vAlign w:val="center"/>
          </w:tcPr>
          <w:p w14:paraId="3EA17533" w14:textId="77777777" w:rsidR="005D3DD5" w:rsidRPr="005D3DD5" w:rsidRDefault="005D3DD5" w:rsidP="005D3DD5">
            <w:pPr>
              <w:rPr>
                <w:sz w:val="19"/>
                <w:szCs w:val="19"/>
                <w:lang w:val="en-GB"/>
              </w:rPr>
            </w:pPr>
            <w:r w:rsidRPr="005D3DD5">
              <w:rPr>
                <w:sz w:val="19"/>
                <w:szCs w:val="19"/>
                <w:lang w:val="en-GB"/>
              </w:rPr>
              <w:t>National legislation compiled and descriptors of institutional frameworks prepared</w:t>
            </w:r>
          </w:p>
        </w:tc>
        <w:tc>
          <w:tcPr>
            <w:tcW w:w="1884" w:type="dxa"/>
            <w:vAlign w:val="center"/>
          </w:tcPr>
          <w:p w14:paraId="531A04C3" w14:textId="77777777" w:rsidR="005D3DD5" w:rsidRPr="005D3DD5" w:rsidRDefault="005D3DD5" w:rsidP="005D3DD5">
            <w:pPr>
              <w:spacing w:before="40"/>
              <w:rPr>
                <w:sz w:val="19"/>
                <w:szCs w:val="19"/>
                <w:lang w:val="en-GB"/>
              </w:rPr>
            </w:pPr>
            <w:r w:rsidRPr="005D3DD5">
              <w:rPr>
                <w:sz w:val="19"/>
                <w:szCs w:val="19"/>
                <w:lang w:val="en-GB"/>
              </w:rPr>
              <w:t>Review of legislative and institutional frameworks for land-based pollution management in participating countries</w:t>
            </w:r>
          </w:p>
        </w:tc>
      </w:tr>
      <w:tr w:rsidR="005D3DD5" w:rsidRPr="005D3DD5" w14:paraId="24AA4FFD" w14:textId="77777777" w:rsidTr="005D3DD5">
        <w:trPr>
          <w:trHeight w:val="377"/>
          <w:jc w:val="center"/>
        </w:trPr>
        <w:tc>
          <w:tcPr>
            <w:tcW w:w="1884" w:type="dxa"/>
            <w:vAlign w:val="center"/>
          </w:tcPr>
          <w:p w14:paraId="27B63BCF" w14:textId="77777777" w:rsidR="005D3DD5" w:rsidRPr="005D3DD5" w:rsidRDefault="005D3DD5" w:rsidP="005D3DD5">
            <w:pPr>
              <w:spacing w:before="40"/>
              <w:rPr>
                <w:bCs/>
                <w:sz w:val="19"/>
                <w:szCs w:val="19"/>
                <w:lang w:val="en-GB"/>
              </w:rPr>
            </w:pPr>
            <w:r w:rsidRPr="005D3DD5">
              <w:rPr>
                <w:bCs/>
                <w:sz w:val="19"/>
                <w:szCs w:val="19"/>
                <w:lang w:val="en-GB"/>
              </w:rPr>
              <w:t>2.3.3(a): Regional guidelines on Standard Operating Procedures published</w:t>
            </w:r>
          </w:p>
          <w:p w14:paraId="1521370A" w14:textId="77777777" w:rsidR="005D3DD5" w:rsidRPr="005D3DD5" w:rsidRDefault="005D3DD5" w:rsidP="005D3DD5">
            <w:pPr>
              <w:spacing w:before="40"/>
              <w:rPr>
                <w:bCs/>
                <w:sz w:val="19"/>
                <w:szCs w:val="19"/>
                <w:lang w:val="en-GB"/>
              </w:rPr>
            </w:pPr>
            <w:r w:rsidRPr="005D3DD5">
              <w:rPr>
                <w:bCs/>
                <w:sz w:val="19"/>
                <w:szCs w:val="19"/>
                <w:lang w:val="en-GB"/>
              </w:rPr>
              <w:t>2.3.3(b): Adopted National Standard Operating Procedures available online</w:t>
            </w:r>
          </w:p>
        </w:tc>
        <w:tc>
          <w:tcPr>
            <w:tcW w:w="1884" w:type="dxa"/>
            <w:vAlign w:val="center"/>
          </w:tcPr>
          <w:p w14:paraId="36492F02" w14:textId="77777777" w:rsidR="005D3DD5" w:rsidRPr="005D3DD5" w:rsidRDefault="005D3DD5" w:rsidP="005D3DD5">
            <w:pPr>
              <w:spacing w:before="40"/>
              <w:rPr>
                <w:bCs/>
                <w:sz w:val="19"/>
                <w:szCs w:val="19"/>
                <w:lang w:val="en-GB"/>
              </w:rPr>
            </w:pPr>
            <w:r w:rsidRPr="005D3DD5">
              <w:rPr>
                <w:bCs/>
                <w:sz w:val="19"/>
                <w:szCs w:val="19"/>
                <w:lang w:val="en-GB"/>
              </w:rPr>
              <w:t>Number of countries participating and adopting harmonized, regionally comparable SOPs</w:t>
            </w:r>
          </w:p>
        </w:tc>
        <w:tc>
          <w:tcPr>
            <w:tcW w:w="1884" w:type="dxa"/>
            <w:vAlign w:val="center"/>
          </w:tcPr>
          <w:p w14:paraId="309D384B" w14:textId="77777777" w:rsidR="005D3DD5" w:rsidRPr="005D3DD5" w:rsidRDefault="005D3DD5" w:rsidP="005D3DD5">
            <w:pPr>
              <w:spacing w:before="40"/>
              <w:rPr>
                <w:sz w:val="19"/>
                <w:szCs w:val="19"/>
                <w:lang w:val="en-GB"/>
              </w:rPr>
            </w:pPr>
            <w:r w:rsidRPr="005D3DD5">
              <w:rPr>
                <w:sz w:val="19"/>
                <w:szCs w:val="19"/>
                <w:lang w:val="en-GB"/>
              </w:rPr>
              <w:t>Lack of Standard Operating Procedures for land-based pollution management</w:t>
            </w:r>
          </w:p>
        </w:tc>
        <w:tc>
          <w:tcPr>
            <w:tcW w:w="1884" w:type="dxa"/>
            <w:vAlign w:val="center"/>
          </w:tcPr>
          <w:p w14:paraId="1A85638C" w14:textId="77777777" w:rsidR="005D3DD5" w:rsidRPr="005D3DD5" w:rsidRDefault="005D3DD5" w:rsidP="005D3DD5">
            <w:pPr>
              <w:rPr>
                <w:sz w:val="19"/>
                <w:szCs w:val="19"/>
                <w:lang w:val="en-GB"/>
              </w:rPr>
            </w:pPr>
            <w:r w:rsidRPr="005D3DD5">
              <w:rPr>
                <w:sz w:val="19"/>
                <w:szCs w:val="19"/>
                <w:lang w:val="en-GB"/>
              </w:rPr>
              <w:t>Guidelines developed and agreed via regional and national consultations</w:t>
            </w:r>
          </w:p>
        </w:tc>
        <w:tc>
          <w:tcPr>
            <w:tcW w:w="1884" w:type="dxa"/>
            <w:vAlign w:val="center"/>
          </w:tcPr>
          <w:p w14:paraId="0A48C495" w14:textId="77777777" w:rsidR="005D3DD5" w:rsidRPr="005D3DD5" w:rsidRDefault="005D3DD5" w:rsidP="005D3DD5">
            <w:pPr>
              <w:spacing w:before="40"/>
              <w:rPr>
                <w:sz w:val="19"/>
                <w:szCs w:val="19"/>
                <w:lang w:val="en-GB"/>
              </w:rPr>
            </w:pPr>
            <w:r w:rsidRPr="005D3DD5">
              <w:rPr>
                <w:sz w:val="19"/>
                <w:szCs w:val="19"/>
                <w:lang w:val="en-GB"/>
              </w:rPr>
              <w:t>Harmonized national Standard Operating Procedures for land-based pollution control and management [including agreed sediment, biota, &amp; water quality criteria]</w:t>
            </w:r>
          </w:p>
        </w:tc>
      </w:tr>
      <w:tr w:rsidR="005D3DD5" w:rsidRPr="005D3DD5" w14:paraId="33BA0B19" w14:textId="77777777" w:rsidTr="005D3DD5">
        <w:trPr>
          <w:trHeight w:val="377"/>
          <w:jc w:val="center"/>
        </w:trPr>
        <w:tc>
          <w:tcPr>
            <w:tcW w:w="1884" w:type="dxa"/>
            <w:vAlign w:val="center"/>
          </w:tcPr>
          <w:p w14:paraId="34CB57CE" w14:textId="77777777" w:rsidR="005D3DD5" w:rsidRPr="005D3DD5" w:rsidRDefault="005D3DD5" w:rsidP="005D3DD5">
            <w:pPr>
              <w:spacing w:before="40"/>
              <w:rPr>
                <w:bCs/>
                <w:sz w:val="19"/>
                <w:szCs w:val="19"/>
                <w:lang w:val="en-GB"/>
              </w:rPr>
            </w:pPr>
            <w:r w:rsidRPr="005D3DD5">
              <w:rPr>
                <w:bCs/>
                <w:sz w:val="19"/>
                <w:szCs w:val="19"/>
                <w:lang w:val="en-GB"/>
              </w:rPr>
              <w:t>2.3.4(a): 6 national reports on policy and legal aspects of land-based pollution management</w:t>
            </w:r>
          </w:p>
          <w:p w14:paraId="77F44AD5" w14:textId="77777777" w:rsidR="005D3DD5" w:rsidRPr="005D3DD5" w:rsidRDefault="005D3DD5" w:rsidP="005D3DD5">
            <w:pPr>
              <w:spacing w:before="40"/>
              <w:rPr>
                <w:bCs/>
                <w:sz w:val="19"/>
                <w:szCs w:val="19"/>
                <w:lang w:val="en-GB"/>
              </w:rPr>
            </w:pPr>
            <w:r w:rsidRPr="005D3DD5">
              <w:rPr>
                <w:bCs/>
                <w:sz w:val="19"/>
                <w:szCs w:val="19"/>
                <w:lang w:val="en-GB"/>
              </w:rPr>
              <w:t>2.3.4(b): Endorsed policy and executive orders, provincial/local ordinances and by-laws</w:t>
            </w:r>
          </w:p>
        </w:tc>
        <w:tc>
          <w:tcPr>
            <w:tcW w:w="1884" w:type="dxa"/>
            <w:vAlign w:val="center"/>
          </w:tcPr>
          <w:p w14:paraId="71E7B4C7" w14:textId="77777777" w:rsidR="005D3DD5" w:rsidRPr="005D3DD5" w:rsidRDefault="005D3DD5" w:rsidP="005D3DD5">
            <w:pPr>
              <w:spacing w:before="40"/>
              <w:rPr>
                <w:bCs/>
                <w:sz w:val="19"/>
                <w:szCs w:val="19"/>
                <w:lang w:val="en-GB"/>
              </w:rPr>
            </w:pPr>
            <w:r w:rsidRPr="005D3DD5">
              <w:rPr>
                <w:bCs/>
                <w:sz w:val="19"/>
                <w:szCs w:val="19"/>
                <w:lang w:val="en-GB"/>
              </w:rPr>
              <w:t>Status of endorsement of national policies and enactment of laws and regulations for land-based pollution control</w:t>
            </w:r>
          </w:p>
        </w:tc>
        <w:tc>
          <w:tcPr>
            <w:tcW w:w="1884" w:type="dxa"/>
            <w:vAlign w:val="center"/>
          </w:tcPr>
          <w:p w14:paraId="610F299B" w14:textId="77777777" w:rsidR="005D3DD5" w:rsidRPr="005D3DD5" w:rsidRDefault="005D3DD5" w:rsidP="005D3DD5">
            <w:pPr>
              <w:spacing w:before="40"/>
              <w:rPr>
                <w:sz w:val="19"/>
                <w:szCs w:val="19"/>
                <w:lang w:val="en-GB"/>
              </w:rPr>
            </w:pPr>
            <w:r w:rsidRPr="005D3DD5">
              <w:rPr>
                <w:sz w:val="19"/>
                <w:szCs w:val="19"/>
                <w:lang w:val="en-GB"/>
              </w:rPr>
              <w:t>Absence of clear and effective policies, laws, and regulations relating to control of land-based pollution</w:t>
            </w:r>
          </w:p>
        </w:tc>
        <w:tc>
          <w:tcPr>
            <w:tcW w:w="1884" w:type="dxa"/>
            <w:vAlign w:val="center"/>
          </w:tcPr>
          <w:p w14:paraId="1DBC0E21" w14:textId="77777777" w:rsidR="005D3DD5" w:rsidRPr="005D3DD5" w:rsidRDefault="005D3DD5" w:rsidP="005D3DD5">
            <w:pPr>
              <w:rPr>
                <w:sz w:val="19"/>
                <w:szCs w:val="19"/>
                <w:lang w:val="en-GB"/>
              </w:rPr>
            </w:pPr>
            <w:r w:rsidRPr="005D3DD5">
              <w:rPr>
                <w:sz w:val="19"/>
                <w:szCs w:val="19"/>
                <w:lang w:val="en-GB"/>
              </w:rPr>
              <w:t>Draft national reports completed</w:t>
            </w:r>
          </w:p>
        </w:tc>
        <w:tc>
          <w:tcPr>
            <w:tcW w:w="1884" w:type="dxa"/>
            <w:vAlign w:val="center"/>
          </w:tcPr>
          <w:p w14:paraId="5276D444" w14:textId="77777777" w:rsidR="005D3DD5" w:rsidRPr="005D3DD5" w:rsidRDefault="005D3DD5" w:rsidP="005D3DD5">
            <w:pPr>
              <w:spacing w:before="40"/>
              <w:rPr>
                <w:sz w:val="19"/>
                <w:szCs w:val="19"/>
                <w:lang w:val="en-GB"/>
              </w:rPr>
            </w:pPr>
            <w:r w:rsidRPr="005D3DD5">
              <w:rPr>
                <w:sz w:val="19"/>
                <w:szCs w:val="19"/>
                <w:lang w:val="en-GB"/>
              </w:rPr>
              <w:t>Revised national/provincial policies and supporting regulations for land-based pollution developed, enacted and implemented by Yr 5</w:t>
            </w:r>
          </w:p>
        </w:tc>
      </w:tr>
      <w:tr w:rsidR="005D3DD5" w:rsidRPr="005D3DD5" w14:paraId="67D72D6C" w14:textId="77777777" w:rsidTr="005D3DD5">
        <w:trPr>
          <w:trHeight w:val="377"/>
          <w:jc w:val="center"/>
        </w:trPr>
        <w:tc>
          <w:tcPr>
            <w:tcW w:w="1884" w:type="dxa"/>
            <w:vAlign w:val="center"/>
          </w:tcPr>
          <w:p w14:paraId="0348821F" w14:textId="77777777" w:rsidR="005D3DD5" w:rsidRPr="005D3DD5" w:rsidRDefault="005D3DD5" w:rsidP="005D3DD5">
            <w:pPr>
              <w:spacing w:before="40"/>
              <w:rPr>
                <w:bCs/>
                <w:sz w:val="19"/>
                <w:szCs w:val="19"/>
                <w:lang w:val="en-GB"/>
              </w:rPr>
            </w:pPr>
            <w:r w:rsidRPr="005D3DD5">
              <w:rPr>
                <w:bCs/>
                <w:sz w:val="19"/>
                <w:szCs w:val="19"/>
                <w:lang w:val="en-GB"/>
              </w:rPr>
              <w:t>2.3.4: 6 endorsed National Investment Plans published and disseminated nationally and regionally</w:t>
            </w:r>
          </w:p>
        </w:tc>
        <w:tc>
          <w:tcPr>
            <w:tcW w:w="1884" w:type="dxa"/>
            <w:vAlign w:val="center"/>
          </w:tcPr>
          <w:p w14:paraId="0FB4900B" w14:textId="77777777" w:rsidR="005D3DD5" w:rsidRPr="005D3DD5" w:rsidRDefault="005D3DD5" w:rsidP="005D3DD5">
            <w:pPr>
              <w:spacing w:before="40"/>
              <w:rPr>
                <w:bCs/>
                <w:sz w:val="19"/>
                <w:szCs w:val="19"/>
                <w:lang w:val="en-GB"/>
              </w:rPr>
            </w:pPr>
            <w:r w:rsidRPr="005D3DD5">
              <w:rPr>
                <w:bCs/>
                <w:sz w:val="19"/>
                <w:szCs w:val="19"/>
                <w:lang w:val="en-GB"/>
              </w:rPr>
              <w:t>Status of endorsement of National Investment Plans</w:t>
            </w:r>
          </w:p>
          <w:p w14:paraId="1D06B2FE" w14:textId="77777777" w:rsidR="005D3DD5" w:rsidRPr="005D3DD5" w:rsidRDefault="005D3DD5" w:rsidP="005D3DD5">
            <w:pPr>
              <w:spacing w:before="40"/>
              <w:rPr>
                <w:bCs/>
                <w:sz w:val="19"/>
                <w:szCs w:val="19"/>
                <w:lang w:val="en-GB"/>
              </w:rPr>
            </w:pPr>
          </w:p>
          <w:p w14:paraId="250D7F36" w14:textId="77777777" w:rsidR="005D3DD5" w:rsidRPr="005D3DD5" w:rsidRDefault="005D3DD5" w:rsidP="005D3DD5">
            <w:pPr>
              <w:spacing w:before="40"/>
              <w:rPr>
                <w:bCs/>
                <w:sz w:val="19"/>
                <w:szCs w:val="19"/>
                <w:lang w:val="en-GB"/>
              </w:rPr>
            </w:pPr>
            <w:r w:rsidRPr="005D3DD5">
              <w:rPr>
                <w:bCs/>
                <w:sz w:val="19"/>
                <w:szCs w:val="19"/>
                <w:lang w:val="en-GB"/>
              </w:rPr>
              <w:t>Number of participating countries adopting National Investment Plans</w:t>
            </w:r>
          </w:p>
        </w:tc>
        <w:tc>
          <w:tcPr>
            <w:tcW w:w="1884" w:type="dxa"/>
            <w:vAlign w:val="center"/>
          </w:tcPr>
          <w:p w14:paraId="11D5F24B" w14:textId="77777777" w:rsidR="005D3DD5" w:rsidRPr="005D3DD5" w:rsidRDefault="005D3DD5" w:rsidP="005D3DD5">
            <w:pPr>
              <w:spacing w:before="40"/>
              <w:rPr>
                <w:sz w:val="19"/>
                <w:szCs w:val="19"/>
                <w:lang w:val="en-GB"/>
              </w:rPr>
            </w:pPr>
            <w:r w:rsidRPr="005D3DD5">
              <w:rPr>
                <w:sz w:val="19"/>
                <w:szCs w:val="19"/>
                <w:lang w:val="en-GB"/>
              </w:rPr>
              <w:t>Guidelines for assessing the economic impacts of land-based pollution developed but not yet applied as part of benefit-cost analysis of pollution mgmt. in the SCS</w:t>
            </w:r>
          </w:p>
        </w:tc>
        <w:tc>
          <w:tcPr>
            <w:tcW w:w="1884" w:type="dxa"/>
            <w:vAlign w:val="center"/>
          </w:tcPr>
          <w:p w14:paraId="57BCD926" w14:textId="77777777" w:rsidR="005D3DD5" w:rsidRPr="005D3DD5" w:rsidRDefault="005D3DD5" w:rsidP="005D3DD5">
            <w:pPr>
              <w:rPr>
                <w:sz w:val="19"/>
                <w:szCs w:val="19"/>
                <w:lang w:val="en-GB"/>
              </w:rPr>
            </w:pPr>
            <w:r w:rsidRPr="005D3DD5">
              <w:rPr>
                <w:sz w:val="19"/>
                <w:szCs w:val="19"/>
                <w:lang w:val="en-GB"/>
              </w:rPr>
              <w:t>Framework investment plan developed and shared with participating countries for comment</w:t>
            </w:r>
          </w:p>
        </w:tc>
        <w:tc>
          <w:tcPr>
            <w:tcW w:w="1884" w:type="dxa"/>
            <w:vAlign w:val="center"/>
          </w:tcPr>
          <w:p w14:paraId="02E35F99" w14:textId="77777777" w:rsidR="005D3DD5" w:rsidRPr="005D3DD5" w:rsidRDefault="005D3DD5" w:rsidP="005D3DD5">
            <w:pPr>
              <w:spacing w:before="40"/>
              <w:rPr>
                <w:sz w:val="19"/>
                <w:szCs w:val="19"/>
                <w:lang w:val="en-GB"/>
              </w:rPr>
            </w:pPr>
            <w:r w:rsidRPr="005D3DD5">
              <w:rPr>
                <w:sz w:val="19"/>
                <w:szCs w:val="19"/>
                <w:lang w:val="en-GB"/>
              </w:rPr>
              <w:t>Updated and adopted National Investment Plans for land-based pollution management in the SCS [Yr 5]</w:t>
            </w:r>
          </w:p>
        </w:tc>
      </w:tr>
      <w:tr w:rsidR="005D3DD5" w:rsidRPr="005D3DD5" w14:paraId="58F3B72B" w14:textId="77777777" w:rsidTr="005D3DD5">
        <w:trPr>
          <w:trHeight w:val="377"/>
          <w:jc w:val="center"/>
        </w:trPr>
        <w:tc>
          <w:tcPr>
            <w:tcW w:w="1884" w:type="dxa"/>
            <w:vAlign w:val="center"/>
          </w:tcPr>
          <w:p w14:paraId="44F674F5" w14:textId="77777777" w:rsidR="005D3DD5" w:rsidRPr="005D3DD5" w:rsidRDefault="005D3DD5" w:rsidP="005D3DD5">
            <w:pPr>
              <w:spacing w:before="40"/>
              <w:rPr>
                <w:bCs/>
                <w:sz w:val="19"/>
                <w:szCs w:val="19"/>
                <w:lang w:val="en-GB"/>
              </w:rPr>
            </w:pPr>
            <w:r w:rsidRPr="005D3DD5">
              <w:rPr>
                <w:bCs/>
                <w:sz w:val="19"/>
                <w:szCs w:val="19"/>
                <w:lang w:val="en-GB"/>
              </w:rPr>
              <w:t>2.3.5: Endorsed regional report on sustainable financing of regional actions for land-based pollution in the SCS</w:t>
            </w:r>
          </w:p>
        </w:tc>
        <w:tc>
          <w:tcPr>
            <w:tcW w:w="1884" w:type="dxa"/>
            <w:vAlign w:val="center"/>
          </w:tcPr>
          <w:p w14:paraId="3DF1BAFD" w14:textId="77777777" w:rsidR="005D3DD5" w:rsidRPr="005D3DD5" w:rsidRDefault="005D3DD5" w:rsidP="005D3DD5">
            <w:pPr>
              <w:spacing w:before="40"/>
              <w:rPr>
                <w:bCs/>
                <w:sz w:val="19"/>
                <w:szCs w:val="19"/>
                <w:lang w:val="en-GB"/>
              </w:rPr>
            </w:pPr>
            <w:r w:rsidRPr="005D3DD5">
              <w:rPr>
                <w:bCs/>
                <w:sz w:val="19"/>
                <w:szCs w:val="19"/>
                <w:lang w:val="en-GB"/>
              </w:rPr>
              <w:t>Status of agreement among participating countries on a sustainable financing approach for regional actions</w:t>
            </w:r>
          </w:p>
        </w:tc>
        <w:tc>
          <w:tcPr>
            <w:tcW w:w="1884" w:type="dxa"/>
            <w:vAlign w:val="center"/>
          </w:tcPr>
          <w:p w14:paraId="7D9F4988" w14:textId="77777777" w:rsidR="005D3DD5" w:rsidRPr="005D3DD5" w:rsidRDefault="005D3DD5" w:rsidP="005D3DD5">
            <w:pPr>
              <w:spacing w:before="40"/>
              <w:rPr>
                <w:sz w:val="19"/>
                <w:szCs w:val="19"/>
                <w:lang w:val="en-GB"/>
              </w:rPr>
            </w:pPr>
            <w:r w:rsidRPr="005D3DD5">
              <w:rPr>
                <w:sz w:val="19"/>
                <w:szCs w:val="19"/>
                <w:lang w:val="en-GB"/>
              </w:rPr>
              <w:t>Lack of sustainable mechanism to finance regional support actions including M&amp;E</w:t>
            </w:r>
          </w:p>
        </w:tc>
        <w:tc>
          <w:tcPr>
            <w:tcW w:w="1884" w:type="dxa"/>
            <w:vAlign w:val="center"/>
          </w:tcPr>
          <w:p w14:paraId="62D4ED80" w14:textId="77777777" w:rsidR="005D3DD5" w:rsidRPr="005D3DD5" w:rsidRDefault="005D3DD5" w:rsidP="005D3DD5">
            <w:pPr>
              <w:rPr>
                <w:sz w:val="19"/>
                <w:szCs w:val="19"/>
                <w:lang w:val="en-GB"/>
              </w:rPr>
            </w:pPr>
            <w:r w:rsidRPr="005D3DD5">
              <w:rPr>
                <w:sz w:val="19"/>
                <w:szCs w:val="19"/>
                <w:lang w:val="en-GB"/>
              </w:rPr>
              <w:t>Consultations completed to secure commitment of countries, development partners, and donors to invest in coordinated action</w:t>
            </w:r>
          </w:p>
        </w:tc>
        <w:tc>
          <w:tcPr>
            <w:tcW w:w="1884" w:type="dxa"/>
            <w:vAlign w:val="center"/>
          </w:tcPr>
          <w:p w14:paraId="1DA83486" w14:textId="77777777" w:rsidR="005D3DD5" w:rsidRPr="005D3DD5" w:rsidRDefault="005D3DD5" w:rsidP="005D3DD5">
            <w:pPr>
              <w:spacing w:before="40"/>
              <w:rPr>
                <w:sz w:val="19"/>
                <w:szCs w:val="19"/>
                <w:lang w:val="en-GB"/>
              </w:rPr>
            </w:pPr>
            <w:r w:rsidRPr="005D3DD5">
              <w:rPr>
                <w:sz w:val="19"/>
                <w:szCs w:val="19"/>
                <w:lang w:val="en-GB"/>
              </w:rPr>
              <w:t>Regional financial mechanism for land-based pollution management [Yr 5]</w:t>
            </w:r>
          </w:p>
        </w:tc>
      </w:tr>
      <w:tr w:rsidR="005D3DD5" w:rsidRPr="005D3DD5" w14:paraId="1B38E631" w14:textId="77777777" w:rsidTr="005D3DD5">
        <w:trPr>
          <w:trHeight w:val="647"/>
          <w:jc w:val="center"/>
        </w:trPr>
        <w:tc>
          <w:tcPr>
            <w:tcW w:w="9420" w:type="dxa"/>
            <w:gridSpan w:val="5"/>
            <w:shd w:val="clear" w:color="auto" w:fill="F2F2F2"/>
            <w:vAlign w:val="center"/>
          </w:tcPr>
          <w:p w14:paraId="18C6D932" w14:textId="77777777" w:rsidR="005D3DD5" w:rsidRPr="005D3DD5" w:rsidRDefault="005D3DD5" w:rsidP="005D3DD5">
            <w:pPr>
              <w:spacing w:before="40"/>
              <w:jc w:val="center"/>
              <w:rPr>
                <w:b/>
                <w:sz w:val="19"/>
                <w:szCs w:val="19"/>
                <w:lang w:val="en-GB"/>
              </w:rPr>
            </w:pPr>
            <w:r w:rsidRPr="005D3DD5">
              <w:rPr>
                <w:b/>
                <w:sz w:val="19"/>
                <w:szCs w:val="19"/>
                <w:lang w:val="en-GB"/>
              </w:rPr>
              <w:t>2.4 Improved national and regional values for the Total Economic</w:t>
            </w:r>
          </w:p>
          <w:p w14:paraId="1F870E36" w14:textId="77777777" w:rsidR="005D3DD5" w:rsidRPr="005D3DD5" w:rsidRDefault="005D3DD5" w:rsidP="005D3DD5">
            <w:pPr>
              <w:spacing w:before="40"/>
              <w:jc w:val="center"/>
              <w:rPr>
                <w:b/>
                <w:sz w:val="19"/>
                <w:szCs w:val="19"/>
                <w:lang w:val="en-GB"/>
              </w:rPr>
            </w:pPr>
            <w:r w:rsidRPr="005D3DD5">
              <w:rPr>
                <w:b/>
                <w:sz w:val="19"/>
                <w:szCs w:val="19"/>
                <w:lang w:val="en-GB"/>
              </w:rPr>
              <w:t>Values of coastal habitats for use in development planning and decision-making</w:t>
            </w:r>
          </w:p>
        </w:tc>
      </w:tr>
      <w:tr w:rsidR="005D3DD5" w:rsidRPr="005D3DD5" w14:paraId="518BDE5F" w14:textId="77777777" w:rsidTr="005D3DD5">
        <w:trPr>
          <w:trHeight w:val="1080"/>
          <w:jc w:val="center"/>
        </w:trPr>
        <w:tc>
          <w:tcPr>
            <w:tcW w:w="1884" w:type="dxa"/>
            <w:vAlign w:val="center"/>
          </w:tcPr>
          <w:p w14:paraId="70E39E98" w14:textId="77777777" w:rsidR="005D3DD5" w:rsidRPr="005D3DD5" w:rsidRDefault="005D3DD5" w:rsidP="005D3DD5">
            <w:pPr>
              <w:spacing w:before="40"/>
              <w:rPr>
                <w:bCs/>
                <w:sz w:val="19"/>
                <w:szCs w:val="19"/>
                <w:lang w:val="en-GB"/>
              </w:rPr>
            </w:pPr>
            <w:r w:rsidRPr="005D3DD5">
              <w:rPr>
                <w:bCs/>
                <w:sz w:val="19"/>
                <w:szCs w:val="19"/>
                <w:lang w:val="en-GB"/>
              </w:rPr>
              <w:t>2.4.1: 6 national reports on economic valuation of coastal biomes, including tabulated data and reference material, published</w:t>
            </w:r>
          </w:p>
        </w:tc>
        <w:tc>
          <w:tcPr>
            <w:tcW w:w="1884" w:type="dxa"/>
            <w:vAlign w:val="center"/>
          </w:tcPr>
          <w:p w14:paraId="67482148" w14:textId="77777777" w:rsidR="005D3DD5" w:rsidRPr="005D3DD5" w:rsidRDefault="005D3DD5" w:rsidP="005D3DD5">
            <w:pPr>
              <w:spacing w:before="40"/>
              <w:rPr>
                <w:bCs/>
                <w:sz w:val="19"/>
                <w:szCs w:val="19"/>
                <w:lang w:val="en-GB"/>
              </w:rPr>
            </w:pPr>
            <w:r w:rsidRPr="005D3DD5">
              <w:rPr>
                <w:bCs/>
                <w:sz w:val="19"/>
                <w:szCs w:val="19"/>
                <w:lang w:val="en-GB"/>
              </w:rPr>
              <w:t>Completeness of value information compiled for coastal biome goods and services</w:t>
            </w:r>
          </w:p>
        </w:tc>
        <w:tc>
          <w:tcPr>
            <w:tcW w:w="1884" w:type="dxa"/>
            <w:vAlign w:val="center"/>
          </w:tcPr>
          <w:p w14:paraId="5531AEEE" w14:textId="77777777" w:rsidR="005D3DD5" w:rsidRPr="005D3DD5" w:rsidRDefault="005D3DD5" w:rsidP="005D3DD5">
            <w:pPr>
              <w:spacing w:before="40"/>
              <w:rPr>
                <w:sz w:val="19"/>
                <w:szCs w:val="19"/>
                <w:lang w:val="en-GB"/>
              </w:rPr>
            </w:pPr>
            <w:r w:rsidRPr="005D3DD5">
              <w:rPr>
                <w:sz w:val="19"/>
                <w:szCs w:val="19"/>
                <w:lang w:val="en-GB"/>
              </w:rPr>
              <w:t>Values determined for SCS are incomplete as not all known goods and services from individual biomes have been valued</w:t>
            </w:r>
          </w:p>
        </w:tc>
        <w:tc>
          <w:tcPr>
            <w:tcW w:w="1884" w:type="dxa"/>
            <w:vAlign w:val="center"/>
          </w:tcPr>
          <w:p w14:paraId="6E10D040" w14:textId="77777777" w:rsidR="005D3DD5" w:rsidRPr="005D3DD5" w:rsidRDefault="005D3DD5" w:rsidP="005D3DD5">
            <w:pPr>
              <w:rPr>
                <w:sz w:val="19"/>
                <w:szCs w:val="19"/>
                <w:lang w:val="en-GB"/>
              </w:rPr>
            </w:pPr>
            <w:r w:rsidRPr="005D3DD5">
              <w:rPr>
                <w:sz w:val="19"/>
                <w:szCs w:val="19"/>
                <w:lang w:val="en-GB"/>
              </w:rPr>
              <w:t>Data collection programme in place and information and data regarding goods and services being compiled</w:t>
            </w:r>
          </w:p>
        </w:tc>
        <w:tc>
          <w:tcPr>
            <w:tcW w:w="1884" w:type="dxa"/>
            <w:vAlign w:val="center"/>
          </w:tcPr>
          <w:p w14:paraId="161227C1" w14:textId="77777777" w:rsidR="005D3DD5" w:rsidRPr="005D3DD5" w:rsidRDefault="005D3DD5" w:rsidP="005D3DD5">
            <w:pPr>
              <w:spacing w:before="40"/>
              <w:rPr>
                <w:sz w:val="19"/>
                <w:szCs w:val="19"/>
                <w:lang w:val="en-GB"/>
              </w:rPr>
            </w:pPr>
            <w:r w:rsidRPr="005D3DD5">
              <w:rPr>
                <w:sz w:val="19"/>
                <w:szCs w:val="19"/>
                <w:lang w:val="en-GB"/>
              </w:rPr>
              <w:t>Expanded datasets of economic valuation information on the goods and services of SCS coastal habitats</w:t>
            </w:r>
          </w:p>
        </w:tc>
      </w:tr>
      <w:tr w:rsidR="005D3DD5" w:rsidRPr="005D3DD5" w14:paraId="3C39F9F9" w14:textId="77777777" w:rsidTr="005D3DD5">
        <w:trPr>
          <w:trHeight w:val="1080"/>
          <w:jc w:val="center"/>
        </w:trPr>
        <w:tc>
          <w:tcPr>
            <w:tcW w:w="1884" w:type="dxa"/>
            <w:vAlign w:val="center"/>
          </w:tcPr>
          <w:p w14:paraId="7DDEB262" w14:textId="77777777" w:rsidR="005D3DD5" w:rsidRPr="005D3DD5" w:rsidRDefault="005D3DD5" w:rsidP="005D3DD5">
            <w:pPr>
              <w:spacing w:before="40"/>
              <w:rPr>
                <w:bCs/>
                <w:sz w:val="19"/>
                <w:szCs w:val="19"/>
                <w:lang w:val="en-GB"/>
              </w:rPr>
            </w:pPr>
            <w:r w:rsidRPr="005D3DD5">
              <w:rPr>
                <w:bCs/>
                <w:sz w:val="19"/>
                <w:szCs w:val="19"/>
                <w:lang w:val="en-GB"/>
              </w:rPr>
              <w:t>2.4.2: 6 national and 1 regional report on the economic contribution of coastal habitats to coastal fisheries production in the SCS, including tabulated data and reference material, published</w:t>
            </w:r>
          </w:p>
        </w:tc>
        <w:tc>
          <w:tcPr>
            <w:tcW w:w="1884" w:type="dxa"/>
            <w:vAlign w:val="center"/>
          </w:tcPr>
          <w:p w14:paraId="636E4B91" w14:textId="77777777" w:rsidR="005D3DD5" w:rsidRPr="005D3DD5" w:rsidRDefault="005D3DD5" w:rsidP="005D3DD5">
            <w:pPr>
              <w:spacing w:before="40"/>
              <w:rPr>
                <w:bCs/>
                <w:sz w:val="19"/>
                <w:szCs w:val="19"/>
                <w:lang w:val="en-GB"/>
              </w:rPr>
            </w:pPr>
            <w:r w:rsidRPr="005D3DD5">
              <w:rPr>
                <w:bCs/>
                <w:sz w:val="19"/>
                <w:szCs w:val="19"/>
                <w:lang w:val="en-GB"/>
              </w:rPr>
              <w:t>Status of initiative to develop national and regional estimates economic linkages between habitats and coastal fish production</w:t>
            </w:r>
          </w:p>
        </w:tc>
        <w:tc>
          <w:tcPr>
            <w:tcW w:w="1884" w:type="dxa"/>
            <w:vAlign w:val="center"/>
          </w:tcPr>
          <w:p w14:paraId="1955DE28" w14:textId="77777777" w:rsidR="005D3DD5" w:rsidRPr="005D3DD5" w:rsidRDefault="005D3DD5" w:rsidP="005D3DD5">
            <w:pPr>
              <w:spacing w:before="40"/>
              <w:rPr>
                <w:sz w:val="19"/>
                <w:szCs w:val="19"/>
                <w:lang w:val="en-GB"/>
              </w:rPr>
            </w:pPr>
            <w:r w:rsidRPr="005D3DD5">
              <w:rPr>
                <w:sz w:val="19"/>
                <w:szCs w:val="19"/>
                <w:lang w:val="en-GB"/>
              </w:rPr>
              <w:t>Comparatively few existing values for the services provided by habitats as nursery areas for coastal living resources</w:t>
            </w:r>
          </w:p>
        </w:tc>
        <w:tc>
          <w:tcPr>
            <w:tcW w:w="1884" w:type="dxa"/>
            <w:vAlign w:val="center"/>
          </w:tcPr>
          <w:p w14:paraId="0E386E44" w14:textId="77777777" w:rsidR="005D3DD5" w:rsidRPr="005D3DD5" w:rsidRDefault="005D3DD5" w:rsidP="005D3DD5">
            <w:pPr>
              <w:rPr>
                <w:sz w:val="19"/>
                <w:szCs w:val="19"/>
                <w:lang w:val="en-GB"/>
              </w:rPr>
            </w:pPr>
            <w:r w:rsidRPr="005D3DD5">
              <w:rPr>
                <w:sz w:val="19"/>
                <w:szCs w:val="19"/>
                <w:lang w:val="en-GB"/>
              </w:rPr>
              <w:t>Regionally consistent methodology for the collection, review and analysis of information and data developed and agreed</w:t>
            </w:r>
          </w:p>
        </w:tc>
        <w:tc>
          <w:tcPr>
            <w:tcW w:w="1884" w:type="dxa"/>
            <w:vAlign w:val="center"/>
          </w:tcPr>
          <w:p w14:paraId="25EACFFE" w14:textId="77777777" w:rsidR="005D3DD5" w:rsidRPr="005D3DD5" w:rsidRDefault="005D3DD5" w:rsidP="005D3DD5">
            <w:pPr>
              <w:spacing w:before="40"/>
              <w:rPr>
                <w:sz w:val="19"/>
                <w:szCs w:val="19"/>
                <w:lang w:val="en-GB"/>
              </w:rPr>
            </w:pPr>
            <w:r w:rsidRPr="005D3DD5">
              <w:rPr>
                <w:sz w:val="19"/>
                <w:szCs w:val="19"/>
                <w:lang w:val="en-GB"/>
              </w:rPr>
              <w:t>Estimates of the value for the service provided by coastal habitats as nursery areas for coastal fish and crustaceans</w:t>
            </w:r>
          </w:p>
        </w:tc>
      </w:tr>
      <w:tr w:rsidR="005D3DD5" w:rsidRPr="005D3DD5" w14:paraId="043467B7" w14:textId="77777777" w:rsidTr="005D3DD5">
        <w:trPr>
          <w:trHeight w:val="827"/>
          <w:jc w:val="center"/>
        </w:trPr>
        <w:tc>
          <w:tcPr>
            <w:tcW w:w="1884" w:type="dxa"/>
            <w:vAlign w:val="center"/>
          </w:tcPr>
          <w:p w14:paraId="17378FDD" w14:textId="77777777" w:rsidR="005D3DD5" w:rsidRPr="005D3DD5" w:rsidRDefault="005D3DD5" w:rsidP="005D3DD5">
            <w:pPr>
              <w:spacing w:before="40"/>
              <w:rPr>
                <w:bCs/>
                <w:sz w:val="19"/>
                <w:szCs w:val="19"/>
                <w:lang w:val="en-GB"/>
              </w:rPr>
            </w:pPr>
            <w:r w:rsidRPr="005D3DD5">
              <w:rPr>
                <w:bCs/>
                <w:sz w:val="19"/>
                <w:szCs w:val="19"/>
                <w:lang w:val="en-GB"/>
              </w:rPr>
              <w:t>2.4.3: 1 regional report on the economic losses consequent upon coastal shipping accidents and pollution damage</w:t>
            </w:r>
          </w:p>
        </w:tc>
        <w:tc>
          <w:tcPr>
            <w:tcW w:w="1884" w:type="dxa"/>
            <w:vAlign w:val="center"/>
          </w:tcPr>
          <w:p w14:paraId="4996D2EC" w14:textId="77777777" w:rsidR="005D3DD5" w:rsidRPr="005D3DD5" w:rsidRDefault="005D3DD5" w:rsidP="005D3DD5">
            <w:pPr>
              <w:spacing w:before="40"/>
              <w:rPr>
                <w:bCs/>
                <w:sz w:val="19"/>
                <w:szCs w:val="19"/>
                <w:lang w:val="en-GB"/>
              </w:rPr>
            </w:pPr>
            <w:r w:rsidRPr="005D3DD5">
              <w:rPr>
                <w:bCs/>
                <w:sz w:val="19"/>
                <w:szCs w:val="19"/>
                <w:lang w:val="en-GB"/>
              </w:rPr>
              <w:t>Status of initiative to value economic costs of coastal shipping accidents and pollution damage</w:t>
            </w:r>
          </w:p>
        </w:tc>
        <w:tc>
          <w:tcPr>
            <w:tcW w:w="1884" w:type="dxa"/>
            <w:vAlign w:val="center"/>
          </w:tcPr>
          <w:p w14:paraId="3A268612" w14:textId="77777777" w:rsidR="005D3DD5" w:rsidRPr="005D3DD5" w:rsidRDefault="005D3DD5" w:rsidP="005D3DD5">
            <w:pPr>
              <w:spacing w:before="40"/>
              <w:rPr>
                <w:sz w:val="19"/>
                <w:szCs w:val="19"/>
                <w:lang w:val="en-GB"/>
              </w:rPr>
            </w:pPr>
            <w:r w:rsidRPr="005D3DD5">
              <w:rPr>
                <w:sz w:val="19"/>
                <w:szCs w:val="19"/>
                <w:lang w:val="en-GB"/>
              </w:rPr>
              <w:t>No existing information linking shipping accidents to loss of economic benefits associated coastal biomes in the SCS</w:t>
            </w:r>
          </w:p>
        </w:tc>
        <w:tc>
          <w:tcPr>
            <w:tcW w:w="1884" w:type="dxa"/>
            <w:vAlign w:val="center"/>
          </w:tcPr>
          <w:p w14:paraId="72F22E50" w14:textId="77777777" w:rsidR="005D3DD5" w:rsidRPr="005D3DD5" w:rsidRDefault="005D3DD5" w:rsidP="005D3DD5">
            <w:pPr>
              <w:rPr>
                <w:sz w:val="19"/>
                <w:szCs w:val="19"/>
                <w:lang w:val="en-GB"/>
              </w:rPr>
            </w:pPr>
            <w:r w:rsidRPr="005D3DD5">
              <w:rPr>
                <w:sz w:val="19"/>
                <w:szCs w:val="19"/>
                <w:lang w:val="en-GB"/>
              </w:rPr>
              <w:t>Regionally consistent methodology for the collection, review and analysis of information and data developed and agreed</w:t>
            </w:r>
          </w:p>
        </w:tc>
        <w:tc>
          <w:tcPr>
            <w:tcW w:w="1884" w:type="dxa"/>
            <w:vAlign w:val="center"/>
          </w:tcPr>
          <w:p w14:paraId="4FE7A1BB" w14:textId="77777777" w:rsidR="005D3DD5" w:rsidRPr="005D3DD5" w:rsidRDefault="005D3DD5" w:rsidP="005D3DD5">
            <w:pPr>
              <w:spacing w:before="40"/>
              <w:rPr>
                <w:sz w:val="19"/>
                <w:szCs w:val="19"/>
                <w:lang w:val="en-GB"/>
              </w:rPr>
            </w:pPr>
            <w:r w:rsidRPr="005D3DD5">
              <w:rPr>
                <w:sz w:val="19"/>
                <w:szCs w:val="19"/>
                <w:lang w:val="en-GB"/>
              </w:rPr>
              <w:t>Estimates of economic losses of coastal ecosystem goods and services consequent upon coastal shipping accidents and pollution damage</w:t>
            </w:r>
          </w:p>
        </w:tc>
      </w:tr>
      <w:tr w:rsidR="005D3DD5" w:rsidRPr="005D3DD5" w14:paraId="4D076E14" w14:textId="77777777" w:rsidTr="005D3DD5">
        <w:trPr>
          <w:trHeight w:val="827"/>
          <w:jc w:val="center"/>
        </w:trPr>
        <w:tc>
          <w:tcPr>
            <w:tcW w:w="1884" w:type="dxa"/>
            <w:vAlign w:val="center"/>
          </w:tcPr>
          <w:p w14:paraId="697B96B8" w14:textId="77777777" w:rsidR="005D3DD5" w:rsidRPr="005D3DD5" w:rsidRDefault="005D3DD5" w:rsidP="005D3DD5">
            <w:pPr>
              <w:spacing w:before="40"/>
              <w:rPr>
                <w:bCs/>
                <w:sz w:val="19"/>
                <w:szCs w:val="19"/>
                <w:lang w:val="en-GB"/>
              </w:rPr>
            </w:pPr>
            <w:r w:rsidRPr="005D3DD5">
              <w:rPr>
                <w:bCs/>
                <w:sz w:val="19"/>
                <w:szCs w:val="19"/>
                <w:lang w:val="en-GB"/>
              </w:rPr>
              <w:t>2.4.4: 1 regional report on updated Total Economic Values for coastal habitats published and online</w:t>
            </w:r>
          </w:p>
        </w:tc>
        <w:tc>
          <w:tcPr>
            <w:tcW w:w="1884" w:type="dxa"/>
            <w:vAlign w:val="center"/>
          </w:tcPr>
          <w:p w14:paraId="4551F65F" w14:textId="77777777" w:rsidR="005D3DD5" w:rsidRPr="005D3DD5" w:rsidRDefault="005D3DD5" w:rsidP="005D3DD5">
            <w:pPr>
              <w:spacing w:before="40"/>
              <w:rPr>
                <w:bCs/>
                <w:sz w:val="19"/>
                <w:szCs w:val="19"/>
                <w:lang w:val="en-GB"/>
              </w:rPr>
            </w:pPr>
            <w:r w:rsidRPr="005D3DD5">
              <w:rPr>
                <w:bCs/>
                <w:sz w:val="19"/>
                <w:szCs w:val="19"/>
                <w:lang w:val="en-GB"/>
              </w:rPr>
              <w:t>Status of initiative to update estimates of total economic values of coastal biomes</w:t>
            </w:r>
          </w:p>
        </w:tc>
        <w:tc>
          <w:tcPr>
            <w:tcW w:w="1884" w:type="dxa"/>
            <w:vAlign w:val="center"/>
          </w:tcPr>
          <w:p w14:paraId="74657911" w14:textId="77777777" w:rsidR="005D3DD5" w:rsidRPr="005D3DD5" w:rsidRDefault="005D3DD5" w:rsidP="005D3DD5">
            <w:pPr>
              <w:spacing w:before="40"/>
              <w:rPr>
                <w:sz w:val="19"/>
                <w:szCs w:val="19"/>
                <w:lang w:val="en-GB"/>
              </w:rPr>
            </w:pPr>
            <w:r w:rsidRPr="005D3DD5">
              <w:rPr>
                <w:sz w:val="19"/>
                <w:szCs w:val="19"/>
                <w:lang w:val="en-GB"/>
              </w:rPr>
              <w:t>Economic valuation of coastal habitats used in cost benefit analysis of endorsed Strategic Action Programme actions in 2008</w:t>
            </w:r>
          </w:p>
        </w:tc>
        <w:tc>
          <w:tcPr>
            <w:tcW w:w="1884" w:type="dxa"/>
            <w:vAlign w:val="center"/>
          </w:tcPr>
          <w:p w14:paraId="73E28A37" w14:textId="77777777" w:rsidR="005D3DD5" w:rsidRPr="005D3DD5" w:rsidRDefault="005D3DD5" w:rsidP="005D3DD5">
            <w:pPr>
              <w:rPr>
                <w:sz w:val="19"/>
                <w:szCs w:val="19"/>
                <w:lang w:val="en-GB"/>
              </w:rPr>
            </w:pPr>
            <w:r w:rsidRPr="005D3DD5">
              <w:rPr>
                <w:sz w:val="19"/>
                <w:szCs w:val="19"/>
                <w:lang w:val="en-GB"/>
              </w:rPr>
              <w:t>Application of regionally consistent methodology in the collection, review and analysis of information and data</w:t>
            </w:r>
          </w:p>
        </w:tc>
        <w:tc>
          <w:tcPr>
            <w:tcW w:w="1884" w:type="dxa"/>
            <w:vAlign w:val="center"/>
          </w:tcPr>
          <w:p w14:paraId="54DD68B9" w14:textId="77777777" w:rsidR="005D3DD5" w:rsidRPr="005D3DD5" w:rsidRDefault="005D3DD5" w:rsidP="005D3DD5">
            <w:pPr>
              <w:spacing w:before="40"/>
              <w:rPr>
                <w:sz w:val="19"/>
                <w:szCs w:val="19"/>
                <w:lang w:val="en-GB"/>
              </w:rPr>
            </w:pPr>
            <w:r w:rsidRPr="005D3DD5">
              <w:rPr>
                <w:sz w:val="19"/>
                <w:szCs w:val="19"/>
                <w:lang w:val="en-GB"/>
              </w:rPr>
              <w:t>Updated estimates of Total Economic Values for coastal habitats of the SCS and converted to 2017 value by means of the consumer price index</w:t>
            </w:r>
          </w:p>
        </w:tc>
      </w:tr>
      <w:tr w:rsidR="005D3DD5" w:rsidRPr="005D3DD5" w14:paraId="52A3F586" w14:textId="77777777" w:rsidTr="005D3DD5">
        <w:trPr>
          <w:trHeight w:val="503"/>
          <w:jc w:val="center"/>
        </w:trPr>
        <w:tc>
          <w:tcPr>
            <w:tcW w:w="9420" w:type="dxa"/>
            <w:gridSpan w:val="5"/>
            <w:shd w:val="clear" w:color="auto" w:fill="F2F2F2"/>
            <w:vAlign w:val="center"/>
          </w:tcPr>
          <w:p w14:paraId="3116CC2F" w14:textId="77777777" w:rsidR="005D3DD5" w:rsidRPr="005D3DD5" w:rsidRDefault="005D3DD5" w:rsidP="005D3DD5">
            <w:pPr>
              <w:spacing w:before="40"/>
              <w:jc w:val="center"/>
              <w:rPr>
                <w:b/>
                <w:sz w:val="19"/>
                <w:szCs w:val="19"/>
                <w:lang w:val="en-GB"/>
              </w:rPr>
            </w:pPr>
            <w:r w:rsidRPr="005D3DD5">
              <w:rPr>
                <w:b/>
                <w:sz w:val="19"/>
                <w:szCs w:val="19"/>
                <w:lang w:val="en-GB"/>
              </w:rPr>
              <w:t>2.5 Regionally appropriate tools and mechanisms to guide the development of sustainable management systems for coastal habitats and land-based pollution</w:t>
            </w:r>
          </w:p>
        </w:tc>
      </w:tr>
      <w:tr w:rsidR="005D3DD5" w:rsidRPr="005D3DD5" w14:paraId="5F2177D2" w14:textId="77777777" w:rsidTr="005D3DD5">
        <w:trPr>
          <w:trHeight w:val="1080"/>
          <w:jc w:val="center"/>
        </w:trPr>
        <w:tc>
          <w:tcPr>
            <w:tcW w:w="1884" w:type="dxa"/>
            <w:vAlign w:val="center"/>
          </w:tcPr>
          <w:p w14:paraId="770EF656" w14:textId="77777777" w:rsidR="005D3DD5" w:rsidRPr="005D3DD5" w:rsidRDefault="005D3DD5" w:rsidP="005D3DD5">
            <w:pPr>
              <w:spacing w:before="40"/>
              <w:rPr>
                <w:bCs/>
                <w:sz w:val="19"/>
                <w:szCs w:val="19"/>
                <w:lang w:val="en-GB"/>
              </w:rPr>
            </w:pPr>
            <w:r w:rsidRPr="005D3DD5">
              <w:rPr>
                <w:bCs/>
                <w:sz w:val="19"/>
                <w:szCs w:val="19"/>
                <w:lang w:val="en-GB"/>
              </w:rPr>
              <w:t>2.5.1: 1 regional report documenting sustainability of management systems developed and applied at priority coastal habitat sites</w:t>
            </w:r>
          </w:p>
        </w:tc>
        <w:tc>
          <w:tcPr>
            <w:tcW w:w="1884" w:type="dxa"/>
            <w:vAlign w:val="center"/>
          </w:tcPr>
          <w:p w14:paraId="140D2739" w14:textId="77777777" w:rsidR="005D3DD5" w:rsidRPr="005D3DD5" w:rsidRDefault="005D3DD5" w:rsidP="005D3DD5">
            <w:pPr>
              <w:spacing w:before="40"/>
              <w:rPr>
                <w:bCs/>
                <w:sz w:val="19"/>
                <w:szCs w:val="19"/>
                <w:lang w:val="en-GB"/>
              </w:rPr>
            </w:pPr>
            <w:r w:rsidRPr="005D3DD5">
              <w:rPr>
                <w:bCs/>
                <w:sz w:val="19"/>
                <w:szCs w:val="19"/>
                <w:lang w:val="en-GB"/>
              </w:rPr>
              <w:t>Status of initiative to develop and apply standards and criteria for determining the sustainability of coastal habitat management systems</w:t>
            </w:r>
          </w:p>
        </w:tc>
        <w:tc>
          <w:tcPr>
            <w:tcW w:w="1884" w:type="dxa"/>
            <w:vAlign w:val="center"/>
          </w:tcPr>
          <w:p w14:paraId="57A6716C" w14:textId="77777777" w:rsidR="005D3DD5" w:rsidRPr="005D3DD5" w:rsidRDefault="005D3DD5" w:rsidP="005D3DD5">
            <w:pPr>
              <w:spacing w:before="40"/>
              <w:rPr>
                <w:sz w:val="19"/>
                <w:szCs w:val="19"/>
                <w:lang w:val="en-GB"/>
              </w:rPr>
            </w:pPr>
            <w:r w:rsidRPr="005D3DD5">
              <w:rPr>
                <w:sz w:val="19"/>
                <w:szCs w:val="19"/>
                <w:lang w:val="en-GB"/>
              </w:rPr>
              <w:t>Sustainable management indicator matrices developed for dominant coastal habitats but not yet applied and tested in framework of SAP implementation</w:t>
            </w:r>
          </w:p>
        </w:tc>
        <w:tc>
          <w:tcPr>
            <w:tcW w:w="1884" w:type="dxa"/>
            <w:vAlign w:val="center"/>
          </w:tcPr>
          <w:p w14:paraId="275A3386" w14:textId="77777777" w:rsidR="005D3DD5" w:rsidRPr="005D3DD5" w:rsidRDefault="005D3DD5" w:rsidP="005D3DD5">
            <w:pPr>
              <w:rPr>
                <w:sz w:val="19"/>
                <w:szCs w:val="19"/>
                <w:lang w:val="en-GB"/>
              </w:rPr>
            </w:pPr>
            <w:r w:rsidRPr="005D3DD5">
              <w:rPr>
                <w:sz w:val="19"/>
                <w:szCs w:val="19"/>
                <w:lang w:val="en-GB"/>
              </w:rPr>
              <w:t>Consultative processes have been undertaken to secure stakeholder engagement and participation</w:t>
            </w:r>
          </w:p>
        </w:tc>
        <w:tc>
          <w:tcPr>
            <w:tcW w:w="1884" w:type="dxa"/>
            <w:vAlign w:val="center"/>
          </w:tcPr>
          <w:p w14:paraId="4A7755C0" w14:textId="77777777" w:rsidR="005D3DD5" w:rsidRPr="005D3DD5" w:rsidRDefault="005D3DD5" w:rsidP="005D3DD5">
            <w:pPr>
              <w:spacing w:before="40"/>
              <w:rPr>
                <w:sz w:val="19"/>
                <w:szCs w:val="19"/>
                <w:lang w:val="en-GB"/>
              </w:rPr>
            </w:pPr>
            <w:r w:rsidRPr="005D3DD5">
              <w:rPr>
                <w:sz w:val="19"/>
                <w:szCs w:val="19"/>
                <w:lang w:val="en-GB"/>
              </w:rPr>
              <w:t>Regionally applicable standards and criteria for defining the sustainability of coastal habitat management systems, including documented models of sustainable use</w:t>
            </w:r>
          </w:p>
        </w:tc>
      </w:tr>
      <w:tr w:rsidR="005D3DD5" w:rsidRPr="005D3DD5" w14:paraId="683EA572" w14:textId="77777777" w:rsidTr="005D3DD5">
        <w:trPr>
          <w:trHeight w:val="287"/>
          <w:jc w:val="center"/>
        </w:trPr>
        <w:tc>
          <w:tcPr>
            <w:tcW w:w="1884" w:type="dxa"/>
            <w:vAlign w:val="center"/>
          </w:tcPr>
          <w:p w14:paraId="21FEA1A9" w14:textId="77777777" w:rsidR="005D3DD5" w:rsidRPr="005D3DD5" w:rsidRDefault="005D3DD5" w:rsidP="005D3DD5">
            <w:pPr>
              <w:spacing w:before="40"/>
              <w:rPr>
                <w:bCs/>
                <w:sz w:val="19"/>
                <w:szCs w:val="19"/>
                <w:lang w:val="en-GB"/>
              </w:rPr>
            </w:pPr>
            <w:r w:rsidRPr="005D3DD5">
              <w:rPr>
                <w:bCs/>
                <w:sz w:val="19"/>
                <w:szCs w:val="19"/>
                <w:lang w:val="en-GB"/>
              </w:rPr>
              <w:t>2.5.2(a): Catalogue of best practices accessible online</w:t>
            </w:r>
          </w:p>
          <w:p w14:paraId="408C993A" w14:textId="77777777" w:rsidR="005D3DD5" w:rsidRPr="005D3DD5" w:rsidRDefault="005D3DD5" w:rsidP="005D3DD5">
            <w:pPr>
              <w:spacing w:before="40"/>
              <w:rPr>
                <w:bCs/>
                <w:sz w:val="19"/>
                <w:szCs w:val="19"/>
                <w:lang w:val="en-GB"/>
              </w:rPr>
            </w:pPr>
          </w:p>
          <w:p w14:paraId="6CDF0ED3" w14:textId="77777777" w:rsidR="005D3DD5" w:rsidRPr="005D3DD5" w:rsidRDefault="005D3DD5" w:rsidP="005D3DD5">
            <w:pPr>
              <w:spacing w:before="40"/>
              <w:rPr>
                <w:bCs/>
                <w:sz w:val="19"/>
                <w:szCs w:val="19"/>
                <w:lang w:val="en-GB"/>
              </w:rPr>
            </w:pPr>
            <w:r w:rsidRPr="005D3DD5">
              <w:rPr>
                <w:bCs/>
                <w:sz w:val="19"/>
                <w:szCs w:val="19"/>
                <w:lang w:val="en-GB"/>
              </w:rPr>
              <w:t>2.5.2(b):Communications products on best practices produced and syndicated online</w:t>
            </w:r>
          </w:p>
        </w:tc>
        <w:tc>
          <w:tcPr>
            <w:tcW w:w="1884" w:type="dxa"/>
            <w:vAlign w:val="center"/>
          </w:tcPr>
          <w:p w14:paraId="44489CCE" w14:textId="77777777" w:rsidR="005D3DD5" w:rsidRPr="005D3DD5" w:rsidRDefault="005D3DD5" w:rsidP="005D3DD5">
            <w:pPr>
              <w:spacing w:before="40"/>
              <w:rPr>
                <w:bCs/>
                <w:sz w:val="19"/>
                <w:szCs w:val="19"/>
                <w:lang w:val="en-GB"/>
              </w:rPr>
            </w:pPr>
            <w:r w:rsidRPr="005D3DD5">
              <w:rPr>
                <w:bCs/>
                <w:sz w:val="19"/>
                <w:szCs w:val="19"/>
                <w:lang w:val="en-GB"/>
              </w:rPr>
              <w:t>Number of best practice management measures and technologies documented, codified, and accessible via online catalogue</w:t>
            </w:r>
          </w:p>
        </w:tc>
        <w:tc>
          <w:tcPr>
            <w:tcW w:w="1884" w:type="dxa"/>
            <w:vAlign w:val="center"/>
          </w:tcPr>
          <w:p w14:paraId="30B450E5" w14:textId="77777777" w:rsidR="005D3DD5" w:rsidRPr="005D3DD5" w:rsidRDefault="005D3DD5" w:rsidP="005D3DD5">
            <w:pPr>
              <w:spacing w:before="40"/>
              <w:rPr>
                <w:sz w:val="19"/>
                <w:szCs w:val="19"/>
                <w:lang w:val="en-GB"/>
              </w:rPr>
            </w:pPr>
            <w:r w:rsidRPr="005D3DD5">
              <w:rPr>
                <w:sz w:val="19"/>
                <w:szCs w:val="19"/>
                <w:lang w:val="en-GB"/>
              </w:rPr>
              <w:t>Lessons learned and best practices in coastal habitat management from 23 demonstration sites documented and published in peer reviewed article</w:t>
            </w:r>
          </w:p>
        </w:tc>
        <w:tc>
          <w:tcPr>
            <w:tcW w:w="1884" w:type="dxa"/>
            <w:vAlign w:val="center"/>
          </w:tcPr>
          <w:p w14:paraId="109034AA" w14:textId="77777777" w:rsidR="005D3DD5" w:rsidRPr="005D3DD5" w:rsidRDefault="005D3DD5" w:rsidP="005D3DD5">
            <w:pPr>
              <w:rPr>
                <w:sz w:val="19"/>
                <w:szCs w:val="19"/>
                <w:lang w:val="en-GB"/>
              </w:rPr>
            </w:pPr>
            <w:r w:rsidRPr="005D3DD5">
              <w:rPr>
                <w:sz w:val="19"/>
                <w:szCs w:val="19"/>
                <w:lang w:val="en-GB"/>
              </w:rPr>
              <w:t>Template for the collation of best practice information developed and being used to prepare best practice examples</w:t>
            </w:r>
          </w:p>
        </w:tc>
        <w:tc>
          <w:tcPr>
            <w:tcW w:w="1884" w:type="dxa"/>
            <w:vAlign w:val="center"/>
          </w:tcPr>
          <w:p w14:paraId="07411E93" w14:textId="77777777" w:rsidR="005D3DD5" w:rsidRPr="005D3DD5" w:rsidRDefault="005D3DD5" w:rsidP="005D3DD5">
            <w:pPr>
              <w:spacing w:before="40"/>
              <w:rPr>
                <w:sz w:val="19"/>
                <w:szCs w:val="19"/>
                <w:lang w:val="en-GB"/>
              </w:rPr>
            </w:pPr>
            <w:r w:rsidRPr="005D3DD5">
              <w:rPr>
                <w:sz w:val="19"/>
                <w:szCs w:val="19"/>
                <w:lang w:val="en-GB"/>
              </w:rPr>
              <w:t>Online catalogue of best practice management measures and technologies for sustainable use of SCS coastal habitats and land-based pollution management</w:t>
            </w:r>
          </w:p>
        </w:tc>
      </w:tr>
      <w:tr w:rsidR="005D3DD5" w:rsidRPr="005D3DD5" w14:paraId="72F4A780" w14:textId="77777777" w:rsidTr="005D3DD5">
        <w:trPr>
          <w:trHeight w:val="1080"/>
          <w:jc w:val="center"/>
        </w:trPr>
        <w:tc>
          <w:tcPr>
            <w:tcW w:w="1884" w:type="dxa"/>
            <w:vAlign w:val="center"/>
          </w:tcPr>
          <w:p w14:paraId="465E0185" w14:textId="77777777" w:rsidR="005D3DD5" w:rsidRPr="005D3DD5" w:rsidRDefault="005D3DD5" w:rsidP="005D3DD5">
            <w:pPr>
              <w:spacing w:before="40"/>
              <w:rPr>
                <w:bCs/>
                <w:sz w:val="19"/>
                <w:szCs w:val="19"/>
                <w:lang w:val="en-GB"/>
              </w:rPr>
            </w:pPr>
            <w:r w:rsidRPr="005D3DD5">
              <w:rPr>
                <w:bCs/>
                <w:sz w:val="19"/>
                <w:szCs w:val="19"/>
                <w:lang w:val="en-GB"/>
              </w:rPr>
              <w:t>2.5.3(a): Reports of study tour and exchange initiatives</w:t>
            </w:r>
          </w:p>
          <w:p w14:paraId="1F6D35DE" w14:textId="77777777" w:rsidR="005D3DD5" w:rsidRPr="005D3DD5" w:rsidRDefault="005D3DD5" w:rsidP="005D3DD5">
            <w:pPr>
              <w:spacing w:before="40"/>
              <w:rPr>
                <w:bCs/>
                <w:sz w:val="19"/>
                <w:szCs w:val="19"/>
                <w:lang w:val="en-GB"/>
              </w:rPr>
            </w:pPr>
          </w:p>
          <w:p w14:paraId="3BB8445D" w14:textId="77777777" w:rsidR="005D3DD5" w:rsidRPr="005D3DD5" w:rsidRDefault="005D3DD5" w:rsidP="005D3DD5">
            <w:pPr>
              <w:spacing w:before="40"/>
              <w:rPr>
                <w:bCs/>
                <w:sz w:val="19"/>
                <w:szCs w:val="19"/>
                <w:lang w:val="en-GB"/>
              </w:rPr>
            </w:pPr>
            <w:r w:rsidRPr="005D3DD5">
              <w:rPr>
                <w:bCs/>
                <w:sz w:val="19"/>
                <w:szCs w:val="19"/>
                <w:lang w:val="en-GB"/>
              </w:rPr>
              <w:t>2.5.3(b): Annual reports of best practice examples of community level inputs to SAP implementation initiatives</w:t>
            </w:r>
          </w:p>
        </w:tc>
        <w:tc>
          <w:tcPr>
            <w:tcW w:w="1884" w:type="dxa"/>
            <w:vAlign w:val="center"/>
          </w:tcPr>
          <w:p w14:paraId="27237EE6" w14:textId="77777777" w:rsidR="005D3DD5" w:rsidRPr="005D3DD5" w:rsidRDefault="005D3DD5" w:rsidP="005D3DD5">
            <w:pPr>
              <w:spacing w:before="40"/>
              <w:rPr>
                <w:bCs/>
                <w:sz w:val="19"/>
                <w:szCs w:val="19"/>
                <w:lang w:val="en-GB"/>
              </w:rPr>
            </w:pPr>
            <w:r w:rsidRPr="005D3DD5">
              <w:rPr>
                <w:bCs/>
                <w:sz w:val="19"/>
                <w:szCs w:val="19"/>
                <w:lang w:val="en-GB"/>
              </w:rPr>
              <w:t>Extent and continuity of local leader and local government participation in study tour and exchange initiatives</w:t>
            </w:r>
          </w:p>
          <w:p w14:paraId="17C8129A" w14:textId="77777777" w:rsidR="005D3DD5" w:rsidRPr="005D3DD5" w:rsidRDefault="005D3DD5" w:rsidP="005D3DD5">
            <w:pPr>
              <w:spacing w:before="40"/>
              <w:rPr>
                <w:bCs/>
                <w:sz w:val="19"/>
                <w:szCs w:val="19"/>
                <w:lang w:val="en-GB"/>
              </w:rPr>
            </w:pPr>
            <w:r w:rsidRPr="005D3DD5">
              <w:rPr>
                <w:bCs/>
                <w:sz w:val="19"/>
                <w:szCs w:val="19"/>
                <w:lang w:val="en-GB"/>
              </w:rPr>
              <w:t>Level of improved local relevance of national policy and planning efforts for reducing environmental degradation in the SCS</w:t>
            </w:r>
          </w:p>
        </w:tc>
        <w:tc>
          <w:tcPr>
            <w:tcW w:w="1884" w:type="dxa"/>
            <w:vAlign w:val="center"/>
          </w:tcPr>
          <w:p w14:paraId="717E57A3" w14:textId="77777777" w:rsidR="005D3DD5" w:rsidRPr="005D3DD5" w:rsidRDefault="005D3DD5" w:rsidP="005D3DD5">
            <w:pPr>
              <w:spacing w:before="40"/>
              <w:rPr>
                <w:sz w:val="19"/>
                <w:szCs w:val="19"/>
                <w:lang w:val="en-GB"/>
              </w:rPr>
            </w:pPr>
            <w:r w:rsidRPr="005D3DD5">
              <w:rPr>
                <w:sz w:val="19"/>
                <w:szCs w:val="19"/>
                <w:lang w:val="en-GB"/>
              </w:rPr>
              <w:t>Limited engagement of community-based governance mechanisms in planning coastal habitat management</w:t>
            </w:r>
          </w:p>
          <w:p w14:paraId="16F5032D" w14:textId="77777777" w:rsidR="005D3DD5" w:rsidRPr="005D3DD5" w:rsidRDefault="005D3DD5" w:rsidP="005D3DD5">
            <w:pPr>
              <w:spacing w:before="40"/>
              <w:rPr>
                <w:sz w:val="19"/>
                <w:szCs w:val="19"/>
                <w:lang w:val="en-GB"/>
              </w:rPr>
            </w:pPr>
          </w:p>
          <w:p w14:paraId="50878BAC" w14:textId="77777777" w:rsidR="005D3DD5" w:rsidRPr="005D3DD5" w:rsidRDefault="005D3DD5" w:rsidP="005D3DD5">
            <w:pPr>
              <w:spacing w:before="40"/>
              <w:rPr>
                <w:sz w:val="19"/>
                <w:szCs w:val="19"/>
                <w:lang w:val="en-GB"/>
              </w:rPr>
            </w:pPr>
            <w:r w:rsidRPr="005D3DD5">
              <w:rPr>
                <w:sz w:val="19"/>
                <w:szCs w:val="19"/>
                <w:lang w:val="en-GB"/>
              </w:rPr>
              <w:t>Low level mobilization of civil society, community groups and the private sector in habitat management</w:t>
            </w:r>
          </w:p>
        </w:tc>
        <w:tc>
          <w:tcPr>
            <w:tcW w:w="1884" w:type="dxa"/>
            <w:vAlign w:val="center"/>
          </w:tcPr>
          <w:p w14:paraId="7B061368" w14:textId="77777777" w:rsidR="005D3DD5" w:rsidRPr="005D3DD5" w:rsidRDefault="005D3DD5" w:rsidP="005D3DD5">
            <w:pPr>
              <w:rPr>
                <w:sz w:val="19"/>
                <w:szCs w:val="19"/>
                <w:lang w:val="en-GB"/>
              </w:rPr>
            </w:pPr>
            <w:r w:rsidRPr="005D3DD5">
              <w:rPr>
                <w:sz w:val="19"/>
                <w:szCs w:val="19"/>
                <w:lang w:val="en-GB"/>
              </w:rPr>
              <w:t>Study tour and exchange programme developed and approved by the Project Steering Committee for implementation</w:t>
            </w:r>
          </w:p>
        </w:tc>
        <w:tc>
          <w:tcPr>
            <w:tcW w:w="1884" w:type="dxa"/>
            <w:vAlign w:val="center"/>
          </w:tcPr>
          <w:p w14:paraId="33237963" w14:textId="77777777" w:rsidR="005D3DD5" w:rsidRPr="005D3DD5" w:rsidRDefault="005D3DD5" w:rsidP="005D3DD5">
            <w:pPr>
              <w:spacing w:before="40"/>
              <w:rPr>
                <w:sz w:val="19"/>
                <w:szCs w:val="19"/>
                <w:lang w:val="en-GB"/>
              </w:rPr>
            </w:pPr>
            <w:r w:rsidRPr="005D3DD5">
              <w:rPr>
                <w:sz w:val="19"/>
                <w:szCs w:val="19"/>
                <w:lang w:val="en-GB"/>
              </w:rPr>
              <w:t>Government officials, community leaders, and habitat and pollution managers exposed to on-going practices in rehabilitation, management , and pollution control and treatment via programme of study tours and exchange</w:t>
            </w:r>
          </w:p>
        </w:tc>
      </w:tr>
      <w:tr w:rsidR="005D3DD5" w:rsidRPr="005D3DD5" w14:paraId="45CEEAE1" w14:textId="77777777" w:rsidTr="005D3DD5">
        <w:trPr>
          <w:trHeight w:val="1080"/>
          <w:jc w:val="center"/>
        </w:trPr>
        <w:tc>
          <w:tcPr>
            <w:tcW w:w="1884" w:type="dxa"/>
            <w:vAlign w:val="center"/>
          </w:tcPr>
          <w:p w14:paraId="2ECABFDA" w14:textId="77777777" w:rsidR="005D3DD5" w:rsidRPr="005D3DD5" w:rsidRDefault="005D3DD5" w:rsidP="005D3DD5">
            <w:pPr>
              <w:spacing w:before="40"/>
              <w:rPr>
                <w:bCs/>
                <w:sz w:val="19"/>
                <w:szCs w:val="19"/>
                <w:lang w:val="en-GB"/>
              </w:rPr>
            </w:pPr>
            <w:r w:rsidRPr="005D3DD5">
              <w:rPr>
                <w:bCs/>
                <w:sz w:val="19"/>
                <w:szCs w:val="19"/>
                <w:lang w:val="en-GB"/>
              </w:rPr>
              <w:t>2.5.4: Awareness packages accessible online via a SCS SAP implementation website</w:t>
            </w:r>
          </w:p>
        </w:tc>
        <w:tc>
          <w:tcPr>
            <w:tcW w:w="1884" w:type="dxa"/>
            <w:vAlign w:val="center"/>
          </w:tcPr>
          <w:p w14:paraId="332EECD5" w14:textId="77777777" w:rsidR="005D3DD5" w:rsidRPr="005D3DD5" w:rsidRDefault="005D3DD5" w:rsidP="005D3DD5">
            <w:pPr>
              <w:spacing w:before="40"/>
              <w:rPr>
                <w:bCs/>
                <w:sz w:val="19"/>
                <w:szCs w:val="19"/>
                <w:lang w:val="en-GB"/>
              </w:rPr>
            </w:pPr>
            <w:r w:rsidRPr="005D3DD5">
              <w:rPr>
                <w:bCs/>
                <w:sz w:val="19"/>
                <w:szCs w:val="19"/>
                <w:lang w:val="en-GB"/>
              </w:rPr>
              <w:t>Number of public awareness products accessible online</w:t>
            </w:r>
          </w:p>
          <w:p w14:paraId="2A406AAB" w14:textId="77777777" w:rsidR="005D3DD5" w:rsidRPr="005D3DD5" w:rsidRDefault="005D3DD5" w:rsidP="005D3DD5">
            <w:pPr>
              <w:spacing w:before="40"/>
              <w:rPr>
                <w:bCs/>
                <w:sz w:val="19"/>
                <w:szCs w:val="19"/>
                <w:lang w:val="en-GB"/>
              </w:rPr>
            </w:pPr>
          </w:p>
          <w:p w14:paraId="0448D9F2" w14:textId="77777777" w:rsidR="005D3DD5" w:rsidRPr="005D3DD5" w:rsidRDefault="005D3DD5" w:rsidP="005D3DD5">
            <w:pPr>
              <w:spacing w:before="40"/>
              <w:rPr>
                <w:bCs/>
                <w:sz w:val="19"/>
                <w:szCs w:val="19"/>
                <w:lang w:val="en-GB"/>
              </w:rPr>
            </w:pPr>
            <w:r w:rsidRPr="005D3DD5">
              <w:rPr>
                <w:bCs/>
                <w:sz w:val="19"/>
                <w:szCs w:val="19"/>
                <w:lang w:val="en-GB"/>
              </w:rPr>
              <w:t>Extent of local uptake and use of awareness products</w:t>
            </w:r>
          </w:p>
        </w:tc>
        <w:tc>
          <w:tcPr>
            <w:tcW w:w="1884" w:type="dxa"/>
            <w:vAlign w:val="center"/>
          </w:tcPr>
          <w:p w14:paraId="79DDD8C0" w14:textId="77777777" w:rsidR="005D3DD5" w:rsidRPr="005D3DD5" w:rsidRDefault="005D3DD5" w:rsidP="005D3DD5">
            <w:pPr>
              <w:spacing w:before="40"/>
              <w:rPr>
                <w:sz w:val="19"/>
                <w:szCs w:val="19"/>
                <w:lang w:val="en-GB"/>
              </w:rPr>
            </w:pPr>
            <w:r w:rsidRPr="005D3DD5">
              <w:rPr>
                <w:sz w:val="19"/>
                <w:szCs w:val="19"/>
                <w:lang w:val="en-GB"/>
              </w:rPr>
              <w:t>Public awareness materials developed via TDA/SAP project compiled and accessible via SCS website</w:t>
            </w:r>
          </w:p>
        </w:tc>
        <w:tc>
          <w:tcPr>
            <w:tcW w:w="1884" w:type="dxa"/>
            <w:vAlign w:val="center"/>
          </w:tcPr>
          <w:p w14:paraId="4ED134A9" w14:textId="77777777" w:rsidR="005D3DD5" w:rsidRPr="005D3DD5" w:rsidRDefault="005D3DD5" w:rsidP="005D3DD5">
            <w:pPr>
              <w:rPr>
                <w:sz w:val="19"/>
                <w:szCs w:val="19"/>
                <w:lang w:val="en-GB"/>
              </w:rPr>
            </w:pPr>
            <w:r w:rsidRPr="005D3DD5">
              <w:rPr>
                <w:sz w:val="19"/>
                <w:szCs w:val="19"/>
                <w:lang w:val="en-GB"/>
              </w:rPr>
              <w:t>Web platforms operational and data management systems in place</w:t>
            </w:r>
          </w:p>
        </w:tc>
        <w:tc>
          <w:tcPr>
            <w:tcW w:w="1884" w:type="dxa"/>
            <w:vAlign w:val="center"/>
          </w:tcPr>
          <w:p w14:paraId="4ADE1B6C" w14:textId="77777777" w:rsidR="005D3DD5" w:rsidRPr="005D3DD5" w:rsidRDefault="005D3DD5" w:rsidP="005D3DD5">
            <w:pPr>
              <w:spacing w:before="40"/>
              <w:rPr>
                <w:sz w:val="19"/>
                <w:szCs w:val="19"/>
                <w:lang w:val="en-GB"/>
              </w:rPr>
            </w:pPr>
            <w:r w:rsidRPr="005D3DD5">
              <w:rPr>
                <w:sz w:val="19"/>
                <w:szCs w:val="19"/>
                <w:lang w:val="en-GB"/>
              </w:rPr>
              <w:t>Expanded South China Sea online public awareness centre, including awareness packages for local adoption</w:t>
            </w:r>
          </w:p>
        </w:tc>
      </w:tr>
      <w:tr w:rsidR="005D3DD5" w:rsidRPr="005D3DD5" w14:paraId="0EF90D5A" w14:textId="77777777" w:rsidTr="005D3DD5">
        <w:trPr>
          <w:trHeight w:val="683"/>
          <w:jc w:val="center"/>
        </w:trPr>
        <w:tc>
          <w:tcPr>
            <w:tcW w:w="9420" w:type="dxa"/>
            <w:gridSpan w:val="5"/>
            <w:shd w:val="clear" w:color="auto" w:fill="F2F2F2"/>
            <w:vAlign w:val="center"/>
          </w:tcPr>
          <w:p w14:paraId="2E15A21D" w14:textId="77777777" w:rsidR="005D3DD5" w:rsidRPr="005D3DD5" w:rsidRDefault="005D3DD5" w:rsidP="005D3DD5">
            <w:pPr>
              <w:spacing w:before="40"/>
              <w:jc w:val="center"/>
              <w:rPr>
                <w:b/>
                <w:sz w:val="19"/>
                <w:szCs w:val="19"/>
                <w:lang w:val="en-GB"/>
              </w:rPr>
            </w:pPr>
            <w:r w:rsidRPr="005D3DD5">
              <w:rPr>
                <w:b/>
                <w:sz w:val="19"/>
                <w:szCs w:val="19"/>
                <w:lang w:val="en-GB"/>
              </w:rPr>
              <w:t>2.6 Updated and Ministerially adopted Transboundary Diagnostic Analysis and Strategic Action Programme, including prioritization of national management actions to address climate variability and change</w:t>
            </w:r>
          </w:p>
        </w:tc>
      </w:tr>
      <w:tr w:rsidR="005D3DD5" w:rsidRPr="005D3DD5" w14:paraId="2534382C" w14:textId="77777777" w:rsidTr="005D3DD5">
        <w:trPr>
          <w:trHeight w:val="377"/>
          <w:jc w:val="center"/>
        </w:trPr>
        <w:tc>
          <w:tcPr>
            <w:tcW w:w="1884" w:type="dxa"/>
            <w:vAlign w:val="center"/>
          </w:tcPr>
          <w:p w14:paraId="0381EEDF" w14:textId="77777777" w:rsidR="005D3DD5" w:rsidRPr="005D3DD5" w:rsidRDefault="005D3DD5" w:rsidP="005D3DD5">
            <w:pPr>
              <w:spacing w:before="40"/>
              <w:rPr>
                <w:bCs/>
                <w:sz w:val="19"/>
                <w:szCs w:val="19"/>
                <w:lang w:val="en-GB"/>
              </w:rPr>
            </w:pPr>
            <w:r w:rsidRPr="005D3DD5">
              <w:rPr>
                <w:bCs/>
                <w:sz w:val="19"/>
                <w:szCs w:val="19"/>
                <w:lang w:val="en-GB"/>
              </w:rPr>
              <w:t>2.6.1. Updated and regionally endorsed Transboundary Diagnostic Analysis for the SCS marine basin published and disseminated at national and regional levels</w:t>
            </w:r>
          </w:p>
        </w:tc>
        <w:tc>
          <w:tcPr>
            <w:tcW w:w="1884" w:type="dxa"/>
            <w:vAlign w:val="center"/>
          </w:tcPr>
          <w:p w14:paraId="2AB584D4" w14:textId="77777777" w:rsidR="005D3DD5" w:rsidRPr="005D3DD5" w:rsidRDefault="005D3DD5" w:rsidP="005D3DD5">
            <w:pPr>
              <w:spacing w:before="40"/>
              <w:rPr>
                <w:bCs/>
                <w:sz w:val="19"/>
                <w:szCs w:val="19"/>
                <w:lang w:val="en-GB"/>
              </w:rPr>
            </w:pPr>
            <w:r w:rsidRPr="005D3DD5">
              <w:rPr>
                <w:bCs/>
                <w:sz w:val="19"/>
                <w:szCs w:val="19"/>
                <w:lang w:val="en-GB"/>
              </w:rPr>
              <w:t>Status of national and regional level consensus on contemporary issues of transboundary significance with respect to coastal habitat and land-based pollution management</w:t>
            </w:r>
          </w:p>
        </w:tc>
        <w:tc>
          <w:tcPr>
            <w:tcW w:w="1884" w:type="dxa"/>
            <w:vAlign w:val="center"/>
          </w:tcPr>
          <w:p w14:paraId="10B58C1D" w14:textId="77777777" w:rsidR="005D3DD5" w:rsidRPr="005D3DD5" w:rsidRDefault="005D3DD5" w:rsidP="005D3DD5">
            <w:pPr>
              <w:spacing w:before="40"/>
              <w:rPr>
                <w:sz w:val="19"/>
                <w:szCs w:val="19"/>
                <w:lang w:val="en-GB"/>
              </w:rPr>
            </w:pPr>
            <w:r w:rsidRPr="005D3DD5">
              <w:rPr>
                <w:sz w:val="19"/>
                <w:szCs w:val="19"/>
                <w:lang w:val="en-GB"/>
              </w:rPr>
              <w:t>TDA for SCS published in 2000</w:t>
            </w:r>
          </w:p>
          <w:p w14:paraId="1FCCF8DF" w14:textId="77777777" w:rsidR="005D3DD5" w:rsidRPr="005D3DD5" w:rsidRDefault="005D3DD5" w:rsidP="005D3DD5">
            <w:pPr>
              <w:spacing w:before="40"/>
              <w:rPr>
                <w:sz w:val="19"/>
                <w:szCs w:val="19"/>
                <w:lang w:val="en-GB"/>
              </w:rPr>
            </w:pPr>
          </w:p>
          <w:p w14:paraId="15744FAB" w14:textId="77777777" w:rsidR="005D3DD5" w:rsidRPr="005D3DD5" w:rsidRDefault="005D3DD5" w:rsidP="005D3DD5">
            <w:pPr>
              <w:spacing w:before="40"/>
              <w:rPr>
                <w:sz w:val="19"/>
                <w:szCs w:val="19"/>
                <w:lang w:val="en-GB"/>
              </w:rPr>
            </w:pPr>
            <w:r w:rsidRPr="005D3DD5">
              <w:rPr>
                <w:sz w:val="19"/>
                <w:szCs w:val="19"/>
                <w:lang w:val="en-GB"/>
              </w:rPr>
              <w:t>Special Issue of Ocean and Coastal Management on South China Sea published in 2013</w:t>
            </w:r>
          </w:p>
        </w:tc>
        <w:tc>
          <w:tcPr>
            <w:tcW w:w="1884" w:type="dxa"/>
            <w:vAlign w:val="center"/>
          </w:tcPr>
          <w:p w14:paraId="2A20FFA1" w14:textId="77777777" w:rsidR="005D3DD5" w:rsidRPr="005D3DD5" w:rsidRDefault="005D3DD5" w:rsidP="005D3DD5">
            <w:pPr>
              <w:rPr>
                <w:sz w:val="19"/>
                <w:szCs w:val="19"/>
                <w:lang w:val="en-GB"/>
              </w:rPr>
            </w:pPr>
            <w:r w:rsidRPr="005D3DD5">
              <w:rPr>
                <w:sz w:val="19"/>
                <w:szCs w:val="19"/>
                <w:lang w:val="en-GB"/>
              </w:rPr>
              <w:t>Same as end-of-project target</w:t>
            </w:r>
          </w:p>
        </w:tc>
        <w:tc>
          <w:tcPr>
            <w:tcW w:w="1884" w:type="dxa"/>
            <w:vAlign w:val="center"/>
          </w:tcPr>
          <w:p w14:paraId="4EFB9948" w14:textId="77777777" w:rsidR="005D3DD5" w:rsidRPr="005D3DD5" w:rsidRDefault="005D3DD5" w:rsidP="005D3DD5">
            <w:pPr>
              <w:spacing w:before="40"/>
              <w:rPr>
                <w:sz w:val="19"/>
                <w:szCs w:val="19"/>
                <w:lang w:val="en-GB"/>
              </w:rPr>
            </w:pPr>
            <w:r w:rsidRPr="005D3DD5">
              <w:rPr>
                <w:sz w:val="19"/>
                <w:szCs w:val="19"/>
                <w:lang w:val="en-GB"/>
              </w:rPr>
              <w:t>National and regional level consensus on contemporary issues and problems, including the quantification of environmental compromises and the prioritization of problems (Yr 2)</w:t>
            </w:r>
          </w:p>
        </w:tc>
      </w:tr>
      <w:tr w:rsidR="005D3DD5" w:rsidRPr="005D3DD5" w14:paraId="3A7ACEB8" w14:textId="77777777" w:rsidTr="005D3DD5">
        <w:trPr>
          <w:trHeight w:val="1080"/>
          <w:jc w:val="center"/>
        </w:trPr>
        <w:tc>
          <w:tcPr>
            <w:tcW w:w="1884" w:type="dxa"/>
            <w:vAlign w:val="center"/>
          </w:tcPr>
          <w:p w14:paraId="5F5BC1BB" w14:textId="77777777" w:rsidR="005D3DD5" w:rsidRPr="005D3DD5" w:rsidRDefault="005D3DD5" w:rsidP="005D3DD5">
            <w:pPr>
              <w:spacing w:before="40"/>
              <w:rPr>
                <w:bCs/>
                <w:sz w:val="19"/>
                <w:szCs w:val="19"/>
                <w:lang w:val="en-GB"/>
              </w:rPr>
            </w:pPr>
            <w:r w:rsidRPr="005D3DD5">
              <w:rPr>
                <w:bCs/>
                <w:sz w:val="19"/>
                <w:szCs w:val="19"/>
                <w:lang w:val="en-GB"/>
              </w:rPr>
              <w:t xml:space="preserve">2.6.2(a): Updated and regionally endorsed prioritisation of options for management intervention in the SCS </w:t>
            </w:r>
          </w:p>
          <w:p w14:paraId="5E24034A" w14:textId="77777777" w:rsidR="005D3DD5" w:rsidRPr="005D3DD5" w:rsidRDefault="005D3DD5" w:rsidP="005D3DD5">
            <w:pPr>
              <w:spacing w:before="40"/>
              <w:rPr>
                <w:bCs/>
                <w:sz w:val="19"/>
                <w:szCs w:val="19"/>
                <w:lang w:val="en-GB"/>
              </w:rPr>
            </w:pPr>
            <w:r w:rsidRPr="005D3DD5">
              <w:rPr>
                <w:bCs/>
                <w:sz w:val="19"/>
                <w:szCs w:val="19"/>
                <w:lang w:val="en-GB"/>
              </w:rPr>
              <w:t>2.6.2(b): Published cost benefit analysis of alternative options for coastal habitat and land-based pollution interventions</w:t>
            </w:r>
          </w:p>
        </w:tc>
        <w:tc>
          <w:tcPr>
            <w:tcW w:w="1884" w:type="dxa"/>
            <w:vAlign w:val="center"/>
          </w:tcPr>
          <w:p w14:paraId="269F1E5A" w14:textId="77777777" w:rsidR="005D3DD5" w:rsidRPr="005D3DD5" w:rsidRDefault="005D3DD5" w:rsidP="005D3DD5">
            <w:pPr>
              <w:spacing w:before="40"/>
              <w:rPr>
                <w:bCs/>
                <w:sz w:val="19"/>
                <w:szCs w:val="19"/>
                <w:lang w:val="en-GB"/>
              </w:rPr>
            </w:pPr>
            <w:r w:rsidRPr="005D3DD5">
              <w:rPr>
                <w:bCs/>
                <w:sz w:val="19"/>
                <w:szCs w:val="19"/>
                <w:lang w:val="en-GB"/>
              </w:rPr>
              <w:t>Status of national and regional level consensus reached on priority actions for intervention</w:t>
            </w:r>
          </w:p>
          <w:p w14:paraId="415C2ED3" w14:textId="77777777" w:rsidR="005D3DD5" w:rsidRPr="005D3DD5" w:rsidRDefault="005D3DD5" w:rsidP="005D3DD5">
            <w:pPr>
              <w:spacing w:before="40"/>
              <w:rPr>
                <w:bCs/>
                <w:sz w:val="19"/>
                <w:szCs w:val="19"/>
                <w:lang w:val="en-GB"/>
              </w:rPr>
            </w:pPr>
          </w:p>
          <w:p w14:paraId="087D1D1D" w14:textId="77777777" w:rsidR="005D3DD5" w:rsidRPr="005D3DD5" w:rsidRDefault="005D3DD5" w:rsidP="005D3DD5">
            <w:pPr>
              <w:spacing w:before="40"/>
              <w:rPr>
                <w:bCs/>
                <w:sz w:val="19"/>
                <w:szCs w:val="19"/>
                <w:lang w:val="en-GB"/>
              </w:rPr>
            </w:pPr>
            <w:r w:rsidRPr="005D3DD5">
              <w:rPr>
                <w:bCs/>
                <w:sz w:val="19"/>
                <w:szCs w:val="19"/>
                <w:lang w:val="en-GB"/>
              </w:rPr>
              <w:t>Status of cost benefit analysis of comparative net benefits of alternative options for management</w:t>
            </w:r>
          </w:p>
        </w:tc>
        <w:tc>
          <w:tcPr>
            <w:tcW w:w="1884" w:type="dxa"/>
            <w:vAlign w:val="center"/>
          </w:tcPr>
          <w:p w14:paraId="42D28773" w14:textId="77777777" w:rsidR="005D3DD5" w:rsidRPr="005D3DD5" w:rsidRDefault="005D3DD5" w:rsidP="005D3DD5">
            <w:pPr>
              <w:spacing w:before="40"/>
              <w:rPr>
                <w:sz w:val="19"/>
                <w:szCs w:val="19"/>
                <w:lang w:val="en-GB"/>
              </w:rPr>
            </w:pPr>
            <w:r w:rsidRPr="005D3DD5">
              <w:rPr>
                <w:sz w:val="19"/>
                <w:szCs w:val="19"/>
                <w:lang w:val="en-GB"/>
              </w:rPr>
              <w:t>Strategic Action Programme endorsed in 2008 outlines priorities for management</w:t>
            </w:r>
          </w:p>
          <w:p w14:paraId="21A31D2C" w14:textId="77777777" w:rsidR="005D3DD5" w:rsidRPr="005D3DD5" w:rsidRDefault="005D3DD5" w:rsidP="005D3DD5">
            <w:pPr>
              <w:spacing w:before="40"/>
              <w:rPr>
                <w:sz w:val="19"/>
                <w:szCs w:val="19"/>
                <w:lang w:val="en-GB"/>
              </w:rPr>
            </w:pPr>
          </w:p>
          <w:p w14:paraId="09A2E506" w14:textId="77777777" w:rsidR="005D3DD5" w:rsidRPr="005D3DD5" w:rsidRDefault="005D3DD5" w:rsidP="005D3DD5">
            <w:pPr>
              <w:spacing w:before="40"/>
              <w:rPr>
                <w:sz w:val="19"/>
                <w:szCs w:val="19"/>
                <w:lang w:val="en-GB"/>
              </w:rPr>
            </w:pPr>
            <w:r w:rsidRPr="005D3DD5">
              <w:rPr>
                <w:sz w:val="19"/>
                <w:szCs w:val="19"/>
                <w:lang w:val="en-GB"/>
              </w:rPr>
              <w:t>Established methodology for cost of action versus non-action in the context of SCS SAP implementation</w:t>
            </w:r>
          </w:p>
        </w:tc>
        <w:tc>
          <w:tcPr>
            <w:tcW w:w="1884" w:type="dxa"/>
            <w:vAlign w:val="center"/>
          </w:tcPr>
          <w:p w14:paraId="4938C7F5" w14:textId="77777777" w:rsidR="005D3DD5" w:rsidRPr="005D3DD5" w:rsidRDefault="005D3DD5" w:rsidP="005D3DD5">
            <w:pPr>
              <w:rPr>
                <w:sz w:val="19"/>
                <w:szCs w:val="19"/>
                <w:lang w:val="en-GB"/>
              </w:rPr>
            </w:pPr>
            <w:r w:rsidRPr="005D3DD5">
              <w:rPr>
                <w:sz w:val="19"/>
                <w:szCs w:val="19"/>
                <w:lang w:val="en-GB"/>
              </w:rPr>
              <w:t>Appropriate expertise engaged and draft reports circulated for regional and national review</w:t>
            </w:r>
          </w:p>
        </w:tc>
        <w:tc>
          <w:tcPr>
            <w:tcW w:w="1884" w:type="dxa"/>
            <w:vAlign w:val="center"/>
          </w:tcPr>
          <w:p w14:paraId="225BE55C" w14:textId="77777777" w:rsidR="005D3DD5" w:rsidRPr="005D3DD5" w:rsidRDefault="005D3DD5" w:rsidP="005D3DD5">
            <w:pPr>
              <w:spacing w:before="40"/>
              <w:rPr>
                <w:sz w:val="19"/>
                <w:szCs w:val="19"/>
                <w:lang w:val="en-GB"/>
              </w:rPr>
            </w:pPr>
            <w:r w:rsidRPr="005D3DD5">
              <w:rPr>
                <w:sz w:val="19"/>
                <w:szCs w:val="19"/>
                <w:lang w:val="en-GB"/>
              </w:rPr>
              <w:t>The immediate and ultimate root causes of the problems identified and consensus reached on priorities for intervention, including comparative analysis of the net benefits of alternative options (Yr 3)</w:t>
            </w:r>
          </w:p>
        </w:tc>
      </w:tr>
      <w:tr w:rsidR="005D3DD5" w:rsidRPr="005D3DD5" w14:paraId="4517A75C" w14:textId="77777777" w:rsidTr="005D3DD5">
        <w:trPr>
          <w:trHeight w:val="1080"/>
          <w:jc w:val="center"/>
        </w:trPr>
        <w:tc>
          <w:tcPr>
            <w:tcW w:w="1884" w:type="dxa"/>
            <w:vAlign w:val="center"/>
          </w:tcPr>
          <w:p w14:paraId="14592996" w14:textId="77777777" w:rsidR="005D3DD5" w:rsidRPr="005D3DD5" w:rsidRDefault="005D3DD5" w:rsidP="005D3DD5">
            <w:pPr>
              <w:spacing w:before="40"/>
              <w:rPr>
                <w:bCs/>
                <w:sz w:val="19"/>
                <w:szCs w:val="19"/>
                <w:lang w:val="en-GB"/>
              </w:rPr>
            </w:pPr>
            <w:r w:rsidRPr="005D3DD5">
              <w:rPr>
                <w:bCs/>
                <w:sz w:val="19"/>
                <w:szCs w:val="19"/>
                <w:lang w:val="en-GB"/>
              </w:rPr>
              <w:t>2.6.3: Endorsed  Strategic Action Programme published</w:t>
            </w:r>
          </w:p>
        </w:tc>
        <w:tc>
          <w:tcPr>
            <w:tcW w:w="1884" w:type="dxa"/>
            <w:vAlign w:val="center"/>
          </w:tcPr>
          <w:p w14:paraId="3B9D1092" w14:textId="77777777" w:rsidR="005D3DD5" w:rsidRPr="005D3DD5" w:rsidRDefault="005D3DD5" w:rsidP="005D3DD5">
            <w:pPr>
              <w:spacing w:before="40"/>
              <w:rPr>
                <w:bCs/>
                <w:sz w:val="19"/>
                <w:szCs w:val="19"/>
                <w:lang w:val="en-GB"/>
              </w:rPr>
            </w:pPr>
            <w:r w:rsidRPr="005D3DD5">
              <w:rPr>
                <w:bCs/>
                <w:sz w:val="19"/>
                <w:szCs w:val="19"/>
                <w:lang w:val="en-GB"/>
              </w:rPr>
              <w:t>Status of Ministerial adoption of an updated Strategic Action Programme for the South China Sea</w:t>
            </w:r>
          </w:p>
        </w:tc>
        <w:tc>
          <w:tcPr>
            <w:tcW w:w="1884" w:type="dxa"/>
            <w:vAlign w:val="center"/>
          </w:tcPr>
          <w:p w14:paraId="139189E8" w14:textId="77777777" w:rsidR="005D3DD5" w:rsidRPr="005D3DD5" w:rsidRDefault="005D3DD5" w:rsidP="005D3DD5">
            <w:pPr>
              <w:spacing w:before="40"/>
              <w:rPr>
                <w:sz w:val="19"/>
                <w:szCs w:val="19"/>
                <w:lang w:val="en-GB"/>
              </w:rPr>
            </w:pPr>
            <w:r w:rsidRPr="005D3DD5">
              <w:rPr>
                <w:sz w:val="19"/>
                <w:szCs w:val="19"/>
                <w:lang w:val="en-GB"/>
              </w:rPr>
              <w:t>Strategic Action Programme for the South China Sea endorsed inter-governmentally in 2008</w:t>
            </w:r>
          </w:p>
        </w:tc>
        <w:tc>
          <w:tcPr>
            <w:tcW w:w="1884" w:type="dxa"/>
            <w:vAlign w:val="center"/>
          </w:tcPr>
          <w:p w14:paraId="51644D17" w14:textId="77777777" w:rsidR="005D3DD5" w:rsidRPr="005D3DD5" w:rsidRDefault="005D3DD5" w:rsidP="005D3DD5">
            <w:pPr>
              <w:rPr>
                <w:sz w:val="19"/>
                <w:szCs w:val="19"/>
                <w:lang w:val="en-GB"/>
              </w:rPr>
            </w:pPr>
            <w:r w:rsidRPr="005D3DD5">
              <w:rPr>
                <w:sz w:val="19"/>
                <w:szCs w:val="19"/>
                <w:lang w:val="en-GB"/>
              </w:rPr>
              <w:t>Consultation process initiated to secure Ministerial level commitment to SAP revision and adoption</w:t>
            </w:r>
          </w:p>
        </w:tc>
        <w:tc>
          <w:tcPr>
            <w:tcW w:w="1884" w:type="dxa"/>
            <w:vAlign w:val="center"/>
          </w:tcPr>
          <w:p w14:paraId="0FEE53F5" w14:textId="77777777" w:rsidR="005D3DD5" w:rsidRPr="005D3DD5" w:rsidRDefault="005D3DD5" w:rsidP="005D3DD5">
            <w:pPr>
              <w:spacing w:before="40"/>
              <w:rPr>
                <w:sz w:val="19"/>
                <w:szCs w:val="19"/>
                <w:lang w:val="en-GB"/>
              </w:rPr>
            </w:pPr>
            <w:r w:rsidRPr="005D3DD5">
              <w:rPr>
                <w:sz w:val="19"/>
                <w:szCs w:val="19"/>
                <w:lang w:val="en-GB"/>
              </w:rPr>
              <w:t>National and regional consultative process to develop updated Strategic Action Programme SAP for adoption at the Ministerial level (Yr 5)</w:t>
            </w:r>
          </w:p>
        </w:tc>
      </w:tr>
      <w:tr w:rsidR="005D3DD5" w:rsidRPr="005D3DD5" w14:paraId="59254F0A" w14:textId="77777777" w:rsidTr="005D3DD5">
        <w:trPr>
          <w:trHeight w:val="1080"/>
          <w:jc w:val="center"/>
        </w:trPr>
        <w:tc>
          <w:tcPr>
            <w:tcW w:w="1884" w:type="dxa"/>
            <w:vAlign w:val="center"/>
          </w:tcPr>
          <w:p w14:paraId="377C4798" w14:textId="77777777" w:rsidR="005D3DD5" w:rsidRPr="005D3DD5" w:rsidRDefault="005D3DD5" w:rsidP="005D3DD5">
            <w:pPr>
              <w:spacing w:before="40"/>
              <w:rPr>
                <w:bCs/>
                <w:sz w:val="19"/>
                <w:szCs w:val="19"/>
                <w:lang w:val="en-GB"/>
              </w:rPr>
            </w:pPr>
            <w:r w:rsidRPr="005D3DD5">
              <w:rPr>
                <w:bCs/>
                <w:sz w:val="19"/>
                <w:szCs w:val="19"/>
                <w:lang w:val="en-GB"/>
              </w:rPr>
              <w:t>2.6.4(a): Report of priority actions</w:t>
            </w:r>
          </w:p>
          <w:p w14:paraId="35D35D86" w14:textId="77777777" w:rsidR="005D3DD5" w:rsidRPr="005D3DD5" w:rsidRDefault="005D3DD5" w:rsidP="005D3DD5">
            <w:pPr>
              <w:spacing w:before="40"/>
              <w:rPr>
                <w:bCs/>
                <w:sz w:val="19"/>
                <w:szCs w:val="19"/>
                <w:lang w:val="en-GB"/>
              </w:rPr>
            </w:pPr>
            <w:r w:rsidRPr="005D3DD5">
              <w:rPr>
                <w:bCs/>
                <w:sz w:val="19"/>
                <w:szCs w:val="19"/>
                <w:lang w:val="en-GB"/>
              </w:rPr>
              <w:t>2.6.4(b): National policies and plans with demonstrable uptake of priority actions</w:t>
            </w:r>
          </w:p>
        </w:tc>
        <w:tc>
          <w:tcPr>
            <w:tcW w:w="1884" w:type="dxa"/>
            <w:vAlign w:val="center"/>
          </w:tcPr>
          <w:p w14:paraId="08B7A637" w14:textId="77777777" w:rsidR="005D3DD5" w:rsidRPr="005D3DD5" w:rsidRDefault="005D3DD5" w:rsidP="005D3DD5">
            <w:pPr>
              <w:spacing w:before="40"/>
              <w:rPr>
                <w:bCs/>
                <w:sz w:val="19"/>
                <w:szCs w:val="19"/>
                <w:lang w:val="en-GB"/>
              </w:rPr>
            </w:pPr>
            <w:r w:rsidRPr="005D3DD5">
              <w:rPr>
                <w:bCs/>
                <w:sz w:val="19"/>
                <w:szCs w:val="19"/>
                <w:lang w:val="en-GB"/>
              </w:rPr>
              <w:t>Level of demonstrable use of the regional review on sea level rise, climate change, and episodic events in SAP formulation</w:t>
            </w:r>
          </w:p>
        </w:tc>
        <w:tc>
          <w:tcPr>
            <w:tcW w:w="1884" w:type="dxa"/>
            <w:vAlign w:val="center"/>
          </w:tcPr>
          <w:p w14:paraId="087038DE" w14:textId="77777777" w:rsidR="005D3DD5" w:rsidRPr="005D3DD5" w:rsidRDefault="005D3DD5" w:rsidP="005D3DD5">
            <w:pPr>
              <w:spacing w:before="40"/>
              <w:rPr>
                <w:sz w:val="19"/>
                <w:szCs w:val="19"/>
                <w:lang w:val="en-GB"/>
              </w:rPr>
            </w:pPr>
            <w:r w:rsidRPr="005D3DD5">
              <w:rPr>
                <w:sz w:val="19"/>
                <w:szCs w:val="19"/>
                <w:lang w:val="en-GB"/>
              </w:rPr>
              <w:t>Evolving understanding of sea level rise, climate change, and episodic events in East Asia but not applied in context of transboundary planning in the South China Sea</w:t>
            </w:r>
          </w:p>
        </w:tc>
        <w:tc>
          <w:tcPr>
            <w:tcW w:w="1884" w:type="dxa"/>
            <w:vAlign w:val="center"/>
          </w:tcPr>
          <w:p w14:paraId="5442488E" w14:textId="77777777" w:rsidR="005D3DD5" w:rsidRPr="005D3DD5" w:rsidRDefault="005D3DD5" w:rsidP="005D3DD5">
            <w:pPr>
              <w:rPr>
                <w:sz w:val="19"/>
                <w:szCs w:val="19"/>
                <w:lang w:val="en-GB"/>
              </w:rPr>
            </w:pPr>
            <w:r w:rsidRPr="005D3DD5">
              <w:rPr>
                <w:sz w:val="19"/>
                <w:szCs w:val="19"/>
                <w:lang w:val="en-GB"/>
              </w:rPr>
              <w:t>Appropriate expertise engaged to identify priority national actions that achieve local benefit as well as high transboundary impact</w:t>
            </w:r>
          </w:p>
        </w:tc>
        <w:tc>
          <w:tcPr>
            <w:tcW w:w="1884" w:type="dxa"/>
            <w:vAlign w:val="center"/>
          </w:tcPr>
          <w:p w14:paraId="0DE65A5D" w14:textId="77777777" w:rsidR="005D3DD5" w:rsidRPr="005D3DD5" w:rsidRDefault="005D3DD5" w:rsidP="005D3DD5">
            <w:pPr>
              <w:spacing w:before="40"/>
              <w:rPr>
                <w:sz w:val="19"/>
                <w:szCs w:val="19"/>
                <w:lang w:val="en-GB"/>
              </w:rPr>
            </w:pPr>
            <w:r w:rsidRPr="005D3DD5">
              <w:rPr>
                <w:sz w:val="19"/>
                <w:szCs w:val="19"/>
                <w:lang w:val="en-GB"/>
              </w:rPr>
              <w:t>Prioritization of national management actions to address climate variability and change for incorporation into national policies and plans</w:t>
            </w:r>
          </w:p>
        </w:tc>
      </w:tr>
    </w:tbl>
    <w:p w14:paraId="075627C0" w14:textId="77777777" w:rsidR="005D3DD5" w:rsidRPr="005D3DD5" w:rsidRDefault="005D3DD5" w:rsidP="005D3DD5"/>
    <w:p w14:paraId="0F3FA08F" w14:textId="77777777" w:rsidR="005D3DD5" w:rsidRPr="005D3DD5" w:rsidRDefault="005D3DD5" w:rsidP="005D3DD5">
      <w:r w:rsidRPr="005D3DD5">
        <w:rPr>
          <w:b/>
        </w:rPr>
        <w:t>Table 3</w:t>
      </w:r>
      <w:r w:rsidRPr="005D3DD5">
        <w:tab/>
      </w:r>
      <w:r w:rsidRPr="005D3DD5">
        <w:tab/>
        <w:t>Key deliverables and benchmarks for project component 3</w:t>
      </w:r>
    </w:p>
    <w:p w14:paraId="16FF3D15" w14:textId="77777777" w:rsidR="005D3DD5" w:rsidRPr="005D3DD5" w:rsidRDefault="005D3DD5" w:rsidP="005D3DD5"/>
    <w:tbl>
      <w:tblPr>
        <w:tblW w:w="94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84"/>
        <w:gridCol w:w="1884"/>
        <w:gridCol w:w="1884"/>
        <w:gridCol w:w="1884"/>
        <w:gridCol w:w="1884"/>
      </w:tblGrid>
      <w:tr w:rsidR="005D3DD5" w:rsidRPr="005D3DD5" w14:paraId="46D952CD" w14:textId="77777777" w:rsidTr="005D3DD5">
        <w:trPr>
          <w:tblHeader/>
          <w:jc w:val="center"/>
        </w:trPr>
        <w:tc>
          <w:tcPr>
            <w:tcW w:w="1884" w:type="dxa"/>
            <w:shd w:val="clear" w:color="auto" w:fill="B3B3B3"/>
            <w:vAlign w:val="center"/>
          </w:tcPr>
          <w:p w14:paraId="58D70BC5" w14:textId="77777777" w:rsidR="005D3DD5" w:rsidRPr="005D3DD5" w:rsidRDefault="005D3DD5" w:rsidP="005D3DD5">
            <w:pPr>
              <w:keepNext/>
              <w:jc w:val="center"/>
              <w:rPr>
                <w:b/>
                <w:sz w:val="20"/>
                <w:szCs w:val="20"/>
                <w:lang w:val="en-GB"/>
              </w:rPr>
            </w:pPr>
            <w:r w:rsidRPr="005D3DD5">
              <w:rPr>
                <w:b/>
                <w:sz w:val="20"/>
                <w:szCs w:val="20"/>
                <w:lang w:val="en-GB"/>
              </w:rPr>
              <w:t>Project Outputs</w:t>
            </w:r>
          </w:p>
        </w:tc>
        <w:tc>
          <w:tcPr>
            <w:tcW w:w="1884" w:type="dxa"/>
            <w:shd w:val="clear" w:color="auto" w:fill="B3B3B3"/>
            <w:vAlign w:val="center"/>
          </w:tcPr>
          <w:p w14:paraId="4CEB66CC" w14:textId="77777777" w:rsidR="005D3DD5" w:rsidRPr="005D3DD5" w:rsidRDefault="005D3DD5" w:rsidP="005D3DD5">
            <w:pPr>
              <w:jc w:val="center"/>
              <w:rPr>
                <w:b/>
                <w:sz w:val="20"/>
                <w:szCs w:val="20"/>
                <w:lang w:val="en-GB"/>
              </w:rPr>
            </w:pPr>
            <w:r w:rsidRPr="005D3DD5">
              <w:rPr>
                <w:b/>
                <w:sz w:val="20"/>
                <w:szCs w:val="20"/>
                <w:lang w:val="en-GB"/>
              </w:rPr>
              <w:t>Description of indicator</w:t>
            </w:r>
          </w:p>
        </w:tc>
        <w:tc>
          <w:tcPr>
            <w:tcW w:w="1884" w:type="dxa"/>
            <w:shd w:val="clear" w:color="auto" w:fill="B3B3B3"/>
            <w:vAlign w:val="center"/>
          </w:tcPr>
          <w:p w14:paraId="7DD37EF7" w14:textId="77777777" w:rsidR="005D3DD5" w:rsidRPr="005D3DD5" w:rsidRDefault="005D3DD5" w:rsidP="005D3DD5">
            <w:pPr>
              <w:jc w:val="center"/>
              <w:rPr>
                <w:b/>
                <w:sz w:val="20"/>
                <w:szCs w:val="20"/>
                <w:lang w:val="en-GB"/>
              </w:rPr>
            </w:pPr>
            <w:r w:rsidRPr="005D3DD5">
              <w:rPr>
                <w:b/>
                <w:sz w:val="20"/>
                <w:szCs w:val="20"/>
                <w:lang w:val="en-GB"/>
              </w:rPr>
              <w:t>Baseline level</w:t>
            </w:r>
          </w:p>
        </w:tc>
        <w:tc>
          <w:tcPr>
            <w:tcW w:w="1884" w:type="dxa"/>
            <w:shd w:val="clear" w:color="auto" w:fill="B3B3B3"/>
            <w:vAlign w:val="center"/>
          </w:tcPr>
          <w:p w14:paraId="35BAC849" w14:textId="77777777" w:rsidR="005D3DD5" w:rsidRPr="005D3DD5" w:rsidRDefault="005D3DD5" w:rsidP="005D3DD5">
            <w:pPr>
              <w:jc w:val="center"/>
              <w:rPr>
                <w:b/>
                <w:sz w:val="20"/>
                <w:szCs w:val="20"/>
                <w:lang w:val="en-GB"/>
              </w:rPr>
            </w:pPr>
            <w:r w:rsidRPr="005D3DD5">
              <w:rPr>
                <w:b/>
                <w:sz w:val="20"/>
                <w:szCs w:val="20"/>
                <w:lang w:val="en-GB"/>
              </w:rPr>
              <w:t>Mid-term target</w:t>
            </w:r>
          </w:p>
        </w:tc>
        <w:tc>
          <w:tcPr>
            <w:tcW w:w="1884" w:type="dxa"/>
            <w:shd w:val="clear" w:color="auto" w:fill="B3B3B3"/>
            <w:vAlign w:val="center"/>
          </w:tcPr>
          <w:p w14:paraId="59A26A6A" w14:textId="77777777" w:rsidR="005D3DD5" w:rsidRPr="005D3DD5" w:rsidRDefault="005D3DD5" w:rsidP="005D3DD5">
            <w:pPr>
              <w:jc w:val="center"/>
              <w:rPr>
                <w:b/>
                <w:sz w:val="20"/>
                <w:szCs w:val="20"/>
                <w:lang w:val="en-GB"/>
              </w:rPr>
            </w:pPr>
            <w:r w:rsidRPr="005D3DD5">
              <w:rPr>
                <w:b/>
                <w:sz w:val="20"/>
                <w:szCs w:val="20"/>
                <w:lang w:val="en-GB"/>
              </w:rPr>
              <w:t>End-of-project target</w:t>
            </w:r>
          </w:p>
        </w:tc>
      </w:tr>
      <w:tr w:rsidR="005D3DD5" w:rsidRPr="005D3DD5" w14:paraId="33EC21E8" w14:textId="77777777" w:rsidTr="005D3DD5">
        <w:trPr>
          <w:trHeight w:val="567"/>
          <w:tblHeader/>
          <w:jc w:val="center"/>
        </w:trPr>
        <w:tc>
          <w:tcPr>
            <w:tcW w:w="9420" w:type="dxa"/>
            <w:gridSpan w:val="5"/>
            <w:shd w:val="clear" w:color="auto" w:fill="D9D9D9"/>
            <w:vAlign w:val="center"/>
          </w:tcPr>
          <w:p w14:paraId="1A4A6AB3" w14:textId="77777777" w:rsidR="005D3DD5" w:rsidRPr="005D3DD5" w:rsidRDefault="005D3DD5" w:rsidP="005D3DD5">
            <w:pPr>
              <w:jc w:val="center"/>
              <w:rPr>
                <w:b/>
                <w:sz w:val="20"/>
                <w:szCs w:val="20"/>
                <w:lang w:val="en-GB"/>
              </w:rPr>
            </w:pPr>
            <w:r w:rsidRPr="005D3DD5">
              <w:rPr>
                <w:b/>
                <w:sz w:val="20"/>
                <w:szCs w:val="20"/>
                <w:lang w:val="en-GB"/>
              </w:rPr>
              <w:t>Component III: Facilitating regional and national level integration and cooperation for the implementation of the South China Sea Strategic Action Programme</w:t>
            </w:r>
          </w:p>
        </w:tc>
      </w:tr>
      <w:tr w:rsidR="005D3DD5" w:rsidRPr="005D3DD5" w14:paraId="40EBB018" w14:textId="77777777" w:rsidTr="005D3DD5">
        <w:trPr>
          <w:trHeight w:val="567"/>
          <w:jc w:val="center"/>
        </w:trPr>
        <w:tc>
          <w:tcPr>
            <w:tcW w:w="9420" w:type="dxa"/>
            <w:gridSpan w:val="5"/>
            <w:shd w:val="clear" w:color="auto" w:fill="F2F2F2"/>
            <w:vAlign w:val="center"/>
          </w:tcPr>
          <w:p w14:paraId="04DD82B3" w14:textId="77777777" w:rsidR="005D3DD5" w:rsidRPr="005D3DD5" w:rsidRDefault="005D3DD5" w:rsidP="005D3DD5">
            <w:pPr>
              <w:jc w:val="center"/>
              <w:rPr>
                <w:b/>
                <w:sz w:val="20"/>
                <w:szCs w:val="20"/>
                <w:lang w:val="en-GB"/>
              </w:rPr>
            </w:pPr>
            <w:r w:rsidRPr="005D3DD5">
              <w:rPr>
                <w:b/>
                <w:sz w:val="20"/>
                <w:szCs w:val="20"/>
                <w:lang w:val="en-GB"/>
              </w:rPr>
              <w:t>3.1 Regional and sub-regional co-operation in the integration of scientific knowledge and research outputs with management and policy making</w:t>
            </w:r>
          </w:p>
        </w:tc>
      </w:tr>
      <w:tr w:rsidR="005D3DD5" w:rsidRPr="005D3DD5" w14:paraId="3FBA8E67" w14:textId="77777777" w:rsidTr="005D3DD5">
        <w:trPr>
          <w:trHeight w:val="1080"/>
          <w:jc w:val="center"/>
        </w:trPr>
        <w:tc>
          <w:tcPr>
            <w:tcW w:w="1884" w:type="dxa"/>
            <w:vAlign w:val="center"/>
          </w:tcPr>
          <w:p w14:paraId="2CCF62DC" w14:textId="77777777" w:rsidR="005D3DD5" w:rsidRPr="005D3DD5" w:rsidRDefault="005D3DD5" w:rsidP="005D3DD5">
            <w:pPr>
              <w:spacing w:before="40"/>
              <w:rPr>
                <w:bCs/>
                <w:sz w:val="19"/>
                <w:szCs w:val="19"/>
                <w:lang w:val="en-GB"/>
              </w:rPr>
            </w:pPr>
            <w:r w:rsidRPr="005D3DD5">
              <w:rPr>
                <w:bCs/>
                <w:sz w:val="19"/>
                <w:szCs w:val="19"/>
                <w:lang w:val="en-GB"/>
              </w:rPr>
              <w:t>3.1.1(a): RSTC Terms of Reference</w:t>
            </w:r>
          </w:p>
          <w:p w14:paraId="2B10591B" w14:textId="77777777" w:rsidR="005D3DD5" w:rsidRPr="005D3DD5" w:rsidRDefault="005D3DD5" w:rsidP="005D3DD5">
            <w:pPr>
              <w:spacing w:before="40"/>
              <w:rPr>
                <w:bCs/>
                <w:sz w:val="19"/>
                <w:szCs w:val="19"/>
                <w:lang w:val="en-GB"/>
              </w:rPr>
            </w:pPr>
          </w:p>
          <w:p w14:paraId="2D3729B7" w14:textId="77777777" w:rsidR="005D3DD5" w:rsidRPr="005D3DD5" w:rsidRDefault="005D3DD5" w:rsidP="005D3DD5">
            <w:pPr>
              <w:spacing w:before="40"/>
              <w:rPr>
                <w:sz w:val="19"/>
                <w:szCs w:val="19"/>
                <w:lang w:val="en-GB"/>
              </w:rPr>
            </w:pPr>
            <w:r w:rsidRPr="005D3DD5">
              <w:rPr>
                <w:bCs/>
                <w:sz w:val="19"/>
                <w:szCs w:val="19"/>
                <w:lang w:val="en-GB"/>
              </w:rPr>
              <w:t>3.1.1(b) Annual meeting reports (documenting scientific and technical advice and participant lists)</w:t>
            </w:r>
          </w:p>
        </w:tc>
        <w:tc>
          <w:tcPr>
            <w:tcW w:w="1884" w:type="dxa"/>
            <w:vAlign w:val="center"/>
          </w:tcPr>
          <w:p w14:paraId="38482134" w14:textId="77777777" w:rsidR="005D3DD5" w:rsidRPr="005D3DD5" w:rsidRDefault="005D3DD5" w:rsidP="005D3DD5">
            <w:pPr>
              <w:spacing w:before="40"/>
              <w:rPr>
                <w:bCs/>
                <w:sz w:val="19"/>
                <w:szCs w:val="19"/>
                <w:lang w:val="en-GB"/>
              </w:rPr>
            </w:pPr>
            <w:r w:rsidRPr="005D3DD5">
              <w:rPr>
                <w:bCs/>
                <w:sz w:val="19"/>
                <w:szCs w:val="19"/>
                <w:lang w:val="en-GB"/>
              </w:rPr>
              <w:t>Status of the RSTC and the uptake of the scientific and technical advice it provides</w:t>
            </w:r>
          </w:p>
          <w:p w14:paraId="422EABEC" w14:textId="77777777" w:rsidR="005D3DD5" w:rsidRPr="005D3DD5" w:rsidRDefault="005D3DD5" w:rsidP="005D3DD5">
            <w:pPr>
              <w:spacing w:before="40"/>
              <w:rPr>
                <w:bCs/>
                <w:sz w:val="19"/>
                <w:szCs w:val="19"/>
                <w:lang w:val="en-GB"/>
              </w:rPr>
            </w:pPr>
          </w:p>
          <w:p w14:paraId="13864305" w14:textId="77777777" w:rsidR="005D3DD5" w:rsidRPr="005D3DD5" w:rsidRDefault="005D3DD5" w:rsidP="005D3DD5">
            <w:pPr>
              <w:spacing w:before="40"/>
              <w:rPr>
                <w:bCs/>
                <w:sz w:val="19"/>
                <w:szCs w:val="19"/>
                <w:lang w:val="en-GB"/>
              </w:rPr>
            </w:pPr>
            <w:r w:rsidRPr="005D3DD5">
              <w:rPr>
                <w:bCs/>
                <w:sz w:val="19"/>
                <w:szCs w:val="19"/>
                <w:lang w:val="en-GB"/>
              </w:rPr>
              <w:t>Continuity of participation of RSTC members in annual meetings</w:t>
            </w:r>
          </w:p>
        </w:tc>
        <w:tc>
          <w:tcPr>
            <w:tcW w:w="1884" w:type="dxa"/>
            <w:vAlign w:val="center"/>
          </w:tcPr>
          <w:p w14:paraId="20C5D8D5" w14:textId="77777777" w:rsidR="005D3DD5" w:rsidRPr="005D3DD5" w:rsidRDefault="005D3DD5" w:rsidP="005D3DD5">
            <w:pPr>
              <w:spacing w:before="40"/>
              <w:rPr>
                <w:sz w:val="19"/>
                <w:szCs w:val="19"/>
                <w:lang w:val="en-GB"/>
              </w:rPr>
            </w:pPr>
            <w:r w:rsidRPr="005D3DD5">
              <w:rPr>
                <w:sz w:val="19"/>
                <w:szCs w:val="19"/>
                <w:lang w:val="en-GB"/>
              </w:rPr>
              <w:t>Lack of a formal mechanism for the sharing of science and technical knowledge relating to the South China Sea SAP implementation</w:t>
            </w:r>
          </w:p>
        </w:tc>
        <w:tc>
          <w:tcPr>
            <w:tcW w:w="1884" w:type="dxa"/>
            <w:vAlign w:val="center"/>
          </w:tcPr>
          <w:p w14:paraId="611C17D4" w14:textId="77777777" w:rsidR="005D3DD5" w:rsidRPr="005D3DD5" w:rsidRDefault="005D3DD5" w:rsidP="005D3DD5">
            <w:pPr>
              <w:rPr>
                <w:sz w:val="19"/>
                <w:szCs w:val="19"/>
                <w:lang w:val="en-GB"/>
              </w:rPr>
            </w:pPr>
            <w:r w:rsidRPr="005D3DD5">
              <w:rPr>
                <w:sz w:val="19"/>
                <w:szCs w:val="19"/>
                <w:lang w:val="en-GB"/>
              </w:rPr>
              <w:t>Same as end-of-project target</w:t>
            </w:r>
          </w:p>
        </w:tc>
        <w:tc>
          <w:tcPr>
            <w:tcW w:w="1884" w:type="dxa"/>
            <w:vAlign w:val="center"/>
          </w:tcPr>
          <w:p w14:paraId="0DCAFF8D" w14:textId="77777777" w:rsidR="005D3DD5" w:rsidRPr="005D3DD5" w:rsidRDefault="005D3DD5" w:rsidP="005D3DD5">
            <w:pPr>
              <w:spacing w:before="40"/>
              <w:rPr>
                <w:sz w:val="19"/>
                <w:szCs w:val="19"/>
                <w:lang w:val="en-GB"/>
              </w:rPr>
            </w:pPr>
            <w:r w:rsidRPr="005D3DD5">
              <w:rPr>
                <w:sz w:val="19"/>
                <w:szCs w:val="19"/>
                <w:lang w:val="en-GB"/>
              </w:rPr>
              <w:t>Regional Scientific and Technical Committee of the SCS project functioning as a bridge between the scientific community and decision-makers [annual meetings]</w:t>
            </w:r>
          </w:p>
        </w:tc>
      </w:tr>
      <w:tr w:rsidR="005D3DD5" w:rsidRPr="005D3DD5" w14:paraId="777E10BD" w14:textId="77777777" w:rsidTr="005D3DD5">
        <w:trPr>
          <w:trHeight w:val="1080"/>
          <w:jc w:val="center"/>
        </w:trPr>
        <w:tc>
          <w:tcPr>
            <w:tcW w:w="1884" w:type="dxa"/>
            <w:vAlign w:val="center"/>
          </w:tcPr>
          <w:p w14:paraId="72F5D883" w14:textId="77777777" w:rsidR="005D3DD5" w:rsidRPr="005D3DD5" w:rsidRDefault="005D3DD5" w:rsidP="005D3DD5">
            <w:pPr>
              <w:spacing w:before="40"/>
              <w:rPr>
                <w:bCs/>
                <w:sz w:val="19"/>
                <w:szCs w:val="19"/>
                <w:lang w:val="en-GB"/>
              </w:rPr>
            </w:pPr>
            <w:r w:rsidRPr="005D3DD5">
              <w:rPr>
                <w:bCs/>
                <w:sz w:val="19"/>
                <w:szCs w:val="19"/>
                <w:lang w:val="en-GB"/>
              </w:rPr>
              <w:t>3.1.2(a): Published reports of the Regional Scientific Conferences</w:t>
            </w:r>
          </w:p>
          <w:p w14:paraId="5C800449" w14:textId="77777777" w:rsidR="005D3DD5" w:rsidRPr="005D3DD5" w:rsidRDefault="005D3DD5" w:rsidP="005D3DD5">
            <w:pPr>
              <w:spacing w:before="40"/>
              <w:rPr>
                <w:bCs/>
                <w:sz w:val="19"/>
                <w:szCs w:val="19"/>
                <w:lang w:val="en-GB"/>
              </w:rPr>
            </w:pPr>
          </w:p>
          <w:p w14:paraId="36315789" w14:textId="77777777" w:rsidR="005D3DD5" w:rsidRPr="005D3DD5" w:rsidRDefault="005D3DD5" w:rsidP="005D3DD5">
            <w:pPr>
              <w:spacing w:before="40"/>
              <w:rPr>
                <w:bCs/>
                <w:sz w:val="19"/>
                <w:szCs w:val="19"/>
                <w:lang w:val="en-GB"/>
              </w:rPr>
            </w:pPr>
            <w:r w:rsidRPr="005D3DD5">
              <w:rPr>
                <w:bCs/>
                <w:sz w:val="19"/>
                <w:szCs w:val="19"/>
                <w:lang w:val="en-GB"/>
              </w:rPr>
              <w:t>3.1.2(b) Report on the uptake and use of regionally accumulated science</w:t>
            </w:r>
          </w:p>
        </w:tc>
        <w:tc>
          <w:tcPr>
            <w:tcW w:w="1884" w:type="dxa"/>
            <w:vAlign w:val="center"/>
          </w:tcPr>
          <w:p w14:paraId="1DF7F5A5" w14:textId="77777777" w:rsidR="005D3DD5" w:rsidRPr="005D3DD5" w:rsidRDefault="005D3DD5" w:rsidP="005D3DD5">
            <w:pPr>
              <w:spacing w:before="40"/>
              <w:rPr>
                <w:bCs/>
                <w:sz w:val="19"/>
                <w:szCs w:val="19"/>
                <w:lang w:val="en-GB"/>
              </w:rPr>
            </w:pPr>
            <w:r w:rsidRPr="005D3DD5">
              <w:rPr>
                <w:bCs/>
                <w:sz w:val="19"/>
                <w:szCs w:val="19"/>
                <w:lang w:val="en-GB"/>
              </w:rPr>
              <w:t>Extent of demonstrable use of scientific knowledge exchanged during biennial conferences by central and provincial government agencies</w:t>
            </w:r>
          </w:p>
        </w:tc>
        <w:tc>
          <w:tcPr>
            <w:tcW w:w="1884" w:type="dxa"/>
            <w:vAlign w:val="center"/>
          </w:tcPr>
          <w:p w14:paraId="4C976A5F" w14:textId="77777777" w:rsidR="005D3DD5" w:rsidRPr="005D3DD5" w:rsidRDefault="005D3DD5" w:rsidP="005D3DD5">
            <w:pPr>
              <w:spacing w:before="40"/>
              <w:rPr>
                <w:sz w:val="19"/>
                <w:szCs w:val="19"/>
                <w:lang w:val="en-GB"/>
              </w:rPr>
            </w:pPr>
            <w:r w:rsidRPr="005D3DD5">
              <w:rPr>
                <w:sz w:val="19"/>
                <w:szCs w:val="19"/>
                <w:lang w:val="en-GB"/>
              </w:rPr>
              <w:t>Limited application of evidence-based approaches by central and provincial government agencies</w:t>
            </w:r>
          </w:p>
        </w:tc>
        <w:tc>
          <w:tcPr>
            <w:tcW w:w="1884" w:type="dxa"/>
            <w:vAlign w:val="center"/>
          </w:tcPr>
          <w:p w14:paraId="67D89786" w14:textId="77777777" w:rsidR="005D3DD5" w:rsidRPr="005D3DD5" w:rsidRDefault="005D3DD5" w:rsidP="005D3DD5">
            <w:pPr>
              <w:spacing w:before="40"/>
              <w:rPr>
                <w:color w:val="FF0000"/>
                <w:sz w:val="19"/>
                <w:szCs w:val="19"/>
                <w:lang w:val="en-GB"/>
              </w:rPr>
            </w:pPr>
            <w:r w:rsidRPr="005D3DD5">
              <w:rPr>
                <w:sz w:val="19"/>
                <w:szCs w:val="19"/>
                <w:lang w:val="en-GB"/>
              </w:rPr>
              <w:t>First biennial Regional Scientific Conference convened</w:t>
            </w:r>
          </w:p>
        </w:tc>
        <w:tc>
          <w:tcPr>
            <w:tcW w:w="1884" w:type="dxa"/>
            <w:vAlign w:val="center"/>
          </w:tcPr>
          <w:p w14:paraId="7B39E7C9" w14:textId="77777777" w:rsidR="005D3DD5" w:rsidRPr="005D3DD5" w:rsidRDefault="005D3DD5" w:rsidP="005D3DD5">
            <w:pPr>
              <w:spacing w:before="40"/>
              <w:rPr>
                <w:sz w:val="19"/>
                <w:szCs w:val="19"/>
                <w:lang w:val="en-GB"/>
              </w:rPr>
            </w:pPr>
            <w:r w:rsidRPr="005D3DD5">
              <w:rPr>
                <w:sz w:val="19"/>
                <w:szCs w:val="19"/>
                <w:lang w:val="en-GB"/>
              </w:rPr>
              <w:t>Knowledge exchanges between government and scientific community through biennial Regional Scientific Conferences</w:t>
            </w:r>
          </w:p>
        </w:tc>
      </w:tr>
      <w:tr w:rsidR="005D3DD5" w:rsidRPr="005D3DD5" w14:paraId="47C82B6C" w14:textId="77777777" w:rsidTr="005D3DD5">
        <w:trPr>
          <w:trHeight w:val="1080"/>
          <w:jc w:val="center"/>
        </w:trPr>
        <w:tc>
          <w:tcPr>
            <w:tcW w:w="1884" w:type="dxa"/>
            <w:vAlign w:val="center"/>
          </w:tcPr>
          <w:p w14:paraId="3A551347" w14:textId="77777777" w:rsidR="005D3DD5" w:rsidRPr="005D3DD5" w:rsidRDefault="005D3DD5" w:rsidP="005D3DD5">
            <w:pPr>
              <w:spacing w:before="40"/>
              <w:rPr>
                <w:sz w:val="19"/>
                <w:szCs w:val="19"/>
                <w:lang w:val="en-GB"/>
              </w:rPr>
            </w:pPr>
            <w:r w:rsidRPr="005D3DD5">
              <w:rPr>
                <w:sz w:val="19"/>
                <w:szCs w:val="19"/>
                <w:lang w:val="en-GB"/>
              </w:rPr>
              <w:t>3.1.3: Reports of Mayor’s Round-Table Meetings, including documented evidence of behaviour change as a result of exposure to best practice guidance</w:t>
            </w:r>
          </w:p>
        </w:tc>
        <w:tc>
          <w:tcPr>
            <w:tcW w:w="1884" w:type="dxa"/>
            <w:vAlign w:val="center"/>
          </w:tcPr>
          <w:p w14:paraId="6CD164EE" w14:textId="77777777" w:rsidR="005D3DD5" w:rsidRPr="005D3DD5" w:rsidRDefault="005D3DD5" w:rsidP="005D3DD5">
            <w:pPr>
              <w:spacing w:before="40"/>
              <w:rPr>
                <w:bCs/>
                <w:sz w:val="19"/>
                <w:szCs w:val="19"/>
                <w:lang w:val="en-GB"/>
              </w:rPr>
            </w:pPr>
            <w:r w:rsidRPr="005D3DD5">
              <w:rPr>
                <w:bCs/>
                <w:sz w:val="19"/>
                <w:szCs w:val="19"/>
                <w:lang w:val="en-GB"/>
              </w:rPr>
              <w:t>Number of Mayor’s Round-Table meetings convened</w:t>
            </w:r>
          </w:p>
          <w:p w14:paraId="3819EC02" w14:textId="77777777" w:rsidR="005D3DD5" w:rsidRPr="005D3DD5" w:rsidRDefault="005D3DD5" w:rsidP="005D3DD5">
            <w:pPr>
              <w:spacing w:before="40"/>
              <w:rPr>
                <w:bCs/>
                <w:sz w:val="19"/>
                <w:szCs w:val="19"/>
                <w:lang w:val="en-GB"/>
              </w:rPr>
            </w:pPr>
          </w:p>
          <w:p w14:paraId="557FD1C8" w14:textId="77777777" w:rsidR="005D3DD5" w:rsidRPr="005D3DD5" w:rsidRDefault="005D3DD5" w:rsidP="005D3DD5">
            <w:pPr>
              <w:spacing w:before="40"/>
              <w:rPr>
                <w:bCs/>
                <w:sz w:val="19"/>
                <w:szCs w:val="19"/>
                <w:lang w:val="en-GB"/>
              </w:rPr>
            </w:pPr>
            <w:r w:rsidRPr="005D3DD5">
              <w:rPr>
                <w:bCs/>
                <w:sz w:val="19"/>
                <w:szCs w:val="19"/>
                <w:lang w:val="en-GB"/>
              </w:rPr>
              <w:t>Number, scope &amp; reach of communications to raise local official awareness of best practices</w:t>
            </w:r>
          </w:p>
        </w:tc>
        <w:tc>
          <w:tcPr>
            <w:tcW w:w="1884" w:type="dxa"/>
            <w:vAlign w:val="center"/>
          </w:tcPr>
          <w:p w14:paraId="239FC352" w14:textId="77777777" w:rsidR="005D3DD5" w:rsidRPr="005D3DD5" w:rsidRDefault="005D3DD5" w:rsidP="005D3DD5">
            <w:pPr>
              <w:spacing w:before="40"/>
              <w:rPr>
                <w:sz w:val="19"/>
                <w:szCs w:val="19"/>
                <w:lang w:val="en-GB"/>
              </w:rPr>
            </w:pPr>
            <w:r w:rsidRPr="005D3DD5">
              <w:rPr>
                <w:sz w:val="19"/>
                <w:szCs w:val="19"/>
                <w:lang w:val="en-GB"/>
              </w:rPr>
              <w:t>Four Mayors Round-Table meetings convened during period 2005-2008 and documented as a key innovation for improving local relevance of action planning and M&amp;E</w:t>
            </w:r>
          </w:p>
        </w:tc>
        <w:tc>
          <w:tcPr>
            <w:tcW w:w="1884" w:type="dxa"/>
            <w:vAlign w:val="center"/>
          </w:tcPr>
          <w:p w14:paraId="4314D637" w14:textId="77777777" w:rsidR="005D3DD5" w:rsidRPr="005D3DD5" w:rsidRDefault="005D3DD5" w:rsidP="005D3DD5">
            <w:pPr>
              <w:spacing w:before="40"/>
              <w:rPr>
                <w:sz w:val="19"/>
                <w:szCs w:val="19"/>
                <w:lang w:val="en-GB"/>
              </w:rPr>
            </w:pPr>
            <w:r w:rsidRPr="005D3DD5">
              <w:rPr>
                <w:sz w:val="19"/>
                <w:szCs w:val="19"/>
                <w:lang w:val="en-GB"/>
              </w:rPr>
              <w:t>Two (2) annual Mayor’s Round-Table meetings convened</w:t>
            </w:r>
          </w:p>
        </w:tc>
        <w:tc>
          <w:tcPr>
            <w:tcW w:w="1884" w:type="dxa"/>
            <w:vAlign w:val="center"/>
          </w:tcPr>
          <w:p w14:paraId="116AC304" w14:textId="77777777" w:rsidR="005D3DD5" w:rsidRPr="005D3DD5" w:rsidRDefault="005D3DD5" w:rsidP="005D3DD5">
            <w:pPr>
              <w:spacing w:before="40"/>
              <w:rPr>
                <w:sz w:val="19"/>
                <w:szCs w:val="19"/>
                <w:lang w:val="en-GB"/>
              </w:rPr>
            </w:pPr>
            <w:r w:rsidRPr="005D3DD5">
              <w:rPr>
                <w:sz w:val="19"/>
                <w:szCs w:val="19"/>
                <w:lang w:val="en-GB"/>
              </w:rPr>
              <w:t>Best practice exchanges between local government officials and coastal managers on science-based management via annual Mayor’s Round-Table meetings</w:t>
            </w:r>
          </w:p>
        </w:tc>
      </w:tr>
      <w:tr w:rsidR="005D3DD5" w:rsidRPr="005D3DD5" w14:paraId="3250F9EF" w14:textId="77777777" w:rsidTr="005D3DD5">
        <w:trPr>
          <w:trHeight w:val="875"/>
          <w:jc w:val="center"/>
        </w:trPr>
        <w:tc>
          <w:tcPr>
            <w:tcW w:w="1884" w:type="dxa"/>
            <w:vAlign w:val="center"/>
          </w:tcPr>
          <w:p w14:paraId="6536A633" w14:textId="77777777" w:rsidR="005D3DD5" w:rsidRPr="005D3DD5" w:rsidRDefault="005D3DD5" w:rsidP="005D3DD5">
            <w:pPr>
              <w:spacing w:before="40"/>
              <w:rPr>
                <w:sz w:val="19"/>
                <w:szCs w:val="19"/>
                <w:lang w:val="en-GB"/>
              </w:rPr>
            </w:pPr>
            <w:r w:rsidRPr="005D3DD5">
              <w:rPr>
                <w:bCs/>
                <w:sz w:val="19"/>
                <w:szCs w:val="19"/>
                <w:lang w:val="en-GB"/>
              </w:rPr>
              <w:t>3.1.4: Signed Memoranda of Agreement outlining agreed joint actions for transboundary coastal resource management</w:t>
            </w:r>
          </w:p>
        </w:tc>
        <w:tc>
          <w:tcPr>
            <w:tcW w:w="1884" w:type="dxa"/>
            <w:vAlign w:val="center"/>
          </w:tcPr>
          <w:p w14:paraId="7C92D5CE" w14:textId="77777777" w:rsidR="005D3DD5" w:rsidRPr="005D3DD5" w:rsidRDefault="005D3DD5" w:rsidP="005D3DD5">
            <w:pPr>
              <w:spacing w:before="40"/>
              <w:rPr>
                <w:sz w:val="19"/>
                <w:szCs w:val="19"/>
                <w:lang w:val="en-GB"/>
              </w:rPr>
            </w:pPr>
            <w:r w:rsidRPr="005D3DD5">
              <w:rPr>
                <w:bCs/>
                <w:sz w:val="19"/>
                <w:szCs w:val="19"/>
                <w:lang w:val="en-GB"/>
              </w:rPr>
              <w:t>Status of bilateral cooperation for transboundary resource management between (a) Cambodia and Vietnam and (b) Cambodia and Thailand</w:t>
            </w:r>
          </w:p>
        </w:tc>
        <w:tc>
          <w:tcPr>
            <w:tcW w:w="1884" w:type="dxa"/>
            <w:vAlign w:val="center"/>
          </w:tcPr>
          <w:p w14:paraId="28213387" w14:textId="77777777" w:rsidR="005D3DD5" w:rsidRPr="005D3DD5" w:rsidRDefault="005D3DD5" w:rsidP="005D3DD5">
            <w:pPr>
              <w:spacing w:before="40"/>
              <w:rPr>
                <w:sz w:val="19"/>
                <w:szCs w:val="19"/>
                <w:lang w:val="en-GB"/>
              </w:rPr>
            </w:pPr>
            <w:r w:rsidRPr="005D3DD5">
              <w:rPr>
                <w:sz w:val="19"/>
                <w:szCs w:val="19"/>
                <w:lang w:val="en-GB"/>
              </w:rPr>
              <w:t>Bilateral cooperation between Cambodia and Vietnam initiated during the period 2007-2008 although this has stagnated as a result of a lack of regional coordination support</w:t>
            </w:r>
          </w:p>
        </w:tc>
        <w:tc>
          <w:tcPr>
            <w:tcW w:w="1884" w:type="dxa"/>
            <w:vAlign w:val="center"/>
          </w:tcPr>
          <w:p w14:paraId="1CC286E8" w14:textId="77777777" w:rsidR="005D3DD5" w:rsidRPr="005D3DD5" w:rsidRDefault="005D3DD5" w:rsidP="005D3DD5">
            <w:pPr>
              <w:rPr>
                <w:color w:val="FF0000"/>
                <w:sz w:val="19"/>
                <w:szCs w:val="19"/>
                <w:lang w:val="en-GB"/>
              </w:rPr>
            </w:pPr>
            <w:r w:rsidRPr="005D3DD5">
              <w:rPr>
                <w:sz w:val="19"/>
                <w:szCs w:val="19"/>
                <w:lang w:val="en-GB"/>
              </w:rPr>
              <w:t>Consultative processes initiated</w:t>
            </w:r>
          </w:p>
        </w:tc>
        <w:tc>
          <w:tcPr>
            <w:tcW w:w="1884" w:type="dxa"/>
            <w:vAlign w:val="center"/>
          </w:tcPr>
          <w:p w14:paraId="6DBE22FB" w14:textId="77777777" w:rsidR="005D3DD5" w:rsidRPr="005D3DD5" w:rsidRDefault="005D3DD5" w:rsidP="005D3DD5">
            <w:pPr>
              <w:spacing w:before="40"/>
              <w:rPr>
                <w:sz w:val="19"/>
                <w:szCs w:val="19"/>
                <w:lang w:val="en-GB"/>
              </w:rPr>
            </w:pPr>
            <w:r w:rsidRPr="005D3DD5">
              <w:rPr>
                <w:sz w:val="19"/>
                <w:szCs w:val="19"/>
                <w:lang w:val="en-GB"/>
              </w:rPr>
              <w:t>Memoranda of Agreement for joint management of 2 priority transboundary water areas agreed &amp; implemented</w:t>
            </w:r>
          </w:p>
        </w:tc>
      </w:tr>
      <w:tr w:rsidR="005D3DD5" w:rsidRPr="005D3DD5" w14:paraId="6BEDE003" w14:textId="77777777" w:rsidTr="005D3DD5">
        <w:trPr>
          <w:trHeight w:val="1080"/>
          <w:jc w:val="center"/>
        </w:trPr>
        <w:tc>
          <w:tcPr>
            <w:tcW w:w="1884" w:type="dxa"/>
            <w:vAlign w:val="center"/>
          </w:tcPr>
          <w:p w14:paraId="67911E50" w14:textId="77777777" w:rsidR="005D3DD5" w:rsidRPr="005D3DD5" w:rsidRDefault="005D3DD5" w:rsidP="005D3DD5">
            <w:pPr>
              <w:spacing w:before="40"/>
              <w:rPr>
                <w:sz w:val="19"/>
                <w:szCs w:val="19"/>
                <w:lang w:val="en-GB"/>
              </w:rPr>
            </w:pPr>
            <w:r w:rsidRPr="005D3DD5">
              <w:rPr>
                <w:bCs/>
                <w:sz w:val="19"/>
                <w:szCs w:val="19"/>
                <w:lang w:val="en-GB"/>
              </w:rPr>
              <w:t xml:space="preserve">3.1.5(a): </w:t>
            </w:r>
            <w:r w:rsidRPr="005D3DD5">
              <w:rPr>
                <w:sz w:val="19"/>
                <w:szCs w:val="19"/>
                <w:lang w:val="en-GB"/>
              </w:rPr>
              <w:t>Reports of joint planning meeting</w:t>
            </w:r>
          </w:p>
          <w:p w14:paraId="4544D0C2" w14:textId="77777777" w:rsidR="005D3DD5" w:rsidRPr="005D3DD5" w:rsidRDefault="005D3DD5" w:rsidP="005D3DD5">
            <w:pPr>
              <w:spacing w:before="40"/>
              <w:rPr>
                <w:sz w:val="19"/>
                <w:szCs w:val="19"/>
                <w:lang w:val="en-GB"/>
              </w:rPr>
            </w:pPr>
          </w:p>
          <w:p w14:paraId="7C097951" w14:textId="77777777" w:rsidR="005D3DD5" w:rsidRPr="005D3DD5" w:rsidRDefault="005D3DD5" w:rsidP="005D3DD5">
            <w:pPr>
              <w:spacing w:before="40"/>
              <w:rPr>
                <w:sz w:val="19"/>
                <w:szCs w:val="19"/>
                <w:lang w:val="en-GB"/>
              </w:rPr>
            </w:pPr>
            <w:r w:rsidRPr="005D3DD5">
              <w:rPr>
                <w:sz w:val="19"/>
                <w:szCs w:val="19"/>
                <w:lang w:val="en-GB"/>
              </w:rPr>
              <w:t>3.1.5(b): Published revised NAPs and SAP containing section on lessons from fisheries refugia project</w:t>
            </w:r>
          </w:p>
        </w:tc>
        <w:tc>
          <w:tcPr>
            <w:tcW w:w="1884" w:type="dxa"/>
            <w:vAlign w:val="center"/>
          </w:tcPr>
          <w:p w14:paraId="12800646" w14:textId="77777777" w:rsidR="005D3DD5" w:rsidRPr="005D3DD5" w:rsidRDefault="005D3DD5" w:rsidP="005D3DD5">
            <w:pPr>
              <w:spacing w:before="40"/>
              <w:rPr>
                <w:bCs/>
                <w:sz w:val="19"/>
                <w:szCs w:val="19"/>
                <w:lang w:val="en-GB"/>
              </w:rPr>
            </w:pPr>
            <w:r w:rsidRPr="005D3DD5">
              <w:rPr>
                <w:bCs/>
                <w:sz w:val="19"/>
                <w:szCs w:val="19"/>
                <w:lang w:val="en-GB"/>
              </w:rPr>
              <w:t>Extent of joint planning by both projects</w:t>
            </w:r>
          </w:p>
          <w:p w14:paraId="547D69FE" w14:textId="77777777" w:rsidR="005D3DD5" w:rsidRPr="005D3DD5" w:rsidRDefault="005D3DD5" w:rsidP="005D3DD5">
            <w:pPr>
              <w:spacing w:before="40"/>
              <w:rPr>
                <w:bCs/>
                <w:sz w:val="19"/>
                <w:szCs w:val="19"/>
                <w:lang w:val="en-GB"/>
              </w:rPr>
            </w:pPr>
          </w:p>
          <w:p w14:paraId="6A5828D0" w14:textId="77777777" w:rsidR="005D3DD5" w:rsidRPr="005D3DD5" w:rsidRDefault="005D3DD5" w:rsidP="005D3DD5">
            <w:pPr>
              <w:spacing w:before="40"/>
              <w:rPr>
                <w:bCs/>
                <w:sz w:val="19"/>
                <w:szCs w:val="19"/>
                <w:lang w:val="en-GB"/>
              </w:rPr>
            </w:pPr>
            <w:r w:rsidRPr="005D3DD5">
              <w:rPr>
                <w:bCs/>
                <w:sz w:val="19"/>
                <w:szCs w:val="19"/>
                <w:lang w:val="en-GB"/>
              </w:rPr>
              <w:t>Number of best practices and lessons learned captured from the fisheries refugia project</w:t>
            </w:r>
          </w:p>
        </w:tc>
        <w:tc>
          <w:tcPr>
            <w:tcW w:w="1884" w:type="dxa"/>
            <w:vAlign w:val="center"/>
          </w:tcPr>
          <w:p w14:paraId="532290D9" w14:textId="77777777" w:rsidR="005D3DD5" w:rsidRPr="005D3DD5" w:rsidRDefault="005D3DD5" w:rsidP="005D3DD5">
            <w:pPr>
              <w:spacing w:before="40"/>
              <w:rPr>
                <w:sz w:val="19"/>
                <w:szCs w:val="19"/>
                <w:lang w:val="en-GB"/>
              </w:rPr>
            </w:pPr>
            <w:r w:rsidRPr="005D3DD5">
              <w:rPr>
                <w:sz w:val="19"/>
                <w:szCs w:val="19"/>
                <w:lang w:val="en-GB"/>
              </w:rPr>
              <w:t>Execution of the UNEP/GEF Fisheries Refugia project to commence in Q3 of 2016 through SEAFEDC and national fisheries agencies</w:t>
            </w:r>
          </w:p>
        </w:tc>
        <w:tc>
          <w:tcPr>
            <w:tcW w:w="1884" w:type="dxa"/>
            <w:vAlign w:val="center"/>
          </w:tcPr>
          <w:p w14:paraId="701BB423" w14:textId="77777777" w:rsidR="005D3DD5" w:rsidRPr="005D3DD5" w:rsidRDefault="005D3DD5" w:rsidP="005D3DD5">
            <w:pPr>
              <w:rPr>
                <w:sz w:val="19"/>
                <w:szCs w:val="19"/>
                <w:lang w:val="en-GB"/>
              </w:rPr>
            </w:pPr>
            <w:r w:rsidRPr="005D3DD5">
              <w:rPr>
                <w:sz w:val="19"/>
                <w:szCs w:val="19"/>
                <w:lang w:val="en-GB"/>
              </w:rPr>
              <w:t>Annual joint planning exercises initiated and resulting in demonstrable sharing of best practices and lessons learned</w:t>
            </w:r>
          </w:p>
        </w:tc>
        <w:tc>
          <w:tcPr>
            <w:tcW w:w="1884" w:type="dxa"/>
            <w:vAlign w:val="center"/>
          </w:tcPr>
          <w:p w14:paraId="71DAA4B6" w14:textId="77777777" w:rsidR="005D3DD5" w:rsidRPr="005D3DD5" w:rsidRDefault="005D3DD5" w:rsidP="005D3DD5">
            <w:pPr>
              <w:spacing w:before="40"/>
              <w:rPr>
                <w:sz w:val="19"/>
                <w:szCs w:val="19"/>
                <w:lang w:val="en-GB"/>
              </w:rPr>
            </w:pPr>
            <w:r w:rsidRPr="005D3DD5">
              <w:rPr>
                <w:sz w:val="19"/>
                <w:szCs w:val="19"/>
                <w:lang w:val="en-GB"/>
              </w:rPr>
              <w:t>Cooperation with the GEF fisheries refugia project and other relevant regional initiatives</w:t>
            </w:r>
          </w:p>
        </w:tc>
      </w:tr>
      <w:tr w:rsidR="005D3DD5" w:rsidRPr="005D3DD5" w14:paraId="549BE57C" w14:textId="77777777" w:rsidTr="005D3DD5">
        <w:trPr>
          <w:trHeight w:val="1080"/>
          <w:jc w:val="center"/>
        </w:trPr>
        <w:tc>
          <w:tcPr>
            <w:tcW w:w="1884" w:type="dxa"/>
            <w:vAlign w:val="center"/>
          </w:tcPr>
          <w:p w14:paraId="1FB7C3B6" w14:textId="77777777" w:rsidR="005D3DD5" w:rsidRPr="005D3DD5" w:rsidRDefault="005D3DD5" w:rsidP="005D3DD5">
            <w:pPr>
              <w:spacing w:before="40"/>
              <w:rPr>
                <w:bCs/>
                <w:sz w:val="19"/>
                <w:szCs w:val="19"/>
                <w:lang w:val="en-GB"/>
              </w:rPr>
            </w:pPr>
            <w:r w:rsidRPr="005D3DD5">
              <w:rPr>
                <w:bCs/>
                <w:sz w:val="19"/>
                <w:szCs w:val="19"/>
                <w:lang w:val="en-GB"/>
              </w:rPr>
              <w:t>3.1.6(a): Documented examples of innovation and best practice by communities, local governments and industry</w:t>
            </w:r>
          </w:p>
          <w:p w14:paraId="67DBD0E4" w14:textId="77777777" w:rsidR="005D3DD5" w:rsidRPr="005D3DD5" w:rsidRDefault="005D3DD5" w:rsidP="005D3DD5">
            <w:pPr>
              <w:spacing w:before="40"/>
              <w:rPr>
                <w:bCs/>
                <w:sz w:val="19"/>
                <w:szCs w:val="19"/>
                <w:lang w:val="en-GB"/>
              </w:rPr>
            </w:pPr>
          </w:p>
          <w:p w14:paraId="76E9A85F" w14:textId="77777777" w:rsidR="005D3DD5" w:rsidRPr="005D3DD5" w:rsidRDefault="005D3DD5" w:rsidP="005D3DD5">
            <w:pPr>
              <w:spacing w:before="40"/>
              <w:rPr>
                <w:bCs/>
                <w:sz w:val="19"/>
                <w:szCs w:val="19"/>
                <w:lang w:val="en-GB"/>
              </w:rPr>
            </w:pPr>
            <w:r w:rsidRPr="005D3DD5">
              <w:rPr>
                <w:bCs/>
                <w:sz w:val="19"/>
                <w:szCs w:val="19"/>
                <w:lang w:val="en-GB"/>
              </w:rPr>
              <w:t>3.1.6(b): Annual report of award project</w:t>
            </w:r>
          </w:p>
        </w:tc>
        <w:tc>
          <w:tcPr>
            <w:tcW w:w="1884" w:type="dxa"/>
            <w:vAlign w:val="center"/>
          </w:tcPr>
          <w:p w14:paraId="7CED33C7" w14:textId="77777777" w:rsidR="005D3DD5" w:rsidRPr="005D3DD5" w:rsidRDefault="005D3DD5" w:rsidP="005D3DD5">
            <w:pPr>
              <w:spacing w:before="40"/>
              <w:rPr>
                <w:bCs/>
                <w:sz w:val="19"/>
                <w:szCs w:val="19"/>
                <w:lang w:val="en-GB"/>
              </w:rPr>
            </w:pPr>
            <w:r w:rsidRPr="005D3DD5">
              <w:rPr>
                <w:bCs/>
                <w:sz w:val="19"/>
                <w:szCs w:val="19"/>
                <w:lang w:val="en-GB"/>
              </w:rPr>
              <w:t>Number of best practices identified</w:t>
            </w:r>
          </w:p>
          <w:p w14:paraId="32E84F75" w14:textId="77777777" w:rsidR="005D3DD5" w:rsidRPr="005D3DD5" w:rsidRDefault="005D3DD5" w:rsidP="005D3DD5">
            <w:pPr>
              <w:spacing w:before="40"/>
              <w:rPr>
                <w:bCs/>
                <w:sz w:val="19"/>
                <w:szCs w:val="19"/>
                <w:lang w:val="en-GB"/>
              </w:rPr>
            </w:pPr>
          </w:p>
          <w:p w14:paraId="153D0037" w14:textId="77777777" w:rsidR="005D3DD5" w:rsidRPr="005D3DD5" w:rsidRDefault="005D3DD5" w:rsidP="005D3DD5">
            <w:pPr>
              <w:spacing w:before="40"/>
              <w:rPr>
                <w:bCs/>
                <w:sz w:val="19"/>
                <w:szCs w:val="19"/>
                <w:lang w:val="en-GB"/>
              </w:rPr>
            </w:pPr>
            <w:r w:rsidRPr="005D3DD5">
              <w:rPr>
                <w:bCs/>
                <w:sz w:val="19"/>
                <w:szCs w:val="19"/>
                <w:lang w:val="en-GB"/>
              </w:rPr>
              <w:t>Number of community organisations, local governments and industry receiving awarrds</w:t>
            </w:r>
          </w:p>
        </w:tc>
        <w:tc>
          <w:tcPr>
            <w:tcW w:w="1884" w:type="dxa"/>
            <w:vAlign w:val="center"/>
          </w:tcPr>
          <w:p w14:paraId="603E071C" w14:textId="77777777" w:rsidR="005D3DD5" w:rsidRPr="005D3DD5" w:rsidRDefault="005D3DD5" w:rsidP="005D3DD5">
            <w:pPr>
              <w:spacing w:before="40"/>
              <w:rPr>
                <w:sz w:val="19"/>
                <w:szCs w:val="19"/>
                <w:lang w:val="en-GB"/>
              </w:rPr>
            </w:pPr>
            <w:r w:rsidRPr="005D3DD5">
              <w:rPr>
                <w:sz w:val="19"/>
                <w:szCs w:val="19"/>
                <w:lang w:val="en-GB"/>
              </w:rPr>
              <w:t>Lack of mechanism to formally recognize and award communities, local governments and industry for innovation and generation of best practices for environmental management of the South China Sea</w:t>
            </w:r>
          </w:p>
        </w:tc>
        <w:tc>
          <w:tcPr>
            <w:tcW w:w="1884" w:type="dxa"/>
            <w:vAlign w:val="center"/>
          </w:tcPr>
          <w:p w14:paraId="46A3A1CD" w14:textId="77777777" w:rsidR="005D3DD5" w:rsidRPr="005D3DD5" w:rsidRDefault="005D3DD5" w:rsidP="005D3DD5">
            <w:pPr>
              <w:rPr>
                <w:sz w:val="19"/>
                <w:szCs w:val="19"/>
                <w:lang w:val="en-GB"/>
              </w:rPr>
            </w:pPr>
            <w:r w:rsidRPr="005D3DD5">
              <w:rPr>
                <w:sz w:val="19"/>
                <w:szCs w:val="19"/>
                <w:lang w:val="en-GB"/>
              </w:rPr>
              <w:t>Two(2) annual award programmes operated and lessons learned documented</w:t>
            </w:r>
          </w:p>
        </w:tc>
        <w:tc>
          <w:tcPr>
            <w:tcW w:w="1884" w:type="dxa"/>
            <w:vAlign w:val="center"/>
          </w:tcPr>
          <w:p w14:paraId="0E830D24" w14:textId="77777777" w:rsidR="005D3DD5" w:rsidRPr="005D3DD5" w:rsidRDefault="005D3DD5" w:rsidP="005D3DD5">
            <w:pPr>
              <w:spacing w:before="40"/>
              <w:rPr>
                <w:sz w:val="19"/>
                <w:szCs w:val="19"/>
                <w:lang w:val="en-GB"/>
              </w:rPr>
            </w:pPr>
            <w:r w:rsidRPr="005D3DD5">
              <w:rPr>
                <w:sz w:val="19"/>
                <w:szCs w:val="19"/>
                <w:lang w:val="en-GB"/>
              </w:rPr>
              <w:t>Operational award programme on best practices in coastal habitat and land-based pollution management for communities, local governments and industry [annual]</w:t>
            </w:r>
          </w:p>
        </w:tc>
      </w:tr>
      <w:tr w:rsidR="005D3DD5" w:rsidRPr="005D3DD5" w14:paraId="01FDF249" w14:textId="77777777" w:rsidTr="005D3DD5">
        <w:trPr>
          <w:trHeight w:val="530"/>
          <w:jc w:val="center"/>
        </w:trPr>
        <w:tc>
          <w:tcPr>
            <w:tcW w:w="9420" w:type="dxa"/>
            <w:gridSpan w:val="5"/>
            <w:shd w:val="clear" w:color="auto" w:fill="F2F2F2"/>
            <w:vAlign w:val="center"/>
          </w:tcPr>
          <w:p w14:paraId="7BBFA3DB" w14:textId="77777777" w:rsidR="005D3DD5" w:rsidRPr="005D3DD5" w:rsidRDefault="005D3DD5" w:rsidP="005D3DD5">
            <w:pPr>
              <w:spacing w:before="40"/>
              <w:jc w:val="center"/>
              <w:rPr>
                <w:b/>
                <w:sz w:val="19"/>
                <w:szCs w:val="19"/>
                <w:lang w:val="en-GB"/>
              </w:rPr>
            </w:pPr>
            <w:r w:rsidRPr="005D3DD5">
              <w:rPr>
                <w:b/>
                <w:sz w:val="19"/>
                <w:szCs w:val="19"/>
                <w:lang w:val="en-GB"/>
              </w:rPr>
              <w:t>3.2  Capacity for civil society and community organization participation in SAP implementation strengthened via operational partnership with GEF SGP</w:t>
            </w:r>
          </w:p>
        </w:tc>
      </w:tr>
      <w:tr w:rsidR="005D3DD5" w:rsidRPr="005D3DD5" w14:paraId="74066961" w14:textId="77777777" w:rsidTr="005D3DD5">
        <w:trPr>
          <w:trHeight w:val="1080"/>
          <w:jc w:val="center"/>
        </w:trPr>
        <w:tc>
          <w:tcPr>
            <w:tcW w:w="1884" w:type="dxa"/>
            <w:vAlign w:val="center"/>
          </w:tcPr>
          <w:p w14:paraId="06449963" w14:textId="77777777" w:rsidR="005D3DD5" w:rsidRPr="005D3DD5" w:rsidRDefault="005D3DD5" w:rsidP="005D3DD5">
            <w:pPr>
              <w:spacing w:before="40"/>
              <w:rPr>
                <w:bCs/>
                <w:sz w:val="19"/>
                <w:szCs w:val="19"/>
                <w:lang w:val="en-GB"/>
              </w:rPr>
            </w:pPr>
            <w:r w:rsidRPr="005D3DD5">
              <w:rPr>
                <w:bCs/>
                <w:sz w:val="19"/>
                <w:szCs w:val="19"/>
                <w:lang w:val="en-GB"/>
              </w:rPr>
              <w:t>3.2.1:</w:t>
            </w:r>
            <w:r w:rsidRPr="005D3DD5">
              <w:t xml:space="preserve"> </w:t>
            </w:r>
            <w:r w:rsidRPr="005D3DD5">
              <w:rPr>
                <w:bCs/>
                <w:sz w:val="19"/>
                <w:szCs w:val="19"/>
                <w:lang w:val="en-GB"/>
              </w:rPr>
              <w:t>5 annual reports of SGP-SAP implementation partnership</w:t>
            </w:r>
          </w:p>
        </w:tc>
        <w:tc>
          <w:tcPr>
            <w:tcW w:w="1884" w:type="dxa"/>
            <w:vAlign w:val="center"/>
          </w:tcPr>
          <w:p w14:paraId="10BD2DA8" w14:textId="77777777" w:rsidR="005D3DD5" w:rsidRPr="005D3DD5" w:rsidRDefault="005D3DD5" w:rsidP="005D3DD5">
            <w:pPr>
              <w:contextualSpacing/>
              <w:rPr>
                <w:sz w:val="19"/>
                <w:szCs w:val="19"/>
                <w:lang w:val="en-GB" w:bidi="th-TH"/>
              </w:rPr>
            </w:pPr>
            <w:r w:rsidRPr="005D3DD5">
              <w:rPr>
                <w:sz w:val="19"/>
                <w:szCs w:val="19"/>
                <w:lang w:val="en-GB" w:bidi="th-TH"/>
              </w:rPr>
              <w:t>Number of GEF Small Grants Programme projects commissioned and implemented in support SAP implementation</w:t>
            </w:r>
          </w:p>
        </w:tc>
        <w:tc>
          <w:tcPr>
            <w:tcW w:w="1884" w:type="dxa"/>
            <w:vAlign w:val="center"/>
          </w:tcPr>
          <w:p w14:paraId="448D4377" w14:textId="77777777" w:rsidR="005D3DD5" w:rsidRPr="005D3DD5" w:rsidRDefault="005D3DD5" w:rsidP="005D3DD5">
            <w:pPr>
              <w:spacing w:before="40"/>
              <w:rPr>
                <w:sz w:val="19"/>
                <w:szCs w:val="19"/>
                <w:lang w:val="en-GB"/>
              </w:rPr>
            </w:pPr>
            <w:r w:rsidRPr="005D3DD5">
              <w:rPr>
                <w:sz w:val="19"/>
                <w:szCs w:val="19"/>
                <w:lang w:val="en-GB"/>
              </w:rPr>
              <w:t>Need for strengthened mobilization of civil society and community organizations in SAP implementation</w:t>
            </w:r>
          </w:p>
        </w:tc>
        <w:tc>
          <w:tcPr>
            <w:tcW w:w="1884" w:type="dxa"/>
            <w:vAlign w:val="center"/>
          </w:tcPr>
          <w:p w14:paraId="7A61F4B8" w14:textId="77777777" w:rsidR="005D3DD5" w:rsidRPr="005D3DD5" w:rsidRDefault="005D3DD5" w:rsidP="005D3DD5">
            <w:pPr>
              <w:rPr>
                <w:sz w:val="19"/>
                <w:szCs w:val="19"/>
                <w:lang w:val="en-GB"/>
              </w:rPr>
            </w:pPr>
            <w:r w:rsidRPr="005D3DD5">
              <w:rPr>
                <w:sz w:val="19"/>
                <w:szCs w:val="19"/>
                <w:lang w:val="en-GB"/>
              </w:rPr>
              <w:t>2 annual reports on outcomes and results of cooperative programme</w:t>
            </w:r>
          </w:p>
        </w:tc>
        <w:tc>
          <w:tcPr>
            <w:tcW w:w="1884" w:type="dxa"/>
            <w:vAlign w:val="center"/>
          </w:tcPr>
          <w:p w14:paraId="1AF6401D" w14:textId="77777777" w:rsidR="005D3DD5" w:rsidRPr="005D3DD5" w:rsidRDefault="005D3DD5" w:rsidP="005D3DD5">
            <w:pPr>
              <w:spacing w:before="40"/>
              <w:rPr>
                <w:sz w:val="19"/>
                <w:szCs w:val="19"/>
                <w:lang w:val="en-GB"/>
              </w:rPr>
            </w:pPr>
            <w:r w:rsidRPr="005D3DD5">
              <w:rPr>
                <w:sz w:val="19"/>
                <w:szCs w:val="19"/>
                <w:lang w:val="en-GB"/>
              </w:rPr>
              <w:t>Cooperation with GEF SGP in the commissioning and implementation of an additional [#] of community-based projects for SAP implementation</w:t>
            </w:r>
          </w:p>
        </w:tc>
      </w:tr>
      <w:tr w:rsidR="005D3DD5" w:rsidRPr="005D3DD5" w14:paraId="6B816711" w14:textId="77777777" w:rsidTr="005D3DD5">
        <w:trPr>
          <w:trHeight w:val="1080"/>
          <w:jc w:val="center"/>
        </w:trPr>
        <w:tc>
          <w:tcPr>
            <w:tcW w:w="1884" w:type="dxa"/>
            <w:vAlign w:val="center"/>
          </w:tcPr>
          <w:p w14:paraId="3505AE11" w14:textId="77777777" w:rsidR="005D3DD5" w:rsidRPr="005D3DD5" w:rsidRDefault="005D3DD5" w:rsidP="005D3DD5">
            <w:pPr>
              <w:spacing w:before="40"/>
              <w:rPr>
                <w:bCs/>
                <w:sz w:val="19"/>
                <w:szCs w:val="19"/>
                <w:lang w:val="en-GB"/>
              </w:rPr>
            </w:pPr>
            <w:r w:rsidRPr="005D3DD5">
              <w:rPr>
                <w:bCs/>
                <w:sz w:val="19"/>
                <w:szCs w:val="19"/>
                <w:lang w:val="en-GB"/>
              </w:rPr>
              <w:t>3.2.2: Reports of NGO forum meetings</w:t>
            </w:r>
          </w:p>
        </w:tc>
        <w:tc>
          <w:tcPr>
            <w:tcW w:w="1884" w:type="dxa"/>
            <w:vAlign w:val="center"/>
          </w:tcPr>
          <w:p w14:paraId="35F39785" w14:textId="77777777" w:rsidR="005D3DD5" w:rsidRPr="005D3DD5" w:rsidRDefault="005D3DD5" w:rsidP="005D3DD5">
            <w:pPr>
              <w:spacing w:before="40"/>
              <w:rPr>
                <w:bCs/>
                <w:sz w:val="19"/>
                <w:szCs w:val="19"/>
                <w:lang w:val="en-GB"/>
              </w:rPr>
            </w:pPr>
            <w:r w:rsidRPr="005D3DD5">
              <w:rPr>
                <w:bCs/>
                <w:sz w:val="19"/>
                <w:szCs w:val="19"/>
                <w:lang w:val="en-GB"/>
              </w:rPr>
              <w:t>Extent and scope of inputs from CSOs and COs</w:t>
            </w:r>
          </w:p>
          <w:p w14:paraId="5D089EE2" w14:textId="77777777" w:rsidR="005D3DD5" w:rsidRPr="005D3DD5" w:rsidRDefault="005D3DD5" w:rsidP="005D3DD5">
            <w:pPr>
              <w:spacing w:before="40"/>
              <w:rPr>
                <w:bCs/>
                <w:sz w:val="19"/>
                <w:szCs w:val="19"/>
                <w:lang w:val="en-GB"/>
              </w:rPr>
            </w:pPr>
            <w:r w:rsidRPr="005D3DD5">
              <w:rPr>
                <w:bCs/>
                <w:sz w:val="19"/>
                <w:szCs w:val="19"/>
                <w:lang w:val="en-GB"/>
              </w:rPr>
              <w:t>Number of NGO forums convened</w:t>
            </w:r>
          </w:p>
          <w:p w14:paraId="2EC42E93" w14:textId="77777777" w:rsidR="005D3DD5" w:rsidRPr="005D3DD5" w:rsidRDefault="005D3DD5" w:rsidP="005D3DD5">
            <w:pPr>
              <w:spacing w:before="40"/>
              <w:rPr>
                <w:bCs/>
                <w:sz w:val="19"/>
                <w:szCs w:val="19"/>
                <w:lang w:val="en-GB"/>
              </w:rPr>
            </w:pPr>
            <w:r w:rsidRPr="005D3DD5">
              <w:rPr>
                <w:bCs/>
                <w:sz w:val="19"/>
                <w:szCs w:val="19"/>
                <w:lang w:val="en-GB"/>
              </w:rPr>
              <w:t>Extent of capacity built among SGP proponents to implement local actions in support of the achievement of SAP targets</w:t>
            </w:r>
          </w:p>
        </w:tc>
        <w:tc>
          <w:tcPr>
            <w:tcW w:w="1884" w:type="dxa"/>
            <w:vAlign w:val="center"/>
          </w:tcPr>
          <w:p w14:paraId="373B9B83" w14:textId="77777777" w:rsidR="005D3DD5" w:rsidRPr="005D3DD5" w:rsidRDefault="005D3DD5" w:rsidP="005D3DD5">
            <w:pPr>
              <w:spacing w:before="40"/>
              <w:rPr>
                <w:sz w:val="19"/>
                <w:szCs w:val="19"/>
                <w:lang w:val="en-GB"/>
              </w:rPr>
            </w:pPr>
            <w:r w:rsidRPr="005D3DD5">
              <w:rPr>
                <w:sz w:val="19"/>
                <w:szCs w:val="19"/>
                <w:lang w:val="en-GB"/>
              </w:rPr>
              <w:t>Need for CSO and CO inputs to planning of an SCS-SGP partnership</w:t>
            </w:r>
          </w:p>
          <w:p w14:paraId="04C9CFD4" w14:textId="77777777" w:rsidR="005D3DD5" w:rsidRPr="005D3DD5" w:rsidRDefault="005D3DD5" w:rsidP="005D3DD5">
            <w:pPr>
              <w:spacing w:before="40"/>
              <w:rPr>
                <w:sz w:val="19"/>
                <w:szCs w:val="19"/>
                <w:lang w:val="en-GB"/>
              </w:rPr>
            </w:pPr>
          </w:p>
          <w:p w14:paraId="4D36A652" w14:textId="77777777" w:rsidR="005D3DD5" w:rsidRPr="005D3DD5" w:rsidRDefault="005D3DD5" w:rsidP="005D3DD5">
            <w:pPr>
              <w:spacing w:before="40"/>
              <w:rPr>
                <w:sz w:val="19"/>
                <w:szCs w:val="19"/>
                <w:lang w:val="en-GB"/>
              </w:rPr>
            </w:pPr>
            <w:r w:rsidRPr="005D3DD5">
              <w:rPr>
                <w:sz w:val="19"/>
                <w:szCs w:val="19"/>
                <w:lang w:val="en-GB"/>
              </w:rPr>
              <w:t>Limited civil society and community organisation experience and capacity for coastal habitat and land-based pollution management</w:t>
            </w:r>
          </w:p>
        </w:tc>
        <w:tc>
          <w:tcPr>
            <w:tcW w:w="1884" w:type="dxa"/>
            <w:vAlign w:val="center"/>
          </w:tcPr>
          <w:p w14:paraId="44977B5E" w14:textId="77777777" w:rsidR="005D3DD5" w:rsidRPr="005D3DD5" w:rsidRDefault="005D3DD5" w:rsidP="005D3DD5">
            <w:pPr>
              <w:rPr>
                <w:sz w:val="19"/>
                <w:szCs w:val="19"/>
                <w:lang w:val="en-GB"/>
              </w:rPr>
            </w:pPr>
            <w:r w:rsidRPr="005D3DD5">
              <w:rPr>
                <w:sz w:val="19"/>
                <w:szCs w:val="19"/>
                <w:lang w:val="en-GB"/>
              </w:rPr>
              <w:t>Two (2) annual reports of NGO forum meetings</w:t>
            </w:r>
          </w:p>
        </w:tc>
        <w:tc>
          <w:tcPr>
            <w:tcW w:w="1884" w:type="dxa"/>
            <w:vAlign w:val="center"/>
          </w:tcPr>
          <w:p w14:paraId="0264AE5A" w14:textId="77777777" w:rsidR="005D3DD5" w:rsidRPr="005D3DD5" w:rsidRDefault="005D3DD5" w:rsidP="005D3DD5">
            <w:pPr>
              <w:spacing w:before="40"/>
              <w:rPr>
                <w:sz w:val="19"/>
                <w:szCs w:val="19"/>
                <w:lang w:val="en-GB"/>
              </w:rPr>
            </w:pPr>
            <w:r w:rsidRPr="005D3DD5">
              <w:rPr>
                <w:sz w:val="19"/>
                <w:szCs w:val="19"/>
                <w:lang w:val="en-GB"/>
              </w:rPr>
              <w:t>CSO &amp; CO inputs elicited for planning and M&amp;E of the SCS-SGP partnership via annual NGO forums</w:t>
            </w:r>
          </w:p>
        </w:tc>
      </w:tr>
      <w:tr w:rsidR="005D3DD5" w:rsidRPr="005D3DD5" w14:paraId="31D4C1FE" w14:textId="77777777" w:rsidTr="005D3DD5">
        <w:trPr>
          <w:trHeight w:val="1080"/>
          <w:jc w:val="center"/>
        </w:trPr>
        <w:tc>
          <w:tcPr>
            <w:tcW w:w="1884" w:type="dxa"/>
            <w:vAlign w:val="center"/>
          </w:tcPr>
          <w:p w14:paraId="5E5BF61B" w14:textId="77777777" w:rsidR="005D3DD5" w:rsidRPr="005D3DD5" w:rsidRDefault="005D3DD5" w:rsidP="005D3DD5">
            <w:pPr>
              <w:spacing w:before="40"/>
              <w:rPr>
                <w:bCs/>
                <w:sz w:val="19"/>
                <w:szCs w:val="19"/>
                <w:lang w:val="en-GB"/>
              </w:rPr>
            </w:pPr>
            <w:r w:rsidRPr="005D3DD5">
              <w:rPr>
                <w:bCs/>
                <w:sz w:val="19"/>
                <w:szCs w:val="19"/>
                <w:lang w:val="en-GB"/>
              </w:rPr>
              <w:t>3.2.3: Training modules for SGP proponents developed and accessible online</w:t>
            </w:r>
          </w:p>
        </w:tc>
        <w:tc>
          <w:tcPr>
            <w:tcW w:w="1884" w:type="dxa"/>
            <w:vAlign w:val="center"/>
          </w:tcPr>
          <w:p w14:paraId="08FD4F31" w14:textId="77777777" w:rsidR="005D3DD5" w:rsidRPr="005D3DD5" w:rsidRDefault="005D3DD5" w:rsidP="005D3DD5">
            <w:pPr>
              <w:spacing w:before="40"/>
              <w:rPr>
                <w:bCs/>
                <w:sz w:val="19"/>
                <w:szCs w:val="19"/>
                <w:lang w:val="en-GB"/>
              </w:rPr>
            </w:pPr>
            <w:r w:rsidRPr="005D3DD5">
              <w:rPr>
                <w:bCs/>
                <w:sz w:val="19"/>
                <w:szCs w:val="19"/>
                <w:lang w:val="en-GB"/>
              </w:rPr>
              <w:t>Extent of capacity built among SGP proponents to implement local actions in support of the achievement of SAP targets</w:t>
            </w:r>
          </w:p>
        </w:tc>
        <w:tc>
          <w:tcPr>
            <w:tcW w:w="1884" w:type="dxa"/>
            <w:vAlign w:val="center"/>
          </w:tcPr>
          <w:p w14:paraId="78D3B50F" w14:textId="77777777" w:rsidR="005D3DD5" w:rsidRPr="005D3DD5" w:rsidRDefault="005D3DD5" w:rsidP="005D3DD5">
            <w:pPr>
              <w:spacing w:before="40"/>
              <w:rPr>
                <w:sz w:val="19"/>
                <w:szCs w:val="19"/>
                <w:lang w:val="en-GB"/>
              </w:rPr>
            </w:pPr>
            <w:r w:rsidRPr="005D3DD5">
              <w:rPr>
                <w:sz w:val="19"/>
                <w:szCs w:val="19"/>
                <w:lang w:val="en-GB"/>
              </w:rPr>
              <w:t>Limited civil society and community organisation experience and capacity for coastal habitat and land-based pollution management</w:t>
            </w:r>
          </w:p>
        </w:tc>
        <w:tc>
          <w:tcPr>
            <w:tcW w:w="1884" w:type="dxa"/>
            <w:vAlign w:val="center"/>
          </w:tcPr>
          <w:p w14:paraId="6CD5EB5F" w14:textId="77777777" w:rsidR="005D3DD5" w:rsidRPr="005D3DD5" w:rsidRDefault="005D3DD5" w:rsidP="005D3DD5">
            <w:pPr>
              <w:rPr>
                <w:sz w:val="19"/>
                <w:szCs w:val="19"/>
                <w:lang w:val="en-GB"/>
              </w:rPr>
            </w:pPr>
            <w:r w:rsidRPr="005D3DD5">
              <w:rPr>
                <w:sz w:val="19"/>
                <w:szCs w:val="19"/>
                <w:lang w:val="en-GB"/>
              </w:rPr>
              <w:t>Training syllabus and materials prepared , with inputs from national and regional training providers</w:t>
            </w:r>
          </w:p>
        </w:tc>
        <w:tc>
          <w:tcPr>
            <w:tcW w:w="1884" w:type="dxa"/>
            <w:vAlign w:val="center"/>
          </w:tcPr>
          <w:p w14:paraId="65B37D24" w14:textId="77777777" w:rsidR="005D3DD5" w:rsidRPr="005D3DD5" w:rsidRDefault="005D3DD5" w:rsidP="005D3DD5">
            <w:pPr>
              <w:spacing w:before="40"/>
              <w:rPr>
                <w:sz w:val="19"/>
                <w:szCs w:val="19"/>
                <w:lang w:val="en-GB"/>
              </w:rPr>
            </w:pPr>
            <w:r w:rsidRPr="005D3DD5">
              <w:rPr>
                <w:sz w:val="19"/>
                <w:szCs w:val="19"/>
                <w:lang w:val="en-GB"/>
              </w:rPr>
              <w:t>Training program on science and management of SCS coastal habitats and resources for SGP proponents</w:t>
            </w:r>
          </w:p>
        </w:tc>
      </w:tr>
      <w:tr w:rsidR="005D3DD5" w:rsidRPr="005D3DD5" w14:paraId="3CD1D556" w14:textId="77777777" w:rsidTr="005D3DD5">
        <w:trPr>
          <w:trHeight w:val="602"/>
          <w:jc w:val="center"/>
        </w:trPr>
        <w:tc>
          <w:tcPr>
            <w:tcW w:w="9420" w:type="dxa"/>
            <w:gridSpan w:val="5"/>
            <w:shd w:val="clear" w:color="auto" w:fill="F2F2F2"/>
            <w:vAlign w:val="center"/>
          </w:tcPr>
          <w:p w14:paraId="4A23070A" w14:textId="77777777" w:rsidR="005D3DD5" w:rsidRPr="005D3DD5" w:rsidRDefault="005D3DD5" w:rsidP="005D3DD5">
            <w:pPr>
              <w:spacing w:before="40"/>
              <w:jc w:val="center"/>
              <w:rPr>
                <w:b/>
                <w:sz w:val="19"/>
                <w:szCs w:val="19"/>
                <w:lang w:val="en-GB"/>
              </w:rPr>
            </w:pPr>
            <w:r w:rsidRPr="005D3DD5">
              <w:rPr>
                <w:b/>
                <w:sz w:val="19"/>
                <w:szCs w:val="19"/>
                <w:lang w:val="en-GB"/>
              </w:rPr>
              <w:t>3.3.</w:t>
            </w:r>
            <w:r w:rsidRPr="005D3DD5">
              <w:t xml:space="preserve"> </w:t>
            </w:r>
            <w:r w:rsidRPr="005D3DD5">
              <w:rPr>
                <w:b/>
                <w:sz w:val="19"/>
                <w:szCs w:val="19"/>
                <w:lang w:val="en-GB"/>
              </w:rPr>
              <w:t>Relationships between central and local governments and the private sector strengthened and formalized</w:t>
            </w:r>
          </w:p>
        </w:tc>
      </w:tr>
      <w:tr w:rsidR="005D3DD5" w:rsidRPr="005D3DD5" w14:paraId="267208DD" w14:textId="77777777" w:rsidTr="005D3DD5">
        <w:trPr>
          <w:trHeight w:val="1080"/>
          <w:jc w:val="center"/>
        </w:trPr>
        <w:tc>
          <w:tcPr>
            <w:tcW w:w="1884" w:type="dxa"/>
            <w:vAlign w:val="center"/>
          </w:tcPr>
          <w:p w14:paraId="58F221C0" w14:textId="77777777" w:rsidR="005D3DD5" w:rsidRPr="005D3DD5" w:rsidRDefault="005D3DD5" w:rsidP="005D3DD5">
            <w:pPr>
              <w:spacing w:before="40"/>
              <w:rPr>
                <w:bCs/>
                <w:sz w:val="19"/>
                <w:szCs w:val="19"/>
                <w:lang w:val="en-GB"/>
              </w:rPr>
            </w:pPr>
            <w:r w:rsidRPr="005D3DD5">
              <w:rPr>
                <w:bCs/>
                <w:sz w:val="19"/>
                <w:szCs w:val="19"/>
                <w:lang w:val="en-GB"/>
              </w:rPr>
              <w:t>3.3.1:</w:t>
            </w:r>
            <w:r w:rsidRPr="005D3DD5">
              <w:t xml:space="preserve"> </w:t>
            </w:r>
            <w:r w:rsidRPr="005D3DD5">
              <w:rPr>
                <w:bCs/>
                <w:sz w:val="19"/>
                <w:szCs w:val="19"/>
                <w:lang w:val="en-GB"/>
              </w:rPr>
              <w:t>Review of report on public-private partnerships published</w:t>
            </w:r>
          </w:p>
        </w:tc>
        <w:tc>
          <w:tcPr>
            <w:tcW w:w="1884" w:type="dxa"/>
            <w:vAlign w:val="center"/>
          </w:tcPr>
          <w:p w14:paraId="5C05B6F6" w14:textId="77777777" w:rsidR="005D3DD5" w:rsidRPr="005D3DD5" w:rsidRDefault="005D3DD5" w:rsidP="005D3DD5">
            <w:pPr>
              <w:spacing w:before="40"/>
              <w:rPr>
                <w:bCs/>
                <w:sz w:val="19"/>
                <w:szCs w:val="19"/>
                <w:lang w:val="en-GB"/>
              </w:rPr>
            </w:pPr>
            <w:r w:rsidRPr="005D3DD5">
              <w:rPr>
                <w:bCs/>
                <w:sz w:val="19"/>
                <w:szCs w:val="19"/>
                <w:lang w:val="en-GB"/>
              </w:rPr>
              <w:t>Number of public-private partnerships identified and documented</w:t>
            </w:r>
          </w:p>
        </w:tc>
        <w:tc>
          <w:tcPr>
            <w:tcW w:w="1884" w:type="dxa"/>
            <w:vAlign w:val="center"/>
          </w:tcPr>
          <w:p w14:paraId="6248F101" w14:textId="77777777" w:rsidR="005D3DD5" w:rsidRPr="005D3DD5" w:rsidRDefault="005D3DD5" w:rsidP="005D3DD5">
            <w:pPr>
              <w:spacing w:before="40"/>
              <w:rPr>
                <w:sz w:val="19"/>
                <w:szCs w:val="19"/>
                <w:lang w:val="en-GB"/>
              </w:rPr>
            </w:pPr>
            <w:r w:rsidRPr="005D3DD5">
              <w:rPr>
                <w:sz w:val="19"/>
                <w:szCs w:val="19"/>
                <w:lang w:val="en-GB"/>
              </w:rPr>
              <w:t>Many private sector oganisations operate corporate social and environmental responsibility programmes but they are not aligned with SAP implementation</w:t>
            </w:r>
          </w:p>
        </w:tc>
        <w:tc>
          <w:tcPr>
            <w:tcW w:w="1884" w:type="dxa"/>
            <w:vAlign w:val="center"/>
          </w:tcPr>
          <w:p w14:paraId="235293F3" w14:textId="77777777" w:rsidR="005D3DD5" w:rsidRPr="005D3DD5" w:rsidRDefault="005D3DD5" w:rsidP="005D3DD5">
            <w:pPr>
              <w:rPr>
                <w:sz w:val="19"/>
                <w:szCs w:val="19"/>
                <w:lang w:val="en-GB"/>
              </w:rPr>
            </w:pPr>
            <w:r w:rsidRPr="005D3DD5">
              <w:rPr>
                <w:sz w:val="19"/>
                <w:szCs w:val="19"/>
                <w:lang w:val="en-GB"/>
              </w:rPr>
              <w:t>Same as end-of-project target</w:t>
            </w:r>
          </w:p>
        </w:tc>
        <w:tc>
          <w:tcPr>
            <w:tcW w:w="1884" w:type="dxa"/>
            <w:vAlign w:val="center"/>
          </w:tcPr>
          <w:p w14:paraId="320289ED" w14:textId="77777777" w:rsidR="005D3DD5" w:rsidRPr="005D3DD5" w:rsidRDefault="005D3DD5" w:rsidP="005D3DD5">
            <w:pPr>
              <w:spacing w:before="40"/>
              <w:rPr>
                <w:sz w:val="19"/>
                <w:szCs w:val="19"/>
                <w:lang w:val="en-GB"/>
              </w:rPr>
            </w:pPr>
            <w:r w:rsidRPr="005D3DD5">
              <w:rPr>
                <w:sz w:val="19"/>
                <w:szCs w:val="19"/>
                <w:lang w:val="en-GB"/>
              </w:rPr>
              <w:t>Review of past and ongoing public-private partnerships for coastal management in SCS region</w:t>
            </w:r>
          </w:p>
        </w:tc>
      </w:tr>
      <w:tr w:rsidR="005D3DD5" w:rsidRPr="005D3DD5" w14:paraId="43228C23" w14:textId="77777777" w:rsidTr="005D3DD5">
        <w:trPr>
          <w:trHeight w:val="1080"/>
          <w:jc w:val="center"/>
        </w:trPr>
        <w:tc>
          <w:tcPr>
            <w:tcW w:w="1884" w:type="dxa"/>
            <w:vAlign w:val="center"/>
          </w:tcPr>
          <w:p w14:paraId="7FCACFDC" w14:textId="77777777" w:rsidR="005D3DD5" w:rsidRPr="005D3DD5" w:rsidRDefault="005D3DD5" w:rsidP="005D3DD5">
            <w:pPr>
              <w:spacing w:before="40"/>
              <w:rPr>
                <w:bCs/>
                <w:sz w:val="19"/>
                <w:szCs w:val="19"/>
                <w:lang w:val="en-GB"/>
              </w:rPr>
            </w:pPr>
            <w:r w:rsidRPr="005D3DD5">
              <w:rPr>
                <w:bCs/>
                <w:sz w:val="19"/>
                <w:szCs w:val="19"/>
                <w:lang w:val="en-GB"/>
              </w:rPr>
              <w:t>3.3.2: Letters of commitment from private sector entities with regards to support for SAP implementation</w:t>
            </w:r>
          </w:p>
        </w:tc>
        <w:tc>
          <w:tcPr>
            <w:tcW w:w="1884" w:type="dxa"/>
            <w:vAlign w:val="center"/>
          </w:tcPr>
          <w:p w14:paraId="2295395D" w14:textId="77777777" w:rsidR="005D3DD5" w:rsidRPr="005D3DD5" w:rsidRDefault="005D3DD5" w:rsidP="005D3DD5">
            <w:pPr>
              <w:spacing w:before="40"/>
              <w:rPr>
                <w:bCs/>
                <w:sz w:val="19"/>
                <w:szCs w:val="19"/>
                <w:lang w:val="en-GB"/>
              </w:rPr>
            </w:pPr>
            <w:r w:rsidRPr="005D3DD5">
              <w:rPr>
                <w:bCs/>
                <w:sz w:val="19"/>
                <w:szCs w:val="19"/>
                <w:lang w:val="en-GB"/>
              </w:rPr>
              <w:t>Number of opportunities for private sector investment in SAP implementation identified</w:t>
            </w:r>
          </w:p>
        </w:tc>
        <w:tc>
          <w:tcPr>
            <w:tcW w:w="1884" w:type="dxa"/>
            <w:vAlign w:val="center"/>
          </w:tcPr>
          <w:p w14:paraId="51C663CD" w14:textId="77777777" w:rsidR="005D3DD5" w:rsidRPr="005D3DD5" w:rsidRDefault="005D3DD5" w:rsidP="005D3DD5">
            <w:pPr>
              <w:spacing w:before="40"/>
              <w:rPr>
                <w:sz w:val="19"/>
                <w:szCs w:val="19"/>
                <w:lang w:val="en-GB"/>
              </w:rPr>
            </w:pPr>
            <w:r w:rsidRPr="005D3DD5">
              <w:rPr>
                <w:sz w:val="19"/>
                <w:szCs w:val="19"/>
                <w:lang w:val="en-GB"/>
              </w:rPr>
              <w:t>Significant commercial enterprise is conducted in waters of the South China Sea, particularly in the areas of oil and gas, fisheries and tourism</w:t>
            </w:r>
          </w:p>
        </w:tc>
        <w:tc>
          <w:tcPr>
            <w:tcW w:w="1884" w:type="dxa"/>
            <w:vAlign w:val="center"/>
          </w:tcPr>
          <w:p w14:paraId="42EF8018" w14:textId="77777777" w:rsidR="005D3DD5" w:rsidRPr="005D3DD5" w:rsidRDefault="005D3DD5" w:rsidP="005D3DD5">
            <w:pPr>
              <w:rPr>
                <w:sz w:val="19"/>
                <w:szCs w:val="19"/>
                <w:lang w:val="en-GB"/>
              </w:rPr>
            </w:pPr>
            <w:r w:rsidRPr="005D3DD5">
              <w:rPr>
                <w:sz w:val="19"/>
                <w:szCs w:val="19"/>
                <w:lang w:val="en-GB"/>
              </w:rPr>
              <w:t>Communications and engagement strategies developed with aim of establishing interest among private sector entities in SAP implementation</w:t>
            </w:r>
          </w:p>
        </w:tc>
        <w:tc>
          <w:tcPr>
            <w:tcW w:w="1884" w:type="dxa"/>
            <w:vAlign w:val="center"/>
          </w:tcPr>
          <w:p w14:paraId="791203A3" w14:textId="77777777" w:rsidR="005D3DD5" w:rsidRPr="005D3DD5" w:rsidRDefault="005D3DD5" w:rsidP="005D3DD5">
            <w:pPr>
              <w:spacing w:before="40"/>
              <w:rPr>
                <w:sz w:val="19"/>
                <w:szCs w:val="19"/>
                <w:lang w:val="en-GB"/>
              </w:rPr>
            </w:pPr>
            <w:r w:rsidRPr="005D3DD5">
              <w:rPr>
                <w:sz w:val="19"/>
                <w:szCs w:val="19"/>
                <w:lang w:val="en-GB"/>
              </w:rPr>
              <w:t>Identification of opportunities for private sector investment (e.g. oil and gas, fisheries, tourism) in implementation of the updated SAP</w:t>
            </w:r>
          </w:p>
        </w:tc>
      </w:tr>
      <w:tr w:rsidR="005D3DD5" w:rsidRPr="005D3DD5" w14:paraId="6B85BC6A" w14:textId="77777777" w:rsidTr="005D3DD5">
        <w:trPr>
          <w:trHeight w:val="377"/>
          <w:jc w:val="center"/>
        </w:trPr>
        <w:tc>
          <w:tcPr>
            <w:tcW w:w="1884" w:type="dxa"/>
            <w:vAlign w:val="center"/>
          </w:tcPr>
          <w:p w14:paraId="1F66E160" w14:textId="77777777" w:rsidR="005D3DD5" w:rsidRPr="005D3DD5" w:rsidRDefault="005D3DD5" w:rsidP="005D3DD5">
            <w:pPr>
              <w:spacing w:before="40"/>
              <w:rPr>
                <w:bCs/>
                <w:sz w:val="19"/>
                <w:szCs w:val="19"/>
                <w:lang w:val="en-GB"/>
              </w:rPr>
            </w:pPr>
            <w:r w:rsidRPr="005D3DD5">
              <w:rPr>
                <w:bCs/>
                <w:sz w:val="19"/>
                <w:szCs w:val="19"/>
                <w:lang w:val="en-GB"/>
              </w:rPr>
              <w:t>3.3.3: Letters of investment commitment from private sector partners and donors</w:t>
            </w:r>
          </w:p>
        </w:tc>
        <w:tc>
          <w:tcPr>
            <w:tcW w:w="1884" w:type="dxa"/>
            <w:vAlign w:val="center"/>
          </w:tcPr>
          <w:p w14:paraId="48E0DE5D" w14:textId="77777777" w:rsidR="005D3DD5" w:rsidRPr="005D3DD5" w:rsidRDefault="005D3DD5" w:rsidP="005D3DD5">
            <w:pPr>
              <w:spacing w:before="40"/>
              <w:rPr>
                <w:bCs/>
                <w:sz w:val="19"/>
                <w:szCs w:val="19"/>
                <w:lang w:val="en-GB"/>
              </w:rPr>
            </w:pPr>
            <w:r w:rsidRPr="005D3DD5">
              <w:rPr>
                <w:bCs/>
                <w:sz w:val="19"/>
                <w:szCs w:val="19"/>
                <w:lang w:val="en-GB"/>
              </w:rPr>
              <w:t>Status of agreement on financial arrangements for private sector and donor investment in the implementation of the revised Strategic Action Programme</w:t>
            </w:r>
          </w:p>
        </w:tc>
        <w:tc>
          <w:tcPr>
            <w:tcW w:w="1884" w:type="dxa"/>
            <w:vAlign w:val="center"/>
          </w:tcPr>
          <w:p w14:paraId="75BF825A" w14:textId="77777777" w:rsidR="005D3DD5" w:rsidRPr="005D3DD5" w:rsidRDefault="005D3DD5" w:rsidP="005D3DD5">
            <w:pPr>
              <w:spacing w:before="40"/>
              <w:rPr>
                <w:sz w:val="19"/>
                <w:szCs w:val="19"/>
                <w:lang w:val="en-GB"/>
              </w:rPr>
            </w:pPr>
            <w:r w:rsidRPr="005D3DD5">
              <w:rPr>
                <w:sz w:val="19"/>
                <w:szCs w:val="19"/>
                <w:lang w:val="en-GB"/>
              </w:rPr>
              <w:t>Low-level mobilization of the private sector in environmental investment planning in the South China Sea</w:t>
            </w:r>
          </w:p>
        </w:tc>
        <w:tc>
          <w:tcPr>
            <w:tcW w:w="1884" w:type="dxa"/>
            <w:vAlign w:val="center"/>
          </w:tcPr>
          <w:p w14:paraId="4EF8BE77" w14:textId="77777777" w:rsidR="005D3DD5" w:rsidRPr="005D3DD5" w:rsidRDefault="005D3DD5" w:rsidP="005D3DD5">
            <w:pPr>
              <w:rPr>
                <w:sz w:val="19"/>
                <w:szCs w:val="19"/>
                <w:lang w:val="en-GB"/>
              </w:rPr>
            </w:pPr>
            <w:r w:rsidRPr="005D3DD5">
              <w:rPr>
                <w:sz w:val="19"/>
                <w:szCs w:val="19"/>
                <w:lang w:val="en-GB"/>
              </w:rPr>
              <w:t>One (1) partnership forum convened</w:t>
            </w:r>
          </w:p>
        </w:tc>
        <w:tc>
          <w:tcPr>
            <w:tcW w:w="1884" w:type="dxa"/>
            <w:vAlign w:val="center"/>
          </w:tcPr>
          <w:p w14:paraId="37AFBA2A" w14:textId="77777777" w:rsidR="005D3DD5" w:rsidRPr="005D3DD5" w:rsidRDefault="005D3DD5" w:rsidP="005D3DD5">
            <w:pPr>
              <w:spacing w:before="40"/>
              <w:rPr>
                <w:sz w:val="19"/>
                <w:szCs w:val="19"/>
                <w:lang w:val="en-GB"/>
              </w:rPr>
            </w:pPr>
            <w:r w:rsidRPr="005D3DD5">
              <w:rPr>
                <w:sz w:val="19"/>
                <w:szCs w:val="19"/>
                <w:lang w:val="en-GB"/>
              </w:rPr>
              <w:t>Two partnership forums to facilitate cooperation with private sector on implementation of the updated SAP</w:t>
            </w:r>
          </w:p>
        </w:tc>
      </w:tr>
      <w:tr w:rsidR="005D3DD5" w:rsidRPr="005D3DD5" w14:paraId="282D22D1" w14:textId="77777777" w:rsidTr="005D3DD5">
        <w:trPr>
          <w:trHeight w:val="647"/>
          <w:jc w:val="center"/>
        </w:trPr>
        <w:tc>
          <w:tcPr>
            <w:tcW w:w="9420" w:type="dxa"/>
            <w:gridSpan w:val="5"/>
            <w:shd w:val="clear" w:color="auto" w:fill="F2F2F2"/>
            <w:vAlign w:val="center"/>
          </w:tcPr>
          <w:p w14:paraId="049A2293" w14:textId="77777777" w:rsidR="005D3DD5" w:rsidRPr="005D3DD5" w:rsidRDefault="005D3DD5" w:rsidP="005D3DD5">
            <w:pPr>
              <w:spacing w:before="40"/>
              <w:jc w:val="center"/>
              <w:rPr>
                <w:b/>
                <w:sz w:val="19"/>
                <w:szCs w:val="19"/>
                <w:lang w:val="en-GB"/>
              </w:rPr>
            </w:pPr>
            <w:r w:rsidRPr="005D3DD5">
              <w:rPr>
                <w:b/>
                <w:sz w:val="19"/>
                <w:szCs w:val="19"/>
                <w:lang w:val="en-GB"/>
              </w:rPr>
              <w:t>3.4 Revitalization of regional mechanisms for communications, knowledge exchange, and information and data management and sharing</w:t>
            </w:r>
          </w:p>
        </w:tc>
      </w:tr>
      <w:tr w:rsidR="005D3DD5" w:rsidRPr="005D3DD5" w14:paraId="4B2C5ED1" w14:textId="77777777" w:rsidTr="005D3DD5">
        <w:trPr>
          <w:trHeight w:val="1080"/>
          <w:jc w:val="center"/>
        </w:trPr>
        <w:tc>
          <w:tcPr>
            <w:tcW w:w="1884" w:type="dxa"/>
            <w:vAlign w:val="center"/>
          </w:tcPr>
          <w:p w14:paraId="669D755A" w14:textId="77777777" w:rsidR="005D3DD5" w:rsidRPr="005D3DD5" w:rsidRDefault="005D3DD5" w:rsidP="005D3DD5">
            <w:pPr>
              <w:spacing w:before="40"/>
              <w:rPr>
                <w:bCs/>
                <w:sz w:val="19"/>
                <w:szCs w:val="19"/>
                <w:lang w:val="en-GB"/>
              </w:rPr>
            </w:pPr>
            <w:r w:rsidRPr="005D3DD5">
              <w:rPr>
                <w:bCs/>
                <w:sz w:val="19"/>
                <w:szCs w:val="19"/>
                <w:lang w:val="en-GB"/>
              </w:rPr>
              <w:t>3.4.1: Multi-media information and knowledge products published and accessible online</w:t>
            </w:r>
          </w:p>
        </w:tc>
        <w:tc>
          <w:tcPr>
            <w:tcW w:w="1884" w:type="dxa"/>
            <w:vAlign w:val="center"/>
          </w:tcPr>
          <w:p w14:paraId="41ABFE33" w14:textId="77777777" w:rsidR="005D3DD5" w:rsidRPr="005D3DD5" w:rsidRDefault="005D3DD5" w:rsidP="005D3DD5">
            <w:pPr>
              <w:spacing w:before="40"/>
              <w:rPr>
                <w:bCs/>
                <w:sz w:val="19"/>
                <w:szCs w:val="19"/>
                <w:lang w:val="en-GB"/>
              </w:rPr>
            </w:pPr>
            <w:r w:rsidRPr="005D3DD5">
              <w:rPr>
                <w:bCs/>
                <w:sz w:val="19"/>
                <w:szCs w:val="19"/>
                <w:lang w:val="en-GB"/>
              </w:rPr>
              <w:t>Number of multi-media and knowledge products produced</w:t>
            </w:r>
          </w:p>
        </w:tc>
        <w:tc>
          <w:tcPr>
            <w:tcW w:w="1884" w:type="dxa"/>
            <w:vAlign w:val="center"/>
          </w:tcPr>
          <w:p w14:paraId="7E43B1B5" w14:textId="77777777" w:rsidR="005D3DD5" w:rsidRPr="005D3DD5" w:rsidRDefault="005D3DD5" w:rsidP="005D3DD5">
            <w:pPr>
              <w:spacing w:before="40"/>
              <w:rPr>
                <w:sz w:val="19"/>
                <w:szCs w:val="19"/>
                <w:lang w:val="en-GB"/>
              </w:rPr>
            </w:pPr>
            <w:r w:rsidRPr="005D3DD5">
              <w:rPr>
                <w:sz w:val="19"/>
                <w:szCs w:val="19"/>
                <w:lang w:val="en-GB"/>
              </w:rPr>
              <w:t>The SCS project produced an extensive range of knowledge products, technical guides, and training and awareness materials</w:t>
            </w:r>
          </w:p>
        </w:tc>
        <w:tc>
          <w:tcPr>
            <w:tcW w:w="1884" w:type="dxa"/>
            <w:vAlign w:val="center"/>
          </w:tcPr>
          <w:p w14:paraId="06055C07" w14:textId="77777777" w:rsidR="005D3DD5" w:rsidRPr="005D3DD5" w:rsidRDefault="005D3DD5" w:rsidP="005D3DD5">
            <w:pPr>
              <w:rPr>
                <w:sz w:val="19"/>
                <w:szCs w:val="19"/>
                <w:lang w:val="en-GB"/>
              </w:rPr>
            </w:pPr>
            <w:r w:rsidRPr="005D3DD5">
              <w:rPr>
                <w:sz w:val="19"/>
                <w:szCs w:val="19"/>
                <w:lang w:val="en-GB"/>
              </w:rPr>
              <w:t>Same as end-of-project target</w:t>
            </w:r>
          </w:p>
        </w:tc>
        <w:tc>
          <w:tcPr>
            <w:tcW w:w="1884" w:type="dxa"/>
            <w:vAlign w:val="center"/>
          </w:tcPr>
          <w:p w14:paraId="16A821FB" w14:textId="77777777" w:rsidR="005D3DD5" w:rsidRPr="005D3DD5" w:rsidRDefault="005D3DD5" w:rsidP="005D3DD5">
            <w:pPr>
              <w:spacing w:before="40"/>
              <w:rPr>
                <w:sz w:val="19"/>
                <w:szCs w:val="19"/>
                <w:lang w:val="en-GB"/>
              </w:rPr>
            </w:pPr>
            <w:r w:rsidRPr="005D3DD5">
              <w:rPr>
                <w:sz w:val="19"/>
                <w:szCs w:val="19"/>
                <w:lang w:val="en-GB"/>
              </w:rPr>
              <w:t>A variety of multi-media information and knowledge products based on SCS SAP implementation communications strategy</w:t>
            </w:r>
          </w:p>
        </w:tc>
      </w:tr>
      <w:tr w:rsidR="005D3DD5" w:rsidRPr="005D3DD5" w14:paraId="43B2A605" w14:textId="77777777" w:rsidTr="005D3DD5">
        <w:trPr>
          <w:trHeight w:val="1080"/>
          <w:jc w:val="center"/>
        </w:trPr>
        <w:tc>
          <w:tcPr>
            <w:tcW w:w="1884" w:type="dxa"/>
            <w:vAlign w:val="center"/>
          </w:tcPr>
          <w:p w14:paraId="003E6074" w14:textId="77777777" w:rsidR="005D3DD5" w:rsidRPr="005D3DD5" w:rsidRDefault="005D3DD5" w:rsidP="005D3DD5">
            <w:pPr>
              <w:spacing w:before="40"/>
              <w:rPr>
                <w:bCs/>
                <w:sz w:val="19"/>
                <w:szCs w:val="19"/>
                <w:lang w:val="en-GB"/>
              </w:rPr>
            </w:pPr>
            <w:r w:rsidRPr="005D3DD5">
              <w:rPr>
                <w:bCs/>
                <w:sz w:val="19"/>
                <w:szCs w:val="19"/>
                <w:lang w:val="en-GB"/>
              </w:rPr>
              <w:t>3.4.2: Published synthesis reports on: climate variability in coastal systems; hazards and coastal area planning; blue forests and livelihoods; and land and marine tenure and use designation</w:t>
            </w:r>
          </w:p>
        </w:tc>
        <w:tc>
          <w:tcPr>
            <w:tcW w:w="1884" w:type="dxa"/>
            <w:vAlign w:val="center"/>
          </w:tcPr>
          <w:p w14:paraId="74070486" w14:textId="77777777" w:rsidR="005D3DD5" w:rsidRPr="005D3DD5" w:rsidRDefault="005D3DD5" w:rsidP="005D3DD5">
            <w:pPr>
              <w:spacing w:before="40"/>
              <w:rPr>
                <w:bCs/>
                <w:sz w:val="19"/>
                <w:szCs w:val="19"/>
                <w:lang w:val="en-GB"/>
              </w:rPr>
            </w:pPr>
            <w:r w:rsidRPr="005D3DD5">
              <w:rPr>
                <w:bCs/>
                <w:sz w:val="19"/>
                <w:szCs w:val="19"/>
                <w:lang w:val="en-GB"/>
              </w:rPr>
              <w:t>Status of knowledge tool development to support evidence-based coastal and marine management and spatial planning</w:t>
            </w:r>
          </w:p>
        </w:tc>
        <w:tc>
          <w:tcPr>
            <w:tcW w:w="1884" w:type="dxa"/>
            <w:vAlign w:val="center"/>
          </w:tcPr>
          <w:p w14:paraId="4C458656" w14:textId="77777777" w:rsidR="005D3DD5" w:rsidRPr="005D3DD5" w:rsidRDefault="005D3DD5" w:rsidP="005D3DD5">
            <w:pPr>
              <w:spacing w:before="40"/>
              <w:rPr>
                <w:sz w:val="19"/>
                <w:szCs w:val="19"/>
                <w:lang w:val="en-GB"/>
              </w:rPr>
            </w:pPr>
            <w:r w:rsidRPr="005D3DD5">
              <w:rPr>
                <w:sz w:val="19"/>
                <w:szCs w:val="19"/>
                <w:lang w:val="en-GB"/>
              </w:rPr>
              <w:t>Transboundary coastal and marine mgmt. spatial planning constrained by lack of a regionally coordinated approach to harnessing sectorial expertise and knowledge</w:t>
            </w:r>
          </w:p>
        </w:tc>
        <w:tc>
          <w:tcPr>
            <w:tcW w:w="1884" w:type="dxa"/>
            <w:vAlign w:val="center"/>
          </w:tcPr>
          <w:p w14:paraId="223F6AA2" w14:textId="77777777" w:rsidR="005D3DD5" w:rsidRPr="005D3DD5" w:rsidRDefault="005D3DD5" w:rsidP="005D3DD5">
            <w:pPr>
              <w:rPr>
                <w:sz w:val="19"/>
                <w:szCs w:val="19"/>
                <w:lang w:val="en-GB"/>
              </w:rPr>
            </w:pPr>
            <w:r w:rsidRPr="005D3DD5">
              <w:rPr>
                <w:sz w:val="19"/>
                <w:szCs w:val="19"/>
                <w:lang w:val="en-GB"/>
              </w:rPr>
              <w:t>Appropriate technical expertise engaged and participating in preparation of synthesis reports</w:t>
            </w:r>
          </w:p>
        </w:tc>
        <w:tc>
          <w:tcPr>
            <w:tcW w:w="1884" w:type="dxa"/>
            <w:vAlign w:val="center"/>
          </w:tcPr>
          <w:p w14:paraId="75EA9713" w14:textId="77777777" w:rsidR="005D3DD5" w:rsidRPr="005D3DD5" w:rsidRDefault="005D3DD5" w:rsidP="005D3DD5">
            <w:pPr>
              <w:spacing w:before="40"/>
              <w:rPr>
                <w:sz w:val="19"/>
                <w:szCs w:val="19"/>
                <w:lang w:val="en-GB"/>
              </w:rPr>
            </w:pPr>
            <w:r w:rsidRPr="005D3DD5">
              <w:rPr>
                <w:sz w:val="19"/>
                <w:szCs w:val="19"/>
                <w:lang w:val="en-GB"/>
              </w:rPr>
              <w:t>Regionally appropriate knowledge tools developed to support decision-making and planning</w:t>
            </w:r>
          </w:p>
        </w:tc>
      </w:tr>
      <w:tr w:rsidR="005D3DD5" w:rsidRPr="005D3DD5" w14:paraId="75CCB4BF" w14:textId="77777777" w:rsidTr="005D3DD5">
        <w:trPr>
          <w:trHeight w:val="827"/>
          <w:jc w:val="center"/>
        </w:trPr>
        <w:tc>
          <w:tcPr>
            <w:tcW w:w="1884" w:type="dxa"/>
            <w:vAlign w:val="center"/>
          </w:tcPr>
          <w:p w14:paraId="3797D9DF" w14:textId="77777777" w:rsidR="005D3DD5" w:rsidRPr="005D3DD5" w:rsidRDefault="005D3DD5" w:rsidP="005D3DD5">
            <w:pPr>
              <w:spacing w:before="40"/>
              <w:rPr>
                <w:bCs/>
                <w:sz w:val="19"/>
                <w:szCs w:val="19"/>
                <w:lang w:val="en-GB"/>
              </w:rPr>
            </w:pPr>
            <w:r w:rsidRPr="005D3DD5">
              <w:rPr>
                <w:bCs/>
                <w:sz w:val="19"/>
                <w:szCs w:val="19"/>
                <w:lang w:val="en-GB"/>
              </w:rPr>
              <w:t>3.4.3: Regional and national portals, GIS and meta-databses, repository of best practices, lessons learned and results accessible online via &lt;www.unepscs.org&gt;</w:t>
            </w:r>
          </w:p>
        </w:tc>
        <w:tc>
          <w:tcPr>
            <w:tcW w:w="1884" w:type="dxa"/>
            <w:vAlign w:val="center"/>
          </w:tcPr>
          <w:p w14:paraId="578E017F" w14:textId="77777777" w:rsidR="005D3DD5" w:rsidRPr="005D3DD5" w:rsidRDefault="005D3DD5" w:rsidP="005D3DD5">
            <w:pPr>
              <w:spacing w:before="40"/>
              <w:rPr>
                <w:bCs/>
                <w:sz w:val="19"/>
                <w:szCs w:val="19"/>
                <w:lang w:val="en-GB"/>
              </w:rPr>
            </w:pPr>
            <w:r w:rsidRPr="005D3DD5">
              <w:rPr>
                <w:bCs/>
                <w:sz w:val="19"/>
                <w:szCs w:val="19"/>
                <w:lang w:val="en-GB"/>
              </w:rPr>
              <w:t>Number of users, volume of content accessed, and online visibility of the SCS website and associated databases</w:t>
            </w:r>
          </w:p>
        </w:tc>
        <w:tc>
          <w:tcPr>
            <w:tcW w:w="1884" w:type="dxa"/>
            <w:vAlign w:val="center"/>
          </w:tcPr>
          <w:p w14:paraId="7DDC5BE5" w14:textId="77777777" w:rsidR="005D3DD5" w:rsidRPr="005D3DD5" w:rsidRDefault="005D3DD5" w:rsidP="005D3DD5">
            <w:pPr>
              <w:spacing w:before="40"/>
              <w:rPr>
                <w:sz w:val="19"/>
                <w:szCs w:val="19"/>
                <w:lang w:val="en-GB"/>
              </w:rPr>
            </w:pPr>
            <w:r w:rsidRPr="005D3DD5">
              <w:rPr>
                <w:sz w:val="19"/>
                <w:szCs w:val="19"/>
                <w:lang w:val="en-GB"/>
              </w:rPr>
              <w:t>Need for media platforms and targeted communications in support of efforts to harness support for inter-ministerial coordination and policy and planning elements of SAP implementation and revision</w:t>
            </w:r>
          </w:p>
        </w:tc>
        <w:tc>
          <w:tcPr>
            <w:tcW w:w="1884" w:type="dxa"/>
            <w:vAlign w:val="center"/>
          </w:tcPr>
          <w:p w14:paraId="09BE5C93" w14:textId="77777777" w:rsidR="005D3DD5" w:rsidRPr="005D3DD5" w:rsidRDefault="005D3DD5" w:rsidP="005D3DD5">
            <w:pPr>
              <w:rPr>
                <w:sz w:val="19"/>
                <w:szCs w:val="19"/>
                <w:lang w:val="en-GB"/>
              </w:rPr>
            </w:pPr>
            <w:r w:rsidRPr="005D3DD5">
              <w:rPr>
                <w:sz w:val="19"/>
                <w:szCs w:val="19"/>
                <w:lang w:val="en-GB"/>
              </w:rPr>
              <w:t>Same as end-of-project target</w:t>
            </w:r>
          </w:p>
        </w:tc>
        <w:tc>
          <w:tcPr>
            <w:tcW w:w="1884" w:type="dxa"/>
            <w:vAlign w:val="center"/>
          </w:tcPr>
          <w:p w14:paraId="66F23AF5" w14:textId="77777777" w:rsidR="005D3DD5" w:rsidRPr="005D3DD5" w:rsidRDefault="005D3DD5" w:rsidP="005D3DD5">
            <w:pPr>
              <w:spacing w:before="40"/>
              <w:rPr>
                <w:sz w:val="19"/>
                <w:szCs w:val="19"/>
                <w:lang w:val="en-GB"/>
              </w:rPr>
            </w:pPr>
            <w:r w:rsidRPr="005D3DD5">
              <w:rPr>
                <w:sz w:val="19"/>
                <w:szCs w:val="19"/>
                <w:lang w:val="en-GB"/>
              </w:rPr>
              <w:t>The SCS project web portal &lt;www.unepscs.org&gt; and associated regional databases online, updated and linked to IW-Learn and other GEF Knowledge management systems</w:t>
            </w:r>
          </w:p>
        </w:tc>
      </w:tr>
      <w:tr w:rsidR="005D3DD5" w:rsidRPr="005D3DD5" w14:paraId="1A598B7F" w14:textId="77777777" w:rsidTr="005D3DD5">
        <w:trPr>
          <w:trHeight w:val="827"/>
          <w:jc w:val="center"/>
        </w:trPr>
        <w:tc>
          <w:tcPr>
            <w:tcW w:w="1884" w:type="dxa"/>
            <w:vAlign w:val="center"/>
          </w:tcPr>
          <w:p w14:paraId="493F0B3B" w14:textId="77777777" w:rsidR="005D3DD5" w:rsidRPr="005D3DD5" w:rsidRDefault="005D3DD5" w:rsidP="005D3DD5">
            <w:pPr>
              <w:spacing w:before="40"/>
              <w:rPr>
                <w:bCs/>
                <w:sz w:val="19"/>
                <w:szCs w:val="19"/>
                <w:lang w:val="en-GB"/>
              </w:rPr>
            </w:pPr>
            <w:r w:rsidRPr="005D3DD5">
              <w:rPr>
                <w:bCs/>
                <w:sz w:val="19"/>
                <w:szCs w:val="19"/>
                <w:lang w:val="en-GB"/>
              </w:rPr>
              <w:t>3.4.4: Published GEF IW experience notes [three]</w:t>
            </w:r>
          </w:p>
        </w:tc>
        <w:tc>
          <w:tcPr>
            <w:tcW w:w="1884" w:type="dxa"/>
            <w:vAlign w:val="center"/>
          </w:tcPr>
          <w:p w14:paraId="129EBC6A" w14:textId="77777777" w:rsidR="005D3DD5" w:rsidRPr="005D3DD5" w:rsidRDefault="005D3DD5" w:rsidP="005D3DD5">
            <w:pPr>
              <w:spacing w:before="40"/>
              <w:rPr>
                <w:bCs/>
                <w:sz w:val="19"/>
                <w:szCs w:val="19"/>
                <w:lang w:val="en-GB"/>
              </w:rPr>
            </w:pPr>
            <w:r w:rsidRPr="005D3DD5">
              <w:rPr>
                <w:bCs/>
                <w:sz w:val="19"/>
                <w:szCs w:val="19"/>
                <w:lang w:val="en-GB"/>
              </w:rPr>
              <w:t>Number of IW:LEARN experience notes published</w:t>
            </w:r>
          </w:p>
        </w:tc>
        <w:tc>
          <w:tcPr>
            <w:tcW w:w="1884" w:type="dxa"/>
            <w:vAlign w:val="center"/>
          </w:tcPr>
          <w:p w14:paraId="6EAEEA26" w14:textId="77777777" w:rsidR="005D3DD5" w:rsidRPr="005D3DD5" w:rsidRDefault="005D3DD5" w:rsidP="005D3DD5">
            <w:pPr>
              <w:spacing w:before="40"/>
              <w:rPr>
                <w:sz w:val="19"/>
                <w:szCs w:val="19"/>
                <w:lang w:val="en-GB"/>
              </w:rPr>
            </w:pPr>
            <w:r w:rsidRPr="005D3DD5">
              <w:rPr>
                <w:sz w:val="19"/>
                <w:szCs w:val="19"/>
                <w:lang w:val="en-GB"/>
              </w:rPr>
              <w:t>Limited regional and global sharing of information on best practices and lessons learned from investments in the SCS despite for example publication of a complete Special Issue of an academic journal on the progress to date</w:t>
            </w:r>
          </w:p>
        </w:tc>
        <w:tc>
          <w:tcPr>
            <w:tcW w:w="1884" w:type="dxa"/>
            <w:vAlign w:val="center"/>
          </w:tcPr>
          <w:p w14:paraId="4759A41F" w14:textId="77777777" w:rsidR="005D3DD5" w:rsidRPr="005D3DD5" w:rsidRDefault="005D3DD5" w:rsidP="005D3DD5">
            <w:pPr>
              <w:rPr>
                <w:sz w:val="19"/>
                <w:szCs w:val="19"/>
                <w:lang w:val="en-GB"/>
              </w:rPr>
            </w:pPr>
            <w:r w:rsidRPr="005D3DD5">
              <w:rPr>
                <w:sz w:val="19"/>
                <w:szCs w:val="19"/>
                <w:lang w:val="en-GB"/>
              </w:rPr>
              <w:t>Scope and required content of experience notes agreed by RSTC</w:t>
            </w:r>
          </w:p>
        </w:tc>
        <w:tc>
          <w:tcPr>
            <w:tcW w:w="1884" w:type="dxa"/>
            <w:vAlign w:val="center"/>
          </w:tcPr>
          <w:p w14:paraId="54FA1DE4" w14:textId="77777777" w:rsidR="005D3DD5" w:rsidRPr="005D3DD5" w:rsidRDefault="005D3DD5" w:rsidP="005D3DD5">
            <w:pPr>
              <w:spacing w:before="40"/>
              <w:rPr>
                <w:sz w:val="19"/>
                <w:szCs w:val="19"/>
                <w:lang w:val="en-GB"/>
              </w:rPr>
            </w:pPr>
            <w:r w:rsidRPr="005D3DD5">
              <w:rPr>
                <w:sz w:val="19"/>
                <w:szCs w:val="19"/>
                <w:lang w:val="en-GB"/>
              </w:rPr>
              <w:t>Active engagement with  GEF IW:LEARN [1% of project resources] including participation in IW conferences and 3 experience notes</w:t>
            </w:r>
          </w:p>
        </w:tc>
      </w:tr>
      <w:tr w:rsidR="005D3DD5" w:rsidRPr="005D3DD5" w14:paraId="2F57084F" w14:textId="77777777" w:rsidTr="005D3DD5">
        <w:trPr>
          <w:trHeight w:val="503"/>
          <w:jc w:val="center"/>
        </w:trPr>
        <w:tc>
          <w:tcPr>
            <w:tcW w:w="9420" w:type="dxa"/>
            <w:gridSpan w:val="5"/>
            <w:shd w:val="clear" w:color="auto" w:fill="F2F2F2"/>
            <w:vAlign w:val="center"/>
          </w:tcPr>
          <w:p w14:paraId="78494E8A" w14:textId="77777777" w:rsidR="005D3DD5" w:rsidRPr="005D3DD5" w:rsidRDefault="005D3DD5" w:rsidP="005D3DD5">
            <w:pPr>
              <w:spacing w:before="40"/>
              <w:jc w:val="center"/>
              <w:rPr>
                <w:b/>
                <w:sz w:val="19"/>
                <w:szCs w:val="19"/>
                <w:lang w:val="en-GB"/>
              </w:rPr>
            </w:pPr>
            <w:r w:rsidRPr="005D3DD5">
              <w:rPr>
                <w:b/>
                <w:sz w:val="19"/>
                <w:szCs w:val="19"/>
                <w:lang w:val="en-GB"/>
              </w:rPr>
              <w:t>3.5 Agreed arrangements for strengthened regional cooperation in the management of the marine and coastal environment of the South China Sea</w:t>
            </w:r>
          </w:p>
        </w:tc>
      </w:tr>
      <w:tr w:rsidR="005D3DD5" w:rsidRPr="005D3DD5" w14:paraId="1D2F792B" w14:textId="77777777" w:rsidTr="005D3DD5">
        <w:trPr>
          <w:trHeight w:val="1080"/>
          <w:jc w:val="center"/>
        </w:trPr>
        <w:tc>
          <w:tcPr>
            <w:tcW w:w="1884" w:type="dxa"/>
            <w:vAlign w:val="center"/>
          </w:tcPr>
          <w:p w14:paraId="38E6820F" w14:textId="77777777" w:rsidR="005D3DD5" w:rsidRPr="005D3DD5" w:rsidRDefault="005D3DD5" w:rsidP="005D3DD5">
            <w:pPr>
              <w:spacing w:before="40"/>
              <w:rPr>
                <w:bCs/>
                <w:sz w:val="19"/>
                <w:szCs w:val="19"/>
                <w:lang w:val="en-GB"/>
              </w:rPr>
            </w:pPr>
            <w:r w:rsidRPr="005D3DD5">
              <w:rPr>
                <w:bCs/>
                <w:sz w:val="19"/>
                <w:szCs w:val="19"/>
                <w:lang w:val="en-GB"/>
              </w:rPr>
              <w:t>3.5.1: Reports of the meetings of the Regional Task Force on Legal Matters</w:t>
            </w:r>
          </w:p>
        </w:tc>
        <w:tc>
          <w:tcPr>
            <w:tcW w:w="1884" w:type="dxa"/>
            <w:vAlign w:val="center"/>
          </w:tcPr>
          <w:p w14:paraId="7E185E99" w14:textId="77777777" w:rsidR="005D3DD5" w:rsidRPr="005D3DD5" w:rsidRDefault="005D3DD5" w:rsidP="005D3DD5">
            <w:pPr>
              <w:spacing w:before="40"/>
              <w:rPr>
                <w:bCs/>
                <w:sz w:val="19"/>
                <w:szCs w:val="19"/>
                <w:lang w:val="en-GB"/>
              </w:rPr>
            </w:pPr>
            <w:r w:rsidRPr="005D3DD5">
              <w:rPr>
                <w:bCs/>
                <w:sz w:val="19"/>
                <w:szCs w:val="19"/>
                <w:lang w:val="en-GB"/>
              </w:rPr>
              <w:t>Number of Regional Task Force meetings</w:t>
            </w:r>
          </w:p>
          <w:p w14:paraId="07F21C08" w14:textId="77777777" w:rsidR="005D3DD5" w:rsidRPr="005D3DD5" w:rsidRDefault="005D3DD5" w:rsidP="005D3DD5">
            <w:pPr>
              <w:spacing w:before="40"/>
              <w:rPr>
                <w:bCs/>
                <w:sz w:val="19"/>
                <w:szCs w:val="19"/>
                <w:lang w:val="en-GB"/>
              </w:rPr>
            </w:pPr>
          </w:p>
          <w:p w14:paraId="6E2A098A" w14:textId="77777777" w:rsidR="005D3DD5" w:rsidRPr="005D3DD5" w:rsidRDefault="005D3DD5" w:rsidP="005D3DD5">
            <w:pPr>
              <w:spacing w:before="40"/>
              <w:rPr>
                <w:bCs/>
                <w:sz w:val="19"/>
                <w:szCs w:val="19"/>
                <w:lang w:val="en-GB"/>
              </w:rPr>
            </w:pPr>
            <w:r w:rsidRPr="005D3DD5">
              <w:rPr>
                <w:bCs/>
                <w:sz w:val="19"/>
                <w:szCs w:val="19"/>
                <w:lang w:val="en-GB"/>
              </w:rPr>
              <w:t>Continuity of participation of nationally nominated members</w:t>
            </w:r>
          </w:p>
        </w:tc>
        <w:tc>
          <w:tcPr>
            <w:tcW w:w="1884" w:type="dxa"/>
            <w:vAlign w:val="center"/>
          </w:tcPr>
          <w:p w14:paraId="5DBCDA88" w14:textId="77777777" w:rsidR="005D3DD5" w:rsidRPr="005D3DD5" w:rsidRDefault="005D3DD5" w:rsidP="005D3DD5">
            <w:pPr>
              <w:spacing w:before="40"/>
              <w:rPr>
                <w:sz w:val="19"/>
                <w:szCs w:val="19"/>
                <w:lang w:val="en-GB"/>
              </w:rPr>
            </w:pPr>
            <w:r w:rsidRPr="005D3DD5">
              <w:rPr>
                <w:sz w:val="19"/>
                <w:szCs w:val="19"/>
                <w:lang w:val="en-GB"/>
              </w:rPr>
              <w:t>Regional Task Force on Legal Matters established through SCS project but presently not functioning</w:t>
            </w:r>
          </w:p>
        </w:tc>
        <w:tc>
          <w:tcPr>
            <w:tcW w:w="1884" w:type="dxa"/>
            <w:vAlign w:val="center"/>
          </w:tcPr>
          <w:p w14:paraId="311886B9" w14:textId="77777777" w:rsidR="005D3DD5" w:rsidRPr="005D3DD5" w:rsidRDefault="005D3DD5" w:rsidP="005D3DD5">
            <w:pPr>
              <w:rPr>
                <w:sz w:val="19"/>
                <w:szCs w:val="19"/>
                <w:lang w:val="en-GB"/>
              </w:rPr>
            </w:pPr>
            <w:r w:rsidRPr="005D3DD5">
              <w:rPr>
                <w:sz w:val="19"/>
                <w:szCs w:val="19"/>
                <w:lang w:val="en-GB"/>
              </w:rPr>
              <w:t>Three (3) meetings of the Regional Task Force on Legal Matters</w:t>
            </w:r>
          </w:p>
        </w:tc>
        <w:tc>
          <w:tcPr>
            <w:tcW w:w="1884" w:type="dxa"/>
            <w:vAlign w:val="center"/>
          </w:tcPr>
          <w:p w14:paraId="14F52F97" w14:textId="77777777" w:rsidR="005D3DD5" w:rsidRPr="005D3DD5" w:rsidRDefault="005D3DD5" w:rsidP="005D3DD5">
            <w:pPr>
              <w:spacing w:before="40"/>
              <w:rPr>
                <w:sz w:val="19"/>
                <w:szCs w:val="19"/>
                <w:lang w:val="en-GB"/>
              </w:rPr>
            </w:pPr>
            <w:r w:rsidRPr="005D3DD5">
              <w:rPr>
                <w:sz w:val="19"/>
                <w:szCs w:val="19"/>
                <w:lang w:val="en-GB"/>
              </w:rPr>
              <w:t>Biannual meetings of the Regional Task Force on Legal Matters</w:t>
            </w:r>
          </w:p>
        </w:tc>
      </w:tr>
      <w:tr w:rsidR="005D3DD5" w:rsidRPr="005D3DD5" w14:paraId="25F51CC4" w14:textId="77777777" w:rsidTr="005D3DD5">
        <w:trPr>
          <w:trHeight w:val="287"/>
          <w:jc w:val="center"/>
        </w:trPr>
        <w:tc>
          <w:tcPr>
            <w:tcW w:w="1884" w:type="dxa"/>
            <w:vAlign w:val="center"/>
          </w:tcPr>
          <w:p w14:paraId="41481AC5" w14:textId="77777777" w:rsidR="005D3DD5" w:rsidRPr="005D3DD5" w:rsidRDefault="005D3DD5" w:rsidP="005D3DD5">
            <w:pPr>
              <w:spacing w:before="40"/>
              <w:rPr>
                <w:bCs/>
                <w:sz w:val="19"/>
                <w:szCs w:val="19"/>
                <w:lang w:val="en-GB"/>
              </w:rPr>
            </w:pPr>
            <w:r w:rsidRPr="005D3DD5">
              <w:rPr>
                <w:bCs/>
                <w:sz w:val="19"/>
                <w:szCs w:val="19"/>
                <w:lang w:val="en-GB"/>
              </w:rPr>
              <w:t>3.5.2:</w:t>
            </w:r>
            <w:r w:rsidRPr="005D3DD5">
              <w:t xml:space="preserve"> </w:t>
            </w:r>
            <w:r w:rsidRPr="005D3DD5">
              <w:rPr>
                <w:bCs/>
                <w:sz w:val="19"/>
                <w:szCs w:val="19"/>
                <w:lang w:val="en-GB"/>
              </w:rPr>
              <w:t>Reports of the meetings of National Working Groups</w:t>
            </w:r>
          </w:p>
        </w:tc>
        <w:tc>
          <w:tcPr>
            <w:tcW w:w="1884" w:type="dxa"/>
            <w:vAlign w:val="center"/>
          </w:tcPr>
          <w:p w14:paraId="0637E198" w14:textId="77777777" w:rsidR="005D3DD5" w:rsidRPr="005D3DD5" w:rsidRDefault="005D3DD5" w:rsidP="005D3DD5">
            <w:pPr>
              <w:spacing w:before="40"/>
              <w:rPr>
                <w:bCs/>
                <w:sz w:val="19"/>
                <w:szCs w:val="19"/>
                <w:lang w:val="en-GB"/>
              </w:rPr>
            </w:pPr>
            <w:r w:rsidRPr="005D3DD5">
              <w:rPr>
                <w:bCs/>
                <w:sz w:val="19"/>
                <w:szCs w:val="19"/>
                <w:lang w:val="en-GB"/>
              </w:rPr>
              <w:t>Number of National Working Group meetings</w:t>
            </w:r>
          </w:p>
          <w:p w14:paraId="28D63885" w14:textId="77777777" w:rsidR="005D3DD5" w:rsidRPr="005D3DD5" w:rsidRDefault="005D3DD5" w:rsidP="005D3DD5">
            <w:pPr>
              <w:spacing w:before="40"/>
              <w:rPr>
                <w:bCs/>
                <w:sz w:val="19"/>
                <w:szCs w:val="19"/>
                <w:lang w:val="en-GB"/>
              </w:rPr>
            </w:pPr>
          </w:p>
          <w:p w14:paraId="3D4317EA" w14:textId="77777777" w:rsidR="005D3DD5" w:rsidRPr="005D3DD5" w:rsidRDefault="005D3DD5" w:rsidP="005D3DD5">
            <w:pPr>
              <w:spacing w:before="40"/>
              <w:rPr>
                <w:bCs/>
                <w:sz w:val="19"/>
                <w:szCs w:val="19"/>
                <w:lang w:val="en-GB"/>
              </w:rPr>
            </w:pPr>
            <w:r w:rsidRPr="005D3DD5">
              <w:rPr>
                <w:bCs/>
                <w:sz w:val="19"/>
                <w:szCs w:val="19"/>
                <w:lang w:val="en-GB"/>
              </w:rPr>
              <w:t>Continuity of participation of nationally nominated members</w:t>
            </w:r>
          </w:p>
        </w:tc>
        <w:tc>
          <w:tcPr>
            <w:tcW w:w="1884" w:type="dxa"/>
            <w:vAlign w:val="center"/>
          </w:tcPr>
          <w:p w14:paraId="51F93E6E" w14:textId="77777777" w:rsidR="005D3DD5" w:rsidRPr="005D3DD5" w:rsidRDefault="005D3DD5" w:rsidP="005D3DD5">
            <w:pPr>
              <w:spacing w:before="40"/>
              <w:rPr>
                <w:sz w:val="19"/>
                <w:szCs w:val="19"/>
                <w:lang w:val="en-GB"/>
              </w:rPr>
            </w:pPr>
            <w:r w:rsidRPr="005D3DD5">
              <w:rPr>
                <w:sz w:val="19"/>
                <w:szCs w:val="19"/>
                <w:lang w:val="en-GB"/>
              </w:rPr>
              <w:t>National Working Groups established through SCS project but presently not functioning</w:t>
            </w:r>
          </w:p>
        </w:tc>
        <w:tc>
          <w:tcPr>
            <w:tcW w:w="1884" w:type="dxa"/>
            <w:vAlign w:val="center"/>
          </w:tcPr>
          <w:p w14:paraId="61DCD44E" w14:textId="77777777" w:rsidR="005D3DD5" w:rsidRPr="005D3DD5" w:rsidRDefault="005D3DD5" w:rsidP="005D3DD5">
            <w:pPr>
              <w:rPr>
                <w:sz w:val="19"/>
                <w:szCs w:val="19"/>
                <w:lang w:val="en-GB"/>
              </w:rPr>
            </w:pPr>
            <w:r w:rsidRPr="005D3DD5">
              <w:rPr>
                <w:sz w:val="19"/>
                <w:szCs w:val="19"/>
                <w:lang w:val="en-GB"/>
              </w:rPr>
              <w:t>Same as end-of-project target</w:t>
            </w:r>
          </w:p>
        </w:tc>
        <w:tc>
          <w:tcPr>
            <w:tcW w:w="1884" w:type="dxa"/>
            <w:vAlign w:val="center"/>
          </w:tcPr>
          <w:p w14:paraId="6FC9A613" w14:textId="77777777" w:rsidR="005D3DD5" w:rsidRPr="005D3DD5" w:rsidRDefault="005D3DD5" w:rsidP="005D3DD5">
            <w:pPr>
              <w:spacing w:before="40"/>
              <w:rPr>
                <w:sz w:val="19"/>
                <w:szCs w:val="19"/>
                <w:lang w:val="en-GB"/>
              </w:rPr>
            </w:pPr>
            <w:r w:rsidRPr="005D3DD5">
              <w:rPr>
                <w:sz w:val="19"/>
                <w:szCs w:val="19"/>
                <w:lang w:val="en-GB"/>
              </w:rPr>
              <w:t>National Working Groups on established and functional</w:t>
            </w:r>
          </w:p>
        </w:tc>
      </w:tr>
      <w:tr w:rsidR="005D3DD5" w:rsidRPr="005D3DD5" w14:paraId="54C77779" w14:textId="77777777" w:rsidTr="005D3DD5">
        <w:trPr>
          <w:trHeight w:val="1080"/>
          <w:jc w:val="center"/>
        </w:trPr>
        <w:tc>
          <w:tcPr>
            <w:tcW w:w="1884" w:type="dxa"/>
            <w:vAlign w:val="center"/>
          </w:tcPr>
          <w:p w14:paraId="475D5A67" w14:textId="77777777" w:rsidR="005D3DD5" w:rsidRPr="005D3DD5" w:rsidRDefault="005D3DD5" w:rsidP="005D3DD5">
            <w:pPr>
              <w:spacing w:before="40"/>
              <w:rPr>
                <w:bCs/>
                <w:sz w:val="19"/>
                <w:szCs w:val="19"/>
                <w:lang w:val="en-GB"/>
              </w:rPr>
            </w:pPr>
            <w:r w:rsidRPr="005D3DD5">
              <w:rPr>
                <w:bCs/>
                <w:sz w:val="19"/>
                <w:szCs w:val="19"/>
                <w:lang w:val="en-GB"/>
              </w:rPr>
              <w:t>3.5.3: Report outlining agreed process</w:t>
            </w:r>
          </w:p>
        </w:tc>
        <w:tc>
          <w:tcPr>
            <w:tcW w:w="1884" w:type="dxa"/>
            <w:vAlign w:val="center"/>
          </w:tcPr>
          <w:p w14:paraId="6361FB08" w14:textId="77777777" w:rsidR="005D3DD5" w:rsidRPr="005D3DD5" w:rsidRDefault="005D3DD5" w:rsidP="005D3DD5">
            <w:pPr>
              <w:spacing w:before="40"/>
              <w:rPr>
                <w:bCs/>
                <w:sz w:val="19"/>
                <w:szCs w:val="19"/>
                <w:lang w:val="en-GB"/>
              </w:rPr>
            </w:pPr>
            <w:r w:rsidRPr="005D3DD5">
              <w:rPr>
                <w:bCs/>
                <w:sz w:val="19"/>
                <w:szCs w:val="19"/>
                <w:lang w:val="en-GB"/>
              </w:rPr>
              <w:t>Status of agreement on identified process</w:t>
            </w:r>
          </w:p>
        </w:tc>
        <w:tc>
          <w:tcPr>
            <w:tcW w:w="1884" w:type="dxa"/>
            <w:vAlign w:val="center"/>
          </w:tcPr>
          <w:p w14:paraId="40E84509" w14:textId="77777777" w:rsidR="005D3DD5" w:rsidRPr="005D3DD5" w:rsidRDefault="005D3DD5" w:rsidP="005D3DD5">
            <w:pPr>
              <w:spacing w:before="40"/>
              <w:rPr>
                <w:sz w:val="19"/>
                <w:szCs w:val="19"/>
                <w:lang w:val="en-GB"/>
              </w:rPr>
            </w:pPr>
            <w:r w:rsidRPr="005D3DD5">
              <w:rPr>
                <w:sz w:val="19"/>
                <w:szCs w:val="19"/>
                <w:lang w:val="en-GB"/>
              </w:rPr>
              <w:t>Framework process developed but requires national and regional consultation</w:t>
            </w:r>
          </w:p>
        </w:tc>
        <w:tc>
          <w:tcPr>
            <w:tcW w:w="1884" w:type="dxa"/>
            <w:vAlign w:val="center"/>
          </w:tcPr>
          <w:p w14:paraId="29AD5006" w14:textId="77777777" w:rsidR="005D3DD5" w:rsidRPr="005D3DD5" w:rsidRDefault="005D3DD5" w:rsidP="005D3DD5">
            <w:pPr>
              <w:rPr>
                <w:sz w:val="19"/>
                <w:szCs w:val="19"/>
                <w:lang w:val="en-GB"/>
              </w:rPr>
            </w:pPr>
            <w:r w:rsidRPr="005D3DD5">
              <w:rPr>
                <w:sz w:val="19"/>
                <w:szCs w:val="19"/>
                <w:lang w:val="en-GB"/>
              </w:rPr>
              <w:t>Consultations initiated to agree process</w:t>
            </w:r>
          </w:p>
        </w:tc>
        <w:tc>
          <w:tcPr>
            <w:tcW w:w="1884" w:type="dxa"/>
            <w:vAlign w:val="center"/>
          </w:tcPr>
          <w:p w14:paraId="78E3C347" w14:textId="77777777" w:rsidR="005D3DD5" w:rsidRPr="005D3DD5" w:rsidRDefault="005D3DD5" w:rsidP="005D3DD5">
            <w:pPr>
              <w:spacing w:before="40"/>
              <w:rPr>
                <w:sz w:val="19"/>
                <w:szCs w:val="19"/>
                <w:lang w:val="en-GB"/>
              </w:rPr>
            </w:pPr>
            <w:r w:rsidRPr="005D3DD5">
              <w:rPr>
                <w:sz w:val="19"/>
                <w:szCs w:val="19"/>
                <w:lang w:val="en-GB"/>
              </w:rPr>
              <w:t>Process for development of a proposed arrangement for regional cooperation defined and planned</w:t>
            </w:r>
          </w:p>
        </w:tc>
      </w:tr>
      <w:tr w:rsidR="005D3DD5" w:rsidRPr="005D3DD5" w14:paraId="4759F052" w14:textId="77777777" w:rsidTr="005D3DD5">
        <w:trPr>
          <w:trHeight w:val="1080"/>
          <w:jc w:val="center"/>
        </w:trPr>
        <w:tc>
          <w:tcPr>
            <w:tcW w:w="1884" w:type="dxa"/>
            <w:vAlign w:val="center"/>
          </w:tcPr>
          <w:p w14:paraId="033F4064" w14:textId="77777777" w:rsidR="005D3DD5" w:rsidRPr="005D3DD5" w:rsidRDefault="005D3DD5" w:rsidP="005D3DD5">
            <w:pPr>
              <w:spacing w:before="40"/>
              <w:rPr>
                <w:bCs/>
                <w:sz w:val="19"/>
                <w:szCs w:val="19"/>
                <w:lang w:val="en-GB"/>
              </w:rPr>
            </w:pPr>
            <w:r w:rsidRPr="005D3DD5">
              <w:rPr>
                <w:bCs/>
                <w:sz w:val="19"/>
                <w:szCs w:val="19"/>
                <w:lang w:val="en-GB"/>
              </w:rPr>
              <w:t>3.5.4: Reports of national stakeholder consultation process</w:t>
            </w:r>
          </w:p>
        </w:tc>
        <w:tc>
          <w:tcPr>
            <w:tcW w:w="1884" w:type="dxa"/>
            <w:vAlign w:val="center"/>
          </w:tcPr>
          <w:p w14:paraId="2C95F13B" w14:textId="77777777" w:rsidR="005D3DD5" w:rsidRPr="005D3DD5" w:rsidRDefault="005D3DD5" w:rsidP="005D3DD5">
            <w:pPr>
              <w:spacing w:before="40"/>
              <w:rPr>
                <w:bCs/>
                <w:sz w:val="19"/>
                <w:szCs w:val="19"/>
                <w:lang w:val="en-GB"/>
              </w:rPr>
            </w:pPr>
            <w:r w:rsidRPr="005D3DD5">
              <w:rPr>
                <w:bCs/>
                <w:sz w:val="19"/>
                <w:szCs w:val="19"/>
                <w:lang w:val="en-GB"/>
              </w:rPr>
              <w:t>Extent of national stakeholder input to drafting phase of instrument for cooperation</w:t>
            </w:r>
          </w:p>
        </w:tc>
        <w:tc>
          <w:tcPr>
            <w:tcW w:w="1884" w:type="dxa"/>
            <w:vAlign w:val="center"/>
          </w:tcPr>
          <w:p w14:paraId="0F54210E" w14:textId="77777777" w:rsidR="005D3DD5" w:rsidRPr="005D3DD5" w:rsidRDefault="005D3DD5" w:rsidP="005D3DD5">
            <w:pPr>
              <w:spacing w:before="40"/>
              <w:rPr>
                <w:sz w:val="19"/>
                <w:szCs w:val="19"/>
                <w:lang w:val="en-GB"/>
              </w:rPr>
            </w:pPr>
            <w:r w:rsidRPr="005D3DD5">
              <w:rPr>
                <w:sz w:val="19"/>
                <w:szCs w:val="19"/>
                <w:lang w:val="en-GB"/>
              </w:rPr>
              <w:t>SAP formulation benefited from an emphasis on consensual planning and decision making</w:t>
            </w:r>
          </w:p>
        </w:tc>
        <w:tc>
          <w:tcPr>
            <w:tcW w:w="1884" w:type="dxa"/>
            <w:vAlign w:val="center"/>
          </w:tcPr>
          <w:p w14:paraId="2984DE8B" w14:textId="77777777" w:rsidR="005D3DD5" w:rsidRPr="005D3DD5" w:rsidRDefault="005D3DD5" w:rsidP="005D3DD5">
            <w:pPr>
              <w:rPr>
                <w:sz w:val="19"/>
                <w:szCs w:val="19"/>
                <w:lang w:val="en-GB"/>
              </w:rPr>
            </w:pPr>
            <w:r w:rsidRPr="005D3DD5">
              <w:rPr>
                <w:sz w:val="19"/>
                <w:szCs w:val="19"/>
                <w:lang w:val="en-GB"/>
              </w:rPr>
              <w:t xml:space="preserve">Stakeholder consultations initiated </w:t>
            </w:r>
          </w:p>
        </w:tc>
        <w:tc>
          <w:tcPr>
            <w:tcW w:w="1884" w:type="dxa"/>
            <w:vAlign w:val="center"/>
          </w:tcPr>
          <w:p w14:paraId="695A46C5" w14:textId="77777777" w:rsidR="005D3DD5" w:rsidRPr="005D3DD5" w:rsidRDefault="005D3DD5" w:rsidP="005D3DD5">
            <w:pPr>
              <w:spacing w:before="40"/>
              <w:rPr>
                <w:sz w:val="19"/>
                <w:szCs w:val="19"/>
                <w:lang w:val="en-GB"/>
              </w:rPr>
            </w:pPr>
            <w:r w:rsidRPr="005D3DD5">
              <w:rPr>
                <w:sz w:val="19"/>
                <w:szCs w:val="19"/>
                <w:lang w:val="en-GB"/>
              </w:rPr>
              <w:t>National stakeholder inputs to drafting of instrument for strengthened regional cooperation facilitated via national consultations</w:t>
            </w:r>
          </w:p>
        </w:tc>
      </w:tr>
      <w:tr w:rsidR="005D3DD5" w:rsidRPr="005D3DD5" w14:paraId="3D4A5F61" w14:textId="77777777" w:rsidTr="005D3DD5">
        <w:trPr>
          <w:trHeight w:val="1080"/>
          <w:jc w:val="center"/>
        </w:trPr>
        <w:tc>
          <w:tcPr>
            <w:tcW w:w="1884" w:type="dxa"/>
            <w:vAlign w:val="center"/>
          </w:tcPr>
          <w:p w14:paraId="60656430" w14:textId="77777777" w:rsidR="005D3DD5" w:rsidRPr="005D3DD5" w:rsidRDefault="005D3DD5" w:rsidP="005D3DD5">
            <w:pPr>
              <w:spacing w:before="40"/>
              <w:rPr>
                <w:bCs/>
                <w:sz w:val="19"/>
                <w:szCs w:val="19"/>
                <w:lang w:val="en-GB"/>
              </w:rPr>
            </w:pPr>
            <w:r w:rsidRPr="005D3DD5">
              <w:rPr>
                <w:bCs/>
                <w:sz w:val="19"/>
                <w:szCs w:val="19"/>
                <w:lang w:val="en-GB"/>
              </w:rPr>
              <w:t>3.5.5: Adopted instrument</w:t>
            </w:r>
          </w:p>
        </w:tc>
        <w:tc>
          <w:tcPr>
            <w:tcW w:w="1884" w:type="dxa"/>
            <w:vAlign w:val="center"/>
          </w:tcPr>
          <w:p w14:paraId="2CC15C95" w14:textId="77777777" w:rsidR="005D3DD5" w:rsidRPr="005D3DD5" w:rsidRDefault="005D3DD5" w:rsidP="005D3DD5">
            <w:pPr>
              <w:spacing w:before="40"/>
              <w:rPr>
                <w:bCs/>
                <w:sz w:val="19"/>
                <w:szCs w:val="19"/>
                <w:lang w:val="en-GB"/>
              </w:rPr>
            </w:pPr>
            <w:r w:rsidRPr="005D3DD5">
              <w:rPr>
                <w:bCs/>
                <w:sz w:val="19"/>
                <w:szCs w:val="19"/>
                <w:lang w:val="en-GB"/>
              </w:rPr>
              <w:t>Status of adoption of the instrument</w:t>
            </w:r>
          </w:p>
        </w:tc>
        <w:tc>
          <w:tcPr>
            <w:tcW w:w="1884" w:type="dxa"/>
            <w:vAlign w:val="center"/>
          </w:tcPr>
          <w:p w14:paraId="11097D20" w14:textId="77777777" w:rsidR="005D3DD5" w:rsidRPr="005D3DD5" w:rsidRDefault="005D3DD5" w:rsidP="005D3DD5">
            <w:pPr>
              <w:spacing w:before="40"/>
              <w:rPr>
                <w:sz w:val="19"/>
                <w:szCs w:val="19"/>
                <w:lang w:val="en-GB"/>
              </w:rPr>
            </w:pPr>
            <w:r w:rsidRPr="005D3DD5">
              <w:rPr>
                <w:sz w:val="19"/>
                <w:szCs w:val="19"/>
                <w:lang w:val="en-GB"/>
              </w:rPr>
              <w:t>Participating countries agreed in the SAP, and in endorsing the PIF for this project, to explore the development of an instrument for strengthened regional cooperation</w:t>
            </w:r>
          </w:p>
        </w:tc>
        <w:tc>
          <w:tcPr>
            <w:tcW w:w="1884" w:type="dxa"/>
            <w:vAlign w:val="center"/>
          </w:tcPr>
          <w:p w14:paraId="3411E28F" w14:textId="77777777" w:rsidR="005D3DD5" w:rsidRPr="005D3DD5" w:rsidRDefault="005D3DD5" w:rsidP="005D3DD5">
            <w:pPr>
              <w:rPr>
                <w:sz w:val="19"/>
                <w:szCs w:val="19"/>
                <w:lang w:val="en-GB"/>
              </w:rPr>
            </w:pPr>
            <w:r w:rsidRPr="005D3DD5">
              <w:rPr>
                <w:sz w:val="19"/>
                <w:szCs w:val="19"/>
                <w:lang w:val="en-GB"/>
              </w:rPr>
              <w:t>National consultation processes initiated</w:t>
            </w:r>
          </w:p>
        </w:tc>
        <w:tc>
          <w:tcPr>
            <w:tcW w:w="1884" w:type="dxa"/>
            <w:vAlign w:val="center"/>
          </w:tcPr>
          <w:p w14:paraId="2D2D48B0" w14:textId="77777777" w:rsidR="005D3DD5" w:rsidRPr="005D3DD5" w:rsidRDefault="005D3DD5" w:rsidP="005D3DD5">
            <w:pPr>
              <w:spacing w:before="40"/>
              <w:rPr>
                <w:sz w:val="19"/>
                <w:szCs w:val="19"/>
                <w:lang w:val="en-GB"/>
              </w:rPr>
            </w:pPr>
            <w:r w:rsidRPr="005D3DD5">
              <w:rPr>
                <w:sz w:val="19"/>
                <w:szCs w:val="19"/>
                <w:lang w:val="en-GB"/>
              </w:rPr>
              <w:t>Adopted instrument for strengthened regional cooperation</w:t>
            </w:r>
          </w:p>
        </w:tc>
      </w:tr>
    </w:tbl>
    <w:p w14:paraId="6939E51A" w14:textId="77777777" w:rsidR="005D3DD5" w:rsidRPr="005D3DD5" w:rsidRDefault="005D3DD5">
      <w:pPr>
        <w:spacing w:after="120"/>
        <w:outlineLvl w:val="1"/>
        <w:rPr>
          <w:sz w:val="22"/>
          <w:szCs w:val="22"/>
          <w:lang w:val="en-GB"/>
        </w:rPr>
        <w:sectPr w:rsidR="005D3DD5" w:rsidRPr="005D3DD5" w:rsidSect="00064925">
          <w:pgSz w:w="12240" w:h="15840" w:code="1"/>
          <w:pgMar w:top="1440" w:right="1584" w:bottom="1440" w:left="1584" w:header="706" w:footer="706" w:gutter="0"/>
          <w:cols w:space="708"/>
          <w:docGrid w:linePitch="360"/>
        </w:sectPr>
      </w:pPr>
    </w:p>
    <w:p w14:paraId="6D17009E" w14:textId="77777777" w:rsidR="005D3DD5" w:rsidRDefault="005D3DD5">
      <w:pPr>
        <w:spacing w:after="120"/>
        <w:outlineLvl w:val="1"/>
        <w:rPr>
          <w:b/>
          <w:sz w:val="22"/>
          <w:szCs w:val="22"/>
          <w:lang w:val="en-GB"/>
        </w:rPr>
      </w:pPr>
    </w:p>
    <w:p w14:paraId="267F9600" w14:textId="77777777" w:rsidR="00F07F81" w:rsidRDefault="00F07F81">
      <w:pPr>
        <w:spacing w:after="120"/>
        <w:outlineLvl w:val="1"/>
        <w:rPr>
          <w:b/>
          <w:sz w:val="22"/>
          <w:szCs w:val="22"/>
          <w:lang w:val="en-GB"/>
        </w:rPr>
      </w:pPr>
      <w:bookmarkStart w:id="107" w:name="_Toc209432678"/>
      <w:r>
        <w:rPr>
          <w:b/>
          <w:sz w:val="22"/>
          <w:szCs w:val="22"/>
          <w:lang w:val="en-GB"/>
        </w:rPr>
        <w:t>Appendix 7:</w:t>
      </w:r>
      <w:r>
        <w:rPr>
          <w:b/>
          <w:sz w:val="22"/>
          <w:szCs w:val="22"/>
          <w:lang w:val="en-GB"/>
        </w:rPr>
        <w:tab/>
        <w:t>Costed M&amp;E plan</w:t>
      </w:r>
      <w:bookmarkEnd w:id="107"/>
    </w:p>
    <w:tbl>
      <w:tblPr>
        <w:tblW w:w="13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9"/>
        <w:gridCol w:w="1270"/>
        <w:gridCol w:w="1270"/>
        <w:gridCol w:w="1109"/>
        <w:gridCol w:w="1291"/>
        <w:gridCol w:w="1269"/>
        <w:gridCol w:w="1440"/>
        <w:gridCol w:w="950"/>
        <w:gridCol w:w="1350"/>
        <w:gridCol w:w="810"/>
        <w:gridCol w:w="1170"/>
      </w:tblGrid>
      <w:tr w:rsidR="0018787E" w:rsidRPr="0018787E" w14:paraId="7F33D5EA" w14:textId="77777777" w:rsidTr="0018787E">
        <w:trPr>
          <w:tblHeader/>
        </w:trPr>
        <w:tc>
          <w:tcPr>
            <w:tcW w:w="1319" w:type="dxa"/>
            <w:vAlign w:val="center"/>
          </w:tcPr>
          <w:p w14:paraId="07AA475C" w14:textId="77777777" w:rsidR="0018787E" w:rsidRPr="0018787E" w:rsidRDefault="0018787E" w:rsidP="0018787E">
            <w:pPr>
              <w:jc w:val="center"/>
              <w:rPr>
                <w:b/>
                <w:sz w:val="18"/>
                <w:szCs w:val="18"/>
                <w:lang w:val="en-GB"/>
              </w:rPr>
            </w:pPr>
            <w:bookmarkStart w:id="108" w:name="_Toc209432679"/>
            <w:r w:rsidRPr="0018787E">
              <w:rPr>
                <w:b/>
                <w:sz w:val="18"/>
                <w:szCs w:val="18"/>
                <w:lang w:val="en-GB"/>
              </w:rPr>
              <w:t>Outcome</w:t>
            </w:r>
          </w:p>
        </w:tc>
        <w:tc>
          <w:tcPr>
            <w:tcW w:w="1270" w:type="dxa"/>
            <w:vAlign w:val="center"/>
          </w:tcPr>
          <w:p w14:paraId="2A80413B" w14:textId="77777777" w:rsidR="0018787E" w:rsidRPr="0018787E" w:rsidRDefault="0018787E" w:rsidP="0018787E">
            <w:pPr>
              <w:jc w:val="center"/>
              <w:rPr>
                <w:b/>
                <w:sz w:val="18"/>
                <w:szCs w:val="18"/>
                <w:lang w:val="en-GB"/>
              </w:rPr>
            </w:pPr>
            <w:r w:rsidRPr="0018787E">
              <w:rPr>
                <w:b/>
                <w:sz w:val="18"/>
                <w:szCs w:val="18"/>
                <w:lang w:val="en-GB"/>
              </w:rPr>
              <w:t>Objective level indicator</w:t>
            </w:r>
          </w:p>
        </w:tc>
        <w:tc>
          <w:tcPr>
            <w:tcW w:w="1270" w:type="dxa"/>
            <w:vAlign w:val="center"/>
          </w:tcPr>
          <w:p w14:paraId="15533FBD" w14:textId="77777777" w:rsidR="0018787E" w:rsidRPr="0018787E" w:rsidRDefault="0018787E" w:rsidP="0018787E">
            <w:pPr>
              <w:jc w:val="center"/>
              <w:rPr>
                <w:b/>
                <w:sz w:val="18"/>
                <w:szCs w:val="18"/>
                <w:lang w:val="en-GB"/>
              </w:rPr>
            </w:pPr>
            <w:r w:rsidRPr="0018787E">
              <w:rPr>
                <w:b/>
                <w:sz w:val="18"/>
                <w:szCs w:val="18"/>
                <w:lang w:val="en-GB"/>
              </w:rPr>
              <w:t>Baseline Conditions</w:t>
            </w:r>
          </w:p>
        </w:tc>
        <w:tc>
          <w:tcPr>
            <w:tcW w:w="1109" w:type="dxa"/>
            <w:vAlign w:val="center"/>
          </w:tcPr>
          <w:p w14:paraId="35C0FE31" w14:textId="77777777" w:rsidR="0018787E" w:rsidRPr="0018787E" w:rsidRDefault="0018787E" w:rsidP="0018787E">
            <w:pPr>
              <w:jc w:val="center"/>
              <w:rPr>
                <w:b/>
                <w:sz w:val="18"/>
                <w:szCs w:val="18"/>
                <w:lang w:val="en-GB"/>
              </w:rPr>
            </w:pPr>
            <w:r w:rsidRPr="0018787E">
              <w:rPr>
                <w:b/>
                <w:sz w:val="18"/>
                <w:szCs w:val="18"/>
                <w:lang w:val="en-GB"/>
              </w:rPr>
              <w:t>Mid-point Target</w:t>
            </w:r>
          </w:p>
          <w:p w14:paraId="47E4710C" w14:textId="77777777" w:rsidR="0018787E" w:rsidRPr="0018787E" w:rsidRDefault="0018787E" w:rsidP="0018787E">
            <w:pPr>
              <w:jc w:val="center"/>
              <w:rPr>
                <w:b/>
                <w:sz w:val="18"/>
                <w:szCs w:val="18"/>
                <w:lang w:val="en-GB"/>
              </w:rPr>
            </w:pPr>
            <w:r w:rsidRPr="0018787E">
              <w:rPr>
                <w:b/>
                <w:sz w:val="18"/>
                <w:szCs w:val="18"/>
                <w:lang w:val="en-GB"/>
              </w:rPr>
              <w:t>(as relevant)</w:t>
            </w:r>
          </w:p>
        </w:tc>
        <w:tc>
          <w:tcPr>
            <w:tcW w:w="1291" w:type="dxa"/>
            <w:vAlign w:val="center"/>
          </w:tcPr>
          <w:p w14:paraId="21D1ABA2" w14:textId="77777777" w:rsidR="0018787E" w:rsidRPr="0018787E" w:rsidRDefault="0018787E" w:rsidP="0018787E">
            <w:pPr>
              <w:jc w:val="center"/>
              <w:rPr>
                <w:b/>
                <w:sz w:val="18"/>
                <w:szCs w:val="18"/>
                <w:lang w:val="en-GB"/>
              </w:rPr>
            </w:pPr>
            <w:r w:rsidRPr="0018787E">
              <w:rPr>
                <w:b/>
                <w:sz w:val="18"/>
                <w:szCs w:val="18"/>
                <w:lang w:val="en-GB"/>
              </w:rPr>
              <w:t>End of Project Target</w:t>
            </w:r>
          </w:p>
        </w:tc>
        <w:tc>
          <w:tcPr>
            <w:tcW w:w="1269" w:type="dxa"/>
            <w:vAlign w:val="center"/>
          </w:tcPr>
          <w:p w14:paraId="03B22A44" w14:textId="77777777" w:rsidR="0018787E" w:rsidRPr="0018787E" w:rsidRDefault="0018787E" w:rsidP="0018787E">
            <w:pPr>
              <w:jc w:val="center"/>
              <w:rPr>
                <w:b/>
                <w:sz w:val="18"/>
                <w:szCs w:val="18"/>
                <w:lang w:val="en-GB"/>
              </w:rPr>
            </w:pPr>
            <w:r w:rsidRPr="0018787E">
              <w:rPr>
                <w:b/>
                <w:sz w:val="18"/>
                <w:szCs w:val="18"/>
                <w:lang w:val="en-GB"/>
              </w:rPr>
              <w:t>Means of Verification</w:t>
            </w:r>
          </w:p>
        </w:tc>
        <w:tc>
          <w:tcPr>
            <w:tcW w:w="1440" w:type="dxa"/>
            <w:vAlign w:val="center"/>
          </w:tcPr>
          <w:p w14:paraId="650C1FF5" w14:textId="77777777" w:rsidR="0018787E" w:rsidRPr="0018787E" w:rsidRDefault="0018787E" w:rsidP="0018787E">
            <w:pPr>
              <w:jc w:val="center"/>
              <w:rPr>
                <w:b/>
                <w:sz w:val="18"/>
                <w:szCs w:val="18"/>
                <w:lang w:val="en-GB"/>
              </w:rPr>
            </w:pPr>
            <w:r w:rsidRPr="0018787E">
              <w:rPr>
                <w:b/>
                <w:sz w:val="18"/>
                <w:szCs w:val="18"/>
                <w:lang w:val="en-GB"/>
              </w:rPr>
              <w:t>Monitoring / sampling (frequency / size)</w:t>
            </w:r>
          </w:p>
        </w:tc>
        <w:tc>
          <w:tcPr>
            <w:tcW w:w="950" w:type="dxa"/>
            <w:vAlign w:val="center"/>
          </w:tcPr>
          <w:p w14:paraId="1D32EF1F" w14:textId="77777777" w:rsidR="0018787E" w:rsidRPr="0018787E" w:rsidRDefault="0018787E" w:rsidP="0018787E">
            <w:pPr>
              <w:jc w:val="center"/>
              <w:rPr>
                <w:b/>
                <w:sz w:val="18"/>
                <w:szCs w:val="18"/>
                <w:lang w:val="en-GB"/>
              </w:rPr>
            </w:pPr>
            <w:r w:rsidRPr="0018787E">
              <w:rPr>
                <w:b/>
                <w:sz w:val="18"/>
                <w:szCs w:val="18"/>
                <w:lang w:val="en-GB"/>
              </w:rPr>
              <w:t>Location / Group</w:t>
            </w:r>
          </w:p>
        </w:tc>
        <w:tc>
          <w:tcPr>
            <w:tcW w:w="1350" w:type="dxa"/>
            <w:vAlign w:val="center"/>
          </w:tcPr>
          <w:p w14:paraId="460C2811" w14:textId="77777777" w:rsidR="0018787E" w:rsidRPr="0018787E" w:rsidRDefault="0018787E" w:rsidP="0018787E">
            <w:pPr>
              <w:jc w:val="center"/>
              <w:rPr>
                <w:b/>
                <w:sz w:val="18"/>
                <w:szCs w:val="18"/>
                <w:lang w:val="en-GB"/>
              </w:rPr>
            </w:pPr>
            <w:r w:rsidRPr="0018787E">
              <w:rPr>
                <w:b/>
                <w:sz w:val="18"/>
                <w:szCs w:val="18"/>
                <w:lang w:val="en-GB"/>
              </w:rPr>
              <w:t>Responsibility</w:t>
            </w:r>
          </w:p>
        </w:tc>
        <w:tc>
          <w:tcPr>
            <w:tcW w:w="810" w:type="dxa"/>
            <w:vAlign w:val="center"/>
          </w:tcPr>
          <w:p w14:paraId="5B69E9AB" w14:textId="77777777" w:rsidR="0018787E" w:rsidRPr="0018787E" w:rsidRDefault="0018787E" w:rsidP="0018787E">
            <w:pPr>
              <w:jc w:val="center"/>
              <w:rPr>
                <w:b/>
                <w:sz w:val="18"/>
                <w:szCs w:val="18"/>
                <w:lang w:val="en-GB"/>
              </w:rPr>
            </w:pPr>
            <w:r w:rsidRPr="0018787E">
              <w:rPr>
                <w:b/>
                <w:sz w:val="18"/>
                <w:szCs w:val="18"/>
                <w:lang w:val="en-GB"/>
              </w:rPr>
              <w:t>Time frame</w:t>
            </w:r>
          </w:p>
        </w:tc>
        <w:tc>
          <w:tcPr>
            <w:tcW w:w="1170" w:type="dxa"/>
            <w:vAlign w:val="center"/>
          </w:tcPr>
          <w:p w14:paraId="093628A1" w14:textId="77777777" w:rsidR="0018787E" w:rsidRPr="0018787E" w:rsidRDefault="0018787E" w:rsidP="0018787E">
            <w:pPr>
              <w:jc w:val="center"/>
              <w:rPr>
                <w:b/>
                <w:sz w:val="18"/>
                <w:szCs w:val="18"/>
                <w:lang w:val="en-GB"/>
              </w:rPr>
            </w:pPr>
            <w:r w:rsidRPr="0018787E">
              <w:rPr>
                <w:b/>
                <w:sz w:val="18"/>
                <w:szCs w:val="18"/>
                <w:lang w:val="en-GB"/>
              </w:rPr>
              <w:t>Budget</w:t>
            </w:r>
            <w:r w:rsidRPr="0018787E">
              <w:rPr>
                <w:b/>
                <w:sz w:val="18"/>
                <w:szCs w:val="18"/>
                <w:vertAlign w:val="superscript"/>
                <w:lang w:val="en-GB"/>
              </w:rPr>
              <w:footnoteReference w:id="81"/>
            </w:r>
          </w:p>
          <w:p w14:paraId="7DC1645A" w14:textId="77777777" w:rsidR="0018787E" w:rsidRPr="0018787E" w:rsidRDefault="0018787E" w:rsidP="0018787E">
            <w:pPr>
              <w:jc w:val="center"/>
              <w:rPr>
                <w:b/>
                <w:sz w:val="18"/>
                <w:szCs w:val="18"/>
                <w:lang w:val="en-GB"/>
              </w:rPr>
            </w:pPr>
            <w:r w:rsidRPr="0018787E">
              <w:rPr>
                <w:b/>
                <w:sz w:val="18"/>
                <w:szCs w:val="18"/>
                <w:lang w:val="en-GB"/>
              </w:rPr>
              <w:t>(Object of expenditure &amp; cost)</w:t>
            </w:r>
          </w:p>
        </w:tc>
      </w:tr>
      <w:tr w:rsidR="0018787E" w:rsidRPr="0018787E" w14:paraId="6CD08BA0" w14:textId="77777777" w:rsidTr="0018787E">
        <w:tc>
          <w:tcPr>
            <w:tcW w:w="1319" w:type="dxa"/>
            <w:vMerge w:val="restart"/>
            <w:vAlign w:val="center"/>
          </w:tcPr>
          <w:p w14:paraId="02A270B7" w14:textId="77777777" w:rsidR="0018787E" w:rsidRPr="0018787E" w:rsidRDefault="0018787E" w:rsidP="0018787E">
            <w:pPr>
              <w:rPr>
                <w:sz w:val="18"/>
                <w:szCs w:val="18"/>
                <w:lang w:val="en-GB"/>
              </w:rPr>
            </w:pPr>
            <w:r w:rsidRPr="0018787E">
              <w:rPr>
                <w:sz w:val="18"/>
                <w:szCs w:val="18"/>
                <w:lang w:val="en-GB"/>
              </w:rPr>
              <w:t>1.1: Appropriate forms of sustainable management established for 860,000 ha of mangrove by Yr 5</w:t>
            </w:r>
          </w:p>
        </w:tc>
        <w:tc>
          <w:tcPr>
            <w:tcW w:w="1270" w:type="dxa"/>
          </w:tcPr>
          <w:p w14:paraId="2CCAD5F4" w14:textId="77777777" w:rsidR="0018787E" w:rsidRPr="0018787E" w:rsidRDefault="0018787E" w:rsidP="0018787E">
            <w:pPr>
              <w:spacing w:before="40"/>
              <w:rPr>
                <w:bCs/>
                <w:sz w:val="18"/>
                <w:szCs w:val="18"/>
                <w:lang w:val="en-GB"/>
              </w:rPr>
            </w:pPr>
            <w:r w:rsidRPr="0018787E">
              <w:rPr>
                <w:bCs/>
                <w:sz w:val="18"/>
                <w:szCs w:val="18"/>
                <w:lang w:val="en-GB"/>
              </w:rPr>
              <w:t>Total area (ha) of mangrove designated as national park or protected area</w:t>
            </w:r>
          </w:p>
        </w:tc>
        <w:tc>
          <w:tcPr>
            <w:tcW w:w="1270" w:type="dxa"/>
          </w:tcPr>
          <w:p w14:paraId="7C7EB154" w14:textId="77777777" w:rsidR="0018787E" w:rsidRPr="0018787E" w:rsidRDefault="0018787E" w:rsidP="0018787E">
            <w:pPr>
              <w:spacing w:before="40"/>
              <w:rPr>
                <w:sz w:val="18"/>
                <w:szCs w:val="18"/>
                <w:lang w:val="en-GB"/>
              </w:rPr>
            </w:pPr>
            <w:r w:rsidRPr="0018787E">
              <w:rPr>
                <w:sz w:val="18"/>
                <w:szCs w:val="18"/>
                <w:lang w:val="en-GB" w:bidi="th-TH"/>
              </w:rPr>
              <w:t>14 percent (246,122 ha) of mangrove area in SCS presently managed as national park or protected area</w:t>
            </w:r>
          </w:p>
        </w:tc>
        <w:tc>
          <w:tcPr>
            <w:tcW w:w="1109" w:type="dxa"/>
          </w:tcPr>
          <w:p w14:paraId="2365E37F" w14:textId="77777777" w:rsidR="0018787E" w:rsidRPr="0018787E" w:rsidRDefault="0018787E" w:rsidP="0018787E">
            <w:pPr>
              <w:rPr>
                <w:sz w:val="18"/>
                <w:szCs w:val="18"/>
                <w:lang w:val="en-GB"/>
              </w:rPr>
            </w:pPr>
            <w:r w:rsidRPr="0018787E">
              <w:rPr>
                <w:sz w:val="18"/>
                <w:szCs w:val="18"/>
                <w:lang w:val="en-GB"/>
              </w:rPr>
              <w:t>Equivalent to end-of-project target</w:t>
            </w:r>
          </w:p>
        </w:tc>
        <w:tc>
          <w:tcPr>
            <w:tcW w:w="1291" w:type="dxa"/>
          </w:tcPr>
          <w:p w14:paraId="16D53BE8" w14:textId="77777777" w:rsidR="0018787E" w:rsidRPr="0018787E" w:rsidRDefault="0018787E" w:rsidP="0018787E">
            <w:pPr>
              <w:spacing w:before="40"/>
              <w:rPr>
                <w:sz w:val="18"/>
                <w:szCs w:val="18"/>
                <w:lang w:val="en-GB"/>
              </w:rPr>
            </w:pPr>
            <w:r w:rsidRPr="0018787E">
              <w:rPr>
                <w:sz w:val="18"/>
                <w:szCs w:val="18"/>
                <w:lang w:val="en-GB"/>
              </w:rPr>
              <w:t>Declaration of 57,400 ha of mangrove as National Parks and Protected Areas</w:t>
            </w:r>
          </w:p>
        </w:tc>
        <w:tc>
          <w:tcPr>
            <w:tcW w:w="1269" w:type="dxa"/>
          </w:tcPr>
          <w:p w14:paraId="0D67F2AD" w14:textId="77777777" w:rsidR="0018787E" w:rsidRPr="0018787E" w:rsidRDefault="0018787E" w:rsidP="0018787E">
            <w:pPr>
              <w:spacing w:before="40"/>
              <w:rPr>
                <w:sz w:val="18"/>
                <w:szCs w:val="18"/>
                <w:lang w:val="en-GB"/>
              </w:rPr>
            </w:pPr>
            <w:r w:rsidRPr="0018787E">
              <w:rPr>
                <w:bCs/>
                <w:sz w:val="18"/>
                <w:szCs w:val="18"/>
                <w:lang w:val="en-GB"/>
              </w:rPr>
              <w:t>Official proclamations, executive orders, and ordinances establishing mangrove parks and protected areas</w:t>
            </w:r>
          </w:p>
        </w:tc>
        <w:tc>
          <w:tcPr>
            <w:tcW w:w="1440" w:type="dxa"/>
          </w:tcPr>
          <w:p w14:paraId="67D57D95" w14:textId="77777777" w:rsidR="0018787E" w:rsidRPr="0018787E" w:rsidRDefault="0018787E" w:rsidP="0018787E">
            <w:pPr>
              <w:rPr>
                <w:sz w:val="18"/>
                <w:szCs w:val="18"/>
                <w:lang w:val="en-GB"/>
              </w:rPr>
            </w:pPr>
            <w:r w:rsidRPr="0018787E">
              <w:rPr>
                <w:sz w:val="18"/>
                <w:szCs w:val="18"/>
                <w:lang w:val="en-GB"/>
              </w:rPr>
              <w:t>Quarterly</w:t>
            </w:r>
          </w:p>
          <w:p w14:paraId="043FB9D0" w14:textId="77777777" w:rsidR="0018787E" w:rsidRPr="0018787E" w:rsidRDefault="0018787E" w:rsidP="0018787E">
            <w:pPr>
              <w:rPr>
                <w:sz w:val="18"/>
                <w:szCs w:val="18"/>
                <w:lang w:val="en-GB"/>
              </w:rPr>
            </w:pPr>
          </w:p>
          <w:p w14:paraId="1BC81DA2" w14:textId="77777777" w:rsidR="0018787E" w:rsidRPr="0018787E" w:rsidRDefault="0018787E" w:rsidP="0018787E">
            <w:pPr>
              <w:rPr>
                <w:sz w:val="18"/>
                <w:szCs w:val="18"/>
                <w:lang w:val="en-GB"/>
              </w:rPr>
            </w:pPr>
          </w:p>
          <w:p w14:paraId="672584C0" w14:textId="77777777" w:rsidR="0018787E" w:rsidRPr="0018787E" w:rsidRDefault="0018787E" w:rsidP="0018787E">
            <w:pPr>
              <w:rPr>
                <w:sz w:val="18"/>
                <w:szCs w:val="18"/>
                <w:lang w:val="en-GB"/>
              </w:rPr>
            </w:pPr>
            <w:r w:rsidRPr="0018787E">
              <w:rPr>
                <w:sz w:val="18"/>
                <w:szCs w:val="18"/>
                <w:lang w:val="en-GB"/>
              </w:rPr>
              <w:t>Biannually</w:t>
            </w:r>
          </w:p>
          <w:p w14:paraId="25629CBB" w14:textId="77777777" w:rsidR="0018787E" w:rsidRPr="0018787E" w:rsidRDefault="0018787E" w:rsidP="0018787E">
            <w:pPr>
              <w:rPr>
                <w:sz w:val="18"/>
                <w:szCs w:val="18"/>
                <w:lang w:val="en-GB"/>
              </w:rPr>
            </w:pPr>
          </w:p>
          <w:p w14:paraId="532389C0" w14:textId="77777777" w:rsidR="0018787E" w:rsidRPr="0018787E" w:rsidRDefault="0018787E" w:rsidP="0018787E">
            <w:pPr>
              <w:rPr>
                <w:sz w:val="18"/>
                <w:szCs w:val="18"/>
                <w:lang w:val="en-GB"/>
              </w:rPr>
            </w:pPr>
          </w:p>
          <w:p w14:paraId="15686019" w14:textId="77777777" w:rsidR="0018787E" w:rsidRPr="0018787E" w:rsidRDefault="0018787E" w:rsidP="0018787E">
            <w:pPr>
              <w:rPr>
                <w:sz w:val="18"/>
                <w:szCs w:val="18"/>
                <w:lang w:val="en-GB"/>
              </w:rPr>
            </w:pPr>
          </w:p>
          <w:p w14:paraId="603B4E49"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5E3730FE" w14:textId="77777777" w:rsidR="0018787E" w:rsidRPr="0018787E" w:rsidRDefault="0018787E" w:rsidP="0018787E">
            <w:pPr>
              <w:rPr>
                <w:sz w:val="18"/>
                <w:szCs w:val="18"/>
                <w:lang w:val="en-GB"/>
              </w:rPr>
            </w:pPr>
            <w:r w:rsidRPr="0018787E">
              <w:rPr>
                <w:sz w:val="18"/>
                <w:szCs w:val="18"/>
                <w:lang w:val="en-GB"/>
              </w:rPr>
              <w:t>Site-level</w:t>
            </w:r>
          </w:p>
          <w:p w14:paraId="065F5E63" w14:textId="77777777" w:rsidR="0018787E" w:rsidRPr="0018787E" w:rsidRDefault="0018787E" w:rsidP="0018787E">
            <w:pPr>
              <w:rPr>
                <w:sz w:val="18"/>
                <w:szCs w:val="18"/>
                <w:lang w:val="en-GB"/>
              </w:rPr>
            </w:pPr>
          </w:p>
          <w:p w14:paraId="13B4B4D7" w14:textId="77777777" w:rsidR="0018787E" w:rsidRPr="0018787E" w:rsidRDefault="0018787E" w:rsidP="0018787E">
            <w:pPr>
              <w:rPr>
                <w:sz w:val="18"/>
                <w:szCs w:val="18"/>
                <w:lang w:val="en-GB"/>
              </w:rPr>
            </w:pPr>
          </w:p>
          <w:p w14:paraId="168A4A6A" w14:textId="77777777" w:rsidR="0018787E" w:rsidRPr="0018787E" w:rsidRDefault="0018787E" w:rsidP="0018787E">
            <w:pPr>
              <w:rPr>
                <w:sz w:val="18"/>
                <w:szCs w:val="18"/>
                <w:lang w:val="en-GB"/>
              </w:rPr>
            </w:pPr>
            <w:r w:rsidRPr="0018787E">
              <w:rPr>
                <w:sz w:val="18"/>
                <w:szCs w:val="18"/>
                <w:lang w:val="en-GB"/>
              </w:rPr>
              <w:t>National-level</w:t>
            </w:r>
          </w:p>
          <w:p w14:paraId="525581B9" w14:textId="77777777" w:rsidR="0018787E" w:rsidRPr="0018787E" w:rsidRDefault="0018787E" w:rsidP="0018787E">
            <w:pPr>
              <w:rPr>
                <w:sz w:val="18"/>
                <w:szCs w:val="18"/>
                <w:lang w:val="en-GB"/>
              </w:rPr>
            </w:pPr>
          </w:p>
          <w:p w14:paraId="355E7F68" w14:textId="77777777" w:rsidR="0018787E" w:rsidRPr="0018787E" w:rsidRDefault="0018787E" w:rsidP="0018787E">
            <w:pPr>
              <w:rPr>
                <w:sz w:val="18"/>
                <w:szCs w:val="18"/>
                <w:lang w:val="en-GB"/>
              </w:rPr>
            </w:pPr>
          </w:p>
          <w:p w14:paraId="054A9386" w14:textId="77777777" w:rsidR="0018787E" w:rsidRPr="0018787E" w:rsidRDefault="0018787E" w:rsidP="0018787E">
            <w:pPr>
              <w:rPr>
                <w:sz w:val="18"/>
                <w:szCs w:val="18"/>
                <w:lang w:val="en-GB"/>
              </w:rPr>
            </w:pPr>
            <w:r w:rsidRPr="0018787E">
              <w:rPr>
                <w:sz w:val="18"/>
                <w:szCs w:val="18"/>
                <w:lang w:val="en-GB"/>
              </w:rPr>
              <w:t>National -level</w:t>
            </w:r>
          </w:p>
        </w:tc>
        <w:tc>
          <w:tcPr>
            <w:tcW w:w="1350" w:type="dxa"/>
          </w:tcPr>
          <w:p w14:paraId="190A2DE2"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Mangrove Committees</w:t>
            </w:r>
          </w:p>
          <w:p w14:paraId="368F0567"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27CF1324"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tc>
        <w:tc>
          <w:tcPr>
            <w:tcW w:w="810" w:type="dxa"/>
          </w:tcPr>
          <w:p w14:paraId="4E1E13EF"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72EF9914"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4F9A7E24" w14:textId="77777777" w:rsidTr="0018787E">
        <w:tc>
          <w:tcPr>
            <w:tcW w:w="1319" w:type="dxa"/>
            <w:vMerge/>
          </w:tcPr>
          <w:p w14:paraId="1789609B" w14:textId="77777777" w:rsidR="0018787E" w:rsidRPr="0018787E" w:rsidRDefault="0018787E" w:rsidP="0018787E">
            <w:pPr>
              <w:rPr>
                <w:sz w:val="18"/>
                <w:szCs w:val="18"/>
                <w:lang w:val="en-GB"/>
              </w:rPr>
            </w:pPr>
          </w:p>
        </w:tc>
        <w:tc>
          <w:tcPr>
            <w:tcW w:w="1270" w:type="dxa"/>
          </w:tcPr>
          <w:p w14:paraId="0C4BC7F2" w14:textId="77777777" w:rsidR="0018787E" w:rsidRPr="0018787E" w:rsidRDefault="0018787E" w:rsidP="0018787E">
            <w:pPr>
              <w:spacing w:before="40"/>
              <w:rPr>
                <w:bCs/>
                <w:sz w:val="18"/>
                <w:szCs w:val="18"/>
                <w:lang w:val="en-GB"/>
              </w:rPr>
            </w:pPr>
            <w:r w:rsidRPr="0018787E">
              <w:rPr>
                <w:bCs/>
                <w:sz w:val="18"/>
                <w:szCs w:val="18"/>
                <w:lang w:val="en-GB"/>
              </w:rPr>
              <w:t>Status of endorsement of management plans</w:t>
            </w:r>
          </w:p>
          <w:p w14:paraId="524233C7" w14:textId="77777777" w:rsidR="0018787E" w:rsidRPr="0018787E" w:rsidRDefault="0018787E" w:rsidP="0018787E">
            <w:pPr>
              <w:spacing w:before="40"/>
              <w:rPr>
                <w:bCs/>
                <w:sz w:val="18"/>
                <w:szCs w:val="18"/>
                <w:lang w:val="en-GB"/>
              </w:rPr>
            </w:pPr>
            <w:r w:rsidRPr="0018787E">
              <w:rPr>
                <w:bCs/>
                <w:sz w:val="18"/>
                <w:szCs w:val="18"/>
                <w:lang w:val="en-GB"/>
              </w:rPr>
              <w:t>Total area (ha) of mangrove under management plan for sustainable use</w:t>
            </w:r>
          </w:p>
        </w:tc>
        <w:tc>
          <w:tcPr>
            <w:tcW w:w="1270" w:type="dxa"/>
          </w:tcPr>
          <w:p w14:paraId="50C94138" w14:textId="77777777" w:rsidR="0018787E" w:rsidRPr="0018787E" w:rsidRDefault="0018787E" w:rsidP="0018787E">
            <w:pPr>
              <w:spacing w:before="40"/>
              <w:rPr>
                <w:sz w:val="18"/>
                <w:szCs w:val="18"/>
                <w:lang w:val="en-GB"/>
              </w:rPr>
            </w:pPr>
            <w:r w:rsidRPr="0018787E">
              <w:rPr>
                <w:sz w:val="18"/>
                <w:szCs w:val="18"/>
                <w:lang w:val="en-GB"/>
              </w:rPr>
              <w:t>13 percent (225,512 ha) of mangrove area in SCS presently managed as non-conversion, extractive resource use areas (fish, crabs etc.)</w:t>
            </w:r>
          </w:p>
        </w:tc>
        <w:tc>
          <w:tcPr>
            <w:tcW w:w="1109" w:type="dxa"/>
          </w:tcPr>
          <w:p w14:paraId="53D7D8B6" w14:textId="77777777" w:rsidR="0018787E" w:rsidRPr="0018787E" w:rsidRDefault="0018787E" w:rsidP="0018787E">
            <w:pPr>
              <w:spacing w:before="40"/>
              <w:rPr>
                <w:sz w:val="18"/>
                <w:szCs w:val="18"/>
                <w:lang w:val="en-GB"/>
              </w:rPr>
            </w:pPr>
            <w:r w:rsidRPr="0018787E">
              <w:rPr>
                <w:sz w:val="18"/>
                <w:szCs w:val="18"/>
                <w:lang w:val="en-GB"/>
              </w:rPr>
              <w:t>Key threats to priority sites identified</w:t>
            </w:r>
          </w:p>
          <w:p w14:paraId="1AA19004" w14:textId="77777777" w:rsidR="0018787E" w:rsidRPr="0018787E" w:rsidRDefault="0018787E" w:rsidP="0018787E">
            <w:pPr>
              <w:spacing w:before="40"/>
              <w:rPr>
                <w:sz w:val="18"/>
                <w:szCs w:val="18"/>
                <w:lang w:val="en-GB"/>
              </w:rPr>
            </w:pPr>
          </w:p>
          <w:p w14:paraId="431EB162" w14:textId="77777777" w:rsidR="0018787E" w:rsidRPr="0018787E" w:rsidRDefault="0018787E" w:rsidP="0018787E">
            <w:pPr>
              <w:spacing w:before="40"/>
              <w:rPr>
                <w:color w:val="FF0000"/>
                <w:sz w:val="18"/>
                <w:szCs w:val="18"/>
                <w:lang w:val="en-GB"/>
              </w:rPr>
            </w:pPr>
            <w:r w:rsidRPr="0018787E">
              <w:rPr>
                <w:sz w:val="18"/>
                <w:szCs w:val="18"/>
                <w:lang w:val="en-GB"/>
              </w:rPr>
              <w:t>Draft management plans</w:t>
            </w:r>
          </w:p>
        </w:tc>
        <w:tc>
          <w:tcPr>
            <w:tcW w:w="1291" w:type="dxa"/>
          </w:tcPr>
          <w:p w14:paraId="0B87E4D5" w14:textId="77777777" w:rsidR="0018787E" w:rsidRPr="0018787E" w:rsidRDefault="0018787E" w:rsidP="0018787E">
            <w:pPr>
              <w:spacing w:before="40"/>
              <w:rPr>
                <w:sz w:val="18"/>
                <w:szCs w:val="18"/>
                <w:lang w:val="en-GB"/>
              </w:rPr>
            </w:pPr>
            <w:r w:rsidRPr="0018787E">
              <w:rPr>
                <w:sz w:val="18"/>
                <w:szCs w:val="18"/>
                <w:lang w:val="en-GB"/>
              </w:rPr>
              <w:t>Designation and plans for the management of 166,600 ha of mangrove as non-conversion, sustainable use areas</w:t>
            </w:r>
          </w:p>
        </w:tc>
        <w:tc>
          <w:tcPr>
            <w:tcW w:w="1269" w:type="dxa"/>
          </w:tcPr>
          <w:p w14:paraId="776265E4" w14:textId="77777777" w:rsidR="0018787E" w:rsidRPr="0018787E" w:rsidRDefault="0018787E" w:rsidP="0018787E">
            <w:pPr>
              <w:spacing w:before="40"/>
              <w:rPr>
                <w:bCs/>
                <w:sz w:val="18"/>
                <w:szCs w:val="18"/>
                <w:lang w:val="en-GB"/>
              </w:rPr>
            </w:pPr>
            <w:r w:rsidRPr="0018787E">
              <w:rPr>
                <w:bCs/>
                <w:sz w:val="18"/>
                <w:szCs w:val="18"/>
                <w:lang w:val="en-GB"/>
              </w:rPr>
              <w:t>Maps and site characterisations for priority mangrove sites</w:t>
            </w:r>
          </w:p>
          <w:p w14:paraId="14EBC39B" w14:textId="77777777" w:rsidR="0018787E" w:rsidRPr="0018787E" w:rsidRDefault="0018787E" w:rsidP="0018787E">
            <w:pPr>
              <w:spacing w:before="40"/>
              <w:rPr>
                <w:bCs/>
                <w:sz w:val="18"/>
                <w:szCs w:val="18"/>
                <w:lang w:val="en-GB"/>
              </w:rPr>
            </w:pPr>
            <w:r w:rsidRPr="0018787E">
              <w:rPr>
                <w:bCs/>
                <w:sz w:val="18"/>
                <w:szCs w:val="18"/>
                <w:lang w:val="en-GB"/>
              </w:rPr>
              <w:t>Endorsed management plans for mangrove sites</w:t>
            </w:r>
          </w:p>
        </w:tc>
        <w:tc>
          <w:tcPr>
            <w:tcW w:w="1440" w:type="dxa"/>
          </w:tcPr>
          <w:p w14:paraId="33BBDAD0" w14:textId="77777777" w:rsidR="0018787E" w:rsidRPr="0018787E" w:rsidRDefault="0018787E" w:rsidP="0018787E">
            <w:pPr>
              <w:rPr>
                <w:sz w:val="18"/>
                <w:szCs w:val="18"/>
                <w:lang w:val="en-GB"/>
              </w:rPr>
            </w:pPr>
            <w:r w:rsidRPr="0018787E">
              <w:rPr>
                <w:sz w:val="18"/>
                <w:szCs w:val="18"/>
                <w:lang w:val="en-GB"/>
              </w:rPr>
              <w:t>Quarterly</w:t>
            </w:r>
          </w:p>
          <w:p w14:paraId="48C63EAB" w14:textId="77777777" w:rsidR="0018787E" w:rsidRPr="0018787E" w:rsidRDefault="0018787E" w:rsidP="0018787E">
            <w:pPr>
              <w:rPr>
                <w:sz w:val="18"/>
                <w:szCs w:val="18"/>
                <w:lang w:val="en-GB"/>
              </w:rPr>
            </w:pPr>
          </w:p>
          <w:p w14:paraId="785F0F8B" w14:textId="77777777" w:rsidR="0018787E" w:rsidRPr="0018787E" w:rsidRDefault="0018787E" w:rsidP="0018787E">
            <w:pPr>
              <w:rPr>
                <w:sz w:val="18"/>
                <w:szCs w:val="18"/>
                <w:lang w:val="en-GB"/>
              </w:rPr>
            </w:pPr>
          </w:p>
          <w:p w14:paraId="71E43723" w14:textId="77777777" w:rsidR="0018787E" w:rsidRPr="0018787E" w:rsidRDefault="0018787E" w:rsidP="0018787E">
            <w:pPr>
              <w:rPr>
                <w:sz w:val="18"/>
                <w:szCs w:val="18"/>
                <w:lang w:val="en-GB"/>
              </w:rPr>
            </w:pPr>
            <w:r w:rsidRPr="0018787E">
              <w:rPr>
                <w:sz w:val="18"/>
                <w:szCs w:val="18"/>
                <w:lang w:val="en-GB"/>
              </w:rPr>
              <w:t>Biannually</w:t>
            </w:r>
          </w:p>
          <w:p w14:paraId="5B242C6E" w14:textId="77777777" w:rsidR="0018787E" w:rsidRPr="0018787E" w:rsidRDefault="0018787E" w:rsidP="0018787E">
            <w:pPr>
              <w:rPr>
                <w:sz w:val="18"/>
                <w:szCs w:val="18"/>
                <w:lang w:val="en-GB"/>
              </w:rPr>
            </w:pPr>
          </w:p>
          <w:p w14:paraId="15C95566" w14:textId="77777777" w:rsidR="0018787E" w:rsidRPr="0018787E" w:rsidRDefault="0018787E" w:rsidP="0018787E">
            <w:pPr>
              <w:rPr>
                <w:sz w:val="18"/>
                <w:szCs w:val="18"/>
                <w:lang w:val="en-GB"/>
              </w:rPr>
            </w:pPr>
          </w:p>
          <w:p w14:paraId="67DDF0EF" w14:textId="77777777" w:rsidR="0018787E" w:rsidRPr="0018787E" w:rsidRDefault="0018787E" w:rsidP="0018787E">
            <w:pPr>
              <w:rPr>
                <w:sz w:val="18"/>
                <w:szCs w:val="18"/>
                <w:lang w:val="en-GB"/>
              </w:rPr>
            </w:pPr>
          </w:p>
          <w:p w14:paraId="4870FA95"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314A0657" w14:textId="77777777" w:rsidR="0018787E" w:rsidRPr="0018787E" w:rsidRDefault="0018787E" w:rsidP="0018787E">
            <w:pPr>
              <w:rPr>
                <w:sz w:val="18"/>
                <w:szCs w:val="18"/>
                <w:lang w:val="en-GB"/>
              </w:rPr>
            </w:pPr>
            <w:r w:rsidRPr="0018787E">
              <w:rPr>
                <w:sz w:val="18"/>
                <w:szCs w:val="18"/>
                <w:lang w:val="en-GB"/>
              </w:rPr>
              <w:t>Site-level</w:t>
            </w:r>
          </w:p>
          <w:p w14:paraId="7FE1F3C5" w14:textId="77777777" w:rsidR="0018787E" w:rsidRPr="0018787E" w:rsidRDefault="0018787E" w:rsidP="0018787E">
            <w:pPr>
              <w:rPr>
                <w:sz w:val="18"/>
                <w:szCs w:val="18"/>
                <w:lang w:val="en-GB"/>
              </w:rPr>
            </w:pPr>
          </w:p>
          <w:p w14:paraId="1A51C74D" w14:textId="77777777" w:rsidR="0018787E" w:rsidRPr="0018787E" w:rsidRDefault="0018787E" w:rsidP="0018787E">
            <w:pPr>
              <w:rPr>
                <w:sz w:val="18"/>
                <w:szCs w:val="18"/>
                <w:lang w:val="en-GB"/>
              </w:rPr>
            </w:pPr>
          </w:p>
          <w:p w14:paraId="4E579CD4" w14:textId="77777777" w:rsidR="0018787E" w:rsidRPr="0018787E" w:rsidRDefault="0018787E" w:rsidP="0018787E">
            <w:pPr>
              <w:rPr>
                <w:sz w:val="18"/>
                <w:szCs w:val="18"/>
                <w:lang w:val="en-GB"/>
              </w:rPr>
            </w:pPr>
            <w:r w:rsidRPr="0018787E">
              <w:rPr>
                <w:sz w:val="18"/>
                <w:szCs w:val="18"/>
                <w:lang w:val="en-GB"/>
              </w:rPr>
              <w:t>National-level</w:t>
            </w:r>
          </w:p>
          <w:p w14:paraId="12285247" w14:textId="77777777" w:rsidR="0018787E" w:rsidRPr="0018787E" w:rsidRDefault="0018787E" w:rsidP="0018787E">
            <w:pPr>
              <w:rPr>
                <w:sz w:val="18"/>
                <w:szCs w:val="18"/>
                <w:lang w:val="en-GB"/>
              </w:rPr>
            </w:pPr>
          </w:p>
          <w:p w14:paraId="2FE9186E" w14:textId="77777777" w:rsidR="0018787E" w:rsidRPr="0018787E" w:rsidRDefault="0018787E" w:rsidP="0018787E">
            <w:pPr>
              <w:rPr>
                <w:sz w:val="18"/>
                <w:szCs w:val="18"/>
                <w:lang w:val="en-GB"/>
              </w:rPr>
            </w:pPr>
          </w:p>
          <w:p w14:paraId="1C5AF500" w14:textId="77777777" w:rsidR="0018787E" w:rsidRPr="0018787E" w:rsidRDefault="0018787E" w:rsidP="0018787E">
            <w:pPr>
              <w:rPr>
                <w:sz w:val="18"/>
                <w:szCs w:val="18"/>
                <w:lang w:val="en-GB"/>
              </w:rPr>
            </w:pPr>
            <w:r w:rsidRPr="0018787E">
              <w:rPr>
                <w:sz w:val="18"/>
                <w:szCs w:val="18"/>
                <w:lang w:val="en-GB"/>
              </w:rPr>
              <w:t>National -level</w:t>
            </w:r>
          </w:p>
        </w:tc>
        <w:tc>
          <w:tcPr>
            <w:tcW w:w="1350" w:type="dxa"/>
          </w:tcPr>
          <w:p w14:paraId="6875CDF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Mangrove Committees</w:t>
            </w:r>
          </w:p>
          <w:p w14:paraId="0A6AD206"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3F07F57D"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tc>
        <w:tc>
          <w:tcPr>
            <w:tcW w:w="810" w:type="dxa"/>
          </w:tcPr>
          <w:p w14:paraId="2F6196ED"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4DE7C5C2"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457DAC22" w14:textId="77777777" w:rsidTr="0018787E">
        <w:tc>
          <w:tcPr>
            <w:tcW w:w="1319" w:type="dxa"/>
            <w:vMerge/>
          </w:tcPr>
          <w:p w14:paraId="74E5FCAC" w14:textId="77777777" w:rsidR="0018787E" w:rsidRPr="0018787E" w:rsidRDefault="0018787E" w:rsidP="0018787E">
            <w:pPr>
              <w:rPr>
                <w:sz w:val="18"/>
                <w:szCs w:val="18"/>
                <w:lang w:val="en-GB"/>
              </w:rPr>
            </w:pPr>
          </w:p>
        </w:tc>
        <w:tc>
          <w:tcPr>
            <w:tcW w:w="1270" w:type="dxa"/>
          </w:tcPr>
          <w:p w14:paraId="361B4B45" w14:textId="77777777" w:rsidR="0018787E" w:rsidRPr="0018787E" w:rsidRDefault="0018787E" w:rsidP="0018787E">
            <w:pPr>
              <w:spacing w:before="40"/>
              <w:rPr>
                <w:bCs/>
                <w:sz w:val="18"/>
                <w:szCs w:val="18"/>
                <w:lang w:val="en-GB"/>
              </w:rPr>
            </w:pPr>
            <w:r w:rsidRPr="0018787E">
              <w:rPr>
                <w:bCs/>
                <w:sz w:val="18"/>
                <w:szCs w:val="18"/>
                <w:lang w:val="en-GB"/>
              </w:rPr>
              <w:t>Total area (ha) of presently unmanaged mangrove for which regulations/ordinances are adopted to enable sustainable management</w:t>
            </w:r>
          </w:p>
        </w:tc>
        <w:tc>
          <w:tcPr>
            <w:tcW w:w="1270" w:type="dxa"/>
          </w:tcPr>
          <w:p w14:paraId="50236869" w14:textId="77777777" w:rsidR="0018787E" w:rsidRPr="0018787E" w:rsidRDefault="0018787E" w:rsidP="0018787E">
            <w:pPr>
              <w:spacing w:before="40"/>
              <w:rPr>
                <w:sz w:val="18"/>
                <w:szCs w:val="18"/>
                <w:lang w:val="en-GB"/>
              </w:rPr>
            </w:pPr>
            <w:r w:rsidRPr="0018787E">
              <w:rPr>
                <w:sz w:val="18"/>
                <w:szCs w:val="18"/>
                <w:lang w:val="en-GB"/>
              </w:rPr>
              <w:t>Legal frameworks to enable sustainable management of 56 percent of mangrove area in the SCS</w:t>
            </w:r>
          </w:p>
        </w:tc>
        <w:tc>
          <w:tcPr>
            <w:tcW w:w="1109" w:type="dxa"/>
          </w:tcPr>
          <w:p w14:paraId="796975E2" w14:textId="77777777" w:rsidR="0018787E" w:rsidRPr="0018787E" w:rsidRDefault="0018787E" w:rsidP="0018787E">
            <w:pPr>
              <w:spacing w:before="40"/>
              <w:rPr>
                <w:sz w:val="18"/>
                <w:szCs w:val="18"/>
                <w:lang w:val="en-GB"/>
              </w:rPr>
            </w:pPr>
            <w:r w:rsidRPr="0018787E">
              <w:rPr>
                <w:sz w:val="18"/>
                <w:szCs w:val="18"/>
                <w:lang w:val="en-GB"/>
              </w:rPr>
              <w:t>National expert consultations undertaken to agree priority needs for reform</w:t>
            </w:r>
          </w:p>
        </w:tc>
        <w:tc>
          <w:tcPr>
            <w:tcW w:w="1291" w:type="dxa"/>
          </w:tcPr>
          <w:p w14:paraId="5DDC54F6" w14:textId="77777777" w:rsidR="0018787E" w:rsidRPr="0018787E" w:rsidRDefault="0018787E" w:rsidP="0018787E">
            <w:pPr>
              <w:spacing w:before="40"/>
              <w:rPr>
                <w:sz w:val="18"/>
                <w:szCs w:val="18"/>
                <w:lang w:val="en-GB"/>
              </w:rPr>
            </w:pPr>
            <w:r w:rsidRPr="0018787E">
              <w:rPr>
                <w:sz w:val="18"/>
                <w:szCs w:val="18"/>
                <w:lang w:val="en-GB"/>
              </w:rPr>
              <w:t>Reform of laws and regulations for the sustainable use of 602,800 ha of mangrove forest.</w:t>
            </w:r>
          </w:p>
        </w:tc>
        <w:tc>
          <w:tcPr>
            <w:tcW w:w="1269" w:type="dxa"/>
          </w:tcPr>
          <w:p w14:paraId="68B456ED" w14:textId="77777777" w:rsidR="0018787E" w:rsidRPr="0018787E" w:rsidRDefault="0018787E" w:rsidP="0018787E">
            <w:pPr>
              <w:spacing w:before="40"/>
              <w:rPr>
                <w:sz w:val="18"/>
                <w:szCs w:val="18"/>
                <w:lang w:val="en-GB"/>
              </w:rPr>
            </w:pPr>
            <w:r w:rsidRPr="0018787E">
              <w:rPr>
                <w:sz w:val="18"/>
                <w:szCs w:val="18"/>
                <w:lang w:val="en-GB"/>
              </w:rPr>
              <w:t>Endorsed policies, executive orders, provincial/local ordinances and by-laws</w:t>
            </w:r>
          </w:p>
        </w:tc>
        <w:tc>
          <w:tcPr>
            <w:tcW w:w="1440" w:type="dxa"/>
          </w:tcPr>
          <w:p w14:paraId="6977C213" w14:textId="77777777" w:rsidR="0018787E" w:rsidRPr="0018787E" w:rsidRDefault="0018787E" w:rsidP="0018787E">
            <w:pPr>
              <w:rPr>
                <w:sz w:val="18"/>
                <w:szCs w:val="18"/>
                <w:lang w:val="en-GB"/>
              </w:rPr>
            </w:pPr>
            <w:r w:rsidRPr="0018787E">
              <w:rPr>
                <w:sz w:val="18"/>
                <w:szCs w:val="18"/>
                <w:lang w:val="en-GB"/>
              </w:rPr>
              <w:t>Quarterly</w:t>
            </w:r>
          </w:p>
          <w:p w14:paraId="325D3609" w14:textId="77777777" w:rsidR="0018787E" w:rsidRPr="0018787E" w:rsidRDefault="0018787E" w:rsidP="0018787E">
            <w:pPr>
              <w:rPr>
                <w:sz w:val="18"/>
                <w:szCs w:val="18"/>
                <w:lang w:val="en-GB"/>
              </w:rPr>
            </w:pPr>
          </w:p>
          <w:p w14:paraId="3CEEB6A9" w14:textId="77777777" w:rsidR="0018787E" w:rsidRPr="0018787E" w:rsidRDefault="0018787E" w:rsidP="0018787E">
            <w:pPr>
              <w:rPr>
                <w:sz w:val="18"/>
                <w:szCs w:val="18"/>
                <w:lang w:val="en-GB"/>
              </w:rPr>
            </w:pPr>
          </w:p>
          <w:p w14:paraId="2CE23E7F" w14:textId="77777777" w:rsidR="0018787E" w:rsidRPr="0018787E" w:rsidRDefault="0018787E" w:rsidP="0018787E">
            <w:pPr>
              <w:rPr>
                <w:sz w:val="18"/>
                <w:szCs w:val="18"/>
                <w:lang w:val="en-GB"/>
              </w:rPr>
            </w:pPr>
            <w:r w:rsidRPr="0018787E">
              <w:rPr>
                <w:sz w:val="18"/>
                <w:szCs w:val="18"/>
                <w:lang w:val="en-GB"/>
              </w:rPr>
              <w:t>Biannually</w:t>
            </w:r>
          </w:p>
          <w:p w14:paraId="7E846473" w14:textId="77777777" w:rsidR="0018787E" w:rsidRPr="0018787E" w:rsidRDefault="0018787E" w:rsidP="0018787E">
            <w:pPr>
              <w:rPr>
                <w:sz w:val="18"/>
                <w:szCs w:val="18"/>
                <w:lang w:val="en-GB"/>
              </w:rPr>
            </w:pPr>
          </w:p>
          <w:p w14:paraId="380E9992" w14:textId="77777777" w:rsidR="0018787E" w:rsidRPr="0018787E" w:rsidRDefault="0018787E" w:rsidP="0018787E">
            <w:pPr>
              <w:rPr>
                <w:sz w:val="18"/>
                <w:szCs w:val="18"/>
                <w:lang w:val="en-GB"/>
              </w:rPr>
            </w:pPr>
          </w:p>
          <w:p w14:paraId="23265161" w14:textId="77777777" w:rsidR="0018787E" w:rsidRPr="0018787E" w:rsidRDefault="0018787E" w:rsidP="0018787E">
            <w:pPr>
              <w:rPr>
                <w:sz w:val="18"/>
                <w:szCs w:val="18"/>
                <w:lang w:val="en-GB"/>
              </w:rPr>
            </w:pPr>
          </w:p>
          <w:p w14:paraId="100CB9D4"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5341A759" w14:textId="77777777" w:rsidR="0018787E" w:rsidRPr="0018787E" w:rsidRDefault="0018787E" w:rsidP="0018787E">
            <w:pPr>
              <w:rPr>
                <w:sz w:val="18"/>
                <w:szCs w:val="18"/>
                <w:lang w:val="en-GB"/>
              </w:rPr>
            </w:pPr>
            <w:r w:rsidRPr="0018787E">
              <w:rPr>
                <w:sz w:val="18"/>
                <w:szCs w:val="18"/>
                <w:lang w:val="en-GB"/>
              </w:rPr>
              <w:t>Site-level</w:t>
            </w:r>
          </w:p>
          <w:p w14:paraId="18BDD70D" w14:textId="77777777" w:rsidR="0018787E" w:rsidRPr="0018787E" w:rsidRDefault="0018787E" w:rsidP="0018787E">
            <w:pPr>
              <w:rPr>
                <w:sz w:val="18"/>
                <w:szCs w:val="18"/>
                <w:lang w:val="en-GB"/>
              </w:rPr>
            </w:pPr>
          </w:p>
          <w:p w14:paraId="45EFDFC5" w14:textId="77777777" w:rsidR="0018787E" w:rsidRPr="0018787E" w:rsidRDefault="0018787E" w:rsidP="0018787E">
            <w:pPr>
              <w:rPr>
                <w:sz w:val="18"/>
                <w:szCs w:val="18"/>
                <w:lang w:val="en-GB"/>
              </w:rPr>
            </w:pPr>
          </w:p>
          <w:p w14:paraId="1E685E70" w14:textId="77777777" w:rsidR="0018787E" w:rsidRPr="0018787E" w:rsidRDefault="0018787E" w:rsidP="0018787E">
            <w:pPr>
              <w:rPr>
                <w:sz w:val="18"/>
                <w:szCs w:val="18"/>
                <w:lang w:val="en-GB"/>
              </w:rPr>
            </w:pPr>
            <w:r w:rsidRPr="0018787E">
              <w:rPr>
                <w:sz w:val="18"/>
                <w:szCs w:val="18"/>
                <w:lang w:val="en-GB"/>
              </w:rPr>
              <w:t>National-level</w:t>
            </w:r>
          </w:p>
          <w:p w14:paraId="24FBA84F" w14:textId="77777777" w:rsidR="0018787E" w:rsidRPr="0018787E" w:rsidRDefault="0018787E" w:rsidP="0018787E">
            <w:pPr>
              <w:rPr>
                <w:sz w:val="18"/>
                <w:szCs w:val="18"/>
                <w:lang w:val="en-GB"/>
              </w:rPr>
            </w:pPr>
          </w:p>
          <w:p w14:paraId="6574AC53" w14:textId="77777777" w:rsidR="0018787E" w:rsidRPr="0018787E" w:rsidRDefault="0018787E" w:rsidP="0018787E">
            <w:pPr>
              <w:rPr>
                <w:sz w:val="18"/>
                <w:szCs w:val="18"/>
                <w:lang w:val="en-GB"/>
              </w:rPr>
            </w:pPr>
          </w:p>
          <w:p w14:paraId="4803CCE2" w14:textId="77777777" w:rsidR="0018787E" w:rsidRPr="0018787E" w:rsidRDefault="0018787E" w:rsidP="0018787E">
            <w:pPr>
              <w:rPr>
                <w:sz w:val="18"/>
                <w:szCs w:val="18"/>
                <w:lang w:val="en-GB"/>
              </w:rPr>
            </w:pPr>
            <w:r w:rsidRPr="0018787E">
              <w:rPr>
                <w:sz w:val="18"/>
                <w:szCs w:val="18"/>
                <w:lang w:val="en-GB"/>
              </w:rPr>
              <w:t>National -level</w:t>
            </w:r>
          </w:p>
        </w:tc>
        <w:tc>
          <w:tcPr>
            <w:tcW w:w="1350" w:type="dxa"/>
          </w:tcPr>
          <w:p w14:paraId="54D7E70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Mangrove Committees</w:t>
            </w:r>
          </w:p>
          <w:p w14:paraId="79C7953E"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78B55C36"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tc>
        <w:tc>
          <w:tcPr>
            <w:tcW w:w="810" w:type="dxa"/>
          </w:tcPr>
          <w:p w14:paraId="609F8B03"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63A4D49E"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2E43A862" w14:textId="77777777" w:rsidTr="0018787E">
        <w:tc>
          <w:tcPr>
            <w:tcW w:w="1319" w:type="dxa"/>
            <w:vMerge/>
          </w:tcPr>
          <w:p w14:paraId="01415C10" w14:textId="77777777" w:rsidR="0018787E" w:rsidRPr="0018787E" w:rsidRDefault="0018787E" w:rsidP="0018787E">
            <w:pPr>
              <w:rPr>
                <w:sz w:val="18"/>
                <w:szCs w:val="18"/>
                <w:lang w:val="en-GB"/>
              </w:rPr>
            </w:pPr>
          </w:p>
        </w:tc>
        <w:tc>
          <w:tcPr>
            <w:tcW w:w="1270" w:type="dxa"/>
          </w:tcPr>
          <w:p w14:paraId="43757EC5" w14:textId="77777777" w:rsidR="0018787E" w:rsidRPr="0018787E" w:rsidRDefault="0018787E" w:rsidP="0018787E">
            <w:pPr>
              <w:spacing w:before="40"/>
              <w:rPr>
                <w:sz w:val="18"/>
                <w:szCs w:val="18"/>
                <w:lang w:val="en-GB"/>
              </w:rPr>
            </w:pPr>
            <w:r w:rsidRPr="0018787E">
              <w:rPr>
                <w:bCs/>
                <w:sz w:val="18"/>
                <w:szCs w:val="18"/>
                <w:lang w:val="en-GB"/>
              </w:rPr>
              <w:t>Total area (ha) of deforested mangrove land rehabilitated</w:t>
            </w:r>
          </w:p>
        </w:tc>
        <w:tc>
          <w:tcPr>
            <w:tcW w:w="1270" w:type="dxa"/>
          </w:tcPr>
          <w:p w14:paraId="0D8D24D0" w14:textId="77777777" w:rsidR="0018787E" w:rsidRPr="0018787E" w:rsidRDefault="0018787E" w:rsidP="0018787E">
            <w:pPr>
              <w:spacing w:before="40"/>
              <w:rPr>
                <w:sz w:val="18"/>
                <w:szCs w:val="18"/>
                <w:lang w:val="en-GB"/>
              </w:rPr>
            </w:pPr>
            <w:r w:rsidRPr="0018787E">
              <w:rPr>
                <w:sz w:val="18"/>
                <w:szCs w:val="18"/>
                <w:lang w:val="en-GB"/>
              </w:rPr>
              <w:t>Decadal rate of loss of total mangrove area from SCS is estimated at 16 percent</w:t>
            </w:r>
          </w:p>
        </w:tc>
        <w:tc>
          <w:tcPr>
            <w:tcW w:w="1109" w:type="dxa"/>
          </w:tcPr>
          <w:p w14:paraId="7AC9E4F3" w14:textId="77777777" w:rsidR="0018787E" w:rsidRPr="0018787E" w:rsidRDefault="0018787E" w:rsidP="0018787E">
            <w:pPr>
              <w:rPr>
                <w:color w:val="FF0000"/>
                <w:sz w:val="18"/>
                <w:szCs w:val="18"/>
                <w:lang w:val="en-GB"/>
              </w:rPr>
            </w:pPr>
            <w:r w:rsidRPr="0018787E">
              <w:rPr>
                <w:sz w:val="18"/>
                <w:szCs w:val="18"/>
                <w:lang w:val="en-GB"/>
              </w:rPr>
              <w:t>Procedure developed and agreed for identifying priority areas for rehabilitation</w:t>
            </w:r>
          </w:p>
        </w:tc>
        <w:tc>
          <w:tcPr>
            <w:tcW w:w="1291" w:type="dxa"/>
          </w:tcPr>
          <w:p w14:paraId="2E61309F" w14:textId="77777777" w:rsidR="0018787E" w:rsidRPr="0018787E" w:rsidRDefault="0018787E" w:rsidP="0018787E">
            <w:pPr>
              <w:spacing w:before="40"/>
              <w:rPr>
                <w:sz w:val="18"/>
                <w:szCs w:val="18"/>
                <w:lang w:val="en-GB"/>
              </w:rPr>
            </w:pPr>
            <w:r w:rsidRPr="0018787E">
              <w:rPr>
                <w:sz w:val="18"/>
                <w:szCs w:val="18"/>
                <w:lang w:val="en-GB"/>
              </w:rPr>
              <w:t>Replanting of 21,000 ha of deforested mangrove land</w:t>
            </w:r>
          </w:p>
        </w:tc>
        <w:tc>
          <w:tcPr>
            <w:tcW w:w="1269" w:type="dxa"/>
          </w:tcPr>
          <w:p w14:paraId="6192FE6E" w14:textId="77777777" w:rsidR="0018787E" w:rsidRPr="0018787E" w:rsidRDefault="0018787E" w:rsidP="0018787E">
            <w:pPr>
              <w:spacing w:before="40"/>
              <w:rPr>
                <w:sz w:val="18"/>
                <w:szCs w:val="18"/>
                <w:lang w:val="en-GB"/>
              </w:rPr>
            </w:pPr>
            <w:r w:rsidRPr="0018787E">
              <w:rPr>
                <w:bCs/>
                <w:sz w:val="18"/>
                <w:szCs w:val="18"/>
                <w:lang w:val="en-GB"/>
              </w:rPr>
              <w:t>Maps and aerial imagery of rehabilitated mangrove areas</w:t>
            </w:r>
          </w:p>
        </w:tc>
        <w:tc>
          <w:tcPr>
            <w:tcW w:w="1440" w:type="dxa"/>
          </w:tcPr>
          <w:p w14:paraId="5F37A46A" w14:textId="77777777" w:rsidR="0018787E" w:rsidRPr="0018787E" w:rsidRDefault="0018787E" w:rsidP="0018787E">
            <w:pPr>
              <w:rPr>
                <w:sz w:val="18"/>
                <w:szCs w:val="18"/>
                <w:lang w:val="en-GB"/>
              </w:rPr>
            </w:pPr>
            <w:r w:rsidRPr="0018787E">
              <w:rPr>
                <w:sz w:val="18"/>
                <w:szCs w:val="18"/>
                <w:lang w:val="en-GB"/>
              </w:rPr>
              <w:t>Quarterly</w:t>
            </w:r>
          </w:p>
          <w:p w14:paraId="74AB6A45" w14:textId="77777777" w:rsidR="0018787E" w:rsidRPr="0018787E" w:rsidRDefault="0018787E" w:rsidP="0018787E">
            <w:pPr>
              <w:rPr>
                <w:sz w:val="18"/>
                <w:szCs w:val="18"/>
                <w:lang w:val="en-GB"/>
              </w:rPr>
            </w:pPr>
          </w:p>
          <w:p w14:paraId="6F18CB41" w14:textId="77777777" w:rsidR="0018787E" w:rsidRPr="0018787E" w:rsidRDefault="0018787E" w:rsidP="0018787E">
            <w:pPr>
              <w:rPr>
                <w:sz w:val="18"/>
                <w:szCs w:val="18"/>
                <w:lang w:val="en-GB"/>
              </w:rPr>
            </w:pPr>
          </w:p>
          <w:p w14:paraId="253A75ED" w14:textId="77777777" w:rsidR="0018787E" w:rsidRPr="0018787E" w:rsidRDefault="0018787E" w:rsidP="0018787E">
            <w:pPr>
              <w:rPr>
                <w:sz w:val="18"/>
                <w:szCs w:val="18"/>
                <w:lang w:val="en-GB"/>
              </w:rPr>
            </w:pPr>
            <w:r w:rsidRPr="0018787E">
              <w:rPr>
                <w:sz w:val="18"/>
                <w:szCs w:val="18"/>
                <w:lang w:val="en-GB"/>
              </w:rPr>
              <w:t>Biannually</w:t>
            </w:r>
          </w:p>
          <w:p w14:paraId="4ECABB92" w14:textId="77777777" w:rsidR="0018787E" w:rsidRPr="0018787E" w:rsidRDefault="0018787E" w:rsidP="0018787E">
            <w:pPr>
              <w:rPr>
                <w:sz w:val="18"/>
                <w:szCs w:val="18"/>
                <w:lang w:val="en-GB"/>
              </w:rPr>
            </w:pPr>
          </w:p>
          <w:p w14:paraId="528AABE6" w14:textId="77777777" w:rsidR="0018787E" w:rsidRPr="0018787E" w:rsidRDefault="0018787E" w:rsidP="0018787E">
            <w:pPr>
              <w:rPr>
                <w:sz w:val="18"/>
                <w:szCs w:val="18"/>
                <w:lang w:val="en-GB"/>
              </w:rPr>
            </w:pPr>
          </w:p>
          <w:p w14:paraId="2CF18AEB" w14:textId="77777777" w:rsidR="0018787E" w:rsidRPr="0018787E" w:rsidRDefault="0018787E" w:rsidP="0018787E">
            <w:pPr>
              <w:rPr>
                <w:sz w:val="18"/>
                <w:szCs w:val="18"/>
                <w:lang w:val="en-GB"/>
              </w:rPr>
            </w:pPr>
          </w:p>
          <w:p w14:paraId="496B3695"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3119CA78" w14:textId="77777777" w:rsidR="0018787E" w:rsidRPr="0018787E" w:rsidRDefault="0018787E" w:rsidP="0018787E">
            <w:pPr>
              <w:rPr>
                <w:sz w:val="18"/>
                <w:szCs w:val="18"/>
                <w:lang w:val="en-GB"/>
              </w:rPr>
            </w:pPr>
            <w:r w:rsidRPr="0018787E">
              <w:rPr>
                <w:sz w:val="18"/>
                <w:szCs w:val="18"/>
                <w:lang w:val="en-GB"/>
              </w:rPr>
              <w:t>Site-level</w:t>
            </w:r>
          </w:p>
          <w:p w14:paraId="45793D5A" w14:textId="77777777" w:rsidR="0018787E" w:rsidRPr="0018787E" w:rsidRDefault="0018787E" w:rsidP="0018787E">
            <w:pPr>
              <w:rPr>
                <w:sz w:val="18"/>
                <w:szCs w:val="18"/>
                <w:lang w:val="en-GB"/>
              </w:rPr>
            </w:pPr>
          </w:p>
          <w:p w14:paraId="573384C7" w14:textId="77777777" w:rsidR="0018787E" w:rsidRPr="0018787E" w:rsidRDefault="0018787E" w:rsidP="0018787E">
            <w:pPr>
              <w:rPr>
                <w:sz w:val="18"/>
                <w:szCs w:val="18"/>
                <w:lang w:val="en-GB"/>
              </w:rPr>
            </w:pPr>
          </w:p>
          <w:p w14:paraId="6E79B363" w14:textId="77777777" w:rsidR="0018787E" w:rsidRPr="0018787E" w:rsidRDefault="0018787E" w:rsidP="0018787E">
            <w:pPr>
              <w:rPr>
                <w:sz w:val="18"/>
                <w:szCs w:val="18"/>
                <w:lang w:val="en-GB"/>
              </w:rPr>
            </w:pPr>
            <w:r w:rsidRPr="0018787E">
              <w:rPr>
                <w:sz w:val="18"/>
                <w:szCs w:val="18"/>
                <w:lang w:val="en-GB"/>
              </w:rPr>
              <w:t>National-level</w:t>
            </w:r>
          </w:p>
          <w:p w14:paraId="4DE3C8C9" w14:textId="77777777" w:rsidR="0018787E" w:rsidRPr="0018787E" w:rsidRDefault="0018787E" w:rsidP="0018787E">
            <w:pPr>
              <w:rPr>
                <w:sz w:val="18"/>
                <w:szCs w:val="18"/>
                <w:lang w:val="en-GB"/>
              </w:rPr>
            </w:pPr>
          </w:p>
          <w:p w14:paraId="369AAF8C" w14:textId="77777777" w:rsidR="0018787E" w:rsidRPr="0018787E" w:rsidRDefault="0018787E" w:rsidP="0018787E">
            <w:pPr>
              <w:rPr>
                <w:sz w:val="18"/>
                <w:szCs w:val="18"/>
                <w:lang w:val="en-GB"/>
              </w:rPr>
            </w:pPr>
          </w:p>
          <w:p w14:paraId="674D503E" w14:textId="77777777" w:rsidR="0018787E" w:rsidRPr="0018787E" w:rsidRDefault="0018787E" w:rsidP="0018787E">
            <w:pPr>
              <w:rPr>
                <w:sz w:val="18"/>
                <w:szCs w:val="18"/>
                <w:lang w:val="en-GB"/>
              </w:rPr>
            </w:pPr>
            <w:r w:rsidRPr="0018787E">
              <w:rPr>
                <w:sz w:val="18"/>
                <w:szCs w:val="18"/>
                <w:lang w:val="en-GB"/>
              </w:rPr>
              <w:t>National -level</w:t>
            </w:r>
          </w:p>
        </w:tc>
        <w:tc>
          <w:tcPr>
            <w:tcW w:w="1350" w:type="dxa"/>
          </w:tcPr>
          <w:p w14:paraId="1C0C582E"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Mangrove Committees</w:t>
            </w:r>
          </w:p>
          <w:p w14:paraId="209FA7A4"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27EF0AA2"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tc>
        <w:tc>
          <w:tcPr>
            <w:tcW w:w="810" w:type="dxa"/>
          </w:tcPr>
          <w:p w14:paraId="1877AA57"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41CE9C01"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4609006E" w14:textId="77777777" w:rsidTr="0018787E">
        <w:tc>
          <w:tcPr>
            <w:tcW w:w="1319" w:type="dxa"/>
            <w:vMerge/>
          </w:tcPr>
          <w:p w14:paraId="749F7F28" w14:textId="77777777" w:rsidR="0018787E" w:rsidRPr="0018787E" w:rsidRDefault="0018787E" w:rsidP="0018787E">
            <w:pPr>
              <w:rPr>
                <w:sz w:val="18"/>
                <w:szCs w:val="18"/>
                <w:lang w:val="en-GB"/>
              </w:rPr>
            </w:pPr>
          </w:p>
        </w:tc>
        <w:tc>
          <w:tcPr>
            <w:tcW w:w="1270" w:type="dxa"/>
          </w:tcPr>
          <w:p w14:paraId="25DE0D48" w14:textId="77777777" w:rsidR="0018787E" w:rsidRPr="0018787E" w:rsidRDefault="0018787E" w:rsidP="0018787E">
            <w:pPr>
              <w:spacing w:before="40"/>
              <w:rPr>
                <w:bCs/>
                <w:sz w:val="18"/>
                <w:szCs w:val="18"/>
                <w:lang w:val="en-GB"/>
              </w:rPr>
            </w:pPr>
            <w:r w:rsidRPr="0018787E">
              <w:rPr>
                <w:bCs/>
                <w:sz w:val="18"/>
                <w:szCs w:val="18"/>
                <w:lang w:val="en-GB"/>
              </w:rPr>
              <w:t>Measures of ecological &amp; environmental indicators at enrichment planting sites: forest cover; number and diversity of true mangrove species; and size and abundance of Scylla spp and Sesarma spp</w:t>
            </w:r>
          </w:p>
        </w:tc>
        <w:tc>
          <w:tcPr>
            <w:tcW w:w="1270" w:type="dxa"/>
          </w:tcPr>
          <w:p w14:paraId="52B03E6C" w14:textId="77777777" w:rsidR="0018787E" w:rsidRPr="0018787E" w:rsidRDefault="0018787E" w:rsidP="0018787E">
            <w:pPr>
              <w:spacing w:before="40"/>
              <w:rPr>
                <w:sz w:val="18"/>
                <w:szCs w:val="18"/>
                <w:lang w:val="en-GB"/>
              </w:rPr>
            </w:pPr>
            <w:r w:rsidRPr="0018787E">
              <w:rPr>
                <w:sz w:val="18"/>
                <w:szCs w:val="18"/>
                <w:lang w:val="en-GB"/>
              </w:rPr>
              <w:t>Predominantly single-species mangrove</w:t>
            </w:r>
          </w:p>
          <w:p w14:paraId="4E57A913" w14:textId="77777777" w:rsidR="0018787E" w:rsidRPr="0018787E" w:rsidRDefault="0018787E" w:rsidP="0018787E">
            <w:pPr>
              <w:spacing w:before="40"/>
              <w:rPr>
                <w:sz w:val="18"/>
                <w:szCs w:val="18"/>
                <w:lang w:val="en-GB"/>
              </w:rPr>
            </w:pPr>
            <w:r w:rsidRPr="0018787E">
              <w:rPr>
                <w:sz w:val="18"/>
                <w:szCs w:val="18"/>
                <w:lang w:val="en-GB"/>
              </w:rPr>
              <w:t>reforestation initiatives over recent decades have compromised biodiversity and hazard risk reduction potential of rehabilitated mangrove areas</w:t>
            </w:r>
          </w:p>
        </w:tc>
        <w:tc>
          <w:tcPr>
            <w:tcW w:w="1109" w:type="dxa"/>
          </w:tcPr>
          <w:p w14:paraId="13FE10B3" w14:textId="77777777" w:rsidR="0018787E" w:rsidRPr="0018787E" w:rsidRDefault="0018787E" w:rsidP="0018787E">
            <w:pPr>
              <w:rPr>
                <w:sz w:val="18"/>
                <w:szCs w:val="18"/>
                <w:lang w:val="en-GB"/>
              </w:rPr>
            </w:pPr>
            <w:r w:rsidRPr="0018787E">
              <w:rPr>
                <w:sz w:val="18"/>
                <w:szCs w:val="18"/>
                <w:lang w:val="en-GB"/>
              </w:rPr>
              <w:t xml:space="preserve">Procedure developed and agreed for identifying priority areas for enrichment planting </w:t>
            </w:r>
          </w:p>
        </w:tc>
        <w:tc>
          <w:tcPr>
            <w:tcW w:w="1291" w:type="dxa"/>
          </w:tcPr>
          <w:p w14:paraId="14D371DB" w14:textId="77777777" w:rsidR="0018787E" w:rsidRPr="0018787E" w:rsidRDefault="0018787E" w:rsidP="0018787E">
            <w:pPr>
              <w:spacing w:before="40"/>
              <w:rPr>
                <w:sz w:val="18"/>
                <w:szCs w:val="18"/>
                <w:lang w:val="en-GB"/>
              </w:rPr>
            </w:pPr>
            <w:r w:rsidRPr="0018787E">
              <w:rPr>
                <w:sz w:val="18"/>
                <w:szCs w:val="18"/>
                <w:lang w:val="en-GB"/>
              </w:rPr>
              <w:t>Biodiversity increased for 11,200 ha of mangrove forest via enrichment planting</w:t>
            </w:r>
          </w:p>
        </w:tc>
        <w:tc>
          <w:tcPr>
            <w:tcW w:w="1269" w:type="dxa"/>
          </w:tcPr>
          <w:p w14:paraId="0EC39556" w14:textId="77777777" w:rsidR="0018787E" w:rsidRPr="0018787E" w:rsidRDefault="0018787E" w:rsidP="0018787E">
            <w:pPr>
              <w:spacing w:before="40"/>
              <w:rPr>
                <w:sz w:val="18"/>
                <w:szCs w:val="18"/>
                <w:lang w:val="en-GB"/>
              </w:rPr>
            </w:pPr>
            <w:r w:rsidRPr="0018787E">
              <w:rPr>
                <w:sz w:val="18"/>
                <w:szCs w:val="18"/>
                <w:lang w:val="en-GB"/>
              </w:rPr>
              <w:t>Updated site characterisations for enrichment planting sites, including ecological and socio-economic data</w:t>
            </w:r>
          </w:p>
        </w:tc>
        <w:tc>
          <w:tcPr>
            <w:tcW w:w="1440" w:type="dxa"/>
          </w:tcPr>
          <w:p w14:paraId="0044AF41" w14:textId="77777777" w:rsidR="0018787E" w:rsidRPr="0018787E" w:rsidRDefault="0018787E" w:rsidP="0018787E">
            <w:pPr>
              <w:rPr>
                <w:sz w:val="18"/>
                <w:szCs w:val="18"/>
                <w:lang w:val="en-GB"/>
              </w:rPr>
            </w:pPr>
            <w:r w:rsidRPr="0018787E">
              <w:rPr>
                <w:sz w:val="18"/>
                <w:szCs w:val="18"/>
                <w:lang w:val="en-GB"/>
              </w:rPr>
              <w:t>Quarterly</w:t>
            </w:r>
          </w:p>
          <w:p w14:paraId="66040E21" w14:textId="77777777" w:rsidR="0018787E" w:rsidRPr="0018787E" w:rsidRDefault="0018787E" w:rsidP="0018787E">
            <w:pPr>
              <w:rPr>
                <w:sz w:val="18"/>
                <w:szCs w:val="18"/>
                <w:lang w:val="en-GB"/>
              </w:rPr>
            </w:pPr>
          </w:p>
          <w:p w14:paraId="449EE6B3" w14:textId="77777777" w:rsidR="0018787E" w:rsidRPr="0018787E" w:rsidRDefault="0018787E" w:rsidP="0018787E">
            <w:pPr>
              <w:rPr>
                <w:sz w:val="18"/>
                <w:szCs w:val="18"/>
                <w:lang w:val="en-GB"/>
              </w:rPr>
            </w:pPr>
          </w:p>
          <w:p w14:paraId="1F0539AB" w14:textId="77777777" w:rsidR="0018787E" w:rsidRPr="0018787E" w:rsidRDefault="0018787E" w:rsidP="0018787E">
            <w:pPr>
              <w:rPr>
                <w:sz w:val="18"/>
                <w:szCs w:val="18"/>
                <w:lang w:val="en-GB"/>
              </w:rPr>
            </w:pPr>
            <w:r w:rsidRPr="0018787E">
              <w:rPr>
                <w:sz w:val="18"/>
                <w:szCs w:val="18"/>
                <w:lang w:val="en-GB"/>
              </w:rPr>
              <w:t>Biannually</w:t>
            </w:r>
          </w:p>
          <w:p w14:paraId="26822A64" w14:textId="77777777" w:rsidR="0018787E" w:rsidRPr="0018787E" w:rsidRDefault="0018787E" w:rsidP="0018787E">
            <w:pPr>
              <w:rPr>
                <w:sz w:val="18"/>
                <w:szCs w:val="18"/>
                <w:lang w:val="en-GB"/>
              </w:rPr>
            </w:pPr>
          </w:p>
          <w:p w14:paraId="6AA10CED" w14:textId="77777777" w:rsidR="0018787E" w:rsidRPr="0018787E" w:rsidRDefault="0018787E" w:rsidP="0018787E">
            <w:pPr>
              <w:rPr>
                <w:sz w:val="18"/>
                <w:szCs w:val="18"/>
                <w:lang w:val="en-GB"/>
              </w:rPr>
            </w:pPr>
          </w:p>
          <w:p w14:paraId="3F79CEB1" w14:textId="77777777" w:rsidR="0018787E" w:rsidRPr="0018787E" w:rsidRDefault="0018787E" w:rsidP="0018787E">
            <w:pPr>
              <w:rPr>
                <w:sz w:val="18"/>
                <w:szCs w:val="18"/>
                <w:lang w:val="en-GB"/>
              </w:rPr>
            </w:pPr>
          </w:p>
          <w:p w14:paraId="3EFB3A09"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46EE4E06" w14:textId="77777777" w:rsidR="0018787E" w:rsidRPr="0018787E" w:rsidRDefault="0018787E" w:rsidP="0018787E">
            <w:pPr>
              <w:rPr>
                <w:sz w:val="18"/>
                <w:szCs w:val="18"/>
                <w:lang w:val="en-GB"/>
              </w:rPr>
            </w:pPr>
            <w:r w:rsidRPr="0018787E">
              <w:rPr>
                <w:sz w:val="18"/>
                <w:szCs w:val="18"/>
                <w:lang w:val="en-GB"/>
              </w:rPr>
              <w:t>Site-level</w:t>
            </w:r>
          </w:p>
          <w:p w14:paraId="3F342574" w14:textId="77777777" w:rsidR="0018787E" w:rsidRPr="0018787E" w:rsidRDefault="0018787E" w:rsidP="0018787E">
            <w:pPr>
              <w:rPr>
                <w:sz w:val="18"/>
                <w:szCs w:val="18"/>
                <w:lang w:val="en-GB"/>
              </w:rPr>
            </w:pPr>
          </w:p>
          <w:p w14:paraId="4E8DB4D9" w14:textId="77777777" w:rsidR="0018787E" w:rsidRPr="0018787E" w:rsidRDefault="0018787E" w:rsidP="0018787E">
            <w:pPr>
              <w:rPr>
                <w:sz w:val="18"/>
                <w:szCs w:val="18"/>
                <w:lang w:val="en-GB"/>
              </w:rPr>
            </w:pPr>
          </w:p>
          <w:p w14:paraId="2D5FBD47" w14:textId="77777777" w:rsidR="0018787E" w:rsidRPr="0018787E" w:rsidRDefault="0018787E" w:rsidP="0018787E">
            <w:pPr>
              <w:rPr>
                <w:sz w:val="18"/>
                <w:szCs w:val="18"/>
                <w:lang w:val="en-GB"/>
              </w:rPr>
            </w:pPr>
            <w:r w:rsidRPr="0018787E">
              <w:rPr>
                <w:sz w:val="18"/>
                <w:szCs w:val="18"/>
                <w:lang w:val="en-GB"/>
              </w:rPr>
              <w:t>National-level</w:t>
            </w:r>
          </w:p>
          <w:p w14:paraId="4CED1B78" w14:textId="77777777" w:rsidR="0018787E" w:rsidRPr="0018787E" w:rsidRDefault="0018787E" w:rsidP="0018787E">
            <w:pPr>
              <w:rPr>
                <w:sz w:val="18"/>
                <w:szCs w:val="18"/>
                <w:lang w:val="en-GB"/>
              </w:rPr>
            </w:pPr>
          </w:p>
          <w:p w14:paraId="3F4399CB" w14:textId="77777777" w:rsidR="0018787E" w:rsidRPr="0018787E" w:rsidRDefault="0018787E" w:rsidP="0018787E">
            <w:pPr>
              <w:rPr>
                <w:sz w:val="18"/>
                <w:szCs w:val="18"/>
                <w:lang w:val="en-GB"/>
              </w:rPr>
            </w:pPr>
          </w:p>
          <w:p w14:paraId="1F6FDA5D" w14:textId="77777777" w:rsidR="0018787E" w:rsidRPr="0018787E" w:rsidRDefault="0018787E" w:rsidP="0018787E">
            <w:pPr>
              <w:rPr>
                <w:sz w:val="18"/>
                <w:szCs w:val="18"/>
                <w:lang w:val="en-GB"/>
              </w:rPr>
            </w:pPr>
            <w:r w:rsidRPr="0018787E">
              <w:rPr>
                <w:sz w:val="18"/>
                <w:szCs w:val="18"/>
                <w:lang w:val="en-GB"/>
              </w:rPr>
              <w:t>National -level</w:t>
            </w:r>
          </w:p>
        </w:tc>
        <w:tc>
          <w:tcPr>
            <w:tcW w:w="1350" w:type="dxa"/>
          </w:tcPr>
          <w:p w14:paraId="2118DE8E"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Mangrove Committees</w:t>
            </w:r>
          </w:p>
          <w:p w14:paraId="521EACF9"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7DDEBFEB"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tc>
        <w:tc>
          <w:tcPr>
            <w:tcW w:w="810" w:type="dxa"/>
          </w:tcPr>
          <w:p w14:paraId="6575970D"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6B30B126"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29E82257" w14:textId="77777777" w:rsidTr="0018787E">
        <w:tc>
          <w:tcPr>
            <w:tcW w:w="1319" w:type="dxa"/>
            <w:vMerge w:val="restart"/>
            <w:vAlign w:val="center"/>
          </w:tcPr>
          <w:p w14:paraId="62625F17" w14:textId="77777777" w:rsidR="0018787E" w:rsidRPr="0018787E" w:rsidRDefault="0018787E" w:rsidP="0018787E">
            <w:pPr>
              <w:rPr>
                <w:sz w:val="18"/>
                <w:szCs w:val="18"/>
                <w:lang w:val="en-GB"/>
              </w:rPr>
            </w:pPr>
            <w:r w:rsidRPr="0018787E">
              <w:rPr>
                <w:sz w:val="18"/>
                <w:szCs w:val="18"/>
                <w:lang w:val="en-GB"/>
              </w:rPr>
              <w:t>1.2: 153,000 ha of coral reef at 82 priority sites managed sustainably by Yr 5, including a reduction in the decadal rate of degradation in live coral cover from 16 to 5%</w:t>
            </w:r>
          </w:p>
        </w:tc>
        <w:tc>
          <w:tcPr>
            <w:tcW w:w="1270" w:type="dxa"/>
          </w:tcPr>
          <w:p w14:paraId="72E6DB1B" w14:textId="77777777" w:rsidR="0018787E" w:rsidRPr="0018787E" w:rsidRDefault="0018787E" w:rsidP="0018787E">
            <w:pPr>
              <w:rPr>
                <w:sz w:val="18"/>
                <w:szCs w:val="18"/>
                <w:lang w:val="en-GB" w:bidi="th-TH"/>
              </w:rPr>
            </w:pPr>
            <w:r w:rsidRPr="0018787E">
              <w:rPr>
                <w:sz w:val="18"/>
                <w:szCs w:val="18"/>
                <w:lang w:val="en-GB" w:bidi="th-TH"/>
              </w:rPr>
              <w:t>Status of management capacity, including:</w:t>
            </w:r>
          </w:p>
          <w:p w14:paraId="1D708E47" w14:textId="77777777" w:rsidR="0018787E" w:rsidRPr="0018787E" w:rsidRDefault="0018787E" w:rsidP="0018787E">
            <w:pPr>
              <w:numPr>
                <w:ilvl w:val="0"/>
                <w:numId w:val="29"/>
              </w:numPr>
              <w:ind w:left="194" w:hanging="180"/>
              <w:contextualSpacing/>
              <w:rPr>
                <w:sz w:val="18"/>
                <w:szCs w:val="18"/>
                <w:lang w:val="en-GB" w:bidi="th-TH"/>
              </w:rPr>
            </w:pPr>
            <w:r w:rsidRPr="0018787E">
              <w:rPr>
                <w:sz w:val="18"/>
                <w:szCs w:val="18"/>
                <w:lang w:val="en-GB" w:bidi="th-TH"/>
              </w:rPr>
              <w:t>Human resource capacity;</w:t>
            </w:r>
          </w:p>
          <w:p w14:paraId="020EE9D3" w14:textId="77777777" w:rsidR="0018787E" w:rsidRPr="0018787E" w:rsidRDefault="0018787E" w:rsidP="0018787E">
            <w:pPr>
              <w:numPr>
                <w:ilvl w:val="0"/>
                <w:numId w:val="29"/>
              </w:numPr>
              <w:ind w:left="194" w:hanging="180"/>
              <w:contextualSpacing/>
              <w:rPr>
                <w:sz w:val="18"/>
                <w:szCs w:val="18"/>
                <w:lang w:val="en-GB" w:bidi="th-TH"/>
              </w:rPr>
            </w:pPr>
            <w:r w:rsidRPr="0018787E">
              <w:rPr>
                <w:sz w:val="18"/>
                <w:szCs w:val="18"/>
                <w:lang w:val="en-GB" w:bidi="th-TH"/>
              </w:rPr>
              <w:t>Facilities and equipment; and</w:t>
            </w:r>
          </w:p>
          <w:p w14:paraId="112D07B1" w14:textId="77777777" w:rsidR="0018787E" w:rsidRPr="0018787E" w:rsidRDefault="0018787E" w:rsidP="0018787E">
            <w:pPr>
              <w:numPr>
                <w:ilvl w:val="0"/>
                <w:numId w:val="29"/>
              </w:numPr>
              <w:ind w:left="194" w:hanging="180"/>
              <w:contextualSpacing/>
              <w:rPr>
                <w:sz w:val="18"/>
                <w:szCs w:val="18"/>
                <w:lang w:val="en-GB" w:bidi="th-TH"/>
              </w:rPr>
            </w:pPr>
            <w:r w:rsidRPr="0018787E">
              <w:rPr>
                <w:sz w:val="18"/>
                <w:szCs w:val="18"/>
                <w:lang w:val="en-GB" w:bidi="th-TH"/>
              </w:rPr>
              <w:t>Sustainable financing</w:t>
            </w:r>
          </w:p>
        </w:tc>
        <w:tc>
          <w:tcPr>
            <w:tcW w:w="1270" w:type="dxa"/>
          </w:tcPr>
          <w:p w14:paraId="078CC216" w14:textId="77777777" w:rsidR="0018787E" w:rsidRPr="0018787E" w:rsidRDefault="0018787E" w:rsidP="0018787E">
            <w:pPr>
              <w:spacing w:before="40"/>
              <w:rPr>
                <w:sz w:val="18"/>
                <w:szCs w:val="18"/>
                <w:lang w:val="en-GB"/>
              </w:rPr>
            </w:pPr>
            <w:r w:rsidRPr="0018787E">
              <w:rPr>
                <w:sz w:val="18"/>
                <w:szCs w:val="18"/>
                <w:lang w:val="en-GB"/>
              </w:rPr>
              <w:t>13 of 82 priority coral reef sites in the SCS characterised as being sustainably management due to management capacity constraints</w:t>
            </w:r>
          </w:p>
        </w:tc>
        <w:tc>
          <w:tcPr>
            <w:tcW w:w="1109" w:type="dxa"/>
          </w:tcPr>
          <w:p w14:paraId="3DFE73A0" w14:textId="77777777" w:rsidR="0018787E" w:rsidRPr="0018787E" w:rsidRDefault="0018787E" w:rsidP="0018787E">
            <w:pPr>
              <w:rPr>
                <w:sz w:val="18"/>
                <w:szCs w:val="18"/>
                <w:lang w:val="en-GB"/>
              </w:rPr>
            </w:pPr>
            <w:r w:rsidRPr="0018787E">
              <w:rPr>
                <w:sz w:val="18"/>
                <w:szCs w:val="18"/>
                <w:lang w:val="en-GB"/>
              </w:rPr>
              <w:t>Training programme syllabus developed by international consortium of educational institutes, including agreed programme of capacity building activities at the 82 sites</w:t>
            </w:r>
          </w:p>
        </w:tc>
        <w:tc>
          <w:tcPr>
            <w:tcW w:w="1291" w:type="dxa"/>
          </w:tcPr>
          <w:p w14:paraId="65A68C5A" w14:textId="77777777" w:rsidR="0018787E" w:rsidRPr="0018787E" w:rsidRDefault="0018787E" w:rsidP="0018787E">
            <w:pPr>
              <w:spacing w:before="40"/>
              <w:rPr>
                <w:sz w:val="18"/>
                <w:szCs w:val="18"/>
                <w:lang w:val="en-GB"/>
              </w:rPr>
            </w:pPr>
            <w:r w:rsidRPr="0018787E">
              <w:rPr>
                <w:sz w:val="18"/>
                <w:szCs w:val="18"/>
                <w:lang w:val="en-GB"/>
              </w:rPr>
              <w:t>Management capacity  built for 82 coral reef sites</w:t>
            </w:r>
          </w:p>
        </w:tc>
        <w:tc>
          <w:tcPr>
            <w:tcW w:w="1269" w:type="dxa"/>
          </w:tcPr>
          <w:p w14:paraId="4163409F" w14:textId="77777777" w:rsidR="0018787E" w:rsidRPr="0018787E" w:rsidRDefault="0018787E" w:rsidP="0018787E">
            <w:pPr>
              <w:spacing w:before="40"/>
              <w:rPr>
                <w:bCs/>
                <w:sz w:val="18"/>
                <w:szCs w:val="18"/>
                <w:lang w:val="en-GB"/>
              </w:rPr>
            </w:pPr>
            <w:r w:rsidRPr="0018787E">
              <w:rPr>
                <w:bCs/>
                <w:sz w:val="18"/>
                <w:szCs w:val="18"/>
                <w:lang w:val="en-GB"/>
              </w:rPr>
              <w:t xml:space="preserve">Assessment of government and civil society organisation competencies and mgmt. capacity developments needs </w:t>
            </w:r>
          </w:p>
          <w:p w14:paraId="17B2EB22" w14:textId="77777777" w:rsidR="0018787E" w:rsidRPr="0018787E" w:rsidRDefault="0018787E" w:rsidP="0018787E">
            <w:pPr>
              <w:spacing w:before="40"/>
              <w:rPr>
                <w:bCs/>
                <w:sz w:val="18"/>
                <w:szCs w:val="18"/>
                <w:lang w:val="en-GB"/>
              </w:rPr>
            </w:pPr>
            <w:r w:rsidRPr="0018787E">
              <w:rPr>
                <w:bCs/>
                <w:sz w:val="18"/>
                <w:szCs w:val="18"/>
                <w:lang w:val="en-GB"/>
              </w:rPr>
              <w:t>Report of capacity building initiatives</w:t>
            </w:r>
          </w:p>
        </w:tc>
        <w:tc>
          <w:tcPr>
            <w:tcW w:w="1440" w:type="dxa"/>
          </w:tcPr>
          <w:p w14:paraId="45F322E3" w14:textId="77777777" w:rsidR="0018787E" w:rsidRPr="0018787E" w:rsidRDefault="0018787E" w:rsidP="0018787E">
            <w:pPr>
              <w:rPr>
                <w:sz w:val="18"/>
                <w:szCs w:val="18"/>
                <w:lang w:val="en-GB"/>
              </w:rPr>
            </w:pPr>
            <w:r w:rsidRPr="0018787E">
              <w:rPr>
                <w:sz w:val="18"/>
                <w:szCs w:val="18"/>
                <w:lang w:val="en-GB"/>
              </w:rPr>
              <w:t>Quarterly</w:t>
            </w:r>
          </w:p>
          <w:p w14:paraId="1B8E2666" w14:textId="77777777" w:rsidR="0018787E" w:rsidRPr="0018787E" w:rsidRDefault="0018787E" w:rsidP="0018787E">
            <w:pPr>
              <w:rPr>
                <w:sz w:val="18"/>
                <w:szCs w:val="18"/>
                <w:lang w:val="en-GB"/>
              </w:rPr>
            </w:pPr>
          </w:p>
          <w:p w14:paraId="3763D8EB" w14:textId="77777777" w:rsidR="0018787E" w:rsidRPr="0018787E" w:rsidRDefault="0018787E" w:rsidP="0018787E">
            <w:pPr>
              <w:rPr>
                <w:sz w:val="18"/>
                <w:szCs w:val="18"/>
                <w:lang w:val="en-GB"/>
              </w:rPr>
            </w:pPr>
          </w:p>
          <w:p w14:paraId="0C857C40" w14:textId="77777777" w:rsidR="0018787E" w:rsidRPr="0018787E" w:rsidRDefault="0018787E" w:rsidP="0018787E">
            <w:pPr>
              <w:rPr>
                <w:sz w:val="18"/>
                <w:szCs w:val="18"/>
                <w:lang w:val="en-GB"/>
              </w:rPr>
            </w:pPr>
            <w:r w:rsidRPr="0018787E">
              <w:rPr>
                <w:sz w:val="18"/>
                <w:szCs w:val="18"/>
                <w:lang w:val="en-GB"/>
              </w:rPr>
              <w:t>Biannually</w:t>
            </w:r>
          </w:p>
          <w:p w14:paraId="77FC64A9" w14:textId="77777777" w:rsidR="0018787E" w:rsidRPr="0018787E" w:rsidRDefault="0018787E" w:rsidP="0018787E">
            <w:pPr>
              <w:rPr>
                <w:sz w:val="18"/>
                <w:szCs w:val="18"/>
                <w:lang w:val="en-GB"/>
              </w:rPr>
            </w:pPr>
          </w:p>
          <w:p w14:paraId="28AE9730" w14:textId="77777777" w:rsidR="0018787E" w:rsidRPr="0018787E" w:rsidRDefault="0018787E" w:rsidP="0018787E">
            <w:pPr>
              <w:rPr>
                <w:sz w:val="18"/>
                <w:szCs w:val="18"/>
                <w:lang w:val="en-GB"/>
              </w:rPr>
            </w:pPr>
          </w:p>
          <w:p w14:paraId="4CEAE693" w14:textId="77777777" w:rsidR="0018787E" w:rsidRPr="0018787E" w:rsidRDefault="0018787E" w:rsidP="0018787E">
            <w:pPr>
              <w:rPr>
                <w:sz w:val="18"/>
                <w:szCs w:val="18"/>
                <w:lang w:val="en-GB"/>
              </w:rPr>
            </w:pPr>
          </w:p>
          <w:p w14:paraId="6A9C82F2"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11586D30" w14:textId="77777777" w:rsidR="0018787E" w:rsidRPr="0018787E" w:rsidRDefault="0018787E" w:rsidP="0018787E">
            <w:pPr>
              <w:rPr>
                <w:sz w:val="18"/>
                <w:szCs w:val="18"/>
                <w:lang w:val="en-GB"/>
              </w:rPr>
            </w:pPr>
            <w:r w:rsidRPr="0018787E">
              <w:rPr>
                <w:sz w:val="18"/>
                <w:szCs w:val="18"/>
                <w:lang w:val="en-GB"/>
              </w:rPr>
              <w:t>Site-level</w:t>
            </w:r>
          </w:p>
          <w:p w14:paraId="086173CD" w14:textId="77777777" w:rsidR="0018787E" w:rsidRPr="0018787E" w:rsidRDefault="0018787E" w:rsidP="0018787E">
            <w:pPr>
              <w:rPr>
                <w:sz w:val="18"/>
                <w:szCs w:val="18"/>
                <w:lang w:val="en-GB"/>
              </w:rPr>
            </w:pPr>
          </w:p>
          <w:p w14:paraId="1DA43D24" w14:textId="77777777" w:rsidR="0018787E" w:rsidRPr="0018787E" w:rsidRDefault="0018787E" w:rsidP="0018787E">
            <w:pPr>
              <w:rPr>
                <w:sz w:val="18"/>
                <w:szCs w:val="18"/>
                <w:lang w:val="en-GB"/>
              </w:rPr>
            </w:pPr>
          </w:p>
          <w:p w14:paraId="40CA545C" w14:textId="77777777" w:rsidR="0018787E" w:rsidRPr="0018787E" w:rsidRDefault="0018787E" w:rsidP="0018787E">
            <w:pPr>
              <w:rPr>
                <w:sz w:val="18"/>
                <w:szCs w:val="18"/>
                <w:lang w:val="en-GB"/>
              </w:rPr>
            </w:pPr>
            <w:r w:rsidRPr="0018787E">
              <w:rPr>
                <w:sz w:val="18"/>
                <w:szCs w:val="18"/>
                <w:lang w:val="en-GB"/>
              </w:rPr>
              <w:t>National-level</w:t>
            </w:r>
          </w:p>
          <w:p w14:paraId="2D1335CC" w14:textId="77777777" w:rsidR="0018787E" w:rsidRPr="0018787E" w:rsidRDefault="0018787E" w:rsidP="0018787E">
            <w:pPr>
              <w:rPr>
                <w:sz w:val="18"/>
                <w:szCs w:val="18"/>
                <w:lang w:val="en-GB"/>
              </w:rPr>
            </w:pPr>
          </w:p>
          <w:p w14:paraId="5503ADEC" w14:textId="77777777" w:rsidR="0018787E" w:rsidRPr="0018787E" w:rsidRDefault="0018787E" w:rsidP="0018787E">
            <w:pPr>
              <w:rPr>
                <w:sz w:val="18"/>
                <w:szCs w:val="18"/>
                <w:lang w:val="en-GB"/>
              </w:rPr>
            </w:pPr>
          </w:p>
          <w:p w14:paraId="09341646" w14:textId="77777777" w:rsidR="0018787E" w:rsidRPr="0018787E" w:rsidRDefault="0018787E" w:rsidP="0018787E">
            <w:pPr>
              <w:rPr>
                <w:sz w:val="18"/>
                <w:szCs w:val="18"/>
                <w:lang w:val="en-GB"/>
              </w:rPr>
            </w:pPr>
            <w:r w:rsidRPr="0018787E">
              <w:rPr>
                <w:sz w:val="18"/>
                <w:szCs w:val="18"/>
                <w:lang w:val="en-GB"/>
              </w:rPr>
              <w:t>National -level</w:t>
            </w:r>
          </w:p>
        </w:tc>
        <w:tc>
          <w:tcPr>
            <w:tcW w:w="1350" w:type="dxa"/>
          </w:tcPr>
          <w:p w14:paraId="2E471F3F"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Coral Reef Committees</w:t>
            </w:r>
          </w:p>
          <w:p w14:paraId="798686FB"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38F535E2"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tc>
        <w:tc>
          <w:tcPr>
            <w:tcW w:w="810" w:type="dxa"/>
          </w:tcPr>
          <w:p w14:paraId="3220EBC1"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34011DFC"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0A045A5F" w14:textId="77777777" w:rsidTr="0018787E">
        <w:tc>
          <w:tcPr>
            <w:tcW w:w="1319" w:type="dxa"/>
            <w:vMerge/>
          </w:tcPr>
          <w:p w14:paraId="497A3C9F" w14:textId="77777777" w:rsidR="0018787E" w:rsidRPr="0018787E" w:rsidRDefault="0018787E" w:rsidP="0018787E">
            <w:pPr>
              <w:rPr>
                <w:sz w:val="18"/>
                <w:szCs w:val="18"/>
                <w:lang w:val="en-GB"/>
              </w:rPr>
            </w:pPr>
          </w:p>
        </w:tc>
        <w:tc>
          <w:tcPr>
            <w:tcW w:w="1270" w:type="dxa"/>
          </w:tcPr>
          <w:p w14:paraId="71747181" w14:textId="77777777" w:rsidR="0018787E" w:rsidRPr="0018787E" w:rsidRDefault="0018787E" w:rsidP="0018787E">
            <w:pPr>
              <w:spacing w:before="40"/>
              <w:rPr>
                <w:bCs/>
                <w:sz w:val="18"/>
                <w:szCs w:val="18"/>
                <w:lang w:val="en-GB"/>
              </w:rPr>
            </w:pPr>
            <w:r w:rsidRPr="0018787E">
              <w:rPr>
                <w:bCs/>
                <w:sz w:val="18"/>
                <w:szCs w:val="18"/>
                <w:lang w:val="en-GB"/>
              </w:rPr>
              <w:t>Status of institutional reform for multi-sectorial, community-based and multiple use coral reef management</w:t>
            </w:r>
          </w:p>
        </w:tc>
        <w:tc>
          <w:tcPr>
            <w:tcW w:w="1270" w:type="dxa"/>
          </w:tcPr>
          <w:p w14:paraId="1B336896" w14:textId="77777777" w:rsidR="0018787E" w:rsidRPr="0018787E" w:rsidRDefault="0018787E" w:rsidP="0018787E">
            <w:pPr>
              <w:spacing w:before="40"/>
              <w:rPr>
                <w:sz w:val="18"/>
                <w:szCs w:val="18"/>
                <w:lang w:val="en-GB"/>
              </w:rPr>
            </w:pPr>
            <w:r w:rsidRPr="0018787E">
              <w:rPr>
                <w:sz w:val="18"/>
                <w:szCs w:val="18"/>
                <w:lang w:val="en-GB"/>
              </w:rPr>
              <w:t>Predominantly single sector (environment) and centralised approach to coral reef management</w:t>
            </w:r>
          </w:p>
        </w:tc>
        <w:tc>
          <w:tcPr>
            <w:tcW w:w="1109" w:type="dxa"/>
          </w:tcPr>
          <w:p w14:paraId="1E400CC0" w14:textId="77777777" w:rsidR="0018787E" w:rsidRPr="0018787E" w:rsidRDefault="0018787E" w:rsidP="0018787E">
            <w:pPr>
              <w:rPr>
                <w:sz w:val="18"/>
                <w:szCs w:val="18"/>
                <w:lang w:val="en-GB"/>
              </w:rPr>
            </w:pPr>
            <w:r w:rsidRPr="0018787E">
              <w:rPr>
                <w:sz w:val="18"/>
                <w:szCs w:val="18"/>
                <w:lang w:val="en-GB"/>
              </w:rPr>
              <w:t>Governance structures and institutional frameworks defined for each site</w:t>
            </w:r>
          </w:p>
        </w:tc>
        <w:tc>
          <w:tcPr>
            <w:tcW w:w="1291" w:type="dxa"/>
          </w:tcPr>
          <w:p w14:paraId="1A35D574" w14:textId="77777777" w:rsidR="0018787E" w:rsidRPr="0018787E" w:rsidRDefault="0018787E" w:rsidP="0018787E">
            <w:pPr>
              <w:spacing w:before="40"/>
              <w:rPr>
                <w:sz w:val="18"/>
                <w:szCs w:val="18"/>
                <w:lang w:val="en-GB"/>
              </w:rPr>
            </w:pPr>
            <w:r w:rsidRPr="0018787E">
              <w:rPr>
                <w:sz w:val="18"/>
                <w:szCs w:val="18"/>
                <w:lang w:val="en-GB"/>
              </w:rPr>
              <w:t>Management approaches (integrated, community-based, multiple use) improved at 82 coral reef sites</w:t>
            </w:r>
          </w:p>
        </w:tc>
        <w:tc>
          <w:tcPr>
            <w:tcW w:w="1269" w:type="dxa"/>
          </w:tcPr>
          <w:p w14:paraId="1E4A835B" w14:textId="77777777" w:rsidR="0018787E" w:rsidRPr="0018787E" w:rsidRDefault="0018787E" w:rsidP="0018787E">
            <w:pPr>
              <w:spacing w:before="40"/>
              <w:rPr>
                <w:bCs/>
                <w:sz w:val="18"/>
                <w:szCs w:val="18"/>
                <w:lang w:val="en-GB"/>
              </w:rPr>
            </w:pPr>
            <w:r w:rsidRPr="0018787E">
              <w:rPr>
                <w:bCs/>
                <w:sz w:val="18"/>
                <w:szCs w:val="18"/>
                <w:lang w:val="en-GB"/>
              </w:rPr>
              <w:t>Reports of cross-sectorial, multi-stakeholder coral reef management bodies</w:t>
            </w:r>
          </w:p>
        </w:tc>
        <w:tc>
          <w:tcPr>
            <w:tcW w:w="1440" w:type="dxa"/>
          </w:tcPr>
          <w:p w14:paraId="2B9E0716" w14:textId="77777777" w:rsidR="0018787E" w:rsidRPr="0018787E" w:rsidRDefault="0018787E" w:rsidP="0018787E">
            <w:pPr>
              <w:rPr>
                <w:sz w:val="18"/>
                <w:szCs w:val="18"/>
                <w:lang w:val="en-GB"/>
              </w:rPr>
            </w:pPr>
            <w:r w:rsidRPr="0018787E">
              <w:rPr>
                <w:sz w:val="18"/>
                <w:szCs w:val="18"/>
                <w:lang w:val="en-GB"/>
              </w:rPr>
              <w:t>Quarterly</w:t>
            </w:r>
          </w:p>
          <w:p w14:paraId="6882A657" w14:textId="77777777" w:rsidR="0018787E" w:rsidRPr="0018787E" w:rsidRDefault="0018787E" w:rsidP="0018787E">
            <w:pPr>
              <w:rPr>
                <w:sz w:val="18"/>
                <w:szCs w:val="18"/>
                <w:lang w:val="en-GB"/>
              </w:rPr>
            </w:pPr>
          </w:p>
          <w:p w14:paraId="77343F27" w14:textId="77777777" w:rsidR="0018787E" w:rsidRPr="0018787E" w:rsidRDefault="0018787E" w:rsidP="0018787E">
            <w:pPr>
              <w:rPr>
                <w:sz w:val="18"/>
                <w:szCs w:val="18"/>
                <w:lang w:val="en-GB"/>
              </w:rPr>
            </w:pPr>
          </w:p>
          <w:p w14:paraId="2A67BC6C" w14:textId="77777777" w:rsidR="0018787E" w:rsidRPr="0018787E" w:rsidRDefault="0018787E" w:rsidP="0018787E">
            <w:pPr>
              <w:rPr>
                <w:sz w:val="18"/>
                <w:szCs w:val="18"/>
                <w:lang w:val="en-GB"/>
              </w:rPr>
            </w:pPr>
            <w:r w:rsidRPr="0018787E">
              <w:rPr>
                <w:sz w:val="18"/>
                <w:szCs w:val="18"/>
                <w:lang w:val="en-GB"/>
              </w:rPr>
              <w:t>Biannually</w:t>
            </w:r>
          </w:p>
          <w:p w14:paraId="68B43B72" w14:textId="77777777" w:rsidR="0018787E" w:rsidRPr="0018787E" w:rsidRDefault="0018787E" w:rsidP="0018787E">
            <w:pPr>
              <w:rPr>
                <w:sz w:val="18"/>
                <w:szCs w:val="18"/>
                <w:lang w:val="en-GB"/>
              </w:rPr>
            </w:pPr>
          </w:p>
          <w:p w14:paraId="655977CD" w14:textId="77777777" w:rsidR="0018787E" w:rsidRPr="0018787E" w:rsidRDefault="0018787E" w:rsidP="0018787E">
            <w:pPr>
              <w:rPr>
                <w:sz w:val="18"/>
                <w:szCs w:val="18"/>
                <w:lang w:val="en-GB"/>
              </w:rPr>
            </w:pPr>
          </w:p>
          <w:p w14:paraId="3455E930" w14:textId="77777777" w:rsidR="0018787E" w:rsidRPr="0018787E" w:rsidRDefault="0018787E" w:rsidP="0018787E">
            <w:pPr>
              <w:rPr>
                <w:sz w:val="18"/>
                <w:szCs w:val="18"/>
                <w:lang w:val="en-GB"/>
              </w:rPr>
            </w:pPr>
          </w:p>
          <w:p w14:paraId="5EDF97A0"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42C8B003" w14:textId="77777777" w:rsidR="0018787E" w:rsidRPr="0018787E" w:rsidRDefault="0018787E" w:rsidP="0018787E">
            <w:pPr>
              <w:rPr>
                <w:sz w:val="18"/>
                <w:szCs w:val="18"/>
                <w:lang w:val="en-GB"/>
              </w:rPr>
            </w:pPr>
            <w:r w:rsidRPr="0018787E">
              <w:rPr>
                <w:sz w:val="18"/>
                <w:szCs w:val="18"/>
                <w:lang w:val="en-GB"/>
              </w:rPr>
              <w:t>Site-level</w:t>
            </w:r>
          </w:p>
          <w:p w14:paraId="28154998" w14:textId="77777777" w:rsidR="0018787E" w:rsidRPr="0018787E" w:rsidRDefault="0018787E" w:rsidP="0018787E">
            <w:pPr>
              <w:rPr>
                <w:sz w:val="18"/>
                <w:szCs w:val="18"/>
                <w:lang w:val="en-GB"/>
              </w:rPr>
            </w:pPr>
          </w:p>
          <w:p w14:paraId="53B51247" w14:textId="77777777" w:rsidR="0018787E" w:rsidRPr="0018787E" w:rsidRDefault="0018787E" w:rsidP="0018787E">
            <w:pPr>
              <w:rPr>
                <w:sz w:val="18"/>
                <w:szCs w:val="18"/>
                <w:lang w:val="en-GB"/>
              </w:rPr>
            </w:pPr>
          </w:p>
          <w:p w14:paraId="648B0143" w14:textId="77777777" w:rsidR="0018787E" w:rsidRPr="0018787E" w:rsidRDefault="0018787E" w:rsidP="0018787E">
            <w:pPr>
              <w:rPr>
                <w:sz w:val="18"/>
                <w:szCs w:val="18"/>
                <w:lang w:val="en-GB"/>
              </w:rPr>
            </w:pPr>
            <w:r w:rsidRPr="0018787E">
              <w:rPr>
                <w:sz w:val="18"/>
                <w:szCs w:val="18"/>
                <w:lang w:val="en-GB"/>
              </w:rPr>
              <w:t>National-level</w:t>
            </w:r>
          </w:p>
          <w:p w14:paraId="43BC4E84" w14:textId="77777777" w:rsidR="0018787E" w:rsidRPr="0018787E" w:rsidRDefault="0018787E" w:rsidP="0018787E">
            <w:pPr>
              <w:rPr>
                <w:sz w:val="18"/>
                <w:szCs w:val="18"/>
                <w:lang w:val="en-GB"/>
              </w:rPr>
            </w:pPr>
          </w:p>
          <w:p w14:paraId="2A1CFC5D" w14:textId="77777777" w:rsidR="0018787E" w:rsidRPr="0018787E" w:rsidRDefault="0018787E" w:rsidP="0018787E">
            <w:pPr>
              <w:rPr>
                <w:sz w:val="18"/>
                <w:szCs w:val="18"/>
                <w:lang w:val="en-GB"/>
              </w:rPr>
            </w:pPr>
          </w:p>
          <w:p w14:paraId="350A5088" w14:textId="77777777" w:rsidR="0018787E" w:rsidRPr="0018787E" w:rsidRDefault="0018787E" w:rsidP="0018787E">
            <w:pPr>
              <w:rPr>
                <w:sz w:val="18"/>
                <w:szCs w:val="18"/>
                <w:lang w:val="en-GB"/>
              </w:rPr>
            </w:pPr>
            <w:r w:rsidRPr="0018787E">
              <w:rPr>
                <w:sz w:val="18"/>
                <w:szCs w:val="18"/>
                <w:lang w:val="en-GB"/>
              </w:rPr>
              <w:t>National -level</w:t>
            </w:r>
          </w:p>
        </w:tc>
        <w:tc>
          <w:tcPr>
            <w:tcW w:w="1350" w:type="dxa"/>
          </w:tcPr>
          <w:p w14:paraId="67C03597"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Coral Reef Committees</w:t>
            </w:r>
          </w:p>
          <w:p w14:paraId="53D4C6EF"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24E099F0"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tc>
        <w:tc>
          <w:tcPr>
            <w:tcW w:w="810" w:type="dxa"/>
          </w:tcPr>
          <w:p w14:paraId="577E613B"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2664F47E"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79F18A91" w14:textId="77777777" w:rsidTr="0018787E">
        <w:tc>
          <w:tcPr>
            <w:tcW w:w="1319" w:type="dxa"/>
            <w:vMerge/>
          </w:tcPr>
          <w:p w14:paraId="640BA4C2" w14:textId="77777777" w:rsidR="0018787E" w:rsidRPr="0018787E" w:rsidRDefault="0018787E" w:rsidP="0018787E">
            <w:pPr>
              <w:rPr>
                <w:sz w:val="18"/>
                <w:szCs w:val="18"/>
                <w:lang w:val="en-GB"/>
              </w:rPr>
            </w:pPr>
          </w:p>
        </w:tc>
        <w:tc>
          <w:tcPr>
            <w:tcW w:w="1270" w:type="dxa"/>
          </w:tcPr>
          <w:p w14:paraId="2DBC93CC" w14:textId="77777777" w:rsidR="0018787E" w:rsidRPr="0018787E" w:rsidRDefault="0018787E" w:rsidP="0018787E">
            <w:pPr>
              <w:spacing w:before="40"/>
              <w:rPr>
                <w:bCs/>
                <w:sz w:val="18"/>
                <w:szCs w:val="18"/>
                <w:lang w:val="en-GB"/>
              </w:rPr>
            </w:pPr>
            <w:r w:rsidRPr="0018787E">
              <w:rPr>
                <w:bCs/>
                <w:sz w:val="18"/>
                <w:szCs w:val="18"/>
                <w:lang w:val="en-GB"/>
              </w:rPr>
              <w:t>Number of management tools developed, adopted and applied at priority coral reef sites</w:t>
            </w:r>
          </w:p>
        </w:tc>
        <w:tc>
          <w:tcPr>
            <w:tcW w:w="1270" w:type="dxa"/>
          </w:tcPr>
          <w:p w14:paraId="367ED379" w14:textId="77777777" w:rsidR="0018787E" w:rsidRPr="0018787E" w:rsidRDefault="0018787E" w:rsidP="0018787E">
            <w:pPr>
              <w:spacing w:before="40"/>
              <w:rPr>
                <w:sz w:val="18"/>
                <w:szCs w:val="18"/>
                <w:lang w:val="en-GB"/>
              </w:rPr>
            </w:pPr>
            <w:r w:rsidRPr="0018787E">
              <w:rPr>
                <w:sz w:val="18"/>
                <w:szCs w:val="18"/>
                <w:lang w:val="en-GB"/>
              </w:rPr>
              <w:t>Coral reef management largely focused on awareness raising with limited use of management tools to address threats to coral reef sites</w:t>
            </w:r>
          </w:p>
        </w:tc>
        <w:tc>
          <w:tcPr>
            <w:tcW w:w="1109" w:type="dxa"/>
          </w:tcPr>
          <w:p w14:paraId="3A83A50B" w14:textId="77777777" w:rsidR="0018787E" w:rsidRPr="0018787E" w:rsidRDefault="0018787E" w:rsidP="0018787E">
            <w:pPr>
              <w:rPr>
                <w:sz w:val="18"/>
                <w:szCs w:val="18"/>
                <w:lang w:val="en-GB"/>
              </w:rPr>
            </w:pPr>
            <w:r w:rsidRPr="0018787E">
              <w:rPr>
                <w:sz w:val="18"/>
                <w:szCs w:val="18"/>
                <w:lang w:val="en-GB"/>
              </w:rPr>
              <w:t>Causal chain analyses completed at each of the 82 sites to identify needs for application of management approaches and tools</w:t>
            </w:r>
          </w:p>
        </w:tc>
        <w:tc>
          <w:tcPr>
            <w:tcW w:w="1291" w:type="dxa"/>
          </w:tcPr>
          <w:p w14:paraId="675F79E6" w14:textId="77777777" w:rsidR="0018787E" w:rsidRPr="0018787E" w:rsidRDefault="0018787E" w:rsidP="0018787E">
            <w:pPr>
              <w:spacing w:before="40"/>
              <w:rPr>
                <w:sz w:val="18"/>
                <w:szCs w:val="18"/>
                <w:lang w:val="en-GB"/>
              </w:rPr>
            </w:pPr>
            <w:r w:rsidRPr="0018787E">
              <w:rPr>
                <w:sz w:val="18"/>
                <w:szCs w:val="18"/>
                <w:lang w:val="en-GB"/>
              </w:rPr>
              <w:t>Management tools (licensing and permit systems, seasonal closures, zoning) developed and utilized to address key threats at priority sites</w:t>
            </w:r>
          </w:p>
        </w:tc>
        <w:tc>
          <w:tcPr>
            <w:tcW w:w="1269" w:type="dxa"/>
          </w:tcPr>
          <w:p w14:paraId="54D463C4" w14:textId="77777777" w:rsidR="0018787E" w:rsidRPr="0018787E" w:rsidRDefault="0018787E" w:rsidP="0018787E">
            <w:pPr>
              <w:spacing w:before="40"/>
              <w:rPr>
                <w:bCs/>
                <w:sz w:val="18"/>
                <w:szCs w:val="18"/>
                <w:lang w:val="en-GB"/>
              </w:rPr>
            </w:pPr>
            <w:r w:rsidRPr="0018787E">
              <w:rPr>
                <w:bCs/>
                <w:sz w:val="18"/>
                <w:szCs w:val="18"/>
                <w:lang w:val="en-GB"/>
              </w:rPr>
              <w:t>Endorsed policies and executive orders provincial/local ordinances and by-laws for coral reef management</w:t>
            </w:r>
          </w:p>
        </w:tc>
        <w:tc>
          <w:tcPr>
            <w:tcW w:w="1440" w:type="dxa"/>
          </w:tcPr>
          <w:p w14:paraId="73042FAA" w14:textId="77777777" w:rsidR="0018787E" w:rsidRPr="0018787E" w:rsidRDefault="0018787E" w:rsidP="0018787E">
            <w:pPr>
              <w:rPr>
                <w:sz w:val="18"/>
                <w:szCs w:val="18"/>
                <w:lang w:val="en-GB"/>
              </w:rPr>
            </w:pPr>
            <w:r w:rsidRPr="0018787E">
              <w:rPr>
                <w:sz w:val="18"/>
                <w:szCs w:val="18"/>
                <w:lang w:val="en-GB"/>
              </w:rPr>
              <w:t>Quarterly</w:t>
            </w:r>
          </w:p>
          <w:p w14:paraId="02A58852" w14:textId="77777777" w:rsidR="0018787E" w:rsidRPr="0018787E" w:rsidRDefault="0018787E" w:rsidP="0018787E">
            <w:pPr>
              <w:rPr>
                <w:sz w:val="18"/>
                <w:szCs w:val="18"/>
                <w:lang w:val="en-GB"/>
              </w:rPr>
            </w:pPr>
          </w:p>
          <w:p w14:paraId="236B5322" w14:textId="77777777" w:rsidR="0018787E" w:rsidRPr="0018787E" w:rsidRDefault="0018787E" w:rsidP="0018787E">
            <w:pPr>
              <w:rPr>
                <w:sz w:val="18"/>
                <w:szCs w:val="18"/>
                <w:lang w:val="en-GB"/>
              </w:rPr>
            </w:pPr>
          </w:p>
          <w:p w14:paraId="676112AC" w14:textId="77777777" w:rsidR="0018787E" w:rsidRPr="0018787E" w:rsidRDefault="0018787E" w:rsidP="0018787E">
            <w:pPr>
              <w:rPr>
                <w:sz w:val="18"/>
                <w:szCs w:val="18"/>
                <w:lang w:val="en-GB"/>
              </w:rPr>
            </w:pPr>
            <w:r w:rsidRPr="0018787E">
              <w:rPr>
                <w:sz w:val="18"/>
                <w:szCs w:val="18"/>
                <w:lang w:val="en-GB"/>
              </w:rPr>
              <w:t>Biannually</w:t>
            </w:r>
          </w:p>
          <w:p w14:paraId="121640BB" w14:textId="77777777" w:rsidR="0018787E" w:rsidRPr="0018787E" w:rsidRDefault="0018787E" w:rsidP="0018787E">
            <w:pPr>
              <w:rPr>
                <w:sz w:val="18"/>
                <w:szCs w:val="18"/>
                <w:lang w:val="en-GB"/>
              </w:rPr>
            </w:pPr>
          </w:p>
          <w:p w14:paraId="7ABDFD27" w14:textId="77777777" w:rsidR="0018787E" w:rsidRPr="0018787E" w:rsidRDefault="0018787E" w:rsidP="0018787E">
            <w:pPr>
              <w:rPr>
                <w:sz w:val="18"/>
                <w:szCs w:val="18"/>
                <w:lang w:val="en-GB"/>
              </w:rPr>
            </w:pPr>
          </w:p>
          <w:p w14:paraId="65A5BC59" w14:textId="77777777" w:rsidR="0018787E" w:rsidRPr="0018787E" w:rsidRDefault="0018787E" w:rsidP="0018787E">
            <w:pPr>
              <w:rPr>
                <w:sz w:val="18"/>
                <w:szCs w:val="18"/>
                <w:lang w:val="en-GB"/>
              </w:rPr>
            </w:pPr>
          </w:p>
          <w:p w14:paraId="223793DA"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492FCCCA" w14:textId="77777777" w:rsidR="0018787E" w:rsidRPr="0018787E" w:rsidRDefault="0018787E" w:rsidP="0018787E">
            <w:pPr>
              <w:rPr>
                <w:sz w:val="18"/>
                <w:szCs w:val="18"/>
                <w:lang w:val="en-GB"/>
              </w:rPr>
            </w:pPr>
            <w:r w:rsidRPr="0018787E">
              <w:rPr>
                <w:sz w:val="18"/>
                <w:szCs w:val="18"/>
                <w:lang w:val="en-GB"/>
              </w:rPr>
              <w:t>Site-level</w:t>
            </w:r>
          </w:p>
          <w:p w14:paraId="49D03CDF" w14:textId="77777777" w:rsidR="0018787E" w:rsidRPr="0018787E" w:rsidRDefault="0018787E" w:rsidP="0018787E">
            <w:pPr>
              <w:rPr>
                <w:sz w:val="18"/>
                <w:szCs w:val="18"/>
                <w:lang w:val="en-GB"/>
              </w:rPr>
            </w:pPr>
          </w:p>
          <w:p w14:paraId="54BC0888" w14:textId="77777777" w:rsidR="0018787E" w:rsidRPr="0018787E" w:rsidRDefault="0018787E" w:rsidP="0018787E">
            <w:pPr>
              <w:rPr>
                <w:sz w:val="18"/>
                <w:szCs w:val="18"/>
                <w:lang w:val="en-GB"/>
              </w:rPr>
            </w:pPr>
          </w:p>
          <w:p w14:paraId="4CA03B39" w14:textId="77777777" w:rsidR="0018787E" w:rsidRPr="0018787E" w:rsidRDefault="0018787E" w:rsidP="0018787E">
            <w:pPr>
              <w:rPr>
                <w:sz w:val="18"/>
                <w:szCs w:val="18"/>
                <w:lang w:val="en-GB"/>
              </w:rPr>
            </w:pPr>
            <w:r w:rsidRPr="0018787E">
              <w:rPr>
                <w:sz w:val="18"/>
                <w:szCs w:val="18"/>
                <w:lang w:val="en-GB"/>
              </w:rPr>
              <w:t>National-level</w:t>
            </w:r>
          </w:p>
          <w:p w14:paraId="3A0CD02D" w14:textId="77777777" w:rsidR="0018787E" w:rsidRPr="0018787E" w:rsidRDefault="0018787E" w:rsidP="0018787E">
            <w:pPr>
              <w:rPr>
                <w:sz w:val="18"/>
                <w:szCs w:val="18"/>
                <w:lang w:val="en-GB"/>
              </w:rPr>
            </w:pPr>
          </w:p>
          <w:p w14:paraId="189B195B" w14:textId="77777777" w:rsidR="0018787E" w:rsidRPr="0018787E" w:rsidRDefault="0018787E" w:rsidP="0018787E">
            <w:pPr>
              <w:rPr>
                <w:sz w:val="18"/>
                <w:szCs w:val="18"/>
                <w:lang w:val="en-GB"/>
              </w:rPr>
            </w:pPr>
          </w:p>
          <w:p w14:paraId="112864B8" w14:textId="77777777" w:rsidR="0018787E" w:rsidRPr="0018787E" w:rsidRDefault="0018787E" w:rsidP="0018787E">
            <w:pPr>
              <w:rPr>
                <w:sz w:val="18"/>
                <w:szCs w:val="18"/>
                <w:lang w:val="en-GB"/>
              </w:rPr>
            </w:pPr>
            <w:r w:rsidRPr="0018787E">
              <w:rPr>
                <w:sz w:val="18"/>
                <w:szCs w:val="18"/>
                <w:lang w:val="en-GB"/>
              </w:rPr>
              <w:t>National -level</w:t>
            </w:r>
          </w:p>
        </w:tc>
        <w:tc>
          <w:tcPr>
            <w:tcW w:w="1350" w:type="dxa"/>
          </w:tcPr>
          <w:p w14:paraId="55ACA436"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Coral Reef Committees</w:t>
            </w:r>
          </w:p>
          <w:p w14:paraId="5B247C6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21C4DAD4"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tc>
        <w:tc>
          <w:tcPr>
            <w:tcW w:w="810" w:type="dxa"/>
          </w:tcPr>
          <w:p w14:paraId="180BA9F8"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1284565B"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5EB63815" w14:textId="77777777" w:rsidTr="0018787E">
        <w:tc>
          <w:tcPr>
            <w:tcW w:w="1319" w:type="dxa"/>
            <w:vMerge/>
          </w:tcPr>
          <w:p w14:paraId="425DCEA4" w14:textId="77777777" w:rsidR="0018787E" w:rsidRPr="0018787E" w:rsidRDefault="0018787E" w:rsidP="0018787E">
            <w:pPr>
              <w:rPr>
                <w:sz w:val="18"/>
                <w:szCs w:val="18"/>
                <w:lang w:val="en-GB"/>
              </w:rPr>
            </w:pPr>
          </w:p>
        </w:tc>
        <w:tc>
          <w:tcPr>
            <w:tcW w:w="1270" w:type="dxa"/>
          </w:tcPr>
          <w:p w14:paraId="23CD4E0F" w14:textId="77777777" w:rsidR="0018787E" w:rsidRPr="0018787E" w:rsidRDefault="0018787E" w:rsidP="0018787E">
            <w:pPr>
              <w:spacing w:before="40"/>
              <w:rPr>
                <w:bCs/>
                <w:sz w:val="18"/>
                <w:szCs w:val="18"/>
                <w:lang w:val="en-GB"/>
              </w:rPr>
            </w:pPr>
            <w:r w:rsidRPr="0018787E">
              <w:rPr>
                <w:bCs/>
                <w:sz w:val="18"/>
                <w:szCs w:val="18"/>
                <w:lang w:val="en-GB"/>
              </w:rPr>
              <w:t>Status of mechanism established for monitoring coral reef management effectiveness and stress reduction</w:t>
            </w:r>
          </w:p>
        </w:tc>
        <w:tc>
          <w:tcPr>
            <w:tcW w:w="1270" w:type="dxa"/>
          </w:tcPr>
          <w:p w14:paraId="16385F2E" w14:textId="77777777" w:rsidR="0018787E" w:rsidRPr="0018787E" w:rsidRDefault="0018787E" w:rsidP="0018787E">
            <w:pPr>
              <w:spacing w:before="40"/>
              <w:rPr>
                <w:sz w:val="18"/>
                <w:szCs w:val="18"/>
                <w:lang w:val="en-GB"/>
              </w:rPr>
            </w:pPr>
            <w:r w:rsidRPr="0018787E">
              <w:rPr>
                <w:sz w:val="18"/>
                <w:szCs w:val="18"/>
                <w:lang w:val="en-GB"/>
              </w:rPr>
              <w:t>Management, ecological and environmental, and socio-economic indicator frameworks developed but not yet applied at priority sites</w:t>
            </w:r>
          </w:p>
        </w:tc>
        <w:tc>
          <w:tcPr>
            <w:tcW w:w="1109" w:type="dxa"/>
          </w:tcPr>
          <w:p w14:paraId="0BA8375D" w14:textId="77777777" w:rsidR="0018787E" w:rsidRPr="0018787E" w:rsidRDefault="0018787E" w:rsidP="0018787E">
            <w:pPr>
              <w:rPr>
                <w:sz w:val="18"/>
                <w:szCs w:val="18"/>
                <w:lang w:val="en-GB"/>
              </w:rPr>
            </w:pPr>
            <w:r w:rsidRPr="0018787E">
              <w:rPr>
                <w:sz w:val="18"/>
                <w:szCs w:val="18"/>
                <w:lang w:val="en-GB"/>
              </w:rPr>
              <w:t>Indicator sets agreed and capacity needs of national scientists to compile regionally comparable data identified</w:t>
            </w:r>
          </w:p>
        </w:tc>
        <w:tc>
          <w:tcPr>
            <w:tcW w:w="1291" w:type="dxa"/>
          </w:tcPr>
          <w:p w14:paraId="4F60A17B" w14:textId="77777777" w:rsidR="0018787E" w:rsidRPr="0018787E" w:rsidRDefault="0018787E" w:rsidP="0018787E">
            <w:pPr>
              <w:spacing w:before="40"/>
              <w:rPr>
                <w:sz w:val="18"/>
                <w:szCs w:val="18"/>
                <w:lang w:val="en-GB"/>
              </w:rPr>
            </w:pPr>
            <w:r w:rsidRPr="0018787E">
              <w:rPr>
                <w:sz w:val="18"/>
                <w:szCs w:val="18"/>
                <w:lang w:val="en-GB"/>
              </w:rPr>
              <w:t>Established mechanism for the monitoring of management, ecological and socio-economic indicators at 82 sites</w:t>
            </w:r>
          </w:p>
        </w:tc>
        <w:tc>
          <w:tcPr>
            <w:tcW w:w="1269" w:type="dxa"/>
          </w:tcPr>
          <w:p w14:paraId="491FDC73" w14:textId="77777777" w:rsidR="0018787E" w:rsidRPr="0018787E" w:rsidRDefault="0018787E" w:rsidP="0018787E">
            <w:pPr>
              <w:spacing w:before="40"/>
              <w:rPr>
                <w:bCs/>
                <w:sz w:val="18"/>
                <w:szCs w:val="18"/>
                <w:lang w:val="en-GB"/>
              </w:rPr>
            </w:pPr>
            <w:r w:rsidRPr="0018787E">
              <w:rPr>
                <w:bCs/>
                <w:sz w:val="18"/>
                <w:szCs w:val="18"/>
                <w:lang w:val="en-GB"/>
              </w:rPr>
              <w:t>Annual results reports on coral reef management at priority sites</w:t>
            </w:r>
          </w:p>
        </w:tc>
        <w:tc>
          <w:tcPr>
            <w:tcW w:w="1440" w:type="dxa"/>
          </w:tcPr>
          <w:p w14:paraId="66590FC7" w14:textId="77777777" w:rsidR="0018787E" w:rsidRPr="0018787E" w:rsidRDefault="0018787E" w:rsidP="0018787E">
            <w:pPr>
              <w:rPr>
                <w:sz w:val="18"/>
                <w:szCs w:val="18"/>
                <w:lang w:val="en-GB"/>
              </w:rPr>
            </w:pPr>
            <w:r w:rsidRPr="0018787E">
              <w:rPr>
                <w:sz w:val="18"/>
                <w:szCs w:val="18"/>
                <w:lang w:val="en-GB"/>
              </w:rPr>
              <w:t>Quarterly</w:t>
            </w:r>
          </w:p>
          <w:p w14:paraId="01BF23A2" w14:textId="77777777" w:rsidR="0018787E" w:rsidRPr="0018787E" w:rsidRDefault="0018787E" w:rsidP="0018787E">
            <w:pPr>
              <w:rPr>
                <w:sz w:val="18"/>
                <w:szCs w:val="18"/>
                <w:lang w:val="en-GB"/>
              </w:rPr>
            </w:pPr>
          </w:p>
          <w:p w14:paraId="1CC6A544" w14:textId="77777777" w:rsidR="0018787E" w:rsidRPr="0018787E" w:rsidRDefault="0018787E" w:rsidP="0018787E">
            <w:pPr>
              <w:rPr>
                <w:sz w:val="18"/>
                <w:szCs w:val="18"/>
                <w:lang w:val="en-GB"/>
              </w:rPr>
            </w:pPr>
          </w:p>
          <w:p w14:paraId="0BBEEA04" w14:textId="77777777" w:rsidR="0018787E" w:rsidRPr="0018787E" w:rsidRDefault="0018787E" w:rsidP="0018787E">
            <w:pPr>
              <w:rPr>
                <w:sz w:val="18"/>
                <w:szCs w:val="18"/>
                <w:lang w:val="en-GB"/>
              </w:rPr>
            </w:pPr>
            <w:r w:rsidRPr="0018787E">
              <w:rPr>
                <w:sz w:val="18"/>
                <w:szCs w:val="18"/>
                <w:lang w:val="en-GB"/>
              </w:rPr>
              <w:t>Biannually</w:t>
            </w:r>
          </w:p>
          <w:p w14:paraId="36244A6F" w14:textId="77777777" w:rsidR="0018787E" w:rsidRPr="0018787E" w:rsidRDefault="0018787E" w:rsidP="0018787E">
            <w:pPr>
              <w:rPr>
                <w:sz w:val="18"/>
                <w:szCs w:val="18"/>
                <w:lang w:val="en-GB"/>
              </w:rPr>
            </w:pPr>
          </w:p>
          <w:p w14:paraId="294859E5" w14:textId="77777777" w:rsidR="0018787E" w:rsidRPr="0018787E" w:rsidRDefault="0018787E" w:rsidP="0018787E">
            <w:pPr>
              <w:rPr>
                <w:sz w:val="18"/>
                <w:szCs w:val="18"/>
                <w:lang w:val="en-GB"/>
              </w:rPr>
            </w:pPr>
          </w:p>
          <w:p w14:paraId="57AD6A4D" w14:textId="77777777" w:rsidR="0018787E" w:rsidRPr="0018787E" w:rsidRDefault="0018787E" w:rsidP="0018787E">
            <w:pPr>
              <w:rPr>
                <w:sz w:val="18"/>
                <w:szCs w:val="18"/>
                <w:lang w:val="en-GB"/>
              </w:rPr>
            </w:pPr>
          </w:p>
          <w:p w14:paraId="32D3EA15"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06C806DE" w14:textId="77777777" w:rsidR="0018787E" w:rsidRPr="0018787E" w:rsidRDefault="0018787E" w:rsidP="0018787E">
            <w:pPr>
              <w:rPr>
                <w:sz w:val="18"/>
                <w:szCs w:val="18"/>
                <w:lang w:val="en-GB"/>
              </w:rPr>
            </w:pPr>
            <w:r w:rsidRPr="0018787E">
              <w:rPr>
                <w:sz w:val="18"/>
                <w:szCs w:val="18"/>
                <w:lang w:val="en-GB"/>
              </w:rPr>
              <w:t>Site-level</w:t>
            </w:r>
          </w:p>
          <w:p w14:paraId="42BC20F4" w14:textId="77777777" w:rsidR="0018787E" w:rsidRPr="0018787E" w:rsidRDefault="0018787E" w:rsidP="0018787E">
            <w:pPr>
              <w:rPr>
                <w:sz w:val="18"/>
                <w:szCs w:val="18"/>
                <w:lang w:val="en-GB"/>
              </w:rPr>
            </w:pPr>
          </w:p>
          <w:p w14:paraId="46491438" w14:textId="77777777" w:rsidR="0018787E" w:rsidRPr="0018787E" w:rsidRDefault="0018787E" w:rsidP="0018787E">
            <w:pPr>
              <w:rPr>
                <w:sz w:val="18"/>
                <w:szCs w:val="18"/>
                <w:lang w:val="en-GB"/>
              </w:rPr>
            </w:pPr>
          </w:p>
          <w:p w14:paraId="7C99918A" w14:textId="77777777" w:rsidR="0018787E" w:rsidRPr="0018787E" w:rsidRDefault="0018787E" w:rsidP="0018787E">
            <w:pPr>
              <w:rPr>
                <w:sz w:val="18"/>
                <w:szCs w:val="18"/>
                <w:lang w:val="en-GB"/>
              </w:rPr>
            </w:pPr>
            <w:r w:rsidRPr="0018787E">
              <w:rPr>
                <w:sz w:val="18"/>
                <w:szCs w:val="18"/>
                <w:lang w:val="en-GB"/>
              </w:rPr>
              <w:t>National-level</w:t>
            </w:r>
          </w:p>
          <w:p w14:paraId="2A715C3C" w14:textId="77777777" w:rsidR="0018787E" w:rsidRPr="0018787E" w:rsidRDefault="0018787E" w:rsidP="0018787E">
            <w:pPr>
              <w:rPr>
                <w:sz w:val="18"/>
                <w:szCs w:val="18"/>
                <w:lang w:val="en-GB"/>
              </w:rPr>
            </w:pPr>
          </w:p>
          <w:p w14:paraId="59EC4270" w14:textId="77777777" w:rsidR="0018787E" w:rsidRPr="0018787E" w:rsidRDefault="0018787E" w:rsidP="0018787E">
            <w:pPr>
              <w:rPr>
                <w:sz w:val="18"/>
                <w:szCs w:val="18"/>
                <w:lang w:val="en-GB"/>
              </w:rPr>
            </w:pPr>
          </w:p>
          <w:p w14:paraId="57BD97F4" w14:textId="77777777" w:rsidR="0018787E" w:rsidRPr="0018787E" w:rsidRDefault="0018787E" w:rsidP="0018787E">
            <w:pPr>
              <w:rPr>
                <w:sz w:val="18"/>
                <w:szCs w:val="18"/>
                <w:lang w:val="en-GB"/>
              </w:rPr>
            </w:pPr>
            <w:r w:rsidRPr="0018787E">
              <w:rPr>
                <w:sz w:val="18"/>
                <w:szCs w:val="18"/>
                <w:lang w:val="en-GB"/>
              </w:rPr>
              <w:t>National -level</w:t>
            </w:r>
          </w:p>
        </w:tc>
        <w:tc>
          <w:tcPr>
            <w:tcW w:w="1350" w:type="dxa"/>
          </w:tcPr>
          <w:p w14:paraId="1F7B609B"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Coral Reef Committees</w:t>
            </w:r>
          </w:p>
          <w:p w14:paraId="5B35E28A"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3D40A5DE"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tc>
        <w:tc>
          <w:tcPr>
            <w:tcW w:w="810" w:type="dxa"/>
          </w:tcPr>
          <w:p w14:paraId="74281867"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413D10B1"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5B3B1B01" w14:textId="77777777" w:rsidTr="0018787E">
        <w:tc>
          <w:tcPr>
            <w:tcW w:w="1319" w:type="dxa"/>
            <w:vMerge w:val="restart"/>
            <w:vAlign w:val="center"/>
          </w:tcPr>
          <w:p w14:paraId="0F92590B" w14:textId="77777777" w:rsidR="0018787E" w:rsidRPr="0018787E" w:rsidRDefault="0018787E" w:rsidP="0018787E">
            <w:pPr>
              <w:rPr>
                <w:sz w:val="18"/>
                <w:szCs w:val="18"/>
                <w:lang w:val="en-GB"/>
              </w:rPr>
            </w:pPr>
            <w:r w:rsidRPr="0018787E">
              <w:rPr>
                <w:sz w:val="18"/>
                <w:szCs w:val="18"/>
                <w:lang w:val="en-GB"/>
              </w:rPr>
              <w:t>1.3: Conservation, management and sustainable use of 25,900 ha of known seagrass area in the South China Sea by Yr 5</w:t>
            </w:r>
          </w:p>
        </w:tc>
        <w:tc>
          <w:tcPr>
            <w:tcW w:w="1270" w:type="dxa"/>
          </w:tcPr>
          <w:p w14:paraId="7C6EC58C" w14:textId="77777777" w:rsidR="0018787E" w:rsidRPr="0018787E" w:rsidRDefault="0018787E" w:rsidP="0018787E">
            <w:pPr>
              <w:spacing w:before="40"/>
              <w:rPr>
                <w:bCs/>
                <w:sz w:val="18"/>
                <w:szCs w:val="18"/>
                <w:lang w:val="en-GB"/>
              </w:rPr>
            </w:pPr>
            <w:r w:rsidRPr="0018787E">
              <w:rPr>
                <w:bCs/>
                <w:sz w:val="18"/>
                <w:szCs w:val="18"/>
                <w:lang w:val="en-GB"/>
              </w:rPr>
              <w:t>Number of sites under sustainable management</w:t>
            </w:r>
          </w:p>
          <w:p w14:paraId="409D81CC" w14:textId="77777777" w:rsidR="0018787E" w:rsidRPr="0018787E" w:rsidRDefault="0018787E" w:rsidP="0018787E">
            <w:pPr>
              <w:spacing w:before="40"/>
              <w:rPr>
                <w:bCs/>
                <w:sz w:val="18"/>
                <w:szCs w:val="18"/>
                <w:lang w:val="en-GB"/>
              </w:rPr>
            </w:pPr>
            <w:r w:rsidRPr="0018787E">
              <w:rPr>
                <w:bCs/>
                <w:sz w:val="18"/>
                <w:szCs w:val="18"/>
                <w:lang w:val="en-GB"/>
              </w:rPr>
              <w:t>Number of seagrass sites for which management regulations exist</w:t>
            </w:r>
          </w:p>
        </w:tc>
        <w:tc>
          <w:tcPr>
            <w:tcW w:w="1270" w:type="dxa"/>
          </w:tcPr>
          <w:p w14:paraId="75894559" w14:textId="77777777" w:rsidR="0018787E" w:rsidRPr="0018787E" w:rsidRDefault="0018787E" w:rsidP="0018787E">
            <w:pPr>
              <w:spacing w:before="40"/>
              <w:rPr>
                <w:sz w:val="18"/>
                <w:szCs w:val="18"/>
                <w:lang w:val="en-GB"/>
              </w:rPr>
            </w:pPr>
            <w:r w:rsidRPr="0018787E">
              <w:rPr>
                <w:sz w:val="18"/>
                <w:szCs w:val="18"/>
                <w:lang w:val="en-GB"/>
              </w:rPr>
              <w:t>Majority of seagrass areas in the SCS are unmanaged, or managed ineffectively, due to lack of enabling environment for zoning/regulation</w:t>
            </w:r>
          </w:p>
        </w:tc>
        <w:tc>
          <w:tcPr>
            <w:tcW w:w="1109" w:type="dxa"/>
          </w:tcPr>
          <w:p w14:paraId="2E366A29" w14:textId="77777777" w:rsidR="0018787E" w:rsidRPr="0018787E" w:rsidRDefault="0018787E" w:rsidP="0018787E">
            <w:pPr>
              <w:rPr>
                <w:sz w:val="18"/>
                <w:szCs w:val="18"/>
                <w:lang w:val="en-GB"/>
              </w:rPr>
            </w:pPr>
            <w:r w:rsidRPr="0018787E">
              <w:rPr>
                <w:sz w:val="18"/>
                <w:szCs w:val="18"/>
                <w:lang w:val="en-GB"/>
              </w:rPr>
              <w:t>National and local consultation process completed to identify needs for legal reforms (based on causal chain analyses)</w:t>
            </w:r>
          </w:p>
        </w:tc>
        <w:tc>
          <w:tcPr>
            <w:tcW w:w="1291" w:type="dxa"/>
          </w:tcPr>
          <w:p w14:paraId="78936010" w14:textId="77777777" w:rsidR="0018787E" w:rsidRPr="0018787E" w:rsidRDefault="0018787E" w:rsidP="0018787E">
            <w:pPr>
              <w:spacing w:before="40"/>
              <w:rPr>
                <w:sz w:val="18"/>
                <w:szCs w:val="18"/>
                <w:lang w:val="en-GB"/>
              </w:rPr>
            </w:pPr>
            <w:r w:rsidRPr="0018787E">
              <w:rPr>
                <w:sz w:val="18"/>
                <w:szCs w:val="18"/>
                <w:lang w:val="en-GB"/>
              </w:rPr>
              <w:t>Twenty-one seagrass areas totalling 25,900 ha under sustainable management with supporting laws and regulations</w:t>
            </w:r>
          </w:p>
        </w:tc>
        <w:tc>
          <w:tcPr>
            <w:tcW w:w="1269" w:type="dxa"/>
          </w:tcPr>
          <w:p w14:paraId="48D9365B" w14:textId="77777777" w:rsidR="0018787E" w:rsidRPr="0018787E" w:rsidRDefault="0018787E" w:rsidP="0018787E">
            <w:pPr>
              <w:spacing w:before="40"/>
              <w:rPr>
                <w:bCs/>
                <w:sz w:val="18"/>
                <w:szCs w:val="18"/>
                <w:lang w:val="en-GB"/>
              </w:rPr>
            </w:pPr>
            <w:r w:rsidRPr="0018787E">
              <w:rPr>
                <w:bCs/>
                <w:sz w:val="18"/>
                <w:szCs w:val="18"/>
                <w:lang w:val="en-GB"/>
              </w:rPr>
              <w:t>Annual country reports on seagrass  mgmt</w:t>
            </w:r>
          </w:p>
          <w:p w14:paraId="5007144E" w14:textId="77777777" w:rsidR="0018787E" w:rsidRPr="0018787E" w:rsidRDefault="0018787E" w:rsidP="0018787E">
            <w:pPr>
              <w:spacing w:before="40"/>
              <w:rPr>
                <w:bCs/>
                <w:sz w:val="18"/>
                <w:szCs w:val="18"/>
                <w:lang w:val="en-GB"/>
              </w:rPr>
            </w:pPr>
            <w:r w:rsidRPr="0018787E">
              <w:rPr>
                <w:bCs/>
                <w:sz w:val="18"/>
                <w:szCs w:val="18"/>
                <w:lang w:val="en-GB"/>
              </w:rPr>
              <w:t>Laws and regulations enacted for seagrass management</w:t>
            </w:r>
          </w:p>
        </w:tc>
        <w:tc>
          <w:tcPr>
            <w:tcW w:w="1440" w:type="dxa"/>
          </w:tcPr>
          <w:p w14:paraId="3AA2C69C" w14:textId="77777777" w:rsidR="0018787E" w:rsidRPr="0018787E" w:rsidRDefault="0018787E" w:rsidP="0018787E">
            <w:pPr>
              <w:rPr>
                <w:sz w:val="18"/>
                <w:szCs w:val="18"/>
                <w:lang w:val="en-GB"/>
              </w:rPr>
            </w:pPr>
            <w:r w:rsidRPr="0018787E">
              <w:rPr>
                <w:sz w:val="18"/>
                <w:szCs w:val="18"/>
                <w:lang w:val="en-GB"/>
              </w:rPr>
              <w:t>Quarterly</w:t>
            </w:r>
          </w:p>
          <w:p w14:paraId="11AA1316" w14:textId="77777777" w:rsidR="0018787E" w:rsidRPr="0018787E" w:rsidRDefault="0018787E" w:rsidP="0018787E">
            <w:pPr>
              <w:rPr>
                <w:sz w:val="18"/>
                <w:szCs w:val="18"/>
                <w:lang w:val="en-GB"/>
              </w:rPr>
            </w:pPr>
          </w:p>
          <w:p w14:paraId="44AAE040" w14:textId="77777777" w:rsidR="0018787E" w:rsidRPr="0018787E" w:rsidRDefault="0018787E" w:rsidP="0018787E">
            <w:pPr>
              <w:rPr>
                <w:sz w:val="18"/>
                <w:szCs w:val="18"/>
                <w:lang w:val="en-GB"/>
              </w:rPr>
            </w:pPr>
          </w:p>
          <w:p w14:paraId="6A69C5FF" w14:textId="77777777" w:rsidR="0018787E" w:rsidRPr="0018787E" w:rsidRDefault="0018787E" w:rsidP="0018787E">
            <w:pPr>
              <w:rPr>
                <w:sz w:val="18"/>
                <w:szCs w:val="18"/>
                <w:lang w:val="en-GB"/>
              </w:rPr>
            </w:pPr>
            <w:r w:rsidRPr="0018787E">
              <w:rPr>
                <w:sz w:val="18"/>
                <w:szCs w:val="18"/>
                <w:lang w:val="en-GB"/>
              </w:rPr>
              <w:t>Biannually</w:t>
            </w:r>
          </w:p>
          <w:p w14:paraId="76DDC42A" w14:textId="77777777" w:rsidR="0018787E" w:rsidRPr="0018787E" w:rsidRDefault="0018787E" w:rsidP="0018787E">
            <w:pPr>
              <w:rPr>
                <w:sz w:val="18"/>
                <w:szCs w:val="18"/>
                <w:lang w:val="en-GB"/>
              </w:rPr>
            </w:pPr>
          </w:p>
          <w:p w14:paraId="34BB7B1E" w14:textId="77777777" w:rsidR="0018787E" w:rsidRPr="0018787E" w:rsidRDefault="0018787E" w:rsidP="0018787E">
            <w:pPr>
              <w:rPr>
                <w:sz w:val="18"/>
                <w:szCs w:val="18"/>
                <w:lang w:val="en-GB"/>
              </w:rPr>
            </w:pPr>
          </w:p>
          <w:p w14:paraId="176EEB1E" w14:textId="77777777" w:rsidR="0018787E" w:rsidRPr="0018787E" w:rsidRDefault="0018787E" w:rsidP="0018787E">
            <w:pPr>
              <w:rPr>
                <w:sz w:val="18"/>
                <w:szCs w:val="18"/>
                <w:lang w:val="en-GB"/>
              </w:rPr>
            </w:pPr>
          </w:p>
          <w:p w14:paraId="153EA0BD"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1EA9270A" w14:textId="77777777" w:rsidR="0018787E" w:rsidRPr="0018787E" w:rsidRDefault="0018787E" w:rsidP="0018787E">
            <w:pPr>
              <w:rPr>
                <w:sz w:val="18"/>
                <w:szCs w:val="18"/>
                <w:lang w:val="en-GB"/>
              </w:rPr>
            </w:pPr>
            <w:r w:rsidRPr="0018787E">
              <w:rPr>
                <w:sz w:val="18"/>
                <w:szCs w:val="18"/>
                <w:lang w:val="en-GB"/>
              </w:rPr>
              <w:t>Site-level</w:t>
            </w:r>
          </w:p>
          <w:p w14:paraId="5A4B5CD5" w14:textId="77777777" w:rsidR="0018787E" w:rsidRPr="0018787E" w:rsidRDefault="0018787E" w:rsidP="0018787E">
            <w:pPr>
              <w:rPr>
                <w:sz w:val="18"/>
                <w:szCs w:val="18"/>
                <w:lang w:val="en-GB"/>
              </w:rPr>
            </w:pPr>
          </w:p>
          <w:p w14:paraId="18354C0C" w14:textId="77777777" w:rsidR="0018787E" w:rsidRPr="0018787E" w:rsidRDefault="0018787E" w:rsidP="0018787E">
            <w:pPr>
              <w:rPr>
                <w:sz w:val="18"/>
                <w:szCs w:val="18"/>
                <w:lang w:val="en-GB"/>
              </w:rPr>
            </w:pPr>
          </w:p>
          <w:p w14:paraId="4FB314B7" w14:textId="77777777" w:rsidR="0018787E" w:rsidRPr="0018787E" w:rsidRDefault="0018787E" w:rsidP="0018787E">
            <w:pPr>
              <w:rPr>
                <w:sz w:val="18"/>
                <w:szCs w:val="18"/>
                <w:lang w:val="en-GB"/>
              </w:rPr>
            </w:pPr>
            <w:r w:rsidRPr="0018787E">
              <w:rPr>
                <w:sz w:val="18"/>
                <w:szCs w:val="18"/>
                <w:lang w:val="en-GB"/>
              </w:rPr>
              <w:t>National-level</w:t>
            </w:r>
          </w:p>
          <w:p w14:paraId="242E9EB4" w14:textId="77777777" w:rsidR="0018787E" w:rsidRPr="0018787E" w:rsidRDefault="0018787E" w:rsidP="0018787E">
            <w:pPr>
              <w:rPr>
                <w:sz w:val="18"/>
                <w:szCs w:val="18"/>
                <w:lang w:val="en-GB"/>
              </w:rPr>
            </w:pPr>
          </w:p>
          <w:p w14:paraId="2B8B1A49" w14:textId="77777777" w:rsidR="0018787E" w:rsidRPr="0018787E" w:rsidRDefault="0018787E" w:rsidP="0018787E">
            <w:pPr>
              <w:rPr>
                <w:sz w:val="18"/>
                <w:szCs w:val="18"/>
                <w:lang w:val="en-GB"/>
              </w:rPr>
            </w:pPr>
          </w:p>
          <w:p w14:paraId="127C3385" w14:textId="77777777" w:rsidR="0018787E" w:rsidRPr="0018787E" w:rsidRDefault="0018787E" w:rsidP="0018787E">
            <w:pPr>
              <w:rPr>
                <w:sz w:val="18"/>
                <w:szCs w:val="18"/>
                <w:lang w:val="en-GB"/>
              </w:rPr>
            </w:pPr>
            <w:r w:rsidRPr="0018787E">
              <w:rPr>
                <w:sz w:val="18"/>
                <w:szCs w:val="18"/>
                <w:lang w:val="en-GB"/>
              </w:rPr>
              <w:t>National -level</w:t>
            </w:r>
          </w:p>
        </w:tc>
        <w:tc>
          <w:tcPr>
            <w:tcW w:w="1350" w:type="dxa"/>
          </w:tcPr>
          <w:p w14:paraId="41D1365B"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Seagrass Committees</w:t>
            </w:r>
          </w:p>
          <w:p w14:paraId="121F0E0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4C695178"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tc>
        <w:tc>
          <w:tcPr>
            <w:tcW w:w="810" w:type="dxa"/>
          </w:tcPr>
          <w:p w14:paraId="7F675443"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3A188F38"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5109F79F" w14:textId="77777777" w:rsidTr="0018787E">
        <w:tc>
          <w:tcPr>
            <w:tcW w:w="1319" w:type="dxa"/>
            <w:vMerge/>
          </w:tcPr>
          <w:p w14:paraId="0587D008" w14:textId="77777777" w:rsidR="0018787E" w:rsidRPr="0018787E" w:rsidRDefault="0018787E" w:rsidP="0018787E">
            <w:pPr>
              <w:rPr>
                <w:sz w:val="18"/>
                <w:szCs w:val="18"/>
                <w:lang w:val="en-GB"/>
              </w:rPr>
            </w:pPr>
          </w:p>
        </w:tc>
        <w:tc>
          <w:tcPr>
            <w:tcW w:w="1270" w:type="dxa"/>
          </w:tcPr>
          <w:p w14:paraId="46446E24" w14:textId="77777777" w:rsidR="0018787E" w:rsidRPr="0018787E" w:rsidRDefault="0018787E" w:rsidP="0018787E">
            <w:pPr>
              <w:spacing w:before="40"/>
              <w:rPr>
                <w:bCs/>
                <w:sz w:val="18"/>
                <w:szCs w:val="18"/>
                <w:lang w:val="en-GB"/>
              </w:rPr>
            </w:pPr>
            <w:r w:rsidRPr="0018787E">
              <w:rPr>
                <w:bCs/>
                <w:sz w:val="18"/>
                <w:szCs w:val="18"/>
                <w:lang w:val="en-GB"/>
              </w:rPr>
              <w:t>Number of MPA management plans containing seagrass-related management actions</w:t>
            </w:r>
          </w:p>
        </w:tc>
        <w:tc>
          <w:tcPr>
            <w:tcW w:w="1270" w:type="dxa"/>
          </w:tcPr>
          <w:p w14:paraId="4A422D80" w14:textId="77777777" w:rsidR="0018787E" w:rsidRPr="0018787E" w:rsidRDefault="0018787E" w:rsidP="0018787E">
            <w:pPr>
              <w:spacing w:before="40"/>
              <w:rPr>
                <w:sz w:val="18"/>
                <w:szCs w:val="18"/>
                <w:lang w:val="en-GB"/>
              </w:rPr>
            </w:pPr>
            <w:r w:rsidRPr="0018787E">
              <w:rPr>
                <w:sz w:val="18"/>
                <w:szCs w:val="18"/>
                <w:lang w:val="en-GB"/>
              </w:rPr>
              <w:t>Sustainable use and management of seagrass and related resources is rarely addressed in management plans for MPAs in the SCS</w:t>
            </w:r>
          </w:p>
        </w:tc>
        <w:tc>
          <w:tcPr>
            <w:tcW w:w="1109" w:type="dxa"/>
          </w:tcPr>
          <w:p w14:paraId="67D859D8" w14:textId="77777777" w:rsidR="0018787E" w:rsidRPr="0018787E" w:rsidRDefault="0018787E" w:rsidP="0018787E">
            <w:pPr>
              <w:rPr>
                <w:sz w:val="18"/>
                <w:szCs w:val="18"/>
                <w:lang w:val="en-GB"/>
              </w:rPr>
            </w:pPr>
            <w:r w:rsidRPr="0018787E">
              <w:rPr>
                <w:sz w:val="18"/>
                <w:szCs w:val="18"/>
                <w:lang w:val="en-GB"/>
              </w:rPr>
              <w:t>Procedure for identifying priority MPA sites for seagrass management action developed and applied</w:t>
            </w:r>
          </w:p>
        </w:tc>
        <w:tc>
          <w:tcPr>
            <w:tcW w:w="1291" w:type="dxa"/>
          </w:tcPr>
          <w:p w14:paraId="71FBA535" w14:textId="77777777" w:rsidR="0018787E" w:rsidRPr="0018787E" w:rsidRDefault="0018787E" w:rsidP="0018787E">
            <w:pPr>
              <w:spacing w:before="40"/>
              <w:rPr>
                <w:sz w:val="18"/>
                <w:szCs w:val="18"/>
                <w:lang w:val="en-GB"/>
              </w:rPr>
            </w:pPr>
            <w:r w:rsidRPr="0018787E">
              <w:rPr>
                <w:sz w:val="18"/>
                <w:szCs w:val="18"/>
                <w:lang w:val="en-GB"/>
              </w:rPr>
              <w:t>Amended management plans for 7 existing MPAs with significant seagrass areas, to include specific seagrass-related management actions</w:t>
            </w:r>
          </w:p>
        </w:tc>
        <w:tc>
          <w:tcPr>
            <w:tcW w:w="1269" w:type="dxa"/>
          </w:tcPr>
          <w:p w14:paraId="5DFDD81D" w14:textId="77777777" w:rsidR="0018787E" w:rsidRPr="0018787E" w:rsidRDefault="0018787E" w:rsidP="0018787E">
            <w:pPr>
              <w:spacing w:before="40"/>
              <w:rPr>
                <w:bCs/>
                <w:sz w:val="18"/>
                <w:szCs w:val="18"/>
                <w:lang w:val="en-GB"/>
              </w:rPr>
            </w:pPr>
            <w:r w:rsidRPr="0018787E">
              <w:rPr>
                <w:bCs/>
                <w:sz w:val="18"/>
                <w:szCs w:val="18"/>
                <w:lang w:val="en-GB"/>
              </w:rPr>
              <w:t>Seven (7) amended MPA management plans</w:t>
            </w:r>
          </w:p>
        </w:tc>
        <w:tc>
          <w:tcPr>
            <w:tcW w:w="1440" w:type="dxa"/>
          </w:tcPr>
          <w:p w14:paraId="6E58C618" w14:textId="77777777" w:rsidR="0018787E" w:rsidRPr="0018787E" w:rsidRDefault="0018787E" w:rsidP="0018787E">
            <w:pPr>
              <w:rPr>
                <w:sz w:val="18"/>
                <w:szCs w:val="18"/>
                <w:lang w:val="en-GB"/>
              </w:rPr>
            </w:pPr>
            <w:r w:rsidRPr="0018787E">
              <w:rPr>
                <w:sz w:val="18"/>
                <w:szCs w:val="18"/>
                <w:lang w:val="en-GB"/>
              </w:rPr>
              <w:t>Quarterly</w:t>
            </w:r>
          </w:p>
          <w:p w14:paraId="5EB486B2" w14:textId="77777777" w:rsidR="0018787E" w:rsidRPr="0018787E" w:rsidRDefault="0018787E" w:rsidP="0018787E">
            <w:pPr>
              <w:rPr>
                <w:sz w:val="18"/>
                <w:szCs w:val="18"/>
                <w:lang w:val="en-GB"/>
              </w:rPr>
            </w:pPr>
          </w:p>
          <w:p w14:paraId="4EA03DCB" w14:textId="77777777" w:rsidR="0018787E" w:rsidRPr="0018787E" w:rsidRDefault="0018787E" w:rsidP="0018787E">
            <w:pPr>
              <w:rPr>
                <w:sz w:val="18"/>
                <w:szCs w:val="18"/>
                <w:lang w:val="en-GB"/>
              </w:rPr>
            </w:pPr>
          </w:p>
          <w:p w14:paraId="746F7A7F" w14:textId="77777777" w:rsidR="0018787E" w:rsidRPr="0018787E" w:rsidRDefault="0018787E" w:rsidP="0018787E">
            <w:pPr>
              <w:rPr>
                <w:sz w:val="18"/>
                <w:szCs w:val="18"/>
                <w:lang w:val="en-GB"/>
              </w:rPr>
            </w:pPr>
            <w:r w:rsidRPr="0018787E">
              <w:rPr>
                <w:sz w:val="18"/>
                <w:szCs w:val="18"/>
                <w:lang w:val="en-GB"/>
              </w:rPr>
              <w:t>Biannually</w:t>
            </w:r>
          </w:p>
          <w:p w14:paraId="73BB4D99" w14:textId="77777777" w:rsidR="0018787E" w:rsidRPr="0018787E" w:rsidRDefault="0018787E" w:rsidP="0018787E">
            <w:pPr>
              <w:rPr>
                <w:sz w:val="18"/>
                <w:szCs w:val="18"/>
                <w:lang w:val="en-GB"/>
              </w:rPr>
            </w:pPr>
          </w:p>
          <w:p w14:paraId="739CE356" w14:textId="77777777" w:rsidR="0018787E" w:rsidRPr="0018787E" w:rsidRDefault="0018787E" w:rsidP="0018787E">
            <w:pPr>
              <w:rPr>
                <w:sz w:val="18"/>
                <w:szCs w:val="18"/>
                <w:lang w:val="en-GB"/>
              </w:rPr>
            </w:pPr>
          </w:p>
          <w:p w14:paraId="64CA44B7" w14:textId="77777777" w:rsidR="0018787E" w:rsidRPr="0018787E" w:rsidRDefault="0018787E" w:rsidP="0018787E">
            <w:pPr>
              <w:rPr>
                <w:sz w:val="18"/>
                <w:szCs w:val="18"/>
                <w:lang w:val="en-GB"/>
              </w:rPr>
            </w:pPr>
          </w:p>
          <w:p w14:paraId="3EBAFEAA"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26C8A5F6" w14:textId="77777777" w:rsidR="0018787E" w:rsidRPr="0018787E" w:rsidRDefault="0018787E" w:rsidP="0018787E">
            <w:pPr>
              <w:rPr>
                <w:sz w:val="18"/>
                <w:szCs w:val="18"/>
                <w:lang w:val="en-GB"/>
              </w:rPr>
            </w:pPr>
            <w:r w:rsidRPr="0018787E">
              <w:rPr>
                <w:sz w:val="18"/>
                <w:szCs w:val="18"/>
                <w:lang w:val="en-GB"/>
              </w:rPr>
              <w:t>Site-level</w:t>
            </w:r>
          </w:p>
          <w:p w14:paraId="7A939EE9" w14:textId="77777777" w:rsidR="0018787E" w:rsidRPr="0018787E" w:rsidRDefault="0018787E" w:rsidP="0018787E">
            <w:pPr>
              <w:rPr>
                <w:sz w:val="18"/>
                <w:szCs w:val="18"/>
                <w:lang w:val="en-GB"/>
              </w:rPr>
            </w:pPr>
          </w:p>
          <w:p w14:paraId="0C445AF7" w14:textId="77777777" w:rsidR="0018787E" w:rsidRPr="0018787E" w:rsidRDefault="0018787E" w:rsidP="0018787E">
            <w:pPr>
              <w:rPr>
                <w:sz w:val="18"/>
                <w:szCs w:val="18"/>
                <w:lang w:val="en-GB"/>
              </w:rPr>
            </w:pPr>
          </w:p>
          <w:p w14:paraId="35627532" w14:textId="77777777" w:rsidR="0018787E" w:rsidRPr="0018787E" w:rsidRDefault="0018787E" w:rsidP="0018787E">
            <w:pPr>
              <w:rPr>
                <w:sz w:val="18"/>
                <w:szCs w:val="18"/>
                <w:lang w:val="en-GB"/>
              </w:rPr>
            </w:pPr>
            <w:r w:rsidRPr="0018787E">
              <w:rPr>
                <w:sz w:val="18"/>
                <w:szCs w:val="18"/>
                <w:lang w:val="en-GB"/>
              </w:rPr>
              <w:t>National-level</w:t>
            </w:r>
          </w:p>
          <w:p w14:paraId="1D36D33C" w14:textId="77777777" w:rsidR="0018787E" w:rsidRPr="0018787E" w:rsidRDefault="0018787E" w:rsidP="0018787E">
            <w:pPr>
              <w:rPr>
                <w:sz w:val="18"/>
                <w:szCs w:val="18"/>
                <w:lang w:val="en-GB"/>
              </w:rPr>
            </w:pPr>
          </w:p>
          <w:p w14:paraId="5B5276FE" w14:textId="77777777" w:rsidR="0018787E" w:rsidRPr="0018787E" w:rsidRDefault="0018787E" w:rsidP="0018787E">
            <w:pPr>
              <w:rPr>
                <w:sz w:val="18"/>
                <w:szCs w:val="18"/>
                <w:lang w:val="en-GB"/>
              </w:rPr>
            </w:pPr>
          </w:p>
          <w:p w14:paraId="05ABD215" w14:textId="77777777" w:rsidR="0018787E" w:rsidRPr="0018787E" w:rsidRDefault="0018787E" w:rsidP="0018787E">
            <w:pPr>
              <w:rPr>
                <w:sz w:val="18"/>
                <w:szCs w:val="18"/>
                <w:lang w:val="en-GB"/>
              </w:rPr>
            </w:pPr>
            <w:r w:rsidRPr="0018787E">
              <w:rPr>
                <w:sz w:val="18"/>
                <w:szCs w:val="18"/>
                <w:lang w:val="en-GB"/>
              </w:rPr>
              <w:t>National -level</w:t>
            </w:r>
          </w:p>
        </w:tc>
        <w:tc>
          <w:tcPr>
            <w:tcW w:w="1350" w:type="dxa"/>
          </w:tcPr>
          <w:p w14:paraId="2BA72102"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Seagrass Committees</w:t>
            </w:r>
          </w:p>
          <w:p w14:paraId="45AA181A"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296B772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tc>
        <w:tc>
          <w:tcPr>
            <w:tcW w:w="810" w:type="dxa"/>
          </w:tcPr>
          <w:p w14:paraId="1AC63D74"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42304669"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10E2881B" w14:textId="77777777" w:rsidTr="0018787E">
        <w:tc>
          <w:tcPr>
            <w:tcW w:w="1319" w:type="dxa"/>
            <w:vMerge/>
          </w:tcPr>
          <w:p w14:paraId="066D6190" w14:textId="77777777" w:rsidR="0018787E" w:rsidRPr="0018787E" w:rsidRDefault="0018787E" w:rsidP="0018787E">
            <w:pPr>
              <w:rPr>
                <w:sz w:val="18"/>
                <w:szCs w:val="18"/>
                <w:lang w:val="en-GB"/>
              </w:rPr>
            </w:pPr>
          </w:p>
        </w:tc>
        <w:tc>
          <w:tcPr>
            <w:tcW w:w="1270" w:type="dxa"/>
          </w:tcPr>
          <w:p w14:paraId="2D4479C6" w14:textId="77777777" w:rsidR="0018787E" w:rsidRPr="0018787E" w:rsidRDefault="0018787E" w:rsidP="0018787E">
            <w:pPr>
              <w:spacing w:before="40"/>
              <w:rPr>
                <w:bCs/>
                <w:sz w:val="18"/>
                <w:szCs w:val="18"/>
                <w:lang w:val="en-GB"/>
              </w:rPr>
            </w:pPr>
            <w:r w:rsidRPr="0018787E">
              <w:rPr>
                <w:bCs/>
                <w:sz w:val="18"/>
                <w:szCs w:val="18"/>
                <w:lang w:val="en-GB"/>
              </w:rPr>
              <w:t>Number of newly established MPAs focused on seagrass management</w:t>
            </w:r>
          </w:p>
        </w:tc>
        <w:tc>
          <w:tcPr>
            <w:tcW w:w="1270" w:type="dxa"/>
          </w:tcPr>
          <w:p w14:paraId="37007E11" w14:textId="77777777" w:rsidR="0018787E" w:rsidRPr="0018787E" w:rsidRDefault="0018787E" w:rsidP="0018787E">
            <w:pPr>
              <w:spacing w:before="40"/>
              <w:rPr>
                <w:sz w:val="18"/>
                <w:szCs w:val="18"/>
                <w:lang w:val="en-GB"/>
              </w:rPr>
            </w:pPr>
            <w:r w:rsidRPr="0018787E">
              <w:rPr>
                <w:sz w:val="18"/>
                <w:szCs w:val="18"/>
                <w:lang w:val="en-GB"/>
              </w:rPr>
              <w:t>MPA management in SCS predominantly focuses on strict protection of coral reef areas</w:t>
            </w:r>
          </w:p>
        </w:tc>
        <w:tc>
          <w:tcPr>
            <w:tcW w:w="1109" w:type="dxa"/>
          </w:tcPr>
          <w:p w14:paraId="28F1238D" w14:textId="77777777" w:rsidR="0018787E" w:rsidRPr="0018787E" w:rsidRDefault="0018787E" w:rsidP="0018787E">
            <w:pPr>
              <w:rPr>
                <w:sz w:val="18"/>
                <w:szCs w:val="18"/>
                <w:lang w:val="en-GB"/>
              </w:rPr>
            </w:pPr>
            <w:r w:rsidRPr="0018787E">
              <w:rPr>
                <w:sz w:val="18"/>
                <w:szCs w:val="18"/>
                <w:lang w:val="en-GB"/>
              </w:rPr>
              <w:t>Procedure for identification of priority seagrass sites for designation as MPAs developed and applied</w:t>
            </w:r>
          </w:p>
        </w:tc>
        <w:tc>
          <w:tcPr>
            <w:tcW w:w="1291" w:type="dxa"/>
          </w:tcPr>
          <w:p w14:paraId="45ED95BD" w14:textId="77777777" w:rsidR="0018787E" w:rsidRPr="0018787E" w:rsidRDefault="0018787E" w:rsidP="0018787E">
            <w:pPr>
              <w:spacing w:before="40"/>
              <w:rPr>
                <w:sz w:val="18"/>
                <w:szCs w:val="18"/>
                <w:lang w:val="en-GB"/>
              </w:rPr>
            </w:pPr>
            <w:r w:rsidRPr="0018787E">
              <w:rPr>
                <w:sz w:val="18"/>
                <w:szCs w:val="18"/>
                <w:lang w:val="en-GB"/>
              </w:rPr>
              <w:t>Designation of 7 new Marine Protected Areas focusing on seagrass areas</w:t>
            </w:r>
          </w:p>
        </w:tc>
        <w:tc>
          <w:tcPr>
            <w:tcW w:w="1269" w:type="dxa"/>
          </w:tcPr>
          <w:p w14:paraId="4696525F" w14:textId="77777777" w:rsidR="0018787E" w:rsidRPr="0018787E" w:rsidRDefault="0018787E" w:rsidP="0018787E">
            <w:pPr>
              <w:spacing w:before="40"/>
              <w:rPr>
                <w:bCs/>
                <w:sz w:val="18"/>
                <w:szCs w:val="18"/>
                <w:lang w:val="en-GB"/>
              </w:rPr>
            </w:pPr>
            <w:r w:rsidRPr="0018787E">
              <w:rPr>
                <w:bCs/>
                <w:sz w:val="18"/>
                <w:szCs w:val="18"/>
                <w:lang w:val="en-GB"/>
              </w:rPr>
              <w:t>Official proclamations, executive orders, and ordinances establishing MPAs for seven (7) significant seagrass sites</w:t>
            </w:r>
          </w:p>
        </w:tc>
        <w:tc>
          <w:tcPr>
            <w:tcW w:w="1440" w:type="dxa"/>
          </w:tcPr>
          <w:p w14:paraId="0FE2D0C5" w14:textId="77777777" w:rsidR="0018787E" w:rsidRPr="0018787E" w:rsidRDefault="0018787E" w:rsidP="0018787E">
            <w:pPr>
              <w:rPr>
                <w:sz w:val="18"/>
                <w:szCs w:val="18"/>
                <w:lang w:val="en-GB"/>
              </w:rPr>
            </w:pPr>
            <w:r w:rsidRPr="0018787E">
              <w:rPr>
                <w:sz w:val="18"/>
                <w:szCs w:val="18"/>
                <w:lang w:val="en-GB"/>
              </w:rPr>
              <w:t>Quarterly</w:t>
            </w:r>
          </w:p>
          <w:p w14:paraId="0B6FC945" w14:textId="77777777" w:rsidR="0018787E" w:rsidRPr="0018787E" w:rsidRDefault="0018787E" w:rsidP="0018787E">
            <w:pPr>
              <w:rPr>
                <w:sz w:val="18"/>
                <w:szCs w:val="18"/>
                <w:lang w:val="en-GB"/>
              </w:rPr>
            </w:pPr>
          </w:p>
          <w:p w14:paraId="5A891C47" w14:textId="77777777" w:rsidR="0018787E" w:rsidRPr="0018787E" w:rsidRDefault="0018787E" w:rsidP="0018787E">
            <w:pPr>
              <w:rPr>
                <w:sz w:val="18"/>
                <w:szCs w:val="18"/>
                <w:lang w:val="en-GB"/>
              </w:rPr>
            </w:pPr>
          </w:p>
          <w:p w14:paraId="590EC32E" w14:textId="77777777" w:rsidR="0018787E" w:rsidRPr="0018787E" w:rsidRDefault="0018787E" w:rsidP="0018787E">
            <w:pPr>
              <w:rPr>
                <w:sz w:val="18"/>
                <w:szCs w:val="18"/>
                <w:lang w:val="en-GB"/>
              </w:rPr>
            </w:pPr>
            <w:r w:rsidRPr="0018787E">
              <w:rPr>
                <w:sz w:val="18"/>
                <w:szCs w:val="18"/>
                <w:lang w:val="en-GB"/>
              </w:rPr>
              <w:t>Biannually</w:t>
            </w:r>
          </w:p>
          <w:p w14:paraId="2662B16D" w14:textId="77777777" w:rsidR="0018787E" w:rsidRPr="0018787E" w:rsidRDefault="0018787E" w:rsidP="0018787E">
            <w:pPr>
              <w:rPr>
                <w:sz w:val="18"/>
                <w:szCs w:val="18"/>
                <w:lang w:val="en-GB"/>
              </w:rPr>
            </w:pPr>
          </w:p>
          <w:p w14:paraId="333D63C9" w14:textId="77777777" w:rsidR="0018787E" w:rsidRPr="0018787E" w:rsidRDefault="0018787E" w:rsidP="0018787E">
            <w:pPr>
              <w:rPr>
                <w:sz w:val="18"/>
                <w:szCs w:val="18"/>
                <w:lang w:val="en-GB"/>
              </w:rPr>
            </w:pPr>
          </w:p>
          <w:p w14:paraId="5529F0E8" w14:textId="77777777" w:rsidR="0018787E" w:rsidRPr="0018787E" w:rsidRDefault="0018787E" w:rsidP="0018787E">
            <w:pPr>
              <w:rPr>
                <w:sz w:val="18"/>
                <w:szCs w:val="18"/>
                <w:lang w:val="en-GB"/>
              </w:rPr>
            </w:pPr>
          </w:p>
          <w:p w14:paraId="450BDAC8"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72D51713" w14:textId="77777777" w:rsidR="0018787E" w:rsidRPr="0018787E" w:rsidRDefault="0018787E" w:rsidP="0018787E">
            <w:pPr>
              <w:rPr>
                <w:sz w:val="18"/>
                <w:szCs w:val="18"/>
                <w:lang w:val="en-GB"/>
              </w:rPr>
            </w:pPr>
            <w:r w:rsidRPr="0018787E">
              <w:rPr>
                <w:sz w:val="18"/>
                <w:szCs w:val="18"/>
                <w:lang w:val="en-GB"/>
              </w:rPr>
              <w:t>Site-level</w:t>
            </w:r>
          </w:p>
          <w:p w14:paraId="73E32DBC" w14:textId="77777777" w:rsidR="0018787E" w:rsidRPr="0018787E" w:rsidRDefault="0018787E" w:rsidP="0018787E">
            <w:pPr>
              <w:rPr>
                <w:sz w:val="18"/>
                <w:szCs w:val="18"/>
                <w:lang w:val="en-GB"/>
              </w:rPr>
            </w:pPr>
          </w:p>
          <w:p w14:paraId="6D5E6C9F" w14:textId="77777777" w:rsidR="0018787E" w:rsidRPr="0018787E" w:rsidRDefault="0018787E" w:rsidP="0018787E">
            <w:pPr>
              <w:rPr>
                <w:sz w:val="18"/>
                <w:szCs w:val="18"/>
                <w:lang w:val="en-GB"/>
              </w:rPr>
            </w:pPr>
          </w:p>
          <w:p w14:paraId="5A79FC2F" w14:textId="77777777" w:rsidR="0018787E" w:rsidRPr="0018787E" w:rsidRDefault="0018787E" w:rsidP="0018787E">
            <w:pPr>
              <w:rPr>
                <w:sz w:val="18"/>
                <w:szCs w:val="18"/>
                <w:lang w:val="en-GB"/>
              </w:rPr>
            </w:pPr>
            <w:r w:rsidRPr="0018787E">
              <w:rPr>
                <w:sz w:val="18"/>
                <w:szCs w:val="18"/>
                <w:lang w:val="en-GB"/>
              </w:rPr>
              <w:t>National-level</w:t>
            </w:r>
          </w:p>
          <w:p w14:paraId="14CC6A9F" w14:textId="77777777" w:rsidR="0018787E" w:rsidRPr="0018787E" w:rsidRDefault="0018787E" w:rsidP="0018787E">
            <w:pPr>
              <w:rPr>
                <w:sz w:val="18"/>
                <w:szCs w:val="18"/>
                <w:lang w:val="en-GB"/>
              </w:rPr>
            </w:pPr>
          </w:p>
          <w:p w14:paraId="01231D8C" w14:textId="77777777" w:rsidR="0018787E" w:rsidRPr="0018787E" w:rsidRDefault="0018787E" w:rsidP="0018787E">
            <w:pPr>
              <w:rPr>
                <w:sz w:val="18"/>
                <w:szCs w:val="18"/>
                <w:lang w:val="en-GB"/>
              </w:rPr>
            </w:pPr>
          </w:p>
          <w:p w14:paraId="3B3137C9" w14:textId="77777777" w:rsidR="0018787E" w:rsidRPr="0018787E" w:rsidRDefault="0018787E" w:rsidP="0018787E">
            <w:pPr>
              <w:rPr>
                <w:sz w:val="18"/>
                <w:szCs w:val="18"/>
                <w:lang w:val="en-GB"/>
              </w:rPr>
            </w:pPr>
            <w:r w:rsidRPr="0018787E">
              <w:rPr>
                <w:sz w:val="18"/>
                <w:szCs w:val="18"/>
                <w:lang w:val="en-GB"/>
              </w:rPr>
              <w:t>National -level</w:t>
            </w:r>
          </w:p>
        </w:tc>
        <w:tc>
          <w:tcPr>
            <w:tcW w:w="1350" w:type="dxa"/>
          </w:tcPr>
          <w:p w14:paraId="6A35EF2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Seagrass Committees</w:t>
            </w:r>
          </w:p>
          <w:p w14:paraId="32240435"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2AC22DB6"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tc>
        <w:tc>
          <w:tcPr>
            <w:tcW w:w="810" w:type="dxa"/>
          </w:tcPr>
          <w:p w14:paraId="76606B64"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6C04D815"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5270D7FD" w14:textId="77777777" w:rsidTr="0018787E">
        <w:tc>
          <w:tcPr>
            <w:tcW w:w="1319" w:type="dxa"/>
            <w:vMerge/>
          </w:tcPr>
          <w:p w14:paraId="5D8C2BA1" w14:textId="77777777" w:rsidR="0018787E" w:rsidRPr="0018787E" w:rsidRDefault="0018787E" w:rsidP="0018787E">
            <w:pPr>
              <w:rPr>
                <w:sz w:val="18"/>
                <w:szCs w:val="18"/>
                <w:lang w:val="en-GB"/>
              </w:rPr>
            </w:pPr>
          </w:p>
        </w:tc>
        <w:tc>
          <w:tcPr>
            <w:tcW w:w="1270" w:type="dxa"/>
          </w:tcPr>
          <w:p w14:paraId="6572A5B0" w14:textId="77777777" w:rsidR="0018787E" w:rsidRPr="0018787E" w:rsidRDefault="0018787E" w:rsidP="0018787E">
            <w:pPr>
              <w:spacing w:before="40"/>
              <w:rPr>
                <w:bCs/>
                <w:sz w:val="18"/>
                <w:szCs w:val="18"/>
                <w:lang w:val="en-GB"/>
              </w:rPr>
            </w:pPr>
            <w:r w:rsidRPr="0018787E">
              <w:rPr>
                <w:bCs/>
                <w:sz w:val="18"/>
                <w:szCs w:val="18"/>
                <w:lang w:val="en-GB"/>
              </w:rPr>
              <w:t>Status of mechanism established for monitoring seagrass management effectiveness and stress reduction</w:t>
            </w:r>
          </w:p>
        </w:tc>
        <w:tc>
          <w:tcPr>
            <w:tcW w:w="1270" w:type="dxa"/>
          </w:tcPr>
          <w:p w14:paraId="7A4B47D8" w14:textId="77777777" w:rsidR="0018787E" w:rsidRPr="0018787E" w:rsidRDefault="0018787E" w:rsidP="0018787E">
            <w:pPr>
              <w:spacing w:before="40"/>
              <w:rPr>
                <w:sz w:val="18"/>
                <w:szCs w:val="18"/>
                <w:lang w:val="en-GB"/>
              </w:rPr>
            </w:pPr>
            <w:r w:rsidRPr="0018787E">
              <w:rPr>
                <w:sz w:val="18"/>
                <w:szCs w:val="18"/>
                <w:lang w:val="en-GB"/>
              </w:rPr>
              <w:t>Management, ecological and environmental, and socio-economic indicator frameworks developed but not yet applied at priority sites</w:t>
            </w:r>
          </w:p>
        </w:tc>
        <w:tc>
          <w:tcPr>
            <w:tcW w:w="1109" w:type="dxa"/>
          </w:tcPr>
          <w:p w14:paraId="351033CA" w14:textId="77777777" w:rsidR="0018787E" w:rsidRPr="0018787E" w:rsidRDefault="0018787E" w:rsidP="0018787E">
            <w:pPr>
              <w:rPr>
                <w:sz w:val="18"/>
                <w:szCs w:val="18"/>
                <w:lang w:val="en-GB"/>
              </w:rPr>
            </w:pPr>
            <w:r w:rsidRPr="0018787E">
              <w:rPr>
                <w:sz w:val="18"/>
                <w:szCs w:val="18"/>
                <w:lang w:val="en-GB"/>
              </w:rPr>
              <w:t>Indicator sets agreed and capacity needs of national scientists to compile regionally comparable data identified</w:t>
            </w:r>
          </w:p>
        </w:tc>
        <w:tc>
          <w:tcPr>
            <w:tcW w:w="1291" w:type="dxa"/>
          </w:tcPr>
          <w:p w14:paraId="499F8BD9" w14:textId="77777777" w:rsidR="0018787E" w:rsidRPr="0018787E" w:rsidRDefault="0018787E" w:rsidP="0018787E">
            <w:pPr>
              <w:spacing w:before="40"/>
              <w:rPr>
                <w:sz w:val="18"/>
                <w:szCs w:val="18"/>
                <w:lang w:val="en-GB"/>
              </w:rPr>
            </w:pPr>
            <w:r w:rsidRPr="0018787E">
              <w:rPr>
                <w:sz w:val="18"/>
                <w:szCs w:val="18"/>
                <w:lang w:val="en-GB"/>
              </w:rPr>
              <w:t>Established mechanism for monitoring management, ecological and socio-economic indicators at 21 sites</w:t>
            </w:r>
          </w:p>
        </w:tc>
        <w:tc>
          <w:tcPr>
            <w:tcW w:w="1269" w:type="dxa"/>
          </w:tcPr>
          <w:p w14:paraId="08C4D7E8" w14:textId="77777777" w:rsidR="0018787E" w:rsidRPr="0018787E" w:rsidRDefault="0018787E" w:rsidP="0018787E">
            <w:pPr>
              <w:spacing w:before="40"/>
              <w:rPr>
                <w:bCs/>
                <w:sz w:val="18"/>
                <w:szCs w:val="18"/>
                <w:lang w:val="en-GB"/>
              </w:rPr>
            </w:pPr>
            <w:r w:rsidRPr="0018787E">
              <w:rPr>
                <w:bCs/>
                <w:sz w:val="18"/>
                <w:szCs w:val="18"/>
                <w:lang w:val="en-GB"/>
              </w:rPr>
              <w:t>Annual results reports on seagrass management at priority sites</w:t>
            </w:r>
          </w:p>
        </w:tc>
        <w:tc>
          <w:tcPr>
            <w:tcW w:w="1440" w:type="dxa"/>
          </w:tcPr>
          <w:p w14:paraId="029B8B1E" w14:textId="77777777" w:rsidR="0018787E" w:rsidRPr="0018787E" w:rsidRDefault="0018787E" w:rsidP="0018787E">
            <w:pPr>
              <w:rPr>
                <w:sz w:val="18"/>
                <w:szCs w:val="18"/>
                <w:lang w:val="en-GB"/>
              </w:rPr>
            </w:pPr>
            <w:r w:rsidRPr="0018787E">
              <w:rPr>
                <w:sz w:val="18"/>
                <w:szCs w:val="18"/>
                <w:lang w:val="en-GB"/>
              </w:rPr>
              <w:t>Quarterly</w:t>
            </w:r>
          </w:p>
          <w:p w14:paraId="2434BB57" w14:textId="77777777" w:rsidR="0018787E" w:rsidRPr="0018787E" w:rsidRDefault="0018787E" w:rsidP="0018787E">
            <w:pPr>
              <w:rPr>
                <w:sz w:val="18"/>
                <w:szCs w:val="18"/>
                <w:lang w:val="en-GB"/>
              </w:rPr>
            </w:pPr>
          </w:p>
          <w:p w14:paraId="1603D05A" w14:textId="77777777" w:rsidR="0018787E" w:rsidRPr="0018787E" w:rsidRDefault="0018787E" w:rsidP="0018787E">
            <w:pPr>
              <w:rPr>
                <w:sz w:val="18"/>
                <w:szCs w:val="18"/>
                <w:lang w:val="en-GB"/>
              </w:rPr>
            </w:pPr>
          </w:p>
          <w:p w14:paraId="2B5CCBB6" w14:textId="77777777" w:rsidR="0018787E" w:rsidRPr="0018787E" w:rsidRDefault="0018787E" w:rsidP="0018787E">
            <w:pPr>
              <w:rPr>
                <w:sz w:val="18"/>
                <w:szCs w:val="18"/>
                <w:lang w:val="en-GB"/>
              </w:rPr>
            </w:pPr>
            <w:r w:rsidRPr="0018787E">
              <w:rPr>
                <w:sz w:val="18"/>
                <w:szCs w:val="18"/>
                <w:lang w:val="en-GB"/>
              </w:rPr>
              <w:t>Biannually</w:t>
            </w:r>
          </w:p>
          <w:p w14:paraId="21FFD5BE" w14:textId="77777777" w:rsidR="0018787E" w:rsidRPr="0018787E" w:rsidRDefault="0018787E" w:rsidP="0018787E">
            <w:pPr>
              <w:rPr>
                <w:sz w:val="18"/>
                <w:szCs w:val="18"/>
                <w:lang w:val="en-GB"/>
              </w:rPr>
            </w:pPr>
          </w:p>
          <w:p w14:paraId="6EB79E95" w14:textId="77777777" w:rsidR="0018787E" w:rsidRPr="0018787E" w:rsidRDefault="0018787E" w:rsidP="0018787E">
            <w:pPr>
              <w:rPr>
                <w:sz w:val="18"/>
                <w:szCs w:val="18"/>
                <w:lang w:val="en-GB"/>
              </w:rPr>
            </w:pPr>
          </w:p>
          <w:p w14:paraId="154B9BB0" w14:textId="77777777" w:rsidR="0018787E" w:rsidRPr="0018787E" w:rsidRDefault="0018787E" w:rsidP="0018787E">
            <w:pPr>
              <w:rPr>
                <w:sz w:val="18"/>
                <w:szCs w:val="18"/>
                <w:lang w:val="en-GB"/>
              </w:rPr>
            </w:pPr>
          </w:p>
          <w:p w14:paraId="10A07599"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76CC2D12" w14:textId="77777777" w:rsidR="0018787E" w:rsidRPr="0018787E" w:rsidRDefault="0018787E" w:rsidP="0018787E">
            <w:pPr>
              <w:rPr>
                <w:sz w:val="18"/>
                <w:szCs w:val="18"/>
                <w:lang w:val="en-GB"/>
              </w:rPr>
            </w:pPr>
            <w:r w:rsidRPr="0018787E">
              <w:rPr>
                <w:sz w:val="18"/>
                <w:szCs w:val="18"/>
                <w:lang w:val="en-GB"/>
              </w:rPr>
              <w:t>Site-level</w:t>
            </w:r>
          </w:p>
          <w:p w14:paraId="11E9F81D" w14:textId="77777777" w:rsidR="0018787E" w:rsidRPr="0018787E" w:rsidRDefault="0018787E" w:rsidP="0018787E">
            <w:pPr>
              <w:rPr>
                <w:sz w:val="18"/>
                <w:szCs w:val="18"/>
                <w:lang w:val="en-GB"/>
              </w:rPr>
            </w:pPr>
          </w:p>
          <w:p w14:paraId="57E02BA7" w14:textId="77777777" w:rsidR="0018787E" w:rsidRPr="0018787E" w:rsidRDefault="0018787E" w:rsidP="0018787E">
            <w:pPr>
              <w:rPr>
                <w:sz w:val="18"/>
                <w:szCs w:val="18"/>
                <w:lang w:val="en-GB"/>
              </w:rPr>
            </w:pPr>
          </w:p>
          <w:p w14:paraId="4DF78B92" w14:textId="77777777" w:rsidR="0018787E" w:rsidRPr="0018787E" w:rsidRDefault="0018787E" w:rsidP="0018787E">
            <w:pPr>
              <w:rPr>
                <w:sz w:val="18"/>
                <w:szCs w:val="18"/>
                <w:lang w:val="en-GB"/>
              </w:rPr>
            </w:pPr>
            <w:r w:rsidRPr="0018787E">
              <w:rPr>
                <w:sz w:val="18"/>
                <w:szCs w:val="18"/>
                <w:lang w:val="en-GB"/>
              </w:rPr>
              <w:t>National-level</w:t>
            </w:r>
          </w:p>
          <w:p w14:paraId="2CB23B14" w14:textId="77777777" w:rsidR="0018787E" w:rsidRPr="0018787E" w:rsidRDefault="0018787E" w:rsidP="0018787E">
            <w:pPr>
              <w:rPr>
                <w:sz w:val="18"/>
                <w:szCs w:val="18"/>
                <w:lang w:val="en-GB"/>
              </w:rPr>
            </w:pPr>
          </w:p>
          <w:p w14:paraId="4C913C57" w14:textId="77777777" w:rsidR="0018787E" w:rsidRPr="0018787E" w:rsidRDefault="0018787E" w:rsidP="0018787E">
            <w:pPr>
              <w:rPr>
                <w:sz w:val="18"/>
                <w:szCs w:val="18"/>
                <w:lang w:val="en-GB"/>
              </w:rPr>
            </w:pPr>
          </w:p>
          <w:p w14:paraId="7AC4B9C8" w14:textId="77777777" w:rsidR="0018787E" w:rsidRPr="0018787E" w:rsidRDefault="0018787E" w:rsidP="0018787E">
            <w:pPr>
              <w:rPr>
                <w:sz w:val="18"/>
                <w:szCs w:val="18"/>
                <w:lang w:val="en-GB"/>
              </w:rPr>
            </w:pPr>
            <w:r w:rsidRPr="0018787E">
              <w:rPr>
                <w:sz w:val="18"/>
                <w:szCs w:val="18"/>
                <w:lang w:val="en-GB"/>
              </w:rPr>
              <w:t>National -level</w:t>
            </w:r>
          </w:p>
        </w:tc>
        <w:tc>
          <w:tcPr>
            <w:tcW w:w="1350" w:type="dxa"/>
          </w:tcPr>
          <w:p w14:paraId="6818283D"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Seagrass Committees</w:t>
            </w:r>
          </w:p>
          <w:p w14:paraId="01CC8C4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1F2EF4D0"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tc>
        <w:tc>
          <w:tcPr>
            <w:tcW w:w="810" w:type="dxa"/>
          </w:tcPr>
          <w:p w14:paraId="677281B1"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2EE641A3"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1A47479D" w14:textId="77777777" w:rsidTr="0018787E">
        <w:tc>
          <w:tcPr>
            <w:tcW w:w="1319" w:type="dxa"/>
            <w:vMerge w:val="restart"/>
            <w:vAlign w:val="center"/>
          </w:tcPr>
          <w:p w14:paraId="4E1AF394" w14:textId="77777777" w:rsidR="0018787E" w:rsidRPr="0018787E" w:rsidRDefault="0018787E" w:rsidP="0018787E">
            <w:pPr>
              <w:rPr>
                <w:sz w:val="18"/>
                <w:szCs w:val="18"/>
                <w:lang w:val="en-GB"/>
              </w:rPr>
            </w:pPr>
            <w:r w:rsidRPr="0018787E">
              <w:rPr>
                <w:sz w:val="18"/>
                <w:szCs w:val="18"/>
                <w:lang w:val="en-GB"/>
              </w:rPr>
              <w:t>1.4: Integrated management of 783,900 ha of coastal wetland at 19 sites, including habitat restoration and protection strengthened at priority locations</w:t>
            </w:r>
          </w:p>
        </w:tc>
        <w:tc>
          <w:tcPr>
            <w:tcW w:w="1270" w:type="dxa"/>
          </w:tcPr>
          <w:p w14:paraId="7AFF5977" w14:textId="77777777" w:rsidR="0018787E" w:rsidRPr="0018787E" w:rsidRDefault="0018787E" w:rsidP="0018787E">
            <w:pPr>
              <w:spacing w:before="40"/>
              <w:rPr>
                <w:bCs/>
                <w:sz w:val="18"/>
                <w:szCs w:val="18"/>
                <w:lang w:val="en-GB"/>
              </w:rPr>
            </w:pPr>
            <w:r w:rsidRPr="0018787E">
              <w:rPr>
                <w:bCs/>
                <w:sz w:val="18"/>
                <w:szCs w:val="18"/>
                <w:lang w:val="en-GB"/>
              </w:rPr>
              <w:t xml:space="preserve">Number of integrated management plans developed </w:t>
            </w:r>
          </w:p>
          <w:p w14:paraId="31182F3B" w14:textId="77777777" w:rsidR="0018787E" w:rsidRPr="0018787E" w:rsidRDefault="0018787E" w:rsidP="0018787E">
            <w:pPr>
              <w:spacing w:before="40"/>
              <w:rPr>
                <w:bCs/>
                <w:sz w:val="18"/>
                <w:szCs w:val="18"/>
                <w:lang w:val="en-GB"/>
              </w:rPr>
            </w:pPr>
          </w:p>
          <w:p w14:paraId="07D8ADCC" w14:textId="77777777" w:rsidR="0018787E" w:rsidRPr="0018787E" w:rsidRDefault="0018787E" w:rsidP="0018787E">
            <w:pPr>
              <w:spacing w:before="40"/>
              <w:rPr>
                <w:bCs/>
                <w:sz w:val="18"/>
                <w:szCs w:val="18"/>
                <w:lang w:val="en-GB"/>
              </w:rPr>
            </w:pPr>
            <w:r w:rsidRPr="0018787E">
              <w:rPr>
                <w:bCs/>
                <w:sz w:val="18"/>
                <w:szCs w:val="18"/>
                <w:lang w:val="en-GB"/>
              </w:rPr>
              <w:t>Total area (ha) of wetland under management plan for sustainable use</w:t>
            </w:r>
          </w:p>
        </w:tc>
        <w:tc>
          <w:tcPr>
            <w:tcW w:w="1270" w:type="dxa"/>
          </w:tcPr>
          <w:p w14:paraId="1E9029E7" w14:textId="77777777" w:rsidR="0018787E" w:rsidRPr="0018787E" w:rsidRDefault="0018787E" w:rsidP="0018787E">
            <w:pPr>
              <w:spacing w:before="40"/>
              <w:rPr>
                <w:sz w:val="18"/>
                <w:szCs w:val="18"/>
                <w:lang w:val="en-GB"/>
              </w:rPr>
            </w:pPr>
            <w:r w:rsidRPr="0018787E">
              <w:rPr>
                <w:sz w:val="18"/>
                <w:szCs w:val="18"/>
                <w:lang w:val="en-GB"/>
              </w:rPr>
              <w:t>Population growth, and urbanisation of the coastal fringe, combined with rapid economic growth in the SCS region places tremendous pressure on coastal wetland ecosystems</w:t>
            </w:r>
          </w:p>
        </w:tc>
        <w:tc>
          <w:tcPr>
            <w:tcW w:w="1109" w:type="dxa"/>
          </w:tcPr>
          <w:p w14:paraId="1BA43EA3" w14:textId="77777777" w:rsidR="0018787E" w:rsidRPr="0018787E" w:rsidRDefault="0018787E" w:rsidP="0018787E">
            <w:pPr>
              <w:rPr>
                <w:sz w:val="18"/>
                <w:szCs w:val="18"/>
                <w:lang w:val="en-GB"/>
              </w:rPr>
            </w:pPr>
            <w:r w:rsidRPr="0018787E">
              <w:rPr>
                <w:sz w:val="18"/>
                <w:szCs w:val="18"/>
                <w:lang w:val="en-GB"/>
              </w:rPr>
              <w:t>Consultative processes at each location completed to ensure adequate local cooperation to agree boundaries and compile and analyse information to identify threats and agree management actions</w:t>
            </w:r>
          </w:p>
        </w:tc>
        <w:tc>
          <w:tcPr>
            <w:tcW w:w="1291" w:type="dxa"/>
          </w:tcPr>
          <w:p w14:paraId="0703C424" w14:textId="77777777" w:rsidR="0018787E" w:rsidRPr="0018787E" w:rsidRDefault="0018787E" w:rsidP="0018787E">
            <w:pPr>
              <w:spacing w:before="40"/>
              <w:rPr>
                <w:sz w:val="18"/>
                <w:szCs w:val="18"/>
                <w:lang w:val="en-GB"/>
              </w:rPr>
            </w:pPr>
            <w:r w:rsidRPr="0018787E">
              <w:rPr>
                <w:sz w:val="18"/>
                <w:szCs w:val="18"/>
                <w:lang w:val="en-GB"/>
              </w:rPr>
              <w:t>Integrated management plans developed and under implementation for at least 3 lagoons (26,818 ha), 9 estuaries (614,680 ha), 5 tidal flats (96,903 ha), 1 peat swamp (45,700 ha) and 1 non-peat swamp (9,808 ha)</w:t>
            </w:r>
          </w:p>
        </w:tc>
        <w:tc>
          <w:tcPr>
            <w:tcW w:w="1269" w:type="dxa"/>
          </w:tcPr>
          <w:p w14:paraId="36885326" w14:textId="77777777" w:rsidR="0018787E" w:rsidRPr="0018787E" w:rsidRDefault="0018787E" w:rsidP="0018787E">
            <w:pPr>
              <w:spacing w:before="40"/>
              <w:rPr>
                <w:bCs/>
                <w:sz w:val="18"/>
                <w:szCs w:val="18"/>
                <w:lang w:val="en-GB"/>
              </w:rPr>
            </w:pPr>
            <w:r w:rsidRPr="0018787E">
              <w:rPr>
                <w:bCs/>
                <w:sz w:val="18"/>
                <w:szCs w:val="18"/>
                <w:lang w:val="en-GB"/>
              </w:rPr>
              <w:t>Adopted integrated management plans</w:t>
            </w:r>
          </w:p>
          <w:p w14:paraId="26EAA9E1" w14:textId="77777777" w:rsidR="0018787E" w:rsidRPr="0018787E" w:rsidRDefault="0018787E" w:rsidP="0018787E">
            <w:pPr>
              <w:spacing w:before="40"/>
              <w:rPr>
                <w:bCs/>
                <w:sz w:val="18"/>
                <w:szCs w:val="18"/>
                <w:lang w:val="en-GB"/>
              </w:rPr>
            </w:pPr>
            <w:r w:rsidRPr="0018787E">
              <w:rPr>
                <w:bCs/>
                <w:sz w:val="18"/>
                <w:szCs w:val="18"/>
                <w:lang w:val="en-GB"/>
              </w:rPr>
              <w:t>Annual implementation reports, including results of environmental stress reduction initiatives</w:t>
            </w:r>
          </w:p>
        </w:tc>
        <w:tc>
          <w:tcPr>
            <w:tcW w:w="1440" w:type="dxa"/>
          </w:tcPr>
          <w:p w14:paraId="1383E4BF" w14:textId="77777777" w:rsidR="0018787E" w:rsidRPr="0018787E" w:rsidRDefault="0018787E" w:rsidP="0018787E">
            <w:pPr>
              <w:rPr>
                <w:sz w:val="18"/>
                <w:szCs w:val="18"/>
                <w:lang w:val="en-GB"/>
              </w:rPr>
            </w:pPr>
            <w:r w:rsidRPr="0018787E">
              <w:rPr>
                <w:sz w:val="18"/>
                <w:szCs w:val="18"/>
                <w:lang w:val="en-GB"/>
              </w:rPr>
              <w:t>Quarterly</w:t>
            </w:r>
          </w:p>
          <w:p w14:paraId="45EB3C38" w14:textId="77777777" w:rsidR="0018787E" w:rsidRPr="0018787E" w:rsidRDefault="0018787E" w:rsidP="0018787E">
            <w:pPr>
              <w:rPr>
                <w:sz w:val="18"/>
                <w:szCs w:val="18"/>
                <w:lang w:val="en-GB"/>
              </w:rPr>
            </w:pPr>
          </w:p>
          <w:p w14:paraId="6C71F919" w14:textId="77777777" w:rsidR="0018787E" w:rsidRPr="0018787E" w:rsidRDefault="0018787E" w:rsidP="0018787E">
            <w:pPr>
              <w:rPr>
                <w:sz w:val="18"/>
                <w:szCs w:val="18"/>
                <w:lang w:val="en-GB"/>
              </w:rPr>
            </w:pPr>
          </w:p>
          <w:p w14:paraId="6B6E1C3B" w14:textId="77777777" w:rsidR="0018787E" w:rsidRPr="0018787E" w:rsidRDefault="0018787E" w:rsidP="0018787E">
            <w:pPr>
              <w:rPr>
                <w:sz w:val="18"/>
                <w:szCs w:val="18"/>
                <w:lang w:val="en-GB"/>
              </w:rPr>
            </w:pPr>
            <w:r w:rsidRPr="0018787E">
              <w:rPr>
                <w:sz w:val="18"/>
                <w:szCs w:val="18"/>
                <w:lang w:val="en-GB"/>
              </w:rPr>
              <w:t>Biannually</w:t>
            </w:r>
          </w:p>
          <w:p w14:paraId="7A3DEFDA" w14:textId="77777777" w:rsidR="0018787E" w:rsidRPr="0018787E" w:rsidRDefault="0018787E" w:rsidP="0018787E">
            <w:pPr>
              <w:rPr>
                <w:sz w:val="18"/>
                <w:szCs w:val="18"/>
                <w:lang w:val="en-GB"/>
              </w:rPr>
            </w:pPr>
          </w:p>
          <w:p w14:paraId="3527781B" w14:textId="77777777" w:rsidR="0018787E" w:rsidRPr="0018787E" w:rsidRDefault="0018787E" w:rsidP="0018787E">
            <w:pPr>
              <w:rPr>
                <w:sz w:val="18"/>
                <w:szCs w:val="18"/>
                <w:lang w:val="en-GB"/>
              </w:rPr>
            </w:pPr>
          </w:p>
          <w:p w14:paraId="46376BAA" w14:textId="77777777" w:rsidR="0018787E" w:rsidRPr="0018787E" w:rsidRDefault="0018787E" w:rsidP="0018787E">
            <w:pPr>
              <w:rPr>
                <w:sz w:val="18"/>
                <w:szCs w:val="18"/>
                <w:lang w:val="en-GB"/>
              </w:rPr>
            </w:pPr>
          </w:p>
          <w:p w14:paraId="572A3A03"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0A007C74" w14:textId="77777777" w:rsidR="0018787E" w:rsidRPr="0018787E" w:rsidRDefault="0018787E" w:rsidP="0018787E">
            <w:pPr>
              <w:rPr>
                <w:sz w:val="18"/>
                <w:szCs w:val="18"/>
                <w:lang w:val="en-GB"/>
              </w:rPr>
            </w:pPr>
            <w:r w:rsidRPr="0018787E">
              <w:rPr>
                <w:sz w:val="18"/>
                <w:szCs w:val="18"/>
                <w:lang w:val="en-GB"/>
              </w:rPr>
              <w:t>Site-level</w:t>
            </w:r>
          </w:p>
          <w:p w14:paraId="4FB32F2E" w14:textId="77777777" w:rsidR="0018787E" w:rsidRPr="0018787E" w:rsidRDefault="0018787E" w:rsidP="0018787E">
            <w:pPr>
              <w:rPr>
                <w:sz w:val="18"/>
                <w:szCs w:val="18"/>
                <w:lang w:val="en-GB"/>
              </w:rPr>
            </w:pPr>
          </w:p>
          <w:p w14:paraId="2825C4AA" w14:textId="77777777" w:rsidR="0018787E" w:rsidRPr="0018787E" w:rsidRDefault="0018787E" w:rsidP="0018787E">
            <w:pPr>
              <w:rPr>
                <w:sz w:val="18"/>
                <w:szCs w:val="18"/>
                <w:lang w:val="en-GB"/>
              </w:rPr>
            </w:pPr>
          </w:p>
          <w:p w14:paraId="4BF67623" w14:textId="77777777" w:rsidR="0018787E" w:rsidRPr="0018787E" w:rsidRDefault="0018787E" w:rsidP="0018787E">
            <w:pPr>
              <w:rPr>
                <w:sz w:val="18"/>
                <w:szCs w:val="18"/>
                <w:lang w:val="en-GB"/>
              </w:rPr>
            </w:pPr>
            <w:r w:rsidRPr="0018787E">
              <w:rPr>
                <w:sz w:val="18"/>
                <w:szCs w:val="18"/>
                <w:lang w:val="en-GB"/>
              </w:rPr>
              <w:t>National-level</w:t>
            </w:r>
          </w:p>
          <w:p w14:paraId="491F0863" w14:textId="77777777" w:rsidR="0018787E" w:rsidRPr="0018787E" w:rsidRDefault="0018787E" w:rsidP="0018787E">
            <w:pPr>
              <w:rPr>
                <w:sz w:val="18"/>
                <w:szCs w:val="18"/>
                <w:lang w:val="en-GB"/>
              </w:rPr>
            </w:pPr>
          </w:p>
          <w:p w14:paraId="4691987A" w14:textId="77777777" w:rsidR="0018787E" w:rsidRPr="0018787E" w:rsidRDefault="0018787E" w:rsidP="0018787E">
            <w:pPr>
              <w:rPr>
                <w:sz w:val="18"/>
                <w:szCs w:val="18"/>
                <w:lang w:val="en-GB"/>
              </w:rPr>
            </w:pPr>
          </w:p>
          <w:p w14:paraId="5A936A58" w14:textId="77777777" w:rsidR="0018787E" w:rsidRPr="0018787E" w:rsidRDefault="0018787E" w:rsidP="0018787E">
            <w:pPr>
              <w:rPr>
                <w:sz w:val="18"/>
                <w:szCs w:val="18"/>
                <w:lang w:val="en-GB"/>
              </w:rPr>
            </w:pPr>
            <w:r w:rsidRPr="0018787E">
              <w:rPr>
                <w:sz w:val="18"/>
                <w:szCs w:val="18"/>
                <w:lang w:val="en-GB"/>
              </w:rPr>
              <w:t>National -level</w:t>
            </w:r>
          </w:p>
        </w:tc>
        <w:tc>
          <w:tcPr>
            <w:tcW w:w="1350" w:type="dxa"/>
          </w:tcPr>
          <w:p w14:paraId="64638CA1"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Wetland Committees</w:t>
            </w:r>
          </w:p>
          <w:p w14:paraId="5A16F472"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3DACB23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tc>
        <w:tc>
          <w:tcPr>
            <w:tcW w:w="810" w:type="dxa"/>
          </w:tcPr>
          <w:p w14:paraId="253D20E0"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3522FCC1"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0BBF7E60" w14:textId="77777777" w:rsidTr="0018787E">
        <w:tc>
          <w:tcPr>
            <w:tcW w:w="1319" w:type="dxa"/>
            <w:vMerge/>
          </w:tcPr>
          <w:p w14:paraId="3B932129" w14:textId="77777777" w:rsidR="0018787E" w:rsidRPr="0018787E" w:rsidRDefault="0018787E" w:rsidP="0018787E">
            <w:pPr>
              <w:rPr>
                <w:sz w:val="18"/>
                <w:szCs w:val="18"/>
                <w:lang w:val="en-GB"/>
              </w:rPr>
            </w:pPr>
          </w:p>
        </w:tc>
        <w:tc>
          <w:tcPr>
            <w:tcW w:w="1270" w:type="dxa"/>
          </w:tcPr>
          <w:p w14:paraId="166BF48B" w14:textId="77777777" w:rsidR="0018787E" w:rsidRPr="0018787E" w:rsidRDefault="0018787E" w:rsidP="0018787E">
            <w:pPr>
              <w:spacing w:before="40"/>
              <w:rPr>
                <w:bCs/>
                <w:sz w:val="18"/>
                <w:szCs w:val="18"/>
                <w:lang w:val="en-GB"/>
              </w:rPr>
            </w:pPr>
            <w:r w:rsidRPr="0018787E">
              <w:rPr>
                <w:bCs/>
                <w:sz w:val="18"/>
                <w:szCs w:val="18"/>
                <w:lang w:val="en-GB"/>
              </w:rPr>
              <w:t>Number of wetlands sites assigned protection status</w:t>
            </w:r>
          </w:p>
        </w:tc>
        <w:tc>
          <w:tcPr>
            <w:tcW w:w="1270" w:type="dxa"/>
          </w:tcPr>
          <w:p w14:paraId="46913962" w14:textId="77777777" w:rsidR="0018787E" w:rsidRPr="0018787E" w:rsidRDefault="0018787E" w:rsidP="0018787E">
            <w:pPr>
              <w:spacing w:before="40"/>
              <w:rPr>
                <w:sz w:val="18"/>
                <w:szCs w:val="18"/>
                <w:lang w:val="en-GB"/>
              </w:rPr>
            </w:pPr>
            <w:r w:rsidRPr="0018787E">
              <w:rPr>
                <w:sz w:val="18"/>
                <w:szCs w:val="18"/>
                <w:lang w:val="en-GB"/>
              </w:rPr>
              <w:t>The riparian states of SCS face significant pressure to convert wetlands for economic development with little focus on conservation or sustainable use</w:t>
            </w:r>
          </w:p>
        </w:tc>
        <w:tc>
          <w:tcPr>
            <w:tcW w:w="1109" w:type="dxa"/>
          </w:tcPr>
          <w:p w14:paraId="4C5349FB" w14:textId="77777777" w:rsidR="0018787E" w:rsidRPr="0018787E" w:rsidRDefault="0018787E" w:rsidP="0018787E">
            <w:pPr>
              <w:rPr>
                <w:sz w:val="18"/>
                <w:szCs w:val="18"/>
                <w:lang w:val="en-GB"/>
              </w:rPr>
            </w:pPr>
            <w:r w:rsidRPr="0018787E">
              <w:rPr>
                <w:sz w:val="18"/>
                <w:szCs w:val="18"/>
                <w:lang w:val="en-GB"/>
              </w:rPr>
              <w:t>Consultative processes at each location completed to ensure adequate local cooperation to agree on designation and rules and regulations pertaining to protection</w:t>
            </w:r>
          </w:p>
        </w:tc>
        <w:tc>
          <w:tcPr>
            <w:tcW w:w="1291" w:type="dxa"/>
          </w:tcPr>
          <w:p w14:paraId="3249F2CF" w14:textId="77777777" w:rsidR="0018787E" w:rsidRPr="0018787E" w:rsidRDefault="0018787E" w:rsidP="0018787E">
            <w:pPr>
              <w:spacing w:before="40"/>
              <w:rPr>
                <w:sz w:val="18"/>
                <w:szCs w:val="18"/>
                <w:lang w:val="en-GB"/>
              </w:rPr>
            </w:pPr>
            <w:r w:rsidRPr="0018787E">
              <w:rPr>
                <w:sz w:val="18"/>
                <w:szCs w:val="18"/>
                <w:lang w:val="en-GB"/>
              </w:rPr>
              <w:t>Declaration of at least 7 wetland areas with protection status (i.e. non-hunting area, nature reserves, protected areas, Ramsar Sites)</w:t>
            </w:r>
          </w:p>
        </w:tc>
        <w:tc>
          <w:tcPr>
            <w:tcW w:w="1269" w:type="dxa"/>
          </w:tcPr>
          <w:p w14:paraId="59F4B3C2" w14:textId="77777777" w:rsidR="0018787E" w:rsidRPr="0018787E" w:rsidRDefault="0018787E" w:rsidP="0018787E">
            <w:pPr>
              <w:spacing w:before="40"/>
              <w:rPr>
                <w:bCs/>
                <w:sz w:val="18"/>
                <w:szCs w:val="18"/>
                <w:lang w:val="en-GB"/>
              </w:rPr>
            </w:pPr>
            <w:r w:rsidRPr="0018787E">
              <w:rPr>
                <w:bCs/>
                <w:sz w:val="18"/>
                <w:szCs w:val="18"/>
                <w:lang w:val="en-GB"/>
              </w:rPr>
              <w:t>Official proclamations, executive orders, and ordinances establishing protection status for wetland sites</w:t>
            </w:r>
          </w:p>
        </w:tc>
        <w:tc>
          <w:tcPr>
            <w:tcW w:w="1440" w:type="dxa"/>
          </w:tcPr>
          <w:p w14:paraId="1BA0FB09" w14:textId="77777777" w:rsidR="0018787E" w:rsidRPr="0018787E" w:rsidRDefault="0018787E" w:rsidP="0018787E">
            <w:pPr>
              <w:rPr>
                <w:sz w:val="18"/>
                <w:szCs w:val="18"/>
                <w:lang w:val="en-GB"/>
              </w:rPr>
            </w:pPr>
            <w:r w:rsidRPr="0018787E">
              <w:rPr>
                <w:sz w:val="18"/>
                <w:szCs w:val="18"/>
                <w:lang w:val="en-GB"/>
              </w:rPr>
              <w:t>Quarterly</w:t>
            </w:r>
          </w:p>
          <w:p w14:paraId="09CB4EC8" w14:textId="77777777" w:rsidR="0018787E" w:rsidRPr="0018787E" w:rsidRDefault="0018787E" w:rsidP="0018787E">
            <w:pPr>
              <w:rPr>
                <w:sz w:val="18"/>
                <w:szCs w:val="18"/>
                <w:lang w:val="en-GB"/>
              </w:rPr>
            </w:pPr>
          </w:p>
          <w:p w14:paraId="5799FF35" w14:textId="77777777" w:rsidR="0018787E" w:rsidRPr="0018787E" w:rsidRDefault="0018787E" w:rsidP="0018787E">
            <w:pPr>
              <w:rPr>
                <w:sz w:val="18"/>
                <w:szCs w:val="18"/>
                <w:lang w:val="en-GB"/>
              </w:rPr>
            </w:pPr>
          </w:p>
          <w:p w14:paraId="49E08911" w14:textId="77777777" w:rsidR="0018787E" w:rsidRPr="0018787E" w:rsidRDefault="0018787E" w:rsidP="0018787E">
            <w:pPr>
              <w:rPr>
                <w:sz w:val="18"/>
                <w:szCs w:val="18"/>
                <w:lang w:val="en-GB"/>
              </w:rPr>
            </w:pPr>
            <w:r w:rsidRPr="0018787E">
              <w:rPr>
                <w:sz w:val="18"/>
                <w:szCs w:val="18"/>
                <w:lang w:val="en-GB"/>
              </w:rPr>
              <w:t>Biannually</w:t>
            </w:r>
          </w:p>
          <w:p w14:paraId="45F731D5" w14:textId="77777777" w:rsidR="0018787E" w:rsidRPr="0018787E" w:rsidRDefault="0018787E" w:rsidP="0018787E">
            <w:pPr>
              <w:rPr>
                <w:sz w:val="18"/>
                <w:szCs w:val="18"/>
                <w:lang w:val="en-GB"/>
              </w:rPr>
            </w:pPr>
          </w:p>
          <w:p w14:paraId="373F9E5B" w14:textId="77777777" w:rsidR="0018787E" w:rsidRPr="0018787E" w:rsidRDefault="0018787E" w:rsidP="0018787E">
            <w:pPr>
              <w:rPr>
                <w:sz w:val="18"/>
                <w:szCs w:val="18"/>
                <w:lang w:val="en-GB"/>
              </w:rPr>
            </w:pPr>
          </w:p>
          <w:p w14:paraId="1EAAEB11" w14:textId="77777777" w:rsidR="0018787E" w:rsidRPr="0018787E" w:rsidRDefault="0018787E" w:rsidP="0018787E">
            <w:pPr>
              <w:rPr>
                <w:sz w:val="18"/>
                <w:szCs w:val="18"/>
                <w:lang w:val="en-GB"/>
              </w:rPr>
            </w:pPr>
          </w:p>
          <w:p w14:paraId="1E08B522"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4F19978B" w14:textId="77777777" w:rsidR="0018787E" w:rsidRPr="0018787E" w:rsidRDefault="0018787E" w:rsidP="0018787E">
            <w:pPr>
              <w:rPr>
                <w:sz w:val="18"/>
                <w:szCs w:val="18"/>
                <w:lang w:val="en-GB"/>
              </w:rPr>
            </w:pPr>
            <w:r w:rsidRPr="0018787E">
              <w:rPr>
                <w:sz w:val="18"/>
                <w:szCs w:val="18"/>
                <w:lang w:val="en-GB"/>
              </w:rPr>
              <w:t>Site-level</w:t>
            </w:r>
          </w:p>
          <w:p w14:paraId="23D78032" w14:textId="77777777" w:rsidR="0018787E" w:rsidRPr="0018787E" w:rsidRDefault="0018787E" w:rsidP="0018787E">
            <w:pPr>
              <w:rPr>
                <w:sz w:val="18"/>
                <w:szCs w:val="18"/>
                <w:lang w:val="en-GB"/>
              </w:rPr>
            </w:pPr>
          </w:p>
          <w:p w14:paraId="1D5DC9B2" w14:textId="77777777" w:rsidR="0018787E" w:rsidRPr="0018787E" w:rsidRDefault="0018787E" w:rsidP="0018787E">
            <w:pPr>
              <w:rPr>
                <w:sz w:val="18"/>
                <w:szCs w:val="18"/>
                <w:lang w:val="en-GB"/>
              </w:rPr>
            </w:pPr>
          </w:p>
          <w:p w14:paraId="320F68BD" w14:textId="77777777" w:rsidR="0018787E" w:rsidRPr="0018787E" w:rsidRDefault="0018787E" w:rsidP="0018787E">
            <w:pPr>
              <w:rPr>
                <w:sz w:val="18"/>
                <w:szCs w:val="18"/>
                <w:lang w:val="en-GB"/>
              </w:rPr>
            </w:pPr>
            <w:r w:rsidRPr="0018787E">
              <w:rPr>
                <w:sz w:val="18"/>
                <w:szCs w:val="18"/>
                <w:lang w:val="en-GB"/>
              </w:rPr>
              <w:t>National-level</w:t>
            </w:r>
          </w:p>
          <w:p w14:paraId="1431E18C" w14:textId="77777777" w:rsidR="0018787E" w:rsidRPr="0018787E" w:rsidRDefault="0018787E" w:rsidP="0018787E">
            <w:pPr>
              <w:rPr>
                <w:sz w:val="18"/>
                <w:szCs w:val="18"/>
                <w:lang w:val="en-GB"/>
              </w:rPr>
            </w:pPr>
          </w:p>
          <w:p w14:paraId="58A664E4" w14:textId="77777777" w:rsidR="0018787E" w:rsidRPr="0018787E" w:rsidRDefault="0018787E" w:rsidP="0018787E">
            <w:pPr>
              <w:rPr>
                <w:sz w:val="18"/>
                <w:szCs w:val="18"/>
                <w:lang w:val="en-GB"/>
              </w:rPr>
            </w:pPr>
          </w:p>
          <w:p w14:paraId="02795F0A" w14:textId="77777777" w:rsidR="0018787E" w:rsidRPr="0018787E" w:rsidRDefault="0018787E" w:rsidP="0018787E">
            <w:pPr>
              <w:rPr>
                <w:sz w:val="18"/>
                <w:szCs w:val="18"/>
                <w:lang w:val="en-GB"/>
              </w:rPr>
            </w:pPr>
            <w:r w:rsidRPr="0018787E">
              <w:rPr>
                <w:sz w:val="18"/>
                <w:szCs w:val="18"/>
                <w:lang w:val="en-GB"/>
              </w:rPr>
              <w:t>National -level</w:t>
            </w:r>
          </w:p>
        </w:tc>
        <w:tc>
          <w:tcPr>
            <w:tcW w:w="1350" w:type="dxa"/>
          </w:tcPr>
          <w:p w14:paraId="053FBECE"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Wetland Committees</w:t>
            </w:r>
          </w:p>
          <w:p w14:paraId="798792D7"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6119472B"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tc>
        <w:tc>
          <w:tcPr>
            <w:tcW w:w="810" w:type="dxa"/>
          </w:tcPr>
          <w:p w14:paraId="21CC1E1B"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2EABB159"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1B0DCA79" w14:textId="77777777" w:rsidTr="0018787E">
        <w:tc>
          <w:tcPr>
            <w:tcW w:w="1319" w:type="dxa"/>
            <w:vMerge/>
          </w:tcPr>
          <w:p w14:paraId="4C5FD096" w14:textId="77777777" w:rsidR="0018787E" w:rsidRPr="0018787E" w:rsidRDefault="0018787E" w:rsidP="0018787E">
            <w:pPr>
              <w:rPr>
                <w:sz w:val="18"/>
                <w:szCs w:val="18"/>
                <w:lang w:val="en-GB"/>
              </w:rPr>
            </w:pPr>
          </w:p>
        </w:tc>
        <w:tc>
          <w:tcPr>
            <w:tcW w:w="1270" w:type="dxa"/>
          </w:tcPr>
          <w:p w14:paraId="12D1EEAD" w14:textId="77777777" w:rsidR="0018787E" w:rsidRPr="0018787E" w:rsidRDefault="0018787E" w:rsidP="0018787E">
            <w:pPr>
              <w:spacing w:before="40"/>
              <w:rPr>
                <w:bCs/>
                <w:sz w:val="18"/>
                <w:szCs w:val="18"/>
                <w:lang w:val="en-GB"/>
              </w:rPr>
            </w:pPr>
            <w:r w:rsidRPr="0018787E">
              <w:rPr>
                <w:bCs/>
                <w:sz w:val="18"/>
                <w:szCs w:val="18"/>
                <w:lang w:val="en-GB"/>
              </w:rPr>
              <w:t>Status of mechanism established for monitoring wetland management effectiveness and stress reduction</w:t>
            </w:r>
          </w:p>
        </w:tc>
        <w:tc>
          <w:tcPr>
            <w:tcW w:w="1270" w:type="dxa"/>
          </w:tcPr>
          <w:p w14:paraId="1ABE10B5" w14:textId="77777777" w:rsidR="0018787E" w:rsidRPr="0018787E" w:rsidRDefault="0018787E" w:rsidP="0018787E">
            <w:pPr>
              <w:spacing w:before="40"/>
              <w:rPr>
                <w:sz w:val="18"/>
                <w:szCs w:val="18"/>
                <w:lang w:val="en-GB"/>
              </w:rPr>
            </w:pPr>
            <w:r w:rsidRPr="0018787E">
              <w:rPr>
                <w:sz w:val="18"/>
                <w:szCs w:val="18"/>
                <w:lang w:val="en-GB"/>
              </w:rPr>
              <w:t>Management, ecological and environmental, and socio-economic indicator frameworks developed but not yet applied at priority sites</w:t>
            </w:r>
          </w:p>
        </w:tc>
        <w:tc>
          <w:tcPr>
            <w:tcW w:w="1109" w:type="dxa"/>
          </w:tcPr>
          <w:p w14:paraId="0893A987" w14:textId="77777777" w:rsidR="0018787E" w:rsidRPr="0018787E" w:rsidRDefault="0018787E" w:rsidP="0018787E">
            <w:pPr>
              <w:rPr>
                <w:sz w:val="18"/>
                <w:szCs w:val="18"/>
                <w:lang w:val="en-GB"/>
              </w:rPr>
            </w:pPr>
            <w:r w:rsidRPr="0018787E">
              <w:rPr>
                <w:sz w:val="18"/>
                <w:szCs w:val="18"/>
                <w:lang w:val="en-GB"/>
              </w:rPr>
              <w:t>Indicator sets agreed and capacity needs of national scientists to compile regionally comparable data identified</w:t>
            </w:r>
          </w:p>
        </w:tc>
        <w:tc>
          <w:tcPr>
            <w:tcW w:w="1291" w:type="dxa"/>
          </w:tcPr>
          <w:p w14:paraId="23DB553E" w14:textId="77777777" w:rsidR="0018787E" w:rsidRPr="0018787E" w:rsidRDefault="0018787E" w:rsidP="0018787E">
            <w:pPr>
              <w:spacing w:before="40"/>
              <w:rPr>
                <w:sz w:val="18"/>
                <w:szCs w:val="18"/>
                <w:lang w:val="en-GB"/>
              </w:rPr>
            </w:pPr>
            <w:r w:rsidRPr="0018787E">
              <w:rPr>
                <w:sz w:val="18"/>
                <w:szCs w:val="18"/>
                <w:lang w:val="en-GB"/>
              </w:rPr>
              <w:t>Adoption of a regional estuary monitoring scheme and its national implementation</w:t>
            </w:r>
          </w:p>
        </w:tc>
        <w:tc>
          <w:tcPr>
            <w:tcW w:w="1269" w:type="dxa"/>
          </w:tcPr>
          <w:p w14:paraId="30620404" w14:textId="77777777" w:rsidR="0018787E" w:rsidRPr="0018787E" w:rsidRDefault="0018787E" w:rsidP="0018787E">
            <w:pPr>
              <w:spacing w:before="40"/>
              <w:rPr>
                <w:bCs/>
                <w:sz w:val="18"/>
                <w:szCs w:val="18"/>
                <w:lang w:val="en-GB"/>
              </w:rPr>
            </w:pPr>
            <w:r w:rsidRPr="0018787E">
              <w:rPr>
                <w:bCs/>
                <w:sz w:val="18"/>
                <w:szCs w:val="18"/>
                <w:lang w:val="en-GB"/>
              </w:rPr>
              <w:t>Annual results reports on wetland management at priority sites</w:t>
            </w:r>
          </w:p>
        </w:tc>
        <w:tc>
          <w:tcPr>
            <w:tcW w:w="1440" w:type="dxa"/>
          </w:tcPr>
          <w:p w14:paraId="3B40D4C9" w14:textId="77777777" w:rsidR="0018787E" w:rsidRPr="0018787E" w:rsidRDefault="0018787E" w:rsidP="0018787E">
            <w:pPr>
              <w:rPr>
                <w:sz w:val="18"/>
                <w:szCs w:val="18"/>
                <w:lang w:val="en-GB"/>
              </w:rPr>
            </w:pPr>
            <w:r w:rsidRPr="0018787E">
              <w:rPr>
                <w:sz w:val="18"/>
                <w:szCs w:val="18"/>
                <w:lang w:val="en-GB"/>
              </w:rPr>
              <w:t>Quarterly</w:t>
            </w:r>
          </w:p>
          <w:p w14:paraId="412FF9DD" w14:textId="77777777" w:rsidR="0018787E" w:rsidRPr="0018787E" w:rsidRDefault="0018787E" w:rsidP="0018787E">
            <w:pPr>
              <w:rPr>
                <w:sz w:val="18"/>
                <w:szCs w:val="18"/>
                <w:lang w:val="en-GB"/>
              </w:rPr>
            </w:pPr>
          </w:p>
          <w:p w14:paraId="68915AC4" w14:textId="77777777" w:rsidR="0018787E" w:rsidRPr="0018787E" w:rsidRDefault="0018787E" w:rsidP="0018787E">
            <w:pPr>
              <w:rPr>
                <w:sz w:val="18"/>
                <w:szCs w:val="18"/>
                <w:lang w:val="en-GB"/>
              </w:rPr>
            </w:pPr>
          </w:p>
          <w:p w14:paraId="2B53F5FC" w14:textId="77777777" w:rsidR="0018787E" w:rsidRPr="0018787E" w:rsidRDefault="0018787E" w:rsidP="0018787E">
            <w:pPr>
              <w:rPr>
                <w:sz w:val="18"/>
                <w:szCs w:val="18"/>
                <w:lang w:val="en-GB"/>
              </w:rPr>
            </w:pPr>
            <w:r w:rsidRPr="0018787E">
              <w:rPr>
                <w:sz w:val="18"/>
                <w:szCs w:val="18"/>
                <w:lang w:val="en-GB"/>
              </w:rPr>
              <w:t>Biannually</w:t>
            </w:r>
          </w:p>
          <w:p w14:paraId="4F1083C9" w14:textId="77777777" w:rsidR="0018787E" w:rsidRPr="0018787E" w:rsidRDefault="0018787E" w:rsidP="0018787E">
            <w:pPr>
              <w:rPr>
                <w:sz w:val="18"/>
                <w:szCs w:val="18"/>
                <w:lang w:val="en-GB"/>
              </w:rPr>
            </w:pPr>
          </w:p>
          <w:p w14:paraId="479C9B8C" w14:textId="77777777" w:rsidR="0018787E" w:rsidRPr="0018787E" w:rsidRDefault="0018787E" w:rsidP="0018787E">
            <w:pPr>
              <w:rPr>
                <w:sz w:val="18"/>
                <w:szCs w:val="18"/>
                <w:lang w:val="en-GB"/>
              </w:rPr>
            </w:pPr>
          </w:p>
          <w:p w14:paraId="5E08286B" w14:textId="77777777" w:rsidR="0018787E" w:rsidRPr="0018787E" w:rsidRDefault="0018787E" w:rsidP="0018787E">
            <w:pPr>
              <w:rPr>
                <w:sz w:val="18"/>
                <w:szCs w:val="18"/>
                <w:lang w:val="en-GB"/>
              </w:rPr>
            </w:pPr>
          </w:p>
          <w:p w14:paraId="7A03738C"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7174CA87" w14:textId="77777777" w:rsidR="0018787E" w:rsidRPr="0018787E" w:rsidRDefault="0018787E" w:rsidP="0018787E">
            <w:pPr>
              <w:rPr>
                <w:sz w:val="18"/>
                <w:szCs w:val="18"/>
                <w:lang w:val="en-GB"/>
              </w:rPr>
            </w:pPr>
            <w:r w:rsidRPr="0018787E">
              <w:rPr>
                <w:sz w:val="18"/>
                <w:szCs w:val="18"/>
                <w:lang w:val="en-GB"/>
              </w:rPr>
              <w:t>Site-level</w:t>
            </w:r>
          </w:p>
          <w:p w14:paraId="288A82DF" w14:textId="77777777" w:rsidR="0018787E" w:rsidRPr="0018787E" w:rsidRDefault="0018787E" w:rsidP="0018787E">
            <w:pPr>
              <w:rPr>
                <w:sz w:val="18"/>
                <w:szCs w:val="18"/>
                <w:lang w:val="en-GB"/>
              </w:rPr>
            </w:pPr>
          </w:p>
          <w:p w14:paraId="64CB7927" w14:textId="77777777" w:rsidR="0018787E" w:rsidRPr="0018787E" w:rsidRDefault="0018787E" w:rsidP="0018787E">
            <w:pPr>
              <w:rPr>
                <w:sz w:val="18"/>
                <w:szCs w:val="18"/>
                <w:lang w:val="en-GB"/>
              </w:rPr>
            </w:pPr>
          </w:p>
          <w:p w14:paraId="6CF3CCB2" w14:textId="77777777" w:rsidR="0018787E" w:rsidRPr="0018787E" w:rsidRDefault="0018787E" w:rsidP="0018787E">
            <w:pPr>
              <w:rPr>
                <w:sz w:val="18"/>
                <w:szCs w:val="18"/>
                <w:lang w:val="en-GB"/>
              </w:rPr>
            </w:pPr>
            <w:r w:rsidRPr="0018787E">
              <w:rPr>
                <w:sz w:val="18"/>
                <w:szCs w:val="18"/>
                <w:lang w:val="en-GB"/>
              </w:rPr>
              <w:t>National-level</w:t>
            </w:r>
          </w:p>
          <w:p w14:paraId="6000A859" w14:textId="77777777" w:rsidR="0018787E" w:rsidRPr="0018787E" w:rsidRDefault="0018787E" w:rsidP="0018787E">
            <w:pPr>
              <w:rPr>
                <w:sz w:val="18"/>
                <w:szCs w:val="18"/>
                <w:lang w:val="en-GB"/>
              </w:rPr>
            </w:pPr>
          </w:p>
          <w:p w14:paraId="14473687" w14:textId="77777777" w:rsidR="0018787E" w:rsidRPr="0018787E" w:rsidRDefault="0018787E" w:rsidP="0018787E">
            <w:pPr>
              <w:rPr>
                <w:sz w:val="18"/>
                <w:szCs w:val="18"/>
                <w:lang w:val="en-GB"/>
              </w:rPr>
            </w:pPr>
          </w:p>
          <w:p w14:paraId="0B038481" w14:textId="77777777" w:rsidR="0018787E" w:rsidRPr="0018787E" w:rsidRDefault="0018787E" w:rsidP="0018787E">
            <w:pPr>
              <w:rPr>
                <w:sz w:val="18"/>
                <w:szCs w:val="18"/>
                <w:lang w:val="en-GB"/>
              </w:rPr>
            </w:pPr>
            <w:r w:rsidRPr="0018787E">
              <w:rPr>
                <w:sz w:val="18"/>
                <w:szCs w:val="18"/>
                <w:lang w:val="en-GB"/>
              </w:rPr>
              <w:t>National -level</w:t>
            </w:r>
          </w:p>
        </w:tc>
        <w:tc>
          <w:tcPr>
            <w:tcW w:w="1350" w:type="dxa"/>
          </w:tcPr>
          <w:p w14:paraId="20FF09D4"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Wetland Committees</w:t>
            </w:r>
          </w:p>
          <w:p w14:paraId="7328CFFF"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7FC05C80"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tc>
        <w:tc>
          <w:tcPr>
            <w:tcW w:w="810" w:type="dxa"/>
          </w:tcPr>
          <w:p w14:paraId="11A985E0"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2F81A117"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62156FC1" w14:textId="77777777" w:rsidTr="0018787E">
        <w:tc>
          <w:tcPr>
            <w:tcW w:w="1319" w:type="dxa"/>
            <w:vMerge w:val="restart"/>
          </w:tcPr>
          <w:p w14:paraId="7B1D32A2" w14:textId="77777777" w:rsidR="0018787E" w:rsidRPr="0018787E" w:rsidRDefault="0018787E" w:rsidP="0018787E">
            <w:pPr>
              <w:rPr>
                <w:sz w:val="18"/>
                <w:szCs w:val="18"/>
                <w:lang w:val="en-GB"/>
              </w:rPr>
            </w:pPr>
            <w:r w:rsidRPr="0018787E">
              <w:rPr>
                <w:sz w:val="18"/>
                <w:szCs w:val="18"/>
                <w:lang w:val="en-GB"/>
              </w:rPr>
              <w:t>1.5: National and regional level cooperation in tracking results of SAP actions for coastal habitat management</w:t>
            </w:r>
          </w:p>
        </w:tc>
        <w:tc>
          <w:tcPr>
            <w:tcW w:w="1270" w:type="dxa"/>
          </w:tcPr>
          <w:p w14:paraId="2A2C7746" w14:textId="77777777" w:rsidR="0018787E" w:rsidRPr="0018787E" w:rsidRDefault="0018787E" w:rsidP="0018787E">
            <w:pPr>
              <w:spacing w:before="40"/>
              <w:rPr>
                <w:bCs/>
                <w:sz w:val="18"/>
                <w:szCs w:val="18"/>
                <w:lang w:val="en-GB"/>
              </w:rPr>
            </w:pPr>
            <w:r w:rsidRPr="0018787E">
              <w:rPr>
                <w:bCs/>
                <w:sz w:val="18"/>
                <w:szCs w:val="18"/>
                <w:lang w:val="en-GB"/>
              </w:rPr>
              <w:t>Extent and continuity of participation in regional fora for coastal habitat management</w:t>
            </w:r>
          </w:p>
          <w:p w14:paraId="06E88D2D" w14:textId="77777777" w:rsidR="0018787E" w:rsidRPr="0018787E" w:rsidRDefault="0018787E" w:rsidP="0018787E">
            <w:pPr>
              <w:spacing w:before="40"/>
              <w:rPr>
                <w:bCs/>
                <w:sz w:val="18"/>
                <w:szCs w:val="18"/>
                <w:lang w:val="en-GB"/>
              </w:rPr>
            </w:pPr>
            <w:r w:rsidRPr="0018787E">
              <w:rPr>
                <w:bCs/>
                <w:sz w:val="18"/>
                <w:szCs w:val="18"/>
                <w:lang w:val="en-GB"/>
              </w:rPr>
              <w:t>Scope and uptake of joint management and planning decisions</w:t>
            </w:r>
          </w:p>
        </w:tc>
        <w:tc>
          <w:tcPr>
            <w:tcW w:w="1270" w:type="dxa"/>
          </w:tcPr>
          <w:p w14:paraId="227CBB89" w14:textId="77777777" w:rsidR="0018787E" w:rsidRPr="0018787E" w:rsidRDefault="0018787E" w:rsidP="0018787E">
            <w:pPr>
              <w:spacing w:before="40"/>
              <w:rPr>
                <w:sz w:val="18"/>
                <w:szCs w:val="18"/>
                <w:lang w:val="en-GB"/>
              </w:rPr>
            </w:pPr>
            <w:r w:rsidRPr="0018787E">
              <w:rPr>
                <w:sz w:val="18"/>
                <w:szCs w:val="18"/>
                <w:lang w:val="en-GB"/>
              </w:rPr>
              <w:t>No existing fora at national and regional level in the SCS to network coastal habitat scientists and management specialists</w:t>
            </w:r>
          </w:p>
        </w:tc>
        <w:tc>
          <w:tcPr>
            <w:tcW w:w="1109" w:type="dxa"/>
          </w:tcPr>
          <w:p w14:paraId="2633357D" w14:textId="77777777" w:rsidR="0018787E" w:rsidRPr="0018787E" w:rsidRDefault="0018787E" w:rsidP="0018787E">
            <w:pPr>
              <w:rPr>
                <w:sz w:val="18"/>
                <w:szCs w:val="18"/>
                <w:lang w:val="en-GB"/>
              </w:rPr>
            </w:pPr>
            <w:r w:rsidRPr="0018787E">
              <w:rPr>
                <w:sz w:val="18"/>
                <w:szCs w:val="18"/>
                <w:lang w:val="en-GB"/>
              </w:rPr>
              <w:t>Terms of Reference, membership lists, and work plans of national committees and regional networks developed, agreed, and under implementation</w:t>
            </w:r>
          </w:p>
        </w:tc>
        <w:tc>
          <w:tcPr>
            <w:tcW w:w="1291" w:type="dxa"/>
          </w:tcPr>
          <w:p w14:paraId="1597B12A" w14:textId="77777777" w:rsidR="0018787E" w:rsidRPr="0018787E" w:rsidRDefault="0018787E" w:rsidP="0018787E">
            <w:pPr>
              <w:spacing w:before="40"/>
              <w:rPr>
                <w:sz w:val="18"/>
                <w:szCs w:val="18"/>
                <w:lang w:val="en-GB"/>
              </w:rPr>
            </w:pPr>
            <w:r w:rsidRPr="0018787E">
              <w:rPr>
                <w:sz w:val="18"/>
                <w:szCs w:val="18"/>
                <w:lang w:val="en-GB"/>
              </w:rPr>
              <w:t>National committees and regional networks of habitat specialists established under the SCS project revitalized and functioning</w:t>
            </w:r>
          </w:p>
        </w:tc>
        <w:tc>
          <w:tcPr>
            <w:tcW w:w="1269" w:type="dxa"/>
          </w:tcPr>
          <w:p w14:paraId="777446EF" w14:textId="77777777" w:rsidR="0018787E" w:rsidRPr="0018787E" w:rsidRDefault="0018787E" w:rsidP="0018787E">
            <w:pPr>
              <w:spacing w:before="40"/>
              <w:rPr>
                <w:bCs/>
                <w:sz w:val="18"/>
                <w:szCs w:val="18"/>
                <w:lang w:val="en-GB"/>
              </w:rPr>
            </w:pPr>
            <w:r w:rsidRPr="0018787E">
              <w:rPr>
                <w:bCs/>
                <w:sz w:val="18"/>
                <w:szCs w:val="18"/>
                <w:lang w:val="en-GB"/>
              </w:rPr>
              <w:t>Meeting reports of periodic national habitat committees and regional working groups</w:t>
            </w:r>
          </w:p>
        </w:tc>
        <w:tc>
          <w:tcPr>
            <w:tcW w:w="1440" w:type="dxa"/>
          </w:tcPr>
          <w:p w14:paraId="42D2453F" w14:textId="77777777" w:rsidR="0018787E" w:rsidRPr="0018787E" w:rsidRDefault="0018787E" w:rsidP="0018787E">
            <w:pPr>
              <w:rPr>
                <w:sz w:val="18"/>
                <w:szCs w:val="18"/>
                <w:lang w:val="en-GB"/>
              </w:rPr>
            </w:pPr>
            <w:r w:rsidRPr="0018787E">
              <w:rPr>
                <w:sz w:val="18"/>
                <w:szCs w:val="18"/>
                <w:lang w:val="en-GB"/>
              </w:rPr>
              <w:t>Quarterly</w:t>
            </w:r>
          </w:p>
          <w:p w14:paraId="17B756A2" w14:textId="77777777" w:rsidR="0018787E" w:rsidRPr="0018787E" w:rsidRDefault="0018787E" w:rsidP="0018787E">
            <w:pPr>
              <w:rPr>
                <w:sz w:val="18"/>
                <w:szCs w:val="18"/>
                <w:lang w:val="en-GB"/>
              </w:rPr>
            </w:pPr>
          </w:p>
          <w:p w14:paraId="6F834909" w14:textId="77777777" w:rsidR="0018787E" w:rsidRPr="0018787E" w:rsidRDefault="0018787E" w:rsidP="0018787E">
            <w:pPr>
              <w:rPr>
                <w:sz w:val="18"/>
                <w:szCs w:val="18"/>
                <w:lang w:val="en-GB"/>
              </w:rPr>
            </w:pPr>
          </w:p>
          <w:p w14:paraId="1A95C35A" w14:textId="77777777" w:rsidR="0018787E" w:rsidRPr="0018787E" w:rsidRDefault="0018787E" w:rsidP="0018787E">
            <w:pPr>
              <w:rPr>
                <w:sz w:val="18"/>
                <w:szCs w:val="18"/>
                <w:lang w:val="en-GB"/>
              </w:rPr>
            </w:pPr>
            <w:r w:rsidRPr="0018787E">
              <w:rPr>
                <w:sz w:val="18"/>
                <w:szCs w:val="18"/>
                <w:lang w:val="en-GB"/>
              </w:rPr>
              <w:t>Biannually</w:t>
            </w:r>
          </w:p>
          <w:p w14:paraId="7E740884" w14:textId="77777777" w:rsidR="0018787E" w:rsidRPr="0018787E" w:rsidRDefault="0018787E" w:rsidP="0018787E">
            <w:pPr>
              <w:rPr>
                <w:sz w:val="18"/>
                <w:szCs w:val="18"/>
                <w:lang w:val="en-GB"/>
              </w:rPr>
            </w:pPr>
          </w:p>
          <w:p w14:paraId="4477B254" w14:textId="77777777" w:rsidR="0018787E" w:rsidRPr="0018787E" w:rsidRDefault="0018787E" w:rsidP="0018787E">
            <w:pPr>
              <w:rPr>
                <w:sz w:val="18"/>
                <w:szCs w:val="18"/>
                <w:lang w:val="en-GB"/>
              </w:rPr>
            </w:pPr>
          </w:p>
          <w:p w14:paraId="3F011C74"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28AD631C" w14:textId="77777777" w:rsidR="0018787E" w:rsidRPr="0018787E" w:rsidRDefault="0018787E" w:rsidP="0018787E">
            <w:pPr>
              <w:rPr>
                <w:sz w:val="18"/>
                <w:szCs w:val="18"/>
                <w:lang w:val="en-GB"/>
              </w:rPr>
            </w:pPr>
            <w:r w:rsidRPr="0018787E">
              <w:rPr>
                <w:sz w:val="18"/>
                <w:szCs w:val="18"/>
                <w:lang w:val="en-GB"/>
              </w:rPr>
              <w:t>National-level</w:t>
            </w:r>
          </w:p>
          <w:p w14:paraId="1EC00244" w14:textId="77777777" w:rsidR="0018787E" w:rsidRPr="0018787E" w:rsidRDefault="0018787E" w:rsidP="0018787E">
            <w:pPr>
              <w:rPr>
                <w:sz w:val="18"/>
                <w:szCs w:val="18"/>
                <w:lang w:val="en-GB"/>
              </w:rPr>
            </w:pPr>
          </w:p>
          <w:p w14:paraId="47239D0E" w14:textId="77777777" w:rsidR="0018787E" w:rsidRPr="0018787E" w:rsidRDefault="0018787E" w:rsidP="0018787E">
            <w:pPr>
              <w:rPr>
                <w:sz w:val="18"/>
                <w:szCs w:val="18"/>
                <w:lang w:val="en-GB"/>
              </w:rPr>
            </w:pPr>
            <w:r w:rsidRPr="0018787E">
              <w:rPr>
                <w:sz w:val="18"/>
                <w:szCs w:val="18"/>
                <w:lang w:val="en-GB"/>
              </w:rPr>
              <w:t>National-level</w:t>
            </w:r>
          </w:p>
          <w:p w14:paraId="3C4CFE53" w14:textId="77777777" w:rsidR="0018787E" w:rsidRPr="0018787E" w:rsidRDefault="0018787E" w:rsidP="0018787E">
            <w:pPr>
              <w:rPr>
                <w:sz w:val="18"/>
                <w:szCs w:val="18"/>
                <w:lang w:val="en-GB"/>
              </w:rPr>
            </w:pPr>
          </w:p>
          <w:p w14:paraId="70C580A1"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63E48F75"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Habitat Committees</w:t>
            </w:r>
          </w:p>
          <w:p w14:paraId="526055CB"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Grops</w:t>
            </w:r>
          </w:p>
          <w:p w14:paraId="54C821DD"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tc>
        <w:tc>
          <w:tcPr>
            <w:tcW w:w="810" w:type="dxa"/>
          </w:tcPr>
          <w:p w14:paraId="1CC80250"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400D8789"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0176123F" w14:textId="77777777" w:rsidTr="0018787E">
        <w:tc>
          <w:tcPr>
            <w:tcW w:w="1319" w:type="dxa"/>
            <w:vMerge/>
          </w:tcPr>
          <w:p w14:paraId="6B6D28E9" w14:textId="77777777" w:rsidR="0018787E" w:rsidRPr="0018787E" w:rsidRDefault="0018787E" w:rsidP="0018787E">
            <w:pPr>
              <w:rPr>
                <w:sz w:val="18"/>
                <w:szCs w:val="18"/>
                <w:lang w:val="en-GB"/>
              </w:rPr>
            </w:pPr>
          </w:p>
        </w:tc>
        <w:tc>
          <w:tcPr>
            <w:tcW w:w="1270" w:type="dxa"/>
          </w:tcPr>
          <w:p w14:paraId="55C75EC4" w14:textId="77777777" w:rsidR="0018787E" w:rsidRPr="0018787E" w:rsidRDefault="0018787E" w:rsidP="0018787E">
            <w:pPr>
              <w:spacing w:before="40"/>
              <w:rPr>
                <w:bCs/>
                <w:sz w:val="18"/>
                <w:szCs w:val="18"/>
                <w:lang w:val="en-GB"/>
              </w:rPr>
            </w:pPr>
            <w:r w:rsidRPr="0018787E">
              <w:rPr>
                <w:bCs/>
                <w:sz w:val="18"/>
                <w:szCs w:val="18"/>
                <w:lang w:val="en-GB"/>
              </w:rPr>
              <w:t>Status and extent of uptake by national Inter-Ministry committees of SAP implementation results reporting</w:t>
            </w:r>
          </w:p>
          <w:p w14:paraId="5C8B633D" w14:textId="77777777" w:rsidR="0018787E" w:rsidRPr="0018787E" w:rsidRDefault="0018787E" w:rsidP="0018787E">
            <w:pPr>
              <w:spacing w:before="40"/>
              <w:rPr>
                <w:bCs/>
                <w:sz w:val="18"/>
                <w:szCs w:val="18"/>
                <w:lang w:val="en-GB"/>
              </w:rPr>
            </w:pPr>
            <w:r w:rsidRPr="0018787E">
              <w:rPr>
                <w:bCs/>
                <w:sz w:val="18"/>
                <w:szCs w:val="18"/>
                <w:lang w:val="en-GB"/>
              </w:rPr>
              <w:t>Level of congruence of national and regional indicator sets with the proposed targets and outcomes of the SAP</w:t>
            </w:r>
          </w:p>
        </w:tc>
        <w:tc>
          <w:tcPr>
            <w:tcW w:w="1270" w:type="dxa"/>
          </w:tcPr>
          <w:p w14:paraId="6A6AF36C" w14:textId="77777777" w:rsidR="0018787E" w:rsidRPr="0018787E" w:rsidRDefault="0018787E" w:rsidP="0018787E">
            <w:pPr>
              <w:spacing w:before="40"/>
              <w:rPr>
                <w:sz w:val="18"/>
                <w:szCs w:val="18"/>
                <w:lang w:val="en-GB"/>
              </w:rPr>
            </w:pPr>
            <w:r w:rsidRPr="0018787E">
              <w:rPr>
                <w:sz w:val="18"/>
                <w:szCs w:val="18"/>
                <w:lang w:val="en-GB"/>
              </w:rPr>
              <w:t>Results frameworks for the management of mangroves, coral reefs, seagrass and wetlands of the SCS developed through national and regional consultative process but has not yet been applied</w:t>
            </w:r>
          </w:p>
        </w:tc>
        <w:tc>
          <w:tcPr>
            <w:tcW w:w="1109" w:type="dxa"/>
          </w:tcPr>
          <w:p w14:paraId="24097564" w14:textId="77777777" w:rsidR="0018787E" w:rsidRPr="0018787E" w:rsidRDefault="0018787E" w:rsidP="0018787E">
            <w:pPr>
              <w:rPr>
                <w:sz w:val="18"/>
                <w:szCs w:val="18"/>
                <w:lang w:val="en-GB"/>
              </w:rPr>
            </w:pPr>
            <w:r w:rsidRPr="0018787E">
              <w:rPr>
                <w:sz w:val="18"/>
                <w:szCs w:val="18"/>
                <w:lang w:val="en-GB"/>
              </w:rPr>
              <w:t>Consultative process to identify and agree indicator sets and reporting approach completed and supporting information and data for indicators being compiled routinely</w:t>
            </w:r>
          </w:p>
        </w:tc>
        <w:tc>
          <w:tcPr>
            <w:tcW w:w="1291" w:type="dxa"/>
          </w:tcPr>
          <w:p w14:paraId="19E93A2C" w14:textId="77777777" w:rsidR="0018787E" w:rsidRPr="0018787E" w:rsidRDefault="0018787E" w:rsidP="0018787E">
            <w:pPr>
              <w:spacing w:before="40"/>
              <w:rPr>
                <w:sz w:val="18"/>
                <w:szCs w:val="18"/>
                <w:lang w:val="en-GB"/>
              </w:rPr>
            </w:pPr>
            <w:r w:rsidRPr="0018787E">
              <w:rPr>
                <w:sz w:val="18"/>
                <w:szCs w:val="18"/>
                <w:lang w:val="en-GB"/>
              </w:rPr>
              <w:t>Mechanism to monitor and evaluate the impacts of SAP implementation and achievement of habitat targets operational [including agreement on standardized methods and guidelines for inventory and assessment]</w:t>
            </w:r>
          </w:p>
        </w:tc>
        <w:tc>
          <w:tcPr>
            <w:tcW w:w="1269" w:type="dxa"/>
          </w:tcPr>
          <w:p w14:paraId="23697058" w14:textId="77777777" w:rsidR="0018787E" w:rsidRPr="0018787E" w:rsidRDefault="0018787E" w:rsidP="0018787E">
            <w:pPr>
              <w:spacing w:before="40"/>
              <w:rPr>
                <w:bCs/>
                <w:sz w:val="18"/>
                <w:szCs w:val="18"/>
                <w:lang w:val="en-GB"/>
              </w:rPr>
            </w:pPr>
            <w:r w:rsidRPr="0018787E">
              <w:rPr>
                <w:bCs/>
                <w:sz w:val="18"/>
                <w:szCs w:val="18"/>
                <w:lang w:val="en-GB"/>
              </w:rPr>
              <w:t>Approved SAP results framework online</w:t>
            </w:r>
          </w:p>
          <w:p w14:paraId="1F07A8F4" w14:textId="77777777" w:rsidR="0018787E" w:rsidRPr="0018787E" w:rsidRDefault="0018787E" w:rsidP="0018787E">
            <w:pPr>
              <w:spacing w:before="40"/>
              <w:rPr>
                <w:bCs/>
                <w:sz w:val="18"/>
                <w:szCs w:val="18"/>
                <w:lang w:val="en-GB"/>
              </w:rPr>
            </w:pPr>
            <w:r w:rsidRPr="0018787E">
              <w:rPr>
                <w:bCs/>
                <w:sz w:val="18"/>
                <w:szCs w:val="18"/>
                <w:lang w:val="en-GB"/>
              </w:rPr>
              <w:t>Approved national and regional reporting templates published</w:t>
            </w:r>
          </w:p>
          <w:p w14:paraId="03E948F9" w14:textId="77777777" w:rsidR="0018787E" w:rsidRPr="0018787E" w:rsidRDefault="0018787E" w:rsidP="0018787E">
            <w:pPr>
              <w:spacing w:before="40"/>
              <w:rPr>
                <w:bCs/>
                <w:sz w:val="18"/>
                <w:szCs w:val="18"/>
                <w:lang w:val="en-GB"/>
              </w:rPr>
            </w:pPr>
            <w:r w:rsidRPr="0018787E">
              <w:rPr>
                <w:bCs/>
                <w:sz w:val="18"/>
                <w:szCs w:val="18"/>
                <w:lang w:val="en-GB"/>
              </w:rPr>
              <w:t>Annual national and regional results reports published and disseminated</w:t>
            </w:r>
          </w:p>
        </w:tc>
        <w:tc>
          <w:tcPr>
            <w:tcW w:w="1440" w:type="dxa"/>
          </w:tcPr>
          <w:p w14:paraId="27A13201" w14:textId="77777777" w:rsidR="0018787E" w:rsidRPr="0018787E" w:rsidRDefault="0018787E" w:rsidP="0018787E">
            <w:pPr>
              <w:rPr>
                <w:sz w:val="18"/>
                <w:szCs w:val="18"/>
                <w:lang w:val="en-GB"/>
              </w:rPr>
            </w:pPr>
            <w:r w:rsidRPr="0018787E">
              <w:rPr>
                <w:sz w:val="18"/>
                <w:szCs w:val="18"/>
                <w:lang w:val="en-GB"/>
              </w:rPr>
              <w:t>Quarterly</w:t>
            </w:r>
          </w:p>
          <w:p w14:paraId="6E081705" w14:textId="77777777" w:rsidR="0018787E" w:rsidRPr="0018787E" w:rsidRDefault="0018787E" w:rsidP="0018787E">
            <w:pPr>
              <w:rPr>
                <w:sz w:val="18"/>
                <w:szCs w:val="18"/>
                <w:lang w:val="en-GB"/>
              </w:rPr>
            </w:pPr>
          </w:p>
          <w:p w14:paraId="4767FFAB" w14:textId="77777777" w:rsidR="0018787E" w:rsidRPr="0018787E" w:rsidRDefault="0018787E" w:rsidP="0018787E">
            <w:pPr>
              <w:rPr>
                <w:sz w:val="18"/>
                <w:szCs w:val="18"/>
                <w:lang w:val="en-GB"/>
              </w:rPr>
            </w:pPr>
          </w:p>
          <w:p w14:paraId="7BC82FD7" w14:textId="77777777" w:rsidR="0018787E" w:rsidRPr="0018787E" w:rsidRDefault="0018787E" w:rsidP="0018787E">
            <w:pPr>
              <w:rPr>
                <w:sz w:val="18"/>
                <w:szCs w:val="18"/>
                <w:lang w:val="en-GB"/>
              </w:rPr>
            </w:pPr>
            <w:r w:rsidRPr="0018787E">
              <w:rPr>
                <w:sz w:val="18"/>
                <w:szCs w:val="18"/>
                <w:lang w:val="en-GB"/>
              </w:rPr>
              <w:t>Biannually</w:t>
            </w:r>
          </w:p>
          <w:p w14:paraId="49E03A73" w14:textId="77777777" w:rsidR="0018787E" w:rsidRPr="0018787E" w:rsidRDefault="0018787E" w:rsidP="0018787E">
            <w:pPr>
              <w:rPr>
                <w:sz w:val="18"/>
                <w:szCs w:val="18"/>
                <w:lang w:val="en-GB"/>
              </w:rPr>
            </w:pPr>
          </w:p>
          <w:p w14:paraId="3A2F249F" w14:textId="77777777" w:rsidR="0018787E" w:rsidRPr="0018787E" w:rsidRDefault="0018787E" w:rsidP="0018787E">
            <w:pPr>
              <w:rPr>
                <w:sz w:val="18"/>
                <w:szCs w:val="18"/>
                <w:lang w:val="en-GB"/>
              </w:rPr>
            </w:pPr>
          </w:p>
          <w:p w14:paraId="3D9CAF3E" w14:textId="77777777" w:rsidR="0018787E" w:rsidRPr="0018787E" w:rsidRDefault="0018787E" w:rsidP="0018787E">
            <w:pPr>
              <w:rPr>
                <w:sz w:val="18"/>
                <w:szCs w:val="18"/>
                <w:lang w:val="en-GB"/>
              </w:rPr>
            </w:pPr>
            <w:r w:rsidRPr="0018787E">
              <w:rPr>
                <w:sz w:val="18"/>
                <w:szCs w:val="18"/>
                <w:lang w:val="en-GB"/>
              </w:rPr>
              <w:t>Biannually</w:t>
            </w:r>
          </w:p>
          <w:p w14:paraId="3EFBC24D" w14:textId="77777777" w:rsidR="0018787E" w:rsidRPr="0018787E" w:rsidRDefault="0018787E" w:rsidP="0018787E">
            <w:pPr>
              <w:rPr>
                <w:sz w:val="18"/>
                <w:szCs w:val="18"/>
                <w:lang w:val="en-GB"/>
              </w:rPr>
            </w:pPr>
          </w:p>
          <w:p w14:paraId="5B59E993" w14:textId="77777777" w:rsidR="0018787E" w:rsidRPr="0018787E" w:rsidRDefault="0018787E" w:rsidP="0018787E">
            <w:pPr>
              <w:rPr>
                <w:sz w:val="18"/>
                <w:szCs w:val="18"/>
                <w:lang w:val="en-GB"/>
              </w:rPr>
            </w:pPr>
          </w:p>
          <w:p w14:paraId="236291EF" w14:textId="77777777" w:rsidR="0018787E" w:rsidRPr="0018787E" w:rsidRDefault="0018787E" w:rsidP="0018787E">
            <w:pPr>
              <w:rPr>
                <w:sz w:val="18"/>
                <w:szCs w:val="18"/>
                <w:lang w:val="en-GB"/>
              </w:rPr>
            </w:pPr>
            <w:r w:rsidRPr="0018787E">
              <w:rPr>
                <w:sz w:val="18"/>
                <w:szCs w:val="18"/>
                <w:lang w:val="en-GB"/>
              </w:rPr>
              <w:t>Bianually</w:t>
            </w:r>
          </w:p>
        </w:tc>
        <w:tc>
          <w:tcPr>
            <w:tcW w:w="950" w:type="dxa"/>
          </w:tcPr>
          <w:p w14:paraId="17853606" w14:textId="77777777" w:rsidR="0018787E" w:rsidRPr="0018787E" w:rsidRDefault="0018787E" w:rsidP="0018787E">
            <w:pPr>
              <w:rPr>
                <w:sz w:val="18"/>
                <w:szCs w:val="18"/>
                <w:lang w:val="en-GB"/>
              </w:rPr>
            </w:pPr>
            <w:r w:rsidRPr="0018787E">
              <w:rPr>
                <w:sz w:val="18"/>
                <w:szCs w:val="18"/>
                <w:lang w:val="en-GB"/>
              </w:rPr>
              <w:t>National-level</w:t>
            </w:r>
          </w:p>
          <w:p w14:paraId="6C76407F" w14:textId="77777777" w:rsidR="0018787E" w:rsidRPr="0018787E" w:rsidRDefault="0018787E" w:rsidP="0018787E">
            <w:pPr>
              <w:rPr>
                <w:sz w:val="18"/>
                <w:szCs w:val="18"/>
                <w:lang w:val="en-GB"/>
              </w:rPr>
            </w:pPr>
          </w:p>
          <w:p w14:paraId="0F952A72" w14:textId="77777777" w:rsidR="0018787E" w:rsidRPr="0018787E" w:rsidRDefault="0018787E" w:rsidP="0018787E">
            <w:pPr>
              <w:rPr>
                <w:sz w:val="18"/>
                <w:szCs w:val="18"/>
                <w:lang w:val="en-GB"/>
              </w:rPr>
            </w:pPr>
            <w:r w:rsidRPr="0018787E">
              <w:rPr>
                <w:sz w:val="18"/>
                <w:szCs w:val="18"/>
                <w:lang w:val="en-GB"/>
              </w:rPr>
              <w:t>National-level</w:t>
            </w:r>
          </w:p>
          <w:p w14:paraId="688A16E0" w14:textId="77777777" w:rsidR="0018787E" w:rsidRPr="0018787E" w:rsidRDefault="0018787E" w:rsidP="0018787E">
            <w:pPr>
              <w:rPr>
                <w:sz w:val="18"/>
                <w:szCs w:val="18"/>
                <w:lang w:val="en-GB"/>
              </w:rPr>
            </w:pPr>
          </w:p>
          <w:p w14:paraId="149C89D0" w14:textId="77777777" w:rsidR="0018787E" w:rsidRPr="0018787E" w:rsidRDefault="0018787E" w:rsidP="0018787E">
            <w:pPr>
              <w:rPr>
                <w:sz w:val="18"/>
                <w:szCs w:val="18"/>
                <w:lang w:val="en-GB"/>
              </w:rPr>
            </w:pPr>
            <w:r w:rsidRPr="0018787E">
              <w:rPr>
                <w:sz w:val="18"/>
                <w:szCs w:val="18"/>
                <w:lang w:val="en-GB"/>
              </w:rPr>
              <w:t>Regional-level</w:t>
            </w:r>
          </w:p>
          <w:p w14:paraId="545F9C65" w14:textId="77777777" w:rsidR="0018787E" w:rsidRPr="0018787E" w:rsidRDefault="0018787E" w:rsidP="0018787E">
            <w:pPr>
              <w:rPr>
                <w:sz w:val="18"/>
                <w:szCs w:val="18"/>
                <w:lang w:val="en-GB"/>
              </w:rPr>
            </w:pPr>
          </w:p>
          <w:p w14:paraId="72FFB27E"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566F89E0"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Habitat Committees</w:t>
            </w:r>
          </w:p>
          <w:p w14:paraId="10094B31"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Grops</w:t>
            </w:r>
          </w:p>
          <w:p w14:paraId="4F965118"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54B1EBB2"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48ABEDAC"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06C9A971"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7B057D7D" w14:textId="77777777" w:rsidTr="0018787E">
        <w:tc>
          <w:tcPr>
            <w:tcW w:w="1319" w:type="dxa"/>
            <w:vMerge/>
          </w:tcPr>
          <w:p w14:paraId="29A6A539" w14:textId="77777777" w:rsidR="0018787E" w:rsidRPr="0018787E" w:rsidRDefault="0018787E" w:rsidP="0018787E">
            <w:pPr>
              <w:rPr>
                <w:sz w:val="18"/>
                <w:szCs w:val="18"/>
                <w:lang w:val="en-GB"/>
              </w:rPr>
            </w:pPr>
          </w:p>
        </w:tc>
        <w:tc>
          <w:tcPr>
            <w:tcW w:w="1270" w:type="dxa"/>
          </w:tcPr>
          <w:p w14:paraId="791D473C" w14:textId="77777777" w:rsidR="0018787E" w:rsidRPr="0018787E" w:rsidRDefault="0018787E" w:rsidP="0018787E">
            <w:pPr>
              <w:spacing w:before="40"/>
              <w:rPr>
                <w:bCs/>
                <w:sz w:val="18"/>
                <w:szCs w:val="18"/>
                <w:lang w:val="en-GB"/>
              </w:rPr>
            </w:pPr>
            <w:r w:rsidRPr="0018787E">
              <w:rPr>
                <w:bCs/>
                <w:sz w:val="18"/>
                <w:szCs w:val="18"/>
                <w:lang w:val="en-GB"/>
              </w:rPr>
              <w:t>Extent and continuity of local leader and local government participation in community round-table meetings</w:t>
            </w:r>
          </w:p>
          <w:p w14:paraId="7342B1BB" w14:textId="77777777" w:rsidR="0018787E" w:rsidRPr="0018787E" w:rsidRDefault="0018787E" w:rsidP="0018787E">
            <w:pPr>
              <w:spacing w:before="40"/>
              <w:rPr>
                <w:bCs/>
                <w:sz w:val="18"/>
                <w:szCs w:val="18"/>
                <w:lang w:val="en-GB"/>
              </w:rPr>
            </w:pPr>
          </w:p>
          <w:p w14:paraId="60A94EF0" w14:textId="77777777" w:rsidR="0018787E" w:rsidRPr="0018787E" w:rsidRDefault="0018787E" w:rsidP="0018787E">
            <w:pPr>
              <w:spacing w:before="40"/>
              <w:rPr>
                <w:bCs/>
                <w:sz w:val="18"/>
                <w:szCs w:val="18"/>
                <w:lang w:val="en-GB"/>
              </w:rPr>
            </w:pPr>
            <w:r w:rsidRPr="0018787E">
              <w:rPr>
                <w:bCs/>
                <w:sz w:val="18"/>
                <w:szCs w:val="18"/>
                <w:lang w:val="en-GB"/>
              </w:rPr>
              <w:t>Extent of improved local relevance of SAP implementation initiatives</w:t>
            </w:r>
          </w:p>
        </w:tc>
        <w:tc>
          <w:tcPr>
            <w:tcW w:w="1270" w:type="dxa"/>
          </w:tcPr>
          <w:p w14:paraId="5A463EB4" w14:textId="77777777" w:rsidR="0018787E" w:rsidRPr="0018787E" w:rsidRDefault="0018787E" w:rsidP="0018787E">
            <w:pPr>
              <w:spacing w:before="40"/>
              <w:rPr>
                <w:sz w:val="18"/>
                <w:szCs w:val="18"/>
                <w:lang w:val="en-GB"/>
              </w:rPr>
            </w:pPr>
            <w:r w:rsidRPr="0018787E">
              <w:rPr>
                <w:sz w:val="18"/>
                <w:szCs w:val="18"/>
                <w:lang w:val="en-GB"/>
              </w:rPr>
              <w:t>Limited engagement of community-based governance mechanisms in planning coastal habitat management</w:t>
            </w:r>
          </w:p>
          <w:p w14:paraId="53E06059" w14:textId="77777777" w:rsidR="0018787E" w:rsidRPr="0018787E" w:rsidRDefault="0018787E" w:rsidP="0018787E">
            <w:pPr>
              <w:spacing w:before="40"/>
              <w:rPr>
                <w:sz w:val="18"/>
                <w:szCs w:val="18"/>
                <w:lang w:val="en-GB"/>
              </w:rPr>
            </w:pPr>
          </w:p>
          <w:p w14:paraId="61DD11D1" w14:textId="77777777" w:rsidR="0018787E" w:rsidRPr="0018787E" w:rsidRDefault="0018787E" w:rsidP="0018787E">
            <w:pPr>
              <w:spacing w:before="40"/>
              <w:rPr>
                <w:sz w:val="18"/>
                <w:szCs w:val="18"/>
                <w:lang w:val="en-GB"/>
              </w:rPr>
            </w:pPr>
            <w:r w:rsidRPr="0018787E">
              <w:rPr>
                <w:sz w:val="18"/>
                <w:szCs w:val="18"/>
                <w:lang w:val="en-GB"/>
              </w:rPr>
              <w:t>Low level mobilization of civil society, community groups and the private sector in habitat management</w:t>
            </w:r>
          </w:p>
        </w:tc>
        <w:tc>
          <w:tcPr>
            <w:tcW w:w="1109" w:type="dxa"/>
          </w:tcPr>
          <w:p w14:paraId="790176CF" w14:textId="77777777" w:rsidR="0018787E" w:rsidRPr="0018787E" w:rsidRDefault="0018787E" w:rsidP="0018787E">
            <w:pPr>
              <w:rPr>
                <w:sz w:val="18"/>
                <w:szCs w:val="18"/>
                <w:lang w:val="en-GB"/>
              </w:rPr>
            </w:pPr>
            <w:r w:rsidRPr="0018787E">
              <w:rPr>
                <w:sz w:val="18"/>
                <w:szCs w:val="18"/>
                <w:lang w:val="en-GB"/>
              </w:rPr>
              <w:t>Consultation process with agreement on: govt agencies and community leaders that will be target participants/champions for knowledge exchange in support of SAP implementation</w:t>
            </w:r>
          </w:p>
        </w:tc>
        <w:tc>
          <w:tcPr>
            <w:tcW w:w="1291" w:type="dxa"/>
          </w:tcPr>
          <w:p w14:paraId="4837D504" w14:textId="77777777" w:rsidR="0018787E" w:rsidRPr="0018787E" w:rsidRDefault="0018787E" w:rsidP="0018787E">
            <w:pPr>
              <w:spacing w:before="40"/>
              <w:rPr>
                <w:sz w:val="18"/>
                <w:szCs w:val="18"/>
                <w:lang w:val="en-GB"/>
              </w:rPr>
            </w:pPr>
            <w:r w:rsidRPr="0018787E">
              <w:rPr>
                <w:sz w:val="18"/>
                <w:szCs w:val="18"/>
                <w:lang w:val="en-GB"/>
              </w:rPr>
              <w:t>Community leaders and local government from priority habitat sites networked via national and regional round-table meetings to foster cooperation and knowledge sharing on achievements and best practices</w:t>
            </w:r>
          </w:p>
        </w:tc>
        <w:tc>
          <w:tcPr>
            <w:tcW w:w="1269" w:type="dxa"/>
          </w:tcPr>
          <w:p w14:paraId="20F3D0FF" w14:textId="77777777" w:rsidR="0018787E" w:rsidRPr="0018787E" w:rsidRDefault="0018787E" w:rsidP="0018787E">
            <w:pPr>
              <w:spacing w:before="40"/>
              <w:rPr>
                <w:bCs/>
                <w:sz w:val="18"/>
                <w:szCs w:val="18"/>
                <w:lang w:val="en-GB"/>
              </w:rPr>
            </w:pPr>
            <w:r w:rsidRPr="0018787E">
              <w:rPr>
                <w:bCs/>
                <w:sz w:val="18"/>
                <w:szCs w:val="18"/>
                <w:lang w:val="en-GB"/>
              </w:rPr>
              <w:t>Meeting reports of round-table meetings (including records of joint management decisions and participant lists)</w:t>
            </w:r>
          </w:p>
          <w:p w14:paraId="44A5989C" w14:textId="77777777" w:rsidR="0018787E" w:rsidRPr="0018787E" w:rsidRDefault="0018787E" w:rsidP="0018787E">
            <w:pPr>
              <w:spacing w:before="40"/>
              <w:rPr>
                <w:bCs/>
                <w:sz w:val="18"/>
                <w:szCs w:val="18"/>
                <w:lang w:val="en-GB"/>
              </w:rPr>
            </w:pPr>
          </w:p>
          <w:p w14:paraId="1FDC6793" w14:textId="77777777" w:rsidR="0018787E" w:rsidRPr="0018787E" w:rsidRDefault="0018787E" w:rsidP="0018787E">
            <w:pPr>
              <w:spacing w:before="40"/>
              <w:rPr>
                <w:bCs/>
                <w:sz w:val="18"/>
                <w:szCs w:val="18"/>
                <w:lang w:val="en-GB"/>
              </w:rPr>
            </w:pPr>
            <w:r w:rsidRPr="0018787E">
              <w:rPr>
                <w:bCs/>
                <w:sz w:val="18"/>
                <w:szCs w:val="18"/>
                <w:lang w:val="en-GB"/>
              </w:rPr>
              <w:t>Annual reports of best practice examples of community-led SAP implementation</w:t>
            </w:r>
          </w:p>
        </w:tc>
        <w:tc>
          <w:tcPr>
            <w:tcW w:w="1440" w:type="dxa"/>
          </w:tcPr>
          <w:p w14:paraId="657E3024" w14:textId="77777777" w:rsidR="0018787E" w:rsidRPr="0018787E" w:rsidRDefault="0018787E" w:rsidP="0018787E">
            <w:pPr>
              <w:rPr>
                <w:sz w:val="18"/>
                <w:szCs w:val="18"/>
                <w:lang w:val="en-GB"/>
              </w:rPr>
            </w:pPr>
            <w:r w:rsidRPr="0018787E">
              <w:rPr>
                <w:sz w:val="18"/>
                <w:szCs w:val="18"/>
                <w:lang w:val="en-GB"/>
              </w:rPr>
              <w:t>Annually</w:t>
            </w:r>
          </w:p>
          <w:p w14:paraId="3509C8B2" w14:textId="77777777" w:rsidR="0018787E" w:rsidRPr="0018787E" w:rsidRDefault="0018787E" w:rsidP="0018787E">
            <w:pPr>
              <w:rPr>
                <w:sz w:val="18"/>
                <w:szCs w:val="18"/>
                <w:lang w:val="en-GB"/>
              </w:rPr>
            </w:pPr>
          </w:p>
          <w:p w14:paraId="5365128E" w14:textId="77777777" w:rsidR="0018787E" w:rsidRPr="0018787E" w:rsidRDefault="0018787E" w:rsidP="0018787E">
            <w:pPr>
              <w:rPr>
                <w:sz w:val="18"/>
                <w:szCs w:val="18"/>
                <w:lang w:val="en-GB"/>
              </w:rPr>
            </w:pPr>
          </w:p>
          <w:p w14:paraId="6785ACC6" w14:textId="77777777" w:rsidR="0018787E" w:rsidRPr="0018787E" w:rsidRDefault="0018787E" w:rsidP="0018787E">
            <w:pPr>
              <w:rPr>
                <w:sz w:val="18"/>
                <w:szCs w:val="18"/>
                <w:lang w:val="en-GB"/>
              </w:rPr>
            </w:pPr>
          </w:p>
          <w:p w14:paraId="0E4203F2" w14:textId="77777777" w:rsidR="0018787E" w:rsidRPr="0018787E" w:rsidRDefault="0018787E" w:rsidP="0018787E">
            <w:pPr>
              <w:rPr>
                <w:sz w:val="18"/>
                <w:szCs w:val="18"/>
                <w:lang w:val="en-GB"/>
              </w:rPr>
            </w:pPr>
          </w:p>
          <w:p w14:paraId="159E107E" w14:textId="77777777" w:rsidR="0018787E" w:rsidRPr="0018787E" w:rsidRDefault="0018787E" w:rsidP="0018787E">
            <w:pPr>
              <w:rPr>
                <w:sz w:val="18"/>
                <w:szCs w:val="18"/>
                <w:lang w:val="en-GB"/>
              </w:rPr>
            </w:pPr>
            <w:r w:rsidRPr="0018787E">
              <w:rPr>
                <w:sz w:val="18"/>
                <w:szCs w:val="18"/>
                <w:lang w:val="en-GB"/>
              </w:rPr>
              <w:t>Annually</w:t>
            </w:r>
          </w:p>
          <w:p w14:paraId="6BEB6060" w14:textId="77777777" w:rsidR="0018787E" w:rsidRPr="0018787E" w:rsidRDefault="0018787E" w:rsidP="0018787E">
            <w:pPr>
              <w:rPr>
                <w:sz w:val="18"/>
                <w:szCs w:val="18"/>
                <w:lang w:val="en-GB"/>
              </w:rPr>
            </w:pPr>
          </w:p>
          <w:p w14:paraId="3FDD4254" w14:textId="77777777" w:rsidR="0018787E" w:rsidRPr="0018787E" w:rsidRDefault="0018787E" w:rsidP="0018787E">
            <w:pPr>
              <w:rPr>
                <w:sz w:val="18"/>
                <w:szCs w:val="18"/>
                <w:lang w:val="en-GB"/>
              </w:rPr>
            </w:pPr>
          </w:p>
          <w:p w14:paraId="2646694F" w14:textId="77777777" w:rsidR="0018787E" w:rsidRPr="0018787E" w:rsidRDefault="0018787E" w:rsidP="0018787E">
            <w:pPr>
              <w:rPr>
                <w:sz w:val="18"/>
                <w:szCs w:val="18"/>
                <w:lang w:val="en-GB"/>
              </w:rPr>
            </w:pPr>
          </w:p>
          <w:p w14:paraId="7642B88A" w14:textId="77777777" w:rsidR="0018787E" w:rsidRPr="0018787E" w:rsidRDefault="0018787E" w:rsidP="0018787E">
            <w:pPr>
              <w:rPr>
                <w:sz w:val="18"/>
                <w:szCs w:val="18"/>
                <w:lang w:val="en-GB"/>
              </w:rPr>
            </w:pPr>
            <w:r w:rsidRPr="0018787E">
              <w:rPr>
                <w:sz w:val="18"/>
                <w:szCs w:val="18"/>
                <w:lang w:val="en-GB"/>
              </w:rPr>
              <w:t>Annually</w:t>
            </w:r>
          </w:p>
          <w:p w14:paraId="78AE72DA" w14:textId="77777777" w:rsidR="0018787E" w:rsidRPr="0018787E" w:rsidRDefault="0018787E" w:rsidP="0018787E">
            <w:pPr>
              <w:rPr>
                <w:sz w:val="18"/>
                <w:szCs w:val="18"/>
                <w:lang w:val="en-GB"/>
              </w:rPr>
            </w:pPr>
          </w:p>
          <w:p w14:paraId="5779049D" w14:textId="77777777" w:rsidR="0018787E" w:rsidRPr="0018787E" w:rsidRDefault="0018787E" w:rsidP="0018787E">
            <w:pPr>
              <w:rPr>
                <w:sz w:val="18"/>
                <w:szCs w:val="18"/>
                <w:lang w:val="en-GB"/>
              </w:rPr>
            </w:pPr>
          </w:p>
          <w:p w14:paraId="58B2D8C5" w14:textId="77777777" w:rsidR="0018787E" w:rsidRPr="0018787E" w:rsidRDefault="0018787E" w:rsidP="0018787E">
            <w:pPr>
              <w:rPr>
                <w:sz w:val="18"/>
                <w:szCs w:val="18"/>
                <w:lang w:val="en-GB"/>
              </w:rPr>
            </w:pPr>
          </w:p>
          <w:p w14:paraId="6032E052" w14:textId="77777777" w:rsidR="0018787E" w:rsidRPr="0018787E" w:rsidRDefault="0018787E" w:rsidP="0018787E">
            <w:pPr>
              <w:rPr>
                <w:sz w:val="18"/>
                <w:szCs w:val="18"/>
                <w:lang w:val="en-GB"/>
              </w:rPr>
            </w:pPr>
          </w:p>
          <w:p w14:paraId="1AD49311" w14:textId="77777777" w:rsidR="0018787E" w:rsidRPr="0018787E" w:rsidRDefault="0018787E" w:rsidP="0018787E">
            <w:pPr>
              <w:rPr>
                <w:sz w:val="18"/>
                <w:szCs w:val="18"/>
                <w:lang w:val="en-GB"/>
              </w:rPr>
            </w:pPr>
          </w:p>
          <w:p w14:paraId="681AAE84" w14:textId="77777777" w:rsidR="0018787E" w:rsidRPr="0018787E" w:rsidRDefault="0018787E" w:rsidP="0018787E">
            <w:pPr>
              <w:rPr>
                <w:sz w:val="18"/>
                <w:szCs w:val="18"/>
                <w:lang w:val="en-GB"/>
              </w:rPr>
            </w:pPr>
            <w:r w:rsidRPr="0018787E">
              <w:rPr>
                <w:sz w:val="18"/>
                <w:szCs w:val="18"/>
                <w:lang w:val="en-GB"/>
              </w:rPr>
              <w:t>Annually</w:t>
            </w:r>
          </w:p>
          <w:p w14:paraId="62A5F8C2" w14:textId="77777777" w:rsidR="0018787E" w:rsidRPr="0018787E" w:rsidRDefault="0018787E" w:rsidP="0018787E">
            <w:pPr>
              <w:rPr>
                <w:sz w:val="18"/>
                <w:szCs w:val="18"/>
                <w:lang w:val="en-GB"/>
              </w:rPr>
            </w:pPr>
          </w:p>
          <w:p w14:paraId="14451F84" w14:textId="77777777" w:rsidR="0018787E" w:rsidRPr="0018787E" w:rsidRDefault="0018787E" w:rsidP="0018787E">
            <w:pPr>
              <w:rPr>
                <w:sz w:val="18"/>
                <w:szCs w:val="18"/>
                <w:lang w:val="en-GB"/>
              </w:rPr>
            </w:pPr>
          </w:p>
          <w:p w14:paraId="3AD6DA27" w14:textId="77777777" w:rsidR="0018787E" w:rsidRPr="0018787E" w:rsidRDefault="0018787E" w:rsidP="0018787E">
            <w:pPr>
              <w:rPr>
                <w:sz w:val="18"/>
                <w:szCs w:val="18"/>
                <w:lang w:val="en-GB"/>
              </w:rPr>
            </w:pPr>
          </w:p>
          <w:p w14:paraId="5F7BE3C8" w14:textId="77777777" w:rsidR="0018787E" w:rsidRPr="0018787E" w:rsidRDefault="0018787E" w:rsidP="0018787E">
            <w:pPr>
              <w:rPr>
                <w:sz w:val="18"/>
                <w:szCs w:val="18"/>
                <w:lang w:val="en-GB"/>
              </w:rPr>
            </w:pPr>
          </w:p>
          <w:p w14:paraId="2EDE52CA" w14:textId="77777777" w:rsidR="0018787E" w:rsidRPr="0018787E" w:rsidRDefault="0018787E" w:rsidP="0018787E">
            <w:pPr>
              <w:rPr>
                <w:sz w:val="18"/>
                <w:szCs w:val="18"/>
                <w:lang w:val="en-GB"/>
              </w:rPr>
            </w:pPr>
          </w:p>
        </w:tc>
        <w:tc>
          <w:tcPr>
            <w:tcW w:w="950" w:type="dxa"/>
          </w:tcPr>
          <w:p w14:paraId="221ACEC6" w14:textId="77777777" w:rsidR="0018787E" w:rsidRPr="0018787E" w:rsidRDefault="0018787E" w:rsidP="0018787E">
            <w:pPr>
              <w:rPr>
                <w:sz w:val="18"/>
                <w:szCs w:val="18"/>
                <w:lang w:val="en-GB"/>
              </w:rPr>
            </w:pPr>
            <w:r w:rsidRPr="0018787E">
              <w:rPr>
                <w:sz w:val="18"/>
                <w:szCs w:val="18"/>
                <w:lang w:val="en-GB"/>
              </w:rPr>
              <w:t>National-level</w:t>
            </w:r>
          </w:p>
          <w:p w14:paraId="797B4F07" w14:textId="77777777" w:rsidR="0018787E" w:rsidRPr="0018787E" w:rsidRDefault="0018787E" w:rsidP="0018787E">
            <w:pPr>
              <w:rPr>
                <w:sz w:val="18"/>
                <w:szCs w:val="18"/>
                <w:lang w:val="en-GB"/>
              </w:rPr>
            </w:pPr>
          </w:p>
          <w:p w14:paraId="0A93BC3A" w14:textId="77777777" w:rsidR="0018787E" w:rsidRPr="0018787E" w:rsidRDefault="0018787E" w:rsidP="0018787E">
            <w:pPr>
              <w:rPr>
                <w:sz w:val="18"/>
                <w:szCs w:val="18"/>
                <w:lang w:val="en-GB"/>
              </w:rPr>
            </w:pPr>
          </w:p>
          <w:p w14:paraId="60A8BA23" w14:textId="77777777" w:rsidR="0018787E" w:rsidRPr="0018787E" w:rsidRDefault="0018787E" w:rsidP="0018787E">
            <w:pPr>
              <w:rPr>
                <w:sz w:val="18"/>
                <w:szCs w:val="18"/>
                <w:lang w:val="en-GB"/>
              </w:rPr>
            </w:pPr>
          </w:p>
          <w:p w14:paraId="43F9ABFA" w14:textId="77777777" w:rsidR="0018787E" w:rsidRPr="0018787E" w:rsidRDefault="0018787E" w:rsidP="0018787E">
            <w:pPr>
              <w:rPr>
                <w:sz w:val="18"/>
                <w:szCs w:val="18"/>
                <w:lang w:val="en-GB"/>
              </w:rPr>
            </w:pPr>
            <w:r w:rsidRPr="0018787E">
              <w:rPr>
                <w:sz w:val="18"/>
                <w:szCs w:val="18"/>
                <w:lang w:val="en-GB"/>
              </w:rPr>
              <w:t>National-level</w:t>
            </w:r>
          </w:p>
          <w:p w14:paraId="5C4778CD" w14:textId="77777777" w:rsidR="0018787E" w:rsidRPr="0018787E" w:rsidRDefault="0018787E" w:rsidP="0018787E">
            <w:pPr>
              <w:rPr>
                <w:sz w:val="18"/>
                <w:szCs w:val="18"/>
                <w:lang w:val="en-GB"/>
              </w:rPr>
            </w:pPr>
          </w:p>
          <w:p w14:paraId="3CF2284A" w14:textId="77777777" w:rsidR="0018787E" w:rsidRPr="0018787E" w:rsidRDefault="0018787E" w:rsidP="0018787E">
            <w:pPr>
              <w:rPr>
                <w:sz w:val="18"/>
                <w:szCs w:val="18"/>
                <w:lang w:val="en-GB"/>
              </w:rPr>
            </w:pPr>
          </w:p>
          <w:p w14:paraId="3100743A" w14:textId="77777777" w:rsidR="0018787E" w:rsidRPr="0018787E" w:rsidRDefault="0018787E" w:rsidP="0018787E">
            <w:pPr>
              <w:rPr>
                <w:sz w:val="18"/>
                <w:szCs w:val="18"/>
                <w:lang w:val="en-GB"/>
              </w:rPr>
            </w:pPr>
            <w:r w:rsidRPr="0018787E">
              <w:rPr>
                <w:sz w:val="18"/>
                <w:szCs w:val="18"/>
                <w:lang w:val="en-GB"/>
              </w:rPr>
              <w:t>Regional-level</w:t>
            </w:r>
          </w:p>
          <w:p w14:paraId="7977AAA3" w14:textId="77777777" w:rsidR="0018787E" w:rsidRPr="0018787E" w:rsidRDefault="0018787E" w:rsidP="0018787E">
            <w:pPr>
              <w:rPr>
                <w:sz w:val="18"/>
                <w:szCs w:val="18"/>
                <w:lang w:val="en-GB"/>
              </w:rPr>
            </w:pPr>
          </w:p>
          <w:p w14:paraId="7EDA19AF" w14:textId="77777777" w:rsidR="0018787E" w:rsidRPr="0018787E" w:rsidRDefault="0018787E" w:rsidP="0018787E">
            <w:pPr>
              <w:rPr>
                <w:sz w:val="18"/>
                <w:szCs w:val="18"/>
                <w:lang w:val="en-GB"/>
              </w:rPr>
            </w:pPr>
          </w:p>
          <w:p w14:paraId="10185320" w14:textId="77777777" w:rsidR="0018787E" w:rsidRPr="0018787E" w:rsidRDefault="0018787E" w:rsidP="0018787E">
            <w:pPr>
              <w:rPr>
                <w:sz w:val="18"/>
                <w:szCs w:val="18"/>
                <w:lang w:val="en-GB"/>
              </w:rPr>
            </w:pPr>
          </w:p>
          <w:p w14:paraId="1039B28B" w14:textId="77777777" w:rsidR="0018787E" w:rsidRPr="0018787E" w:rsidRDefault="0018787E" w:rsidP="0018787E">
            <w:pPr>
              <w:rPr>
                <w:sz w:val="18"/>
                <w:szCs w:val="18"/>
                <w:lang w:val="en-GB"/>
              </w:rPr>
            </w:pPr>
          </w:p>
          <w:p w14:paraId="10832FA7"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13C7D324"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habitat and land-based pollution committees</w:t>
            </w:r>
          </w:p>
          <w:p w14:paraId="73FBCBC4"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1DC5072E"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habitat and land-based pollution working groups</w:t>
            </w:r>
          </w:p>
          <w:p w14:paraId="2AB1359F"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6B62DA4B"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4A5D5EAA"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1A0CFDC6" w14:textId="77777777" w:rsidTr="0018787E">
        <w:tc>
          <w:tcPr>
            <w:tcW w:w="1319" w:type="dxa"/>
            <w:vMerge/>
          </w:tcPr>
          <w:p w14:paraId="1CAC2D88" w14:textId="77777777" w:rsidR="0018787E" w:rsidRPr="0018787E" w:rsidRDefault="0018787E" w:rsidP="0018787E">
            <w:pPr>
              <w:rPr>
                <w:sz w:val="18"/>
                <w:szCs w:val="18"/>
                <w:lang w:val="en-GB"/>
              </w:rPr>
            </w:pPr>
          </w:p>
        </w:tc>
        <w:tc>
          <w:tcPr>
            <w:tcW w:w="1270" w:type="dxa"/>
          </w:tcPr>
          <w:p w14:paraId="145B7D78" w14:textId="77777777" w:rsidR="0018787E" w:rsidRPr="0018787E" w:rsidRDefault="0018787E" w:rsidP="0018787E">
            <w:pPr>
              <w:spacing w:before="40"/>
              <w:rPr>
                <w:bCs/>
                <w:sz w:val="18"/>
                <w:szCs w:val="18"/>
                <w:lang w:val="en-GB"/>
              </w:rPr>
            </w:pPr>
            <w:r w:rsidRPr="0018787E">
              <w:rPr>
                <w:bCs/>
                <w:sz w:val="18"/>
                <w:szCs w:val="18"/>
                <w:lang w:val="en-GB"/>
              </w:rPr>
              <w:t>Demonstrable use of state of coastal habitat reports in national and regional planning</w:t>
            </w:r>
          </w:p>
        </w:tc>
        <w:tc>
          <w:tcPr>
            <w:tcW w:w="1270" w:type="dxa"/>
          </w:tcPr>
          <w:p w14:paraId="14E92DE0" w14:textId="77777777" w:rsidR="0018787E" w:rsidRPr="0018787E" w:rsidRDefault="0018787E" w:rsidP="0018787E">
            <w:pPr>
              <w:spacing w:before="40"/>
              <w:rPr>
                <w:sz w:val="18"/>
                <w:szCs w:val="18"/>
                <w:lang w:val="en-GB"/>
              </w:rPr>
            </w:pPr>
            <w:r w:rsidRPr="0018787E">
              <w:rPr>
                <w:sz w:val="18"/>
                <w:szCs w:val="18"/>
                <w:lang w:val="en-GB"/>
              </w:rPr>
              <w:t>Baseline national habitat reports developed and require periodic uptake</w:t>
            </w:r>
          </w:p>
        </w:tc>
        <w:tc>
          <w:tcPr>
            <w:tcW w:w="1109" w:type="dxa"/>
          </w:tcPr>
          <w:p w14:paraId="5091B694" w14:textId="77777777" w:rsidR="0018787E" w:rsidRPr="0018787E" w:rsidRDefault="0018787E" w:rsidP="0018787E">
            <w:pPr>
              <w:rPr>
                <w:sz w:val="18"/>
                <w:szCs w:val="18"/>
                <w:lang w:val="en-GB"/>
              </w:rPr>
            </w:pPr>
            <w:r w:rsidRPr="0018787E">
              <w:rPr>
                <w:sz w:val="18"/>
                <w:szCs w:val="18"/>
                <w:lang w:val="en-GB"/>
              </w:rPr>
              <w:t>First biennial state of coastal habitat reports published</w:t>
            </w:r>
          </w:p>
        </w:tc>
        <w:tc>
          <w:tcPr>
            <w:tcW w:w="1291" w:type="dxa"/>
          </w:tcPr>
          <w:p w14:paraId="01161B32" w14:textId="77777777" w:rsidR="0018787E" w:rsidRPr="0018787E" w:rsidRDefault="0018787E" w:rsidP="0018787E">
            <w:pPr>
              <w:spacing w:before="40"/>
              <w:rPr>
                <w:sz w:val="18"/>
                <w:szCs w:val="18"/>
                <w:lang w:val="en-GB"/>
              </w:rPr>
            </w:pPr>
            <w:r w:rsidRPr="0018787E">
              <w:rPr>
                <w:sz w:val="18"/>
                <w:szCs w:val="18"/>
                <w:lang w:val="en-GB"/>
              </w:rPr>
              <w:t>Biennial state of coastal habitat reports published</w:t>
            </w:r>
          </w:p>
        </w:tc>
        <w:tc>
          <w:tcPr>
            <w:tcW w:w="1269" w:type="dxa"/>
          </w:tcPr>
          <w:p w14:paraId="481DEEF5" w14:textId="77777777" w:rsidR="0018787E" w:rsidRPr="0018787E" w:rsidRDefault="0018787E" w:rsidP="0018787E">
            <w:pPr>
              <w:spacing w:before="40"/>
              <w:rPr>
                <w:bCs/>
                <w:sz w:val="18"/>
                <w:szCs w:val="18"/>
                <w:lang w:val="en-GB"/>
              </w:rPr>
            </w:pPr>
            <w:r w:rsidRPr="0018787E">
              <w:rPr>
                <w:bCs/>
                <w:sz w:val="18"/>
                <w:szCs w:val="18"/>
                <w:lang w:val="en-GB"/>
              </w:rPr>
              <w:t>Published state of coastal habitat reports</w:t>
            </w:r>
          </w:p>
        </w:tc>
        <w:tc>
          <w:tcPr>
            <w:tcW w:w="1440" w:type="dxa"/>
          </w:tcPr>
          <w:p w14:paraId="3F6503C6" w14:textId="77777777" w:rsidR="0018787E" w:rsidRPr="0018787E" w:rsidRDefault="0018787E" w:rsidP="0018787E">
            <w:pPr>
              <w:rPr>
                <w:sz w:val="18"/>
                <w:szCs w:val="18"/>
                <w:lang w:val="en-GB"/>
              </w:rPr>
            </w:pPr>
            <w:r w:rsidRPr="0018787E">
              <w:rPr>
                <w:sz w:val="18"/>
                <w:szCs w:val="18"/>
                <w:lang w:val="en-GB"/>
              </w:rPr>
              <w:t>Biennially</w:t>
            </w:r>
          </w:p>
          <w:p w14:paraId="214E8EE9" w14:textId="77777777" w:rsidR="0018787E" w:rsidRPr="0018787E" w:rsidRDefault="0018787E" w:rsidP="0018787E">
            <w:pPr>
              <w:rPr>
                <w:sz w:val="18"/>
                <w:szCs w:val="18"/>
                <w:lang w:val="en-GB"/>
              </w:rPr>
            </w:pPr>
          </w:p>
          <w:p w14:paraId="5DCD3B29" w14:textId="77777777" w:rsidR="0018787E" w:rsidRPr="0018787E" w:rsidRDefault="0018787E" w:rsidP="0018787E">
            <w:pPr>
              <w:rPr>
                <w:sz w:val="18"/>
                <w:szCs w:val="18"/>
                <w:lang w:val="en-GB"/>
              </w:rPr>
            </w:pPr>
          </w:p>
          <w:p w14:paraId="25638EC7" w14:textId="77777777" w:rsidR="0018787E" w:rsidRPr="0018787E" w:rsidRDefault="0018787E" w:rsidP="0018787E">
            <w:pPr>
              <w:rPr>
                <w:sz w:val="18"/>
                <w:szCs w:val="18"/>
                <w:lang w:val="en-GB"/>
              </w:rPr>
            </w:pPr>
          </w:p>
          <w:p w14:paraId="77693DEF" w14:textId="77777777" w:rsidR="0018787E" w:rsidRPr="0018787E" w:rsidRDefault="0018787E" w:rsidP="0018787E">
            <w:pPr>
              <w:rPr>
                <w:sz w:val="18"/>
                <w:szCs w:val="18"/>
                <w:lang w:val="en-GB"/>
              </w:rPr>
            </w:pPr>
            <w:r w:rsidRPr="0018787E">
              <w:rPr>
                <w:sz w:val="18"/>
                <w:szCs w:val="18"/>
                <w:lang w:val="en-GB"/>
              </w:rPr>
              <w:t>Biennially</w:t>
            </w:r>
          </w:p>
          <w:p w14:paraId="1B79EB45" w14:textId="77777777" w:rsidR="0018787E" w:rsidRPr="0018787E" w:rsidRDefault="0018787E" w:rsidP="0018787E">
            <w:pPr>
              <w:rPr>
                <w:sz w:val="18"/>
                <w:szCs w:val="18"/>
                <w:lang w:val="en-GB"/>
              </w:rPr>
            </w:pPr>
          </w:p>
          <w:p w14:paraId="2F4369D8" w14:textId="77777777" w:rsidR="0018787E" w:rsidRPr="0018787E" w:rsidRDefault="0018787E" w:rsidP="0018787E">
            <w:pPr>
              <w:rPr>
                <w:sz w:val="18"/>
                <w:szCs w:val="18"/>
                <w:lang w:val="en-GB"/>
              </w:rPr>
            </w:pPr>
          </w:p>
          <w:p w14:paraId="48404AA7" w14:textId="77777777" w:rsidR="0018787E" w:rsidRPr="0018787E" w:rsidRDefault="0018787E" w:rsidP="0018787E">
            <w:pPr>
              <w:rPr>
                <w:sz w:val="18"/>
                <w:szCs w:val="18"/>
                <w:lang w:val="en-GB"/>
              </w:rPr>
            </w:pPr>
          </w:p>
        </w:tc>
        <w:tc>
          <w:tcPr>
            <w:tcW w:w="950" w:type="dxa"/>
          </w:tcPr>
          <w:p w14:paraId="657CB192" w14:textId="77777777" w:rsidR="0018787E" w:rsidRPr="0018787E" w:rsidRDefault="0018787E" w:rsidP="0018787E">
            <w:pPr>
              <w:rPr>
                <w:sz w:val="18"/>
                <w:szCs w:val="18"/>
                <w:lang w:val="en-GB"/>
              </w:rPr>
            </w:pPr>
            <w:r w:rsidRPr="0018787E">
              <w:rPr>
                <w:sz w:val="18"/>
                <w:szCs w:val="18"/>
                <w:lang w:val="en-GB"/>
              </w:rPr>
              <w:t>National</w:t>
            </w:r>
          </w:p>
          <w:p w14:paraId="7BB5241F" w14:textId="77777777" w:rsidR="0018787E" w:rsidRPr="0018787E" w:rsidRDefault="0018787E" w:rsidP="0018787E">
            <w:pPr>
              <w:rPr>
                <w:sz w:val="18"/>
                <w:szCs w:val="18"/>
                <w:lang w:val="en-GB"/>
              </w:rPr>
            </w:pPr>
          </w:p>
          <w:p w14:paraId="6F37C3A7" w14:textId="77777777" w:rsidR="0018787E" w:rsidRPr="0018787E" w:rsidRDefault="0018787E" w:rsidP="0018787E">
            <w:pPr>
              <w:rPr>
                <w:sz w:val="18"/>
                <w:szCs w:val="18"/>
                <w:lang w:val="en-GB"/>
              </w:rPr>
            </w:pPr>
          </w:p>
          <w:p w14:paraId="4959CA64" w14:textId="77777777" w:rsidR="0018787E" w:rsidRPr="0018787E" w:rsidRDefault="0018787E" w:rsidP="0018787E">
            <w:pPr>
              <w:rPr>
                <w:sz w:val="18"/>
                <w:szCs w:val="18"/>
                <w:lang w:val="en-GB"/>
              </w:rPr>
            </w:pPr>
          </w:p>
          <w:p w14:paraId="14B62763" w14:textId="77777777" w:rsidR="0018787E" w:rsidRPr="0018787E" w:rsidRDefault="0018787E" w:rsidP="0018787E">
            <w:pPr>
              <w:rPr>
                <w:sz w:val="18"/>
                <w:szCs w:val="18"/>
                <w:lang w:val="en-GB"/>
              </w:rPr>
            </w:pPr>
            <w:r w:rsidRPr="0018787E">
              <w:rPr>
                <w:sz w:val="18"/>
                <w:szCs w:val="18"/>
                <w:lang w:val="en-GB"/>
              </w:rPr>
              <w:t>Regional</w:t>
            </w:r>
          </w:p>
        </w:tc>
        <w:tc>
          <w:tcPr>
            <w:tcW w:w="1350" w:type="dxa"/>
          </w:tcPr>
          <w:p w14:paraId="2B11B84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61D6BE20"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habitat working groups</w:t>
            </w:r>
          </w:p>
        </w:tc>
        <w:tc>
          <w:tcPr>
            <w:tcW w:w="810" w:type="dxa"/>
          </w:tcPr>
          <w:p w14:paraId="0648BF06"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2FD50426"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0A3352CD" w14:textId="77777777" w:rsidTr="0018787E">
        <w:tc>
          <w:tcPr>
            <w:tcW w:w="1319" w:type="dxa"/>
            <w:vMerge w:val="restart"/>
            <w:vAlign w:val="center"/>
          </w:tcPr>
          <w:p w14:paraId="7F7051D8" w14:textId="77777777" w:rsidR="0018787E" w:rsidRPr="0018787E" w:rsidRDefault="0018787E" w:rsidP="0018787E">
            <w:pPr>
              <w:rPr>
                <w:sz w:val="18"/>
                <w:szCs w:val="18"/>
                <w:lang w:val="en-GB"/>
              </w:rPr>
            </w:pPr>
            <w:r w:rsidRPr="0018787E">
              <w:rPr>
                <w:sz w:val="18"/>
                <w:szCs w:val="18"/>
                <w:lang w:val="en-GB"/>
              </w:rPr>
              <w:t>2.1: Enhanced information-base for coastal habitat management and action planning</w:t>
            </w:r>
          </w:p>
        </w:tc>
        <w:tc>
          <w:tcPr>
            <w:tcW w:w="1270" w:type="dxa"/>
          </w:tcPr>
          <w:p w14:paraId="1300BF29" w14:textId="77777777" w:rsidR="0018787E" w:rsidRPr="0018787E" w:rsidRDefault="0018787E" w:rsidP="0018787E">
            <w:pPr>
              <w:spacing w:before="40"/>
              <w:rPr>
                <w:bCs/>
                <w:sz w:val="18"/>
                <w:szCs w:val="18"/>
                <w:lang w:val="en-GB"/>
              </w:rPr>
            </w:pPr>
            <w:r w:rsidRPr="0018787E">
              <w:rPr>
                <w:bCs/>
                <w:sz w:val="18"/>
                <w:szCs w:val="18"/>
                <w:lang w:val="en-GB"/>
              </w:rPr>
              <w:t>Volume of remotely sensed information interpreted and made available for planning</w:t>
            </w:r>
          </w:p>
          <w:p w14:paraId="1EB24CC2" w14:textId="77777777" w:rsidR="0018787E" w:rsidRPr="0018787E" w:rsidRDefault="0018787E" w:rsidP="0018787E">
            <w:pPr>
              <w:spacing w:before="40"/>
              <w:rPr>
                <w:bCs/>
                <w:sz w:val="18"/>
                <w:szCs w:val="18"/>
                <w:lang w:val="en-GB"/>
              </w:rPr>
            </w:pPr>
          </w:p>
          <w:p w14:paraId="39375F2E" w14:textId="77777777" w:rsidR="0018787E" w:rsidRPr="0018787E" w:rsidRDefault="0018787E" w:rsidP="0018787E">
            <w:pPr>
              <w:spacing w:before="40"/>
              <w:rPr>
                <w:bCs/>
                <w:sz w:val="18"/>
                <w:szCs w:val="18"/>
                <w:lang w:val="en-GB"/>
              </w:rPr>
            </w:pPr>
            <w:r w:rsidRPr="0018787E">
              <w:rPr>
                <w:bCs/>
                <w:sz w:val="18"/>
                <w:szCs w:val="18"/>
                <w:lang w:val="en-GB"/>
              </w:rPr>
              <w:t>Extent of uptake of remotely sensed coastal habitat information and data in management planning and action</w:t>
            </w:r>
          </w:p>
        </w:tc>
        <w:tc>
          <w:tcPr>
            <w:tcW w:w="1270" w:type="dxa"/>
          </w:tcPr>
          <w:p w14:paraId="1C4B441A" w14:textId="77777777" w:rsidR="0018787E" w:rsidRPr="0018787E" w:rsidRDefault="0018787E" w:rsidP="0018787E">
            <w:pPr>
              <w:spacing w:before="40"/>
              <w:rPr>
                <w:sz w:val="18"/>
                <w:szCs w:val="18"/>
                <w:lang w:val="en-GB"/>
              </w:rPr>
            </w:pPr>
            <w:r w:rsidRPr="0018787E">
              <w:rPr>
                <w:sz w:val="18"/>
                <w:szCs w:val="18"/>
                <w:lang w:val="en-GB"/>
              </w:rPr>
              <w:t>Rapid advancements in aerial visual survey techniques and remote sensing of inter-tidal and shallow water biomes have potential to greatly enhance coastal habitat management planning in the SCS marine basin</w:t>
            </w:r>
          </w:p>
        </w:tc>
        <w:tc>
          <w:tcPr>
            <w:tcW w:w="1109" w:type="dxa"/>
          </w:tcPr>
          <w:p w14:paraId="0E804B80" w14:textId="77777777" w:rsidR="0018787E" w:rsidRPr="0018787E" w:rsidRDefault="0018787E" w:rsidP="0018787E">
            <w:pPr>
              <w:rPr>
                <w:sz w:val="18"/>
                <w:szCs w:val="18"/>
                <w:lang w:val="en-GB"/>
              </w:rPr>
            </w:pPr>
            <w:r w:rsidRPr="0018787E">
              <w:rPr>
                <w:sz w:val="18"/>
                <w:szCs w:val="18"/>
                <w:lang w:val="en-GB"/>
              </w:rPr>
              <w:t>Mechanisms established for the collation of remotely sensed information and data, including guidelines and protocols developed for use of aerial visual survey techniques</w:t>
            </w:r>
          </w:p>
        </w:tc>
        <w:tc>
          <w:tcPr>
            <w:tcW w:w="1291" w:type="dxa"/>
          </w:tcPr>
          <w:p w14:paraId="6ADD2DDC" w14:textId="77777777" w:rsidR="0018787E" w:rsidRPr="0018787E" w:rsidRDefault="0018787E" w:rsidP="0018787E">
            <w:pPr>
              <w:spacing w:before="40"/>
              <w:rPr>
                <w:sz w:val="18"/>
                <w:szCs w:val="18"/>
                <w:lang w:val="en-GB"/>
              </w:rPr>
            </w:pPr>
            <w:r w:rsidRPr="0018787E">
              <w:rPr>
                <w:sz w:val="18"/>
                <w:szCs w:val="18"/>
                <w:lang w:val="en-GB"/>
              </w:rPr>
              <w:t>Algorithms for the interpretation of remotely sensed information and data on coastal habitat associations and zonation developed and applied</w:t>
            </w:r>
          </w:p>
        </w:tc>
        <w:tc>
          <w:tcPr>
            <w:tcW w:w="1269" w:type="dxa"/>
          </w:tcPr>
          <w:p w14:paraId="42355240" w14:textId="77777777" w:rsidR="0018787E" w:rsidRPr="0018787E" w:rsidRDefault="0018787E" w:rsidP="0018787E">
            <w:pPr>
              <w:spacing w:before="40"/>
              <w:rPr>
                <w:sz w:val="18"/>
                <w:szCs w:val="18"/>
                <w:lang w:val="en-GB"/>
              </w:rPr>
            </w:pPr>
            <w:r w:rsidRPr="0018787E">
              <w:rPr>
                <w:bCs/>
                <w:sz w:val="18"/>
                <w:szCs w:val="18"/>
                <w:lang w:val="en-GB"/>
              </w:rPr>
              <w:t>Regional report on methodologies and procedures for the application of aerial visual survey and remotely sensed data in coastal habitat management in the SCS marine basin published and accessible online</w:t>
            </w:r>
          </w:p>
        </w:tc>
        <w:tc>
          <w:tcPr>
            <w:tcW w:w="1440" w:type="dxa"/>
          </w:tcPr>
          <w:p w14:paraId="12A12883" w14:textId="77777777" w:rsidR="0018787E" w:rsidRPr="0018787E" w:rsidRDefault="0018787E" w:rsidP="0018787E">
            <w:pPr>
              <w:rPr>
                <w:sz w:val="18"/>
                <w:szCs w:val="18"/>
                <w:lang w:val="en-GB"/>
              </w:rPr>
            </w:pPr>
            <w:r w:rsidRPr="0018787E">
              <w:rPr>
                <w:sz w:val="18"/>
                <w:szCs w:val="18"/>
                <w:lang w:val="en-GB"/>
              </w:rPr>
              <w:t>Quarterly</w:t>
            </w:r>
          </w:p>
          <w:p w14:paraId="4B9BD31A" w14:textId="77777777" w:rsidR="0018787E" w:rsidRPr="0018787E" w:rsidRDefault="0018787E" w:rsidP="0018787E">
            <w:pPr>
              <w:rPr>
                <w:sz w:val="18"/>
                <w:szCs w:val="18"/>
                <w:lang w:val="en-GB"/>
              </w:rPr>
            </w:pPr>
          </w:p>
          <w:p w14:paraId="33FE580D" w14:textId="77777777" w:rsidR="0018787E" w:rsidRPr="0018787E" w:rsidRDefault="0018787E" w:rsidP="0018787E">
            <w:pPr>
              <w:rPr>
                <w:sz w:val="18"/>
                <w:szCs w:val="18"/>
                <w:lang w:val="en-GB"/>
              </w:rPr>
            </w:pPr>
          </w:p>
          <w:p w14:paraId="3F84A8C3" w14:textId="77777777" w:rsidR="0018787E" w:rsidRPr="0018787E" w:rsidRDefault="0018787E" w:rsidP="0018787E">
            <w:pPr>
              <w:rPr>
                <w:sz w:val="18"/>
                <w:szCs w:val="18"/>
                <w:lang w:val="en-GB"/>
              </w:rPr>
            </w:pPr>
            <w:r w:rsidRPr="0018787E">
              <w:rPr>
                <w:sz w:val="18"/>
                <w:szCs w:val="18"/>
                <w:lang w:val="en-GB"/>
              </w:rPr>
              <w:t>Biannually</w:t>
            </w:r>
          </w:p>
          <w:p w14:paraId="5F4B29F6" w14:textId="77777777" w:rsidR="0018787E" w:rsidRPr="0018787E" w:rsidRDefault="0018787E" w:rsidP="0018787E">
            <w:pPr>
              <w:rPr>
                <w:sz w:val="18"/>
                <w:szCs w:val="18"/>
                <w:lang w:val="en-GB"/>
              </w:rPr>
            </w:pPr>
          </w:p>
          <w:p w14:paraId="6195BC80" w14:textId="77777777" w:rsidR="0018787E" w:rsidRPr="0018787E" w:rsidRDefault="0018787E" w:rsidP="0018787E">
            <w:pPr>
              <w:rPr>
                <w:sz w:val="18"/>
                <w:szCs w:val="18"/>
                <w:lang w:val="en-GB"/>
              </w:rPr>
            </w:pPr>
          </w:p>
          <w:p w14:paraId="486D5730" w14:textId="77777777" w:rsidR="0018787E" w:rsidRPr="0018787E" w:rsidRDefault="0018787E" w:rsidP="0018787E">
            <w:pPr>
              <w:rPr>
                <w:sz w:val="18"/>
                <w:szCs w:val="18"/>
                <w:lang w:val="en-GB"/>
              </w:rPr>
            </w:pPr>
          </w:p>
          <w:p w14:paraId="25B69A5D" w14:textId="77777777" w:rsidR="0018787E" w:rsidRPr="0018787E" w:rsidRDefault="0018787E" w:rsidP="0018787E">
            <w:pPr>
              <w:rPr>
                <w:sz w:val="18"/>
                <w:szCs w:val="18"/>
                <w:lang w:val="en-GB"/>
              </w:rPr>
            </w:pPr>
            <w:r w:rsidRPr="0018787E">
              <w:rPr>
                <w:sz w:val="18"/>
                <w:szCs w:val="18"/>
                <w:lang w:val="en-GB"/>
              </w:rPr>
              <w:t>Biannually</w:t>
            </w:r>
          </w:p>
          <w:p w14:paraId="694CB807" w14:textId="77777777" w:rsidR="0018787E" w:rsidRPr="0018787E" w:rsidRDefault="0018787E" w:rsidP="0018787E">
            <w:pPr>
              <w:rPr>
                <w:sz w:val="18"/>
                <w:szCs w:val="18"/>
                <w:lang w:val="en-GB"/>
              </w:rPr>
            </w:pPr>
          </w:p>
          <w:p w14:paraId="3F3CC101" w14:textId="77777777" w:rsidR="0018787E" w:rsidRPr="0018787E" w:rsidRDefault="0018787E" w:rsidP="0018787E">
            <w:pPr>
              <w:rPr>
                <w:sz w:val="18"/>
                <w:szCs w:val="18"/>
                <w:lang w:val="en-GB"/>
              </w:rPr>
            </w:pPr>
          </w:p>
          <w:p w14:paraId="18C522C0" w14:textId="77777777" w:rsidR="0018787E" w:rsidRPr="0018787E" w:rsidRDefault="0018787E" w:rsidP="0018787E">
            <w:pPr>
              <w:rPr>
                <w:sz w:val="18"/>
                <w:szCs w:val="18"/>
                <w:lang w:val="en-GB"/>
              </w:rPr>
            </w:pPr>
            <w:r w:rsidRPr="0018787E">
              <w:rPr>
                <w:sz w:val="18"/>
                <w:szCs w:val="18"/>
                <w:lang w:val="en-GB"/>
              </w:rPr>
              <w:t>Bianually</w:t>
            </w:r>
          </w:p>
        </w:tc>
        <w:tc>
          <w:tcPr>
            <w:tcW w:w="950" w:type="dxa"/>
          </w:tcPr>
          <w:p w14:paraId="5DD2DBFE" w14:textId="77777777" w:rsidR="0018787E" w:rsidRPr="0018787E" w:rsidRDefault="0018787E" w:rsidP="0018787E">
            <w:pPr>
              <w:rPr>
                <w:sz w:val="18"/>
                <w:szCs w:val="18"/>
                <w:lang w:val="en-GB"/>
              </w:rPr>
            </w:pPr>
            <w:r w:rsidRPr="0018787E">
              <w:rPr>
                <w:sz w:val="18"/>
                <w:szCs w:val="18"/>
                <w:lang w:val="en-GB"/>
              </w:rPr>
              <w:t>National-level</w:t>
            </w:r>
          </w:p>
          <w:p w14:paraId="7D4E7A9C" w14:textId="77777777" w:rsidR="0018787E" w:rsidRPr="0018787E" w:rsidRDefault="0018787E" w:rsidP="0018787E">
            <w:pPr>
              <w:rPr>
                <w:sz w:val="18"/>
                <w:szCs w:val="18"/>
                <w:lang w:val="en-GB"/>
              </w:rPr>
            </w:pPr>
          </w:p>
          <w:p w14:paraId="46C29C9F" w14:textId="77777777" w:rsidR="0018787E" w:rsidRPr="0018787E" w:rsidRDefault="0018787E" w:rsidP="0018787E">
            <w:pPr>
              <w:rPr>
                <w:sz w:val="18"/>
                <w:szCs w:val="18"/>
                <w:lang w:val="en-GB"/>
              </w:rPr>
            </w:pPr>
            <w:r w:rsidRPr="0018787E">
              <w:rPr>
                <w:sz w:val="18"/>
                <w:szCs w:val="18"/>
                <w:lang w:val="en-GB"/>
              </w:rPr>
              <w:t>National-level</w:t>
            </w:r>
          </w:p>
          <w:p w14:paraId="32FF539C" w14:textId="77777777" w:rsidR="0018787E" w:rsidRPr="0018787E" w:rsidRDefault="0018787E" w:rsidP="0018787E">
            <w:pPr>
              <w:rPr>
                <w:sz w:val="18"/>
                <w:szCs w:val="18"/>
                <w:lang w:val="en-GB"/>
              </w:rPr>
            </w:pPr>
          </w:p>
          <w:p w14:paraId="083744F8" w14:textId="77777777" w:rsidR="0018787E" w:rsidRPr="0018787E" w:rsidRDefault="0018787E" w:rsidP="0018787E">
            <w:pPr>
              <w:rPr>
                <w:sz w:val="18"/>
                <w:szCs w:val="18"/>
                <w:lang w:val="en-GB"/>
              </w:rPr>
            </w:pPr>
          </w:p>
          <w:p w14:paraId="4B5D8189" w14:textId="77777777" w:rsidR="0018787E" w:rsidRPr="0018787E" w:rsidRDefault="0018787E" w:rsidP="0018787E">
            <w:pPr>
              <w:rPr>
                <w:sz w:val="18"/>
                <w:szCs w:val="18"/>
                <w:lang w:val="en-GB"/>
              </w:rPr>
            </w:pPr>
            <w:r w:rsidRPr="0018787E">
              <w:rPr>
                <w:sz w:val="18"/>
                <w:szCs w:val="18"/>
                <w:lang w:val="en-GB"/>
              </w:rPr>
              <w:t>Regional-level</w:t>
            </w:r>
          </w:p>
          <w:p w14:paraId="5D3F3B63" w14:textId="77777777" w:rsidR="0018787E" w:rsidRPr="0018787E" w:rsidRDefault="0018787E" w:rsidP="0018787E">
            <w:pPr>
              <w:rPr>
                <w:sz w:val="18"/>
                <w:szCs w:val="18"/>
                <w:lang w:val="en-GB"/>
              </w:rPr>
            </w:pPr>
          </w:p>
          <w:p w14:paraId="5DD61DE7"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7A46180E"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Habitat Committees</w:t>
            </w:r>
          </w:p>
          <w:p w14:paraId="6E15DBED"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57A30344"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23C11E66"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42B7E89A"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2463229B"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0DFC263E" w14:textId="77777777" w:rsidTr="0018787E">
        <w:tc>
          <w:tcPr>
            <w:tcW w:w="1319" w:type="dxa"/>
            <w:vMerge/>
          </w:tcPr>
          <w:p w14:paraId="6DFC48AE" w14:textId="77777777" w:rsidR="0018787E" w:rsidRPr="0018787E" w:rsidRDefault="0018787E" w:rsidP="0018787E">
            <w:pPr>
              <w:rPr>
                <w:sz w:val="18"/>
                <w:szCs w:val="18"/>
                <w:lang w:val="en-GB"/>
              </w:rPr>
            </w:pPr>
          </w:p>
        </w:tc>
        <w:tc>
          <w:tcPr>
            <w:tcW w:w="1270" w:type="dxa"/>
          </w:tcPr>
          <w:p w14:paraId="027D1C9F" w14:textId="77777777" w:rsidR="0018787E" w:rsidRPr="0018787E" w:rsidRDefault="0018787E" w:rsidP="0018787E">
            <w:pPr>
              <w:spacing w:before="40"/>
              <w:rPr>
                <w:bCs/>
                <w:sz w:val="18"/>
                <w:szCs w:val="18"/>
                <w:lang w:val="en-GB"/>
              </w:rPr>
            </w:pPr>
            <w:r w:rsidRPr="0018787E">
              <w:rPr>
                <w:bCs/>
                <w:sz w:val="18"/>
                <w:szCs w:val="18"/>
                <w:lang w:val="en-GB"/>
              </w:rPr>
              <w:t>Number and completeness of regionally comparable coastal habitat site characterisations</w:t>
            </w:r>
          </w:p>
          <w:p w14:paraId="14BFB856" w14:textId="77777777" w:rsidR="0018787E" w:rsidRPr="0018787E" w:rsidRDefault="0018787E" w:rsidP="0018787E">
            <w:pPr>
              <w:spacing w:before="40"/>
              <w:rPr>
                <w:bCs/>
                <w:sz w:val="18"/>
                <w:szCs w:val="18"/>
                <w:lang w:val="en-GB"/>
              </w:rPr>
            </w:pPr>
          </w:p>
          <w:p w14:paraId="1A0F740B" w14:textId="77777777" w:rsidR="0018787E" w:rsidRPr="0018787E" w:rsidRDefault="0018787E" w:rsidP="0018787E">
            <w:pPr>
              <w:spacing w:before="40"/>
              <w:rPr>
                <w:bCs/>
                <w:sz w:val="18"/>
                <w:szCs w:val="18"/>
                <w:lang w:val="en-GB"/>
              </w:rPr>
            </w:pPr>
            <w:r w:rsidRPr="0018787E">
              <w:rPr>
                <w:bCs/>
                <w:sz w:val="18"/>
                <w:szCs w:val="18"/>
                <w:lang w:val="en-GB"/>
              </w:rPr>
              <w:t>Number of datasets for coastal habitat sites accessible online in centralised repositorty</w:t>
            </w:r>
          </w:p>
        </w:tc>
        <w:tc>
          <w:tcPr>
            <w:tcW w:w="1270" w:type="dxa"/>
          </w:tcPr>
          <w:p w14:paraId="5DE38856" w14:textId="77777777" w:rsidR="0018787E" w:rsidRPr="0018787E" w:rsidRDefault="0018787E" w:rsidP="0018787E">
            <w:pPr>
              <w:spacing w:before="40"/>
              <w:rPr>
                <w:sz w:val="18"/>
                <w:szCs w:val="18"/>
                <w:lang w:val="en-GB"/>
              </w:rPr>
            </w:pPr>
            <w:r w:rsidRPr="0018787E">
              <w:rPr>
                <w:sz w:val="18"/>
                <w:szCs w:val="18"/>
                <w:lang w:val="en-GB"/>
              </w:rPr>
              <w:t>Regional GIS and meta-database of SCS coastal habitat information developed but not updated since 2008 due to lack of a regional mechanism for collation and exchange of data</w:t>
            </w:r>
          </w:p>
        </w:tc>
        <w:tc>
          <w:tcPr>
            <w:tcW w:w="1109" w:type="dxa"/>
          </w:tcPr>
          <w:p w14:paraId="7CF229E0" w14:textId="77777777" w:rsidR="0018787E" w:rsidRPr="0018787E" w:rsidRDefault="0018787E" w:rsidP="0018787E">
            <w:pPr>
              <w:spacing w:before="40"/>
              <w:rPr>
                <w:color w:val="FF0000"/>
                <w:sz w:val="18"/>
                <w:szCs w:val="18"/>
                <w:lang w:val="en-GB"/>
              </w:rPr>
            </w:pPr>
            <w:r w:rsidRPr="0018787E">
              <w:rPr>
                <w:sz w:val="18"/>
                <w:szCs w:val="18"/>
                <w:lang w:val="en-GB"/>
              </w:rPr>
              <w:t>Site characterisation forms revisited, revised where necessary, and national scientists engaged in the collation of regionally comparable data</w:t>
            </w:r>
          </w:p>
        </w:tc>
        <w:tc>
          <w:tcPr>
            <w:tcW w:w="1291" w:type="dxa"/>
          </w:tcPr>
          <w:p w14:paraId="713D6005" w14:textId="77777777" w:rsidR="0018787E" w:rsidRPr="0018787E" w:rsidRDefault="0018787E" w:rsidP="0018787E">
            <w:pPr>
              <w:spacing w:before="40"/>
              <w:rPr>
                <w:sz w:val="18"/>
                <w:szCs w:val="18"/>
                <w:lang w:val="en-GB"/>
              </w:rPr>
            </w:pPr>
            <w:r w:rsidRPr="0018787E">
              <w:rPr>
                <w:sz w:val="18"/>
                <w:szCs w:val="18"/>
                <w:lang w:val="en-GB"/>
              </w:rPr>
              <w:t>Mechanism for collection and exchange of regional coastal habitat information and data established</w:t>
            </w:r>
          </w:p>
        </w:tc>
        <w:tc>
          <w:tcPr>
            <w:tcW w:w="1269" w:type="dxa"/>
          </w:tcPr>
          <w:p w14:paraId="5A99A483" w14:textId="77777777" w:rsidR="0018787E" w:rsidRPr="0018787E" w:rsidRDefault="0018787E" w:rsidP="0018787E">
            <w:pPr>
              <w:spacing w:before="40"/>
              <w:rPr>
                <w:bCs/>
                <w:sz w:val="18"/>
                <w:szCs w:val="18"/>
                <w:lang w:val="en-GB"/>
              </w:rPr>
            </w:pPr>
            <w:r w:rsidRPr="0018787E">
              <w:rPr>
                <w:bCs/>
                <w:sz w:val="18"/>
                <w:szCs w:val="18"/>
                <w:lang w:val="en-GB"/>
              </w:rPr>
              <w:t>Agreed site characterisation forms for the compilation of regionally comparable coastal habitat information and data</w:t>
            </w:r>
          </w:p>
          <w:p w14:paraId="534929CE" w14:textId="77777777" w:rsidR="0018787E" w:rsidRPr="0018787E" w:rsidRDefault="0018787E" w:rsidP="0018787E">
            <w:pPr>
              <w:spacing w:before="40"/>
              <w:rPr>
                <w:bCs/>
                <w:sz w:val="18"/>
                <w:szCs w:val="18"/>
                <w:lang w:val="en-GB"/>
              </w:rPr>
            </w:pPr>
            <w:r w:rsidRPr="0018787E">
              <w:rPr>
                <w:bCs/>
                <w:sz w:val="18"/>
                <w:szCs w:val="18"/>
                <w:lang w:val="en-GB"/>
              </w:rPr>
              <w:t>GIS and meta-database online and routinely updated by SAP implementation partners</w:t>
            </w:r>
          </w:p>
        </w:tc>
        <w:tc>
          <w:tcPr>
            <w:tcW w:w="1440" w:type="dxa"/>
          </w:tcPr>
          <w:p w14:paraId="38D5931C" w14:textId="77777777" w:rsidR="0018787E" w:rsidRPr="0018787E" w:rsidRDefault="0018787E" w:rsidP="0018787E">
            <w:pPr>
              <w:rPr>
                <w:sz w:val="18"/>
                <w:szCs w:val="18"/>
                <w:lang w:val="en-GB"/>
              </w:rPr>
            </w:pPr>
            <w:r w:rsidRPr="0018787E">
              <w:rPr>
                <w:sz w:val="18"/>
                <w:szCs w:val="18"/>
                <w:lang w:val="en-GB"/>
              </w:rPr>
              <w:t>Quarterly</w:t>
            </w:r>
          </w:p>
          <w:p w14:paraId="747979C0" w14:textId="77777777" w:rsidR="0018787E" w:rsidRPr="0018787E" w:rsidRDefault="0018787E" w:rsidP="0018787E">
            <w:pPr>
              <w:rPr>
                <w:sz w:val="18"/>
                <w:szCs w:val="18"/>
                <w:lang w:val="en-GB"/>
              </w:rPr>
            </w:pPr>
          </w:p>
          <w:p w14:paraId="7340C01F" w14:textId="77777777" w:rsidR="0018787E" w:rsidRPr="0018787E" w:rsidRDefault="0018787E" w:rsidP="0018787E">
            <w:pPr>
              <w:rPr>
                <w:sz w:val="18"/>
                <w:szCs w:val="18"/>
                <w:lang w:val="en-GB"/>
              </w:rPr>
            </w:pPr>
          </w:p>
          <w:p w14:paraId="16174B64" w14:textId="77777777" w:rsidR="0018787E" w:rsidRPr="0018787E" w:rsidRDefault="0018787E" w:rsidP="0018787E">
            <w:pPr>
              <w:rPr>
                <w:sz w:val="18"/>
                <w:szCs w:val="18"/>
                <w:lang w:val="en-GB"/>
              </w:rPr>
            </w:pPr>
            <w:r w:rsidRPr="0018787E">
              <w:rPr>
                <w:sz w:val="18"/>
                <w:szCs w:val="18"/>
                <w:lang w:val="en-GB"/>
              </w:rPr>
              <w:t>Biannually</w:t>
            </w:r>
          </w:p>
          <w:p w14:paraId="16B404FC" w14:textId="77777777" w:rsidR="0018787E" w:rsidRPr="0018787E" w:rsidRDefault="0018787E" w:rsidP="0018787E">
            <w:pPr>
              <w:rPr>
                <w:sz w:val="18"/>
                <w:szCs w:val="18"/>
                <w:lang w:val="en-GB"/>
              </w:rPr>
            </w:pPr>
          </w:p>
          <w:p w14:paraId="1330003B" w14:textId="77777777" w:rsidR="0018787E" w:rsidRPr="0018787E" w:rsidRDefault="0018787E" w:rsidP="0018787E">
            <w:pPr>
              <w:rPr>
                <w:sz w:val="18"/>
                <w:szCs w:val="18"/>
                <w:lang w:val="en-GB"/>
              </w:rPr>
            </w:pPr>
          </w:p>
          <w:p w14:paraId="33859241" w14:textId="77777777" w:rsidR="0018787E" w:rsidRPr="0018787E" w:rsidRDefault="0018787E" w:rsidP="0018787E">
            <w:pPr>
              <w:rPr>
                <w:sz w:val="18"/>
                <w:szCs w:val="18"/>
                <w:lang w:val="en-GB"/>
              </w:rPr>
            </w:pPr>
          </w:p>
          <w:p w14:paraId="264891A5" w14:textId="77777777" w:rsidR="0018787E" w:rsidRPr="0018787E" w:rsidRDefault="0018787E" w:rsidP="0018787E">
            <w:pPr>
              <w:rPr>
                <w:sz w:val="18"/>
                <w:szCs w:val="18"/>
                <w:lang w:val="en-GB"/>
              </w:rPr>
            </w:pPr>
            <w:r w:rsidRPr="0018787E">
              <w:rPr>
                <w:sz w:val="18"/>
                <w:szCs w:val="18"/>
                <w:lang w:val="en-GB"/>
              </w:rPr>
              <w:t>Biannually</w:t>
            </w:r>
          </w:p>
          <w:p w14:paraId="49082C1A" w14:textId="77777777" w:rsidR="0018787E" w:rsidRPr="0018787E" w:rsidRDefault="0018787E" w:rsidP="0018787E">
            <w:pPr>
              <w:rPr>
                <w:sz w:val="18"/>
                <w:szCs w:val="18"/>
                <w:lang w:val="en-GB"/>
              </w:rPr>
            </w:pPr>
          </w:p>
          <w:p w14:paraId="5990AE05" w14:textId="77777777" w:rsidR="0018787E" w:rsidRPr="0018787E" w:rsidRDefault="0018787E" w:rsidP="0018787E">
            <w:pPr>
              <w:rPr>
                <w:sz w:val="18"/>
                <w:szCs w:val="18"/>
                <w:lang w:val="en-GB"/>
              </w:rPr>
            </w:pPr>
          </w:p>
          <w:p w14:paraId="1E70E816" w14:textId="77777777" w:rsidR="0018787E" w:rsidRPr="0018787E" w:rsidRDefault="0018787E" w:rsidP="0018787E">
            <w:pPr>
              <w:rPr>
                <w:sz w:val="18"/>
                <w:szCs w:val="18"/>
                <w:lang w:val="en-GB"/>
              </w:rPr>
            </w:pPr>
            <w:r w:rsidRPr="0018787E">
              <w:rPr>
                <w:sz w:val="18"/>
                <w:szCs w:val="18"/>
                <w:lang w:val="en-GB"/>
              </w:rPr>
              <w:t>Bianually</w:t>
            </w:r>
          </w:p>
        </w:tc>
        <w:tc>
          <w:tcPr>
            <w:tcW w:w="950" w:type="dxa"/>
          </w:tcPr>
          <w:p w14:paraId="6C84478A" w14:textId="77777777" w:rsidR="0018787E" w:rsidRPr="0018787E" w:rsidRDefault="0018787E" w:rsidP="0018787E">
            <w:pPr>
              <w:rPr>
                <w:sz w:val="18"/>
                <w:szCs w:val="18"/>
                <w:lang w:val="en-GB"/>
              </w:rPr>
            </w:pPr>
            <w:r w:rsidRPr="0018787E">
              <w:rPr>
                <w:sz w:val="18"/>
                <w:szCs w:val="18"/>
                <w:lang w:val="en-GB"/>
              </w:rPr>
              <w:t>National-level</w:t>
            </w:r>
          </w:p>
          <w:p w14:paraId="29B97823" w14:textId="77777777" w:rsidR="0018787E" w:rsidRPr="0018787E" w:rsidRDefault="0018787E" w:rsidP="0018787E">
            <w:pPr>
              <w:rPr>
                <w:sz w:val="18"/>
                <w:szCs w:val="18"/>
                <w:lang w:val="en-GB"/>
              </w:rPr>
            </w:pPr>
          </w:p>
          <w:p w14:paraId="4B42AC0F" w14:textId="77777777" w:rsidR="0018787E" w:rsidRPr="0018787E" w:rsidRDefault="0018787E" w:rsidP="0018787E">
            <w:pPr>
              <w:rPr>
                <w:sz w:val="18"/>
                <w:szCs w:val="18"/>
                <w:lang w:val="en-GB"/>
              </w:rPr>
            </w:pPr>
            <w:r w:rsidRPr="0018787E">
              <w:rPr>
                <w:sz w:val="18"/>
                <w:szCs w:val="18"/>
                <w:lang w:val="en-GB"/>
              </w:rPr>
              <w:t>National-level</w:t>
            </w:r>
          </w:p>
          <w:p w14:paraId="57CF9104" w14:textId="77777777" w:rsidR="0018787E" w:rsidRPr="0018787E" w:rsidRDefault="0018787E" w:rsidP="0018787E">
            <w:pPr>
              <w:rPr>
                <w:sz w:val="18"/>
                <w:szCs w:val="18"/>
                <w:lang w:val="en-GB"/>
              </w:rPr>
            </w:pPr>
          </w:p>
          <w:p w14:paraId="50FB30ED" w14:textId="77777777" w:rsidR="0018787E" w:rsidRPr="0018787E" w:rsidRDefault="0018787E" w:rsidP="0018787E">
            <w:pPr>
              <w:rPr>
                <w:sz w:val="18"/>
                <w:szCs w:val="18"/>
                <w:lang w:val="en-GB"/>
              </w:rPr>
            </w:pPr>
          </w:p>
          <w:p w14:paraId="4F90D235" w14:textId="77777777" w:rsidR="0018787E" w:rsidRPr="0018787E" w:rsidRDefault="0018787E" w:rsidP="0018787E">
            <w:pPr>
              <w:rPr>
                <w:sz w:val="18"/>
                <w:szCs w:val="18"/>
                <w:lang w:val="en-GB"/>
              </w:rPr>
            </w:pPr>
            <w:r w:rsidRPr="0018787E">
              <w:rPr>
                <w:sz w:val="18"/>
                <w:szCs w:val="18"/>
                <w:lang w:val="en-GB"/>
              </w:rPr>
              <w:t>Regional-level</w:t>
            </w:r>
          </w:p>
          <w:p w14:paraId="01DD1A7E" w14:textId="77777777" w:rsidR="0018787E" w:rsidRPr="0018787E" w:rsidRDefault="0018787E" w:rsidP="0018787E">
            <w:pPr>
              <w:rPr>
                <w:sz w:val="18"/>
                <w:szCs w:val="18"/>
                <w:lang w:val="en-GB"/>
              </w:rPr>
            </w:pPr>
          </w:p>
          <w:p w14:paraId="1A4E0215"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3DB29CD9"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Habitat Committees</w:t>
            </w:r>
          </w:p>
          <w:p w14:paraId="08380AAD"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68FE3A27"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7C09E9EB"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235FD0F6"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2DE0391F"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17180B95" w14:textId="77777777" w:rsidTr="0018787E">
        <w:tc>
          <w:tcPr>
            <w:tcW w:w="1319" w:type="dxa"/>
            <w:vMerge/>
          </w:tcPr>
          <w:p w14:paraId="1D53D30B" w14:textId="77777777" w:rsidR="0018787E" w:rsidRPr="0018787E" w:rsidRDefault="0018787E" w:rsidP="0018787E">
            <w:pPr>
              <w:rPr>
                <w:sz w:val="18"/>
                <w:szCs w:val="18"/>
                <w:lang w:val="en-GB"/>
              </w:rPr>
            </w:pPr>
          </w:p>
        </w:tc>
        <w:tc>
          <w:tcPr>
            <w:tcW w:w="1270" w:type="dxa"/>
          </w:tcPr>
          <w:p w14:paraId="33D42184" w14:textId="77777777" w:rsidR="0018787E" w:rsidRPr="0018787E" w:rsidRDefault="0018787E" w:rsidP="0018787E">
            <w:pPr>
              <w:spacing w:before="40"/>
              <w:rPr>
                <w:bCs/>
                <w:sz w:val="18"/>
                <w:szCs w:val="18"/>
                <w:lang w:val="en-GB"/>
              </w:rPr>
            </w:pPr>
            <w:r w:rsidRPr="0018787E">
              <w:rPr>
                <w:bCs/>
                <w:sz w:val="18"/>
                <w:szCs w:val="18"/>
                <w:lang w:val="en-GB"/>
              </w:rPr>
              <w:t>Volume of CO2 captured and stored by SCS habitats defined</w:t>
            </w:r>
          </w:p>
          <w:p w14:paraId="6C169A98" w14:textId="77777777" w:rsidR="0018787E" w:rsidRPr="0018787E" w:rsidRDefault="0018787E" w:rsidP="0018787E">
            <w:pPr>
              <w:spacing w:before="40"/>
              <w:rPr>
                <w:bCs/>
                <w:sz w:val="18"/>
                <w:szCs w:val="18"/>
                <w:lang w:val="en-GB"/>
              </w:rPr>
            </w:pPr>
          </w:p>
          <w:p w14:paraId="3A35AAA9" w14:textId="77777777" w:rsidR="0018787E" w:rsidRPr="0018787E" w:rsidRDefault="0018787E" w:rsidP="0018787E">
            <w:pPr>
              <w:spacing w:before="40"/>
              <w:rPr>
                <w:bCs/>
                <w:sz w:val="18"/>
                <w:szCs w:val="18"/>
                <w:lang w:val="en-GB"/>
              </w:rPr>
            </w:pPr>
            <w:r w:rsidRPr="0018787E">
              <w:rPr>
                <w:bCs/>
                <w:sz w:val="18"/>
                <w:szCs w:val="18"/>
                <w:lang w:val="en-GB"/>
              </w:rPr>
              <w:t>Extent of uptake of information on carbon sequestration and storage used in mgmt. planning</w:t>
            </w:r>
          </w:p>
        </w:tc>
        <w:tc>
          <w:tcPr>
            <w:tcW w:w="1270" w:type="dxa"/>
          </w:tcPr>
          <w:p w14:paraId="37E0EF89" w14:textId="77777777" w:rsidR="0018787E" w:rsidRPr="0018787E" w:rsidRDefault="0018787E" w:rsidP="0018787E">
            <w:pPr>
              <w:spacing w:before="40"/>
              <w:rPr>
                <w:sz w:val="18"/>
                <w:szCs w:val="18"/>
                <w:lang w:val="en-GB"/>
              </w:rPr>
            </w:pPr>
            <w:r w:rsidRPr="0018787E">
              <w:rPr>
                <w:sz w:val="18"/>
                <w:szCs w:val="18"/>
                <w:lang w:val="en-GB"/>
              </w:rPr>
              <w:t>Lack of SCS specific information on carbon sequestration by coastal habitats constrains resource managers in making political case for better resourcing</w:t>
            </w:r>
          </w:p>
        </w:tc>
        <w:tc>
          <w:tcPr>
            <w:tcW w:w="1109" w:type="dxa"/>
          </w:tcPr>
          <w:p w14:paraId="4B5221F3" w14:textId="77777777" w:rsidR="0018787E" w:rsidRPr="0018787E" w:rsidRDefault="0018787E" w:rsidP="0018787E">
            <w:pPr>
              <w:spacing w:before="40"/>
              <w:rPr>
                <w:sz w:val="18"/>
                <w:szCs w:val="18"/>
                <w:lang w:val="en-GB"/>
              </w:rPr>
            </w:pPr>
            <w:r w:rsidRPr="0018787E">
              <w:rPr>
                <w:sz w:val="18"/>
                <w:szCs w:val="18"/>
                <w:lang w:val="en-GB"/>
              </w:rPr>
              <w:t>Sites selected for in-situ monitoring that have minimal risks associated with: typhoon; emerging development pressures; and storm surge inundation</w:t>
            </w:r>
          </w:p>
        </w:tc>
        <w:tc>
          <w:tcPr>
            <w:tcW w:w="1291" w:type="dxa"/>
          </w:tcPr>
          <w:p w14:paraId="28ED568C" w14:textId="77777777" w:rsidR="0018787E" w:rsidRPr="0018787E" w:rsidRDefault="0018787E" w:rsidP="0018787E">
            <w:pPr>
              <w:spacing w:before="40"/>
              <w:rPr>
                <w:sz w:val="18"/>
                <w:szCs w:val="18"/>
                <w:lang w:val="en-GB"/>
              </w:rPr>
            </w:pPr>
            <w:r w:rsidRPr="0018787E">
              <w:rPr>
                <w:sz w:val="18"/>
                <w:szCs w:val="18"/>
                <w:lang w:val="en-GB"/>
              </w:rPr>
              <w:t>Role of coastal habitats of the South China Sea in the sequestration and storage of carbon quantified</w:t>
            </w:r>
          </w:p>
        </w:tc>
        <w:tc>
          <w:tcPr>
            <w:tcW w:w="1269" w:type="dxa"/>
          </w:tcPr>
          <w:p w14:paraId="341E0896" w14:textId="77777777" w:rsidR="0018787E" w:rsidRPr="0018787E" w:rsidRDefault="0018787E" w:rsidP="0018787E">
            <w:pPr>
              <w:spacing w:before="40"/>
              <w:rPr>
                <w:sz w:val="18"/>
                <w:szCs w:val="18"/>
                <w:lang w:val="en-GB"/>
              </w:rPr>
            </w:pPr>
            <w:r w:rsidRPr="0018787E">
              <w:rPr>
                <w:sz w:val="18"/>
                <w:szCs w:val="18"/>
                <w:lang w:val="en-GB"/>
              </w:rPr>
              <w:t>Published report on the capture and storage of carbon by coastal habitats, including national and regional strategic planning recommendations, shared online</w:t>
            </w:r>
          </w:p>
        </w:tc>
        <w:tc>
          <w:tcPr>
            <w:tcW w:w="1440" w:type="dxa"/>
          </w:tcPr>
          <w:p w14:paraId="7F3C2028" w14:textId="77777777" w:rsidR="0018787E" w:rsidRPr="0018787E" w:rsidRDefault="0018787E" w:rsidP="0018787E">
            <w:pPr>
              <w:rPr>
                <w:sz w:val="18"/>
                <w:szCs w:val="18"/>
                <w:lang w:val="en-GB"/>
              </w:rPr>
            </w:pPr>
            <w:r w:rsidRPr="0018787E">
              <w:rPr>
                <w:sz w:val="18"/>
                <w:szCs w:val="18"/>
                <w:lang w:val="en-GB"/>
              </w:rPr>
              <w:t>Annually</w:t>
            </w:r>
          </w:p>
          <w:p w14:paraId="40AA8B2D" w14:textId="77777777" w:rsidR="0018787E" w:rsidRPr="0018787E" w:rsidRDefault="0018787E" w:rsidP="0018787E">
            <w:pPr>
              <w:rPr>
                <w:sz w:val="18"/>
                <w:szCs w:val="18"/>
                <w:lang w:val="en-GB"/>
              </w:rPr>
            </w:pPr>
          </w:p>
          <w:p w14:paraId="69AA25DF" w14:textId="77777777" w:rsidR="0018787E" w:rsidRPr="0018787E" w:rsidRDefault="0018787E" w:rsidP="0018787E">
            <w:pPr>
              <w:rPr>
                <w:sz w:val="18"/>
                <w:szCs w:val="18"/>
                <w:lang w:val="en-GB"/>
              </w:rPr>
            </w:pPr>
          </w:p>
          <w:p w14:paraId="3F7BC4C3" w14:textId="77777777" w:rsidR="0018787E" w:rsidRPr="0018787E" w:rsidRDefault="0018787E" w:rsidP="0018787E">
            <w:pPr>
              <w:rPr>
                <w:sz w:val="18"/>
                <w:szCs w:val="18"/>
                <w:lang w:val="en-GB"/>
              </w:rPr>
            </w:pPr>
            <w:r w:rsidRPr="0018787E">
              <w:rPr>
                <w:sz w:val="18"/>
                <w:szCs w:val="18"/>
                <w:lang w:val="en-GB"/>
              </w:rPr>
              <w:t>Annually</w:t>
            </w:r>
          </w:p>
          <w:p w14:paraId="0A384423" w14:textId="77777777" w:rsidR="0018787E" w:rsidRPr="0018787E" w:rsidRDefault="0018787E" w:rsidP="0018787E">
            <w:pPr>
              <w:rPr>
                <w:sz w:val="18"/>
                <w:szCs w:val="18"/>
                <w:lang w:val="en-GB"/>
              </w:rPr>
            </w:pPr>
          </w:p>
          <w:p w14:paraId="2B9A9748" w14:textId="77777777" w:rsidR="0018787E" w:rsidRPr="0018787E" w:rsidRDefault="0018787E" w:rsidP="0018787E">
            <w:pPr>
              <w:rPr>
                <w:sz w:val="18"/>
                <w:szCs w:val="18"/>
                <w:lang w:val="en-GB"/>
              </w:rPr>
            </w:pPr>
          </w:p>
          <w:p w14:paraId="64AA7135" w14:textId="77777777" w:rsidR="0018787E" w:rsidRPr="0018787E" w:rsidRDefault="0018787E" w:rsidP="0018787E">
            <w:pPr>
              <w:rPr>
                <w:sz w:val="18"/>
                <w:szCs w:val="18"/>
                <w:lang w:val="en-GB"/>
              </w:rPr>
            </w:pPr>
          </w:p>
          <w:p w14:paraId="79C5E61A" w14:textId="77777777" w:rsidR="0018787E" w:rsidRPr="0018787E" w:rsidRDefault="0018787E" w:rsidP="0018787E">
            <w:pPr>
              <w:rPr>
                <w:sz w:val="18"/>
                <w:szCs w:val="18"/>
                <w:lang w:val="en-GB"/>
              </w:rPr>
            </w:pPr>
            <w:r w:rsidRPr="0018787E">
              <w:rPr>
                <w:sz w:val="18"/>
                <w:szCs w:val="18"/>
                <w:lang w:val="en-GB"/>
              </w:rPr>
              <w:t>Annually</w:t>
            </w:r>
          </w:p>
          <w:p w14:paraId="38196A35" w14:textId="77777777" w:rsidR="0018787E" w:rsidRPr="0018787E" w:rsidRDefault="0018787E" w:rsidP="0018787E">
            <w:pPr>
              <w:rPr>
                <w:sz w:val="18"/>
                <w:szCs w:val="18"/>
                <w:lang w:val="en-GB"/>
              </w:rPr>
            </w:pPr>
          </w:p>
          <w:p w14:paraId="420C4959" w14:textId="77777777" w:rsidR="0018787E" w:rsidRPr="0018787E" w:rsidRDefault="0018787E" w:rsidP="0018787E">
            <w:pPr>
              <w:rPr>
                <w:sz w:val="18"/>
                <w:szCs w:val="18"/>
                <w:lang w:val="en-GB"/>
              </w:rPr>
            </w:pPr>
          </w:p>
          <w:p w14:paraId="6C66A9DB"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398F1E2F" w14:textId="77777777" w:rsidR="0018787E" w:rsidRPr="0018787E" w:rsidRDefault="0018787E" w:rsidP="0018787E">
            <w:pPr>
              <w:rPr>
                <w:sz w:val="18"/>
                <w:szCs w:val="18"/>
                <w:lang w:val="en-GB"/>
              </w:rPr>
            </w:pPr>
            <w:r w:rsidRPr="0018787E">
              <w:rPr>
                <w:sz w:val="18"/>
                <w:szCs w:val="18"/>
                <w:lang w:val="en-GB"/>
              </w:rPr>
              <w:t>National-level</w:t>
            </w:r>
          </w:p>
          <w:p w14:paraId="4285D301" w14:textId="77777777" w:rsidR="0018787E" w:rsidRPr="0018787E" w:rsidRDefault="0018787E" w:rsidP="0018787E">
            <w:pPr>
              <w:rPr>
                <w:sz w:val="18"/>
                <w:szCs w:val="18"/>
                <w:lang w:val="en-GB"/>
              </w:rPr>
            </w:pPr>
          </w:p>
          <w:p w14:paraId="22FCB6B7" w14:textId="77777777" w:rsidR="0018787E" w:rsidRPr="0018787E" w:rsidRDefault="0018787E" w:rsidP="0018787E">
            <w:pPr>
              <w:rPr>
                <w:sz w:val="18"/>
                <w:szCs w:val="18"/>
                <w:lang w:val="en-GB"/>
              </w:rPr>
            </w:pPr>
            <w:r w:rsidRPr="0018787E">
              <w:rPr>
                <w:sz w:val="18"/>
                <w:szCs w:val="18"/>
                <w:lang w:val="en-GB"/>
              </w:rPr>
              <w:t>National-level</w:t>
            </w:r>
          </w:p>
          <w:p w14:paraId="53FA4CCB" w14:textId="77777777" w:rsidR="0018787E" w:rsidRPr="0018787E" w:rsidRDefault="0018787E" w:rsidP="0018787E">
            <w:pPr>
              <w:rPr>
                <w:sz w:val="18"/>
                <w:szCs w:val="18"/>
                <w:lang w:val="en-GB"/>
              </w:rPr>
            </w:pPr>
          </w:p>
          <w:p w14:paraId="4460D812" w14:textId="77777777" w:rsidR="0018787E" w:rsidRPr="0018787E" w:rsidRDefault="0018787E" w:rsidP="0018787E">
            <w:pPr>
              <w:rPr>
                <w:sz w:val="18"/>
                <w:szCs w:val="18"/>
                <w:lang w:val="en-GB"/>
              </w:rPr>
            </w:pPr>
          </w:p>
          <w:p w14:paraId="524DF996" w14:textId="77777777" w:rsidR="0018787E" w:rsidRPr="0018787E" w:rsidRDefault="0018787E" w:rsidP="0018787E">
            <w:pPr>
              <w:rPr>
                <w:sz w:val="18"/>
                <w:szCs w:val="18"/>
                <w:lang w:val="en-GB"/>
              </w:rPr>
            </w:pPr>
            <w:r w:rsidRPr="0018787E">
              <w:rPr>
                <w:sz w:val="18"/>
                <w:szCs w:val="18"/>
                <w:lang w:val="en-GB"/>
              </w:rPr>
              <w:t>Regional-level</w:t>
            </w:r>
          </w:p>
          <w:p w14:paraId="146CE189" w14:textId="77777777" w:rsidR="0018787E" w:rsidRPr="0018787E" w:rsidRDefault="0018787E" w:rsidP="0018787E">
            <w:pPr>
              <w:rPr>
                <w:sz w:val="18"/>
                <w:szCs w:val="18"/>
                <w:lang w:val="en-GB"/>
              </w:rPr>
            </w:pPr>
          </w:p>
          <w:p w14:paraId="301509C8"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3224FC4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Habitat Committees</w:t>
            </w:r>
          </w:p>
          <w:p w14:paraId="4FEFC3C1"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3C359C47"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6FB92F79"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2E5F3370"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15451A8B"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31A9ADB1" w14:textId="77777777" w:rsidTr="0018787E">
        <w:tc>
          <w:tcPr>
            <w:tcW w:w="1319" w:type="dxa"/>
            <w:vMerge/>
          </w:tcPr>
          <w:p w14:paraId="108118BE" w14:textId="77777777" w:rsidR="0018787E" w:rsidRPr="0018787E" w:rsidRDefault="0018787E" w:rsidP="0018787E">
            <w:pPr>
              <w:rPr>
                <w:sz w:val="18"/>
                <w:szCs w:val="18"/>
                <w:lang w:val="en-GB"/>
              </w:rPr>
            </w:pPr>
          </w:p>
        </w:tc>
        <w:tc>
          <w:tcPr>
            <w:tcW w:w="1270" w:type="dxa"/>
          </w:tcPr>
          <w:p w14:paraId="439EDAAF" w14:textId="77777777" w:rsidR="0018787E" w:rsidRPr="0018787E" w:rsidRDefault="0018787E" w:rsidP="0018787E">
            <w:pPr>
              <w:spacing w:before="40"/>
              <w:rPr>
                <w:bCs/>
                <w:sz w:val="18"/>
                <w:szCs w:val="18"/>
                <w:lang w:val="en-GB"/>
              </w:rPr>
            </w:pPr>
            <w:r w:rsidRPr="0018787E">
              <w:rPr>
                <w:bCs/>
                <w:sz w:val="18"/>
                <w:szCs w:val="18"/>
                <w:lang w:val="en-GB"/>
              </w:rPr>
              <w:t>Independent peer acceptance of review</w:t>
            </w:r>
          </w:p>
          <w:p w14:paraId="4038451D" w14:textId="77777777" w:rsidR="0018787E" w:rsidRPr="0018787E" w:rsidRDefault="0018787E" w:rsidP="0018787E">
            <w:pPr>
              <w:spacing w:before="40"/>
              <w:rPr>
                <w:bCs/>
                <w:sz w:val="18"/>
                <w:szCs w:val="18"/>
                <w:lang w:val="en-GB"/>
              </w:rPr>
            </w:pPr>
          </w:p>
          <w:p w14:paraId="49C045B2" w14:textId="77777777" w:rsidR="0018787E" w:rsidRPr="0018787E" w:rsidRDefault="0018787E" w:rsidP="0018787E">
            <w:pPr>
              <w:spacing w:before="40"/>
              <w:rPr>
                <w:sz w:val="18"/>
                <w:szCs w:val="18"/>
                <w:lang w:val="en-GB"/>
              </w:rPr>
            </w:pPr>
            <w:r w:rsidRPr="0018787E">
              <w:rPr>
                <w:bCs/>
                <w:sz w:val="18"/>
                <w:szCs w:val="18"/>
                <w:lang w:val="en-GB"/>
              </w:rPr>
              <w:t>Extent of uptake of review and its recommendations in updating national action plans and diagnostic analyses</w:t>
            </w:r>
          </w:p>
        </w:tc>
        <w:tc>
          <w:tcPr>
            <w:tcW w:w="1270" w:type="dxa"/>
          </w:tcPr>
          <w:p w14:paraId="703EA789" w14:textId="77777777" w:rsidR="0018787E" w:rsidRPr="0018787E" w:rsidRDefault="0018787E" w:rsidP="0018787E">
            <w:pPr>
              <w:spacing w:before="40"/>
              <w:rPr>
                <w:sz w:val="18"/>
                <w:szCs w:val="18"/>
                <w:lang w:val="en-GB"/>
              </w:rPr>
            </w:pPr>
            <w:r w:rsidRPr="0018787E">
              <w:rPr>
                <w:sz w:val="18"/>
                <w:szCs w:val="18"/>
                <w:lang w:val="en-GB"/>
              </w:rPr>
              <w:t>Sea level rise, climate variability and change, and episodic natural disasters in SC identified as threats to sustainable management of coastal habitats</w:t>
            </w:r>
          </w:p>
        </w:tc>
        <w:tc>
          <w:tcPr>
            <w:tcW w:w="1109" w:type="dxa"/>
          </w:tcPr>
          <w:p w14:paraId="2EAE25DC" w14:textId="77777777" w:rsidR="0018787E" w:rsidRPr="0018787E" w:rsidRDefault="0018787E" w:rsidP="0018787E">
            <w:pPr>
              <w:rPr>
                <w:color w:val="FF0000"/>
                <w:sz w:val="18"/>
                <w:szCs w:val="18"/>
                <w:lang w:val="en-GB"/>
              </w:rPr>
            </w:pPr>
            <w:r w:rsidRPr="0018787E">
              <w:rPr>
                <w:sz w:val="18"/>
                <w:szCs w:val="18"/>
                <w:lang w:val="en-GB"/>
              </w:rPr>
              <w:t>Appropriate breadth of expertise identified and engaged to conduct review to facilitate consensus building at both national and regional levels</w:t>
            </w:r>
          </w:p>
        </w:tc>
        <w:tc>
          <w:tcPr>
            <w:tcW w:w="1291" w:type="dxa"/>
          </w:tcPr>
          <w:p w14:paraId="69EF42C2" w14:textId="77777777" w:rsidR="0018787E" w:rsidRPr="0018787E" w:rsidRDefault="0018787E" w:rsidP="0018787E">
            <w:pPr>
              <w:spacing w:before="40"/>
              <w:rPr>
                <w:sz w:val="18"/>
                <w:szCs w:val="18"/>
                <w:lang w:val="en-GB"/>
              </w:rPr>
            </w:pPr>
            <w:r w:rsidRPr="0018787E">
              <w:rPr>
                <w:sz w:val="18"/>
                <w:szCs w:val="18"/>
                <w:lang w:val="en-GB"/>
              </w:rPr>
              <w:t>Review of the potential impacts of sea level rise, climate change, and episodic events on coastal habitats of the South China Sea</w:t>
            </w:r>
          </w:p>
        </w:tc>
        <w:tc>
          <w:tcPr>
            <w:tcW w:w="1269" w:type="dxa"/>
          </w:tcPr>
          <w:p w14:paraId="1AE10484" w14:textId="77777777" w:rsidR="0018787E" w:rsidRPr="0018787E" w:rsidRDefault="0018787E" w:rsidP="0018787E">
            <w:pPr>
              <w:spacing w:before="40"/>
              <w:rPr>
                <w:bCs/>
                <w:sz w:val="18"/>
                <w:szCs w:val="18"/>
                <w:lang w:val="en-GB"/>
              </w:rPr>
            </w:pPr>
            <w:r w:rsidRPr="0018787E">
              <w:rPr>
                <w:bCs/>
                <w:sz w:val="18"/>
                <w:szCs w:val="18"/>
                <w:lang w:val="en-GB"/>
              </w:rPr>
              <w:t>Review report published and shared regionally</w:t>
            </w:r>
          </w:p>
          <w:p w14:paraId="4576EEFB" w14:textId="77777777" w:rsidR="0018787E" w:rsidRPr="0018787E" w:rsidRDefault="0018787E" w:rsidP="0018787E">
            <w:pPr>
              <w:spacing w:before="40"/>
              <w:rPr>
                <w:sz w:val="18"/>
                <w:szCs w:val="18"/>
                <w:lang w:val="en-GB"/>
              </w:rPr>
            </w:pPr>
            <w:r w:rsidRPr="0018787E">
              <w:rPr>
                <w:bCs/>
                <w:sz w:val="18"/>
                <w:szCs w:val="18"/>
                <w:lang w:val="en-GB"/>
              </w:rPr>
              <w:t>Communications on review outcomes published by media outlets and syndicated via GEF:LME LEARN</w:t>
            </w:r>
          </w:p>
        </w:tc>
        <w:tc>
          <w:tcPr>
            <w:tcW w:w="1440" w:type="dxa"/>
          </w:tcPr>
          <w:p w14:paraId="7EBAE168" w14:textId="77777777" w:rsidR="0018787E" w:rsidRPr="0018787E" w:rsidRDefault="0018787E" w:rsidP="0018787E">
            <w:pPr>
              <w:rPr>
                <w:sz w:val="18"/>
                <w:szCs w:val="18"/>
                <w:lang w:val="en-GB"/>
              </w:rPr>
            </w:pPr>
            <w:r w:rsidRPr="0018787E">
              <w:rPr>
                <w:sz w:val="18"/>
                <w:szCs w:val="18"/>
                <w:lang w:val="en-GB"/>
              </w:rPr>
              <w:t>Annually</w:t>
            </w:r>
          </w:p>
          <w:p w14:paraId="626644E5" w14:textId="77777777" w:rsidR="0018787E" w:rsidRPr="0018787E" w:rsidRDefault="0018787E" w:rsidP="0018787E">
            <w:pPr>
              <w:rPr>
                <w:sz w:val="18"/>
                <w:szCs w:val="18"/>
                <w:lang w:val="en-GB"/>
              </w:rPr>
            </w:pPr>
          </w:p>
          <w:p w14:paraId="086DF79C" w14:textId="77777777" w:rsidR="0018787E" w:rsidRPr="0018787E" w:rsidRDefault="0018787E" w:rsidP="0018787E">
            <w:pPr>
              <w:rPr>
                <w:sz w:val="18"/>
                <w:szCs w:val="18"/>
                <w:lang w:val="en-GB"/>
              </w:rPr>
            </w:pPr>
          </w:p>
          <w:p w14:paraId="7DC0DD28" w14:textId="77777777" w:rsidR="0018787E" w:rsidRPr="0018787E" w:rsidRDefault="0018787E" w:rsidP="0018787E">
            <w:pPr>
              <w:rPr>
                <w:sz w:val="18"/>
                <w:szCs w:val="18"/>
                <w:lang w:val="en-GB"/>
              </w:rPr>
            </w:pPr>
            <w:r w:rsidRPr="0018787E">
              <w:rPr>
                <w:sz w:val="18"/>
                <w:szCs w:val="18"/>
                <w:lang w:val="en-GB"/>
              </w:rPr>
              <w:t>Annually</w:t>
            </w:r>
          </w:p>
          <w:p w14:paraId="6AF13E4A" w14:textId="77777777" w:rsidR="0018787E" w:rsidRPr="0018787E" w:rsidRDefault="0018787E" w:rsidP="0018787E">
            <w:pPr>
              <w:rPr>
                <w:sz w:val="18"/>
                <w:szCs w:val="18"/>
                <w:lang w:val="en-GB"/>
              </w:rPr>
            </w:pPr>
          </w:p>
          <w:p w14:paraId="43EF9957" w14:textId="77777777" w:rsidR="0018787E" w:rsidRPr="0018787E" w:rsidRDefault="0018787E" w:rsidP="0018787E">
            <w:pPr>
              <w:rPr>
                <w:sz w:val="18"/>
                <w:szCs w:val="18"/>
                <w:lang w:val="en-GB"/>
              </w:rPr>
            </w:pPr>
          </w:p>
          <w:p w14:paraId="59DA6D34" w14:textId="77777777" w:rsidR="0018787E" w:rsidRPr="0018787E" w:rsidRDefault="0018787E" w:rsidP="0018787E">
            <w:pPr>
              <w:rPr>
                <w:sz w:val="18"/>
                <w:szCs w:val="18"/>
                <w:lang w:val="en-GB"/>
              </w:rPr>
            </w:pPr>
          </w:p>
          <w:p w14:paraId="2B9C527D" w14:textId="77777777" w:rsidR="0018787E" w:rsidRPr="0018787E" w:rsidRDefault="0018787E" w:rsidP="0018787E">
            <w:pPr>
              <w:rPr>
                <w:sz w:val="18"/>
                <w:szCs w:val="18"/>
                <w:lang w:val="en-GB"/>
              </w:rPr>
            </w:pPr>
            <w:r w:rsidRPr="0018787E">
              <w:rPr>
                <w:sz w:val="18"/>
                <w:szCs w:val="18"/>
                <w:lang w:val="en-GB"/>
              </w:rPr>
              <w:t>Annually</w:t>
            </w:r>
          </w:p>
          <w:p w14:paraId="27153CC9" w14:textId="77777777" w:rsidR="0018787E" w:rsidRPr="0018787E" w:rsidRDefault="0018787E" w:rsidP="0018787E">
            <w:pPr>
              <w:rPr>
                <w:sz w:val="18"/>
                <w:szCs w:val="18"/>
                <w:lang w:val="en-GB"/>
              </w:rPr>
            </w:pPr>
          </w:p>
          <w:p w14:paraId="74C9A769" w14:textId="77777777" w:rsidR="0018787E" w:rsidRPr="0018787E" w:rsidRDefault="0018787E" w:rsidP="0018787E">
            <w:pPr>
              <w:rPr>
                <w:sz w:val="18"/>
                <w:szCs w:val="18"/>
                <w:lang w:val="en-GB"/>
              </w:rPr>
            </w:pPr>
          </w:p>
          <w:p w14:paraId="7728506A"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60A1FAA7" w14:textId="77777777" w:rsidR="0018787E" w:rsidRPr="0018787E" w:rsidRDefault="0018787E" w:rsidP="0018787E">
            <w:pPr>
              <w:rPr>
                <w:sz w:val="18"/>
                <w:szCs w:val="18"/>
                <w:lang w:val="en-GB"/>
              </w:rPr>
            </w:pPr>
            <w:r w:rsidRPr="0018787E">
              <w:rPr>
                <w:sz w:val="18"/>
                <w:szCs w:val="18"/>
                <w:lang w:val="en-GB"/>
              </w:rPr>
              <w:t>National-level</w:t>
            </w:r>
          </w:p>
          <w:p w14:paraId="4119B428" w14:textId="77777777" w:rsidR="0018787E" w:rsidRPr="0018787E" w:rsidRDefault="0018787E" w:rsidP="0018787E">
            <w:pPr>
              <w:rPr>
                <w:sz w:val="18"/>
                <w:szCs w:val="18"/>
                <w:lang w:val="en-GB"/>
              </w:rPr>
            </w:pPr>
          </w:p>
          <w:p w14:paraId="1221340E" w14:textId="77777777" w:rsidR="0018787E" w:rsidRPr="0018787E" w:rsidRDefault="0018787E" w:rsidP="0018787E">
            <w:pPr>
              <w:rPr>
                <w:sz w:val="18"/>
                <w:szCs w:val="18"/>
                <w:lang w:val="en-GB"/>
              </w:rPr>
            </w:pPr>
            <w:r w:rsidRPr="0018787E">
              <w:rPr>
                <w:sz w:val="18"/>
                <w:szCs w:val="18"/>
                <w:lang w:val="en-GB"/>
              </w:rPr>
              <w:t>National-level</w:t>
            </w:r>
          </w:p>
          <w:p w14:paraId="1ED6C88B" w14:textId="77777777" w:rsidR="0018787E" w:rsidRPr="0018787E" w:rsidRDefault="0018787E" w:rsidP="0018787E">
            <w:pPr>
              <w:rPr>
                <w:sz w:val="18"/>
                <w:szCs w:val="18"/>
                <w:lang w:val="en-GB"/>
              </w:rPr>
            </w:pPr>
          </w:p>
          <w:p w14:paraId="30D82C9A" w14:textId="77777777" w:rsidR="0018787E" w:rsidRPr="0018787E" w:rsidRDefault="0018787E" w:rsidP="0018787E">
            <w:pPr>
              <w:rPr>
                <w:sz w:val="18"/>
                <w:szCs w:val="18"/>
                <w:lang w:val="en-GB"/>
              </w:rPr>
            </w:pPr>
          </w:p>
          <w:p w14:paraId="7033DAF2" w14:textId="77777777" w:rsidR="0018787E" w:rsidRPr="0018787E" w:rsidRDefault="0018787E" w:rsidP="0018787E">
            <w:pPr>
              <w:rPr>
                <w:sz w:val="18"/>
                <w:szCs w:val="18"/>
                <w:lang w:val="en-GB"/>
              </w:rPr>
            </w:pPr>
            <w:r w:rsidRPr="0018787E">
              <w:rPr>
                <w:sz w:val="18"/>
                <w:szCs w:val="18"/>
                <w:lang w:val="en-GB"/>
              </w:rPr>
              <w:t>Regional-level</w:t>
            </w:r>
          </w:p>
          <w:p w14:paraId="10636F4D" w14:textId="77777777" w:rsidR="0018787E" w:rsidRPr="0018787E" w:rsidRDefault="0018787E" w:rsidP="0018787E">
            <w:pPr>
              <w:rPr>
                <w:sz w:val="18"/>
                <w:szCs w:val="18"/>
                <w:lang w:val="en-GB"/>
              </w:rPr>
            </w:pPr>
          </w:p>
          <w:p w14:paraId="51B19A57"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257ACC61"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Habitat Committees</w:t>
            </w:r>
          </w:p>
          <w:p w14:paraId="72FF77BB"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4DA1409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3E388E4B"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1AB7A31F"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11F9A7DE"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09136D35" w14:textId="77777777" w:rsidTr="0018787E">
        <w:tc>
          <w:tcPr>
            <w:tcW w:w="1319" w:type="dxa"/>
            <w:vMerge/>
          </w:tcPr>
          <w:p w14:paraId="55792210" w14:textId="77777777" w:rsidR="0018787E" w:rsidRPr="0018787E" w:rsidRDefault="0018787E" w:rsidP="0018787E">
            <w:pPr>
              <w:rPr>
                <w:sz w:val="18"/>
                <w:szCs w:val="18"/>
                <w:lang w:val="en-GB"/>
              </w:rPr>
            </w:pPr>
          </w:p>
        </w:tc>
        <w:tc>
          <w:tcPr>
            <w:tcW w:w="1270" w:type="dxa"/>
          </w:tcPr>
          <w:p w14:paraId="231C9396" w14:textId="77777777" w:rsidR="0018787E" w:rsidRPr="0018787E" w:rsidRDefault="0018787E" w:rsidP="0018787E">
            <w:pPr>
              <w:spacing w:before="40"/>
              <w:rPr>
                <w:bCs/>
                <w:sz w:val="18"/>
                <w:szCs w:val="18"/>
                <w:lang w:val="en-GB"/>
              </w:rPr>
            </w:pPr>
            <w:r w:rsidRPr="0018787E">
              <w:rPr>
                <w:bCs/>
                <w:sz w:val="18"/>
                <w:szCs w:val="18"/>
                <w:lang w:val="en-GB"/>
              </w:rPr>
              <w:t>Number of updated National Action Plans adopted</w:t>
            </w:r>
          </w:p>
          <w:p w14:paraId="1A5697D1" w14:textId="77777777" w:rsidR="0018787E" w:rsidRPr="0018787E" w:rsidRDefault="0018787E" w:rsidP="0018787E">
            <w:pPr>
              <w:spacing w:before="40"/>
              <w:rPr>
                <w:bCs/>
                <w:sz w:val="18"/>
                <w:szCs w:val="18"/>
                <w:lang w:val="en-GB"/>
              </w:rPr>
            </w:pPr>
          </w:p>
          <w:p w14:paraId="070AFADB" w14:textId="77777777" w:rsidR="0018787E" w:rsidRPr="0018787E" w:rsidRDefault="0018787E" w:rsidP="0018787E">
            <w:pPr>
              <w:spacing w:before="40"/>
              <w:rPr>
                <w:bCs/>
                <w:sz w:val="18"/>
                <w:szCs w:val="18"/>
                <w:lang w:val="en-GB"/>
              </w:rPr>
            </w:pPr>
            <w:r w:rsidRPr="0018787E">
              <w:rPr>
                <w:bCs/>
                <w:sz w:val="18"/>
                <w:szCs w:val="18"/>
                <w:lang w:val="en-GB"/>
              </w:rPr>
              <w:t>Number of laws and regulations adopted to enable action plan implementation</w:t>
            </w:r>
          </w:p>
        </w:tc>
        <w:tc>
          <w:tcPr>
            <w:tcW w:w="1270" w:type="dxa"/>
          </w:tcPr>
          <w:p w14:paraId="4B465370" w14:textId="77777777" w:rsidR="0018787E" w:rsidRPr="0018787E" w:rsidRDefault="0018787E" w:rsidP="0018787E">
            <w:pPr>
              <w:spacing w:before="40"/>
              <w:rPr>
                <w:sz w:val="18"/>
                <w:szCs w:val="18"/>
                <w:lang w:val="en-GB"/>
              </w:rPr>
            </w:pPr>
            <w:r w:rsidRPr="0018787E">
              <w:rPr>
                <w:sz w:val="18"/>
                <w:szCs w:val="18"/>
                <w:lang w:val="en-GB"/>
              </w:rPr>
              <w:t>National Action Plans for mangroves, coral reefs, seagrass and wetlands developed and implemented during period 2002-2008</w:t>
            </w:r>
          </w:p>
        </w:tc>
        <w:tc>
          <w:tcPr>
            <w:tcW w:w="1109" w:type="dxa"/>
          </w:tcPr>
          <w:p w14:paraId="63FBCC26" w14:textId="77777777" w:rsidR="0018787E" w:rsidRPr="0018787E" w:rsidRDefault="0018787E" w:rsidP="0018787E">
            <w:pPr>
              <w:rPr>
                <w:sz w:val="18"/>
                <w:szCs w:val="18"/>
                <w:lang w:val="en-GB"/>
              </w:rPr>
            </w:pPr>
            <w:r w:rsidRPr="0018787E">
              <w:rPr>
                <w:sz w:val="18"/>
                <w:szCs w:val="18"/>
                <w:lang w:val="en-GB"/>
              </w:rPr>
              <w:t>Outdated National Action Plans assessed and contemporary priority issues for management planning identified</w:t>
            </w:r>
          </w:p>
        </w:tc>
        <w:tc>
          <w:tcPr>
            <w:tcW w:w="1291" w:type="dxa"/>
          </w:tcPr>
          <w:p w14:paraId="4DD3AD30" w14:textId="77777777" w:rsidR="0018787E" w:rsidRPr="0018787E" w:rsidRDefault="0018787E" w:rsidP="0018787E">
            <w:pPr>
              <w:spacing w:before="40"/>
              <w:rPr>
                <w:sz w:val="18"/>
                <w:szCs w:val="18"/>
                <w:lang w:val="en-GB"/>
              </w:rPr>
            </w:pPr>
            <w:r w:rsidRPr="0018787E">
              <w:rPr>
                <w:sz w:val="18"/>
                <w:szCs w:val="18"/>
                <w:lang w:val="en-GB"/>
              </w:rPr>
              <w:t>Updated and adopted National Action Plans for mangroves, coral reefs, seagrass and wetlands, including enactment of supporting legislation where required</w:t>
            </w:r>
          </w:p>
        </w:tc>
        <w:tc>
          <w:tcPr>
            <w:tcW w:w="1269" w:type="dxa"/>
          </w:tcPr>
          <w:p w14:paraId="4CA7ED0B" w14:textId="77777777" w:rsidR="0018787E" w:rsidRPr="0018787E" w:rsidRDefault="0018787E" w:rsidP="0018787E">
            <w:pPr>
              <w:spacing w:before="40"/>
              <w:rPr>
                <w:sz w:val="18"/>
                <w:szCs w:val="18"/>
                <w:lang w:val="en-GB"/>
              </w:rPr>
            </w:pPr>
            <w:r w:rsidRPr="0018787E">
              <w:rPr>
                <w:sz w:val="18"/>
                <w:szCs w:val="18"/>
                <w:lang w:val="en-GB"/>
              </w:rPr>
              <w:t>Adopted National Action Plans accessible online</w:t>
            </w:r>
          </w:p>
          <w:p w14:paraId="613D9A55" w14:textId="77777777" w:rsidR="0018787E" w:rsidRPr="0018787E" w:rsidRDefault="0018787E" w:rsidP="0018787E">
            <w:pPr>
              <w:spacing w:before="40"/>
              <w:rPr>
                <w:sz w:val="18"/>
                <w:szCs w:val="18"/>
                <w:lang w:val="en-GB"/>
              </w:rPr>
            </w:pPr>
            <w:r w:rsidRPr="0018787E">
              <w:rPr>
                <w:sz w:val="18"/>
                <w:szCs w:val="18"/>
                <w:lang w:val="en-GB"/>
              </w:rPr>
              <w:t>Executive orders, provincial/ local ordinances and by-laws</w:t>
            </w:r>
          </w:p>
        </w:tc>
        <w:tc>
          <w:tcPr>
            <w:tcW w:w="1440" w:type="dxa"/>
          </w:tcPr>
          <w:p w14:paraId="135698D5" w14:textId="77777777" w:rsidR="0018787E" w:rsidRPr="0018787E" w:rsidRDefault="0018787E" w:rsidP="0018787E">
            <w:pPr>
              <w:rPr>
                <w:sz w:val="18"/>
                <w:szCs w:val="18"/>
                <w:lang w:val="en-GB"/>
              </w:rPr>
            </w:pPr>
            <w:r w:rsidRPr="0018787E">
              <w:rPr>
                <w:sz w:val="18"/>
                <w:szCs w:val="18"/>
                <w:lang w:val="en-GB"/>
              </w:rPr>
              <w:t>Quarterly</w:t>
            </w:r>
          </w:p>
          <w:p w14:paraId="7C31D0B5" w14:textId="77777777" w:rsidR="0018787E" w:rsidRPr="0018787E" w:rsidRDefault="0018787E" w:rsidP="0018787E">
            <w:pPr>
              <w:rPr>
                <w:sz w:val="18"/>
                <w:szCs w:val="18"/>
                <w:lang w:val="en-GB"/>
              </w:rPr>
            </w:pPr>
          </w:p>
          <w:p w14:paraId="1E20ABD6" w14:textId="77777777" w:rsidR="0018787E" w:rsidRPr="0018787E" w:rsidRDefault="0018787E" w:rsidP="0018787E">
            <w:pPr>
              <w:rPr>
                <w:sz w:val="18"/>
                <w:szCs w:val="18"/>
                <w:lang w:val="en-GB"/>
              </w:rPr>
            </w:pPr>
          </w:p>
          <w:p w14:paraId="666D02C9" w14:textId="77777777" w:rsidR="0018787E" w:rsidRPr="0018787E" w:rsidRDefault="0018787E" w:rsidP="0018787E">
            <w:pPr>
              <w:rPr>
                <w:sz w:val="18"/>
                <w:szCs w:val="18"/>
                <w:lang w:val="en-GB"/>
              </w:rPr>
            </w:pPr>
            <w:r w:rsidRPr="0018787E">
              <w:rPr>
                <w:sz w:val="18"/>
                <w:szCs w:val="18"/>
                <w:lang w:val="en-GB"/>
              </w:rPr>
              <w:t>Biannually</w:t>
            </w:r>
          </w:p>
          <w:p w14:paraId="7F10D53F" w14:textId="77777777" w:rsidR="0018787E" w:rsidRPr="0018787E" w:rsidRDefault="0018787E" w:rsidP="0018787E">
            <w:pPr>
              <w:rPr>
                <w:sz w:val="18"/>
                <w:szCs w:val="18"/>
                <w:lang w:val="en-GB"/>
              </w:rPr>
            </w:pPr>
          </w:p>
          <w:p w14:paraId="43D1D83C" w14:textId="77777777" w:rsidR="0018787E" w:rsidRPr="0018787E" w:rsidRDefault="0018787E" w:rsidP="0018787E">
            <w:pPr>
              <w:rPr>
                <w:sz w:val="18"/>
                <w:szCs w:val="18"/>
                <w:lang w:val="en-GB"/>
              </w:rPr>
            </w:pPr>
          </w:p>
          <w:p w14:paraId="6461437F" w14:textId="77777777" w:rsidR="0018787E" w:rsidRPr="0018787E" w:rsidRDefault="0018787E" w:rsidP="0018787E">
            <w:pPr>
              <w:rPr>
                <w:sz w:val="18"/>
                <w:szCs w:val="18"/>
                <w:lang w:val="en-GB"/>
              </w:rPr>
            </w:pPr>
          </w:p>
          <w:p w14:paraId="026746D7" w14:textId="77777777" w:rsidR="0018787E" w:rsidRPr="0018787E" w:rsidRDefault="0018787E" w:rsidP="0018787E">
            <w:pPr>
              <w:rPr>
                <w:sz w:val="18"/>
                <w:szCs w:val="18"/>
                <w:lang w:val="en-GB"/>
              </w:rPr>
            </w:pPr>
            <w:r w:rsidRPr="0018787E">
              <w:rPr>
                <w:sz w:val="18"/>
                <w:szCs w:val="18"/>
                <w:lang w:val="en-GB"/>
              </w:rPr>
              <w:t>Biannually</w:t>
            </w:r>
          </w:p>
          <w:p w14:paraId="4F156891" w14:textId="77777777" w:rsidR="0018787E" w:rsidRPr="0018787E" w:rsidRDefault="0018787E" w:rsidP="0018787E">
            <w:pPr>
              <w:rPr>
                <w:sz w:val="18"/>
                <w:szCs w:val="18"/>
                <w:lang w:val="en-GB"/>
              </w:rPr>
            </w:pPr>
          </w:p>
          <w:p w14:paraId="035960F1" w14:textId="77777777" w:rsidR="0018787E" w:rsidRPr="0018787E" w:rsidRDefault="0018787E" w:rsidP="0018787E">
            <w:pPr>
              <w:rPr>
                <w:sz w:val="18"/>
                <w:szCs w:val="18"/>
                <w:lang w:val="en-GB"/>
              </w:rPr>
            </w:pPr>
          </w:p>
          <w:p w14:paraId="16E8B500"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7874845B" w14:textId="77777777" w:rsidR="0018787E" w:rsidRPr="0018787E" w:rsidRDefault="0018787E" w:rsidP="0018787E">
            <w:pPr>
              <w:rPr>
                <w:sz w:val="18"/>
                <w:szCs w:val="18"/>
                <w:lang w:val="en-GB"/>
              </w:rPr>
            </w:pPr>
            <w:r w:rsidRPr="0018787E">
              <w:rPr>
                <w:sz w:val="18"/>
                <w:szCs w:val="18"/>
                <w:lang w:val="en-GB"/>
              </w:rPr>
              <w:t>National-level</w:t>
            </w:r>
          </w:p>
          <w:p w14:paraId="2906A294" w14:textId="77777777" w:rsidR="0018787E" w:rsidRPr="0018787E" w:rsidRDefault="0018787E" w:rsidP="0018787E">
            <w:pPr>
              <w:rPr>
                <w:sz w:val="18"/>
                <w:szCs w:val="18"/>
                <w:lang w:val="en-GB"/>
              </w:rPr>
            </w:pPr>
          </w:p>
          <w:p w14:paraId="7E97C3A1" w14:textId="77777777" w:rsidR="0018787E" w:rsidRPr="0018787E" w:rsidRDefault="0018787E" w:rsidP="0018787E">
            <w:pPr>
              <w:rPr>
                <w:sz w:val="18"/>
                <w:szCs w:val="18"/>
                <w:lang w:val="en-GB"/>
              </w:rPr>
            </w:pPr>
            <w:r w:rsidRPr="0018787E">
              <w:rPr>
                <w:sz w:val="18"/>
                <w:szCs w:val="18"/>
                <w:lang w:val="en-GB"/>
              </w:rPr>
              <w:t>National-level</w:t>
            </w:r>
          </w:p>
          <w:p w14:paraId="1F38FCB7" w14:textId="77777777" w:rsidR="0018787E" w:rsidRPr="0018787E" w:rsidRDefault="0018787E" w:rsidP="0018787E">
            <w:pPr>
              <w:rPr>
                <w:sz w:val="18"/>
                <w:szCs w:val="18"/>
                <w:lang w:val="en-GB"/>
              </w:rPr>
            </w:pPr>
          </w:p>
          <w:p w14:paraId="6843AA75" w14:textId="77777777" w:rsidR="0018787E" w:rsidRPr="0018787E" w:rsidRDefault="0018787E" w:rsidP="0018787E">
            <w:pPr>
              <w:rPr>
                <w:sz w:val="18"/>
                <w:szCs w:val="18"/>
                <w:lang w:val="en-GB"/>
              </w:rPr>
            </w:pPr>
          </w:p>
          <w:p w14:paraId="06EF2A44" w14:textId="77777777" w:rsidR="0018787E" w:rsidRPr="0018787E" w:rsidRDefault="0018787E" w:rsidP="0018787E">
            <w:pPr>
              <w:rPr>
                <w:sz w:val="18"/>
                <w:szCs w:val="18"/>
                <w:lang w:val="en-GB"/>
              </w:rPr>
            </w:pPr>
            <w:r w:rsidRPr="0018787E">
              <w:rPr>
                <w:sz w:val="18"/>
                <w:szCs w:val="18"/>
                <w:lang w:val="en-GB"/>
              </w:rPr>
              <w:t>Regional-level</w:t>
            </w:r>
          </w:p>
          <w:p w14:paraId="20352B6D" w14:textId="77777777" w:rsidR="0018787E" w:rsidRPr="0018787E" w:rsidRDefault="0018787E" w:rsidP="0018787E">
            <w:pPr>
              <w:rPr>
                <w:sz w:val="18"/>
                <w:szCs w:val="18"/>
                <w:lang w:val="en-GB"/>
              </w:rPr>
            </w:pPr>
          </w:p>
          <w:p w14:paraId="32CFBB55"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66527156"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Habitat Committees</w:t>
            </w:r>
          </w:p>
          <w:p w14:paraId="03D2D8B2"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4ACFE015"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23D4610B"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259BAD8D"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605DC9CB"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0591DA50" w14:textId="77777777" w:rsidTr="0018787E">
        <w:tc>
          <w:tcPr>
            <w:tcW w:w="1319" w:type="dxa"/>
            <w:vMerge w:val="restart"/>
            <w:vAlign w:val="center"/>
          </w:tcPr>
          <w:p w14:paraId="4951326A" w14:textId="77777777" w:rsidR="0018787E" w:rsidRPr="0018787E" w:rsidRDefault="0018787E" w:rsidP="0018787E">
            <w:pPr>
              <w:rPr>
                <w:sz w:val="18"/>
                <w:szCs w:val="18"/>
                <w:lang w:val="en-GB"/>
              </w:rPr>
            </w:pPr>
            <w:r w:rsidRPr="0018787E">
              <w:rPr>
                <w:sz w:val="18"/>
                <w:szCs w:val="18"/>
                <w:lang w:val="en-GB"/>
              </w:rPr>
              <w:t>2.2:  Effective integration of regional science in the management of land-based pollution</w:t>
            </w:r>
          </w:p>
        </w:tc>
        <w:tc>
          <w:tcPr>
            <w:tcW w:w="1270" w:type="dxa"/>
          </w:tcPr>
          <w:p w14:paraId="4B07F422" w14:textId="77777777" w:rsidR="0018787E" w:rsidRPr="0018787E" w:rsidRDefault="0018787E" w:rsidP="0018787E">
            <w:pPr>
              <w:rPr>
                <w:sz w:val="18"/>
                <w:szCs w:val="18"/>
                <w:lang w:val="en-GB" w:bidi="th-TH"/>
              </w:rPr>
            </w:pPr>
            <w:r w:rsidRPr="0018787E">
              <w:rPr>
                <w:sz w:val="18"/>
                <w:szCs w:val="18"/>
                <w:lang w:val="en-GB" w:bidi="th-TH"/>
              </w:rPr>
              <w:t>Extent of decision-maker awareness of localised v. transboundary impacts of land-based pollution in the SCS</w:t>
            </w:r>
          </w:p>
          <w:p w14:paraId="0B2D9E36" w14:textId="77777777" w:rsidR="0018787E" w:rsidRPr="0018787E" w:rsidRDefault="0018787E" w:rsidP="0018787E">
            <w:pPr>
              <w:rPr>
                <w:sz w:val="18"/>
                <w:szCs w:val="18"/>
                <w:lang w:val="en-GB" w:bidi="th-TH"/>
              </w:rPr>
            </w:pPr>
          </w:p>
          <w:p w14:paraId="701B39A2" w14:textId="77777777" w:rsidR="0018787E" w:rsidRPr="0018787E" w:rsidRDefault="0018787E" w:rsidP="0018787E">
            <w:pPr>
              <w:contextualSpacing/>
              <w:rPr>
                <w:sz w:val="18"/>
                <w:szCs w:val="18"/>
                <w:lang w:val="en-GB" w:bidi="th-TH"/>
              </w:rPr>
            </w:pPr>
            <w:r w:rsidRPr="0018787E">
              <w:rPr>
                <w:sz w:val="18"/>
                <w:szCs w:val="18"/>
                <w:lang w:val="en-GB" w:bidi="th-TH"/>
              </w:rPr>
              <w:t>Extent of use of model outputs in revising the Strategic Action Programme for the SCS</w:t>
            </w:r>
          </w:p>
        </w:tc>
        <w:tc>
          <w:tcPr>
            <w:tcW w:w="1270" w:type="dxa"/>
          </w:tcPr>
          <w:p w14:paraId="5F7EE8A5" w14:textId="77777777" w:rsidR="0018787E" w:rsidRPr="0018787E" w:rsidRDefault="0018787E" w:rsidP="0018787E">
            <w:pPr>
              <w:spacing w:before="40"/>
              <w:rPr>
                <w:sz w:val="18"/>
                <w:szCs w:val="18"/>
                <w:lang w:val="en-GB"/>
              </w:rPr>
            </w:pPr>
            <w:r w:rsidRPr="0018787E">
              <w:rPr>
                <w:sz w:val="18"/>
                <w:szCs w:val="18"/>
                <w:lang w:val="en-GB"/>
              </w:rPr>
              <w:t>Carrying capacity of the SCS open shelf system based on its natural capacity to assimilate contaminants, in particular nutrient inputs from land, has been modelled although findings not well known by decision-makers</w:t>
            </w:r>
          </w:p>
        </w:tc>
        <w:tc>
          <w:tcPr>
            <w:tcW w:w="1109" w:type="dxa"/>
          </w:tcPr>
          <w:p w14:paraId="22AFF841" w14:textId="77777777" w:rsidR="0018787E" w:rsidRPr="0018787E" w:rsidRDefault="0018787E" w:rsidP="0018787E">
            <w:pPr>
              <w:rPr>
                <w:sz w:val="18"/>
                <w:szCs w:val="18"/>
                <w:lang w:val="en-GB"/>
              </w:rPr>
            </w:pPr>
            <w:r w:rsidRPr="0018787E">
              <w:rPr>
                <w:sz w:val="18"/>
                <w:szCs w:val="18"/>
                <w:lang w:val="en-GB"/>
              </w:rPr>
              <w:t>Communication strategy development and under implementation, including online dissemination of user-friendly scientific communications</w:t>
            </w:r>
          </w:p>
        </w:tc>
        <w:tc>
          <w:tcPr>
            <w:tcW w:w="1291" w:type="dxa"/>
          </w:tcPr>
          <w:p w14:paraId="53D3A82F" w14:textId="77777777" w:rsidR="0018787E" w:rsidRPr="0018787E" w:rsidRDefault="0018787E" w:rsidP="0018787E">
            <w:pPr>
              <w:spacing w:before="40"/>
              <w:rPr>
                <w:sz w:val="18"/>
                <w:szCs w:val="18"/>
                <w:lang w:val="en-GB"/>
              </w:rPr>
            </w:pPr>
            <w:r w:rsidRPr="0018787E">
              <w:rPr>
                <w:sz w:val="18"/>
                <w:szCs w:val="18"/>
                <w:lang w:val="en-GB"/>
              </w:rPr>
              <w:t>Nutrient carrying capacity model for the SCS marine basin used to communicate with decision-makers about the localized v. transboundary impacts of land-based pollution in the SCS</w:t>
            </w:r>
          </w:p>
        </w:tc>
        <w:tc>
          <w:tcPr>
            <w:tcW w:w="1269" w:type="dxa"/>
          </w:tcPr>
          <w:p w14:paraId="79E7F35B" w14:textId="77777777" w:rsidR="0018787E" w:rsidRPr="0018787E" w:rsidRDefault="0018787E" w:rsidP="0018787E">
            <w:pPr>
              <w:spacing w:before="40"/>
              <w:rPr>
                <w:bCs/>
                <w:sz w:val="18"/>
                <w:szCs w:val="18"/>
                <w:lang w:val="en-GB"/>
              </w:rPr>
            </w:pPr>
            <w:r w:rsidRPr="0018787E">
              <w:rPr>
                <w:bCs/>
                <w:sz w:val="18"/>
                <w:szCs w:val="18"/>
                <w:lang w:val="en-GB"/>
              </w:rPr>
              <w:t>Nutrient carrying capacity accessible online</w:t>
            </w:r>
          </w:p>
          <w:p w14:paraId="526FD38F" w14:textId="77777777" w:rsidR="0018787E" w:rsidRPr="0018787E" w:rsidRDefault="0018787E" w:rsidP="0018787E">
            <w:pPr>
              <w:spacing w:before="40"/>
              <w:rPr>
                <w:bCs/>
                <w:sz w:val="18"/>
                <w:szCs w:val="18"/>
                <w:lang w:val="en-GB"/>
              </w:rPr>
            </w:pPr>
            <w:r w:rsidRPr="0018787E">
              <w:rPr>
                <w:bCs/>
                <w:sz w:val="18"/>
                <w:szCs w:val="18"/>
                <w:lang w:val="en-GB"/>
              </w:rPr>
              <w:t>Communications products available for regional and global sharing</w:t>
            </w:r>
          </w:p>
          <w:p w14:paraId="2713E533" w14:textId="77777777" w:rsidR="0018787E" w:rsidRPr="0018787E" w:rsidRDefault="0018787E" w:rsidP="0018787E">
            <w:pPr>
              <w:spacing w:before="40"/>
              <w:rPr>
                <w:bCs/>
                <w:sz w:val="18"/>
                <w:szCs w:val="18"/>
                <w:lang w:val="en-GB"/>
              </w:rPr>
            </w:pPr>
            <w:r w:rsidRPr="0018787E">
              <w:rPr>
                <w:bCs/>
                <w:sz w:val="18"/>
                <w:szCs w:val="18"/>
                <w:lang w:val="en-GB"/>
              </w:rPr>
              <w:t>1 * IW Experience Note</w:t>
            </w:r>
          </w:p>
        </w:tc>
        <w:tc>
          <w:tcPr>
            <w:tcW w:w="1440" w:type="dxa"/>
          </w:tcPr>
          <w:p w14:paraId="414C9D9C" w14:textId="77777777" w:rsidR="0018787E" w:rsidRPr="0018787E" w:rsidRDefault="0018787E" w:rsidP="0018787E">
            <w:pPr>
              <w:rPr>
                <w:sz w:val="18"/>
                <w:szCs w:val="18"/>
                <w:lang w:val="en-GB"/>
              </w:rPr>
            </w:pPr>
            <w:r w:rsidRPr="0018787E">
              <w:rPr>
                <w:sz w:val="18"/>
                <w:szCs w:val="18"/>
                <w:lang w:val="en-GB"/>
              </w:rPr>
              <w:t>Quarterly</w:t>
            </w:r>
          </w:p>
          <w:p w14:paraId="33473979" w14:textId="77777777" w:rsidR="0018787E" w:rsidRPr="0018787E" w:rsidRDefault="0018787E" w:rsidP="0018787E">
            <w:pPr>
              <w:rPr>
                <w:sz w:val="18"/>
                <w:szCs w:val="18"/>
                <w:lang w:val="en-GB"/>
              </w:rPr>
            </w:pPr>
          </w:p>
          <w:p w14:paraId="4E749B97" w14:textId="77777777" w:rsidR="0018787E" w:rsidRPr="0018787E" w:rsidRDefault="0018787E" w:rsidP="0018787E">
            <w:pPr>
              <w:rPr>
                <w:sz w:val="18"/>
                <w:szCs w:val="18"/>
                <w:lang w:val="en-GB"/>
              </w:rPr>
            </w:pPr>
          </w:p>
          <w:p w14:paraId="6A81D861" w14:textId="77777777" w:rsidR="0018787E" w:rsidRPr="0018787E" w:rsidRDefault="0018787E" w:rsidP="0018787E">
            <w:pPr>
              <w:rPr>
                <w:sz w:val="18"/>
                <w:szCs w:val="18"/>
                <w:lang w:val="en-GB"/>
              </w:rPr>
            </w:pPr>
            <w:r w:rsidRPr="0018787E">
              <w:rPr>
                <w:sz w:val="18"/>
                <w:szCs w:val="18"/>
                <w:lang w:val="en-GB"/>
              </w:rPr>
              <w:t>Biannually</w:t>
            </w:r>
          </w:p>
          <w:p w14:paraId="1256E9FE" w14:textId="77777777" w:rsidR="0018787E" w:rsidRPr="0018787E" w:rsidRDefault="0018787E" w:rsidP="0018787E">
            <w:pPr>
              <w:rPr>
                <w:sz w:val="18"/>
                <w:szCs w:val="18"/>
                <w:lang w:val="en-GB"/>
              </w:rPr>
            </w:pPr>
          </w:p>
          <w:p w14:paraId="2B5B6634" w14:textId="77777777" w:rsidR="0018787E" w:rsidRPr="0018787E" w:rsidRDefault="0018787E" w:rsidP="0018787E">
            <w:pPr>
              <w:rPr>
                <w:sz w:val="18"/>
                <w:szCs w:val="18"/>
                <w:lang w:val="en-GB"/>
              </w:rPr>
            </w:pPr>
          </w:p>
          <w:p w14:paraId="6C6CA3D1" w14:textId="77777777" w:rsidR="0018787E" w:rsidRPr="0018787E" w:rsidRDefault="0018787E" w:rsidP="0018787E">
            <w:pPr>
              <w:rPr>
                <w:sz w:val="18"/>
                <w:szCs w:val="18"/>
                <w:lang w:val="en-GB"/>
              </w:rPr>
            </w:pPr>
          </w:p>
          <w:p w14:paraId="1ED57B58" w14:textId="77777777" w:rsidR="0018787E" w:rsidRPr="0018787E" w:rsidRDefault="0018787E" w:rsidP="0018787E">
            <w:pPr>
              <w:rPr>
                <w:sz w:val="18"/>
                <w:szCs w:val="18"/>
                <w:lang w:val="en-GB"/>
              </w:rPr>
            </w:pPr>
          </w:p>
          <w:p w14:paraId="7EE9A087" w14:textId="77777777" w:rsidR="0018787E" w:rsidRPr="0018787E" w:rsidRDefault="0018787E" w:rsidP="0018787E">
            <w:pPr>
              <w:rPr>
                <w:sz w:val="18"/>
                <w:szCs w:val="18"/>
                <w:lang w:val="en-GB"/>
              </w:rPr>
            </w:pPr>
            <w:r w:rsidRPr="0018787E">
              <w:rPr>
                <w:sz w:val="18"/>
                <w:szCs w:val="18"/>
                <w:lang w:val="en-GB"/>
              </w:rPr>
              <w:t>Biannually</w:t>
            </w:r>
          </w:p>
          <w:p w14:paraId="63C058C5" w14:textId="77777777" w:rsidR="0018787E" w:rsidRPr="0018787E" w:rsidRDefault="0018787E" w:rsidP="0018787E">
            <w:pPr>
              <w:rPr>
                <w:sz w:val="18"/>
                <w:szCs w:val="18"/>
                <w:lang w:val="en-GB"/>
              </w:rPr>
            </w:pPr>
          </w:p>
          <w:p w14:paraId="651A75F9" w14:textId="77777777" w:rsidR="0018787E" w:rsidRPr="0018787E" w:rsidRDefault="0018787E" w:rsidP="0018787E">
            <w:pPr>
              <w:rPr>
                <w:sz w:val="18"/>
                <w:szCs w:val="18"/>
                <w:lang w:val="en-GB"/>
              </w:rPr>
            </w:pPr>
          </w:p>
          <w:p w14:paraId="432CCDB0"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28DBB8EC" w14:textId="77777777" w:rsidR="0018787E" w:rsidRPr="0018787E" w:rsidRDefault="0018787E" w:rsidP="0018787E">
            <w:pPr>
              <w:rPr>
                <w:sz w:val="18"/>
                <w:szCs w:val="18"/>
                <w:lang w:val="en-GB"/>
              </w:rPr>
            </w:pPr>
            <w:r w:rsidRPr="0018787E">
              <w:rPr>
                <w:sz w:val="18"/>
                <w:szCs w:val="18"/>
                <w:lang w:val="en-GB"/>
              </w:rPr>
              <w:t>National-level</w:t>
            </w:r>
          </w:p>
          <w:p w14:paraId="1052035D" w14:textId="77777777" w:rsidR="0018787E" w:rsidRPr="0018787E" w:rsidRDefault="0018787E" w:rsidP="0018787E">
            <w:pPr>
              <w:rPr>
                <w:sz w:val="18"/>
                <w:szCs w:val="18"/>
                <w:lang w:val="en-GB"/>
              </w:rPr>
            </w:pPr>
          </w:p>
          <w:p w14:paraId="3557C128" w14:textId="77777777" w:rsidR="0018787E" w:rsidRPr="0018787E" w:rsidRDefault="0018787E" w:rsidP="0018787E">
            <w:pPr>
              <w:rPr>
                <w:sz w:val="18"/>
                <w:szCs w:val="18"/>
                <w:lang w:val="en-GB"/>
              </w:rPr>
            </w:pPr>
          </w:p>
          <w:p w14:paraId="0299E21E" w14:textId="77777777" w:rsidR="0018787E" w:rsidRPr="0018787E" w:rsidRDefault="0018787E" w:rsidP="0018787E">
            <w:pPr>
              <w:rPr>
                <w:sz w:val="18"/>
                <w:szCs w:val="18"/>
                <w:lang w:val="en-GB"/>
              </w:rPr>
            </w:pPr>
            <w:r w:rsidRPr="0018787E">
              <w:rPr>
                <w:sz w:val="18"/>
                <w:szCs w:val="18"/>
                <w:lang w:val="en-GB"/>
              </w:rPr>
              <w:t>National-level</w:t>
            </w:r>
          </w:p>
          <w:p w14:paraId="6484506B" w14:textId="77777777" w:rsidR="0018787E" w:rsidRPr="0018787E" w:rsidRDefault="0018787E" w:rsidP="0018787E">
            <w:pPr>
              <w:rPr>
                <w:sz w:val="18"/>
                <w:szCs w:val="18"/>
                <w:lang w:val="en-GB"/>
              </w:rPr>
            </w:pPr>
          </w:p>
          <w:p w14:paraId="430E0991" w14:textId="77777777" w:rsidR="0018787E" w:rsidRPr="0018787E" w:rsidRDefault="0018787E" w:rsidP="0018787E">
            <w:pPr>
              <w:rPr>
                <w:sz w:val="18"/>
                <w:szCs w:val="18"/>
                <w:lang w:val="en-GB"/>
              </w:rPr>
            </w:pPr>
          </w:p>
          <w:p w14:paraId="0C91D15A" w14:textId="77777777" w:rsidR="0018787E" w:rsidRPr="0018787E" w:rsidRDefault="0018787E" w:rsidP="0018787E">
            <w:pPr>
              <w:rPr>
                <w:sz w:val="18"/>
                <w:szCs w:val="18"/>
                <w:lang w:val="en-GB"/>
              </w:rPr>
            </w:pPr>
            <w:r w:rsidRPr="0018787E">
              <w:rPr>
                <w:sz w:val="18"/>
                <w:szCs w:val="18"/>
                <w:lang w:val="en-GB"/>
              </w:rPr>
              <w:t>Regional-level</w:t>
            </w:r>
          </w:p>
          <w:p w14:paraId="51191CB9" w14:textId="77777777" w:rsidR="0018787E" w:rsidRPr="0018787E" w:rsidRDefault="0018787E" w:rsidP="0018787E">
            <w:pPr>
              <w:rPr>
                <w:sz w:val="18"/>
                <w:szCs w:val="18"/>
                <w:lang w:val="en-GB"/>
              </w:rPr>
            </w:pPr>
          </w:p>
          <w:p w14:paraId="4B6FB36F"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17437514"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Land-based Pollution committees</w:t>
            </w:r>
          </w:p>
          <w:p w14:paraId="11EF4C3F"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244CC768"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308AB54D"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545A209D"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20A2187B"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2A00C3CA" w14:textId="77777777" w:rsidTr="0018787E">
        <w:tc>
          <w:tcPr>
            <w:tcW w:w="1319" w:type="dxa"/>
            <w:vMerge/>
          </w:tcPr>
          <w:p w14:paraId="4770E84F" w14:textId="77777777" w:rsidR="0018787E" w:rsidRPr="0018787E" w:rsidRDefault="0018787E" w:rsidP="0018787E">
            <w:pPr>
              <w:rPr>
                <w:sz w:val="18"/>
                <w:szCs w:val="18"/>
                <w:lang w:val="en-GB"/>
              </w:rPr>
            </w:pPr>
          </w:p>
        </w:tc>
        <w:tc>
          <w:tcPr>
            <w:tcW w:w="1270" w:type="dxa"/>
          </w:tcPr>
          <w:p w14:paraId="518CEFD9" w14:textId="77777777" w:rsidR="0018787E" w:rsidRPr="0018787E" w:rsidRDefault="0018787E" w:rsidP="0018787E">
            <w:pPr>
              <w:spacing w:before="40"/>
              <w:rPr>
                <w:bCs/>
                <w:sz w:val="18"/>
                <w:szCs w:val="18"/>
                <w:lang w:val="en-GB"/>
              </w:rPr>
            </w:pPr>
            <w:r w:rsidRPr="0018787E">
              <w:rPr>
                <w:bCs/>
                <w:sz w:val="18"/>
                <w:szCs w:val="18"/>
                <w:lang w:val="en-GB"/>
              </w:rPr>
              <w:t>Extent of decision-maker awareness of SCS open shelf carrying capacity for heavy metal contaminants</w:t>
            </w:r>
          </w:p>
          <w:p w14:paraId="26DA26CF" w14:textId="77777777" w:rsidR="0018787E" w:rsidRPr="0018787E" w:rsidRDefault="0018787E" w:rsidP="0018787E">
            <w:pPr>
              <w:spacing w:before="40"/>
              <w:rPr>
                <w:bCs/>
                <w:sz w:val="18"/>
                <w:szCs w:val="18"/>
                <w:lang w:val="en-GB"/>
              </w:rPr>
            </w:pPr>
          </w:p>
          <w:p w14:paraId="1A0F97E9" w14:textId="77777777" w:rsidR="0018787E" w:rsidRPr="0018787E" w:rsidRDefault="0018787E" w:rsidP="0018787E">
            <w:pPr>
              <w:spacing w:before="40"/>
              <w:rPr>
                <w:bCs/>
                <w:sz w:val="18"/>
                <w:szCs w:val="18"/>
                <w:lang w:val="en-GB"/>
              </w:rPr>
            </w:pPr>
            <w:r w:rsidRPr="0018787E">
              <w:rPr>
                <w:bCs/>
                <w:sz w:val="18"/>
                <w:szCs w:val="18"/>
                <w:lang w:val="en-GB"/>
              </w:rPr>
              <w:t>Extent of use of model outputs in revising the Strategic Action Programme for the SCS</w:t>
            </w:r>
          </w:p>
        </w:tc>
        <w:tc>
          <w:tcPr>
            <w:tcW w:w="1270" w:type="dxa"/>
          </w:tcPr>
          <w:p w14:paraId="63438EC6" w14:textId="77777777" w:rsidR="0018787E" w:rsidRPr="0018787E" w:rsidRDefault="0018787E" w:rsidP="0018787E">
            <w:pPr>
              <w:spacing w:before="40"/>
              <w:rPr>
                <w:sz w:val="18"/>
                <w:szCs w:val="18"/>
                <w:lang w:val="en-GB"/>
              </w:rPr>
            </w:pPr>
            <w:r w:rsidRPr="0018787E">
              <w:rPr>
                <w:sz w:val="18"/>
                <w:szCs w:val="18"/>
                <w:lang w:val="en-GB"/>
              </w:rPr>
              <w:t>Need for simple model of pollution impacts under different development scenarios, specifically as they relate to heavy metal contaminant loadings</w:t>
            </w:r>
          </w:p>
        </w:tc>
        <w:tc>
          <w:tcPr>
            <w:tcW w:w="1109" w:type="dxa"/>
          </w:tcPr>
          <w:p w14:paraId="31C9268F" w14:textId="77777777" w:rsidR="0018787E" w:rsidRPr="0018787E" w:rsidRDefault="0018787E" w:rsidP="0018787E">
            <w:pPr>
              <w:rPr>
                <w:sz w:val="18"/>
                <w:szCs w:val="18"/>
                <w:lang w:val="en-GB"/>
              </w:rPr>
            </w:pPr>
            <w:r w:rsidRPr="0018787E">
              <w:rPr>
                <w:sz w:val="18"/>
                <w:szCs w:val="18"/>
                <w:lang w:val="en-GB"/>
              </w:rPr>
              <w:t>Model parameters defined, tested, and that data and information from heavy metal hotspots are being collated to support running the model under various loading scenarios</w:t>
            </w:r>
          </w:p>
        </w:tc>
        <w:tc>
          <w:tcPr>
            <w:tcW w:w="1291" w:type="dxa"/>
          </w:tcPr>
          <w:p w14:paraId="0CD9139E" w14:textId="77777777" w:rsidR="0018787E" w:rsidRPr="0018787E" w:rsidRDefault="0018787E" w:rsidP="0018787E">
            <w:pPr>
              <w:spacing w:before="40"/>
              <w:rPr>
                <w:sz w:val="18"/>
                <w:szCs w:val="18"/>
                <w:lang w:val="en-GB"/>
              </w:rPr>
            </w:pPr>
            <w:r w:rsidRPr="0018787E">
              <w:rPr>
                <w:sz w:val="18"/>
                <w:szCs w:val="18"/>
                <w:lang w:val="en-GB"/>
              </w:rPr>
              <w:t>Management approaches (integrated, community-based, multiple use) improved at 82 coral reef sites</w:t>
            </w:r>
          </w:p>
        </w:tc>
        <w:tc>
          <w:tcPr>
            <w:tcW w:w="1269" w:type="dxa"/>
          </w:tcPr>
          <w:p w14:paraId="7ED25BCD" w14:textId="77777777" w:rsidR="0018787E" w:rsidRPr="0018787E" w:rsidRDefault="0018787E" w:rsidP="0018787E">
            <w:pPr>
              <w:spacing w:before="40"/>
              <w:rPr>
                <w:bCs/>
                <w:sz w:val="18"/>
                <w:szCs w:val="18"/>
                <w:lang w:val="en-GB"/>
              </w:rPr>
            </w:pPr>
            <w:r w:rsidRPr="0018787E">
              <w:rPr>
                <w:bCs/>
                <w:sz w:val="18"/>
                <w:szCs w:val="18"/>
                <w:lang w:val="en-GB"/>
              </w:rPr>
              <w:t>GIS-based model of SCS carrying capacity for heavy metal contamination developed &amp; online</w:t>
            </w:r>
          </w:p>
          <w:p w14:paraId="6718CBA5" w14:textId="77777777" w:rsidR="0018787E" w:rsidRPr="0018787E" w:rsidRDefault="0018787E" w:rsidP="0018787E">
            <w:pPr>
              <w:spacing w:before="40"/>
              <w:rPr>
                <w:bCs/>
                <w:sz w:val="18"/>
                <w:szCs w:val="18"/>
                <w:lang w:val="en-GB"/>
              </w:rPr>
            </w:pPr>
            <w:r w:rsidRPr="0018787E">
              <w:rPr>
                <w:bCs/>
                <w:sz w:val="18"/>
                <w:szCs w:val="18"/>
                <w:lang w:val="en-GB"/>
              </w:rPr>
              <w:t>Communications products available for regional and global sharing</w:t>
            </w:r>
          </w:p>
          <w:p w14:paraId="3D4962AA" w14:textId="77777777" w:rsidR="0018787E" w:rsidRPr="0018787E" w:rsidRDefault="0018787E" w:rsidP="0018787E">
            <w:pPr>
              <w:spacing w:before="40"/>
              <w:rPr>
                <w:bCs/>
                <w:sz w:val="18"/>
                <w:szCs w:val="18"/>
                <w:lang w:val="en-GB"/>
              </w:rPr>
            </w:pPr>
            <w:r w:rsidRPr="0018787E">
              <w:rPr>
                <w:bCs/>
                <w:sz w:val="18"/>
                <w:szCs w:val="18"/>
                <w:lang w:val="en-GB"/>
              </w:rPr>
              <w:t>1 * IW Experience Note</w:t>
            </w:r>
          </w:p>
        </w:tc>
        <w:tc>
          <w:tcPr>
            <w:tcW w:w="1440" w:type="dxa"/>
          </w:tcPr>
          <w:p w14:paraId="435AF8E9" w14:textId="77777777" w:rsidR="0018787E" w:rsidRPr="0018787E" w:rsidRDefault="0018787E" w:rsidP="0018787E">
            <w:pPr>
              <w:rPr>
                <w:sz w:val="18"/>
                <w:szCs w:val="18"/>
                <w:lang w:val="en-GB"/>
              </w:rPr>
            </w:pPr>
            <w:r w:rsidRPr="0018787E">
              <w:rPr>
                <w:sz w:val="18"/>
                <w:szCs w:val="18"/>
                <w:lang w:val="en-GB"/>
              </w:rPr>
              <w:t>Quarterly</w:t>
            </w:r>
          </w:p>
          <w:p w14:paraId="140BE4BB" w14:textId="77777777" w:rsidR="0018787E" w:rsidRPr="0018787E" w:rsidRDefault="0018787E" w:rsidP="0018787E">
            <w:pPr>
              <w:rPr>
                <w:sz w:val="18"/>
                <w:szCs w:val="18"/>
                <w:lang w:val="en-GB"/>
              </w:rPr>
            </w:pPr>
          </w:p>
          <w:p w14:paraId="2752847F" w14:textId="77777777" w:rsidR="0018787E" w:rsidRPr="0018787E" w:rsidRDefault="0018787E" w:rsidP="0018787E">
            <w:pPr>
              <w:rPr>
                <w:sz w:val="18"/>
                <w:szCs w:val="18"/>
                <w:lang w:val="en-GB"/>
              </w:rPr>
            </w:pPr>
          </w:p>
          <w:p w14:paraId="23B1B635" w14:textId="77777777" w:rsidR="0018787E" w:rsidRPr="0018787E" w:rsidRDefault="0018787E" w:rsidP="0018787E">
            <w:pPr>
              <w:rPr>
                <w:sz w:val="18"/>
                <w:szCs w:val="18"/>
                <w:lang w:val="en-GB"/>
              </w:rPr>
            </w:pPr>
          </w:p>
          <w:p w14:paraId="73A7E053" w14:textId="77777777" w:rsidR="0018787E" w:rsidRPr="0018787E" w:rsidRDefault="0018787E" w:rsidP="0018787E">
            <w:pPr>
              <w:rPr>
                <w:sz w:val="18"/>
                <w:szCs w:val="18"/>
                <w:lang w:val="en-GB"/>
              </w:rPr>
            </w:pPr>
            <w:r w:rsidRPr="0018787E">
              <w:rPr>
                <w:sz w:val="18"/>
                <w:szCs w:val="18"/>
                <w:lang w:val="en-GB"/>
              </w:rPr>
              <w:t>Biannually</w:t>
            </w:r>
          </w:p>
          <w:p w14:paraId="0A55BE86" w14:textId="77777777" w:rsidR="0018787E" w:rsidRPr="0018787E" w:rsidRDefault="0018787E" w:rsidP="0018787E">
            <w:pPr>
              <w:rPr>
                <w:sz w:val="18"/>
                <w:szCs w:val="18"/>
                <w:lang w:val="en-GB"/>
              </w:rPr>
            </w:pPr>
          </w:p>
          <w:p w14:paraId="167AE396" w14:textId="77777777" w:rsidR="0018787E" w:rsidRPr="0018787E" w:rsidRDefault="0018787E" w:rsidP="0018787E">
            <w:pPr>
              <w:rPr>
                <w:sz w:val="18"/>
                <w:szCs w:val="18"/>
                <w:lang w:val="en-GB"/>
              </w:rPr>
            </w:pPr>
          </w:p>
          <w:p w14:paraId="0379C138" w14:textId="77777777" w:rsidR="0018787E" w:rsidRPr="0018787E" w:rsidRDefault="0018787E" w:rsidP="0018787E">
            <w:pPr>
              <w:rPr>
                <w:sz w:val="18"/>
                <w:szCs w:val="18"/>
                <w:lang w:val="en-GB"/>
              </w:rPr>
            </w:pPr>
          </w:p>
          <w:p w14:paraId="70F63F02" w14:textId="77777777" w:rsidR="0018787E" w:rsidRPr="0018787E" w:rsidRDefault="0018787E" w:rsidP="0018787E">
            <w:pPr>
              <w:rPr>
                <w:sz w:val="18"/>
                <w:szCs w:val="18"/>
                <w:lang w:val="en-GB"/>
              </w:rPr>
            </w:pPr>
            <w:r w:rsidRPr="0018787E">
              <w:rPr>
                <w:sz w:val="18"/>
                <w:szCs w:val="18"/>
                <w:lang w:val="en-GB"/>
              </w:rPr>
              <w:t>Biannually</w:t>
            </w:r>
          </w:p>
          <w:p w14:paraId="31DC1C60" w14:textId="77777777" w:rsidR="0018787E" w:rsidRPr="0018787E" w:rsidRDefault="0018787E" w:rsidP="0018787E">
            <w:pPr>
              <w:rPr>
                <w:sz w:val="18"/>
                <w:szCs w:val="18"/>
                <w:lang w:val="en-GB"/>
              </w:rPr>
            </w:pPr>
          </w:p>
          <w:p w14:paraId="64395109" w14:textId="77777777" w:rsidR="0018787E" w:rsidRPr="0018787E" w:rsidRDefault="0018787E" w:rsidP="0018787E">
            <w:pPr>
              <w:rPr>
                <w:sz w:val="18"/>
                <w:szCs w:val="18"/>
                <w:lang w:val="en-GB"/>
              </w:rPr>
            </w:pPr>
          </w:p>
          <w:p w14:paraId="05E6AF06"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7DD52A1B" w14:textId="77777777" w:rsidR="0018787E" w:rsidRPr="0018787E" w:rsidRDefault="0018787E" w:rsidP="0018787E">
            <w:pPr>
              <w:rPr>
                <w:sz w:val="18"/>
                <w:szCs w:val="18"/>
                <w:lang w:val="en-GB"/>
              </w:rPr>
            </w:pPr>
            <w:r w:rsidRPr="0018787E">
              <w:rPr>
                <w:sz w:val="18"/>
                <w:szCs w:val="18"/>
                <w:lang w:val="en-GB"/>
              </w:rPr>
              <w:t>National-level</w:t>
            </w:r>
          </w:p>
          <w:p w14:paraId="75BD3F19" w14:textId="77777777" w:rsidR="0018787E" w:rsidRPr="0018787E" w:rsidRDefault="0018787E" w:rsidP="0018787E">
            <w:pPr>
              <w:rPr>
                <w:sz w:val="18"/>
                <w:szCs w:val="18"/>
                <w:lang w:val="en-GB"/>
              </w:rPr>
            </w:pPr>
          </w:p>
          <w:p w14:paraId="782A947F" w14:textId="77777777" w:rsidR="0018787E" w:rsidRPr="0018787E" w:rsidRDefault="0018787E" w:rsidP="0018787E">
            <w:pPr>
              <w:rPr>
                <w:sz w:val="18"/>
                <w:szCs w:val="18"/>
                <w:lang w:val="en-GB"/>
              </w:rPr>
            </w:pPr>
          </w:p>
          <w:p w14:paraId="148FB411" w14:textId="77777777" w:rsidR="0018787E" w:rsidRPr="0018787E" w:rsidRDefault="0018787E" w:rsidP="0018787E">
            <w:pPr>
              <w:rPr>
                <w:sz w:val="18"/>
                <w:szCs w:val="18"/>
                <w:lang w:val="en-GB"/>
              </w:rPr>
            </w:pPr>
            <w:r w:rsidRPr="0018787E">
              <w:rPr>
                <w:sz w:val="18"/>
                <w:szCs w:val="18"/>
                <w:lang w:val="en-GB"/>
              </w:rPr>
              <w:t>National-level</w:t>
            </w:r>
          </w:p>
          <w:p w14:paraId="67FBA140" w14:textId="77777777" w:rsidR="0018787E" w:rsidRPr="0018787E" w:rsidRDefault="0018787E" w:rsidP="0018787E">
            <w:pPr>
              <w:rPr>
                <w:sz w:val="18"/>
                <w:szCs w:val="18"/>
                <w:lang w:val="en-GB"/>
              </w:rPr>
            </w:pPr>
          </w:p>
          <w:p w14:paraId="3B66137B" w14:textId="77777777" w:rsidR="0018787E" w:rsidRPr="0018787E" w:rsidRDefault="0018787E" w:rsidP="0018787E">
            <w:pPr>
              <w:rPr>
                <w:sz w:val="18"/>
                <w:szCs w:val="18"/>
                <w:lang w:val="en-GB"/>
              </w:rPr>
            </w:pPr>
          </w:p>
          <w:p w14:paraId="5606197E" w14:textId="77777777" w:rsidR="0018787E" w:rsidRPr="0018787E" w:rsidRDefault="0018787E" w:rsidP="0018787E">
            <w:pPr>
              <w:rPr>
                <w:sz w:val="18"/>
                <w:szCs w:val="18"/>
                <w:lang w:val="en-GB"/>
              </w:rPr>
            </w:pPr>
            <w:r w:rsidRPr="0018787E">
              <w:rPr>
                <w:sz w:val="18"/>
                <w:szCs w:val="18"/>
                <w:lang w:val="en-GB"/>
              </w:rPr>
              <w:t>Regional-level</w:t>
            </w:r>
          </w:p>
          <w:p w14:paraId="430CDF60" w14:textId="77777777" w:rsidR="0018787E" w:rsidRPr="0018787E" w:rsidRDefault="0018787E" w:rsidP="0018787E">
            <w:pPr>
              <w:rPr>
                <w:sz w:val="18"/>
                <w:szCs w:val="18"/>
                <w:lang w:val="en-GB"/>
              </w:rPr>
            </w:pPr>
          </w:p>
          <w:p w14:paraId="5FE22F3A"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033ABD9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Land-based Pollution committees</w:t>
            </w:r>
          </w:p>
          <w:p w14:paraId="7F88AE9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399F8592"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37D3F600"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59912E2C"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31A53576"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2AE9CB1B" w14:textId="77777777" w:rsidTr="0018787E">
        <w:tc>
          <w:tcPr>
            <w:tcW w:w="1319" w:type="dxa"/>
            <w:vMerge/>
          </w:tcPr>
          <w:p w14:paraId="7A63E0A4" w14:textId="77777777" w:rsidR="0018787E" w:rsidRPr="0018787E" w:rsidRDefault="0018787E" w:rsidP="0018787E">
            <w:pPr>
              <w:rPr>
                <w:sz w:val="18"/>
                <w:szCs w:val="18"/>
                <w:lang w:val="en-GB"/>
              </w:rPr>
            </w:pPr>
          </w:p>
        </w:tc>
        <w:tc>
          <w:tcPr>
            <w:tcW w:w="1270" w:type="dxa"/>
          </w:tcPr>
          <w:p w14:paraId="64ADDF9F" w14:textId="77777777" w:rsidR="0018787E" w:rsidRPr="0018787E" w:rsidRDefault="0018787E" w:rsidP="0018787E">
            <w:pPr>
              <w:spacing w:before="40"/>
              <w:rPr>
                <w:bCs/>
                <w:sz w:val="18"/>
                <w:szCs w:val="18"/>
                <w:lang w:val="en-GB"/>
              </w:rPr>
            </w:pPr>
            <w:r w:rsidRPr="0018787E">
              <w:rPr>
                <w:bCs/>
                <w:sz w:val="18"/>
                <w:szCs w:val="18"/>
                <w:lang w:val="en-GB"/>
              </w:rPr>
              <w:t>Status of initiative to quantify heavy metal contaminant impacts on: (a) water quality;</w:t>
            </w:r>
          </w:p>
          <w:p w14:paraId="7D68D443" w14:textId="77777777" w:rsidR="0018787E" w:rsidRPr="0018787E" w:rsidRDefault="0018787E" w:rsidP="0018787E">
            <w:pPr>
              <w:spacing w:before="40"/>
              <w:rPr>
                <w:bCs/>
                <w:sz w:val="18"/>
                <w:szCs w:val="18"/>
                <w:lang w:val="en-GB"/>
              </w:rPr>
            </w:pPr>
            <w:r w:rsidRPr="0018787E">
              <w:rPr>
                <w:bCs/>
                <w:sz w:val="18"/>
                <w:szCs w:val="18"/>
                <w:lang w:val="en-GB"/>
              </w:rPr>
              <w:t>(b) reproductive</w:t>
            </w:r>
          </w:p>
          <w:p w14:paraId="39A4180F" w14:textId="77777777" w:rsidR="0018787E" w:rsidRPr="0018787E" w:rsidRDefault="0018787E" w:rsidP="0018787E">
            <w:pPr>
              <w:spacing w:before="40"/>
              <w:rPr>
                <w:bCs/>
                <w:sz w:val="18"/>
                <w:szCs w:val="18"/>
                <w:lang w:val="en-GB"/>
              </w:rPr>
            </w:pPr>
            <w:r w:rsidRPr="0018787E">
              <w:rPr>
                <w:bCs/>
                <w:sz w:val="18"/>
                <w:szCs w:val="18"/>
                <w:lang w:val="en-GB"/>
              </w:rPr>
              <w:t>capacity of living resources; (c) contamination of</w:t>
            </w:r>
          </w:p>
          <w:p w14:paraId="673BCBE4" w14:textId="77777777" w:rsidR="0018787E" w:rsidRPr="0018787E" w:rsidRDefault="0018787E" w:rsidP="0018787E">
            <w:pPr>
              <w:spacing w:before="40"/>
              <w:rPr>
                <w:bCs/>
                <w:sz w:val="18"/>
                <w:szCs w:val="18"/>
                <w:lang w:val="en-GB"/>
              </w:rPr>
            </w:pPr>
            <w:r w:rsidRPr="0018787E">
              <w:rPr>
                <w:bCs/>
                <w:sz w:val="18"/>
                <w:szCs w:val="18"/>
                <w:lang w:val="en-GB"/>
              </w:rPr>
              <w:t>human food</w:t>
            </w:r>
          </w:p>
          <w:p w14:paraId="7C09DEDD" w14:textId="77777777" w:rsidR="0018787E" w:rsidRPr="0018787E" w:rsidRDefault="0018787E" w:rsidP="0018787E">
            <w:pPr>
              <w:spacing w:before="40"/>
              <w:rPr>
                <w:bCs/>
                <w:sz w:val="18"/>
                <w:szCs w:val="18"/>
                <w:lang w:val="en-GB"/>
              </w:rPr>
            </w:pPr>
            <w:r w:rsidRPr="0018787E">
              <w:rPr>
                <w:bCs/>
                <w:sz w:val="18"/>
                <w:szCs w:val="18"/>
                <w:lang w:val="en-GB"/>
              </w:rPr>
              <w:t>sources; and (d) bio-accumulation.</w:t>
            </w:r>
          </w:p>
        </w:tc>
        <w:tc>
          <w:tcPr>
            <w:tcW w:w="1270" w:type="dxa"/>
          </w:tcPr>
          <w:p w14:paraId="21B7B9DA" w14:textId="77777777" w:rsidR="0018787E" w:rsidRPr="0018787E" w:rsidRDefault="0018787E" w:rsidP="0018787E">
            <w:pPr>
              <w:spacing w:before="40"/>
              <w:rPr>
                <w:sz w:val="18"/>
                <w:szCs w:val="18"/>
                <w:lang w:val="en-GB"/>
              </w:rPr>
            </w:pPr>
            <w:r w:rsidRPr="0018787E">
              <w:rPr>
                <w:sz w:val="18"/>
                <w:szCs w:val="18"/>
                <w:lang w:val="en-GB"/>
              </w:rPr>
              <w:t>Framework procedures for estimating the impacts of heavy metal contamination in SCS have been developed although not yet applied</w:t>
            </w:r>
          </w:p>
        </w:tc>
        <w:tc>
          <w:tcPr>
            <w:tcW w:w="1109" w:type="dxa"/>
          </w:tcPr>
          <w:p w14:paraId="20619386" w14:textId="77777777" w:rsidR="0018787E" w:rsidRPr="0018787E" w:rsidRDefault="0018787E" w:rsidP="0018787E">
            <w:pPr>
              <w:rPr>
                <w:sz w:val="18"/>
                <w:szCs w:val="18"/>
                <w:lang w:val="en-GB"/>
              </w:rPr>
            </w:pPr>
            <w:r w:rsidRPr="0018787E">
              <w:rPr>
                <w:sz w:val="18"/>
                <w:szCs w:val="18"/>
                <w:lang w:val="en-GB"/>
              </w:rPr>
              <w:t>Approach for the characterisation of heavy metal pollution hotspots agreed and templates being used nationally to compile regionally comparable information and data</w:t>
            </w:r>
          </w:p>
        </w:tc>
        <w:tc>
          <w:tcPr>
            <w:tcW w:w="1291" w:type="dxa"/>
          </w:tcPr>
          <w:p w14:paraId="5A653F6A" w14:textId="77777777" w:rsidR="0018787E" w:rsidRPr="0018787E" w:rsidRDefault="0018787E" w:rsidP="0018787E">
            <w:pPr>
              <w:spacing w:before="40"/>
              <w:rPr>
                <w:sz w:val="18"/>
                <w:szCs w:val="18"/>
                <w:lang w:val="en-GB"/>
              </w:rPr>
            </w:pPr>
            <w:r w:rsidRPr="0018787E">
              <w:rPr>
                <w:sz w:val="18"/>
                <w:szCs w:val="18"/>
                <w:lang w:val="en-GB"/>
              </w:rPr>
              <w:t>Impacts of estimated heavy metal contaminant loadings defined, quantified and communicated to decision-makers</w:t>
            </w:r>
          </w:p>
        </w:tc>
        <w:tc>
          <w:tcPr>
            <w:tcW w:w="1269" w:type="dxa"/>
          </w:tcPr>
          <w:p w14:paraId="793EA723" w14:textId="77777777" w:rsidR="0018787E" w:rsidRPr="0018787E" w:rsidRDefault="0018787E" w:rsidP="0018787E">
            <w:pPr>
              <w:spacing w:before="40"/>
              <w:rPr>
                <w:bCs/>
                <w:sz w:val="18"/>
                <w:szCs w:val="18"/>
                <w:lang w:val="en-GB"/>
              </w:rPr>
            </w:pPr>
            <w:r w:rsidRPr="0018787E">
              <w:rPr>
                <w:bCs/>
                <w:sz w:val="18"/>
                <w:szCs w:val="18"/>
                <w:lang w:val="en-GB"/>
              </w:rPr>
              <w:t>Published report shared nationally and regionally, including national language translation where appropriate</w:t>
            </w:r>
          </w:p>
        </w:tc>
        <w:tc>
          <w:tcPr>
            <w:tcW w:w="1440" w:type="dxa"/>
          </w:tcPr>
          <w:p w14:paraId="739EDD8D" w14:textId="77777777" w:rsidR="0018787E" w:rsidRPr="0018787E" w:rsidRDefault="0018787E" w:rsidP="0018787E">
            <w:pPr>
              <w:rPr>
                <w:sz w:val="18"/>
                <w:szCs w:val="18"/>
                <w:lang w:val="en-GB"/>
              </w:rPr>
            </w:pPr>
            <w:r w:rsidRPr="0018787E">
              <w:rPr>
                <w:sz w:val="18"/>
                <w:szCs w:val="18"/>
                <w:lang w:val="en-GB"/>
              </w:rPr>
              <w:t>Quarterly</w:t>
            </w:r>
          </w:p>
          <w:p w14:paraId="30A66388" w14:textId="77777777" w:rsidR="0018787E" w:rsidRPr="0018787E" w:rsidRDefault="0018787E" w:rsidP="0018787E">
            <w:pPr>
              <w:rPr>
                <w:sz w:val="18"/>
                <w:szCs w:val="18"/>
                <w:lang w:val="en-GB"/>
              </w:rPr>
            </w:pPr>
          </w:p>
          <w:p w14:paraId="7A45353D" w14:textId="77777777" w:rsidR="0018787E" w:rsidRPr="0018787E" w:rsidRDefault="0018787E" w:rsidP="0018787E">
            <w:pPr>
              <w:rPr>
                <w:sz w:val="18"/>
                <w:szCs w:val="18"/>
                <w:lang w:val="en-GB"/>
              </w:rPr>
            </w:pPr>
          </w:p>
          <w:p w14:paraId="4C186763" w14:textId="77777777" w:rsidR="0018787E" w:rsidRPr="0018787E" w:rsidRDefault="0018787E" w:rsidP="0018787E">
            <w:pPr>
              <w:rPr>
                <w:sz w:val="18"/>
                <w:szCs w:val="18"/>
                <w:lang w:val="en-GB"/>
              </w:rPr>
            </w:pPr>
          </w:p>
          <w:p w14:paraId="5F430F1D" w14:textId="77777777" w:rsidR="0018787E" w:rsidRPr="0018787E" w:rsidRDefault="0018787E" w:rsidP="0018787E">
            <w:pPr>
              <w:rPr>
                <w:sz w:val="18"/>
                <w:szCs w:val="18"/>
                <w:lang w:val="en-GB"/>
              </w:rPr>
            </w:pPr>
            <w:r w:rsidRPr="0018787E">
              <w:rPr>
                <w:sz w:val="18"/>
                <w:szCs w:val="18"/>
                <w:lang w:val="en-GB"/>
              </w:rPr>
              <w:t>Biannually</w:t>
            </w:r>
          </w:p>
          <w:p w14:paraId="2AA7B6AF" w14:textId="77777777" w:rsidR="0018787E" w:rsidRPr="0018787E" w:rsidRDefault="0018787E" w:rsidP="0018787E">
            <w:pPr>
              <w:rPr>
                <w:sz w:val="18"/>
                <w:szCs w:val="18"/>
                <w:lang w:val="en-GB"/>
              </w:rPr>
            </w:pPr>
          </w:p>
          <w:p w14:paraId="7F1827AB" w14:textId="77777777" w:rsidR="0018787E" w:rsidRPr="0018787E" w:rsidRDefault="0018787E" w:rsidP="0018787E">
            <w:pPr>
              <w:rPr>
                <w:sz w:val="18"/>
                <w:szCs w:val="18"/>
                <w:lang w:val="en-GB"/>
              </w:rPr>
            </w:pPr>
          </w:p>
          <w:p w14:paraId="5CB6D1FE" w14:textId="77777777" w:rsidR="0018787E" w:rsidRPr="0018787E" w:rsidRDefault="0018787E" w:rsidP="0018787E">
            <w:pPr>
              <w:rPr>
                <w:sz w:val="18"/>
                <w:szCs w:val="18"/>
                <w:lang w:val="en-GB"/>
              </w:rPr>
            </w:pPr>
          </w:p>
          <w:p w14:paraId="6CA2D550" w14:textId="77777777" w:rsidR="0018787E" w:rsidRPr="0018787E" w:rsidRDefault="0018787E" w:rsidP="0018787E">
            <w:pPr>
              <w:rPr>
                <w:sz w:val="18"/>
                <w:szCs w:val="18"/>
                <w:lang w:val="en-GB"/>
              </w:rPr>
            </w:pPr>
            <w:r w:rsidRPr="0018787E">
              <w:rPr>
                <w:sz w:val="18"/>
                <w:szCs w:val="18"/>
                <w:lang w:val="en-GB"/>
              </w:rPr>
              <w:t>Biannually</w:t>
            </w:r>
          </w:p>
          <w:p w14:paraId="3DDE4850" w14:textId="77777777" w:rsidR="0018787E" w:rsidRPr="0018787E" w:rsidRDefault="0018787E" w:rsidP="0018787E">
            <w:pPr>
              <w:rPr>
                <w:sz w:val="18"/>
                <w:szCs w:val="18"/>
                <w:lang w:val="en-GB"/>
              </w:rPr>
            </w:pPr>
          </w:p>
          <w:p w14:paraId="1388EE6C" w14:textId="77777777" w:rsidR="0018787E" w:rsidRPr="0018787E" w:rsidRDefault="0018787E" w:rsidP="0018787E">
            <w:pPr>
              <w:rPr>
                <w:sz w:val="18"/>
                <w:szCs w:val="18"/>
                <w:lang w:val="en-GB"/>
              </w:rPr>
            </w:pPr>
          </w:p>
          <w:p w14:paraId="072F520C"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3D6B3B4D" w14:textId="77777777" w:rsidR="0018787E" w:rsidRPr="0018787E" w:rsidRDefault="0018787E" w:rsidP="0018787E">
            <w:pPr>
              <w:rPr>
                <w:sz w:val="18"/>
                <w:szCs w:val="18"/>
                <w:lang w:val="en-GB"/>
              </w:rPr>
            </w:pPr>
            <w:r w:rsidRPr="0018787E">
              <w:rPr>
                <w:sz w:val="18"/>
                <w:szCs w:val="18"/>
                <w:lang w:val="en-GB"/>
              </w:rPr>
              <w:t>National-level</w:t>
            </w:r>
          </w:p>
          <w:p w14:paraId="55CEC181" w14:textId="77777777" w:rsidR="0018787E" w:rsidRPr="0018787E" w:rsidRDefault="0018787E" w:rsidP="0018787E">
            <w:pPr>
              <w:rPr>
                <w:sz w:val="18"/>
                <w:szCs w:val="18"/>
                <w:lang w:val="en-GB"/>
              </w:rPr>
            </w:pPr>
          </w:p>
          <w:p w14:paraId="77E2451B" w14:textId="77777777" w:rsidR="0018787E" w:rsidRPr="0018787E" w:rsidRDefault="0018787E" w:rsidP="0018787E">
            <w:pPr>
              <w:rPr>
                <w:sz w:val="18"/>
                <w:szCs w:val="18"/>
                <w:lang w:val="en-GB"/>
              </w:rPr>
            </w:pPr>
          </w:p>
          <w:p w14:paraId="3E821572" w14:textId="77777777" w:rsidR="0018787E" w:rsidRPr="0018787E" w:rsidRDefault="0018787E" w:rsidP="0018787E">
            <w:pPr>
              <w:rPr>
                <w:sz w:val="18"/>
                <w:szCs w:val="18"/>
                <w:lang w:val="en-GB"/>
              </w:rPr>
            </w:pPr>
            <w:r w:rsidRPr="0018787E">
              <w:rPr>
                <w:sz w:val="18"/>
                <w:szCs w:val="18"/>
                <w:lang w:val="en-GB"/>
              </w:rPr>
              <w:t>National-level</w:t>
            </w:r>
          </w:p>
          <w:p w14:paraId="1F7D7AFA" w14:textId="77777777" w:rsidR="0018787E" w:rsidRPr="0018787E" w:rsidRDefault="0018787E" w:rsidP="0018787E">
            <w:pPr>
              <w:rPr>
                <w:sz w:val="18"/>
                <w:szCs w:val="18"/>
                <w:lang w:val="en-GB"/>
              </w:rPr>
            </w:pPr>
          </w:p>
          <w:p w14:paraId="2BE38404" w14:textId="77777777" w:rsidR="0018787E" w:rsidRPr="0018787E" w:rsidRDefault="0018787E" w:rsidP="0018787E">
            <w:pPr>
              <w:rPr>
                <w:sz w:val="18"/>
                <w:szCs w:val="18"/>
                <w:lang w:val="en-GB"/>
              </w:rPr>
            </w:pPr>
          </w:p>
          <w:p w14:paraId="524C53F6" w14:textId="77777777" w:rsidR="0018787E" w:rsidRPr="0018787E" w:rsidRDefault="0018787E" w:rsidP="0018787E">
            <w:pPr>
              <w:rPr>
                <w:sz w:val="18"/>
                <w:szCs w:val="18"/>
                <w:lang w:val="en-GB"/>
              </w:rPr>
            </w:pPr>
            <w:r w:rsidRPr="0018787E">
              <w:rPr>
                <w:sz w:val="18"/>
                <w:szCs w:val="18"/>
                <w:lang w:val="en-GB"/>
              </w:rPr>
              <w:t>Regional-level</w:t>
            </w:r>
          </w:p>
          <w:p w14:paraId="553DDB48" w14:textId="77777777" w:rsidR="0018787E" w:rsidRPr="0018787E" w:rsidRDefault="0018787E" w:rsidP="0018787E">
            <w:pPr>
              <w:rPr>
                <w:sz w:val="18"/>
                <w:szCs w:val="18"/>
                <w:lang w:val="en-GB"/>
              </w:rPr>
            </w:pPr>
          </w:p>
          <w:p w14:paraId="41124DF8"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764603C0"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Land-based Pollution committees</w:t>
            </w:r>
          </w:p>
          <w:p w14:paraId="770AC2B9"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72DD3BA6"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2C4646AB"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1F11CF3C"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094804B8"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7792FD4A" w14:textId="77777777" w:rsidTr="0018787E">
        <w:tc>
          <w:tcPr>
            <w:tcW w:w="1319" w:type="dxa"/>
            <w:vMerge/>
          </w:tcPr>
          <w:p w14:paraId="6621907D" w14:textId="77777777" w:rsidR="0018787E" w:rsidRPr="0018787E" w:rsidRDefault="0018787E" w:rsidP="0018787E">
            <w:pPr>
              <w:rPr>
                <w:sz w:val="18"/>
                <w:szCs w:val="18"/>
                <w:lang w:val="en-GB"/>
              </w:rPr>
            </w:pPr>
          </w:p>
        </w:tc>
        <w:tc>
          <w:tcPr>
            <w:tcW w:w="1270" w:type="dxa"/>
          </w:tcPr>
          <w:p w14:paraId="30B108C4" w14:textId="77777777" w:rsidR="0018787E" w:rsidRPr="0018787E" w:rsidRDefault="0018787E" w:rsidP="0018787E">
            <w:pPr>
              <w:spacing w:before="40"/>
              <w:rPr>
                <w:bCs/>
                <w:sz w:val="18"/>
                <w:szCs w:val="18"/>
                <w:lang w:val="en-GB"/>
              </w:rPr>
            </w:pPr>
            <w:r w:rsidRPr="0018787E">
              <w:rPr>
                <w:bCs/>
                <w:sz w:val="18"/>
                <w:szCs w:val="18"/>
                <w:lang w:val="en-GB"/>
              </w:rPr>
              <w:t>Number of heavy metal pollution hotspots characterised</w:t>
            </w:r>
          </w:p>
        </w:tc>
        <w:tc>
          <w:tcPr>
            <w:tcW w:w="1270" w:type="dxa"/>
          </w:tcPr>
          <w:p w14:paraId="12AA1CA0" w14:textId="77777777" w:rsidR="0018787E" w:rsidRPr="0018787E" w:rsidRDefault="0018787E" w:rsidP="0018787E">
            <w:pPr>
              <w:spacing w:before="40"/>
              <w:rPr>
                <w:sz w:val="18"/>
                <w:szCs w:val="18"/>
                <w:lang w:val="en-GB"/>
              </w:rPr>
            </w:pPr>
            <w:r w:rsidRPr="0018787E">
              <w:rPr>
                <w:sz w:val="18"/>
                <w:szCs w:val="18"/>
                <w:lang w:val="en-GB"/>
              </w:rPr>
              <w:t>Lack of regionally comparable information and data on heavy metal contaminated hotspots</w:t>
            </w:r>
          </w:p>
        </w:tc>
        <w:tc>
          <w:tcPr>
            <w:tcW w:w="1109" w:type="dxa"/>
          </w:tcPr>
          <w:p w14:paraId="2318DC4D" w14:textId="77777777" w:rsidR="0018787E" w:rsidRPr="0018787E" w:rsidRDefault="0018787E" w:rsidP="0018787E">
            <w:pPr>
              <w:rPr>
                <w:sz w:val="18"/>
                <w:szCs w:val="18"/>
                <w:lang w:val="en-GB"/>
              </w:rPr>
            </w:pPr>
            <w:r w:rsidRPr="0018787E">
              <w:rPr>
                <w:sz w:val="18"/>
                <w:szCs w:val="18"/>
                <w:lang w:val="en-GB"/>
              </w:rPr>
              <w:t>Hotspot site characterisation templates agreed and national staff trained in their use</w:t>
            </w:r>
          </w:p>
        </w:tc>
        <w:tc>
          <w:tcPr>
            <w:tcW w:w="1291" w:type="dxa"/>
          </w:tcPr>
          <w:p w14:paraId="0BC835F7" w14:textId="77777777" w:rsidR="0018787E" w:rsidRPr="0018787E" w:rsidRDefault="0018787E" w:rsidP="0018787E">
            <w:pPr>
              <w:spacing w:before="40"/>
              <w:rPr>
                <w:sz w:val="18"/>
                <w:szCs w:val="18"/>
                <w:lang w:val="en-GB"/>
              </w:rPr>
            </w:pPr>
            <w:r w:rsidRPr="0018787E">
              <w:rPr>
                <w:sz w:val="18"/>
                <w:szCs w:val="18"/>
                <w:lang w:val="en-GB"/>
              </w:rPr>
              <w:t>Characterization of heavy metal pollution hotspots</w:t>
            </w:r>
          </w:p>
        </w:tc>
        <w:tc>
          <w:tcPr>
            <w:tcW w:w="1269" w:type="dxa"/>
          </w:tcPr>
          <w:p w14:paraId="1ACAFCDB" w14:textId="77777777" w:rsidR="0018787E" w:rsidRPr="0018787E" w:rsidRDefault="0018787E" w:rsidP="0018787E">
            <w:pPr>
              <w:spacing w:before="40"/>
              <w:rPr>
                <w:bCs/>
                <w:sz w:val="18"/>
                <w:szCs w:val="18"/>
                <w:lang w:val="en-GB"/>
              </w:rPr>
            </w:pPr>
            <w:r w:rsidRPr="0018787E">
              <w:rPr>
                <w:bCs/>
                <w:sz w:val="18"/>
                <w:szCs w:val="18"/>
                <w:lang w:val="en-GB"/>
              </w:rPr>
              <w:t>Pollution hotspot site characterisation templates developed</w:t>
            </w:r>
          </w:p>
          <w:p w14:paraId="785312E8" w14:textId="77777777" w:rsidR="0018787E" w:rsidRPr="0018787E" w:rsidRDefault="0018787E" w:rsidP="0018787E">
            <w:pPr>
              <w:spacing w:before="40"/>
              <w:rPr>
                <w:bCs/>
                <w:sz w:val="18"/>
                <w:szCs w:val="18"/>
                <w:lang w:val="en-GB"/>
              </w:rPr>
            </w:pPr>
            <w:r w:rsidRPr="0018787E">
              <w:rPr>
                <w:bCs/>
                <w:sz w:val="18"/>
                <w:szCs w:val="18"/>
                <w:lang w:val="en-GB"/>
              </w:rPr>
              <w:t>Hotspot information accessible online</w:t>
            </w:r>
          </w:p>
        </w:tc>
        <w:tc>
          <w:tcPr>
            <w:tcW w:w="1440" w:type="dxa"/>
          </w:tcPr>
          <w:p w14:paraId="260934B6" w14:textId="77777777" w:rsidR="0018787E" w:rsidRPr="0018787E" w:rsidRDefault="0018787E" w:rsidP="0018787E">
            <w:pPr>
              <w:rPr>
                <w:sz w:val="18"/>
                <w:szCs w:val="18"/>
                <w:lang w:val="en-GB"/>
              </w:rPr>
            </w:pPr>
            <w:r w:rsidRPr="0018787E">
              <w:rPr>
                <w:sz w:val="18"/>
                <w:szCs w:val="18"/>
                <w:lang w:val="en-GB"/>
              </w:rPr>
              <w:t>Quarterly</w:t>
            </w:r>
          </w:p>
          <w:p w14:paraId="4A37E948" w14:textId="77777777" w:rsidR="0018787E" w:rsidRPr="0018787E" w:rsidRDefault="0018787E" w:rsidP="0018787E">
            <w:pPr>
              <w:rPr>
                <w:sz w:val="18"/>
                <w:szCs w:val="18"/>
                <w:lang w:val="en-GB"/>
              </w:rPr>
            </w:pPr>
          </w:p>
          <w:p w14:paraId="5DFD4DB7" w14:textId="77777777" w:rsidR="0018787E" w:rsidRPr="0018787E" w:rsidRDefault="0018787E" w:rsidP="0018787E">
            <w:pPr>
              <w:rPr>
                <w:sz w:val="18"/>
                <w:szCs w:val="18"/>
                <w:lang w:val="en-GB"/>
              </w:rPr>
            </w:pPr>
          </w:p>
          <w:p w14:paraId="599B4829" w14:textId="77777777" w:rsidR="0018787E" w:rsidRPr="0018787E" w:rsidRDefault="0018787E" w:rsidP="0018787E">
            <w:pPr>
              <w:rPr>
                <w:sz w:val="18"/>
                <w:szCs w:val="18"/>
                <w:lang w:val="en-GB"/>
              </w:rPr>
            </w:pPr>
          </w:p>
          <w:p w14:paraId="352C2F34" w14:textId="77777777" w:rsidR="0018787E" w:rsidRPr="0018787E" w:rsidRDefault="0018787E" w:rsidP="0018787E">
            <w:pPr>
              <w:rPr>
                <w:sz w:val="18"/>
                <w:szCs w:val="18"/>
                <w:lang w:val="en-GB"/>
              </w:rPr>
            </w:pPr>
            <w:r w:rsidRPr="0018787E">
              <w:rPr>
                <w:sz w:val="18"/>
                <w:szCs w:val="18"/>
                <w:lang w:val="en-GB"/>
              </w:rPr>
              <w:t>Biannually</w:t>
            </w:r>
          </w:p>
          <w:p w14:paraId="7B1B9D5A" w14:textId="77777777" w:rsidR="0018787E" w:rsidRPr="0018787E" w:rsidRDefault="0018787E" w:rsidP="0018787E">
            <w:pPr>
              <w:rPr>
                <w:sz w:val="18"/>
                <w:szCs w:val="18"/>
                <w:lang w:val="en-GB"/>
              </w:rPr>
            </w:pPr>
          </w:p>
          <w:p w14:paraId="6D708020" w14:textId="77777777" w:rsidR="0018787E" w:rsidRPr="0018787E" w:rsidRDefault="0018787E" w:rsidP="0018787E">
            <w:pPr>
              <w:rPr>
                <w:sz w:val="18"/>
                <w:szCs w:val="18"/>
                <w:lang w:val="en-GB"/>
              </w:rPr>
            </w:pPr>
          </w:p>
          <w:p w14:paraId="0FF04456" w14:textId="77777777" w:rsidR="0018787E" w:rsidRPr="0018787E" w:rsidRDefault="0018787E" w:rsidP="0018787E">
            <w:pPr>
              <w:rPr>
                <w:sz w:val="18"/>
                <w:szCs w:val="18"/>
                <w:lang w:val="en-GB"/>
              </w:rPr>
            </w:pPr>
          </w:p>
          <w:p w14:paraId="0F7A62B3" w14:textId="77777777" w:rsidR="0018787E" w:rsidRPr="0018787E" w:rsidRDefault="0018787E" w:rsidP="0018787E">
            <w:pPr>
              <w:rPr>
                <w:sz w:val="18"/>
                <w:szCs w:val="18"/>
                <w:lang w:val="en-GB"/>
              </w:rPr>
            </w:pPr>
            <w:r w:rsidRPr="0018787E">
              <w:rPr>
                <w:sz w:val="18"/>
                <w:szCs w:val="18"/>
                <w:lang w:val="en-GB"/>
              </w:rPr>
              <w:t>Biannually</w:t>
            </w:r>
          </w:p>
          <w:p w14:paraId="65291D21" w14:textId="77777777" w:rsidR="0018787E" w:rsidRPr="0018787E" w:rsidRDefault="0018787E" w:rsidP="0018787E">
            <w:pPr>
              <w:rPr>
                <w:sz w:val="18"/>
                <w:szCs w:val="18"/>
                <w:lang w:val="en-GB"/>
              </w:rPr>
            </w:pPr>
          </w:p>
          <w:p w14:paraId="754F6C5A" w14:textId="77777777" w:rsidR="0018787E" w:rsidRPr="0018787E" w:rsidRDefault="0018787E" w:rsidP="0018787E">
            <w:pPr>
              <w:rPr>
                <w:sz w:val="18"/>
                <w:szCs w:val="18"/>
                <w:lang w:val="en-GB"/>
              </w:rPr>
            </w:pPr>
          </w:p>
          <w:p w14:paraId="02FCB215"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33488CFF" w14:textId="77777777" w:rsidR="0018787E" w:rsidRPr="0018787E" w:rsidRDefault="0018787E" w:rsidP="0018787E">
            <w:pPr>
              <w:rPr>
                <w:sz w:val="18"/>
                <w:szCs w:val="18"/>
                <w:lang w:val="en-GB"/>
              </w:rPr>
            </w:pPr>
            <w:r w:rsidRPr="0018787E">
              <w:rPr>
                <w:sz w:val="18"/>
                <w:szCs w:val="18"/>
                <w:lang w:val="en-GB"/>
              </w:rPr>
              <w:t>National-level</w:t>
            </w:r>
          </w:p>
          <w:p w14:paraId="0155E36A" w14:textId="77777777" w:rsidR="0018787E" w:rsidRPr="0018787E" w:rsidRDefault="0018787E" w:rsidP="0018787E">
            <w:pPr>
              <w:rPr>
                <w:sz w:val="18"/>
                <w:szCs w:val="18"/>
                <w:lang w:val="en-GB"/>
              </w:rPr>
            </w:pPr>
          </w:p>
          <w:p w14:paraId="57021CA4" w14:textId="77777777" w:rsidR="0018787E" w:rsidRPr="0018787E" w:rsidRDefault="0018787E" w:rsidP="0018787E">
            <w:pPr>
              <w:rPr>
                <w:sz w:val="18"/>
                <w:szCs w:val="18"/>
                <w:lang w:val="en-GB"/>
              </w:rPr>
            </w:pPr>
          </w:p>
          <w:p w14:paraId="0711B632" w14:textId="77777777" w:rsidR="0018787E" w:rsidRPr="0018787E" w:rsidRDefault="0018787E" w:rsidP="0018787E">
            <w:pPr>
              <w:rPr>
                <w:sz w:val="18"/>
                <w:szCs w:val="18"/>
                <w:lang w:val="en-GB"/>
              </w:rPr>
            </w:pPr>
            <w:r w:rsidRPr="0018787E">
              <w:rPr>
                <w:sz w:val="18"/>
                <w:szCs w:val="18"/>
                <w:lang w:val="en-GB"/>
              </w:rPr>
              <w:t>National-level</w:t>
            </w:r>
          </w:p>
          <w:p w14:paraId="4D874958" w14:textId="77777777" w:rsidR="0018787E" w:rsidRPr="0018787E" w:rsidRDefault="0018787E" w:rsidP="0018787E">
            <w:pPr>
              <w:rPr>
                <w:sz w:val="18"/>
                <w:szCs w:val="18"/>
                <w:lang w:val="en-GB"/>
              </w:rPr>
            </w:pPr>
          </w:p>
          <w:p w14:paraId="5A15A31D" w14:textId="77777777" w:rsidR="0018787E" w:rsidRPr="0018787E" w:rsidRDefault="0018787E" w:rsidP="0018787E">
            <w:pPr>
              <w:rPr>
                <w:sz w:val="18"/>
                <w:szCs w:val="18"/>
                <w:lang w:val="en-GB"/>
              </w:rPr>
            </w:pPr>
          </w:p>
          <w:p w14:paraId="0B1F69D4" w14:textId="77777777" w:rsidR="0018787E" w:rsidRPr="0018787E" w:rsidRDefault="0018787E" w:rsidP="0018787E">
            <w:pPr>
              <w:rPr>
                <w:sz w:val="18"/>
                <w:szCs w:val="18"/>
                <w:lang w:val="en-GB"/>
              </w:rPr>
            </w:pPr>
            <w:r w:rsidRPr="0018787E">
              <w:rPr>
                <w:sz w:val="18"/>
                <w:szCs w:val="18"/>
                <w:lang w:val="en-GB"/>
              </w:rPr>
              <w:t>Regional-level</w:t>
            </w:r>
          </w:p>
          <w:p w14:paraId="4F2B98C5" w14:textId="77777777" w:rsidR="0018787E" w:rsidRPr="0018787E" w:rsidRDefault="0018787E" w:rsidP="0018787E">
            <w:pPr>
              <w:rPr>
                <w:sz w:val="18"/>
                <w:szCs w:val="18"/>
                <w:lang w:val="en-GB"/>
              </w:rPr>
            </w:pPr>
          </w:p>
          <w:p w14:paraId="5690A497"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06072BB2"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Land-based Pollution committees</w:t>
            </w:r>
          </w:p>
          <w:p w14:paraId="5C240249"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6C789451"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68DED38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47667FE5"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42454C75"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206B0412" w14:textId="77777777" w:rsidTr="0018787E">
        <w:tc>
          <w:tcPr>
            <w:tcW w:w="1319" w:type="dxa"/>
            <w:vMerge/>
          </w:tcPr>
          <w:p w14:paraId="5D0C0973" w14:textId="77777777" w:rsidR="0018787E" w:rsidRPr="0018787E" w:rsidRDefault="0018787E" w:rsidP="0018787E">
            <w:pPr>
              <w:rPr>
                <w:sz w:val="18"/>
                <w:szCs w:val="18"/>
                <w:lang w:val="en-GB"/>
              </w:rPr>
            </w:pPr>
          </w:p>
        </w:tc>
        <w:tc>
          <w:tcPr>
            <w:tcW w:w="1270" w:type="dxa"/>
          </w:tcPr>
          <w:p w14:paraId="31D36D80" w14:textId="77777777" w:rsidR="0018787E" w:rsidRPr="0018787E" w:rsidRDefault="0018787E" w:rsidP="0018787E">
            <w:pPr>
              <w:spacing w:before="40"/>
              <w:rPr>
                <w:bCs/>
                <w:sz w:val="18"/>
                <w:szCs w:val="18"/>
                <w:lang w:val="en-GB"/>
              </w:rPr>
            </w:pPr>
            <w:r w:rsidRPr="0018787E">
              <w:rPr>
                <w:bCs/>
                <w:sz w:val="18"/>
                <w:szCs w:val="18"/>
                <w:lang w:val="en-GB"/>
              </w:rPr>
              <w:t>Number of aquaculture sites for which effluent and contaminant loadings estimated</w:t>
            </w:r>
          </w:p>
        </w:tc>
        <w:tc>
          <w:tcPr>
            <w:tcW w:w="1270" w:type="dxa"/>
          </w:tcPr>
          <w:p w14:paraId="171C907C" w14:textId="77777777" w:rsidR="0018787E" w:rsidRPr="0018787E" w:rsidRDefault="0018787E" w:rsidP="0018787E">
            <w:pPr>
              <w:spacing w:before="40"/>
              <w:rPr>
                <w:sz w:val="18"/>
                <w:szCs w:val="18"/>
                <w:lang w:val="en-GB"/>
              </w:rPr>
            </w:pPr>
            <w:r w:rsidRPr="0018787E">
              <w:rPr>
                <w:sz w:val="18"/>
                <w:szCs w:val="18"/>
                <w:lang w:val="en-GB"/>
              </w:rPr>
              <w:t>Effluent from aquaculture and mariculture operations identified as key threat to dominant coastal biomes</w:t>
            </w:r>
          </w:p>
        </w:tc>
        <w:tc>
          <w:tcPr>
            <w:tcW w:w="1109" w:type="dxa"/>
          </w:tcPr>
          <w:p w14:paraId="3DDF9560" w14:textId="77777777" w:rsidR="0018787E" w:rsidRPr="0018787E" w:rsidRDefault="0018787E" w:rsidP="0018787E">
            <w:pPr>
              <w:rPr>
                <w:sz w:val="18"/>
                <w:szCs w:val="18"/>
                <w:lang w:val="en-GB"/>
              </w:rPr>
            </w:pPr>
            <w:r w:rsidRPr="0018787E">
              <w:rPr>
                <w:sz w:val="18"/>
                <w:szCs w:val="18"/>
                <w:lang w:val="en-GB"/>
              </w:rPr>
              <w:t>Consultations with private sector completed and their  cooperate in efforts to determine environmental impact of operations secured</w:t>
            </w:r>
          </w:p>
        </w:tc>
        <w:tc>
          <w:tcPr>
            <w:tcW w:w="1291" w:type="dxa"/>
          </w:tcPr>
          <w:p w14:paraId="457263C9" w14:textId="77777777" w:rsidR="0018787E" w:rsidRPr="0018787E" w:rsidRDefault="0018787E" w:rsidP="0018787E">
            <w:pPr>
              <w:spacing w:before="40"/>
              <w:rPr>
                <w:sz w:val="18"/>
                <w:szCs w:val="18"/>
                <w:lang w:val="en-GB"/>
              </w:rPr>
            </w:pPr>
            <w:r w:rsidRPr="0018787E">
              <w:rPr>
                <w:sz w:val="18"/>
                <w:szCs w:val="18"/>
                <w:lang w:val="en-GB"/>
              </w:rPr>
              <w:t>Quantification of effluent volumes and contaminant loadings from coastal aquaculture to the SCS marine basin</w:t>
            </w:r>
          </w:p>
        </w:tc>
        <w:tc>
          <w:tcPr>
            <w:tcW w:w="1269" w:type="dxa"/>
          </w:tcPr>
          <w:p w14:paraId="506ADCAD" w14:textId="77777777" w:rsidR="0018787E" w:rsidRPr="0018787E" w:rsidRDefault="0018787E" w:rsidP="0018787E">
            <w:pPr>
              <w:spacing w:before="40"/>
              <w:rPr>
                <w:bCs/>
                <w:sz w:val="18"/>
                <w:szCs w:val="18"/>
                <w:lang w:val="en-GB"/>
              </w:rPr>
            </w:pPr>
            <w:r w:rsidRPr="0018787E">
              <w:rPr>
                <w:bCs/>
                <w:sz w:val="18"/>
                <w:szCs w:val="18"/>
                <w:lang w:val="en-GB"/>
              </w:rPr>
              <w:t>Published methodology and procedures for estimating aquaculture pollution loadings and impacts</w:t>
            </w:r>
          </w:p>
          <w:p w14:paraId="2EA0BDB4" w14:textId="77777777" w:rsidR="0018787E" w:rsidRPr="0018787E" w:rsidRDefault="0018787E" w:rsidP="0018787E">
            <w:pPr>
              <w:spacing w:before="40"/>
              <w:rPr>
                <w:bCs/>
                <w:sz w:val="18"/>
                <w:szCs w:val="18"/>
                <w:lang w:val="en-GB"/>
              </w:rPr>
            </w:pPr>
            <w:r w:rsidRPr="0018787E">
              <w:rPr>
                <w:bCs/>
                <w:sz w:val="18"/>
                <w:szCs w:val="18"/>
                <w:lang w:val="en-GB"/>
              </w:rPr>
              <w:t>1 * IW Experience Note</w:t>
            </w:r>
          </w:p>
        </w:tc>
        <w:tc>
          <w:tcPr>
            <w:tcW w:w="1440" w:type="dxa"/>
          </w:tcPr>
          <w:p w14:paraId="679A6899" w14:textId="77777777" w:rsidR="0018787E" w:rsidRPr="0018787E" w:rsidRDefault="0018787E" w:rsidP="0018787E">
            <w:pPr>
              <w:rPr>
                <w:sz w:val="18"/>
                <w:szCs w:val="18"/>
                <w:lang w:val="en-GB"/>
              </w:rPr>
            </w:pPr>
            <w:r w:rsidRPr="0018787E">
              <w:rPr>
                <w:sz w:val="18"/>
                <w:szCs w:val="18"/>
                <w:lang w:val="en-GB"/>
              </w:rPr>
              <w:t>Quarterly</w:t>
            </w:r>
          </w:p>
          <w:p w14:paraId="29AB96FE" w14:textId="77777777" w:rsidR="0018787E" w:rsidRPr="0018787E" w:rsidRDefault="0018787E" w:rsidP="0018787E">
            <w:pPr>
              <w:rPr>
                <w:sz w:val="18"/>
                <w:szCs w:val="18"/>
                <w:lang w:val="en-GB"/>
              </w:rPr>
            </w:pPr>
          </w:p>
          <w:p w14:paraId="36CC46D8" w14:textId="77777777" w:rsidR="0018787E" w:rsidRPr="0018787E" w:rsidRDefault="0018787E" w:rsidP="0018787E">
            <w:pPr>
              <w:rPr>
                <w:sz w:val="18"/>
                <w:szCs w:val="18"/>
                <w:lang w:val="en-GB"/>
              </w:rPr>
            </w:pPr>
          </w:p>
          <w:p w14:paraId="55C6ABA0" w14:textId="77777777" w:rsidR="0018787E" w:rsidRPr="0018787E" w:rsidRDefault="0018787E" w:rsidP="0018787E">
            <w:pPr>
              <w:rPr>
                <w:sz w:val="18"/>
                <w:szCs w:val="18"/>
                <w:lang w:val="en-GB"/>
              </w:rPr>
            </w:pPr>
          </w:p>
          <w:p w14:paraId="41B30D30" w14:textId="77777777" w:rsidR="0018787E" w:rsidRPr="0018787E" w:rsidRDefault="0018787E" w:rsidP="0018787E">
            <w:pPr>
              <w:rPr>
                <w:sz w:val="18"/>
                <w:szCs w:val="18"/>
                <w:lang w:val="en-GB"/>
              </w:rPr>
            </w:pPr>
            <w:r w:rsidRPr="0018787E">
              <w:rPr>
                <w:sz w:val="18"/>
                <w:szCs w:val="18"/>
                <w:lang w:val="en-GB"/>
              </w:rPr>
              <w:t>Biannually</w:t>
            </w:r>
          </w:p>
          <w:p w14:paraId="0D0DD224" w14:textId="77777777" w:rsidR="0018787E" w:rsidRPr="0018787E" w:rsidRDefault="0018787E" w:rsidP="0018787E">
            <w:pPr>
              <w:rPr>
                <w:sz w:val="18"/>
                <w:szCs w:val="18"/>
                <w:lang w:val="en-GB"/>
              </w:rPr>
            </w:pPr>
          </w:p>
          <w:p w14:paraId="6643718A" w14:textId="77777777" w:rsidR="0018787E" w:rsidRPr="0018787E" w:rsidRDefault="0018787E" w:rsidP="0018787E">
            <w:pPr>
              <w:rPr>
                <w:sz w:val="18"/>
                <w:szCs w:val="18"/>
                <w:lang w:val="en-GB"/>
              </w:rPr>
            </w:pPr>
          </w:p>
          <w:p w14:paraId="44679965" w14:textId="77777777" w:rsidR="0018787E" w:rsidRPr="0018787E" w:rsidRDefault="0018787E" w:rsidP="0018787E">
            <w:pPr>
              <w:rPr>
                <w:sz w:val="18"/>
                <w:szCs w:val="18"/>
                <w:lang w:val="en-GB"/>
              </w:rPr>
            </w:pPr>
          </w:p>
          <w:p w14:paraId="55747E7F" w14:textId="77777777" w:rsidR="0018787E" w:rsidRPr="0018787E" w:rsidRDefault="0018787E" w:rsidP="0018787E">
            <w:pPr>
              <w:rPr>
                <w:sz w:val="18"/>
                <w:szCs w:val="18"/>
                <w:lang w:val="en-GB"/>
              </w:rPr>
            </w:pPr>
            <w:r w:rsidRPr="0018787E">
              <w:rPr>
                <w:sz w:val="18"/>
                <w:szCs w:val="18"/>
                <w:lang w:val="en-GB"/>
              </w:rPr>
              <w:t>Biannually</w:t>
            </w:r>
          </w:p>
          <w:p w14:paraId="7125C0ED" w14:textId="77777777" w:rsidR="0018787E" w:rsidRPr="0018787E" w:rsidRDefault="0018787E" w:rsidP="0018787E">
            <w:pPr>
              <w:rPr>
                <w:sz w:val="18"/>
                <w:szCs w:val="18"/>
                <w:lang w:val="en-GB"/>
              </w:rPr>
            </w:pPr>
          </w:p>
          <w:p w14:paraId="5067286D" w14:textId="77777777" w:rsidR="0018787E" w:rsidRPr="0018787E" w:rsidRDefault="0018787E" w:rsidP="0018787E">
            <w:pPr>
              <w:rPr>
                <w:sz w:val="18"/>
                <w:szCs w:val="18"/>
                <w:lang w:val="en-GB"/>
              </w:rPr>
            </w:pPr>
          </w:p>
          <w:p w14:paraId="2086BFD5"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6C7A06DF" w14:textId="77777777" w:rsidR="0018787E" w:rsidRPr="0018787E" w:rsidRDefault="0018787E" w:rsidP="0018787E">
            <w:pPr>
              <w:rPr>
                <w:sz w:val="18"/>
                <w:szCs w:val="18"/>
                <w:lang w:val="en-GB"/>
              </w:rPr>
            </w:pPr>
            <w:r w:rsidRPr="0018787E">
              <w:rPr>
                <w:sz w:val="18"/>
                <w:szCs w:val="18"/>
                <w:lang w:val="en-GB"/>
              </w:rPr>
              <w:t>National-level</w:t>
            </w:r>
          </w:p>
          <w:p w14:paraId="20669791" w14:textId="77777777" w:rsidR="0018787E" w:rsidRPr="0018787E" w:rsidRDefault="0018787E" w:rsidP="0018787E">
            <w:pPr>
              <w:rPr>
                <w:sz w:val="18"/>
                <w:szCs w:val="18"/>
                <w:lang w:val="en-GB"/>
              </w:rPr>
            </w:pPr>
          </w:p>
          <w:p w14:paraId="1AD16793" w14:textId="77777777" w:rsidR="0018787E" w:rsidRPr="0018787E" w:rsidRDefault="0018787E" w:rsidP="0018787E">
            <w:pPr>
              <w:rPr>
                <w:sz w:val="18"/>
                <w:szCs w:val="18"/>
                <w:lang w:val="en-GB"/>
              </w:rPr>
            </w:pPr>
          </w:p>
          <w:p w14:paraId="6E7F3A55" w14:textId="77777777" w:rsidR="0018787E" w:rsidRPr="0018787E" w:rsidRDefault="0018787E" w:rsidP="0018787E">
            <w:pPr>
              <w:rPr>
                <w:sz w:val="18"/>
                <w:szCs w:val="18"/>
                <w:lang w:val="en-GB"/>
              </w:rPr>
            </w:pPr>
            <w:r w:rsidRPr="0018787E">
              <w:rPr>
                <w:sz w:val="18"/>
                <w:szCs w:val="18"/>
                <w:lang w:val="en-GB"/>
              </w:rPr>
              <w:t>National-level</w:t>
            </w:r>
          </w:p>
          <w:p w14:paraId="21EDB71B" w14:textId="77777777" w:rsidR="0018787E" w:rsidRPr="0018787E" w:rsidRDefault="0018787E" w:rsidP="0018787E">
            <w:pPr>
              <w:rPr>
                <w:sz w:val="18"/>
                <w:szCs w:val="18"/>
                <w:lang w:val="en-GB"/>
              </w:rPr>
            </w:pPr>
          </w:p>
          <w:p w14:paraId="379653C3" w14:textId="77777777" w:rsidR="0018787E" w:rsidRPr="0018787E" w:rsidRDefault="0018787E" w:rsidP="0018787E">
            <w:pPr>
              <w:rPr>
                <w:sz w:val="18"/>
                <w:szCs w:val="18"/>
                <w:lang w:val="en-GB"/>
              </w:rPr>
            </w:pPr>
          </w:p>
          <w:p w14:paraId="1D182839" w14:textId="77777777" w:rsidR="0018787E" w:rsidRPr="0018787E" w:rsidRDefault="0018787E" w:rsidP="0018787E">
            <w:pPr>
              <w:rPr>
                <w:sz w:val="18"/>
                <w:szCs w:val="18"/>
                <w:lang w:val="en-GB"/>
              </w:rPr>
            </w:pPr>
            <w:r w:rsidRPr="0018787E">
              <w:rPr>
                <w:sz w:val="18"/>
                <w:szCs w:val="18"/>
                <w:lang w:val="en-GB"/>
              </w:rPr>
              <w:t>Regional-level</w:t>
            </w:r>
          </w:p>
          <w:p w14:paraId="42CBD804" w14:textId="77777777" w:rsidR="0018787E" w:rsidRPr="0018787E" w:rsidRDefault="0018787E" w:rsidP="0018787E">
            <w:pPr>
              <w:rPr>
                <w:sz w:val="18"/>
                <w:szCs w:val="18"/>
                <w:lang w:val="en-GB"/>
              </w:rPr>
            </w:pPr>
          </w:p>
          <w:p w14:paraId="212AEBF8"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06AB4CC2"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Land-based Pollution committees</w:t>
            </w:r>
          </w:p>
          <w:p w14:paraId="74AC62C6"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14563DE5"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4B91265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1A781778"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0C291DDB"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55F6B320" w14:textId="77777777" w:rsidTr="0018787E">
        <w:tc>
          <w:tcPr>
            <w:tcW w:w="1319" w:type="dxa"/>
            <w:vMerge w:val="restart"/>
            <w:vAlign w:val="center"/>
          </w:tcPr>
          <w:p w14:paraId="4487F224" w14:textId="77777777" w:rsidR="0018787E" w:rsidRPr="0018787E" w:rsidRDefault="0018787E" w:rsidP="0018787E">
            <w:pPr>
              <w:rPr>
                <w:sz w:val="18"/>
                <w:szCs w:val="18"/>
                <w:lang w:val="en-GB"/>
              </w:rPr>
            </w:pPr>
            <w:r w:rsidRPr="0018787E">
              <w:rPr>
                <w:sz w:val="18"/>
                <w:szCs w:val="18"/>
                <w:lang w:val="en-GB"/>
              </w:rPr>
              <w:t>2.3: Strengthened and harmonized national policies and laws, and supporting financial mechanism, for the management of land-based sources of pollution</w:t>
            </w:r>
          </w:p>
        </w:tc>
        <w:tc>
          <w:tcPr>
            <w:tcW w:w="1270" w:type="dxa"/>
          </w:tcPr>
          <w:p w14:paraId="2E61337C" w14:textId="77777777" w:rsidR="0018787E" w:rsidRPr="0018787E" w:rsidRDefault="0018787E" w:rsidP="0018787E">
            <w:pPr>
              <w:spacing w:before="40"/>
              <w:rPr>
                <w:bCs/>
                <w:sz w:val="18"/>
                <w:szCs w:val="18"/>
                <w:lang w:val="en-GB"/>
              </w:rPr>
            </w:pPr>
            <w:r w:rsidRPr="0018787E">
              <w:rPr>
                <w:bCs/>
                <w:sz w:val="18"/>
                <w:szCs w:val="18"/>
                <w:lang w:val="en-GB"/>
              </w:rPr>
              <w:t>Number of best practice technologies and measures tested, documented and shared</w:t>
            </w:r>
          </w:p>
        </w:tc>
        <w:tc>
          <w:tcPr>
            <w:tcW w:w="1270" w:type="dxa"/>
          </w:tcPr>
          <w:p w14:paraId="6200DECE" w14:textId="77777777" w:rsidR="0018787E" w:rsidRPr="0018787E" w:rsidRDefault="0018787E" w:rsidP="0018787E">
            <w:pPr>
              <w:spacing w:before="40"/>
              <w:rPr>
                <w:sz w:val="18"/>
                <w:szCs w:val="18"/>
                <w:lang w:val="en-GB"/>
              </w:rPr>
            </w:pPr>
            <w:r w:rsidRPr="0018787E">
              <w:rPr>
                <w:sz w:val="18"/>
                <w:szCs w:val="18"/>
                <w:lang w:val="en-GB"/>
              </w:rPr>
              <w:t>Lesson learned in community-based wastewater mgmt. in Batam, Indonesia documented and shared regionally although other examples from East Asian seas region largely focus on broad scale ICM planning</w:t>
            </w:r>
          </w:p>
        </w:tc>
        <w:tc>
          <w:tcPr>
            <w:tcW w:w="1109" w:type="dxa"/>
          </w:tcPr>
          <w:p w14:paraId="56707EF8" w14:textId="77777777" w:rsidR="0018787E" w:rsidRPr="0018787E" w:rsidRDefault="0018787E" w:rsidP="0018787E">
            <w:pPr>
              <w:rPr>
                <w:sz w:val="18"/>
                <w:szCs w:val="18"/>
                <w:lang w:val="en-GB"/>
              </w:rPr>
            </w:pPr>
            <w:r w:rsidRPr="0018787E">
              <w:rPr>
                <w:sz w:val="18"/>
                <w:szCs w:val="18"/>
                <w:lang w:val="en-GB"/>
              </w:rPr>
              <w:t>Template for the collation of best practice information developed and being used to prepare best practice examples</w:t>
            </w:r>
          </w:p>
        </w:tc>
        <w:tc>
          <w:tcPr>
            <w:tcW w:w="1291" w:type="dxa"/>
          </w:tcPr>
          <w:p w14:paraId="34C3CCC8" w14:textId="77777777" w:rsidR="0018787E" w:rsidRPr="0018787E" w:rsidRDefault="0018787E" w:rsidP="0018787E">
            <w:pPr>
              <w:spacing w:before="40"/>
              <w:rPr>
                <w:sz w:val="18"/>
                <w:szCs w:val="18"/>
                <w:lang w:val="en-GB"/>
              </w:rPr>
            </w:pPr>
            <w:r w:rsidRPr="0018787E">
              <w:rPr>
                <w:sz w:val="18"/>
                <w:szCs w:val="18"/>
                <w:lang w:val="en-GB"/>
              </w:rPr>
              <w:t>National best practices in waste water management, law enforcement, and community and industry participation in managing land-based sources of pollution documented and shared</w:t>
            </w:r>
          </w:p>
        </w:tc>
        <w:tc>
          <w:tcPr>
            <w:tcW w:w="1269" w:type="dxa"/>
          </w:tcPr>
          <w:p w14:paraId="5693E295" w14:textId="77777777" w:rsidR="0018787E" w:rsidRPr="0018787E" w:rsidRDefault="0018787E" w:rsidP="0018787E">
            <w:pPr>
              <w:spacing w:before="40"/>
              <w:rPr>
                <w:bCs/>
                <w:sz w:val="18"/>
                <w:szCs w:val="18"/>
                <w:lang w:val="en-GB"/>
              </w:rPr>
            </w:pPr>
            <w:r w:rsidRPr="0018787E">
              <w:rPr>
                <w:bCs/>
                <w:sz w:val="18"/>
                <w:szCs w:val="18"/>
                <w:lang w:val="en-GB"/>
              </w:rPr>
              <w:t>Catalogue of best practice technologies and management approaches for land-based pollution published and accessible online</w:t>
            </w:r>
          </w:p>
        </w:tc>
        <w:tc>
          <w:tcPr>
            <w:tcW w:w="1440" w:type="dxa"/>
          </w:tcPr>
          <w:p w14:paraId="02684460" w14:textId="77777777" w:rsidR="0018787E" w:rsidRPr="0018787E" w:rsidRDefault="0018787E" w:rsidP="0018787E">
            <w:pPr>
              <w:rPr>
                <w:sz w:val="18"/>
                <w:szCs w:val="18"/>
                <w:lang w:val="en-GB"/>
              </w:rPr>
            </w:pPr>
            <w:r w:rsidRPr="0018787E">
              <w:rPr>
                <w:sz w:val="18"/>
                <w:szCs w:val="18"/>
                <w:lang w:val="en-GB"/>
              </w:rPr>
              <w:t>Quarterly</w:t>
            </w:r>
          </w:p>
          <w:p w14:paraId="7513CCF8" w14:textId="77777777" w:rsidR="0018787E" w:rsidRPr="0018787E" w:rsidRDefault="0018787E" w:rsidP="0018787E">
            <w:pPr>
              <w:rPr>
                <w:sz w:val="18"/>
                <w:szCs w:val="18"/>
                <w:lang w:val="en-GB"/>
              </w:rPr>
            </w:pPr>
          </w:p>
          <w:p w14:paraId="13AB4BD9" w14:textId="77777777" w:rsidR="0018787E" w:rsidRPr="0018787E" w:rsidRDefault="0018787E" w:rsidP="0018787E">
            <w:pPr>
              <w:rPr>
                <w:sz w:val="18"/>
                <w:szCs w:val="18"/>
                <w:lang w:val="en-GB"/>
              </w:rPr>
            </w:pPr>
          </w:p>
          <w:p w14:paraId="2D8970B7" w14:textId="77777777" w:rsidR="0018787E" w:rsidRPr="0018787E" w:rsidRDefault="0018787E" w:rsidP="0018787E">
            <w:pPr>
              <w:rPr>
                <w:sz w:val="18"/>
                <w:szCs w:val="18"/>
                <w:lang w:val="en-GB"/>
              </w:rPr>
            </w:pPr>
          </w:p>
          <w:p w14:paraId="0CB5EEC1" w14:textId="77777777" w:rsidR="0018787E" w:rsidRPr="0018787E" w:rsidRDefault="0018787E" w:rsidP="0018787E">
            <w:pPr>
              <w:rPr>
                <w:sz w:val="18"/>
                <w:szCs w:val="18"/>
                <w:lang w:val="en-GB"/>
              </w:rPr>
            </w:pPr>
            <w:r w:rsidRPr="0018787E">
              <w:rPr>
                <w:sz w:val="18"/>
                <w:szCs w:val="18"/>
                <w:lang w:val="en-GB"/>
              </w:rPr>
              <w:t>Biannually</w:t>
            </w:r>
          </w:p>
          <w:p w14:paraId="3A952686" w14:textId="77777777" w:rsidR="0018787E" w:rsidRPr="0018787E" w:rsidRDefault="0018787E" w:rsidP="0018787E">
            <w:pPr>
              <w:rPr>
                <w:sz w:val="18"/>
                <w:szCs w:val="18"/>
                <w:lang w:val="en-GB"/>
              </w:rPr>
            </w:pPr>
          </w:p>
          <w:p w14:paraId="06F3B64E" w14:textId="77777777" w:rsidR="0018787E" w:rsidRPr="0018787E" w:rsidRDefault="0018787E" w:rsidP="0018787E">
            <w:pPr>
              <w:rPr>
                <w:sz w:val="18"/>
                <w:szCs w:val="18"/>
                <w:lang w:val="en-GB"/>
              </w:rPr>
            </w:pPr>
          </w:p>
          <w:p w14:paraId="4EA576B9" w14:textId="77777777" w:rsidR="0018787E" w:rsidRPr="0018787E" w:rsidRDefault="0018787E" w:rsidP="0018787E">
            <w:pPr>
              <w:rPr>
                <w:sz w:val="18"/>
                <w:szCs w:val="18"/>
                <w:lang w:val="en-GB"/>
              </w:rPr>
            </w:pPr>
          </w:p>
          <w:p w14:paraId="3CC86D60" w14:textId="77777777" w:rsidR="0018787E" w:rsidRPr="0018787E" w:rsidRDefault="0018787E" w:rsidP="0018787E">
            <w:pPr>
              <w:rPr>
                <w:sz w:val="18"/>
                <w:szCs w:val="18"/>
                <w:lang w:val="en-GB"/>
              </w:rPr>
            </w:pPr>
            <w:r w:rsidRPr="0018787E">
              <w:rPr>
                <w:sz w:val="18"/>
                <w:szCs w:val="18"/>
                <w:lang w:val="en-GB"/>
              </w:rPr>
              <w:t>Biannually</w:t>
            </w:r>
          </w:p>
          <w:p w14:paraId="7018D15E" w14:textId="77777777" w:rsidR="0018787E" w:rsidRPr="0018787E" w:rsidRDefault="0018787E" w:rsidP="0018787E">
            <w:pPr>
              <w:rPr>
                <w:sz w:val="18"/>
                <w:szCs w:val="18"/>
                <w:lang w:val="en-GB"/>
              </w:rPr>
            </w:pPr>
          </w:p>
          <w:p w14:paraId="0324E6A8" w14:textId="77777777" w:rsidR="0018787E" w:rsidRPr="0018787E" w:rsidRDefault="0018787E" w:rsidP="0018787E">
            <w:pPr>
              <w:rPr>
                <w:sz w:val="18"/>
                <w:szCs w:val="18"/>
                <w:lang w:val="en-GB"/>
              </w:rPr>
            </w:pPr>
          </w:p>
          <w:p w14:paraId="39B176E6"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682B346A" w14:textId="77777777" w:rsidR="0018787E" w:rsidRPr="0018787E" w:rsidRDefault="0018787E" w:rsidP="0018787E">
            <w:pPr>
              <w:rPr>
                <w:sz w:val="18"/>
                <w:szCs w:val="18"/>
                <w:lang w:val="en-GB"/>
              </w:rPr>
            </w:pPr>
            <w:r w:rsidRPr="0018787E">
              <w:rPr>
                <w:sz w:val="18"/>
                <w:szCs w:val="18"/>
                <w:lang w:val="en-GB"/>
              </w:rPr>
              <w:t>National-level</w:t>
            </w:r>
          </w:p>
          <w:p w14:paraId="5C86B5B3" w14:textId="77777777" w:rsidR="0018787E" w:rsidRPr="0018787E" w:rsidRDefault="0018787E" w:rsidP="0018787E">
            <w:pPr>
              <w:rPr>
                <w:sz w:val="18"/>
                <w:szCs w:val="18"/>
                <w:lang w:val="en-GB"/>
              </w:rPr>
            </w:pPr>
          </w:p>
          <w:p w14:paraId="36F58326" w14:textId="77777777" w:rsidR="0018787E" w:rsidRPr="0018787E" w:rsidRDefault="0018787E" w:rsidP="0018787E">
            <w:pPr>
              <w:rPr>
                <w:sz w:val="18"/>
                <w:szCs w:val="18"/>
                <w:lang w:val="en-GB"/>
              </w:rPr>
            </w:pPr>
          </w:p>
          <w:p w14:paraId="03B50A99" w14:textId="77777777" w:rsidR="0018787E" w:rsidRPr="0018787E" w:rsidRDefault="0018787E" w:rsidP="0018787E">
            <w:pPr>
              <w:rPr>
                <w:sz w:val="18"/>
                <w:szCs w:val="18"/>
                <w:lang w:val="en-GB"/>
              </w:rPr>
            </w:pPr>
            <w:r w:rsidRPr="0018787E">
              <w:rPr>
                <w:sz w:val="18"/>
                <w:szCs w:val="18"/>
                <w:lang w:val="en-GB"/>
              </w:rPr>
              <w:t>National-level</w:t>
            </w:r>
          </w:p>
          <w:p w14:paraId="53642F20" w14:textId="77777777" w:rsidR="0018787E" w:rsidRPr="0018787E" w:rsidRDefault="0018787E" w:rsidP="0018787E">
            <w:pPr>
              <w:rPr>
                <w:sz w:val="18"/>
                <w:szCs w:val="18"/>
                <w:lang w:val="en-GB"/>
              </w:rPr>
            </w:pPr>
          </w:p>
          <w:p w14:paraId="4570CA86" w14:textId="77777777" w:rsidR="0018787E" w:rsidRPr="0018787E" w:rsidRDefault="0018787E" w:rsidP="0018787E">
            <w:pPr>
              <w:rPr>
                <w:sz w:val="18"/>
                <w:szCs w:val="18"/>
                <w:lang w:val="en-GB"/>
              </w:rPr>
            </w:pPr>
          </w:p>
          <w:p w14:paraId="13163FBD" w14:textId="77777777" w:rsidR="0018787E" w:rsidRPr="0018787E" w:rsidRDefault="0018787E" w:rsidP="0018787E">
            <w:pPr>
              <w:rPr>
                <w:sz w:val="18"/>
                <w:szCs w:val="18"/>
                <w:lang w:val="en-GB"/>
              </w:rPr>
            </w:pPr>
            <w:r w:rsidRPr="0018787E">
              <w:rPr>
                <w:sz w:val="18"/>
                <w:szCs w:val="18"/>
                <w:lang w:val="en-GB"/>
              </w:rPr>
              <w:t>Regional-level</w:t>
            </w:r>
          </w:p>
          <w:p w14:paraId="5797ECF5" w14:textId="77777777" w:rsidR="0018787E" w:rsidRPr="0018787E" w:rsidRDefault="0018787E" w:rsidP="0018787E">
            <w:pPr>
              <w:rPr>
                <w:sz w:val="18"/>
                <w:szCs w:val="18"/>
                <w:lang w:val="en-GB"/>
              </w:rPr>
            </w:pPr>
          </w:p>
          <w:p w14:paraId="7A6A4ECA"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5B5D88C7"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Land-based Pollution committees</w:t>
            </w:r>
          </w:p>
          <w:p w14:paraId="2E551BA0"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1211A118"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495DD2A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2F66848B"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0AF78D5C"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5640ECEF" w14:textId="77777777" w:rsidTr="0018787E">
        <w:tc>
          <w:tcPr>
            <w:tcW w:w="1319" w:type="dxa"/>
            <w:vMerge/>
          </w:tcPr>
          <w:p w14:paraId="7442AF02" w14:textId="77777777" w:rsidR="0018787E" w:rsidRPr="0018787E" w:rsidRDefault="0018787E" w:rsidP="0018787E">
            <w:pPr>
              <w:rPr>
                <w:sz w:val="18"/>
                <w:szCs w:val="18"/>
                <w:lang w:val="en-GB"/>
              </w:rPr>
            </w:pPr>
          </w:p>
        </w:tc>
        <w:tc>
          <w:tcPr>
            <w:tcW w:w="1270" w:type="dxa"/>
          </w:tcPr>
          <w:p w14:paraId="3D40DE81" w14:textId="77777777" w:rsidR="0018787E" w:rsidRPr="0018787E" w:rsidRDefault="0018787E" w:rsidP="0018787E">
            <w:pPr>
              <w:spacing w:before="40"/>
              <w:rPr>
                <w:bCs/>
                <w:sz w:val="18"/>
                <w:szCs w:val="18"/>
                <w:lang w:val="en-GB"/>
              </w:rPr>
            </w:pPr>
            <w:r w:rsidRPr="0018787E">
              <w:rPr>
                <w:bCs/>
                <w:sz w:val="18"/>
                <w:szCs w:val="18"/>
                <w:lang w:val="en-GB"/>
              </w:rPr>
              <w:t>Extent of harmonization of sectoral governance frameworks achieved as a result of review findings</w:t>
            </w:r>
          </w:p>
        </w:tc>
        <w:tc>
          <w:tcPr>
            <w:tcW w:w="1270" w:type="dxa"/>
          </w:tcPr>
          <w:p w14:paraId="7CA4E196" w14:textId="77777777" w:rsidR="0018787E" w:rsidRPr="0018787E" w:rsidRDefault="0018787E" w:rsidP="0018787E">
            <w:pPr>
              <w:spacing w:before="40"/>
              <w:rPr>
                <w:sz w:val="18"/>
                <w:szCs w:val="18"/>
                <w:lang w:val="en-GB"/>
              </w:rPr>
            </w:pPr>
            <w:r w:rsidRPr="0018787E">
              <w:rPr>
                <w:sz w:val="18"/>
                <w:szCs w:val="18"/>
                <w:lang w:val="en-GB"/>
              </w:rPr>
              <w:t>Effectiveness of existing legal and institutional frameworks limited by predominantly single sector approaches</w:t>
            </w:r>
          </w:p>
        </w:tc>
        <w:tc>
          <w:tcPr>
            <w:tcW w:w="1109" w:type="dxa"/>
          </w:tcPr>
          <w:p w14:paraId="5C6F38D1" w14:textId="77777777" w:rsidR="0018787E" w:rsidRPr="0018787E" w:rsidRDefault="0018787E" w:rsidP="0018787E">
            <w:pPr>
              <w:rPr>
                <w:sz w:val="18"/>
                <w:szCs w:val="18"/>
                <w:lang w:val="en-GB"/>
              </w:rPr>
            </w:pPr>
            <w:r w:rsidRPr="0018787E">
              <w:rPr>
                <w:sz w:val="18"/>
                <w:szCs w:val="18"/>
                <w:lang w:val="en-GB"/>
              </w:rPr>
              <w:t>National legislation compiled and descriptors of institutional frameworks prepared</w:t>
            </w:r>
          </w:p>
        </w:tc>
        <w:tc>
          <w:tcPr>
            <w:tcW w:w="1291" w:type="dxa"/>
          </w:tcPr>
          <w:p w14:paraId="31E3978C" w14:textId="77777777" w:rsidR="0018787E" w:rsidRPr="0018787E" w:rsidRDefault="0018787E" w:rsidP="0018787E">
            <w:pPr>
              <w:spacing w:before="40"/>
              <w:rPr>
                <w:sz w:val="18"/>
                <w:szCs w:val="18"/>
                <w:lang w:val="en-GB"/>
              </w:rPr>
            </w:pPr>
            <w:r w:rsidRPr="0018787E">
              <w:rPr>
                <w:sz w:val="18"/>
                <w:szCs w:val="18"/>
                <w:lang w:val="en-GB"/>
              </w:rPr>
              <w:t>Review of legislative and institutional frameworks for land-based pollution management in participating countries</w:t>
            </w:r>
          </w:p>
        </w:tc>
        <w:tc>
          <w:tcPr>
            <w:tcW w:w="1269" w:type="dxa"/>
          </w:tcPr>
          <w:p w14:paraId="0339A5BD" w14:textId="77777777" w:rsidR="0018787E" w:rsidRPr="0018787E" w:rsidRDefault="0018787E" w:rsidP="0018787E">
            <w:pPr>
              <w:spacing w:before="40"/>
              <w:rPr>
                <w:bCs/>
                <w:sz w:val="18"/>
                <w:szCs w:val="18"/>
                <w:lang w:val="en-GB"/>
              </w:rPr>
            </w:pPr>
            <w:r w:rsidRPr="0018787E">
              <w:rPr>
                <w:bCs/>
                <w:sz w:val="18"/>
                <w:szCs w:val="18"/>
                <w:lang w:val="en-GB"/>
              </w:rPr>
              <w:t>Review published and shared regionally</w:t>
            </w:r>
          </w:p>
        </w:tc>
        <w:tc>
          <w:tcPr>
            <w:tcW w:w="1440" w:type="dxa"/>
          </w:tcPr>
          <w:p w14:paraId="5597E8E6" w14:textId="77777777" w:rsidR="0018787E" w:rsidRPr="0018787E" w:rsidRDefault="0018787E" w:rsidP="0018787E">
            <w:pPr>
              <w:rPr>
                <w:sz w:val="18"/>
                <w:szCs w:val="18"/>
                <w:lang w:val="en-GB"/>
              </w:rPr>
            </w:pPr>
            <w:r w:rsidRPr="0018787E">
              <w:rPr>
                <w:sz w:val="18"/>
                <w:szCs w:val="18"/>
                <w:lang w:val="en-GB"/>
              </w:rPr>
              <w:t>Quarterly</w:t>
            </w:r>
          </w:p>
          <w:p w14:paraId="3FCEA3F6" w14:textId="77777777" w:rsidR="0018787E" w:rsidRPr="0018787E" w:rsidRDefault="0018787E" w:rsidP="0018787E">
            <w:pPr>
              <w:rPr>
                <w:sz w:val="18"/>
                <w:szCs w:val="18"/>
                <w:lang w:val="en-GB"/>
              </w:rPr>
            </w:pPr>
          </w:p>
          <w:p w14:paraId="7574EE21" w14:textId="77777777" w:rsidR="0018787E" w:rsidRPr="0018787E" w:rsidRDefault="0018787E" w:rsidP="0018787E">
            <w:pPr>
              <w:rPr>
                <w:sz w:val="18"/>
                <w:szCs w:val="18"/>
                <w:lang w:val="en-GB"/>
              </w:rPr>
            </w:pPr>
          </w:p>
          <w:p w14:paraId="21E0590F" w14:textId="77777777" w:rsidR="0018787E" w:rsidRPr="0018787E" w:rsidRDefault="0018787E" w:rsidP="0018787E">
            <w:pPr>
              <w:rPr>
                <w:sz w:val="18"/>
                <w:szCs w:val="18"/>
                <w:lang w:val="en-GB"/>
              </w:rPr>
            </w:pPr>
          </w:p>
          <w:p w14:paraId="36C54BAC" w14:textId="77777777" w:rsidR="0018787E" w:rsidRPr="0018787E" w:rsidRDefault="0018787E" w:rsidP="0018787E">
            <w:pPr>
              <w:rPr>
                <w:sz w:val="18"/>
                <w:szCs w:val="18"/>
                <w:lang w:val="en-GB"/>
              </w:rPr>
            </w:pPr>
            <w:r w:rsidRPr="0018787E">
              <w:rPr>
                <w:sz w:val="18"/>
                <w:szCs w:val="18"/>
                <w:lang w:val="en-GB"/>
              </w:rPr>
              <w:t>Biannually</w:t>
            </w:r>
          </w:p>
          <w:p w14:paraId="49F4DA4E" w14:textId="77777777" w:rsidR="0018787E" w:rsidRPr="0018787E" w:rsidRDefault="0018787E" w:rsidP="0018787E">
            <w:pPr>
              <w:rPr>
                <w:sz w:val="18"/>
                <w:szCs w:val="18"/>
                <w:lang w:val="en-GB"/>
              </w:rPr>
            </w:pPr>
          </w:p>
          <w:p w14:paraId="5167AD7D" w14:textId="77777777" w:rsidR="0018787E" w:rsidRPr="0018787E" w:rsidRDefault="0018787E" w:rsidP="0018787E">
            <w:pPr>
              <w:rPr>
                <w:sz w:val="18"/>
                <w:szCs w:val="18"/>
                <w:lang w:val="en-GB"/>
              </w:rPr>
            </w:pPr>
          </w:p>
          <w:p w14:paraId="1177755F" w14:textId="77777777" w:rsidR="0018787E" w:rsidRPr="0018787E" w:rsidRDefault="0018787E" w:rsidP="0018787E">
            <w:pPr>
              <w:rPr>
                <w:sz w:val="18"/>
                <w:szCs w:val="18"/>
                <w:lang w:val="en-GB"/>
              </w:rPr>
            </w:pPr>
          </w:p>
          <w:p w14:paraId="2EDE72A3"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26E0A8BD" w14:textId="77777777" w:rsidR="0018787E" w:rsidRPr="0018787E" w:rsidRDefault="0018787E" w:rsidP="0018787E">
            <w:pPr>
              <w:rPr>
                <w:sz w:val="18"/>
                <w:szCs w:val="18"/>
                <w:lang w:val="en-GB"/>
              </w:rPr>
            </w:pPr>
            <w:r w:rsidRPr="0018787E">
              <w:rPr>
                <w:sz w:val="18"/>
                <w:szCs w:val="18"/>
                <w:lang w:val="en-GB"/>
              </w:rPr>
              <w:t>National-level</w:t>
            </w:r>
          </w:p>
          <w:p w14:paraId="13B6261E" w14:textId="77777777" w:rsidR="0018787E" w:rsidRPr="0018787E" w:rsidRDefault="0018787E" w:rsidP="0018787E">
            <w:pPr>
              <w:rPr>
                <w:sz w:val="18"/>
                <w:szCs w:val="18"/>
                <w:lang w:val="en-GB"/>
              </w:rPr>
            </w:pPr>
          </w:p>
          <w:p w14:paraId="4DE0FD00" w14:textId="77777777" w:rsidR="0018787E" w:rsidRPr="0018787E" w:rsidRDefault="0018787E" w:rsidP="0018787E">
            <w:pPr>
              <w:rPr>
                <w:sz w:val="18"/>
                <w:szCs w:val="18"/>
                <w:lang w:val="en-GB"/>
              </w:rPr>
            </w:pPr>
          </w:p>
          <w:p w14:paraId="4B56DA5E" w14:textId="77777777" w:rsidR="0018787E" w:rsidRPr="0018787E" w:rsidRDefault="0018787E" w:rsidP="0018787E">
            <w:pPr>
              <w:rPr>
                <w:sz w:val="18"/>
                <w:szCs w:val="18"/>
                <w:lang w:val="en-GB"/>
              </w:rPr>
            </w:pPr>
            <w:r w:rsidRPr="0018787E">
              <w:rPr>
                <w:sz w:val="18"/>
                <w:szCs w:val="18"/>
                <w:lang w:val="en-GB"/>
              </w:rPr>
              <w:t>National-level</w:t>
            </w:r>
          </w:p>
          <w:p w14:paraId="5E041B2B" w14:textId="77777777" w:rsidR="0018787E" w:rsidRPr="0018787E" w:rsidRDefault="0018787E" w:rsidP="0018787E">
            <w:pPr>
              <w:rPr>
                <w:sz w:val="18"/>
                <w:szCs w:val="18"/>
                <w:lang w:val="en-GB"/>
              </w:rPr>
            </w:pPr>
          </w:p>
          <w:p w14:paraId="5E932459" w14:textId="77777777" w:rsidR="0018787E" w:rsidRPr="0018787E" w:rsidRDefault="0018787E" w:rsidP="0018787E">
            <w:pPr>
              <w:rPr>
                <w:sz w:val="18"/>
                <w:szCs w:val="18"/>
                <w:lang w:val="en-GB"/>
              </w:rPr>
            </w:pPr>
          </w:p>
          <w:p w14:paraId="4DE66178"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1A360B18"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Land-based Pollution committees</w:t>
            </w:r>
          </w:p>
          <w:p w14:paraId="26544AA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0AC16FBF"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39E89BE6"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2BB19229"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4443815D" w14:textId="77777777" w:rsidTr="0018787E">
        <w:tc>
          <w:tcPr>
            <w:tcW w:w="1319" w:type="dxa"/>
            <w:vMerge/>
          </w:tcPr>
          <w:p w14:paraId="13CE75F4" w14:textId="77777777" w:rsidR="0018787E" w:rsidRPr="0018787E" w:rsidRDefault="0018787E" w:rsidP="0018787E">
            <w:pPr>
              <w:rPr>
                <w:sz w:val="18"/>
                <w:szCs w:val="18"/>
                <w:lang w:val="en-GB"/>
              </w:rPr>
            </w:pPr>
          </w:p>
        </w:tc>
        <w:tc>
          <w:tcPr>
            <w:tcW w:w="1270" w:type="dxa"/>
          </w:tcPr>
          <w:p w14:paraId="728FBF0B" w14:textId="77777777" w:rsidR="0018787E" w:rsidRPr="0018787E" w:rsidRDefault="0018787E" w:rsidP="0018787E">
            <w:pPr>
              <w:spacing w:before="40"/>
              <w:rPr>
                <w:bCs/>
                <w:sz w:val="18"/>
                <w:szCs w:val="18"/>
                <w:lang w:val="en-GB"/>
              </w:rPr>
            </w:pPr>
            <w:r w:rsidRPr="0018787E">
              <w:rPr>
                <w:bCs/>
                <w:sz w:val="18"/>
                <w:szCs w:val="18"/>
                <w:lang w:val="en-GB"/>
              </w:rPr>
              <w:t>Number of countries participating and adopting harmonized, regionally comparable SOPs</w:t>
            </w:r>
          </w:p>
        </w:tc>
        <w:tc>
          <w:tcPr>
            <w:tcW w:w="1270" w:type="dxa"/>
          </w:tcPr>
          <w:p w14:paraId="0FA10C0D" w14:textId="77777777" w:rsidR="0018787E" w:rsidRPr="0018787E" w:rsidRDefault="0018787E" w:rsidP="0018787E">
            <w:pPr>
              <w:spacing w:before="40"/>
              <w:rPr>
                <w:sz w:val="18"/>
                <w:szCs w:val="18"/>
                <w:lang w:val="en-GB"/>
              </w:rPr>
            </w:pPr>
            <w:r w:rsidRPr="0018787E">
              <w:rPr>
                <w:sz w:val="18"/>
                <w:szCs w:val="18"/>
                <w:lang w:val="en-GB"/>
              </w:rPr>
              <w:t>Lack of Standard Operating Procedures for land-based pollution management</w:t>
            </w:r>
          </w:p>
        </w:tc>
        <w:tc>
          <w:tcPr>
            <w:tcW w:w="1109" w:type="dxa"/>
          </w:tcPr>
          <w:p w14:paraId="3057F65C" w14:textId="77777777" w:rsidR="0018787E" w:rsidRPr="0018787E" w:rsidRDefault="0018787E" w:rsidP="0018787E">
            <w:pPr>
              <w:rPr>
                <w:sz w:val="18"/>
                <w:szCs w:val="18"/>
                <w:lang w:val="en-GB"/>
              </w:rPr>
            </w:pPr>
            <w:r w:rsidRPr="0018787E">
              <w:rPr>
                <w:sz w:val="18"/>
                <w:szCs w:val="18"/>
                <w:lang w:val="en-GB"/>
              </w:rPr>
              <w:t>Guidelines developed and agreed via regional and national consultations</w:t>
            </w:r>
          </w:p>
        </w:tc>
        <w:tc>
          <w:tcPr>
            <w:tcW w:w="1291" w:type="dxa"/>
          </w:tcPr>
          <w:p w14:paraId="399304A2" w14:textId="77777777" w:rsidR="0018787E" w:rsidRPr="0018787E" w:rsidRDefault="0018787E" w:rsidP="0018787E">
            <w:pPr>
              <w:spacing w:before="40"/>
              <w:rPr>
                <w:sz w:val="18"/>
                <w:szCs w:val="18"/>
                <w:lang w:val="en-GB"/>
              </w:rPr>
            </w:pPr>
            <w:r w:rsidRPr="0018787E">
              <w:rPr>
                <w:sz w:val="18"/>
                <w:szCs w:val="18"/>
                <w:lang w:val="en-GB"/>
              </w:rPr>
              <w:t>Harmonized national Standard Operating Procedures for land-based pollution control and management [including agreed sediment, biota, &amp; water quality criteria]</w:t>
            </w:r>
          </w:p>
        </w:tc>
        <w:tc>
          <w:tcPr>
            <w:tcW w:w="1269" w:type="dxa"/>
          </w:tcPr>
          <w:p w14:paraId="58259331" w14:textId="77777777" w:rsidR="0018787E" w:rsidRPr="0018787E" w:rsidRDefault="0018787E" w:rsidP="0018787E">
            <w:pPr>
              <w:spacing w:before="40"/>
              <w:rPr>
                <w:bCs/>
                <w:sz w:val="18"/>
                <w:szCs w:val="18"/>
                <w:lang w:val="en-GB"/>
              </w:rPr>
            </w:pPr>
            <w:r w:rsidRPr="0018787E">
              <w:rPr>
                <w:bCs/>
                <w:sz w:val="18"/>
                <w:szCs w:val="18"/>
                <w:lang w:val="en-GB"/>
              </w:rPr>
              <w:t>Regional guidelines on Standard Operating Procedures published</w:t>
            </w:r>
          </w:p>
          <w:p w14:paraId="348C9E8F" w14:textId="77777777" w:rsidR="0018787E" w:rsidRPr="0018787E" w:rsidRDefault="0018787E" w:rsidP="0018787E">
            <w:pPr>
              <w:spacing w:before="40"/>
              <w:rPr>
                <w:bCs/>
                <w:sz w:val="18"/>
                <w:szCs w:val="18"/>
                <w:lang w:val="en-GB"/>
              </w:rPr>
            </w:pPr>
            <w:r w:rsidRPr="0018787E">
              <w:rPr>
                <w:bCs/>
                <w:sz w:val="18"/>
                <w:szCs w:val="18"/>
                <w:lang w:val="en-GB"/>
              </w:rPr>
              <w:t>Adopted National Standard Operating Procedures available online</w:t>
            </w:r>
          </w:p>
        </w:tc>
        <w:tc>
          <w:tcPr>
            <w:tcW w:w="1440" w:type="dxa"/>
          </w:tcPr>
          <w:p w14:paraId="11ABB309" w14:textId="77777777" w:rsidR="0018787E" w:rsidRPr="0018787E" w:rsidRDefault="0018787E" w:rsidP="0018787E">
            <w:pPr>
              <w:rPr>
                <w:sz w:val="18"/>
                <w:szCs w:val="18"/>
                <w:lang w:val="en-GB"/>
              </w:rPr>
            </w:pPr>
            <w:r w:rsidRPr="0018787E">
              <w:rPr>
                <w:sz w:val="18"/>
                <w:szCs w:val="18"/>
                <w:lang w:val="en-GB"/>
              </w:rPr>
              <w:t>Quarterly</w:t>
            </w:r>
          </w:p>
          <w:p w14:paraId="03002702" w14:textId="77777777" w:rsidR="0018787E" w:rsidRPr="0018787E" w:rsidRDefault="0018787E" w:rsidP="0018787E">
            <w:pPr>
              <w:rPr>
                <w:sz w:val="18"/>
                <w:szCs w:val="18"/>
                <w:lang w:val="en-GB"/>
              </w:rPr>
            </w:pPr>
          </w:p>
          <w:p w14:paraId="37E516D3" w14:textId="77777777" w:rsidR="0018787E" w:rsidRPr="0018787E" w:rsidRDefault="0018787E" w:rsidP="0018787E">
            <w:pPr>
              <w:rPr>
                <w:sz w:val="18"/>
                <w:szCs w:val="18"/>
                <w:lang w:val="en-GB"/>
              </w:rPr>
            </w:pPr>
          </w:p>
          <w:p w14:paraId="6AA95EBD" w14:textId="77777777" w:rsidR="0018787E" w:rsidRPr="0018787E" w:rsidRDefault="0018787E" w:rsidP="0018787E">
            <w:pPr>
              <w:rPr>
                <w:sz w:val="18"/>
                <w:szCs w:val="18"/>
                <w:lang w:val="en-GB"/>
              </w:rPr>
            </w:pPr>
          </w:p>
          <w:p w14:paraId="7EA47171" w14:textId="77777777" w:rsidR="0018787E" w:rsidRPr="0018787E" w:rsidRDefault="0018787E" w:rsidP="0018787E">
            <w:pPr>
              <w:rPr>
                <w:sz w:val="18"/>
                <w:szCs w:val="18"/>
                <w:lang w:val="en-GB"/>
              </w:rPr>
            </w:pPr>
            <w:r w:rsidRPr="0018787E">
              <w:rPr>
                <w:sz w:val="18"/>
                <w:szCs w:val="18"/>
                <w:lang w:val="en-GB"/>
              </w:rPr>
              <w:t>Biannually</w:t>
            </w:r>
          </w:p>
          <w:p w14:paraId="05A0F4C4" w14:textId="77777777" w:rsidR="0018787E" w:rsidRPr="0018787E" w:rsidRDefault="0018787E" w:rsidP="0018787E">
            <w:pPr>
              <w:rPr>
                <w:sz w:val="18"/>
                <w:szCs w:val="18"/>
                <w:lang w:val="en-GB"/>
              </w:rPr>
            </w:pPr>
          </w:p>
          <w:p w14:paraId="0ADAA84C" w14:textId="77777777" w:rsidR="0018787E" w:rsidRPr="0018787E" w:rsidRDefault="0018787E" w:rsidP="0018787E">
            <w:pPr>
              <w:rPr>
                <w:sz w:val="18"/>
                <w:szCs w:val="18"/>
                <w:lang w:val="en-GB"/>
              </w:rPr>
            </w:pPr>
          </w:p>
          <w:p w14:paraId="01771BB8" w14:textId="77777777" w:rsidR="0018787E" w:rsidRPr="0018787E" w:rsidRDefault="0018787E" w:rsidP="0018787E">
            <w:pPr>
              <w:rPr>
                <w:sz w:val="18"/>
                <w:szCs w:val="18"/>
                <w:lang w:val="en-GB"/>
              </w:rPr>
            </w:pPr>
          </w:p>
          <w:p w14:paraId="516F067C" w14:textId="77777777" w:rsidR="0018787E" w:rsidRPr="0018787E" w:rsidRDefault="0018787E" w:rsidP="0018787E">
            <w:pPr>
              <w:rPr>
                <w:sz w:val="18"/>
                <w:szCs w:val="18"/>
                <w:lang w:val="en-GB"/>
              </w:rPr>
            </w:pPr>
            <w:r w:rsidRPr="0018787E">
              <w:rPr>
                <w:sz w:val="18"/>
                <w:szCs w:val="18"/>
                <w:lang w:val="en-GB"/>
              </w:rPr>
              <w:t>Biannually</w:t>
            </w:r>
          </w:p>
          <w:p w14:paraId="2B589612" w14:textId="77777777" w:rsidR="0018787E" w:rsidRPr="0018787E" w:rsidRDefault="0018787E" w:rsidP="0018787E">
            <w:pPr>
              <w:rPr>
                <w:sz w:val="18"/>
                <w:szCs w:val="18"/>
                <w:lang w:val="en-GB"/>
              </w:rPr>
            </w:pPr>
          </w:p>
          <w:p w14:paraId="0081F960" w14:textId="77777777" w:rsidR="0018787E" w:rsidRPr="0018787E" w:rsidRDefault="0018787E" w:rsidP="0018787E">
            <w:pPr>
              <w:rPr>
                <w:sz w:val="18"/>
                <w:szCs w:val="18"/>
                <w:lang w:val="en-GB"/>
              </w:rPr>
            </w:pPr>
          </w:p>
          <w:p w14:paraId="15487A45"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18876ADB" w14:textId="77777777" w:rsidR="0018787E" w:rsidRPr="0018787E" w:rsidRDefault="0018787E" w:rsidP="0018787E">
            <w:pPr>
              <w:rPr>
                <w:sz w:val="18"/>
                <w:szCs w:val="18"/>
                <w:lang w:val="en-GB"/>
              </w:rPr>
            </w:pPr>
            <w:r w:rsidRPr="0018787E">
              <w:rPr>
                <w:sz w:val="18"/>
                <w:szCs w:val="18"/>
                <w:lang w:val="en-GB"/>
              </w:rPr>
              <w:t>National-level</w:t>
            </w:r>
          </w:p>
          <w:p w14:paraId="1E1B24F8" w14:textId="77777777" w:rsidR="0018787E" w:rsidRPr="0018787E" w:rsidRDefault="0018787E" w:rsidP="0018787E">
            <w:pPr>
              <w:rPr>
                <w:sz w:val="18"/>
                <w:szCs w:val="18"/>
                <w:lang w:val="en-GB"/>
              </w:rPr>
            </w:pPr>
          </w:p>
          <w:p w14:paraId="12661247" w14:textId="77777777" w:rsidR="0018787E" w:rsidRPr="0018787E" w:rsidRDefault="0018787E" w:rsidP="0018787E">
            <w:pPr>
              <w:rPr>
                <w:sz w:val="18"/>
                <w:szCs w:val="18"/>
                <w:lang w:val="en-GB"/>
              </w:rPr>
            </w:pPr>
          </w:p>
          <w:p w14:paraId="70D7F742" w14:textId="77777777" w:rsidR="0018787E" w:rsidRPr="0018787E" w:rsidRDefault="0018787E" w:rsidP="0018787E">
            <w:pPr>
              <w:rPr>
                <w:sz w:val="18"/>
                <w:szCs w:val="18"/>
                <w:lang w:val="en-GB"/>
              </w:rPr>
            </w:pPr>
            <w:r w:rsidRPr="0018787E">
              <w:rPr>
                <w:sz w:val="18"/>
                <w:szCs w:val="18"/>
                <w:lang w:val="en-GB"/>
              </w:rPr>
              <w:t>National-level</w:t>
            </w:r>
          </w:p>
          <w:p w14:paraId="28358FC8" w14:textId="77777777" w:rsidR="0018787E" w:rsidRPr="0018787E" w:rsidRDefault="0018787E" w:rsidP="0018787E">
            <w:pPr>
              <w:rPr>
                <w:sz w:val="18"/>
                <w:szCs w:val="18"/>
                <w:lang w:val="en-GB"/>
              </w:rPr>
            </w:pPr>
          </w:p>
          <w:p w14:paraId="29D9C400" w14:textId="77777777" w:rsidR="0018787E" w:rsidRPr="0018787E" w:rsidRDefault="0018787E" w:rsidP="0018787E">
            <w:pPr>
              <w:rPr>
                <w:sz w:val="18"/>
                <w:szCs w:val="18"/>
                <w:lang w:val="en-GB"/>
              </w:rPr>
            </w:pPr>
          </w:p>
          <w:p w14:paraId="2240ED66" w14:textId="77777777" w:rsidR="0018787E" w:rsidRPr="0018787E" w:rsidRDefault="0018787E" w:rsidP="0018787E">
            <w:pPr>
              <w:rPr>
                <w:sz w:val="18"/>
                <w:szCs w:val="18"/>
                <w:lang w:val="en-GB"/>
              </w:rPr>
            </w:pPr>
            <w:r w:rsidRPr="0018787E">
              <w:rPr>
                <w:sz w:val="18"/>
                <w:szCs w:val="18"/>
                <w:lang w:val="en-GB"/>
              </w:rPr>
              <w:t>Regional-level</w:t>
            </w:r>
          </w:p>
          <w:p w14:paraId="2FE01AC7" w14:textId="77777777" w:rsidR="0018787E" w:rsidRPr="0018787E" w:rsidRDefault="0018787E" w:rsidP="0018787E">
            <w:pPr>
              <w:rPr>
                <w:sz w:val="18"/>
                <w:szCs w:val="18"/>
                <w:lang w:val="en-GB"/>
              </w:rPr>
            </w:pPr>
          </w:p>
          <w:p w14:paraId="43700B07" w14:textId="77777777" w:rsidR="0018787E" w:rsidRPr="0018787E" w:rsidRDefault="0018787E" w:rsidP="0018787E">
            <w:pPr>
              <w:rPr>
                <w:sz w:val="18"/>
                <w:szCs w:val="18"/>
                <w:lang w:val="en-GB"/>
              </w:rPr>
            </w:pPr>
          </w:p>
          <w:p w14:paraId="3C63D101"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5C55D57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Land-based Pollution committees</w:t>
            </w:r>
          </w:p>
          <w:p w14:paraId="63EA7E8F"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36060F5D"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21882D57"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0040322F"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39D1E4CE"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611A2192" w14:textId="77777777" w:rsidTr="0018787E">
        <w:tc>
          <w:tcPr>
            <w:tcW w:w="1319" w:type="dxa"/>
            <w:vMerge/>
          </w:tcPr>
          <w:p w14:paraId="6CC69C6E" w14:textId="77777777" w:rsidR="0018787E" w:rsidRPr="0018787E" w:rsidRDefault="0018787E" w:rsidP="0018787E">
            <w:pPr>
              <w:rPr>
                <w:sz w:val="18"/>
                <w:szCs w:val="18"/>
                <w:lang w:val="en-GB"/>
              </w:rPr>
            </w:pPr>
          </w:p>
        </w:tc>
        <w:tc>
          <w:tcPr>
            <w:tcW w:w="1270" w:type="dxa"/>
          </w:tcPr>
          <w:p w14:paraId="1A6C2B63" w14:textId="77777777" w:rsidR="0018787E" w:rsidRPr="0018787E" w:rsidRDefault="0018787E" w:rsidP="0018787E">
            <w:pPr>
              <w:spacing w:before="40"/>
              <w:rPr>
                <w:bCs/>
                <w:sz w:val="18"/>
                <w:szCs w:val="18"/>
                <w:lang w:val="en-GB"/>
              </w:rPr>
            </w:pPr>
            <w:r w:rsidRPr="0018787E">
              <w:rPr>
                <w:bCs/>
                <w:sz w:val="18"/>
                <w:szCs w:val="18"/>
                <w:lang w:val="en-GB"/>
              </w:rPr>
              <w:t>Status of endorsement of national policies and enactment of laws and regulations for land-based pollution control</w:t>
            </w:r>
          </w:p>
        </w:tc>
        <w:tc>
          <w:tcPr>
            <w:tcW w:w="1270" w:type="dxa"/>
          </w:tcPr>
          <w:p w14:paraId="42C93F85" w14:textId="77777777" w:rsidR="0018787E" w:rsidRPr="0018787E" w:rsidRDefault="0018787E" w:rsidP="0018787E">
            <w:pPr>
              <w:spacing w:before="40"/>
              <w:rPr>
                <w:sz w:val="18"/>
                <w:szCs w:val="18"/>
                <w:lang w:val="en-GB"/>
              </w:rPr>
            </w:pPr>
            <w:r w:rsidRPr="0018787E">
              <w:rPr>
                <w:sz w:val="18"/>
                <w:szCs w:val="18"/>
                <w:lang w:val="en-GB"/>
              </w:rPr>
              <w:t>Absence of clear and effective policies, laws, and regulations relating to control of land-based pollution</w:t>
            </w:r>
          </w:p>
        </w:tc>
        <w:tc>
          <w:tcPr>
            <w:tcW w:w="1109" w:type="dxa"/>
          </w:tcPr>
          <w:p w14:paraId="3D96A0E4" w14:textId="77777777" w:rsidR="0018787E" w:rsidRPr="0018787E" w:rsidRDefault="0018787E" w:rsidP="0018787E">
            <w:pPr>
              <w:rPr>
                <w:sz w:val="18"/>
                <w:szCs w:val="18"/>
                <w:lang w:val="en-GB"/>
              </w:rPr>
            </w:pPr>
            <w:r w:rsidRPr="0018787E">
              <w:rPr>
                <w:sz w:val="18"/>
                <w:szCs w:val="18"/>
                <w:lang w:val="en-GB"/>
              </w:rPr>
              <w:t>Draft national reports completed</w:t>
            </w:r>
          </w:p>
        </w:tc>
        <w:tc>
          <w:tcPr>
            <w:tcW w:w="1291" w:type="dxa"/>
          </w:tcPr>
          <w:p w14:paraId="56A720EB" w14:textId="77777777" w:rsidR="0018787E" w:rsidRPr="0018787E" w:rsidRDefault="0018787E" w:rsidP="0018787E">
            <w:pPr>
              <w:spacing w:before="40"/>
              <w:rPr>
                <w:sz w:val="18"/>
                <w:szCs w:val="18"/>
                <w:lang w:val="en-GB"/>
              </w:rPr>
            </w:pPr>
            <w:r w:rsidRPr="0018787E">
              <w:rPr>
                <w:sz w:val="18"/>
                <w:szCs w:val="18"/>
                <w:lang w:val="en-GB"/>
              </w:rPr>
              <w:t>Revised national/provincial policies and supporting regulations for land-based pollution developed, enacted and implemented by Yr 5</w:t>
            </w:r>
          </w:p>
        </w:tc>
        <w:tc>
          <w:tcPr>
            <w:tcW w:w="1269" w:type="dxa"/>
          </w:tcPr>
          <w:p w14:paraId="64A6CC42" w14:textId="77777777" w:rsidR="0018787E" w:rsidRPr="0018787E" w:rsidRDefault="0018787E" w:rsidP="0018787E">
            <w:pPr>
              <w:spacing w:before="40"/>
              <w:rPr>
                <w:bCs/>
                <w:sz w:val="18"/>
                <w:szCs w:val="18"/>
                <w:lang w:val="en-GB"/>
              </w:rPr>
            </w:pPr>
            <w:r w:rsidRPr="0018787E">
              <w:rPr>
                <w:bCs/>
                <w:sz w:val="18"/>
                <w:szCs w:val="18"/>
                <w:lang w:val="en-GB"/>
              </w:rPr>
              <w:t>6 * national reports on policy and legal aspects of land-based pollution management</w:t>
            </w:r>
          </w:p>
          <w:p w14:paraId="6DF6E79A" w14:textId="77777777" w:rsidR="0018787E" w:rsidRPr="0018787E" w:rsidRDefault="0018787E" w:rsidP="0018787E">
            <w:pPr>
              <w:spacing w:before="40"/>
              <w:rPr>
                <w:bCs/>
                <w:sz w:val="18"/>
                <w:szCs w:val="18"/>
                <w:lang w:val="en-GB"/>
              </w:rPr>
            </w:pPr>
            <w:r w:rsidRPr="0018787E">
              <w:rPr>
                <w:bCs/>
                <w:sz w:val="18"/>
                <w:szCs w:val="18"/>
                <w:lang w:val="en-GB"/>
              </w:rPr>
              <w:t>Endorsed policy and executive orders, provincial/local ordinances and by-laws</w:t>
            </w:r>
          </w:p>
        </w:tc>
        <w:tc>
          <w:tcPr>
            <w:tcW w:w="1440" w:type="dxa"/>
          </w:tcPr>
          <w:p w14:paraId="341FE0CD" w14:textId="77777777" w:rsidR="0018787E" w:rsidRPr="0018787E" w:rsidRDefault="0018787E" w:rsidP="0018787E">
            <w:pPr>
              <w:rPr>
                <w:sz w:val="18"/>
                <w:szCs w:val="18"/>
                <w:lang w:val="en-GB"/>
              </w:rPr>
            </w:pPr>
            <w:r w:rsidRPr="0018787E">
              <w:rPr>
                <w:sz w:val="18"/>
                <w:szCs w:val="18"/>
                <w:lang w:val="en-GB"/>
              </w:rPr>
              <w:t>Quarterly</w:t>
            </w:r>
          </w:p>
          <w:p w14:paraId="45FFFB01" w14:textId="77777777" w:rsidR="0018787E" w:rsidRPr="0018787E" w:rsidRDefault="0018787E" w:rsidP="0018787E">
            <w:pPr>
              <w:rPr>
                <w:sz w:val="18"/>
                <w:szCs w:val="18"/>
                <w:lang w:val="en-GB"/>
              </w:rPr>
            </w:pPr>
          </w:p>
          <w:p w14:paraId="084D29BC" w14:textId="77777777" w:rsidR="0018787E" w:rsidRPr="0018787E" w:rsidRDefault="0018787E" w:rsidP="0018787E">
            <w:pPr>
              <w:rPr>
                <w:sz w:val="18"/>
                <w:szCs w:val="18"/>
                <w:lang w:val="en-GB"/>
              </w:rPr>
            </w:pPr>
          </w:p>
          <w:p w14:paraId="1346D902" w14:textId="77777777" w:rsidR="0018787E" w:rsidRPr="0018787E" w:rsidRDefault="0018787E" w:rsidP="0018787E">
            <w:pPr>
              <w:rPr>
                <w:sz w:val="18"/>
                <w:szCs w:val="18"/>
                <w:lang w:val="en-GB"/>
              </w:rPr>
            </w:pPr>
          </w:p>
          <w:p w14:paraId="1FFFCEB0" w14:textId="77777777" w:rsidR="0018787E" w:rsidRPr="0018787E" w:rsidRDefault="0018787E" w:rsidP="0018787E">
            <w:pPr>
              <w:rPr>
                <w:sz w:val="18"/>
                <w:szCs w:val="18"/>
                <w:lang w:val="en-GB"/>
              </w:rPr>
            </w:pPr>
            <w:r w:rsidRPr="0018787E">
              <w:rPr>
                <w:sz w:val="18"/>
                <w:szCs w:val="18"/>
                <w:lang w:val="en-GB"/>
              </w:rPr>
              <w:t>Biannually</w:t>
            </w:r>
          </w:p>
          <w:p w14:paraId="33A8E8D1" w14:textId="77777777" w:rsidR="0018787E" w:rsidRPr="0018787E" w:rsidRDefault="0018787E" w:rsidP="0018787E">
            <w:pPr>
              <w:rPr>
                <w:sz w:val="18"/>
                <w:szCs w:val="18"/>
                <w:lang w:val="en-GB"/>
              </w:rPr>
            </w:pPr>
          </w:p>
          <w:p w14:paraId="71F85A36" w14:textId="77777777" w:rsidR="0018787E" w:rsidRPr="0018787E" w:rsidRDefault="0018787E" w:rsidP="0018787E">
            <w:pPr>
              <w:rPr>
                <w:sz w:val="18"/>
                <w:szCs w:val="18"/>
                <w:lang w:val="en-GB"/>
              </w:rPr>
            </w:pPr>
          </w:p>
          <w:p w14:paraId="5FA9C3F9" w14:textId="77777777" w:rsidR="0018787E" w:rsidRPr="0018787E" w:rsidRDefault="0018787E" w:rsidP="0018787E">
            <w:pPr>
              <w:rPr>
                <w:sz w:val="18"/>
                <w:szCs w:val="18"/>
                <w:lang w:val="en-GB"/>
              </w:rPr>
            </w:pPr>
          </w:p>
          <w:p w14:paraId="0ED01920" w14:textId="77777777" w:rsidR="0018787E" w:rsidRPr="0018787E" w:rsidRDefault="0018787E" w:rsidP="0018787E">
            <w:pPr>
              <w:rPr>
                <w:sz w:val="18"/>
                <w:szCs w:val="18"/>
                <w:lang w:val="en-GB"/>
              </w:rPr>
            </w:pPr>
            <w:r w:rsidRPr="0018787E">
              <w:rPr>
                <w:sz w:val="18"/>
                <w:szCs w:val="18"/>
                <w:lang w:val="en-GB"/>
              </w:rPr>
              <w:t>Biannually</w:t>
            </w:r>
          </w:p>
          <w:p w14:paraId="6060A927" w14:textId="77777777" w:rsidR="0018787E" w:rsidRPr="0018787E" w:rsidRDefault="0018787E" w:rsidP="0018787E">
            <w:pPr>
              <w:rPr>
                <w:sz w:val="18"/>
                <w:szCs w:val="18"/>
                <w:lang w:val="en-GB"/>
              </w:rPr>
            </w:pPr>
          </w:p>
          <w:p w14:paraId="774636C6" w14:textId="77777777" w:rsidR="0018787E" w:rsidRPr="0018787E" w:rsidRDefault="0018787E" w:rsidP="0018787E">
            <w:pPr>
              <w:rPr>
                <w:sz w:val="18"/>
                <w:szCs w:val="18"/>
                <w:lang w:val="en-GB"/>
              </w:rPr>
            </w:pPr>
          </w:p>
          <w:p w14:paraId="5BB04290"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13F6793D" w14:textId="77777777" w:rsidR="0018787E" w:rsidRPr="0018787E" w:rsidRDefault="0018787E" w:rsidP="0018787E">
            <w:pPr>
              <w:rPr>
                <w:sz w:val="18"/>
                <w:szCs w:val="18"/>
                <w:lang w:val="en-GB"/>
              </w:rPr>
            </w:pPr>
            <w:r w:rsidRPr="0018787E">
              <w:rPr>
                <w:sz w:val="18"/>
                <w:szCs w:val="18"/>
                <w:lang w:val="en-GB"/>
              </w:rPr>
              <w:t>National-level</w:t>
            </w:r>
          </w:p>
          <w:p w14:paraId="7195D45A" w14:textId="77777777" w:rsidR="0018787E" w:rsidRPr="0018787E" w:rsidRDefault="0018787E" w:rsidP="0018787E">
            <w:pPr>
              <w:rPr>
                <w:sz w:val="18"/>
                <w:szCs w:val="18"/>
                <w:lang w:val="en-GB"/>
              </w:rPr>
            </w:pPr>
          </w:p>
          <w:p w14:paraId="1C006D92" w14:textId="77777777" w:rsidR="0018787E" w:rsidRPr="0018787E" w:rsidRDefault="0018787E" w:rsidP="0018787E">
            <w:pPr>
              <w:rPr>
                <w:sz w:val="18"/>
                <w:szCs w:val="18"/>
                <w:lang w:val="en-GB"/>
              </w:rPr>
            </w:pPr>
          </w:p>
          <w:p w14:paraId="57782AAB" w14:textId="77777777" w:rsidR="0018787E" w:rsidRPr="0018787E" w:rsidRDefault="0018787E" w:rsidP="0018787E">
            <w:pPr>
              <w:rPr>
                <w:sz w:val="18"/>
                <w:szCs w:val="18"/>
                <w:lang w:val="en-GB"/>
              </w:rPr>
            </w:pPr>
            <w:r w:rsidRPr="0018787E">
              <w:rPr>
                <w:sz w:val="18"/>
                <w:szCs w:val="18"/>
                <w:lang w:val="en-GB"/>
              </w:rPr>
              <w:t>National-level</w:t>
            </w:r>
          </w:p>
          <w:p w14:paraId="3809B78A" w14:textId="77777777" w:rsidR="0018787E" w:rsidRPr="0018787E" w:rsidRDefault="0018787E" w:rsidP="0018787E">
            <w:pPr>
              <w:rPr>
                <w:sz w:val="18"/>
                <w:szCs w:val="18"/>
                <w:lang w:val="en-GB"/>
              </w:rPr>
            </w:pPr>
          </w:p>
          <w:p w14:paraId="67D305AB" w14:textId="77777777" w:rsidR="0018787E" w:rsidRPr="0018787E" w:rsidRDefault="0018787E" w:rsidP="0018787E">
            <w:pPr>
              <w:rPr>
                <w:sz w:val="18"/>
                <w:szCs w:val="18"/>
                <w:lang w:val="en-GB"/>
              </w:rPr>
            </w:pPr>
          </w:p>
          <w:p w14:paraId="258D577A" w14:textId="77777777" w:rsidR="0018787E" w:rsidRPr="0018787E" w:rsidRDefault="0018787E" w:rsidP="0018787E">
            <w:pPr>
              <w:rPr>
                <w:sz w:val="18"/>
                <w:szCs w:val="18"/>
                <w:lang w:val="en-GB"/>
              </w:rPr>
            </w:pPr>
            <w:r w:rsidRPr="0018787E">
              <w:rPr>
                <w:sz w:val="18"/>
                <w:szCs w:val="18"/>
                <w:lang w:val="en-GB"/>
              </w:rPr>
              <w:t>Regional-level</w:t>
            </w:r>
          </w:p>
          <w:p w14:paraId="3A619B71" w14:textId="77777777" w:rsidR="0018787E" w:rsidRPr="0018787E" w:rsidRDefault="0018787E" w:rsidP="0018787E">
            <w:pPr>
              <w:rPr>
                <w:sz w:val="18"/>
                <w:szCs w:val="18"/>
                <w:lang w:val="en-GB"/>
              </w:rPr>
            </w:pPr>
          </w:p>
          <w:p w14:paraId="4D9519C3" w14:textId="77777777" w:rsidR="0018787E" w:rsidRPr="0018787E" w:rsidRDefault="0018787E" w:rsidP="0018787E">
            <w:pPr>
              <w:rPr>
                <w:sz w:val="18"/>
                <w:szCs w:val="18"/>
                <w:lang w:val="en-GB"/>
              </w:rPr>
            </w:pPr>
          </w:p>
          <w:p w14:paraId="6C0A3444"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5E83FA28"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Land-based Pollution committees</w:t>
            </w:r>
          </w:p>
          <w:p w14:paraId="0820A847"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67E453CD"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3D6FDF87"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07DF01C8"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115410ED"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07494E84" w14:textId="77777777" w:rsidTr="0018787E">
        <w:tc>
          <w:tcPr>
            <w:tcW w:w="1319" w:type="dxa"/>
            <w:vMerge/>
          </w:tcPr>
          <w:p w14:paraId="4286D733" w14:textId="77777777" w:rsidR="0018787E" w:rsidRPr="0018787E" w:rsidRDefault="0018787E" w:rsidP="0018787E">
            <w:pPr>
              <w:rPr>
                <w:sz w:val="18"/>
                <w:szCs w:val="18"/>
                <w:lang w:val="en-GB"/>
              </w:rPr>
            </w:pPr>
          </w:p>
        </w:tc>
        <w:tc>
          <w:tcPr>
            <w:tcW w:w="1270" w:type="dxa"/>
          </w:tcPr>
          <w:p w14:paraId="49FA8E5A" w14:textId="77777777" w:rsidR="0018787E" w:rsidRPr="0018787E" w:rsidRDefault="0018787E" w:rsidP="0018787E">
            <w:pPr>
              <w:spacing w:before="40"/>
              <w:rPr>
                <w:bCs/>
                <w:sz w:val="18"/>
                <w:szCs w:val="18"/>
                <w:lang w:val="en-GB"/>
              </w:rPr>
            </w:pPr>
            <w:r w:rsidRPr="0018787E">
              <w:rPr>
                <w:bCs/>
                <w:sz w:val="18"/>
                <w:szCs w:val="18"/>
                <w:lang w:val="en-GB"/>
              </w:rPr>
              <w:t>Status of endorsement of National Investment Plans</w:t>
            </w:r>
          </w:p>
          <w:p w14:paraId="2C33EFD5" w14:textId="77777777" w:rsidR="0018787E" w:rsidRPr="0018787E" w:rsidRDefault="0018787E" w:rsidP="0018787E">
            <w:pPr>
              <w:spacing w:before="40"/>
              <w:rPr>
                <w:bCs/>
                <w:sz w:val="18"/>
                <w:szCs w:val="18"/>
                <w:lang w:val="en-GB"/>
              </w:rPr>
            </w:pPr>
          </w:p>
          <w:p w14:paraId="5F848FC0" w14:textId="77777777" w:rsidR="0018787E" w:rsidRPr="0018787E" w:rsidRDefault="0018787E" w:rsidP="0018787E">
            <w:pPr>
              <w:spacing w:before="40"/>
              <w:rPr>
                <w:bCs/>
                <w:sz w:val="18"/>
                <w:szCs w:val="18"/>
                <w:lang w:val="en-GB"/>
              </w:rPr>
            </w:pPr>
            <w:r w:rsidRPr="0018787E">
              <w:rPr>
                <w:bCs/>
                <w:sz w:val="18"/>
                <w:szCs w:val="18"/>
                <w:lang w:val="en-GB"/>
              </w:rPr>
              <w:t>Number of participating countries adopting National Investment Plans</w:t>
            </w:r>
          </w:p>
        </w:tc>
        <w:tc>
          <w:tcPr>
            <w:tcW w:w="1270" w:type="dxa"/>
          </w:tcPr>
          <w:p w14:paraId="7B8B9CA0" w14:textId="77777777" w:rsidR="0018787E" w:rsidRPr="0018787E" w:rsidRDefault="0018787E" w:rsidP="0018787E">
            <w:pPr>
              <w:spacing w:before="40"/>
              <w:rPr>
                <w:sz w:val="18"/>
                <w:szCs w:val="18"/>
                <w:lang w:val="en-GB"/>
              </w:rPr>
            </w:pPr>
            <w:r w:rsidRPr="0018787E">
              <w:rPr>
                <w:sz w:val="18"/>
                <w:szCs w:val="18"/>
                <w:lang w:val="en-GB"/>
              </w:rPr>
              <w:t>Guidelines for assessing the economic impacts of land-based pollution developed but not yet applied as part of benefit-cost analysis of pollution mgmt. in the SCS</w:t>
            </w:r>
          </w:p>
        </w:tc>
        <w:tc>
          <w:tcPr>
            <w:tcW w:w="1109" w:type="dxa"/>
          </w:tcPr>
          <w:p w14:paraId="3604AB33" w14:textId="77777777" w:rsidR="0018787E" w:rsidRPr="0018787E" w:rsidRDefault="0018787E" w:rsidP="0018787E">
            <w:pPr>
              <w:rPr>
                <w:sz w:val="18"/>
                <w:szCs w:val="18"/>
                <w:lang w:val="en-GB"/>
              </w:rPr>
            </w:pPr>
            <w:r w:rsidRPr="0018787E">
              <w:rPr>
                <w:sz w:val="18"/>
                <w:szCs w:val="18"/>
                <w:lang w:val="en-GB"/>
              </w:rPr>
              <w:t>Framework investment plan developed and shared with participating countries for comment</w:t>
            </w:r>
          </w:p>
        </w:tc>
        <w:tc>
          <w:tcPr>
            <w:tcW w:w="1291" w:type="dxa"/>
          </w:tcPr>
          <w:p w14:paraId="6C288DC7" w14:textId="77777777" w:rsidR="0018787E" w:rsidRPr="0018787E" w:rsidRDefault="0018787E" w:rsidP="0018787E">
            <w:pPr>
              <w:spacing w:before="40"/>
              <w:rPr>
                <w:sz w:val="18"/>
                <w:szCs w:val="18"/>
                <w:lang w:val="en-GB"/>
              </w:rPr>
            </w:pPr>
            <w:r w:rsidRPr="0018787E">
              <w:rPr>
                <w:sz w:val="18"/>
                <w:szCs w:val="18"/>
                <w:lang w:val="en-GB"/>
              </w:rPr>
              <w:t>Updated and adopted National Investment Plans for land-based pollution management in the SCS [Yr 5]</w:t>
            </w:r>
          </w:p>
        </w:tc>
        <w:tc>
          <w:tcPr>
            <w:tcW w:w="1269" w:type="dxa"/>
          </w:tcPr>
          <w:p w14:paraId="6AD40BB8" w14:textId="77777777" w:rsidR="0018787E" w:rsidRPr="0018787E" w:rsidRDefault="0018787E" w:rsidP="0018787E">
            <w:pPr>
              <w:spacing w:before="40"/>
              <w:rPr>
                <w:bCs/>
                <w:sz w:val="18"/>
                <w:szCs w:val="18"/>
                <w:lang w:val="en-GB"/>
              </w:rPr>
            </w:pPr>
            <w:r w:rsidRPr="0018787E">
              <w:rPr>
                <w:bCs/>
                <w:sz w:val="18"/>
                <w:szCs w:val="18"/>
                <w:lang w:val="en-GB"/>
              </w:rPr>
              <w:t>6 * endorsed National Investment Plans published and disseminated nationally and regionally</w:t>
            </w:r>
          </w:p>
        </w:tc>
        <w:tc>
          <w:tcPr>
            <w:tcW w:w="1440" w:type="dxa"/>
          </w:tcPr>
          <w:p w14:paraId="63D27892" w14:textId="77777777" w:rsidR="0018787E" w:rsidRPr="0018787E" w:rsidRDefault="0018787E" w:rsidP="0018787E">
            <w:pPr>
              <w:rPr>
                <w:sz w:val="18"/>
                <w:szCs w:val="18"/>
                <w:lang w:val="en-GB"/>
              </w:rPr>
            </w:pPr>
            <w:r w:rsidRPr="0018787E">
              <w:rPr>
                <w:sz w:val="18"/>
                <w:szCs w:val="18"/>
                <w:lang w:val="en-GB"/>
              </w:rPr>
              <w:t>Quarterly</w:t>
            </w:r>
          </w:p>
          <w:p w14:paraId="1C685414" w14:textId="77777777" w:rsidR="0018787E" w:rsidRPr="0018787E" w:rsidRDefault="0018787E" w:rsidP="0018787E">
            <w:pPr>
              <w:rPr>
                <w:sz w:val="18"/>
                <w:szCs w:val="18"/>
                <w:lang w:val="en-GB"/>
              </w:rPr>
            </w:pPr>
          </w:p>
          <w:p w14:paraId="696E5157" w14:textId="77777777" w:rsidR="0018787E" w:rsidRPr="0018787E" w:rsidRDefault="0018787E" w:rsidP="0018787E">
            <w:pPr>
              <w:rPr>
                <w:sz w:val="18"/>
                <w:szCs w:val="18"/>
                <w:lang w:val="en-GB"/>
              </w:rPr>
            </w:pPr>
          </w:p>
          <w:p w14:paraId="48335AC9" w14:textId="77777777" w:rsidR="0018787E" w:rsidRPr="0018787E" w:rsidRDefault="0018787E" w:rsidP="0018787E">
            <w:pPr>
              <w:rPr>
                <w:sz w:val="18"/>
                <w:szCs w:val="18"/>
                <w:lang w:val="en-GB"/>
              </w:rPr>
            </w:pPr>
          </w:p>
          <w:p w14:paraId="752EA53C" w14:textId="77777777" w:rsidR="0018787E" w:rsidRPr="0018787E" w:rsidRDefault="0018787E" w:rsidP="0018787E">
            <w:pPr>
              <w:rPr>
                <w:sz w:val="18"/>
                <w:szCs w:val="18"/>
                <w:lang w:val="en-GB"/>
              </w:rPr>
            </w:pPr>
            <w:r w:rsidRPr="0018787E">
              <w:rPr>
                <w:sz w:val="18"/>
                <w:szCs w:val="18"/>
                <w:lang w:val="en-GB"/>
              </w:rPr>
              <w:t>Biannually</w:t>
            </w:r>
          </w:p>
          <w:p w14:paraId="1985F54C" w14:textId="77777777" w:rsidR="0018787E" w:rsidRPr="0018787E" w:rsidRDefault="0018787E" w:rsidP="0018787E">
            <w:pPr>
              <w:rPr>
                <w:sz w:val="18"/>
                <w:szCs w:val="18"/>
                <w:lang w:val="en-GB"/>
              </w:rPr>
            </w:pPr>
          </w:p>
          <w:p w14:paraId="432019E2" w14:textId="77777777" w:rsidR="0018787E" w:rsidRPr="0018787E" w:rsidRDefault="0018787E" w:rsidP="0018787E">
            <w:pPr>
              <w:rPr>
                <w:sz w:val="18"/>
                <w:szCs w:val="18"/>
                <w:lang w:val="en-GB"/>
              </w:rPr>
            </w:pPr>
          </w:p>
          <w:p w14:paraId="418DD28F" w14:textId="77777777" w:rsidR="0018787E" w:rsidRPr="0018787E" w:rsidRDefault="0018787E" w:rsidP="0018787E">
            <w:pPr>
              <w:rPr>
                <w:sz w:val="18"/>
                <w:szCs w:val="18"/>
                <w:lang w:val="en-GB"/>
              </w:rPr>
            </w:pPr>
          </w:p>
          <w:p w14:paraId="78D3A185" w14:textId="77777777" w:rsidR="0018787E" w:rsidRPr="0018787E" w:rsidRDefault="0018787E" w:rsidP="0018787E">
            <w:pPr>
              <w:rPr>
                <w:sz w:val="18"/>
                <w:szCs w:val="18"/>
                <w:lang w:val="en-GB"/>
              </w:rPr>
            </w:pPr>
            <w:r w:rsidRPr="0018787E">
              <w:rPr>
                <w:sz w:val="18"/>
                <w:szCs w:val="18"/>
                <w:lang w:val="en-GB"/>
              </w:rPr>
              <w:t>Biannually</w:t>
            </w:r>
          </w:p>
          <w:p w14:paraId="69E868E5" w14:textId="77777777" w:rsidR="0018787E" w:rsidRPr="0018787E" w:rsidRDefault="0018787E" w:rsidP="0018787E">
            <w:pPr>
              <w:rPr>
                <w:sz w:val="18"/>
                <w:szCs w:val="18"/>
                <w:lang w:val="en-GB"/>
              </w:rPr>
            </w:pPr>
          </w:p>
          <w:p w14:paraId="140D0385" w14:textId="77777777" w:rsidR="0018787E" w:rsidRPr="0018787E" w:rsidRDefault="0018787E" w:rsidP="0018787E">
            <w:pPr>
              <w:rPr>
                <w:sz w:val="18"/>
                <w:szCs w:val="18"/>
                <w:lang w:val="en-GB"/>
              </w:rPr>
            </w:pPr>
          </w:p>
          <w:p w14:paraId="524CAF20"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62E74619" w14:textId="77777777" w:rsidR="0018787E" w:rsidRPr="0018787E" w:rsidRDefault="0018787E" w:rsidP="0018787E">
            <w:pPr>
              <w:rPr>
                <w:sz w:val="18"/>
                <w:szCs w:val="18"/>
                <w:lang w:val="en-GB"/>
              </w:rPr>
            </w:pPr>
            <w:r w:rsidRPr="0018787E">
              <w:rPr>
                <w:sz w:val="18"/>
                <w:szCs w:val="18"/>
                <w:lang w:val="en-GB"/>
              </w:rPr>
              <w:t>National-level</w:t>
            </w:r>
          </w:p>
          <w:p w14:paraId="5D79275D" w14:textId="77777777" w:rsidR="0018787E" w:rsidRPr="0018787E" w:rsidRDefault="0018787E" w:rsidP="0018787E">
            <w:pPr>
              <w:rPr>
                <w:sz w:val="18"/>
                <w:szCs w:val="18"/>
                <w:lang w:val="en-GB"/>
              </w:rPr>
            </w:pPr>
          </w:p>
          <w:p w14:paraId="0BE80569" w14:textId="77777777" w:rsidR="0018787E" w:rsidRPr="0018787E" w:rsidRDefault="0018787E" w:rsidP="0018787E">
            <w:pPr>
              <w:rPr>
                <w:sz w:val="18"/>
                <w:szCs w:val="18"/>
                <w:lang w:val="en-GB"/>
              </w:rPr>
            </w:pPr>
          </w:p>
          <w:p w14:paraId="5F2452D4" w14:textId="77777777" w:rsidR="0018787E" w:rsidRPr="0018787E" w:rsidRDefault="0018787E" w:rsidP="0018787E">
            <w:pPr>
              <w:rPr>
                <w:sz w:val="18"/>
                <w:szCs w:val="18"/>
                <w:lang w:val="en-GB"/>
              </w:rPr>
            </w:pPr>
            <w:r w:rsidRPr="0018787E">
              <w:rPr>
                <w:sz w:val="18"/>
                <w:szCs w:val="18"/>
                <w:lang w:val="en-GB"/>
              </w:rPr>
              <w:t>National-level</w:t>
            </w:r>
          </w:p>
          <w:p w14:paraId="0F8A6603" w14:textId="77777777" w:rsidR="0018787E" w:rsidRPr="0018787E" w:rsidRDefault="0018787E" w:rsidP="0018787E">
            <w:pPr>
              <w:rPr>
                <w:sz w:val="18"/>
                <w:szCs w:val="18"/>
                <w:lang w:val="en-GB"/>
              </w:rPr>
            </w:pPr>
          </w:p>
          <w:p w14:paraId="4B783025" w14:textId="77777777" w:rsidR="0018787E" w:rsidRPr="0018787E" w:rsidRDefault="0018787E" w:rsidP="0018787E">
            <w:pPr>
              <w:rPr>
                <w:sz w:val="18"/>
                <w:szCs w:val="18"/>
                <w:lang w:val="en-GB"/>
              </w:rPr>
            </w:pPr>
          </w:p>
          <w:p w14:paraId="5CDBD7FA" w14:textId="77777777" w:rsidR="0018787E" w:rsidRPr="0018787E" w:rsidRDefault="0018787E" w:rsidP="0018787E">
            <w:pPr>
              <w:rPr>
                <w:sz w:val="18"/>
                <w:szCs w:val="18"/>
                <w:lang w:val="en-GB"/>
              </w:rPr>
            </w:pPr>
            <w:r w:rsidRPr="0018787E">
              <w:rPr>
                <w:sz w:val="18"/>
                <w:szCs w:val="18"/>
                <w:lang w:val="en-GB"/>
              </w:rPr>
              <w:t>Regional-level</w:t>
            </w:r>
          </w:p>
          <w:p w14:paraId="78F9782B" w14:textId="77777777" w:rsidR="0018787E" w:rsidRPr="0018787E" w:rsidRDefault="0018787E" w:rsidP="0018787E">
            <w:pPr>
              <w:rPr>
                <w:sz w:val="18"/>
                <w:szCs w:val="18"/>
                <w:lang w:val="en-GB"/>
              </w:rPr>
            </w:pPr>
          </w:p>
          <w:p w14:paraId="15840E79" w14:textId="77777777" w:rsidR="0018787E" w:rsidRPr="0018787E" w:rsidRDefault="0018787E" w:rsidP="0018787E">
            <w:pPr>
              <w:rPr>
                <w:sz w:val="18"/>
                <w:szCs w:val="18"/>
                <w:lang w:val="en-GB"/>
              </w:rPr>
            </w:pPr>
          </w:p>
          <w:p w14:paraId="062BED62"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5E3E8FA2"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Land-based Pollution committees</w:t>
            </w:r>
          </w:p>
          <w:p w14:paraId="21191B30"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5B34B20A"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0F9F0CEB"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63BF3A55"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3A2DBA1A"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0C7720F4" w14:textId="77777777" w:rsidTr="0018787E">
        <w:tc>
          <w:tcPr>
            <w:tcW w:w="1319" w:type="dxa"/>
            <w:vMerge w:val="restart"/>
            <w:vAlign w:val="center"/>
          </w:tcPr>
          <w:p w14:paraId="2255D3FB" w14:textId="77777777" w:rsidR="0018787E" w:rsidRPr="0018787E" w:rsidRDefault="0018787E" w:rsidP="0018787E">
            <w:pPr>
              <w:rPr>
                <w:sz w:val="18"/>
                <w:szCs w:val="18"/>
                <w:lang w:val="en-GB"/>
              </w:rPr>
            </w:pPr>
            <w:r w:rsidRPr="0018787E">
              <w:rPr>
                <w:sz w:val="18"/>
                <w:szCs w:val="18"/>
                <w:lang w:val="en-GB"/>
              </w:rPr>
              <w:t>2.4 Improved national and regional values for the Total Economic</w:t>
            </w:r>
          </w:p>
          <w:p w14:paraId="51B1F63C" w14:textId="77777777" w:rsidR="0018787E" w:rsidRPr="0018787E" w:rsidRDefault="0018787E" w:rsidP="0018787E">
            <w:pPr>
              <w:rPr>
                <w:sz w:val="18"/>
                <w:szCs w:val="18"/>
                <w:lang w:val="en-GB"/>
              </w:rPr>
            </w:pPr>
            <w:r w:rsidRPr="0018787E">
              <w:rPr>
                <w:sz w:val="18"/>
                <w:szCs w:val="18"/>
                <w:lang w:val="en-GB"/>
              </w:rPr>
              <w:t>Values of coastal habitats for use in development planning and decision-making</w:t>
            </w:r>
          </w:p>
        </w:tc>
        <w:tc>
          <w:tcPr>
            <w:tcW w:w="1270" w:type="dxa"/>
          </w:tcPr>
          <w:p w14:paraId="33404286" w14:textId="77777777" w:rsidR="0018787E" w:rsidRPr="0018787E" w:rsidRDefault="0018787E" w:rsidP="0018787E">
            <w:pPr>
              <w:spacing w:before="40"/>
              <w:rPr>
                <w:bCs/>
                <w:sz w:val="18"/>
                <w:szCs w:val="18"/>
                <w:lang w:val="en-GB"/>
              </w:rPr>
            </w:pPr>
            <w:r w:rsidRPr="0018787E">
              <w:rPr>
                <w:bCs/>
                <w:sz w:val="18"/>
                <w:szCs w:val="18"/>
                <w:lang w:val="en-GB"/>
              </w:rPr>
              <w:t>Completeness of value information compiled for coastal biome goods and services</w:t>
            </w:r>
          </w:p>
        </w:tc>
        <w:tc>
          <w:tcPr>
            <w:tcW w:w="1270" w:type="dxa"/>
          </w:tcPr>
          <w:p w14:paraId="4344E9A5" w14:textId="77777777" w:rsidR="0018787E" w:rsidRPr="0018787E" w:rsidRDefault="0018787E" w:rsidP="0018787E">
            <w:pPr>
              <w:spacing w:before="40"/>
              <w:rPr>
                <w:sz w:val="18"/>
                <w:szCs w:val="18"/>
                <w:lang w:val="en-GB"/>
              </w:rPr>
            </w:pPr>
            <w:r w:rsidRPr="0018787E">
              <w:rPr>
                <w:sz w:val="18"/>
                <w:szCs w:val="18"/>
                <w:lang w:val="en-GB"/>
              </w:rPr>
              <w:t>Values determined for SCS are incomplete as not all known goods and services from individual biomes have been valued</w:t>
            </w:r>
          </w:p>
        </w:tc>
        <w:tc>
          <w:tcPr>
            <w:tcW w:w="1109" w:type="dxa"/>
          </w:tcPr>
          <w:p w14:paraId="45C4260C" w14:textId="77777777" w:rsidR="0018787E" w:rsidRPr="0018787E" w:rsidRDefault="0018787E" w:rsidP="0018787E">
            <w:pPr>
              <w:rPr>
                <w:sz w:val="18"/>
                <w:szCs w:val="18"/>
                <w:lang w:val="en-GB"/>
              </w:rPr>
            </w:pPr>
            <w:r w:rsidRPr="0018787E">
              <w:rPr>
                <w:sz w:val="18"/>
                <w:szCs w:val="18"/>
                <w:lang w:val="en-GB"/>
              </w:rPr>
              <w:t>Data collection programme in place and information and data regarding goods and services being compiled</w:t>
            </w:r>
          </w:p>
        </w:tc>
        <w:tc>
          <w:tcPr>
            <w:tcW w:w="1291" w:type="dxa"/>
          </w:tcPr>
          <w:p w14:paraId="10F482AA" w14:textId="77777777" w:rsidR="0018787E" w:rsidRPr="0018787E" w:rsidRDefault="0018787E" w:rsidP="0018787E">
            <w:pPr>
              <w:spacing w:before="40"/>
              <w:rPr>
                <w:sz w:val="18"/>
                <w:szCs w:val="18"/>
                <w:lang w:val="en-GB"/>
              </w:rPr>
            </w:pPr>
            <w:r w:rsidRPr="0018787E">
              <w:rPr>
                <w:sz w:val="18"/>
                <w:szCs w:val="18"/>
                <w:lang w:val="en-GB"/>
              </w:rPr>
              <w:t>Expanded datasets of economic valuation information on the goods and services of SCS coastal habitats</w:t>
            </w:r>
          </w:p>
        </w:tc>
        <w:tc>
          <w:tcPr>
            <w:tcW w:w="1269" w:type="dxa"/>
          </w:tcPr>
          <w:p w14:paraId="0F45613E" w14:textId="77777777" w:rsidR="0018787E" w:rsidRPr="0018787E" w:rsidRDefault="0018787E" w:rsidP="0018787E">
            <w:pPr>
              <w:spacing w:before="40"/>
              <w:rPr>
                <w:bCs/>
                <w:sz w:val="18"/>
                <w:szCs w:val="18"/>
                <w:lang w:val="en-GB"/>
              </w:rPr>
            </w:pPr>
            <w:r w:rsidRPr="0018787E">
              <w:rPr>
                <w:bCs/>
                <w:sz w:val="18"/>
                <w:szCs w:val="18"/>
                <w:lang w:val="en-GB"/>
              </w:rPr>
              <w:t>6 * national reports on economic valuation of coastal biomes, including tabulated data and reference material, published</w:t>
            </w:r>
          </w:p>
        </w:tc>
        <w:tc>
          <w:tcPr>
            <w:tcW w:w="1440" w:type="dxa"/>
          </w:tcPr>
          <w:p w14:paraId="73B044D0" w14:textId="77777777" w:rsidR="0018787E" w:rsidRPr="0018787E" w:rsidRDefault="0018787E" w:rsidP="0018787E">
            <w:pPr>
              <w:rPr>
                <w:sz w:val="18"/>
                <w:szCs w:val="18"/>
                <w:lang w:val="en-GB"/>
              </w:rPr>
            </w:pPr>
          </w:p>
        </w:tc>
        <w:tc>
          <w:tcPr>
            <w:tcW w:w="950" w:type="dxa"/>
          </w:tcPr>
          <w:p w14:paraId="4C4CCFBB" w14:textId="77777777" w:rsidR="0018787E" w:rsidRPr="0018787E" w:rsidRDefault="0018787E" w:rsidP="0018787E">
            <w:pPr>
              <w:rPr>
                <w:sz w:val="18"/>
                <w:szCs w:val="18"/>
                <w:lang w:val="en-GB"/>
              </w:rPr>
            </w:pPr>
          </w:p>
        </w:tc>
        <w:tc>
          <w:tcPr>
            <w:tcW w:w="1350" w:type="dxa"/>
          </w:tcPr>
          <w:p w14:paraId="39CA0FA0" w14:textId="77777777" w:rsidR="0018787E" w:rsidRPr="0018787E" w:rsidRDefault="0018787E" w:rsidP="0018787E">
            <w:pPr>
              <w:numPr>
                <w:ilvl w:val="0"/>
                <w:numId w:val="34"/>
              </w:numPr>
              <w:tabs>
                <w:tab w:val="left" w:pos="162"/>
              </w:tabs>
              <w:ind w:left="0" w:firstLine="0"/>
              <w:rPr>
                <w:sz w:val="18"/>
                <w:szCs w:val="18"/>
                <w:lang w:val="en-GB"/>
              </w:rPr>
            </w:pPr>
          </w:p>
        </w:tc>
        <w:tc>
          <w:tcPr>
            <w:tcW w:w="810" w:type="dxa"/>
          </w:tcPr>
          <w:p w14:paraId="17C64D09" w14:textId="77777777" w:rsidR="0018787E" w:rsidRPr="0018787E" w:rsidRDefault="0018787E" w:rsidP="0018787E">
            <w:pPr>
              <w:rPr>
                <w:sz w:val="18"/>
                <w:szCs w:val="18"/>
                <w:lang w:val="en-GB"/>
              </w:rPr>
            </w:pPr>
          </w:p>
        </w:tc>
        <w:tc>
          <w:tcPr>
            <w:tcW w:w="1170" w:type="dxa"/>
          </w:tcPr>
          <w:p w14:paraId="2D8618EE"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54ADCCFF" w14:textId="77777777" w:rsidTr="0018787E">
        <w:tc>
          <w:tcPr>
            <w:tcW w:w="1319" w:type="dxa"/>
            <w:vMerge/>
          </w:tcPr>
          <w:p w14:paraId="5137F6D9" w14:textId="77777777" w:rsidR="0018787E" w:rsidRPr="0018787E" w:rsidRDefault="0018787E" w:rsidP="0018787E">
            <w:pPr>
              <w:rPr>
                <w:sz w:val="18"/>
                <w:szCs w:val="18"/>
                <w:lang w:val="en-GB"/>
              </w:rPr>
            </w:pPr>
          </w:p>
        </w:tc>
        <w:tc>
          <w:tcPr>
            <w:tcW w:w="1270" w:type="dxa"/>
          </w:tcPr>
          <w:p w14:paraId="6B05C43D" w14:textId="77777777" w:rsidR="0018787E" w:rsidRPr="0018787E" w:rsidRDefault="0018787E" w:rsidP="0018787E">
            <w:pPr>
              <w:spacing w:before="40"/>
              <w:rPr>
                <w:bCs/>
                <w:sz w:val="18"/>
                <w:szCs w:val="18"/>
                <w:lang w:val="en-GB"/>
              </w:rPr>
            </w:pPr>
            <w:r w:rsidRPr="0018787E">
              <w:rPr>
                <w:bCs/>
                <w:sz w:val="18"/>
                <w:szCs w:val="18"/>
                <w:lang w:val="en-GB"/>
              </w:rPr>
              <w:t>Status of initiative to develop national and regional estimates economic linkages between habitats and coastal fish production</w:t>
            </w:r>
          </w:p>
        </w:tc>
        <w:tc>
          <w:tcPr>
            <w:tcW w:w="1270" w:type="dxa"/>
          </w:tcPr>
          <w:p w14:paraId="57463718" w14:textId="77777777" w:rsidR="0018787E" w:rsidRPr="0018787E" w:rsidRDefault="0018787E" w:rsidP="0018787E">
            <w:pPr>
              <w:spacing w:before="40"/>
              <w:rPr>
                <w:sz w:val="18"/>
                <w:szCs w:val="18"/>
                <w:lang w:val="en-GB"/>
              </w:rPr>
            </w:pPr>
            <w:r w:rsidRPr="0018787E">
              <w:rPr>
                <w:sz w:val="18"/>
                <w:szCs w:val="18"/>
                <w:lang w:val="en-GB"/>
              </w:rPr>
              <w:t>Comparatively few existing values for the services provided by habitats as nursery areas for coastal living resources</w:t>
            </w:r>
          </w:p>
        </w:tc>
        <w:tc>
          <w:tcPr>
            <w:tcW w:w="1109" w:type="dxa"/>
          </w:tcPr>
          <w:p w14:paraId="3BBC72F4" w14:textId="77777777" w:rsidR="0018787E" w:rsidRPr="0018787E" w:rsidRDefault="0018787E" w:rsidP="0018787E">
            <w:pPr>
              <w:rPr>
                <w:sz w:val="18"/>
                <w:szCs w:val="18"/>
                <w:lang w:val="en-GB"/>
              </w:rPr>
            </w:pPr>
            <w:r w:rsidRPr="0018787E">
              <w:rPr>
                <w:sz w:val="18"/>
                <w:szCs w:val="18"/>
                <w:lang w:val="en-GB"/>
              </w:rPr>
              <w:t>Regionally consistent methodology for the collection, review and analysis of information and data developed and agreed</w:t>
            </w:r>
          </w:p>
        </w:tc>
        <w:tc>
          <w:tcPr>
            <w:tcW w:w="1291" w:type="dxa"/>
          </w:tcPr>
          <w:p w14:paraId="4792CF4F" w14:textId="77777777" w:rsidR="0018787E" w:rsidRPr="0018787E" w:rsidRDefault="0018787E" w:rsidP="0018787E">
            <w:pPr>
              <w:spacing w:before="40"/>
              <w:rPr>
                <w:sz w:val="18"/>
                <w:szCs w:val="18"/>
                <w:lang w:val="en-GB"/>
              </w:rPr>
            </w:pPr>
            <w:r w:rsidRPr="0018787E">
              <w:rPr>
                <w:sz w:val="18"/>
                <w:szCs w:val="18"/>
                <w:lang w:val="en-GB"/>
              </w:rPr>
              <w:t>Estimates of the value for the service provided by coastal habitats as nursery areas for coastal fish and crustaceans</w:t>
            </w:r>
          </w:p>
        </w:tc>
        <w:tc>
          <w:tcPr>
            <w:tcW w:w="1269" w:type="dxa"/>
          </w:tcPr>
          <w:p w14:paraId="6627ED47" w14:textId="77777777" w:rsidR="0018787E" w:rsidRPr="0018787E" w:rsidRDefault="0018787E" w:rsidP="0018787E">
            <w:pPr>
              <w:spacing w:before="40"/>
              <w:rPr>
                <w:bCs/>
                <w:sz w:val="18"/>
                <w:szCs w:val="18"/>
                <w:lang w:val="en-GB"/>
              </w:rPr>
            </w:pPr>
            <w:r w:rsidRPr="0018787E">
              <w:rPr>
                <w:bCs/>
                <w:sz w:val="18"/>
                <w:szCs w:val="18"/>
                <w:lang w:val="en-GB"/>
              </w:rPr>
              <w:t>6 * national and 1 *regional report on the economic contribution of coastal habitats to coastal fisheries production in the SCS, including tabulated data and reference material, published</w:t>
            </w:r>
          </w:p>
        </w:tc>
        <w:tc>
          <w:tcPr>
            <w:tcW w:w="1440" w:type="dxa"/>
          </w:tcPr>
          <w:p w14:paraId="24C6A5FF" w14:textId="77777777" w:rsidR="0018787E" w:rsidRPr="0018787E" w:rsidRDefault="0018787E" w:rsidP="0018787E">
            <w:pPr>
              <w:rPr>
                <w:sz w:val="18"/>
                <w:szCs w:val="18"/>
                <w:lang w:val="en-GB"/>
              </w:rPr>
            </w:pPr>
            <w:r w:rsidRPr="0018787E">
              <w:rPr>
                <w:sz w:val="18"/>
                <w:szCs w:val="18"/>
                <w:lang w:val="en-GB"/>
              </w:rPr>
              <w:t>Quarterly</w:t>
            </w:r>
          </w:p>
          <w:p w14:paraId="73DADC02" w14:textId="77777777" w:rsidR="0018787E" w:rsidRPr="0018787E" w:rsidRDefault="0018787E" w:rsidP="0018787E">
            <w:pPr>
              <w:rPr>
                <w:sz w:val="18"/>
                <w:szCs w:val="18"/>
                <w:lang w:val="en-GB"/>
              </w:rPr>
            </w:pPr>
          </w:p>
          <w:p w14:paraId="2E3737A8" w14:textId="77777777" w:rsidR="0018787E" w:rsidRPr="0018787E" w:rsidRDefault="0018787E" w:rsidP="0018787E">
            <w:pPr>
              <w:rPr>
                <w:sz w:val="18"/>
                <w:szCs w:val="18"/>
                <w:lang w:val="en-GB"/>
              </w:rPr>
            </w:pPr>
          </w:p>
          <w:p w14:paraId="175EF67C" w14:textId="77777777" w:rsidR="0018787E" w:rsidRPr="0018787E" w:rsidRDefault="0018787E" w:rsidP="0018787E">
            <w:pPr>
              <w:rPr>
                <w:sz w:val="18"/>
                <w:szCs w:val="18"/>
                <w:lang w:val="en-GB"/>
              </w:rPr>
            </w:pPr>
            <w:r w:rsidRPr="0018787E">
              <w:rPr>
                <w:sz w:val="18"/>
                <w:szCs w:val="18"/>
                <w:lang w:val="en-GB"/>
              </w:rPr>
              <w:t>Biannually</w:t>
            </w:r>
          </w:p>
          <w:p w14:paraId="3122AD58" w14:textId="77777777" w:rsidR="0018787E" w:rsidRPr="0018787E" w:rsidRDefault="0018787E" w:rsidP="0018787E">
            <w:pPr>
              <w:rPr>
                <w:sz w:val="18"/>
                <w:szCs w:val="18"/>
                <w:lang w:val="en-GB"/>
              </w:rPr>
            </w:pPr>
          </w:p>
          <w:p w14:paraId="1A60C896" w14:textId="77777777" w:rsidR="0018787E" w:rsidRPr="0018787E" w:rsidRDefault="0018787E" w:rsidP="0018787E">
            <w:pPr>
              <w:rPr>
                <w:sz w:val="18"/>
                <w:szCs w:val="18"/>
                <w:lang w:val="en-GB"/>
              </w:rPr>
            </w:pPr>
          </w:p>
          <w:p w14:paraId="0DFBDE23" w14:textId="77777777" w:rsidR="0018787E" w:rsidRPr="0018787E" w:rsidRDefault="0018787E" w:rsidP="0018787E">
            <w:pPr>
              <w:rPr>
                <w:sz w:val="18"/>
                <w:szCs w:val="18"/>
                <w:lang w:val="en-GB"/>
              </w:rPr>
            </w:pPr>
          </w:p>
          <w:p w14:paraId="1285AEAC" w14:textId="77777777" w:rsidR="0018787E" w:rsidRPr="0018787E" w:rsidRDefault="0018787E" w:rsidP="0018787E">
            <w:pPr>
              <w:rPr>
                <w:sz w:val="18"/>
                <w:szCs w:val="18"/>
                <w:lang w:val="en-GB"/>
              </w:rPr>
            </w:pPr>
            <w:r w:rsidRPr="0018787E">
              <w:rPr>
                <w:sz w:val="18"/>
                <w:szCs w:val="18"/>
                <w:lang w:val="en-GB"/>
              </w:rPr>
              <w:t>Biannually</w:t>
            </w:r>
          </w:p>
          <w:p w14:paraId="2D8ABAAD" w14:textId="77777777" w:rsidR="0018787E" w:rsidRPr="0018787E" w:rsidRDefault="0018787E" w:rsidP="0018787E">
            <w:pPr>
              <w:rPr>
                <w:sz w:val="18"/>
                <w:szCs w:val="18"/>
                <w:lang w:val="en-GB"/>
              </w:rPr>
            </w:pPr>
          </w:p>
          <w:p w14:paraId="3E284F8C" w14:textId="77777777" w:rsidR="0018787E" w:rsidRPr="0018787E" w:rsidRDefault="0018787E" w:rsidP="0018787E">
            <w:pPr>
              <w:rPr>
                <w:sz w:val="18"/>
                <w:szCs w:val="18"/>
                <w:lang w:val="en-GB"/>
              </w:rPr>
            </w:pPr>
          </w:p>
          <w:p w14:paraId="2B807963"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7ABDA866" w14:textId="77777777" w:rsidR="0018787E" w:rsidRPr="0018787E" w:rsidRDefault="0018787E" w:rsidP="0018787E">
            <w:pPr>
              <w:rPr>
                <w:sz w:val="18"/>
                <w:szCs w:val="18"/>
                <w:lang w:val="en-GB"/>
              </w:rPr>
            </w:pPr>
            <w:r w:rsidRPr="0018787E">
              <w:rPr>
                <w:sz w:val="18"/>
                <w:szCs w:val="18"/>
                <w:lang w:val="en-GB"/>
              </w:rPr>
              <w:t>National-level</w:t>
            </w:r>
          </w:p>
          <w:p w14:paraId="58F23E4D" w14:textId="77777777" w:rsidR="0018787E" w:rsidRPr="0018787E" w:rsidRDefault="0018787E" w:rsidP="0018787E">
            <w:pPr>
              <w:rPr>
                <w:sz w:val="18"/>
                <w:szCs w:val="18"/>
                <w:lang w:val="en-GB"/>
              </w:rPr>
            </w:pPr>
          </w:p>
          <w:p w14:paraId="604CE384" w14:textId="77777777" w:rsidR="0018787E" w:rsidRPr="0018787E" w:rsidRDefault="0018787E" w:rsidP="0018787E">
            <w:pPr>
              <w:rPr>
                <w:sz w:val="18"/>
                <w:szCs w:val="18"/>
                <w:lang w:val="en-GB"/>
              </w:rPr>
            </w:pPr>
            <w:r w:rsidRPr="0018787E">
              <w:rPr>
                <w:sz w:val="18"/>
                <w:szCs w:val="18"/>
                <w:lang w:val="en-GB"/>
              </w:rPr>
              <w:t>National-level</w:t>
            </w:r>
          </w:p>
          <w:p w14:paraId="00C12D1A" w14:textId="77777777" w:rsidR="0018787E" w:rsidRPr="0018787E" w:rsidRDefault="0018787E" w:rsidP="0018787E">
            <w:pPr>
              <w:rPr>
                <w:sz w:val="18"/>
                <w:szCs w:val="18"/>
                <w:lang w:val="en-GB"/>
              </w:rPr>
            </w:pPr>
          </w:p>
          <w:p w14:paraId="0DEBF260" w14:textId="77777777" w:rsidR="0018787E" w:rsidRPr="0018787E" w:rsidRDefault="0018787E" w:rsidP="0018787E">
            <w:pPr>
              <w:rPr>
                <w:sz w:val="18"/>
                <w:szCs w:val="18"/>
                <w:lang w:val="en-GB"/>
              </w:rPr>
            </w:pPr>
          </w:p>
          <w:p w14:paraId="2FBDFBA2" w14:textId="77777777" w:rsidR="0018787E" w:rsidRPr="0018787E" w:rsidRDefault="0018787E" w:rsidP="0018787E">
            <w:pPr>
              <w:rPr>
                <w:sz w:val="18"/>
                <w:szCs w:val="18"/>
                <w:lang w:val="en-GB"/>
              </w:rPr>
            </w:pPr>
            <w:r w:rsidRPr="0018787E">
              <w:rPr>
                <w:sz w:val="18"/>
                <w:szCs w:val="18"/>
                <w:lang w:val="en-GB"/>
              </w:rPr>
              <w:t>Regional-level</w:t>
            </w:r>
          </w:p>
          <w:p w14:paraId="266B4205" w14:textId="77777777" w:rsidR="0018787E" w:rsidRPr="0018787E" w:rsidRDefault="0018787E" w:rsidP="0018787E">
            <w:pPr>
              <w:rPr>
                <w:sz w:val="18"/>
                <w:szCs w:val="18"/>
                <w:lang w:val="en-GB"/>
              </w:rPr>
            </w:pPr>
          </w:p>
          <w:p w14:paraId="7BD07292"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06C84ECE"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Habitat Committees</w:t>
            </w:r>
          </w:p>
          <w:p w14:paraId="4D83E52A"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57FB5C2A"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610BA447"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16AA1CA6"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1719D284"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5AD173F0" w14:textId="77777777" w:rsidTr="0018787E">
        <w:tc>
          <w:tcPr>
            <w:tcW w:w="1319" w:type="dxa"/>
            <w:vMerge/>
          </w:tcPr>
          <w:p w14:paraId="2A9E3193" w14:textId="77777777" w:rsidR="0018787E" w:rsidRPr="0018787E" w:rsidRDefault="0018787E" w:rsidP="0018787E">
            <w:pPr>
              <w:rPr>
                <w:sz w:val="18"/>
                <w:szCs w:val="18"/>
                <w:lang w:val="en-GB"/>
              </w:rPr>
            </w:pPr>
          </w:p>
        </w:tc>
        <w:tc>
          <w:tcPr>
            <w:tcW w:w="1270" w:type="dxa"/>
          </w:tcPr>
          <w:p w14:paraId="11E08D33" w14:textId="77777777" w:rsidR="0018787E" w:rsidRPr="0018787E" w:rsidRDefault="0018787E" w:rsidP="0018787E">
            <w:pPr>
              <w:spacing w:before="40"/>
              <w:rPr>
                <w:bCs/>
                <w:sz w:val="18"/>
                <w:szCs w:val="18"/>
                <w:lang w:val="en-GB"/>
              </w:rPr>
            </w:pPr>
            <w:r w:rsidRPr="0018787E">
              <w:rPr>
                <w:bCs/>
                <w:sz w:val="18"/>
                <w:szCs w:val="18"/>
                <w:lang w:val="en-GB"/>
              </w:rPr>
              <w:t>Status of initiative to value economic costs of coastal shipping accidents and pollution damage</w:t>
            </w:r>
          </w:p>
        </w:tc>
        <w:tc>
          <w:tcPr>
            <w:tcW w:w="1270" w:type="dxa"/>
          </w:tcPr>
          <w:p w14:paraId="6E95AB3A" w14:textId="77777777" w:rsidR="0018787E" w:rsidRPr="0018787E" w:rsidRDefault="0018787E" w:rsidP="0018787E">
            <w:pPr>
              <w:spacing w:before="40"/>
              <w:rPr>
                <w:sz w:val="18"/>
                <w:szCs w:val="18"/>
                <w:lang w:val="en-GB"/>
              </w:rPr>
            </w:pPr>
            <w:r w:rsidRPr="0018787E">
              <w:rPr>
                <w:sz w:val="18"/>
                <w:szCs w:val="18"/>
                <w:lang w:val="en-GB"/>
              </w:rPr>
              <w:t>No existing information linking shipping accidents to loss of economic benefits associated coastal biomes in the SCS</w:t>
            </w:r>
          </w:p>
        </w:tc>
        <w:tc>
          <w:tcPr>
            <w:tcW w:w="1109" w:type="dxa"/>
          </w:tcPr>
          <w:p w14:paraId="7ED6B7C4" w14:textId="77777777" w:rsidR="0018787E" w:rsidRPr="0018787E" w:rsidRDefault="0018787E" w:rsidP="0018787E">
            <w:pPr>
              <w:rPr>
                <w:sz w:val="18"/>
                <w:szCs w:val="18"/>
                <w:lang w:val="en-GB"/>
              </w:rPr>
            </w:pPr>
            <w:r w:rsidRPr="0018787E">
              <w:rPr>
                <w:sz w:val="18"/>
                <w:szCs w:val="18"/>
                <w:lang w:val="en-GB"/>
              </w:rPr>
              <w:t>Regionally consistent methodology for the collection, review and analysis of information and data developed and agreed</w:t>
            </w:r>
          </w:p>
        </w:tc>
        <w:tc>
          <w:tcPr>
            <w:tcW w:w="1291" w:type="dxa"/>
          </w:tcPr>
          <w:p w14:paraId="0E54E965" w14:textId="77777777" w:rsidR="0018787E" w:rsidRPr="0018787E" w:rsidRDefault="0018787E" w:rsidP="0018787E">
            <w:pPr>
              <w:spacing w:before="40"/>
              <w:rPr>
                <w:sz w:val="18"/>
                <w:szCs w:val="18"/>
                <w:lang w:val="en-GB"/>
              </w:rPr>
            </w:pPr>
            <w:r w:rsidRPr="0018787E">
              <w:rPr>
                <w:sz w:val="18"/>
                <w:szCs w:val="18"/>
                <w:lang w:val="en-GB"/>
              </w:rPr>
              <w:t>Estimates of economic losses of coastal ecosystem goods and services consequent upon coastal shipping accidents and pollution damage</w:t>
            </w:r>
          </w:p>
        </w:tc>
        <w:tc>
          <w:tcPr>
            <w:tcW w:w="1269" w:type="dxa"/>
          </w:tcPr>
          <w:p w14:paraId="6A8A7FA9" w14:textId="77777777" w:rsidR="0018787E" w:rsidRPr="0018787E" w:rsidRDefault="0018787E" w:rsidP="0018787E">
            <w:pPr>
              <w:spacing w:before="40"/>
              <w:rPr>
                <w:bCs/>
                <w:sz w:val="18"/>
                <w:szCs w:val="18"/>
                <w:lang w:val="en-GB"/>
              </w:rPr>
            </w:pPr>
            <w:r w:rsidRPr="0018787E">
              <w:rPr>
                <w:bCs/>
                <w:sz w:val="18"/>
                <w:szCs w:val="18"/>
                <w:lang w:val="en-GB"/>
              </w:rPr>
              <w:t>1 * regional report on the economic losses consequent upon coastal shipping accidents and pollution damage</w:t>
            </w:r>
          </w:p>
        </w:tc>
        <w:tc>
          <w:tcPr>
            <w:tcW w:w="1440" w:type="dxa"/>
          </w:tcPr>
          <w:p w14:paraId="5E506A88" w14:textId="77777777" w:rsidR="0018787E" w:rsidRPr="0018787E" w:rsidRDefault="0018787E" w:rsidP="0018787E">
            <w:pPr>
              <w:rPr>
                <w:sz w:val="18"/>
                <w:szCs w:val="18"/>
                <w:lang w:val="en-GB"/>
              </w:rPr>
            </w:pPr>
            <w:r w:rsidRPr="0018787E">
              <w:rPr>
                <w:sz w:val="18"/>
                <w:szCs w:val="18"/>
                <w:lang w:val="en-GB"/>
              </w:rPr>
              <w:t>Quarterly</w:t>
            </w:r>
          </w:p>
          <w:p w14:paraId="4E13D213" w14:textId="77777777" w:rsidR="0018787E" w:rsidRPr="0018787E" w:rsidRDefault="0018787E" w:rsidP="0018787E">
            <w:pPr>
              <w:rPr>
                <w:sz w:val="18"/>
                <w:szCs w:val="18"/>
                <w:lang w:val="en-GB"/>
              </w:rPr>
            </w:pPr>
          </w:p>
          <w:p w14:paraId="696F079B" w14:textId="77777777" w:rsidR="0018787E" w:rsidRPr="0018787E" w:rsidRDefault="0018787E" w:rsidP="0018787E">
            <w:pPr>
              <w:rPr>
                <w:sz w:val="18"/>
                <w:szCs w:val="18"/>
                <w:lang w:val="en-GB"/>
              </w:rPr>
            </w:pPr>
          </w:p>
          <w:p w14:paraId="6383A3F1" w14:textId="77777777" w:rsidR="0018787E" w:rsidRPr="0018787E" w:rsidRDefault="0018787E" w:rsidP="0018787E">
            <w:pPr>
              <w:rPr>
                <w:sz w:val="18"/>
                <w:szCs w:val="18"/>
                <w:lang w:val="en-GB"/>
              </w:rPr>
            </w:pPr>
            <w:r w:rsidRPr="0018787E">
              <w:rPr>
                <w:sz w:val="18"/>
                <w:szCs w:val="18"/>
                <w:lang w:val="en-GB"/>
              </w:rPr>
              <w:t>Biannually</w:t>
            </w:r>
          </w:p>
          <w:p w14:paraId="4C353E33" w14:textId="77777777" w:rsidR="0018787E" w:rsidRPr="0018787E" w:rsidRDefault="0018787E" w:rsidP="0018787E">
            <w:pPr>
              <w:rPr>
                <w:sz w:val="18"/>
                <w:szCs w:val="18"/>
                <w:lang w:val="en-GB"/>
              </w:rPr>
            </w:pPr>
          </w:p>
          <w:p w14:paraId="31A008B7" w14:textId="77777777" w:rsidR="0018787E" w:rsidRPr="0018787E" w:rsidRDefault="0018787E" w:rsidP="0018787E">
            <w:pPr>
              <w:rPr>
                <w:sz w:val="18"/>
                <w:szCs w:val="18"/>
                <w:lang w:val="en-GB"/>
              </w:rPr>
            </w:pPr>
          </w:p>
          <w:p w14:paraId="637B1451" w14:textId="77777777" w:rsidR="0018787E" w:rsidRPr="0018787E" w:rsidRDefault="0018787E" w:rsidP="0018787E">
            <w:pPr>
              <w:rPr>
                <w:sz w:val="18"/>
                <w:szCs w:val="18"/>
                <w:lang w:val="en-GB"/>
              </w:rPr>
            </w:pPr>
          </w:p>
          <w:p w14:paraId="03C75E57" w14:textId="77777777" w:rsidR="0018787E" w:rsidRPr="0018787E" w:rsidRDefault="0018787E" w:rsidP="0018787E">
            <w:pPr>
              <w:rPr>
                <w:sz w:val="18"/>
                <w:szCs w:val="18"/>
                <w:lang w:val="en-GB"/>
              </w:rPr>
            </w:pPr>
            <w:r w:rsidRPr="0018787E">
              <w:rPr>
                <w:sz w:val="18"/>
                <w:szCs w:val="18"/>
                <w:lang w:val="en-GB"/>
              </w:rPr>
              <w:t>Biannually</w:t>
            </w:r>
          </w:p>
          <w:p w14:paraId="127AED33" w14:textId="77777777" w:rsidR="0018787E" w:rsidRPr="0018787E" w:rsidRDefault="0018787E" w:rsidP="0018787E">
            <w:pPr>
              <w:rPr>
                <w:sz w:val="18"/>
                <w:szCs w:val="18"/>
                <w:lang w:val="en-GB"/>
              </w:rPr>
            </w:pPr>
          </w:p>
          <w:p w14:paraId="10EA7CD8" w14:textId="77777777" w:rsidR="0018787E" w:rsidRPr="0018787E" w:rsidRDefault="0018787E" w:rsidP="0018787E">
            <w:pPr>
              <w:rPr>
                <w:sz w:val="18"/>
                <w:szCs w:val="18"/>
                <w:lang w:val="en-GB"/>
              </w:rPr>
            </w:pPr>
          </w:p>
          <w:p w14:paraId="0EC4309B"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17895E63" w14:textId="77777777" w:rsidR="0018787E" w:rsidRPr="0018787E" w:rsidRDefault="0018787E" w:rsidP="0018787E">
            <w:pPr>
              <w:rPr>
                <w:sz w:val="18"/>
                <w:szCs w:val="18"/>
                <w:lang w:val="en-GB"/>
              </w:rPr>
            </w:pPr>
            <w:r w:rsidRPr="0018787E">
              <w:rPr>
                <w:sz w:val="18"/>
                <w:szCs w:val="18"/>
                <w:lang w:val="en-GB"/>
              </w:rPr>
              <w:t>National-level</w:t>
            </w:r>
          </w:p>
          <w:p w14:paraId="0BF6B8A9" w14:textId="77777777" w:rsidR="0018787E" w:rsidRPr="0018787E" w:rsidRDefault="0018787E" w:rsidP="0018787E">
            <w:pPr>
              <w:rPr>
                <w:sz w:val="18"/>
                <w:szCs w:val="18"/>
                <w:lang w:val="en-GB"/>
              </w:rPr>
            </w:pPr>
          </w:p>
          <w:p w14:paraId="1316E3D2" w14:textId="77777777" w:rsidR="0018787E" w:rsidRPr="0018787E" w:rsidRDefault="0018787E" w:rsidP="0018787E">
            <w:pPr>
              <w:rPr>
                <w:sz w:val="18"/>
                <w:szCs w:val="18"/>
                <w:lang w:val="en-GB"/>
              </w:rPr>
            </w:pPr>
            <w:r w:rsidRPr="0018787E">
              <w:rPr>
                <w:sz w:val="18"/>
                <w:szCs w:val="18"/>
                <w:lang w:val="en-GB"/>
              </w:rPr>
              <w:t>National-level</w:t>
            </w:r>
          </w:p>
          <w:p w14:paraId="702E9A25" w14:textId="77777777" w:rsidR="0018787E" w:rsidRPr="0018787E" w:rsidRDefault="0018787E" w:rsidP="0018787E">
            <w:pPr>
              <w:rPr>
                <w:sz w:val="18"/>
                <w:szCs w:val="18"/>
                <w:lang w:val="en-GB"/>
              </w:rPr>
            </w:pPr>
          </w:p>
          <w:p w14:paraId="46DC79BF" w14:textId="77777777" w:rsidR="0018787E" w:rsidRPr="0018787E" w:rsidRDefault="0018787E" w:rsidP="0018787E">
            <w:pPr>
              <w:rPr>
                <w:sz w:val="18"/>
                <w:szCs w:val="18"/>
                <w:lang w:val="en-GB"/>
              </w:rPr>
            </w:pPr>
          </w:p>
          <w:p w14:paraId="13377B6B" w14:textId="77777777" w:rsidR="0018787E" w:rsidRPr="0018787E" w:rsidRDefault="0018787E" w:rsidP="0018787E">
            <w:pPr>
              <w:rPr>
                <w:sz w:val="18"/>
                <w:szCs w:val="18"/>
                <w:lang w:val="en-GB"/>
              </w:rPr>
            </w:pPr>
            <w:r w:rsidRPr="0018787E">
              <w:rPr>
                <w:sz w:val="18"/>
                <w:szCs w:val="18"/>
                <w:lang w:val="en-GB"/>
              </w:rPr>
              <w:t>Regional-level</w:t>
            </w:r>
          </w:p>
          <w:p w14:paraId="528661FB" w14:textId="77777777" w:rsidR="0018787E" w:rsidRPr="0018787E" w:rsidRDefault="0018787E" w:rsidP="0018787E">
            <w:pPr>
              <w:rPr>
                <w:sz w:val="18"/>
                <w:szCs w:val="18"/>
                <w:lang w:val="en-GB"/>
              </w:rPr>
            </w:pPr>
          </w:p>
          <w:p w14:paraId="0869B72C"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5AA4D66B"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Habitat Committees</w:t>
            </w:r>
          </w:p>
          <w:p w14:paraId="00C2B2FF"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4859983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30320719"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0A470C19"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62A7CF88"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063E6BEF" w14:textId="77777777" w:rsidTr="0018787E">
        <w:tc>
          <w:tcPr>
            <w:tcW w:w="1319" w:type="dxa"/>
            <w:vMerge/>
          </w:tcPr>
          <w:p w14:paraId="3059AEBB" w14:textId="77777777" w:rsidR="0018787E" w:rsidRPr="0018787E" w:rsidRDefault="0018787E" w:rsidP="0018787E">
            <w:pPr>
              <w:rPr>
                <w:sz w:val="18"/>
                <w:szCs w:val="18"/>
                <w:lang w:val="en-GB"/>
              </w:rPr>
            </w:pPr>
          </w:p>
        </w:tc>
        <w:tc>
          <w:tcPr>
            <w:tcW w:w="1270" w:type="dxa"/>
          </w:tcPr>
          <w:p w14:paraId="7B910F07" w14:textId="77777777" w:rsidR="0018787E" w:rsidRPr="0018787E" w:rsidRDefault="0018787E" w:rsidP="0018787E">
            <w:pPr>
              <w:spacing w:before="40"/>
              <w:rPr>
                <w:bCs/>
                <w:sz w:val="18"/>
                <w:szCs w:val="18"/>
                <w:lang w:val="en-GB"/>
              </w:rPr>
            </w:pPr>
            <w:r w:rsidRPr="0018787E">
              <w:rPr>
                <w:bCs/>
                <w:sz w:val="18"/>
                <w:szCs w:val="18"/>
                <w:lang w:val="en-GB"/>
              </w:rPr>
              <w:t>Status of initiative to update estimates of total economic values of coastal biomes</w:t>
            </w:r>
          </w:p>
        </w:tc>
        <w:tc>
          <w:tcPr>
            <w:tcW w:w="1270" w:type="dxa"/>
          </w:tcPr>
          <w:p w14:paraId="06FA6A3F" w14:textId="77777777" w:rsidR="0018787E" w:rsidRPr="0018787E" w:rsidRDefault="0018787E" w:rsidP="0018787E">
            <w:pPr>
              <w:spacing w:before="40"/>
              <w:rPr>
                <w:sz w:val="18"/>
                <w:szCs w:val="18"/>
                <w:lang w:val="en-GB"/>
              </w:rPr>
            </w:pPr>
            <w:r w:rsidRPr="0018787E">
              <w:rPr>
                <w:sz w:val="18"/>
                <w:szCs w:val="18"/>
                <w:lang w:val="en-GB"/>
              </w:rPr>
              <w:t>Economic valuation of coastal habitats used in cost benefit analysis of endorsed Strategic Action Programme actions in 2008</w:t>
            </w:r>
          </w:p>
        </w:tc>
        <w:tc>
          <w:tcPr>
            <w:tcW w:w="1109" w:type="dxa"/>
          </w:tcPr>
          <w:p w14:paraId="4FCA992D" w14:textId="77777777" w:rsidR="0018787E" w:rsidRPr="0018787E" w:rsidRDefault="0018787E" w:rsidP="0018787E">
            <w:pPr>
              <w:rPr>
                <w:sz w:val="18"/>
                <w:szCs w:val="18"/>
                <w:lang w:val="en-GB"/>
              </w:rPr>
            </w:pPr>
            <w:r w:rsidRPr="0018787E">
              <w:rPr>
                <w:sz w:val="18"/>
                <w:szCs w:val="18"/>
                <w:lang w:val="en-GB"/>
              </w:rPr>
              <w:t>Application of regionally consistent methodology in the collection, review and analysis of information and data</w:t>
            </w:r>
          </w:p>
        </w:tc>
        <w:tc>
          <w:tcPr>
            <w:tcW w:w="1291" w:type="dxa"/>
          </w:tcPr>
          <w:p w14:paraId="2A632638" w14:textId="77777777" w:rsidR="0018787E" w:rsidRPr="0018787E" w:rsidRDefault="0018787E" w:rsidP="0018787E">
            <w:pPr>
              <w:spacing w:before="40"/>
              <w:rPr>
                <w:sz w:val="18"/>
                <w:szCs w:val="18"/>
                <w:lang w:val="en-GB"/>
              </w:rPr>
            </w:pPr>
            <w:r w:rsidRPr="0018787E">
              <w:rPr>
                <w:sz w:val="18"/>
                <w:szCs w:val="18"/>
                <w:lang w:val="en-GB"/>
              </w:rPr>
              <w:t>Updated estimates of Total Economic Values for coastal habitats of the SCS and converted to 2017 value by means of the consumer price index</w:t>
            </w:r>
          </w:p>
        </w:tc>
        <w:tc>
          <w:tcPr>
            <w:tcW w:w="1269" w:type="dxa"/>
          </w:tcPr>
          <w:p w14:paraId="38BE0823" w14:textId="77777777" w:rsidR="0018787E" w:rsidRPr="0018787E" w:rsidRDefault="0018787E" w:rsidP="0018787E">
            <w:pPr>
              <w:spacing w:before="40"/>
              <w:rPr>
                <w:bCs/>
                <w:sz w:val="18"/>
                <w:szCs w:val="18"/>
                <w:lang w:val="en-GB"/>
              </w:rPr>
            </w:pPr>
            <w:r w:rsidRPr="0018787E">
              <w:rPr>
                <w:bCs/>
                <w:sz w:val="18"/>
                <w:szCs w:val="18"/>
                <w:lang w:val="en-GB"/>
              </w:rPr>
              <w:t>1 * regional report on updated Total Economic Values for coastal habitats published and online</w:t>
            </w:r>
          </w:p>
        </w:tc>
        <w:tc>
          <w:tcPr>
            <w:tcW w:w="1440" w:type="dxa"/>
          </w:tcPr>
          <w:p w14:paraId="6D4AFFBA" w14:textId="77777777" w:rsidR="0018787E" w:rsidRPr="0018787E" w:rsidRDefault="0018787E" w:rsidP="0018787E">
            <w:pPr>
              <w:rPr>
                <w:sz w:val="18"/>
                <w:szCs w:val="18"/>
                <w:lang w:val="en-GB"/>
              </w:rPr>
            </w:pPr>
            <w:r w:rsidRPr="0018787E">
              <w:rPr>
                <w:sz w:val="18"/>
                <w:szCs w:val="18"/>
                <w:lang w:val="en-GB"/>
              </w:rPr>
              <w:t>Quarterly</w:t>
            </w:r>
          </w:p>
          <w:p w14:paraId="71417AAD" w14:textId="77777777" w:rsidR="0018787E" w:rsidRPr="0018787E" w:rsidRDefault="0018787E" w:rsidP="0018787E">
            <w:pPr>
              <w:rPr>
                <w:sz w:val="18"/>
                <w:szCs w:val="18"/>
                <w:lang w:val="en-GB"/>
              </w:rPr>
            </w:pPr>
          </w:p>
          <w:p w14:paraId="780C45A4" w14:textId="77777777" w:rsidR="0018787E" w:rsidRPr="0018787E" w:rsidRDefault="0018787E" w:rsidP="0018787E">
            <w:pPr>
              <w:rPr>
                <w:sz w:val="18"/>
                <w:szCs w:val="18"/>
                <w:lang w:val="en-GB"/>
              </w:rPr>
            </w:pPr>
          </w:p>
          <w:p w14:paraId="09D89C18" w14:textId="77777777" w:rsidR="0018787E" w:rsidRPr="0018787E" w:rsidRDefault="0018787E" w:rsidP="0018787E">
            <w:pPr>
              <w:rPr>
                <w:sz w:val="18"/>
                <w:szCs w:val="18"/>
                <w:lang w:val="en-GB"/>
              </w:rPr>
            </w:pPr>
            <w:r w:rsidRPr="0018787E">
              <w:rPr>
                <w:sz w:val="18"/>
                <w:szCs w:val="18"/>
                <w:lang w:val="en-GB"/>
              </w:rPr>
              <w:t>Biannually</w:t>
            </w:r>
          </w:p>
          <w:p w14:paraId="55E8ED67" w14:textId="77777777" w:rsidR="0018787E" w:rsidRPr="0018787E" w:rsidRDefault="0018787E" w:rsidP="0018787E">
            <w:pPr>
              <w:rPr>
                <w:sz w:val="18"/>
                <w:szCs w:val="18"/>
                <w:lang w:val="en-GB"/>
              </w:rPr>
            </w:pPr>
          </w:p>
          <w:p w14:paraId="63E87A75" w14:textId="77777777" w:rsidR="0018787E" w:rsidRPr="0018787E" w:rsidRDefault="0018787E" w:rsidP="0018787E">
            <w:pPr>
              <w:rPr>
                <w:sz w:val="18"/>
                <w:szCs w:val="18"/>
                <w:lang w:val="en-GB"/>
              </w:rPr>
            </w:pPr>
          </w:p>
          <w:p w14:paraId="68AEC5E0" w14:textId="77777777" w:rsidR="0018787E" w:rsidRPr="0018787E" w:rsidRDefault="0018787E" w:rsidP="0018787E">
            <w:pPr>
              <w:rPr>
                <w:sz w:val="18"/>
                <w:szCs w:val="18"/>
                <w:lang w:val="en-GB"/>
              </w:rPr>
            </w:pPr>
          </w:p>
          <w:p w14:paraId="13EA0762" w14:textId="77777777" w:rsidR="0018787E" w:rsidRPr="0018787E" w:rsidRDefault="0018787E" w:rsidP="0018787E">
            <w:pPr>
              <w:rPr>
                <w:sz w:val="18"/>
                <w:szCs w:val="18"/>
                <w:lang w:val="en-GB"/>
              </w:rPr>
            </w:pPr>
            <w:r w:rsidRPr="0018787E">
              <w:rPr>
                <w:sz w:val="18"/>
                <w:szCs w:val="18"/>
                <w:lang w:val="en-GB"/>
              </w:rPr>
              <w:t>Biannually</w:t>
            </w:r>
          </w:p>
          <w:p w14:paraId="1429E863" w14:textId="77777777" w:rsidR="0018787E" w:rsidRPr="0018787E" w:rsidRDefault="0018787E" w:rsidP="0018787E">
            <w:pPr>
              <w:rPr>
                <w:sz w:val="18"/>
                <w:szCs w:val="18"/>
                <w:lang w:val="en-GB"/>
              </w:rPr>
            </w:pPr>
          </w:p>
          <w:p w14:paraId="26C4D0C5" w14:textId="77777777" w:rsidR="0018787E" w:rsidRPr="0018787E" w:rsidRDefault="0018787E" w:rsidP="0018787E">
            <w:pPr>
              <w:rPr>
                <w:sz w:val="18"/>
                <w:szCs w:val="18"/>
                <w:lang w:val="en-GB"/>
              </w:rPr>
            </w:pPr>
          </w:p>
          <w:p w14:paraId="6789CEE2"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2CD2B295" w14:textId="77777777" w:rsidR="0018787E" w:rsidRPr="0018787E" w:rsidRDefault="0018787E" w:rsidP="0018787E">
            <w:pPr>
              <w:rPr>
                <w:sz w:val="18"/>
                <w:szCs w:val="18"/>
                <w:lang w:val="en-GB"/>
              </w:rPr>
            </w:pPr>
            <w:r w:rsidRPr="0018787E">
              <w:rPr>
                <w:sz w:val="18"/>
                <w:szCs w:val="18"/>
                <w:lang w:val="en-GB"/>
              </w:rPr>
              <w:t>National-level</w:t>
            </w:r>
          </w:p>
          <w:p w14:paraId="2A19C8FC" w14:textId="77777777" w:rsidR="0018787E" w:rsidRPr="0018787E" w:rsidRDefault="0018787E" w:rsidP="0018787E">
            <w:pPr>
              <w:rPr>
                <w:sz w:val="18"/>
                <w:szCs w:val="18"/>
                <w:lang w:val="en-GB"/>
              </w:rPr>
            </w:pPr>
          </w:p>
          <w:p w14:paraId="3A4030A2" w14:textId="77777777" w:rsidR="0018787E" w:rsidRPr="0018787E" w:rsidRDefault="0018787E" w:rsidP="0018787E">
            <w:pPr>
              <w:rPr>
                <w:sz w:val="18"/>
                <w:szCs w:val="18"/>
                <w:lang w:val="en-GB"/>
              </w:rPr>
            </w:pPr>
            <w:r w:rsidRPr="0018787E">
              <w:rPr>
                <w:sz w:val="18"/>
                <w:szCs w:val="18"/>
                <w:lang w:val="en-GB"/>
              </w:rPr>
              <w:t>National-level</w:t>
            </w:r>
          </w:p>
          <w:p w14:paraId="4B967C76" w14:textId="77777777" w:rsidR="0018787E" w:rsidRPr="0018787E" w:rsidRDefault="0018787E" w:rsidP="0018787E">
            <w:pPr>
              <w:rPr>
                <w:sz w:val="18"/>
                <w:szCs w:val="18"/>
                <w:lang w:val="en-GB"/>
              </w:rPr>
            </w:pPr>
          </w:p>
          <w:p w14:paraId="67318AE3" w14:textId="77777777" w:rsidR="0018787E" w:rsidRPr="0018787E" w:rsidRDefault="0018787E" w:rsidP="0018787E">
            <w:pPr>
              <w:rPr>
                <w:sz w:val="18"/>
                <w:szCs w:val="18"/>
                <w:lang w:val="en-GB"/>
              </w:rPr>
            </w:pPr>
          </w:p>
          <w:p w14:paraId="72AA265D" w14:textId="77777777" w:rsidR="0018787E" w:rsidRPr="0018787E" w:rsidRDefault="0018787E" w:rsidP="0018787E">
            <w:pPr>
              <w:rPr>
                <w:sz w:val="18"/>
                <w:szCs w:val="18"/>
                <w:lang w:val="en-GB"/>
              </w:rPr>
            </w:pPr>
            <w:r w:rsidRPr="0018787E">
              <w:rPr>
                <w:sz w:val="18"/>
                <w:szCs w:val="18"/>
                <w:lang w:val="en-GB"/>
              </w:rPr>
              <w:t>Regional-level</w:t>
            </w:r>
          </w:p>
          <w:p w14:paraId="048EC050" w14:textId="77777777" w:rsidR="0018787E" w:rsidRPr="0018787E" w:rsidRDefault="0018787E" w:rsidP="0018787E">
            <w:pPr>
              <w:rPr>
                <w:sz w:val="18"/>
                <w:szCs w:val="18"/>
                <w:lang w:val="en-GB"/>
              </w:rPr>
            </w:pPr>
          </w:p>
          <w:p w14:paraId="737480B8"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577B13DF"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Habitat Committees</w:t>
            </w:r>
          </w:p>
          <w:p w14:paraId="27B623C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1186A9D6"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762E40D8"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677A90F5"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6417F5D2"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2B61B9FE" w14:textId="77777777" w:rsidTr="0018787E">
        <w:tc>
          <w:tcPr>
            <w:tcW w:w="1319" w:type="dxa"/>
            <w:vMerge w:val="restart"/>
            <w:vAlign w:val="center"/>
          </w:tcPr>
          <w:p w14:paraId="23BF5FDB" w14:textId="77777777" w:rsidR="0018787E" w:rsidRPr="0018787E" w:rsidRDefault="0018787E" w:rsidP="0018787E">
            <w:pPr>
              <w:rPr>
                <w:sz w:val="18"/>
                <w:szCs w:val="18"/>
                <w:lang w:val="en-GB"/>
              </w:rPr>
            </w:pPr>
            <w:r w:rsidRPr="0018787E">
              <w:rPr>
                <w:sz w:val="18"/>
                <w:szCs w:val="18"/>
                <w:lang w:val="en-GB"/>
              </w:rPr>
              <w:t>2.5 Regionally appropriate tools and mechanisms to guide the development of sustainable management systems for coastal habitats and land-based pollution</w:t>
            </w:r>
          </w:p>
        </w:tc>
        <w:tc>
          <w:tcPr>
            <w:tcW w:w="1270" w:type="dxa"/>
          </w:tcPr>
          <w:p w14:paraId="7FCD1897" w14:textId="77777777" w:rsidR="0018787E" w:rsidRPr="0018787E" w:rsidRDefault="0018787E" w:rsidP="0018787E">
            <w:pPr>
              <w:spacing w:before="40"/>
              <w:rPr>
                <w:bCs/>
                <w:sz w:val="18"/>
                <w:szCs w:val="18"/>
                <w:lang w:val="en-GB"/>
              </w:rPr>
            </w:pPr>
            <w:r w:rsidRPr="0018787E">
              <w:rPr>
                <w:bCs/>
                <w:sz w:val="18"/>
                <w:szCs w:val="18"/>
                <w:lang w:val="en-GB"/>
              </w:rPr>
              <w:t>Status of initiative to develop and apply standards and criteria for determining the sustainability of coastal habitat management systems</w:t>
            </w:r>
          </w:p>
        </w:tc>
        <w:tc>
          <w:tcPr>
            <w:tcW w:w="1270" w:type="dxa"/>
          </w:tcPr>
          <w:p w14:paraId="7A35565B" w14:textId="77777777" w:rsidR="0018787E" w:rsidRPr="0018787E" w:rsidRDefault="0018787E" w:rsidP="0018787E">
            <w:pPr>
              <w:spacing w:before="40"/>
              <w:rPr>
                <w:sz w:val="18"/>
                <w:szCs w:val="18"/>
                <w:lang w:val="en-GB"/>
              </w:rPr>
            </w:pPr>
            <w:r w:rsidRPr="0018787E">
              <w:rPr>
                <w:sz w:val="18"/>
                <w:szCs w:val="18"/>
                <w:lang w:val="en-GB"/>
              </w:rPr>
              <w:t>Sustainable management indicator matrices developed for dominant coastal habitats but not yet applied and tested in framework of SAP implementation</w:t>
            </w:r>
          </w:p>
        </w:tc>
        <w:tc>
          <w:tcPr>
            <w:tcW w:w="1109" w:type="dxa"/>
          </w:tcPr>
          <w:p w14:paraId="6B3EEAD9" w14:textId="77777777" w:rsidR="0018787E" w:rsidRPr="0018787E" w:rsidRDefault="0018787E" w:rsidP="0018787E">
            <w:pPr>
              <w:rPr>
                <w:sz w:val="18"/>
                <w:szCs w:val="18"/>
                <w:lang w:val="en-GB"/>
              </w:rPr>
            </w:pPr>
            <w:r w:rsidRPr="0018787E">
              <w:rPr>
                <w:sz w:val="18"/>
                <w:szCs w:val="18"/>
                <w:lang w:val="en-GB"/>
              </w:rPr>
              <w:t>Consultative processes have been undertaken to secure stakeholder engagement and participation</w:t>
            </w:r>
          </w:p>
        </w:tc>
        <w:tc>
          <w:tcPr>
            <w:tcW w:w="1291" w:type="dxa"/>
          </w:tcPr>
          <w:p w14:paraId="67C48888" w14:textId="77777777" w:rsidR="0018787E" w:rsidRPr="0018787E" w:rsidRDefault="0018787E" w:rsidP="0018787E">
            <w:pPr>
              <w:spacing w:before="40"/>
              <w:rPr>
                <w:sz w:val="18"/>
                <w:szCs w:val="18"/>
                <w:lang w:val="en-GB"/>
              </w:rPr>
            </w:pPr>
            <w:r w:rsidRPr="0018787E">
              <w:rPr>
                <w:sz w:val="18"/>
                <w:szCs w:val="18"/>
                <w:lang w:val="en-GB"/>
              </w:rPr>
              <w:t>Regionally applicable standards and criteria for defining the sustainability of coastal habitat management systems, including documented models of sustainable use</w:t>
            </w:r>
          </w:p>
        </w:tc>
        <w:tc>
          <w:tcPr>
            <w:tcW w:w="1269" w:type="dxa"/>
          </w:tcPr>
          <w:p w14:paraId="79B6B36D" w14:textId="77777777" w:rsidR="0018787E" w:rsidRPr="0018787E" w:rsidRDefault="0018787E" w:rsidP="0018787E">
            <w:pPr>
              <w:spacing w:before="40"/>
              <w:rPr>
                <w:bCs/>
                <w:sz w:val="18"/>
                <w:szCs w:val="18"/>
                <w:lang w:val="en-GB"/>
              </w:rPr>
            </w:pPr>
            <w:r w:rsidRPr="0018787E">
              <w:rPr>
                <w:bCs/>
                <w:sz w:val="18"/>
                <w:szCs w:val="18"/>
                <w:lang w:val="en-GB"/>
              </w:rPr>
              <w:t>1 * regional report documenting sustainability of management systems developed and applied at priority coastal habitat sites</w:t>
            </w:r>
          </w:p>
        </w:tc>
        <w:tc>
          <w:tcPr>
            <w:tcW w:w="1440" w:type="dxa"/>
          </w:tcPr>
          <w:p w14:paraId="710E5D9F" w14:textId="77777777" w:rsidR="0018787E" w:rsidRPr="0018787E" w:rsidRDefault="0018787E" w:rsidP="0018787E">
            <w:pPr>
              <w:rPr>
                <w:sz w:val="18"/>
                <w:szCs w:val="18"/>
                <w:lang w:val="en-GB"/>
              </w:rPr>
            </w:pPr>
            <w:r w:rsidRPr="0018787E">
              <w:rPr>
                <w:sz w:val="18"/>
                <w:szCs w:val="18"/>
                <w:lang w:val="en-GB"/>
              </w:rPr>
              <w:t>Quarterly</w:t>
            </w:r>
          </w:p>
          <w:p w14:paraId="4F2A94DF" w14:textId="77777777" w:rsidR="0018787E" w:rsidRPr="0018787E" w:rsidRDefault="0018787E" w:rsidP="0018787E">
            <w:pPr>
              <w:rPr>
                <w:sz w:val="18"/>
                <w:szCs w:val="18"/>
                <w:lang w:val="en-GB"/>
              </w:rPr>
            </w:pPr>
          </w:p>
          <w:p w14:paraId="2F9E0F72" w14:textId="77777777" w:rsidR="0018787E" w:rsidRPr="0018787E" w:rsidRDefault="0018787E" w:rsidP="0018787E">
            <w:pPr>
              <w:rPr>
                <w:sz w:val="18"/>
                <w:szCs w:val="18"/>
                <w:lang w:val="en-GB"/>
              </w:rPr>
            </w:pPr>
          </w:p>
          <w:p w14:paraId="5DC3597C" w14:textId="77777777" w:rsidR="0018787E" w:rsidRPr="0018787E" w:rsidRDefault="0018787E" w:rsidP="0018787E">
            <w:pPr>
              <w:rPr>
                <w:sz w:val="18"/>
                <w:szCs w:val="18"/>
                <w:lang w:val="en-GB"/>
              </w:rPr>
            </w:pPr>
            <w:r w:rsidRPr="0018787E">
              <w:rPr>
                <w:sz w:val="18"/>
                <w:szCs w:val="18"/>
                <w:lang w:val="en-GB"/>
              </w:rPr>
              <w:t>Biannually</w:t>
            </w:r>
          </w:p>
          <w:p w14:paraId="2A4CD86B" w14:textId="77777777" w:rsidR="0018787E" w:rsidRPr="0018787E" w:rsidRDefault="0018787E" w:rsidP="0018787E">
            <w:pPr>
              <w:rPr>
                <w:sz w:val="18"/>
                <w:szCs w:val="18"/>
                <w:lang w:val="en-GB"/>
              </w:rPr>
            </w:pPr>
          </w:p>
          <w:p w14:paraId="611749B3" w14:textId="77777777" w:rsidR="0018787E" w:rsidRPr="0018787E" w:rsidRDefault="0018787E" w:rsidP="0018787E">
            <w:pPr>
              <w:rPr>
                <w:sz w:val="18"/>
                <w:szCs w:val="18"/>
                <w:lang w:val="en-GB"/>
              </w:rPr>
            </w:pPr>
          </w:p>
          <w:p w14:paraId="55734725" w14:textId="77777777" w:rsidR="0018787E" w:rsidRPr="0018787E" w:rsidRDefault="0018787E" w:rsidP="0018787E">
            <w:pPr>
              <w:rPr>
                <w:sz w:val="18"/>
                <w:szCs w:val="18"/>
                <w:lang w:val="en-GB"/>
              </w:rPr>
            </w:pPr>
          </w:p>
          <w:p w14:paraId="427D3E98" w14:textId="77777777" w:rsidR="0018787E" w:rsidRPr="0018787E" w:rsidRDefault="0018787E" w:rsidP="0018787E">
            <w:pPr>
              <w:rPr>
                <w:sz w:val="18"/>
                <w:szCs w:val="18"/>
                <w:lang w:val="en-GB"/>
              </w:rPr>
            </w:pPr>
            <w:r w:rsidRPr="0018787E">
              <w:rPr>
                <w:sz w:val="18"/>
                <w:szCs w:val="18"/>
                <w:lang w:val="en-GB"/>
              </w:rPr>
              <w:t>Biannually</w:t>
            </w:r>
          </w:p>
          <w:p w14:paraId="59D71320" w14:textId="77777777" w:rsidR="0018787E" w:rsidRPr="0018787E" w:rsidRDefault="0018787E" w:rsidP="0018787E">
            <w:pPr>
              <w:rPr>
                <w:sz w:val="18"/>
                <w:szCs w:val="18"/>
                <w:lang w:val="en-GB"/>
              </w:rPr>
            </w:pPr>
          </w:p>
          <w:p w14:paraId="2B059E86" w14:textId="77777777" w:rsidR="0018787E" w:rsidRPr="0018787E" w:rsidRDefault="0018787E" w:rsidP="0018787E">
            <w:pPr>
              <w:rPr>
                <w:sz w:val="18"/>
                <w:szCs w:val="18"/>
                <w:lang w:val="en-GB"/>
              </w:rPr>
            </w:pPr>
          </w:p>
          <w:p w14:paraId="119F43BD"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25F660F6" w14:textId="77777777" w:rsidR="0018787E" w:rsidRPr="0018787E" w:rsidRDefault="0018787E" w:rsidP="0018787E">
            <w:pPr>
              <w:rPr>
                <w:sz w:val="18"/>
                <w:szCs w:val="18"/>
                <w:lang w:val="en-GB"/>
              </w:rPr>
            </w:pPr>
            <w:r w:rsidRPr="0018787E">
              <w:rPr>
                <w:sz w:val="18"/>
                <w:szCs w:val="18"/>
                <w:lang w:val="en-GB"/>
              </w:rPr>
              <w:t>National-level</w:t>
            </w:r>
          </w:p>
          <w:p w14:paraId="77F272CA" w14:textId="77777777" w:rsidR="0018787E" w:rsidRPr="0018787E" w:rsidRDefault="0018787E" w:rsidP="0018787E">
            <w:pPr>
              <w:rPr>
                <w:sz w:val="18"/>
                <w:szCs w:val="18"/>
                <w:lang w:val="en-GB"/>
              </w:rPr>
            </w:pPr>
          </w:p>
          <w:p w14:paraId="2B2A9CC8" w14:textId="77777777" w:rsidR="0018787E" w:rsidRPr="0018787E" w:rsidRDefault="0018787E" w:rsidP="0018787E">
            <w:pPr>
              <w:rPr>
                <w:sz w:val="18"/>
                <w:szCs w:val="18"/>
                <w:lang w:val="en-GB"/>
              </w:rPr>
            </w:pPr>
            <w:r w:rsidRPr="0018787E">
              <w:rPr>
                <w:sz w:val="18"/>
                <w:szCs w:val="18"/>
                <w:lang w:val="en-GB"/>
              </w:rPr>
              <w:t>National-level</w:t>
            </w:r>
          </w:p>
          <w:p w14:paraId="1CCD5FA1" w14:textId="77777777" w:rsidR="0018787E" w:rsidRPr="0018787E" w:rsidRDefault="0018787E" w:rsidP="0018787E">
            <w:pPr>
              <w:rPr>
                <w:sz w:val="18"/>
                <w:szCs w:val="18"/>
                <w:lang w:val="en-GB"/>
              </w:rPr>
            </w:pPr>
          </w:p>
          <w:p w14:paraId="0DDA5518" w14:textId="77777777" w:rsidR="0018787E" w:rsidRPr="0018787E" w:rsidRDefault="0018787E" w:rsidP="0018787E">
            <w:pPr>
              <w:rPr>
                <w:sz w:val="18"/>
                <w:szCs w:val="18"/>
                <w:lang w:val="en-GB"/>
              </w:rPr>
            </w:pPr>
          </w:p>
          <w:p w14:paraId="0BFF36A4" w14:textId="77777777" w:rsidR="0018787E" w:rsidRPr="0018787E" w:rsidRDefault="0018787E" w:rsidP="0018787E">
            <w:pPr>
              <w:rPr>
                <w:sz w:val="18"/>
                <w:szCs w:val="18"/>
                <w:lang w:val="en-GB"/>
              </w:rPr>
            </w:pPr>
            <w:r w:rsidRPr="0018787E">
              <w:rPr>
                <w:sz w:val="18"/>
                <w:szCs w:val="18"/>
                <w:lang w:val="en-GB"/>
              </w:rPr>
              <w:t>Regional-level</w:t>
            </w:r>
          </w:p>
          <w:p w14:paraId="58DFD88A" w14:textId="77777777" w:rsidR="0018787E" w:rsidRPr="0018787E" w:rsidRDefault="0018787E" w:rsidP="0018787E">
            <w:pPr>
              <w:rPr>
                <w:sz w:val="18"/>
                <w:szCs w:val="18"/>
                <w:lang w:val="en-GB"/>
              </w:rPr>
            </w:pPr>
          </w:p>
          <w:p w14:paraId="1E83115C"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253DA721"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Habitat Committees</w:t>
            </w:r>
          </w:p>
          <w:p w14:paraId="4941530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6A1A7281"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13A7A598"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21886CD2"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09C37B66"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4E561893" w14:textId="77777777" w:rsidTr="0018787E">
        <w:tc>
          <w:tcPr>
            <w:tcW w:w="1319" w:type="dxa"/>
            <w:vMerge/>
          </w:tcPr>
          <w:p w14:paraId="5F29191E" w14:textId="77777777" w:rsidR="0018787E" w:rsidRPr="0018787E" w:rsidRDefault="0018787E" w:rsidP="0018787E">
            <w:pPr>
              <w:rPr>
                <w:sz w:val="18"/>
                <w:szCs w:val="18"/>
                <w:lang w:val="en-GB"/>
              </w:rPr>
            </w:pPr>
          </w:p>
        </w:tc>
        <w:tc>
          <w:tcPr>
            <w:tcW w:w="1270" w:type="dxa"/>
          </w:tcPr>
          <w:p w14:paraId="46B5778E" w14:textId="77777777" w:rsidR="0018787E" w:rsidRPr="0018787E" w:rsidRDefault="0018787E" w:rsidP="0018787E">
            <w:pPr>
              <w:spacing w:before="40"/>
              <w:rPr>
                <w:bCs/>
                <w:sz w:val="18"/>
                <w:szCs w:val="18"/>
                <w:lang w:val="en-GB"/>
              </w:rPr>
            </w:pPr>
            <w:r w:rsidRPr="0018787E">
              <w:rPr>
                <w:bCs/>
                <w:sz w:val="18"/>
                <w:szCs w:val="18"/>
                <w:lang w:val="en-GB"/>
              </w:rPr>
              <w:t>Number of best practice management measures and technologies documented, codified, and accessible via online catalogue</w:t>
            </w:r>
          </w:p>
        </w:tc>
        <w:tc>
          <w:tcPr>
            <w:tcW w:w="1270" w:type="dxa"/>
          </w:tcPr>
          <w:p w14:paraId="3AB84C64" w14:textId="77777777" w:rsidR="0018787E" w:rsidRPr="0018787E" w:rsidRDefault="0018787E" w:rsidP="0018787E">
            <w:pPr>
              <w:spacing w:before="40"/>
              <w:rPr>
                <w:sz w:val="18"/>
                <w:szCs w:val="18"/>
                <w:lang w:val="en-GB"/>
              </w:rPr>
            </w:pPr>
            <w:r w:rsidRPr="0018787E">
              <w:rPr>
                <w:sz w:val="18"/>
                <w:szCs w:val="18"/>
                <w:lang w:val="en-GB"/>
              </w:rPr>
              <w:t>Lessons learned and best practices in coastal habitat management from 23 demonstration sites documented and published in peer reviewed article</w:t>
            </w:r>
          </w:p>
        </w:tc>
        <w:tc>
          <w:tcPr>
            <w:tcW w:w="1109" w:type="dxa"/>
          </w:tcPr>
          <w:p w14:paraId="4B576EF2" w14:textId="77777777" w:rsidR="0018787E" w:rsidRPr="0018787E" w:rsidRDefault="0018787E" w:rsidP="0018787E">
            <w:pPr>
              <w:rPr>
                <w:sz w:val="18"/>
                <w:szCs w:val="18"/>
                <w:lang w:val="en-GB"/>
              </w:rPr>
            </w:pPr>
            <w:r w:rsidRPr="0018787E">
              <w:rPr>
                <w:sz w:val="18"/>
                <w:szCs w:val="18"/>
                <w:lang w:val="en-GB"/>
              </w:rPr>
              <w:t>Template for the collation of best practice information developed and being used to prepare best practice examples</w:t>
            </w:r>
          </w:p>
        </w:tc>
        <w:tc>
          <w:tcPr>
            <w:tcW w:w="1291" w:type="dxa"/>
          </w:tcPr>
          <w:p w14:paraId="744812DA" w14:textId="77777777" w:rsidR="0018787E" w:rsidRPr="0018787E" w:rsidRDefault="0018787E" w:rsidP="0018787E">
            <w:pPr>
              <w:spacing w:before="40"/>
              <w:rPr>
                <w:sz w:val="18"/>
                <w:szCs w:val="18"/>
                <w:lang w:val="en-GB"/>
              </w:rPr>
            </w:pPr>
            <w:r w:rsidRPr="0018787E">
              <w:rPr>
                <w:sz w:val="18"/>
                <w:szCs w:val="18"/>
                <w:lang w:val="en-GB"/>
              </w:rPr>
              <w:t>Online catalogue of best practice management measures and technologies for sustainable use of SCS coastal habitats and land-based pollution management</w:t>
            </w:r>
          </w:p>
        </w:tc>
        <w:tc>
          <w:tcPr>
            <w:tcW w:w="1269" w:type="dxa"/>
          </w:tcPr>
          <w:p w14:paraId="0C082657" w14:textId="77777777" w:rsidR="0018787E" w:rsidRPr="0018787E" w:rsidRDefault="0018787E" w:rsidP="0018787E">
            <w:pPr>
              <w:spacing w:before="40"/>
              <w:rPr>
                <w:bCs/>
                <w:sz w:val="18"/>
                <w:szCs w:val="18"/>
                <w:lang w:val="en-GB"/>
              </w:rPr>
            </w:pPr>
            <w:r w:rsidRPr="0018787E">
              <w:rPr>
                <w:bCs/>
                <w:sz w:val="18"/>
                <w:szCs w:val="18"/>
                <w:lang w:val="en-GB"/>
              </w:rPr>
              <w:t>Catalogue of best practices accessible online</w:t>
            </w:r>
          </w:p>
          <w:p w14:paraId="2FB395DF" w14:textId="77777777" w:rsidR="0018787E" w:rsidRPr="0018787E" w:rsidRDefault="0018787E" w:rsidP="0018787E">
            <w:pPr>
              <w:spacing w:before="40"/>
              <w:rPr>
                <w:bCs/>
                <w:sz w:val="18"/>
                <w:szCs w:val="18"/>
                <w:lang w:val="en-GB"/>
              </w:rPr>
            </w:pPr>
          </w:p>
          <w:p w14:paraId="178963AE" w14:textId="77777777" w:rsidR="0018787E" w:rsidRPr="0018787E" w:rsidRDefault="0018787E" w:rsidP="0018787E">
            <w:pPr>
              <w:spacing w:before="40"/>
              <w:rPr>
                <w:bCs/>
                <w:sz w:val="18"/>
                <w:szCs w:val="18"/>
                <w:lang w:val="en-GB"/>
              </w:rPr>
            </w:pPr>
            <w:r w:rsidRPr="0018787E">
              <w:rPr>
                <w:bCs/>
                <w:sz w:val="18"/>
                <w:szCs w:val="18"/>
                <w:lang w:val="en-GB"/>
              </w:rPr>
              <w:t>Communications products on best practices produced and syndicated online</w:t>
            </w:r>
          </w:p>
        </w:tc>
        <w:tc>
          <w:tcPr>
            <w:tcW w:w="1440" w:type="dxa"/>
          </w:tcPr>
          <w:p w14:paraId="0CC1D19F" w14:textId="77777777" w:rsidR="0018787E" w:rsidRPr="0018787E" w:rsidRDefault="0018787E" w:rsidP="0018787E">
            <w:pPr>
              <w:rPr>
                <w:sz w:val="18"/>
                <w:szCs w:val="18"/>
                <w:lang w:val="en-GB"/>
              </w:rPr>
            </w:pPr>
            <w:r w:rsidRPr="0018787E">
              <w:rPr>
                <w:sz w:val="18"/>
                <w:szCs w:val="18"/>
                <w:lang w:val="en-GB"/>
              </w:rPr>
              <w:t>Quarterly</w:t>
            </w:r>
          </w:p>
          <w:p w14:paraId="02937836" w14:textId="77777777" w:rsidR="0018787E" w:rsidRPr="0018787E" w:rsidRDefault="0018787E" w:rsidP="0018787E">
            <w:pPr>
              <w:rPr>
                <w:sz w:val="18"/>
                <w:szCs w:val="18"/>
                <w:lang w:val="en-GB"/>
              </w:rPr>
            </w:pPr>
          </w:p>
          <w:p w14:paraId="6E7772FA" w14:textId="77777777" w:rsidR="0018787E" w:rsidRPr="0018787E" w:rsidRDefault="0018787E" w:rsidP="0018787E">
            <w:pPr>
              <w:rPr>
                <w:sz w:val="18"/>
                <w:szCs w:val="18"/>
                <w:lang w:val="en-GB"/>
              </w:rPr>
            </w:pPr>
          </w:p>
          <w:p w14:paraId="7782C5F9" w14:textId="77777777" w:rsidR="0018787E" w:rsidRPr="0018787E" w:rsidRDefault="0018787E" w:rsidP="0018787E">
            <w:pPr>
              <w:rPr>
                <w:sz w:val="18"/>
                <w:szCs w:val="18"/>
                <w:lang w:val="en-GB"/>
              </w:rPr>
            </w:pPr>
            <w:r w:rsidRPr="0018787E">
              <w:rPr>
                <w:sz w:val="18"/>
                <w:szCs w:val="18"/>
                <w:lang w:val="en-GB"/>
              </w:rPr>
              <w:t>Biannually</w:t>
            </w:r>
          </w:p>
          <w:p w14:paraId="6EF1DA9D" w14:textId="77777777" w:rsidR="0018787E" w:rsidRPr="0018787E" w:rsidRDefault="0018787E" w:rsidP="0018787E">
            <w:pPr>
              <w:rPr>
                <w:sz w:val="18"/>
                <w:szCs w:val="18"/>
                <w:lang w:val="en-GB"/>
              </w:rPr>
            </w:pPr>
          </w:p>
          <w:p w14:paraId="4F5CAE4C" w14:textId="77777777" w:rsidR="0018787E" w:rsidRPr="0018787E" w:rsidRDefault="0018787E" w:rsidP="0018787E">
            <w:pPr>
              <w:rPr>
                <w:sz w:val="18"/>
                <w:szCs w:val="18"/>
                <w:lang w:val="en-GB"/>
              </w:rPr>
            </w:pPr>
          </w:p>
          <w:p w14:paraId="31977DCA" w14:textId="77777777" w:rsidR="0018787E" w:rsidRPr="0018787E" w:rsidRDefault="0018787E" w:rsidP="0018787E">
            <w:pPr>
              <w:rPr>
                <w:sz w:val="18"/>
                <w:szCs w:val="18"/>
                <w:lang w:val="en-GB"/>
              </w:rPr>
            </w:pPr>
          </w:p>
          <w:p w14:paraId="1BC1829B" w14:textId="77777777" w:rsidR="0018787E" w:rsidRPr="0018787E" w:rsidRDefault="0018787E" w:rsidP="0018787E">
            <w:pPr>
              <w:rPr>
                <w:sz w:val="18"/>
                <w:szCs w:val="18"/>
                <w:lang w:val="en-GB"/>
              </w:rPr>
            </w:pPr>
            <w:r w:rsidRPr="0018787E">
              <w:rPr>
                <w:sz w:val="18"/>
                <w:szCs w:val="18"/>
                <w:lang w:val="en-GB"/>
              </w:rPr>
              <w:t>Biannually</w:t>
            </w:r>
          </w:p>
          <w:p w14:paraId="69BC2E13" w14:textId="77777777" w:rsidR="0018787E" w:rsidRPr="0018787E" w:rsidRDefault="0018787E" w:rsidP="0018787E">
            <w:pPr>
              <w:rPr>
                <w:sz w:val="18"/>
                <w:szCs w:val="18"/>
                <w:lang w:val="en-GB"/>
              </w:rPr>
            </w:pPr>
          </w:p>
          <w:p w14:paraId="734090D3" w14:textId="77777777" w:rsidR="0018787E" w:rsidRPr="0018787E" w:rsidRDefault="0018787E" w:rsidP="0018787E">
            <w:pPr>
              <w:rPr>
                <w:sz w:val="18"/>
                <w:szCs w:val="18"/>
                <w:lang w:val="en-GB"/>
              </w:rPr>
            </w:pPr>
          </w:p>
          <w:p w14:paraId="0F00ED82"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31A45BA2" w14:textId="77777777" w:rsidR="0018787E" w:rsidRPr="0018787E" w:rsidRDefault="0018787E" w:rsidP="0018787E">
            <w:pPr>
              <w:rPr>
                <w:sz w:val="18"/>
                <w:szCs w:val="18"/>
                <w:lang w:val="en-GB"/>
              </w:rPr>
            </w:pPr>
            <w:r w:rsidRPr="0018787E">
              <w:rPr>
                <w:sz w:val="18"/>
                <w:szCs w:val="18"/>
                <w:lang w:val="en-GB"/>
              </w:rPr>
              <w:t>National-level</w:t>
            </w:r>
          </w:p>
          <w:p w14:paraId="095C33AA" w14:textId="77777777" w:rsidR="0018787E" w:rsidRPr="0018787E" w:rsidRDefault="0018787E" w:rsidP="0018787E">
            <w:pPr>
              <w:rPr>
                <w:sz w:val="18"/>
                <w:szCs w:val="18"/>
                <w:lang w:val="en-GB"/>
              </w:rPr>
            </w:pPr>
          </w:p>
          <w:p w14:paraId="3136C41F" w14:textId="77777777" w:rsidR="0018787E" w:rsidRPr="0018787E" w:rsidRDefault="0018787E" w:rsidP="0018787E">
            <w:pPr>
              <w:rPr>
                <w:sz w:val="18"/>
                <w:szCs w:val="18"/>
                <w:lang w:val="en-GB"/>
              </w:rPr>
            </w:pPr>
            <w:r w:rsidRPr="0018787E">
              <w:rPr>
                <w:sz w:val="18"/>
                <w:szCs w:val="18"/>
                <w:lang w:val="en-GB"/>
              </w:rPr>
              <w:t>National-level</w:t>
            </w:r>
          </w:p>
          <w:p w14:paraId="1D0E980E" w14:textId="77777777" w:rsidR="0018787E" w:rsidRPr="0018787E" w:rsidRDefault="0018787E" w:rsidP="0018787E">
            <w:pPr>
              <w:rPr>
                <w:sz w:val="18"/>
                <w:szCs w:val="18"/>
                <w:lang w:val="en-GB"/>
              </w:rPr>
            </w:pPr>
          </w:p>
          <w:p w14:paraId="53EC0CCE" w14:textId="77777777" w:rsidR="0018787E" w:rsidRPr="0018787E" w:rsidRDefault="0018787E" w:rsidP="0018787E">
            <w:pPr>
              <w:rPr>
                <w:sz w:val="18"/>
                <w:szCs w:val="18"/>
                <w:lang w:val="en-GB"/>
              </w:rPr>
            </w:pPr>
          </w:p>
          <w:p w14:paraId="21B40BC3" w14:textId="77777777" w:rsidR="0018787E" w:rsidRPr="0018787E" w:rsidRDefault="0018787E" w:rsidP="0018787E">
            <w:pPr>
              <w:rPr>
                <w:sz w:val="18"/>
                <w:szCs w:val="18"/>
                <w:lang w:val="en-GB"/>
              </w:rPr>
            </w:pPr>
            <w:r w:rsidRPr="0018787E">
              <w:rPr>
                <w:sz w:val="18"/>
                <w:szCs w:val="18"/>
                <w:lang w:val="en-GB"/>
              </w:rPr>
              <w:t>Regional-level</w:t>
            </w:r>
          </w:p>
          <w:p w14:paraId="1333F1EA" w14:textId="77777777" w:rsidR="0018787E" w:rsidRPr="0018787E" w:rsidRDefault="0018787E" w:rsidP="0018787E">
            <w:pPr>
              <w:rPr>
                <w:sz w:val="18"/>
                <w:szCs w:val="18"/>
                <w:lang w:val="en-GB"/>
              </w:rPr>
            </w:pPr>
          </w:p>
          <w:p w14:paraId="4AD448B7"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4CF682D9"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Habitat/Lb-P Committees</w:t>
            </w:r>
          </w:p>
          <w:p w14:paraId="2806AE07"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234F0B4D"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2A714AC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574DE0BF"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61B3EB48"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7F6CD907" w14:textId="77777777" w:rsidTr="0018787E">
        <w:tc>
          <w:tcPr>
            <w:tcW w:w="1319" w:type="dxa"/>
            <w:vMerge/>
          </w:tcPr>
          <w:p w14:paraId="57F99D10" w14:textId="77777777" w:rsidR="0018787E" w:rsidRPr="0018787E" w:rsidRDefault="0018787E" w:rsidP="0018787E">
            <w:pPr>
              <w:rPr>
                <w:sz w:val="18"/>
                <w:szCs w:val="18"/>
                <w:lang w:val="en-GB"/>
              </w:rPr>
            </w:pPr>
          </w:p>
        </w:tc>
        <w:tc>
          <w:tcPr>
            <w:tcW w:w="1270" w:type="dxa"/>
          </w:tcPr>
          <w:p w14:paraId="1E0B4A9A" w14:textId="77777777" w:rsidR="0018787E" w:rsidRPr="0018787E" w:rsidRDefault="0018787E" w:rsidP="0018787E">
            <w:pPr>
              <w:spacing w:before="40"/>
              <w:rPr>
                <w:bCs/>
                <w:sz w:val="18"/>
                <w:szCs w:val="18"/>
                <w:lang w:val="en-GB"/>
              </w:rPr>
            </w:pPr>
            <w:r w:rsidRPr="0018787E">
              <w:rPr>
                <w:bCs/>
                <w:sz w:val="18"/>
                <w:szCs w:val="18"/>
                <w:lang w:val="en-GB"/>
              </w:rPr>
              <w:t>Extent and continuity of local leader and local government participation in study tour and exchange initiatives</w:t>
            </w:r>
          </w:p>
          <w:p w14:paraId="3239BCFA" w14:textId="77777777" w:rsidR="0018787E" w:rsidRPr="0018787E" w:rsidRDefault="0018787E" w:rsidP="0018787E">
            <w:pPr>
              <w:spacing w:before="40"/>
              <w:rPr>
                <w:bCs/>
                <w:sz w:val="18"/>
                <w:szCs w:val="18"/>
                <w:lang w:val="en-GB"/>
              </w:rPr>
            </w:pPr>
            <w:r w:rsidRPr="0018787E">
              <w:rPr>
                <w:bCs/>
                <w:sz w:val="18"/>
                <w:szCs w:val="18"/>
                <w:lang w:val="en-GB"/>
              </w:rPr>
              <w:t>Level of improved local relevance of national policy and planning efforts for reducing environmental degradation in the SCS</w:t>
            </w:r>
          </w:p>
        </w:tc>
        <w:tc>
          <w:tcPr>
            <w:tcW w:w="1270" w:type="dxa"/>
          </w:tcPr>
          <w:p w14:paraId="6C13A426" w14:textId="77777777" w:rsidR="0018787E" w:rsidRPr="0018787E" w:rsidRDefault="0018787E" w:rsidP="0018787E">
            <w:pPr>
              <w:spacing w:before="40"/>
              <w:rPr>
                <w:sz w:val="18"/>
                <w:szCs w:val="18"/>
                <w:lang w:val="en-GB"/>
              </w:rPr>
            </w:pPr>
            <w:r w:rsidRPr="0018787E">
              <w:rPr>
                <w:sz w:val="18"/>
                <w:szCs w:val="18"/>
                <w:lang w:val="en-GB"/>
              </w:rPr>
              <w:t>Limited engagement of community-based governance mechanisms in planning coastal habitat management</w:t>
            </w:r>
          </w:p>
          <w:p w14:paraId="488D4422" w14:textId="77777777" w:rsidR="0018787E" w:rsidRPr="0018787E" w:rsidRDefault="0018787E" w:rsidP="0018787E">
            <w:pPr>
              <w:spacing w:before="40"/>
              <w:rPr>
                <w:sz w:val="18"/>
                <w:szCs w:val="18"/>
                <w:lang w:val="en-GB"/>
              </w:rPr>
            </w:pPr>
          </w:p>
          <w:p w14:paraId="6E7BAFC7" w14:textId="77777777" w:rsidR="0018787E" w:rsidRPr="0018787E" w:rsidRDefault="0018787E" w:rsidP="0018787E">
            <w:pPr>
              <w:spacing w:before="40"/>
              <w:rPr>
                <w:sz w:val="18"/>
                <w:szCs w:val="18"/>
                <w:lang w:val="en-GB"/>
              </w:rPr>
            </w:pPr>
            <w:r w:rsidRPr="0018787E">
              <w:rPr>
                <w:sz w:val="18"/>
                <w:szCs w:val="18"/>
                <w:lang w:val="en-GB"/>
              </w:rPr>
              <w:t>Low level mobilization of civil society, community groups and the private sector in habitat management</w:t>
            </w:r>
          </w:p>
        </w:tc>
        <w:tc>
          <w:tcPr>
            <w:tcW w:w="1109" w:type="dxa"/>
          </w:tcPr>
          <w:p w14:paraId="1A1366EC" w14:textId="77777777" w:rsidR="0018787E" w:rsidRPr="0018787E" w:rsidRDefault="0018787E" w:rsidP="0018787E">
            <w:pPr>
              <w:rPr>
                <w:sz w:val="18"/>
                <w:szCs w:val="18"/>
                <w:lang w:val="en-GB"/>
              </w:rPr>
            </w:pPr>
            <w:r w:rsidRPr="0018787E">
              <w:rPr>
                <w:sz w:val="18"/>
                <w:szCs w:val="18"/>
                <w:lang w:val="en-GB"/>
              </w:rPr>
              <w:t>Study tour and exchange programme developed and approved by the Project Steering Committee for implementation</w:t>
            </w:r>
          </w:p>
        </w:tc>
        <w:tc>
          <w:tcPr>
            <w:tcW w:w="1291" w:type="dxa"/>
          </w:tcPr>
          <w:p w14:paraId="75602880" w14:textId="77777777" w:rsidR="0018787E" w:rsidRPr="0018787E" w:rsidRDefault="0018787E" w:rsidP="0018787E">
            <w:pPr>
              <w:spacing w:before="40"/>
              <w:rPr>
                <w:sz w:val="18"/>
                <w:szCs w:val="18"/>
                <w:lang w:val="en-GB"/>
              </w:rPr>
            </w:pPr>
            <w:r w:rsidRPr="0018787E">
              <w:rPr>
                <w:sz w:val="18"/>
                <w:szCs w:val="18"/>
                <w:lang w:val="en-GB"/>
              </w:rPr>
              <w:t>Government officials, community leaders, and habitat and pollution managers exposed to on-going practices in rehabilitation, management , and pollution control and treatment via programme of study tours and exchange</w:t>
            </w:r>
          </w:p>
        </w:tc>
        <w:tc>
          <w:tcPr>
            <w:tcW w:w="1269" w:type="dxa"/>
          </w:tcPr>
          <w:p w14:paraId="04FE9C42" w14:textId="77777777" w:rsidR="0018787E" w:rsidRPr="0018787E" w:rsidRDefault="0018787E" w:rsidP="0018787E">
            <w:pPr>
              <w:spacing w:before="40"/>
              <w:rPr>
                <w:bCs/>
                <w:sz w:val="18"/>
                <w:szCs w:val="18"/>
                <w:lang w:val="en-GB"/>
              </w:rPr>
            </w:pPr>
            <w:r w:rsidRPr="0018787E">
              <w:rPr>
                <w:bCs/>
                <w:sz w:val="18"/>
                <w:szCs w:val="18"/>
                <w:lang w:val="en-GB"/>
              </w:rPr>
              <w:t>Reports of study tour and exchange initiatives</w:t>
            </w:r>
          </w:p>
          <w:p w14:paraId="36BD36DE" w14:textId="77777777" w:rsidR="0018787E" w:rsidRPr="0018787E" w:rsidRDefault="0018787E" w:rsidP="0018787E">
            <w:pPr>
              <w:spacing w:before="40"/>
              <w:rPr>
                <w:bCs/>
                <w:sz w:val="18"/>
                <w:szCs w:val="18"/>
                <w:lang w:val="en-GB"/>
              </w:rPr>
            </w:pPr>
          </w:p>
          <w:p w14:paraId="13EEA08B" w14:textId="77777777" w:rsidR="0018787E" w:rsidRPr="0018787E" w:rsidRDefault="0018787E" w:rsidP="0018787E">
            <w:pPr>
              <w:spacing w:before="40"/>
              <w:rPr>
                <w:bCs/>
                <w:sz w:val="18"/>
                <w:szCs w:val="18"/>
                <w:lang w:val="en-GB"/>
              </w:rPr>
            </w:pPr>
            <w:r w:rsidRPr="0018787E">
              <w:rPr>
                <w:bCs/>
                <w:sz w:val="18"/>
                <w:szCs w:val="18"/>
                <w:lang w:val="en-GB"/>
              </w:rPr>
              <w:t>Annual reports of best practice examples of community level inputs to SAP implementation initiatives</w:t>
            </w:r>
          </w:p>
        </w:tc>
        <w:tc>
          <w:tcPr>
            <w:tcW w:w="1440" w:type="dxa"/>
          </w:tcPr>
          <w:p w14:paraId="4491A952" w14:textId="77777777" w:rsidR="0018787E" w:rsidRPr="0018787E" w:rsidRDefault="0018787E" w:rsidP="0018787E">
            <w:pPr>
              <w:rPr>
                <w:sz w:val="18"/>
                <w:szCs w:val="18"/>
                <w:lang w:val="en-GB"/>
              </w:rPr>
            </w:pPr>
            <w:r w:rsidRPr="0018787E">
              <w:rPr>
                <w:sz w:val="18"/>
                <w:szCs w:val="18"/>
                <w:lang w:val="en-GB"/>
              </w:rPr>
              <w:t>Quarterly</w:t>
            </w:r>
          </w:p>
          <w:p w14:paraId="23198ACE" w14:textId="77777777" w:rsidR="0018787E" w:rsidRPr="0018787E" w:rsidRDefault="0018787E" w:rsidP="0018787E">
            <w:pPr>
              <w:rPr>
                <w:sz w:val="18"/>
                <w:szCs w:val="18"/>
                <w:lang w:val="en-GB"/>
              </w:rPr>
            </w:pPr>
          </w:p>
          <w:p w14:paraId="25EEB669" w14:textId="77777777" w:rsidR="0018787E" w:rsidRPr="0018787E" w:rsidRDefault="0018787E" w:rsidP="0018787E">
            <w:pPr>
              <w:rPr>
                <w:sz w:val="18"/>
                <w:szCs w:val="18"/>
                <w:lang w:val="en-GB"/>
              </w:rPr>
            </w:pPr>
          </w:p>
          <w:p w14:paraId="51D8AF1D" w14:textId="77777777" w:rsidR="0018787E" w:rsidRPr="0018787E" w:rsidRDefault="0018787E" w:rsidP="0018787E">
            <w:pPr>
              <w:rPr>
                <w:sz w:val="18"/>
                <w:szCs w:val="18"/>
                <w:lang w:val="en-GB"/>
              </w:rPr>
            </w:pPr>
            <w:r w:rsidRPr="0018787E">
              <w:rPr>
                <w:sz w:val="18"/>
                <w:szCs w:val="18"/>
                <w:lang w:val="en-GB"/>
              </w:rPr>
              <w:t>Biannually</w:t>
            </w:r>
          </w:p>
          <w:p w14:paraId="00C2C4A1" w14:textId="77777777" w:rsidR="0018787E" w:rsidRPr="0018787E" w:rsidRDefault="0018787E" w:rsidP="0018787E">
            <w:pPr>
              <w:rPr>
                <w:sz w:val="18"/>
                <w:szCs w:val="18"/>
                <w:lang w:val="en-GB"/>
              </w:rPr>
            </w:pPr>
          </w:p>
          <w:p w14:paraId="4AFE06D7" w14:textId="77777777" w:rsidR="0018787E" w:rsidRPr="0018787E" w:rsidRDefault="0018787E" w:rsidP="0018787E">
            <w:pPr>
              <w:rPr>
                <w:sz w:val="18"/>
                <w:szCs w:val="18"/>
                <w:lang w:val="en-GB"/>
              </w:rPr>
            </w:pPr>
          </w:p>
          <w:p w14:paraId="0E594259" w14:textId="77777777" w:rsidR="0018787E" w:rsidRPr="0018787E" w:rsidRDefault="0018787E" w:rsidP="0018787E">
            <w:pPr>
              <w:rPr>
                <w:sz w:val="18"/>
                <w:szCs w:val="18"/>
                <w:lang w:val="en-GB"/>
              </w:rPr>
            </w:pPr>
          </w:p>
          <w:p w14:paraId="1152FFEA" w14:textId="77777777" w:rsidR="0018787E" w:rsidRPr="0018787E" w:rsidRDefault="0018787E" w:rsidP="0018787E">
            <w:pPr>
              <w:rPr>
                <w:sz w:val="18"/>
                <w:szCs w:val="18"/>
                <w:lang w:val="en-GB"/>
              </w:rPr>
            </w:pPr>
            <w:r w:rsidRPr="0018787E">
              <w:rPr>
                <w:sz w:val="18"/>
                <w:szCs w:val="18"/>
                <w:lang w:val="en-GB"/>
              </w:rPr>
              <w:t>Biannually</w:t>
            </w:r>
          </w:p>
          <w:p w14:paraId="38307499" w14:textId="77777777" w:rsidR="0018787E" w:rsidRPr="0018787E" w:rsidRDefault="0018787E" w:rsidP="0018787E">
            <w:pPr>
              <w:rPr>
                <w:sz w:val="18"/>
                <w:szCs w:val="18"/>
                <w:lang w:val="en-GB"/>
              </w:rPr>
            </w:pPr>
          </w:p>
          <w:p w14:paraId="35F5DB16" w14:textId="77777777" w:rsidR="0018787E" w:rsidRPr="0018787E" w:rsidRDefault="0018787E" w:rsidP="0018787E">
            <w:pPr>
              <w:rPr>
                <w:sz w:val="18"/>
                <w:szCs w:val="18"/>
                <w:lang w:val="en-GB"/>
              </w:rPr>
            </w:pPr>
          </w:p>
          <w:p w14:paraId="33E2BC1A"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1C56F482" w14:textId="77777777" w:rsidR="0018787E" w:rsidRPr="0018787E" w:rsidRDefault="0018787E" w:rsidP="0018787E">
            <w:pPr>
              <w:rPr>
                <w:sz w:val="18"/>
                <w:szCs w:val="18"/>
                <w:lang w:val="en-GB"/>
              </w:rPr>
            </w:pPr>
            <w:r w:rsidRPr="0018787E">
              <w:rPr>
                <w:sz w:val="18"/>
                <w:szCs w:val="18"/>
                <w:lang w:val="en-GB"/>
              </w:rPr>
              <w:t>National-level</w:t>
            </w:r>
          </w:p>
          <w:p w14:paraId="4EEEE881" w14:textId="77777777" w:rsidR="0018787E" w:rsidRPr="0018787E" w:rsidRDefault="0018787E" w:rsidP="0018787E">
            <w:pPr>
              <w:rPr>
                <w:sz w:val="18"/>
                <w:szCs w:val="18"/>
                <w:lang w:val="en-GB"/>
              </w:rPr>
            </w:pPr>
          </w:p>
          <w:p w14:paraId="3E5A8F6E" w14:textId="77777777" w:rsidR="0018787E" w:rsidRPr="0018787E" w:rsidRDefault="0018787E" w:rsidP="0018787E">
            <w:pPr>
              <w:rPr>
                <w:sz w:val="18"/>
                <w:szCs w:val="18"/>
                <w:lang w:val="en-GB"/>
              </w:rPr>
            </w:pPr>
            <w:r w:rsidRPr="0018787E">
              <w:rPr>
                <w:sz w:val="18"/>
                <w:szCs w:val="18"/>
                <w:lang w:val="en-GB"/>
              </w:rPr>
              <w:t>National-level</w:t>
            </w:r>
          </w:p>
          <w:p w14:paraId="333D3E63" w14:textId="77777777" w:rsidR="0018787E" w:rsidRPr="0018787E" w:rsidRDefault="0018787E" w:rsidP="0018787E">
            <w:pPr>
              <w:rPr>
                <w:sz w:val="18"/>
                <w:szCs w:val="18"/>
                <w:lang w:val="en-GB"/>
              </w:rPr>
            </w:pPr>
          </w:p>
          <w:p w14:paraId="4F8F241F" w14:textId="77777777" w:rsidR="0018787E" w:rsidRPr="0018787E" w:rsidRDefault="0018787E" w:rsidP="0018787E">
            <w:pPr>
              <w:rPr>
                <w:sz w:val="18"/>
                <w:szCs w:val="18"/>
                <w:lang w:val="en-GB"/>
              </w:rPr>
            </w:pPr>
          </w:p>
          <w:p w14:paraId="41699007" w14:textId="77777777" w:rsidR="0018787E" w:rsidRPr="0018787E" w:rsidRDefault="0018787E" w:rsidP="0018787E">
            <w:pPr>
              <w:rPr>
                <w:sz w:val="18"/>
                <w:szCs w:val="18"/>
                <w:lang w:val="en-GB"/>
              </w:rPr>
            </w:pPr>
            <w:r w:rsidRPr="0018787E">
              <w:rPr>
                <w:sz w:val="18"/>
                <w:szCs w:val="18"/>
                <w:lang w:val="en-GB"/>
              </w:rPr>
              <w:t>Regional-level</w:t>
            </w:r>
          </w:p>
          <w:p w14:paraId="09C7436C" w14:textId="77777777" w:rsidR="0018787E" w:rsidRPr="0018787E" w:rsidRDefault="0018787E" w:rsidP="0018787E">
            <w:pPr>
              <w:rPr>
                <w:sz w:val="18"/>
                <w:szCs w:val="18"/>
                <w:lang w:val="en-GB"/>
              </w:rPr>
            </w:pPr>
          </w:p>
          <w:p w14:paraId="3C7248C5"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075E92C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Habitat/Lb-P Committees</w:t>
            </w:r>
          </w:p>
          <w:p w14:paraId="52325ECB"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716B84E8"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44D6BF74"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7D7B92B0"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08B76A12"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1CB03957" w14:textId="77777777" w:rsidTr="0018787E">
        <w:tc>
          <w:tcPr>
            <w:tcW w:w="1319" w:type="dxa"/>
            <w:vMerge/>
          </w:tcPr>
          <w:p w14:paraId="0DCECCFE" w14:textId="77777777" w:rsidR="0018787E" w:rsidRPr="0018787E" w:rsidRDefault="0018787E" w:rsidP="0018787E">
            <w:pPr>
              <w:rPr>
                <w:sz w:val="18"/>
                <w:szCs w:val="18"/>
                <w:lang w:val="en-GB"/>
              </w:rPr>
            </w:pPr>
          </w:p>
        </w:tc>
        <w:tc>
          <w:tcPr>
            <w:tcW w:w="1270" w:type="dxa"/>
          </w:tcPr>
          <w:p w14:paraId="519AF208" w14:textId="77777777" w:rsidR="0018787E" w:rsidRPr="0018787E" w:rsidRDefault="0018787E" w:rsidP="0018787E">
            <w:pPr>
              <w:spacing w:before="40"/>
              <w:rPr>
                <w:bCs/>
                <w:sz w:val="18"/>
                <w:szCs w:val="18"/>
                <w:lang w:val="en-GB"/>
              </w:rPr>
            </w:pPr>
            <w:r w:rsidRPr="0018787E">
              <w:rPr>
                <w:bCs/>
                <w:sz w:val="18"/>
                <w:szCs w:val="18"/>
                <w:lang w:val="en-GB"/>
              </w:rPr>
              <w:t>Number of public awareness products accessible online</w:t>
            </w:r>
          </w:p>
          <w:p w14:paraId="4043FADE" w14:textId="77777777" w:rsidR="0018787E" w:rsidRPr="0018787E" w:rsidRDefault="0018787E" w:rsidP="0018787E">
            <w:pPr>
              <w:spacing w:before="40"/>
              <w:rPr>
                <w:bCs/>
                <w:sz w:val="18"/>
                <w:szCs w:val="18"/>
                <w:lang w:val="en-GB"/>
              </w:rPr>
            </w:pPr>
          </w:p>
          <w:p w14:paraId="0AFBE7F3" w14:textId="77777777" w:rsidR="0018787E" w:rsidRPr="0018787E" w:rsidRDefault="0018787E" w:rsidP="0018787E">
            <w:pPr>
              <w:spacing w:before="40"/>
              <w:rPr>
                <w:bCs/>
                <w:sz w:val="18"/>
                <w:szCs w:val="18"/>
                <w:lang w:val="en-GB"/>
              </w:rPr>
            </w:pPr>
            <w:r w:rsidRPr="0018787E">
              <w:rPr>
                <w:bCs/>
                <w:sz w:val="18"/>
                <w:szCs w:val="18"/>
                <w:lang w:val="en-GB"/>
              </w:rPr>
              <w:t>Extent of local uptake and use of awareness products</w:t>
            </w:r>
          </w:p>
        </w:tc>
        <w:tc>
          <w:tcPr>
            <w:tcW w:w="1270" w:type="dxa"/>
          </w:tcPr>
          <w:p w14:paraId="7CFE0BD2" w14:textId="77777777" w:rsidR="0018787E" w:rsidRPr="0018787E" w:rsidRDefault="0018787E" w:rsidP="0018787E">
            <w:pPr>
              <w:spacing w:before="40"/>
              <w:rPr>
                <w:sz w:val="18"/>
                <w:szCs w:val="18"/>
                <w:lang w:val="en-GB"/>
              </w:rPr>
            </w:pPr>
            <w:r w:rsidRPr="0018787E">
              <w:rPr>
                <w:sz w:val="18"/>
                <w:szCs w:val="18"/>
                <w:lang w:val="en-GB"/>
              </w:rPr>
              <w:t>Public awareness materials developed via TDA/SAP project compiled and accessible via SCS website</w:t>
            </w:r>
          </w:p>
        </w:tc>
        <w:tc>
          <w:tcPr>
            <w:tcW w:w="1109" w:type="dxa"/>
          </w:tcPr>
          <w:p w14:paraId="3918807C" w14:textId="77777777" w:rsidR="0018787E" w:rsidRPr="0018787E" w:rsidRDefault="0018787E" w:rsidP="0018787E">
            <w:pPr>
              <w:rPr>
                <w:sz w:val="18"/>
                <w:szCs w:val="18"/>
                <w:lang w:val="en-GB"/>
              </w:rPr>
            </w:pPr>
            <w:r w:rsidRPr="0018787E">
              <w:rPr>
                <w:sz w:val="18"/>
                <w:szCs w:val="18"/>
                <w:lang w:val="en-GB"/>
              </w:rPr>
              <w:t>Web platforms operational and data management systems in place</w:t>
            </w:r>
          </w:p>
        </w:tc>
        <w:tc>
          <w:tcPr>
            <w:tcW w:w="1291" w:type="dxa"/>
          </w:tcPr>
          <w:p w14:paraId="7C05DEFF" w14:textId="77777777" w:rsidR="0018787E" w:rsidRPr="0018787E" w:rsidRDefault="0018787E" w:rsidP="0018787E">
            <w:pPr>
              <w:spacing w:before="40"/>
              <w:rPr>
                <w:sz w:val="18"/>
                <w:szCs w:val="18"/>
                <w:lang w:val="en-GB"/>
              </w:rPr>
            </w:pPr>
            <w:r w:rsidRPr="0018787E">
              <w:rPr>
                <w:sz w:val="18"/>
                <w:szCs w:val="18"/>
                <w:lang w:val="en-GB"/>
              </w:rPr>
              <w:t>Expanded South China Sea online public awareness centre, including awareness packages for local adoption</w:t>
            </w:r>
          </w:p>
        </w:tc>
        <w:tc>
          <w:tcPr>
            <w:tcW w:w="1269" w:type="dxa"/>
          </w:tcPr>
          <w:p w14:paraId="0848E78F" w14:textId="77777777" w:rsidR="0018787E" w:rsidRPr="0018787E" w:rsidRDefault="0018787E" w:rsidP="0018787E">
            <w:pPr>
              <w:spacing w:before="40"/>
              <w:rPr>
                <w:bCs/>
                <w:sz w:val="18"/>
                <w:szCs w:val="18"/>
                <w:lang w:val="en-GB"/>
              </w:rPr>
            </w:pPr>
            <w:r w:rsidRPr="0018787E">
              <w:rPr>
                <w:bCs/>
                <w:sz w:val="18"/>
                <w:szCs w:val="18"/>
                <w:lang w:val="en-GB"/>
              </w:rPr>
              <w:t>Awareness packages accessible online via a SCS SAP implementation website</w:t>
            </w:r>
          </w:p>
        </w:tc>
        <w:tc>
          <w:tcPr>
            <w:tcW w:w="1440" w:type="dxa"/>
          </w:tcPr>
          <w:p w14:paraId="6FE8036E" w14:textId="77777777" w:rsidR="0018787E" w:rsidRPr="0018787E" w:rsidRDefault="0018787E" w:rsidP="0018787E">
            <w:pPr>
              <w:rPr>
                <w:sz w:val="18"/>
                <w:szCs w:val="18"/>
                <w:lang w:val="en-GB"/>
              </w:rPr>
            </w:pPr>
            <w:r w:rsidRPr="0018787E">
              <w:rPr>
                <w:sz w:val="18"/>
                <w:szCs w:val="18"/>
                <w:lang w:val="en-GB"/>
              </w:rPr>
              <w:t>Quarterly</w:t>
            </w:r>
          </w:p>
          <w:p w14:paraId="32D892CA" w14:textId="77777777" w:rsidR="0018787E" w:rsidRPr="0018787E" w:rsidRDefault="0018787E" w:rsidP="0018787E">
            <w:pPr>
              <w:rPr>
                <w:sz w:val="18"/>
                <w:szCs w:val="18"/>
                <w:lang w:val="en-GB"/>
              </w:rPr>
            </w:pPr>
          </w:p>
          <w:p w14:paraId="398424BA" w14:textId="77777777" w:rsidR="0018787E" w:rsidRPr="0018787E" w:rsidRDefault="0018787E" w:rsidP="0018787E">
            <w:pPr>
              <w:rPr>
                <w:sz w:val="18"/>
                <w:szCs w:val="18"/>
                <w:lang w:val="en-GB"/>
              </w:rPr>
            </w:pPr>
          </w:p>
          <w:p w14:paraId="1D81C924" w14:textId="77777777" w:rsidR="0018787E" w:rsidRPr="0018787E" w:rsidRDefault="0018787E" w:rsidP="0018787E">
            <w:pPr>
              <w:rPr>
                <w:sz w:val="18"/>
                <w:szCs w:val="18"/>
                <w:lang w:val="en-GB"/>
              </w:rPr>
            </w:pPr>
            <w:r w:rsidRPr="0018787E">
              <w:rPr>
                <w:sz w:val="18"/>
                <w:szCs w:val="18"/>
                <w:lang w:val="en-GB"/>
              </w:rPr>
              <w:t>Biannually</w:t>
            </w:r>
          </w:p>
          <w:p w14:paraId="170E2E31" w14:textId="77777777" w:rsidR="0018787E" w:rsidRPr="0018787E" w:rsidRDefault="0018787E" w:rsidP="0018787E">
            <w:pPr>
              <w:rPr>
                <w:sz w:val="18"/>
                <w:szCs w:val="18"/>
                <w:lang w:val="en-GB"/>
              </w:rPr>
            </w:pPr>
          </w:p>
          <w:p w14:paraId="160EC58D" w14:textId="77777777" w:rsidR="0018787E" w:rsidRPr="0018787E" w:rsidRDefault="0018787E" w:rsidP="0018787E">
            <w:pPr>
              <w:rPr>
                <w:sz w:val="18"/>
                <w:szCs w:val="18"/>
                <w:lang w:val="en-GB"/>
              </w:rPr>
            </w:pPr>
          </w:p>
          <w:p w14:paraId="4FBD6B18" w14:textId="77777777" w:rsidR="0018787E" w:rsidRPr="0018787E" w:rsidRDefault="0018787E" w:rsidP="0018787E">
            <w:pPr>
              <w:rPr>
                <w:sz w:val="18"/>
                <w:szCs w:val="18"/>
                <w:lang w:val="en-GB"/>
              </w:rPr>
            </w:pPr>
          </w:p>
          <w:p w14:paraId="30C24C64" w14:textId="77777777" w:rsidR="0018787E" w:rsidRPr="0018787E" w:rsidRDefault="0018787E" w:rsidP="0018787E">
            <w:pPr>
              <w:rPr>
                <w:sz w:val="18"/>
                <w:szCs w:val="18"/>
                <w:lang w:val="en-GB"/>
              </w:rPr>
            </w:pPr>
            <w:r w:rsidRPr="0018787E">
              <w:rPr>
                <w:sz w:val="18"/>
                <w:szCs w:val="18"/>
                <w:lang w:val="en-GB"/>
              </w:rPr>
              <w:t>Biannually</w:t>
            </w:r>
          </w:p>
          <w:p w14:paraId="28F9558C" w14:textId="77777777" w:rsidR="0018787E" w:rsidRPr="0018787E" w:rsidRDefault="0018787E" w:rsidP="0018787E">
            <w:pPr>
              <w:rPr>
                <w:sz w:val="18"/>
                <w:szCs w:val="18"/>
                <w:lang w:val="en-GB"/>
              </w:rPr>
            </w:pPr>
          </w:p>
          <w:p w14:paraId="00539EB3" w14:textId="77777777" w:rsidR="0018787E" w:rsidRPr="0018787E" w:rsidRDefault="0018787E" w:rsidP="0018787E">
            <w:pPr>
              <w:rPr>
                <w:sz w:val="18"/>
                <w:szCs w:val="18"/>
                <w:lang w:val="en-GB"/>
              </w:rPr>
            </w:pPr>
          </w:p>
          <w:p w14:paraId="22FBED68" w14:textId="77777777" w:rsidR="0018787E" w:rsidRPr="0018787E" w:rsidRDefault="0018787E" w:rsidP="0018787E">
            <w:pPr>
              <w:rPr>
                <w:sz w:val="18"/>
                <w:szCs w:val="18"/>
                <w:lang w:val="en-GB"/>
              </w:rPr>
            </w:pPr>
            <w:r w:rsidRPr="0018787E">
              <w:rPr>
                <w:sz w:val="18"/>
                <w:szCs w:val="18"/>
                <w:lang w:val="en-GB"/>
              </w:rPr>
              <w:t>Biannually</w:t>
            </w:r>
          </w:p>
        </w:tc>
        <w:tc>
          <w:tcPr>
            <w:tcW w:w="950" w:type="dxa"/>
          </w:tcPr>
          <w:p w14:paraId="35CF60FC" w14:textId="77777777" w:rsidR="0018787E" w:rsidRPr="0018787E" w:rsidRDefault="0018787E" w:rsidP="0018787E">
            <w:pPr>
              <w:rPr>
                <w:sz w:val="18"/>
                <w:szCs w:val="18"/>
                <w:lang w:val="en-GB"/>
              </w:rPr>
            </w:pPr>
            <w:r w:rsidRPr="0018787E">
              <w:rPr>
                <w:sz w:val="18"/>
                <w:szCs w:val="18"/>
                <w:lang w:val="en-GB"/>
              </w:rPr>
              <w:t>National-level</w:t>
            </w:r>
          </w:p>
          <w:p w14:paraId="6FC8803B" w14:textId="77777777" w:rsidR="0018787E" w:rsidRPr="0018787E" w:rsidRDefault="0018787E" w:rsidP="0018787E">
            <w:pPr>
              <w:rPr>
                <w:sz w:val="18"/>
                <w:szCs w:val="18"/>
                <w:lang w:val="en-GB"/>
              </w:rPr>
            </w:pPr>
          </w:p>
          <w:p w14:paraId="79EC4BB8" w14:textId="77777777" w:rsidR="0018787E" w:rsidRPr="0018787E" w:rsidRDefault="0018787E" w:rsidP="0018787E">
            <w:pPr>
              <w:rPr>
                <w:sz w:val="18"/>
                <w:szCs w:val="18"/>
                <w:lang w:val="en-GB"/>
              </w:rPr>
            </w:pPr>
            <w:r w:rsidRPr="0018787E">
              <w:rPr>
                <w:sz w:val="18"/>
                <w:szCs w:val="18"/>
                <w:lang w:val="en-GB"/>
              </w:rPr>
              <w:t>National-level</w:t>
            </w:r>
          </w:p>
          <w:p w14:paraId="7921CE72" w14:textId="77777777" w:rsidR="0018787E" w:rsidRPr="0018787E" w:rsidRDefault="0018787E" w:rsidP="0018787E">
            <w:pPr>
              <w:rPr>
                <w:sz w:val="18"/>
                <w:szCs w:val="18"/>
                <w:lang w:val="en-GB"/>
              </w:rPr>
            </w:pPr>
          </w:p>
          <w:p w14:paraId="20F9EE51" w14:textId="77777777" w:rsidR="0018787E" w:rsidRPr="0018787E" w:rsidRDefault="0018787E" w:rsidP="0018787E">
            <w:pPr>
              <w:rPr>
                <w:sz w:val="18"/>
                <w:szCs w:val="18"/>
                <w:lang w:val="en-GB"/>
              </w:rPr>
            </w:pPr>
          </w:p>
          <w:p w14:paraId="2F38597E" w14:textId="77777777" w:rsidR="0018787E" w:rsidRPr="0018787E" w:rsidRDefault="0018787E" w:rsidP="0018787E">
            <w:pPr>
              <w:rPr>
                <w:sz w:val="18"/>
                <w:szCs w:val="18"/>
                <w:lang w:val="en-GB"/>
              </w:rPr>
            </w:pPr>
            <w:r w:rsidRPr="0018787E">
              <w:rPr>
                <w:sz w:val="18"/>
                <w:szCs w:val="18"/>
                <w:lang w:val="en-GB"/>
              </w:rPr>
              <w:t>Regional-level</w:t>
            </w:r>
          </w:p>
          <w:p w14:paraId="1FCDF5DE" w14:textId="77777777" w:rsidR="0018787E" w:rsidRPr="0018787E" w:rsidRDefault="0018787E" w:rsidP="0018787E">
            <w:pPr>
              <w:rPr>
                <w:sz w:val="18"/>
                <w:szCs w:val="18"/>
                <w:lang w:val="en-GB"/>
              </w:rPr>
            </w:pPr>
          </w:p>
          <w:p w14:paraId="3B5DF6E0"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1ED4D62E"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Habitat/Lb-P Committees</w:t>
            </w:r>
          </w:p>
          <w:p w14:paraId="66295E47"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5C12B324"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546F54C1"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4E134070"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539BD7BC" w14:textId="77777777" w:rsidR="0018787E" w:rsidRPr="0018787E" w:rsidRDefault="0018787E" w:rsidP="0018787E">
            <w:pPr>
              <w:rPr>
                <w:sz w:val="18"/>
                <w:szCs w:val="18"/>
                <w:lang w:val="en-GB"/>
              </w:rPr>
            </w:pPr>
          </w:p>
        </w:tc>
      </w:tr>
      <w:tr w:rsidR="0018787E" w:rsidRPr="0018787E" w14:paraId="5087EEEC" w14:textId="77777777" w:rsidTr="0018787E">
        <w:tc>
          <w:tcPr>
            <w:tcW w:w="1319" w:type="dxa"/>
            <w:vMerge w:val="restart"/>
            <w:vAlign w:val="center"/>
          </w:tcPr>
          <w:p w14:paraId="2F94839E" w14:textId="77777777" w:rsidR="0018787E" w:rsidRPr="0018787E" w:rsidRDefault="0018787E" w:rsidP="0018787E">
            <w:pPr>
              <w:rPr>
                <w:sz w:val="18"/>
                <w:szCs w:val="18"/>
                <w:lang w:val="en-GB"/>
              </w:rPr>
            </w:pPr>
            <w:r w:rsidRPr="0018787E">
              <w:rPr>
                <w:sz w:val="18"/>
                <w:szCs w:val="18"/>
                <w:lang w:val="en-GB"/>
              </w:rPr>
              <w:t>2.6 Updated and Ministerially adopted Transboundary Diagnostic Analysis and Strategic Action Programme, including prioritization of national management actions to address climate variability and change</w:t>
            </w:r>
          </w:p>
        </w:tc>
        <w:tc>
          <w:tcPr>
            <w:tcW w:w="1270" w:type="dxa"/>
          </w:tcPr>
          <w:p w14:paraId="6F8A0309" w14:textId="77777777" w:rsidR="0018787E" w:rsidRPr="0018787E" w:rsidRDefault="0018787E" w:rsidP="0018787E">
            <w:pPr>
              <w:spacing w:before="40"/>
              <w:rPr>
                <w:bCs/>
                <w:sz w:val="18"/>
                <w:szCs w:val="18"/>
                <w:lang w:val="en-GB"/>
              </w:rPr>
            </w:pPr>
            <w:r w:rsidRPr="0018787E">
              <w:rPr>
                <w:bCs/>
                <w:sz w:val="18"/>
                <w:szCs w:val="18"/>
                <w:lang w:val="en-GB"/>
              </w:rPr>
              <w:t>Status of national and regional level consensus on contemporary issues of transboundary significance with respect to coastal habitat and land-based pollution management</w:t>
            </w:r>
          </w:p>
        </w:tc>
        <w:tc>
          <w:tcPr>
            <w:tcW w:w="1270" w:type="dxa"/>
          </w:tcPr>
          <w:p w14:paraId="1CA36AC8" w14:textId="77777777" w:rsidR="0018787E" w:rsidRPr="0018787E" w:rsidRDefault="0018787E" w:rsidP="0018787E">
            <w:pPr>
              <w:spacing w:before="40"/>
              <w:rPr>
                <w:sz w:val="18"/>
                <w:szCs w:val="18"/>
                <w:lang w:val="en-GB"/>
              </w:rPr>
            </w:pPr>
            <w:r w:rsidRPr="0018787E">
              <w:rPr>
                <w:sz w:val="18"/>
                <w:szCs w:val="18"/>
                <w:lang w:val="en-GB"/>
              </w:rPr>
              <w:t>TDA for SCS published in 2000</w:t>
            </w:r>
          </w:p>
          <w:p w14:paraId="44442D88" w14:textId="77777777" w:rsidR="0018787E" w:rsidRPr="0018787E" w:rsidRDefault="0018787E" w:rsidP="0018787E">
            <w:pPr>
              <w:spacing w:before="40"/>
              <w:rPr>
                <w:sz w:val="18"/>
                <w:szCs w:val="18"/>
                <w:lang w:val="en-GB"/>
              </w:rPr>
            </w:pPr>
          </w:p>
          <w:p w14:paraId="0693A110" w14:textId="77777777" w:rsidR="0018787E" w:rsidRPr="0018787E" w:rsidRDefault="0018787E" w:rsidP="0018787E">
            <w:pPr>
              <w:spacing w:before="40"/>
              <w:rPr>
                <w:sz w:val="18"/>
                <w:szCs w:val="18"/>
                <w:lang w:val="en-GB"/>
              </w:rPr>
            </w:pPr>
            <w:r w:rsidRPr="0018787E">
              <w:rPr>
                <w:sz w:val="18"/>
                <w:szCs w:val="18"/>
                <w:lang w:val="en-GB"/>
              </w:rPr>
              <w:t>Special Issue of Ocean and Coastal Management on South China Sea published in 2013</w:t>
            </w:r>
          </w:p>
        </w:tc>
        <w:tc>
          <w:tcPr>
            <w:tcW w:w="1109" w:type="dxa"/>
          </w:tcPr>
          <w:p w14:paraId="68969071" w14:textId="77777777" w:rsidR="0018787E" w:rsidRPr="0018787E" w:rsidRDefault="0018787E" w:rsidP="0018787E">
            <w:pPr>
              <w:rPr>
                <w:sz w:val="18"/>
                <w:szCs w:val="18"/>
                <w:lang w:val="en-GB"/>
              </w:rPr>
            </w:pPr>
            <w:r w:rsidRPr="0018787E">
              <w:rPr>
                <w:sz w:val="18"/>
                <w:szCs w:val="18"/>
                <w:lang w:val="en-GB"/>
              </w:rPr>
              <w:t>Same as end-of-project target</w:t>
            </w:r>
          </w:p>
        </w:tc>
        <w:tc>
          <w:tcPr>
            <w:tcW w:w="1291" w:type="dxa"/>
          </w:tcPr>
          <w:p w14:paraId="733030A4" w14:textId="77777777" w:rsidR="0018787E" w:rsidRPr="0018787E" w:rsidRDefault="0018787E" w:rsidP="0018787E">
            <w:pPr>
              <w:spacing w:before="40"/>
              <w:rPr>
                <w:sz w:val="18"/>
                <w:szCs w:val="18"/>
                <w:lang w:val="en-GB"/>
              </w:rPr>
            </w:pPr>
            <w:r w:rsidRPr="0018787E">
              <w:rPr>
                <w:sz w:val="18"/>
                <w:szCs w:val="18"/>
                <w:lang w:val="en-GB"/>
              </w:rPr>
              <w:t>National and regional level consensus on contemporary issues and problems, including the quantification of environmental compromises and the prioritization of problems (Yr 2)</w:t>
            </w:r>
          </w:p>
        </w:tc>
        <w:tc>
          <w:tcPr>
            <w:tcW w:w="1269" w:type="dxa"/>
          </w:tcPr>
          <w:p w14:paraId="1AC6EB82" w14:textId="77777777" w:rsidR="0018787E" w:rsidRPr="0018787E" w:rsidRDefault="0018787E" w:rsidP="0018787E">
            <w:pPr>
              <w:spacing w:before="40"/>
              <w:rPr>
                <w:bCs/>
                <w:sz w:val="18"/>
                <w:szCs w:val="18"/>
                <w:lang w:val="en-GB"/>
              </w:rPr>
            </w:pPr>
            <w:r w:rsidRPr="0018787E">
              <w:rPr>
                <w:bCs/>
                <w:sz w:val="18"/>
                <w:szCs w:val="18"/>
                <w:lang w:val="en-GB"/>
              </w:rPr>
              <w:t>Updated and regionally endorsed Transboundary Diagnostic Analysis for the SCS marine basin published and disseminated at national and regional levels</w:t>
            </w:r>
          </w:p>
        </w:tc>
        <w:tc>
          <w:tcPr>
            <w:tcW w:w="1440" w:type="dxa"/>
          </w:tcPr>
          <w:p w14:paraId="5C458B4E" w14:textId="77777777" w:rsidR="0018787E" w:rsidRPr="0018787E" w:rsidRDefault="0018787E" w:rsidP="0018787E">
            <w:pPr>
              <w:rPr>
                <w:sz w:val="18"/>
                <w:szCs w:val="18"/>
                <w:lang w:val="en-GB"/>
              </w:rPr>
            </w:pPr>
            <w:r w:rsidRPr="0018787E">
              <w:rPr>
                <w:sz w:val="18"/>
                <w:szCs w:val="18"/>
                <w:lang w:val="en-GB"/>
              </w:rPr>
              <w:t>Quarterly</w:t>
            </w:r>
          </w:p>
          <w:p w14:paraId="72FE0833" w14:textId="77777777" w:rsidR="0018787E" w:rsidRPr="0018787E" w:rsidRDefault="0018787E" w:rsidP="0018787E">
            <w:pPr>
              <w:rPr>
                <w:sz w:val="18"/>
                <w:szCs w:val="18"/>
                <w:lang w:val="en-GB"/>
              </w:rPr>
            </w:pPr>
          </w:p>
          <w:p w14:paraId="168D76B4" w14:textId="77777777" w:rsidR="0018787E" w:rsidRPr="0018787E" w:rsidRDefault="0018787E" w:rsidP="0018787E">
            <w:pPr>
              <w:rPr>
                <w:sz w:val="18"/>
                <w:szCs w:val="18"/>
                <w:lang w:val="en-GB"/>
              </w:rPr>
            </w:pPr>
            <w:r w:rsidRPr="0018787E">
              <w:rPr>
                <w:sz w:val="18"/>
                <w:szCs w:val="18"/>
                <w:lang w:val="en-GB"/>
              </w:rPr>
              <w:t>Biannually</w:t>
            </w:r>
          </w:p>
          <w:p w14:paraId="4C0F99B4" w14:textId="77777777" w:rsidR="0018787E" w:rsidRPr="0018787E" w:rsidRDefault="0018787E" w:rsidP="0018787E">
            <w:pPr>
              <w:rPr>
                <w:sz w:val="18"/>
                <w:szCs w:val="18"/>
                <w:lang w:val="en-GB"/>
              </w:rPr>
            </w:pPr>
          </w:p>
          <w:p w14:paraId="0D885EB8" w14:textId="77777777" w:rsidR="0018787E" w:rsidRPr="0018787E" w:rsidRDefault="0018787E" w:rsidP="0018787E">
            <w:pPr>
              <w:rPr>
                <w:sz w:val="18"/>
                <w:szCs w:val="18"/>
                <w:lang w:val="en-GB"/>
              </w:rPr>
            </w:pPr>
          </w:p>
          <w:p w14:paraId="43A66188" w14:textId="77777777" w:rsidR="0018787E" w:rsidRPr="0018787E" w:rsidRDefault="0018787E" w:rsidP="0018787E">
            <w:pPr>
              <w:rPr>
                <w:sz w:val="18"/>
                <w:szCs w:val="18"/>
                <w:lang w:val="en-GB"/>
              </w:rPr>
            </w:pPr>
            <w:r w:rsidRPr="0018787E">
              <w:rPr>
                <w:sz w:val="18"/>
                <w:szCs w:val="18"/>
                <w:lang w:val="en-GB"/>
              </w:rPr>
              <w:t>Biannually</w:t>
            </w:r>
          </w:p>
          <w:p w14:paraId="60F86A15" w14:textId="77777777" w:rsidR="0018787E" w:rsidRPr="0018787E" w:rsidRDefault="0018787E" w:rsidP="0018787E">
            <w:pPr>
              <w:rPr>
                <w:sz w:val="18"/>
                <w:szCs w:val="18"/>
                <w:lang w:val="en-GB"/>
              </w:rPr>
            </w:pPr>
          </w:p>
          <w:p w14:paraId="350A9301" w14:textId="77777777" w:rsidR="0018787E" w:rsidRPr="0018787E" w:rsidRDefault="0018787E" w:rsidP="0018787E">
            <w:pPr>
              <w:rPr>
                <w:sz w:val="18"/>
                <w:szCs w:val="18"/>
                <w:lang w:val="en-GB"/>
              </w:rPr>
            </w:pPr>
          </w:p>
          <w:p w14:paraId="71B64C00" w14:textId="77777777" w:rsidR="0018787E" w:rsidRPr="0018787E" w:rsidRDefault="0018787E" w:rsidP="0018787E">
            <w:pPr>
              <w:rPr>
                <w:sz w:val="18"/>
                <w:szCs w:val="18"/>
                <w:lang w:val="en-GB"/>
              </w:rPr>
            </w:pPr>
            <w:r w:rsidRPr="0018787E">
              <w:rPr>
                <w:sz w:val="18"/>
                <w:szCs w:val="18"/>
                <w:lang w:val="en-GB"/>
              </w:rPr>
              <w:t>Biannually</w:t>
            </w:r>
          </w:p>
          <w:p w14:paraId="798E9681" w14:textId="77777777" w:rsidR="0018787E" w:rsidRPr="0018787E" w:rsidRDefault="0018787E" w:rsidP="0018787E">
            <w:pPr>
              <w:rPr>
                <w:sz w:val="18"/>
                <w:szCs w:val="18"/>
                <w:lang w:val="en-GB"/>
              </w:rPr>
            </w:pPr>
          </w:p>
          <w:p w14:paraId="6E30D277" w14:textId="77777777" w:rsidR="0018787E" w:rsidRPr="0018787E" w:rsidRDefault="0018787E" w:rsidP="0018787E">
            <w:pPr>
              <w:rPr>
                <w:sz w:val="18"/>
                <w:szCs w:val="18"/>
                <w:lang w:val="en-GB"/>
              </w:rPr>
            </w:pPr>
          </w:p>
          <w:p w14:paraId="620705F5" w14:textId="77777777" w:rsidR="0018787E" w:rsidRPr="0018787E" w:rsidRDefault="0018787E" w:rsidP="0018787E">
            <w:pPr>
              <w:rPr>
                <w:sz w:val="18"/>
                <w:szCs w:val="18"/>
                <w:lang w:val="en-GB"/>
              </w:rPr>
            </w:pPr>
          </w:p>
          <w:p w14:paraId="427C630B"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38F06B12" w14:textId="77777777" w:rsidR="0018787E" w:rsidRPr="0018787E" w:rsidRDefault="0018787E" w:rsidP="0018787E">
            <w:pPr>
              <w:rPr>
                <w:sz w:val="18"/>
                <w:szCs w:val="18"/>
                <w:lang w:val="en-GB"/>
              </w:rPr>
            </w:pPr>
            <w:r w:rsidRPr="0018787E">
              <w:rPr>
                <w:sz w:val="18"/>
                <w:szCs w:val="18"/>
                <w:lang w:val="en-GB"/>
              </w:rPr>
              <w:t>National-level</w:t>
            </w:r>
          </w:p>
          <w:p w14:paraId="7A4875B7" w14:textId="77777777" w:rsidR="0018787E" w:rsidRPr="0018787E" w:rsidRDefault="0018787E" w:rsidP="0018787E">
            <w:pPr>
              <w:rPr>
                <w:sz w:val="18"/>
                <w:szCs w:val="18"/>
                <w:lang w:val="en-GB"/>
              </w:rPr>
            </w:pPr>
            <w:r w:rsidRPr="0018787E">
              <w:rPr>
                <w:sz w:val="18"/>
                <w:szCs w:val="18"/>
                <w:lang w:val="en-GB"/>
              </w:rPr>
              <w:t>National-level</w:t>
            </w:r>
          </w:p>
          <w:p w14:paraId="48D8E810" w14:textId="77777777" w:rsidR="0018787E" w:rsidRPr="0018787E" w:rsidRDefault="0018787E" w:rsidP="0018787E">
            <w:pPr>
              <w:rPr>
                <w:sz w:val="18"/>
                <w:szCs w:val="18"/>
                <w:lang w:val="en-GB"/>
              </w:rPr>
            </w:pPr>
          </w:p>
          <w:p w14:paraId="444B8DF2" w14:textId="77777777" w:rsidR="0018787E" w:rsidRPr="0018787E" w:rsidRDefault="0018787E" w:rsidP="0018787E">
            <w:pPr>
              <w:rPr>
                <w:sz w:val="18"/>
                <w:szCs w:val="18"/>
                <w:lang w:val="en-GB"/>
              </w:rPr>
            </w:pPr>
            <w:r w:rsidRPr="0018787E">
              <w:rPr>
                <w:sz w:val="18"/>
                <w:szCs w:val="18"/>
                <w:lang w:val="en-GB"/>
              </w:rPr>
              <w:t>Regional-level</w:t>
            </w:r>
          </w:p>
          <w:p w14:paraId="2191587B" w14:textId="77777777" w:rsidR="0018787E" w:rsidRPr="0018787E" w:rsidRDefault="0018787E" w:rsidP="0018787E">
            <w:pPr>
              <w:rPr>
                <w:sz w:val="18"/>
                <w:szCs w:val="18"/>
                <w:lang w:val="en-GB"/>
              </w:rPr>
            </w:pPr>
          </w:p>
          <w:p w14:paraId="5FFC18CF" w14:textId="77777777" w:rsidR="0018787E" w:rsidRPr="0018787E" w:rsidRDefault="0018787E" w:rsidP="0018787E">
            <w:pPr>
              <w:rPr>
                <w:sz w:val="18"/>
                <w:szCs w:val="18"/>
                <w:lang w:val="en-GB"/>
              </w:rPr>
            </w:pPr>
            <w:r w:rsidRPr="0018787E">
              <w:rPr>
                <w:sz w:val="18"/>
                <w:szCs w:val="18"/>
                <w:lang w:val="en-GB"/>
              </w:rPr>
              <w:t>Regional-level</w:t>
            </w:r>
          </w:p>
          <w:p w14:paraId="6550AAE4" w14:textId="77777777" w:rsidR="0018787E" w:rsidRPr="0018787E" w:rsidRDefault="0018787E" w:rsidP="0018787E">
            <w:pPr>
              <w:rPr>
                <w:sz w:val="18"/>
                <w:szCs w:val="18"/>
                <w:lang w:val="en-GB"/>
              </w:rPr>
            </w:pPr>
          </w:p>
          <w:p w14:paraId="62B8EA08" w14:textId="77777777" w:rsidR="0018787E" w:rsidRPr="0018787E" w:rsidRDefault="0018787E" w:rsidP="0018787E">
            <w:pPr>
              <w:rPr>
                <w:sz w:val="18"/>
                <w:szCs w:val="18"/>
                <w:lang w:val="en-GB"/>
              </w:rPr>
            </w:pPr>
          </w:p>
          <w:p w14:paraId="6AF722C0"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25FD0488"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Committees</w:t>
            </w:r>
          </w:p>
          <w:p w14:paraId="76A394B8"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Inter-Ministry Committees</w:t>
            </w:r>
          </w:p>
          <w:p w14:paraId="7C8D4356"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525D3B0B"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5DAEF820"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1C71C961" w14:textId="77777777" w:rsidR="0018787E" w:rsidRPr="0018787E" w:rsidRDefault="0018787E" w:rsidP="0018787E">
            <w:pPr>
              <w:rPr>
                <w:sz w:val="18"/>
                <w:szCs w:val="18"/>
                <w:lang w:val="en-GB"/>
              </w:rPr>
            </w:pPr>
            <w:r w:rsidRPr="0018787E">
              <w:rPr>
                <w:sz w:val="18"/>
                <w:szCs w:val="18"/>
                <w:lang w:val="en-GB"/>
              </w:rPr>
              <w:t>Yr 1-2</w:t>
            </w:r>
          </w:p>
        </w:tc>
        <w:tc>
          <w:tcPr>
            <w:tcW w:w="1170" w:type="dxa"/>
          </w:tcPr>
          <w:p w14:paraId="54475B57"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60491909" w14:textId="77777777" w:rsidTr="0018787E">
        <w:tc>
          <w:tcPr>
            <w:tcW w:w="1319" w:type="dxa"/>
            <w:vMerge/>
          </w:tcPr>
          <w:p w14:paraId="09E5B72B" w14:textId="77777777" w:rsidR="0018787E" w:rsidRPr="0018787E" w:rsidRDefault="0018787E" w:rsidP="0018787E">
            <w:pPr>
              <w:rPr>
                <w:sz w:val="18"/>
                <w:szCs w:val="18"/>
                <w:lang w:val="en-GB"/>
              </w:rPr>
            </w:pPr>
          </w:p>
        </w:tc>
        <w:tc>
          <w:tcPr>
            <w:tcW w:w="1270" w:type="dxa"/>
          </w:tcPr>
          <w:p w14:paraId="4CB0A185" w14:textId="77777777" w:rsidR="0018787E" w:rsidRPr="0018787E" w:rsidRDefault="0018787E" w:rsidP="0018787E">
            <w:pPr>
              <w:spacing w:before="40"/>
              <w:rPr>
                <w:bCs/>
                <w:sz w:val="18"/>
                <w:szCs w:val="18"/>
                <w:lang w:val="en-GB"/>
              </w:rPr>
            </w:pPr>
            <w:r w:rsidRPr="0018787E">
              <w:rPr>
                <w:bCs/>
                <w:sz w:val="18"/>
                <w:szCs w:val="18"/>
                <w:lang w:val="en-GB"/>
              </w:rPr>
              <w:t>Status of national and regional level consensus reached on priority actions for intervention</w:t>
            </w:r>
          </w:p>
          <w:p w14:paraId="2F314E4C" w14:textId="77777777" w:rsidR="0018787E" w:rsidRPr="0018787E" w:rsidRDefault="0018787E" w:rsidP="0018787E">
            <w:pPr>
              <w:spacing w:before="40"/>
              <w:rPr>
                <w:bCs/>
                <w:sz w:val="18"/>
                <w:szCs w:val="18"/>
                <w:lang w:val="en-GB"/>
              </w:rPr>
            </w:pPr>
          </w:p>
          <w:p w14:paraId="1195916E" w14:textId="77777777" w:rsidR="0018787E" w:rsidRPr="0018787E" w:rsidRDefault="0018787E" w:rsidP="0018787E">
            <w:pPr>
              <w:spacing w:before="40"/>
              <w:rPr>
                <w:bCs/>
                <w:sz w:val="18"/>
                <w:szCs w:val="18"/>
                <w:lang w:val="en-GB"/>
              </w:rPr>
            </w:pPr>
            <w:r w:rsidRPr="0018787E">
              <w:rPr>
                <w:bCs/>
                <w:sz w:val="18"/>
                <w:szCs w:val="18"/>
                <w:lang w:val="en-GB"/>
              </w:rPr>
              <w:t>Status of cost benefit analysis of comparative net benefits of alternative options for management</w:t>
            </w:r>
          </w:p>
        </w:tc>
        <w:tc>
          <w:tcPr>
            <w:tcW w:w="1270" w:type="dxa"/>
          </w:tcPr>
          <w:p w14:paraId="31F8D7F1" w14:textId="77777777" w:rsidR="0018787E" w:rsidRPr="0018787E" w:rsidRDefault="0018787E" w:rsidP="0018787E">
            <w:pPr>
              <w:spacing w:before="40"/>
              <w:rPr>
                <w:sz w:val="18"/>
                <w:szCs w:val="18"/>
                <w:lang w:val="en-GB"/>
              </w:rPr>
            </w:pPr>
            <w:r w:rsidRPr="0018787E">
              <w:rPr>
                <w:sz w:val="18"/>
                <w:szCs w:val="18"/>
                <w:lang w:val="en-GB"/>
              </w:rPr>
              <w:t>Strategic Action Programme endorsed in 2008 outlines priorities for management</w:t>
            </w:r>
          </w:p>
          <w:p w14:paraId="32810E1F" w14:textId="77777777" w:rsidR="0018787E" w:rsidRPr="0018787E" w:rsidRDefault="0018787E" w:rsidP="0018787E">
            <w:pPr>
              <w:spacing w:before="40"/>
              <w:rPr>
                <w:sz w:val="18"/>
                <w:szCs w:val="18"/>
                <w:lang w:val="en-GB"/>
              </w:rPr>
            </w:pPr>
          </w:p>
          <w:p w14:paraId="1C077F60" w14:textId="77777777" w:rsidR="0018787E" w:rsidRPr="0018787E" w:rsidRDefault="0018787E" w:rsidP="0018787E">
            <w:pPr>
              <w:spacing w:before="40"/>
              <w:rPr>
                <w:sz w:val="18"/>
                <w:szCs w:val="18"/>
                <w:lang w:val="en-GB"/>
              </w:rPr>
            </w:pPr>
            <w:r w:rsidRPr="0018787E">
              <w:rPr>
                <w:sz w:val="18"/>
                <w:szCs w:val="18"/>
                <w:lang w:val="en-GB"/>
              </w:rPr>
              <w:t>Established methodology for cost of action versus non-action in the context of SCS SAP implementation</w:t>
            </w:r>
          </w:p>
        </w:tc>
        <w:tc>
          <w:tcPr>
            <w:tcW w:w="1109" w:type="dxa"/>
          </w:tcPr>
          <w:p w14:paraId="66AE3D9F" w14:textId="77777777" w:rsidR="0018787E" w:rsidRPr="0018787E" w:rsidRDefault="0018787E" w:rsidP="0018787E">
            <w:pPr>
              <w:rPr>
                <w:sz w:val="18"/>
                <w:szCs w:val="18"/>
                <w:lang w:val="en-GB"/>
              </w:rPr>
            </w:pPr>
            <w:r w:rsidRPr="0018787E">
              <w:rPr>
                <w:sz w:val="18"/>
                <w:szCs w:val="18"/>
                <w:lang w:val="en-GB"/>
              </w:rPr>
              <w:t>Appropriate expertise engaged and draft reports circulated for regional and national review</w:t>
            </w:r>
          </w:p>
        </w:tc>
        <w:tc>
          <w:tcPr>
            <w:tcW w:w="1291" w:type="dxa"/>
          </w:tcPr>
          <w:p w14:paraId="457EDBFF" w14:textId="77777777" w:rsidR="0018787E" w:rsidRPr="0018787E" w:rsidRDefault="0018787E" w:rsidP="0018787E">
            <w:pPr>
              <w:spacing w:before="40"/>
              <w:rPr>
                <w:sz w:val="18"/>
                <w:szCs w:val="18"/>
                <w:lang w:val="en-GB"/>
              </w:rPr>
            </w:pPr>
            <w:r w:rsidRPr="0018787E">
              <w:rPr>
                <w:sz w:val="18"/>
                <w:szCs w:val="18"/>
                <w:lang w:val="en-GB"/>
              </w:rPr>
              <w:t>The immediate and ultimate root causes of the problems identified and consensus reached on priorities for intervention, including comparative analysis of the net benefits of alternative options (Yr 3)</w:t>
            </w:r>
          </w:p>
        </w:tc>
        <w:tc>
          <w:tcPr>
            <w:tcW w:w="1269" w:type="dxa"/>
          </w:tcPr>
          <w:p w14:paraId="2ECA9A4F" w14:textId="77777777" w:rsidR="0018787E" w:rsidRPr="0018787E" w:rsidRDefault="0018787E" w:rsidP="0018787E">
            <w:pPr>
              <w:spacing w:before="40"/>
              <w:rPr>
                <w:bCs/>
                <w:sz w:val="18"/>
                <w:szCs w:val="18"/>
                <w:lang w:val="en-GB"/>
              </w:rPr>
            </w:pPr>
            <w:r w:rsidRPr="0018787E">
              <w:rPr>
                <w:bCs/>
                <w:sz w:val="18"/>
                <w:szCs w:val="18"/>
                <w:lang w:val="en-GB"/>
              </w:rPr>
              <w:t xml:space="preserve">Updated and regionally endorsed prioritisation of options for management intervention in the SCS </w:t>
            </w:r>
          </w:p>
          <w:p w14:paraId="2D8E85EB" w14:textId="77777777" w:rsidR="0018787E" w:rsidRPr="0018787E" w:rsidRDefault="0018787E" w:rsidP="0018787E">
            <w:pPr>
              <w:spacing w:before="40"/>
              <w:rPr>
                <w:bCs/>
                <w:sz w:val="18"/>
                <w:szCs w:val="18"/>
                <w:lang w:val="en-GB"/>
              </w:rPr>
            </w:pPr>
            <w:r w:rsidRPr="0018787E">
              <w:rPr>
                <w:bCs/>
                <w:sz w:val="18"/>
                <w:szCs w:val="18"/>
                <w:lang w:val="en-GB"/>
              </w:rPr>
              <w:t>Published cost benefit analysis of alternative options for coastal habitat and land-based pollution interventions</w:t>
            </w:r>
          </w:p>
        </w:tc>
        <w:tc>
          <w:tcPr>
            <w:tcW w:w="1440" w:type="dxa"/>
          </w:tcPr>
          <w:p w14:paraId="4FB44B35" w14:textId="77777777" w:rsidR="0018787E" w:rsidRPr="0018787E" w:rsidRDefault="0018787E" w:rsidP="0018787E">
            <w:pPr>
              <w:rPr>
                <w:sz w:val="18"/>
                <w:szCs w:val="18"/>
                <w:lang w:val="en-GB"/>
              </w:rPr>
            </w:pPr>
            <w:r w:rsidRPr="0018787E">
              <w:rPr>
                <w:sz w:val="18"/>
                <w:szCs w:val="18"/>
                <w:lang w:val="en-GB"/>
              </w:rPr>
              <w:t>Quarterly</w:t>
            </w:r>
          </w:p>
          <w:p w14:paraId="52B60AFE" w14:textId="77777777" w:rsidR="0018787E" w:rsidRPr="0018787E" w:rsidRDefault="0018787E" w:rsidP="0018787E">
            <w:pPr>
              <w:rPr>
                <w:sz w:val="18"/>
                <w:szCs w:val="18"/>
                <w:lang w:val="en-GB"/>
              </w:rPr>
            </w:pPr>
          </w:p>
          <w:p w14:paraId="2CD08AD7" w14:textId="77777777" w:rsidR="0018787E" w:rsidRPr="0018787E" w:rsidRDefault="0018787E" w:rsidP="0018787E">
            <w:pPr>
              <w:rPr>
                <w:sz w:val="18"/>
                <w:szCs w:val="18"/>
                <w:lang w:val="en-GB"/>
              </w:rPr>
            </w:pPr>
            <w:r w:rsidRPr="0018787E">
              <w:rPr>
                <w:sz w:val="18"/>
                <w:szCs w:val="18"/>
                <w:lang w:val="en-GB"/>
              </w:rPr>
              <w:t>Biannually</w:t>
            </w:r>
          </w:p>
          <w:p w14:paraId="576B2868" w14:textId="77777777" w:rsidR="0018787E" w:rsidRPr="0018787E" w:rsidRDefault="0018787E" w:rsidP="0018787E">
            <w:pPr>
              <w:rPr>
                <w:sz w:val="18"/>
                <w:szCs w:val="18"/>
                <w:lang w:val="en-GB"/>
              </w:rPr>
            </w:pPr>
          </w:p>
          <w:p w14:paraId="44F9F081" w14:textId="77777777" w:rsidR="0018787E" w:rsidRPr="0018787E" w:rsidRDefault="0018787E" w:rsidP="0018787E">
            <w:pPr>
              <w:rPr>
                <w:sz w:val="18"/>
                <w:szCs w:val="18"/>
                <w:lang w:val="en-GB"/>
              </w:rPr>
            </w:pPr>
          </w:p>
          <w:p w14:paraId="438C4CB8" w14:textId="77777777" w:rsidR="0018787E" w:rsidRPr="0018787E" w:rsidRDefault="0018787E" w:rsidP="0018787E">
            <w:pPr>
              <w:rPr>
                <w:sz w:val="18"/>
                <w:szCs w:val="18"/>
                <w:lang w:val="en-GB"/>
              </w:rPr>
            </w:pPr>
            <w:r w:rsidRPr="0018787E">
              <w:rPr>
                <w:sz w:val="18"/>
                <w:szCs w:val="18"/>
                <w:lang w:val="en-GB"/>
              </w:rPr>
              <w:t>Biannually</w:t>
            </w:r>
          </w:p>
          <w:p w14:paraId="78681019" w14:textId="77777777" w:rsidR="0018787E" w:rsidRPr="0018787E" w:rsidRDefault="0018787E" w:rsidP="0018787E">
            <w:pPr>
              <w:rPr>
                <w:sz w:val="18"/>
                <w:szCs w:val="18"/>
                <w:lang w:val="en-GB"/>
              </w:rPr>
            </w:pPr>
          </w:p>
          <w:p w14:paraId="4B3E8671" w14:textId="77777777" w:rsidR="0018787E" w:rsidRPr="0018787E" w:rsidRDefault="0018787E" w:rsidP="0018787E">
            <w:pPr>
              <w:rPr>
                <w:sz w:val="18"/>
                <w:szCs w:val="18"/>
                <w:lang w:val="en-GB"/>
              </w:rPr>
            </w:pPr>
          </w:p>
          <w:p w14:paraId="38B88487" w14:textId="77777777" w:rsidR="0018787E" w:rsidRPr="0018787E" w:rsidRDefault="0018787E" w:rsidP="0018787E">
            <w:pPr>
              <w:rPr>
                <w:sz w:val="18"/>
                <w:szCs w:val="18"/>
                <w:lang w:val="en-GB"/>
              </w:rPr>
            </w:pPr>
            <w:r w:rsidRPr="0018787E">
              <w:rPr>
                <w:sz w:val="18"/>
                <w:szCs w:val="18"/>
                <w:lang w:val="en-GB"/>
              </w:rPr>
              <w:t>Biannually</w:t>
            </w:r>
          </w:p>
          <w:p w14:paraId="19C102F7" w14:textId="77777777" w:rsidR="0018787E" w:rsidRPr="0018787E" w:rsidRDefault="0018787E" w:rsidP="0018787E">
            <w:pPr>
              <w:rPr>
                <w:sz w:val="18"/>
                <w:szCs w:val="18"/>
                <w:lang w:val="en-GB"/>
              </w:rPr>
            </w:pPr>
          </w:p>
          <w:p w14:paraId="1C9B81FE" w14:textId="77777777" w:rsidR="0018787E" w:rsidRPr="0018787E" w:rsidRDefault="0018787E" w:rsidP="0018787E">
            <w:pPr>
              <w:rPr>
                <w:sz w:val="18"/>
                <w:szCs w:val="18"/>
                <w:lang w:val="en-GB"/>
              </w:rPr>
            </w:pPr>
          </w:p>
          <w:p w14:paraId="14D6B2F6" w14:textId="77777777" w:rsidR="0018787E" w:rsidRPr="0018787E" w:rsidRDefault="0018787E" w:rsidP="0018787E">
            <w:pPr>
              <w:rPr>
                <w:sz w:val="18"/>
                <w:szCs w:val="18"/>
                <w:lang w:val="en-GB"/>
              </w:rPr>
            </w:pPr>
          </w:p>
          <w:p w14:paraId="0B9C3800"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031D070F" w14:textId="77777777" w:rsidR="0018787E" w:rsidRPr="0018787E" w:rsidRDefault="0018787E" w:rsidP="0018787E">
            <w:pPr>
              <w:rPr>
                <w:sz w:val="18"/>
                <w:szCs w:val="18"/>
                <w:lang w:val="en-GB"/>
              </w:rPr>
            </w:pPr>
            <w:r w:rsidRPr="0018787E">
              <w:rPr>
                <w:sz w:val="18"/>
                <w:szCs w:val="18"/>
                <w:lang w:val="en-GB"/>
              </w:rPr>
              <w:t>National-level</w:t>
            </w:r>
          </w:p>
          <w:p w14:paraId="0BA480A0" w14:textId="77777777" w:rsidR="0018787E" w:rsidRPr="0018787E" w:rsidRDefault="0018787E" w:rsidP="0018787E">
            <w:pPr>
              <w:rPr>
                <w:sz w:val="18"/>
                <w:szCs w:val="18"/>
                <w:lang w:val="en-GB"/>
              </w:rPr>
            </w:pPr>
            <w:r w:rsidRPr="0018787E">
              <w:rPr>
                <w:sz w:val="18"/>
                <w:szCs w:val="18"/>
                <w:lang w:val="en-GB"/>
              </w:rPr>
              <w:t>National-level</w:t>
            </w:r>
          </w:p>
          <w:p w14:paraId="40E73A1E" w14:textId="77777777" w:rsidR="0018787E" w:rsidRPr="0018787E" w:rsidRDefault="0018787E" w:rsidP="0018787E">
            <w:pPr>
              <w:rPr>
                <w:sz w:val="18"/>
                <w:szCs w:val="18"/>
                <w:lang w:val="en-GB"/>
              </w:rPr>
            </w:pPr>
          </w:p>
          <w:p w14:paraId="01AD6004" w14:textId="77777777" w:rsidR="0018787E" w:rsidRPr="0018787E" w:rsidRDefault="0018787E" w:rsidP="0018787E">
            <w:pPr>
              <w:rPr>
                <w:sz w:val="18"/>
                <w:szCs w:val="18"/>
                <w:lang w:val="en-GB"/>
              </w:rPr>
            </w:pPr>
            <w:r w:rsidRPr="0018787E">
              <w:rPr>
                <w:sz w:val="18"/>
                <w:szCs w:val="18"/>
                <w:lang w:val="en-GB"/>
              </w:rPr>
              <w:t>Regional-level</w:t>
            </w:r>
          </w:p>
          <w:p w14:paraId="73493CD0" w14:textId="77777777" w:rsidR="0018787E" w:rsidRPr="0018787E" w:rsidRDefault="0018787E" w:rsidP="0018787E">
            <w:pPr>
              <w:rPr>
                <w:sz w:val="18"/>
                <w:szCs w:val="18"/>
                <w:lang w:val="en-GB"/>
              </w:rPr>
            </w:pPr>
          </w:p>
          <w:p w14:paraId="5BAEDCB7" w14:textId="77777777" w:rsidR="0018787E" w:rsidRPr="0018787E" w:rsidRDefault="0018787E" w:rsidP="0018787E">
            <w:pPr>
              <w:rPr>
                <w:sz w:val="18"/>
                <w:szCs w:val="18"/>
                <w:lang w:val="en-GB"/>
              </w:rPr>
            </w:pPr>
            <w:r w:rsidRPr="0018787E">
              <w:rPr>
                <w:sz w:val="18"/>
                <w:szCs w:val="18"/>
                <w:lang w:val="en-GB"/>
              </w:rPr>
              <w:t>Regional-level</w:t>
            </w:r>
          </w:p>
          <w:p w14:paraId="5E5651A3" w14:textId="77777777" w:rsidR="0018787E" w:rsidRPr="0018787E" w:rsidRDefault="0018787E" w:rsidP="0018787E">
            <w:pPr>
              <w:rPr>
                <w:sz w:val="18"/>
                <w:szCs w:val="18"/>
                <w:lang w:val="en-GB"/>
              </w:rPr>
            </w:pPr>
          </w:p>
          <w:p w14:paraId="3086CF67" w14:textId="77777777" w:rsidR="0018787E" w:rsidRPr="0018787E" w:rsidRDefault="0018787E" w:rsidP="0018787E">
            <w:pPr>
              <w:rPr>
                <w:sz w:val="18"/>
                <w:szCs w:val="18"/>
                <w:lang w:val="en-GB"/>
              </w:rPr>
            </w:pPr>
          </w:p>
          <w:p w14:paraId="3ECF7F8E"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395D3BF5"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Committees</w:t>
            </w:r>
          </w:p>
          <w:p w14:paraId="48D209E2"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Inter-Ministry Committees</w:t>
            </w:r>
          </w:p>
          <w:p w14:paraId="3CD201D0"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5F9C52D1"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0B21F5FE"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30E6D17D" w14:textId="77777777" w:rsidR="0018787E" w:rsidRPr="0018787E" w:rsidRDefault="0018787E" w:rsidP="0018787E">
            <w:pPr>
              <w:rPr>
                <w:sz w:val="18"/>
                <w:szCs w:val="18"/>
                <w:lang w:val="en-GB"/>
              </w:rPr>
            </w:pPr>
            <w:r w:rsidRPr="0018787E">
              <w:rPr>
                <w:sz w:val="18"/>
                <w:szCs w:val="18"/>
                <w:lang w:val="en-GB"/>
              </w:rPr>
              <w:t>Yr 1-3</w:t>
            </w:r>
          </w:p>
        </w:tc>
        <w:tc>
          <w:tcPr>
            <w:tcW w:w="1170" w:type="dxa"/>
          </w:tcPr>
          <w:p w14:paraId="21FF7570"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7DBB423B" w14:textId="77777777" w:rsidTr="0018787E">
        <w:tc>
          <w:tcPr>
            <w:tcW w:w="1319" w:type="dxa"/>
            <w:vMerge/>
          </w:tcPr>
          <w:p w14:paraId="6F5255D1" w14:textId="77777777" w:rsidR="0018787E" w:rsidRPr="0018787E" w:rsidRDefault="0018787E" w:rsidP="0018787E">
            <w:pPr>
              <w:rPr>
                <w:sz w:val="18"/>
                <w:szCs w:val="18"/>
                <w:lang w:val="en-GB"/>
              </w:rPr>
            </w:pPr>
          </w:p>
        </w:tc>
        <w:tc>
          <w:tcPr>
            <w:tcW w:w="1270" w:type="dxa"/>
          </w:tcPr>
          <w:p w14:paraId="44B3342D" w14:textId="77777777" w:rsidR="0018787E" w:rsidRPr="0018787E" w:rsidRDefault="0018787E" w:rsidP="0018787E">
            <w:pPr>
              <w:spacing w:before="40"/>
              <w:rPr>
                <w:bCs/>
                <w:sz w:val="18"/>
                <w:szCs w:val="18"/>
                <w:lang w:val="en-GB"/>
              </w:rPr>
            </w:pPr>
            <w:r w:rsidRPr="0018787E">
              <w:rPr>
                <w:bCs/>
                <w:sz w:val="18"/>
                <w:szCs w:val="18"/>
                <w:lang w:val="en-GB"/>
              </w:rPr>
              <w:t>Status of Ministerial adoption of an updated Strategic Action Programme for the South China Sea</w:t>
            </w:r>
          </w:p>
        </w:tc>
        <w:tc>
          <w:tcPr>
            <w:tcW w:w="1270" w:type="dxa"/>
          </w:tcPr>
          <w:p w14:paraId="29E588ED" w14:textId="77777777" w:rsidR="0018787E" w:rsidRPr="0018787E" w:rsidRDefault="0018787E" w:rsidP="0018787E">
            <w:pPr>
              <w:spacing w:before="40"/>
              <w:rPr>
                <w:sz w:val="18"/>
                <w:szCs w:val="18"/>
                <w:lang w:val="en-GB"/>
              </w:rPr>
            </w:pPr>
            <w:r w:rsidRPr="0018787E">
              <w:rPr>
                <w:sz w:val="18"/>
                <w:szCs w:val="18"/>
                <w:lang w:val="en-GB"/>
              </w:rPr>
              <w:t>Strategic Action Programme for the South China Sea endorsed inter-governmentally in 2008</w:t>
            </w:r>
          </w:p>
        </w:tc>
        <w:tc>
          <w:tcPr>
            <w:tcW w:w="1109" w:type="dxa"/>
          </w:tcPr>
          <w:p w14:paraId="65C2B91F" w14:textId="77777777" w:rsidR="0018787E" w:rsidRPr="0018787E" w:rsidRDefault="0018787E" w:rsidP="0018787E">
            <w:pPr>
              <w:rPr>
                <w:sz w:val="18"/>
                <w:szCs w:val="18"/>
                <w:lang w:val="en-GB"/>
              </w:rPr>
            </w:pPr>
            <w:r w:rsidRPr="0018787E">
              <w:rPr>
                <w:sz w:val="18"/>
                <w:szCs w:val="18"/>
                <w:lang w:val="en-GB"/>
              </w:rPr>
              <w:t>Consultation process initiated to secure Ministerial level commitment to SAP revision and adoption</w:t>
            </w:r>
          </w:p>
        </w:tc>
        <w:tc>
          <w:tcPr>
            <w:tcW w:w="1291" w:type="dxa"/>
          </w:tcPr>
          <w:p w14:paraId="7A44CFF9" w14:textId="77777777" w:rsidR="0018787E" w:rsidRPr="0018787E" w:rsidRDefault="0018787E" w:rsidP="0018787E">
            <w:pPr>
              <w:spacing w:before="40"/>
              <w:rPr>
                <w:sz w:val="18"/>
                <w:szCs w:val="18"/>
                <w:lang w:val="en-GB"/>
              </w:rPr>
            </w:pPr>
            <w:r w:rsidRPr="0018787E">
              <w:rPr>
                <w:sz w:val="18"/>
                <w:szCs w:val="18"/>
                <w:lang w:val="en-GB"/>
              </w:rPr>
              <w:t>National and regional consultative process to develop updated Strategic Action Programme SAP for adoption at the Ministerial level (Yr 5)</w:t>
            </w:r>
          </w:p>
        </w:tc>
        <w:tc>
          <w:tcPr>
            <w:tcW w:w="1269" w:type="dxa"/>
          </w:tcPr>
          <w:p w14:paraId="3CEB6B02" w14:textId="77777777" w:rsidR="0018787E" w:rsidRPr="0018787E" w:rsidRDefault="0018787E" w:rsidP="0018787E">
            <w:pPr>
              <w:spacing w:before="40"/>
              <w:rPr>
                <w:bCs/>
                <w:sz w:val="18"/>
                <w:szCs w:val="18"/>
                <w:lang w:val="en-GB"/>
              </w:rPr>
            </w:pPr>
            <w:r w:rsidRPr="0018787E">
              <w:rPr>
                <w:bCs/>
                <w:sz w:val="18"/>
                <w:szCs w:val="18"/>
                <w:lang w:val="en-GB"/>
              </w:rPr>
              <w:t>Endorsed  Strategic Action Programme published</w:t>
            </w:r>
          </w:p>
        </w:tc>
        <w:tc>
          <w:tcPr>
            <w:tcW w:w="1440" w:type="dxa"/>
          </w:tcPr>
          <w:p w14:paraId="2E7506C4" w14:textId="77777777" w:rsidR="0018787E" w:rsidRPr="0018787E" w:rsidRDefault="0018787E" w:rsidP="0018787E">
            <w:pPr>
              <w:rPr>
                <w:sz w:val="18"/>
                <w:szCs w:val="18"/>
                <w:lang w:val="en-GB"/>
              </w:rPr>
            </w:pPr>
            <w:r w:rsidRPr="0018787E">
              <w:rPr>
                <w:sz w:val="18"/>
                <w:szCs w:val="18"/>
                <w:lang w:val="en-GB"/>
              </w:rPr>
              <w:t>Quarterly</w:t>
            </w:r>
          </w:p>
          <w:p w14:paraId="5A915B47" w14:textId="77777777" w:rsidR="0018787E" w:rsidRPr="0018787E" w:rsidRDefault="0018787E" w:rsidP="0018787E">
            <w:pPr>
              <w:rPr>
                <w:sz w:val="18"/>
                <w:szCs w:val="18"/>
                <w:lang w:val="en-GB"/>
              </w:rPr>
            </w:pPr>
          </w:p>
          <w:p w14:paraId="156796FA" w14:textId="77777777" w:rsidR="0018787E" w:rsidRPr="0018787E" w:rsidRDefault="0018787E" w:rsidP="0018787E">
            <w:pPr>
              <w:rPr>
                <w:sz w:val="18"/>
                <w:szCs w:val="18"/>
                <w:lang w:val="en-GB"/>
              </w:rPr>
            </w:pPr>
            <w:r w:rsidRPr="0018787E">
              <w:rPr>
                <w:sz w:val="18"/>
                <w:szCs w:val="18"/>
                <w:lang w:val="en-GB"/>
              </w:rPr>
              <w:t>Biannually</w:t>
            </w:r>
          </w:p>
          <w:p w14:paraId="4217A2AD" w14:textId="77777777" w:rsidR="0018787E" w:rsidRPr="0018787E" w:rsidRDefault="0018787E" w:rsidP="0018787E">
            <w:pPr>
              <w:rPr>
                <w:sz w:val="18"/>
                <w:szCs w:val="18"/>
                <w:lang w:val="en-GB"/>
              </w:rPr>
            </w:pPr>
          </w:p>
          <w:p w14:paraId="1FC8A6FC" w14:textId="77777777" w:rsidR="0018787E" w:rsidRPr="0018787E" w:rsidRDefault="0018787E" w:rsidP="0018787E">
            <w:pPr>
              <w:rPr>
                <w:sz w:val="18"/>
                <w:szCs w:val="18"/>
                <w:lang w:val="en-GB"/>
              </w:rPr>
            </w:pPr>
          </w:p>
          <w:p w14:paraId="6FBAC6BE" w14:textId="77777777" w:rsidR="0018787E" w:rsidRPr="0018787E" w:rsidRDefault="0018787E" w:rsidP="0018787E">
            <w:pPr>
              <w:rPr>
                <w:sz w:val="18"/>
                <w:szCs w:val="18"/>
                <w:lang w:val="en-GB"/>
              </w:rPr>
            </w:pPr>
            <w:r w:rsidRPr="0018787E">
              <w:rPr>
                <w:sz w:val="18"/>
                <w:szCs w:val="18"/>
                <w:lang w:val="en-GB"/>
              </w:rPr>
              <w:t>Biannually</w:t>
            </w:r>
          </w:p>
          <w:p w14:paraId="6B6765E0" w14:textId="77777777" w:rsidR="0018787E" w:rsidRPr="0018787E" w:rsidRDefault="0018787E" w:rsidP="0018787E">
            <w:pPr>
              <w:rPr>
                <w:sz w:val="18"/>
                <w:szCs w:val="18"/>
                <w:lang w:val="en-GB"/>
              </w:rPr>
            </w:pPr>
          </w:p>
          <w:p w14:paraId="78BC3024" w14:textId="77777777" w:rsidR="0018787E" w:rsidRPr="0018787E" w:rsidRDefault="0018787E" w:rsidP="0018787E">
            <w:pPr>
              <w:rPr>
                <w:sz w:val="18"/>
                <w:szCs w:val="18"/>
                <w:lang w:val="en-GB"/>
              </w:rPr>
            </w:pPr>
          </w:p>
          <w:p w14:paraId="668FD953" w14:textId="77777777" w:rsidR="0018787E" w:rsidRPr="0018787E" w:rsidRDefault="0018787E" w:rsidP="0018787E">
            <w:pPr>
              <w:rPr>
                <w:sz w:val="18"/>
                <w:szCs w:val="18"/>
                <w:lang w:val="en-GB"/>
              </w:rPr>
            </w:pPr>
            <w:r w:rsidRPr="0018787E">
              <w:rPr>
                <w:sz w:val="18"/>
                <w:szCs w:val="18"/>
                <w:lang w:val="en-GB"/>
              </w:rPr>
              <w:t>Biannually</w:t>
            </w:r>
          </w:p>
          <w:p w14:paraId="379135EC" w14:textId="77777777" w:rsidR="0018787E" w:rsidRPr="0018787E" w:rsidRDefault="0018787E" w:rsidP="0018787E">
            <w:pPr>
              <w:rPr>
                <w:sz w:val="18"/>
                <w:szCs w:val="18"/>
                <w:lang w:val="en-GB"/>
              </w:rPr>
            </w:pPr>
          </w:p>
          <w:p w14:paraId="58CE605F" w14:textId="77777777" w:rsidR="0018787E" w:rsidRPr="0018787E" w:rsidRDefault="0018787E" w:rsidP="0018787E">
            <w:pPr>
              <w:rPr>
                <w:sz w:val="18"/>
                <w:szCs w:val="18"/>
                <w:lang w:val="en-GB"/>
              </w:rPr>
            </w:pPr>
          </w:p>
          <w:p w14:paraId="0053FADA" w14:textId="77777777" w:rsidR="0018787E" w:rsidRPr="0018787E" w:rsidRDefault="0018787E" w:rsidP="0018787E">
            <w:pPr>
              <w:rPr>
                <w:sz w:val="18"/>
                <w:szCs w:val="18"/>
                <w:lang w:val="en-GB"/>
              </w:rPr>
            </w:pPr>
          </w:p>
          <w:p w14:paraId="30CB249C"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7C483CFA" w14:textId="77777777" w:rsidR="0018787E" w:rsidRPr="0018787E" w:rsidRDefault="0018787E" w:rsidP="0018787E">
            <w:pPr>
              <w:rPr>
                <w:sz w:val="18"/>
                <w:szCs w:val="18"/>
                <w:lang w:val="en-GB"/>
              </w:rPr>
            </w:pPr>
            <w:r w:rsidRPr="0018787E">
              <w:rPr>
                <w:sz w:val="18"/>
                <w:szCs w:val="18"/>
                <w:lang w:val="en-GB"/>
              </w:rPr>
              <w:t>National-level</w:t>
            </w:r>
          </w:p>
          <w:p w14:paraId="7A5835E8" w14:textId="77777777" w:rsidR="0018787E" w:rsidRPr="0018787E" w:rsidRDefault="0018787E" w:rsidP="0018787E">
            <w:pPr>
              <w:rPr>
                <w:sz w:val="18"/>
                <w:szCs w:val="18"/>
                <w:lang w:val="en-GB"/>
              </w:rPr>
            </w:pPr>
            <w:r w:rsidRPr="0018787E">
              <w:rPr>
                <w:sz w:val="18"/>
                <w:szCs w:val="18"/>
                <w:lang w:val="en-GB"/>
              </w:rPr>
              <w:t>National-level</w:t>
            </w:r>
          </w:p>
          <w:p w14:paraId="2519057C" w14:textId="77777777" w:rsidR="0018787E" w:rsidRPr="0018787E" w:rsidRDefault="0018787E" w:rsidP="0018787E">
            <w:pPr>
              <w:rPr>
                <w:sz w:val="18"/>
                <w:szCs w:val="18"/>
                <w:lang w:val="en-GB"/>
              </w:rPr>
            </w:pPr>
          </w:p>
          <w:p w14:paraId="4BF437CB" w14:textId="77777777" w:rsidR="0018787E" w:rsidRPr="0018787E" w:rsidRDefault="0018787E" w:rsidP="0018787E">
            <w:pPr>
              <w:rPr>
                <w:sz w:val="18"/>
                <w:szCs w:val="18"/>
                <w:lang w:val="en-GB"/>
              </w:rPr>
            </w:pPr>
            <w:r w:rsidRPr="0018787E">
              <w:rPr>
                <w:sz w:val="18"/>
                <w:szCs w:val="18"/>
                <w:lang w:val="en-GB"/>
              </w:rPr>
              <w:t>Regional-level</w:t>
            </w:r>
          </w:p>
          <w:p w14:paraId="730D471A" w14:textId="77777777" w:rsidR="0018787E" w:rsidRPr="0018787E" w:rsidRDefault="0018787E" w:rsidP="0018787E">
            <w:pPr>
              <w:rPr>
                <w:sz w:val="18"/>
                <w:szCs w:val="18"/>
                <w:lang w:val="en-GB"/>
              </w:rPr>
            </w:pPr>
          </w:p>
          <w:p w14:paraId="5F6DA0E9" w14:textId="77777777" w:rsidR="0018787E" w:rsidRPr="0018787E" w:rsidRDefault="0018787E" w:rsidP="0018787E">
            <w:pPr>
              <w:rPr>
                <w:sz w:val="18"/>
                <w:szCs w:val="18"/>
                <w:lang w:val="en-GB"/>
              </w:rPr>
            </w:pPr>
            <w:r w:rsidRPr="0018787E">
              <w:rPr>
                <w:sz w:val="18"/>
                <w:szCs w:val="18"/>
                <w:lang w:val="en-GB"/>
              </w:rPr>
              <w:t>Regional-level</w:t>
            </w:r>
          </w:p>
          <w:p w14:paraId="0BC2FD37" w14:textId="77777777" w:rsidR="0018787E" w:rsidRPr="0018787E" w:rsidRDefault="0018787E" w:rsidP="0018787E">
            <w:pPr>
              <w:rPr>
                <w:sz w:val="18"/>
                <w:szCs w:val="18"/>
                <w:lang w:val="en-GB"/>
              </w:rPr>
            </w:pPr>
          </w:p>
          <w:p w14:paraId="5278D00A" w14:textId="77777777" w:rsidR="0018787E" w:rsidRPr="0018787E" w:rsidRDefault="0018787E" w:rsidP="0018787E">
            <w:pPr>
              <w:rPr>
                <w:sz w:val="18"/>
                <w:szCs w:val="18"/>
                <w:lang w:val="en-GB"/>
              </w:rPr>
            </w:pPr>
          </w:p>
          <w:p w14:paraId="7FD1FE26"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360FF4F0"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Committees</w:t>
            </w:r>
          </w:p>
          <w:p w14:paraId="1D345BDA"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Inter-Ministry Committees</w:t>
            </w:r>
          </w:p>
          <w:p w14:paraId="7CB48AAA"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35389F1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583CB8AE"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2C85DE4D"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26AE09D0"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3D02F841" w14:textId="77777777" w:rsidTr="0018787E">
        <w:tc>
          <w:tcPr>
            <w:tcW w:w="1319" w:type="dxa"/>
            <w:vMerge/>
          </w:tcPr>
          <w:p w14:paraId="13E8D130" w14:textId="77777777" w:rsidR="0018787E" w:rsidRPr="0018787E" w:rsidRDefault="0018787E" w:rsidP="0018787E">
            <w:pPr>
              <w:rPr>
                <w:sz w:val="18"/>
                <w:szCs w:val="18"/>
                <w:lang w:val="en-GB"/>
              </w:rPr>
            </w:pPr>
          </w:p>
        </w:tc>
        <w:tc>
          <w:tcPr>
            <w:tcW w:w="1270" w:type="dxa"/>
          </w:tcPr>
          <w:p w14:paraId="65ADECBC" w14:textId="77777777" w:rsidR="0018787E" w:rsidRPr="0018787E" w:rsidRDefault="0018787E" w:rsidP="0018787E">
            <w:pPr>
              <w:spacing w:before="40"/>
              <w:rPr>
                <w:bCs/>
                <w:sz w:val="18"/>
                <w:szCs w:val="18"/>
                <w:lang w:val="en-GB"/>
              </w:rPr>
            </w:pPr>
            <w:r w:rsidRPr="0018787E">
              <w:rPr>
                <w:bCs/>
                <w:sz w:val="18"/>
                <w:szCs w:val="18"/>
                <w:lang w:val="en-GB"/>
              </w:rPr>
              <w:t>Level of demonstrable use of the regional review on sea level rise, climate change, and episodic events in SAP formulation</w:t>
            </w:r>
          </w:p>
        </w:tc>
        <w:tc>
          <w:tcPr>
            <w:tcW w:w="1270" w:type="dxa"/>
          </w:tcPr>
          <w:p w14:paraId="5C5FE161" w14:textId="77777777" w:rsidR="0018787E" w:rsidRPr="0018787E" w:rsidRDefault="0018787E" w:rsidP="0018787E">
            <w:pPr>
              <w:spacing w:before="40"/>
              <w:rPr>
                <w:sz w:val="18"/>
                <w:szCs w:val="18"/>
                <w:lang w:val="en-GB"/>
              </w:rPr>
            </w:pPr>
            <w:r w:rsidRPr="0018787E">
              <w:rPr>
                <w:sz w:val="18"/>
                <w:szCs w:val="18"/>
                <w:lang w:val="en-GB"/>
              </w:rPr>
              <w:t>Evolving understanding of sea level rise, climate change, and episodic events in East Asia but not applied in context of transboundary planning in the South China Sea</w:t>
            </w:r>
          </w:p>
        </w:tc>
        <w:tc>
          <w:tcPr>
            <w:tcW w:w="1109" w:type="dxa"/>
          </w:tcPr>
          <w:p w14:paraId="65563475" w14:textId="77777777" w:rsidR="0018787E" w:rsidRPr="0018787E" w:rsidRDefault="0018787E" w:rsidP="0018787E">
            <w:pPr>
              <w:rPr>
                <w:sz w:val="18"/>
                <w:szCs w:val="18"/>
                <w:lang w:val="en-GB"/>
              </w:rPr>
            </w:pPr>
            <w:r w:rsidRPr="0018787E">
              <w:rPr>
                <w:sz w:val="18"/>
                <w:szCs w:val="18"/>
                <w:lang w:val="en-GB"/>
              </w:rPr>
              <w:t>Appropriate expertise engaged to identify priority national actions that achieve local benefit as well as high transboundary impact</w:t>
            </w:r>
          </w:p>
        </w:tc>
        <w:tc>
          <w:tcPr>
            <w:tcW w:w="1291" w:type="dxa"/>
          </w:tcPr>
          <w:p w14:paraId="37274DC3" w14:textId="77777777" w:rsidR="0018787E" w:rsidRPr="0018787E" w:rsidRDefault="0018787E" w:rsidP="0018787E">
            <w:pPr>
              <w:spacing w:before="40"/>
              <w:rPr>
                <w:sz w:val="18"/>
                <w:szCs w:val="18"/>
                <w:lang w:val="en-GB"/>
              </w:rPr>
            </w:pPr>
            <w:r w:rsidRPr="0018787E">
              <w:rPr>
                <w:sz w:val="18"/>
                <w:szCs w:val="18"/>
                <w:lang w:val="en-GB"/>
              </w:rPr>
              <w:t>Prioritization of national management actions to address climate variability and change for incorporation into national policies and plans</w:t>
            </w:r>
          </w:p>
        </w:tc>
        <w:tc>
          <w:tcPr>
            <w:tcW w:w="1269" w:type="dxa"/>
          </w:tcPr>
          <w:p w14:paraId="79DF02D6" w14:textId="77777777" w:rsidR="0018787E" w:rsidRPr="0018787E" w:rsidRDefault="0018787E" w:rsidP="0018787E">
            <w:pPr>
              <w:spacing w:before="40"/>
              <w:rPr>
                <w:bCs/>
                <w:sz w:val="18"/>
                <w:szCs w:val="18"/>
                <w:lang w:val="en-GB"/>
              </w:rPr>
            </w:pPr>
            <w:r w:rsidRPr="0018787E">
              <w:rPr>
                <w:bCs/>
                <w:sz w:val="18"/>
                <w:szCs w:val="18"/>
                <w:lang w:val="en-GB"/>
              </w:rPr>
              <w:t>Report of priority actions</w:t>
            </w:r>
          </w:p>
          <w:p w14:paraId="7B7CB324" w14:textId="77777777" w:rsidR="0018787E" w:rsidRPr="0018787E" w:rsidRDefault="0018787E" w:rsidP="0018787E">
            <w:pPr>
              <w:spacing w:before="40"/>
              <w:rPr>
                <w:bCs/>
                <w:sz w:val="18"/>
                <w:szCs w:val="18"/>
                <w:lang w:val="en-GB"/>
              </w:rPr>
            </w:pPr>
            <w:r w:rsidRPr="0018787E">
              <w:rPr>
                <w:bCs/>
                <w:sz w:val="18"/>
                <w:szCs w:val="18"/>
                <w:lang w:val="en-GB"/>
              </w:rPr>
              <w:t>National policies and plans with demonstrable uptake of priority actions</w:t>
            </w:r>
          </w:p>
        </w:tc>
        <w:tc>
          <w:tcPr>
            <w:tcW w:w="1440" w:type="dxa"/>
          </w:tcPr>
          <w:p w14:paraId="79F15F64" w14:textId="77777777" w:rsidR="0018787E" w:rsidRPr="0018787E" w:rsidRDefault="0018787E" w:rsidP="0018787E">
            <w:pPr>
              <w:rPr>
                <w:sz w:val="18"/>
                <w:szCs w:val="18"/>
                <w:lang w:val="en-GB"/>
              </w:rPr>
            </w:pPr>
            <w:r w:rsidRPr="0018787E">
              <w:rPr>
                <w:sz w:val="18"/>
                <w:szCs w:val="18"/>
                <w:lang w:val="en-GB"/>
              </w:rPr>
              <w:t>Quarterly</w:t>
            </w:r>
          </w:p>
          <w:p w14:paraId="3BE56E26" w14:textId="77777777" w:rsidR="0018787E" w:rsidRPr="0018787E" w:rsidRDefault="0018787E" w:rsidP="0018787E">
            <w:pPr>
              <w:rPr>
                <w:sz w:val="18"/>
                <w:szCs w:val="18"/>
                <w:lang w:val="en-GB"/>
              </w:rPr>
            </w:pPr>
          </w:p>
          <w:p w14:paraId="6BBF7427" w14:textId="77777777" w:rsidR="0018787E" w:rsidRPr="0018787E" w:rsidRDefault="0018787E" w:rsidP="0018787E">
            <w:pPr>
              <w:rPr>
                <w:sz w:val="18"/>
                <w:szCs w:val="18"/>
                <w:lang w:val="en-GB"/>
              </w:rPr>
            </w:pPr>
            <w:r w:rsidRPr="0018787E">
              <w:rPr>
                <w:sz w:val="18"/>
                <w:szCs w:val="18"/>
                <w:lang w:val="en-GB"/>
              </w:rPr>
              <w:t>Biannually</w:t>
            </w:r>
          </w:p>
          <w:p w14:paraId="2AD7FFE5" w14:textId="77777777" w:rsidR="0018787E" w:rsidRPr="0018787E" w:rsidRDefault="0018787E" w:rsidP="0018787E">
            <w:pPr>
              <w:rPr>
                <w:sz w:val="18"/>
                <w:szCs w:val="18"/>
                <w:lang w:val="en-GB"/>
              </w:rPr>
            </w:pPr>
          </w:p>
          <w:p w14:paraId="3B80B441" w14:textId="77777777" w:rsidR="0018787E" w:rsidRPr="0018787E" w:rsidRDefault="0018787E" w:rsidP="0018787E">
            <w:pPr>
              <w:rPr>
                <w:sz w:val="18"/>
                <w:szCs w:val="18"/>
                <w:lang w:val="en-GB"/>
              </w:rPr>
            </w:pPr>
          </w:p>
          <w:p w14:paraId="53900711" w14:textId="77777777" w:rsidR="0018787E" w:rsidRPr="0018787E" w:rsidRDefault="0018787E" w:rsidP="0018787E">
            <w:pPr>
              <w:rPr>
                <w:sz w:val="18"/>
                <w:szCs w:val="18"/>
                <w:lang w:val="en-GB"/>
              </w:rPr>
            </w:pPr>
            <w:r w:rsidRPr="0018787E">
              <w:rPr>
                <w:sz w:val="18"/>
                <w:szCs w:val="18"/>
                <w:lang w:val="en-GB"/>
              </w:rPr>
              <w:t>Biannually</w:t>
            </w:r>
          </w:p>
          <w:p w14:paraId="576BEEC4" w14:textId="77777777" w:rsidR="0018787E" w:rsidRPr="0018787E" w:rsidRDefault="0018787E" w:rsidP="0018787E">
            <w:pPr>
              <w:rPr>
                <w:sz w:val="18"/>
                <w:szCs w:val="18"/>
                <w:lang w:val="en-GB"/>
              </w:rPr>
            </w:pPr>
          </w:p>
          <w:p w14:paraId="62B3BC01" w14:textId="77777777" w:rsidR="0018787E" w:rsidRPr="0018787E" w:rsidRDefault="0018787E" w:rsidP="0018787E">
            <w:pPr>
              <w:rPr>
                <w:sz w:val="18"/>
                <w:szCs w:val="18"/>
                <w:lang w:val="en-GB"/>
              </w:rPr>
            </w:pPr>
          </w:p>
          <w:p w14:paraId="2440544C" w14:textId="77777777" w:rsidR="0018787E" w:rsidRPr="0018787E" w:rsidRDefault="0018787E" w:rsidP="0018787E">
            <w:pPr>
              <w:rPr>
                <w:sz w:val="18"/>
                <w:szCs w:val="18"/>
                <w:lang w:val="en-GB"/>
              </w:rPr>
            </w:pPr>
            <w:r w:rsidRPr="0018787E">
              <w:rPr>
                <w:sz w:val="18"/>
                <w:szCs w:val="18"/>
                <w:lang w:val="en-GB"/>
              </w:rPr>
              <w:t>Biannually</w:t>
            </w:r>
          </w:p>
          <w:p w14:paraId="52EEAA98" w14:textId="77777777" w:rsidR="0018787E" w:rsidRPr="0018787E" w:rsidRDefault="0018787E" w:rsidP="0018787E">
            <w:pPr>
              <w:rPr>
                <w:sz w:val="18"/>
                <w:szCs w:val="18"/>
                <w:lang w:val="en-GB"/>
              </w:rPr>
            </w:pPr>
          </w:p>
          <w:p w14:paraId="291371E5" w14:textId="77777777" w:rsidR="0018787E" w:rsidRPr="0018787E" w:rsidRDefault="0018787E" w:rsidP="0018787E">
            <w:pPr>
              <w:rPr>
                <w:sz w:val="18"/>
                <w:szCs w:val="18"/>
                <w:lang w:val="en-GB"/>
              </w:rPr>
            </w:pPr>
          </w:p>
          <w:p w14:paraId="6A052E83" w14:textId="77777777" w:rsidR="0018787E" w:rsidRPr="0018787E" w:rsidRDefault="0018787E" w:rsidP="0018787E">
            <w:pPr>
              <w:rPr>
                <w:sz w:val="18"/>
                <w:szCs w:val="18"/>
                <w:lang w:val="en-GB"/>
              </w:rPr>
            </w:pPr>
          </w:p>
          <w:p w14:paraId="63D64D00"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2F54EB0B" w14:textId="77777777" w:rsidR="0018787E" w:rsidRPr="0018787E" w:rsidRDefault="0018787E" w:rsidP="0018787E">
            <w:pPr>
              <w:rPr>
                <w:sz w:val="18"/>
                <w:szCs w:val="18"/>
                <w:lang w:val="en-GB"/>
              </w:rPr>
            </w:pPr>
            <w:r w:rsidRPr="0018787E">
              <w:rPr>
                <w:sz w:val="18"/>
                <w:szCs w:val="18"/>
                <w:lang w:val="en-GB"/>
              </w:rPr>
              <w:t>National-level</w:t>
            </w:r>
          </w:p>
          <w:p w14:paraId="67C9CA01" w14:textId="77777777" w:rsidR="0018787E" w:rsidRPr="0018787E" w:rsidRDefault="0018787E" w:rsidP="0018787E">
            <w:pPr>
              <w:rPr>
                <w:sz w:val="18"/>
                <w:szCs w:val="18"/>
                <w:lang w:val="en-GB"/>
              </w:rPr>
            </w:pPr>
            <w:r w:rsidRPr="0018787E">
              <w:rPr>
                <w:sz w:val="18"/>
                <w:szCs w:val="18"/>
                <w:lang w:val="en-GB"/>
              </w:rPr>
              <w:t>National-level</w:t>
            </w:r>
          </w:p>
          <w:p w14:paraId="43576D5E" w14:textId="77777777" w:rsidR="0018787E" w:rsidRPr="0018787E" w:rsidRDefault="0018787E" w:rsidP="0018787E">
            <w:pPr>
              <w:rPr>
                <w:sz w:val="18"/>
                <w:szCs w:val="18"/>
                <w:lang w:val="en-GB"/>
              </w:rPr>
            </w:pPr>
          </w:p>
          <w:p w14:paraId="0C0B834C" w14:textId="77777777" w:rsidR="0018787E" w:rsidRPr="0018787E" w:rsidRDefault="0018787E" w:rsidP="0018787E">
            <w:pPr>
              <w:rPr>
                <w:sz w:val="18"/>
                <w:szCs w:val="18"/>
                <w:lang w:val="en-GB"/>
              </w:rPr>
            </w:pPr>
            <w:r w:rsidRPr="0018787E">
              <w:rPr>
                <w:sz w:val="18"/>
                <w:szCs w:val="18"/>
                <w:lang w:val="en-GB"/>
              </w:rPr>
              <w:t>Regional-level</w:t>
            </w:r>
          </w:p>
          <w:p w14:paraId="30B8AD69" w14:textId="77777777" w:rsidR="0018787E" w:rsidRPr="0018787E" w:rsidRDefault="0018787E" w:rsidP="0018787E">
            <w:pPr>
              <w:rPr>
                <w:sz w:val="18"/>
                <w:szCs w:val="18"/>
                <w:lang w:val="en-GB"/>
              </w:rPr>
            </w:pPr>
          </w:p>
          <w:p w14:paraId="37E174D4" w14:textId="77777777" w:rsidR="0018787E" w:rsidRPr="0018787E" w:rsidRDefault="0018787E" w:rsidP="0018787E">
            <w:pPr>
              <w:rPr>
                <w:sz w:val="18"/>
                <w:szCs w:val="18"/>
                <w:lang w:val="en-GB"/>
              </w:rPr>
            </w:pPr>
            <w:r w:rsidRPr="0018787E">
              <w:rPr>
                <w:sz w:val="18"/>
                <w:szCs w:val="18"/>
                <w:lang w:val="en-GB"/>
              </w:rPr>
              <w:t>Regional-level</w:t>
            </w:r>
          </w:p>
          <w:p w14:paraId="5F4BC121" w14:textId="77777777" w:rsidR="0018787E" w:rsidRPr="0018787E" w:rsidRDefault="0018787E" w:rsidP="0018787E">
            <w:pPr>
              <w:rPr>
                <w:sz w:val="18"/>
                <w:szCs w:val="18"/>
                <w:lang w:val="en-GB"/>
              </w:rPr>
            </w:pPr>
          </w:p>
          <w:p w14:paraId="783D0034" w14:textId="77777777" w:rsidR="0018787E" w:rsidRPr="0018787E" w:rsidRDefault="0018787E" w:rsidP="0018787E">
            <w:pPr>
              <w:rPr>
                <w:sz w:val="18"/>
                <w:szCs w:val="18"/>
                <w:lang w:val="en-GB"/>
              </w:rPr>
            </w:pPr>
          </w:p>
          <w:p w14:paraId="573DB656"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7588ED5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Committees</w:t>
            </w:r>
          </w:p>
          <w:p w14:paraId="2106E6BF"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Inter-Ministry Committees</w:t>
            </w:r>
          </w:p>
          <w:p w14:paraId="20CEFED6"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Working Groups</w:t>
            </w:r>
          </w:p>
          <w:p w14:paraId="40131C3A"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382EB7A9"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73489905" w14:textId="77777777" w:rsidR="0018787E" w:rsidRPr="0018787E" w:rsidRDefault="0018787E" w:rsidP="0018787E">
            <w:pPr>
              <w:rPr>
                <w:sz w:val="18"/>
                <w:szCs w:val="18"/>
                <w:lang w:val="en-GB"/>
              </w:rPr>
            </w:pPr>
            <w:r w:rsidRPr="0018787E">
              <w:rPr>
                <w:sz w:val="18"/>
                <w:szCs w:val="18"/>
                <w:lang w:val="en-GB"/>
              </w:rPr>
              <w:t>Yr 1-3</w:t>
            </w:r>
          </w:p>
        </w:tc>
        <w:tc>
          <w:tcPr>
            <w:tcW w:w="1170" w:type="dxa"/>
          </w:tcPr>
          <w:p w14:paraId="432351B9"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798676FF" w14:textId="77777777" w:rsidTr="0018787E">
        <w:tc>
          <w:tcPr>
            <w:tcW w:w="1319" w:type="dxa"/>
            <w:vMerge w:val="restart"/>
            <w:vAlign w:val="center"/>
          </w:tcPr>
          <w:p w14:paraId="35FAAB7B" w14:textId="77777777" w:rsidR="0018787E" w:rsidRPr="0018787E" w:rsidRDefault="0018787E" w:rsidP="0018787E">
            <w:pPr>
              <w:rPr>
                <w:sz w:val="18"/>
                <w:szCs w:val="18"/>
                <w:lang w:val="en-GB"/>
              </w:rPr>
            </w:pPr>
            <w:r w:rsidRPr="0018787E">
              <w:rPr>
                <w:sz w:val="18"/>
                <w:szCs w:val="18"/>
                <w:lang w:val="en-GB"/>
              </w:rPr>
              <w:t>3.1 Regional and sub-regional co-operation in the integration of scientific knowledge and research outputs with management and policy making</w:t>
            </w:r>
          </w:p>
        </w:tc>
        <w:tc>
          <w:tcPr>
            <w:tcW w:w="1270" w:type="dxa"/>
          </w:tcPr>
          <w:p w14:paraId="6C916DAA" w14:textId="77777777" w:rsidR="0018787E" w:rsidRPr="0018787E" w:rsidRDefault="0018787E" w:rsidP="0018787E">
            <w:pPr>
              <w:spacing w:before="40"/>
              <w:rPr>
                <w:bCs/>
                <w:sz w:val="18"/>
                <w:szCs w:val="18"/>
                <w:lang w:val="en-GB"/>
              </w:rPr>
            </w:pPr>
            <w:r w:rsidRPr="0018787E">
              <w:rPr>
                <w:bCs/>
                <w:sz w:val="18"/>
                <w:szCs w:val="18"/>
                <w:lang w:val="en-GB"/>
              </w:rPr>
              <w:t>Status of the RSTC and the uptake of the scientific and technical advice it provides</w:t>
            </w:r>
          </w:p>
          <w:p w14:paraId="222906C0" w14:textId="77777777" w:rsidR="0018787E" w:rsidRPr="0018787E" w:rsidRDefault="0018787E" w:rsidP="0018787E">
            <w:pPr>
              <w:spacing w:before="40"/>
              <w:rPr>
                <w:bCs/>
                <w:sz w:val="18"/>
                <w:szCs w:val="18"/>
                <w:lang w:val="en-GB"/>
              </w:rPr>
            </w:pPr>
          </w:p>
          <w:p w14:paraId="1AF4AE1F" w14:textId="77777777" w:rsidR="0018787E" w:rsidRPr="0018787E" w:rsidRDefault="0018787E" w:rsidP="0018787E">
            <w:pPr>
              <w:spacing w:before="40"/>
              <w:rPr>
                <w:bCs/>
                <w:sz w:val="18"/>
                <w:szCs w:val="18"/>
                <w:lang w:val="en-GB"/>
              </w:rPr>
            </w:pPr>
            <w:r w:rsidRPr="0018787E">
              <w:rPr>
                <w:bCs/>
                <w:sz w:val="18"/>
                <w:szCs w:val="18"/>
                <w:lang w:val="en-GB"/>
              </w:rPr>
              <w:t>Continuity of participation of RSTC members in annual meetings</w:t>
            </w:r>
          </w:p>
        </w:tc>
        <w:tc>
          <w:tcPr>
            <w:tcW w:w="1270" w:type="dxa"/>
          </w:tcPr>
          <w:p w14:paraId="37C8A1D8" w14:textId="77777777" w:rsidR="0018787E" w:rsidRPr="0018787E" w:rsidRDefault="0018787E" w:rsidP="0018787E">
            <w:pPr>
              <w:spacing w:before="40"/>
              <w:rPr>
                <w:sz w:val="18"/>
                <w:szCs w:val="18"/>
                <w:lang w:val="en-GB"/>
              </w:rPr>
            </w:pPr>
            <w:r w:rsidRPr="0018787E">
              <w:rPr>
                <w:sz w:val="18"/>
                <w:szCs w:val="18"/>
                <w:lang w:val="en-GB"/>
              </w:rPr>
              <w:t>Lack of a formal mechanism for the sharing of science and technical knowledge relating to the South China Sea SAP implementation</w:t>
            </w:r>
          </w:p>
        </w:tc>
        <w:tc>
          <w:tcPr>
            <w:tcW w:w="1109" w:type="dxa"/>
          </w:tcPr>
          <w:p w14:paraId="26F5B95B" w14:textId="77777777" w:rsidR="0018787E" w:rsidRPr="0018787E" w:rsidRDefault="0018787E" w:rsidP="0018787E">
            <w:pPr>
              <w:rPr>
                <w:sz w:val="18"/>
                <w:szCs w:val="18"/>
                <w:lang w:val="en-GB"/>
              </w:rPr>
            </w:pPr>
            <w:r w:rsidRPr="0018787E">
              <w:rPr>
                <w:sz w:val="18"/>
                <w:szCs w:val="18"/>
                <w:lang w:val="en-GB"/>
              </w:rPr>
              <w:t>Same as end-of-project target</w:t>
            </w:r>
          </w:p>
        </w:tc>
        <w:tc>
          <w:tcPr>
            <w:tcW w:w="1291" w:type="dxa"/>
          </w:tcPr>
          <w:p w14:paraId="3BD4A263" w14:textId="77777777" w:rsidR="0018787E" w:rsidRPr="0018787E" w:rsidRDefault="0018787E" w:rsidP="0018787E">
            <w:pPr>
              <w:spacing w:before="40"/>
              <w:rPr>
                <w:sz w:val="18"/>
                <w:szCs w:val="18"/>
                <w:lang w:val="en-GB"/>
              </w:rPr>
            </w:pPr>
            <w:r w:rsidRPr="0018787E">
              <w:rPr>
                <w:sz w:val="18"/>
                <w:szCs w:val="18"/>
                <w:lang w:val="en-GB"/>
              </w:rPr>
              <w:t>Regional Scientific and Technical Committee of the SCS project functioning as a bridge between the scientific community and decision-makers [annual meetings]</w:t>
            </w:r>
          </w:p>
        </w:tc>
        <w:tc>
          <w:tcPr>
            <w:tcW w:w="1269" w:type="dxa"/>
          </w:tcPr>
          <w:p w14:paraId="676690FF" w14:textId="77777777" w:rsidR="0018787E" w:rsidRPr="0018787E" w:rsidRDefault="0018787E" w:rsidP="0018787E">
            <w:pPr>
              <w:spacing w:before="40"/>
              <w:rPr>
                <w:bCs/>
                <w:sz w:val="18"/>
                <w:szCs w:val="18"/>
                <w:lang w:val="en-GB"/>
              </w:rPr>
            </w:pPr>
            <w:r w:rsidRPr="0018787E">
              <w:rPr>
                <w:bCs/>
                <w:sz w:val="18"/>
                <w:szCs w:val="18"/>
                <w:lang w:val="en-GB"/>
              </w:rPr>
              <w:t>RSTC Terms of Reference</w:t>
            </w:r>
          </w:p>
          <w:p w14:paraId="64D56917" w14:textId="77777777" w:rsidR="0018787E" w:rsidRPr="0018787E" w:rsidRDefault="0018787E" w:rsidP="0018787E">
            <w:pPr>
              <w:spacing w:before="40"/>
              <w:rPr>
                <w:bCs/>
                <w:sz w:val="18"/>
                <w:szCs w:val="18"/>
                <w:lang w:val="en-GB"/>
              </w:rPr>
            </w:pPr>
          </w:p>
          <w:p w14:paraId="6A2D8B1E" w14:textId="77777777" w:rsidR="0018787E" w:rsidRPr="0018787E" w:rsidRDefault="0018787E" w:rsidP="0018787E">
            <w:pPr>
              <w:spacing w:before="40"/>
              <w:rPr>
                <w:sz w:val="18"/>
                <w:szCs w:val="18"/>
                <w:lang w:val="en-GB"/>
              </w:rPr>
            </w:pPr>
            <w:r w:rsidRPr="0018787E">
              <w:rPr>
                <w:bCs/>
                <w:sz w:val="18"/>
                <w:szCs w:val="18"/>
                <w:lang w:val="en-GB"/>
              </w:rPr>
              <w:t>Annual meeting reports (documenting scientific and technical advice and participant lists)</w:t>
            </w:r>
          </w:p>
        </w:tc>
        <w:tc>
          <w:tcPr>
            <w:tcW w:w="1440" w:type="dxa"/>
          </w:tcPr>
          <w:p w14:paraId="703EF016" w14:textId="77777777" w:rsidR="0018787E" w:rsidRPr="0018787E" w:rsidRDefault="0018787E" w:rsidP="0018787E">
            <w:pPr>
              <w:rPr>
                <w:sz w:val="18"/>
                <w:szCs w:val="18"/>
                <w:lang w:val="en-GB"/>
              </w:rPr>
            </w:pPr>
            <w:r w:rsidRPr="0018787E">
              <w:rPr>
                <w:sz w:val="18"/>
                <w:szCs w:val="18"/>
                <w:lang w:val="en-GB"/>
              </w:rPr>
              <w:t>Annually</w:t>
            </w:r>
          </w:p>
          <w:p w14:paraId="398D754D" w14:textId="77777777" w:rsidR="0018787E" w:rsidRPr="0018787E" w:rsidRDefault="0018787E" w:rsidP="0018787E">
            <w:pPr>
              <w:rPr>
                <w:sz w:val="18"/>
                <w:szCs w:val="18"/>
                <w:lang w:val="en-GB"/>
              </w:rPr>
            </w:pPr>
            <w:r w:rsidRPr="0018787E">
              <w:rPr>
                <w:sz w:val="18"/>
                <w:szCs w:val="18"/>
                <w:lang w:val="en-GB"/>
              </w:rPr>
              <w:br/>
            </w:r>
          </w:p>
          <w:p w14:paraId="02D9E7D0"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7C9ECC0F" w14:textId="77777777" w:rsidR="0018787E" w:rsidRPr="0018787E" w:rsidRDefault="0018787E" w:rsidP="0018787E">
            <w:pPr>
              <w:rPr>
                <w:sz w:val="18"/>
                <w:szCs w:val="18"/>
                <w:lang w:val="en-GB"/>
              </w:rPr>
            </w:pPr>
            <w:r w:rsidRPr="0018787E">
              <w:rPr>
                <w:sz w:val="18"/>
                <w:szCs w:val="18"/>
                <w:lang w:val="en-GB"/>
              </w:rPr>
              <w:t>National-level</w:t>
            </w:r>
          </w:p>
          <w:p w14:paraId="73074FD0" w14:textId="77777777" w:rsidR="0018787E" w:rsidRPr="0018787E" w:rsidRDefault="0018787E" w:rsidP="0018787E">
            <w:pPr>
              <w:rPr>
                <w:sz w:val="18"/>
                <w:szCs w:val="18"/>
                <w:lang w:val="en-GB"/>
              </w:rPr>
            </w:pPr>
          </w:p>
          <w:p w14:paraId="7A8DD2C6"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2DDBEBA5"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p w14:paraId="68EBDA34"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3B1EDEBF"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2A5427C5"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07F0E278" w14:textId="77777777" w:rsidTr="0018787E">
        <w:tc>
          <w:tcPr>
            <w:tcW w:w="1319" w:type="dxa"/>
            <w:vMerge/>
          </w:tcPr>
          <w:p w14:paraId="36900AF3" w14:textId="77777777" w:rsidR="0018787E" w:rsidRPr="0018787E" w:rsidRDefault="0018787E" w:rsidP="0018787E">
            <w:pPr>
              <w:rPr>
                <w:sz w:val="18"/>
                <w:szCs w:val="18"/>
                <w:lang w:val="en-GB"/>
              </w:rPr>
            </w:pPr>
          </w:p>
        </w:tc>
        <w:tc>
          <w:tcPr>
            <w:tcW w:w="1270" w:type="dxa"/>
          </w:tcPr>
          <w:p w14:paraId="4F00DEEC" w14:textId="77777777" w:rsidR="0018787E" w:rsidRPr="0018787E" w:rsidRDefault="0018787E" w:rsidP="0018787E">
            <w:pPr>
              <w:spacing w:before="40"/>
              <w:rPr>
                <w:bCs/>
                <w:sz w:val="18"/>
                <w:szCs w:val="18"/>
                <w:lang w:val="en-GB"/>
              </w:rPr>
            </w:pPr>
            <w:r w:rsidRPr="0018787E">
              <w:rPr>
                <w:bCs/>
                <w:sz w:val="18"/>
                <w:szCs w:val="18"/>
                <w:lang w:val="en-GB"/>
              </w:rPr>
              <w:t>Extent of demonstrable use of scientific knowledge exchanged during biennial conferences by central and provincial government agencies</w:t>
            </w:r>
          </w:p>
        </w:tc>
        <w:tc>
          <w:tcPr>
            <w:tcW w:w="1270" w:type="dxa"/>
          </w:tcPr>
          <w:p w14:paraId="6F74EAFC" w14:textId="77777777" w:rsidR="0018787E" w:rsidRPr="0018787E" w:rsidRDefault="0018787E" w:rsidP="0018787E">
            <w:pPr>
              <w:spacing w:before="40"/>
              <w:rPr>
                <w:sz w:val="18"/>
                <w:szCs w:val="18"/>
                <w:lang w:val="en-GB"/>
              </w:rPr>
            </w:pPr>
            <w:r w:rsidRPr="0018787E">
              <w:rPr>
                <w:sz w:val="18"/>
                <w:szCs w:val="18"/>
                <w:lang w:val="en-GB"/>
              </w:rPr>
              <w:t>Limited application of evidence-based approaches by central and provincial government agencies</w:t>
            </w:r>
          </w:p>
        </w:tc>
        <w:tc>
          <w:tcPr>
            <w:tcW w:w="1109" w:type="dxa"/>
          </w:tcPr>
          <w:p w14:paraId="7367AAEC" w14:textId="77777777" w:rsidR="0018787E" w:rsidRPr="0018787E" w:rsidRDefault="0018787E" w:rsidP="0018787E">
            <w:pPr>
              <w:spacing w:before="40"/>
              <w:rPr>
                <w:color w:val="FF0000"/>
                <w:sz w:val="18"/>
                <w:szCs w:val="18"/>
                <w:lang w:val="en-GB"/>
              </w:rPr>
            </w:pPr>
            <w:r w:rsidRPr="0018787E">
              <w:rPr>
                <w:sz w:val="18"/>
                <w:szCs w:val="18"/>
                <w:lang w:val="en-GB"/>
              </w:rPr>
              <w:t>First biennial Regional Scientific Conference convened</w:t>
            </w:r>
          </w:p>
        </w:tc>
        <w:tc>
          <w:tcPr>
            <w:tcW w:w="1291" w:type="dxa"/>
          </w:tcPr>
          <w:p w14:paraId="6B1516CB" w14:textId="77777777" w:rsidR="0018787E" w:rsidRPr="0018787E" w:rsidRDefault="0018787E" w:rsidP="0018787E">
            <w:pPr>
              <w:spacing w:before="40"/>
              <w:rPr>
                <w:sz w:val="18"/>
                <w:szCs w:val="18"/>
                <w:lang w:val="en-GB"/>
              </w:rPr>
            </w:pPr>
            <w:r w:rsidRPr="0018787E">
              <w:rPr>
                <w:sz w:val="18"/>
                <w:szCs w:val="18"/>
                <w:lang w:val="en-GB"/>
              </w:rPr>
              <w:t>Knowledge exchanges between government and scientific community through biennial Regional Scientific Conferences</w:t>
            </w:r>
          </w:p>
        </w:tc>
        <w:tc>
          <w:tcPr>
            <w:tcW w:w="1269" w:type="dxa"/>
          </w:tcPr>
          <w:p w14:paraId="23185BB7" w14:textId="77777777" w:rsidR="0018787E" w:rsidRPr="0018787E" w:rsidRDefault="0018787E" w:rsidP="0018787E">
            <w:pPr>
              <w:spacing w:before="40"/>
              <w:rPr>
                <w:bCs/>
                <w:sz w:val="18"/>
                <w:szCs w:val="18"/>
                <w:lang w:val="en-GB"/>
              </w:rPr>
            </w:pPr>
            <w:r w:rsidRPr="0018787E">
              <w:rPr>
                <w:bCs/>
                <w:sz w:val="18"/>
                <w:szCs w:val="18"/>
                <w:lang w:val="en-GB"/>
              </w:rPr>
              <w:t>Published reports of the Regional Scientific Conferences</w:t>
            </w:r>
          </w:p>
          <w:p w14:paraId="78833998" w14:textId="77777777" w:rsidR="0018787E" w:rsidRPr="0018787E" w:rsidRDefault="0018787E" w:rsidP="0018787E">
            <w:pPr>
              <w:spacing w:before="40"/>
              <w:rPr>
                <w:bCs/>
                <w:sz w:val="18"/>
                <w:szCs w:val="18"/>
                <w:lang w:val="en-GB"/>
              </w:rPr>
            </w:pPr>
          </w:p>
          <w:p w14:paraId="5D456C4F" w14:textId="77777777" w:rsidR="0018787E" w:rsidRPr="0018787E" w:rsidRDefault="0018787E" w:rsidP="0018787E">
            <w:pPr>
              <w:spacing w:before="40"/>
              <w:rPr>
                <w:bCs/>
                <w:sz w:val="18"/>
                <w:szCs w:val="18"/>
                <w:lang w:val="en-GB"/>
              </w:rPr>
            </w:pPr>
            <w:r w:rsidRPr="0018787E">
              <w:rPr>
                <w:bCs/>
                <w:sz w:val="18"/>
                <w:szCs w:val="18"/>
                <w:lang w:val="en-GB"/>
              </w:rPr>
              <w:t>Report on the uptake and use of regionally accumulated science</w:t>
            </w:r>
          </w:p>
        </w:tc>
        <w:tc>
          <w:tcPr>
            <w:tcW w:w="1440" w:type="dxa"/>
          </w:tcPr>
          <w:p w14:paraId="4B5908B6" w14:textId="77777777" w:rsidR="0018787E" w:rsidRPr="0018787E" w:rsidRDefault="0018787E" w:rsidP="0018787E">
            <w:pPr>
              <w:rPr>
                <w:sz w:val="18"/>
                <w:szCs w:val="18"/>
                <w:lang w:val="en-GB"/>
              </w:rPr>
            </w:pPr>
            <w:r w:rsidRPr="0018787E">
              <w:rPr>
                <w:sz w:val="18"/>
                <w:szCs w:val="18"/>
                <w:lang w:val="en-GB"/>
              </w:rPr>
              <w:t>Biennially</w:t>
            </w:r>
          </w:p>
          <w:p w14:paraId="31B00B2E" w14:textId="77777777" w:rsidR="0018787E" w:rsidRPr="0018787E" w:rsidRDefault="0018787E" w:rsidP="0018787E">
            <w:pPr>
              <w:rPr>
                <w:sz w:val="18"/>
                <w:szCs w:val="18"/>
                <w:lang w:val="en-GB"/>
              </w:rPr>
            </w:pPr>
            <w:r w:rsidRPr="0018787E">
              <w:rPr>
                <w:sz w:val="18"/>
                <w:szCs w:val="18"/>
                <w:lang w:val="en-GB"/>
              </w:rPr>
              <w:br/>
            </w:r>
          </w:p>
          <w:p w14:paraId="49A9AE1D" w14:textId="77777777" w:rsidR="0018787E" w:rsidRPr="0018787E" w:rsidRDefault="0018787E" w:rsidP="0018787E">
            <w:pPr>
              <w:rPr>
                <w:sz w:val="18"/>
                <w:szCs w:val="18"/>
                <w:lang w:val="en-GB"/>
              </w:rPr>
            </w:pPr>
            <w:r w:rsidRPr="0018787E">
              <w:rPr>
                <w:sz w:val="18"/>
                <w:szCs w:val="18"/>
                <w:lang w:val="en-GB"/>
              </w:rPr>
              <w:t>Biennially</w:t>
            </w:r>
          </w:p>
          <w:p w14:paraId="0D89768A" w14:textId="77777777" w:rsidR="0018787E" w:rsidRPr="0018787E" w:rsidRDefault="0018787E" w:rsidP="0018787E">
            <w:pPr>
              <w:rPr>
                <w:sz w:val="18"/>
                <w:szCs w:val="18"/>
                <w:lang w:val="en-GB"/>
              </w:rPr>
            </w:pPr>
          </w:p>
          <w:p w14:paraId="6D95441A" w14:textId="77777777" w:rsidR="0018787E" w:rsidRPr="0018787E" w:rsidRDefault="0018787E" w:rsidP="0018787E">
            <w:pPr>
              <w:rPr>
                <w:sz w:val="18"/>
                <w:szCs w:val="18"/>
                <w:lang w:val="en-GB"/>
              </w:rPr>
            </w:pPr>
          </w:p>
          <w:p w14:paraId="12628D96" w14:textId="77777777" w:rsidR="0018787E" w:rsidRPr="0018787E" w:rsidRDefault="0018787E" w:rsidP="0018787E">
            <w:pPr>
              <w:rPr>
                <w:sz w:val="18"/>
                <w:szCs w:val="18"/>
                <w:lang w:val="en-GB"/>
              </w:rPr>
            </w:pPr>
          </w:p>
          <w:p w14:paraId="69DE7BF2" w14:textId="77777777" w:rsidR="0018787E" w:rsidRPr="0018787E" w:rsidRDefault="0018787E" w:rsidP="0018787E">
            <w:pPr>
              <w:rPr>
                <w:sz w:val="18"/>
                <w:szCs w:val="18"/>
                <w:lang w:val="en-GB"/>
              </w:rPr>
            </w:pPr>
            <w:r w:rsidRPr="0018787E">
              <w:rPr>
                <w:sz w:val="18"/>
                <w:szCs w:val="18"/>
                <w:lang w:val="en-GB"/>
              </w:rPr>
              <w:t>Biennially</w:t>
            </w:r>
          </w:p>
        </w:tc>
        <w:tc>
          <w:tcPr>
            <w:tcW w:w="950" w:type="dxa"/>
          </w:tcPr>
          <w:p w14:paraId="1745E58F" w14:textId="77777777" w:rsidR="0018787E" w:rsidRPr="0018787E" w:rsidRDefault="0018787E" w:rsidP="0018787E">
            <w:pPr>
              <w:rPr>
                <w:sz w:val="18"/>
                <w:szCs w:val="18"/>
                <w:lang w:val="en-GB"/>
              </w:rPr>
            </w:pPr>
            <w:r w:rsidRPr="0018787E">
              <w:rPr>
                <w:sz w:val="18"/>
                <w:szCs w:val="18"/>
                <w:lang w:val="en-GB"/>
              </w:rPr>
              <w:t>National-level</w:t>
            </w:r>
          </w:p>
          <w:p w14:paraId="6F844EFA" w14:textId="77777777" w:rsidR="0018787E" w:rsidRPr="0018787E" w:rsidRDefault="0018787E" w:rsidP="0018787E">
            <w:pPr>
              <w:rPr>
                <w:sz w:val="18"/>
                <w:szCs w:val="18"/>
                <w:lang w:val="en-GB"/>
              </w:rPr>
            </w:pPr>
          </w:p>
          <w:p w14:paraId="41D6B738" w14:textId="77777777" w:rsidR="0018787E" w:rsidRPr="0018787E" w:rsidRDefault="0018787E" w:rsidP="0018787E">
            <w:pPr>
              <w:rPr>
                <w:sz w:val="18"/>
                <w:szCs w:val="18"/>
                <w:lang w:val="en-GB"/>
              </w:rPr>
            </w:pPr>
            <w:r w:rsidRPr="0018787E">
              <w:rPr>
                <w:sz w:val="18"/>
                <w:szCs w:val="18"/>
                <w:lang w:val="en-GB"/>
              </w:rPr>
              <w:t>Regional-level</w:t>
            </w:r>
          </w:p>
          <w:p w14:paraId="653FB67C" w14:textId="77777777" w:rsidR="0018787E" w:rsidRPr="0018787E" w:rsidRDefault="0018787E" w:rsidP="0018787E">
            <w:pPr>
              <w:rPr>
                <w:sz w:val="18"/>
                <w:szCs w:val="18"/>
                <w:lang w:val="en-GB"/>
              </w:rPr>
            </w:pPr>
          </w:p>
          <w:p w14:paraId="58489667" w14:textId="77777777" w:rsidR="0018787E" w:rsidRPr="0018787E" w:rsidRDefault="0018787E" w:rsidP="0018787E">
            <w:pPr>
              <w:rPr>
                <w:sz w:val="18"/>
                <w:szCs w:val="18"/>
                <w:lang w:val="en-GB"/>
              </w:rPr>
            </w:pPr>
          </w:p>
          <w:p w14:paraId="73BEC1B6"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781A4A37"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p w14:paraId="239E1DCA"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03E980F7"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30052826"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50E1F7EB"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31E8B043" w14:textId="77777777" w:rsidTr="0018787E">
        <w:tc>
          <w:tcPr>
            <w:tcW w:w="1319" w:type="dxa"/>
            <w:vMerge/>
          </w:tcPr>
          <w:p w14:paraId="3F2CBEE1" w14:textId="77777777" w:rsidR="0018787E" w:rsidRPr="0018787E" w:rsidRDefault="0018787E" w:rsidP="0018787E">
            <w:pPr>
              <w:rPr>
                <w:sz w:val="18"/>
                <w:szCs w:val="18"/>
                <w:lang w:val="en-GB"/>
              </w:rPr>
            </w:pPr>
          </w:p>
        </w:tc>
        <w:tc>
          <w:tcPr>
            <w:tcW w:w="1270" w:type="dxa"/>
          </w:tcPr>
          <w:p w14:paraId="32A39ACD" w14:textId="77777777" w:rsidR="0018787E" w:rsidRPr="0018787E" w:rsidRDefault="0018787E" w:rsidP="0018787E">
            <w:pPr>
              <w:spacing w:before="40"/>
              <w:rPr>
                <w:bCs/>
                <w:sz w:val="18"/>
                <w:szCs w:val="18"/>
                <w:lang w:val="en-GB"/>
              </w:rPr>
            </w:pPr>
            <w:r w:rsidRPr="0018787E">
              <w:rPr>
                <w:bCs/>
                <w:sz w:val="18"/>
                <w:szCs w:val="18"/>
                <w:lang w:val="en-GB"/>
              </w:rPr>
              <w:t>Number of Mayor’s Round-Table meetings convened</w:t>
            </w:r>
          </w:p>
          <w:p w14:paraId="497674E0" w14:textId="77777777" w:rsidR="0018787E" w:rsidRPr="0018787E" w:rsidRDefault="0018787E" w:rsidP="0018787E">
            <w:pPr>
              <w:spacing w:before="40"/>
              <w:rPr>
                <w:bCs/>
                <w:sz w:val="18"/>
                <w:szCs w:val="18"/>
                <w:lang w:val="en-GB"/>
              </w:rPr>
            </w:pPr>
          </w:p>
          <w:p w14:paraId="606E9D60" w14:textId="77777777" w:rsidR="0018787E" w:rsidRPr="0018787E" w:rsidRDefault="0018787E" w:rsidP="0018787E">
            <w:pPr>
              <w:spacing w:before="40"/>
              <w:rPr>
                <w:bCs/>
                <w:sz w:val="18"/>
                <w:szCs w:val="18"/>
                <w:lang w:val="en-GB"/>
              </w:rPr>
            </w:pPr>
            <w:r w:rsidRPr="0018787E">
              <w:rPr>
                <w:bCs/>
                <w:sz w:val="18"/>
                <w:szCs w:val="18"/>
                <w:lang w:val="en-GB"/>
              </w:rPr>
              <w:t>Number, scope &amp; reach of communications to raise local official awareness of best practices</w:t>
            </w:r>
          </w:p>
        </w:tc>
        <w:tc>
          <w:tcPr>
            <w:tcW w:w="1270" w:type="dxa"/>
          </w:tcPr>
          <w:p w14:paraId="0E984A37" w14:textId="77777777" w:rsidR="0018787E" w:rsidRPr="0018787E" w:rsidRDefault="0018787E" w:rsidP="0018787E">
            <w:pPr>
              <w:spacing w:before="40"/>
              <w:rPr>
                <w:sz w:val="18"/>
                <w:szCs w:val="18"/>
                <w:lang w:val="en-GB"/>
              </w:rPr>
            </w:pPr>
            <w:r w:rsidRPr="0018787E">
              <w:rPr>
                <w:sz w:val="18"/>
                <w:szCs w:val="18"/>
                <w:lang w:val="en-GB"/>
              </w:rPr>
              <w:t>Four Mayors Round-Table meetings convened during period 2005-2008 and documented as a key innovation for improving local relevance of action planning and M&amp;E</w:t>
            </w:r>
          </w:p>
        </w:tc>
        <w:tc>
          <w:tcPr>
            <w:tcW w:w="1109" w:type="dxa"/>
          </w:tcPr>
          <w:p w14:paraId="0363C766" w14:textId="77777777" w:rsidR="0018787E" w:rsidRPr="0018787E" w:rsidRDefault="0018787E" w:rsidP="0018787E">
            <w:pPr>
              <w:spacing w:before="40"/>
              <w:rPr>
                <w:sz w:val="18"/>
                <w:szCs w:val="18"/>
                <w:lang w:val="en-GB"/>
              </w:rPr>
            </w:pPr>
            <w:r w:rsidRPr="0018787E">
              <w:rPr>
                <w:sz w:val="18"/>
                <w:szCs w:val="18"/>
                <w:lang w:val="en-GB"/>
              </w:rPr>
              <w:t>Two (2) annual Mayor’s Round-Table meetings convened</w:t>
            </w:r>
          </w:p>
        </w:tc>
        <w:tc>
          <w:tcPr>
            <w:tcW w:w="1291" w:type="dxa"/>
          </w:tcPr>
          <w:p w14:paraId="25E53600" w14:textId="77777777" w:rsidR="0018787E" w:rsidRPr="0018787E" w:rsidRDefault="0018787E" w:rsidP="0018787E">
            <w:pPr>
              <w:spacing w:before="40"/>
              <w:rPr>
                <w:sz w:val="18"/>
                <w:szCs w:val="18"/>
                <w:lang w:val="en-GB"/>
              </w:rPr>
            </w:pPr>
            <w:r w:rsidRPr="0018787E">
              <w:rPr>
                <w:sz w:val="18"/>
                <w:szCs w:val="18"/>
                <w:lang w:val="en-GB"/>
              </w:rPr>
              <w:t>Best practice exchanges between local government officials and coastal managers on science-based management via annual Mayor’s Round-Table meetings</w:t>
            </w:r>
          </w:p>
        </w:tc>
        <w:tc>
          <w:tcPr>
            <w:tcW w:w="1269" w:type="dxa"/>
          </w:tcPr>
          <w:p w14:paraId="65555C57" w14:textId="77777777" w:rsidR="0018787E" w:rsidRPr="0018787E" w:rsidRDefault="0018787E" w:rsidP="0018787E">
            <w:pPr>
              <w:spacing w:before="40"/>
              <w:rPr>
                <w:sz w:val="18"/>
                <w:szCs w:val="18"/>
                <w:lang w:val="en-GB"/>
              </w:rPr>
            </w:pPr>
            <w:r w:rsidRPr="0018787E">
              <w:rPr>
                <w:sz w:val="18"/>
                <w:szCs w:val="18"/>
                <w:lang w:val="en-GB"/>
              </w:rPr>
              <w:t>Reports of Mayor’s Round-Table Meetings, including documented evidence of behaviour change as a result of exposure to best practice guidance</w:t>
            </w:r>
          </w:p>
        </w:tc>
        <w:tc>
          <w:tcPr>
            <w:tcW w:w="1440" w:type="dxa"/>
          </w:tcPr>
          <w:p w14:paraId="16C4543E" w14:textId="77777777" w:rsidR="0018787E" w:rsidRPr="0018787E" w:rsidRDefault="0018787E" w:rsidP="0018787E">
            <w:pPr>
              <w:rPr>
                <w:sz w:val="18"/>
                <w:szCs w:val="18"/>
                <w:lang w:val="en-GB"/>
              </w:rPr>
            </w:pPr>
            <w:r w:rsidRPr="0018787E">
              <w:rPr>
                <w:sz w:val="18"/>
                <w:szCs w:val="18"/>
                <w:lang w:val="en-GB"/>
              </w:rPr>
              <w:t>Annually</w:t>
            </w:r>
          </w:p>
          <w:p w14:paraId="04E091D0" w14:textId="77777777" w:rsidR="0018787E" w:rsidRPr="0018787E" w:rsidRDefault="0018787E" w:rsidP="0018787E">
            <w:pPr>
              <w:rPr>
                <w:sz w:val="18"/>
                <w:szCs w:val="18"/>
                <w:lang w:val="en-GB"/>
              </w:rPr>
            </w:pPr>
            <w:r w:rsidRPr="0018787E">
              <w:rPr>
                <w:sz w:val="18"/>
                <w:szCs w:val="18"/>
                <w:lang w:val="en-GB"/>
              </w:rPr>
              <w:br/>
            </w:r>
          </w:p>
          <w:p w14:paraId="36469063" w14:textId="77777777" w:rsidR="0018787E" w:rsidRPr="0018787E" w:rsidRDefault="0018787E" w:rsidP="0018787E">
            <w:pPr>
              <w:rPr>
                <w:sz w:val="18"/>
                <w:szCs w:val="18"/>
                <w:lang w:val="en-GB"/>
              </w:rPr>
            </w:pPr>
            <w:r w:rsidRPr="0018787E">
              <w:rPr>
                <w:sz w:val="18"/>
                <w:szCs w:val="18"/>
                <w:lang w:val="en-GB"/>
              </w:rPr>
              <w:t>Annually</w:t>
            </w:r>
          </w:p>
          <w:p w14:paraId="4C1DE5CE" w14:textId="77777777" w:rsidR="0018787E" w:rsidRPr="0018787E" w:rsidRDefault="0018787E" w:rsidP="0018787E">
            <w:pPr>
              <w:rPr>
                <w:sz w:val="18"/>
                <w:szCs w:val="18"/>
                <w:lang w:val="en-GB"/>
              </w:rPr>
            </w:pPr>
          </w:p>
          <w:p w14:paraId="3205E063" w14:textId="77777777" w:rsidR="0018787E" w:rsidRPr="0018787E" w:rsidRDefault="0018787E" w:rsidP="0018787E">
            <w:pPr>
              <w:rPr>
                <w:sz w:val="18"/>
                <w:szCs w:val="18"/>
                <w:lang w:val="en-GB"/>
              </w:rPr>
            </w:pPr>
          </w:p>
          <w:p w14:paraId="267DF38F" w14:textId="77777777" w:rsidR="0018787E" w:rsidRPr="0018787E" w:rsidRDefault="0018787E" w:rsidP="0018787E">
            <w:pPr>
              <w:rPr>
                <w:sz w:val="18"/>
                <w:szCs w:val="18"/>
                <w:lang w:val="en-GB"/>
              </w:rPr>
            </w:pPr>
          </w:p>
          <w:p w14:paraId="48F57443"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0B7A1AD7" w14:textId="77777777" w:rsidR="0018787E" w:rsidRPr="0018787E" w:rsidRDefault="0018787E" w:rsidP="0018787E">
            <w:pPr>
              <w:rPr>
                <w:sz w:val="18"/>
                <w:szCs w:val="18"/>
                <w:lang w:val="en-GB"/>
              </w:rPr>
            </w:pPr>
            <w:r w:rsidRPr="0018787E">
              <w:rPr>
                <w:sz w:val="18"/>
                <w:szCs w:val="18"/>
                <w:lang w:val="en-GB"/>
              </w:rPr>
              <w:t>National-level</w:t>
            </w:r>
          </w:p>
          <w:p w14:paraId="66645E2E" w14:textId="77777777" w:rsidR="0018787E" w:rsidRPr="0018787E" w:rsidRDefault="0018787E" w:rsidP="0018787E">
            <w:pPr>
              <w:rPr>
                <w:sz w:val="18"/>
                <w:szCs w:val="18"/>
                <w:lang w:val="en-GB"/>
              </w:rPr>
            </w:pPr>
          </w:p>
          <w:p w14:paraId="337DEDC4" w14:textId="77777777" w:rsidR="0018787E" w:rsidRPr="0018787E" w:rsidRDefault="0018787E" w:rsidP="0018787E">
            <w:pPr>
              <w:rPr>
                <w:sz w:val="18"/>
                <w:szCs w:val="18"/>
                <w:lang w:val="en-GB"/>
              </w:rPr>
            </w:pPr>
            <w:r w:rsidRPr="0018787E">
              <w:rPr>
                <w:sz w:val="18"/>
                <w:szCs w:val="18"/>
                <w:lang w:val="en-GB"/>
              </w:rPr>
              <w:t>Regional-level</w:t>
            </w:r>
          </w:p>
          <w:p w14:paraId="011756FE" w14:textId="77777777" w:rsidR="0018787E" w:rsidRPr="0018787E" w:rsidRDefault="0018787E" w:rsidP="0018787E">
            <w:pPr>
              <w:rPr>
                <w:sz w:val="18"/>
                <w:szCs w:val="18"/>
                <w:lang w:val="en-GB"/>
              </w:rPr>
            </w:pPr>
          </w:p>
          <w:p w14:paraId="7770F921" w14:textId="77777777" w:rsidR="0018787E" w:rsidRPr="0018787E" w:rsidRDefault="0018787E" w:rsidP="0018787E">
            <w:pPr>
              <w:rPr>
                <w:sz w:val="18"/>
                <w:szCs w:val="18"/>
                <w:lang w:val="en-GB"/>
              </w:rPr>
            </w:pPr>
          </w:p>
          <w:p w14:paraId="4412634C"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107826D1"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p w14:paraId="6C75C8F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7DAC5A10"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58081504"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491B285F"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2D402E3D" w14:textId="77777777" w:rsidTr="0018787E">
        <w:tc>
          <w:tcPr>
            <w:tcW w:w="1319" w:type="dxa"/>
            <w:vMerge/>
          </w:tcPr>
          <w:p w14:paraId="46BEB575" w14:textId="77777777" w:rsidR="0018787E" w:rsidRPr="0018787E" w:rsidRDefault="0018787E" w:rsidP="0018787E">
            <w:pPr>
              <w:rPr>
                <w:sz w:val="18"/>
                <w:szCs w:val="18"/>
                <w:lang w:val="en-GB"/>
              </w:rPr>
            </w:pPr>
          </w:p>
        </w:tc>
        <w:tc>
          <w:tcPr>
            <w:tcW w:w="1270" w:type="dxa"/>
          </w:tcPr>
          <w:p w14:paraId="1D442F69" w14:textId="77777777" w:rsidR="0018787E" w:rsidRPr="0018787E" w:rsidRDefault="0018787E" w:rsidP="0018787E">
            <w:pPr>
              <w:spacing w:before="40"/>
              <w:rPr>
                <w:sz w:val="18"/>
                <w:szCs w:val="18"/>
                <w:lang w:val="en-GB"/>
              </w:rPr>
            </w:pPr>
            <w:r w:rsidRPr="0018787E">
              <w:rPr>
                <w:bCs/>
                <w:sz w:val="18"/>
                <w:szCs w:val="18"/>
                <w:lang w:val="en-GB"/>
              </w:rPr>
              <w:t>Status of bilateral cooperation for transboundary resource management between (a) Cambodia and Vietnam and (b) Cambodia and Thailand</w:t>
            </w:r>
          </w:p>
        </w:tc>
        <w:tc>
          <w:tcPr>
            <w:tcW w:w="1270" w:type="dxa"/>
          </w:tcPr>
          <w:p w14:paraId="5BDB83D1" w14:textId="77777777" w:rsidR="0018787E" w:rsidRPr="0018787E" w:rsidRDefault="0018787E" w:rsidP="0018787E">
            <w:pPr>
              <w:spacing w:before="40"/>
              <w:rPr>
                <w:sz w:val="18"/>
                <w:szCs w:val="18"/>
                <w:lang w:val="en-GB"/>
              </w:rPr>
            </w:pPr>
            <w:r w:rsidRPr="0018787E">
              <w:rPr>
                <w:sz w:val="18"/>
                <w:szCs w:val="18"/>
                <w:lang w:val="en-GB"/>
              </w:rPr>
              <w:t>Bilateral cooperation between Cambodia and Vietnam initiated during the period 2007-2008 although this has stagnated as a result of a lack of regional coordination support</w:t>
            </w:r>
          </w:p>
        </w:tc>
        <w:tc>
          <w:tcPr>
            <w:tcW w:w="1109" w:type="dxa"/>
          </w:tcPr>
          <w:p w14:paraId="0F5CDD5E" w14:textId="77777777" w:rsidR="0018787E" w:rsidRPr="0018787E" w:rsidRDefault="0018787E" w:rsidP="0018787E">
            <w:pPr>
              <w:rPr>
                <w:color w:val="FF0000"/>
                <w:sz w:val="18"/>
                <w:szCs w:val="18"/>
                <w:lang w:val="en-GB"/>
              </w:rPr>
            </w:pPr>
            <w:r w:rsidRPr="0018787E">
              <w:rPr>
                <w:sz w:val="18"/>
                <w:szCs w:val="18"/>
                <w:lang w:val="en-GB"/>
              </w:rPr>
              <w:t>Consultative processes initiated</w:t>
            </w:r>
          </w:p>
        </w:tc>
        <w:tc>
          <w:tcPr>
            <w:tcW w:w="1291" w:type="dxa"/>
          </w:tcPr>
          <w:p w14:paraId="78A51CF6" w14:textId="77777777" w:rsidR="0018787E" w:rsidRPr="0018787E" w:rsidRDefault="0018787E" w:rsidP="0018787E">
            <w:pPr>
              <w:spacing w:before="40"/>
              <w:rPr>
                <w:sz w:val="18"/>
                <w:szCs w:val="18"/>
                <w:lang w:val="en-GB"/>
              </w:rPr>
            </w:pPr>
            <w:r w:rsidRPr="0018787E">
              <w:rPr>
                <w:sz w:val="18"/>
                <w:szCs w:val="18"/>
                <w:lang w:val="en-GB"/>
              </w:rPr>
              <w:t>Memoranda of Agreement for joint management of 2 priority transboundary water areas agreed &amp; implemented</w:t>
            </w:r>
          </w:p>
        </w:tc>
        <w:tc>
          <w:tcPr>
            <w:tcW w:w="1269" w:type="dxa"/>
          </w:tcPr>
          <w:p w14:paraId="715503F2" w14:textId="77777777" w:rsidR="0018787E" w:rsidRPr="0018787E" w:rsidRDefault="0018787E" w:rsidP="0018787E">
            <w:pPr>
              <w:spacing w:before="40"/>
              <w:rPr>
                <w:sz w:val="18"/>
                <w:szCs w:val="18"/>
                <w:lang w:val="en-GB"/>
              </w:rPr>
            </w:pPr>
            <w:r w:rsidRPr="0018787E">
              <w:rPr>
                <w:bCs/>
                <w:sz w:val="18"/>
                <w:szCs w:val="18"/>
                <w:lang w:val="en-GB"/>
              </w:rPr>
              <w:t>Signed Memoranda of Agreement outlining agreed joint actions for transboundary coastal resource management</w:t>
            </w:r>
          </w:p>
        </w:tc>
        <w:tc>
          <w:tcPr>
            <w:tcW w:w="1440" w:type="dxa"/>
          </w:tcPr>
          <w:p w14:paraId="65856169" w14:textId="77777777" w:rsidR="0018787E" w:rsidRPr="0018787E" w:rsidRDefault="0018787E" w:rsidP="0018787E">
            <w:pPr>
              <w:rPr>
                <w:sz w:val="18"/>
                <w:szCs w:val="18"/>
                <w:lang w:val="en-GB"/>
              </w:rPr>
            </w:pPr>
            <w:r w:rsidRPr="0018787E">
              <w:rPr>
                <w:sz w:val="18"/>
                <w:szCs w:val="18"/>
                <w:lang w:val="en-GB"/>
              </w:rPr>
              <w:t>Annually</w:t>
            </w:r>
          </w:p>
          <w:p w14:paraId="48F6D4C8" w14:textId="77777777" w:rsidR="0018787E" w:rsidRPr="0018787E" w:rsidRDefault="0018787E" w:rsidP="0018787E">
            <w:pPr>
              <w:rPr>
                <w:sz w:val="18"/>
                <w:szCs w:val="18"/>
                <w:lang w:val="en-GB"/>
              </w:rPr>
            </w:pPr>
            <w:r w:rsidRPr="0018787E">
              <w:rPr>
                <w:sz w:val="18"/>
                <w:szCs w:val="18"/>
                <w:lang w:val="en-GB"/>
              </w:rPr>
              <w:br/>
            </w:r>
          </w:p>
          <w:p w14:paraId="404DDC1D" w14:textId="77777777" w:rsidR="0018787E" w:rsidRPr="0018787E" w:rsidRDefault="0018787E" w:rsidP="0018787E">
            <w:pPr>
              <w:rPr>
                <w:sz w:val="18"/>
                <w:szCs w:val="18"/>
                <w:lang w:val="en-GB"/>
              </w:rPr>
            </w:pPr>
            <w:r w:rsidRPr="0018787E">
              <w:rPr>
                <w:sz w:val="18"/>
                <w:szCs w:val="18"/>
                <w:lang w:val="en-GB"/>
              </w:rPr>
              <w:t>Annually</w:t>
            </w:r>
          </w:p>
          <w:p w14:paraId="06022E1D" w14:textId="77777777" w:rsidR="0018787E" w:rsidRPr="0018787E" w:rsidRDefault="0018787E" w:rsidP="0018787E">
            <w:pPr>
              <w:rPr>
                <w:sz w:val="18"/>
                <w:szCs w:val="18"/>
                <w:lang w:val="en-GB"/>
              </w:rPr>
            </w:pPr>
          </w:p>
          <w:p w14:paraId="1CAFBF64" w14:textId="77777777" w:rsidR="0018787E" w:rsidRPr="0018787E" w:rsidRDefault="0018787E" w:rsidP="0018787E">
            <w:pPr>
              <w:rPr>
                <w:sz w:val="18"/>
                <w:szCs w:val="18"/>
                <w:lang w:val="en-GB"/>
              </w:rPr>
            </w:pPr>
          </w:p>
          <w:p w14:paraId="1D4E234A" w14:textId="77777777" w:rsidR="0018787E" w:rsidRPr="0018787E" w:rsidRDefault="0018787E" w:rsidP="0018787E">
            <w:pPr>
              <w:rPr>
                <w:sz w:val="18"/>
                <w:szCs w:val="18"/>
                <w:lang w:val="en-GB"/>
              </w:rPr>
            </w:pPr>
          </w:p>
          <w:p w14:paraId="59AC9E0E"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4E386690" w14:textId="77777777" w:rsidR="0018787E" w:rsidRPr="0018787E" w:rsidRDefault="0018787E" w:rsidP="0018787E">
            <w:pPr>
              <w:rPr>
                <w:sz w:val="18"/>
                <w:szCs w:val="18"/>
                <w:lang w:val="en-GB"/>
              </w:rPr>
            </w:pPr>
            <w:r w:rsidRPr="0018787E">
              <w:rPr>
                <w:sz w:val="18"/>
                <w:szCs w:val="18"/>
                <w:lang w:val="en-GB"/>
              </w:rPr>
              <w:t>National-level</w:t>
            </w:r>
          </w:p>
          <w:p w14:paraId="64C3763B" w14:textId="77777777" w:rsidR="0018787E" w:rsidRPr="0018787E" w:rsidRDefault="0018787E" w:rsidP="0018787E">
            <w:pPr>
              <w:rPr>
                <w:sz w:val="18"/>
                <w:szCs w:val="18"/>
                <w:lang w:val="en-GB"/>
              </w:rPr>
            </w:pPr>
          </w:p>
          <w:p w14:paraId="399BA00F" w14:textId="77777777" w:rsidR="0018787E" w:rsidRPr="0018787E" w:rsidRDefault="0018787E" w:rsidP="0018787E">
            <w:pPr>
              <w:rPr>
                <w:sz w:val="18"/>
                <w:szCs w:val="18"/>
                <w:lang w:val="en-GB"/>
              </w:rPr>
            </w:pPr>
            <w:r w:rsidRPr="0018787E">
              <w:rPr>
                <w:sz w:val="18"/>
                <w:szCs w:val="18"/>
                <w:lang w:val="en-GB"/>
              </w:rPr>
              <w:t>Regional-level</w:t>
            </w:r>
          </w:p>
          <w:p w14:paraId="22582522" w14:textId="77777777" w:rsidR="0018787E" w:rsidRPr="0018787E" w:rsidRDefault="0018787E" w:rsidP="0018787E">
            <w:pPr>
              <w:rPr>
                <w:sz w:val="18"/>
                <w:szCs w:val="18"/>
                <w:lang w:val="en-GB"/>
              </w:rPr>
            </w:pPr>
          </w:p>
          <w:p w14:paraId="2A956058" w14:textId="77777777" w:rsidR="0018787E" w:rsidRPr="0018787E" w:rsidRDefault="0018787E" w:rsidP="0018787E">
            <w:pPr>
              <w:rPr>
                <w:sz w:val="18"/>
                <w:szCs w:val="18"/>
                <w:lang w:val="en-GB"/>
              </w:rPr>
            </w:pPr>
          </w:p>
          <w:p w14:paraId="3F9DE563"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2775E381"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p w14:paraId="70A58BD9"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19F308AF"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1BA0D700"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0464E209"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7B41DD1C" w14:textId="77777777" w:rsidTr="0018787E">
        <w:tc>
          <w:tcPr>
            <w:tcW w:w="1319" w:type="dxa"/>
            <w:vMerge/>
          </w:tcPr>
          <w:p w14:paraId="123AB221" w14:textId="77777777" w:rsidR="0018787E" w:rsidRPr="0018787E" w:rsidRDefault="0018787E" w:rsidP="0018787E">
            <w:pPr>
              <w:rPr>
                <w:sz w:val="18"/>
                <w:szCs w:val="18"/>
                <w:lang w:val="en-GB"/>
              </w:rPr>
            </w:pPr>
          </w:p>
        </w:tc>
        <w:tc>
          <w:tcPr>
            <w:tcW w:w="1270" w:type="dxa"/>
          </w:tcPr>
          <w:p w14:paraId="70D058E7" w14:textId="77777777" w:rsidR="0018787E" w:rsidRPr="0018787E" w:rsidRDefault="0018787E" w:rsidP="0018787E">
            <w:pPr>
              <w:spacing w:before="40"/>
              <w:rPr>
                <w:bCs/>
                <w:sz w:val="18"/>
                <w:szCs w:val="18"/>
                <w:lang w:val="en-GB"/>
              </w:rPr>
            </w:pPr>
            <w:r w:rsidRPr="0018787E">
              <w:rPr>
                <w:bCs/>
                <w:sz w:val="18"/>
                <w:szCs w:val="18"/>
                <w:lang w:val="en-GB"/>
              </w:rPr>
              <w:t>Extent of joint planning by both projects</w:t>
            </w:r>
          </w:p>
          <w:p w14:paraId="03EF899C" w14:textId="77777777" w:rsidR="0018787E" w:rsidRPr="0018787E" w:rsidRDefault="0018787E" w:rsidP="0018787E">
            <w:pPr>
              <w:spacing w:before="40"/>
              <w:rPr>
                <w:bCs/>
                <w:sz w:val="18"/>
                <w:szCs w:val="18"/>
                <w:lang w:val="en-GB"/>
              </w:rPr>
            </w:pPr>
          </w:p>
          <w:p w14:paraId="177EEA89" w14:textId="77777777" w:rsidR="0018787E" w:rsidRPr="0018787E" w:rsidRDefault="0018787E" w:rsidP="0018787E">
            <w:pPr>
              <w:spacing w:before="40"/>
              <w:rPr>
                <w:bCs/>
                <w:sz w:val="18"/>
                <w:szCs w:val="18"/>
                <w:lang w:val="en-GB"/>
              </w:rPr>
            </w:pPr>
            <w:r w:rsidRPr="0018787E">
              <w:rPr>
                <w:bCs/>
                <w:sz w:val="18"/>
                <w:szCs w:val="18"/>
                <w:lang w:val="en-GB"/>
              </w:rPr>
              <w:t>Number of best practices and lessons learned captured from the fisheries refugia project</w:t>
            </w:r>
          </w:p>
        </w:tc>
        <w:tc>
          <w:tcPr>
            <w:tcW w:w="1270" w:type="dxa"/>
          </w:tcPr>
          <w:p w14:paraId="7AF83A78" w14:textId="77777777" w:rsidR="0018787E" w:rsidRPr="0018787E" w:rsidRDefault="0018787E" w:rsidP="0018787E">
            <w:pPr>
              <w:spacing w:before="40"/>
              <w:rPr>
                <w:sz w:val="18"/>
                <w:szCs w:val="18"/>
                <w:lang w:val="en-GB"/>
              </w:rPr>
            </w:pPr>
            <w:r w:rsidRPr="0018787E">
              <w:rPr>
                <w:sz w:val="18"/>
                <w:szCs w:val="18"/>
                <w:lang w:val="en-GB"/>
              </w:rPr>
              <w:t>Execution of the UNEP/GEF Fisheries Refugia project to commence in Q3 of 2016 through SEAFEDC and national fisheries agencies</w:t>
            </w:r>
          </w:p>
        </w:tc>
        <w:tc>
          <w:tcPr>
            <w:tcW w:w="1109" w:type="dxa"/>
          </w:tcPr>
          <w:p w14:paraId="1FE81059" w14:textId="77777777" w:rsidR="0018787E" w:rsidRPr="0018787E" w:rsidRDefault="0018787E" w:rsidP="0018787E">
            <w:pPr>
              <w:rPr>
                <w:sz w:val="18"/>
                <w:szCs w:val="18"/>
                <w:lang w:val="en-GB"/>
              </w:rPr>
            </w:pPr>
            <w:r w:rsidRPr="0018787E">
              <w:rPr>
                <w:sz w:val="18"/>
                <w:szCs w:val="18"/>
                <w:lang w:val="en-GB"/>
              </w:rPr>
              <w:t>Annual joint planning exercises initiated and resulting in demonstrable sharing of best practices and lessons learned</w:t>
            </w:r>
          </w:p>
        </w:tc>
        <w:tc>
          <w:tcPr>
            <w:tcW w:w="1291" w:type="dxa"/>
          </w:tcPr>
          <w:p w14:paraId="24C7D876" w14:textId="77777777" w:rsidR="0018787E" w:rsidRPr="0018787E" w:rsidRDefault="0018787E" w:rsidP="0018787E">
            <w:pPr>
              <w:spacing w:before="40"/>
              <w:rPr>
                <w:sz w:val="18"/>
                <w:szCs w:val="18"/>
                <w:lang w:val="en-GB"/>
              </w:rPr>
            </w:pPr>
            <w:r w:rsidRPr="0018787E">
              <w:rPr>
                <w:sz w:val="18"/>
                <w:szCs w:val="18"/>
                <w:lang w:val="en-GB"/>
              </w:rPr>
              <w:t>Cooperation with the GEF fisheries refugia project and other relevant regional initiatives</w:t>
            </w:r>
          </w:p>
        </w:tc>
        <w:tc>
          <w:tcPr>
            <w:tcW w:w="1269" w:type="dxa"/>
          </w:tcPr>
          <w:p w14:paraId="21C7EE33" w14:textId="77777777" w:rsidR="0018787E" w:rsidRPr="0018787E" w:rsidRDefault="0018787E" w:rsidP="0018787E">
            <w:pPr>
              <w:spacing w:before="40"/>
              <w:rPr>
                <w:sz w:val="18"/>
                <w:szCs w:val="18"/>
                <w:lang w:val="en-GB"/>
              </w:rPr>
            </w:pPr>
            <w:r w:rsidRPr="0018787E">
              <w:rPr>
                <w:sz w:val="18"/>
                <w:szCs w:val="18"/>
                <w:lang w:val="en-GB"/>
              </w:rPr>
              <w:t>Reports of joint planning meeting</w:t>
            </w:r>
          </w:p>
          <w:p w14:paraId="0E09F15F" w14:textId="77777777" w:rsidR="0018787E" w:rsidRPr="0018787E" w:rsidRDefault="0018787E" w:rsidP="0018787E">
            <w:pPr>
              <w:spacing w:before="40"/>
              <w:rPr>
                <w:sz w:val="18"/>
                <w:szCs w:val="18"/>
                <w:lang w:val="en-GB"/>
              </w:rPr>
            </w:pPr>
          </w:p>
          <w:p w14:paraId="2E7D90FF" w14:textId="77777777" w:rsidR="0018787E" w:rsidRPr="0018787E" w:rsidRDefault="0018787E" w:rsidP="0018787E">
            <w:pPr>
              <w:spacing w:before="40"/>
              <w:rPr>
                <w:sz w:val="18"/>
                <w:szCs w:val="18"/>
                <w:lang w:val="en-GB"/>
              </w:rPr>
            </w:pPr>
            <w:r w:rsidRPr="0018787E">
              <w:rPr>
                <w:sz w:val="18"/>
                <w:szCs w:val="18"/>
                <w:lang w:val="en-GB"/>
              </w:rPr>
              <w:t>Published revised NAPs and SAP containing section on lessons from fisheries refugia project</w:t>
            </w:r>
          </w:p>
        </w:tc>
        <w:tc>
          <w:tcPr>
            <w:tcW w:w="1440" w:type="dxa"/>
          </w:tcPr>
          <w:p w14:paraId="2230450E" w14:textId="77777777" w:rsidR="0018787E" w:rsidRPr="0018787E" w:rsidRDefault="0018787E" w:rsidP="0018787E">
            <w:pPr>
              <w:rPr>
                <w:sz w:val="18"/>
                <w:szCs w:val="18"/>
                <w:lang w:val="en-GB"/>
              </w:rPr>
            </w:pPr>
            <w:r w:rsidRPr="0018787E">
              <w:rPr>
                <w:sz w:val="18"/>
                <w:szCs w:val="18"/>
                <w:lang w:val="en-GB"/>
              </w:rPr>
              <w:t>Annually</w:t>
            </w:r>
          </w:p>
          <w:p w14:paraId="30D5E954" w14:textId="77777777" w:rsidR="0018787E" w:rsidRPr="0018787E" w:rsidRDefault="0018787E" w:rsidP="0018787E">
            <w:pPr>
              <w:rPr>
                <w:sz w:val="18"/>
                <w:szCs w:val="18"/>
                <w:lang w:val="en-GB"/>
              </w:rPr>
            </w:pPr>
            <w:r w:rsidRPr="0018787E">
              <w:rPr>
                <w:sz w:val="18"/>
                <w:szCs w:val="18"/>
                <w:lang w:val="en-GB"/>
              </w:rPr>
              <w:br/>
            </w:r>
          </w:p>
          <w:p w14:paraId="1964FAAF" w14:textId="77777777" w:rsidR="0018787E" w:rsidRPr="0018787E" w:rsidRDefault="0018787E" w:rsidP="0018787E">
            <w:pPr>
              <w:rPr>
                <w:sz w:val="18"/>
                <w:szCs w:val="18"/>
                <w:lang w:val="en-GB"/>
              </w:rPr>
            </w:pPr>
            <w:r w:rsidRPr="0018787E">
              <w:rPr>
                <w:sz w:val="18"/>
                <w:szCs w:val="18"/>
                <w:lang w:val="en-GB"/>
              </w:rPr>
              <w:t>Annually</w:t>
            </w:r>
          </w:p>
          <w:p w14:paraId="51F1C3C5" w14:textId="77777777" w:rsidR="0018787E" w:rsidRPr="0018787E" w:rsidRDefault="0018787E" w:rsidP="0018787E">
            <w:pPr>
              <w:rPr>
                <w:sz w:val="18"/>
                <w:szCs w:val="18"/>
                <w:lang w:val="en-GB"/>
              </w:rPr>
            </w:pPr>
          </w:p>
          <w:p w14:paraId="42F03F3F" w14:textId="77777777" w:rsidR="0018787E" w:rsidRPr="0018787E" w:rsidRDefault="0018787E" w:rsidP="0018787E">
            <w:pPr>
              <w:rPr>
                <w:sz w:val="18"/>
                <w:szCs w:val="18"/>
                <w:lang w:val="en-GB"/>
              </w:rPr>
            </w:pPr>
          </w:p>
          <w:p w14:paraId="15B73632" w14:textId="77777777" w:rsidR="0018787E" w:rsidRPr="0018787E" w:rsidRDefault="0018787E" w:rsidP="0018787E">
            <w:pPr>
              <w:rPr>
                <w:sz w:val="18"/>
                <w:szCs w:val="18"/>
                <w:lang w:val="en-GB"/>
              </w:rPr>
            </w:pPr>
          </w:p>
          <w:p w14:paraId="30A6DBA1"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0C448390" w14:textId="77777777" w:rsidR="0018787E" w:rsidRPr="0018787E" w:rsidRDefault="0018787E" w:rsidP="0018787E">
            <w:pPr>
              <w:rPr>
                <w:sz w:val="18"/>
                <w:szCs w:val="18"/>
                <w:lang w:val="en-GB"/>
              </w:rPr>
            </w:pPr>
            <w:r w:rsidRPr="0018787E">
              <w:rPr>
                <w:sz w:val="18"/>
                <w:szCs w:val="18"/>
                <w:lang w:val="en-GB"/>
              </w:rPr>
              <w:t>National-level</w:t>
            </w:r>
          </w:p>
          <w:p w14:paraId="3B77D725" w14:textId="77777777" w:rsidR="0018787E" w:rsidRPr="0018787E" w:rsidRDefault="0018787E" w:rsidP="0018787E">
            <w:pPr>
              <w:rPr>
                <w:sz w:val="18"/>
                <w:szCs w:val="18"/>
                <w:lang w:val="en-GB"/>
              </w:rPr>
            </w:pPr>
          </w:p>
          <w:p w14:paraId="7F858A3E" w14:textId="77777777" w:rsidR="0018787E" w:rsidRPr="0018787E" w:rsidRDefault="0018787E" w:rsidP="0018787E">
            <w:pPr>
              <w:rPr>
                <w:sz w:val="18"/>
                <w:szCs w:val="18"/>
                <w:lang w:val="en-GB"/>
              </w:rPr>
            </w:pPr>
            <w:r w:rsidRPr="0018787E">
              <w:rPr>
                <w:sz w:val="18"/>
                <w:szCs w:val="18"/>
                <w:lang w:val="en-GB"/>
              </w:rPr>
              <w:t>Regional-level</w:t>
            </w:r>
          </w:p>
          <w:p w14:paraId="41156AA1" w14:textId="77777777" w:rsidR="0018787E" w:rsidRPr="0018787E" w:rsidRDefault="0018787E" w:rsidP="0018787E">
            <w:pPr>
              <w:rPr>
                <w:sz w:val="18"/>
                <w:szCs w:val="18"/>
                <w:lang w:val="en-GB"/>
              </w:rPr>
            </w:pPr>
          </w:p>
          <w:p w14:paraId="6DA870F0" w14:textId="77777777" w:rsidR="0018787E" w:rsidRPr="0018787E" w:rsidRDefault="0018787E" w:rsidP="0018787E">
            <w:pPr>
              <w:rPr>
                <w:sz w:val="18"/>
                <w:szCs w:val="18"/>
                <w:lang w:val="en-GB"/>
              </w:rPr>
            </w:pPr>
          </w:p>
          <w:p w14:paraId="720187D8"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3FC54F99"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p w14:paraId="0F8B6A3D"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72776ED6"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6AE40F49"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4A2B53FD"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0A80881C" w14:textId="77777777" w:rsidTr="0018787E">
        <w:tc>
          <w:tcPr>
            <w:tcW w:w="1319" w:type="dxa"/>
            <w:vMerge/>
          </w:tcPr>
          <w:p w14:paraId="28CC70F6" w14:textId="77777777" w:rsidR="0018787E" w:rsidRPr="0018787E" w:rsidRDefault="0018787E" w:rsidP="0018787E">
            <w:pPr>
              <w:rPr>
                <w:sz w:val="18"/>
                <w:szCs w:val="18"/>
                <w:lang w:val="en-GB"/>
              </w:rPr>
            </w:pPr>
          </w:p>
        </w:tc>
        <w:tc>
          <w:tcPr>
            <w:tcW w:w="1270" w:type="dxa"/>
          </w:tcPr>
          <w:p w14:paraId="46165586" w14:textId="77777777" w:rsidR="0018787E" w:rsidRPr="0018787E" w:rsidRDefault="0018787E" w:rsidP="0018787E">
            <w:pPr>
              <w:spacing w:before="40"/>
              <w:rPr>
                <w:bCs/>
                <w:sz w:val="18"/>
                <w:szCs w:val="18"/>
                <w:lang w:val="en-GB"/>
              </w:rPr>
            </w:pPr>
            <w:r w:rsidRPr="0018787E">
              <w:rPr>
                <w:bCs/>
                <w:sz w:val="18"/>
                <w:szCs w:val="18"/>
                <w:lang w:val="en-GB"/>
              </w:rPr>
              <w:t>Number of best practices identified</w:t>
            </w:r>
          </w:p>
          <w:p w14:paraId="61DBCC72" w14:textId="77777777" w:rsidR="0018787E" w:rsidRPr="0018787E" w:rsidRDefault="0018787E" w:rsidP="0018787E">
            <w:pPr>
              <w:spacing w:before="40"/>
              <w:rPr>
                <w:bCs/>
                <w:sz w:val="18"/>
                <w:szCs w:val="18"/>
                <w:lang w:val="en-GB"/>
              </w:rPr>
            </w:pPr>
          </w:p>
          <w:p w14:paraId="483F184A" w14:textId="77777777" w:rsidR="0018787E" w:rsidRPr="0018787E" w:rsidRDefault="0018787E" w:rsidP="0018787E">
            <w:pPr>
              <w:spacing w:before="40"/>
              <w:rPr>
                <w:bCs/>
                <w:sz w:val="18"/>
                <w:szCs w:val="18"/>
                <w:lang w:val="en-GB"/>
              </w:rPr>
            </w:pPr>
            <w:r w:rsidRPr="0018787E">
              <w:rPr>
                <w:bCs/>
                <w:sz w:val="18"/>
                <w:szCs w:val="18"/>
                <w:lang w:val="en-GB"/>
              </w:rPr>
              <w:t>Number of community organisations, local governments and industry receiving awarrds</w:t>
            </w:r>
          </w:p>
        </w:tc>
        <w:tc>
          <w:tcPr>
            <w:tcW w:w="1270" w:type="dxa"/>
          </w:tcPr>
          <w:p w14:paraId="3793B7C9" w14:textId="77777777" w:rsidR="0018787E" w:rsidRPr="0018787E" w:rsidRDefault="0018787E" w:rsidP="0018787E">
            <w:pPr>
              <w:spacing w:before="40"/>
              <w:rPr>
                <w:sz w:val="18"/>
                <w:szCs w:val="18"/>
                <w:lang w:val="en-GB"/>
              </w:rPr>
            </w:pPr>
            <w:r w:rsidRPr="0018787E">
              <w:rPr>
                <w:sz w:val="18"/>
                <w:szCs w:val="18"/>
                <w:lang w:val="en-GB"/>
              </w:rPr>
              <w:t>Lack of mechanism to formally recognize and award communities, local governments and industry for innovation and generation of best practices for environmental management of the South China Sea</w:t>
            </w:r>
          </w:p>
        </w:tc>
        <w:tc>
          <w:tcPr>
            <w:tcW w:w="1109" w:type="dxa"/>
          </w:tcPr>
          <w:p w14:paraId="38FE58E3" w14:textId="77777777" w:rsidR="0018787E" w:rsidRPr="0018787E" w:rsidRDefault="0018787E" w:rsidP="0018787E">
            <w:pPr>
              <w:rPr>
                <w:sz w:val="18"/>
                <w:szCs w:val="18"/>
                <w:lang w:val="en-GB"/>
              </w:rPr>
            </w:pPr>
            <w:r w:rsidRPr="0018787E">
              <w:rPr>
                <w:sz w:val="18"/>
                <w:szCs w:val="18"/>
                <w:lang w:val="en-GB"/>
              </w:rPr>
              <w:t>Two(2) annual award programmes operated and lessons learned documented</w:t>
            </w:r>
          </w:p>
        </w:tc>
        <w:tc>
          <w:tcPr>
            <w:tcW w:w="1291" w:type="dxa"/>
          </w:tcPr>
          <w:p w14:paraId="10A4BF27" w14:textId="77777777" w:rsidR="0018787E" w:rsidRPr="0018787E" w:rsidRDefault="0018787E" w:rsidP="0018787E">
            <w:pPr>
              <w:spacing w:before="40"/>
              <w:rPr>
                <w:sz w:val="18"/>
                <w:szCs w:val="18"/>
                <w:lang w:val="en-GB"/>
              </w:rPr>
            </w:pPr>
            <w:r w:rsidRPr="0018787E">
              <w:rPr>
                <w:sz w:val="18"/>
                <w:szCs w:val="18"/>
                <w:lang w:val="en-GB"/>
              </w:rPr>
              <w:t>Operational award programme on best practices in coastal habitat and land-based pollution management for communities, local governments and industry [annual]</w:t>
            </w:r>
          </w:p>
        </w:tc>
        <w:tc>
          <w:tcPr>
            <w:tcW w:w="1269" w:type="dxa"/>
          </w:tcPr>
          <w:p w14:paraId="1B4607F9" w14:textId="77777777" w:rsidR="0018787E" w:rsidRPr="0018787E" w:rsidRDefault="0018787E" w:rsidP="0018787E">
            <w:pPr>
              <w:spacing w:before="40"/>
              <w:rPr>
                <w:bCs/>
                <w:sz w:val="18"/>
                <w:szCs w:val="18"/>
                <w:lang w:val="en-GB"/>
              </w:rPr>
            </w:pPr>
            <w:r w:rsidRPr="0018787E">
              <w:rPr>
                <w:bCs/>
                <w:sz w:val="18"/>
                <w:szCs w:val="18"/>
                <w:lang w:val="en-GB"/>
              </w:rPr>
              <w:t>Documented examples of innovation and best practice by communities, local governments and industry</w:t>
            </w:r>
          </w:p>
          <w:p w14:paraId="68AC95E6" w14:textId="77777777" w:rsidR="0018787E" w:rsidRPr="0018787E" w:rsidRDefault="0018787E" w:rsidP="0018787E">
            <w:pPr>
              <w:spacing w:before="40"/>
              <w:rPr>
                <w:bCs/>
                <w:sz w:val="18"/>
                <w:szCs w:val="18"/>
                <w:lang w:val="en-GB"/>
              </w:rPr>
            </w:pPr>
          </w:p>
          <w:p w14:paraId="3FFF8C78" w14:textId="77777777" w:rsidR="0018787E" w:rsidRPr="0018787E" w:rsidRDefault="0018787E" w:rsidP="0018787E">
            <w:pPr>
              <w:spacing w:before="40"/>
              <w:rPr>
                <w:bCs/>
                <w:sz w:val="18"/>
                <w:szCs w:val="18"/>
                <w:lang w:val="en-GB"/>
              </w:rPr>
            </w:pPr>
            <w:r w:rsidRPr="0018787E">
              <w:rPr>
                <w:bCs/>
                <w:sz w:val="18"/>
                <w:szCs w:val="18"/>
                <w:lang w:val="en-GB"/>
              </w:rPr>
              <w:t>Annual report of award programme</w:t>
            </w:r>
          </w:p>
        </w:tc>
        <w:tc>
          <w:tcPr>
            <w:tcW w:w="1440" w:type="dxa"/>
          </w:tcPr>
          <w:p w14:paraId="49BCB15C" w14:textId="77777777" w:rsidR="0018787E" w:rsidRPr="0018787E" w:rsidRDefault="0018787E" w:rsidP="0018787E">
            <w:pPr>
              <w:rPr>
                <w:sz w:val="18"/>
                <w:szCs w:val="18"/>
                <w:lang w:val="en-GB"/>
              </w:rPr>
            </w:pPr>
            <w:r w:rsidRPr="0018787E">
              <w:rPr>
                <w:sz w:val="18"/>
                <w:szCs w:val="18"/>
                <w:lang w:val="en-GB"/>
              </w:rPr>
              <w:t>Annually</w:t>
            </w:r>
          </w:p>
          <w:p w14:paraId="66ECE120" w14:textId="77777777" w:rsidR="0018787E" w:rsidRPr="0018787E" w:rsidRDefault="0018787E" w:rsidP="0018787E">
            <w:pPr>
              <w:rPr>
                <w:sz w:val="18"/>
                <w:szCs w:val="18"/>
                <w:lang w:val="en-GB"/>
              </w:rPr>
            </w:pPr>
            <w:r w:rsidRPr="0018787E">
              <w:rPr>
                <w:sz w:val="18"/>
                <w:szCs w:val="18"/>
                <w:lang w:val="en-GB"/>
              </w:rPr>
              <w:br/>
            </w:r>
          </w:p>
          <w:p w14:paraId="28856623" w14:textId="77777777" w:rsidR="0018787E" w:rsidRPr="0018787E" w:rsidRDefault="0018787E" w:rsidP="0018787E">
            <w:pPr>
              <w:rPr>
                <w:sz w:val="18"/>
                <w:szCs w:val="18"/>
                <w:lang w:val="en-GB"/>
              </w:rPr>
            </w:pPr>
          </w:p>
          <w:p w14:paraId="20AC1A91" w14:textId="77777777" w:rsidR="0018787E" w:rsidRPr="0018787E" w:rsidRDefault="0018787E" w:rsidP="0018787E">
            <w:pPr>
              <w:rPr>
                <w:sz w:val="18"/>
                <w:szCs w:val="18"/>
                <w:lang w:val="en-GB"/>
              </w:rPr>
            </w:pPr>
            <w:r w:rsidRPr="0018787E">
              <w:rPr>
                <w:sz w:val="18"/>
                <w:szCs w:val="18"/>
                <w:lang w:val="en-GB"/>
              </w:rPr>
              <w:t>Annually</w:t>
            </w:r>
          </w:p>
          <w:p w14:paraId="0583FBF4" w14:textId="77777777" w:rsidR="0018787E" w:rsidRPr="0018787E" w:rsidRDefault="0018787E" w:rsidP="0018787E">
            <w:pPr>
              <w:rPr>
                <w:sz w:val="18"/>
                <w:szCs w:val="18"/>
                <w:lang w:val="en-GB"/>
              </w:rPr>
            </w:pPr>
          </w:p>
          <w:p w14:paraId="336579DC" w14:textId="77777777" w:rsidR="0018787E" w:rsidRPr="0018787E" w:rsidRDefault="0018787E" w:rsidP="0018787E">
            <w:pPr>
              <w:rPr>
                <w:sz w:val="18"/>
                <w:szCs w:val="18"/>
                <w:lang w:val="en-GB"/>
              </w:rPr>
            </w:pPr>
          </w:p>
          <w:p w14:paraId="5700CBEE" w14:textId="77777777" w:rsidR="0018787E" w:rsidRPr="0018787E" w:rsidRDefault="0018787E" w:rsidP="0018787E">
            <w:pPr>
              <w:rPr>
                <w:sz w:val="18"/>
                <w:szCs w:val="18"/>
                <w:lang w:val="en-GB"/>
              </w:rPr>
            </w:pPr>
            <w:r w:rsidRPr="0018787E">
              <w:rPr>
                <w:sz w:val="18"/>
                <w:szCs w:val="18"/>
                <w:lang w:val="en-GB"/>
              </w:rPr>
              <w:t>Annually</w:t>
            </w:r>
          </w:p>
          <w:p w14:paraId="549C4F96" w14:textId="77777777" w:rsidR="0018787E" w:rsidRPr="0018787E" w:rsidRDefault="0018787E" w:rsidP="0018787E">
            <w:pPr>
              <w:rPr>
                <w:sz w:val="18"/>
                <w:szCs w:val="18"/>
                <w:lang w:val="en-GB"/>
              </w:rPr>
            </w:pPr>
          </w:p>
          <w:p w14:paraId="0BA61D70" w14:textId="77777777" w:rsidR="0018787E" w:rsidRPr="0018787E" w:rsidRDefault="0018787E" w:rsidP="0018787E">
            <w:pPr>
              <w:rPr>
                <w:sz w:val="18"/>
                <w:szCs w:val="18"/>
                <w:lang w:val="en-GB"/>
              </w:rPr>
            </w:pPr>
          </w:p>
          <w:p w14:paraId="7EC41365" w14:textId="77777777" w:rsidR="0018787E" w:rsidRPr="0018787E" w:rsidRDefault="0018787E" w:rsidP="0018787E">
            <w:pPr>
              <w:rPr>
                <w:sz w:val="18"/>
                <w:szCs w:val="18"/>
                <w:lang w:val="en-GB"/>
              </w:rPr>
            </w:pPr>
          </w:p>
          <w:p w14:paraId="4329155C"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1A253414" w14:textId="77777777" w:rsidR="0018787E" w:rsidRPr="0018787E" w:rsidRDefault="0018787E" w:rsidP="0018787E">
            <w:pPr>
              <w:rPr>
                <w:sz w:val="18"/>
                <w:szCs w:val="18"/>
                <w:lang w:val="en-GB"/>
              </w:rPr>
            </w:pPr>
            <w:r w:rsidRPr="0018787E">
              <w:rPr>
                <w:sz w:val="18"/>
                <w:szCs w:val="18"/>
                <w:lang w:val="en-GB"/>
              </w:rPr>
              <w:t>National-level</w:t>
            </w:r>
          </w:p>
          <w:p w14:paraId="204BABF3" w14:textId="77777777" w:rsidR="0018787E" w:rsidRPr="0018787E" w:rsidRDefault="0018787E" w:rsidP="0018787E">
            <w:pPr>
              <w:rPr>
                <w:sz w:val="18"/>
                <w:szCs w:val="18"/>
                <w:lang w:val="en-GB"/>
              </w:rPr>
            </w:pPr>
          </w:p>
          <w:p w14:paraId="12104419" w14:textId="77777777" w:rsidR="0018787E" w:rsidRPr="0018787E" w:rsidRDefault="0018787E" w:rsidP="0018787E">
            <w:pPr>
              <w:rPr>
                <w:sz w:val="18"/>
                <w:szCs w:val="18"/>
                <w:lang w:val="en-GB"/>
              </w:rPr>
            </w:pPr>
          </w:p>
          <w:p w14:paraId="15113D1D" w14:textId="77777777" w:rsidR="0018787E" w:rsidRPr="0018787E" w:rsidRDefault="0018787E" w:rsidP="0018787E">
            <w:pPr>
              <w:rPr>
                <w:sz w:val="18"/>
                <w:szCs w:val="18"/>
                <w:lang w:val="en-GB"/>
              </w:rPr>
            </w:pPr>
            <w:r w:rsidRPr="0018787E">
              <w:rPr>
                <w:sz w:val="18"/>
                <w:szCs w:val="18"/>
                <w:lang w:val="en-GB"/>
              </w:rPr>
              <w:t>National-level</w:t>
            </w:r>
          </w:p>
          <w:p w14:paraId="516246B1" w14:textId="77777777" w:rsidR="0018787E" w:rsidRPr="0018787E" w:rsidRDefault="0018787E" w:rsidP="0018787E">
            <w:pPr>
              <w:rPr>
                <w:sz w:val="18"/>
                <w:szCs w:val="18"/>
                <w:lang w:val="en-GB"/>
              </w:rPr>
            </w:pPr>
          </w:p>
          <w:p w14:paraId="423EE73E" w14:textId="77777777" w:rsidR="0018787E" w:rsidRPr="0018787E" w:rsidRDefault="0018787E" w:rsidP="0018787E">
            <w:pPr>
              <w:rPr>
                <w:sz w:val="18"/>
                <w:szCs w:val="18"/>
                <w:lang w:val="en-GB"/>
              </w:rPr>
            </w:pPr>
            <w:r w:rsidRPr="0018787E">
              <w:rPr>
                <w:sz w:val="18"/>
                <w:szCs w:val="18"/>
                <w:lang w:val="en-GB"/>
              </w:rPr>
              <w:t>Regional-level</w:t>
            </w:r>
          </w:p>
          <w:p w14:paraId="023A016E" w14:textId="77777777" w:rsidR="0018787E" w:rsidRPr="0018787E" w:rsidRDefault="0018787E" w:rsidP="0018787E">
            <w:pPr>
              <w:rPr>
                <w:sz w:val="18"/>
                <w:szCs w:val="18"/>
                <w:lang w:val="en-GB"/>
              </w:rPr>
            </w:pPr>
          </w:p>
          <w:p w14:paraId="06558C84" w14:textId="77777777" w:rsidR="0018787E" w:rsidRPr="0018787E" w:rsidRDefault="0018787E" w:rsidP="0018787E">
            <w:pPr>
              <w:rPr>
                <w:sz w:val="18"/>
                <w:szCs w:val="18"/>
                <w:lang w:val="en-GB"/>
              </w:rPr>
            </w:pPr>
          </w:p>
          <w:p w14:paraId="1AFC563C"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5D8501B2"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529EE650"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p w14:paraId="34F668B9"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6C1C5CFE"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172869AC"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046AA675"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45DAEC0B" w14:textId="77777777" w:rsidTr="0018787E">
        <w:tc>
          <w:tcPr>
            <w:tcW w:w="1319" w:type="dxa"/>
            <w:vMerge w:val="restart"/>
            <w:vAlign w:val="center"/>
          </w:tcPr>
          <w:p w14:paraId="7FF25716" w14:textId="77777777" w:rsidR="0018787E" w:rsidRPr="0018787E" w:rsidRDefault="0018787E" w:rsidP="0018787E">
            <w:pPr>
              <w:rPr>
                <w:sz w:val="18"/>
                <w:szCs w:val="18"/>
                <w:lang w:val="en-GB"/>
              </w:rPr>
            </w:pPr>
            <w:r w:rsidRPr="0018787E">
              <w:rPr>
                <w:sz w:val="18"/>
                <w:szCs w:val="18"/>
                <w:lang w:val="en-GB"/>
              </w:rPr>
              <w:t>3.2  Capacity for civil society and community organization participation in SAP implementation strengthened via operational partnership with GEF SGP</w:t>
            </w:r>
          </w:p>
        </w:tc>
        <w:tc>
          <w:tcPr>
            <w:tcW w:w="1270" w:type="dxa"/>
          </w:tcPr>
          <w:p w14:paraId="0F03DAAF" w14:textId="77777777" w:rsidR="0018787E" w:rsidRPr="0018787E" w:rsidRDefault="0018787E" w:rsidP="0018787E">
            <w:pPr>
              <w:contextualSpacing/>
              <w:rPr>
                <w:sz w:val="18"/>
                <w:szCs w:val="18"/>
                <w:lang w:val="en-GB" w:bidi="th-TH"/>
              </w:rPr>
            </w:pPr>
            <w:r w:rsidRPr="0018787E">
              <w:rPr>
                <w:sz w:val="18"/>
                <w:szCs w:val="18"/>
                <w:lang w:val="en-GB" w:bidi="th-TH"/>
              </w:rPr>
              <w:t>Number of GEF Small Grants Programme projects commissioned and implemented in support SAP implementation</w:t>
            </w:r>
          </w:p>
        </w:tc>
        <w:tc>
          <w:tcPr>
            <w:tcW w:w="1270" w:type="dxa"/>
          </w:tcPr>
          <w:p w14:paraId="21E9306F" w14:textId="77777777" w:rsidR="0018787E" w:rsidRPr="0018787E" w:rsidRDefault="0018787E" w:rsidP="0018787E">
            <w:pPr>
              <w:spacing w:before="40"/>
              <w:rPr>
                <w:sz w:val="18"/>
                <w:szCs w:val="18"/>
                <w:lang w:val="en-GB"/>
              </w:rPr>
            </w:pPr>
            <w:r w:rsidRPr="0018787E">
              <w:rPr>
                <w:sz w:val="18"/>
                <w:szCs w:val="18"/>
                <w:lang w:val="en-GB"/>
              </w:rPr>
              <w:t>Need for strengthened mobilization of civil society and community organizations in SAP implementation</w:t>
            </w:r>
          </w:p>
        </w:tc>
        <w:tc>
          <w:tcPr>
            <w:tcW w:w="1109" w:type="dxa"/>
          </w:tcPr>
          <w:p w14:paraId="09F3E965" w14:textId="77777777" w:rsidR="0018787E" w:rsidRPr="0018787E" w:rsidRDefault="0018787E" w:rsidP="0018787E">
            <w:pPr>
              <w:rPr>
                <w:sz w:val="18"/>
                <w:szCs w:val="18"/>
                <w:lang w:val="en-GB"/>
              </w:rPr>
            </w:pPr>
            <w:r w:rsidRPr="0018787E">
              <w:rPr>
                <w:sz w:val="18"/>
                <w:szCs w:val="18"/>
                <w:lang w:val="en-GB"/>
              </w:rPr>
              <w:t>2 annual reports on outcomes and results of cooperative programme</w:t>
            </w:r>
          </w:p>
        </w:tc>
        <w:tc>
          <w:tcPr>
            <w:tcW w:w="1291" w:type="dxa"/>
          </w:tcPr>
          <w:p w14:paraId="6D4D7DB6" w14:textId="77777777" w:rsidR="0018787E" w:rsidRPr="0018787E" w:rsidRDefault="0018787E" w:rsidP="0018787E">
            <w:pPr>
              <w:spacing w:before="40"/>
              <w:rPr>
                <w:sz w:val="18"/>
                <w:szCs w:val="18"/>
                <w:lang w:val="en-GB"/>
              </w:rPr>
            </w:pPr>
            <w:r w:rsidRPr="0018787E">
              <w:rPr>
                <w:sz w:val="18"/>
                <w:szCs w:val="18"/>
                <w:lang w:val="en-GB"/>
              </w:rPr>
              <w:t>Cooperation with GEF SGP in the commissioning and implementation of an additional [#] of community-based projects for SAP implementation</w:t>
            </w:r>
          </w:p>
        </w:tc>
        <w:tc>
          <w:tcPr>
            <w:tcW w:w="1269" w:type="dxa"/>
          </w:tcPr>
          <w:p w14:paraId="50DCADE5" w14:textId="77777777" w:rsidR="0018787E" w:rsidRPr="0018787E" w:rsidRDefault="0018787E" w:rsidP="0018787E">
            <w:pPr>
              <w:spacing w:before="40"/>
              <w:rPr>
                <w:bCs/>
                <w:sz w:val="18"/>
                <w:szCs w:val="18"/>
                <w:lang w:val="en-GB"/>
              </w:rPr>
            </w:pPr>
            <w:r w:rsidRPr="0018787E">
              <w:rPr>
                <w:bCs/>
                <w:sz w:val="18"/>
                <w:szCs w:val="18"/>
                <w:lang w:val="en-GB"/>
              </w:rPr>
              <w:t>5 annual reports of SGP-SAP implementation partnership</w:t>
            </w:r>
          </w:p>
        </w:tc>
        <w:tc>
          <w:tcPr>
            <w:tcW w:w="1440" w:type="dxa"/>
          </w:tcPr>
          <w:p w14:paraId="3D0810EB" w14:textId="77777777" w:rsidR="0018787E" w:rsidRPr="0018787E" w:rsidRDefault="0018787E" w:rsidP="0018787E">
            <w:pPr>
              <w:rPr>
                <w:sz w:val="18"/>
                <w:szCs w:val="18"/>
                <w:lang w:val="en-GB"/>
              </w:rPr>
            </w:pPr>
            <w:r w:rsidRPr="0018787E">
              <w:rPr>
                <w:sz w:val="18"/>
                <w:szCs w:val="18"/>
                <w:lang w:val="en-GB"/>
              </w:rPr>
              <w:t>Annually</w:t>
            </w:r>
          </w:p>
          <w:p w14:paraId="797DE255" w14:textId="77777777" w:rsidR="0018787E" w:rsidRPr="0018787E" w:rsidRDefault="0018787E" w:rsidP="0018787E">
            <w:pPr>
              <w:rPr>
                <w:sz w:val="18"/>
                <w:szCs w:val="18"/>
                <w:lang w:val="en-GB"/>
              </w:rPr>
            </w:pPr>
            <w:r w:rsidRPr="0018787E">
              <w:rPr>
                <w:sz w:val="18"/>
                <w:szCs w:val="18"/>
                <w:lang w:val="en-GB"/>
              </w:rPr>
              <w:br/>
            </w:r>
          </w:p>
          <w:p w14:paraId="6D60C459" w14:textId="77777777" w:rsidR="0018787E" w:rsidRPr="0018787E" w:rsidRDefault="0018787E" w:rsidP="0018787E">
            <w:pPr>
              <w:rPr>
                <w:sz w:val="18"/>
                <w:szCs w:val="18"/>
                <w:lang w:val="en-GB"/>
              </w:rPr>
            </w:pPr>
          </w:p>
          <w:p w14:paraId="345972B5" w14:textId="77777777" w:rsidR="0018787E" w:rsidRPr="0018787E" w:rsidRDefault="0018787E" w:rsidP="0018787E">
            <w:pPr>
              <w:rPr>
                <w:sz w:val="18"/>
                <w:szCs w:val="18"/>
                <w:lang w:val="en-GB"/>
              </w:rPr>
            </w:pPr>
            <w:r w:rsidRPr="0018787E">
              <w:rPr>
                <w:sz w:val="18"/>
                <w:szCs w:val="18"/>
                <w:lang w:val="en-GB"/>
              </w:rPr>
              <w:t>Annually</w:t>
            </w:r>
          </w:p>
          <w:p w14:paraId="669264A4" w14:textId="77777777" w:rsidR="0018787E" w:rsidRPr="0018787E" w:rsidRDefault="0018787E" w:rsidP="0018787E">
            <w:pPr>
              <w:rPr>
                <w:sz w:val="18"/>
                <w:szCs w:val="18"/>
                <w:lang w:val="en-GB"/>
              </w:rPr>
            </w:pPr>
          </w:p>
          <w:p w14:paraId="192BCE15" w14:textId="77777777" w:rsidR="0018787E" w:rsidRPr="0018787E" w:rsidRDefault="0018787E" w:rsidP="0018787E">
            <w:pPr>
              <w:rPr>
                <w:sz w:val="18"/>
                <w:szCs w:val="18"/>
                <w:lang w:val="en-GB"/>
              </w:rPr>
            </w:pPr>
          </w:p>
          <w:p w14:paraId="408DC1B0" w14:textId="77777777" w:rsidR="0018787E" w:rsidRPr="0018787E" w:rsidRDefault="0018787E" w:rsidP="0018787E">
            <w:pPr>
              <w:rPr>
                <w:sz w:val="18"/>
                <w:szCs w:val="18"/>
                <w:lang w:val="en-GB"/>
              </w:rPr>
            </w:pPr>
            <w:r w:rsidRPr="0018787E">
              <w:rPr>
                <w:sz w:val="18"/>
                <w:szCs w:val="18"/>
                <w:lang w:val="en-GB"/>
              </w:rPr>
              <w:t>Annually</w:t>
            </w:r>
          </w:p>
          <w:p w14:paraId="194C5069" w14:textId="77777777" w:rsidR="0018787E" w:rsidRPr="0018787E" w:rsidRDefault="0018787E" w:rsidP="0018787E">
            <w:pPr>
              <w:rPr>
                <w:sz w:val="18"/>
                <w:szCs w:val="18"/>
                <w:lang w:val="en-GB"/>
              </w:rPr>
            </w:pPr>
          </w:p>
          <w:p w14:paraId="1FB58CF6" w14:textId="77777777" w:rsidR="0018787E" w:rsidRPr="0018787E" w:rsidRDefault="0018787E" w:rsidP="0018787E">
            <w:pPr>
              <w:rPr>
                <w:sz w:val="18"/>
                <w:szCs w:val="18"/>
                <w:lang w:val="en-GB"/>
              </w:rPr>
            </w:pPr>
          </w:p>
          <w:p w14:paraId="12ED716B" w14:textId="77777777" w:rsidR="0018787E" w:rsidRPr="0018787E" w:rsidRDefault="0018787E" w:rsidP="0018787E">
            <w:pPr>
              <w:rPr>
                <w:sz w:val="18"/>
                <w:szCs w:val="18"/>
                <w:lang w:val="en-GB"/>
              </w:rPr>
            </w:pPr>
          </w:p>
          <w:p w14:paraId="3A24C441"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2F89B5CD" w14:textId="77777777" w:rsidR="0018787E" w:rsidRPr="0018787E" w:rsidRDefault="0018787E" w:rsidP="0018787E">
            <w:pPr>
              <w:rPr>
                <w:sz w:val="18"/>
                <w:szCs w:val="18"/>
                <w:lang w:val="en-GB"/>
              </w:rPr>
            </w:pPr>
            <w:r w:rsidRPr="0018787E">
              <w:rPr>
                <w:sz w:val="18"/>
                <w:szCs w:val="18"/>
                <w:lang w:val="en-GB"/>
              </w:rPr>
              <w:t>National-level</w:t>
            </w:r>
          </w:p>
          <w:p w14:paraId="51103830" w14:textId="77777777" w:rsidR="0018787E" w:rsidRPr="0018787E" w:rsidRDefault="0018787E" w:rsidP="0018787E">
            <w:pPr>
              <w:rPr>
                <w:sz w:val="18"/>
                <w:szCs w:val="18"/>
                <w:lang w:val="en-GB"/>
              </w:rPr>
            </w:pPr>
          </w:p>
          <w:p w14:paraId="7648648C" w14:textId="77777777" w:rsidR="0018787E" w:rsidRPr="0018787E" w:rsidRDefault="0018787E" w:rsidP="0018787E">
            <w:pPr>
              <w:rPr>
                <w:sz w:val="18"/>
                <w:szCs w:val="18"/>
                <w:lang w:val="en-GB"/>
              </w:rPr>
            </w:pPr>
          </w:p>
          <w:p w14:paraId="52464A44" w14:textId="77777777" w:rsidR="0018787E" w:rsidRPr="0018787E" w:rsidRDefault="0018787E" w:rsidP="0018787E">
            <w:pPr>
              <w:rPr>
                <w:sz w:val="18"/>
                <w:szCs w:val="18"/>
                <w:lang w:val="en-GB"/>
              </w:rPr>
            </w:pPr>
            <w:r w:rsidRPr="0018787E">
              <w:rPr>
                <w:sz w:val="18"/>
                <w:szCs w:val="18"/>
                <w:lang w:val="en-GB"/>
              </w:rPr>
              <w:t>National-level</w:t>
            </w:r>
          </w:p>
          <w:p w14:paraId="6D9BF2D5" w14:textId="77777777" w:rsidR="0018787E" w:rsidRPr="0018787E" w:rsidRDefault="0018787E" w:rsidP="0018787E">
            <w:pPr>
              <w:rPr>
                <w:sz w:val="18"/>
                <w:szCs w:val="18"/>
                <w:lang w:val="en-GB"/>
              </w:rPr>
            </w:pPr>
          </w:p>
          <w:p w14:paraId="12BFD74F" w14:textId="77777777" w:rsidR="0018787E" w:rsidRPr="0018787E" w:rsidRDefault="0018787E" w:rsidP="0018787E">
            <w:pPr>
              <w:rPr>
                <w:sz w:val="18"/>
                <w:szCs w:val="18"/>
                <w:lang w:val="en-GB"/>
              </w:rPr>
            </w:pPr>
            <w:r w:rsidRPr="0018787E">
              <w:rPr>
                <w:sz w:val="18"/>
                <w:szCs w:val="18"/>
                <w:lang w:val="en-GB"/>
              </w:rPr>
              <w:t>Regional-level</w:t>
            </w:r>
          </w:p>
          <w:p w14:paraId="64B3A3F9" w14:textId="77777777" w:rsidR="0018787E" w:rsidRPr="0018787E" w:rsidRDefault="0018787E" w:rsidP="0018787E">
            <w:pPr>
              <w:rPr>
                <w:sz w:val="18"/>
                <w:szCs w:val="18"/>
                <w:lang w:val="en-GB"/>
              </w:rPr>
            </w:pPr>
          </w:p>
          <w:p w14:paraId="5AA68316" w14:textId="77777777" w:rsidR="0018787E" w:rsidRPr="0018787E" w:rsidRDefault="0018787E" w:rsidP="0018787E">
            <w:pPr>
              <w:rPr>
                <w:sz w:val="18"/>
                <w:szCs w:val="18"/>
                <w:lang w:val="en-GB"/>
              </w:rPr>
            </w:pPr>
          </w:p>
          <w:p w14:paraId="40FFD7F5"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320C9A3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2885CD89"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p w14:paraId="302ABD2A"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72A7B72A"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272ACE54"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303A40F6"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1D05CE9A" w14:textId="77777777" w:rsidTr="0018787E">
        <w:tc>
          <w:tcPr>
            <w:tcW w:w="1319" w:type="dxa"/>
            <w:vMerge/>
          </w:tcPr>
          <w:p w14:paraId="7A9E3131" w14:textId="77777777" w:rsidR="0018787E" w:rsidRPr="0018787E" w:rsidRDefault="0018787E" w:rsidP="0018787E">
            <w:pPr>
              <w:rPr>
                <w:sz w:val="18"/>
                <w:szCs w:val="18"/>
                <w:lang w:val="en-GB"/>
              </w:rPr>
            </w:pPr>
          </w:p>
        </w:tc>
        <w:tc>
          <w:tcPr>
            <w:tcW w:w="1270" w:type="dxa"/>
          </w:tcPr>
          <w:p w14:paraId="21D224C8" w14:textId="77777777" w:rsidR="0018787E" w:rsidRPr="0018787E" w:rsidRDefault="0018787E" w:rsidP="0018787E">
            <w:pPr>
              <w:spacing w:before="40"/>
              <w:rPr>
                <w:bCs/>
                <w:sz w:val="18"/>
                <w:szCs w:val="18"/>
                <w:lang w:val="en-GB"/>
              </w:rPr>
            </w:pPr>
            <w:r w:rsidRPr="0018787E">
              <w:rPr>
                <w:bCs/>
                <w:sz w:val="18"/>
                <w:szCs w:val="18"/>
                <w:lang w:val="en-GB"/>
              </w:rPr>
              <w:t>Extent and scope of inputs from CSOs and COs</w:t>
            </w:r>
          </w:p>
          <w:p w14:paraId="15D9C96D" w14:textId="77777777" w:rsidR="0018787E" w:rsidRPr="0018787E" w:rsidRDefault="0018787E" w:rsidP="0018787E">
            <w:pPr>
              <w:spacing w:before="40"/>
              <w:rPr>
                <w:bCs/>
                <w:sz w:val="18"/>
                <w:szCs w:val="18"/>
                <w:lang w:val="en-GB"/>
              </w:rPr>
            </w:pPr>
            <w:r w:rsidRPr="0018787E">
              <w:rPr>
                <w:bCs/>
                <w:sz w:val="18"/>
                <w:szCs w:val="18"/>
                <w:lang w:val="en-GB"/>
              </w:rPr>
              <w:t>Number of NGO forums convened</w:t>
            </w:r>
          </w:p>
          <w:p w14:paraId="5F1119FC" w14:textId="77777777" w:rsidR="0018787E" w:rsidRPr="0018787E" w:rsidRDefault="0018787E" w:rsidP="0018787E">
            <w:pPr>
              <w:spacing w:before="40"/>
              <w:rPr>
                <w:bCs/>
                <w:sz w:val="18"/>
                <w:szCs w:val="18"/>
                <w:lang w:val="en-GB"/>
              </w:rPr>
            </w:pPr>
            <w:r w:rsidRPr="0018787E">
              <w:rPr>
                <w:bCs/>
                <w:sz w:val="18"/>
                <w:szCs w:val="18"/>
                <w:lang w:val="en-GB"/>
              </w:rPr>
              <w:t>Extent of capacity built among SGP proponents to implement local actions in support of the achievement of SAP targets</w:t>
            </w:r>
          </w:p>
        </w:tc>
        <w:tc>
          <w:tcPr>
            <w:tcW w:w="1270" w:type="dxa"/>
          </w:tcPr>
          <w:p w14:paraId="2E1ECC03" w14:textId="77777777" w:rsidR="0018787E" w:rsidRPr="0018787E" w:rsidRDefault="0018787E" w:rsidP="0018787E">
            <w:pPr>
              <w:spacing w:before="40"/>
              <w:rPr>
                <w:sz w:val="18"/>
                <w:szCs w:val="18"/>
                <w:lang w:val="en-GB"/>
              </w:rPr>
            </w:pPr>
            <w:r w:rsidRPr="0018787E">
              <w:rPr>
                <w:sz w:val="18"/>
                <w:szCs w:val="18"/>
                <w:lang w:val="en-GB"/>
              </w:rPr>
              <w:t>Need for CSO and CO inputs to planning of an SCS-SGP partnership</w:t>
            </w:r>
          </w:p>
          <w:p w14:paraId="6E856568" w14:textId="77777777" w:rsidR="0018787E" w:rsidRPr="0018787E" w:rsidRDefault="0018787E" w:rsidP="0018787E">
            <w:pPr>
              <w:spacing w:before="40"/>
              <w:rPr>
                <w:sz w:val="18"/>
                <w:szCs w:val="18"/>
                <w:lang w:val="en-GB"/>
              </w:rPr>
            </w:pPr>
          </w:p>
          <w:p w14:paraId="0E902A37" w14:textId="77777777" w:rsidR="0018787E" w:rsidRPr="0018787E" w:rsidRDefault="0018787E" w:rsidP="0018787E">
            <w:pPr>
              <w:spacing w:before="40"/>
              <w:rPr>
                <w:sz w:val="18"/>
                <w:szCs w:val="18"/>
                <w:lang w:val="en-GB"/>
              </w:rPr>
            </w:pPr>
            <w:r w:rsidRPr="0018787E">
              <w:rPr>
                <w:sz w:val="18"/>
                <w:szCs w:val="18"/>
                <w:lang w:val="en-GB"/>
              </w:rPr>
              <w:t>Limited civil society and community organisation experience and capacity for coastal habitat and land-based pollution management</w:t>
            </w:r>
          </w:p>
        </w:tc>
        <w:tc>
          <w:tcPr>
            <w:tcW w:w="1109" w:type="dxa"/>
          </w:tcPr>
          <w:p w14:paraId="4BB034F4" w14:textId="77777777" w:rsidR="0018787E" w:rsidRPr="0018787E" w:rsidRDefault="0018787E" w:rsidP="0018787E">
            <w:pPr>
              <w:rPr>
                <w:sz w:val="18"/>
                <w:szCs w:val="18"/>
                <w:lang w:val="en-GB"/>
              </w:rPr>
            </w:pPr>
            <w:r w:rsidRPr="0018787E">
              <w:rPr>
                <w:sz w:val="18"/>
                <w:szCs w:val="18"/>
                <w:lang w:val="en-GB"/>
              </w:rPr>
              <w:t>Two (2) annual reports of NGO forum meetings</w:t>
            </w:r>
          </w:p>
        </w:tc>
        <w:tc>
          <w:tcPr>
            <w:tcW w:w="1291" w:type="dxa"/>
          </w:tcPr>
          <w:p w14:paraId="41EC5E97" w14:textId="77777777" w:rsidR="0018787E" w:rsidRPr="0018787E" w:rsidRDefault="0018787E" w:rsidP="0018787E">
            <w:pPr>
              <w:spacing w:before="40"/>
              <w:rPr>
                <w:sz w:val="18"/>
                <w:szCs w:val="18"/>
                <w:lang w:val="en-GB"/>
              </w:rPr>
            </w:pPr>
            <w:r w:rsidRPr="0018787E">
              <w:rPr>
                <w:sz w:val="18"/>
                <w:szCs w:val="18"/>
                <w:lang w:val="en-GB"/>
              </w:rPr>
              <w:t>CSO &amp; CO inputs elicited for planning and M&amp;E of the SCS-SGP partnership via annual NGO forums</w:t>
            </w:r>
          </w:p>
        </w:tc>
        <w:tc>
          <w:tcPr>
            <w:tcW w:w="1269" w:type="dxa"/>
          </w:tcPr>
          <w:p w14:paraId="23F59A8D" w14:textId="77777777" w:rsidR="0018787E" w:rsidRPr="0018787E" w:rsidRDefault="0018787E" w:rsidP="0018787E">
            <w:pPr>
              <w:spacing w:before="40"/>
              <w:rPr>
                <w:bCs/>
                <w:sz w:val="18"/>
                <w:szCs w:val="18"/>
                <w:lang w:val="en-GB"/>
              </w:rPr>
            </w:pPr>
            <w:r w:rsidRPr="0018787E">
              <w:rPr>
                <w:bCs/>
                <w:sz w:val="18"/>
                <w:szCs w:val="18"/>
                <w:lang w:val="en-GB"/>
              </w:rPr>
              <w:t>Reports of NGO forum meetings</w:t>
            </w:r>
          </w:p>
        </w:tc>
        <w:tc>
          <w:tcPr>
            <w:tcW w:w="1440" w:type="dxa"/>
          </w:tcPr>
          <w:p w14:paraId="2036E8F1" w14:textId="77777777" w:rsidR="0018787E" w:rsidRPr="0018787E" w:rsidRDefault="0018787E" w:rsidP="0018787E">
            <w:pPr>
              <w:rPr>
                <w:sz w:val="18"/>
                <w:szCs w:val="18"/>
                <w:lang w:val="en-GB"/>
              </w:rPr>
            </w:pPr>
            <w:r w:rsidRPr="0018787E">
              <w:rPr>
                <w:sz w:val="18"/>
                <w:szCs w:val="18"/>
                <w:lang w:val="en-GB"/>
              </w:rPr>
              <w:t>Annually</w:t>
            </w:r>
          </w:p>
          <w:p w14:paraId="75933798" w14:textId="77777777" w:rsidR="0018787E" w:rsidRPr="0018787E" w:rsidRDefault="0018787E" w:rsidP="0018787E">
            <w:pPr>
              <w:rPr>
                <w:sz w:val="18"/>
                <w:szCs w:val="18"/>
                <w:lang w:val="en-GB"/>
              </w:rPr>
            </w:pPr>
            <w:r w:rsidRPr="0018787E">
              <w:rPr>
                <w:sz w:val="18"/>
                <w:szCs w:val="18"/>
                <w:lang w:val="en-GB"/>
              </w:rPr>
              <w:br/>
            </w:r>
          </w:p>
          <w:p w14:paraId="2BC8BE74" w14:textId="77777777" w:rsidR="0018787E" w:rsidRPr="0018787E" w:rsidRDefault="0018787E" w:rsidP="0018787E">
            <w:pPr>
              <w:rPr>
                <w:sz w:val="18"/>
                <w:szCs w:val="18"/>
                <w:lang w:val="en-GB"/>
              </w:rPr>
            </w:pPr>
          </w:p>
          <w:p w14:paraId="4F3F21E9" w14:textId="77777777" w:rsidR="0018787E" w:rsidRPr="0018787E" w:rsidRDefault="0018787E" w:rsidP="0018787E">
            <w:pPr>
              <w:rPr>
                <w:sz w:val="18"/>
                <w:szCs w:val="18"/>
                <w:lang w:val="en-GB"/>
              </w:rPr>
            </w:pPr>
            <w:r w:rsidRPr="0018787E">
              <w:rPr>
                <w:sz w:val="18"/>
                <w:szCs w:val="18"/>
                <w:lang w:val="en-GB"/>
              </w:rPr>
              <w:t>Annually</w:t>
            </w:r>
          </w:p>
          <w:p w14:paraId="4404C335" w14:textId="77777777" w:rsidR="0018787E" w:rsidRPr="0018787E" w:rsidRDefault="0018787E" w:rsidP="0018787E">
            <w:pPr>
              <w:rPr>
                <w:sz w:val="18"/>
                <w:szCs w:val="18"/>
                <w:lang w:val="en-GB"/>
              </w:rPr>
            </w:pPr>
          </w:p>
          <w:p w14:paraId="05C1A0C0" w14:textId="77777777" w:rsidR="0018787E" w:rsidRPr="0018787E" w:rsidRDefault="0018787E" w:rsidP="0018787E">
            <w:pPr>
              <w:rPr>
                <w:sz w:val="18"/>
                <w:szCs w:val="18"/>
                <w:lang w:val="en-GB"/>
              </w:rPr>
            </w:pPr>
          </w:p>
          <w:p w14:paraId="704086B7" w14:textId="77777777" w:rsidR="0018787E" w:rsidRPr="0018787E" w:rsidRDefault="0018787E" w:rsidP="0018787E">
            <w:pPr>
              <w:rPr>
                <w:sz w:val="18"/>
                <w:szCs w:val="18"/>
                <w:lang w:val="en-GB"/>
              </w:rPr>
            </w:pPr>
            <w:r w:rsidRPr="0018787E">
              <w:rPr>
                <w:sz w:val="18"/>
                <w:szCs w:val="18"/>
                <w:lang w:val="en-GB"/>
              </w:rPr>
              <w:t>Annually</w:t>
            </w:r>
          </w:p>
          <w:p w14:paraId="767D17AF" w14:textId="77777777" w:rsidR="0018787E" w:rsidRPr="0018787E" w:rsidRDefault="0018787E" w:rsidP="0018787E">
            <w:pPr>
              <w:rPr>
                <w:sz w:val="18"/>
                <w:szCs w:val="18"/>
                <w:lang w:val="en-GB"/>
              </w:rPr>
            </w:pPr>
          </w:p>
          <w:p w14:paraId="3802827F" w14:textId="77777777" w:rsidR="0018787E" w:rsidRPr="0018787E" w:rsidRDefault="0018787E" w:rsidP="0018787E">
            <w:pPr>
              <w:rPr>
                <w:sz w:val="18"/>
                <w:szCs w:val="18"/>
                <w:lang w:val="en-GB"/>
              </w:rPr>
            </w:pPr>
          </w:p>
          <w:p w14:paraId="53550798" w14:textId="77777777" w:rsidR="0018787E" w:rsidRPr="0018787E" w:rsidRDefault="0018787E" w:rsidP="0018787E">
            <w:pPr>
              <w:rPr>
                <w:sz w:val="18"/>
                <w:szCs w:val="18"/>
                <w:lang w:val="en-GB"/>
              </w:rPr>
            </w:pPr>
          </w:p>
          <w:p w14:paraId="00113AAC"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300493E7" w14:textId="77777777" w:rsidR="0018787E" w:rsidRPr="0018787E" w:rsidRDefault="0018787E" w:rsidP="0018787E">
            <w:pPr>
              <w:rPr>
                <w:sz w:val="18"/>
                <w:szCs w:val="18"/>
                <w:lang w:val="en-GB"/>
              </w:rPr>
            </w:pPr>
            <w:r w:rsidRPr="0018787E">
              <w:rPr>
                <w:sz w:val="18"/>
                <w:szCs w:val="18"/>
                <w:lang w:val="en-GB"/>
              </w:rPr>
              <w:t>National-level</w:t>
            </w:r>
          </w:p>
          <w:p w14:paraId="3AAAE055" w14:textId="77777777" w:rsidR="0018787E" w:rsidRPr="0018787E" w:rsidRDefault="0018787E" w:rsidP="0018787E">
            <w:pPr>
              <w:rPr>
                <w:sz w:val="18"/>
                <w:szCs w:val="18"/>
                <w:lang w:val="en-GB"/>
              </w:rPr>
            </w:pPr>
          </w:p>
          <w:p w14:paraId="486CF512" w14:textId="77777777" w:rsidR="0018787E" w:rsidRPr="0018787E" w:rsidRDefault="0018787E" w:rsidP="0018787E">
            <w:pPr>
              <w:rPr>
                <w:sz w:val="18"/>
                <w:szCs w:val="18"/>
                <w:lang w:val="en-GB"/>
              </w:rPr>
            </w:pPr>
          </w:p>
          <w:p w14:paraId="1702855D" w14:textId="77777777" w:rsidR="0018787E" w:rsidRPr="0018787E" w:rsidRDefault="0018787E" w:rsidP="0018787E">
            <w:pPr>
              <w:rPr>
                <w:sz w:val="18"/>
                <w:szCs w:val="18"/>
                <w:lang w:val="en-GB"/>
              </w:rPr>
            </w:pPr>
            <w:r w:rsidRPr="0018787E">
              <w:rPr>
                <w:sz w:val="18"/>
                <w:szCs w:val="18"/>
                <w:lang w:val="en-GB"/>
              </w:rPr>
              <w:t>National-level</w:t>
            </w:r>
          </w:p>
          <w:p w14:paraId="56C301BF" w14:textId="77777777" w:rsidR="0018787E" w:rsidRPr="0018787E" w:rsidRDefault="0018787E" w:rsidP="0018787E">
            <w:pPr>
              <w:rPr>
                <w:sz w:val="18"/>
                <w:szCs w:val="18"/>
                <w:lang w:val="en-GB"/>
              </w:rPr>
            </w:pPr>
          </w:p>
          <w:p w14:paraId="1226E8BC" w14:textId="77777777" w:rsidR="0018787E" w:rsidRPr="0018787E" w:rsidRDefault="0018787E" w:rsidP="0018787E">
            <w:pPr>
              <w:rPr>
                <w:sz w:val="18"/>
                <w:szCs w:val="18"/>
                <w:lang w:val="en-GB"/>
              </w:rPr>
            </w:pPr>
            <w:r w:rsidRPr="0018787E">
              <w:rPr>
                <w:sz w:val="18"/>
                <w:szCs w:val="18"/>
                <w:lang w:val="en-GB"/>
              </w:rPr>
              <w:t>Regional-level</w:t>
            </w:r>
          </w:p>
          <w:p w14:paraId="79BB40CC" w14:textId="77777777" w:rsidR="0018787E" w:rsidRPr="0018787E" w:rsidRDefault="0018787E" w:rsidP="0018787E">
            <w:pPr>
              <w:rPr>
                <w:sz w:val="18"/>
                <w:szCs w:val="18"/>
                <w:lang w:val="en-GB"/>
              </w:rPr>
            </w:pPr>
          </w:p>
          <w:p w14:paraId="1FB1BD69" w14:textId="77777777" w:rsidR="0018787E" w:rsidRPr="0018787E" w:rsidRDefault="0018787E" w:rsidP="0018787E">
            <w:pPr>
              <w:rPr>
                <w:sz w:val="18"/>
                <w:szCs w:val="18"/>
                <w:lang w:val="en-GB"/>
              </w:rPr>
            </w:pPr>
          </w:p>
          <w:p w14:paraId="00BC1CD2"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4BAA5631"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60B96E97"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p w14:paraId="44D48586"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28134A6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0719703D"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75F39771"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3A09C249" w14:textId="77777777" w:rsidTr="0018787E">
        <w:tc>
          <w:tcPr>
            <w:tcW w:w="1319" w:type="dxa"/>
            <w:vMerge/>
          </w:tcPr>
          <w:p w14:paraId="02D3A9DD" w14:textId="77777777" w:rsidR="0018787E" w:rsidRPr="0018787E" w:rsidRDefault="0018787E" w:rsidP="0018787E">
            <w:pPr>
              <w:rPr>
                <w:sz w:val="18"/>
                <w:szCs w:val="18"/>
                <w:lang w:val="en-GB"/>
              </w:rPr>
            </w:pPr>
          </w:p>
        </w:tc>
        <w:tc>
          <w:tcPr>
            <w:tcW w:w="1270" w:type="dxa"/>
          </w:tcPr>
          <w:p w14:paraId="0D283471" w14:textId="77777777" w:rsidR="0018787E" w:rsidRPr="0018787E" w:rsidRDefault="0018787E" w:rsidP="0018787E">
            <w:pPr>
              <w:spacing w:before="40"/>
              <w:rPr>
                <w:bCs/>
                <w:sz w:val="18"/>
                <w:szCs w:val="18"/>
                <w:lang w:val="en-GB"/>
              </w:rPr>
            </w:pPr>
            <w:r w:rsidRPr="0018787E">
              <w:rPr>
                <w:bCs/>
                <w:sz w:val="18"/>
                <w:szCs w:val="18"/>
                <w:lang w:val="en-GB"/>
              </w:rPr>
              <w:t>Extent of capacity built among SGP proponents to implement local actions in support of the achievement of SAP targets</w:t>
            </w:r>
          </w:p>
        </w:tc>
        <w:tc>
          <w:tcPr>
            <w:tcW w:w="1270" w:type="dxa"/>
          </w:tcPr>
          <w:p w14:paraId="5A708C86" w14:textId="77777777" w:rsidR="0018787E" w:rsidRPr="0018787E" w:rsidRDefault="0018787E" w:rsidP="0018787E">
            <w:pPr>
              <w:spacing w:before="40"/>
              <w:rPr>
                <w:sz w:val="18"/>
                <w:szCs w:val="18"/>
                <w:lang w:val="en-GB"/>
              </w:rPr>
            </w:pPr>
            <w:r w:rsidRPr="0018787E">
              <w:rPr>
                <w:sz w:val="18"/>
                <w:szCs w:val="18"/>
                <w:lang w:val="en-GB"/>
              </w:rPr>
              <w:t>Limited civil society and community organisation experience and capacity for coastal habitat and land-based pollution management</w:t>
            </w:r>
          </w:p>
        </w:tc>
        <w:tc>
          <w:tcPr>
            <w:tcW w:w="1109" w:type="dxa"/>
          </w:tcPr>
          <w:p w14:paraId="2ACBC75D" w14:textId="77777777" w:rsidR="0018787E" w:rsidRPr="0018787E" w:rsidRDefault="0018787E" w:rsidP="0018787E">
            <w:pPr>
              <w:rPr>
                <w:sz w:val="18"/>
                <w:szCs w:val="18"/>
                <w:lang w:val="en-GB"/>
              </w:rPr>
            </w:pPr>
            <w:r w:rsidRPr="0018787E">
              <w:rPr>
                <w:sz w:val="18"/>
                <w:szCs w:val="18"/>
                <w:lang w:val="en-GB"/>
              </w:rPr>
              <w:t>Training syllabus and materials prepared , with inputs from national and regional training providers</w:t>
            </w:r>
          </w:p>
        </w:tc>
        <w:tc>
          <w:tcPr>
            <w:tcW w:w="1291" w:type="dxa"/>
          </w:tcPr>
          <w:p w14:paraId="66AC0B68" w14:textId="77777777" w:rsidR="0018787E" w:rsidRPr="0018787E" w:rsidRDefault="0018787E" w:rsidP="0018787E">
            <w:pPr>
              <w:spacing w:before="40"/>
              <w:rPr>
                <w:sz w:val="18"/>
                <w:szCs w:val="18"/>
                <w:lang w:val="en-GB"/>
              </w:rPr>
            </w:pPr>
            <w:r w:rsidRPr="0018787E">
              <w:rPr>
                <w:sz w:val="18"/>
                <w:szCs w:val="18"/>
                <w:lang w:val="en-GB"/>
              </w:rPr>
              <w:t>Training program on science and management of SCS coastal habitats and resources for SGP proponents</w:t>
            </w:r>
          </w:p>
        </w:tc>
        <w:tc>
          <w:tcPr>
            <w:tcW w:w="1269" w:type="dxa"/>
          </w:tcPr>
          <w:p w14:paraId="713E7FB4" w14:textId="77777777" w:rsidR="0018787E" w:rsidRPr="0018787E" w:rsidRDefault="0018787E" w:rsidP="0018787E">
            <w:pPr>
              <w:spacing w:before="40"/>
              <w:rPr>
                <w:bCs/>
                <w:sz w:val="18"/>
                <w:szCs w:val="18"/>
                <w:lang w:val="en-GB"/>
              </w:rPr>
            </w:pPr>
            <w:r w:rsidRPr="0018787E">
              <w:rPr>
                <w:bCs/>
                <w:sz w:val="18"/>
                <w:szCs w:val="18"/>
                <w:lang w:val="en-GB"/>
              </w:rPr>
              <w:t>Training modules for SGP proponents developed and accessible online</w:t>
            </w:r>
          </w:p>
        </w:tc>
        <w:tc>
          <w:tcPr>
            <w:tcW w:w="1440" w:type="dxa"/>
          </w:tcPr>
          <w:p w14:paraId="05B5FDF3" w14:textId="77777777" w:rsidR="0018787E" w:rsidRPr="0018787E" w:rsidRDefault="0018787E" w:rsidP="0018787E">
            <w:pPr>
              <w:rPr>
                <w:sz w:val="18"/>
                <w:szCs w:val="18"/>
                <w:lang w:val="en-GB"/>
              </w:rPr>
            </w:pPr>
            <w:r w:rsidRPr="0018787E">
              <w:rPr>
                <w:sz w:val="18"/>
                <w:szCs w:val="18"/>
                <w:lang w:val="en-GB"/>
              </w:rPr>
              <w:t>Annually</w:t>
            </w:r>
          </w:p>
          <w:p w14:paraId="31DC19F0" w14:textId="77777777" w:rsidR="0018787E" w:rsidRPr="0018787E" w:rsidRDefault="0018787E" w:rsidP="0018787E">
            <w:pPr>
              <w:rPr>
                <w:sz w:val="18"/>
                <w:szCs w:val="18"/>
                <w:lang w:val="en-GB"/>
              </w:rPr>
            </w:pPr>
            <w:r w:rsidRPr="0018787E">
              <w:rPr>
                <w:sz w:val="18"/>
                <w:szCs w:val="18"/>
                <w:lang w:val="en-GB"/>
              </w:rPr>
              <w:br/>
            </w:r>
          </w:p>
          <w:p w14:paraId="63DBCAAD" w14:textId="77777777" w:rsidR="0018787E" w:rsidRPr="0018787E" w:rsidRDefault="0018787E" w:rsidP="0018787E">
            <w:pPr>
              <w:rPr>
                <w:sz w:val="18"/>
                <w:szCs w:val="18"/>
                <w:lang w:val="en-GB"/>
              </w:rPr>
            </w:pPr>
          </w:p>
          <w:p w14:paraId="01FB3B6C" w14:textId="77777777" w:rsidR="0018787E" w:rsidRPr="0018787E" w:rsidRDefault="0018787E" w:rsidP="0018787E">
            <w:pPr>
              <w:rPr>
                <w:sz w:val="18"/>
                <w:szCs w:val="18"/>
                <w:lang w:val="en-GB"/>
              </w:rPr>
            </w:pPr>
            <w:r w:rsidRPr="0018787E">
              <w:rPr>
                <w:sz w:val="18"/>
                <w:szCs w:val="18"/>
                <w:lang w:val="en-GB"/>
              </w:rPr>
              <w:t>Annually</w:t>
            </w:r>
          </w:p>
          <w:p w14:paraId="1E235948" w14:textId="77777777" w:rsidR="0018787E" w:rsidRPr="0018787E" w:rsidRDefault="0018787E" w:rsidP="0018787E">
            <w:pPr>
              <w:rPr>
                <w:sz w:val="18"/>
                <w:szCs w:val="18"/>
                <w:lang w:val="en-GB"/>
              </w:rPr>
            </w:pPr>
          </w:p>
          <w:p w14:paraId="4D24D7BB" w14:textId="77777777" w:rsidR="0018787E" w:rsidRPr="0018787E" w:rsidRDefault="0018787E" w:rsidP="0018787E">
            <w:pPr>
              <w:rPr>
                <w:sz w:val="18"/>
                <w:szCs w:val="18"/>
                <w:lang w:val="en-GB"/>
              </w:rPr>
            </w:pPr>
          </w:p>
          <w:p w14:paraId="1974F0BC" w14:textId="77777777" w:rsidR="0018787E" w:rsidRPr="0018787E" w:rsidRDefault="0018787E" w:rsidP="0018787E">
            <w:pPr>
              <w:rPr>
                <w:sz w:val="18"/>
                <w:szCs w:val="18"/>
                <w:lang w:val="en-GB"/>
              </w:rPr>
            </w:pPr>
            <w:r w:rsidRPr="0018787E">
              <w:rPr>
                <w:sz w:val="18"/>
                <w:szCs w:val="18"/>
                <w:lang w:val="en-GB"/>
              </w:rPr>
              <w:t>Annually</w:t>
            </w:r>
          </w:p>
          <w:p w14:paraId="364420EF" w14:textId="77777777" w:rsidR="0018787E" w:rsidRPr="0018787E" w:rsidRDefault="0018787E" w:rsidP="0018787E">
            <w:pPr>
              <w:rPr>
                <w:sz w:val="18"/>
                <w:szCs w:val="18"/>
                <w:lang w:val="en-GB"/>
              </w:rPr>
            </w:pPr>
          </w:p>
          <w:p w14:paraId="6EB032FC" w14:textId="77777777" w:rsidR="0018787E" w:rsidRPr="0018787E" w:rsidRDefault="0018787E" w:rsidP="0018787E">
            <w:pPr>
              <w:rPr>
                <w:sz w:val="18"/>
                <w:szCs w:val="18"/>
                <w:lang w:val="en-GB"/>
              </w:rPr>
            </w:pPr>
          </w:p>
          <w:p w14:paraId="78A0D64B" w14:textId="77777777" w:rsidR="0018787E" w:rsidRPr="0018787E" w:rsidRDefault="0018787E" w:rsidP="0018787E">
            <w:pPr>
              <w:rPr>
                <w:sz w:val="18"/>
                <w:szCs w:val="18"/>
                <w:lang w:val="en-GB"/>
              </w:rPr>
            </w:pPr>
          </w:p>
          <w:p w14:paraId="4D49F90D"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29E440AA" w14:textId="77777777" w:rsidR="0018787E" w:rsidRPr="0018787E" w:rsidRDefault="0018787E" w:rsidP="0018787E">
            <w:pPr>
              <w:rPr>
                <w:sz w:val="18"/>
                <w:szCs w:val="18"/>
                <w:lang w:val="en-GB"/>
              </w:rPr>
            </w:pPr>
            <w:r w:rsidRPr="0018787E">
              <w:rPr>
                <w:sz w:val="18"/>
                <w:szCs w:val="18"/>
                <w:lang w:val="en-GB"/>
              </w:rPr>
              <w:t>National-level</w:t>
            </w:r>
          </w:p>
          <w:p w14:paraId="3491848A" w14:textId="77777777" w:rsidR="0018787E" w:rsidRPr="0018787E" w:rsidRDefault="0018787E" w:rsidP="0018787E">
            <w:pPr>
              <w:rPr>
                <w:sz w:val="18"/>
                <w:szCs w:val="18"/>
                <w:lang w:val="en-GB"/>
              </w:rPr>
            </w:pPr>
          </w:p>
          <w:p w14:paraId="4D96603F" w14:textId="77777777" w:rsidR="0018787E" w:rsidRPr="0018787E" w:rsidRDefault="0018787E" w:rsidP="0018787E">
            <w:pPr>
              <w:rPr>
                <w:sz w:val="18"/>
                <w:szCs w:val="18"/>
                <w:lang w:val="en-GB"/>
              </w:rPr>
            </w:pPr>
          </w:p>
          <w:p w14:paraId="1CF740FB" w14:textId="77777777" w:rsidR="0018787E" w:rsidRPr="0018787E" w:rsidRDefault="0018787E" w:rsidP="0018787E">
            <w:pPr>
              <w:rPr>
                <w:sz w:val="18"/>
                <w:szCs w:val="18"/>
                <w:lang w:val="en-GB"/>
              </w:rPr>
            </w:pPr>
            <w:r w:rsidRPr="0018787E">
              <w:rPr>
                <w:sz w:val="18"/>
                <w:szCs w:val="18"/>
                <w:lang w:val="en-GB"/>
              </w:rPr>
              <w:t>National-level</w:t>
            </w:r>
          </w:p>
          <w:p w14:paraId="5484ACD5" w14:textId="77777777" w:rsidR="0018787E" w:rsidRPr="0018787E" w:rsidRDefault="0018787E" w:rsidP="0018787E">
            <w:pPr>
              <w:rPr>
                <w:sz w:val="18"/>
                <w:szCs w:val="18"/>
                <w:lang w:val="en-GB"/>
              </w:rPr>
            </w:pPr>
          </w:p>
          <w:p w14:paraId="00E74472" w14:textId="77777777" w:rsidR="0018787E" w:rsidRPr="0018787E" w:rsidRDefault="0018787E" w:rsidP="0018787E">
            <w:pPr>
              <w:rPr>
                <w:sz w:val="18"/>
                <w:szCs w:val="18"/>
                <w:lang w:val="en-GB"/>
              </w:rPr>
            </w:pPr>
            <w:r w:rsidRPr="0018787E">
              <w:rPr>
                <w:sz w:val="18"/>
                <w:szCs w:val="18"/>
                <w:lang w:val="en-GB"/>
              </w:rPr>
              <w:t>Regional-level</w:t>
            </w:r>
          </w:p>
          <w:p w14:paraId="43396D74" w14:textId="77777777" w:rsidR="0018787E" w:rsidRPr="0018787E" w:rsidRDefault="0018787E" w:rsidP="0018787E">
            <w:pPr>
              <w:rPr>
                <w:sz w:val="18"/>
                <w:szCs w:val="18"/>
                <w:lang w:val="en-GB"/>
              </w:rPr>
            </w:pPr>
          </w:p>
          <w:p w14:paraId="0D28E325" w14:textId="77777777" w:rsidR="0018787E" w:rsidRPr="0018787E" w:rsidRDefault="0018787E" w:rsidP="0018787E">
            <w:pPr>
              <w:rPr>
                <w:sz w:val="18"/>
                <w:szCs w:val="18"/>
                <w:lang w:val="en-GB"/>
              </w:rPr>
            </w:pPr>
          </w:p>
          <w:p w14:paraId="749EC5E0"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0A1A0E80"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24AAFC2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p w14:paraId="4E98FC40"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5E11FC0A"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72FEEED6"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391D7477"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292FA351" w14:textId="77777777" w:rsidTr="0018787E">
        <w:tc>
          <w:tcPr>
            <w:tcW w:w="1319" w:type="dxa"/>
            <w:vMerge w:val="restart"/>
            <w:vAlign w:val="center"/>
          </w:tcPr>
          <w:p w14:paraId="236F482F" w14:textId="77777777" w:rsidR="0018787E" w:rsidRPr="0018787E" w:rsidRDefault="0018787E" w:rsidP="0018787E">
            <w:pPr>
              <w:rPr>
                <w:sz w:val="18"/>
                <w:szCs w:val="18"/>
                <w:lang w:val="en-GB"/>
              </w:rPr>
            </w:pPr>
            <w:r w:rsidRPr="0018787E">
              <w:rPr>
                <w:sz w:val="18"/>
                <w:szCs w:val="18"/>
                <w:lang w:val="en-GB"/>
              </w:rPr>
              <w:t>3.3: Relationships between central and local governments and the private sector strengthened and formalized</w:t>
            </w:r>
          </w:p>
        </w:tc>
        <w:tc>
          <w:tcPr>
            <w:tcW w:w="1270" w:type="dxa"/>
          </w:tcPr>
          <w:p w14:paraId="7F30E87F" w14:textId="77777777" w:rsidR="0018787E" w:rsidRPr="0018787E" w:rsidRDefault="0018787E" w:rsidP="0018787E">
            <w:pPr>
              <w:spacing w:before="40"/>
              <w:rPr>
                <w:bCs/>
                <w:sz w:val="18"/>
                <w:szCs w:val="18"/>
                <w:lang w:val="en-GB"/>
              </w:rPr>
            </w:pPr>
            <w:r w:rsidRPr="0018787E">
              <w:rPr>
                <w:bCs/>
                <w:sz w:val="18"/>
                <w:szCs w:val="18"/>
                <w:lang w:val="en-GB"/>
              </w:rPr>
              <w:t>Number of public-private partnerships identified and documented</w:t>
            </w:r>
          </w:p>
        </w:tc>
        <w:tc>
          <w:tcPr>
            <w:tcW w:w="1270" w:type="dxa"/>
          </w:tcPr>
          <w:p w14:paraId="12543D89" w14:textId="77777777" w:rsidR="0018787E" w:rsidRPr="0018787E" w:rsidRDefault="0018787E" w:rsidP="0018787E">
            <w:pPr>
              <w:spacing w:before="40"/>
              <w:rPr>
                <w:sz w:val="18"/>
                <w:szCs w:val="18"/>
                <w:lang w:val="en-GB"/>
              </w:rPr>
            </w:pPr>
            <w:r w:rsidRPr="0018787E">
              <w:rPr>
                <w:sz w:val="18"/>
                <w:szCs w:val="18"/>
                <w:lang w:val="en-GB"/>
              </w:rPr>
              <w:t>Many private sector oganisations operate corporate social and environmental responsibility programmes but they are not aligned with SAP implementation</w:t>
            </w:r>
          </w:p>
        </w:tc>
        <w:tc>
          <w:tcPr>
            <w:tcW w:w="1109" w:type="dxa"/>
          </w:tcPr>
          <w:p w14:paraId="44C96BBD" w14:textId="77777777" w:rsidR="0018787E" w:rsidRPr="0018787E" w:rsidRDefault="0018787E" w:rsidP="0018787E">
            <w:pPr>
              <w:rPr>
                <w:sz w:val="18"/>
                <w:szCs w:val="18"/>
                <w:lang w:val="en-GB"/>
              </w:rPr>
            </w:pPr>
            <w:r w:rsidRPr="0018787E">
              <w:rPr>
                <w:sz w:val="18"/>
                <w:szCs w:val="18"/>
                <w:lang w:val="en-GB"/>
              </w:rPr>
              <w:t>Same as end-of-project target</w:t>
            </w:r>
          </w:p>
        </w:tc>
        <w:tc>
          <w:tcPr>
            <w:tcW w:w="1291" w:type="dxa"/>
          </w:tcPr>
          <w:p w14:paraId="7E37099F" w14:textId="77777777" w:rsidR="0018787E" w:rsidRPr="0018787E" w:rsidRDefault="0018787E" w:rsidP="0018787E">
            <w:pPr>
              <w:spacing w:before="40"/>
              <w:rPr>
                <w:sz w:val="18"/>
                <w:szCs w:val="18"/>
                <w:lang w:val="en-GB"/>
              </w:rPr>
            </w:pPr>
            <w:r w:rsidRPr="0018787E">
              <w:rPr>
                <w:sz w:val="18"/>
                <w:szCs w:val="18"/>
                <w:lang w:val="en-GB"/>
              </w:rPr>
              <w:t>Review of past and ongoing public-private partnerships for coastal management in SCS region</w:t>
            </w:r>
          </w:p>
        </w:tc>
        <w:tc>
          <w:tcPr>
            <w:tcW w:w="1269" w:type="dxa"/>
          </w:tcPr>
          <w:p w14:paraId="20792268" w14:textId="77777777" w:rsidR="0018787E" w:rsidRPr="0018787E" w:rsidRDefault="0018787E" w:rsidP="0018787E">
            <w:pPr>
              <w:spacing w:before="40"/>
              <w:rPr>
                <w:bCs/>
                <w:sz w:val="18"/>
                <w:szCs w:val="18"/>
                <w:lang w:val="en-GB"/>
              </w:rPr>
            </w:pPr>
            <w:r w:rsidRPr="0018787E">
              <w:rPr>
                <w:bCs/>
                <w:sz w:val="18"/>
                <w:szCs w:val="18"/>
                <w:lang w:val="en-GB"/>
              </w:rPr>
              <w:t>Review report on public-private partnerships published</w:t>
            </w:r>
          </w:p>
        </w:tc>
        <w:tc>
          <w:tcPr>
            <w:tcW w:w="1440" w:type="dxa"/>
          </w:tcPr>
          <w:p w14:paraId="6229BD2E" w14:textId="77777777" w:rsidR="0018787E" w:rsidRPr="0018787E" w:rsidRDefault="0018787E" w:rsidP="0018787E">
            <w:pPr>
              <w:rPr>
                <w:sz w:val="18"/>
                <w:szCs w:val="18"/>
                <w:lang w:val="en-GB"/>
              </w:rPr>
            </w:pPr>
            <w:r w:rsidRPr="0018787E">
              <w:rPr>
                <w:sz w:val="18"/>
                <w:szCs w:val="18"/>
                <w:lang w:val="en-GB"/>
              </w:rPr>
              <w:t>Annually</w:t>
            </w:r>
          </w:p>
          <w:p w14:paraId="764B7FE6" w14:textId="77777777" w:rsidR="0018787E" w:rsidRPr="0018787E" w:rsidRDefault="0018787E" w:rsidP="0018787E">
            <w:pPr>
              <w:rPr>
                <w:sz w:val="18"/>
                <w:szCs w:val="18"/>
                <w:lang w:val="en-GB"/>
              </w:rPr>
            </w:pPr>
            <w:r w:rsidRPr="0018787E">
              <w:rPr>
                <w:sz w:val="18"/>
                <w:szCs w:val="18"/>
                <w:lang w:val="en-GB"/>
              </w:rPr>
              <w:br/>
            </w:r>
          </w:p>
          <w:p w14:paraId="497693DD" w14:textId="77777777" w:rsidR="0018787E" w:rsidRPr="0018787E" w:rsidRDefault="0018787E" w:rsidP="0018787E">
            <w:pPr>
              <w:rPr>
                <w:sz w:val="18"/>
                <w:szCs w:val="18"/>
                <w:lang w:val="en-GB"/>
              </w:rPr>
            </w:pPr>
          </w:p>
          <w:p w14:paraId="6513621F" w14:textId="77777777" w:rsidR="0018787E" w:rsidRPr="0018787E" w:rsidRDefault="0018787E" w:rsidP="0018787E">
            <w:pPr>
              <w:rPr>
                <w:sz w:val="18"/>
                <w:szCs w:val="18"/>
                <w:lang w:val="en-GB"/>
              </w:rPr>
            </w:pPr>
            <w:r w:rsidRPr="0018787E">
              <w:rPr>
                <w:sz w:val="18"/>
                <w:szCs w:val="18"/>
                <w:lang w:val="en-GB"/>
              </w:rPr>
              <w:t>Annually</w:t>
            </w:r>
          </w:p>
          <w:p w14:paraId="33A81B20" w14:textId="77777777" w:rsidR="0018787E" w:rsidRPr="0018787E" w:rsidRDefault="0018787E" w:rsidP="0018787E">
            <w:pPr>
              <w:rPr>
                <w:sz w:val="18"/>
                <w:szCs w:val="18"/>
                <w:lang w:val="en-GB"/>
              </w:rPr>
            </w:pPr>
          </w:p>
          <w:p w14:paraId="532568A0" w14:textId="77777777" w:rsidR="0018787E" w:rsidRPr="0018787E" w:rsidRDefault="0018787E" w:rsidP="0018787E">
            <w:pPr>
              <w:rPr>
                <w:sz w:val="18"/>
                <w:szCs w:val="18"/>
                <w:lang w:val="en-GB"/>
              </w:rPr>
            </w:pPr>
          </w:p>
          <w:p w14:paraId="5D2B9F56" w14:textId="77777777" w:rsidR="0018787E" w:rsidRPr="0018787E" w:rsidRDefault="0018787E" w:rsidP="0018787E">
            <w:pPr>
              <w:rPr>
                <w:sz w:val="18"/>
                <w:szCs w:val="18"/>
                <w:lang w:val="en-GB"/>
              </w:rPr>
            </w:pPr>
            <w:r w:rsidRPr="0018787E">
              <w:rPr>
                <w:sz w:val="18"/>
                <w:szCs w:val="18"/>
                <w:lang w:val="en-GB"/>
              </w:rPr>
              <w:t>Annually</w:t>
            </w:r>
          </w:p>
          <w:p w14:paraId="6D8C7E95" w14:textId="77777777" w:rsidR="0018787E" w:rsidRPr="0018787E" w:rsidRDefault="0018787E" w:rsidP="0018787E">
            <w:pPr>
              <w:rPr>
                <w:sz w:val="18"/>
                <w:szCs w:val="18"/>
                <w:lang w:val="en-GB"/>
              </w:rPr>
            </w:pPr>
          </w:p>
          <w:p w14:paraId="41E0F9E3" w14:textId="77777777" w:rsidR="0018787E" w:rsidRPr="0018787E" w:rsidRDefault="0018787E" w:rsidP="0018787E">
            <w:pPr>
              <w:rPr>
                <w:sz w:val="18"/>
                <w:szCs w:val="18"/>
                <w:lang w:val="en-GB"/>
              </w:rPr>
            </w:pPr>
          </w:p>
          <w:p w14:paraId="6EDF58B2" w14:textId="77777777" w:rsidR="0018787E" w:rsidRPr="0018787E" w:rsidRDefault="0018787E" w:rsidP="0018787E">
            <w:pPr>
              <w:rPr>
                <w:sz w:val="18"/>
                <w:szCs w:val="18"/>
                <w:lang w:val="en-GB"/>
              </w:rPr>
            </w:pPr>
          </w:p>
          <w:p w14:paraId="095A9FB3"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74AD5364" w14:textId="77777777" w:rsidR="0018787E" w:rsidRPr="0018787E" w:rsidRDefault="0018787E" w:rsidP="0018787E">
            <w:pPr>
              <w:rPr>
                <w:sz w:val="18"/>
                <w:szCs w:val="18"/>
                <w:lang w:val="en-GB"/>
              </w:rPr>
            </w:pPr>
            <w:r w:rsidRPr="0018787E">
              <w:rPr>
                <w:sz w:val="18"/>
                <w:szCs w:val="18"/>
                <w:lang w:val="en-GB"/>
              </w:rPr>
              <w:t>National-level</w:t>
            </w:r>
          </w:p>
          <w:p w14:paraId="38651A77" w14:textId="77777777" w:rsidR="0018787E" w:rsidRPr="0018787E" w:rsidRDefault="0018787E" w:rsidP="0018787E">
            <w:pPr>
              <w:rPr>
                <w:sz w:val="18"/>
                <w:szCs w:val="18"/>
                <w:lang w:val="en-GB"/>
              </w:rPr>
            </w:pPr>
          </w:p>
          <w:p w14:paraId="19B519E1" w14:textId="77777777" w:rsidR="0018787E" w:rsidRPr="0018787E" w:rsidRDefault="0018787E" w:rsidP="0018787E">
            <w:pPr>
              <w:rPr>
                <w:sz w:val="18"/>
                <w:szCs w:val="18"/>
                <w:lang w:val="en-GB"/>
              </w:rPr>
            </w:pPr>
          </w:p>
          <w:p w14:paraId="53AE8DA0" w14:textId="77777777" w:rsidR="0018787E" w:rsidRPr="0018787E" w:rsidRDefault="0018787E" w:rsidP="0018787E">
            <w:pPr>
              <w:rPr>
                <w:sz w:val="18"/>
                <w:szCs w:val="18"/>
                <w:lang w:val="en-GB"/>
              </w:rPr>
            </w:pPr>
            <w:r w:rsidRPr="0018787E">
              <w:rPr>
                <w:sz w:val="18"/>
                <w:szCs w:val="18"/>
                <w:lang w:val="en-GB"/>
              </w:rPr>
              <w:t>National-level</w:t>
            </w:r>
          </w:p>
          <w:p w14:paraId="6A7C1880" w14:textId="77777777" w:rsidR="0018787E" w:rsidRPr="0018787E" w:rsidRDefault="0018787E" w:rsidP="0018787E">
            <w:pPr>
              <w:rPr>
                <w:sz w:val="18"/>
                <w:szCs w:val="18"/>
                <w:lang w:val="en-GB"/>
              </w:rPr>
            </w:pPr>
          </w:p>
          <w:p w14:paraId="35C4DD7D" w14:textId="77777777" w:rsidR="0018787E" w:rsidRPr="0018787E" w:rsidRDefault="0018787E" w:rsidP="0018787E">
            <w:pPr>
              <w:rPr>
                <w:sz w:val="18"/>
                <w:szCs w:val="18"/>
                <w:lang w:val="en-GB"/>
              </w:rPr>
            </w:pPr>
            <w:r w:rsidRPr="0018787E">
              <w:rPr>
                <w:sz w:val="18"/>
                <w:szCs w:val="18"/>
                <w:lang w:val="en-GB"/>
              </w:rPr>
              <w:t>Regional-level</w:t>
            </w:r>
          </w:p>
          <w:p w14:paraId="5C71C8F8" w14:textId="77777777" w:rsidR="0018787E" w:rsidRPr="0018787E" w:rsidRDefault="0018787E" w:rsidP="0018787E">
            <w:pPr>
              <w:rPr>
                <w:sz w:val="18"/>
                <w:szCs w:val="18"/>
                <w:lang w:val="en-GB"/>
              </w:rPr>
            </w:pPr>
          </w:p>
          <w:p w14:paraId="1437B3A7" w14:textId="77777777" w:rsidR="0018787E" w:rsidRPr="0018787E" w:rsidRDefault="0018787E" w:rsidP="0018787E">
            <w:pPr>
              <w:rPr>
                <w:sz w:val="18"/>
                <w:szCs w:val="18"/>
                <w:lang w:val="en-GB"/>
              </w:rPr>
            </w:pPr>
          </w:p>
          <w:p w14:paraId="37F3D42D"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201F9944"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77479426"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p w14:paraId="100B7CD4"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23C090C8"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2D7F123D"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7EEB6FDE"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04A8DDF5" w14:textId="77777777" w:rsidTr="0018787E">
        <w:tc>
          <w:tcPr>
            <w:tcW w:w="1319" w:type="dxa"/>
            <w:vMerge/>
          </w:tcPr>
          <w:p w14:paraId="23992415" w14:textId="77777777" w:rsidR="0018787E" w:rsidRPr="0018787E" w:rsidRDefault="0018787E" w:rsidP="0018787E">
            <w:pPr>
              <w:rPr>
                <w:sz w:val="18"/>
                <w:szCs w:val="18"/>
                <w:lang w:val="en-GB"/>
              </w:rPr>
            </w:pPr>
          </w:p>
        </w:tc>
        <w:tc>
          <w:tcPr>
            <w:tcW w:w="1270" w:type="dxa"/>
          </w:tcPr>
          <w:p w14:paraId="450A024F" w14:textId="77777777" w:rsidR="0018787E" w:rsidRPr="0018787E" w:rsidRDefault="0018787E" w:rsidP="0018787E">
            <w:pPr>
              <w:spacing w:before="40"/>
              <w:rPr>
                <w:bCs/>
                <w:sz w:val="18"/>
                <w:szCs w:val="18"/>
                <w:lang w:val="en-GB"/>
              </w:rPr>
            </w:pPr>
            <w:r w:rsidRPr="0018787E">
              <w:rPr>
                <w:bCs/>
                <w:sz w:val="18"/>
                <w:szCs w:val="18"/>
                <w:lang w:val="en-GB"/>
              </w:rPr>
              <w:t>Number of opportunities for private sector investment in SAP implementation identified</w:t>
            </w:r>
          </w:p>
        </w:tc>
        <w:tc>
          <w:tcPr>
            <w:tcW w:w="1270" w:type="dxa"/>
          </w:tcPr>
          <w:p w14:paraId="2C0771E2" w14:textId="77777777" w:rsidR="0018787E" w:rsidRPr="0018787E" w:rsidRDefault="0018787E" w:rsidP="0018787E">
            <w:pPr>
              <w:spacing w:before="40"/>
              <w:rPr>
                <w:sz w:val="18"/>
                <w:szCs w:val="18"/>
                <w:lang w:val="en-GB"/>
              </w:rPr>
            </w:pPr>
            <w:r w:rsidRPr="0018787E">
              <w:rPr>
                <w:sz w:val="18"/>
                <w:szCs w:val="18"/>
                <w:lang w:val="en-GB"/>
              </w:rPr>
              <w:t>Significant commercial enterprise is conducted in waters of the South China Sea, particularly in the areas of oil and gas, fisheries and tourism</w:t>
            </w:r>
          </w:p>
        </w:tc>
        <w:tc>
          <w:tcPr>
            <w:tcW w:w="1109" w:type="dxa"/>
          </w:tcPr>
          <w:p w14:paraId="34A8B522" w14:textId="77777777" w:rsidR="0018787E" w:rsidRPr="0018787E" w:rsidRDefault="0018787E" w:rsidP="0018787E">
            <w:pPr>
              <w:rPr>
                <w:sz w:val="18"/>
                <w:szCs w:val="18"/>
                <w:lang w:val="en-GB"/>
              </w:rPr>
            </w:pPr>
            <w:r w:rsidRPr="0018787E">
              <w:rPr>
                <w:sz w:val="18"/>
                <w:szCs w:val="18"/>
                <w:lang w:val="en-GB"/>
              </w:rPr>
              <w:t>Communications and engagement strategies developed with aim of establishing interest among private sector entities in SAP implementation</w:t>
            </w:r>
          </w:p>
        </w:tc>
        <w:tc>
          <w:tcPr>
            <w:tcW w:w="1291" w:type="dxa"/>
          </w:tcPr>
          <w:p w14:paraId="47399E83" w14:textId="77777777" w:rsidR="0018787E" w:rsidRPr="0018787E" w:rsidRDefault="0018787E" w:rsidP="0018787E">
            <w:pPr>
              <w:spacing w:before="40"/>
              <w:rPr>
                <w:sz w:val="18"/>
                <w:szCs w:val="18"/>
                <w:lang w:val="en-GB"/>
              </w:rPr>
            </w:pPr>
            <w:r w:rsidRPr="0018787E">
              <w:rPr>
                <w:sz w:val="18"/>
                <w:szCs w:val="18"/>
                <w:lang w:val="en-GB"/>
              </w:rPr>
              <w:t>Identification of opportunities for private sector investment (e.g. oil and gas, fisheries, tourism) in implementation of the updated SAP</w:t>
            </w:r>
          </w:p>
        </w:tc>
        <w:tc>
          <w:tcPr>
            <w:tcW w:w="1269" w:type="dxa"/>
          </w:tcPr>
          <w:p w14:paraId="0882D42C" w14:textId="77777777" w:rsidR="0018787E" w:rsidRPr="0018787E" w:rsidRDefault="0018787E" w:rsidP="0018787E">
            <w:pPr>
              <w:spacing w:before="40"/>
              <w:rPr>
                <w:bCs/>
                <w:sz w:val="18"/>
                <w:szCs w:val="18"/>
                <w:lang w:val="en-GB"/>
              </w:rPr>
            </w:pPr>
            <w:r w:rsidRPr="0018787E">
              <w:rPr>
                <w:bCs/>
                <w:sz w:val="18"/>
                <w:szCs w:val="18"/>
                <w:lang w:val="en-GB"/>
              </w:rPr>
              <w:t>Letters of commitment from private sector entities with regards to support for SAP implementation</w:t>
            </w:r>
          </w:p>
        </w:tc>
        <w:tc>
          <w:tcPr>
            <w:tcW w:w="1440" w:type="dxa"/>
          </w:tcPr>
          <w:p w14:paraId="1E124187" w14:textId="77777777" w:rsidR="0018787E" w:rsidRPr="0018787E" w:rsidRDefault="0018787E" w:rsidP="0018787E">
            <w:pPr>
              <w:rPr>
                <w:sz w:val="18"/>
                <w:szCs w:val="18"/>
                <w:lang w:val="en-GB"/>
              </w:rPr>
            </w:pPr>
            <w:r w:rsidRPr="0018787E">
              <w:rPr>
                <w:sz w:val="18"/>
                <w:szCs w:val="18"/>
                <w:lang w:val="en-GB"/>
              </w:rPr>
              <w:t>Annually</w:t>
            </w:r>
          </w:p>
          <w:p w14:paraId="3D688B98" w14:textId="77777777" w:rsidR="0018787E" w:rsidRPr="0018787E" w:rsidRDefault="0018787E" w:rsidP="0018787E">
            <w:pPr>
              <w:rPr>
                <w:sz w:val="18"/>
                <w:szCs w:val="18"/>
                <w:lang w:val="en-GB"/>
              </w:rPr>
            </w:pPr>
            <w:r w:rsidRPr="0018787E">
              <w:rPr>
                <w:sz w:val="18"/>
                <w:szCs w:val="18"/>
                <w:lang w:val="en-GB"/>
              </w:rPr>
              <w:br/>
            </w:r>
          </w:p>
          <w:p w14:paraId="6EC01EDB" w14:textId="77777777" w:rsidR="0018787E" w:rsidRPr="0018787E" w:rsidRDefault="0018787E" w:rsidP="0018787E">
            <w:pPr>
              <w:rPr>
                <w:sz w:val="18"/>
                <w:szCs w:val="18"/>
                <w:lang w:val="en-GB"/>
              </w:rPr>
            </w:pPr>
          </w:p>
          <w:p w14:paraId="5B6CB330" w14:textId="77777777" w:rsidR="0018787E" w:rsidRPr="0018787E" w:rsidRDefault="0018787E" w:rsidP="0018787E">
            <w:pPr>
              <w:rPr>
                <w:sz w:val="18"/>
                <w:szCs w:val="18"/>
                <w:lang w:val="en-GB"/>
              </w:rPr>
            </w:pPr>
            <w:r w:rsidRPr="0018787E">
              <w:rPr>
                <w:sz w:val="18"/>
                <w:szCs w:val="18"/>
                <w:lang w:val="en-GB"/>
              </w:rPr>
              <w:t>Annually</w:t>
            </w:r>
          </w:p>
          <w:p w14:paraId="74232D8C" w14:textId="77777777" w:rsidR="0018787E" w:rsidRPr="0018787E" w:rsidRDefault="0018787E" w:rsidP="0018787E">
            <w:pPr>
              <w:rPr>
                <w:sz w:val="18"/>
                <w:szCs w:val="18"/>
                <w:lang w:val="en-GB"/>
              </w:rPr>
            </w:pPr>
          </w:p>
          <w:p w14:paraId="04975065" w14:textId="77777777" w:rsidR="0018787E" w:rsidRPr="0018787E" w:rsidRDefault="0018787E" w:rsidP="0018787E">
            <w:pPr>
              <w:rPr>
                <w:sz w:val="18"/>
                <w:szCs w:val="18"/>
                <w:lang w:val="en-GB"/>
              </w:rPr>
            </w:pPr>
          </w:p>
          <w:p w14:paraId="3BF3E1F9" w14:textId="77777777" w:rsidR="0018787E" w:rsidRPr="0018787E" w:rsidRDefault="0018787E" w:rsidP="0018787E">
            <w:pPr>
              <w:rPr>
                <w:sz w:val="18"/>
                <w:szCs w:val="18"/>
                <w:lang w:val="en-GB"/>
              </w:rPr>
            </w:pPr>
            <w:r w:rsidRPr="0018787E">
              <w:rPr>
                <w:sz w:val="18"/>
                <w:szCs w:val="18"/>
                <w:lang w:val="en-GB"/>
              </w:rPr>
              <w:t>Annually</w:t>
            </w:r>
          </w:p>
          <w:p w14:paraId="1630D88A" w14:textId="77777777" w:rsidR="0018787E" w:rsidRPr="0018787E" w:rsidRDefault="0018787E" w:rsidP="0018787E">
            <w:pPr>
              <w:rPr>
                <w:sz w:val="18"/>
                <w:szCs w:val="18"/>
                <w:lang w:val="en-GB"/>
              </w:rPr>
            </w:pPr>
          </w:p>
          <w:p w14:paraId="6AEFD9C2" w14:textId="77777777" w:rsidR="0018787E" w:rsidRPr="0018787E" w:rsidRDefault="0018787E" w:rsidP="0018787E">
            <w:pPr>
              <w:rPr>
                <w:sz w:val="18"/>
                <w:szCs w:val="18"/>
                <w:lang w:val="en-GB"/>
              </w:rPr>
            </w:pPr>
          </w:p>
          <w:p w14:paraId="0E81C717" w14:textId="77777777" w:rsidR="0018787E" w:rsidRPr="0018787E" w:rsidRDefault="0018787E" w:rsidP="0018787E">
            <w:pPr>
              <w:rPr>
                <w:sz w:val="18"/>
                <w:szCs w:val="18"/>
                <w:lang w:val="en-GB"/>
              </w:rPr>
            </w:pPr>
          </w:p>
          <w:p w14:paraId="23BF6824"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010AFC0F" w14:textId="77777777" w:rsidR="0018787E" w:rsidRPr="0018787E" w:rsidRDefault="0018787E" w:rsidP="0018787E">
            <w:pPr>
              <w:rPr>
                <w:sz w:val="18"/>
                <w:szCs w:val="18"/>
                <w:lang w:val="en-GB"/>
              </w:rPr>
            </w:pPr>
            <w:r w:rsidRPr="0018787E">
              <w:rPr>
                <w:sz w:val="18"/>
                <w:szCs w:val="18"/>
                <w:lang w:val="en-GB"/>
              </w:rPr>
              <w:t>National-level</w:t>
            </w:r>
          </w:p>
          <w:p w14:paraId="1D7469CC" w14:textId="77777777" w:rsidR="0018787E" w:rsidRPr="0018787E" w:rsidRDefault="0018787E" w:rsidP="0018787E">
            <w:pPr>
              <w:rPr>
                <w:sz w:val="18"/>
                <w:szCs w:val="18"/>
                <w:lang w:val="en-GB"/>
              </w:rPr>
            </w:pPr>
          </w:p>
          <w:p w14:paraId="160B803E" w14:textId="77777777" w:rsidR="0018787E" w:rsidRPr="0018787E" w:rsidRDefault="0018787E" w:rsidP="0018787E">
            <w:pPr>
              <w:rPr>
                <w:sz w:val="18"/>
                <w:szCs w:val="18"/>
                <w:lang w:val="en-GB"/>
              </w:rPr>
            </w:pPr>
          </w:p>
          <w:p w14:paraId="5243944A" w14:textId="77777777" w:rsidR="0018787E" w:rsidRPr="0018787E" w:rsidRDefault="0018787E" w:rsidP="0018787E">
            <w:pPr>
              <w:rPr>
                <w:sz w:val="18"/>
                <w:szCs w:val="18"/>
                <w:lang w:val="en-GB"/>
              </w:rPr>
            </w:pPr>
            <w:r w:rsidRPr="0018787E">
              <w:rPr>
                <w:sz w:val="18"/>
                <w:szCs w:val="18"/>
                <w:lang w:val="en-GB"/>
              </w:rPr>
              <w:t>National-level</w:t>
            </w:r>
          </w:p>
          <w:p w14:paraId="059CC134" w14:textId="77777777" w:rsidR="0018787E" w:rsidRPr="0018787E" w:rsidRDefault="0018787E" w:rsidP="0018787E">
            <w:pPr>
              <w:rPr>
                <w:sz w:val="18"/>
                <w:szCs w:val="18"/>
                <w:lang w:val="en-GB"/>
              </w:rPr>
            </w:pPr>
          </w:p>
          <w:p w14:paraId="69AC894E" w14:textId="77777777" w:rsidR="0018787E" w:rsidRPr="0018787E" w:rsidRDefault="0018787E" w:rsidP="0018787E">
            <w:pPr>
              <w:rPr>
                <w:sz w:val="18"/>
                <w:szCs w:val="18"/>
                <w:lang w:val="en-GB"/>
              </w:rPr>
            </w:pPr>
            <w:r w:rsidRPr="0018787E">
              <w:rPr>
                <w:sz w:val="18"/>
                <w:szCs w:val="18"/>
                <w:lang w:val="en-GB"/>
              </w:rPr>
              <w:t>Regional-level</w:t>
            </w:r>
          </w:p>
          <w:p w14:paraId="1B1C75FE" w14:textId="77777777" w:rsidR="0018787E" w:rsidRPr="0018787E" w:rsidRDefault="0018787E" w:rsidP="0018787E">
            <w:pPr>
              <w:rPr>
                <w:sz w:val="18"/>
                <w:szCs w:val="18"/>
                <w:lang w:val="en-GB"/>
              </w:rPr>
            </w:pPr>
          </w:p>
          <w:p w14:paraId="2DE74008" w14:textId="77777777" w:rsidR="0018787E" w:rsidRPr="0018787E" w:rsidRDefault="0018787E" w:rsidP="0018787E">
            <w:pPr>
              <w:rPr>
                <w:sz w:val="18"/>
                <w:szCs w:val="18"/>
                <w:lang w:val="en-GB"/>
              </w:rPr>
            </w:pPr>
          </w:p>
          <w:p w14:paraId="1B903392"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06173884"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43DFD69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p w14:paraId="7D37AF3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5C4923A6"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7CE97556"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234762E0"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29F178CD" w14:textId="77777777" w:rsidTr="0018787E">
        <w:tc>
          <w:tcPr>
            <w:tcW w:w="1319" w:type="dxa"/>
            <w:vMerge/>
          </w:tcPr>
          <w:p w14:paraId="5D57A46B" w14:textId="77777777" w:rsidR="0018787E" w:rsidRPr="0018787E" w:rsidRDefault="0018787E" w:rsidP="0018787E">
            <w:pPr>
              <w:rPr>
                <w:sz w:val="18"/>
                <w:szCs w:val="18"/>
                <w:lang w:val="en-GB"/>
              </w:rPr>
            </w:pPr>
          </w:p>
        </w:tc>
        <w:tc>
          <w:tcPr>
            <w:tcW w:w="1270" w:type="dxa"/>
          </w:tcPr>
          <w:p w14:paraId="064B815B" w14:textId="77777777" w:rsidR="0018787E" w:rsidRPr="0018787E" w:rsidRDefault="0018787E" w:rsidP="0018787E">
            <w:pPr>
              <w:spacing w:before="40"/>
              <w:rPr>
                <w:bCs/>
                <w:sz w:val="18"/>
                <w:szCs w:val="18"/>
                <w:lang w:val="en-GB"/>
              </w:rPr>
            </w:pPr>
            <w:r w:rsidRPr="0018787E">
              <w:rPr>
                <w:bCs/>
                <w:sz w:val="18"/>
                <w:szCs w:val="18"/>
                <w:lang w:val="en-GB"/>
              </w:rPr>
              <w:t>Status of agreement on financial arrangements for private sector and donor investment in the implementation of the revised Strategic Action Programme</w:t>
            </w:r>
          </w:p>
        </w:tc>
        <w:tc>
          <w:tcPr>
            <w:tcW w:w="1270" w:type="dxa"/>
          </w:tcPr>
          <w:p w14:paraId="19AE236D" w14:textId="77777777" w:rsidR="0018787E" w:rsidRPr="0018787E" w:rsidRDefault="0018787E" w:rsidP="0018787E">
            <w:pPr>
              <w:spacing w:before="40"/>
              <w:rPr>
                <w:sz w:val="18"/>
                <w:szCs w:val="18"/>
                <w:lang w:val="en-GB"/>
              </w:rPr>
            </w:pPr>
            <w:r w:rsidRPr="0018787E">
              <w:rPr>
                <w:sz w:val="18"/>
                <w:szCs w:val="18"/>
                <w:lang w:val="en-GB"/>
              </w:rPr>
              <w:t>Low-level mobilization of the private sector in environmental investment planning in the South China Sea</w:t>
            </w:r>
          </w:p>
        </w:tc>
        <w:tc>
          <w:tcPr>
            <w:tcW w:w="1109" w:type="dxa"/>
          </w:tcPr>
          <w:p w14:paraId="4891DC3F" w14:textId="77777777" w:rsidR="0018787E" w:rsidRPr="0018787E" w:rsidRDefault="0018787E" w:rsidP="0018787E">
            <w:pPr>
              <w:rPr>
                <w:sz w:val="18"/>
                <w:szCs w:val="18"/>
                <w:lang w:val="en-GB"/>
              </w:rPr>
            </w:pPr>
            <w:r w:rsidRPr="0018787E">
              <w:rPr>
                <w:sz w:val="18"/>
                <w:szCs w:val="18"/>
                <w:lang w:val="en-GB"/>
              </w:rPr>
              <w:t>One (1) partnership forum convened</w:t>
            </w:r>
          </w:p>
        </w:tc>
        <w:tc>
          <w:tcPr>
            <w:tcW w:w="1291" w:type="dxa"/>
          </w:tcPr>
          <w:p w14:paraId="1EBB39F3" w14:textId="77777777" w:rsidR="0018787E" w:rsidRPr="0018787E" w:rsidRDefault="0018787E" w:rsidP="0018787E">
            <w:pPr>
              <w:spacing w:before="40"/>
              <w:rPr>
                <w:sz w:val="18"/>
                <w:szCs w:val="18"/>
                <w:lang w:val="en-GB"/>
              </w:rPr>
            </w:pPr>
            <w:r w:rsidRPr="0018787E">
              <w:rPr>
                <w:sz w:val="18"/>
                <w:szCs w:val="18"/>
                <w:lang w:val="en-GB"/>
              </w:rPr>
              <w:t>Two partnership forums to facilitate cooperation with private sector on implementation of the updated SAP</w:t>
            </w:r>
          </w:p>
        </w:tc>
        <w:tc>
          <w:tcPr>
            <w:tcW w:w="1269" w:type="dxa"/>
          </w:tcPr>
          <w:p w14:paraId="0FAAE9AF" w14:textId="77777777" w:rsidR="0018787E" w:rsidRPr="0018787E" w:rsidRDefault="0018787E" w:rsidP="0018787E">
            <w:pPr>
              <w:spacing w:before="40"/>
              <w:rPr>
                <w:bCs/>
                <w:sz w:val="18"/>
                <w:szCs w:val="18"/>
                <w:lang w:val="en-GB"/>
              </w:rPr>
            </w:pPr>
            <w:r w:rsidRPr="0018787E">
              <w:rPr>
                <w:bCs/>
                <w:sz w:val="18"/>
                <w:szCs w:val="18"/>
                <w:lang w:val="en-GB"/>
              </w:rPr>
              <w:t>Letters of investment commitment from private sector partners and donors</w:t>
            </w:r>
          </w:p>
        </w:tc>
        <w:tc>
          <w:tcPr>
            <w:tcW w:w="1440" w:type="dxa"/>
          </w:tcPr>
          <w:p w14:paraId="2AD3A037" w14:textId="77777777" w:rsidR="0018787E" w:rsidRPr="0018787E" w:rsidRDefault="0018787E" w:rsidP="0018787E">
            <w:pPr>
              <w:rPr>
                <w:sz w:val="18"/>
                <w:szCs w:val="18"/>
                <w:lang w:val="en-GB"/>
              </w:rPr>
            </w:pPr>
            <w:r w:rsidRPr="0018787E">
              <w:rPr>
                <w:sz w:val="18"/>
                <w:szCs w:val="18"/>
                <w:lang w:val="en-GB"/>
              </w:rPr>
              <w:t>Annually</w:t>
            </w:r>
          </w:p>
          <w:p w14:paraId="13B615F4" w14:textId="77777777" w:rsidR="0018787E" w:rsidRPr="0018787E" w:rsidRDefault="0018787E" w:rsidP="0018787E">
            <w:pPr>
              <w:rPr>
                <w:sz w:val="18"/>
                <w:szCs w:val="18"/>
                <w:lang w:val="en-GB"/>
              </w:rPr>
            </w:pPr>
            <w:r w:rsidRPr="0018787E">
              <w:rPr>
                <w:sz w:val="18"/>
                <w:szCs w:val="18"/>
                <w:lang w:val="en-GB"/>
              </w:rPr>
              <w:br/>
            </w:r>
          </w:p>
          <w:p w14:paraId="4B74FF6A" w14:textId="77777777" w:rsidR="0018787E" w:rsidRPr="0018787E" w:rsidRDefault="0018787E" w:rsidP="0018787E">
            <w:pPr>
              <w:rPr>
                <w:sz w:val="18"/>
                <w:szCs w:val="18"/>
                <w:lang w:val="en-GB"/>
              </w:rPr>
            </w:pPr>
          </w:p>
          <w:p w14:paraId="6277742D" w14:textId="77777777" w:rsidR="0018787E" w:rsidRPr="0018787E" w:rsidRDefault="0018787E" w:rsidP="0018787E">
            <w:pPr>
              <w:rPr>
                <w:sz w:val="18"/>
                <w:szCs w:val="18"/>
                <w:lang w:val="en-GB"/>
              </w:rPr>
            </w:pPr>
            <w:r w:rsidRPr="0018787E">
              <w:rPr>
                <w:sz w:val="18"/>
                <w:szCs w:val="18"/>
                <w:lang w:val="en-GB"/>
              </w:rPr>
              <w:t>Annually</w:t>
            </w:r>
          </w:p>
          <w:p w14:paraId="1BB0C70E" w14:textId="77777777" w:rsidR="0018787E" w:rsidRPr="0018787E" w:rsidRDefault="0018787E" w:rsidP="0018787E">
            <w:pPr>
              <w:rPr>
                <w:sz w:val="18"/>
                <w:szCs w:val="18"/>
                <w:lang w:val="en-GB"/>
              </w:rPr>
            </w:pPr>
          </w:p>
          <w:p w14:paraId="67D11C5B" w14:textId="77777777" w:rsidR="0018787E" w:rsidRPr="0018787E" w:rsidRDefault="0018787E" w:rsidP="0018787E">
            <w:pPr>
              <w:rPr>
                <w:sz w:val="18"/>
                <w:szCs w:val="18"/>
                <w:lang w:val="en-GB"/>
              </w:rPr>
            </w:pPr>
          </w:p>
          <w:p w14:paraId="5C39B8B5" w14:textId="77777777" w:rsidR="0018787E" w:rsidRPr="0018787E" w:rsidRDefault="0018787E" w:rsidP="0018787E">
            <w:pPr>
              <w:rPr>
                <w:sz w:val="18"/>
                <w:szCs w:val="18"/>
                <w:lang w:val="en-GB"/>
              </w:rPr>
            </w:pPr>
            <w:r w:rsidRPr="0018787E">
              <w:rPr>
                <w:sz w:val="18"/>
                <w:szCs w:val="18"/>
                <w:lang w:val="en-GB"/>
              </w:rPr>
              <w:t>Annually</w:t>
            </w:r>
          </w:p>
          <w:p w14:paraId="2D6FD5F1" w14:textId="77777777" w:rsidR="0018787E" w:rsidRPr="0018787E" w:rsidRDefault="0018787E" w:rsidP="0018787E">
            <w:pPr>
              <w:rPr>
                <w:sz w:val="18"/>
                <w:szCs w:val="18"/>
                <w:lang w:val="en-GB"/>
              </w:rPr>
            </w:pPr>
          </w:p>
          <w:p w14:paraId="366F3E64" w14:textId="77777777" w:rsidR="0018787E" w:rsidRPr="0018787E" w:rsidRDefault="0018787E" w:rsidP="0018787E">
            <w:pPr>
              <w:rPr>
                <w:sz w:val="18"/>
                <w:szCs w:val="18"/>
                <w:lang w:val="en-GB"/>
              </w:rPr>
            </w:pPr>
          </w:p>
          <w:p w14:paraId="64B952E0" w14:textId="77777777" w:rsidR="0018787E" w:rsidRPr="0018787E" w:rsidRDefault="0018787E" w:rsidP="0018787E">
            <w:pPr>
              <w:rPr>
                <w:sz w:val="18"/>
                <w:szCs w:val="18"/>
                <w:lang w:val="en-GB"/>
              </w:rPr>
            </w:pPr>
          </w:p>
          <w:p w14:paraId="34AD3F55"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75635F31" w14:textId="77777777" w:rsidR="0018787E" w:rsidRPr="0018787E" w:rsidRDefault="0018787E" w:rsidP="0018787E">
            <w:pPr>
              <w:rPr>
                <w:sz w:val="18"/>
                <w:szCs w:val="18"/>
                <w:lang w:val="en-GB"/>
              </w:rPr>
            </w:pPr>
            <w:r w:rsidRPr="0018787E">
              <w:rPr>
                <w:sz w:val="18"/>
                <w:szCs w:val="18"/>
                <w:lang w:val="en-GB"/>
              </w:rPr>
              <w:t>National-level</w:t>
            </w:r>
          </w:p>
          <w:p w14:paraId="0047C74D" w14:textId="77777777" w:rsidR="0018787E" w:rsidRPr="0018787E" w:rsidRDefault="0018787E" w:rsidP="0018787E">
            <w:pPr>
              <w:rPr>
                <w:sz w:val="18"/>
                <w:szCs w:val="18"/>
                <w:lang w:val="en-GB"/>
              </w:rPr>
            </w:pPr>
          </w:p>
          <w:p w14:paraId="5CB5890C" w14:textId="77777777" w:rsidR="0018787E" w:rsidRPr="0018787E" w:rsidRDefault="0018787E" w:rsidP="0018787E">
            <w:pPr>
              <w:rPr>
                <w:sz w:val="18"/>
                <w:szCs w:val="18"/>
                <w:lang w:val="en-GB"/>
              </w:rPr>
            </w:pPr>
          </w:p>
          <w:p w14:paraId="3B57746B" w14:textId="77777777" w:rsidR="0018787E" w:rsidRPr="0018787E" w:rsidRDefault="0018787E" w:rsidP="0018787E">
            <w:pPr>
              <w:rPr>
                <w:sz w:val="18"/>
                <w:szCs w:val="18"/>
                <w:lang w:val="en-GB"/>
              </w:rPr>
            </w:pPr>
            <w:r w:rsidRPr="0018787E">
              <w:rPr>
                <w:sz w:val="18"/>
                <w:szCs w:val="18"/>
                <w:lang w:val="en-GB"/>
              </w:rPr>
              <w:t>National-level</w:t>
            </w:r>
          </w:p>
          <w:p w14:paraId="2519F3AE" w14:textId="77777777" w:rsidR="0018787E" w:rsidRPr="0018787E" w:rsidRDefault="0018787E" w:rsidP="0018787E">
            <w:pPr>
              <w:rPr>
                <w:sz w:val="18"/>
                <w:szCs w:val="18"/>
                <w:lang w:val="en-GB"/>
              </w:rPr>
            </w:pPr>
          </w:p>
          <w:p w14:paraId="6FA626A3" w14:textId="77777777" w:rsidR="0018787E" w:rsidRPr="0018787E" w:rsidRDefault="0018787E" w:rsidP="0018787E">
            <w:pPr>
              <w:rPr>
                <w:sz w:val="18"/>
                <w:szCs w:val="18"/>
                <w:lang w:val="en-GB"/>
              </w:rPr>
            </w:pPr>
            <w:r w:rsidRPr="0018787E">
              <w:rPr>
                <w:sz w:val="18"/>
                <w:szCs w:val="18"/>
                <w:lang w:val="en-GB"/>
              </w:rPr>
              <w:t>Regional-level</w:t>
            </w:r>
          </w:p>
          <w:p w14:paraId="54251F8B" w14:textId="77777777" w:rsidR="0018787E" w:rsidRPr="0018787E" w:rsidRDefault="0018787E" w:rsidP="0018787E">
            <w:pPr>
              <w:rPr>
                <w:sz w:val="18"/>
                <w:szCs w:val="18"/>
                <w:lang w:val="en-GB"/>
              </w:rPr>
            </w:pPr>
          </w:p>
          <w:p w14:paraId="2F37F9BA" w14:textId="77777777" w:rsidR="0018787E" w:rsidRPr="0018787E" w:rsidRDefault="0018787E" w:rsidP="0018787E">
            <w:pPr>
              <w:rPr>
                <w:sz w:val="18"/>
                <w:szCs w:val="18"/>
                <w:lang w:val="en-GB"/>
              </w:rPr>
            </w:pPr>
          </w:p>
          <w:p w14:paraId="1174336F"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31E5DB27"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5A1538FD"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p w14:paraId="7B38293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3492CF25"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7F218B17"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44E1EA97"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4F8BBBC0" w14:textId="77777777" w:rsidTr="0018787E">
        <w:tc>
          <w:tcPr>
            <w:tcW w:w="1319" w:type="dxa"/>
            <w:vMerge w:val="restart"/>
            <w:vAlign w:val="center"/>
          </w:tcPr>
          <w:p w14:paraId="2FB41110" w14:textId="77777777" w:rsidR="0018787E" w:rsidRPr="0018787E" w:rsidRDefault="0018787E" w:rsidP="0018787E">
            <w:pPr>
              <w:rPr>
                <w:sz w:val="18"/>
                <w:szCs w:val="18"/>
                <w:lang w:val="en-GB"/>
              </w:rPr>
            </w:pPr>
            <w:r w:rsidRPr="0018787E">
              <w:rPr>
                <w:sz w:val="18"/>
                <w:szCs w:val="18"/>
                <w:lang w:val="en-GB"/>
              </w:rPr>
              <w:t>3.4: Revitalization of regional mechanisms for communications, knowledge exchange, and information and data management and sharing</w:t>
            </w:r>
          </w:p>
        </w:tc>
        <w:tc>
          <w:tcPr>
            <w:tcW w:w="1270" w:type="dxa"/>
          </w:tcPr>
          <w:p w14:paraId="29FF5C52" w14:textId="77777777" w:rsidR="0018787E" w:rsidRPr="0018787E" w:rsidRDefault="0018787E" w:rsidP="0018787E">
            <w:pPr>
              <w:spacing w:before="40"/>
              <w:rPr>
                <w:bCs/>
                <w:sz w:val="18"/>
                <w:szCs w:val="18"/>
                <w:lang w:val="en-GB"/>
              </w:rPr>
            </w:pPr>
            <w:r w:rsidRPr="0018787E">
              <w:rPr>
                <w:bCs/>
                <w:sz w:val="18"/>
                <w:szCs w:val="18"/>
                <w:lang w:val="en-GB"/>
              </w:rPr>
              <w:t>Number of multi-media and knowledge products produced</w:t>
            </w:r>
          </w:p>
        </w:tc>
        <w:tc>
          <w:tcPr>
            <w:tcW w:w="1270" w:type="dxa"/>
          </w:tcPr>
          <w:p w14:paraId="44857088" w14:textId="77777777" w:rsidR="0018787E" w:rsidRPr="0018787E" w:rsidRDefault="0018787E" w:rsidP="0018787E">
            <w:pPr>
              <w:spacing w:before="40"/>
              <w:rPr>
                <w:sz w:val="18"/>
                <w:szCs w:val="18"/>
                <w:lang w:val="en-GB"/>
              </w:rPr>
            </w:pPr>
            <w:r w:rsidRPr="0018787E">
              <w:rPr>
                <w:sz w:val="18"/>
                <w:szCs w:val="18"/>
                <w:lang w:val="en-GB"/>
              </w:rPr>
              <w:t>The SCS project produced an extensive range of knowledge products, technical guides, and training and awareness materials</w:t>
            </w:r>
          </w:p>
        </w:tc>
        <w:tc>
          <w:tcPr>
            <w:tcW w:w="1109" w:type="dxa"/>
          </w:tcPr>
          <w:p w14:paraId="4E3AFAD4" w14:textId="77777777" w:rsidR="0018787E" w:rsidRPr="0018787E" w:rsidRDefault="0018787E" w:rsidP="0018787E">
            <w:pPr>
              <w:rPr>
                <w:sz w:val="18"/>
                <w:szCs w:val="18"/>
                <w:lang w:val="en-GB"/>
              </w:rPr>
            </w:pPr>
            <w:r w:rsidRPr="0018787E">
              <w:rPr>
                <w:sz w:val="18"/>
                <w:szCs w:val="18"/>
                <w:lang w:val="en-GB"/>
              </w:rPr>
              <w:t>Same as end-of-project target</w:t>
            </w:r>
          </w:p>
        </w:tc>
        <w:tc>
          <w:tcPr>
            <w:tcW w:w="1291" w:type="dxa"/>
          </w:tcPr>
          <w:p w14:paraId="47B586A9" w14:textId="77777777" w:rsidR="0018787E" w:rsidRPr="0018787E" w:rsidRDefault="0018787E" w:rsidP="0018787E">
            <w:pPr>
              <w:spacing w:before="40"/>
              <w:rPr>
                <w:sz w:val="18"/>
                <w:szCs w:val="18"/>
                <w:lang w:val="en-GB"/>
              </w:rPr>
            </w:pPr>
            <w:r w:rsidRPr="0018787E">
              <w:rPr>
                <w:sz w:val="18"/>
                <w:szCs w:val="18"/>
                <w:lang w:val="en-GB"/>
              </w:rPr>
              <w:t>A variety of multi-media information and knowledge products based on SCS SAP implementation communications strategy</w:t>
            </w:r>
          </w:p>
        </w:tc>
        <w:tc>
          <w:tcPr>
            <w:tcW w:w="1269" w:type="dxa"/>
          </w:tcPr>
          <w:p w14:paraId="19FBCD99" w14:textId="77777777" w:rsidR="0018787E" w:rsidRPr="0018787E" w:rsidRDefault="0018787E" w:rsidP="0018787E">
            <w:pPr>
              <w:spacing w:before="40"/>
              <w:rPr>
                <w:bCs/>
                <w:sz w:val="18"/>
                <w:szCs w:val="18"/>
                <w:lang w:val="en-GB"/>
              </w:rPr>
            </w:pPr>
            <w:r w:rsidRPr="0018787E">
              <w:rPr>
                <w:bCs/>
                <w:sz w:val="18"/>
                <w:szCs w:val="18"/>
                <w:lang w:val="en-GB"/>
              </w:rPr>
              <w:t>Multi-media information and knowledge products published and accessible online</w:t>
            </w:r>
          </w:p>
        </w:tc>
        <w:tc>
          <w:tcPr>
            <w:tcW w:w="1440" w:type="dxa"/>
          </w:tcPr>
          <w:p w14:paraId="6C0B3601" w14:textId="77777777" w:rsidR="0018787E" w:rsidRPr="0018787E" w:rsidRDefault="0018787E" w:rsidP="0018787E">
            <w:pPr>
              <w:rPr>
                <w:sz w:val="18"/>
                <w:szCs w:val="18"/>
                <w:lang w:val="en-GB"/>
              </w:rPr>
            </w:pPr>
            <w:r w:rsidRPr="0018787E">
              <w:rPr>
                <w:sz w:val="18"/>
                <w:szCs w:val="18"/>
                <w:lang w:val="en-GB"/>
              </w:rPr>
              <w:t>Annually</w:t>
            </w:r>
          </w:p>
          <w:p w14:paraId="0523B2E3" w14:textId="77777777" w:rsidR="0018787E" w:rsidRPr="0018787E" w:rsidRDefault="0018787E" w:rsidP="0018787E">
            <w:pPr>
              <w:rPr>
                <w:sz w:val="18"/>
                <w:szCs w:val="18"/>
                <w:lang w:val="en-GB"/>
              </w:rPr>
            </w:pPr>
            <w:r w:rsidRPr="0018787E">
              <w:rPr>
                <w:sz w:val="18"/>
                <w:szCs w:val="18"/>
                <w:lang w:val="en-GB"/>
              </w:rPr>
              <w:br/>
            </w:r>
          </w:p>
          <w:p w14:paraId="45925EF2" w14:textId="77777777" w:rsidR="0018787E" w:rsidRPr="0018787E" w:rsidRDefault="0018787E" w:rsidP="0018787E">
            <w:pPr>
              <w:rPr>
                <w:sz w:val="18"/>
                <w:szCs w:val="18"/>
                <w:lang w:val="en-GB"/>
              </w:rPr>
            </w:pPr>
          </w:p>
          <w:p w14:paraId="1B513166" w14:textId="77777777" w:rsidR="0018787E" w:rsidRPr="0018787E" w:rsidRDefault="0018787E" w:rsidP="0018787E">
            <w:pPr>
              <w:rPr>
                <w:sz w:val="18"/>
                <w:szCs w:val="18"/>
                <w:lang w:val="en-GB"/>
              </w:rPr>
            </w:pPr>
            <w:r w:rsidRPr="0018787E">
              <w:rPr>
                <w:sz w:val="18"/>
                <w:szCs w:val="18"/>
                <w:lang w:val="en-GB"/>
              </w:rPr>
              <w:t>Annually</w:t>
            </w:r>
          </w:p>
          <w:p w14:paraId="14E0D479" w14:textId="77777777" w:rsidR="0018787E" w:rsidRPr="0018787E" w:rsidRDefault="0018787E" w:rsidP="0018787E">
            <w:pPr>
              <w:rPr>
                <w:sz w:val="18"/>
                <w:szCs w:val="18"/>
                <w:lang w:val="en-GB"/>
              </w:rPr>
            </w:pPr>
          </w:p>
          <w:p w14:paraId="1043E533" w14:textId="77777777" w:rsidR="0018787E" w:rsidRPr="0018787E" w:rsidRDefault="0018787E" w:rsidP="0018787E">
            <w:pPr>
              <w:rPr>
                <w:sz w:val="18"/>
                <w:szCs w:val="18"/>
                <w:lang w:val="en-GB"/>
              </w:rPr>
            </w:pPr>
          </w:p>
          <w:p w14:paraId="17BC94B2" w14:textId="77777777" w:rsidR="0018787E" w:rsidRPr="0018787E" w:rsidRDefault="0018787E" w:rsidP="0018787E">
            <w:pPr>
              <w:rPr>
                <w:sz w:val="18"/>
                <w:szCs w:val="18"/>
                <w:lang w:val="en-GB"/>
              </w:rPr>
            </w:pPr>
          </w:p>
          <w:p w14:paraId="38A128DC" w14:textId="77777777" w:rsidR="0018787E" w:rsidRPr="0018787E" w:rsidRDefault="0018787E" w:rsidP="0018787E">
            <w:pPr>
              <w:rPr>
                <w:sz w:val="18"/>
                <w:szCs w:val="18"/>
                <w:lang w:val="en-GB"/>
              </w:rPr>
            </w:pPr>
          </w:p>
          <w:p w14:paraId="19A9629B" w14:textId="77777777" w:rsidR="0018787E" w:rsidRPr="0018787E" w:rsidRDefault="0018787E" w:rsidP="0018787E">
            <w:pPr>
              <w:rPr>
                <w:sz w:val="18"/>
                <w:szCs w:val="18"/>
                <w:lang w:val="en-GB"/>
              </w:rPr>
            </w:pPr>
          </w:p>
        </w:tc>
        <w:tc>
          <w:tcPr>
            <w:tcW w:w="950" w:type="dxa"/>
          </w:tcPr>
          <w:p w14:paraId="12389041" w14:textId="77777777" w:rsidR="0018787E" w:rsidRPr="0018787E" w:rsidRDefault="0018787E" w:rsidP="0018787E">
            <w:pPr>
              <w:rPr>
                <w:sz w:val="18"/>
                <w:szCs w:val="18"/>
                <w:lang w:val="en-GB"/>
              </w:rPr>
            </w:pPr>
            <w:r w:rsidRPr="0018787E">
              <w:rPr>
                <w:sz w:val="18"/>
                <w:szCs w:val="18"/>
                <w:lang w:val="en-GB"/>
              </w:rPr>
              <w:t>National-level</w:t>
            </w:r>
          </w:p>
          <w:p w14:paraId="1F02CD14" w14:textId="77777777" w:rsidR="0018787E" w:rsidRPr="0018787E" w:rsidRDefault="0018787E" w:rsidP="0018787E">
            <w:pPr>
              <w:rPr>
                <w:sz w:val="18"/>
                <w:szCs w:val="18"/>
                <w:lang w:val="en-GB"/>
              </w:rPr>
            </w:pPr>
          </w:p>
          <w:p w14:paraId="49824C56" w14:textId="77777777" w:rsidR="0018787E" w:rsidRPr="0018787E" w:rsidRDefault="0018787E" w:rsidP="0018787E">
            <w:pPr>
              <w:rPr>
                <w:sz w:val="18"/>
                <w:szCs w:val="18"/>
                <w:lang w:val="en-GB"/>
              </w:rPr>
            </w:pPr>
          </w:p>
          <w:p w14:paraId="26B75171" w14:textId="77777777" w:rsidR="0018787E" w:rsidRPr="0018787E" w:rsidRDefault="0018787E" w:rsidP="0018787E">
            <w:pPr>
              <w:rPr>
                <w:sz w:val="18"/>
                <w:szCs w:val="18"/>
                <w:lang w:val="en-GB"/>
              </w:rPr>
            </w:pPr>
            <w:r w:rsidRPr="0018787E">
              <w:rPr>
                <w:sz w:val="18"/>
                <w:szCs w:val="18"/>
                <w:lang w:val="en-GB"/>
              </w:rPr>
              <w:t>Regional-level</w:t>
            </w:r>
          </w:p>
          <w:p w14:paraId="61BC197E" w14:textId="77777777" w:rsidR="0018787E" w:rsidRPr="0018787E" w:rsidRDefault="0018787E" w:rsidP="0018787E">
            <w:pPr>
              <w:rPr>
                <w:sz w:val="18"/>
                <w:szCs w:val="18"/>
                <w:lang w:val="en-GB"/>
              </w:rPr>
            </w:pPr>
          </w:p>
          <w:p w14:paraId="082ACE85" w14:textId="77777777" w:rsidR="0018787E" w:rsidRPr="0018787E" w:rsidRDefault="0018787E" w:rsidP="0018787E">
            <w:pPr>
              <w:rPr>
                <w:sz w:val="18"/>
                <w:szCs w:val="18"/>
                <w:lang w:val="en-GB"/>
              </w:rPr>
            </w:pPr>
          </w:p>
          <w:p w14:paraId="6D416C53" w14:textId="77777777" w:rsidR="0018787E" w:rsidRPr="0018787E" w:rsidRDefault="0018787E" w:rsidP="0018787E">
            <w:pPr>
              <w:rPr>
                <w:sz w:val="18"/>
                <w:szCs w:val="18"/>
                <w:lang w:val="en-GB"/>
              </w:rPr>
            </w:pPr>
          </w:p>
        </w:tc>
        <w:tc>
          <w:tcPr>
            <w:tcW w:w="1350" w:type="dxa"/>
          </w:tcPr>
          <w:p w14:paraId="01E5AC35"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630C3110"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65C31B6A"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08FF91DF"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64CBEA5A" w14:textId="77777777" w:rsidTr="0018787E">
        <w:tc>
          <w:tcPr>
            <w:tcW w:w="1319" w:type="dxa"/>
            <w:vMerge/>
          </w:tcPr>
          <w:p w14:paraId="3EAEA73E" w14:textId="77777777" w:rsidR="0018787E" w:rsidRPr="0018787E" w:rsidRDefault="0018787E" w:rsidP="0018787E">
            <w:pPr>
              <w:rPr>
                <w:sz w:val="18"/>
                <w:szCs w:val="18"/>
                <w:lang w:val="en-GB"/>
              </w:rPr>
            </w:pPr>
          </w:p>
        </w:tc>
        <w:tc>
          <w:tcPr>
            <w:tcW w:w="1270" w:type="dxa"/>
          </w:tcPr>
          <w:p w14:paraId="4D52BDFB" w14:textId="77777777" w:rsidR="0018787E" w:rsidRPr="0018787E" w:rsidRDefault="0018787E" w:rsidP="0018787E">
            <w:pPr>
              <w:spacing w:before="40"/>
              <w:rPr>
                <w:bCs/>
                <w:sz w:val="18"/>
                <w:szCs w:val="18"/>
                <w:lang w:val="en-GB"/>
              </w:rPr>
            </w:pPr>
            <w:r w:rsidRPr="0018787E">
              <w:rPr>
                <w:bCs/>
                <w:sz w:val="18"/>
                <w:szCs w:val="18"/>
                <w:lang w:val="en-GB"/>
              </w:rPr>
              <w:t>Status of knowledge tool development to support evidence-based coastal and marine management and spatial planning</w:t>
            </w:r>
          </w:p>
        </w:tc>
        <w:tc>
          <w:tcPr>
            <w:tcW w:w="1270" w:type="dxa"/>
          </w:tcPr>
          <w:p w14:paraId="7A4F1275" w14:textId="77777777" w:rsidR="0018787E" w:rsidRPr="0018787E" w:rsidRDefault="0018787E" w:rsidP="0018787E">
            <w:pPr>
              <w:spacing w:before="40"/>
              <w:rPr>
                <w:sz w:val="18"/>
                <w:szCs w:val="18"/>
                <w:lang w:val="en-GB"/>
              </w:rPr>
            </w:pPr>
            <w:r w:rsidRPr="0018787E">
              <w:rPr>
                <w:sz w:val="18"/>
                <w:szCs w:val="18"/>
                <w:lang w:val="en-GB"/>
              </w:rPr>
              <w:t>Transboundary coastal and marine mgmt. spatial planning constrained by lack of a regionally coordinated approach to harnessing sectorial expertise and knowledge</w:t>
            </w:r>
          </w:p>
        </w:tc>
        <w:tc>
          <w:tcPr>
            <w:tcW w:w="1109" w:type="dxa"/>
          </w:tcPr>
          <w:p w14:paraId="46840F42" w14:textId="77777777" w:rsidR="0018787E" w:rsidRPr="0018787E" w:rsidRDefault="0018787E" w:rsidP="0018787E">
            <w:pPr>
              <w:rPr>
                <w:sz w:val="18"/>
                <w:szCs w:val="18"/>
                <w:lang w:val="en-GB"/>
              </w:rPr>
            </w:pPr>
            <w:r w:rsidRPr="0018787E">
              <w:rPr>
                <w:sz w:val="18"/>
                <w:szCs w:val="18"/>
                <w:lang w:val="en-GB"/>
              </w:rPr>
              <w:t>Appropriate technical expertise engaged and participating in preparation of synthesis reports</w:t>
            </w:r>
          </w:p>
        </w:tc>
        <w:tc>
          <w:tcPr>
            <w:tcW w:w="1291" w:type="dxa"/>
          </w:tcPr>
          <w:p w14:paraId="534A4173" w14:textId="77777777" w:rsidR="0018787E" w:rsidRPr="0018787E" w:rsidRDefault="0018787E" w:rsidP="0018787E">
            <w:pPr>
              <w:spacing w:before="40"/>
              <w:rPr>
                <w:sz w:val="18"/>
                <w:szCs w:val="18"/>
                <w:lang w:val="en-GB"/>
              </w:rPr>
            </w:pPr>
            <w:r w:rsidRPr="0018787E">
              <w:rPr>
                <w:sz w:val="18"/>
                <w:szCs w:val="18"/>
                <w:lang w:val="en-GB"/>
              </w:rPr>
              <w:t>Regionally appropriate knowledge tools developed to support decision-making and planning</w:t>
            </w:r>
          </w:p>
        </w:tc>
        <w:tc>
          <w:tcPr>
            <w:tcW w:w="1269" w:type="dxa"/>
          </w:tcPr>
          <w:p w14:paraId="62BDB6E3" w14:textId="77777777" w:rsidR="0018787E" w:rsidRPr="0018787E" w:rsidRDefault="0018787E" w:rsidP="0018787E">
            <w:pPr>
              <w:spacing w:before="40"/>
              <w:rPr>
                <w:bCs/>
                <w:sz w:val="18"/>
                <w:szCs w:val="18"/>
                <w:lang w:val="en-GB"/>
              </w:rPr>
            </w:pPr>
            <w:r w:rsidRPr="0018787E">
              <w:rPr>
                <w:bCs/>
                <w:sz w:val="18"/>
                <w:szCs w:val="18"/>
                <w:lang w:val="en-GB"/>
              </w:rPr>
              <w:t>Published synthesis reports on: climate variability in coastal systems; hazards and coastal area planning; blue forests and livelihoods; and land and marine tenure and use designation</w:t>
            </w:r>
          </w:p>
        </w:tc>
        <w:tc>
          <w:tcPr>
            <w:tcW w:w="1440" w:type="dxa"/>
          </w:tcPr>
          <w:p w14:paraId="231E01B3" w14:textId="77777777" w:rsidR="0018787E" w:rsidRPr="0018787E" w:rsidRDefault="0018787E" w:rsidP="0018787E">
            <w:pPr>
              <w:rPr>
                <w:sz w:val="18"/>
                <w:szCs w:val="18"/>
                <w:lang w:val="en-GB"/>
              </w:rPr>
            </w:pPr>
            <w:r w:rsidRPr="0018787E">
              <w:rPr>
                <w:sz w:val="18"/>
                <w:szCs w:val="18"/>
                <w:lang w:val="en-GB"/>
              </w:rPr>
              <w:t>Annually</w:t>
            </w:r>
          </w:p>
          <w:p w14:paraId="513404B2" w14:textId="77777777" w:rsidR="0018787E" w:rsidRPr="0018787E" w:rsidRDefault="0018787E" w:rsidP="0018787E">
            <w:pPr>
              <w:rPr>
                <w:sz w:val="18"/>
                <w:szCs w:val="18"/>
                <w:lang w:val="en-GB"/>
              </w:rPr>
            </w:pPr>
            <w:r w:rsidRPr="0018787E">
              <w:rPr>
                <w:sz w:val="18"/>
                <w:szCs w:val="18"/>
                <w:lang w:val="en-GB"/>
              </w:rPr>
              <w:br/>
            </w:r>
          </w:p>
          <w:p w14:paraId="53A5043E" w14:textId="77777777" w:rsidR="0018787E" w:rsidRPr="0018787E" w:rsidRDefault="0018787E" w:rsidP="0018787E">
            <w:pPr>
              <w:rPr>
                <w:sz w:val="18"/>
                <w:szCs w:val="18"/>
                <w:lang w:val="en-GB"/>
              </w:rPr>
            </w:pPr>
          </w:p>
          <w:p w14:paraId="7CA0A7B8" w14:textId="77777777" w:rsidR="0018787E" w:rsidRPr="0018787E" w:rsidRDefault="0018787E" w:rsidP="0018787E">
            <w:pPr>
              <w:rPr>
                <w:sz w:val="18"/>
                <w:szCs w:val="18"/>
                <w:lang w:val="en-GB"/>
              </w:rPr>
            </w:pPr>
            <w:r w:rsidRPr="0018787E">
              <w:rPr>
                <w:sz w:val="18"/>
                <w:szCs w:val="18"/>
                <w:lang w:val="en-GB"/>
              </w:rPr>
              <w:t>Annually</w:t>
            </w:r>
          </w:p>
          <w:p w14:paraId="3A4F3EF2" w14:textId="77777777" w:rsidR="0018787E" w:rsidRPr="0018787E" w:rsidRDefault="0018787E" w:rsidP="0018787E">
            <w:pPr>
              <w:rPr>
                <w:sz w:val="18"/>
                <w:szCs w:val="18"/>
                <w:lang w:val="en-GB"/>
              </w:rPr>
            </w:pPr>
          </w:p>
          <w:p w14:paraId="0D2EA28F" w14:textId="77777777" w:rsidR="0018787E" w:rsidRPr="0018787E" w:rsidRDefault="0018787E" w:rsidP="0018787E">
            <w:pPr>
              <w:rPr>
                <w:sz w:val="18"/>
                <w:szCs w:val="18"/>
                <w:lang w:val="en-GB"/>
              </w:rPr>
            </w:pPr>
          </w:p>
          <w:p w14:paraId="511EF6DB" w14:textId="77777777" w:rsidR="0018787E" w:rsidRPr="0018787E" w:rsidRDefault="0018787E" w:rsidP="0018787E">
            <w:pPr>
              <w:rPr>
                <w:sz w:val="18"/>
                <w:szCs w:val="18"/>
                <w:lang w:val="en-GB"/>
              </w:rPr>
            </w:pPr>
          </w:p>
          <w:p w14:paraId="2BF0FE29" w14:textId="77777777" w:rsidR="0018787E" w:rsidRPr="0018787E" w:rsidRDefault="0018787E" w:rsidP="0018787E">
            <w:pPr>
              <w:rPr>
                <w:sz w:val="18"/>
                <w:szCs w:val="18"/>
                <w:lang w:val="en-GB"/>
              </w:rPr>
            </w:pPr>
          </w:p>
          <w:p w14:paraId="57533320" w14:textId="77777777" w:rsidR="0018787E" w:rsidRPr="0018787E" w:rsidRDefault="0018787E" w:rsidP="0018787E">
            <w:pPr>
              <w:rPr>
                <w:sz w:val="18"/>
                <w:szCs w:val="18"/>
                <w:lang w:val="en-GB"/>
              </w:rPr>
            </w:pPr>
          </w:p>
        </w:tc>
        <w:tc>
          <w:tcPr>
            <w:tcW w:w="950" w:type="dxa"/>
          </w:tcPr>
          <w:p w14:paraId="2DDD305D" w14:textId="77777777" w:rsidR="0018787E" w:rsidRPr="0018787E" w:rsidRDefault="0018787E" w:rsidP="0018787E">
            <w:pPr>
              <w:rPr>
                <w:sz w:val="18"/>
                <w:szCs w:val="18"/>
                <w:lang w:val="en-GB"/>
              </w:rPr>
            </w:pPr>
            <w:r w:rsidRPr="0018787E">
              <w:rPr>
                <w:sz w:val="18"/>
                <w:szCs w:val="18"/>
                <w:lang w:val="en-GB"/>
              </w:rPr>
              <w:t>National-level</w:t>
            </w:r>
          </w:p>
          <w:p w14:paraId="19951C2E" w14:textId="77777777" w:rsidR="0018787E" w:rsidRPr="0018787E" w:rsidRDefault="0018787E" w:rsidP="0018787E">
            <w:pPr>
              <w:rPr>
                <w:sz w:val="18"/>
                <w:szCs w:val="18"/>
                <w:lang w:val="en-GB"/>
              </w:rPr>
            </w:pPr>
          </w:p>
          <w:p w14:paraId="0866D3A0" w14:textId="77777777" w:rsidR="0018787E" w:rsidRPr="0018787E" w:rsidRDefault="0018787E" w:rsidP="0018787E">
            <w:pPr>
              <w:rPr>
                <w:sz w:val="18"/>
                <w:szCs w:val="18"/>
                <w:lang w:val="en-GB"/>
              </w:rPr>
            </w:pPr>
          </w:p>
          <w:p w14:paraId="6BD15C77" w14:textId="77777777" w:rsidR="0018787E" w:rsidRPr="0018787E" w:rsidRDefault="0018787E" w:rsidP="0018787E">
            <w:pPr>
              <w:rPr>
                <w:sz w:val="18"/>
                <w:szCs w:val="18"/>
                <w:lang w:val="en-GB"/>
              </w:rPr>
            </w:pPr>
            <w:r w:rsidRPr="0018787E">
              <w:rPr>
                <w:sz w:val="18"/>
                <w:szCs w:val="18"/>
                <w:lang w:val="en-GB"/>
              </w:rPr>
              <w:t>Regional-level</w:t>
            </w:r>
          </w:p>
          <w:p w14:paraId="59D53C09" w14:textId="77777777" w:rsidR="0018787E" w:rsidRPr="0018787E" w:rsidRDefault="0018787E" w:rsidP="0018787E">
            <w:pPr>
              <w:rPr>
                <w:sz w:val="18"/>
                <w:szCs w:val="18"/>
                <w:lang w:val="en-GB"/>
              </w:rPr>
            </w:pPr>
          </w:p>
          <w:p w14:paraId="646D1A61" w14:textId="77777777" w:rsidR="0018787E" w:rsidRPr="0018787E" w:rsidRDefault="0018787E" w:rsidP="0018787E">
            <w:pPr>
              <w:rPr>
                <w:sz w:val="18"/>
                <w:szCs w:val="18"/>
                <w:lang w:val="en-GB"/>
              </w:rPr>
            </w:pPr>
          </w:p>
          <w:p w14:paraId="4899F7C5" w14:textId="77777777" w:rsidR="0018787E" w:rsidRPr="0018787E" w:rsidRDefault="0018787E" w:rsidP="0018787E">
            <w:pPr>
              <w:rPr>
                <w:sz w:val="18"/>
                <w:szCs w:val="18"/>
                <w:lang w:val="en-GB"/>
              </w:rPr>
            </w:pPr>
          </w:p>
        </w:tc>
        <w:tc>
          <w:tcPr>
            <w:tcW w:w="1350" w:type="dxa"/>
          </w:tcPr>
          <w:p w14:paraId="55C3160F"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383220F4"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762712DE"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540BD3DF"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4AC1E5B4" w14:textId="77777777" w:rsidTr="0018787E">
        <w:tc>
          <w:tcPr>
            <w:tcW w:w="1319" w:type="dxa"/>
            <w:vMerge/>
          </w:tcPr>
          <w:p w14:paraId="7DEA5E73" w14:textId="77777777" w:rsidR="0018787E" w:rsidRPr="0018787E" w:rsidRDefault="0018787E" w:rsidP="0018787E">
            <w:pPr>
              <w:rPr>
                <w:sz w:val="18"/>
                <w:szCs w:val="18"/>
                <w:lang w:val="en-GB"/>
              </w:rPr>
            </w:pPr>
          </w:p>
        </w:tc>
        <w:tc>
          <w:tcPr>
            <w:tcW w:w="1270" w:type="dxa"/>
          </w:tcPr>
          <w:p w14:paraId="2336673A" w14:textId="77777777" w:rsidR="0018787E" w:rsidRPr="0018787E" w:rsidRDefault="0018787E" w:rsidP="0018787E">
            <w:pPr>
              <w:spacing w:before="40"/>
              <w:rPr>
                <w:bCs/>
                <w:sz w:val="18"/>
                <w:szCs w:val="18"/>
                <w:lang w:val="en-GB"/>
              </w:rPr>
            </w:pPr>
            <w:r w:rsidRPr="0018787E">
              <w:rPr>
                <w:bCs/>
                <w:sz w:val="18"/>
                <w:szCs w:val="18"/>
                <w:lang w:val="en-GB"/>
              </w:rPr>
              <w:t>Number of users, volume of content accessed, and online visibility of the SCS website and associated databases</w:t>
            </w:r>
          </w:p>
        </w:tc>
        <w:tc>
          <w:tcPr>
            <w:tcW w:w="1270" w:type="dxa"/>
          </w:tcPr>
          <w:p w14:paraId="7922E2E0" w14:textId="77777777" w:rsidR="0018787E" w:rsidRPr="0018787E" w:rsidRDefault="0018787E" w:rsidP="0018787E">
            <w:pPr>
              <w:spacing w:before="40"/>
              <w:rPr>
                <w:sz w:val="18"/>
                <w:szCs w:val="18"/>
                <w:lang w:val="en-GB"/>
              </w:rPr>
            </w:pPr>
            <w:r w:rsidRPr="0018787E">
              <w:rPr>
                <w:sz w:val="18"/>
                <w:szCs w:val="18"/>
                <w:lang w:val="en-GB"/>
              </w:rPr>
              <w:t>Need for media platforms and targeted communications in support of efforts to harness support for inter-ministerial coordination and policy and planning elements of SAP implementation and revision</w:t>
            </w:r>
          </w:p>
        </w:tc>
        <w:tc>
          <w:tcPr>
            <w:tcW w:w="1109" w:type="dxa"/>
          </w:tcPr>
          <w:p w14:paraId="4A669E2A" w14:textId="77777777" w:rsidR="0018787E" w:rsidRPr="0018787E" w:rsidRDefault="0018787E" w:rsidP="0018787E">
            <w:pPr>
              <w:rPr>
                <w:sz w:val="18"/>
                <w:szCs w:val="18"/>
                <w:lang w:val="en-GB"/>
              </w:rPr>
            </w:pPr>
            <w:r w:rsidRPr="0018787E">
              <w:rPr>
                <w:sz w:val="18"/>
                <w:szCs w:val="18"/>
                <w:lang w:val="en-GB"/>
              </w:rPr>
              <w:t>Same as end-of-project target</w:t>
            </w:r>
          </w:p>
        </w:tc>
        <w:tc>
          <w:tcPr>
            <w:tcW w:w="1291" w:type="dxa"/>
          </w:tcPr>
          <w:p w14:paraId="5DCE9596" w14:textId="77777777" w:rsidR="0018787E" w:rsidRPr="0018787E" w:rsidRDefault="0018787E" w:rsidP="0018787E">
            <w:pPr>
              <w:spacing w:before="40"/>
              <w:rPr>
                <w:sz w:val="18"/>
                <w:szCs w:val="18"/>
                <w:lang w:val="en-GB"/>
              </w:rPr>
            </w:pPr>
            <w:r w:rsidRPr="0018787E">
              <w:rPr>
                <w:sz w:val="18"/>
                <w:szCs w:val="18"/>
                <w:lang w:val="en-GB"/>
              </w:rPr>
              <w:t>The SCS project web portal &lt;www.unepscs.org&gt; and associated regional databases online, updated and linked to IW-Learn and other GEF Knowledge management systems</w:t>
            </w:r>
          </w:p>
        </w:tc>
        <w:tc>
          <w:tcPr>
            <w:tcW w:w="1269" w:type="dxa"/>
          </w:tcPr>
          <w:p w14:paraId="594D7DA6" w14:textId="77777777" w:rsidR="0018787E" w:rsidRPr="0018787E" w:rsidRDefault="0018787E" w:rsidP="0018787E">
            <w:pPr>
              <w:spacing w:before="40"/>
              <w:rPr>
                <w:bCs/>
                <w:sz w:val="18"/>
                <w:szCs w:val="18"/>
                <w:lang w:val="en-GB"/>
              </w:rPr>
            </w:pPr>
            <w:r w:rsidRPr="0018787E">
              <w:rPr>
                <w:bCs/>
                <w:sz w:val="18"/>
                <w:szCs w:val="18"/>
                <w:lang w:val="en-GB"/>
              </w:rPr>
              <w:t>Regional and national portals, GIS and meta-databses, repository of best practices, lessons learned and results accessible online via &lt;www.unepscs.org&gt;</w:t>
            </w:r>
          </w:p>
        </w:tc>
        <w:tc>
          <w:tcPr>
            <w:tcW w:w="1440" w:type="dxa"/>
          </w:tcPr>
          <w:p w14:paraId="0CDA2133" w14:textId="77777777" w:rsidR="0018787E" w:rsidRPr="0018787E" w:rsidRDefault="0018787E" w:rsidP="0018787E">
            <w:pPr>
              <w:rPr>
                <w:sz w:val="18"/>
                <w:szCs w:val="18"/>
                <w:lang w:val="en-GB"/>
              </w:rPr>
            </w:pPr>
            <w:r w:rsidRPr="0018787E">
              <w:rPr>
                <w:sz w:val="18"/>
                <w:szCs w:val="18"/>
                <w:lang w:val="en-GB"/>
              </w:rPr>
              <w:t>Annually</w:t>
            </w:r>
          </w:p>
          <w:p w14:paraId="2738577A" w14:textId="77777777" w:rsidR="0018787E" w:rsidRPr="0018787E" w:rsidRDefault="0018787E" w:rsidP="0018787E">
            <w:pPr>
              <w:rPr>
                <w:sz w:val="18"/>
                <w:szCs w:val="18"/>
                <w:lang w:val="en-GB"/>
              </w:rPr>
            </w:pPr>
            <w:r w:rsidRPr="0018787E">
              <w:rPr>
                <w:sz w:val="18"/>
                <w:szCs w:val="18"/>
                <w:lang w:val="en-GB"/>
              </w:rPr>
              <w:br/>
            </w:r>
          </w:p>
          <w:p w14:paraId="3780B4C5" w14:textId="77777777" w:rsidR="0018787E" w:rsidRPr="0018787E" w:rsidRDefault="0018787E" w:rsidP="0018787E">
            <w:pPr>
              <w:rPr>
                <w:sz w:val="18"/>
                <w:szCs w:val="18"/>
                <w:lang w:val="en-GB"/>
              </w:rPr>
            </w:pPr>
          </w:p>
          <w:p w14:paraId="5FA3AE0D" w14:textId="77777777" w:rsidR="0018787E" w:rsidRPr="0018787E" w:rsidRDefault="0018787E" w:rsidP="0018787E">
            <w:pPr>
              <w:rPr>
                <w:sz w:val="18"/>
                <w:szCs w:val="18"/>
                <w:lang w:val="en-GB"/>
              </w:rPr>
            </w:pPr>
            <w:r w:rsidRPr="0018787E">
              <w:rPr>
                <w:sz w:val="18"/>
                <w:szCs w:val="18"/>
                <w:lang w:val="en-GB"/>
              </w:rPr>
              <w:t>Annually</w:t>
            </w:r>
          </w:p>
          <w:p w14:paraId="25590350" w14:textId="77777777" w:rsidR="0018787E" w:rsidRPr="0018787E" w:rsidRDefault="0018787E" w:rsidP="0018787E">
            <w:pPr>
              <w:rPr>
                <w:sz w:val="18"/>
                <w:szCs w:val="18"/>
                <w:lang w:val="en-GB"/>
              </w:rPr>
            </w:pPr>
          </w:p>
          <w:p w14:paraId="62E0DEB0" w14:textId="77777777" w:rsidR="0018787E" w:rsidRPr="0018787E" w:rsidRDefault="0018787E" w:rsidP="0018787E">
            <w:pPr>
              <w:rPr>
                <w:sz w:val="18"/>
                <w:szCs w:val="18"/>
                <w:lang w:val="en-GB"/>
              </w:rPr>
            </w:pPr>
          </w:p>
          <w:p w14:paraId="67CC02D7" w14:textId="77777777" w:rsidR="0018787E" w:rsidRPr="0018787E" w:rsidRDefault="0018787E" w:rsidP="0018787E">
            <w:pPr>
              <w:rPr>
                <w:sz w:val="18"/>
                <w:szCs w:val="18"/>
                <w:lang w:val="en-GB"/>
              </w:rPr>
            </w:pPr>
          </w:p>
          <w:p w14:paraId="1895EA71" w14:textId="77777777" w:rsidR="0018787E" w:rsidRPr="0018787E" w:rsidRDefault="0018787E" w:rsidP="0018787E">
            <w:pPr>
              <w:rPr>
                <w:sz w:val="18"/>
                <w:szCs w:val="18"/>
                <w:lang w:val="en-GB"/>
              </w:rPr>
            </w:pPr>
          </w:p>
          <w:p w14:paraId="4A4FBFF3" w14:textId="77777777" w:rsidR="0018787E" w:rsidRPr="0018787E" w:rsidRDefault="0018787E" w:rsidP="0018787E">
            <w:pPr>
              <w:rPr>
                <w:sz w:val="18"/>
                <w:szCs w:val="18"/>
                <w:lang w:val="en-GB"/>
              </w:rPr>
            </w:pPr>
          </w:p>
        </w:tc>
        <w:tc>
          <w:tcPr>
            <w:tcW w:w="950" w:type="dxa"/>
          </w:tcPr>
          <w:p w14:paraId="7083B161" w14:textId="77777777" w:rsidR="0018787E" w:rsidRPr="0018787E" w:rsidRDefault="0018787E" w:rsidP="0018787E">
            <w:pPr>
              <w:rPr>
                <w:sz w:val="18"/>
                <w:szCs w:val="18"/>
                <w:lang w:val="en-GB"/>
              </w:rPr>
            </w:pPr>
            <w:r w:rsidRPr="0018787E">
              <w:rPr>
                <w:sz w:val="18"/>
                <w:szCs w:val="18"/>
                <w:lang w:val="en-GB"/>
              </w:rPr>
              <w:t>National-level</w:t>
            </w:r>
          </w:p>
          <w:p w14:paraId="0738C9DB" w14:textId="77777777" w:rsidR="0018787E" w:rsidRPr="0018787E" w:rsidRDefault="0018787E" w:rsidP="0018787E">
            <w:pPr>
              <w:rPr>
                <w:sz w:val="18"/>
                <w:szCs w:val="18"/>
                <w:lang w:val="en-GB"/>
              </w:rPr>
            </w:pPr>
          </w:p>
          <w:p w14:paraId="28A49487" w14:textId="77777777" w:rsidR="0018787E" w:rsidRPr="0018787E" w:rsidRDefault="0018787E" w:rsidP="0018787E">
            <w:pPr>
              <w:rPr>
                <w:sz w:val="18"/>
                <w:szCs w:val="18"/>
                <w:lang w:val="en-GB"/>
              </w:rPr>
            </w:pPr>
          </w:p>
          <w:p w14:paraId="4CE2BAD6" w14:textId="77777777" w:rsidR="0018787E" w:rsidRPr="0018787E" w:rsidRDefault="0018787E" w:rsidP="0018787E">
            <w:pPr>
              <w:rPr>
                <w:sz w:val="18"/>
                <w:szCs w:val="18"/>
                <w:lang w:val="en-GB"/>
              </w:rPr>
            </w:pPr>
            <w:r w:rsidRPr="0018787E">
              <w:rPr>
                <w:sz w:val="18"/>
                <w:szCs w:val="18"/>
                <w:lang w:val="en-GB"/>
              </w:rPr>
              <w:t>Regional-level</w:t>
            </w:r>
          </w:p>
          <w:p w14:paraId="31267BA2" w14:textId="77777777" w:rsidR="0018787E" w:rsidRPr="0018787E" w:rsidRDefault="0018787E" w:rsidP="0018787E">
            <w:pPr>
              <w:rPr>
                <w:sz w:val="18"/>
                <w:szCs w:val="18"/>
                <w:lang w:val="en-GB"/>
              </w:rPr>
            </w:pPr>
          </w:p>
          <w:p w14:paraId="2C61D22A" w14:textId="77777777" w:rsidR="0018787E" w:rsidRPr="0018787E" w:rsidRDefault="0018787E" w:rsidP="0018787E">
            <w:pPr>
              <w:rPr>
                <w:sz w:val="18"/>
                <w:szCs w:val="18"/>
                <w:lang w:val="en-GB"/>
              </w:rPr>
            </w:pPr>
          </w:p>
          <w:p w14:paraId="3FC866B5" w14:textId="77777777" w:rsidR="0018787E" w:rsidRPr="0018787E" w:rsidRDefault="0018787E" w:rsidP="0018787E">
            <w:pPr>
              <w:rPr>
                <w:sz w:val="18"/>
                <w:szCs w:val="18"/>
                <w:lang w:val="en-GB"/>
              </w:rPr>
            </w:pPr>
          </w:p>
        </w:tc>
        <w:tc>
          <w:tcPr>
            <w:tcW w:w="1350" w:type="dxa"/>
          </w:tcPr>
          <w:p w14:paraId="0618F23E"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0611E8C1"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781AD860"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38EBD7C8"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01DA7EE9" w14:textId="77777777" w:rsidTr="0018787E">
        <w:tc>
          <w:tcPr>
            <w:tcW w:w="1319" w:type="dxa"/>
            <w:vMerge/>
          </w:tcPr>
          <w:p w14:paraId="0B960043" w14:textId="77777777" w:rsidR="0018787E" w:rsidRPr="0018787E" w:rsidRDefault="0018787E" w:rsidP="0018787E">
            <w:pPr>
              <w:rPr>
                <w:sz w:val="18"/>
                <w:szCs w:val="18"/>
                <w:lang w:val="en-GB"/>
              </w:rPr>
            </w:pPr>
          </w:p>
        </w:tc>
        <w:tc>
          <w:tcPr>
            <w:tcW w:w="1270" w:type="dxa"/>
          </w:tcPr>
          <w:p w14:paraId="1494C3F6" w14:textId="77777777" w:rsidR="0018787E" w:rsidRPr="0018787E" w:rsidRDefault="0018787E" w:rsidP="0018787E">
            <w:pPr>
              <w:spacing w:before="40"/>
              <w:rPr>
                <w:bCs/>
                <w:sz w:val="18"/>
                <w:szCs w:val="18"/>
                <w:lang w:val="en-GB"/>
              </w:rPr>
            </w:pPr>
            <w:r w:rsidRPr="0018787E">
              <w:rPr>
                <w:bCs/>
                <w:sz w:val="18"/>
                <w:szCs w:val="18"/>
                <w:lang w:val="en-GB"/>
              </w:rPr>
              <w:t>Number of IW:LEARN experience notes published</w:t>
            </w:r>
          </w:p>
        </w:tc>
        <w:tc>
          <w:tcPr>
            <w:tcW w:w="1270" w:type="dxa"/>
          </w:tcPr>
          <w:p w14:paraId="2A2E81FF" w14:textId="77777777" w:rsidR="0018787E" w:rsidRPr="0018787E" w:rsidRDefault="0018787E" w:rsidP="0018787E">
            <w:pPr>
              <w:spacing w:before="40"/>
              <w:rPr>
                <w:sz w:val="18"/>
                <w:szCs w:val="18"/>
                <w:lang w:val="en-GB"/>
              </w:rPr>
            </w:pPr>
            <w:r w:rsidRPr="0018787E">
              <w:rPr>
                <w:sz w:val="18"/>
                <w:szCs w:val="18"/>
                <w:lang w:val="en-GB"/>
              </w:rPr>
              <w:t>Limited regional and global sharing of information on best practices and lessons learned from investments in the SCS despite for example publication of a complete Special Issue of an academic journal on the progress to date</w:t>
            </w:r>
          </w:p>
        </w:tc>
        <w:tc>
          <w:tcPr>
            <w:tcW w:w="1109" w:type="dxa"/>
          </w:tcPr>
          <w:p w14:paraId="553DCE01" w14:textId="77777777" w:rsidR="0018787E" w:rsidRPr="0018787E" w:rsidRDefault="0018787E" w:rsidP="0018787E">
            <w:pPr>
              <w:rPr>
                <w:sz w:val="18"/>
                <w:szCs w:val="18"/>
                <w:lang w:val="en-GB"/>
              </w:rPr>
            </w:pPr>
            <w:r w:rsidRPr="0018787E">
              <w:rPr>
                <w:sz w:val="18"/>
                <w:szCs w:val="18"/>
                <w:lang w:val="en-GB"/>
              </w:rPr>
              <w:t>Scope and required content of experience notes agreed by RSTC</w:t>
            </w:r>
          </w:p>
        </w:tc>
        <w:tc>
          <w:tcPr>
            <w:tcW w:w="1291" w:type="dxa"/>
          </w:tcPr>
          <w:p w14:paraId="3F14E94F" w14:textId="77777777" w:rsidR="0018787E" w:rsidRPr="0018787E" w:rsidRDefault="0018787E" w:rsidP="0018787E">
            <w:pPr>
              <w:spacing w:before="40"/>
              <w:rPr>
                <w:sz w:val="18"/>
                <w:szCs w:val="18"/>
                <w:lang w:val="en-GB"/>
              </w:rPr>
            </w:pPr>
            <w:r w:rsidRPr="0018787E">
              <w:rPr>
                <w:sz w:val="18"/>
                <w:szCs w:val="18"/>
                <w:lang w:val="en-GB"/>
              </w:rPr>
              <w:t>Active engagement with  GEF IW:LEARN [1% of project resources] including participation in IW conferences and 3 experience notes</w:t>
            </w:r>
          </w:p>
        </w:tc>
        <w:tc>
          <w:tcPr>
            <w:tcW w:w="1269" w:type="dxa"/>
          </w:tcPr>
          <w:p w14:paraId="20475996" w14:textId="77777777" w:rsidR="0018787E" w:rsidRPr="0018787E" w:rsidRDefault="0018787E" w:rsidP="0018787E">
            <w:pPr>
              <w:spacing w:before="40"/>
              <w:rPr>
                <w:bCs/>
                <w:sz w:val="18"/>
                <w:szCs w:val="18"/>
                <w:lang w:val="en-GB"/>
              </w:rPr>
            </w:pPr>
            <w:r w:rsidRPr="0018787E">
              <w:rPr>
                <w:bCs/>
                <w:sz w:val="18"/>
                <w:szCs w:val="18"/>
                <w:lang w:val="en-GB"/>
              </w:rPr>
              <w:t>Published GEF IW experience notes [three]</w:t>
            </w:r>
          </w:p>
        </w:tc>
        <w:tc>
          <w:tcPr>
            <w:tcW w:w="1440" w:type="dxa"/>
          </w:tcPr>
          <w:p w14:paraId="6C4499D2" w14:textId="77777777" w:rsidR="0018787E" w:rsidRPr="0018787E" w:rsidRDefault="0018787E" w:rsidP="0018787E">
            <w:pPr>
              <w:rPr>
                <w:sz w:val="18"/>
                <w:szCs w:val="18"/>
                <w:lang w:val="en-GB"/>
              </w:rPr>
            </w:pPr>
            <w:r w:rsidRPr="0018787E">
              <w:rPr>
                <w:sz w:val="18"/>
                <w:szCs w:val="18"/>
                <w:lang w:val="en-GB"/>
              </w:rPr>
              <w:t>Annually</w:t>
            </w:r>
          </w:p>
          <w:p w14:paraId="1ECDEE53" w14:textId="77777777" w:rsidR="0018787E" w:rsidRPr="0018787E" w:rsidRDefault="0018787E" w:rsidP="0018787E">
            <w:pPr>
              <w:rPr>
                <w:sz w:val="18"/>
                <w:szCs w:val="18"/>
                <w:lang w:val="en-GB"/>
              </w:rPr>
            </w:pPr>
            <w:r w:rsidRPr="0018787E">
              <w:rPr>
                <w:sz w:val="18"/>
                <w:szCs w:val="18"/>
                <w:lang w:val="en-GB"/>
              </w:rPr>
              <w:br/>
            </w:r>
          </w:p>
          <w:p w14:paraId="5D3CA251" w14:textId="77777777" w:rsidR="0018787E" w:rsidRPr="0018787E" w:rsidRDefault="0018787E" w:rsidP="0018787E">
            <w:pPr>
              <w:rPr>
                <w:sz w:val="18"/>
                <w:szCs w:val="18"/>
                <w:lang w:val="en-GB"/>
              </w:rPr>
            </w:pPr>
          </w:p>
          <w:p w14:paraId="7A2BF828" w14:textId="77777777" w:rsidR="0018787E" w:rsidRPr="0018787E" w:rsidRDefault="0018787E" w:rsidP="0018787E">
            <w:pPr>
              <w:rPr>
                <w:sz w:val="18"/>
                <w:szCs w:val="18"/>
                <w:lang w:val="en-GB"/>
              </w:rPr>
            </w:pPr>
            <w:r w:rsidRPr="0018787E">
              <w:rPr>
                <w:sz w:val="18"/>
                <w:szCs w:val="18"/>
                <w:lang w:val="en-GB"/>
              </w:rPr>
              <w:t>Annually</w:t>
            </w:r>
          </w:p>
          <w:p w14:paraId="03DC049B" w14:textId="77777777" w:rsidR="0018787E" w:rsidRPr="0018787E" w:rsidRDefault="0018787E" w:rsidP="0018787E">
            <w:pPr>
              <w:rPr>
                <w:sz w:val="18"/>
                <w:szCs w:val="18"/>
                <w:lang w:val="en-GB"/>
              </w:rPr>
            </w:pPr>
          </w:p>
          <w:p w14:paraId="2AA95B58" w14:textId="77777777" w:rsidR="0018787E" w:rsidRPr="0018787E" w:rsidRDefault="0018787E" w:rsidP="0018787E">
            <w:pPr>
              <w:rPr>
                <w:sz w:val="18"/>
                <w:szCs w:val="18"/>
                <w:lang w:val="en-GB"/>
              </w:rPr>
            </w:pPr>
          </w:p>
          <w:p w14:paraId="3E21F8D0" w14:textId="77777777" w:rsidR="0018787E" w:rsidRPr="0018787E" w:rsidRDefault="0018787E" w:rsidP="0018787E">
            <w:pPr>
              <w:rPr>
                <w:sz w:val="18"/>
                <w:szCs w:val="18"/>
                <w:lang w:val="en-GB"/>
              </w:rPr>
            </w:pPr>
          </w:p>
          <w:p w14:paraId="38532618" w14:textId="77777777" w:rsidR="0018787E" w:rsidRPr="0018787E" w:rsidRDefault="0018787E" w:rsidP="0018787E">
            <w:pPr>
              <w:rPr>
                <w:sz w:val="18"/>
                <w:szCs w:val="18"/>
                <w:lang w:val="en-GB"/>
              </w:rPr>
            </w:pPr>
          </w:p>
          <w:p w14:paraId="68E93B16" w14:textId="77777777" w:rsidR="0018787E" w:rsidRPr="0018787E" w:rsidRDefault="0018787E" w:rsidP="0018787E">
            <w:pPr>
              <w:rPr>
                <w:sz w:val="18"/>
                <w:szCs w:val="18"/>
                <w:lang w:val="en-GB"/>
              </w:rPr>
            </w:pPr>
          </w:p>
        </w:tc>
        <w:tc>
          <w:tcPr>
            <w:tcW w:w="950" w:type="dxa"/>
          </w:tcPr>
          <w:p w14:paraId="568CA910" w14:textId="77777777" w:rsidR="0018787E" w:rsidRPr="0018787E" w:rsidRDefault="0018787E" w:rsidP="0018787E">
            <w:pPr>
              <w:rPr>
                <w:sz w:val="18"/>
                <w:szCs w:val="18"/>
                <w:lang w:val="en-GB"/>
              </w:rPr>
            </w:pPr>
            <w:r w:rsidRPr="0018787E">
              <w:rPr>
                <w:sz w:val="18"/>
                <w:szCs w:val="18"/>
                <w:lang w:val="en-GB"/>
              </w:rPr>
              <w:t>National-level</w:t>
            </w:r>
          </w:p>
          <w:p w14:paraId="6D3E9E21" w14:textId="77777777" w:rsidR="0018787E" w:rsidRPr="0018787E" w:rsidRDefault="0018787E" w:rsidP="0018787E">
            <w:pPr>
              <w:rPr>
                <w:sz w:val="18"/>
                <w:szCs w:val="18"/>
                <w:lang w:val="en-GB"/>
              </w:rPr>
            </w:pPr>
          </w:p>
          <w:p w14:paraId="16455798" w14:textId="77777777" w:rsidR="0018787E" w:rsidRPr="0018787E" w:rsidRDefault="0018787E" w:rsidP="0018787E">
            <w:pPr>
              <w:rPr>
                <w:sz w:val="18"/>
                <w:szCs w:val="18"/>
                <w:lang w:val="en-GB"/>
              </w:rPr>
            </w:pPr>
          </w:p>
          <w:p w14:paraId="7D3E2294" w14:textId="77777777" w:rsidR="0018787E" w:rsidRPr="0018787E" w:rsidRDefault="0018787E" w:rsidP="0018787E">
            <w:pPr>
              <w:rPr>
                <w:sz w:val="18"/>
                <w:szCs w:val="18"/>
                <w:lang w:val="en-GB"/>
              </w:rPr>
            </w:pPr>
            <w:r w:rsidRPr="0018787E">
              <w:rPr>
                <w:sz w:val="18"/>
                <w:szCs w:val="18"/>
                <w:lang w:val="en-GB"/>
              </w:rPr>
              <w:t>Regional-level</w:t>
            </w:r>
          </w:p>
          <w:p w14:paraId="53C18917" w14:textId="77777777" w:rsidR="0018787E" w:rsidRPr="0018787E" w:rsidRDefault="0018787E" w:rsidP="0018787E">
            <w:pPr>
              <w:rPr>
                <w:sz w:val="18"/>
                <w:szCs w:val="18"/>
                <w:lang w:val="en-GB"/>
              </w:rPr>
            </w:pPr>
          </w:p>
          <w:p w14:paraId="42B524FA" w14:textId="77777777" w:rsidR="0018787E" w:rsidRPr="0018787E" w:rsidRDefault="0018787E" w:rsidP="0018787E">
            <w:pPr>
              <w:rPr>
                <w:sz w:val="18"/>
                <w:szCs w:val="18"/>
                <w:lang w:val="en-GB"/>
              </w:rPr>
            </w:pPr>
          </w:p>
          <w:p w14:paraId="3A585AB2" w14:textId="77777777" w:rsidR="0018787E" w:rsidRPr="0018787E" w:rsidRDefault="0018787E" w:rsidP="0018787E">
            <w:pPr>
              <w:rPr>
                <w:sz w:val="18"/>
                <w:szCs w:val="18"/>
                <w:lang w:val="en-GB"/>
              </w:rPr>
            </w:pPr>
          </w:p>
        </w:tc>
        <w:tc>
          <w:tcPr>
            <w:tcW w:w="1350" w:type="dxa"/>
          </w:tcPr>
          <w:p w14:paraId="6A9C2A44"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National Technical Working Groups</w:t>
            </w:r>
          </w:p>
          <w:p w14:paraId="040E571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tc>
        <w:tc>
          <w:tcPr>
            <w:tcW w:w="810" w:type="dxa"/>
          </w:tcPr>
          <w:p w14:paraId="35308FEF"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230E9799"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4F7877BE" w14:textId="77777777" w:rsidTr="0018787E">
        <w:tc>
          <w:tcPr>
            <w:tcW w:w="1319" w:type="dxa"/>
            <w:vMerge w:val="restart"/>
            <w:vAlign w:val="center"/>
          </w:tcPr>
          <w:p w14:paraId="36435835" w14:textId="77777777" w:rsidR="0018787E" w:rsidRPr="0018787E" w:rsidRDefault="0018787E" w:rsidP="0018787E">
            <w:pPr>
              <w:rPr>
                <w:sz w:val="18"/>
                <w:szCs w:val="18"/>
                <w:lang w:val="en-GB"/>
              </w:rPr>
            </w:pPr>
            <w:r w:rsidRPr="0018787E">
              <w:rPr>
                <w:sz w:val="18"/>
                <w:szCs w:val="18"/>
                <w:lang w:val="en-GB"/>
              </w:rPr>
              <w:t>3.5: Agreed arrangements for strengthened regional cooperation in the management of the marine and coastal environment of the South China Sea</w:t>
            </w:r>
          </w:p>
        </w:tc>
        <w:tc>
          <w:tcPr>
            <w:tcW w:w="1270" w:type="dxa"/>
          </w:tcPr>
          <w:p w14:paraId="509BBF7F" w14:textId="77777777" w:rsidR="0018787E" w:rsidRPr="0018787E" w:rsidRDefault="0018787E" w:rsidP="0018787E">
            <w:pPr>
              <w:spacing w:before="40"/>
              <w:rPr>
                <w:bCs/>
                <w:sz w:val="18"/>
                <w:szCs w:val="18"/>
                <w:lang w:val="en-GB"/>
              </w:rPr>
            </w:pPr>
            <w:r w:rsidRPr="0018787E">
              <w:rPr>
                <w:bCs/>
                <w:sz w:val="18"/>
                <w:szCs w:val="18"/>
                <w:lang w:val="en-GB"/>
              </w:rPr>
              <w:t>Number of Regional Task Force meetings</w:t>
            </w:r>
          </w:p>
          <w:p w14:paraId="020E5E9B" w14:textId="77777777" w:rsidR="0018787E" w:rsidRPr="0018787E" w:rsidRDefault="0018787E" w:rsidP="0018787E">
            <w:pPr>
              <w:spacing w:before="40"/>
              <w:rPr>
                <w:bCs/>
                <w:sz w:val="18"/>
                <w:szCs w:val="18"/>
                <w:lang w:val="en-GB"/>
              </w:rPr>
            </w:pPr>
          </w:p>
          <w:p w14:paraId="7C501042" w14:textId="77777777" w:rsidR="0018787E" w:rsidRPr="0018787E" w:rsidRDefault="0018787E" w:rsidP="0018787E">
            <w:pPr>
              <w:spacing w:before="40"/>
              <w:rPr>
                <w:bCs/>
                <w:sz w:val="18"/>
                <w:szCs w:val="18"/>
                <w:lang w:val="en-GB"/>
              </w:rPr>
            </w:pPr>
            <w:r w:rsidRPr="0018787E">
              <w:rPr>
                <w:bCs/>
                <w:sz w:val="18"/>
                <w:szCs w:val="18"/>
                <w:lang w:val="en-GB"/>
              </w:rPr>
              <w:t>Continuity of participation of nationally nominated members</w:t>
            </w:r>
          </w:p>
        </w:tc>
        <w:tc>
          <w:tcPr>
            <w:tcW w:w="1270" w:type="dxa"/>
          </w:tcPr>
          <w:p w14:paraId="268CBDC6" w14:textId="77777777" w:rsidR="0018787E" w:rsidRPr="0018787E" w:rsidRDefault="0018787E" w:rsidP="0018787E">
            <w:pPr>
              <w:spacing w:before="40"/>
              <w:rPr>
                <w:sz w:val="18"/>
                <w:szCs w:val="18"/>
                <w:lang w:val="en-GB"/>
              </w:rPr>
            </w:pPr>
            <w:r w:rsidRPr="0018787E">
              <w:rPr>
                <w:sz w:val="18"/>
                <w:szCs w:val="18"/>
                <w:lang w:val="en-GB"/>
              </w:rPr>
              <w:t>Regional Task Force on Legal Matters established through SCS project but presently not functioning</w:t>
            </w:r>
          </w:p>
        </w:tc>
        <w:tc>
          <w:tcPr>
            <w:tcW w:w="1109" w:type="dxa"/>
          </w:tcPr>
          <w:p w14:paraId="005920D6" w14:textId="77777777" w:rsidR="0018787E" w:rsidRPr="0018787E" w:rsidRDefault="0018787E" w:rsidP="0018787E">
            <w:pPr>
              <w:rPr>
                <w:sz w:val="18"/>
                <w:szCs w:val="18"/>
                <w:lang w:val="en-GB"/>
              </w:rPr>
            </w:pPr>
            <w:r w:rsidRPr="0018787E">
              <w:rPr>
                <w:sz w:val="18"/>
                <w:szCs w:val="18"/>
                <w:lang w:val="en-GB"/>
              </w:rPr>
              <w:t>Three (3) meetings of the Regional Task Force on Legal Matters</w:t>
            </w:r>
          </w:p>
        </w:tc>
        <w:tc>
          <w:tcPr>
            <w:tcW w:w="1291" w:type="dxa"/>
          </w:tcPr>
          <w:p w14:paraId="764D654A" w14:textId="77777777" w:rsidR="0018787E" w:rsidRPr="0018787E" w:rsidRDefault="0018787E" w:rsidP="0018787E">
            <w:pPr>
              <w:spacing w:before="40"/>
              <w:rPr>
                <w:sz w:val="18"/>
                <w:szCs w:val="18"/>
                <w:lang w:val="en-GB"/>
              </w:rPr>
            </w:pPr>
            <w:r w:rsidRPr="0018787E">
              <w:rPr>
                <w:sz w:val="18"/>
                <w:szCs w:val="18"/>
                <w:lang w:val="en-GB"/>
              </w:rPr>
              <w:t>Biannual meetings of the Regional Task Force on Legal Matters</w:t>
            </w:r>
          </w:p>
        </w:tc>
        <w:tc>
          <w:tcPr>
            <w:tcW w:w="1269" w:type="dxa"/>
          </w:tcPr>
          <w:p w14:paraId="1233C6E4" w14:textId="77777777" w:rsidR="0018787E" w:rsidRPr="0018787E" w:rsidRDefault="0018787E" w:rsidP="0018787E">
            <w:pPr>
              <w:spacing w:before="40"/>
              <w:rPr>
                <w:bCs/>
                <w:sz w:val="18"/>
                <w:szCs w:val="18"/>
                <w:lang w:val="en-GB"/>
              </w:rPr>
            </w:pPr>
            <w:r w:rsidRPr="0018787E">
              <w:rPr>
                <w:bCs/>
                <w:sz w:val="18"/>
                <w:szCs w:val="18"/>
                <w:lang w:val="en-GB"/>
              </w:rPr>
              <w:t>Reports of the meetings of the Regional Task Force on Legal Matters</w:t>
            </w:r>
          </w:p>
        </w:tc>
        <w:tc>
          <w:tcPr>
            <w:tcW w:w="1440" w:type="dxa"/>
          </w:tcPr>
          <w:p w14:paraId="6761D631" w14:textId="77777777" w:rsidR="0018787E" w:rsidRPr="0018787E" w:rsidRDefault="0018787E" w:rsidP="0018787E">
            <w:pPr>
              <w:rPr>
                <w:sz w:val="18"/>
                <w:szCs w:val="18"/>
                <w:lang w:val="en-GB"/>
              </w:rPr>
            </w:pPr>
            <w:r w:rsidRPr="0018787E">
              <w:rPr>
                <w:sz w:val="18"/>
                <w:szCs w:val="18"/>
                <w:lang w:val="en-GB"/>
              </w:rPr>
              <w:t>Annually</w:t>
            </w:r>
          </w:p>
          <w:p w14:paraId="2F630CF0" w14:textId="77777777" w:rsidR="0018787E" w:rsidRPr="0018787E" w:rsidRDefault="0018787E" w:rsidP="0018787E">
            <w:pPr>
              <w:rPr>
                <w:sz w:val="18"/>
                <w:szCs w:val="18"/>
                <w:lang w:val="en-GB"/>
              </w:rPr>
            </w:pPr>
            <w:r w:rsidRPr="0018787E">
              <w:rPr>
                <w:sz w:val="18"/>
                <w:szCs w:val="18"/>
                <w:lang w:val="en-GB"/>
              </w:rPr>
              <w:br/>
            </w:r>
          </w:p>
          <w:p w14:paraId="05F425B0" w14:textId="77777777" w:rsidR="0018787E" w:rsidRPr="0018787E" w:rsidRDefault="0018787E" w:rsidP="0018787E">
            <w:pPr>
              <w:rPr>
                <w:sz w:val="18"/>
                <w:szCs w:val="18"/>
                <w:lang w:val="en-GB"/>
              </w:rPr>
            </w:pPr>
            <w:r w:rsidRPr="0018787E">
              <w:rPr>
                <w:sz w:val="18"/>
                <w:szCs w:val="18"/>
                <w:lang w:val="en-GB"/>
              </w:rPr>
              <w:t>Annually</w:t>
            </w:r>
          </w:p>
          <w:p w14:paraId="025683E5" w14:textId="77777777" w:rsidR="0018787E" w:rsidRPr="0018787E" w:rsidRDefault="0018787E" w:rsidP="0018787E">
            <w:pPr>
              <w:rPr>
                <w:sz w:val="18"/>
                <w:szCs w:val="18"/>
                <w:lang w:val="en-GB"/>
              </w:rPr>
            </w:pPr>
          </w:p>
          <w:p w14:paraId="4C0E8916" w14:textId="77777777" w:rsidR="0018787E" w:rsidRPr="0018787E" w:rsidRDefault="0018787E" w:rsidP="0018787E">
            <w:pPr>
              <w:rPr>
                <w:sz w:val="18"/>
                <w:szCs w:val="18"/>
                <w:lang w:val="en-GB"/>
              </w:rPr>
            </w:pPr>
          </w:p>
          <w:p w14:paraId="64ADE0DE" w14:textId="77777777" w:rsidR="0018787E" w:rsidRPr="0018787E" w:rsidRDefault="0018787E" w:rsidP="0018787E">
            <w:pPr>
              <w:rPr>
                <w:sz w:val="18"/>
                <w:szCs w:val="18"/>
                <w:lang w:val="en-GB"/>
              </w:rPr>
            </w:pPr>
          </w:p>
          <w:p w14:paraId="7D988740"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5F89A3F3" w14:textId="77777777" w:rsidR="0018787E" w:rsidRPr="0018787E" w:rsidRDefault="0018787E" w:rsidP="0018787E">
            <w:pPr>
              <w:rPr>
                <w:sz w:val="18"/>
                <w:szCs w:val="18"/>
                <w:lang w:val="en-GB"/>
              </w:rPr>
            </w:pPr>
            <w:r w:rsidRPr="0018787E">
              <w:rPr>
                <w:sz w:val="18"/>
                <w:szCs w:val="18"/>
                <w:lang w:val="en-GB"/>
              </w:rPr>
              <w:t>National-level</w:t>
            </w:r>
          </w:p>
          <w:p w14:paraId="3E638B4D" w14:textId="77777777" w:rsidR="0018787E" w:rsidRPr="0018787E" w:rsidRDefault="0018787E" w:rsidP="0018787E">
            <w:pPr>
              <w:rPr>
                <w:sz w:val="18"/>
                <w:szCs w:val="18"/>
                <w:lang w:val="en-GB"/>
              </w:rPr>
            </w:pPr>
          </w:p>
          <w:p w14:paraId="0BE3E3A4" w14:textId="77777777" w:rsidR="0018787E" w:rsidRPr="0018787E" w:rsidRDefault="0018787E" w:rsidP="0018787E">
            <w:pPr>
              <w:rPr>
                <w:sz w:val="18"/>
                <w:szCs w:val="18"/>
                <w:lang w:val="en-GB"/>
              </w:rPr>
            </w:pPr>
            <w:r w:rsidRPr="0018787E">
              <w:rPr>
                <w:sz w:val="18"/>
                <w:szCs w:val="18"/>
                <w:lang w:val="en-GB"/>
              </w:rPr>
              <w:t>Regional-level</w:t>
            </w:r>
          </w:p>
          <w:p w14:paraId="40A0B5D0" w14:textId="77777777" w:rsidR="0018787E" w:rsidRPr="0018787E" w:rsidRDefault="0018787E" w:rsidP="0018787E">
            <w:pPr>
              <w:rPr>
                <w:sz w:val="18"/>
                <w:szCs w:val="18"/>
                <w:lang w:val="en-GB"/>
              </w:rPr>
            </w:pPr>
          </w:p>
          <w:p w14:paraId="706BBEFB" w14:textId="77777777" w:rsidR="0018787E" w:rsidRPr="0018787E" w:rsidRDefault="0018787E" w:rsidP="0018787E">
            <w:pPr>
              <w:rPr>
                <w:sz w:val="18"/>
                <w:szCs w:val="18"/>
                <w:lang w:val="en-GB"/>
              </w:rPr>
            </w:pPr>
          </w:p>
          <w:p w14:paraId="708A9BE4"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108B6BA6"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p w14:paraId="4FAD6F7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4B9ABA05"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09DF20B8"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4FF6F096"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1FCE6615" w14:textId="77777777" w:rsidTr="0018787E">
        <w:tc>
          <w:tcPr>
            <w:tcW w:w="1319" w:type="dxa"/>
            <w:vMerge/>
          </w:tcPr>
          <w:p w14:paraId="5B969847" w14:textId="77777777" w:rsidR="0018787E" w:rsidRPr="0018787E" w:rsidRDefault="0018787E" w:rsidP="0018787E">
            <w:pPr>
              <w:rPr>
                <w:sz w:val="18"/>
                <w:szCs w:val="18"/>
                <w:lang w:val="en-GB"/>
              </w:rPr>
            </w:pPr>
          </w:p>
        </w:tc>
        <w:tc>
          <w:tcPr>
            <w:tcW w:w="1270" w:type="dxa"/>
          </w:tcPr>
          <w:p w14:paraId="3B5CB6FB" w14:textId="77777777" w:rsidR="0018787E" w:rsidRPr="0018787E" w:rsidRDefault="0018787E" w:rsidP="0018787E">
            <w:pPr>
              <w:spacing w:before="40"/>
              <w:rPr>
                <w:bCs/>
                <w:sz w:val="18"/>
                <w:szCs w:val="18"/>
                <w:lang w:val="en-GB"/>
              </w:rPr>
            </w:pPr>
            <w:r w:rsidRPr="0018787E">
              <w:rPr>
                <w:bCs/>
                <w:sz w:val="18"/>
                <w:szCs w:val="18"/>
                <w:lang w:val="en-GB"/>
              </w:rPr>
              <w:t>Number of National Working Group meetings</w:t>
            </w:r>
          </w:p>
          <w:p w14:paraId="6EE49731" w14:textId="77777777" w:rsidR="0018787E" w:rsidRPr="0018787E" w:rsidRDefault="0018787E" w:rsidP="0018787E">
            <w:pPr>
              <w:spacing w:before="40"/>
              <w:rPr>
                <w:bCs/>
                <w:sz w:val="18"/>
                <w:szCs w:val="18"/>
                <w:lang w:val="en-GB"/>
              </w:rPr>
            </w:pPr>
          </w:p>
          <w:p w14:paraId="5289351A" w14:textId="77777777" w:rsidR="0018787E" w:rsidRPr="0018787E" w:rsidRDefault="0018787E" w:rsidP="0018787E">
            <w:pPr>
              <w:spacing w:before="40"/>
              <w:rPr>
                <w:bCs/>
                <w:sz w:val="18"/>
                <w:szCs w:val="18"/>
                <w:lang w:val="en-GB"/>
              </w:rPr>
            </w:pPr>
            <w:r w:rsidRPr="0018787E">
              <w:rPr>
                <w:bCs/>
                <w:sz w:val="18"/>
                <w:szCs w:val="18"/>
                <w:lang w:val="en-GB"/>
              </w:rPr>
              <w:t>Continuity of participation of nationally nominated members</w:t>
            </w:r>
          </w:p>
        </w:tc>
        <w:tc>
          <w:tcPr>
            <w:tcW w:w="1270" w:type="dxa"/>
          </w:tcPr>
          <w:p w14:paraId="74C6FB7C" w14:textId="77777777" w:rsidR="0018787E" w:rsidRPr="0018787E" w:rsidRDefault="0018787E" w:rsidP="0018787E">
            <w:pPr>
              <w:spacing w:before="40"/>
              <w:rPr>
                <w:sz w:val="18"/>
                <w:szCs w:val="18"/>
                <w:lang w:val="en-GB"/>
              </w:rPr>
            </w:pPr>
            <w:r w:rsidRPr="0018787E">
              <w:rPr>
                <w:sz w:val="18"/>
                <w:szCs w:val="18"/>
                <w:lang w:val="en-GB"/>
              </w:rPr>
              <w:t>National Working Groups established through SCS project but presently not functioning</w:t>
            </w:r>
          </w:p>
        </w:tc>
        <w:tc>
          <w:tcPr>
            <w:tcW w:w="1109" w:type="dxa"/>
          </w:tcPr>
          <w:p w14:paraId="10AACA79" w14:textId="77777777" w:rsidR="0018787E" w:rsidRPr="0018787E" w:rsidRDefault="0018787E" w:rsidP="0018787E">
            <w:pPr>
              <w:rPr>
                <w:sz w:val="18"/>
                <w:szCs w:val="18"/>
                <w:lang w:val="en-GB"/>
              </w:rPr>
            </w:pPr>
            <w:r w:rsidRPr="0018787E">
              <w:rPr>
                <w:sz w:val="18"/>
                <w:szCs w:val="18"/>
                <w:lang w:val="en-GB"/>
              </w:rPr>
              <w:t>Same as end-of-project target</w:t>
            </w:r>
          </w:p>
        </w:tc>
        <w:tc>
          <w:tcPr>
            <w:tcW w:w="1291" w:type="dxa"/>
          </w:tcPr>
          <w:p w14:paraId="03263257" w14:textId="77777777" w:rsidR="0018787E" w:rsidRPr="0018787E" w:rsidRDefault="0018787E" w:rsidP="0018787E">
            <w:pPr>
              <w:spacing w:before="40"/>
              <w:rPr>
                <w:sz w:val="18"/>
                <w:szCs w:val="18"/>
                <w:lang w:val="en-GB"/>
              </w:rPr>
            </w:pPr>
            <w:r w:rsidRPr="0018787E">
              <w:rPr>
                <w:sz w:val="18"/>
                <w:szCs w:val="18"/>
                <w:lang w:val="en-GB"/>
              </w:rPr>
              <w:t>National Working Groups on established and functional</w:t>
            </w:r>
          </w:p>
        </w:tc>
        <w:tc>
          <w:tcPr>
            <w:tcW w:w="1269" w:type="dxa"/>
          </w:tcPr>
          <w:p w14:paraId="6B65F7CA" w14:textId="77777777" w:rsidR="0018787E" w:rsidRPr="0018787E" w:rsidRDefault="0018787E" w:rsidP="0018787E">
            <w:pPr>
              <w:spacing w:before="40"/>
              <w:rPr>
                <w:bCs/>
                <w:sz w:val="18"/>
                <w:szCs w:val="18"/>
                <w:lang w:val="en-GB"/>
              </w:rPr>
            </w:pPr>
            <w:r w:rsidRPr="0018787E">
              <w:rPr>
                <w:bCs/>
                <w:sz w:val="18"/>
                <w:szCs w:val="18"/>
                <w:lang w:val="en-GB"/>
              </w:rPr>
              <w:t>Reports of the meetings of National Working Groups</w:t>
            </w:r>
          </w:p>
        </w:tc>
        <w:tc>
          <w:tcPr>
            <w:tcW w:w="1440" w:type="dxa"/>
          </w:tcPr>
          <w:p w14:paraId="41DFE577" w14:textId="77777777" w:rsidR="0018787E" w:rsidRPr="0018787E" w:rsidRDefault="0018787E" w:rsidP="0018787E">
            <w:pPr>
              <w:rPr>
                <w:sz w:val="18"/>
                <w:szCs w:val="18"/>
                <w:lang w:val="en-GB"/>
              </w:rPr>
            </w:pPr>
            <w:r w:rsidRPr="0018787E">
              <w:rPr>
                <w:sz w:val="18"/>
                <w:szCs w:val="18"/>
                <w:lang w:val="en-GB"/>
              </w:rPr>
              <w:t>Annually</w:t>
            </w:r>
          </w:p>
          <w:p w14:paraId="4572D1FC" w14:textId="77777777" w:rsidR="0018787E" w:rsidRPr="0018787E" w:rsidRDefault="0018787E" w:rsidP="0018787E">
            <w:pPr>
              <w:rPr>
                <w:sz w:val="18"/>
                <w:szCs w:val="18"/>
                <w:lang w:val="en-GB"/>
              </w:rPr>
            </w:pPr>
            <w:r w:rsidRPr="0018787E">
              <w:rPr>
                <w:sz w:val="18"/>
                <w:szCs w:val="18"/>
                <w:lang w:val="en-GB"/>
              </w:rPr>
              <w:br/>
            </w:r>
          </w:p>
          <w:p w14:paraId="60EE7C86" w14:textId="77777777" w:rsidR="0018787E" w:rsidRPr="0018787E" w:rsidRDefault="0018787E" w:rsidP="0018787E">
            <w:pPr>
              <w:rPr>
                <w:sz w:val="18"/>
                <w:szCs w:val="18"/>
                <w:lang w:val="en-GB"/>
              </w:rPr>
            </w:pPr>
            <w:r w:rsidRPr="0018787E">
              <w:rPr>
                <w:sz w:val="18"/>
                <w:szCs w:val="18"/>
                <w:lang w:val="en-GB"/>
              </w:rPr>
              <w:t>Annually</w:t>
            </w:r>
          </w:p>
          <w:p w14:paraId="382C0190" w14:textId="77777777" w:rsidR="0018787E" w:rsidRPr="0018787E" w:rsidRDefault="0018787E" w:rsidP="0018787E">
            <w:pPr>
              <w:rPr>
                <w:sz w:val="18"/>
                <w:szCs w:val="18"/>
                <w:lang w:val="en-GB"/>
              </w:rPr>
            </w:pPr>
          </w:p>
          <w:p w14:paraId="0B44C5D6" w14:textId="77777777" w:rsidR="0018787E" w:rsidRPr="0018787E" w:rsidRDefault="0018787E" w:rsidP="0018787E">
            <w:pPr>
              <w:rPr>
                <w:sz w:val="18"/>
                <w:szCs w:val="18"/>
                <w:lang w:val="en-GB"/>
              </w:rPr>
            </w:pPr>
            <w:r w:rsidRPr="0018787E">
              <w:rPr>
                <w:sz w:val="18"/>
                <w:szCs w:val="18"/>
                <w:lang w:val="en-GB"/>
              </w:rPr>
              <w:t>Annually</w:t>
            </w:r>
          </w:p>
          <w:p w14:paraId="68665205" w14:textId="77777777" w:rsidR="0018787E" w:rsidRPr="0018787E" w:rsidRDefault="0018787E" w:rsidP="0018787E">
            <w:pPr>
              <w:rPr>
                <w:sz w:val="18"/>
                <w:szCs w:val="18"/>
                <w:lang w:val="en-GB"/>
              </w:rPr>
            </w:pPr>
          </w:p>
          <w:p w14:paraId="38657B42" w14:textId="77777777" w:rsidR="0018787E" w:rsidRPr="0018787E" w:rsidRDefault="0018787E" w:rsidP="0018787E">
            <w:pPr>
              <w:rPr>
                <w:sz w:val="18"/>
                <w:szCs w:val="18"/>
                <w:lang w:val="en-GB"/>
              </w:rPr>
            </w:pPr>
          </w:p>
          <w:p w14:paraId="28366CF8" w14:textId="77777777" w:rsidR="0018787E" w:rsidRPr="0018787E" w:rsidRDefault="0018787E" w:rsidP="0018787E">
            <w:pPr>
              <w:rPr>
                <w:sz w:val="18"/>
                <w:szCs w:val="18"/>
                <w:lang w:val="en-GB"/>
              </w:rPr>
            </w:pPr>
          </w:p>
          <w:p w14:paraId="4AFF1F57"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38621DC1" w14:textId="77777777" w:rsidR="0018787E" w:rsidRPr="0018787E" w:rsidRDefault="0018787E" w:rsidP="0018787E">
            <w:pPr>
              <w:rPr>
                <w:sz w:val="18"/>
                <w:szCs w:val="18"/>
                <w:lang w:val="en-GB"/>
              </w:rPr>
            </w:pPr>
            <w:r w:rsidRPr="0018787E">
              <w:rPr>
                <w:sz w:val="18"/>
                <w:szCs w:val="18"/>
                <w:lang w:val="en-GB"/>
              </w:rPr>
              <w:t>National-level</w:t>
            </w:r>
          </w:p>
          <w:p w14:paraId="271C4417" w14:textId="77777777" w:rsidR="0018787E" w:rsidRPr="0018787E" w:rsidRDefault="0018787E" w:rsidP="0018787E">
            <w:pPr>
              <w:rPr>
                <w:sz w:val="18"/>
                <w:szCs w:val="18"/>
                <w:lang w:val="en-GB"/>
              </w:rPr>
            </w:pPr>
          </w:p>
          <w:p w14:paraId="026CEB12" w14:textId="77777777" w:rsidR="0018787E" w:rsidRPr="0018787E" w:rsidRDefault="0018787E" w:rsidP="0018787E">
            <w:pPr>
              <w:rPr>
                <w:sz w:val="18"/>
                <w:szCs w:val="18"/>
                <w:lang w:val="en-GB"/>
              </w:rPr>
            </w:pPr>
            <w:r w:rsidRPr="0018787E">
              <w:rPr>
                <w:sz w:val="18"/>
                <w:szCs w:val="18"/>
                <w:lang w:val="en-GB"/>
              </w:rPr>
              <w:t>Regional-level</w:t>
            </w:r>
          </w:p>
          <w:p w14:paraId="2782B44F" w14:textId="77777777" w:rsidR="0018787E" w:rsidRPr="0018787E" w:rsidRDefault="0018787E" w:rsidP="0018787E">
            <w:pPr>
              <w:rPr>
                <w:sz w:val="18"/>
                <w:szCs w:val="18"/>
                <w:lang w:val="en-GB"/>
              </w:rPr>
            </w:pPr>
          </w:p>
          <w:p w14:paraId="5C4BF8F7" w14:textId="77777777" w:rsidR="0018787E" w:rsidRPr="0018787E" w:rsidRDefault="0018787E" w:rsidP="0018787E">
            <w:pPr>
              <w:rPr>
                <w:sz w:val="18"/>
                <w:szCs w:val="18"/>
                <w:lang w:val="en-GB"/>
              </w:rPr>
            </w:pPr>
            <w:r w:rsidRPr="0018787E">
              <w:rPr>
                <w:sz w:val="18"/>
                <w:szCs w:val="18"/>
                <w:lang w:val="en-GB"/>
              </w:rPr>
              <w:t>Regional-level</w:t>
            </w:r>
          </w:p>
          <w:p w14:paraId="699B0A66" w14:textId="77777777" w:rsidR="0018787E" w:rsidRPr="0018787E" w:rsidRDefault="0018787E" w:rsidP="0018787E">
            <w:pPr>
              <w:rPr>
                <w:sz w:val="18"/>
                <w:szCs w:val="18"/>
                <w:lang w:val="en-GB"/>
              </w:rPr>
            </w:pPr>
          </w:p>
          <w:p w14:paraId="7BEACFC1" w14:textId="77777777" w:rsidR="0018787E" w:rsidRPr="0018787E" w:rsidRDefault="0018787E" w:rsidP="0018787E">
            <w:pPr>
              <w:rPr>
                <w:sz w:val="18"/>
                <w:szCs w:val="18"/>
                <w:lang w:val="en-GB"/>
              </w:rPr>
            </w:pPr>
          </w:p>
          <w:p w14:paraId="7A31241C"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4A432FE5"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p w14:paraId="0E91496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Task Force - L</w:t>
            </w:r>
          </w:p>
          <w:p w14:paraId="76BA76EB"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6A710889"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0D6150A8"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695FEB2F"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3E66CA27" w14:textId="77777777" w:rsidTr="0018787E">
        <w:tc>
          <w:tcPr>
            <w:tcW w:w="1319" w:type="dxa"/>
            <w:vMerge/>
          </w:tcPr>
          <w:p w14:paraId="4C2EFEB5" w14:textId="77777777" w:rsidR="0018787E" w:rsidRPr="0018787E" w:rsidRDefault="0018787E" w:rsidP="0018787E">
            <w:pPr>
              <w:rPr>
                <w:sz w:val="18"/>
                <w:szCs w:val="18"/>
                <w:lang w:val="en-GB"/>
              </w:rPr>
            </w:pPr>
          </w:p>
        </w:tc>
        <w:tc>
          <w:tcPr>
            <w:tcW w:w="1270" w:type="dxa"/>
          </w:tcPr>
          <w:p w14:paraId="41EE3FBE" w14:textId="77777777" w:rsidR="0018787E" w:rsidRPr="0018787E" w:rsidRDefault="0018787E" w:rsidP="0018787E">
            <w:pPr>
              <w:spacing w:before="40"/>
              <w:rPr>
                <w:bCs/>
                <w:sz w:val="18"/>
                <w:szCs w:val="18"/>
                <w:lang w:val="en-GB"/>
              </w:rPr>
            </w:pPr>
            <w:r w:rsidRPr="0018787E">
              <w:rPr>
                <w:bCs/>
                <w:sz w:val="18"/>
                <w:szCs w:val="18"/>
                <w:lang w:val="en-GB"/>
              </w:rPr>
              <w:t>Status of agreement on identified process</w:t>
            </w:r>
          </w:p>
        </w:tc>
        <w:tc>
          <w:tcPr>
            <w:tcW w:w="1270" w:type="dxa"/>
          </w:tcPr>
          <w:p w14:paraId="6C103BA1" w14:textId="77777777" w:rsidR="0018787E" w:rsidRPr="0018787E" w:rsidRDefault="0018787E" w:rsidP="0018787E">
            <w:pPr>
              <w:spacing w:before="40"/>
              <w:rPr>
                <w:sz w:val="18"/>
                <w:szCs w:val="18"/>
                <w:lang w:val="en-GB"/>
              </w:rPr>
            </w:pPr>
            <w:r w:rsidRPr="0018787E">
              <w:rPr>
                <w:sz w:val="18"/>
                <w:szCs w:val="18"/>
                <w:lang w:val="en-GB"/>
              </w:rPr>
              <w:t>Framework process developed but requires national and regional consultation</w:t>
            </w:r>
          </w:p>
        </w:tc>
        <w:tc>
          <w:tcPr>
            <w:tcW w:w="1109" w:type="dxa"/>
          </w:tcPr>
          <w:p w14:paraId="45CC8700" w14:textId="77777777" w:rsidR="0018787E" w:rsidRPr="0018787E" w:rsidRDefault="0018787E" w:rsidP="0018787E">
            <w:pPr>
              <w:rPr>
                <w:sz w:val="18"/>
                <w:szCs w:val="18"/>
                <w:lang w:val="en-GB"/>
              </w:rPr>
            </w:pPr>
            <w:r w:rsidRPr="0018787E">
              <w:rPr>
                <w:sz w:val="18"/>
                <w:szCs w:val="18"/>
                <w:lang w:val="en-GB"/>
              </w:rPr>
              <w:t>Consultations initiated to agree process</w:t>
            </w:r>
          </w:p>
        </w:tc>
        <w:tc>
          <w:tcPr>
            <w:tcW w:w="1291" w:type="dxa"/>
          </w:tcPr>
          <w:p w14:paraId="5263DA0C" w14:textId="77777777" w:rsidR="0018787E" w:rsidRPr="0018787E" w:rsidRDefault="0018787E" w:rsidP="0018787E">
            <w:pPr>
              <w:spacing w:before="40"/>
              <w:rPr>
                <w:sz w:val="18"/>
                <w:szCs w:val="18"/>
                <w:lang w:val="en-GB"/>
              </w:rPr>
            </w:pPr>
            <w:r w:rsidRPr="0018787E">
              <w:rPr>
                <w:sz w:val="18"/>
                <w:szCs w:val="18"/>
                <w:lang w:val="en-GB"/>
              </w:rPr>
              <w:t>Process for development of a proposed arrangement for regional cooperation defined and planned</w:t>
            </w:r>
          </w:p>
        </w:tc>
        <w:tc>
          <w:tcPr>
            <w:tcW w:w="1269" w:type="dxa"/>
          </w:tcPr>
          <w:p w14:paraId="5BB0F066" w14:textId="77777777" w:rsidR="0018787E" w:rsidRPr="0018787E" w:rsidRDefault="0018787E" w:rsidP="0018787E">
            <w:pPr>
              <w:spacing w:before="40"/>
              <w:rPr>
                <w:bCs/>
                <w:sz w:val="18"/>
                <w:szCs w:val="18"/>
                <w:lang w:val="en-GB"/>
              </w:rPr>
            </w:pPr>
            <w:r w:rsidRPr="0018787E">
              <w:rPr>
                <w:bCs/>
                <w:sz w:val="18"/>
                <w:szCs w:val="18"/>
                <w:lang w:val="en-GB"/>
              </w:rPr>
              <w:t>Report outlining agreed process</w:t>
            </w:r>
          </w:p>
        </w:tc>
        <w:tc>
          <w:tcPr>
            <w:tcW w:w="1440" w:type="dxa"/>
          </w:tcPr>
          <w:p w14:paraId="2E03646E" w14:textId="77777777" w:rsidR="0018787E" w:rsidRPr="0018787E" w:rsidRDefault="0018787E" w:rsidP="0018787E">
            <w:pPr>
              <w:rPr>
                <w:sz w:val="18"/>
                <w:szCs w:val="18"/>
                <w:lang w:val="en-GB"/>
              </w:rPr>
            </w:pPr>
            <w:r w:rsidRPr="0018787E">
              <w:rPr>
                <w:sz w:val="18"/>
                <w:szCs w:val="18"/>
                <w:lang w:val="en-GB"/>
              </w:rPr>
              <w:t>Annually</w:t>
            </w:r>
          </w:p>
          <w:p w14:paraId="53308E9A" w14:textId="77777777" w:rsidR="0018787E" w:rsidRPr="0018787E" w:rsidRDefault="0018787E" w:rsidP="0018787E">
            <w:pPr>
              <w:rPr>
                <w:sz w:val="18"/>
                <w:szCs w:val="18"/>
                <w:lang w:val="en-GB"/>
              </w:rPr>
            </w:pPr>
            <w:r w:rsidRPr="0018787E">
              <w:rPr>
                <w:sz w:val="18"/>
                <w:szCs w:val="18"/>
                <w:lang w:val="en-GB"/>
              </w:rPr>
              <w:br/>
            </w:r>
          </w:p>
          <w:p w14:paraId="08DB7E18" w14:textId="77777777" w:rsidR="0018787E" w:rsidRPr="0018787E" w:rsidRDefault="0018787E" w:rsidP="0018787E">
            <w:pPr>
              <w:rPr>
                <w:sz w:val="18"/>
                <w:szCs w:val="18"/>
                <w:lang w:val="en-GB"/>
              </w:rPr>
            </w:pPr>
            <w:r w:rsidRPr="0018787E">
              <w:rPr>
                <w:sz w:val="18"/>
                <w:szCs w:val="18"/>
                <w:lang w:val="en-GB"/>
              </w:rPr>
              <w:t>Annually</w:t>
            </w:r>
          </w:p>
          <w:p w14:paraId="67811185" w14:textId="77777777" w:rsidR="0018787E" w:rsidRPr="0018787E" w:rsidRDefault="0018787E" w:rsidP="0018787E">
            <w:pPr>
              <w:rPr>
                <w:sz w:val="18"/>
                <w:szCs w:val="18"/>
                <w:lang w:val="en-GB"/>
              </w:rPr>
            </w:pPr>
          </w:p>
          <w:p w14:paraId="5D89FB00" w14:textId="77777777" w:rsidR="0018787E" w:rsidRPr="0018787E" w:rsidRDefault="0018787E" w:rsidP="0018787E">
            <w:pPr>
              <w:rPr>
                <w:sz w:val="18"/>
                <w:szCs w:val="18"/>
                <w:lang w:val="en-GB"/>
              </w:rPr>
            </w:pPr>
            <w:r w:rsidRPr="0018787E">
              <w:rPr>
                <w:sz w:val="18"/>
                <w:szCs w:val="18"/>
                <w:lang w:val="en-GB"/>
              </w:rPr>
              <w:t>Annually</w:t>
            </w:r>
          </w:p>
          <w:p w14:paraId="116F071E" w14:textId="77777777" w:rsidR="0018787E" w:rsidRPr="0018787E" w:rsidRDefault="0018787E" w:rsidP="0018787E">
            <w:pPr>
              <w:rPr>
                <w:sz w:val="18"/>
                <w:szCs w:val="18"/>
                <w:lang w:val="en-GB"/>
              </w:rPr>
            </w:pPr>
          </w:p>
          <w:p w14:paraId="6B70D4C0" w14:textId="77777777" w:rsidR="0018787E" w:rsidRPr="0018787E" w:rsidRDefault="0018787E" w:rsidP="0018787E">
            <w:pPr>
              <w:rPr>
                <w:sz w:val="18"/>
                <w:szCs w:val="18"/>
                <w:lang w:val="en-GB"/>
              </w:rPr>
            </w:pPr>
          </w:p>
          <w:p w14:paraId="629EB532" w14:textId="77777777" w:rsidR="0018787E" w:rsidRPr="0018787E" w:rsidRDefault="0018787E" w:rsidP="0018787E">
            <w:pPr>
              <w:rPr>
                <w:sz w:val="18"/>
                <w:szCs w:val="18"/>
                <w:lang w:val="en-GB"/>
              </w:rPr>
            </w:pPr>
          </w:p>
          <w:p w14:paraId="7D9A2B48"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1E7B6D7B" w14:textId="77777777" w:rsidR="0018787E" w:rsidRPr="0018787E" w:rsidRDefault="0018787E" w:rsidP="0018787E">
            <w:pPr>
              <w:rPr>
                <w:sz w:val="18"/>
                <w:szCs w:val="18"/>
                <w:lang w:val="en-GB"/>
              </w:rPr>
            </w:pPr>
            <w:r w:rsidRPr="0018787E">
              <w:rPr>
                <w:sz w:val="18"/>
                <w:szCs w:val="18"/>
                <w:lang w:val="en-GB"/>
              </w:rPr>
              <w:t>National-level</w:t>
            </w:r>
          </w:p>
          <w:p w14:paraId="0023D923" w14:textId="77777777" w:rsidR="0018787E" w:rsidRPr="0018787E" w:rsidRDefault="0018787E" w:rsidP="0018787E">
            <w:pPr>
              <w:rPr>
                <w:sz w:val="18"/>
                <w:szCs w:val="18"/>
                <w:lang w:val="en-GB"/>
              </w:rPr>
            </w:pPr>
          </w:p>
          <w:p w14:paraId="7A4DB1D5" w14:textId="77777777" w:rsidR="0018787E" w:rsidRPr="0018787E" w:rsidRDefault="0018787E" w:rsidP="0018787E">
            <w:pPr>
              <w:rPr>
                <w:sz w:val="18"/>
                <w:szCs w:val="18"/>
                <w:lang w:val="en-GB"/>
              </w:rPr>
            </w:pPr>
            <w:r w:rsidRPr="0018787E">
              <w:rPr>
                <w:sz w:val="18"/>
                <w:szCs w:val="18"/>
                <w:lang w:val="en-GB"/>
              </w:rPr>
              <w:t>Regional-level</w:t>
            </w:r>
          </w:p>
          <w:p w14:paraId="11AC3956" w14:textId="77777777" w:rsidR="0018787E" w:rsidRPr="0018787E" w:rsidRDefault="0018787E" w:rsidP="0018787E">
            <w:pPr>
              <w:rPr>
                <w:sz w:val="18"/>
                <w:szCs w:val="18"/>
                <w:lang w:val="en-GB"/>
              </w:rPr>
            </w:pPr>
          </w:p>
          <w:p w14:paraId="17204AF9" w14:textId="77777777" w:rsidR="0018787E" w:rsidRPr="0018787E" w:rsidRDefault="0018787E" w:rsidP="0018787E">
            <w:pPr>
              <w:rPr>
                <w:sz w:val="18"/>
                <w:szCs w:val="18"/>
                <w:lang w:val="en-GB"/>
              </w:rPr>
            </w:pPr>
            <w:r w:rsidRPr="0018787E">
              <w:rPr>
                <w:sz w:val="18"/>
                <w:szCs w:val="18"/>
                <w:lang w:val="en-GB"/>
              </w:rPr>
              <w:t>Regional-level</w:t>
            </w:r>
          </w:p>
          <w:p w14:paraId="4CE8E4CF" w14:textId="77777777" w:rsidR="0018787E" w:rsidRPr="0018787E" w:rsidRDefault="0018787E" w:rsidP="0018787E">
            <w:pPr>
              <w:rPr>
                <w:sz w:val="18"/>
                <w:szCs w:val="18"/>
                <w:lang w:val="en-GB"/>
              </w:rPr>
            </w:pPr>
          </w:p>
          <w:p w14:paraId="1D9EB570" w14:textId="77777777" w:rsidR="0018787E" w:rsidRPr="0018787E" w:rsidRDefault="0018787E" w:rsidP="0018787E">
            <w:pPr>
              <w:rPr>
                <w:sz w:val="18"/>
                <w:szCs w:val="18"/>
                <w:lang w:val="en-GB"/>
              </w:rPr>
            </w:pPr>
          </w:p>
          <w:p w14:paraId="6CA3542A"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50E0BE3A"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p w14:paraId="58EE915C"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Task Force - L</w:t>
            </w:r>
          </w:p>
          <w:p w14:paraId="534B4B8A"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0A9DD42A"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63E0F95E"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48CB6822"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6E1A2373" w14:textId="77777777" w:rsidTr="0018787E">
        <w:tc>
          <w:tcPr>
            <w:tcW w:w="1319" w:type="dxa"/>
            <w:vMerge/>
          </w:tcPr>
          <w:p w14:paraId="0865FFEE" w14:textId="77777777" w:rsidR="0018787E" w:rsidRPr="0018787E" w:rsidRDefault="0018787E" w:rsidP="0018787E">
            <w:pPr>
              <w:rPr>
                <w:sz w:val="18"/>
                <w:szCs w:val="18"/>
                <w:lang w:val="en-GB"/>
              </w:rPr>
            </w:pPr>
          </w:p>
        </w:tc>
        <w:tc>
          <w:tcPr>
            <w:tcW w:w="1270" w:type="dxa"/>
          </w:tcPr>
          <w:p w14:paraId="4C18050F" w14:textId="77777777" w:rsidR="0018787E" w:rsidRPr="0018787E" w:rsidRDefault="0018787E" w:rsidP="0018787E">
            <w:pPr>
              <w:spacing w:before="40"/>
              <w:rPr>
                <w:bCs/>
                <w:sz w:val="18"/>
                <w:szCs w:val="18"/>
                <w:lang w:val="en-GB"/>
              </w:rPr>
            </w:pPr>
            <w:r w:rsidRPr="0018787E">
              <w:rPr>
                <w:bCs/>
                <w:sz w:val="18"/>
                <w:szCs w:val="18"/>
                <w:lang w:val="en-GB"/>
              </w:rPr>
              <w:t>Extent of national stakeholder input to drafting phase of instrument for cooperation</w:t>
            </w:r>
          </w:p>
        </w:tc>
        <w:tc>
          <w:tcPr>
            <w:tcW w:w="1270" w:type="dxa"/>
          </w:tcPr>
          <w:p w14:paraId="5086E1BF" w14:textId="77777777" w:rsidR="0018787E" w:rsidRPr="0018787E" w:rsidRDefault="0018787E" w:rsidP="0018787E">
            <w:pPr>
              <w:spacing w:before="40"/>
              <w:rPr>
                <w:sz w:val="18"/>
                <w:szCs w:val="18"/>
                <w:lang w:val="en-GB"/>
              </w:rPr>
            </w:pPr>
            <w:r w:rsidRPr="0018787E">
              <w:rPr>
                <w:sz w:val="18"/>
                <w:szCs w:val="18"/>
                <w:lang w:val="en-GB"/>
              </w:rPr>
              <w:t>SAP formulation benefited from an emphasis on consensual planning and decision making</w:t>
            </w:r>
          </w:p>
        </w:tc>
        <w:tc>
          <w:tcPr>
            <w:tcW w:w="1109" w:type="dxa"/>
          </w:tcPr>
          <w:p w14:paraId="618F394C" w14:textId="77777777" w:rsidR="0018787E" w:rsidRPr="0018787E" w:rsidRDefault="0018787E" w:rsidP="0018787E">
            <w:pPr>
              <w:rPr>
                <w:sz w:val="18"/>
                <w:szCs w:val="18"/>
                <w:lang w:val="en-GB"/>
              </w:rPr>
            </w:pPr>
            <w:r w:rsidRPr="0018787E">
              <w:rPr>
                <w:sz w:val="18"/>
                <w:szCs w:val="18"/>
                <w:lang w:val="en-GB"/>
              </w:rPr>
              <w:t xml:space="preserve">Stakeholder consultations initiated </w:t>
            </w:r>
          </w:p>
        </w:tc>
        <w:tc>
          <w:tcPr>
            <w:tcW w:w="1291" w:type="dxa"/>
          </w:tcPr>
          <w:p w14:paraId="4E95FB70" w14:textId="77777777" w:rsidR="0018787E" w:rsidRPr="0018787E" w:rsidRDefault="0018787E" w:rsidP="0018787E">
            <w:pPr>
              <w:spacing w:before="40"/>
              <w:rPr>
                <w:sz w:val="18"/>
                <w:szCs w:val="18"/>
                <w:lang w:val="en-GB"/>
              </w:rPr>
            </w:pPr>
            <w:r w:rsidRPr="0018787E">
              <w:rPr>
                <w:sz w:val="18"/>
                <w:szCs w:val="18"/>
                <w:lang w:val="en-GB"/>
              </w:rPr>
              <w:t>National stakeholder inputs to drafting of instrument for strengthened regional cooperation facilitated via national consultations</w:t>
            </w:r>
          </w:p>
        </w:tc>
        <w:tc>
          <w:tcPr>
            <w:tcW w:w="1269" w:type="dxa"/>
          </w:tcPr>
          <w:p w14:paraId="6ADBE7EE" w14:textId="77777777" w:rsidR="0018787E" w:rsidRPr="0018787E" w:rsidRDefault="0018787E" w:rsidP="0018787E">
            <w:pPr>
              <w:spacing w:before="40"/>
              <w:rPr>
                <w:bCs/>
                <w:sz w:val="18"/>
                <w:szCs w:val="18"/>
                <w:lang w:val="en-GB"/>
              </w:rPr>
            </w:pPr>
            <w:r w:rsidRPr="0018787E">
              <w:rPr>
                <w:bCs/>
                <w:sz w:val="18"/>
                <w:szCs w:val="18"/>
                <w:lang w:val="en-GB"/>
              </w:rPr>
              <w:t>Reports of national stakeholder consultation process</w:t>
            </w:r>
          </w:p>
        </w:tc>
        <w:tc>
          <w:tcPr>
            <w:tcW w:w="1440" w:type="dxa"/>
          </w:tcPr>
          <w:p w14:paraId="115D730D" w14:textId="77777777" w:rsidR="0018787E" w:rsidRPr="0018787E" w:rsidRDefault="0018787E" w:rsidP="0018787E">
            <w:pPr>
              <w:rPr>
                <w:sz w:val="18"/>
                <w:szCs w:val="18"/>
                <w:lang w:val="en-GB"/>
              </w:rPr>
            </w:pPr>
            <w:r w:rsidRPr="0018787E">
              <w:rPr>
                <w:sz w:val="18"/>
                <w:szCs w:val="18"/>
                <w:lang w:val="en-GB"/>
              </w:rPr>
              <w:t>Annually</w:t>
            </w:r>
          </w:p>
          <w:p w14:paraId="49136841" w14:textId="77777777" w:rsidR="0018787E" w:rsidRPr="0018787E" w:rsidRDefault="0018787E" w:rsidP="0018787E">
            <w:pPr>
              <w:rPr>
                <w:sz w:val="18"/>
                <w:szCs w:val="18"/>
                <w:lang w:val="en-GB"/>
              </w:rPr>
            </w:pPr>
            <w:r w:rsidRPr="0018787E">
              <w:rPr>
                <w:sz w:val="18"/>
                <w:szCs w:val="18"/>
                <w:lang w:val="en-GB"/>
              </w:rPr>
              <w:br/>
            </w:r>
          </w:p>
          <w:p w14:paraId="089357BD" w14:textId="77777777" w:rsidR="0018787E" w:rsidRPr="0018787E" w:rsidRDefault="0018787E" w:rsidP="0018787E">
            <w:pPr>
              <w:rPr>
                <w:sz w:val="18"/>
                <w:szCs w:val="18"/>
                <w:lang w:val="en-GB"/>
              </w:rPr>
            </w:pPr>
            <w:r w:rsidRPr="0018787E">
              <w:rPr>
                <w:sz w:val="18"/>
                <w:szCs w:val="18"/>
                <w:lang w:val="en-GB"/>
              </w:rPr>
              <w:t>Annually</w:t>
            </w:r>
          </w:p>
          <w:p w14:paraId="1799A423" w14:textId="77777777" w:rsidR="0018787E" w:rsidRPr="0018787E" w:rsidRDefault="0018787E" w:rsidP="0018787E">
            <w:pPr>
              <w:rPr>
                <w:sz w:val="18"/>
                <w:szCs w:val="18"/>
                <w:lang w:val="en-GB"/>
              </w:rPr>
            </w:pPr>
          </w:p>
          <w:p w14:paraId="7C3A8836" w14:textId="77777777" w:rsidR="0018787E" w:rsidRPr="0018787E" w:rsidRDefault="0018787E" w:rsidP="0018787E">
            <w:pPr>
              <w:rPr>
                <w:sz w:val="18"/>
                <w:szCs w:val="18"/>
                <w:lang w:val="en-GB"/>
              </w:rPr>
            </w:pPr>
            <w:r w:rsidRPr="0018787E">
              <w:rPr>
                <w:sz w:val="18"/>
                <w:szCs w:val="18"/>
                <w:lang w:val="en-GB"/>
              </w:rPr>
              <w:t>Annually</w:t>
            </w:r>
          </w:p>
          <w:p w14:paraId="6C8873FA" w14:textId="77777777" w:rsidR="0018787E" w:rsidRPr="0018787E" w:rsidRDefault="0018787E" w:rsidP="0018787E">
            <w:pPr>
              <w:rPr>
                <w:sz w:val="18"/>
                <w:szCs w:val="18"/>
                <w:lang w:val="en-GB"/>
              </w:rPr>
            </w:pPr>
          </w:p>
          <w:p w14:paraId="49D64178" w14:textId="77777777" w:rsidR="0018787E" w:rsidRPr="0018787E" w:rsidRDefault="0018787E" w:rsidP="0018787E">
            <w:pPr>
              <w:rPr>
                <w:sz w:val="18"/>
                <w:szCs w:val="18"/>
                <w:lang w:val="en-GB"/>
              </w:rPr>
            </w:pPr>
          </w:p>
          <w:p w14:paraId="3B9A77FA" w14:textId="77777777" w:rsidR="0018787E" w:rsidRPr="0018787E" w:rsidRDefault="0018787E" w:rsidP="0018787E">
            <w:pPr>
              <w:rPr>
                <w:sz w:val="18"/>
                <w:szCs w:val="18"/>
                <w:lang w:val="en-GB"/>
              </w:rPr>
            </w:pPr>
          </w:p>
          <w:p w14:paraId="2FF9946D"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14BFF4F0" w14:textId="77777777" w:rsidR="0018787E" w:rsidRPr="0018787E" w:rsidRDefault="0018787E" w:rsidP="0018787E">
            <w:pPr>
              <w:rPr>
                <w:sz w:val="18"/>
                <w:szCs w:val="18"/>
                <w:lang w:val="en-GB"/>
              </w:rPr>
            </w:pPr>
            <w:r w:rsidRPr="0018787E">
              <w:rPr>
                <w:sz w:val="18"/>
                <w:szCs w:val="18"/>
                <w:lang w:val="en-GB"/>
              </w:rPr>
              <w:t>National-level</w:t>
            </w:r>
          </w:p>
          <w:p w14:paraId="23245EC6" w14:textId="77777777" w:rsidR="0018787E" w:rsidRPr="0018787E" w:rsidRDefault="0018787E" w:rsidP="0018787E">
            <w:pPr>
              <w:rPr>
                <w:sz w:val="18"/>
                <w:szCs w:val="18"/>
                <w:lang w:val="en-GB"/>
              </w:rPr>
            </w:pPr>
          </w:p>
          <w:p w14:paraId="4554A5A0" w14:textId="77777777" w:rsidR="0018787E" w:rsidRPr="0018787E" w:rsidRDefault="0018787E" w:rsidP="0018787E">
            <w:pPr>
              <w:rPr>
                <w:sz w:val="18"/>
                <w:szCs w:val="18"/>
                <w:lang w:val="en-GB"/>
              </w:rPr>
            </w:pPr>
            <w:r w:rsidRPr="0018787E">
              <w:rPr>
                <w:sz w:val="18"/>
                <w:szCs w:val="18"/>
                <w:lang w:val="en-GB"/>
              </w:rPr>
              <w:t>Regional-level</w:t>
            </w:r>
          </w:p>
          <w:p w14:paraId="5B62C0D7" w14:textId="77777777" w:rsidR="0018787E" w:rsidRPr="0018787E" w:rsidRDefault="0018787E" w:rsidP="0018787E">
            <w:pPr>
              <w:rPr>
                <w:sz w:val="18"/>
                <w:szCs w:val="18"/>
                <w:lang w:val="en-GB"/>
              </w:rPr>
            </w:pPr>
          </w:p>
          <w:p w14:paraId="768CF083" w14:textId="77777777" w:rsidR="0018787E" w:rsidRPr="0018787E" w:rsidRDefault="0018787E" w:rsidP="0018787E">
            <w:pPr>
              <w:rPr>
                <w:sz w:val="18"/>
                <w:szCs w:val="18"/>
                <w:lang w:val="en-GB"/>
              </w:rPr>
            </w:pPr>
            <w:r w:rsidRPr="0018787E">
              <w:rPr>
                <w:sz w:val="18"/>
                <w:szCs w:val="18"/>
                <w:lang w:val="en-GB"/>
              </w:rPr>
              <w:t>Regional-level</w:t>
            </w:r>
          </w:p>
          <w:p w14:paraId="17F3CDD3" w14:textId="77777777" w:rsidR="0018787E" w:rsidRPr="0018787E" w:rsidRDefault="0018787E" w:rsidP="0018787E">
            <w:pPr>
              <w:rPr>
                <w:sz w:val="18"/>
                <w:szCs w:val="18"/>
                <w:lang w:val="en-GB"/>
              </w:rPr>
            </w:pPr>
          </w:p>
          <w:p w14:paraId="7F2BD16B" w14:textId="77777777" w:rsidR="0018787E" w:rsidRPr="0018787E" w:rsidRDefault="0018787E" w:rsidP="0018787E">
            <w:pPr>
              <w:rPr>
                <w:sz w:val="18"/>
                <w:szCs w:val="18"/>
                <w:lang w:val="en-GB"/>
              </w:rPr>
            </w:pPr>
          </w:p>
          <w:p w14:paraId="4F0DF7CC"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65E825BF"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p w14:paraId="15FD0C05"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Task Force - L</w:t>
            </w:r>
          </w:p>
          <w:p w14:paraId="27C2EA6B"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7BA7D319"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705A6A2E"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57A8498A"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r w:rsidR="0018787E" w:rsidRPr="0018787E" w14:paraId="07917BBF" w14:textId="77777777" w:rsidTr="0018787E">
        <w:tc>
          <w:tcPr>
            <w:tcW w:w="1319" w:type="dxa"/>
            <w:vMerge/>
          </w:tcPr>
          <w:p w14:paraId="7BCED754" w14:textId="77777777" w:rsidR="0018787E" w:rsidRPr="0018787E" w:rsidRDefault="0018787E" w:rsidP="0018787E">
            <w:pPr>
              <w:rPr>
                <w:sz w:val="18"/>
                <w:szCs w:val="18"/>
                <w:lang w:val="en-GB"/>
              </w:rPr>
            </w:pPr>
          </w:p>
        </w:tc>
        <w:tc>
          <w:tcPr>
            <w:tcW w:w="1270" w:type="dxa"/>
          </w:tcPr>
          <w:p w14:paraId="4927A8BA" w14:textId="77777777" w:rsidR="0018787E" w:rsidRPr="0018787E" w:rsidRDefault="0018787E" w:rsidP="0018787E">
            <w:pPr>
              <w:spacing w:before="40"/>
              <w:rPr>
                <w:bCs/>
                <w:sz w:val="18"/>
                <w:szCs w:val="18"/>
                <w:lang w:val="en-GB"/>
              </w:rPr>
            </w:pPr>
            <w:r w:rsidRPr="0018787E">
              <w:rPr>
                <w:bCs/>
                <w:sz w:val="18"/>
                <w:szCs w:val="18"/>
                <w:lang w:val="en-GB"/>
              </w:rPr>
              <w:t>Status of adoption of the instrument</w:t>
            </w:r>
          </w:p>
        </w:tc>
        <w:tc>
          <w:tcPr>
            <w:tcW w:w="1270" w:type="dxa"/>
          </w:tcPr>
          <w:p w14:paraId="1180C11D" w14:textId="77777777" w:rsidR="0018787E" w:rsidRPr="0018787E" w:rsidRDefault="0018787E" w:rsidP="0018787E">
            <w:pPr>
              <w:spacing w:before="40"/>
              <w:rPr>
                <w:sz w:val="18"/>
                <w:szCs w:val="18"/>
                <w:lang w:val="en-GB"/>
              </w:rPr>
            </w:pPr>
            <w:r w:rsidRPr="0018787E">
              <w:rPr>
                <w:sz w:val="18"/>
                <w:szCs w:val="18"/>
                <w:lang w:val="en-GB"/>
              </w:rPr>
              <w:t>Participating countries agreed in the SAP, and in endorsing the PIF for this project, to explore the development of an instrument for strengthened regional cooperation</w:t>
            </w:r>
          </w:p>
        </w:tc>
        <w:tc>
          <w:tcPr>
            <w:tcW w:w="1109" w:type="dxa"/>
          </w:tcPr>
          <w:p w14:paraId="137D2B56" w14:textId="77777777" w:rsidR="0018787E" w:rsidRPr="0018787E" w:rsidRDefault="0018787E" w:rsidP="0018787E">
            <w:pPr>
              <w:rPr>
                <w:sz w:val="18"/>
                <w:szCs w:val="18"/>
                <w:lang w:val="en-GB"/>
              </w:rPr>
            </w:pPr>
            <w:r w:rsidRPr="0018787E">
              <w:rPr>
                <w:sz w:val="18"/>
                <w:szCs w:val="18"/>
                <w:lang w:val="en-GB"/>
              </w:rPr>
              <w:t>National consultation processes initiated</w:t>
            </w:r>
          </w:p>
        </w:tc>
        <w:tc>
          <w:tcPr>
            <w:tcW w:w="1291" w:type="dxa"/>
          </w:tcPr>
          <w:p w14:paraId="43F445C1" w14:textId="77777777" w:rsidR="0018787E" w:rsidRPr="0018787E" w:rsidRDefault="0018787E" w:rsidP="0018787E">
            <w:pPr>
              <w:spacing w:before="40"/>
              <w:rPr>
                <w:sz w:val="18"/>
                <w:szCs w:val="18"/>
                <w:lang w:val="en-GB"/>
              </w:rPr>
            </w:pPr>
            <w:r w:rsidRPr="0018787E">
              <w:rPr>
                <w:sz w:val="18"/>
                <w:szCs w:val="18"/>
                <w:lang w:val="en-GB"/>
              </w:rPr>
              <w:t>Adopted instrument for strengthened regional cooperation</w:t>
            </w:r>
          </w:p>
        </w:tc>
        <w:tc>
          <w:tcPr>
            <w:tcW w:w="1269" w:type="dxa"/>
          </w:tcPr>
          <w:p w14:paraId="0D24C9D8" w14:textId="77777777" w:rsidR="0018787E" w:rsidRPr="0018787E" w:rsidRDefault="0018787E" w:rsidP="0018787E">
            <w:pPr>
              <w:spacing w:before="40"/>
              <w:rPr>
                <w:bCs/>
                <w:sz w:val="18"/>
                <w:szCs w:val="18"/>
                <w:lang w:val="en-GB"/>
              </w:rPr>
            </w:pPr>
            <w:r w:rsidRPr="0018787E">
              <w:rPr>
                <w:bCs/>
                <w:sz w:val="18"/>
                <w:szCs w:val="18"/>
                <w:lang w:val="en-GB"/>
              </w:rPr>
              <w:t>Adopted instrument</w:t>
            </w:r>
          </w:p>
        </w:tc>
        <w:tc>
          <w:tcPr>
            <w:tcW w:w="1440" w:type="dxa"/>
          </w:tcPr>
          <w:p w14:paraId="576016F2" w14:textId="77777777" w:rsidR="0018787E" w:rsidRPr="0018787E" w:rsidRDefault="0018787E" w:rsidP="0018787E">
            <w:pPr>
              <w:rPr>
                <w:sz w:val="18"/>
                <w:szCs w:val="18"/>
                <w:lang w:val="en-GB"/>
              </w:rPr>
            </w:pPr>
            <w:r w:rsidRPr="0018787E">
              <w:rPr>
                <w:sz w:val="18"/>
                <w:szCs w:val="18"/>
                <w:lang w:val="en-GB"/>
              </w:rPr>
              <w:t>Annually</w:t>
            </w:r>
          </w:p>
          <w:p w14:paraId="1C5D1397" w14:textId="77777777" w:rsidR="0018787E" w:rsidRPr="0018787E" w:rsidRDefault="0018787E" w:rsidP="0018787E">
            <w:pPr>
              <w:rPr>
                <w:sz w:val="18"/>
                <w:szCs w:val="18"/>
                <w:lang w:val="en-GB"/>
              </w:rPr>
            </w:pPr>
            <w:r w:rsidRPr="0018787E">
              <w:rPr>
                <w:sz w:val="18"/>
                <w:szCs w:val="18"/>
                <w:lang w:val="en-GB"/>
              </w:rPr>
              <w:br/>
            </w:r>
          </w:p>
          <w:p w14:paraId="39C53AE2" w14:textId="77777777" w:rsidR="0018787E" w:rsidRPr="0018787E" w:rsidRDefault="0018787E" w:rsidP="0018787E">
            <w:pPr>
              <w:rPr>
                <w:sz w:val="18"/>
                <w:szCs w:val="18"/>
                <w:lang w:val="en-GB"/>
              </w:rPr>
            </w:pPr>
            <w:r w:rsidRPr="0018787E">
              <w:rPr>
                <w:sz w:val="18"/>
                <w:szCs w:val="18"/>
                <w:lang w:val="en-GB"/>
              </w:rPr>
              <w:t>Annually</w:t>
            </w:r>
          </w:p>
          <w:p w14:paraId="5E70BE53" w14:textId="77777777" w:rsidR="0018787E" w:rsidRPr="0018787E" w:rsidRDefault="0018787E" w:rsidP="0018787E">
            <w:pPr>
              <w:rPr>
                <w:sz w:val="18"/>
                <w:szCs w:val="18"/>
                <w:lang w:val="en-GB"/>
              </w:rPr>
            </w:pPr>
          </w:p>
          <w:p w14:paraId="26426845" w14:textId="77777777" w:rsidR="0018787E" w:rsidRPr="0018787E" w:rsidRDefault="0018787E" w:rsidP="0018787E">
            <w:pPr>
              <w:rPr>
                <w:sz w:val="18"/>
                <w:szCs w:val="18"/>
                <w:lang w:val="en-GB"/>
              </w:rPr>
            </w:pPr>
            <w:r w:rsidRPr="0018787E">
              <w:rPr>
                <w:sz w:val="18"/>
                <w:szCs w:val="18"/>
                <w:lang w:val="en-GB"/>
              </w:rPr>
              <w:t>Annually</w:t>
            </w:r>
          </w:p>
          <w:p w14:paraId="5CA6EB0B" w14:textId="77777777" w:rsidR="0018787E" w:rsidRPr="0018787E" w:rsidRDefault="0018787E" w:rsidP="0018787E">
            <w:pPr>
              <w:rPr>
                <w:sz w:val="18"/>
                <w:szCs w:val="18"/>
                <w:lang w:val="en-GB"/>
              </w:rPr>
            </w:pPr>
          </w:p>
          <w:p w14:paraId="0A93E5E2" w14:textId="77777777" w:rsidR="0018787E" w:rsidRPr="0018787E" w:rsidRDefault="0018787E" w:rsidP="0018787E">
            <w:pPr>
              <w:rPr>
                <w:sz w:val="18"/>
                <w:szCs w:val="18"/>
                <w:lang w:val="en-GB"/>
              </w:rPr>
            </w:pPr>
          </w:p>
          <w:p w14:paraId="66E6BD41" w14:textId="77777777" w:rsidR="0018787E" w:rsidRPr="0018787E" w:rsidRDefault="0018787E" w:rsidP="0018787E">
            <w:pPr>
              <w:rPr>
                <w:sz w:val="18"/>
                <w:szCs w:val="18"/>
                <w:lang w:val="en-GB"/>
              </w:rPr>
            </w:pPr>
          </w:p>
          <w:p w14:paraId="3CF7629F" w14:textId="77777777" w:rsidR="0018787E" w:rsidRPr="0018787E" w:rsidRDefault="0018787E" w:rsidP="0018787E">
            <w:pPr>
              <w:rPr>
                <w:sz w:val="18"/>
                <w:szCs w:val="18"/>
                <w:lang w:val="en-GB"/>
              </w:rPr>
            </w:pPr>
            <w:r w:rsidRPr="0018787E">
              <w:rPr>
                <w:sz w:val="18"/>
                <w:szCs w:val="18"/>
                <w:lang w:val="en-GB"/>
              </w:rPr>
              <w:t>Annually</w:t>
            </w:r>
          </w:p>
        </w:tc>
        <w:tc>
          <w:tcPr>
            <w:tcW w:w="950" w:type="dxa"/>
          </w:tcPr>
          <w:p w14:paraId="798F38D6" w14:textId="77777777" w:rsidR="0018787E" w:rsidRPr="0018787E" w:rsidRDefault="0018787E" w:rsidP="0018787E">
            <w:pPr>
              <w:rPr>
                <w:sz w:val="18"/>
                <w:szCs w:val="18"/>
                <w:lang w:val="en-GB"/>
              </w:rPr>
            </w:pPr>
            <w:r w:rsidRPr="0018787E">
              <w:rPr>
                <w:sz w:val="18"/>
                <w:szCs w:val="18"/>
                <w:lang w:val="en-GB"/>
              </w:rPr>
              <w:t>National-level</w:t>
            </w:r>
          </w:p>
          <w:p w14:paraId="06846A19" w14:textId="77777777" w:rsidR="0018787E" w:rsidRPr="0018787E" w:rsidRDefault="0018787E" w:rsidP="0018787E">
            <w:pPr>
              <w:rPr>
                <w:sz w:val="18"/>
                <w:szCs w:val="18"/>
                <w:lang w:val="en-GB"/>
              </w:rPr>
            </w:pPr>
          </w:p>
          <w:p w14:paraId="20E6FA68" w14:textId="77777777" w:rsidR="0018787E" w:rsidRPr="0018787E" w:rsidRDefault="0018787E" w:rsidP="0018787E">
            <w:pPr>
              <w:rPr>
                <w:sz w:val="18"/>
                <w:szCs w:val="18"/>
                <w:lang w:val="en-GB"/>
              </w:rPr>
            </w:pPr>
            <w:r w:rsidRPr="0018787E">
              <w:rPr>
                <w:sz w:val="18"/>
                <w:szCs w:val="18"/>
                <w:lang w:val="en-GB"/>
              </w:rPr>
              <w:t>Regional-level</w:t>
            </w:r>
          </w:p>
          <w:p w14:paraId="58211988" w14:textId="77777777" w:rsidR="0018787E" w:rsidRPr="0018787E" w:rsidRDefault="0018787E" w:rsidP="0018787E">
            <w:pPr>
              <w:rPr>
                <w:sz w:val="18"/>
                <w:szCs w:val="18"/>
                <w:lang w:val="en-GB"/>
              </w:rPr>
            </w:pPr>
          </w:p>
          <w:p w14:paraId="08DD67A0" w14:textId="77777777" w:rsidR="0018787E" w:rsidRPr="0018787E" w:rsidRDefault="0018787E" w:rsidP="0018787E">
            <w:pPr>
              <w:rPr>
                <w:sz w:val="18"/>
                <w:szCs w:val="18"/>
                <w:lang w:val="en-GB"/>
              </w:rPr>
            </w:pPr>
            <w:r w:rsidRPr="0018787E">
              <w:rPr>
                <w:sz w:val="18"/>
                <w:szCs w:val="18"/>
                <w:lang w:val="en-GB"/>
              </w:rPr>
              <w:t>Regional-level</w:t>
            </w:r>
          </w:p>
          <w:p w14:paraId="30DD2A36" w14:textId="77777777" w:rsidR="0018787E" w:rsidRPr="0018787E" w:rsidRDefault="0018787E" w:rsidP="0018787E">
            <w:pPr>
              <w:rPr>
                <w:sz w:val="18"/>
                <w:szCs w:val="18"/>
                <w:lang w:val="en-GB"/>
              </w:rPr>
            </w:pPr>
          </w:p>
          <w:p w14:paraId="2FA91F3A" w14:textId="77777777" w:rsidR="0018787E" w:rsidRPr="0018787E" w:rsidRDefault="0018787E" w:rsidP="0018787E">
            <w:pPr>
              <w:rPr>
                <w:sz w:val="18"/>
                <w:szCs w:val="18"/>
                <w:lang w:val="en-GB"/>
              </w:rPr>
            </w:pPr>
          </w:p>
          <w:p w14:paraId="061FC419" w14:textId="77777777" w:rsidR="0018787E" w:rsidRPr="0018787E" w:rsidRDefault="0018787E" w:rsidP="0018787E">
            <w:pPr>
              <w:rPr>
                <w:sz w:val="18"/>
                <w:szCs w:val="18"/>
                <w:lang w:val="en-GB"/>
              </w:rPr>
            </w:pPr>
            <w:r w:rsidRPr="0018787E">
              <w:rPr>
                <w:sz w:val="18"/>
                <w:szCs w:val="18"/>
                <w:lang w:val="en-GB"/>
              </w:rPr>
              <w:t>Regional-level</w:t>
            </w:r>
          </w:p>
        </w:tc>
        <w:tc>
          <w:tcPr>
            <w:tcW w:w="1350" w:type="dxa"/>
          </w:tcPr>
          <w:p w14:paraId="0BB2A64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Inter-Ministry Committees</w:t>
            </w:r>
          </w:p>
          <w:p w14:paraId="5FA10E23"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Task Force - L</w:t>
            </w:r>
          </w:p>
          <w:p w14:paraId="40A83E97"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Regional Scientific and Technical Committee</w:t>
            </w:r>
          </w:p>
          <w:p w14:paraId="1175F396" w14:textId="77777777" w:rsidR="0018787E" w:rsidRPr="0018787E" w:rsidRDefault="0018787E" w:rsidP="0018787E">
            <w:pPr>
              <w:numPr>
                <w:ilvl w:val="0"/>
                <w:numId w:val="34"/>
              </w:numPr>
              <w:tabs>
                <w:tab w:val="left" w:pos="162"/>
              </w:tabs>
              <w:ind w:left="0" w:firstLine="0"/>
              <w:rPr>
                <w:sz w:val="18"/>
                <w:szCs w:val="18"/>
                <w:lang w:val="en-GB"/>
              </w:rPr>
            </w:pPr>
            <w:r w:rsidRPr="0018787E">
              <w:rPr>
                <w:sz w:val="18"/>
                <w:szCs w:val="18"/>
                <w:lang w:val="en-GB"/>
              </w:rPr>
              <w:t>Project Steering Committee</w:t>
            </w:r>
          </w:p>
        </w:tc>
        <w:tc>
          <w:tcPr>
            <w:tcW w:w="810" w:type="dxa"/>
          </w:tcPr>
          <w:p w14:paraId="750E74F7" w14:textId="77777777" w:rsidR="0018787E" w:rsidRPr="0018787E" w:rsidRDefault="0018787E" w:rsidP="0018787E">
            <w:pPr>
              <w:rPr>
                <w:sz w:val="18"/>
                <w:szCs w:val="18"/>
                <w:lang w:val="en-GB"/>
              </w:rPr>
            </w:pPr>
            <w:r w:rsidRPr="0018787E">
              <w:rPr>
                <w:sz w:val="18"/>
                <w:szCs w:val="18"/>
                <w:lang w:val="en-GB"/>
              </w:rPr>
              <w:t>Yr 1-5</w:t>
            </w:r>
          </w:p>
        </w:tc>
        <w:tc>
          <w:tcPr>
            <w:tcW w:w="1170" w:type="dxa"/>
          </w:tcPr>
          <w:p w14:paraId="46AA1FC4" w14:textId="77777777" w:rsidR="0018787E" w:rsidRPr="0018787E" w:rsidRDefault="0018787E" w:rsidP="0018787E">
            <w:pPr>
              <w:rPr>
                <w:sz w:val="18"/>
                <w:szCs w:val="18"/>
                <w:lang w:val="en-GB"/>
              </w:rPr>
            </w:pPr>
            <w:r w:rsidRPr="0018787E">
              <w:rPr>
                <w:sz w:val="18"/>
                <w:szCs w:val="18"/>
                <w:lang w:val="en-GB"/>
              </w:rPr>
              <w:t>National and Regional Coordination Meetings (budget line 3300)</w:t>
            </w:r>
          </w:p>
        </w:tc>
      </w:tr>
    </w:tbl>
    <w:p w14:paraId="7345042F" w14:textId="77777777" w:rsidR="00683A1F" w:rsidRDefault="00683A1F">
      <w:pPr>
        <w:spacing w:after="120"/>
        <w:outlineLvl w:val="1"/>
        <w:rPr>
          <w:b/>
          <w:sz w:val="22"/>
          <w:szCs w:val="22"/>
          <w:lang w:val="en-GB"/>
        </w:rPr>
      </w:pPr>
    </w:p>
    <w:p w14:paraId="39BE68F3" w14:textId="77777777" w:rsidR="0018787E" w:rsidRDefault="0018787E">
      <w:pPr>
        <w:spacing w:after="120"/>
        <w:outlineLvl w:val="1"/>
        <w:rPr>
          <w:b/>
          <w:sz w:val="22"/>
          <w:szCs w:val="22"/>
          <w:lang w:val="en-GB"/>
        </w:rPr>
        <w:sectPr w:rsidR="0018787E" w:rsidSect="00064925">
          <w:pgSz w:w="15840" w:h="12240" w:orient="landscape" w:code="1"/>
          <w:pgMar w:top="1584" w:right="1440" w:bottom="1584" w:left="1440" w:header="706" w:footer="706" w:gutter="0"/>
          <w:cols w:space="708"/>
          <w:docGrid w:linePitch="360"/>
        </w:sectPr>
      </w:pPr>
    </w:p>
    <w:p w14:paraId="58CCFF14" w14:textId="77777777" w:rsidR="00B63BA3" w:rsidRDefault="0018787E" w:rsidP="0018787E">
      <w:pPr>
        <w:spacing w:after="120"/>
        <w:rPr>
          <w:sz w:val="20"/>
          <w:szCs w:val="20"/>
          <w:lang w:val="en-GB"/>
        </w:rPr>
      </w:pPr>
      <w:r w:rsidRPr="0018787E">
        <w:rPr>
          <w:b/>
          <w:sz w:val="20"/>
          <w:szCs w:val="20"/>
          <w:lang w:val="en-GB"/>
        </w:rPr>
        <w:t>2. Cost of acquisition of essential baseline data during first year of project:</w:t>
      </w:r>
      <w:r w:rsidRPr="0018787E">
        <w:rPr>
          <w:sz w:val="20"/>
          <w:szCs w:val="20"/>
          <w:lang w:val="en-GB"/>
        </w:rPr>
        <w:t xml:space="preserve"> </w:t>
      </w:r>
      <w:r w:rsidR="00B63BA3">
        <w:rPr>
          <w:sz w:val="20"/>
          <w:szCs w:val="20"/>
          <w:lang w:val="en-GB"/>
        </w:rPr>
        <w:t xml:space="preserve">Nil. Extensive baseline information was collated during the TDA/SAP formulation project, much of which has been updated during the project preparation and has been available as part of this Project Document or accessible online ni the various databases established for the collation and regional sharing of baseline data. </w:t>
      </w:r>
    </w:p>
    <w:p w14:paraId="4B628313" w14:textId="77777777" w:rsidR="0018787E" w:rsidRPr="0018787E" w:rsidRDefault="0018787E" w:rsidP="0018787E">
      <w:pPr>
        <w:spacing w:after="120"/>
        <w:rPr>
          <w:sz w:val="20"/>
          <w:szCs w:val="20"/>
          <w:lang w:val="en-GB"/>
        </w:rPr>
      </w:pPr>
      <w:r w:rsidRPr="0018787E">
        <w:rPr>
          <w:b/>
          <w:sz w:val="20"/>
          <w:szCs w:val="20"/>
          <w:lang w:val="en-GB"/>
        </w:rPr>
        <w:t>3. Cost of project inception workshop (please include proposed location, number of participants):</w:t>
      </w:r>
      <w:r w:rsidRPr="0018787E">
        <w:rPr>
          <w:sz w:val="20"/>
          <w:szCs w:val="20"/>
          <w:lang w:val="en-GB"/>
        </w:rPr>
        <w:t xml:space="preserve"> </w:t>
      </w:r>
      <w:r w:rsidR="00B63BA3">
        <w:rPr>
          <w:sz w:val="20"/>
          <w:szCs w:val="20"/>
          <w:lang w:val="en-GB"/>
        </w:rPr>
        <w:t>It is anticipated that the project inception workshop will be convened by the SAP Implementation Unit of COBSEA in Bangkok, Thailand. The anticipated cost of this workshop is US$30,000.</w:t>
      </w:r>
    </w:p>
    <w:p w14:paraId="1D4B3D75" w14:textId="77777777" w:rsidR="0018787E" w:rsidRPr="0018787E" w:rsidRDefault="0018787E" w:rsidP="0018787E">
      <w:pPr>
        <w:spacing w:after="120"/>
        <w:rPr>
          <w:sz w:val="20"/>
          <w:szCs w:val="20"/>
          <w:lang w:val="en-GB"/>
        </w:rPr>
      </w:pPr>
      <w:r w:rsidRPr="0018787E">
        <w:rPr>
          <w:b/>
          <w:sz w:val="20"/>
          <w:szCs w:val="20"/>
          <w:lang w:val="en-GB"/>
        </w:rPr>
        <w:t>4. Cost of Mid-Term Review/Evaluation:</w:t>
      </w:r>
      <w:r w:rsidRPr="0018787E">
        <w:rPr>
          <w:sz w:val="20"/>
          <w:szCs w:val="20"/>
          <w:lang w:val="en-GB"/>
        </w:rPr>
        <w:t xml:space="preserve"> US$</w:t>
      </w:r>
      <w:r w:rsidR="00807C12">
        <w:rPr>
          <w:sz w:val="20"/>
          <w:szCs w:val="20"/>
          <w:lang w:val="en-GB"/>
        </w:rPr>
        <w:t>60</w:t>
      </w:r>
      <w:r w:rsidRPr="0018787E">
        <w:rPr>
          <w:sz w:val="20"/>
          <w:szCs w:val="20"/>
          <w:lang w:val="en-GB"/>
        </w:rPr>
        <w:t>,000</w:t>
      </w:r>
    </w:p>
    <w:p w14:paraId="6A8164E7" w14:textId="77777777" w:rsidR="0018787E" w:rsidRPr="0018787E" w:rsidRDefault="0018787E" w:rsidP="0018787E">
      <w:pPr>
        <w:spacing w:after="120"/>
        <w:rPr>
          <w:sz w:val="20"/>
          <w:szCs w:val="20"/>
          <w:lang w:val="en-GB"/>
        </w:rPr>
      </w:pPr>
      <w:r w:rsidRPr="0018787E">
        <w:rPr>
          <w:b/>
          <w:sz w:val="20"/>
          <w:szCs w:val="20"/>
          <w:lang w:val="en-GB"/>
        </w:rPr>
        <w:t>5. Cost of Terminal Evaluation:</w:t>
      </w:r>
      <w:r w:rsidRPr="0018787E">
        <w:rPr>
          <w:sz w:val="20"/>
          <w:szCs w:val="20"/>
          <w:lang w:val="en-GB"/>
        </w:rPr>
        <w:t xml:space="preserve"> US$60,000</w:t>
      </w:r>
    </w:p>
    <w:p w14:paraId="0108E2FD" w14:textId="77777777" w:rsidR="0018787E" w:rsidRPr="0018787E" w:rsidRDefault="0018787E" w:rsidP="0018787E">
      <w:pPr>
        <w:spacing w:after="120"/>
        <w:rPr>
          <w:sz w:val="20"/>
          <w:szCs w:val="20"/>
          <w:lang w:val="en-GB"/>
        </w:rPr>
      </w:pPr>
      <w:r w:rsidRPr="0018787E">
        <w:rPr>
          <w:b/>
          <w:sz w:val="20"/>
          <w:szCs w:val="20"/>
          <w:lang w:val="en-GB"/>
        </w:rPr>
        <w:t>6. Any additional M&amp;E costs:</w:t>
      </w:r>
      <w:r w:rsidRPr="0018787E">
        <w:rPr>
          <w:sz w:val="20"/>
          <w:szCs w:val="20"/>
          <w:lang w:val="en-GB"/>
        </w:rPr>
        <w:t xml:space="preserve"> Nil</w:t>
      </w:r>
    </w:p>
    <w:p w14:paraId="4CF8BB0F" w14:textId="77777777" w:rsidR="0018787E" w:rsidRDefault="0018787E">
      <w:pPr>
        <w:spacing w:after="120"/>
        <w:outlineLvl w:val="1"/>
        <w:rPr>
          <w:b/>
          <w:sz w:val="22"/>
          <w:szCs w:val="22"/>
          <w:lang w:val="en-GB"/>
        </w:rPr>
      </w:pPr>
    </w:p>
    <w:p w14:paraId="7D2CFC4C" w14:textId="77777777" w:rsidR="0018787E" w:rsidRDefault="0018787E">
      <w:pPr>
        <w:spacing w:after="120"/>
        <w:outlineLvl w:val="1"/>
        <w:rPr>
          <w:b/>
          <w:sz w:val="22"/>
          <w:szCs w:val="22"/>
          <w:lang w:val="en-GB"/>
        </w:rPr>
        <w:sectPr w:rsidR="0018787E" w:rsidSect="00064925">
          <w:pgSz w:w="12240" w:h="15840" w:code="1"/>
          <w:pgMar w:top="1440" w:right="1584" w:bottom="1440" w:left="1584" w:header="706" w:footer="706" w:gutter="0"/>
          <w:cols w:space="708"/>
          <w:docGrid w:linePitch="360"/>
        </w:sectPr>
      </w:pPr>
    </w:p>
    <w:p w14:paraId="41D7F0B6" w14:textId="77777777" w:rsidR="00933570" w:rsidRDefault="00F07F81" w:rsidP="00683A1F">
      <w:pPr>
        <w:spacing w:after="120"/>
        <w:outlineLvl w:val="1"/>
        <w:rPr>
          <w:b/>
          <w:sz w:val="22"/>
          <w:szCs w:val="22"/>
          <w:lang w:val="en-GB"/>
        </w:rPr>
      </w:pPr>
      <w:r>
        <w:rPr>
          <w:b/>
          <w:sz w:val="22"/>
          <w:szCs w:val="22"/>
          <w:lang w:val="en-GB"/>
        </w:rPr>
        <w:t>Appendix 8:</w:t>
      </w:r>
      <w:r>
        <w:rPr>
          <w:b/>
          <w:sz w:val="22"/>
          <w:szCs w:val="22"/>
          <w:lang w:val="en-GB"/>
        </w:rPr>
        <w:tab/>
        <w:t>Summary of reporting requirements and responsibilities</w:t>
      </w:r>
      <w:bookmarkEnd w:id="108"/>
      <w:r w:rsidR="00683A1F">
        <w:rPr>
          <w:b/>
          <w:sz w:val="22"/>
          <w:szCs w:val="22"/>
          <w:lang w:val="en-GB"/>
        </w:rPr>
        <w:br/>
      </w:r>
    </w:p>
    <w:tbl>
      <w:tblPr>
        <w:tblW w:w="133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95"/>
        <w:gridCol w:w="4680"/>
        <w:gridCol w:w="3060"/>
        <w:gridCol w:w="3115"/>
      </w:tblGrid>
      <w:tr w:rsidR="00683A1F" w:rsidRPr="00683A1F" w14:paraId="212DB2D1" w14:textId="77777777" w:rsidTr="00D5094C">
        <w:trPr>
          <w:cantSplit/>
          <w:trHeight w:val="375"/>
          <w:tblHeader/>
          <w:jc w:val="center"/>
        </w:trPr>
        <w:tc>
          <w:tcPr>
            <w:tcW w:w="2495" w:type="dxa"/>
            <w:vMerge w:val="restart"/>
            <w:shd w:val="clear" w:color="auto" w:fill="808080"/>
            <w:vAlign w:val="center"/>
          </w:tcPr>
          <w:p w14:paraId="143A4EC3" w14:textId="77777777" w:rsidR="00683A1F" w:rsidRPr="00683A1F" w:rsidRDefault="00683A1F" w:rsidP="00683A1F">
            <w:pPr>
              <w:keepNext/>
              <w:spacing w:before="40" w:after="40"/>
              <w:jc w:val="center"/>
              <w:rPr>
                <w:b/>
                <w:sz w:val="16"/>
                <w:szCs w:val="16"/>
                <w:lang w:val="en-GB" w:eastAsia="hr-HR"/>
              </w:rPr>
            </w:pPr>
            <w:r w:rsidRPr="00683A1F">
              <w:rPr>
                <w:b/>
                <w:sz w:val="16"/>
                <w:szCs w:val="16"/>
                <w:lang w:val="en-GB" w:eastAsia="hr-HR"/>
              </w:rPr>
              <w:t xml:space="preserve">M&amp;E </w:t>
            </w:r>
          </w:p>
          <w:p w14:paraId="1BEC3DBF" w14:textId="77777777" w:rsidR="00683A1F" w:rsidRPr="00683A1F" w:rsidRDefault="00683A1F" w:rsidP="00683A1F">
            <w:pPr>
              <w:keepNext/>
              <w:spacing w:before="40" w:after="40"/>
              <w:jc w:val="center"/>
              <w:rPr>
                <w:b/>
                <w:sz w:val="16"/>
                <w:szCs w:val="16"/>
                <w:lang w:val="en-GB" w:eastAsia="hr-HR"/>
              </w:rPr>
            </w:pPr>
            <w:r w:rsidRPr="00683A1F">
              <w:rPr>
                <w:b/>
                <w:sz w:val="16"/>
                <w:szCs w:val="16"/>
                <w:lang w:val="en-GB" w:eastAsia="hr-HR"/>
              </w:rPr>
              <w:t>COMPONENT/ ACTIVITY</w:t>
            </w:r>
          </w:p>
        </w:tc>
        <w:tc>
          <w:tcPr>
            <w:tcW w:w="7740" w:type="dxa"/>
            <w:gridSpan w:val="2"/>
            <w:tcBorders>
              <w:bottom w:val="single" w:sz="4" w:space="0" w:color="auto"/>
            </w:tcBorders>
            <w:shd w:val="clear" w:color="auto" w:fill="808080"/>
            <w:vAlign w:val="center"/>
          </w:tcPr>
          <w:p w14:paraId="510996FC" w14:textId="77777777" w:rsidR="00683A1F" w:rsidRPr="00683A1F" w:rsidRDefault="00683A1F" w:rsidP="00683A1F">
            <w:pPr>
              <w:keepNext/>
              <w:spacing w:before="40" w:after="40"/>
              <w:jc w:val="center"/>
              <w:rPr>
                <w:b/>
                <w:sz w:val="16"/>
                <w:szCs w:val="16"/>
                <w:lang w:val="en-GB" w:eastAsia="hr-HR"/>
              </w:rPr>
            </w:pPr>
            <w:r w:rsidRPr="00683A1F">
              <w:rPr>
                <w:b/>
                <w:sz w:val="16"/>
                <w:szCs w:val="16"/>
                <w:lang w:val="en-GB" w:eastAsia="hr-HR"/>
              </w:rPr>
              <w:t>RESPONSIBILITY ASSIGNMENT</w:t>
            </w:r>
          </w:p>
        </w:tc>
        <w:tc>
          <w:tcPr>
            <w:tcW w:w="3115" w:type="dxa"/>
            <w:vMerge w:val="restart"/>
            <w:shd w:val="clear" w:color="auto" w:fill="808080"/>
            <w:vAlign w:val="center"/>
          </w:tcPr>
          <w:p w14:paraId="77F23023" w14:textId="77777777" w:rsidR="00683A1F" w:rsidRPr="00683A1F" w:rsidRDefault="00683A1F" w:rsidP="00683A1F">
            <w:pPr>
              <w:keepNext/>
              <w:spacing w:before="40" w:after="40"/>
              <w:jc w:val="center"/>
              <w:rPr>
                <w:b/>
                <w:sz w:val="16"/>
                <w:szCs w:val="16"/>
                <w:lang w:val="en-GB" w:eastAsia="hr-HR"/>
              </w:rPr>
            </w:pPr>
            <w:r w:rsidRPr="00683A1F">
              <w:rPr>
                <w:b/>
                <w:sz w:val="16"/>
                <w:szCs w:val="16"/>
                <w:lang w:val="en-GB" w:eastAsia="hr-HR"/>
              </w:rPr>
              <w:t>MEANS OF ASSESSMENT/ MONITORING/DATA SOURCE</w:t>
            </w:r>
          </w:p>
        </w:tc>
      </w:tr>
      <w:tr w:rsidR="00683A1F" w:rsidRPr="00683A1F" w14:paraId="47C8BB00" w14:textId="77777777" w:rsidTr="00D5094C">
        <w:trPr>
          <w:cantSplit/>
          <w:trHeight w:val="150"/>
          <w:tblHeader/>
          <w:jc w:val="center"/>
        </w:trPr>
        <w:tc>
          <w:tcPr>
            <w:tcW w:w="2495" w:type="dxa"/>
            <w:vMerge/>
            <w:vAlign w:val="center"/>
          </w:tcPr>
          <w:p w14:paraId="7131B864" w14:textId="77777777" w:rsidR="00683A1F" w:rsidRPr="00683A1F" w:rsidRDefault="00683A1F" w:rsidP="00683A1F">
            <w:pPr>
              <w:keepNext/>
              <w:spacing w:before="60" w:after="120"/>
              <w:rPr>
                <w:sz w:val="16"/>
                <w:szCs w:val="16"/>
                <w:lang w:val="en-GB" w:eastAsia="hr-HR"/>
              </w:rPr>
            </w:pPr>
          </w:p>
        </w:tc>
        <w:tc>
          <w:tcPr>
            <w:tcW w:w="4680" w:type="dxa"/>
            <w:shd w:val="clear" w:color="auto" w:fill="808080"/>
          </w:tcPr>
          <w:p w14:paraId="1B7BC493" w14:textId="77777777" w:rsidR="00683A1F" w:rsidRPr="00683A1F" w:rsidRDefault="00683A1F" w:rsidP="00683A1F">
            <w:pPr>
              <w:keepNext/>
              <w:spacing w:before="40" w:after="40"/>
              <w:jc w:val="center"/>
              <w:rPr>
                <w:b/>
                <w:sz w:val="16"/>
                <w:szCs w:val="16"/>
                <w:lang w:val="en-GB" w:eastAsia="hr-HR"/>
              </w:rPr>
            </w:pPr>
            <w:r w:rsidRPr="00683A1F">
              <w:rPr>
                <w:b/>
                <w:sz w:val="16"/>
                <w:szCs w:val="16"/>
                <w:lang w:val="en-GB" w:eastAsia="hr-HR"/>
              </w:rPr>
              <w:t>INSTITUTION/ AGENCY</w:t>
            </w:r>
          </w:p>
        </w:tc>
        <w:tc>
          <w:tcPr>
            <w:tcW w:w="3060" w:type="dxa"/>
            <w:shd w:val="clear" w:color="auto" w:fill="808080"/>
          </w:tcPr>
          <w:p w14:paraId="7630F2C5" w14:textId="77777777" w:rsidR="00683A1F" w:rsidRPr="00683A1F" w:rsidRDefault="00683A1F" w:rsidP="00683A1F">
            <w:pPr>
              <w:keepNext/>
              <w:spacing w:before="40" w:after="40"/>
              <w:jc w:val="center"/>
              <w:rPr>
                <w:b/>
                <w:sz w:val="16"/>
                <w:szCs w:val="16"/>
                <w:lang w:val="en-GB" w:eastAsia="hr-HR"/>
              </w:rPr>
            </w:pPr>
            <w:r w:rsidRPr="00683A1F">
              <w:rPr>
                <w:b/>
                <w:sz w:val="16"/>
                <w:szCs w:val="16"/>
                <w:lang w:val="en-GB" w:eastAsia="hr-HR"/>
              </w:rPr>
              <w:t>PROJECT/ AGENCY OFFICER</w:t>
            </w:r>
          </w:p>
        </w:tc>
        <w:tc>
          <w:tcPr>
            <w:tcW w:w="3115" w:type="dxa"/>
            <w:vMerge/>
          </w:tcPr>
          <w:p w14:paraId="4EDE78AF" w14:textId="77777777" w:rsidR="00683A1F" w:rsidRPr="00683A1F" w:rsidRDefault="00683A1F" w:rsidP="00683A1F">
            <w:pPr>
              <w:keepNext/>
              <w:spacing w:before="60" w:after="120"/>
              <w:jc w:val="center"/>
              <w:rPr>
                <w:sz w:val="16"/>
                <w:szCs w:val="16"/>
                <w:lang w:val="en-GB" w:eastAsia="hr-HR"/>
              </w:rPr>
            </w:pPr>
          </w:p>
        </w:tc>
      </w:tr>
      <w:tr w:rsidR="00683A1F" w:rsidRPr="00683A1F" w14:paraId="683C6E5B" w14:textId="77777777" w:rsidTr="00D5094C">
        <w:trPr>
          <w:cantSplit/>
          <w:trHeight w:val="360"/>
          <w:jc w:val="center"/>
        </w:trPr>
        <w:tc>
          <w:tcPr>
            <w:tcW w:w="13350" w:type="dxa"/>
            <w:gridSpan w:val="4"/>
            <w:shd w:val="clear" w:color="auto" w:fill="E0E0E0"/>
          </w:tcPr>
          <w:p w14:paraId="7ABAB847" w14:textId="77777777" w:rsidR="00683A1F" w:rsidRPr="00683A1F" w:rsidRDefault="00683A1F" w:rsidP="00683A1F">
            <w:pPr>
              <w:keepNext/>
              <w:spacing w:before="60" w:after="60"/>
              <w:jc w:val="center"/>
              <w:rPr>
                <w:sz w:val="16"/>
                <w:szCs w:val="16"/>
                <w:lang w:val="en-GB" w:eastAsia="hr-HR"/>
              </w:rPr>
            </w:pPr>
            <w:r w:rsidRPr="00683A1F">
              <w:rPr>
                <w:b/>
                <w:sz w:val="16"/>
                <w:szCs w:val="16"/>
                <w:lang w:val="en-GB" w:eastAsia="hr-HR"/>
              </w:rPr>
              <w:t>Monitoring</w:t>
            </w:r>
          </w:p>
        </w:tc>
      </w:tr>
      <w:tr w:rsidR="00683A1F" w:rsidRPr="00683A1F" w14:paraId="53E164D5" w14:textId="77777777" w:rsidTr="00D5094C">
        <w:trPr>
          <w:cantSplit/>
          <w:trHeight w:val="1098"/>
          <w:jc w:val="center"/>
        </w:trPr>
        <w:tc>
          <w:tcPr>
            <w:tcW w:w="2495" w:type="dxa"/>
          </w:tcPr>
          <w:p w14:paraId="71628EEB" w14:textId="77777777" w:rsidR="00683A1F" w:rsidRPr="00683A1F" w:rsidRDefault="00683A1F" w:rsidP="00683A1F">
            <w:pPr>
              <w:keepNext/>
              <w:spacing w:before="120" w:after="120"/>
              <w:ind w:left="360" w:hanging="180"/>
              <w:rPr>
                <w:sz w:val="16"/>
                <w:szCs w:val="16"/>
                <w:lang w:val="en-GB" w:eastAsia="hr-HR"/>
              </w:rPr>
            </w:pPr>
            <w:r w:rsidRPr="00683A1F">
              <w:rPr>
                <w:sz w:val="16"/>
                <w:szCs w:val="16"/>
                <w:lang w:val="en-GB" w:eastAsia="hr-HR"/>
              </w:rPr>
              <w:t>Preparation of the Overall Project Plan of Operations (PPO), Work-plans and Time-tables, budgets, Risk  and IW indicator tables</w:t>
            </w:r>
          </w:p>
        </w:tc>
        <w:tc>
          <w:tcPr>
            <w:tcW w:w="4680" w:type="dxa"/>
            <w:vAlign w:val="center"/>
          </w:tcPr>
          <w:p w14:paraId="6D11C2DB" w14:textId="77777777" w:rsidR="00683A1F" w:rsidRPr="00683A1F" w:rsidRDefault="00683A1F" w:rsidP="00683A1F">
            <w:pPr>
              <w:keepNext/>
              <w:spacing w:before="120" w:after="120"/>
              <w:jc w:val="center"/>
              <w:rPr>
                <w:sz w:val="16"/>
                <w:szCs w:val="16"/>
                <w:lang w:val="en-GB" w:eastAsia="hr-HR"/>
              </w:rPr>
            </w:pPr>
            <w:r w:rsidRPr="00683A1F">
              <w:rPr>
                <w:sz w:val="16"/>
                <w:szCs w:val="16"/>
                <w:lang w:val="en-GB" w:eastAsia="hr-HR"/>
              </w:rPr>
              <w:t>COBSEA/PCU</w:t>
            </w:r>
          </w:p>
        </w:tc>
        <w:tc>
          <w:tcPr>
            <w:tcW w:w="3060" w:type="dxa"/>
            <w:vAlign w:val="center"/>
          </w:tcPr>
          <w:p w14:paraId="5D6D4491" w14:textId="77777777" w:rsidR="00683A1F" w:rsidRPr="00683A1F" w:rsidRDefault="00683A1F" w:rsidP="00683A1F">
            <w:pPr>
              <w:keepNext/>
              <w:spacing w:before="120" w:after="120"/>
              <w:jc w:val="center"/>
              <w:rPr>
                <w:sz w:val="16"/>
                <w:szCs w:val="16"/>
                <w:lang w:val="en-GB" w:eastAsia="hr-HR"/>
              </w:rPr>
            </w:pPr>
            <w:r w:rsidRPr="00683A1F">
              <w:rPr>
                <w:sz w:val="16"/>
                <w:szCs w:val="16"/>
                <w:lang w:val="en-GB" w:eastAsia="hr-HR"/>
              </w:rPr>
              <w:t>Project Director</w:t>
            </w:r>
          </w:p>
        </w:tc>
        <w:tc>
          <w:tcPr>
            <w:tcW w:w="3115" w:type="dxa"/>
            <w:vAlign w:val="center"/>
          </w:tcPr>
          <w:p w14:paraId="43EC5601" w14:textId="77777777" w:rsidR="00683A1F" w:rsidRPr="00683A1F" w:rsidRDefault="00683A1F" w:rsidP="00683A1F">
            <w:pPr>
              <w:keepNext/>
              <w:spacing w:before="120" w:after="120"/>
              <w:jc w:val="center"/>
              <w:rPr>
                <w:sz w:val="16"/>
                <w:szCs w:val="16"/>
                <w:lang w:val="en-GB" w:eastAsia="hr-HR"/>
              </w:rPr>
            </w:pPr>
            <w:r w:rsidRPr="00683A1F">
              <w:rPr>
                <w:sz w:val="16"/>
                <w:szCs w:val="16"/>
                <w:lang w:val="en-GB" w:eastAsia="hr-HR"/>
              </w:rPr>
              <w:t>Project Document</w:t>
            </w:r>
          </w:p>
          <w:p w14:paraId="5CAC2A58" w14:textId="77777777" w:rsidR="00683A1F" w:rsidRPr="00683A1F" w:rsidRDefault="00683A1F" w:rsidP="00683A1F">
            <w:pPr>
              <w:keepNext/>
              <w:spacing w:before="120" w:after="120"/>
              <w:jc w:val="center"/>
              <w:rPr>
                <w:sz w:val="16"/>
                <w:szCs w:val="16"/>
                <w:lang w:val="en-GB" w:eastAsia="hr-HR"/>
              </w:rPr>
            </w:pPr>
            <w:r w:rsidRPr="00683A1F">
              <w:rPr>
                <w:sz w:val="16"/>
                <w:szCs w:val="16"/>
                <w:lang w:val="en-GB" w:eastAsia="hr-HR"/>
              </w:rPr>
              <w:t>Resolutions of the Project Steering Committee Meetings</w:t>
            </w:r>
          </w:p>
        </w:tc>
      </w:tr>
      <w:tr w:rsidR="00683A1F" w:rsidRPr="00683A1F" w14:paraId="48B2B0BB" w14:textId="77777777" w:rsidTr="00D5094C">
        <w:trPr>
          <w:cantSplit/>
          <w:trHeight w:val="1518"/>
          <w:jc w:val="center"/>
        </w:trPr>
        <w:tc>
          <w:tcPr>
            <w:tcW w:w="2495" w:type="dxa"/>
          </w:tcPr>
          <w:p w14:paraId="08E62AAE" w14:textId="77777777" w:rsidR="00683A1F" w:rsidRPr="00683A1F" w:rsidRDefault="00683A1F" w:rsidP="00683A1F">
            <w:pPr>
              <w:spacing w:before="120" w:after="120"/>
              <w:ind w:left="362" w:hanging="181"/>
              <w:rPr>
                <w:sz w:val="16"/>
                <w:szCs w:val="16"/>
                <w:lang w:val="en-GB" w:eastAsia="hr-HR"/>
              </w:rPr>
            </w:pPr>
            <w:r w:rsidRPr="00683A1F">
              <w:rPr>
                <w:sz w:val="16"/>
                <w:szCs w:val="16"/>
                <w:lang w:val="en-GB" w:eastAsia="hr-HR"/>
              </w:rPr>
              <w:t xml:space="preserve">Preparation of individual country/regional work plans: </w:t>
            </w:r>
          </w:p>
          <w:p w14:paraId="01000CE3" w14:textId="77777777" w:rsidR="00683A1F" w:rsidRPr="00B62FD7" w:rsidRDefault="00683A1F" w:rsidP="00683A1F">
            <w:pPr>
              <w:spacing w:before="120" w:after="120"/>
              <w:ind w:left="360" w:hanging="180"/>
              <w:rPr>
                <w:sz w:val="16"/>
                <w:szCs w:val="16"/>
                <w:lang w:val="pt-BR" w:eastAsia="hr-HR"/>
              </w:rPr>
            </w:pPr>
            <w:r w:rsidRPr="00B62FD7">
              <w:rPr>
                <w:sz w:val="16"/>
                <w:szCs w:val="16"/>
                <w:lang w:val="pt-BR" w:eastAsia="hr-HR"/>
              </w:rPr>
              <w:t>China (C1)</w:t>
            </w:r>
          </w:p>
          <w:p w14:paraId="79FB125D" w14:textId="77777777" w:rsidR="00683A1F" w:rsidRPr="00B62FD7" w:rsidRDefault="00683A1F" w:rsidP="00683A1F">
            <w:pPr>
              <w:spacing w:before="120" w:after="120"/>
              <w:ind w:left="360" w:hanging="180"/>
              <w:rPr>
                <w:sz w:val="16"/>
                <w:szCs w:val="16"/>
                <w:lang w:val="pt-BR" w:eastAsia="hr-HR"/>
              </w:rPr>
            </w:pPr>
            <w:r w:rsidRPr="00B62FD7">
              <w:rPr>
                <w:sz w:val="16"/>
                <w:szCs w:val="16"/>
                <w:lang w:val="pt-BR" w:eastAsia="hr-HR"/>
              </w:rPr>
              <w:t>Cambodia (C2)</w:t>
            </w:r>
          </w:p>
          <w:p w14:paraId="2FFC78F1" w14:textId="77777777" w:rsidR="00683A1F" w:rsidRPr="00B62FD7" w:rsidRDefault="00683A1F" w:rsidP="00683A1F">
            <w:pPr>
              <w:spacing w:before="120" w:after="120"/>
              <w:ind w:left="360" w:hanging="180"/>
              <w:rPr>
                <w:sz w:val="16"/>
                <w:szCs w:val="16"/>
                <w:lang w:val="pt-BR" w:eastAsia="hr-HR"/>
              </w:rPr>
            </w:pPr>
            <w:r w:rsidRPr="00B62FD7">
              <w:rPr>
                <w:sz w:val="16"/>
                <w:szCs w:val="16"/>
                <w:lang w:val="pt-BR" w:eastAsia="hr-HR"/>
              </w:rPr>
              <w:t>Indonesia  (I)</w:t>
            </w:r>
          </w:p>
          <w:p w14:paraId="03B87E03" w14:textId="77777777" w:rsidR="00683A1F" w:rsidRPr="00683A1F" w:rsidRDefault="00683A1F" w:rsidP="00683A1F">
            <w:pPr>
              <w:spacing w:before="120" w:after="120"/>
              <w:ind w:left="360" w:hanging="180"/>
              <w:rPr>
                <w:sz w:val="16"/>
                <w:szCs w:val="16"/>
                <w:lang w:val="en-GB" w:eastAsia="hr-HR"/>
              </w:rPr>
            </w:pPr>
            <w:r w:rsidRPr="00683A1F">
              <w:rPr>
                <w:sz w:val="16"/>
                <w:szCs w:val="16"/>
                <w:lang w:val="en-GB" w:eastAsia="hr-HR"/>
              </w:rPr>
              <w:t>Philippines (P)</w:t>
            </w:r>
          </w:p>
          <w:p w14:paraId="57C6DF01" w14:textId="77777777" w:rsidR="00683A1F" w:rsidRPr="00683A1F" w:rsidRDefault="00683A1F" w:rsidP="00683A1F">
            <w:pPr>
              <w:spacing w:before="120" w:after="120"/>
              <w:ind w:left="360" w:hanging="180"/>
              <w:rPr>
                <w:sz w:val="16"/>
                <w:szCs w:val="16"/>
                <w:lang w:val="en-GB" w:eastAsia="hr-HR"/>
              </w:rPr>
            </w:pPr>
            <w:r w:rsidRPr="00683A1F">
              <w:rPr>
                <w:sz w:val="16"/>
                <w:szCs w:val="16"/>
                <w:lang w:val="en-GB" w:eastAsia="hr-HR"/>
              </w:rPr>
              <w:t>Thailand (T)</w:t>
            </w:r>
          </w:p>
          <w:p w14:paraId="0365FFC2" w14:textId="77777777" w:rsidR="00683A1F" w:rsidRPr="00683A1F" w:rsidRDefault="00683A1F" w:rsidP="00683A1F">
            <w:pPr>
              <w:spacing w:before="120" w:after="40"/>
              <w:ind w:left="360" w:hanging="180"/>
              <w:rPr>
                <w:sz w:val="16"/>
                <w:szCs w:val="16"/>
                <w:lang w:val="en-GB" w:eastAsia="hr-HR"/>
              </w:rPr>
            </w:pPr>
            <w:r w:rsidRPr="00683A1F">
              <w:rPr>
                <w:sz w:val="16"/>
                <w:szCs w:val="16"/>
                <w:lang w:val="en-GB" w:eastAsia="hr-HR"/>
              </w:rPr>
              <w:t>Vietnam (V)</w:t>
            </w:r>
          </w:p>
          <w:p w14:paraId="7B117982" w14:textId="77777777" w:rsidR="00683A1F" w:rsidRPr="00683A1F" w:rsidRDefault="00683A1F" w:rsidP="00683A1F">
            <w:pPr>
              <w:spacing w:before="120" w:after="120"/>
              <w:ind w:left="360" w:hanging="180"/>
              <w:rPr>
                <w:sz w:val="16"/>
                <w:szCs w:val="16"/>
                <w:lang w:val="en-GB" w:eastAsia="hr-HR"/>
              </w:rPr>
            </w:pPr>
            <w:r w:rsidRPr="00683A1F">
              <w:rPr>
                <w:sz w:val="16"/>
                <w:szCs w:val="16"/>
                <w:lang w:val="en-GB" w:eastAsia="hr-HR"/>
              </w:rPr>
              <w:t>Regional (R)</w:t>
            </w:r>
          </w:p>
        </w:tc>
        <w:tc>
          <w:tcPr>
            <w:tcW w:w="4680" w:type="dxa"/>
          </w:tcPr>
          <w:p w14:paraId="686F6DBB" w14:textId="77777777" w:rsidR="00683A1F" w:rsidRPr="00683A1F" w:rsidRDefault="00683A1F" w:rsidP="00683A1F">
            <w:pPr>
              <w:keepNext/>
              <w:spacing w:before="120"/>
              <w:rPr>
                <w:sz w:val="16"/>
                <w:szCs w:val="16"/>
                <w:lang w:val="en-GB" w:eastAsia="hr-HR"/>
              </w:rPr>
            </w:pPr>
            <w:r w:rsidRPr="00683A1F">
              <w:rPr>
                <w:sz w:val="16"/>
                <w:szCs w:val="16"/>
                <w:lang w:val="en-GB" w:eastAsia="hr-HR"/>
              </w:rPr>
              <w:t>National Agency/Regional Project Coordination Unit:</w:t>
            </w:r>
          </w:p>
          <w:p w14:paraId="15D1825E" w14:textId="77777777" w:rsidR="00683A1F" w:rsidRPr="00683A1F" w:rsidRDefault="00683A1F" w:rsidP="00683A1F">
            <w:pPr>
              <w:keepNext/>
              <w:rPr>
                <w:sz w:val="16"/>
                <w:szCs w:val="16"/>
                <w:lang w:val="en-GB" w:eastAsia="hr-HR"/>
              </w:rPr>
            </w:pPr>
          </w:p>
          <w:p w14:paraId="2183050D" w14:textId="77777777" w:rsidR="00683A1F" w:rsidRPr="00683A1F" w:rsidRDefault="00683A1F" w:rsidP="00683A1F">
            <w:pPr>
              <w:keepNext/>
              <w:spacing w:before="120" w:after="120"/>
              <w:rPr>
                <w:sz w:val="16"/>
                <w:szCs w:val="16"/>
                <w:lang w:val="en-GB" w:eastAsia="hr-HR"/>
              </w:rPr>
            </w:pPr>
            <w:r w:rsidRPr="00683A1F">
              <w:rPr>
                <w:sz w:val="16"/>
                <w:szCs w:val="16"/>
                <w:lang w:val="en-GB" w:eastAsia="hr-HR"/>
              </w:rPr>
              <w:t>C1: Ministry of Environment</w:t>
            </w:r>
          </w:p>
          <w:p w14:paraId="3A658057" w14:textId="77777777" w:rsidR="00683A1F" w:rsidRPr="00683A1F" w:rsidRDefault="00683A1F" w:rsidP="00683A1F">
            <w:pPr>
              <w:keepNext/>
              <w:spacing w:before="120" w:after="120"/>
              <w:rPr>
                <w:sz w:val="16"/>
                <w:szCs w:val="16"/>
                <w:lang w:val="en-GB" w:eastAsia="hr-HR"/>
              </w:rPr>
            </w:pPr>
            <w:r w:rsidRPr="00683A1F">
              <w:rPr>
                <w:sz w:val="16"/>
                <w:szCs w:val="16"/>
                <w:lang w:val="en-GB" w:eastAsia="hr-HR"/>
              </w:rPr>
              <w:t>C2: Ministry of Environment</w:t>
            </w:r>
          </w:p>
          <w:p w14:paraId="62F9616B" w14:textId="77777777" w:rsidR="00683A1F" w:rsidRPr="00683A1F" w:rsidRDefault="00683A1F" w:rsidP="00683A1F">
            <w:pPr>
              <w:spacing w:before="120" w:after="120"/>
              <w:rPr>
                <w:sz w:val="16"/>
                <w:szCs w:val="16"/>
                <w:lang w:val="en-GB" w:eastAsia="hr-HR"/>
              </w:rPr>
            </w:pPr>
            <w:r w:rsidRPr="00683A1F">
              <w:rPr>
                <w:sz w:val="16"/>
                <w:szCs w:val="16"/>
                <w:lang w:val="en-GB" w:eastAsia="hr-HR"/>
              </w:rPr>
              <w:t>I: Ministry of Environment</w:t>
            </w:r>
          </w:p>
          <w:p w14:paraId="141B4195" w14:textId="77777777" w:rsidR="00683A1F" w:rsidRPr="00683A1F" w:rsidRDefault="00683A1F" w:rsidP="00683A1F">
            <w:pPr>
              <w:spacing w:before="120" w:after="120"/>
              <w:rPr>
                <w:sz w:val="16"/>
                <w:szCs w:val="16"/>
                <w:lang w:val="en-GB" w:eastAsia="hr-HR"/>
              </w:rPr>
            </w:pPr>
            <w:r w:rsidRPr="00683A1F">
              <w:rPr>
                <w:sz w:val="16"/>
                <w:szCs w:val="16"/>
                <w:lang w:val="en-GB" w:eastAsia="hr-HR"/>
              </w:rPr>
              <w:t>P: Department of Environment and Natural Resources</w:t>
            </w:r>
          </w:p>
          <w:p w14:paraId="74AFA055" w14:textId="77777777" w:rsidR="00683A1F" w:rsidRPr="00683A1F" w:rsidRDefault="00683A1F" w:rsidP="00683A1F">
            <w:pPr>
              <w:spacing w:before="120" w:after="120"/>
              <w:rPr>
                <w:sz w:val="16"/>
                <w:szCs w:val="16"/>
                <w:lang w:val="en-GB" w:eastAsia="hr-HR"/>
              </w:rPr>
            </w:pPr>
            <w:r w:rsidRPr="00683A1F">
              <w:rPr>
                <w:sz w:val="16"/>
                <w:szCs w:val="16"/>
                <w:lang w:val="en-GB" w:eastAsia="hr-HR"/>
              </w:rPr>
              <w:t>T: Ministry of Natural Resources and Environment</w:t>
            </w:r>
          </w:p>
          <w:p w14:paraId="10A6C75B" w14:textId="77777777" w:rsidR="00683A1F" w:rsidRPr="00683A1F" w:rsidRDefault="00683A1F" w:rsidP="00683A1F">
            <w:pPr>
              <w:keepNext/>
              <w:spacing w:before="120" w:after="120"/>
              <w:rPr>
                <w:sz w:val="16"/>
                <w:szCs w:val="16"/>
                <w:lang w:val="en-GB" w:eastAsia="hr-HR"/>
              </w:rPr>
            </w:pPr>
            <w:r w:rsidRPr="00683A1F">
              <w:rPr>
                <w:sz w:val="16"/>
                <w:szCs w:val="16"/>
                <w:lang w:val="en-GB" w:eastAsia="hr-HR"/>
              </w:rPr>
              <w:t>V: Ministry of Natural Resources and Environment</w:t>
            </w:r>
          </w:p>
          <w:p w14:paraId="693AA5E1" w14:textId="77777777" w:rsidR="00683A1F" w:rsidRPr="00683A1F" w:rsidRDefault="00683A1F" w:rsidP="00683A1F">
            <w:pPr>
              <w:keepNext/>
              <w:spacing w:before="120" w:after="120"/>
              <w:rPr>
                <w:sz w:val="16"/>
                <w:szCs w:val="16"/>
                <w:lang w:val="en-GB" w:eastAsia="hr-HR"/>
              </w:rPr>
            </w:pPr>
            <w:r w:rsidRPr="00683A1F">
              <w:rPr>
                <w:sz w:val="16"/>
                <w:szCs w:val="16"/>
                <w:lang w:val="en-GB" w:eastAsia="hr-HR"/>
              </w:rPr>
              <w:t>R: PCU/COBSEA</w:t>
            </w:r>
          </w:p>
        </w:tc>
        <w:tc>
          <w:tcPr>
            <w:tcW w:w="3060" w:type="dxa"/>
          </w:tcPr>
          <w:p w14:paraId="09FA8EF2" w14:textId="77777777" w:rsidR="00683A1F" w:rsidRPr="00683A1F" w:rsidRDefault="00683A1F" w:rsidP="00683A1F">
            <w:pPr>
              <w:spacing w:before="80"/>
              <w:rPr>
                <w:sz w:val="16"/>
                <w:szCs w:val="16"/>
                <w:lang w:val="en-GB" w:eastAsia="hr-HR"/>
              </w:rPr>
            </w:pPr>
            <w:r w:rsidRPr="00683A1F">
              <w:rPr>
                <w:sz w:val="16"/>
                <w:szCs w:val="16"/>
                <w:lang w:val="en-GB" w:eastAsia="hr-HR"/>
              </w:rPr>
              <w:t>National Focal Points &amp; Project Director:</w:t>
            </w:r>
          </w:p>
          <w:p w14:paraId="6C4A8419" w14:textId="77777777" w:rsidR="00683A1F" w:rsidRPr="00683A1F" w:rsidRDefault="00683A1F" w:rsidP="00683A1F">
            <w:pPr>
              <w:spacing w:after="120"/>
              <w:rPr>
                <w:sz w:val="16"/>
                <w:szCs w:val="16"/>
                <w:lang w:val="en-GB" w:eastAsia="hr-HR"/>
              </w:rPr>
            </w:pPr>
          </w:p>
          <w:p w14:paraId="01BA970A" w14:textId="77777777" w:rsidR="00683A1F" w:rsidRPr="00683A1F" w:rsidRDefault="00683A1F" w:rsidP="00683A1F">
            <w:pPr>
              <w:spacing w:before="120" w:after="120"/>
              <w:rPr>
                <w:sz w:val="16"/>
                <w:szCs w:val="16"/>
                <w:lang w:val="en-GB" w:eastAsia="hr-HR"/>
              </w:rPr>
            </w:pPr>
            <w:r w:rsidRPr="00683A1F">
              <w:rPr>
                <w:sz w:val="16"/>
                <w:szCs w:val="16"/>
                <w:lang w:val="en-GB" w:eastAsia="hr-HR"/>
              </w:rPr>
              <w:t xml:space="preserve">C1: </w:t>
            </w:r>
            <w:r w:rsidR="009C7884" w:rsidRPr="009C7884">
              <w:rPr>
                <w:sz w:val="16"/>
                <w:szCs w:val="16"/>
                <w:lang w:val="en-GB" w:eastAsia="hr-HR"/>
              </w:rPr>
              <w:t>Mr. Yingming YANG</w:t>
            </w:r>
          </w:p>
          <w:p w14:paraId="6E411A18" w14:textId="77777777" w:rsidR="00683A1F" w:rsidRPr="00683A1F" w:rsidRDefault="00683A1F" w:rsidP="00683A1F">
            <w:pPr>
              <w:spacing w:before="120" w:after="120"/>
              <w:rPr>
                <w:sz w:val="16"/>
                <w:szCs w:val="16"/>
                <w:lang w:val="en-GB" w:eastAsia="hr-HR"/>
              </w:rPr>
            </w:pPr>
            <w:r w:rsidRPr="00683A1F">
              <w:rPr>
                <w:sz w:val="16"/>
                <w:szCs w:val="16"/>
                <w:lang w:val="en-GB" w:eastAsia="hr-HR"/>
              </w:rPr>
              <w:t>C2: Mr. Lonh HEAL</w:t>
            </w:r>
          </w:p>
          <w:p w14:paraId="52930527" w14:textId="77777777" w:rsidR="00683A1F" w:rsidRPr="00683A1F" w:rsidRDefault="00683A1F" w:rsidP="00683A1F">
            <w:pPr>
              <w:spacing w:before="120" w:after="120"/>
              <w:rPr>
                <w:sz w:val="16"/>
                <w:szCs w:val="16"/>
                <w:lang w:val="en-GB" w:eastAsia="hr-HR"/>
              </w:rPr>
            </w:pPr>
            <w:r w:rsidRPr="00683A1F">
              <w:rPr>
                <w:sz w:val="16"/>
                <w:szCs w:val="16"/>
                <w:lang w:val="en-GB" w:eastAsia="hr-HR"/>
              </w:rPr>
              <w:t xml:space="preserve">I: Ms. </w:t>
            </w:r>
            <w:r w:rsidR="005179BF">
              <w:rPr>
                <w:sz w:val="16"/>
                <w:szCs w:val="16"/>
                <w:lang w:val="en-GB" w:eastAsia="hr-HR"/>
              </w:rPr>
              <w:t>Ms. LaksmiDewanthi/Mr. Karliansyah</w:t>
            </w:r>
          </w:p>
          <w:p w14:paraId="6D399271" w14:textId="77777777" w:rsidR="00683A1F" w:rsidRPr="00B62FD7" w:rsidRDefault="00683A1F" w:rsidP="00683A1F">
            <w:pPr>
              <w:spacing w:before="120" w:after="120"/>
              <w:rPr>
                <w:sz w:val="16"/>
                <w:szCs w:val="16"/>
                <w:lang w:val="es-AR" w:eastAsia="hr-HR"/>
              </w:rPr>
            </w:pPr>
            <w:r w:rsidRPr="00B62FD7">
              <w:rPr>
                <w:sz w:val="16"/>
                <w:szCs w:val="16"/>
                <w:lang w:val="es-AR" w:eastAsia="hr-HR"/>
              </w:rPr>
              <w:t>P: Ms. Analiza REBUELTA - TEH</w:t>
            </w:r>
          </w:p>
          <w:p w14:paraId="54B3DAC2" w14:textId="77777777" w:rsidR="00683A1F" w:rsidRPr="00B62FD7" w:rsidRDefault="00683A1F" w:rsidP="00683A1F">
            <w:pPr>
              <w:spacing w:before="120" w:after="120"/>
              <w:rPr>
                <w:sz w:val="16"/>
                <w:szCs w:val="16"/>
                <w:lang w:val="es-AR" w:eastAsia="hr-HR"/>
              </w:rPr>
            </w:pPr>
            <w:r w:rsidRPr="00B62FD7">
              <w:rPr>
                <w:sz w:val="16"/>
                <w:szCs w:val="16"/>
                <w:lang w:val="es-AR" w:eastAsia="hr-HR"/>
              </w:rPr>
              <w:t xml:space="preserve">T: </w:t>
            </w:r>
            <w:r w:rsidR="00A44210" w:rsidRPr="00B62FD7">
              <w:rPr>
                <w:sz w:val="16"/>
                <w:szCs w:val="16"/>
                <w:lang w:val="es-AR" w:eastAsia="hr-HR"/>
              </w:rPr>
              <w:t>Dr. Kasemsun CHINNAVASO</w:t>
            </w:r>
          </w:p>
          <w:p w14:paraId="12DC18ED" w14:textId="77777777" w:rsidR="00683A1F" w:rsidRPr="00683A1F" w:rsidRDefault="00683A1F" w:rsidP="00683A1F">
            <w:pPr>
              <w:spacing w:before="120" w:after="40"/>
              <w:rPr>
                <w:sz w:val="16"/>
                <w:szCs w:val="16"/>
                <w:lang w:val="en-GB" w:eastAsia="hr-HR"/>
              </w:rPr>
            </w:pPr>
            <w:r w:rsidRPr="00683A1F">
              <w:rPr>
                <w:sz w:val="16"/>
                <w:szCs w:val="16"/>
                <w:lang w:val="en-GB" w:eastAsia="hr-HR"/>
              </w:rPr>
              <w:t>V: Dr. Mr. Nam Thang DO</w:t>
            </w:r>
          </w:p>
          <w:p w14:paraId="20B4E469" w14:textId="77777777" w:rsidR="00683A1F" w:rsidRPr="00683A1F" w:rsidRDefault="00683A1F" w:rsidP="00683A1F">
            <w:pPr>
              <w:spacing w:before="120" w:after="120"/>
              <w:rPr>
                <w:sz w:val="16"/>
                <w:szCs w:val="16"/>
                <w:lang w:val="en-GB" w:eastAsia="hr-HR"/>
              </w:rPr>
            </w:pPr>
            <w:r w:rsidRPr="00683A1F">
              <w:rPr>
                <w:sz w:val="16"/>
                <w:szCs w:val="16"/>
                <w:lang w:val="en-GB" w:eastAsia="hr-HR"/>
              </w:rPr>
              <w:t>R: Project Director</w:t>
            </w:r>
          </w:p>
        </w:tc>
        <w:tc>
          <w:tcPr>
            <w:tcW w:w="3115" w:type="dxa"/>
            <w:vAlign w:val="center"/>
          </w:tcPr>
          <w:p w14:paraId="56AB5F58" w14:textId="77777777" w:rsidR="00683A1F" w:rsidRPr="00683A1F" w:rsidRDefault="00683A1F" w:rsidP="00683A1F">
            <w:pPr>
              <w:keepNext/>
              <w:spacing w:before="120" w:after="120"/>
              <w:jc w:val="center"/>
              <w:rPr>
                <w:sz w:val="16"/>
                <w:szCs w:val="16"/>
                <w:lang w:val="en-GB" w:eastAsia="hr-HR"/>
              </w:rPr>
            </w:pPr>
            <w:r w:rsidRPr="00683A1F">
              <w:rPr>
                <w:sz w:val="16"/>
                <w:szCs w:val="16"/>
                <w:lang w:val="en-GB" w:eastAsia="hr-HR"/>
              </w:rPr>
              <w:t>Project Document</w:t>
            </w:r>
          </w:p>
          <w:p w14:paraId="07758C96" w14:textId="77777777" w:rsidR="00683A1F" w:rsidRPr="00683A1F" w:rsidRDefault="00683A1F" w:rsidP="00683A1F">
            <w:pPr>
              <w:keepNext/>
              <w:spacing w:before="120" w:after="120"/>
              <w:jc w:val="center"/>
              <w:rPr>
                <w:sz w:val="16"/>
                <w:szCs w:val="16"/>
                <w:lang w:val="en-GB" w:eastAsia="hr-HR"/>
              </w:rPr>
            </w:pPr>
            <w:r w:rsidRPr="00683A1F">
              <w:rPr>
                <w:sz w:val="16"/>
                <w:szCs w:val="16"/>
                <w:lang w:val="en-GB" w:eastAsia="hr-HR"/>
              </w:rPr>
              <w:t>Resolutions of the National Inter-Ministry Committee Meetings</w:t>
            </w:r>
          </w:p>
          <w:p w14:paraId="439F1342" w14:textId="77777777" w:rsidR="00683A1F" w:rsidRPr="00683A1F" w:rsidRDefault="00683A1F" w:rsidP="00683A1F">
            <w:pPr>
              <w:spacing w:before="120" w:after="120"/>
              <w:jc w:val="center"/>
              <w:rPr>
                <w:sz w:val="16"/>
                <w:szCs w:val="16"/>
                <w:lang w:val="en-GB" w:eastAsia="hr-HR"/>
              </w:rPr>
            </w:pPr>
            <w:r w:rsidRPr="00683A1F">
              <w:rPr>
                <w:sz w:val="16"/>
                <w:szCs w:val="16"/>
                <w:lang w:val="en-GB" w:eastAsia="hr-HR"/>
              </w:rPr>
              <w:t>Resolutions of the Project Steering Committee Meetings</w:t>
            </w:r>
          </w:p>
        </w:tc>
      </w:tr>
      <w:tr w:rsidR="00683A1F" w:rsidRPr="00683A1F" w14:paraId="7523109E" w14:textId="77777777" w:rsidTr="00D5094C">
        <w:trPr>
          <w:cantSplit/>
          <w:trHeight w:val="721"/>
          <w:jc w:val="center"/>
        </w:trPr>
        <w:tc>
          <w:tcPr>
            <w:tcW w:w="2495" w:type="dxa"/>
          </w:tcPr>
          <w:p w14:paraId="0A32C30A" w14:textId="77777777" w:rsidR="00683A1F" w:rsidRPr="00683A1F" w:rsidRDefault="00683A1F" w:rsidP="00683A1F">
            <w:pPr>
              <w:spacing w:before="120" w:after="120"/>
              <w:ind w:left="360" w:hanging="180"/>
              <w:rPr>
                <w:sz w:val="16"/>
                <w:szCs w:val="16"/>
                <w:lang w:val="en-GB" w:eastAsia="hr-HR"/>
              </w:rPr>
            </w:pPr>
            <w:r w:rsidRPr="00683A1F">
              <w:rPr>
                <w:sz w:val="16"/>
                <w:szCs w:val="16"/>
                <w:lang w:val="en-GB" w:eastAsia="hr-HR"/>
              </w:rPr>
              <w:t>Preparation of Overall Project Progress Reports</w:t>
            </w:r>
          </w:p>
        </w:tc>
        <w:tc>
          <w:tcPr>
            <w:tcW w:w="4680" w:type="dxa"/>
          </w:tcPr>
          <w:p w14:paraId="58710696" w14:textId="77777777" w:rsidR="00683A1F" w:rsidRPr="00683A1F" w:rsidRDefault="00683A1F" w:rsidP="00683A1F">
            <w:pPr>
              <w:keepNext/>
              <w:spacing w:before="120" w:after="120"/>
              <w:jc w:val="center"/>
              <w:rPr>
                <w:sz w:val="16"/>
                <w:szCs w:val="16"/>
                <w:lang w:val="en-GB" w:eastAsia="hr-HR"/>
              </w:rPr>
            </w:pPr>
            <w:r w:rsidRPr="00683A1F">
              <w:rPr>
                <w:sz w:val="16"/>
                <w:szCs w:val="16"/>
                <w:lang w:val="en-GB" w:eastAsia="hr-HR"/>
              </w:rPr>
              <w:t>COBSEA/PCU</w:t>
            </w:r>
          </w:p>
          <w:p w14:paraId="03168BED" w14:textId="77777777" w:rsidR="00683A1F" w:rsidRPr="00683A1F" w:rsidRDefault="00683A1F" w:rsidP="00683A1F">
            <w:pPr>
              <w:keepNext/>
              <w:spacing w:before="120" w:after="120"/>
              <w:jc w:val="center"/>
              <w:rPr>
                <w:sz w:val="16"/>
                <w:szCs w:val="16"/>
                <w:lang w:val="en-GB" w:eastAsia="hr-HR"/>
              </w:rPr>
            </w:pPr>
            <w:r w:rsidRPr="00683A1F">
              <w:rPr>
                <w:sz w:val="16"/>
                <w:szCs w:val="16"/>
                <w:lang w:val="en-GB" w:eastAsia="hr-HR"/>
              </w:rPr>
              <w:t>UNEP-DEWA</w:t>
            </w:r>
          </w:p>
        </w:tc>
        <w:tc>
          <w:tcPr>
            <w:tcW w:w="3060" w:type="dxa"/>
          </w:tcPr>
          <w:p w14:paraId="1302B800" w14:textId="77777777" w:rsidR="00683A1F" w:rsidRPr="00683A1F" w:rsidRDefault="00683A1F" w:rsidP="00683A1F">
            <w:pPr>
              <w:keepNext/>
              <w:spacing w:before="120" w:after="120"/>
              <w:jc w:val="center"/>
              <w:rPr>
                <w:sz w:val="16"/>
                <w:szCs w:val="16"/>
                <w:lang w:val="en-GB" w:eastAsia="hr-HR"/>
              </w:rPr>
            </w:pPr>
            <w:r w:rsidRPr="00683A1F">
              <w:rPr>
                <w:sz w:val="16"/>
                <w:szCs w:val="16"/>
                <w:lang w:val="en-GB" w:eastAsia="hr-HR"/>
              </w:rPr>
              <w:t>Project Director</w:t>
            </w:r>
          </w:p>
          <w:p w14:paraId="6A59949E" w14:textId="77777777" w:rsidR="00683A1F" w:rsidRPr="00683A1F" w:rsidRDefault="00683A1F" w:rsidP="00683A1F">
            <w:pPr>
              <w:keepNext/>
              <w:spacing w:before="120" w:after="120"/>
              <w:jc w:val="center"/>
              <w:rPr>
                <w:sz w:val="16"/>
                <w:szCs w:val="16"/>
                <w:lang w:val="en-GB" w:eastAsia="hr-HR"/>
              </w:rPr>
            </w:pPr>
            <w:r w:rsidRPr="00683A1F">
              <w:rPr>
                <w:sz w:val="16"/>
                <w:szCs w:val="16"/>
                <w:lang w:val="en-GB" w:eastAsia="hr-HR"/>
              </w:rPr>
              <w:t>UNEP Task Manager</w:t>
            </w:r>
          </w:p>
        </w:tc>
        <w:tc>
          <w:tcPr>
            <w:tcW w:w="3115" w:type="dxa"/>
          </w:tcPr>
          <w:p w14:paraId="09A76039" w14:textId="77777777" w:rsidR="00683A1F" w:rsidRPr="00683A1F" w:rsidRDefault="00683A1F" w:rsidP="00683A1F">
            <w:pPr>
              <w:spacing w:before="120" w:after="120"/>
              <w:jc w:val="center"/>
              <w:rPr>
                <w:sz w:val="16"/>
                <w:szCs w:val="16"/>
                <w:lang w:val="en-GB" w:eastAsia="hr-HR"/>
              </w:rPr>
            </w:pPr>
            <w:r w:rsidRPr="00683A1F">
              <w:rPr>
                <w:sz w:val="16"/>
                <w:szCs w:val="16"/>
                <w:lang w:val="en-GB" w:eastAsia="hr-HR"/>
              </w:rPr>
              <w:t>Project Coordination Unit’s reports to PSC &amp; UNON</w:t>
            </w:r>
          </w:p>
        </w:tc>
      </w:tr>
      <w:tr w:rsidR="00683A1F" w:rsidRPr="00683A1F" w14:paraId="16E8131B" w14:textId="77777777" w:rsidTr="00D5094C">
        <w:trPr>
          <w:cantSplit/>
          <w:trHeight w:val="1518"/>
          <w:jc w:val="center"/>
        </w:trPr>
        <w:tc>
          <w:tcPr>
            <w:tcW w:w="2495" w:type="dxa"/>
          </w:tcPr>
          <w:p w14:paraId="5D417A27" w14:textId="77777777" w:rsidR="00683A1F" w:rsidRPr="00683A1F" w:rsidRDefault="00683A1F" w:rsidP="00683A1F">
            <w:pPr>
              <w:spacing w:before="60" w:after="120"/>
              <w:ind w:left="360" w:hanging="180"/>
              <w:rPr>
                <w:sz w:val="16"/>
                <w:szCs w:val="16"/>
                <w:lang w:val="en-GB" w:eastAsia="hr-HR"/>
              </w:rPr>
            </w:pPr>
            <w:r w:rsidRPr="00683A1F">
              <w:rPr>
                <w:sz w:val="16"/>
                <w:szCs w:val="16"/>
                <w:lang w:val="en-GB" w:eastAsia="hr-HR"/>
              </w:rPr>
              <w:t>Preparation of country and regional component quarterly progress reports:</w:t>
            </w:r>
          </w:p>
          <w:p w14:paraId="33F814A4" w14:textId="77777777" w:rsidR="00683A1F" w:rsidRPr="00B62FD7" w:rsidRDefault="00683A1F" w:rsidP="00683A1F">
            <w:pPr>
              <w:spacing w:before="120" w:after="120"/>
              <w:ind w:left="360" w:hanging="180"/>
              <w:rPr>
                <w:sz w:val="16"/>
                <w:szCs w:val="16"/>
                <w:lang w:val="pt-BR" w:eastAsia="hr-HR"/>
              </w:rPr>
            </w:pPr>
            <w:r w:rsidRPr="00B62FD7">
              <w:rPr>
                <w:sz w:val="16"/>
                <w:szCs w:val="16"/>
                <w:lang w:val="pt-BR" w:eastAsia="hr-HR"/>
              </w:rPr>
              <w:t>China (C1)</w:t>
            </w:r>
          </w:p>
          <w:p w14:paraId="4F3CB5B0" w14:textId="77777777" w:rsidR="00683A1F" w:rsidRPr="00B62FD7" w:rsidRDefault="00683A1F" w:rsidP="00683A1F">
            <w:pPr>
              <w:spacing w:before="120" w:after="120"/>
              <w:ind w:left="360" w:hanging="180"/>
              <w:rPr>
                <w:sz w:val="16"/>
                <w:szCs w:val="16"/>
                <w:lang w:val="pt-BR" w:eastAsia="hr-HR"/>
              </w:rPr>
            </w:pPr>
            <w:r w:rsidRPr="00B62FD7">
              <w:rPr>
                <w:sz w:val="16"/>
                <w:szCs w:val="16"/>
                <w:lang w:val="pt-BR" w:eastAsia="hr-HR"/>
              </w:rPr>
              <w:t>Cambodia (C2)</w:t>
            </w:r>
          </w:p>
          <w:p w14:paraId="6713002B" w14:textId="77777777" w:rsidR="00683A1F" w:rsidRPr="00B62FD7" w:rsidRDefault="00683A1F" w:rsidP="00683A1F">
            <w:pPr>
              <w:spacing w:before="120" w:after="120"/>
              <w:ind w:left="360" w:hanging="180"/>
              <w:rPr>
                <w:sz w:val="16"/>
                <w:szCs w:val="16"/>
                <w:lang w:val="pt-BR" w:eastAsia="hr-HR"/>
              </w:rPr>
            </w:pPr>
            <w:r w:rsidRPr="00B62FD7">
              <w:rPr>
                <w:sz w:val="16"/>
                <w:szCs w:val="16"/>
                <w:lang w:val="pt-BR" w:eastAsia="hr-HR"/>
              </w:rPr>
              <w:t>Indonesia  (I)</w:t>
            </w:r>
          </w:p>
          <w:p w14:paraId="5EFA6CA7" w14:textId="77777777" w:rsidR="00683A1F" w:rsidRPr="00683A1F" w:rsidRDefault="00683A1F" w:rsidP="00683A1F">
            <w:pPr>
              <w:spacing w:before="120" w:after="120"/>
              <w:ind w:left="360" w:hanging="180"/>
              <w:rPr>
                <w:sz w:val="16"/>
                <w:szCs w:val="16"/>
                <w:lang w:val="en-GB" w:eastAsia="hr-HR"/>
              </w:rPr>
            </w:pPr>
            <w:r w:rsidRPr="00683A1F">
              <w:rPr>
                <w:sz w:val="16"/>
                <w:szCs w:val="16"/>
                <w:lang w:val="en-GB" w:eastAsia="hr-HR"/>
              </w:rPr>
              <w:t>Philippines (P)</w:t>
            </w:r>
          </w:p>
          <w:p w14:paraId="4827263F" w14:textId="77777777" w:rsidR="00683A1F" w:rsidRPr="00683A1F" w:rsidRDefault="00683A1F" w:rsidP="00683A1F">
            <w:pPr>
              <w:spacing w:before="120" w:after="120"/>
              <w:ind w:left="360" w:hanging="180"/>
              <w:rPr>
                <w:sz w:val="16"/>
                <w:szCs w:val="16"/>
                <w:lang w:val="en-GB" w:eastAsia="hr-HR"/>
              </w:rPr>
            </w:pPr>
            <w:r w:rsidRPr="00683A1F">
              <w:rPr>
                <w:sz w:val="16"/>
                <w:szCs w:val="16"/>
                <w:lang w:val="en-GB" w:eastAsia="hr-HR"/>
              </w:rPr>
              <w:t>Thailand (T)</w:t>
            </w:r>
          </w:p>
          <w:p w14:paraId="20F32817" w14:textId="77777777" w:rsidR="00683A1F" w:rsidRPr="00683A1F" w:rsidRDefault="00683A1F" w:rsidP="00683A1F">
            <w:pPr>
              <w:spacing w:before="120" w:after="120"/>
              <w:ind w:left="360" w:hanging="180"/>
              <w:rPr>
                <w:sz w:val="16"/>
                <w:szCs w:val="16"/>
                <w:lang w:val="en-GB" w:eastAsia="hr-HR"/>
              </w:rPr>
            </w:pPr>
            <w:r w:rsidRPr="00683A1F">
              <w:rPr>
                <w:sz w:val="16"/>
                <w:szCs w:val="16"/>
                <w:lang w:val="en-GB" w:eastAsia="hr-HR"/>
              </w:rPr>
              <w:t>Vietnam (V)</w:t>
            </w:r>
          </w:p>
          <w:p w14:paraId="2B55AEBB" w14:textId="77777777" w:rsidR="00683A1F" w:rsidRPr="00683A1F" w:rsidRDefault="00683A1F" w:rsidP="00683A1F">
            <w:pPr>
              <w:spacing w:before="60" w:after="120"/>
              <w:ind w:left="360" w:hanging="180"/>
              <w:rPr>
                <w:sz w:val="16"/>
                <w:szCs w:val="16"/>
                <w:lang w:val="en-GB" w:eastAsia="hr-HR"/>
              </w:rPr>
            </w:pPr>
            <w:r w:rsidRPr="00683A1F">
              <w:rPr>
                <w:sz w:val="16"/>
                <w:szCs w:val="16"/>
                <w:lang w:val="en-GB" w:eastAsia="hr-HR"/>
              </w:rPr>
              <w:t>Regional (R)</w:t>
            </w:r>
          </w:p>
        </w:tc>
        <w:tc>
          <w:tcPr>
            <w:tcW w:w="4680" w:type="dxa"/>
          </w:tcPr>
          <w:p w14:paraId="111D1481" w14:textId="77777777" w:rsidR="00683A1F" w:rsidRPr="00683A1F" w:rsidRDefault="00683A1F" w:rsidP="00683A1F">
            <w:pPr>
              <w:keepNext/>
              <w:spacing w:before="120"/>
              <w:rPr>
                <w:sz w:val="16"/>
                <w:szCs w:val="16"/>
                <w:lang w:val="en-GB" w:eastAsia="hr-HR"/>
              </w:rPr>
            </w:pPr>
            <w:r w:rsidRPr="00683A1F">
              <w:rPr>
                <w:sz w:val="16"/>
                <w:szCs w:val="16"/>
                <w:lang w:val="en-GB" w:eastAsia="hr-HR"/>
              </w:rPr>
              <w:t>National Agency/Regional Project Coordination Unit:</w:t>
            </w:r>
          </w:p>
          <w:p w14:paraId="23A840CD" w14:textId="77777777" w:rsidR="00683A1F" w:rsidRPr="00683A1F" w:rsidRDefault="00683A1F" w:rsidP="00683A1F">
            <w:pPr>
              <w:keepNext/>
              <w:rPr>
                <w:sz w:val="16"/>
                <w:szCs w:val="16"/>
                <w:lang w:val="en-GB" w:eastAsia="hr-HR"/>
              </w:rPr>
            </w:pPr>
          </w:p>
          <w:p w14:paraId="08CACB32" w14:textId="77777777" w:rsidR="00683A1F" w:rsidRPr="00683A1F" w:rsidRDefault="00683A1F" w:rsidP="00683A1F">
            <w:pPr>
              <w:keepNext/>
              <w:spacing w:before="120" w:after="120"/>
              <w:rPr>
                <w:sz w:val="16"/>
                <w:szCs w:val="16"/>
                <w:lang w:val="en-GB" w:eastAsia="hr-HR"/>
              </w:rPr>
            </w:pPr>
            <w:r w:rsidRPr="00683A1F">
              <w:rPr>
                <w:sz w:val="16"/>
                <w:szCs w:val="16"/>
                <w:lang w:val="en-GB" w:eastAsia="hr-HR"/>
              </w:rPr>
              <w:t>C1: Ministry of Environment</w:t>
            </w:r>
          </w:p>
          <w:p w14:paraId="66E20505" w14:textId="77777777" w:rsidR="00683A1F" w:rsidRPr="00683A1F" w:rsidRDefault="00683A1F" w:rsidP="00683A1F">
            <w:pPr>
              <w:keepNext/>
              <w:spacing w:before="120" w:after="120"/>
              <w:rPr>
                <w:sz w:val="16"/>
                <w:szCs w:val="16"/>
                <w:lang w:val="en-GB" w:eastAsia="hr-HR"/>
              </w:rPr>
            </w:pPr>
            <w:r w:rsidRPr="00683A1F">
              <w:rPr>
                <w:sz w:val="16"/>
                <w:szCs w:val="16"/>
                <w:lang w:val="en-GB" w:eastAsia="hr-HR"/>
              </w:rPr>
              <w:t>C2: Ministry of Environment</w:t>
            </w:r>
          </w:p>
          <w:p w14:paraId="07E77214" w14:textId="77777777" w:rsidR="00683A1F" w:rsidRPr="00683A1F" w:rsidRDefault="00683A1F" w:rsidP="00683A1F">
            <w:pPr>
              <w:keepNext/>
              <w:spacing w:before="120" w:after="120"/>
              <w:rPr>
                <w:sz w:val="16"/>
                <w:szCs w:val="16"/>
                <w:lang w:val="en-GB" w:eastAsia="hr-HR"/>
              </w:rPr>
            </w:pPr>
            <w:r w:rsidRPr="00683A1F">
              <w:rPr>
                <w:sz w:val="16"/>
                <w:szCs w:val="16"/>
                <w:lang w:val="en-GB" w:eastAsia="hr-HR"/>
              </w:rPr>
              <w:t>I: Ministry of Environment</w:t>
            </w:r>
          </w:p>
          <w:p w14:paraId="551013E6" w14:textId="77777777" w:rsidR="00683A1F" w:rsidRPr="00683A1F" w:rsidRDefault="00683A1F" w:rsidP="00683A1F">
            <w:pPr>
              <w:keepNext/>
              <w:spacing w:before="120" w:after="120"/>
              <w:rPr>
                <w:sz w:val="16"/>
                <w:szCs w:val="16"/>
                <w:lang w:val="en-GB" w:eastAsia="hr-HR"/>
              </w:rPr>
            </w:pPr>
            <w:r w:rsidRPr="00683A1F">
              <w:rPr>
                <w:sz w:val="16"/>
                <w:szCs w:val="16"/>
                <w:lang w:val="en-GB" w:eastAsia="hr-HR"/>
              </w:rPr>
              <w:t>P: Department of Environment and Natural Resources</w:t>
            </w:r>
          </w:p>
          <w:p w14:paraId="64D845F4" w14:textId="77777777" w:rsidR="00683A1F" w:rsidRPr="00683A1F" w:rsidRDefault="00683A1F" w:rsidP="00683A1F">
            <w:pPr>
              <w:keepNext/>
              <w:spacing w:before="120" w:after="120"/>
              <w:rPr>
                <w:sz w:val="16"/>
                <w:szCs w:val="16"/>
                <w:lang w:val="en-GB" w:eastAsia="hr-HR"/>
              </w:rPr>
            </w:pPr>
            <w:r w:rsidRPr="00683A1F">
              <w:rPr>
                <w:sz w:val="16"/>
                <w:szCs w:val="16"/>
                <w:lang w:val="en-GB" w:eastAsia="hr-HR"/>
              </w:rPr>
              <w:t>T: Ministry of Natural Resources and Environment</w:t>
            </w:r>
          </w:p>
          <w:p w14:paraId="580094F4" w14:textId="77777777" w:rsidR="00683A1F" w:rsidRPr="00683A1F" w:rsidRDefault="00683A1F" w:rsidP="00683A1F">
            <w:pPr>
              <w:keepNext/>
              <w:spacing w:before="120" w:after="120"/>
              <w:rPr>
                <w:sz w:val="16"/>
                <w:szCs w:val="16"/>
                <w:lang w:val="en-GB" w:eastAsia="hr-HR"/>
              </w:rPr>
            </w:pPr>
            <w:r w:rsidRPr="00683A1F">
              <w:rPr>
                <w:sz w:val="16"/>
                <w:szCs w:val="16"/>
                <w:lang w:val="en-GB" w:eastAsia="hr-HR"/>
              </w:rPr>
              <w:t>V: Ministry of Natural Resources and Environment</w:t>
            </w:r>
          </w:p>
          <w:p w14:paraId="295F4363" w14:textId="77777777" w:rsidR="00683A1F" w:rsidRPr="00683A1F" w:rsidRDefault="00683A1F" w:rsidP="00683A1F">
            <w:pPr>
              <w:keepNext/>
              <w:spacing w:before="120" w:after="120"/>
              <w:rPr>
                <w:sz w:val="16"/>
                <w:szCs w:val="16"/>
                <w:lang w:val="en-GB" w:eastAsia="hr-HR"/>
              </w:rPr>
            </w:pPr>
            <w:r w:rsidRPr="00683A1F">
              <w:rPr>
                <w:sz w:val="16"/>
                <w:szCs w:val="16"/>
                <w:lang w:val="en-GB" w:eastAsia="hr-HR"/>
              </w:rPr>
              <w:t xml:space="preserve">R: PCU/COBSEA </w:t>
            </w:r>
          </w:p>
        </w:tc>
        <w:tc>
          <w:tcPr>
            <w:tcW w:w="3060" w:type="dxa"/>
          </w:tcPr>
          <w:p w14:paraId="46A8F246" w14:textId="77777777" w:rsidR="00683A1F" w:rsidRPr="00683A1F" w:rsidRDefault="00683A1F" w:rsidP="00683A1F">
            <w:pPr>
              <w:spacing w:before="80"/>
              <w:rPr>
                <w:sz w:val="16"/>
                <w:szCs w:val="16"/>
                <w:lang w:val="en-GB" w:eastAsia="hr-HR"/>
              </w:rPr>
            </w:pPr>
            <w:r w:rsidRPr="00683A1F">
              <w:rPr>
                <w:sz w:val="16"/>
                <w:szCs w:val="16"/>
                <w:lang w:val="en-GB" w:eastAsia="hr-HR"/>
              </w:rPr>
              <w:t>National Focal Points &amp; Project Director:</w:t>
            </w:r>
          </w:p>
          <w:p w14:paraId="5A6341F1" w14:textId="77777777" w:rsidR="00683A1F" w:rsidRPr="00683A1F" w:rsidRDefault="00683A1F" w:rsidP="00683A1F">
            <w:pPr>
              <w:spacing w:after="120"/>
              <w:rPr>
                <w:sz w:val="16"/>
                <w:szCs w:val="16"/>
                <w:lang w:val="en-GB" w:eastAsia="hr-HR"/>
              </w:rPr>
            </w:pPr>
          </w:p>
          <w:p w14:paraId="2CE5A493" w14:textId="77777777" w:rsidR="00683A1F" w:rsidRPr="00683A1F" w:rsidRDefault="00683A1F" w:rsidP="00683A1F">
            <w:pPr>
              <w:spacing w:before="120" w:after="120"/>
              <w:rPr>
                <w:sz w:val="16"/>
                <w:szCs w:val="16"/>
                <w:lang w:val="en-GB" w:eastAsia="hr-HR"/>
              </w:rPr>
            </w:pPr>
            <w:r w:rsidRPr="00683A1F">
              <w:rPr>
                <w:sz w:val="16"/>
                <w:szCs w:val="16"/>
                <w:lang w:val="en-GB" w:eastAsia="hr-HR"/>
              </w:rPr>
              <w:t xml:space="preserve">C1: </w:t>
            </w:r>
            <w:r w:rsidR="009C7884" w:rsidRPr="009C7884">
              <w:rPr>
                <w:sz w:val="16"/>
                <w:szCs w:val="16"/>
                <w:lang w:val="en-GB" w:eastAsia="hr-HR"/>
              </w:rPr>
              <w:t>Mr. Yingming YANG</w:t>
            </w:r>
          </w:p>
          <w:p w14:paraId="00E77612" w14:textId="77777777" w:rsidR="00683A1F" w:rsidRPr="00683A1F" w:rsidRDefault="00683A1F" w:rsidP="00683A1F">
            <w:pPr>
              <w:spacing w:before="120" w:after="120"/>
              <w:rPr>
                <w:sz w:val="16"/>
                <w:szCs w:val="16"/>
                <w:lang w:val="en-GB" w:eastAsia="hr-HR"/>
              </w:rPr>
            </w:pPr>
            <w:r w:rsidRPr="00683A1F">
              <w:rPr>
                <w:sz w:val="16"/>
                <w:szCs w:val="16"/>
                <w:lang w:val="en-GB" w:eastAsia="hr-HR"/>
              </w:rPr>
              <w:t>C2: Mr. Lonh HEAL</w:t>
            </w:r>
          </w:p>
          <w:p w14:paraId="4AA93BC6" w14:textId="77777777" w:rsidR="00683A1F" w:rsidRPr="00683A1F" w:rsidRDefault="00683A1F" w:rsidP="00683A1F">
            <w:pPr>
              <w:spacing w:before="120" w:after="120"/>
              <w:rPr>
                <w:sz w:val="16"/>
                <w:szCs w:val="16"/>
                <w:lang w:val="en-GB" w:eastAsia="hr-HR"/>
              </w:rPr>
            </w:pPr>
            <w:r w:rsidRPr="00683A1F">
              <w:rPr>
                <w:sz w:val="16"/>
                <w:szCs w:val="16"/>
                <w:lang w:val="en-GB" w:eastAsia="hr-HR"/>
              </w:rPr>
              <w:t xml:space="preserve">I: </w:t>
            </w:r>
            <w:r w:rsidR="005179BF" w:rsidRPr="005179BF">
              <w:rPr>
                <w:sz w:val="16"/>
                <w:szCs w:val="16"/>
                <w:lang w:val="en-GB" w:eastAsia="hr-HR"/>
              </w:rPr>
              <w:t>Ms. LaksmiDewanthi/Mr. Karliansyah</w:t>
            </w:r>
          </w:p>
          <w:p w14:paraId="5966ED5A" w14:textId="77777777" w:rsidR="00683A1F" w:rsidRPr="00B62FD7" w:rsidRDefault="00683A1F" w:rsidP="00683A1F">
            <w:pPr>
              <w:spacing w:before="120" w:after="120"/>
              <w:rPr>
                <w:sz w:val="16"/>
                <w:szCs w:val="16"/>
                <w:lang w:val="es-AR" w:eastAsia="hr-HR"/>
              </w:rPr>
            </w:pPr>
            <w:r w:rsidRPr="00B62FD7">
              <w:rPr>
                <w:sz w:val="16"/>
                <w:szCs w:val="16"/>
                <w:lang w:val="es-AR" w:eastAsia="hr-HR"/>
              </w:rPr>
              <w:t>P: Ms. Analiza REBUELTA - TEH</w:t>
            </w:r>
          </w:p>
          <w:p w14:paraId="5CAC7381" w14:textId="77777777" w:rsidR="00683A1F" w:rsidRPr="00B62FD7" w:rsidRDefault="00683A1F" w:rsidP="00683A1F">
            <w:pPr>
              <w:spacing w:before="120" w:after="120"/>
              <w:rPr>
                <w:sz w:val="16"/>
                <w:szCs w:val="16"/>
                <w:lang w:val="es-AR" w:eastAsia="hr-HR"/>
              </w:rPr>
            </w:pPr>
            <w:r w:rsidRPr="00B62FD7">
              <w:rPr>
                <w:sz w:val="16"/>
                <w:szCs w:val="16"/>
                <w:lang w:val="es-AR" w:eastAsia="hr-HR"/>
              </w:rPr>
              <w:t xml:space="preserve">T: </w:t>
            </w:r>
            <w:r w:rsidR="00A44210" w:rsidRPr="00B62FD7">
              <w:rPr>
                <w:sz w:val="16"/>
                <w:szCs w:val="16"/>
                <w:lang w:val="es-AR" w:eastAsia="hr-HR"/>
              </w:rPr>
              <w:t>Dr. Kasemsun CHINNAVASO</w:t>
            </w:r>
          </w:p>
          <w:p w14:paraId="5ED80596" w14:textId="77777777" w:rsidR="00683A1F" w:rsidRPr="00683A1F" w:rsidRDefault="00683A1F" w:rsidP="00683A1F">
            <w:pPr>
              <w:spacing w:before="120" w:after="120"/>
              <w:rPr>
                <w:sz w:val="16"/>
                <w:szCs w:val="16"/>
                <w:lang w:val="en-GB" w:eastAsia="hr-HR"/>
              </w:rPr>
            </w:pPr>
            <w:r w:rsidRPr="00683A1F">
              <w:rPr>
                <w:sz w:val="16"/>
                <w:szCs w:val="16"/>
                <w:lang w:val="en-GB" w:eastAsia="hr-HR"/>
              </w:rPr>
              <w:t>V: Dr. Mr. Nam Thang DO</w:t>
            </w:r>
          </w:p>
          <w:p w14:paraId="205B30A6" w14:textId="77777777" w:rsidR="00683A1F" w:rsidRPr="00683A1F" w:rsidRDefault="00683A1F" w:rsidP="00683A1F">
            <w:pPr>
              <w:spacing w:before="120" w:after="120"/>
              <w:rPr>
                <w:sz w:val="16"/>
                <w:szCs w:val="16"/>
                <w:lang w:val="en-GB" w:eastAsia="hr-HR"/>
              </w:rPr>
            </w:pPr>
            <w:r w:rsidRPr="00683A1F">
              <w:rPr>
                <w:sz w:val="16"/>
                <w:szCs w:val="16"/>
                <w:lang w:val="en-GB" w:eastAsia="hr-HR"/>
              </w:rPr>
              <w:t>R: Project Director</w:t>
            </w:r>
          </w:p>
        </w:tc>
        <w:tc>
          <w:tcPr>
            <w:tcW w:w="3115" w:type="dxa"/>
            <w:vAlign w:val="center"/>
          </w:tcPr>
          <w:p w14:paraId="65660C05" w14:textId="77777777" w:rsidR="00683A1F" w:rsidRPr="00683A1F" w:rsidRDefault="00683A1F" w:rsidP="00683A1F">
            <w:pPr>
              <w:spacing w:before="60" w:after="120"/>
              <w:jc w:val="center"/>
              <w:rPr>
                <w:sz w:val="16"/>
                <w:szCs w:val="16"/>
                <w:lang w:val="en-GB" w:eastAsia="hr-HR"/>
              </w:rPr>
            </w:pPr>
            <w:r w:rsidRPr="00683A1F">
              <w:rPr>
                <w:sz w:val="16"/>
                <w:szCs w:val="16"/>
                <w:lang w:val="en-GB" w:eastAsia="hr-HR"/>
              </w:rPr>
              <w:t>Country and component reports to PSC and PCU</w:t>
            </w:r>
          </w:p>
        </w:tc>
      </w:tr>
      <w:tr w:rsidR="00683A1F" w:rsidRPr="00683A1F" w14:paraId="1A2A9533" w14:textId="77777777" w:rsidTr="00D5094C">
        <w:trPr>
          <w:cantSplit/>
          <w:trHeight w:val="564"/>
          <w:jc w:val="center"/>
        </w:trPr>
        <w:tc>
          <w:tcPr>
            <w:tcW w:w="2495" w:type="dxa"/>
          </w:tcPr>
          <w:p w14:paraId="6031ACE0" w14:textId="77777777" w:rsidR="00683A1F" w:rsidRPr="00683A1F" w:rsidRDefault="00683A1F" w:rsidP="00683A1F">
            <w:pPr>
              <w:spacing w:before="60" w:after="120"/>
              <w:ind w:left="360" w:hanging="180"/>
              <w:rPr>
                <w:sz w:val="16"/>
                <w:szCs w:val="16"/>
                <w:lang w:val="en-GB" w:eastAsia="hr-HR"/>
              </w:rPr>
            </w:pPr>
            <w:r w:rsidRPr="00683A1F">
              <w:rPr>
                <w:sz w:val="16"/>
                <w:szCs w:val="16"/>
                <w:lang w:val="en-GB" w:eastAsia="hr-HR"/>
              </w:rPr>
              <w:t>Preparation of Expenditure Statements (including co-financing):</w:t>
            </w:r>
          </w:p>
          <w:p w14:paraId="6CC204CF" w14:textId="77777777" w:rsidR="00683A1F" w:rsidRPr="00B62FD7" w:rsidRDefault="00683A1F" w:rsidP="00683A1F">
            <w:pPr>
              <w:spacing w:before="120" w:after="120"/>
              <w:ind w:left="360" w:hanging="180"/>
              <w:rPr>
                <w:sz w:val="16"/>
                <w:szCs w:val="16"/>
                <w:lang w:val="pt-BR" w:eastAsia="hr-HR"/>
              </w:rPr>
            </w:pPr>
            <w:r w:rsidRPr="00B62FD7">
              <w:rPr>
                <w:sz w:val="16"/>
                <w:szCs w:val="16"/>
                <w:lang w:val="pt-BR" w:eastAsia="hr-HR"/>
              </w:rPr>
              <w:t>China (C1)</w:t>
            </w:r>
          </w:p>
          <w:p w14:paraId="6A3F6791" w14:textId="77777777" w:rsidR="00683A1F" w:rsidRPr="00B62FD7" w:rsidRDefault="00683A1F" w:rsidP="00683A1F">
            <w:pPr>
              <w:spacing w:before="120" w:after="120"/>
              <w:ind w:left="360" w:hanging="180"/>
              <w:rPr>
                <w:sz w:val="16"/>
                <w:szCs w:val="16"/>
                <w:lang w:val="pt-BR" w:eastAsia="hr-HR"/>
              </w:rPr>
            </w:pPr>
            <w:r w:rsidRPr="00B62FD7">
              <w:rPr>
                <w:sz w:val="16"/>
                <w:szCs w:val="16"/>
                <w:lang w:val="pt-BR" w:eastAsia="hr-HR"/>
              </w:rPr>
              <w:t>Cambodia (C2)</w:t>
            </w:r>
          </w:p>
          <w:p w14:paraId="1D7514F2" w14:textId="77777777" w:rsidR="00683A1F" w:rsidRPr="00B62FD7" w:rsidRDefault="00683A1F" w:rsidP="00683A1F">
            <w:pPr>
              <w:spacing w:before="120" w:after="120"/>
              <w:ind w:left="360" w:hanging="180"/>
              <w:rPr>
                <w:sz w:val="16"/>
                <w:szCs w:val="16"/>
                <w:lang w:val="pt-BR" w:eastAsia="hr-HR"/>
              </w:rPr>
            </w:pPr>
            <w:r w:rsidRPr="00B62FD7">
              <w:rPr>
                <w:sz w:val="16"/>
                <w:szCs w:val="16"/>
                <w:lang w:val="pt-BR" w:eastAsia="hr-HR"/>
              </w:rPr>
              <w:t>Indonesia  (I)</w:t>
            </w:r>
          </w:p>
          <w:p w14:paraId="2FB157A4" w14:textId="77777777" w:rsidR="00683A1F" w:rsidRPr="00683A1F" w:rsidRDefault="00683A1F" w:rsidP="00683A1F">
            <w:pPr>
              <w:spacing w:before="120" w:after="120"/>
              <w:ind w:left="360" w:hanging="180"/>
              <w:rPr>
                <w:sz w:val="16"/>
                <w:szCs w:val="16"/>
                <w:lang w:val="en-GB" w:eastAsia="hr-HR"/>
              </w:rPr>
            </w:pPr>
            <w:r w:rsidRPr="00683A1F">
              <w:rPr>
                <w:sz w:val="16"/>
                <w:szCs w:val="16"/>
                <w:lang w:val="en-GB" w:eastAsia="hr-HR"/>
              </w:rPr>
              <w:t>Philippines (P)</w:t>
            </w:r>
          </w:p>
          <w:p w14:paraId="417BEC3F" w14:textId="77777777" w:rsidR="00683A1F" w:rsidRPr="00683A1F" w:rsidRDefault="00683A1F" w:rsidP="00683A1F">
            <w:pPr>
              <w:spacing w:before="120" w:after="120"/>
              <w:ind w:left="360" w:hanging="180"/>
              <w:rPr>
                <w:sz w:val="16"/>
                <w:szCs w:val="16"/>
                <w:lang w:val="en-GB" w:eastAsia="hr-HR"/>
              </w:rPr>
            </w:pPr>
            <w:r w:rsidRPr="00683A1F">
              <w:rPr>
                <w:sz w:val="16"/>
                <w:szCs w:val="16"/>
                <w:lang w:val="en-GB" w:eastAsia="hr-HR"/>
              </w:rPr>
              <w:t>Thailand (T)</w:t>
            </w:r>
          </w:p>
          <w:p w14:paraId="4A22F32B" w14:textId="77777777" w:rsidR="00683A1F" w:rsidRPr="00683A1F" w:rsidRDefault="00683A1F" w:rsidP="00683A1F">
            <w:pPr>
              <w:spacing w:before="120" w:after="120"/>
              <w:ind w:left="360" w:hanging="180"/>
              <w:rPr>
                <w:sz w:val="16"/>
                <w:szCs w:val="16"/>
                <w:lang w:val="en-GB" w:eastAsia="hr-HR"/>
              </w:rPr>
            </w:pPr>
            <w:r w:rsidRPr="00683A1F">
              <w:rPr>
                <w:sz w:val="16"/>
                <w:szCs w:val="16"/>
                <w:lang w:val="en-GB" w:eastAsia="hr-HR"/>
              </w:rPr>
              <w:t>Vietnam (V)</w:t>
            </w:r>
          </w:p>
          <w:p w14:paraId="39D7A0FF" w14:textId="77777777" w:rsidR="00683A1F" w:rsidRPr="00683A1F" w:rsidRDefault="00683A1F" w:rsidP="00683A1F">
            <w:pPr>
              <w:spacing w:before="60" w:after="120"/>
              <w:ind w:left="360" w:hanging="180"/>
              <w:rPr>
                <w:sz w:val="16"/>
                <w:szCs w:val="16"/>
                <w:lang w:val="en-GB" w:eastAsia="hr-HR"/>
              </w:rPr>
            </w:pPr>
            <w:r w:rsidRPr="00683A1F">
              <w:rPr>
                <w:sz w:val="16"/>
                <w:szCs w:val="16"/>
                <w:lang w:val="en-GB" w:eastAsia="hr-HR"/>
              </w:rPr>
              <w:t>Regional (R)</w:t>
            </w:r>
          </w:p>
        </w:tc>
        <w:tc>
          <w:tcPr>
            <w:tcW w:w="4680" w:type="dxa"/>
          </w:tcPr>
          <w:p w14:paraId="20483174"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National Agency/Regional Project Coordination Unit:</w:t>
            </w:r>
          </w:p>
          <w:p w14:paraId="0C9DE850" w14:textId="77777777" w:rsidR="00683A1F" w:rsidRPr="00683A1F" w:rsidRDefault="00683A1F" w:rsidP="00683A1F">
            <w:pPr>
              <w:keepNext/>
              <w:spacing w:before="120" w:after="80"/>
              <w:rPr>
                <w:sz w:val="16"/>
                <w:szCs w:val="16"/>
                <w:lang w:val="en-GB" w:eastAsia="hr-HR"/>
              </w:rPr>
            </w:pPr>
          </w:p>
          <w:p w14:paraId="20E60F3E"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C1: Ministry of Environment</w:t>
            </w:r>
          </w:p>
          <w:p w14:paraId="34E3909F"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C2: Ministry of Environment</w:t>
            </w:r>
          </w:p>
          <w:p w14:paraId="192FE819"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I: Ministry of Environment</w:t>
            </w:r>
          </w:p>
          <w:p w14:paraId="5DE7D3BB"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P: Department of Environment and Natural Resources</w:t>
            </w:r>
          </w:p>
          <w:p w14:paraId="21B2A62B"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T: Ministry of Natural Resources and Environment</w:t>
            </w:r>
          </w:p>
          <w:p w14:paraId="5D9D956A"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V: Ministry of Natural Resources and Environment</w:t>
            </w:r>
          </w:p>
          <w:p w14:paraId="0179DC87" w14:textId="77777777" w:rsidR="00683A1F" w:rsidRPr="00683A1F" w:rsidRDefault="00683A1F" w:rsidP="00683A1F">
            <w:pPr>
              <w:keepNext/>
              <w:spacing w:before="120" w:after="120"/>
              <w:rPr>
                <w:sz w:val="16"/>
                <w:szCs w:val="16"/>
                <w:lang w:val="en-GB" w:eastAsia="hr-HR"/>
              </w:rPr>
            </w:pPr>
            <w:r w:rsidRPr="00683A1F">
              <w:rPr>
                <w:sz w:val="16"/>
                <w:szCs w:val="16"/>
                <w:lang w:val="en-GB" w:eastAsia="hr-HR"/>
              </w:rPr>
              <w:t>R: PCU/COBSEA</w:t>
            </w:r>
          </w:p>
        </w:tc>
        <w:tc>
          <w:tcPr>
            <w:tcW w:w="3060" w:type="dxa"/>
          </w:tcPr>
          <w:p w14:paraId="3B0DD26D" w14:textId="77777777" w:rsidR="00683A1F" w:rsidRPr="00683A1F" w:rsidRDefault="00683A1F" w:rsidP="00683A1F">
            <w:pPr>
              <w:spacing w:before="80"/>
              <w:rPr>
                <w:sz w:val="16"/>
                <w:szCs w:val="16"/>
                <w:lang w:val="en-GB" w:eastAsia="hr-HR"/>
              </w:rPr>
            </w:pPr>
            <w:r w:rsidRPr="00683A1F">
              <w:rPr>
                <w:sz w:val="16"/>
                <w:szCs w:val="16"/>
                <w:lang w:val="en-GB" w:eastAsia="hr-HR"/>
              </w:rPr>
              <w:t>National Focal Points &amp; Project Director:</w:t>
            </w:r>
          </w:p>
          <w:p w14:paraId="1C4E7FF6" w14:textId="77777777" w:rsidR="00683A1F" w:rsidRPr="00683A1F" w:rsidRDefault="00683A1F" w:rsidP="00683A1F">
            <w:pPr>
              <w:spacing w:before="120" w:after="120"/>
              <w:rPr>
                <w:sz w:val="16"/>
                <w:szCs w:val="16"/>
                <w:lang w:val="en-GB" w:eastAsia="hr-HR"/>
              </w:rPr>
            </w:pPr>
          </w:p>
          <w:p w14:paraId="0A8FAF93" w14:textId="77777777" w:rsidR="00683A1F" w:rsidRPr="00683A1F" w:rsidRDefault="00683A1F" w:rsidP="00683A1F">
            <w:pPr>
              <w:spacing w:before="120" w:after="120"/>
              <w:rPr>
                <w:sz w:val="16"/>
                <w:szCs w:val="16"/>
                <w:lang w:val="en-GB" w:eastAsia="hr-HR"/>
              </w:rPr>
            </w:pPr>
            <w:r w:rsidRPr="00683A1F">
              <w:rPr>
                <w:sz w:val="16"/>
                <w:szCs w:val="16"/>
                <w:lang w:val="en-GB" w:eastAsia="hr-HR"/>
              </w:rPr>
              <w:t xml:space="preserve">C1: </w:t>
            </w:r>
            <w:r w:rsidR="009C7884" w:rsidRPr="009C7884">
              <w:rPr>
                <w:sz w:val="16"/>
                <w:szCs w:val="16"/>
                <w:lang w:val="en-GB" w:eastAsia="hr-HR"/>
              </w:rPr>
              <w:t>Mr. Yingming YANG</w:t>
            </w:r>
          </w:p>
          <w:p w14:paraId="454F5E83" w14:textId="77777777" w:rsidR="00683A1F" w:rsidRPr="00683A1F" w:rsidRDefault="00683A1F" w:rsidP="00683A1F">
            <w:pPr>
              <w:spacing w:before="120" w:after="120"/>
              <w:rPr>
                <w:sz w:val="16"/>
                <w:szCs w:val="16"/>
                <w:lang w:val="en-GB" w:eastAsia="hr-HR"/>
              </w:rPr>
            </w:pPr>
            <w:r w:rsidRPr="00683A1F">
              <w:rPr>
                <w:sz w:val="16"/>
                <w:szCs w:val="16"/>
                <w:lang w:val="en-GB" w:eastAsia="hr-HR"/>
              </w:rPr>
              <w:t>C2: Mr. Lonh HEAL</w:t>
            </w:r>
          </w:p>
          <w:p w14:paraId="10E9A5B4" w14:textId="77777777" w:rsidR="00683A1F" w:rsidRPr="00683A1F" w:rsidRDefault="00683A1F" w:rsidP="00683A1F">
            <w:pPr>
              <w:spacing w:before="120" w:after="120"/>
              <w:rPr>
                <w:sz w:val="16"/>
                <w:szCs w:val="16"/>
                <w:lang w:val="en-GB" w:eastAsia="hr-HR"/>
              </w:rPr>
            </w:pPr>
            <w:r w:rsidRPr="00683A1F">
              <w:rPr>
                <w:sz w:val="16"/>
                <w:szCs w:val="16"/>
                <w:lang w:val="en-GB" w:eastAsia="hr-HR"/>
              </w:rPr>
              <w:t xml:space="preserve">I: </w:t>
            </w:r>
            <w:r w:rsidR="005179BF" w:rsidRPr="005179BF">
              <w:rPr>
                <w:sz w:val="16"/>
                <w:szCs w:val="16"/>
                <w:lang w:val="en-GB" w:eastAsia="hr-HR"/>
              </w:rPr>
              <w:t>Ms. LaksmiDewanthi/Mr. Karliansyah</w:t>
            </w:r>
          </w:p>
          <w:p w14:paraId="6E86A342" w14:textId="77777777" w:rsidR="00683A1F" w:rsidRPr="00B62FD7" w:rsidRDefault="00683A1F" w:rsidP="00683A1F">
            <w:pPr>
              <w:spacing w:before="120" w:after="120"/>
              <w:rPr>
                <w:sz w:val="16"/>
                <w:szCs w:val="16"/>
                <w:lang w:val="es-AR" w:eastAsia="hr-HR"/>
              </w:rPr>
            </w:pPr>
            <w:r w:rsidRPr="00B62FD7">
              <w:rPr>
                <w:sz w:val="16"/>
                <w:szCs w:val="16"/>
                <w:lang w:val="es-AR" w:eastAsia="hr-HR"/>
              </w:rPr>
              <w:t>P: Ms. Analiza REBUELTA - TEH</w:t>
            </w:r>
          </w:p>
          <w:p w14:paraId="3E321602" w14:textId="77777777" w:rsidR="00683A1F" w:rsidRPr="00B62FD7" w:rsidRDefault="00683A1F" w:rsidP="00683A1F">
            <w:pPr>
              <w:spacing w:before="120" w:after="120"/>
              <w:rPr>
                <w:sz w:val="16"/>
                <w:szCs w:val="16"/>
                <w:lang w:val="es-AR" w:eastAsia="hr-HR"/>
              </w:rPr>
            </w:pPr>
            <w:r w:rsidRPr="00B62FD7">
              <w:rPr>
                <w:sz w:val="16"/>
                <w:szCs w:val="16"/>
                <w:lang w:val="es-AR" w:eastAsia="hr-HR"/>
              </w:rPr>
              <w:t xml:space="preserve">T: </w:t>
            </w:r>
            <w:r w:rsidR="00A44210" w:rsidRPr="00B62FD7">
              <w:rPr>
                <w:sz w:val="16"/>
                <w:szCs w:val="16"/>
                <w:lang w:val="es-AR" w:eastAsia="hr-HR"/>
              </w:rPr>
              <w:t>Dr. Kasemsun CHINNAVASO</w:t>
            </w:r>
          </w:p>
          <w:p w14:paraId="22832E75" w14:textId="77777777" w:rsidR="00683A1F" w:rsidRPr="00683A1F" w:rsidRDefault="00683A1F" w:rsidP="00683A1F">
            <w:pPr>
              <w:spacing w:before="120" w:after="120"/>
              <w:rPr>
                <w:sz w:val="16"/>
                <w:szCs w:val="16"/>
                <w:lang w:val="en-GB" w:eastAsia="hr-HR"/>
              </w:rPr>
            </w:pPr>
            <w:r w:rsidRPr="00683A1F">
              <w:rPr>
                <w:sz w:val="16"/>
                <w:szCs w:val="16"/>
                <w:lang w:val="en-GB" w:eastAsia="hr-HR"/>
              </w:rPr>
              <w:t>V: Dr. Mr. Nam Thang DO</w:t>
            </w:r>
          </w:p>
          <w:p w14:paraId="1D9A0F47" w14:textId="77777777" w:rsidR="00683A1F" w:rsidRPr="00683A1F" w:rsidRDefault="00683A1F" w:rsidP="00683A1F">
            <w:pPr>
              <w:spacing w:before="120" w:after="120"/>
              <w:rPr>
                <w:sz w:val="16"/>
                <w:szCs w:val="16"/>
                <w:lang w:val="en-GB" w:eastAsia="hr-HR"/>
              </w:rPr>
            </w:pPr>
            <w:r w:rsidRPr="00683A1F">
              <w:rPr>
                <w:sz w:val="16"/>
                <w:szCs w:val="16"/>
                <w:lang w:val="en-GB" w:eastAsia="hr-HR"/>
              </w:rPr>
              <w:t>R: Project Director</w:t>
            </w:r>
          </w:p>
        </w:tc>
        <w:tc>
          <w:tcPr>
            <w:tcW w:w="3115" w:type="dxa"/>
            <w:vAlign w:val="center"/>
          </w:tcPr>
          <w:p w14:paraId="3A48E94A" w14:textId="77777777" w:rsidR="00683A1F" w:rsidRPr="00683A1F" w:rsidRDefault="00683A1F" w:rsidP="00683A1F">
            <w:pPr>
              <w:spacing w:before="60" w:after="120"/>
              <w:jc w:val="center"/>
              <w:rPr>
                <w:sz w:val="16"/>
                <w:szCs w:val="16"/>
                <w:lang w:val="en-GB" w:eastAsia="hr-HR"/>
              </w:rPr>
            </w:pPr>
            <w:r w:rsidRPr="00683A1F">
              <w:rPr>
                <w:sz w:val="16"/>
                <w:szCs w:val="16"/>
                <w:lang w:val="en-GB" w:eastAsia="hr-HR"/>
              </w:rPr>
              <w:t>UNON-IMIS</w:t>
            </w:r>
          </w:p>
        </w:tc>
      </w:tr>
      <w:tr w:rsidR="00683A1F" w:rsidRPr="00683A1F" w14:paraId="466A14D3" w14:textId="77777777" w:rsidTr="00D5094C">
        <w:trPr>
          <w:cantSplit/>
          <w:trHeight w:val="1580"/>
          <w:jc w:val="center"/>
        </w:trPr>
        <w:tc>
          <w:tcPr>
            <w:tcW w:w="2495" w:type="dxa"/>
          </w:tcPr>
          <w:p w14:paraId="6EAA8CC8" w14:textId="77777777" w:rsidR="00683A1F" w:rsidRPr="00683A1F" w:rsidRDefault="00683A1F" w:rsidP="00683A1F">
            <w:pPr>
              <w:spacing w:before="60" w:after="120"/>
              <w:ind w:left="360" w:hanging="180"/>
              <w:rPr>
                <w:sz w:val="16"/>
                <w:szCs w:val="16"/>
                <w:lang w:val="en-GB" w:eastAsia="hr-HR"/>
              </w:rPr>
            </w:pPr>
            <w:r w:rsidRPr="00683A1F">
              <w:rPr>
                <w:sz w:val="16"/>
                <w:szCs w:val="16"/>
                <w:lang w:val="en-GB" w:eastAsia="hr-HR"/>
              </w:rPr>
              <w:t>Preparation of counterpart contribution reports:</w:t>
            </w:r>
          </w:p>
          <w:p w14:paraId="1FE7CAE5" w14:textId="77777777" w:rsidR="00683A1F" w:rsidRPr="00B62FD7" w:rsidRDefault="00683A1F" w:rsidP="00683A1F">
            <w:pPr>
              <w:spacing w:before="120" w:after="120"/>
              <w:ind w:left="360" w:hanging="180"/>
              <w:rPr>
                <w:sz w:val="16"/>
                <w:szCs w:val="16"/>
                <w:lang w:val="pt-BR" w:eastAsia="hr-HR"/>
              </w:rPr>
            </w:pPr>
            <w:r w:rsidRPr="00B62FD7">
              <w:rPr>
                <w:sz w:val="16"/>
                <w:szCs w:val="16"/>
                <w:lang w:val="pt-BR" w:eastAsia="hr-HR"/>
              </w:rPr>
              <w:t>China (C1)</w:t>
            </w:r>
          </w:p>
          <w:p w14:paraId="1A5F7EF2" w14:textId="77777777" w:rsidR="00683A1F" w:rsidRPr="00B62FD7" w:rsidRDefault="00683A1F" w:rsidP="00683A1F">
            <w:pPr>
              <w:spacing w:before="120" w:after="120"/>
              <w:ind w:left="360" w:hanging="180"/>
              <w:rPr>
                <w:sz w:val="16"/>
                <w:szCs w:val="16"/>
                <w:lang w:val="pt-BR" w:eastAsia="hr-HR"/>
              </w:rPr>
            </w:pPr>
            <w:r w:rsidRPr="00B62FD7">
              <w:rPr>
                <w:sz w:val="16"/>
                <w:szCs w:val="16"/>
                <w:lang w:val="pt-BR" w:eastAsia="hr-HR"/>
              </w:rPr>
              <w:t>Cambodia (C2)</w:t>
            </w:r>
          </w:p>
          <w:p w14:paraId="5C95D5E4" w14:textId="77777777" w:rsidR="00683A1F" w:rsidRPr="00B62FD7" w:rsidRDefault="00683A1F" w:rsidP="00683A1F">
            <w:pPr>
              <w:spacing w:before="120" w:after="120"/>
              <w:ind w:left="360" w:hanging="180"/>
              <w:rPr>
                <w:sz w:val="16"/>
                <w:szCs w:val="16"/>
                <w:lang w:val="pt-BR" w:eastAsia="hr-HR"/>
              </w:rPr>
            </w:pPr>
            <w:r w:rsidRPr="00B62FD7">
              <w:rPr>
                <w:sz w:val="16"/>
                <w:szCs w:val="16"/>
                <w:lang w:val="pt-BR" w:eastAsia="hr-HR"/>
              </w:rPr>
              <w:t>Indonesia  (I)</w:t>
            </w:r>
          </w:p>
          <w:p w14:paraId="7B3B6CB5" w14:textId="77777777" w:rsidR="00683A1F" w:rsidRPr="00683A1F" w:rsidRDefault="00683A1F" w:rsidP="00683A1F">
            <w:pPr>
              <w:spacing w:before="120" w:after="120"/>
              <w:ind w:left="360" w:hanging="180"/>
              <w:rPr>
                <w:sz w:val="16"/>
                <w:szCs w:val="16"/>
                <w:lang w:val="en-GB" w:eastAsia="hr-HR"/>
              </w:rPr>
            </w:pPr>
            <w:r w:rsidRPr="00683A1F">
              <w:rPr>
                <w:sz w:val="16"/>
                <w:szCs w:val="16"/>
                <w:lang w:val="en-GB" w:eastAsia="hr-HR"/>
              </w:rPr>
              <w:t>Philippines (P)</w:t>
            </w:r>
          </w:p>
          <w:p w14:paraId="31C656A3" w14:textId="77777777" w:rsidR="00683A1F" w:rsidRPr="00683A1F" w:rsidRDefault="00683A1F" w:rsidP="00683A1F">
            <w:pPr>
              <w:spacing w:before="120" w:after="120"/>
              <w:ind w:left="360" w:hanging="180"/>
              <w:rPr>
                <w:sz w:val="16"/>
                <w:szCs w:val="16"/>
                <w:lang w:val="en-GB" w:eastAsia="hr-HR"/>
              </w:rPr>
            </w:pPr>
            <w:r w:rsidRPr="00683A1F">
              <w:rPr>
                <w:sz w:val="16"/>
                <w:szCs w:val="16"/>
                <w:lang w:val="en-GB" w:eastAsia="hr-HR"/>
              </w:rPr>
              <w:t>Thailand (T)</w:t>
            </w:r>
          </w:p>
          <w:p w14:paraId="20F680DC" w14:textId="77777777" w:rsidR="00683A1F" w:rsidRPr="00683A1F" w:rsidRDefault="00683A1F" w:rsidP="00683A1F">
            <w:pPr>
              <w:spacing w:before="120" w:after="120"/>
              <w:ind w:left="360" w:hanging="180"/>
              <w:rPr>
                <w:sz w:val="16"/>
                <w:szCs w:val="16"/>
                <w:lang w:val="en-GB" w:eastAsia="hr-HR"/>
              </w:rPr>
            </w:pPr>
            <w:r w:rsidRPr="00683A1F">
              <w:rPr>
                <w:sz w:val="16"/>
                <w:szCs w:val="16"/>
                <w:lang w:val="en-GB" w:eastAsia="hr-HR"/>
              </w:rPr>
              <w:t>Vietnam (V)</w:t>
            </w:r>
          </w:p>
          <w:p w14:paraId="2BBA4300" w14:textId="77777777" w:rsidR="00683A1F" w:rsidRPr="00683A1F" w:rsidRDefault="00683A1F" w:rsidP="00683A1F">
            <w:pPr>
              <w:spacing w:before="120" w:after="120"/>
              <w:ind w:left="362" w:hanging="181"/>
              <w:rPr>
                <w:sz w:val="16"/>
                <w:szCs w:val="16"/>
                <w:lang w:val="en-GB" w:eastAsia="hr-HR"/>
              </w:rPr>
            </w:pPr>
            <w:r w:rsidRPr="00683A1F">
              <w:rPr>
                <w:sz w:val="16"/>
                <w:szCs w:val="16"/>
                <w:lang w:val="en-GB" w:eastAsia="hr-HR"/>
              </w:rPr>
              <w:t>Regional (R)</w:t>
            </w:r>
          </w:p>
        </w:tc>
        <w:tc>
          <w:tcPr>
            <w:tcW w:w="4680" w:type="dxa"/>
          </w:tcPr>
          <w:p w14:paraId="23A930FE"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National Agency/Regional Project Coordination Unit:</w:t>
            </w:r>
          </w:p>
          <w:p w14:paraId="2CC93985"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C1: Ministry of Environment</w:t>
            </w:r>
          </w:p>
          <w:p w14:paraId="3EB07477"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C2: Ministry of Environment</w:t>
            </w:r>
          </w:p>
          <w:p w14:paraId="1270C835"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I: Ministry of Environment</w:t>
            </w:r>
          </w:p>
          <w:p w14:paraId="0BBD5DF7"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P: Department of Environment and Natural Resources</w:t>
            </w:r>
          </w:p>
          <w:p w14:paraId="7ACA95DB"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T: Ministry of Natural Resources and Environment</w:t>
            </w:r>
          </w:p>
          <w:p w14:paraId="48E3FD8D"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V: Ministry of Natural Resources and Environment</w:t>
            </w:r>
          </w:p>
          <w:p w14:paraId="6D82E1F6" w14:textId="77777777" w:rsidR="00683A1F" w:rsidRPr="00683A1F" w:rsidRDefault="00683A1F" w:rsidP="00683A1F">
            <w:pPr>
              <w:keepNext/>
              <w:spacing w:before="120" w:after="120"/>
              <w:rPr>
                <w:sz w:val="16"/>
                <w:szCs w:val="16"/>
                <w:lang w:val="en-GB" w:eastAsia="hr-HR"/>
              </w:rPr>
            </w:pPr>
            <w:r w:rsidRPr="00683A1F">
              <w:rPr>
                <w:sz w:val="16"/>
                <w:szCs w:val="16"/>
                <w:lang w:val="en-GB" w:eastAsia="hr-HR"/>
              </w:rPr>
              <w:t>R: PCU/COBSEA</w:t>
            </w:r>
          </w:p>
        </w:tc>
        <w:tc>
          <w:tcPr>
            <w:tcW w:w="3060" w:type="dxa"/>
          </w:tcPr>
          <w:p w14:paraId="51238F1B" w14:textId="77777777" w:rsidR="00683A1F" w:rsidRPr="00683A1F" w:rsidRDefault="00683A1F" w:rsidP="00683A1F">
            <w:pPr>
              <w:spacing w:before="80"/>
              <w:rPr>
                <w:sz w:val="16"/>
                <w:szCs w:val="16"/>
                <w:lang w:val="en-GB" w:eastAsia="hr-HR"/>
              </w:rPr>
            </w:pPr>
            <w:r w:rsidRPr="00683A1F">
              <w:rPr>
                <w:sz w:val="16"/>
                <w:szCs w:val="16"/>
                <w:lang w:val="en-GB" w:eastAsia="hr-HR"/>
              </w:rPr>
              <w:t>National Focal Points &amp; Project Director:</w:t>
            </w:r>
          </w:p>
          <w:p w14:paraId="5C35D8A5" w14:textId="77777777" w:rsidR="00683A1F" w:rsidRPr="00683A1F" w:rsidRDefault="00683A1F" w:rsidP="00683A1F">
            <w:pPr>
              <w:spacing w:before="120" w:after="120"/>
              <w:rPr>
                <w:sz w:val="16"/>
                <w:szCs w:val="16"/>
                <w:lang w:val="en-GB" w:eastAsia="hr-HR"/>
              </w:rPr>
            </w:pPr>
            <w:r w:rsidRPr="00683A1F">
              <w:rPr>
                <w:sz w:val="16"/>
                <w:szCs w:val="16"/>
                <w:lang w:val="en-GB" w:eastAsia="hr-HR"/>
              </w:rPr>
              <w:t xml:space="preserve">C1: </w:t>
            </w:r>
            <w:r w:rsidR="009C7884" w:rsidRPr="009C7884">
              <w:rPr>
                <w:sz w:val="16"/>
                <w:szCs w:val="16"/>
                <w:lang w:val="en-GB" w:eastAsia="hr-HR"/>
              </w:rPr>
              <w:t>Mr. Yingming YANG</w:t>
            </w:r>
          </w:p>
          <w:p w14:paraId="18C529FB" w14:textId="77777777" w:rsidR="00683A1F" w:rsidRPr="00683A1F" w:rsidRDefault="00683A1F" w:rsidP="00683A1F">
            <w:pPr>
              <w:spacing w:before="120" w:after="120"/>
              <w:rPr>
                <w:sz w:val="16"/>
                <w:szCs w:val="16"/>
                <w:lang w:val="en-GB" w:eastAsia="hr-HR"/>
              </w:rPr>
            </w:pPr>
            <w:r w:rsidRPr="00683A1F">
              <w:rPr>
                <w:sz w:val="16"/>
                <w:szCs w:val="16"/>
                <w:lang w:val="en-GB" w:eastAsia="hr-HR"/>
              </w:rPr>
              <w:t>C2: Mr. Lonh HEAL</w:t>
            </w:r>
          </w:p>
          <w:p w14:paraId="5EE83535" w14:textId="77777777" w:rsidR="00683A1F" w:rsidRPr="00683A1F" w:rsidRDefault="00683A1F" w:rsidP="00683A1F">
            <w:pPr>
              <w:spacing w:before="120" w:after="120"/>
              <w:rPr>
                <w:sz w:val="16"/>
                <w:szCs w:val="16"/>
                <w:lang w:val="en-GB" w:eastAsia="hr-HR"/>
              </w:rPr>
            </w:pPr>
            <w:r w:rsidRPr="00683A1F">
              <w:rPr>
                <w:sz w:val="16"/>
                <w:szCs w:val="16"/>
                <w:lang w:val="en-GB" w:eastAsia="hr-HR"/>
              </w:rPr>
              <w:t>I: Ms. Tuti Hendrawati MINTARSIH</w:t>
            </w:r>
          </w:p>
          <w:p w14:paraId="0D4E26D9" w14:textId="77777777" w:rsidR="00683A1F" w:rsidRPr="00683A1F" w:rsidRDefault="00683A1F" w:rsidP="00683A1F">
            <w:pPr>
              <w:spacing w:before="120" w:after="120"/>
              <w:rPr>
                <w:sz w:val="16"/>
                <w:szCs w:val="16"/>
                <w:lang w:val="en-GB" w:eastAsia="hr-HR"/>
              </w:rPr>
            </w:pPr>
            <w:r w:rsidRPr="00683A1F">
              <w:rPr>
                <w:sz w:val="16"/>
                <w:szCs w:val="16"/>
                <w:lang w:val="en-GB" w:eastAsia="hr-HR"/>
              </w:rPr>
              <w:t>P: Ms. Analiza REBUELTA - TEH</w:t>
            </w:r>
          </w:p>
          <w:p w14:paraId="0A34F83A" w14:textId="77777777" w:rsidR="00683A1F" w:rsidRPr="00683A1F" w:rsidRDefault="00683A1F" w:rsidP="00683A1F">
            <w:pPr>
              <w:spacing w:before="120" w:after="120"/>
              <w:rPr>
                <w:sz w:val="16"/>
                <w:szCs w:val="16"/>
                <w:lang w:val="en-GB" w:eastAsia="hr-HR"/>
              </w:rPr>
            </w:pPr>
            <w:r w:rsidRPr="00683A1F">
              <w:rPr>
                <w:sz w:val="16"/>
                <w:szCs w:val="16"/>
                <w:lang w:val="en-GB" w:eastAsia="hr-HR"/>
              </w:rPr>
              <w:t>T: Mrs. Mingquan WICHAYARANGSARIDH</w:t>
            </w:r>
          </w:p>
          <w:p w14:paraId="2D236EB0" w14:textId="77777777" w:rsidR="00683A1F" w:rsidRPr="00683A1F" w:rsidRDefault="00683A1F" w:rsidP="00683A1F">
            <w:pPr>
              <w:spacing w:before="120" w:after="120"/>
              <w:rPr>
                <w:sz w:val="16"/>
                <w:szCs w:val="16"/>
                <w:lang w:val="en-GB" w:eastAsia="hr-HR"/>
              </w:rPr>
            </w:pPr>
            <w:r w:rsidRPr="00683A1F">
              <w:rPr>
                <w:sz w:val="16"/>
                <w:szCs w:val="16"/>
                <w:lang w:val="en-GB" w:eastAsia="hr-HR"/>
              </w:rPr>
              <w:t>V: Dr. Mr. Nam Thang DO</w:t>
            </w:r>
          </w:p>
          <w:p w14:paraId="435A1075" w14:textId="77777777" w:rsidR="00683A1F" w:rsidRPr="00683A1F" w:rsidRDefault="00683A1F" w:rsidP="00683A1F">
            <w:pPr>
              <w:spacing w:before="120" w:after="120"/>
              <w:rPr>
                <w:sz w:val="16"/>
                <w:szCs w:val="16"/>
                <w:lang w:val="en-GB" w:eastAsia="hr-HR"/>
              </w:rPr>
            </w:pPr>
            <w:r w:rsidRPr="00683A1F">
              <w:rPr>
                <w:sz w:val="16"/>
                <w:szCs w:val="16"/>
                <w:lang w:val="en-GB" w:eastAsia="hr-HR"/>
              </w:rPr>
              <w:t>R: Project Director</w:t>
            </w:r>
          </w:p>
        </w:tc>
        <w:tc>
          <w:tcPr>
            <w:tcW w:w="3115" w:type="dxa"/>
            <w:vAlign w:val="center"/>
          </w:tcPr>
          <w:p w14:paraId="71362D05" w14:textId="77777777" w:rsidR="00683A1F" w:rsidRPr="00683A1F" w:rsidRDefault="00683A1F" w:rsidP="00683A1F">
            <w:pPr>
              <w:spacing w:before="60" w:after="120"/>
              <w:jc w:val="center"/>
              <w:rPr>
                <w:sz w:val="16"/>
                <w:szCs w:val="16"/>
                <w:lang w:val="en-GB" w:eastAsia="hr-HR"/>
              </w:rPr>
            </w:pPr>
            <w:r w:rsidRPr="00683A1F">
              <w:rPr>
                <w:sz w:val="16"/>
                <w:szCs w:val="16"/>
                <w:lang w:val="en-GB" w:eastAsia="hr-HR"/>
              </w:rPr>
              <w:t>Reports on co-financing to the PSC</w:t>
            </w:r>
          </w:p>
        </w:tc>
      </w:tr>
      <w:tr w:rsidR="00683A1F" w:rsidRPr="00683A1F" w14:paraId="459940E3" w14:textId="77777777" w:rsidTr="00D5094C">
        <w:trPr>
          <w:cantSplit/>
          <w:trHeight w:val="767"/>
          <w:jc w:val="center"/>
        </w:trPr>
        <w:tc>
          <w:tcPr>
            <w:tcW w:w="2495" w:type="dxa"/>
          </w:tcPr>
          <w:p w14:paraId="6EADADCE" w14:textId="77777777" w:rsidR="00683A1F" w:rsidRPr="00683A1F" w:rsidRDefault="00683A1F" w:rsidP="00683A1F">
            <w:pPr>
              <w:spacing w:before="60" w:after="160"/>
              <w:ind w:left="362" w:hanging="181"/>
              <w:rPr>
                <w:sz w:val="16"/>
                <w:szCs w:val="16"/>
                <w:lang w:val="en-GB" w:eastAsia="hr-HR"/>
              </w:rPr>
            </w:pPr>
            <w:r w:rsidRPr="00683A1F">
              <w:rPr>
                <w:sz w:val="16"/>
                <w:szCs w:val="16"/>
                <w:lang w:val="en-GB" w:eastAsia="hr-HR"/>
              </w:rPr>
              <w:t>On-site supervision of Component Activities:</w:t>
            </w:r>
          </w:p>
          <w:p w14:paraId="17F198CC" w14:textId="77777777" w:rsidR="00683A1F" w:rsidRPr="00B62FD7" w:rsidRDefault="00683A1F" w:rsidP="00683A1F">
            <w:pPr>
              <w:spacing w:before="120" w:after="120"/>
              <w:ind w:left="360" w:hanging="180"/>
              <w:rPr>
                <w:sz w:val="16"/>
                <w:szCs w:val="16"/>
                <w:lang w:val="pt-BR" w:eastAsia="hr-HR"/>
              </w:rPr>
            </w:pPr>
            <w:r w:rsidRPr="00B62FD7">
              <w:rPr>
                <w:sz w:val="16"/>
                <w:szCs w:val="16"/>
                <w:lang w:val="pt-BR" w:eastAsia="hr-HR"/>
              </w:rPr>
              <w:t>China (C1)</w:t>
            </w:r>
          </w:p>
          <w:p w14:paraId="2A7F7F63" w14:textId="77777777" w:rsidR="00683A1F" w:rsidRPr="00B62FD7" w:rsidRDefault="00683A1F" w:rsidP="00683A1F">
            <w:pPr>
              <w:spacing w:before="120" w:after="120"/>
              <w:ind w:left="360" w:hanging="180"/>
              <w:rPr>
                <w:sz w:val="16"/>
                <w:szCs w:val="16"/>
                <w:lang w:val="pt-BR" w:eastAsia="hr-HR"/>
              </w:rPr>
            </w:pPr>
            <w:r w:rsidRPr="00B62FD7">
              <w:rPr>
                <w:sz w:val="16"/>
                <w:szCs w:val="16"/>
                <w:lang w:val="pt-BR" w:eastAsia="hr-HR"/>
              </w:rPr>
              <w:t>Cambodia (C2)</w:t>
            </w:r>
          </w:p>
          <w:p w14:paraId="7846B20F" w14:textId="77777777" w:rsidR="00683A1F" w:rsidRPr="00B62FD7" w:rsidRDefault="00683A1F" w:rsidP="00683A1F">
            <w:pPr>
              <w:spacing w:before="120" w:after="120"/>
              <w:ind w:left="360" w:hanging="180"/>
              <w:rPr>
                <w:sz w:val="16"/>
                <w:szCs w:val="16"/>
                <w:lang w:val="pt-BR" w:eastAsia="hr-HR"/>
              </w:rPr>
            </w:pPr>
            <w:r w:rsidRPr="00B62FD7">
              <w:rPr>
                <w:sz w:val="16"/>
                <w:szCs w:val="16"/>
                <w:lang w:val="pt-BR" w:eastAsia="hr-HR"/>
              </w:rPr>
              <w:t>Indonesia  (I)</w:t>
            </w:r>
          </w:p>
          <w:p w14:paraId="4B29D306" w14:textId="77777777" w:rsidR="00683A1F" w:rsidRPr="00683A1F" w:rsidRDefault="00683A1F" w:rsidP="00683A1F">
            <w:pPr>
              <w:spacing w:before="120" w:after="120"/>
              <w:ind w:left="360" w:hanging="180"/>
              <w:rPr>
                <w:sz w:val="16"/>
                <w:szCs w:val="16"/>
                <w:lang w:val="en-GB" w:eastAsia="hr-HR"/>
              </w:rPr>
            </w:pPr>
            <w:r w:rsidRPr="00683A1F">
              <w:rPr>
                <w:sz w:val="16"/>
                <w:szCs w:val="16"/>
                <w:lang w:val="en-GB" w:eastAsia="hr-HR"/>
              </w:rPr>
              <w:t>Philippines (P)</w:t>
            </w:r>
          </w:p>
          <w:p w14:paraId="1E916479" w14:textId="77777777" w:rsidR="00683A1F" w:rsidRPr="00683A1F" w:rsidRDefault="00683A1F" w:rsidP="00683A1F">
            <w:pPr>
              <w:spacing w:before="120" w:after="120"/>
              <w:ind w:left="360" w:hanging="180"/>
              <w:rPr>
                <w:sz w:val="16"/>
                <w:szCs w:val="16"/>
                <w:lang w:val="en-GB" w:eastAsia="hr-HR"/>
              </w:rPr>
            </w:pPr>
            <w:r w:rsidRPr="00683A1F">
              <w:rPr>
                <w:sz w:val="16"/>
                <w:szCs w:val="16"/>
                <w:lang w:val="en-GB" w:eastAsia="hr-HR"/>
              </w:rPr>
              <w:t>Thailand (T)</w:t>
            </w:r>
          </w:p>
          <w:p w14:paraId="4AC840E3" w14:textId="77777777" w:rsidR="00683A1F" w:rsidRPr="00683A1F" w:rsidRDefault="00683A1F" w:rsidP="00683A1F">
            <w:pPr>
              <w:spacing w:before="120" w:after="120"/>
              <w:ind w:left="360" w:hanging="180"/>
              <w:rPr>
                <w:sz w:val="16"/>
                <w:szCs w:val="16"/>
                <w:lang w:val="en-GB" w:eastAsia="hr-HR"/>
              </w:rPr>
            </w:pPr>
            <w:r w:rsidRPr="00683A1F">
              <w:rPr>
                <w:sz w:val="16"/>
                <w:szCs w:val="16"/>
                <w:lang w:val="en-GB" w:eastAsia="hr-HR"/>
              </w:rPr>
              <w:t>Vietnam (V)</w:t>
            </w:r>
          </w:p>
          <w:p w14:paraId="7F6E1083" w14:textId="77777777" w:rsidR="00683A1F" w:rsidRPr="00683A1F" w:rsidRDefault="00683A1F" w:rsidP="00683A1F">
            <w:pPr>
              <w:spacing w:before="60" w:after="120"/>
              <w:ind w:left="360" w:hanging="180"/>
              <w:rPr>
                <w:sz w:val="16"/>
                <w:szCs w:val="16"/>
                <w:lang w:val="en-GB" w:eastAsia="hr-HR"/>
              </w:rPr>
            </w:pPr>
            <w:r w:rsidRPr="00683A1F">
              <w:rPr>
                <w:sz w:val="16"/>
                <w:szCs w:val="16"/>
                <w:lang w:val="en-GB" w:eastAsia="hr-HR"/>
              </w:rPr>
              <w:t>Regional (R)</w:t>
            </w:r>
          </w:p>
        </w:tc>
        <w:tc>
          <w:tcPr>
            <w:tcW w:w="4680" w:type="dxa"/>
          </w:tcPr>
          <w:p w14:paraId="3C7C7FCE"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National Agency/Regional Project Coordination Unit:</w:t>
            </w:r>
          </w:p>
          <w:p w14:paraId="0F3FD263" w14:textId="77777777" w:rsidR="00683A1F" w:rsidRPr="00683A1F" w:rsidRDefault="00683A1F" w:rsidP="00683A1F">
            <w:pPr>
              <w:keepNext/>
              <w:spacing w:before="120" w:after="120"/>
              <w:rPr>
                <w:sz w:val="16"/>
                <w:szCs w:val="16"/>
                <w:lang w:val="en-GB" w:eastAsia="hr-HR"/>
              </w:rPr>
            </w:pPr>
          </w:p>
          <w:p w14:paraId="1E76DD8F"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C1: Ministry of Environment</w:t>
            </w:r>
          </w:p>
          <w:p w14:paraId="511E7643"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C2: Ministry of Environment</w:t>
            </w:r>
          </w:p>
          <w:p w14:paraId="18ABD4D7"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I: Ministry of Environment</w:t>
            </w:r>
          </w:p>
          <w:p w14:paraId="1310F02F"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P: Department of Environment and Natural Resources</w:t>
            </w:r>
          </w:p>
          <w:p w14:paraId="0BDAF7C5"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T: Ministry of Natural Resources and Environment</w:t>
            </w:r>
          </w:p>
          <w:p w14:paraId="6A5FF8FC" w14:textId="77777777" w:rsidR="00683A1F" w:rsidRPr="00683A1F" w:rsidRDefault="00683A1F" w:rsidP="00683A1F">
            <w:pPr>
              <w:keepNext/>
              <w:spacing w:before="120" w:after="80"/>
              <w:rPr>
                <w:sz w:val="16"/>
                <w:szCs w:val="16"/>
                <w:lang w:val="en-GB" w:eastAsia="hr-HR"/>
              </w:rPr>
            </w:pPr>
            <w:r w:rsidRPr="00683A1F">
              <w:rPr>
                <w:sz w:val="16"/>
                <w:szCs w:val="16"/>
                <w:lang w:val="en-GB" w:eastAsia="hr-HR"/>
              </w:rPr>
              <w:t>V: Ministry of Natural Resources and Environment</w:t>
            </w:r>
          </w:p>
          <w:p w14:paraId="7EDFD321" w14:textId="77777777" w:rsidR="00683A1F" w:rsidRPr="00683A1F" w:rsidRDefault="00683A1F" w:rsidP="00683A1F">
            <w:pPr>
              <w:keepNext/>
              <w:spacing w:before="120" w:after="120"/>
              <w:rPr>
                <w:sz w:val="16"/>
                <w:szCs w:val="16"/>
                <w:lang w:val="en-GB" w:eastAsia="hr-HR"/>
              </w:rPr>
            </w:pPr>
            <w:r w:rsidRPr="00683A1F">
              <w:rPr>
                <w:sz w:val="16"/>
                <w:szCs w:val="16"/>
                <w:lang w:val="en-GB" w:eastAsia="hr-HR"/>
              </w:rPr>
              <w:t>R: PCU/COBSEA</w:t>
            </w:r>
          </w:p>
        </w:tc>
        <w:tc>
          <w:tcPr>
            <w:tcW w:w="3060" w:type="dxa"/>
          </w:tcPr>
          <w:p w14:paraId="6BB3954B" w14:textId="77777777" w:rsidR="00683A1F" w:rsidRPr="00683A1F" w:rsidRDefault="00683A1F" w:rsidP="00683A1F">
            <w:pPr>
              <w:spacing w:before="80"/>
              <w:rPr>
                <w:sz w:val="16"/>
                <w:szCs w:val="16"/>
                <w:lang w:val="en-GB" w:eastAsia="hr-HR"/>
              </w:rPr>
            </w:pPr>
            <w:r w:rsidRPr="00683A1F">
              <w:rPr>
                <w:sz w:val="16"/>
                <w:szCs w:val="16"/>
                <w:lang w:val="en-GB" w:eastAsia="hr-HR"/>
              </w:rPr>
              <w:t>National Focal Points &amp; Project Director:</w:t>
            </w:r>
          </w:p>
          <w:p w14:paraId="63734545" w14:textId="77777777" w:rsidR="00683A1F" w:rsidRPr="00683A1F" w:rsidRDefault="00683A1F" w:rsidP="00683A1F">
            <w:pPr>
              <w:spacing w:after="120"/>
              <w:rPr>
                <w:sz w:val="16"/>
                <w:szCs w:val="16"/>
                <w:lang w:val="en-GB" w:eastAsia="hr-HR"/>
              </w:rPr>
            </w:pPr>
          </w:p>
          <w:p w14:paraId="58355EFA" w14:textId="77777777" w:rsidR="00683A1F" w:rsidRPr="00683A1F" w:rsidRDefault="00683A1F" w:rsidP="00683A1F">
            <w:pPr>
              <w:spacing w:before="120" w:after="120"/>
              <w:rPr>
                <w:sz w:val="16"/>
                <w:szCs w:val="16"/>
                <w:lang w:val="en-GB" w:eastAsia="hr-HR"/>
              </w:rPr>
            </w:pPr>
            <w:r w:rsidRPr="00683A1F">
              <w:rPr>
                <w:sz w:val="16"/>
                <w:szCs w:val="16"/>
                <w:lang w:val="en-GB" w:eastAsia="hr-HR"/>
              </w:rPr>
              <w:t xml:space="preserve">C1: </w:t>
            </w:r>
            <w:r w:rsidR="009C7884" w:rsidRPr="009C7884">
              <w:rPr>
                <w:sz w:val="16"/>
                <w:szCs w:val="16"/>
                <w:lang w:val="en-GB" w:eastAsia="hr-HR"/>
              </w:rPr>
              <w:t>Mr. Yingming YANG</w:t>
            </w:r>
          </w:p>
          <w:p w14:paraId="128980C7" w14:textId="77777777" w:rsidR="00683A1F" w:rsidRPr="00683A1F" w:rsidRDefault="00683A1F" w:rsidP="00683A1F">
            <w:pPr>
              <w:spacing w:before="120" w:after="120"/>
              <w:rPr>
                <w:sz w:val="16"/>
                <w:szCs w:val="16"/>
                <w:lang w:val="en-GB" w:eastAsia="hr-HR"/>
              </w:rPr>
            </w:pPr>
            <w:r w:rsidRPr="00683A1F">
              <w:rPr>
                <w:sz w:val="16"/>
                <w:szCs w:val="16"/>
                <w:lang w:val="en-GB" w:eastAsia="hr-HR"/>
              </w:rPr>
              <w:t>C2: Mr. Lonh HEAL</w:t>
            </w:r>
          </w:p>
          <w:p w14:paraId="401E119C" w14:textId="77777777" w:rsidR="00683A1F" w:rsidRPr="00683A1F" w:rsidRDefault="00683A1F" w:rsidP="00683A1F">
            <w:pPr>
              <w:spacing w:before="120" w:after="120"/>
              <w:rPr>
                <w:sz w:val="16"/>
                <w:szCs w:val="16"/>
                <w:lang w:val="en-GB" w:eastAsia="hr-HR"/>
              </w:rPr>
            </w:pPr>
            <w:r w:rsidRPr="00683A1F">
              <w:rPr>
                <w:sz w:val="16"/>
                <w:szCs w:val="16"/>
                <w:lang w:val="en-GB" w:eastAsia="hr-HR"/>
              </w:rPr>
              <w:t xml:space="preserve">I: </w:t>
            </w:r>
            <w:r w:rsidR="005179BF" w:rsidRPr="005179BF">
              <w:rPr>
                <w:sz w:val="16"/>
                <w:szCs w:val="16"/>
                <w:lang w:val="en-GB" w:eastAsia="hr-HR"/>
              </w:rPr>
              <w:t>Ms. LaksmiDewanthi/Mr. Karliansyah</w:t>
            </w:r>
          </w:p>
          <w:p w14:paraId="5C9653CE" w14:textId="77777777" w:rsidR="00683A1F" w:rsidRPr="00B62FD7" w:rsidRDefault="00683A1F" w:rsidP="00683A1F">
            <w:pPr>
              <w:spacing w:before="120" w:after="120"/>
              <w:rPr>
                <w:sz w:val="16"/>
                <w:szCs w:val="16"/>
                <w:lang w:val="es-AR" w:eastAsia="hr-HR"/>
              </w:rPr>
            </w:pPr>
            <w:r w:rsidRPr="00B62FD7">
              <w:rPr>
                <w:sz w:val="16"/>
                <w:szCs w:val="16"/>
                <w:lang w:val="es-AR" w:eastAsia="hr-HR"/>
              </w:rPr>
              <w:t>P: Ms. Analiza REBUELTA - TEH</w:t>
            </w:r>
          </w:p>
          <w:p w14:paraId="0E19E047" w14:textId="77777777" w:rsidR="00683A1F" w:rsidRPr="00B62FD7" w:rsidRDefault="00683A1F" w:rsidP="00683A1F">
            <w:pPr>
              <w:spacing w:before="120" w:after="120"/>
              <w:rPr>
                <w:sz w:val="16"/>
                <w:szCs w:val="16"/>
                <w:lang w:val="es-AR" w:eastAsia="hr-HR"/>
              </w:rPr>
            </w:pPr>
            <w:r w:rsidRPr="00B62FD7">
              <w:rPr>
                <w:sz w:val="16"/>
                <w:szCs w:val="16"/>
                <w:lang w:val="es-AR" w:eastAsia="hr-HR"/>
              </w:rPr>
              <w:t xml:space="preserve">T: </w:t>
            </w:r>
            <w:r w:rsidR="00A44210" w:rsidRPr="00B62FD7">
              <w:rPr>
                <w:sz w:val="16"/>
                <w:szCs w:val="16"/>
                <w:lang w:val="es-AR" w:eastAsia="hr-HR"/>
              </w:rPr>
              <w:t>Dr. Kasemsun CHINNAVASO</w:t>
            </w:r>
          </w:p>
          <w:p w14:paraId="11BDC07D" w14:textId="77777777" w:rsidR="00683A1F" w:rsidRPr="00683A1F" w:rsidRDefault="00683A1F" w:rsidP="00683A1F">
            <w:pPr>
              <w:spacing w:before="120" w:after="120"/>
              <w:rPr>
                <w:sz w:val="16"/>
                <w:szCs w:val="16"/>
                <w:lang w:val="en-GB" w:eastAsia="hr-HR"/>
              </w:rPr>
            </w:pPr>
            <w:r w:rsidRPr="00683A1F">
              <w:rPr>
                <w:sz w:val="16"/>
                <w:szCs w:val="16"/>
                <w:lang w:val="en-GB" w:eastAsia="hr-HR"/>
              </w:rPr>
              <w:t>V: Dr. Mr. Nam Thang DO</w:t>
            </w:r>
          </w:p>
          <w:p w14:paraId="378E33D5" w14:textId="77777777" w:rsidR="00683A1F" w:rsidRPr="00683A1F" w:rsidRDefault="00683A1F" w:rsidP="00683A1F">
            <w:pPr>
              <w:spacing w:before="120" w:after="120"/>
              <w:rPr>
                <w:sz w:val="16"/>
                <w:szCs w:val="16"/>
                <w:lang w:val="en-GB" w:eastAsia="hr-HR"/>
              </w:rPr>
            </w:pPr>
            <w:r w:rsidRPr="00683A1F">
              <w:rPr>
                <w:sz w:val="16"/>
                <w:szCs w:val="16"/>
                <w:lang w:val="en-GB" w:eastAsia="hr-HR"/>
              </w:rPr>
              <w:t>R: Project Director</w:t>
            </w:r>
          </w:p>
        </w:tc>
        <w:tc>
          <w:tcPr>
            <w:tcW w:w="3115" w:type="dxa"/>
            <w:vAlign w:val="center"/>
          </w:tcPr>
          <w:p w14:paraId="65674399" w14:textId="77777777" w:rsidR="00683A1F" w:rsidRPr="00683A1F" w:rsidRDefault="00683A1F" w:rsidP="00683A1F">
            <w:pPr>
              <w:spacing w:before="60" w:after="120"/>
              <w:jc w:val="center"/>
              <w:rPr>
                <w:sz w:val="16"/>
                <w:szCs w:val="16"/>
                <w:lang w:val="en-GB" w:eastAsia="hr-HR"/>
              </w:rPr>
            </w:pPr>
            <w:r w:rsidRPr="00683A1F">
              <w:rPr>
                <w:sz w:val="16"/>
                <w:szCs w:val="16"/>
                <w:lang w:val="en-GB" w:eastAsia="hr-HR"/>
              </w:rPr>
              <w:t>On-site data collection</w:t>
            </w:r>
          </w:p>
        </w:tc>
      </w:tr>
      <w:tr w:rsidR="00683A1F" w:rsidRPr="00683A1F" w14:paraId="320DB8F8" w14:textId="77777777" w:rsidTr="00D5094C">
        <w:trPr>
          <w:cantSplit/>
          <w:trHeight w:val="688"/>
          <w:jc w:val="center"/>
        </w:trPr>
        <w:tc>
          <w:tcPr>
            <w:tcW w:w="2495" w:type="dxa"/>
          </w:tcPr>
          <w:p w14:paraId="235B2B6B" w14:textId="77777777" w:rsidR="00683A1F" w:rsidRPr="00683A1F" w:rsidRDefault="00683A1F" w:rsidP="00683A1F">
            <w:pPr>
              <w:spacing w:before="60" w:after="120"/>
              <w:ind w:left="360" w:hanging="180"/>
              <w:rPr>
                <w:sz w:val="16"/>
                <w:szCs w:val="16"/>
                <w:lang w:val="en-GB" w:eastAsia="hr-HR"/>
              </w:rPr>
            </w:pPr>
            <w:r w:rsidRPr="00683A1F">
              <w:rPr>
                <w:sz w:val="16"/>
                <w:szCs w:val="16"/>
                <w:lang w:val="en-GB" w:eastAsia="hr-HR"/>
              </w:rPr>
              <w:t>UNEP-DEWA Supervision Missions</w:t>
            </w:r>
          </w:p>
        </w:tc>
        <w:tc>
          <w:tcPr>
            <w:tcW w:w="4680" w:type="dxa"/>
            <w:vAlign w:val="center"/>
          </w:tcPr>
          <w:p w14:paraId="7B9D715F" w14:textId="77777777" w:rsidR="00683A1F" w:rsidRPr="00683A1F" w:rsidRDefault="00683A1F" w:rsidP="00683A1F">
            <w:pPr>
              <w:keepNext/>
              <w:spacing w:before="60" w:after="120"/>
              <w:jc w:val="center"/>
              <w:rPr>
                <w:sz w:val="16"/>
                <w:szCs w:val="16"/>
                <w:lang w:val="en-GB" w:eastAsia="hr-HR"/>
              </w:rPr>
            </w:pPr>
            <w:r w:rsidRPr="00683A1F">
              <w:rPr>
                <w:sz w:val="16"/>
                <w:szCs w:val="16"/>
                <w:lang w:val="en-GB" w:eastAsia="hr-HR"/>
              </w:rPr>
              <w:t xml:space="preserve">PCU </w:t>
            </w:r>
          </w:p>
          <w:p w14:paraId="621350FB" w14:textId="77777777" w:rsidR="00683A1F" w:rsidRPr="00683A1F" w:rsidRDefault="00683A1F" w:rsidP="00683A1F">
            <w:pPr>
              <w:spacing w:before="60" w:after="120"/>
              <w:jc w:val="center"/>
              <w:rPr>
                <w:sz w:val="16"/>
                <w:szCs w:val="16"/>
                <w:lang w:val="en-GB" w:eastAsia="hr-HR"/>
              </w:rPr>
            </w:pPr>
            <w:r w:rsidRPr="00683A1F">
              <w:rPr>
                <w:sz w:val="16"/>
                <w:szCs w:val="16"/>
                <w:lang w:val="en-GB" w:eastAsia="hr-HR"/>
              </w:rPr>
              <w:t>UNEP-DEWA</w:t>
            </w:r>
          </w:p>
        </w:tc>
        <w:tc>
          <w:tcPr>
            <w:tcW w:w="3060" w:type="dxa"/>
            <w:vAlign w:val="center"/>
          </w:tcPr>
          <w:p w14:paraId="1A16969C" w14:textId="77777777" w:rsidR="00683A1F" w:rsidRPr="00683A1F" w:rsidRDefault="00683A1F" w:rsidP="00683A1F">
            <w:pPr>
              <w:spacing w:before="60" w:after="120"/>
              <w:jc w:val="center"/>
              <w:rPr>
                <w:sz w:val="16"/>
                <w:szCs w:val="16"/>
                <w:lang w:val="en-GB" w:eastAsia="hr-HR"/>
              </w:rPr>
            </w:pPr>
            <w:r w:rsidRPr="00683A1F">
              <w:rPr>
                <w:sz w:val="16"/>
                <w:szCs w:val="16"/>
                <w:lang w:val="en-GB" w:eastAsia="hr-HR"/>
              </w:rPr>
              <w:t>UNEP Task Manager</w:t>
            </w:r>
          </w:p>
        </w:tc>
        <w:tc>
          <w:tcPr>
            <w:tcW w:w="3115" w:type="dxa"/>
            <w:vAlign w:val="center"/>
          </w:tcPr>
          <w:p w14:paraId="6F9CA7F3" w14:textId="77777777" w:rsidR="00683A1F" w:rsidRPr="00683A1F" w:rsidRDefault="00683A1F" w:rsidP="00683A1F">
            <w:pPr>
              <w:spacing w:before="60" w:after="120"/>
              <w:jc w:val="center"/>
              <w:rPr>
                <w:sz w:val="16"/>
                <w:szCs w:val="16"/>
                <w:lang w:val="en-GB" w:eastAsia="hr-HR"/>
              </w:rPr>
            </w:pPr>
            <w:r w:rsidRPr="00683A1F">
              <w:rPr>
                <w:sz w:val="16"/>
                <w:szCs w:val="16"/>
                <w:lang w:val="en-GB" w:eastAsia="hr-HR"/>
              </w:rPr>
              <w:t>On-site data collection</w:t>
            </w:r>
          </w:p>
          <w:p w14:paraId="67E407D7" w14:textId="77777777" w:rsidR="00683A1F" w:rsidRPr="00683A1F" w:rsidRDefault="00683A1F" w:rsidP="00683A1F">
            <w:pPr>
              <w:spacing w:before="60" w:after="120"/>
              <w:jc w:val="center"/>
              <w:rPr>
                <w:sz w:val="16"/>
                <w:szCs w:val="16"/>
                <w:lang w:val="en-GB" w:eastAsia="hr-HR"/>
              </w:rPr>
            </w:pPr>
            <w:r w:rsidRPr="00683A1F">
              <w:rPr>
                <w:sz w:val="16"/>
                <w:szCs w:val="16"/>
                <w:lang w:val="en-GB" w:eastAsia="hr-HR"/>
              </w:rPr>
              <w:t>Mission reports</w:t>
            </w:r>
          </w:p>
        </w:tc>
      </w:tr>
      <w:tr w:rsidR="00683A1F" w:rsidRPr="00683A1F" w14:paraId="1CD023FE" w14:textId="77777777" w:rsidTr="00D5094C">
        <w:trPr>
          <w:cantSplit/>
          <w:trHeight w:val="150"/>
          <w:jc w:val="center"/>
        </w:trPr>
        <w:tc>
          <w:tcPr>
            <w:tcW w:w="13350" w:type="dxa"/>
            <w:gridSpan w:val="4"/>
            <w:shd w:val="clear" w:color="auto" w:fill="E0E0E0"/>
          </w:tcPr>
          <w:p w14:paraId="537DD138" w14:textId="77777777" w:rsidR="00683A1F" w:rsidRPr="00683A1F" w:rsidRDefault="00683A1F" w:rsidP="00683A1F">
            <w:pPr>
              <w:keepNext/>
              <w:spacing w:before="60" w:after="120"/>
              <w:jc w:val="center"/>
              <w:rPr>
                <w:sz w:val="16"/>
                <w:szCs w:val="16"/>
                <w:lang w:val="en-GB" w:eastAsia="hr-HR"/>
              </w:rPr>
            </w:pPr>
            <w:r w:rsidRPr="00683A1F">
              <w:rPr>
                <w:b/>
                <w:sz w:val="16"/>
                <w:szCs w:val="16"/>
                <w:lang w:val="en-GB" w:eastAsia="hr-HR"/>
              </w:rPr>
              <w:t>Evaluation</w:t>
            </w:r>
          </w:p>
        </w:tc>
      </w:tr>
      <w:tr w:rsidR="00683A1F" w:rsidRPr="00683A1F" w14:paraId="76E38849" w14:textId="77777777" w:rsidTr="00D5094C">
        <w:trPr>
          <w:cantSplit/>
          <w:trHeight w:val="150"/>
          <w:jc w:val="center"/>
        </w:trPr>
        <w:tc>
          <w:tcPr>
            <w:tcW w:w="2495" w:type="dxa"/>
            <w:vAlign w:val="center"/>
          </w:tcPr>
          <w:p w14:paraId="78018829" w14:textId="77777777" w:rsidR="00683A1F" w:rsidRPr="00683A1F" w:rsidRDefault="00683A1F" w:rsidP="00683A1F">
            <w:pPr>
              <w:keepNext/>
              <w:spacing w:before="60" w:after="120"/>
              <w:ind w:left="47"/>
              <w:jc w:val="center"/>
              <w:rPr>
                <w:sz w:val="16"/>
                <w:szCs w:val="16"/>
                <w:lang w:val="en-GB" w:eastAsia="hr-HR"/>
              </w:rPr>
            </w:pPr>
            <w:r w:rsidRPr="00683A1F">
              <w:rPr>
                <w:sz w:val="16"/>
                <w:szCs w:val="16"/>
                <w:lang w:val="en-GB" w:eastAsia="hr-HR"/>
              </w:rPr>
              <w:t>Meetings of the PSC</w:t>
            </w:r>
          </w:p>
        </w:tc>
        <w:tc>
          <w:tcPr>
            <w:tcW w:w="4680" w:type="dxa"/>
            <w:vAlign w:val="center"/>
          </w:tcPr>
          <w:p w14:paraId="6DD17245" w14:textId="77777777" w:rsidR="00683A1F" w:rsidRPr="00683A1F" w:rsidRDefault="00683A1F" w:rsidP="00683A1F">
            <w:pPr>
              <w:keepNext/>
              <w:spacing w:before="60" w:after="120"/>
              <w:jc w:val="center"/>
              <w:rPr>
                <w:sz w:val="16"/>
                <w:szCs w:val="16"/>
                <w:lang w:val="en-GB" w:eastAsia="hr-HR"/>
              </w:rPr>
            </w:pPr>
            <w:r w:rsidRPr="00683A1F">
              <w:rPr>
                <w:sz w:val="16"/>
                <w:szCs w:val="16"/>
                <w:lang w:val="en-GB" w:eastAsia="hr-HR"/>
              </w:rPr>
              <w:t>COBSEA/PCU</w:t>
            </w:r>
          </w:p>
          <w:p w14:paraId="1719B821" w14:textId="77777777" w:rsidR="00683A1F" w:rsidRPr="00683A1F" w:rsidRDefault="00683A1F" w:rsidP="00683A1F">
            <w:pPr>
              <w:keepNext/>
              <w:spacing w:before="60" w:after="120"/>
              <w:jc w:val="center"/>
              <w:rPr>
                <w:sz w:val="16"/>
                <w:szCs w:val="16"/>
                <w:lang w:val="en-GB" w:eastAsia="hr-HR"/>
              </w:rPr>
            </w:pPr>
            <w:r w:rsidRPr="00683A1F">
              <w:rPr>
                <w:sz w:val="16"/>
                <w:szCs w:val="16"/>
                <w:lang w:val="en-GB" w:eastAsia="hr-HR"/>
              </w:rPr>
              <w:t>(acting as Secretariat of the Committee)</w:t>
            </w:r>
          </w:p>
        </w:tc>
        <w:tc>
          <w:tcPr>
            <w:tcW w:w="3060" w:type="dxa"/>
            <w:vAlign w:val="center"/>
          </w:tcPr>
          <w:p w14:paraId="50B99597" w14:textId="77777777" w:rsidR="00683A1F" w:rsidRPr="00683A1F" w:rsidRDefault="00683A1F" w:rsidP="00683A1F">
            <w:pPr>
              <w:keepNext/>
              <w:spacing w:before="60" w:after="120"/>
              <w:jc w:val="center"/>
              <w:rPr>
                <w:sz w:val="16"/>
                <w:szCs w:val="16"/>
                <w:lang w:val="en-GB" w:eastAsia="hr-HR"/>
              </w:rPr>
            </w:pPr>
            <w:r w:rsidRPr="00683A1F">
              <w:rPr>
                <w:sz w:val="16"/>
                <w:szCs w:val="16"/>
                <w:lang w:val="en-GB" w:eastAsia="hr-HR"/>
              </w:rPr>
              <w:t>Project Director</w:t>
            </w:r>
          </w:p>
          <w:p w14:paraId="7AACA642" w14:textId="77777777" w:rsidR="00683A1F" w:rsidRPr="00683A1F" w:rsidRDefault="00683A1F" w:rsidP="00683A1F">
            <w:pPr>
              <w:keepNext/>
              <w:spacing w:before="60" w:after="120"/>
              <w:jc w:val="center"/>
              <w:rPr>
                <w:sz w:val="16"/>
                <w:szCs w:val="16"/>
                <w:lang w:val="en-GB" w:eastAsia="hr-HR"/>
              </w:rPr>
            </w:pPr>
            <w:r w:rsidRPr="00683A1F">
              <w:rPr>
                <w:sz w:val="16"/>
                <w:szCs w:val="16"/>
                <w:lang w:val="en-GB" w:eastAsia="hr-HR"/>
              </w:rPr>
              <w:t>UNEP Task Manager</w:t>
            </w:r>
          </w:p>
        </w:tc>
        <w:tc>
          <w:tcPr>
            <w:tcW w:w="3115" w:type="dxa"/>
            <w:vAlign w:val="center"/>
          </w:tcPr>
          <w:p w14:paraId="4C731B1A" w14:textId="77777777" w:rsidR="00683A1F" w:rsidRPr="00683A1F" w:rsidRDefault="00683A1F" w:rsidP="00683A1F">
            <w:pPr>
              <w:keepNext/>
              <w:spacing w:before="60" w:after="120"/>
              <w:jc w:val="center"/>
              <w:rPr>
                <w:sz w:val="16"/>
                <w:szCs w:val="16"/>
                <w:lang w:val="en-GB" w:eastAsia="hr-HR"/>
              </w:rPr>
            </w:pPr>
            <w:r w:rsidRPr="00683A1F">
              <w:rPr>
                <w:sz w:val="16"/>
                <w:szCs w:val="16"/>
                <w:lang w:val="en-GB" w:eastAsia="hr-HR"/>
              </w:rPr>
              <w:t>Minutes of the meetings of the PSC</w:t>
            </w:r>
          </w:p>
        </w:tc>
      </w:tr>
      <w:tr w:rsidR="00683A1F" w:rsidRPr="00683A1F" w14:paraId="44E9DC5C" w14:textId="77777777" w:rsidTr="00D5094C">
        <w:trPr>
          <w:cantSplit/>
          <w:trHeight w:val="150"/>
          <w:jc w:val="center"/>
        </w:trPr>
        <w:tc>
          <w:tcPr>
            <w:tcW w:w="2495" w:type="dxa"/>
            <w:vAlign w:val="center"/>
          </w:tcPr>
          <w:p w14:paraId="11F0628A" w14:textId="77777777" w:rsidR="00683A1F" w:rsidRPr="00683A1F" w:rsidRDefault="00683A1F" w:rsidP="00683A1F">
            <w:pPr>
              <w:keepNext/>
              <w:spacing w:before="60" w:after="120"/>
              <w:ind w:left="47"/>
              <w:jc w:val="center"/>
              <w:rPr>
                <w:sz w:val="16"/>
                <w:szCs w:val="16"/>
                <w:lang w:val="en-GB" w:eastAsia="hr-HR"/>
              </w:rPr>
            </w:pPr>
            <w:r w:rsidRPr="00683A1F">
              <w:rPr>
                <w:sz w:val="16"/>
                <w:szCs w:val="16"/>
                <w:lang w:val="en-GB" w:eastAsia="hr-HR"/>
              </w:rPr>
              <w:t>Meetings of the RSTC</w:t>
            </w:r>
          </w:p>
        </w:tc>
        <w:tc>
          <w:tcPr>
            <w:tcW w:w="4680" w:type="dxa"/>
            <w:vAlign w:val="center"/>
          </w:tcPr>
          <w:p w14:paraId="4E011216" w14:textId="77777777" w:rsidR="00683A1F" w:rsidRPr="00683A1F" w:rsidRDefault="00683A1F" w:rsidP="00683A1F">
            <w:pPr>
              <w:keepNext/>
              <w:spacing w:before="60" w:after="120"/>
              <w:jc w:val="center"/>
              <w:rPr>
                <w:sz w:val="16"/>
                <w:szCs w:val="16"/>
                <w:lang w:val="en-GB" w:eastAsia="hr-HR"/>
              </w:rPr>
            </w:pPr>
            <w:r w:rsidRPr="00683A1F">
              <w:rPr>
                <w:sz w:val="16"/>
                <w:szCs w:val="16"/>
                <w:lang w:val="en-GB" w:eastAsia="hr-HR"/>
              </w:rPr>
              <w:t>COBSEA/PCU</w:t>
            </w:r>
          </w:p>
          <w:p w14:paraId="1A1FBA8C" w14:textId="77777777" w:rsidR="00683A1F" w:rsidRPr="00683A1F" w:rsidRDefault="00683A1F" w:rsidP="00683A1F">
            <w:pPr>
              <w:keepNext/>
              <w:spacing w:before="60" w:after="120"/>
              <w:jc w:val="center"/>
              <w:rPr>
                <w:sz w:val="16"/>
                <w:szCs w:val="16"/>
                <w:lang w:val="en-GB" w:eastAsia="hr-HR"/>
              </w:rPr>
            </w:pPr>
            <w:r w:rsidRPr="00683A1F">
              <w:rPr>
                <w:sz w:val="16"/>
                <w:szCs w:val="16"/>
                <w:lang w:val="en-GB" w:eastAsia="hr-HR"/>
              </w:rPr>
              <w:t>(acting as Secretariat of the Committee)</w:t>
            </w:r>
          </w:p>
        </w:tc>
        <w:tc>
          <w:tcPr>
            <w:tcW w:w="3060" w:type="dxa"/>
            <w:vAlign w:val="center"/>
          </w:tcPr>
          <w:p w14:paraId="4E445D8E" w14:textId="77777777" w:rsidR="00683A1F" w:rsidRPr="00683A1F" w:rsidRDefault="00683A1F" w:rsidP="00683A1F">
            <w:pPr>
              <w:keepNext/>
              <w:spacing w:before="60" w:after="120"/>
              <w:jc w:val="center"/>
              <w:rPr>
                <w:sz w:val="16"/>
                <w:szCs w:val="16"/>
                <w:lang w:val="en-GB" w:eastAsia="hr-HR"/>
              </w:rPr>
            </w:pPr>
            <w:r w:rsidRPr="00683A1F">
              <w:rPr>
                <w:sz w:val="16"/>
                <w:szCs w:val="16"/>
                <w:lang w:val="en-GB" w:eastAsia="hr-HR"/>
              </w:rPr>
              <w:t>Project Director</w:t>
            </w:r>
          </w:p>
          <w:p w14:paraId="2FC6027A" w14:textId="77777777" w:rsidR="00683A1F" w:rsidRPr="00683A1F" w:rsidRDefault="00683A1F" w:rsidP="00683A1F">
            <w:pPr>
              <w:keepNext/>
              <w:spacing w:before="60" w:after="120"/>
              <w:jc w:val="center"/>
              <w:rPr>
                <w:sz w:val="16"/>
                <w:szCs w:val="16"/>
                <w:lang w:val="en-GB" w:eastAsia="hr-HR"/>
              </w:rPr>
            </w:pPr>
            <w:r w:rsidRPr="00683A1F">
              <w:rPr>
                <w:sz w:val="16"/>
                <w:szCs w:val="16"/>
                <w:lang w:val="en-GB" w:eastAsia="hr-HR"/>
              </w:rPr>
              <w:t>UNEP Task Manager</w:t>
            </w:r>
          </w:p>
        </w:tc>
        <w:tc>
          <w:tcPr>
            <w:tcW w:w="3115" w:type="dxa"/>
            <w:vAlign w:val="center"/>
          </w:tcPr>
          <w:p w14:paraId="5A59DFC1" w14:textId="77777777" w:rsidR="00683A1F" w:rsidRPr="00683A1F" w:rsidRDefault="00683A1F" w:rsidP="00683A1F">
            <w:pPr>
              <w:keepNext/>
              <w:spacing w:before="60" w:after="120"/>
              <w:jc w:val="center"/>
              <w:rPr>
                <w:sz w:val="16"/>
                <w:szCs w:val="16"/>
                <w:lang w:val="en-GB" w:eastAsia="hr-HR"/>
              </w:rPr>
            </w:pPr>
            <w:r w:rsidRPr="00683A1F">
              <w:rPr>
                <w:sz w:val="16"/>
                <w:szCs w:val="16"/>
                <w:lang w:val="en-GB" w:eastAsia="hr-HR"/>
              </w:rPr>
              <w:t>Minutes of the meetings of the RSTC</w:t>
            </w:r>
          </w:p>
        </w:tc>
      </w:tr>
      <w:tr w:rsidR="00683A1F" w:rsidRPr="00683A1F" w14:paraId="36B05014" w14:textId="77777777" w:rsidTr="00D5094C">
        <w:trPr>
          <w:cantSplit/>
          <w:trHeight w:val="150"/>
          <w:jc w:val="center"/>
        </w:trPr>
        <w:tc>
          <w:tcPr>
            <w:tcW w:w="2495" w:type="dxa"/>
            <w:vAlign w:val="center"/>
          </w:tcPr>
          <w:p w14:paraId="5AB788D1" w14:textId="77777777" w:rsidR="00683A1F" w:rsidRPr="00683A1F" w:rsidRDefault="00683A1F" w:rsidP="00683A1F">
            <w:pPr>
              <w:keepNext/>
              <w:spacing w:before="60" w:after="120"/>
              <w:ind w:left="47"/>
              <w:jc w:val="center"/>
              <w:rPr>
                <w:sz w:val="16"/>
                <w:szCs w:val="16"/>
                <w:lang w:val="en-GB" w:eastAsia="hr-HR"/>
              </w:rPr>
            </w:pPr>
            <w:r w:rsidRPr="00683A1F">
              <w:rPr>
                <w:sz w:val="16"/>
                <w:szCs w:val="16"/>
                <w:lang w:val="en-GB" w:eastAsia="hr-HR"/>
              </w:rPr>
              <w:t>Mid-Term Management Review</w:t>
            </w:r>
          </w:p>
        </w:tc>
        <w:tc>
          <w:tcPr>
            <w:tcW w:w="4680" w:type="dxa"/>
            <w:vAlign w:val="center"/>
          </w:tcPr>
          <w:p w14:paraId="4E089A22" w14:textId="77777777" w:rsidR="00683A1F" w:rsidRPr="00683A1F" w:rsidRDefault="00683A1F" w:rsidP="00683A1F">
            <w:pPr>
              <w:keepNext/>
              <w:spacing w:before="60" w:after="120"/>
              <w:rPr>
                <w:color w:val="000000"/>
                <w:sz w:val="16"/>
                <w:szCs w:val="16"/>
                <w:lang w:val="en-GB" w:eastAsia="hr-HR"/>
              </w:rPr>
            </w:pPr>
            <w:r w:rsidRPr="00683A1F">
              <w:rPr>
                <w:color w:val="000000"/>
                <w:sz w:val="16"/>
                <w:szCs w:val="16"/>
                <w:lang w:val="en-GB" w:eastAsia="hr-HR"/>
              </w:rPr>
              <w:t>UNEP-EOU in consultation with the COBSEA/PCU, and participating institutions and stakeholders</w:t>
            </w:r>
          </w:p>
        </w:tc>
        <w:tc>
          <w:tcPr>
            <w:tcW w:w="3060" w:type="dxa"/>
            <w:vAlign w:val="center"/>
          </w:tcPr>
          <w:p w14:paraId="3B0DECE2" w14:textId="77777777" w:rsidR="00683A1F" w:rsidRPr="00683A1F" w:rsidRDefault="00683A1F" w:rsidP="00683A1F">
            <w:pPr>
              <w:keepNext/>
              <w:spacing w:before="60" w:after="120"/>
              <w:jc w:val="center"/>
              <w:rPr>
                <w:sz w:val="16"/>
                <w:szCs w:val="16"/>
                <w:lang w:val="en-GB" w:eastAsia="hr-HR"/>
              </w:rPr>
            </w:pPr>
            <w:r w:rsidRPr="00683A1F">
              <w:rPr>
                <w:sz w:val="16"/>
                <w:szCs w:val="16"/>
                <w:lang w:val="en-GB" w:eastAsia="hr-HR"/>
              </w:rPr>
              <w:t>Independent consultant</w:t>
            </w:r>
          </w:p>
        </w:tc>
        <w:tc>
          <w:tcPr>
            <w:tcW w:w="3115" w:type="dxa"/>
            <w:vAlign w:val="center"/>
          </w:tcPr>
          <w:p w14:paraId="20456E79" w14:textId="77777777" w:rsidR="00683A1F" w:rsidRPr="00683A1F" w:rsidRDefault="00683A1F" w:rsidP="00683A1F">
            <w:pPr>
              <w:keepNext/>
              <w:spacing w:before="60" w:after="120"/>
              <w:jc w:val="center"/>
              <w:rPr>
                <w:sz w:val="16"/>
                <w:szCs w:val="16"/>
                <w:lang w:val="en-GB" w:eastAsia="hr-HR"/>
              </w:rPr>
            </w:pPr>
            <w:r w:rsidRPr="00683A1F">
              <w:rPr>
                <w:sz w:val="16"/>
                <w:szCs w:val="16"/>
                <w:lang w:val="en-GB" w:eastAsia="hr-HR"/>
              </w:rPr>
              <w:t>On-site data collection</w:t>
            </w:r>
          </w:p>
          <w:p w14:paraId="22ABDFAA" w14:textId="77777777" w:rsidR="00683A1F" w:rsidRPr="00683A1F" w:rsidRDefault="00683A1F" w:rsidP="00683A1F">
            <w:pPr>
              <w:keepNext/>
              <w:spacing w:before="60" w:after="120"/>
              <w:jc w:val="center"/>
              <w:rPr>
                <w:sz w:val="16"/>
                <w:szCs w:val="16"/>
                <w:lang w:val="en-GB" w:eastAsia="hr-HR"/>
              </w:rPr>
            </w:pPr>
            <w:r w:rsidRPr="00683A1F">
              <w:rPr>
                <w:sz w:val="16"/>
                <w:szCs w:val="16"/>
                <w:lang w:val="en-GB" w:eastAsia="hr-HR"/>
              </w:rPr>
              <w:t>Project Manager review</w:t>
            </w:r>
          </w:p>
        </w:tc>
      </w:tr>
      <w:tr w:rsidR="00683A1F" w:rsidRPr="00683A1F" w14:paraId="5ED77FD3" w14:textId="77777777" w:rsidTr="00D5094C">
        <w:trPr>
          <w:cantSplit/>
          <w:trHeight w:val="150"/>
          <w:jc w:val="center"/>
        </w:trPr>
        <w:tc>
          <w:tcPr>
            <w:tcW w:w="2495" w:type="dxa"/>
            <w:vAlign w:val="center"/>
          </w:tcPr>
          <w:p w14:paraId="24FCE882" w14:textId="77777777" w:rsidR="00683A1F" w:rsidRPr="00683A1F" w:rsidRDefault="00683A1F" w:rsidP="00683A1F">
            <w:pPr>
              <w:spacing w:before="60" w:after="120"/>
              <w:ind w:left="47"/>
              <w:jc w:val="center"/>
              <w:rPr>
                <w:sz w:val="16"/>
                <w:szCs w:val="16"/>
                <w:lang w:val="en-GB" w:eastAsia="hr-HR"/>
              </w:rPr>
            </w:pPr>
            <w:r w:rsidRPr="00683A1F">
              <w:rPr>
                <w:sz w:val="16"/>
                <w:szCs w:val="16"/>
                <w:lang w:val="en-GB" w:eastAsia="hr-HR"/>
              </w:rPr>
              <w:t>Final Evaluation</w:t>
            </w:r>
          </w:p>
        </w:tc>
        <w:tc>
          <w:tcPr>
            <w:tcW w:w="4680" w:type="dxa"/>
            <w:vAlign w:val="center"/>
          </w:tcPr>
          <w:p w14:paraId="15708385" w14:textId="77777777" w:rsidR="00683A1F" w:rsidRPr="00683A1F" w:rsidRDefault="00683A1F" w:rsidP="00683A1F">
            <w:pPr>
              <w:spacing w:before="60" w:after="120"/>
              <w:jc w:val="center"/>
              <w:rPr>
                <w:color w:val="000000"/>
                <w:sz w:val="16"/>
                <w:szCs w:val="16"/>
                <w:lang w:val="en-GB" w:eastAsia="hr-HR"/>
              </w:rPr>
            </w:pPr>
            <w:r w:rsidRPr="00683A1F">
              <w:rPr>
                <w:color w:val="000000"/>
                <w:sz w:val="16"/>
                <w:szCs w:val="16"/>
                <w:lang w:val="en-GB" w:eastAsia="hr-HR"/>
              </w:rPr>
              <w:t>UNEP-EOU in consultation with the PCU, and participating institutions and stakeholders</w:t>
            </w:r>
          </w:p>
        </w:tc>
        <w:tc>
          <w:tcPr>
            <w:tcW w:w="3060" w:type="dxa"/>
            <w:vAlign w:val="center"/>
          </w:tcPr>
          <w:p w14:paraId="187232F3" w14:textId="77777777" w:rsidR="00683A1F" w:rsidRPr="00683A1F" w:rsidRDefault="00683A1F" w:rsidP="00683A1F">
            <w:pPr>
              <w:spacing w:before="60" w:after="120"/>
              <w:jc w:val="center"/>
              <w:rPr>
                <w:sz w:val="16"/>
                <w:szCs w:val="16"/>
                <w:lang w:val="en-GB" w:eastAsia="hr-HR"/>
              </w:rPr>
            </w:pPr>
            <w:r w:rsidRPr="00683A1F">
              <w:rPr>
                <w:sz w:val="16"/>
                <w:szCs w:val="16"/>
                <w:lang w:val="en-GB" w:eastAsia="hr-HR"/>
              </w:rPr>
              <w:t xml:space="preserve">Independent consultant </w:t>
            </w:r>
          </w:p>
        </w:tc>
        <w:tc>
          <w:tcPr>
            <w:tcW w:w="3115" w:type="dxa"/>
            <w:vAlign w:val="center"/>
          </w:tcPr>
          <w:p w14:paraId="70195F81" w14:textId="77777777" w:rsidR="00683A1F" w:rsidRPr="00683A1F" w:rsidRDefault="00683A1F" w:rsidP="00683A1F">
            <w:pPr>
              <w:spacing w:before="60" w:after="120"/>
              <w:jc w:val="center"/>
              <w:rPr>
                <w:sz w:val="16"/>
                <w:szCs w:val="16"/>
                <w:lang w:val="en-GB" w:eastAsia="hr-HR"/>
              </w:rPr>
            </w:pPr>
            <w:r w:rsidRPr="00683A1F">
              <w:rPr>
                <w:sz w:val="16"/>
                <w:szCs w:val="16"/>
                <w:lang w:val="en-GB" w:eastAsia="hr-HR"/>
              </w:rPr>
              <w:t>On-site data collection</w:t>
            </w:r>
          </w:p>
          <w:p w14:paraId="1871BFCB" w14:textId="77777777" w:rsidR="00683A1F" w:rsidRPr="00683A1F" w:rsidRDefault="00683A1F" w:rsidP="00683A1F">
            <w:pPr>
              <w:spacing w:before="60" w:after="120"/>
              <w:jc w:val="center"/>
              <w:rPr>
                <w:sz w:val="16"/>
                <w:szCs w:val="16"/>
                <w:lang w:val="en-GB" w:eastAsia="hr-HR"/>
              </w:rPr>
            </w:pPr>
            <w:r w:rsidRPr="00683A1F">
              <w:rPr>
                <w:sz w:val="16"/>
                <w:szCs w:val="16"/>
                <w:lang w:val="en-GB" w:eastAsia="hr-HR"/>
              </w:rPr>
              <w:t>Consultant report</w:t>
            </w:r>
          </w:p>
        </w:tc>
      </w:tr>
      <w:tr w:rsidR="00683A1F" w:rsidRPr="00683A1F" w14:paraId="39B20ADF" w14:textId="77777777" w:rsidTr="00D5094C">
        <w:trPr>
          <w:cantSplit/>
          <w:trHeight w:val="150"/>
          <w:jc w:val="center"/>
        </w:trPr>
        <w:tc>
          <w:tcPr>
            <w:tcW w:w="2495" w:type="dxa"/>
            <w:vAlign w:val="center"/>
          </w:tcPr>
          <w:p w14:paraId="0C4F9A85" w14:textId="77777777" w:rsidR="00683A1F" w:rsidRPr="00683A1F" w:rsidRDefault="00683A1F" w:rsidP="00683A1F">
            <w:pPr>
              <w:spacing w:before="60" w:after="120"/>
              <w:ind w:left="47"/>
              <w:jc w:val="center"/>
              <w:rPr>
                <w:sz w:val="16"/>
                <w:szCs w:val="16"/>
                <w:lang w:val="en-GB" w:eastAsia="hr-HR"/>
              </w:rPr>
            </w:pPr>
            <w:r w:rsidRPr="00683A1F">
              <w:rPr>
                <w:sz w:val="16"/>
                <w:szCs w:val="16"/>
                <w:lang w:val="en-GB" w:eastAsia="hr-HR"/>
              </w:rPr>
              <w:t>Annual Project Implementation Review (PIR)</w:t>
            </w:r>
          </w:p>
        </w:tc>
        <w:tc>
          <w:tcPr>
            <w:tcW w:w="4680" w:type="dxa"/>
            <w:vAlign w:val="center"/>
          </w:tcPr>
          <w:p w14:paraId="64E7A420" w14:textId="77777777" w:rsidR="00683A1F" w:rsidRPr="00683A1F" w:rsidRDefault="00683A1F" w:rsidP="00683A1F">
            <w:pPr>
              <w:spacing w:before="60" w:after="120"/>
              <w:jc w:val="center"/>
              <w:rPr>
                <w:color w:val="000000"/>
                <w:sz w:val="16"/>
                <w:szCs w:val="16"/>
                <w:lang w:val="en-GB" w:eastAsia="hr-HR"/>
              </w:rPr>
            </w:pPr>
            <w:r w:rsidRPr="00683A1F">
              <w:rPr>
                <w:color w:val="000000"/>
                <w:sz w:val="16"/>
                <w:szCs w:val="16"/>
                <w:lang w:val="en-GB" w:eastAsia="hr-HR"/>
              </w:rPr>
              <w:t>UNEP with the assistance of participating Institutions</w:t>
            </w:r>
          </w:p>
        </w:tc>
        <w:tc>
          <w:tcPr>
            <w:tcW w:w="3060" w:type="dxa"/>
            <w:vAlign w:val="center"/>
          </w:tcPr>
          <w:p w14:paraId="2590483A" w14:textId="77777777" w:rsidR="00683A1F" w:rsidRPr="00683A1F" w:rsidRDefault="00683A1F" w:rsidP="00683A1F">
            <w:pPr>
              <w:spacing w:before="60" w:after="120"/>
              <w:jc w:val="center"/>
              <w:rPr>
                <w:sz w:val="16"/>
                <w:szCs w:val="16"/>
                <w:lang w:val="en-GB" w:eastAsia="hr-HR"/>
              </w:rPr>
            </w:pPr>
            <w:r w:rsidRPr="00683A1F">
              <w:rPr>
                <w:sz w:val="16"/>
                <w:szCs w:val="16"/>
                <w:lang w:val="en-GB" w:eastAsia="hr-HR"/>
              </w:rPr>
              <w:t>Project Director in consultation with UNEP Task Manager</w:t>
            </w:r>
          </w:p>
        </w:tc>
        <w:tc>
          <w:tcPr>
            <w:tcW w:w="3115" w:type="dxa"/>
            <w:vAlign w:val="center"/>
          </w:tcPr>
          <w:p w14:paraId="2B2FA26D" w14:textId="77777777" w:rsidR="00683A1F" w:rsidRPr="00683A1F" w:rsidRDefault="00683A1F" w:rsidP="00683A1F">
            <w:pPr>
              <w:spacing w:before="60" w:after="120"/>
              <w:jc w:val="center"/>
              <w:rPr>
                <w:sz w:val="16"/>
                <w:szCs w:val="16"/>
                <w:lang w:val="en-GB" w:eastAsia="hr-HR"/>
              </w:rPr>
            </w:pPr>
            <w:r w:rsidRPr="00683A1F">
              <w:rPr>
                <w:sz w:val="16"/>
                <w:szCs w:val="16"/>
                <w:lang w:val="en-GB" w:eastAsia="hr-HR"/>
              </w:rPr>
              <w:t>On-site data collection</w:t>
            </w:r>
          </w:p>
          <w:p w14:paraId="5D7702C4" w14:textId="77777777" w:rsidR="00683A1F" w:rsidRPr="00683A1F" w:rsidRDefault="00683A1F" w:rsidP="00683A1F">
            <w:pPr>
              <w:spacing w:before="60" w:after="120"/>
              <w:jc w:val="center"/>
              <w:rPr>
                <w:sz w:val="16"/>
                <w:szCs w:val="16"/>
                <w:lang w:val="en-GB" w:eastAsia="hr-HR"/>
              </w:rPr>
            </w:pPr>
            <w:r w:rsidRPr="00683A1F">
              <w:rPr>
                <w:sz w:val="16"/>
                <w:szCs w:val="16"/>
                <w:lang w:val="en-GB" w:eastAsia="hr-HR"/>
              </w:rPr>
              <w:t>PIR reports</w:t>
            </w:r>
          </w:p>
        </w:tc>
      </w:tr>
    </w:tbl>
    <w:p w14:paraId="7E57D58A" w14:textId="77777777" w:rsidR="00683A1F" w:rsidRDefault="00683A1F">
      <w:pPr>
        <w:spacing w:after="120"/>
        <w:outlineLvl w:val="1"/>
        <w:rPr>
          <w:b/>
          <w:sz w:val="22"/>
          <w:szCs w:val="22"/>
          <w:lang w:val="en-GB"/>
        </w:rPr>
        <w:sectPr w:rsidR="00683A1F" w:rsidSect="00064925">
          <w:pgSz w:w="15840" w:h="12240" w:orient="landscape" w:code="1"/>
          <w:pgMar w:top="1584" w:right="1440" w:bottom="1584" w:left="1440" w:header="706" w:footer="706" w:gutter="0"/>
          <w:cols w:space="708"/>
          <w:docGrid w:linePitch="360"/>
        </w:sectPr>
      </w:pPr>
    </w:p>
    <w:p w14:paraId="0AA808BF" w14:textId="77777777" w:rsidR="00933570" w:rsidRPr="00933570" w:rsidRDefault="00F07F81" w:rsidP="00933570">
      <w:pPr>
        <w:spacing w:after="120"/>
        <w:jc w:val="center"/>
        <w:outlineLvl w:val="1"/>
        <w:rPr>
          <w:b/>
          <w:sz w:val="22"/>
          <w:szCs w:val="22"/>
          <w:lang w:val="en-GB"/>
        </w:rPr>
      </w:pPr>
      <w:bookmarkStart w:id="109" w:name="_Toc209432680"/>
      <w:r>
        <w:rPr>
          <w:b/>
          <w:sz w:val="22"/>
          <w:szCs w:val="22"/>
          <w:lang w:val="en-GB"/>
        </w:rPr>
        <w:t>Appendix 9:</w:t>
      </w:r>
      <w:r>
        <w:rPr>
          <w:b/>
          <w:sz w:val="22"/>
          <w:szCs w:val="22"/>
          <w:lang w:val="en-GB"/>
        </w:rPr>
        <w:tab/>
        <w:t>Standard Terminal Evaluation TOR</w:t>
      </w:r>
      <w:bookmarkEnd w:id="109"/>
    </w:p>
    <w:p w14:paraId="6B64335E" w14:textId="77777777" w:rsidR="00933570" w:rsidRPr="00933570" w:rsidRDefault="00933570" w:rsidP="00933570">
      <w:pPr>
        <w:jc w:val="center"/>
        <w:rPr>
          <w:b/>
          <w:szCs w:val="20"/>
          <w:lang w:val="en-GB"/>
        </w:rPr>
      </w:pPr>
      <w:r w:rsidRPr="00933570">
        <w:rPr>
          <w:b/>
          <w:szCs w:val="20"/>
          <w:lang w:val="en-GB"/>
        </w:rPr>
        <w:t xml:space="preserve">Terminal Evaluation of the UNEP GEF project </w:t>
      </w:r>
    </w:p>
    <w:p w14:paraId="7E138EE3" w14:textId="77777777" w:rsidR="00933570" w:rsidRPr="00933570" w:rsidRDefault="00933570" w:rsidP="00933570">
      <w:pPr>
        <w:jc w:val="center"/>
        <w:rPr>
          <w:b/>
          <w:szCs w:val="20"/>
          <w:lang w:val="en-GB"/>
        </w:rPr>
      </w:pPr>
      <w:r w:rsidRPr="00933570">
        <w:rPr>
          <w:bCs/>
          <w:color w:val="262626"/>
          <w:position w:val="1"/>
          <w:sz w:val="22"/>
          <w:szCs w:val="22"/>
          <w:lang w:val="en-GB"/>
        </w:rPr>
        <w:t>Implementing the Strategic Action Programme for the South China Sea</w:t>
      </w:r>
    </w:p>
    <w:p w14:paraId="4F5D907A" w14:textId="77777777" w:rsidR="00933570" w:rsidRPr="00933570" w:rsidRDefault="00933570" w:rsidP="00933570">
      <w:pPr>
        <w:jc w:val="both"/>
        <w:rPr>
          <w:b/>
          <w:szCs w:val="20"/>
          <w:lang w:val="en-GB"/>
        </w:rPr>
      </w:pPr>
    </w:p>
    <w:p w14:paraId="537C7575" w14:textId="77777777" w:rsidR="00933570" w:rsidRPr="00933570" w:rsidRDefault="00933570" w:rsidP="00E071AC">
      <w:pPr>
        <w:numPr>
          <w:ilvl w:val="0"/>
          <w:numId w:val="35"/>
        </w:numPr>
        <w:jc w:val="both"/>
        <w:rPr>
          <w:b/>
          <w:sz w:val="22"/>
          <w:szCs w:val="22"/>
          <w:lang w:val="en-GB"/>
        </w:rPr>
      </w:pPr>
      <w:r w:rsidRPr="00933570">
        <w:rPr>
          <w:b/>
          <w:sz w:val="22"/>
          <w:szCs w:val="22"/>
          <w:lang w:val="en-GB"/>
        </w:rPr>
        <w:t>PROJECT BACKGROUND AND OVERVIEW</w:t>
      </w:r>
    </w:p>
    <w:p w14:paraId="68B2DAE0" w14:textId="77777777" w:rsidR="00933570" w:rsidRPr="00933570" w:rsidRDefault="00933570" w:rsidP="00933570">
      <w:pPr>
        <w:jc w:val="both"/>
        <w:rPr>
          <w:b/>
          <w:sz w:val="22"/>
          <w:szCs w:val="22"/>
          <w:lang w:val="en-GB"/>
        </w:rPr>
      </w:pPr>
    </w:p>
    <w:p w14:paraId="3083A741" w14:textId="77777777" w:rsidR="00933570" w:rsidRPr="00933570" w:rsidRDefault="00933570" w:rsidP="00933570">
      <w:pPr>
        <w:jc w:val="both"/>
        <w:rPr>
          <w:b/>
          <w:sz w:val="22"/>
          <w:szCs w:val="22"/>
          <w:u w:val="single"/>
          <w:lang w:val="en-GB"/>
        </w:rPr>
      </w:pPr>
      <w:r w:rsidRPr="00933570">
        <w:rPr>
          <w:b/>
          <w:sz w:val="22"/>
          <w:szCs w:val="22"/>
          <w:u w:val="single"/>
          <w:lang w:val="en-GB"/>
        </w:rPr>
        <w:t>Project rationale</w:t>
      </w:r>
    </w:p>
    <w:p w14:paraId="45B44753" w14:textId="77777777" w:rsidR="00933570" w:rsidRPr="00933570" w:rsidRDefault="00933570" w:rsidP="00933570">
      <w:pPr>
        <w:tabs>
          <w:tab w:val="left" w:pos="432"/>
        </w:tabs>
        <w:suppressAutoHyphens/>
        <w:spacing w:after="120"/>
        <w:jc w:val="both"/>
        <w:rPr>
          <w:sz w:val="22"/>
          <w:szCs w:val="22"/>
          <w:lang w:val="en-GB"/>
        </w:rPr>
      </w:pPr>
    </w:p>
    <w:p w14:paraId="30210568" w14:textId="77777777" w:rsidR="00933570" w:rsidRPr="00933570" w:rsidRDefault="00933570" w:rsidP="00933570">
      <w:pPr>
        <w:spacing w:after="120"/>
        <w:jc w:val="both"/>
        <w:rPr>
          <w:rFonts w:eastAsia="Calibri"/>
          <w:sz w:val="22"/>
          <w:szCs w:val="22"/>
          <w:lang w:val="en-GB"/>
        </w:rPr>
      </w:pPr>
      <w:r w:rsidRPr="00933570">
        <w:rPr>
          <w:rFonts w:eastAsia="Calibri"/>
          <w:sz w:val="22"/>
          <w:szCs w:val="22"/>
          <w:lang w:val="en-GB"/>
        </w:rPr>
        <w:t>The longer-term goals of this project are to contribute to:</w:t>
      </w:r>
    </w:p>
    <w:p w14:paraId="7DD940D7" w14:textId="77777777" w:rsidR="00933570" w:rsidRPr="00933570" w:rsidRDefault="00933570" w:rsidP="00E071AC">
      <w:pPr>
        <w:numPr>
          <w:ilvl w:val="0"/>
          <w:numId w:val="34"/>
        </w:numPr>
        <w:spacing w:after="120"/>
        <w:contextualSpacing/>
        <w:jc w:val="both"/>
        <w:rPr>
          <w:bCs/>
          <w:spacing w:val="-2"/>
          <w:sz w:val="22"/>
          <w:szCs w:val="22"/>
          <w:lang w:val="en-GB" w:bidi="th-TH"/>
        </w:rPr>
      </w:pPr>
      <w:r w:rsidRPr="00933570">
        <w:rPr>
          <w:bCs/>
          <w:spacing w:val="-2"/>
          <w:sz w:val="22"/>
          <w:szCs w:val="22"/>
          <w:lang w:val="en-GB" w:bidi="th-TH"/>
        </w:rPr>
        <w:t>to maintain an environment at the regional level, in which collaboration and partnership in addressing environmental problems of the South China Sea, between all stakeholders, and at all levels is fostered and encouraged;</w:t>
      </w:r>
    </w:p>
    <w:p w14:paraId="1299850C" w14:textId="77777777" w:rsidR="00933570" w:rsidRPr="00933570" w:rsidRDefault="00933570" w:rsidP="00E071AC">
      <w:pPr>
        <w:numPr>
          <w:ilvl w:val="0"/>
          <w:numId w:val="34"/>
        </w:numPr>
        <w:spacing w:after="120"/>
        <w:contextualSpacing/>
        <w:jc w:val="both"/>
        <w:rPr>
          <w:bCs/>
          <w:spacing w:val="-2"/>
          <w:sz w:val="22"/>
          <w:szCs w:val="22"/>
          <w:lang w:val="en-GB" w:bidi="th-TH"/>
        </w:rPr>
      </w:pPr>
      <w:r w:rsidRPr="00933570">
        <w:rPr>
          <w:bCs/>
          <w:spacing w:val="-2"/>
          <w:sz w:val="22"/>
          <w:szCs w:val="22"/>
          <w:lang w:val="en-GB" w:bidi="th-TH"/>
        </w:rPr>
        <w:t>to enhance the capacity of the participating governments to integrate environmental considerations into national development planning;</w:t>
      </w:r>
    </w:p>
    <w:p w14:paraId="2691EA76" w14:textId="77777777" w:rsidR="00933570" w:rsidRPr="00933570" w:rsidRDefault="00933570" w:rsidP="00E071AC">
      <w:pPr>
        <w:numPr>
          <w:ilvl w:val="0"/>
          <w:numId w:val="34"/>
        </w:numPr>
        <w:spacing w:after="120"/>
        <w:contextualSpacing/>
        <w:jc w:val="both"/>
        <w:rPr>
          <w:bCs/>
          <w:spacing w:val="-2"/>
          <w:sz w:val="22"/>
          <w:szCs w:val="22"/>
          <w:lang w:val="en-GB" w:bidi="th-TH"/>
        </w:rPr>
      </w:pPr>
      <w:r w:rsidRPr="00933570">
        <w:rPr>
          <w:bCs/>
          <w:spacing w:val="-2"/>
          <w:sz w:val="22"/>
          <w:szCs w:val="22"/>
          <w:lang w:val="en-GB" w:bidi="th-TH"/>
        </w:rPr>
        <w:t>to strengthen and expand the network of scientists, government officials and civil society established under the UNEP/GEF SCS Project.</w:t>
      </w:r>
    </w:p>
    <w:p w14:paraId="46DC872F" w14:textId="77777777" w:rsidR="00933570" w:rsidRPr="00933570" w:rsidRDefault="00933570" w:rsidP="00933570">
      <w:pPr>
        <w:rPr>
          <w:rFonts w:eastAsia="Calibri"/>
          <w:sz w:val="22"/>
          <w:szCs w:val="22"/>
        </w:rPr>
      </w:pPr>
      <w:r w:rsidRPr="00933570">
        <w:rPr>
          <w:rFonts w:eastAsia="Calibri"/>
          <w:sz w:val="22"/>
          <w:szCs w:val="22"/>
        </w:rPr>
        <w:t>The medium term objective of the project is to assist the governments of the participating countries in meeting the targets of the approved Strategic Action Programme through the provision of technical assistance as required in implementing national activities in support of the SAP; and the provision of strong regional co-ordination of the process of SAP implementation.</w:t>
      </w:r>
    </w:p>
    <w:p w14:paraId="153AF982" w14:textId="77777777" w:rsidR="00933570" w:rsidRPr="00933570" w:rsidRDefault="00933570" w:rsidP="00933570">
      <w:pPr>
        <w:rPr>
          <w:rFonts w:eastAsia="Calibri"/>
          <w:sz w:val="22"/>
          <w:szCs w:val="22"/>
        </w:rPr>
      </w:pPr>
    </w:p>
    <w:p w14:paraId="1282A521" w14:textId="77777777" w:rsidR="00933570" w:rsidRPr="00933570" w:rsidRDefault="00933570" w:rsidP="00933570">
      <w:pPr>
        <w:tabs>
          <w:tab w:val="left" w:pos="432"/>
        </w:tabs>
        <w:suppressAutoHyphens/>
        <w:spacing w:after="120"/>
        <w:jc w:val="both"/>
        <w:rPr>
          <w:i/>
          <w:sz w:val="22"/>
          <w:szCs w:val="22"/>
          <w:lang w:val="en-GB"/>
        </w:rPr>
      </w:pPr>
      <w:r w:rsidRPr="00933570">
        <w:rPr>
          <w:i/>
          <w:sz w:val="22"/>
          <w:szCs w:val="22"/>
          <w:lang w:val="en-GB"/>
        </w:rPr>
        <w:t xml:space="preserve">The indicators given in the project document for these stated objectives were: </w:t>
      </w:r>
    </w:p>
    <w:p w14:paraId="39059F9B" w14:textId="77777777" w:rsidR="00933570" w:rsidRPr="00933570" w:rsidRDefault="00933570" w:rsidP="00933570">
      <w:pPr>
        <w:spacing w:after="120"/>
        <w:rPr>
          <w:b/>
          <w:sz w:val="22"/>
          <w:szCs w:val="22"/>
        </w:rPr>
      </w:pPr>
      <w:r w:rsidRPr="00933570">
        <w:rPr>
          <w:b/>
          <w:sz w:val="22"/>
          <w:szCs w:val="22"/>
        </w:rPr>
        <w:t>Reducing habitat degradation and loss via national and local reforms to achieve Strategic Action Programme targets for coastal habitat management in the South China Sea</w:t>
      </w:r>
    </w:p>
    <w:p w14:paraId="27C8D520" w14:textId="77777777" w:rsidR="00933570" w:rsidRPr="00933570" w:rsidRDefault="00933570" w:rsidP="00E071AC">
      <w:pPr>
        <w:numPr>
          <w:ilvl w:val="0"/>
          <w:numId w:val="50"/>
        </w:numPr>
        <w:contextualSpacing/>
        <w:jc w:val="both"/>
        <w:rPr>
          <w:sz w:val="22"/>
          <w:szCs w:val="22"/>
          <w:lang w:val="en-GB" w:bidi="th-TH"/>
        </w:rPr>
      </w:pPr>
      <w:r w:rsidRPr="00933570">
        <w:rPr>
          <w:sz w:val="22"/>
          <w:szCs w:val="22"/>
          <w:lang w:val="en-GB" w:bidi="th-TH"/>
        </w:rPr>
        <w:t xml:space="preserve">Appropriate forms of sustainable management established for 860,000 ha of mangrove; </w:t>
      </w:r>
    </w:p>
    <w:p w14:paraId="5EA501F7" w14:textId="77777777" w:rsidR="00933570" w:rsidRPr="00933570" w:rsidRDefault="00933570" w:rsidP="00E071AC">
      <w:pPr>
        <w:numPr>
          <w:ilvl w:val="0"/>
          <w:numId w:val="50"/>
        </w:numPr>
        <w:contextualSpacing/>
        <w:jc w:val="both"/>
        <w:rPr>
          <w:sz w:val="22"/>
          <w:szCs w:val="22"/>
          <w:lang w:val="en-GB" w:bidi="th-TH"/>
        </w:rPr>
      </w:pPr>
      <w:r w:rsidRPr="00933570">
        <w:rPr>
          <w:sz w:val="22"/>
          <w:szCs w:val="22"/>
          <w:lang w:val="en-GB" w:bidi="th-TH"/>
        </w:rPr>
        <w:t xml:space="preserve">153,000 ha of coral reef at 82 priority sites managed sustainably, including a reduction in the decadal rate of degradation in live coral cover from 16 to 5%; </w:t>
      </w:r>
    </w:p>
    <w:p w14:paraId="7B495CA9" w14:textId="77777777" w:rsidR="00933570" w:rsidRPr="00933570" w:rsidRDefault="00933570" w:rsidP="00E071AC">
      <w:pPr>
        <w:numPr>
          <w:ilvl w:val="0"/>
          <w:numId w:val="50"/>
        </w:numPr>
        <w:contextualSpacing/>
        <w:jc w:val="both"/>
        <w:rPr>
          <w:sz w:val="22"/>
          <w:szCs w:val="22"/>
          <w:lang w:val="en-GB" w:bidi="th-TH"/>
        </w:rPr>
      </w:pPr>
      <w:r w:rsidRPr="00933570">
        <w:rPr>
          <w:sz w:val="22"/>
          <w:szCs w:val="22"/>
          <w:lang w:val="en-GB" w:bidi="th-TH"/>
        </w:rPr>
        <w:t xml:space="preserve">Conservation, management and sustainable use of 25,900 ha of known seagrass area in the South China Sea; </w:t>
      </w:r>
    </w:p>
    <w:p w14:paraId="4874A9DE" w14:textId="77777777" w:rsidR="00933570" w:rsidRPr="00933570" w:rsidRDefault="00933570" w:rsidP="00E071AC">
      <w:pPr>
        <w:numPr>
          <w:ilvl w:val="0"/>
          <w:numId w:val="50"/>
        </w:numPr>
        <w:contextualSpacing/>
        <w:jc w:val="both"/>
        <w:rPr>
          <w:sz w:val="22"/>
          <w:szCs w:val="22"/>
          <w:lang w:val="en-GB" w:bidi="th-TH"/>
        </w:rPr>
      </w:pPr>
      <w:r w:rsidRPr="00933570">
        <w:rPr>
          <w:sz w:val="22"/>
          <w:szCs w:val="22"/>
          <w:lang w:val="en-GB" w:bidi="th-TH"/>
        </w:rPr>
        <w:t>Integrated management of 783,900 ha of coastal wetland at 19 sites, including habitat restoration and protection strengthened at priority locations; and</w:t>
      </w:r>
    </w:p>
    <w:p w14:paraId="3EA587D5" w14:textId="77777777" w:rsidR="00933570" w:rsidRPr="00933570" w:rsidRDefault="00933570" w:rsidP="00E071AC">
      <w:pPr>
        <w:numPr>
          <w:ilvl w:val="0"/>
          <w:numId w:val="50"/>
        </w:numPr>
        <w:contextualSpacing/>
        <w:jc w:val="both"/>
        <w:rPr>
          <w:sz w:val="22"/>
          <w:szCs w:val="22"/>
          <w:lang w:val="en-GB" w:bidi="th-TH"/>
        </w:rPr>
      </w:pPr>
      <w:r w:rsidRPr="00933570">
        <w:rPr>
          <w:sz w:val="22"/>
          <w:szCs w:val="22"/>
          <w:lang w:val="en-GB" w:bidi="th-TH"/>
        </w:rPr>
        <w:t>National and regional level cooperation in tracking results of SAP actions for coastal habitat management.</w:t>
      </w:r>
    </w:p>
    <w:p w14:paraId="6F58DC94" w14:textId="77777777" w:rsidR="00933570" w:rsidRPr="00933570" w:rsidRDefault="00933570" w:rsidP="00933570">
      <w:pPr>
        <w:ind w:left="720"/>
        <w:contextualSpacing/>
        <w:jc w:val="both"/>
        <w:rPr>
          <w:sz w:val="22"/>
          <w:szCs w:val="22"/>
          <w:lang w:val="en-GB" w:bidi="th-TH"/>
        </w:rPr>
      </w:pPr>
    </w:p>
    <w:p w14:paraId="3F1310AD" w14:textId="77777777" w:rsidR="00933570" w:rsidRPr="00933570" w:rsidRDefault="00933570" w:rsidP="00933570">
      <w:pPr>
        <w:tabs>
          <w:tab w:val="left" w:pos="0"/>
        </w:tabs>
        <w:jc w:val="both"/>
        <w:rPr>
          <w:b/>
          <w:sz w:val="22"/>
          <w:szCs w:val="22"/>
        </w:rPr>
      </w:pPr>
      <w:r w:rsidRPr="00933570">
        <w:rPr>
          <w:b/>
          <w:sz w:val="22"/>
          <w:szCs w:val="22"/>
        </w:rPr>
        <w:t>Strengthening knowledge-based action planning for the management of coastal habitats and land-based pollution to reduce environmental degradation of the South China Sea</w:t>
      </w:r>
    </w:p>
    <w:p w14:paraId="5973A0E0" w14:textId="77777777" w:rsidR="00933570" w:rsidRPr="00933570" w:rsidRDefault="00933570" w:rsidP="00933570">
      <w:pPr>
        <w:ind w:left="360"/>
        <w:jc w:val="both"/>
        <w:rPr>
          <w:b/>
          <w:sz w:val="22"/>
          <w:szCs w:val="22"/>
        </w:rPr>
      </w:pPr>
    </w:p>
    <w:p w14:paraId="43EF9E05" w14:textId="77777777" w:rsidR="00933570" w:rsidRPr="00933570" w:rsidRDefault="00933570" w:rsidP="00E071AC">
      <w:pPr>
        <w:numPr>
          <w:ilvl w:val="0"/>
          <w:numId w:val="51"/>
        </w:numPr>
        <w:contextualSpacing/>
        <w:jc w:val="both"/>
        <w:rPr>
          <w:sz w:val="22"/>
          <w:szCs w:val="22"/>
          <w:lang w:val="en-GB" w:bidi="th-TH"/>
        </w:rPr>
      </w:pPr>
      <w:r w:rsidRPr="00933570">
        <w:rPr>
          <w:sz w:val="22"/>
          <w:szCs w:val="22"/>
          <w:lang w:val="en-GB" w:bidi="th-TH"/>
        </w:rPr>
        <w:t xml:space="preserve">enhanced information-base for coastal habitat management and action planning; </w:t>
      </w:r>
    </w:p>
    <w:p w14:paraId="5A8E0E31" w14:textId="77777777" w:rsidR="00933570" w:rsidRPr="00933570" w:rsidRDefault="00933570" w:rsidP="00E071AC">
      <w:pPr>
        <w:numPr>
          <w:ilvl w:val="0"/>
          <w:numId w:val="51"/>
        </w:numPr>
        <w:contextualSpacing/>
        <w:jc w:val="both"/>
        <w:rPr>
          <w:sz w:val="22"/>
          <w:szCs w:val="22"/>
          <w:lang w:val="en-GB" w:bidi="th-TH"/>
        </w:rPr>
      </w:pPr>
      <w:r w:rsidRPr="00933570">
        <w:rPr>
          <w:sz w:val="22"/>
          <w:szCs w:val="22"/>
          <w:lang w:val="en-GB" w:bidi="th-TH"/>
        </w:rPr>
        <w:t xml:space="preserve">effective integration of regional science in the management of land-based pollution; </w:t>
      </w:r>
    </w:p>
    <w:p w14:paraId="16C3489E" w14:textId="77777777" w:rsidR="00933570" w:rsidRPr="00933570" w:rsidRDefault="00933570" w:rsidP="00E071AC">
      <w:pPr>
        <w:numPr>
          <w:ilvl w:val="0"/>
          <w:numId w:val="51"/>
        </w:numPr>
        <w:contextualSpacing/>
        <w:jc w:val="both"/>
        <w:rPr>
          <w:sz w:val="22"/>
          <w:szCs w:val="22"/>
          <w:lang w:val="en-GB" w:bidi="th-TH"/>
        </w:rPr>
      </w:pPr>
      <w:r w:rsidRPr="00933570">
        <w:rPr>
          <w:sz w:val="22"/>
          <w:szCs w:val="22"/>
          <w:lang w:val="en-GB" w:bidi="th-TH"/>
        </w:rPr>
        <w:t xml:space="preserve">strengthened and harmonized national policies and laws, and supporting financial mechanism, for the management of land-based sources of pollution; </w:t>
      </w:r>
    </w:p>
    <w:p w14:paraId="5CC58E91" w14:textId="77777777" w:rsidR="00933570" w:rsidRPr="00933570" w:rsidRDefault="00933570" w:rsidP="00E071AC">
      <w:pPr>
        <w:numPr>
          <w:ilvl w:val="0"/>
          <w:numId w:val="51"/>
        </w:numPr>
        <w:contextualSpacing/>
        <w:jc w:val="both"/>
        <w:rPr>
          <w:sz w:val="22"/>
          <w:szCs w:val="22"/>
          <w:lang w:val="en-GB" w:bidi="th-TH"/>
        </w:rPr>
      </w:pPr>
      <w:r w:rsidRPr="00933570">
        <w:rPr>
          <w:sz w:val="22"/>
          <w:szCs w:val="22"/>
          <w:lang w:val="en-GB" w:bidi="th-TH"/>
        </w:rPr>
        <w:t xml:space="preserve">improved national and regional values for the Total Economic Values of coastal habitats for use in development planning and decision-making; </w:t>
      </w:r>
    </w:p>
    <w:p w14:paraId="21FB4138" w14:textId="77777777" w:rsidR="00933570" w:rsidRPr="00933570" w:rsidRDefault="00933570" w:rsidP="00E071AC">
      <w:pPr>
        <w:numPr>
          <w:ilvl w:val="0"/>
          <w:numId w:val="51"/>
        </w:numPr>
        <w:contextualSpacing/>
        <w:jc w:val="both"/>
        <w:rPr>
          <w:sz w:val="22"/>
          <w:szCs w:val="22"/>
          <w:lang w:val="en-GB" w:bidi="th-TH"/>
        </w:rPr>
      </w:pPr>
      <w:r w:rsidRPr="00933570">
        <w:rPr>
          <w:sz w:val="22"/>
          <w:szCs w:val="22"/>
          <w:lang w:val="en-GB" w:bidi="th-TH"/>
        </w:rPr>
        <w:t xml:space="preserve">regionally appropriate tools and mechanisms to guide the development of sustainable management systems for coastal habitats and land-based pollution; and </w:t>
      </w:r>
    </w:p>
    <w:p w14:paraId="3F01D471" w14:textId="77777777" w:rsidR="00933570" w:rsidRPr="00933570" w:rsidRDefault="00933570" w:rsidP="00E071AC">
      <w:pPr>
        <w:numPr>
          <w:ilvl w:val="0"/>
          <w:numId w:val="51"/>
        </w:numPr>
        <w:contextualSpacing/>
        <w:jc w:val="both"/>
        <w:rPr>
          <w:sz w:val="22"/>
          <w:szCs w:val="22"/>
          <w:lang w:val="en-GB" w:bidi="th-TH"/>
        </w:rPr>
      </w:pPr>
      <w:r w:rsidRPr="00933570">
        <w:rPr>
          <w:sz w:val="22"/>
          <w:szCs w:val="22"/>
          <w:lang w:val="en-GB" w:bidi="th-TH"/>
        </w:rPr>
        <w:t>an updated and Ministerially adopted Transboundary Diagnostic Analysis and Strategic Action Programme, including prioritization of national management actions to address climate variability and change</w:t>
      </w:r>
    </w:p>
    <w:p w14:paraId="443FB763" w14:textId="77777777" w:rsidR="00933570" w:rsidRPr="00933570" w:rsidRDefault="00933570" w:rsidP="00933570">
      <w:pPr>
        <w:jc w:val="both"/>
        <w:rPr>
          <w:sz w:val="22"/>
          <w:szCs w:val="22"/>
        </w:rPr>
      </w:pPr>
    </w:p>
    <w:p w14:paraId="5B6B1D9D" w14:textId="77777777" w:rsidR="00933570" w:rsidRPr="00933570" w:rsidRDefault="00933570" w:rsidP="00933570">
      <w:pPr>
        <w:spacing w:after="120"/>
        <w:jc w:val="both"/>
        <w:rPr>
          <w:b/>
          <w:sz w:val="22"/>
          <w:szCs w:val="22"/>
        </w:rPr>
      </w:pPr>
      <w:r w:rsidRPr="00933570">
        <w:rPr>
          <w:b/>
          <w:sz w:val="22"/>
          <w:szCs w:val="22"/>
        </w:rPr>
        <w:t>Facilitating regional and national level integration and cooperation for implementation of the South China Sea Strategic Action Programme</w:t>
      </w:r>
    </w:p>
    <w:p w14:paraId="375C0945" w14:textId="77777777" w:rsidR="00933570" w:rsidRPr="00933570" w:rsidRDefault="00933570" w:rsidP="00E071AC">
      <w:pPr>
        <w:numPr>
          <w:ilvl w:val="0"/>
          <w:numId w:val="52"/>
        </w:numPr>
        <w:contextualSpacing/>
        <w:rPr>
          <w:sz w:val="22"/>
          <w:szCs w:val="22"/>
          <w:lang w:val="en-GB" w:bidi="th-TH"/>
        </w:rPr>
      </w:pPr>
      <w:r w:rsidRPr="00933570">
        <w:rPr>
          <w:sz w:val="22"/>
          <w:szCs w:val="22"/>
          <w:lang w:val="en-GB" w:bidi="th-TH"/>
        </w:rPr>
        <w:t xml:space="preserve">regional and sub-regional co-operation in the integration of scientific knowledge and research outputs with management and policy making; </w:t>
      </w:r>
    </w:p>
    <w:p w14:paraId="60DC71DC" w14:textId="77777777" w:rsidR="00933570" w:rsidRPr="00933570" w:rsidRDefault="00933570" w:rsidP="00E071AC">
      <w:pPr>
        <w:numPr>
          <w:ilvl w:val="0"/>
          <w:numId w:val="52"/>
        </w:numPr>
        <w:contextualSpacing/>
        <w:rPr>
          <w:sz w:val="22"/>
          <w:szCs w:val="22"/>
          <w:lang w:val="en-GB" w:bidi="th-TH"/>
        </w:rPr>
      </w:pPr>
      <w:r w:rsidRPr="00933570">
        <w:rPr>
          <w:sz w:val="22"/>
          <w:szCs w:val="22"/>
          <w:lang w:val="en-GB" w:bidi="th-TH"/>
        </w:rPr>
        <w:t xml:space="preserve">capacity for civil society and community organization participation in SAP implementation strengthened via operational partnership with GEF SGP; </w:t>
      </w:r>
    </w:p>
    <w:p w14:paraId="0408DDF1" w14:textId="77777777" w:rsidR="00933570" w:rsidRPr="00933570" w:rsidRDefault="00933570" w:rsidP="00E071AC">
      <w:pPr>
        <w:numPr>
          <w:ilvl w:val="0"/>
          <w:numId w:val="52"/>
        </w:numPr>
        <w:contextualSpacing/>
        <w:rPr>
          <w:sz w:val="22"/>
          <w:szCs w:val="22"/>
          <w:lang w:val="en-GB" w:bidi="th-TH"/>
        </w:rPr>
      </w:pPr>
      <w:r w:rsidRPr="00933570">
        <w:rPr>
          <w:sz w:val="22"/>
          <w:szCs w:val="22"/>
          <w:lang w:val="en-GB" w:bidi="th-TH"/>
        </w:rPr>
        <w:t xml:space="preserve">relationships between central and local governments and the private sector strengthened and formalized; </w:t>
      </w:r>
    </w:p>
    <w:p w14:paraId="633711EF" w14:textId="77777777" w:rsidR="00933570" w:rsidRPr="00933570" w:rsidRDefault="00933570" w:rsidP="00E071AC">
      <w:pPr>
        <w:numPr>
          <w:ilvl w:val="0"/>
          <w:numId w:val="52"/>
        </w:numPr>
        <w:contextualSpacing/>
        <w:rPr>
          <w:sz w:val="22"/>
          <w:szCs w:val="22"/>
          <w:lang w:val="en-GB" w:bidi="th-TH"/>
        </w:rPr>
      </w:pPr>
      <w:r w:rsidRPr="00933570">
        <w:rPr>
          <w:sz w:val="22"/>
          <w:szCs w:val="22"/>
          <w:lang w:val="en-GB" w:bidi="th-TH"/>
        </w:rPr>
        <w:t xml:space="preserve">revitalization of regional mechanisms for communications, knowledge exchange, and information and data management and sharing; and </w:t>
      </w:r>
    </w:p>
    <w:p w14:paraId="52B7DE2E" w14:textId="77777777" w:rsidR="00933570" w:rsidRPr="00933570" w:rsidRDefault="00933570" w:rsidP="00E071AC">
      <w:pPr>
        <w:numPr>
          <w:ilvl w:val="0"/>
          <w:numId w:val="52"/>
        </w:numPr>
        <w:contextualSpacing/>
        <w:rPr>
          <w:sz w:val="22"/>
          <w:szCs w:val="22"/>
          <w:lang w:val="en-GB" w:bidi="th-TH"/>
        </w:rPr>
      </w:pPr>
      <w:r w:rsidRPr="00933570">
        <w:rPr>
          <w:sz w:val="22"/>
          <w:szCs w:val="22"/>
          <w:lang w:val="en-GB" w:bidi="th-TH"/>
        </w:rPr>
        <w:t>agreed arrangements for strengthened regional cooperation in the management of the marine and coastal environment of the South China Sea.</w:t>
      </w:r>
    </w:p>
    <w:p w14:paraId="72D37B2D" w14:textId="77777777" w:rsidR="00933570" w:rsidRPr="00933570" w:rsidRDefault="00933570" w:rsidP="00933570">
      <w:pPr>
        <w:tabs>
          <w:tab w:val="left" w:pos="432"/>
        </w:tabs>
        <w:suppressAutoHyphens/>
        <w:spacing w:after="120"/>
        <w:jc w:val="both"/>
        <w:rPr>
          <w:sz w:val="22"/>
          <w:szCs w:val="22"/>
          <w:lang w:val="en-GB"/>
        </w:rPr>
      </w:pPr>
    </w:p>
    <w:p w14:paraId="36295FD7" w14:textId="77777777" w:rsidR="00933570" w:rsidRPr="00933570" w:rsidRDefault="00933570" w:rsidP="00933570">
      <w:pPr>
        <w:jc w:val="both"/>
        <w:rPr>
          <w:b/>
          <w:sz w:val="22"/>
          <w:szCs w:val="22"/>
          <w:u w:val="single"/>
          <w:lang w:val="en-GB"/>
        </w:rPr>
      </w:pPr>
      <w:r w:rsidRPr="00933570">
        <w:rPr>
          <w:b/>
          <w:sz w:val="22"/>
          <w:szCs w:val="22"/>
          <w:u w:val="single"/>
          <w:lang w:val="en-GB"/>
        </w:rPr>
        <w:t>Relevance to GEF Programmes</w:t>
      </w:r>
    </w:p>
    <w:p w14:paraId="6C4E838F" w14:textId="77777777" w:rsidR="00933570" w:rsidRPr="00933570" w:rsidRDefault="00933570" w:rsidP="00933570">
      <w:pPr>
        <w:tabs>
          <w:tab w:val="left" w:pos="432"/>
        </w:tabs>
        <w:suppressAutoHyphens/>
        <w:spacing w:after="120"/>
        <w:jc w:val="both"/>
        <w:rPr>
          <w:i/>
          <w:sz w:val="22"/>
          <w:szCs w:val="22"/>
          <w:lang w:val="en-GB"/>
        </w:rPr>
      </w:pPr>
      <w:r w:rsidRPr="00933570">
        <w:rPr>
          <w:i/>
          <w:sz w:val="22"/>
          <w:szCs w:val="22"/>
          <w:lang w:val="en-GB"/>
        </w:rPr>
        <w:t>The project is in line with:</w:t>
      </w:r>
    </w:p>
    <w:p w14:paraId="1B19F798" w14:textId="77777777" w:rsidR="00933570" w:rsidRPr="00933570" w:rsidRDefault="00933570" w:rsidP="00933570">
      <w:pPr>
        <w:tabs>
          <w:tab w:val="left" w:pos="720"/>
          <w:tab w:val="left" w:pos="4320"/>
        </w:tabs>
        <w:spacing w:after="120"/>
        <w:ind w:left="4320" w:hanging="4320"/>
        <w:rPr>
          <w:sz w:val="22"/>
          <w:szCs w:val="22"/>
          <w:lang w:val="en-GB"/>
        </w:rPr>
      </w:pPr>
      <w:r w:rsidRPr="00933570">
        <w:rPr>
          <w:sz w:val="22"/>
          <w:szCs w:val="22"/>
          <w:lang w:val="en-GB"/>
        </w:rPr>
        <w:t>GEF strategic long-term objective:</w:t>
      </w:r>
      <w:r w:rsidRPr="00933570">
        <w:rPr>
          <w:sz w:val="22"/>
          <w:szCs w:val="22"/>
          <w:lang w:val="en-GB"/>
        </w:rPr>
        <w:tab/>
        <w:t>Promotion of collective management of transboundary water systems</w:t>
      </w:r>
    </w:p>
    <w:p w14:paraId="4E3C3266" w14:textId="77777777" w:rsidR="00933570" w:rsidRPr="00933570" w:rsidRDefault="00933570" w:rsidP="00933570">
      <w:pPr>
        <w:tabs>
          <w:tab w:val="left" w:pos="720"/>
        </w:tabs>
        <w:spacing w:after="120"/>
        <w:ind w:left="4320" w:hanging="4320"/>
        <w:rPr>
          <w:sz w:val="22"/>
          <w:szCs w:val="22"/>
          <w:lang w:val="en-GB"/>
        </w:rPr>
      </w:pPr>
      <w:r w:rsidRPr="00933570">
        <w:rPr>
          <w:sz w:val="22"/>
          <w:szCs w:val="22"/>
          <w:lang w:val="en-GB"/>
        </w:rPr>
        <w:t>Strategic programme for GEF V:</w:t>
      </w:r>
      <w:r w:rsidRPr="00933570">
        <w:rPr>
          <w:sz w:val="22"/>
          <w:szCs w:val="22"/>
          <w:lang w:val="en-GB"/>
        </w:rPr>
        <w:tab/>
        <w:t xml:space="preserve">GEF-5 International Waters Strategic Priority 2: Catalyze multi-state cooperation </w:t>
      </w:r>
    </w:p>
    <w:p w14:paraId="76664506" w14:textId="77777777" w:rsidR="00933570" w:rsidRPr="00933570" w:rsidRDefault="00933570" w:rsidP="00933570">
      <w:pPr>
        <w:tabs>
          <w:tab w:val="left" w:pos="0"/>
          <w:tab w:val="left" w:pos="306"/>
          <w:tab w:val="left" w:pos="1326"/>
          <w:tab w:val="left" w:pos="1836"/>
          <w:tab w:val="left" w:pos="2346"/>
          <w:tab w:val="left" w:pos="5160"/>
          <w:tab w:val="left" w:pos="6960"/>
        </w:tabs>
        <w:suppressAutoHyphens/>
        <w:ind w:right="-306"/>
        <w:jc w:val="both"/>
        <w:rPr>
          <w:b/>
          <w:sz w:val="22"/>
          <w:szCs w:val="22"/>
          <w:u w:val="single"/>
          <w:lang w:val="en-GB"/>
        </w:rPr>
      </w:pPr>
      <w:r w:rsidRPr="00933570">
        <w:rPr>
          <w:b/>
          <w:sz w:val="22"/>
          <w:szCs w:val="22"/>
          <w:u w:val="single"/>
          <w:lang w:val="en-GB"/>
        </w:rPr>
        <w:t>Executing Arrangements</w:t>
      </w:r>
    </w:p>
    <w:p w14:paraId="4C72EC71" w14:textId="77777777" w:rsidR="00933570" w:rsidRPr="00933570" w:rsidRDefault="00933570" w:rsidP="00933570">
      <w:pPr>
        <w:tabs>
          <w:tab w:val="left" w:pos="432"/>
        </w:tabs>
        <w:suppressAutoHyphens/>
        <w:spacing w:after="120"/>
        <w:jc w:val="both"/>
        <w:rPr>
          <w:i/>
          <w:sz w:val="22"/>
          <w:szCs w:val="22"/>
          <w:lang w:val="en-GB"/>
        </w:rPr>
      </w:pPr>
      <w:r w:rsidRPr="00933570">
        <w:rPr>
          <w:i/>
          <w:sz w:val="22"/>
          <w:szCs w:val="22"/>
          <w:lang w:val="en-GB"/>
        </w:rPr>
        <w:t>The implementing agency for this project was UNEP and the national lead agencies were:</w:t>
      </w:r>
    </w:p>
    <w:p w14:paraId="6FE58F3A" w14:textId="77777777" w:rsidR="00933570" w:rsidRPr="00933570" w:rsidRDefault="00933570" w:rsidP="00933570">
      <w:pPr>
        <w:tabs>
          <w:tab w:val="left" w:pos="432"/>
        </w:tabs>
        <w:suppressAutoHyphens/>
        <w:spacing w:after="120"/>
        <w:jc w:val="both"/>
        <w:rPr>
          <w:i/>
          <w:sz w:val="22"/>
          <w:szCs w:val="22"/>
          <w:lang w:val="en-GB"/>
        </w:rPr>
      </w:pPr>
      <w:r w:rsidRPr="00933570">
        <w:rPr>
          <w:i/>
          <w:sz w:val="22"/>
          <w:szCs w:val="22"/>
          <w:lang w:val="en-GB"/>
        </w:rPr>
        <w:t>The lead national agencies in the focal countries were:</w:t>
      </w:r>
    </w:p>
    <w:p w14:paraId="54B49EA7" w14:textId="77777777" w:rsidR="00933570" w:rsidRPr="00933570" w:rsidRDefault="00933570" w:rsidP="00933570">
      <w:pPr>
        <w:tabs>
          <w:tab w:val="left" w:pos="432"/>
        </w:tabs>
        <w:suppressAutoHyphens/>
        <w:spacing w:after="120"/>
        <w:jc w:val="both"/>
        <w:rPr>
          <w:rFonts w:eastAsia="Calibri"/>
          <w:sz w:val="22"/>
          <w:szCs w:val="22"/>
          <w:lang w:val="en-GB"/>
        </w:rPr>
      </w:pPr>
      <w:r w:rsidRPr="00933570">
        <w:rPr>
          <w:rFonts w:eastAsia="Calibri"/>
          <w:sz w:val="22"/>
          <w:szCs w:val="22"/>
          <w:lang w:val="en-GB"/>
        </w:rPr>
        <w:t>The Ministry of Environment of Cambodia,</w:t>
      </w:r>
    </w:p>
    <w:p w14:paraId="30374CCD" w14:textId="77777777" w:rsidR="00933570" w:rsidRPr="00933570" w:rsidRDefault="00933570" w:rsidP="00933570">
      <w:pPr>
        <w:tabs>
          <w:tab w:val="left" w:pos="432"/>
        </w:tabs>
        <w:suppressAutoHyphens/>
        <w:spacing w:after="120"/>
        <w:jc w:val="both"/>
        <w:rPr>
          <w:rFonts w:eastAsia="Calibri"/>
          <w:sz w:val="22"/>
          <w:szCs w:val="22"/>
          <w:lang w:val="en-GB"/>
        </w:rPr>
      </w:pPr>
      <w:r w:rsidRPr="00933570">
        <w:rPr>
          <w:rFonts w:eastAsia="Calibri"/>
          <w:sz w:val="22"/>
          <w:szCs w:val="22"/>
          <w:lang w:val="en-GB"/>
        </w:rPr>
        <w:t>The Ministry of Environment, China</w:t>
      </w:r>
    </w:p>
    <w:p w14:paraId="548A3009" w14:textId="77777777" w:rsidR="00933570" w:rsidRPr="00933570" w:rsidRDefault="00933570" w:rsidP="00933570">
      <w:pPr>
        <w:tabs>
          <w:tab w:val="left" w:pos="432"/>
        </w:tabs>
        <w:suppressAutoHyphens/>
        <w:spacing w:after="120"/>
        <w:jc w:val="both"/>
        <w:rPr>
          <w:rFonts w:eastAsia="Calibri"/>
          <w:sz w:val="22"/>
          <w:szCs w:val="22"/>
          <w:lang w:val="en-GB"/>
        </w:rPr>
      </w:pPr>
      <w:r w:rsidRPr="00933570">
        <w:rPr>
          <w:rFonts w:eastAsia="Calibri"/>
          <w:sz w:val="22"/>
          <w:szCs w:val="22"/>
          <w:lang w:val="en-GB"/>
        </w:rPr>
        <w:t xml:space="preserve">The Ministry of Environment </w:t>
      </w:r>
      <w:r w:rsidR="005179BF">
        <w:rPr>
          <w:rFonts w:eastAsia="Calibri"/>
          <w:sz w:val="22"/>
          <w:szCs w:val="22"/>
          <w:lang w:val="en-GB"/>
        </w:rPr>
        <w:t xml:space="preserve">and Forestry </w:t>
      </w:r>
      <w:r w:rsidRPr="00933570">
        <w:rPr>
          <w:rFonts w:eastAsia="Calibri"/>
          <w:sz w:val="22"/>
          <w:szCs w:val="22"/>
          <w:lang w:val="en-GB"/>
        </w:rPr>
        <w:t>of Indonesia,</w:t>
      </w:r>
    </w:p>
    <w:p w14:paraId="5461A1C2" w14:textId="77777777" w:rsidR="00933570" w:rsidRPr="00933570" w:rsidRDefault="00933570" w:rsidP="00933570">
      <w:pPr>
        <w:tabs>
          <w:tab w:val="left" w:pos="432"/>
        </w:tabs>
        <w:suppressAutoHyphens/>
        <w:spacing w:after="120"/>
        <w:jc w:val="both"/>
        <w:rPr>
          <w:rFonts w:eastAsia="Calibri"/>
          <w:sz w:val="22"/>
          <w:szCs w:val="22"/>
          <w:lang w:val="en-GB"/>
        </w:rPr>
      </w:pPr>
      <w:r w:rsidRPr="00933570">
        <w:rPr>
          <w:rFonts w:eastAsia="Calibri"/>
          <w:sz w:val="22"/>
          <w:szCs w:val="22"/>
          <w:lang w:val="en-GB"/>
        </w:rPr>
        <w:t xml:space="preserve">The Department of Natural Resources and Environment (Philippines), </w:t>
      </w:r>
    </w:p>
    <w:p w14:paraId="40877D2C" w14:textId="77777777" w:rsidR="00933570" w:rsidRPr="00933570" w:rsidRDefault="00933570" w:rsidP="00933570">
      <w:pPr>
        <w:tabs>
          <w:tab w:val="left" w:pos="432"/>
        </w:tabs>
        <w:suppressAutoHyphens/>
        <w:spacing w:after="120"/>
        <w:jc w:val="both"/>
        <w:rPr>
          <w:rFonts w:eastAsia="Calibri"/>
          <w:sz w:val="22"/>
          <w:szCs w:val="22"/>
          <w:lang w:val="en-GB"/>
        </w:rPr>
      </w:pPr>
      <w:r w:rsidRPr="00933570">
        <w:rPr>
          <w:rFonts w:eastAsia="Calibri"/>
          <w:sz w:val="22"/>
          <w:szCs w:val="22"/>
          <w:lang w:val="en-GB"/>
        </w:rPr>
        <w:t xml:space="preserve">The Ministry of Environment and Natural Resources (Thailand), and </w:t>
      </w:r>
    </w:p>
    <w:p w14:paraId="28D9D7D4" w14:textId="77777777" w:rsidR="00933570" w:rsidRPr="00933570" w:rsidRDefault="00933570" w:rsidP="00933570">
      <w:pPr>
        <w:tabs>
          <w:tab w:val="left" w:pos="432"/>
        </w:tabs>
        <w:suppressAutoHyphens/>
        <w:spacing w:after="120"/>
        <w:jc w:val="both"/>
        <w:rPr>
          <w:iCs/>
          <w:sz w:val="22"/>
          <w:szCs w:val="22"/>
          <w:lang w:val="en-GB"/>
        </w:rPr>
      </w:pPr>
      <w:r w:rsidRPr="00933570">
        <w:rPr>
          <w:rFonts w:eastAsia="Calibri"/>
          <w:sz w:val="22"/>
          <w:szCs w:val="22"/>
          <w:lang w:val="en-GB"/>
        </w:rPr>
        <w:t>The Ministry of Natural Resources and Environment (VASI) Viet Nam,</w:t>
      </w:r>
    </w:p>
    <w:p w14:paraId="4839A77F" w14:textId="77777777" w:rsidR="00933570" w:rsidRPr="00933570" w:rsidRDefault="00933570" w:rsidP="00933570">
      <w:pPr>
        <w:tabs>
          <w:tab w:val="left" w:pos="8460"/>
        </w:tabs>
        <w:jc w:val="both"/>
        <w:rPr>
          <w:iCs/>
          <w:sz w:val="22"/>
          <w:szCs w:val="22"/>
          <w:lang w:val="en-GB"/>
        </w:rPr>
      </w:pPr>
    </w:p>
    <w:p w14:paraId="66DB97EA" w14:textId="77777777" w:rsidR="00933570" w:rsidRPr="00933570" w:rsidRDefault="00933570" w:rsidP="00933570">
      <w:pPr>
        <w:tabs>
          <w:tab w:val="left" w:pos="0"/>
          <w:tab w:val="left" w:pos="306"/>
          <w:tab w:val="left" w:pos="1326"/>
          <w:tab w:val="left" w:pos="1836"/>
          <w:tab w:val="left" w:pos="2346"/>
          <w:tab w:val="left" w:pos="5160"/>
          <w:tab w:val="left" w:pos="6960"/>
        </w:tabs>
        <w:suppressAutoHyphens/>
        <w:jc w:val="both"/>
        <w:rPr>
          <w:b/>
          <w:sz w:val="22"/>
          <w:szCs w:val="22"/>
          <w:u w:val="single"/>
          <w:lang w:val="en-GB"/>
        </w:rPr>
      </w:pPr>
      <w:r w:rsidRPr="00933570">
        <w:rPr>
          <w:b/>
          <w:sz w:val="22"/>
          <w:szCs w:val="22"/>
          <w:u w:val="single"/>
          <w:lang w:val="en-GB"/>
        </w:rPr>
        <w:t>Project Activities</w:t>
      </w:r>
    </w:p>
    <w:p w14:paraId="115FD19D" w14:textId="77777777" w:rsidR="00933570" w:rsidRPr="00933570" w:rsidRDefault="00933570" w:rsidP="00933570">
      <w:pPr>
        <w:tabs>
          <w:tab w:val="left" w:pos="0"/>
          <w:tab w:val="left" w:pos="306"/>
          <w:tab w:val="num" w:pos="720"/>
          <w:tab w:val="left" w:pos="1326"/>
          <w:tab w:val="left" w:pos="1836"/>
          <w:tab w:val="left" w:pos="2346"/>
          <w:tab w:val="left" w:pos="5160"/>
          <w:tab w:val="left" w:pos="6960"/>
        </w:tabs>
        <w:suppressAutoHyphens/>
        <w:spacing w:after="120"/>
        <w:ind w:left="274" w:right="-302" w:hanging="274"/>
        <w:jc w:val="both"/>
        <w:rPr>
          <w:sz w:val="22"/>
          <w:szCs w:val="22"/>
          <w:lang w:val="en-GB"/>
        </w:rPr>
      </w:pPr>
      <w:r w:rsidRPr="00933570">
        <w:rPr>
          <w:sz w:val="22"/>
          <w:szCs w:val="22"/>
          <w:lang w:val="en-GB"/>
        </w:rPr>
        <w:t>The project comprised activities grouped in three components.</w:t>
      </w:r>
    </w:p>
    <w:p w14:paraId="23F93334" w14:textId="77777777" w:rsidR="00933570" w:rsidRPr="00933570" w:rsidRDefault="00933570" w:rsidP="00933570">
      <w:pPr>
        <w:spacing w:after="120"/>
        <w:ind w:left="1440" w:hanging="1440"/>
        <w:jc w:val="both"/>
        <w:rPr>
          <w:b/>
          <w:sz w:val="22"/>
          <w:szCs w:val="22"/>
          <w:lang w:val="en-GB"/>
        </w:rPr>
      </w:pPr>
      <w:r w:rsidRPr="00933570">
        <w:rPr>
          <w:b/>
          <w:sz w:val="22"/>
          <w:szCs w:val="22"/>
          <w:lang w:val="en-GB"/>
        </w:rPr>
        <w:t>Component 1:</w:t>
      </w:r>
      <w:r w:rsidRPr="00933570">
        <w:rPr>
          <w:b/>
          <w:sz w:val="22"/>
          <w:szCs w:val="22"/>
          <w:lang w:val="en-GB"/>
        </w:rPr>
        <w:tab/>
        <w:t xml:space="preserve">Reducing habitat degradation and loss via national and local reforms to achieve Strategic Action Programme targets for coastal habitat management in the South China Sea </w:t>
      </w:r>
    </w:p>
    <w:p w14:paraId="2A2E0A17" w14:textId="77777777" w:rsidR="00933570" w:rsidRPr="00933570" w:rsidRDefault="00933570" w:rsidP="00933570">
      <w:pPr>
        <w:spacing w:after="120"/>
        <w:jc w:val="both"/>
        <w:rPr>
          <w:sz w:val="22"/>
          <w:szCs w:val="22"/>
          <w:lang w:val="en-GB"/>
        </w:rPr>
      </w:pPr>
      <w:r w:rsidRPr="00933570">
        <w:rPr>
          <w:b/>
          <w:i/>
          <w:sz w:val="22"/>
          <w:szCs w:val="22"/>
          <w:lang w:val="en-GB"/>
        </w:rPr>
        <w:t>Mangroves:</w:t>
      </w:r>
      <w:r w:rsidRPr="00933570">
        <w:rPr>
          <w:sz w:val="22"/>
          <w:szCs w:val="22"/>
          <w:lang w:val="en-GB"/>
        </w:rPr>
        <w:t xml:space="preserve"> Regional, national and local activities under this sub-component are designed to meet the Strategic Action Programme for coastal habitat management. The key anticipated outcome is the establishment of appropriate forms of sustainable management including relevant reforms of laws and regulations for 860,000 ha of mangrove bordering the SCS basin. The project also aims to support these national actions through a regionally co-ordinated programme of technical support; the objective of which is to assist countries in effectively and sustainably managing their mangrove resources. At the national level, activities will focus on: the declaration of 57,400 ha of mangrove as National Parks and Protected Areas; the designation and plans for the management of 166,600 ha of mangrove as non-conversion, sustainable use areas; national reform of laws and regulations for the sustainable use of 602,800 ha of mangrove forest; replanting of 21,000 ha of deforested mangrove land; and biodiversity increased for 11,200 ha of mangrove forest via enrichment planting. </w:t>
      </w:r>
    </w:p>
    <w:p w14:paraId="4345D0AC" w14:textId="77777777" w:rsidR="00933570" w:rsidRPr="00933570" w:rsidRDefault="00933570" w:rsidP="00933570">
      <w:pPr>
        <w:spacing w:after="120"/>
        <w:jc w:val="both"/>
        <w:rPr>
          <w:sz w:val="22"/>
          <w:szCs w:val="22"/>
          <w:lang w:val="en-GB"/>
        </w:rPr>
      </w:pPr>
      <w:r w:rsidRPr="00933570">
        <w:rPr>
          <w:b/>
          <w:i/>
          <w:sz w:val="22"/>
          <w:szCs w:val="22"/>
          <w:lang w:val="en-GB"/>
        </w:rPr>
        <w:t>Coral Reefs:</w:t>
      </w:r>
      <w:r w:rsidRPr="00933570">
        <w:rPr>
          <w:sz w:val="22"/>
          <w:szCs w:val="22"/>
          <w:lang w:val="en-GB"/>
        </w:rPr>
        <w:t xml:space="preserve"> Actions proposed under this sub-component are designed to promote good environmental governance, relevant national legislative and institutional reforms and sustainable management of coral reef ecosystems. The key anticipated outcome is 153,000 ha of coral reef at 82 priority sites managed sustainably, including a reduction in the decadal rate of degradation in live coral cover from 16 to 5 percent. At the  national and coral reef site levels, activities will include: supporting building management capacity (number/levels human resources, facilities and equipment, and sustainable financing mechanisms) for 82 coral reef sites; improving management approaches (integrated, community-based, multiple use) at 82 coral reef sites; developing management tools (licensing and permit systems, seasonal closures, zoning) in support of legal and regulatory reforms to address key threats at priority sites; and establishing mechanisms for monitoring management, ecological and socio-economic indicators at 82 coral reef sites.  </w:t>
      </w:r>
    </w:p>
    <w:p w14:paraId="686338CA" w14:textId="77777777" w:rsidR="00933570" w:rsidRPr="00933570" w:rsidRDefault="00933570" w:rsidP="00933570">
      <w:pPr>
        <w:spacing w:after="120"/>
        <w:jc w:val="both"/>
        <w:rPr>
          <w:sz w:val="22"/>
          <w:szCs w:val="22"/>
          <w:lang w:val="en-GB"/>
        </w:rPr>
      </w:pPr>
      <w:r w:rsidRPr="00933570">
        <w:rPr>
          <w:b/>
          <w:i/>
          <w:sz w:val="22"/>
          <w:szCs w:val="22"/>
          <w:lang w:val="en-GB"/>
        </w:rPr>
        <w:t>Seagrass:</w:t>
      </w:r>
      <w:r w:rsidRPr="00933570">
        <w:rPr>
          <w:sz w:val="22"/>
          <w:szCs w:val="22"/>
          <w:lang w:val="en-GB"/>
        </w:rPr>
        <w:t xml:space="preserve"> Activities will include: putting twenty-one seagrass areas totaling 25,900 ha under sustainable management with supporting laws and regulations; amending national management plans for 7 existing MPAs with significant seagrass areas, to include specific seagrass-related management actions;  designating  7 new Marine Protected Areas focusing on seagrass areas identified in the prioritized listings of the SCS Project; and establishing mechanisms for monitoring management, ecological and socio-economic indicators at 21 sites. The key anticipated outcome is the sustainable management of 25,900 ha of seagrass at 21 priority sites in the South China Sea. </w:t>
      </w:r>
    </w:p>
    <w:p w14:paraId="41868336" w14:textId="77777777" w:rsidR="00933570" w:rsidRPr="00933570" w:rsidRDefault="00933570" w:rsidP="00933570">
      <w:pPr>
        <w:spacing w:after="120"/>
        <w:jc w:val="both"/>
        <w:rPr>
          <w:sz w:val="22"/>
          <w:szCs w:val="22"/>
          <w:lang w:val="en-GB"/>
        </w:rPr>
      </w:pPr>
      <w:r w:rsidRPr="00933570">
        <w:rPr>
          <w:b/>
          <w:i/>
          <w:sz w:val="22"/>
          <w:szCs w:val="22"/>
          <w:lang w:val="en-GB"/>
        </w:rPr>
        <w:t>Estuaries, Brackish Water Lagoons, and Inter-Tidal Mud Flats:</w:t>
      </w:r>
      <w:r w:rsidRPr="00933570">
        <w:rPr>
          <w:sz w:val="22"/>
          <w:szCs w:val="22"/>
          <w:lang w:val="en-GB"/>
        </w:rPr>
        <w:t xml:space="preserve"> Project activities will focus on coastal lagoons, estuaries and mudflats and aim to improve the effectiveness of national policy, legal and institutional arrangements and co-ordination, including the needed national reforms, including: development and implementation of  management plans for at least 3 lagoons (26,818 ha), 9 estuaries (614,680 ha), 5 tidal flats (96,903 ha), 1 peat swamp (45,700 ha) and 1 non-peat swamp (9,808 ha); declaring at least 7 wetland areas with protection status (i.e. non-hunting area, nature reserves, protected areas, Ramsar Sites) including the needed management reforms; and adopting a regional estuary monitoring scheme and its national implementation. The key anticipated outcome is the integrated management of 783,900 ha of coastal wetlands at 19 sites bordering the South China Sea marine basin, including habitat restoration and protection strengthened at priority locations and relevant legal and institutional reforms enacted. </w:t>
      </w:r>
    </w:p>
    <w:p w14:paraId="606482AF" w14:textId="77777777" w:rsidR="00933570" w:rsidRPr="00933570" w:rsidRDefault="00933570" w:rsidP="00933570">
      <w:pPr>
        <w:spacing w:after="120"/>
        <w:jc w:val="both"/>
        <w:rPr>
          <w:sz w:val="22"/>
          <w:szCs w:val="22"/>
          <w:lang w:val="en-GB"/>
        </w:rPr>
      </w:pPr>
      <w:r w:rsidRPr="00933570">
        <w:rPr>
          <w:b/>
          <w:i/>
          <w:sz w:val="22"/>
          <w:szCs w:val="22"/>
          <w:lang w:val="en-GB"/>
        </w:rPr>
        <w:t>Tracking results of SAP actions for coastal habitat management:</w:t>
      </w:r>
      <w:r w:rsidRPr="00933570">
        <w:rPr>
          <w:sz w:val="22"/>
          <w:szCs w:val="22"/>
          <w:lang w:val="en-GB"/>
        </w:rPr>
        <w:t xml:space="preserve"> Project activities will facilitate national and regional level cooperation in tracking results of Strategic Action Programme actions for coastal habitat management. Specific indicators of sustainability to be tracked relate to: the enabling environments for sustainable management; improvements to ecological and environmental state; and socio-economic impacts. Activities are designed to reach agreement on standardized methods and guidelines for habitat inventory and assessment, leading to the achievement of regional-level agreement on a harmonized results framework and analytical tool for tracking and reporting on sustainability of habitat management systems in the SCS basin. Additionally, an online ‘results’ portal will be developed to support regional-level capacity building in results-oriented planning and management of coastal habitats, as well as the routine online sharing and syndication of information regarding the results of Strategic Action Programme implementation. The latter will involve online geospatial presentation of results linked to related initiatives of the GEF IW:LEARN initiative. Similarly, performance of the project  with respect to indicators defined in the GEF IW tracking tool will be documented and communicated annually; effort will also be made to align the agreed reporting systems with national reporting requirements to various International conventions and the Sustainable Development Goals.</w:t>
      </w:r>
    </w:p>
    <w:p w14:paraId="0AF66C23" w14:textId="77777777" w:rsidR="00933570" w:rsidRPr="00933570" w:rsidRDefault="00933570" w:rsidP="00933570">
      <w:pPr>
        <w:spacing w:after="120"/>
        <w:ind w:left="1440" w:hanging="1440"/>
        <w:jc w:val="both"/>
        <w:rPr>
          <w:b/>
          <w:sz w:val="22"/>
          <w:szCs w:val="22"/>
          <w:lang w:val="en-GB"/>
        </w:rPr>
      </w:pPr>
      <w:r w:rsidRPr="00933570">
        <w:rPr>
          <w:b/>
          <w:sz w:val="22"/>
          <w:szCs w:val="22"/>
          <w:lang w:val="en-GB"/>
        </w:rPr>
        <w:t>Component 2:</w:t>
      </w:r>
      <w:r w:rsidRPr="00933570">
        <w:rPr>
          <w:b/>
          <w:sz w:val="22"/>
          <w:szCs w:val="22"/>
          <w:lang w:val="en-GB"/>
        </w:rPr>
        <w:tab/>
        <w:t>Strengthening knowledge-based action planning for the management of coastal habitats and land-based pollution to reduce environmental degradation of the South China Sea</w:t>
      </w:r>
    </w:p>
    <w:p w14:paraId="2A9F3828" w14:textId="77777777" w:rsidR="00933570" w:rsidRPr="00933570" w:rsidRDefault="00933570" w:rsidP="00933570">
      <w:pPr>
        <w:spacing w:after="120"/>
        <w:jc w:val="both"/>
        <w:rPr>
          <w:sz w:val="22"/>
          <w:szCs w:val="22"/>
          <w:lang w:val="en-GB"/>
        </w:rPr>
      </w:pPr>
      <w:r w:rsidRPr="00933570">
        <w:rPr>
          <w:sz w:val="22"/>
          <w:szCs w:val="22"/>
          <w:lang w:val="en-GB"/>
        </w:rPr>
        <w:t xml:space="preserve">The components of the South China Sea Strategic Action Programme addressing coastal habitat degradation, land-based pollution, and regional cooperation each highlight the need to strengthen the science and knowledge base for action planning and management. Component 2 of this project aims to build on the knowledge-based action planning for the management of the marine and coastal environment of the SCS achieved during Strategic Action Programme formulation. Activities are designed to support consensus building on the information and data to be used in planning and implementing the required local, national and regional reforms required to address the degradation of coastal habitats, land-based pollution, and the adoption of stronger and more formal arrangements for regional co-operation in the management of the marine and coastal environment of the South China Sea. </w:t>
      </w:r>
    </w:p>
    <w:p w14:paraId="393A2E46" w14:textId="77777777" w:rsidR="00933570" w:rsidRPr="00933570" w:rsidRDefault="00933570" w:rsidP="00933570">
      <w:pPr>
        <w:spacing w:after="120"/>
        <w:jc w:val="both"/>
        <w:rPr>
          <w:sz w:val="22"/>
          <w:szCs w:val="22"/>
          <w:lang w:val="en-GB"/>
        </w:rPr>
      </w:pPr>
      <w:r w:rsidRPr="00933570">
        <w:rPr>
          <w:sz w:val="22"/>
          <w:szCs w:val="22"/>
          <w:lang w:val="en-GB"/>
        </w:rPr>
        <w:t>At the national level, activities of this component both support, and build on, those implemented as part of component 1 aimed at the achievement SAP targets for habitats. For example, activities to enhance the mapping of coastal habitats through interpretation of satellite imagery, quantify the role of habitats in the sequestration and storage of carbon, and improve data sets for the economic valuation of habitat goods and services will be used to inform national and local consultative processes regarding the delineation of management area boundaries, management planning, and reform of by-laws and ordinances for coastal habitat and resource management at the site level. Additionally, the project will develop tools and mechanisms to guide the development of sustainable management systems for coastal habitats and land-based pollution. These will be used to provide regional level support to operational management at the site level and in tracking the effectiveness of interventions in achieving SAP targets. Similarly, outputs of national activities associated with delivery of component 1, including the conduct of resource inventories, reviews of national and local policies and regulations, documentation of site level governance conditions, and stakeholder analyses will be used in conjunction with regional reviews of the potential impacts of sea level rise, climate change, and episodic events on coastal habitats to inform the development of updated National Action Plans, and the enactment of supporting legislation, for mangroves, coral reefs, seagrass, and wetlands.</w:t>
      </w:r>
    </w:p>
    <w:p w14:paraId="080E01CF" w14:textId="77777777" w:rsidR="00933570" w:rsidRPr="00933570" w:rsidRDefault="00933570" w:rsidP="00933570">
      <w:pPr>
        <w:spacing w:after="120"/>
        <w:jc w:val="both"/>
        <w:rPr>
          <w:sz w:val="22"/>
          <w:szCs w:val="22"/>
          <w:lang w:val="en-GB"/>
        </w:rPr>
      </w:pPr>
      <w:r w:rsidRPr="00933570">
        <w:rPr>
          <w:sz w:val="22"/>
          <w:szCs w:val="22"/>
          <w:lang w:val="en-GB"/>
        </w:rPr>
        <w:t xml:space="preserve">The purpose of the land-based pollution component of the Strategic Action Programme is not to finance interventions that directly reduce the load of contaminants reaching the marine environment from land-based sources but rather the implementation of activities to support the integration of regional science with national-level policy making and planning for the management of land-based pollution. In this connection, key outcomes of component 2 include: effective integration of regional science in the management of land-based pollution; and strengthened and harmonized national policies and laws, and supporting financial mechanism, for the management of land-based sources of pollution. </w:t>
      </w:r>
    </w:p>
    <w:p w14:paraId="1C681587" w14:textId="77777777" w:rsidR="00933570" w:rsidRPr="00933570" w:rsidRDefault="00933570" w:rsidP="00933570">
      <w:pPr>
        <w:spacing w:after="120"/>
        <w:jc w:val="both"/>
        <w:rPr>
          <w:sz w:val="22"/>
          <w:szCs w:val="22"/>
          <w:lang w:val="en-GB"/>
        </w:rPr>
      </w:pPr>
      <w:r w:rsidRPr="00933570">
        <w:rPr>
          <w:sz w:val="22"/>
          <w:szCs w:val="22"/>
          <w:lang w:val="en-GB"/>
        </w:rPr>
        <w:t xml:space="preserve">In particular, this project will develop and apply simple models of pollution impacts under different development scenarios for land-based activities to facilitate development decision-making by providing an indication of the sensitivity of specific coastal water bodies to varied heavy metal contaminant loadings. This work builds on related work of the SCS TDA/SAP project to model the nutrient carrying capacity of the SCS marine basin under various loading scenarios. National level activities will support: reviews of legislative and institutional frameworks for land-based pollution management in participating countries; harmonization of national Standard Operating Procedures for land-based pollution control and management, including agreed sediment, biota, and water quality criteria; revision of national/provincial policies; development, enactment and implementation of supporting regulations for land-based pollution; and the updating and adoption of National Investment Plans for land-based pollution management in the SCS. A regional financial mechanism for land-based pollution management will also be established. </w:t>
      </w:r>
    </w:p>
    <w:p w14:paraId="600E9FC7" w14:textId="77777777" w:rsidR="00933570" w:rsidRPr="00933570" w:rsidRDefault="00933570" w:rsidP="00933570">
      <w:pPr>
        <w:spacing w:after="120"/>
        <w:jc w:val="both"/>
        <w:rPr>
          <w:sz w:val="22"/>
          <w:szCs w:val="22"/>
          <w:lang w:val="en-GB"/>
        </w:rPr>
      </w:pPr>
      <w:r w:rsidRPr="00933570">
        <w:rPr>
          <w:sz w:val="22"/>
          <w:szCs w:val="22"/>
          <w:lang w:val="en-GB"/>
        </w:rPr>
        <w:t xml:space="preserve">Better economic valuation of the good and services of the South China Sea’s coastal habitats is critical  more sophisticated planning and in communicating with decision-makers. The values determined for coastal habitat goods and services developed the SCS TDA/SAP project are incomplete since not all known goods or services from individual coastal ecosystems have been valued. One area of current weakness is that comparatively few existing values for the service provided by habitats as nursery areas for off-shore fish and crustaceans are included. This is known to be a significant and major service provided by mangrove and seagrass habitats and this project will undertake to establish the economic values of these services. It is anticipated that actions at the national and regional level to implement the SAP will generate more extensive datasets at the national level, which if included in the regional dataset will greatly enhance the utility of the regional dataset in determining regional priorities for action and intervention. One additional area of identified need that this project will address is the determination of economic losses of coastal ecosystem goods and services consequent upon coastal shipping accidents and land-based pollution damage. Component 2 will therefore improve the national and regional values for the Total Economic Values of coastal habitats for use in development planning and decision-making, and will make substantive contributions to the conduct of cost-benefit analyses of management options undertaken as part of national action planning for coastal habitats and land-based pollution, as well as in updating the SCS TDA and SAP. The economic valuation work of this component will also build on preliminary work of the SCS project to value the economic impacts of land-based pollution from local, national and transboundary perspectives and will contribute to the planning of a mechanism for the sustainable financing of land-based pollution activities of a revised SAP. </w:t>
      </w:r>
    </w:p>
    <w:p w14:paraId="2C1476ED" w14:textId="77777777" w:rsidR="00933570" w:rsidRPr="00933570" w:rsidRDefault="00933570" w:rsidP="00933570">
      <w:pPr>
        <w:spacing w:after="120"/>
        <w:jc w:val="both"/>
        <w:rPr>
          <w:sz w:val="22"/>
          <w:szCs w:val="22"/>
          <w:lang w:val="en-GB"/>
        </w:rPr>
      </w:pPr>
      <w:r w:rsidRPr="00933570">
        <w:rPr>
          <w:sz w:val="22"/>
          <w:szCs w:val="22"/>
          <w:lang w:val="en-GB"/>
        </w:rPr>
        <w:t>Activities to undertake a more contemporary Transboundary Diagnostic Analysis for the SCS basin, and linked actions to prepare an updated Strategic Action Programme for the SCS, will draw on information generated via the abovementioned activities. Key project activities include: facilitation of consultative processes to reach national and regional level consensus on contemporary issues and problems in the SCS, including the quantification of environmental compromises and the prioritization of problems; preparation of guidelines and mobilization of technical support to assist with the characterization of the immediate and ultimate root causes of the problems identified and to reach consensus on priorities for intervention, including the assessment of the comparative net benefit of options based on revised economic valuation information; and efforts to prepare an updated SAP which will including a prioritization of national management actions to address climate variability and change for subsequent incorporation into national marine and coastal policies and plans.</w:t>
      </w:r>
    </w:p>
    <w:p w14:paraId="28232F93" w14:textId="77777777" w:rsidR="00933570" w:rsidRPr="00933570" w:rsidRDefault="00933570" w:rsidP="00933570">
      <w:pPr>
        <w:spacing w:after="120"/>
        <w:ind w:left="1440" w:hanging="1440"/>
        <w:jc w:val="both"/>
        <w:rPr>
          <w:b/>
          <w:sz w:val="22"/>
          <w:szCs w:val="22"/>
          <w:lang w:val="en-GB"/>
        </w:rPr>
      </w:pPr>
      <w:r w:rsidRPr="00933570">
        <w:rPr>
          <w:b/>
          <w:sz w:val="22"/>
          <w:szCs w:val="22"/>
          <w:lang w:val="en-GB"/>
        </w:rPr>
        <w:t>Component 3:</w:t>
      </w:r>
      <w:r w:rsidRPr="00933570">
        <w:rPr>
          <w:b/>
          <w:sz w:val="22"/>
          <w:szCs w:val="22"/>
          <w:lang w:val="en-GB"/>
        </w:rPr>
        <w:tab/>
        <w:t>Facilitating regional and national level integration and cooperation for implementation of the South China Sea Strategic Action Programme</w:t>
      </w:r>
    </w:p>
    <w:p w14:paraId="68E4ED32" w14:textId="77777777" w:rsidR="00933570" w:rsidRPr="00933570" w:rsidRDefault="00933570" w:rsidP="00933570">
      <w:pPr>
        <w:spacing w:after="120"/>
        <w:jc w:val="both"/>
        <w:rPr>
          <w:sz w:val="22"/>
          <w:szCs w:val="22"/>
          <w:lang w:val="en-GB"/>
        </w:rPr>
      </w:pPr>
      <w:r w:rsidRPr="00933570">
        <w:rPr>
          <w:sz w:val="22"/>
          <w:szCs w:val="22"/>
          <w:lang w:val="en-GB"/>
        </w:rPr>
        <w:t>The South China Sea Strategic Action Programme acknowledged the need for strengthened regional cooperation in SAP implementation as well as the adoption of stronger, financially sustainable, and more formal arrangements for regional co-operation in the longer-term management of the marine and coastal environment of the South China Sea. Accordingly Component 3 is designed to build on the outcomes of the SCS TDAP/SAP project through facilitation of the regional and national level integration and cooperation required to generate the reforms required to reduce environmental degradation trends and guide the longer-term sustainable management of the marine and coastal environment of the South China Sea.</w:t>
      </w:r>
    </w:p>
    <w:p w14:paraId="316C8C5A" w14:textId="77777777" w:rsidR="00933570" w:rsidRPr="00933570" w:rsidRDefault="00933570" w:rsidP="00933570">
      <w:pPr>
        <w:spacing w:after="120"/>
        <w:jc w:val="both"/>
        <w:rPr>
          <w:sz w:val="22"/>
          <w:szCs w:val="22"/>
          <w:lang w:val="en-GB"/>
        </w:rPr>
      </w:pPr>
      <w:r w:rsidRPr="00933570">
        <w:rPr>
          <w:sz w:val="22"/>
          <w:szCs w:val="22"/>
          <w:lang w:val="en-GB"/>
        </w:rPr>
        <w:t>The SAP includes a number of agreed mechanisms for effective cooperation. These mechanisms include the operation of a high level scientific and technical body that will serve as a forum for reconciling both sectorial and national interests and priorities, and to foster the incorporation of sound science into decision-making. Component 3 will meet this agreed need via operation of a Regional Scientific and Technical Committee that will act as a source of independent scientific and technical advice to policy-makers. To support the uptake of regionally accumulated scientific knowledge in policy-making and planning, the project will facilitate exchanges between government and the scientific community via biennial Regional Scientific Conferences. This will be complemented via the development and operation of a network of local government officials and operational level managers, including annual Mayors’ Round-table meetings, to share experiences and best practices in the application of science in the management of coastal habitats and land-based pollution.</w:t>
      </w:r>
    </w:p>
    <w:p w14:paraId="2C5135D5" w14:textId="77777777" w:rsidR="00933570" w:rsidRPr="00933570" w:rsidRDefault="00933570" w:rsidP="00933570">
      <w:pPr>
        <w:spacing w:after="120"/>
        <w:jc w:val="both"/>
        <w:rPr>
          <w:sz w:val="22"/>
          <w:szCs w:val="22"/>
          <w:lang w:val="en-GB"/>
        </w:rPr>
      </w:pPr>
      <w:r w:rsidRPr="00933570">
        <w:rPr>
          <w:sz w:val="22"/>
          <w:szCs w:val="22"/>
          <w:lang w:val="en-GB"/>
        </w:rPr>
        <w:t>A further expected outcome of this component is sub-regional cooperation in the integration of scientific knowledge and research outputs in two priority transboundary areas. The latter builds on a key innovation of the SCS TDA/SAP project which involved the generation of bilateral cooperation between Cambodia and Viet Nam which led to the signing of a Memorandum of Understanding between the Provincial Governors of Kampot (Cambodia) and Kien Giang (Viet Nam) (and which was subsequently formalized by the central governments of these countries) for the joint management of the environment and coastal resources of their shared transboundary water area. Activities under this component will strengthen this formal transboundary cooperation and facilitate its replication in an additional two transboundary areas.</w:t>
      </w:r>
    </w:p>
    <w:p w14:paraId="428AFDC0" w14:textId="77777777" w:rsidR="00933570" w:rsidRPr="00933570" w:rsidRDefault="00933570" w:rsidP="00933570">
      <w:pPr>
        <w:spacing w:after="120"/>
        <w:jc w:val="both"/>
        <w:rPr>
          <w:sz w:val="22"/>
          <w:szCs w:val="22"/>
          <w:lang w:val="en-GB"/>
        </w:rPr>
      </w:pPr>
      <w:r w:rsidRPr="00933570">
        <w:rPr>
          <w:sz w:val="22"/>
          <w:szCs w:val="22"/>
          <w:lang w:val="en-GB"/>
        </w:rPr>
        <w:t xml:space="preserve">An additional mechanism for cooperation emphasized by in South China Sea Strategic Action Programme includes networking at all levels and amongst all stakeholders. In this connection, project activities will build on the intra-country and inter-country consultation and cooperation fostered by the SCS TDA/SAP project via efforts to strengthen civil society, community organization, and private sector engagement in SAP implementation and revision. Specifically, capacity for civil society and community organization participation in SAP implementation will be strengthened via an operational partnership with the GEF Small Grants Programme. Relationships between central and local governments and the private sector will also be strengthened and formalized via development of a public-private partnerships and an associated investment plan for the implementation of the updated SAP. </w:t>
      </w:r>
    </w:p>
    <w:p w14:paraId="693592A1" w14:textId="77777777" w:rsidR="00933570" w:rsidRPr="00933570" w:rsidRDefault="00933570" w:rsidP="00933570">
      <w:pPr>
        <w:spacing w:after="120"/>
        <w:jc w:val="both"/>
        <w:rPr>
          <w:sz w:val="22"/>
          <w:szCs w:val="22"/>
          <w:lang w:val="en-GB"/>
        </w:rPr>
      </w:pPr>
      <w:r w:rsidRPr="00933570">
        <w:rPr>
          <w:sz w:val="22"/>
          <w:szCs w:val="22"/>
          <w:lang w:val="en-GB"/>
        </w:rPr>
        <w:t>Component 3 will also revitalize and strengthen regional mechanisms for communications, knowledge exchange, and information and data management and sharing. This will involve the development and implementation of a communications strategy for the delivery of targeted messaging to national level stakeholders, regional supporting organizations and projects, and donors on the results of SAP implementation and related efforts in strengthening regional cooperation. This is aimed at stimulating support and awareness of necessary policy and legal reforms and in ensuring that best practices generated at the national level are captured, shared and effectively communicated to guide the longer-term sustainability of investments. Regionally appropriate knowledge tools will also developed to support decision-making and planning. This component also includes the sustained operation of the SCS project web portal &lt;www.unepscs.org&gt; and associated regional databases, which will also be linked to IW:LEARN and other GEF Knowledge management systems. Active engagement with GEF IW:LEARN [1% of project resources], including participation in IW conferences and preparation of 3 experience notes, will also be fostered.</w:t>
      </w:r>
    </w:p>
    <w:p w14:paraId="47470933" w14:textId="77777777" w:rsidR="00933570" w:rsidRPr="00933570" w:rsidRDefault="00933570" w:rsidP="00933570">
      <w:pPr>
        <w:spacing w:after="120"/>
        <w:jc w:val="both"/>
        <w:rPr>
          <w:sz w:val="22"/>
          <w:szCs w:val="22"/>
          <w:lang w:val="en-GB"/>
        </w:rPr>
      </w:pPr>
      <w:r w:rsidRPr="00933570">
        <w:rPr>
          <w:sz w:val="22"/>
          <w:szCs w:val="22"/>
          <w:lang w:val="en-GB"/>
        </w:rPr>
        <w:t>Of significance is Outcome 3.5 “</w:t>
      </w:r>
      <w:r w:rsidRPr="00933570">
        <w:rPr>
          <w:i/>
          <w:sz w:val="22"/>
          <w:szCs w:val="22"/>
          <w:lang w:val="en-GB"/>
        </w:rPr>
        <w:t>Agreed arrangements for strengthened regional cooperation in the management of the marine and coastal environment of the South China Sea</w:t>
      </w:r>
      <w:r w:rsidRPr="00933570">
        <w:rPr>
          <w:sz w:val="22"/>
          <w:szCs w:val="22"/>
          <w:lang w:val="en-GB"/>
        </w:rPr>
        <w:t>” which involves the review and assessment of regional and national institutional frameworks and the formulation of  appropriate recommendations for strengthened regional cooperation in the implementation of the SAP for the management of the marine and coastal environment of the South China Sea. Such cooperation will foster the wise use of natural, human and financial resources whilst conforming to the ethos and culture of the region. Supporting activities include: biannual meetings of the Regional Task Force on Legal Matters to review the proposed policy, cooperation and institutional strengthening recommendations in support of SAP implementation; the establishment and operation of National Working Groups on matters to be decided by the countries to support national and provincial level discussion and agreement on policy, cooperation and institutional reforms; and reviews and evaluation of existing arrangements for cooperation leading to adoption of an instrument to strengthen regional cooperation for coastal and marine environmental management in the South China Sea.</w:t>
      </w:r>
    </w:p>
    <w:p w14:paraId="0B38B3C9" w14:textId="77777777" w:rsidR="00933570" w:rsidRPr="00933570" w:rsidRDefault="00933570" w:rsidP="00933570">
      <w:pPr>
        <w:jc w:val="both"/>
        <w:rPr>
          <w:sz w:val="22"/>
          <w:szCs w:val="22"/>
          <w:lang w:val="en-GB"/>
        </w:rPr>
      </w:pPr>
    </w:p>
    <w:p w14:paraId="1955D9B9" w14:textId="77777777" w:rsidR="00933570" w:rsidRPr="00933570" w:rsidRDefault="00933570" w:rsidP="00933570">
      <w:pPr>
        <w:spacing w:after="120"/>
        <w:jc w:val="both"/>
        <w:rPr>
          <w:b/>
          <w:sz w:val="22"/>
          <w:szCs w:val="22"/>
          <w:u w:val="single"/>
          <w:lang w:val="en-GB"/>
        </w:rPr>
      </w:pPr>
      <w:r w:rsidRPr="00933570">
        <w:rPr>
          <w:b/>
          <w:sz w:val="22"/>
          <w:szCs w:val="22"/>
          <w:u w:val="single"/>
          <w:lang w:val="en-GB"/>
        </w:rPr>
        <w:t>Budget</w:t>
      </w:r>
    </w:p>
    <w:p w14:paraId="0D8E4E6D" w14:textId="77777777" w:rsidR="00933570" w:rsidRPr="00933570" w:rsidRDefault="00933570" w:rsidP="00933570">
      <w:pPr>
        <w:rPr>
          <w:sz w:val="22"/>
          <w:szCs w:val="22"/>
          <w:lang w:val="en-GB"/>
        </w:rPr>
      </w:pPr>
      <w:r w:rsidRPr="00933570">
        <w:rPr>
          <w:sz w:val="22"/>
          <w:szCs w:val="22"/>
          <w:lang w:val="en-GB"/>
        </w:rPr>
        <w:t>At project inception the following budget prepared:</w:t>
      </w:r>
    </w:p>
    <w:p w14:paraId="27635243" w14:textId="77777777" w:rsidR="00933570" w:rsidRPr="00933570" w:rsidRDefault="00933570" w:rsidP="00933570">
      <w:pPr>
        <w:tabs>
          <w:tab w:val="left" w:pos="4320"/>
          <w:tab w:val="left" w:pos="5760"/>
        </w:tabs>
        <w:ind w:left="-18"/>
        <w:jc w:val="both"/>
        <w:rPr>
          <w:bCs/>
          <w:snapToGrid w:val="0"/>
          <w:sz w:val="22"/>
          <w:szCs w:val="22"/>
          <w:lang w:val="en-GB"/>
        </w:rPr>
      </w:pPr>
      <w:r w:rsidRPr="00933570">
        <w:rPr>
          <w:bCs/>
          <w:snapToGrid w:val="0"/>
          <w:sz w:val="22"/>
          <w:szCs w:val="22"/>
          <w:lang w:val="en-GB"/>
        </w:rPr>
        <w:tab/>
      </w:r>
      <w:r w:rsidRPr="00933570">
        <w:rPr>
          <w:bCs/>
          <w:snapToGrid w:val="0"/>
          <w:sz w:val="22"/>
          <w:szCs w:val="22"/>
          <w:u w:val="single"/>
          <w:lang w:val="en-GB"/>
        </w:rPr>
        <w:t>GEF</w:t>
      </w:r>
      <w:r w:rsidRPr="00933570">
        <w:rPr>
          <w:bCs/>
          <w:snapToGrid w:val="0"/>
          <w:sz w:val="22"/>
          <w:szCs w:val="22"/>
          <w:lang w:val="en-GB"/>
        </w:rPr>
        <w:tab/>
      </w:r>
      <w:r w:rsidRPr="00933570">
        <w:rPr>
          <w:bCs/>
          <w:snapToGrid w:val="0"/>
          <w:sz w:val="22"/>
          <w:szCs w:val="22"/>
          <w:u w:val="single"/>
          <w:lang w:val="en-GB"/>
        </w:rPr>
        <w:t>Co-funding</w:t>
      </w:r>
    </w:p>
    <w:p w14:paraId="2857A3B1" w14:textId="77777777" w:rsidR="00933570" w:rsidRPr="00933570" w:rsidRDefault="00933570" w:rsidP="00933570">
      <w:pPr>
        <w:tabs>
          <w:tab w:val="left" w:pos="4320"/>
          <w:tab w:val="left" w:pos="5760"/>
        </w:tabs>
        <w:ind w:left="-18"/>
        <w:jc w:val="both"/>
        <w:rPr>
          <w:bCs/>
          <w:snapToGrid w:val="0"/>
          <w:sz w:val="22"/>
          <w:szCs w:val="22"/>
          <w:lang w:val="en-GB"/>
        </w:rPr>
      </w:pPr>
      <w:r w:rsidRPr="00933570">
        <w:rPr>
          <w:bCs/>
          <w:snapToGrid w:val="0"/>
          <w:sz w:val="22"/>
          <w:szCs w:val="22"/>
          <w:lang w:val="en-GB"/>
        </w:rPr>
        <w:t>Project preparation funds:</w:t>
      </w:r>
      <w:r w:rsidRPr="00933570">
        <w:rPr>
          <w:bCs/>
          <w:snapToGrid w:val="0"/>
          <w:sz w:val="22"/>
          <w:szCs w:val="22"/>
          <w:lang w:val="en-GB"/>
        </w:rPr>
        <w:tab/>
        <w:t>300,000</w:t>
      </w:r>
      <w:r w:rsidRPr="00933570">
        <w:rPr>
          <w:bCs/>
          <w:snapToGrid w:val="0"/>
          <w:sz w:val="22"/>
          <w:szCs w:val="22"/>
          <w:lang w:val="en-GB"/>
        </w:rPr>
        <w:tab/>
        <w:t>-</w:t>
      </w:r>
    </w:p>
    <w:p w14:paraId="452F7E7D" w14:textId="77777777" w:rsidR="00100E3E" w:rsidRDefault="00933570" w:rsidP="00100E3E">
      <w:pPr>
        <w:jc w:val="both"/>
        <w:rPr>
          <w:rFonts w:ascii="Calibri" w:hAnsi="Calibri"/>
          <w:color w:val="000000"/>
          <w:sz w:val="22"/>
          <w:szCs w:val="22"/>
        </w:rPr>
      </w:pPr>
      <w:r w:rsidRPr="00933570">
        <w:rPr>
          <w:bCs/>
          <w:snapToGrid w:val="0"/>
          <w:sz w:val="22"/>
          <w:szCs w:val="22"/>
          <w:lang w:val="en-GB"/>
        </w:rPr>
        <w:t>GEF full Size Grant</w:t>
      </w:r>
      <w:r w:rsidRPr="00933570">
        <w:rPr>
          <w:bCs/>
          <w:snapToGrid w:val="0"/>
          <w:sz w:val="22"/>
          <w:szCs w:val="22"/>
          <w:lang w:val="en-GB"/>
        </w:rPr>
        <w:tab/>
      </w:r>
      <w:r w:rsidR="00100E3E">
        <w:rPr>
          <w:bCs/>
          <w:snapToGrid w:val="0"/>
          <w:sz w:val="22"/>
          <w:szCs w:val="22"/>
          <w:lang w:val="en-GB"/>
        </w:rPr>
        <w:tab/>
      </w:r>
      <w:r w:rsidR="00100E3E">
        <w:rPr>
          <w:bCs/>
          <w:snapToGrid w:val="0"/>
          <w:sz w:val="22"/>
          <w:szCs w:val="22"/>
          <w:lang w:val="en-GB"/>
        </w:rPr>
        <w:tab/>
      </w:r>
      <w:r w:rsidR="00100E3E">
        <w:rPr>
          <w:bCs/>
          <w:snapToGrid w:val="0"/>
          <w:sz w:val="22"/>
          <w:szCs w:val="22"/>
          <w:lang w:val="en-GB"/>
        </w:rPr>
        <w:tab/>
      </w:r>
      <w:r w:rsidRPr="00933570">
        <w:rPr>
          <w:bCs/>
          <w:snapToGrid w:val="0"/>
          <w:sz w:val="22"/>
          <w:szCs w:val="22"/>
          <w:lang w:val="en-GB"/>
        </w:rPr>
        <w:t>15,000,000</w:t>
      </w:r>
      <w:r w:rsidRPr="00933570">
        <w:rPr>
          <w:bCs/>
          <w:snapToGrid w:val="0"/>
          <w:sz w:val="22"/>
          <w:szCs w:val="22"/>
          <w:lang w:val="en-GB"/>
        </w:rPr>
        <w:tab/>
      </w:r>
      <w:r w:rsidR="00100E3E">
        <w:rPr>
          <w:rFonts w:ascii="Calibri" w:hAnsi="Calibri"/>
          <w:color w:val="000000"/>
          <w:sz w:val="22"/>
          <w:szCs w:val="22"/>
        </w:rPr>
        <w:t>83,451,948</w:t>
      </w:r>
    </w:p>
    <w:p w14:paraId="4A145C4C" w14:textId="77777777" w:rsidR="00933570" w:rsidRPr="00933570" w:rsidRDefault="00933570" w:rsidP="00933570">
      <w:pPr>
        <w:ind w:left="-18"/>
        <w:jc w:val="both"/>
        <w:rPr>
          <w:bCs/>
          <w:snapToGrid w:val="0"/>
          <w:sz w:val="22"/>
          <w:szCs w:val="22"/>
          <w:lang w:val="en-GB"/>
        </w:rPr>
      </w:pPr>
    </w:p>
    <w:p w14:paraId="0A25B61D" w14:textId="77777777" w:rsidR="00933570" w:rsidRPr="00933570" w:rsidRDefault="00933570" w:rsidP="00933570">
      <w:pPr>
        <w:tabs>
          <w:tab w:val="left" w:pos="4320"/>
          <w:tab w:val="left" w:pos="5760"/>
        </w:tabs>
        <w:ind w:left="-18"/>
        <w:jc w:val="both"/>
        <w:rPr>
          <w:b/>
          <w:bCs/>
          <w:snapToGrid w:val="0"/>
          <w:sz w:val="22"/>
          <w:szCs w:val="22"/>
          <w:lang w:val="en-GB"/>
        </w:rPr>
      </w:pPr>
      <w:r w:rsidRPr="00933570">
        <w:rPr>
          <w:b/>
          <w:bCs/>
          <w:snapToGrid w:val="0"/>
          <w:sz w:val="22"/>
          <w:szCs w:val="22"/>
          <w:lang w:val="en-GB"/>
        </w:rPr>
        <w:t xml:space="preserve">TOTAL </w:t>
      </w:r>
    </w:p>
    <w:p w14:paraId="63C83C97" w14:textId="77777777" w:rsidR="00933570" w:rsidRPr="00933570" w:rsidRDefault="00933570" w:rsidP="00933570">
      <w:pPr>
        <w:tabs>
          <w:tab w:val="left" w:pos="4320"/>
          <w:tab w:val="left" w:pos="5760"/>
        </w:tabs>
        <w:ind w:left="-18"/>
        <w:jc w:val="both"/>
        <w:rPr>
          <w:b/>
          <w:bCs/>
          <w:snapToGrid w:val="0"/>
          <w:sz w:val="22"/>
          <w:szCs w:val="22"/>
          <w:lang w:val="en-GB"/>
        </w:rPr>
      </w:pPr>
      <w:r w:rsidRPr="00933570">
        <w:rPr>
          <w:b/>
          <w:bCs/>
          <w:snapToGrid w:val="0"/>
          <w:sz w:val="22"/>
          <w:szCs w:val="22"/>
          <w:lang w:val="en-GB"/>
        </w:rPr>
        <w:t>(including project preparation funds)</w:t>
      </w:r>
      <w:r w:rsidRPr="00933570">
        <w:rPr>
          <w:b/>
          <w:bCs/>
          <w:snapToGrid w:val="0"/>
          <w:sz w:val="22"/>
          <w:szCs w:val="22"/>
          <w:lang w:val="en-GB"/>
        </w:rPr>
        <w:tab/>
        <w:t>15,300,000</w:t>
      </w:r>
      <w:r w:rsidRPr="00933570">
        <w:rPr>
          <w:b/>
          <w:bCs/>
          <w:snapToGrid w:val="0"/>
          <w:sz w:val="22"/>
          <w:szCs w:val="22"/>
          <w:lang w:val="en-GB"/>
        </w:rPr>
        <w:tab/>
      </w:r>
      <w:r w:rsidR="00100E3E" w:rsidRPr="00100E3E">
        <w:rPr>
          <w:b/>
          <w:bCs/>
          <w:snapToGrid w:val="0"/>
          <w:sz w:val="22"/>
          <w:szCs w:val="22"/>
          <w:lang w:val="en-GB"/>
        </w:rPr>
        <w:t>98,</w:t>
      </w:r>
      <w:r w:rsidR="00100E3E">
        <w:rPr>
          <w:b/>
          <w:bCs/>
          <w:snapToGrid w:val="0"/>
          <w:sz w:val="22"/>
          <w:szCs w:val="22"/>
          <w:lang w:val="en-GB"/>
        </w:rPr>
        <w:t>7</w:t>
      </w:r>
      <w:r w:rsidR="00100E3E" w:rsidRPr="00100E3E">
        <w:rPr>
          <w:b/>
          <w:bCs/>
          <w:snapToGrid w:val="0"/>
          <w:sz w:val="22"/>
          <w:szCs w:val="22"/>
          <w:lang w:val="en-GB"/>
        </w:rPr>
        <w:t>51,948</w:t>
      </w:r>
    </w:p>
    <w:p w14:paraId="13C966B1" w14:textId="77777777" w:rsidR="00933570" w:rsidRPr="00933570" w:rsidRDefault="00933570" w:rsidP="00933570">
      <w:pPr>
        <w:jc w:val="both"/>
        <w:rPr>
          <w:sz w:val="22"/>
          <w:szCs w:val="22"/>
          <w:lang w:val="en-GB"/>
        </w:rPr>
      </w:pPr>
    </w:p>
    <w:p w14:paraId="3075551D" w14:textId="77777777" w:rsidR="00933570" w:rsidRPr="00933570" w:rsidRDefault="00933570" w:rsidP="00933570">
      <w:pPr>
        <w:ind w:left="-18"/>
        <w:jc w:val="both"/>
        <w:rPr>
          <w:bCs/>
          <w:snapToGrid w:val="0"/>
          <w:sz w:val="22"/>
          <w:szCs w:val="22"/>
          <w:lang w:val="en-GB"/>
        </w:rPr>
      </w:pPr>
      <w:r w:rsidRPr="00933570">
        <w:rPr>
          <w:bCs/>
          <w:snapToGrid w:val="0"/>
          <w:sz w:val="22"/>
          <w:szCs w:val="22"/>
          <w:u w:val="single"/>
          <w:lang w:val="en-GB"/>
        </w:rPr>
        <w:t>Co-funding sources:</w:t>
      </w:r>
      <w:r w:rsidRPr="00933570">
        <w:rPr>
          <w:bCs/>
          <w:snapToGrid w:val="0"/>
          <w:sz w:val="22"/>
          <w:szCs w:val="22"/>
          <w:lang w:val="en-GB"/>
        </w:rPr>
        <w:t xml:space="preserve"> National governments of the six participating countries, UNEP and COBSEA</w:t>
      </w:r>
    </w:p>
    <w:p w14:paraId="204F17F2" w14:textId="77777777" w:rsidR="00933570" w:rsidRPr="00933570" w:rsidRDefault="00933570" w:rsidP="00933570">
      <w:pPr>
        <w:ind w:left="-18"/>
        <w:jc w:val="both"/>
        <w:rPr>
          <w:bCs/>
          <w:snapToGrid w:val="0"/>
          <w:sz w:val="22"/>
          <w:szCs w:val="22"/>
          <w:lang w:val="en-GB"/>
        </w:rPr>
      </w:pPr>
    </w:p>
    <w:p w14:paraId="155673A9" w14:textId="77777777" w:rsidR="00933570" w:rsidRDefault="00933570" w:rsidP="00100E3E">
      <w:pPr>
        <w:ind w:left="360" w:hanging="360"/>
        <w:jc w:val="both"/>
        <w:rPr>
          <w:rFonts w:ascii="Calibri" w:hAnsi="Calibri"/>
          <w:color w:val="000000"/>
          <w:sz w:val="22"/>
          <w:szCs w:val="22"/>
        </w:rPr>
      </w:pPr>
      <w:r w:rsidRPr="00933570">
        <w:rPr>
          <w:bCs/>
          <w:snapToGrid w:val="0"/>
          <w:sz w:val="22"/>
          <w:szCs w:val="22"/>
          <w:u w:val="single"/>
          <w:lang w:val="en-GB"/>
        </w:rPr>
        <w:t xml:space="preserve">Anticipated: </w:t>
      </w:r>
      <w:r w:rsidRPr="00933570">
        <w:rPr>
          <w:bCs/>
          <w:snapToGrid w:val="0"/>
          <w:sz w:val="22"/>
          <w:szCs w:val="22"/>
          <w:lang w:val="en-GB"/>
        </w:rPr>
        <w:t xml:space="preserve"> US$</w:t>
      </w:r>
      <w:r w:rsidR="00100E3E">
        <w:rPr>
          <w:rFonts w:ascii="Calibri" w:hAnsi="Calibri"/>
          <w:color w:val="000000"/>
          <w:sz w:val="22"/>
          <w:szCs w:val="22"/>
        </w:rPr>
        <w:t>83,451,948</w:t>
      </w:r>
    </w:p>
    <w:p w14:paraId="309FDE95" w14:textId="77777777" w:rsidR="00100E3E" w:rsidRPr="00933570" w:rsidRDefault="00100E3E" w:rsidP="00100E3E">
      <w:pPr>
        <w:ind w:left="360" w:hanging="360"/>
        <w:jc w:val="both"/>
        <w:rPr>
          <w:b/>
          <w:sz w:val="22"/>
          <w:szCs w:val="22"/>
          <w:lang w:val="en-GB"/>
        </w:rPr>
      </w:pPr>
    </w:p>
    <w:p w14:paraId="002AB8D9" w14:textId="77777777" w:rsidR="00933570" w:rsidRPr="00933570" w:rsidRDefault="00933570" w:rsidP="00933570">
      <w:pPr>
        <w:rPr>
          <w:b/>
          <w:sz w:val="22"/>
          <w:szCs w:val="22"/>
          <w:lang w:val="en-GB"/>
        </w:rPr>
      </w:pPr>
      <w:r w:rsidRPr="00933570">
        <w:rPr>
          <w:b/>
          <w:sz w:val="22"/>
          <w:szCs w:val="22"/>
          <w:lang w:val="en-GB"/>
        </w:rPr>
        <w:t>TERMS OF REFERENCE FOR THE EVALUATION</w:t>
      </w:r>
    </w:p>
    <w:p w14:paraId="02021196" w14:textId="77777777" w:rsidR="00933570" w:rsidRPr="00933570" w:rsidRDefault="00933570" w:rsidP="00933570">
      <w:pPr>
        <w:rPr>
          <w:b/>
          <w:sz w:val="22"/>
          <w:szCs w:val="22"/>
          <w:lang w:val="en-GB"/>
        </w:rPr>
      </w:pPr>
    </w:p>
    <w:p w14:paraId="2469562D" w14:textId="77777777" w:rsidR="00933570" w:rsidRPr="00933570" w:rsidRDefault="00933570" w:rsidP="00E071AC">
      <w:pPr>
        <w:numPr>
          <w:ilvl w:val="0"/>
          <w:numId w:val="40"/>
        </w:numPr>
        <w:tabs>
          <w:tab w:val="left" w:pos="0"/>
          <w:tab w:val="left" w:pos="306"/>
          <w:tab w:val="left" w:pos="1326"/>
          <w:tab w:val="left" w:pos="1836"/>
          <w:tab w:val="left" w:pos="2346"/>
          <w:tab w:val="left" w:pos="5160"/>
          <w:tab w:val="left" w:pos="6960"/>
        </w:tabs>
        <w:suppressAutoHyphens/>
        <w:jc w:val="both"/>
        <w:rPr>
          <w:b/>
          <w:sz w:val="22"/>
          <w:szCs w:val="22"/>
          <w:u w:val="single"/>
          <w:lang w:val="en-GB"/>
        </w:rPr>
      </w:pPr>
      <w:r w:rsidRPr="00933570">
        <w:rPr>
          <w:b/>
          <w:sz w:val="22"/>
          <w:szCs w:val="22"/>
          <w:u w:val="single"/>
          <w:lang w:val="en-GB"/>
        </w:rPr>
        <w:t>Objective and Scope of the Evaluation</w:t>
      </w:r>
    </w:p>
    <w:p w14:paraId="781BC46A" w14:textId="77777777" w:rsidR="00933570" w:rsidRPr="00933570" w:rsidRDefault="00933570" w:rsidP="00933570">
      <w:pPr>
        <w:spacing w:after="120"/>
        <w:jc w:val="both"/>
        <w:rPr>
          <w:sz w:val="22"/>
          <w:szCs w:val="22"/>
          <w:lang w:val="en-GB"/>
        </w:rPr>
      </w:pPr>
      <w:r w:rsidRPr="00933570">
        <w:rPr>
          <w:sz w:val="22"/>
          <w:szCs w:val="22"/>
          <w:lang w:val="en-GB"/>
        </w:rPr>
        <w:t>The objective of this terminal evaluation is to examine the extent and magnitude of any project impacts to date and determine the likelihood of future impacts. The evaluation will also assess project performance and the implementation of planned project activities and planned outputs against actual results. The evaluation will focus on the following main questions:</w:t>
      </w:r>
    </w:p>
    <w:p w14:paraId="5C4B0CC8" w14:textId="77777777" w:rsidR="00933570" w:rsidRPr="00BA7B99" w:rsidRDefault="00933570" w:rsidP="00E071AC">
      <w:pPr>
        <w:numPr>
          <w:ilvl w:val="0"/>
          <w:numId w:val="42"/>
        </w:numPr>
        <w:spacing w:after="120"/>
        <w:jc w:val="both"/>
        <w:rPr>
          <w:sz w:val="22"/>
          <w:szCs w:val="22"/>
          <w:lang w:val="en-GB"/>
        </w:rPr>
      </w:pPr>
      <w:r w:rsidRPr="00BA7B99">
        <w:rPr>
          <w:sz w:val="22"/>
          <w:szCs w:val="22"/>
          <w:lang w:val="en-GB"/>
        </w:rPr>
        <w:t>Did the project help to { } among key target audiences (international conventions and initiatives, national level policy-makers, regional and local policy-makers, resource managers and practitioners).</w:t>
      </w:r>
    </w:p>
    <w:p w14:paraId="46363709" w14:textId="77777777" w:rsidR="00933570" w:rsidRPr="00BA7B99" w:rsidRDefault="00933570" w:rsidP="00E071AC">
      <w:pPr>
        <w:numPr>
          <w:ilvl w:val="0"/>
          <w:numId w:val="42"/>
        </w:numPr>
        <w:spacing w:after="120"/>
        <w:jc w:val="both"/>
        <w:rPr>
          <w:sz w:val="22"/>
          <w:szCs w:val="22"/>
          <w:lang w:val="en-GB"/>
        </w:rPr>
      </w:pPr>
      <w:r w:rsidRPr="00BA7B99">
        <w:rPr>
          <w:sz w:val="22"/>
          <w:szCs w:val="22"/>
          <w:lang w:val="en-GB"/>
        </w:rPr>
        <w:t>Did the outputs of the project articulate options and recommendations for { }?  Were these options and recommendations used? If so by whom?</w:t>
      </w:r>
    </w:p>
    <w:p w14:paraId="28EA4111" w14:textId="77777777" w:rsidR="00933570" w:rsidRPr="00BA7B99" w:rsidRDefault="00933570" w:rsidP="00E071AC">
      <w:pPr>
        <w:numPr>
          <w:ilvl w:val="0"/>
          <w:numId w:val="42"/>
        </w:numPr>
        <w:spacing w:after="120"/>
        <w:jc w:val="both"/>
        <w:rPr>
          <w:b/>
          <w:sz w:val="22"/>
          <w:szCs w:val="22"/>
          <w:u w:val="single"/>
          <w:lang w:val="en-GB"/>
        </w:rPr>
      </w:pPr>
      <w:r w:rsidRPr="00BA7B99">
        <w:rPr>
          <w:bCs/>
          <w:color w:val="000000"/>
          <w:sz w:val="22"/>
          <w:szCs w:val="22"/>
          <w:lang w:val="en-GB"/>
        </w:rPr>
        <w:t>To what extent did the project outputs produced have the weight of scientific authority and credibility necessary to influence policy makers and other key audiences?</w:t>
      </w:r>
    </w:p>
    <w:p w14:paraId="3DCEF920" w14:textId="77777777" w:rsidR="00933570" w:rsidRPr="00BA7B99" w:rsidRDefault="00933570" w:rsidP="00933570">
      <w:pPr>
        <w:spacing w:after="120"/>
        <w:jc w:val="both"/>
        <w:rPr>
          <w:b/>
          <w:sz w:val="22"/>
          <w:szCs w:val="22"/>
          <w:u w:val="single"/>
          <w:lang w:val="en-GB"/>
        </w:rPr>
      </w:pPr>
      <w:r w:rsidRPr="00BA7B99">
        <w:rPr>
          <w:b/>
          <w:sz w:val="22"/>
          <w:szCs w:val="22"/>
          <w:u w:val="single"/>
          <w:lang w:val="en-GB"/>
        </w:rPr>
        <w:t>Methods</w:t>
      </w:r>
    </w:p>
    <w:p w14:paraId="48381332" w14:textId="77777777" w:rsidR="00933570" w:rsidRPr="00BA7B99" w:rsidRDefault="00933570" w:rsidP="00933570">
      <w:pPr>
        <w:tabs>
          <w:tab w:val="left" w:pos="0"/>
          <w:tab w:val="left" w:pos="396"/>
          <w:tab w:val="left" w:pos="720"/>
          <w:tab w:val="left" w:pos="1188"/>
          <w:tab w:val="left" w:pos="1584"/>
          <w:tab w:val="left" w:pos="1980"/>
          <w:tab w:val="left" w:pos="2376"/>
          <w:tab w:val="left" w:pos="2772"/>
          <w:tab w:val="left" w:pos="3168"/>
          <w:tab w:val="left" w:pos="3564"/>
          <w:tab w:val="left" w:pos="3960"/>
          <w:tab w:val="left" w:pos="4356"/>
        </w:tabs>
        <w:suppressAutoHyphens/>
        <w:spacing w:after="120"/>
        <w:jc w:val="both"/>
        <w:rPr>
          <w:sz w:val="22"/>
          <w:szCs w:val="22"/>
          <w:lang w:val="en-GB"/>
        </w:rPr>
      </w:pPr>
      <w:r w:rsidRPr="00BA7B99">
        <w:rPr>
          <w:sz w:val="22"/>
          <w:szCs w:val="22"/>
          <w:lang w:val="en-GB"/>
        </w:rPr>
        <w:t>This terminal evaluation will be conducted as an in-depth evaluation using a participatory approach whereby the UNEP Task Manager, key representatives of the executing agency and national lead agencies and other relevant staff are kept informed and consulted throughout the evaluation. The consultant will liaise with the UNEP/EOU and the UNEP Task Manager on any logistic and/or methodological issues to properly conduct the review in as independent a way as possible, given the circumstances and resources offered. The draft report will be circulated to the UNEP Task Manager, the Project Director and COBSEA Secretariat and the National Focal Points from the lead national agencies and the UNEP/EOU.  Any comments or responses to the draft report will be sent to UNEP / EOU for collation and the consultant will be advised of any necessary or suggested revisions.</w:t>
      </w:r>
    </w:p>
    <w:p w14:paraId="2A454573" w14:textId="77777777" w:rsidR="00933570" w:rsidRPr="00BA7B99" w:rsidRDefault="00933570" w:rsidP="00933570">
      <w:pPr>
        <w:jc w:val="both"/>
        <w:rPr>
          <w:sz w:val="22"/>
          <w:szCs w:val="22"/>
          <w:lang w:val="en-GB"/>
        </w:rPr>
      </w:pPr>
      <w:r w:rsidRPr="00BA7B99">
        <w:rPr>
          <w:sz w:val="22"/>
          <w:szCs w:val="22"/>
          <w:lang w:val="en-GB"/>
        </w:rPr>
        <w:t>The findings of the evaluation will be based on the following:</w:t>
      </w:r>
    </w:p>
    <w:p w14:paraId="3E860FEA" w14:textId="77777777" w:rsidR="00933570" w:rsidRPr="00BA7B99" w:rsidRDefault="00933570" w:rsidP="00933570">
      <w:pPr>
        <w:jc w:val="both"/>
        <w:rPr>
          <w:sz w:val="22"/>
          <w:szCs w:val="22"/>
          <w:lang w:val="en-GB"/>
        </w:rPr>
      </w:pPr>
    </w:p>
    <w:p w14:paraId="381D5442" w14:textId="77777777" w:rsidR="00933570" w:rsidRPr="00BA7B99" w:rsidRDefault="00933570" w:rsidP="00E071AC">
      <w:pPr>
        <w:numPr>
          <w:ilvl w:val="0"/>
          <w:numId w:val="37"/>
        </w:numPr>
        <w:jc w:val="both"/>
        <w:rPr>
          <w:color w:val="000000"/>
          <w:sz w:val="22"/>
          <w:szCs w:val="22"/>
          <w:lang w:val="en-GB"/>
        </w:rPr>
      </w:pPr>
      <w:r w:rsidRPr="00BA7B99">
        <w:rPr>
          <w:color w:val="000000"/>
          <w:sz w:val="22"/>
          <w:szCs w:val="22"/>
          <w:lang w:val="en-GB"/>
        </w:rPr>
        <w:t>A desk review of project documents including, but not limited to:</w:t>
      </w:r>
    </w:p>
    <w:p w14:paraId="5836300E" w14:textId="77777777" w:rsidR="00933570" w:rsidRPr="00BA7B99" w:rsidRDefault="00933570" w:rsidP="00E071AC">
      <w:pPr>
        <w:numPr>
          <w:ilvl w:val="1"/>
          <w:numId w:val="37"/>
        </w:numPr>
        <w:jc w:val="both"/>
        <w:rPr>
          <w:color w:val="000000"/>
          <w:sz w:val="22"/>
          <w:szCs w:val="22"/>
          <w:lang w:val="en-GB"/>
        </w:rPr>
      </w:pPr>
      <w:r w:rsidRPr="00BA7B99">
        <w:rPr>
          <w:color w:val="000000"/>
          <w:sz w:val="22"/>
          <w:szCs w:val="22"/>
          <w:lang w:val="en-GB"/>
        </w:rPr>
        <w:t>The project documents, outputs, monitoring reports (such as progress and financial reports to UNEP and GEF annual Project Implementation Review reports) and relevant correspondence.</w:t>
      </w:r>
    </w:p>
    <w:p w14:paraId="31DE7F40" w14:textId="77777777" w:rsidR="00933570" w:rsidRPr="00BA7B99" w:rsidRDefault="00933570" w:rsidP="00E071AC">
      <w:pPr>
        <w:numPr>
          <w:ilvl w:val="1"/>
          <w:numId w:val="37"/>
        </w:numPr>
        <w:jc w:val="both"/>
        <w:rPr>
          <w:color w:val="000000"/>
          <w:sz w:val="22"/>
          <w:szCs w:val="22"/>
          <w:lang w:val="en-GB"/>
        </w:rPr>
      </w:pPr>
      <w:r w:rsidRPr="00BA7B99">
        <w:rPr>
          <w:color w:val="000000"/>
          <w:sz w:val="22"/>
          <w:szCs w:val="22"/>
          <w:lang w:val="en-GB"/>
        </w:rPr>
        <w:t xml:space="preserve">Reports of the Project Steering Committee and Regional Scientific and Technical Committee meetings. </w:t>
      </w:r>
    </w:p>
    <w:p w14:paraId="3FC47EE2" w14:textId="77777777" w:rsidR="00933570" w:rsidRPr="00BA7B99" w:rsidRDefault="00933570" w:rsidP="00E071AC">
      <w:pPr>
        <w:numPr>
          <w:ilvl w:val="1"/>
          <w:numId w:val="37"/>
        </w:numPr>
        <w:jc w:val="both"/>
        <w:rPr>
          <w:color w:val="000000"/>
          <w:sz w:val="22"/>
          <w:szCs w:val="22"/>
          <w:lang w:val="en-GB"/>
        </w:rPr>
      </w:pPr>
      <w:r w:rsidRPr="00BA7B99">
        <w:rPr>
          <w:color w:val="000000"/>
          <w:sz w:val="22"/>
          <w:szCs w:val="22"/>
          <w:lang w:val="en-GB"/>
        </w:rPr>
        <w:t>Other project-related material produced by the project staff or partners.</w:t>
      </w:r>
    </w:p>
    <w:p w14:paraId="70448CA0" w14:textId="77777777" w:rsidR="00933570" w:rsidRPr="00BA7B99" w:rsidRDefault="00933570" w:rsidP="00E071AC">
      <w:pPr>
        <w:numPr>
          <w:ilvl w:val="1"/>
          <w:numId w:val="37"/>
        </w:numPr>
        <w:jc w:val="both"/>
        <w:rPr>
          <w:color w:val="000000"/>
          <w:sz w:val="22"/>
          <w:szCs w:val="22"/>
          <w:lang w:val="en-GB"/>
        </w:rPr>
      </w:pPr>
      <w:r w:rsidRPr="00BA7B99">
        <w:rPr>
          <w:color w:val="000000"/>
          <w:sz w:val="22"/>
          <w:szCs w:val="22"/>
          <w:lang w:val="en-GB"/>
        </w:rPr>
        <w:t>Relevant material published on the project web-site:{ }.</w:t>
      </w:r>
    </w:p>
    <w:p w14:paraId="10D3BEE1" w14:textId="77777777" w:rsidR="00933570" w:rsidRPr="00BA7B99" w:rsidRDefault="00933570" w:rsidP="00933570">
      <w:pPr>
        <w:jc w:val="both"/>
        <w:rPr>
          <w:color w:val="000000"/>
          <w:sz w:val="22"/>
          <w:szCs w:val="22"/>
          <w:lang w:val="en-GB"/>
        </w:rPr>
      </w:pPr>
    </w:p>
    <w:p w14:paraId="264E6ED1" w14:textId="77777777" w:rsidR="00933570" w:rsidRPr="00BA7B99" w:rsidRDefault="00933570" w:rsidP="00E071AC">
      <w:pPr>
        <w:numPr>
          <w:ilvl w:val="0"/>
          <w:numId w:val="37"/>
        </w:numPr>
        <w:jc w:val="both"/>
        <w:rPr>
          <w:sz w:val="22"/>
          <w:szCs w:val="22"/>
          <w:lang w:val="en-GB"/>
        </w:rPr>
      </w:pPr>
      <w:r w:rsidRPr="00BA7B99">
        <w:rPr>
          <w:sz w:val="22"/>
          <w:szCs w:val="22"/>
          <w:lang w:val="en-GB"/>
        </w:rPr>
        <w:t>Interviews with project management and technical support including {NEED INPUT FROM TM HERE}</w:t>
      </w:r>
    </w:p>
    <w:p w14:paraId="29FE20CB" w14:textId="77777777" w:rsidR="00933570" w:rsidRPr="00BA7B99" w:rsidRDefault="00933570" w:rsidP="00933570">
      <w:pPr>
        <w:jc w:val="both"/>
        <w:rPr>
          <w:sz w:val="22"/>
          <w:szCs w:val="22"/>
          <w:lang w:val="en-GB"/>
        </w:rPr>
      </w:pPr>
    </w:p>
    <w:p w14:paraId="153CCF8F" w14:textId="77777777" w:rsidR="00933570" w:rsidRPr="00BA7B99" w:rsidRDefault="00933570" w:rsidP="00E071AC">
      <w:pPr>
        <w:numPr>
          <w:ilvl w:val="0"/>
          <w:numId w:val="37"/>
        </w:numPr>
        <w:jc w:val="both"/>
        <w:rPr>
          <w:color w:val="000000"/>
          <w:sz w:val="22"/>
          <w:szCs w:val="22"/>
          <w:lang w:val="en-GB"/>
        </w:rPr>
      </w:pPr>
      <w:r w:rsidRPr="00BA7B99">
        <w:rPr>
          <w:sz w:val="22"/>
          <w:szCs w:val="22"/>
          <w:lang w:val="en-GB"/>
        </w:rPr>
        <w:t xml:space="preserve">Interviews and Telephone interviews with intended users for the project outputs and other stakeholders involved with this project, including in the participating countries and international bodies. </w:t>
      </w:r>
      <w:r w:rsidRPr="00BA7B99">
        <w:rPr>
          <w:color w:val="000000"/>
          <w:sz w:val="22"/>
          <w:szCs w:val="22"/>
          <w:lang w:val="en-GB"/>
        </w:rPr>
        <w:t xml:space="preserve">The Consultant shall determine whether to seek additional information and opinions from representatives of other organizations. </w:t>
      </w:r>
      <w:r w:rsidRPr="00BA7B99">
        <w:rPr>
          <w:sz w:val="22"/>
          <w:szCs w:val="22"/>
          <w:lang w:val="en-GB"/>
        </w:rPr>
        <w:t xml:space="preserve">As appropriate, these interviews could be combined with an email questionnaire. </w:t>
      </w:r>
    </w:p>
    <w:p w14:paraId="58F3632F" w14:textId="77777777" w:rsidR="00933570" w:rsidRPr="00BA7B99" w:rsidRDefault="00933570" w:rsidP="00933570">
      <w:pPr>
        <w:jc w:val="both"/>
        <w:rPr>
          <w:color w:val="000000"/>
          <w:sz w:val="22"/>
          <w:szCs w:val="22"/>
          <w:lang w:val="en-GB"/>
        </w:rPr>
      </w:pPr>
    </w:p>
    <w:p w14:paraId="0C30F1CC" w14:textId="77777777" w:rsidR="00933570" w:rsidRPr="00BA7B99" w:rsidRDefault="00933570" w:rsidP="00E071AC">
      <w:pPr>
        <w:numPr>
          <w:ilvl w:val="0"/>
          <w:numId w:val="37"/>
        </w:numPr>
        <w:jc w:val="both"/>
        <w:rPr>
          <w:color w:val="000000"/>
          <w:sz w:val="22"/>
          <w:szCs w:val="22"/>
          <w:lang w:val="en-GB"/>
        </w:rPr>
      </w:pPr>
      <w:r w:rsidRPr="00BA7B99">
        <w:rPr>
          <w:color w:val="000000"/>
          <w:sz w:val="22"/>
          <w:szCs w:val="22"/>
          <w:lang w:val="en-GB"/>
        </w:rPr>
        <w:t>Interviews with the UNEP/DEPI project task manager and Fund Management Officer, and other relevant staff in UNEP dealing with International Waters-related activities as necessary.  The Consultant shall also gain broader perspectives from discussions with relevant GEF Secretariat staff.</w:t>
      </w:r>
    </w:p>
    <w:p w14:paraId="4CB8CBEB" w14:textId="77777777" w:rsidR="00933570" w:rsidRPr="00BA7B99" w:rsidRDefault="00933570" w:rsidP="00933570">
      <w:pPr>
        <w:jc w:val="both"/>
        <w:rPr>
          <w:color w:val="000000"/>
          <w:sz w:val="22"/>
          <w:szCs w:val="22"/>
          <w:lang w:val="en-GB"/>
        </w:rPr>
      </w:pPr>
    </w:p>
    <w:p w14:paraId="6873C1AC" w14:textId="77777777" w:rsidR="00933570" w:rsidRPr="00BA7B99" w:rsidRDefault="00933570" w:rsidP="00E071AC">
      <w:pPr>
        <w:numPr>
          <w:ilvl w:val="0"/>
          <w:numId w:val="37"/>
        </w:numPr>
        <w:jc w:val="both"/>
        <w:rPr>
          <w:color w:val="000000"/>
          <w:sz w:val="22"/>
          <w:szCs w:val="22"/>
          <w:lang w:val="en-GB"/>
        </w:rPr>
      </w:pPr>
      <w:r w:rsidRPr="00BA7B99">
        <w:rPr>
          <w:color w:val="000000"/>
          <w:sz w:val="22"/>
          <w:szCs w:val="22"/>
          <w:lang w:val="en-GB"/>
        </w:rPr>
        <w:t>Field visits</w:t>
      </w:r>
      <w:r w:rsidRPr="00BA7B99">
        <w:rPr>
          <w:color w:val="000000"/>
          <w:sz w:val="22"/>
          <w:szCs w:val="22"/>
          <w:vertAlign w:val="superscript"/>
          <w:lang w:val="en-GB"/>
        </w:rPr>
        <w:footnoteReference w:id="82"/>
      </w:r>
      <w:r w:rsidRPr="00BA7B99">
        <w:rPr>
          <w:color w:val="000000"/>
          <w:sz w:val="22"/>
          <w:szCs w:val="22"/>
          <w:lang w:val="en-GB"/>
        </w:rPr>
        <w:t xml:space="preserve"> to project staff and </w:t>
      </w:r>
      <w:r w:rsidRPr="00BA7B99">
        <w:rPr>
          <w:i/>
          <w:iCs/>
          <w:color w:val="000000"/>
          <w:sz w:val="22"/>
          <w:szCs w:val="22"/>
          <w:lang w:val="en-GB"/>
        </w:rPr>
        <w:t>refugia</w:t>
      </w:r>
      <w:r w:rsidRPr="00BA7B99">
        <w:rPr>
          <w:color w:val="000000"/>
          <w:sz w:val="22"/>
          <w:szCs w:val="22"/>
          <w:lang w:val="en-GB"/>
        </w:rPr>
        <w:t xml:space="preserve"> sites</w:t>
      </w:r>
    </w:p>
    <w:p w14:paraId="3BD9D261" w14:textId="77777777" w:rsidR="00933570" w:rsidRPr="00BA7B99" w:rsidRDefault="00933570" w:rsidP="00933570">
      <w:pPr>
        <w:jc w:val="both"/>
        <w:rPr>
          <w:color w:val="000000"/>
          <w:sz w:val="22"/>
          <w:szCs w:val="22"/>
          <w:lang w:val="en-GB"/>
        </w:rPr>
      </w:pPr>
    </w:p>
    <w:p w14:paraId="2E68A67C" w14:textId="77777777" w:rsidR="00933570" w:rsidRPr="00BA7B99" w:rsidRDefault="00933570" w:rsidP="00933570">
      <w:pPr>
        <w:jc w:val="both"/>
        <w:rPr>
          <w:b/>
          <w:color w:val="000000"/>
          <w:sz w:val="22"/>
          <w:szCs w:val="22"/>
          <w:lang w:val="en-GB"/>
        </w:rPr>
      </w:pPr>
      <w:r w:rsidRPr="00BA7B99">
        <w:rPr>
          <w:b/>
          <w:color w:val="000000"/>
          <w:sz w:val="22"/>
          <w:szCs w:val="22"/>
          <w:lang w:val="en-GB"/>
        </w:rPr>
        <w:t>Key Evaluation principles.</w:t>
      </w:r>
    </w:p>
    <w:p w14:paraId="7FC7B551" w14:textId="77777777" w:rsidR="00933570" w:rsidRPr="00BA7B99" w:rsidRDefault="00933570" w:rsidP="00933570">
      <w:pPr>
        <w:jc w:val="both"/>
        <w:rPr>
          <w:color w:val="000000"/>
          <w:sz w:val="22"/>
          <w:szCs w:val="22"/>
          <w:lang w:val="en-GB"/>
        </w:rPr>
      </w:pPr>
      <w:r w:rsidRPr="00BA7B99">
        <w:rPr>
          <w:color w:val="000000"/>
          <w:sz w:val="22"/>
          <w:szCs w:val="22"/>
          <w:lang w:val="en-GB"/>
        </w:rPr>
        <w:t xml:space="preserve">In attempting to evaluate any outcomes and impacts that the project may have achieved, evaluators should remember that the project’s performance should be assessed by considering the difference between the answers to two simple questions </w:t>
      </w:r>
      <w:r w:rsidRPr="00BA7B99">
        <w:rPr>
          <w:b/>
          <w:i/>
          <w:color w:val="000000"/>
          <w:sz w:val="22"/>
          <w:szCs w:val="22"/>
          <w:lang w:val="en-GB"/>
        </w:rPr>
        <w:t>“what happened?</w:t>
      </w:r>
      <w:r w:rsidRPr="00BA7B99">
        <w:rPr>
          <w:color w:val="000000"/>
          <w:sz w:val="22"/>
          <w:szCs w:val="22"/>
          <w:lang w:val="en-GB"/>
        </w:rPr>
        <w:t xml:space="preserve">” and </w:t>
      </w:r>
      <w:r w:rsidRPr="00BA7B99">
        <w:rPr>
          <w:b/>
          <w:i/>
          <w:color w:val="000000"/>
          <w:sz w:val="22"/>
          <w:szCs w:val="22"/>
          <w:lang w:val="en-GB"/>
        </w:rPr>
        <w:t>“what would have happened anyway?”</w:t>
      </w:r>
      <w:r w:rsidRPr="00BA7B99">
        <w:rPr>
          <w:color w:val="000000"/>
          <w:sz w:val="22"/>
          <w:szCs w:val="22"/>
          <w:lang w:val="en-GB"/>
        </w:rPr>
        <w:t xml:space="preserve">.   These questions imply that there should be consideration of the baseline conditions and trends in relation to the intended project outcomes and impacts. In addition it implies that there should be plausible evidence to </w:t>
      </w:r>
      <w:r w:rsidRPr="00BA7B99">
        <w:rPr>
          <w:b/>
          <w:color w:val="000000"/>
          <w:sz w:val="22"/>
          <w:szCs w:val="22"/>
          <w:lang w:val="en-GB"/>
        </w:rPr>
        <w:t>attribute</w:t>
      </w:r>
      <w:r w:rsidRPr="00BA7B99">
        <w:rPr>
          <w:color w:val="000000"/>
          <w:sz w:val="22"/>
          <w:szCs w:val="22"/>
          <w:lang w:val="en-GB"/>
        </w:rPr>
        <w:t xml:space="preserve"> such outcomes and impacts </w:t>
      </w:r>
      <w:r w:rsidRPr="00BA7B99">
        <w:rPr>
          <w:b/>
          <w:color w:val="000000"/>
          <w:sz w:val="22"/>
          <w:szCs w:val="22"/>
          <w:lang w:val="en-GB"/>
        </w:rPr>
        <w:t>to the actions of the project</w:t>
      </w:r>
      <w:r w:rsidRPr="00BA7B99">
        <w:rPr>
          <w:color w:val="000000"/>
          <w:sz w:val="22"/>
          <w:szCs w:val="22"/>
          <w:lang w:val="en-GB"/>
        </w:rPr>
        <w:t>.</w:t>
      </w:r>
    </w:p>
    <w:p w14:paraId="2B83CF33" w14:textId="77777777" w:rsidR="00933570" w:rsidRPr="00BA7B99" w:rsidRDefault="00933570" w:rsidP="00933570">
      <w:pPr>
        <w:jc w:val="both"/>
        <w:rPr>
          <w:color w:val="000000"/>
          <w:sz w:val="22"/>
          <w:szCs w:val="22"/>
          <w:lang w:val="en-GB"/>
        </w:rPr>
      </w:pPr>
    </w:p>
    <w:p w14:paraId="7AB0AB38" w14:textId="77777777" w:rsidR="00933570" w:rsidRPr="00BA7B99" w:rsidRDefault="00933570" w:rsidP="00933570">
      <w:pPr>
        <w:jc w:val="both"/>
        <w:rPr>
          <w:color w:val="000000"/>
          <w:sz w:val="22"/>
          <w:szCs w:val="22"/>
          <w:lang w:val="en-GB"/>
        </w:rPr>
      </w:pPr>
      <w:r w:rsidRPr="00BA7B99">
        <w:rPr>
          <w:color w:val="000000"/>
          <w:sz w:val="22"/>
          <w:szCs w:val="22"/>
          <w:lang w:val="en-GB"/>
        </w:rPr>
        <w:t xml:space="preserve">Sometimes, adequate information on baseline conditions and trends is lacking.  In such cases this should be clearly highlighted by the evaluator, along with any simplifying assumptions that were taken to enable the evaluator to make informed judgements about project performance. </w:t>
      </w:r>
    </w:p>
    <w:p w14:paraId="66A57F6C" w14:textId="77777777" w:rsidR="00933570" w:rsidRPr="00BA7B99" w:rsidRDefault="00933570" w:rsidP="00933570">
      <w:pPr>
        <w:jc w:val="both"/>
        <w:rPr>
          <w:color w:val="000000"/>
          <w:sz w:val="22"/>
          <w:szCs w:val="22"/>
          <w:lang w:val="en-GB"/>
        </w:rPr>
      </w:pPr>
    </w:p>
    <w:p w14:paraId="76164AA4" w14:textId="77777777" w:rsidR="00933570" w:rsidRPr="00BA7B99" w:rsidRDefault="00933570" w:rsidP="00E071AC">
      <w:pPr>
        <w:numPr>
          <w:ilvl w:val="0"/>
          <w:numId w:val="40"/>
        </w:numPr>
        <w:tabs>
          <w:tab w:val="left" w:pos="0"/>
          <w:tab w:val="left" w:pos="306"/>
          <w:tab w:val="left" w:pos="1326"/>
          <w:tab w:val="left" w:pos="1836"/>
          <w:tab w:val="left" w:pos="2346"/>
          <w:tab w:val="left" w:pos="5160"/>
          <w:tab w:val="left" w:pos="6960"/>
        </w:tabs>
        <w:suppressAutoHyphens/>
        <w:jc w:val="both"/>
        <w:rPr>
          <w:b/>
          <w:sz w:val="22"/>
          <w:szCs w:val="22"/>
          <w:u w:val="single"/>
          <w:lang w:val="en-GB"/>
        </w:rPr>
      </w:pPr>
      <w:r w:rsidRPr="00BA7B99">
        <w:rPr>
          <w:b/>
          <w:sz w:val="22"/>
          <w:szCs w:val="22"/>
          <w:u w:val="single"/>
          <w:lang w:val="en-GB"/>
        </w:rPr>
        <w:t>Project Ratings</w:t>
      </w:r>
    </w:p>
    <w:p w14:paraId="503A71CF" w14:textId="77777777" w:rsidR="00933570" w:rsidRPr="00BA7B99" w:rsidRDefault="00933570" w:rsidP="00933570">
      <w:pPr>
        <w:jc w:val="both"/>
        <w:rPr>
          <w:color w:val="000000"/>
          <w:sz w:val="22"/>
          <w:szCs w:val="22"/>
          <w:u w:val="single"/>
          <w:lang w:val="en-GB"/>
        </w:rPr>
      </w:pPr>
      <w:r w:rsidRPr="00BA7B99">
        <w:rPr>
          <w:color w:val="000000"/>
          <w:sz w:val="22"/>
          <w:szCs w:val="22"/>
          <w:u w:val="single"/>
          <w:lang w:val="en-GB"/>
        </w:rPr>
        <w:t xml:space="preserve">The success of project implementation will be rated on a scale from ‘highly unsatisfactory’ to ‘highly satisfactory’. </w:t>
      </w:r>
      <w:r w:rsidRPr="00BA7B99">
        <w:rPr>
          <w:bCs/>
          <w:color w:val="000000"/>
          <w:sz w:val="22"/>
          <w:szCs w:val="22"/>
          <w:u w:val="single"/>
          <w:lang w:val="en-GB"/>
        </w:rPr>
        <w:t xml:space="preserve">In particular the evaluation shall </w:t>
      </w:r>
      <w:r w:rsidRPr="00BA7B99">
        <w:rPr>
          <w:b/>
          <w:bCs/>
          <w:color w:val="000000"/>
          <w:sz w:val="22"/>
          <w:szCs w:val="22"/>
          <w:u w:val="single"/>
          <w:lang w:val="en-GB"/>
        </w:rPr>
        <w:t>assess and rate</w:t>
      </w:r>
      <w:r w:rsidRPr="00BA7B99">
        <w:rPr>
          <w:bCs/>
          <w:color w:val="000000"/>
          <w:sz w:val="22"/>
          <w:szCs w:val="22"/>
          <w:u w:val="single"/>
          <w:lang w:val="en-GB"/>
        </w:rPr>
        <w:t xml:space="preserve"> the project with respect to the eleven categories defined below:</w:t>
      </w:r>
      <w:r w:rsidRPr="00BA7B99">
        <w:rPr>
          <w:color w:val="000000"/>
          <w:sz w:val="22"/>
          <w:szCs w:val="22"/>
          <w:u w:val="single"/>
          <w:vertAlign w:val="superscript"/>
          <w:lang w:val="en-GB"/>
        </w:rPr>
        <w:footnoteReference w:id="83"/>
      </w:r>
    </w:p>
    <w:p w14:paraId="6D2CF254" w14:textId="77777777" w:rsidR="00933570" w:rsidRPr="00BA7B99" w:rsidRDefault="00933570" w:rsidP="00933570">
      <w:pPr>
        <w:jc w:val="both"/>
        <w:rPr>
          <w:bCs/>
          <w:color w:val="000000"/>
          <w:sz w:val="22"/>
          <w:szCs w:val="22"/>
          <w:u w:val="single"/>
          <w:lang w:val="en-GB"/>
        </w:rPr>
      </w:pPr>
    </w:p>
    <w:p w14:paraId="70598270" w14:textId="77777777" w:rsidR="00933570" w:rsidRPr="00BA7B99" w:rsidRDefault="00933570" w:rsidP="00E071AC">
      <w:pPr>
        <w:numPr>
          <w:ilvl w:val="0"/>
          <w:numId w:val="41"/>
        </w:numPr>
        <w:ind w:left="360"/>
        <w:jc w:val="both"/>
        <w:rPr>
          <w:b/>
          <w:bCs/>
          <w:color w:val="000000"/>
          <w:sz w:val="22"/>
          <w:szCs w:val="22"/>
          <w:lang w:val="en-GB"/>
        </w:rPr>
      </w:pPr>
      <w:r w:rsidRPr="00BA7B99">
        <w:rPr>
          <w:b/>
          <w:bCs/>
          <w:color w:val="000000"/>
          <w:sz w:val="22"/>
          <w:szCs w:val="22"/>
          <w:lang w:val="en-GB"/>
        </w:rPr>
        <w:t>Attainment of objectives and planned results:</w:t>
      </w:r>
    </w:p>
    <w:p w14:paraId="34EE01B1" w14:textId="77777777" w:rsidR="00933570" w:rsidRPr="00BA7B99" w:rsidRDefault="00933570" w:rsidP="00933570">
      <w:pPr>
        <w:ind w:left="360"/>
        <w:jc w:val="both"/>
        <w:rPr>
          <w:bCs/>
          <w:color w:val="000000"/>
          <w:sz w:val="22"/>
          <w:szCs w:val="22"/>
          <w:lang w:val="en-GB"/>
        </w:rPr>
      </w:pPr>
      <w:r w:rsidRPr="00BA7B99">
        <w:rPr>
          <w:bCs/>
          <w:color w:val="000000"/>
          <w:sz w:val="22"/>
          <w:szCs w:val="22"/>
          <w:lang w:val="en-GB"/>
        </w:rPr>
        <w:t xml:space="preserve">The evaluation should assess the extent to which the project's major relevant objectives were effectively and efficiently achieved or are expected to be achieved and their relevance. </w:t>
      </w:r>
    </w:p>
    <w:p w14:paraId="29C3B8A5" w14:textId="77777777" w:rsidR="00933570" w:rsidRPr="00BA7B99" w:rsidRDefault="00933570" w:rsidP="00E071AC">
      <w:pPr>
        <w:numPr>
          <w:ilvl w:val="0"/>
          <w:numId w:val="38"/>
        </w:numPr>
        <w:tabs>
          <w:tab w:val="num" w:pos="786"/>
        </w:tabs>
        <w:ind w:left="786"/>
        <w:jc w:val="both"/>
        <w:rPr>
          <w:color w:val="000000"/>
          <w:sz w:val="22"/>
          <w:szCs w:val="22"/>
          <w:lang w:val="en-GB"/>
        </w:rPr>
      </w:pPr>
      <w:r w:rsidRPr="00BA7B99">
        <w:rPr>
          <w:bCs/>
          <w:i/>
          <w:color w:val="000000"/>
          <w:sz w:val="22"/>
          <w:szCs w:val="22"/>
          <w:lang w:val="en-GB"/>
        </w:rPr>
        <w:t>Effectiveness:</w:t>
      </w:r>
      <w:r w:rsidRPr="00BA7B99">
        <w:rPr>
          <w:color w:val="000000"/>
          <w:sz w:val="22"/>
          <w:szCs w:val="22"/>
          <w:lang w:val="en-GB"/>
        </w:rPr>
        <w:t xml:space="preserve"> Evaluate how, and to what extent, the stated project objectives have been met, taking into account the “achievement indicators”. The</w:t>
      </w:r>
      <w:r w:rsidRPr="00BA7B99">
        <w:rPr>
          <w:sz w:val="22"/>
          <w:szCs w:val="22"/>
          <w:lang w:val="en-GB"/>
        </w:rPr>
        <w:t xml:space="preserve"> analysis of outcomes achieved should include, </w:t>
      </w:r>
      <w:r w:rsidRPr="00BA7B99">
        <w:rPr>
          <w:i/>
          <w:sz w:val="22"/>
          <w:szCs w:val="22"/>
          <w:lang w:val="en-GB"/>
        </w:rPr>
        <w:t>inter alia</w:t>
      </w:r>
      <w:r w:rsidRPr="00BA7B99">
        <w:rPr>
          <w:sz w:val="22"/>
          <w:szCs w:val="22"/>
          <w:lang w:val="en-GB"/>
        </w:rPr>
        <w:t>, an assessment of the extent to which the project has directly or indirectly assisted policy and decision-makers to apply information supplied by biodiversity indicators in their national planning and decision-making.</w:t>
      </w:r>
      <w:r w:rsidRPr="00BA7B99">
        <w:rPr>
          <w:color w:val="000000"/>
          <w:sz w:val="22"/>
          <w:szCs w:val="22"/>
          <w:lang w:val="en-GB"/>
        </w:rPr>
        <w:t xml:space="preserve"> In particular:</w:t>
      </w:r>
    </w:p>
    <w:p w14:paraId="548F6782" w14:textId="77777777" w:rsidR="00933570" w:rsidRPr="00BA7B99" w:rsidRDefault="00933570" w:rsidP="00E071AC">
      <w:pPr>
        <w:numPr>
          <w:ilvl w:val="1"/>
          <w:numId w:val="38"/>
        </w:numPr>
        <w:tabs>
          <w:tab w:val="num" w:pos="1506"/>
        </w:tabs>
        <w:ind w:left="1506"/>
        <w:jc w:val="both"/>
        <w:rPr>
          <w:bCs/>
          <w:color w:val="000000"/>
          <w:sz w:val="22"/>
          <w:szCs w:val="22"/>
          <w:lang w:val="en-GB"/>
        </w:rPr>
      </w:pPr>
      <w:r w:rsidRPr="00BA7B99">
        <w:rPr>
          <w:bCs/>
          <w:color w:val="000000"/>
          <w:sz w:val="22"/>
          <w:szCs w:val="22"/>
          <w:lang w:val="en-GB"/>
        </w:rPr>
        <w:t>Evaluate the immediate impact of the project on international waters monitoring and in national planning and decision-making and international understanding and use of IW indicators.</w:t>
      </w:r>
    </w:p>
    <w:p w14:paraId="1C82D0B4" w14:textId="77777777" w:rsidR="00933570" w:rsidRPr="00BA7B99" w:rsidRDefault="00933570" w:rsidP="00E071AC">
      <w:pPr>
        <w:numPr>
          <w:ilvl w:val="1"/>
          <w:numId w:val="38"/>
        </w:numPr>
        <w:tabs>
          <w:tab w:val="num" w:pos="1506"/>
        </w:tabs>
        <w:ind w:left="1506"/>
        <w:jc w:val="both"/>
        <w:rPr>
          <w:bCs/>
          <w:color w:val="000000"/>
          <w:sz w:val="22"/>
          <w:szCs w:val="22"/>
          <w:lang w:val="en-GB"/>
        </w:rPr>
      </w:pPr>
      <w:r w:rsidRPr="00BA7B99">
        <w:rPr>
          <w:bCs/>
          <w:color w:val="000000"/>
          <w:sz w:val="22"/>
          <w:szCs w:val="22"/>
          <w:lang w:val="en-GB"/>
        </w:rPr>
        <w:t xml:space="preserve">As far as possible, also assess the potential longer-term impacts considering that the evaluation is taking place upon completion of the project and that longer term impact is expected to be seen in a few years time. Frame recommendations to enhance future project impact in this context. Which will be the major ‘channels’ for longer term impact from the project at the national and international scales? </w:t>
      </w:r>
    </w:p>
    <w:p w14:paraId="618D4123" w14:textId="77777777" w:rsidR="00933570" w:rsidRPr="00BA7B99" w:rsidRDefault="00933570" w:rsidP="00E071AC">
      <w:pPr>
        <w:numPr>
          <w:ilvl w:val="0"/>
          <w:numId w:val="38"/>
        </w:numPr>
        <w:jc w:val="both"/>
        <w:rPr>
          <w:color w:val="000000"/>
          <w:sz w:val="22"/>
          <w:szCs w:val="22"/>
          <w:lang w:val="en-GB"/>
        </w:rPr>
      </w:pPr>
      <w:r w:rsidRPr="00BA7B99">
        <w:rPr>
          <w:bCs/>
          <w:i/>
          <w:color w:val="000000"/>
          <w:sz w:val="22"/>
          <w:szCs w:val="22"/>
          <w:lang w:val="en-GB"/>
        </w:rPr>
        <w:t>Relevance</w:t>
      </w:r>
      <w:r w:rsidRPr="00BA7B99">
        <w:rPr>
          <w:bCs/>
          <w:color w:val="000000"/>
          <w:sz w:val="22"/>
          <w:szCs w:val="22"/>
          <w:lang w:val="en-GB"/>
        </w:rPr>
        <w:t xml:space="preserve">: In retrospect, were the project’s outcomes consistent with the focal areas/operational program strategies? </w:t>
      </w:r>
      <w:r w:rsidRPr="00BA7B99">
        <w:rPr>
          <w:color w:val="000000"/>
          <w:sz w:val="22"/>
          <w:szCs w:val="22"/>
          <w:lang w:val="en-GB"/>
        </w:rPr>
        <w:t xml:space="preserve">Ascertain the nature and significance of the contribution of the project outcomes to the wider portfolio of the GEF. </w:t>
      </w:r>
    </w:p>
    <w:p w14:paraId="0308BAF4" w14:textId="77777777" w:rsidR="00933570" w:rsidRPr="00BA7B99" w:rsidRDefault="00933570" w:rsidP="00E071AC">
      <w:pPr>
        <w:numPr>
          <w:ilvl w:val="0"/>
          <w:numId w:val="38"/>
        </w:numPr>
        <w:jc w:val="both"/>
        <w:rPr>
          <w:bCs/>
          <w:color w:val="000000"/>
          <w:sz w:val="22"/>
          <w:szCs w:val="22"/>
          <w:lang w:val="en-GB"/>
        </w:rPr>
      </w:pPr>
      <w:r w:rsidRPr="00BA7B99">
        <w:rPr>
          <w:bCs/>
          <w:i/>
          <w:color w:val="000000"/>
          <w:sz w:val="22"/>
          <w:szCs w:val="22"/>
          <w:lang w:val="en-GB"/>
        </w:rPr>
        <w:t>Efficiency</w:t>
      </w:r>
      <w:r w:rsidRPr="00BA7B99">
        <w:rPr>
          <w:bCs/>
          <w:color w:val="000000"/>
          <w:sz w:val="22"/>
          <w:szCs w:val="22"/>
          <w:lang w:val="en-GB"/>
        </w:rPr>
        <w:t xml:space="preserve">: Was the project cost effective? Was the project the least cost option? Was the project implementation delayed and if it was, then did that affect cost-effectiveness? Assess the contribution of cash and in-kind co-financing to project implementation and to what extent the project leveraged additional resources. Did the project build on earlier initiatives, did it make effective use of available scientific and / or technical information. Wherever possible, the evaluator should also compare the cost-time vs. outcomes relationship of the project with that of other similar projects. </w:t>
      </w:r>
    </w:p>
    <w:p w14:paraId="00F8D0F3" w14:textId="77777777" w:rsidR="00933570" w:rsidRPr="00BA7B99" w:rsidRDefault="00933570" w:rsidP="00E071AC">
      <w:pPr>
        <w:numPr>
          <w:ilvl w:val="0"/>
          <w:numId w:val="41"/>
        </w:numPr>
        <w:spacing w:before="120"/>
        <w:ind w:left="360"/>
        <w:jc w:val="both"/>
        <w:rPr>
          <w:b/>
          <w:bCs/>
          <w:color w:val="000000"/>
          <w:sz w:val="22"/>
          <w:szCs w:val="22"/>
          <w:lang w:val="en-GB"/>
        </w:rPr>
      </w:pPr>
      <w:r w:rsidRPr="00BA7B99">
        <w:rPr>
          <w:b/>
          <w:bCs/>
          <w:color w:val="000000"/>
          <w:sz w:val="22"/>
          <w:szCs w:val="22"/>
          <w:lang w:val="en-GB"/>
        </w:rPr>
        <w:t>Sustainability:</w:t>
      </w:r>
    </w:p>
    <w:p w14:paraId="6474B77F" w14:textId="77777777" w:rsidR="00933570" w:rsidRPr="00BA7B99" w:rsidRDefault="00933570" w:rsidP="00933570">
      <w:pPr>
        <w:ind w:left="360"/>
        <w:jc w:val="both"/>
        <w:rPr>
          <w:bCs/>
          <w:color w:val="000000"/>
          <w:sz w:val="22"/>
          <w:szCs w:val="22"/>
          <w:lang w:val="en-GB"/>
        </w:rPr>
      </w:pPr>
      <w:r w:rsidRPr="00BA7B99">
        <w:rPr>
          <w:bCs/>
          <w:color w:val="000000"/>
          <w:sz w:val="22"/>
          <w:szCs w:val="22"/>
          <w:lang w:val="en-GB"/>
        </w:rPr>
        <w:t>Sustainability is understood as the probability of continued long-term project-derived outcomes and impacts after the GEF project funding ends. The evaluation will identify and assess the key conditions or factors that are likely to contribute or undermine the persistence of benefits after the project ends. Some of these factors might be outcomes of the project, e.g. stronger institutional capacities or better informed decision-making. Other factors will include contextual circumstances or developments that are not outcomes of the project but that are relevant to the sustainability of outcomes. The evaluation should ascertain to what extent follow-up work has been initiated and how project outcomes will be sustained and enhanced over time.</w:t>
      </w:r>
    </w:p>
    <w:p w14:paraId="6CB05CF8" w14:textId="77777777" w:rsidR="00933570" w:rsidRPr="00BA7B99" w:rsidRDefault="00933570" w:rsidP="00933570">
      <w:pPr>
        <w:ind w:left="360"/>
        <w:jc w:val="both"/>
        <w:rPr>
          <w:bCs/>
          <w:color w:val="000000"/>
          <w:sz w:val="22"/>
          <w:szCs w:val="22"/>
          <w:lang w:val="en-GB"/>
        </w:rPr>
      </w:pPr>
    </w:p>
    <w:p w14:paraId="44EB7B06" w14:textId="77777777" w:rsidR="00933570" w:rsidRPr="00BA7B99" w:rsidRDefault="00933570" w:rsidP="00933570">
      <w:pPr>
        <w:ind w:left="360"/>
        <w:jc w:val="both"/>
        <w:rPr>
          <w:bCs/>
          <w:color w:val="000000"/>
          <w:sz w:val="22"/>
          <w:szCs w:val="22"/>
          <w:lang w:val="en-GB"/>
        </w:rPr>
      </w:pPr>
      <w:r w:rsidRPr="00BA7B99">
        <w:rPr>
          <w:bCs/>
          <w:color w:val="000000"/>
          <w:sz w:val="22"/>
          <w:szCs w:val="22"/>
          <w:lang w:val="en-GB"/>
        </w:rPr>
        <w:t>Five aspects of sustainability should be addressed: financial, socio-political, institutional frameworks and governance, environmental (if applicable). The following questions provide guidance on the assessment of these aspects:</w:t>
      </w:r>
    </w:p>
    <w:p w14:paraId="18DB626F" w14:textId="77777777" w:rsidR="00933570" w:rsidRPr="00BA7B99" w:rsidRDefault="00933570" w:rsidP="00E071AC">
      <w:pPr>
        <w:numPr>
          <w:ilvl w:val="0"/>
          <w:numId w:val="39"/>
        </w:numPr>
        <w:ind w:left="1080"/>
        <w:jc w:val="both"/>
        <w:rPr>
          <w:bCs/>
          <w:color w:val="000000"/>
          <w:sz w:val="22"/>
          <w:szCs w:val="22"/>
          <w:lang w:val="en-GB"/>
        </w:rPr>
      </w:pPr>
      <w:r w:rsidRPr="00BA7B99">
        <w:rPr>
          <w:bCs/>
          <w:i/>
          <w:color w:val="000000"/>
          <w:sz w:val="22"/>
          <w:szCs w:val="22"/>
          <w:lang w:val="en-GB"/>
        </w:rPr>
        <w:t>Financial resources.</w:t>
      </w:r>
      <w:r w:rsidRPr="00BA7B99">
        <w:rPr>
          <w:bCs/>
          <w:color w:val="000000"/>
          <w:sz w:val="22"/>
          <w:szCs w:val="22"/>
          <w:lang w:val="en-GB"/>
        </w:rPr>
        <w:t xml:space="preserve"> Are there any financial risks that may jeopardize sustenance of project outcomes? What is the likelihood that financial and economic resources will not be available once the GEF assistance ends (resources can be from multiple sources, such as the public and private sectors, income generating activities, and trends that may indicate that it is likely that in future there will be adequate financial resources for sustaining project’s outcomes)? To what extent are the outcomes of the project dependent on continued financial support? </w:t>
      </w:r>
    </w:p>
    <w:p w14:paraId="335BFA37" w14:textId="77777777" w:rsidR="00933570" w:rsidRPr="00BA7B99" w:rsidRDefault="00933570" w:rsidP="00E071AC">
      <w:pPr>
        <w:numPr>
          <w:ilvl w:val="0"/>
          <w:numId w:val="39"/>
        </w:numPr>
        <w:ind w:left="1080"/>
        <w:jc w:val="both"/>
        <w:rPr>
          <w:bCs/>
          <w:color w:val="000000"/>
          <w:sz w:val="22"/>
          <w:szCs w:val="22"/>
          <w:lang w:val="en-GB"/>
        </w:rPr>
      </w:pPr>
      <w:r w:rsidRPr="00BA7B99">
        <w:rPr>
          <w:bCs/>
          <w:i/>
          <w:color w:val="000000"/>
          <w:sz w:val="22"/>
          <w:szCs w:val="22"/>
          <w:lang w:val="en-GB"/>
        </w:rPr>
        <w:t>Socio-political:</w:t>
      </w:r>
      <w:r w:rsidRPr="00BA7B99">
        <w:rPr>
          <w:bCs/>
          <w:color w:val="000000"/>
          <w:sz w:val="22"/>
          <w:szCs w:val="22"/>
          <w:lang w:val="en-GB"/>
        </w:rPr>
        <w:t xml:space="preserve"> Are there any social or political risks that may jeopardize sustenance of project outcomes? What is the risk that the level of stakeholder ownership will be insufficient to allow for the project outcomes to be sustained? Do the various key stakeholders see that it is in their interest that the project benefits continue to flow? Is there sufficient public / stakeholder awareness in support of the long term objectives of the project?</w:t>
      </w:r>
    </w:p>
    <w:p w14:paraId="6A9AEB2A" w14:textId="77777777" w:rsidR="00933570" w:rsidRPr="00BA7B99" w:rsidRDefault="00933570" w:rsidP="00E071AC">
      <w:pPr>
        <w:numPr>
          <w:ilvl w:val="0"/>
          <w:numId w:val="39"/>
        </w:numPr>
        <w:ind w:left="1080"/>
        <w:jc w:val="both"/>
        <w:rPr>
          <w:bCs/>
          <w:color w:val="000000"/>
          <w:sz w:val="22"/>
          <w:szCs w:val="22"/>
          <w:lang w:val="en-GB"/>
        </w:rPr>
      </w:pPr>
      <w:r w:rsidRPr="00BA7B99">
        <w:rPr>
          <w:bCs/>
          <w:i/>
          <w:color w:val="000000"/>
          <w:sz w:val="22"/>
          <w:szCs w:val="22"/>
          <w:lang w:val="en-GB"/>
        </w:rPr>
        <w:t>Institutional framework and governance.</w:t>
      </w:r>
      <w:r w:rsidRPr="00BA7B99">
        <w:rPr>
          <w:bCs/>
          <w:color w:val="000000"/>
          <w:sz w:val="22"/>
          <w:szCs w:val="22"/>
          <w:lang w:val="en-GB"/>
        </w:rPr>
        <w:t xml:space="preserve"> To what extent is the sustenance of the outcomes of the project dependent on issues relating to institutional frameworks and governance? What is the likelihood that institutional and technical achievements, legal frameworks, policies and governance structures and processes will allow for, the project outcomes/benefits to be sustained? While responding to these questions consider if the required systems for accountability and transparency and the required technical know-how are in place.</w:t>
      </w:r>
    </w:p>
    <w:p w14:paraId="543CACA2" w14:textId="77777777" w:rsidR="00933570" w:rsidRPr="00BA7B99" w:rsidRDefault="00933570" w:rsidP="00E071AC">
      <w:pPr>
        <w:numPr>
          <w:ilvl w:val="0"/>
          <w:numId w:val="39"/>
        </w:numPr>
        <w:ind w:left="1080"/>
        <w:jc w:val="both"/>
        <w:rPr>
          <w:bCs/>
          <w:color w:val="000000"/>
          <w:sz w:val="22"/>
          <w:szCs w:val="22"/>
          <w:lang w:val="en-GB"/>
        </w:rPr>
      </w:pPr>
      <w:r w:rsidRPr="00BA7B99">
        <w:rPr>
          <w:bCs/>
          <w:i/>
          <w:color w:val="000000"/>
          <w:sz w:val="22"/>
          <w:szCs w:val="22"/>
          <w:lang w:val="en-GB"/>
        </w:rPr>
        <w:t>Environmental.</w:t>
      </w:r>
      <w:r w:rsidRPr="00BA7B99">
        <w:rPr>
          <w:bCs/>
          <w:color w:val="000000"/>
          <w:sz w:val="22"/>
          <w:szCs w:val="22"/>
          <w:lang w:val="en-GB"/>
        </w:rPr>
        <w:t xml:space="preserve"> Are there any environmental risks that can undermine the future flow of project environmental benefits? The TE should assess whether certain activities in the project area will pose a threat to the sustainability of the project outcomes. For example; construction of dam in a protected area could inundate a sizable area and thereby neutralize the biodiversity-related gains made by the project; or, a newly established pulp mill might jeopardise the viability of nearby protected forest areas by increasing logging pressures; or a vector control intervention may be made less effective by changes in climate and consequent alterations to the incidence and distribution of malarial mosquitoes. </w:t>
      </w:r>
    </w:p>
    <w:p w14:paraId="36B79ECA" w14:textId="77777777" w:rsidR="00933570" w:rsidRPr="00BA7B99" w:rsidRDefault="00933570" w:rsidP="00E071AC">
      <w:pPr>
        <w:numPr>
          <w:ilvl w:val="0"/>
          <w:numId w:val="41"/>
        </w:numPr>
        <w:spacing w:before="120"/>
        <w:ind w:left="360"/>
        <w:jc w:val="both"/>
        <w:rPr>
          <w:b/>
          <w:bCs/>
          <w:color w:val="000000"/>
          <w:sz w:val="22"/>
          <w:szCs w:val="22"/>
          <w:lang w:val="en-GB"/>
        </w:rPr>
      </w:pPr>
      <w:r w:rsidRPr="00BA7B99">
        <w:rPr>
          <w:b/>
          <w:bCs/>
          <w:color w:val="000000"/>
          <w:sz w:val="22"/>
          <w:szCs w:val="22"/>
          <w:lang w:val="en-GB"/>
        </w:rPr>
        <w:t>Achievement of outputs and activities:</w:t>
      </w:r>
    </w:p>
    <w:p w14:paraId="3D53805A"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 xml:space="preserve">Delivered outputs: Assessment of the project’s success in producing each of the programmed outputs, both in quantity and quality as well as usefulness and timeliness.  </w:t>
      </w:r>
    </w:p>
    <w:p w14:paraId="476FD5C9"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Assess the soundness and effectiveness of the methodologies used for developing the technical documents and related management options in the participating countries</w:t>
      </w:r>
    </w:p>
    <w:p w14:paraId="286958BD"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Assess to what extent the project outputs produced have the weight of scientific authority / credibility, necessary to influence policy and decision-makers, particularly at the national level.</w:t>
      </w:r>
    </w:p>
    <w:p w14:paraId="6C7E0088" w14:textId="77777777" w:rsidR="00933570" w:rsidRPr="00BA7B99" w:rsidRDefault="00933570" w:rsidP="00E071AC">
      <w:pPr>
        <w:numPr>
          <w:ilvl w:val="0"/>
          <w:numId w:val="41"/>
        </w:numPr>
        <w:spacing w:before="120"/>
        <w:ind w:left="360"/>
        <w:jc w:val="both"/>
        <w:rPr>
          <w:b/>
          <w:bCs/>
          <w:color w:val="000000"/>
          <w:sz w:val="22"/>
          <w:szCs w:val="22"/>
          <w:lang w:val="en-GB"/>
        </w:rPr>
      </w:pPr>
      <w:r w:rsidRPr="00BA7B99">
        <w:rPr>
          <w:b/>
          <w:bCs/>
          <w:color w:val="000000"/>
          <w:sz w:val="22"/>
          <w:szCs w:val="22"/>
          <w:lang w:val="en-GB"/>
        </w:rPr>
        <w:t>Catalytic Role</w:t>
      </w:r>
    </w:p>
    <w:p w14:paraId="38E75240" w14:textId="77777777" w:rsidR="00933570" w:rsidRPr="00BA7B99" w:rsidRDefault="00933570" w:rsidP="00933570">
      <w:pPr>
        <w:ind w:left="360"/>
        <w:jc w:val="both"/>
        <w:rPr>
          <w:bCs/>
          <w:color w:val="000000"/>
          <w:sz w:val="22"/>
          <w:szCs w:val="22"/>
          <w:lang w:val="en-GB"/>
        </w:rPr>
      </w:pPr>
      <w:r w:rsidRPr="00BA7B99">
        <w:rPr>
          <w:bCs/>
          <w:color w:val="000000"/>
          <w:sz w:val="22"/>
          <w:szCs w:val="22"/>
          <w:lang w:val="en-GB"/>
        </w:rPr>
        <w:t>Replication and catalysis. What examples are there of replication and catalytic outcomes? Replication approach, in the context of GEF projects, is defined as lessons and experiences coming out of the project that are replicated or scaled up in the design and implementation of other projects. Replication can have two aspects, replication proper (lessons and experiences are replicated in different geographic area) or scaling up (lessons and experiences are replicated within the same geographic area but funded by other sources). Specifically:</w:t>
      </w:r>
    </w:p>
    <w:p w14:paraId="1D4B2A02"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Do the recommendations for management of coastal habitats and land-based pollution coming from the country studies have the potential for application in other countries and locations?</w:t>
      </w:r>
    </w:p>
    <w:p w14:paraId="67975083" w14:textId="77777777" w:rsidR="00933570" w:rsidRPr="00BA7B99" w:rsidRDefault="00933570" w:rsidP="00933570">
      <w:pPr>
        <w:ind w:left="360"/>
        <w:jc w:val="both"/>
        <w:rPr>
          <w:bCs/>
          <w:color w:val="000000"/>
          <w:sz w:val="22"/>
          <w:szCs w:val="22"/>
          <w:lang w:val="en-GB"/>
        </w:rPr>
      </w:pPr>
      <w:r w:rsidRPr="00BA7B99">
        <w:rPr>
          <w:bCs/>
          <w:color w:val="000000"/>
          <w:sz w:val="22"/>
          <w:szCs w:val="22"/>
          <w:lang w:val="en-GB"/>
        </w:rPr>
        <w:t xml:space="preserve">If no effects are identified, the evaluation will describe the catalytic or replication actions that the project carried out. </w:t>
      </w:r>
    </w:p>
    <w:p w14:paraId="32F89DDD" w14:textId="77777777" w:rsidR="00933570" w:rsidRPr="00BA7B99" w:rsidRDefault="00933570" w:rsidP="00E071AC">
      <w:pPr>
        <w:numPr>
          <w:ilvl w:val="0"/>
          <w:numId w:val="41"/>
        </w:numPr>
        <w:spacing w:before="120"/>
        <w:ind w:left="360"/>
        <w:jc w:val="both"/>
        <w:rPr>
          <w:b/>
          <w:bCs/>
          <w:color w:val="000000"/>
          <w:sz w:val="22"/>
          <w:szCs w:val="22"/>
          <w:lang w:val="en-GB"/>
        </w:rPr>
      </w:pPr>
      <w:r w:rsidRPr="00BA7B99">
        <w:rPr>
          <w:b/>
          <w:bCs/>
          <w:color w:val="000000"/>
          <w:sz w:val="22"/>
          <w:szCs w:val="22"/>
          <w:lang w:val="en-GB"/>
        </w:rPr>
        <w:t xml:space="preserve">Assessment monitoring and evaluation systems. </w:t>
      </w:r>
    </w:p>
    <w:p w14:paraId="06CCECD3" w14:textId="77777777" w:rsidR="00933570" w:rsidRPr="00BA7B99" w:rsidRDefault="00933570" w:rsidP="00933570">
      <w:pPr>
        <w:ind w:left="360"/>
        <w:jc w:val="both"/>
        <w:rPr>
          <w:bCs/>
          <w:color w:val="000000"/>
          <w:sz w:val="22"/>
          <w:szCs w:val="22"/>
          <w:lang w:val="en-GB"/>
        </w:rPr>
      </w:pPr>
      <w:r w:rsidRPr="00BA7B99">
        <w:rPr>
          <w:bCs/>
          <w:color w:val="000000"/>
          <w:sz w:val="22"/>
          <w:szCs w:val="22"/>
          <w:lang w:val="en-GB"/>
        </w:rPr>
        <w:t xml:space="preserve">The evaluation shall include an assessment of the quality, application and effectiveness of project monitoring and evaluation plans and tools, including an assessment of risk management based on the assumptions and risks identified in the project document. The Terminal Evaluation will assess whether the project met the minimum requirements for ‘project design of M&amp;E’ and ‘the application of the Project M&amp;E plan’ (see minimum requirements 1&amp;2 in </w:t>
      </w:r>
      <w:r w:rsidRPr="00BA7B99">
        <w:rPr>
          <w:bCs/>
          <w:i/>
          <w:color w:val="000000"/>
          <w:sz w:val="22"/>
          <w:szCs w:val="22"/>
          <w:lang w:val="en-GB"/>
        </w:rPr>
        <w:t>Annex 4</w:t>
      </w:r>
      <w:r w:rsidRPr="00BA7B99">
        <w:rPr>
          <w:bCs/>
          <w:color w:val="000000"/>
          <w:sz w:val="22"/>
          <w:szCs w:val="22"/>
          <w:lang w:val="en-GB"/>
        </w:rPr>
        <w:t xml:space="preserve"> to this Appendix). GEF projects must budget adequately for execution of the M&amp;E plan, and provide adequate resources during implementation of the M&amp;E plan. Project Directors are also expected to use the information generated by the M&amp;E system during project implementation to adapt and improve the project. </w:t>
      </w:r>
    </w:p>
    <w:p w14:paraId="7EA5FD57" w14:textId="77777777" w:rsidR="00933570" w:rsidRPr="00BA7B99" w:rsidRDefault="00933570" w:rsidP="00933570">
      <w:pPr>
        <w:ind w:left="360"/>
        <w:jc w:val="both"/>
        <w:rPr>
          <w:bCs/>
          <w:color w:val="000000"/>
          <w:sz w:val="22"/>
          <w:szCs w:val="22"/>
          <w:lang w:val="en-GB"/>
        </w:rPr>
      </w:pPr>
    </w:p>
    <w:p w14:paraId="40F4F6A1" w14:textId="77777777" w:rsidR="00933570" w:rsidRPr="00BA7B99" w:rsidRDefault="00933570" w:rsidP="00933570">
      <w:pPr>
        <w:spacing w:before="120" w:after="240"/>
        <w:ind w:left="720"/>
        <w:rPr>
          <w:b/>
          <w:bCs/>
          <w:sz w:val="22"/>
          <w:szCs w:val="22"/>
          <w:lang w:val="en-GB"/>
        </w:rPr>
      </w:pPr>
      <w:r w:rsidRPr="00BA7B99">
        <w:rPr>
          <w:b/>
          <w:bCs/>
          <w:sz w:val="22"/>
          <w:szCs w:val="22"/>
          <w:lang w:val="en-GB"/>
        </w:rPr>
        <w:t>M&amp;E during project implementation</w:t>
      </w:r>
    </w:p>
    <w:p w14:paraId="10A65A6E" w14:textId="77777777" w:rsidR="00933570" w:rsidRPr="00BA7B99" w:rsidRDefault="00933570" w:rsidP="00E071AC">
      <w:pPr>
        <w:numPr>
          <w:ilvl w:val="0"/>
          <w:numId w:val="39"/>
        </w:numPr>
        <w:tabs>
          <w:tab w:val="num" w:pos="1080"/>
        </w:tabs>
        <w:spacing w:after="120"/>
        <w:ind w:left="1440"/>
        <w:jc w:val="both"/>
        <w:rPr>
          <w:bCs/>
          <w:color w:val="000000"/>
          <w:sz w:val="22"/>
          <w:szCs w:val="22"/>
          <w:lang w:val="en-GB"/>
        </w:rPr>
      </w:pPr>
      <w:r w:rsidRPr="00BA7B99">
        <w:rPr>
          <w:bCs/>
          <w:i/>
          <w:color w:val="000000"/>
          <w:sz w:val="22"/>
          <w:szCs w:val="22"/>
          <w:lang w:val="en-GB"/>
        </w:rPr>
        <w:t>M&amp;E design.</w:t>
      </w:r>
      <w:r w:rsidRPr="00BA7B99">
        <w:rPr>
          <w:bCs/>
          <w:color w:val="000000"/>
          <w:sz w:val="22"/>
          <w:szCs w:val="22"/>
          <w:lang w:val="en-GB"/>
        </w:rPr>
        <w:t xml:space="preserve"> Projects should have sound M&amp;E plans to monitor results and track progress towards achieving project objectives. An M&amp;E plan should include a baseline (including data, methodology, etc.), SMART indicators (see Annex 4) and data analysis systems, and evaluation studies at specific times to assess results. The time frame for various M&amp;E activities and standards for outputs should have been specified. </w:t>
      </w:r>
    </w:p>
    <w:p w14:paraId="58E7DC91" w14:textId="77777777" w:rsidR="00933570" w:rsidRPr="00BA7B99" w:rsidRDefault="00933570" w:rsidP="00E071AC">
      <w:pPr>
        <w:numPr>
          <w:ilvl w:val="0"/>
          <w:numId w:val="39"/>
        </w:numPr>
        <w:tabs>
          <w:tab w:val="num" w:pos="1080"/>
        </w:tabs>
        <w:ind w:left="1440"/>
        <w:jc w:val="both"/>
        <w:rPr>
          <w:bCs/>
          <w:color w:val="000000"/>
          <w:sz w:val="22"/>
          <w:szCs w:val="22"/>
          <w:lang w:val="en-GB"/>
        </w:rPr>
      </w:pPr>
      <w:r w:rsidRPr="00BA7B99">
        <w:rPr>
          <w:bCs/>
          <w:i/>
          <w:color w:val="000000"/>
          <w:sz w:val="22"/>
          <w:szCs w:val="22"/>
          <w:lang w:val="en-GB"/>
        </w:rPr>
        <w:t>M&amp;E plan implementation.</w:t>
      </w:r>
      <w:r w:rsidRPr="00BA7B99">
        <w:rPr>
          <w:bCs/>
          <w:color w:val="000000"/>
          <w:sz w:val="22"/>
          <w:szCs w:val="22"/>
          <w:lang w:val="en-GB"/>
        </w:rPr>
        <w:t xml:space="preserve"> A Terminal Evaluation should verify that: an M&amp;E system was in place and facilitated timely tracking of results and progress towards projects objectives throughout the project implementation period (perhaps through use of a logframe or similar); annual project reports and Progress Implementation Review (PIR) reports were complete, accurate and with well justified ratings; that the information provided by the M&amp;E system was used during the project to improve project performance and to adapt to changing needs; and that projects had an M&amp;E system in place with proper training for parties responsible for M&amp;E activities. </w:t>
      </w:r>
    </w:p>
    <w:p w14:paraId="52057FC4" w14:textId="77777777" w:rsidR="00933570" w:rsidRPr="00BA7B99" w:rsidRDefault="00933570" w:rsidP="00E071AC">
      <w:pPr>
        <w:numPr>
          <w:ilvl w:val="0"/>
          <w:numId w:val="39"/>
        </w:numPr>
        <w:tabs>
          <w:tab w:val="num" w:pos="1080"/>
        </w:tabs>
        <w:ind w:left="1440"/>
        <w:jc w:val="both"/>
        <w:rPr>
          <w:bCs/>
          <w:color w:val="000000"/>
          <w:sz w:val="22"/>
          <w:szCs w:val="22"/>
          <w:lang w:val="en-GB"/>
        </w:rPr>
      </w:pPr>
      <w:r w:rsidRPr="00BA7B99">
        <w:rPr>
          <w:bCs/>
          <w:i/>
          <w:color w:val="000000"/>
          <w:sz w:val="22"/>
          <w:szCs w:val="22"/>
          <w:lang w:val="en-GB"/>
        </w:rPr>
        <w:t>Budgeting and Funding for M&amp;E activities.</w:t>
      </w:r>
      <w:r w:rsidRPr="00BA7B99">
        <w:rPr>
          <w:bCs/>
          <w:color w:val="000000"/>
          <w:sz w:val="22"/>
          <w:szCs w:val="22"/>
          <w:lang w:val="en-GB"/>
        </w:rPr>
        <w:t xml:space="preserve"> The terminal evaluation should determine whether support for M&amp;E was budgeted adequately and was funded in a timely fashion during implementation.</w:t>
      </w:r>
    </w:p>
    <w:p w14:paraId="38035AEB" w14:textId="77777777" w:rsidR="00933570" w:rsidRPr="00BA7B99" w:rsidRDefault="00933570" w:rsidP="00E071AC">
      <w:pPr>
        <w:numPr>
          <w:ilvl w:val="0"/>
          <w:numId w:val="41"/>
        </w:numPr>
        <w:spacing w:before="120"/>
        <w:ind w:left="360"/>
        <w:jc w:val="both"/>
        <w:rPr>
          <w:b/>
          <w:bCs/>
          <w:color w:val="000000"/>
          <w:sz w:val="22"/>
          <w:szCs w:val="22"/>
          <w:lang w:val="en-GB"/>
        </w:rPr>
      </w:pPr>
      <w:r w:rsidRPr="00BA7B99">
        <w:rPr>
          <w:b/>
          <w:bCs/>
          <w:color w:val="000000"/>
          <w:sz w:val="22"/>
          <w:szCs w:val="22"/>
          <w:lang w:val="en-GB"/>
        </w:rPr>
        <w:t>Preparation and Readiness</w:t>
      </w:r>
    </w:p>
    <w:p w14:paraId="73C3C59B" w14:textId="77777777" w:rsidR="00933570" w:rsidRPr="00BA7B99" w:rsidRDefault="00933570" w:rsidP="00933570">
      <w:pPr>
        <w:ind w:left="360"/>
        <w:jc w:val="both"/>
        <w:rPr>
          <w:bCs/>
          <w:color w:val="000000"/>
          <w:sz w:val="22"/>
          <w:szCs w:val="22"/>
          <w:lang w:val="en-GB"/>
        </w:rPr>
      </w:pPr>
      <w:r w:rsidRPr="00BA7B99">
        <w:rPr>
          <w:bCs/>
          <w:color w:val="000000"/>
          <w:sz w:val="22"/>
          <w:szCs w:val="22"/>
          <w:lang w:val="en-GB"/>
        </w:rPr>
        <w:t>Were the project’s objectives and components clear, practicable and feasible within its timeframe? Were the capacities of executing institution and counterparts properly considered when the project was designed?  Were lessons from other relevant projects properly incorporated in the project design? Were the partnership arrangements properly identified and the roles and responsibilities negotiated prior to project implementation? Were counterpart resources (funding, staff, and facilities), enabling legislation, and adequate project management arrangements in place?</w:t>
      </w:r>
    </w:p>
    <w:p w14:paraId="3880BC27" w14:textId="77777777" w:rsidR="00933570" w:rsidRPr="00BA7B99" w:rsidRDefault="00933570" w:rsidP="00E071AC">
      <w:pPr>
        <w:numPr>
          <w:ilvl w:val="0"/>
          <w:numId w:val="41"/>
        </w:numPr>
        <w:spacing w:before="120"/>
        <w:ind w:left="360"/>
        <w:jc w:val="both"/>
        <w:rPr>
          <w:b/>
          <w:bCs/>
          <w:color w:val="000000"/>
          <w:sz w:val="22"/>
          <w:szCs w:val="22"/>
          <w:lang w:val="en-GB"/>
        </w:rPr>
      </w:pPr>
      <w:r w:rsidRPr="00BA7B99">
        <w:rPr>
          <w:b/>
          <w:bCs/>
          <w:color w:val="000000"/>
          <w:sz w:val="22"/>
          <w:szCs w:val="22"/>
          <w:lang w:val="en-GB"/>
        </w:rPr>
        <w:t>Country ownership / driveness:</w:t>
      </w:r>
    </w:p>
    <w:p w14:paraId="3DBEECEC" w14:textId="77777777" w:rsidR="00933570" w:rsidRPr="00BA7B99" w:rsidRDefault="00933570" w:rsidP="00933570">
      <w:pPr>
        <w:ind w:left="360"/>
        <w:jc w:val="both"/>
        <w:rPr>
          <w:bCs/>
          <w:color w:val="000000"/>
          <w:sz w:val="22"/>
          <w:szCs w:val="22"/>
          <w:lang w:val="en-GB"/>
        </w:rPr>
      </w:pPr>
      <w:r w:rsidRPr="00BA7B99">
        <w:rPr>
          <w:bCs/>
          <w:color w:val="000000"/>
          <w:sz w:val="22"/>
          <w:szCs w:val="22"/>
          <w:lang w:val="en-GB"/>
        </w:rPr>
        <w:t>This is the relevance of the project to national development and environmental agendas, recipient country commitment, and regional and international agreements. The evaluation will:</w:t>
      </w:r>
    </w:p>
    <w:p w14:paraId="609401E2"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 xml:space="preserve">Assess the level of country ownership. Specifically, the evaluator should assess whether the project was effective in providing and communicating biodiversity information that catalyzed action in participating countries to improve decisions relating to the conservation and management of  the focal ecosystem in each country. </w:t>
      </w:r>
    </w:p>
    <w:p w14:paraId="29192760"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 xml:space="preserve">Assess the level of country commitment to the generation and use of biodiversity indicators for decision-making during and after the project, including in regional and international </w:t>
      </w:r>
      <w:r w:rsidRPr="00BA7B99">
        <w:rPr>
          <w:bCs/>
          <w:i/>
          <w:iCs/>
          <w:color w:val="000000"/>
          <w:sz w:val="22"/>
          <w:szCs w:val="22"/>
          <w:lang w:val="en-GB"/>
        </w:rPr>
        <w:t>fora</w:t>
      </w:r>
      <w:r w:rsidRPr="00BA7B99">
        <w:rPr>
          <w:bCs/>
          <w:color w:val="000000"/>
          <w:sz w:val="22"/>
          <w:szCs w:val="22"/>
          <w:lang w:val="en-GB"/>
        </w:rPr>
        <w:t xml:space="preserve">. </w:t>
      </w:r>
    </w:p>
    <w:p w14:paraId="45085369" w14:textId="77777777" w:rsidR="00933570" w:rsidRPr="00BA7B99" w:rsidRDefault="00933570" w:rsidP="00E071AC">
      <w:pPr>
        <w:numPr>
          <w:ilvl w:val="0"/>
          <w:numId w:val="41"/>
        </w:numPr>
        <w:spacing w:before="120"/>
        <w:ind w:left="360"/>
        <w:jc w:val="both"/>
        <w:rPr>
          <w:b/>
          <w:bCs/>
          <w:color w:val="000000"/>
          <w:sz w:val="22"/>
          <w:szCs w:val="22"/>
          <w:lang w:val="en-GB"/>
        </w:rPr>
      </w:pPr>
      <w:r w:rsidRPr="00BA7B99">
        <w:rPr>
          <w:b/>
          <w:bCs/>
          <w:color w:val="000000"/>
          <w:sz w:val="22"/>
          <w:szCs w:val="22"/>
          <w:lang w:val="en-GB"/>
        </w:rPr>
        <w:t>Stakeholder participation / public awareness:</w:t>
      </w:r>
    </w:p>
    <w:p w14:paraId="6B74AC33" w14:textId="77777777" w:rsidR="00933570" w:rsidRPr="00BA7B99" w:rsidRDefault="00933570" w:rsidP="00933570">
      <w:pPr>
        <w:ind w:left="360"/>
        <w:jc w:val="both"/>
        <w:rPr>
          <w:bCs/>
          <w:color w:val="000000"/>
          <w:sz w:val="22"/>
          <w:szCs w:val="22"/>
          <w:lang w:val="en-GB"/>
        </w:rPr>
      </w:pPr>
      <w:r w:rsidRPr="00BA7B99">
        <w:rPr>
          <w:bCs/>
          <w:color w:val="000000"/>
          <w:sz w:val="22"/>
          <w:szCs w:val="22"/>
          <w:lang w:val="en-GB"/>
        </w:rPr>
        <w:t>This consists of three related and often overlapping processes: information dissemination, consultation, and “stakeholder” participation. Stakeholders are the individuals, groups, institutions, or other bodies that have an interest or stake in the outcome of the GEF- financed project. The term also applies to those potentially adversely affected by a project. The evaluation will specifically:</w:t>
      </w:r>
    </w:p>
    <w:p w14:paraId="75FEFE2F"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 xml:space="preserve">Assess the mechanisms put in place by the project for identification and engagement of stakeholders in each participating country and establish, in consultation with the stakeholders, whether this mechanism was successful, and identify its strengths and weaknesses. </w:t>
      </w:r>
    </w:p>
    <w:p w14:paraId="526A5360"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Assess the degree and effectiveness of collaboration/interactions between the various project partners and institutions during the course of implementation of the project.</w:t>
      </w:r>
    </w:p>
    <w:p w14:paraId="540D5EEB"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Assess the degree and effectiveness of any various public awareness activities that were undertaken during the course of implementation of the project.</w:t>
      </w:r>
    </w:p>
    <w:p w14:paraId="1FFF3D6E" w14:textId="77777777" w:rsidR="00933570" w:rsidRPr="00BA7B99" w:rsidRDefault="00933570" w:rsidP="00E071AC">
      <w:pPr>
        <w:numPr>
          <w:ilvl w:val="0"/>
          <w:numId w:val="41"/>
        </w:numPr>
        <w:spacing w:before="120"/>
        <w:ind w:left="360"/>
        <w:jc w:val="both"/>
        <w:rPr>
          <w:b/>
          <w:bCs/>
          <w:color w:val="000000"/>
          <w:sz w:val="22"/>
          <w:szCs w:val="22"/>
          <w:lang w:val="en-GB"/>
        </w:rPr>
      </w:pPr>
      <w:r w:rsidRPr="00BA7B99">
        <w:rPr>
          <w:b/>
          <w:bCs/>
          <w:color w:val="000000"/>
          <w:sz w:val="22"/>
          <w:szCs w:val="22"/>
          <w:lang w:val="en-GB"/>
        </w:rPr>
        <w:t xml:space="preserve">Financial Planning </w:t>
      </w:r>
    </w:p>
    <w:p w14:paraId="1DE4798F" w14:textId="77777777" w:rsidR="00933570" w:rsidRPr="00BA7B99" w:rsidRDefault="00933570" w:rsidP="00933570">
      <w:pPr>
        <w:ind w:left="360"/>
        <w:jc w:val="both"/>
        <w:rPr>
          <w:bCs/>
          <w:color w:val="000000"/>
          <w:sz w:val="22"/>
          <w:szCs w:val="22"/>
          <w:lang w:val="en-GB"/>
        </w:rPr>
      </w:pPr>
      <w:r w:rsidRPr="00BA7B99">
        <w:rPr>
          <w:bCs/>
          <w:color w:val="000000"/>
          <w:sz w:val="22"/>
          <w:szCs w:val="22"/>
          <w:lang w:val="en-GB"/>
        </w:rPr>
        <w:t>Evaluation of financial planning requires assessment of the quality and effectiveness of financial planning and control of financial resources throughout the project’s lifetime. Evaluation includes actual project costs by activities compared to budget (variances), financial management (including disbursement issues), and co- financing. The evaluation should:</w:t>
      </w:r>
    </w:p>
    <w:p w14:paraId="61181932"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Assess the strength and utility of financial controls, including reporting, and planning to allow the project management to make informed decisions regarding the budget and allow for a proper and timely flow of funds for the payment of satisfactory project deliverables.</w:t>
      </w:r>
    </w:p>
    <w:p w14:paraId="748B807B"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 xml:space="preserve">Present the major findings from the financial audit if one has been conducted. </w:t>
      </w:r>
    </w:p>
    <w:p w14:paraId="26CCEF6A"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Identify and verify the sources of co- financing as well as leveraged and associated financing (in co-operation with the IA and EA).</w:t>
      </w:r>
    </w:p>
    <w:p w14:paraId="1F096B62"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Assess whether the project has applied appropriate standards of due diligence in the management of funds and financial audits.</w:t>
      </w:r>
    </w:p>
    <w:p w14:paraId="47695915"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 xml:space="preserve">The evaluation should also include a breakdown of final actual costs and co-financing for the project prepared in consultation with the relevant UNEP/DEPI Fund Management Officer of the project (table attached in </w:t>
      </w:r>
      <w:r w:rsidRPr="00BA7B99">
        <w:rPr>
          <w:bCs/>
          <w:i/>
          <w:color w:val="000000"/>
          <w:sz w:val="22"/>
          <w:szCs w:val="22"/>
          <w:lang w:val="en-GB"/>
        </w:rPr>
        <w:t>Annex 1</w:t>
      </w:r>
      <w:r w:rsidRPr="00BA7B99">
        <w:rPr>
          <w:bCs/>
          <w:color w:val="000000"/>
          <w:sz w:val="22"/>
          <w:szCs w:val="22"/>
          <w:lang w:val="en-GB"/>
        </w:rPr>
        <w:t xml:space="preserve"> to this Appendix Co-financing and leveraged resources).</w:t>
      </w:r>
    </w:p>
    <w:p w14:paraId="2F8B433C" w14:textId="77777777" w:rsidR="00933570" w:rsidRPr="00BA7B99" w:rsidRDefault="00933570" w:rsidP="00E071AC">
      <w:pPr>
        <w:numPr>
          <w:ilvl w:val="0"/>
          <w:numId w:val="41"/>
        </w:numPr>
        <w:spacing w:before="120"/>
        <w:ind w:left="360"/>
        <w:jc w:val="both"/>
        <w:rPr>
          <w:b/>
          <w:bCs/>
          <w:color w:val="000000"/>
          <w:sz w:val="22"/>
          <w:szCs w:val="22"/>
          <w:lang w:val="en-GB"/>
        </w:rPr>
      </w:pPr>
      <w:r w:rsidRPr="00BA7B99">
        <w:rPr>
          <w:b/>
          <w:bCs/>
          <w:color w:val="000000"/>
          <w:sz w:val="22"/>
          <w:szCs w:val="22"/>
          <w:lang w:val="en-GB"/>
        </w:rPr>
        <w:t>Implementation approach:</w:t>
      </w:r>
    </w:p>
    <w:p w14:paraId="0C9F2F04" w14:textId="77777777" w:rsidR="00933570" w:rsidRPr="00BA7B99" w:rsidRDefault="00933570" w:rsidP="00933570">
      <w:pPr>
        <w:ind w:left="360"/>
        <w:jc w:val="both"/>
        <w:rPr>
          <w:bCs/>
          <w:color w:val="000000"/>
          <w:sz w:val="22"/>
          <w:szCs w:val="22"/>
          <w:lang w:val="en-GB"/>
        </w:rPr>
      </w:pPr>
      <w:r w:rsidRPr="00BA7B99">
        <w:rPr>
          <w:bCs/>
          <w:color w:val="000000"/>
          <w:sz w:val="22"/>
          <w:szCs w:val="22"/>
          <w:lang w:val="en-GB"/>
        </w:rPr>
        <w:t>This includes an analysis of the project’s management framework, adaptation to changing conditions (adaptive management), partnerships in implementation arrangements, changes in project design, and overall project management. The evaluation will:</w:t>
      </w:r>
    </w:p>
    <w:p w14:paraId="51DB543D"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 xml:space="preserve">Ascertain to what extent the project implementation mechanisms outlined in the project document have been closely followed. In particular, assess the role of the various committees established and whether the project document was clear and realistic to enable effective and efficient implementation, whether the project was executed according to the plan and how well the management was able to adapt to changes during the life of the project to enable the implementation of the project. </w:t>
      </w:r>
    </w:p>
    <w:p w14:paraId="663B934E"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Evaluate the effectiveness and efficiency and adaptability of project management and the supervision of project activities / project execution arrangements at all levels (1) policy decisions: Steering Group; (2) day to day project management in each of the country executing agencies and COBSEA.</w:t>
      </w:r>
    </w:p>
    <w:p w14:paraId="168F0DCD" w14:textId="77777777" w:rsidR="00933570" w:rsidRPr="00BA7B99" w:rsidRDefault="00933570" w:rsidP="00933570">
      <w:pPr>
        <w:rPr>
          <w:bCs/>
          <w:color w:val="000000"/>
          <w:sz w:val="22"/>
          <w:szCs w:val="22"/>
          <w:lang w:val="en-GB"/>
        </w:rPr>
      </w:pPr>
      <w:r w:rsidRPr="00BA7B99">
        <w:rPr>
          <w:bCs/>
          <w:color w:val="000000"/>
          <w:sz w:val="22"/>
          <w:szCs w:val="22"/>
          <w:lang w:val="en-GB"/>
        </w:rPr>
        <w:br w:type="page"/>
      </w:r>
    </w:p>
    <w:p w14:paraId="09112B9F" w14:textId="77777777" w:rsidR="00933570" w:rsidRPr="00BA7B99" w:rsidRDefault="00933570" w:rsidP="00933570">
      <w:pPr>
        <w:ind w:left="720"/>
        <w:jc w:val="both"/>
        <w:rPr>
          <w:bCs/>
          <w:color w:val="000000"/>
          <w:sz w:val="22"/>
          <w:szCs w:val="22"/>
          <w:lang w:val="en-GB"/>
        </w:rPr>
      </w:pPr>
    </w:p>
    <w:p w14:paraId="72C32470" w14:textId="77777777" w:rsidR="00933570" w:rsidRPr="00BA7B99" w:rsidRDefault="00933570" w:rsidP="00E071AC">
      <w:pPr>
        <w:numPr>
          <w:ilvl w:val="0"/>
          <w:numId w:val="41"/>
        </w:numPr>
        <w:spacing w:before="120"/>
        <w:ind w:left="360"/>
        <w:jc w:val="both"/>
        <w:rPr>
          <w:b/>
          <w:bCs/>
          <w:color w:val="000000"/>
          <w:sz w:val="22"/>
          <w:szCs w:val="22"/>
          <w:lang w:val="en-GB"/>
        </w:rPr>
      </w:pPr>
      <w:r w:rsidRPr="00BA7B99">
        <w:rPr>
          <w:b/>
          <w:bCs/>
          <w:color w:val="000000"/>
          <w:sz w:val="22"/>
          <w:szCs w:val="22"/>
          <w:lang w:val="en-GB"/>
        </w:rPr>
        <w:t>UNEP Supervision and Backstopping</w:t>
      </w:r>
    </w:p>
    <w:p w14:paraId="4359C6F0"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Assess the effectiveness of supervision and administrative and financial support provided by UNEP.</w:t>
      </w:r>
    </w:p>
    <w:p w14:paraId="6631AE8A" w14:textId="77777777" w:rsidR="00933570" w:rsidRPr="00BA7B99" w:rsidRDefault="00933570" w:rsidP="00E071AC">
      <w:pPr>
        <w:numPr>
          <w:ilvl w:val="0"/>
          <w:numId w:val="39"/>
        </w:numPr>
        <w:ind w:left="1080"/>
        <w:jc w:val="both"/>
        <w:rPr>
          <w:bCs/>
          <w:color w:val="000000"/>
          <w:sz w:val="22"/>
          <w:szCs w:val="22"/>
          <w:lang w:val="en-GB"/>
        </w:rPr>
      </w:pPr>
      <w:r w:rsidRPr="00BA7B99">
        <w:rPr>
          <w:bCs/>
          <w:color w:val="000000"/>
          <w:sz w:val="22"/>
          <w:szCs w:val="22"/>
          <w:lang w:val="en-GB"/>
        </w:rPr>
        <w:t>Identify administrative, operational and/or technical problems and constraints that influenced the effective implementation of the project.</w:t>
      </w:r>
    </w:p>
    <w:p w14:paraId="1B01DDAB" w14:textId="77777777" w:rsidR="00933570" w:rsidRPr="00BA7B99" w:rsidRDefault="00933570" w:rsidP="00933570">
      <w:pPr>
        <w:jc w:val="both"/>
        <w:rPr>
          <w:sz w:val="22"/>
          <w:szCs w:val="22"/>
          <w:lang w:val="en-GB"/>
        </w:rPr>
      </w:pPr>
    </w:p>
    <w:p w14:paraId="31A1B46D" w14:textId="77777777" w:rsidR="00933570" w:rsidRPr="00BA7B99" w:rsidRDefault="00933570" w:rsidP="00933570">
      <w:pPr>
        <w:tabs>
          <w:tab w:val="left" w:pos="0"/>
          <w:tab w:val="left" w:pos="396"/>
          <w:tab w:val="left" w:pos="720"/>
          <w:tab w:val="left" w:pos="1188"/>
          <w:tab w:val="left" w:pos="1584"/>
          <w:tab w:val="left" w:pos="1980"/>
          <w:tab w:val="left" w:pos="2376"/>
          <w:tab w:val="left" w:pos="2772"/>
          <w:tab w:val="left" w:pos="3168"/>
          <w:tab w:val="left" w:pos="3564"/>
          <w:tab w:val="left" w:pos="3960"/>
          <w:tab w:val="left" w:pos="4356"/>
        </w:tabs>
        <w:suppressAutoHyphens/>
        <w:spacing w:after="120"/>
        <w:jc w:val="both"/>
        <w:rPr>
          <w:sz w:val="22"/>
          <w:szCs w:val="22"/>
          <w:lang w:val="en-GB"/>
        </w:rPr>
      </w:pPr>
      <w:r w:rsidRPr="00BA7B99">
        <w:rPr>
          <w:sz w:val="22"/>
          <w:szCs w:val="22"/>
          <w:lang w:val="en-GB"/>
        </w:rPr>
        <w:t xml:space="preserve">The </w:t>
      </w:r>
      <w:r w:rsidRPr="00BA7B99">
        <w:rPr>
          <w:b/>
          <w:i/>
          <w:sz w:val="22"/>
          <w:szCs w:val="22"/>
          <w:lang w:val="en-GB"/>
        </w:rPr>
        <w:t>ratings will be presented in the form of a table</w:t>
      </w:r>
      <w:r w:rsidRPr="00BA7B99">
        <w:rPr>
          <w:sz w:val="22"/>
          <w:szCs w:val="22"/>
          <w:lang w:val="en-GB"/>
        </w:rPr>
        <w:t xml:space="preserve">. Each of the eleven categories should be rated separately with </w:t>
      </w:r>
      <w:r w:rsidRPr="00BA7B99">
        <w:rPr>
          <w:b/>
          <w:sz w:val="22"/>
          <w:szCs w:val="22"/>
          <w:lang w:val="en-GB"/>
        </w:rPr>
        <w:t>brief justifications</w:t>
      </w:r>
      <w:r w:rsidRPr="00BA7B99">
        <w:rPr>
          <w:sz w:val="22"/>
          <w:szCs w:val="22"/>
          <w:lang w:val="en-GB"/>
        </w:rPr>
        <w:t xml:space="preserve"> based on the findings of the main analysis. An overall rating for the project should also be given. The following rating system is to be applied:</w:t>
      </w:r>
    </w:p>
    <w:p w14:paraId="23938221" w14:textId="77777777" w:rsidR="00933570" w:rsidRPr="00BA7B99" w:rsidRDefault="00933570" w:rsidP="00933570">
      <w:pPr>
        <w:tabs>
          <w:tab w:val="left" w:pos="1440"/>
        </w:tabs>
        <w:jc w:val="both"/>
        <w:rPr>
          <w:sz w:val="22"/>
          <w:szCs w:val="22"/>
          <w:lang w:val="en-GB"/>
        </w:rPr>
      </w:pPr>
      <w:r w:rsidRPr="00BA7B99">
        <w:rPr>
          <w:sz w:val="22"/>
          <w:szCs w:val="22"/>
          <w:lang w:val="en-GB"/>
        </w:rPr>
        <w:tab/>
        <w:t>HS</w:t>
      </w:r>
      <w:r w:rsidRPr="00BA7B99">
        <w:rPr>
          <w:sz w:val="22"/>
          <w:szCs w:val="22"/>
          <w:lang w:val="en-GB"/>
        </w:rPr>
        <w:tab/>
        <w:t>= Highly Satisfactory</w:t>
      </w:r>
    </w:p>
    <w:p w14:paraId="6CF3FF3B" w14:textId="77777777" w:rsidR="00933570" w:rsidRPr="00BA7B99" w:rsidRDefault="00933570" w:rsidP="00933570">
      <w:pPr>
        <w:tabs>
          <w:tab w:val="left" w:pos="1440"/>
        </w:tabs>
        <w:jc w:val="both"/>
        <w:rPr>
          <w:sz w:val="22"/>
          <w:szCs w:val="22"/>
          <w:lang w:val="en-GB"/>
        </w:rPr>
      </w:pPr>
      <w:r w:rsidRPr="00BA7B99">
        <w:rPr>
          <w:sz w:val="22"/>
          <w:szCs w:val="22"/>
          <w:lang w:val="en-GB"/>
        </w:rPr>
        <w:tab/>
        <w:t xml:space="preserve">S </w:t>
      </w:r>
      <w:r w:rsidRPr="00BA7B99">
        <w:rPr>
          <w:sz w:val="22"/>
          <w:szCs w:val="22"/>
          <w:lang w:val="en-GB"/>
        </w:rPr>
        <w:tab/>
        <w:t>= Satisfactory</w:t>
      </w:r>
    </w:p>
    <w:p w14:paraId="67937311" w14:textId="77777777" w:rsidR="00933570" w:rsidRPr="00BA7B99" w:rsidRDefault="00933570" w:rsidP="00933570">
      <w:pPr>
        <w:tabs>
          <w:tab w:val="left" w:pos="1440"/>
        </w:tabs>
        <w:jc w:val="both"/>
        <w:rPr>
          <w:sz w:val="22"/>
          <w:szCs w:val="22"/>
          <w:lang w:val="en-GB"/>
        </w:rPr>
      </w:pPr>
      <w:r w:rsidRPr="00BA7B99">
        <w:rPr>
          <w:sz w:val="22"/>
          <w:szCs w:val="22"/>
          <w:lang w:val="en-GB"/>
        </w:rPr>
        <w:tab/>
        <w:t xml:space="preserve">MS </w:t>
      </w:r>
      <w:r w:rsidRPr="00BA7B99">
        <w:rPr>
          <w:sz w:val="22"/>
          <w:szCs w:val="22"/>
          <w:lang w:val="en-GB"/>
        </w:rPr>
        <w:tab/>
        <w:t>= Moderately Satisfactory</w:t>
      </w:r>
    </w:p>
    <w:p w14:paraId="1EB23E1A" w14:textId="77777777" w:rsidR="00933570" w:rsidRPr="00BA7B99" w:rsidRDefault="00933570" w:rsidP="00933570">
      <w:pPr>
        <w:tabs>
          <w:tab w:val="left" w:pos="1440"/>
        </w:tabs>
        <w:jc w:val="both"/>
        <w:rPr>
          <w:sz w:val="22"/>
          <w:szCs w:val="22"/>
          <w:lang w:val="en-GB"/>
        </w:rPr>
      </w:pPr>
      <w:r w:rsidRPr="00BA7B99">
        <w:rPr>
          <w:sz w:val="22"/>
          <w:szCs w:val="22"/>
          <w:lang w:val="en-GB"/>
        </w:rPr>
        <w:tab/>
        <w:t xml:space="preserve">MU </w:t>
      </w:r>
      <w:r w:rsidRPr="00BA7B99">
        <w:rPr>
          <w:sz w:val="22"/>
          <w:szCs w:val="22"/>
          <w:lang w:val="en-GB"/>
        </w:rPr>
        <w:tab/>
        <w:t>= Moderately Unsatisfactory</w:t>
      </w:r>
    </w:p>
    <w:p w14:paraId="370526A4" w14:textId="77777777" w:rsidR="00933570" w:rsidRPr="00BA7B99" w:rsidRDefault="00933570" w:rsidP="00933570">
      <w:pPr>
        <w:tabs>
          <w:tab w:val="left" w:pos="1440"/>
        </w:tabs>
        <w:jc w:val="both"/>
        <w:rPr>
          <w:sz w:val="22"/>
          <w:szCs w:val="22"/>
          <w:lang w:val="en-GB"/>
        </w:rPr>
      </w:pPr>
      <w:r w:rsidRPr="00BA7B99">
        <w:rPr>
          <w:sz w:val="22"/>
          <w:szCs w:val="22"/>
          <w:lang w:val="en-GB"/>
        </w:rPr>
        <w:tab/>
        <w:t xml:space="preserve">U </w:t>
      </w:r>
      <w:r w:rsidRPr="00BA7B99">
        <w:rPr>
          <w:sz w:val="22"/>
          <w:szCs w:val="22"/>
          <w:lang w:val="en-GB"/>
        </w:rPr>
        <w:tab/>
        <w:t>= Unsatisfactory</w:t>
      </w:r>
    </w:p>
    <w:p w14:paraId="5BA82816" w14:textId="77777777" w:rsidR="00933570" w:rsidRPr="00BA7B99" w:rsidRDefault="00933570" w:rsidP="00933570">
      <w:pPr>
        <w:tabs>
          <w:tab w:val="left" w:pos="1440"/>
        </w:tabs>
        <w:jc w:val="both"/>
        <w:rPr>
          <w:sz w:val="22"/>
          <w:szCs w:val="22"/>
          <w:lang w:val="en-GB"/>
        </w:rPr>
      </w:pPr>
      <w:r w:rsidRPr="00BA7B99">
        <w:rPr>
          <w:sz w:val="22"/>
          <w:szCs w:val="22"/>
          <w:lang w:val="en-GB"/>
        </w:rPr>
        <w:tab/>
        <w:t>HU</w:t>
      </w:r>
      <w:r w:rsidRPr="00BA7B99">
        <w:rPr>
          <w:sz w:val="22"/>
          <w:szCs w:val="22"/>
          <w:lang w:val="en-GB"/>
        </w:rPr>
        <w:tab/>
        <w:t>= Highly Unsatisfactory</w:t>
      </w:r>
    </w:p>
    <w:p w14:paraId="5D16AAE8" w14:textId="77777777" w:rsidR="00933570" w:rsidRPr="00BA7B99" w:rsidRDefault="00933570" w:rsidP="00933570">
      <w:pPr>
        <w:jc w:val="both"/>
        <w:rPr>
          <w:sz w:val="22"/>
          <w:szCs w:val="22"/>
          <w:lang w:val="en-GB"/>
        </w:rPr>
      </w:pPr>
    </w:p>
    <w:p w14:paraId="49A77B18" w14:textId="77777777" w:rsidR="00933570" w:rsidRPr="00BA7B99" w:rsidRDefault="00933570" w:rsidP="00E071AC">
      <w:pPr>
        <w:numPr>
          <w:ilvl w:val="0"/>
          <w:numId w:val="40"/>
        </w:numPr>
        <w:tabs>
          <w:tab w:val="left" w:pos="0"/>
          <w:tab w:val="left" w:pos="306"/>
          <w:tab w:val="left" w:pos="1326"/>
          <w:tab w:val="left" w:pos="1836"/>
          <w:tab w:val="left" w:pos="2346"/>
          <w:tab w:val="left" w:pos="5160"/>
          <w:tab w:val="left" w:pos="6960"/>
        </w:tabs>
        <w:suppressAutoHyphens/>
        <w:jc w:val="both"/>
        <w:rPr>
          <w:b/>
          <w:sz w:val="22"/>
          <w:szCs w:val="22"/>
          <w:u w:val="single"/>
          <w:lang w:val="en-GB"/>
        </w:rPr>
      </w:pPr>
      <w:r w:rsidRPr="00BA7B99">
        <w:rPr>
          <w:b/>
          <w:sz w:val="22"/>
          <w:szCs w:val="22"/>
          <w:u w:val="single"/>
          <w:lang w:val="en-GB"/>
        </w:rPr>
        <w:t>Evaluation report format and review procedures</w:t>
      </w:r>
    </w:p>
    <w:p w14:paraId="392A2861" w14:textId="77777777" w:rsidR="00933570" w:rsidRPr="00BA7B99" w:rsidRDefault="00933570" w:rsidP="00933570">
      <w:pPr>
        <w:jc w:val="both"/>
        <w:rPr>
          <w:sz w:val="22"/>
          <w:szCs w:val="22"/>
          <w:lang w:val="en-GB"/>
        </w:rPr>
      </w:pPr>
      <w:r w:rsidRPr="00BA7B99">
        <w:rPr>
          <w:sz w:val="22"/>
          <w:szCs w:val="22"/>
          <w:lang w:val="en-GB"/>
        </w:rPr>
        <w:t xml:space="preserve">The report should be brief, to the point and easy to understand. It must explain; the purpose of the evaluation, exactly what was evaluated and the methods used.  The report must highlight any methodological limitations, identify key concerns and present evidence-based findings, consequent conclusions, recommendations and lessons. The report should be presented in a way that makes the information accessible and comprehensible and include an executive summary that encapsulates the essence of the information contained in the report to facilitate dissemination and distillation of lessons. </w:t>
      </w:r>
    </w:p>
    <w:p w14:paraId="215BD0DB" w14:textId="77777777" w:rsidR="00933570" w:rsidRPr="00BA7B99" w:rsidRDefault="00933570" w:rsidP="00933570">
      <w:pPr>
        <w:jc w:val="both"/>
        <w:rPr>
          <w:sz w:val="22"/>
          <w:szCs w:val="22"/>
          <w:lang w:val="en-GB"/>
        </w:rPr>
      </w:pPr>
    </w:p>
    <w:p w14:paraId="5A681D33" w14:textId="77777777" w:rsidR="00933570" w:rsidRPr="00BA7B99" w:rsidRDefault="00933570" w:rsidP="00933570">
      <w:pPr>
        <w:spacing w:line="480" w:lineRule="auto"/>
        <w:jc w:val="both"/>
        <w:rPr>
          <w:b/>
          <w:sz w:val="22"/>
          <w:szCs w:val="22"/>
          <w:lang w:val="en-GB"/>
        </w:rPr>
      </w:pPr>
      <w:r w:rsidRPr="00BA7B99">
        <w:rPr>
          <w:b/>
          <w:sz w:val="22"/>
          <w:szCs w:val="22"/>
          <w:lang w:val="en-GB"/>
        </w:rPr>
        <w:t xml:space="preserve">The evaluation will rate the overall implementation success of the project and provide individual ratings of the eleven implementation aspects as described in Section 1 of this TOR. </w:t>
      </w:r>
      <w:r w:rsidRPr="00BA7B99">
        <w:rPr>
          <w:i/>
          <w:sz w:val="22"/>
          <w:szCs w:val="22"/>
          <w:lang w:val="en-GB"/>
        </w:rPr>
        <w:t>The ratings will be presented in the format of a table</w:t>
      </w:r>
      <w:r w:rsidRPr="00BA7B99">
        <w:rPr>
          <w:b/>
          <w:sz w:val="22"/>
          <w:szCs w:val="22"/>
          <w:lang w:val="en-GB"/>
        </w:rPr>
        <w:t xml:space="preserve"> </w:t>
      </w:r>
      <w:r w:rsidRPr="00BA7B99">
        <w:rPr>
          <w:b/>
          <w:sz w:val="22"/>
          <w:szCs w:val="22"/>
          <w:u w:val="single"/>
          <w:lang w:val="en-GB"/>
        </w:rPr>
        <w:t>with brief justifications based on the</w:t>
      </w:r>
      <w:r w:rsidRPr="00BA7B99">
        <w:rPr>
          <w:b/>
          <w:sz w:val="22"/>
          <w:szCs w:val="22"/>
          <w:lang w:val="en-GB"/>
        </w:rPr>
        <w:t xml:space="preserve"> findings of the main analysis.</w:t>
      </w:r>
    </w:p>
    <w:p w14:paraId="67351DD8" w14:textId="77777777" w:rsidR="00933570" w:rsidRPr="00BA7B99" w:rsidRDefault="00933570" w:rsidP="00933570">
      <w:pPr>
        <w:jc w:val="both"/>
        <w:rPr>
          <w:sz w:val="22"/>
          <w:szCs w:val="22"/>
          <w:lang w:val="en-GB"/>
        </w:rPr>
      </w:pPr>
      <w:r w:rsidRPr="00BA7B99">
        <w:rPr>
          <w:sz w:val="22"/>
          <w:szCs w:val="22"/>
          <w:lang w:val="en-GB"/>
        </w:rPr>
        <w:t>Evidence, findings, conclusions and recommendations should be presented in a complete and balanced manner.  Any dissident views in response to evaluation findings will be appended in an annex. The evaluation report shall be written in English, be of no more than 50 pages (excluding annexes), use numbered paragraphs and include:</w:t>
      </w:r>
    </w:p>
    <w:p w14:paraId="7BC6CC05" w14:textId="77777777" w:rsidR="00933570" w:rsidRPr="00BA7B99" w:rsidRDefault="00933570" w:rsidP="00933570">
      <w:pPr>
        <w:jc w:val="both"/>
        <w:rPr>
          <w:sz w:val="22"/>
          <w:szCs w:val="22"/>
          <w:lang w:val="en-GB"/>
        </w:rPr>
      </w:pPr>
    </w:p>
    <w:p w14:paraId="148DD2E1" w14:textId="77777777" w:rsidR="00933570" w:rsidRPr="00BA7B99" w:rsidRDefault="00933570" w:rsidP="00E071AC">
      <w:pPr>
        <w:numPr>
          <w:ilvl w:val="0"/>
          <w:numId w:val="36"/>
        </w:numPr>
        <w:jc w:val="both"/>
        <w:rPr>
          <w:sz w:val="22"/>
          <w:szCs w:val="22"/>
          <w:lang w:val="en-GB"/>
        </w:rPr>
      </w:pPr>
      <w:r w:rsidRPr="00BA7B99">
        <w:rPr>
          <w:sz w:val="22"/>
          <w:szCs w:val="22"/>
          <w:lang w:val="en-GB"/>
        </w:rPr>
        <w:t>An</w:t>
      </w:r>
      <w:r w:rsidRPr="00BA7B99">
        <w:rPr>
          <w:b/>
          <w:sz w:val="22"/>
          <w:szCs w:val="22"/>
          <w:lang w:val="en-GB"/>
        </w:rPr>
        <w:t xml:space="preserve"> executive summary</w:t>
      </w:r>
      <w:r w:rsidRPr="00BA7B99">
        <w:rPr>
          <w:sz w:val="22"/>
          <w:szCs w:val="22"/>
          <w:lang w:val="en-GB"/>
        </w:rPr>
        <w:t xml:space="preserve"> (no more than 3 pages) providing a brief overview of the main conclusions and recommendations of the evaluation;</w:t>
      </w:r>
    </w:p>
    <w:p w14:paraId="1FDFCD58" w14:textId="77777777" w:rsidR="00933570" w:rsidRPr="00BA7B99" w:rsidRDefault="00933570" w:rsidP="00E071AC">
      <w:pPr>
        <w:numPr>
          <w:ilvl w:val="0"/>
          <w:numId w:val="36"/>
        </w:numPr>
        <w:jc w:val="both"/>
        <w:rPr>
          <w:sz w:val="22"/>
          <w:szCs w:val="22"/>
          <w:lang w:val="en-GB"/>
        </w:rPr>
      </w:pPr>
      <w:r w:rsidRPr="00BA7B99">
        <w:rPr>
          <w:b/>
          <w:sz w:val="22"/>
          <w:szCs w:val="22"/>
          <w:lang w:val="en-GB"/>
        </w:rPr>
        <w:t>Introduction and background</w:t>
      </w:r>
      <w:r w:rsidRPr="00BA7B99">
        <w:rPr>
          <w:sz w:val="22"/>
          <w:szCs w:val="22"/>
          <w:lang w:val="en-GB"/>
        </w:rPr>
        <w:t xml:space="preserve"> giving a brief overview of the evaluated project, for example, the objective and status of activities; The GEF Monitoring and Evaluation Policy, 2006, requires that a TE report will provide summary information on when the evaluation took place; places visited; who was involved; the key questions; and, the methodology.  </w:t>
      </w:r>
    </w:p>
    <w:p w14:paraId="67D56702" w14:textId="77777777" w:rsidR="00933570" w:rsidRPr="00BA7B99" w:rsidRDefault="00933570" w:rsidP="00E071AC">
      <w:pPr>
        <w:numPr>
          <w:ilvl w:val="0"/>
          <w:numId w:val="36"/>
        </w:numPr>
        <w:jc w:val="both"/>
        <w:rPr>
          <w:sz w:val="22"/>
          <w:szCs w:val="22"/>
          <w:lang w:val="en-GB"/>
        </w:rPr>
      </w:pPr>
      <w:r w:rsidRPr="00BA7B99">
        <w:rPr>
          <w:b/>
          <w:sz w:val="22"/>
          <w:szCs w:val="22"/>
          <w:lang w:val="en-GB"/>
        </w:rPr>
        <w:t>Scope, objective and methods</w:t>
      </w:r>
      <w:r w:rsidRPr="00BA7B99">
        <w:rPr>
          <w:sz w:val="22"/>
          <w:szCs w:val="22"/>
          <w:lang w:val="en-GB"/>
        </w:rPr>
        <w:t xml:space="preserve"> presenting the evaluation’s purpose, the evaluation criteria used and questions to be addressed;</w:t>
      </w:r>
    </w:p>
    <w:p w14:paraId="00DDA0DB" w14:textId="77777777" w:rsidR="00933570" w:rsidRPr="00BA7B99" w:rsidRDefault="00933570" w:rsidP="00E071AC">
      <w:pPr>
        <w:numPr>
          <w:ilvl w:val="0"/>
          <w:numId w:val="36"/>
        </w:numPr>
        <w:jc w:val="both"/>
        <w:rPr>
          <w:sz w:val="22"/>
          <w:szCs w:val="22"/>
          <w:lang w:val="en-GB"/>
        </w:rPr>
      </w:pPr>
      <w:r w:rsidRPr="00BA7B99">
        <w:rPr>
          <w:b/>
          <w:sz w:val="22"/>
          <w:szCs w:val="22"/>
          <w:lang w:val="en-GB"/>
        </w:rPr>
        <w:t>Project Performance and Impact</w:t>
      </w:r>
      <w:r w:rsidRPr="00BA7B99">
        <w:rPr>
          <w:sz w:val="22"/>
          <w:szCs w:val="22"/>
          <w:lang w:val="en-GB"/>
        </w:rPr>
        <w:t xml:space="preserve"> providing </w:t>
      </w:r>
      <w:r w:rsidRPr="00BA7B99">
        <w:rPr>
          <w:i/>
          <w:sz w:val="22"/>
          <w:szCs w:val="22"/>
          <w:lang w:val="en-GB"/>
        </w:rPr>
        <w:t>factual evidence</w:t>
      </w:r>
      <w:r w:rsidRPr="00BA7B99">
        <w:rPr>
          <w:sz w:val="22"/>
          <w:szCs w:val="22"/>
          <w:lang w:val="en-GB"/>
        </w:rPr>
        <w:t xml:space="preserve"> relevant to the questions asked by the evaluator and interpretations of such evidence.  This is the main substantive section of the report.  The evaluator should provide a commentary and analysis on all eleven evaluation aspects (A − K above).</w:t>
      </w:r>
    </w:p>
    <w:p w14:paraId="51709EF7" w14:textId="77777777" w:rsidR="00933570" w:rsidRPr="00BA7B99" w:rsidRDefault="00933570" w:rsidP="00E071AC">
      <w:pPr>
        <w:numPr>
          <w:ilvl w:val="0"/>
          <w:numId w:val="36"/>
        </w:numPr>
        <w:jc w:val="both"/>
        <w:rPr>
          <w:sz w:val="22"/>
          <w:szCs w:val="22"/>
          <w:lang w:val="en-GB"/>
        </w:rPr>
      </w:pPr>
      <w:r w:rsidRPr="00BA7B99">
        <w:rPr>
          <w:b/>
          <w:sz w:val="22"/>
          <w:szCs w:val="22"/>
          <w:lang w:val="en-GB"/>
        </w:rPr>
        <w:t>Conclusions and rating</w:t>
      </w:r>
      <w:r w:rsidRPr="00BA7B99">
        <w:rPr>
          <w:sz w:val="22"/>
          <w:szCs w:val="22"/>
          <w:lang w:val="en-GB"/>
        </w:rPr>
        <w:t xml:space="preserve"> of project implementation success giving the evaluator’s concluding assessments and ratings of the project against given evaluation criteria and standards of performance.  The conclusions should provide answers to questions about whether the project is considered good or bad, and whether the results are considered positive or negative. The ratings should be provided with a brief narrative comment in a table (see </w:t>
      </w:r>
      <w:r w:rsidRPr="00BA7B99">
        <w:rPr>
          <w:i/>
          <w:sz w:val="22"/>
          <w:szCs w:val="22"/>
          <w:lang w:val="en-GB"/>
        </w:rPr>
        <w:t>Annex 1</w:t>
      </w:r>
      <w:r w:rsidRPr="00BA7B99">
        <w:rPr>
          <w:sz w:val="22"/>
          <w:szCs w:val="22"/>
          <w:lang w:val="en-GB"/>
        </w:rPr>
        <w:t xml:space="preserve"> to this Appendix);</w:t>
      </w:r>
    </w:p>
    <w:p w14:paraId="688F466A" w14:textId="77777777" w:rsidR="00933570" w:rsidRPr="00BA7B99" w:rsidRDefault="00933570" w:rsidP="00E071AC">
      <w:pPr>
        <w:numPr>
          <w:ilvl w:val="0"/>
          <w:numId w:val="36"/>
        </w:numPr>
        <w:jc w:val="both"/>
        <w:rPr>
          <w:sz w:val="22"/>
          <w:szCs w:val="22"/>
          <w:lang w:val="en-GB"/>
        </w:rPr>
      </w:pPr>
      <w:r w:rsidRPr="00BA7B99">
        <w:rPr>
          <w:b/>
          <w:sz w:val="22"/>
          <w:szCs w:val="22"/>
          <w:lang w:val="en-GB"/>
        </w:rPr>
        <w:t>Lessons (to be) learned</w:t>
      </w:r>
      <w:r w:rsidRPr="00BA7B99">
        <w:rPr>
          <w:sz w:val="22"/>
          <w:szCs w:val="22"/>
          <w:lang w:val="en-GB"/>
        </w:rPr>
        <w:t xml:space="preserve"> presenting general conclusions from the standpoint of the design and implementation of the project, based on good practices and successes or problems and mistakes. Lessons should have the potential for wider application and use. All lessons should ‘stand alone’ and should:</w:t>
      </w:r>
    </w:p>
    <w:p w14:paraId="5B8D5042" w14:textId="77777777" w:rsidR="00933570" w:rsidRPr="00BA7B99" w:rsidRDefault="00933570" w:rsidP="00E071AC">
      <w:pPr>
        <w:numPr>
          <w:ilvl w:val="0"/>
          <w:numId w:val="49"/>
        </w:numPr>
        <w:jc w:val="both"/>
        <w:rPr>
          <w:sz w:val="22"/>
          <w:szCs w:val="22"/>
          <w:lang w:val="en-GB"/>
        </w:rPr>
      </w:pPr>
      <w:r w:rsidRPr="00BA7B99">
        <w:rPr>
          <w:sz w:val="22"/>
          <w:szCs w:val="22"/>
          <w:lang w:val="en-GB"/>
        </w:rPr>
        <w:t xml:space="preserve">Briefly describe the context from which they are derived </w:t>
      </w:r>
    </w:p>
    <w:p w14:paraId="574CE890" w14:textId="77777777" w:rsidR="00933570" w:rsidRPr="00BA7B99" w:rsidRDefault="00933570" w:rsidP="00E071AC">
      <w:pPr>
        <w:numPr>
          <w:ilvl w:val="0"/>
          <w:numId w:val="49"/>
        </w:numPr>
        <w:jc w:val="both"/>
        <w:rPr>
          <w:sz w:val="22"/>
          <w:szCs w:val="22"/>
          <w:lang w:val="en-GB"/>
        </w:rPr>
      </w:pPr>
      <w:r w:rsidRPr="00BA7B99">
        <w:rPr>
          <w:sz w:val="22"/>
          <w:szCs w:val="22"/>
          <w:lang w:val="en-GB"/>
        </w:rPr>
        <w:t xml:space="preserve">State or imply some prescriptive action; </w:t>
      </w:r>
    </w:p>
    <w:p w14:paraId="3C82CE6E" w14:textId="77777777" w:rsidR="00933570" w:rsidRPr="00BA7B99" w:rsidRDefault="00933570" w:rsidP="00E071AC">
      <w:pPr>
        <w:numPr>
          <w:ilvl w:val="0"/>
          <w:numId w:val="49"/>
        </w:numPr>
        <w:jc w:val="both"/>
        <w:rPr>
          <w:sz w:val="22"/>
          <w:szCs w:val="22"/>
          <w:lang w:val="en-GB"/>
        </w:rPr>
      </w:pPr>
      <w:r w:rsidRPr="00BA7B99">
        <w:rPr>
          <w:sz w:val="22"/>
          <w:szCs w:val="22"/>
          <w:lang w:val="en-GB"/>
        </w:rPr>
        <w:t>Specify the contexts in which they may be applied (if possible, who when and where)</w:t>
      </w:r>
    </w:p>
    <w:p w14:paraId="01361DF1" w14:textId="77777777" w:rsidR="00933570" w:rsidRPr="00BA7B99" w:rsidRDefault="00933570" w:rsidP="00E071AC">
      <w:pPr>
        <w:numPr>
          <w:ilvl w:val="0"/>
          <w:numId w:val="36"/>
        </w:numPr>
        <w:spacing w:after="120"/>
        <w:jc w:val="both"/>
        <w:rPr>
          <w:sz w:val="22"/>
          <w:szCs w:val="22"/>
          <w:lang w:val="en-GB"/>
        </w:rPr>
      </w:pPr>
      <w:r w:rsidRPr="00BA7B99">
        <w:rPr>
          <w:b/>
          <w:sz w:val="22"/>
          <w:szCs w:val="22"/>
          <w:lang w:val="en-GB"/>
        </w:rPr>
        <w:t>Recommendations</w:t>
      </w:r>
      <w:r w:rsidRPr="00BA7B99">
        <w:rPr>
          <w:sz w:val="22"/>
          <w:szCs w:val="22"/>
          <w:lang w:val="en-GB"/>
        </w:rPr>
        <w:t xml:space="preserve"> suggesting </w:t>
      </w:r>
      <w:r w:rsidRPr="00BA7B99">
        <w:rPr>
          <w:i/>
          <w:sz w:val="22"/>
          <w:szCs w:val="22"/>
          <w:lang w:val="en-GB"/>
        </w:rPr>
        <w:t>actionable</w:t>
      </w:r>
      <w:r w:rsidRPr="00BA7B99">
        <w:rPr>
          <w:sz w:val="22"/>
          <w:szCs w:val="22"/>
          <w:lang w:val="en-GB"/>
        </w:rPr>
        <w:t xml:space="preserve"> proposals for improvement of the current project.  In general, Terminal Evaluations are likely to have very few (perhaps two or three) actionable recommendations. </w:t>
      </w:r>
    </w:p>
    <w:p w14:paraId="14276113" w14:textId="77777777" w:rsidR="00933570" w:rsidRPr="00BA7B99" w:rsidRDefault="00933570" w:rsidP="00933570">
      <w:pPr>
        <w:autoSpaceDE w:val="0"/>
        <w:autoSpaceDN w:val="0"/>
        <w:adjustRightInd w:val="0"/>
        <w:spacing w:after="120" w:line="240" w:lineRule="atLeast"/>
        <w:ind w:left="1440"/>
        <w:rPr>
          <w:sz w:val="22"/>
          <w:szCs w:val="22"/>
          <w:lang w:val="en-GB"/>
        </w:rPr>
      </w:pPr>
      <w:r w:rsidRPr="00BA7B99">
        <w:rPr>
          <w:i/>
          <w:sz w:val="22"/>
          <w:szCs w:val="22"/>
          <w:lang w:val="en-GB"/>
        </w:rPr>
        <w:t>Prior to each recommendation</w:t>
      </w:r>
      <w:r w:rsidRPr="00BA7B99">
        <w:rPr>
          <w:sz w:val="22"/>
          <w:szCs w:val="22"/>
          <w:lang w:val="en-GB"/>
        </w:rPr>
        <w:t>, the issue(s) or problem(s) to be addressed by the recommendation should be clearly stated.</w:t>
      </w:r>
    </w:p>
    <w:p w14:paraId="45C3C40F" w14:textId="77777777" w:rsidR="00933570" w:rsidRPr="00BA7B99" w:rsidRDefault="00933570" w:rsidP="00933570">
      <w:pPr>
        <w:ind w:left="1440"/>
        <w:jc w:val="both"/>
        <w:rPr>
          <w:sz w:val="22"/>
          <w:szCs w:val="22"/>
          <w:lang w:val="en-GB"/>
        </w:rPr>
      </w:pPr>
      <w:r w:rsidRPr="00BA7B99">
        <w:rPr>
          <w:sz w:val="22"/>
          <w:szCs w:val="22"/>
          <w:lang w:val="en-GB"/>
        </w:rPr>
        <w:t>A high quality recommendation is an actionable proposal that is:</w:t>
      </w:r>
    </w:p>
    <w:p w14:paraId="02455499" w14:textId="77777777" w:rsidR="00933570" w:rsidRPr="00BA7B99" w:rsidRDefault="00933570" w:rsidP="00933570">
      <w:pPr>
        <w:autoSpaceDE w:val="0"/>
        <w:autoSpaceDN w:val="0"/>
        <w:adjustRightInd w:val="0"/>
        <w:spacing w:line="240" w:lineRule="atLeast"/>
        <w:ind w:left="2160"/>
        <w:rPr>
          <w:color w:val="000000"/>
          <w:sz w:val="22"/>
          <w:szCs w:val="22"/>
          <w:lang w:val="en-GB"/>
        </w:rPr>
      </w:pPr>
      <w:r w:rsidRPr="00BA7B99">
        <w:rPr>
          <w:iCs/>
          <w:color w:val="000000"/>
          <w:sz w:val="22"/>
          <w:szCs w:val="22"/>
          <w:lang w:val="en-GB"/>
        </w:rPr>
        <w:t>1. Feasible to implement</w:t>
      </w:r>
      <w:r w:rsidRPr="00BA7B99">
        <w:rPr>
          <w:color w:val="000000"/>
          <w:sz w:val="22"/>
          <w:szCs w:val="22"/>
          <w:lang w:val="en-GB"/>
        </w:rPr>
        <w:t xml:space="preserve"> within the timeframe and resources available</w:t>
      </w:r>
    </w:p>
    <w:p w14:paraId="38CB24FC" w14:textId="77777777" w:rsidR="00933570" w:rsidRPr="00BA7B99" w:rsidRDefault="00933570" w:rsidP="00933570">
      <w:pPr>
        <w:autoSpaceDE w:val="0"/>
        <w:autoSpaceDN w:val="0"/>
        <w:adjustRightInd w:val="0"/>
        <w:spacing w:line="240" w:lineRule="atLeast"/>
        <w:ind w:left="2160"/>
        <w:rPr>
          <w:color w:val="000000"/>
          <w:sz w:val="22"/>
          <w:szCs w:val="22"/>
          <w:lang w:val="en-GB"/>
        </w:rPr>
      </w:pPr>
      <w:r w:rsidRPr="00BA7B99">
        <w:rPr>
          <w:color w:val="000000"/>
          <w:sz w:val="22"/>
          <w:szCs w:val="22"/>
          <w:lang w:val="en-GB"/>
        </w:rPr>
        <w:t>2. Commensurate with the available capacities of project team and partners</w:t>
      </w:r>
    </w:p>
    <w:p w14:paraId="6456A240" w14:textId="77777777" w:rsidR="00933570" w:rsidRPr="00BA7B99" w:rsidRDefault="00933570" w:rsidP="00933570">
      <w:pPr>
        <w:autoSpaceDE w:val="0"/>
        <w:autoSpaceDN w:val="0"/>
        <w:adjustRightInd w:val="0"/>
        <w:spacing w:line="240" w:lineRule="atLeast"/>
        <w:ind w:left="2160"/>
        <w:rPr>
          <w:color w:val="000000"/>
          <w:sz w:val="22"/>
          <w:szCs w:val="22"/>
          <w:lang w:val="en-GB"/>
        </w:rPr>
      </w:pPr>
      <w:r w:rsidRPr="00BA7B99">
        <w:rPr>
          <w:color w:val="000000"/>
          <w:sz w:val="22"/>
          <w:szCs w:val="22"/>
          <w:lang w:val="en-GB"/>
        </w:rPr>
        <w:t>3. Specific in terms of who would do what and when</w:t>
      </w:r>
    </w:p>
    <w:p w14:paraId="6A9B65C3" w14:textId="77777777" w:rsidR="00933570" w:rsidRPr="00BA7B99" w:rsidRDefault="00933570" w:rsidP="00933570">
      <w:pPr>
        <w:autoSpaceDE w:val="0"/>
        <w:autoSpaceDN w:val="0"/>
        <w:adjustRightInd w:val="0"/>
        <w:spacing w:line="240" w:lineRule="atLeast"/>
        <w:ind w:left="2160"/>
        <w:rPr>
          <w:color w:val="000000"/>
          <w:sz w:val="22"/>
          <w:szCs w:val="22"/>
          <w:lang w:val="en-GB"/>
        </w:rPr>
      </w:pPr>
      <w:r w:rsidRPr="00BA7B99">
        <w:rPr>
          <w:color w:val="000000"/>
          <w:sz w:val="22"/>
          <w:szCs w:val="22"/>
          <w:lang w:val="en-GB"/>
        </w:rPr>
        <w:t>4. Contains results-based language (i.e. a measurable performance target)</w:t>
      </w:r>
    </w:p>
    <w:p w14:paraId="669BD4FC" w14:textId="77777777" w:rsidR="00933570" w:rsidRPr="00BA7B99" w:rsidRDefault="00933570" w:rsidP="00933570">
      <w:pPr>
        <w:autoSpaceDE w:val="0"/>
        <w:autoSpaceDN w:val="0"/>
        <w:adjustRightInd w:val="0"/>
        <w:spacing w:after="120" w:line="240" w:lineRule="atLeast"/>
        <w:ind w:left="2160"/>
        <w:rPr>
          <w:color w:val="000000"/>
          <w:sz w:val="22"/>
          <w:szCs w:val="22"/>
          <w:lang w:val="en-GB"/>
        </w:rPr>
      </w:pPr>
      <w:r w:rsidRPr="00BA7B99">
        <w:rPr>
          <w:color w:val="000000"/>
          <w:sz w:val="22"/>
          <w:szCs w:val="22"/>
          <w:lang w:val="en-GB"/>
        </w:rPr>
        <w:t>5. Includes a trade-off analysis, when its implementation may require utilizing significant resources that would otherwise be used for other project purposes.</w:t>
      </w:r>
    </w:p>
    <w:p w14:paraId="0346BE03" w14:textId="77777777" w:rsidR="00933570" w:rsidRPr="00BA7B99" w:rsidRDefault="00933570" w:rsidP="00E071AC">
      <w:pPr>
        <w:numPr>
          <w:ilvl w:val="0"/>
          <w:numId w:val="36"/>
        </w:numPr>
        <w:jc w:val="both"/>
        <w:rPr>
          <w:sz w:val="22"/>
          <w:szCs w:val="22"/>
          <w:lang w:val="en-GB"/>
        </w:rPr>
      </w:pPr>
      <w:r w:rsidRPr="00BA7B99">
        <w:rPr>
          <w:b/>
          <w:sz w:val="22"/>
          <w:szCs w:val="22"/>
          <w:lang w:val="en-GB"/>
        </w:rPr>
        <w:t>Annexes</w:t>
      </w:r>
      <w:r w:rsidRPr="00BA7B99">
        <w:rPr>
          <w:sz w:val="22"/>
          <w:szCs w:val="22"/>
          <w:lang w:val="en-GB"/>
        </w:rPr>
        <w:t xml:space="preserve"> may include additional material deemed relevant by the evaluator but must include: </w:t>
      </w:r>
    </w:p>
    <w:p w14:paraId="4BF4333C" w14:textId="77777777" w:rsidR="00933570" w:rsidRPr="00BA7B99" w:rsidRDefault="00933570" w:rsidP="00933570">
      <w:pPr>
        <w:autoSpaceDE w:val="0"/>
        <w:autoSpaceDN w:val="0"/>
        <w:adjustRightInd w:val="0"/>
        <w:spacing w:line="240" w:lineRule="atLeast"/>
        <w:ind w:left="2160"/>
        <w:rPr>
          <w:iCs/>
          <w:color w:val="000000"/>
          <w:sz w:val="22"/>
          <w:szCs w:val="22"/>
          <w:lang w:val="en-GB"/>
        </w:rPr>
      </w:pPr>
      <w:r w:rsidRPr="00BA7B99">
        <w:rPr>
          <w:iCs/>
          <w:color w:val="000000"/>
          <w:sz w:val="22"/>
          <w:szCs w:val="22"/>
          <w:lang w:val="en-GB"/>
        </w:rPr>
        <w:t xml:space="preserve">1. The Evaluation Terms of Reference, </w:t>
      </w:r>
    </w:p>
    <w:p w14:paraId="725E5CD6" w14:textId="77777777" w:rsidR="00933570" w:rsidRPr="00BA7B99" w:rsidRDefault="00933570" w:rsidP="00933570">
      <w:pPr>
        <w:autoSpaceDE w:val="0"/>
        <w:autoSpaceDN w:val="0"/>
        <w:adjustRightInd w:val="0"/>
        <w:spacing w:line="240" w:lineRule="atLeast"/>
        <w:ind w:left="2160"/>
        <w:rPr>
          <w:iCs/>
          <w:color w:val="000000"/>
          <w:sz w:val="22"/>
          <w:szCs w:val="22"/>
          <w:lang w:val="en-GB"/>
        </w:rPr>
      </w:pPr>
      <w:r w:rsidRPr="00BA7B99">
        <w:rPr>
          <w:iCs/>
          <w:color w:val="000000"/>
          <w:sz w:val="22"/>
          <w:szCs w:val="22"/>
          <w:lang w:val="en-GB"/>
        </w:rPr>
        <w:t>2. A list of interviewees, and evaluation timeline</w:t>
      </w:r>
    </w:p>
    <w:p w14:paraId="291C7EFF" w14:textId="77777777" w:rsidR="00933570" w:rsidRPr="00BA7B99" w:rsidRDefault="00933570" w:rsidP="00933570">
      <w:pPr>
        <w:autoSpaceDE w:val="0"/>
        <w:autoSpaceDN w:val="0"/>
        <w:adjustRightInd w:val="0"/>
        <w:spacing w:line="240" w:lineRule="atLeast"/>
        <w:ind w:left="2160"/>
        <w:rPr>
          <w:iCs/>
          <w:color w:val="000000"/>
          <w:sz w:val="22"/>
          <w:szCs w:val="22"/>
          <w:lang w:val="en-GB"/>
        </w:rPr>
      </w:pPr>
      <w:r w:rsidRPr="00BA7B99">
        <w:rPr>
          <w:iCs/>
          <w:color w:val="000000"/>
          <w:sz w:val="22"/>
          <w:szCs w:val="22"/>
          <w:lang w:val="en-GB"/>
        </w:rPr>
        <w:t>3. A list of documents reviewed / consulted</w:t>
      </w:r>
    </w:p>
    <w:p w14:paraId="4540BCDA" w14:textId="77777777" w:rsidR="00933570" w:rsidRPr="00BA7B99" w:rsidRDefault="00933570" w:rsidP="00933570">
      <w:pPr>
        <w:autoSpaceDE w:val="0"/>
        <w:autoSpaceDN w:val="0"/>
        <w:adjustRightInd w:val="0"/>
        <w:spacing w:line="240" w:lineRule="atLeast"/>
        <w:ind w:left="2160"/>
        <w:rPr>
          <w:iCs/>
          <w:color w:val="000000"/>
          <w:sz w:val="22"/>
          <w:szCs w:val="22"/>
          <w:lang w:val="en-GB"/>
        </w:rPr>
      </w:pPr>
      <w:r w:rsidRPr="00BA7B99">
        <w:rPr>
          <w:iCs/>
          <w:color w:val="000000"/>
          <w:sz w:val="22"/>
          <w:szCs w:val="22"/>
          <w:lang w:val="en-GB"/>
        </w:rPr>
        <w:t>4. Summary co-finance information and a statement of project expenditure by activity</w:t>
      </w:r>
    </w:p>
    <w:p w14:paraId="5F99C438" w14:textId="77777777" w:rsidR="00933570" w:rsidRPr="00BA7B99" w:rsidRDefault="00933570" w:rsidP="00933570">
      <w:pPr>
        <w:autoSpaceDE w:val="0"/>
        <w:autoSpaceDN w:val="0"/>
        <w:adjustRightInd w:val="0"/>
        <w:spacing w:after="120" w:line="240" w:lineRule="atLeast"/>
        <w:ind w:left="2160"/>
        <w:rPr>
          <w:color w:val="000000"/>
          <w:sz w:val="22"/>
          <w:szCs w:val="22"/>
          <w:lang w:val="en-GB"/>
        </w:rPr>
      </w:pPr>
      <w:r w:rsidRPr="00BA7B99">
        <w:rPr>
          <w:color w:val="000000"/>
          <w:sz w:val="22"/>
          <w:szCs w:val="22"/>
          <w:lang w:val="en-GB"/>
        </w:rPr>
        <w:t>5. The expertise of the evaluation team. (brief CV).</w:t>
      </w:r>
    </w:p>
    <w:p w14:paraId="29098E0F" w14:textId="77777777" w:rsidR="00933570" w:rsidRPr="00BA7B99" w:rsidRDefault="00933570" w:rsidP="00933570">
      <w:pPr>
        <w:ind w:left="1440"/>
        <w:jc w:val="both"/>
        <w:rPr>
          <w:sz w:val="22"/>
          <w:szCs w:val="22"/>
          <w:lang w:val="en-GB"/>
        </w:rPr>
      </w:pPr>
      <w:r w:rsidRPr="00BA7B99">
        <w:rPr>
          <w:sz w:val="22"/>
          <w:szCs w:val="22"/>
          <w:lang w:val="en-GB"/>
        </w:rPr>
        <w:t xml:space="preserve">TE reports will also include any response / comments from the project management team and/or the country focal point regarding the evaluation findings or conclusions as an annex to the report, however, such will be appended to the report by UNEP EOU. </w:t>
      </w:r>
    </w:p>
    <w:p w14:paraId="6E9B96A2" w14:textId="77777777" w:rsidR="00933570" w:rsidRPr="00BA7B99" w:rsidRDefault="00933570" w:rsidP="00933570">
      <w:pPr>
        <w:rPr>
          <w:sz w:val="22"/>
          <w:szCs w:val="22"/>
          <w:lang w:val="en-GB"/>
        </w:rPr>
      </w:pPr>
    </w:p>
    <w:p w14:paraId="61EEC61A" w14:textId="77777777" w:rsidR="00933570" w:rsidRPr="00BA7B99" w:rsidRDefault="00933570" w:rsidP="00933570">
      <w:pPr>
        <w:rPr>
          <w:sz w:val="22"/>
          <w:szCs w:val="22"/>
          <w:lang w:val="en-GB"/>
        </w:rPr>
      </w:pPr>
      <w:r w:rsidRPr="00BA7B99">
        <w:rPr>
          <w:sz w:val="22"/>
          <w:szCs w:val="22"/>
          <w:lang w:val="en-GB"/>
        </w:rPr>
        <w:t xml:space="preserve">Examples of UNEP GEF Terminal Evaluation Reports are available at </w:t>
      </w:r>
      <w:hyperlink r:id="rId17" w:history="1">
        <w:r w:rsidRPr="00BA7B99">
          <w:rPr>
            <w:color w:val="0000FF"/>
            <w:sz w:val="22"/>
            <w:szCs w:val="22"/>
            <w:u w:val="single"/>
            <w:lang w:val="en-GB"/>
          </w:rPr>
          <w:t>www.unep.org/eou</w:t>
        </w:r>
      </w:hyperlink>
    </w:p>
    <w:p w14:paraId="2032BA06" w14:textId="77777777" w:rsidR="00933570" w:rsidRPr="00BA7B99" w:rsidRDefault="00933570" w:rsidP="00933570">
      <w:pPr>
        <w:jc w:val="both"/>
        <w:rPr>
          <w:sz w:val="22"/>
          <w:szCs w:val="22"/>
          <w:lang w:val="en-GB"/>
        </w:rPr>
      </w:pPr>
    </w:p>
    <w:p w14:paraId="55174534" w14:textId="77777777" w:rsidR="00933570" w:rsidRPr="00BA7B99" w:rsidRDefault="00933570" w:rsidP="00933570">
      <w:pPr>
        <w:tabs>
          <w:tab w:val="left" w:pos="0"/>
          <w:tab w:val="left" w:pos="306"/>
          <w:tab w:val="left" w:pos="1326"/>
          <w:tab w:val="left" w:pos="1836"/>
          <w:tab w:val="left" w:pos="2346"/>
          <w:tab w:val="left" w:pos="5160"/>
          <w:tab w:val="left" w:pos="6960"/>
        </w:tabs>
        <w:suppressAutoHyphens/>
        <w:jc w:val="both"/>
        <w:rPr>
          <w:b/>
          <w:sz w:val="22"/>
          <w:szCs w:val="22"/>
          <w:lang w:val="en-GB"/>
        </w:rPr>
      </w:pPr>
      <w:r w:rsidRPr="00BA7B99">
        <w:rPr>
          <w:b/>
          <w:sz w:val="22"/>
          <w:szCs w:val="22"/>
          <w:lang w:val="en-GB"/>
        </w:rPr>
        <w:t>Review of the Draft Evaluation Report</w:t>
      </w:r>
    </w:p>
    <w:p w14:paraId="78C6D19A" w14:textId="77777777" w:rsidR="00933570" w:rsidRPr="00BA7B99" w:rsidRDefault="00933570" w:rsidP="00933570">
      <w:pPr>
        <w:tabs>
          <w:tab w:val="left" w:pos="0"/>
          <w:tab w:val="left" w:pos="306"/>
          <w:tab w:val="left" w:pos="1326"/>
          <w:tab w:val="left" w:pos="1836"/>
          <w:tab w:val="left" w:pos="2346"/>
          <w:tab w:val="left" w:pos="5160"/>
          <w:tab w:val="left" w:pos="6960"/>
        </w:tabs>
        <w:suppressAutoHyphens/>
        <w:jc w:val="both"/>
        <w:rPr>
          <w:sz w:val="22"/>
          <w:szCs w:val="22"/>
          <w:lang w:val="en-GB"/>
        </w:rPr>
      </w:pPr>
      <w:r w:rsidRPr="00BA7B99">
        <w:rPr>
          <w:sz w:val="22"/>
          <w:szCs w:val="22"/>
          <w:lang w:val="en-GB"/>
        </w:rPr>
        <w:t>Draft reports submitted to UNEP EOU are shared with the corresponding Programme or Project Officer and his or her supervisor for initial review and consultation.  The Tasm Manager and senior Executing Agency staff are allowed to comment on the draft evaluation report.  They may provide feedback on any errors of fact and may highlight the significance of such errors in any conclusions.  The consultation also seeks feedback on the proposed recommendations.  UNEP EOU collates all review comments and provides them to the evaluators for their consideration in preparing the final version of the report.</w:t>
      </w:r>
    </w:p>
    <w:p w14:paraId="7E63E87E" w14:textId="77777777" w:rsidR="00933570" w:rsidRPr="00BA7B99" w:rsidRDefault="00933570" w:rsidP="00933570">
      <w:pPr>
        <w:jc w:val="both"/>
        <w:rPr>
          <w:sz w:val="22"/>
          <w:szCs w:val="22"/>
          <w:lang w:val="en-GB"/>
        </w:rPr>
      </w:pPr>
    </w:p>
    <w:p w14:paraId="59DB2B2C" w14:textId="77777777" w:rsidR="00933570" w:rsidRPr="00BA7B99" w:rsidRDefault="00933570" w:rsidP="00E071AC">
      <w:pPr>
        <w:numPr>
          <w:ilvl w:val="0"/>
          <w:numId w:val="40"/>
        </w:numPr>
        <w:tabs>
          <w:tab w:val="left" w:pos="0"/>
          <w:tab w:val="left" w:pos="306"/>
          <w:tab w:val="left" w:pos="1326"/>
          <w:tab w:val="left" w:pos="1836"/>
          <w:tab w:val="left" w:pos="2346"/>
          <w:tab w:val="left" w:pos="5160"/>
          <w:tab w:val="left" w:pos="6960"/>
        </w:tabs>
        <w:suppressAutoHyphens/>
        <w:jc w:val="both"/>
        <w:rPr>
          <w:b/>
          <w:sz w:val="22"/>
          <w:szCs w:val="22"/>
          <w:u w:val="single"/>
          <w:lang w:val="en-GB"/>
        </w:rPr>
      </w:pPr>
      <w:r w:rsidRPr="00BA7B99">
        <w:rPr>
          <w:b/>
          <w:sz w:val="22"/>
          <w:szCs w:val="22"/>
          <w:u w:val="single"/>
          <w:lang w:val="en-GB"/>
        </w:rPr>
        <w:t>Submission of Final Terminal Evaluation Reports.</w:t>
      </w:r>
    </w:p>
    <w:p w14:paraId="48142B7F" w14:textId="77777777" w:rsidR="00933570" w:rsidRPr="00BA7B99" w:rsidRDefault="00933570" w:rsidP="00933570">
      <w:pPr>
        <w:jc w:val="both"/>
        <w:rPr>
          <w:sz w:val="22"/>
          <w:szCs w:val="22"/>
          <w:lang w:val="en-GB"/>
        </w:rPr>
      </w:pPr>
      <w:r w:rsidRPr="00BA7B99">
        <w:rPr>
          <w:sz w:val="22"/>
          <w:szCs w:val="22"/>
          <w:lang w:val="en-GB"/>
        </w:rPr>
        <w:t>The final report shall be submitted in electronic form in MS Word format and should be sent to the following persons:</w:t>
      </w:r>
    </w:p>
    <w:p w14:paraId="48D59249" w14:textId="77777777" w:rsidR="00933570" w:rsidRPr="00BA7B99" w:rsidRDefault="00933570" w:rsidP="00933570">
      <w:pPr>
        <w:ind w:left="1440"/>
        <w:rPr>
          <w:sz w:val="22"/>
          <w:szCs w:val="22"/>
          <w:lang w:val="en-GB"/>
        </w:rPr>
      </w:pPr>
      <w:r w:rsidRPr="00BA7B99">
        <w:rPr>
          <w:b/>
          <w:bCs/>
          <w:sz w:val="22"/>
          <w:szCs w:val="22"/>
        </w:rPr>
        <w:t>Mike Spilsbury D.Phil</w:t>
      </w:r>
      <w:r w:rsidRPr="00BA7B99">
        <w:rPr>
          <w:sz w:val="22"/>
          <w:szCs w:val="22"/>
        </w:rPr>
        <w:br/>
        <w:t>Head, Evaluation Office</w:t>
      </w:r>
      <w:r w:rsidRPr="00BA7B99">
        <w:rPr>
          <w:sz w:val="22"/>
          <w:szCs w:val="22"/>
        </w:rPr>
        <w:br/>
        <w:t xml:space="preserve">United Nations Environment Programme </w:t>
      </w:r>
      <w:r w:rsidRPr="00BA7B99">
        <w:rPr>
          <w:sz w:val="22"/>
          <w:szCs w:val="22"/>
        </w:rPr>
        <w:br/>
        <w:t>NOF Block 2, 3rd Floor, North Wing</w:t>
      </w:r>
      <w:r w:rsidRPr="00BA7B99">
        <w:rPr>
          <w:sz w:val="22"/>
          <w:szCs w:val="22"/>
        </w:rPr>
        <w:br/>
        <w:t xml:space="preserve">P.O. Box 30552-GPO-00100, Nairobi, Kenya </w:t>
      </w:r>
      <w:r w:rsidRPr="00BA7B99">
        <w:rPr>
          <w:sz w:val="22"/>
          <w:szCs w:val="22"/>
        </w:rPr>
        <w:br/>
      </w:r>
      <w:r w:rsidRPr="00BA7B99">
        <w:rPr>
          <w:color w:val="800080"/>
          <w:sz w:val="22"/>
          <w:szCs w:val="22"/>
        </w:rPr>
        <w:t>Tel: 254 20 7625097</w:t>
      </w:r>
      <w:r w:rsidRPr="00BA7B99">
        <w:rPr>
          <w:sz w:val="22"/>
          <w:szCs w:val="22"/>
        </w:rPr>
        <w:t> </w:t>
      </w:r>
      <w:r w:rsidRPr="00BA7B99">
        <w:rPr>
          <w:sz w:val="22"/>
          <w:szCs w:val="22"/>
        </w:rPr>
        <w:br/>
        <w:t xml:space="preserve">Email: </w:t>
      </w:r>
      <w:r w:rsidRPr="00BA7B99">
        <w:rPr>
          <w:color w:val="000080"/>
          <w:sz w:val="22"/>
          <w:szCs w:val="22"/>
        </w:rPr>
        <w:t>Michael.Spilsbury@unep.org</w:t>
      </w:r>
    </w:p>
    <w:p w14:paraId="4459CA9E" w14:textId="77777777" w:rsidR="00933570" w:rsidRPr="00BA7B99" w:rsidRDefault="00933570" w:rsidP="00933570">
      <w:pPr>
        <w:tabs>
          <w:tab w:val="left" w:pos="-306"/>
          <w:tab w:val="left" w:pos="545"/>
          <w:tab w:val="left" w:pos="1394"/>
          <w:tab w:val="left" w:pos="2245"/>
          <w:tab w:val="left" w:pos="3096"/>
        </w:tabs>
        <w:suppressAutoHyphens/>
        <w:jc w:val="both"/>
        <w:rPr>
          <w:spacing w:val="-3"/>
          <w:sz w:val="22"/>
          <w:szCs w:val="22"/>
          <w:lang w:val="en-GB"/>
        </w:rPr>
      </w:pPr>
    </w:p>
    <w:p w14:paraId="43BEEFE8" w14:textId="77777777" w:rsidR="00933570" w:rsidRPr="00BA7B99" w:rsidRDefault="00933570" w:rsidP="00933570">
      <w:pPr>
        <w:tabs>
          <w:tab w:val="left" w:pos="-306"/>
          <w:tab w:val="left" w:pos="1440"/>
        </w:tabs>
        <w:suppressAutoHyphens/>
        <w:jc w:val="both"/>
        <w:rPr>
          <w:spacing w:val="-3"/>
          <w:sz w:val="22"/>
          <w:szCs w:val="22"/>
          <w:lang w:val="en-GB"/>
        </w:rPr>
      </w:pPr>
      <w:r w:rsidRPr="00BA7B99">
        <w:rPr>
          <w:spacing w:val="-3"/>
          <w:sz w:val="22"/>
          <w:szCs w:val="22"/>
          <w:lang w:val="en-GB"/>
        </w:rPr>
        <w:t>With a copy to:</w:t>
      </w:r>
    </w:p>
    <w:p w14:paraId="0F066F53" w14:textId="77777777" w:rsidR="00933570" w:rsidRPr="00BA7B99" w:rsidRDefault="00933570" w:rsidP="00933570">
      <w:pPr>
        <w:ind w:left="1440"/>
        <w:rPr>
          <w:sz w:val="22"/>
          <w:szCs w:val="22"/>
        </w:rPr>
      </w:pPr>
      <w:r w:rsidRPr="00BA7B99">
        <w:rPr>
          <w:sz w:val="22"/>
          <w:szCs w:val="22"/>
        </w:rPr>
        <w:t xml:space="preserve">Brennan Van Dyke </w:t>
      </w:r>
      <w:r w:rsidRPr="00BA7B99">
        <w:rPr>
          <w:sz w:val="22"/>
          <w:szCs w:val="22"/>
        </w:rPr>
        <w:br/>
        <w:t xml:space="preserve">Deputy Director, Office for Operations </w:t>
      </w:r>
      <w:r w:rsidRPr="00BA7B99">
        <w:rPr>
          <w:sz w:val="22"/>
          <w:szCs w:val="22"/>
        </w:rPr>
        <w:br/>
        <w:t xml:space="preserve">Director, Donor Partnerships, GEF Coordination and Contributions </w:t>
      </w:r>
      <w:r w:rsidRPr="00BA7B99">
        <w:rPr>
          <w:sz w:val="22"/>
          <w:szCs w:val="22"/>
        </w:rPr>
        <w:br/>
        <w:t>Email: vandyke@un.org</w:t>
      </w:r>
    </w:p>
    <w:p w14:paraId="04E9870B" w14:textId="77777777" w:rsidR="00933570" w:rsidRPr="00BA7B99" w:rsidRDefault="00933570" w:rsidP="00933570">
      <w:pPr>
        <w:jc w:val="both"/>
        <w:rPr>
          <w:spacing w:val="-3"/>
          <w:sz w:val="22"/>
          <w:szCs w:val="22"/>
          <w:lang w:val="en-GB"/>
        </w:rPr>
      </w:pPr>
    </w:p>
    <w:p w14:paraId="0DEE53D7" w14:textId="77777777" w:rsidR="00933570" w:rsidRPr="00BA7B99" w:rsidRDefault="00933570" w:rsidP="00933570">
      <w:pPr>
        <w:ind w:left="1440"/>
        <w:rPr>
          <w:color w:val="000000"/>
          <w:sz w:val="22"/>
          <w:szCs w:val="22"/>
          <w:lang w:bidi="th-TH"/>
        </w:rPr>
      </w:pPr>
      <w:r w:rsidRPr="00BA7B99">
        <w:rPr>
          <w:color w:val="000000"/>
          <w:sz w:val="22"/>
          <w:szCs w:val="22"/>
          <w:lang w:bidi="th-TH"/>
        </w:rPr>
        <w:t>Isabelle Van der Beck</w:t>
      </w:r>
    </w:p>
    <w:p w14:paraId="0B132458" w14:textId="77777777" w:rsidR="00933570" w:rsidRPr="00BA7B99" w:rsidRDefault="00933570" w:rsidP="00933570">
      <w:pPr>
        <w:ind w:left="1440"/>
        <w:rPr>
          <w:color w:val="000000"/>
          <w:sz w:val="22"/>
          <w:szCs w:val="22"/>
          <w:lang w:bidi="th-TH"/>
        </w:rPr>
      </w:pPr>
      <w:r w:rsidRPr="00BA7B99">
        <w:rPr>
          <w:color w:val="000000"/>
          <w:sz w:val="22"/>
          <w:szCs w:val="22"/>
          <w:lang w:bidi="th-TH"/>
        </w:rPr>
        <w:t>UNEP GEF IW Portfolio Manager</w:t>
      </w:r>
    </w:p>
    <w:p w14:paraId="7865F126" w14:textId="77777777" w:rsidR="00933570" w:rsidRPr="00BA7B99" w:rsidRDefault="00933570" w:rsidP="00933570">
      <w:pPr>
        <w:ind w:left="1440"/>
        <w:rPr>
          <w:color w:val="000000"/>
          <w:sz w:val="22"/>
          <w:szCs w:val="22"/>
          <w:lang w:bidi="th-TH"/>
        </w:rPr>
      </w:pPr>
      <w:r w:rsidRPr="00BA7B99">
        <w:rPr>
          <w:color w:val="000000"/>
          <w:sz w:val="22"/>
          <w:szCs w:val="22"/>
          <w:lang w:bidi="th-TH"/>
        </w:rPr>
        <w:t>DEPI</w:t>
      </w:r>
    </w:p>
    <w:p w14:paraId="79E12CF2" w14:textId="77777777" w:rsidR="00933570" w:rsidRPr="00BA7B99" w:rsidRDefault="00933570" w:rsidP="00933570">
      <w:pPr>
        <w:ind w:left="1440"/>
        <w:rPr>
          <w:color w:val="000000"/>
          <w:sz w:val="22"/>
          <w:szCs w:val="22"/>
          <w:lang w:bidi="th-TH"/>
        </w:rPr>
      </w:pPr>
      <w:r w:rsidRPr="00BA7B99">
        <w:rPr>
          <w:color w:val="000000"/>
          <w:sz w:val="22"/>
          <w:szCs w:val="22"/>
          <w:lang w:bidi="th-TH"/>
        </w:rPr>
        <w:t>900, 17th Street, N.W.</w:t>
      </w:r>
    </w:p>
    <w:p w14:paraId="4E8640B7" w14:textId="77777777" w:rsidR="00933570" w:rsidRPr="00B62FD7" w:rsidRDefault="00933570" w:rsidP="00933570">
      <w:pPr>
        <w:ind w:left="1440"/>
        <w:rPr>
          <w:color w:val="000000"/>
          <w:sz w:val="22"/>
          <w:szCs w:val="22"/>
          <w:lang w:val="es-AR" w:bidi="th-TH"/>
        </w:rPr>
      </w:pPr>
      <w:r w:rsidRPr="00B62FD7">
        <w:rPr>
          <w:color w:val="000000"/>
          <w:sz w:val="22"/>
          <w:szCs w:val="22"/>
          <w:lang w:val="es-AR" w:bidi="th-TH"/>
        </w:rPr>
        <w:t>Washington, D.C. - 20006 - USA</w:t>
      </w:r>
    </w:p>
    <w:p w14:paraId="0F6D8F9D" w14:textId="77777777" w:rsidR="00933570" w:rsidRPr="00B62FD7" w:rsidRDefault="00933570" w:rsidP="00933570">
      <w:pPr>
        <w:ind w:left="1440"/>
        <w:rPr>
          <w:color w:val="000000"/>
          <w:sz w:val="22"/>
          <w:szCs w:val="22"/>
          <w:lang w:val="es-AR" w:bidi="th-TH"/>
        </w:rPr>
      </w:pPr>
      <w:r w:rsidRPr="00B62FD7">
        <w:rPr>
          <w:color w:val="000000"/>
          <w:sz w:val="22"/>
          <w:szCs w:val="22"/>
          <w:lang w:val="es-AR" w:bidi="th-TH"/>
        </w:rPr>
        <w:t>Tel: +1-202-974-1314</w:t>
      </w:r>
    </w:p>
    <w:p w14:paraId="792B396C" w14:textId="77777777" w:rsidR="00933570" w:rsidRPr="00BA7B99" w:rsidRDefault="00933570" w:rsidP="00933570">
      <w:pPr>
        <w:ind w:left="720" w:firstLine="720"/>
        <w:jc w:val="both"/>
        <w:rPr>
          <w:sz w:val="22"/>
          <w:szCs w:val="22"/>
          <w:lang w:val="en-GB"/>
        </w:rPr>
      </w:pPr>
      <w:r w:rsidRPr="00BA7B99">
        <w:rPr>
          <w:color w:val="000000"/>
          <w:sz w:val="22"/>
          <w:szCs w:val="22"/>
        </w:rPr>
        <w:t xml:space="preserve">Email 1: </w:t>
      </w:r>
      <w:hyperlink r:id="rId18" w:history="1">
        <w:r w:rsidRPr="00BA7B99">
          <w:rPr>
            <w:color w:val="0000FF"/>
            <w:sz w:val="22"/>
            <w:szCs w:val="22"/>
            <w:u w:val="single"/>
          </w:rPr>
          <w:t>isabelle.vanderbeck@unep.org</w:t>
        </w:r>
      </w:hyperlink>
    </w:p>
    <w:p w14:paraId="0A46D7B4" w14:textId="77777777" w:rsidR="00933570" w:rsidRPr="00BA7B99" w:rsidRDefault="00933570" w:rsidP="00933570">
      <w:pPr>
        <w:jc w:val="both"/>
        <w:rPr>
          <w:sz w:val="22"/>
          <w:szCs w:val="22"/>
          <w:lang w:val="en-GB"/>
        </w:rPr>
      </w:pPr>
    </w:p>
    <w:p w14:paraId="5ACDC46B" w14:textId="77777777" w:rsidR="00933570" w:rsidRPr="00BA7B99" w:rsidRDefault="00933570" w:rsidP="00933570">
      <w:pPr>
        <w:jc w:val="both"/>
        <w:rPr>
          <w:sz w:val="22"/>
          <w:szCs w:val="22"/>
          <w:lang w:val="en-GB"/>
        </w:rPr>
      </w:pPr>
      <w:r w:rsidRPr="00BA7B99">
        <w:rPr>
          <w:sz w:val="22"/>
          <w:szCs w:val="22"/>
          <w:lang w:val="en-GB"/>
        </w:rPr>
        <w:t>The Final evaluation will also be copied to the following GEF National Focal Points.</w:t>
      </w:r>
    </w:p>
    <w:p w14:paraId="22F52745" w14:textId="77777777" w:rsidR="00933570" w:rsidRPr="00BA7B99" w:rsidRDefault="00933570" w:rsidP="00933570">
      <w:pPr>
        <w:jc w:val="both"/>
        <w:rPr>
          <w:sz w:val="22"/>
          <w:szCs w:val="22"/>
          <w:lang w:val="en-GB"/>
        </w:rPr>
      </w:pPr>
    </w:p>
    <w:p w14:paraId="31F05936" w14:textId="77777777" w:rsidR="009C7884" w:rsidRPr="009C7884" w:rsidRDefault="009C7884" w:rsidP="009C7884">
      <w:pPr>
        <w:ind w:left="1440"/>
        <w:rPr>
          <w:b/>
          <w:color w:val="000000"/>
          <w:sz w:val="22"/>
          <w:szCs w:val="22"/>
          <w:shd w:val="clear" w:color="auto" w:fill="F5F5EC"/>
        </w:rPr>
      </w:pPr>
      <w:r w:rsidRPr="009C7884">
        <w:rPr>
          <w:b/>
          <w:color w:val="000000"/>
          <w:sz w:val="22"/>
          <w:szCs w:val="22"/>
          <w:shd w:val="clear" w:color="auto" w:fill="F5F5EC"/>
        </w:rPr>
        <w:t>Mr. Yingming YANG</w:t>
      </w:r>
    </w:p>
    <w:p w14:paraId="6C9B299B" w14:textId="77777777" w:rsidR="009C7884" w:rsidRPr="009C7884" w:rsidRDefault="009C7884" w:rsidP="009C7884">
      <w:pPr>
        <w:ind w:left="1440"/>
        <w:rPr>
          <w:b/>
          <w:color w:val="000000"/>
          <w:sz w:val="22"/>
          <w:szCs w:val="22"/>
          <w:shd w:val="clear" w:color="auto" w:fill="F5F5EC"/>
        </w:rPr>
      </w:pPr>
      <w:r w:rsidRPr="009C7884">
        <w:rPr>
          <w:b/>
          <w:color w:val="000000"/>
          <w:sz w:val="22"/>
          <w:szCs w:val="22"/>
          <w:shd w:val="clear" w:color="auto" w:fill="F5F5EC"/>
        </w:rPr>
        <w:t>Council Member for the constituency of China since 2014-10-15, Donor Participants (Repl</w:t>
      </w:r>
      <w:r w:rsidR="00865C2B">
        <w:rPr>
          <w:b/>
          <w:color w:val="000000"/>
          <w:sz w:val="22"/>
          <w:szCs w:val="22"/>
          <w:shd w:val="clear" w:color="auto" w:fill="F5F5EC"/>
        </w:rPr>
        <w:t>e</w:t>
      </w:r>
      <w:r w:rsidRPr="009C7884">
        <w:rPr>
          <w:b/>
          <w:color w:val="000000"/>
          <w:sz w:val="22"/>
          <w:szCs w:val="22"/>
          <w:shd w:val="clear" w:color="auto" w:fill="F5F5EC"/>
        </w:rPr>
        <w:t>nishment)</w:t>
      </w:r>
    </w:p>
    <w:p w14:paraId="179819F8" w14:textId="77777777" w:rsidR="009C7884" w:rsidRPr="009C7884" w:rsidRDefault="009C7884" w:rsidP="009C7884">
      <w:pPr>
        <w:ind w:left="1440"/>
        <w:rPr>
          <w:b/>
          <w:color w:val="000000"/>
          <w:sz w:val="22"/>
          <w:szCs w:val="22"/>
          <w:shd w:val="clear" w:color="auto" w:fill="F5F5EC"/>
        </w:rPr>
      </w:pPr>
      <w:r w:rsidRPr="009C7884">
        <w:rPr>
          <w:b/>
          <w:color w:val="000000"/>
          <w:sz w:val="22"/>
          <w:szCs w:val="22"/>
          <w:shd w:val="clear" w:color="auto" w:fill="F5F5EC"/>
        </w:rPr>
        <w:t>Deputy Director-General, International Financial Cooperation Department</w:t>
      </w:r>
    </w:p>
    <w:p w14:paraId="4128FFE8" w14:textId="77777777" w:rsidR="009C7884" w:rsidRPr="009C7884" w:rsidRDefault="009C7884" w:rsidP="009C7884">
      <w:pPr>
        <w:ind w:left="1440"/>
        <w:rPr>
          <w:b/>
          <w:color w:val="000000"/>
          <w:sz w:val="22"/>
          <w:szCs w:val="22"/>
          <w:shd w:val="clear" w:color="auto" w:fill="F5F5EC"/>
        </w:rPr>
      </w:pPr>
      <w:r w:rsidRPr="009C7884">
        <w:rPr>
          <w:b/>
          <w:color w:val="000000"/>
          <w:sz w:val="22"/>
          <w:szCs w:val="22"/>
          <w:shd w:val="clear" w:color="auto" w:fill="F5F5EC"/>
        </w:rPr>
        <w:t>Ministry of Finance</w:t>
      </w:r>
    </w:p>
    <w:p w14:paraId="5CEE45B1" w14:textId="77777777" w:rsidR="009C7884" w:rsidRPr="009C7884" w:rsidRDefault="009C7884" w:rsidP="009C7884">
      <w:pPr>
        <w:ind w:left="1440"/>
        <w:rPr>
          <w:b/>
          <w:color w:val="000000"/>
          <w:sz w:val="22"/>
          <w:szCs w:val="22"/>
          <w:shd w:val="clear" w:color="auto" w:fill="F5F5EC"/>
        </w:rPr>
      </w:pPr>
      <w:r w:rsidRPr="009C7884">
        <w:rPr>
          <w:b/>
          <w:color w:val="000000"/>
          <w:sz w:val="22"/>
          <w:szCs w:val="22"/>
          <w:shd w:val="clear" w:color="auto" w:fill="F5F5EC"/>
        </w:rPr>
        <w:t>Sanlihe Xicheng District</w:t>
      </w:r>
    </w:p>
    <w:p w14:paraId="3BF46C0C" w14:textId="77777777" w:rsidR="009C7884" w:rsidRPr="009C7884" w:rsidRDefault="009C7884" w:rsidP="009C7884">
      <w:pPr>
        <w:ind w:left="1440"/>
        <w:rPr>
          <w:b/>
          <w:color w:val="000000"/>
          <w:sz w:val="22"/>
          <w:szCs w:val="22"/>
          <w:shd w:val="clear" w:color="auto" w:fill="F5F5EC"/>
        </w:rPr>
      </w:pPr>
      <w:r w:rsidRPr="009C7884">
        <w:rPr>
          <w:b/>
          <w:color w:val="000000"/>
          <w:sz w:val="22"/>
          <w:szCs w:val="22"/>
          <w:shd w:val="clear" w:color="auto" w:fill="F5F5EC"/>
        </w:rPr>
        <w:t>Beijing, 100820</w:t>
      </w:r>
    </w:p>
    <w:p w14:paraId="2AE1CC8C" w14:textId="77777777" w:rsidR="009C7884" w:rsidRPr="009C7884" w:rsidRDefault="009C7884" w:rsidP="009C7884">
      <w:pPr>
        <w:ind w:left="1440"/>
        <w:rPr>
          <w:b/>
          <w:color w:val="000000"/>
          <w:sz w:val="22"/>
          <w:szCs w:val="22"/>
          <w:shd w:val="clear" w:color="auto" w:fill="F5F5EC"/>
        </w:rPr>
      </w:pPr>
      <w:r w:rsidRPr="009C7884">
        <w:rPr>
          <w:b/>
          <w:color w:val="000000"/>
          <w:sz w:val="22"/>
          <w:szCs w:val="22"/>
          <w:shd w:val="clear" w:color="auto" w:fill="F5F5EC"/>
        </w:rPr>
        <w:t>China</w:t>
      </w:r>
    </w:p>
    <w:p w14:paraId="3370D593" w14:textId="77777777" w:rsidR="009C7884" w:rsidRPr="009C7884" w:rsidRDefault="009C7884" w:rsidP="009C7884">
      <w:pPr>
        <w:ind w:left="1440"/>
        <w:rPr>
          <w:b/>
          <w:color w:val="000000"/>
          <w:sz w:val="22"/>
          <w:szCs w:val="22"/>
          <w:shd w:val="clear" w:color="auto" w:fill="F5F5EC"/>
        </w:rPr>
      </w:pPr>
      <w:r w:rsidRPr="009C7884">
        <w:rPr>
          <w:b/>
          <w:color w:val="000000"/>
          <w:sz w:val="22"/>
          <w:szCs w:val="22"/>
          <w:shd w:val="clear" w:color="auto" w:fill="F5F5EC"/>
        </w:rPr>
        <w:t>Tel:+ 86 10 6855 2097</w:t>
      </w:r>
    </w:p>
    <w:p w14:paraId="0ABE4385" w14:textId="77777777" w:rsidR="009C7884" w:rsidRPr="009C7884" w:rsidRDefault="009C7884" w:rsidP="009C7884">
      <w:pPr>
        <w:ind w:left="1440"/>
        <w:rPr>
          <w:b/>
          <w:color w:val="000000"/>
          <w:sz w:val="22"/>
          <w:szCs w:val="22"/>
          <w:shd w:val="clear" w:color="auto" w:fill="F5F5EC"/>
        </w:rPr>
      </w:pPr>
      <w:r w:rsidRPr="009C7884">
        <w:rPr>
          <w:b/>
          <w:color w:val="000000"/>
          <w:sz w:val="22"/>
          <w:szCs w:val="22"/>
          <w:shd w:val="clear" w:color="auto" w:fill="F5F5EC"/>
        </w:rPr>
        <w:t>Fax:011 86 10 6855 3101</w:t>
      </w:r>
    </w:p>
    <w:p w14:paraId="4030F3FF" w14:textId="77777777" w:rsidR="009C7884" w:rsidRDefault="009C7884" w:rsidP="009C7884">
      <w:pPr>
        <w:ind w:left="1440"/>
        <w:rPr>
          <w:b/>
          <w:color w:val="000000"/>
          <w:sz w:val="22"/>
          <w:szCs w:val="22"/>
          <w:shd w:val="clear" w:color="auto" w:fill="F5F5EC"/>
        </w:rPr>
      </w:pPr>
      <w:r w:rsidRPr="009C7884">
        <w:rPr>
          <w:b/>
          <w:color w:val="000000"/>
          <w:sz w:val="22"/>
          <w:szCs w:val="22"/>
          <w:shd w:val="clear" w:color="auto" w:fill="F5F5EC"/>
        </w:rPr>
        <w:t>Email:yingmingyang2002@yahoo.com, yangyingminggef@163.com</w:t>
      </w:r>
    </w:p>
    <w:p w14:paraId="310D5DB2" w14:textId="77777777" w:rsidR="009C7884" w:rsidRDefault="009C7884" w:rsidP="00933570">
      <w:pPr>
        <w:ind w:left="1440"/>
        <w:rPr>
          <w:b/>
          <w:color w:val="000000"/>
          <w:sz w:val="22"/>
          <w:szCs w:val="22"/>
          <w:shd w:val="clear" w:color="auto" w:fill="F5F5EC"/>
        </w:rPr>
      </w:pPr>
    </w:p>
    <w:p w14:paraId="68D04A42" w14:textId="77777777" w:rsidR="00933570" w:rsidRPr="00BA7B99" w:rsidRDefault="00933570" w:rsidP="00933570">
      <w:pPr>
        <w:ind w:left="1440"/>
        <w:rPr>
          <w:b/>
          <w:color w:val="000000"/>
          <w:sz w:val="22"/>
          <w:szCs w:val="22"/>
          <w:shd w:val="clear" w:color="auto" w:fill="F5F5EC"/>
        </w:rPr>
      </w:pPr>
      <w:r w:rsidRPr="00BA7B99">
        <w:rPr>
          <w:b/>
          <w:color w:val="000000"/>
          <w:sz w:val="22"/>
          <w:szCs w:val="22"/>
          <w:shd w:val="clear" w:color="auto" w:fill="F5F5EC"/>
        </w:rPr>
        <w:t>Cambodia</w:t>
      </w:r>
    </w:p>
    <w:p w14:paraId="19BDA297" w14:textId="77777777" w:rsidR="00933570" w:rsidRPr="00BA7B99" w:rsidRDefault="00933570" w:rsidP="00933570">
      <w:pPr>
        <w:ind w:left="1440"/>
        <w:rPr>
          <w:color w:val="000000"/>
          <w:sz w:val="22"/>
          <w:szCs w:val="22"/>
          <w:shd w:val="clear" w:color="auto" w:fill="F5F5EC"/>
        </w:rPr>
      </w:pPr>
      <w:r w:rsidRPr="00BA7B99">
        <w:rPr>
          <w:b/>
          <w:bCs/>
          <w:color w:val="000000"/>
          <w:sz w:val="22"/>
          <w:szCs w:val="22"/>
          <w:shd w:val="clear" w:color="auto" w:fill="F5F5EC"/>
        </w:rPr>
        <w:t>Mr. Lonh HEAL</w:t>
      </w:r>
      <w:r w:rsidRPr="00BA7B99">
        <w:rPr>
          <w:color w:val="000000"/>
          <w:sz w:val="22"/>
          <w:szCs w:val="22"/>
        </w:rPr>
        <w:br/>
      </w:r>
      <w:r w:rsidRPr="00BA7B99">
        <w:rPr>
          <w:color w:val="000000"/>
          <w:sz w:val="22"/>
          <w:szCs w:val="22"/>
          <w:shd w:val="clear" w:color="auto" w:fill="F5F5EC"/>
        </w:rPr>
        <w:t>Operational Focal Point since 2005-01-14</w:t>
      </w:r>
      <w:r w:rsidRPr="00BA7B99">
        <w:rPr>
          <w:color w:val="000000"/>
          <w:sz w:val="22"/>
          <w:szCs w:val="22"/>
        </w:rPr>
        <w:br/>
      </w:r>
      <w:r w:rsidRPr="00BA7B99">
        <w:rPr>
          <w:color w:val="000000"/>
          <w:sz w:val="22"/>
          <w:szCs w:val="22"/>
          <w:shd w:val="clear" w:color="auto" w:fill="F5F5EC"/>
        </w:rPr>
        <w:t>Technical Director General</w:t>
      </w:r>
      <w:r w:rsidRPr="00BA7B99">
        <w:rPr>
          <w:color w:val="000000"/>
          <w:sz w:val="22"/>
          <w:szCs w:val="22"/>
        </w:rPr>
        <w:br/>
      </w:r>
      <w:r w:rsidRPr="00BA7B99">
        <w:rPr>
          <w:color w:val="000000"/>
          <w:sz w:val="22"/>
          <w:szCs w:val="22"/>
          <w:shd w:val="clear" w:color="auto" w:fill="F5F5EC"/>
        </w:rPr>
        <w:t>Ministry of Environment</w:t>
      </w:r>
      <w:r w:rsidRPr="00BA7B99">
        <w:rPr>
          <w:color w:val="000000"/>
          <w:sz w:val="22"/>
          <w:szCs w:val="22"/>
        </w:rPr>
        <w:br/>
      </w:r>
      <w:r w:rsidRPr="00BA7B99">
        <w:rPr>
          <w:color w:val="000000"/>
          <w:sz w:val="22"/>
          <w:szCs w:val="22"/>
          <w:shd w:val="clear" w:color="auto" w:fill="F5F5EC"/>
        </w:rPr>
        <w:t>48 Samdech Preah Sihanouk Tonle Bassac Chamkarmon</w:t>
      </w:r>
      <w:r w:rsidRPr="00BA7B99">
        <w:rPr>
          <w:color w:val="000000"/>
          <w:sz w:val="22"/>
          <w:szCs w:val="22"/>
        </w:rPr>
        <w:br/>
      </w:r>
      <w:r w:rsidRPr="00BA7B99">
        <w:rPr>
          <w:color w:val="000000"/>
          <w:sz w:val="22"/>
          <w:szCs w:val="22"/>
          <w:shd w:val="clear" w:color="auto" w:fill="F5F5EC"/>
        </w:rPr>
        <w:t>Phnom Penh, </w:t>
      </w:r>
      <w:r w:rsidRPr="00BA7B99">
        <w:rPr>
          <w:color w:val="000000"/>
          <w:sz w:val="22"/>
          <w:szCs w:val="22"/>
        </w:rPr>
        <w:br/>
      </w:r>
      <w:r w:rsidRPr="00BA7B99">
        <w:rPr>
          <w:color w:val="000000"/>
          <w:sz w:val="22"/>
          <w:szCs w:val="22"/>
          <w:shd w:val="clear" w:color="auto" w:fill="F5F5EC"/>
        </w:rPr>
        <w:t>Cambodia</w:t>
      </w:r>
      <w:r w:rsidRPr="00BA7B99">
        <w:rPr>
          <w:color w:val="000000"/>
          <w:sz w:val="22"/>
          <w:szCs w:val="22"/>
        </w:rPr>
        <w:br/>
      </w:r>
      <w:r w:rsidRPr="00BA7B99">
        <w:rPr>
          <w:color w:val="000000"/>
          <w:sz w:val="22"/>
          <w:szCs w:val="22"/>
          <w:shd w:val="clear" w:color="auto" w:fill="F5F5EC"/>
        </w:rPr>
        <w:t>Tel:+ 855 12 923 526/ 011 855 129 27001</w:t>
      </w:r>
      <w:r w:rsidRPr="00BA7B99">
        <w:rPr>
          <w:color w:val="000000"/>
          <w:sz w:val="22"/>
          <w:szCs w:val="22"/>
        </w:rPr>
        <w:br/>
      </w:r>
      <w:r w:rsidRPr="00BA7B99">
        <w:rPr>
          <w:color w:val="000000"/>
          <w:sz w:val="22"/>
          <w:szCs w:val="22"/>
          <w:shd w:val="clear" w:color="auto" w:fill="F5F5EC"/>
        </w:rPr>
        <w:t>Fax:011 855 23 987 880</w:t>
      </w:r>
      <w:r w:rsidRPr="00BA7B99">
        <w:rPr>
          <w:color w:val="000000"/>
          <w:sz w:val="22"/>
          <w:szCs w:val="22"/>
        </w:rPr>
        <w:br/>
      </w:r>
      <w:r w:rsidRPr="00BA7B99">
        <w:rPr>
          <w:color w:val="000000"/>
          <w:sz w:val="22"/>
          <w:szCs w:val="22"/>
          <w:shd w:val="clear" w:color="auto" w:fill="F5F5EC"/>
        </w:rPr>
        <w:t>Email:heal_lonhmoe@yahoo.com</w:t>
      </w:r>
    </w:p>
    <w:p w14:paraId="1B1341D1" w14:textId="77777777" w:rsidR="00933570" w:rsidRPr="00BA7B99" w:rsidRDefault="00933570" w:rsidP="00933570">
      <w:pPr>
        <w:ind w:left="1440"/>
        <w:rPr>
          <w:b/>
          <w:bCs/>
          <w:color w:val="000000"/>
          <w:sz w:val="22"/>
          <w:szCs w:val="22"/>
          <w:shd w:val="clear" w:color="auto" w:fill="F5F5EC"/>
        </w:rPr>
      </w:pPr>
    </w:p>
    <w:p w14:paraId="4CD0A2ED" w14:textId="77777777" w:rsidR="00933570" w:rsidRPr="00BA7B99" w:rsidRDefault="00933570" w:rsidP="00933570">
      <w:pPr>
        <w:ind w:left="1440"/>
        <w:rPr>
          <w:b/>
          <w:bCs/>
          <w:color w:val="000000"/>
          <w:sz w:val="22"/>
          <w:szCs w:val="22"/>
          <w:shd w:val="clear" w:color="auto" w:fill="F5F5EC"/>
        </w:rPr>
      </w:pPr>
      <w:r w:rsidRPr="00BA7B99">
        <w:rPr>
          <w:b/>
          <w:bCs/>
          <w:color w:val="000000"/>
          <w:sz w:val="22"/>
          <w:szCs w:val="22"/>
          <w:shd w:val="clear" w:color="auto" w:fill="F5F5EC"/>
        </w:rPr>
        <w:t>Indonesia</w:t>
      </w:r>
    </w:p>
    <w:p w14:paraId="7B073A2E" w14:textId="77777777" w:rsidR="001D35FF" w:rsidRDefault="00933570" w:rsidP="00933570">
      <w:pPr>
        <w:ind w:left="1440"/>
        <w:rPr>
          <w:color w:val="000000"/>
          <w:sz w:val="22"/>
          <w:szCs w:val="22"/>
          <w:shd w:val="clear" w:color="auto" w:fill="F5F5EC"/>
        </w:rPr>
      </w:pPr>
      <w:r w:rsidRPr="00BA7B99">
        <w:rPr>
          <w:b/>
          <w:bCs/>
          <w:color w:val="000000"/>
          <w:sz w:val="22"/>
          <w:szCs w:val="22"/>
          <w:shd w:val="clear" w:color="auto" w:fill="F5F5EC"/>
        </w:rPr>
        <w:t xml:space="preserve">Ms. </w:t>
      </w:r>
      <w:r w:rsidR="005179BF">
        <w:rPr>
          <w:b/>
          <w:bCs/>
          <w:color w:val="000000"/>
          <w:sz w:val="22"/>
          <w:szCs w:val="22"/>
          <w:shd w:val="clear" w:color="auto" w:fill="F5F5EC"/>
        </w:rPr>
        <w:t>LaksmiDewanti</w:t>
      </w:r>
      <w:r w:rsidRPr="00BA7B99">
        <w:rPr>
          <w:color w:val="000000"/>
          <w:sz w:val="22"/>
          <w:szCs w:val="22"/>
        </w:rPr>
        <w:br/>
      </w:r>
      <w:r w:rsidRPr="00BA7B99">
        <w:rPr>
          <w:color w:val="000000"/>
          <w:sz w:val="22"/>
          <w:szCs w:val="22"/>
          <w:shd w:val="clear" w:color="auto" w:fill="F5F5EC"/>
        </w:rPr>
        <w:t>Operational Focal Point</w:t>
      </w:r>
      <w:r w:rsidRPr="00BA7B99">
        <w:rPr>
          <w:color w:val="000000"/>
          <w:sz w:val="22"/>
          <w:szCs w:val="22"/>
        </w:rPr>
        <w:br/>
      </w:r>
      <w:r w:rsidRPr="00BA7B99">
        <w:rPr>
          <w:color w:val="000000"/>
          <w:sz w:val="22"/>
          <w:szCs w:val="22"/>
          <w:shd w:val="clear" w:color="auto" w:fill="F5F5EC"/>
        </w:rPr>
        <w:t>Senior Advisor to the Minist</w:t>
      </w:r>
      <w:r w:rsidR="005179BF">
        <w:rPr>
          <w:color w:val="000000"/>
          <w:sz w:val="22"/>
          <w:szCs w:val="22"/>
          <w:shd w:val="clear" w:color="auto" w:fill="F5F5EC"/>
        </w:rPr>
        <w:t>ry</w:t>
      </w:r>
      <w:r w:rsidRPr="00BA7B99">
        <w:rPr>
          <w:color w:val="000000"/>
          <w:sz w:val="22"/>
          <w:szCs w:val="22"/>
          <w:shd w:val="clear" w:color="auto" w:fill="F5F5EC"/>
        </w:rPr>
        <w:t xml:space="preserve"> on </w:t>
      </w:r>
      <w:r w:rsidR="005179BF">
        <w:rPr>
          <w:color w:val="000000"/>
          <w:sz w:val="22"/>
          <w:szCs w:val="22"/>
          <w:shd w:val="clear" w:color="auto" w:fill="F5F5EC"/>
        </w:rPr>
        <w:t>Industry and Trade</w:t>
      </w:r>
      <w:r w:rsidRPr="00BA7B99">
        <w:rPr>
          <w:color w:val="000000"/>
          <w:sz w:val="22"/>
          <w:szCs w:val="22"/>
        </w:rPr>
        <w:br/>
      </w:r>
      <w:r w:rsidR="001D35FF">
        <w:rPr>
          <w:color w:val="000000"/>
          <w:sz w:val="22"/>
          <w:szCs w:val="22"/>
          <w:shd w:val="clear" w:color="auto" w:fill="F5F5EC"/>
        </w:rPr>
        <w:t>ManggalaWanabakti</w:t>
      </w:r>
    </w:p>
    <w:p w14:paraId="5F4FFFFA" w14:textId="77777777" w:rsidR="001D35FF" w:rsidRDefault="001D35FF" w:rsidP="00933570">
      <w:pPr>
        <w:ind w:left="1440"/>
        <w:rPr>
          <w:color w:val="000000"/>
          <w:sz w:val="22"/>
          <w:szCs w:val="22"/>
          <w:shd w:val="clear" w:color="auto" w:fill="F5F5EC"/>
        </w:rPr>
      </w:pPr>
      <w:r>
        <w:rPr>
          <w:color w:val="000000"/>
          <w:sz w:val="22"/>
          <w:szCs w:val="22"/>
          <w:shd w:val="clear" w:color="auto" w:fill="F5F5EC"/>
        </w:rPr>
        <w:t>Blok 1 Fl.3</w:t>
      </w:r>
    </w:p>
    <w:p w14:paraId="1B1C1109" w14:textId="77777777" w:rsidR="001D35FF" w:rsidRDefault="001D35FF" w:rsidP="00933570">
      <w:pPr>
        <w:ind w:left="1440"/>
        <w:rPr>
          <w:color w:val="000000"/>
          <w:sz w:val="22"/>
          <w:szCs w:val="22"/>
          <w:shd w:val="clear" w:color="auto" w:fill="F5F5EC"/>
        </w:rPr>
      </w:pPr>
      <w:r>
        <w:rPr>
          <w:color w:val="000000"/>
          <w:sz w:val="22"/>
          <w:szCs w:val="22"/>
          <w:shd w:val="clear" w:color="auto" w:fill="F5F5EC"/>
        </w:rPr>
        <w:t>Jl. GatotSubroto</w:t>
      </w:r>
    </w:p>
    <w:p w14:paraId="1EC6395F" w14:textId="77777777" w:rsidR="00933570" w:rsidRPr="00BA7B99" w:rsidRDefault="001D35FF" w:rsidP="00933570">
      <w:pPr>
        <w:ind w:left="1440"/>
        <w:rPr>
          <w:color w:val="000000"/>
          <w:sz w:val="22"/>
          <w:szCs w:val="22"/>
          <w:shd w:val="clear" w:color="auto" w:fill="F5F5EC"/>
        </w:rPr>
      </w:pPr>
      <w:r>
        <w:rPr>
          <w:color w:val="000000"/>
          <w:sz w:val="22"/>
          <w:szCs w:val="22"/>
          <w:shd w:val="clear" w:color="auto" w:fill="F5F5EC"/>
        </w:rPr>
        <w:t>Senayan, Jakarta Pusat</w:t>
      </w:r>
      <w:r w:rsidR="00933570" w:rsidRPr="00BA7B99">
        <w:rPr>
          <w:color w:val="000000"/>
          <w:sz w:val="22"/>
          <w:szCs w:val="22"/>
        </w:rPr>
        <w:br/>
      </w:r>
    </w:p>
    <w:p w14:paraId="3593C6B5" w14:textId="77777777" w:rsidR="00933570" w:rsidRPr="00BA7B99" w:rsidRDefault="00933570" w:rsidP="00933570">
      <w:pPr>
        <w:ind w:left="1440"/>
        <w:rPr>
          <w:color w:val="000000"/>
          <w:sz w:val="22"/>
          <w:szCs w:val="22"/>
          <w:shd w:val="clear" w:color="auto" w:fill="F5F5EC"/>
        </w:rPr>
      </w:pPr>
    </w:p>
    <w:p w14:paraId="013AD564" w14:textId="77777777" w:rsidR="00933570" w:rsidRPr="00BA7B99" w:rsidRDefault="00933570" w:rsidP="00933570">
      <w:pPr>
        <w:ind w:left="1440"/>
        <w:rPr>
          <w:color w:val="000000"/>
          <w:sz w:val="22"/>
          <w:szCs w:val="22"/>
          <w:shd w:val="clear" w:color="auto" w:fill="F5F5EC"/>
        </w:rPr>
      </w:pPr>
    </w:p>
    <w:p w14:paraId="49190351" w14:textId="77777777" w:rsidR="00933570" w:rsidRPr="00BA7B99" w:rsidRDefault="00933570" w:rsidP="00933570">
      <w:pPr>
        <w:ind w:left="1440"/>
        <w:rPr>
          <w:b/>
          <w:color w:val="000000"/>
          <w:sz w:val="22"/>
          <w:szCs w:val="22"/>
          <w:shd w:val="clear" w:color="auto" w:fill="F5F5EC"/>
        </w:rPr>
      </w:pPr>
      <w:r w:rsidRPr="00BA7B99">
        <w:rPr>
          <w:b/>
          <w:color w:val="000000"/>
          <w:sz w:val="22"/>
          <w:szCs w:val="22"/>
          <w:shd w:val="clear" w:color="auto" w:fill="F5F5EC"/>
        </w:rPr>
        <w:t>Philippines</w:t>
      </w:r>
    </w:p>
    <w:p w14:paraId="5FA117C9" w14:textId="77777777" w:rsidR="00933570" w:rsidRPr="00BA7B99" w:rsidRDefault="00933570" w:rsidP="00933570">
      <w:pPr>
        <w:ind w:left="1440"/>
        <w:rPr>
          <w:color w:val="000000"/>
          <w:sz w:val="22"/>
          <w:szCs w:val="22"/>
          <w:shd w:val="clear" w:color="auto" w:fill="F5F5EC"/>
        </w:rPr>
      </w:pPr>
      <w:r w:rsidRPr="00BA7B99">
        <w:rPr>
          <w:b/>
          <w:bCs/>
          <w:color w:val="000000"/>
          <w:sz w:val="22"/>
          <w:szCs w:val="22"/>
          <w:shd w:val="clear" w:color="auto" w:fill="F5F5EC"/>
        </w:rPr>
        <w:t>Ms. Analiza REBUELTA - TEH</w:t>
      </w:r>
      <w:r w:rsidRPr="00BA7B99">
        <w:rPr>
          <w:color w:val="000000"/>
          <w:sz w:val="22"/>
          <w:szCs w:val="22"/>
        </w:rPr>
        <w:br/>
      </w:r>
      <w:r w:rsidRPr="00BA7B99">
        <w:rPr>
          <w:color w:val="000000"/>
          <w:sz w:val="22"/>
          <w:szCs w:val="22"/>
          <w:shd w:val="clear" w:color="auto" w:fill="F5F5EC"/>
        </w:rPr>
        <w:t>Operational Focal Point since 2009-05-04</w:t>
      </w:r>
      <w:r w:rsidRPr="00BA7B99">
        <w:rPr>
          <w:color w:val="000000"/>
          <w:sz w:val="22"/>
          <w:szCs w:val="22"/>
        </w:rPr>
        <w:br/>
      </w:r>
      <w:r w:rsidRPr="00BA7B99">
        <w:rPr>
          <w:color w:val="000000"/>
          <w:sz w:val="22"/>
          <w:szCs w:val="22"/>
          <w:shd w:val="clear" w:color="auto" w:fill="F5F5EC"/>
        </w:rPr>
        <w:t>Undersecretary</w:t>
      </w:r>
      <w:r w:rsidRPr="00BA7B99">
        <w:rPr>
          <w:color w:val="000000"/>
          <w:sz w:val="22"/>
          <w:szCs w:val="22"/>
        </w:rPr>
        <w:br/>
      </w:r>
      <w:r w:rsidRPr="00BA7B99">
        <w:rPr>
          <w:color w:val="000000"/>
          <w:sz w:val="22"/>
          <w:szCs w:val="22"/>
          <w:shd w:val="clear" w:color="auto" w:fill="F5F5EC"/>
        </w:rPr>
        <w:t>Department of Environment and Natural Resources</w:t>
      </w:r>
      <w:r w:rsidRPr="00BA7B99">
        <w:rPr>
          <w:color w:val="000000"/>
          <w:sz w:val="22"/>
          <w:szCs w:val="22"/>
        </w:rPr>
        <w:br/>
      </w:r>
      <w:r w:rsidRPr="00BA7B99">
        <w:rPr>
          <w:color w:val="000000"/>
          <w:sz w:val="22"/>
          <w:szCs w:val="22"/>
          <w:shd w:val="clear" w:color="auto" w:fill="F5F5EC"/>
        </w:rPr>
        <w:t>Visayas Avenue Diliman</w:t>
      </w:r>
      <w:r w:rsidRPr="00BA7B99">
        <w:rPr>
          <w:color w:val="000000"/>
          <w:sz w:val="22"/>
          <w:szCs w:val="22"/>
        </w:rPr>
        <w:br/>
      </w:r>
      <w:r w:rsidRPr="00BA7B99">
        <w:rPr>
          <w:color w:val="000000"/>
          <w:sz w:val="22"/>
          <w:szCs w:val="22"/>
          <w:shd w:val="clear" w:color="auto" w:fill="F5F5EC"/>
        </w:rPr>
        <w:t>Quezon City, Metro Manila 1100</w:t>
      </w:r>
      <w:r w:rsidRPr="00BA7B99">
        <w:rPr>
          <w:color w:val="000000"/>
          <w:sz w:val="22"/>
          <w:szCs w:val="22"/>
        </w:rPr>
        <w:br/>
      </w:r>
      <w:r w:rsidRPr="00BA7B99">
        <w:rPr>
          <w:color w:val="000000"/>
          <w:sz w:val="22"/>
          <w:szCs w:val="22"/>
          <w:shd w:val="clear" w:color="auto" w:fill="F5F5EC"/>
        </w:rPr>
        <w:t>Philippines</w:t>
      </w:r>
      <w:r w:rsidRPr="00BA7B99">
        <w:rPr>
          <w:color w:val="000000"/>
          <w:sz w:val="22"/>
          <w:szCs w:val="22"/>
        </w:rPr>
        <w:br/>
      </w:r>
      <w:r w:rsidRPr="00BA7B99">
        <w:rPr>
          <w:color w:val="000000"/>
          <w:sz w:val="22"/>
          <w:szCs w:val="22"/>
          <w:shd w:val="clear" w:color="auto" w:fill="F5F5EC"/>
        </w:rPr>
        <w:t>Tel:+ 632 926 8074, + 632 926 8065</w:t>
      </w:r>
      <w:r w:rsidRPr="00BA7B99">
        <w:rPr>
          <w:color w:val="000000"/>
          <w:sz w:val="22"/>
          <w:szCs w:val="22"/>
        </w:rPr>
        <w:br/>
      </w:r>
      <w:r w:rsidRPr="00BA7B99">
        <w:rPr>
          <w:color w:val="000000"/>
          <w:sz w:val="22"/>
          <w:szCs w:val="22"/>
          <w:shd w:val="clear" w:color="auto" w:fill="F5F5EC"/>
        </w:rPr>
        <w:t>Fax:011 632 926 8074, + 632 926 8065</w:t>
      </w:r>
      <w:r w:rsidRPr="00BA7B99">
        <w:rPr>
          <w:color w:val="000000"/>
          <w:sz w:val="22"/>
          <w:szCs w:val="22"/>
        </w:rPr>
        <w:br/>
      </w:r>
      <w:r w:rsidRPr="00BA7B99">
        <w:rPr>
          <w:color w:val="000000"/>
          <w:sz w:val="22"/>
          <w:szCs w:val="22"/>
          <w:shd w:val="clear" w:color="auto" w:fill="F5F5EC"/>
        </w:rPr>
        <w:t xml:space="preserve">Email:analiza@denr.gov.ph, tehanna08@gmail.com, </w:t>
      </w:r>
      <w:hyperlink r:id="rId19" w:history="1">
        <w:r w:rsidRPr="00BA7B99">
          <w:rPr>
            <w:color w:val="0000FF"/>
            <w:sz w:val="22"/>
            <w:szCs w:val="22"/>
            <w:u w:val="single"/>
            <w:shd w:val="clear" w:color="auto" w:fill="F5F5EC"/>
          </w:rPr>
          <w:t>tehanna17@yahoo.com</w:t>
        </w:r>
      </w:hyperlink>
    </w:p>
    <w:p w14:paraId="421A6BC3" w14:textId="77777777" w:rsidR="00933570" w:rsidRPr="00BA7B99" w:rsidRDefault="00933570" w:rsidP="00933570">
      <w:pPr>
        <w:ind w:left="1440"/>
        <w:rPr>
          <w:b/>
          <w:color w:val="000000"/>
          <w:sz w:val="22"/>
          <w:szCs w:val="22"/>
          <w:shd w:val="clear" w:color="auto" w:fill="F5F5EC"/>
        </w:rPr>
      </w:pPr>
    </w:p>
    <w:p w14:paraId="0AA4E758" w14:textId="77777777" w:rsidR="00933570" w:rsidRPr="00BA7B99" w:rsidRDefault="00933570" w:rsidP="00933570">
      <w:pPr>
        <w:ind w:left="1440"/>
        <w:rPr>
          <w:b/>
          <w:color w:val="000000"/>
          <w:sz w:val="22"/>
          <w:szCs w:val="22"/>
          <w:shd w:val="clear" w:color="auto" w:fill="F5F5EC"/>
        </w:rPr>
      </w:pPr>
      <w:r w:rsidRPr="00BA7B99">
        <w:rPr>
          <w:b/>
          <w:color w:val="000000"/>
          <w:sz w:val="22"/>
          <w:szCs w:val="22"/>
          <w:shd w:val="clear" w:color="auto" w:fill="F5F5EC"/>
        </w:rPr>
        <w:t>Thailand</w:t>
      </w:r>
    </w:p>
    <w:p w14:paraId="734BC3BA" w14:textId="77777777" w:rsidR="00A44210" w:rsidRPr="00D509E2" w:rsidRDefault="00A44210" w:rsidP="00A44210">
      <w:pPr>
        <w:ind w:left="1440"/>
        <w:rPr>
          <w:b/>
          <w:bCs/>
          <w:color w:val="000000"/>
          <w:sz w:val="22"/>
          <w:szCs w:val="22"/>
          <w:shd w:val="clear" w:color="auto" w:fill="F5F5EC"/>
        </w:rPr>
      </w:pPr>
      <w:r w:rsidRPr="00D509E2">
        <w:rPr>
          <w:b/>
          <w:bCs/>
          <w:color w:val="000000"/>
          <w:sz w:val="22"/>
          <w:szCs w:val="22"/>
          <w:shd w:val="clear" w:color="auto" w:fill="F5F5EC"/>
        </w:rPr>
        <w:t>Dr. Kasemsun CHINNAVASO</w:t>
      </w:r>
    </w:p>
    <w:p w14:paraId="3CA0AF94" w14:textId="77777777" w:rsidR="00A44210" w:rsidRPr="00F416A2" w:rsidRDefault="00A44210" w:rsidP="00A44210">
      <w:pPr>
        <w:ind w:left="1440"/>
        <w:rPr>
          <w:bCs/>
          <w:color w:val="000000"/>
          <w:sz w:val="22"/>
          <w:szCs w:val="22"/>
          <w:shd w:val="clear" w:color="auto" w:fill="F5F5EC"/>
        </w:rPr>
      </w:pPr>
      <w:r w:rsidRPr="00F416A2">
        <w:rPr>
          <w:bCs/>
          <w:color w:val="000000"/>
          <w:sz w:val="22"/>
          <w:szCs w:val="22"/>
          <w:shd w:val="clear" w:color="auto" w:fill="F5F5EC"/>
        </w:rPr>
        <w:t>Operational Focal Point since 2015-07-15</w:t>
      </w:r>
    </w:p>
    <w:p w14:paraId="7B7CA817" w14:textId="77777777" w:rsidR="00A44210" w:rsidRPr="00F416A2" w:rsidRDefault="00A44210" w:rsidP="00A44210">
      <w:pPr>
        <w:ind w:left="1440"/>
        <w:rPr>
          <w:bCs/>
          <w:color w:val="000000"/>
          <w:sz w:val="22"/>
          <w:szCs w:val="22"/>
          <w:shd w:val="clear" w:color="auto" w:fill="F5F5EC"/>
        </w:rPr>
      </w:pPr>
      <w:r w:rsidRPr="00F416A2">
        <w:rPr>
          <w:bCs/>
          <w:color w:val="000000"/>
          <w:sz w:val="22"/>
          <w:szCs w:val="22"/>
          <w:shd w:val="clear" w:color="auto" w:fill="F5F5EC"/>
        </w:rPr>
        <w:t>Permanent Secretary</w:t>
      </w:r>
    </w:p>
    <w:p w14:paraId="784966B3" w14:textId="77777777" w:rsidR="00A44210" w:rsidRPr="00F416A2" w:rsidRDefault="00A44210" w:rsidP="00A44210">
      <w:pPr>
        <w:ind w:left="1440"/>
        <w:rPr>
          <w:bCs/>
          <w:color w:val="000000"/>
          <w:sz w:val="22"/>
          <w:szCs w:val="22"/>
          <w:shd w:val="clear" w:color="auto" w:fill="F5F5EC"/>
        </w:rPr>
      </w:pPr>
      <w:r w:rsidRPr="00F416A2">
        <w:rPr>
          <w:bCs/>
          <w:color w:val="000000"/>
          <w:sz w:val="22"/>
          <w:szCs w:val="22"/>
          <w:shd w:val="clear" w:color="auto" w:fill="F5F5EC"/>
        </w:rPr>
        <w:t>Ministry of Natural Resources and Environment</w:t>
      </w:r>
    </w:p>
    <w:p w14:paraId="32F5D40B" w14:textId="77777777" w:rsidR="00A44210" w:rsidRPr="00F416A2" w:rsidRDefault="00A44210" w:rsidP="00A44210">
      <w:pPr>
        <w:ind w:left="1440"/>
        <w:rPr>
          <w:bCs/>
          <w:color w:val="000000"/>
          <w:sz w:val="22"/>
          <w:szCs w:val="22"/>
          <w:shd w:val="clear" w:color="auto" w:fill="F5F5EC"/>
        </w:rPr>
      </w:pPr>
      <w:r w:rsidRPr="00F416A2">
        <w:rPr>
          <w:bCs/>
          <w:color w:val="000000"/>
          <w:sz w:val="22"/>
          <w:szCs w:val="22"/>
          <w:shd w:val="clear" w:color="auto" w:fill="F5F5EC"/>
        </w:rPr>
        <w:t>92 Soi Phahon Yothin 7, Phahon Yothin Road</w:t>
      </w:r>
    </w:p>
    <w:p w14:paraId="1BD47CF2" w14:textId="77777777" w:rsidR="00A44210" w:rsidRPr="00F416A2" w:rsidRDefault="00A44210" w:rsidP="00A44210">
      <w:pPr>
        <w:ind w:left="1440"/>
        <w:rPr>
          <w:bCs/>
          <w:color w:val="000000"/>
          <w:sz w:val="22"/>
          <w:szCs w:val="22"/>
          <w:shd w:val="clear" w:color="auto" w:fill="F5F5EC"/>
        </w:rPr>
      </w:pPr>
      <w:r w:rsidRPr="00F416A2">
        <w:rPr>
          <w:bCs/>
          <w:color w:val="000000"/>
          <w:sz w:val="22"/>
          <w:szCs w:val="22"/>
          <w:shd w:val="clear" w:color="auto" w:fill="F5F5EC"/>
        </w:rPr>
        <w:t>Bangkok, 10400</w:t>
      </w:r>
    </w:p>
    <w:p w14:paraId="41CA0650" w14:textId="77777777" w:rsidR="00A44210" w:rsidRPr="00F416A2" w:rsidRDefault="00A44210" w:rsidP="00A44210">
      <w:pPr>
        <w:ind w:left="1440"/>
        <w:rPr>
          <w:bCs/>
          <w:color w:val="000000"/>
          <w:sz w:val="22"/>
          <w:szCs w:val="22"/>
          <w:shd w:val="clear" w:color="auto" w:fill="F5F5EC"/>
        </w:rPr>
      </w:pPr>
      <w:r w:rsidRPr="00F416A2">
        <w:rPr>
          <w:bCs/>
          <w:color w:val="000000"/>
          <w:sz w:val="22"/>
          <w:szCs w:val="22"/>
          <w:shd w:val="clear" w:color="auto" w:fill="F5F5EC"/>
        </w:rPr>
        <w:t>Thailand</w:t>
      </w:r>
    </w:p>
    <w:p w14:paraId="7E60FFF4" w14:textId="77777777" w:rsidR="00A44210" w:rsidRPr="00F416A2" w:rsidRDefault="00A44210" w:rsidP="00A44210">
      <w:pPr>
        <w:ind w:left="1440"/>
        <w:rPr>
          <w:bCs/>
          <w:color w:val="000000"/>
          <w:sz w:val="22"/>
          <w:szCs w:val="22"/>
          <w:shd w:val="clear" w:color="auto" w:fill="F5F5EC"/>
        </w:rPr>
      </w:pPr>
      <w:r w:rsidRPr="00F416A2">
        <w:rPr>
          <w:bCs/>
          <w:color w:val="000000"/>
          <w:sz w:val="22"/>
          <w:szCs w:val="22"/>
          <w:shd w:val="clear" w:color="auto" w:fill="F5F5EC"/>
        </w:rPr>
        <w:t>Tel:662 278 8544</w:t>
      </w:r>
    </w:p>
    <w:p w14:paraId="6A482C20" w14:textId="77777777" w:rsidR="00A44210" w:rsidRPr="00F416A2" w:rsidRDefault="00A44210" w:rsidP="00A44210">
      <w:pPr>
        <w:ind w:left="1440"/>
        <w:rPr>
          <w:bCs/>
          <w:color w:val="000000"/>
          <w:sz w:val="22"/>
          <w:szCs w:val="22"/>
          <w:shd w:val="clear" w:color="auto" w:fill="F5F5EC"/>
        </w:rPr>
      </w:pPr>
      <w:r w:rsidRPr="00F416A2">
        <w:rPr>
          <w:bCs/>
          <w:color w:val="000000"/>
          <w:sz w:val="22"/>
          <w:szCs w:val="22"/>
          <w:shd w:val="clear" w:color="auto" w:fill="F5F5EC"/>
        </w:rPr>
        <w:t>Fax:662 278 8545</w:t>
      </w:r>
    </w:p>
    <w:p w14:paraId="6DD1A475" w14:textId="77777777" w:rsidR="00933570" w:rsidRPr="00BA7B99" w:rsidRDefault="00A44210" w:rsidP="00933570">
      <w:pPr>
        <w:ind w:left="1440"/>
        <w:rPr>
          <w:color w:val="000000"/>
          <w:sz w:val="22"/>
          <w:szCs w:val="22"/>
          <w:shd w:val="clear" w:color="auto" w:fill="F5F5EC"/>
        </w:rPr>
      </w:pPr>
      <w:r w:rsidRPr="00F416A2">
        <w:rPr>
          <w:bCs/>
          <w:color w:val="000000"/>
          <w:sz w:val="22"/>
          <w:szCs w:val="22"/>
          <w:shd w:val="clear" w:color="auto" w:fill="F5F5EC"/>
        </w:rPr>
        <w:t>Email:chinnavaso@hotmail.com</w:t>
      </w:r>
    </w:p>
    <w:p w14:paraId="1E9F1EBB" w14:textId="77777777" w:rsidR="00933570" w:rsidRPr="00BA7B99" w:rsidRDefault="00933570" w:rsidP="00933570">
      <w:pPr>
        <w:ind w:left="1440"/>
        <w:rPr>
          <w:b/>
          <w:color w:val="000000"/>
          <w:sz w:val="22"/>
          <w:szCs w:val="22"/>
          <w:shd w:val="clear" w:color="auto" w:fill="F5F5EC"/>
        </w:rPr>
      </w:pPr>
      <w:r w:rsidRPr="00BA7B99">
        <w:rPr>
          <w:b/>
          <w:color w:val="000000"/>
          <w:sz w:val="22"/>
          <w:szCs w:val="22"/>
          <w:shd w:val="clear" w:color="auto" w:fill="F5F5EC"/>
        </w:rPr>
        <w:t>Vietnam</w:t>
      </w:r>
    </w:p>
    <w:p w14:paraId="596ABA15" w14:textId="77777777" w:rsidR="00933570" w:rsidRPr="00BA7B99" w:rsidRDefault="00933570" w:rsidP="00933570">
      <w:pPr>
        <w:ind w:left="1440"/>
        <w:rPr>
          <w:sz w:val="22"/>
          <w:szCs w:val="22"/>
        </w:rPr>
      </w:pPr>
      <w:r w:rsidRPr="00BA7B99">
        <w:rPr>
          <w:b/>
          <w:bCs/>
          <w:color w:val="000000"/>
          <w:sz w:val="22"/>
          <w:szCs w:val="22"/>
          <w:shd w:val="clear" w:color="auto" w:fill="F5F5EC"/>
        </w:rPr>
        <w:t>Dr. Mr. Nam Thang DO</w:t>
      </w:r>
      <w:r w:rsidRPr="00BA7B99">
        <w:rPr>
          <w:color w:val="000000"/>
          <w:sz w:val="22"/>
          <w:szCs w:val="22"/>
        </w:rPr>
        <w:br/>
      </w:r>
      <w:r w:rsidRPr="00BA7B99">
        <w:rPr>
          <w:color w:val="000000"/>
          <w:sz w:val="22"/>
          <w:szCs w:val="22"/>
          <w:shd w:val="clear" w:color="auto" w:fill="F5F5EC"/>
        </w:rPr>
        <w:t>Operational Focal Point since 2014-01-15</w:t>
      </w:r>
      <w:r w:rsidRPr="00BA7B99">
        <w:rPr>
          <w:color w:val="000000"/>
          <w:sz w:val="22"/>
          <w:szCs w:val="22"/>
        </w:rPr>
        <w:br/>
      </w:r>
      <w:r w:rsidRPr="00BA7B99">
        <w:rPr>
          <w:color w:val="000000"/>
          <w:sz w:val="22"/>
          <w:szCs w:val="22"/>
          <w:shd w:val="clear" w:color="auto" w:fill="F5F5EC"/>
        </w:rPr>
        <w:t>Deputy Director General, Department of International Cooperation</w:t>
      </w:r>
      <w:r w:rsidRPr="00BA7B99">
        <w:rPr>
          <w:color w:val="000000"/>
          <w:sz w:val="22"/>
          <w:szCs w:val="22"/>
        </w:rPr>
        <w:br/>
      </w:r>
      <w:r w:rsidRPr="00BA7B99">
        <w:rPr>
          <w:color w:val="000000"/>
          <w:sz w:val="22"/>
          <w:szCs w:val="22"/>
          <w:shd w:val="clear" w:color="auto" w:fill="F5F5EC"/>
        </w:rPr>
        <w:t>Ministry of Natural Resources and Environment</w:t>
      </w:r>
      <w:r w:rsidRPr="00BA7B99">
        <w:rPr>
          <w:color w:val="000000"/>
          <w:sz w:val="22"/>
          <w:szCs w:val="22"/>
        </w:rPr>
        <w:br/>
      </w:r>
      <w:r w:rsidRPr="00BA7B99">
        <w:rPr>
          <w:color w:val="000000"/>
          <w:sz w:val="22"/>
          <w:szCs w:val="22"/>
          <w:shd w:val="clear" w:color="auto" w:fill="F5F5EC"/>
        </w:rPr>
        <w:t>10 Ton That Thuyet - Cau Giay</w:t>
      </w:r>
      <w:r w:rsidRPr="00BA7B99">
        <w:rPr>
          <w:color w:val="000000"/>
          <w:sz w:val="22"/>
          <w:szCs w:val="22"/>
        </w:rPr>
        <w:br/>
      </w:r>
      <w:r w:rsidRPr="00BA7B99">
        <w:rPr>
          <w:color w:val="000000"/>
          <w:sz w:val="22"/>
          <w:szCs w:val="22"/>
          <w:shd w:val="clear" w:color="auto" w:fill="F5F5EC"/>
        </w:rPr>
        <w:t>Hanoi, Hanoi 00</w:t>
      </w:r>
      <w:r w:rsidRPr="00BA7B99">
        <w:rPr>
          <w:color w:val="000000"/>
          <w:sz w:val="22"/>
          <w:szCs w:val="22"/>
        </w:rPr>
        <w:br/>
      </w:r>
      <w:r w:rsidRPr="00BA7B99">
        <w:rPr>
          <w:color w:val="000000"/>
          <w:sz w:val="22"/>
          <w:szCs w:val="22"/>
          <w:shd w:val="clear" w:color="auto" w:fill="F5F5EC"/>
        </w:rPr>
        <w:t>Vietnam</w:t>
      </w:r>
      <w:r w:rsidRPr="00BA7B99">
        <w:rPr>
          <w:color w:val="000000"/>
          <w:sz w:val="22"/>
          <w:szCs w:val="22"/>
        </w:rPr>
        <w:br/>
      </w:r>
      <w:r w:rsidRPr="00BA7B99">
        <w:rPr>
          <w:color w:val="000000"/>
          <w:sz w:val="22"/>
          <w:szCs w:val="22"/>
          <w:shd w:val="clear" w:color="auto" w:fill="F5F5EC"/>
        </w:rPr>
        <w:t>Tel:+ 84 4 3795 6868 ext. 1189</w:t>
      </w:r>
      <w:r w:rsidRPr="00BA7B99">
        <w:rPr>
          <w:color w:val="000000"/>
          <w:sz w:val="22"/>
          <w:szCs w:val="22"/>
        </w:rPr>
        <w:br/>
      </w:r>
      <w:r w:rsidRPr="00BA7B99">
        <w:rPr>
          <w:color w:val="000000"/>
          <w:sz w:val="22"/>
          <w:szCs w:val="22"/>
          <w:shd w:val="clear" w:color="auto" w:fill="F5F5EC"/>
        </w:rPr>
        <w:t>Fax:+ 84 4 3777 36546</w:t>
      </w:r>
      <w:r w:rsidRPr="00BA7B99">
        <w:rPr>
          <w:color w:val="000000"/>
          <w:sz w:val="22"/>
          <w:szCs w:val="22"/>
        </w:rPr>
        <w:br/>
      </w:r>
      <w:r w:rsidRPr="00BA7B99">
        <w:rPr>
          <w:color w:val="000000"/>
          <w:sz w:val="22"/>
          <w:szCs w:val="22"/>
          <w:shd w:val="clear" w:color="auto" w:fill="F5F5EC"/>
        </w:rPr>
        <w:t>Email:dnthang@monre.gov.vn, donamthang09@gmail.com</w:t>
      </w:r>
    </w:p>
    <w:p w14:paraId="6E71A2C6" w14:textId="77777777" w:rsidR="00933570" w:rsidRPr="00BA7B99" w:rsidRDefault="00933570" w:rsidP="00933570">
      <w:pPr>
        <w:jc w:val="both"/>
        <w:rPr>
          <w:sz w:val="22"/>
          <w:szCs w:val="22"/>
          <w:lang w:val="en-GB"/>
        </w:rPr>
      </w:pPr>
    </w:p>
    <w:p w14:paraId="187E7C65" w14:textId="77777777" w:rsidR="00933570" w:rsidRPr="00BA7B99" w:rsidRDefault="00933570" w:rsidP="00933570">
      <w:pPr>
        <w:jc w:val="both"/>
        <w:rPr>
          <w:sz w:val="22"/>
          <w:szCs w:val="22"/>
          <w:lang w:val="en-GB"/>
        </w:rPr>
      </w:pPr>
      <w:r w:rsidRPr="00BA7B99">
        <w:rPr>
          <w:sz w:val="22"/>
          <w:szCs w:val="22"/>
          <w:lang w:val="en-GB"/>
        </w:rPr>
        <w:t xml:space="preserve">The final evaluation report will be published on the Evaluation and Oversight Unit’s web-site </w:t>
      </w:r>
      <w:hyperlink r:id="rId20" w:history="1">
        <w:r w:rsidRPr="00BA7B99">
          <w:rPr>
            <w:color w:val="0000FF"/>
            <w:sz w:val="22"/>
            <w:szCs w:val="22"/>
            <w:u w:val="single"/>
            <w:lang w:val="en-GB"/>
          </w:rPr>
          <w:t>www.unep.org/eou</w:t>
        </w:r>
      </w:hyperlink>
      <w:r w:rsidRPr="00BA7B99">
        <w:rPr>
          <w:sz w:val="22"/>
          <w:szCs w:val="22"/>
          <w:lang w:val="en-GB"/>
        </w:rPr>
        <w:t xml:space="preserve"> and may be printed in hard copy.  Subsequently, the report will be sent to the GEF Office of Evaluation for their review, appraisal and inclusion on the GEF website.</w:t>
      </w:r>
    </w:p>
    <w:p w14:paraId="4776E8E9" w14:textId="77777777" w:rsidR="00933570" w:rsidRPr="00BA7B99" w:rsidRDefault="00933570" w:rsidP="00933570">
      <w:pPr>
        <w:jc w:val="both"/>
        <w:rPr>
          <w:sz w:val="22"/>
          <w:szCs w:val="22"/>
          <w:lang w:val="en-GB"/>
        </w:rPr>
      </w:pPr>
    </w:p>
    <w:p w14:paraId="37D211A8" w14:textId="77777777" w:rsidR="00933570" w:rsidRPr="00BA7B99" w:rsidRDefault="00933570" w:rsidP="00E071AC">
      <w:pPr>
        <w:numPr>
          <w:ilvl w:val="0"/>
          <w:numId w:val="40"/>
        </w:numPr>
        <w:tabs>
          <w:tab w:val="left" w:pos="0"/>
          <w:tab w:val="left" w:pos="306"/>
          <w:tab w:val="left" w:pos="1326"/>
          <w:tab w:val="left" w:pos="1836"/>
          <w:tab w:val="left" w:pos="2346"/>
          <w:tab w:val="left" w:pos="5160"/>
          <w:tab w:val="left" w:pos="6960"/>
        </w:tabs>
        <w:suppressAutoHyphens/>
        <w:jc w:val="both"/>
        <w:rPr>
          <w:b/>
          <w:sz w:val="22"/>
          <w:szCs w:val="22"/>
          <w:u w:val="single"/>
          <w:lang w:val="en-GB"/>
        </w:rPr>
      </w:pPr>
      <w:r w:rsidRPr="00BA7B99">
        <w:rPr>
          <w:b/>
          <w:sz w:val="22"/>
          <w:szCs w:val="22"/>
          <w:u w:val="single"/>
          <w:lang w:val="en-GB"/>
        </w:rPr>
        <w:t>Resources and schedule of the evaluation</w:t>
      </w:r>
    </w:p>
    <w:p w14:paraId="10FC19CC" w14:textId="77777777" w:rsidR="00933570" w:rsidRPr="00BA7B99" w:rsidRDefault="00933570" w:rsidP="00933570">
      <w:pPr>
        <w:jc w:val="both"/>
        <w:rPr>
          <w:sz w:val="22"/>
          <w:szCs w:val="22"/>
          <w:lang w:val="en-GB"/>
        </w:rPr>
      </w:pPr>
      <w:r w:rsidRPr="00BA7B99">
        <w:rPr>
          <w:sz w:val="22"/>
          <w:szCs w:val="22"/>
          <w:lang w:val="en-GB"/>
        </w:rPr>
        <w:t xml:space="preserve">This final evaluation will be undertaken by an international evaluator contracted by the Evaluation and Oversight Unit, UNEP. The contract for the evaluator will begin on ddmmyyy and end on ddmmyyyy (# days) spread over # weeks (# days of travel, to {country(ies)}, and # days desk study).  The evaluator will submit a draft report on ddmmyyyy to UNEP/EOU, the UNEP/DEPI Task Manager, and key representatives of the executing agencies.  Any comments or responses to the draft report will be sent to UNEP / EOU for collation and the consultant will be advised of any necessary revisions. Comments to the final draft report will be sent to the consultant by ddmmyyyy after which, the consultant will submit the final report no later than ddmmyyyy. </w:t>
      </w:r>
    </w:p>
    <w:p w14:paraId="327670B1" w14:textId="77777777" w:rsidR="00933570" w:rsidRPr="00BA7B99" w:rsidRDefault="00933570" w:rsidP="00933570">
      <w:pPr>
        <w:jc w:val="both"/>
        <w:rPr>
          <w:sz w:val="22"/>
          <w:szCs w:val="22"/>
          <w:lang w:val="en-GB"/>
        </w:rPr>
      </w:pPr>
    </w:p>
    <w:p w14:paraId="04CDF804" w14:textId="77777777" w:rsidR="00933570" w:rsidRPr="00BA7B99" w:rsidRDefault="00933570" w:rsidP="00933570">
      <w:pPr>
        <w:jc w:val="both"/>
        <w:rPr>
          <w:sz w:val="22"/>
          <w:szCs w:val="22"/>
          <w:lang w:val="en-GB"/>
        </w:rPr>
      </w:pPr>
      <w:r w:rsidRPr="00BA7B99">
        <w:rPr>
          <w:sz w:val="22"/>
          <w:szCs w:val="22"/>
          <w:lang w:val="en-GB"/>
        </w:rPr>
        <w:t xml:space="preserve">The evaluator will after an initial telephone briefing with EOU the UNEP Task Manager and the SEAFDEC Project Director conduct initial desk review work and later travel to (country(ies)} and meet with project staff at the beginning of the evaluation. Furthermore, the evaluator is expected to travel to {country(ies)} and meet with representatives of the project executing agencies and the intended users of project’s outputs. </w:t>
      </w:r>
    </w:p>
    <w:p w14:paraId="6CB07064" w14:textId="77777777" w:rsidR="00933570" w:rsidRPr="00BA7B99" w:rsidRDefault="00933570" w:rsidP="00933570">
      <w:pPr>
        <w:jc w:val="both"/>
        <w:rPr>
          <w:sz w:val="22"/>
          <w:szCs w:val="22"/>
          <w:lang w:val="en-GB"/>
        </w:rPr>
      </w:pPr>
    </w:p>
    <w:p w14:paraId="47D49C59" w14:textId="77777777" w:rsidR="00933570" w:rsidRPr="00BA7B99" w:rsidRDefault="00933570" w:rsidP="00933570">
      <w:pPr>
        <w:jc w:val="both"/>
        <w:rPr>
          <w:sz w:val="22"/>
          <w:szCs w:val="22"/>
          <w:lang w:val="en-GB"/>
        </w:rPr>
      </w:pPr>
      <w:r w:rsidRPr="00BA7B99">
        <w:rPr>
          <w:sz w:val="22"/>
          <w:szCs w:val="22"/>
          <w:lang w:val="en-GB"/>
        </w:rPr>
        <w:t xml:space="preserve">In accordance with UNEP/GEF policy, all GEF projects are evaluated by independent evaluators contracted as consultants by the EOU. The evaluator should have the following qualifications: </w:t>
      </w:r>
    </w:p>
    <w:p w14:paraId="427ECB16" w14:textId="77777777" w:rsidR="00933570" w:rsidRPr="00BA7B99" w:rsidRDefault="00933570" w:rsidP="00933570">
      <w:pPr>
        <w:jc w:val="both"/>
        <w:rPr>
          <w:sz w:val="22"/>
          <w:szCs w:val="22"/>
          <w:lang w:val="en-GB"/>
        </w:rPr>
      </w:pPr>
    </w:p>
    <w:p w14:paraId="1541F325" w14:textId="77777777" w:rsidR="00933570" w:rsidRPr="00BA7B99" w:rsidRDefault="00933570" w:rsidP="00933570">
      <w:pPr>
        <w:jc w:val="both"/>
        <w:rPr>
          <w:sz w:val="22"/>
          <w:szCs w:val="22"/>
          <w:lang w:val="en-GB"/>
        </w:rPr>
      </w:pPr>
      <w:r w:rsidRPr="00BA7B99">
        <w:rPr>
          <w:sz w:val="22"/>
          <w:szCs w:val="22"/>
          <w:lang w:val="en-GB"/>
        </w:rPr>
        <w:t>The evaluator should not have been associated with the design and implementation of the project in a paid capacity. The evaluator will work under the overall supervision of the Chief, Evaluation and Oversight Unit, UNEP. The evaluator should be an international expert in coastal fisheries with a sound understanding of habitat related issues. The consultant should have the following minimum qualifications: (i) experience in {} issues; (ii) experience with management and implementation of { } projects and in particular with { } targeted at policy-influence and decision-making; (iii) exper</w:t>
      </w:r>
      <w:r w:rsidR="00EE36CB" w:rsidRPr="00BA7B99">
        <w:rPr>
          <w:sz w:val="22"/>
          <w:szCs w:val="22"/>
          <w:lang w:val="en-GB"/>
        </w:rPr>
        <w:t xml:space="preserve">ience with project evaluation. </w:t>
      </w:r>
      <w:r w:rsidRPr="00BA7B99">
        <w:rPr>
          <w:sz w:val="22"/>
          <w:szCs w:val="22"/>
          <w:lang w:val="en-GB"/>
        </w:rPr>
        <w:t xml:space="preserve">Knowledge of UNEP programmes and GEF activities is desirable.  Knowledge of {specify language(s)} is an advantage.  </w:t>
      </w:r>
      <w:r w:rsidRPr="00BA7B99">
        <w:rPr>
          <w:sz w:val="22"/>
          <w:szCs w:val="22"/>
          <w:u w:val="single"/>
          <w:lang w:val="en-GB"/>
        </w:rPr>
        <w:t>Fluency in oral and written English is a must.</w:t>
      </w:r>
    </w:p>
    <w:p w14:paraId="1E19985A" w14:textId="77777777" w:rsidR="00933570" w:rsidRPr="00BA7B99" w:rsidRDefault="00933570" w:rsidP="00933570">
      <w:pPr>
        <w:jc w:val="both"/>
        <w:rPr>
          <w:b/>
          <w:sz w:val="22"/>
          <w:szCs w:val="22"/>
          <w:u w:val="single"/>
          <w:lang w:val="en-GB"/>
        </w:rPr>
      </w:pPr>
    </w:p>
    <w:p w14:paraId="56F67A3A" w14:textId="77777777" w:rsidR="00933570" w:rsidRPr="00BA7B99" w:rsidRDefault="00933570" w:rsidP="00E071AC">
      <w:pPr>
        <w:numPr>
          <w:ilvl w:val="0"/>
          <w:numId w:val="40"/>
        </w:numPr>
        <w:tabs>
          <w:tab w:val="left" w:pos="0"/>
          <w:tab w:val="left" w:pos="306"/>
          <w:tab w:val="left" w:pos="1326"/>
          <w:tab w:val="left" w:pos="1836"/>
          <w:tab w:val="left" w:pos="2346"/>
          <w:tab w:val="left" w:pos="5160"/>
          <w:tab w:val="left" w:pos="6960"/>
        </w:tabs>
        <w:suppressAutoHyphens/>
        <w:jc w:val="both"/>
        <w:rPr>
          <w:b/>
          <w:sz w:val="22"/>
          <w:szCs w:val="22"/>
          <w:u w:val="single"/>
          <w:lang w:val="en-GB"/>
        </w:rPr>
      </w:pPr>
      <w:r w:rsidRPr="00BA7B99">
        <w:rPr>
          <w:b/>
          <w:sz w:val="22"/>
          <w:szCs w:val="22"/>
          <w:u w:val="single"/>
          <w:lang w:val="en-GB"/>
        </w:rPr>
        <w:t>Schedule Of Payment</w:t>
      </w:r>
    </w:p>
    <w:p w14:paraId="48BBF27D" w14:textId="77777777" w:rsidR="00933570" w:rsidRPr="00BA7B99" w:rsidRDefault="00933570" w:rsidP="00933570">
      <w:pPr>
        <w:jc w:val="both"/>
        <w:rPr>
          <w:sz w:val="22"/>
          <w:szCs w:val="22"/>
          <w:lang w:val="en-GB"/>
        </w:rPr>
      </w:pPr>
      <w:r w:rsidRPr="00BA7B99">
        <w:rPr>
          <w:sz w:val="22"/>
          <w:szCs w:val="22"/>
          <w:lang w:val="en-GB"/>
        </w:rPr>
        <w:t>The consultant shall select one of the following two contract options:</w:t>
      </w:r>
    </w:p>
    <w:p w14:paraId="6D528311" w14:textId="77777777" w:rsidR="00933570" w:rsidRPr="00BA7B99" w:rsidRDefault="00933570" w:rsidP="00933570">
      <w:pPr>
        <w:jc w:val="both"/>
        <w:rPr>
          <w:b/>
          <w:color w:val="000000"/>
          <w:sz w:val="22"/>
          <w:szCs w:val="22"/>
          <w:lang w:val="en-GB"/>
        </w:rPr>
      </w:pPr>
    </w:p>
    <w:p w14:paraId="117B2554" w14:textId="77777777" w:rsidR="00933570" w:rsidRPr="00BA7B99" w:rsidRDefault="00933570" w:rsidP="00933570">
      <w:pPr>
        <w:jc w:val="both"/>
        <w:rPr>
          <w:b/>
          <w:color w:val="000000"/>
          <w:sz w:val="22"/>
          <w:szCs w:val="22"/>
          <w:lang w:val="en-GB"/>
        </w:rPr>
      </w:pPr>
      <w:r w:rsidRPr="00BA7B99">
        <w:rPr>
          <w:b/>
          <w:color w:val="000000"/>
          <w:sz w:val="22"/>
          <w:szCs w:val="22"/>
          <w:lang w:val="en-GB"/>
        </w:rPr>
        <w:t>Lump-Sum Option</w:t>
      </w:r>
    </w:p>
    <w:p w14:paraId="3C53CEA0" w14:textId="77777777" w:rsidR="00933570" w:rsidRPr="00BA7B99" w:rsidRDefault="00933570" w:rsidP="00933570">
      <w:pPr>
        <w:jc w:val="both"/>
        <w:rPr>
          <w:color w:val="000000"/>
          <w:sz w:val="22"/>
          <w:szCs w:val="22"/>
          <w:lang w:val="en-GB"/>
        </w:rPr>
      </w:pPr>
      <w:r w:rsidRPr="00BA7B99">
        <w:rPr>
          <w:color w:val="000000"/>
          <w:sz w:val="22"/>
          <w:szCs w:val="22"/>
          <w:lang w:val="en-GB"/>
        </w:rPr>
        <w:t xml:space="preserve">The evaluator will receive an initial payment of 30% of the total amount due upon signature of the contract.  A further 30% will be paid upon submission of the draft report.  A final payment of 40% will be made upon satisfactory completion of work.  The fee is payable under the individual Special Service Agreement (SSA) of the evaluator and </w:t>
      </w:r>
      <w:r w:rsidRPr="00BA7B99">
        <w:rPr>
          <w:b/>
          <w:color w:val="000000"/>
          <w:sz w:val="22"/>
          <w:szCs w:val="22"/>
          <w:lang w:val="en-GB"/>
        </w:rPr>
        <w:t>is</w:t>
      </w:r>
      <w:r w:rsidRPr="00BA7B99">
        <w:rPr>
          <w:color w:val="000000"/>
          <w:sz w:val="22"/>
          <w:szCs w:val="22"/>
          <w:lang w:val="en-GB"/>
        </w:rPr>
        <w:t xml:space="preserve"> </w:t>
      </w:r>
      <w:r w:rsidRPr="00BA7B99">
        <w:rPr>
          <w:b/>
          <w:color w:val="000000"/>
          <w:sz w:val="22"/>
          <w:szCs w:val="22"/>
          <w:lang w:val="en-GB"/>
        </w:rPr>
        <w:t>inclusive</w:t>
      </w:r>
      <w:r w:rsidRPr="00BA7B99">
        <w:rPr>
          <w:color w:val="000000"/>
          <w:sz w:val="22"/>
          <w:szCs w:val="22"/>
          <w:lang w:val="en-GB"/>
        </w:rPr>
        <w:t xml:space="preserve"> of all expenses such as travel, accommodation and incidental expenses.</w:t>
      </w:r>
    </w:p>
    <w:p w14:paraId="762A920F" w14:textId="77777777" w:rsidR="00933570" w:rsidRPr="00BA7B99" w:rsidRDefault="00933570" w:rsidP="00933570">
      <w:pPr>
        <w:jc w:val="both"/>
        <w:rPr>
          <w:color w:val="000000"/>
          <w:sz w:val="22"/>
          <w:szCs w:val="22"/>
          <w:lang w:val="en-GB"/>
        </w:rPr>
      </w:pPr>
    </w:p>
    <w:p w14:paraId="5A3243A8" w14:textId="77777777" w:rsidR="00933570" w:rsidRPr="00BA7B99" w:rsidRDefault="00933570" w:rsidP="00933570">
      <w:pPr>
        <w:jc w:val="both"/>
        <w:rPr>
          <w:b/>
          <w:color w:val="000000"/>
          <w:sz w:val="22"/>
          <w:szCs w:val="22"/>
          <w:lang w:val="en-GB"/>
        </w:rPr>
      </w:pPr>
      <w:r w:rsidRPr="00BA7B99">
        <w:rPr>
          <w:b/>
          <w:color w:val="000000"/>
          <w:sz w:val="22"/>
          <w:szCs w:val="22"/>
          <w:lang w:val="en-GB"/>
        </w:rPr>
        <w:t>Fee-only Option</w:t>
      </w:r>
    </w:p>
    <w:p w14:paraId="555A67C3" w14:textId="77777777" w:rsidR="00933570" w:rsidRPr="00BA7B99" w:rsidRDefault="00933570" w:rsidP="00933570">
      <w:pPr>
        <w:jc w:val="both"/>
        <w:rPr>
          <w:color w:val="000000"/>
          <w:sz w:val="22"/>
          <w:szCs w:val="22"/>
          <w:lang w:val="en-GB"/>
        </w:rPr>
      </w:pPr>
      <w:r w:rsidRPr="00BA7B99">
        <w:rPr>
          <w:color w:val="000000"/>
          <w:sz w:val="22"/>
          <w:szCs w:val="22"/>
          <w:lang w:val="en-GB"/>
        </w:rPr>
        <w:t xml:space="preserve">The evaluator will receive an initial payment of 40% of the total amount due upon signature of the contract.  Final payment of 60% will be made upon satisfactory completion of work. The fee is payable under the individual SSAs of the evaluator and is </w:t>
      </w:r>
      <w:r w:rsidRPr="00BA7B99">
        <w:rPr>
          <w:b/>
          <w:color w:val="000000"/>
          <w:sz w:val="22"/>
          <w:szCs w:val="22"/>
          <w:u w:val="single"/>
          <w:lang w:val="en-GB"/>
        </w:rPr>
        <w:t>NOT</w:t>
      </w:r>
      <w:r w:rsidRPr="00BA7B99">
        <w:rPr>
          <w:color w:val="000000"/>
          <w:sz w:val="22"/>
          <w:szCs w:val="22"/>
          <w:lang w:val="en-GB"/>
        </w:rPr>
        <w:t xml:space="preserve"> inclusive of all expenses such as travel, accommodation and incidental expenses.  Ticket and DSA will be paid separately.</w:t>
      </w:r>
    </w:p>
    <w:p w14:paraId="084B749E" w14:textId="77777777" w:rsidR="00933570" w:rsidRPr="00BA7B99" w:rsidRDefault="00933570" w:rsidP="00933570">
      <w:pPr>
        <w:jc w:val="both"/>
        <w:rPr>
          <w:sz w:val="22"/>
          <w:szCs w:val="22"/>
          <w:lang w:val="en-GB"/>
        </w:rPr>
      </w:pPr>
    </w:p>
    <w:p w14:paraId="51C57D88" w14:textId="77777777" w:rsidR="00933570" w:rsidRPr="00933570" w:rsidRDefault="00933570" w:rsidP="00933570">
      <w:pPr>
        <w:jc w:val="both"/>
        <w:rPr>
          <w:sz w:val="22"/>
          <w:szCs w:val="22"/>
          <w:lang w:val="en-GB"/>
        </w:rPr>
      </w:pPr>
      <w:r w:rsidRPr="00BA7B99">
        <w:rPr>
          <w:sz w:val="22"/>
          <w:szCs w:val="22"/>
          <w:lang w:val="en-GB"/>
        </w:rPr>
        <w:t>In case, the evaluator cannot provide the products in accordance with the TORs, the timeframe agreed, or his products are substandard, the payment to the evaluator could be withheld, until such a time the products are modified to meet UNEP's standard. In case the evaluator fails to submit a satisfactory final product to UNEP, the product prepared by the evaluator may not constitute the evaluation report.</w:t>
      </w:r>
    </w:p>
    <w:p w14:paraId="206DA3B9" w14:textId="77777777" w:rsidR="00933570" w:rsidRPr="00933570" w:rsidRDefault="00933570" w:rsidP="00933570">
      <w:pPr>
        <w:spacing w:after="120"/>
        <w:rPr>
          <w:lang w:val="en-GB"/>
        </w:rPr>
      </w:pPr>
    </w:p>
    <w:p w14:paraId="292EB777" w14:textId="77777777" w:rsidR="00933570" w:rsidRPr="00933570" w:rsidRDefault="00933570" w:rsidP="00933570">
      <w:pPr>
        <w:spacing w:after="120"/>
        <w:rPr>
          <w:lang w:val="en-GB"/>
        </w:rPr>
        <w:sectPr w:rsidR="00933570" w:rsidRPr="00933570" w:rsidSect="00064925">
          <w:pgSz w:w="11906" w:h="16838"/>
          <w:pgMar w:top="1417" w:right="1417" w:bottom="1417" w:left="1417" w:header="708" w:footer="708" w:gutter="0"/>
          <w:cols w:space="708"/>
          <w:docGrid w:linePitch="360"/>
        </w:sectPr>
      </w:pPr>
    </w:p>
    <w:p w14:paraId="0041201C" w14:textId="77777777" w:rsidR="00933570" w:rsidRPr="00933570" w:rsidRDefault="00933570" w:rsidP="00933570">
      <w:pPr>
        <w:tabs>
          <w:tab w:val="left" w:pos="993"/>
        </w:tabs>
        <w:overflowPunct w:val="0"/>
        <w:autoSpaceDE w:val="0"/>
        <w:autoSpaceDN w:val="0"/>
        <w:adjustRightInd w:val="0"/>
        <w:spacing w:before="120" w:after="260" w:line="260" w:lineRule="atLeast"/>
        <w:jc w:val="both"/>
        <w:textAlignment w:val="baseline"/>
        <w:rPr>
          <w:i/>
          <w:szCs w:val="20"/>
          <w:lang w:val="en-GB"/>
        </w:rPr>
      </w:pPr>
      <w:r w:rsidRPr="00933570">
        <w:rPr>
          <w:i/>
          <w:szCs w:val="20"/>
          <w:lang w:val="en-GB"/>
        </w:rPr>
        <w:t xml:space="preserve">Annex 1 to Appendix 9: OVERALL RATINGS TABLE </w:t>
      </w:r>
    </w:p>
    <w:p w14:paraId="5D797769" w14:textId="77777777" w:rsidR="00933570" w:rsidRPr="00933570" w:rsidRDefault="00933570" w:rsidP="00933570">
      <w:pPr>
        <w:jc w:val="both"/>
        <w:rPr>
          <w:szCs w:val="20"/>
          <w:lang w:val="en-GB"/>
        </w:rPr>
      </w:pP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3780"/>
        <w:gridCol w:w="1440"/>
      </w:tblGrid>
      <w:tr w:rsidR="00933570" w:rsidRPr="00933570" w14:paraId="367FC81F" w14:textId="77777777" w:rsidTr="00933570">
        <w:trPr>
          <w:tblHeader/>
        </w:trPr>
        <w:tc>
          <w:tcPr>
            <w:tcW w:w="3528" w:type="dxa"/>
            <w:tcBorders>
              <w:bottom w:val="single" w:sz="4" w:space="0" w:color="auto"/>
            </w:tcBorders>
            <w:shd w:val="clear" w:color="auto" w:fill="CCFFFF"/>
            <w:vAlign w:val="center"/>
          </w:tcPr>
          <w:p w14:paraId="17E6DB8D" w14:textId="77777777" w:rsidR="00933570" w:rsidRPr="00933570" w:rsidRDefault="00933570" w:rsidP="00933570">
            <w:pPr>
              <w:tabs>
                <w:tab w:val="num" w:pos="1440"/>
              </w:tabs>
              <w:spacing w:after="60" w:line="480" w:lineRule="auto"/>
              <w:ind w:right="170"/>
              <w:rPr>
                <w:b/>
                <w:bCs/>
                <w:sz w:val="20"/>
                <w:szCs w:val="20"/>
                <w:lang w:val="en-GB"/>
              </w:rPr>
            </w:pPr>
            <w:r w:rsidRPr="00933570">
              <w:rPr>
                <w:b/>
                <w:bCs/>
                <w:sz w:val="20"/>
                <w:szCs w:val="20"/>
                <w:lang w:val="en-GB"/>
              </w:rPr>
              <w:t>Criterion</w:t>
            </w:r>
          </w:p>
        </w:tc>
        <w:tc>
          <w:tcPr>
            <w:tcW w:w="3780" w:type="dxa"/>
            <w:tcBorders>
              <w:bottom w:val="single" w:sz="4" w:space="0" w:color="auto"/>
            </w:tcBorders>
            <w:shd w:val="clear" w:color="auto" w:fill="CCFFFF"/>
            <w:vAlign w:val="center"/>
          </w:tcPr>
          <w:p w14:paraId="0E818160" w14:textId="77777777" w:rsidR="00933570" w:rsidRPr="00933570" w:rsidRDefault="00933570" w:rsidP="00933570">
            <w:pPr>
              <w:tabs>
                <w:tab w:val="num" w:pos="1440"/>
              </w:tabs>
              <w:spacing w:after="60" w:line="480" w:lineRule="auto"/>
              <w:ind w:right="170"/>
              <w:rPr>
                <w:b/>
                <w:bCs/>
                <w:sz w:val="20"/>
                <w:szCs w:val="20"/>
                <w:lang w:val="en-GB"/>
              </w:rPr>
            </w:pPr>
            <w:r w:rsidRPr="00933570">
              <w:rPr>
                <w:b/>
                <w:bCs/>
                <w:sz w:val="20"/>
                <w:szCs w:val="20"/>
                <w:lang w:val="en-GB"/>
              </w:rPr>
              <w:t>Evaluator’s Summary Comments</w:t>
            </w:r>
          </w:p>
        </w:tc>
        <w:tc>
          <w:tcPr>
            <w:tcW w:w="1440" w:type="dxa"/>
            <w:tcBorders>
              <w:bottom w:val="single" w:sz="4" w:space="0" w:color="auto"/>
            </w:tcBorders>
            <w:shd w:val="clear" w:color="auto" w:fill="CCFFFF"/>
          </w:tcPr>
          <w:p w14:paraId="194CE87D" w14:textId="77777777" w:rsidR="00933570" w:rsidRPr="00933570" w:rsidRDefault="00933570" w:rsidP="00933570">
            <w:pPr>
              <w:tabs>
                <w:tab w:val="num" w:pos="1440"/>
              </w:tabs>
              <w:spacing w:after="60" w:line="480" w:lineRule="auto"/>
              <w:ind w:right="170"/>
              <w:rPr>
                <w:b/>
                <w:bCs/>
                <w:sz w:val="20"/>
                <w:szCs w:val="20"/>
                <w:lang w:val="en-GB"/>
              </w:rPr>
            </w:pPr>
            <w:r w:rsidRPr="00933570">
              <w:rPr>
                <w:b/>
                <w:bCs/>
                <w:color w:val="000000"/>
                <w:sz w:val="20"/>
                <w:szCs w:val="20"/>
                <w:lang w:val="en-GB"/>
              </w:rPr>
              <w:t>Evaluator’s Rating</w:t>
            </w:r>
          </w:p>
        </w:tc>
      </w:tr>
      <w:tr w:rsidR="00933570" w:rsidRPr="00933570" w14:paraId="191115A4" w14:textId="77777777" w:rsidTr="00933570">
        <w:trPr>
          <w:cantSplit/>
        </w:trPr>
        <w:tc>
          <w:tcPr>
            <w:tcW w:w="3528" w:type="dxa"/>
            <w:tcBorders>
              <w:bottom w:val="single" w:sz="4" w:space="0" w:color="auto"/>
            </w:tcBorders>
            <w:shd w:val="clear" w:color="auto" w:fill="CCCCCC"/>
          </w:tcPr>
          <w:p w14:paraId="5F2D1664" w14:textId="77777777" w:rsidR="00933570" w:rsidRPr="00933570" w:rsidRDefault="00933570" w:rsidP="00933570">
            <w:pPr>
              <w:rPr>
                <w:b/>
                <w:bCs/>
                <w:color w:val="000000"/>
                <w:sz w:val="18"/>
                <w:szCs w:val="18"/>
                <w:lang w:val="en-GB"/>
              </w:rPr>
            </w:pPr>
            <w:r w:rsidRPr="00933570">
              <w:rPr>
                <w:b/>
                <w:bCs/>
                <w:color w:val="000000"/>
                <w:sz w:val="18"/>
                <w:szCs w:val="18"/>
                <w:lang w:val="en-GB"/>
              </w:rPr>
              <w:t>A. Attainment of project objectives and results (overall rating)</w:t>
            </w:r>
          </w:p>
          <w:p w14:paraId="5FC0DEF5" w14:textId="77777777" w:rsidR="00933570" w:rsidRPr="00933570" w:rsidRDefault="00933570" w:rsidP="00933570">
            <w:pPr>
              <w:rPr>
                <w:b/>
                <w:bCs/>
                <w:color w:val="000000"/>
                <w:sz w:val="16"/>
                <w:szCs w:val="16"/>
                <w:lang w:val="en-GB"/>
              </w:rPr>
            </w:pPr>
            <w:r w:rsidRPr="00933570">
              <w:rPr>
                <w:b/>
                <w:bCs/>
                <w:color w:val="000000"/>
                <w:sz w:val="16"/>
                <w:szCs w:val="16"/>
                <w:lang w:val="en-GB"/>
              </w:rPr>
              <w:t>Sub criteria (below)</w:t>
            </w:r>
          </w:p>
        </w:tc>
        <w:tc>
          <w:tcPr>
            <w:tcW w:w="3780" w:type="dxa"/>
            <w:tcBorders>
              <w:bottom w:val="single" w:sz="4" w:space="0" w:color="auto"/>
            </w:tcBorders>
            <w:shd w:val="clear" w:color="auto" w:fill="CCCCCC"/>
          </w:tcPr>
          <w:p w14:paraId="053634AD" w14:textId="77777777" w:rsidR="00933570" w:rsidRPr="00933570" w:rsidRDefault="00933570" w:rsidP="00933570">
            <w:pPr>
              <w:rPr>
                <w:bCs/>
                <w:color w:val="000000"/>
                <w:sz w:val="18"/>
                <w:szCs w:val="18"/>
                <w:lang w:val="en-GB"/>
              </w:rPr>
            </w:pPr>
          </w:p>
        </w:tc>
        <w:tc>
          <w:tcPr>
            <w:tcW w:w="1440" w:type="dxa"/>
            <w:tcBorders>
              <w:bottom w:val="single" w:sz="4" w:space="0" w:color="auto"/>
            </w:tcBorders>
            <w:shd w:val="clear" w:color="auto" w:fill="CCCCCC"/>
          </w:tcPr>
          <w:p w14:paraId="0B8F71E5" w14:textId="77777777" w:rsidR="00933570" w:rsidRPr="00933570" w:rsidRDefault="00933570" w:rsidP="00933570">
            <w:pPr>
              <w:rPr>
                <w:bCs/>
                <w:color w:val="000000"/>
                <w:sz w:val="18"/>
                <w:szCs w:val="18"/>
                <w:lang w:val="en-GB"/>
              </w:rPr>
            </w:pPr>
          </w:p>
        </w:tc>
      </w:tr>
      <w:tr w:rsidR="00933570" w:rsidRPr="00933570" w14:paraId="678C1EEF" w14:textId="77777777" w:rsidTr="00933570">
        <w:trPr>
          <w:cantSplit/>
        </w:trPr>
        <w:tc>
          <w:tcPr>
            <w:tcW w:w="3528" w:type="dxa"/>
            <w:shd w:val="clear" w:color="auto" w:fill="FFFF99"/>
          </w:tcPr>
          <w:p w14:paraId="3F77F7F0" w14:textId="77777777" w:rsidR="00933570" w:rsidRPr="00933570" w:rsidRDefault="00933570" w:rsidP="00933570">
            <w:pPr>
              <w:ind w:left="180"/>
              <w:rPr>
                <w:bCs/>
                <w:color w:val="000000"/>
                <w:sz w:val="18"/>
                <w:szCs w:val="18"/>
                <w:lang w:val="en-GB"/>
              </w:rPr>
            </w:pPr>
            <w:r w:rsidRPr="00933570">
              <w:rPr>
                <w:bCs/>
                <w:color w:val="000000"/>
                <w:sz w:val="18"/>
                <w:szCs w:val="18"/>
                <w:lang w:val="en-GB"/>
              </w:rPr>
              <w:t xml:space="preserve">A. 1. Effectiveness </w:t>
            </w:r>
          </w:p>
        </w:tc>
        <w:tc>
          <w:tcPr>
            <w:tcW w:w="3780" w:type="dxa"/>
            <w:shd w:val="clear" w:color="auto" w:fill="FFFF99"/>
          </w:tcPr>
          <w:p w14:paraId="786F9756" w14:textId="77777777" w:rsidR="00933570" w:rsidRPr="00933570" w:rsidRDefault="00933570" w:rsidP="00933570">
            <w:pPr>
              <w:rPr>
                <w:bCs/>
                <w:color w:val="000000"/>
                <w:sz w:val="18"/>
                <w:szCs w:val="18"/>
                <w:lang w:val="en-GB"/>
              </w:rPr>
            </w:pPr>
          </w:p>
        </w:tc>
        <w:tc>
          <w:tcPr>
            <w:tcW w:w="1440" w:type="dxa"/>
            <w:shd w:val="clear" w:color="auto" w:fill="FFFF99"/>
          </w:tcPr>
          <w:p w14:paraId="6C0DC6AF" w14:textId="77777777" w:rsidR="00933570" w:rsidRPr="00933570" w:rsidRDefault="00933570" w:rsidP="00933570">
            <w:pPr>
              <w:rPr>
                <w:bCs/>
                <w:color w:val="000000"/>
                <w:sz w:val="18"/>
                <w:szCs w:val="18"/>
                <w:lang w:val="en-GB"/>
              </w:rPr>
            </w:pPr>
          </w:p>
        </w:tc>
      </w:tr>
      <w:tr w:rsidR="00933570" w:rsidRPr="00933570" w14:paraId="074AE3D4" w14:textId="77777777" w:rsidTr="00933570">
        <w:trPr>
          <w:cantSplit/>
        </w:trPr>
        <w:tc>
          <w:tcPr>
            <w:tcW w:w="3528" w:type="dxa"/>
            <w:shd w:val="clear" w:color="auto" w:fill="FFFF99"/>
          </w:tcPr>
          <w:p w14:paraId="058B9E4E" w14:textId="77777777" w:rsidR="00933570" w:rsidRPr="00933570" w:rsidRDefault="00933570" w:rsidP="00933570">
            <w:pPr>
              <w:ind w:left="180"/>
              <w:rPr>
                <w:bCs/>
                <w:color w:val="000000"/>
                <w:sz w:val="18"/>
                <w:szCs w:val="18"/>
                <w:lang w:val="en-GB"/>
              </w:rPr>
            </w:pPr>
            <w:r w:rsidRPr="00933570">
              <w:rPr>
                <w:bCs/>
                <w:color w:val="000000"/>
                <w:sz w:val="18"/>
                <w:szCs w:val="18"/>
                <w:lang w:val="en-GB"/>
              </w:rPr>
              <w:t>A. 2. Relevance</w:t>
            </w:r>
          </w:p>
        </w:tc>
        <w:tc>
          <w:tcPr>
            <w:tcW w:w="3780" w:type="dxa"/>
            <w:shd w:val="clear" w:color="auto" w:fill="FFFF99"/>
          </w:tcPr>
          <w:p w14:paraId="5844C3E4" w14:textId="77777777" w:rsidR="00933570" w:rsidRPr="00933570" w:rsidRDefault="00933570" w:rsidP="00933570">
            <w:pPr>
              <w:rPr>
                <w:bCs/>
                <w:color w:val="000000"/>
                <w:sz w:val="18"/>
                <w:szCs w:val="18"/>
                <w:lang w:val="en-GB"/>
              </w:rPr>
            </w:pPr>
          </w:p>
        </w:tc>
        <w:tc>
          <w:tcPr>
            <w:tcW w:w="1440" w:type="dxa"/>
            <w:shd w:val="clear" w:color="auto" w:fill="FFFF99"/>
          </w:tcPr>
          <w:p w14:paraId="611BEC73" w14:textId="77777777" w:rsidR="00933570" w:rsidRPr="00933570" w:rsidRDefault="00933570" w:rsidP="00933570">
            <w:pPr>
              <w:rPr>
                <w:bCs/>
                <w:color w:val="000000"/>
                <w:sz w:val="18"/>
                <w:szCs w:val="18"/>
                <w:lang w:val="en-GB"/>
              </w:rPr>
            </w:pPr>
          </w:p>
        </w:tc>
      </w:tr>
      <w:tr w:rsidR="00933570" w:rsidRPr="00933570" w14:paraId="4C2C716E" w14:textId="77777777" w:rsidTr="00933570">
        <w:trPr>
          <w:cantSplit/>
        </w:trPr>
        <w:tc>
          <w:tcPr>
            <w:tcW w:w="3528" w:type="dxa"/>
            <w:tcBorders>
              <w:bottom w:val="single" w:sz="4" w:space="0" w:color="auto"/>
            </w:tcBorders>
            <w:shd w:val="clear" w:color="auto" w:fill="FFFF99"/>
          </w:tcPr>
          <w:p w14:paraId="5F12ECA4" w14:textId="77777777" w:rsidR="00933570" w:rsidRPr="00933570" w:rsidRDefault="00933570" w:rsidP="00933570">
            <w:pPr>
              <w:ind w:left="180"/>
              <w:rPr>
                <w:bCs/>
                <w:color w:val="000000"/>
                <w:sz w:val="18"/>
                <w:szCs w:val="18"/>
                <w:lang w:val="en-GB"/>
              </w:rPr>
            </w:pPr>
            <w:r w:rsidRPr="00933570">
              <w:rPr>
                <w:bCs/>
                <w:color w:val="000000"/>
                <w:sz w:val="18"/>
                <w:szCs w:val="18"/>
                <w:lang w:val="en-GB"/>
              </w:rPr>
              <w:t>A. 3. Efficiency</w:t>
            </w:r>
          </w:p>
        </w:tc>
        <w:tc>
          <w:tcPr>
            <w:tcW w:w="3780" w:type="dxa"/>
            <w:tcBorders>
              <w:bottom w:val="single" w:sz="4" w:space="0" w:color="auto"/>
            </w:tcBorders>
            <w:shd w:val="clear" w:color="auto" w:fill="FFFF99"/>
          </w:tcPr>
          <w:p w14:paraId="740D4B5B" w14:textId="77777777" w:rsidR="00933570" w:rsidRPr="00933570" w:rsidRDefault="00933570" w:rsidP="00933570">
            <w:pPr>
              <w:rPr>
                <w:bCs/>
                <w:color w:val="000000"/>
                <w:sz w:val="18"/>
                <w:szCs w:val="18"/>
                <w:lang w:val="en-GB"/>
              </w:rPr>
            </w:pPr>
          </w:p>
        </w:tc>
        <w:tc>
          <w:tcPr>
            <w:tcW w:w="1440" w:type="dxa"/>
            <w:tcBorders>
              <w:bottom w:val="single" w:sz="4" w:space="0" w:color="auto"/>
            </w:tcBorders>
            <w:shd w:val="clear" w:color="auto" w:fill="FFFF99"/>
          </w:tcPr>
          <w:p w14:paraId="3D10E4F5" w14:textId="77777777" w:rsidR="00933570" w:rsidRPr="00933570" w:rsidRDefault="00933570" w:rsidP="00933570">
            <w:pPr>
              <w:rPr>
                <w:bCs/>
                <w:color w:val="000000"/>
                <w:sz w:val="18"/>
                <w:szCs w:val="18"/>
                <w:lang w:val="en-GB"/>
              </w:rPr>
            </w:pPr>
          </w:p>
        </w:tc>
      </w:tr>
      <w:tr w:rsidR="00933570" w:rsidRPr="00933570" w14:paraId="77EE7B49" w14:textId="77777777" w:rsidTr="00933570">
        <w:tc>
          <w:tcPr>
            <w:tcW w:w="3528" w:type="dxa"/>
            <w:tcBorders>
              <w:bottom w:val="single" w:sz="4" w:space="0" w:color="auto"/>
            </w:tcBorders>
            <w:shd w:val="clear" w:color="auto" w:fill="CCCCCC"/>
          </w:tcPr>
          <w:p w14:paraId="60086E6A" w14:textId="77777777" w:rsidR="00933570" w:rsidRPr="00933570" w:rsidRDefault="00933570" w:rsidP="00933570">
            <w:pPr>
              <w:rPr>
                <w:b/>
                <w:bCs/>
                <w:color w:val="000000"/>
                <w:sz w:val="18"/>
                <w:szCs w:val="18"/>
                <w:lang w:val="en-GB"/>
              </w:rPr>
            </w:pPr>
            <w:r w:rsidRPr="00933570">
              <w:rPr>
                <w:b/>
                <w:bCs/>
                <w:color w:val="000000"/>
                <w:sz w:val="18"/>
                <w:szCs w:val="18"/>
                <w:lang w:val="en-GB"/>
              </w:rPr>
              <w:t>B. Sustainability of Project outcomes</w:t>
            </w:r>
          </w:p>
          <w:p w14:paraId="3E80B019" w14:textId="77777777" w:rsidR="00933570" w:rsidRPr="00933570" w:rsidRDefault="00933570" w:rsidP="00933570">
            <w:pPr>
              <w:rPr>
                <w:b/>
                <w:bCs/>
                <w:color w:val="000000"/>
                <w:sz w:val="18"/>
                <w:szCs w:val="18"/>
                <w:lang w:val="en-GB"/>
              </w:rPr>
            </w:pPr>
            <w:r w:rsidRPr="00933570">
              <w:rPr>
                <w:b/>
                <w:bCs/>
                <w:color w:val="000000"/>
                <w:sz w:val="18"/>
                <w:szCs w:val="18"/>
                <w:lang w:val="en-GB"/>
              </w:rPr>
              <w:t>(overall rating)</w:t>
            </w:r>
          </w:p>
          <w:p w14:paraId="69F095E2" w14:textId="77777777" w:rsidR="00933570" w:rsidRPr="00933570" w:rsidRDefault="00933570" w:rsidP="00933570">
            <w:pPr>
              <w:rPr>
                <w:b/>
                <w:bCs/>
                <w:color w:val="000000"/>
                <w:sz w:val="16"/>
                <w:szCs w:val="16"/>
                <w:lang w:val="en-GB"/>
              </w:rPr>
            </w:pPr>
            <w:r w:rsidRPr="00933570">
              <w:rPr>
                <w:b/>
                <w:bCs/>
                <w:color w:val="000000"/>
                <w:sz w:val="16"/>
                <w:szCs w:val="16"/>
                <w:lang w:val="en-GB"/>
              </w:rPr>
              <w:t>Sub criteria (below)</w:t>
            </w:r>
          </w:p>
        </w:tc>
        <w:tc>
          <w:tcPr>
            <w:tcW w:w="3780" w:type="dxa"/>
            <w:tcBorders>
              <w:bottom w:val="single" w:sz="4" w:space="0" w:color="auto"/>
            </w:tcBorders>
            <w:shd w:val="clear" w:color="auto" w:fill="CCCCCC"/>
          </w:tcPr>
          <w:p w14:paraId="4DB2E108" w14:textId="77777777" w:rsidR="00933570" w:rsidRPr="00933570" w:rsidRDefault="00933570" w:rsidP="00933570">
            <w:pPr>
              <w:rPr>
                <w:bCs/>
                <w:color w:val="000000"/>
                <w:sz w:val="18"/>
                <w:szCs w:val="18"/>
                <w:lang w:val="en-GB"/>
              </w:rPr>
            </w:pPr>
          </w:p>
        </w:tc>
        <w:tc>
          <w:tcPr>
            <w:tcW w:w="1440" w:type="dxa"/>
            <w:tcBorders>
              <w:bottom w:val="single" w:sz="4" w:space="0" w:color="auto"/>
            </w:tcBorders>
            <w:shd w:val="clear" w:color="auto" w:fill="CCCCCC"/>
          </w:tcPr>
          <w:p w14:paraId="626FD941" w14:textId="77777777" w:rsidR="00933570" w:rsidRPr="00933570" w:rsidRDefault="00933570" w:rsidP="00933570">
            <w:pPr>
              <w:rPr>
                <w:bCs/>
                <w:color w:val="000000"/>
                <w:sz w:val="18"/>
                <w:szCs w:val="18"/>
                <w:lang w:val="en-GB"/>
              </w:rPr>
            </w:pPr>
          </w:p>
        </w:tc>
      </w:tr>
      <w:tr w:rsidR="00933570" w:rsidRPr="00933570" w14:paraId="4084189D" w14:textId="77777777" w:rsidTr="00933570">
        <w:tc>
          <w:tcPr>
            <w:tcW w:w="3528" w:type="dxa"/>
            <w:shd w:val="clear" w:color="auto" w:fill="FFFF99"/>
          </w:tcPr>
          <w:p w14:paraId="12FC9636" w14:textId="77777777" w:rsidR="00933570" w:rsidRPr="00933570" w:rsidRDefault="00933570" w:rsidP="00933570">
            <w:pPr>
              <w:ind w:left="180"/>
              <w:rPr>
                <w:bCs/>
                <w:color w:val="000000"/>
                <w:sz w:val="18"/>
                <w:szCs w:val="18"/>
                <w:lang w:val="en-GB"/>
              </w:rPr>
            </w:pPr>
            <w:r w:rsidRPr="00933570">
              <w:rPr>
                <w:bCs/>
                <w:color w:val="000000"/>
                <w:sz w:val="18"/>
                <w:szCs w:val="18"/>
                <w:lang w:val="en-GB"/>
              </w:rPr>
              <w:t>B. 1. Financial</w:t>
            </w:r>
          </w:p>
        </w:tc>
        <w:tc>
          <w:tcPr>
            <w:tcW w:w="3780" w:type="dxa"/>
            <w:shd w:val="clear" w:color="auto" w:fill="FFFF99"/>
          </w:tcPr>
          <w:p w14:paraId="7F1B3E4D" w14:textId="77777777" w:rsidR="00933570" w:rsidRPr="00933570" w:rsidRDefault="00933570" w:rsidP="00933570">
            <w:pPr>
              <w:rPr>
                <w:bCs/>
                <w:color w:val="000000"/>
                <w:sz w:val="18"/>
                <w:szCs w:val="18"/>
                <w:lang w:val="en-GB"/>
              </w:rPr>
            </w:pPr>
          </w:p>
        </w:tc>
        <w:tc>
          <w:tcPr>
            <w:tcW w:w="1440" w:type="dxa"/>
            <w:shd w:val="clear" w:color="auto" w:fill="FFFF99"/>
          </w:tcPr>
          <w:p w14:paraId="53320203" w14:textId="77777777" w:rsidR="00933570" w:rsidRPr="00933570" w:rsidRDefault="00933570" w:rsidP="00933570">
            <w:pPr>
              <w:rPr>
                <w:bCs/>
                <w:color w:val="000000"/>
                <w:sz w:val="18"/>
                <w:szCs w:val="18"/>
                <w:lang w:val="en-GB"/>
              </w:rPr>
            </w:pPr>
          </w:p>
        </w:tc>
      </w:tr>
      <w:tr w:rsidR="00933570" w:rsidRPr="00933570" w14:paraId="2BEE4416" w14:textId="77777777" w:rsidTr="00933570">
        <w:tc>
          <w:tcPr>
            <w:tcW w:w="3528" w:type="dxa"/>
            <w:shd w:val="clear" w:color="auto" w:fill="FFFF99"/>
          </w:tcPr>
          <w:p w14:paraId="26B10B9D" w14:textId="77777777" w:rsidR="00933570" w:rsidRPr="00933570" w:rsidRDefault="00933570" w:rsidP="00933570">
            <w:pPr>
              <w:ind w:left="180"/>
              <w:rPr>
                <w:bCs/>
                <w:color w:val="000000"/>
                <w:sz w:val="18"/>
                <w:szCs w:val="18"/>
                <w:lang w:val="en-GB"/>
              </w:rPr>
            </w:pPr>
            <w:r w:rsidRPr="00933570">
              <w:rPr>
                <w:bCs/>
                <w:color w:val="000000"/>
                <w:sz w:val="18"/>
                <w:szCs w:val="18"/>
                <w:lang w:val="en-GB"/>
              </w:rPr>
              <w:t>B. 2. Socio Political</w:t>
            </w:r>
          </w:p>
        </w:tc>
        <w:tc>
          <w:tcPr>
            <w:tcW w:w="3780" w:type="dxa"/>
            <w:shd w:val="clear" w:color="auto" w:fill="FFFF99"/>
          </w:tcPr>
          <w:p w14:paraId="711751EF" w14:textId="77777777" w:rsidR="00933570" w:rsidRPr="00933570" w:rsidRDefault="00933570" w:rsidP="00933570">
            <w:pPr>
              <w:rPr>
                <w:bCs/>
                <w:color w:val="000000"/>
                <w:sz w:val="18"/>
                <w:szCs w:val="18"/>
                <w:lang w:val="en-GB"/>
              </w:rPr>
            </w:pPr>
          </w:p>
        </w:tc>
        <w:tc>
          <w:tcPr>
            <w:tcW w:w="1440" w:type="dxa"/>
            <w:shd w:val="clear" w:color="auto" w:fill="FFFF99"/>
          </w:tcPr>
          <w:p w14:paraId="26AF3E1A" w14:textId="77777777" w:rsidR="00933570" w:rsidRPr="00933570" w:rsidRDefault="00933570" w:rsidP="00933570">
            <w:pPr>
              <w:rPr>
                <w:bCs/>
                <w:color w:val="000000"/>
                <w:sz w:val="18"/>
                <w:szCs w:val="18"/>
                <w:lang w:val="en-GB"/>
              </w:rPr>
            </w:pPr>
          </w:p>
        </w:tc>
      </w:tr>
      <w:tr w:rsidR="00933570" w:rsidRPr="00933570" w14:paraId="1750A857" w14:textId="77777777" w:rsidTr="00933570">
        <w:tc>
          <w:tcPr>
            <w:tcW w:w="3528" w:type="dxa"/>
            <w:shd w:val="clear" w:color="auto" w:fill="FFFF99"/>
          </w:tcPr>
          <w:p w14:paraId="6EB6D542" w14:textId="77777777" w:rsidR="00933570" w:rsidRPr="00933570" w:rsidRDefault="00933570" w:rsidP="00933570">
            <w:pPr>
              <w:ind w:left="180"/>
              <w:rPr>
                <w:bCs/>
                <w:color w:val="000000"/>
                <w:sz w:val="18"/>
                <w:szCs w:val="18"/>
                <w:highlight w:val="yellow"/>
                <w:lang w:val="en-GB"/>
              </w:rPr>
            </w:pPr>
            <w:r w:rsidRPr="00933570">
              <w:rPr>
                <w:bCs/>
                <w:color w:val="000000"/>
                <w:sz w:val="18"/>
                <w:szCs w:val="18"/>
                <w:lang w:val="en-GB"/>
              </w:rPr>
              <w:t>B. 3. Institutional framework and governance</w:t>
            </w:r>
          </w:p>
        </w:tc>
        <w:tc>
          <w:tcPr>
            <w:tcW w:w="3780" w:type="dxa"/>
            <w:shd w:val="clear" w:color="auto" w:fill="FFFF99"/>
          </w:tcPr>
          <w:p w14:paraId="772039F0" w14:textId="77777777" w:rsidR="00933570" w:rsidRPr="00933570" w:rsidRDefault="00933570" w:rsidP="00933570">
            <w:pPr>
              <w:rPr>
                <w:bCs/>
                <w:color w:val="000000"/>
                <w:sz w:val="18"/>
                <w:szCs w:val="18"/>
                <w:lang w:val="en-GB"/>
              </w:rPr>
            </w:pPr>
          </w:p>
        </w:tc>
        <w:tc>
          <w:tcPr>
            <w:tcW w:w="1440" w:type="dxa"/>
            <w:shd w:val="clear" w:color="auto" w:fill="FFFF99"/>
          </w:tcPr>
          <w:p w14:paraId="2A5B9ADC" w14:textId="77777777" w:rsidR="00933570" w:rsidRPr="00933570" w:rsidRDefault="00933570" w:rsidP="00933570">
            <w:pPr>
              <w:rPr>
                <w:bCs/>
                <w:color w:val="000000"/>
                <w:sz w:val="18"/>
                <w:szCs w:val="18"/>
                <w:lang w:val="en-GB"/>
              </w:rPr>
            </w:pPr>
          </w:p>
        </w:tc>
      </w:tr>
      <w:tr w:rsidR="00933570" w:rsidRPr="00933570" w14:paraId="4FF3ACFE" w14:textId="77777777" w:rsidTr="00933570">
        <w:tc>
          <w:tcPr>
            <w:tcW w:w="3528" w:type="dxa"/>
            <w:tcBorders>
              <w:bottom w:val="single" w:sz="4" w:space="0" w:color="auto"/>
            </w:tcBorders>
            <w:shd w:val="clear" w:color="auto" w:fill="FFFF99"/>
          </w:tcPr>
          <w:p w14:paraId="0C56D0D9" w14:textId="77777777" w:rsidR="00933570" w:rsidRPr="00933570" w:rsidRDefault="00933570" w:rsidP="00933570">
            <w:pPr>
              <w:ind w:left="180"/>
              <w:rPr>
                <w:bCs/>
                <w:color w:val="000000"/>
                <w:sz w:val="18"/>
                <w:szCs w:val="18"/>
                <w:lang w:val="en-GB"/>
              </w:rPr>
            </w:pPr>
            <w:r w:rsidRPr="00933570">
              <w:rPr>
                <w:bCs/>
                <w:color w:val="000000"/>
                <w:sz w:val="18"/>
                <w:szCs w:val="18"/>
                <w:lang w:val="en-GB"/>
              </w:rPr>
              <w:t>B. 4. Ecological</w:t>
            </w:r>
          </w:p>
        </w:tc>
        <w:tc>
          <w:tcPr>
            <w:tcW w:w="3780" w:type="dxa"/>
            <w:tcBorders>
              <w:bottom w:val="single" w:sz="4" w:space="0" w:color="auto"/>
            </w:tcBorders>
            <w:shd w:val="clear" w:color="auto" w:fill="FFFF99"/>
          </w:tcPr>
          <w:p w14:paraId="7996D3FE" w14:textId="77777777" w:rsidR="00933570" w:rsidRPr="00933570" w:rsidRDefault="00933570" w:rsidP="00933570">
            <w:pPr>
              <w:rPr>
                <w:bCs/>
                <w:color w:val="000000"/>
                <w:sz w:val="18"/>
                <w:szCs w:val="18"/>
                <w:lang w:val="en-GB"/>
              </w:rPr>
            </w:pPr>
          </w:p>
        </w:tc>
        <w:tc>
          <w:tcPr>
            <w:tcW w:w="1440" w:type="dxa"/>
            <w:tcBorders>
              <w:bottom w:val="single" w:sz="4" w:space="0" w:color="auto"/>
            </w:tcBorders>
            <w:shd w:val="clear" w:color="auto" w:fill="FFFF99"/>
          </w:tcPr>
          <w:p w14:paraId="2A4FBC33" w14:textId="77777777" w:rsidR="00933570" w:rsidRPr="00933570" w:rsidRDefault="00933570" w:rsidP="00933570">
            <w:pPr>
              <w:rPr>
                <w:bCs/>
                <w:color w:val="000000"/>
                <w:sz w:val="18"/>
                <w:szCs w:val="18"/>
                <w:lang w:val="en-GB"/>
              </w:rPr>
            </w:pPr>
          </w:p>
        </w:tc>
      </w:tr>
      <w:tr w:rsidR="00933570" w:rsidRPr="00933570" w14:paraId="213E8ECC" w14:textId="77777777" w:rsidTr="00933570">
        <w:tc>
          <w:tcPr>
            <w:tcW w:w="3528" w:type="dxa"/>
            <w:shd w:val="clear" w:color="auto" w:fill="CCCCCC"/>
          </w:tcPr>
          <w:p w14:paraId="52407C84" w14:textId="77777777" w:rsidR="00933570" w:rsidRPr="00933570" w:rsidRDefault="00933570" w:rsidP="00933570">
            <w:pPr>
              <w:rPr>
                <w:b/>
                <w:bCs/>
                <w:color w:val="000000"/>
                <w:sz w:val="18"/>
                <w:szCs w:val="18"/>
                <w:lang w:val="en-GB"/>
              </w:rPr>
            </w:pPr>
            <w:r w:rsidRPr="00933570">
              <w:rPr>
                <w:b/>
                <w:bCs/>
                <w:color w:val="000000"/>
                <w:sz w:val="18"/>
                <w:szCs w:val="18"/>
                <w:lang w:val="en-GB"/>
              </w:rPr>
              <w:t>C. Achievement of outputs and activities</w:t>
            </w:r>
          </w:p>
        </w:tc>
        <w:tc>
          <w:tcPr>
            <w:tcW w:w="3780" w:type="dxa"/>
            <w:shd w:val="clear" w:color="auto" w:fill="CCCCCC"/>
          </w:tcPr>
          <w:p w14:paraId="0EF5B18B" w14:textId="77777777" w:rsidR="00933570" w:rsidRPr="00933570" w:rsidRDefault="00933570" w:rsidP="00933570">
            <w:pPr>
              <w:rPr>
                <w:bCs/>
                <w:color w:val="000000"/>
                <w:sz w:val="18"/>
                <w:szCs w:val="18"/>
                <w:lang w:val="en-GB"/>
              </w:rPr>
            </w:pPr>
          </w:p>
        </w:tc>
        <w:tc>
          <w:tcPr>
            <w:tcW w:w="1440" w:type="dxa"/>
            <w:shd w:val="clear" w:color="auto" w:fill="CCCCCC"/>
          </w:tcPr>
          <w:p w14:paraId="02A8CFF5" w14:textId="77777777" w:rsidR="00933570" w:rsidRPr="00933570" w:rsidRDefault="00933570" w:rsidP="00933570">
            <w:pPr>
              <w:rPr>
                <w:bCs/>
                <w:color w:val="000000"/>
                <w:sz w:val="18"/>
                <w:szCs w:val="18"/>
                <w:lang w:val="en-GB"/>
              </w:rPr>
            </w:pPr>
          </w:p>
        </w:tc>
      </w:tr>
      <w:tr w:rsidR="00933570" w:rsidRPr="00933570" w14:paraId="56D04101" w14:textId="77777777" w:rsidTr="00933570">
        <w:tc>
          <w:tcPr>
            <w:tcW w:w="3528" w:type="dxa"/>
            <w:tcBorders>
              <w:bottom w:val="single" w:sz="4" w:space="0" w:color="auto"/>
            </w:tcBorders>
            <w:shd w:val="clear" w:color="auto" w:fill="CCCCCC"/>
          </w:tcPr>
          <w:p w14:paraId="77F8E2B4" w14:textId="77777777" w:rsidR="00933570" w:rsidRPr="00933570" w:rsidRDefault="00933570" w:rsidP="00933570">
            <w:pPr>
              <w:rPr>
                <w:b/>
                <w:bCs/>
                <w:color w:val="000000"/>
                <w:sz w:val="18"/>
                <w:szCs w:val="18"/>
                <w:lang w:val="en-GB"/>
              </w:rPr>
            </w:pPr>
            <w:r w:rsidRPr="00933570">
              <w:rPr>
                <w:b/>
                <w:bCs/>
                <w:color w:val="000000"/>
                <w:sz w:val="18"/>
                <w:szCs w:val="18"/>
                <w:lang w:val="en-GB"/>
              </w:rPr>
              <w:t xml:space="preserve">D. Monitoring and Evaluation </w:t>
            </w:r>
          </w:p>
          <w:p w14:paraId="221E05E2" w14:textId="77777777" w:rsidR="00933570" w:rsidRPr="00933570" w:rsidRDefault="00933570" w:rsidP="00933570">
            <w:pPr>
              <w:rPr>
                <w:b/>
                <w:bCs/>
                <w:color w:val="000000"/>
                <w:sz w:val="18"/>
                <w:szCs w:val="18"/>
                <w:lang w:val="en-GB"/>
              </w:rPr>
            </w:pPr>
            <w:r w:rsidRPr="00933570">
              <w:rPr>
                <w:b/>
                <w:bCs/>
                <w:color w:val="000000"/>
                <w:sz w:val="18"/>
                <w:szCs w:val="18"/>
                <w:lang w:val="en-GB"/>
              </w:rPr>
              <w:t>(overall rating)</w:t>
            </w:r>
          </w:p>
          <w:p w14:paraId="74D4778E" w14:textId="77777777" w:rsidR="00933570" w:rsidRPr="00933570" w:rsidRDefault="00933570" w:rsidP="00933570">
            <w:pPr>
              <w:rPr>
                <w:b/>
                <w:bCs/>
                <w:color w:val="000000"/>
                <w:sz w:val="16"/>
                <w:szCs w:val="16"/>
                <w:lang w:val="en-GB"/>
              </w:rPr>
            </w:pPr>
            <w:r w:rsidRPr="00933570">
              <w:rPr>
                <w:b/>
                <w:bCs/>
                <w:color w:val="000000"/>
                <w:sz w:val="16"/>
                <w:szCs w:val="16"/>
                <w:lang w:val="en-GB"/>
              </w:rPr>
              <w:t>Sub criteria (below)</w:t>
            </w:r>
          </w:p>
        </w:tc>
        <w:tc>
          <w:tcPr>
            <w:tcW w:w="3780" w:type="dxa"/>
            <w:tcBorders>
              <w:bottom w:val="single" w:sz="4" w:space="0" w:color="auto"/>
            </w:tcBorders>
            <w:shd w:val="clear" w:color="auto" w:fill="CCCCCC"/>
          </w:tcPr>
          <w:p w14:paraId="15FB753B" w14:textId="77777777" w:rsidR="00933570" w:rsidRPr="00933570" w:rsidRDefault="00933570" w:rsidP="00933570">
            <w:pPr>
              <w:rPr>
                <w:bCs/>
                <w:color w:val="000000"/>
                <w:sz w:val="18"/>
                <w:szCs w:val="18"/>
                <w:lang w:val="en-GB"/>
              </w:rPr>
            </w:pPr>
          </w:p>
        </w:tc>
        <w:tc>
          <w:tcPr>
            <w:tcW w:w="1440" w:type="dxa"/>
            <w:tcBorders>
              <w:bottom w:val="single" w:sz="4" w:space="0" w:color="auto"/>
            </w:tcBorders>
            <w:shd w:val="clear" w:color="auto" w:fill="CCCCCC"/>
          </w:tcPr>
          <w:p w14:paraId="6ACD089C" w14:textId="77777777" w:rsidR="00933570" w:rsidRPr="00933570" w:rsidRDefault="00933570" w:rsidP="00933570">
            <w:pPr>
              <w:rPr>
                <w:bCs/>
                <w:color w:val="000000"/>
                <w:sz w:val="18"/>
                <w:szCs w:val="18"/>
                <w:lang w:val="en-GB"/>
              </w:rPr>
            </w:pPr>
          </w:p>
        </w:tc>
      </w:tr>
      <w:tr w:rsidR="00933570" w:rsidRPr="00933570" w14:paraId="2852383C" w14:textId="77777777" w:rsidTr="00933570">
        <w:tc>
          <w:tcPr>
            <w:tcW w:w="3528" w:type="dxa"/>
            <w:shd w:val="clear" w:color="auto" w:fill="FFFF99"/>
          </w:tcPr>
          <w:p w14:paraId="0E5AB8C7" w14:textId="77777777" w:rsidR="00933570" w:rsidRPr="00933570" w:rsidRDefault="00933570" w:rsidP="00933570">
            <w:pPr>
              <w:ind w:left="180"/>
              <w:rPr>
                <w:bCs/>
                <w:color w:val="000000"/>
                <w:sz w:val="18"/>
                <w:szCs w:val="18"/>
                <w:lang w:val="en-GB"/>
              </w:rPr>
            </w:pPr>
            <w:r w:rsidRPr="00933570">
              <w:rPr>
                <w:bCs/>
                <w:color w:val="000000"/>
                <w:sz w:val="18"/>
                <w:szCs w:val="18"/>
                <w:lang w:val="en-GB"/>
              </w:rPr>
              <w:t>D. 1. M&amp;E Design</w:t>
            </w:r>
          </w:p>
        </w:tc>
        <w:tc>
          <w:tcPr>
            <w:tcW w:w="3780" w:type="dxa"/>
            <w:shd w:val="clear" w:color="auto" w:fill="FFFF99"/>
          </w:tcPr>
          <w:p w14:paraId="496F75F8" w14:textId="77777777" w:rsidR="00933570" w:rsidRPr="00933570" w:rsidRDefault="00933570" w:rsidP="00933570">
            <w:pPr>
              <w:rPr>
                <w:bCs/>
                <w:color w:val="000000"/>
                <w:sz w:val="18"/>
                <w:szCs w:val="18"/>
                <w:lang w:val="en-GB"/>
              </w:rPr>
            </w:pPr>
          </w:p>
        </w:tc>
        <w:tc>
          <w:tcPr>
            <w:tcW w:w="1440" w:type="dxa"/>
            <w:shd w:val="clear" w:color="auto" w:fill="FFFF99"/>
          </w:tcPr>
          <w:p w14:paraId="540D9677" w14:textId="77777777" w:rsidR="00933570" w:rsidRPr="00933570" w:rsidRDefault="00933570" w:rsidP="00933570">
            <w:pPr>
              <w:rPr>
                <w:bCs/>
                <w:color w:val="000000"/>
                <w:sz w:val="18"/>
                <w:szCs w:val="18"/>
                <w:lang w:val="en-GB"/>
              </w:rPr>
            </w:pPr>
          </w:p>
        </w:tc>
      </w:tr>
      <w:tr w:rsidR="00933570" w:rsidRPr="00933570" w14:paraId="5270721D" w14:textId="77777777" w:rsidTr="00933570">
        <w:tc>
          <w:tcPr>
            <w:tcW w:w="3528" w:type="dxa"/>
            <w:shd w:val="clear" w:color="auto" w:fill="FFFF99"/>
          </w:tcPr>
          <w:p w14:paraId="754429F0" w14:textId="77777777" w:rsidR="00933570" w:rsidRPr="00933570" w:rsidRDefault="00933570" w:rsidP="00933570">
            <w:pPr>
              <w:ind w:left="180"/>
              <w:rPr>
                <w:bCs/>
                <w:color w:val="000000"/>
                <w:sz w:val="18"/>
                <w:szCs w:val="18"/>
                <w:lang w:val="en-GB"/>
              </w:rPr>
            </w:pPr>
            <w:r w:rsidRPr="00933570">
              <w:rPr>
                <w:bCs/>
                <w:color w:val="000000"/>
                <w:sz w:val="18"/>
                <w:szCs w:val="18"/>
                <w:lang w:val="en-GB"/>
              </w:rPr>
              <w:t xml:space="preserve">D. 2. M&amp;E Plan Implementation (use for adaptive management) </w:t>
            </w:r>
          </w:p>
        </w:tc>
        <w:tc>
          <w:tcPr>
            <w:tcW w:w="3780" w:type="dxa"/>
            <w:shd w:val="clear" w:color="auto" w:fill="FFFF99"/>
          </w:tcPr>
          <w:p w14:paraId="5309DBB7" w14:textId="77777777" w:rsidR="00933570" w:rsidRPr="00933570" w:rsidRDefault="00933570" w:rsidP="00933570">
            <w:pPr>
              <w:rPr>
                <w:bCs/>
                <w:color w:val="000000"/>
                <w:sz w:val="18"/>
                <w:szCs w:val="18"/>
                <w:lang w:val="en-GB"/>
              </w:rPr>
            </w:pPr>
          </w:p>
        </w:tc>
        <w:tc>
          <w:tcPr>
            <w:tcW w:w="1440" w:type="dxa"/>
            <w:shd w:val="clear" w:color="auto" w:fill="FFFF99"/>
          </w:tcPr>
          <w:p w14:paraId="3C3EDB50" w14:textId="77777777" w:rsidR="00933570" w:rsidRPr="00933570" w:rsidRDefault="00933570" w:rsidP="00933570">
            <w:pPr>
              <w:rPr>
                <w:bCs/>
                <w:color w:val="000000"/>
                <w:sz w:val="18"/>
                <w:szCs w:val="18"/>
                <w:lang w:val="en-GB"/>
              </w:rPr>
            </w:pPr>
          </w:p>
        </w:tc>
      </w:tr>
      <w:tr w:rsidR="00933570" w:rsidRPr="00933570" w14:paraId="37E0926F" w14:textId="77777777" w:rsidTr="00933570">
        <w:tc>
          <w:tcPr>
            <w:tcW w:w="3528" w:type="dxa"/>
            <w:tcBorders>
              <w:bottom w:val="single" w:sz="4" w:space="0" w:color="auto"/>
            </w:tcBorders>
            <w:shd w:val="clear" w:color="auto" w:fill="FFFF99"/>
          </w:tcPr>
          <w:p w14:paraId="3ED6AB83" w14:textId="77777777" w:rsidR="00933570" w:rsidRPr="00933570" w:rsidRDefault="00933570" w:rsidP="00933570">
            <w:pPr>
              <w:ind w:left="180"/>
              <w:rPr>
                <w:bCs/>
                <w:color w:val="000000"/>
                <w:sz w:val="18"/>
                <w:szCs w:val="18"/>
                <w:lang w:val="en-GB"/>
              </w:rPr>
            </w:pPr>
            <w:r w:rsidRPr="00933570">
              <w:rPr>
                <w:bCs/>
                <w:color w:val="000000"/>
                <w:sz w:val="18"/>
                <w:szCs w:val="18"/>
                <w:lang w:val="en-GB"/>
              </w:rPr>
              <w:t>D. 3. Budgeting and Funding for M&amp;E activities</w:t>
            </w:r>
          </w:p>
        </w:tc>
        <w:tc>
          <w:tcPr>
            <w:tcW w:w="3780" w:type="dxa"/>
            <w:tcBorders>
              <w:bottom w:val="single" w:sz="4" w:space="0" w:color="auto"/>
            </w:tcBorders>
            <w:shd w:val="clear" w:color="auto" w:fill="FFFF99"/>
          </w:tcPr>
          <w:p w14:paraId="4C7E866C" w14:textId="77777777" w:rsidR="00933570" w:rsidRPr="00933570" w:rsidRDefault="00933570" w:rsidP="00933570">
            <w:pPr>
              <w:rPr>
                <w:bCs/>
                <w:color w:val="000000"/>
                <w:sz w:val="18"/>
                <w:szCs w:val="18"/>
                <w:lang w:val="en-GB"/>
              </w:rPr>
            </w:pPr>
          </w:p>
        </w:tc>
        <w:tc>
          <w:tcPr>
            <w:tcW w:w="1440" w:type="dxa"/>
            <w:tcBorders>
              <w:bottom w:val="single" w:sz="4" w:space="0" w:color="auto"/>
            </w:tcBorders>
            <w:shd w:val="clear" w:color="auto" w:fill="FFFF99"/>
          </w:tcPr>
          <w:p w14:paraId="2CF7C22A" w14:textId="77777777" w:rsidR="00933570" w:rsidRPr="00933570" w:rsidRDefault="00933570" w:rsidP="00933570">
            <w:pPr>
              <w:rPr>
                <w:bCs/>
                <w:color w:val="000000"/>
                <w:sz w:val="18"/>
                <w:szCs w:val="18"/>
                <w:lang w:val="en-GB"/>
              </w:rPr>
            </w:pPr>
          </w:p>
        </w:tc>
      </w:tr>
      <w:tr w:rsidR="00933570" w:rsidRPr="00933570" w14:paraId="062B13D4" w14:textId="77777777" w:rsidTr="00933570">
        <w:tc>
          <w:tcPr>
            <w:tcW w:w="3528" w:type="dxa"/>
            <w:shd w:val="clear" w:color="auto" w:fill="E6E6E6"/>
          </w:tcPr>
          <w:p w14:paraId="3D5E899C" w14:textId="77777777" w:rsidR="00933570" w:rsidRPr="00933570" w:rsidRDefault="00933570" w:rsidP="00933570">
            <w:pPr>
              <w:rPr>
                <w:b/>
                <w:bCs/>
                <w:color w:val="000000"/>
                <w:sz w:val="18"/>
                <w:szCs w:val="18"/>
                <w:lang w:val="en-GB"/>
              </w:rPr>
            </w:pPr>
            <w:r w:rsidRPr="00933570">
              <w:rPr>
                <w:b/>
                <w:bCs/>
                <w:color w:val="000000"/>
                <w:sz w:val="18"/>
                <w:szCs w:val="18"/>
                <w:lang w:val="en-GB"/>
              </w:rPr>
              <w:t>E. Catalytic Role</w:t>
            </w:r>
          </w:p>
        </w:tc>
        <w:tc>
          <w:tcPr>
            <w:tcW w:w="3780" w:type="dxa"/>
            <w:shd w:val="clear" w:color="auto" w:fill="E6E6E6"/>
          </w:tcPr>
          <w:p w14:paraId="6ED204FA" w14:textId="77777777" w:rsidR="00933570" w:rsidRPr="00933570" w:rsidRDefault="00933570" w:rsidP="00933570">
            <w:pPr>
              <w:rPr>
                <w:bCs/>
                <w:color w:val="000000"/>
                <w:sz w:val="18"/>
                <w:szCs w:val="18"/>
                <w:lang w:val="en-GB"/>
              </w:rPr>
            </w:pPr>
          </w:p>
        </w:tc>
        <w:tc>
          <w:tcPr>
            <w:tcW w:w="1440" w:type="dxa"/>
            <w:shd w:val="clear" w:color="auto" w:fill="E6E6E6"/>
          </w:tcPr>
          <w:p w14:paraId="0A15ECD3" w14:textId="77777777" w:rsidR="00933570" w:rsidRPr="00933570" w:rsidRDefault="00933570" w:rsidP="00933570">
            <w:pPr>
              <w:rPr>
                <w:bCs/>
                <w:color w:val="000000"/>
                <w:sz w:val="18"/>
                <w:szCs w:val="18"/>
                <w:lang w:val="en-GB"/>
              </w:rPr>
            </w:pPr>
          </w:p>
        </w:tc>
      </w:tr>
      <w:tr w:rsidR="00933570" w:rsidRPr="00933570" w14:paraId="608A0EAE" w14:textId="77777777" w:rsidTr="00933570">
        <w:tc>
          <w:tcPr>
            <w:tcW w:w="3528" w:type="dxa"/>
            <w:shd w:val="clear" w:color="auto" w:fill="E6E6E6"/>
          </w:tcPr>
          <w:p w14:paraId="3DA44FD5" w14:textId="77777777" w:rsidR="00933570" w:rsidRPr="00933570" w:rsidRDefault="00933570" w:rsidP="00933570">
            <w:pPr>
              <w:rPr>
                <w:b/>
                <w:bCs/>
                <w:color w:val="000000"/>
                <w:sz w:val="18"/>
                <w:szCs w:val="18"/>
                <w:lang w:val="en-GB"/>
              </w:rPr>
            </w:pPr>
            <w:r w:rsidRPr="00933570">
              <w:rPr>
                <w:b/>
                <w:bCs/>
                <w:color w:val="000000"/>
                <w:sz w:val="18"/>
                <w:szCs w:val="18"/>
                <w:lang w:val="en-GB"/>
              </w:rPr>
              <w:t>F. Preparation and readiness</w:t>
            </w:r>
          </w:p>
        </w:tc>
        <w:tc>
          <w:tcPr>
            <w:tcW w:w="3780" w:type="dxa"/>
            <w:shd w:val="clear" w:color="auto" w:fill="E6E6E6"/>
          </w:tcPr>
          <w:p w14:paraId="63977179" w14:textId="77777777" w:rsidR="00933570" w:rsidRPr="00933570" w:rsidRDefault="00933570" w:rsidP="00933570">
            <w:pPr>
              <w:rPr>
                <w:bCs/>
                <w:color w:val="000000"/>
                <w:sz w:val="18"/>
                <w:szCs w:val="18"/>
                <w:lang w:val="en-GB"/>
              </w:rPr>
            </w:pPr>
          </w:p>
        </w:tc>
        <w:tc>
          <w:tcPr>
            <w:tcW w:w="1440" w:type="dxa"/>
            <w:shd w:val="clear" w:color="auto" w:fill="E6E6E6"/>
          </w:tcPr>
          <w:p w14:paraId="43E919A8" w14:textId="77777777" w:rsidR="00933570" w:rsidRPr="00933570" w:rsidRDefault="00933570" w:rsidP="00933570">
            <w:pPr>
              <w:rPr>
                <w:bCs/>
                <w:color w:val="000000"/>
                <w:sz w:val="18"/>
                <w:szCs w:val="18"/>
                <w:lang w:val="en-GB"/>
              </w:rPr>
            </w:pPr>
          </w:p>
        </w:tc>
      </w:tr>
      <w:tr w:rsidR="00933570" w:rsidRPr="00933570" w14:paraId="4717B7D0" w14:textId="77777777" w:rsidTr="00933570">
        <w:tc>
          <w:tcPr>
            <w:tcW w:w="3528" w:type="dxa"/>
            <w:shd w:val="clear" w:color="auto" w:fill="E6E6E6"/>
          </w:tcPr>
          <w:p w14:paraId="2B622272" w14:textId="77777777" w:rsidR="00933570" w:rsidRPr="00933570" w:rsidRDefault="00933570" w:rsidP="00933570">
            <w:pPr>
              <w:rPr>
                <w:b/>
                <w:bCs/>
                <w:color w:val="000000"/>
                <w:sz w:val="18"/>
                <w:szCs w:val="18"/>
                <w:lang w:val="en-GB"/>
              </w:rPr>
            </w:pPr>
            <w:r w:rsidRPr="00933570">
              <w:rPr>
                <w:b/>
                <w:bCs/>
                <w:color w:val="000000"/>
                <w:sz w:val="18"/>
                <w:szCs w:val="18"/>
                <w:lang w:val="en-GB"/>
              </w:rPr>
              <w:t>G. Country ownership / drivenness</w:t>
            </w:r>
          </w:p>
        </w:tc>
        <w:tc>
          <w:tcPr>
            <w:tcW w:w="3780" w:type="dxa"/>
            <w:shd w:val="clear" w:color="auto" w:fill="E6E6E6"/>
          </w:tcPr>
          <w:p w14:paraId="6ED04534" w14:textId="77777777" w:rsidR="00933570" w:rsidRPr="00933570" w:rsidRDefault="00933570" w:rsidP="00933570">
            <w:pPr>
              <w:rPr>
                <w:bCs/>
                <w:color w:val="000000"/>
                <w:sz w:val="18"/>
                <w:szCs w:val="18"/>
                <w:lang w:val="en-GB"/>
              </w:rPr>
            </w:pPr>
          </w:p>
        </w:tc>
        <w:tc>
          <w:tcPr>
            <w:tcW w:w="1440" w:type="dxa"/>
            <w:shd w:val="clear" w:color="auto" w:fill="E6E6E6"/>
          </w:tcPr>
          <w:p w14:paraId="46FBDB45" w14:textId="77777777" w:rsidR="00933570" w:rsidRPr="00933570" w:rsidRDefault="00933570" w:rsidP="00933570">
            <w:pPr>
              <w:rPr>
                <w:bCs/>
                <w:color w:val="000000"/>
                <w:sz w:val="18"/>
                <w:szCs w:val="18"/>
                <w:lang w:val="en-GB"/>
              </w:rPr>
            </w:pPr>
          </w:p>
        </w:tc>
      </w:tr>
      <w:tr w:rsidR="00933570" w:rsidRPr="00933570" w14:paraId="1E165720" w14:textId="77777777" w:rsidTr="00933570">
        <w:tc>
          <w:tcPr>
            <w:tcW w:w="3528" w:type="dxa"/>
            <w:shd w:val="clear" w:color="auto" w:fill="E6E6E6"/>
          </w:tcPr>
          <w:p w14:paraId="73F386EB" w14:textId="77777777" w:rsidR="00933570" w:rsidRPr="00933570" w:rsidRDefault="00933570" w:rsidP="00933570">
            <w:pPr>
              <w:rPr>
                <w:b/>
                <w:bCs/>
                <w:color w:val="000000"/>
                <w:sz w:val="18"/>
                <w:szCs w:val="18"/>
                <w:lang w:val="en-GB"/>
              </w:rPr>
            </w:pPr>
            <w:r w:rsidRPr="00933570">
              <w:rPr>
                <w:b/>
                <w:bCs/>
                <w:color w:val="000000"/>
                <w:sz w:val="18"/>
                <w:szCs w:val="18"/>
                <w:lang w:val="en-GB"/>
              </w:rPr>
              <w:t>H. Stakeholders involvement</w:t>
            </w:r>
          </w:p>
        </w:tc>
        <w:tc>
          <w:tcPr>
            <w:tcW w:w="3780" w:type="dxa"/>
            <w:shd w:val="clear" w:color="auto" w:fill="E6E6E6"/>
          </w:tcPr>
          <w:p w14:paraId="608BD5D6" w14:textId="77777777" w:rsidR="00933570" w:rsidRPr="00933570" w:rsidRDefault="00933570" w:rsidP="00933570">
            <w:pPr>
              <w:rPr>
                <w:bCs/>
                <w:color w:val="000000"/>
                <w:sz w:val="18"/>
                <w:szCs w:val="18"/>
                <w:lang w:val="en-GB"/>
              </w:rPr>
            </w:pPr>
          </w:p>
        </w:tc>
        <w:tc>
          <w:tcPr>
            <w:tcW w:w="1440" w:type="dxa"/>
            <w:shd w:val="clear" w:color="auto" w:fill="E6E6E6"/>
          </w:tcPr>
          <w:p w14:paraId="6F97654E" w14:textId="77777777" w:rsidR="00933570" w:rsidRPr="00933570" w:rsidRDefault="00933570" w:rsidP="00933570">
            <w:pPr>
              <w:rPr>
                <w:bCs/>
                <w:color w:val="000000"/>
                <w:sz w:val="18"/>
                <w:szCs w:val="18"/>
                <w:lang w:val="en-GB"/>
              </w:rPr>
            </w:pPr>
          </w:p>
        </w:tc>
      </w:tr>
      <w:tr w:rsidR="00933570" w:rsidRPr="00933570" w14:paraId="7EC38611" w14:textId="77777777" w:rsidTr="00933570">
        <w:tc>
          <w:tcPr>
            <w:tcW w:w="3528" w:type="dxa"/>
            <w:shd w:val="clear" w:color="auto" w:fill="E6E6E6"/>
          </w:tcPr>
          <w:p w14:paraId="5A192EC8" w14:textId="77777777" w:rsidR="00933570" w:rsidRPr="00933570" w:rsidRDefault="00933570" w:rsidP="00933570">
            <w:pPr>
              <w:rPr>
                <w:b/>
                <w:bCs/>
                <w:color w:val="000000"/>
                <w:sz w:val="18"/>
                <w:szCs w:val="18"/>
                <w:lang w:val="en-GB"/>
              </w:rPr>
            </w:pPr>
            <w:r w:rsidRPr="00933570">
              <w:rPr>
                <w:b/>
                <w:bCs/>
                <w:color w:val="000000"/>
                <w:sz w:val="18"/>
                <w:szCs w:val="18"/>
                <w:lang w:val="en-GB"/>
              </w:rPr>
              <w:t>I. Financial planning</w:t>
            </w:r>
          </w:p>
        </w:tc>
        <w:tc>
          <w:tcPr>
            <w:tcW w:w="3780" w:type="dxa"/>
            <w:shd w:val="clear" w:color="auto" w:fill="E6E6E6"/>
          </w:tcPr>
          <w:p w14:paraId="1324856D" w14:textId="77777777" w:rsidR="00933570" w:rsidRPr="00933570" w:rsidRDefault="00933570" w:rsidP="00933570">
            <w:pPr>
              <w:rPr>
                <w:bCs/>
                <w:color w:val="000000"/>
                <w:sz w:val="18"/>
                <w:szCs w:val="18"/>
                <w:lang w:val="en-GB"/>
              </w:rPr>
            </w:pPr>
          </w:p>
        </w:tc>
        <w:tc>
          <w:tcPr>
            <w:tcW w:w="1440" w:type="dxa"/>
            <w:shd w:val="clear" w:color="auto" w:fill="E6E6E6"/>
          </w:tcPr>
          <w:p w14:paraId="7B1F671C" w14:textId="77777777" w:rsidR="00933570" w:rsidRPr="00933570" w:rsidRDefault="00933570" w:rsidP="00933570">
            <w:pPr>
              <w:rPr>
                <w:bCs/>
                <w:color w:val="000000"/>
                <w:sz w:val="18"/>
                <w:szCs w:val="18"/>
                <w:lang w:val="en-GB"/>
              </w:rPr>
            </w:pPr>
          </w:p>
        </w:tc>
      </w:tr>
      <w:tr w:rsidR="00933570" w:rsidRPr="00933570" w14:paraId="0F3A3036" w14:textId="77777777" w:rsidTr="00933570">
        <w:tc>
          <w:tcPr>
            <w:tcW w:w="3528" w:type="dxa"/>
            <w:tcBorders>
              <w:bottom w:val="single" w:sz="4" w:space="0" w:color="auto"/>
            </w:tcBorders>
            <w:shd w:val="clear" w:color="auto" w:fill="E6E6E6"/>
          </w:tcPr>
          <w:p w14:paraId="2DFB45C5" w14:textId="77777777" w:rsidR="00933570" w:rsidRPr="00933570" w:rsidRDefault="00933570" w:rsidP="00933570">
            <w:pPr>
              <w:rPr>
                <w:b/>
                <w:bCs/>
                <w:color w:val="000000"/>
                <w:sz w:val="18"/>
                <w:szCs w:val="18"/>
                <w:lang w:val="en-GB"/>
              </w:rPr>
            </w:pPr>
            <w:r w:rsidRPr="00933570">
              <w:rPr>
                <w:b/>
                <w:bCs/>
                <w:color w:val="000000"/>
                <w:sz w:val="18"/>
                <w:szCs w:val="18"/>
                <w:lang w:val="en-GB"/>
              </w:rPr>
              <w:t>J. Implementation approach</w:t>
            </w:r>
          </w:p>
        </w:tc>
        <w:tc>
          <w:tcPr>
            <w:tcW w:w="3780" w:type="dxa"/>
            <w:tcBorders>
              <w:bottom w:val="single" w:sz="4" w:space="0" w:color="auto"/>
            </w:tcBorders>
            <w:shd w:val="clear" w:color="auto" w:fill="E6E6E6"/>
          </w:tcPr>
          <w:p w14:paraId="1BB05954" w14:textId="77777777" w:rsidR="00933570" w:rsidRPr="00933570" w:rsidRDefault="00933570" w:rsidP="00933570">
            <w:pPr>
              <w:rPr>
                <w:bCs/>
                <w:color w:val="000000"/>
                <w:sz w:val="18"/>
                <w:szCs w:val="18"/>
                <w:lang w:val="en-GB"/>
              </w:rPr>
            </w:pPr>
          </w:p>
        </w:tc>
        <w:tc>
          <w:tcPr>
            <w:tcW w:w="1440" w:type="dxa"/>
            <w:tcBorders>
              <w:bottom w:val="single" w:sz="4" w:space="0" w:color="auto"/>
            </w:tcBorders>
            <w:shd w:val="clear" w:color="auto" w:fill="E6E6E6"/>
          </w:tcPr>
          <w:p w14:paraId="575FBF49" w14:textId="77777777" w:rsidR="00933570" w:rsidRPr="00933570" w:rsidRDefault="00933570" w:rsidP="00933570">
            <w:pPr>
              <w:rPr>
                <w:bCs/>
                <w:color w:val="000000"/>
                <w:sz w:val="18"/>
                <w:szCs w:val="18"/>
                <w:lang w:val="en-GB"/>
              </w:rPr>
            </w:pPr>
          </w:p>
        </w:tc>
      </w:tr>
      <w:tr w:rsidR="00933570" w:rsidRPr="00933570" w14:paraId="6C7352D4" w14:textId="77777777" w:rsidTr="00933570">
        <w:tc>
          <w:tcPr>
            <w:tcW w:w="3528" w:type="dxa"/>
            <w:tcBorders>
              <w:bottom w:val="single" w:sz="4" w:space="0" w:color="auto"/>
            </w:tcBorders>
            <w:shd w:val="clear" w:color="auto" w:fill="E6E6E6"/>
          </w:tcPr>
          <w:p w14:paraId="46582F2E" w14:textId="77777777" w:rsidR="00933570" w:rsidRPr="00933570" w:rsidRDefault="00933570" w:rsidP="00933570">
            <w:pPr>
              <w:rPr>
                <w:b/>
                <w:bCs/>
                <w:color w:val="000000"/>
                <w:sz w:val="18"/>
                <w:szCs w:val="18"/>
                <w:lang w:val="en-GB"/>
              </w:rPr>
            </w:pPr>
            <w:r w:rsidRPr="00933570">
              <w:rPr>
                <w:b/>
                <w:bCs/>
                <w:color w:val="000000"/>
                <w:sz w:val="18"/>
                <w:szCs w:val="18"/>
                <w:lang w:val="en-GB"/>
              </w:rPr>
              <w:t xml:space="preserve">K. UNEP Supervision and backstopping </w:t>
            </w:r>
          </w:p>
        </w:tc>
        <w:tc>
          <w:tcPr>
            <w:tcW w:w="3780" w:type="dxa"/>
            <w:tcBorders>
              <w:bottom w:val="single" w:sz="4" w:space="0" w:color="auto"/>
            </w:tcBorders>
            <w:shd w:val="clear" w:color="auto" w:fill="E6E6E6"/>
          </w:tcPr>
          <w:p w14:paraId="4016CDF4" w14:textId="77777777" w:rsidR="00933570" w:rsidRPr="00933570" w:rsidRDefault="00933570" w:rsidP="00933570">
            <w:pPr>
              <w:rPr>
                <w:bCs/>
                <w:color w:val="000000"/>
                <w:sz w:val="18"/>
                <w:szCs w:val="18"/>
                <w:lang w:val="en-GB"/>
              </w:rPr>
            </w:pPr>
          </w:p>
        </w:tc>
        <w:tc>
          <w:tcPr>
            <w:tcW w:w="1440" w:type="dxa"/>
            <w:tcBorders>
              <w:bottom w:val="single" w:sz="4" w:space="0" w:color="auto"/>
            </w:tcBorders>
            <w:shd w:val="clear" w:color="auto" w:fill="E6E6E6"/>
          </w:tcPr>
          <w:p w14:paraId="45E7E61A" w14:textId="77777777" w:rsidR="00933570" w:rsidRPr="00933570" w:rsidRDefault="00933570" w:rsidP="00933570">
            <w:pPr>
              <w:rPr>
                <w:bCs/>
                <w:color w:val="000000"/>
                <w:sz w:val="18"/>
                <w:szCs w:val="18"/>
                <w:lang w:val="en-GB"/>
              </w:rPr>
            </w:pPr>
          </w:p>
        </w:tc>
      </w:tr>
    </w:tbl>
    <w:p w14:paraId="1F3D71A0" w14:textId="77777777" w:rsidR="00933570" w:rsidRPr="00933570" w:rsidRDefault="00933570" w:rsidP="00933570">
      <w:pPr>
        <w:jc w:val="both"/>
        <w:rPr>
          <w:szCs w:val="20"/>
          <w:lang w:val="en-GB"/>
        </w:rPr>
      </w:pPr>
    </w:p>
    <w:p w14:paraId="133CBC1A" w14:textId="77777777" w:rsidR="00933570" w:rsidRPr="00E55813" w:rsidRDefault="00933570" w:rsidP="00933570">
      <w:pPr>
        <w:jc w:val="both"/>
        <w:rPr>
          <w:b/>
          <w:sz w:val="22"/>
          <w:szCs w:val="22"/>
          <w:lang w:val="en-GB"/>
        </w:rPr>
      </w:pPr>
      <w:r w:rsidRPr="00E55813">
        <w:rPr>
          <w:b/>
          <w:sz w:val="22"/>
          <w:szCs w:val="22"/>
          <w:lang w:val="en-GB"/>
        </w:rPr>
        <w:t>RATING OF PROJECT OBJECTIVES AND RESULTS</w:t>
      </w:r>
    </w:p>
    <w:p w14:paraId="1C08F508" w14:textId="77777777" w:rsidR="00933570" w:rsidRPr="00E55813" w:rsidRDefault="00933570" w:rsidP="00933570">
      <w:pPr>
        <w:rPr>
          <w:b/>
          <w:color w:val="000000"/>
          <w:sz w:val="22"/>
          <w:szCs w:val="22"/>
          <w:lang w:val="en-GB"/>
        </w:rPr>
      </w:pPr>
    </w:p>
    <w:p w14:paraId="1EAD079A" w14:textId="77777777" w:rsidR="00933570" w:rsidRPr="00E55813" w:rsidRDefault="00933570" w:rsidP="00933570">
      <w:pPr>
        <w:tabs>
          <w:tab w:val="left" w:pos="720"/>
        </w:tabs>
        <w:spacing w:after="120"/>
        <w:ind w:left="720"/>
        <w:rPr>
          <w:sz w:val="22"/>
          <w:szCs w:val="22"/>
          <w:lang w:val="en-GB"/>
        </w:rPr>
      </w:pPr>
      <w:r w:rsidRPr="00E55813">
        <w:rPr>
          <w:sz w:val="22"/>
          <w:szCs w:val="22"/>
          <w:lang w:val="en-GB"/>
        </w:rPr>
        <w:t xml:space="preserve">Highly Satisfactory (HS):  The project had no shortcomings in the achievement of its objectives, in terms of relevance, effectiveness or efficiency.  </w:t>
      </w:r>
    </w:p>
    <w:p w14:paraId="6F0974A9" w14:textId="77777777" w:rsidR="00933570" w:rsidRPr="00E55813" w:rsidRDefault="00933570" w:rsidP="00933570">
      <w:pPr>
        <w:tabs>
          <w:tab w:val="left" w:pos="720"/>
        </w:tabs>
        <w:spacing w:after="120"/>
        <w:ind w:left="720"/>
        <w:rPr>
          <w:sz w:val="22"/>
          <w:szCs w:val="22"/>
          <w:lang w:val="en-GB"/>
        </w:rPr>
      </w:pPr>
      <w:r w:rsidRPr="00E55813">
        <w:rPr>
          <w:sz w:val="22"/>
          <w:szCs w:val="22"/>
          <w:lang w:val="en-GB"/>
        </w:rPr>
        <w:t xml:space="preserve">Satisfactory (S): The project had minor shortcomings in the achievement of its objectives, in terms of relevance, effectiveness or efficiency. </w:t>
      </w:r>
    </w:p>
    <w:p w14:paraId="58CD6FCE" w14:textId="77777777" w:rsidR="00933570" w:rsidRPr="00E55813" w:rsidRDefault="00933570" w:rsidP="00933570">
      <w:pPr>
        <w:tabs>
          <w:tab w:val="left" w:pos="720"/>
        </w:tabs>
        <w:spacing w:after="120"/>
        <w:ind w:left="720"/>
        <w:rPr>
          <w:sz w:val="22"/>
          <w:szCs w:val="22"/>
          <w:lang w:val="en-GB"/>
        </w:rPr>
      </w:pPr>
      <w:r w:rsidRPr="00E55813">
        <w:rPr>
          <w:sz w:val="22"/>
          <w:szCs w:val="22"/>
          <w:lang w:val="en-GB"/>
        </w:rPr>
        <w:t xml:space="preserve">Moderately Satisfactory (MS): The project had moderate shortcomings in the achievement of its objectives, in terms of relevance, effectiveness or efficiency.  </w:t>
      </w:r>
    </w:p>
    <w:p w14:paraId="5C4707C7" w14:textId="77777777" w:rsidR="00933570" w:rsidRPr="00E55813" w:rsidRDefault="00933570" w:rsidP="00933570">
      <w:pPr>
        <w:tabs>
          <w:tab w:val="left" w:pos="720"/>
        </w:tabs>
        <w:spacing w:after="120"/>
        <w:ind w:left="720"/>
        <w:rPr>
          <w:sz w:val="22"/>
          <w:szCs w:val="22"/>
          <w:lang w:val="en-GB"/>
        </w:rPr>
      </w:pPr>
      <w:r w:rsidRPr="00E55813">
        <w:rPr>
          <w:sz w:val="22"/>
          <w:szCs w:val="22"/>
          <w:lang w:val="en-GB"/>
        </w:rPr>
        <w:t xml:space="preserve">Moderately Unsatisfactory (MU): The project had significant shortcomings in the achievement of its objectives, in terms of relevance, effectiveness or efficiency.  </w:t>
      </w:r>
    </w:p>
    <w:p w14:paraId="2C02443F" w14:textId="77777777" w:rsidR="00933570" w:rsidRPr="00E55813" w:rsidRDefault="00933570" w:rsidP="00933570">
      <w:pPr>
        <w:tabs>
          <w:tab w:val="left" w:pos="720"/>
        </w:tabs>
        <w:spacing w:after="120"/>
        <w:ind w:left="720"/>
        <w:rPr>
          <w:sz w:val="22"/>
          <w:szCs w:val="22"/>
          <w:lang w:val="en-GB"/>
        </w:rPr>
      </w:pPr>
      <w:r w:rsidRPr="00E55813">
        <w:rPr>
          <w:sz w:val="22"/>
          <w:szCs w:val="22"/>
          <w:lang w:val="en-GB"/>
        </w:rPr>
        <w:t xml:space="preserve">Unsatisfactory (U) The project had major shortcomings in the achievement of its objectives, in terms of relevance, effectiveness or efficiency.  </w:t>
      </w:r>
    </w:p>
    <w:p w14:paraId="6E00EE64" w14:textId="77777777" w:rsidR="00933570" w:rsidRPr="00E55813" w:rsidRDefault="00933570" w:rsidP="00933570">
      <w:pPr>
        <w:tabs>
          <w:tab w:val="left" w:pos="720"/>
        </w:tabs>
        <w:spacing w:after="240"/>
        <w:ind w:left="720"/>
        <w:rPr>
          <w:sz w:val="22"/>
          <w:szCs w:val="22"/>
          <w:lang w:val="en-GB"/>
        </w:rPr>
      </w:pPr>
      <w:r w:rsidRPr="00E55813">
        <w:rPr>
          <w:sz w:val="22"/>
          <w:szCs w:val="22"/>
          <w:lang w:val="en-GB"/>
        </w:rPr>
        <w:t xml:space="preserve">Highly Unsatisfactory (HU): The project had severe shortcomings in the achievement of its objectives, in terms of relevance, effectiveness or efficiency.  </w:t>
      </w:r>
    </w:p>
    <w:p w14:paraId="34C65370" w14:textId="77777777" w:rsidR="00933570" w:rsidRPr="00E55813" w:rsidRDefault="00933570" w:rsidP="00933570">
      <w:pPr>
        <w:spacing w:after="120"/>
        <w:jc w:val="both"/>
        <w:rPr>
          <w:b/>
          <w:color w:val="000000"/>
          <w:sz w:val="22"/>
          <w:szCs w:val="22"/>
          <w:lang w:val="en-GB"/>
        </w:rPr>
      </w:pPr>
      <w:r w:rsidRPr="00E55813">
        <w:rPr>
          <w:b/>
          <w:color w:val="000000"/>
          <w:sz w:val="22"/>
          <w:szCs w:val="22"/>
          <w:lang w:val="en-GB"/>
        </w:rPr>
        <w:t>Please note:</w:t>
      </w:r>
      <w:r w:rsidRPr="00E55813">
        <w:rPr>
          <w:sz w:val="22"/>
          <w:szCs w:val="22"/>
          <w:lang w:val="en-GB"/>
        </w:rPr>
        <w:t xml:space="preserve"> Relevance and effectiveness will be considered as critical criteria.  The overall rating of the project for achievement of objectives and results </w:t>
      </w:r>
      <w:r w:rsidRPr="00E55813">
        <w:rPr>
          <w:b/>
          <w:sz w:val="22"/>
          <w:szCs w:val="22"/>
          <w:lang w:val="en-GB"/>
        </w:rPr>
        <w:t>may not be higher</w:t>
      </w:r>
      <w:r w:rsidRPr="00E55813">
        <w:rPr>
          <w:sz w:val="22"/>
          <w:szCs w:val="22"/>
          <w:lang w:val="en-GB"/>
        </w:rPr>
        <w:t xml:space="preserve"> than the lowest rating on either of these two criteria.  Thus, to have an overall satisfactory rating for outcomes a project must have at least satisfactory ratings on both relevance and effectiveness.</w:t>
      </w:r>
    </w:p>
    <w:p w14:paraId="377BB2C0" w14:textId="77777777" w:rsidR="00933570" w:rsidRPr="00E55813" w:rsidRDefault="00933570" w:rsidP="00933570">
      <w:pPr>
        <w:jc w:val="both"/>
        <w:rPr>
          <w:b/>
          <w:sz w:val="22"/>
          <w:szCs w:val="22"/>
          <w:lang w:val="en-GB"/>
        </w:rPr>
      </w:pPr>
      <w:r w:rsidRPr="00E55813">
        <w:rPr>
          <w:b/>
          <w:sz w:val="22"/>
          <w:szCs w:val="22"/>
          <w:lang w:val="en-GB"/>
        </w:rPr>
        <w:t>RATINGS ON SUSTAINABILITY</w:t>
      </w:r>
    </w:p>
    <w:p w14:paraId="1F853908" w14:textId="77777777" w:rsidR="00933570" w:rsidRPr="00E55813" w:rsidRDefault="00933570" w:rsidP="00E071AC">
      <w:pPr>
        <w:numPr>
          <w:ilvl w:val="1"/>
          <w:numId w:val="45"/>
        </w:numPr>
        <w:ind w:left="360"/>
        <w:jc w:val="both"/>
        <w:rPr>
          <w:sz w:val="22"/>
          <w:szCs w:val="22"/>
          <w:lang w:val="en-GB"/>
        </w:rPr>
      </w:pPr>
      <w:r w:rsidRPr="00E55813">
        <w:rPr>
          <w:sz w:val="22"/>
          <w:szCs w:val="22"/>
          <w:lang w:val="en-GB"/>
        </w:rPr>
        <w:t>Sustainability will be understood as the probability of continued long-term outcomes and impacts after the GEF project funding ends.  The Terminal evaluation will identify and assess the key conditions or factors that are likely to contribute or undermine the persistence of benefits after the project ends.  Some of these factors might be outcomes of the project, i.e. stronger institutional capacities, legal frameworks, socio-economic incentives /or public awareness.  Other factors will include contextual circumstances or developments that are not outcomes of the project but that are relevant to the sustainability of outcomes.</w:t>
      </w:r>
    </w:p>
    <w:p w14:paraId="54E9B41B" w14:textId="77777777" w:rsidR="00933570" w:rsidRPr="00E55813" w:rsidRDefault="00933570" w:rsidP="00933570">
      <w:pPr>
        <w:tabs>
          <w:tab w:val="left" w:pos="612"/>
        </w:tabs>
        <w:jc w:val="both"/>
        <w:rPr>
          <w:sz w:val="22"/>
          <w:szCs w:val="22"/>
          <w:u w:val="single"/>
          <w:lang w:val="en-GB"/>
        </w:rPr>
      </w:pPr>
    </w:p>
    <w:p w14:paraId="24AF6599" w14:textId="77777777" w:rsidR="00933570" w:rsidRPr="00E55813" w:rsidRDefault="00933570" w:rsidP="00933570">
      <w:pPr>
        <w:tabs>
          <w:tab w:val="left" w:pos="612"/>
        </w:tabs>
        <w:jc w:val="both"/>
        <w:rPr>
          <w:sz w:val="22"/>
          <w:szCs w:val="22"/>
          <w:u w:val="single"/>
          <w:lang w:val="en-GB"/>
        </w:rPr>
      </w:pPr>
      <w:r w:rsidRPr="00E55813">
        <w:rPr>
          <w:sz w:val="22"/>
          <w:szCs w:val="22"/>
          <w:u w:val="single"/>
          <w:lang w:val="en-GB"/>
        </w:rPr>
        <w:t>Rating system for sustainability sub-criteria</w:t>
      </w:r>
    </w:p>
    <w:p w14:paraId="77D966BC" w14:textId="77777777" w:rsidR="00933570" w:rsidRPr="00E55813" w:rsidRDefault="00933570" w:rsidP="00933570">
      <w:pPr>
        <w:tabs>
          <w:tab w:val="left" w:pos="400"/>
        </w:tabs>
        <w:autoSpaceDE w:val="0"/>
        <w:autoSpaceDN w:val="0"/>
        <w:adjustRightInd w:val="0"/>
        <w:spacing w:after="120"/>
        <w:jc w:val="both"/>
        <w:rPr>
          <w:sz w:val="22"/>
          <w:szCs w:val="22"/>
          <w:lang w:val="en-GB"/>
        </w:rPr>
      </w:pPr>
      <w:r w:rsidRPr="00E55813">
        <w:rPr>
          <w:sz w:val="22"/>
          <w:szCs w:val="22"/>
          <w:lang w:val="en-GB"/>
        </w:rPr>
        <w:t>On each of the dimensions of sustainability of the project outcomes will be rated as follows.</w:t>
      </w:r>
    </w:p>
    <w:p w14:paraId="6A47376D" w14:textId="77777777" w:rsidR="00933570" w:rsidRPr="00E55813" w:rsidRDefault="00933570" w:rsidP="00933570">
      <w:pPr>
        <w:tabs>
          <w:tab w:val="left" w:pos="720"/>
        </w:tabs>
        <w:spacing w:after="120"/>
        <w:ind w:left="720"/>
        <w:jc w:val="both"/>
        <w:rPr>
          <w:sz w:val="22"/>
          <w:szCs w:val="22"/>
          <w:lang w:val="en-GB"/>
        </w:rPr>
      </w:pPr>
      <w:r w:rsidRPr="00E55813">
        <w:rPr>
          <w:sz w:val="22"/>
          <w:szCs w:val="22"/>
          <w:lang w:val="en-GB"/>
        </w:rPr>
        <w:t>Likely (L): There are no risks affecting this dimension of sustainability.</w:t>
      </w:r>
    </w:p>
    <w:p w14:paraId="492637A0" w14:textId="77777777" w:rsidR="00933570" w:rsidRPr="00E55813" w:rsidRDefault="00933570" w:rsidP="00933570">
      <w:pPr>
        <w:tabs>
          <w:tab w:val="left" w:pos="720"/>
        </w:tabs>
        <w:spacing w:after="120"/>
        <w:ind w:left="720"/>
        <w:jc w:val="both"/>
        <w:rPr>
          <w:sz w:val="22"/>
          <w:szCs w:val="22"/>
          <w:lang w:val="en-GB"/>
        </w:rPr>
      </w:pPr>
      <w:r w:rsidRPr="00E55813">
        <w:rPr>
          <w:sz w:val="22"/>
          <w:szCs w:val="22"/>
          <w:lang w:val="en-GB"/>
        </w:rPr>
        <w:t>Moderately Likely (ML). There are moderate risks that affect this dimension of sustainability.</w:t>
      </w:r>
    </w:p>
    <w:p w14:paraId="5A30C599" w14:textId="77777777" w:rsidR="00933570" w:rsidRPr="00E55813" w:rsidRDefault="00933570" w:rsidP="00933570">
      <w:pPr>
        <w:tabs>
          <w:tab w:val="left" w:pos="720"/>
        </w:tabs>
        <w:spacing w:after="120"/>
        <w:ind w:left="720"/>
        <w:jc w:val="both"/>
        <w:rPr>
          <w:sz w:val="22"/>
          <w:szCs w:val="22"/>
          <w:lang w:val="en-GB"/>
        </w:rPr>
      </w:pPr>
      <w:r w:rsidRPr="00E55813">
        <w:rPr>
          <w:sz w:val="22"/>
          <w:szCs w:val="22"/>
          <w:lang w:val="en-GB"/>
        </w:rPr>
        <w:t>Moderately Unlikely (MU): There are significant risks that affect this dimension of sustainability</w:t>
      </w:r>
    </w:p>
    <w:p w14:paraId="1C195B92" w14:textId="77777777" w:rsidR="00933570" w:rsidRPr="00E55813" w:rsidRDefault="00933570" w:rsidP="00933570">
      <w:pPr>
        <w:tabs>
          <w:tab w:val="left" w:pos="720"/>
        </w:tabs>
        <w:spacing w:after="120"/>
        <w:ind w:left="720"/>
        <w:jc w:val="both"/>
        <w:rPr>
          <w:sz w:val="22"/>
          <w:szCs w:val="22"/>
          <w:lang w:val="en-GB"/>
        </w:rPr>
      </w:pPr>
      <w:r w:rsidRPr="00E55813">
        <w:rPr>
          <w:sz w:val="22"/>
          <w:szCs w:val="22"/>
          <w:lang w:val="en-GB"/>
        </w:rPr>
        <w:t xml:space="preserve">Unlikely (U): There are severe risks that affect this dimension of sustainability. </w:t>
      </w:r>
    </w:p>
    <w:p w14:paraId="13DAB37A" w14:textId="77777777" w:rsidR="00933570" w:rsidRPr="00E55813" w:rsidRDefault="00933570" w:rsidP="00933570">
      <w:pPr>
        <w:tabs>
          <w:tab w:val="left" w:pos="400"/>
        </w:tabs>
        <w:autoSpaceDE w:val="0"/>
        <w:autoSpaceDN w:val="0"/>
        <w:adjustRightInd w:val="0"/>
        <w:spacing w:after="120"/>
        <w:jc w:val="both"/>
        <w:rPr>
          <w:sz w:val="22"/>
          <w:szCs w:val="22"/>
          <w:lang w:val="en-GB"/>
        </w:rPr>
      </w:pPr>
      <w:r w:rsidRPr="00E55813">
        <w:rPr>
          <w:sz w:val="22"/>
          <w:szCs w:val="22"/>
          <w:lang w:val="en-GB"/>
        </w:rPr>
        <w:t xml:space="preserve">According to the GEF Office of Evaluation, all the risk dimensions of sustainability are deemed critical. Therefore, overall rating for sustainability will not be higher than the rating of the dimension with lowest ratings. For example, if a project has an Unlikely rating in any of the dimensions then its overall rating cannot be higher than Unlikely, regardless of whether higher ratings in other dimensions of sustainability produce a higher average. </w:t>
      </w:r>
    </w:p>
    <w:p w14:paraId="48241514" w14:textId="77777777" w:rsidR="00933570" w:rsidRPr="00E55813" w:rsidRDefault="00933570" w:rsidP="00933570">
      <w:pPr>
        <w:jc w:val="both"/>
        <w:rPr>
          <w:b/>
          <w:sz w:val="22"/>
          <w:szCs w:val="22"/>
          <w:lang w:val="en-GB"/>
        </w:rPr>
      </w:pPr>
      <w:r w:rsidRPr="00E55813">
        <w:rPr>
          <w:b/>
          <w:sz w:val="22"/>
          <w:szCs w:val="22"/>
          <w:lang w:val="en-GB"/>
        </w:rPr>
        <w:t>RATINGS OF PROJECT M&amp;E</w:t>
      </w:r>
    </w:p>
    <w:p w14:paraId="2B497E3A" w14:textId="77777777" w:rsidR="00933570" w:rsidRPr="00E55813" w:rsidRDefault="00933570" w:rsidP="00933570">
      <w:pPr>
        <w:autoSpaceDE w:val="0"/>
        <w:autoSpaceDN w:val="0"/>
        <w:adjustRightInd w:val="0"/>
        <w:spacing w:after="120"/>
        <w:jc w:val="both"/>
        <w:rPr>
          <w:sz w:val="22"/>
          <w:szCs w:val="22"/>
          <w:lang w:val="en-GB"/>
        </w:rPr>
      </w:pPr>
      <w:r w:rsidRPr="00E55813">
        <w:rPr>
          <w:sz w:val="22"/>
          <w:szCs w:val="22"/>
          <w:lang w:val="en-GB"/>
        </w:rPr>
        <w:t xml:space="preserve">Monitoring is a continuing function that uses systematic collection of data on specified indicators to provide management and the main stakeholders of an ongoing project with indications of the extent of progress and achievement of objectives and progress in the use of allocated funds. Evaluation is the systematic and objective assessment of an on-going or completed project, its design, implementation and results. Project evaluation may involve the definition of appropriate standards, the examination of performance against those standards, and an assessment of actual and expected results. </w:t>
      </w:r>
    </w:p>
    <w:p w14:paraId="3D7C485E" w14:textId="77777777" w:rsidR="00933570" w:rsidRPr="00E55813" w:rsidRDefault="00933570" w:rsidP="00933570">
      <w:pPr>
        <w:tabs>
          <w:tab w:val="left" w:pos="400"/>
        </w:tabs>
        <w:autoSpaceDE w:val="0"/>
        <w:autoSpaceDN w:val="0"/>
        <w:adjustRightInd w:val="0"/>
        <w:spacing w:after="120"/>
        <w:jc w:val="both"/>
        <w:rPr>
          <w:sz w:val="22"/>
          <w:szCs w:val="22"/>
          <w:lang w:val="en-GB"/>
        </w:rPr>
      </w:pPr>
      <w:r w:rsidRPr="00E55813">
        <w:rPr>
          <w:sz w:val="22"/>
          <w:szCs w:val="22"/>
          <w:lang w:val="en-GB"/>
        </w:rPr>
        <w:t>The Project monitoring and evaluation system will be rated on ‘M&amp;E Design’, ‘M&amp;E Plan Implementation’ and ‘Budgeting and Funding for M&amp;E activities’ as follows:</w:t>
      </w:r>
    </w:p>
    <w:p w14:paraId="63F11B0F" w14:textId="77777777" w:rsidR="00933570" w:rsidRPr="00E55813" w:rsidRDefault="00933570" w:rsidP="00933570">
      <w:pPr>
        <w:spacing w:after="60"/>
        <w:ind w:left="720"/>
        <w:jc w:val="both"/>
        <w:rPr>
          <w:sz w:val="22"/>
          <w:szCs w:val="22"/>
          <w:lang w:val="en-GB"/>
        </w:rPr>
      </w:pPr>
      <w:r w:rsidRPr="00E55813">
        <w:rPr>
          <w:sz w:val="22"/>
          <w:szCs w:val="22"/>
          <w:lang w:val="en-GB"/>
        </w:rPr>
        <w:t xml:space="preserve">Highly Satisfactory (HS): There were no shortcomings in the project M&amp;E system. Satisfactory(S): There were minor shortcomings in the project M&amp;E system. </w:t>
      </w:r>
    </w:p>
    <w:p w14:paraId="33A7F148" w14:textId="77777777" w:rsidR="00933570" w:rsidRPr="00E55813" w:rsidRDefault="00933570" w:rsidP="00933570">
      <w:pPr>
        <w:spacing w:after="60"/>
        <w:ind w:left="720"/>
        <w:jc w:val="both"/>
        <w:rPr>
          <w:sz w:val="22"/>
          <w:szCs w:val="22"/>
          <w:lang w:val="en-GB"/>
        </w:rPr>
      </w:pPr>
      <w:r w:rsidRPr="00E55813">
        <w:rPr>
          <w:sz w:val="22"/>
          <w:szCs w:val="22"/>
          <w:lang w:val="en-GB"/>
        </w:rPr>
        <w:t>Moderately Satisfactory (MS): There were moderate shortcomings in the project M&amp;E system.</w:t>
      </w:r>
    </w:p>
    <w:p w14:paraId="4CE02109" w14:textId="77777777" w:rsidR="00933570" w:rsidRPr="00E55813" w:rsidRDefault="00933570" w:rsidP="00933570">
      <w:pPr>
        <w:spacing w:after="60"/>
        <w:ind w:left="720"/>
        <w:jc w:val="both"/>
        <w:rPr>
          <w:sz w:val="22"/>
          <w:szCs w:val="22"/>
          <w:lang w:val="en-GB"/>
        </w:rPr>
      </w:pPr>
      <w:r w:rsidRPr="00E55813">
        <w:rPr>
          <w:sz w:val="22"/>
          <w:szCs w:val="22"/>
          <w:lang w:val="en-GB"/>
        </w:rPr>
        <w:t>Moderately Unsatisfactory (MU): There were significant shortcomings in the project M&amp;E system.</w:t>
      </w:r>
    </w:p>
    <w:p w14:paraId="4D6033DB" w14:textId="77777777" w:rsidR="00933570" w:rsidRPr="00E55813" w:rsidRDefault="00933570" w:rsidP="00933570">
      <w:pPr>
        <w:spacing w:after="60"/>
        <w:ind w:left="720"/>
        <w:jc w:val="both"/>
        <w:rPr>
          <w:sz w:val="22"/>
          <w:szCs w:val="22"/>
          <w:lang w:val="en-GB"/>
        </w:rPr>
      </w:pPr>
      <w:r w:rsidRPr="00E55813">
        <w:rPr>
          <w:sz w:val="22"/>
          <w:szCs w:val="22"/>
          <w:lang w:val="en-GB"/>
        </w:rPr>
        <w:t>Unsatisfactory (U): There were major shortcomings in the project M&amp;E system.</w:t>
      </w:r>
    </w:p>
    <w:p w14:paraId="7EB22D60" w14:textId="77777777" w:rsidR="00933570" w:rsidRPr="00E55813" w:rsidRDefault="00933570" w:rsidP="00933570">
      <w:pPr>
        <w:spacing w:after="60"/>
        <w:ind w:left="720"/>
        <w:jc w:val="both"/>
        <w:rPr>
          <w:sz w:val="22"/>
          <w:szCs w:val="22"/>
          <w:lang w:val="en-GB"/>
        </w:rPr>
      </w:pPr>
      <w:r w:rsidRPr="00E55813">
        <w:rPr>
          <w:sz w:val="22"/>
          <w:szCs w:val="22"/>
          <w:lang w:val="en-GB"/>
        </w:rPr>
        <w:t>Highly Unsatisfactory (HU): The Project had no M&amp;E system.</w:t>
      </w:r>
    </w:p>
    <w:p w14:paraId="1483AD65" w14:textId="77777777" w:rsidR="00933570" w:rsidRPr="00E55813" w:rsidRDefault="00933570" w:rsidP="00933570">
      <w:pPr>
        <w:spacing w:after="120"/>
        <w:jc w:val="both"/>
        <w:rPr>
          <w:color w:val="000000"/>
          <w:sz w:val="22"/>
          <w:szCs w:val="22"/>
          <w:lang w:val="en-GB"/>
        </w:rPr>
      </w:pPr>
      <w:r w:rsidRPr="00E55813">
        <w:rPr>
          <w:color w:val="000000"/>
          <w:sz w:val="22"/>
          <w:szCs w:val="22"/>
          <w:lang w:val="en-GB"/>
        </w:rPr>
        <w:t xml:space="preserve">“M&amp;E plan implementation” will be considered a critical parameter for the overall assessment of the M&amp;E system. The overall rating for the M&amp;E systems will not be higher than the rating on </w:t>
      </w:r>
      <w:r w:rsidRPr="00E55813">
        <w:rPr>
          <w:sz w:val="22"/>
          <w:szCs w:val="22"/>
          <w:lang w:val="en-GB"/>
        </w:rPr>
        <w:t>“</w:t>
      </w:r>
      <w:r w:rsidRPr="00E55813">
        <w:rPr>
          <w:color w:val="000000"/>
          <w:sz w:val="22"/>
          <w:szCs w:val="22"/>
          <w:lang w:val="en-GB"/>
        </w:rPr>
        <w:t>M&amp;E plan implementation.”</w:t>
      </w:r>
    </w:p>
    <w:p w14:paraId="1A9FB65D" w14:textId="77777777" w:rsidR="00933570" w:rsidRPr="00E55813" w:rsidRDefault="00933570" w:rsidP="00933570">
      <w:pPr>
        <w:spacing w:after="120"/>
        <w:jc w:val="both"/>
        <w:rPr>
          <w:color w:val="000000"/>
          <w:sz w:val="22"/>
          <w:szCs w:val="22"/>
          <w:lang w:val="en-GB"/>
        </w:rPr>
      </w:pPr>
      <w:r w:rsidRPr="00E55813">
        <w:rPr>
          <w:color w:val="000000"/>
          <w:sz w:val="22"/>
          <w:szCs w:val="22"/>
          <w:lang w:val="en-GB"/>
        </w:rPr>
        <w:t>All other ratings will be on the GEF six point scale.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8"/>
        <w:gridCol w:w="2970"/>
      </w:tblGrid>
      <w:tr w:rsidR="00933570" w:rsidRPr="00E55813" w14:paraId="3D3452FB" w14:textId="77777777" w:rsidTr="00933570">
        <w:tc>
          <w:tcPr>
            <w:tcW w:w="3798" w:type="dxa"/>
            <w:shd w:val="clear" w:color="auto" w:fill="auto"/>
          </w:tcPr>
          <w:p w14:paraId="7C23C9E0" w14:textId="77777777" w:rsidR="00933570" w:rsidRPr="00E55813" w:rsidRDefault="00933570" w:rsidP="00933570">
            <w:pPr>
              <w:spacing w:after="120"/>
              <w:rPr>
                <w:sz w:val="22"/>
                <w:szCs w:val="22"/>
                <w:lang w:val="en-GB"/>
              </w:rPr>
            </w:pPr>
            <w:r w:rsidRPr="00E55813">
              <w:rPr>
                <w:sz w:val="22"/>
                <w:szCs w:val="22"/>
                <w:lang w:val="en-GB"/>
              </w:rPr>
              <w:t>GEF Performance Description</w:t>
            </w:r>
          </w:p>
        </w:tc>
        <w:tc>
          <w:tcPr>
            <w:tcW w:w="2970" w:type="dxa"/>
            <w:shd w:val="clear" w:color="auto" w:fill="auto"/>
          </w:tcPr>
          <w:p w14:paraId="04048A25" w14:textId="77777777" w:rsidR="00933570" w:rsidRPr="00E55813" w:rsidRDefault="00933570" w:rsidP="00933570">
            <w:pPr>
              <w:spacing w:after="120"/>
              <w:rPr>
                <w:sz w:val="22"/>
                <w:szCs w:val="22"/>
                <w:lang w:val="en-GB"/>
              </w:rPr>
            </w:pPr>
            <w:r w:rsidRPr="00E55813">
              <w:rPr>
                <w:sz w:val="22"/>
                <w:szCs w:val="22"/>
                <w:lang w:val="en-GB"/>
              </w:rPr>
              <w:t>Alternative description on the same scale</w:t>
            </w:r>
          </w:p>
        </w:tc>
      </w:tr>
      <w:tr w:rsidR="00933570" w:rsidRPr="00E55813" w14:paraId="74297279" w14:textId="77777777" w:rsidTr="00933570">
        <w:tc>
          <w:tcPr>
            <w:tcW w:w="3798" w:type="dxa"/>
            <w:shd w:val="clear" w:color="auto" w:fill="auto"/>
          </w:tcPr>
          <w:p w14:paraId="1B60411A" w14:textId="77777777" w:rsidR="00933570" w:rsidRPr="00E55813" w:rsidRDefault="00933570" w:rsidP="00933570">
            <w:pPr>
              <w:spacing w:after="120"/>
              <w:rPr>
                <w:sz w:val="22"/>
                <w:szCs w:val="22"/>
                <w:lang w:val="en-GB"/>
              </w:rPr>
            </w:pPr>
            <w:r w:rsidRPr="00E55813">
              <w:rPr>
                <w:sz w:val="22"/>
                <w:szCs w:val="22"/>
                <w:lang w:val="en-GB"/>
              </w:rPr>
              <w:t>HS</w:t>
            </w:r>
            <w:r w:rsidRPr="00E55813">
              <w:rPr>
                <w:sz w:val="22"/>
                <w:szCs w:val="22"/>
                <w:lang w:val="en-GB"/>
              </w:rPr>
              <w:tab/>
              <w:t>= Highly Satisfactory</w:t>
            </w:r>
          </w:p>
        </w:tc>
        <w:tc>
          <w:tcPr>
            <w:tcW w:w="2970" w:type="dxa"/>
            <w:shd w:val="clear" w:color="auto" w:fill="auto"/>
          </w:tcPr>
          <w:p w14:paraId="56AE34B9" w14:textId="77777777" w:rsidR="00933570" w:rsidRPr="00E55813" w:rsidRDefault="00933570" w:rsidP="00933570">
            <w:pPr>
              <w:spacing w:after="120"/>
              <w:rPr>
                <w:sz w:val="22"/>
                <w:szCs w:val="22"/>
                <w:lang w:val="en-GB"/>
              </w:rPr>
            </w:pPr>
            <w:r w:rsidRPr="00E55813">
              <w:rPr>
                <w:sz w:val="22"/>
                <w:szCs w:val="22"/>
                <w:lang w:val="en-GB"/>
              </w:rPr>
              <w:t>Excellent</w:t>
            </w:r>
          </w:p>
        </w:tc>
      </w:tr>
      <w:tr w:rsidR="00933570" w:rsidRPr="00E55813" w14:paraId="65B5B269" w14:textId="77777777" w:rsidTr="00933570">
        <w:tc>
          <w:tcPr>
            <w:tcW w:w="3798" w:type="dxa"/>
            <w:shd w:val="clear" w:color="auto" w:fill="auto"/>
          </w:tcPr>
          <w:p w14:paraId="751980EB" w14:textId="77777777" w:rsidR="00933570" w:rsidRPr="00E55813" w:rsidRDefault="00933570" w:rsidP="00933570">
            <w:pPr>
              <w:spacing w:after="120"/>
              <w:rPr>
                <w:sz w:val="22"/>
                <w:szCs w:val="22"/>
                <w:lang w:val="en-GB"/>
              </w:rPr>
            </w:pPr>
            <w:r w:rsidRPr="00E55813">
              <w:rPr>
                <w:sz w:val="22"/>
                <w:szCs w:val="22"/>
                <w:lang w:val="en-GB"/>
              </w:rPr>
              <w:t xml:space="preserve">S </w:t>
            </w:r>
            <w:r w:rsidRPr="00E55813">
              <w:rPr>
                <w:sz w:val="22"/>
                <w:szCs w:val="22"/>
                <w:lang w:val="en-GB"/>
              </w:rPr>
              <w:tab/>
              <w:t>= Satisfactory</w:t>
            </w:r>
          </w:p>
        </w:tc>
        <w:tc>
          <w:tcPr>
            <w:tcW w:w="2970" w:type="dxa"/>
            <w:shd w:val="clear" w:color="auto" w:fill="auto"/>
          </w:tcPr>
          <w:p w14:paraId="6E73A60A" w14:textId="77777777" w:rsidR="00933570" w:rsidRPr="00E55813" w:rsidRDefault="00933570" w:rsidP="00933570">
            <w:pPr>
              <w:spacing w:after="120"/>
              <w:rPr>
                <w:sz w:val="22"/>
                <w:szCs w:val="22"/>
                <w:lang w:val="en-GB"/>
              </w:rPr>
            </w:pPr>
            <w:r w:rsidRPr="00E55813">
              <w:rPr>
                <w:sz w:val="22"/>
                <w:szCs w:val="22"/>
                <w:lang w:val="en-GB"/>
              </w:rPr>
              <w:t>Well above average</w:t>
            </w:r>
          </w:p>
        </w:tc>
      </w:tr>
      <w:tr w:rsidR="00933570" w:rsidRPr="00E55813" w14:paraId="42173075" w14:textId="77777777" w:rsidTr="00933570">
        <w:tc>
          <w:tcPr>
            <w:tcW w:w="3798" w:type="dxa"/>
            <w:shd w:val="clear" w:color="auto" w:fill="auto"/>
          </w:tcPr>
          <w:p w14:paraId="068A4BD3" w14:textId="77777777" w:rsidR="00933570" w:rsidRPr="00E55813" w:rsidRDefault="00933570" w:rsidP="00933570">
            <w:pPr>
              <w:spacing w:after="120"/>
              <w:rPr>
                <w:sz w:val="22"/>
                <w:szCs w:val="22"/>
                <w:lang w:val="en-GB"/>
              </w:rPr>
            </w:pPr>
            <w:r w:rsidRPr="00E55813">
              <w:rPr>
                <w:sz w:val="22"/>
                <w:szCs w:val="22"/>
                <w:lang w:val="en-GB"/>
              </w:rPr>
              <w:t xml:space="preserve">MS </w:t>
            </w:r>
            <w:r w:rsidRPr="00E55813">
              <w:rPr>
                <w:sz w:val="22"/>
                <w:szCs w:val="22"/>
                <w:lang w:val="en-GB"/>
              </w:rPr>
              <w:tab/>
              <w:t>= Moderately Satisfactory</w:t>
            </w:r>
          </w:p>
        </w:tc>
        <w:tc>
          <w:tcPr>
            <w:tcW w:w="2970" w:type="dxa"/>
            <w:shd w:val="clear" w:color="auto" w:fill="auto"/>
          </w:tcPr>
          <w:p w14:paraId="028BA3CA" w14:textId="77777777" w:rsidR="00933570" w:rsidRPr="00E55813" w:rsidRDefault="00933570" w:rsidP="00933570">
            <w:pPr>
              <w:spacing w:after="120"/>
              <w:rPr>
                <w:sz w:val="22"/>
                <w:szCs w:val="22"/>
                <w:lang w:val="en-GB"/>
              </w:rPr>
            </w:pPr>
            <w:r w:rsidRPr="00E55813">
              <w:rPr>
                <w:sz w:val="22"/>
                <w:szCs w:val="22"/>
                <w:lang w:val="en-GB"/>
              </w:rPr>
              <w:t>Average</w:t>
            </w:r>
          </w:p>
        </w:tc>
      </w:tr>
      <w:tr w:rsidR="00933570" w:rsidRPr="00E55813" w14:paraId="1E2E04D2" w14:textId="77777777" w:rsidTr="00933570">
        <w:tc>
          <w:tcPr>
            <w:tcW w:w="3798" w:type="dxa"/>
            <w:shd w:val="clear" w:color="auto" w:fill="auto"/>
          </w:tcPr>
          <w:p w14:paraId="0EAADB91" w14:textId="77777777" w:rsidR="00933570" w:rsidRPr="00E55813" w:rsidRDefault="00933570" w:rsidP="00933570">
            <w:pPr>
              <w:spacing w:after="120"/>
              <w:rPr>
                <w:sz w:val="22"/>
                <w:szCs w:val="22"/>
                <w:lang w:val="en-GB"/>
              </w:rPr>
            </w:pPr>
            <w:r w:rsidRPr="00E55813">
              <w:rPr>
                <w:sz w:val="22"/>
                <w:szCs w:val="22"/>
                <w:lang w:val="en-GB"/>
              </w:rPr>
              <w:t xml:space="preserve">MU </w:t>
            </w:r>
            <w:r w:rsidRPr="00E55813">
              <w:rPr>
                <w:sz w:val="22"/>
                <w:szCs w:val="22"/>
                <w:lang w:val="en-GB"/>
              </w:rPr>
              <w:tab/>
              <w:t>= Moderately Unsatisfactory</w:t>
            </w:r>
          </w:p>
        </w:tc>
        <w:tc>
          <w:tcPr>
            <w:tcW w:w="2970" w:type="dxa"/>
            <w:shd w:val="clear" w:color="auto" w:fill="auto"/>
          </w:tcPr>
          <w:p w14:paraId="4BB5F2BC" w14:textId="77777777" w:rsidR="00933570" w:rsidRPr="00E55813" w:rsidRDefault="00933570" w:rsidP="00933570">
            <w:pPr>
              <w:spacing w:after="120"/>
              <w:rPr>
                <w:sz w:val="22"/>
                <w:szCs w:val="22"/>
                <w:lang w:val="en-GB"/>
              </w:rPr>
            </w:pPr>
            <w:r w:rsidRPr="00E55813">
              <w:rPr>
                <w:sz w:val="22"/>
                <w:szCs w:val="22"/>
                <w:lang w:val="en-GB"/>
              </w:rPr>
              <w:t>Below Average</w:t>
            </w:r>
          </w:p>
        </w:tc>
      </w:tr>
      <w:tr w:rsidR="00933570" w:rsidRPr="00E55813" w14:paraId="6FCDBC3F" w14:textId="77777777" w:rsidTr="00933570">
        <w:tc>
          <w:tcPr>
            <w:tcW w:w="3798" w:type="dxa"/>
            <w:shd w:val="clear" w:color="auto" w:fill="auto"/>
          </w:tcPr>
          <w:p w14:paraId="667B9CB1" w14:textId="77777777" w:rsidR="00933570" w:rsidRPr="00E55813" w:rsidRDefault="00933570" w:rsidP="00933570">
            <w:pPr>
              <w:spacing w:after="120"/>
              <w:rPr>
                <w:sz w:val="22"/>
                <w:szCs w:val="22"/>
                <w:lang w:val="en-GB"/>
              </w:rPr>
            </w:pPr>
            <w:r w:rsidRPr="00E55813">
              <w:rPr>
                <w:sz w:val="22"/>
                <w:szCs w:val="22"/>
                <w:lang w:val="en-GB"/>
              </w:rPr>
              <w:t xml:space="preserve">U </w:t>
            </w:r>
            <w:r w:rsidRPr="00E55813">
              <w:rPr>
                <w:sz w:val="22"/>
                <w:szCs w:val="22"/>
                <w:lang w:val="en-GB"/>
              </w:rPr>
              <w:tab/>
              <w:t>= Unsatisfactory</w:t>
            </w:r>
          </w:p>
        </w:tc>
        <w:tc>
          <w:tcPr>
            <w:tcW w:w="2970" w:type="dxa"/>
            <w:shd w:val="clear" w:color="auto" w:fill="auto"/>
          </w:tcPr>
          <w:p w14:paraId="2F37192E" w14:textId="77777777" w:rsidR="00933570" w:rsidRPr="00E55813" w:rsidRDefault="00933570" w:rsidP="00933570">
            <w:pPr>
              <w:spacing w:after="120"/>
              <w:rPr>
                <w:sz w:val="22"/>
                <w:szCs w:val="22"/>
                <w:lang w:val="en-GB"/>
              </w:rPr>
            </w:pPr>
            <w:r w:rsidRPr="00E55813">
              <w:rPr>
                <w:sz w:val="22"/>
                <w:szCs w:val="22"/>
                <w:lang w:val="en-GB"/>
              </w:rPr>
              <w:t>Poor</w:t>
            </w:r>
          </w:p>
        </w:tc>
      </w:tr>
      <w:tr w:rsidR="00933570" w:rsidRPr="00E55813" w14:paraId="49FCF62A" w14:textId="77777777" w:rsidTr="00933570">
        <w:tc>
          <w:tcPr>
            <w:tcW w:w="3798" w:type="dxa"/>
            <w:shd w:val="clear" w:color="auto" w:fill="auto"/>
          </w:tcPr>
          <w:p w14:paraId="42BBA21D" w14:textId="77777777" w:rsidR="00933570" w:rsidRPr="00E55813" w:rsidRDefault="00933570" w:rsidP="00933570">
            <w:pPr>
              <w:spacing w:after="120"/>
              <w:rPr>
                <w:sz w:val="22"/>
                <w:szCs w:val="22"/>
                <w:lang w:val="en-GB"/>
              </w:rPr>
            </w:pPr>
            <w:r w:rsidRPr="00E55813">
              <w:rPr>
                <w:sz w:val="22"/>
                <w:szCs w:val="22"/>
                <w:lang w:val="en-GB"/>
              </w:rPr>
              <w:t>HU</w:t>
            </w:r>
            <w:r w:rsidRPr="00E55813">
              <w:rPr>
                <w:sz w:val="22"/>
                <w:szCs w:val="22"/>
                <w:lang w:val="en-GB"/>
              </w:rPr>
              <w:tab/>
              <w:t>= Highly Unsatisfactory</w:t>
            </w:r>
          </w:p>
        </w:tc>
        <w:tc>
          <w:tcPr>
            <w:tcW w:w="2970" w:type="dxa"/>
            <w:shd w:val="clear" w:color="auto" w:fill="auto"/>
          </w:tcPr>
          <w:p w14:paraId="33471BA9" w14:textId="77777777" w:rsidR="00933570" w:rsidRPr="00E55813" w:rsidRDefault="00933570" w:rsidP="00933570">
            <w:pPr>
              <w:spacing w:after="120"/>
              <w:rPr>
                <w:sz w:val="22"/>
                <w:szCs w:val="22"/>
                <w:lang w:val="en-GB"/>
              </w:rPr>
            </w:pPr>
            <w:r w:rsidRPr="00E55813">
              <w:rPr>
                <w:sz w:val="22"/>
                <w:szCs w:val="22"/>
                <w:lang w:val="en-GB"/>
              </w:rPr>
              <w:t>Very poor (Appalling)</w:t>
            </w:r>
          </w:p>
        </w:tc>
      </w:tr>
    </w:tbl>
    <w:p w14:paraId="087C85F3" w14:textId="77777777" w:rsidR="00933570" w:rsidRPr="00E55813" w:rsidRDefault="00933570" w:rsidP="00933570">
      <w:pPr>
        <w:spacing w:after="120"/>
        <w:rPr>
          <w:sz w:val="22"/>
          <w:szCs w:val="22"/>
          <w:lang w:val="en-GB"/>
        </w:rPr>
      </w:pPr>
    </w:p>
    <w:p w14:paraId="2C2B62D7" w14:textId="77777777" w:rsidR="00933570" w:rsidRPr="00E55813" w:rsidRDefault="00933570" w:rsidP="00933570">
      <w:pPr>
        <w:spacing w:after="120"/>
        <w:rPr>
          <w:sz w:val="22"/>
          <w:szCs w:val="22"/>
          <w:lang w:val="en-GB"/>
        </w:rPr>
        <w:sectPr w:rsidR="00933570" w:rsidRPr="00E55813" w:rsidSect="00064925">
          <w:pgSz w:w="11906" w:h="16838"/>
          <w:pgMar w:top="1417" w:right="1417" w:bottom="1417" w:left="1417" w:header="708" w:footer="708" w:gutter="0"/>
          <w:cols w:space="708"/>
          <w:docGrid w:linePitch="360"/>
        </w:sectPr>
      </w:pPr>
    </w:p>
    <w:p w14:paraId="177BA85A" w14:textId="77777777" w:rsidR="00933570" w:rsidRPr="00E55813" w:rsidRDefault="00933570" w:rsidP="00933570">
      <w:pPr>
        <w:tabs>
          <w:tab w:val="left" w:pos="993"/>
        </w:tabs>
        <w:overflowPunct w:val="0"/>
        <w:autoSpaceDE w:val="0"/>
        <w:autoSpaceDN w:val="0"/>
        <w:adjustRightInd w:val="0"/>
        <w:spacing w:before="120" w:after="260" w:line="260" w:lineRule="atLeast"/>
        <w:jc w:val="both"/>
        <w:textAlignment w:val="baseline"/>
        <w:rPr>
          <w:i/>
          <w:sz w:val="22"/>
          <w:szCs w:val="22"/>
          <w:lang w:val="en-GB"/>
        </w:rPr>
      </w:pPr>
      <w:r w:rsidRPr="00E55813">
        <w:rPr>
          <w:i/>
          <w:sz w:val="22"/>
          <w:szCs w:val="22"/>
          <w:lang w:val="en-GB"/>
        </w:rPr>
        <w:t>Annex 2 to Appendix 9: Co-financing and Leveraged Resources</w:t>
      </w:r>
    </w:p>
    <w:p w14:paraId="7DF63ACA" w14:textId="77777777" w:rsidR="00933570" w:rsidRPr="00E55813" w:rsidRDefault="00933570" w:rsidP="00933570">
      <w:pPr>
        <w:tabs>
          <w:tab w:val="left" w:pos="993"/>
        </w:tabs>
        <w:overflowPunct w:val="0"/>
        <w:autoSpaceDE w:val="0"/>
        <w:autoSpaceDN w:val="0"/>
        <w:adjustRightInd w:val="0"/>
        <w:spacing w:before="120" w:after="260" w:line="260" w:lineRule="atLeast"/>
        <w:jc w:val="both"/>
        <w:textAlignment w:val="baseline"/>
        <w:rPr>
          <w:i/>
          <w:sz w:val="22"/>
          <w:szCs w:val="22"/>
          <w:lang w:val="en-GB"/>
        </w:rPr>
      </w:pPr>
    </w:p>
    <w:p w14:paraId="6A3A5D21" w14:textId="77777777" w:rsidR="00933570" w:rsidRPr="00E55813" w:rsidRDefault="00933570" w:rsidP="00933570">
      <w:pPr>
        <w:tabs>
          <w:tab w:val="left" w:pos="993"/>
        </w:tabs>
        <w:overflowPunct w:val="0"/>
        <w:autoSpaceDE w:val="0"/>
        <w:autoSpaceDN w:val="0"/>
        <w:adjustRightInd w:val="0"/>
        <w:spacing w:before="120" w:after="260" w:line="260" w:lineRule="atLeast"/>
        <w:jc w:val="both"/>
        <w:textAlignment w:val="baseline"/>
        <w:rPr>
          <w:sz w:val="22"/>
          <w:szCs w:val="22"/>
          <w:lang w:val="en-GB"/>
        </w:rPr>
      </w:pPr>
      <w:r w:rsidRPr="00E55813">
        <w:rPr>
          <w:i/>
          <w:sz w:val="22"/>
          <w:szCs w:val="22"/>
          <w:lang w:val="en-GB"/>
        </w:rPr>
        <w:t>Co-financing (basic data to be supplied to the consultant for verification)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28"/>
        <w:gridCol w:w="1080"/>
        <w:gridCol w:w="900"/>
        <w:gridCol w:w="1080"/>
        <w:gridCol w:w="1080"/>
        <w:gridCol w:w="1080"/>
        <w:gridCol w:w="900"/>
        <w:gridCol w:w="1080"/>
        <w:gridCol w:w="900"/>
        <w:gridCol w:w="1080"/>
        <w:gridCol w:w="1080"/>
      </w:tblGrid>
      <w:tr w:rsidR="00933570" w:rsidRPr="00E55813" w14:paraId="7E8CE097" w14:textId="77777777" w:rsidTr="00933570">
        <w:trPr>
          <w:cantSplit/>
        </w:trPr>
        <w:tc>
          <w:tcPr>
            <w:tcW w:w="2628" w:type="dxa"/>
            <w:vMerge w:val="restart"/>
            <w:shd w:val="pct10" w:color="auto" w:fill="auto"/>
            <w:vAlign w:val="center"/>
          </w:tcPr>
          <w:p w14:paraId="5C139DAB" w14:textId="77777777" w:rsidR="00933570" w:rsidRPr="00E55813" w:rsidRDefault="00933570" w:rsidP="00933570">
            <w:pPr>
              <w:framePr w:hSpace="180" w:wrap="around" w:vAnchor="page" w:hAnchor="margin" w:y="2731"/>
              <w:jc w:val="center"/>
              <w:rPr>
                <w:b/>
                <w:sz w:val="22"/>
                <w:szCs w:val="22"/>
                <w:lang w:val="en-GB"/>
              </w:rPr>
            </w:pPr>
            <w:r w:rsidRPr="00E55813">
              <w:rPr>
                <w:b/>
                <w:sz w:val="22"/>
                <w:szCs w:val="22"/>
                <w:lang w:val="en-GB"/>
              </w:rPr>
              <w:t>Co financing</w:t>
            </w:r>
            <w:r w:rsidRPr="00E55813">
              <w:rPr>
                <w:b/>
                <w:sz w:val="22"/>
                <w:szCs w:val="22"/>
                <w:lang w:val="en-GB"/>
              </w:rPr>
              <w:br/>
              <w:t>(Type/Source)</w:t>
            </w:r>
          </w:p>
        </w:tc>
        <w:tc>
          <w:tcPr>
            <w:tcW w:w="1980" w:type="dxa"/>
            <w:gridSpan w:val="2"/>
            <w:tcBorders>
              <w:bottom w:val="single" w:sz="4" w:space="0" w:color="auto"/>
            </w:tcBorders>
            <w:shd w:val="pct10" w:color="auto" w:fill="auto"/>
          </w:tcPr>
          <w:p w14:paraId="77948B6D" w14:textId="77777777" w:rsidR="00933570" w:rsidRPr="00E55813" w:rsidRDefault="00933570" w:rsidP="00933570">
            <w:pPr>
              <w:framePr w:hSpace="180" w:wrap="around" w:vAnchor="page" w:hAnchor="margin" w:y="2731"/>
              <w:jc w:val="center"/>
              <w:rPr>
                <w:b/>
                <w:sz w:val="22"/>
                <w:szCs w:val="22"/>
                <w:lang w:val="en-GB"/>
              </w:rPr>
            </w:pPr>
            <w:r w:rsidRPr="00E55813">
              <w:rPr>
                <w:b/>
                <w:sz w:val="22"/>
                <w:szCs w:val="22"/>
                <w:lang w:val="en-GB"/>
              </w:rPr>
              <w:t>IA own</w:t>
            </w:r>
            <w:r w:rsidRPr="00E55813">
              <w:rPr>
                <w:b/>
                <w:sz w:val="22"/>
                <w:szCs w:val="22"/>
                <w:lang w:val="en-GB"/>
              </w:rPr>
              <w:br/>
              <w:t xml:space="preserve"> Financing</w:t>
            </w:r>
            <w:r w:rsidRPr="00E55813">
              <w:rPr>
                <w:b/>
                <w:sz w:val="22"/>
                <w:szCs w:val="22"/>
                <w:lang w:val="en-GB"/>
              </w:rPr>
              <w:br/>
              <w:t>(mill US$)</w:t>
            </w:r>
          </w:p>
        </w:tc>
        <w:tc>
          <w:tcPr>
            <w:tcW w:w="2160" w:type="dxa"/>
            <w:gridSpan w:val="2"/>
            <w:tcBorders>
              <w:bottom w:val="single" w:sz="4" w:space="0" w:color="auto"/>
            </w:tcBorders>
            <w:shd w:val="pct10" w:color="auto" w:fill="auto"/>
          </w:tcPr>
          <w:p w14:paraId="18B5BA6E" w14:textId="77777777" w:rsidR="00933570" w:rsidRPr="00E55813" w:rsidRDefault="00933570" w:rsidP="00933570">
            <w:pPr>
              <w:framePr w:hSpace="180" w:wrap="around" w:vAnchor="page" w:hAnchor="margin" w:y="2731"/>
              <w:jc w:val="center"/>
              <w:rPr>
                <w:b/>
                <w:sz w:val="22"/>
                <w:szCs w:val="22"/>
                <w:lang w:val="en-GB"/>
              </w:rPr>
            </w:pPr>
            <w:r w:rsidRPr="00E55813">
              <w:rPr>
                <w:b/>
                <w:sz w:val="22"/>
                <w:szCs w:val="22"/>
                <w:lang w:val="en-GB"/>
              </w:rPr>
              <w:t>Government</w:t>
            </w:r>
            <w:r w:rsidRPr="00E55813">
              <w:rPr>
                <w:b/>
                <w:sz w:val="22"/>
                <w:szCs w:val="22"/>
                <w:lang w:val="en-GB"/>
              </w:rPr>
              <w:br/>
            </w:r>
          </w:p>
          <w:p w14:paraId="0EBDBBBF" w14:textId="77777777" w:rsidR="00933570" w:rsidRPr="00E55813" w:rsidRDefault="00933570" w:rsidP="00933570">
            <w:pPr>
              <w:framePr w:hSpace="180" w:wrap="around" w:vAnchor="page" w:hAnchor="margin" w:y="2731"/>
              <w:jc w:val="center"/>
              <w:rPr>
                <w:b/>
                <w:sz w:val="22"/>
                <w:szCs w:val="22"/>
                <w:lang w:val="en-GB"/>
              </w:rPr>
            </w:pPr>
            <w:r w:rsidRPr="00E55813">
              <w:rPr>
                <w:b/>
                <w:sz w:val="22"/>
                <w:szCs w:val="22"/>
                <w:lang w:val="en-GB"/>
              </w:rPr>
              <w:t>(mill US$)</w:t>
            </w:r>
          </w:p>
        </w:tc>
        <w:tc>
          <w:tcPr>
            <w:tcW w:w="1980" w:type="dxa"/>
            <w:gridSpan w:val="2"/>
            <w:tcBorders>
              <w:bottom w:val="single" w:sz="4" w:space="0" w:color="auto"/>
            </w:tcBorders>
            <w:shd w:val="pct10" w:color="auto" w:fill="auto"/>
          </w:tcPr>
          <w:p w14:paraId="1FD84131" w14:textId="77777777" w:rsidR="00933570" w:rsidRPr="00E55813" w:rsidRDefault="00933570" w:rsidP="00933570">
            <w:pPr>
              <w:framePr w:hSpace="180" w:wrap="around" w:vAnchor="page" w:hAnchor="margin" w:y="2731"/>
              <w:jc w:val="center"/>
              <w:rPr>
                <w:b/>
                <w:sz w:val="22"/>
                <w:szCs w:val="22"/>
                <w:lang w:val="en-GB"/>
              </w:rPr>
            </w:pPr>
            <w:r w:rsidRPr="00E55813">
              <w:rPr>
                <w:b/>
                <w:sz w:val="22"/>
                <w:szCs w:val="22"/>
                <w:lang w:val="en-GB"/>
              </w:rPr>
              <w:t>Other*</w:t>
            </w:r>
            <w:r w:rsidRPr="00E55813">
              <w:rPr>
                <w:b/>
                <w:sz w:val="22"/>
                <w:szCs w:val="22"/>
                <w:lang w:val="en-GB"/>
              </w:rPr>
              <w:br/>
            </w:r>
          </w:p>
          <w:p w14:paraId="4649AE1F" w14:textId="77777777" w:rsidR="00933570" w:rsidRPr="00E55813" w:rsidRDefault="00933570" w:rsidP="00933570">
            <w:pPr>
              <w:framePr w:hSpace="180" w:wrap="around" w:vAnchor="page" w:hAnchor="margin" w:y="2731"/>
              <w:jc w:val="center"/>
              <w:rPr>
                <w:b/>
                <w:sz w:val="22"/>
                <w:szCs w:val="22"/>
                <w:lang w:val="en-GB"/>
              </w:rPr>
            </w:pPr>
            <w:r w:rsidRPr="00E55813">
              <w:rPr>
                <w:b/>
                <w:sz w:val="22"/>
                <w:szCs w:val="22"/>
                <w:lang w:val="en-GB"/>
              </w:rPr>
              <w:t>(mill US$)</w:t>
            </w:r>
          </w:p>
        </w:tc>
        <w:tc>
          <w:tcPr>
            <w:tcW w:w="1980" w:type="dxa"/>
            <w:gridSpan w:val="2"/>
            <w:tcBorders>
              <w:bottom w:val="single" w:sz="4" w:space="0" w:color="auto"/>
            </w:tcBorders>
            <w:shd w:val="pct10" w:color="auto" w:fill="auto"/>
          </w:tcPr>
          <w:p w14:paraId="13A9B361" w14:textId="77777777" w:rsidR="00933570" w:rsidRPr="00E55813" w:rsidRDefault="00933570" w:rsidP="00933570">
            <w:pPr>
              <w:framePr w:hSpace="180" w:wrap="around" w:vAnchor="page" w:hAnchor="margin" w:y="2731"/>
              <w:jc w:val="center"/>
              <w:rPr>
                <w:b/>
                <w:sz w:val="22"/>
                <w:szCs w:val="22"/>
                <w:lang w:val="en-GB"/>
              </w:rPr>
            </w:pPr>
            <w:r w:rsidRPr="00E55813">
              <w:rPr>
                <w:b/>
                <w:sz w:val="22"/>
                <w:szCs w:val="22"/>
                <w:lang w:val="en-GB"/>
              </w:rPr>
              <w:t>Total</w:t>
            </w:r>
            <w:r w:rsidRPr="00E55813">
              <w:rPr>
                <w:b/>
                <w:sz w:val="22"/>
                <w:szCs w:val="22"/>
                <w:lang w:val="en-GB"/>
              </w:rPr>
              <w:br/>
            </w:r>
            <w:r w:rsidRPr="00E55813">
              <w:rPr>
                <w:b/>
                <w:sz w:val="22"/>
                <w:szCs w:val="22"/>
                <w:lang w:val="en-GB"/>
              </w:rPr>
              <w:br/>
              <w:t>(mill US$)</w:t>
            </w:r>
          </w:p>
        </w:tc>
        <w:tc>
          <w:tcPr>
            <w:tcW w:w="2160" w:type="dxa"/>
            <w:gridSpan w:val="2"/>
            <w:tcBorders>
              <w:bottom w:val="single" w:sz="4" w:space="0" w:color="auto"/>
            </w:tcBorders>
            <w:shd w:val="pct10" w:color="auto" w:fill="auto"/>
          </w:tcPr>
          <w:p w14:paraId="70535B17" w14:textId="77777777" w:rsidR="00933570" w:rsidRPr="00E55813" w:rsidRDefault="00933570" w:rsidP="00933570">
            <w:pPr>
              <w:framePr w:hSpace="180" w:wrap="around" w:vAnchor="page" w:hAnchor="margin" w:y="2731"/>
              <w:jc w:val="center"/>
              <w:rPr>
                <w:b/>
                <w:sz w:val="22"/>
                <w:szCs w:val="22"/>
                <w:lang w:val="en-GB"/>
              </w:rPr>
            </w:pPr>
            <w:r w:rsidRPr="00E55813">
              <w:rPr>
                <w:b/>
                <w:sz w:val="22"/>
                <w:szCs w:val="22"/>
                <w:lang w:val="en-GB"/>
              </w:rPr>
              <w:t>Total</w:t>
            </w:r>
          </w:p>
          <w:p w14:paraId="48DA6CCD" w14:textId="77777777" w:rsidR="00933570" w:rsidRPr="00E55813" w:rsidRDefault="00933570" w:rsidP="00933570">
            <w:pPr>
              <w:framePr w:hSpace="180" w:wrap="around" w:vAnchor="page" w:hAnchor="margin" w:y="2731"/>
              <w:jc w:val="center"/>
              <w:rPr>
                <w:b/>
                <w:sz w:val="22"/>
                <w:szCs w:val="22"/>
                <w:lang w:val="en-GB"/>
              </w:rPr>
            </w:pPr>
            <w:r w:rsidRPr="00E55813">
              <w:rPr>
                <w:b/>
                <w:sz w:val="22"/>
                <w:szCs w:val="22"/>
                <w:lang w:val="en-GB"/>
              </w:rPr>
              <w:t>Disbursement</w:t>
            </w:r>
            <w:r w:rsidRPr="00E55813">
              <w:rPr>
                <w:b/>
                <w:sz w:val="22"/>
                <w:szCs w:val="22"/>
                <w:lang w:val="en-GB"/>
              </w:rPr>
              <w:br/>
              <w:t>(mill US$)</w:t>
            </w:r>
          </w:p>
        </w:tc>
      </w:tr>
      <w:tr w:rsidR="00933570" w:rsidRPr="00E55813" w14:paraId="74BDDE87" w14:textId="77777777" w:rsidTr="00933570">
        <w:trPr>
          <w:cantSplit/>
        </w:trPr>
        <w:tc>
          <w:tcPr>
            <w:tcW w:w="2628" w:type="dxa"/>
            <w:vMerge/>
          </w:tcPr>
          <w:p w14:paraId="7D91052D" w14:textId="77777777" w:rsidR="00933570" w:rsidRPr="00E55813" w:rsidRDefault="00933570" w:rsidP="00933570">
            <w:pPr>
              <w:framePr w:hSpace="180" w:wrap="around" w:vAnchor="page" w:hAnchor="margin" w:y="2731"/>
              <w:rPr>
                <w:sz w:val="22"/>
                <w:szCs w:val="22"/>
                <w:lang w:val="en-GB"/>
              </w:rPr>
            </w:pPr>
          </w:p>
        </w:tc>
        <w:tc>
          <w:tcPr>
            <w:tcW w:w="1080" w:type="dxa"/>
            <w:shd w:val="pct12" w:color="auto" w:fill="auto"/>
          </w:tcPr>
          <w:p w14:paraId="3F808729" w14:textId="77777777" w:rsidR="00933570" w:rsidRPr="00E55813" w:rsidRDefault="00933570" w:rsidP="00933570">
            <w:pPr>
              <w:rPr>
                <w:b/>
                <w:sz w:val="22"/>
                <w:szCs w:val="22"/>
                <w:lang w:val="en-GB"/>
              </w:rPr>
            </w:pPr>
            <w:r w:rsidRPr="00E55813">
              <w:rPr>
                <w:b/>
                <w:sz w:val="22"/>
                <w:szCs w:val="22"/>
                <w:lang w:val="en-GB"/>
              </w:rPr>
              <w:t>Planned</w:t>
            </w:r>
          </w:p>
        </w:tc>
        <w:tc>
          <w:tcPr>
            <w:tcW w:w="900" w:type="dxa"/>
            <w:shd w:val="pct12" w:color="auto" w:fill="auto"/>
          </w:tcPr>
          <w:p w14:paraId="40CDF474" w14:textId="77777777" w:rsidR="00933570" w:rsidRPr="00E55813" w:rsidRDefault="00933570" w:rsidP="00933570">
            <w:pPr>
              <w:framePr w:hSpace="180" w:wrap="around" w:vAnchor="page" w:hAnchor="margin" w:y="2731"/>
              <w:rPr>
                <w:b/>
                <w:sz w:val="22"/>
                <w:szCs w:val="22"/>
                <w:lang w:val="en-GB"/>
              </w:rPr>
            </w:pPr>
            <w:r w:rsidRPr="00E55813">
              <w:rPr>
                <w:b/>
                <w:sz w:val="22"/>
                <w:szCs w:val="22"/>
                <w:lang w:val="en-GB"/>
              </w:rPr>
              <w:t>Actual</w:t>
            </w:r>
          </w:p>
        </w:tc>
        <w:tc>
          <w:tcPr>
            <w:tcW w:w="1080" w:type="dxa"/>
            <w:shd w:val="pct12" w:color="auto" w:fill="auto"/>
          </w:tcPr>
          <w:p w14:paraId="3827E7B3" w14:textId="77777777" w:rsidR="00933570" w:rsidRPr="00E55813" w:rsidRDefault="00933570" w:rsidP="00933570">
            <w:pPr>
              <w:framePr w:hSpace="180" w:wrap="around" w:vAnchor="page" w:hAnchor="margin" w:y="2731"/>
              <w:rPr>
                <w:b/>
                <w:sz w:val="22"/>
                <w:szCs w:val="22"/>
                <w:lang w:val="en-GB"/>
              </w:rPr>
            </w:pPr>
            <w:r w:rsidRPr="00E55813">
              <w:rPr>
                <w:b/>
                <w:sz w:val="22"/>
                <w:szCs w:val="22"/>
                <w:lang w:val="en-GB"/>
              </w:rPr>
              <w:t>Planned</w:t>
            </w:r>
          </w:p>
        </w:tc>
        <w:tc>
          <w:tcPr>
            <w:tcW w:w="1080" w:type="dxa"/>
            <w:shd w:val="pct12" w:color="auto" w:fill="auto"/>
          </w:tcPr>
          <w:p w14:paraId="6DF08488" w14:textId="77777777" w:rsidR="00933570" w:rsidRPr="00E55813" w:rsidRDefault="00933570" w:rsidP="00933570">
            <w:pPr>
              <w:framePr w:hSpace="180" w:wrap="around" w:vAnchor="page" w:hAnchor="margin" w:y="2731"/>
              <w:rPr>
                <w:b/>
                <w:sz w:val="22"/>
                <w:szCs w:val="22"/>
                <w:lang w:val="en-GB"/>
              </w:rPr>
            </w:pPr>
            <w:r w:rsidRPr="00E55813">
              <w:rPr>
                <w:b/>
                <w:sz w:val="22"/>
                <w:szCs w:val="22"/>
                <w:lang w:val="en-GB"/>
              </w:rPr>
              <w:t>Actual</w:t>
            </w:r>
          </w:p>
        </w:tc>
        <w:tc>
          <w:tcPr>
            <w:tcW w:w="1080" w:type="dxa"/>
            <w:shd w:val="pct12" w:color="auto" w:fill="auto"/>
          </w:tcPr>
          <w:p w14:paraId="3F1952B0" w14:textId="77777777" w:rsidR="00933570" w:rsidRPr="00E55813" w:rsidRDefault="00933570" w:rsidP="00933570">
            <w:pPr>
              <w:framePr w:hSpace="180" w:wrap="around" w:vAnchor="page" w:hAnchor="margin" w:y="2731"/>
              <w:rPr>
                <w:b/>
                <w:sz w:val="22"/>
                <w:szCs w:val="22"/>
                <w:lang w:val="en-GB"/>
              </w:rPr>
            </w:pPr>
            <w:r w:rsidRPr="00E55813">
              <w:rPr>
                <w:b/>
                <w:sz w:val="22"/>
                <w:szCs w:val="22"/>
                <w:lang w:val="en-GB"/>
              </w:rPr>
              <w:t>Planned</w:t>
            </w:r>
          </w:p>
        </w:tc>
        <w:tc>
          <w:tcPr>
            <w:tcW w:w="900" w:type="dxa"/>
            <w:shd w:val="pct12" w:color="auto" w:fill="auto"/>
          </w:tcPr>
          <w:p w14:paraId="4985F863" w14:textId="77777777" w:rsidR="00933570" w:rsidRPr="00E55813" w:rsidRDefault="00933570" w:rsidP="00933570">
            <w:pPr>
              <w:framePr w:hSpace="180" w:wrap="around" w:vAnchor="page" w:hAnchor="margin" w:y="2731"/>
              <w:rPr>
                <w:b/>
                <w:sz w:val="22"/>
                <w:szCs w:val="22"/>
                <w:lang w:val="en-GB"/>
              </w:rPr>
            </w:pPr>
            <w:r w:rsidRPr="00E55813">
              <w:rPr>
                <w:b/>
                <w:sz w:val="22"/>
                <w:szCs w:val="22"/>
                <w:lang w:val="en-GB"/>
              </w:rPr>
              <w:t>Actual</w:t>
            </w:r>
          </w:p>
        </w:tc>
        <w:tc>
          <w:tcPr>
            <w:tcW w:w="1080" w:type="dxa"/>
            <w:shd w:val="pct12" w:color="auto" w:fill="auto"/>
          </w:tcPr>
          <w:p w14:paraId="3396CEA0" w14:textId="77777777" w:rsidR="00933570" w:rsidRPr="00E55813" w:rsidRDefault="00933570" w:rsidP="00933570">
            <w:pPr>
              <w:framePr w:hSpace="180" w:wrap="around" w:vAnchor="page" w:hAnchor="margin" w:y="2731"/>
              <w:rPr>
                <w:b/>
                <w:sz w:val="22"/>
                <w:szCs w:val="22"/>
                <w:lang w:val="en-GB"/>
              </w:rPr>
            </w:pPr>
            <w:r w:rsidRPr="00E55813">
              <w:rPr>
                <w:b/>
                <w:sz w:val="22"/>
                <w:szCs w:val="22"/>
                <w:lang w:val="en-GB"/>
              </w:rPr>
              <w:t>Planned</w:t>
            </w:r>
          </w:p>
        </w:tc>
        <w:tc>
          <w:tcPr>
            <w:tcW w:w="900" w:type="dxa"/>
            <w:shd w:val="pct12" w:color="auto" w:fill="auto"/>
          </w:tcPr>
          <w:p w14:paraId="3B818FBD" w14:textId="77777777" w:rsidR="00933570" w:rsidRPr="00E55813" w:rsidRDefault="00933570" w:rsidP="00933570">
            <w:pPr>
              <w:framePr w:hSpace="180" w:wrap="around" w:vAnchor="page" w:hAnchor="margin" w:y="2731"/>
              <w:rPr>
                <w:b/>
                <w:sz w:val="22"/>
                <w:szCs w:val="22"/>
                <w:lang w:val="en-GB"/>
              </w:rPr>
            </w:pPr>
            <w:r w:rsidRPr="00E55813">
              <w:rPr>
                <w:b/>
                <w:sz w:val="22"/>
                <w:szCs w:val="22"/>
                <w:lang w:val="en-GB"/>
              </w:rPr>
              <w:t>Actual</w:t>
            </w:r>
          </w:p>
        </w:tc>
        <w:tc>
          <w:tcPr>
            <w:tcW w:w="1080" w:type="dxa"/>
            <w:shd w:val="pct12" w:color="auto" w:fill="auto"/>
          </w:tcPr>
          <w:p w14:paraId="747427AA" w14:textId="77777777" w:rsidR="00933570" w:rsidRPr="00E55813" w:rsidRDefault="00933570" w:rsidP="00933570">
            <w:pPr>
              <w:framePr w:hSpace="180" w:wrap="around" w:vAnchor="page" w:hAnchor="margin" w:y="2731"/>
              <w:rPr>
                <w:b/>
                <w:sz w:val="22"/>
                <w:szCs w:val="22"/>
                <w:lang w:val="en-GB"/>
              </w:rPr>
            </w:pPr>
            <w:r w:rsidRPr="00E55813">
              <w:rPr>
                <w:b/>
                <w:sz w:val="22"/>
                <w:szCs w:val="22"/>
                <w:lang w:val="en-GB"/>
              </w:rPr>
              <w:t>Planned</w:t>
            </w:r>
          </w:p>
        </w:tc>
        <w:tc>
          <w:tcPr>
            <w:tcW w:w="1080" w:type="dxa"/>
            <w:shd w:val="pct12" w:color="auto" w:fill="auto"/>
          </w:tcPr>
          <w:p w14:paraId="27229514" w14:textId="77777777" w:rsidR="00933570" w:rsidRPr="00E55813" w:rsidRDefault="00933570" w:rsidP="00933570">
            <w:pPr>
              <w:framePr w:hSpace="180" w:wrap="around" w:vAnchor="page" w:hAnchor="margin" w:y="2731"/>
              <w:rPr>
                <w:b/>
                <w:sz w:val="22"/>
                <w:szCs w:val="22"/>
                <w:lang w:val="en-GB"/>
              </w:rPr>
            </w:pPr>
            <w:r w:rsidRPr="00E55813">
              <w:rPr>
                <w:b/>
                <w:sz w:val="22"/>
                <w:szCs w:val="22"/>
                <w:lang w:val="en-GB"/>
              </w:rPr>
              <w:t>Actual</w:t>
            </w:r>
          </w:p>
        </w:tc>
      </w:tr>
      <w:tr w:rsidR="00933570" w:rsidRPr="00E55813" w14:paraId="117F3C73" w14:textId="77777777" w:rsidTr="00933570">
        <w:trPr>
          <w:cantSplit/>
        </w:trPr>
        <w:tc>
          <w:tcPr>
            <w:tcW w:w="2628" w:type="dxa"/>
          </w:tcPr>
          <w:p w14:paraId="330EDF13" w14:textId="77777777" w:rsidR="00933570" w:rsidRPr="00E55813" w:rsidRDefault="00933570" w:rsidP="00E071AC">
            <w:pPr>
              <w:framePr w:hSpace="180" w:wrap="around" w:vAnchor="page" w:hAnchor="margin" w:y="2731"/>
              <w:numPr>
                <w:ilvl w:val="0"/>
                <w:numId w:val="43"/>
              </w:numPr>
              <w:rPr>
                <w:sz w:val="22"/>
                <w:szCs w:val="22"/>
                <w:lang w:val="en-GB"/>
              </w:rPr>
            </w:pPr>
            <w:r w:rsidRPr="00E55813">
              <w:rPr>
                <w:sz w:val="22"/>
                <w:szCs w:val="22"/>
                <w:lang w:val="en-GB"/>
              </w:rPr>
              <w:t>Grants</w:t>
            </w:r>
          </w:p>
        </w:tc>
        <w:tc>
          <w:tcPr>
            <w:tcW w:w="1080" w:type="dxa"/>
          </w:tcPr>
          <w:p w14:paraId="5C90A375" w14:textId="77777777" w:rsidR="00933570" w:rsidRPr="00E55813" w:rsidRDefault="00933570" w:rsidP="00933570">
            <w:pPr>
              <w:framePr w:hSpace="180" w:wrap="around" w:vAnchor="page" w:hAnchor="margin" w:y="2731"/>
              <w:rPr>
                <w:sz w:val="22"/>
                <w:szCs w:val="22"/>
                <w:lang w:val="en-GB"/>
              </w:rPr>
            </w:pPr>
          </w:p>
        </w:tc>
        <w:tc>
          <w:tcPr>
            <w:tcW w:w="900" w:type="dxa"/>
          </w:tcPr>
          <w:p w14:paraId="33DBAB40" w14:textId="77777777" w:rsidR="00933570" w:rsidRPr="00E55813" w:rsidRDefault="00933570" w:rsidP="00933570">
            <w:pPr>
              <w:framePr w:hSpace="180" w:wrap="around" w:vAnchor="page" w:hAnchor="margin" w:y="2731"/>
              <w:rPr>
                <w:sz w:val="22"/>
                <w:szCs w:val="22"/>
                <w:lang w:val="en-GB"/>
              </w:rPr>
            </w:pPr>
          </w:p>
        </w:tc>
        <w:tc>
          <w:tcPr>
            <w:tcW w:w="1080" w:type="dxa"/>
          </w:tcPr>
          <w:p w14:paraId="0D4597BC" w14:textId="77777777" w:rsidR="00933570" w:rsidRPr="00E55813" w:rsidRDefault="00933570" w:rsidP="00933570">
            <w:pPr>
              <w:framePr w:hSpace="180" w:wrap="around" w:vAnchor="page" w:hAnchor="margin" w:y="2731"/>
              <w:rPr>
                <w:sz w:val="22"/>
                <w:szCs w:val="22"/>
                <w:lang w:val="en-GB"/>
              </w:rPr>
            </w:pPr>
          </w:p>
        </w:tc>
        <w:tc>
          <w:tcPr>
            <w:tcW w:w="1080" w:type="dxa"/>
          </w:tcPr>
          <w:p w14:paraId="41DAC6D6" w14:textId="77777777" w:rsidR="00933570" w:rsidRPr="00E55813" w:rsidRDefault="00933570" w:rsidP="00933570">
            <w:pPr>
              <w:framePr w:hSpace="180" w:wrap="around" w:vAnchor="page" w:hAnchor="margin" w:y="2731"/>
              <w:rPr>
                <w:sz w:val="22"/>
                <w:szCs w:val="22"/>
                <w:lang w:val="en-GB"/>
              </w:rPr>
            </w:pPr>
          </w:p>
        </w:tc>
        <w:tc>
          <w:tcPr>
            <w:tcW w:w="1080" w:type="dxa"/>
          </w:tcPr>
          <w:p w14:paraId="010ADAC9" w14:textId="77777777" w:rsidR="00933570" w:rsidRPr="00E55813" w:rsidRDefault="00933570" w:rsidP="00933570">
            <w:pPr>
              <w:framePr w:hSpace="180" w:wrap="around" w:vAnchor="page" w:hAnchor="margin" w:y="2731"/>
              <w:rPr>
                <w:sz w:val="22"/>
                <w:szCs w:val="22"/>
                <w:lang w:val="en-GB"/>
              </w:rPr>
            </w:pPr>
          </w:p>
        </w:tc>
        <w:tc>
          <w:tcPr>
            <w:tcW w:w="900" w:type="dxa"/>
          </w:tcPr>
          <w:p w14:paraId="1877F8BC" w14:textId="77777777" w:rsidR="00933570" w:rsidRPr="00E55813" w:rsidRDefault="00933570" w:rsidP="00933570">
            <w:pPr>
              <w:framePr w:hSpace="180" w:wrap="around" w:vAnchor="page" w:hAnchor="margin" w:y="2731"/>
              <w:rPr>
                <w:sz w:val="22"/>
                <w:szCs w:val="22"/>
                <w:lang w:val="en-GB"/>
              </w:rPr>
            </w:pPr>
          </w:p>
        </w:tc>
        <w:tc>
          <w:tcPr>
            <w:tcW w:w="1080" w:type="dxa"/>
          </w:tcPr>
          <w:p w14:paraId="4D8E021D" w14:textId="77777777" w:rsidR="00933570" w:rsidRPr="00E55813" w:rsidRDefault="00933570" w:rsidP="00933570">
            <w:pPr>
              <w:framePr w:hSpace="180" w:wrap="around" w:vAnchor="page" w:hAnchor="margin" w:y="2731"/>
              <w:rPr>
                <w:sz w:val="22"/>
                <w:szCs w:val="22"/>
                <w:lang w:val="en-GB"/>
              </w:rPr>
            </w:pPr>
          </w:p>
        </w:tc>
        <w:tc>
          <w:tcPr>
            <w:tcW w:w="900" w:type="dxa"/>
          </w:tcPr>
          <w:p w14:paraId="5BF3F241" w14:textId="77777777" w:rsidR="00933570" w:rsidRPr="00E55813" w:rsidRDefault="00933570" w:rsidP="00933570">
            <w:pPr>
              <w:framePr w:hSpace="180" w:wrap="around" w:vAnchor="page" w:hAnchor="margin" w:y="2731"/>
              <w:rPr>
                <w:sz w:val="22"/>
                <w:szCs w:val="22"/>
                <w:lang w:val="en-GB"/>
              </w:rPr>
            </w:pPr>
          </w:p>
        </w:tc>
        <w:tc>
          <w:tcPr>
            <w:tcW w:w="1080" w:type="dxa"/>
          </w:tcPr>
          <w:p w14:paraId="38A1965C" w14:textId="77777777" w:rsidR="00933570" w:rsidRPr="00E55813" w:rsidRDefault="00933570" w:rsidP="00933570">
            <w:pPr>
              <w:framePr w:hSpace="180" w:wrap="around" w:vAnchor="page" w:hAnchor="margin" w:y="2731"/>
              <w:rPr>
                <w:sz w:val="22"/>
                <w:szCs w:val="22"/>
                <w:lang w:val="en-GB"/>
              </w:rPr>
            </w:pPr>
          </w:p>
        </w:tc>
        <w:tc>
          <w:tcPr>
            <w:tcW w:w="1080" w:type="dxa"/>
          </w:tcPr>
          <w:p w14:paraId="2A120CBB" w14:textId="77777777" w:rsidR="00933570" w:rsidRPr="00E55813" w:rsidRDefault="00933570" w:rsidP="00933570">
            <w:pPr>
              <w:framePr w:hSpace="180" w:wrap="around" w:vAnchor="page" w:hAnchor="margin" w:y="2731"/>
              <w:rPr>
                <w:sz w:val="22"/>
                <w:szCs w:val="22"/>
                <w:lang w:val="en-GB"/>
              </w:rPr>
            </w:pPr>
          </w:p>
        </w:tc>
      </w:tr>
      <w:tr w:rsidR="00933570" w:rsidRPr="00E55813" w14:paraId="2D4FA075" w14:textId="77777777" w:rsidTr="00933570">
        <w:trPr>
          <w:cantSplit/>
        </w:trPr>
        <w:tc>
          <w:tcPr>
            <w:tcW w:w="2628" w:type="dxa"/>
          </w:tcPr>
          <w:p w14:paraId="593ECB70" w14:textId="77777777" w:rsidR="00933570" w:rsidRPr="00E55813" w:rsidRDefault="00933570" w:rsidP="00E071AC">
            <w:pPr>
              <w:framePr w:hSpace="180" w:wrap="around" w:vAnchor="page" w:hAnchor="margin" w:y="2731"/>
              <w:numPr>
                <w:ilvl w:val="0"/>
                <w:numId w:val="43"/>
              </w:numPr>
              <w:rPr>
                <w:sz w:val="22"/>
                <w:szCs w:val="22"/>
                <w:lang w:val="en-GB"/>
              </w:rPr>
            </w:pPr>
            <w:r w:rsidRPr="00E55813">
              <w:rPr>
                <w:sz w:val="22"/>
                <w:szCs w:val="22"/>
                <w:lang w:val="en-GB"/>
              </w:rPr>
              <w:t xml:space="preserve">Loans/Concessional (compared to market rate) </w:t>
            </w:r>
          </w:p>
        </w:tc>
        <w:tc>
          <w:tcPr>
            <w:tcW w:w="1080" w:type="dxa"/>
          </w:tcPr>
          <w:p w14:paraId="590F6259" w14:textId="77777777" w:rsidR="00933570" w:rsidRPr="00E55813" w:rsidRDefault="00933570" w:rsidP="00933570">
            <w:pPr>
              <w:framePr w:hSpace="180" w:wrap="around" w:vAnchor="page" w:hAnchor="margin" w:y="2731"/>
              <w:rPr>
                <w:sz w:val="22"/>
                <w:szCs w:val="22"/>
                <w:lang w:val="en-GB"/>
              </w:rPr>
            </w:pPr>
          </w:p>
        </w:tc>
        <w:tc>
          <w:tcPr>
            <w:tcW w:w="900" w:type="dxa"/>
          </w:tcPr>
          <w:p w14:paraId="3E3CE84B" w14:textId="77777777" w:rsidR="00933570" w:rsidRPr="00E55813" w:rsidRDefault="00933570" w:rsidP="00933570">
            <w:pPr>
              <w:framePr w:hSpace="180" w:wrap="around" w:vAnchor="page" w:hAnchor="margin" w:y="2731"/>
              <w:rPr>
                <w:sz w:val="22"/>
                <w:szCs w:val="22"/>
                <w:lang w:val="en-GB"/>
              </w:rPr>
            </w:pPr>
          </w:p>
        </w:tc>
        <w:tc>
          <w:tcPr>
            <w:tcW w:w="1080" w:type="dxa"/>
          </w:tcPr>
          <w:p w14:paraId="41A857AB" w14:textId="77777777" w:rsidR="00933570" w:rsidRPr="00E55813" w:rsidRDefault="00933570" w:rsidP="00933570">
            <w:pPr>
              <w:framePr w:hSpace="180" w:wrap="around" w:vAnchor="page" w:hAnchor="margin" w:y="2731"/>
              <w:rPr>
                <w:sz w:val="22"/>
                <w:szCs w:val="22"/>
                <w:lang w:val="en-GB"/>
              </w:rPr>
            </w:pPr>
          </w:p>
        </w:tc>
        <w:tc>
          <w:tcPr>
            <w:tcW w:w="1080" w:type="dxa"/>
          </w:tcPr>
          <w:p w14:paraId="72380D77" w14:textId="77777777" w:rsidR="00933570" w:rsidRPr="00E55813" w:rsidRDefault="00933570" w:rsidP="00933570">
            <w:pPr>
              <w:framePr w:hSpace="180" w:wrap="around" w:vAnchor="page" w:hAnchor="margin" w:y="2731"/>
              <w:rPr>
                <w:sz w:val="22"/>
                <w:szCs w:val="22"/>
                <w:lang w:val="en-GB"/>
              </w:rPr>
            </w:pPr>
          </w:p>
        </w:tc>
        <w:tc>
          <w:tcPr>
            <w:tcW w:w="1080" w:type="dxa"/>
          </w:tcPr>
          <w:p w14:paraId="6B697FF8" w14:textId="77777777" w:rsidR="00933570" w:rsidRPr="00E55813" w:rsidRDefault="00933570" w:rsidP="00933570">
            <w:pPr>
              <w:framePr w:hSpace="180" w:wrap="around" w:vAnchor="page" w:hAnchor="margin" w:y="2731"/>
              <w:rPr>
                <w:sz w:val="22"/>
                <w:szCs w:val="22"/>
                <w:lang w:val="en-GB"/>
              </w:rPr>
            </w:pPr>
          </w:p>
        </w:tc>
        <w:tc>
          <w:tcPr>
            <w:tcW w:w="900" w:type="dxa"/>
          </w:tcPr>
          <w:p w14:paraId="495F431B" w14:textId="77777777" w:rsidR="00933570" w:rsidRPr="00E55813" w:rsidRDefault="00933570" w:rsidP="00933570">
            <w:pPr>
              <w:framePr w:hSpace="180" w:wrap="around" w:vAnchor="page" w:hAnchor="margin" w:y="2731"/>
              <w:rPr>
                <w:sz w:val="22"/>
                <w:szCs w:val="22"/>
                <w:lang w:val="en-GB"/>
              </w:rPr>
            </w:pPr>
          </w:p>
        </w:tc>
        <w:tc>
          <w:tcPr>
            <w:tcW w:w="1080" w:type="dxa"/>
          </w:tcPr>
          <w:p w14:paraId="669E3FF1" w14:textId="77777777" w:rsidR="00933570" w:rsidRPr="00E55813" w:rsidRDefault="00933570" w:rsidP="00933570">
            <w:pPr>
              <w:framePr w:hSpace="180" w:wrap="around" w:vAnchor="page" w:hAnchor="margin" w:y="2731"/>
              <w:rPr>
                <w:sz w:val="22"/>
                <w:szCs w:val="22"/>
                <w:lang w:val="en-GB"/>
              </w:rPr>
            </w:pPr>
          </w:p>
        </w:tc>
        <w:tc>
          <w:tcPr>
            <w:tcW w:w="900" w:type="dxa"/>
          </w:tcPr>
          <w:p w14:paraId="6007F849" w14:textId="77777777" w:rsidR="00933570" w:rsidRPr="00E55813" w:rsidRDefault="00933570" w:rsidP="00933570">
            <w:pPr>
              <w:framePr w:hSpace="180" w:wrap="around" w:vAnchor="page" w:hAnchor="margin" w:y="2731"/>
              <w:rPr>
                <w:sz w:val="22"/>
                <w:szCs w:val="22"/>
                <w:lang w:val="en-GB"/>
              </w:rPr>
            </w:pPr>
          </w:p>
        </w:tc>
        <w:tc>
          <w:tcPr>
            <w:tcW w:w="1080" w:type="dxa"/>
          </w:tcPr>
          <w:p w14:paraId="2CCCEC67" w14:textId="77777777" w:rsidR="00933570" w:rsidRPr="00E55813" w:rsidRDefault="00933570" w:rsidP="00933570">
            <w:pPr>
              <w:framePr w:hSpace="180" w:wrap="around" w:vAnchor="page" w:hAnchor="margin" w:y="2731"/>
              <w:rPr>
                <w:sz w:val="22"/>
                <w:szCs w:val="22"/>
                <w:lang w:val="en-GB"/>
              </w:rPr>
            </w:pPr>
          </w:p>
        </w:tc>
        <w:tc>
          <w:tcPr>
            <w:tcW w:w="1080" w:type="dxa"/>
          </w:tcPr>
          <w:p w14:paraId="4C95E3C3" w14:textId="77777777" w:rsidR="00933570" w:rsidRPr="00E55813" w:rsidRDefault="00933570" w:rsidP="00933570">
            <w:pPr>
              <w:framePr w:hSpace="180" w:wrap="around" w:vAnchor="page" w:hAnchor="margin" w:y="2731"/>
              <w:rPr>
                <w:sz w:val="22"/>
                <w:szCs w:val="22"/>
                <w:lang w:val="en-GB"/>
              </w:rPr>
            </w:pPr>
          </w:p>
        </w:tc>
      </w:tr>
      <w:tr w:rsidR="00933570" w:rsidRPr="00E55813" w14:paraId="39A068AB" w14:textId="77777777" w:rsidTr="00933570">
        <w:trPr>
          <w:cantSplit/>
        </w:trPr>
        <w:tc>
          <w:tcPr>
            <w:tcW w:w="2628" w:type="dxa"/>
          </w:tcPr>
          <w:p w14:paraId="62CB8291" w14:textId="77777777" w:rsidR="00933570" w:rsidRPr="00E55813" w:rsidRDefault="00933570" w:rsidP="00E071AC">
            <w:pPr>
              <w:framePr w:hSpace="180" w:wrap="around" w:vAnchor="page" w:hAnchor="margin" w:y="2731"/>
              <w:numPr>
                <w:ilvl w:val="0"/>
                <w:numId w:val="43"/>
              </w:numPr>
              <w:rPr>
                <w:sz w:val="22"/>
                <w:szCs w:val="22"/>
                <w:lang w:val="en-GB"/>
              </w:rPr>
            </w:pPr>
            <w:r w:rsidRPr="00E55813">
              <w:rPr>
                <w:sz w:val="22"/>
                <w:szCs w:val="22"/>
                <w:lang w:val="en-GB"/>
              </w:rPr>
              <w:t>Credits</w:t>
            </w:r>
          </w:p>
        </w:tc>
        <w:tc>
          <w:tcPr>
            <w:tcW w:w="1080" w:type="dxa"/>
          </w:tcPr>
          <w:p w14:paraId="345CDB41" w14:textId="77777777" w:rsidR="00933570" w:rsidRPr="00E55813" w:rsidRDefault="00933570" w:rsidP="00933570">
            <w:pPr>
              <w:framePr w:hSpace="180" w:wrap="around" w:vAnchor="page" w:hAnchor="margin" w:y="2731"/>
              <w:rPr>
                <w:sz w:val="22"/>
                <w:szCs w:val="22"/>
                <w:lang w:val="en-GB"/>
              </w:rPr>
            </w:pPr>
          </w:p>
        </w:tc>
        <w:tc>
          <w:tcPr>
            <w:tcW w:w="900" w:type="dxa"/>
          </w:tcPr>
          <w:p w14:paraId="695419A3" w14:textId="77777777" w:rsidR="00933570" w:rsidRPr="00E55813" w:rsidRDefault="00933570" w:rsidP="00933570">
            <w:pPr>
              <w:framePr w:hSpace="180" w:wrap="around" w:vAnchor="page" w:hAnchor="margin" w:y="2731"/>
              <w:rPr>
                <w:sz w:val="22"/>
                <w:szCs w:val="22"/>
                <w:lang w:val="en-GB"/>
              </w:rPr>
            </w:pPr>
          </w:p>
        </w:tc>
        <w:tc>
          <w:tcPr>
            <w:tcW w:w="1080" w:type="dxa"/>
          </w:tcPr>
          <w:p w14:paraId="5A6877ED" w14:textId="77777777" w:rsidR="00933570" w:rsidRPr="00E55813" w:rsidRDefault="00933570" w:rsidP="00933570">
            <w:pPr>
              <w:framePr w:hSpace="180" w:wrap="around" w:vAnchor="page" w:hAnchor="margin" w:y="2731"/>
              <w:rPr>
                <w:sz w:val="22"/>
                <w:szCs w:val="22"/>
                <w:lang w:val="en-GB"/>
              </w:rPr>
            </w:pPr>
          </w:p>
        </w:tc>
        <w:tc>
          <w:tcPr>
            <w:tcW w:w="1080" w:type="dxa"/>
          </w:tcPr>
          <w:p w14:paraId="74CDA6A5" w14:textId="77777777" w:rsidR="00933570" w:rsidRPr="00E55813" w:rsidRDefault="00933570" w:rsidP="00933570">
            <w:pPr>
              <w:framePr w:hSpace="180" w:wrap="around" w:vAnchor="page" w:hAnchor="margin" w:y="2731"/>
              <w:rPr>
                <w:sz w:val="22"/>
                <w:szCs w:val="22"/>
                <w:lang w:val="en-GB"/>
              </w:rPr>
            </w:pPr>
          </w:p>
        </w:tc>
        <w:tc>
          <w:tcPr>
            <w:tcW w:w="1080" w:type="dxa"/>
          </w:tcPr>
          <w:p w14:paraId="107F0932" w14:textId="77777777" w:rsidR="00933570" w:rsidRPr="00E55813" w:rsidRDefault="00933570" w:rsidP="00933570">
            <w:pPr>
              <w:framePr w:hSpace="180" w:wrap="around" w:vAnchor="page" w:hAnchor="margin" w:y="2731"/>
              <w:rPr>
                <w:sz w:val="22"/>
                <w:szCs w:val="22"/>
                <w:lang w:val="en-GB"/>
              </w:rPr>
            </w:pPr>
          </w:p>
        </w:tc>
        <w:tc>
          <w:tcPr>
            <w:tcW w:w="900" w:type="dxa"/>
          </w:tcPr>
          <w:p w14:paraId="74908360" w14:textId="77777777" w:rsidR="00933570" w:rsidRPr="00E55813" w:rsidRDefault="00933570" w:rsidP="00933570">
            <w:pPr>
              <w:framePr w:hSpace="180" w:wrap="around" w:vAnchor="page" w:hAnchor="margin" w:y="2731"/>
              <w:rPr>
                <w:sz w:val="22"/>
                <w:szCs w:val="22"/>
                <w:lang w:val="en-GB"/>
              </w:rPr>
            </w:pPr>
          </w:p>
        </w:tc>
        <w:tc>
          <w:tcPr>
            <w:tcW w:w="1080" w:type="dxa"/>
          </w:tcPr>
          <w:p w14:paraId="670CED43" w14:textId="77777777" w:rsidR="00933570" w:rsidRPr="00E55813" w:rsidRDefault="00933570" w:rsidP="00933570">
            <w:pPr>
              <w:framePr w:hSpace="180" w:wrap="around" w:vAnchor="page" w:hAnchor="margin" w:y="2731"/>
              <w:rPr>
                <w:sz w:val="22"/>
                <w:szCs w:val="22"/>
                <w:lang w:val="en-GB"/>
              </w:rPr>
            </w:pPr>
          </w:p>
        </w:tc>
        <w:tc>
          <w:tcPr>
            <w:tcW w:w="900" w:type="dxa"/>
          </w:tcPr>
          <w:p w14:paraId="75F7190D" w14:textId="77777777" w:rsidR="00933570" w:rsidRPr="00E55813" w:rsidRDefault="00933570" w:rsidP="00933570">
            <w:pPr>
              <w:framePr w:hSpace="180" w:wrap="around" w:vAnchor="page" w:hAnchor="margin" w:y="2731"/>
              <w:rPr>
                <w:sz w:val="22"/>
                <w:szCs w:val="22"/>
                <w:lang w:val="en-GB"/>
              </w:rPr>
            </w:pPr>
          </w:p>
        </w:tc>
        <w:tc>
          <w:tcPr>
            <w:tcW w:w="1080" w:type="dxa"/>
          </w:tcPr>
          <w:p w14:paraId="2388EF47" w14:textId="77777777" w:rsidR="00933570" w:rsidRPr="00E55813" w:rsidRDefault="00933570" w:rsidP="00933570">
            <w:pPr>
              <w:framePr w:hSpace="180" w:wrap="around" w:vAnchor="page" w:hAnchor="margin" w:y="2731"/>
              <w:rPr>
                <w:sz w:val="22"/>
                <w:szCs w:val="22"/>
                <w:lang w:val="en-GB"/>
              </w:rPr>
            </w:pPr>
          </w:p>
        </w:tc>
        <w:tc>
          <w:tcPr>
            <w:tcW w:w="1080" w:type="dxa"/>
          </w:tcPr>
          <w:p w14:paraId="57502B77" w14:textId="77777777" w:rsidR="00933570" w:rsidRPr="00E55813" w:rsidRDefault="00933570" w:rsidP="00933570">
            <w:pPr>
              <w:framePr w:hSpace="180" w:wrap="around" w:vAnchor="page" w:hAnchor="margin" w:y="2731"/>
              <w:rPr>
                <w:sz w:val="22"/>
                <w:szCs w:val="22"/>
                <w:lang w:val="en-GB"/>
              </w:rPr>
            </w:pPr>
          </w:p>
        </w:tc>
      </w:tr>
      <w:tr w:rsidR="00933570" w:rsidRPr="00E55813" w14:paraId="7C644CA0" w14:textId="77777777" w:rsidTr="00933570">
        <w:trPr>
          <w:cantSplit/>
        </w:trPr>
        <w:tc>
          <w:tcPr>
            <w:tcW w:w="2628" w:type="dxa"/>
          </w:tcPr>
          <w:p w14:paraId="59DC4C4D" w14:textId="77777777" w:rsidR="00933570" w:rsidRPr="00E55813" w:rsidRDefault="00933570" w:rsidP="00E071AC">
            <w:pPr>
              <w:framePr w:hSpace="180" w:wrap="around" w:vAnchor="page" w:hAnchor="margin" w:y="2731"/>
              <w:numPr>
                <w:ilvl w:val="0"/>
                <w:numId w:val="43"/>
              </w:numPr>
              <w:rPr>
                <w:sz w:val="22"/>
                <w:szCs w:val="22"/>
                <w:lang w:val="en-GB"/>
              </w:rPr>
            </w:pPr>
            <w:r w:rsidRPr="00E55813">
              <w:rPr>
                <w:sz w:val="22"/>
                <w:szCs w:val="22"/>
                <w:lang w:val="en-GB"/>
              </w:rPr>
              <w:t>Equity investments</w:t>
            </w:r>
          </w:p>
        </w:tc>
        <w:tc>
          <w:tcPr>
            <w:tcW w:w="1080" w:type="dxa"/>
          </w:tcPr>
          <w:p w14:paraId="7367FA30" w14:textId="77777777" w:rsidR="00933570" w:rsidRPr="00E55813" w:rsidRDefault="00933570" w:rsidP="00933570">
            <w:pPr>
              <w:framePr w:hSpace="180" w:wrap="around" w:vAnchor="page" w:hAnchor="margin" w:y="2731"/>
              <w:rPr>
                <w:sz w:val="22"/>
                <w:szCs w:val="22"/>
                <w:lang w:val="en-GB"/>
              </w:rPr>
            </w:pPr>
          </w:p>
        </w:tc>
        <w:tc>
          <w:tcPr>
            <w:tcW w:w="900" w:type="dxa"/>
          </w:tcPr>
          <w:p w14:paraId="76F609EE" w14:textId="77777777" w:rsidR="00933570" w:rsidRPr="00E55813" w:rsidRDefault="00933570" w:rsidP="00933570">
            <w:pPr>
              <w:framePr w:hSpace="180" w:wrap="around" w:vAnchor="page" w:hAnchor="margin" w:y="2731"/>
              <w:rPr>
                <w:sz w:val="22"/>
                <w:szCs w:val="22"/>
                <w:lang w:val="en-GB"/>
              </w:rPr>
            </w:pPr>
          </w:p>
        </w:tc>
        <w:tc>
          <w:tcPr>
            <w:tcW w:w="1080" w:type="dxa"/>
          </w:tcPr>
          <w:p w14:paraId="57E7F176" w14:textId="77777777" w:rsidR="00933570" w:rsidRPr="00E55813" w:rsidRDefault="00933570" w:rsidP="00933570">
            <w:pPr>
              <w:framePr w:hSpace="180" w:wrap="around" w:vAnchor="page" w:hAnchor="margin" w:y="2731"/>
              <w:rPr>
                <w:sz w:val="22"/>
                <w:szCs w:val="22"/>
                <w:lang w:val="en-GB"/>
              </w:rPr>
            </w:pPr>
          </w:p>
        </w:tc>
        <w:tc>
          <w:tcPr>
            <w:tcW w:w="1080" w:type="dxa"/>
          </w:tcPr>
          <w:p w14:paraId="78271B66" w14:textId="77777777" w:rsidR="00933570" w:rsidRPr="00E55813" w:rsidRDefault="00933570" w:rsidP="00933570">
            <w:pPr>
              <w:framePr w:hSpace="180" w:wrap="around" w:vAnchor="page" w:hAnchor="margin" w:y="2731"/>
              <w:rPr>
                <w:sz w:val="22"/>
                <w:szCs w:val="22"/>
                <w:lang w:val="en-GB"/>
              </w:rPr>
            </w:pPr>
          </w:p>
        </w:tc>
        <w:tc>
          <w:tcPr>
            <w:tcW w:w="1080" w:type="dxa"/>
          </w:tcPr>
          <w:p w14:paraId="0F53089A" w14:textId="77777777" w:rsidR="00933570" w:rsidRPr="00E55813" w:rsidRDefault="00933570" w:rsidP="00933570">
            <w:pPr>
              <w:framePr w:hSpace="180" w:wrap="around" w:vAnchor="page" w:hAnchor="margin" w:y="2731"/>
              <w:rPr>
                <w:sz w:val="22"/>
                <w:szCs w:val="22"/>
                <w:lang w:val="en-GB"/>
              </w:rPr>
            </w:pPr>
          </w:p>
        </w:tc>
        <w:tc>
          <w:tcPr>
            <w:tcW w:w="900" w:type="dxa"/>
          </w:tcPr>
          <w:p w14:paraId="7F7DA8D3" w14:textId="77777777" w:rsidR="00933570" w:rsidRPr="00E55813" w:rsidRDefault="00933570" w:rsidP="00933570">
            <w:pPr>
              <w:framePr w:hSpace="180" w:wrap="around" w:vAnchor="page" w:hAnchor="margin" w:y="2731"/>
              <w:rPr>
                <w:sz w:val="22"/>
                <w:szCs w:val="22"/>
                <w:lang w:val="en-GB"/>
              </w:rPr>
            </w:pPr>
          </w:p>
        </w:tc>
        <w:tc>
          <w:tcPr>
            <w:tcW w:w="1080" w:type="dxa"/>
          </w:tcPr>
          <w:p w14:paraId="12C29F4A" w14:textId="77777777" w:rsidR="00933570" w:rsidRPr="00E55813" w:rsidRDefault="00933570" w:rsidP="00933570">
            <w:pPr>
              <w:framePr w:hSpace="180" w:wrap="around" w:vAnchor="page" w:hAnchor="margin" w:y="2731"/>
              <w:rPr>
                <w:sz w:val="22"/>
                <w:szCs w:val="22"/>
                <w:lang w:val="en-GB"/>
              </w:rPr>
            </w:pPr>
          </w:p>
        </w:tc>
        <w:tc>
          <w:tcPr>
            <w:tcW w:w="900" w:type="dxa"/>
          </w:tcPr>
          <w:p w14:paraId="4F659E71" w14:textId="77777777" w:rsidR="00933570" w:rsidRPr="00E55813" w:rsidRDefault="00933570" w:rsidP="00933570">
            <w:pPr>
              <w:framePr w:hSpace="180" w:wrap="around" w:vAnchor="page" w:hAnchor="margin" w:y="2731"/>
              <w:rPr>
                <w:sz w:val="22"/>
                <w:szCs w:val="22"/>
                <w:lang w:val="en-GB"/>
              </w:rPr>
            </w:pPr>
          </w:p>
        </w:tc>
        <w:tc>
          <w:tcPr>
            <w:tcW w:w="1080" w:type="dxa"/>
          </w:tcPr>
          <w:p w14:paraId="087C369C" w14:textId="77777777" w:rsidR="00933570" w:rsidRPr="00E55813" w:rsidRDefault="00933570" w:rsidP="00933570">
            <w:pPr>
              <w:framePr w:hSpace="180" w:wrap="around" w:vAnchor="page" w:hAnchor="margin" w:y="2731"/>
              <w:rPr>
                <w:sz w:val="22"/>
                <w:szCs w:val="22"/>
                <w:lang w:val="en-GB"/>
              </w:rPr>
            </w:pPr>
          </w:p>
        </w:tc>
        <w:tc>
          <w:tcPr>
            <w:tcW w:w="1080" w:type="dxa"/>
          </w:tcPr>
          <w:p w14:paraId="2047C52F" w14:textId="77777777" w:rsidR="00933570" w:rsidRPr="00E55813" w:rsidRDefault="00933570" w:rsidP="00933570">
            <w:pPr>
              <w:framePr w:hSpace="180" w:wrap="around" w:vAnchor="page" w:hAnchor="margin" w:y="2731"/>
              <w:rPr>
                <w:sz w:val="22"/>
                <w:szCs w:val="22"/>
                <w:lang w:val="en-GB"/>
              </w:rPr>
            </w:pPr>
          </w:p>
        </w:tc>
      </w:tr>
      <w:tr w:rsidR="00933570" w:rsidRPr="00E55813" w14:paraId="5D2C9A45" w14:textId="77777777" w:rsidTr="00933570">
        <w:trPr>
          <w:cantSplit/>
        </w:trPr>
        <w:tc>
          <w:tcPr>
            <w:tcW w:w="2628" w:type="dxa"/>
          </w:tcPr>
          <w:p w14:paraId="2EDC8AF1" w14:textId="77777777" w:rsidR="00933570" w:rsidRPr="00E55813" w:rsidRDefault="00933570" w:rsidP="00E071AC">
            <w:pPr>
              <w:framePr w:hSpace="180" w:wrap="around" w:vAnchor="page" w:hAnchor="margin" w:y="2731"/>
              <w:numPr>
                <w:ilvl w:val="0"/>
                <w:numId w:val="43"/>
              </w:numPr>
              <w:rPr>
                <w:sz w:val="22"/>
                <w:szCs w:val="22"/>
                <w:lang w:val="en-GB"/>
              </w:rPr>
            </w:pPr>
            <w:r w:rsidRPr="00E55813">
              <w:rPr>
                <w:sz w:val="22"/>
                <w:szCs w:val="22"/>
                <w:lang w:val="en-GB"/>
              </w:rPr>
              <w:t>In-kind support</w:t>
            </w:r>
          </w:p>
        </w:tc>
        <w:tc>
          <w:tcPr>
            <w:tcW w:w="1080" w:type="dxa"/>
          </w:tcPr>
          <w:p w14:paraId="5DCAF9EB" w14:textId="77777777" w:rsidR="00933570" w:rsidRPr="00E55813" w:rsidRDefault="00933570" w:rsidP="00933570">
            <w:pPr>
              <w:framePr w:hSpace="180" w:wrap="around" w:vAnchor="page" w:hAnchor="margin" w:y="2731"/>
              <w:rPr>
                <w:sz w:val="22"/>
                <w:szCs w:val="22"/>
                <w:lang w:val="en-GB"/>
              </w:rPr>
            </w:pPr>
          </w:p>
        </w:tc>
        <w:tc>
          <w:tcPr>
            <w:tcW w:w="900" w:type="dxa"/>
          </w:tcPr>
          <w:p w14:paraId="4EE29951" w14:textId="77777777" w:rsidR="00933570" w:rsidRPr="00E55813" w:rsidRDefault="00933570" w:rsidP="00933570">
            <w:pPr>
              <w:framePr w:hSpace="180" w:wrap="around" w:vAnchor="page" w:hAnchor="margin" w:y="2731"/>
              <w:rPr>
                <w:sz w:val="22"/>
                <w:szCs w:val="22"/>
                <w:lang w:val="en-GB"/>
              </w:rPr>
            </w:pPr>
          </w:p>
        </w:tc>
        <w:tc>
          <w:tcPr>
            <w:tcW w:w="1080" w:type="dxa"/>
          </w:tcPr>
          <w:p w14:paraId="6620964F" w14:textId="77777777" w:rsidR="00933570" w:rsidRPr="00E55813" w:rsidRDefault="00933570" w:rsidP="00933570">
            <w:pPr>
              <w:framePr w:hSpace="180" w:wrap="around" w:vAnchor="page" w:hAnchor="margin" w:y="2731"/>
              <w:rPr>
                <w:sz w:val="22"/>
                <w:szCs w:val="22"/>
                <w:lang w:val="en-GB"/>
              </w:rPr>
            </w:pPr>
          </w:p>
        </w:tc>
        <w:tc>
          <w:tcPr>
            <w:tcW w:w="1080" w:type="dxa"/>
          </w:tcPr>
          <w:p w14:paraId="0B334565" w14:textId="77777777" w:rsidR="00933570" w:rsidRPr="00E55813" w:rsidRDefault="00933570" w:rsidP="00933570">
            <w:pPr>
              <w:framePr w:hSpace="180" w:wrap="around" w:vAnchor="page" w:hAnchor="margin" w:y="2731"/>
              <w:rPr>
                <w:sz w:val="22"/>
                <w:szCs w:val="22"/>
                <w:lang w:val="en-GB"/>
              </w:rPr>
            </w:pPr>
          </w:p>
        </w:tc>
        <w:tc>
          <w:tcPr>
            <w:tcW w:w="1080" w:type="dxa"/>
          </w:tcPr>
          <w:p w14:paraId="48F9EE5C" w14:textId="77777777" w:rsidR="00933570" w:rsidRPr="00E55813" w:rsidRDefault="00933570" w:rsidP="00933570">
            <w:pPr>
              <w:framePr w:hSpace="180" w:wrap="around" w:vAnchor="page" w:hAnchor="margin" w:y="2731"/>
              <w:rPr>
                <w:sz w:val="22"/>
                <w:szCs w:val="22"/>
                <w:lang w:val="en-GB"/>
              </w:rPr>
            </w:pPr>
          </w:p>
        </w:tc>
        <w:tc>
          <w:tcPr>
            <w:tcW w:w="900" w:type="dxa"/>
          </w:tcPr>
          <w:p w14:paraId="373A21E1" w14:textId="77777777" w:rsidR="00933570" w:rsidRPr="00E55813" w:rsidRDefault="00933570" w:rsidP="00933570">
            <w:pPr>
              <w:framePr w:hSpace="180" w:wrap="around" w:vAnchor="page" w:hAnchor="margin" w:y="2731"/>
              <w:rPr>
                <w:sz w:val="22"/>
                <w:szCs w:val="22"/>
                <w:lang w:val="en-GB"/>
              </w:rPr>
            </w:pPr>
          </w:p>
        </w:tc>
        <w:tc>
          <w:tcPr>
            <w:tcW w:w="1080" w:type="dxa"/>
          </w:tcPr>
          <w:p w14:paraId="4C328224" w14:textId="77777777" w:rsidR="00933570" w:rsidRPr="00E55813" w:rsidRDefault="00933570" w:rsidP="00933570">
            <w:pPr>
              <w:framePr w:hSpace="180" w:wrap="around" w:vAnchor="page" w:hAnchor="margin" w:y="2731"/>
              <w:rPr>
                <w:sz w:val="22"/>
                <w:szCs w:val="22"/>
                <w:lang w:val="en-GB"/>
              </w:rPr>
            </w:pPr>
          </w:p>
        </w:tc>
        <w:tc>
          <w:tcPr>
            <w:tcW w:w="900" w:type="dxa"/>
          </w:tcPr>
          <w:p w14:paraId="48B76AE8" w14:textId="77777777" w:rsidR="00933570" w:rsidRPr="00E55813" w:rsidRDefault="00933570" w:rsidP="00933570">
            <w:pPr>
              <w:framePr w:hSpace="180" w:wrap="around" w:vAnchor="page" w:hAnchor="margin" w:y="2731"/>
              <w:rPr>
                <w:sz w:val="22"/>
                <w:szCs w:val="22"/>
                <w:lang w:val="en-GB"/>
              </w:rPr>
            </w:pPr>
          </w:p>
        </w:tc>
        <w:tc>
          <w:tcPr>
            <w:tcW w:w="1080" w:type="dxa"/>
          </w:tcPr>
          <w:p w14:paraId="3F8D193A" w14:textId="77777777" w:rsidR="00933570" w:rsidRPr="00E55813" w:rsidRDefault="00933570" w:rsidP="00933570">
            <w:pPr>
              <w:framePr w:hSpace="180" w:wrap="around" w:vAnchor="page" w:hAnchor="margin" w:y="2731"/>
              <w:rPr>
                <w:sz w:val="22"/>
                <w:szCs w:val="22"/>
                <w:lang w:val="en-GB"/>
              </w:rPr>
            </w:pPr>
          </w:p>
        </w:tc>
        <w:tc>
          <w:tcPr>
            <w:tcW w:w="1080" w:type="dxa"/>
          </w:tcPr>
          <w:p w14:paraId="230DA2D5" w14:textId="77777777" w:rsidR="00933570" w:rsidRPr="00E55813" w:rsidRDefault="00933570" w:rsidP="00933570">
            <w:pPr>
              <w:framePr w:hSpace="180" w:wrap="around" w:vAnchor="page" w:hAnchor="margin" w:y="2731"/>
              <w:rPr>
                <w:sz w:val="22"/>
                <w:szCs w:val="22"/>
                <w:lang w:val="en-GB"/>
              </w:rPr>
            </w:pPr>
          </w:p>
        </w:tc>
      </w:tr>
      <w:tr w:rsidR="00933570" w:rsidRPr="00E55813" w14:paraId="59A34D7C" w14:textId="77777777" w:rsidTr="00933570">
        <w:trPr>
          <w:cantSplit/>
        </w:trPr>
        <w:tc>
          <w:tcPr>
            <w:tcW w:w="2628" w:type="dxa"/>
          </w:tcPr>
          <w:p w14:paraId="1327418E" w14:textId="77777777" w:rsidR="00933570" w:rsidRPr="00E55813" w:rsidRDefault="00933570" w:rsidP="00E071AC">
            <w:pPr>
              <w:framePr w:hSpace="180" w:wrap="around" w:vAnchor="page" w:hAnchor="margin" w:y="2731"/>
              <w:numPr>
                <w:ilvl w:val="0"/>
                <w:numId w:val="43"/>
              </w:numPr>
              <w:rPr>
                <w:sz w:val="22"/>
                <w:szCs w:val="22"/>
                <w:lang w:val="en-GB"/>
              </w:rPr>
            </w:pPr>
            <w:r w:rsidRPr="00E55813">
              <w:rPr>
                <w:sz w:val="22"/>
                <w:szCs w:val="22"/>
                <w:lang w:val="en-GB"/>
              </w:rPr>
              <w:t>Other (*)</w:t>
            </w:r>
          </w:p>
          <w:p w14:paraId="640A9B0F" w14:textId="77777777" w:rsidR="00933570" w:rsidRPr="00E55813" w:rsidRDefault="00933570" w:rsidP="00933570">
            <w:pPr>
              <w:framePr w:hSpace="180" w:wrap="around" w:vAnchor="page" w:hAnchor="margin" w:y="2731"/>
              <w:rPr>
                <w:sz w:val="22"/>
                <w:szCs w:val="22"/>
                <w:lang w:val="en-GB"/>
              </w:rPr>
            </w:pPr>
            <w:r w:rsidRPr="00E55813">
              <w:rPr>
                <w:sz w:val="22"/>
                <w:szCs w:val="22"/>
                <w:lang w:val="en-GB"/>
              </w:rPr>
              <w:t>-</w:t>
            </w:r>
          </w:p>
          <w:p w14:paraId="05EB6A51" w14:textId="77777777" w:rsidR="00933570" w:rsidRPr="00E55813" w:rsidRDefault="00933570" w:rsidP="00933570">
            <w:pPr>
              <w:framePr w:hSpace="180" w:wrap="around" w:vAnchor="page" w:hAnchor="margin" w:y="2731"/>
              <w:rPr>
                <w:sz w:val="22"/>
                <w:szCs w:val="22"/>
                <w:lang w:val="en-GB"/>
              </w:rPr>
            </w:pPr>
            <w:r w:rsidRPr="00E55813">
              <w:rPr>
                <w:sz w:val="22"/>
                <w:szCs w:val="22"/>
                <w:lang w:val="en-GB"/>
              </w:rPr>
              <w:t>-</w:t>
            </w:r>
          </w:p>
          <w:p w14:paraId="335A4D10" w14:textId="77777777" w:rsidR="00933570" w:rsidRPr="00E55813" w:rsidRDefault="00933570" w:rsidP="00933570">
            <w:pPr>
              <w:framePr w:hSpace="180" w:wrap="around" w:vAnchor="page" w:hAnchor="margin" w:y="2731"/>
              <w:rPr>
                <w:sz w:val="22"/>
                <w:szCs w:val="22"/>
                <w:lang w:val="en-GB"/>
              </w:rPr>
            </w:pPr>
            <w:r w:rsidRPr="00E55813">
              <w:rPr>
                <w:sz w:val="22"/>
                <w:szCs w:val="22"/>
                <w:lang w:val="en-GB"/>
              </w:rPr>
              <w:t>-</w:t>
            </w:r>
          </w:p>
          <w:p w14:paraId="2A4B3C06" w14:textId="77777777" w:rsidR="00933570" w:rsidRPr="00E55813" w:rsidRDefault="00933570" w:rsidP="00933570">
            <w:pPr>
              <w:framePr w:hSpace="180" w:wrap="around" w:vAnchor="page" w:hAnchor="margin" w:y="2731"/>
              <w:rPr>
                <w:sz w:val="22"/>
                <w:szCs w:val="22"/>
                <w:lang w:val="en-GB"/>
              </w:rPr>
            </w:pPr>
            <w:r w:rsidRPr="00E55813">
              <w:rPr>
                <w:sz w:val="22"/>
                <w:szCs w:val="22"/>
                <w:lang w:val="en-GB"/>
              </w:rPr>
              <w:t>-</w:t>
            </w:r>
          </w:p>
          <w:p w14:paraId="234A8A86" w14:textId="77777777" w:rsidR="00933570" w:rsidRPr="00E55813" w:rsidRDefault="00933570" w:rsidP="00933570">
            <w:pPr>
              <w:framePr w:hSpace="180" w:wrap="around" w:vAnchor="page" w:hAnchor="margin" w:y="2731"/>
              <w:rPr>
                <w:sz w:val="22"/>
                <w:szCs w:val="22"/>
                <w:lang w:val="en-GB"/>
              </w:rPr>
            </w:pPr>
            <w:r w:rsidRPr="00E55813">
              <w:rPr>
                <w:sz w:val="22"/>
                <w:szCs w:val="22"/>
                <w:lang w:val="en-GB"/>
              </w:rPr>
              <w:t>-</w:t>
            </w:r>
          </w:p>
          <w:p w14:paraId="7DB0F012" w14:textId="77777777" w:rsidR="00933570" w:rsidRPr="00E55813" w:rsidRDefault="00933570" w:rsidP="00933570">
            <w:pPr>
              <w:framePr w:hSpace="180" w:wrap="around" w:vAnchor="page" w:hAnchor="margin" w:y="2731"/>
              <w:rPr>
                <w:sz w:val="22"/>
                <w:szCs w:val="22"/>
                <w:lang w:val="en-GB"/>
              </w:rPr>
            </w:pPr>
          </w:p>
        </w:tc>
        <w:tc>
          <w:tcPr>
            <w:tcW w:w="1080" w:type="dxa"/>
          </w:tcPr>
          <w:p w14:paraId="07F6E7FD" w14:textId="77777777" w:rsidR="00933570" w:rsidRPr="00E55813" w:rsidRDefault="00933570" w:rsidP="00933570">
            <w:pPr>
              <w:framePr w:hSpace="180" w:wrap="around" w:vAnchor="page" w:hAnchor="margin" w:y="2731"/>
              <w:rPr>
                <w:sz w:val="22"/>
                <w:szCs w:val="22"/>
                <w:lang w:val="en-GB"/>
              </w:rPr>
            </w:pPr>
          </w:p>
        </w:tc>
        <w:tc>
          <w:tcPr>
            <w:tcW w:w="900" w:type="dxa"/>
          </w:tcPr>
          <w:p w14:paraId="262E9BB8" w14:textId="77777777" w:rsidR="00933570" w:rsidRPr="00E55813" w:rsidRDefault="00933570" w:rsidP="00933570">
            <w:pPr>
              <w:framePr w:hSpace="180" w:wrap="around" w:vAnchor="page" w:hAnchor="margin" w:y="2731"/>
              <w:rPr>
                <w:sz w:val="22"/>
                <w:szCs w:val="22"/>
                <w:lang w:val="en-GB"/>
              </w:rPr>
            </w:pPr>
          </w:p>
        </w:tc>
        <w:tc>
          <w:tcPr>
            <w:tcW w:w="1080" w:type="dxa"/>
          </w:tcPr>
          <w:p w14:paraId="6518AE45" w14:textId="77777777" w:rsidR="00933570" w:rsidRPr="00E55813" w:rsidRDefault="00933570" w:rsidP="00933570">
            <w:pPr>
              <w:framePr w:hSpace="180" w:wrap="around" w:vAnchor="page" w:hAnchor="margin" w:y="2731"/>
              <w:rPr>
                <w:sz w:val="22"/>
                <w:szCs w:val="22"/>
                <w:lang w:val="en-GB"/>
              </w:rPr>
            </w:pPr>
          </w:p>
        </w:tc>
        <w:tc>
          <w:tcPr>
            <w:tcW w:w="1080" w:type="dxa"/>
          </w:tcPr>
          <w:p w14:paraId="7EE27164" w14:textId="77777777" w:rsidR="00933570" w:rsidRPr="00E55813" w:rsidRDefault="00933570" w:rsidP="00933570">
            <w:pPr>
              <w:framePr w:hSpace="180" w:wrap="around" w:vAnchor="page" w:hAnchor="margin" w:y="2731"/>
              <w:rPr>
                <w:sz w:val="22"/>
                <w:szCs w:val="22"/>
                <w:lang w:val="en-GB"/>
              </w:rPr>
            </w:pPr>
          </w:p>
        </w:tc>
        <w:tc>
          <w:tcPr>
            <w:tcW w:w="1080" w:type="dxa"/>
          </w:tcPr>
          <w:p w14:paraId="502511D9" w14:textId="77777777" w:rsidR="00933570" w:rsidRPr="00E55813" w:rsidRDefault="00933570" w:rsidP="00933570">
            <w:pPr>
              <w:framePr w:hSpace="180" w:wrap="around" w:vAnchor="page" w:hAnchor="margin" w:y="2731"/>
              <w:rPr>
                <w:sz w:val="22"/>
                <w:szCs w:val="22"/>
                <w:lang w:val="en-GB"/>
              </w:rPr>
            </w:pPr>
          </w:p>
        </w:tc>
        <w:tc>
          <w:tcPr>
            <w:tcW w:w="900" w:type="dxa"/>
          </w:tcPr>
          <w:p w14:paraId="392A89E0" w14:textId="77777777" w:rsidR="00933570" w:rsidRPr="00E55813" w:rsidRDefault="00933570" w:rsidP="00933570">
            <w:pPr>
              <w:framePr w:hSpace="180" w:wrap="around" w:vAnchor="page" w:hAnchor="margin" w:y="2731"/>
              <w:rPr>
                <w:sz w:val="22"/>
                <w:szCs w:val="22"/>
                <w:lang w:val="en-GB"/>
              </w:rPr>
            </w:pPr>
          </w:p>
        </w:tc>
        <w:tc>
          <w:tcPr>
            <w:tcW w:w="1080" w:type="dxa"/>
          </w:tcPr>
          <w:p w14:paraId="2FF81A43" w14:textId="77777777" w:rsidR="00933570" w:rsidRPr="00E55813" w:rsidRDefault="00933570" w:rsidP="00933570">
            <w:pPr>
              <w:framePr w:hSpace="180" w:wrap="around" w:vAnchor="page" w:hAnchor="margin" w:y="2731"/>
              <w:rPr>
                <w:sz w:val="22"/>
                <w:szCs w:val="22"/>
                <w:lang w:val="en-GB"/>
              </w:rPr>
            </w:pPr>
          </w:p>
        </w:tc>
        <w:tc>
          <w:tcPr>
            <w:tcW w:w="900" w:type="dxa"/>
          </w:tcPr>
          <w:p w14:paraId="5C14458B" w14:textId="77777777" w:rsidR="00933570" w:rsidRPr="00E55813" w:rsidRDefault="00933570" w:rsidP="00933570">
            <w:pPr>
              <w:framePr w:hSpace="180" w:wrap="around" w:vAnchor="page" w:hAnchor="margin" w:y="2731"/>
              <w:rPr>
                <w:sz w:val="22"/>
                <w:szCs w:val="22"/>
                <w:lang w:val="en-GB"/>
              </w:rPr>
            </w:pPr>
          </w:p>
        </w:tc>
        <w:tc>
          <w:tcPr>
            <w:tcW w:w="1080" w:type="dxa"/>
          </w:tcPr>
          <w:p w14:paraId="10BCD119" w14:textId="77777777" w:rsidR="00933570" w:rsidRPr="00E55813" w:rsidRDefault="00933570" w:rsidP="00933570">
            <w:pPr>
              <w:framePr w:hSpace="180" w:wrap="around" w:vAnchor="page" w:hAnchor="margin" w:y="2731"/>
              <w:rPr>
                <w:sz w:val="22"/>
                <w:szCs w:val="22"/>
                <w:lang w:val="en-GB"/>
              </w:rPr>
            </w:pPr>
          </w:p>
        </w:tc>
        <w:tc>
          <w:tcPr>
            <w:tcW w:w="1080" w:type="dxa"/>
          </w:tcPr>
          <w:p w14:paraId="36AE5944" w14:textId="77777777" w:rsidR="00933570" w:rsidRPr="00E55813" w:rsidRDefault="00933570" w:rsidP="00933570">
            <w:pPr>
              <w:framePr w:hSpace="180" w:wrap="around" w:vAnchor="page" w:hAnchor="margin" w:y="2731"/>
              <w:rPr>
                <w:sz w:val="22"/>
                <w:szCs w:val="22"/>
                <w:lang w:val="en-GB"/>
              </w:rPr>
            </w:pPr>
          </w:p>
        </w:tc>
      </w:tr>
      <w:tr w:rsidR="00933570" w:rsidRPr="00E55813" w14:paraId="2AC18878" w14:textId="77777777" w:rsidTr="00933570">
        <w:trPr>
          <w:cantSplit/>
        </w:trPr>
        <w:tc>
          <w:tcPr>
            <w:tcW w:w="2628" w:type="dxa"/>
          </w:tcPr>
          <w:p w14:paraId="68E06855" w14:textId="77777777" w:rsidR="00933570" w:rsidRPr="00E55813" w:rsidRDefault="00933570" w:rsidP="00933570">
            <w:pPr>
              <w:keepNext/>
              <w:framePr w:hSpace="180" w:wrap="around" w:vAnchor="page" w:hAnchor="margin" w:y="2731"/>
              <w:spacing w:before="240" w:after="60"/>
              <w:rPr>
                <w:b/>
                <w:bCs/>
                <w:kern w:val="32"/>
                <w:sz w:val="22"/>
                <w:szCs w:val="22"/>
                <w:lang w:val="en-GB"/>
              </w:rPr>
            </w:pPr>
            <w:r w:rsidRPr="00E55813">
              <w:rPr>
                <w:b/>
                <w:bCs/>
                <w:kern w:val="32"/>
                <w:sz w:val="22"/>
                <w:szCs w:val="22"/>
                <w:lang w:val="en-GB"/>
              </w:rPr>
              <w:t>Totals</w:t>
            </w:r>
          </w:p>
        </w:tc>
        <w:tc>
          <w:tcPr>
            <w:tcW w:w="1080" w:type="dxa"/>
          </w:tcPr>
          <w:p w14:paraId="040F805D" w14:textId="77777777" w:rsidR="00933570" w:rsidRPr="00E55813" w:rsidRDefault="00933570" w:rsidP="00933570">
            <w:pPr>
              <w:framePr w:hSpace="180" w:wrap="around" w:vAnchor="page" w:hAnchor="margin" w:y="2731"/>
              <w:rPr>
                <w:sz w:val="22"/>
                <w:szCs w:val="22"/>
                <w:lang w:val="en-GB"/>
              </w:rPr>
            </w:pPr>
          </w:p>
        </w:tc>
        <w:tc>
          <w:tcPr>
            <w:tcW w:w="900" w:type="dxa"/>
          </w:tcPr>
          <w:p w14:paraId="61BC3072" w14:textId="77777777" w:rsidR="00933570" w:rsidRPr="00E55813" w:rsidRDefault="00933570" w:rsidP="00933570">
            <w:pPr>
              <w:framePr w:hSpace="180" w:wrap="around" w:vAnchor="page" w:hAnchor="margin" w:y="2731"/>
              <w:rPr>
                <w:sz w:val="22"/>
                <w:szCs w:val="22"/>
                <w:lang w:val="en-GB"/>
              </w:rPr>
            </w:pPr>
          </w:p>
        </w:tc>
        <w:tc>
          <w:tcPr>
            <w:tcW w:w="1080" w:type="dxa"/>
          </w:tcPr>
          <w:p w14:paraId="0B9B7C41" w14:textId="77777777" w:rsidR="00933570" w:rsidRPr="00E55813" w:rsidRDefault="00933570" w:rsidP="00933570">
            <w:pPr>
              <w:framePr w:hSpace="180" w:wrap="around" w:vAnchor="page" w:hAnchor="margin" w:y="2731"/>
              <w:rPr>
                <w:sz w:val="22"/>
                <w:szCs w:val="22"/>
                <w:lang w:val="en-GB"/>
              </w:rPr>
            </w:pPr>
          </w:p>
        </w:tc>
        <w:tc>
          <w:tcPr>
            <w:tcW w:w="1080" w:type="dxa"/>
          </w:tcPr>
          <w:p w14:paraId="66FA803C" w14:textId="77777777" w:rsidR="00933570" w:rsidRPr="00E55813" w:rsidRDefault="00933570" w:rsidP="00933570">
            <w:pPr>
              <w:framePr w:hSpace="180" w:wrap="around" w:vAnchor="page" w:hAnchor="margin" w:y="2731"/>
              <w:rPr>
                <w:sz w:val="22"/>
                <w:szCs w:val="22"/>
                <w:lang w:val="en-GB"/>
              </w:rPr>
            </w:pPr>
          </w:p>
        </w:tc>
        <w:tc>
          <w:tcPr>
            <w:tcW w:w="1080" w:type="dxa"/>
          </w:tcPr>
          <w:p w14:paraId="33166799" w14:textId="77777777" w:rsidR="00933570" w:rsidRPr="00E55813" w:rsidRDefault="00933570" w:rsidP="00933570">
            <w:pPr>
              <w:framePr w:hSpace="180" w:wrap="around" w:vAnchor="page" w:hAnchor="margin" w:y="2731"/>
              <w:rPr>
                <w:sz w:val="22"/>
                <w:szCs w:val="22"/>
                <w:lang w:val="en-GB"/>
              </w:rPr>
            </w:pPr>
          </w:p>
        </w:tc>
        <w:tc>
          <w:tcPr>
            <w:tcW w:w="900" w:type="dxa"/>
          </w:tcPr>
          <w:p w14:paraId="7D911E56" w14:textId="77777777" w:rsidR="00933570" w:rsidRPr="00E55813" w:rsidRDefault="00933570" w:rsidP="00933570">
            <w:pPr>
              <w:framePr w:hSpace="180" w:wrap="around" w:vAnchor="page" w:hAnchor="margin" w:y="2731"/>
              <w:rPr>
                <w:b/>
                <w:sz w:val="22"/>
                <w:szCs w:val="22"/>
                <w:lang w:val="en-GB"/>
              </w:rPr>
            </w:pPr>
          </w:p>
        </w:tc>
        <w:tc>
          <w:tcPr>
            <w:tcW w:w="1080" w:type="dxa"/>
          </w:tcPr>
          <w:p w14:paraId="4345CD91" w14:textId="77777777" w:rsidR="00933570" w:rsidRPr="00E55813" w:rsidRDefault="00933570" w:rsidP="00933570">
            <w:pPr>
              <w:framePr w:hSpace="180" w:wrap="around" w:vAnchor="page" w:hAnchor="margin" w:y="2731"/>
              <w:rPr>
                <w:sz w:val="22"/>
                <w:szCs w:val="22"/>
                <w:lang w:val="en-GB"/>
              </w:rPr>
            </w:pPr>
          </w:p>
        </w:tc>
        <w:tc>
          <w:tcPr>
            <w:tcW w:w="900" w:type="dxa"/>
          </w:tcPr>
          <w:p w14:paraId="67EC051F" w14:textId="77777777" w:rsidR="00933570" w:rsidRPr="00E55813" w:rsidRDefault="00933570" w:rsidP="00933570">
            <w:pPr>
              <w:framePr w:hSpace="180" w:wrap="around" w:vAnchor="page" w:hAnchor="margin" w:y="2731"/>
              <w:rPr>
                <w:sz w:val="22"/>
                <w:szCs w:val="22"/>
                <w:lang w:val="en-GB"/>
              </w:rPr>
            </w:pPr>
          </w:p>
        </w:tc>
        <w:tc>
          <w:tcPr>
            <w:tcW w:w="1080" w:type="dxa"/>
          </w:tcPr>
          <w:p w14:paraId="648D611C" w14:textId="77777777" w:rsidR="00933570" w:rsidRPr="00E55813" w:rsidRDefault="00933570" w:rsidP="00933570">
            <w:pPr>
              <w:framePr w:hSpace="180" w:wrap="around" w:vAnchor="page" w:hAnchor="margin" w:y="2731"/>
              <w:rPr>
                <w:sz w:val="22"/>
                <w:szCs w:val="22"/>
                <w:lang w:val="en-GB"/>
              </w:rPr>
            </w:pPr>
          </w:p>
        </w:tc>
        <w:tc>
          <w:tcPr>
            <w:tcW w:w="1080" w:type="dxa"/>
          </w:tcPr>
          <w:p w14:paraId="1ED349C3" w14:textId="77777777" w:rsidR="00933570" w:rsidRPr="00E55813" w:rsidRDefault="00933570" w:rsidP="00933570">
            <w:pPr>
              <w:framePr w:hSpace="180" w:wrap="around" w:vAnchor="page" w:hAnchor="margin" w:y="2731"/>
              <w:rPr>
                <w:sz w:val="22"/>
                <w:szCs w:val="22"/>
                <w:lang w:val="en-GB"/>
              </w:rPr>
            </w:pPr>
          </w:p>
        </w:tc>
      </w:tr>
    </w:tbl>
    <w:p w14:paraId="5D9D3A22" w14:textId="77777777" w:rsidR="00933570" w:rsidRPr="00E55813" w:rsidRDefault="00933570" w:rsidP="00933570">
      <w:pPr>
        <w:keepNext/>
        <w:spacing w:before="240" w:after="60"/>
        <w:rPr>
          <w:b/>
          <w:bCs/>
          <w:i/>
          <w:iCs/>
          <w:sz w:val="22"/>
          <w:szCs w:val="22"/>
          <w:lang w:val="en-GB"/>
        </w:rPr>
      </w:pPr>
    </w:p>
    <w:p w14:paraId="73CC22AF" w14:textId="77777777" w:rsidR="00933570" w:rsidRPr="00E55813" w:rsidRDefault="00933570" w:rsidP="00933570">
      <w:pPr>
        <w:keepNext/>
        <w:spacing w:before="240" w:after="60"/>
        <w:rPr>
          <w:b/>
          <w:bCs/>
          <w:i/>
          <w:iCs/>
          <w:sz w:val="22"/>
          <w:szCs w:val="22"/>
          <w:lang w:val="en-GB"/>
        </w:rPr>
      </w:pPr>
    </w:p>
    <w:p w14:paraId="795B88D5" w14:textId="77777777" w:rsidR="00933570" w:rsidRPr="00E55813" w:rsidRDefault="00933570" w:rsidP="00933570">
      <w:pPr>
        <w:keepNext/>
        <w:spacing w:before="240" w:after="60"/>
        <w:rPr>
          <w:b/>
          <w:bCs/>
          <w:i/>
          <w:iCs/>
          <w:sz w:val="22"/>
          <w:szCs w:val="22"/>
          <w:lang w:val="en-GB"/>
        </w:rPr>
      </w:pPr>
    </w:p>
    <w:p w14:paraId="479D5DEC" w14:textId="77777777" w:rsidR="00933570" w:rsidRPr="00E55813" w:rsidRDefault="00933570" w:rsidP="00933570">
      <w:pPr>
        <w:rPr>
          <w:sz w:val="22"/>
          <w:szCs w:val="22"/>
          <w:lang w:val="en-GB"/>
        </w:rPr>
      </w:pPr>
      <w:r w:rsidRPr="00E55813">
        <w:rPr>
          <w:sz w:val="22"/>
          <w:szCs w:val="22"/>
          <w:lang w:val="en-GB"/>
        </w:rPr>
        <w:t>* Other is referred to contributions mobilized for the project from other multilateral agencies, bilateral development cooperation agencies, NGOs, the private sector and beneficiaries.</w:t>
      </w:r>
    </w:p>
    <w:p w14:paraId="7B28FB07" w14:textId="77777777" w:rsidR="00933570" w:rsidRPr="00E55813" w:rsidRDefault="00933570" w:rsidP="00933570">
      <w:pPr>
        <w:rPr>
          <w:sz w:val="22"/>
          <w:szCs w:val="22"/>
          <w:lang w:val="en-GB"/>
        </w:rPr>
      </w:pPr>
    </w:p>
    <w:p w14:paraId="6E3322A4" w14:textId="77777777" w:rsidR="00933570" w:rsidRPr="00E55813" w:rsidRDefault="00933570" w:rsidP="00933570">
      <w:pPr>
        <w:autoSpaceDE w:val="0"/>
        <w:autoSpaceDN w:val="0"/>
        <w:adjustRightInd w:val="0"/>
        <w:rPr>
          <w:b/>
          <w:i/>
          <w:sz w:val="22"/>
          <w:szCs w:val="22"/>
          <w:lang w:val="en-GB"/>
        </w:rPr>
      </w:pPr>
      <w:r w:rsidRPr="00E55813">
        <w:rPr>
          <w:b/>
          <w:i/>
          <w:sz w:val="22"/>
          <w:szCs w:val="22"/>
          <w:lang w:val="en-GB"/>
        </w:rPr>
        <w:t>Leveraged Resources</w:t>
      </w:r>
    </w:p>
    <w:p w14:paraId="3AC4EB62" w14:textId="77777777" w:rsidR="00933570" w:rsidRPr="00E55813" w:rsidRDefault="00933570" w:rsidP="00933570">
      <w:pPr>
        <w:autoSpaceDE w:val="0"/>
        <w:autoSpaceDN w:val="0"/>
        <w:adjustRightInd w:val="0"/>
        <w:rPr>
          <w:sz w:val="22"/>
          <w:szCs w:val="22"/>
          <w:lang w:val="en-GB"/>
        </w:rPr>
      </w:pPr>
      <w:r w:rsidRPr="00E55813">
        <w:rPr>
          <w:sz w:val="22"/>
          <w:szCs w:val="22"/>
          <w:lang w:val="en-GB"/>
        </w:rPr>
        <w:t>Leveraged resources are additional resources—beyond those committed to the project itself at the time of approval—that are mobilized later as a direct result of the project. Leveraged resources can be financial or in-kind and they may be from other donors, NGO’s, foundations, governments, communities or the private sector. Please briefly describe the resources the project has leveraged since inception and indicate how these resources are contributing to the project’s ultimate objective.</w:t>
      </w:r>
    </w:p>
    <w:p w14:paraId="2F86E78B" w14:textId="77777777" w:rsidR="00933570" w:rsidRPr="00E55813" w:rsidRDefault="00933570" w:rsidP="00933570">
      <w:pPr>
        <w:rPr>
          <w:sz w:val="22"/>
          <w:szCs w:val="22"/>
          <w:lang w:val="en-GB"/>
        </w:rPr>
      </w:pPr>
    </w:p>
    <w:p w14:paraId="656D8A46" w14:textId="77777777" w:rsidR="00933570" w:rsidRPr="00E55813" w:rsidRDefault="00933570" w:rsidP="00933570">
      <w:pPr>
        <w:rPr>
          <w:sz w:val="22"/>
          <w:szCs w:val="22"/>
          <w:lang w:val="en-GB"/>
        </w:rPr>
      </w:pPr>
      <w:r w:rsidRPr="00E55813">
        <w:rPr>
          <w:b/>
          <w:bCs/>
          <w:sz w:val="22"/>
          <w:szCs w:val="22"/>
          <w:lang w:val="en-GB"/>
        </w:rPr>
        <w:t>Table showing final actual project expenditure by activity to be supplied by the UNEP Fund management Officer. (insert here)</w:t>
      </w:r>
    </w:p>
    <w:p w14:paraId="365E83E9" w14:textId="77777777" w:rsidR="00933570" w:rsidRPr="00E55813" w:rsidRDefault="00933570" w:rsidP="00933570">
      <w:pPr>
        <w:rPr>
          <w:sz w:val="22"/>
          <w:szCs w:val="22"/>
          <w:lang w:val="en-GB"/>
        </w:rPr>
      </w:pPr>
    </w:p>
    <w:p w14:paraId="62F74B5F" w14:textId="77777777" w:rsidR="00933570" w:rsidRPr="00E55813" w:rsidRDefault="00933570" w:rsidP="00933570">
      <w:pPr>
        <w:tabs>
          <w:tab w:val="left" w:pos="0"/>
          <w:tab w:val="left" w:pos="306"/>
          <w:tab w:val="left" w:pos="1326"/>
          <w:tab w:val="left" w:pos="1836"/>
          <w:tab w:val="left" w:pos="2346"/>
          <w:tab w:val="left" w:pos="5160"/>
          <w:tab w:val="left" w:pos="6960"/>
        </w:tabs>
        <w:suppressAutoHyphens/>
        <w:ind w:right="-306"/>
        <w:jc w:val="both"/>
        <w:rPr>
          <w:sz w:val="22"/>
          <w:szCs w:val="22"/>
          <w:lang w:val="en-GB"/>
        </w:rPr>
      </w:pPr>
    </w:p>
    <w:p w14:paraId="44137186" w14:textId="77777777" w:rsidR="00933570" w:rsidRPr="00E55813" w:rsidRDefault="00933570" w:rsidP="00933570">
      <w:pPr>
        <w:tabs>
          <w:tab w:val="left" w:pos="0"/>
          <w:tab w:val="left" w:pos="306"/>
          <w:tab w:val="left" w:pos="1326"/>
          <w:tab w:val="left" w:pos="1836"/>
          <w:tab w:val="left" w:pos="2346"/>
          <w:tab w:val="left" w:pos="5160"/>
          <w:tab w:val="left" w:pos="6960"/>
        </w:tabs>
        <w:suppressAutoHyphens/>
        <w:ind w:right="-306"/>
        <w:jc w:val="both"/>
        <w:rPr>
          <w:sz w:val="22"/>
          <w:szCs w:val="22"/>
          <w:lang w:val="en-GB"/>
        </w:rPr>
        <w:sectPr w:rsidR="00933570" w:rsidRPr="00E55813" w:rsidSect="00064925">
          <w:footerReference w:type="even" r:id="rId21"/>
          <w:pgSz w:w="15840" w:h="12240" w:orient="landscape"/>
          <w:pgMar w:top="1321" w:right="1298" w:bottom="1321" w:left="1298" w:header="720" w:footer="720" w:gutter="0"/>
          <w:cols w:space="720"/>
        </w:sectPr>
      </w:pPr>
    </w:p>
    <w:p w14:paraId="38F6FEBE" w14:textId="77777777" w:rsidR="00933570" w:rsidRPr="00E55813" w:rsidRDefault="00933570" w:rsidP="00933570">
      <w:pPr>
        <w:tabs>
          <w:tab w:val="left" w:pos="993"/>
        </w:tabs>
        <w:overflowPunct w:val="0"/>
        <w:autoSpaceDE w:val="0"/>
        <w:autoSpaceDN w:val="0"/>
        <w:adjustRightInd w:val="0"/>
        <w:spacing w:before="120" w:after="260" w:line="260" w:lineRule="atLeast"/>
        <w:jc w:val="both"/>
        <w:textAlignment w:val="baseline"/>
        <w:rPr>
          <w:i/>
          <w:sz w:val="22"/>
          <w:szCs w:val="22"/>
          <w:lang w:val="en-GB"/>
        </w:rPr>
      </w:pPr>
      <w:r w:rsidRPr="00E55813">
        <w:rPr>
          <w:i/>
          <w:sz w:val="22"/>
          <w:szCs w:val="22"/>
          <w:lang w:val="en-GB"/>
        </w:rPr>
        <w:t>Annex 3 to Appendix 9</w:t>
      </w:r>
    </w:p>
    <w:p w14:paraId="7697896D" w14:textId="77777777" w:rsidR="00933570" w:rsidRPr="00E55813" w:rsidRDefault="00933570" w:rsidP="00933570">
      <w:pPr>
        <w:tabs>
          <w:tab w:val="left" w:pos="0"/>
          <w:tab w:val="left" w:pos="306"/>
          <w:tab w:val="left" w:pos="1326"/>
          <w:tab w:val="left" w:pos="1836"/>
          <w:tab w:val="left" w:pos="2346"/>
          <w:tab w:val="left" w:pos="5160"/>
          <w:tab w:val="left" w:pos="6960"/>
        </w:tabs>
        <w:suppressAutoHyphens/>
        <w:jc w:val="both"/>
        <w:rPr>
          <w:b/>
          <w:sz w:val="22"/>
          <w:szCs w:val="22"/>
          <w:lang w:val="en-GB"/>
        </w:rPr>
      </w:pPr>
      <w:r w:rsidRPr="00E55813">
        <w:rPr>
          <w:b/>
          <w:sz w:val="22"/>
          <w:szCs w:val="22"/>
          <w:lang w:val="en-GB"/>
        </w:rPr>
        <w:t>Review of the Draft Report</w:t>
      </w:r>
    </w:p>
    <w:p w14:paraId="2E800299" w14:textId="77777777" w:rsidR="00933570" w:rsidRPr="00E55813" w:rsidRDefault="00933570" w:rsidP="00933570">
      <w:pPr>
        <w:tabs>
          <w:tab w:val="left" w:pos="0"/>
          <w:tab w:val="left" w:pos="306"/>
          <w:tab w:val="left" w:pos="1326"/>
          <w:tab w:val="left" w:pos="1836"/>
          <w:tab w:val="left" w:pos="2346"/>
          <w:tab w:val="left" w:pos="5160"/>
          <w:tab w:val="left" w:pos="6960"/>
        </w:tabs>
        <w:suppressAutoHyphens/>
        <w:spacing w:after="120"/>
        <w:jc w:val="both"/>
        <w:rPr>
          <w:sz w:val="22"/>
          <w:szCs w:val="22"/>
          <w:lang w:val="en-GB"/>
        </w:rPr>
      </w:pPr>
      <w:r w:rsidRPr="00E55813">
        <w:rPr>
          <w:sz w:val="22"/>
          <w:szCs w:val="22"/>
          <w:lang w:val="en-GB"/>
        </w:rPr>
        <w:t>Draft reports submitted to UNEP EOU are shared with the corresponding Programme or Project Officer and his or her supervisor for initial review and consultation.  The DEPI staff and senior Executing Agency staff provide comments on the draft evaluation report.  They may provide feedback on any errors of fact and may highlight the significance of such errors in any conclusions.  The consultation also seeks agreement on the findings and recommendations.  UNEP EOU collates the review comments and provides them to the evaluators for their consideration in preparing the final version of the report. General comments on the draft report with respect to compliance with these TOR are shared with the reviewer.</w:t>
      </w:r>
    </w:p>
    <w:p w14:paraId="7FF085EA" w14:textId="77777777" w:rsidR="00933570" w:rsidRPr="00E55813" w:rsidRDefault="00933570" w:rsidP="00933570">
      <w:pPr>
        <w:tabs>
          <w:tab w:val="left" w:pos="0"/>
          <w:tab w:val="left" w:pos="306"/>
          <w:tab w:val="left" w:pos="1326"/>
          <w:tab w:val="left" w:pos="1836"/>
          <w:tab w:val="left" w:pos="2346"/>
          <w:tab w:val="left" w:pos="5160"/>
          <w:tab w:val="left" w:pos="6960"/>
        </w:tabs>
        <w:suppressAutoHyphens/>
        <w:jc w:val="both"/>
        <w:rPr>
          <w:b/>
          <w:sz w:val="22"/>
          <w:szCs w:val="22"/>
          <w:lang w:val="en-GB"/>
        </w:rPr>
      </w:pPr>
      <w:r w:rsidRPr="00E55813">
        <w:rPr>
          <w:b/>
          <w:sz w:val="22"/>
          <w:szCs w:val="22"/>
          <w:lang w:val="en-GB"/>
        </w:rPr>
        <w:t>Quality Assessment of the Evaluation Report</w:t>
      </w:r>
    </w:p>
    <w:p w14:paraId="494E5625" w14:textId="77777777" w:rsidR="00933570" w:rsidRPr="00E55813" w:rsidRDefault="00933570" w:rsidP="00933570">
      <w:pPr>
        <w:tabs>
          <w:tab w:val="left" w:pos="0"/>
          <w:tab w:val="left" w:pos="306"/>
          <w:tab w:val="left" w:pos="1326"/>
          <w:tab w:val="left" w:pos="1836"/>
          <w:tab w:val="left" w:pos="2346"/>
          <w:tab w:val="left" w:pos="5160"/>
          <w:tab w:val="left" w:pos="6960"/>
        </w:tabs>
        <w:suppressAutoHyphens/>
        <w:spacing w:after="120"/>
        <w:jc w:val="both"/>
        <w:rPr>
          <w:sz w:val="22"/>
          <w:szCs w:val="22"/>
          <w:lang w:val="en-GB"/>
        </w:rPr>
      </w:pPr>
      <w:r w:rsidRPr="00E55813">
        <w:rPr>
          <w:sz w:val="22"/>
          <w:szCs w:val="22"/>
          <w:lang w:val="en-GB"/>
        </w:rPr>
        <w:t>All UNEP GEF Mid Term Reports are subject to quality assessments by UNEP EOU. These apply GEF Office of Evaluation quality assessment and are used as a tool for providing structured feedback to the evaluator.</w:t>
      </w:r>
    </w:p>
    <w:p w14:paraId="5D4BB842" w14:textId="77777777" w:rsidR="00933570" w:rsidRPr="00E55813" w:rsidRDefault="00933570" w:rsidP="00933570">
      <w:pPr>
        <w:tabs>
          <w:tab w:val="left" w:pos="0"/>
          <w:tab w:val="left" w:pos="306"/>
          <w:tab w:val="left" w:pos="1326"/>
          <w:tab w:val="left" w:pos="1836"/>
          <w:tab w:val="left" w:pos="2346"/>
          <w:tab w:val="left" w:pos="5160"/>
          <w:tab w:val="left" w:pos="6960"/>
        </w:tabs>
        <w:suppressAutoHyphens/>
        <w:jc w:val="both"/>
        <w:rPr>
          <w:sz w:val="22"/>
          <w:szCs w:val="22"/>
          <w:lang w:val="en-GB"/>
        </w:rPr>
      </w:pPr>
      <w:r w:rsidRPr="00E55813">
        <w:rPr>
          <w:sz w:val="22"/>
          <w:szCs w:val="22"/>
          <w:lang w:val="en-GB"/>
        </w:rPr>
        <w:t xml:space="preserve">The quality of the draft evaluation report is assessed and rated against the following criteria: </w:t>
      </w:r>
    </w:p>
    <w:p w14:paraId="3CE8AE9E" w14:textId="77777777" w:rsidR="00933570" w:rsidRPr="00E55813" w:rsidRDefault="00933570" w:rsidP="00933570">
      <w:pPr>
        <w:tabs>
          <w:tab w:val="left" w:pos="0"/>
          <w:tab w:val="left" w:pos="306"/>
          <w:tab w:val="left" w:pos="1326"/>
          <w:tab w:val="left" w:pos="1836"/>
          <w:tab w:val="left" w:pos="2346"/>
          <w:tab w:val="left" w:pos="5160"/>
          <w:tab w:val="left" w:pos="6960"/>
        </w:tabs>
        <w:suppressAutoHyphens/>
        <w:jc w:val="both"/>
        <w:rPr>
          <w:sz w:val="22"/>
          <w:szCs w:val="22"/>
          <w:lang w:val="en-GB"/>
        </w:rPr>
      </w:pPr>
    </w:p>
    <w:p w14:paraId="457FB9CA" w14:textId="77777777" w:rsidR="00933570" w:rsidRPr="00E55813" w:rsidRDefault="00933570" w:rsidP="00933570">
      <w:pPr>
        <w:tabs>
          <w:tab w:val="left" w:pos="0"/>
          <w:tab w:val="left" w:pos="306"/>
          <w:tab w:val="left" w:pos="1326"/>
          <w:tab w:val="left" w:pos="1836"/>
          <w:tab w:val="left" w:pos="2346"/>
          <w:tab w:val="left" w:pos="5160"/>
          <w:tab w:val="left" w:pos="6960"/>
        </w:tabs>
        <w:suppressAutoHyphens/>
        <w:jc w:val="both"/>
        <w:rPr>
          <w:sz w:val="22"/>
          <w:szCs w:val="22"/>
          <w:lang w:val="en-GB"/>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08"/>
        <w:gridCol w:w="1800"/>
        <w:gridCol w:w="1260"/>
      </w:tblGrid>
      <w:tr w:rsidR="00933570" w:rsidRPr="00E55813" w14:paraId="0FFAA587" w14:textId="77777777" w:rsidTr="00933570">
        <w:tc>
          <w:tcPr>
            <w:tcW w:w="6408" w:type="dxa"/>
          </w:tcPr>
          <w:p w14:paraId="500764C8" w14:textId="77777777" w:rsidR="00933570" w:rsidRPr="00E55813" w:rsidRDefault="00933570" w:rsidP="00933570">
            <w:pPr>
              <w:rPr>
                <w:b/>
                <w:sz w:val="22"/>
                <w:szCs w:val="22"/>
                <w:lang w:val="en-GB"/>
              </w:rPr>
            </w:pPr>
            <w:r w:rsidRPr="00E55813">
              <w:rPr>
                <w:b/>
                <w:sz w:val="22"/>
                <w:szCs w:val="22"/>
                <w:lang w:val="en-GB"/>
              </w:rPr>
              <w:t>GEF Report Quality Criteria</w:t>
            </w:r>
          </w:p>
        </w:tc>
        <w:tc>
          <w:tcPr>
            <w:tcW w:w="1800" w:type="dxa"/>
          </w:tcPr>
          <w:p w14:paraId="46B223CC" w14:textId="77777777" w:rsidR="00933570" w:rsidRPr="00E55813" w:rsidRDefault="00933570" w:rsidP="00933570">
            <w:pPr>
              <w:rPr>
                <w:b/>
                <w:sz w:val="22"/>
                <w:szCs w:val="22"/>
                <w:lang w:val="en-GB"/>
              </w:rPr>
            </w:pPr>
            <w:r w:rsidRPr="00E55813">
              <w:rPr>
                <w:b/>
                <w:sz w:val="22"/>
                <w:szCs w:val="22"/>
                <w:lang w:val="en-GB"/>
              </w:rPr>
              <w:t xml:space="preserve">UNEP EOU Assessment </w:t>
            </w:r>
          </w:p>
        </w:tc>
        <w:tc>
          <w:tcPr>
            <w:tcW w:w="1260" w:type="dxa"/>
          </w:tcPr>
          <w:p w14:paraId="3B142C77" w14:textId="77777777" w:rsidR="00933570" w:rsidRPr="00E55813" w:rsidRDefault="00933570" w:rsidP="00933570">
            <w:pPr>
              <w:rPr>
                <w:b/>
                <w:sz w:val="22"/>
                <w:szCs w:val="22"/>
                <w:lang w:val="en-GB"/>
              </w:rPr>
            </w:pPr>
            <w:r w:rsidRPr="00E55813">
              <w:rPr>
                <w:b/>
                <w:sz w:val="22"/>
                <w:szCs w:val="22"/>
                <w:lang w:val="en-GB"/>
              </w:rPr>
              <w:t>Rating</w:t>
            </w:r>
          </w:p>
        </w:tc>
      </w:tr>
      <w:tr w:rsidR="00933570" w:rsidRPr="00E55813" w14:paraId="378FF517" w14:textId="77777777" w:rsidTr="00933570">
        <w:tc>
          <w:tcPr>
            <w:tcW w:w="6408" w:type="dxa"/>
          </w:tcPr>
          <w:p w14:paraId="1DACECC9" w14:textId="77777777" w:rsidR="00933570" w:rsidRPr="00E55813" w:rsidRDefault="00933570" w:rsidP="00933570">
            <w:pPr>
              <w:rPr>
                <w:sz w:val="22"/>
                <w:szCs w:val="22"/>
                <w:lang w:val="en-GB"/>
              </w:rPr>
            </w:pPr>
            <w:r w:rsidRPr="00E55813">
              <w:rPr>
                <w:sz w:val="22"/>
                <w:szCs w:val="22"/>
                <w:lang w:val="en-GB"/>
              </w:rPr>
              <w:t xml:space="preserve">A. Did the report present an assessment of relevant outcomes and achievement of project objectives in the context of the focal area program indicators if applicable? </w:t>
            </w:r>
          </w:p>
        </w:tc>
        <w:tc>
          <w:tcPr>
            <w:tcW w:w="1800" w:type="dxa"/>
          </w:tcPr>
          <w:p w14:paraId="0E048C1A" w14:textId="77777777" w:rsidR="00933570" w:rsidRPr="00E55813" w:rsidRDefault="00933570" w:rsidP="00933570">
            <w:pPr>
              <w:rPr>
                <w:sz w:val="22"/>
                <w:szCs w:val="22"/>
                <w:lang w:val="en-GB"/>
              </w:rPr>
            </w:pPr>
          </w:p>
        </w:tc>
        <w:tc>
          <w:tcPr>
            <w:tcW w:w="1260" w:type="dxa"/>
          </w:tcPr>
          <w:p w14:paraId="5F7F73F2" w14:textId="77777777" w:rsidR="00933570" w:rsidRPr="00E55813" w:rsidRDefault="00933570" w:rsidP="00933570">
            <w:pPr>
              <w:jc w:val="center"/>
              <w:rPr>
                <w:sz w:val="22"/>
                <w:szCs w:val="22"/>
                <w:lang w:val="en-GB"/>
              </w:rPr>
            </w:pPr>
          </w:p>
        </w:tc>
      </w:tr>
      <w:tr w:rsidR="00933570" w:rsidRPr="00E55813" w14:paraId="176F1DB5" w14:textId="77777777" w:rsidTr="00933570">
        <w:tc>
          <w:tcPr>
            <w:tcW w:w="6408" w:type="dxa"/>
          </w:tcPr>
          <w:p w14:paraId="28BA3598" w14:textId="77777777" w:rsidR="00933570" w:rsidRPr="00E55813" w:rsidRDefault="00933570" w:rsidP="00933570">
            <w:pPr>
              <w:rPr>
                <w:sz w:val="22"/>
                <w:szCs w:val="22"/>
                <w:lang w:val="en-GB"/>
              </w:rPr>
            </w:pPr>
            <w:r w:rsidRPr="00E55813">
              <w:rPr>
                <w:sz w:val="22"/>
                <w:szCs w:val="22"/>
                <w:lang w:val="en-GB"/>
              </w:rPr>
              <w:t xml:space="preserve">B. Was the report consistent and the evidence complete and convincing and were the ratings substantiated when used? </w:t>
            </w:r>
          </w:p>
        </w:tc>
        <w:tc>
          <w:tcPr>
            <w:tcW w:w="1800" w:type="dxa"/>
          </w:tcPr>
          <w:p w14:paraId="0AA6D194" w14:textId="77777777" w:rsidR="00933570" w:rsidRPr="00E55813" w:rsidRDefault="00933570" w:rsidP="00933570">
            <w:pPr>
              <w:rPr>
                <w:sz w:val="22"/>
                <w:szCs w:val="22"/>
                <w:lang w:val="en-GB"/>
              </w:rPr>
            </w:pPr>
          </w:p>
        </w:tc>
        <w:tc>
          <w:tcPr>
            <w:tcW w:w="1260" w:type="dxa"/>
          </w:tcPr>
          <w:p w14:paraId="3CC2C793" w14:textId="77777777" w:rsidR="00933570" w:rsidRPr="00E55813" w:rsidRDefault="00933570" w:rsidP="00933570">
            <w:pPr>
              <w:jc w:val="center"/>
              <w:rPr>
                <w:sz w:val="22"/>
                <w:szCs w:val="22"/>
                <w:lang w:val="en-GB"/>
              </w:rPr>
            </w:pPr>
          </w:p>
        </w:tc>
      </w:tr>
      <w:tr w:rsidR="00933570" w:rsidRPr="00E55813" w14:paraId="6DC129E1" w14:textId="77777777" w:rsidTr="00933570">
        <w:tc>
          <w:tcPr>
            <w:tcW w:w="6408" w:type="dxa"/>
          </w:tcPr>
          <w:p w14:paraId="1CD37149" w14:textId="77777777" w:rsidR="00933570" w:rsidRPr="00E55813" w:rsidRDefault="00933570" w:rsidP="00933570">
            <w:pPr>
              <w:rPr>
                <w:sz w:val="22"/>
                <w:szCs w:val="22"/>
                <w:lang w:val="en-GB"/>
              </w:rPr>
            </w:pPr>
            <w:r w:rsidRPr="00E55813">
              <w:rPr>
                <w:sz w:val="22"/>
                <w:szCs w:val="22"/>
                <w:lang w:val="en-GB"/>
              </w:rPr>
              <w:t xml:space="preserve">C. Did the report present a sound assessment of sustainability of outcomes? </w:t>
            </w:r>
          </w:p>
        </w:tc>
        <w:tc>
          <w:tcPr>
            <w:tcW w:w="1800" w:type="dxa"/>
          </w:tcPr>
          <w:p w14:paraId="76ADD0C3" w14:textId="77777777" w:rsidR="00933570" w:rsidRPr="00E55813" w:rsidRDefault="00933570" w:rsidP="00933570">
            <w:pPr>
              <w:rPr>
                <w:sz w:val="22"/>
                <w:szCs w:val="22"/>
                <w:lang w:val="en-GB"/>
              </w:rPr>
            </w:pPr>
          </w:p>
        </w:tc>
        <w:tc>
          <w:tcPr>
            <w:tcW w:w="1260" w:type="dxa"/>
          </w:tcPr>
          <w:p w14:paraId="052EC17A" w14:textId="77777777" w:rsidR="00933570" w:rsidRPr="00E55813" w:rsidRDefault="00933570" w:rsidP="00933570">
            <w:pPr>
              <w:jc w:val="center"/>
              <w:rPr>
                <w:sz w:val="22"/>
                <w:szCs w:val="22"/>
                <w:lang w:val="en-GB"/>
              </w:rPr>
            </w:pPr>
          </w:p>
        </w:tc>
      </w:tr>
      <w:tr w:rsidR="00933570" w:rsidRPr="00E55813" w14:paraId="4F404528" w14:textId="77777777" w:rsidTr="00933570">
        <w:tc>
          <w:tcPr>
            <w:tcW w:w="6408" w:type="dxa"/>
          </w:tcPr>
          <w:p w14:paraId="26707E4C" w14:textId="77777777" w:rsidR="00933570" w:rsidRPr="00E55813" w:rsidRDefault="00933570" w:rsidP="00933570">
            <w:pPr>
              <w:rPr>
                <w:sz w:val="22"/>
                <w:szCs w:val="22"/>
                <w:lang w:val="en-GB"/>
              </w:rPr>
            </w:pPr>
            <w:r w:rsidRPr="00E55813">
              <w:rPr>
                <w:sz w:val="22"/>
                <w:szCs w:val="22"/>
                <w:lang w:val="en-GB"/>
              </w:rPr>
              <w:t xml:space="preserve">D. Were the lessons and recommendations supported by the evidence presented? </w:t>
            </w:r>
          </w:p>
        </w:tc>
        <w:tc>
          <w:tcPr>
            <w:tcW w:w="1800" w:type="dxa"/>
          </w:tcPr>
          <w:p w14:paraId="44A9F044" w14:textId="77777777" w:rsidR="00933570" w:rsidRPr="00E55813" w:rsidRDefault="00933570" w:rsidP="00933570">
            <w:pPr>
              <w:rPr>
                <w:sz w:val="22"/>
                <w:szCs w:val="22"/>
                <w:lang w:val="en-GB"/>
              </w:rPr>
            </w:pPr>
          </w:p>
        </w:tc>
        <w:tc>
          <w:tcPr>
            <w:tcW w:w="1260" w:type="dxa"/>
          </w:tcPr>
          <w:p w14:paraId="4673458E" w14:textId="77777777" w:rsidR="00933570" w:rsidRPr="00E55813" w:rsidRDefault="00933570" w:rsidP="00933570">
            <w:pPr>
              <w:jc w:val="center"/>
              <w:rPr>
                <w:sz w:val="22"/>
                <w:szCs w:val="22"/>
                <w:lang w:val="en-GB"/>
              </w:rPr>
            </w:pPr>
          </w:p>
        </w:tc>
      </w:tr>
      <w:tr w:rsidR="00933570" w:rsidRPr="00E55813" w14:paraId="5D3C86CE" w14:textId="77777777" w:rsidTr="00933570">
        <w:tc>
          <w:tcPr>
            <w:tcW w:w="6408" w:type="dxa"/>
          </w:tcPr>
          <w:p w14:paraId="6FA9F0EF" w14:textId="77777777" w:rsidR="00933570" w:rsidRPr="00E55813" w:rsidRDefault="00933570" w:rsidP="00933570">
            <w:pPr>
              <w:rPr>
                <w:sz w:val="22"/>
                <w:szCs w:val="22"/>
                <w:lang w:val="en-GB"/>
              </w:rPr>
            </w:pPr>
            <w:r w:rsidRPr="00E55813">
              <w:rPr>
                <w:sz w:val="22"/>
                <w:szCs w:val="22"/>
                <w:lang w:val="en-GB"/>
              </w:rPr>
              <w:t xml:space="preserve">E. Did the report include the actual project costs (total and per activity) and actual co-financing used? </w:t>
            </w:r>
          </w:p>
        </w:tc>
        <w:tc>
          <w:tcPr>
            <w:tcW w:w="1800" w:type="dxa"/>
          </w:tcPr>
          <w:p w14:paraId="658D061F" w14:textId="77777777" w:rsidR="00933570" w:rsidRPr="00E55813" w:rsidRDefault="00933570" w:rsidP="00933570">
            <w:pPr>
              <w:rPr>
                <w:sz w:val="22"/>
                <w:szCs w:val="22"/>
                <w:lang w:val="en-GB"/>
              </w:rPr>
            </w:pPr>
          </w:p>
        </w:tc>
        <w:tc>
          <w:tcPr>
            <w:tcW w:w="1260" w:type="dxa"/>
          </w:tcPr>
          <w:p w14:paraId="6E30B27E" w14:textId="77777777" w:rsidR="00933570" w:rsidRPr="00E55813" w:rsidRDefault="00933570" w:rsidP="00933570">
            <w:pPr>
              <w:jc w:val="center"/>
              <w:rPr>
                <w:sz w:val="22"/>
                <w:szCs w:val="22"/>
                <w:lang w:val="en-GB"/>
              </w:rPr>
            </w:pPr>
          </w:p>
        </w:tc>
      </w:tr>
      <w:tr w:rsidR="00933570" w:rsidRPr="00E55813" w14:paraId="44987F7C" w14:textId="77777777" w:rsidTr="00933570">
        <w:tc>
          <w:tcPr>
            <w:tcW w:w="6408" w:type="dxa"/>
          </w:tcPr>
          <w:p w14:paraId="760C7090" w14:textId="77777777" w:rsidR="00933570" w:rsidRPr="00E55813" w:rsidRDefault="00933570" w:rsidP="00933570">
            <w:pPr>
              <w:rPr>
                <w:sz w:val="22"/>
                <w:szCs w:val="22"/>
                <w:lang w:val="en-GB"/>
              </w:rPr>
            </w:pPr>
            <w:r w:rsidRPr="00E55813">
              <w:rPr>
                <w:sz w:val="22"/>
                <w:szCs w:val="22"/>
                <w:lang w:val="en-GB"/>
              </w:rPr>
              <w:t>F. Did the report include an assessment of the quality of the project M&amp;E system and its use for project management?</w:t>
            </w:r>
          </w:p>
        </w:tc>
        <w:tc>
          <w:tcPr>
            <w:tcW w:w="1800" w:type="dxa"/>
          </w:tcPr>
          <w:p w14:paraId="56473B73" w14:textId="77777777" w:rsidR="00933570" w:rsidRPr="00E55813" w:rsidRDefault="00933570" w:rsidP="00933570">
            <w:pPr>
              <w:rPr>
                <w:sz w:val="22"/>
                <w:szCs w:val="22"/>
                <w:lang w:val="en-GB"/>
              </w:rPr>
            </w:pPr>
          </w:p>
        </w:tc>
        <w:tc>
          <w:tcPr>
            <w:tcW w:w="1260" w:type="dxa"/>
          </w:tcPr>
          <w:p w14:paraId="05C07D6D" w14:textId="77777777" w:rsidR="00933570" w:rsidRPr="00E55813" w:rsidRDefault="00933570" w:rsidP="00933570">
            <w:pPr>
              <w:jc w:val="center"/>
              <w:rPr>
                <w:sz w:val="22"/>
                <w:szCs w:val="22"/>
                <w:lang w:val="en-GB"/>
              </w:rPr>
            </w:pPr>
          </w:p>
        </w:tc>
      </w:tr>
      <w:tr w:rsidR="00933570" w:rsidRPr="00E55813" w14:paraId="2D05AC43" w14:textId="77777777" w:rsidTr="00933570">
        <w:tc>
          <w:tcPr>
            <w:tcW w:w="6408" w:type="dxa"/>
          </w:tcPr>
          <w:p w14:paraId="295F9D6D" w14:textId="77777777" w:rsidR="00933570" w:rsidRPr="00E55813" w:rsidRDefault="00933570" w:rsidP="00933570">
            <w:pPr>
              <w:rPr>
                <w:b/>
                <w:sz w:val="22"/>
                <w:szCs w:val="22"/>
                <w:lang w:val="en-GB"/>
              </w:rPr>
            </w:pPr>
            <w:r w:rsidRPr="00E55813">
              <w:rPr>
                <w:b/>
                <w:sz w:val="22"/>
                <w:szCs w:val="22"/>
                <w:lang w:val="en-GB"/>
              </w:rPr>
              <w:t>UNEP EOU additional Report Quality Criteria</w:t>
            </w:r>
          </w:p>
        </w:tc>
        <w:tc>
          <w:tcPr>
            <w:tcW w:w="1800" w:type="dxa"/>
          </w:tcPr>
          <w:p w14:paraId="54272F38" w14:textId="77777777" w:rsidR="00933570" w:rsidRPr="00E55813" w:rsidRDefault="00933570" w:rsidP="00933570">
            <w:pPr>
              <w:rPr>
                <w:b/>
                <w:sz w:val="22"/>
                <w:szCs w:val="22"/>
                <w:lang w:val="en-GB"/>
              </w:rPr>
            </w:pPr>
            <w:r w:rsidRPr="00E55813">
              <w:rPr>
                <w:b/>
                <w:sz w:val="22"/>
                <w:szCs w:val="22"/>
                <w:lang w:val="en-GB"/>
              </w:rPr>
              <w:t xml:space="preserve">UNEP EOU Assessment </w:t>
            </w:r>
          </w:p>
        </w:tc>
        <w:tc>
          <w:tcPr>
            <w:tcW w:w="1260" w:type="dxa"/>
          </w:tcPr>
          <w:p w14:paraId="7E4B6243" w14:textId="77777777" w:rsidR="00933570" w:rsidRPr="00E55813" w:rsidRDefault="00933570" w:rsidP="00933570">
            <w:pPr>
              <w:rPr>
                <w:b/>
                <w:sz w:val="22"/>
                <w:szCs w:val="22"/>
                <w:lang w:val="en-GB"/>
              </w:rPr>
            </w:pPr>
            <w:r w:rsidRPr="00E55813">
              <w:rPr>
                <w:b/>
                <w:sz w:val="22"/>
                <w:szCs w:val="22"/>
                <w:lang w:val="en-GB"/>
              </w:rPr>
              <w:t>Rating</w:t>
            </w:r>
          </w:p>
        </w:tc>
      </w:tr>
      <w:tr w:rsidR="00933570" w:rsidRPr="00E55813" w14:paraId="3752D897" w14:textId="77777777" w:rsidTr="00933570">
        <w:tc>
          <w:tcPr>
            <w:tcW w:w="6408" w:type="dxa"/>
          </w:tcPr>
          <w:p w14:paraId="4DAE4CFF" w14:textId="77777777" w:rsidR="00933570" w:rsidRPr="00E55813" w:rsidRDefault="00933570" w:rsidP="00933570">
            <w:pPr>
              <w:rPr>
                <w:sz w:val="22"/>
                <w:szCs w:val="22"/>
                <w:lang w:val="en-GB"/>
              </w:rPr>
            </w:pPr>
            <w:r w:rsidRPr="00E55813">
              <w:rPr>
                <w:sz w:val="22"/>
                <w:szCs w:val="22"/>
                <w:lang w:val="en-GB"/>
              </w:rPr>
              <w:t>G. Quality of the lessons: Were lessons readily applicable in other contexts? Did they suggest prescriptive action?</w:t>
            </w:r>
          </w:p>
        </w:tc>
        <w:tc>
          <w:tcPr>
            <w:tcW w:w="1800" w:type="dxa"/>
          </w:tcPr>
          <w:p w14:paraId="32CCB77E" w14:textId="77777777" w:rsidR="00933570" w:rsidRPr="00E55813" w:rsidRDefault="00933570" w:rsidP="00933570">
            <w:pPr>
              <w:rPr>
                <w:sz w:val="22"/>
                <w:szCs w:val="22"/>
                <w:lang w:val="en-GB"/>
              </w:rPr>
            </w:pPr>
          </w:p>
        </w:tc>
        <w:tc>
          <w:tcPr>
            <w:tcW w:w="1260" w:type="dxa"/>
          </w:tcPr>
          <w:p w14:paraId="72A822FA" w14:textId="77777777" w:rsidR="00933570" w:rsidRPr="00E55813" w:rsidRDefault="00933570" w:rsidP="00933570">
            <w:pPr>
              <w:jc w:val="center"/>
              <w:rPr>
                <w:sz w:val="22"/>
                <w:szCs w:val="22"/>
                <w:lang w:val="en-GB"/>
              </w:rPr>
            </w:pPr>
          </w:p>
        </w:tc>
      </w:tr>
      <w:tr w:rsidR="00933570" w:rsidRPr="00E55813" w14:paraId="6E3F6553" w14:textId="77777777" w:rsidTr="00933570">
        <w:tc>
          <w:tcPr>
            <w:tcW w:w="6408" w:type="dxa"/>
          </w:tcPr>
          <w:p w14:paraId="004BF7CB" w14:textId="77777777" w:rsidR="00933570" w:rsidRPr="00E55813" w:rsidRDefault="00933570" w:rsidP="00933570">
            <w:pPr>
              <w:rPr>
                <w:sz w:val="22"/>
                <w:szCs w:val="22"/>
                <w:lang w:val="en-GB"/>
              </w:rPr>
            </w:pPr>
            <w:r w:rsidRPr="00E55813">
              <w:rPr>
                <w:sz w:val="22"/>
                <w:szCs w:val="22"/>
                <w:lang w:val="en-GB"/>
              </w:rPr>
              <w:t>H. Quality of the recommendations: Did recommendations specify the actions necessary to correct existing conditions or improve operations (‘who?’ ‘what?’ ‘where?’ ‘when?)’. Can they be implemented? Did the recommendations specify a goal and an associated performance indicator?</w:t>
            </w:r>
          </w:p>
        </w:tc>
        <w:tc>
          <w:tcPr>
            <w:tcW w:w="1800" w:type="dxa"/>
          </w:tcPr>
          <w:p w14:paraId="7D6DDF8A" w14:textId="77777777" w:rsidR="00933570" w:rsidRPr="00E55813" w:rsidRDefault="00933570" w:rsidP="00933570">
            <w:pPr>
              <w:rPr>
                <w:sz w:val="22"/>
                <w:szCs w:val="22"/>
                <w:lang w:val="en-GB"/>
              </w:rPr>
            </w:pPr>
          </w:p>
        </w:tc>
        <w:tc>
          <w:tcPr>
            <w:tcW w:w="1260" w:type="dxa"/>
          </w:tcPr>
          <w:p w14:paraId="7B25A532" w14:textId="77777777" w:rsidR="00933570" w:rsidRPr="00E55813" w:rsidRDefault="00933570" w:rsidP="00933570">
            <w:pPr>
              <w:jc w:val="center"/>
              <w:rPr>
                <w:sz w:val="22"/>
                <w:szCs w:val="22"/>
                <w:lang w:val="en-GB"/>
              </w:rPr>
            </w:pPr>
          </w:p>
        </w:tc>
      </w:tr>
      <w:tr w:rsidR="00933570" w:rsidRPr="00E55813" w14:paraId="0C0F0B17" w14:textId="77777777" w:rsidTr="00933570">
        <w:tc>
          <w:tcPr>
            <w:tcW w:w="6408" w:type="dxa"/>
          </w:tcPr>
          <w:p w14:paraId="111F0C3A" w14:textId="77777777" w:rsidR="00933570" w:rsidRPr="00E55813" w:rsidRDefault="00933570" w:rsidP="00933570">
            <w:pPr>
              <w:rPr>
                <w:sz w:val="22"/>
                <w:szCs w:val="22"/>
                <w:lang w:val="en-GB"/>
              </w:rPr>
            </w:pPr>
            <w:r w:rsidRPr="00E55813">
              <w:rPr>
                <w:sz w:val="22"/>
                <w:szCs w:val="22"/>
                <w:lang w:val="en-GB"/>
              </w:rPr>
              <w:t>I. Was the report well written?</w:t>
            </w:r>
            <w:r w:rsidRPr="00E55813">
              <w:rPr>
                <w:sz w:val="22"/>
                <w:szCs w:val="22"/>
                <w:lang w:val="en-GB"/>
              </w:rPr>
              <w:br/>
              <w:t xml:space="preserve">(clear English language and grammar) </w:t>
            </w:r>
          </w:p>
        </w:tc>
        <w:tc>
          <w:tcPr>
            <w:tcW w:w="1800" w:type="dxa"/>
          </w:tcPr>
          <w:p w14:paraId="6F24D646" w14:textId="77777777" w:rsidR="00933570" w:rsidRPr="00E55813" w:rsidRDefault="00933570" w:rsidP="00933570">
            <w:pPr>
              <w:rPr>
                <w:sz w:val="22"/>
                <w:szCs w:val="22"/>
                <w:lang w:val="en-GB"/>
              </w:rPr>
            </w:pPr>
          </w:p>
        </w:tc>
        <w:tc>
          <w:tcPr>
            <w:tcW w:w="1260" w:type="dxa"/>
          </w:tcPr>
          <w:p w14:paraId="733D2706" w14:textId="77777777" w:rsidR="00933570" w:rsidRPr="00E55813" w:rsidRDefault="00933570" w:rsidP="00933570">
            <w:pPr>
              <w:jc w:val="center"/>
              <w:rPr>
                <w:sz w:val="22"/>
                <w:szCs w:val="22"/>
                <w:lang w:val="en-GB"/>
              </w:rPr>
            </w:pPr>
          </w:p>
        </w:tc>
      </w:tr>
      <w:tr w:rsidR="00933570" w:rsidRPr="00E55813" w14:paraId="6C6592E9" w14:textId="77777777" w:rsidTr="00933570">
        <w:tc>
          <w:tcPr>
            <w:tcW w:w="6408" w:type="dxa"/>
          </w:tcPr>
          <w:p w14:paraId="38293936" w14:textId="77777777" w:rsidR="00933570" w:rsidRPr="00E55813" w:rsidRDefault="00933570" w:rsidP="00933570">
            <w:pPr>
              <w:rPr>
                <w:sz w:val="22"/>
                <w:szCs w:val="22"/>
                <w:lang w:val="en-GB"/>
              </w:rPr>
            </w:pPr>
            <w:r w:rsidRPr="00E55813">
              <w:rPr>
                <w:sz w:val="22"/>
                <w:szCs w:val="22"/>
                <w:lang w:val="en-GB"/>
              </w:rPr>
              <w:t>J. Did the report structure follow EOU guidelines, were all requested Annexes included?</w:t>
            </w:r>
          </w:p>
        </w:tc>
        <w:tc>
          <w:tcPr>
            <w:tcW w:w="1800" w:type="dxa"/>
          </w:tcPr>
          <w:p w14:paraId="2084ADE0" w14:textId="77777777" w:rsidR="00933570" w:rsidRPr="00E55813" w:rsidRDefault="00933570" w:rsidP="00933570">
            <w:pPr>
              <w:rPr>
                <w:sz w:val="22"/>
                <w:szCs w:val="22"/>
                <w:lang w:val="en-GB"/>
              </w:rPr>
            </w:pPr>
          </w:p>
        </w:tc>
        <w:tc>
          <w:tcPr>
            <w:tcW w:w="1260" w:type="dxa"/>
          </w:tcPr>
          <w:p w14:paraId="1D0F3B60" w14:textId="77777777" w:rsidR="00933570" w:rsidRPr="00E55813" w:rsidRDefault="00933570" w:rsidP="00933570">
            <w:pPr>
              <w:jc w:val="center"/>
              <w:rPr>
                <w:sz w:val="22"/>
                <w:szCs w:val="22"/>
                <w:lang w:val="en-GB"/>
              </w:rPr>
            </w:pPr>
          </w:p>
        </w:tc>
      </w:tr>
      <w:tr w:rsidR="00933570" w:rsidRPr="00E55813" w14:paraId="5E1C12DA" w14:textId="77777777" w:rsidTr="00933570">
        <w:tc>
          <w:tcPr>
            <w:tcW w:w="6408" w:type="dxa"/>
          </w:tcPr>
          <w:p w14:paraId="0FC1E7F6" w14:textId="77777777" w:rsidR="00933570" w:rsidRPr="00E55813" w:rsidRDefault="00933570" w:rsidP="00933570">
            <w:pPr>
              <w:rPr>
                <w:sz w:val="22"/>
                <w:szCs w:val="22"/>
                <w:lang w:val="en-GB"/>
              </w:rPr>
            </w:pPr>
            <w:r w:rsidRPr="00E55813">
              <w:rPr>
                <w:sz w:val="22"/>
                <w:szCs w:val="22"/>
                <w:lang w:val="en-GB"/>
              </w:rPr>
              <w:t>K. Were all evaluation aspects specified in the TORs adequately addressed?</w:t>
            </w:r>
          </w:p>
        </w:tc>
        <w:tc>
          <w:tcPr>
            <w:tcW w:w="1800" w:type="dxa"/>
          </w:tcPr>
          <w:p w14:paraId="1CEC90D3" w14:textId="77777777" w:rsidR="00933570" w:rsidRPr="00E55813" w:rsidRDefault="00933570" w:rsidP="00933570">
            <w:pPr>
              <w:rPr>
                <w:sz w:val="22"/>
                <w:szCs w:val="22"/>
                <w:lang w:val="en-GB"/>
              </w:rPr>
            </w:pPr>
          </w:p>
        </w:tc>
        <w:tc>
          <w:tcPr>
            <w:tcW w:w="1260" w:type="dxa"/>
          </w:tcPr>
          <w:p w14:paraId="3A7CBAEE" w14:textId="77777777" w:rsidR="00933570" w:rsidRPr="00E55813" w:rsidRDefault="00933570" w:rsidP="00933570">
            <w:pPr>
              <w:jc w:val="center"/>
              <w:rPr>
                <w:sz w:val="22"/>
                <w:szCs w:val="22"/>
                <w:lang w:val="en-GB"/>
              </w:rPr>
            </w:pPr>
          </w:p>
        </w:tc>
      </w:tr>
      <w:tr w:rsidR="00933570" w:rsidRPr="00E55813" w14:paraId="3977AB75" w14:textId="77777777" w:rsidTr="00933570">
        <w:tc>
          <w:tcPr>
            <w:tcW w:w="6408" w:type="dxa"/>
          </w:tcPr>
          <w:p w14:paraId="760C1F97" w14:textId="77777777" w:rsidR="00933570" w:rsidRPr="00E55813" w:rsidRDefault="00933570" w:rsidP="00933570">
            <w:pPr>
              <w:rPr>
                <w:sz w:val="22"/>
                <w:szCs w:val="22"/>
                <w:lang w:val="en-GB"/>
              </w:rPr>
            </w:pPr>
            <w:r w:rsidRPr="00E55813">
              <w:rPr>
                <w:sz w:val="22"/>
                <w:szCs w:val="22"/>
                <w:lang w:val="en-GB"/>
              </w:rPr>
              <w:t>L.  Was the report delivered in a timely manner</w:t>
            </w:r>
          </w:p>
        </w:tc>
        <w:tc>
          <w:tcPr>
            <w:tcW w:w="1800" w:type="dxa"/>
          </w:tcPr>
          <w:p w14:paraId="4A24E15C" w14:textId="77777777" w:rsidR="00933570" w:rsidRPr="00E55813" w:rsidRDefault="00933570" w:rsidP="00933570">
            <w:pPr>
              <w:rPr>
                <w:sz w:val="22"/>
                <w:szCs w:val="22"/>
                <w:lang w:val="en-GB"/>
              </w:rPr>
            </w:pPr>
          </w:p>
        </w:tc>
        <w:tc>
          <w:tcPr>
            <w:tcW w:w="1260" w:type="dxa"/>
          </w:tcPr>
          <w:p w14:paraId="03E669DB" w14:textId="77777777" w:rsidR="00933570" w:rsidRPr="00E55813" w:rsidRDefault="00933570" w:rsidP="00933570">
            <w:pPr>
              <w:jc w:val="center"/>
              <w:rPr>
                <w:sz w:val="22"/>
                <w:szCs w:val="22"/>
                <w:lang w:val="en-GB"/>
              </w:rPr>
            </w:pPr>
          </w:p>
        </w:tc>
      </w:tr>
    </w:tbl>
    <w:p w14:paraId="3EF98A7C" w14:textId="77777777" w:rsidR="00933570" w:rsidRPr="00E55813" w:rsidRDefault="00933570" w:rsidP="00933570">
      <w:pPr>
        <w:rPr>
          <w:sz w:val="22"/>
          <w:szCs w:val="22"/>
          <w:lang w:val="en-GB"/>
        </w:rPr>
      </w:pPr>
      <w:r w:rsidRPr="00E55813">
        <w:rPr>
          <w:sz w:val="22"/>
          <w:szCs w:val="22"/>
          <w:lang w:val="en-GB"/>
        </w:rPr>
        <w:br w:type="page"/>
      </w:r>
    </w:p>
    <w:p w14:paraId="06428EDE" w14:textId="77777777" w:rsidR="00933570" w:rsidRPr="00E55813" w:rsidRDefault="00933570" w:rsidP="00933570">
      <w:pPr>
        <w:jc w:val="both"/>
        <w:rPr>
          <w:sz w:val="22"/>
          <w:szCs w:val="22"/>
          <w:lang w:val="en-GB"/>
        </w:rPr>
      </w:pP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FF"/>
        <w:tblLayout w:type="fixed"/>
        <w:tblLook w:val="01E0" w:firstRow="1" w:lastRow="1" w:firstColumn="1" w:lastColumn="1" w:noHBand="0" w:noVBand="0"/>
      </w:tblPr>
      <w:tblGrid>
        <w:gridCol w:w="6480"/>
      </w:tblGrid>
      <w:tr w:rsidR="00933570" w:rsidRPr="00E55813" w14:paraId="4BFFBB0E" w14:textId="77777777" w:rsidTr="00933570">
        <w:tc>
          <w:tcPr>
            <w:tcW w:w="6480" w:type="dxa"/>
            <w:shd w:val="clear" w:color="auto" w:fill="CCFFFF"/>
          </w:tcPr>
          <w:p w14:paraId="426F89A1" w14:textId="77777777" w:rsidR="00933570" w:rsidRPr="00E55813" w:rsidRDefault="00933570" w:rsidP="00933570">
            <w:pPr>
              <w:tabs>
                <w:tab w:val="left" w:pos="612"/>
              </w:tabs>
              <w:rPr>
                <w:b/>
                <w:sz w:val="22"/>
                <w:szCs w:val="22"/>
                <w:lang w:val="en-GB"/>
              </w:rPr>
            </w:pPr>
            <w:r w:rsidRPr="00E55813">
              <w:rPr>
                <w:b/>
                <w:sz w:val="22"/>
                <w:szCs w:val="22"/>
                <w:lang w:val="en-GB"/>
              </w:rPr>
              <w:t>GEF Quality of the MTE report = 0.3*(A + B) + 0.1*(C+D+E+F)</w:t>
            </w:r>
          </w:p>
        </w:tc>
      </w:tr>
      <w:tr w:rsidR="00933570" w:rsidRPr="00E55813" w14:paraId="27E13610" w14:textId="77777777" w:rsidTr="009335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480" w:type="dxa"/>
            <w:shd w:val="clear" w:color="auto" w:fill="CCFFFF"/>
          </w:tcPr>
          <w:p w14:paraId="2CB7F28F" w14:textId="77777777" w:rsidR="00933570" w:rsidRPr="00E55813" w:rsidRDefault="00933570" w:rsidP="00933570">
            <w:pPr>
              <w:tabs>
                <w:tab w:val="left" w:pos="612"/>
              </w:tabs>
              <w:rPr>
                <w:b/>
                <w:sz w:val="22"/>
                <w:szCs w:val="22"/>
                <w:lang w:val="en-GB"/>
              </w:rPr>
            </w:pPr>
            <w:r w:rsidRPr="00E55813">
              <w:rPr>
                <w:b/>
                <w:sz w:val="22"/>
                <w:szCs w:val="22"/>
                <w:lang w:val="en-GB"/>
              </w:rPr>
              <w:t>EOU assessment of  MTE report = 0.3*(G + H) + 0.1*(I+J+K+L)</w:t>
            </w:r>
          </w:p>
        </w:tc>
      </w:tr>
      <w:tr w:rsidR="00933570" w:rsidRPr="00E55813" w14:paraId="0CCA5A3F" w14:textId="77777777" w:rsidTr="009335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480" w:type="dxa"/>
            <w:shd w:val="clear" w:color="auto" w:fill="CCFFFF"/>
          </w:tcPr>
          <w:p w14:paraId="05E3BCB0" w14:textId="77777777" w:rsidR="00933570" w:rsidRPr="00E55813" w:rsidRDefault="00933570" w:rsidP="00933570">
            <w:pPr>
              <w:tabs>
                <w:tab w:val="left" w:pos="612"/>
              </w:tabs>
              <w:rPr>
                <w:b/>
                <w:sz w:val="22"/>
                <w:szCs w:val="22"/>
                <w:lang w:val="en-GB"/>
              </w:rPr>
            </w:pPr>
            <w:r w:rsidRPr="00E55813">
              <w:rPr>
                <w:b/>
                <w:sz w:val="22"/>
                <w:szCs w:val="22"/>
                <w:lang w:val="en-GB"/>
              </w:rPr>
              <w:t>Combined quality Rating = (2* ‘GEF EO’ rating + EOU rating)/3</w:t>
            </w:r>
          </w:p>
        </w:tc>
      </w:tr>
      <w:tr w:rsidR="00933570" w:rsidRPr="00E55813" w14:paraId="52462EA5" w14:textId="77777777" w:rsidTr="009335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480" w:type="dxa"/>
            <w:shd w:val="clear" w:color="auto" w:fill="CCFFFF"/>
          </w:tcPr>
          <w:p w14:paraId="49F4E01A" w14:textId="77777777" w:rsidR="00933570" w:rsidRPr="00E55813" w:rsidRDefault="00933570" w:rsidP="00933570">
            <w:pPr>
              <w:tabs>
                <w:tab w:val="left" w:pos="612"/>
              </w:tabs>
              <w:jc w:val="center"/>
              <w:rPr>
                <w:sz w:val="22"/>
                <w:szCs w:val="22"/>
                <w:lang w:val="en-GB"/>
              </w:rPr>
            </w:pPr>
            <w:r w:rsidRPr="00E55813">
              <w:rPr>
                <w:sz w:val="22"/>
                <w:szCs w:val="22"/>
                <w:lang w:val="en-GB"/>
              </w:rPr>
              <w:t>The Totals are rounded and converted to the scale of HS to HU</w:t>
            </w:r>
          </w:p>
        </w:tc>
      </w:tr>
    </w:tbl>
    <w:p w14:paraId="69784AAD" w14:textId="77777777" w:rsidR="00933570" w:rsidRPr="00E55813" w:rsidRDefault="00933570" w:rsidP="00933570">
      <w:pPr>
        <w:tabs>
          <w:tab w:val="left" w:pos="612"/>
        </w:tabs>
        <w:rPr>
          <w:sz w:val="22"/>
          <w:szCs w:val="22"/>
          <w:u w:val="single"/>
          <w:lang w:val="en-GB"/>
        </w:rPr>
      </w:pPr>
    </w:p>
    <w:p w14:paraId="46D5CDC7" w14:textId="77777777" w:rsidR="00933570" w:rsidRPr="00E55813" w:rsidRDefault="00933570" w:rsidP="00933570">
      <w:pPr>
        <w:tabs>
          <w:tab w:val="left" w:pos="612"/>
        </w:tabs>
        <w:rPr>
          <w:sz w:val="22"/>
          <w:szCs w:val="22"/>
          <w:u w:val="single"/>
          <w:lang w:val="en-GB"/>
        </w:rPr>
      </w:pPr>
      <w:r w:rsidRPr="00E55813">
        <w:rPr>
          <w:sz w:val="22"/>
          <w:szCs w:val="22"/>
          <w:u w:val="single"/>
          <w:lang w:val="en-GB"/>
        </w:rPr>
        <w:t>Rating system for quality of terminal evaluation reports</w:t>
      </w:r>
    </w:p>
    <w:p w14:paraId="13441999" w14:textId="77777777" w:rsidR="00933570" w:rsidRPr="00E55813" w:rsidRDefault="00933570" w:rsidP="00E071AC">
      <w:pPr>
        <w:numPr>
          <w:ilvl w:val="0"/>
          <w:numId w:val="44"/>
        </w:numPr>
        <w:autoSpaceDE w:val="0"/>
        <w:autoSpaceDN w:val="0"/>
        <w:adjustRightInd w:val="0"/>
        <w:spacing w:after="120"/>
        <w:rPr>
          <w:sz w:val="22"/>
          <w:szCs w:val="22"/>
          <w:lang w:val="en-GB"/>
        </w:rPr>
      </w:pPr>
      <w:r w:rsidRPr="00E55813">
        <w:rPr>
          <w:sz w:val="22"/>
          <w:szCs w:val="22"/>
          <w:lang w:val="en-GB"/>
        </w:rPr>
        <w:t xml:space="preserve">A number rating 1-6 is used for each criterion:  Highly Satisfactory = 6, Satisfactory = 5, Moderately Satisfactory = 4, Moderately Unsatisfactory = 3, Unsatisfactory = 2, Highly Unsatisfactory = 1, and unable to assess = 0. </w:t>
      </w:r>
    </w:p>
    <w:p w14:paraId="3696AEF1" w14:textId="77777777" w:rsidR="00933570" w:rsidRPr="00933570" w:rsidRDefault="00933570" w:rsidP="00933570">
      <w:pPr>
        <w:autoSpaceDE w:val="0"/>
        <w:autoSpaceDN w:val="0"/>
        <w:adjustRightInd w:val="0"/>
        <w:spacing w:after="120"/>
        <w:rPr>
          <w:sz w:val="20"/>
          <w:lang w:val="en-GB"/>
        </w:rPr>
      </w:pPr>
    </w:p>
    <w:p w14:paraId="4DC21B68" w14:textId="77777777" w:rsidR="00933570" w:rsidRPr="00E55813" w:rsidRDefault="00933570" w:rsidP="00933570">
      <w:pPr>
        <w:tabs>
          <w:tab w:val="left" w:pos="993"/>
        </w:tabs>
        <w:overflowPunct w:val="0"/>
        <w:autoSpaceDE w:val="0"/>
        <w:autoSpaceDN w:val="0"/>
        <w:adjustRightInd w:val="0"/>
        <w:spacing w:before="120" w:after="260" w:line="260" w:lineRule="atLeast"/>
        <w:jc w:val="both"/>
        <w:textAlignment w:val="baseline"/>
        <w:rPr>
          <w:i/>
          <w:sz w:val="22"/>
          <w:szCs w:val="22"/>
          <w:lang w:val="en-GB"/>
        </w:rPr>
      </w:pPr>
      <w:r w:rsidRPr="00933570">
        <w:rPr>
          <w:i/>
          <w:sz w:val="20"/>
          <w:szCs w:val="20"/>
          <w:lang w:val="en-GB"/>
        </w:rPr>
        <w:br w:type="page"/>
      </w:r>
      <w:r w:rsidRPr="00E55813">
        <w:rPr>
          <w:i/>
          <w:sz w:val="22"/>
          <w:szCs w:val="22"/>
          <w:lang w:val="en-GB"/>
        </w:rPr>
        <w:t>Annex 4 to Appendix 9</w:t>
      </w:r>
    </w:p>
    <w:p w14:paraId="2AA2460A" w14:textId="77777777" w:rsidR="00933570" w:rsidRPr="00E55813" w:rsidRDefault="00933570" w:rsidP="00933570">
      <w:pPr>
        <w:keepNext/>
        <w:spacing w:before="240" w:after="60"/>
        <w:jc w:val="center"/>
        <w:rPr>
          <w:b/>
          <w:bCs/>
          <w:i/>
          <w:iCs/>
          <w:sz w:val="22"/>
          <w:szCs w:val="22"/>
          <w:lang w:val="en-GB"/>
        </w:rPr>
      </w:pPr>
      <w:r w:rsidRPr="00E55813">
        <w:rPr>
          <w:b/>
          <w:bCs/>
          <w:i/>
          <w:iCs/>
          <w:sz w:val="22"/>
          <w:szCs w:val="22"/>
          <w:lang w:val="en-GB"/>
        </w:rPr>
        <w:t>GEF Minimum requirements for M&amp;E</w:t>
      </w:r>
    </w:p>
    <w:p w14:paraId="2E65BEA2" w14:textId="77777777" w:rsidR="00933570" w:rsidRPr="00E55813" w:rsidRDefault="00933570" w:rsidP="00933570">
      <w:pPr>
        <w:keepNext/>
        <w:spacing w:before="240" w:after="60"/>
        <w:rPr>
          <w:b/>
          <w:bCs/>
          <w:i/>
          <w:iCs/>
          <w:sz w:val="22"/>
          <w:szCs w:val="22"/>
          <w:lang w:val="en-GB"/>
        </w:rPr>
      </w:pPr>
      <w:r w:rsidRPr="00E55813">
        <w:rPr>
          <w:b/>
          <w:bCs/>
          <w:i/>
          <w:iCs/>
          <w:sz w:val="22"/>
          <w:szCs w:val="22"/>
          <w:lang w:val="en-GB"/>
        </w:rPr>
        <w:t>Minimum Requirement 1: Project Design of M&amp;E</w:t>
      </w:r>
      <w:r w:rsidRPr="00E55813">
        <w:rPr>
          <w:b/>
          <w:bCs/>
          <w:i/>
          <w:iCs/>
          <w:sz w:val="22"/>
          <w:szCs w:val="22"/>
          <w:vertAlign w:val="superscript"/>
          <w:lang w:val="en-GB"/>
        </w:rPr>
        <w:footnoteReference w:id="84"/>
      </w:r>
    </w:p>
    <w:p w14:paraId="104F0DE4" w14:textId="77777777" w:rsidR="00933570" w:rsidRPr="00E55813" w:rsidRDefault="00933570" w:rsidP="00933570">
      <w:pPr>
        <w:spacing w:after="120" w:line="336" w:lineRule="atLeast"/>
        <w:rPr>
          <w:sz w:val="22"/>
          <w:szCs w:val="22"/>
          <w:lang w:val="en-GB"/>
        </w:rPr>
      </w:pPr>
      <w:r w:rsidRPr="00E55813">
        <w:rPr>
          <w:sz w:val="22"/>
          <w:szCs w:val="22"/>
          <w:lang w:val="en-GB"/>
        </w:rPr>
        <w:t>All projects must include a concrete and fully budgeted monitoring and evaluation plan by the time of Work Program entry (full-sized projects) or CEO approval (medium-sized projects). This plan must contain at a minimum:</w:t>
      </w:r>
    </w:p>
    <w:p w14:paraId="43D4B0C8" w14:textId="77777777" w:rsidR="00933570" w:rsidRPr="00E55813" w:rsidRDefault="00933570" w:rsidP="00E071AC">
      <w:pPr>
        <w:numPr>
          <w:ilvl w:val="0"/>
          <w:numId w:val="48"/>
        </w:numPr>
        <w:spacing w:after="120" w:line="336" w:lineRule="atLeast"/>
        <w:rPr>
          <w:sz w:val="22"/>
          <w:szCs w:val="22"/>
          <w:lang w:val="en-GB"/>
        </w:rPr>
      </w:pPr>
      <w:r w:rsidRPr="00E55813">
        <w:rPr>
          <w:sz w:val="22"/>
          <w:szCs w:val="22"/>
          <w:lang w:val="en-GB"/>
        </w:rPr>
        <w:t>SMART (see below) indicators for project implementation, or, if no indicators are identified, an alternative plan for monitoring that will deliver reliable and valid information to management</w:t>
      </w:r>
    </w:p>
    <w:p w14:paraId="518EB109" w14:textId="77777777" w:rsidR="00933570" w:rsidRPr="00E55813" w:rsidRDefault="00933570" w:rsidP="00E071AC">
      <w:pPr>
        <w:numPr>
          <w:ilvl w:val="0"/>
          <w:numId w:val="48"/>
        </w:numPr>
        <w:spacing w:after="120" w:line="336" w:lineRule="atLeast"/>
        <w:rPr>
          <w:sz w:val="22"/>
          <w:szCs w:val="22"/>
          <w:lang w:val="en-GB"/>
        </w:rPr>
      </w:pPr>
      <w:r w:rsidRPr="00E55813">
        <w:rPr>
          <w:sz w:val="22"/>
          <w:szCs w:val="22"/>
          <w:lang w:val="en-GB"/>
        </w:rPr>
        <w:t>SMART indicators for results (outcomes and, if applicable, impacts), and, where appropriate, corporate-level indicators</w:t>
      </w:r>
    </w:p>
    <w:p w14:paraId="6A2A91F0" w14:textId="77777777" w:rsidR="00933570" w:rsidRPr="00E55813" w:rsidRDefault="00933570" w:rsidP="00E071AC">
      <w:pPr>
        <w:numPr>
          <w:ilvl w:val="0"/>
          <w:numId w:val="48"/>
        </w:numPr>
        <w:spacing w:after="120" w:line="336" w:lineRule="atLeast"/>
        <w:rPr>
          <w:sz w:val="22"/>
          <w:szCs w:val="22"/>
          <w:lang w:val="en-GB"/>
        </w:rPr>
      </w:pPr>
      <w:r w:rsidRPr="00E55813">
        <w:rPr>
          <w:sz w:val="22"/>
          <w:szCs w:val="22"/>
          <w:lang w:val="en-GB"/>
        </w:rPr>
        <w:t>A project baseline, with:</w:t>
      </w:r>
    </w:p>
    <w:p w14:paraId="7E2DA510" w14:textId="77777777" w:rsidR="00933570" w:rsidRPr="00E55813" w:rsidRDefault="00933570" w:rsidP="00E071AC">
      <w:pPr>
        <w:numPr>
          <w:ilvl w:val="0"/>
          <w:numId w:val="47"/>
        </w:numPr>
        <w:spacing w:after="120" w:line="336" w:lineRule="atLeast"/>
        <w:rPr>
          <w:sz w:val="22"/>
          <w:szCs w:val="22"/>
          <w:lang w:val="en-GB"/>
        </w:rPr>
      </w:pPr>
      <w:r w:rsidRPr="00E55813">
        <w:rPr>
          <w:sz w:val="22"/>
          <w:szCs w:val="22"/>
          <w:lang w:val="en-GB"/>
        </w:rPr>
        <w:t xml:space="preserve">a description of the problem to address </w:t>
      </w:r>
    </w:p>
    <w:p w14:paraId="382240D6" w14:textId="77777777" w:rsidR="00933570" w:rsidRPr="00E55813" w:rsidRDefault="00933570" w:rsidP="00E071AC">
      <w:pPr>
        <w:numPr>
          <w:ilvl w:val="0"/>
          <w:numId w:val="47"/>
        </w:numPr>
        <w:spacing w:after="120" w:line="336" w:lineRule="atLeast"/>
        <w:rPr>
          <w:sz w:val="22"/>
          <w:szCs w:val="22"/>
          <w:lang w:val="en-GB"/>
        </w:rPr>
      </w:pPr>
      <w:r w:rsidRPr="00E55813">
        <w:rPr>
          <w:sz w:val="22"/>
          <w:szCs w:val="22"/>
          <w:lang w:val="en-GB"/>
        </w:rPr>
        <w:t>indicator data</w:t>
      </w:r>
    </w:p>
    <w:p w14:paraId="151E2C7C" w14:textId="77777777" w:rsidR="00933570" w:rsidRPr="00E55813" w:rsidRDefault="00933570" w:rsidP="00E071AC">
      <w:pPr>
        <w:numPr>
          <w:ilvl w:val="0"/>
          <w:numId w:val="47"/>
        </w:numPr>
        <w:spacing w:after="120" w:line="336" w:lineRule="atLeast"/>
        <w:rPr>
          <w:sz w:val="22"/>
          <w:szCs w:val="22"/>
          <w:lang w:val="en-GB"/>
        </w:rPr>
      </w:pPr>
      <w:r w:rsidRPr="00E55813">
        <w:rPr>
          <w:sz w:val="22"/>
          <w:szCs w:val="22"/>
          <w:lang w:val="en-GB"/>
        </w:rPr>
        <w:t xml:space="preserve">or, if major baseline indicators are not identified, an alternative plan for addressing this within one year of implementation </w:t>
      </w:r>
    </w:p>
    <w:p w14:paraId="419D4340" w14:textId="77777777" w:rsidR="00933570" w:rsidRPr="00E55813" w:rsidRDefault="00933570" w:rsidP="00E071AC">
      <w:pPr>
        <w:numPr>
          <w:ilvl w:val="0"/>
          <w:numId w:val="48"/>
        </w:numPr>
        <w:spacing w:after="120" w:line="336" w:lineRule="atLeast"/>
        <w:rPr>
          <w:sz w:val="22"/>
          <w:szCs w:val="22"/>
          <w:lang w:val="en-GB"/>
        </w:rPr>
      </w:pPr>
      <w:r w:rsidRPr="00E55813">
        <w:rPr>
          <w:sz w:val="22"/>
          <w:szCs w:val="22"/>
          <w:lang w:val="en-GB"/>
        </w:rPr>
        <w:t>An M&amp;E Plan with identification of reviews and evaluations which will be undertaken, such as mid-term reviews or evaluations of activities</w:t>
      </w:r>
    </w:p>
    <w:p w14:paraId="4929BC8D" w14:textId="77777777" w:rsidR="00933570" w:rsidRPr="00E55813" w:rsidRDefault="00933570" w:rsidP="00E071AC">
      <w:pPr>
        <w:numPr>
          <w:ilvl w:val="0"/>
          <w:numId w:val="48"/>
        </w:numPr>
        <w:spacing w:after="120" w:line="336" w:lineRule="atLeast"/>
        <w:rPr>
          <w:sz w:val="22"/>
          <w:szCs w:val="22"/>
          <w:lang w:val="en-GB"/>
        </w:rPr>
      </w:pPr>
      <w:r w:rsidRPr="00E55813">
        <w:rPr>
          <w:sz w:val="22"/>
          <w:szCs w:val="22"/>
          <w:lang w:val="en-GB"/>
        </w:rPr>
        <w:t>An organizational setup and budgets for monitoring and evaluation.</w:t>
      </w:r>
    </w:p>
    <w:p w14:paraId="61333FF1" w14:textId="77777777" w:rsidR="00933570" w:rsidRPr="00E55813" w:rsidRDefault="00933570" w:rsidP="00933570">
      <w:pPr>
        <w:keepNext/>
        <w:spacing w:before="240" w:after="60"/>
        <w:rPr>
          <w:b/>
          <w:bCs/>
          <w:i/>
          <w:iCs/>
          <w:sz w:val="22"/>
          <w:szCs w:val="22"/>
          <w:lang w:val="en-GB"/>
        </w:rPr>
      </w:pPr>
      <w:r w:rsidRPr="00E55813">
        <w:rPr>
          <w:b/>
          <w:bCs/>
          <w:i/>
          <w:iCs/>
          <w:sz w:val="22"/>
          <w:szCs w:val="22"/>
          <w:lang w:val="en-GB"/>
        </w:rPr>
        <w:t>Minimum Requirement 2: Application of Project M&amp;E</w:t>
      </w:r>
    </w:p>
    <w:p w14:paraId="0628EEC6" w14:textId="77777777" w:rsidR="00933570" w:rsidRPr="00E55813" w:rsidRDefault="00933570" w:rsidP="00933570">
      <w:pPr>
        <w:rPr>
          <w:sz w:val="22"/>
          <w:szCs w:val="22"/>
          <w:lang w:val="en-GB"/>
        </w:rPr>
      </w:pPr>
    </w:p>
    <w:p w14:paraId="6B5CDCD2" w14:textId="77777777" w:rsidR="00933570" w:rsidRPr="00E55813" w:rsidRDefault="00933570" w:rsidP="00E071AC">
      <w:pPr>
        <w:numPr>
          <w:ilvl w:val="0"/>
          <w:numId w:val="48"/>
        </w:numPr>
        <w:spacing w:after="120" w:line="336" w:lineRule="atLeast"/>
        <w:rPr>
          <w:sz w:val="22"/>
          <w:szCs w:val="22"/>
          <w:lang w:val="en-GB"/>
        </w:rPr>
      </w:pPr>
      <w:r w:rsidRPr="00E55813">
        <w:rPr>
          <w:sz w:val="22"/>
          <w:szCs w:val="22"/>
          <w:lang w:val="en-GB"/>
        </w:rPr>
        <w:t>Project monitoring and supervision will include implementation of the M&amp;E plan, comprising:</w:t>
      </w:r>
    </w:p>
    <w:p w14:paraId="64905BA6" w14:textId="77777777" w:rsidR="00933570" w:rsidRPr="00E55813" w:rsidRDefault="00933570" w:rsidP="00E071AC">
      <w:pPr>
        <w:numPr>
          <w:ilvl w:val="0"/>
          <w:numId w:val="48"/>
        </w:numPr>
        <w:spacing w:after="120" w:line="336" w:lineRule="atLeast"/>
        <w:rPr>
          <w:sz w:val="22"/>
          <w:szCs w:val="22"/>
          <w:lang w:val="en-GB"/>
        </w:rPr>
      </w:pPr>
      <w:r w:rsidRPr="00E55813">
        <w:rPr>
          <w:sz w:val="22"/>
          <w:szCs w:val="22"/>
          <w:lang w:val="en-GB"/>
        </w:rPr>
        <w:t>Use of SMART indicators for implementation (or provision of a reasonable explanation if not used)</w:t>
      </w:r>
    </w:p>
    <w:p w14:paraId="1118D6C9" w14:textId="77777777" w:rsidR="00933570" w:rsidRPr="00E55813" w:rsidRDefault="00933570" w:rsidP="00E071AC">
      <w:pPr>
        <w:numPr>
          <w:ilvl w:val="0"/>
          <w:numId w:val="48"/>
        </w:numPr>
        <w:spacing w:after="120" w:line="336" w:lineRule="atLeast"/>
        <w:rPr>
          <w:sz w:val="22"/>
          <w:szCs w:val="22"/>
          <w:lang w:val="en-GB"/>
        </w:rPr>
      </w:pPr>
      <w:r w:rsidRPr="00E55813">
        <w:rPr>
          <w:sz w:val="22"/>
          <w:szCs w:val="22"/>
          <w:lang w:val="en-GB"/>
        </w:rPr>
        <w:t>Use of SMART indicators for results (or provision of a reasonable explanation if not used)</w:t>
      </w:r>
    </w:p>
    <w:p w14:paraId="00F48A95" w14:textId="77777777" w:rsidR="00933570" w:rsidRPr="00E55813" w:rsidRDefault="00933570" w:rsidP="00E071AC">
      <w:pPr>
        <w:numPr>
          <w:ilvl w:val="0"/>
          <w:numId w:val="48"/>
        </w:numPr>
        <w:spacing w:after="120" w:line="336" w:lineRule="atLeast"/>
        <w:rPr>
          <w:sz w:val="22"/>
          <w:szCs w:val="22"/>
          <w:lang w:val="en-GB"/>
        </w:rPr>
      </w:pPr>
      <w:r w:rsidRPr="00E55813">
        <w:rPr>
          <w:sz w:val="22"/>
          <w:szCs w:val="22"/>
          <w:lang w:val="en-GB"/>
        </w:rPr>
        <w:t>Fully established baseline for the project and data compiled to review progress</w:t>
      </w:r>
    </w:p>
    <w:p w14:paraId="40751407" w14:textId="77777777" w:rsidR="00933570" w:rsidRPr="00E55813" w:rsidRDefault="00933570" w:rsidP="00E071AC">
      <w:pPr>
        <w:numPr>
          <w:ilvl w:val="0"/>
          <w:numId w:val="48"/>
        </w:numPr>
        <w:spacing w:after="120" w:line="336" w:lineRule="atLeast"/>
        <w:rPr>
          <w:sz w:val="22"/>
          <w:szCs w:val="22"/>
          <w:lang w:val="en-GB"/>
        </w:rPr>
      </w:pPr>
      <w:r w:rsidRPr="00E55813">
        <w:rPr>
          <w:sz w:val="22"/>
          <w:szCs w:val="22"/>
          <w:lang w:val="en-GB"/>
        </w:rPr>
        <w:t>Evaluations are undertaken as planned</w:t>
      </w:r>
    </w:p>
    <w:p w14:paraId="668E163A" w14:textId="77777777" w:rsidR="00933570" w:rsidRPr="00E55813" w:rsidRDefault="00933570" w:rsidP="00E071AC">
      <w:pPr>
        <w:numPr>
          <w:ilvl w:val="0"/>
          <w:numId w:val="48"/>
        </w:numPr>
        <w:spacing w:after="120" w:line="336" w:lineRule="atLeast"/>
        <w:rPr>
          <w:sz w:val="22"/>
          <w:szCs w:val="22"/>
          <w:lang w:val="en-GB"/>
        </w:rPr>
      </w:pPr>
      <w:r w:rsidRPr="00E55813">
        <w:rPr>
          <w:sz w:val="22"/>
          <w:szCs w:val="22"/>
          <w:lang w:val="en-GB"/>
        </w:rPr>
        <w:t>Operational organizational setup for M&amp;E and budgets spent as planned.</w:t>
      </w:r>
    </w:p>
    <w:p w14:paraId="73F79186" w14:textId="77777777" w:rsidR="00933570" w:rsidRPr="00E55813" w:rsidRDefault="00933570" w:rsidP="00933570">
      <w:pPr>
        <w:spacing w:after="120" w:line="336" w:lineRule="atLeast"/>
        <w:rPr>
          <w:sz w:val="22"/>
          <w:szCs w:val="22"/>
          <w:lang w:val="en-GB"/>
        </w:rPr>
      </w:pPr>
      <w:r w:rsidRPr="00E55813">
        <w:rPr>
          <w:b/>
          <w:sz w:val="22"/>
          <w:szCs w:val="22"/>
          <w:lang w:val="en-GB"/>
        </w:rPr>
        <w:t>SMART INDICATORS</w:t>
      </w:r>
      <w:r w:rsidRPr="00E55813">
        <w:rPr>
          <w:sz w:val="22"/>
          <w:szCs w:val="22"/>
          <w:lang w:val="en-GB"/>
        </w:rPr>
        <w:t xml:space="preserve"> GEF projects and programs should monitor using relevant performance indicators. The monitoring system should be “SMART”: </w:t>
      </w:r>
    </w:p>
    <w:p w14:paraId="7B96B571" w14:textId="77777777" w:rsidR="00933570" w:rsidRPr="00E55813" w:rsidRDefault="00933570" w:rsidP="00E071AC">
      <w:pPr>
        <w:numPr>
          <w:ilvl w:val="0"/>
          <w:numId w:val="46"/>
        </w:numPr>
        <w:spacing w:line="336" w:lineRule="atLeast"/>
        <w:rPr>
          <w:sz w:val="22"/>
          <w:szCs w:val="22"/>
          <w:lang w:val="en-GB"/>
        </w:rPr>
      </w:pPr>
      <w:r w:rsidRPr="00E55813">
        <w:rPr>
          <w:b/>
          <w:bCs/>
          <w:sz w:val="22"/>
          <w:szCs w:val="22"/>
          <w:lang w:val="en-GB"/>
        </w:rPr>
        <w:t>Specific</w:t>
      </w:r>
      <w:r w:rsidRPr="00E55813">
        <w:rPr>
          <w:sz w:val="22"/>
          <w:szCs w:val="22"/>
          <w:lang w:val="en-GB"/>
        </w:rPr>
        <w:t xml:space="preserve">: The system captures the essence of the desired result by clearly and directly relating to achieving an objective, and only that objective. </w:t>
      </w:r>
    </w:p>
    <w:p w14:paraId="5FBBA251" w14:textId="77777777" w:rsidR="00933570" w:rsidRPr="00E55813" w:rsidRDefault="00933570" w:rsidP="00E071AC">
      <w:pPr>
        <w:numPr>
          <w:ilvl w:val="0"/>
          <w:numId w:val="46"/>
        </w:numPr>
        <w:spacing w:line="336" w:lineRule="atLeast"/>
        <w:rPr>
          <w:bCs/>
          <w:sz w:val="22"/>
          <w:szCs w:val="22"/>
          <w:lang w:val="en-GB"/>
        </w:rPr>
      </w:pPr>
      <w:r w:rsidRPr="00E55813">
        <w:rPr>
          <w:b/>
          <w:bCs/>
          <w:sz w:val="22"/>
          <w:szCs w:val="22"/>
          <w:lang w:val="en-GB"/>
        </w:rPr>
        <w:t xml:space="preserve">Measurable: </w:t>
      </w:r>
      <w:r w:rsidRPr="00E55813">
        <w:rPr>
          <w:bCs/>
          <w:sz w:val="22"/>
          <w:szCs w:val="22"/>
          <w:lang w:val="en-GB"/>
        </w:rPr>
        <w:t xml:space="preserve">The monitoring system and its indicators are unambiguously specified so that all parties agree on what the system covers and there are practical ways to measure the indicators and results. </w:t>
      </w:r>
    </w:p>
    <w:p w14:paraId="3C4ED76A" w14:textId="77777777" w:rsidR="00933570" w:rsidRPr="00E55813" w:rsidRDefault="00933570" w:rsidP="00E071AC">
      <w:pPr>
        <w:numPr>
          <w:ilvl w:val="0"/>
          <w:numId w:val="46"/>
        </w:numPr>
        <w:spacing w:line="336" w:lineRule="atLeast"/>
        <w:rPr>
          <w:bCs/>
          <w:sz w:val="22"/>
          <w:szCs w:val="22"/>
          <w:lang w:val="en-GB"/>
        </w:rPr>
      </w:pPr>
      <w:r w:rsidRPr="00E55813">
        <w:rPr>
          <w:b/>
          <w:bCs/>
          <w:sz w:val="22"/>
          <w:szCs w:val="22"/>
          <w:lang w:val="en-GB"/>
        </w:rPr>
        <w:t xml:space="preserve">Achievable and Attributable: </w:t>
      </w:r>
      <w:r w:rsidRPr="00E55813">
        <w:rPr>
          <w:bCs/>
          <w:sz w:val="22"/>
          <w:szCs w:val="22"/>
          <w:lang w:val="en-GB"/>
        </w:rPr>
        <w:t>The system identifies what changes are anticipated as a result of the intervention and whether the result(s) are realistic. Attribution requires that changes in the targeted developmental issue can be linked to the intervention.</w:t>
      </w:r>
    </w:p>
    <w:p w14:paraId="37AADD1E" w14:textId="77777777" w:rsidR="00933570" w:rsidRPr="00E55813" w:rsidRDefault="00933570" w:rsidP="00E071AC">
      <w:pPr>
        <w:numPr>
          <w:ilvl w:val="0"/>
          <w:numId w:val="46"/>
        </w:numPr>
        <w:spacing w:line="336" w:lineRule="atLeast"/>
        <w:rPr>
          <w:bCs/>
          <w:sz w:val="22"/>
          <w:szCs w:val="22"/>
          <w:lang w:val="en-GB"/>
        </w:rPr>
      </w:pPr>
      <w:r w:rsidRPr="00E55813">
        <w:rPr>
          <w:b/>
          <w:bCs/>
          <w:sz w:val="22"/>
          <w:szCs w:val="22"/>
          <w:lang w:val="en-GB"/>
        </w:rPr>
        <w:t xml:space="preserve">Relevant and Realistic: </w:t>
      </w:r>
      <w:r w:rsidRPr="00E55813">
        <w:rPr>
          <w:bCs/>
          <w:sz w:val="22"/>
          <w:szCs w:val="22"/>
          <w:lang w:val="en-GB"/>
        </w:rPr>
        <w:t>The system establishes levels of performance that are likely to be achieved in a practical manner, and that reflect the expectations of stakeholders.</w:t>
      </w:r>
    </w:p>
    <w:p w14:paraId="30F1990C" w14:textId="77777777" w:rsidR="00933570" w:rsidRPr="00E55813" w:rsidRDefault="00933570" w:rsidP="00E071AC">
      <w:pPr>
        <w:numPr>
          <w:ilvl w:val="0"/>
          <w:numId w:val="46"/>
        </w:numPr>
        <w:spacing w:before="100" w:beforeAutospacing="1" w:after="120" w:line="336" w:lineRule="atLeast"/>
        <w:rPr>
          <w:bCs/>
          <w:sz w:val="22"/>
          <w:szCs w:val="22"/>
          <w:lang w:val="en-GB"/>
        </w:rPr>
      </w:pPr>
      <w:r w:rsidRPr="00E55813">
        <w:rPr>
          <w:b/>
          <w:bCs/>
          <w:sz w:val="22"/>
          <w:szCs w:val="22"/>
          <w:lang w:val="en-GB"/>
        </w:rPr>
        <w:t xml:space="preserve">Time-bound, Timely, Trackable, and Targeted: </w:t>
      </w:r>
      <w:r w:rsidRPr="00E55813">
        <w:rPr>
          <w:bCs/>
          <w:sz w:val="22"/>
          <w:szCs w:val="22"/>
          <w:lang w:val="en-GB"/>
        </w:rPr>
        <w:t>The system allows progress to be tracked in a cost-effective manner at desired frequency for a set period, with clear identification of the particular stakeholder group to be impacted by the</w:t>
      </w:r>
      <w:r w:rsidRPr="00E55813">
        <w:rPr>
          <w:b/>
          <w:sz w:val="22"/>
          <w:szCs w:val="22"/>
          <w:lang w:val="en-GB"/>
        </w:rPr>
        <w:t xml:space="preserve"> </w:t>
      </w:r>
      <w:r w:rsidRPr="00E55813">
        <w:rPr>
          <w:bCs/>
          <w:sz w:val="22"/>
          <w:szCs w:val="22"/>
          <w:lang w:val="en-GB"/>
        </w:rPr>
        <w:t>project or program.</w:t>
      </w:r>
    </w:p>
    <w:p w14:paraId="3F893056" w14:textId="77777777" w:rsidR="00933570" w:rsidRPr="00E55813" w:rsidRDefault="00933570" w:rsidP="00E55813">
      <w:pPr>
        <w:rPr>
          <w:i/>
          <w:lang w:val="en-GB"/>
        </w:rPr>
        <w:sectPr w:rsidR="00933570" w:rsidRPr="00E55813" w:rsidSect="00064925">
          <w:pgSz w:w="12240" w:h="15840" w:code="1"/>
          <w:pgMar w:top="1440" w:right="1584" w:bottom="1440" w:left="1584" w:header="706" w:footer="706" w:gutter="0"/>
          <w:cols w:space="708"/>
          <w:docGrid w:linePitch="360"/>
        </w:sectPr>
      </w:pPr>
    </w:p>
    <w:p w14:paraId="0D1017F4" w14:textId="77777777" w:rsidR="00297F30" w:rsidRDefault="00F07F81" w:rsidP="00DC77E7">
      <w:pPr>
        <w:spacing w:after="120"/>
        <w:jc w:val="center"/>
        <w:outlineLvl w:val="1"/>
        <w:rPr>
          <w:b/>
          <w:sz w:val="22"/>
          <w:szCs w:val="22"/>
          <w:lang w:val="en-GB"/>
        </w:rPr>
      </w:pPr>
      <w:bookmarkStart w:id="110" w:name="_Toc209432681"/>
      <w:r>
        <w:rPr>
          <w:b/>
          <w:sz w:val="22"/>
          <w:szCs w:val="22"/>
          <w:lang w:val="en-GB"/>
        </w:rPr>
        <w:t>Appendix 10:</w:t>
      </w:r>
      <w:r>
        <w:rPr>
          <w:b/>
          <w:sz w:val="22"/>
          <w:szCs w:val="22"/>
          <w:lang w:val="en-GB"/>
        </w:rPr>
        <w:tab/>
        <w:t xml:space="preserve">Decision-making flowchart and </w:t>
      </w:r>
      <w:bookmarkEnd w:id="110"/>
      <w:r>
        <w:rPr>
          <w:b/>
          <w:sz w:val="22"/>
          <w:szCs w:val="22"/>
          <w:lang w:val="en-GB"/>
        </w:rPr>
        <w:t>organizational chart</w:t>
      </w:r>
    </w:p>
    <w:p w14:paraId="3D73B4C5" w14:textId="77777777" w:rsidR="00297F30" w:rsidRPr="00B91E7E" w:rsidRDefault="00297F30" w:rsidP="00297F30">
      <w:pPr>
        <w:spacing w:after="120"/>
        <w:rPr>
          <w:b/>
          <w:i/>
          <w:sz w:val="22"/>
          <w:szCs w:val="22"/>
          <w:lang w:val="en-GB"/>
        </w:rPr>
      </w:pPr>
      <w:r w:rsidRPr="00B91E7E">
        <w:rPr>
          <w:b/>
          <w:i/>
          <w:sz w:val="22"/>
          <w:szCs w:val="22"/>
          <w:lang w:val="en-GB"/>
        </w:rPr>
        <w:t>Regional Coordination</w:t>
      </w:r>
    </w:p>
    <w:p w14:paraId="1AEACE33" w14:textId="77777777" w:rsidR="00297F30" w:rsidRDefault="00297F30" w:rsidP="00297F30">
      <w:pPr>
        <w:spacing w:after="120"/>
        <w:jc w:val="both"/>
        <w:rPr>
          <w:sz w:val="22"/>
          <w:szCs w:val="22"/>
          <w:lang w:val="en-GB"/>
        </w:rPr>
      </w:pPr>
      <w:r w:rsidRPr="00B91E7E">
        <w:rPr>
          <w:sz w:val="22"/>
          <w:szCs w:val="22"/>
          <w:lang w:val="en-GB"/>
        </w:rPr>
        <w:t xml:space="preserve">The COBSEA Secretariat shall serve as the GEF Regional Executing Agency within which a South China Sea Strategic Action Programme Implementation Unit (SAP-IU) shall be established. The SAP-IU shall have responsibility for the day-to-day management of project activities, and oversight of SAP implementation, including liaison with the National Focal Ministries (ministries responsible for environmental matters), the Specialised Executing Agencies at national level and other partners involved in SAP implementation. </w:t>
      </w:r>
    </w:p>
    <w:p w14:paraId="3CF52BD5" w14:textId="77777777" w:rsidR="00297F30" w:rsidRPr="00F91284" w:rsidRDefault="00297F30" w:rsidP="00297F30">
      <w:pPr>
        <w:spacing w:after="120"/>
        <w:jc w:val="both"/>
        <w:rPr>
          <w:sz w:val="22"/>
          <w:szCs w:val="22"/>
          <w:lang w:val="en-GB"/>
        </w:rPr>
      </w:pPr>
      <w:r w:rsidRPr="00F91284">
        <w:rPr>
          <w:sz w:val="22"/>
          <w:szCs w:val="22"/>
          <w:lang w:val="en-GB"/>
        </w:rPr>
        <w:t>The work of the SAP-IU shall be directed by a permanent sub-committee of COBSEA entitled the South China Sea Strategic Action Programme, Implementation Committee (SAP-IC) which shall meet annually and have overall responsibility for the implementation of the SAP and decisions regarding project work plans, timetables, budgets and expenditure</w:t>
      </w:r>
      <w:r w:rsidRPr="00F91284">
        <w:rPr>
          <w:rStyle w:val="FootnoteReference"/>
          <w:sz w:val="22"/>
          <w:szCs w:val="22"/>
          <w:lang w:val="en-GB"/>
        </w:rPr>
        <w:footnoteReference w:id="85"/>
      </w:r>
      <w:r w:rsidRPr="00F91284">
        <w:rPr>
          <w:sz w:val="22"/>
          <w:szCs w:val="22"/>
          <w:lang w:val="en-GB"/>
        </w:rPr>
        <w:t>. The SAP-IC shall receive advice and recommendations on scientific and technical matters from a Regional Scientific and Technical Committee (RSTC) composed of National Technical Focal Points, the Chairpersons of the regional working groups and task forces together with the up to six experts resident in the region. The RSTC in turn shall receive advice and recommendations from the participating countries and the regional bodies and endeavour to secure consensus on scientific and technical matters before advising the SAP-IC on future courses of action.</w:t>
      </w:r>
    </w:p>
    <w:p w14:paraId="249F51CA" w14:textId="77777777" w:rsidR="00297F30" w:rsidRDefault="00297F30" w:rsidP="00297F30">
      <w:pPr>
        <w:spacing w:after="120"/>
        <w:jc w:val="both"/>
        <w:rPr>
          <w:sz w:val="22"/>
          <w:szCs w:val="22"/>
          <w:lang w:val="en-GB"/>
        </w:rPr>
      </w:pPr>
      <w:r w:rsidRPr="00B91E7E">
        <w:rPr>
          <w:sz w:val="22"/>
          <w:szCs w:val="22"/>
          <w:lang w:val="en-GB"/>
        </w:rPr>
        <w:t>The work of each component and sub-component shall be guided by a regional working group or task force composed of the focal points from each participating country, an appropriate member of the SAP-IU and up to three experts resident in the region. The regional working groups and task forces shall advise the national committees and working groups on the content and timing of the programme of work and make recommendations to the RSTC regarding developments and outcomes from the work of the component or sub-component for which they are responsible.</w:t>
      </w:r>
    </w:p>
    <w:p w14:paraId="0F1169D5" w14:textId="77777777" w:rsidR="00297F30" w:rsidRPr="00B91E7E" w:rsidRDefault="00297F30" w:rsidP="00297F30">
      <w:pPr>
        <w:spacing w:after="120"/>
        <w:jc w:val="both"/>
        <w:rPr>
          <w:b/>
          <w:i/>
          <w:sz w:val="22"/>
          <w:szCs w:val="22"/>
          <w:lang w:val="en-GB"/>
        </w:rPr>
      </w:pPr>
      <w:r w:rsidRPr="00B91E7E">
        <w:rPr>
          <w:b/>
          <w:i/>
          <w:sz w:val="22"/>
          <w:szCs w:val="22"/>
          <w:lang w:val="en-GB"/>
        </w:rPr>
        <w:t>National Coordination</w:t>
      </w:r>
    </w:p>
    <w:p w14:paraId="2A15D3BE" w14:textId="77777777" w:rsidR="00297F30" w:rsidRDefault="00297F30" w:rsidP="00297F30">
      <w:pPr>
        <w:spacing w:after="120"/>
        <w:jc w:val="both"/>
        <w:rPr>
          <w:sz w:val="22"/>
          <w:szCs w:val="22"/>
          <w:lang w:val="en-GB"/>
        </w:rPr>
      </w:pPr>
      <w:r w:rsidRPr="00B91E7E">
        <w:rPr>
          <w:sz w:val="22"/>
          <w:szCs w:val="22"/>
          <w:lang w:val="en-GB"/>
        </w:rPr>
        <w:t>The ministry in each country responsible for environmental matters shall serve as the National Focal Ministry and the Minister concerned shall designate a high level official as the National Focal Point of the Project. In addition the Focal Ministry shall designate a National Technical Focal Point (NTFP) who shall be a senior operational level individual with comprehensive knowledge and experience in marine environmental affairs.</w:t>
      </w:r>
    </w:p>
    <w:p w14:paraId="2268DED1" w14:textId="77777777" w:rsidR="00297F30" w:rsidRDefault="00297F30" w:rsidP="00297F30">
      <w:pPr>
        <w:spacing w:after="120"/>
        <w:jc w:val="both"/>
        <w:rPr>
          <w:sz w:val="22"/>
          <w:szCs w:val="22"/>
          <w:lang w:val="en-GB"/>
        </w:rPr>
      </w:pPr>
      <w:r w:rsidRPr="00B91E7E">
        <w:rPr>
          <w:sz w:val="22"/>
          <w:szCs w:val="22"/>
          <w:lang w:val="en-GB"/>
        </w:rPr>
        <w:t>The National Focal Point shall convene periodic meetings of the Inter-Ministry Committee (IMC) to consider the implications of SAP implementation for ministries having interests in and responsibility for different areas of maritime affairs and to secure consensus on actions to be taken at the national level. The Inter-Ministry Committee shall receive advice and recommendations on scientific and technical matters from the National Technical Working Group (NTWG) composed of the focal points for each component and sub-component, representatives from appropriate government departments and other experts as considered necessary.</w:t>
      </w:r>
    </w:p>
    <w:p w14:paraId="2C38B3A5" w14:textId="77777777" w:rsidR="00BA7B99" w:rsidRDefault="00297F30" w:rsidP="00297F30">
      <w:pPr>
        <w:spacing w:after="120"/>
        <w:jc w:val="both"/>
        <w:rPr>
          <w:sz w:val="22"/>
          <w:szCs w:val="22"/>
          <w:lang w:val="en-GB"/>
        </w:rPr>
        <w:sectPr w:rsidR="00BA7B99" w:rsidSect="00064925">
          <w:pgSz w:w="12240" w:h="15840" w:code="1"/>
          <w:pgMar w:top="1440" w:right="1584" w:bottom="1440" w:left="1584" w:header="706" w:footer="706" w:gutter="0"/>
          <w:cols w:space="708"/>
          <w:docGrid w:linePitch="360"/>
        </w:sectPr>
      </w:pPr>
      <w:r w:rsidRPr="00B91E7E">
        <w:rPr>
          <w:sz w:val="22"/>
          <w:szCs w:val="22"/>
          <w:lang w:val="en-GB"/>
        </w:rPr>
        <w:t>At the national level the work of each component and sub-component shall be guided by a national committee or task force chaired by the designated focal point which shall meet quarterly to: oversee the work; provide inputs to the NTWG regarding progress and the content and timing of activities; and to provide the required inputs to the regional level via the appropriate regional working group or task force</w:t>
      </w:r>
      <w:r>
        <w:rPr>
          <w:sz w:val="22"/>
          <w:szCs w:val="22"/>
          <w:lang w:val="en-GB"/>
        </w:rPr>
        <w:t xml:space="preserve">. </w:t>
      </w:r>
    </w:p>
    <w:p w14:paraId="165091DE" w14:textId="77777777" w:rsidR="00297F30" w:rsidRDefault="00297F30" w:rsidP="00297F30">
      <w:pPr>
        <w:spacing w:after="120"/>
        <w:jc w:val="both"/>
        <w:rPr>
          <w:sz w:val="22"/>
          <w:szCs w:val="22"/>
          <w:lang w:val="en-GB"/>
        </w:rPr>
      </w:pPr>
    </w:p>
    <w:p w14:paraId="2BF8ABB8" w14:textId="77777777" w:rsidR="00BA7B99" w:rsidRDefault="00BA7B99" w:rsidP="00297F30">
      <w:pPr>
        <w:spacing w:after="120"/>
        <w:jc w:val="both"/>
        <w:rPr>
          <w:sz w:val="22"/>
          <w:szCs w:val="22"/>
          <w:lang w:val="en-GB"/>
        </w:rPr>
      </w:pPr>
    </w:p>
    <w:p w14:paraId="7DE082EA" w14:textId="77777777" w:rsidR="00BA7B99" w:rsidRDefault="00BA7B99" w:rsidP="00297F30">
      <w:pPr>
        <w:spacing w:after="120"/>
        <w:jc w:val="both"/>
        <w:rPr>
          <w:sz w:val="22"/>
          <w:szCs w:val="22"/>
          <w:lang w:val="en-GB"/>
        </w:rPr>
      </w:pPr>
    </w:p>
    <w:p w14:paraId="290B3961" w14:textId="52F21C6F" w:rsidR="00297F30" w:rsidRDefault="000741FA" w:rsidP="00297F30">
      <w:pPr>
        <w:spacing w:after="120"/>
        <w:jc w:val="both"/>
        <w:rPr>
          <w:sz w:val="22"/>
          <w:szCs w:val="22"/>
          <w:lang w:val="en-GB"/>
        </w:rPr>
      </w:pPr>
      <w:r>
        <w:rPr>
          <w:noProof/>
          <w:sz w:val="22"/>
          <w:szCs w:val="22"/>
          <w:lang w:val="en-GB"/>
        </w:rPr>
        <w:drawing>
          <wp:inline distT="0" distB="0" distL="0" distR="0" wp14:anchorId="10D2B5DB" wp14:editId="20721090">
            <wp:extent cx="8223250" cy="37020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223250" cy="3702050"/>
                    </a:xfrm>
                    <a:prstGeom prst="rect">
                      <a:avLst/>
                    </a:prstGeom>
                    <a:noFill/>
                    <a:ln>
                      <a:noFill/>
                    </a:ln>
                  </pic:spPr>
                </pic:pic>
              </a:graphicData>
            </a:graphic>
          </wp:inline>
        </w:drawing>
      </w:r>
    </w:p>
    <w:p w14:paraId="2EA50725" w14:textId="77777777" w:rsidR="00297F30" w:rsidRDefault="00297F30" w:rsidP="00297F30">
      <w:pPr>
        <w:spacing w:after="120"/>
        <w:jc w:val="both"/>
        <w:rPr>
          <w:sz w:val="22"/>
          <w:szCs w:val="22"/>
          <w:lang w:val="en-GB"/>
        </w:rPr>
      </w:pPr>
    </w:p>
    <w:p w14:paraId="0C0FE62B" w14:textId="77777777" w:rsidR="00297F30" w:rsidRPr="006941D1" w:rsidRDefault="00297F30" w:rsidP="00297F30">
      <w:pPr>
        <w:spacing w:after="120"/>
        <w:jc w:val="both"/>
        <w:rPr>
          <w:sz w:val="21"/>
          <w:szCs w:val="21"/>
        </w:rPr>
      </w:pPr>
      <w:r w:rsidRPr="006941D1">
        <w:rPr>
          <w:b/>
          <w:sz w:val="21"/>
          <w:szCs w:val="21"/>
        </w:rPr>
        <w:t>Figure 1</w:t>
      </w:r>
      <w:r w:rsidRPr="006941D1">
        <w:rPr>
          <w:b/>
          <w:sz w:val="21"/>
          <w:szCs w:val="21"/>
        </w:rPr>
        <w:tab/>
      </w:r>
      <w:r w:rsidR="007C6458">
        <w:rPr>
          <w:sz w:val="21"/>
          <w:szCs w:val="21"/>
        </w:rPr>
        <w:t>Project Management Framework (I</w:t>
      </w:r>
      <w:r w:rsidR="00BA7B99" w:rsidRPr="00BA7B99">
        <w:rPr>
          <w:sz w:val="21"/>
          <w:szCs w:val="21"/>
        </w:rPr>
        <w:t>M</w:t>
      </w:r>
      <w:r w:rsidR="007C6458">
        <w:rPr>
          <w:sz w:val="21"/>
          <w:szCs w:val="21"/>
        </w:rPr>
        <w:t>C</w:t>
      </w:r>
      <w:r w:rsidR="00BA7B99" w:rsidRPr="00BA7B99">
        <w:rPr>
          <w:sz w:val="21"/>
          <w:szCs w:val="21"/>
        </w:rPr>
        <w:t xml:space="preserve"> = Inter-Ministry Committee; NTWG = National Technical Working Group; SEA = Specialized Executing Agency; RWG-M = Regional Working Group on Mangroves; RWG-S = Regional Working Group on Seagrass; RWG-W = Regional Working Group on Wetlands; RWG-C = Regional Working Group on Coral Reefs; RWG-LbP = Regional Working Group on Land-based Pollution.)</w:t>
      </w:r>
    </w:p>
    <w:p w14:paraId="58FDBD49" w14:textId="77777777" w:rsidR="00297F30" w:rsidRDefault="00297F30">
      <w:pPr>
        <w:spacing w:after="120"/>
        <w:outlineLvl w:val="1"/>
        <w:rPr>
          <w:b/>
          <w:sz w:val="22"/>
          <w:szCs w:val="22"/>
          <w:lang w:val="en-GB"/>
        </w:rPr>
      </w:pPr>
    </w:p>
    <w:p w14:paraId="1953862B" w14:textId="77777777" w:rsidR="00BA7B99" w:rsidRDefault="00BA7B99">
      <w:pPr>
        <w:spacing w:after="120"/>
        <w:outlineLvl w:val="1"/>
        <w:rPr>
          <w:b/>
          <w:sz w:val="22"/>
          <w:szCs w:val="22"/>
          <w:lang w:val="en-GB"/>
        </w:rPr>
        <w:sectPr w:rsidR="00BA7B99" w:rsidSect="00BA7B99">
          <w:pgSz w:w="15840" w:h="12240" w:orient="landscape" w:code="1"/>
          <w:pgMar w:top="1584" w:right="1440" w:bottom="1584" w:left="1440" w:header="706" w:footer="706" w:gutter="0"/>
          <w:cols w:space="708"/>
          <w:docGrid w:linePitch="360"/>
        </w:sectPr>
      </w:pPr>
    </w:p>
    <w:p w14:paraId="344EE1A2" w14:textId="77777777" w:rsidR="00683A1F" w:rsidRDefault="00683A1F">
      <w:pPr>
        <w:spacing w:after="120"/>
        <w:outlineLvl w:val="1"/>
        <w:rPr>
          <w:b/>
          <w:sz w:val="22"/>
          <w:szCs w:val="22"/>
          <w:lang w:val="en-GB"/>
        </w:rPr>
      </w:pPr>
    </w:p>
    <w:p w14:paraId="5132DEAA" w14:textId="77777777" w:rsidR="00F07F81" w:rsidRDefault="00F07F81" w:rsidP="00DC77E7">
      <w:pPr>
        <w:spacing w:after="120"/>
        <w:jc w:val="center"/>
        <w:outlineLvl w:val="1"/>
        <w:rPr>
          <w:b/>
          <w:sz w:val="22"/>
          <w:szCs w:val="22"/>
          <w:lang w:val="en-GB"/>
        </w:rPr>
      </w:pPr>
      <w:bookmarkStart w:id="111" w:name="_Toc209432682"/>
      <w:r>
        <w:rPr>
          <w:b/>
          <w:sz w:val="22"/>
          <w:szCs w:val="22"/>
          <w:lang w:val="en-GB"/>
        </w:rPr>
        <w:t>Appendix 11:</w:t>
      </w:r>
      <w:r>
        <w:rPr>
          <w:b/>
          <w:sz w:val="22"/>
          <w:szCs w:val="22"/>
          <w:lang w:val="en-GB"/>
        </w:rPr>
        <w:tab/>
        <w:t>Terms of Reference</w:t>
      </w:r>
      <w:bookmarkEnd w:id="111"/>
    </w:p>
    <w:p w14:paraId="2794FF4B" w14:textId="77777777" w:rsidR="00DC77E7" w:rsidRPr="00DC77E7" w:rsidRDefault="00DC77E7" w:rsidP="00DC77E7">
      <w:pPr>
        <w:jc w:val="center"/>
        <w:rPr>
          <w:rFonts w:eastAsia="Calibri"/>
          <w:b/>
          <w:bCs/>
          <w:caps/>
          <w:sz w:val="22"/>
          <w:szCs w:val="22"/>
          <w:lang w:val="en-GB"/>
        </w:rPr>
      </w:pPr>
      <w:r w:rsidRPr="00DC77E7">
        <w:rPr>
          <w:rFonts w:eastAsia="Calibri"/>
          <w:b/>
          <w:bCs/>
          <w:caps/>
          <w:sz w:val="22"/>
          <w:szCs w:val="22"/>
          <w:lang w:val="en-GB"/>
        </w:rPr>
        <w:t>Provisional Terms of Reference</w:t>
      </w:r>
    </w:p>
    <w:p w14:paraId="1A12AA6E" w14:textId="77777777" w:rsidR="00DC77E7" w:rsidRPr="00DC77E7" w:rsidRDefault="00DC77E7" w:rsidP="00DC77E7">
      <w:pPr>
        <w:jc w:val="center"/>
        <w:rPr>
          <w:rFonts w:eastAsia="Calibri"/>
          <w:b/>
          <w:bCs/>
          <w:caps/>
          <w:sz w:val="22"/>
          <w:szCs w:val="22"/>
          <w:lang w:val="en-GB"/>
        </w:rPr>
      </w:pPr>
      <w:r w:rsidRPr="00DC77E7">
        <w:rPr>
          <w:rFonts w:eastAsia="Calibri"/>
          <w:b/>
          <w:bCs/>
          <w:caps/>
          <w:sz w:val="22"/>
          <w:szCs w:val="22"/>
          <w:lang w:val="en-GB"/>
        </w:rPr>
        <w:t>for the SCS-SAP IMPLEMENTATION Committee</w:t>
      </w:r>
    </w:p>
    <w:p w14:paraId="5920EAB1" w14:textId="77777777" w:rsidR="00DC77E7" w:rsidRPr="00DC77E7" w:rsidRDefault="00DC77E7" w:rsidP="00DC77E7">
      <w:pPr>
        <w:jc w:val="center"/>
        <w:rPr>
          <w:rFonts w:eastAsia="Calibri"/>
          <w:b/>
          <w:bCs/>
          <w:caps/>
          <w:sz w:val="22"/>
          <w:szCs w:val="22"/>
          <w:lang w:val="en-GB"/>
        </w:rPr>
      </w:pPr>
    </w:p>
    <w:p w14:paraId="5ED872FF"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1.</w:t>
      </w:r>
      <w:r w:rsidRPr="00DC77E7">
        <w:rPr>
          <w:rFonts w:eastAsia="Calibri"/>
          <w:b/>
          <w:sz w:val="22"/>
          <w:szCs w:val="22"/>
          <w:lang w:val="en-GB"/>
        </w:rPr>
        <w:tab/>
        <w:t>THE SCS-SAP IMPLEMENTATION COMMITTEE: RATIONALE AND PURPOSE</w:t>
      </w:r>
    </w:p>
    <w:p w14:paraId="30C093A7"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1.1</w:t>
      </w:r>
      <w:r w:rsidRPr="00DC77E7">
        <w:rPr>
          <w:rFonts w:eastAsia="Calibri"/>
          <w:sz w:val="22"/>
          <w:szCs w:val="22"/>
          <w:lang w:val="en-GB"/>
        </w:rPr>
        <w:tab/>
        <w:t>To facilitate the achievement of the goals and objectives of the UNEP/GEF project entitled “</w:t>
      </w:r>
      <w:r w:rsidRPr="00DC77E7">
        <w:rPr>
          <w:rFonts w:eastAsia="Calibri"/>
          <w:i/>
          <w:sz w:val="22"/>
          <w:szCs w:val="22"/>
          <w:lang w:val="en-GB"/>
        </w:rPr>
        <w:t>Implementing the Strategic Action Programme for the South China Sea</w:t>
      </w:r>
      <w:r w:rsidRPr="00DC77E7">
        <w:rPr>
          <w:rFonts w:eastAsia="Calibri"/>
          <w:sz w:val="22"/>
          <w:szCs w:val="22"/>
          <w:lang w:val="en-GB"/>
        </w:rPr>
        <w:t xml:space="preserve">”, a Project Steering Committee (PSC), referred to hereafter as the SCS-SAP Implementation Committee, will be established as the primary policy-making body for the project. </w:t>
      </w:r>
    </w:p>
    <w:p w14:paraId="66ED4089"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1.2</w:t>
      </w:r>
      <w:r w:rsidRPr="00DC77E7">
        <w:rPr>
          <w:rFonts w:eastAsia="Calibri"/>
          <w:sz w:val="22"/>
          <w:szCs w:val="22"/>
          <w:lang w:val="en-GB"/>
        </w:rPr>
        <w:tab/>
        <w:t>The SCS-SAP Implementation Committee’s role will be to provide managerial and governance advice to the project, and to guide the SAP Implementation Unit (SAP-IU) of the Coordinating Body for the Seas of East Asia (COBSEA) Secretariat, in the implementation and monitoring of the overall regional project. The SCS-SAP Implementation Committee will also provide a regional forum for reviewing and resolving national concerns, reviewing and approving annual work plans and budgets, and provide a regional forum for stakeholder participation. One of the first activities during full project implementation will be to reconfirm and/or reconstitute the membership of the SCS-SAP Implementation Committee, agree on meeting procedures, and finalise Terms of Reference for the SCS-SAP Implementation Committee.</w:t>
      </w:r>
    </w:p>
    <w:p w14:paraId="36D1C3ED"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2.</w:t>
      </w:r>
      <w:r w:rsidRPr="00DC77E7">
        <w:rPr>
          <w:rFonts w:eastAsia="Calibri"/>
          <w:b/>
          <w:sz w:val="22"/>
          <w:szCs w:val="22"/>
          <w:lang w:val="en-GB"/>
        </w:rPr>
        <w:tab/>
        <w:t>THE SCS-SAP IMPLEMENTATION COMMITTEE SHALL:</w:t>
      </w:r>
    </w:p>
    <w:p w14:paraId="2856341D"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2.1</w:t>
      </w:r>
      <w:r w:rsidRPr="00DC77E7">
        <w:rPr>
          <w:rFonts w:eastAsia="Calibri"/>
          <w:sz w:val="22"/>
          <w:szCs w:val="22"/>
          <w:lang w:val="en-GB"/>
        </w:rPr>
        <w:tab/>
        <w:t>Provide direction and strategic guidance to the SAP Implementation Unit (SAP-IU) and to National Lead Agencies regarding project implementation and execution of agreed activities over the entire period of the project;</w:t>
      </w:r>
    </w:p>
    <w:p w14:paraId="0E1A0E49"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2.2</w:t>
      </w:r>
      <w:r w:rsidRPr="00DC77E7">
        <w:rPr>
          <w:rFonts w:eastAsia="Calibri"/>
          <w:sz w:val="22"/>
          <w:szCs w:val="22"/>
          <w:lang w:val="en-GB"/>
        </w:rPr>
        <w:tab/>
        <w:t>Meet on an annual basis during the operational phase of the project to guide the timely execution of project activities;</w:t>
      </w:r>
    </w:p>
    <w:p w14:paraId="18A2C084"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2.3</w:t>
      </w:r>
      <w:r w:rsidRPr="00DC77E7">
        <w:rPr>
          <w:rFonts w:eastAsia="Calibri"/>
          <w:sz w:val="22"/>
          <w:szCs w:val="22"/>
          <w:lang w:val="en-GB"/>
        </w:rPr>
        <w:tab/>
        <w:t>Receive, review, and approve reports from the SAP Implementation Unit (SAP-IU) regarding the outputs and outcomes of project activities;</w:t>
      </w:r>
    </w:p>
    <w:p w14:paraId="36C0520F"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2.4</w:t>
      </w:r>
      <w:r w:rsidRPr="00DC77E7">
        <w:rPr>
          <w:rFonts w:eastAsia="Calibri"/>
          <w:sz w:val="22"/>
          <w:szCs w:val="22"/>
          <w:lang w:val="en-GB"/>
        </w:rPr>
        <w:tab/>
        <w:t>Assist the SAP Implementation Unit in ensuring co-ordination among national site-based activities and other national level activities to further enhance national capacity to achieve the targets of the Strategic Action Programme for the South China Sea;</w:t>
      </w:r>
    </w:p>
    <w:p w14:paraId="0B18D594"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2.5</w:t>
      </w:r>
      <w:r w:rsidRPr="00DC77E7">
        <w:rPr>
          <w:rFonts w:eastAsia="Calibri"/>
          <w:sz w:val="22"/>
          <w:szCs w:val="22"/>
          <w:lang w:val="en-GB"/>
        </w:rPr>
        <w:tab/>
        <w:t>Review stakeholder involvement in project activities and take action where necessary to ensure appropriate levels of government, NGO, community, and private sector engagement;</w:t>
      </w:r>
    </w:p>
    <w:p w14:paraId="52C65738"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2.6</w:t>
      </w:r>
      <w:r w:rsidRPr="00DC77E7">
        <w:rPr>
          <w:rFonts w:eastAsia="Calibri"/>
          <w:sz w:val="22"/>
          <w:szCs w:val="22"/>
          <w:lang w:val="en-GB"/>
        </w:rPr>
        <w:tab/>
        <w:t>Ensure compatibility between the activities of site and other national level activities;</w:t>
      </w:r>
    </w:p>
    <w:p w14:paraId="1E0CF1FD"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2.7</w:t>
      </w:r>
      <w:r w:rsidRPr="00DC77E7">
        <w:rPr>
          <w:rFonts w:eastAsia="Calibri"/>
          <w:sz w:val="22"/>
          <w:szCs w:val="22"/>
          <w:lang w:val="en-GB"/>
        </w:rPr>
        <w:tab/>
        <w:t>Approve annual progress reports for transmission to the Intergovernmental Meetings of COBSEA, the Implementing Agency UNEP and the GEF Secretariat;</w:t>
      </w:r>
    </w:p>
    <w:p w14:paraId="71AC26F0"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2.8</w:t>
      </w:r>
      <w:r w:rsidRPr="00DC77E7">
        <w:rPr>
          <w:rFonts w:eastAsia="Calibri"/>
          <w:sz w:val="22"/>
          <w:szCs w:val="22"/>
          <w:lang w:val="en-GB"/>
        </w:rPr>
        <w:tab/>
        <w:t>Assist the SAP Implementation Unit in leveraging required project co-financing and additional funds that may be required from time to time;</w:t>
      </w:r>
    </w:p>
    <w:p w14:paraId="745EAF95"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2.9</w:t>
      </w:r>
      <w:r w:rsidRPr="00DC77E7">
        <w:rPr>
          <w:rFonts w:eastAsia="Calibri"/>
          <w:sz w:val="22"/>
          <w:szCs w:val="22"/>
          <w:lang w:val="en-GB"/>
        </w:rPr>
        <w:tab/>
        <w:t>Work with the SAP Implementation Unit and National Lead Agencies in mainstreaming best practices and the replication of project successes at the national level;</w:t>
      </w:r>
    </w:p>
    <w:p w14:paraId="6F82E4A2"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2.10</w:t>
      </w:r>
      <w:r w:rsidRPr="00DC77E7">
        <w:rPr>
          <w:rFonts w:eastAsia="Calibri"/>
          <w:sz w:val="22"/>
          <w:szCs w:val="22"/>
          <w:lang w:val="en-GB"/>
        </w:rPr>
        <w:tab/>
        <w:t>Agree at their first meeting: a) the membership, meeting arrangements, and terms of reference of the committee; and b) such standing orders and manner of conducting business as may be considered necessary by the committee.</w:t>
      </w:r>
    </w:p>
    <w:p w14:paraId="0B89FE49"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3.</w:t>
      </w:r>
      <w:r w:rsidRPr="00DC77E7">
        <w:rPr>
          <w:rFonts w:eastAsia="Calibri"/>
          <w:b/>
          <w:sz w:val="22"/>
          <w:szCs w:val="22"/>
          <w:lang w:val="en-GB"/>
        </w:rPr>
        <w:tab/>
        <w:t xml:space="preserve">PROPOSED MEMBERSHIP FOR THE SCS- SAP IMPLEMENTATION COMMITTEE </w:t>
      </w:r>
    </w:p>
    <w:p w14:paraId="47ECEB7E"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3.1</w:t>
      </w:r>
      <w:r w:rsidRPr="00DC77E7">
        <w:rPr>
          <w:rFonts w:eastAsia="Calibri"/>
          <w:sz w:val="22"/>
          <w:szCs w:val="22"/>
          <w:lang w:val="en-GB"/>
        </w:rPr>
        <w:tab/>
        <w:t>Full members of the SCS-SAP Implementation Committee shall consist solely of representatives of all participating countries in the project. Each country shall designate two members: one member shall be the Chairperson of the policy-level, Inter-Ministry Committee; the other shall be the Chairperson of the National Technical Working Group;</w:t>
      </w:r>
    </w:p>
    <w:p w14:paraId="67132AB8"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3.2</w:t>
      </w:r>
      <w:r w:rsidRPr="00DC77E7">
        <w:rPr>
          <w:rFonts w:eastAsia="Calibri"/>
          <w:sz w:val="22"/>
          <w:szCs w:val="22"/>
          <w:lang w:val="en-GB"/>
        </w:rPr>
        <w:tab/>
        <w:t>The UNEP Task Manager will participate as an observer in PSC meetings;</w:t>
      </w:r>
    </w:p>
    <w:p w14:paraId="655ACEE6"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3.3</w:t>
      </w:r>
      <w:r w:rsidRPr="00DC77E7">
        <w:rPr>
          <w:rFonts w:eastAsia="Calibri"/>
          <w:sz w:val="22"/>
          <w:szCs w:val="22"/>
          <w:lang w:val="en-GB"/>
        </w:rPr>
        <w:tab/>
        <w:t>The SCS-SAP Implementation Committee shall elect a Chairperson and a Vice-Chairperson from amongst its full members with responsibility for chairing each formal meeting of the Committee and for acting as Chairperson and Vice-Chairperson of any meetings convened during the subsequent inter-sessional period; and</w:t>
      </w:r>
    </w:p>
    <w:p w14:paraId="67C049A2"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3.4</w:t>
      </w:r>
      <w:r w:rsidRPr="00DC77E7">
        <w:rPr>
          <w:rFonts w:eastAsia="Calibri"/>
          <w:sz w:val="22"/>
          <w:szCs w:val="22"/>
          <w:lang w:val="en-GB"/>
        </w:rPr>
        <w:tab/>
        <w:t>The SCS-SAP Implementation Committee may agree, by consensus at the commencement of each meeting to co-opt additional experts as observers or advisors to any meeting or meetings of the Committee or part thereof, as the committee shall deem appropriate.</w:t>
      </w:r>
    </w:p>
    <w:p w14:paraId="56D5C443"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4.</w:t>
      </w:r>
      <w:r w:rsidRPr="00DC77E7">
        <w:rPr>
          <w:rFonts w:eastAsia="Calibri"/>
          <w:b/>
          <w:sz w:val="22"/>
          <w:szCs w:val="22"/>
          <w:lang w:val="en-GB"/>
        </w:rPr>
        <w:tab/>
        <w:t>SECRETARIAT OF THE SCS-SAP IMPLEMENTATION COMMITTEE</w:t>
      </w:r>
    </w:p>
    <w:p w14:paraId="61D71435"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4.1</w:t>
      </w:r>
      <w:r w:rsidRPr="00DC77E7">
        <w:rPr>
          <w:rFonts w:eastAsia="Calibri"/>
          <w:sz w:val="22"/>
          <w:szCs w:val="22"/>
          <w:lang w:val="en-GB"/>
        </w:rPr>
        <w:tab/>
        <w:t>The Project Director of COBSEA Secretariat’s SCS-SAP Implementation Unit shall act as Secretary to the meetings of the Committee.</w:t>
      </w:r>
    </w:p>
    <w:p w14:paraId="132F153D"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4.2</w:t>
      </w:r>
      <w:r w:rsidRPr="00DC77E7">
        <w:rPr>
          <w:rFonts w:eastAsia="Calibri"/>
          <w:sz w:val="22"/>
          <w:szCs w:val="22"/>
          <w:lang w:val="en-GB"/>
        </w:rPr>
        <w:tab/>
        <w:t>Other staff of the SCS-SAP Implementation Unit may provide Secretariat and technical support to the meetings of the PSC as required.</w:t>
      </w:r>
    </w:p>
    <w:p w14:paraId="104E92CA"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5.</w:t>
      </w:r>
      <w:r w:rsidRPr="00DC77E7">
        <w:rPr>
          <w:rFonts w:eastAsia="Calibri"/>
          <w:b/>
          <w:sz w:val="22"/>
          <w:szCs w:val="22"/>
          <w:lang w:val="en-GB"/>
        </w:rPr>
        <w:tab/>
        <w:t>MEETINGS OF THE SCS-SAP IMPLEMENTATION COMMITTEE</w:t>
      </w:r>
    </w:p>
    <w:p w14:paraId="316209C1"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5.1</w:t>
      </w:r>
      <w:r w:rsidRPr="00DC77E7">
        <w:rPr>
          <w:rFonts w:eastAsia="Calibri"/>
          <w:sz w:val="22"/>
          <w:szCs w:val="22"/>
          <w:lang w:val="en-GB"/>
        </w:rPr>
        <w:tab/>
        <w:t>The SCS-SAP Implementation Unit shall convene regular annual meetings of the SCS-SAP Implementation Committee immediately following the Regional Scientific and Technical Committee meeting when the latter is convened at an appropriate time.</w:t>
      </w:r>
    </w:p>
    <w:p w14:paraId="191CF7B3"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5.2</w:t>
      </w:r>
      <w:r w:rsidRPr="00DC77E7">
        <w:rPr>
          <w:rFonts w:eastAsia="Calibri"/>
          <w:sz w:val="22"/>
          <w:szCs w:val="22"/>
          <w:lang w:val="en-GB"/>
        </w:rPr>
        <w:tab/>
      </w:r>
      <w:r w:rsidRPr="00DC77E7">
        <w:rPr>
          <w:rFonts w:eastAsia="Calibri"/>
          <w:i/>
          <w:iCs/>
          <w:sz w:val="22"/>
          <w:szCs w:val="22"/>
          <w:lang w:val="en-GB"/>
        </w:rPr>
        <w:t>Ad hoc</w:t>
      </w:r>
      <w:r w:rsidRPr="00DC77E7">
        <w:rPr>
          <w:rFonts w:eastAsia="Calibri"/>
          <w:sz w:val="22"/>
          <w:szCs w:val="22"/>
          <w:lang w:val="en-GB"/>
        </w:rPr>
        <w:t xml:space="preserve"> meetings may be convened by the Chairperson: when a majority of the Committee members make a request for such a meeting to the SCS-SAP Implementation Unit; and at the request of the SCS-SAP Implementation Unit when circumstances demand.</w:t>
      </w:r>
    </w:p>
    <w:p w14:paraId="0757458E"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6.</w:t>
      </w:r>
      <w:r w:rsidRPr="00DC77E7">
        <w:rPr>
          <w:rFonts w:eastAsia="Calibri"/>
          <w:b/>
          <w:sz w:val="22"/>
          <w:szCs w:val="22"/>
          <w:lang w:val="en-GB"/>
        </w:rPr>
        <w:tab/>
        <w:t>CONDUCT OF SCS-SAP IMPLEMENTATION COMMITTEE BUSINESS</w:t>
      </w:r>
    </w:p>
    <w:p w14:paraId="3A13FC8D"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6.1</w:t>
      </w:r>
      <w:r w:rsidRPr="00DC77E7">
        <w:rPr>
          <w:rFonts w:eastAsia="Calibri"/>
          <w:sz w:val="22"/>
          <w:szCs w:val="22"/>
          <w:lang w:val="en-GB"/>
        </w:rPr>
        <w:tab/>
        <w:t>The Committee shall operate and take decisions on the basis of consensus, regarding any matter relating to project execution that has regional significance. Where full consensus cannot be achieved in reaching agreement during a full meeting of the Committee, on any matter relating to project execution that has regional significance, the Secretariat shall, in consultation with the Chairperson, facilitate negotiations during the subsequent inter sessional period with a view to seeking resolution, and will report the results of these negotiations to the Committee members.</w:t>
      </w:r>
    </w:p>
    <w:p w14:paraId="2BCC8E42" w14:textId="77777777" w:rsidR="00DC77E7" w:rsidRPr="00DC77E7" w:rsidRDefault="00DC77E7" w:rsidP="00DC77E7">
      <w:pPr>
        <w:jc w:val="both"/>
        <w:rPr>
          <w:rFonts w:eastAsia="Calibri"/>
          <w:sz w:val="22"/>
          <w:szCs w:val="22"/>
          <w:lang w:val="en-GB"/>
        </w:rPr>
      </w:pPr>
    </w:p>
    <w:p w14:paraId="617A3611"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br w:type="page"/>
      </w:r>
    </w:p>
    <w:p w14:paraId="28791DF1"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PROVISIONAL TERMS OF REFERENCE FOR THE</w:t>
      </w:r>
    </w:p>
    <w:p w14:paraId="497E7261"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REGIONAL SCIENTIFIC AND TECHNICAL COMMITTEE</w:t>
      </w:r>
    </w:p>
    <w:p w14:paraId="12F6C630" w14:textId="77777777" w:rsidR="00DC77E7" w:rsidRPr="00DC77E7" w:rsidRDefault="00DC77E7" w:rsidP="00DC77E7">
      <w:pPr>
        <w:rPr>
          <w:rFonts w:eastAsia="Calibri"/>
          <w:sz w:val="22"/>
          <w:szCs w:val="22"/>
          <w:lang w:val="en-GB"/>
        </w:rPr>
      </w:pPr>
    </w:p>
    <w:p w14:paraId="201DD5D6"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1.</w:t>
      </w:r>
      <w:r w:rsidRPr="00DC77E7">
        <w:rPr>
          <w:rFonts w:eastAsia="Calibri"/>
          <w:b/>
          <w:sz w:val="22"/>
          <w:szCs w:val="22"/>
          <w:lang w:val="en-GB"/>
        </w:rPr>
        <w:tab/>
        <w:t>RATIONALE AND PURPOSE OF A REGIONAL SCIENTIFIC AND TECHNICAL COMMITTEE</w:t>
      </w:r>
    </w:p>
    <w:p w14:paraId="33A147A3"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1.1</w:t>
      </w:r>
      <w:r w:rsidRPr="00DC77E7">
        <w:rPr>
          <w:rFonts w:eastAsia="Calibri"/>
          <w:sz w:val="22"/>
          <w:szCs w:val="22"/>
          <w:lang w:val="en-GB"/>
        </w:rPr>
        <w:tab/>
        <w:t>To facilitate the achievement of the goals and objectives of the UNEP/GEF project entitled “</w:t>
      </w:r>
      <w:r w:rsidRPr="00DC77E7">
        <w:rPr>
          <w:rFonts w:eastAsia="Calibri"/>
          <w:i/>
          <w:sz w:val="22"/>
          <w:szCs w:val="22"/>
          <w:lang w:val="en-GB"/>
        </w:rPr>
        <w:t>Implementing the Strategic Action Programme for the South China Sea</w:t>
      </w:r>
      <w:r w:rsidRPr="00DC77E7">
        <w:rPr>
          <w:rFonts w:eastAsia="Calibri"/>
          <w:sz w:val="22"/>
          <w:szCs w:val="22"/>
          <w:lang w:val="en-GB"/>
        </w:rPr>
        <w:t>”, a Regional Scientific and Technical Committee (RSTC) will be established with responsibility for: overseeing the scientific and technical elements of the project; ensuring effective implementation of activities undertaken during project execution; and providing sound scientific and technical advice to the SCS-SAP Implementation Committee.</w:t>
      </w:r>
    </w:p>
    <w:p w14:paraId="4D460A56"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1.2</w:t>
      </w:r>
      <w:r w:rsidRPr="00DC77E7">
        <w:rPr>
          <w:rFonts w:eastAsia="Calibri"/>
          <w:sz w:val="22"/>
          <w:szCs w:val="22"/>
          <w:lang w:val="en-GB"/>
        </w:rPr>
        <w:tab/>
        <w:t>The RSTC will also be responsible for ensuring that scientific and technical aspects of SCS-SAP Implementation project meet International standards. Specifically, it will review the substantive activities of the project to: (1) reduce habitat degradation and loss via national and local reforms to achieve Strategic Action Programme targets for coastal habitat management in the South China Sea; (2) strengthen knowledge-based planning for the management of coastal habitats and land-based pollution to reduce environmental degradation of the South China Sea; and (3) facilitate regional and national level integration and cooperation for implementation of the South China Sea Strategic Action Programme.</w:t>
      </w:r>
    </w:p>
    <w:p w14:paraId="13076215"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2.</w:t>
      </w:r>
      <w:r w:rsidRPr="00DC77E7">
        <w:rPr>
          <w:rFonts w:eastAsia="Calibri"/>
          <w:b/>
          <w:sz w:val="22"/>
          <w:szCs w:val="22"/>
          <w:lang w:val="en-GB"/>
        </w:rPr>
        <w:tab/>
        <w:t xml:space="preserve">ROLE AND FUNCTION </w:t>
      </w:r>
    </w:p>
    <w:p w14:paraId="1D4A7521"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2.1</w:t>
      </w:r>
      <w:r w:rsidRPr="00DC77E7">
        <w:rPr>
          <w:rFonts w:eastAsia="Calibri"/>
          <w:sz w:val="22"/>
          <w:szCs w:val="22"/>
          <w:lang w:val="en-GB"/>
        </w:rPr>
        <w:tab/>
        <w:t>As the over-riding scientific and technical body for the project, the RSTC shall provide sound scientific and technical advice to the SCS-SAP Implementation Committee regarding matters requiring decision and shall provide direction and strategic guidance to the national level activities aimed at the achieved of Strategic Action Programme targets as required.</w:t>
      </w:r>
    </w:p>
    <w:p w14:paraId="4C7C40FD"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3.</w:t>
      </w:r>
      <w:r w:rsidRPr="00DC77E7">
        <w:rPr>
          <w:rFonts w:eastAsia="Calibri"/>
          <w:b/>
          <w:sz w:val="22"/>
          <w:szCs w:val="22"/>
          <w:lang w:val="en-GB"/>
        </w:rPr>
        <w:tab/>
        <w:t>THE REGIONAL SCIENTIFIC AND TECHNICAL COMMITTEE SHALL:</w:t>
      </w:r>
    </w:p>
    <w:p w14:paraId="55D6071F"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3.1</w:t>
      </w:r>
      <w:r w:rsidRPr="00DC77E7">
        <w:rPr>
          <w:rFonts w:eastAsia="Calibri"/>
          <w:b/>
          <w:sz w:val="22"/>
          <w:szCs w:val="22"/>
          <w:lang w:val="en-GB"/>
        </w:rPr>
        <w:tab/>
        <w:t>Regional Activities</w:t>
      </w:r>
    </w:p>
    <w:p w14:paraId="0EDC089B"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3.1.1</w:t>
      </w:r>
      <w:r w:rsidRPr="00DC77E7">
        <w:rPr>
          <w:rFonts w:eastAsia="Calibri"/>
          <w:sz w:val="22"/>
          <w:szCs w:val="22"/>
          <w:lang w:val="en-GB"/>
        </w:rPr>
        <w:tab/>
        <w:t>Review and co-ordinate regional scientific and technical activities of the SCS-SAP Implementation project;</w:t>
      </w:r>
    </w:p>
    <w:p w14:paraId="2A42DBB5"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3.1.2</w:t>
      </w:r>
      <w:r w:rsidRPr="00DC77E7">
        <w:rPr>
          <w:rFonts w:eastAsia="Calibri"/>
          <w:sz w:val="22"/>
          <w:szCs w:val="22"/>
          <w:lang w:val="en-GB"/>
        </w:rPr>
        <w:tab/>
        <w:t>Review and evaluate, from a scientific and technical perspective, progress in achievement of Strategic Action Programme targets, and provide guidance for improvement when necessary;</w:t>
      </w:r>
    </w:p>
    <w:p w14:paraId="61F36779"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3.1.3</w:t>
      </w:r>
      <w:r w:rsidRPr="00DC77E7">
        <w:rPr>
          <w:rFonts w:eastAsia="Calibri"/>
          <w:sz w:val="22"/>
          <w:szCs w:val="22"/>
          <w:lang w:val="en-GB"/>
        </w:rPr>
        <w:tab/>
        <w:t>Receive, and review reports, data and information from Regional Working Groups and Task Forces established under the project;</w:t>
      </w:r>
    </w:p>
    <w:p w14:paraId="51D57A0D"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3.1.4</w:t>
      </w:r>
      <w:r w:rsidRPr="00DC77E7">
        <w:rPr>
          <w:rFonts w:eastAsia="Calibri"/>
          <w:sz w:val="22"/>
          <w:szCs w:val="22"/>
          <w:lang w:val="en-GB"/>
        </w:rPr>
        <w:tab/>
        <w:t>Provide the SCS-SAP Implementation Committee with recommendations on proposed regional activities, work plans, and budgets;</w:t>
      </w:r>
    </w:p>
    <w:p w14:paraId="05B8308C"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3.1.5</w:t>
      </w:r>
      <w:r w:rsidRPr="00DC77E7">
        <w:rPr>
          <w:rFonts w:eastAsia="Calibri"/>
          <w:sz w:val="22"/>
          <w:szCs w:val="22"/>
          <w:lang w:val="en-GB"/>
        </w:rPr>
        <w:tab/>
        <w:t>Provide the SCS-SAP Implementation Committee with technical guidance and suggestions to improve project activities where necessary, including reforms of national and regional policy and planning frameworks, including the update of the Transboundary Diagnostic Analysis and Strategic Action Programme for the South China Sea;</w:t>
      </w:r>
    </w:p>
    <w:p w14:paraId="062B2CF3"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3.1.6</w:t>
      </w:r>
      <w:r w:rsidRPr="00DC77E7">
        <w:rPr>
          <w:rFonts w:eastAsia="Calibri"/>
          <w:sz w:val="22"/>
          <w:szCs w:val="22"/>
          <w:lang w:val="en-GB"/>
        </w:rPr>
        <w:tab/>
        <w:t xml:space="preserve">Facilitate co-operation with relevant international, regional, and national organisations and projects to enhance the effectiveness and efficiency of the SCS-SAP implementation initiative; &amp; </w:t>
      </w:r>
    </w:p>
    <w:p w14:paraId="416821B2"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3.1.7</w:t>
      </w:r>
      <w:r w:rsidRPr="00DC77E7">
        <w:rPr>
          <w:rFonts w:eastAsia="Calibri"/>
          <w:sz w:val="22"/>
          <w:szCs w:val="22"/>
          <w:lang w:val="en-GB"/>
        </w:rPr>
        <w:tab/>
        <w:t>Monitor the progress of the project’s regional activities and ensure the quality of outputs.</w:t>
      </w:r>
    </w:p>
    <w:p w14:paraId="52E18513"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3.2</w:t>
      </w:r>
      <w:r w:rsidRPr="00DC77E7">
        <w:rPr>
          <w:rFonts w:eastAsia="Calibri"/>
          <w:b/>
          <w:sz w:val="22"/>
          <w:szCs w:val="22"/>
          <w:lang w:val="en-GB"/>
        </w:rPr>
        <w:tab/>
        <w:t>National Activities</w:t>
      </w:r>
    </w:p>
    <w:p w14:paraId="30BB1AD2"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3.2.1</w:t>
      </w:r>
      <w:r w:rsidRPr="00DC77E7">
        <w:rPr>
          <w:rFonts w:eastAsia="Calibri"/>
          <w:sz w:val="22"/>
          <w:szCs w:val="22"/>
          <w:lang w:val="en-GB"/>
        </w:rPr>
        <w:tab/>
        <w:t>Review and evaluate, from a scientific and technical perspective, progress in implementation of the national activities of the SCS-SAP Implementation project, and provide guidance for improvement when necessary;</w:t>
      </w:r>
    </w:p>
    <w:p w14:paraId="1500B9DE"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3.2.2</w:t>
      </w:r>
      <w:r w:rsidRPr="00DC77E7">
        <w:rPr>
          <w:rFonts w:eastAsia="Calibri"/>
          <w:sz w:val="22"/>
          <w:szCs w:val="22"/>
          <w:lang w:val="en-GB"/>
        </w:rPr>
        <w:tab/>
        <w:t>Receive, and review reports, data and information from national level activities of the project and oversee the regional syntheses of this information to identify overall needs and priorities for strengthening scientific and technical support to Strategic Action Programme implementation;</w:t>
      </w:r>
    </w:p>
    <w:p w14:paraId="57E72960"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3.2.3</w:t>
      </w:r>
      <w:r w:rsidRPr="00DC77E7">
        <w:rPr>
          <w:rFonts w:eastAsia="Calibri"/>
          <w:sz w:val="22"/>
          <w:szCs w:val="22"/>
          <w:lang w:val="en-GB"/>
        </w:rPr>
        <w:tab/>
        <w:t>Receive, review, and comment on drafts of national policies and/or action frameworks; and</w:t>
      </w:r>
    </w:p>
    <w:p w14:paraId="5A2B3CC3"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3.2.3</w:t>
      </w:r>
      <w:r w:rsidRPr="00DC77E7">
        <w:rPr>
          <w:rFonts w:eastAsia="Calibri"/>
          <w:sz w:val="22"/>
          <w:szCs w:val="22"/>
          <w:lang w:val="en-GB"/>
        </w:rPr>
        <w:tab/>
        <w:t>Advise the regional SCS-SAP Implementation Unit and National Focal Points of the need for public awareness and information materials concerning efforts to reverse environmental degradation trends in the South China Sea.</w:t>
      </w:r>
    </w:p>
    <w:p w14:paraId="47C6EC77" w14:textId="77777777" w:rsidR="00DC77E7" w:rsidRPr="00DC77E7" w:rsidRDefault="00DC77E7" w:rsidP="00DC77E7">
      <w:pPr>
        <w:spacing w:after="120"/>
        <w:rPr>
          <w:rFonts w:eastAsia="Calibri"/>
          <w:b/>
          <w:sz w:val="22"/>
          <w:szCs w:val="22"/>
          <w:lang w:val="en-GB"/>
        </w:rPr>
      </w:pPr>
    </w:p>
    <w:p w14:paraId="356A7316"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4.</w:t>
      </w:r>
      <w:r w:rsidRPr="00DC77E7">
        <w:rPr>
          <w:rFonts w:eastAsia="Calibri"/>
          <w:b/>
          <w:sz w:val="22"/>
          <w:szCs w:val="22"/>
          <w:lang w:val="en-GB"/>
        </w:rPr>
        <w:tab/>
        <w:t>PROPOSED MEMBERSHIP FOR THE REGIONAL SCIENTIFIC AND TECHNICAL COMMITTEE</w:t>
      </w:r>
    </w:p>
    <w:p w14:paraId="4FCDF55F"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4.1</w:t>
      </w:r>
      <w:r w:rsidRPr="00DC77E7">
        <w:rPr>
          <w:rFonts w:eastAsia="Calibri"/>
          <w:sz w:val="22"/>
          <w:szCs w:val="22"/>
          <w:lang w:val="en-GB"/>
        </w:rPr>
        <w:tab/>
        <w:t>The Regional Scientific and Technical Committee shall consist of: the Chairpersons of the National Technical Working Groups (NTWGs); the Chairpersons of the Regional Working Groups (RWGs) and Regional Task Forces (RTFs); up to 5 selected regional experts; and the Project Director of COBSEA Secretariat’s SCS-SAP Implementation Unit.</w:t>
      </w:r>
    </w:p>
    <w:p w14:paraId="2B4B2A4F"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4.2</w:t>
      </w:r>
      <w:r w:rsidRPr="00DC77E7">
        <w:rPr>
          <w:rFonts w:eastAsia="Calibri"/>
          <w:sz w:val="22"/>
          <w:szCs w:val="22"/>
          <w:lang w:val="en-GB"/>
        </w:rPr>
        <w:tab/>
        <w:t>The SCS-SAP Implementation Unit, in consultation with National Technical Focal Points, shall nominate no more than 5 regional experts to ensure a balance of expertise and specialisation consistent with the mandate of the Committee. The membership of the RSTC shall be formally established at the first meeting of the committee.</w:t>
      </w:r>
    </w:p>
    <w:p w14:paraId="7DA2E8A5"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4.3</w:t>
      </w:r>
      <w:r w:rsidRPr="00DC77E7">
        <w:rPr>
          <w:rFonts w:eastAsia="Calibri"/>
          <w:sz w:val="22"/>
          <w:szCs w:val="22"/>
          <w:lang w:val="en-GB"/>
        </w:rPr>
        <w:tab/>
        <w:t xml:space="preserve">At the commencement of each meeting the committee shall elect a Chairperson and a Vice-Chair from amongst the members. The Vice-Chair shall act as Chairperson of meetings in the absence of the Chairperson. The Chairperson and Vice-Chair shall participate in the annual meetings of the SCS-SAP Implementation Committee at which they shall present the reports and recommendations of the RSTC. </w:t>
      </w:r>
    </w:p>
    <w:p w14:paraId="6DC3FAE0"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5.</w:t>
      </w:r>
      <w:r w:rsidRPr="00DC77E7">
        <w:rPr>
          <w:rFonts w:eastAsia="Calibri"/>
          <w:b/>
          <w:sz w:val="22"/>
          <w:szCs w:val="22"/>
          <w:lang w:val="en-GB"/>
        </w:rPr>
        <w:tab/>
        <w:t>SECRETARIAT</w:t>
      </w:r>
    </w:p>
    <w:p w14:paraId="127C43D0"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5.1</w:t>
      </w:r>
      <w:r w:rsidRPr="00DC77E7">
        <w:rPr>
          <w:rFonts w:eastAsia="Calibri"/>
          <w:sz w:val="22"/>
          <w:szCs w:val="22"/>
          <w:lang w:val="en-GB"/>
        </w:rPr>
        <w:tab/>
        <w:t>The SCS-SAP Implementation Unit shall act as Secretariat to the RSTC and shall ensure that reports of the meetings are circulated to all members of the regional SCS-SAP Implementation Committee.</w:t>
      </w:r>
    </w:p>
    <w:p w14:paraId="44422D59"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6.</w:t>
      </w:r>
      <w:r w:rsidRPr="00DC77E7">
        <w:rPr>
          <w:rFonts w:eastAsia="Calibri"/>
          <w:b/>
          <w:sz w:val="22"/>
          <w:szCs w:val="22"/>
          <w:lang w:val="en-GB"/>
        </w:rPr>
        <w:tab/>
        <w:t>MEETINGS OF THE REGIONAL SCIENTIFIC AND TECHNICAL COMMITTEE</w:t>
      </w:r>
    </w:p>
    <w:p w14:paraId="39D27E4F"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6.1</w:t>
      </w:r>
      <w:r w:rsidRPr="00DC77E7">
        <w:rPr>
          <w:rFonts w:eastAsia="Calibri"/>
          <w:sz w:val="22"/>
          <w:szCs w:val="22"/>
          <w:lang w:val="en-GB"/>
        </w:rPr>
        <w:tab/>
        <w:t>The SCS-SAP Implementation Unit in consultation with the Chairperson shall convene meetings of the RSTC according to an agreed schedule, which will form part of the agreed work plan and timetable for the work of the Committee.</w:t>
      </w:r>
    </w:p>
    <w:p w14:paraId="5B446168"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6.2</w:t>
      </w:r>
      <w:r w:rsidRPr="00DC77E7">
        <w:rPr>
          <w:rFonts w:eastAsia="Calibri"/>
          <w:sz w:val="22"/>
          <w:szCs w:val="22"/>
          <w:lang w:val="en-GB"/>
        </w:rPr>
        <w:tab/>
        <w:t>The first meeting of the RSTC will be convened during project inception to: agree on the detailed activities, work plan and timetable for the twenty-four months leading to the project’s mid-term evaluation: and to provide guidance to the project’s emerging scientific and technical needs.</w:t>
      </w:r>
    </w:p>
    <w:p w14:paraId="6959C246"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7.</w:t>
      </w:r>
      <w:r w:rsidRPr="00DC77E7">
        <w:rPr>
          <w:rFonts w:eastAsia="Calibri"/>
          <w:b/>
          <w:sz w:val="22"/>
          <w:szCs w:val="22"/>
          <w:lang w:val="en-GB"/>
        </w:rPr>
        <w:tab/>
        <w:t>CONDUCT OF REGIONAL SCIENTIFIC AND TECHNICAL COMMITTEE BUSINESS</w:t>
      </w:r>
    </w:p>
    <w:p w14:paraId="337EDC0F"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7.1</w:t>
      </w:r>
      <w:r w:rsidRPr="00DC77E7">
        <w:rPr>
          <w:rFonts w:eastAsia="Calibri"/>
          <w:sz w:val="22"/>
          <w:szCs w:val="22"/>
          <w:lang w:val="en-GB"/>
        </w:rPr>
        <w:tab/>
        <w:t>The Committee shall operate and take decisions on the basis of consensus, regarding any matter relating to project execution that has regional significance. Where full consensus cannot be achieved in reaching agreement during a meeting of the Committee, the Chair, Vice-Chair and Project Director shall decide on the least contentious course of action to be adopted.</w:t>
      </w:r>
    </w:p>
    <w:p w14:paraId="24CD031E"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8.</w:t>
      </w:r>
      <w:r w:rsidRPr="00DC77E7">
        <w:rPr>
          <w:rFonts w:eastAsia="Calibri"/>
          <w:b/>
          <w:sz w:val="22"/>
          <w:szCs w:val="22"/>
          <w:lang w:val="en-GB"/>
        </w:rPr>
        <w:tab/>
        <w:t>PARTICIPATION OF OBSERVERS IN REGIONAL SCIENTIFIC AND TECHNICAL COMMITTEE MEETINGS</w:t>
      </w:r>
    </w:p>
    <w:p w14:paraId="67FD5D4E"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8.1</w:t>
      </w:r>
      <w:r w:rsidRPr="00DC77E7">
        <w:rPr>
          <w:rFonts w:eastAsia="Calibri"/>
          <w:sz w:val="22"/>
          <w:szCs w:val="22"/>
          <w:lang w:val="en-GB"/>
        </w:rPr>
        <w:tab/>
        <w:t>The RSTC may invite observers to participate in its meetings;</w:t>
      </w:r>
    </w:p>
    <w:p w14:paraId="7DF15725"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8.2</w:t>
      </w:r>
      <w:r w:rsidRPr="00DC77E7">
        <w:rPr>
          <w:rFonts w:eastAsia="Calibri"/>
          <w:sz w:val="22"/>
          <w:szCs w:val="22"/>
          <w:lang w:val="en-GB"/>
        </w:rPr>
        <w:tab/>
        <w:t>Upon the invitation of the Chairperson, observers may participate in the discussion of issues within their competence or scope of activities, without the right to participate in decision-making; and</w:t>
      </w:r>
    </w:p>
    <w:p w14:paraId="2EA9102B"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8.3</w:t>
      </w:r>
      <w:r w:rsidRPr="00DC77E7">
        <w:rPr>
          <w:rFonts w:eastAsia="Calibri"/>
          <w:sz w:val="22"/>
          <w:szCs w:val="22"/>
          <w:lang w:val="en-GB"/>
        </w:rPr>
        <w:tab/>
        <w:t>Observers may, upon invitation of the Chairperson, submit written statements that shall be circulated by the Project Coordinating Unit to the members of the RSTC.</w:t>
      </w:r>
    </w:p>
    <w:p w14:paraId="26DE007D"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br w:type="page"/>
      </w:r>
    </w:p>
    <w:p w14:paraId="2DC57E19" w14:textId="77777777" w:rsidR="00DC77E7" w:rsidRPr="00DC77E7" w:rsidRDefault="00DC77E7" w:rsidP="00DC77E7">
      <w:pPr>
        <w:spacing w:after="120"/>
        <w:jc w:val="both"/>
        <w:rPr>
          <w:rFonts w:eastAsia="Calibri"/>
          <w:sz w:val="22"/>
          <w:szCs w:val="22"/>
          <w:lang w:val="en-GB"/>
        </w:rPr>
      </w:pPr>
    </w:p>
    <w:p w14:paraId="0C8351E3"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PROVISIONAL TERMS OF REFERENCE FOR THE</w:t>
      </w:r>
    </w:p>
    <w:p w14:paraId="24E92BE9"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REGIONAL WORKING GROUP ON MANGROVES</w:t>
      </w:r>
    </w:p>
    <w:p w14:paraId="20465733" w14:textId="77777777" w:rsidR="00DC77E7" w:rsidRPr="00DC77E7" w:rsidRDefault="00DC77E7" w:rsidP="00DC77E7">
      <w:pPr>
        <w:rPr>
          <w:rFonts w:eastAsia="Calibri"/>
          <w:sz w:val="22"/>
          <w:szCs w:val="22"/>
        </w:rPr>
      </w:pPr>
    </w:p>
    <w:p w14:paraId="458BF2EE" w14:textId="77777777" w:rsidR="00DC77E7" w:rsidRPr="00DC77E7" w:rsidRDefault="00DC77E7" w:rsidP="00DC77E7">
      <w:pPr>
        <w:spacing w:after="120"/>
        <w:jc w:val="both"/>
        <w:rPr>
          <w:rFonts w:eastAsia="Calibri"/>
          <w:b/>
          <w:sz w:val="22"/>
          <w:szCs w:val="22"/>
          <w:lang w:val="en-GB"/>
        </w:rPr>
      </w:pPr>
      <w:r w:rsidRPr="00DC77E7">
        <w:rPr>
          <w:rFonts w:eastAsia="Calibri"/>
          <w:b/>
          <w:sz w:val="22"/>
          <w:szCs w:val="22"/>
          <w:lang w:val="en-GB"/>
        </w:rPr>
        <w:t>1.</w:t>
      </w:r>
      <w:r w:rsidRPr="00DC77E7">
        <w:rPr>
          <w:rFonts w:eastAsia="Calibri"/>
          <w:b/>
          <w:sz w:val="22"/>
          <w:szCs w:val="22"/>
          <w:lang w:val="en-GB"/>
        </w:rPr>
        <w:tab/>
        <w:t>RATIONALE AND PURPOSE OF A REGIONAL WORKING GROUP ON MANGROVES</w:t>
      </w:r>
    </w:p>
    <w:p w14:paraId="24F35F2B" w14:textId="77777777" w:rsidR="00DC77E7" w:rsidRPr="00DC77E7" w:rsidRDefault="00DC77E7" w:rsidP="00DC77E7">
      <w:pPr>
        <w:jc w:val="both"/>
        <w:rPr>
          <w:rFonts w:eastAsia="Calibri"/>
          <w:sz w:val="22"/>
          <w:szCs w:val="22"/>
        </w:rPr>
      </w:pPr>
      <w:r w:rsidRPr="00DC77E7">
        <w:rPr>
          <w:rFonts w:eastAsia="Calibri"/>
          <w:sz w:val="22"/>
          <w:szCs w:val="22"/>
        </w:rPr>
        <w:t>1.1</w:t>
      </w:r>
      <w:r w:rsidRPr="00DC77E7">
        <w:rPr>
          <w:rFonts w:eastAsia="Calibri"/>
          <w:sz w:val="22"/>
          <w:szCs w:val="22"/>
        </w:rPr>
        <w:tab/>
        <w:t>To facilitate the achievement of the Strategic Action Programme targets for mangroves, a Regional Working Group on Mangroves (RWG-M) shall be established with overall responsibility for: co-ordinating the work of the National Mangrove Committees established in each of the participating countries; for ensuring effective implementation of project activities undertaken in the context of the achievement of the mangrove management targets of the project; and to provide a mechanism for exchange of information and experience of mangrove management activities in each country.</w:t>
      </w:r>
    </w:p>
    <w:p w14:paraId="2796ABC5" w14:textId="77777777" w:rsidR="00DC77E7" w:rsidRPr="00DC77E7" w:rsidRDefault="00DC77E7" w:rsidP="00DC77E7">
      <w:pPr>
        <w:jc w:val="both"/>
        <w:rPr>
          <w:rFonts w:eastAsia="Calibri"/>
          <w:sz w:val="22"/>
          <w:szCs w:val="22"/>
        </w:rPr>
      </w:pPr>
    </w:p>
    <w:p w14:paraId="5A48726A" w14:textId="77777777" w:rsidR="00DC77E7" w:rsidRPr="00DC77E7" w:rsidRDefault="00DC77E7" w:rsidP="00DC77E7">
      <w:pPr>
        <w:spacing w:after="120"/>
        <w:jc w:val="both"/>
        <w:rPr>
          <w:rFonts w:eastAsia="Calibri"/>
          <w:b/>
          <w:sz w:val="22"/>
          <w:szCs w:val="22"/>
        </w:rPr>
      </w:pPr>
      <w:r w:rsidRPr="00DC77E7">
        <w:rPr>
          <w:rFonts w:eastAsia="Calibri"/>
          <w:b/>
          <w:sz w:val="22"/>
          <w:szCs w:val="22"/>
        </w:rPr>
        <w:t>2.</w:t>
      </w:r>
      <w:r w:rsidRPr="00DC77E7">
        <w:rPr>
          <w:rFonts w:eastAsia="Calibri"/>
          <w:b/>
          <w:sz w:val="22"/>
          <w:szCs w:val="22"/>
        </w:rPr>
        <w:tab/>
        <w:t>MEMBERSHIP</w:t>
      </w:r>
    </w:p>
    <w:p w14:paraId="285A4226" w14:textId="77777777" w:rsidR="00DC77E7" w:rsidRPr="00DC77E7" w:rsidRDefault="00DC77E7" w:rsidP="00DC77E7">
      <w:pPr>
        <w:spacing w:after="120"/>
        <w:jc w:val="both"/>
        <w:rPr>
          <w:rFonts w:eastAsia="Calibri"/>
          <w:sz w:val="22"/>
          <w:szCs w:val="22"/>
        </w:rPr>
      </w:pPr>
      <w:r w:rsidRPr="00DC77E7">
        <w:rPr>
          <w:rFonts w:eastAsia="Calibri"/>
          <w:sz w:val="22"/>
          <w:szCs w:val="22"/>
        </w:rPr>
        <w:t>2.1</w:t>
      </w:r>
      <w:r w:rsidRPr="00DC77E7">
        <w:rPr>
          <w:rFonts w:eastAsia="Calibri"/>
          <w:sz w:val="22"/>
          <w:szCs w:val="22"/>
        </w:rPr>
        <w:tab/>
        <w:t xml:space="preserve">The RWG-M of the SCS-SAP Implementation Project shall consist of the Chairpersons of the National Mangrove Committees together with one member of the SCS-SAP Implementation Unit and selected regional experts. The SCS-SAP Implementation Unit in consultation with the National Technical Focal Points for the project shall nominate no more than four such experts to ensure a balance of expertise and specialisation consistent with the mandate of the working group. </w:t>
      </w:r>
    </w:p>
    <w:p w14:paraId="29A86607" w14:textId="77777777" w:rsidR="00DC77E7" w:rsidRPr="00DC77E7" w:rsidRDefault="00DC77E7" w:rsidP="00DC77E7">
      <w:pPr>
        <w:jc w:val="both"/>
        <w:rPr>
          <w:rFonts w:eastAsia="Calibri"/>
          <w:sz w:val="22"/>
          <w:szCs w:val="22"/>
        </w:rPr>
      </w:pPr>
      <w:r w:rsidRPr="00DC77E7">
        <w:rPr>
          <w:rFonts w:eastAsia="Calibri"/>
          <w:sz w:val="22"/>
          <w:szCs w:val="22"/>
        </w:rPr>
        <w:t>2.2</w:t>
      </w:r>
      <w:r w:rsidRPr="00DC77E7">
        <w:rPr>
          <w:rFonts w:eastAsia="Calibri"/>
          <w:sz w:val="22"/>
          <w:szCs w:val="22"/>
        </w:rPr>
        <w:tab/>
        <w:t>The membership of the RWG-M shall be formally established at the first meeting of the Working Group, which shall elect a Chairperson and a Vice-Chair from amongst its members. The Vice-Chair shall act as Chairperson of meetings in the absence of the Chairperson. The Chairperson of the RWG-M will represent the RWG-M on the Regional Scientific and Technical Committee (RSTC) and will attend the meetings of that Committee.</w:t>
      </w:r>
    </w:p>
    <w:p w14:paraId="3C5ED330" w14:textId="77777777" w:rsidR="00DC77E7" w:rsidRPr="00DC77E7" w:rsidRDefault="00DC77E7" w:rsidP="00DC77E7">
      <w:pPr>
        <w:rPr>
          <w:rFonts w:eastAsia="Calibri"/>
          <w:sz w:val="22"/>
          <w:szCs w:val="22"/>
        </w:rPr>
      </w:pPr>
    </w:p>
    <w:p w14:paraId="1CD8BE91" w14:textId="77777777" w:rsidR="00DC77E7" w:rsidRPr="00DC77E7" w:rsidRDefault="00DC77E7" w:rsidP="00DC77E7">
      <w:pPr>
        <w:spacing w:after="120"/>
        <w:rPr>
          <w:rFonts w:eastAsia="Calibri"/>
          <w:b/>
          <w:caps/>
          <w:sz w:val="22"/>
          <w:szCs w:val="22"/>
        </w:rPr>
      </w:pPr>
      <w:r w:rsidRPr="00DC77E7">
        <w:rPr>
          <w:rFonts w:eastAsia="Calibri"/>
          <w:b/>
          <w:caps/>
          <w:sz w:val="22"/>
          <w:szCs w:val="22"/>
        </w:rPr>
        <w:t>3.</w:t>
      </w:r>
      <w:r w:rsidRPr="00DC77E7">
        <w:rPr>
          <w:rFonts w:eastAsia="Calibri"/>
          <w:b/>
          <w:caps/>
          <w:sz w:val="22"/>
          <w:szCs w:val="22"/>
        </w:rPr>
        <w:tab/>
        <w:t>Secretariat</w:t>
      </w:r>
    </w:p>
    <w:p w14:paraId="42138A41" w14:textId="77777777" w:rsidR="00DC77E7" w:rsidRPr="00DC77E7" w:rsidRDefault="00DC77E7" w:rsidP="00DC77E7">
      <w:pPr>
        <w:jc w:val="both"/>
        <w:rPr>
          <w:rFonts w:eastAsia="Calibri"/>
          <w:sz w:val="22"/>
          <w:szCs w:val="22"/>
        </w:rPr>
      </w:pPr>
      <w:r w:rsidRPr="00DC77E7">
        <w:rPr>
          <w:rFonts w:eastAsia="Calibri"/>
          <w:sz w:val="22"/>
          <w:szCs w:val="22"/>
        </w:rPr>
        <w:t>3.1</w:t>
      </w:r>
      <w:r w:rsidRPr="00DC77E7">
        <w:rPr>
          <w:rFonts w:eastAsia="Calibri"/>
          <w:sz w:val="22"/>
          <w:szCs w:val="22"/>
        </w:rPr>
        <w:tab/>
        <w:t xml:space="preserve">The SCS-SAP Implementation Unit (SCS-SAP IU) shall act as Secretariat to the RWG-M, and shall ensure that reports of the meetings are circulated to all members of the working group, and are copied to the members of the Regional Scientific and Technical Committee. The National Mangrove Committees shall serve as the principal source of national scientific and technical data and information to the RWG-M. </w:t>
      </w:r>
    </w:p>
    <w:p w14:paraId="02ABC7B1" w14:textId="77777777" w:rsidR="00DC77E7" w:rsidRPr="00DC77E7" w:rsidRDefault="00DC77E7" w:rsidP="00DC77E7">
      <w:pPr>
        <w:rPr>
          <w:rFonts w:eastAsia="Calibri"/>
          <w:sz w:val="22"/>
          <w:szCs w:val="22"/>
        </w:rPr>
      </w:pPr>
    </w:p>
    <w:p w14:paraId="1318903E" w14:textId="77777777" w:rsidR="00DC77E7" w:rsidRPr="00DC77E7" w:rsidRDefault="00DC77E7" w:rsidP="00DC77E7">
      <w:pPr>
        <w:spacing w:after="120"/>
        <w:rPr>
          <w:rFonts w:eastAsia="Calibri"/>
          <w:b/>
          <w:caps/>
          <w:sz w:val="22"/>
          <w:szCs w:val="22"/>
        </w:rPr>
      </w:pPr>
      <w:r w:rsidRPr="00DC77E7">
        <w:rPr>
          <w:rFonts w:eastAsia="Calibri"/>
          <w:b/>
          <w:caps/>
          <w:sz w:val="22"/>
          <w:szCs w:val="22"/>
        </w:rPr>
        <w:t>4.</w:t>
      </w:r>
      <w:r w:rsidRPr="00DC77E7">
        <w:rPr>
          <w:rFonts w:eastAsia="Calibri"/>
          <w:b/>
          <w:caps/>
          <w:sz w:val="22"/>
          <w:szCs w:val="22"/>
        </w:rPr>
        <w:tab/>
        <w:t>Meetings of the Committee</w:t>
      </w:r>
    </w:p>
    <w:p w14:paraId="3062642E" w14:textId="77777777" w:rsidR="00DC77E7" w:rsidRPr="00DC77E7" w:rsidRDefault="00DC77E7" w:rsidP="00DC77E7">
      <w:pPr>
        <w:jc w:val="both"/>
        <w:rPr>
          <w:rFonts w:eastAsia="Calibri"/>
          <w:sz w:val="22"/>
          <w:szCs w:val="22"/>
        </w:rPr>
      </w:pPr>
      <w:r w:rsidRPr="00DC77E7">
        <w:rPr>
          <w:rFonts w:eastAsia="Calibri"/>
          <w:sz w:val="22"/>
          <w:szCs w:val="22"/>
        </w:rPr>
        <w:t>4.1</w:t>
      </w:r>
      <w:r w:rsidRPr="00DC77E7">
        <w:rPr>
          <w:rFonts w:eastAsia="Calibri"/>
          <w:sz w:val="22"/>
          <w:szCs w:val="22"/>
        </w:rPr>
        <w:tab/>
        <w:t>The PCU in consultation with the Chairperson shall convene meetings of the RWG-M according to an agreed schedule, which will form part of the agreed work plan and timetable for the work of the Committee. The first meeting of the RWG-M will be convened within three months of signature of the operational project document to agree on the detailed activities, workplan and timetable for the first twenty-four months of project execution leading to the project’s mid-term review.</w:t>
      </w:r>
    </w:p>
    <w:p w14:paraId="49AA1865" w14:textId="77777777" w:rsidR="00DC77E7" w:rsidRPr="00DC77E7" w:rsidRDefault="00DC77E7" w:rsidP="00DC77E7">
      <w:pPr>
        <w:jc w:val="both"/>
        <w:rPr>
          <w:rFonts w:eastAsia="Calibri"/>
          <w:sz w:val="22"/>
          <w:szCs w:val="22"/>
        </w:rPr>
      </w:pPr>
    </w:p>
    <w:p w14:paraId="1D76B2CF" w14:textId="77777777" w:rsidR="00DC77E7" w:rsidRPr="00DC77E7" w:rsidRDefault="00DC77E7" w:rsidP="00DC77E7">
      <w:pPr>
        <w:spacing w:after="120"/>
        <w:jc w:val="both"/>
        <w:rPr>
          <w:rFonts w:eastAsia="Calibri"/>
          <w:b/>
          <w:caps/>
          <w:sz w:val="22"/>
          <w:szCs w:val="22"/>
        </w:rPr>
      </w:pPr>
      <w:r w:rsidRPr="00DC77E7">
        <w:rPr>
          <w:rFonts w:eastAsia="Calibri"/>
          <w:b/>
          <w:caps/>
          <w:sz w:val="22"/>
          <w:szCs w:val="22"/>
        </w:rPr>
        <w:t>5.</w:t>
      </w:r>
      <w:r w:rsidRPr="00DC77E7">
        <w:rPr>
          <w:rFonts w:eastAsia="Calibri"/>
          <w:b/>
          <w:caps/>
          <w:sz w:val="22"/>
          <w:szCs w:val="22"/>
        </w:rPr>
        <w:tab/>
        <w:t>Terms of Reference</w:t>
      </w:r>
    </w:p>
    <w:p w14:paraId="6DB67A0D" w14:textId="77777777" w:rsidR="00DC77E7" w:rsidRPr="00DC77E7" w:rsidRDefault="00DC77E7" w:rsidP="00DC77E7">
      <w:pPr>
        <w:spacing w:after="120"/>
        <w:jc w:val="both"/>
        <w:rPr>
          <w:rFonts w:eastAsia="Calibri"/>
          <w:b/>
          <w:sz w:val="22"/>
          <w:szCs w:val="22"/>
        </w:rPr>
      </w:pPr>
      <w:r w:rsidRPr="00DC77E7">
        <w:rPr>
          <w:rFonts w:eastAsia="Calibri"/>
          <w:b/>
          <w:sz w:val="22"/>
          <w:szCs w:val="22"/>
        </w:rPr>
        <w:t>The RWG-M shall:</w:t>
      </w:r>
    </w:p>
    <w:p w14:paraId="0C75302C" w14:textId="77777777" w:rsidR="00DC77E7" w:rsidRPr="00DC77E7" w:rsidRDefault="00DC77E7" w:rsidP="00DC77E7">
      <w:pPr>
        <w:spacing w:after="120"/>
        <w:jc w:val="both"/>
        <w:rPr>
          <w:rFonts w:eastAsia="Calibri"/>
          <w:sz w:val="22"/>
          <w:szCs w:val="22"/>
        </w:rPr>
      </w:pPr>
      <w:r w:rsidRPr="00DC77E7">
        <w:rPr>
          <w:rFonts w:eastAsia="Calibri"/>
          <w:sz w:val="22"/>
          <w:szCs w:val="22"/>
        </w:rPr>
        <w:t>5.1</w:t>
      </w:r>
      <w:r w:rsidRPr="00DC77E7">
        <w:rPr>
          <w:rFonts w:eastAsia="Calibri"/>
          <w:sz w:val="22"/>
          <w:szCs w:val="22"/>
        </w:rPr>
        <w:tab/>
        <w:t>Provide direction, and strategic guidance to the National Mangrove Committees regarding the establishment of appropriate forms of sustainable management for 860,000 ha of mangrove bordering the South China Sea, including the achievement of the following targets:</w:t>
      </w:r>
    </w:p>
    <w:p w14:paraId="06C5CDBF" w14:textId="77777777" w:rsidR="00DC77E7" w:rsidRPr="00DC77E7" w:rsidRDefault="00DC77E7" w:rsidP="00DC77E7">
      <w:pPr>
        <w:numPr>
          <w:ilvl w:val="0"/>
          <w:numId w:val="53"/>
        </w:numPr>
        <w:contextualSpacing/>
        <w:jc w:val="both"/>
        <w:rPr>
          <w:rFonts w:eastAsia="Calibri"/>
          <w:sz w:val="22"/>
          <w:szCs w:val="22"/>
        </w:rPr>
      </w:pPr>
      <w:r w:rsidRPr="00DC77E7">
        <w:rPr>
          <w:rFonts w:eastAsia="Calibri"/>
          <w:sz w:val="22"/>
          <w:szCs w:val="22"/>
        </w:rPr>
        <w:t>Declaration of 57,400 ha of mangrove as National Parks and Protected Areas</w:t>
      </w:r>
    </w:p>
    <w:p w14:paraId="6D72CFFB" w14:textId="77777777" w:rsidR="00DC77E7" w:rsidRPr="00DC77E7" w:rsidRDefault="00DC77E7" w:rsidP="00DC77E7">
      <w:pPr>
        <w:numPr>
          <w:ilvl w:val="0"/>
          <w:numId w:val="53"/>
        </w:numPr>
        <w:contextualSpacing/>
        <w:jc w:val="both"/>
        <w:rPr>
          <w:rFonts w:eastAsia="Calibri"/>
          <w:sz w:val="22"/>
          <w:szCs w:val="22"/>
        </w:rPr>
      </w:pPr>
      <w:r w:rsidRPr="00DC77E7">
        <w:rPr>
          <w:rFonts w:eastAsia="Calibri"/>
          <w:sz w:val="22"/>
          <w:szCs w:val="22"/>
        </w:rPr>
        <w:t>Designation and development of plans for the management of 166,600 ha of mangrove as non-conversion, sustainable use areas</w:t>
      </w:r>
    </w:p>
    <w:p w14:paraId="68A1C7D8" w14:textId="77777777" w:rsidR="00DC77E7" w:rsidRPr="00DC77E7" w:rsidRDefault="00DC77E7" w:rsidP="00DC77E7">
      <w:pPr>
        <w:numPr>
          <w:ilvl w:val="0"/>
          <w:numId w:val="53"/>
        </w:numPr>
        <w:contextualSpacing/>
        <w:jc w:val="both"/>
        <w:rPr>
          <w:rFonts w:eastAsia="Calibri"/>
          <w:sz w:val="22"/>
          <w:szCs w:val="22"/>
        </w:rPr>
      </w:pPr>
      <w:r w:rsidRPr="00DC77E7">
        <w:rPr>
          <w:rFonts w:eastAsia="Calibri"/>
          <w:sz w:val="22"/>
          <w:szCs w:val="22"/>
        </w:rPr>
        <w:t>Reform of laws and regulations for the sustainable use of 602,800 ha of mangrove forest</w:t>
      </w:r>
    </w:p>
    <w:p w14:paraId="217C8675" w14:textId="77777777" w:rsidR="00DC77E7" w:rsidRPr="00DC77E7" w:rsidRDefault="00DC77E7" w:rsidP="00DC77E7">
      <w:pPr>
        <w:numPr>
          <w:ilvl w:val="0"/>
          <w:numId w:val="53"/>
        </w:numPr>
        <w:contextualSpacing/>
        <w:jc w:val="both"/>
        <w:rPr>
          <w:rFonts w:eastAsia="Calibri"/>
          <w:sz w:val="22"/>
          <w:szCs w:val="22"/>
        </w:rPr>
      </w:pPr>
      <w:r w:rsidRPr="00DC77E7">
        <w:rPr>
          <w:rFonts w:eastAsia="Calibri"/>
          <w:sz w:val="22"/>
          <w:szCs w:val="22"/>
        </w:rPr>
        <w:t>Replanting of 21,000 ha of deforested mangrove land</w:t>
      </w:r>
    </w:p>
    <w:p w14:paraId="413EF9F1" w14:textId="77777777" w:rsidR="00DC77E7" w:rsidRPr="00DC77E7" w:rsidRDefault="00DC77E7" w:rsidP="00DC77E7">
      <w:pPr>
        <w:numPr>
          <w:ilvl w:val="0"/>
          <w:numId w:val="53"/>
        </w:numPr>
        <w:spacing w:after="120"/>
        <w:contextualSpacing/>
        <w:jc w:val="both"/>
        <w:rPr>
          <w:rFonts w:eastAsia="Calibri"/>
          <w:sz w:val="22"/>
          <w:szCs w:val="22"/>
        </w:rPr>
      </w:pPr>
      <w:r w:rsidRPr="00DC77E7">
        <w:rPr>
          <w:rFonts w:eastAsia="Calibri"/>
          <w:sz w:val="22"/>
          <w:szCs w:val="22"/>
        </w:rPr>
        <w:t>Biodiversity increased for 11,200 ha of mangrove forest via enrichment planting</w:t>
      </w:r>
    </w:p>
    <w:p w14:paraId="28075850" w14:textId="77777777" w:rsidR="00DC77E7" w:rsidRPr="00DC77E7" w:rsidRDefault="00DC77E7" w:rsidP="00DC77E7">
      <w:pPr>
        <w:spacing w:after="120"/>
        <w:jc w:val="both"/>
        <w:rPr>
          <w:rFonts w:eastAsia="Calibri"/>
          <w:sz w:val="22"/>
          <w:szCs w:val="22"/>
        </w:rPr>
      </w:pPr>
      <w:r w:rsidRPr="00DC77E7">
        <w:rPr>
          <w:rFonts w:eastAsia="Calibri"/>
          <w:sz w:val="22"/>
          <w:szCs w:val="22"/>
        </w:rPr>
        <w:t>5.2</w:t>
      </w:r>
      <w:r w:rsidRPr="00DC77E7">
        <w:rPr>
          <w:rFonts w:eastAsia="Calibri"/>
          <w:sz w:val="22"/>
          <w:szCs w:val="22"/>
        </w:rPr>
        <w:tab/>
        <w:t>Assume overall responsibility for the timely execution of project activities in support of the achievement of the abovementioned targets;</w:t>
      </w:r>
    </w:p>
    <w:p w14:paraId="3CD3ACA9" w14:textId="77777777" w:rsidR="00DC77E7" w:rsidRPr="00DC77E7" w:rsidRDefault="00DC77E7" w:rsidP="00DC77E7">
      <w:pPr>
        <w:spacing w:after="120"/>
        <w:jc w:val="both"/>
        <w:rPr>
          <w:rFonts w:eastAsia="Calibri"/>
          <w:sz w:val="22"/>
          <w:szCs w:val="22"/>
        </w:rPr>
      </w:pPr>
      <w:r w:rsidRPr="00DC77E7">
        <w:rPr>
          <w:rFonts w:eastAsia="Calibri"/>
          <w:sz w:val="22"/>
          <w:szCs w:val="22"/>
        </w:rPr>
        <w:t>5.3</w:t>
      </w:r>
      <w:r w:rsidRPr="00DC77E7">
        <w:rPr>
          <w:rFonts w:eastAsia="Calibri"/>
          <w:sz w:val="22"/>
          <w:szCs w:val="22"/>
        </w:rPr>
        <w:tab/>
        <w:t xml:space="preserve">Update, in close collaboration with the National Mangrove Committees, the regional mangrove meta-database  and GIS, including meta-data on biodiversity and the results of mangrove research pertaining to this project. </w:t>
      </w:r>
    </w:p>
    <w:p w14:paraId="1F93A0B2" w14:textId="77777777" w:rsidR="00DC77E7" w:rsidRPr="00DC77E7" w:rsidRDefault="00DC77E7" w:rsidP="00DC77E7">
      <w:pPr>
        <w:spacing w:after="120"/>
        <w:jc w:val="both"/>
        <w:rPr>
          <w:rFonts w:eastAsia="Calibri"/>
          <w:sz w:val="22"/>
          <w:szCs w:val="22"/>
        </w:rPr>
      </w:pPr>
      <w:r w:rsidRPr="00DC77E7">
        <w:rPr>
          <w:rFonts w:eastAsia="Calibri"/>
          <w:sz w:val="22"/>
          <w:szCs w:val="22"/>
        </w:rPr>
        <w:t>5.4</w:t>
      </w:r>
      <w:r w:rsidRPr="00DC77E7">
        <w:rPr>
          <w:rFonts w:eastAsia="Calibri"/>
          <w:sz w:val="22"/>
          <w:szCs w:val="22"/>
        </w:rPr>
        <w:tab/>
        <w:t>Develop, in close collaboration with the National Mangrove Committees, public awareness and information materials concerning the national and regional importance of such ecosystems;</w:t>
      </w:r>
    </w:p>
    <w:p w14:paraId="7D888335" w14:textId="77777777" w:rsidR="00DC77E7" w:rsidRPr="00DC77E7" w:rsidRDefault="00DC77E7" w:rsidP="00DC77E7">
      <w:pPr>
        <w:spacing w:after="120"/>
        <w:jc w:val="both"/>
        <w:rPr>
          <w:rFonts w:eastAsia="Calibri"/>
          <w:sz w:val="22"/>
          <w:szCs w:val="22"/>
        </w:rPr>
      </w:pPr>
      <w:r w:rsidRPr="00DC77E7">
        <w:rPr>
          <w:rFonts w:eastAsia="Calibri"/>
          <w:sz w:val="22"/>
          <w:szCs w:val="22"/>
        </w:rPr>
        <w:t>5.5</w:t>
      </w:r>
      <w:r w:rsidRPr="00DC77E7">
        <w:rPr>
          <w:rFonts w:eastAsia="Calibri"/>
          <w:sz w:val="22"/>
          <w:szCs w:val="22"/>
        </w:rPr>
        <w:tab/>
        <w:t>Update in close collaboration with the National Mangrove Committees, regional data sets relating to the economic valuation of mangrove ecosystems with a view to incorporation of such valuations in national economic and development planning;</w:t>
      </w:r>
    </w:p>
    <w:p w14:paraId="791E9172" w14:textId="77777777" w:rsidR="00DC77E7" w:rsidRPr="00DC77E7" w:rsidRDefault="00DC77E7" w:rsidP="00DC77E7">
      <w:pPr>
        <w:spacing w:after="120"/>
        <w:jc w:val="both"/>
        <w:rPr>
          <w:rFonts w:eastAsia="Calibri"/>
          <w:sz w:val="22"/>
          <w:szCs w:val="22"/>
        </w:rPr>
      </w:pPr>
      <w:r w:rsidRPr="00DC77E7">
        <w:rPr>
          <w:rFonts w:eastAsia="Calibri"/>
          <w:sz w:val="22"/>
          <w:szCs w:val="22"/>
        </w:rPr>
        <w:t>5.6</w:t>
      </w:r>
      <w:r w:rsidRPr="00DC77E7">
        <w:rPr>
          <w:rFonts w:eastAsia="Calibri"/>
          <w:sz w:val="22"/>
          <w:szCs w:val="22"/>
        </w:rPr>
        <w:tab/>
        <w:t>Receive, and review reports, data and information from the National Mangrove Committees and compile the regional syntheses regarding mangrove management needs and priorities;</w:t>
      </w:r>
    </w:p>
    <w:p w14:paraId="24BEB2BC" w14:textId="77777777" w:rsidR="00DC77E7" w:rsidRPr="00DC77E7" w:rsidRDefault="00DC77E7" w:rsidP="00DC77E7">
      <w:pPr>
        <w:spacing w:after="120"/>
        <w:jc w:val="both"/>
        <w:rPr>
          <w:rFonts w:eastAsia="Calibri"/>
          <w:sz w:val="22"/>
          <w:szCs w:val="22"/>
        </w:rPr>
      </w:pPr>
      <w:r w:rsidRPr="00DC77E7">
        <w:rPr>
          <w:rFonts w:eastAsia="Calibri"/>
          <w:sz w:val="22"/>
          <w:szCs w:val="22"/>
        </w:rPr>
        <w:t>5.7</w:t>
      </w:r>
      <w:r w:rsidRPr="00DC77E7">
        <w:rPr>
          <w:rFonts w:eastAsia="Calibri"/>
          <w:sz w:val="22"/>
          <w:szCs w:val="22"/>
        </w:rPr>
        <w:tab/>
        <w:t>Develop guidelines regarding best practices for sustainable mangrove management for adoption and application at national level in participating countries;</w:t>
      </w:r>
    </w:p>
    <w:p w14:paraId="42DB9490" w14:textId="77777777" w:rsidR="00DC77E7" w:rsidRPr="00DC77E7" w:rsidRDefault="00DC77E7" w:rsidP="00DC77E7">
      <w:pPr>
        <w:spacing w:after="120"/>
        <w:jc w:val="both"/>
        <w:rPr>
          <w:rFonts w:eastAsia="Calibri"/>
          <w:sz w:val="22"/>
          <w:szCs w:val="22"/>
        </w:rPr>
      </w:pPr>
      <w:r w:rsidRPr="00DC77E7">
        <w:rPr>
          <w:rFonts w:eastAsia="Calibri"/>
          <w:sz w:val="22"/>
          <w:szCs w:val="22"/>
        </w:rPr>
        <w:t>5.8</w:t>
      </w:r>
      <w:r w:rsidRPr="00DC77E7">
        <w:rPr>
          <w:rFonts w:eastAsia="Calibri"/>
          <w:sz w:val="22"/>
          <w:szCs w:val="22"/>
        </w:rPr>
        <w:tab/>
        <w:t>Develop, review and recommend for adoption by the Regional Scientific and Technical Committee the proposed targets and timelines that may be included in a revised Strategic Action programme in order to achieve, sustainable management of mangroves bordering the South China Sea in the longer-term;</w:t>
      </w:r>
    </w:p>
    <w:p w14:paraId="7CDF2FFA" w14:textId="77777777" w:rsidR="00DC77E7" w:rsidRPr="00DC77E7" w:rsidRDefault="00DC77E7" w:rsidP="00DC77E7">
      <w:pPr>
        <w:spacing w:after="120"/>
        <w:jc w:val="both"/>
        <w:rPr>
          <w:rFonts w:eastAsia="Calibri"/>
          <w:sz w:val="22"/>
          <w:szCs w:val="22"/>
        </w:rPr>
      </w:pPr>
      <w:r w:rsidRPr="00DC77E7">
        <w:rPr>
          <w:rFonts w:eastAsia="Calibri"/>
          <w:sz w:val="22"/>
          <w:szCs w:val="22"/>
        </w:rPr>
        <w:t>5.9</w:t>
      </w:r>
      <w:r w:rsidRPr="00DC77E7">
        <w:rPr>
          <w:rFonts w:eastAsia="Calibri"/>
          <w:sz w:val="22"/>
          <w:szCs w:val="22"/>
        </w:rPr>
        <w:tab/>
        <w:t>Prepare a regional review of national experiences in mangrove restoration with a view to developing widely applicable guidelines concerning best practices in mangrove restoration and rehabilitation;</w:t>
      </w:r>
    </w:p>
    <w:p w14:paraId="19407798" w14:textId="77777777" w:rsidR="00DC77E7" w:rsidRPr="00DC77E7" w:rsidRDefault="00DC77E7" w:rsidP="00DC77E7">
      <w:pPr>
        <w:spacing w:after="120"/>
        <w:jc w:val="both"/>
        <w:rPr>
          <w:rFonts w:eastAsia="Calibri"/>
          <w:sz w:val="22"/>
          <w:szCs w:val="22"/>
        </w:rPr>
      </w:pPr>
      <w:r w:rsidRPr="00DC77E7">
        <w:rPr>
          <w:rFonts w:eastAsia="Calibri"/>
          <w:sz w:val="22"/>
          <w:szCs w:val="22"/>
        </w:rPr>
        <w:t>5.10</w:t>
      </w:r>
      <w:r w:rsidRPr="00DC77E7">
        <w:rPr>
          <w:rFonts w:eastAsia="Calibri"/>
          <w:sz w:val="22"/>
          <w:szCs w:val="22"/>
        </w:rPr>
        <w:tab/>
        <w:t>Review and evaluate, at the regional level, progress in implementation of the mangrove activities of the project, and provide guidance for improvement when necessary; and</w:t>
      </w:r>
    </w:p>
    <w:p w14:paraId="5938B9BD" w14:textId="77777777" w:rsidR="00DC77E7" w:rsidRPr="00DC77E7" w:rsidRDefault="00DC77E7" w:rsidP="00DC77E7">
      <w:pPr>
        <w:spacing w:after="120"/>
        <w:jc w:val="both"/>
        <w:rPr>
          <w:rFonts w:eastAsia="Calibri"/>
          <w:sz w:val="22"/>
          <w:szCs w:val="22"/>
        </w:rPr>
      </w:pPr>
      <w:r w:rsidRPr="00DC77E7">
        <w:rPr>
          <w:rFonts w:eastAsia="Calibri"/>
          <w:sz w:val="22"/>
          <w:szCs w:val="22"/>
        </w:rPr>
        <w:t>5.11</w:t>
      </w:r>
      <w:r w:rsidRPr="00DC77E7">
        <w:rPr>
          <w:rFonts w:eastAsia="Calibri"/>
          <w:sz w:val="22"/>
          <w:szCs w:val="22"/>
        </w:rPr>
        <w:tab/>
        <w:t>Develop annual workplans and provide periodic progress reports to the Regional Scientific and Technical Committee.</w:t>
      </w:r>
    </w:p>
    <w:p w14:paraId="703A785A" w14:textId="77777777" w:rsidR="00DC77E7" w:rsidRPr="00DC77E7" w:rsidRDefault="00DC77E7" w:rsidP="00DC77E7">
      <w:pPr>
        <w:rPr>
          <w:rFonts w:eastAsia="Calibri"/>
          <w:sz w:val="22"/>
          <w:szCs w:val="22"/>
        </w:rPr>
      </w:pPr>
    </w:p>
    <w:p w14:paraId="0E27F5BB" w14:textId="77777777" w:rsidR="00DC77E7" w:rsidRPr="00DC77E7" w:rsidRDefault="00DC77E7" w:rsidP="00DC77E7">
      <w:pPr>
        <w:rPr>
          <w:rFonts w:eastAsia="Calibri"/>
          <w:sz w:val="22"/>
          <w:szCs w:val="22"/>
        </w:rPr>
      </w:pPr>
    </w:p>
    <w:p w14:paraId="2E0AC31A" w14:textId="77777777" w:rsidR="00DC77E7" w:rsidRPr="00DC77E7" w:rsidRDefault="00DC77E7" w:rsidP="00DC77E7">
      <w:pPr>
        <w:rPr>
          <w:rFonts w:eastAsia="Calibri"/>
          <w:sz w:val="22"/>
          <w:szCs w:val="22"/>
        </w:rPr>
      </w:pPr>
      <w:r w:rsidRPr="00DC77E7">
        <w:rPr>
          <w:rFonts w:eastAsia="Calibri"/>
          <w:sz w:val="22"/>
          <w:szCs w:val="22"/>
        </w:rPr>
        <w:br w:type="page"/>
      </w:r>
    </w:p>
    <w:p w14:paraId="6DEB90D0"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PROVISIONAL TERMS OF REFERENCE FOR THE</w:t>
      </w:r>
    </w:p>
    <w:p w14:paraId="011F69A3"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REGIONAL WORKING GROUP ON CORAL REEFS</w:t>
      </w:r>
    </w:p>
    <w:p w14:paraId="2D243F40" w14:textId="77777777" w:rsidR="00DC77E7" w:rsidRPr="00DC77E7" w:rsidRDefault="00DC77E7" w:rsidP="00DC77E7">
      <w:pPr>
        <w:rPr>
          <w:rFonts w:eastAsia="Calibri"/>
          <w:sz w:val="22"/>
          <w:szCs w:val="22"/>
        </w:rPr>
      </w:pPr>
    </w:p>
    <w:p w14:paraId="629B3418" w14:textId="77777777" w:rsidR="00DC77E7" w:rsidRPr="00DC77E7" w:rsidRDefault="00DC77E7" w:rsidP="00DC77E7">
      <w:pPr>
        <w:spacing w:after="120"/>
        <w:jc w:val="both"/>
        <w:rPr>
          <w:rFonts w:eastAsia="Calibri"/>
          <w:b/>
          <w:sz w:val="22"/>
          <w:szCs w:val="22"/>
          <w:lang w:val="en-GB"/>
        </w:rPr>
      </w:pPr>
      <w:r w:rsidRPr="00DC77E7">
        <w:rPr>
          <w:rFonts w:eastAsia="Calibri"/>
          <w:b/>
          <w:sz w:val="22"/>
          <w:szCs w:val="22"/>
          <w:lang w:val="en-GB"/>
        </w:rPr>
        <w:t>1.</w:t>
      </w:r>
      <w:r w:rsidRPr="00DC77E7">
        <w:rPr>
          <w:rFonts w:eastAsia="Calibri"/>
          <w:b/>
          <w:sz w:val="22"/>
          <w:szCs w:val="22"/>
          <w:lang w:val="en-GB"/>
        </w:rPr>
        <w:tab/>
        <w:t>RATIONALE AND PURPOSE OF A REGIONAL WORKING GROUP ON CORAL REEFS</w:t>
      </w:r>
    </w:p>
    <w:p w14:paraId="772A6ABF" w14:textId="77777777" w:rsidR="00DC77E7" w:rsidRPr="00DC77E7" w:rsidRDefault="00DC77E7" w:rsidP="00DC77E7">
      <w:pPr>
        <w:jc w:val="both"/>
        <w:rPr>
          <w:rFonts w:eastAsia="Calibri"/>
          <w:sz w:val="22"/>
          <w:szCs w:val="22"/>
        </w:rPr>
      </w:pPr>
      <w:r w:rsidRPr="00DC77E7">
        <w:rPr>
          <w:rFonts w:eastAsia="Calibri"/>
          <w:sz w:val="22"/>
          <w:szCs w:val="22"/>
        </w:rPr>
        <w:t>1.1</w:t>
      </w:r>
      <w:r w:rsidRPr="00DC77E7">
        <w:rPr>
          <w:rFonts w:eastAsia="Calibri"/>
          <w:sz w:val="22"/>
          <w:szCs w:val="22"/>
        </w:rPr>
        <w:tab/>
        <w:t>To facilitate the achievement of the Strategic Action Programme targets for coral reefs, a Regional Working Group on Coral Reefs (RWG-CR) shall be established with overall responsibility for: co-ordinating the work of the National Coral Reefs Committees established in each of the participating countries; for ensuring effective implementation of project activities undertaken in the context of the achievement of the coral reef management targets of the project; and to provide a mechanism for exchange of information and experience of coral reef management activities in each country.</w:t>
      </w:r>
    </w:p>
    <w:p w14:paraId="314E2ACE" w14:textId="77777777" w:rsidR="00DC77E7" w:rsidRPr="00DC77E7" w:rsidRDefault="00DC77E7" w:rsidP="00DC77E7">
      <w:pPr>
        <w:jc w:val="both"/>
        <w:rPr>
          <w:rFonts w:eastAsia="Calibri"/>
          <w:sz w:val="22"/>
          <w:szCs w:val="22"/>
        </w:rPr>
      </w:pPr>
    </w:p>
    <w:p w14:paraId="1ECCFFC6" w14:textId="77777777" w:rsidR="00DC77E7" w:rsidRPr="00DC77E7" w:rsidRDefault="00DC77E7" w:rsidP="00DC77E7">
      <w:pPr>
        <w:spacing w:after="120"/>
        <w:jc w:val="both"/>
        <w:rPr>
          <w:rFonts w:eastAsia="Calibri"/>
          <w:b/>
          <w:sz w:val="22"/>
          <w:szCs w:val="22"/>
        </w:rPr>
      </w:pPr>
      <w:r w:rsidRPr="00DC77E7">
        <w:rPr>
          <w:rFonts w:eastAsia="Calibri"/>
          <w:b/>
          <w:sz w:val="22"/>
          <w:szCs w:val="22"/>
        </w:rPr>
        <w:t>2.</w:t>
      </w:r>
      <w:r w:rsidRPr="00DC77E7">
        <w:rPr>
          <w:rFonts w:eastAsia="Calibri"/>
          <w:b/>
          <w:sz w:val="22"/>
          <w:szCs w:val="22"/>
        </w:rPr>
        <w:tab/>
        <w:t>MEMBERSHIP</w:t>
      </w:r>
    </w:p>
    <w:p w14:paraId="397D07BA" w14:textId="77777777" w:rsidR="00DC77E7" w:rsidRPr="00DC77E7" w:rsidRDefault="00DC77E7" w:rsidP="00DC77E7">
      <w:pPr>
        <w:spacing w:after="120"/>
        <w:jc w:val="both"/>
        <w:rPr>
          <w:rFonts w:eastAsia="Calibri"/>
          <w:sz w:val="22"/>
          <w:szCs w:val="22"/>
        </w:rPr>
      </w:pPr>
      <w:r w:rsidRPr="00DC77E7">
        <w:rPr>
          <w:rFonts w:eastAsia="Calibri"/>
          <w:sz w:val="22"/>
          <w:szCs w:val="22"/>
        </w:rPr>
        <w:t>2.1</w:t>
      </w:r>
      <w:r w:rsidRPr="00DC77E7">
        <w:rPr>
          <w:rFonts w:eastAsia="Calibri"/>
          <w:sz w:val="22"/>
          <w:szCs w:val="22"/>
        </w:rPr>
        <w:tab/>
        <w:t xml:space="preserve">The RWG-CR of the SCS-SAP Implementation Project shall consist of the Chairpersons of the National Coral Reef Committees together with one member of the SCS-SAP Implementation Unit and selected regional experts. The SCS-SAP Implementation Unit in consultation with the National Technical Focal Points for the project shall nominate no more than four such experts to ensure a balance of expertise and specialisation consistent with the mandate of the working group. </w:t>
      </w:r>
    </w:p>
    <w:p w14:paraId="0C9E3846" w14:textId="77777777" w:rsidR="00DC77E7" w:rsidRPr="00DC77E7" w:rsidRDefault="00DC77E7" w:rsidP="00DC77E7">
      <w:pPr>
        <w:jc w:val="both"/>
        <w:rPr>
          <w:rFonts w:eastAsia="Calibri"/>
          <w:sz w:val="22"/>
          <w:szCs w:val="22"/>
        </w:rPr>
      </w:pPr>
      <w:r w:rsidRPr="00DC77E7">
        <w:rPr>
          <w:rFonts w:eastAsia="Calibri"/>
          <w:sz w:val="22"/>
          <w:szCs w:val="22"/>
        </w:rPr>
        <w:t>2.2</w:t>
      </w:r>
      <w:r w:rsidRPr="00DC77E7">
        <w:rPr>
          <w:rFonts w:eastAsia="Calibri"/>
          <w:sz w:val="22"/>
          <w:szCs w:val="22"/>
        </w:rPr>
        <w:tab/>
        <w:t>The membership of the RWG-CR shall be formally established at the first meeting of the Working Group, which shall elect a Chairperson and a Vice-Chair from amongst its members. The Vice-Chair shall act as Chairperson of meetings in the absence of the Chairperson. The Chairperson of the RWG-CR will represent the RWG-CR on the Regional Scientific and Technical Committee (RSTC) and will attend the meetings of that Committee.</w:t>
      </w:r>
    </w:p>
    <w:p w14:paraId="2CE196C5" w14:textId="77777777" w:rsidR="00DC77E7" w:rsidRPr="00DC77E7" w:rsidRDefault="00DC77E7" w:rsidP="00DC77E7">
      <w:pPr>
        <w:rPr>
          <w:rFonts w:eastAsia="Calibri"/>
          <w:sz w:val="22"/>
          <w:szCs w:val="22"/>
        </w:rPr>
      </w:pPr>
    </w:p>
    <w:p w14:paraId="6561C607" w14:textId="77777777" w:rsidR="00DC77E7" w:rsidRPr="00DC77E7" w:rsidRDefault="00DC77E7" w:rsidP="00DC77E7">
      <w:pPr>
        <w:spacing w:after="120"/>
        <w:rPr>
          <w:rFonts w:eastAsia="Calibri"/>
          <w:b/>
          <w:caps/>
          <w:sz w:val="22"/>
          <w:szCs w:val="22"/>
        </w:rPr>
      </w:pPr>
      <w:r w:rsidRPr="00DC77E7">
        <w:rPr>
          <w:rFonts w:eastAsia="Calibri"/>
          <w:b/>
          <w:caps/>
          <w:sz w:val="22"/>
          <w:szCs w:val="22"/>
        </w:rPr>
        <w:t>3.</w:t>
      </w:r>
      <w:r w:rsidRPr="00DC77E7">
        <w:rPr>
          <w:rFonts w:eastAsia="Calibri"/>
          <w:b/>
          <w:caps/>
          <w:sz w:val="22"/>
          <w:szCs w:val="22"/>
        </w:rPr>
        <w:tab/>
        <w:t>Secretariat</w:t>
      </w:r>
    </w:p>
    <w:p w14:paraId="72F6D8CD" w14:textId="77777777" w:rsidR="00DC77E7" w:rsidRPr="00DC77E7" w:rsidRDefault="00DC77E7" w:rsidP="00DC77E7">
      <w:pPr>
        <w:jc w:val="both"/>
        <w:rPr>
          <w:rFonts w:eastAsia="Calibri"/>
          <w:sz w:val="22"/>
          <w:szCs w:val="22"/>
        </w:rPr>
      </w:pPr>
      <w:r w:rsidRPr="00DC77E7">
        <w:rPr>
          <w:rFonts w:eastAsia="Calibri"/>
          <w:sz w:val="22"/>
          <w:szCs w:val="22"/>
        </w:rPr>
        <w:t>3.1</w:t>
      </w:r>
      <w:r w:rsidRPr="00DC77E7">
        <w:rPr>
          <w:rFonts w:eastAsia="Calibri"/>
          <w:sz w:val="22"/>
          <w:szCs w:val="22"/>
        </w:rPr>
        <w:tab/>
        <w:t xml:space="preserve">The SCS-SAP Implementation Unit (SCS-SAP IU) shall act as Secretariat to the RWG-CR, and shall ensure that reports of the meetings are circulated to all members of the working group, and are copied to the members of the Regional Scientific and Technical Committee. The National Coral Reef Committees shall serve as the principal source of national scientific and technical data and information to the RWG-CR. </w:t>
      </w:r>
    </w:p>
    <w:p w14:paraId="02E81DA6" w14:textId="77777777" w:rsidR="00DC77E7" w:rsidRPr="00DC77E7" w:rsidRDefault="00DC77E7" w:rsidP="00DC77E7">
      <w:pPr>
        <w:rPr>
          <w:rFonts w:eastAsia="Calibri"/>
          <w:sz w:val="22"/>
          <w:szCs w:val="22"/>
        </w:rPr>
      </w:pPr>
    </w:p>
    <w:p w14:paraId="1DC60F72" w14:textId="77777777" w:rsidR="00DC77E7" w:rsidRPr="00DC77E7" w:rsidRDefault="00DC77E7" w:rsidP="00DC77E7">
      <w:pPr>
        <w:spacing w:after="120"/>
        <w:rPr>
          <w:rFonts w:eastAsia="Calibri"/>
          <w:b/>
          <w:caps/>
          <w:sz w:val="22"/>
          <w:szCs w:val="22"/>
        </w:rPr>
      </w:pPr>
      <w:r w:rsidRPr="00DC77E7">
        <w:rPr>
          <w:rFonts w:eastAsia="Calibri"/>
          <w:b/>
          <w:caps/>
          <w:sz w:val="22"/>
          <w:szCs w:val="22"/>
        </w:rPr>
        <w:t>4.</w:t>
      </w:r>
      <w:r w:rsidRPr="00DC77E7">
        <w:rPr>
          <w:rFonts w:eastAsia="Calibri"/>
          <w:b/>
          <w:caps/>
          <w:sz w:val="22"/>
          <w:szCs w:val="22"/>
        </w:rPr>
        <w:tab/>
        <w:t>Meetings of the Committee</w:t>
      </w:r>
    </w:p>
    <w:p w14:paraId="524B4D5A" w14:textId="77777777" w:rsidR="00DC77E7" w:rsidRPr="00DC77E7" w:rsidRDefault="00DC77E7" w:rsidP="00DC77E7">
      <w:pPr>
        <w:jc w:val="both"/>
        <w:rPr>
          <w:rFonts w:eastAsia="Calibri"/>
          <w:sz w:val="22"/>
          <w:szCs w:val="22"/>
        </w:rPr>
      </w:pPr>
      <w:r w:rsidRPr="00DC77E7">
        <w:rPr>
          <w:rFonts w:eastAsia="Calibri"/>
          <w:sz w:val="22"/>
          <w:szCs w:val="22"/>
        </w:rPr>
        <w:t>4.1</w:t>
      </w:r>
      <w:r w:rsidRPr="00DC77E7">
        <w:rPr>
          <w:rFonts w:eastAsia="Calibri"/>
          <w:sz w:val="22"/>
          <w:szCs w:val="22"/>
        </w:rPr>
        <w:tab/>
        <w:t>The SCS-SAP Implementation Unit in consultation with the Chairperson shall convene meetings of the RWG-CR according to an agreed schedule, which will form part of the agreed work plan and timetable for the work of the Committee. The first meeting of the RWG-CR will be convened within three months of signature of the operational project document to agree on the detailed activities, workplan and timetable for the first twenty-four months of project execution leading to the project’s mid-term review.</w:t>
      </w:r>
    </w:p>
    <w:p w14:paraId="2DE3445F" w14:textId="77777777" w:rsidR="00DC77E7" w:rsidRPr="00DC77E7" w:rsidRDefault="00DC77E7" w:rsidP="00DC77E7">
      <w:pPr>
        <w:jc w:val="both"/>
        <w:rPr>
          <w:rFonts w:eastAsia="Calibri"/>
          <w:sz w:val="22"/>
          <w:szCs w:val="22"/>
        </w:rPr>
      </w:pPr>
    </w:p>
    <w:p w14:paraId="02C2BFB7" w14:textId="77777777" w:rsidR="00DC77E7" w:rsidRPr="00DC77E7" w:rsidRDefault="00DC77E7" w:rsidP="00DC77E7">
      <w:pPr>
        <w:spacing w:after="120"/>
        <w:jc w:val="both"/>
        <w:rPr>
          <w:rFonts w:eastAsia="Calibri"/>
          <w:b/>
          <w:caps/>
          <w:sz w:val="22"/>
          <w:szCs w:val="22"/>
        </w:rPr>
      </w:pPr>
      <w:r w:rsidRPr="00DC77E7">
        <w:rPr>
          <w:rFonts w:eastAsia="Calibri"/>
          <w:b/>
          <w:caps/>
          <w:sz w:val="22"/>
          <w:szCs w:val="22"/>
        </w:rPr>
        <w:t>5.</w:t>
      </w:r>
      <w:r w:rsidRPr="00DC77E7">
        <w:rPr>
          <w:rFonts w:eastAsia="Calibri"/>
          <w:b/>
          <w:caps/>
          <w:sz w:val="22"/>
          <w:szCs w:val="22"/>
        </w:rPr>
        <w:tab/>
        <w:t>Terms of Reference</w:t>
      </w:r>
    </w:p>
    <w:p w14:paraId="044182BC" w14:textId="77777777" w:rsidR="00DC77E7" w:rsidRPr="00DC77E7" w:rsidRDefault="00DC77E7" w:rsidP="00DC77E7">
      <w:pPr>
        <w:spacing w:after="120"/>
        <w:jc w:val="both"/>
        <w:rPr>
          <w:rFonts w:eastAsia="Calibri"/>
          <w:b/>
          <w:sz w:val="22"/>
          <w:szCs w:val="22"/>
        </w:rPr>
      </w:pPr>
      <w:r w:rsidRPr="00DC77E7">
        <w:rPr>
          <w:rFonts w:eastAsia="Calibri"/>
          <w:b/>
          <w:sz w:val="22"/>
          <w:szCs w:val="22"/>
        </w:rPr>
        <w:t>The RWG-CR shall:</w:t>
      </w:r>
    </w:p>
    <w:p w14:paraId="60412310" w14:textId="77777777" w:rsidR="00DC77E7" w:rsidRPr="00DC77E7" w:rsidRDefault="00DC77E7" w:rsidP="00DC77E7">
      <w:pPr>
        <w:spacing w:after="120"/>
        <w:jc w:val="both"/>
        <w:rPr>
          <w:rFonts w:eastAsia="Calibri"/>
          <w:sz w:val="22"/>
          <w:szCs w:val="22"/>
        </w:rPr>
      </w:pPr>
      <w:r w:rsidRPr="00DC77E7">
        <w:rPr>
          <w:rFonts w:eastAsia="Calibri"/>
          <w:sz w:val="22"/>
          <w:szCs w:val="22"/>
        </w:rPr>
        <w:t>5.1</w:t>
      </w:r>
      <w:r w:rsidRPr="00DC77E7">
        <w:rPr>
          <w:rFonts w:eastAsia="Calibri"/>
          <w:sz w:val="22"/>
          <w:szCs w:val="22"/>
        </w:rPr>
        <w:tab/>
        <w:t>Provide direction, and strategic guidance to the National Coral Reef Committees regarding the sustainable management of 153,000 ha of coral reef at 82 priority sites by Yr 5, including a reduction in the decadal rate of degradation in live coral cover from 16 to 5%, including the achievement of the following targets:</w:t>
      </w:r>
    </w:p>
    <w:p w14:paraId="3DEB198F" w14:textId="77777777" w:rsidR="00DC77E7" w:rsidRPr="00DC77E7" w:rsidRDefault="00DC77E7" w:rsidP="00DC77E7">
      <w:pPr>
        <w:numPr>
          <w:ilvl w:val="0"/>
          <w:numId w:val="53"/>
        </w:numPr>
        <w:contextualSpacing/>
        <w:jc w:val="both"/>
        <w:rPr>
          <w:rFonts w:eastAsia="Calibri"/>
          <w:sz w:val="22"/>
          <w:szCs w:val="22"/>
        </w:rPr>
      </w:pPr>
      <w:r w:rsidRPr="00DC77E7">
        <w:rPr>
          <w:rFonts w:eastAsia="Calibri"/>
          <w:sz w:val="22"/>
          <w:szCs w:val="22"/>
        </w:rPr>
        <w:t xml:space="preserve">Management capacity built for 82 coral reef sites </w:t>
      </w:r>
    </w:p>
    <w:p w14:paraId="7F405E0F" w14:textId="77777777" w:rsidR="00DC77E7" w:rsidRPr="00DC77E7" w:rsidRDefault="00DC77E7" w:rsidP="00DC77E7">
      <w:pPr>
        <w:numPr>
          <w:ilvl w:val="0"/>
          <w:numId w:val="53"/>
        </w:numPr>
        <w:contextualSpacing/>
        <w:jc w:val="both"/>
        <w:rPr>
          <w:rFonts w:eastAsia="Calibri"/>
          <w:sz w:val="22"/>
          <w:szCs w:val="22"/>
        </w:rPr>
      </w:pPr>
      <w:r w:rsidRPr="00DC77E7">
        <w:rPr>
          <w:rFonts w:eastAsia="Calibri"/>
          <w:sz w:val="22"/>
          <w:szCs w:val="22"/>
        </w:rPr>
        <w:t>Management approaches (integrated, community-based, multiple use) improved at 82 coral reef sites</w:t>
      </w:r>
    </w:p>
    <w:p w14:paraId="636560DB" w14:textId="77777777" w:rsidR="00DC77E7" w:rsidRPr="00DC77E7" w:rsidRDefault="00DC77E7" w:rsidP="00DC77E7">
      <w:pPr>
        <w:numPr>
          <w:ilvl w:val="0"/>
          <w:numId w:val="53"/>
        </w:numPr>
        <w:contextualSpacing/>
        <w:jc w:val="both"/>
        <w:rPr>
          <w:rFonts w:eastAsia="Calibri"/>
          <w:sz w:val="22"/>
          <w:szCs w:val="22"/>
        </w:rPr>
      </w:pPr>
      <w:r w:rsidRPr="00DC77E7">
        <w:rPr>
          <w:rFonts w:eastAsia="Calibri"/>
          <w:sz w:val="22"/>
          <w:szCs w:val="22"/>
        </w:rPr>
        <w:t>Management tools (licensing and permit systems, seasonal closures, zoning) developed and utilized to address key threats at priority sites</w:t>
      </w:r>
    </w:p>
    <w:p w14:paraId="434191B1" w14:textId="77777777" w:rsidR="00DC77E7" w:rsidRPr="00DC77E7" w:rsidRDefault="00DC77E7" w:rsidP="00DC77E7">
      <w:pPr>
        <w:numPr>
          <w:ilvl w:val="0"/>
          <w:numId w:val="53"/>
        </w:numPr>
        <w:spacing w:after="120"/>
        <w:contextualSpacing/>
        <w:jc w:val="both"/>
        <w:rPr>
          <w:rFonts w:eastAsia="Calibri"/>
          <w:sz w:val="22"/>
          <w:szCs w:val="22"/>
        </w:rPr>
      </w:pPr>
      <w:r w:rsidRPr="00DC77E7">
        <w:rPr>
          <w:rFonts w:eastAsia="Calibri"/>
          <w:sz w:val="22"/>
          <w:szCs w:val="22"/>
        </w:rPr>
        <w:t>Established mechanism for the monitoring of management, ecological and socio-economic indicators at 82 sites</w:t>
      </w:r>
    </w:p>
    <w:p w14:paraId="457F0EDD" w14:textId="77777777" w:rsidR="00DC77E7" w:rsidRPr="00DC77E7" w:rsidRDefault="00DC77E7" w:rsidP="00DC77E7">
      <w:pPr>
        <w:spacing w:after="120"/>
        <w:jc w:val="both"/>
        <w:rPr>
          <w:rFonts w:eastAsia="Calibri"/>
          <w:sz w:val="22"/>
          <w:szCs w:val="22"/>
        </w:rPr>
      </w:pPr>
      <w:r w:rsidRPr="00DC77E7">
        <w:rPr>
          <w:rFonts w:eastAsia="Calibri"/>
          <w:sz w:val="22"/>
          <w:szCs w:val="22"/>
        </w:rPr>
        <w:t>5.2</w:t>
      </w:r>
      <w:r w:rsidRPr="00DC77E7">
        <w:rPr>
          <w:rFonts w:eastAsia="Calibri"/>
          <w:sz w:val="22"/>
          <w:szCs w:val="22"/>
        </w:rPr>
        <w:tab/>
        <w:t>Assume overall responsibility for the timely execution of project activities in support of the achievement of the abovementioned targets;</w:t>
      </w:r>
    </w:p>
    <w:p w14:paraId="366A0CC7" w14:textId="77777777" w:rsidR="00DC77E7" w:rsidRPr="00DC77E7" w:rsidRDefault="00DC77E7" w:rsidP="00DC77E7">
      <w:pPr>
        <w:spacing w:after="120"/>
        <w:jc w:val="both"/>
        <w:rPr>
          <w:rFonts w:eastAsia="Calibri"/>
          <w:sz w:val="22"/>
          <w:szCs w:val="22"/>
        </w:rPr>
      </w:pPr>
      <w:r w:rsidRPr="00DC77E7">
        <w:rPr>
          <w:rFonts w:eastAsia="Calibri"/>
          <w:sz w:val="22"/>
          <w:szCs w:val="22"/>
        </w:rPr>
        <w:t>5.3</w:t>
      </w:r>
      <w:r w:rsidRPr="00DC77E7">
        <w:rPr>
          <w:rFonts w:eastAsia="Calibri"/>
          <w:sz w:val="22"/>
          <w:szCs w:val="22"/>
        </w:rPr>
        <w:tab/>
        <w:t xml:space="preserve">Update, in close collaboration with the National Coral Reef Committees, the regional coral reef meta-database and GIS, including meta-data on biodiversity and the results of coral reef research pertaining to this project. </w:t>
      </w:r>
    </w:p>
    <w:p w14:paraId="1D78F5A1" w14:textId="77777777" w:rsidR="00DC77E7" w:rsidRPr="00DC77E7" w:rsidRDefault="00DC77E7" w:rsidP="00DC77E7">
      <w:pPr>
        <w:spacing w:after="120"/>
        <w:jc w:val="both"/>
        <w:rPr>
          <w:rFonts w:eastAsia="Calibri"/>
          <w:sz w:val="22"/>
          <w:szCs w:val="22"/>
        </w:rPr>
      </w:pPr>
      <w:r w:rsidRPr="00DC77E7">
        <w:rPr>
          <w:rFonts w:eastAsia="Calibri"/>
          <w:sz w:val="22"/>
          <w:szCs w:val="22"/>
        </w:rPr>
        <w:t>5.4</w:t>
      </w:r>
      <w:r w:rsidRPr="00DC77E7">
        <w:rPr>
          <w:rFonts w:eastAsia="Calibri"/>
          <w:sz w:val="22"/>
          <w:szCs w:val="22"/>
        </w:rPr>
        <w:tab/>
        <w:t>Develop, in close collaboration with the National Coral Reef Committees, public awareness and information materials concerning the national and regional importance of such ecosystems;</w:t>
      </w:r>
    </w:p>
    <w:p w14:paraId="4473D1F8" w14:textId="77777777" w:rsidR="00DC77E7" w:rsidRPr="00DC77E7" w:rsidRDefault="00DC77E7" w:rsidP="00DC77E7">
      <w:pPr>
        <w:spacing w:after="120"/>
        <w:jc w:val="both"/>
        <w:rPr>
          <w:rFonts w:eastAsia="Calibri"/>
          <w:sz w:val="22"/>
          <w:szCs w:val="22"/>
        </w:rPr>
      </w:pPr>
      <w:r w:rsidRPr="00DC77E7">
        <w:rPr>
          <w:rFonts w:eastAsia="Calibri"/>
          <w:sz w:val="22"/>
          <w:szCs w:val="22"/>
        </w:rPr>
        <w:t>5.5</w:t>
      </w:r>
      <w:r w:rsidRPr="00DC77E7">
        <w:rPr>
          <w:rFonts w:eastAsia="Calibri"/>
          <w:sz w:val="22"/>
          <w:szCs w:val="22"/>
        </w:rPr>
        <w:tab/>
        <w:t>Update in close collaboration with the National Coral Reef Committees, regional data sets relating to the economic valuation of coral reef ecosystems with a view to incorporation of such valuations in national economic and development planning;</w:t>
      </w:r>
    </w:p>
    <w:p w14:paraId="2A4ADE94" w14:textId="77777777" w:rsidR="00DC77E7" w:rsidRPr="00DC77E7" w:rsidRDefault="00DC77E7" w:rsidP="00DC77E7">
      <w:pPr>
        <w:spacing w:after="120"/>
        <w:jc w:val="both"/>
        <w:rPr>
          <w:rFonts w:eastAsia="Calibri"/>
          <w:sz w:val="22"/>
          <w:szCs w:val="22"/>
        </w:rPr>
      </w:pPr>
      <w:r w:rsidRPr="00DC77E7">
        <w:rPr>
          <w:rFonts w:eastAsia="Calibri"/>
          <w:sz w:val="22"/>
          <w:szCs w:val="22"/>
        </w:rPr>
        <w:t>5.6</w:t>
      </w:r>
      <w:r w:rsidRPr="00DC77E7">
        <w:rPr>
          <w:rFonts w:eastAsia="Calibri"/>
          <w:sz w:val="22"/>
          <w:szCs w:val="22"/>
        </w:rPr>
        <w:tab/>
        <w:t>Receive, and review reports, data and information from the National Coral Reef Committees and compile the regional syntheses regarding coral reef management needs and priorities;</w:t>
      </w:r>
    </w:p>
    <w:p w14:paraId="1549922F" w14:textId="77777777" w:rsidR="00DC77E7" w:rsidRPr="00DC77E7" w:rsidRDefault="00DC77E7" w:rsidP="00DC77E7">
      <w:pPr>
        <w:spacing w:after="120"/>
        <w:jc w:val="both"/>
        <w:rPr>
          <w:rFonts w:eastAsia="Calibri"/>
          <w:sz w:val="22"/>
          <w:szCs w:val="22"/>
        </w:rPr>
      </w:pPr>
      <w:r w:rsidRPr="00DC77E7">
        <w:rPr>
          <w:rFonts w:eastAsia="Calibri"/>
          <w:sz w:val="22"/>
          <w:szCs w:val="22"/>
        </w:rPr>
        <w:t>5.7</w:t>
      </w:r>
      <w:r w:rsidRPr="00DC77E7">
        <w:rPr>
          <w:rFonts w:eastAsia="Calibri"/>
          <w:sz w:val="22"/>
          <w:szCs w:val="22"/>
        </w:rPr>
        <w:tab/>
        <w:t>Develop guidelines regarding best practices for sustainable coral reef management for adoption and application at national level in participating countries;</w:t>
      </w:r>
    </w:p>
    <w:p w14:paraId="4279D450" w14:textId="77777777" w:rsidR="00DC77E7" w:rsidRPr="00DC77E7" w:rsidRDefault="00DC77E7" w:rsidP="00DC77E7">
      <w:pPr>
        <w:spacing w:after="120"/>
        <w:jc w:val="both"/>
        <w:rPr>
          <w:rFonts w:eastAsia="Calibri"/>
          <w:sz w:val="22"/>
          <w:szCs w:val="22"/>
        </w:rPr>
      </w:pPr>
      <w:r w:rsidRPr="00DC77E7">
        <w:rPr>
          <w:rFonts w:eastAsia="Calibri"/>
          <w:sz w:val="22"/>
          <w:szCs w:val="22"/>
        </w:rPr>
        <w:t>5.8</w:t>
      </w:r>
      <w:r w:rsidRPr="00DC77E7">
        <w:rPr>
          <w:rFonts w:eastAsia="Calibri"/>
          <w:sz w:val="22"/>
          <w:szCs w:val="22"/>
        </w:rPr>
        <w:tab/>
        <w:t>Develop, review and recommend for adoption by the Regional Scientific and Technical Committee the proposed targets and timelines that may be included in a revised Strategic Action programme in order to achieve, sustainable management of coral reefs bordering the South China Sea in the longer-term;</w:t>
      </w:r>
    </w:p>
    <w:p w14:paraId="56D2E697" w14:textId="77777777" w:rsidR="00DC77E7" w:rsidRPr="00DC77E7" w:rsidRDefault="00DC77E7" w:rsidP="00DC77E7">
      <w:pPr>
        <w:spacing w:after="120"/>
        <w:jc w:val="both"/>
        <w:rPr>
          <w:rFonts w:eastAsia="Calibri"/>
          <w:sz w:val="22"/>
          <w:szCs w:val="22"/>
        </w:rPr>
      </w:pPr>
      <w:r w:rsidRPr="00DC77E7">
        <w:rPr>
          <w:rFonts w:eastAsia="Calibri"/>
          <w:sz w:val="22"/>
          <w:szCs w:val="22"/>
        </w:rPr>
        <w:t>5.9</w:t>
      </w:r>
      <w:r w:rsidRPr="00DC77E7">
        <w:rPr>
          <w:rFonts w:eastAsia="Calibri"/>
          <w:sz w:val="22"/>
          <w:szCs w:val="22"/>
        </w:rPr>
        <w:tab/>
        <w:t>Prepare a regional review of national experiences in coral reef restoration with a view to developing widely applicable guidelines concerning best practices in coral reef restoration and rehabilitation;</w:t>
      </w:r>
    </w:p>
    <w:p w14:paraId="73E50D6A" w14:textId="77777777" w:rsidR="00DC77E7" w:rsidRPr="00DC77E7" w:rsidRDefault="00DC77E7" w:rsidP="00DC77E7">
      <w:pPr>
        <w:spacing w:after="120"/>
        <w:jc w:val="both"/>
        <w:rPr>
          <w:rFonts w:eastAsia="Calibri"/>
          <w:sz w:val="22"/>
          <w:szCs w:val="22"/>
        </w:rPr>
      </w:pPr>
      <w:r w:rsidRPr="00DC77E7">
        <w:rPr>
          <w:rFonts w:eastAsia="Calibri"/>
          <w:sz w:val="22"/>
          <w:szCs w:val="22"/>
        </w:rPr>
        <w:t>5.10</w:t>
      </w:r>
      <w:r w:rsidRPr="00DC77E7">
        <w:rPr>
          <w:rFonts w:eastAsia="Calibri"/>
          <w:sz w:val="22"/>
          <w:szCs w:val="22"/>
        </w:rPr>
        <w:tab/>
        <w:t>Review and evaluate, at the regional level, progress in implementation of the coral reef activities of the project, and provide guidance for improvement when necessary; and</w:t>
      </w:r>
    </w:p>
    <w:p w14:paraId="35407E30" w14:textId="77777777" w:rsidR="00DC77E7" w:rsidRPr="00DC77E7" w:rsidRDefault="00DC77E7" w:rsidP="00DC77E7">
      <w:pPr>
        <w:spacing w:after="120"/>
        <w:jc w:val="both"/>
        <w:rPr>
          <w:rFonts w:eastAsia="Calibri"/>
          <w:sz w:val="22"/>
          <w:szCs w:val="22"/>
        </w:rPr>
      </w:pPr>
      <w:r w:rsidRPr="00DC77E7">
        <w:rPr>
          <w:rFonts w:eastAsia="Calibri"/>
          <w:sz w:val="22"/>
          <w:szCs w:val="22"/>
        </w:rPr>
        <w:t>5.11</w:t>
      </w:r>
      <w:r w:rsidRPr="00DC77E7">
        <w:rPr>
          <w:rFonts w:eastAsia="Calibri"/>
          <w:sz w:val="22"/>
          <w:szCs w:val="22"/>
        </w:rPr>
        <w:tab/>
        <w:t>Develop annual workplans and provide periodic progress reports to the Regional Scientific and Technical Committee.</w:t>
      </w:r>
    </w:p>
    <w:p w14:paraId="0635D9D2" w14:textId="77777777" w:rsidR="00DC77E7" w:rsidRPr="00DC77E7" w:rsidRDefault="00DC77E7" w:rsidP="00DC77E7">
      <w:pPr>
        <w:rPr>
          <w:rFonts w:eastAsia="Calibri"/>
          <w:sz w:val="22"/>
          <w:szCs w:val="22"/>
        </w:rPr>
      </w:pPr>
    </w:p>
    <w:p w14:paraId="5AF213B8" w14:textId="77777777" w:rsidR="00DC77E7" w:rsidRPr="00DC77E7" w:rsidRDefault="00DC77E7" w:rsidP="00DC77E7">
      <w:pPr>
        <w:rPr>
          <w:rFonts w:eastAsia="Calibri"/>
          <w:sz w:val="22"/>
          <w:szCs w:val="22"/>
        </w:rPr>
      </w:pPr>
      <w:r w:rsidRPr="00DC77E7">
        <w:rPr>
          <w:rFonts w:eastAsia="Calibri"/>
          <w:sz w:val="22"/>
          <w:szCs w:val="22"/>
        </w:rPr>
        <w:br w:type="page"/>
      </w:r>
    </w:p>
    <w:p w14:paraId="13EB7029"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PROVISIONAL TERMS OF REFERENCE FOR THE</w:t>
      </w:r>
    </w:p>
    <w:p w14:paraId="4A3A811A"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REGIONAL WORKING GROUP ON SEAGRASS</w:t>
      </w:r>
    </w:p>
    <w:p w14:paraId="4177A2BA" w14:textId="77777777" w:rsidR="00DC77E7" w:rsidRPr="00DC77E7" w:rsidRDefault="00DC77E7" w:rsidP="00DC77E7">
      <w:pPr>
        <w:rPr>
          <w:rFonts w:eastAsia="Calibri"/>
          <w:sz w:val="22"/>
          <w:szCs w:val="22"/>
        </w:rPr>
      </w:pPr>
    </w:p>
    <w:p w14:paraId="25AAA312" w14:textId="77777777" w:rsidR="00DC77E7" w:rsidRPr="00DC77E7" w:rsidRDefault="00DC77E7" w:rsidP="00DC77E7">
      <w:pPr>
        <w:spacing w:after="120"/>
        <w:jc w:val="both"/>
        <w:rPr>
          <w:rFonts w:eastAsia="Calibri"/>
          <w:b/>
          <w:sz w:val="22"/>
          <w:szCs w:val="22"/>
          <w:lang w:val="en-GB"/>
        </w:rPr>
      </w:pPr>
      <w:r w:rsidRPr="00DC77E7">
        <w:rPr>
          <w:rFonts w:eastAsia="Calibri"/>
          <w:b/>
          <w:sz w:val="22"/>
          <w:szCs w:val="22"/>
          <w:lang w:val="en-GB"/>
        </w:rPr>
        <w:t>1.</w:t>
      </w:r>
      <w:r w:rsidRPr="00DC77E7">
        <w:rPr>
          <w:rFonts w:eastAsia="Calibri"/>
          <w:b/>
          <w:sz w:val="22"/>
          <w:szCs w:val="22"/>
          <w:lang w:val="en-GB"/>
        </w:rPr>
        <w:tab/>
        <w:t>RATIONALE AND PURPOSE OF A REGIONAL WORKING GROUP ON SEAGRASS</w:t>
      </w:r>
    </w:p>
    <w:p w14:paraId="1E3EB9CA" w14:textId="77777777" w:rsidR="00DC77E7" w:rsidRPr="00DC77E7" w:rsidRDefault="00DC77E7" w:rsidP="00DC77E7">
      <w:pPr>
        <w:jc w:val="both"/>
        <w:rPr>
          <w:rFonts w:eastAsia="Calibri"/>
          <w:sz w:val="22"/>
          <w:szCs w:val="22"/>
        </w:rPr>
      </w:pPr>
      <w:r w:rsidRPr="00DC77E7">
        <w:rPr>
          <w:rFonts w:eastAsia="Calibri"/>
          <w:sz w:val="22"/>
          <w:szCs w:val="22"/>
        </w:rPr>
        <w:t>1.1</w:t>
      </w:r>
      <w:r w:rsidRPr="00DC77E7">
        <w:rPr>
          <w:rFonts w:eastAsia="Calibri"/>
          <w:sz w:val="22"/>
          <w:szCs w:val="22"/>
        </w:rPr>
        <w:tab/>
        <w:t>To facilitate the achievement of the Strategic Action Programme targets for seagrass, a Regional Working Group on seagrass (RWG-SG) shall be established with overall responsibility for: co-ordinating the work of the National Seagrass Committees established in each of the participating countries; for ensuring effective implementation of project activities undertaken in the context of the achievement of the seagrass management targets of the project; and to provide a mechanism for exchange of information and experience of seagrass management activities in each country.</w:t>
      </w:r>
    </w:p>
    <w:p w14:paraId="676A4276" w14:textId="77777777" w:rsidR="00DC77E7" w:rsidRPr="00DC77E7" w:rsidRDefault="00DC77E7" w:rsidP="00DC77E7">
      <w:pPr>
        <w:jc w:val="both"/>
        <w:rPr>
          <w:rFonts w:eastAsia="Calibri"/>
          <w:sz w:val="22"/>
          <w:szCs w:val="22"/>
        </w:rPr>
      </w:pPr>
    </w:p>
    <w:p w14:paraId="72849F07" w14:textId="77777777" w:rsidR="00DC77E7" w:rsidRPr="00DC77E7" w:rsidRDefault="00DC77E7" w:rsidP="00DC77E7">
      <w:pPr>
        <w:spacing w:after="120"/>
        <w:jc w:val="both"/>
        <w:rPr>
          <w:rFonts w:eastAsia="Calibri"/>
          <w:b/>
          <w:sz w:val="22"/>
          <w:szCs w:val="22"/>
        </w:rPr>
      </w:pPr>
      <w:r w:rsidRPr="00DC77E7">
        <w:rPr>
          <w:rFonts w:eastAsia="Calibri"/>
          <w:b/>
          <w:sz w:val="22"/>
          <w:szCs w:val="22"/>
        </w:rPr>
        <w:t>2.</w:t>
      </w:r>
      <w:r w:rsidRPr="00DC77E7">
        <w:rPr>
          <w:rFonts w:eastAsia="Calibri"/>
          <w:b/>
          <w:sz w:val="22"/>
          <w:szCs w:val="22"/>
        </w:rPr>
        <w:tab/>
        <w:t>MEMBERSHIP</w:t>
      </w:r>
    </w:p>
    <w:p w14:paraId="64D5BA8A" w14:textId="77777777" w:rsidR="00DC77E7" w:rsidRPr="00DC77E7" w:rsidRDefault="00DC77E7" w:rsidP="00DC77E7">
      <w:pPr>
        <w:spacing w:after="120"/>
        <w:jc w:val="both"/>
        <w:rPr>
          <w:rFonts w:eastAsia="Calibri"/>
          <w:sz w:val="22"/>
          <w:szCs w:val="22"/>
        </w:rPr>
      </w:pPr>
      <w:r w:rsidRPr="00DC77E7">
        <w:rPr>
          <w:rFonts w:eastAsia="Calibri"/>
          <w:sz w:val="22"/>
          <w:szCs w:val="22"/>
        </w:rPr>
        <w:t>2.1</w:t>
      </w:r>
      <w:r w:rsidRPr="00DC77E7">
        <w:rPr>
          <w:rFonts w:eastAsia="Calibri"/>
          <w:sz w:val="22"/>
          <w:szCs w:val="22"/>
        </w:rPr>
        <w:tab/>
        <w:t xml:space="preserve">The RWG-SG of the SCS-SAP Implementation Project shall consist of the Chairpersons of the National Seagrass Committees together with one member of the SCS-SAP Implementation Unit and selected regional experts. The SCS-SAP Implementation Unit in consultation with the National Technical Focal Points for the project shall nominate no more than four such experts to ensure a balance of expertise and specialisation consistent with the mandate of the working group. </w:t>
      </w:r>
    </w:p>
    <w:p w14:paraId="766228A8" w14:textId="77777777" w:rsidR="00DC77E7" w:rsidRPr="00DC77E7" w:rsidRDefault="00DC77E7" w:rsidP="00DC77E7">
      <w:pPr>
        <w:jc w:val="both"/>
        <w:rPr>
          <w:rFonts w:eastAsia="Calibri"/>
          <w:sz w:val="22"/>
          <w:szCs w:val="22"/>
        </w:rPr>
      </w:pPr>
      <w:r w:rsidRPr="00DC77E7">
        <w:rPr>
          <w:rFonts w:eastAsia="Calibri"/>
          <w:sz w:val="22"/>
          <w:szCs w:val="22"/>
        </w:rPr>
        <w:t>2.2</w:t>
      </w:r>
      <w:r w:rsidRPr="00DC77E7">
        <w:rPr>
          <w:rFonts w:eastAsia="Calibri"/>
          <w:sz w:val="22"/>
          <w:szCs w:val="22"/>
        </w:rPr>
        <w:tab/>
        <w:t>The membership of the RWG-SG shall be formally established at the first meeting of the Working Group, which shall elect a Chairperson and a Vice-Chair from amongst its members. The Vice-Chair shall act as Chairperson of meetings in the absence of the Chairperson. The Chairperson of the RWG-SG will represent the RWG-SG on the Regional Scientific and Technical Committee (RSTC) and will attend the meetings of that Committee.</w:t>
      </w:r>
    </w:p>
    <w:p w14:paraId="2EBE9DC8" w14:textId="77777777" w:rsidR="00DC77E7" w:rsidRPr="00DC77E7" w:rsidRDefault="00DC77E7" w:rsidP="00DC77E7">
      <w:pPr>
        <w:rPr>
          <w:rFonts w:eastAsia="Calibri"/>
          <w:sz w:val="22"/>
          <w:szCs w:val="22"/>
        </w:rPr>
      </w:pPr>
    </w:p>
    <w:p w14:paraId="61B7D919" w14:textId="77777777" w:rsidR="00DC77E7" w:rsidRPr="00DC77E7" w:rsidRDefault="00DC77E7" w:rsidP="00DC77E7">
      <w:pPr>
        <w:spacing w:after="120"/>
        <w:rPr>
          <w:rFonts w:eastAsia="Calibri"/>
          <w:b/>
          <w:caps/>
          <w:sz w:val="22"/>
          <w:szCs w:val="22"/>
        </w:rPr>
      </w:pPr>
      <w:r w:rsidRPr="00DC77E7">
        <w:rPr>
          <w:rFonts w:eastAsia="Calibri"/>
          <w:b/>
          <w:caps/>
          <w:sz w:val="22"/>
          <w:szCs w:val="22"/>
        </w:rPr>
        <w:t>3.</w:t>
      </w:r>
      <w:r w:rsidRPr="00DC77E7">
        <w:rPr>
          <w:rFonts w:eastAsia="Calibri"/>
          <w:b/>
          <w:caps/>
          <w:sz w:val="22"/>
          <w:szCs w:val="22"/>
        </w:rPr>
        <w:tab/>
        <w:t>Secretariat</w:t>
      </w:r>
    </w:p>
    <w:p w14:paraId="65106CF2" w14:textId="77777777" w:rsidR="00DC77E7" w:rsidRPr="00DC77E7" w:rsidRDefault="00DC77E7" w:rsidP="00DC77E7">
      <w:pPr>
        <w:jc w:val="both"/>
        <w:rPr>
          <w:rFonts w:eastAsia="Calibri"/>
          <w:sz w:val="22"/>
          <w:szCs w:val="22"/>
        </w:rPr>
      </w:pPr>
      <w:r w:rsidRPr="00DC77E7">
        <w:rPr>
          <w:rFonts w:eastAsia="Calibri"/>
          <w:sz w:val="22"/>
          <w:szCs w:val="22"/>
        </w:rPr>
        <w:t>3.1</w:t>
      </w:r>
      <w:r w:rsidRPr="00DC77E7">
        <w:rPr>
          <w:rFonts w:eastAsia="Calibri"/>
          <w:sz w:val="22"/>
          <w:szCs w:val="22"/>
        </w:rPr>
        <w:tab/>
        <w:t xml:space="preserve">The SCS-SAP Implementation Unit (SCS-SAP IU) shall act as Secretariat to the RWG-SG, and shall ensure that reports of the meetings are circulated to all members of the working group, and are copied to the members of the Regional Scientific and Technical Committee. The National Seagrass Committees shall serve as the principal source of national scientific and technical data and information to the RWG-SG. </w:t>
      </w:r>
    </w:p>
    <w:p w14:paraId="42306A16" w14:textId="77777777" w:rsidR="00DC77E7" w:rsidRPr="00DC77E7" w:rsidRDefault="00DC77E7" w:rsidP="00DC77E7">
      <w:pPr>
        <w:rPr>
          <w:rFonts w:eastAsia="Calibri"/>
          <w:sz w:val="22"/>
          <w:szCs w:val="22"/>
        </w:rPr>
      </w:pPr>
    </w:p>
    <w:p w14:paraId="5662B697" w14:textId="77777777" w:rsidR="00DC77E7" w:rsidRPr="00DC77E7" w:rsidRDefault="00DC77E7" w:rsidP="00DC77E7">
      <w:pPr>
        <w:spacing w:after="120"/>
        <w:rPr>
          <w:rFonts w:eastAsia="Calibri"/>
          <w:b/>
          <w:caps/>
          <w:sz w:val="22"/>
          <w:szCs w:val="22"/>
        </w:rPr>
      </w:pPr>
      <w:r w:rsidRPr="00DC77E7">
        <w:rPr>
          <w:rFonts w:eastAsia="Calibri"/>
          <w:b/>
          <w:caps/>
          <w:sz w:val="22"/>
          <w:szCs w:val="22"/>
        </w:rPr>
        <w:t>4.</w:t>
      </w:r>
      <w:r w:rsidRPr="00DC77E7">
        <w:rPr>
          <w:rFonts w:eastAsia="Calibri"/>
          <w:b/>
          <w:caps/>
          <w:sz w:val="22"/>
          <w:szCs w:val="22"/>
        </w:rPr>
        <w:tab/>
        <w:t>Meetings of the Committee</w:t>
      </w:r>
    </w:p>
    <w:p w14:paraId="2403AE93" w14:textId="77777777" w:rsidR="00DC77E7" w:rsidRPr="00DC77E7" w:rsidRDefault="00DC77E7" w:rsidP="00DC77E7">
      <w:pPr>
        <w:jc w:val="both"/>
        <w:rPr>
          <w:rFonts w:eastAsia="Calibri"/>
          <w:sz w:val="22"/>
          <w:szCs w:val="22"/>
        </w:rPr>
      </w:pPr>
      <w:r w:rsidRPr="00DC77E7">
        <w:rPr>
          <w:rFonts w:eastAsia="Calibri"/>
          <w:sz w:val="22"/>
          <w:szCs w:val="22"/>
        </w:rPr>
        <w:t>4.1</w:t>
      </w:r>
      <w:r w:rsidRPr="00DC77E7">
        <w:rPr>
          <w:rFonts w:eastAsia="Calibri"/>
          <w:sz w:val="22"/>
          <w:szCs w:val="22"/>
        </w:rPr>
        <w:tab/>
        <w:t>The SCS-SAP Implementation Unit in consultation with the Chairperson shall convene meetings of the RWG-SG according to an agreed schedule, which will form part of the agreed work plan and timetable for the work of the Committee. The first meeting of the RWG-SG will be convened within three months of signature of the operational project document to agree on the detailed activities, workplan and timetable for the first twenty-four months of project execution leading to the project’s mid-term review.</w:t>
      </w:r>
    </w:p>
    <w:p w14:paraId="3C4D1093" w14:textId="77777777" w:rsidR="00DC77E7" w:rsidRPr="00DC77E7" w:rsidRDefault="00DC77E7" w:rsidP="00DC77E7">
      <w:pPr>
        <w:jc w:val="both"/>
        <w:rPr>
          <w:rFonts w:eastAsia="Calibri"/>
          <w:sz w:val="22"/>
          <w:szCs w:val="22"/>
        </w:rPr>
      </w:pPr>
    </w:p>
    <w:p w14:paraId="7381A2B4" w14:textId="77777777" w:rsidR="00DC77E7" w:rsidRPr="00DC77E7" w:rsidRDefault="00DC77E7" w:rsidP="00DC77E7">
      <w:pPr>
        <w:spacing w:after="120"/>
        <w:jc w:val="both"/>
        <w:rPr>
          <w:rFonts w:eastAsia="Calibri"/>
          <w:b/>
          <w:caps/>
          <w:sz w:val="22"/>
          <w:szCs w:val="22"/>
        </w:rPr>
      </w:pPr>
      <w:r w:rsidRPr="00DC77E7">
        <w:rPr>
          <w:rFonts w:eastAsia="Calibri"/>
          <w:b/>
          <w:caps/>
          <w:sz w:val="22"/>
          <w:szCs w:val="22"/>
        </w:rPr>
        <w:t>5.</w:t>
      </w:r>
      <w:r w:rsidRPr="00DC77E7">
        <w:rPr>
          <w:rFonts w:eastAsia="Calibri"/>
          <w:b/>
          <w:caps/>
          <w:sz w:val="22"/>
          <w:szCs w:val="22"/>
        </w:rPr>
        <w:tab/>
        <w:t>Terms of Reference</w:t>
      </w:r>
    </w:p>
    <w:p w14:paraId="4F4BC249" w14:textId="77777777" w:rsidR="00DC77E7" w:rsidRPr="00DC77E7" w:rsidRDefault="00DC77E7" w:rsidP="00DC77E7">
      <w:pPr>
        <w:spacing w:after="120"/>
        <w:jc w:val="both"/>
        <w:rPr>
          <w:rFonts w:eastAsia="Calibri"/>
          <w:b/>
          <w:sz w:val="22"/>
          <w:szCs w:val="22"/>
        </w:rPr>
      </w:pPr>
      <w:r w:rsidRPr="00DC77E7">
        <w:rPr>
          <w:rFonts w:eastAsia="Calibri"/>
          <w:b/>
          <w:sz w:val="22"/>
          <w:szCs w:val="22"/>
        </w:rPr>
        <w:t>The RWG-SG shall:</w:t>
      </w:r>
    </w:p>
    <w:p w14:paraId="28693DC4" w14:textId="77777777" w:rsidR="00DC77E7" w:rsidRPr="00DC77E7" w:rsidRDefault="00DC77E7" w:rsidP="00DC77E7">
      <w:pPr>
        <w:spacing w:after="120"/>
        <w:jc w:val="both"/>
        <w:rPr>
          <w:rFonts w:eastAsia="Calibri"/>
          <w:sz w:val="22"/>
          <w:szCs w:val="22"/>
        </w:rPr>
      </w:pPr>
      <w:r w:rsidRPr="00DC77E7">
        <w:rPr>
          <w:rFonts w:eastAsia="Calibri"/>
          <w:sz w:val="22"/>
          <w:szCs w:val="22"/>
        </w:rPr>
        <w:t>5.1</w:t>
      </w:r>
      <w:r w:rsidRPr="00DC77E7">
        <w:rPr>
          <w:rFonts w:eastAsia="Calibri"/>
          <w:sz w:val="22"/>
          <w:szCs w:val="22"/>
        </w:rPr>
        <w:tab/>
        <w:t>Provide direction, and strategic guidance to the National Seagrass Committees regarding the conservation, management and sustainable use of 25,900 ha of known seagrass area in the South China Sea by Year 5 of the project, including the achievement of the following targets:</w:t>
      </w:r>
    </w:p>
    <w:p w14:paraId="68735A79" w14:textId="77777777" w:rsidR="00DC77E7" w:rsidRPr="00DC77E7" w:rsidRDefault="00DC77E7" w:rsidP="00DC77E7">
      <w:pPr>
        <w:numPr>
          <w:ilvl w:val="0"/>
          <w:numId w:val="53"/>
        </w:numPr>
        <w:contextualSpacing/>
        <w:jc w:val="both"/>
        <w:rPr>
          <w:rFonts w:eastAsia="Calibri"/>
          <w:sz w:val="22"/>
          <w:szCs w:val="22"/>
        </w:rPr>
      </w:pPr>
      <w:r w:rsidRPr="00DC77E7">
        <w:rPr>
          <w:rFonts w:eastAsia="Calibri"/>
          <w:sz w:val="22"/>
          <w:szCs w:val="22"/>
        </w:rPr>
        <w:t xml:space="preserve">Twenty-one seagrass areas totalling 25,900 ha under sustainable management with supporting laws and regulations </w:t>
      </w:r>
    </w:p>
    <w:p w14:paraId="2C62BEBB" w14:textId="77777777" w:rsidR="00DC77E7" w:rsidRPr="00DC77E7" w:rsidRDefault="00DC77E7" w:rsidP="00DC77E7">
      <w:pPr>
        <w:numPr>
          <w:ilvl w:val="0"/>
          <w:numId w:val="53"/>
        </w:numPr>
        <w:contextualSpacing/>
        <w:jc w:val="both"/>
        <w:rPr>
          <w:rFonts w:eastAsia="Calibri"/>
          <w:sz w:val="22"/>
          <w:szCs w:val="22"/>
        </w:rPr>
      </w:pPr>
      <w:r w:rsidRPr="00DC77E7">
        <w:rPr>
          <w:rFonts w:eastAsia="Calibri"/>
          <w:sz w:val="22"/>
          <w:szCs w:val="22"/>
        </w:rPr>
        <w:t xml:space="preserve">Amended management plans for 7 existing MPAs with significant seagrass areas, to include specific seagrass-related management actions </w:t>
      </w:r>
    </w:p>
    <w:p w14:paraId="633BDF8D" w14:textId="77777777" w:rsidR="00DC77E7" w:rsidRPr="00DC77E7" w:rsidRDefault="00DC77E7" w:rsidP="00DC77E7">
      <w:pPr>
        <w:numPr>
          <w:ilvl w:val="0"/>
          <w:numId w:val="53"/>
        </w:numPr>
        <w:contextualSpacing/>
        <w:jc w:val="both"/>
        <w:rPr>
          <w:rFonts w:eastAsia="Calibri"/>
          <w:sz w:val="22"/>
          <w:szCs w:val="22"/>
        </w:rPr>
      </w:pPr>
      <w:r w:rsidRPr="00DC77E7">
        <w:rPr>
          <w:rFonts w:eastAsia="Calibri"/>
          <w:sz w:val="22"/>
          <w:szCs w:val="22"/>
        </w:rPr>
        <w:t>Designation of 7 new Marine Protected Areas focusing on seagrass areas</w:t>
      </w:r>
    </w:p>
    <w:p w14:paraId="0AFC1957" w14:textId="77777777" w:rsidR="00DC77E7" w:rsidRPr="00DC77E7" w:rsidRDefault="00DC77E7" w:rsidP="00DC77E7">
      <w:pPr>
        <w:numPr>
          <w:ilvl w:val="0"/>
          <w:numId w:val="53"/>
        </w:numPr>
        <w:spacing w:after="120"/>
        <w:contextualSpacing/>
        <w:jc w:val="both"/>
        <w:rPr>
          <w:rFonts w:eastAsia="Calibri"/>
          <w:sz w:val="22"/>
          <w:szCs w:val="22"/>
        </w:rPr>
      </w:pPr>
      <w:r w:rsidRPr="00DC77E7">
        <w:rPr>
          <w:rFonts w:eastAsia="Calibri"/>
          <w:sz w:val="22"/>
          <w:szCs w:val="22"/>
        </w:rPr>
        <w:t>Established mechanism for monitoring management, ecological and socio-economic indicators at 21 sites</w:t>
      </w:r>
    </w:p>
    <w:p w14:paraId="0464CE6A" w14:textId="77777777" w:rsidR="00DC77E7" w:rsidRPr="00DC77E7" w:rsidRDefault="00DC77E7" w:rsidP="00DC77E7">
      <w:pPr>
        <w:spacing w:after="120"/>
        <w:jc w:val="both"/>
        <w:rPr>
          <w:rFonts w:eastAsia="Calibri"/>
          <w:sz w:val="22"/>
          <w:szCs w:val="22"/>
        </w:rPr>
      </w:pPr>
      <w:r w:rsidRPr="00DC77E7">
        <w:rPr>
          <w:rFonts w:eastAsia="Calibri"/>
          <w:sz w:val="22"/>
          <w:szCs w:val="22"/>
        </w:rPr>
        <w:t>5.2</w:t>
      </w:r>
      <w:r w:rsidRPr="00DC77E7">
        <w:rPr>
          <w:rFonts w:eastAsia="Calibri"/>
          <w:sz w:val="22"/>
          <w:szCs w:val="22"/>
        </w:rPr>
        <w:tab/>
        <w:t>Assume overall responsibility for the timely execution of project activities in support of the achievement of the abovementioned targets;</w:t>
      </w:r>
    </w:p>
    <w:p w14:paraId="2A4F67A4" w14:textId="77777777" w:rsidR="00DC77E7" w:rsidRPr="00DC77E7" w:rsidRDefault="00DC77E7" w:rsidP="00DC77E7">
      <w:pPr>
        <w:spacing w:after="120"/>
        <w:jc w:val="both"/>
        <w:rPr>
          <w:rFonts w:eastAsia="Calibri"/>
          <w:sz w:val="22"/>
          <w:szCs w:val="22"/>
        </w:rPr>
      </w:pPr>
      <w:r w:rsidRPr="00DC77E7">
        <w:rPr>
          <w:rFonts w:eastAsia="Calibri"/>
          <w:sz w:val="22"/>
          <w:szCs w:val="22"/>
        </w:rPr>
        <w:t>5.3</w:t>
      </w:r>
      <w:r w:rsidRPr="00DC77E7">
        <w:rPr>
          <w:rFonts w:eastAsia="Calibri"/>
          <w:sz w:val="22"/>
          <w:szCs w:val="22"/>
        </w:rPr>
        <w:tab/>
        <w:t xml:space="preserve">Update, in close collaboration with the National Seagrass Committees, the regional seagrass meta-database and GIS, including meta-data on biodiversity and the results of seagrass research pertaining to this project. </w:t>
      </w:r>
    </w:p>
    <w:p w14:paraId="4347BBB8" w14:textId="77777777" w:rsidR="00DC77E7" w:rsidRPr="00DC77E7" w:rsidRDefault="00DC77E7" w:rsidP="00DC77E7">
      <w:pPr>
        <w:spacing w:after="120"/>
        <w:jc w:val="both"/>
        <w:rPr>
          <w:rFonts w:eastAsia="Calibri"/>
          <w:sz w:val="22"/>
          <w:szCs w:val="22"/>
        </w:rPr>
      </w:pPr>
      <w:r w:rsidRPr="00DC77E7">
        <w:rPr>
          <w:rFonts w:eastAsia="Calibri"/>
          <w:sz w:val="22"/>
          <w:szCs w:val="22"/>
        </w:rPr>
        <w:t>5.4</w:t>
      </w:r>
      <w:r w:rsidRPr="00DC77E7">
        <w:rPr>
          <w:rFonts w:eastAsia="Calibri"/>
          <w:sz w:val="22"/>
          <w:szCs w:val="22"/>
        </w:rPr>
        <w:tab/>
        <w:t>Develop, in close collaboration with the National Seagrass Committees, public awareness and information materials concerning the national and regional importance of such ecosystems;</w:t>
      </w:r>
    </w:p>
    <w:p w14:paraId="31F96413" w14:textId="77777777" w:rsidR="00DC77E7" w:rsidRPr="00DC77E7" w:rsidRDefault="00DC77E7" w:rsidP="00DC77E7">
      <w:pPr>
        <w:spacing w:after="120"/>
        <w:jc w:val="both"/>
        <w:rPr>
          <w:rFonts w:eastAsia="Calibri"/>
          <w:sz w:val="22"/>
          <w:szCs w:val="22"/>
        </w:rPr>
      </w:pPr>
      <w:r w:rsidRPr="00DC77E7">
        <w:rPr>
          <w:rFonts w:eastAsia="Calibri"/>
          <w:sz w:val="22"/>
          <w:szCs w:val="22"/>
        </w:rPr>
        <w:t>5.5</w:t>
      </w:r>
      <w:r w:rsidRPr="00DC77E7">
        <w:rPr>
          <w:rFonts w:eastAsia="Calibri"/>
          <w:sz w:val="22"/>
          <w:szCs w:val="22"/>
        </w:rPr>
        <w:tab/>
        <w:t>Update in close collaboration with the National Seagrass Committees, regional data sets relating to the economic valuation of seagrass ecosystems with a view to incorporation of such valuations in national economic and development planning;</w:t>
      </w:r>
    </w:p>
    <w:p w14:paraId="47810BC3" w14:textId="77777777" w:rsidR="00DC77E7" w:rsidRPr="00DC77E7" w:rsidRDefault="00DC77E7" w:rsidP="00DC77E7">
      <w:pPr>
        <w:spacing w:after="120"/>
        <w:jc w:val="both"/>
        <w:rPr>
          <w:rFonts w:eastAsia="Calibri"/>
          <w:sz w:val="22"/>
          <w:szCs w:val="22"/>
        </w:rPr>
      </w:pPr>
      <w:r w:rsidRPr="00DC77E7">
        <w:rPr>
          <w:rFonts w:eastAsia="Calibri"/>
          <w:sz w:val="22"/>
          <w:szCs w:val="22"/>
        </w:rPr>
        <w:t>5.6</w:t>
      </w:r>
      <w:r w:rsidRPr="00DC77E7">
        <w:rPr>
          <w:rFonts w:eastAsia="Calibri"/>
          <w:sz w:val="22"/>
          <w:szCs w:val="22"/>
        </w:rPr>
        <w:tab/>
        <w:t>Receive, and review reports, data and information from the National Seagrass Committees and compile the regional syntheses regarding seagrass management needs and priorities;</w:t>
      </w:r>
    </w:p>
    <w:p w14:paraId="3CAD1008" w14:textId="77777777" w:rsidR="00DC77E7" w:rsidRPr="00DC77E7" w:rsidRDefault="00DC77E7" w:rsidP="00DC77E7">
      <w:pPr>
        <w:spacing w:after="120"/>
        <w:jc w:val="both"/>
        <w:rPr>
          <w:rFonts w:eastAsia="Calibri"/>
          <w:sz w:val="22"/>
          <w:szCs w:val="22"/>
        </w:rPr>
      </w:pPr>
      <w:r w:rsidRPr="00DC77E7">
        <w:rPr>
          <w:rFonts w:eastAsia="Calibri"/>
          <w:sz w:val="22"/>
          <w:szCs w:val="22"/>
        </w:rPr>
        <w:t>5.7</w:t>
      </w:r>
      <w:r w:rsidRPr="00DC77E7">
        <w:rPr>
          <w:rFonts w:eastAsia="Calibri"/>
          <w:sz w:val="22"/>
          <w:szCs w:val="22"/>
        </w:rPr>
        <w:tab/>
        <w:t>Develop guidelines regarding best practices for sustainable seagrass management for adoption and application at national level in participating countries;</w:t>
      </w:r>
    </w:p>
    <w:p w14:paraId="564CD4BA" w14:textId="77777777" w:rsidR="00DC77E7" w:rsidRPr="00DC77E7" w:rsidRDefault="00DC77E7" w:rsidP="00DC77E7">
      <w:pPr>
        <w:spacing w:after="120"/>
        <w:jc w:val="both"/>
        <w:rPr>
          <w:rFonts w:eastAsia="Calibri"/>
          <w:sz w:val="22"/>
          <w:szCs w:val="22"/>
        </w:rPr>
      </w:pPr>
      <w:r w:rsidRPr="00DC77E7">
        <w:rPr>
          <w:rFonts w:eastAsia="Calibri"/>
          <w:sz w:val="22"/>
          <w:szCs w:val="22"/>
        </w:rPr>
        <w:t>5.8</w:t>
      </w:r>
      <w:r w:rsidRPr="00DC77E7">
        <w:rPr>
          <w:rFonts w:eastAsia="Calibri"/>
          <w:sz w:val="22"/>
          <w:szCs w:val="22"/>
        </w:rPr>
        <w:tab/>
        <w:t>Develop, review and recommend for adoption by the Regional Scientific and Technical Committee the proposed targets and timelines that may be included in a revised Strategic Action programme in order to achieve, sustainable management of seagrass of the South China Sea in the longer-term;</w:t>
      </w:r>
    </w:p>
    <w:p w14:paraId="5C89CAE5" w14:textId="77777777" w:rsidR="00DC77E7" w:rsidRPr="00DC77E7" w:rsidRDefault="00DC77E7" w:rsidP="00DC77E7">
      <w:pPr>
        <w:spacing w:after="120"/>
        <w:jc w:val="both"/>
        <w:rPr>
          <w:rFonts w:eastAsia="Calibri"/>
          <w:sz w:val="22"/>
          <w:szCs w:val="22"/>
        </w:rPr>
      </w:pPr>
      <w:r w:rsidRPr="00DC77E7">
        <w:rPr>
          <w:rFonts w:eastAsia="Calibri"/>
          <w:sz w:val="22"/>
          <w:szCs w:val="22"/>
        </w:rPr>
        <w:t>5.9</w:t>
      </w:r>
      <w:r w:rsidRPr="00DC77E7">
        <w:rPr>
          <w:rFonts w:eastAsia="Calibri"/>
          <w:sz w:val="22"/>
          <w:szCs w:val="22"/>
        </w:rPr>
        <w:tab/>
        <w:t>Prepare a regional review of national experiences in seagrass restoration with a view to developing widely applicable guidelines concerning best practices in seagrass restoration and rehabilitation;</w:t>
      </w:r>
    </w:p>
    <w:p w14:paraId="2D399F8A" w14:textId="77777777" w:rsidR="00DC77E7" w:rsidRPr="00DC77E7" w:rsidRDefault="00DC77E7" w:rsidP="00DC77E7">
      <w:pPr>
        <w:spacing w:after="120"/>
        <w:jc w:val="both"/>
        <w:rPr>
          <w:rFonts w:eastAsia="Calibri"/>
          <w:sz w:val="22"/>
          <w:szCs w:val="22"/>
        </w:rPr>
      </w:pPr>
      <w:r w:rsidRPr="00DC77E7">
        <w:rPr>
          <w:rFonts w:eastAsia="Calibri"/>
          <w:sz w:val="22"/>
          <w:szCs w:val="22"/>
        </w:rPr>
        <w:t>5.10</w:t>
      </w:r>
      <w:r w:rsidRPr="00DC77E7">
        <w:rPr>
          <w:rFonts w:eastAsia="Calibri"/>
          <w:sz w:val="22"/>
          <w:szCs w:val="22"/>
        </w:rPr>
        <w:tab/>
        <w:t>Review and evaluate, at the regional level, progress in implementation of the seagrass activities of the project, and provide guidance for improvement when necessary; and</w:t>
      </w:r>
    </w:p>
    <w:p w14:paraId="16AA3DA3" w14:textId="77777777" w:rsidR="00DC77E7" w:rsidRPr="00DC77E7" w:rsidRDefault="00DC77E7" w:rsidP="00DC77E7">
      <w:pPr>
        <w:spacing w:after="120"/>
        <w:jc w:val="both"/>
        <w:rPr>
          <w:rFonts w:eastAsia="Calibri"/>
          <w:sz w:val="22"/>
          <w:szCs w:val="22"/>
        </w:rPr>
      </w:pPr>
      <w:r w:rsidRPr="00DC77E7">
        <w:rPr>
          <w:rFonts w:eastAsia="Calibri"/>
          <w:sz w:val="22"/>
          <w:szCs w:val="22"/>
        </w:rPr>
        <w:t>5.11</w:t>
      </w:r>
      <w:r w:rsidRPr="00DC77E7">
        <w:rPr>
          <w:rFonts w:eastAsia="Calibri"/>
          <w:sz w:val="22"/>
          <w:szCs w:val="22"/>
        </w:rPr>
        <w:tab/>
        <w:t>Develop annual workplans and provide periodic progress reports to the Regional Scientific and Technical Committee.</w:t>
      </w:r>
    </w:p>
    <w:p w14:paraId="1C0B5B27" w14:textId="77777777" w:rsidR="00DC77E7" w:rsidRPr="00DC77E7" w:rsidRDefault="00DC77E7" w:rsidP="00DC77E7">
      <w:pPr>
        <w:rPr>
          <w:rFonts w:eastAsia="Calibri"/>
          <w:sz w:val="22"/>
          <w:szCs w:val="22"/>
        </w:rPr>
      </w:pPr>
    </w:p>
    <w:p w14:paraId="7AB49ED6" w14:textId="77777777" w:rsidR="00DC77E7" w:rsidRPr="00DC77E7" w:rsidRDefault="00DC77E7" w:rsidP="00DC77E7">
      <w:pPr>
        <w:rPr>
          <w:rFonts w:eastAsia="Calibri"/>
          <w:sz w:val="22"/>
          <w:szCs w:val="22"/>
        </w:rPr>
      </w:pPr>
      <w:r w:rsidRPr="00DC77E7">
        <w:rPr>
          <w:rFonts w:eastAsia="Calibri"/>
          <w:sz w:val="22"/>
          <w:szCs w:val="22"/>
        </w:rPr>
        <w:br w:type="page"/>
      </w:r>
    </w:p>
    <w:p w14:paraId="7E3E765E" w14:textId="77777777" w:rsidR="00DC77E7" w:rsidRPr="00DC77E7" w:rsidRDefault="00DC77E7" w:rsidP="00DC77E7">
      <w:pPr>
        <w:rPr>
          <w:rFonts w:eastAsia="Calibri"/>
          <w:sz w:val="22"/>
          <w:szCs w:val="22"/>
        </w:rPr>
      </w:pPr>
    </w:p>
    <w:p w14:paraId="3D4FF374"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PROVISIONAL TERMS OF REFERENCE FOR THE</w:t>
      </w:r>
    </w:p>
    <w:p w14:paraId="3F3B73FF"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REGIONAL WORKING GROUP ON WETLANDS</w:t>
      </w:r>
    </w:p>
    <w:p w14:paraId="66DDC2B8" w14:textId="77777777" w:rsidR="00DC77E7" w:rsidRPr="00DC77E7" w:rsidRDefault="00DC77E7" w:rsidP="00DC77E7">
      <w:pPr>
        <w:rPr>
          <w:rFonts w:eastAsia="Calibri"/>
          <w:sz w:val="22"/>
          <w:szCs w:val="22"/>
        </w:rPr>
      </w:pPr>
    </w:p>
    <w:p w14:paraId="6483F8D0" w14:textId="77777777" w:rsidR="00DC77E7" w:rsidRPr="00DC77E7" w:rsidRDefault="00DC77E7" w:rsidP="00DC77E7">
      <w:pPr>
        <w:spacing w:after="120"/>
        <w:jc w:val="both"/>
        <w:rPr>
          <w:rFonts w:eastAsia="Calibri"/>
          <w:b/>
          <w:sz w:val="22"/>
          <w:szCs w:val="22"/>
          <w:lang w:val="en-GB"/>
        </w:rPr>
      </w:pPr>
      <w:r w:rsidRPr="00DC77E7">
        <w:rPr>
          <w:rFonts w:eastAsia="Calibri"/>
          <w:b/>
          <w:sz w:val="22"/>
          <w:szCs w:val="22"/>
          <w:lang w:val="en-GB"/>
        </w:rPr>
        <w:t>1.</w:t>
      </w:r>
      <w:r w:rsidRPr="00DC77E7">
        <w:rPr>
          <w:rFonts w:eastAsia="Calibri"/>
          <w:b/>
          <w:sz w:val="22"/>
          <w:szCs w:val="22"/>
          <w:lang w:val="en-GB"/>
        </w:rPr>
        <w:tab/>
        <w:t>RATIONALE AND PURPOSE OF A REGIONAL WORKING GROUP ON WETLANDS</w:t>
      </w:r>
    </w:p>
    <w:p w14:paraId="35ED39F3" w14:textId="77777777" w:rsidR="00DC77E7" w:rsidRPr="00DC77E7" w:rsidRDefault="00DC77E7" w:rsidP="00DC77E7">
      <w:pPr>
        <w:jc w:val="both"/>
        <w:rPr>
          <w:rFonts w:eastAsia="Calibri"/>
          <w:sz w:val="22"/>
          <w:szCs w:val="22"/>
        </w:rPr>
      </w:pPr>
      <w:r w:rsidRPr="00DC77E7">
        <w:rPr>
          <w:rFonts w:eastAsia="Calibri"/>
          <w:sz w:val="22"/>
          <w:szCs w:val="22"/>
        </w:rPr>
        <w:t>1.1</w:t>
      </w:r>
      <w:r w:rsidRPr="00DC77E7">
        <w:rPr>
          <w:rFonts w:eastAsia="Calibri"/>
          <w:sz w:val="22"/>
          <w:szCs w:val="22"/>
        </w:rPr>
        <w:tab/>
        <w:t>To facilitate the achievement of the Strategic Action Programme targets for wetlands, a Regional Working Group on wetlands (RWG-W) shall be established with overall responsibility for: co-ordinating the work of the National Wetland Committees established in each of the participating countries; for ensuring effective implementation of project activities undertaken in the context of the achievement of the wetland management targets of the project; and to provide a mechanism for exchange of information and experience of wetland management activities in each country.</w:t>
      </w:r>
    </w:p>
    <w:p w14:paraId="68D4F8D1" w14:textId="77777777" w:rsidR="00DC77E7" w:rsidRPr="00DC77E7" w:rsidRDefault="00DC77E7" w:rsidP="00DC77E7">
      <w:pPr>
        <w:jc w:val="both"/>
        <w:rPr>
          <w:rFonts w:eastAsia="Calibri"/>
          <w:sz w:val="22"/>
          <w:szCs w:val="22"/>
        </w:rPr>
      </w:pPr>
    </w:p>
    <w:p w14:paraId="4D5A4616" w14:textId="77777777" w:rsidR="00DC77E7" w:rsidRPr="00DC77E7" w:rsidRDefault="00DC77E7" w:rsidP="00DC77E7">
      <w:pPr>
        <w:spacing w:after="120"/>
        <w:jc w:val="both"/>
        <w:rPr>
          <w:rFonts w:eastAsia="Calibri"/>
          <w:b/>
          <w:sz w:val="22"/>
          <w:szCs w:val="22"/>
        </w:rPr>
      </w:pPr>
      <w:r w:rsidRPr="00DC77E7">
        <w:rPr>
          <w:rFonts w:eastAsia="Calibri"/>
          <w:b/>
          <w:sz w:val="22"/>
          <w:szCs w:val="22"/>
        </w:rPr>
        <w:t>2.</w:t>
      </w:r>
      <w:r w:rsidRPr="00DC77E7">
        <w:rPr>
          <w:rFonts w:eastAsia="Calibri"/>
          <w:b/>
          <w:sz w:val="22"/>
          <w:szCs w:val="22"/>
        </w:rPr>
        <w:tab/>
        <w:t>MEMBERSHIP</w:t>
      </w:r>
    </w:p>
    <w:p w14:paraId="1B3FA3DE" w14:textId="77777777" w:rsidR="00DC77E7" w:rsidRPr="00DC77E7" w:rsidRDefault="00DC77E7" w:rsidP="00DC77E7">
      <w:pPr>
        <w:spacing w:after="120"/>
        <w:jc w:val="both"/>
        <w:rPr>
          <w:rFonts w:eastAsia="Calibri"/>
          <w:sz w:val="22"/>
          <w:szCs w:val="22"/>
        </w:rPr>
      </w:pPr>
      <w:r w:rsidRPr="00DC77E7">
        <w:rPr>
          <w:rFonts w:eastAsia="Calibri"/>
          <w:sz w:val="22"/>
          <w:szCs w:val="22"/>
        </w:rPr>
        <w:t>2.1</w:t>
      </w:r>
      <w:r w:rsidRPr="00DC77E7">
        <w:rPr>
          <w:rFonts w:eastAsia="Calibri"/>
          <w:sz w:val="22"/>
          <w:szCs w:val="22"/>
        </w:rPr>
        <w:tab/>
        <w:t xml:space="preserve">The RWG-W of the SCS-SAP Implementation Project shall consist of the Chairpersons of the National Wetland Committees together with one member of the SCS-SAP Implementation Unit and selected regional experts. The SCS-SAP Implementation Unit in consultation with the National Technical Focal Points for the project shall nominate no more than four such experts to ensure a balance of expertise and specialisation consistent with the mandate of the working group. </w:t>
      </w:r>
    </w:p>
    <w:p w14:paraId="737E485F" w14:textId="77777777" w:rsidR="00DC77E7" w:rsidRPr="00DC77E7" w:rsidRDefault="00DC77E7" w:rsidP="00DC77E7">
      <w:pPr>
        <w:jc w:val="both"/>
        <w:rPr>
          <w:rFonts w:eastAsia="Calibri"/>
          <w:sz w:val="22"/>
          <w:szCs w:val="22"/>
        </w:rPr>
      </w:pPr>
      <w:r w:rsidRPr="00DC77E7">
        <w:rPr>
          <w:rFonts w:eastAsia="Calibri"/>
          <w:sz w:val="22"/>
          <w:szCs w:val="22"/>
        </w:rPr>
        <w:t>2.2</w:t>
      </w:r>
      <w:r w:rsidRPr="00DC77E7">
        <w:rPr>
          <w:rFonts w:eastAsia="Calibri"/>
          <w:sz w:val="22"/>
          <w:szCs w:val="22"/>
        </w:rPr>
        <w:tab/>
        <w:t>The membership of the RWG-W shall be formally established at the first meeting of the Working Group, which shall elect a Chairperson and a Vice-Chair from amongst its members. The Vice-Chair shall act as Chairperson of meetings in the absence of the Chairperson. The Chairperson of the RWG-W will represent the RWG-W on the Regional Scientific and Technical Committee (RSTC) and will attend the meetings of that Committee.</w:t>
      </w:r>
    </w:p>
    <w:p w14:paraId="4EAB64B7" w14:textId="77777777" w:rsidR="00DC77E7" w:rsidRPr="00DC77E7" w:rsidRDefault="00DC77E7" w:rsidP="00DC77E7">
      <w:pPr>
        <w:rPr>
          <w:rFonts w:eastAsia="Calibri"/>
          <w:sz w:val="22"/>
          <w:szCs w:val="22"/>
        </w:rPr>
      </w:pPr>
    </w:p>
    <w:p w14:paraId="2043923B" w14:textId="77777777" w:rsidR="00DC77E7" w:rsidRPr="00DC77E7" w:rsidRDefault="00DC77E7" w:rsidP="00DC77E7">
      <w:pPr>
        <w:spacing w:after="120"/>
        <w:rPr>
          <w:rFonts w:eastAsia="Calibri"/>
          <w:b/>
          <w:caps/>
          <w:sz w:val="22"/>
          <w:szCs w:val="22"/>
        </w:rPr>
      </w:pPr>
      <w:r w:rsidRPr="00DC77E7">
        <w:rPr>
          <w:rFonts w:eastAsia="Calibri"/>
          <w:b/>
          <w:caps/>
          <w:sz w:val="22"/>
          <w:szCs w:val="22"/>
        </w:rPr>
        <w:t>3.</w:t>
      </w:r>
      <w:r w:rsidRPr="00DC77E7">
        <w:rPr>
          <w:rFonts w:eastAsia="Calibri"/>
          <w:b/>
          <w:caps/>
          <w:sz w:val="22"/>
          <w:szCs w:val="22"/>
        </w:rPr>
        <w:tab/>
        <w:t>Secretariat</w:t>
      </w:r>
    </w:p>
    <w:p w14:paraId="5B4D9B6D" w14:textId="77777777" w:rsidR="00DC77E7" w:rsidRPr="00DC77E7" w:rsidRDefault="00DC77E7" w:rsidP="00DC77E7">
      <w:pPr>
        <w:jc w:val="both"/>
        <w:rPr>
          <w:rFonts w:eastAsia="Calibri"/>
          <w:sz w:val="22"/>
          <w:szCs w:val="22"/>
        </w:rPr>
      </w:pPr>
      <w:r w:rsidRPr="00DC77E7">
        <w:rPr>
          <w:rFonts w:eastAsia="Calibri"/>
          <w:sz w:val="22"/>
          <w:szCs w:val="22"/>
        </w:rPr>
        <w:t>3.1</w:t>
      </w:r>
      <w:r w:rsidRPr="00DC77E7">
        <w:rPr>
          <w:rFonts w:eastAsia="Calibri"/>
          <w:sz w:val="22"/>
          <w:szCs w:val="22"/>
        </w:rPr>
        <w:tab/>
        <w:t xml:space="preserve">The SCS-SAP Implementation Unit (SCS-SAP IU) shall act as Secretariat to the RWG-W, and shall ensure that reports of the meetings are circulated to all members of the working group, and are copied to the members of the Regional Scientific and Technical Committee. The National Wetland Committees shall serve as the principal source of national scientific and technical data and information to the RWG-W. </w:t>
      </w:r>
    </w:p>
    <w:p w14:paraId="4B509511" w14:textId="77777777" w:rsidR="00DC77E7" w:rsidRPr="00DC77E7" w:rsidRDefault="00DC77E7" w:rsidP="00DC77E7">
      <w:pPr>
        <w:rPr>
          <w:rFonts w:eastAsia="Calibri"/>
          <w:sz w:val="22"/>
          <w:szCs w:val="22"/>
        </w:rPr>
      </w:pPr>
    </w:p>
    <w:p w14:paraId="6D73794D" w14:textId="77777777" w:rsidR="00DC77E7" w:rsidRPr="00DC77E7" w:rsidRDefault="00DC77E7" w:rsidP="00DC77E7">
      <w:pPr>
        <w:spacing w:after="120"/>
        <w:rPr>
          <w:rFonts w:eastAsia="Calibri"/>
          <w:b/>
          <w:caps/>
          <w:sz w:val="22"/>
          <w:szCs w:val="22"/>
        </w:rPr>
      </w:pPr>
      <w:r w:rsidRPr="00DC77E7">
        <w:rPr>
          <w:rFonts w:eastAsia="Calibri"/>
          <w:b/>
          <w:caps/>
          <w:sz w:val="22"/>
          <w:szCs w:val="22"/>
        </w:rPr>
        <w:t>4.</w:t>
      </w:r>
      <w:r w:rsidRPr="00DC77E7">
        <w:rPr>
          <w:rFonts w:eastAsia="Calibri"/>
          <w:b/>
          <w:caps/>
          <w:sz w:val="22"/>
          <w:szCs w:val="22"/>
        </w:rPr>
        <w:tab/>
        <w:t>Meetings of the Committee</w:t>
      </w:r>
    </w:p>
    <w:p w14:paraId="02016DCC" w14:textId="77777777" w:rsidR="00DC77E7" w:rsidRPr="00DC77E7" w:rsidRDefault="00DC77E7" w:rsidP="00DC77E7">
      <w:pPr>
        <w:jc w:val="both"/>
        <w:rPr>
          <w:rFonts w:eastAsia="Calibri"/>
          <w:sz w:val="22"/>
          <w:szCs w:val="22"/>
        </w:rPr>
      </w:pPr>
      <w:r w:rsidRPr="00DC77E7">
        <w:rPr>
          <w:rFonts w:eastAsia="Calibri"/>
          <w:sz w:val="22"/>
          <w:szCs w:val="22"/>
        </w:rPr>
        <w:t>4.1</w:t>
      </w:r>
      <w:r w:rsidRPr="00DC77E7">
        <w:rPr>
          <w:rFonts w:eastAsia="Calibri"/>
          <w:sz w:val="22"/>
          <w:szCs w:val="22"/>
        </w:rPr>
        <w:tab/>
        <w:t>The SCS-SAP Implementation Unit in consultation with the Chairperson shall convene meetings of the RWG-W according to an agreed schedule, which will form part of the agreed work plan and timetable for the work of the Committee. The first meeting of the RWG-W will be convened within three months of signature of the operational project document to agree on the detailed activities, workplan and timetable for the first twenty-four months of project execution leading to the project’s mid-term review.</w:t>
      </w:r>
    </w:p>
    <w:p w14:paraId="0BDDD11A" w14:textId="77777777" w:rsidR="00DC77E7" w:rsidRPr="00DC77E7" w:rsidRDefault="00DC77E7" w:rsidP="00DC77E7">
      <w:pPr>
        <w:jc w:val="both"/>
        <w:rPr>
          <w:rFonts w:eastAsia="Calibri"/>
          <w:sz w:val="22"/>
          <w:szCs w:val="22"/>
        </w:rPr>
      </w:pPr>
    </w:p>
    <w:p w14:paraId="57AB8972" w14:textId="77777777" w:rsidR="00DC77E7" w:rsidRPr="00DC77E7" w:rsidRDefault="00DC77E7" w:rsidP="00DC77E7">
      <w:pPr>
        <w:spacing w:after="120"/>
        <w:jc w:val="both"/>
        <w:rPr>
          <w:rFonts w:eastAsia="Calibri"/>
          <w:b/>
          <w:caps/>
          <w:sz w:val="22"/>
          <w:szCs w:val="22"/>
        </w:rPr>
      </w:pPr>
      <w:r w:rsidRPr="00DC77E7">
        <w:rPr>
          <w:rFonts w:eastAsia="Calibri"/>
          <w:b/>
          <w:caps/>
          <w:sz w:val="22"/>
          <w:szCs w:val="22"/>
        </w:rPr>
        <w:t>5.</w:t>
      </w:r>
      <w:r w:rsidRPr="00DC77E7">
        <w:rPr>
          <w:rFonts w:eastAsia="Calibri"/>
          <w:b/>
          <w:caps/>
          <w:sz w:val="22"/>
          <w:szCs w:val="22"/>
        </w:rPr>
        <w:tab/>
        <w:t>Terms of Reference</w:t>
      </w:r>
    </w:p>
    <w:p w14:paraId="6AC4B152" w14:textId="77777777" w:rsidR="00DC77E7" w:rsidRPr="00DC77E7" w:rsidRDefault="00DC77E7" w:rsidP="00DC77E7">
      <w:pPr>
        <w:spacing w:after="120"/>
        <w:jc w:val="both"/>
        <w:rPr>
          <w:rFonts w:eastAsia="Calibri"/>
          <w:b/>
          <w:sz w:val="22"/>
          <w:szCs w:val="22"/>
        </w:rPr>
      </w:pPr>
      <w:r w:rsidRPr="00DC77E7">
        <w:rPr>
          <w:rFonts w:eastAsia="Calibri"/>
          <w:b/>
          <w:sz w:val="22"/>
          <w:szCs w:val="22"/>
        </w:rPr>
        <w:t>The RWG-W shall:</w:t>
      </w:r>
    </w:p>
    <w:p w14:paraId="16D37C52" w14:textId="77777777" w:rsidR="00DC77E7" w:rsidRPr="00DC77E7" w:rsidRDefault="00DC77E7" w:rsidP="00DC77E7">
      <w:pPr>
        <w:spacing w:after="120"/>
        <w:jc w:val="both"/>
        <w:rPr>
          <w:rFonts w:eastAsia="Calibri"/>
          <w:sz w:val="22"/>
          <w:szCs w:val="22"/>
        </w:rPr>
      </w:pPr>
      <w:r w:rsidRPr="00DC77E7">
        <w:rPr>
          <w:rFonts w:eastAsia="Calibri"/>
          <w:sz w:val="22"/>
          <w:szCs w:val="22"/>
        </w:rPr>
        <w:t>5.1</w:t>
      </w:r>
      <w:r w:rsidRPr="00DC77E7">
        <w:rPr>
          <w:rFonts w:eastAsia="Calibri"/>
          <w:sz w:val="22"/>
          <w:szCs w:val="22"/>
        </w:rPr>
        <w:tab/>
        <w:t>Provide direction, and strategic guidance to the National Wetland Committees regarding the integrated management of 783,900 ha of coastal wetland at 19 sites, including habitat restoration and protection strengthened at priority locations, including the achievement of the following targets:</w:t>
      </w:r>
    </w:p>
    <w:p w14:paraId="4A550E0F" w14:textId="77777777" w:rsidR="00DC77E7" w:rsidRPr="00DC77E7" w:rsidRDefault="00DC77E7" w:rsidP="00DC77E7">
      <w:pPr>
        <w:numPr>
          <w:ilvl w:val="0"/>
          <w:numId w:val="53"/>
        </w:numPr>
        <w:contextualSpacing/>
        <w:jc w:val="both"/>
        <w:rPr>
          <w:rFonts w:eastAsia="Calibri"/>
          <w:sz w:val="22"/>
          <w:szCs w:val="22"/>
        </w:rPr>
      </w:pPr>
      <w:r w:rsidRPr="00DC77E7">
        <w:rPr>
          <w:rFonts w:eastAsia="Calibri"/>
          <w:sz w:val="22"/>
          <w:szCs w:val="22"/>
        </w:rPr>
        <w:t>Development and implementation of integrated management plans for 3 lagoons (26,818 ha), 9 estuaries (614,680 ha), 5 tidal flats (96,903 ha), 1 peat swamp (45,700 ha) and 1 non-peat swamp (9,808 ha)</w:t>
      </w:r>
    </w:p>
    <w:p w14:paraId="3C093F19" w14:textId="77777777" w:rsidR="00DC77E7" w:rsidRPr="00DC77E7" w:rsidRDefault="00DC77E7" w:rsidP="00DC77E7">
      <w:pPr>
        <w:numPr>
          <w:ilvl w:val="0"/>
          <w:numId w:val="53"/>
        </w:numPr>
        <w:contextualSpacing/>
        <w:jc w:val="both"/>
        <w:rPr>
          <w:rFonts w:eastAsia="Calibri"/>
          <w:sz w:val="22"/>
          <w:szCs w:val="22"/>
        </w:rPr>
      </w:pPr>
      <w:r w:rsidRPr="00DC77E7">
        <w:rPr>
          <w:rFonts w:eastAsia="Calibri"/>
          <w:sz w:val="22"/>
          <w:szCs w:val="22"/>
        </w:rPr>
        <w:t xml:space="preserve">Declaration of at least 7 wetland areas with protection status (i.e. non-hunting area, nature reserves, protected areas, Ramsar Sites). </w:t>
      </w:r>
    </w:p>
    <w:p w14:paraId="49C68044" w14:textId="77777777" w:rsidR="00DC77E7" w:rsidRPr="00DC77E7" w:rsidRDefault="00DC77E7" w:rsidP="00DC77E7">
      <w:pPr>
        <w:numPr>
          <w:ilvl w:val="0"/>
          <w:numId w:val="53"/>
        </w:numPr>
        <w:spacing w:after="120"/>
        <w:contextualSpacing/>
        <w:jc w:val="both"/>
        <w:rPr>
          <w:rFonts w:eastAsia="Calibri"/>
          <w:sz w:val="22"/>
          <w:szCs w:val="22"/>
        </w:rPr>
      </w:pPr>
      <w:r w:rsidRPr="00DC77E7">
        <w:rPr>
          <w:rFonts w:eastAsia="Calibri"/>
          <w:sz w:val="22"/>
          <w:szCs w:val="22"/>
        </w:rPr>
        <w:t>Development, adoption and implementation of a regional estuary monitoring scheme at the national level</w:t>
      </w:r>
    </w:p>
    <w:p w14:paraId="5F3396E7" w14:textId="77777777" w:rsidR="00DC77E7" w:rsidRPr="00DC77E7" w:rsidRDefault="00DC77E7" w:rsidP="00DC77E7">
      <w:pPr>
        <w:spacing w:after="120"/>
        <w:jc w:val="both"/>
        <w:rPr>
          <w:rFonts w:eastAsia="Calibri"/>
          <w:sz w:val="22"/>
          <w:szCs w:val="22"/>
        </w:rPr>
      </w:pPr>
      <w:r w:rsidRPr="00DC77E7">
        <w:rPr>
          <w:rFonts w:eastAsia="Calibri"/>
          <w:sz w:val="22"/>
          <w:szCs w:val="22"/>
        </w:rPr>
        <w:t>5.2</w:t>
      </w:r>
      <w:r w:rsidRPr="00DC77E7">
        <w:rPr>
          <w:rFonts w:eastAsia="Calibri"/>
          <w:sz w:val="22"/>
          <w:szCs w:val="22"/>
        </w:rPr>
        <w:tab/>
        <w:t>Assume overall responsibility for the timely execution of project activities in support of the achievement of the abovementioned targets;</w:t>
      </w:r>
    </w:p>
    <w:p w14:paraId="593112D4" w14:textId="77777777" w:rsidR="00DC77E7" w:rsidRPr="00DC77E7" w:rsidRDefault="00DC77E7" w:rsidP="00DC77E7">
      <w:pPr>
        <w:spacing w:after="120"/>
        <w:jc w:val="both"/>
        <w:rPr>
          <w:rFonts w:eastAsia="Calibri"/>
          <w:sz w:val="22"/>
          <w:szCs w:val="22"/>
        </w:rPr>
      </w:pPr>
      <w:r w:rsidRPr="00DC77E7">
        <w:rPr>
          <w:rFonts w:eastAsia="Calibri"/>
          <w:sz w:val="22"/>
          <w:szCs w:val="22"/>
        </w:rPr>
        <w:t>5.3</w:t>
      </w:r>
      <w:r w:rsidRPr="00DC77E7">
        <w:rPr>
          <w:rFonts w:eastAsia="Calibri"/>
          <w:sz w:val="22"/>
          <w:szCs w:val="22"/>
        </w:rPr>
        <w:tab/>
        <w:t xml:space="preserve">Update, in close collaboration with the National Wetland Committees, the regional wetland meta-database and GIS, including meta-data on biodiversity and the results of wetland research pertaining to this project. </w:t>
      </w:r>
    </w:p>
    <w:p w14:paraId="4AAC32F8" w14:textId="77777777" w:rsidR="00DC77E7" w:rsidRPr="00DC77E7" w:rsidRDefault="00DC77E7" w:rsidP="00DC77E7">
      <w:pPr>
        <w:spacing w:after="120"/>
        <w:jc w:val="both"/>
        <w:rPr>
          <w:rFonts w:eastAsia="Calibri"/>
          <w:sz w:val="22"/>
          <w:szCs w:val="22"/>
        </w:rPr>
      </w:pPr>
      <w:r w:rsidRPr="00DC77E7">
        <w:rPr>
          <w:rFonts w:eastAsia="Calibri"/>
          <w:sz w:val="22"/>
          <w:szCs w:val="22"/>
        </w:rPr>
        <w:t>5.4</w:t>
      </w:r>
      <w:r w:rsidRPr="00DC77E7">
        <w:rPr>
          <w:rFonts w:eastAsia="Calibri"/>
          <w:sz w:val="22"/>
          <w:szCs w:val="22"/>
        </w:rPr>
        <w:tab/>
        <w:t>Develop, in close collaboration with the National Wetland Committees, public awareness and information materials concerning the national and regional importance of such ecosystems;</w:t>
      </w:r>
    </w:p>
    <w:p w14:paraId="4B2C39C5" w14:textId="77777777" w:rsidR="00DC77E7" w:rsidRPr="00DC77E7" w:rsidRDefault="00DC77E7" w:rsidP="00DC77E7">
      <w:pPr>
        <w:spacing w:after="120"/>
        <w:jc w:val="both"/>
        <w:rPr>
          <w:rFonts w:eastAsia="Calibri"/>
          <w:sz w:val="22"/>
          <w:szCs w:val="22"/>
        </w:rPr>
      </w:pPr>
      <w:r w:rsidRPr="00DC77E7">
        <w:rPr>
          <w:rFonts w:eastAsia="Calibri"/>
          <w:sz w:val="22"/>
          <w:szCs w:val="22"/>
        </w:rPr>
        <w:t>5.5</w:t>
      </w:r>
      <w:r w:rsidRPr="00DC77E7">
        <w:rPr>
          <w:rFonts w:eastAsia="Calibri"/>
          <w:sz w:val="22"/>
          <w:szCs w:val="22"/>
        </w:rPr>
        <w:tab/>
        <w:t>Update in close collaboration with the National Wetland Committees, regional data sets relating to the economic valuation of wetland ecosystems with a view to incorporation of such valuations in national economic and development planning;</w:t>
      </w:r>
    </w:p>
    <w:p w14:paraId="7AB1270F" w14:textId="77777777" w:rsidR="00DC77E7" w:rsidRPr="00DC77E7" w:rsidRDefault="00DC77E7" w:rsidP="00DC77E7">
      <w:pPr>
        <w:spacing w:after="120"/>
        <w:jc w:val="both"/>
        <w:rPr>
          <w:rFonts w:eastAsia="Calibri"/>
          <w:sz w:val="22"/>
          <w:szCs w:val="22"/>
        </w:rPr>
      </w:pPr>
      <w:r w:rsidRPr="00DC77E7">
        <w:rPr>
          <w:rFonts w:eastAsia="Calibri"/>
          <w:sz w:val="22"/>
          <w:szCs w:val="22"/>
        </w:rPr>
        <w:t>5.6</w:t>
      </w:r>
      <w:r w:rsidRPr="00DC77E7">
        <w:rPr>
          <w:rFonts w:eastAsia="Calibri"/>
          <w:sz w:val="22"/>
          <w:szCs w:val="22"/>
        </w:rPr>
        <w:tab/>
        <w:t>Receive, and review reports, data and information from the National Wetland Committees and compile the regional syntheses regarding wetland management needs and priorities;</w:t>
      </w:r>
    </w:p>
    <w:p w14:paraId="79346B3F" w14:textId="77777777" w:rsidR="00DC77E7" w:rsidRPr="00DC77E7" w:rsidRDefault="00DC77E7" w:rsidP="00DC77E7">
      <w:pPr>
        <w:spacing w:after="120"/>
        <w:jc w:val="both"/>
        <w:rPr>
          <w:rFonts w:eastAsia="Calibri"/>
          <w:sz w:val="22"/>
          <w:szCs w:val="22"/>
        </w:rPr>
      </w:pPr>
      <w:r w:rsidRPr="00DC77E7">
        <w:rPr>
          <w:rFonts w:eastAsia="Calibri"/>
          <w:sz w:val="22"/>
          <w:szCs w:val="22"/>
        </w:rPr>
        <w:t>5.7</w:t>
      </w:r>
      <w:r w:rsidRPr="00DC77E7">
        <w:rPr>
          <w:rFonts w:eastAsia="Calibri"/>
          <w:sz w:val="22"/>
          <w:szCs w:val="22"/>
        </w:rPr>
        <w:tab/>
        <w:t>Develop guidelines regarding best practices for sustainable wetland management for adoption and application at national level in participating countries;</w:t>
      </w:r>
    </w:p>
    <w:p w14:paraId="6B035961" w14:textId="77777777" w:rsidR="00DC77E7" w:rsidRPr="00DC77E7" w:rsidRDefault="00DC77E7" w:rsidP="00DC77E7">
      <w:pPr>
        <w:spacing w:after="120"/>
        <w:jc w:val="both"/>
        <w:rPr>
          <w:rFonts w:eastAsia="Calibri"/>
          <w:sz w:val="22"/>
          <w:szCs w:val="22"/>
        </w:rPr>
      </w:pPr>
      <w:r w:rsidRPr="00DC77E7">
        <w:rPr>
          <w:rFonts w:eastAsia="Calibri"/>
          <w:sz w:val="22"/>
          <w:szCs w:val="22"/>
        </w:rPr>
        <w:t>5.8</w:t>
      </w:r>
      <w:r w:rsidRPr="00DC77E7">
        <w:rPr>
          <w:rFonts w:eastAsia="Calibri"/>
          <w:sz w:val="22"/>
          <w:szCs w:val="22"/>
        </w:rPr>
        <w:tab/>
        <w:t>Develop, review and recommend for adoption by the Regional Scientific and Technical Committee the proposed targets and timelines that may be included in a revised Strategic Action programme in order to achieve, sustainable management of wetlands bordering the South China Sea in the longer-term;</w:t>
      </w:r>
    </w:p>
    <w:p w14:paraId="7A88C410" w14:textId="77777777" w:rsidR="00DC77E7" w:rsidRPr="00DC77E7" w:rsidRDefault="00DC77E7" w:rsidP="00DC77E7">
      <w:pPr>
        <w:spacing w:after="120"/>
        <w:jc w:val="both"/>
        <w:rPr>
          <w:rFonts w:eastAsia="Calibri"/>
          <w:sz w:val="22"/>
          <w:szCs w:val="22"/>
        </w:rPr>
      </w:pPr>
      <w:r w:rsidRPr="00DC77E7">
        <w:rPr>
          <w:rFonts w:eastAsia="Calibri"/>
          <w:sz w:val="22"/>
          <w:szCs w:val="22"/>
        </w:rPr>
        <w:t>5.9</w:t>
      </w:r>
      <w:r w:rsidRPr="00DC77E7">
        <w:rPr>
          <w:rFonts w:eastAsia="Calibri"/>
          <w:sz w:val="22"/>
          <w:szCs w:val="22"/>
        </w:rPr>
        <w:tab/>
        <w:t>Prepare a regional review of national experiences in wetland restoration with a view to developing widely applicable guidelines concerning best practices in wetland restoration and rehabilitation;</w:t>
      </w:r>
    </w:p>
    <w:p w14:paraId="6BD69451" w14:textId="77777777" w:rsidR="00DC77E7" w:rsidRPr="00DC77E7" w:rsidRDefault="00DC77E7" w:rsidP="00DC77E7">
      <w:pPr>
        <w:spacing w:after="120"/>
        <w:jc w:val="both"/>
        <w:rPr>
          <w:rFonts w:eastAsia="Calibri"/>
          <w:sz w:val="22"/>
          <w:szCs w:val="22"/>
        </w:rPr>
      </w:pPr>
      <w:r w:rsidRPr="00DC77E7">
        <w:rPr>
          <w:rFonts w:eastAsia="Calibri"/>
          <w:sz w:val="22"/>
          <w:szCs w:val="22"/>
        </w:rPr>
        <w:t>5.10</w:t>
      </w:r>
      <w:r w:rsidRPr="00DC77E7">
        <w:rPr>
          <w:rFonts w:eastAsia="Calibri"/>
          <w:sz w:val="22"/>
          <w:szCs w:val="22"/>
        </w:rPr>
        <w:tab/>
        <w:t>Review and evaluate, at the regional level, progress in implementation of the wetland activities of the project, and provide guidance for improvement when necessary; and</w:t>
      </w:r>
    </w:p>
    <w:p w14:paraId="2204E708" w14:textId="77777777" w:rsidR="00DC77E7" w:rsidRPr="00DC77E7" w:rsidRDefault="00DC77E7" w:rsidP="00DC77E7">
      <w:pPr>
        <w:spacing w:after="120"/>
        <w:jc w:val="both"/>
        <w:rPr>
          <w:rFonts w:eastAsia="Calibri"/>
          <w:sz w:val="22"/>
          <w:szCs w:val="22"/>
        </w:rPr>
      </w:pPr>
      <w:r w:rsidRPr="00DC77E7">
        <w:rPr>
          <w:rFonts w:eastAsia="Calibri"/>
          <w:sz w:val="22"/>
          <w:szCs w:val="22"/>
        </w:rPr>
        <w:t>5.11</w:t>
      </w:r>
      <w:r w:rsidRPr="00DC77E7">
        <w:rPr>
          <w:rFonts w:eastAsia="Calibri"/>
          <w:sz w:val="22"/>
          <w:szCs w:val="22"/>
        </w:rPr>
        <w:tab/>
        <w:t>Develop annual workplans and provide periodic progress reports to the Regional Scientific and Technical Committee.</w:t>
      </w:r>
    </w:p>
    <w:p w14:paraId="311FDE45" w14:textId="77777777" w:rsidR="00DC77E7" w:rsidRPr="00DC77E7" w:rsidRDefault="00DC77E7" w:rsidP="00DC77E7">
      <w:pPr>
        <w:rPr>
          <w:rFonts w:eastAsia="Calibri"/>
          <w:sz w:val="22"/>
          <w:szCs w:val="22"/>
        </w:rPr>
      </w:pPr>
    </w:p>
    <w:p w14:paraId="2E9ED808" w14:textId="77777777" w:rsidR="00DC77E7" w:rsidRPr="00DC77E7" w:rsidRDefault="00DC77E7" w:rsidP="00DC77E7">
      <w:pPr>
        <w:rPr>
          <w:rFonts w:eastAsia="Calibri"/>
          <w:sz w:val="22"/>
          <w:szCs w:val="22"/>
        </w:rPr>
      </w:pPr>
      <w:r w:rsidRPr="00DC77E7">
        <w:rPr>
          <w:rFonts w:eastAsia="Calibri"/>
          <w:sz w:val="22"/>
          <w:szCs w:val="22"/>
        </w:rPr>
        <w:br w:type="page"/>
      </w:r>
    </w:p>
    <w:p w14:paraId="1ED27204"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PROVISIONAL TERMS OF REFERENCE FOR THE</w:t>
      </w:r>
    </w:p>
    <w:p w14:paraId="0A6CC565"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REGIONAL WORKING GROUP ON LAND-BASED POLLUTION</w:t>
      </w:r>
    </w:p>
    <w:p w14:paraId="09DD612D" w14:textId="77777777" w:rsidR="00DC77E7" w:rsidRPr="00DC77E7" w:rsidRDefault="00DC77E7" w:rsidP="00DC77E7">
      <w:pPr>
        <w:rPr>
          <w:rFonts w:eastAsia="Calibri"/>
          <w:sz w:val="22"/>
          <w:szCs w:val="22"/>
        </w:rPr>
      </w:pPr>
    </w:p>
    <w:p w14:paraId="0CE5B8A4" w14:textId="77777777" w:rsidR="00DC77E7" w:rsidRPr="00DC77E7" w:rsidRDefault="00DC77E7" w:rsidP="00DC77E7">
      <w:pPr>
        <w:spacing w:after="120"/>
        <w:jc w:val="both"/>
        <w:rPr>
          <w:rFonts w:eastAsia="Calibri"/>
          <w:b/>
          <w:sz w:val="22"/>
          <w:szCs w:val="22"/>
          <w:lang w:val="en-GB"/>
        </w:rPr>
      </w:pPr>
      <w:r w:rsidRPr="00DC77E7">
        <w:rPr>
          <w:rFonts w:eastAsia="Calibri"/>
          <w:b/>
          <w:sz w:val="22"/>
          <w:szCs w:val="22"/>
          <w:lang w:val="en-GB"/>
        </w:rPr>
        <w:t>1.</w:t>
      </w:r>
      <w:r w:rsidRPr="00DC77E7">
        <w:rPr>
          <w:rFonts w:eastAsia="Calibri"/>
          <w:b/>
          <w:sz w:val="22"/>
          <w:szCs w:val="22"/>
          <w:lang w:val="en-GB"/>
        </w:rPr>
        <w:tab/>
        <w:t>RATIONALE AND PURPOSE OF A REGIONAL WORKING GROUP ON LAND-BASED POLLUTION</w:t>
      </w:r>
    </w:p>
    <w:p w14:paraId="63E93561" w14:textId="77777777" w:rsidR="00DC77E7" w:rsidRPr="00DC77E7" w:rsidRDefault="00DC77E7" w:rsidP="00DC77E7">
      <w:pPr>
        <w:jc w:val="both"/>
        <w:rPr>
          <w:rFonts w:eastAsia="Calibri"/>
          <w:sz w:val="22"/>
          <w:szCs w:val="22"/>
        </w:rPr>
      </w:pPr>
      <w:r w:rsidRPr="00DC77E7">
        <w:rPr>
          <w:rFonts w:eastAsia="Calibri"/>
          <w:sz w:val="22"/>
          <w:szCs w:val="22"/>
        </w:rPr>
        <w:t>1.1</w:t>
      </w:r>
      <w:r w:rsidRPr="00DC77E7">
        <w:rPr>
          <w:rFonts w:eastAsia="Calibri"/>
          <w:sz w:val="22"/>
          <w:szCs w:val="22"/>
        </w:rPr>
        <w:tab/>
        <w:t>To facilitate the achievement of the Strategic Action Programme targets for land-based pollution management, a Regional Working Group on Land-based Pollution (RWG-LbP) shall be established with overall responsibility for: co-ordinating the work of the National Land-Based Pollution Committees established in each of the participating countries; for ensuring effective implementation of project activities undertaken in the context of the achievement of the land-based pollution management targets of the project; and to provide a mechanism for exchange of information and experience of land-based pollution management activities in each country.</w:t>
      </w:r>
    </w:p>
    <w:p w14:paraId="04B1C739" w14:textId="77777777" w:rsidR="00DC77E7" w:rsidRPr="00DC77E7" w:rsidRDefault="00DC77E7" w:rsidP="00DC77E7">
      <w:pPr>
        <w:jc w:val="both"/>
        <w:rPr>
          <w:rFonts w:eastAsia="Calibri"/>
          <w:sz w:val="22"/>
          <w:szCs w:val="22"/>
        </w:rPr>
      </w:pPr>
    </w:p>
    <w:p w14:paraId="33348849" w14:textId="77777777" w:rsidR="00DC77E7" w:rsidRPr="00DC77E7" w:rsidRDefault="00DC77E7" w:rsidP="00DC77E7">
      <w:pPr>
        <w:spacing w:after="120"/>
        <w:jc w:val="both"/>
        <w:rPr>
          <w:rFonts w:eastAsia="Calibri"/>
          <w:b/>
          <w:sz w:val="22"/>
          <w:szCs w:val="22"/>
        </w:rPr>
      </w:pPr>
      <w:r w:rsidRPr="00DC77E7">
        <w:rPr>
          <w:rFonts w:eastAsia="Calibri"/>
          <w:b/>
          <w:sz w:val="22"/>
          <w:szCs w:val="22"/>
        </w:rPr>
        <w:t>2.</w:t>
      </w:r>
      <w:r w:rsidRPr="00DC77E7">
        <w:rPr>
          <w:rFonts w:eastAsia="Calibri"/>
          <w:b/>
          <w:sz w:val="22"/>
          <w:szCs w:val="22"/>
        </w:rPr>
        <w:tab/>
        <w:t>MEMBERSHIP</w:t>
      </w:r>
    </w:p>
    <w:p w14:paraId="015D234D" w14:textId="77777777" w:rsidR="00DC77E7" w:rsidRPr="00DC77E7" w:rsidRDefault="00DC77E7" w:rsidP="00DC77E7">
      <w:pPr>
        <w:spacing w:after="120"/>
        <w:jc w:val="both"/>
        <w:rPr>
          <w:rFonts w:eastAsia="Calibri"/>
          <w:sz w:val="22"/>
          <w:szCs w:val="22"/>
        </w:rPr>
      </w:pPr>
      <w:r w:rsidRPr="00DC77E7">
        <w:rPr>
          <w:rFonts w:eastAsia="Calibri"/>
          <w:sz w:val="22"/>
          <w:szCs w:val="22"/>
        </w:rPr>
        <w:t>2.1</w:t>
      </w:r>
      <w:r w:rsidRPr="00DC77E7">
        <w:rPr>
          <w:rFonts w:eastAsia="Calibri"/>
          <w:sz w:val="22"/>
          <w:szCs w:val="22"/>
        </w:rPr>
        <w:tab/>
        <w:t xml:space="preserve">The RWG-LbP of the SCS-SAP Implementation Project shall consist of the Chairpersons of the National Land-based Pollution Committees together with one member of the SCS-SAP Implementation Unit and selected regional experts. The SCS-SAP Implementation Unit in consultation with the National Technical Focal Points for the project shall nominate no more than four such experts to ensure a balance of expertise and specialisation consistent with the mandate of the working group. </w:t>
      </w:r>
    </w:p>
    <w:p w14:paraId="6D1FFF16" w14:textId="77777777" w:rsidR="00DC77E7" w:rsidRPr="00DC77E7" w:rsidRDefault="00DC77E7" w:rsidP="00DC77E7">
      <w:pPr>
        <w:jc w:val="both"/>
        <w:rPr>
          <w:rFonts w:eastAsia="Calibri"/>
          <w:sz w:val="22"/>
          <w:szCs w:val="22"/>
        </w:rPr>
      </w:pPr>
      <w:r w:rsidRPr="00DC77E7">
        <w:rPr>
          <w:rFonts w:eastAsia="Calibri"/>
          <w:sz w:val="22"/>
          <w:szCs w:val="22"/>
        </w:rPr>
        <w:t>2.2</w:t>
      </w:r>
      <w:r w:rsidRPr="00DC77E7">
        <w:rPr>
          <w:rFonts w:eastAsia="Calibri"/>
          <w:sz w:val="22"/>
          <w:szCs w:val="22"/>
        </w:rPr>
        <w:tab/>
        <w:t>The membership of the RWG-LbP shall be formally established at the first meeting of the Working Group, which shall elect a Chairperson and a Vice-Chair from amongst its members. The Vice-Chair shall act as Chairperson of meetings in the absence of the Chairperson. The Chairperson of the RWG-LbP will represent the RWG-LbP on the Regional Scientific and Technical Committee (RSTC) and will attend the meetings of that Committee.</w:t>
      </w:r>
    </w:p>
    <w:p w14:paraId="7F89DF15" w14:textId="77777777" w:rsidR="00DC77E7" w:rsidRPr="00DC77E7" w:rsidRDefault="00DC77E7" w:rsidP="00DC77E7">
      <w:pPr>
        <w:rPr>
          <w:rFonts w:eastAsia="Calibri"/>
          <w:sz w:val="22"/>
          <w:szCs w:val="22"/>
        </w:rPr>
      </w:pPr>
    </w:p>
    <w:p w14:paraId="67402A2E" w14:textId="77777777" w:rsidR="00DC77E7" w:rsidRPr="00DC77E7" w:rsidRDefault="00DC77E7" w:rsidP="00DC77E7">
      <w:pPr>
        <w:spacing w:after="120"/>
        <w:rPr>
          <w:rFonts w:eastAsia="Calibri"/>
          <w:b/>
          <w:caps/>
          <w:sz w:val="22"/>
          <w:szCs w:val="22"/>
        </w:rPr>
      </w:pPr>
      <w:r w:rsidRPr="00DC77E7">
        <w:rPr>
          <w:rFonts w:eastAsia="Calibri"/>
          <w:b/>
          <w:caps/>
          <w:sz w:val="22"/>
          <w:szCs w:val="22"/>
        </w:rPr>
        <w:t>3.</w:t>
      </w:r>
      <w:r w:rsidRPr="00DC77E7">
        <w:rPr>
          <w:rFonts w:eastAsia="Calibri"/>
          <w:b/>
          <w:caps/>
          <w:sz w:val="22"/>
          <w:szCs w:val="22"/>
        </w:rPr>
        <w:tab/>
        <w:t>Secretariat</w:t>
      </w:r>
    </w:p>
    <w:p w14:paraId="239F02CD" w14:textId="77777777" w:rsidR="00DC77E7" w:rsidRPr="00DC77E7" w:rsidRDefault="00DC77E7" w:rsidP="00DC77E7">
      <w:pPr>
        <w:jc w:val="both"/>
        <w:rPr>
          <w:rFonts w:eastAsia="Calibri"/>
          <w:sz w:val="22"/>
          <w:szCs w:val="22"/>
        </w:rPr>
      </w:pPr>
      <w:r w:rsidRPr="00DC77E7">
        <w:rPr>
          <w:rFonts w:eastAsia="Calibri"/>
          <w:sz w:val="22"/>
          <w:szCs w:val="22"/>
        </w:rPr>
        <w:t>3.1</w:t>
      </w:r>
      <w:r w:rsidRPr="00DC77E7">
        <w:rPr>
          <w:rFonts w:eastAsia="Calibri"/>
          <w:sz w:val="22"/>
          <w:szCs w:val="22"/>
        </w:rPr>
        <w:tab/>
        <w:t xml:space="preserve">The SCS-SAP Implementation Unit (SCS-SAP IU) shall act as Secretariat to the RWG-LbP, and shall ensure that reports of the meetings are circulated to all members of the working group, and are copied to the members of the Regional Scientific and Technical Committee. The National Land-based Pollution Committees shall serve as the principal source of national scientific and technical data and information to the RWG-LbP. </w:t>
      </w:r>
    </w:p>
    <w:p w14:paraId="263B2F04" w14:textId="77777777" w:rsidR="00DC77E7" w:rsidRPr="00DC77E7" w:rsidRDefault="00DC77E7" w:rsidP="00DC77E7">
      <w:pPr>
        <w:rPr>
          <w:rFonts w:eastAsia="Calibri"/>
          <w:sz w:val="22"/>
          <w:szCs w:val="22"/>
        </w:rPr>
      </w:pPr>
    </w:p>
    <w:p w14:paraId="47877D4D" w14:textId="77777777" w:rsidR="00DC77E7" w:rsidRPr="00DC77E7" w:rsidRDefault="00DC77E7" w:rsidP="00DC77E7">
      <w:pPr>
        <w:spacing w:after="120"/>
        <w:rPr>
          <w:rFonts w:eastAsia="Calibri"/>
          <w:b/>
          <w:caps/>
          <w:sz w:val="22"/>
          <w:szCs w:val="22"/>
        </w:rPr>
      </w:pPr>
      <w:r w:rsidRPr="00DC77E7">
        <w:rPr>
          <w:rFonts w:eastAsia="Calibri"/>
          <w:b/>
          <w:caps/>
          <w:sz w:val="22"/>
          <w:szCs w:val="22"/>
        </w:rPr>
        <w:t>4.</w:t>
      </w:r>
      <w:r w:rsidRPr="00DC77E7">
        <w:rPr>
          <w:rFonts w:eastAsia="Calibri"/>
          <w:b/>
          <w:caps/>
          <w:sz w:val="22"/>
          <w:szCs w:val="22"/>
        </w:rPr>
        <w:tab/>
        <w:t>Meetings of the Committee</w:t>
      </w:r>
    </w:p>
    <w:p w14:paraId="33DECC70" w14:textId="77777777" w:rsidR="00DC77E7" w:rsidRPr="00DC77E7" w:rsidRDefault="00DC77E7" w:rsidP="00DC77E7">
      <w:pPr>
        <w:jc w:val="both"/>
        <w:rPr>
          <w:rFonts w:eastAsia="Calibri"/>
          <w:sz w:val="22"/>
          <w:szCs w:val="22"/>
        </w:rPr>
      </w:pPr>
      <w:r w:rsidRPr="00DC77E7">
        <w:rPr>
          <w:rFonts w:eastAsia="Calibri"/>
          <w:sz w:val="22"/>
          <w:szCs w:val="22"/>
        </w:rPr>
        <w:t>4.1</w:t>
      </w:r>
      <w:r w:rsidRPr="00DC77E7">
        <w:rPr>
          <w:rFonts w:eastAsia="Calibri"/>
          <w:sz w:val="22"/>
          <w:szCs w:val="22"/>
        </w:rPr>
        <w:tab/>
        <w:t>The SCS-SAP Implementation Unit in consultation with the Chairperson shall convene meetings of the RWG-LbP according to an agreed schedule, which will form part of the agreed work plan and timetable for the work of the Committee. The first meeting of the RWG-LbP will be convened within three months of signature of the operational project document to agree on the detailed activities, workplan and timetable for the first twenty-four months of project execution leading to the project’s mid-term review.</w:t>
      </w:r>
    </w:p>
    <w:p w14:paraId="0555B9E3" w14:textId="77777777" w:rsidR="00DC77E7" w:rsidRPr="00DC77E7" w:rsidRDefault="00DC77E7" w:rsidP="00DC77E7">
      <w:pPr>
        <w:jc w:val="both"/>
        <w:rPr>
          <w:rFonts w:eastAsia="Calibri"/>
          <w:sz w:val="22"/>
          <w:szCs w:val="22"/>
        </w:rPr>
      </w:pPr>
    </w:p>
    <w:p w14:paraId="44C8DABC" w14:textId="77777777" w:rsidR="00DC77E7" w:rsidRPr="00DC77E7" w:rsidRDefault="00DC77E7" w:rsidP="00DC77E7">
      <w:pPr>
        <w:spacing w:after="120"/>
        <w:jc w:val="both"/>
        <w:rPr>
          <w:rFonts w:eastAsia="Calibri"/>
          <w:b/>
          <w:caps/>
          <w:sz w:val="22"/>
          <w:szCs w:val="22"/>
        </w:rPr>
      </w:pPr>
      <w:r w:rsidRPr="00DC77E7">
        <w:rPr>
          <w:rFonts w:eastAsia="Calibri"/>
          <w:b/>
          <w:caps/>
          <w:sz w:val="22"/>
          <w:szCs w:val="22"/>
        </w:rPr>
        <w:t>5.</w:t>
      </w:r>
      <w:r w:rsidRPr="00DC77E7">
        <w:rPr>
          <w:rFonts w:eastAsia="Calibri"/>
          <w:b/>
          <w:caps/>
          <w:sz w:val="22"/>
          <w:szCs w:val="22"/>
        </w:rPr>
        <w:tab/>
        <w:t>Terms of Reference</w:t>
      </w:r>
    </w:p>
    <w:p w14:paraId="687C2AA6" w14:textId="77777777" w:rsidR="00DC77E7" w:rsidRPr="00DC77E7" w:rsidRDefault="00DC77E7" w:rsidP="00DC77E7">
      <w:pPr>
        <w:spacing w:after="120"/>
        <w:jc w:val="both"/>
        <w:rPr>
          <w:rFonts w:eastAsia="Calibri"/>
          <w:b/>
          <w:sz w:val="22"/>
          <w:szCs w:val="22"/>
        </w:rPr>
      </w:pPr>
      <w:r w:rsidRPr="00DC77E7">
        <w:rPr>
          <w:rFonts w:eastAsia="Calibri"/>
          <w:b/>
          <w:sz w:val="22"/>
          <w:szCs w:val="22"/>
        </w:rPr>
        <w:t>The RWG-LbP shall:</w:t>
      </w:r>
    </w:p>
    <w:p w14:paraId="7E7CFFA9" w14:textId="77777777" w:rsidR="00DC77E7" w:rsidRPr="00DC77E7" w:rsidRDefault="00DC77E7" w:rsidP="00DC77E7">
      <w:pPr>
        <w:spacing w:after="120"/>
        <w:jc w:val="both"/>
        <w:rPr>
          <w:rFonts w:eastAsia="Calibri"/>
          <w:sz w:val="22"/>
          <w:szCs w:val="22"/>
        </w:rPr>
      </w:pPr>
      <w:r w:rsidRPr="00DC77E7">
        <w:rPr>
          <w:rFonts w:eastAsia="Calibri"/>
          <w:sz w:val="22"/>
          <w:szCs w:val="22"/>
        </w:rPr>
        <w:t>5.1</w:t>
      </w:r>
      <w:r w:rsidRPr="00DC77E7">
        <w:rPr>
          <w:rFonts w:eastAsia="Calibri"/>
          <w:sz w:val="22"/>
          <w:szCs w:val="22"/>
        </w:rPr>
        <w:tab/>
        <w:t>Provide direction, and strategic guidance to the National Land-based Pollution Committees regarding the achievement of the land-based pollution targets of the Strategic Action Programme for the South China Sea;</w:t>
      </w:r>
    </w:p>
    <w:p w14:paraId="1C69030A" w14:textId="77777777" w:rsidR="00DC77E7" w:rsidRPr="00DC77E7" w:rsidRDefault="00DC77E7" w:rsidP="00DC77E7">
      <w:pPr>
        <w:spacing w:after="120"/>
        <w:jc w:val="both"/>
        <w:rPr>
          <w:rFonts w:eastAsia="Calibri"/>
          <w:sz w:val="22"/>
          <w:szCs w:val="22"/>
        </w:rPr>
      </w:pPr>
      <w:r w:rsidRPr="00DC77E7">
        <w:rPr>
          <w:rFonts w:eastAsia="Calibri"/>
          <w:sz w:val="22"/>
          <w:szCs w:val="22"/>
        </w:rPr>
        <w:t>5.2</w:t>
      </w:r>
      <w:r w:rsidRPr="00DC77E7">
        <w:rPr>
          <w:rFonts w:eastAsia="Calibri"/>
          <w:sz w:val="22"/>
          <w:szCs w:val="22"/>
        </w:rPr>
        <w:tab/>
        <w:t>Assume overall responsibility for the timely execution of project activities in support of the achievement of the abovementioned targets;</w:t>
      </w:r>
    </w:p>
    <w:p w14:paraId="03A647DD" w14:textId="77777777" w:rsidR="00DC77E7" w:rsidRPr="00DC77E7" w:rsidRDefault="00DC77E7" w:rsidP="00DC77E7">
      <w:pPr>
        <w:spacing w:after="120"/>
        <w:jc w:val="both"/>
        <w:rPr>
          <w:rFonts w:eastAsia="Calibri"/>
          <w:sz w:val="22"/>
          <w:szCs w:val="22"/>
        </w:rPr>
      </w:pPr>
      <w:r w:rsidRPr="00DC77E7">
        <w:rPr>
          <w:rFonts w:eastAsia="Calibri"/>
          <w:sz w:val="22"/>
          <w:szCs w:val="22"/>
        </w:rPr>
        <w:t>5.3</w:t>
      </w:r>
      <w:r w:rsidRPr="00DC77E7">
        <w:rPr>
          <w:rFonts w:eastAsia="Calibri"/>
          <w:sz w:val="22"/>
          <w:szCs w:val="22"/>
        </w:rPr>
        <w:tab/>
        <w:t>Update, in close collaboration with the National Land-based Pollution Committees, the regional land-based pollution meta-database and GIS, including meta-data on pollution hotspots and the results of pollution hotspot research pertaining to this project;</w:t>
      </w:r>
    </w:p>
    <w:p w14:paraId="1D1FA9BA" w14:textId="77777777" w:rsidR="00DC77E7" w:rsidRPr="00DC77E7" w:rsidRDefault="00DC77E7" w:rsidP="00DC77E7">
      <w:pPr>
        <w:spacing w:after="120"/>
        <w:jc w:val="both"/>
        <w:rPr>
          <w:rFonts w:eastAsia="Calibri"/>
          <w:sz w:val="22"/>
          <w:szCs w:val="22"/>
        </w:rPr>
      </w:pPr>
      <w:r w:rsidRPr="00DC77E7">
        <w:rPr>
          <w:rFonts w:eastAsia="Calibri"/>
          <w:sz w:val="22"/>
          <w:szCs w:val="22"/>
        </w:rPr>
        <w:t>5.4</w:t>
      </w:r>
      <w:r w:rsidRPr="00DC77E7">
        <w:rPr>
          <w:rFonts w:eastAsia="Calibri"/>
          <w:sz w:val="22"/>
          <w:szCs w:val="22"/>
        </w:rPr>
        <w:tab/>
        <w:t>Develop, in close collaboration with the National Land-Based Pollution Committees, public awareness and information materials concerning the national and regional importance of effective pollution control;</w:t>
      </w:r>
    </w:p>
    <w:p w14:paraId="62BF0023" w14:textId="77777777" w:rsidR="00DC77E7" w:rsidRPr="00DC77E7" w:rsidRDefault="00DC77E7" w:rsidP="00DC77E7">
      <w:pPr>
        <w:spacing w:after="120"/>
        <w:jc w:val="both"/>
        <w:rPr>
          <w:rFonts w:eastAsia="Calibri"/>
          <w:sz w:val="22"/>
          <w:szCs w:val="22"/>
        </w:rPr>
      </w:pPr>
      <w:r w:rsidRPr="00DC77E7">
        <w:rPr>
          <w:rFonts w:eastAsia="Calibri"/>
          <w:sz w:val="22"/>
          <w:szCs w:val="22"/>
        </w:rPr>
        <w:t>5.5</w:t>
      </w:r>
      <w:r w:rsidRPr="00DC77E7">
        <w:rPr>
          <w:rFonts w:eastAsia="Calibri"/>
          <w:sz w:val="22"/>
          <w:szCs w:val="22"/>
        </w:rPr>
        <w:tab/>
        <w:t>Update in close collaboration with the National Land-based Pollution Committees, regional data sets relating to the economic impacts of land-based pollution with a view to incorporation of such valuations in national economic and development planning;</w:t>
      </w:r>
    </w:p>
    <w:p w14:paraId="54752810" w14:textId="77777777" w:rsidR="00DC77E7" w:rsidRPr="00DC77E7" w:rsidRDefault="00DC77E7" w:rsidP="00DC77E7">
      <w:pPr>
        <w:spacing w:after="120"/>
        <w:jc w:val="both"/>
        <w:rPr>
          <w:rFonts w:eastAsia="Calibri"/>
          <w:sz w:val="22"/>
          <w:szCs w:val="22"/>
        </w:rPr>
      </w:pPr>
      <w:r w:rsidRPr="00DC77E7">
        <w:rPr>
          <w:rFonts w:eastAsia="Calibri"/>
          <w:sz w:val="22"/>
          <w:szCs w:val="22"/>
        </w:rPr>
        <w:t>5.6</w:t>
      </w:r>
      <w:r w:rsidRPr="00DC77E7">
        <w:rPr>
          <w:rFonts w:eastAsia="Calibri"/>
          <w:sz w:val="22"/>
          <w:szCs w:val="22"/>
        </w:rPr>
        <w:tab/>
        <w:t>Receive, and review reports, data and information from the National Land-based Pollution Committees and compile the regional syntheses regarding wetland management needs and priorities;</w:t>
      </w:r>
    </w:p>
    <w:p w14:paraId="2D8ED67D" w14:textId="77777777" w:rsidR="00DC77E7" w:rsidRPr="00DC77E7" w:rsidRDefault="00DC77E7" w:rsidP="00DC77E7">
      <w:pPr>
        <w:spacing w:after="120"/>
        <w:jc w:val="both"/>
        <w:rPr>
          <w:rFonts w:eastAsia="Calibri"/>
          <w:sz w:val="22"/>
          <w:szCs w:val="22"/>
        </w:rPr>
      </w:pPr>
      <w:r w:rsidRPr="00DC77E7">
        <w:rPr>
          <w:rFonts w:eastAsia="Calibri"/>
          <w:sz w:val="22"/>
          <w:szCs w:val="22"/>
        </w:rPr>
        <w:t>5.7</w:t>
      </w:r>
      <w:r w:rsidRPr="00DC77E7">
        <w:rPr>
          <w:rFonts w:eastAsia="Calibri"/>
          <w:sz w:val="22"/>
          <w:szCs w:val="22"/>
        </w:rPr>
        <w:tab/>
        <w:t>Develop guidelines regarding best in land-based pollution management for adoption and application at national level in participating countries;</w:t>
      </w:r>
    </w:p>
    <w:p w14:paraId="5BC749BB" w14:textId="77777777" w:rsidR="00DC77E7" w:rsidRPr="00DC77E7" w:rsidRDefault="00DC77E7" w:rsidP="00DC77E7">
      <w:pPr>
        <w:spacing w:after="120"/>
        <w:jc w:val="both"/>
        <w:rPr>
          <w:rFonts w:eastAsia="Calibri"/>
          <w:sz w:val="22"/>
          <w:szCs w:val="22"/>
        </w:rPr>
      </w:pPr>
      <w:r w:rsidRPr="00DC77E7">
        <w:rPr>
          <w:rFonts w:eastAsia="Calibri"/>
          <w:sz w:val="22"/>
          <w:szCs w:val="22"/>
        </w:rPr>
        <w:t>5.8</w:t>
      </w:r>
      <w:r w:rsidRPr="00DC77E7">
        <w:rPr>
          <w:rFonts w:eastAsia="Calibri"/>
          <w:sz w:val="22"/>
          <w:szCs w:val="22"/>
        </w:rPr>
        <w:tab/>
        <w:t>Develop, review and recommend for adoption by the Regional Scientific and Technical Committee the proposed targets and timelines that may be included in a revised Strategic Action programme in order to achieve, sustainable management of land-based pollution in the longer-term;</w:t>
      </w:r>
    </w:p>
    <w:p w14:paraId="0764805A" w14:textId="77777777" w:rsidR="00DC77E7" w:rsidRPr="00DC77E7" w:rsidRDefault="00DC77E7" w:rsidP="00DC77E7">
      <w:pPr>
        <w:spacing w:after="120"/>
        <w:jc w:val="both"/>
        <w:rPr>
          <w:rFonts w:eastAsia="Calibri"/>
          <w:sz w:val="22"/>
          <w:szCs w:val="22"/>
        </w:rPr>
      </w:pPr>
      <w:r w:rsidRPr="00DC77E7">
        <w:rPr>
          <w:rFonts w:eastAsia="Calibri"/>
          <w:sz w:val="22"/>
          <w:szCs w:val="22"/>
        </w:rPr>
        <w:t>5.9</w:t>
      </w:r>
      <w:r w:rsidRPr="00DC77E7">
        <w:rPr>
          <w:rFonts w:eastAsia="Calibri"/>
          <w:sz w:val="22"/>
          <w:szCs w:val="22"/>
        </w:rPr>
        <w:tab/>
        <w:t>Work to ensure that the nutrient carrying capacity model developed for the South China Sea marine basin is used to communicate with decision-makers about the localized versus transboundary impacts of land-based pollution in the SCS;</w:t>
      </w:r>
    </w:p>
    <w:p w14:paraId="359CA203" w14:textId="77777777" w:rsidR="00DC77E7" w:rsidRPr="00DC77E7" w:rsidRDefault="00DC77E7" w:rsidP="00DC77E7">
      <w:pPr>
        <w:spacing w:after="120"/>
        <w:jc w:val="both"/>
        <w:rPr>
          <w:rFonts w:eastAsia="Calibri"/>
          <w:sz w:val="22"/>
          <w:szCs w:val="22"/>
        </w:rPr>
      </w:pPr>
      <w:r w:rsidRPr="00DC77E7">
        <w:rPr>
          <w:rFonts w:eastAsia="Calibri"/>
          <w:sz w:val="22"/>
          <w:szCs w:val="22"/>
        </w:rPr>
        <w:t>5.10</w:t>
      </w:r>
      <w:r w:rsidRPr="00DC77E7">
        <w:rPr>
          <w:rFonts w:eastAsia="Calibri"/>
          <w:sz w:val="22"/>
          <w:szCs w:val="22"/>
        </w:rPr>
        <w:tab/>
        <w:t>Work at the regional level to estimate total contaminant loading and carrying capacity of the SCS via the application of quantitative modeling and GIS-based techniques for seven heavy metals (Hg, Cd, Pb, Cu, Cr, As, Zn);</w:t>
      </w:r>
    </w:p>
    <w:p w14:paraId="55001219" w14:textId="77777777" w:rsidR="00DC77E7" w:rsidRPr="00DC77E7" w:rsidRDefault="00DC77E7" w:rsidP="00DC77E7">
      <w:pPr>
        <w:spacing w:after="120"/>
        <w:jc w:val="both"/>
        <w:rPr>
          <w:rFonts w:eastAsia="Calibri"/>
          <w:sz w:val="22"/>
          <w:szCs w:val="22"/>
        </w:rPr>
      </w:pPr>
      <w:r w:rsidRPr="00DC77E7">
        <w:rPr>
          <w:rFonts w:eastAsia="Calibri"/>
          <w:sz w:val="22"/>
          <w:szCs w:val="22"/>
        </w:rPr>
        <w:t>5.11</w:t>
      </w:r>
      <w:r w:rsidRPr="00DC77E7">
        <w:rPr>
          <w:rFonts w:eastAsia="Calibri"/>
          <w:sz w:val="22"/>
          <w:szCs w:val="22"/>
        </w:rPr>
        <w:tab/>
        <w:t>Guide research efforts of the project to quantify the impacts of estimated heavy metal contaminant loadings to the South China Sea and ensure that this information is communicated to decision-makers in a timely and engaging manner;</w:t>
      </w:r>
    </w:p>
    <w:p w14:paraId="7EC32E15" w14:textId="77777777" w:rsidR="00DC77E7" w:rsidRPr="00DC77E7" w:rsidRDefault="00DC77E7" w:rsidP="00DC77E7">
      <w:pPr>
        <w:spacing w:after="120"/>
        <w:jc w:val="both"/>
        <w:rPr>
          <w:rFonts w:eastAsia="Calibri"/>
          <w:sz w:val="22"/>
          <w:szCs w:val="22"/>
        </w:rPr>
      </w:pPr>
      <w:r w:rsidRPr="00DC77E7">
        <w:rPr>
          <w:rFonts w:eastAsia="Calibri"/>
          <w:sz w:val="22"/>
          <w:szCs w:val="22"/>
        </w:rPr>
        <w:t>5.12</w:t>
      </w:r>
      <w:r w:rsidRPr="00DC77E7">
        <w:rPr>
          <w:rFonts w:eastAsia="Calibri"/>
          <w:sz w:val="22"/>
          <w:szCs w:val="22"/>
        </w:rPr>
        <w:tab/>
        <w:t>Collaborate with the National Land-based Pollution Committees to quantify effluent volumes and contaminant loadings from coastal aquaculture to the SCS marine basin and communicate this information to decision-makers;</w:t>
      </w:r>
    </w:p>
    <w:p w14:paraId="20CBD624" w14:textId="77777777" w:rsidR="00DC77E7" w:rsidRPr="00DC77E7" w:rsidRDefault="00DC77E7" w:rsidP="00DC77E7">
      <w:pPr>
        <w:spacing w:after="120"/>
        <w:jc w:val="both"/>
        <w:rPr>
          <w:rFonts w:eastAsia="Calibri"/>
          <w:sz w:val="22"/>
          <w:szCs w:val="22"/>
        </w:rPr>
      </w:pPr>
      <w:r w:rsidRPr="00DC77E7">
        <w:rPr>
          <w:rFonts w:eastAsia="Calibri"/>
          <w:sz w:val="22"/>
          <w:szCs w:val="22"/>
        </w:rPr>
        <w:t>5.13</w:t>
      </w:r>
      <w:r w:rsidRPr="00DC77E7">
        <w:rPr>
          <w:rFonts w:eastAsia="Calibri"/>
          <w:sz w:val="22"/>
          <w:szCs w:val="22"/>
        </w:rPr>
        <w:tab/>
        <w:t>Provide regional guidance on options for strengthening and harmonizing national policies and laws, and supporting financial mechanism, for the management of land-based sources of pollution;</w:t>
      </w:r>
    </w:p>
    <w:p w14:paraId="46E2D5F4" w14:textId="77777777" w:rsidR="00DC77E7" w:rsidRPr="00DC77E7" w:rsidRDefault="00DC77E7" w:rsidP="00DC77E7">
      <w:pPr>
        <w:spacing w:after="120"/>
        <w:jc w:val="both"/>
        <w:rPr>
          <w:rFonts w:eastAsia="Calibri"/>
          <w:sz w:val="22"/>
          <w:szCs w:val="22"/>
        </w:rPr>
      </w:pPr>
      <w:r w:rsidRPr="00DC77E7">
        <w:rPr>
          <w:rFonts w:eastAsia="Calibri"/>
          <w:sz w:val="22"/>
          <w:szCs w:val="22"/>
        </w:rPr>
        <w:t>5.14</w:t>
      </w:r>
      <w:r w:rsidRPr="00DC77E7">
        <w:rPr>
          <w:rFonts w:eastAsia="Calibri"/>
          <w:sz w:val="22"/>
          <w:szCs w:val="22"/>
        </w:rPr>
        <w:tab/>
        <w:t>Review and evaluate, at the regional level, progress in implementation of the land-based pollution activities of the project, and provide guidance for improvement when necessary; and</w:t>
      </w:r>
    </w:p>
    <w:p w14:paraId="0736D84C" w14:textId="77777777" w:rsidR="00DC77E7" w:rsidRPr="00DC77E7" w:rsidRDefault="00DC77E7" w:rsidP="00DC77E7">
      <w:pPr>
        <w:spacing w:after="120"/>
        <w:jc w:val="both"/>
        <w:rPr>
          <w:rFonts w:eastAsia="Calibri"/>
          <w:sz w:val="22"/>
          <w:szCs w:val="22"/>
        </w:rPr>
      </w:pPr>
      <w:r w:rsidRPr="00DC77E7">
        <w:rPr>
          <w:rFonts w:eastAsia="Calibri"/>
          <w:sz w:val="22"/>
          <w:szCs w:val="22"/>
        </w:rPr>
        <w:t>5.15</w:t>
      </w:r>
      <w:r w:rsidRPr="00DC77E7">
        <w:rPr>
          <w:rFonts w:eastAsia="Calibri"/>
          <w:sz w:val="22"/>
          <w:szCs w:val="22"/>
        </w:rPr>
        <w:tab/>
        <w:t>Develop annual workplans and provide periodic progress reports to the Regional Scientific and Technical Committee.</w:t>
      </w:r>
    </w:p>
    <w:p w14:paraId="5E14893D" w14:textId="77777777" w:rsidR="00DC77E7" w:rsidRPr="00DC77E7" w:rsidRDefault="00DC77E7" w:rsidP="00DC77E7">
      <w:pPr>
        <w:rPr>
          <w:rFonts w:eastAsia="Calibri"/>
          <w:sz w:val="22"/>
          <w:szCs w:val="22"/>
        </w:rPr>
      </w:pPr>
    </w:p>
    <w:p w14:paraId="54E1DAC0" w14:textId="77777777" w:rsidR="00DC77E7" w:rsidRPr="00DC77E7" w:rsidRDefault="00DC77E7" w:rsidP="00DC77E7">
      <w:pPr>
        <w:rPr>
          <w:rFonts w:eastAsia="Calibri"/>
          <w:sz w:val="22"/>
          <w:szCs w:val="22"/>
        </w:rPr>
      </w:pPr>
      <w:r w:rsidRPr="00DC77E7">
        <w:rPr>
          <w:rFonts w:eastAsia="Calibri"/>
          <w:sz w:val="22"/>
          <w:szCs w:val="22"/>
        </w:rPr>
        <w:br w:type="page"/>
      </w:r>
    </w:p>
    <w:p w14:paraId="7791DFAC" w14:textId="77777777" w:rsidR="00DC77E7" w:rsidRPr="00DC77E7" w:rsidRDefault="00DC77E7" w:rsidP="00DC77E7">
      <w:pPr>
        <w:rPr>
          <w:rFonts w:eastAsia="Calibri"/>
          <w:sz w:val="22"/>
          <w:szCs w:val="22"/>
        </w:rPr>
      </w:pPr>
    </w:p>
    <w:p w14:paraId="323EC737" w14:textId="77777777" w:rsidR="00DC77E7" w:rsidRPr="00DC77E7" w:rsidRDefault="00DC77E7" w:rsidP="00DC77E7">
      <w:pPr>
        <w:jc w:val="center"/>
        <w:rPr>
          <w:rFonts w:eastAsia="Calibri"/>
          <w:b/>
          <w:bCs/>
          <w:caps/>
          <w:sz w:val="22"/>
          <w:szCs w:val="22"/>
          <w:lang w:val="en-GB"/>
        </w:rPr>
      </w:pPr>
      <w:bookmarkStart w:id="112" w:name="_Toc51656010"/>
      <w:r w:rsidRPr="00DC77E7">
        <w:rPr>
          <w:rFonts w:eastAsia="Calibri"/>
          <w:b/>
          <w:bCs/>
          <w:caps/>
          <w:sz w:val="22"/>
          <w:szCs w:val="22"/>
          <w:lang w:val="en-GB"/>
        </w:rPr>
        <w:t>PROVISIONAL Terms of Reference</w:t>
      </w:r>
      <w:bookmarkEnd w:id="112"/>
    </w:p>
    <w:p w14:paraId="2D6D5B07" w14:textId="77777777" w:rsidR="00DC77E7" w:rsidRPr="00DC77E7" w:rsidRDefault="00DC77E7" w:rsidP="00DC77E7">
      <w:pPr>
        <w:jc w:val="center"/>
        <w:rPr>
          <w:rFonts w:eastAsia="Calibri"/>
          <w:b/>
          <w:bCs/>
          <w:caps/>
          <w:sz w:val="22"/>
          <w:szCs w:val="22"/>
          <w:lang w:val="en-GB"/>
        </w:rPr>
      </w:pPr>
      <w:bookmarkStart w:id="113" w:name="_Toc51656011"/>
      <w:r w:rsidRPr="00DC77E7">
        <w:rPr>
          <w:rFonts w:eastAsia="Calibri"/>
          <w:b/>
          <w:bCs/>
          <w:caps/>
          <w:sz w:val="22"/>
          <w:szCs w:val="22"/>
          <w:lang w:val="en-GB"/>
        </w:rPr>
        <w:t>for the Regional Task Force on Economic Valuation</w:t>
      </w:r>
      <w:bookmarkEnd w:id="113"/>
    </w:p>
    <w:p w14:paraId="5749F169" w14:textId="77777777" w:rsidR="00DC77E7" w:rsidRPr="00DC77E7" w:rsidRDefault="00DC77E7" w:rsidP="00DC77E7">
      <w:pPr>
        <w:rPr>
          <w:rFonts w:eastAsia="Calibri"/>
          <w:bCs/>
          <w:sz w:val="22"/>
          <w:szCs w:val="22"/>
          <w:lang w:val="en-GB"/>
        </w:rPr>
      </w:pPr>
    </w:p>
    <w:p w14:paraId="4ABF2921" w14:textId="77777777" w:rsidR="00DC77E7" w:rsidRPr="00DC77E7" w:rsidRDefault="00DC77E7" w:rsidP="00DC77E7">
      <w:pPr>
        <w:spacing w:after="120"/>
        <w:rPr>
          <w:rFonts w:eastAsia="Calibri"/>
          <w:b/>
          <w:bCs/>
          <w:iCs/>
          <w:caps/>
          <w:sz w:val="22"/>
          <w:szCs w:val="22"/>
          <w:lang w:val="en-GB"/>
        </w:rPr>
      </w:pPr>
      <w:bookmarkStart w:id="114" w:name="_Toc37834322"/>
      <w:bookmarkStart w:id="115" w:name="_Toc51656012"/>
      <w:r w:rsidRPr="00DC77E7">
        <w:rPr>
          <w:rFonts w:eastAsia="Calibri"/>
          <w:b/>
          <w:bCs/>
          <w:iCs/>
          <w:caps/>
          <w:sz w:val="22"/>
          <w:szCs w:val="22"/>
          <w:lang w:val="en-GB"/>
        </w:rPr>
        <w:t>1.</w:t>
      </w:r>
      <w:r w:rsidRPr="00DC77E7">
        <w:rPr>
          <w:rFonts w:eastAsia="Calibri"/>
          <w:b/>
          <w:bCs/>
          <w:iCs/>
          <w:caps/>
          <w:sz w:val="22"/>
          <w:szCs w:val="22"/>
          <w:lang w:val="en-GB"/>
        </w:rPr>
        <w:tab/>
        <w:t>Background</w:t>
      </w:r>
      <w:bookmarkEnd w:id="114"/>
      <w:bookmarkEnd w:id="115"/>
    </w:p>
    <w:p w14:paraId="2299A49E" w14:textId="77777777" w:rsidR="00DC77E7" w:rsidRPr="00DC77E7" w:rsidRDefault="00DC77E7" w:rsidP="00DC77E7">
      <w:pPr>
        <w:spacing w:after="120"/>
        <w:jc w:val="both"/>
        <w:rPr>
          <w:rFonts w:eastAsia="Calibri"/>
          <w:bCs/>
          <w:sz w:val="22"/>
          <w:szCs w:val="22"/>
          <w:lang w:val="en-GB"/>
        </w:rPr>
      </w:pPr>
      <w:r w:rsidRPr="00DC77E7">
        <w:rPr>
          <w:rFonts w:eastAsia="Calibri"/>
          <w:bCs/>
          <w:sz w:val="22"/>
          <w:szCs w:val="22"/>
          <w:lang w:val="en-GB"/>
        </w:rPr>
        <w:t>1.1</w:t>
      </w:r>
      <w:r w:rsidRPr="00DC77E7">
        <w:rPr>
          <w:rFonts w:eastAsia="Calibri"/>
          <w:bCs/>
          <w:sz w:val="22"/>
          <w:szCs w:val="22"/>
          <w:lang w:val="en-GB"/>
        </w:rPr>
        <w:tab/>
        <w:t>The work of the SCS project on economic valuation resulted in a standardised method for computing national and regional weighted mean values of resources and services that can be applied more widely in handling and manipulating economic valuation data from multiple locations across any time span. The technique can be applied in any setting where multiple currencies, varying exchange rates and widespread inter-locational variation in farm gate prices are found. This is a critically important tool for SAP implementation as the specific targets of the revised SAP have been valued or, more specifically, the incremental benefit derived from achieving the target has been valued. Additionally, the values saved by achieving the targets have been compared with the costs of implementing the actions defined in the regional SAP through a cost benefit analysis.</w:t>
      </w:r>
    </w:p>
    <w:p w14:paraId="7B4CFBC4" w14:textId="77777777" w:rsidR="00DC77E7" w:rsidRPr="00DC77E7" w:rsidRDefault="00DC77E7" w:rsidP="00DC77E7">
      <w:pPr>
        <w:spacing w:after="120"/>
        <w:jc w:val="both"/>
        <w:rPr>
          <w:rFonts w:eastAsia="Calibri"/>
          <w:bCs/>
          <w:sz w:val="22"/>
          <w:szCs w:val="22"/>
          <w:lang w:val="en-GB"/>
        </w:rPr>
      </w:pPr>
      <w:r w:rsidRPr="00DC77E7">
        <w:rPr>
          <w:rFonts w:eastAsia="Calibri"/>
          <w:bCs/>
          <w:sz w:val="22"/>
          <w:szCs w:val="22"/>
          <w:lang w:val="en-GB"/>
        </w:rPr>
        <w:t>1.2</w:t>
      </w:r>
      <w:r w:rsidRPr="00DC77E7">
        <w:rPr>
          <w:rFonts w:eastAsia="Calibri"/>
          <w:bCs/>
          <w:sz w:val="22"/>
          <w:szCs w:val="22"/>
          <w:lang w:val="en-GB"/>
        </w:rPr>
        <w:tab/>
        <w:t>Despite these advancements, several challenges exist in the application of economic valuation in decision-making for transboundary water resource management in the South China Sea; indeed the issues of economic valuation of ecosystem goods and services in development planning remains a challenge facing the entire portfolio of GEF investments in procuring the goods and services of the global environment, particularly in its International Waters focal area. Better economic valuation of the South China Sea’s resources is critical for decision making that will lead to sustainable use. The values determined through the previous SCS project are incomplete since not all known goods or services from individual coastal ecosystems have been valued. One area of current weakness is that comparatively few existing values for the service provided by habitats as nursery areas for off-shore fish and crustaceans are included. This is known to be a significant and major service provided by mangrove and seagrass habitats and work will be undertaken to establish the economic values of these services.</w:t>
      </w:r>
    </w:p>
    <w:p w14:paraId="53637B26" w14:textId="77777777" w:rsidR="00DC77E7" w:rsidRPr="00DC77E7" w:rsidRDefault="00DC77E7" w:rsidP="00DC77E7">
      <w:pPr>
        <w:spacing w:after="120"/>
        <w:jc w:val="both"/>
        <w:rPr>
          <w:rFonts w:eastAsia="Calibri"/>
          <w:bCs/>
          <w:sz w:val="22"/>
          <w:szCs w:val="22"/>
          <w:lang w:val="en-GB"/>
        </w:rPr>
      </w:pPr>
      <w:r w:rsidRPr="00DC77E7">
        <w:rPr>
          <w:rFonts w:eastAsia="Calibri"/>
          <w:bCs/>
          <w:sz w:val="22"/>
          <w:szCs w:val="22"/>
          <w:lang w:val="en-GB"/>
        </w:rPr>
        <w:t>1.3</w:t>
      </w:r>
      <w:r w:rsidRPr="00DC77E7">
        <w:rPr>
          <w:rFonts w:eastAsia="Calibri"/>
          <w:bCs/>
          <w:sz w:val="22"/>
          <w:szCs w:val="22"/>
          <w:lang w:val="en-GB"/>
        </w:rPr>
        <w:tab/>
        <w:t xml:space="preserve">It is anticipated that actions at the national and regional level to implement the SAP will generate more extensive datasets at the national level, which if included in the regional dataset will greatly enhance the utility of the regional dataset in determining regional priorities for action and intervention. One additional area of identified need that the project will address is in the determination of economic losses of coastal ecosystem goods and services consequent upon coastal shipping accidents and land-based pollution damage. </w:t>
      </w:r>
    </w:p>
    <w:p w14:paraId="2A783ED7" w14:textId="77777777" w:rsidR="00DC77E7" w:rsidRPr="00DC77E7" w:rsidRDefault="00DC77E7" w:rsidP="00DC77E7">
      <w:pPr>
        <w:jc w:val="both"/>
        <w:rPr>
          <w:rFonts w:eastAsia="Calibri"/>
          <w:bCs/>
          <w:sz w:val="22"/>
          <w:szCs w:val="22"/>
          <w:lang w:val="en-GB"/>
        </w:rPr>
      </w:pPr>
      <w:r w:rsidRPr="00DC77E7">
        <w:rPr>
          <w:rFonts w:eastAsia="Calibri"/>
          <w:bCs/>
          <w:sz w:val="22"/>
          <w:szCs w:val="22"/>
          <w:lang w:val="en-GB"/>
        </w:rPr>
        <w:t>1.4</w:t>
      </w:r>
      <w:r w:rsidRPr="00DC77E7">
        <w:rPr>
          <w:rFonts w:eastAsia="Calibri"/>
          <w:bCs/>
          <w:sz w:val="22"/>
          <w:szCs w:val="22"/>
          <w:lang w:val="en-GB"/>
        </w:rPr>
        <w:tab/>
        <w:t>The SCS-SAP Implementation Project aims to improve the national and regional values for the Total Economic Values of coastal habitats for use in development planning and decision-making, and will make substantive contributions to the conduct of cost-benefit analyses of management options undertaken as part of national action planning for coastal habitats and land-based pollution, as well as in updating the SCS TDA and SAP. It will also build on preliminary work of the SCS project to value the economic impacts of land-based pollution from local, national and transboundary perspectives and will contribute to the planning of a mechanism for the sustainable financing of land-based pollution activities of a revised SAP.</w:t>
      </w:r>
    </w:p>
    <w:p w14:paraId="620F965F" w14:textId="77777777" w:rsidR="00DC77E7" w:rsidRPr="00DC77E7" w:rsidRDefault="00DC77E7" w:rsidP="00DC77E7">
      <w:pPr>
        <w:jc w:val="both"/>
        <w:rPr>
          <w:rFonts w:eastAsia="Calibri"/>
          <w:bCs/>
          <w:sz w:val="22"/>
          <w:szCs w:val="22"/>
          <w:lang w:val="en-GB"/>
        </w:rPr>
      </w:pPr>
    </w:p>
    <w:p w14:paraId="0B08934E" w14:textId="77777777" w:rsidR="00DC77E7" w:rsidRPr="00DC77E7" w:rsidRDefault="00DC77E7" w:rsidP="00DC77E7">
      <w:pPr>
        <w:spacing w:after="120"/>
        <w:rPr>
          <w:rFonts w:eastAsia="Calibri"/>
          <w:b/>
          <w:caps/>
          <w:sz w:val="22"/>
          <w:szCs w:val="22"/>
          <w:lang w:val="en-GB"/>
        </w:rPr>
      </w:pPr>
      <w:bookmarkStart w:id="116" w:name="_Toc51656013"/>
      <w:r w:rsidRPr="00DC77E7">
        <w:rPr>
          <w:rFonts w:eastAsia="Calibri"/>
          <w:b/>
          <w:bCs/>
          <w:caps/>
          <w:sz w:val="22"/>
          <w:szCs w:val="22"/>
          <w:lang w:val="en-GB"/>
        </w:rPr>
        <w:t>2.</w:t>
      </w:r>
      <w:r w:rsidRPr="00DC77E7">
        <w:rPr>
          <w:rFonts w:eastAsia="Calibri"/>
          <w:b/>
          <w:bCs/>
          <w:caps/>
          <w:sz w:val="22"/>
          <w:szCs w:val="22"/>
          <w:lang w:val="en-GB"/>
        </w:rPr>
        <w:tab/>
        <w:t xml:space="preserve">Objective of the </w:t>
      </w:r>
      <w:r w:rsidRPr="00DC77E7">
        <w:rPr>
          <w:rFonts w:eastAsia="Calibri"/>
          <w:b/>
          <w:caps/>
          <w:sz w:val="22"/>
          <w:szCs w:val="22"/>
          <w:lang w:val="en-GB"/>
        </w:rPr>
        <w:t>Regional Task Force on Economic Valuation</w:t>
      </w:r>
      <w:bookmarkEnd w:id="116"/>
    </w:p>
    <w:p w14:paraId="6307D42D" w14:textId="77777777" w:rsidR="00DC77E7" w:rsidRPr="00DC77E7" w:rsidRDefault="00DC77E7" w:rsidP="00DC77E7">
      <w:pPr>
        <w:spacing w:after="120"/>
        <w:jc w:val="both"/>
        <w:rPr>
          <w:rFonts w:eastAsia="Calibri"/>
          <w:bCs/>
          <w:sz w:val="22"/>
          <w:szCs w:val="22"/>
          <w:lang w:val="en-GB"/>
        </w:rPr>
      </w:pPr>
      <w:r w:rsidRPr="00DC77E7">
        <w:rPr>
          <w:rFonts w:eastAsia="Calibri"/>
          <w:bCs/>
          <w:sz w:val="22"/>
          <w:szCs w:val="22"/>
          <w:lang w:val="en-GB"/>
        </w:rPr>
        <w:t>2.1</w:t>
      </w:r>
      <w:r w:rsidRPr="00DC77E7">
        <w:rPr>
          <w:rFonts w:eastAsia="Calibri"/>
          <w:bCs/>
          <w:sz w:val="22"/>
          <w:szCs w:val="22"/>
          <w:lang w:val="en-GB"/>
        </w:rPr>
        <w:tab/>
        <w:t>The Regional Task Force on Economic Valuation (RTF-E) is re-established with the primary objective of advising and supporting the national committees and regional working groups by providing the appropriate expertise and assistance in completing the envisaged economic valuations and cost-benefit analyses. It is anticipated that the operation of the RTF-E will contribute significantly to the achievement of the following targets:</w:t>
      </w:r>
    </w:p>
    <w:p w14:paraId="3E63AF12" w14:textId="77777777" w:rsidR="00DC77E7" w:rsidRPr="00DC77E7" w:rsidRDefault="00DC77E7" w:rsidP="00DC77E7">
      <w:pPr>
        <w:numPr>
          <w:ilvl w:val="0"/>
          <w:numId w:val="56"/>
        </w:numPr>
        <w:contextualSpacing/>
        <w:jc w:val="both"/>
        <w:rPr>
          <w:rFonts w:eastAsia="Calibri"/>
          <w:bCs/>
          <w:sz w:val="22"/>
          <w:szCs w:val="22"/>
          <w:lang w:val="en-GB"/>
        </w:rPr>
      </w:pPr>
      <w:r w:rsidRPr="00DC77E7">
        <w:rPr>
          <w:rFonts w:eastAsia="Calibri"/>
          <w:bCs/>
          <w:sz w:val="22"/>
          <w:szCs w:val="22"/>
          <w:lang w:val="en-GB"/>
        </w:rPr>
        <w:t>Expanded datasets of economic valuation information on the goods and services of SCS coastal habitats;</w:t>
      </w:r>
    </w:p>
    <w:p w14:paraId="11400E86" w14:textId="77777777" w:rsidR="00DC77E7" w:rsidRPr="00DC77E7" w:rsidRDefault="00DC77E7" w:rsidP="00DC77E7">
      <w:pPr>
        <w:numPr>
          <w:ilvl w:val="0"/>
          <w:numId w:val="56"/>
        </w:numPr>
        <w:contextualSpacing/>
        <w:jc w:val="both"/>
        <w:rPr>
          <w:rFonts w:eastAsia="Calibri"/>
          <w:bCs/>
          <w:sz w:val="22"/>
          <w:szCs w:val="22"/>
          <w:lang w:val="en-GB"/>
        </w:rPr>
      </w:pPr>
      <w:r w:rsidRPr="00DC77E7">
        <w:rPr>
          <w:rFonts w:eastAsia="Calibri"/>
          <w:bCs/>
          <w:sz w:val="22"/>
          <w:szCs w:val="22"/>
          <w:lang w:val="en-GB"/>
        </w:rPr>
        <w:t>Estimates of the value for the service provided by coastal habitats as nursery areas for coastal fish and crustaceans;</w:t>
      </w:r>
    </w:p>
    <w:p w14:paraId="6179DB02" w14:textId="77777777" w:rsidR="00DC77E7" w:rsidRPr="00DC77E7" w:rsidRDefault="00DC77E7" w:rsidP="00DC77E7">
      <w:pPr>
        <w:numPr>
          <w:ilvl w:val="0"/>
          <w:numId w:val="56"/>
        </w:numPr>
        <w:contextualSpacing/>
        <w:jc w:val="both"/>
        <w:rPr>
          <w:rFonts w:eastAsia="Calibri"/>
          <w:bCs/>
          <w:sz w:val="22"/>
          <w:szCs w:val="22"/>
          <w:lang w:val="en-GB"/>
        </w:rPr>
      </w:pPr>
      <w:r w:rsidRPr="00DC77E7">
        <w:rPr>
          <w:rFonts w:eastAsia="Calibri"/>
          <w:bCs/>
          <w:sz w:val="22"/>
          <w:szCs w:val="22"/>
          <w:lang w:val="en-GB"/>
        </w:rPr>
        <w:t>Estimates of economic losses of coastal ecosystem goods and services consequent upon coastal shipping accidents and pollution damage; and</w:t>
      </w:r>
    </w:p>
    <w:p w14:paraId="1AD3BBA3" w14:textId="77777777" w:rsidR="00DC77E7" w:rsidRPr="00DC77E7" w:rsidRDefault="00DC77E7" w:rsidP="00DC77E7">
      <w:pPr>
        <w:numPr>
          <w:ilvl w:val="0"/>
          <w:numId w:val="56"/>
        </w:numPr>
        <w:contextualSpacing/>
        <w:jc w:val="both"/>
        <w:rPr>
          <w:rFonts w:eastAsia="Calibri"/>
          <w:bCs/>
          <w:sz w:val="22"/>
          <w:szCs w:val="22"/>
          <w:lang w:val="en-GB"/>
        </w:rPr>
      </w:pPr>
      <w:r w:rsidRPr="00DC77E7">
        <w:rPr>
          <w:rFonts w:eastAsia="Calibri"/>
          <w:bCs/>
          <w:sz w:val="22"/>
          <w:szCs w:val="22"/>
          <w:lang w:val="en-GB"/>
        </w:rPr>
        <w:t>Updated estimates of Total Economic Values for coastal habitats of the SCS and converted to 2017 value by means of the consumer price index</w:t>
      </w:r>
    </w:p>
    <w:p w14:paraId="47D222DF" w14:textId="77777777" w:rsidR="00DC77E7" w:rsidRPr="00DC77E7" w:rsidRDefault="00DC77E7" w:rsidP="00DC77E7">
      <w:pPr>
        <w:jc w:val="both"/>
        <w:rPr>
          <w:rFonts w:eastAsia="Calibri"/>
          <w:sz w:val="22"/>
          <w:szCs w:val="22"/>
          <w:lang w:val="en-GB"/>
        </w:rPr>
      </w:pPr>
    </w:p>
    <w:p w14:paraId="6390A9DD" w14:textId="77777777" w:rsidR="00DC77E7" w:rsidRPr="00DC77E7" w:rsidRDefault="00DC77E7" w:rsidP="00DC77E7">
      <w:pPr>
        <w:spacing w:after="120"/>
        <w:rPr>
          <w:rFonts w:eastAsia="Calibri"/>
          <w:b/>
          <w:bCs/>
          <w:caps/>
          <w:sz w:val="22"/>
          <w:szCs w:val="22"/>
          <w:lang w:val="en-GB"/>
        </w:rPr>
      </w:pPr>
      <w:bookmarkStart w:id="117" w:name="_Toc51656014"/>
      <w:r w:rsidRPr="00DC77E7">
        <w:rPr>
          <w:rFonts w:eastAsia="Calibri"/>
          <w:b/>
          <w:bCs/>
          <w:caps/>
          <w:sz w:val="22"/>
          <w:szCs w:val="22"/>
          <w:lang w:val="en-GB"/>
        </w:rPr>
        <w:t>3.</w:t>
      </w:r>
      <w:r w:rsidRPr="00DC77E7">
        <w:rPr>
          <w:rFonts w:eastAsia="Calibri"/>
          <w:b/>
          <w:bCs/>
          <w:caps/>
          <w:sz w:val="22"/>
          <w:szCs w:val="22"/>
          <w:lang w:val="en-GB"/>
        </w:rPr>
        <w:tab/>
        <w:t>Task Force Members</w:t>
      </w:r>
      <w:bookmarkEnd w:id="117"/>
    </w:p>
    <w:p w14:paraId="3FD16FDB"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3.1</w:t>
      </w:r>
      <w:r w:rsidRPr="00DC77E7">
        <w:rPr>
          <w:rFonts w:eastAsia="Calibri"/>
          <w:sz w:val="22"/>
          <w:szCs w:val="22"/>
          <w:lang w:val="en-GB"/>
        </w:rPr>
        <w:tab/>
        <w:t>The Task Force will be comprised of: one environmental or resource economist, nominated by each of the participating countries; and two regional, environmental economic experts; all of whom will serve as members in their personal capacity.  Each participating country will nominate these members, in accordance with procedures agreed by the SCS-SAP Implementation Committee. The membership of the committee will be established at its first meeting, at which a Chairperson, a Vice-Chairperson and Rapporteur will be elected from the members.  The Vice-Chairperson will act as Chairperson of meetings in the absence of the Chairperson.</w:t>
      </w:r>
    </w:p>
    <w:p w14:paraId="60BD05F7" w14:textId="77777777" w:rsidR="00DC77E7" w:rsidRPr="00DC77E7" w:rsidRDefault="00DC77E7" w:rsidP="00DC77E7">
      <w:pPr>
        <w:rPr>
          <w:rFonts w:eastAsia="Calibri"/>
          <w:sz w:val="22"/>
          <w:szCs w:val="22"/>
          <w:lang w:val="en-GB"/>
        </w:rPr>
      </w:pPr>
    </w:p>
    <w:p w14:paraId="4E9AB3AA" w14:textId="77777777" w:rsidR="00DC77E7" w:rsidRPr="00DC77E7" w:rsidRDefault="00DC77E7" w:rsidP="00DC77E7">
      <w:pPr>
        <w:spacing w:after="120"/>
        <w:rPr>
          <w:rFonts w:eastAsia="Calibri"/>
          <w:b/>
          <w:bCs/>
          <w:caps/>
          <w:sz w:val="22"/>
          <w:szCs w:val="22"/>
          <w:lang w:val="en-GB"/>
        </w:rPr>
      </w:pPr>
      <w:bookmarkStart w:id="118" w:name="_Toc51656015"/>
      <w:r w:rsidRPr="00DC77E7">
        <w:rPr>
          <w:rFonts w:eastAsia="Calibri"/>
          <w:b/>
          <w:bCs/>
          <w:caps/>
          <w:sz w:val="22"/>
          <w:szCs w:val="22"/>
          <w:lang w:val="en-GB"/>
        </w:rPr>
        <w:t>4.</w:t>
      </w:r>
      <w:r w:rsidRPr="00DC77E7">
        <w:rPr>
          <w:rFonts w:eastAsia="Calibri"/>
          <w:b/>
          <w:bCs/>
          <w:caps/>
          <w:sz w:val="22"/>
          <w:szCs w:val="22"/>
          <w:lang w:val="en-GB"/>
        </w:rPr>
        <w:tab/>
        <w:t>Secretariat</w:t>
      </w:r>
      <w:bookmarkEnd w:id="118"/>
    </w:p>
    <w:p w14:paraId="1FEB5FEB"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4.1</w:t>
      </w:r>
      <w:r w:rsidRPr="00DC77E7">
        <w:rPr>
          <w:rFonts w:eastAsia="Calibri"/>
          <w:sz w:val="22"/>
          <w:szCs w:val="22"/>
          <w:lang w:val="en-GB"/>
        </w:rPr>
        <w:tab/>
        <w:t>The SCS-SAP Implementation Unit will serve as Secretariat to the RFT-E and will ensure that the reports of the meetings are circulated to all members of the committee, the National Focal Points, Regional Working Group Members, and National Committees as promptly as possible following the closure of the meetings.</w:t>
      </w:r>
    </w:p>
    <w:p w14:paraId="23CB8813" w14:textId="77777777" w:rsidR="00DC77E7" w:rsidRPr="00DC77E7" w:rsidRDefault="00DC77E7" w:rsidP="00DC77E7">
      <w:pPr>
        <w:rPr>
          <w:rFonts w:eastAsia="Calibri"/>
          <w:sz w:val="22"/>
          <w:szCs w:val="22"/>
          <w:lang w:val="en-GB"/>
        </w:rPr>
      </w:pPr>
    </w:p>
    <w:p w14:paraId="5230023D" w14:textId="77777777" w:rsidR="00DC77E7" w:rsidRPr="00DC77E7" w:rsidRDefault="00DC77E7" w:rsidP="00DC77E7">
      <w:pPr>
        <w:spacing w:after="120"/>
        <w:rPr>
          <w:rFonts w:eastAsia="Calibri"/>
          <w:b/>
          <w:bCs/>
          <w:caps/>
          <w:sz w:val="22"/>
          <w:szCs w:val="22"/>
          <w:lang w:val="en-GB"/>
        </w:rPr>
      </w:pPr>
      <w:bookmarkStart w:id="119" w:name="_Toc51656016"/>
      <w:r w:rsidRPr="00DC77E7">
        <w:rPr>
          <w:rFonts w:eastAsia="Calibri"/>
          <w:b/>
          <w:bCs/>
          <w:caps/>
          <w:sz w:val="22"/>
          <w:szCs w:val="22"/>
          <w:lang w:val="en-GB"/>
        </w:rPr>
        <w:t>5.</w:t>
      </w:r>
      <w:r w:rsidRPr="00DC77E7">
        <w:rPr>
          <w:rFonts w:eastAsia="Calibri"/>
          <w:b/>
          <w:bCs/>
          <w:caps/>
          <w:sz w:val="22"/>
          <w:szCs w:val="22"/>
          <w:lang w:val="en-GB"/>
        </w:rPr>
        <w:tab/>
        <w:t>Terms of Reference</w:t>
      </w:r>
      <w:bookmarkEnd w:id="119"/>
    </w:p>
    <w:p w14:paraId="16D2C6FD" w14:textId="77777777" w:rsidR="00DC77E7" w:rsidRPr="00DC77E7" w:rsidRDefault="00DC77E7" w:rsidP="00DC77E7">
      <w:pPr>
        <w:spacing w:after="120"/>
        <w:jc w:val="both"/>
        <w:rPr>
          <w:rFonts w:eastAsia="Calibri"/>
          <w:bCs/>
          <w:sz w:val="22"/>
          <w:szCs w:val="22"/>
          <w:lang w:val="en-GB"/>
        </w:rPr>
      </w:pPr>
      <w:r w:rsidRPr="00DC77E7">
        <w:rPr>
          <w:rFonts w:eastAsia="Calibri"/>
          <w:bCs/>
          <w:sz w:val="22"/>
          <w:szCs w:val="22"/>
          <w:lang w:val="en-GB"/>
        </w:rPr>
        <w:t>5.1</w:t>
      </w:r>
      <w:r w:rsidRPr="00DC77E7">
        <w:rPr>
          <w:rFonts w:eastAsia="Calibri"/>
          <w:bCs/>
          <w:sz w:val="22"/>
          <w:szCs w:val="22"/>
          <w:lang w:val="en-GB"/>
        </w:rPr>
        <w:tab/>
        <w:t>In principle, the RTF-E shall serve as the principal source of economic advice and information to the project.  In doing so, the terms of reference for the Task Force may be expected to include, among other things:</w:t>
      </w:r>
    </w:p>
    <w:p w14:paraId="2F288FCF" w14:textId="77777777" w:rsidR="00DC77E7" w:rsidRPr="00DC77E7" w:rsidRDefault="00DC77E7" w:rsidP="00DC77E7">
      <w:pPr>
        <w:numPr>
          <w:ilvl w:val="0"/>
          <w:numId w:val="55"/>
        </w:numPr>
        <w:spacing w:after="120"/>
        <w:ind w:left="778"/>
        <w:jc w:val="both"/>
        <w:rPr>
          <w:rFonts w:eastAsia="Calibri"/>
          <w:bCs/>
          <w:sz w:val="22"/>
          <w:szCs w:val="22"/>
          <w:lang w:val="en-GB"/>
        </w:rPr>
      </w:pPr>
      <w:r w:rsidRPr="00DC77E7">
        <w:rPr>
          <w:rFonts w:eastAsia="Calibri"/>
          <w:bCs/>
          <w:sz w:val="22"/>
          <w:szCs w:val="22"/>
          <w:lang w:val="en-GB"/>
        </w:rPr>
        <w:t>identifying available reference materials and information regarding various established economic valuation techniques that have been applied or can be applied to, the coastal resources and environments within the South China region;</w:t>
      </w:r>
    </w:p>
    <w:p w14:paraId="4221BF02" w14:textId="77777777" w:rsidR="00DC77E7" w:rsidRPr="00DC77E7" w:rsidRDefault="00DC77E7" w:rsidP="00DC77E7">
      <w:pPr>
        <w:numPr>
          <w:ilvl w:val="0"/>
          <w:numId w:val="55"/>
        </w:numPr>
        <w:spacing w:after="120"/>
        <w:ind w:left="778"/>
        <w:jc w:val="both"/>
        <w:rPr>
          <w:rFonts w:eastAsia="Calibri"/>
          <w:bCs/>
          <w:sz w:val="22"/>
          <w:szCs w:val="22"/>
          <w:lang w:val="en-GB"/>
        </w:rPr>
      </w:pPr>
      <w:r w:rsidRPr="00DC77E7">
        <w:rPr>
          <w:rFonts w:eastAsia="Calibri"/>
          <w:bCs/>
          <w:sz w:val="22"/>
          <w:szCs w:val="22"/>
          <w:lang w:val="en-GB"/>
        </w:rPr>
        <w:t xml:space="preserve">compiling a comprehensive, annotated bibliography of existing empirical studies, research and data regarding environmental, economic and resource valuations conducted in the countries of the South China Sea Region; </w:t>
      </w:r>
    </w:p>
    <w:p w14:paraId="23A97C28" w14:textId="77777777" w:rsidR="00DC77E7" w:rsidRPr="00DC77E7" w:rsidRDefault="00DC77E7" w:rsidP="00DC77E7">
      <w:pPr>
        <w:numPr>
          <w:ilvl w:val="0"/>
          <w:numId w:val="55"/>
        </w:numPr>
        <w:jc w:val="both"/>
        <w:rPr>
          <w:rFonts w:eastAsia="Calibri"/>
          <w:bCs/>
          <w:sz w:val="22"/>
          <w:szCs w:val="22"/>
          <w:lang w:val="en-GB"/>
        </w:rPr>
      </w:pPr>
      <w:r w:rsidRPr="00DC77E7">
        <w:rPr>
          <w:rFonts w:eastAsia="Calibri"/>
          <w:bCs/>
          <w:sz w:val="22"/>
          <w:szCs w:val="22"/>
          <w:lang w:val="en-GB"/>
        </w:rPr>
        <w:t>providing advice and guidance regarding the methodologies and values that can be used in the framework of economic and cost-benefit analyses required to achieve SAP targets, and prepare updated National Action Plans and a revised Strategic Action Programme for the South China Sea</w:t>
      </w:r>
    </w:p>
    <w:p w14:paraId="380CC87F" w14:textId="77777777" w:rsidR="00DC77E7" w:rsidRPr="00DC77E7" w:rsidRDefault="00DC77E7" w:rsidP="00DC77E7">
      <w:pPr>
        <w:jc w:val="both"/>
        <w:rPr>
          <w:rFonts w:eastAsia="Calibri"/>
          <w:sz w:val="22"/>
          <w:szCs w:val="22"/>
          <w:lang w:val="en-GB"/>
        </w:rPr>
      </w:pPr>
    </w:p>
    <w:p w14:paraId="5D74924B" w14:textId="77777777" w:rsidR="00DC77E7" w:rsidRPr="00DC77E7" w:rsidRDefault="00DC77E7" w:rsidP="00DC77E7">
      <w:pPr>
        <w:spacing w:after="120"/>
        <w:rPr>
          <w:rFonts w:eastAsia="Calibri"/>
          <w:b/>
          <w:bCs/>
          <w:caps/>
          <w:sz w:val="22"/>
          <w:szCs w:val="22"/>
          <w:lang w:val="en-GB"/>
        </w:rPr>
      </w:pPr>
      <w:bookmarkStart w:id="120" w:name="_Toc51656017"/>
      <w:r w:rsidRPr="00DC77E7">
        <w:rPr>
          <w:rFonts w:eastAsia="Calibri"/>
          <w:b/>
          <w:bCs/>
          <w:caps/>
          <w:sz w:val="22"/>
          <w:szCs w:val="22"/>
          <w:lang w:val="en-GB"/>
        </w:rPr>
        <w:t>6.</w:t>
      </w:r>
      <w:r w:rsidRPr="00DC77E7">
        <w:rPr>
          <w:rFonts w:eastAsia="Calibri"/>
          <w:b/>
          <w:bCs/>
          <w:caps/>
          <w:sz w:val="22"/>
          <w:szCs w:val="22"/>
          <w:lang w:val="en-GB"/>
        </w:rPr>
        <w:tab/>
        <w:t>Meetings of the Task Force</w:t>
      </w:r>
      <w:bookmarkEnd w:id="120"/>
    </w:p>
    <w:p w14:paraId="5C1D1F23" w14:textId="77777777" w:rsidR="00DC77E7" w:rsidRPr="00DC77E7" w:rsidRDefault="00DC77E7" w:rsidP="00DC77E7">
      <w:pPr>
        <w:jc w:val="both"/>
        <w:rPr>
          <w:rFonts w:eastAsia="Calibri"/>
          <w:sz w:val="22"/>
          <w:szCs w:val="22"/>
          <w:lang w:val="en-GB"/>
        </w:rPr>
      </w:pPr>
      <w:r w:rsidRPr="00DC77E7">
        <w:rPr>
          <w:rFonts w:eastAsia="Calibri"/>
          <w:sz w:val="22"/>
          <w:szCs w:val="22"/>
          <w:lang w:val="en-GB"/>
        </w:rPr>
        <w:t>6.1</w:t>
      </w:r>
      <w:r w:rsidRPr="00DC77E7">
        <w:rPr>
          <w:rFonts w:eastAsia="Calibri"/>
          <w:sz w:val="22"/>
          <w:szCs w:val="22"/>
          <w:lang w:val="en-GB"/>
        </w:rPr>
        <w:tab/>
        <w:t xml:space="preserve">The SCS-SAP Implementation Unit shall convene meetings of the RTF-E to advise the SCS-SAP Implementation Committee or, as required in order to complete the tasks assigned to the Task Force.  The SCS-SAP Implementation Unit shall convene one meeting of the RTF-E prior to the annual meeting of the SCS-SAP Implementation Committee in order to ensure economic advice being provided to the project is as up-to-date as possible.  Additional </w:t>
      </w:r>
      <w:r w:rsidRPr="00DC77E7">
        <w:rPr>
          <w:rFonts w:eastAsia="Calibri"/>
          <w:i/>
          <w:iCs/>
          <w:sz w:val="22"/>
          <w:szCs w:val="22"/>
          <w:lang w:val="en-GB"/>
        </w:rPr>
        <w:t>ad hoc</w:t>
      </w:r>
      <w:r w:rsidRPr="00DC77E7">
        <w:rPr>
          <w:rFonts w:eastAsia="Calibri"/>
          <w:sz w:val="22"/>
          <w:szCs w:val="22"/>
          <w:lang w:val="en-GB"/>
        </w:rPr>
        <w:t xml:space="preserve"> meetings may be convened as required.</w:t>
      </w:r>
    </w:p>
    <w:p w14:paraId="64405E06" w14:textId="77777777" w:rsidR="00DC77E7" w:rsidRPr="00DC77E7" w:rsidRDefault="00DC77E7" w:rsidP="00DC77E7">
      <w:pPr>
        <w:rPr>
          <w:rFonts w:eastAsia="Calibri"/>
          <w:sz w:val="22"/>
          <w:szCs w:val="22"/>
        </w:rPr>
      </w:pPr>
    </w:p>
    <w:p w14:paraId="146403FE" w14:textId="77777777" w:rsidR="00DC77E7" w:rsidRPr="00DC77E7" w:rsidRDefault="00DC77E7" w:rsidP="00DC77E7">
      <w:pPr>
        <w:rPr>
          <w:rFonts w:eastAsia="Calibri"/>
          <w:sz w:val="22"/>
          <w:szCs w:val="22"/>
        </w:rPr>
      </w:pPr>
    </w:p>
    <w:p w14:paraId="5BF9EBC2" w14:textId="77777777" w:rsidR="00DC77E7" w:rsidRPr="00DC77E7" w:rsidRDefault="00DC77E7" w:rsidP="00DC77E7">
      <w:pPr>
        <w:rPr>
          <w:rFonts w:eastAsia="Calibri"/>
          <w:sz w:val="22"/>
          <w:szCs w:val="22"/>
        </w:rPr>
      </w:pPr>
      <w:r w:rsidRPr="00DC77E7">
        <w:rPr>
          <w:rFonts w:eastAsia="Calibri"/>
          <w:sz w:val="22"/>
          <w:szCs w:val="22"/>
        </w:rPr>
        <w:br w:type="page"/>
      </w:r>
    </w:p>
    <w:p w14:paraId="1DD64C11"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PROVISIONAL TERMS OF REFERENCE FOR THE</w:t>
      </w:r>
    </w:p>
    <w:p w14:paraId="4130F2CE"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NATIONAL INTER-MINISTRY COMMITTEES</w:t>
      </w:r>
    </w:p>
    <w:p w14:paraId="0DDF9F62" w14:textId="77777777" w:rsidR="00DC77E7" w:rsidRPr="00DC77E7" w:rsidRDefault="00DC77E7" w:rsidP="00DC77E7">
      <w:pPr>
        <w:rPr>
          <w:rFonts w:eastAsia="Calibri"/>
          <w:b/>
          <w:sz w:val="22"/>
          <w:szCs w:val="22"/>
          <w:lang w:val="en-GB"/>
        </w:rPr>
      </w:pPr>
    </w:p>
    <w:p w14:paraId="56F21E35" w14:textId="77777777" w:rsidR="00DC77E7" w:rsidRPr="00DC77E7" w:rsidRDefault="00DC77E7" w:rsidP="00DC77E7">
      <w:pPr>
        <w:spacing w:after="120"/>
        <w:jc w:val="both"/>
        <w:rPr>
          <w:rFonts w:eastAsia="Calibri"/>
          <w:b/>
          <w:sz w:val="22"/>
          <w:szCs w:val="22"/>
          <w:lang w:val="en-GB"/>
        </w:rPr>
      </w:pPr>
      <w:r w:rsidRPr="00DC77E7">
        <w:rPr>
          <w:rFonts w:eastAsia="Calibri"/>
          <w:b/>
          <w:sz w:val="22"/>
          <w:szCs w:val="22"/>
          <w:lang w:val="en-GB"/>
        </w:rPr>
        <w:t>1.</w:t>
      </w:r>
      <w:r w:rsidRPr="00DC77E7">
        <w:rPr>
          <w:rFonts w:eastAsia="Calibri"/>
          <w:b/>
          <w:sz w:val="22"/>
          <w:szCs w:val="22"/>
          <w:lang w:val="en-GB"/>
        </w:rPr>
        <w:tab/>
        <w:t>RATIONALE AND PURPOSE OF THE NATIONAL INTER-MINISTRY COMMITTEES</w:t>
      </w:r>
    </w:p>
    <w:p w14:paraId="217DCC85"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The National Inter-Ministry Committees shall operate on the basis of consensus to:</w:t>
      </w:r>
    </w:p>
    <w:p w14:paraId="721BC80E"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1. Assume overarching responsibility for the execution of national level activities of the UNEP/GEF project entitled ‘</w:t>
      </w:r>
      <w:r w:rsidRPr="00DC77E7">
        <w:rPr>
          <w:rFonts w:eastAsia="Calibri"/>
          <w:i/>
          <w:sz w:val="22"/>
          <w:szCs w:val="22"/>
          <w:lang w:val="en-GB"/>
        </w:rPr>
        <w:t>Implementing the Strategic Action Programme for the South China Sea</w:t>
      </w:r>
      <w:r w:rsidRPr="00DC77E7">
        <w:rPr>
          <w:rFonts w:eastAsia="Calibri"/>
          <w:sz w:val="22"/>
          <w:szCs w:val="22"/>
          <w:lang w:val="en-GB"/>
        </w:rPr>
        <w:t>” in [Insert Country Name];</w:t>
      </w:r>
    </w:p>
    <w:p w14:paraId="2ED6B4B4"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2. Receive, review, and approve reports from the National Technical Working Groups and National Committees for mangroves, coral reefs, seagrass, wetlands, land-based pollution, and economic valuation regarding the outputs and outcomes of efforts to achieve Strategic Action Programme targets;</w:t>
      </w:r>
    </w:p>
    <w:p w14:paraId="7DDF1B5A"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3. Meet on a biannual basis during the operational phase of the project to guide the timely execution of project activities, particularly activities at the site level, and to consider, amend and endorse quarterly work-plans, narrative progress and financial reports for submission to the regional SCS-SAP Implementation Unit;</w:t>
      </w:r>
    </w:p>
    <w:p w14:paraId="73295436"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4. Provide direction and strategic guidance to the National Technical Working Group and National Committees for mangroves, coral reefs, seagrass, wetlands, land-based pollution, and economic on the national and local reforms to achieve SAP targets and mainstream best practices in to natural resource and environmental management of the South China Sea marine basin;</w:t>
      </w:r>
    </w:p>
    <w:p w14:paraId="13909A06"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5. Review planned and ongoing coastal and marine environment projects being operated along the South China Sea coast with the aim of minimising duplication of efforts, and to identify opportunities for cooperation and the sharing of examples of best practices in reversing environmental degradation trends;</w:t>
      </w:r>
    </w:p>
    <w:p w14:paraId="2D719C24"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6. Assess stakeholder involvement in national level execution of the SCS SAP Implementation project and take action where necessary to ensure appropriate levels of government, civil society and community organisation, environmental NGOs, Women’s groups, and private sector engagement in project activities.</w:t>
      </w:r>
    </w:p>
    <w:p w14:paraId="7A7FE140"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7. Ensure compatibility between site-based activities of the SCS SAP Implementation project and other National, provincial and municipal activities in coastal and marine environmental management;</w:t>
      </w:r>
    </w:p>
    <w:p w14:paraId="16F13BBB"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 xml:space="preserve">8. Approve annual progress reports for transmission to the COBSEA Intergovernmental Meetings, UNEP and the GEF Secretariat; </w:t>
      </w:r>
    </w:p>
    <w:p w14:paraId="3F8D2291"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9. Assist the National Committees for mangroves, coral reefs, seagrass, wetlands, land-based pollution, and economic valuation in securing co-financing committed to the project and in leveraging additional funding that may be required from time to time.</w:t>
      </w:r>
    </w:p>
    <w:p w14:paraId="2473DFE8"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 xml:space="preserve">10. Agree at their first meeting: </w:t>
      </w:r>
    </w:p>
    <w:p w14:paraId="0C6188D9"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 xml:space="preserve">a) the membership, meeting arrangements, and terms of reference of the committee; and </w:t>
      </w:r>
    </w:p>
    <w:p w14:paraId="14CB9DD7"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b) such standing orders and manner of conducting business as may be considered necessary by the committee.</w:t>
      </w:r>
    </w:p>
    <w:p w14:paraId="6272ECA3" w14:textId="77777777" w:rsidR="00DC77E7" w:rsidRPr="00DC77E7" w:rsidRDefault="00DC77E7" w:rsidP="00DC77E7">
      <w:pPr>
        <w:rPr>
          <w:rFonts w:eastAsia="Calibri"/>
          <w:sz w:val="22"/>
          <w:szCs w:val="22"/>
        </w:rPr>
      </w:pPr>
    </w:p>
    <w:p w14:paraId="6DED1782" w14:textId="77777777" w:rsidR="00DC77E7" w:rsidRPr="00DC77E7" w:rsidRDefault="00DC77E7" w:rsidP="00DC77E7">
      <w:pPr>
        <w:rPr>
          <w:rFonts w:eastAsia="Calibri"/>
          <w:sz w:val="22"/>
          <w:szCs w:val="22"/>
        </w:rPr>
      </w:pPr>
      <w:r w:rsidRPr="00DC77E7">
        <w:rPr>
          <w:rFonts w:eastAsia="Calibri"/>
          <w:sz w:val="22"/>
          <w:szCs w:val="22"/>
        </w:rPr>
        <w:br w:type="page"/>
      </w:r>
    </w:p>
    <w:p w14:paraId="3BABBE74" w14:textId="77777777" w:rsidR="00DC77E7" w:rsidRPr="00DC77E7" w:rsidRDefault="00DC77E7" w:rsidP="00DC77E7">
      <w:pPr>
        <w:rPr>
          <w:rFonts w:eastAsia="Calibri"/>
          <w:sz w:val="22"/>
          <w:szCs w:val="22"/>
        </w:rPr>
      </w:pPr>
    </w:p>
    <w:p w14:paraId="46B63518"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PROVISIONAL TERMS OF REFERENCE FOR THE</w:t>
      </w:r>
    </w:p>
    <w:p w14:paraId="571FA219"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NATIONAL TECHNICAL WORKING GROUPS</w:t>
      </w:r>
    </w:p>
    <w:p w14:paraId="739A84C0" w14:textId="77777777" w:rsidR="00DC77E7" w:rsidRPr="00DC77E7" w:rsidRDefault="00DC77E7" w:rsidP="00DC77E7">
      <w:pPr>
        <w:rPr>
          <w:rFonts w:eastAsia="Calibri"/>
          <w:b/>
          <w:sz w:val="22"/>
          <w:szCs w:val="22"/>
          <w:lang w:val="en-GB"/>
        </w:rPr>
      </w:pPr>
    </w:p>
    <w:p w14:paraId="09E3BAA1" w14:textId="77777777" w:rsidR="00DC77E7" w:rsidRPr="00DC77E7" w:rsidRDefault="00DC77E7" w:rsidP="00DC77E7">
      <w:pPr>
        <w:spacing w:after="120"/>
        <w:jc w:val="both"/>
        <w:rPr>
          <w:rFonts w:eastAsia="Calibri"/>
          <w:b/>
          <w:sz w:val="22"/>
          <w:szCs w:val="22"/>
          <w:lang w:val="en-GB"/>
        </w:rPr>
      </w:pPr>
      <w:r w:rsidRPr="00DC77E7">
        <w:rPr>
          <w:rFonts w:eastAsia="Calibri"/>
          <w:b/>
          <w:sz w:val="22"/>
          <w:szCs w:val="22"/>
          <w:lang w:val="en-GB"/>
        </w:rPr>
        <w:t>1.</w:t>
      </w:r>
      <w:r w:rsidRPr="00DC77E7">
        <w:rPr>
          <w:rFonts w:eastAsia="Calibri"/>
          <w:b/>
          <w:sz w:val="22"/>
          <w:szCs w:val="22"/>
          <w:lang w:val="en-GB"/>
        </w:rPr>
        <w:tab/>
        <w:t>RATIONALE AND PURPOSE OF THE NATIONAL TECHNICAL WORKING GROUPS</w:t>
      </w:r>
    </w:p>
    <w:p w14:paraId="007B7627"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The National Technical Working Groups shall operate on the basis of consensus to:</w:t>
      </w:r>
    </w:p>
    <w:p w14:paraId="1B706A78"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1. Review and co-ordinate national scientific and technical activities of the UNEP/GEF project entitled “</w:t>
      </w:r>
      <w:r w:rsidRPr="00DC77E7">
        <w:rPr>
          <w:rFonts w:eastAsia="Calibri"/>
          <w:i/>
          <w:sz w:val="22"/>
          <w:szCs w:val="22"/>
          <w:lang w:val="en-GB"/>
        </w:rPr>
        <w:t>Implementing the Strategic Action Programme for the South China Sea</w:t>
      </w:r>
      <w:r w:rsidRPr="00DC77E7">
        <w:rPr>
          <w:rFonts w:eastAsia="Calibri"/>
          <w:sz w:val="22"/>
          <w:szCs w:val="22"/>
          <w:lang w:val="en-GB"/>
        </w:rPr>
        <w:t>” in [country name];</w:t>
      </w:r>
    </w:p>
    <w:p w14:paraId="42B14F31"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 xml:space="preserve">2. Review and evaluate, from a scientific and technical perspective, progress in the achievement of Strategic Action Programme targets, and provide guidance for improvement when necessary; </w:t>
      </w:r>
    </w:p>
    <w:p w14:paraId="2737E8BA"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 xml:space="preserve">3. Provide the National Inter-Ministry Committees with recommendations on proposed national and site-based activities, work plans, and budgets; </w:t>
      </w:r>
    </w:p>
    <w:p w14:paraId="26E7E22B"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4. Provide the National Inter-Ministry Committees with technical guidance and suggestions to improve project activities where necessary, including the reform of policy, legislation and institutional arrangements;</w:t>
      </w:r>
    </w:p>
    <w:p w14:paraId="28DC40BF"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5. Facilitate co-operation with relevant national and provincial organisations and projects to enhance the information and science base for use in achieving Strategic Action Programme targets and in preparing updated National Action Plans and a revised Strategic Action Programme in [country name];</w:t>
      </w:r>
    </w:p>
    <w:p w14:paraId="24ACB0E9"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6. Compile and evaluate national level sources of information and data for sharing at the regional level;</w:t>
      </w:r>
    </w:p>
    <w:p w14:paraId="100BA61A"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7. Receive, and review reports, data and information from site-based activities of the project and oversee the national synthesis of this information to identify overall needs and priorities for individual sites and future targets for mangroves, coral reefs, seagrass, wetlands, and land-based pollution management in [country name];</w:t>
      </w:r>
    </w:p>
    <w:p w14:paraId="29EFE38D"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8. Ensure that planned national level project activities are consistent with the national results framework for the project, and that the subsequent monitoring and reporting of project results is undertaken in a standardized and consistent manner;</w:t>
      </w:r>
    </w:p>
    <w:p w14:paraId="72F96339"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 xml:space="preserve">9. Agree at their first meeting: </w:t>
      </w:r>
    </w:p>
    <w:p w14:paraId="64607B17"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 xml:space="preserve">a) the membership, meeting arrangements, and terms of reference of the committee; and </w:t>
      </w:r>
    </w:p>
    <w:p w14:paraId="645F0515"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 xml:space="preserve">b) such standing orders and manner of conducting business as may be considered necessary by the committee. </w:t>
      </w:r>
    </w:p>
    <w:p w14:paraId="2C52EDC4" w14:textId="77777777" w:rsidR="00DC77E7" w:rsidRPr="00DC77E7" w:rsidRDefault="00DC77E7" w:rsidP="00DC77E7">
      <w:pPr>
        <w:rPr>
          <w:rFonts w:eastAsia="Calibri"/>
          <w:sz w:val="22"/>
          <w:szCs w:val="22"/>
        </w:rPr>
      </w:pPr>
      <w:r w:rsidRPr="00DC77E7">
        <w:rPr>
          <w:rFonts w:eastAsia="Calibri"/>
          <w:sz w:val="22"/>
          <w:szCs w:val="22"/>
        </w:rPr>
        <w:br w:type="page"/>
      </w:r>
    </w:p>
    <w:p w14:paraId="04784AB4"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PROVISIONAL TERMS OF REFERENCE FOR THE</w:t>
      </w:r>
    </w:p>
    <w:p w14:paraId="15D68E58"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 xml:space="preserve">SPECIALIZED EXECUTING AGENCIES FOR </w:t>
      </w:r>
    </w:p>
    <w:p w14:paraId="631F8D39"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MANGROVES, CORAL REEFS, SEAGRASS, WETLANDS, LAND-BASED POLLUTION AND ECONOMIC VALUATION</w:t>
      </w:r>
    </w:p>
    <w:p w14:paraId="4C79B9F2" w14:textId="77777777" w:rsidR="00DC77E7" w:rsidRPr="00DC77E7" w:rsidRDefault="00DC77E7" w:rsidP="00DC77E7">
      <w:pPr>
        <w:spacing w:after="120"/>
        <w:jc w:val="both"/>
        <w:rPr>
          <w:rFonts w:eastAsia="Calibri"/>
          <w:sz w:val="22"/>
          <w:szCs w:val="22"/>
          <w:lang w:val="en-GB"/>
        </w:rPr>
      </w:pPr>
    </w:p>
    <w:p w14:paraId="74DF4484"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The National Specialized Executing Agencies shall:</w:t>
      </w:r>
    </w:p>
    <w:p w14:paraId="3454605C"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1. Assume overall responsibility for the execution of the national-level activities in their respective areas of expertise for the UNEP/GEF project entitled ‘</w:t>
      </w:r>
      <w:r w:rsidRPr="00DC77E7">
        <w:rPr>
          <w:rFonts w:eastAsia="Calibri"/>
          <w:i/>
          <w:sz w:val="22"/>
          <w:szCs w:val="22"/>
          <w:lang w:val="en-GB"/>
        </w:rPr>
        <w:t>Implementing the Strategic Action Programme for the South China Sea</w:t>
      </w:r>
      <w:r w:rsidRPr="00DC77E7">
        <w:rPr>
          <w:rFonts w:eastAsia="Calibri"/>
          <w:sz w:val="22"/>
          <w:szCs w:val="22"/>
          <w:lang w:val="en-GB"/>
        </w:rPr>
        <w:t>’ in accordance with the results framework contained in teh regional UNEP Project Document;</w:t>
      </w:r>
    </w:p>
    <w:p w14:paraId="24016C2F"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2. Provide Secretariat support to the operation of the National Committees for mangroves, coral reefs, seagrass, wetlands, land-based pollution, and economic valuation and convene quarterly meetings of these bodies, respectively;</w:t>
      </w:r>
    </w:p>
    <w:p w14:paraId="65A01AD8"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3. Nominate a National Focal Point to (a) act as the main point of contact with the SCS SAP Implementation Unit and UNEP; (b) act as Chair of the his/her respective National Committee; (c) act as a member of NTWG; and (d) act as a member of the respective Regional Working Group or Task Force;</w:t>
      </w:r>
    </w:p>
    <w:p w14:paraId="4A32AD28"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4. Plan and implement activities based on the results framework, work plan and timetable contained in the UNEP Project Document aimed at achieving the national-level goals and targets of the project and the Strategic Action Programme for the South China Sea;</w:t>
      </w:r>
    </w:p>
    <w:p w14:paraId="1529A576"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5. Prepare and facilitate endorsement, by the National Inter-Ministry Committee (IMC), quarterly costed work plans to guide the execution of national and site-based activities of the project;</w:t>
      </w:r>
    </w:p>
    <w:p w14:paraId="79BD4FBE"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6. Submit endorsed quarterly national costed work plans to the Project Director of the SCS-SAP Implementation Unit within five (5) working days before the end of each quarter (i.e. Quarter 1 is January-March, Quarter 2 is April-June, Quarter 3 is July-September, Quarter 4 is October-December).</w:t>
      </w:r>
    </w:p>
    <w:p w14:paraId="6EA92ED9"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7. Prepare and submit quarterly progress reports, expenditure reports, and cash advance requests for endorsement by the National Inter-Ministry Committee and subsequent submission to the Project Director of the SCS-SAP Implementation Unit within five (5) working days before the end of each quarter;</w:t>
      </w:r>
    </w:p>
    <w:p w14:paraId="6B771A5D"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8. Prepare annual progress reports on national-level activities and results of efforts to meet SAP targets;</w:t>
      </w:r>
    </w:p>
    <w:p w14:paraId="533B5267"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9. Maintain accurate and up-to-date records and documents in respect of all expenditures incurred with the funds made available to ensure that all expenditures are in conformity with the provisions of the endorsed costed work plans. For each disbursement, proper supporting documentation shall be maintained, including original invoices, bills, and receipts pertinent to the transaction.</w:t>
      </w:r>
    </w:p>
    <w:p w14:paraId="25D5138F"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10. Provide the SCS-SAP Implementation Unit with certified periodic financial statements, and with an annual audit of the financial statements relating to the status of project funds advanced to the Specialized Executing Agency;</w:t>
      </w:r>
    </w:p>
    <w:p w14:paraId="7A5C1C21"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 xml:space="preserve">11. Be responsible for the proper custody, maintenance and care of all equipment purchased for use at the national level; </w:t>
      </w:r>
    </w:p>
    <w:p w14:paraId="3AB00D42"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12. Lead national-level efforts to secure co-financing committed to this project and to leverage additional funding required to replicate and scale-up best practices in coastal and marine environmental management generated through this project; and</w:t>
      </w:r>
    </w:p>
    <w:p w14:paraId="0EF96CC7"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13. Ensure that the work of the parties under this agreement is suitably promoted as part of the UNEP/GEF project entitled ‘</w:t>
      </w:r>
      <w:r w:rsidRPr="00DC77E7">
        <w:rPr>
          <w:rFonts w:eastAsia="Calibri"/>
          <w:i/>
          <w:sz w:val="22"/>
          <w:szCs w:val="22"/>
          <w:lang w:val="en-GB"/>
        </w:rPr>
        <w:t>Implementing the Strategic Action Programme for the South China Sea’</w:t>
      </w:r>
      <w:r w:rsidRPr="00DC77E7">
        <w:rPr>
          <w:rFonts w:eastAsia="Calibri"/>
          <w:sz w:val="22"/>
          <w:szCs w:val="22"/>
          <w:lang w:val="en-GB"/>
        </w:rPr>
        <w:t>, including labelling of outputs with agreed logos.</w:t>
      </w:r>
    </w:p>
    <w:p w14:paraId="11CED2EE"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br w:type="page"/>
      </w:r>
    </w:p>
    <w:p w14:paraId="467EB69F" w14:textId="77777777" w:rsidR="00DC77E7" w:rsidRPr="00DC77E7" w:rsidRDefault="00DC77E7" w:rsidP="00DC77E7">
      <w:pPr>
        <w:spacing w:after="120"/>
        <w:jc w:val="both"/>
        <w:rPr>
          <w:b/>
          <w:sz w:val="22"/>
          <w:szCs w:val="22"/>
          <w:lang w:val="en-GB"/>
        </w:rPr>
      </w:pPr>
    </w:p>
    <w:p w14:paraId="0630DA84"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TERMS OF REFERENCE FOR THE</w:t>
      </w:r>
    </w:p>
    <w:p w14:paraId="1B3BAAE2" w14:textId="77777777" w:rsidR="00DC77E7" w:rsidRPr="00DC77E7" w:rsidRDefault="00DC77E7" w:rsidP="00DC77E7">
      <w:pPr>
        <w:jc w:val="center"/>
        <w:rPr>
          <w:rFonts w:eastAsia="Calibri"/>
          <w:b/>
          <w:sz w:val="22"/>
          <w:szCs w:val="22"/>
          <w:lang w:val="en-GB"/>
        </w:rPr>
      </w:pPr>
      <w:r w:rsidRPr="00DC77E7">
        <w:rPr>
          <w:rFonts w:eastAsia="Calibri"/>
          <w:b/>
          <w:sz w:val="22"/>
          <w:szCs w:val="22"/>
          <w:lang w:val="en-GB"/>
        </w:rPr>
        <w:t>SCS-SAP IMPLEMENTATION UNIT</w:t>
      </w:r>
    </w:p>
    <w:p w14:paraId="5B176B07" w14:textId="77777777" w:rsidR="00DC77E7" w:rsidRPr="00DC77E7" w:rsidRDefault="00DC77E7" w:rsidP="00DC77E7">
      <w:pPr>
        <w:rPr>
          <w:rFonts w:eastAsia="Calibri"/>
          <w:b/>
          <w:sz w:val="22"/>
          <w:szCs w:val="22"/>
          <w:lang w:val="en-GB"/>
        </w:rPr>
      </w:pPr>
    </w:p>
    <w:p w14:paraId="2C71DDF6" w14:textId="77777777" w:rsidR="00DC77E7" w:rsidRPr="00DC77E7" w:rsidRDefault="00DC77E7" w:rsidP="00DC77E7">
      <w:pPr>
        <w:spacing w:after="120"/>
        <w:jc w:val="both"/>
        <w:rPr>
          <w:rFonts w:eastAsia="Calibri"/>
          <w:b/>
          <w:sz w:val="22"/>
          <w:szCs w:val="22"/>
          <w:lang w:val="en-GB"/>
        </w:rPr>
      </w:pPr>
      <w:r w:rsidRPr="00DC77E7">
        <w:rPr>
          <w:rFonts w:eastAsia="Calibri"/>
          <w:b/>
          <w:sz w:val="22"/>
          <w:szCs w:val="22"/>
          <w:lang w:val="en-GB"/>
        </w:rPr>
        <w:t>1.</w:t>
      </w:r>
      <w:r w:rsidRPr="00DC77E7">
        <w:rPr>
          <w:rFonts w:eastAsia="Calibri"/>
          <w:b/>
          <w:sz w:val="22"/>
          <w:szCs w:val="22"/>
          <w:lang w:val="en-GB"/>
        </w:rPr>
        <w:tab/>
        <w:t>RATIONALE AND PURPOSE OF A SCS-SAP IMPLEMENTATION UNIT</w:t>
      </w:r>
    </w:p>
    <w:p w14:paraId="275CE7DB" w14:textId="77777777" w:rsidR="00DC77E7" w:rsidRPr="00DC77E7" w:rsidRDefault="00DC77E7" w:rsidP="00DC77E7">
      <w:pPr>
        <w:spacing w:after="120"/>
        <w:jc w:val="both"/>
        <w:rPr>
          <w:rFonts w:eastAsia="Calibri"/>
          <w:sz w:val="22"/>
          <w:szCs w:val="22"/>
          <w:lang w:val="en-GB"/>
        </w:rPr>
      </w:pPr>
      <w:r w:rsidRPr="00DC77E7">
        <w:rPr>
          <w:sz w:val="22"/>
          <w:szCs w:val="22"/>
        </w:rPr>
        <w:t>1.1</w:t>
      </w:r>
      <w:r w:rsidRPr="00DC77E7">
        <w:rPr>
          <w:sz w:val="22"/>
          <w:szCs w:val="22"/>
        </w:rPr>
        <w:tab/>
        <w:t>The SCS-SAP Implementation Unit for the UNEP/GEF Project entitled: “</w:t>
      </w:r>
      <w:r w:rsidRPr="00DC77E7">
        <w:rPr>
          <w:bCs/>
          <w:i/>
          <w:iCs/>
          <w:color w:val="262626"/>
          <w:position w:val="1"/>
          <w:sz w:val="22"/>
          <w:szCs w:val="22"/>
          <w:lang w:val="en-GB"/>
        </w:rPr>
        <w:t>Implementing the Strategic Action Programme for the South China Sea</w:t>
      </w:r>
      <w:r w:rsidRPr="00DC77E7">
        <w:rPr>
          <w:sz w:val="22"/>
          <w:szCs w:val="22"/>
        </w:rPr>
        <w:t>” is established under the Project Document paragraph 432 as approved by the collaborating institutions and organisations during the project preparation phase as follows:</w:t>
      </w:r>
      <w:r w:rsidRPr="00DC77E7">
        <w:rPr>
          <w:rFonts w:eastAsia="Calibri"/>
          <w:sz w:val="22"/>
          <w:szCs w:val="22"/>
          <w:lang w:val="en-GB"/>
        </w:rPr>
        <w:t xml:space="preserve"> </w:t>
      </w:r>
    </w:p>
    <w:p w14:paraId="32378CF5" w14:textId="77777777" w:rsidR="00DC77E7" w:rsidRPr="00DC77E7" w:rsidRDefault="00DC77E7" w:rsidP="00DC77E7">
      <w:pPr>
        <w:spacing w:after="120"/>
        <w:jc w:val="both"/>
        <w:rPr>
          <w:sz w:val="22"/>
          <w:szCs w:val="22"/>
          <w:lang w:val="en-GB"/>
        </w:rPr>
      </w:pPr>
      <w:r w:rsidRPr="00DC77E7">
        <w:rPr>
          <w:sz w:val="22"/>
          <w:szCs w:val="22"/>
          <w:lang w:val="en-GB"/>
        </w:rPr>
        <w:t>1.2</w:t>
      </w:r>
      <w:r w:rsidRPr="00DC77E7">
        <w:rPr>
          <w:sz w:val="22"/>
          <w:szCs w:val="22"/>
          <w:lang w:val="en-GB"/>
        </w:rPr>
        <w:tab/>
        <w:t xml:space="preserve">The COBSEA Secretariat shall serve as the GEF Regional Executing Agency within which a South China Sea Strategic Action Programme Implementation Unit (SCS-SAP IU) shall be established. The SCS-SAP IU shall have responsibility for the day-to-day management of project activities, and oversight of SAP implementation, including liaison with the National Focal Ministries (ministries responsible for environmental matters), the Specialised Executing Agencies at national level and other partners involved in SAP implementation. </w:t>
      </w:r>
    </w:p>
    <w:p w14:paraId="18276906"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1.3</w:t>
      </w:r>
      <w:r w:rsidRPr="00DC77E7">
        <w:rPr>
          <w:rFonts w:eastAsia="Calibri"/>
          <w:sz w:val="22"/>
          <w:szCs w:val="22"/>
          <w:lang w:val="en-GB"/>
        </w:rPr>
        <w:tab/>
        <w:t>The SCS-SAP IU will be led by a Project Director and shall provide quality technical support, guidance and advice on the implementation of project activities and the achievement of SAP targets.</w:t>
      </w:r>
    </w:p>
    <w:p w14:paraId="3AF4D2BD"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2.</w:t>
      </w:r>
      <w:r w:rsidRPr="00DC77E7">
        <w:rPr>
          <w:rFonts w:eastAsia="Calibri"/>
          <w:b/>
          <w:sz w:val="22"/>
          <w:szCs w:val="22"/>
          <w:lang w:val="en-GB"/>
        </w:rPr>
        <w:tab/>
        <w:t xml:space="preserve">ROLE AND FUNCTION </w:t>
      </w:r>
    </w:p>
    <w:p w14:paraId="5D45620B"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2.1</w:t>
      </w:r>
      <w:r w:rsidRPr="00DC77E7">
        <w:rPr>
          <w:rFonts w:eastAsia="Calibri"/>
          <w:sz w:val="22"/>
          <w:szCs w:val="22"/>
          <w:lang w:val="en-GB"/>
        </w:rPr>
        <w:tab/>
        <w:t xml:space="preserve">The SCS-SAP IU will be responsible for: overall leadership, management and technical oversight of the SCS SAP implementation project; regional project governance, monitoring and reporting; policy/technical advice and advocacy; regional coordination, including the establishment of partnerships and networking; and external communications. </w:t>
      </w:r>
    </w:p>
    <w:p w14:paraId="49CF217A" w14:textId="77777777" w:rsidR="00DC77E7" w:rsidRPr="00DC77E7" w:rsidRDefault="00DC77E7" w:rsidP="00DC77E7">
      <w:pPr>
        <w:spacing w:after="120"/>
        <w:jc w:val="both"/>
        <w:rPr>
          <w:rFonts w:eastAsia="Calibri"/>
          <w:b/>
          <w:sz w:val="22"/>
          <w:szCs w:val="22"/>
          <w:lang w:val="en-GB"/>
        </w:rPr>
      </w:pPr>
      <w:r w:rsidRPr="00DC77E7">
        <w:rPr>
          <w:rFonts w:eastAsia="Calibri"/>
          <w:b/>
          <w:sz w:val="22"/>
          <w:szCs w:val="22"/>
          <w:lang w:val="en-GB"/>
        </w:rPr>
        <w:t>3.</w:t>
      </w:r>
      <w:r w:rsidRPr="00DC77E7">
        <w:rPr>
          <w:rFonts w:eastAsia="Calibri"/>
          <w:b/>
          <w:sz w:val="22"/>
          <w:szCs w:val="22"/>
          <w:lang w:val="en-GB"/>
        </w:rPr>
        <w:tab/>
        <w:t>THE PROJECT CO-ORDINATING UNIT SHALL:</w:t>
      </w:r>
    </w:p>
    <w:p w14:paraId="2A442B39"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3.1</w:t>
      </w:r>
      <w:r w:rsidRPr="00DC77E7">
        <w:rPr>
          <w:rFonts w:eastAsia="Calibri"/>
          <w:sz w:val="22"/>
          <w:szCs w:val="22"/>
          <w:lang w:val="en-GB"/>
        </w:rPr>
        <w:tab/>
        <w:t>Assume general responsibility for the day-to-day management and implementation of all project objectives and activities;</w:t>
      </w:r>
    </w:p>
    <w:p w14:paraId="143B04BF"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3.2</w:t>
      </w:r>
      <w:r w:rsidRPr="00DC77E7">
        <w:rPr>
          <w:rFonts w:eastAsia="Calibri"/>
          <w:sz w:val="22"/>
          <w:szCs w:val="22"/>
          <w:lang w:val="en-GB"/>
        </w:rPr>
        <w:tab/>
        <w:t>Prepare the annual work plan of the project, in a format consistent with UNEP’s budget, work programme and monitoring and evaluation procedures and financial regulations on the basis of the regional UNEP Project Document, and in close consultation and coordination with the SCS SAP Implementation Committee, National Inter-Ministry Committees, National Focal Points, the UNEP Task Manager and relevant donors;</w:t>
      </w:r>
    </w:p>
    <w:p w14:paraId="3731E176"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3.3</w:t>
      </w:r>
      <w:r w:rsidRPr="00DC77E7">
        <w:rPr>
          <w:rFonts w:eastAsia="Calibri"/>
          <w:sz w:val="22"/>
          <w:szCs w:val="22"/>
          <w:lang w:val="en-GB"/>
        </w:rPr>
        <w:tab/>
        <w:t>Provide Secretariat support to the SCS SAP Implementation Committee, Regional Scientific and Technical Committee, Regional Working Groups and Regional Task Forces;</w:t>
      </w:r>
    </w:p>
    <w:p w14:paraId="0FA3500D"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3.4</w:t>
      </w:r>
      <w:r w:rsidRPr="00DC77E7">
        <w:rPr>
          <w:rFonts w:eastAsia="Calibri"/>
          <w:sz w:val="22"/>
          <w:szCs w:val="22"/>
          <w:lang w:val="en-GB"/>
        </w:rPr>
        <w:tab/>
        <w:t>Coordinate and monitor the activities described in the work plan, and report to UNEP and the regional SCS-SAP Implementation Committee;</w:t>
      </w:r>
    </w:p>
    <w:p w14:paraId="0742B095"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3.5</w:t>
      </w:r>
      <w:r w:rsidRPr="00DC77E7">
        <w:rPr>
          <w:rFonts w:eastAsia="Calibri"/>
          <w:sz w:val="22"/>
          <w:szCs w:val="22"/>
          <w:lang w:val="en-GB"/>
        </w:rPr>
        <w:tab/>
        <w:t xml:space="preserve">Facilitate liaison and networking between and among the 6 country participants, relevant regional organisations, other relevant organisations, non-governmental organisations, key stakeholders and other individuals involved in </w:t>
      </w:r>
      <w:r w:rsidRPr="00DC77E7">
        <w:rPr>
          <w:rFonts w:eastAsia="Calibri"/>
          <w:iCs/>
          <w:sz w:val="22"/>
          <w:szCs w:val="22"/>
          <w:lang w:val="en-GB"/>
        </w:rPr>
        <w:t>SAP</w:t>
      </w:r>
      <w:r w:rsidRPr="00DC77E7">
        <w:rPr>
          <w:rFonts w:eastAsia="Calibri"/>
          <w:i/>
          <w:iCs/>
          <w:sz w:val="22"/>
          <w:szCs w:val="22"/>
          <w:lang w:val="en-GB"/>
        </w:rPr>
        <w:t xml:space="preserve"> </w:t>
      </w:r>
      <w:r w:rsidRPr="00DC77E7">
        <w:rPr>
          <w:rFonts w:eastAsia="Calibri"/>
          <w:sz w:val="22"/>
          <w:szCs w:val="22"/>
          <w:lang w:val="en-GB"/>
        </w:rPr>
        <w:t>project implementation;</w:t>
      </w:r>
    </w:p>
    <w:p w14:paraId="247CFDE7"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3.6</w:t>
      </w:r>
      <w:r w:rsidRPr="00DC77E7">
        <w:rPr>
          <w:rFonts w:eastAsia="Calibri"/>
          <w:sz w:val="22"/>
          <w:szCs w:val="22"/>
          <w:lang w:val="en-GB"/>
        </w:rPr>
        <w:tab/>
        <w:t xml:space="preserve">Foster and establish links with other related programmes and projects and, where appropriate, with other regional GEF International Waters projects, e.g. IW:LEARN, the SEAFDEC/UNEP/GEF Fisheries </w:t>
      </w:r>
      <w:r w:rsidRPr="00DC77E7">
        <w:rPr>
          <w:rFonts w:eastAsia="Calibri"/>
          <w:i/>
          <w:sz w:val="22"/>
          <w:szCs w:val="22"/>
          <w:lang w:val="en-GB"/>
        </w:rPr>
        <w:t>Refugia</w:t>
      </w:r>
      <w:r w:rsidRPr="00DC77E7">
        <w:rPr>
          <w:rFonts w:eastAsia="Calibri"/>
          <w:sz w:val="22"/>
          <w:szCs w:val="22"/>
          <w:lang w:val="en-GB"/>
        </w:rPr>
        <w:t xml:space="preserve"> Project and PEMSEA,</w:t>
      </w:r>
    </w:p>
    <w:p w14:paraId="6A253C1D"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3.7</w:t>
      </w:r>
      <w:r w:rsidRPr="00DC77E7">
        <w:rPr>
          <w:rFonts w:eastAsia="Calibri"/>
          <w:sz w:val="22"/>
          <w:szCs w:val="22"/>
          <w:lang w:val="en-GB"/>
        </w:rPr>
        <w:tab/>
        <w:t>Oversee the development of Terms of Reference for consultants and contractors, and be ultimately responsible for the delivery of work produced by consultants under the project;</w:t>
      </w:r>
    </w:p>
    <w:p w14:paraId="31802364"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3.8</w:t>
      </w:r>
      <w:r w:rsidRPr="00DC77E7">
        <w:rPr>
          <w:rFonts w:eastAsia="Calibri"/>
          <w:sz w:val="22"/>
          <w:szCs w:val="22"/>
          <w:lang w:val="en-GB"/>
        </w:rPr>
        <w:tab/>
        <w:t>Coordinate and oversee the preparation of the substantive and operational reports for the project;</w:t>
      </w:r>
    </w:p>
    <w:p w14:paraId="1BDA7AAA"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3.9</w:t>
      </w:r>
      <w:r w:rsidRPr="00DC77E7">
        <w:rPr>
          <w:rFonts w:eastAsia="Calibri"/>
          <w:sz w:val="22"/>
          <w:szCs w:val="22"/>
          <w:lang w:val="en-GB"/>
        </w:rPr>
        <w:tab/>
        <w:t>Guide other SCS-SAP Implementation Unit staff in the collection and dissemination of information on policy, economic, social, scientific, and technical issues related to achievement of SAP targets;</w:t>
      </w:r>
    </w:p>
    <w:p w14:paraId="27A07C3D"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3.10</w:t>
      </w:r>
      <w:r w:rsidRPr="00DC77E7">
        <w:rPr>
          <w:rFonts w:eastAsia="Calibri"/>
          <w:sz w:val="22"/>
          <w:szCs w:val="22"/>
          <w:lang w:val="en-GB"/>
        </w:rPr>
        <w:tab/>
        <w:t>Promote public awareness and stakeholder engagement activities necessary for successful project implementation;</w:t>
      </w:r>
    </w:p>
    <w:p w14:paraId="52CAF7A4"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3.11</w:t>
      </w:r>
      <w:r w:rsidRPr="00DC77E7">
        <w:rPr>
          <w:rFonts w:eastAsia="Calibri"/>
          <w:sz w:val="22"/>
          <w:szCs w:val="22"/>
          <w:lang w:val="en-GB"/>
        </w:rPr>
        <w:tab/>
        <w:t>Assist in the delivery of training courses on technical matters, project management, and monitoring and evaluation to strengthen regional capacity in GEF project execution; and</w:t>
      </w:r>
    </w:p>
    <w:p w14:paraId="4F8B335B" w14:textId="77777777" w:rsidR="00DC77E7" w:rsidRPr="00DC77E7" w:rsidRDefault="00DC77E7" w:rsidP="00DC77E7">
      <w:pPr>
        <w:spacing w:after="120"/>
        <w:rPr>
          <w:rFonts w:eastAsia="Calibri"/>
          <w:sz w:val="22"/>
          <w:szCs w:val="22"/>
          <w:lang w:val="en-GB"/>
        </w:rPr>
      </w:pPr>
      <w:r w:rsidRPr="00DC77E7">
        <w:rPr>
          <w:rFonts w:eastAsia="Calibri"/>
          <w:sz w:val="22"/>
          <w:szCs w:val="22"/>
          <w:lang w:val="en-GB"/>
        </w:rPr>
        <w:t>3.12</w:t>
      </w:r>
      <w:r w:rsidRPr="00DC77E7">
        <w:rPr>
          <w:rFonts w:eastAsia="Calibri"/>
          <w:sz w:val="22"/>
          <w:szCs w:val="22"/>
          <w:lang w:val="en-GB"/>
        </w:rPr>
        <w:tab/>
        <w:t>Lead in the development of integrated and simplified results tracking and reporting tools for the project to ensure effective communication with national governments, COBSEA, UNEP and the GEF.</w:t>
      </w:r>
    </w:p>
    <w:p w14:paraId="2A3E0FAA" w14:textId="77777777" w:rsidR="00DC77E7" w:rsidRPr="00DC77E7" w:rsidRDefault="00DC77E7" w:rsidP="00DC77E7">
      <w:pPr>
        <w:spacing w:after="120"/>
        <w:rPr>
          <w:rFonts w:eastAsia="Calibri"/>
          <w:b/>
          <w:sz w:val="22"/>
          <w:szCs w:val="22"/>
          <w:lang w:val="en-GB"/>
        </w:rPr>
      </w:pPr>
      <w:r w:rsidRPr="00DC77E7">
        <w:rPr>
          <w:rFonts w:eastAsia="Calibri"/>
          <w:b/>
          <w:sz w:val="22"/>
          <w:szCs w:val="22"/>
          <w:lang w:val="en-GB"/>
        </w:rPr>
        <w:t>4.</w:t>
      </w:r>
      <w:r w:rsidRPr="00DC77E7">
        <w:rPr>
          <w:rFonts w:eastAsia="Calibri"/>
          <w:b/>
          <w:sz w:val="22"/>
          <w:szCs w:val="22"/>
          <w:lang w:val="en-GB"/>
        </w:rPr>
        <w:tab/>
        <w:t xml:space="preserve">MANAGEMENT OF THE </w:t>
      </w:r>
      <w:r>
        <w:rPr>
          <w:rFonts w:eastAsia="Calibri"/>
          <w:b/>
          <w:sz w:val="22"/>
          <w:szCs w:val="22"/>
          <w:lang w:val="en-GB"/>
        </w:rPr>
        <w:t>SCS-SAP Implementation Unit</w:t>
      </w:r>
    </w:p>
    <w:p w14:paraId="29EBABED"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4.1</w:t>
      </w:r>
      <w:r w:rsidRPr="00DC77E7">
        <w:rPr>
          <w:rFonts w:eastAsia="Calibri"/>
          <w:sz w:val="22"/>
          <w:szCs w:val="22"/>
          <w:lang w:val="en-GB"/>
        </w:rPr>
        <w:tab/>
        <w:t>The SCS-SAP Implementation Unit will be led by a Project Director. He/she shall liaise directly with the National Focal Points and other relevant bodies and stakeholders were relevant. He/she will also liaise with representatives of UNEP and GEF, as well as other regional donors, in order to coordinate the annual work plan for the project. He/she shall be responsible for all technical, planning, managerial, monitoring, progress and financial reporting for the project</w:t>
      </w:r>
      <w:r w:rsidRPr="00DC77E7">
        <w:rPr>
          <w:rFonts w:eastAsia="Calibri"/>
          <w:sz w:val="22"/>
          <w:szCs w:val="22"/>
        </w:rPr>
        <w:t xml:space="preserve">. </w:t>
      </w:r>
    </w:p>
    <w:p w14:paraId="512F5B4B"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4.2</w:t>
      </w:r>
      <w:r w:rsidRPr="00DC77E7">
        <w:rPr>
          <w:rFonts w:eastAsia="Calibri"/>
          <w:sz w:val="22"/>
          <w:szCs w:val="22"/>
          <w:lang w:val="en-GB"/>
        </w:rPr>
        <w:tab/>
        <w:t>The Project Director will consult and coordinate closely with the COBSEA Secretariat and other representatives of UNEP and report directly to the UNEP Task Manager. The position of Project Director encompasses the following major functions:</w:t>
      </w:r>
    </w:p>
    <w:p w14:paraId="20CE2EEE" w14:textId="77777777" w:rsidR="00DC77E7" w:rsidRPr="00DC77E7" w:rsidRDefault="00DC77E7" w:rsidP="00DC77E7">
      <w:pPr>
        <w:numPr>
          <w:ilvl w:val="0"/>
          <w:numId w:val="57"/>
        </w:numPr>
        <w:contextualSpacing/>
        <w:jc w:val="both"/>
        <w:rPr>
          <w:rFonts w:eastAsia="Calibri"/>
          <w:sz w:val="22"/>
          <w:szCs w:val="22"/>
          <w:lang w:val="en-GB"/>
        </w:rPr>
      </w:pPr>
      <w:r w:rsidRPr="00DC77E7">
        <w:rPr>
          <w:rFonts w:eastAsia="Calibri"/>
          <w:sz w:val="22"/>
          <w:szCs w:val="22"/>
          <w:lang w:val="en-GB"/>
        </w:rPr>
        <w:t xml:space="preserve">Leadership, management and technical oversight of the fisheries </w:t>
      </w:r>
      <w:r w:rsidRPr="00DC77E7">
        <w:rPr>
          <w:rFonts w:eastAsia="Calibri"/>
          <w:i/>
          <w:iCs/>
          <w:sz w:val="22"/>
          <w:szCs w:val="22"/>
          <w:lang w:val="en-GB"/>
        </w:rPr>
        <w:t>refugia</w:t>
      </w:r>
      <w:r w:rsidRPr="00DC77E7">
        <w:rPr>
          <w:rFonts w:eastAsia="Calibri"/>
          <w:sz w:val="22"/>
          <w:szCs w:val="22"/>
          <w:lang w:val="en-GB"/>
        </w:rPr>
        <w:t xml:space="preserve"> project;</w:t>
      </w:r>
    </w:p>
    <w:p w14:paraId="20EB1C68" w14:textId="77777777" w:rsidR="00DC77E7" w:rsidRPr="00DC77E7" w:rsidRDefault="00DC77E7" w:rsidP="00DC77E7">
      <w:pPr>
        <w:numPr>
          <w:ilvl w:val="0"/>
          <w:numId w:val="57"/>
        </w:numPr>
        <w:contextualSpacing/>
        <w:jc w:val="both"/>
        <w:rPr>
          <w:rFonts w:eastAsia="Calibri"/>
          <w:sz w:val="22"/>
          <w:szCs w:val="22"/>
          <w:lang w:val="en-GB"/>
        </w:rPr>
      </w:pPr>
      <w:r w:rsidRPr="00DC77E7">
        <w:rPr>
          <w:rFonts w:eastAsia="Calibri"/>
          <w:sz w:val="22"/>
          <w:szCs w:val="22"/>
          <w:lang w:val="en-GB"/>
        </w:rPr>
        <w:t>Regional project governance and monitoring;</w:t>
      </w:r>
    </w:p>
    <w:p w14:paraId="76AD813E" w14:textId="77777777" w:rsidR="00DC77E7" w:rsidRPr="00DC77E7" w:rsidRDefault="00DC77E7" w:rsidP="00DC77E7">
      <w:pPr>
        <w:numPr>
          <w:ilvl w:val="0"/>
          <w:numId w:val="57"/>
        </w:numPr>
        <w:contextualSpacing/>
        <w:jc w:val="both"/>
        <w:rPr>
          <w:rFonts w:eastAsia="Calibri"/>
          <w:sz w:val="22"/>
          <w:szCs w:val="22"/>
          <w:lang w:val="en-GB"/>
        </w:rPr>
      </w:pPr>
      <w:r w:rsidRPr="00DC77E7">
        <w:rPr>
          <w:rFonts w:eastAsia="Calibri"/>
          <w:sz w:val="22"/>
          <w:szCs w:val="22"/>
          <w:lang w:val="en-GB"/>
        </w:rPr>
        <w:t>Policy/technical advice and advocacy;</w:t>
      </w:r>
    </w:p>
    <w:p w14:paraId="794421F4" w14:textId="77777777" w:rsidR="00DC77E7" w:rsidRPr="00DC77E7" w:rsidRDefault="00DC77E7" w:rsidP="00DC77E7">
      <w:pPr>
        <w:numPr>
          <w:ilvl w:val="0"/>
          <w:numId w:val="57"/>
        </w:numPr>
        <w:contextualSpacing/>
        <w:jc w:val="both"/>
        <w:rPr>
          <w:rFonts w:eastAsia="Calibri"/>
          <w:sz w:val="22"/>
          <w:szCs w:val="22"/>
          <w:lang w:val="en-GB"/>
        </w:rPr>
      </w:pPr>
      <w:r w:rsidRPr="00DC77E7">
        <w:rPr>
          <w:rFonts w:eastAsia="Calibri"/>
          <w:sz w:val="22"/>
          <w:szCs w:val="22"/>
          <w:lang w:val="en-GB"/>
        </w:rPr>
        <w:t xml:space="preserve">Regional and national coordination, partnership and networking; and </w:t>
      </w:r>
    </w:p>
    <w:p w14:paraId="45D7865A" w14:textId="77777777" w:rsidR="00DC77E7" w:rsidRPr="006F5CAB" w:rsidRDefault="00DC77E7" w:rsidP="006F5CAB">
      <w:pPr>
        <w:numPr>
          <w:ilvl w:val="0"/>
          <w:numId w:val="57"/>
        </w:numPr>
        <w:spacing w:after="120"/>
        <w:contextualSpacing/>
        <w:jc w:val="both"/>
        <w:rPr>
          <w:rFonts w:eastAsia="Calibri"/>
          <w:sz w:val="22"/>
          <w:szCs w:val="22"/>
          <w:lang w:val="en-GB"/>
        </w:rPr>
      </w:pPr>
      <w:r w:rsidRPr="00DC77E7">
        <w:rPr>
          <w:rFonts w:eastAsia="Calibri"/>
          <w:sz w:val="22"/>
          <w:szCs w:val="22"/>
          <w:lang w:val="en-GB"/>
        </w:rPr>
        <w:t>External communication</w:t>
      </w:r>
    </w:p>
    <w:p w14:paraId="7849F625" w14:textId="77777777" w:rsidR="006F5CAB" w:rsidRDefault="006F5CAB" w:rsidP="006F5CAB">
      <w:pPr>
        <w:jc w:val="both"/>
        <w:rPr>
          <w:rFonts w:eastAsia="Calibri"/>
          <w:sz w:val="22"/>
          <w:szCs w:val="22"/>
          <w:lang w:val="en-GB"/>
        </w:rPr>
      </w:pPr>
    </w:p>
    <w:p w14:paraId="4874E646" w14:textId="77777777" w:rsidR="006F5CAB" w:rsidRPr="00DC77E7" w:rsidRDefault="006F5CAB" w:rsidP="00DC77E7">
      <w:pPr>
        <w:spacing w:after="120"/>
        <w:jc w:val="both"/>
        <w:rPr>
          <w:rFonts w:eastAsia="Calibri"/>
          <w:sz w:val="22"/>
          <w:szCs w:val="22"/>
          <w:lang w:val="en-GB"/>
        </w:rPr>
      </w:pPr>
      <w:r>
        <w:rPr>
          <w:rFonts w:eastAsia="Calibri"/>
          <w:sz w:val="22"/>
          <w:szCs w:val="22"/>
          <w:lang w:val="en-GB"/>
        </w:rPr>
        <w:t>4.3</w:t>
      </w:r>
      <w:r>
        <w:rPr>
          <w:rFonts w:eastAsia="Calibri"/>
          <w:sz w:val="22"/>
          <w:szCs w:val="22"/>
          <w:lang w:val="en-GB"/>
        </w:rPr>
        <w:tab/>
        <w:t>The Project Director will be supported by the following SCS-SAP Implementation Unit staff: Regional Team and Science Leader; Tropical Coastal Habitat Expert; Marine Pollution Expert; GIS and Data Management Expert; Communications and Knoweldge Management Adviser; Monitoring and Evaluation Adviser; Project Administrator; and a Project Accountant. Terms of Reference for these positions will be developed during project inception as a primary task of the Project Director.</w:t>
      </w:r>
    </w:p>
    <w:p w14:paraId="47B2D695" w14:textId="77777777" w:rsidR="00DC77E7" w:rsidRPr="00DC77E7" w:rsidRDefault="00DC77E7" w:rsidP="00DC77E7">
      <w:pPr>
        <w:spacing w:after="120"/>
        <w:jc w:val="both"/>
        <w:rPr>
          <w:rFonts w:eastAsia="Calibri"/>
          <w:b/>
          <w:sz w:val="22"/>
          <w:szCs w:val="22"/>
          <w:lang w:val="en-GB"/>
        </w:rPr>
      </w:pPr>
      <w:r w:rsidRPr="00DC77E7">
        <w:rPr>
          <w:rFonts w:eastAsia="Calibri"/>
          <w:b/>
          <w:sz w:val="22"/>
          <w:szCs w:val="22"/>
          <w:lang w:val="en-GB"/>
        </w:rPr>
        <w:t>5.</w:t>
      </w:r>
      <w:r w:rsidRPr="00DC77E7">
        <w:rPr>
          <w:rFonts w:eastAsia="Calibri"/>
          <w:b/>
          <w:sz w:val="22"/>
          <w:szCs w:val="22"/>
          <w:lang w:val="en-GB"/>
        </w:rPr>
        <w:tab/>
        <w:t>APPOINTMENT OF THE PROJECT DIRECTOR</w:t>
      </w:r>
    </w:p>
    <w:p w14:paraId="32DEF316"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Decision-making regarding the selection and recruitment of this post will be made jointly by the UNEP Task Manager and COBSEA Secretariat. Selection criteria identified during project preparation are outlined below.</w:t>
      </w:r>
    </w:p>
    <w:p w14:paraId="2E206E7B"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The selected candidate will have:</w:t>
      </w:r>
    </w:p>
    <w:p w14:paraId="2D3B3635"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 xml:space="preserve">5.1 </w:t>
      </w:r>
      <w:r w:rsidRPr="00DC77E7">
        <w:rPr>
          <w:rFonts w:eastAsia="Calibri"/>
          <w:sz w:val="22"/>
          <w:szCs w:val="22"/>
          <w:lang w:val="en-GB"/>
        </w:rPr>
        <w:tab/>
        <w:t xml:space="preserve">At least </w:t>
      </w:r>
      <w:r w:rsidR="00E52219">
        <w:rPr>
          <w:rFonts w:eastAsia="Calibri"/>
          <w:sz w:val="22"/>
          <w:szCs w:val="22"/>
          <w:lang w:val="en-GB"/>
        </w:rPr>
        <w:t>fifteen</w:t>
      </w:r>
      <w:r w:rsidRPr="00DC77E7">
        <w:rPr>
          <w:rFonts w:eastAsia="Calibri"/>
          <w:sz w:val="22"/>
          <w:szCs w:val="22"/>
          <w:lang w:val="en-GB"/>
        </w:rPr>
        <w:t xml:space="preserve"> years of relevant experience in international development in cross-sectorial natural resource management with a minimum of ten years operating in developing country contexts at both strategic regional and technical national levels;</w:t>
      </w:r>
    </w:p>
    <w:p w14:paraId="539B5AB5"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 xml:space="preserve">5.2 </w:t>
      </w:r>
      <w:r w:rsidRPr="00DC77E7">
        <w:rPr>
          <w:rFonts w:eastAsia="Calibri"/>
          <w:sz w:val="22"/>
          <w:szCs w:val="22"/>
          <w:lang w:val="en-GB"/>
        </w:rPr>
        <w:tab/>
        <w:t>Proven skills in project team leadership, coordinating multi-disciplinary team inputs, and managing programmes and resources in developing countries;</w:t>
      </w:r>
    </w:p>
    <w:p w14:paraId="09F3A83A"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 xml:space="preserve">5.3 </w:t>
      </w:r>
      <w:r w:rsidRPr="00DC77E7">
        <w:rPr>
          <w:rFonts w:eastAsia="Calibri"/>
          <w:sz w:val="22"/>
          <w:szCs w:val="22"/>
          <w:lang w:val="en-GB"/>
        </w:rPr>
        <w:tab/>
        <w:t>Proven ability to work with partners and the ability to plan, coordinate and manage complex programmes and projects in developing countries;</w:t>
      </w:r>
    </w:p>
    <w:p w14:paraId="63895DB5"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 xml:space="preserve">5.4 </w:t>
      </w:r>
      <w:r w:rsidRPr="00DC77E7">
        <w:rPr>
          <w:rFonts w:eastAsia="Calibri"/>
          <w:sz w:val="22"/>
          <w:szCs w:val="22"/>
          <w:lang w:val="en-GB"/>
        </w:rPr>
        <w:tab/>
        <w:t>Demonstrable excellent verbal and written communications skills, both at a technical level and in the preparation of information for policy makers and wider civil society;</w:t>
      </w:r>
    </w:p>
    <w:p w14:paraId="27DCE224"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5.5</w:t>
      </w:r>
      <w:r w:rsidRPr="00DC77E7">
        <w:rPr>
          <w:rFonts w:eastAsia="Calibri"/>
          <w:sz w:val="22"/>
          <w:szCs w:val="22"/>
          <w:lang w:val="en-GB"/>
        </w:rPr>
        <w:tab/>
        <w:t>Previous experience in the operational aspects of large UN-implemented projects or similar regional/multi-country projects in developing countries, as well as experience with funding organizations such as the GEF will be an advantage;</w:t>
      </w:r>
    </w:p>
    <w:p w14:paraId="5FDC3C71"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 xml:space="preserve">5.6 </w:t>
      </w:r>
      <w:r w:rsidRPr="00DC77E7">
        <w:rPr>
          <w:rFonts w:eastAsia="Calibri"/>
          <w:sz w:val="22"/>
          <w:szCs w:val="22"/>
          <w:lang w:val="en-GB"/>
        </w:rPr>
        <w:tab/>
        <w:t>Post-graduate qualifications in one or more of the following disciplines: ecology, natural sciences, coastal management, coastal policy and planning, and/or International development;</w:t>
      </w:r>
    </w:p>
    <w:p w14:paraId="1F07B230"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 xml:space="preserve">5.7 </w:t>
      </w:r>
      <w:r w:rsidRPr="00DC77E7">
        <w:rPr>
          <w:rFonts w:eastAsia="Calibri"/>
          <w:sz w:val="22"/>
          <w:szCs w:val="22"/>
          <w:lang w:val="en-GB"/>
        </w:rPr>
        <w:tab/>
        <w:t>Excellent working knowledge of English;</w:t>
      </w:r>
    </w:p>
    <w:p w14:paraId="054BADF0" w14:textId="77777777" w:rsidR="00DC77E7" w:rsidRPr="00DC77E7" w:rsidRDefault="00DC77E7" w:rsidP="00DC77E7">
      <w:pPr>
        <w:spacing w:after="120"/>
        <w:jc w:val="both"/>
        <w:rPr>
          <w:rFonts w:eastAsia="Calibri"/>
          <w:sz w:val="22"/>
          <w:szCs w:val="22"/>
          <w:lang w:val="en-GB"/>
        </w:rPr>
      </w:pPr>
      <w:r w:rsidRPr="00DC77E7">
        <w:rPr>
          <w:rFonts w:eastAsia="Calibri"/>
          <w:sz w:val="22"/>
          <w:szCs w:val="22"/>
          <w:lang w:val="en-GB"/>
        </w:rPr>
        <w:t xml:space="preserve">5.8 </w:t>
      </w:r>
      <w:r w:rsidRPr="00DC77E7">
        <w:rPr>
          <w:rFonts w:eastAsia="Calibri"/>
          <w:sz w:val="22"/>
          <w:szCs w:val="22"/>
          <w:lang w:val="en-GB"/>
        </w:rPr>
        <w:tab/>
        <w:t>Familiarity with the goals and procedures of international organizations, in particular those of the GEF and UNEP; and</w:t>
      </w:r>
    </w:p>
    <w:p w14:paraId="435C8324" w14:textId="77777777" w:rsidR="00DC77E7" w:rsidRDefault="00DC77E7" w:rsidP="00DC77E7">
      <w:pPr>
        <w:spacing w:after="120"/>
        <w:outlineLvl w:val="1"/>
        <w:rPr>
          <w:rFonts w:eastAsia="Calibri"/>
          <w:sz w:val="22"/>
          <w:szCs w:val="22"/>
          <w:lang w:val="en-GB"/>
        </w:rPr>
      </w:pPr>
      <w:r w:rsidRPr="00954750">
        <w:rPr>
          <w:rFonts w:eastAsia="Calibri"/>
          <w:sz w:val="22"/>
          <w:szCs w:val="22"/>
          <w:lang w:val="en-GB"/>
        </w:rPr>
        <w:t>5.9</w:t>
      </w:r>
      <w:r w:rsidRPr="00954750">
        <w:rPr>
          <w:rFonts w:eastAsia="Calibri"/>
          <w:sz w:val="22"/>
          <w:szCs w:val="22"/>
          <w:lang w:val="en-GB"/>
        </w:rPr>
        <w:tab/>
        <w:t>Knowledge of GEF co-financing approach</w:t>
      </w:r>
      <w:r w:rsidRPr="00DC77E7">
        <w:rPr>
          <w:rFonts w:eastAsia="Calibri"/>
          <w:sz w:val="22"/>
          <w:szCs w:val="22"/>
          <w:lang w:val="en-GB"/>
        </w:rPr>
        <w:t>es will be a distinct advantage</w:t>
      </w:r>
      <w:r w:rsidR="00E52219">
        <w:rPr>
          <w:rFonts w:eastAsia="Calibri"/>
          <w:sz w:val="22"/>
          <w:szCs w:val="22"/>
          <w:lang w:val="en-GB"/>
        </w:rPr>
        <w:t>.</w:t>
      </w:r>
    </w:p>
    <w:p w14:paraId="4F1FC356" w14:textId="77777777" w:rsidR="006F5CAB" w:rsidRDefault="006F5CAB" w:rsidP="00DC77E7">
      <w:pPr>
        <w:spacing w:after="120"/>
        <w:outlineLvl w:val="1"/>
        <w:rPr>
          <w:b/>
          <w:sz w:val="22"/>
          <w:szCs w:val="22"/>
          <w:lang w:val="en-GB"/>
        </w:rPr>
      </w:pPr>
      <w:r>
        <w:rPr>
          <w:rFonts w:eastAsia="Calibri"/>
          <w:sz w:val="22"/>
          <w:szCs w:val="22"/>
          <w:lang w:val="en-GB"/>
        </w:rPr>
        <w:br w:type="page"/>
      </w:r>
    </w:p>
    <w:p w14:paraId="10958A1E" w14:textId="77777777" w:rsidR="00DE6329" w:rsidRDefault="00F07F81">
      <w:pPr>
        <w:spacing w:after="120"/>
        <w:outlineLvl w:val="1"/>
        <w:rPr>
          <w:b/>
          <w:sz w:val="22"/>
          <w:szCs w:val="22"/>
          <w:lang w:val="en-GB"/>
        </w:rPr>
      </w:pPr>
      <w:bookmarkStart w:id="121" w:name="_Toc209432683"/>
      <w:r>
        <w:rPr>
          <w:b/>
          <w:sz w:val="22"/>
          <w:szCs w:val="22"/>
          <w:lang w:val="en-GB"/>
        </w:rPr>
        <w:t>Appendix 12:</w:t>
      </w:r>
      <w:r>
        <w:rPr>
          <w:b/>
          <w:sz w:val="22"/>
          <w:szCs w:val="22"/>
          <w:lang w:val="en-GB"/>
        </w:rPr>
        <w:tab/>
        <w:t>Co-financing commitment letters from project partners</w:t>
      </w:r>
      <w:bookmarkStart w:id="122" w:name="_Toc209432684"/>
      <w:bookmarkEnd w:id="121"/>
      <w:r w:rsidR="00DE6329">
        <w:rPr>
          <w:b/>
          <w:sz w:val="22"/>
          <w:szCs w:val="22"/>
          <w:lang w:val="en-GB"/>
        </w:rPr>
        <w:t xml:space="preserve"> [</w:t>
      </w:r>
      <w:r w:rsidR="00DE6329" w:rsidRPr="00DE6329">
        <w:rPr>
          <w:b/>
          <w:sz w:val="22"/>
          <w:szCs w:val="22"/>
          <w:highlight w:val="yellow"/>
          <w:lang w:val="en-GB"/>
        </w:rPr>
        <w:t>ONLINE</w:t>
      </w:r>
      <w:r w:rsidR="00DE6329">
        <w:rPr>
          <w:b/>
          <w:sz w:val="22"/>
          <w:szCs w:val="22"/>
          <w:lang w:val="en-GB"/>
        </w:rPr>
        <w:t>]</w:t>
      </w:r>
    </w:p>
    <w:p w14:paraId="53E06C80" w14:textId="77777777" w:rsidR="00F07F81" w:rsidRDefault="00F07F81">
      <w:pPr>
        <w:spacing w:after="120"/>
        <w:outlineLvl w:val="1"/>
        <w:rPr>
          <w:b/>
          <w:sz w:val="22"/>
          <w:szCs w:val="22"/>
          <w:lang w:val="en-GB"/>
        </w:rPr>
      </w:pPr>
      <w:r>
        <w:rPr>
          <w:b/>
          <w:sz w:val="22"/>
          <w:szCs w:val="22"/>
          <w:lang w:val="en-GB"/>
        </w:rPr>
        <w:t>Appendix 13:</w:t>
      </w:r>
      <w:r>
        <w:rPr>
          <w:b/>
          <w:sz w:val="22"/>
          <w:szCs w:val="22"/>
          <w:lang w:val="en-GB"/>
        </w:rPr>
        <w:tab/>
        <w:t>Endorsement letters of GEF National Focal Points</w:t>
      </w:r>
      <w:bookmarkEnd w:id="122"/>
      <w:r w:rsidR="00DE6329">
        <w:rPr>
          <w:b/>
          <w:sz w:val="22"/>
          <w:szCs w:val="22"/>
          <w:lang w:val="en-GB"/>
        </w:rPr>
        <w:t xml:space="preserve"> [</w:t>
      </w:r>
      <w:r w:rsidR="00DE6329" w:rsidRPr="00DE6329">
        <w:rPr>
          <w:b/>
          <w:sz w:val="22"/>
          <w:szCs w:val="22"/>
          <w:highlight w:val="yellow"/>
          <w:lang w:val="en-GB"/>
        </w:rPr>
        <w:t>ONLINE</w:t>
      </w:r>
      <w:r w:rsidR="00DE6329">
        <w:rPr>
          <w:b/>
          <w:sz w:val="22"/>
          <w:szCs w:val="22"/>
          <w:lang w:val="en-GB"/>
        </w:rPr>
        <w:t>]</w:t>
      </w:r>
    </w:p>
    <w:p w14:paraId="63AF4EE7" w14:textId="77777777" w:rsidR="00F07F81" w:rsidRDefault="00F07F81">
      <w:pPr>
        <w:spacing w:after="120"/>
        <w:outlineLvl w:val="1"/>
        <w:rPr>
          <w:b/>
          <w:sz w:val="22"/>
          <w:szCs w:val="22"/>
          <w:lang w:val="en-GB"/>
        </w:rPr>
      </w:pPr>
      <w:bookmarkStart w:id="123" w:name="_Toc209432685"/>
      <w:r>
        <w:rPr>
          <w:b/>
          <w:sz w:val="22"/>
          <w:szCs w:val="22"/>
          <w:lang w:val="en-GB"/>
        </w:rPr>
        <w:t xml:space="preserve">Appendix 14: </w:t>
      </w:r>
      <w:r>
        <w:rPr>
          <w:b/>
          <w:sz w:val="22"/>
          <w:szCs w:val="22"/>
          <w:lang w:val="en-GB"/>
        </w:rPr>
        <w:tab/>
        <w:t>Draft procurement plan</w:t>
      </w:r>
      <w:bookmarkEnd w:id="123"/>
      <w:r w:rsidR="00CD6461">
        <w:rPr>
          <w:b/>
          <w:sz w:val="22"/>
          <w:szCs w:val="22"/>
          <w:lang w:val="en-GB"/>
        </w:rPr>
        <w:t xml:space="preserve"> [</w:t>
      </w:r>
      <w:r w:rsidR="00CD6461" w:rsidRPr="00CD6461">
        <w:rPr>
          <w:b/>
          <w:sz w:val="22"/>
          <w:szCs w:val="22"/>
          <w:highlight w:val="yellow"/>
          <w:lang w:val="en-GB"/>
        </w:rPr>
        <w:t>EXCEL SPREADSHEET</w:t>
      </w:r>
      <w:r w:rsidR="00CD6461">
        <w:rPr>
          <w:b/>
          <w:sz w:val="22"/>
          <w:szCs w:val="22"/>
          <w:lang w:val="en-GB"/>
        </w:rPr>
        <w:t>]</w:t>
      </w:r>
    </w:p>
    <w:p w14:paraId="5772DD0B" w14:textId="77777777" w:rsidR="00066D16" w:rsidRDefault="00F07F81">
      <w:pPr>
        <w:spacing w:after="120"/>
        <w:outlineLvl w:val="1"/>
        <w:rPr>
          <w:b/>
          <w:sz w:val="22"/>
          <w:szCs w:val="22"/>
          <w:lang w:val="en-GB"/>
        </w:rPr>
        <w:sectPr w:rsidR="00066D16" w:rsidSect="00064925">
          <w:pgSz w:w="12240" w:h="15840" w:code="1"/>
          <w:pgMar w:top="1440" w:right="1584" w:bottom="1440" w:left="1584" w:header="706" w:footer="706" w:gutter="0"/>
          <w:cols w:space="708"/>
          <w:docGrid w:linePitch="360"/>
        </w:sectPr>
      </w:pPr>
      <w:bookmarkStart w:id="124" w:name="_Toc209432687"/>
      <w:r>
        <w:rPr>
          <w:b/>
          <w:sz w:val="22"/>
          <w:szCs w:val="22"/>
          <w:lang w:val="en-GB"/>
        </w:rPr>
        <w:t>Appendix 15:</w:t>
      </w:r>
      <w:r>
        <w:rPr>
          <w:b/>
          <w:sz w:val="22"/>
          <w:szCs w:val="22"/>
          <w:lang w:val="en-GB"/>
        </w:rPr>
        <w:tab/>
        <w:t>Tracking Tools</w:t>
      </w:r>
      <w:bookmarkEnd w:id="124"/>
      <w:r w:rsidR="00CD6461">
        <w:rPr>
          <w:b/>
          <w:sz w:val="22"/>
          <w:szCs w:val="22"/>
          <w:lang w:val="en-GB"/>
        </w:rPr>
        <w:t xml:space="preserve"> [</w:t>
      </w:r>
      <w:r w:rsidR="00CD6461" w:rsidRPr="00CD6461">
        <w:rPr>
          <w:b/>
          <w:sz w:val="22"/>
          <w:szCs w:val="22"/>
          <w:highlight w:val="yellow"/>
          <w:lang w:val="en-GB"/>
        </w:rPr>
        <w:t>EXCEL SPREADSHEET</w:t>
      </w:r>
      <w:r w:rsidR="00CD6461">
        <w:rPr>
          <w:b/>
          <w:sz w:val="22"/>
          <w:szCs w:val="22"/>
          <w:lang w:val="en-GB"/>
        </w:rPr>
        <w:t>]</w:t>
      </w:r>
    </w:p>
    <w:p w14:paraId="6C96C2C3" w14:textId="77777777" w:rsidR="002C540C" w:rsidRDefault="002C540C">
      <w:pPr>
        <w:spacing w:after="120"/>
        <w:outlineLvl w:val="1"/>
        <w:rPr>
          <w:b/>
          <w:sz w:val="22"/>
          <w:szCs w:val="22"/>
          <w:lang w:val="en-GB"/>
        </w:rPr>
      </w:pPr>
      <w:r>
        <w:rPr>
          <w:b/>
          <w:sz w:val="22"/>
          <w:szCs w:val="22"/>
          <w:lang w:val="en-GB"/>
        </w:rPr>
        <w:t>Appendix 16:</w:t>
      </w:r>
      <w:r>
        <w:rPr>
          <w:b/>
          <w:sz w:val="22"/>
          <w:szCs w:val="22"/>
          <w:lang w:val="en-GB"/>
        </w:rPr>
        <w:tab/>
        <w:t>Environmental and Social Screening</w:t>
      </w:r>
    </w:p>
    <w:p w14:paraId="6EBAB5E3" w14:textId="77777777" w:rsidR="00066D16" w:rsidRPr="00066D16" w:rsidRDefault="00066D16" w:rsidP="00066D16">
      <w:pPr>
        <w:spacing w:after="120"/>
        <w:jc w:val="both"/>
        <w:rPr>
          <w:sz w:val="22"/>
          <w:szCs w:val="22"/>
          <w:lang w:val="en-GB"/>
        </w:rPr>
      </w:pPr>
      <w:r w:rsidRPr="00066D16">
        <w:rPr>
          <w:sz w:val="22"/>
          <w:szCs w:val="22"/>
          <w:lang w:val="en-GB"/>
        </w:rPr>
        <w:t>The following screening of potential environmental and social impacts of national level activities of the UNEP/GEF project entitled “Implementing the Strategic Action Programme for the South China Sea was undertaken during the Project Preparation Phase. Specific elements of the project design assessed included the proposed locations of activities, possible environmental impacts, and social considerations. No adverse impacts as a result of the execution of proposed national level activities where identified.</w:t>
      </w:r>
    </w:p>
    <w:p w14:paraId="0BE0B9D5" w14:textId="77777777" w:rsidR="00066D16" w:rsidRPr="00066D16" w:rsidRDefault="00066D16" w:rsidP="00066D16">
      <w:pPr>
        <w:spacing w:after="120"/>
        <w:jc w:val="both"/>
        <w:rPr>
          <w:b/>
          <w:bCs/>
          <w:i/>
          <w:iCs/>
          <w:sz w:val="20"/>
          <w:szCs w:val="20"/>
          <w:lang w:val="en-GB"/>
        </w:rPr>
      </w:pPr>
      <w:r w:rsidRPr="00066D16">
        <w:rPr>
          <w:b/>
          <w:bCs/>
          <w:i/>
          <w:iCs/>
          <w:sz w:val="20"/>
          <w:szCs w:val="20"/>
          <w:lang w:val="en-GB"/>
        </w:rPr>
        <w:t>(a) Locations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46"/>
        <w:gridCol w:w="1285"/>
        <w:gridCol w:w="5731"/>
      </w:tblGrid>
      <w:tr w:rsidR="00066D16" w:rsidRPr="00066D16" w14:paraId="4144E034" w14:textId="77777777" w:rsidTr="00D5094C">
        <w:tc>
          <w:tcPr>
            <w:tcW w:w="1129" w:type="pct"/>
            <w:shd w:val="clear" w:color="auto" w:fill="A6A6A6"/>
          </w:tcPr>
          <w:p w14:paraId="4745D74D" w14:textId="77777777" w:rsidR="00066D16" w:rsidRPr="00066D16" w:rsidRDefault="00066D16" w:rsidP="00066D16">
            <w:pPr>
              <w:rPr>
                <w:sz w:val="18"/>
                <w:szCs w:val="18"/>
                <w:lang w:val="en-GB" w:bidi="th-TH"/>
              </w:rPr>
            </w:pPr>
          </w:p>
        </w:tc>
        <w:tc>
          <w:tcPr>
            <w:tcW w:w="709" w:type="pct"/>
            <w:shd w:val="clear" w:color="auto" w:fill="A6A6A6"/>
          </w:tcPr>
          <w:p w14:paraId="5D618448" w14:textId="77777777" w:rsidR="00066D16" w:rsidRPr="00066D16" w:rsidRDefault="00066D16" w:rsidP="00066D16">
            <w:pPr>
              <w:jc w:val="center"/>
              <w:rPr>
                <w:sz w:val="18"/>
                <w:szCs w:val="18"/>
                <w:lang w:val="en-GB" w:bidi="th-TH"/>
              </w:rPr>
            </w:pPr>
            <w:r w:rsidRPr="00066D16">
              <w:rPr>
                <w:i/>
                <w:iCs/>
                <w:sz w:val="18"/>
                <w:szCs w:val="18"/>
                <w:lang w:val="en-GB" w:bidi="th-TH"/>
              </w:rPr>
              <w:t>Yes/No/N.A.</w:t>
            </w:r>
          </w:p>
        </w:tc>
        <w:tc>
          <w:tcPr>
            <w:tcW w:w="3162" w:type="pct"/>
            <w:shd w:val="clear" w:color="auto" w:fill="A6A6A6"/>
          </w:tcPr>
          <w:p w14:paraId="011C99CC" w14:textId="77777777" w:rsidR="00066D16" w:rsidRPr="00066D16" w:rsidRDefault="00066D16" w:rsidP="00066D16">
            <w:pPr>
              <w:rPr>
                <w:sz w:val="18"/>
                <w:szCs w:val="18"/>
                <w:lang w:val="en-GB" w:bidi="th-TH"/>
              </w:rPr>
            </w:pPr>
            <w:r w:rsidRPr="00066D16">
              <w:rPr>
                <w:i/>
                <w:iCs/>
                <w:sz w:val="18"/>
                <w:szCs w:val="18"/>
                <w:lang w:val="en-GB" w:bidi="th-TH"/>
              </w:rPr>
              <w:t>Comment/explanation</w:t>
            </w:r>
          </w:p>
        </w:tc>
      </w:tr>
      <w:tr w:rsidR="00066D16" w:rsidRPr="00066D16" w14:paraId="24717F1B" w14:textId="77777777" w:rsidTr="00D5094C">
        <w:tc>
          <w:tcPr>
            <w:tcW w:w="1129" w:type="pct"/>
          </w:tcPr>
          <w:p w14:paraId="0A5A1478" w14:textId="77777777" w:rsidR="00066D16" w:rsidRPr="00066D16" w:rsidRDefault="00066D16" w:rsidP="00066D16">
            <w:pPr>
              <w:spacing w:after="120"/>
              <w:rPr>
                <w:sz w:val="18"/>
                <w:szCs w:val="18"/>
                <w:lang w:val="en-GB" w:bidi="th-TH"/>
              </w:rPr>
            </w:pPr>
            <w:r w:rsidRPr="00066D16">
              <w:rPr>
                <w:sz w:val="18"/>
                <w:szCs w:val="18"/>
                <w:lang w:val="en-GB" w:bidi="th-TH"/>
              </w:rPr>
              <w:t>- Is the project area in or close to -</w:t>
            </w:r>
          </w:p>
        </w:tc>
        <w:tc>
          <w:tcPr>
            <w:tcW w:w="709" w:type="pct"/>
            <w:shd w:val="clear" w:color="auto" w:fill="A6A6A6"/>
          </w:tcPr>
          <w:p w14:paraId="3CCFFBE9" w14:textId="77777777" w:rsidR="00066D16" w:rsidRPr="00066D16" w:rsidRDefault="00066D16" w:rsidP="00066D16">
            <w:pPr>
              <w:spacing w:after="120"/>
              <w:jc w:val="center"/>
              <w:rPr>
                <w:sz w:val="18"/>
                <w:szCs w:val="18"/>
                <w:highlight w:val="darkGray"/>
                <w:lang w:val="en-GB" w:bidi="th-TH"/>
              </w:rPr>
            </w:pPr>
          </w:p>
        </w:tc>
        <w:tc>
          <w:tcPr>
            <w:tcW w:w="3162" w:type="pct"/>
            <w:shd w:val="clear" w:color="auto" w:fill="A6A6A6"/>
          </w:tcPr>
          <w:p w14:paraId="11FFFBF4" w14:textId="77777777" w:rsidR="00066D16" w:rsidRPr="00066D16" w:rsidRDefault="00066D16" w:rsidP="00066D16">
            <w:pPr>
              <w:spacing w:after="120"/>
              <w:rPr>
                <w:sz w:val="18"/>
                <w:szCs w:val="18"/>
                <w:highlight w:val="darkGray"/>
                <w:lang w:val="en-GB" w:bidi="th-TH"/>
              </w:rPr>
            </w:pPr>
          </w:p>
        </w:tc>
      </w:tr>
      <w:tr w:rsidR="00066D16" w:rsidRPr="00066D16" w14:paraId="6D8AF73A" w14:textId="77777777" w:rsidTr="00D5094C">
        <w:tc>
          <w:tcPr>
            <w:tcW w:w="1129" w:type="pct"/>
          </w:tcPr>
          <w:p w14:paraId="312602E1" w14:textId="77777777" w:rsidR="00066D16" w:rsidRPr="00066D16" w:rsidRDefault="00066D16" w:rsidP="00066D16">
            <w:pPr>
              <w:spacing w:after="120"/>
              <w:ind w:left="284"/>
              <w:rPr>
                <w:sz w:val="18"/>
                <w:szCs w:val="18"/>
                <w:lang w:val="en-GB" w:bidi="th-TH"/>
              </w:rPr>
            </w:pPr>
            <w:r w:rsidRPr="00066D16">
              <w:rPr>
                <w:sz w:val="18"/>
                <w:szCs w:val="18"/>
                <w:lang w:val="en-GB" w:bidi="th-TH"/>
              </w:rPr>
              <w:t>- densely populated area</w:t>
            </w:r>
          </w:p>
        </w:tc>
        <w:tc>
          <w:tcPr>
            <w:tcW w:w="709" w:type="pct"/>
          </w:tcPr>
          <w:p w14:paraId="1A4943F0" w14:textId="77777777" w:rsidR="00066D16" w:rsidRPr="00066D16" w:rsidRDefault="00066D16" w:rsidP="00066D16">
            <w:pPr>
              <w:jc w:val="center"/>
              <w:rPr>
                <w:sz w:val="18"/>
                <w:szCs w:val="18"/>
                <w:lang w:val="en-GB" w:bidi="th-TH"/>
              </w:rPr>
            </w:pPr>
            <w:r w:rsidRPr="00066D16">
              <w:rPr>
                <w:sz w:val="18"/>
                <w:szCs w:val="18"/>
                <w:lang w:val="en-GB" w:bidi="th-TH"/>
              </w:rPr>
              <w:t>Yes</w:t>
            </w:r>
          </w:p>
        </w:tc>
        <w:tc>
          <w:tcPr>
            <w:tcW w:w="3162" w:type="pct"/>
          </w:tcPr>
          <w:p w14:paraId="07C00BA2" w14:textId="77777777" w:rsidR="00066D16" w:rsidRPr="00066D16" w:rsidRDefault="00066D16" w:rsidP="00066D16">
            <w:pPr>
              <w:spacing w:after="120"/>
              <w:rPr>
                <w:sz w:val="18"/>
                <w:szCs w:val="18"/>
                <w:lang w:val="en-GB" w:bidi="th-TH"/>
              </w:rPr>
            </w:pPr>
            <w:r w:rsidRPr="00066D16">
              <w:rPr>
                <w:sz w:val="18"/>
                <w:szCs w:val="18"/>
                <w:lang w:val="en-GB" w:bidi="th-TH"/>
              </w:rPr>
              <w:t>All sites are densely populated and characterised by multiple environmental and social compromises, including conflicts over near shore use. Specific project activities focus on development of locally appropriate spatial planning solutions to minimise conflict and improved security.</w:t>
            </w:r>
          </w:p>
        </w:tc>
      </w:tr>
      <w:tr w:rsidR="00066D16" w:rsidRPr="00066D16" w14:paraId="508FEDBA" w14:textId="77777777" w:rsidTr="00D5094C">
        <w:tc>
          <w:tcPr>
            <w:tcW w:w="1129" w:type="pct"/>
          </w:tcPr>
          <w:p w14:paraId="073B60D0" w14:textId="77777777" w:rsidR="00066D16" w:rsidRPr="00066D16" w:rsidRDefault="00066D16" w:rsidP="00066D16">
            <w:pPr>
              <w:spacing w:after="120"/>
              <w:ind w:left="284"/>
              <w:rPr>
                <w:sz w:val="18"/>
                <w:szCs w:val="18"/>
                <w:lang w:val="en-GB" w:bidi="th-TH"/>
              </w:rPr>
            </w:pPr>
            <w:r w:rsidRPr="00066D16">
              <w:rPr>
                <w:sz w:val="18"/>
                <w:szCs w:val="18"/>
                <w:lang w:val="en-GB" w:bidi="th-TH"/>
              </w:rPr>
              <w:t>- cultural heritage site</w:t>
            </w:r>
          </w:p>
        </w:tc>
        <w:tc>
          <w:tcPr>
            <w:tcW w:w="709" w:type="pct"/>
          </w:tcPr>
          <w:p w14:paraId="0BFDBF0B" w14:textId="77777777" w:rsidR="00066D16" w:rsidRPr="00066D16" w:rsidRDefault="00066D16" w:rsidP="00066D16">
            <w:pPr>
              <w:jc w:val="center"/>
              <w:rPr>
                <w:sz w:val="18"/>
                <w:szCs w:val="18"/>
                <w:lang w:val="en-GB" w:bidi="th-TH"/>
              </w:rPr>
            </w:pPr>
            <w:r w:rsidRPr="00066D16">
              <w:rPr>
                <w:sz w:val="18"/>
                <w:szCs w:val="18"/>
                <w:lang w:val="en-GB" w:bidi="th-TH"/>
              </w:rPr>
              <w:t>No</w:t>
            </w:r>
          </w:p>
        </w:tc>
        <w:tc>
          <w:tcPr>
            <w:tcW w:w="3162" w:type="pct"/>
          </w:tcPr>
          <w:p w14:paraId="2096B44F" w14:textId="77777777" w:rsidR="00066D16" w:rsidRPr="00066D16" w:rsidRDefault="00066D16" w:rsidP="00066D16">
            <w:pPr>
              <w:spacing w:after="120"/>
              <w:rPr>
                <w:sz w:val="18"/>
                <w:szCs w:val="18"/>
                <w:lang w:val="en-GB" w:bidi="th-TH"/>
              </w:rPr>
            </w:pPr>
            <w:r w:rsidRPr="00066D16">
              <w:rPr>
                <w:sz w:val="18"/>
                <w:szCs w:val="18"/>
                <w:lang w:val="en-GB" w:bidi="th-TH"/>
              </w:rPr>
              <w:t>No project activities are planned in or adjacent to cultural heritage sites.</w:t>
            </w:r>
          </w:p>
        </w:tc>
      </w:tr>
      <w:tr w:rsidR="00066D16" w:rsidRPr="00066D16" w14:paraId="3B04D039" w14:textId="77777777" w:rsidTr="00D5094C">
        <w:tc>
          <w:tcPr>
            <w:tcW w:w="1129" w:type="pct"/>
          </w:tcPr>
          <w:p w14:paraId="3C9FC6CC" w14:textId="77777777" w:rsidR="00066D16" w:rsidRPr="00066D16" w:rsidRDefault="00066D16" w:rsidP="00066D16">
            <w:pPr>
              <w:spacing w:after="120"/>
              <w:ind w:left="284"/>
              <w:rPr>
                <w:sz w:val="18"/>
                <w:szCs w:val="18"/>
                <w:lang w:val="en-GB" w:bidi="th-TH"/>
              </w:rPr>
            </w:pPr>
            <w:r w:rsidRPr="00066D16">
              <w:rPr>
                <w:sz w:val="18"/>
                <w:szCs w:val="18"/>
                <w:lang w:val="en-GB" w:bidi="th-TH"/>
              </w:rPr>
              <w:t>- protected area</w:t>
            </w:r>
          </w:p>
        </w:tc>
        <w:tc>
          <w:tcPr>
            <w:tcW w:w="709" w:type="pct"/>
          </w:tcPr>
          <w:p w14:paraId="589A4BDC" w14:textId="77777777" w:rsidR="00066D16" w:rsidRPr="00066D16" w:rsidRDefault="00066D16" w:rsidP="00066D16">
            <w:pPr>
              <w:jc w:val="center"/>
              <w:rPr>
                <w:sz w:val="18"/>
                <w:szCs w:val="18"/>
                <w:lang w:val="en-GB" w:bidi="th-TH"/>
              </w:rPr>
            </w:pPr>
            <w:r w:rsidRPr="00066D16">
              <w:rPr>
                <w:sz w:val="18"/>
                <w:szCs w:val="18"/>
                <w:lang w:val="en-GB" w:bidi="th-TH"/>
              </w:rPr>
              <w:t>Yes</w:t>
            </w:r>
          </w:p>
        </w:tc>
        <w:tc>
          <w:tcPr>
            <w:tcW w:w="3162" w:type="pct"/>
          </w:tcPr>
          <w:p w14:paraId="325D2943" w14:textId="77777777" w:rsidR="00066D16" w:rsidRPr="00066D16" w:rsidRDefault="00066D16" w:rsidP="00066D16">
            <w:pPr>
              <w:spacing w:after="120"/>
              <w:rPr>
                <w:sz w:val="18"/>
                <w:szCs w:val="18"/>
                <w:lang w:val="en-GB" w:bidi="th-TH"/>
              </w:rPr>
            </w:pPr>
            <w:r w:rsidRPr="00066D16">
              <w:rPr>
                <w:sz w:val="18"/>
                <w:szCs w:val="18"/>
                <w:lang w:val="en-GB" w:bidi="th-TH"/>
              </w:rPr>
              <w:t>Consultative processes in the delineating boundaries and establishing management protected areas etc are designed to ensure that establishment of management area do not create any external impacts on nearby protected areas.</w:t>
            </w:r>
          </w:p>
        </w:tc>
      </w:tr>
      <w:tr w:rsidR="00066D16" w:rsidRPr="00066D16" w14:paraId="37FD23F0" w14:textId="77777777" w:rsidTr="00D5094C">
        <w:tc>
          <w:tcPr>
            <w:tcW w:w="1129" w:type="pct"/>
          </w:tcPr>
          <w:p w14:paraId="42B4EF3A" w14:textId="77777777" w:rsidR="00066D16" w:rsidRPr="00066D16" w:rsidRDefault="00066D16" w:rsidP="00066D16">
            <w:pPr>
              <w:spacing w:after="120"/>
              <w:ind w:left="284"/>
              <w:rPr>
                <w:sz w:val="18"/>
                <w:szCs w:val="18"/>
                <w:lang w:val="en-GB" w:bidi="th-TH"/>
              </w:rPr>
            </w:pPr>
            <w:r w:rsidRPr="00066D16">
              <w:rPr>
                <w:sz w:val="18"/>
                <w:szCs w:val="18"/>
                <w:lang w:val="en-GB" w:bidi="th-TH"/>
              </w:rPr>
              <w:t>- wetland</w:t>
            </w:r>
          </w:p>
        </w:tc>
        <w:tc>
          <w:tcPr>
            <w:tcW w:w="709" w:type="pct"/>
          </w:tcPr>
          <w:p w14:paraId="324A59B7" w14:textId="77777777" w:rsidR="00066D16" w:rsidRPr="00066D16" w:rsidRDefault="00066D16" w:rsidP="00066D16">
            <w:pPr>
              <w:jc w:val="center"/>
              <w:rPr>
                <w:sz w:val="18"/>
                <w:szCs w:val="18"/>
                <w:lang w:val="en-GB" w:bidi="th-TH"/>
              </w:rPr>
            </w:pPr>
            <w:r w:rsidRPr="00066D16">
              <w:rPr>
                <w:sz w:val="18"/>
                <w:szCs w:val="18"/>
                <w:lang w:val="en-GB" w:bidi="th-TH"/>
              </w:rPr>
              <w:t>Yes</w:t>
            </w:r>
          </w:p>
        </w:tc>
        <w:tc>
          <w:tcPr>
            <w:tcW w:w="3162" w:type="pct"/>
          </w:tcPr>
          <w:p w14:paraId="69608C8E" w14:textId="77777777" w:rsidR="00066D16" w:rsidRPr="00066D16" w:rsidRDefault="00066D16" w:rsidP="00066D16">
            <w:pPr>
              <w:spacing w:after="120"/>
              <w:rPr>
                <w:sz w:val="18"/>
                <w:szCs w:val="18"/>
                <w:lang w:val="en-GB" w:bidi="th-TH"/>
              </w:rPr>
            </w:pPr>
            <w:r w:rsidRPr="00066D16">
              <w:rPr>
                <w:sz w:val="18"/>
                <w:szCs w:val="18"/>
                <w:lang w:val="en-GB" w:bidi="th-TH"/>
              </w:rPr>
              <w:t>Information and data collection will be undertaken in wetland areas and will result in no additional impact from project activities.</w:t>
            </w:r>
          </w:p>
        </w:tc>
      </w:tr>
      <w:tr w:rsidR="00066D16" w:rsidRPr="00066D16" w14:paraId="0AE67B5A" w14:textId="77777777" w:rsidTr="00D5094C">
        <w:tc>
          <w:tcPr>
            <w:tcW w:w="1129" w:type="pct"/>
          </w:tcPr>
          <w:p w14:paraId="05588DCD" w14:textId="77777777" w:rsidR="00066D16" w:rsidRPr="00066D16" w:rsidRDefault="00066D16" w:rsidP="00066D16">
            <w:pPr>
              <w:spacing w:after="120"/>
              <w:ind w:left="284"/>
              <w:rPr>
                <w:sz w:val="18"/>
                <w:szCs w:val="18"/>
                <w:lang w:val="en-GB" w:bidi="th-TH"/>
              </w:rPr>
            </w:pPr>
            <w:r w:rsidRPr="00066D16">
              <w:rPr>
                <w:sz w:val="18"/>
                <w:szCs w:val="18"/>
                <w:lang w:val="en-GB" w:bidi="th-TH"/>
              </w:rPr>
              <w:t>- mangrove</w:t>
            </w:r>
          </w:p>
        </w:tc>
        <w:tc>
          <w:tcPr>
            <w:tcW w:w="709" w:type="pct"/>
          </w:tcPr>
          <w:p w14:paraId="31449C42" w14:textId="77777777" w:rsidR="00066D16" w:rsidRPr="00066D16" w:rsidRDefault="00066D16" w:rsidP="00066D16">
            <w:pPr>
              <w:jc w:val="center"/>
              <w:rPr>
                <w:sz w:val="18"/>
                <w:szCs w:val="18"/>
                <w:lang w:val="en-GB" w:bidi="th-TH"/>
              </w:rPr>
            </w:pPr>
            <w:r w:rsidRPr="00066D16">
              <w:rPr>
                <w:sz w:val="18"/>
                <w:szCs w:val="18"/>
                <w:lang w:val="en-GB" w:bidi="th-TH"/>
              </w:rPr>
              <w:t>Yes</w:t>
            </w:r>
          </w:p>
        </w:tc>
        <w:tc>
          <w:tcPr>
            <w:tcW w:w="3162" w:type="pct"/>
          </w:tcPr>
          <w:p w14:paraId="302B5EF4" w14:textId="77777777" w:rsidR="00066D16" w:rsidRPr="00066D16" w:rsidRDefault="00066D16" w:rsidP="00066D16">
            <w:pPr>
              <w:spacing w:after="120"/>
              <w:rPr>
                <w:sz w:val="18"/>
                <w:szCs w:val="18"/>
                <w:lang w:val="en-GB" w:bidi="th-TH"/>
              </w:rPr>
            </w:pPr>
            <w:r w:rsidRPr="00066D16">
              <w:rPr>
                <w:sz w:val="18"/>
                <w:szCs w:val="18"/>
                <w:lang w:val="en-GB" w:bidi="th-TH"/>
              </w:rPr>
              <w:t>Information and data collection will be undertaken in mangrove areas and will result in no additional impact from project activities.</w:t>
            </w:r>
          </w:p>
        </w:tc>
      </w:tr>
      <w:tr w:rsidR="00066D16" w:rsidRPr="00066D16" w14:paraId="5264820F" w14:textId="77777777" w:rsidTr="00D5094C">
        <w:tc>
          <w:tcPr>
            <w:tcW w:w="1129" w:type="pct"/>
          </w:tcPr>
          <w:p w14:paraId="4716F4D3" w14:textId="77777777" w:rsidR="00066D16" w:rsidRPr="00066D16" w:rsidRDefault="00066D16" w:rsidP="00066D16">
            <w:pPr>
              <w:spacing w:after="120"/>
              <w:ind w:left="284"/>
              <w:rPr>
                <w:sz w:val="18"/>
                <w:szCs w:val="18"/>
                <w:lang w:val="en-GB" w:bidi="th-TH"/>
              </w:rPr>
            </w:pPr>
            <w:r w:rsidRPr="00066D16">
              <w:rPr>
                <w:sz w:val="18"/>
                <w:szCs w:val="18"/>
                <w:lang w:val="en-GB" w:bidi="th-TH"/>
              </w:rPr>
              <w:t>- estuarine</w:t>
            </w:r>
          </w:p>
        </w:tc>
        <w:tc>
          <w:tcPr>
            <w:tcW w:w="709" w:type="pct"/>
          </w:tcPr>
          <w:p w14:paraId="56BB2748" w14:textId="77777777" w:rsidR="00066D16" w:rsidRPr="00066D16" w:rsidRDefault="00066D16" w:rsidP="00066D16">
            <w:pPr>
              <w:jc w:val="center"/>
              <w:rPr>
                <w:sz w:val="18"/>
                <w:szCs w:val="18"/>
                <w:lang w:val="en-GB" w:bidi="th-TH"/>
              </w:rPr>
            </w:pPr>
            <w:r w:rsidRPr="00066D16">
              <w:rPr>
                <w:sz w:val="18"/>
                <w:szCs w:val="18"/>
                <w:lang w:val="en-GB" w:bidi="th-TH"/>
              </w:rPr>
              <w:t>No</w:t>
            </w:r>
          </w:p>
        </w:tc>
        <w:tc>
          <w:tcPr>
            <w:tcW w:w="3162" w:type="pct"/>
          </w:tcPr>
          <w:p w14:paraId="64DECCD2" w14:textId="77777777" w:rsidR="00066D16" w:rsidRPr="00066D16" w:rsidRDefault="00066D16" w:rsidP="00066D16">
            <w:pPr>
              <w:spacing w:after="120"/>
              <w:rPr>
                <w:sz w:val="18"/>
                <w:szCs w:val="18"/>
                <w:lang w:val="en-GB" w:bidi="th-TH"/>
              </w:rPr>
            </w:pPr>
            <w:r w:rsidRPr="00066D16">
              <w:rPr>
                <w:sz w:val="18"/>
                <w:szCs w:val="18"/>
                <w:lang w:val="en-GB" w:bidi="th-TH"/>
              </w:rPr>
              <w:t>Information and data collection will be undertaken in estuarine areas and will result in no additional impact from project activities.</w:t>
            </w:r>
          </w:p>
        </w:tc>
      </w:tr>
      <w:tr w:rsidR="00066D16" w:rsidRPr="00066D16" w14:paraId="1C6426AA" w14:textId="77777777" w:rsidTr="00D5094C">
        <w:tc>
          <w:tcPr>
            <w:tcW w:w="1129" w:type="pct"/>
          </w:tcPr>
          <w:p w14:paraId="74DE5742" w14:textId="77777777" w:rsidR="00066D16" w:rsidRPr="00066D16" w:rsidRDefault="00066D16" w:rsidP="00066D16">
            <w:pPr>
              <w:tabs>
                <w:tab w:val="left" w:pos="1440"/>
                <w:tab w:val="right" w:leader="dot" w:pos="9000"/>
              </w:tabs>
              <w:spacing w:after="120"/>
              <w:ind w:left="284"/>
              <w:rPr>
                <w:sz w:val="18"/>
                <w:szCs w:val="18"/>
                <w:lang w:val="en-GB" w:bidi="th-TH"/>
              </w:rPr>
            </w:pPr>
            <w:r w:rsidRPr="00066D16">
              <w:rPr>
                <w:sz w:val="18"/>
                <w:szCs w:val="18"/>
                <w:lang w:val="en-GB" w:bidi="th-TH"/>
              </w:rPr>
              <w:t>- buffer zone of protected area</w:t>
            </w:r>
          </w:p>
        </w:tc>
        <w:tc>
          <w:tcPr>
            <w:tcW w:w="709" w:type="pct"/>
          </w:tcPr>
          <w:p w14:paraId="10C668B4" w14:textId="77777777" w:rsidR="00066D16" w:rsidRPr="00066D16" w:rsidRDefault="00066D16" w:rsidP="00066D16">
            <w:pPr>
              <w:tabs>
                <w:tab w:val="left" w:pos="1440"/>
                <w:tab w:val="right" w:leader="dot" w:pos="9000"/>
              </w:tabs>
              <w:jc w:val="center"/>
              <w:rPr>
                <w:sz w:val="18"/>
                <w:szCs w:val="18"/>
                <w:lang w:val="en-GB" w:bidi="th-TH"/>
              </w:rPr>
            </w:pPr>
            <w:r w:rsidRPr="00066D16">
              <w:rPr>
                <w:sz w:val="18"/>
                <w:szCs w:val="18"/>
                <w:lang w:val="en-GB" w:bidi="th-TH"/>
              </w:rPr>
              <w:t>No</w:t>
            </w:r>
          </w:p>
        </w:tc>
        <w:tc>
          <w:tcPr>
            <w:tcW w:w="3162" w:type="pct"/>
          </w:tcPr>
          <w:p w14:paraId="26AB8042" w14:textId="77777777" w:rsidR="00066D16" w:rsidRPr="00066D16" w:rsidRDefault="00066D16" w:rsidP="00066D16">
            <w:pPr>
              <w:spacing w:after="120"/>
              <w:rPr>
                <w:sz w:val="18"/>
                <w:szCs w:val="18"/>
                <w:lang w:val="en-GB" w:bidi="th-TH"/>
              </w:rPr>
            </w:pPr>
            <w:r w:rsidRPr="00066D16">
              <w:rPr>
                <w:sz w:val="18"/>
                <w:szCs w:val="18"/>
                <w:lang w:val="en-GB" w:bidi="th-TH"/>
              </w:rPr>
              <w:t>No project activities are planned in or close to any buffer zone of protected areas in the vicinity of the priority sites of this project.</w:t>
            </w:r>
          </w:p>
        </w:tc>
      </w:tr>
      <w:tr w:rsidR="00066D16" w:rsidRPr="00066D16" w14:paraId="5D85E84E" w14:textId="77777777" w:rsidTr="00D5094C">
        <w:tc>
          <w:tcPr>
            <w:tcW w:w="1129" w:type="pct"/>
          </w:tcPr>
          <w:p w14:paraId="492C148F" w14:textId="77777777" w:rsidR="00066D16" w:rsidRPr="00066D16" w:rsidRDefault="00066D16" w:rsidP="00066D16">
            <w:pPr>
              <w:tabs>
                <w:tab w:val="left" w:pos="1440"/>
                <w:tab w:val="right" w:leader="dot" w:pos="9000"/>
              </w:tabs>
              <w:spacing w:after="120"/>
              <w:ind w:left="284"/>
              <w:rPr>
                <w:sz w:val="18"/>
                <w:szCs w:val="18"/>
                <w:lang w:val="en-GB" w:bidi="th-TH"/>
              </w:rPr>
            </w:pPr>
            <w:r w:rsidRPr="00066D16">
              <w:rPr>
                <w:sz w:val="18"/>
                <w:szCs w:val="18"/>
                <w:lang w:val="en-GB" w:bidi="th-TH"/>
              </w:rPr>
              <w:t>- special area for protection of biodiversity</w:t>
            </w:r>
          </w:p>
        </w:tc>
        <w:tc>
          <w:tcPr>
            <w:tcW w:w="709" w:type="pct"/>
          </w:tcPr>
          <w:p w14:paraId="3B1D92C2" w14:textId="77777777" w:rsidR="00066D16" w:rsidRPr="00066D16" w:rsidRDefault="00066D16" w:rsidP="00066D16">
            <w:pPr>
              <w:tabs>
                <w:tab w:val="left" w:pos="1440"/>
                <w:tab w:val="right" w:leader="dot" w:pos="9000"/>
              </w:tabs>
              <w:jc w:val="center"/>
              <w:rPr>
                <w:sz w:val="18"/>
                <w:szCs w:val="18"/>
                <w:lang w:val="en-GB" w:bidi="th-TH"/>
              </w:rPr>
            </w:pPr>
            <w:r w:rsidRPr="00066D16">
              <w:rPr>
                <w:sz w:val="18"/>
                <w:szCs w:val="18"/>
                <w:lang w:val="en-GB" w:bidi="th-TH"/>
              </w:rPr>
              <w:t>No</w:t>
            </w:r>
          </w:p>
        </w:tc>
        <w:tc>
          <w:tcPr>
            <w:tcW w:w="3162" w:type="pct"/>
          </w:tcPr>
          <w:p w14:paraId="7893EA06" w14:textId="77777777" w:rsidR="00066D16" w:rsidRPr="00066D16" w:rsidRDefault="00066D16" w:rsidP="00066D16">
            <w:pPr>
              <w:tabs>
                <w:tab w:val="left" w:pos="1440"/>
                <w:tab w:val="right" w:leader="dot" w:pos="9000"/>
              </w:tabs>
              <w:spacing w:after="120"/>
              <w:rPr>
                <w:sz w:val="18"/>
                <w:szCs w:val="18"/>
                <w:lang w:val="en-GB" w:bidi="th-TH"/>
              </w:rPr>
            </w:pPr>
            <w:r w:rsidRPr="00066D16">
              <w:rPr>
                <w:sz w:val="18"/>
                <w:szCs w:val="18"/>
                <w:lang w:val="en-GB" w:bidi="th-TH"/>
              </w:rPr>
              <w:t>No project activities are planned in or close to any special area for protection of biodiversity.</w:t>
            </w:r>
          </w:p>
        </w:tc>
      </w:tr>
      <w:tr w:rsidR="00066D16" w:rsidRPr="00066D16" w14:paraId="4863FD8F" w14:textId="77777777" w:rsidTr="00D5094C">
        <w:tc>
          <w:tcPr>
            <w:tcW w:w="1129" w:type="pct"/>
          </w:tcPr>
          <w:p w14:paraId="752DE98D" w14:textId="77777777" w:rsidR="00066D16" w:rsidRPr="00066D16" w:rsidRDefault="00066D16" w:rsidP="00066D16">
            <w:pPr>
              <w:tabs>
                <w:tab w:val="left" w:pos="1440"/>
                <w:tab w:val="right" w:leader="dot" w:pos="9000"/>
              </w:tabs>
              <w:spacing w:after="120"/>
              <w:rPr>
                <w:sz w:val="18"/>
                <w:szCs w:val="18"/>
                <w:lang w:val="en-GB" w:bidi="th-TH"/>
              </w:rPr>
            </w:pPr>
            <w:r w:rsidRPr="00066D16">
              <w:rPr>
                <w:sz w:val="18"/>
                <w:szCs w:val="18"/>
                <w:lang w:val="en-GB" w:bidi="th-TH"/>
              </w:rPr>
              <w:t>- Will project require temporary or permanent support facilities?</w:t>
            </w:r>
          </w:p>
        </w:tc>
        <w:tc>
          <w:tcPr>
            <w:tcW w:w="709" w:type="pct"/>
          </w:tcPr>
          <w:p w14:paraId="7D65B1AB" w14:textId="77777777" w:rsidR="00066D16" w:rsidRPr="00066D16" w:rsidRDefault="00066D16" w:rsidP="00066D16">
            <w:pPr>
              <w:tabs>
                <w:tab w:val="left" w:pos="1440"/>
                <w:tab w:val="right" w:leader="dot" w:pos="9000"/>
              </w:tabs>
              <w:jc w:val="center"/>
              <w:rPr>
                <w:sz w:val="18"/>
                <w:szCs w:val="18"/>
                <w:lang w:val="en-GB" w:bidi="th-TH"/>
              </w:rPr>
            </w:pPr>
            <w:r w:rsidRPr="00066D16">
              <w:rPr>
                <w:sz w:val="18"/>
                <w:szCs w:val="18"/>
                <w:lang w:val="en-GB" w:bidi="th-TH"/>
              </w:rPr>
              <w:t>No</w:t>
            </w:r>
          </w:p>
        </w:tc>
        <w:tc>
          <w:tcPr>
            <w:tcW w:w="3162" w:type="pct"/>
          </w:tcPr>
          <w:p w14:paraId="415DD93E" w14:textId="77777777" w:rsidR="00066D16" w:rsidRPr="00066D16" w:rsidRDefault="00066D16" w:rsidP="00066D16">
            <w:pPr>
              <w:tabs>
                <w:tab w:val="left" w:pos="1440"/>
                <w:tab w:val="right" w:leader="dot" w:pos="9000"/>
              </w:tabs>
              <w:spacing w:after="120"/>
              <w:rPr>
                <w:sz w:val="18"/>
                <w:szCs w:val="18"/>
                <w:lang w:val="en-GB" w:bidi="th-TH"/>
              </w:rPr>
            </w:pPr>
            <w:r w:rsidRPr="00066D16">
              <w:rPr>
                <w:sz w:val="18"/>
                <w:szCs w:val="18"/>
                <w:lang w:val="en-GB" w:bidi="th-TH"/>
              </w:rPr>
              <w:t>No temporary or permanent support facilities are required.</w:t>
            </w:r>
          </w:p>
        </w:tc>
      </w:tr>
    </w:tbl>
    <w:p w14:paraId="3F032F37" w14:textId="77777777" w:rsidR="00066D16" w:rsidRPr="00066D16" w:rsidRDefault="00066D16" w:rsidP="00066D16">
      <w:pPr>
        <w:jc w:val="both"/>
        <w:rPr>
          <w:sz w:val="20"/>
          <w:szCs w:val="20"/>
          <w:lang w:val="en-GB"/>
        </w:rPr>
      </w:pPr>
    </w:p>
    <w:p w14:paraId="783729C4" w14:textId="77777777" w:rsidR="00066D16" w:rsidRPr="00066D16" w:rsidRDefault="00066D16" w:rsidP="00066D16">
      <w:pPr>
        <w:spacing w:after="120"/>
        <w:jc w:val="both"/>
        <w:rPr>
          <w:b/>
          <w:bCs/>
          <w:i/>
          <w:iCs/>
          <w:sz w:val="20"/>
          <w:szCs w:val="20"/>
          <w:lang w:val="en-GB"/>
        </w:rPr>
      </w:pPr>
      <w:r w:rsidRPr="00066D16">
        <w:rPr>
          <w:b/>
          <w:bCs/>
          <w:i/>
          <w:iCs/>
          <w:sz w:val="20"/>
          <w:szCs w:val="20"/>
          <w:lang w:val="en-GB"/>
        </w:rPr>
        <w:t>(b) Environmental Impacts</w:t>
      </w:r>
    </w:p>
    <w:tbl>
      <w:tblPr>
        <w:tblW w:w="9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30"/>
        <w:gridCol w:w="1203"/>
        <w:gridCol w:w="5737"/>
      </w:tblGrid>
      <w:tr w:rsidR="00066D16" w:rsidRPr="00066D16" w14:paraId="0E0FDAED" w14:textId="77777777" w:rsidTr="00D5094C">
        <w:tc>
          <w:tcPr>
            <w:tcW w:w="2230" w:type="dxa"/>
            <w:shd w:val="clear" w:color="auto" w:fill="B3B3B3"/>
          </w:tcPr>
          <w:p w14:paraId="774A4DC5" w14:textId="77777777" w:rsidR="00066D16" w:rsidRPr="00066D16" w:rsidRDefault="00066D16" w:rsidP="00066D16">
            <w:pPr>
              <w:rPr>
                <w:i/>
                <w:iCs/>
                <w:sz w:val="18"/>
                <w:szCs w:val="18"/>
                <w:lang w:val="en-GB" w:bidi="th-TH"/>
              </w:rPr>
            </w:pPr>
          </w:p>
        </w:tc>
        <w:tc>
          <w:tcPr>
            <w:tcW w:w="1203" w:type="dxa"/>
            <w:shd w:val="clear" w:color="auto" w:fill="B3B3B3"/>
          </w:tcPr>
          <w:p w14:paraId="78966B49" w14:textId="77777777" w:rsidR="00066D16" w:rsidRPr="00066D16" w:rsidRDefault="00066D16" w:rsidP="00066D16">
            <w:pPr>
              <w:jc w:val="center"/>
              <w:rPr>
                <w:i/>
                <w:iCs/>
                <w:sz w:val="18"/>
                <w:szCs w:val="18"/>
                <w:lang w:val="en-GB" w:bidi="th-TH"/>
              </w:rPr>
            </w:pPr>
            <w:r w:rsidRPr="00066D16">
              <w:rPr>
                <w:i/>
                <w:iCs/>
                <w:sz w:val="18"/>
                <w:szCs w:val="18"/>
                <w:lang w:val="en-GB" w:bidi="th-TH"/>
              </w:rPr>
              <w:t>Yes/No/N.A.</w:t>
            </w:r>
          </w:p>
        </w:tc>
        <w:tc>
          <w:tcPr>
            <w:tcW w:w="5737" w:type="dxa"/>
            <w:shd w:val="clear" w:color="auto" w:fill="B3B3B3"/>
          </w:tcPr>
          <w:p w14:paraId="3D9EBEF0" w14:textId="77777777" w:rsidR="00066D16" w:rsidRPr="00066D16" w:rsidRDefault="00066D16" w:rsidP="00066D16">
            <w:pPr>
              <w:rPr>
                <w:i/>
                <w:iCs/>
                <w:sz w:val="18"/>
                <w:szCs w:val="18"/>
                <w:lang w:val="en-GB" w:bidi="th-TH"/>
              </w:rPr>
            </w:pPr>
            <w:r w:rsidRPr="00066D16">
              <w:rPr>
                <w:i/>
                <w:iCs/>
                <w:sz w:val="18"/>
                <w:szCs w:val="18"/>
                <w:lang w:val="en-GB" w:bidi="th-TH"/>
              </w:rPr>
              <w:t>Comment/explanation</w:t>
            </w:r>
          </w:p>
        </w:tc>
      </w:tr>
      <w:tr w:rsidR="00066D16" w:rsidRPr="00066D16" w14:paraId="5FD26B99" w14:textId="77777777" w:rsidTr="00D5094C">
        <w:tc>
          <w:tcPr>
            <w:tcW w:w="2230" w:type="dxa"/>
          </w:tcPr>
          <w:p w14:paraId="114E727E" w14:textId="77777777" w:rsidR="00066D16" w:rsidRPr="00066D16" w:rsidRDefault="00066D16" w:rsidP="00066D16">
            <w:pPr>
              <w:spacing w:after="120"/>
              <w:rPr>
                <w:sz w:val="18"/>
                <w:szCs w:val="18"/>
                <w:lang w:val="en-GB" w:bidi="th-TH"/>
              </w:rPr>
            </w:pPr>
            <w:r w:rsidRPr="00066D16">
              <w:rPr>
                <w:sz w:val="18"/>
                <w:szCs w:val="18"/>
                <w:lang w:val="en-GB" w:bidi="th-TH"/>
              </w:rPr>
              <w:t>- Are ecosystems related to project fragile or degraded?</w:t>
            </w:r>
          </w:p>
        </w:tc>
        <w:tc>
          <w:tcPr>
            <w:tcW w:w="1203" w:type="dxa"/>
          </w:tcPr>
          <w:p w14:paraId="098B0EB0" w14:textId="77777777" w:rsidR="00066D16" w:rsidRPr="00066D16" w:rsidRDefault="00066D16" w:rsidP="00066D16">
            <w:pPr>
              <w:spacing w:after="120"/>
              <w:jc w:val="center"/>
              <w:rPr>
                <w:sz w:val="18"/>
                <w:szCs w:val="18"/>
                <w:lang w:val="en-GB" w:bidi="th-TH"/>
              </w:rPr>
            </w:pPr>
            <w:r w:rsidRPr="00066D16">
              <w:rPr>
                <w:sz w:val="18"/>
                <w:szCs w:val="18"/>
                <w:lang w:val="en-GB" w:bidi="th-TH"/>
              </w:rPr>
              <w:t>Yes</w:t>
            </w:r>
          </w:p>
        </w:tc>
        <w:tc>
          <w:tcPr>
            <w:tcW w:w="5737" w:type="dxa"/>
          </w:tcPr>
          <w:p w14:paraId="36BF3148" w14:textId="77777777" w:rsidR="00066D16" w:rsidRPr="00066D16" w:rsidRDefault="00066D16" w:rsidP="00066D16">
            <w:pPr>
              <w:spacing w:after="120"/>
              <w:rPr>
                <w:sz w:val="18"/>
                <w:szCs w:val="18"/>
                <w:lang w:val="en-GB" w:bidi="th-TH"/>
              </w:rPr>
            </w:pPr>
            <w:r w:rsidRPr="00066D16">
              <w:rPr>
                <w:sz w:val="18"/>
                <w:szCs w:val="18"/>
                <w:lang w:val="en-GB" w:bidi="th-TH"/>
              </w:rPr>
              <w:t>All project sites contain fragile and degraded coastal habitats. Project activities aim to reverse degradation of these habitats and contribute to their longer-term sustainable use.</w:t>
            </w:r>
          </w:p>
        </w:tc>
      </w:tr>
      <w:tr w:rsidR="00066D16" w:rsidRPr="00066D16" w14:paraId="30BC9551" w14:textId="77777777" w:rsidTr="00D5094C">
        <w:tc>
          <w:tcPr>
            <w:tcW w:w="2230" w:type="dxa"/>
          </w:tcPr>
          <w:p w14:paraId="2676C19F" w14:textId="77777777" w:rsidR="00066D16" w:rsidRPr="00066D16" w:rsidRDefault="00066D16" w:rsidP="00066D16">
            <w:pPr>
              <w:spacing w:after="120"/>
              <w:rPr>
                <w:sz w:val="18"/>
                <w:szCs w:val="18"/>
                <w:lang w:val="en-GB" w:bidi="th-TH"/>
              </w:rPr>
            </w:pPr>
            <w:r w:rsidRPr="00066D16">
              <w:rPr>
                <w:sz w:val="18"/>
                <w:szCs w:val="18"/>
                <w:lang w:val="en-GB" w:bidi="th-TH"/>
              </w:rPr>
              <w:t>- Will project cause any loss of precious ecology, ecological, and economic functions due to construction of infrastructure?</w:t>
            </w:r>
          </w:p>
        </w:tc>
        <w:tc>
          <w:tcPr>
            <w:tcW w:w="1203" w:type="dxa"/>
          </w:tcPr>
          <w:p w14:paraId="34EEBFF6" w14:textId="77777777" w:rsidR="00066D16" w:rsidRPr="00066D16" w:rsidRDefault="00066D16" w:rsidP="00066D16">
            <w:pPr>
              <w:spacing w:after="120"/>
              <w:jc w:val="center"/>
              <w:rPr>
                <w:sz w:val="18"/>
                <w:szCs w:val="18"/>
                <w:lang w:val="en-GB" w:bidi="th-TH"/>
              </w:rPr>
            </w:pPr>
            <w:r w:rsidRPr="00066D16">
              <w:rPr>
                <w:sz w:val="18"/>
                <w:szCs w:val="18"/>
                <w:lang w:val="en-GB" w:bidi="th-TH"/>
              </w:rPr>
              <w:t>No</w:t>
            </w:r>
          </w:p>
        </w:tc>
        <w:tc>
          <w:tcPr>
            <w:tcW w:w="5737" w:type="dxa"/>
          </w:tcPr>
          <w:p w14:paraId="464719FB" w14:textId="77777777" w:rsidR="00066D16" w:rsidRPr="00066D16" w:rsidRDefault="00066D16" w:rsidP="00066D16">
            <w:pPr>
              <w:spacing w:after="120"/>
              <w:rPr>
                <w:sz w:val="18"/>
                <w:szCs w:val="18"/>
                <w:lang w:val="en-GB" w:bidi="th-TH"/>
              </w:rPr>
            </w:pPr>
            <w:r w:rsidRPr="00066D16">
              <w:rPr>
                <w:sz w:val="18"/>
                <w:szCs w:val="18"/>
                <w:lang w:val="en-GB" w:bidi="th-TH"/>
              </w:rPr>
              <w:t>This aspect was considered during the PPG phase and no negative impact is anticipated. While no construction of infrastructure is planned at any sites, some in situ sampling equipment will be deployed at a number of sites. Accordingly, no adverse environmental impacts are anticipated.</w:t>
            </w:r>
          </w:p>
        </w:tc>
      </w:tr>
      <w:tr w:rsidR="00066D16" w:rsidRPr="00066D16" w14:paraId="10415B5B" w14:textId="77777777" w:rsidTr="00D5094C">
        <w:tc>
          <w:tcPr>
            <w:tcW w:w="2230" w:type="dxa"/>
          </w:tcPr>
          <w:p w14:paraId="4DB903D1" w14:textId="77777777" w:rsidR="00066D16" w:rsidRPr="00066D16" w:rsidRDefault="00066D16" w:rsidP="00066D16">
            <w:pPr>
              <w:spacing w:after="120"/>
              <w:rPr>
                <w:sz w:val="18"/>
                <w:szCs w:val="18"/>
                <w:lang w:val="en-GB" w:bidi="th-TH"/>
              </w:rPr>
            </w:pPr>
            <w:r w:rsidRPr="00066D16">
              <w:rPr>
                <w:sz w:val="18"/>
                <w:szCs w:val="18"/>
                <w:lang w:val="en-GB" w:bidi="th-TH"/>
              </w:rPr>
              <w:t>- Will project cause impairment of ecological opportunities?</w:t>
            </w:r>
          </w:p>
        </w:tc>
        <w:tc>
          <w:tcPr>
            <w:tcW w:w="1203" w:type="dxa"/>
          </w:tcPr>
          <w:p w14:paraId="4DD43607" w14:textId="77777777" w:rsidR="00066D16" w:rsidRPr="00066D16" w:rsidRDefault="00066D16" w:rsidP="00066D16">
            <w:pPr>
              <w:spacing w:after="120"/>
              <w:jc w:val="center"/>
              <w:rPr>
                <w:sz w:val="18"/>
                <w:szCs w:val="18"/>
                <w:lang w:val="en-GB" w:bidi="th-TH"/>
              </w:rPr>
            </w:pPr>
            <w:r w:rsidRPr="00066D16">
              <w:rPr>
                <w:sz w:val="18"/>
                <w:szCs w:val="18"/>
                <w:lang w:val="en-GB" w:bidi="th-TH"/>
              </w:rPr>
              <w:t>No</w:t>
            </w:r>
          </w:p>
        </w:tc>
        <w:tc>
          <w:tcPr>
            <w:tcW w:w="5737" w:type="dxa"/>
          </w:tcPr>
          <w:p w14:paraId="612980DC" w14:textId="77777777" w:rsidR="00066D16" w:rsidRPr="00066D16" w:rsidRDefault="00066D16" w:rsidP="00066D16">
            <w:pPr>
              <w:spacing w:after="120"/>
              <w:rPr>
                <w:sz w:val="18"/>
                <w:szCs w:val="18"/>
                <w:lang w:val="en-GB" w:bidi="th-TH"/>
              </w:rPr>
            </w:pPr>
            <w:r w:rsidRPr="00066D16">
              <w:rPr>
                <w:sz w:val="18"/>
                <w:szCs w:val="18"/>
                <w:lang w:val="en-GB" w:bidi="th-TH"/>
              </w:rPr>
              <w:t>This aspect was considered during the PPG phase and no impairment of ecological opportunities are anticipated. Conversely, project activities aim to build resilience of coastal and marine ecosystems and secure longer-term options for the sustainable use of biodiversity with the SCS marine basin.</w:t>
            </w:r>
          </w:p>
        </w:tc>
      </w:tr>
      <w:tr w:rsidR="00066D16" w:rsidRPr="00066D16" w14:paraId="5FD93320" w14:textId="77777777" w:rsidTr="00D5094C">
        <w:tc>
          <w:tcPr>
            <w:tcW w:w="2230" w:type="dxa"/>
          </w:tcPr>
          <w:p w14:paraId="365A66F5" w14:textId="77777777" w:rsidR="00066D16" w:rsidRPr="00066D16" w:rsidRDefault="00066D16" w:rsidP="00066D16">
            <w:pPr>
              <w:spacing w:after="120"/>
              <w:rPr>
                <w:sz w:val="18"/>
                <w:szCs w:val="18"/>
                <w:lang w:val="en-GB" w:bidi="th-TH"/>
              </w:rPr>
            </w:pPr>
            <w:r w:rsidRPr="00066D16">
              <w:rPr>
                <w:sz w:val="18"/>
                <w:szCs w:val="18"/>
                <w:lang w:val="en-GB" w:bidi="th-TH"/>
              </w:rPr>
              <w:t>- Will project cause increase in peak and flood flows? (including from temporary or permanent waste waters)</w:t>
            </w:r>
          </w:p>
        </w:tc>
        <w:tc>
          <w:tcPr>
            <w:tcW w:w="1203" w:type="dxa"/>
          </w:tcPr>
          <w:p w14:paraId="452CA7FC" w14:textId="77777777" w:rsidR="00066D16" w:rsidRPr="00066D16" w:rsidRDefault="00066D16" w:rsidP="00066D16">
            <w:pPr>
              <w:spacing w:after="120"/>
              <w:jc w:val="center"/>
              <w:rPr>
                <w:sz w:val="18"/>
                <w:szCs w:val="18"/>
                <w:lang w:val="en-GB" w:bidi="th-TH"/>
              </w:rPr>
            </w:pPr>
            <w:r w:rsidRPr="00066D16">
              <w:rPr>
                <w:sz w:val="18"/>
                <w:szCs w:val="18"/>
                <w:lang w:val="en-GB" w:bidi="th-TH"/>
              </w:rPr>
              <w:t>N.A.</w:t>
            </w:r>
          </w:p>
        </w:tc>
        <w:tc>
          <w:tcPr>
            <w:tcW w:w="5737" w:type="dxa"/>
          </w:tcPr>
          <w:p w14:paraId="5D35465D" w14:textId="77777777" w:rsidR="00066D16" w:rsidRPr="00066D16" w:rsidRDefault="00066D16" w:rsidP="00066D16">
            <w:pPr>
              <w:spacing w:after="120"/>
              <w:rPr>
                <w:sz w:val="18"/>
                <w:szCs w:val="18"/>
                <w:lang w:val="en-GB" w:bidi="th-TH"/>
              </w:rPr>
            </w:pPr>
            <w:r w:rsidRPr="00066D16">
              <w:rPr>
                <w:sz w:val="18"/>
                <w:szCs w:val="18"/>
                <w:lang w:val="en-GB" w:bidi="th-TH"/>
              </w:rPr>
              <w:t>While not applicable to this project, localised land and sea based pollution represent threats to the priority locations. Where such threats are prioritised for action, efforts to address the management of contaminant sources will be planned through cross-sectorial coordination mechanisms established through the project.</w:t>
            </w:r>
          </w:p>
        </w:tc>
      </w:tr>
      <w:tr w:rsidR="00066D16" w:rsidRPr="00066D16" w14:paraId="7C599E2E" w14:textId="77777777" w:rsidTr="00D5094C">
        <w:tc>
          <w:tcPr>
            <w:tcW w:w="2230" w:type="dxa"/>
          </w:tcPr>
          <w:p w14:paraId="2A8B4E8F" w14:textId="77777777" w:rsidR="00066D16" w:rsidRPr="00066D16" w:rsidRDefault="00066D16" w:rsidP="00066D16">
            <w:pPr>
              <w:spacing w:after="120"/>
              <w:rPr>
                <w:sz w:val="18"/>
                <w:szCs w:val="18"/>
                <w:lang w:val="en-GB" w:bidi="th-TH"/>
              </w:rPr>
            </w:pPr>
            <w:r w:rsidRPr="00066D16">
              <w:rPr>
                <w:sz w:val="18"/>
                <w:szCs w:val="18"/>
                <w:lang w:val="en-GB" w:bidi="th-TH"/>
              </w:rPr>
              <w:t>- Will project cause air, soil or water pollution?</w:t>
            </w:r>
          </w:p>
        </w:tc>
        <w:tc>
          <w:tcPr>
            <w:tcW w:w="1203" w:type="dxa"/>
          </w:tcPr>
          <w:p w14:paraId="3D51880F" w14:textId="77777777" w:rsidR="00066D16" w:rsidRPr="00066D16" w:rsidRDefault="00066D16" w:rsidP="00066D16">
            <w:pPr>
              <w:spacing w:after="120"/>
              <w:jc w:val="center"/>
              <w:rPr>
                <w:sz w:val="18"/>
                <w:szCs w:val="18"/>
                <w:lang w:val="en-GB" w:bidi="th-TH"/>
              </w:rPr>
            </w:pPr>
            <w:r w:rsidRPr="00066D16">
              <w:rPr>
                <w:sz w:val="18"/>
                <w:szCs w:val="18"/>
                <w:lang w:val="en-GB" w:bidi="th-TH"/>
              </w:rPr>
              <w:t>N.A.</w:t>
            </w:r>
          </w:p>
        </w:tc>
        <w:tc>
          <w:tcPr>
            <w:tcW w:w="5737" w:type="dxa"/>
          </w:tcPr>
          <w:p w14:paraId="7BDD858E" w14:textId="77777777" w:rsidR="00066D16" w:rsidRPr="00066D16" w:rsidRDefault="00066D16" w:rsidP="00066D16">
            <w:pPr>
              <w:spacing w:after="120"/>
              <w:rPr>
                <w:sz w:val="18"/>
                <w:szCs w:val="18"/>
                <w:lang w:val="en-GB" w:bidi="th-TH"/>
              </w:rPr>
            </w:pPr>
            <w:r w:rsidRPr="00066D16">
              <w:rPr>
                <w:sz w:val="18"/>
                <w:szCs w:val="18"/>
                <w:lang w:val="en-GB" w:bidi="th-TH"/>
              </w:rPr>
              <w:t>This aspect was considered during the PPG phase and was deemed not applicable to this project.</w:t>
            </w:r>
          </w:p>
        </w:tc>
      </w:tr>
      <w:tr w:rsidR="00066D16" w:rsidRPr="00066D16" w14:paraId="6F029E45" w14:textId="77777777" w:rsidTr="00D5094C">
        <w:tc>
          <w:tcPr>
            <w:tcW w:w="2230" w:type="dxa"/>
          </w:tcPr>
          <w:p w14:paraId="151645D2" w14:textId="77777777" w:rsidR="00066D16" w:rsidRPr="00066D16" w:rsidRDefault="00066D16" w:rsidP="00066D16">
            <w:pPr>
              <w:spacing w:after="120"/>
              <w:rPr>
                <w:sz w:val="18"/>
                <w:szCs w:val="18"/>
                <w:lang w:val="en-GB" w:bidi="th-TH"/>
              </w:rPr>
            </w:pPr>
            <w:r w:rsidRPr="00066D16">
              <w:rPr>
                <w:sz w:val="18"/>
                <w:szCs w:val="18"/>
                <w:lang w:val="en-GB" w:bidi="th-TH"/>
              </w:rPr>
              <w:t>- Will project cause soil erosion and siltation?</w:t>
            </w:r>
          </w:p>
        </w:tc>
        <w:tc>
          <w:tcPr>
            <w:tcW w:w="1203" w:type="dxa"/>
          </w:tcPr>
          <w:p w14:paraId="12814D8D" w14:textId="77777777" w:rsidR="00066D16" w:rsidRPr="00066D16" w:rsidRDefault="00066D16" w:rsidP="00066D16">
            <w:pPr>
              <w:spacing w:after="120"/>
              <w:jc w:val="center"/>
              <w:rPr>
                <w:sz w:val="18"/>
                <w:szCs w:val="18"/>
                <w:lang w:val="en-GB" w:bidi="th-TH"/>
              </w:rPr>
            </w:pPr>
            <w:r w:rsidRPr="00066D16">
              <w:rPr>
                <w:sz w:val="18"/>
                <w:szCs w:val="18"/>
                <w:lang w:val="en-GB" w:bidi="th-TH"/>
              </w:rPr>
              <w:t>N.A.</w:t>
            </w:r>
          </w:p>
        </w:tc>
        <w:tc>
          <w:tcPr>
            <w:tcW w:w="5737" w:type="dxa"/>
          </w:tcPr>
          <w:p w14:paraId="0588DFE9" w14:textId="77777777" w:rsidR="00066D16" w:rsidRPr="00066D16" w:rsidRDefault="00066D16" w:rsidP="00066D16">
            <w:pPr>
              <w:spacing w:after="120"/>
              <w:rPr>
                <w:sz w:val="18"/>
                <w:szCs w:val="18"/>
                <w:lang w:val="en-GB" w:bidi="th-TH"/>
              </w:rPr>
            </w:pPr>
            <w:r w:rsidRPr="00066D16">
              <w:rPr>
                <w:sz w:val="18"/>
                <w:szCs w:val="18"/>
                <w:lang w:val="en-GB" w:bidi="th-TH"/>
              </w:rPr>
              <w:t>This aspect was considered during the PPG phase and was deemed not applicable to this project.</w:t>
            </w:r>
          </w:p>
        </w:tc>
      </w:tr>
      <w:tr w:rsidR="00066D16" w:rsidRPr="00066D16" w14:paraId="6FCD59FB" w14:textId="77777777" w:rsidTr="00D5094C">
        <w:trPr>
          <w:trHeight w:val="470"/>
        </w:trPr>
        <w:tc>
          <w:tcPr>
            <w:tcW w:w="2230" w:type="dxa"/>
          </w:tcPr>
          <w:p w14:paraId="527EB8D9" w14:textId="77777777" w:rsidR="00066D16" w:rsidRPr="00066D16" w:rsidRDefault="00066D16" w:rsidP="00066D16">
            <w:pPr>
              <w:spacing w:after="120"/>
              <w:rPr>
                <w:sz w:val="18"/>
                <w:szCs w:val="18"/>
                <w:lang w:val="en-GB" w:bidi="th-TH"/>
              </w:rPr>
            </w:pPr>
            <w:r w:rsidRPr="00066D16">
              <w:rPr>
                <w:sz w:val="18"/>
                <w:szCs w:val="18"/>
                <w:lang w:val="en-GB" w:bidi="th-TH"/>
              </w:rPr>
              <w:t>- Will project cause increased waste production?</w:t>
            </w:r>
          </w:p>
        </w:tc>
        <w:tc>
          <w:tcPr>
            <w:tcW w:w="1203" w:type="dxa"/>
          </w:tcPr>
          <w:p w14:paraId="6286395E" w14:textId="77777777" w:rsidR="00066D16" w:rsidRPr="00066D16" w:rsidRDefault="00066D16" w:rsidP="00066D16">
            <w:pPr>
              <w:spacing w:after="120"/>
              <w:jc w:val="center"/>
              <w:rPr>
                <w:sz w:val="18"/>
                <w:szCs w:val="18"/>
                <w:lang w:val="en-GB" w:bidi="th-TH"/>
              </w:rPr>
            </w:pPr>
            <w:r w:rsidRPr="00066D16">
              <w:rPr>
                <w:sz w:val="18"/>
                <w:szCs w:val="18"/>
                <w:lang w:val="en-GB" w:bidi="th-TH"/>
              </w:rPr>
              <w:t>N.A.</w:t>
            </w:r>
          </w:p>
        </w:tc>
        <w:tc>
          <w:tcPr>
            <w:tcW w:w="5737" w:type="dxa"/>
          </w:tcPr>
          <w:p w14:paraId="5253B180" w14:textId="77777777" w:rsidR="00066D16" w:rsidRPr="00066D16" w:rsidRDefault="00066D16" w:rsidP="00066D16">
            <w:pPr>
              <w:spacing w:after="120"/>
              <w:rPr>
                <w:sz w:val="18"/>
                <w:szCs w:val="18"/>
                <w:lang w:val="en-GB" w:bidi="th-TH"/>
              </w:rPr>
            </w:pPr>
            <w:r w:rsidRPr="00066D16">
              <w:rPr>
                <w:sz w:val="18"/>
                <w:szCs w:val="18"/>
                <w:lang w:val="en-GB" w:bidi="th-TH"/>
              </w:rPr>
              <w:t>This aspect was considered during the PPG phase and was deemed not applicable to this project.</w:t>
            </w:r>
          </w:p>
        </w:tc>
      </w:tr>
      <w:tr w:rsidR="00066D16" w:rsidRPr="00066D16" w14:paraId="1DA1249B" w14:textId="77777777" w:rsidTr="00D5094C">
        <w:tc>
          <w:tcPr>
            <w:tcW w:w="2230" w:type="dxa"/>
          </w:tcPr>
          <w:p w14:paraId="3401F443" w14:textId="77777777" w:rsidR="00066D16" w:rsidRPr="00066D16" w:rsidRDefault="00066D16" w:rsidP="00066D16">
            <w:pPr>
              <w:spacing w:after="120"/>
              <w:rPr>
                <w:sz w:val="18"/>
                <w:szCs w:val="18"/>
                <w:lang w:val="en-GB" w:bidi="th-TH"/>
              </w:rPr>
            </w:pPr>
            <w:r w:rsidRPr="00066D16">
              <w:rPr>
                <w:sz w:val="18"/>
                <w:szCs w:val="18"/>
                <w:lang w:val="en-GB" w:bidi="th-TH"/>
              </w:rPr>
              <w:t>- Will project cause Hazardous Waste production?</w:t>
            </w:r>
          </w:p>
        </w:tc>
        <w:tc>
          <w:tcPr>
            <w:tcW w:w="1203" w:type="dxa"/>
          </w:tcPr>
          <w:p w14:paraId="4A046E67" w14:textId="77777777" w:rsidR="00066D16" w:rsidRPr="00066D16" w:rsidRDefault="00066D16" w:rsidP="00066D16">
            <w:pPr>
              <w:spacing w:after="120"/>
              <w:jc w:val="center"/>
              <w:rPr>
                <w:sz w:val="18"/>
                <w:szCs w:val="18"/>
                <w:lang w:val="en-GB" w:bidi="th-TH"/>
              </w:rPr>
            </w:pPr>
            <w:r w:rsidRPr="00066D16">
              <w:rPr>
                <w:sz w:val="18"/>
                <w:szCs w:val="18"/>
                <w:lang w:val="en-GB" w:bidi="th-TH"/>
              </w:rPr>
              <w:t>N.A.</w:t>
            </w:r>
          </w:p>
        </w:tc>
        <w:tc>
          <w:tcPr>
            <w:tcW w:w="5737" w:type="dxa"/>
          </w:tcPr>
          <w:p w14:paraId="270C4ADF" w14:textId="77777777" w:rsidR="00066D16" w:rsidRPr="00066D16" w:rsidRDefault="00066D16" w:rsidP="00066D16">
            <w:pPr>
              <w:spacing w:after="120"/>
              <w:rPr>
                <w:sz w:val="18"/>
                <w:szCs w:val="18"/>
                <w:lang w:val="en-GB" w:bidi="th-TH"/>
              </w:rPr>
            </w:pPr>
            <w:r w:rsidRPr="00066D16">
              <w:rPr>
                <w:sz w:val="18"/>
                <w:szCs w:val="18"/>
                <w:lang w:val="en-GB" w:bidi="th-TH"/>
              </w:rPr>
              <w:t>This aspect was considered during the PPG phase and was deemed not applicable to this project.</w:t>
            </w:r>
          </w:p>
        </w:tc>
      </w:tr>
      <w:tr w:rsidR="00066D16" w:rsidRPr="00066D16" w14:paraId="18ED7F9B" w14:textId="77777777" w:rsidTr="00D5094C">
        <w:tc>
          <w:tcPr>
            <w:tcW w:w="2230" w:type="dxa"/>
          </w:tcPr>
          <w:p w14:paraId="4A060EBF" w14:textId="77777777" w:rsidR="00066D16" w:rsidRPr="00066D16" w:rsidRDefault="00066D16" w:rsidP="00066D16">
            <w:pPr>
              <w:spacing w:after="120"/>
              <w:rPr>
                <w:sz w:val="18"/>
                <w:szCs w:val="18"/>
                <w:lang w:val="en-GB" w:bidi="th-TH"/>
              </w:rPr>
            </w:pPr>
            <w:r w:rsidRPr="00066D16">
              <w:rPr>
                <w:sz w:val="18"/>
                <w:szCs w:val="18"/>
                <w:lang w:val="en-GB" w:bidi="th-TH"/>
              </w:rPr>
              <w:t>- Will project cause threat to local ecosystems due to invasive species?</w:t>
            </w:r>
          </w:p>
        </w:tc>
        <w:tc>
          <w:tcPr>
            <w:tcW w:w="1203" w:type="dxa"/>
          </w:tcPr>
          <w:p w14:paraId="65709751" w14:textId="77777777" w:rsidR="00066D16" w:rsidRPr="00066D16" w:rsidRDefault="00066D16" w:rsidP="00066D16">
            <w:pPr>
              <w:spacing w:after="120"/>
              <w:jc w:val="center"/>
              <w:rPr>
                <w:sz w:val="18"/>
                <w:szCs w:val="18"/>
                <w:lang w:val="en-GB" w:bidi="th-TH"/>
              </w:rPr>
            </w:pPr>
            <w:r w:rsidRPr="00066D16">
              <w:rPr>
                <w:sz w:val="18"/>
                <w:szCs w:val="18"/>
                <w:lang w:val="en-GB" w:bidi="th-TH"/>
              </w:rPr>
              <w:t>N.A.</w:t>
            </w:r>
          </w:p>
        </w:tc>
        <w:tc>
          <w:tcPr>
            <w:tcW w:w="5737" w:type="dxa"/>
          </w:tcPr>
          <w:p w14:paraId="2B69E7C7" w14:textId="77777777" w:rsidR="00066D16" w:rsidRPr="00066D16" w:rsidRDefault="00066D16" w:rsidP="00066D16">
            <w:pPr>
              <w:spacing w:after="120"/>
              <w:rPr>
                <w:sz w:val="18"/>
                <w:szCs w:val="18"/>
                <w:lang w:val="en-GB" w:bidi="th-TH"/>
              </w:rPr>
            </w:pPr>
            <w:r w:rsidRPr="00066D16">
              <w:rPr>
                <w:sz w:val="18"/>
                <w:szCs w:val="18"/>
                <w:lang w:val="en-GB" w:bidi="th-TH"/>
              </w:rPr>
              <w:t>This aspect was considered during the PPG phase and was deemed not applicable to this project.</w:t>
            </w:r>
          </w:p>
        </w:tc>
      </w:tr>
      <w:tr w:rsidR="00066D16" w:rsidRPr="00066D16" w14:paraId="161335BE" w14:textId="77777777" w:rsidTr="00D5094C">
        <w:tc>
          <w:tcPr>
            <w:tcW w:w="2230" w:type="dxa"/>
          </w:tcPr>
          <w:p w14:paraId="6A452DA1" w14:textId="77777777" w:rsidR="00066D16" w:rsidRPr="00066D16" w:rsidRDefault="00066D16" w:rsidP="00066D16">
            <w:pPr>
              <w:spacing w:after="120"/>
              <w:rPr>
                <w:sz w:val="18"/>
                <w:szCs w:val="18"/>
                <w:lang w:val="en-GB" w:bidi="th-TH"/>
              </w:rPr>
            </w:pPr>
            <w:r w:rsidRPr="00066D16">
              <w:rPr>
                <w:sz w:val="18"/>
                <w:szCs w:val="18"/>
                <w:lang w:val="en-GB" w:bidi="th-TH"/>
              </w:rPr>
              <w:t>- Will project cause Greenhouse Gas Emissions?</w:t>
            </w:r>
          </w:p>
        </w:tc>
        <w:tc>
          <w:tcPr>
            <w:tcW w:w="1203" w:type="dxa"/>
          </w:tcPr>
          <w:p w14:paraId="7AF46EE6" w14:textId="77777777" w:rsidR="00066D16" w:rsidRPr="00066D16" w:rsidRDefault="00066D16" w:rsidP="00066D16">
            <w:pPr>
              <w:spacing w:after="120"/>
              <w:jc w:val="center"/>
              <w:rPr>
                <w:sz w:val="18"/>
                <w:szCs w:val="18"/>
                <w:lang w:val="en-GB" w:bidi="th-TH"/>
              </w:rPr>
            </w:pPr>
            <w:r w:rsidRPr="00066D16">
              <w:rPr>
                <w:sz w:val="18"/>
                <w:szCs w:val="18"/>
                <w:lang w:val="en-GB" w:bidi="th-TH"/>
              </w:rPr>
              <w:t>N.A.</w:t>
            </w:r>
          </w:p>
        </w:tc>
        <w:tc>
          <w:tcPr>
            <w:tcW w:w="5737" w:type="dxa"/>
          </w:tcPr>
          <w:p w14:paraId="0E4F5F99" w14:textId="77777777" w:rsidR="00066D16" w:rsidRPr="00066D16" w:rsidRDefault="00066D16" w:rsidP="00066D16">
            <w:pPr>
              <w:spacing w:after="120"/>
              <w:rPr>
                <w:sz w:val="18"/>
                <w:szCs w:val="18"/>
                <w:lang w:val="en-GB" w:bidi="th-TH"/>
              </w:rPr>
            </w:pPr>
            <w:r w:rsidRPr="00066D16">
              <w:rPr>
                <w:sz w:val="18"/>
                <w:szCs w:val="18"/>
                <w:lang w:val="en-GB" w:bidi="th-TH"/>
              </w:rPr>
              <w:t>This aspect was considered during the PPG phase and was deemed not applicable to this project.</w:t>
            </w:r>
          </w:p>
        </w:tc>
      </w:tr>
      <w:tr w:rsidR="00066D16" w:rsidRPr="00066D16" w14:paraId="672032E5" w14:textId="77777777" w:rsidTr="00D5094C">
        <w:tc>
          <w:tcPr>
            <w:tcW w:w="2230" w:type="dxa"/>
          </w:tcPr>
          <w:p w14:paraId="7A018699" w14:textId="77777777" w:rsidR="00066D16" w:rsidRPr="00066D16" w:rsidRDefault="00066D16" w:rsidP="00066D16">
            <w:pPr>
              <w:spacing w:after="120"/>
              <w:rPr>
                <w:sz w:val="18"/>
                <w:szCs w:val="18"/>
                <w:lang w:val="en-GB" w:bidi="th-TH"/>
              </w:rPr>
            </w:pPr>
            <w:r w:rsidRPr="00066D16">
              <w:rPr>
                <w:sz w:val="18"/>
                <w:szCs w:val="18"/>
                <w:lang w:val="en-GB" w:bidi="th-TH"/>
              </w:rPr>
              <w:t>- Other environmental issues, e.g. noise and traffic</w:t>
            </w:r>
          </w:p>
        </w:tc>
        <w:tc>
          <w:tcPr>
            <w:tcW w:w="1203" w:type="dxa"/>
          </w:tcPr>
          <w:p w14:paraId="27958DD9" w14:textId="77777777" w:rsidR="00066D16" w:rsidRPr="00066D16" w:rsidRDefault="00066D16" w:rsidP="00066D16">
            <w:pPr>
              <w:spacing w:after="120"/>
              <w:jc w:val="center"/>
              <w:rPr>
                <w:sz w:val="18"/>
                <w:szCs w:val="18"/>
                <w:lang w:val="en-GB" w:bidi="th-TH"/>
              </w:rPr>
            </w:pPr>
            <w:r w:rsidRPr="00066D16">
              <w:rPr>
                <w:sz w:val="18"/>
                <w:szCs w:val="18"/>
                <w:lang w:val="en-GB" w:bidi="th-TH"/>
              </w:rPr>
              <w:t>N.A.</w:t>
            </w:r>
          </w:p>
        </w:tc>
        <w:tc>
          <w:tcPr>
            <w:tcW w:w="5737" w:type="dxa"/>
          </w:tcPr>
          <w:p w14:paraId="2F6F97D2" w14:textId="77777777" w:rsidR="00066D16" w:rsidRPr="00066D16" w:rsidRDefault="00066D16" w:rsidP="00066D16">
            <w:pPr>
              <w:spacing w:after="120"/>
              <w:rPr>
                <w:sz w:val="18"/>
                <w:szCs w:val="18"/>
                <w:lang w:val="en-GB" w:bidi="th-TH"/>
              </w:rPr>
            </w:pPr>
            <w:r w:rsidRPr="00066D16">
              <w:rPr>
                <w:sz w:val="18"/>
                <w:szCs w:val="18"/>
                <w:lang w:val="en-GB" w:bidi="th-TH"/>
              </w:rPr>
              <w:t>This aspect was considered during the PPG phase and was deemed not applicable to this project.</w:t>
            </w:r>
          </w:p>
        </w:tc>
      </w:tr>
    </w:tbl>
    <w:p w14:paraId="594D72B3" w14:textId="77777777" w:rsidR="00066D16" w:rsidRPr="00066D16" w:rsidRDefault="00066D16" w:rsidP="00066D16">
      <w:pPr>
        <w:jc w:val="both"/>
        <w:rPr>
          <w:sz w:val="20"/>
          <w:szCs w:val="20"/>
          <w:lang w:val="en-GB"/>
        </w:rPr>
      </w:pPr>
    </w:p>
    <w:p w14:paraId="0B36325E" w14:textId="77777777" w:rsidR="00066D16" w:rsidRPr="00066D16" w:rsidRDefault="00066D16" w:rsidP="00066D16">
      <w:pPr>
        <w:jc w:val="both"/>
        <w:rPr>
          <w:sz w:val="20"/>
          <w:szCs w:val="20"/>
          <w:lang w:val="en-GB"/>
        </w:rPr>
      </w:pPr>
    </w:p>
    <w:p w14:paraId="393704DC" w14:textId="77777777" w:rsidR="00066D16" w:rsidRPr="00066D16" w:rsidRDefault="00066D16" w:rsidP="00066D16">
      <w:pPr>
        <w:jc w:val="both"/>
        <w:rPr>
          <w:b/>
          <w:bCs/>
          <w:i/>
          <w:iCs/>
          <w:sz w:val="20"/>
          <w:szCs w:val="20"/>
          <w:lang w:val="en-GB"/>
        </w:rPr>
      </w:pPr>
      <w:r w:rsidRPr="00066D16">
        <w:rPr>
          <w:b/>
          <w:bCs/>
          <w:i/>
          <w:iCs/>
          <w:sz w:val="20"/>
          <w:szCs w:val="20"/>
          <w:lang w:val="en-GB"/>
        </w:rPr>
        <w:t>(c) Social Impacts</w:t>
      </w:r>
    </w:p>
    <w:p w14:paraId="0EC2350E" w14:textId="77777777" w:rsidR="00066D16" w:rsidRPr="00066D16" w:rsidRDefault="00066D16" w:rsidP="00066D16">
      <w:pPr>
        <w:jc w:val="both"/>
        <w:rPr>
          <w:sz w:val="20"/>
          <w:szCs w:val="20"/>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418"/>
        <w:gridCol w:w="1021"/>
        <w:gridCol w:w="5623"/>
      </w:tblGrid>
      <w:tr w:rsidR="00066D16" w:rsidRPr="00066D16" w14:paraId="72C51C9C" w14:textId="77777777" w:rsidTr="00D5094C">
        <w:tc>
          <w:tcPr>
            <w:tcW w:w="1339" w:type="pct"/>
            <w:shd w:val="clear" w:color="auto" w:fill="B3B3B3"/>
          </w:tcPr>
          <w:p w14:paraId="4B7A185A" w14:textId="77777777" w:rsidR="00066D16" w:rsidRPr="00066D16" w:rsidRDefault="00066D16" w:rsidP="00066D16">
            <w:pPr>
              <w:rPr>
                <w:sz w:val="18"/>
                <w:szCs w:val="18"/>
                <w:lang w:val="en-GB" w:bidi="th-TH"/>
              </w:rPr>
            </w:pPr>
          </w:p>
        </w:tc>
        <w:tc>
          <w:tcPr>
            <w:tcW w:w="554" w:type="pct"/>
            <w:shd w:val="clear" w:color="auto" w:fill="B3B3B3"/>
          </w:tcPr>
          <w:p w14:paraId="26050C5D" w14:textId="77777777" w:rsidR="00066D16" w:rsidRPr="00066D16" w:rsidRDefault="00066D16" w:rsidP="00066D16">
            <w:pPr>
              <w:jc w:val="center"/>
              <w:rPr>
                <w:sz w:val="18"/>
                <w:szCs w:val="18"/>
                <w:lang w:val="en-GB" w:bidi="th-TH"/>
              </w:rPr>
            </w:pPr>
            <w:r w:rsidRPr="00066D16">
              <w:rPr>
                <w:i/>
                <w:iCs/>
                <w:sz w:val="18"/>
                <w:szCs w:val="18"/>
                <w:lang w:val="en-GB" w:bidi="th-TH"/>
              </w:rPr>
              <w:t>Yes/No/N.A.</w:t>
            </w:r>
          </w:p>
        </w:tc>
        <w:tc>
          <w:tcPr>
            <w:tcW w:w="3107" w:type="pct"/>
            <w:shd w:val="clear" w:color="auto" w:fill="B3B3B3"/>
          </w:tcPr>
          <w:p w14:paraId="2AB81332" w14:textId="77777777" w:rsidR="00066D16" w:rsidRPr="00066D16" w:rsidRDefault="00066D16" w:rsidP="00066D16">
            <w:pPr>
              <w:rPr>
                <w:sz w:val="18"/>
                <w:szCs w:val="18"/>
                <w:lang w:val="en-GB" w:bidi="th-TH"/>
              </w:rPr>
            </w:pPr>
            <w:r w:rsidRPr="00066D16">
              <w:rPr>
                <w:i/>
                <w:iCs/>
                <w:sz w:val="18"/>
                <w:szCs w:val="18"/>
                <w:lang w:val="en-GB" w:bidi="th-TH"/>
              </w:rPr>
              <w:t>Comment/explanation</w:t>
            </w:r>
          </w:p>
        </w:tc>
      </w:tr>
      <w:tr w:rsidR="00066D16" w:rsidRPr="00066D16" w14:paraId="343A6909" w14:textId="77777777" w:rsidTr="00D5094C">
        <w:trPr>
          <w:trHeight w:val="1205"/>
        </w:trPr>
        <w:tc>
          <w:tcPr>
            <w:tcW w:w="1339" w:type="pct"/>
          </w:tcPr>
          <w:p w14:paraId="0EE77666" w14:textId="77777777" w:rsidR="00066D16" w:rsidRPr="00066D16" w:rsidRDefault="00066D16" w:rsidP="00066D16">
            <w:pPr>
              <w:spacing w:after="120"/>
              <w:rPr>
                <w:sz w:val="18"/>
                <w:szCs w:val="18"/>
                <w:lang w:val="en-GB" w:bidi="th-TH"/>
              </w:rPr>
            </w:pPr>
            <w:r w:rsidRPr="00066D16">
              <w:rPr>
                <w:sz w:val="18"/>
                <w:szCs w:val="18"/>
                <w:lang w:val="en-GB" w:bidi="th-TH"/>
              </w:rPr>
              <w:t>- Does the project respect internationally proclaimed human rights including dignity, cultural property and uniqueness and rights of indigenous people?</w:t>
            </w:r>
          </w:p>
        </w:tc>
        <w:tc>
          <w:tcPr>
            <w:tcW w:w="554" w:type="pct"/>
          </w:tcPr>
          <w:p w14:paraId="60B5E5EB" w14:textId="77777777" w:rsidR="00066D16" w:rsidRPr="00066D16" w:rsidRDefault="00066D16" w:rsidP="00066D16">
            <w:pPr>
              <w:spacing w:after="120"/>
              <w:jc w:val="center"/>
              <w:rPr>
                <w:sz w:val="18"/>
                <w:szCs w:val="18"/>
                <w:lang w:val="en-GB" w:bidi="th-TH"/>
              </w:rPr>
            </w:pPr>
            <w:r w:rsidRPr="00066D16">
              <w:rPr>
                <w:sz w:val="18"/>
                <w:szCs w:val="18"/>
                <w:lang w:val="en-GB" w:bidi="th-TH"/>
              </w:rPr>
              <w:t>Yes</w:t>
            </w:r>
          </w:p>
        </w:tc>
        <w:tc>
          <w:tcPr>
            <w:tcW w:w="3107" w:type="pct"/>
          </w:tcPr>
          <w:p w14:paraId="3D42516C" w14:textId="77777777" w:rsidR="00066D16" w:rsidRPr="00066D16" w:rsidRDefault="00066D16" w:rsidP="00066D16">
            <w:pPr>
              <w:spacing w:after="120"/>
              <w:rPr>
                <w:sz w:val="18"/>
                <w:szCs w:val="18"/>
                <w:lang w:val="en-GB" w:bidi="th-TH"/>
              </w:rPr>
            </w:pPr>
            <w:r w:rsidRPr="00066D16">
              <w:rPr>
                <w:sz w:val="18"/>
                <w:szCs w:val="18"/>
                <w:lang w:val="en-GB" w:bidi="th-TH"/>
              </w:rPr>
              <w:t xml:space="preserve">These issues were considered during the PPG and are reflected in the proposed terms of reference and operating procedures for national and local level coordinating and consultative bodies to ensure regular project decision-making reflects the internationally proclaimed human rights including dignity, cultural property and uniqueness and rights of indigenous people? </w:t>
            </w:r>
          </w:p>
        </w:tc>
      </w:tr>
      <w:tr w:rsidR="00066D16" w:rsidRPr="00066D16" w14:paraId="5C1DF701" w14:textId="77777777" w:rsidTr="00D5094C">
        <w:tc>
          <w:tcPr>
            <w:tcW w:w="1339" w:type="pct"/>
          </w:tcPr>
          <w:p w14:paraId="3FDC5F14" w14:textId="77777777" w:rsidR="00066D16" w:rsidRPr="00066D16" w:rsidRDefault="00066D16" w:rsidP="00066D16">
            <w:pPr>
              <w:spacing w:after="120"/>
              <w:rPr>
                <w:sz w:val="18"/>
                <w:szCs w:val="18"/>
                <w:lang w:val="en-GB" w:bidi="th-TH"/>
              </w:rPr>
            </w:pPr>
            <w:r w:rsidRPr="00066D16">
              <w:rPr>
                <w:sz w:val="18"/>
                <w:szCs w:val="18"/>
                <w:lang w:val="en-GB" w:bidi="th-TH"/>
              </w:rPr>
              <w:t>- Are property rights on resources such as land tenure recognized by the existing laws in affected countries?</w:t>
            </w:r>
          </w:p>
        </w:tc>
        <w:tc>
          <w:tcPr>
            <w:tcW w:w="554" w:type="pct"/>
          </w:tcPr>
          <w:p w14:paraId="04384FD2" w14:textId="77777777" w:rsidR="00066D16" w:rsidRPr="00066D16" w:rsidRDefault="00066D16" w:rsidP="00066D16">
            <w:pPr>
              <w:jc w:val="center"/>
              <w:rPr>
                <w:sz w:val="18"/>
                <w:szCs w:val="18"/>
                <w:lang w:val="en-GB" w:bidi="th-TH"/>
              </w:rPr>
            </w:pPr>
            <w:r w:rsidRPr="00066D16">
              <w:rPr>
                <w:sz w:val="18"/>
                <w:szCs w:val="18"/>
                <w:lang w:val="en-GB" w:bidi="th-TH"/>
              </w:rPr>
              <w:t>Yes</w:t>
            </w:r>
          </w:p>
        </w:tc>
        <w:tc>
          <w:tcPr>
            <w:tcW w:w="3107" w:type="pct"/>
          </w:tcPr>
          <w:p w14:paraId="7F5ADEB0" w14:textId="77777777" w:rsidR="00066D16" w:rsidRPr="00066D16" w:rsidRDefault="00066D16" w:rsidP="00066D16">
            <w:pPr>
              <w:spacing w:after="120"/>
              <w:rPr>
                <w:sz w:val="18"/>
                <w:szCs w:val="18"/>
                <w:lang w:val="en-GB" w:bidi="th-TH"/>
              </w:rPr>
            </w:pPr>
            <w:r w:rsidRPr="00066D16">
              <w:rPr>
                <w:sz w:val="18"/>
                <w:szCs w:val="18"/>
                <w:lang w:val="en-GB" w:bidi="th-TH"/>
              </w:rPr>
              <w:t>This issue was considered during the PPG and is reflected in the proposed terms of reference and operating procedures for national and local level coordinating and consultative bodies to ensure property rights and land and sea use tenure are appropriately reflected in project planning decisions.</w:t>
            </w:r>
          </w:p>
        </w:tc>
      </w:tr>
      <w:tr w:rsidR="00066D16" w:rsidRPr="00066D16" w14:paraId="68322DC1" w14:textId="77777777" w:rsidTr="00D5094C">
        <w:tc>
          <w:tcPr>
            <w:tcW w:w="1339" w:type="pct"/>
          </w:tcPr>
          <w:p w14:paraId="0499BEF4" w14:textId="77777777" w:rsidR="00066D16" w:rsidRPr="00066D16" w:rsidRDefault="00066D16" w:rsidP="00066D16">
            <w:pPr>
              <w:spacing w:after="120"/>
              <w:rPr>
                <w:sz w:val="18"/>
                <w:szCs w:val="18"/>
                <w:lang w:val="en-GB" w:bidi="th-TH"/>
              </w:rPr>
            </w:pPr>
            <w:r w:rsidRPr="00066D16">
              <w:rPr>
                <w:sz w:val="18"/>
                <w:szCs w:val="18"/>
                <w:lang w:val="en-GB" w:bidi="th-TH"/>
              </w:rPr>
              <w:t>- Will the project cause social problems and conflicts related to land tenure and access to resources?</w:t>
            </w:r>
          </w:p>
        </w:tc>
        <w:tc>
          <w:tcPr>
            <w:tcW w:w="554" w:type="pct"/>
          </w:tcPr>
          <w:p w14:paraId="193F4519" w14:textId="77777777" w:rsidR="00066D16" w:rsidRPr="00066D16" w:rsidRDefault="00066D16" w:rsidP="00066D16">
            <w:pPr>
              <w:jc w:val="center"/>
              <w:rPr>
                <w:sz w:val="18"/>
                <w:szCs w:val="18"/>
                <w:lang w:val="en-GB" w:bidi="th-TH"/>
              </w:rPr>
            </w:pPr>
            <w:r w:rsidRPr="00066D16">
              <w:rPr>
                <w:sz w:val="18"/>
                <w:szCs w:val="18"/>
                <w:lang w:val="en-GB" w:bidi="th-TH"/>
              </w:rPr>
              <w:t>No</w:t>
            </w:r>
          </w:p>
        </w:tc>
        <w:tc>
          <w:tcPr>
            <w:tcW w:w="3107" w:type="pct"/>
          </w:tcPr>
          <w:p w14:paraId="2B4A9B3D" w14:textId="77777777" w:rsidR="00066D16" w:rsidRPr="00066D16" w:rsidRDefault="00066D16" w:rsidP="00066D16">
            <w:pPr>
              <w:spacing w:after="120"/>
              <w:rPr>
                <w:sz w:val="18"/>
                <w:szCs w:val="18"/>
                <w:lang w:val="en-GB" w:bidi="th-TH"/>
              </w:rPr>
            </w:pPr>
            <w:r w:rsidRPr="00066D16">
              <w:rPr>
                <w:sz w:val="18"/>
                <w:szCs w:val="18"/>
                <w:lang w:val="en-GB" w:bidi="th-TH"/>
              </w:rPr>
              <w:t>This aspect was considered during the PPG phase and will be addressed via efforts to mainstream land and marine tenure issues into project activities at all levels.</w:t>
            </w:r>
          </w:p>
        </w:tc>
      </w:tr>
      <w:tr w:rsidR="00066D16" w:rsidRPr="00066D16" w14:paraId="42615AD4" w14:textId="77777777" w:rsidTr="00D5094C">
        <w:tc>
          <w:tcPr>
            <w:tcW w:w="1339" w:type="pct"/>
          </w:tcPr>
          <w:p w14:paraId="68122099" w14:textId="77777777" w:rsidR="00066D16" w:rsidRPr="00066D16" w:rsidRDefault="00066D16" w:rsidP="00066D16">
            <w:pPr>
              <w:spacing w:after="120"/>
              <w:rPr>
                <w:sz w:val="18"/>
                <w:szCs w:val="18"/>
                <w:lang w:val="en-GB" w:bidi="th-TH"/>
              </w:rPr>
            </w:pPr>
            <w:r w:rsidRPr="00066D16">
              <w:rPr>
                <w:sz w:val="18"/>
                <w:szCs w:val="18"/>
                <w:lang w:val="en-GB" w:bidi="th-TH"/>
              </w:rPr>
              <w:t>- Does the project incorporate measures to allow affected stakeholders’ information and consultation?</w:t>
            </w:r>
          </w:p>
        </w:tc>
        <w:tc>
          <w:tcPr>
            <w:tcW w:w="554" w:type="pct"/>
          </w:tcPr>
          <w:p w14:paraId="1A798578" w14:textId="77777777" w:rsidR="00066D16" w:rsidRPr="00066D16" w:rsidRDefault="00066D16" w:rsidP="00066D16">
            <w:pPr>
              <w:jc w:val="center"/>
              <w:rPr>
                <w:sz w:val="18"/>
                <w:szCs w:val="18"/>
                <w:lang w:val="en-GB" w:bidi="th-TH"/>
              </w:rPr>
            </w:pPr>
            <w:r w:rsidRPr="00066D16">
              <w:rPr>
                <w:sz w:val="18"/>
                <w:szCs w:val="18"/>
                <w:lang w:val="en-GB" w:bidi="th-TH"/>
              </w:rPr>
              <w:t>Yes</w:t>
            </w:r>
          </w:p>
        </w:tc>
        <w:tc>
          <w:tcPr>
            <w:tcW w:w="3107" w:type="pct"/>
          </w:tcPr>
          <w:p w14:paraId="4302180C" w14:textId="77777777" w:rsidR="00066D16" w:rsidRPr="00066D16" w:rsidRDefault="00066D16" w:rsidP="00066D16">
            <w:pPr>
              <w:spacing w:after="120"/>
              <w:rPr>
                <w:sz w:val="18"/>
                <w:szCs w:val="18"/>
                <w:lang w:val="en-GB" w:bidi="th-TH"/>
              </w:rPr>
            </w:pPr>
            <w:r w:rsidRPr="00066D16">
              <w:rPr>
                <w:sz w:val="18"/>
                <w:szCs w:val="18"/>
                <w:lang w:val="en-GB" w:bidi="th-TH"/>
              </w:rPr>
              <w:t>This issue was considered during the PPG and a full component was included in the project design aimed at catalysing stakeholder engagement and participation in project planning, reporting, and monitoring and evaluation. Additionally, the project will stimulate vertical networking and communication between national and municipal agencies involved in environment and natural resource management.</w:t>
            </w:r>
          </w:p>
        </w:tc>
      </w:tr>
      <w:tr w:rsidR="00066D16" w:rsidRPr="00066D16" w14:paraId="7C52DFBA" w14:textId="77777777" w:rsidTr="00D5094C">
        <w:tc>
          <w:tcPr>
            <w:tcW w:w="1339" w:type="pct"/>
          </w:tcPr>
          <w:p w14:paraId="2BE64205" w14:textId="77777777" w:rsidR="00066D16" w:rsidRPr="00066D16" w:rsidRDefault="00066D16" w:rsidP="00066D16">
            <w:pPr>
              <w:spacing w:after="120"/>
              <w:rPr>
                <w:sz w:val="18"/>
                <w:szCs w:val="18"/>
                <w:lang w:val="en-GB" w:bidi="th-TH"/>
              </w:rPr>
            </w:pPr>
            <w:r w:rsidRPr="00066D16">
              <w:rPr>
                <w:sz w:val="18"/>
                <w:szCs w:val="18"/>
                <w:lang w:val="en-GB" w:bidi="th-TH"/>
              </w:rPr>
              <w:t>- Will the project affect the state of the targeted country’s (-ies’) institutional context?</w:t>
            </w:r>
          </w:p>
        </w:tc>
        <w:tc>
          <w:tcPr>
            <w:tcW w:w="554" w:type="pct"/>
          </w:tcPr>
          <w:p w14:paraId="3B7F8CD6" w14:textId="77777777" w:rsidR="00066D16" w:rsidRPr="00066D16" w:rsidRDefault="00066D16" w:rsidP="00066D16">
            <w:pPr>
              <w:jc w:val="center"/>
              <w:rPr>
                <w:sz w:val="18"/>
                <w:szCs w:val="18"/>
                <w:lang w:val="en-GB" w:bidi="th-TH"/>
              </w:rPr>
            </w:pPr>
            <w:r w:rsidRPr="00066D16">
              <w:rPr>
                <w:sz w:val="18"/>
                <w:szCs w:val="18"/>
                <w:lang w:val="en-GB" w:bidi="th-TH"/>
              </w:rPr>
              <w:t>No</w:t>
            </w:r>
          </w:p>
        </w:tc>
        <w:tc>
          <w:tcPr>
            <w:tcW w:w="3107" w:type="pct"/>
          </w:tcPr>
          <w:p w14:paraId="274AD179" w14:textId="77777777" w:rsidR="00066D16" w:rsidRPr="00066D16" w:rsidRDefault="00066D16" w:rsidP="00066D16">
            <w:pPr>
              <w:spacing w:after="120"/>
              <w:rPr>
                <w:sz w:val="18"/>
                <w:szCs w:val="18"/>
                <w:lang w:val="en-GB" w:bidi="th-TH"/>
              </w:rPr>
            </w:pPr>
            <w:r w:rsidRPr="00066D16">
              <w:rPr>
                <w:sz w:val="18"/>
                <w:szCs w:val="18"/>
                <w:lang w:val="en-GB" w:bidi="th-TH"/>
              </w:rPr>
              <w:t>This issue was considered during the PPG and no negative impact is anticipated. Rather the project aims to result in strengthened institutional linkages between agencies involved in natural resource management with the view for streamlining of investment in integrated natural resource and environmental mgmt.</w:t>
            </w:r>
          </w:p>
        </w:tc>
      </w:tr>
      <w:tr w:rsidR="00066D16" w:rsidRPr="00066D16" w14:paraId="676F0F7C" w14:textId="77777777" w:rsidTr="00D5094C">
        <w:tc>
          <w:tcPr>
            <w:tcW w:w="1339" w:type="pct"/>
          </w:tcPr>
          <w:p w14:paraId="125DDB6F" w14:textId="77777777" w:rsidR="00066D16" w:rsidRPr="00066D16" w:rsidRDefault="00066D16" w:rsidP="00066D16">
            <w:pPr>
              <w:spacing w:after="120"/>
              <w:rPr>
                <w:sz w:val="18"/>
                <w:szCs w:val="18"/>
                <w:lang w:val="en-GB" w:bidi="th-TH"/>
              </w:rPr>
            </w:pPr>
            <w:r w:rsidRPr="00066D16">
              <w:rPr>
                <w:sz w:val="18"/>
                <w:szCs w:val="18"/>
                <w:lang w:val="en-GB" w:bidi="th-TH"/>
              </w:rPr>
              <w:t>- Will the project cause change to beneficial uses of land or resources? (incl. loss of downstream beneficial uses (water supply or fisheries)?</w:t>
            </w:r>
          </w:p>
        </w:tc>
        <w:tc>
          <w:tcPr>
            <w:tcW w:w="554" w:type="pct"/>
          </w:tcPr>
          <w:p w14:paraId="35B7E45A" w14:textId="77777777" w:rsidR="00066D16" w:rsidRPr="00066D16" w:rsidRDefault="00066D16" w:rsidP="00066D16">
            <w:pPr>
              <w:jc w:val="center"/>
              <w:rPr>
                <w:sz w:val="18"/>
                <w:szCs w:val="18"/>
                <w:lang w:val="en-GB" w:bidi="th-TH"/>
              </w:rPr>
            </w:pPr>
            <w:r w:rsidRPr="00066D16">
              <w:rPr>
                <w:sz w:val="18"/>
                <w:szCs w:val="18"/>
                <w:lang w:val="en-GB" w:bidi="th-TH"/>
              </w:rPr>
              <w:t>No</w:t>
            </w:r>
          </w:p>
        </w:tc>
        <w:tc>
          <w:tcPr>
            <w:tcW w:w="3107" w:type="pct"/>
          </w:tcPr>
          <w:p w14:paraId="6AC01EEB" w14:textId="77777777" w:rsidR="00066D16" w:rsidRPr="00066D16" w:rsidRDefault="00066D16" w:rsidP="00066D16">
            <w:pPr>
              <w:spacing w:after="120"/>
              <w:rPr>
                <w:sz w:val="18"/>
                <w:szCs w:val="18"/>
                <w:lang w:val="en-GB" w:bidi="th-TH"/>
              </w:rPr>
            </w:pPr>
            <w:r w:rsidRPr="00066D16">
              <w:rPr>
                <w:sz w:val="18"/>
                <w:szCs w:val="18"/>
                <w:lang w:val="en-GB" w:bidi="th-TH"/>
              </w:rPr>
              <w:t>This issue was considered during the PPG and no negative impact is anticipated. Rather it is anticipated that the project will result in enhancement of livelihood and food security benefits associated with coastal communities use of goods and services associated with coastal habitats.</w:t>
            </w:r>
          </w:p>
        </w:tc>
      </w:tr>
      <w:tr w:rsidR="00066D16" w:rsidRPr="00066D16" w14:paraId="2CB36F57" w14:textId="77777777" w:rsidTr="00D5094C">
        <w:tc>
          <w:tcPr>
            <w:tcW w:w="1339" w:type="pct"/>
          </w:tcPr>
          <w:p w14:paraId="2AB1FA64" w14:textId="77777777" w:rsidR="00066D16" w:rsidRPr="00066D16" w:rsidRDefault="00066D16" w:rsidP="00066D16">
            <w:pPr>
              <w:spacing w:after="120"/>
              <w:rPr>
                <w:sz w:val="18"/>
                <w:szCs w:val="18"/>
                <w:lang w:val="en-GB" w:bidi="th-TH"/>
              </w:rPr>
            </w:pPr>
            <w:r w:rsidRPr="00066D16">
              <w:rPr>
                <w:sz w:val="18"/>
                <w:szCs w:val="18"/>
                <w:lang w:val="en-GB" w:bidi="th-TH"/>
              </w:rPr>
              <w:t>- Will the project cause technology or land use modification that may change present social and economic activities?</w:t>
            </w:r>
          </w:p>
        </w:tc>
        <w:tc>
          <w:tcPr>
            <w:tcW w:w="554" w:type="pct"/>
          </w:tcPr>
          <w:p w14:paraId="08DF88DA" w14:textId="77777777" w:rsidR="00066D16" w:rsidRPr="00066D16" w:rsidRDefault="00066D16" w:rsidP="00066D16">
            <w:pPr>
              <w:jc w:val="center"/>
              <w:rPr>
                <w:sz w:val="18"/>
                <w:szCs w:val="18"/>
                <w:lang w:val="en-GB" w:bidi="th-TH"/>
              </w:rPr>
            </w:pPr>
            <w:r w:rsidRPr="00066D16">
              <w:rPr>
                <w:sz w:val="18"/>
                <w:szCs w:val="18"/>
                <w:lang w:val="en-GB" w:bidi="th-TH"/>
              </w:rPr>
              <w:t>Yes</w:t>
            </w:r>
          </w:p>
        </w:tc>
        <w:tc>
          <w:tcPr>
            <w:tcW w:w="3107" w:type="pct"/>
          </w:tcPr>
          <w:p w14:paraId="0291C15B" w14:textId="77777777" w:rsidR="00066D16" w:rsidRPr="00066D16" w:rsidRDefault="00066D16" w:rsidP="00066D16">
            <w:pPr>
              <w:spacing w:after="120"/>
              <w:rPr>
                <w:sz w:val="18"/>
                <w:szCs w:val="18"/>
                <w:lang w:val="en-GB" w:bidi="th-TH"/>
              </w:rPr>
            </w:pPr>
            <w:r w:rsidRPr="00066D16">
              <w:rPr>
                <w:sz w:val="18"/>
                <w:szCs w:val="18"/>
                <w:lang w:val="en-GB" w:bidi="th-TH"/>
              </w:rPr>
              <w:t>This issue was considered during the PPG and no negative impact is anticipated.</w:t>
            </w:r>
          </w:p>
        </w:tc>
      </w:tr>
      <w:tr w:rsidR="00066D16" w:rsidRPr="00066D16" w14:paraId="2B33A051" w14:textId="77777777" w:rsidTr="00D5094C">
        <w:tc>
          <w:tcPr>
            <w:tcW w:w="1339" w:type="pct"/>
          </w:tcPr>
          <w:p w14:paraId="7AC327AF" w14:textId="77777777" w:rsidR="00066D16" w:rsidRPr="00066D16" w:rsidRDefault="00066D16" w:rsidP="00066D16">
            <w:pPr>
              <w:spacing w:after="120"/>
              <w:rPr>
                <w:sz w:val="18"/>
                <w:szCs w:val="18"/>
                <w:lang w:val="en-GB" w:bidi="th-TH"/>
              </w:rPr>
            </w:pPr>
            <w:r w:rsidRPr="00066D16">
              <w:rPr>
                <w:sz w:val="18"/>
                <w:szCs w:val="18"/>
                <w:lang w:val="en-GB" w:bidi="th-TH"/>
              </w:rPr>
              <w:t>- Will the project cause dislocation or involuntary resettlement of people?</w:t>
            </w:r>
          </w:p>
        </w:tc>
        <w:tc>
          <w:tcPr>
            <w:tcW w:w="554" w:type="pct"/>
          </w:tcPr>
          <w:p w14:paraId="2BD65591" w14:textId="77777777" w:rsidR="00066D16" w:rsidRPr="00066D16" w:rsidRDefault="00066D16" w:rsidP="00066D16">
            <w:pPr>
              <w:jc w:val="center"/>
              <w:rPr>
                <w:sz w:val="18"/>
                <w:szCs w:val="18"/>
                <w:lang w:val="en-GB" w:bidi="th-TH"/>
              </w:rPr>
            </w:pPr>
            <w:r w:rsidRPr="00066D16">
              <w:rPr>
                <w:sz w:val="18"/>
                <w:szCs w:val="18"/>
                <w:lang w:val="en-GB" w:bidi="th-TH"/>
              </w:rPr>
              <w:t>No</w:t>
            </w:r>
          </w:p>
        </w:tc>
        <w:tc>
          <w:tcPr>
            <w:tcW w:w="3107" w:type="pct"/>
          </w:tcPr>
          <w:p w14:paraId="589D7237" w14:textId="77777777" w:rsidR="00066D16" w:rsidRPr="00066D16" w:rsidRDefault="00066D16" w:rsidP="00066D16">
            <w:pPr>
              <w:spacing w:after="120"/>
              <w:rPr>
                <w:sz w:val="18"/>
                <w:szCs w:val="18"/>
                <w:lang w:val="en-GB" w:bidi="th-TH"/>
              </w:rPr>
            </w:pPr>
            <w:r w:rsidRPr="00066D16">
              <w:rPr>
                <w:sz w:val="18"/>
                <w:szCs w:val="18"/>
                <w:lang w:val="en-GB" w:bidi="th-TH"/>
              </w:rPr>
              <w:t>This issue was considered during the PPG and no negative impact is anticipated.</w:t>
            </w:r>
          </w:p>
        </w:tc>
      </w:tr>
      <w:tr w:rsidR="00066D16" w:rsidRPr="00066D16" w14:paraId="7B933052" w14:textId="77777777" w:rsidTr="00D5094C">
        <w:tc>
          <w:tcPr>
            <w:tcW w:w="1339" w:type="pct"/>
          </w:tcPr>
          <w:p w14:paraId="769A1253" w14:textId="77777777" w:rsidR="00066D16" w:rsidRPr="00066D16" w:rsidRDefault="00066D16" w:rsidP="00066D16">
            <w:pPr>
              <w:spacing w:after="120"/>
              <w:rPr>
                <w:sz w:val="18"/>
                <w:szCs w:val="18"/>
                <w:lang w:val="en-GB" w:bidi="th-TH"/>
              </w:rPr>
            </w:pPr>
            <w:r w:rsidRPr="00066D16">
              <w:rPr>
                <w:sz w:val="18"/>
                <w:szCs w:val="18"/>
                <w:lang w:val="en-GB" w:bidi="th-TH"/>
              </w:rPr>
              <w:t>- Will the project cause uncontrolled in-migration (short- and long-term) with opening of roads to areas and possible overloading of social infrastructure?</w:t>
            </w:r>
          </w:p>
        </w:tc>
        <w:tc>
          <w:tcPr>
            <w:tcW w:w="554" w:type="pct"/>
          </w:tcPr>
          <w:p w14:paraId="0FBDDE43" w14:textId="77777777" w:rsidR="00066D16" w:rsidRPr="00066D16" w:rsidRDefault="00066D16" w:rsidP="00066D16">
            <w:pPr>
              <w:jc w:val="center"/>
              <w:rPr>
                <w:sz w:val="18"/>
                <w:szCs w:val="18"/>
                <w:lang w:val="en-GB" w:bidi="th-TH"/>
              </w:rPr>
            </w:pPr>
            <w:r w:rsidRPr="00066D16">
              <w:rPr>
                <w:sz w:val="18"/>
                <w:szCs w:val="18"/>
                <w:lang w:val="en-GB" w:bidi="th-TH"/>
              </w:rPr>
              <w:t>N.A.</w:t>
            </w:r>
          </w:p>
        </w:tc>
        <w:tc>
          <w:tcPr>
            <w:tcW w:w="3107" w:type="pct"/>
          </w:tcPr>
          <w:p w14:paraId="0204573B" w14:textId="77777777" w:rsidR="00066D16" w:rsidRPr="00066D16" w:rsidRDefault="00066D16" w:rsidP="00066D16">
            <w:pPr>
              <w:spacing w:after="120"/>
              <w:rPr>
                <w:sz w:val="18"/>
                <w:szCs w:val="18"/>
                <w:lang w:val="en-GB" w:bidi="th-TH"/>
              </w:rPr>
            </w:pPr>
            <w:r w:rsidRPr="00066D16">
              <w:rPr>
                <w:sz w:val="18"/>
                <w:szCs w:val="18"/>
                <w:lang w:val="en-GB" w:bidi="th-TH"/>
              </w:rPr>
              <w:t>This aspect was considered during the PPG phase and was deemed not applicable to this project.</w:t>
            </w:r>
          </w:p>
        </w:tc>
      </w:tr>
      <w:tr w:rsidR="00066D16" w:rsidRPr="00066D16" w14:paraId="191CEDA6" w14:textId="77777777" w:rsidTr="00D5094C">
        <w:tc>
          <w:tcPr>
            <w:tcW w:w="1339" w:type="pct"/>
          </w:tcPr>
          <w:p w14:paraId="58B1BB57" w14:textId="77777777" w:rsidR="00066D16" w:rsidRPr="00066D16" w:rsidRDefault="00066D16" w:rsidP="00066D16">
            <w:pPr>
              <w:spacing w:after="120"/>
              <w:rPr>
                <w:sz w:val="18"/>
                <w:szCs w:val="18"/>
                <w:lang w:val="en-GB" w:bidi="th-TH"/>
              </w:rPr>
            </w:pPr>
            <w:r w:rsidRPr="00066D16">
              <w:rPr>
                <w:sz w:val="18"/>
                <w:szCs w:val="18"/>
                <w:lang w:val="en-GB" w:bidi="th-TH"/>
              </w:rPr>
              <w:t>- Will the project cause increased local or regional unemployment?</w:t>
            </w:r>
          </w:p>
        </w:tc>
        <w:tc>
          <w:tcPr>
            <w:tcW w:w="554" w:type="pct"/>
          </w:tcPr>
          <w:p w14:paraId="356CEB9F" w14:textId="77777777" w:rsidR="00066D16" w:rsidRPr="00066D16" w:rsidRDefault="00066D16" w:rsidP="00066D16">
            <w:pPr>
              <w:jc w:val="center"/>
              <w:rPr>
                <w:sz w:val="18"/>
                <w:szCs w:val="18"/>
                <w:lang w:val="en-GB" w:bidi="th-TH"/>
              </w:rPr>
            </w:pPr>
            <w:r w:rsidRPr="00066D16">
              <w:rPr>
                <w:sz w:val="18"/>
                <w:szCs w:val="18"/>
                <w:lang w:val="en-GB" w:bidi="th-TH"/>
              </w:rPr>
              <w:t>No</w:t>
            </w:r>
          </w:p>
        </w:tc>
        <w:tc>
          <w:tcPr>
            <w:tcW w:w="3107" w:type="pct"/>
          </w:tcPr>
          <w:p w14:paraId="2E9805A2" w14:textId="77777777" w:rsidR="00066D16" w:rsidRPr="00066D16" w:rsidRDefault="00066D16" w:rsidP="00066D16">
            <w:pPr>
              <w:spacing w:after="120"/>
              <w:rPr>
                <w:sz w:val="18"/>
                <w:szCs w:val="18"/>
                <w:lang w:val="en-GB" w:bidi="th-TH"/>
              </w:rPr>
            </w:pPr>
            <w:r w:rsidRPr="00066D16">
              <w:rPr>
                <w:sz w:val="18"/>
                <w:szCs w:val="18"/>
                <w:lang w:val="en-GB" w:bidi="th-TH"/>
              </w:rPr>
              <w:t>This issue was considered during the PPG and no negative impact is anticipated, rather improved livelihoods are anticipated via the establishment of more resilient coastal communities.</w:t>
            </w:r>
          </w:p>
        </w:tc>
      </w:tr>
      <w:tr w:rsidR="00066D16" w:rsidRPr="00066D16" w14:paraId="06E6696E" w14:textId="77777777" w:rsidTr="00D5094C">
        <w:tc>
          <w:tcPr>
            <w:tcW w:w="1339" w:type="pct"/>
          </w:tcPr>
          <w:p w14:paraId="05D5ABF6" w14:textId="77777777" w:rsidR="00066D16" w:rsidRPr="00066D16" w:rsidRDefault="00066D16" w:rsidP="00066D16">
            <w:pPr>
              <w:spacing w:after="120"/>
              <w:rPr>
                <w:sz w:val="18"/>
                <w:szCs w:val="18"/>
                <w:lang w:val="en-GB" w:bidi="th-TH"/>
              </w:rPr>
            </w:pPr>
            <w:r w:rsidRPr="00066D16">
              <w:rPr>
                <w:sz w:val="18"/>
                <w:szCs w:val="18"/>
                <w:lang w:val="en-GB" w:bidi="th-TH"/>
              </w:rPr>
              <w:t>- Does the project include measures to avoid forced or child labour?</w:t>
            </w:r>
          </w:p>
        </w:tc>
        <w:tc>
          <w:tcPr>
            <w:tcW w:w="554" w:type="pct"/>
          </w:tcPr>
          <w:p w14:paraId="7132A7BF" w14:textId="77777777" w:rsidR="00066D16" w:rsidRPr="00066D16" w:rsidRDefault="00066D16" w:rsidP="00066D16">
            <w:pPr>
              <w:jc w:val="center"/>
              <w:rPr>
                <w:sz w:val="18"/>
                <w:szCs w:val="18"/>
                <w:lang w:val="en-GB" w:bidi="th-TH"/>
              </w:rPr>
            </w:pPr>
            <w:r w:rsidRPr="00066D16">
              <w:rPr>
                <w:sz w:val="18"/>
                <w:szCs w:val="18"/>
                <w:lang w:val="en-GB" w:bidi="th-TH"/>
              </w:rPr>
              <w:t>Yes</w:t>
            </w:r>
          </w:p>
        </w:tc>
        <w:tc>
          <w:tcPr>
            <w:tcW w:w="3107" w:type="pct"/>
          </w:tcPr>
          <w:p w14:paraId="3F5A511C" w14:textId="77777777" w:rsidR="00066D16" w:rsidRPr="00066D16" w:rsidRDefault="00066D16" w:rsidP="00066D16">
            <w:pPr>
              <w:spacing w:after="120"/>
              <w:rPr>
                <w:sz w:val="18"/>
                <w:szCs w:val="18"/>
                <w:lang w:val="en-GB" w:bidi="th-TH"/>
              </w:rPr>
            </w:pPr>
            <w:r w:rsidRPr="00066D16">
              <w:rPr>
                <w:sz w:val="18"/>
                <w:szCs w:val="18"/>
                <w:lang w:val="en-GB" w:bidi="th-TH"/>
              </w:rPr>
              <w:t xml:space="preserve">This issue was considered during the PPG and no negative impact is anticipated. </w:t>
            </w:r>
          </w:p>
        </w:tc>
      </w:tr>
      <w:tr w:rsidR="00066D16" w:rsidRPr="00066D16" w14:paraId="045E5266" w14:textId="77777777" w:rsidTr="00D5094C">
        <w:tc>
          <w:tcPr>
            <w:tcW w:w="1339" w:type="pct"/>
          </w:tcPr>
          <w:p w14:paraId="506754A9" w14:textId="77777777" w:rsidR="00066D16" w:rsidRPr="00066D16" w:rsidRDefault="00066D16" w:rsidP="00066D16">
            <w:pPr>
              <w:spacing w:after="120"/>
              <w:rPr>
                <w:sz w:val="18"/>
                <w:szCs w:val="18"/>
                <w:lang w:val="en-GB" w:bidi="th-TH"/>
              </w:rPr>
            </w:pPr>
            <w:r w:rsidRPr="00066D16">
              <w:rPr>
                <w:sz w:val="18"/>
                <w:szCs w:val="18"/>
                <w:lang w:val="en-GB" w:bidi="th-TH"/>
              </w:rPr>
              <w:t>- Does the project include measures to ensure a safe and healthy working environment for workers employed as part of the project?</w:t>
            </w:r>
          </w:p>
        </w:tc>
        <w:tc>
          <w:tcPr>
            <w:tcW w:w="554" w:type="pct"/>
          </w:tcPr>
          <w:p w14:paraId="2727BDF9" w14:textId="77777777" w:rsidR="00066D16" w:rsidRPr="00066D16" w:rsidRDefault="00066D16" w:rsidP="00066D16">
            <w:pPr>
              <w:jc w:val="center"/>
              <w:rPr>
                <w:sz w:val="18"/>
                <w:szCs w:val="18"/>
                <w:lang w:val="en-GB" w:bidi="th-TH"/>
              </w:rPr>
            </w:pPr>
            <w:r w:rsidRPr="00066D16">
              <w:rPr>
                <w:sz w:val="18"/>
                <w:szCs w:val="18"/>
                <w:lang w:val="en-GB" w:bidi="th-TH"/>
              </w:rPr>
              <w:t>Yes</w:t>
            </w:r>
          </w:p>
        </w:tc>
        <w:tc>
          <w:tcPr>
            <w:tcW w:w="3107" w:type="pct"/>
          </w:tcPr>
          <w:p w14:paraId="3AAFC67C" w14:textId="77777777" w:rsidR="00066D16" w:rsidRPr="00066D16" w:rsidRDefault="00066D16" w:rsidP="00066D16">
            <w:pPr>
              <w:spacing w:after="120"/>
              <w:rPr>
                <w:sz w:val="18"/>
                <w:szCs w:val="18"/>
                <w:lang w:val="en-GB" w:bidi="th-TH"/>
              </w:rPr>
            </w:pPr>
            <w:r w:rsidRPr="00066D16">
              <w:rPr>
                <w:sz w:val="18"/>
                <w:szCs w:val="18"/>
                <w:lang w:val="en-GB" w:bidi="th-TH"/>
              </w:rPr>
              <w:t xml:space="preserve">This issue was considered during the PPG and no negative impact is anticipated. </w:t>
            </w:r>
          </w:p>
        </w:tc>
      </w:tr>
      <w:tr w:rsidR="00066D16" w:rsidRPr="00066D16" w14:paraId="5EA7B15C" w14:textId="77777777" w:rsidTr="00D5094C">
        <w:tc>
          <w:tcPr>
            <w:tcW w:w="1339" w:type="pct"/>
          </w:tcPr>
          <w:p w14:paraId="318BD43E" w14:textId="77777777" w:rsidR="00066D16" w:rsidRPr="00066D16" w:rsidRDefault="00066D16" w:rsidP="00066D16">
            <w:pPr>
              <w:spacing w:after="120"/>
              <w:rPr>
                <w:sz w:val="18"/>
                <w:szCs w:val="18"/>
                <w:lang w:val="en-GB" w:bidi="th-TH"/>
              </w:rPr>
            </w:pPr>
            <w:r w:rsidRPr="00066D16">
              <w:rPr>
                <w:sz w:val="18"/>
                <w:szCs w:val="18"/>
                <w:lang w:val="en-GB" w:bidi="th-TH"/>
              </w:rPr>
              <w:t xml:space="preserve">- Will the project cause impairment of recreational opportunities? </w:t>
            </w:r>
          </w:p>
        </w:tc>
        <w:tc>
          <w:tcPr>
            <w:tcW w:w="554" w:type="pct"/>
          </w:tcPr>
          <w:p w14:paraId="5C5A2969" w14:textId="77777777" w:rsidR="00066D16" w:rsidRPr="00066D16" w:rsidRDefault="00066D16" w:rsidP="00066D16">
            <w:pPr>
              <w:jc w:val="center"/>
              <w:rPr>
                <w:sz w:val="18"/>
                <w:szCs w:val="18"/>
                <w:lang w:val="en-GB" w:bidi="th-TH"/>
              </w:rPr>
            </w:pPr>
            <w:r w:rsidRPr="00066D16">
              <w:rPr>
                <w:sz w:val="18"/>
                <w:szCs w:val="18"/>
                <w:lang w:val="en-GB" w:bidi="th-TH"/>
              </w:rPr>
              <w:t>No</w:t>
            </w:r>
          </w:p>
        </w:tc>
        <w:tc>
          <w:tcPr>
            <w:tcW w:w="3107" w:type="pct"/>
          </w:tcPr>
          <w:p w14:paraId="09F387A6" w14:textId="77777777" w:rsidR="00066D16" w:rsidRPr="00066D16" w:rsidRDefault="00066D16" w:rsidP="00066D16">
            <w:pPr>
              <w:spacing w:after="120"/>
              <w:rPr>
                <w:sz w:val="18"/>
                <w:szCs w:val="18"/>
                <w:lang w:val="en-GB" w:bidi="th-TH"/>
              </w:rPr>
            </w:pPr>
            <w:r w:rsidRPr="00066D16">
              <w:rPr>
                <w:sz w:val="18"/>
                <w:szCs w:val="18"/>
                <w:lang w:val="en-GB" w:bidi="th-TH"/>
              </w:rPr>
              <w:t>This issue was considered during the PPG and no negative impact is anticipated.</w:t>
            </w:r>
          </w:p>
        </w:tc>
      </w:tr>
      <w:tr w:rsidR="00066D16" w:rsidRPr="00066D16" w14:paraId="40E00B7E" w14:textId="77777777" w:rsidTr="00D5094C">
        <w:tc>
          <w:tcPr>
            <w:tcW w:w="1339" w:type="pct"/>
          </w:tcPr>
          <w:p w14:paraId="624C1041" w14:textId="77777777" w:rsidR="00066D16" w:rsidRPr="00066D16" w:rsidRDefault="00066D16" w:rsidP="00066D16">
            <w:pPr>
              <w:spacing w:after="120"/>
              <w:rPr>
                <w:sz w:val="18"/>
                <w:szCs w:val="18"/>
                <w:lang w:val="en-GB" w:bidi="th-TH"/>
              </w:rPr>
            </w:pPr>
            <w:r w:rsidRPr="00066D16">
              <w:rPr>
                <w:sz w:val="18"/>
                <w:szCs w:val="18"/>
                <w:lang w:val="en-GB" w:bidi="th-TH"/>
              </w:rPr>
              <w:t>- Will the project cause impairment of indigenous people’s livelihoods or belief systems?</w:t>
            </w:r>
          </w:p>
        </w:tc>
        <w:tc>
          <w:tcPr>
            <w:tcW w:w="554" w:type="pct"/>
          </w:tcPr>
          <w:p w14:paraId="1B1874CB" w14:textId="77777777" w:rsidR="00066D16" w:rsidRPr="00066D16" w:rsidRDefault="00066D16" w:rsidP="00066D16">
            <w:pPr>
              <w:jc w:val="center"/>
              <w:rPr>
                <w:sz w:val="18"/>
                <w:szCs w:val="18"/>
                <w:lang w:val="en-GB" w:bidi="th-TH"/>
              </w:rPr>
            </w:pPr>
            <w:r w:rsidRPr="00066D16">
              <w:rPr>
                <w:sz w:val="18"/>
                <w:szCs w:val="18"/>
                <w:lang w:val="en-GB" w:bidi="th-TH"/>
              </w:rPr>
              <w:t>No</w:t>
            </w:r>
          </w:p>
        </w:tc>
        <w:tc>
          <w:tcPr>
            <w:tcW w:w="3107" w:type="pct"/>
          </w:tcPr>
          <w:p w14:paraId="144547CC" w14:textId="77777777" w:rsidR="00066D16" w:rsidRPr="00066D16" w:rsidRDefault="00066D16" w:rsidP="00066D16">
            <w:pPr>
              <w:spacing w:after="120"/>
              <w:rPr>
                <w:sz w:val="18"/>
                <w:szCs w:val="18"/>
                <w:lang w:val="en-GB" w:bidi="th-TH"/>
              </w:rPr>
            </w:pPr>
            <w:r w:rsidRPr="00066D16">
              <w:rPr>
                <w:sz w:val="18"/>
                <w:szCs w:val="18"/>
                <w:lang w:val="en-GB" w:bidi="th-TH"/>
              </w:rPr>
              <w:t>This issue was considered during the PPG and no negative impact is anticipated.</w:t>
            </w:r>
          </w:p>
        </w:tc>
      </w:tr>
      <w:tr w:rsidR="00066D16" w:rsidRPr="00066D16" w14:paraId="68F7DDF0" w14:textId="77777777" w:rsidTr="00D5094C">
        <w:tc>
          <w:tcPr>
            <w:tcW w:w="1339" w:type="pct"/>
          </w:tcPr>
          <w:p w14:paraId="6E25A4F5" w14:textId="77777777" w:rsidR="00066D16" w:rsidRPr="00066D16" w:rsidRDefault="00066D16" w:rsidP="00066D16">
            <w:pPr>
              <w:spacing w:after="120"/>
              <w:rPr>
                <w:sz w:val="18"/>
                <w:szCs w:val="18"/>
                <w:lang w:val="en-GB" w:bidi="th-TH"/>
              </w:rPr>
            </w:pPr>
            <w:r w:rsidRPr="00066D16">
              <w:rPr>
                <w:sz w:val="18"/>
                <w:szCs w:val="18"/>
                <w:lang w:val="en-GB" w:bidi="th-TH"/>
              </w:rPr>
              <w:t>- Will the project cause disproportionate impact to women or other disadvantaged or vulnerable groups?</w:t>
            </w:r>
          </w:p>
        </w:tc>
        <w:tc>
          <w:tcPr>
            <w:tcW w:w="554" w:type="pct"/>
          </w:tcPr>
          <w:p w14:paraId="35363015" w14:textId="77777777" w:rsidR="00066D16" w:rsidRPr="00066D16" w:rsidRDefault="00066D16" w:rsidP="00066D16">
            <w:pPr>
              <w:jc w:val="center"/>
              <w:rPr>
                <w:sz w:val="18"/>
                <w:szCs w:val="18"/>
                <w:lang w:val="en-GB" w:bidi="th-TH"/>
              </w:rPr>
            </w:pPr>
            <w:r w:rsidRPr="00066D16">
              <w:rPr>
                <w:sz w:val="18"/>
                <w:szCs w:val="18"/>
                <w:lang w:val="en-GB" w:bidi="th-TH"/>
              </w:rPr>
              <w:t>No</w:t>
            </w:r>
          </w:p>
        </w:tc>
        <w:tc>
          <w:tcPr>
            <w:tcW w:w="3107" w:type="pct"/>
          </w:tcPr>
          <w:p w14:paraId="7ADF70D0" w14:textId="77777777" w:rsidR="00066D16" w:rsidRPr="00066D16" w:rsidRDefault="00066D16" w:rsidP="00066D16">
            <w:pPr>
              <w:spacing w:after="120"/>
              <w:rPr>
                <w:sz w:val="18"/>
                <w:szCs w:val="18"/>
                <w:lang w:val="en-GB" w:bidi="th-TH"/>
              </w:rPr>
            </w:pPr>
            <w:r w:rsidRPr="00066D16">
              <w:rPr>
                <w:sz w:val="18"/>
                <w:szCs w:val="18"/>
                <w:lang w:val="en-GB" w:bidi="th-TH"/>
              </w:rPr>
              <w:t>This issue was considered during the PPG and no negative impact is anticipated.</w:t>
            </w:r>
          </w:p>
        </w:tc>
      </w:tr>
      <w:tr w:rsidR="00066D16" w:rsidRPr="00066D16" w14:paraId="06D2FB6B" w14:textId="77777777" w:rsidTr="00D5094C">
        <w:tc>
          <w:tcPr>
            <w:tcW w:w="1339" w:type="pct"/>
          </w:tcPr>
          <w:p w14:paraId="080A1C21" w14:textId="77777777" w:rsidR="00066D16" w:rsidRPr="00066D16" w:rsidRDefault="00066D16" w:rsidP="00066D16">
            <w:pPr>
              <w:spacing w:after="120"/>
              <w:rPr>
                <w:sz w:val="18"/>
                <w:szCs w:val="18"/>
                <w:lang w:val="en-GB" w:bidi="th-TH"/>
              </w:rPr>
            </w:pPr>
            <w:r w:rsidRPr="00066D16">
              <w:rPr>
                <w:sz w:val="18"/>
                <w:szCs w:val="18"/>
                <w:lang w:val="en-GB" w:bidi="th-TH"/>
              </w:rPr>
              <w:t>- Will the project involve and or be complicit in the alteration, damage or removal of any critical cultural heritage?</w:t>
            </w:r>
          </w:p>
        </w:tc>
        <w:tc>
          <w:tcPr>
            <w:tcW w:w="554" w:type="pct"/>
          </w:tcPr>
          <w:p w14:paraId="06E5CC99" w14:textId="77777777" w:rsidR="00066D16" w:rsidRPr="00066D16" w:rsidRDefault="00066D16" w:rsidP="00066D16">
            <w:pPr>
              <w:jc w:val="center"/>
              <w:rPr>
                <w:sz w:val="18"/>
                <w:szCs w:val="18"/>
                <w:lang w:val="en-GB" w:bidi="th-TH"/>
              </w:rPr>
            </w:pPr>
            <w:r w:rsidRPr="00066D16">
              <w:rPr>
                <w:sz w:val="18"/>
                <w:szCs w:val="18"/>
                <w:lang w:val="en-GB" w:bidi="th-TH"/>
              </w:rPr>
              <w:t>No</w:t>
            </w:r>
          </w:p>
        </w:tc>
        <w:tc>
          <w:tcPr>
            <w:tcW w:w="3107" w:type="pct"/>
          </w:tcPr>
          <w:p w14:paraId="38E6BC4F" w14:textId="77777777" w:rsidR="00066D16" w:rsidRPr="00066D16" w:rsidRDefault="00066D16" w:rsidP="00066D16">
            <w:pPr>
              <w:spacing w:after="120"/>
              <w:rPr>
                <w:sz w:val="18"/>
                <w:szCs w:val="18"/>
                <w:lang w:val="en-GB" w:bidi="th-TH"/>
              </w:rPr>
            </w:pPr>
            <w:r w:rsidRPr="00066D16">
              <w:rPr>
                <w:sz w:val="18"/>
                <w:szCs w:val="18"/>
                <w:lang w:val="en-GB" w:bidi="th-TH"/>
              </w:rPr>
              <w:t>This issue was considered during the PPG and no negative impact is anticipated.</w:t>
            </w:r>
          </w:p>
        </w:tc>
      </w:tr>
      <w:tr w:rsidR="00066D16" w:rsidRPr="00066D16" w14:paraId="790362D3" w14:textId="77777777" w:rsidTr="00D5094C">
        <w:tc>
          <w:tcPr>
            <w:tcW w:w="1339" w:type="pct"/>
          </w:tcPr>
          <w:p w14:paraId="6703EDBE" w14:textId="77777777" w:rsidR="00066D16" w:rsidRPr="00066D16" w:rsidRDefault="00066D16" w:rsidP="00066D16">
            <w:pPr>
              <w:spacing w:after="120"/>
              <w:rPr>
                <w:sz w:val="18"/>
                <w:szCs w:val="18"/>
                <w:lang w:val="en-GB" w:bidi="th-TH"/>
              </w:rPr>
            </w:pPr>
            <w:r w:rsidRPr="00066D16">
              <w:rPr>
                <w:sz w:val="18"/>
                <w:szCs w:val="18"/>
                <w:lang w:val="en-GB" w:bidi="th-TH"/>
              </w:rPr>
              <w:t>- Does the project include measures to avoid corruption?</w:t>
            </w:r>
          </w:p>
        </w:tc>
        <w:tc>
          <w:tcPr>
            <w:tcW w:w="554" w:type="pct"/>
          </w:tcPr>
          <w:p w14:paraId="1CC482DE" w14:textId="77777777" w:rsidR="00066D16" w:rsidRPr="00066D16" w:rsidRDefault="00066D16" w:rsidP="00066D16">
            <w:pPr>
              <w:jc w:val="center"/>
              <w:rPr>
                <w:sz w:val="18"/>
                <w:szCs w:val="18"/>
                <w:lang w:val="en-GB" w:bidi="th-TH"/>
              </w:rPr>
            </w:pPr>
            <w:r w:rsidRPr="00066D16">
              <w:rPr>
                <w:sz w:val="18"/>
                <w:szCs w:val="18"/>
                <w:lang w:val="en-GB" w:bidi="th-TH"/>
              </w:rPr>
              <w:t>Yes</w:t>
            </w:r>
          </w:p>
        </w:tc>
        <w:tc>
          <w:tcPr>
            <w:tcW w:w="3107" w:type="pct"/>
          </w:tcPr>
          <w:p w14:paraId="39DD4741" w14:textId="77777777" w:rsidR="00066D16" w:rsidRPr="00066D16" w:rsidRDefault="00066D16" w:rsidP="00066D16">
            <w:pPr>
              <w:spacing w:after="120"/>
              <w:rPr>
                <w:sz w:val="18"/>
                <w:szCs w:val="18"/>
                <w:lang w:val="en-GB" w:bidi="th-TH"/>
              </w:rPr>
            </w:pPr>
            <w:r w:rsidRPr="00066D16">
              <w:rPr>
                <w:sz w:val="18"/>
                <w:szCs w:val="18"/>
                <w:lang w:val="en-GB" w:bidi="th-TH"/>
              </w:rPr>
              <w:t>This issue was considered during the PPG and no negative impact is anticipated. Additionally, the project budget will be presented to and fully reviewed by all members of the national and regional committees on a routine basis to ensure transparency.</w:t>
            </w:r>
          </w:p>
        </w:tc>
      </w:tr>
    </w:tbl>
    <w:p w14:paraId="11F32D2B" w14:textId="77777777" w:rsidR="00066D16" w:rsidRPr="00066D16" w:rsidRDefault="00066D16" w:rsidP="00066D16">
      <w:pPr>
        <w:spacing w:after="120"/>
        <w:outlineLvl w:val="1"/>
        <w:rPr>
          <w:b/>
          <w:sz w:val="22"/>
          <w:szCs w:val="22"/>
          <w:lang w:val="en-GB"/>
        </w:rPr>
      </w:pPr>
    </w:p>
    <w:p w14:paraId="39188F7B" w14:textId="77777777" w:rsidR="00066D16" w:rsidRDefault="00066D16">
      <w:pPr>
        <w:spacing w:after="120"/>
        <w:outlineLvl w:val="1"/>
        <w:rPr>
          <w:b/>
          <w:sz w:val="22"/>
          <w:szCs w:val="22"/>
          <w:lang w:val="en-GB"/>
        </w:rPr>
      </w:pPr>
    </w:p>
    <w:sectPr w:rsidR="00066D16" w:rsidSect="00064925">
      <w:pgSz w:w="12240" w:h="15840" w:code="1"/>
      <w:pgMar w:top="1440" w:right="1584" w:bottom="1440" w:left="1584"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0C8CB3" w14:textId="77777777" w:rsidR="00A85C8B" w:rsidRDefault="00A85C8B">
      <w:r>
        <w:separator/>
      </w:r>
    </w:p>
  </w:endnote>
  <w:endnote w:type="continuationSeparator" w:id="0">
    <w:p w14:paraId="03F06052" w14:textId="77777777" w:rsidR="00A85C8B" w:rsidRDefault="00A85C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Univers">
    <w:altName w:val="Univers"/>
    <w:charset w:val="00"/>
    <w:family w:val="swiss"/>
    <w:pitch w:val="variable"/>
    <w:sig w:usb0="80000287" w:usb1="00000000" w:usb2="00000000" w:usb3="00000000" w:csb0="0000000F" w:csb1="00000000"/>
  </w:font>
  <w:font w:name="Angsana New">
    <w:panose1 w:val="02020603050405020304"/>
    <w:charset w:val="DE"/>
    <w:family w:val="roman"/>
    <w:pitch w:val="variable"/>
    <w:sig w:usb0="81000003" w:usb1="00000000" w:usb2="00000000" w:usb3="00000000" w:csb0="00010001"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ourier">
    <w:panose1 w:val="02070409020205020404"/>
    <w:charset w:val="00"/>
    <w:family w:val="modern"/>
    <w:pitch w:val="fixed"/>
    <w:sig w:usb0="00000003" w:usb1="00000000" w:usb2="00000000" w:usb3="00000000" w:csb0="00000001" w:csb1="00000000"/>
  </w:font>
  <w:font w:name="Helv">
    <w:panose1 w:val="020B0604020202030204"/>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D11471" w14:textId="77777777" w:rsidR="00FA141D" w:rsidRDefault="00FA141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E09EF5E" w14:textId="77777777" w:rsidR="00FA141D" w:rsidRDefault="00FA141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FA06F9" w14:textId="77777777" w:rsidR="00FA141D" w:rsidRDefault="00FA141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54AAD">
      <w:rPr>
        <w:rStyle w:val="PageNumber"/>
        <w:noProof/>
      </w:rPr>
      <w:t>334</w:t>
    </w:r>
    <w:r>
      <w:rPr>
        <w:rStyle w:val="PageNumber"/>
      </w:rPr>
      <w:fldChar w:fldCharType="end"/>
    </w:r>
  </w:p>
  <w:p w14:paraId="12EA2C2B" w14:textId="77777777" w:rsidR="00FA141D" w:rsidRDefault="008D4078">
    <w:pPr>
      <w:pStyle w:val="Footer"/>
      <w:ind w:right="360"/>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B66672" w14:textId="77777777" w:rsidR="00FA141D" w:rsidRDefault="00FA141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0B8509C5" w14:textId="77777777" w:rsidR="00FA141D" w:rsidRDefault="00FA141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93511A1" w14:textId="77777777" w:rsidR="00A85C8B" w:rsidRDefault="00A85C8B">
      <w:r>
        <w:separator/>
      </w:r>
    </w:p>
  </w:footnote>
  <w:footnote w:type="continuationSeparator" w:id="0">
    <w:p w14:paraId="173B4879" w14:textId="77777777" w:rsidR="00A85C8B" w:rsidRDefault="00A85C8B">
      <w:r>
        <w:continuationSeparator/>
      </w:r>
    </w:p>
  </w:footnote>
  <w:footnote w:id="1">
    <w:p w14:paraId="64FC47BB" w14:textId="77777777" w:rsidR="00602EB7" w:rsidRPr="00602EB7" w:rsidRDefault="00602EB7" w:rsidP="00602EB7">
      <w:pPr>
        <w:pStyle w:val="Footer"/>
        <w:ind w:right="360"/>
        <w:rPr>
          <w:sz w:val="16"/>
          <w:szCs w:val="16"/>
        </w:rPr>
      </w:pPr>
      <w:r w:rsidRPr="00602EB7">
        <w:rPr>
          <w:rStyle w:val="FootnoteReference"/>
          <w:sz w:val="16"/>
          <w:szCs w:val="16"/>
        </w:rPr>
        <w:footnoteRef/>
      </w:r>
      <w:r w:rsidRPr="00602EB7">
        <w:rPr>
          <w:sz w:val="16"/>
          <w:szCs w:val="16"/>
        </w:rPr>
        <w:t xml:space="preserve"> USD 9, 295,000 is executed by UNOPS; USD 5,560,000 is executed by SEAFDEC</w:t>
      </w:r>
      <w:r>
        <w:rPr>
          <w:sz w:val="16"/>
          <w:szCs w:val="16"/>
        </w:rPr>
        <w:t xml:space="preserve"> and the </w:t>
      </w:r>
      <w:r w:rsidRPr="00602EB7">
        <w:rPr>
          <w:sz w:val="16"/>
          <w:szCs w:val="16"/>
        </w:rPr>
        <w:t>balance is to cover Evaluation Costs.</w:t>
      </w:r>
    </w:p>
    <w:p w14:paraId="3D58B663" w14:textId="77777777" w:rsidR="00602EB7" w:rsidRPr="00602EB7" w:rsidRDefault="00602EB7" w:rsidP="00602EB7">
      <w:pPr>
        <w:pStyle w:val="Heading4"/>
        <w:rPr>
          <w:lang w:val="en-US"/>
        </w:rPr>
      </w:pPr>
    </w:p>
  </w:footnote>
  <w:footnote w:id="2">
    <w:p w14:paraId="0F59CB8F" w14:textId="77777777" w:rsidR="003E7B2B" w:rsidRPr="00132162" w:rsidRDefault="003E7B2B">
      <w:pPr>
        <w:pStyle w:val="FootnoteText"/>
        <w:rPr>
          <w:rFonts w:ascii="Times New Roman" w:hAnsi="Times New Roman" w:cs="Times New Roman"/>
        </w:rPr>
      </w:pPr>
      <w:r w:rsidRPr="00132162">
        <w:rPr>
          <w:rStyle w:val="FootnoteReference"/>
          <w:rFonts w:ascii="Times New Roman" w:hAnsi="Times New Roman" w:cs="Times New Roman"/>
        </w:rPr>
        <w:footnoteRef/>
      </w:r>
      <w:r w:rsidRPr="00132162">
        <w:rPr>
          <w:rFonts w:ascii="Times New Roman" w:hAnsi="Times New Roman" w:cs="Times New Roman"/>
        </w:rPr>
        <w:t xml:space="preserve"> Available online at http://google-latlong.blogspot.com/2008/02/south-china-sea-project.html</w:t>
      </w:r>
    </w:p>
  </w:footnote>
  <w:footnote w:id="3">
    <w:p w14:paraId="02E2ED64" w14:textId="77777777" w:rsidR="00FA141D" w:rsidRPr="00250AB6" w:rsidRDefault="00FA141D">
      <w:pPr>
        <w:pStyle w:val="FootnoteText"/>
        <w:rPr>
          <w:rFonts w:ascii="Times New Roman" w:hAnsi="Times New Roman" w:cs="Times New Roman"/>
        </w:rPr>
      </w:pPr>
      <w:r w:rsidRPr="00250AB6">
        <w:rPr>
          <w:rStyle w:val="FootnoteReference"/>
          <w:rFonts w:ascii="Times New Roman" w:hAnsi="Times New Roman" w:cs="Times New Roman"/>
        </w:rPr>
        <w:footnoteRef/>
      </w:r>
      <w:r w:rsidRPr="00250AB6">
        <w:rPr>
          <w:rFonts w:ascii="Times New Roman" w:hAnsi="Times New Roman" w:cs="Times New Roman"/>
        </w:rPr>
        <w:t xml:space="preserve"> Coastal communities bordering the South China Sea and Gulf of Thailand have been identified as being among the most at risk globally from coastal and marine environmental degradation (IOC-UNESCO and UNEP, 2016)</w:t>
      </w:r>
    </w:p>
  </w:footnote>
  <w:footnote w:id="4">
    <w:p w14:paraId="56B9D0E5" w14:textId="77777777" w:rsidR="00FA141D" w:rsidRPr="00B62FD7" w:rsidRDefault="00FA141D" w:rsidP="00183235">
      <w:pPr>
        <w:pStyle w:val="FootnoteText"/>
        <w:rPr>
          <w:rFonts w:ascii="Times New Roman" w:hAnsi="Times New Roman" w:cs="Times New Roman"/>
          <w:lang w:val="pt-BR"/>
        </w:rPr>
      </w:pPr>
      <w:r w:rsidRPr="00844B86">
        <w:rPr>
          <w:rStyle w:val="FootnoteReference"/>
          <w:rFonts w:ascii="Times New Roman" w:hAnsi="Times New Roman" w:cs="Times New Roman"/>
        </w:rPr>
        <w:footnoteRef/>
      </w:r>
      <w:r w:rsidRPr="00B62FD7">
        <w:rPr>
          <w:rFonts w:ascii="Times New Roman" w:hAnsi="Times New Roman" w:cs="Times New Roman"/>
          <w:lang w:val="pt-BR"/>
        </w:rPr>
        <w:t xml:space="preserve"> GEF, 1997. Operational Programs, page 8-3 para 8.9 sub-para (a).</w:t>
      </w:r>
    </w:p>
  </w:footnote>
  <w:footnote w:id="5">
    <w:p w14:paraId="318FCA8B" w14:textId="77777777" w:rsidR="00FA141D" w:rsidRPr="00844B86" w:rsidRDefault="00FA141D" w:rsidP="00424E22">
      <w:pPr>
        <w:pStyle w:val="FootnoteText"/>
        <w:rPr>
          <w:rFonts w:ascii="Times New Roman" w:hAnsi="Times New Roman" w:cs="Times New Roman"/>
        </w:rPr>
      </w:pPr>
      <w:r w:rsidRPr="00844B86">
        <w:rPr>
          <w:rStyle w:val="FootnoteReference"/>
          <w:rFonts w:ascii="Times New Roman" w:hAnsi="Times New Roman" w:cs="Times New Roman"/>
        </w:rPr>
        <w:footnoteRef/>
      </w:r>
      <w:r w:rsidRPr="00844B86">
        <w:rPr>
          <w:rFonts w:ascii="Times New Roman" w:hAnsi="Times New Roman" w:cs="Times New Roman"/>
        </w:rPr>
        <w:t xml:space="preserve"> Hereafter referred to as the SCS project.</w:t>
      </w:r>
    </w:p>
  </w:footnote>
  <w:footnote w:id="6">
    <w:p w14:paraId="745A0FCF" w14:textId="77777777" w:rsidR="00FA141D" w:rsidRPr="001D5392" w:rsidRDefault="00FA141D" w:rsidP="00C35350">
      <w:pPr>
        <w:pStyle w:val="FootnoteText"/>
        <w:rPr>
          <w:rFonts w:ascii="Times New Roman" w:hAnsi="Times New Roman" w:cs="Times New Roman"/>
        </w:rPr>
      </w:pPr>
      <w:r w:rsidRPr="001D5392">
        <w:rPr>
          <w:rStyle w:val="FootnoteReference"/>
          <w:rFonts w:ascii="Times New Roman" w:hAnsi="Times New Roman" w:cs="Times New Roman"/>
        </w:rPr>
        <w:footnoteRef/>
      </w:r>
      <w:r w:rsidRPr="001D5392">
        <w:rPr>
          <w:rFonts w:ascii="Times New Roman" w:hAnsi="Times New Roman" w:cs="Times New Roman"/>
        </w:rPr>
        <w:t xml:space="preserve"> Cambodia, China, Indonesia, Malaysia, Philippines, Thailand, and Viet Nam.</w:t>
      </w:r>
    </w:p>
  </w:footnote>
  <w:footnote w:id="7">
    <w:p w14:paraId="3E1D65D2" w14:textId="77777777" w:rsidR="00FA141D" w:rsidRPr="00A73AC1" w:rsidRDefault="00FA141D">
      <w:pPr>
        <w:pStyle w:val="FootnoteText"/>
        <w:rPr>
          <w:rFonts w:ascii="Times New Roman" w:hAnsi="Times New Roman" w:cs="Times New Roman"/>
        </w:rPr>
      </w:pPr>
      <w:r w:rsidRPr="00A73AC1">
        <w:rPr>
          <w:rStyle w:val="FootnoteReference"/>
          <w:rFonts w:ascii="Times New Roman" w:hAnsi="Times New Roman" w:cs="Times New Roman"/>
        </w:rPr>
        <w:footnoteRef/>
      </w:r>
      <w:r w:rsidRPr="00A73AC1">
        <w:rPr>
          <w:rFonts w:ascii="Times New Roman" w:hAnsi="Times New Roman" w:cs="Times New Roman"/>
        </w:rPr>
        <w:t xml:space="preserve"> The emphasis of a TDA is on the cause and effect chain (or “causal chain”) of relationships between the environmental issue or problem and its root cause in the social, economic, and/or cultural spheres of human activity (see UNEP, 1997; Pernetta and Bewers, 2012)</w:t>
      </w:r>
    </w:p>
  </w:footnote>
  <w:footnote w:id="8">
    <w:p w14:paraId="08D7F93E" w14:textId="77777777" w:rsidR="00FA141D" w:rsidRDefault="00FA141D">
      <w:pPr>
        <w:pStyle w:val="FootnoteText"/>
      </w:pPr>
      <w:r>
        <w:rPr>
          <w:rStyle w:val="FootnoteReference"/>
        </w:rPr>
        <w:footnoteRef/>
      </w:r>
      <w:r>
        <w:t xml:space="preserve"> </w:t>
      </w:r>
      <w:r w:rsidRPr="001D5392">
        <w:rPr>
          <w:rFonts w:ascii="Times New Roman" w:hAnsi="Times New Roman" w:cs="Times New Roman"/>
        </w:rPr>
        <w:t>See Annex 3 of UNEP (1997) entitled “</w:t>
      </w:r>
      <w:r w:rsidRPr="001D5392">
        <w:rPr>
          <w:rFonts w:ascii="Times New Roman" w:hAnsi="Times New Roman" w:cs="Times New Roman"/>
          <w:i/>
        </w:rPr>
        <w:t>Transboundary Diagnostic Analysis</w:t>
      </w:r>
      <w:r w:rsidRPr="001D5392">
        <w:rPr>
          <w:rFonts w:ascii="Times New Roman" w:hAnsi="Times New Roman" w:cs="Times New Roman"/>
        </w:rPr>
        <w:t>”.</w:t>
      </w:r>
    </w:p>
  </w:footnote>
  <w:footnote w:id="9">
    <w:p w14:paraId="60816BBB" w14:textId="77777777" w:rsidR="00FA141D" w:rsidRDefault="00FA141D">
      <w:pPr>
        <w:pStyle w:val="FootnoteText"/>
      </w:pPr>
      <w:r>
        <w:rPr>
          <w:rStyle w:val="FootnoteReference"/>
        </w:rPr>
        <w:footnoteRef/>
      </w:r>
      <w:r>
        <w:t xml:space="preserve"> </w:t>
      </w:r>
      <w:r w:rsidRPr="001D5392">
        <w:rPr>
          <w:rFonts w:ascii="Times New Roman" w:hAnsi="Times New Roman" w:cs="Times New Roman"/>
        </w:rPr>
        <w:t>See Annex 4 of UNEP (1997) entitled “</w:t>
      </w:r>
      <w:r w:rsidRPr="001D5392">
        <w:rPr>
          <w:rFonts w:ascii="Times New Roman" w:hAnsi="Times New Roman" w:cs="Times New Roman"/>
          <w:i/>
        </w:rPr>
        <w:t>Preliminary Analysis of Causes of Water-related Issues and Problems in the South China Sea Region</w:t>
      </w:r>
      <w:r w:rsidRPr="001D5392">
        <w:rPr>
          <w:rFonts w:ascii="Times New Roman" w:hAnsi="Times New Roman" w:cs="Times New Roman"/>
        </w:rPr>
        <w:t>”.</w:t>
      </w:r>
    </w:p>
  </w:footnote>
  <w:footnote w:id="10">
    <w:p w14:paraId="600EC537" w14:textId="77777777" w:rsidR="00FA141D" w:rsidRPr="001D5392" w:rsidRDefault="00FA141D" w:rsidP="00C35350">
      <w:pPr>
        <w:pStyle w:val="FootnoteText"/>
        <w:rPr>
          <w:rFonts w:ascii="Times New Roman" w:hAnsi="Times New Roman" w:cs="Times New Roman"/>
        </w:rPr>
      </w:pPr>
      <w:r w:rsidRPr="001D5392">
        <w:rPr>
          <w:rStyle w:val="FootnoteReference"/>
          <w:rFonts w:ascii="Times New Roman" w:hAnsi="Times New Roman" w:cs="Times New Roman"/>
        </w:rPr>
        <w:footnoteRef/>
      </w:r>
      <w:r w:rsidRPr="001D5392">
        <w:rPr>
          <w:rFonts w:ascii="Times New Roman" w:hAnsi="Times New Roman" w:cs="Times New Roman"/>
        </w:rPr>
        <w:t xml:space="preserve"> See Annex 7 of UNEP (1997) entitled “</w:t>
      </w:r>
      <w:r w:rsidRPr="00865C2B">
        <w:rPr>
          <w:rFonts w:ascii="Times New Roman" w:hAnsi="Times New Roman" w:cs="Times New Roman"/>
          <w:i/>
        </w:rPr>
        <w:t>Outline and Content of National Reports</w:t>
      </w:r>
      <w:r w:rsidRPr="001D5392">
        <w:rPr>
          <w:rFonts w:ascii="Times New Roman" w:hAnsi="Times New Roman" w:cs="Times New Roman"/>
        </w:rPr>
        <w:t>”.</w:t>
      </w:r>
    </w:p>
  </w:footnote>
  <w:footnote w:id="11">
    <w:p w14:paraId="31B0B87B" w14:textId="77777777" w:rsidR="00FA141D" w:rsidRDefault="00FA141D" w:rsidP="00851981">
      <w:pPr>
        <w:pStyle w:val="FootnoteText"/>
        <w:jc w:val="both"/>
      </w:pPr>
      <w:r>
        <w:rPr>
          <w:rStyle w:val="FootnoteReference"/>
        </w:rPr>
        <w:footnoteRef/>
      </w:r>
      <w:r>
        <w:t xml:space="preserve"> </w:t>
      </w:r>
      <w:r w:rsidRPr="00841E73">
        <w:rPr>
          <w:rFonts w:ascii="Times New Roman" w:hAnsi="Times New Roman" w:cs="Times New Roman"/>
        </w:rPr>
        <w:t>See Annex 5 of UNEP (1998a) entitled “</w:t>
      </w:r>
      <w:r w:rsidRPr="00865C2B">
        <w:rPr>
          <w:rFonts w:ascii="Times New Roman" w:hAnsi="Times New Roman" w:cs="Times New Roman"/>
          <w:i/>
        </w:rPr>
        <w:t>Causal Chain Analysis of Water Related Environmental Issues in the South China Sea; by Country</w:t>
      </w:r>
      <w:r w:rsidRPr="00841E73">
        <w:rPr>
          <w:rFonts w:ascii="Times New Roman" w:hAnsi="Times New Roman" w:cs="Times New Roman"/>
        </w:rPr>
        <w:t>”.</w:t>
      </w:r>
    </w:p>
  </w:footnote>
  <w:footnote w:id="12">
    <w:p w14:paraId="63A216EE" w14:textId="77777777" w:rsidR="00FA141D" w:rsidRDefault="00FA141D" w:rsidP="00851981">
      <w:pPr>
        <w:pStyle w:val="FootnoteText"/>
        <w:jc w:val="both"/>
      </w:pPr>
      <w:r>
        <w:rPr>
          <w:rStyle w:val="FootnoteReference"/>
        </w:rPr>
        <w:footnoteRef/>
      </w:r>
      <w:r>
        <w:t xml:space="preserve"> </w:t>
      </w:r>
      <w:r w:rsidRPr="00841E73">
        <w:rPr>
          <w:rFonts w:ascii="Times New Roman" w:hAnsi="Times New Roman" w:cs="Times New Roman"/>
        </w:rPr>
        <w:t>The Delphi method was utilised as a key process tool by the SCS project to facilitate consensus decision-making. Linstone and Turoff (1975) defined the Delphi method “as a method for structuring a group communication process so that the process is effective in allowing a group of individuals, as a whole, to deal with a complex problem”. A Delphi exercise involves the iterative questionnaire polling of group member views and opinions on specific problems. For example, the Delphi method was used to reach regional agreement on the transboundary significance of pelagic and demersal fish stocks. The results of this exercise were used to identify habitat areas that serve as critical fisheries refugia for fish stocks of transboundary significance</w:t>
      </w:r>
      <w:r>
        <w:rPr>
          <w:rFonts w:ascii="Times New Roman" w:hAnsi="Times New Roman" w:cs="Times New Roman"/>
        </w:rPr>
        <w:t>.</w:t>
      </w:r>
    </w:p>
  </w:footnote>
  <w:footnote w:id="13">
    <w:p w14:paraId="5C5696E7" w14:textId="77777777" w:rsidR="00FA141D" w:rsidRDefault="00FA141D" w:rsidP="00851981">
      <w:pPr>
        <w:pStyle w:val="FootnoteText"/>
        <w:jc w:val="both"/>
      </w:pPr>
      <w:r>
        <w:rPr>
          <w:rStyle w:val="FootnoteReference"/>
        </w:rPr>
        <w:footnoteRef/>
      </w:r>
      <w:r>
        <w:t xml:space="preserve"> </w:t>
      </w:r>
      <w:r w:rsidRPr="00841E73">
        <w:rPr>
          <w:rFonts w:ascii="Times New Roman" w:hAnsi="Times New Roman" w:cs="Times New Roman"/>
        </w:rPr>
        <w:t>See Annex 6 of UNEP (1998a) entitled “</w:t>
      </w:r>
      <w:r w:rsidRPr="00865C2B">
        <w:rPr>
          <w:rFonts w:ascii="Times New Roman" w:hAnsi="Times New Roman" w:cs="Times New Roman"/>
          <w:i/>
        </w:rPr>
        <w:t>Transboundary Aspects of Water-Related Environmental Issues in the South China Sea Analysed by Country to Produce a Comparative Qualitative Ranking of Importance</w:t>
      </w:r>
      <w:r w:rsidRPr="00841E73">
        <w:rPr>
          <w:rFonts w:ascii="Times New Roman" w:hAnsi="Times New Roman" w:cs="Times New Roman"/>
        </w:rPr>
        <w:t>”.</w:t>
      </w:r>
    </w:p>
  </w:footnote>
  <w:footnote w:id="14">
    <w:p w14:paraId="00E81216" w14:textId="77777777" w:rsidR="00FA141D" w:rsidRPr="00851981" w:rsidRDefault="00FA141D" w:rsidP="00851981">
      <w:pPr>
        <w:pStyle w:val="FootnoteText"/>
        <w:jc w:val="both"/>
        <w:rPr>
          <w:rFonts w:ascii="Times New Roman" w:hAnsi="Times New Roman" w:cs="Times New Roman"/>
        </w:rPr>
      </w:pPr>
      <w:r w:rsidRPr="00851981">
        <w:rPr>
          <w:rStyle w:val="FootnoteReference"/>
          <w:rFonts w:ascii="Times New Roman" w:hAnsi="Times New Roman" w:cs="Times New Roman"/>
        </w:rPr>
        <w:footnoteRef/>
      </w:r>
      <w:r w:rsidRPr="00851981">
        <w:rPr>
          <w:rFonts w:ascii="Times New Roman" w:hAnsi="Times New Roman" w:cs="Times New Roman"/>
        </w:rPr>
        <w:t xml:space="preserve"> See Annex 7 of UNEP (1998b) entitled “</w:t>
      </w:r>
      <w:r w:rsidRPr="00865C2B">
        <w:rPr>
          <w:rFonts w:ascii="Times New Roman" w:hAnsi="Times New Roman" w:cs="Times New Roman"/>
          <w:i/>
        </w:rPr>
        <w:t>Draft Outline for the Transboundary Diagnostic Analysis for the South China Sea and its Associated Freshwater Catchments</w:t>
      </w:r>
      <w:r w:rsidRPr="00851981">
        <w:rPr>
          <w:rFonts w:ascii="Times New Roman" w:hAnsi="Times New Roman" w:cs="Times New Roman"/>
        </w:rPr>
        <w:t>”.</w:t>
      </w:r>
    </w:p>
  </w:footnote>
  <w:footnote w:id="15">
    <w:p w14:paraId="620A7443" w14:textId="77777777" w:rsidR="00FA141D" w:rsidRPr="00851981" w:rsidRDefault="00FA141D" w:rsidP="00851981">
      <w:pPr>
        <w:pStyle w:val="FootnoteText"/>
        <w:jc w:val="both"/>
        <w:rPr>
          <w:rFonts w:ascii="Times New Roman" w:hAnsi="Times New Roman" w:cs="Times New Roman"/>
        </w:rPr>
      </w:pPr>
      <w:r w:rsidRPr="00851981">
        <w:rPr>
          <w:rStyle w:val="FootnoteReference"/>
          <w:rFonts w:ascii="Times New Roman" w:hAnsi="Times New Roman" w:cs="Times New Roman"/>
        </w:rPr>
        <w:footnoteRef/>
      </w:r>
      <w:r w:rsidRPr="00851981">
        <w:rPr>
          <w:rFonts w:ascii="Times New Roman" w:hAnsi="Times New Roman" w:cs="Times New Roman"/>
        </w:rPr>
        <w:t xml:space="preserve"> ‘Project document’ is a term used within the GEF community to refer to the full project design document for a project. It is the key tool for formulating and implementing a GEF project, as well as for monitoring and evaluation, and is a legal instrument that must be appropriately signed in order for funds to be disbursed to a project. The project document also constitutes the contractual basis for any undertaking with a cooperating agency or supporting organisation, as well as the basis for the terms of agreement for any consultancy or contractual services for the project. A project document is also often referred to as a ‘project brief’. The project document for the SCS project is available online at &lt;http://www.unepscs.org/Project_Background.html&gt;.</w:t>
      </w:r>
    </w:p>
    <w:p w14:paraId="461B16DE" w14:textId="77777777" w:rsidR="00FA141D" w:rsidRDefault="00FA141D">
      <w:pPr>
        <w:pStyle w:val="FootnoteText"/>
      </w:pPr>
    </w:p>
  </w:footnote>
  <w:footnote w:id="16">
    <w:p w14:paraId="18491080" w14:textId="77777777" w:rsidR="00FA141D" w:rsidRPr="00233CD7" w:rsidRDefault="00FA141D">
      <w:pPr>
        <w:pStyle w:val="FootnoteText"/>
        <w:rPr>
          <w:rFonts w:ascii="Times New Roman" w:hAnsi="Times New Roman" w:cs="Times New Roman"/>
        </w:rPr>
      </w:pPr>
      <w:r w:rsidRPr="00233CD7">
        <w:rPr>
          <w:rStyle w:val="FootnoteReference"/>
          <w:rFonts w:ascii="Times New Roman" w:hAnsi="Times New Roman" w:cs="Times New Roman"/>
        </w:rPr>
        <w:footnoteRef/>
      </w:r>
      <w:r w:rsidRPr="00233CD7">
        <w:rPr>
          <w:rFonts w:ascii="Times New Roman" w:hAnsi="Times New Roman" w:cs="Times New Roman"/>
        </w:rPr>
        <w:t xml:space="preserve"> It is noted that, while contemporary results frameworks for GEF International Waters projects require Ministerial signature of Strategic Action </w:t>
      </w:r>
      <w:r>
        <w:rPr>
          <w:rFonts w:ascii="Times New Roman" w:hAnsi="Times New Roman" w:cs="Times New Roman"/>
        </w:rPr>
        <w:t>Programmes</w:t>
      </w:r>
      <w:r w:rsidRPr="00233CD7">
        <w:rPr>
          <w:rFonts w:ascii="Times New Roman" w:hAnsi="Times New Roman" w:cs="Times New Roman"/>
        </w:rPr>
        <w:t>, no such policy guidance on</w:t>
      </w:r>
      <w:r>
        <w:rPr>
          <w:rFonts w:ascii="Times New Roman" w:hAnsi="Times New Roman" w:cs="Times New Roman"/>
        </w:rPr>
        <w:t xml:space="preserve"> SAP</w:t>
      </w:r>
      <w:r w:rsidRPr="00233CD7">
        <w:rPr>
          <w:rFonts w:ascii="Times New Roman" w:hAnsi="Times New Roman" w:cs="Times New Roman"/>
        </w:rPr>
        <w:t xml:space="preserve"> endorsement was provided by the GEF Secretariat during the SCS SAP formulation project</w:t>
      </w:r>
      <w:r>
        <w:rPr>
          <w:rFonts w:ascii="Times New Roman" w:hAnsi="Times New Roman" w:cs="Times New Roman"/>
        </w:rPr>
        <w:t>.</w:t>
      </w:r>
    </w:p>
  </w:footnote>
  <w:footnote w:id="17">
    <w:p w14:paraId="460ACDC6" w14:textId="77777777" w:rsidR="00FA141D" w:rsidRPr="00591081" w:rsidRDefault="00FA141D" w:rsidP="00851981">
      <w:pPr>
        <w:pStyle w:val="FootnoteText"/>
        <w:rPr>
          <w:rFonts w:ascii="Times New Roman" w:hAnsi="Times New Roman" w:cs="Times New Roman"/>
        </w:rPr>
      </w:pPr>
      <w:r w:rsidRPr="00591081">
        <w:rPr>
          <w:rStyle w:val="FootnoteReference"/>
          <w:rFonts w:ascii="Times New Roman" w:hAnsi="Times New Roman" w:cs="Times New Roman"/>
        </w:rPr>
        <w:footnoteRef/>
      </w:r>
      <w:r w:rsidRPr="00591081">
        <w:rPr>
          <w:rFonts w:ascii="Times New Roman" w:hAnsi="Times New Roman" w:cs="Times New Roman"/>
        </w:rPr>
        <w:t xml:space="preserve"> See paragraph 7.1.3 of UNEP (2002a)</w:t>
      </w:r>
    </w:p>
  </w:footnote>
  <w:footnote w:id="18">
    <w:p w14:paraId="27850584" w14:textId="77777777" w:rsidR="00FA141D" w:rsidRPr="00591081" w:rsidRDefault="00FA141D" w:rsidP="00851981">
      <w:pPr>
        <w:pStyle w:val="FootnoteText"/>
        <w:rPr>
          <w:rFonts w:ascii="Times New Roman" w:hAnsi="Times New Roman" w:cs="Times New Roman"/>
        </w:rPr>
      </w:pPr>
      <w:r w:rsidRPr="00591081">
        <w:rPr>
          <w:rStyle w:val="FootnoteReference"/>
          <w:rFonts w:ascii="Times New Roman" w:hAnsi="Times New Roman" w:cs="Times New Roman"/>
        </w:rPr>
        <w:footnoteRef/>
      </w:r>
      <w:r w:rsidRPr="00591081">
        <w:rPr>
          <w:rFonts w:ascii="Times New Roman" w:hAnsi="Times New Roman" w:cs="Times New Roman"/>
        </w:rPr>
        <w:t xml:space="preserve"> See paragraph 7.1.4 of UNEP (2002a).</w:t>
      </w:r>
    </w:p>
  </w:footnote>
  <w:footnote w:id="19">
    <w:p w14:paraId="3531519A" w14:textId="77777777" w:rsidR="00FA141D" w:rsidRPr="00591081" w:rsidRDefault="00FA141D" w:rsidP="00160E78">
      <w:pPr>
        <w:pStyle w:val="FootnoteText"/>
        <w:rPr>
          <w:rFonts w:ascii="Times New Roman" w:hAnsi="Times New Roman" w:cs="Times New Roman"/>
        </w:rPr>
      </w:pPr>
      <w:r w:rsidRPr="00591081">
        <w:rPr>
          <w:rStyle w:val="FootnoteReference"/>
          <w:rFonts w:ascii="Times New Roman" w:hAnsi="Times New Roman" w:cs="Times New Roman"/>
        </w:rPr>
        <w:footnoteRef/>
      </w:r>
      <w:r w:rsidRPr="00591081">
        <w:rPr>
          <w:rFonts w:ascii="Times New Roman" w:hAnsi="Times New Roman" w:cs="Times New Roman"/>
        </w:rPr>
        <w:t xml:space="preserve"> Approved by the First Meeting of the Project Steering Committee (UNEP, 2001).</w:t>
      </w:r>
    </w:p>
  </w:footnote>
  <w:footnote w:id="20">
    <w:p w14:paraId="401440B6" w14:textId="77777777" w:rsidR="00FA141D" w:rsidRPr="0075452E" w:rsidRDefault="00FA141D" w:rsidP="00ED295A">
      <w:pPr>
        <w:pStyle w:val="FootnoteText"/>
        <w:rPr>
          <w:rFonts w:ascii="Times New Roman" w:hAnsi="Times New Roman" w:cs="Times New Roman"/>
        </w:rPr>
      </w:pPr>
      <w:r w:rsidRPr="0075452E">
        <w:rPr>
          <w:rStyle w:val="FootnoteReference"/>
          <w:rFonts w:ascii="Times New Roman" w:hAnsi="Times New Roman" w:cs="Times New Roman"/>
        </w:rPr>
        <w:footnoteRef/>
      </w:r>
      <w:r w:rsidRPr="0075452E">
        <w:rPr>
          <w:rFonts w:ascii="Times New Roman" w:hAnsi="Times New Roman" w:cs="Times New Roman"/>
        </w:rPr>
        <w:t xml:space="preserve"> Obligate or ‘true’ mangrove species are found only in mangrove ecosystems, whilst associated mangrove species are those which are found in other ecosystems in addition to mangroves.</w:t>
      </w:r>
    </w:p>
  </w:footnote>
  <w:footnote w:id="21">
    <w:p w14:paraId="64034FB2" w14:textId="77777777" w:rsidR="00FA141D" w:rsidRPr="00E60FFC" w:rsidRDefault="00FA141D">
      <w:pPr>
        <w:pStyle w:val="FootnoteText"/>
        <w:rPr>
          <w:rFonts w:ascii="Times New Roman" w:hAnsi="Times New Roman" w:cs="Times New Roman"/>
        </w:rPr>
      </w:pPr>
      <w:r w:rsidRPr="00E60FFC">
        <w:rPr>
          <w:rStyle w:val="FootnoteReference"/>
          <w:rFonts w:ascii="Times New Roman" w:hAnsi="Times New Roman" w:cs="Times New Roman"/>
        </w:rPr>
        <w:footnoteRef/>
      </w:r>
      <w:r w:rsidRPr="00E60FFC">
        <w:rPr>
          <w:rFonts w:ascii="Times New Roman" w:hAnsi="Times New Roman" w:cs="Times New Roman"/>
        </w:rPr>
        <w:t xml:space="preserve"> It is acknowledged that, while such indicators relating to the quality of national and regional consultative processes for SAP formulation do not form part of the process indicators used to track the results of GEF International Waters initiatives, nor have they been the attention of evaluations</w:t>
      </w:r>
      <w:r>
        <w:rPr>
          <w:rFonts w:ascii="Times New Roman" w:hAnsi="Times New Roman" w:cs="Times New Roman"/>
        </w:rPr>
        <w:t xml:space="preserve"> of GEF International Waters investments</w:t>
      </w:r>
      <w:r w:rsidRPr="00E60FFC">
        <w:rPr>
          <w:rFonts w:ascii="Times New Roman" w:hAnsi="Times New Roman" w:cs="Times New Roman"/>
        </w:rPr>
        <w:t>, they are widely acknowledged in the field of International Development as f</w:t>
      </w:r>
      <w:r>
        <w:rPr>
          <w:rFonts w:ascii="Times New Roman" w:hAnsi="Times New Roman" w:cs="Times New Roman"/>
        </w:rPr>
        <w:t>undamental element of</w:t>
      </w:r>
      <w:r w:rsidRPr="00E60FFC">
        <w:rPr>
          <w:rFonts w:ascii="Times New Roman" w:hAnsi="Times New Roman" w:cs="Times New Roman"/>
        </w:rPr>
        <w:t xml:space="preserve"> multi-lateral decision-making and planning (see Hass, 1989; Knorr-Cetina, 1999; Van de Kerkhof, 2006; and Reed, 2008)</w:t>
      </w:r>
      <w:r>
        <w:rPr>
          <w:rFonts w:ascii="Times New Roman" w:hAnsi="Times New Roman" w:cs="Times New Roman"/>
        </w:rPr>
        <w:t>.</w:t>
      </w:r>
    </w:p>
  </w:footnote>
  <w:footnote w:id="22">
    <w:p w14:paraId="6E1547BD" w14:textId="77777777" w:rsidR="00FA141D" w:rsidRPr="005D665F" w:rsidRDefault="00FA141D" w:rsidP="00335E1B">
      <w:pPr>
        <w:pStyle w:val="FootnoteText"/>
        <w:rPr>
          <w:rFonts w:ascii="Times New Roman" w:hAnsi="Times New Roman" w:cs="Times New Roman"/>
        </w:rPr>
      </w:pPr>
      <w:r w:rsidRPr="005D665F">
        <w:rPr>
          <w:rStyle w:val="FootnoteReference"/>
          <w:rFonts w:ascii="Times New Roman" w:hAnsi="Times New Roman" w:cs="Times New Roman"/>
        </w:rPr>
        <w:footnoteRef/>
      </w:r>
      <w:r w:rsidRPr="005D665F">
        <w:rPr>
          <w:rFonts w:ascii="Times New Roman" w:hAnsi="Times New Roman" w:cs="Times New Roman"/>
        </w:rPr>
        <w:t xml:space="preserve"> All meeting discussion documents and reports can be accessed online via the SCS project website &lt;http://www.unepscs.org&gt;.</w:t>
      </w:r>
    </w:p>
  </w:footnote>
  <w:footnote w:id="23">
    <w:p w14:paraId="416E02F7" w14:textId="77777777" w:rsidR="00FA141D" w:rsidRPr="00136A32" w:rsidRDefault="00FA141D" w:rsidP="00335E1B">
      <w:pPr>
        <w:pStyle w:val="FootnoteText"/>
        <w:rPr>
          <w:rFonts w:ascii="Times New Roman" w:hAnsi="Times New Roman" w:cs="Times New Roman"/>
        </w:rPr>
      </w:pPr>
      <w:r w:rsidRPr="00136A32">
        <w:rPr>
          <w:rStyle w:val="FootnoteReference"/>
          <w:rFonts w:ascii="Times New Roman" w:hAnsi="Times New Roman" w:cs="Times New Roman"/>
        </w:rPr>
        <w:footnoteRef/>
      </w:r>
      <w:r w:rsidRPr="00136A32">
        <w:rPr>
          <w:rFonts w:ascii="Times New Roman" w:hAnsi="Times New Roman" w:cs="Times New Roman"/>
        </w:rPr>
        <w:t xml:space="preserve"> See &lt;http://gis.unepscs.org&gt;.</w:t>
      </w:r>
    </w:p>
  </w:footnote>
  <w:footnote w:id="24">
    <w:p w14:paraId="34748763" w14:textId="77777777" w:rsidR="00FA141D" w:rsidRPr="00136A32" w:rsidRDefault="00FA141D" w:rsidP="00335E1B">
      <w:pPr>
        <w:pStyle w:val="FootnoteText"/>
        <w:rPr>
          <w:rFonts w:ascii="Times New Roman" w:hAnsi="Times New Roman" w:cs="Times New Roman"/>
        </w:rPr>
      </w:pPr>
      <w:r w:rsidRPr="00136A32">
        <w:rPr>
          <w:rStyle w:val="FootnoteReference"/>
          <w:rFonts w:ascii="Times New Roman" w:hAnsi="Times New Roman" w:cs="Times New Roman"/>
        </w:rPr>
        <w:footnoteRef/>
      </w:r>
      <w:r w:rsidRPr="00136A32">
        <w:rPr>
          <w:rFonts w:ascii="Times New Roman" w:hAnsi="Times New Roman" w:cs="Times New Roman"/>
        </w:rPr>
        <w:t xml:space="preserve"> See &lt;http://metadata.unepscs.org&gt;.</w:t>
      </w:r>
    </w:p>
  </w:footnote>
  <w:footnote w:id="25">
    <w:p w14:paraId="757AA9A4" w14:textId="77777777" w:rsidR="00FA141D" w:rsidRPr="00136A32" w:rsidRDefault="00FA141D" w:rsidP="00335E1B">
      <w:pPr>
        <w:pStyle w:val="FootnoteText"/>
        <w:rPr>
          <w:rFonts w:ascii="Times New Roman" w:hAnsi="Times New Roman" w:cs="Times New Roman"/>
        </w:rPr>
      </w:pPr>
      <w:r w:rsidRPr="00136A32">
        <w:rPr>
          <w:rStyle w:val="FootnoteReference"/>
          <w:rFonts w:ascii="Times New Roman" w:hAnsi="Times New Roman" w:cs="Times New Roman"/>
        </w:rPr>
        <w:footnoteRef/>
      </w:r>
      <w:r w:rsidRPr="00136A32">
        <w:rPr>
          <w:rFonts w:ascii="Times New Roman" w:hAnsi="Times New Roman" w:cs="Times New Roman"/>
        </w:rPr>
        <w:t xml:space="preserve"> See &lt;http://www.unepscs.org/nutrient_model/&gt;.</w:t>
      </w:r>
    </w:p>
  </w:footnote>
  <w:footnote w:id="26">
    <w:p w14:paraId="7DCB001F" w14:textId="77777777" w:rsidR="00FA141D" w:rsidRPr="00136A32" w:rsidRDefault="00FA141D" w:rsidP="00335E1B">
      <w:pPr>
        <w:pStyle w:val="FootnoteText"/>
        <w:rPr>
          <w:rFonts w:ascii="Times New Roman" w:hAnsi="Times New Roman" w:cs="Times New Roman"/>
        </w:rPr>
      </w:pPr>
      <w:r w:rsidRPr="00136A32">
        <w:rPr>
          <w:rStyle w:val="FootnoteReference"/>
          <w:rFonts w:ascii="Times New Roman" w:hAnsi="Times New Roman" w:cs="Times New Roman"/>
        </w:rPr>
        <w:footnoteRef/>
      </w:r>
      <w:r w:rsidRPr="00136A32">
        <w:rPr>
          <w:rFonts w:ascii="Times New Roman" w:hAnsi="Times New Roman" w:cs="Times New Roman"/>
        </w:rPr>
        <w:t xml:space="preserve"> See &lt;http://www.unepscs.org/remository/.html&gt;.</w:t>
      </w:r>
    </w:p>
  </w:footnote>
  <w:footnote w:id="27">
    <w:p w14:paraId="6FD095BA" w14:textId="77777777" w:rsidR="00FA141D" w:rsidRPr="00136A32" w:rsidRDefault="00FA141D" w:rsidP="00335E1B">
      <w:pPr>
        <w:pStyle w:val="FootnoteText"/>
        <w:rPr>
          <w:rFonts w:ascii="Times New Roman" w:hAnsi="Times New Roman" w:cs="Times New Roman"/>
        </w:rPr>
      </w:pPr>
      <w:r w:rsidRPr="00136A32">
        <w:rPr>
          <w:rStyle w:val="FootnoteReference"/>
          <w:rFonts w:ascii="Times New Roman" w:hAnsi="Times New Roman" w:cs="Times New Roman"/>
        </w:rPr>
        <w:footnoteRef/>
      </w:r>
      <w:r w:rsidRPr="00136A32">
        <w:rPr>
          <w:rFonts w:ascii="Times New Roman" w:hAnsi="Times New Roman" w:cs="Times New Roman"/>
        </w:rPr>
        <w:t xml:space="preserve"> See &lt;http://www.unepscs.org/Training/Workshops/Materials.html&gt;.</w:t>
      </w:r>
    </w:p>
  </w:footnote>
  <w:footnote w:id="28">
    <w:p w14:paraId="300CF323" w14:textId="77777777" w:rsidR="00FA141D" w:rsidRPr="00136A32" w:rsidRDefault="00FA141D" w:rsidP="00335E1B">
      <w:pPr>
        <w:pStyle w:val="FootnoteText"/>
        <w:rPr>
          <w:rFonts w:ascii="Times New Roman" w:hAnsi="Times New Roman" w:cs="Times New Roman"/>
        </w:rPr>
      </w:pPr>
      <w:r w:rsidRPr="00136A32">
        <w:rPr>
          <w:rStyle w:val="FootnoteReference"/>
          <w:rFonts w:ascii="Times New Roman" w:hAnsi="Times New Roman" w:cs="Times New Roman"/>
        </w:rPr>
        <w:footnoteRef/>
      </w:r>
      <w:r w:rsidRPr="00136A32">
        <w:rPr>
          <w:rFonts w:ascii="Times New Roman" w:hAnsi="Times New Roman" w:cs="Times New Roman"/>
        </w:rPr>
        <w:t xml:space="preserve"> See &lt;http://www.unepscs.org/South_China_Sea_Online_Public_Awareness_</w:t>
      </w:r>
    </w:p>
    <w:p w14:paraId="7BD85536" w14:textId="77777777" w:rsidR="00FA141D" w:rsidRPr="00136A32" w:rsidRDefault="00FA141D" w:rsidP="00335E1B">
      <w:pPr>
        <w:pStyle w:val="FootnoteText"/>
        <w:rPr>
          <w:rFonts w:ascii="Times New Roman" w:hAnsi="Times New Roman" w:cs="Times New Roman"/>
        </w:rPr>
      </w:pPr>
      <w:r w:rsidRPr="00136A32">
        <w:rPr>
          <w:rFonts w:ascii="Times New Roman" w:hAnsi="Times New Roman" w:cs="Times New Roman"/>
        </w:rPr>
        <w:t>Centre/Community_Awareness_Materials/South_China_Sea_MultiMedia_Centre.html&gt;.</w:t>
      </w:r>
    </w:p>
  </w:footnote>
  <w:footnote w:id="29">
    <w:p w14:paraId="3549EE1B" w14:textId="77777777" w:rsidR="00FA141D" w:rsidRPr="00136A32" w:rsidRDefault="00FA141D" w:rsidP="00335E1B">
      <w:pPr>
        <w:pStyle w:val="FootnoteText"/>
        <w:rPr>
          <w:rFonts w:ascii="Times New Roman" w:hAnsi="Times New Roman" w:cs="Times New Roman"/>
        </w:rPr>
      </w:pPr>
      <w:r w:rsidRPr="00136A32">
        <w:rPr>
          <w:rStyle w:val="FootnoteReference"/>
          <w:rFonts w:ascii="Times New Roman" w:hAnsi="Times New Roman" w:cs="Times New Roman"/>
        </w:rPr>
        <w:footnoteRef/>
      </w:r>
      <w:r w:rsidRPr="00136A32">
        <w:rPr>
          <w:rFonts w:ascii="Times New Roman" w:hAnsi="Times New Roman" w:cs="Times New Roman"/>
        </w:rPr>
        <w:t xml:space="preserve"> See &lt;http://www.unepscs.org/South_China_Sea_Knowledge/Lessons_Learned/SCS_Lessons_Learned.html&gt;.</w:t>
      </w:r>
    </w:p>
  </w:footnote>
  <w:footnote w:id="30">
    <w:p w14:paraId="70405474" w14:textId="77777777" w:rsidR="00FA141D" w:rsidRPr="00136A32" w:rsidRDefault="00FA141D" w:rsidP="00335E1B">
      <w:pPr>
        <w:pStyle w:val="FootnoteText"/>
        <w:rPr>
          <w:rFonts w:ascii="Times New Roman" w:hAnsi="Times New Roman" w:cs="Times New Roman"/>
        </w:rPr>
      </w:pPr>
      <w:r w:rsidRPr="00136A32">
        <w:rPr>
          <w:rStyle w:val="FootnoteReference"/>
          <w:rFonts w:ascii="Times New Roman" w:hAnsi="Times New Roman" w:cs="Times New Roman"/>
        </w:rPr>
        <w:footnoteRef/>
      </w:r>
      <w:r w:rsidRPr="00136A32">
        <w:rPr>
          <w:rFonts w:ascii="Times New Roman" w:hAnsi="Times New Roman" w:cs="Times New Roman"/>
        </w:rPr>
        <w:t xml:space="preserve"> See &lt;http://www.unepscs.org/South_China_Sea_National_Publications/&gt;.</w:t>
      </w:r>
    </w:p>
  </w:footnote>
  <w:footnote w:id="31">
    <w:p w14:paraId="6EF4CD64" w14:textId="77777777" w:rsidR="00FA141D" w:rsidRPr="00172E6F" w:rsidRDefault="00FA141D" w:rsidP="00A66AED">
      <w:pPr>
        <w:pStyle w:val="FootnoteText"/>
        <w:rPr>
          <w:rFonts w:ascii="Times New Roman" w:hAnsi="Times New Roman" w:cs="Times New Roman"/>
        </w:rPr>
      </w:pPr>
      <w:r w:rsidRPr="00172E6F">
        <w:rPr>
          <w:rStyle w:val="FootnoteReference"/>
          <w:rFonts w:ascii="Times New Roman" w:hAnsi="Times New Roman" w:cs="Times New Roman"/>
        </w:rPr>
        <w:footnoteRef/>
      </w:r>
      <w:r w:rsidRPr="00172E6F">
        <w:rPr>
          <w:rFonts w:ascii="Times New Roman" w:hAnsi="Times New Roman" w:cs="Times New Roman"/>
        </w:rPr>
        <w:t xml:space="preserve"> See Annex 5 of UNEP (2007c) entitled “Distribution and Abundance of Fish Larvae in the Gulf of Thailand and South China Sea”.</w:t>
      </w:r>
    </w:p>
  </w:footnote>
  <w:footnote w:id="32">
    <w:p w14:paraId="40785ADB" w14:textId="77777777" w:rsidR="00FA141D" w:rsidRPr="002256D4" w:rsidRDefault="00FA141D" w:rsidP="00A66AED">
      <w:pPr>
        <w:pStyle w:val="FootnoteText"/>
        <w:rPr>
          <w:rFonts w:ascii="Times New Roman" w:hAnsi="Times New Roman" w:cs="Times New Roman"/>
        </w:rPr>
      </w:pPr>
      <w:r w:rsidRPr="002256D4">
        <w:rPr>
          <w:rStyle w:val="FootnoteReference"/>
          <w:rFonts w:ascii="Times New Roman" w:hAnsi="Times New Roman" w:cs="Times New Roman"/>
        </w:rPr>
        <w:footnoteRef/>
      </w:r>
      <w:r w:rsidRPr="002256D4">
        <w:rPr>
          <w:rFonts w:ascii="Times New Roman" w:hAnsi="Times New Roman" w:cs="Times New Roman"/>
        </w:rPr>
        <w:t xml:space="preserve"> 28 http://www.unepscs/nutrient_model/.</w:t>
      </w:r>
    </w:p>
  </w:footnote>
  <w:footnote w:id="33">
    <w:p w14:paraId="64426231" w14:textId="77777777" w:rsidR="00FA141D" w:rsidRPr="00906ACB" w:rsidRDefault="00FA141D" w:rsidP="00AB149C">
      <w:pPr>
        <w:pStyle w:val="FootnoteText"/>
        <w:rPr>
          <w:rFonts w:ascii="Times New Roman" w:hAnsi="Times New Roman" w:cs="Times New Roman"/>
        </w:rPr>
      </w:pPr>
      <w:r w:rsidRPr="00906ACB">
        <w:rPr>
          <w:rStyle w:val="FootnoteReference"/>
          <w:rFonts w:ascii="Times New Roman" w:hAnsi="Times New Roman" w:cs="Times New Roman"/>
        </w:rPr>
        <w:footnoteRef/>
      </w:r>
      <w:r w:rsidRPr="00906ACB">
        <w:rPr>
          <w:rFonts w:ascii="Times New Roman" w:hAnsi="Times New Roman" w:cs="Times New Roman"/>
        </w:rPr>
        <w:t xml:space="preserve"> A detailed account of the habitat site selection process is provided by Pernetta and Jiang, 2013b.</w:t>
      </w:r>
    </w:p>
  </w:footnote>
  <w:footnote w:id="34">
    <w:p w14:paraId="61BDDB73" w14:textId="77777777" w:rsidR="00FA141D" w:rsidRPr="006A78A6" w:rsidRDefault="00FA141D" w:rsidP="00F02E5B">
      <w:pPr>
        <w:pStyle w:val="FootnoteText"/>
        <w:rPr>
          <w:rFonts w:ascii="Times New Roman" w:hAnsi="Times New Roman" w:cs="Times New Roman"/>
        </w:rPr>
      </w:pPr>
      <w:r w:rsidRPr="006A78A6">
        <w:rPr>
          <w:rStyle w:val="FootnoteReference"/>
          <w:rFonts w:ascii="Times New Roman" w:hAnsi="Times New Roman" w:cs="Times New Roman"/>
        </w:rPr>
        <w:footnoteRef/>
      </w:r>
      <w:r w:rsidRPr="006A78A6">
        <w:rPr>
          <w:rFonts w:ascii="Times New Roman" w:hAnsi="Times New Roman" w:cs="Times New Roman"/>
        </w:rPr>
        <w:t xml:space="preserve"> An index of national habitat demonstration project information and documents can be accessed online at &lt;http://www.unepscs.org/Habitat_Demonstration_Sites_ and_Pilot_Activities_Index.html&gt;</w:t>
      </w:r>
    </w:p>
  </w:footnote>
  <w:footnote w:id="35">
    <w:p w14:paraId="4B98A8F6" w14:textId="77777777" w:rsidR="00FA141D" w:rsidRPr="00B946CA" w:rsidRDefault="00FA141D" w:rsidP="00F02E5B">
      <w:pPr>
        <w:pStyle w:val="FootnoteText"/>
        <w:rPr>
          <w:rFonts w:ascii="Times New Roman" w:hAnsi="Times New Roman" w:cs="Times New Roman"/>
        </w:rPr>
      </w:pPr>
      <w:r w:rsidRPr="00B946CA">
        <w:rPr>
          <w:rStyle w:val="FootnoteReference"/>
          <w:rFonts w:ascii="Times New Roman" w:hAnsi="Times New Roman" w:cs="Times New Roman"/>
        </w:rPr>
        <w:footnoteRef/>
      </w:r>
      <w:r w:rsidRPr="00B946CA">
        <w:rPr>
          <w:rFonts w:ascii="Times New Roman" w:hAnsi="Times New Roman" w:cs="Times New Roman"/>
        </w:rPr>
        <w:t xml:space="preserve"> Referred to hereafter as “self-funded sites”.</w:t>
      </w:r>
    </w:p>
  </w:footnote>
  <w:footnote w:id="36">
    <w:p w14:paraId="3A96CB92" w14:textId="77777777" w:rsidR="00FA141D" w:rsidRPr="00B946CA" w:rsidRDefault="00FA141D" w:rsidP="006326A5">
      <w:pPr>
        <w:pStyle w:val="FootnoteText"/>
        <w:rPr>
          <w:rFonts w:ascii="Times New Roman" w:hAnsi="Times New Roman" w:cs="Times New Roman"/>
        </w:rPr>
      </w:pPr>
      <w:r w:rsidRPr="00B946CA">
        <w:rPr>
          <w:rStyle w:val="FootnoteReference"/>
          <w:rFonts w:ascii="Times New Roman" w:hAnsi="Times New Roman" w:cs="Times New Roman"/>
        </w:rPr>
        <w:footnoteRef/>
      </w:r>
      <w:r w:rsidRPr="00B946CA">
        <w:rPr>
          <w:rFonts w:ascii="Times New Roman" w:hAnsi="Times New Roman" w:cs="Times New Roman"/>
        </w:rPr>
        <w:t xml:space="preserve"> An example of the regional sharing generated via this mechanism, including multi-media materials such as video interviews with participants and PowerPoint presentations from the Third Mayors’ Round-Table meeting, can be accessed via the SCS project website &lt;www.unepscs.org/Meetings/Mayors_Roundtable_Regional_Scientific_Conference/SCS_Scientific_Conference_Highlights.html&gt;</w:t>
      </w:r>
    </w:p>
  </w:footnote>
  <w:footnote w:id="37">
    <w:p w14:paraId="460C7096" w14:textId="77777777" w:rsidR="00FA141D" w:rsidRPr="006326A5" w:rsidRDefault="00FA141D" w:rsidP="006326A5">
      <w:pPr>
        <w:pStyle w:val="FootnoteText"/>
        <w:rPr>
          <w:rFonts w:ascii="Times New Roman" w:hAnsi="Times New Roman" w:cs="Times New Roman"/>
        </w:rPr>
      </w:pPr>
      <w:r w:rsidRPr="006326A5">
        <w:rPr>
          <w:rStyle w:val="FootnoteReference"/>
          <w:rFonts w:ascii="Times New Roman" w:hAnsi="Times New Roman" w:cs="Times New Roman"/>
        </w:rPr>
        <w:footnoteRef/>
      </w:r>
      <w:r w:rsidRPr="006326A5">
        <w:rPr>
          <w:rFonts w:ascii="Times New Roman" w:hAnsi="Times New Roman" w:cs="Times New Roman"/>
        </w:rPr>
        <w:t xml:space="preserve"> These notes are accessible online via the SCS project website at &lt;http://www.unepscs.org/South_China_Sea_Knowledge/Lessons_Learned/SCS_Lessons_Learned.</w:t>
      </w:r>
    </w:p>
    <w:p w14:paraId="66480E72" w14:textId="77777777" w:rsidR="00FA141D" w:rsidRPr="006326A5" w:rsidRDefault="00FA141D" w:rsidP="006326A5">
      <w:pPr>
        <w:pStyle w:val="FootnoteText"/>
        <w:rPr>
          <w:rFonts w:ascii="Times New Roman" w:hAnsi="Times New Roman" w:cs="Times New Roman"/>
        </w:rPr>
      </w:pPr>
      <w:r w:rsidRPr="006326A5">
        <w:rPr>
          <w:rFonts w:ascii="Times New Roman" w:hAnsi="Times New Roman" w:cs="Times New Roman"/>
        </w:rPr>
        <w:t>html&gt;</w:t>
      </w:r>
    </w:p>
  </w:footnote>
  <w:footnote w:id="38">
    <w:p w14:paraId="755F1117" w14:textId="77777777" w:rsidR="00FA141D" w:rsidRPr="00395BDE" w:rsidRDefault="00FA141D" w:rsidP="00F21D23">
      <w:pPr>
        <w:pStyle w:val="FootnoteText"/>
        <w:rPr>
          <w:rFonts w:ascii="Times New Roman" w:hAnsi="Times New Roman" w:cs="Times New Roman"/>
        </w:rPr>
      </w:pPr>
      <w:r w:rsidRPr="00395BDE">
        <w:rPr>
          <w:rStyle w:val="FootnoteReference"/>
          <w:rFonts w:ascii="Times New Roman" w:hAnsi="Times New Roman" w:cs="Times New Roman"/>
        </w:rPr>
        <w:footnoteRef/>
      </w:r>
      <w:r w:rsidRPr="00395BDE">
        <w:rPr>
          <w:rFonts w:ascii="Times New Roman" w:hAnsi="Times New Roman" w:cs="Times New Roman"/>
        </w:rPr>
        <w:t xml:space="preserve"> An approximate increase of between US$50 and US$95.</w:t>
      </w:r>
    </w:p>
  </w:footnote>
  <w:footnote w:id="39">
    <w:p w14:paraId="5B1F8BDA" w14:textId="77777777" w:rsidR="00FA141D" w:rsidRPr="00906075" w:rsidRDefault="00FA141D" w:rsidP="00CA2F44">
      <w:pPr>
        <w:pStyle w:val="FootnoteText"/>
        <w:rPr>
          <w:rFonts w:ascii="Times New Roman" w:hAnsi="Times New Roman" w:cs="Times New Roman"/>
        </w:rPr>
      </w:pPr>
      <w:r w:rsidRPr="00906075">
        <w:rPr>
          <w:rStyle w:val="FootnoteReference"/>
          <w:rFonts w:ascii="Times New Roman" w:hAnsi="Times New Roman" w:cs="Times New Roman"/>
        </w:rPr>
        <w:footnoteRef/>
      </w:r>
      <w:r w:rsidRPr="00906075">
        <w:rPr>
          <w:rFonts w:ascii="Times New Roman" w:hAnsi="Times New Roman" w:cs="Times New Roman"/>
        </w:rPr>
        <w:t xml:space="preserve"> Copies of this agreement in Khmer, Vietnamese and English languages can be accessed via the SCS project website at &lt;http:/</w:t>
      </w:r>
      <w:r>
        <w:rPr>
          <w:rFonts w:ascii="Times New Roman" w:hAnsi="Times New Roman" w:cs="Times New Roman"/>
        </w:rPr>
        <w:t xml:space="preserve">/www.unepscs.org/Demonstration_ </w:t>
      </w:r>
      <w:r w:rsidRPr="00906075">
        <w:rPr>
          <w:rFonts w:ascii="Times New Roman" w:hAnsi="Times New Roman" w:cs="Times New Roman"/>
        </w:rPr>
        <w:t>Sites/Demonstration_Sites/Cambodia_and_Vietnam_Sign_MoA.html&gt;</w:t>
      </w:r>
    </w:p>
  </w:footnote>
  <w:footnote w:id="40">
    <w:p w14:paraId="644504A2" w14:textId="77777777" w:rsidR="00FA141D" w:rsidRPr="00CA2F44" w:rsidRDefault="00FA141D" w:rsidP="00CA2F44">
      <w:pPr>
        <w:pStyle w:val="FootnoteText"/>
        <w:rPr>
          <w:rFonts w:ascii="Times New Roman" w:hAnsi="Times New Roman" w:cs="Times New Roman"/>
        </w:rPr>
      </w:pPr>
      <w:r w:rsidRPr="00CA2F44">
        <w:rPr>
          <w:rStyle w:val="FootnoteReference"/>
          <w:rFonts w:ascii="Times New Roman" w:hAnsi="Times New Roman" w:cs="Times New Roman"/>
        </w:rPr>
        <w:footnoteRef/>
      </w:r>
      <w:r w:rsidRPr="00CA2F44">
        <w:rPr>
          <w:rFonts w:ascii="Times New Roman" w:hAnsi="Times New Roman" w:cs="Times New Roman"/>
        </w:rPr>
        <w:t xml:space="preserve"> Available online at &lt;http://www.thegef.org/gef/node/5719/&gt;</w:t>
      </w:r>
    </w:p>
    <w:p w14:paraId="46CF9DE8" w14:textId="77777777" w:rsidR="00FA141D" w:rsidRDefault="00FA141D">
      <w:pPr>
        <w:pStyle w:val="FootnoteText"/>
      </w:pPr>
    </w:p>
  </w:footnote>
  <w:footnote w:id="41">
    <w:p w14:paraId="25E9AC11" w14:textId="77777777" w:rsidR="00FA141D" w:rsidRPr="00395BDE" w:rsidRDefault="00FA141D" w:rsidP="008F4245">
      <w:pPr>
        <w:pStyle w:val="FootnoteText"/>
        <w:rPr>
          <w:rFonts w:ascii="Times New Roman" w:hAnsi="Times New Roman" w:cs="Times New Roman"/>
        </w:rPr>
      </w:pPr>
      <w:r w:rsidRPr="00395BDE">
        <w:rPr>
          <w:rStyle w:val="FootnoteReference"/>
          <w:rFonts w:ascii="Times New Roman" w:hAnsi="Times New Roman" w:cs="Times New Roman"/>
        </w:rPr>
        <w:footnoteRef/>
      </w:r>
      <w:r w:rsidRPr="00395BDE">
        <w:rPr>
          <w:rFonts w:ascii="Times New Roman" w:hAnsi="Times New Roman" w:cs="Times New Roman"/>
        </w:rPr>
        <w:t xml:space="preserve"> National environment management system for the sustainable development of industry.</w:t>
      </w:r>
    </w:p>
  </w:footnote>
  <w:footnote w:id="42">
    <w:p w14:paraId="107AD967" w14:textId="77777777" w:rsidR="00FA141D" w:rsidRPr="00395BDE" w:rsidRDefault="00FA141D" w:rsidP="008F4245">
      <w:pPr>
        <w:pStyle w:val="FootnoteText"/>
        <w:rPr>
          <w:rFonts w:ascii="Times New Roman" w:hAnsi="Times New Roman" w:cs="Times New Roman"/>
        </w:rPr>
      </w:pPr>
      <w:r w:rsidRPr="00395BDE">
        <w:rPr>
          <w:rStyle w:val="FootnoteReference"/>
          <w:rFonts w:ascii="Times New Roman" w:hAnsi="Times New Roman" w:cs="Times New Roman"/>
        </w:rPr>
        <w:footnoteRef/>
      </w:r>
      <w:r w:rsidRPr="00395BDE">
        <w:rPr>
          <w:rFonts w:ascii="Times New Roman" w:hAnsi="Times New Roman" w:cs="Times New Roman"/>
        </w:rPr>
        <w:t xml:space="preserve"> Government system for rating the compliance of industry with environment standards.</w:t>
      </w:r>
    </w:p>
  </w:footnote>
  <w:footnote w:id="43">
    <w:p w14:paraId="53F2F3FF" w14:textId="77777777" w:rsidR="00FA141D" w:rsidRPr="00C27D0E" w:rsidRDefault="00FA141D" w:rsidP="00FB39A5">
      <w:pPr>
        <w:pStyle w:val="FootnoteText"/>
        <w:ind w:left="100" w:hanging="100"/>
        <w:rPr>
          <w:rFonts w:ascii="Times New Roman" w:hAnsi="Times New Roman" w:cs="Times New Roman"/>
          <w:iCs/>
          <w:szCs w:val="16"/>
        </w:rPr>
      </w:pPr>
      <w:r w:rsidRPr="00C27D0E">
        <w:rPr>
          <w:rStyle w:val="FootnoteReference"/>
          <w:rFonts w:ascii="Times New Roman" w:hAnsi="Times New Roman" w:cs="Times New Roman"/>
          <w:iCs/>
          <w:szCs w:val="16"/>
        </w:rPr>
        <w:footnoteRef/>
      </w:r>
      <w:r w:rsidRPr="00C27D0E">
        <w:rPr>
          <w:rFonts w:ascii="Times New Roman" w:hAnsi="Times New Roman" w:cs="Times New Roman"/>
          <w:iCs/>
          <w:szCs w:val="16"/>
        </w:rPr>
        <w:t xml:space="preserve"> It </w:t>
      </w:r>
      <w:r>
        <w:rPr>
          <w:rFonts w:ascii="Times New Roman" w:hAnsi="Times New Roman" w:cs="Times New Roman"/>
          <w:iCs/>
          <w:szCs w:val="16"/>
        </w:rPr>
        <w:t>is noted</w:t>
      </w:r>
      <w:r w:rsidRPr="00C27D0E">
        <w:rPr>
          <w:rFonts w:ascii="Times New Roman" w:hAnsi="Times New Roman" w:cs="Times New Roman"/>
          <w:iCs/>
          <w:szCs w:val="16"/>
        </w:rPr>
        <w:t xml:space="preserve"> that, in the context of the </w:t>
      </w:r>
      <w:r>
        <w:rPr>
          <w:rFonts w:ascii="Times New Roman" w:hAnsi="Times New Roman" w:cs="Times New Roman"/>
          <w:iCs/>
          <w:szCs w:val="16"/>
        </w:rPr>
        <w:t>SCS</w:t>
      </w:r>
      <w:r w:rsidRPr="00C27D0E">
        <w:rPr>
          <w:rFonts w:ascii="Times New Roman" w:hAnsi="Times New Roman" w:cs="Times New Roman"/>
          <w:iCs/>
          <w:szCs w:val="16"/>
        </w:rPr>
        <w:t xml:space="preserve"> project, the only habitats included in the coastal wetlands group </w:t>
      </w:r>
      <w:r>
        <w:rPr>
          <w:rFonts w:ascii="Times New Roman" w:hAnsi="Times New Roman" w:cs="Times New Roman"/>
          <w:iCs/>
          <w:szCs w:val="16"/>
        </w:rPr>
        <w:t>were</w:t>
      </w:r>
      <w:r w:rsidRPr="00C27D0E">
        <w:rPr>
          <w:rFonts w:ascii="Times New Roman" w:hAnsi="Times New Roman" w:cs="Times New Roman"/>
          <w:iCs/>
          <w:szCs w:val="16"/>
        </w:rPr>
        <w:t>: coastal lagoons, estuaries, inter-tidal mudflats, and peat and non-peat swamp forest.</w:t>
      </w:r>
    </w:p>
  </w:footnote>
  <w:footnote w:id="44">
    <w:p w14:paraId="2A876497" w14:textId="77777777" w:rsidR="00FA141D" w:rsidRPr="00D1742B" w:rsidRDefault="00FA141D" w:rsidP="00E532DB">
      <w:pPr>
        <w:pStyle w:val="FootnoteText"/>
        <w:rPr>
          <w:rFonts w:ascii="Times New Roman" w:hAnsi="Times New Roman" w:cs="Times New Roman"/>
        </w:rPr>
      </w:pPr>
      <w:r w:rsidRPr="00D1742B">
        <w:rPr>
          <w:rStyle w:val="FootnoteReference"/>
          <w:rFonts w:ascii="Times New Roman" w:hAnsi="Times New Roman" w:cs="Times New Roman"/>
        </w:rPr>
        <w:footnoteRef/>
      </w:r>
      <w:r w:rsidRPr="00D1742B">
        <w:rPr>
          <w:rFonts w:ascii="Times New Roman" w:hAnsi="Times New Roman" w:cs="Times New Roman"/>
        </w:rPr>
        <w:t xml:space="preserve"> </w:t>
      </w:r>
      <w:r>
        <w:rPr>
          <w:rFonts w:ascii="Times New Roman" w:hAnsi="Times New Roman" w:cs="Times New Roman"/>
        </w:rPr>
        <w:t>See UNEP (</w:t>
      </w:r>
      <w:r w:rsidRPr="00D1742B">
        <w:rPr>
          <w:rFonts w:ascii="Times New Roman" w:hAnsi="Times New Roman" w:cs="Times New Roman"/>
        </w:rPr>
        <w:t>2007</w:t>
      </w:r>
      <w:r>
        <w:rPr>
          <w:rFonts w:ascii="Times New Roman" w:hAnsi="Times New Roman" w:cs="Times New Roman"/>
        </w:rPr>
        <w:t>)</w:t>
      </w:r>
      <w:r w:rsidRPr="00D1742B">
        <w:rPr>
          <w:rFonts w:ascii="Times New Roman" w:hAnsi="Times New Roman" w:cs="Times New Roman"/>
        </w:rPr>
        <w:t>. Review of the Legal Aspects of Environmental Management in the South China Sea and Gulf of Thailand. UNEP/GEF/SCS Technical Publication No. 9</w:t>
      </w:r>
      <w:r>
        <w:rPr>
          <w:rFonts w:ascii="Times New Roman" w:hAnsi="Times New Roman" w:cs="Times New Roman"/>
        </w:rPr>
        <w:t>. This report is accessible online at &lt;</w:t>
      </w:r>
      <w:r w:rsidRPr="00D1742B">
        <w:t xml:space="preserve"> </w:t>
      </w:r>
      <w:r w:rsidRPr="00D1742B">
        <w:rPr>
          <w:rFonts w:ascii="Times New Roman" w:hAnsi="Times New Roman" w:cs="Times New Roman"/>
        </w:rPr>
        <w:t>http://www.unepscs.org/remository/Download/19_-_Technical_Publications_and_Guidelines.html</w:t>
      </w:r>
      <w:r>
        <w:rPr>
          <w:rFonts w:ascii="Times New Roman" w:hAnsi="Times New Roman" w:cs="Times New Roman"/>
        </w:rPr>
        <w:t>&gt;</w:t>
      </w:r>
      <w:r w:rsidRPr="00D1742B">
        <w:t xml:space="preserve"> </w:t>
      </w:r>
    </w:p>
  </w:footnote>
  <w:footnote w:id="45">
    <w:p w14:paraId="272ABE5D" w14:textId="77777777" w:rsidR="00FA141D" w:rsidRPr="00DC0732" w:rsidRDefault="00FA141D" w:rsidP="00E532DB">
      <w:pPr>
        <w:pStyle w:val="FootnoteText"/>
        <w:rPr>
          <w:rFonts w:ascii="Times New Roman" w:hAnsi="Times New Roman" w:cs="Times New Roman"/>
        </w:rPr>
      </w:pPr>
      <w:r w:rsidRPr="00DC0732">
        <w:rPr>
          <w:rStyle w:val="FootnoteReference"/>
          <w:rFonts w:ascii="Times New Roman" w:hAnsi="Times New Roman" w:cs="Times New Roman"/>
        </w:rPr>
        <w:footnoteRef/>
      </w:r>
      <w:r w:rsidRPr="00DC0732">
        <w:rPr>
          <w:rFonts w:ascii="Times New Roman" w:hAnsi="Times New Roman" w:cs="Times New Roman"/>
        </w:rPr>
        <w:t xml:space="preserve"> See Basiron, M.N., Lexmond, S.M.</w:t>
      </w:r>
      <w:r w:rsidR="0071562F">
        <w:rPr>
          <w:rFonts w:ascii="Times New Roman" w:hAnsi="Times New Roman" w:cs="Times New Roman"/>
        </w:rPr>
        <w:t xml:space="preserve"> </w:t>
      </w:r>
      <w:r>
        <w:rPr>
          <w:rFonts w:ascii="Times New Roman" w:hAnsi="Times New Roman" w:cs="Times New Roman"/>
        </w:rPr>
        <w:t>(</w:t>
      </w:r>
      <w:r w:rsidRPr="00DC0732">
        <w:rPr>
          <w:rFonts w:ascii="Times New Roman" w:hAnsi="Times New Roman" w:cs="Times New Roman"/>
        </w:rPr>
        <w:t>2013</w:t>
      </w:r>
      <w:r>
        <w:rPr>
          <w:rFonts w:ascii="Times New Roman" w:hAnsi="Times New Roman" w:cs="Times New Roman"/>
        </w:rPr>
        <w:t xml:space="preserve">) Review of the legal aspects of environmental management in the South China Sea and Gulf of Thailand. Ocean and Coastal Management, 85(b): 257-267. </w:t>
      </w:r>
    </w:p>
  </w:footnote>
  <w:footnote w:id="46">
    <w:p w14:paraId="2DD5B088" w14:textId="77777777" w:rsidR="00FA141D" w:rsidRPr="00AE6550" w:rsidRDefault="00FA141D">
      <w:pPr>
        <w:pStyle w:val="FootnoteText"/>
        <w:rPr>
          <w:rFonts w:ascii="Times New Roman" w:hAnsi="Times New Roman" w:cs="Times New Roman"/>
        </w:rPr>
      </w:pPr>
      <w:r w:rsidRPr="00AE6550">
        <w:rPr>
          <w:rStyle w:val="FootnoteReference"/>
          <w:rFonts w:ascii="Times New Roman" w:hAnsi="Times New Roman" w:cs="Times New Roman"/>
        </w:rPr>
        <w:footnoteRef/>
      </w:r>
      <w:r w:rsidRPr="00AE6550">
        <w:rPr>
          <w:rFonts w:ascii="Times New Roman" w:hAnsi="Times New Roman" w:cs="Times New Roman"/>
        </w:rPr>
        <w:t xml:space="preserve"> </w:t>
      </w:r>
      <w:r>
        <w:rPr>
          <w:rFonts w:ascii="Times New Roman" w:hAnsi="Times New Roman" w:cs="Times New Roman"/>
        </w:rPr>
        <w:t xml:space="preserve">See </w:t>
      </w:r>
      <w:r w:rsidRPr="00AE6550">
        <w:rPr>
          <w:rFonts w:ascii="Times New Roman" w:hAnsi="Times New Roman" w:cs="Times New Roman"/>
        </w:rPr>
        <w:t xml:space="preserve">Lexmond, S.M. </w:t>
      </w:r>
      <w:r>
        <w:rPr>
          <w:rFonts w:ascii="Times New Roman" w:hAnsi="Times New Roman" w:cs="Times New Roman"/>
        </w:rPr>
        <w:t>(2008)</w:t>
      </w:r>
      <w:r w:rsidRPr="00AE6550">
        <w:rPr>
          <w:rFonts w:ascii="Times New Roman" w:hAnsi="Times New Roman" w:cs="Times New Roman"/>
        </w:rPr>
        <w:t xml:space="preserve"> </w:t>
      </w:r>
      <w:r>
        <w:rPr>
          <w:rFonts w:ascii="Times New Roman" w:hAnsi="Times New Roman" w:cs="Times New Roman"/>
        </w:rPr>
        <w:t>online at &lt;</w:t>
      </w:r>
      <w:r w:rsidRPr="00AE6550">
        <w:t xml:space="preserve"> </w:t>
      </w:r>
      <w:r w:rsidRPr="00AE6550">
        <w:rPr>
          <w:rFonts w:ascii="Times New Roman" w:hAnsi="Times New Roman" w:cs="Times New Roman"/>
        </w:rPr>
        <w:t>http://www.unepscs.org/remository/Download/19_-_Technical_Publications_and_Guidelines/Technical_Publication_17_-_Review_of_Instruments_and_Mechanisms_for_Strengthening_Marine_Environmental_Co-operation_in_the_South_China_Sea.html</w:t>
      </w:r>
      <w:r>
        <w:rPr>
          <w:rFonts w:ascii="Times New Roman" w:hAnsi="Times New Roman" w:cs="Times New Roman"/>
        </w:rPr>
        <w:t>&gt;</w:t>
      </w:r>
    </w:p>
  </w:footnote>
  <w:footnote w:id="47">
    <w:p w14:paraId="79E21477" w14:textId="77777777" w:rsidR="00FA141D" w:rsidRPr="00484C30" w:rsidRDefault="00FA141D">
      <w:pPr>
        <w:pStyle w:val="FootnoteText"/>
        <w:rPr>
          <w:rFonts w:ascii="Times New Roman" w:hAnsi="Times New Roman" w:cs="Times New Roman"/>
        </w:rPr>
      </w:pPr>
      <w:r w:rsidRPr="00484C30">
        <w:rPr>
          <w:rStyle w:val="FootnoteReference"/>
          <w:rFonts w:ascii="Times New Roman" w:hAnsi="Times New Roman" w:cs="Times New Roman"/>
        </w:rPr>
        <w:footnoteRef/>
      </w:r>
      <w:r w:rsidRPr="00484C30">
        <w:rPr>
          <w:rFonts w:ascii="Times New Roman" w:hAnsi="Times New Roman" w:cs="Times New Roman"/>
        </w:rPr>
        <w:t xml:space="preserve"> The South China Sea is defined by the International Hydrographic Organization (IHO) as the semi-enclosed body ofwater stretching in a southwest to northeast direction, whose southern border is three degrees south latitude between South Sumatra and Kalimantan (Karimata Straits), and whose northern border is the Strait of Taiwan from the northern tip of Taiwan to the Fukien coast of China (IHO, 1953)</w:t>
      </w:r>
    </w:p>
  </w:footnote>
  <w:footnote w:id="48">
    <w:p w14:paraId="713808DF" w14:textId="77777777" w:rsidR="00FA141D" w:rsidRPr="009F60FC" w:rsidRDefault="00FA141D">
      <w:pPr>
        <w:pStyle w:val="FootnoteText"/>
        <w:rPr>
          <w:rFonts w:ascii="Times New Roman" w:hAnsi="Times New Roman" w:cs="Times New Roman"/>
        </w:rPr>
      </w:pPr>
      <w:r w:rsidRPr="009F60FC">
        <w:rPr>
          <w:rStyle w:val="FootnoteReference"/>
          <w:rFonts w:ascii="Times New Roman" w:hAnsi="Times New Roman" w:cs="Times New Roman"/>
        </w:rPr>
        <w:footnoteRef/>
      </w:r>
      <w:r w:rsidRPr="009F60FC">
        <w:rPr>
          <w:rFonts w:ascii="Times New Roman" w:hAnsi="Times New Roman" w:cs="Times New Roman"/>
        </w:rPr>
        <w:t xml:space="preserve"> It is noted that activities of the SAP formulation project, and this SAP implementation project, have and will focus only on coastal</w:t>
      </w:r>
      <w:r>
        <w:rPr>
          <w:rFonts w:ascii="Times New Roman" w:hAnsi="Times New Roman" w:cs="Times New Roman"/>
        </w:rPr>
        <w:t>,</w:t>
      </w:r>
      <w:r w:rsidRPr="009F60FC">
        <w:rPr>
          <w:rFonts w:ascii="Times New Roman" w:hAnsi="Times New Roman" w:cs="Times New Roman"/>
        </w:rPr>
        <w:t xml:space="preserve"> or non-oceanic</w:t>
      </w:r>
      <w:r>
        <w:rPr>
          <w:rFonts w:ascii="Times New Roman" w:hAnsi="Times New Roman" w:cs="Times New Roman"/>
        </w:rPr>
        <w:t>,</w:t>
      </w:r>
      <w:r w:rsidRPr="009F60FC">
        <w:rPr>
          <w:rFonts w:ascii="Times New Roman" w:hAnsi="Times New Roman" w:cs="Times New Roman"/>
        </w:rPr>
        <w:t xml:space="preserve"> coral reefs.</w:t>
      </w:r>
    </w:p>
  </w:footnote>
  <w:footnote w:id="49">
    <w:p w14:paraId="0DB945BB" w14:textId="77777777" w:rsidR="00FA141D" w:rsidRPr="0071540C" w:rsidRDefault="00FA141D" w:rsidP="00A345CE">
      <w:pPr>
        <w:pStyle w:val="FootnoteText"/>
        <w:rPr>
          <w:rFonts w:ascii="Times New Roman" w:hAnsi="Times New Roman" w:cs="Times New Roman"/>
          <w:i/>
          <w:sz w:val="18"/>
          <w:szCs w:val="18"/>
        </w:rPr>
      </w:pPr>
      <w:r w:rsidRPr="0071540C">
        <w:rPr>
          <w:rStyle w:val="FootnoteReference"/>
          <w:rFonts w:ascii="Times New Roman" w:hAnsi="Times New Roman" w:cs="Times New Roman"/>
          <w:sz w:val="18"/>
          <w:szCs w:val="18"/>
        </w:rPr>
        <w:footnoteRef/>
      </w:r>
      <w:r w:rsidRPr="0071540C">
        <w:rPr>
          <w:rFonts w:ascii="Times New Roman" w:hAnsi="Times New Roman" w:cs="Times New Roman"/>
          <w:sz w:val="18"/>
          <w:szCs w:val="18"/>
        </w:rPr>
        <w:t xml:space="preserve"> Rounded to three significant figures</w:t>
      </w:r>
    </w:p>
  </w:footnote>
  <w:footnote w:id="50">
    <w:p w14:paraId="17B4CE02" w14:textId="77777777" w:rsidR="003B09A2" w:rsidRPr="00D31EEC" w:rsidRDefault="003B09A2" w:rsidP="003B09A2">
      <w:pPr>
        <w:pStyle w:val="FootnoteText"/>
        <w:rPr>
          <w:rFonts w:ascii="Times New Roman" w:hAnsi="Times New Roman" w:cs="Times New Roman"/>
        </w:rPr>
      </w:pPr>
      <w:r w:rsidRPr="00D31EEC">
        <w:rPr>
          <w:rStyle w:val="FootnoteReference"/>
          <w:rFonts w:ascii="Times New Roman" w:hAnsi="Times New Roman" w:cs="Times New Roman"/>
        </w:rPr>
        <w:footnoteRef/>
      </w:r>
      <w:r w:rsidRPr="00D31EEC">
        <w:rPr>
          <w:rFonts w:ascii="Times New Roman" w:hAnsi="Times New Roman" w:cs="Times New Roman"/>
        </w:rPr>
        <w:t xml:space="preserve"> It was not possible during project preparation to identify another SAP implementation project that has proceeded on the basis of such </w:t>
      </w:r>
      <w:r>
        <w:rPr>
          <w:rFonts w:ascii="Times New Roman" w:hAnsi="Times New Roman" w:cs="Times New Roman"/>
        </w:rPr>
        <w:t xml:space="preserve">a </w:t>
      </w:r>
      <w:r w:rsidRPr="00D31EEC">
        <w:rPr>
          <w:rFonts w:ascii="Times New Roman" w:hAnsi="Times New Roman" w:cs="Times New Roman"/>
        </w:rPr>
        <w:t xml:space="preserve">comprehensive and detailed </w:t>
      </w:r>
      <w:r>
        <w:rPr>
          <w:rFonts w:ascii="Times New Roman" w:hAnsi="Times New Roman" w:cs="Times New Roman"/>
        </w:rPr>
        <w:t xml:space="preserve">set </w:t>
      </w:r>
      <w:r w:rsidRPr="00D31EEC">
        <w:rPr>
          <w:rFonts w:ascii="Times New Roman" w:hAnsi="Times New Roman" w:cs="Times New Roman"/>
        </w:rPr>
        <w:t>baseline</w:t>
      </w:r>
      <w:r>
        <w:rPr>
          <w:rFonts w:ascii="Times New Roman" w:hAnsi="Times New Roman" w:cs="Times New Roman"/>
        </w:rPr>
        <w:t xml:space="preserve"> information and data for locations </w:t>
      </w:r>
      <w:r w:rsidRPr="00D31EEC">
        <w:rPr>
          <w:rFonts w:ascii="Times New Roman" w:hAnsi="Times New Roman" w:cs="Times New Roman"/>
        </w:rPr>
        <w:t>of target intervention such as in the case of the present project</w:t>
      </w:r>
    </w:p>
  </w:footnote>
  <w:footnote w:id="51">
    <w:p w14:paraId="0E4FE99D" w14:textId="77777777" w:rsidR="00214761" w:rsidRPr="0071562F" w:rsidRDefault="00214761">
      <w:pPr>
        <w:pStyle w:val="FootnoteText"/>
        <w:rPr>
          <w:rFonts w:ascii="Times New Roman" w:hAnsi="Times New Roman" w:cs="Times New Roman"/>
        </w:rPr>
      </w:pPr>
      <w:r w:rsidRPr="0071562F">
        <w:rPr>
          <w:rStyle w:val="FootnoteReference"/>
          <w:rFonts w:ascii="Times New Roman" w:hAnsi="Times New Roman" w:cs="Times New Roman"/>
        </w:rPr>
        <w:footnoteRef/>
      </w:r>
      <w:r w:rsidRPr="0071562F">
        <w:rPr>
          <w:rFonts w:ascii="Times New Roman" w:hAnsi="Times New Roman" w:cs="Times New Roman"/>
        </w:rPr>
        <w:t xml:space="preserve"> </w:t>
      </w:r>
      <w:r>
        <w:rPr>
          <w:rFonts w:ascii="Times New Roman" w:hAnsi="Times New Roman" w:cs="Times New Roman"/>
        </w:rPr>
        <w:t>Data be accessed via Google Earth at &lt;</w:t>
      </w:r>
      <w:r w:rsidRPr="0071562F">
        <w:rPr>
          <w:rFonts w:ascii="Times New Roman" w:hAnsi="Times New Roman" w:cs="Times New Roman"/>
        </w:rPr>
        <w:t>http://www.unepscs.org/google/South-China-Sea-Project.kmz</w:t>
      </w:r>
      <w:r>
        <w:rPr>
          <w:rFonts w:ascii="Times New Roman" w:hAnsi="Times New Roman" w:cs="Times New Roman"/>
        </w:rPr>
        <w:t>&gt;</w:t>
      </w:r>
    </w:p>
  </w:footnote>
  <w:footnote w:id="52">
    <w:p w14:paraId="2AC1D912" w14:textId="77777777" w:rsidR="003B09A2" w:rsidRPr="0071562F" w:rsidRDefault="003B09A2">
      <w:pPr>
        <w:pStyle w:val="FootnoteText"/>
        <w:rPr>
          <w:rFonts w:ascii="Times New Roman" w:hAnsi="Times New Roman" w:cs="Times New Roman"/>
        </w:rPr>
      </w:pPr>
      <w:r w:rsidRPr="0071562F">
        <w:rPr>
          <w:rStyle w:val="FootnoteReference"/>
          <w:rFonts w:ascii="Times New Roman" w:hAnsi="Times New Roman" w:cs="Times New Roman"/>
        </w:rPr>
        <w:footnoteRef/>
      </w:r>
      <w:r w:rsidRPr="0071562F">
        <w:rPr>
          <w:rFonts w:ascii="Times New Roman" w:hAnsi="Times New Roman" w:cs="Times New Roman"/>
        </w:rPr>
        <w:t xml:space="preserve"> See &lt;http://metadata.unepscs.org&gt;</w:t>
      </w:r>
    </w:p>
  </w:footnote>
  <w:footnote w:id="53">
    <w:p w14:paraId="69B14162" w14:textId="77777777" w:rsidR="003B09A2" w:rsidRPr="0071562F" w:rsidRDefault="003B09A2">
      <w:pPr>
        <w:pStyle w:val="FootnoteText"/>
        <w:rPr>
          <w:rFonts w:ascii="Times New Roman" w:hAnsi="Times New Roman" w:cs="Times New Roman"/>
        </w:rPr>
      </w:pPr>
      <w:r w:rsidRPr="0071562F">
        <w:rPr>
          <w:rStyle w:val="FootnoteReference"/>
          <w:rFonts w:ascii="Times New Roman" w:hAnsi="Times New Roman" w:cs="Times New Roman"/>
        </w:rPr>
        <w:footnoteRef/>
      </w:r>
      <w:r w:rsidRPr="0071562F">
        <w:rPr>
          <w:rFonts w:ascii="Times New Roman" w:hAnsi="Times New Roman" w:cs="Times New Roman"/>
        </w:rPr>
        <w:t xml:space="preserve"> See &lt;http://www.unepscs.org/South_China_Sea_National_Reports/&gt;</w:t>
      </w:r>
    </w:p>
  </w:footnote>
  <w:footnote w:id="54">
    <w:p w14:paraId="50262F22" w14:textId="77777777" w:rsidR="003B09A2" w:rsidRPr="0071562F" w:rsidRDefault="003B09A2">
      <w:pPr>
        <w:pStyle w:val="FootnoteText"/>
        <w:rPr>
          <w:rFonts w:ascii="Times New Roman" w:hAnsi="Times New Roman" w:cs="Times New Roman"/>
        </w:rPr>
      </w:pPr>
      <w:r w:rsidRPr="0071562F">
        <w:rPr>
          <w:rStyle w:val="FootnoteReference"/>
          <w:rFonts w:ascii="Times New Roman" w:hAnsi="Times New Roman" w:cs="Times New Roman"/>
        </w:rPr>
        <w:footnoteRef/>
      </w:r>
      <w:r w:rsidRPr="0071562F">
        <w:rPr>
          <w:rFonts w:ascii="Times New Roman" w:hAnsi="Times New Roman" w:cs="Times New Roman"/>
        </w:rPr>
        <w:t xml:space="preserve"> See &lt;http://www.unepscs.org/South_China_Sea_National_Publications/&gt;</w:t>
      </w:r>
    </w:p>
  </w:footnote>
  <w:footnote w:id="55">
    <w:p w14:paraId="63EAFFB8" w14:textId="77777777" w:rsidR="00B03F5A" w:rsidRPr="0071562F" w:rsidRDefault="00B03F5A">
      <w:pPr>
        <w:pStyle w:val="FootnoteText"/>
        <w:rPr>
          <w:rFonts w:ascii="Times New Roman" w:hAnsi="Times New Roman" w:cs="Times New Roman"/>
        </w:rPr>
      </w:pPr>
      <w:r w:rsidRPr="0071562F">
        <w:rPr>
          <w:rStyle w:val="FootnoteReference"/>
          <w:rFonts w:ascii="Times New Roman" w:hAnsi="Times New Roman" w:cs="Times New Roman"/>
        </w:rPr>
        <w:footnoteRef/>
      </w:r>
      <w:r w:rsidRPr="0071562F">
        <w:rPr>
          <w:rFonts w:ascii="Times New Roman" w:hAnsi="Times New Roman" w:cs="Times New Roman"/>
        </w:rPr>
        <w:t xml:space="preserve"> See Basiron, M.N. and Lexmond, S.M., 2013. Review of the legal asepcts of environmental management in the South China Sea and Gulf of Thailand. Ocean and Coastal Management, 85(b): 257-267.</w:t>
      </w:r>
    </w:p>
  </w:footnote>
  <w:footnote w:id="56">
    <w:p w14:paraId="496123EA" w14:textId="77777777" w:rsidR="00214761" w:rsidRPr="0071562F" w:rsidRDefault="00214761">
      <w:pPr>
        <w:pStyle w:val="FootnoteText"/>
        <w:rPr>
          <w:rFonts w:ascii="Times New Roman" w:hAnsi="Times New Roman" w:cs="Times New Roman"/>
        </w:rPr>
      </w:pPr>
      <w:r w:rsidRPr="0071562F">
        <w:rPr>
          <w:rStyle w:val="FootnoteReference"/>
          <w:rFonts w:ascii="Times New Roman" w:hAnsi="Times New Roman" w:cs="Times New Roman"/>
        </w:rPr>
        <w:footnoteRef/>
      </w:r>
      <w:r w:rsidRPr="0071562F">
        <w:rPr>
          <w:rFonts w:ascii="Times New Roman" w:hAnsi="Times New Roman" w:cs="Times New Roman"/>
        </w:rPr>
        <w:t xml:space="preserve"> </w:t>
      </w:r>
      <w:r>
        <w:rPr>
          <w:rFonts w:ascii="Times New Roman" w:hAnsi="Times New Roman" w:cs="Times New Roman"/>
        </w:rPr>
        <w:t>See &lt;</w:t>
      </w:r>
      <w:r w:rsidRPr="0071562F">
        <w:rPr>
          <w:rFonts w:ascii="Times New Roman" w:hAnsi="Times New Roman" w:cs="Times New Roman"/>
        </w:rPr>
        <w:t>http://www.unepscs.org/nutrient_model/</w:t>
      </w:r>
      <w:r>
        <w:rPr>
          <w:rFonts w:ascii="Times New Roman" w:hAnsi="Times New Roman" w:cs="Times New Roman"/>
        </w:rPr>
        <w:t>&gt;</w:t>
      </w:r>
    </w:p>
  </w:footnote>
  <w:footnote w:id="57">
    <w:p w14:paraId="2EAB9B54" w14:textId="77777777" w:rsidR="000B3D51" w:rsidRPr="0071562F" w:rsidRDefault="000B3D51">
      <w:pPr>
        <w:pStyle w:val="FootnoteText"/>
        <w:rPr>
          <w:rFonts w:ascii="Times New Roman" w:hAnsi="Times New Roman" w:cs="Times New Roman"/>
        </w:rPr>
      </w:pPr>
      <w:r w:rsidRPr="0071562F">
        <w:rPr>
          <w:rStyle w:val="FootnoteReference"/>
          <w:rFonts w:ascii="Times New Roman" w:hAnsi="Times New Roman" w:cs="Times New Roman"/>
        </w:rPr>
        <w:footnoteRef/>
      </w:r>
      <w:r w:rsidRPr="0071562F">
        <w:rPr>
          <w:rFonts w:ascii="Times New Roman" w:hAnsi="Times New Roman" w:cs="Times New Roman"/>
        </w:rPr>
        <w:t xml:space="preserve"> All accessible via &lt;http://www.unepscs.org&gt;</w:t>
      </w:r>
    </w:p>
  </w:footnote>
  <w:footnote w:id="58">
    <w:p w14:paraId="0872BEC2" w14:textId="77777777" w:rsidR="00527109" w:rsidRPr="00383C15" w:rsidRDefault="00527109">
      <w:pPr>
        <w:pStyle w:val="FootnoteText"/>
        <w:rPr>
          <w:rFonts w:ascii="Times New Roman" w:hAnsi="Times New Roman" w:cs="Times New Roman"/>
        </w:rPr>
      </w:pPr>
      <w:r w:rsidRPr="00383C15">
        <w:rPr>
          <w:rStyle w:val="FootnoteReference"/>
          <w:rFonts w:ascii="Times New Roman" w:hAnsi="Times New Roman" w:cs="Times New Roman"/>
        </w:rPr>
        <w:footnoteRef/>
      </w:r>
      <w:r w:rsidRPr="00383C15">
        <w:rPr>
          <w:rFonts w:ascii="Times New Roman" w:hAnsi="Times New Roman" w:cs="Times New Roman"/>
        </w:rPr>
        <w:t xml:space="preserve"> </w:t>
      </w:r>
      <w:r w:rsidR="00383C15" w:rsidRPr="00383C15">
        <w:rPr>
          <w:rFonts w:ascii="Times New Roman" w:hAnsi="Times New Roman" w:cs="Times New Roman"/>
        </w:rPr>
        <w:t>It was identified during project preparation that ICM sites will be operationalized by PEMSEA in coastal areas of the South China Sea in only 2 of the 6 countries participating in the present initiative</w:t>
      </w:r>
    </w:p>
  </w:footnote>
  <w:footnote w:id="59">
    <w:p w14:paraId="350CD8C4" w14:textId="77777777" w:rsidR="000B3D51" w:rsidRPr="0071562F" w:rsidRDefault="000B3D51">
      <w:pPr>
        <w:pStyle w:val="FootnoteText"/>
        <w:rPr>
          <w:rFonts w:ascii="Times New Roman" w:hAnsi="Times New Roman" w:cs="Times New Roman"/>
        </w:rPr>
      </w:pPr>
      <w:r w:rsidRPr="0071562F">
        <w:rPr>
          <w:rStyle w:val="FootnoteReference"/>
          <w:rFonts w:ascii="Times New Roman" w:hAnsi="Times New Roman" w:cs="Times New Roman"/>
        </w:rPr>
        <w:footnoteRef/>
      </w:r>
      <w:r w:rsidRPr="0071562F">
        <w:rPr>
          <w:rFonts w:ascii="Times New Roman" w:hAnsi="Times New Roman" w:cs="Times New Roman"/>
        </w:rPr>
        <w:t xml:space="preserve"> Such approaches are equivalent to the ‘horizontal integration’ of separate economic sectors and ‘vertical integration’ of associated units of government used in the coastal area management literature (e.g. Pernetta and Elder, 1993; Sorenson, 1997)</w:t>
      </w:r>
    </w:p>
  </w:footnote>
  <w:footnote w:id="60">
    <w:p w14:paraId="48E4AB33" w14:textId="77777777" w:rsidR="00FA141D" w:rsidRPr="00B02C05" w:rsidRDefault="00FA141D" w:rsidP="007C550B">
      <w:pPr>
        <w:pStyle w:val="BodyText"/>
        <w:ind w:left="300" w:hanging="300"/>
        <w:rPr>
          <w:rFonts w:ascii="Times New Roman" w:hAnsi="Times New Roman"/>
          <w:szCs w:val="20"/>
        </w:rPr>
      </w:pPr>
      <w:r w:rsidRPr="00B02C05">
        <w:rPr>
          <w:rFonts w:ascii="Times New Roman" w:hAnsi="Times New Roman"/>
          <w:szCs w:val="20"/>
          <w:vertAlign w:val="superscript"/>
        </w:rPr>
        <w:footnoteRef/>
      </w:r>
      <w:r w:rsidRPr="00B02C05">
        <w:rPr>
          <w:rFonts w:ascii="Times New Roman" w:hAnsi="Times New Roman"/>
          <w:szCs w:val="20"/>
        </w:rPr>
        <w:t xml:space="preserve"> </w:t>
      </w:r>
      <w:r w:rsidRPr="00B02C05">
        <w:rPr>
          <w:rFonts w:ascii="Times New Roman" w:hAnsi="Times New Roman"/>
          <w:szCs w:val="20"/>
        </w:rPr>
        <w:tab/>
        <w:t xml:space="preserve">Areas considered as currently being sustainably managed  include all lands designated as production forest as it is a legal requirement that these be replanted; all mangrove lands contained within National Parks and Protected Areas; and a proportion of the mangrove area subject to extractive use of non-timber resources. </w:t>
      </w:r>
    </w:p>
  </w:footnote>
  <w:footnote w:id="61">
    <w:p w14:paraId="07888EC2" w14:textId="77777777" w:rsidR="00FA141D" w:rsidRPr="00C91603" w:rsidRDefault="00FA141D" w:rsidP="007C550B">
      <w:pPr>
        <w:ind w:left="300" w:hanging="300"/>
        <w:rPr>
          <w:iCs/>
          <w:sz w:val="20"/>
          <w:szCs w:val="20"/>
        </w:rPr>
      </w:pPr>
      <w:r w:rsidRPr="00C91603">
        <w:rPr>
          <w:iCs/>
          <w:sz w:val="20"/>
          <w:szCs w:val="20"/>
          <w:vertAlign w:val="superscript"/>
        </w:rPr>
        <w:footnoteRef/>
      </w:r>
      <w:r w:rsidRPr="00C91603">
        <w:rPr>
          <w:iCs/>
          <w:sz w:val="20"/>
          <w:szCs w:val="20"/>
        </w:rPr>
        <w:t xml:space="preserve"> </w:t>
      </w:r>
      <w:r w:rsidRPr="00C91603">
        <w:rPr>
          <w:iCs/>
          <w:sz w:val="20"/>
          <w:szCs w:val="20"/>
        </w:rPr>
        <w:tab/>
        <w:t>Estimated area outside the protected area for which some form of management plans exist.</w:t>
      </w:r>
    </w:p>
  </w:footnote>
  <w:footnote w:id="62">
    <w:p w14:paraId="1CD96A0B" w14:textId="77777777" w:rsidR="00FA141D" w:rsidRPr="00C91603" w:rsidRDefault="00FA141D">
      <w:pPr>
        <w:pStyle w:val="FootnoteText"/>
        <w:rPr>
          <w:rFonts w:ascii="Times New Roman" w:hAnsi="Times New Roman" w:cs="Times New Roman"/>
        </w:rPr>
      </w:pPr>
      <w:r w:rsidRPr="00C91603">
        <w:rPr>
          <w:rStyle w:val="FootnoteReference"/>
          <w:rFonts w:ascii="Times New Roman" w:hAnsi="Times New Roman" w:cs="Times New Roman"/>
        </w:rPr>
        <w:footnoteRef/>
      </w:r>
      <w:r w:rsidRPr="00C91603">
        <w:rPr>
          <w:rFonts w:ascii="Times New Roman" w:hAnsi="Times New Roman" w:cs="Times New Roman"/>
        </w:rPr>
        <w:t xml:space="preserve"> Alternatively, Google Earth users can access the baseline site characterisations via the following link: &lt;http://www.unepscs.org/google/South-China-Sea-Project.kmz</w:t>
      </w:r>
    </w:p>
  </w:footnote>
  <w:footnote w:id="63">
    <w:p w14:paraId="5BC5D8FF" w14:textId="77777777" w:rsidR="00FA141D" w:rsidRPr="00C91603" w:rsidRDefault="00FA141D">
      <w:pPr>
        <w:pStyle w:val="FootnoteText"/>
        <w:rPr>
          <w:rFonts w:ascii="Times New Roman" w:hAnsi="Times New Roman" w:cs="Times New Roman"/>
        </w:rPr>
      </w:pPr>
      <w:r w:rsidRPr="00C91603">
        <w:rPr>
          <w:rStyle w:val="FootnoteReference"/>
          <w:rFonts w:ascii="Times New Roman" w:hAnsi="Times New Roman" w:cs="Times New Roman"/>
        </w:rPr>
        <w:footnoteRef/>
      </w:r>
      <w:r w:rsidRPr="00C91603">
        <w:rPr>
          <w:rFonts w:ascii="Times New Roman" w:hAnsi="Times New Roman" w:cs="Times New Roman"/>
        </w:rPr>
        <w:t xml:space="preserve"> Accessible online at http://www.unepscs.org/South_China_Sea_National_Reports/</w:t>
      </w:r>
    </w:p>
  </w:footnote>
  <w:footnote w:id="64">
    <w:p w14:paraId="5022A6E5" w14:textId="77777777" w:rsidR="00FA141D" w:rsidRPr="001036EE" w:rsidRDefault="00FA141D">
      <w:pPr>
        <w:pStyle w:val="FootnoteText"/>
        <w:rPr>
          <w:rFonts w:ascii="Times New Roman" w:hAnsi="Times New Roman" w:cs="Times New Roman"/>
        </w:rPr>
      </w:pPr>
      <w:r w:rsidRPr="001036EE">
        <w:rPr>
          <w:rStyle w:val="FootnoteReference"/>
          <w:rFonts w:ascii="Times New Roman" w:hAnsi="Times New Roman" w:cs="Times New Roman"/>
        </w:rPr>
        <w:footnoteRef/>
      </w:r>
      <w:r w:rsidRPr="001036EE">
        <w:rPr>
          <w:rFonts w:ascii="Times New Roman" w:hAnsi="Times New Roman" w:cs="Times New Roman"/>
        </w:rPr>
        <w:t xml:space="preserve"> Accessible online at http://www.unepscs.org/South_China_Sea_National_Reports/</w:t>
      </w:r>
    </w:p>
  </w:footnote>
  <w:footnote w:id="65">
    <w:p w14:paraId="5C698D7C" w14:textId="77777777" w:rsidR="00FA141D" w:rsidRPr="001036EE" w:rsidRDefault="00FA141D" w:rsidP="001036EE">
      <w:pPr>
        <w:rPr>
          <w:sz w:val="20"/>
          <w:szCs w:val="20"/>
        </w:rPr>
      </w:pPr>
    </w:p>
  </w:footnote>
  <w:footnote w:id="66">
    <w:p w14:paraId="5865B645" w14:textId="77777777" w:rsidR="00FA141D" w:rsidRPr="001036EE" w:rsidRDefault="00FA141D" w:rsidP="001036EE">
      <w:pPr>
        <w:pStyle w:val="FootnoteText"/>
        <w:ind w:left="144" w:hanging="144"/>
        <w:rPr>
          <w:rFonts w:ascii="Times New Roman" w:hAnsi="Times New Roman" w:cs="Times New Roman"/>
        </w:rPr>
      </w:pPr>
      <w:r w:rsidRPr="001036EE">
        <w:rPr>
          <w:rStyle w:val="FootnoteReference"/>
          <w:rFonts w:ascii="Times New Roman" w:hAnsi="Times New Roman" w:cs="Times New Roman"/>
        </w:rPr>
        <w:footnoteRef/>
      </w:r>
      <w:r w:rsidRPr="001036EE">
        <w:rPr>
          <w:rFonts w:ascii="Times New Roman" w:hAnsi="Times New Roman" w:cs="Times New Roman"/>
        </w:rPr>
        <w:t xml:space="preserve"> Cambodia - FMA: Fisheries Management Area, MPA: Marine Protected Area, NP: National Park. Indonesia - MMA: Marine Management Area, MR: Marine Reserve. Malaysia - MP: Marine Park. Philippines - PLS: Protected Land/Seascape, MCDP: Municipal Coastal Development Plan, MTS: Marine Tourism Reserve, MBR: Man &amp; Biosphere Reserve, ECPZ: Environmental Critical Protection Zone. Thailand - NP: National Park, MNP: Marine National Park, NCA: Navy Control Area. Viet Nam - MPA: Marine Protected Area, NP: National Park, CBM: Community-based Management, WH: World Heritage.</w:t>
      </w:r>
    </w:p>
  </w:footnote>
  <w:footnote w:id="67">
    <w:p w14:paraId="510E684E" w14:textId="77777777" w:rsidR="00FA141D" w:rsidRPr="00C91603" w:rsidRDefault="00FA141D" w:rsidP="00AB0C8C">
      <w:pPr>
        <w:pStyle w:val="FootnoteText"/>
        <w:rPr>
          <w:rFonts w:ascii="Times New Roman" w:hAnsi="Times New Roman" w:cs="Times New Roman"/>
        </w:rPr>
      </w:pPr>
      <w:r w:rsidRPr="00C91603">
        <w:rPr>
          <w:rStyle w:val="FootnoteReference"/>
          <w:rFonts w:ascii="Times New Roman" w:hAnsi="Times New Roman" w:cs="Times New Roman"/>
        </w:rPr>
        <w:footnoteRef/>
      </w:r>
      <w:r w:rsidRPr="00C91603">
        <w:rPr>
          <w:rFonts w:ascii="Times New Roman" w:hAnsi="Times New Roman" w:cs="Times New Roman"/>
        </w:rPr>
        <w:t xml:space="preserve"> Alternatively, Google Earth users can access the baseline site characterisations via the following link: &lt;http://www.unepscs.org/google/South-China-Sea-Project.kmz</w:t>
      </w:r>
    </w:p>
  </w:footnote>
  <w:footnote w:id="68">
    <w:p w14:paraId="30C4601D" w14:textId="77777777" w:rsidR="00FA141D" w:rsidRPr="00576735" w:rsidRDefault="00FA141D" w:rsidP="00AB0C8C">
      <w:pPr>
        <w:ind w:left="200" w:hanging="200"/>
        <w:jc w:val="both"/>
        <w:rPr>
          <w:iCs/>
          <w:sz w:val="20"/>
          <w:szCs w:val="20"/>
        </w:rPr>
      </w:pPr>
      <w:r w:rsidRPr="00576735">
        <w:rPr>
          <w:rStyle w:val="FootnoteReference"/>
          <w:iCs/>
          <w:sz w:val="20"/>
          <w:szCs w:val="20"/>
        </w:rPr>
        <w:footnoteRef/>
      </w:r>
      <w:r w:rsidRPr="00576735">
        <w:rPr>
          <w:iCs/>
          <w:sz w:val="20"/>
          <w:szCs w:val="20"/>
        </w:rPr>
        <w:t xml:space="preserve"> </w:t>
      </w:r>
      <w:r w:rsidRPr="00576735">
        <w:rPr>
          <w:iCs/>
          <w:sz w:val="20"/>
          <w:szCs w:val="20"/>
        </w:rPr>
        <w:tab/>
      </w:r>
      <w:r w:rsidRPr="00576735">
        <w:rPr>
          <w:b/>
          <w:iCs/>
          <w:sz w:val="20"/>
          <w:szCs w:val="20"/>
        </w:rPr>
        <w:t>Categories of Management Effectiveness:</w:t>
      </w:r>
      <w:r w:rsidRPr="00576735">
        <w:rPr>
          <w:b/>
          <w:bCs/>
          <w:iCs/>
          <w:sz w:val="20"/>
          <w:szCs w:val="20"/>
        </w:rPr>
        <w:t xml:space="preserve"> Low:</w:t>
      </w:r>
      <w:r w:rsidRPr="00576735">
        <w:rPr>
          <w:iCs/>
          <w:sz w:val="20"/>
          <w:szCs w:val="20"/>
        </w:rPr>
        <w:t xml:space="preserve"> Area declared or proposed to be declared for management; Management Plan developed and approved. </w:t>
      </w:r>
      <w:r w:rsidRPr="00576735">
        <w:rPr>
          <w:b/>
          <w:bCs/>
          <w:iCs/>
          <w:sz w:val="20"/>
          <w:szCs w:val="20"/>
        </w:rPr>
        <w:t xml:space="preserve">Medium: </w:t>
      </w:r>
      <w:r w:rsidRPr="00576735">
        <w:rPr>
          <w:iCs/>
          <w:sz w:val="20"/>
          <w:szCs w:val="20"/>
        </w:rPr>
        <w:t xml:space="preserve"> Existing Management Framework is implemented with inadequacy of manpower, finance and/or equipment: </w:t>
      </w:r>
      <w:r w:rsidRPr="00576735">
        <w:rPr>
          <w:b/>
          <w:bCs/>
          <w:iCs/>
          <w:sz w:val="20"/>
          <w:szCs w:val="20"/>
        </w:rPr>
        <w:t xml:space="preserve">High: </w:t>
      </w:r>
      <w:r w:rsidRPr="00576735">
        <w:rPr>
          <w:iCs/>
          <w:sz w:val="20"/>
          <w:szCs w:val="20"/>
        </w:rPr>
        <w:t>Existing Management Framework is implemented with enough trained manpower, equipment, facilities and sustainable finance.</w:t>
      </w:r>
    </w:p>
  </w:footnote>
  <w:footnote w:id="69">
    <w:p w14:paraId="78A801F6" w14:textId="77777777" w:rsidR="00FA141D" w:rsidRPr="000134F9" w:rsidRDefault="00FA141D" w:rsidP="000134F9">
      <w:pPr>
        <w:ind w:left="-300" w:right="-615" w:hanging="300"/>
        <w:jc w:val="both"/>
        <w:rPr>
          <w:iCs/>
          <w:sz w:val="20"/>
          <w:szCs w:val="20"/>
        </w:rPr>
      </w:pPr>
      <w:r w:rsidRPr="000134F9">
        <w:rPr>
          <w:iCs/>
          <w:sz w:val="20"/>
          <w:szCs w:val="20"/>
        </w:rPr>
        <w:footnoteRef/>
      </w:r>
      <w:r w:rsidRPr="000134F9">
        <w:rPr>
          <w:iCs/>
          <w:sz w:val="20"/>
          <w:szCs w:val="20"/>
        </w:rPr>
        <w:t xml:space="preserve"> </w:t>
      </w:r>
      <w:r w:rsidRPr="000134F9">
        <w:rPr>
          <w:iCs/>
          <w:sz w:val="20"/>
          <w:szCs w:val="20"/>
        </w:rPr>
        <w:tab/>
      </w:r>
      <w:r w:rsidRPr="000134F9">
        <w:rPr>
          <w:b/>
          <w:iCs/>
          <w:sz w:val="20"/>
          <w:szCs w:val="20"/>
        </w:rPr>
        <w:t>Categories of Management Effectiveness:</w:t>
      </w:r>
      <w:r w:rsidRPr="000134F9">
        <w:rPr>
          <w:b/>
          <w:bCs/>
          <w:iCs/>
          <w:sz w:val="20"/>
          <w:szCs w:val="20"/>
        </w:rPr>
        <w:t xml:space="preserve"> Low:</w:t>
      </w:r>
      <w:r w:rsidRPr="000134F9">
        <w:rPr>
          <w:iCs/>
          <w:sz w:val="20"/>
          <w:szCs w:val="20"/>
        </w:rPr>
        <w:t xml:space="preserve"> Area declared or proposed to be declared for management; Management Plan developed and approved. </w:t>
      </w:r>
      <w:r w:rsidRPr="000134F9">
        <w:rPr>
          <w:b/>
          <w:bCs/>
          <w:iCs/>
          <w:sz w:val="20"/>
          <w:szCs w:val="20"/>
        </w:rPr>
        <w:t xml:space="preserve">Medium: </w:t>
      </w:r>
      <w:r w:rsidRPr="000134F9">
        <w:rPr>
          <w:iCs/>
          <w:sz w:val="20"/>
          <w:szCs w:val="20"/>
        </w:rPr>
        <w:t xml:space="preserve">Existing Management Framework is implemented with inadequacy of manpower, finance and/or equipment: </w:t>
      </w:r>
      <w:r w:rsidRPr="000134F9">
        <w:rPr>
          <w:b/>
          <w:bCs/>
          <w:iCs/>
          <w:sz w:val="20"/>
          <w:szCs w:val="20"/>
        </w:rPr>
        <w:t xml:space="preserve">High: </w:t>
      </w:r>
      <w:r w:rsidRPr="000134F9">
        <w:rPr>
          <w:iCs/>
          <w:sz w:val="20"/>
          <w:szCs w:val="20"/>
        </w:rPr>
        <w:t>Existing Management Framework is implemented with enough trained manpower, equipment, facilities and sustainable finance.</w:t>
      </w:r>
    </w:p>
  </w:footnote>
  <w:footnote w:id="70">
    <w:p w14:paraId="60603ADE" w14:textId="77777777" w:rsidR="00FA141D" w:rsidRPr="000134F9" w:rsidRDefault="00FA141D" w:rsidP="000134F9">
      <w:pPr>
        <w:tabs>
          <w:tab w:val="left" w:pos="220"/>
        </w:tabs>
        <w:ind w:left="-300" w:right="-615" w:hanging="300"/>
        <w:jc w:val="both"/>
        <w:rPr>
          <w:iCs/>
          <w:sz w:val="20"/>
          <w:szCs w:val="20"/>
        </w:rPr>
      </w:pPr>
      <w:r w:rsidRPr="000134F9">
        <w:rPr>
          <w:iCs/>
          <w:sz w:val="20"/>
          <w:szCs w:val="20"/>
        </w:rPr>
        <w:footnoteRef/>
      </w:r>
      <w:r w:rsidRPr="000134F9">
        <w:rPr>
          <w:iCs/>
          <w:sz w:val="20"/>
          <w:szCs w:val="20"/>
        </w:rPr>
        <w:t xml:space="preserve"> </w:t>
      </w:r>
      <w:r w:rsidRPr="000134F9">
        <w:rPr>
          <w:iCs/>
          <w:sz w:val="20"/>
          <w:szCs w:val="20"/>
        </w:rPr>
        <w:tab/>
        <w:t>Local Reserve.</w:t>
      </w:r>
    </w:p>
  </w:footnote>
  <w:footnote w:id="71">
    <w:p w14:paraId="66BF4444" w14:textId="77777777" w:rsidR="00FA141D" w:rsidRPr="00C154DB" w:rsidRDefault="00FA141D" w:rsidP="000134F9">
      <w:pPr>
        <w:tabs>
          <w:tab w:val="left" w:pos="330"/>
        </w:tabs>
        <w:ind w:left="-300" w:right="-615" w:hanging="300"/>
        <w:rPr>
          <w:iCs/>
          <w:sz w:val="20"/>
          <w:szCs w:val="20"/>
        </w:rPr>
      </w:pPr>
      <w:r w:rsidRPr="00C154DB">
        <w:rPr>
          <w:iCs/>
          <w:sz w:val="20"/>
          <w:szCs w:val="20"/>
        </w:rPr>
        <w:footnoteRef/>
      </w:r>
      <w:r w:rsidRPr="00C154DB">
        <w:rPr>
          <w:iCs/>
          <w:sz w:val="20"/>
          <w:szCs w:val="20"/>
        </w:rPr>
        <w:t xml:space="preserve"> </w:t>
      </w:r>
      <w:r w:rsidRPr="00C154DB">
        <w:rPr>
          <w:iCs/>
          <w:sz w:val="20"/>
          <w:szCs w:val="20"/>
        </w:rPr>
        <w:tab/>
        <w:t xml:space="preserve">Under </w:t>
      </w:r>
      <w:r>
        <w:rPr>
          <w:iCs/>
          <w:sz w:val="20"/>
          <w:szCs w:val="20"/>
        </w:rPr>
        <w:t>a King of Thailand’s</w:t>
      </w:r>
      <w:r w:rsidRPr="00C154DB">
        <w:rPr>
          <w:iCs/>
          <w:sz w:val="20"/>
          <w:szCs w:val="20"/>
        </w:rPr>
        <w:t xml:space="preserve"> project.</w:t>
      </w:r>
    </w:p>
  </w:footnote>
  <w:footnote w:id="72">
    <w:p w14:paraId="52AADAF0" w14:textId="77777777" w:rsidR="00FA141D" w:rsidRPr="00C154DB" w:rsidRDefault="00FA141D" w:rsidP="000134F9">
      <w:pPr>
        <w:pStyle w:val="FootnoteText"/>
        <w:ind w:left="-300" w:right="-615" w:hanging="300"/>
        <w:rPr>
          <w:rFonts w:ascii="Times New Roman" w:hAnsi="Times New Roman" w:cs="Times New Roman"/>
        </w:rPr>
      </w:pPr>
      <w:r w:rsidRPr="00C154DB">
        <w:rPr>
          <w:rStyle w:val="FootnoteReference"/>
          <w:rFonts w:ascii="Times New Roman" w:hAnsi="Times New Roman" w:cs="Times New Roman"/>
        </w:rPr>
        <w:footnoteRef/>
      </w:r>
      <w:r w:rsidRPr="00C154DB">
        <w:rPr>
          <w:rFonts w:ascii="Times New Roman" w:hAnsi="Times New Roman" w:cs="Times New Roman"/>
        </w:rPr>
        <w:t xml:space="preserve"> </w:t>
      </w:r>
      <w:r w:rsidRPr="00C154DB">
        <w:rPr>
          <w:rFonts w:ascii="Times New Roman" w:hAnsi="Times New Roman" w:cs="Times New Roman"/>
        </w:rPr>
        <w:tab/>
        <w:t>Phu Quoc National Park is an area of designated terrestrial Forest whilst the Marine Protected Area has recently been declared by the Provincial Government adjacent to the National Park.</w:t>
      </w:r>
    </w:p>
  </w:footnote>
  <w:footnote w:id="73">
    <w:p w14:paraId="7F9E1B26" w14:textId="77777777" w:rsidR="00FA141D" w:rsidRPr="00C154DB" w:rsidRDefault="00FA141D">
      <w:pPr>
        <w:pStyle w:val="FootnoteText"/>
        <w:rPr>
          <w:rFonts w:ascii="Times New Roman" w:hAnsi="Times New Roman" w:cs="Times New Roman"/>
        </w:rPr>
      </w:pPr>
      <w:r w:rsidRPr="00C154DB">
        <w:rPr>
          <w:rStyle w:val="FootnoteReference"/>
          <w:rFonts w:ascii="Times New Roman" w:hAnsi="Times New Roman" w:cs="Times New Roman"/>
        </w:rPr>
        <w:footnoteRef/>
      </w:r>
      <w:r w:rsidRPr="00C154DB">
        <w:rPr>
          <w:rFonts w:ascii="Times New Roman" w:hAnsi="Times New Roman" w:cs="Times New Roman"/>
        </w:rPr>
        <w:t xml:space="preserve"> Accessible online at http://www.unepscs.org/South_China_Sea_National_Reports/</w:t>
      </w:r>
    </w:p>
  </w:footnote>
  <w:footnote w:id="74">
    <w:p w14:paraId="6F848B92" w14:textId="77777777" w:rsidR="00FA141D" w:rsidRPr="00C154DB" w:rsidRDefault="00FA141D" w:rsidP="00E573CD">
      <w:pPr>
        <w:pStyle w:val="FootnoteText"/>
        <w:rPr>
          <w:rFonts w:ascii="Times New Roman" w:hAnsi="Times New Roman" w:cs="Times New Roman"/>
        </w:rPr>
      </w:pPr>
      <w:r w:rsidRPr="00C154DB">
        <w:rPr>
          <w:rStyle w:val="FootnoteReference"/>
          <w:rFonts w:ascii="Times New Roman" w:hAnsi="Times New Roman" w:cs="Times New Roman"/>
        </w:rPr>
        <w:footnoteRef/>
      </w:r>
      <w:r w:rsidRPr="00C154DB">
        <w:rPr>
          <w:rFonts w:ascii="Times New Roman" w:hAnsi="Times New Roman" w:cs="Times New Roman"/>
        </w:rPr>
        <w:t xml:space="preserve"> Accessible online at http://www.unepscs.org/South_China_Sea_National_Reports/</w:t>
      </w:r>
    </w:p>
  </w:footnote>
  <w:footnote w:id="75">
    <w:p w14:paraId="4AEB492A" w14:textId="77777777" w:rsidR="00FA141D" w:rsidRPr="00B767AC" w:rsidRDefault="00FA141D" w:rsidP="005B1DFD">
      <w:pPr>
        <w:pStyle w:val="FootnoteText"/>
        <w:rPr>
          <w:rFonts w:ascii="Times New Roman" w:hAnsi="Times New Roman"/>
          <w:sz w:val="18"/>
          <w:szCs w:val="18"/>
          <w:lang w:val="en-AU"/>
        </w:rPr>
      </w:pPr>
      <w:r w:rsidRPr="00B767AC">
        <w:rPr>
          <w:rStyle w:val="FootnoteReference"/>
          <w:rFonts w:ascii="Times New Roman" w:hAnsi="Times New Roman"/>
          <w:sz w:val="18"/>
          <w:szCs w:val="18"/>
        </w:rPr>
        <w:footnoteRef/>
      </w:r>
      <w:r w:rsidRPr="00B767AC">
        <w:rPr>
          <w:rFonts w:ascii="Times New Roman" w:hAnsi="Times New Roman"/>
          <w:sz w:val="18"/>
          <w:szCs w:val="18"/>
        </w:rPr>
        <w:t xml:space="preserve"> </w:t>
      </w:r>
      <w:r w:rsidRPr="00B767AC">
        <w:rPr>
          <w:rFonts w:ascii="Times New Roman" w:hAnsi="Times New Roman"/>
          <w:sz w:val="18"/>
          <w:szCs w:val="18"/>
          <w:lang w:val="en-AU"/>
        </w:rPr>
        <w:t>OCED, 2005. Paris Declaration on Aid Effectiveness, page 8, para 46</w:t>
      </w:r>
    </w:p>
  </w:footnote>
  <w:footnote w:id="76">
    <w:p w14:paraId="3F62A41A" w14:textId="77777777" w:rsidR="00FA141D" w:rsidRPr="00B62FD7" w:rsidRDefault="00FA141D" w:rsidP="005B1DFD">
      <w:pPr>
        <w:pStyle w:val="FootnoteText"/>
        <w:rPr>
          <w:rFonts w:ascii="Times New Roman" w:hAnsi="Times New Roman"/>
          <w:sz w:val="18"/>
          <w:szCs w:val="18"/>
        </w:rPr>
      </w:pPr>
      <w:r w:rsidRPr="00B767AC">
        <w:rPr>
          <w:rStyle w:val="FootnoteReference"/>
          <w:rFonts w:ascii="Times New Roman" w:hAnsi="Times New Roman"/>
          <w:sz w:val="18"/>
          <w:szCs w:val="18"/>
        </w:rPr>
        <w:footnoteRef/>
      </w:r>
      <w:r w:rsidRPr="00B62FD7">
        <w:rPr>
          <w:rFonts w:ascii="Times New Roman" w:hAnsi="Times New Roman"/>
          <w:sz w:val="18"/>
          <w:szCs w:val="18"/>
        </w:rPr>
        <w:t xml:space="preserve"> OCED, 2008. Accra Agenda for Action, page 16, para 10</w:t>
      </w:r>
    </w:p>
  </w:footnote>
  <w:footnote w:id="77">
    <w:p w14:paraId="463E5D1A" w14:textId="77777777" w:rsidR="00FA141D" w:rsidRPr="003228EC" w:rsidRDefault="00FA141D" w:rsidP="0042182F">
      <w:pPr>
        <w:spacing w:before="60"/>
        <w:ind w:left="200" w:hanging="200"/>
        <w:jc w:val="both"/>
        <w:rPr>
          <w:sz w:val="20"/>
          <w:szCs w:val="20"/>
        </w:rPr>
      </w:pPr>
      <w:r w:rsidRPr="003228EC">
        <w:rPr>
          <w:rStyle w:val="FootnoteReference"/>
          <w:sz w:val="20"/>
          <w:szCs w:val="20"/>
        </w:rPr>
        <w:footnoteRef/>
      </w:r>
      <w:r w:rsidRPr="003228EC">
        <w:rPr>
          <w:sz w:val="20"/>
          <w:szCs w:val="20"/>
        </w:rPr>
        <w:t xml:space="preserve"> Munasinghe, M. (1995).  Applicability of techniques of cost-benefit analysis to climate change.  In global climate change, economic and policy issues.  Edited by Mohan Munasinghe.  World Bank Environment Paper Number 12.  The World Bank, Washington D.C.</w:t>
      </w:r>
    </w:p>
  </w:footnote>
  <w:footnote w:id="78">
    <w:p w14:paraId="6186783F" w14:textId="77777777" w:rsidR="00FA141D" w:rsidRPr="003228EC" w:rsidRDefault="00FA141D" w:rsidP="009859F6">
      <w:pPr>
        <w:pStyle w:val="FootnoteText"/>
        <w:ind w:left="200" w:hanging="200"/>
        <w:rPr>
          <w:rFonts w:ascii="Times New Roman" w:hAnsi="Times New Roman" w:cs="Times New Roman"/>
          <w:szCs w:val="16"/>
        </w:rPr>
      </w:pPr>
      <w:r w:rsidRPr="003228EC">
        <w:rPr>
          <w:rStyle w:val="FootnoteReference"/>
          <w:rFonts w:ascii="Times New Roman" w:hAnsi="Times New Roman" w:cs="Times New Roman"/>
          <w:szCs w:val="16"/>
        </w:rPr>
        <w:footnoteRef/>
      </w:r>
      <w:r w:rsidRPr="003228EC">
        <w:rPr>
          <w:rFonts w:ascii="Times New Roman" w:hAnsi="Times New Roman" w:cs="Times New Roman"/>
          <w:szCs w:val="16"/>
        </w:rPr>
        <w:t xml:space="preserve"> </w:t>
      </w:r>
      <w:r w:rsidRPr="003228EC">
        <w:rPr>
          <w:rFonts w:ascii="Times New Roman" w:hAnsi="Times New Roman" w:cs="Times New Roman"/>
          <w:szCs w:val="16"/>
        </w:rPr>
        <w:tab/>
        <w:t>Costanza, R., d’Arge, R. de Groot, R., Farber, S., Grasso, M., Hannon, B. Limburg, K., Naeem, S., O’Neill, R.B., Paruelo, J., Raskin, R.G., Sutton, P. and van den Belt, M. (1997). The Value of the world’s ecosystem services and natural capital.  Nature 387 (6630) 253-260</w:t>
      </w:r>
    </w:p>
  </w:footnote>
  <w:footnote w:id="79">
    <w:p w14:paraId="7EC005DD" w14:textId="77777777" w:rsidR="00E10371" w:rsidRPr="00E10371" w:rsidRDefault="00E10371">
      <w:pPr>
        <w:pStyle w:val="FootnoteText"/>
        <w:rPr>
          <w:rFonts w:ascii="Times New Roman" w:hAnsi="Times New Roman" w:cs="Times New Roman"/>
        </w:rPr>
      </w:pPr>
      <w:r w:rsidRPr="00E10371">
        <w:rPr>
          <w:rStyle w:val="FootnoteReference"/>
          <w:rFonts w:ascii="Times New Roman" w:hAnsi="Times New Roman" w:cs="Times New Roman"/>
        </w:rPr>
        <w:footnoteRef/>
      </w:r>
      <w:r w:rsidRPr="00E10371">
        <w:rPr>
          <w:rFonts w:ascii="Times New Roman" w:hAnsi="Times New Roman" w:cs="Times New Roman"/>
        </w:rPr>
        <w:t xml:space="preserve"> Background on this partnership is summarised </w:t>
      </w:r>
      <w:r>
        <w:rPr>
          <w:rFonts w:ascii="Times New Roman" w:hAnsi="Times New Roman" w:cs="Times New Roman"/>
        </w:rPr>
        <w:t xml:space="preserve">in </w:t>
      </w:r>
      <w:r w:rsidRPr="00E10371">
        <w:rPr>
          <w:rFonts w:ascii="Times New Roman" w:hAnsi="Times New Roman" w:cs="Times New Roman"/>
        </w:rPr>
        <w:t>Paterson, 2008. Connecting GEF Projects with a Global Audience: Outreach Initiatives of the South China Sea Project.  GEF International Waters Experience Note, 2008-1. 9p.</w:t>
      </w:r>
    </w:p>
  </w:footnote>
  <w:footnote w:id="80">
    <w:p w14:paraId="27ADEE97" w14:textId="77777777" w:rsidR="00FA141D" w:rsidRPr="00B91E7E" w:rsidRDefault="00FA141D" w:rsidP="00B91E7E">
      <w:pPr>
        <w:pStyle w:val="FootnoteText"/>
        <w:rPr>
          <w:rFonts w:ascii="Times New Roman" w:hAnsi="Times New Roman" w:cs="Times New Roman"/>
        </w:rPr>
      </w:pPr>
      <w:r w:rsidRPr="00B91E7E">
        <w:rPr>
          <w:rStyle w:val="FootnoteReference"/>
          <w:rFonts w:ascii="Times New Roman" w:hAnsi="Times New Roman" w:cs="Times New Roman"/>
        </w:rPr>
        <w:footnoteRef/>
      </w:r>
      <w:r w:rsidRPr="00B91E7E">
        <w:rPr>
          <w:rFonts w:ascii="Times New Roman" w:hAnsi="Times New Roman" w:cs="Times New Roman"/>
        </w:rPr>
        <w:t xml:space="preserve"> In this regard the SAP-Implementation Committee will function in a manner comparable to a GEF Project Steering Committee </w:t>
      </w:r>
      <w:r w:rsidR="00DB4527">
        <w:rPr>
          <w:rFonts w:ascii="Times New Roman" w:hAnsi="Times New Roman" w:cs="Times New Roman"/>
        </w:rPr>
        <w:t>with</w:t>
      </w:r>
      <w:r w:rsidR="00DB4527" w:rsidRPr="00B91E7E">
        <w:rPr>
          <w:rFonts w:ascii="Times New Roman" w:hAnsi="Times New Roman" w:cs="Times New Roman"/>
        </w:rPr>
        <w:t xml:space="preserve"> </w:t>
      </w:r>
      <w:r w:rsidRPr="00B91E7E">
        <w:rPr>
          <w:rFonts w:ascii="Times New Roman" w:hAnsi="Times New Roman" w:cs="Times New Roman"/>
        </w:rPr>
        <w:t>responsibility for the conduct and execution of Project activities.</w:t>
      </w:r>
    </w:p>
  </w:footnote>
  <w:footnote w:id="81">
    <w:p w14:paraId="56A6E1B5" w14:textId="77777777" w:rsidR="00FA141D" w:rsidRPr="00127631" w:rsidRDefault="00FA141D" w:rsidP="0018787E">
      <w:pPr>
        <w:pStyle w:val="FootnoteText"/>
        <w:rPr>
          <w:rFonts w:ascii="Times New Roman" w:hAnsi="Times New Roman" w:cs="Times New Roman"/>
          <w:i/>
          <w:sz w:val="18"/>
          <w:szCs w:val="18"/>
        </w:rPr>
      </w:pPr>
      <w:r w:rsidRPr="00127631">
        <w:rPr>
          <w:rStyle w:val="FootnoteReference"/>
          <w:rFonts w:ascii="Times New Roman" w:hAnsi="Times New Roman" w:cs="Times New Roman"/>
          <w:i/>
          <w:sz w:val="18"/>
          <w:szCs w:val="18"/>
        </w:rPr>
        <w:footnoteRef/>
      </w:r>
      <w:r w:rsidRPr="00127631">
        <w:rPr>
          <w:rFonts w:ascii="Times New Roman" w:hAnsi="Times New Roman" w:cs="Times New Roman"/>
          <w:i/>
          <w:sz w:val="18"/>
          <w:szCs w:val="18"/>
        </w:rPr>
        <w:t xml:space="preserve"> Responsibility for monitoring and evaluation in the context of this project, other than that for the independent mid-term and terminal evaluation, has been assigned to the national and regional-level coordination and scientific/technical bodies to be established and operated in support of the achievement of project results. Resourcing, both GEF grant and national and regional-level co-financing, for the operation of these bodies, including the performance of M&amp;E functions, has been programmed under project component </w:t>
      </w:r>
      <w:r>
        <w:rPr>
          <w:rFonts w:ascii="Times New Roman" w:hAnsi="Times New Roman" w:cs="Times New Roman"/>
          <w:i/>
          <w:sz w:val="18"/>
          <w:szCs w:val="18"/>
        </w:rPr>
        <w:t>3</w:t>
      </w:r>
      <w:r w:rsidRPr="00127631">
        <w:rPr>
          <w:rFonts w:ascii="Times New Roman" w:hAnsi="Times New Roman" w:cs="Times New Roman"/>
          <w:i/>
          <w:sz w:val="18"/>
          <w:szCs w:val="18"/>
        </w:rPr>
        <w:t xml:space="preserve"> relating to national and regional cooperation </w:t>
      </w:r>
      <w:r>
        <w:rPr>
          <w:rFonts w:ascii="Times New Roman" w:hAnsi="Times New Roman" w:cs="Times New Roman"/>
          <w:i/>
          <w:sz w:val="18"/>
          <w:szCs w:val="18"/>
        </w:rPr>
        <w:t xml:space="preserve">and </w:t>
      </w:r>
      <w:r w:rsidRPr="00127631">
        <w:rPr>
          <w:rFonts w:ascii="Times New Roman" w:hAnsi="Times New Roman" w:cs="Times New Roman"/>
          <w:i/>
          <w:sz w:val="18"/>
          <w:szCs w:val="18"/>
        </w:rPr>
        <w:t xml:space="preserve">coordination (UNEP budget line series 3300). </w:t>
      </w:r>
    </w:p>
  </w:footnote>
  <w:footnote w:id="82">
    <w:p w14:paraId="5B2DC833" w14:textId="77777777" w:rsidR="00FA141D" w:rsidRPr="00933570" w:rsidRDefault="00FA141D" w:rsidP="00933570">
      <w:pPr>
        <w:pStyle w:val="FootnoteText"/>
        <w:rPr>
          <w:rFonts w:ascii="Times New Roman" w:hAnsi="Times New Roman" w:cs="Times New Roman"/>
        </w:rPr>
      </w:pPr>
      <w:r w:rsidRPr="00933570">
        <w:rPr>
          <w:rStyle w:val="FootnoteReference"/>
          <w:rFonts w:ascii="Times New Roman" w:hAnsi="Times New Roman" w:cs="Times New Roman"/>
        </w:rPr>
        <w:footnoteRef/>
      </w:r>
      <w:r w:rsidRPr="00933570">
        <w:rPr>
          <w:rFonts w:ascii="Times New Roman" w:hAnsi="Times New Roman" w:cs="Times New Roman"/>
        </w:rPr>
        <w:t xml:space="preserve"> Evaluators should make a brief courtesy call to GEF Country Focal points during field visits if at all possible.</w:t>
      </w:r>
    </w:p>
  </w:footnote>
  <w:footnote w:id="83">
    <w:p w14:paraId="06663881" w14:textId="77777777" w:rsidR="00FA141D" w:rsidRPr="00933570" w:rsidRDefault="00FA141D" w:rsidP="00933570">
      <w:pPr>
        <w:pStyle w:val="FootnoteText"/>
        <w:rPr>
          <w:rFonts w:ascii="Times New Roman" w:hAnsi="Times New Roman" w:cs="Times New Roman"/>
        </w:rPr>
      </w:pPr>
      <w:r w:rsidRPr="00933570">
        <w:rPr>
          <w:rFonts w:ascii="Times New Roman" w:hAnsi="Times New Roman" w:cs="Times New Roman"/>
          <w:vertAlign w:val="superscript"/>
        </w:rPr>
        <w:footnoteRef/>
      </w:r>
      <w:r w:rsidRPr="00933570">
        <w:rPr>
          <w:rFonts w:ascii="Times New Roman" w:hAnsi="Times New Roman" w:cs="Times New Roman"/>
          <w:vertAlign w:val="superscript"/>
        </w:rPr>
        <w:t xml:space="preserve"> </w:t>
      </w:r>
      <w:r w:rsidRPr="00933570">
        <w:rPr>
          <w:rFonts w:ascii="Times New Roman" w:hAnsi="Times New Roman" w:cs="Times New Roman"/>
        </w:rPr>
        <w:t>However, the views and comments expressed by the evaluator need not be restricted to these items.</w:t>
      </w:r>
    </w:p>
  </w:footnote>
  <w:footnote w:id="84">
    <w:p w14:paraId="1A925687" w14:textId="77777777" w:rsidR="00FA141D" w:rsidRPr="00EE36CB" w:rsidRDefault="00FA141D" w:rsidP="00933570">
      <w:pPr>
        <w:pStyle w:val="FootnoteText"/>
        <w:rPr>
          <w:rFonts w:ascii="Times New Roman" w:hAnsi="Times New Roman" w:cs="Times New Roman"/>
        </w:rPr>
      </w:pPr>
      <w:r w:rsidRPr="00EE36CB">
        <w:rPr>
          <w:rStyle w:val="FootnoteReference"/>
          <w:rFonts w:ascii="Times New Roman" w:hAnsi="Times New Roman" w:cs="Times New Roman"/>
        </w:rPr>
        <w:footnoteRef/>
      </w:r>
      <w:r w:rsidRPr="00EE36CB">
        <w:rPr>
          <w:rFonts w:ascii="Times New Roman" w:hAnsi="Times New Roman" w:cs="Times New Roman"/>
        </w:rPr>
        <w:t xml:space="preserve"> http://gefweb.org/MonitoringandEvaluation/MEPoliciesProcedures/MEPTools/meptstandards.html</w:t>
      </w:r>
    </w:p>
  </w:footnote>
  <w:footnote w:id="85">
    <w:p w14:paraId="7B0E2C37" w14:textId="77777777" w:rsidR="00FA141D" w:rsidRPr="00B91E7E" w:rsidRDefault="00FA141D" w:rsidP="00297F30">
      <w:pPr>
        <w:pStyle w:val="FootnoteText"/>
        <w:rPr>
          <w:rFonts w:ascii="Times New Roman" w:hAnsi="Times New Roman" w:cs="Times New Roman"/>
        </w:rPr>
      </w:pPr>
      <w:r w:rsidRPr="00B91E7E">
        <w:rPr>
          <w:rStyle w:val="FootnoteReference"/>
          <w:rFonts w:ascii="Times New Roman" w:hAnsi="Times New Roman" w:cs="Times New Roman"/>
        </w:rPr>
        <w:footnoteRef/>
      </w:r>
      <w:r w:rsidRPr="00B91E7E">
        <w:rPr>
          <w:rFonts w:ascii="Times New Roman" w:hAnsi="Times New Roman" w:cs="Times New Roman"/>
        </w:rPr>
        <w:t xml:space="preserve"> In this regard the SAP-Implementation Committee will function in a manner comparable to a GEF Project Steering Committee have responsibility for the conduct and execution of Project activities.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C14AA976"/>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17E63702"/>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03343AFA"/>
    <w:lvl w:ilvl="0">
      <w:start w:val="1"/>
      <w:numFmt w:val="decimal"/>
      <w:pStyle w:val="ListNumber3"/>
      <w:lvlText w:val="%1."/>
      <w:lvlJc w:val="left"/>
      <w:pPr>
        <w:tabs>
          <w:tab w:val="num" w:pos="1080"/>
        </w:tabs>
        <w:ind w:left="1080" w:hanging="360"/>
      </w:pPr>
    </w:lvl>
  </w:abstractNum>
  <w:abstractNum w:abstractNumId="3" w15:restartNumberingAfterBreak="0">
    <w:nsid w:val="FFFFFF81"/>
    <w:multiLevelType w:val="singleLevel"/>
    <w:tmpl w:val="609EFC20"/>
    <w:lvl w:ilvl="0">
      <w:start w:val="1"/>
      <w:numFmt w:val="bullet"/>
      <w:pStyle w:val="ListBullet4"/>
      <w:lvlText w:val=""/>
      <w:lvlJc w:val="left"/>
      <w:pPr>
        <w:tabs>
          <w:tab w:val="num" w:pos="1440"/>
        </w:tabs>
        <w:ind w:left="1440" w:hanging="360"/>
      </w:pPr>
      <w:rPr>
        <w:rFonts w:ascii="Symbol" w:hAnsi="Symbol" w:hint="default"/>
      </w:rPr>
    </w:lvl>
  </w:abstractNum>
  <w:abstractNum w:abstractNumId="4" w15:restartNumberingAfterBreak="0">
    <w:nsid w:val="FFFFFF82"/>
    <w:multiLevelType w:val="singleLevel"/>
    <w:tmpl w:val="CC4E42FE"/>
    <w:lvl w:ilvl="0">
      <w:start w:val="1"/>
      <w:numFmt w:val="bullet"/>
      <w:pStyle w:val="ListBullet3"/>
      <w:lvlText w:val=""/>
      <w:lvlJc w:val="left"/>
      <w:pPr>
        <w:tabs>
          <w:tab w:val="num" w:pos="1080"/>
        </w:tabs>
        <w:ind w:left="1080" w:hanging="360"/>
      </w:pPr>
      <w:rPr>
        <w:rFonts w:ascii="Symbol" w:hAnsi="Symbol" w:hint="default"/>
      </w:rPr>
    </w:lvl>
  </w:abstractNum>
  <w:abstractNum w:abstractNumId="5" w15:restartNumberingAfterBreak="0">
    <w:nsid w:val="FFFFFF89"/>
    <w:multiLevelType w:val="singleLevel"/>
    <w:tmpl w:val="3A565066"/>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22F6F50"/>
    <w:multiLevelType w:val="hybridMultilevel"/>
    <w:tmpl w:val="568CD32E"/>
    <w:lvl w:ilvl="0" w:tplc="FFFFFFFF">
      <w:start w:val="1"/>
      <w:numFmt w:val="bullet"/>
      <w:lvlText w:val=""/>
      <w:lvlJc w:val="left"/>
      <w:pPr>
        <w:tabs>
          <w:tab w:val="num" w:pos="851"/>
        </w:tabs>
        <w:ind w:left="851" w:hanging="491"/>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33A6440"/>
    <w:multiLevelType w:val="hybridMultilevel"/>
    <w:tmpl w:val="76368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332B20"/>
    <w:multiLevelType w:val="multilevel"/>
    <w:tmpl w:val="131462FA"/>
    <w:lvl w:ilvl="0">
      <w:start w:val="6"/>
      <w:numFmt w:val="decimal"/>
      <w:lvlText w:val="%1."/>
      <w:lvlJc w:val="left"/>
      <w:pPr>
        <w:tabs>
          <w:tab w:val="num" w:pos="720"/>
        </w:tabs>
        <w:ind w:left="720" w:hanging="720"/>
      </w:pPr>
      <w:rPr>
        <w:rFonts w:hint="default"/>
      </w:rPr>
    </w:lvl>
    <w:lvl w:ilvl="1">
      <w:start w:val="1"/>
      <w:numFmt w:val="decimal"/>
      <w:lvlText w:val="7.%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05E264D9"/>
    <w:multiLevelType w:val="hybridMultilevel"/>
    <w:tmpl w:val="268C386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AE77C09"/>
    <w:multiLevelType w:val="hybridMultilevel"/>
    <w:tmpl w:val="677099BC"/>
    <w:lvl w:ilvl="0" w:tplc="FFFFFFFF">
      <w:start w:val="1"/>
      <w:numFmt w:val="bullet"/>
      <w:lvlText w:val=""/>
      <w:lvlJc w:val="left"/>
      <w:pPr>
        <w:tabs>
          <w:tab w:val="num" w:pos="360"/>
        </w:tabs>
        <w:ind w:left="360" w:hanging="360"/>
      </w:pPr>
      <w:rPr>
        <w:rFonts w:ascii="Symbol" w:hAnsi="Symbol" w:hint="default"/>
        <w:b w:val="0"/>
        <w:i w:val="0"/>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BC11750"/>
    <w:multiLevelType w:val="hybridMultilevel"/>
    <w:tmpl w:val="23200552"/>
    <w:lvl w:ilvl="0" w:tplc="CE16BA7E">
      <w:start w:val="1"/>
      <w:numFmt w:val="bullet"/>
      <w:lvlText w:val=""/>
      <w:lvlJc w:val="left"/>
      <w:pPr>
        <w:tabs>
          <w:tab w:val="num" w:pos="360"/>
        </w:tabs>
        <w:ind w:left="360" w:hanging="360"/>
      </w:pPr>
      <w:rPr>
        <w:rFonts w:ascii="Symbol" w:hAnsi="Symbol" w:hint="default"/>
      </w:rPr>
    </w:lvl>
    <w:lvl w:ilvl="1" w:tplc="04090015">
      <w:start w:val="1"/>
      <w:numFmt w:val="upperLetter"/>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C361CB5"/>
    <w:multiLevelType w:val="hybridMultilevel"/>
    <w:tmpl w:val="12BAD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0ED02F7"/>
    <w:multiLevelType w:val="hybridMultilevel"/>
    <w:tmpl w:val="E32A4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5743786"/>
    <w:multiLevelType w:val="hybridMultilevel"/>
    <w:tmpl w:val="A7D630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7DA2B16"/>
    <w:multiLevelType w:val="hybridMultilevel"/>
    <w:tmpl w:val="FA206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80C364A"/>
    <w:multiLevelType w:val="hybridMultilevel"/>
    <w:tmpl w:val="C29684E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BE27CD"/>
    <w:multiLevelType w:val="hybridMultilevel"/>
    <w:tmpl w:val="25A6A38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FE24FFC"/>
    <w:multiLevelType w:val="hybridMultilevel"/>
    <w:tmpl w:val="87A89C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9" w15:restartNumberingAfterBreak="0">
    <w:nsid w:val="1FF2447E"/>
    <w:multiLevelType w:val="hybridMultilevel"/>
    <w:tmpl w:val="033ED5C2"/>
    <w:lvl w:ilvl="0" w:tplc="FFFFFFFF">
      <w:start w:val="1"/>
      <w:numFmt w:val="bullet"/>
      <w:lvlText w:val=""/>
      <w:lvlJc w:val="left"/>
      <w:pPr>
        <w:tabs>
          <w:tab w:val="num" w:pos="1866"/>
        </w:tabs>
        <w:ind w:left="1866" w:hanging="360"/>
      </w:pPr>
      <w:rPr>
        <w:rFonts w:ascii="Symbol" w:hAnsi="Symbol" w:hint="default"/>
      </w:rPr>
    </w:lvl>
    <w:lvl w:ilvl="1" w:tplc="801AF5B0">
      <w:start w:val="1"/>
      <w:numFmt w:val="bullet"/>
      <w:lvlText w:val=""/>
      <w:lvlJc w:val="left"/>
      <w:pPr>
        <w:tabs>
          <w:tab w:val="num" w:pos="2586"/>
        </w:tabs>
        <w:ind w:left="2586" w:hanging="360"/>
      </w:pPr>
      <w:rPr>
        <w:rFonts w:ascii="Symbol" w:hAnsi="Symbol" w:hint="default"/>
      </w:rPr>
    </w:lvl>
    <w:lvl w:ilvl="2" w:tplc="FFFFFFFF" w:tentative="1">
      <w:start w:val="1"/>
      <w:numFmt w:val="bullet"/>
      <w:lvlText w:val=""/>
      <w:lvlJc w:val="left"/>
      <w:pPr>
        <w:tabs>
          <w:tab w:val="num" w:pos="3306"/>
        </w:tabs>
        <w:ind w:left="3306" w:hanging="360"/>
      </w:pPr>
      <w:rPr>
        <w:rFonts w:ascii="Wingdings" w:hAnsi="Wingdings" w:hint="default"/>
      </w:rPr>
    </w:lvl>
    <w:lvl w:ilvl="3" w:tplc="FFFFFFFF" w:tentative="1">
      <w:start w:val="1"/>
      <w:numFmt w:val="bullet"/>
      <w:lvlText w:val=""/>
      <w:lvlJc w:val="left"/>
      <w:pPr>
        <w:tabs>
          <w:tab w:val="num" w:pos="4026"/>
        </w:tabs>
        <w:ind w:left="4026" w:hanging="360"/>
      </w:pPr>
      <w:rPr>
        <w:rFonts w:ascii="Symbol" w:hAnsi="Symbol" w:hint="default"/>
      </w:rPr>
    </w:lvl>
    <w:lvl w:ilvl="4" w:tplc="FFFFFFFF" w:tentative="1">
      <w:start w:val="1"/>
      <w:numFmt w:val="bullet"/>
      <w:lvlText w:val="o"/>
      <w:lvlJc w:val="left"/>
      <w:pPr>
        <w:tabs>
          <w:tab w:val="num" w:pos="4746"/>
        </w:tabs>
        <w:ind w:left="4746" w:hanging="360"/>
      </w:pPr>
      <w:rPr>
        <w:rFonts w:ascii="Courier New" w:hAnsi="Courier New" w:cs="Courier New" w:hint="default"/>
      </w:rPr>
    </w:lvl>
    <w:lvl w:ilvl="5" w:tplc="FFFFFFFF" w:tentative="1">
      <w:start w:val="1"/>
      <w:numFmt w:val="bullet"/>
      <w:lvlText w:val=""/>
      <w:lvlJc w:val="left"/>
      <w:pPr>
        <w:tabs>
          <w:tab w:val="num" w:pos="5466"/>
        </w:tabs>
        <w:ind w:left="5466" w:hanging="360"/>
      </w:pPr>
      <w:rPr>
        <w:rFonts w:ascii="Wingdings" w:hAnsi="Wingdings" w:hint="default"/>
      </w:rPr>
    </w:lvl>
    <w:lvl w:ilvl="6" w:tplc="FFFFFFFF" w:tentative="1">
      <w:start w:val="1"/>
      <w:numFmt w:val="bullet"/>
      <w:lvlText w:val=""/>
      <w:lvlJc w:val="left"/>
      <w:pPr>
        <w:tabs>
          <w:tab w:val="num" w:pos="6186"/>
        </w:tabs>
        <w:ind w:left="6186" w:hanging="360"/>
      </w:pPr>
      <w:rPr>
        <w:rFonts w:ascii="Symbol" w:hAnsi="Symbol" w:hint="default"/>
      </w:rPr>
    </w:lvl>
    <w:lvl w:ilvl="7" w:tplc="FFFFFFFF" w:tentative="1">
      <w:start w:val="1"/>
      <w:numFmt w:val="bullet"/>
      <w:lvlText w:val="o"/>
      <w:lvlJc w:val="left"/>
      <w:pPr>
        <w:tabs>
          <w:tab w:val="num" w:pos="6906"/>
        </w:tabs>
        <w:ind w:left="6906" w:hanging="360"/>
      </w:pPr>
      <w:rPr>
        <w:rFonts w:ascii="Courier New" w:hAnsi="Courier New" w:cs="Courier New" w:hint="default"/>
      </w:rPr>
    </w:lvl>
    <w:lvl w:ilvl="8" w:tplc="FFFFFFFF" w:tentative="1">
      <w:start w:val="1"/>
      <w:numFmt w:val="bullet"/>
      <w:lvlText w:val=""/>
      <w:lvlJc w:val="left"/>
      <w:pPr>
        <w:tabs>
          <w:tab w:val="num" w:pos="7626"/>
        </w:tabs>
        <w:ind w:left="7626" w:hanging="360"/>
      </w:pPr>
      <w:rPr>
        <w:rFonts w:ascii="Wingdings" w:hAnsi="Wingdings" w:hint="default"/>
      </w:rPr>
    </w:lvl>
  </w:abstractNum>
  <w:abstractNum w:abstractNumId="20" w15:restartNumberingAfterBreak="0">
    <w:nsid w:val="219218DB"/>
    <w:multiLevelType w:val="hybridMultilevel"/>
    <w:tmpl w:val="73560A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1AA27E4"/>
    <w:multiLevelType w:val="hybridMultilevel"/>
    <w:tmpl w:val="284AF9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41B698C"/>
    <w:multiLevelType w:val="multilevel"/>
    <w:tmpl w:val="FC5CD77C"/>
    <w:lvl w:ilvl="0">
      <w:start w:val="1"/>
      <w:numFmt w:val="decimal"/>
      <w:lvlText w:val="%1"/>
      <w:lvlJc w:val="left"/>
      <w:pPr>
        <w:tabs>
          <w:tab w:val="num" w:pos="720"/>
        </w:tabs>
        <w:ind w:left="720" w:hanging="720"/>
      </w:pPr>
      <w:rPr>
        <w:rFonts w:hint="default"/>
      </w:rPr>
    </w:lvl>
    <w:lvl w:ilvl="1">
      <w:start w:val="10"/>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3" w15:restartNumberingAfterBreak="0">
    <w:nsid w:val="260E1ABE"/>
    <w:multiLevelType w:val="hybridMultilevel"/>
    <w:tmpl w:val="623E67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61A6855"/>
    <w:multiLevelType w:val="hybridMultilevel"/>
    <w:tmpl w:val="2600193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61F260D"/>
    <w:multiLevelType w:val="hybridMultilevel"/>
    <w:tmpl w:val="EEAE0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65C5C57"/>
    <w:multiLevelType w:val="hybridMultilevel"/>
    <w:tmpl w:val="7C262B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A7C0CE5"/>
    <w:multiLevelType w:val="multilevel"/>
    <w:tmpl w:val="24F2D67E"/>
    <w:lvl w:ilvl="0">
      <w:start w:val="1"/>
      <w:numFmt w:val="decimal"/>
      <w:lvlText w:val="%1"/>
      <w:lvlJc w:val="left"/>
      <w:pPr>
        <w:tabs>
          <w:tab w:val="num" w:pos="390"/>
        </w:tabs>
        <w:ind w:left="390" w:hanging="390"/>
      </w:pPr>
      <w:rPr>
        <w:rFonts w:hint="default"/>
      </w:rPr>
    </w:lvl>
    <w:lvl w:ilvl="1">
      <w:start w:val="11"/>
      <w:numFmt w:val="decimal"/>
      <w:lvlText w:val="%1.%2"/>
      <w:lvlJc w:val="left"/>
      <w:pPr>
        <w:tabs>
          <w:tab w:val="num" w:pos="390"/>
        </w:tabs>
        <w:ind w:left="390" w:hanging="390"/>
      </w:pPr>
      <w:rPr>
        <w:rFonts w:hint="default"/>
      </w:rPr>
    </w:lvl>
    <w:lvl w:ilvl="2">
      <w:start w:val="1"/>
      <w:numFmt w:val="decimal"/>
      <w:lvlText w:val="%1.%2"/>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8" w15:restartNumberingAfterBreak="0">
    <w:nsid w:val="2B68670E"/>
    <w:multiLevelType w:val="hybridMultilevel"/>
    <w:tmpl w:val="D5E06D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DD16D77"/>
    <w:multiLevelType w:val="hybridMultilevel"/>
    <w:tmpl w:val="5F5A86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E994F5E"/>
    <w:multiLevelType w:val="multilevel"/>
    <w:tmpl w:val="E2DA7070"/>
    <w:lvl w:ilvl="0">
      <w:start w:val="3"/>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2F3535F1"/>
    <w:multiLevelType w:val="hybridMultilevel"/>
    <w:tmpl w:val="1B8C21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FC30582"/>
    <w:multiLevelType w:val="hybridMultilevel"/>
    <w:tmpl w:val="143CC0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55C40A7"/>
    <w:multiLevelType w:val="hybridMultilevel"/>
    <w:tmpl w:val="36DE722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3A554C16"/>
    <w:multiLevelType w:val="hybridMultilevel"/>
    <w:tmpl w:val="BC9AE978"/>
    <w:lvl w:ilvl="0" w:tplc="FFFFFFFF">
      <w:start w:val="1"/>
      <w:numFmt w:val="decimal"/>
      <w:suff w:val="nothing"/>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3AC12E3F"/>
    <w:multiLevelType w:val="hybridMultilevel"/>
    <w:tmpl w:val="B99E7E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C461876"/>
    <w:multiLevelType w:val="hybridMultilevel"/>
    <w:tmpl w:val="4CCA5318"/>
    <w:lvl w:ilvl="0" w:tplc="7EA87146">
      <w:start w:val="1"/>
      <w:numFmt w:val="bullet"/>
      <w:lvlText w:val=""/>
      <w:lvlJc w:val="left"/>
      <w:pPr>
        <w:tabs>
          <w:tab w:val="num" w:pos="720"/>
        </w:tabs>
        <w:ind w:left="720" w:hanging="360"/>
      </w:pPr>
      <w:rPr>
        <w:rFonts w:ascii="Symbol" w:hAnsi="Symbol" w:hint="default"/>
      </w:rPr>
    </w:lvl>
    <w:lvl w:ilvl="1" w:tplc="9016225E"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3EBE359A"/>
    <w:multiLevelType w:val="hybridMultilevel"/>
    <w:tmpl w:val="4B267C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0803E79"/>
    <w:multiLevelType w:val="hybridMultilevel"/>
    <w:tmpl w:val="1E1C768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410B006F"/>
    <w:multiLevelType w:val="hybridMultilevel"/>
    <w:tmpl w:val="1346BAE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438C0AFA"/>
    <w:multiLevelType w:val="multilevel"/>
    <w:tmpl w:val="A42A46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454F3808"/>
    <w:multiLevelType w:val="hybridMultilevel"/>
    <w:tmpl w:val="A77CC1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46F73DDE"/>
    <w:multiLevelType w:val="hybridMultilevel"/>
    <w:tmpl w:val="848C5DE2"/>
    <w:lvl w:ilvl="0" w:tplc="FFFFFFFF">
      <w:start w:val="1"/>
      <w:numFmt w:val="decimal"/>
      <w:lvlText w:val="%1."/>
      <w:lvlJc w:val="left"/>
      <w:pPr>
        <w:tabs>
          <w:tab w:val="num" w:pos="1152"/>
        </w:tabs>
        <w:ind w:left="1152" w:hanging="360"/>
      </w:pPr>
    </w:lvl>
    <w:lvl w:ilvl="1" w:tplc="FFFFFFFF" w:tentative="1">
      <w:start w:val="1"/>
      <w:numFmt w:val="lowerLetter"/>
      <w:lvlText w:val="%2."/>
      <w:lvlJc w:val="left"/>
      <w:pPr>
        <w:tabs>
          <w:tab w:val="num" w:pos="1872"/>
        </w:tabs>
        <w:ind w:left="1872" w:hanging="360"/>
      </w:pPr>
    </w:lvl>
    <w:lvl w:ilvl="2" w:tplc="FFFFFFFF" w:tentative="1">
      <w:start w:val="1"/>
      <w:numFmt w:val="lowerRoman"/>
      <w:lvlText w:val="%3."/>
      <w:lvlJc w:val="right"/>
      <w:pPr>
        <w:tabs>
          <w:tab w:val="num" w:pos="2592"/>
        </w:tabs>
        <w:ind w:left="2592" w:hanging="180"/>
      </w:pPr>
    </w:lvl>
    <w:lvl w:ilvl="3" w:tplc="FFFFFFFF" w:tentative="1">
      <w:start w:val="1"/>
      <w:numFmt w:val="decimal"/>
      <w:lvlText w:val="%4."/>
      <w:lvlJc w:val="left"/>
      <w:pPr>
        <w:tabs>
          <w:tab w:val="num" w:pos="3312"/>
        </w:tabs>
        <w:ind w:left="3312" w:hanging="360"/>
      </w:pPr>
    </w:lvl>
    <w:lvl w:ilvl="4" w:tplc="FFFFFFFF" w:tentative="1">
      <w:start w:val="1"/>
      <w:numFmt w:val="lowerLetter"/>
      <w:lvlText w:val="%5."/>
      <w:lvlJc w:val="left"/>
      <w:pPr>
        <w:tabs>
          <w:tab w:val="num" w:pos="4032"/>
        </w:tabs>
        <w:ind w:left="4032" w:hanging="360"/>
      </w:pPr>
    </w:lvl>
    <w:lvl w:ilvl="5" w:tplc="FFFFFFFF" w:tentative="1">
      <w:start w:val="1"/>
      <w:numFmt w:val="lowerRoman"/>
      <w:lvlText w:val="%6."/>
      <w:lvlJc w:val="right"/>
      <w:pPr>
        <w:tabs>
          <w:tab w:val="num" w:pos="4752"/>
        </w:tabs>
        <w:ind w:left="4752" w:hanging="180"/>
      </w:pPr>
    </w:lvl>
    <w:lvl w:ilvl="6" w:tplc="FFFFFFFF" w:tentative="1">
      <w:start w:val="1"/>
      <w:numFmt w:val="decimal"/>
      <w:lvlText w:val="%7."/>
      <w:lvlJc w:val="left"/>
      <w:pPr>
        <w:tabs>
          <w:tab w:val="num" w:pos="5472"/>
        </w:tabs>
        <w:ind w:left="5472" w:hanging="360"/>
      </w:pPr>
    </w:lvl>
    <w:lvl w:ilvl="7" w:tplc="FFFFFFFF" w:tentative="1">
      <w:start w:val="1"/>
      <w:numFmt w:val="lowerLetter"/>
      <w:lvlText w:val="%8."/>
      <w:lvlJc w:val="left"/>
      <w:pPr>
        <w:tabs>
          <w:tab w:val="num" w:pos="6192"/>
        </w:tabs>
        <w:ind w:left="6192" w:hanging="360"/>
      </w:pPr>
    </w:lvl>
    <w:lvl w:ilvl="8" w:tplc="FFFFFFFF" w:tentative="1">
      <w:start w:val="1"/>
      <w:numFmt w:val="lowerRoman"/>
      <w:lvlText w:val="%9."/>
      <w:lvlJc w:val="right"/>
      <w:pPr>
        <w:tabs>
          <w:tab w:val="num" w:pos="6912"/>
        </w:tabs>
        <w:ind w:left="6912" w:hanging="180"/>
      </w:pPr>
    </w:lvl>
  </w:abstractNum>
  <w:abstractNum w:abstractNumId="43" w15:restartNumberingAfterBreak="0">
    <w:nsid w:val="47012D5C"/>
    <w:multiLevelType w:val="hybridMultilevel"/>
    <w:tmpl w:val="C8482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9212D3D"/>
    <w:multiLevelType w:val="hybridMultilevel"/>
    <w:tmpl w:val="F1527DA8"/>
    <w:lvl w:ilvl="0" w:tplc="FFFFFFFF">
      <w:start w:val="1"/>
      <w:numFmt w:val="decimal"/>
      <w:lvlText w:val="%1."/>
      <w:lvlJc w:val="left"/>
      <w:pPr>
        <w:tabs>
          <w:tab w:val="num" w:pos="360"/>
        </w:tabs>
        <w:ind w:left="360" w:hanging="360"/>
      </w:pPr>
      <w:rPr>
        <w:rFonts w:hint="default"/>
      </w:rPr>
    </w:lvl>
    <w:lvl w:ilvl="1" w:tplc="FFFFFFFF" w:tentative="1">
      <w:start w:val="1"/>
      <w:numFmt w:val="bullet"/>
      <w:lvlText w:val="o"/>
      <w:lvlJc w:val="left"/>
      <w:pPr>
        <w:tabs>
          <w:tab w:val="num" w:pos="1440"/>
        </w:tabs>
        <w:ind w:left="1440" w:hanging="360"/>
      </w:pPr>
      <w:rPr>
        <w:rFonts w:ascii="Courier New" w:hAnsi="Courier New" w:cs="Tahoma"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Tahoma"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Tahoma"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4BA1334E"/>
    <w:multiLevelType w:val="hybridMultilevel"/>
    <w:tmpl w:val="0B0C33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C0221EE"/>
    <w:multiLevelType w:val="multilevel"/>
    <w:tmpl w:val="B858813C"/>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7" w15:restartNumberingAfterBreak="0">
    <w:nsid w:val="4DCC5DDB"/>
    <w:multiLevelType w:val="hybridMultilevel"/>
    <w:tmpl w:val="A49C74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E642B2A"/>
    <w:multiLevelType w:val="singleLevel"/>
    <w:tmpl w:val="528AF558"/>
    <w:lvl w:ilvl="0">
      <w:start w:val="1"/>
      <w:numFmt w:val="lowerRoman"/>
      <w:lvlText w:val="%1)"/>
      <w:lvlJc w:val="left"/>
      <w:pPr>
        <w:tabs>
          <w:tab w:val="num" w:pos="1440"/>
        </w:tabs>
        <w:ind w:left="1440" w:hanging="720"/>
      </w:pPr>
      <w:rPr>
        <w:rFonts w:hint="default"/>
      </w:rPr>
    </w:lvl>
  </w:abstractNum>
  <w:abstractNum w:abstractNumId="49" w15:restartNumberingAfterBreak="0">
    <w:nsid w:val="5273504C"/>
    <w:multiLevelType w:val="hybridMultilevel"/>
    <w:tmpl w:val="690093E4"/>
    <w:lvl w:ilvl="0" w:tplc="FFFFFFFF">
      <w:start w:val="1"/>
      <w:numFmt w:val="bullet"/>
      <w:lvlText w:val=""/>
      <w:lvlJc w:val="left"/>
      <w:pPr>
        <w:tabs>
          <w:tab w:val="num" w:pos="2160"/>
        </w:tabs>
        <w:ind w:left="2160" w:hanging="360"/>
      </w:pPr>
      <w:rPr>
        <w:rFonts w:ascii="Symbol" w:hAnsi="Symbol" w:hint="default"/>
      </w:rPr>
    </w:lvl>
    <w:lvl w:ilvl="1" w:tplc="FFFFFFFF">
      <w:start w:val="1"/>
      <w:numFmt w:val="bullet"/>
      <w:lvlText w:val="o"/>
      <w:lvlJc w:val="left"/>
      <w:pPr>
        <w:tabs>
          <w:tab w:val="num" w:pos="2880"/>
        </w:tabs>
        <w:ind w:left="2880" w:hanging="360"/>
      </w:pPr>
      <w:rPr>
        <w:rFonts w:ascii="Courier New" w:hAnsi="Courier New" w:cs="Courier New" w:hint="default"/>
      </w:rPr>
    </w:lvl>
    <w:lvl w:ilvl="2" w:tplc="FFFFFFFF" w:tentative="1">
      <w:start w:val="1"/>
      <w:numFmt w:val="bullet"/>
      <w:lvlText w:val=""/>
      <w:lvlJc w:val="left"/>
      <w:pPr>
        <w:tabs>
          <w:tab w:val="num" w:pos="3600"/>
        </w:tabs>
        <w:ind w:left="3600" w:hanging="360"/>
      </w:pPr>
      <w:rPr>
        <w:rFonts w:ascii="Wingdings" w:hAnsi="Wingdings" w:hint="default"/>
      </w:rPr>
    </w:lvl>
    <w:lvl w:ilvl="3" w:tplc="FFFFFFFF" w:tentative="1">
      <w:start w:val="1"/>
      <w:numFmt w:val="bullet"/>
      <w:lvlText w:val=""/>
      <w:lvlJc w:val="left"/>
      <w:pPr>
        <w:tabs>
          <w:tab w:val="num" w:pos="4320"/>
        </w:tabs>
        <w:ind w:left="4320" w:hanging="360"/>
      </w:pPr>
      <w:rPr>
        <w:rFonts w:ascii="Symbol" w:hAnsi="Symbol" w:hint="default"/>
      </w:rPr>
    </w:lvl>
    <w:lvl w:ilvl="4" w:tplc="FFFFFFFF" w:tentative="1">
      <w:start w:val="1"/>
      <w:numFmt w:val="bullet"/>
      <w:lvlText w:val="o"/>
      <w:lvlJc w:val="left"/>
      <w:pPr>
        <w:tabs>
          <w:tab w:val="num" w:pos="5040"/>
        </w:tabs>
        <w:ind w:left="5040" w:hanging="360"/>
      </w:pPr>
      <w:rPr>
        <w:rFonts w:ascii="Courier New" w:hAnsi="Courier New" w:cs="Courier New" w:hint="default"/>
      </w:rPr>
    </w:lvl>
    <w:lvl w:ilvl="5" w:tplc="FFFFFFFF" w:tentative="1">
      <w:start w:val="1"/>
      <w:numFmt w:val="bullet"/>
      <w:lvlText w:val=""/>
      <w:lvlJc w:val="left"/>
      <w:pPr>
        <w:tabs>
          <w:tab w:val="num" w:pos="5760"/>
        </w:tabs>
        <w:ind w:left="5760" w:hanging="360"/>
      </w:pPr>
      <w:rPr>
        <w:rFonts w:ascii="Wingdings" w:hAnsi="Wingdings" w:hint="default"/>
      </w:rPr>
    </w:lvl>
    <w:lvl w:ilvl="6" w:tplc="FFFFFFFF" w:tentative="1">
      <w:start w:val="1"/>
      <w:numFmt w:val="bullet"/>
      <w:lvlText w:val=""/>
      <w:lvlJc w:val="left"/>
      <w:pPr>
        <w:tabs>
          <w:tab w:val="num" w:pos="6480"/>
        </w:tabs>
        <w:ind w:left="6480" w:hanging="360"/>
      </w:pPr>
      <w:rPr>
        <w:rFonts w:ascii="Symbol" w:hAnsi="Symbol" w:hint="default"/>
      </w:rPr>
    </w:lvl>
    <w:lvl w:ilvl="7" w:tplc="FFFFFFFF" w:tentative="1">
      <w:start w:val="1"/>
      <w:numFmt w:val="bullet"/>
      <w:lvlText w:val="o"/>
      <w:lvlJc w:val="left"/>
      <w:pPr>
        <w:tabs>
          <w:tab w:val="num" w:pos="7200"/>
        </w:tabs>
        <w:ind w:left="7200" w:hanging="360"/>
      </w:pPr>
      <w:rPr>
        <w:rFonts w:ascii="Courier New" w:hAnsi="Courier New" w:cs="Courier New" w:hint="default"/>
      </w:rPr>
    </w:lvl>
    <w:lvl w:ilvl="8" w:tplc="FFFFFFFF" w:tentative="1">
      <w:start w:val="1"/>
      <w:numFmt w:val="bullet"/>
      <w:lvlText w:val=""/>
      <w:lvlJc w:val="left"/>
      <w:pPr>
        <w:tabs>
          <w:tab w:val="num" w:pos="7920"/>
        </w:tabs>
        <w:ind w:left="7920" w:hanging="360"/>
      </w:pPr>
      <w:rPr>
        <w:rFonts w:ascii="Wingdings" w:hAnsi="Wingdings" w:hint="default"/>
      </w:rPr>
    </w:lvl>
  </w:abstractNum>
  <w:abstractNum w:abstractNumId="50" w15:restartNumberingAfterBreak="0">
    <w:nsid w:val="58FE5681"/>
    <w:multiLevelType w:val="hybridMultilevel"/>
    <w:tmpl w:val="A4A0062C"/>
    <w:lvl w:ilvl="0" w:tplc="04090005">
      <w:start w:val="1"/>
      <w:numFmt w:val="bullet"/>
      <w:lvlText w:val=""/>
      <w:lvlJc w:val="left"/>
      <w:pPr>
        <w:tabs>
          <w:tab w:val="num" w:pos="2520"/>
        </w:tabs>
        <w:ind w:left="2520" w:hanging="360"/>
      </w:pPr>
      <w:rPr>
        <w:rFonts w:ascii="Wingdings" w:hAnsi="Wingdings" w:hint="default"/>
      </w:rPr>
    </w:lvl>
    <w:lvl w:ilvl="1" w:tplc="04090003" w:tentative="1">
      <w:start w:val="1"/>
      <w:numFmt w:val="bullet"/>
      <w:lvlText w:val="o"/>
      <w:lvlJc w:val="left"/>
      <w:pPr>
        <w:tabs>
          <w:tab w:val="num" w:pos="3240"/>
        </w:tabs>
        <w:ind w:left="3240" w:hanging="360"/>
      </w:pPr>
      <w:rPr>
        <w:rFonts w:ascii="Courier New" w:hAnsi="Courier New" w:cs="Courier New" w:hint="default"/>
      </w:rPr>
    </w:lvl>
    <w:lvl w:ilvl="2" w:tplc="04090005" w:tentative="1">
      <w:start w:val="1"/>
      <w:numFmt w:val="bullet"/>
      <w:lvlText w:val=""/>
      <w:lvlJc w:val="left"/>
      <w:pPr>
        <w:tabs>
          <w:tab w:val="num" w:pos="3960"/>
        </w:tabs>
        <w:ind w:left="3960" w:hanging="360"/>
      </w:pPr>
      <w:rPr>
        <w:rFonts w:ascii="Wingdings" w:hAnsi="Wingdings" w:hint="default"/>
      </w:rPr>
    </w:lvl>
    <w:lvl w:ilvl="3" w:tplc="04090001" w:tentative="1">
      <w:start w:val="1"/>
      <w:numFmt w:val="bullet"/>
      <w:lvlText w:val=""/>
      <w:lvlJc w:val="left"/>
      <w:pPr>
        <w:tabs>
          <w:tab w:val="num" w:pos="4680"/>
        </w:tabs>
        <w:ind w:left="4680" w:hanging="360"/>
      </w:pPr>
      <w:rPr>
        <w:rFonts w:ascii="Symbol" w:hAnsi="Symbol" w:hint="default"/>
      </w:rPr>
    </w:lvl>
    <w:lvl w:ilvl="4" w:tplc="04090003" w:tentative="1">
      <w:start w:val="1"/>
      <w:numFmt w:val="bullet"/>
      <w:lvlText w:val="o"/>
      <w:lvlJc w:val="left"/>
      <w:pPr>
        <w:tabs>
          <w:tab w:val="num" w:pos="5400"/>
        </w:tabs>
        <w:ind w:left="5400" w:hanging="360"/>
      </w:pPr>
      <w:rPr>
        <w:rFonts w:ascii="Courier New" w:hAnsi="Courier New" w:cs="Courier New" w:hint="default"/>
      </w:rPr>
    </w:lvl>
    <w:lvl w:ilvl="5" w:tplc="04090005" w:tentative="1">
      <w:start w:val="1"/>
      <w:numFmt w:val="bullet"/>
      <w:lvlText w:val=""/>
      <w:lvlJc w:val="left"/>
      <w:pPr>
        <w:tabs>
          <w:tab w:val="num" w:pos="6120"/>
        </w:tabs>
        <w:ind w:left="6120" w:hanging="360"/>
      </w:pPr>
      <w:rPr>
        <w:rFonts w:ascii="Wingdings" w:hAnsi="Wingdings" w:hint="default"/>
      </w:rPr>
    </w:lvl>
    <w:lvl w:ilvl="6" w:tplc="04090001" w:tentative="1">
      <w:start w:val="1"/>
      <w:numFmt w:val="bullet"/>
      <w:lvlText w:val=""/>
      <w:lvlJc w:val="left"/>
      <w:pPr>
        <w:tabs>
          <w:tab w:val="num" w:pos="6840"/>
        </w:tabs>
        <w:ind w:left="6840" w:hanging="360"/>
      </w:pPr>
      <w:rPr>
        <w:rFonts w:ascii="Symbol" w:hAnsi="Symbol" w:hint="default"/>
      </w:rPr>
    </w:lvl>
    <w:lvl w:ilvl="7" w:tplc="04090003" w:tentative="1">
      <w:start w:val="1"/>
      <w:numFmt w:val="bullet"/>
      <w:lvlText w:val="o"/>
      <w:lvlJc w:val="left"/>
      <w:pPr>
        <w:tabs>
          <w:tab w:val="num" w:pos="7560"/>
        </w:tabs>
        <w:ind w:left="7560" w:hanging="360"/>
      </w:pPr>
      <w:rPr>
        <w:rFonts w:ascii="Courier New" w:hAnsi="Courier New" w:cs="Courier New" w:hint="default"/>
      </w:rPr>
    </w:lvl>
    <w:lvl w:ilvl="8" w:tplc="04090005" w:tentative="1">
      <w:start w:val="1"/>
      <w:numFmt w:val="bullet"/>
      <w:lvlText w:val=""/>
      <w:lvlJc w:val="left"/>
      <w:pPr>
        <w:tabs>
          <w:tab w:val="num" w:pos="8280"/>
        </w:tabs>
        <w:ind w:left="8280" w:hanging="360"/>
      </w:pPr>
      <w:rPr>
        <w:rFonts w:ascii="Wingdings" w:hAnsi="Wingdings" w:hint="default"/>
      </w:rPr>
    </w:lvl>
  </w:abstractNum>
  <w:abstractNum w:abstractNumId="51" w15:restartNumberingAfterBreak="0">
    <w:nsid w:val="59A421AE"/>
    <w:multiLevelType w:val="hybridMultilevel"/>
    <w:tmpl w:val="04B88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AB51496"/>
    <w:multiLevelType w:val="hybridMultilevel"/>
    <w:tmpl w:val="70AE3E90"/>
    <w:lvl w:ilvl="0" w:tplc="FFFFFFFF">
      <w:start w:val="1"/>
      <w:numFmt w:val="upperLetter"/>
      <w:lvlText w:val="%1."/>
      <w:lvlJc w:val="left"/>
      <w:pPr>
        <w:tabs>
          <w:tab w:val="num" w:pos="1440"/>
        </w:tabs>
        <w:ind w:left="1440" w:hanging="360"/>
      </w:pPr>
      <w:rPr>
        <w:rFonts w:hint="default"/>
      </w:r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53" w15:restartNumberingAfterBreak="0">
    <w:nsid w:val="5B947851"/>
    <w:multiLevelType w:val="hybridMultilevel"/>
    <w:tmpl w:val="361662F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5D600039"/>
    <w:multiLevelType w:val="hybridMultilevel"/>
    <w:tmpl w:val="6310C7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FF335FB"/>
    <w:multiLevelType w:val="hybridMultilevel"/>
    <w:tmpl w:val="5A84E4F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614E3525"/>
    <w:multiLevelType w:val="hybridMultilevel"/>
    <w:tmpl w:val="2DCA10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62841DD1"/>
    <w:multiLevelType w:val="hybridMultilevel"/>
    <w:tmpl w:val="196C82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2AB774F"/>
    <w:multiLevelType w:val="hybridMultilevel"/>
    <w:tmpl w:val="FA66B760"/>
    <w:lvl w:ilvl="0" w:tplc="769EFF0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63144662"/>
    <w:multiLevelType w:val="hybridMultilevel"/>
    <w:tmpl w:val="ACF6F8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38358CF"/>
    <w:multiLevelType w:val="hybridMultilevel"/>
    <w:tmpl w:val="9886B6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43F22C9"/>
    <w:multiLevelType w:val="hybridMultilevel"/>
    <w:tmpl w:val="876A8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A7D7922"/>
    <w:multiLevelType w:val="hybridMultilevel"/>
    <w:tmpl w:val="D0F24D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3" w15:restartNumberingAfterBreak="0">
    <w:nsid w:val="6AB32A9B"/>
    <w:multiLevelType w:val="hybridMultilevel"/>
    <w:tmpl w:val="C150BFF8"/>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6E76639F"/>
    <w:multiLevelType w:val="hybridMultilevel"/>
    <w:tmpl w:val="D1B0C7BC"/>
    <w:lvl w:ilvl="0" w:tplc="0409000F">
      <w:start w:val="1"/>
      <w:numFmt w:val="decimal"/>
      <w:lvlText w:val="%1."/>
      <w:lvlJc w:val="left"/>
      <w:pPr>
        <w:tabs>
          <w:tab w:val="num" w:pos="644"/>
        </w:tabs>
        <w:ind w:left="644" w:hanging="360"/>
      </w:pPr>
    </w:lvl>
    <w:lvl w:ilvl="1" w:tplc="04090019">
      <w:start w:val="1"/>
      <w:numFmt w:val="lowerLetter"/>
      <w:lvlText w:val="(%2)"/>
      <w:lvlJc w:val="left"/>
      <w:pPr>
        <w:tabs>
          <w:tab w:val="num" w:pos="1440"/>
        </w:tabs>
        <w:ind w:left="1440" w:hanging="360"/>
      </w:pPr>
      <w:rPr>
        <w:rFonts w:ascii="Times New Roman" w:eastAsia="Times New Roman" w:hAnsi="Times New Roman" w:cs="Times New Roman"/>
      </w:rPr>
    </w:lvl>
    <w:lvl w:ilvl="2" w:tplc="0409001B">
      <w:start w:val="1"/>
      <w:numFmt w:val="decimal"/>
      <w:lvlText w:val="%3."/>
      <w:lvlJc w:val="left"/>
      <w:pPr>
        <w:tabs>
          <w:tab w:val="num" w:pos="2340"/>
        </w:tabs>
        <w:ind w:left="2340" w:hanging="36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6F961534"/>
    <w:multiLevelType w:val="hybridMultilevel"/>
    <w:tmpl w:val="35546778"/>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109"/>
        </w:tabs>
        <w:ind w:left="1109" w:hanging="360"/>
      </w:pPr>
      <w:rPr>
        <w:rFonts w:ascii="Courier New" w:hAnsi="Courier New" w:cs="Courier New" w:hint="default"/>
      </w:rPr>
    </w:lvl>
    <w:lvl w:ilvl="2" w:tplc="04090005" w:tentative="1">
      <w:start w:val="1"/>
      <w:numFmt w:val="bullet"/>
      <w:lvlText w:val=""/>
      <w:lvlJc w:val="left"/>
      <w:pPr>
        <w:tabs>
          <w:tab w:val="num" w:pos="1829"/>
        </w:tabs>
        <w:ind w:left="1829" w:hanging="360"/>
      </w:pPr>
      <w:rPr>
        <w:rFonts w:ascii="Wingdings" w:hAnsi="Wingdings" w:hint="default"/>
      </w:rPr>
    </w:lvl>
    <w:lvl w:ilvl="3" w:tplc="04090001" w:tentative="1">
      <w:start w:val="1"/>
      <w:numFmt w:val="bullet"/>
      <w:lvlText w:val=""/>
      <w:lvlJc w:val="left"/>
      <w:pPr>
        <w:tabs>
          <w:tab w:val="num" w:pos="2549"/>
        </w:tabs>
        <w:ind w:left="2549" w:hanging="360"/>
      </w:pPr>
      <w:rPr>
        <w:rFonts w:ascii="Symbol" w:hAnsi="Symbol" w:hint="default"/>
      </w:rPr>
    </w:lvl>
    <w:lvl w:ilvl="4" w:tplc="04090003" w:tentative="1">
      <w:start w:val="1"/>
      <w:numFmt w:val="bullet"/>
      <w:lvlText w:val="o"/>
      <w:lvlJc w:val="left"/>
      <w:pPr>
        <w:tabs>
          <w:tab w:val="num" w:pos="3269"/>
        </w:tabs>
        <w:ind w:left="3269" w:hanging="360"/>
      </w:pPr>
      <w:rPr>
        <w:rFonts w:ascii="Courier New" w:hAnsi="Courier New" w:cs="Courier New" w:hint="default"/>
      </w:rPr>
    </w:lvl>
    <w:lvl w:ilvl="5" w:tplc="04090005" w:tentative="1">
      <w:start w:val="1"/>
      <w:numFmt w:val="bullet"/>
      <w:lvlText w:val=""/>
      <w:lvlJc w:val="left"/>
      <w:pPr>
        <w:tabs>
          <w:tab w:val="num" w:pos="3989"/>
        </w:tabs>
        <w:ind w:left="3989" w:hanging="360"/>
      </w:pPr>
      <w:rPr>
        <w:rFonts w:ascii="Wingdings" w:hAnsi="Wingdings" w:hint="default"/>
      </w:rPr>
    </w:lvl>
    <w:lvl w:ilvl="6" w:tplc="04090001" w:tentative="1">
      <w:start w:val="1"/>
      <w:numFmt w:val="bullet"/>
      <w:lvlText w:val=""/>
      <w:lvlJc w:val="left"/>
      <w:pPr>
        <w:tabs>
          <w:tab w:val="num" w:pos="4709"/>
        </w:tabs>
        <w:ind w:left="4709" w:hanging="360"/>
      </w:pPr>
      <w:rPr>
        <w:rFonts w:ascii="Symbol" w:hAnsi="Symbol" w:hint="default"/>
      </w:rPr>
    </w:lvl>
    <w:lvl w:ilvl="7" w:tplc="04090003" w:tentative="1">
      <w:start w:val="1"/>
      <w:numFmt w:val="bullet"/>
      <w:lvlText w:val="o"/>
      <w:lvlJc w:val="left"/>
      <w:pPr>
        <w:tabs>
          <w:tab w:val="num" w:pos="5429"/>
        </w:tabs>
        <w:ind w:left="5429" w:hanging="360"/>
      </w:pPr>
      <w:rPr>
        <w:rFonts w:ascii="Courier New" w:hAnsi="Courier New" w:cs="Courier New" w:hint="default"/>
      </w:rPr>
    </w:lvl>
    <w:lvl w:ilvl="8" w:tplc="04090005" w:tentative="1">
      <w:start w:val="1"/>
      <w:numFmt w:val="bullet"/>
      <w:lvlText w:val=""/>
      <w:lvlJc w:val="left"/>
      <w:pPr>
        <w:tabs>
          <w:tab w:val="num" w:pos="6149"/>
        </w:tabs>
        <w:ind w:left="6149" w:hanging="360"/>
      </w:pPr>
      <w:rPr>
        <w:rFonts w:ascii="Wingdings" w:hAnsi="Wingdings" w:hint="default"/>
      </w:rPr>
    </w:lvl>
  </w:abstractNum>
  <w:abstractNum w:abstractNumId="66" w15:restartNumberingAfterBreak="0">
    <w:nsid w:val="6FDC18F8"/>
    <w:multiLevelType w:val="multilevel"/>
    <w:tmpl w:val="D868AB84"/>
    <w:lvl w:ilvl="0">
      <w:start w:val="1"/>
      <w:numFmt w:val="decimal"/>
      <w:lvlText w:val="%1"/>
      <w:lvlJc w:val="left"/>
      <w:pPr>
        <w:tabs>
          <w:tab w:val="num" w:pos="390"/>
        </w:tabs>
        <w:ind w:left="390" w:hanging="390"/>
      </w:pPr>
      <w:rPr>
        <w:rFonts w:hint="default"/>
      </w:rPr>
    </w:lvl>
    <w:lvl w:ilvl="1">
      <w:start w:val="11"/>
      <w:numFmt w:val="decimal"/>
      <w:lvlText w:val="%1.12"/>
      <w:lvlJc w:val="left"/>
      <w:pPr>
        <w:tabs>
          <w:tab w:val="num" w:pos="390"/>
        </w:tabs>
        <w:ind w:left="390" w:hanging="390"/>
      </w:pPr>
      <w:rPr>
        <w:rFonts w:hint="default"/>
      </w:rPr>
    </w:lvl>
    <w:lvl w:ilvl="2">
      <w:start w:val="1"/>
      <w:numFmt w:val="none"/>
      <w:lvlText w:val="1.12"/>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7" w15:restartNumberingAfterBreak="0">
    <w:nsid w:val="70AF43AC"/>
    <w:multiLevelType w:val="hybridMultilevel"/>
    <w:tmpl w:val="C7DCCD20"/>
    <w:lvl w:ilvl="0" w:tplc="801AF5B0">
      <w:start w:val="1"/>
      <w:numFmt w:val="bullet"/>
      <w:lvlText w:val=""/>
      <w:lvlJc w:val="left"/>
      <w:pPr>
        <w:tabs>
          <w:tab w:val="num" w:pos="691"/>
        </w:tabs>
        <w:ind w:left="691" w:hanging="360"/>
      </w:pPr>
      <w:rPr>
        <w:rFonts w:ascii="Symbol" w:hAnsi="Symbol" w:hint="default"/>
      </w:rPr>
    </w:lvl>
    <w:lvl w:ilvl="1" w:tplc="04090003" w:tentative="1">
      <w:start w:val="1"/>
      <w:numFmt w:val="bullet"/>
      <w:lvlText w:val="o"/>
      <w:lvlJc w:val="left"/>
      <w:pPr>
        <w:tabs>
          <w:tab w:val="num" w:pos="1411"/>
        </w:tabs>
        <w:ind w:left="1411" w:hanging="360"/>
      </w:pPr>
      <w:rPr>
        <w:rFonts w:ascii="Courier New" w:hAnsi="Courier New" w:cs="Courier New" w:hint="default"/>
      </w:rPr>
    </w:lvl>
    <w:lvl w:ilvl="2" w:tplc="04090005" w:tentative="1">
      <w:start w:val="1"/>
      <w:numFmt w:val="bullet"/>
      <w:lvlText w:val=""/>
      <w:lvlJc w:val="left"/>
      <w:pPr>
        <w:tabs>
          <w:tab w:val="num" w:pos="2131"/>
        </w:tabs>
        <w:ind w:left="2131" w:hanging="360"/>
      </w:pPr>
      <w:rPr>
        <w:rFonts w:ascii="Wingdings" w:hAnsi="Wingdings" w:hint="default"/>
      </w:rPr>
    </w:lvl>
    <w:lvl w:ilvl="3" w:tplc="04090001" w:tentative="1">
      <w:start w:val="1"/>
      <w:numFmt w:val="bullet"/>
      <w:lvlText w:val=""/>
      <w:lvlJc w:val="left"/>
      <w:pPr>
        <w:tabs>
          <w:tab w:val="num" w:pos="2851"/>
        </w:tabs>
        <w:ind w:left="2851" w:hanging="360"/>
      </w:pPr>
      <w:rPr>
        <w:rFonts w:ascii="Symbol" w:hAnsi="Symbol" w:hint="default"/>
      </w:rPr>
    </w:lvl>
    <w:lvl w:ilvl="4" w:tplc="04090003" w:tentative="1">
      <w:start w:val="1"/>
      <w:numFmt w:val="bullet"/>
      <w:lvlText w:val="o"/>
      <w:lvlJc w:val="left"/>
      <w:pPr>
        <w:tabs>
          <w:tab w:val="num" w:pos="3571"/>
        </w:tabs>
        <w:ind w:left="3571" w:hanging="360"/>
      </w:pPr>
      <w:rPr>
        <w:rFonts w:ascii="Courier New" w:hAnsi="Courier New" w:cs="Courier New" w:hint="default"/>
      </w:rPr>
    </w:lvl>
    <w:lvl w:ilvl="5" w:tplc="04090005" w:tentative="1">
      <w:start w:val="1"/>
      <w:numFmt w:val="bullet"/>
      <w:lvlText w:val=""/>
      <w:lvlJc w:val="left"/>
      <w:pPr>
        <w:tabs>
          <w:tab w:val="num" w:pos="4291"/>
        </w:tabs>
        <w:ind w:left="4291" w:hanging="360"/>
      </w:pPr>
      <w:rPr>
        <w:rFonts w:ascii="Wingdings" w:hAnsi="Wingdings" w:hint="default"/>
      </w:rPr>
    </w:lvl>
    <w:lvl w:ilvl="6" w:tplc="04090001" w:tentative="1">
      <w:start w:val="1"/>
      <w:numFmt w:val="bullet"/>
      <w:lvlText w:val=""/>
      <w:lvlJc w:val="left"/>
      <w:pPr>
        <w:tabs>
          <w:tab w:val="num" w:pos="5011"/>
        </w:tabs>
        <w:ind w:left="5011" w:hanging="360"/>
      </w:pPr>
      <w:rPr>
        <w:rFonts w:ascii="Symbol" w:hAnsi="Symbol" w:hint="default"/>
      </w:rPr>
    </w:lvl>
    <w:lvl w:ilvl="7" w:tplc="04090003" w:tentative="1">
      <w:start w:val="1"/>
      <w:numFmt w:val="bullet"/>
      <w:lvlText w:val="o"/>
      <w:lvlJc w:val="left"/>
      <w:pPr>
        <w:tabs>
          <w:tab w:val="num" w:pos="5731"/>
        </w:tabs>
        <w:ind w:left="5731" w:hanging="360"/>
      </w:pPr>
      <w:rPr>
        <w:rFonts w:ascii="Courier New" w:hAnsi="Courier New" w:cs="Courier New" w:hint="default"/>
      </w:rPr>
    </w:lvl>
    <w:lvl w:ilvl="8" w:tplc="04090005" w:tentative="1">
      <w:start w:val="1"/>
      <w:numFmt w:val="bullet"/>
      <w:lvlText w:val=""/>
      <w:lvlJc w:val="left"/>
      <w:pPr>
        <w:tabs>
          <w:tab w:val="num" w:pos="6451"/>
        </w:tabs>
        <w:ind w:left="6451" w:hanging="360"/>
      </w:pPr>
      <w:rPr>
        <w:rFonts w:ascii="Wingdings" w:hAnsi="Wingdings" w:hint="default"/>
      </w:rPr>
    </w:lvl>
  </w:abstractNum>
  <w:abstractNum w:abstractNumId="68" w15:restartNumberingAfterBreak="0">
    <w:nsid w:val="70C45262"/>
    <w:multiLevelType w:val="hybridMultilevel"/>
    <w:tmpl w:val="682496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723A5DFC"/>
    <w:multiLevelType w:val="hybridMultilevel"/>
    <w:tmpl w:val="8EDAE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73392590"/>
    <w:multiLevelType w:val="hybridMultilevel"/>
    <w:tmpl w:val="81CA86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733C1AC7"/>
    <w:multiLevelType w:val="multilevel"/>
    <w:tmpl w:val="08E6CBA2"/>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72" w15:restartNumberingAfterBreak="0">
    <w:nsid w:val="74110FD2"/>
    <w:multiLevelType w:val="hybridMultilevel"/>
    <w:tmpl w:val="52AAA4E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75F63F07"/>
    <w:multiLevelType w:val="hybridMultilevel"/>
    <w:tmpl w:val="82B03C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76AD17F0"/>
    <w:multiLevelType w:val="hybridMultilevel"/>
    <w:tmpl w:val="0CB040F4"/>
    <w:lvl w:ilvl="0" w:tplc="769EFF02">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79503A3F"/>
    <w:multiLevelType w:val="hybridMultilevel"/>
    <w:tmpl w:val="6458E47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2"/>
  </w:num>
  <w:num w:numId="2">
    <w:abstractNumId w:val="46"/>
  </w:num>
  <w:num w:numId="3">
    <w:abstractNumId w:val="58"/>
  </w:num>
  <w:num w:numId="4">
    <w:abstractNumId w:val="30"/>
  </w:num>
  <w:num w:numId="5">
    <w:abstractNumId w:val="8"/>
  </w:num>
  <w:num w:numId="6">
    <w:abstractNumId w:val="27"/>
  </w:num>
  <w:num w:numId="7">
    <w:abstractNumId w:val="66"/>
  </w:num>
  <w:num w:numId="8">
    <w:abstractNumId w:val="5"/>
  </w:num>
  <w:num w:numId="9">
    <w:abstractNumId w:val="4"/>
  </w:num>
  <w:num w:numId="10">
    <w:abstractNumId w:val="3"/>
  </w:num>
  <w:num w:numId="11">
    <w:abstractNumId w:val="2"/>
  </w:num>
  <w:num w:numId="12">
    <w:abstractNumId w:val="1"/>
  </w:num>
  <w:num w:numId="13">
    <w:abstractNumId w:val="0"/>
  </w:num>
  <w:num w:numId="14">
    <w:abstractNumId w:val="6"/>
  </w:num>
  <w:num w:numId="15">
    <w:abstractNumId w:val="75"/>
  </w:num>
  <w:num w:numId="16">
    <w:abstractNumId w:val="36"/>
  </w:num>
  <w:num w:numId="17">
    <w:abstractNumId w:val="41"/>
  </w:num>
  <w:num w:numId="18">
    <w:abstractNumId w:val="37"/>
  </w:num>
  <w:num w:numId="19">
    <w:abstractNumId w:val="68"/>
  </w:num>
  <w:num w:numId="20">
    <w:abstractNumId w:val="31"/>
  </w:num>
  <w:num w:numId="21">
    <w:abstractNumId w:val="26"/>
  </w:num>
  <w:num w:numId="22">
    <w:abstractNumId w:val="23"/>
  </w:num>
  <w:num w:numId="23">
    <w:abstractNumId w:val="25"/>
  </w:num>
  <w:num w:numId="24">
    <w:abstractNumId w:val="74"/>
  </w:num>
  <w:num w:numId="25">
    <w:abstractNumId w:val="62"/>
  </w:num>
  <w:num w:numId="26">
    <w:abstractNumId w:val="29"/>
  </w:num>
  <w:num w:numId="27">
    <w:abstractNumId w:val="60"/>
  </w:num>
  <w:num w:numId="28">
    <w:abstractNumId w:val="32"/>
  </w:num>
  <w:num w:numId="29">
    <w:abstractNumId w:val="70"/>
  </w:num>
  <w:num w:numId="30">
    <w:abstractNumId w:val="43"/>
  </w:num>
  <w:num w:numId="31">
    <w:abstractNumId w:val="13"/>
  </w:num>
  <w:num w:numId="32">
    <w:abstractNumId w:val="54"/>
  </w:num>
  <w:num w:numId="33">
    <w:abstractNumId w:val="59"/>
  </w:num>
  <w:num w:numId="34">
    <w:abstractNumId w:val="15"/>
  </w:num>
  <w:num w:numId="35">
    <w:abstractNumId w:val="71"/>
  </w:num>
  <w:num w:numId="36">
    <w:abstractNumId w:val="48"/>
  </w:num>
  <w:num w:numId="37">
    <w:abstractNumId w:val="64"/>
  </w:num>
  <w:num w:numId="38">
    <w:abstractNumId w:val="19"/>
  </w:num>
  <w:num w:numId="39">
    <w:abstractNumId w:val="49"/>
  </w:num>
  <w:num w:numId="40">
    <w:abstractNumId w:val="44"/>
  </w:num>
  <w:num w:numId="41">
    <w:abstractNumId w:val="52"/>
  </w:num>
  <w:num w:numId="42">
    <w:abstractNumId w:val="42"/>
  </w:num>
  <w:num w:numId="43">
    <w:abstractNumId w:val="10"/>
  </w:num>
  <w:num w:numId="44">
    <w:abstractNumId w:val="34"/>
  </w:num>
  <w:num w:numId="45">
    <w:abstractNumId w:val="11"/>
  </w:num>
  <w:num w:numId="46">
    <w:abstractNumId w:val="40"/>
  </w:num>
  <w:num w:numId="47">
    <w:abstractNumId w:val="67"/>
  </w:num>
  <w:num w:numId="48">
    <w:abstractNumId w:val="65"/>
  </w:num>
  <w:num w:numId="49">
    <w:abstractNumId w:val="50"/>
  </w:num>
  <w:num w:numId="50">
    <w:abstractNumId w:val="20"/>
  </w:num>
  <w:num w:numId="51">
    <w:abstractNumId w:val="57"/>
  </w:num>
  <w:num w:numId="52">
    <w:abstractNumId w:val="12"/>
  </w:num>
  <w:num w:numId="53">
    <w:abstractNumId w:val="61"/>
  </w:num>
  <w:num w:numId="54">
    <w:abstractNumId w:val="72"/>
  </w:num>
  <w:num w:numId="55">
    <w:abstractNumId w:val="18"/>
  </w:num>
  <w:num w:numId="56">
    <w:abstractNumId w:val="7"/>
  </w:num>
  <w:num w:numId="57">
    <w:abstractNumId w:val="73"/>
  </w:num>
  <w:num w:numId="58">
    <w:abstractNumId w:val="21"/>
  </w:num>
  <w:num w:numId="59">
    <w:abstractNumId w:val="69"/>
  </w:num>
  <w:num w:numId="60">
    <w:abstractNumId w:val="45"/>
  </w:num>
  <w:num w:numId="61">
    <w:abstractNumId w:val="47"/>
  </w:num>
  <w:num w:numId="62">
    <w:abstractNumId w:val="14"/>
  </w:num>
  <w:num w:numId="63">
    <w:abstractNumId w:val="24"/>
  </w:num>
  <w:num w:numId="64">
    <w:abstractNumId w:val="63"/>
  </w:num>
  <w:num w:numId="65">
    <w:abstractNumId w:val="56"/>
  </w:num>
  <w:num w:numId="66">
    <w:abstractNumId w:val="17"/>
  </w:num>
  <w:num w:numId="67">
    <w:abstractNumId w:val="39"/>
  </w:num>
  <w:num w:numId="68">
    <w:abstractNumId w:val="33"/>
  </w:num>
  <w:num w:numId="69">
    <w:abstractNumId w:val="55"/>
  </w:num>
  <w:num w:numId="70">
    <w:abstractNumId w:val="53"/>
  </w:num>
  <w:num w:numId="71">
    <w:abstractNumId w:val="16"/>
  </w:num>
  <w:num w:numId="72">
    <w:abstractNumId w:val="9"/>
  </w:num>
  <w:num w:numId="73">
    <w:abstractNumId w:val="38"/>
  </w:num>
  <w:num w:numId="74">
    <w:abstractNumId w:val="35"/>
  </w:num>
  <w:num w:numId="75">
    <w:abstractNumId w:val="51"/>
  </w:num>
  <w:num w:numId="76">
    <w:abstractNumId w:val="28"/>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640D"/>
    <w:rsid w:val="000134F9"/>
    <w:rsid w:val="000143D3"/>
    <w:rsid w:val="0002503B"/>
    <w:rsid w:val="0003121B"/>
    <w:rsid w:val="00031EE2"/>
    <w:rsid w:val="0003640D"/>
    <w:rsid w:val="00037129"/>
    <w:rsid w:val="00041901"/>
    <w:rsid w:val="000421D5"/>
    <w:rsid w:val="00045E11"/>
    <w:rsid w:val="00047562"/>
    <w:rsid w:val="00047D6B"/>
    <w:rsid w:val="00064925"/>
    <w:rsid w:val="00066D16"/>
    <w:rsid w:val="000676C2"/>
    <w:rsid w:val="000740A1"/>
    <w:rsid w:val="000741FA"/>
    <w:rsid w:val="00077FB6"/>
    <w:rsid w:val="00083707"/>
    <w:rsid w:val="00086C96"/>
    <w:rsid w:val="000906DD"/>
    <w:rsid w:val="00092454"/>
    <w:rsid w:val="0009411C"/>
    <w:rsid w:val="00095DF6"/>
    <w:rsid w:val="000A21C3"/>
    <w:rsid w:val="000A3871"/>
    <w:rsid w:val="000A4BE2"/>
    <w:rsid w:val="000A6E01"/>
    <w:rsid w:val="000B14B1"/>
    <w:rsid w:val="000B253D"/>
    <w:rsid w:val="000B2896"/>
    <w:rsid w:val="000B3D51"/>
    <w:rsid w:val="000B3EFC"/>
    <w:rsid w:val="000C2CE1"/>
    <w:rsid w:val="000D2681"/>
    <w:rsid w:val="000D39B4"/>
    <w:rsid w:val="000D5749"/>
    <w:rsid w:val="000E218D"/>
    <w:rsid w:val="000E35E2"/>
    <w:rsid w:val="000E39BE"/>
    <w:rsid w:val="000E3D48"/>
    <w:rsid w:val="000E4EA1"/>
    <w:rsid w:val="000E6F8F"/>
    <w:rsid w:val="000F7E5C"/>
    <w:rsid w:val="0010020A"/>
    <w:rsid w:val="00100E3E"/>
    <w:rsid w:val="0010226E"/>
    <w:rsid w:val="001036EE"/>
    <w:rsid w:val="00111031"/>
    <w:rsid w:val="00111243"/>
    <w:rsid w:val="00112EC5"/>
    <w:rsid w:val="0011495A"/>
    <w:rsid w:val="00114FCE"/>
    <w:rsid w:val="00117CD3"/>
    <w:rsid w:val="00125099"/>
    <w:rsid w:val="00127555"/>
    <w:rsid w:val="00130405"/>
    <w:rsid w:val="0013159B"/>
    <w:rsid w:val="00132162"/>
    <w:rsid w:val="0014281A"/>
    <w:rsid w:val="00150967"/>
    <w:rsid w:val="001537CC"/>
    <w:rsid w:val="00153A37"/>
    <w:rsid w:val="00156D92"/>
    <w:rsid w:val="00160E78"/>
    <w:rsid w:val="00164068"/>
    <w:rsid w:val="00171BD7"/>
    <w:rsid w:val="00174F1A"/>
    <w:rsid w:val="00177BC3"/>
    <w:rsid w:val="001828AD"/>
    <w:rsid w:val="00182A95"/>
    <w:rsid w:val="00183235"/>
    <w:rsid w:val="00185DDB"/>
    <w:rsid w:val="0018787E"/>
    <w:rsid w:val="00191B26"/>
    <w:rsid w:val="001A7BB9"/>
    <w:rsid w:val="001B2A74"/>
    <w:rsid w:val="001B69CF"/>
    <w:rsid w:val="001C477B"/>
    <w:rsid w:val="001C6FEA"/>
    <w:rsid w:val="001C71F9"/>
    <w:rsid w:val="001D000B"/>
    <w:rsid w:val="001D35FF"/>
    <w:rsid w:val="001D6528"/>
    <w:rsid w:val="001F3CC9"/>
    <w:rsid w:val="00200ABC"/>
    <w:rsid w:val="002014E1"/>
    <w:rsid w:val="00201806"/>
    <w:rsid w:val="00203C08"/>
    <w:rsid w:val="00204C8A"/>
    <w:rsid w:val="00206538"/>
    <w:rsid w:val="0021102E"/>
    <w:rsid w:val="0021114C"/>
    <w:rsid w:val="00214761"/>
    <w:rsid w:val="00215CCE"/>
    <w:rsid w:val="00216337"/>
    <w:rsid w:val="00216926"/>
    <w:rsid w:val="0022103D"/>
    <w:rsid w:val="00227D0D"/>
    <w:rsid w:val="00231A5E"/>
    <w:rsid w:val="00231E14"/>
    <w:rsid w:val="00233CD7"/>
    <w:rsid w:val="00237908"/>
    <w:rsid w:val="00245322"/>
    <w:rsid w:val="002477FD"/>
    <w:rsid w:val="00250AB6"/>
    <w:rsid w:val="00256953"/>
    <w:rsid w:val="00265A41"/>
    <w:rsid w:val="00275DB8"/>
    <w:rsid w:val="00282EB6"/>
    <w:rsid w:val="0028661C"/>
    <w:rsid w:val="00290E3D"/>
    <w:rsid w:val="002960FC"/>
    <w:rsid w:val="00297F30"/>
    <w:rsid w:val="002A5CB4"/>
    <w:rsid w:val="002B399B"/>
    <w:rsid w:val="002B3A3C"/>
    <w:rsid w:val="002C33FA"/>
    <w:rsid w:val="002C3D28"/>
    <w:rsid w:val="002C540C"/>
    <w:rsid w:val="002C640D"/>
    <w:rsid w:val="002D0B44"/>
    <w:rsid w:val="002D3B1E"/>
    <w:rsid w:val="002D53EE"/>
    <w:rsid w:val="002D62E4"/>
    <w:rsid w:val="002E0625"/>
    <w:rsid w:val="002E3216"/>
    <w:rsid w:val="002F0E08"/>
    <w:rsid w:val="002F1FB0"/>
    <w:rsid w:val="002F5358"/>
    <w:rsid w:val="002F53B8"/>
    <w:rsid w:val="002F5B1E"/>
    <w:rsid w:val="00302676"/>
    <w:rsid w:val="00305049"/>
    <w:rsid w:val="0031099F"/>
    <w:rsid w:val="00312FD5"/>
    <w:rsid w:val="00315C57"/>
    <w:rsid w:val="00321935"/>
    <w:rsid w:val="003228EC"/>
    <w:rsid w:val="00323051"/>
    <w:rsid w:val="00325F66"/>
    <w:rsid w:val="003318C3"/>
    <w:rsid w:val="00332E1C"/>
    <w:rsid w:val="00335E1B"/>
    <w:rsid w:val="00346AC3"/>
    <w:rsid w:val="003516E7"/>
    <w:rsid w:val="00353A6C"/>
    <w:rsid w:val="003615D0"/>
    <w:rsid w:val="00367984"/>
    <w:rsid w:val="003727BA"/>
    <w:rsid w:val="00372938"/>
    <w:rsid w:val="00375FAC"/>
    <w:rsid w:val="00380384"/>
    <w:rsid w:val="00382BB5"/>
    <w:rsid w:val="00383874"/>
    <w:rsid w:val="003838BC"/>
    <w:rsid w:val="00383C15"/>
    <w:rsid w:val="00384375"/>
    <w:rsid w:val="003873C4"/>
    <w:rsid w:val="00392743"/>
    <w:rsid w:val="00393963"/>
    <w:rsid w:val="003B09A2"/>
    <w:rsid w:val="003B1FA8"/>
    <w:rsid w:val="003B2538"/>
    <w:rsid w:val="003B6CDA"/>
    <w:rsid w:val="003B6D0D"/>
    <w:rsid w:val="003B7C13"/>
    <w:rsid w:val="003C10A7"/>
    <w:rsid w:val="003C4C39"/>
    <w:rsid w:val="003C5456"/>
    <w:rsid w:val="003C744D"/>
    <w:rsid w:val="003D0B90"/>
    <w:rsid w:val="003E3D6E"/>
    <w:rsid w:val="003E7723"/>
    <w:rsid w:val="003E7B2B"/>
    <w:rsid w:val="003E7B4D"/>
    <w:rsid w:val="003F2399"/>
    <w:rsid w:val="003F343C"/>
    <w:rsid w:val="003F399B"/>
    <w:rsid w:val="00401470"/>
    <w:rsid w:val="00402BA7"/>
    <w:rsid w:val="004050FF"/>
    <w:rsid w:val="00405DD2"/>
    <w:rsid w:val="00406643"/>
    <w:rsid w:val="0042182F"/>
    <w:rsid w:val="004234AC"/>
    <w:rsid w:val="00424E22"/>
    <w:rsid w:val="00430D58"/>
    <w:rsid w:val="0043592D"/>
    <w:rsid w:val="00441297"/>
    <w:rsid w:val="00442B1D"/>
    <w:rsid w:val="0044547B"/>
    <w:rsid w:val="00445FBA"/>
    <w:rsid w:val="0045205F"/>
    <w:rsid w:val="00456C3E"/>
    <w:rsid w:val="00457325"/>
    <w:rsid w:val="00461B68"/>
    <w:rsid w:val="00465F86"/>
    <w:rsid w:val="00466017"/>
    <w:rsid w:val="004677C8"/>
    <w:rsid w:val="00467D76"/>
    <w:rsid w:val="00470DE9"/>
    <w:rsid w:val="00472B2C"/>
    <w:rsid w:val="00477EB5"/>
    <w:rsid w:val="004828D5"/>
    <w:rsid w:val="00484C30"/>
    <w:rsid w:val="004873FE"/>
    <w:rsid w:val="004A4683"/>
    <w:rsid w:val="004A6781"/>
    <w:rsid w:val="004B053A"/>
    <w:rsid w:val="004B4059"/>
    <w:rsid w:val="004B489A"/>
    <w:rsid w:val="004B5B5F"/>
    <w:rsid w:val="004C00ED"/>
    <w:rsid w:val="004C0559"/>
    <w:rsid w:val="004C11FC"/>
    <w:rsid w:val="004C2DF2"/>
    <w:rsid w:val="004D18BE"/>
    <w:rsid w:val="004D3CE5"/>
    <w:rsid w:val="004E0F92"/>
    <w:rsid w:val="004E15D5"/>
    <w:rsid w:val="00500CC0"/>
    <w:rsid w:val="00504DC3"/>
    <w:rsid w:val="00505A22"/>
    <w:rsid w:val="00506303"/>
    <w:rsid w:val="00511BAA"/>
    <w:rsid w:val="00515EBC"/>
    <w:rsid w:val="005179BF"/>
    <w:rsid w:val="005205CA"/>
    <w:rsid w:val="00524E7D"/>
    <w:rsid w:val="00525951"/>
    <w:rsid w:val="00527109"/>
    <w:rsid w:val="0053245F"/>
    <w:rsid w:val="00540983"/>
    <w:rsid w:val="00542B15"/>
    <w:rsid w:val="0054742B"/>
    <w:rsid w:val="00550235"/>
    <w:rsid w:val="00557E48"/>
    <w:rsid w:val="00557F12"/>
    <w:rsid w:val="005639AE"/>
    <w:rsid w:val="00571E14"/>
    <w:rsid w:val="00576735"/>
    <w:rsid w:val="00587F2D"/>
    <w:rsid w:val="00590C3E"/>
    <w:rsid w:val="00596DFB"/>
    <w:rsid w:val="005A07CE"/>
    <w:rsid w:val="005A319E"/>
    <w:rsid w:val="005A36E9"/>
    <w:rsid w:val="005A7F64"/>
    <w:rsid w:val="005B1515"/>
    <w:rsid w:val="005B1DFD"/>
    <w:rsid w:val="005B6B53"/>
    <w:rsid w:val="005B6FD2"/>
    <w:rsid w:val="005C2B61"/>
    <w:rsid w:val="005C45ED"/>
    <w:rsid w:val="005D3DD5"/>
    <w:rsid w:val="005F58C7"/>
    <w:rsid w:val="00602EB7"/>
    <w:rsid w:val="00604298"/>
    <w:rsid w:val="00607488"/>
    <w:rsid w:val="00612F3A"/>
    <w:rsid w:val="00613E37"/>
    <w:rsid w:val="00613F16"/>
    <w:rsid w:val="00621394"/>
    <w:rsid w:val="00621620"/>
    <w:rsid w:val="006326A5"/>
    <w:rsid w:val="006333D8"/>
    <w:rsid w:val="00637174"/>
    <w:rsid w:val="00640D52"/>
    <w:rsid w:val="00646ED8"/>
    <w:rsid w:val="00650841"/>
    <w:rsid w:val="00657BF6"/>
    <w:rsid w:val="00660575"/>
    <w:rsid w:val="00660EFF"/>
    <w:rsid w:val="00664ED5"/>
    <w:rsid w:val="00667557"/>
    <w:rsid w:val="00667B4F"/>
    <w:rsid w:val="0067067E"/>
    <w:rsid w:val="0067083C"/>
    <w:rsid w:val="0067543B"/>
    <w:rsid w:val="006761CB"/>
    <w:rsid w:val="00683A1F"/>
    <w:rsid w:val="00687722"/>
    <w:rsid w:val="006877E9"/>
    <w:rsid w:val="006941D1"/>
    <w:rsid w:val="00694C9F"/>
    <w:rsid w:val="00695345"/>
    <w:rsid w:val="0069645D"/>
    <w:rsid w:val="006A4CBA"/>
    <w:rsid w:val="006A6308"/>
    <w:rsid w:val="006B1A3E"/>
    <w:rsid w:val="006B46B2"/>
    <w:rsid w:val="006B677B"/>
    <w:rsid w:val="006B6786"/>
    <w:rsid w:val="006C0D42"/>
    <w:rsid w:val="006C2DE2"/>
    <w:rsid w:val="006D3D2E"/>
    <w:rsid w:val="006E1360"/>
    <w:rsid w:val="006E4336"/>
    <w:rsid w:val="006F5CAB"/>
    <w:rsid w:val="006F7593"/>
    <w:rsid w:val="00704D1E"/>
    <w:rsid w:val="00711FD7"/>
    <w:rsid w:val="0071562F"/>
    <w:rsid w:val="00723F0C"/>
    <w:rsid w:val="0073459B"/>
    <w:rsid w:val="00735133"/>
    <w:rsid w:val="00735447"/>
    <w:rsid w:val="00740D0E"/>
    <w:rsid w:val="00757E85"/>
    <w:rsid w:val="00765F0F"/>
    <w:rsid w:val="0076691C"/>
    <w:rsid w:val="00766A22"/>
    <w:rsid w:val="0077092C"/>
    <w:rsid w:val="00775C43"/>
    <w:rsid w:val="007770F4"/>
    <w:rsid w:val="00781389"/>
    <w:rsid w:val="0078751C"/>
    <w:rsid w:val="00792ECD"/>
    <w:rsid w:val="00794F56"/>
    <w:rsid w:val="0079667C"/>
    <w:rsid w:val="00796B4F"/>
    <w:rsid w:val="007978BC"/>
    <w:rsid w:val="007A5CE3"/>
    <w:rsid w:val="007B25D6"/>
    <w:rsid w:val="007C4C31"/>
    <w:rsid w:val="007C550B"/>
    <w:rsid w:val="007C60B7"/>
    <w:rsid w:val="007C6458"/>
    <w:rsid w:val="007D3CF6"/>
    <w:rsid w:val="007D7E66"/>
    <w:rsid w:val="007E7C5B"/>
    <w:rsid w:val="007F26F1"/>
    <w:rsid w:val="007F4C4C"/>
    <w:rsid w:val="0080082C"/>
    <w:rsid w:val="00803406"/>
    <w:rsid w:val="008040E9"/>
    <w:rsid w:val="008057F3"/>
    <w:rsid w:val="00806D8E"/>
    <w:rsid w:val="00807C12"/>
    <w:rsid w:val="00810562"/>
    <w:rsid w:val="00813C19"/>
    <w:rsid w:val="008165F0"/>
    <w:rsid w:val="00817062"/>
    <w:rsid w:val="00820687"/>
    <w:rsid w:val="00821755"/>
    <w:rsid w:val="0083188E"/>
    <w:rsid w:val="00840381"/>
    <w:rsid w:val="00840D12"/>
    <w:rsid w:val="00846ACD"/>
    <w:rsid w:val="00850141"/>
    <w:rsid w:val="00851981"/>
    <w:rsid w:val="0085204E"/>
    <w:rsid w:val="0085324D"/>
    <w:rsid w:val="00854AAD"/>
    <w:rsid w:val="008600AE"/>
    <w:rsid w:val="00860730"/>
    <w:rsid w:val="00862356"/>
    <w:rsid w:val="00865C2B"/>
    <w:rsid w:val="00866151"/>
    <w:rsid w:val="00866166"/>
    <w:rsid w:val="00871CD4"/>
    <w:rsid w:val="00874E2B"/>
    <w:rsid w:val="0088438A"/>
    <w:rsid w:val="00887A36"/>
    <w:rsid w:val="00894282"/>
    <w:rsid w:val="00896AFF"/>
    <w:rsid w:val="008A22DF"/>
    <w:rsid w:val="008B0EA5"/>
    <w:rsid w:val="008B2D6F"/>
    <w:rsid w:val="008D1531"/>
    <w:rsid w:val="008D4078"/>
    <w:rsid w:val="008D5040"/>
    <w:rsid w:val="008D58D0"/>
    <w:rsid w:val="008E0E5A"/>
    <w:rsid w:val="008E146C"/>
    <w:rsid w:val="008E6796"/>
    <w:rsid w:val="008E7283"/>
    <w:rsid w:val="008F39E3"/>
    <w:rsid w:val="008F4245"/>
    <w:rsid w:val="008F52E3"/>
    <w:rsid w:val="008F5EDF"/>
    <w:rsid w:val="00902E5C"/>
    <w:rsid w:val="00903A56"/>
    <w:rsid w:val="00907074"/>
    <w:rsid w:val="00910656"/>
    <w:rsid w:val="00910FFC"/>
    <w:rsid w:val="00923686"/>
    <w:rsid w:val="00925148"/>
    <w:rsid w:val="009307DD"/>
    <w:rsid w:val="00933570"/>
    <w:rsid w:val="009345E9"/>
    <w:rsid w:val="00940757"/>
    <w:rsid w:val="00943DAD"/>
    <w:rsid w:val="00945E23"/>
    <w:rsid w:val="00945E83"/>
    <w:rsid w:val="009460DC"/>
    <w:rsid w:val="0094625C"/>
    <w:rsid w:val="009467B3"/>
    <w:rsid w:val="00947B9C"/>
    <w:rsid w:val="00951EBD"/>
    <w:rsid w:val="0095203F"/>
    <w:rsid w:val="00955D78"/>
    <w:rsid w:val="009632E7"/>
    <w:rsid w:val="00967370"/>
    <w:rsid w:val="00974257"/>
    <w:rsid w:val="0097592C"/>
    <w:rsid w:val="00976463"/>
    <w:rsid w:val="009859F6"/>
    <w:rsid w:val="0099319C"/>
    <w:rsid w:val="00994EE6"/>
    <w:rsid w:val="00995864"/>
    <w:rsid w:val="009B2205"/>
    <w:rsid w:val="009C063A"/>
    <w:rsid w:val="009C0A57"/>
    <w:rsid w:val="009C1F26"/>
    <w:rsid w:val="009C7442"/>
    <w:rsid w:val="009C7884"/>
    <w:rsid w:val="009D01C0"/>
    <w:rsid w:val="009F60FC"/>
    <w:rsid w:val="009F73E8"/>
    <w:rsid w:val="00A01F2D"/>
    <w:rsid w:val="00A02857"/>
    <w:rsid w:val="00A10310"/>
    <w:rsid w:val="00A2067A"/>
    <w:rsid w:val="00A238D9"/>
    <w:rsid w:val="00A345CE"/>
    <w:rsid w:val="00A44210"/>
    <w:rsid w:val="00A44586"/>
    <w:rsid w:val="00A62A7B"/>
    <w:rsid w:val="00A66059"/>
    <w:rsid w:val="00A66AED"/>
    <w:rsid w:val="00A66B5D"/>
    <w:rsid w:val="00A72942"/>
    <w:rsid w:val="00A73AC1"/>
    <w:rsid w:val="00A756E3"/>
    <w:rsid w:val="00A77F56"/>
    <w:rsid w:val="00A854A7"/>
    <w:rsid w:val="00A85C8B"/>
    <w:rsid w:val="00A8760E"/>
    <w:rsid w:val="00A96470"/>
    <w:rsid w:val="00A9681B"/>
    <w:rsid w:val="00AA5CD8"/>
    <w:rsid w:val="00AA5D31"/>
    <w:rsid w:val="00AA7276"/>
    <w:rsid w:val="00AB0C8C"/>
    <w:rsid w:val="00AB149C"/>
    <w:rsid w:val="00AB20C8"/>
    <w:rsid w:val="00AD4CC8"/>
    <w:rsid w:val="00AD5D5E"/>
    <w:rsid w:val="00AE01DA"/>
    <w:rsid w:val="00AE1143"/>
    <w:rsid w:val="00AE215D"/>
    <w:rsid w:val="00AE233F"/>
    <w:rsid w:val="00AE4BA0"/>
    <w:rsid w:val="00AE63B6"/>
    <w:rsid w:val="00AE6550"/>
    <w:rsid w:val="00AF30C2"/>
    <w:rsid w:val="00AF3581"/>
    <w:rsid w:val="00AF3C54"/>
    <w:rsid w:val="00AF5F54"/>
    <w:rsid w:val="00AF67E1"/>
    <w:rsid w:val="00B02C05"/>
    <w:rsid w:val="00B03F5A"/>
    <w:rsid w:val="00B0697C"/>
    <w:rsid w:val="00B21A75"/>
    <w:rsid w:val="00B21B24"/>
    <w:rsid w:val="00B3115F"/>
    <w:rsid w:val="00B31A89"/>
    <w:rsid w:val="00B33026"/>
    <w:rsid w:val="00B332AD"/>
    <w:rsid w:val="00B42EA3"/>
    <w:rsid w:val="00B470CF"/>
    <w:rsid w:val="00B47236"/>
    <w:rsid w:val="00B566F1"/>
    <w:rsid w:val="00B61A8B"/>
    <w:rsid w:val="00B62FD7"/>
    <w:rsid w:val="00B639F3"/>
    <w:rsid w:val="00B63BA3"/>
    <w:rsid w:val="00B644A5"/>
    <w:rsid w:val="00B64D7D"/>
    <w:rsid w:val="00B70625"/>
    <w:rsid w:val="00B75CEB"/>
    <w:rsid w:val="00B80C0C"/>
    <w:rsid w:val="00B82004"/>
    <w:rsid w:val="00B8463A"/>
    <w:rsid w:val="00B8558B"/>
    <w:rsid w:val="00B87279"/>
    <w:rsid w:val="00B8786B"/>
    <w:rsid w:val="00B8791A"/>
    <w:rsid w:val="00B91E7E"/>
    <w:rsid w:val="00B93F6A"/>
    <w:rsid w:val="00B958E4"/>
    <w:rsid w:val="00B95C53"/>
    <w:rsid w:val="00B97976"/>
    <w:rsid w:val="00BA3ACB"/>
    <w:rsid w:val="00BA4FE8"/>
    <w:rsid w:val="00BA7B99"/>
    <w:rsid w:val="00BB73D6"/>
    <w:rsid w:val="00BD4D27"/>
    <w:rsid w:val="00BE6AB5"/>
    <w:rsid w:val="00BF42B2"/>
    <w:rsid w:val="00BF4EF9"/>
    <w:rsid w:val="00C03EEE"/>
    <w:rsid w:val="00C06C96"/>
    <w:rsid w:val="00C154DB"/>
    <w:rsid w:val="00C1706C"/>
    <w:rsid w:val="00C27D0E"/>
    <w:rsid w:val="00C32847"/>
    <w:rsid w:val="00C35350"/>
    <w:rsid w:val="00C40077"/>
    <w:rsid w:val="00C455D7"/>
    <w:rsid w:val="00C51D53"/>
    <w:rsid w:val="00C54358"/>
    <w:rsid w:val="00C74315"/>
    <w:rsid w:val="00C74EA2"/>
    <w:rsid w:val="00C81A79"/>
    <w:rsid w:val="00C8201E"/>
    <w:rsid w:val="00C849B7"/>
    <w:rsid w:val="00C86B94"/>
    <w:rsid w:val="00C91603"/>
    <w:rsid w:val="00CA1DE7"/>
    <w:rsid w:val="00CA2867"/>
    <w:rsid w:val="00CA2F44"/>
    <w:rsid w:val="00CA77B4"/>
    <w:rsid w:val="00CB247D"/>
    <w:rsid w:val="00CC7825"/>
    <w:rsid w:val="00CD6461"/>
    <w:rsid w:val="00D11D8D"/>
    <w:rsid w:val="00D12CAA"/>
    <w:rsid w:val="00D1635F"/>
    <w:rsid w:val="00D21082"/>
    <w:rsid w:val="00D23CCD"/>
    <w:rsid w:val="00D33F77"/>
    <w:rsid w:val="00D4327E"/>
    <w:rsid w:val="00D45E3D"/>
    <w:rsid w:val="00D47287"/>
    <w:rsid w:val="00D5094C"/>
    <w:rsid w:val="00D509E2"/>
    <w:rsid w:val="00D541FB"/>
    <w:rsid w:val="00D614B6"/>
    <w:rsid w:val="00D61ABF"/>
    <w:rsid w:val="00D61E26"/>
    <w:rsid w:val="00D7194D"/>
    <w:rsid w:val="00D80771"/>
    <w:rsid w:val="00D9013B"/>
    <w:rsid w:val="00D929DD"/>
    <w:rsid w:val="00D93F1B"/>
    <w:rsid w:val="00D93FBE"/>
    <w:rsid w:val="00D944F2"/>
    <w:rsid w:val="00D97EF8"/>
    <w:rsid w:val="00DA09C6"/>
    <w:rsid w:val="00DA4E06"/>
    <w:rsid w:val="00DA4EB4"/>
    <w:rsid w:val="00DA5FCD"/>
    <w:rsid w:val="00DB109E"/>
    <w:rsid w:val="00DB3166"/>
    <w:rsid w:val="00DB4527"/>
    <w:rsid w:val="00DB78B9"/>
    <w:rsid w:val="00DC77E7"/>
    <w:rsid w:val="00DD0B3B"/>
    <w:rsid w:val="00DD2B63"/>
    <w:rsid w:val="00DD415C"/>
    <w:rsid w:val="00DE1DDE"/>
    <w:rsid w:val="00DE3C4A"/>
    <w:rsid w:val="00DE60A8"/>
    <w:rsid w:val="00DE6329"/>
    <w:rsid w:val="00DF4E43"/>
    <w:rsid w:val="00DF59EF"/>
    <w:rsid w:val="00DF5A84"/>
    <w:rsid w:val="00DF773A"/>
    <w:rsid w:val="00E011F2"/>
    <w:rsid w:val="00E030C3"/>
    <w:rsid w:val="00E071AC"/>
    <w:rsid w:val="00E10371"/>
    <w:rsid w:val="00E119D6"/>
    <w:rsid w:val="00E20038"/>
    <w:rsid w:val="00E32A59"/>
    <w:rsid w:val="00E32D8D"/>
    <w:rsid w:val="00E46183"/>
    <w:rsid w:val="00E46AB8"/>
    <w:rsid w:val="00E52219"/>
    <w:rsid w:val="00E532DB"/>
    <w:rsid w:val="00E55813"/>
    <w:rsid w:val="00E573CD"/>
    <w:rsid w:val="00E60FFC"/>
    <w:rsid w:val="00E64ECD"/>
    <w:rsid w:val="00E76032"/>
    <w:rsid w:val="00E76712"/>
    <w:rsid w:val="00E82244"/>
    <w:rsid w:val="00E86B69"/>
    <w:rsid w:val="00E93E81"/>
    <w:rsid w:val="00EA6BDC"/>
    <w:rsid w:val="00EC2109"/>
    <w:rsid w:val="00EC4FFE"/>
    <w:rsid w:val="00EC707C"/>
    <w:rsid w:val="00EC7EAF"/>
    <w:rsid w:val="00ED295A"/>
    <w:rsid w:val="00ED4505"/>
    <w:rsid w:val="00ED6236"/>
    <w:rsid w:val="00EE36CB"/>
    <w:rsid w:val="00EE5EFD"/>
    <w:rsid w:val="00EF3F4D"/>
    <w:rsid w:val="00EF6BCB"/>
    <w:rsid w:val="00EF7288"/>
    <w:rsid w:val="00F00EEB"/>
    <w:rsid w:val="00F02E5B"/>
    <w:rsid w:val="00F07F81"/>
    <w:rsid w:val="00F11038"/>
    <w:rsid w:val="00F13BA4"/>
    <w:rsid w:val="00F14778"/>
    <w:rsid w:val="00F14C31"/>
    <w:rsid w:val="00F16B78"/>
    <w:rsid w:val="00F21D23"/>
    <w:rsid w:val="00F22EE7"/>
    <w:rsid w:val="00F24C47"/>
    <w:rsid w:val="00F278C5"/>
    <w:rsid w:val="00F370E8"/>
    <w:rsid w:val="00F416A2"/>
    <w:rsid w:val="00F4385E"/>
    <w:rsid w:val="00F51D42"/>
    <w:rsid w:val="00F575E4"/>
    <w:rsid w:val="00F70649"/>
    <w:rsid w:val="00F73119"/>
    <w:rsid w:val="00F731CE"/>
    <w:rsid w:val="00F75A5E"/>
    <w:rsid w:val="00F75BCA"/>
    <w:rsid w:val="00F80027"/>
    <w:rsid w:val="00F91E29"/>
    <w:rsid w:val="00F955EE"/>
    <w:rsid w:val="00FA0419"/>
    <w:rsid w:val="00FA05E8"/>
    <w:rsid w:val="00FA141D"/>
    <w:rsid w:val="00FA2C61"/>
    <w:rsid w:val="00FB2859"/>
    <w:rsid w:val="00FB39A5"/>
    <w:rsid w:val="00FB5F1B"/>
    <w:rsid w:val="00FC2887"/>
    <w:rsid w:val="00FC38CE"/>
    <w:rsid w:val="00FC4C9F"/>
    <w:rsid w:val="00FC536D"/>
    <w:rsid w:val="00FC5830"/>
    <w:rsid w:val="00FC7B19"/>
    <w:rsid w:val="00FE26BA"/>
    <w:rsid w:val="00FE7990"/>
    <w:rsid w:val="00FF0DD6"/>
    <w:rsid w:val="00FF4AD0"/>
  </w:rsids>
  <m:mathPr>
    <m:mathFont m:val="Cambria Math"/>
    <m:brkBin m:val="before"/>
    <m:brkBinSub m:val="--"/>
    <m:smallFrac m:val="0"/>
    <m:dispDef/>
    <m:lMargin m:val="0"/>
    <m:rMargin m:val="0"/>
    <m:defJc m:val="centerGroup"/>
    <m:wrapIndent m:val="1440"/>
    <m:intLim m:val="subSup"/>
    <m:naryLim m:val="undOvr"/>
  </m:mathPr>
  <w:themeFontLang w:val="en-PH"/>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State"/>
  <w:smartTagType w:namespaceuri="urn:schemas-microsoft-com:office:smarttags" w:name="stockticker"/>
  <w:shapeDefaults>
    <o:shapedefaults v:ext="edit" spidmax="2049"/>
    <o:shapelayout v:ext="edit">
      <o:idmap v:ext="edit" data="1"/>
    </o:shapelayout>
  </w:shapeDefaults>
  <w:decimalSymbol w:val="."/>
  <w:listSeparator w:val=","/>
  <w14:docId w14:val="30AF8121"/>
  <w15:chartTrackingRefBased/>
  <w15:docId w15:val="{D03EBB76-82F9-4C66-8938-D4D6B0092C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PH" w:eastAsia="en-PH"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footer" w:uiPriority="99"/>
    <w:lsdException w:name="caption" w:semiHidden="1" w:unhideWhenUsed="1" w:qFormat="1"/>
    <w:lsdException w:name="footnote reference" w:uiPriority="99"/>
    <w:lsdException w:name="Title" w:qFormat="1"/>
    <w:lsdException w:name="Body Text" w:uiPriority="99"/>
    <w:lsdException w:name="Subtitle" w:qFormat="1"/>
    <w:lsdException w:name="Hyperlink" w:uiPriority="99"/>
    <w:lsdException w:name="Strong" w:uiPriority="22"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97F30"/>
    <w:rPr>
      <w:sz w:val="24"/>
      <w:szCs w:val="24"/>
      <w:lang w:val="en-US" w:eastAsia="en-US"/>
    </w:rPr>
  </w:style>
  <w:style w:type="paragraph" w:styleId="Heading1">
    <w:name w:val="heading 1"/>
    <w:aliases w:val="CPRHeading 1"/>
    <w:basedOn w:val="Normal"/>
    <w:next w:val="Normal"/>
    <w:link w:val="Heading1Char"/>
    <w:qFormat/>
    <w:rsid w:val="00FB39A5"/>
    <w:pPr>
      <w:jc w:val="both"/>
      <w:outlineLvl w:val="0"/>
    </w:pPr>
    <w:rPr>
      <w:rFonts w:ascii="Arial" w:hAnsi="Arial" w:cs="Arial"/>
      <w:b/>
      <w:bCs/>
      <w:caps/>
      <w:sz w:val="20"/>
      <w:szCs w:val="32"/>
      <w:lang w:val="en-GB"/>
    </w:rPr>
  </w:style>
  <w:style w:type="paragraph" w:styleId="Heading2">
    <w:name w:val="heading 2"/>
    <w:basedOn w:val="Normal"/>
    <w:next w:val="Normal"/>
    <w:link w:val="Heading2Char"/>
    <w:qFormat/>
    <w:rsid w:val="00FB39A5"/>
    <w:pPr>
      <w:tabs>
        <w:tab w:val="num" w:leader="none" w:pos="1440"/>
      </w:tabs>
      <w:jc w:val="both"/>
      <w:outlineLvl w:val="1"/>
    </w:pPr>
    <w:rPr>
      <w:rFonts w:ascii="Arial" w:hAnsi="Arial" w:cs="Arial"/>
      <w:b/>
      <w:bCs/>
      <w:iCs/>
      <w:sz w:val="20"/>
      <w:szCs w:val="28"/>
      <w:u w:val="single"/>
      <w:lang w:val="en-GB"/>
    </w:rPr>
  </w:style>
  <w:style w:type="paragraph" w:styleId="Heading3">
    <w:name w:val="heading 3"/>
    <w:aliases w:val="CPR Heading 3,Sottoparagrafo"/>
    <w:basedOn w:val="Normal"/>
    <w:next w:val="Normal"/>
    <w:link w:val="Heading3Char"/>
    <w:qFormat/>
    <w:rsid w:val="00FB39A5"/>
    <w:pPr>
      <w:keepNext/>
      <w:outlineLvl w:val="2"/>
    </w:pPr>
    <w:rPr>
      <w:rFonts w:ascii="Arial" w:hAnsi="Arial" w:cs="Arial"/>
      <w:b/>
      <w:bCs/>
      <w:sz w:val="20"/>
      <w:szCs w:val="26"/>
      <w:lang w:val="en-GB" w:bidi="he-IL"/>
    </w:rPr>
  </w:style>
  <w:style w:type="paragraph" w:styleId="Heading4">
    <w:name w:val="heading 4"/>
    <w:basedOn w:val="Normal"/>
    <w:next w:val="Normal"/>
    <w:link w:val="Heading4Char"/>
    <w:qFormat/>
    <w:rsid w:val="00FB39A5"/>
    <w:pPr>
      <w:keepNext/>
      <w:jc w:val="both"/>
      <w:outlineLvl w:val="3"/>
    </w:pPr>
    <w:rPr>
      <w:rFonts w:ascii="Arial" w:hAnsi="Arial"/>
      <w:bCs/>
      <w:i/>
      <w:sz w:val="20"/>
      <w:szCs w:val="28"/>
      <w:u w:val="single"/>
      <w:lang w:val="en-GB"/>
    </w:rPr>
  </w:style>
  <w:style w:type="paragraph" w:styleId="Heading5">
    <w:name w:val="heading 5"/>
    <w:basedOn w:val="Normal"/>
    <w:next w:val="Normal"/>
    <w:link w:val="Heading5Char"/>
    <w:qFormat/>
    <w:rsid w:val="00FB39A5"/>
    <w:pPr>
      <w:keepNext/>
      <w:jc w:val="both"/>
      <w:outlineLvl w:val="4"/>
    </w:pPr>
    <w:rPr>
      <w:rFonts w:ascii="Arial" w:hAnsi="Arial" w:cs="Arial"/>
      <w:i/>
      <w:sz w:val="20"/>
      <w:lang w:val="en-GB" w:bidi="he-IL"/>
    </w:rPr>
  </w:style>
  <w:style w:type="paragraph" w:styleId="Heading6">
    <w:name w:val="heading 6"/>
    <w:basedOn w:val="Normal"/>
    <w:next w:val="Normal"/>
    <w:link w:val="Heading6Char"/>
    <w:qFormat/>
    <w:rsid w:val="00FB39A5"/>
    <w:pPr>
      <w:keepNext/>
      <w:widowControl w:val="0"/>
      <w:tabs>
        <w:tab w:val="left" w:pos="360"/>
        <w:tab w:val="left" w:pos="680"/>
        <w:tab w:val="left" w:pos="1361"/>
        <w:tab w:val="left" w:pos="2041"/>
        <w:tab w:val="left" w:pos="2722"/>
        <w:tab w:val="left" w:pos="3402"/>
        <w:tab w:val="left" w:pos="4082"/>
        <w:tab w:val="left" w:pos="4763"/>
        <w:tab w:val="left" w:pos="5443"/>
        <w:tab w:val="left" w:pos="6390"/>
        <w:tab w:val="left" w:pos="6804"/>
        <w:tab w:val="left" w:pos="7484"/>
        <w:tab w:val="left" w:pos="8165"/>
        <w:tab w:val="left" w:pos="8845"/>
      </w:tabs>
      <w:suppressAutoHyphens/>
      <w:ind w:left="180" w:right="-172"/>
      <w:jc w:val="both"/>
      <w:outlineLvl w:val="5"/>
    </w:pPr>
    <w:rPr>
      <w:rFonts w:ascii="Univers" w:hAnsi="Univers" w:cs="Angsana New"/>
      <w:b/>
      <w:snapToGrid w:val="0"/>
      <w:spacing w:val="-2"/>
      <w:sz w:val="20"/>
      <w:szCs w:val="20"/>
      <w:lang w:val="en-GB"/>
    </w:rPr>
  </w:style>
  <w:style w:type="paragraph" w:styleId="Heading7">
    <w:name w:val="heading 7"/>
    <w:basedOn w:val="Normal"/>
    <w:next w:val="Normal"/>
    <w:link w:val="Heading7Char"/>
    <w:qFormat/>
    <w:rsid w:val="00FB39A5"/>
    <w:pPr>
      <w:keepNext/>
      <w:widowControl w:val="0"/>
      <w:tabs>
        <w:tab w:val="left" w:pos="-1822"/>
        <w:tab w:val="left" w:pos="698"/>
        <w:tab w:val="center" w:pos="4933"/>
        <w:tab w:val="left" w:pos="5378"/>
      </w:tabs>
      <w:suppressAutoHyphens/>
      <w:ind w:right="-5"/>
      <w:outlineLvl w:val="6"/>
    </w:pPr>
    <w:rPr>
      <w:rFonts w:ascii="Arial" w:hAnsi="Arial" w:cs="Arial"/>
      <w:b/>
      <w:snapToGrid w:val="0"/>
      <w:sz w:val="20"/>
      <w:szCs w:val="20"/>
      <w:lang w:val="en-GB"/>
    </w:rPr>
  </w:style>
  <w:style w:type="paragraph" w:styleId="Heading8">
    <w:name w:val="heading 8"/>
    <w:basedOn w:val="Normal"/>
    <w:next w:val="Normal"/>
    <w:link w:val="Heading8Char"/>
    <w:qFormat/>
    <w:rsid w:val="00FB39A5"/>
    <w:pPr>
      <w:keepNext/>
      <w:ind w:right="100"/>
      <w:jc w:val="right"/>
      <w:outlineLvl w:val="7"/>
    </w:pPr>
    <w:rPr>
      <w:rFonts w:ascii="Arial" w:hAnsi="Arial" w:cs="Arial"/>
      <w:b/>
      <w:bCs/>
      <w:sz w:val="16"/>
      <w:szCs w:val="16"/>
      <w:lang w:val="en-GB"/>
    </w:rPr>
  </w:style>
  <w:style w:type="paragraph" w:styleId="Heading9">
    <w:name w:val="heading 9"/>
    <w:basedOn w:val="Normal"/>
    <w:next w:val="Normal"/>
    <w:link w:val="Heading9Char"/>
    <w:qFormat/>
    <w:rsid w:val="00FB39A5"/>
    <w:pPr>
      <w:keepNext/>
      <w:pBdr>
        <w:bar w:val="single" w:sz="4" w:color="auto"/>
      </w:pBdr>
      <w:jc w:val="both"/>
      <w:outlineLvl w:val="8"/>
    </w:pPr>
    <w:rPr>
      <w:rFonts w:ascii="Arial" w:hAnsi="Arial" w:cs="Arial"/>
      <w:b/>
      <w:bCs/>
      <w:smallCaps/>
      <w:sz w:val="18"/>
      <w:lang w:val="en-G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table" w:styleId="TableGrid">
    <w:name w:val="Table Grid"/>
    <w:basedOn w:val="Table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TOC1">
    <w:name w:val="toc 1"/>
    <w:basedOn w:val="Normal"/>
    <w:next w:val="Normal"/>
    <w:autoRedefine/>
    <w:uiPriority w:val="39"/>
    <w:pPr>
      <w:tabs>
        <w:tab w:val="left" w:pos="1440"/>
        <w:tab w:val="right" w:leader="dot" w:pos="9000"/>
      </w:tabs>
    </w:pPr>
    <w:rPr>
      <w:sz w:val="22"/>
    </w:rPr>
  </w:style>
  <w:style w:type="character" w:styleId="Hyperlink">
    <w:name w:val="Hyperlink"/>
    <w:uiPriority w:val="99"/>
    <w:rPr>
      <w:color w:val="0000FF"/>
      <w:u w:val="single"/>
    </w:rPr>
  </w:style>
  <w:style w:type="paragraph" w:styleId="TOC2">
    <w:name w:val="toc 2"/>
    <w:basedOn w:val="Normal"/>
    <w:next w:val="Normal"/>
    <w:autoRedefine/>
    <w:uiPriority w:val="39"/>
    <w:pPr>
      <w:ind w:left="240"/>
    </w:pPr>
    <w:rPr>
      <w:sz w:val="22"/>
    </w:rPr>
  </w:style>
  <w:style w:type="paragraph" w:styleId="Header">
    <w:name w:val="header"/>
    <w:aliases w:val="EthylHeader"/>
    <w:basedOn w:val="Normal"/>
    <w:pPr>
      <w:tabs>
        <w:tab w:val="center" w:pos="4320"/>
        <w:tab w:val="right" w:pos="8640"/>
      </w:tabs>
    </w:pPr>
  </w:style>
  <w:style w:type="paragraph" w:styleId="TOC3">
    <w:name w:val="toc 3"/>
    <w:basedOn w:val="Normal"/>
    <w:next w:val="Normal"/>
    <w:autoRedefine/>
    <w:uiPriority w:val="39"/>
    <w:pPr>
      <w:ind w:left="480"/>
    </w:pPr>
    <w:rPr>
      <w:sz w:val="22"/>
    </w:rPr>
  </w:style>
  <w:style w:type="paragraph" w:styleId="TOC4">
    <w:name w:val="toc 4"/>
    <w:basedOn w:val="Normal"/>
    <w:next w:val="Normal"/>
    <w:autoRedefine/>
    <w:uiPriority w:val="39"/>
    <w:pPr>
      <w:ind w:left="720"/>
    </w:pPr>
    <w:rPr>
      <w:sz w:val="22"/>
    </w:rPr>
  </w:style>
  <w:style w:type="paragraph" w:styleId="FootnoteText">
    <w:name w:val="footnote text"/>
    <w:aliases w:val="Geneva 9,Font: Geneva 9,Boston 10,f"/>
    <w:basedOn w:val="Normal"/>
    <w:link w:val="FootnoteTextChar"/>
    <w:uiPriority w:val="99"/>
    <w:unhideWhenUsed/>
    <w:rsid w:val="00183235"/>
    <w:rPr>
      <w:rFonts w:ascii="Arial" w:eastAsia="Calibri" w:hAnsi="Arial" w:cs="Arial"/>
      <w:sz w:val="20"/>
      <w:szCs w:val="20"/>
    </w:rPr>
  </w:style>
  <w:style w:type="character" w:customStyle="1" w:styleId="FootnoteTextChar">
    <w:name w:val="Footnote Text Char"/>
    <w:aliases w:val="Geneva 9 Char,Font: Geneva 9 Char,Boston 10 Char,f Char"/>
    <w:link w:val="FootnoteText"/>
    <w:uiPriority w:val="99"/>
    <w:rsid w:val="00183235"/>
    <w:rPr>
      <w:rFonts w:ascii="Arial" w:eastAsia="Calibri" w:hAnsi="Arial" w:cs="Arial"/>
    </w:rPr>
  </w:style>
  <w:style w:type="character" w:styleId="FootnoteReference">
    <w:name w:val="footnote reference"/>
    <w:aliases w:val="16 Point,Superscript 6 Point"/>
    <w:uiPriority w:val="99"/>
    <w:unhideWhenUsed/>
    <w:rsid w:val="00183235"/>
    <w:rPr>
      <w:vertAlign w:val="superscript"/>
    </w:rPr>
  </w:style>
  <w:style w:type="character" w:customStyle="1" w:styleId="Heading1Char">
    <w:name w:val="Heading 1 Char"/>
    <w:link w:val="Heading1"/>
    <w:rsid w:val="00FB39A5"/>
    <w:rPr>
      <w:rFonts w:ascii="Arial" w:hAnsi="Arial" w:cs="Arial"/>
      <w:b/>
      <w:bCs/>
      <w:caps/>
      <w:szCs w:val="32"/>
      <w:lang w:val="en-GB"/>
    </w:rPr>
  </w:style>
  <w:style w:type="character" w:customStyle="1" w:styleId="Heading2Char">
    <w:name w:val="Heading 2 Char"/>
    <w:link w:val="Heading2"/>
    <w:rsid w:val="00FB39A5"/>
    <w:rPr>
      <w:rFonts w:ascii="Arial" w:hAnsi="Arial" w:cs="Arial"/>
      <w:b/>
      <w:bCs/>
      <w:iCs/>
      <w:szCs w:val="28"/>
      <w:u w:val="single"/>
      <w:lang w:val="en-GB"/>
    </w:rPr>
  </w:style>
  <w:style w:type="character" w:customStyle="1" w:styleId="Heading3Char">
    <w:name w:val="Heading 3 Char"/>
    <w:aliases w:val="CPR Heading 3 Char,Sottoparagrafo Char"/>
    <w:link w:val="Heading3"/>
    <w:rsid w:val="00FB39A5"/>
    <w:rPr>
      <w:rFonts w:ascii="Arial" w:hAnsi="Arial" w:cs="Arial"/>
      <w:b/>
      <w:bCs/>
      <w:szCs w:val="26"/>
      <w:lang w:val="en-GB" w:bidi="he-IL"/>
    </w:rPr>
  </w:style>
  <w:style w:type="character" w:customStyle="1" w:styleId="Heading4Char">
    <w:name w:val="Heading 4 Char"/>
    <w:link w:val="Heading4"/>
    <w:rsid w:val="00FB39A5"/>
    <w:rPr>
      <w:rFonts w:ascii="Arial" w:hAnsi="Arial"/>
      <w:bCs/>
      <w:i/>
      <w:szCs w:val="28"/>
      <w:u w:val="single"/>
      <w:lang w:val="en-GB"/>
    </w:rPr>
  </w:style>
  <w:style w:type="character" w:customStyle="1" w:styleId="Heading5Char">
    <w:name w:val="Heading 5 Char"/>
    <w:link w:val="Heading5"/>
    <w:rsid w:val="00FB39A5"/>
    <w:rPr>
      <w:rFonts w:ascii="Arial" w:hAnsi="Arial" w:cs="Arial"/>
      <w:i/>
      <w:szCs w:val="24"/>
      <w:lang w:val="en-GB" w:bidi="he-IL"/>
    </w:rPr>
  </w:style>
  <w:style w:type="character" w:customStyle="1" w:styleId="Heading6Char">
    <w:name w:val="Heading 6 Char"/>
    <w:link w:val="Heading6"/>
    <w:rsid w:val="00FB39A5"/>
    <w:rPr>
      <w:rFonts w:ascii="Univers" w:hAnsi="Univers" w:cs="Angsana New"/>
      <w:b/>
      <w:snapToGrid w:val="0"/>
      <w:spacing w:val="-2"/>
      <w:lang w:val="en-GB"/>
    </w:rPr>
  </w:style>
  <w:style w:type="character" w:customStyle="1" w:styleId="Heading7Char">
    <w:name w:val="Heading 7 Char"/>
    <w:link w:val="Heading7"/>
    <w:rsid w:val="00FB39A5"/>
    <w:rPr>
      <w:rFonts w:ascii="Arial" w:hAnsi="Arial" w:cs="Arial"/>
      <w:b/>
      <w:snapToGrid w:val="0"/>
      <w:lang w:val="en-GB"/>
    </w:rPr>
  </w:style>
  <w:style w:type="character" w:customStyle="1" w:styleId="Heading8Char">
    <w:name w:val="Heading 8 Char"/>
    <w:link w:val="Heading8"/>
    <w:rsid w:val="00FB39A5"/>
    <w:rPr>
      <w:rFonts w:ascii="Arial" w:hAnsi="Arial" w:cs="Arial"/>
      <w:b/>
      <w:bCs/>
      <w:sz w:val="16"/>
      <w:szCs w:val="16"/>
      <w:lang w:val="en-GB"/>
    </w:rPr>
  </w:style>
  <w:style w:type="character" w:customStyle="1" w:styleId="Heading9Char">
    <w:name w:val="Heading 9 Char"/>
    <w:link w:val="Heading9"/>
    <w:rsid w:val="00FB39A5"/>
    <w:rPr>
      <w:rFonts w:ascii="Arial" w:hAnsi="Arial" w:cs="Arial"/>
      <w:b/>
      <w:bCs/>
      <w:smallCaps/>
      <w:sz w:val="18"/>
      <w:szCs w:val="24"/>
      <w:lang w:val="en-GB"/>
    </w:rPr>
  </w:style>
  <w:style w:type="numbering" w:customStyle="1" w:styleId="NoList1">
    <w:name w:val="No List1"/>
    <w:next w:val="NoList"/>
    <w:uiPriority w:val="99"/>
    <w:semiHidden/>
    <w:rsid w:val="00FB39A5"/>
  </w:style>
  <w:style w:type="paragraph" w:styleId="Title">
    <w:name w:val="Title"/>
    <w:basedOn w:val="Normal"/>
    <w:link w:val="TitleChar"/>
    <w:qFormat/>
    <w:rsid w:val="00FB39A5"/>
    <w:pPr>
      <w:spacing w:before="120" w:after="120"/>
      <w:jc w:val="center"/>
      <w:outlineLvl w:val="0"/>
    </w:pPr>
    <w:rPr>
      <w:rFonts w:ascii="Arial" w:hAnsi="Arial" w:cs="Arial"/>
      <w:b/>
      <w:bCs/>
      <w:caps/>
      <w:kern w:val="24"/>
      <w:sz w:val="20"/>
      <w:szCs w:val="32"/>
      <w:lang w:val="en-GB"/>
    </w:rPr>
  </w:style>
  <w:style w:type="character" w:customStyle="1" w:styleId="TitleChar">
    <w:name w:val="Title Char"/>
    <w:link w:val="Title"/>
    <w:rsid w:val="00FB39A5"/>
    <w:rPr>
      <w:rFonts w:ascii="Arial" w:hAnsi="Arial" w:cs="Arial"/>
      <w:b/>
      <w:bCs/>
      <w:caps/>
      <w:kern w:val="24"/>
      <w:szCs w:val="32"/>
      <w:lang w:val="en-GB"/>
    </w:rPr>
  </w:style>
  <w:style w:type="paragraph" w:styleId="BodyTextIndent">
    <w:name w:val="Body Text Indent"/>
    <w:basedOn w:val="Normal"/>
    <w:link w:val="BodyTextIndentChar"/>
    <w:rsid w:val="00FB39A5"/>
    <w:pPr>
      <w:ind w:left="360"/>
      <w:jc w:val="both"/>
    </w:pPr>
    <w:rPr>
      <w:rFonts w:ascii="Arial" w:hAnsi="Arial"/>
      <w:sz w:val="20"/>
      <w:lang w:val="en-GB"/>
    </w:rPr>
  </w:style>
  <w:style w:type="character" w:customStyle="1" w:styleId="BodyTextIndentChar">
    <w:name w:val="Body Text Indent Char"/>
    <w:link w:val="BodyTextIndent"/>
    <w:rsid w:val="00FB39A5"/>
    <w:rPr>
      <w:rFonts w:ascii="Arial" w:hAnsi="Arial"/>
      <w:szCs w:val="24"/>
      <w:lang w:val="en-GB"/>
    </w:rPr>
  </w:style>
  <w:style w:type="paragraph" w:styleId="BodyTextIndent2">
    <w:name w:val="Body Text Indent 2"/>
    <w:basedOn w:val="Normal"/>
    <w:link w:val="BodyTextIndent2Char"/>
    <w:rsid w:val="00FB39A5"/>
    <w:pPr>
      <w:ind w:left="720" w:hanging="360"/>
      <w:jc w:val="both"/>
    </w:pPr>
    <w:rPr>
      <w:rFonts w:ascii="Arial" w:hAnsi="Arial"/>
      <w:sz w:val="20"/>
      <w:lang w:val="en-GB"/>
    </w:rPr>
  </w:style>
  <w:style w:type="character" w:customStyle="1" w:styleId="BodyTextIndent2Char">
    <w:name w:val="Body Text Indent 2 Char"/>
    <w:link w:val="BodyTextIndent2"/>
    <w:rsid w:val="00FB39A5"/>
    <w:rPr>
      <w:rFonts w:ascii="Arial" w:hAnsi="Arial"/>
      <w:szCs w:val="24"/>
      <w:lang w:val="en-GB"/>
    </w:rPr>
  </w:style>
  <w:style w:type="paragraph" w:styleId="ListBullet5">
    <w:name w:val="List Bullet 5"/>
    <w:basedOn w:val="Normal"/>
    <w:autoRedefine/>
    <w:rsid w:val="00FB39A5"/>
    <w:rPr>
      <w:rFonts w:ascii="Arial" w:hAnsi="Arial" w:cs="Arial"/>
      <w:sz w:val="16"/>
      <w:lang w:val="en-GB"/>
    </w:rPr>
  </w:style>
  <w:style w:type="paragraph" w:styleId="ListBullet2">
    <w:name w:val="List Bullet 2"/>
    <w:basedOn w:val="Normal"/>
    <w:autoRedefine/>
    <w:rsid w:val="00FB39A5"/>
    <w:pPr>
      <w:ind w:left="-33"/>
    </w:pPr>
    <w:rPr>
      <w:rFonts w:ascii="Arial" w:hAnsi="Arial" w:cs="Arial"/>
      <w:bCs/>
      <w:sz w:val="16"/>
      <w:lang w:val="en-GB"/>
    </w:rPr>
  </w:style>
  <w:style w:type="paragraph" w:customStyle="1" w:styleId="xl34">
    <w:name w:val="xl34"/>
    <w:basedOn w:val="Normal"/>
    <w:rsid w:val="00FB39A5"/>
    <w:pPr>
      <w:pBdr>
        <w:left w:val="single" w:sz="4"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Arial Unicode MS"/>
      <w:b/>
      <w:bCs/>
      <w:sz w:val="16"/>
      <w:szCs w:val="16"/>
    </w:rPr>
  </w:style>
  <w:style w:type="paragraph" w:styleId="ListBullet">
    <w:name w:val="List Bullet"/>
    <w:basedOn w:val="Normal"/>
    <w:autoRedefine/>
    <w:rsid w:val="00FB39A5"/>
    <w:pPr>
      <w:numPr>
        <w:numId w:val="8"/>
      </w:numPr>
    </w:pPr>
    <w:rPr>
      <w:rFonts w:ascii="Arial" w:hAnsi="Arial"/>
      <w:sz w:val="20"/>
      <w:lang w:val="en-GB"/>
    </w:rPr>
  </w:style>
  <w:style w:type="paragraph" w:styleId="ListBullet3">
    <w:name w:val="List Bullet 3"/>
    <w:basedOn w:val="Normal"/>
    <w:autoRedefine/>
    <w:rsid w:val="00FB39A5"/>
    <w:pPr>
      <w:numPr>
        <w:numId w:val="9"/>
      </w:numPr>
      <w:tabs>
        <w:tab w:val="clear" w:pos="1080"/>
        <w:tab w:val="num" w:pos="926"/>
      </w:tabs>
      <w:ind w:left="926"/>
    </w:pPr>
    <w:rPr>
      <w:rFonts w:ascii="Arial" w:hAnsi="Arial"/>
      <w:sz w:val="20"/>
      <w:lang w:val="en-GB"/>
    </w:rPr>
  </w:style>
  <w:style w:type="paragraph" w:styleId="ListBullet4">
    <w:name w:val="List Bullet 4"/>
    <w:basedOn w:val="Normal"/>
    <w:autoRedefine/>
    <w:rsid w:val="00FB39A5"/>
    <w:pPr>
      <w:numPr>
        <w:numId w:val="10"/>
      </w:numPr>
      <w:tabs>
        <w:tab w:val="clear" w:pos="1440"/>
        <w:tab w:val="num" w:pos="1209"/>
      </w:tabs>
      <w:ind w:left="1209"/>
    </w:pPr>
    <w:rPr>
      <w:rFonts w:ascii="Arial" w:hAnsi="Arial"/>
      <w:sz w:val="20"/>
      <w:lang w:val="en-GB"/>
    </w:rPr>
  </w:style>
  <w:style w:type="paragraph" w:styleId="ListNumber3">
    <w:name w:val="List Number 3"/>
    <w:basedOn w:val="Normal"/>
    <w:rsid w:val="00FB39A5"/>
    <w:pPr>
      <w:numPr>
        <w:numId w:val="11"/>
      </w:numPr>
      <w:tabs>
        <w:tab w:val="clear" w:pos="1080"/>
        <w:tab w:val="num" w:pos="926"/>
      </w:tabs>
      <w:ind w:left="926"/>
    </w:pPr>
    <w:rPr>
      <w:rFonts w:ascii="Arial" w:hAnsi="Arial"/>
      <w:sz w:val="20"/>
      <w:lang w:val="en-GB"/>
    </w:rPr>
  </w:style>
  <w:style w:type="paragraph" w:styleId="ListNumber4">
    <w:name w:val="List Number 4"/>
    <w:basedOn w:val="Normal"/>
    <w:rsid w:val="00FB39A5"/>
    <w:pPr>
      <w:numPr>
        <w:numId w:val="12"/>
      </w:numPr>
      <w:tabs>
        <w:tab w:val="clear" w:pos="1440"/>
        <w:tab w:val="num" w:pos="1209"/>
      </w:tabs>
      <w:ind w:left="1209"/>
    </w:pPr>
    <w:rPr>
      <w:rFonts w:ascii="Arial" w:hAnsi="Arial"/>
      <w:sz w:val="20"/>
      <w:lang w:val="en-GB"/>
    </w:rPr>
  </w:style>
  <w:style w:type="paragraph" w:styleId="ListNumber5">
    <w:name w:val="List Number 5"/>
    <w:basedOn w:val="Normal"/>
    <w:rsid w:val="00FB39A5"/>
    <w:pPr>
      <w:numPr>
        <w:numId w:val="13"/>
      </w:numPr>
      <w:tabs>
        <w:tab w:val="clear" w:pos="1800"/>
        <w:tab w:val="num" w:pos="1492"/>
      </w:tabs>
      <w:ind w:left="1492"/>
    </w:pPr>
    <w:rPr>
      <w:rFonts w:ascii="Arial" w:hAnsi="Arial"/>
      <w:sz w:val="20"/>
      <w:lang w:val="en-GB"/>
    </w:rPr>
  </w:style>
  <w:style w:type="paragraph" w:styleId="EndnoteText">
    <w:name w:val="endnote text"/>
    <w:basedOn w:val="Normal"/>
    <w:link w:val="EndnoteTextChar"/>
    <w:rsid w:val="00FB39A5"/>
    <w:pPr>
      <w:widowControl w:val="0"/>
    </w:pPr>
    <w:rPr>
      <w:rFonts w:ascii="Arial" w:hAnsi="Arial" w:cs="Angsana New"/>
      <w:snapToGrid w:val="0"/>
      <w:sz w:val="20"/>
      <w:szCs w:val="20"/>
      <w:lang w:val="en-GB"/>
    </w:rPr>
  </w:style>
  <w:style w:type="character" w:customStyle="1" w:styleId="EndnoteTextChar">
    <w:name w:val="Endnote Text Char"/>
    <w:link w:val="EndnoteText"/>
    <w:rsid w:val="00FB39A5"/>
    <w:rPr>
      <w:rFonts w:ascii="Arial" w:hAnsi="Arial" w:cs="Angsana New"/>
      <w:snapToGrid w:val="0"/>
      <w:lang w:val="en-GB"/>
    </w:rPr>
  </w:style>
  <w:style w:type="paragraph" w:styleId="ListNumber2">
    <w:name w:val="List Number 2"/>
    <w:basedOn w:val="Normal"/>
    <w:rsid w:val="00FB39A5"/>
    <w:pPr>
      <w:numPr>
        <w:numId w:val="2"/>
      </w:numPr>
      <w:tabs>
        <w:tab w:val="num" w:pos="643"/>
      </w:tabs>
      <w:ind w:left="643"/>
    </w:pPr>
    <w:rPr>
      <w:rFonts w:ascii="Arial" w:hAnsi="Arial" w:cs="Angsana New"/>
      <w:sz w:val="20"/>
      <w:lang w:val="en-GB"/>
    </w:rPr>
  </w:style>
  <w:style w:type="paragraph" w:styleId="ListNumber">
    <w:name w:val="List Number"/>
    <w:basedOn w:val="Normal"/>
    <w:rsid w:val="00FB39A5"/>
    <w:pPr>
      <w:numPr>
        <w:numId w:val="1"/>
      </w:numPr>
      <w:tabs>
        <w:tab w:val="clear" w:pos="720"/>
        <w:tab w:val="num" w:pos="360"/>
      </w:tabs>
      <w:ind w:left="360"/>
    </w:pPr>
    <w:rPr>
      <w:rFonts w:ascii="Arial" w:hAnsi="Arial" w:cs="Angsana New"/>
      <w:sz w:val="20"/>
      <w:lang w:val="en-GB"/>
    </w:rPr>
  </w:style>
  <w:style w:type="paragraph" w:styleId="BodyText2">
    <w:name w:val="Body Text 2"/>
    <w:basedOn w:val="Normal"/>
    <w:link w:val="BodyText2Char"/>
    <w:rsid w:val="00FB39A5"/>
    <w:pPr>
      <w:jc w:val="both"/>
    </w:pPr>
    <w:rPr>
      <w:rFonts w:ascii="Arial" w:hAnsi="Arial" w:cs="Arial"/>
      <w:color w:val="000000"/>
      <w:sz w:val="20"/>
      <w:szCs w:val="20"/>
    </w:rPr>
  </w:style>
  <w:style w:type="character" w:customStyle="1" w:styleId="BodyText2Char">
    <w:name w:val="Body Text 2 Char"/>
    <w:link w:val="BodyText2"/>
    <w:rsid w:val="00FB39A5"/>
    <w:rPr>
      <w:rFonts w:ascii="Arial" w:hAnsi="Arial" w:cs="Arial"/>
      <w:color w:val="000000"/>
    </w:rPr>
  </w:style>
  <w:style w:type="paragraph" w:styleId="BodyTextIndent3">
    <w:name w:val="Body Text Indent 3"/>
    <w:basedOn w:val="Normal"/>
    <w:link w:val="BodyTextIndent3Char"/>
    <w:rsid w:val="00FB39A5"/>
    <w:pPr>
      <w:tabs>
        <w:tab w:val="left" w:pos="990"/>
      </w:tabs>
      <w:ind w:left="720" w:hanging="720"/>
      <w:jc w:val="both"/>
    </w:pPr>
    <w:rPr>
      <w:rFonts w:ascii="Arial" w:hAnsi="Arial" w:cs="Arial"/>
      <w:sz w:val="16"/>
      <w:lang w:val="en-GB"/>
    </w:rPr>
  </w:style>
  <w:style w:type="character" w:customStyle="1" w:styleId="BodyTextIndent3Char">
    <w:name w:val="Body Text Indent 3 Char"/>
    <w:link w:val="BodyTextIndent3"/>
    <w:rsid w:val="00FB39A5"/>
    <w:rPr>
      <w:rFonts w:ascii="Arial" w:hAnsi="Arial" w:cs="Arial"/>
      <w:sz w:val="16"/>
      <w:szCs w:val="24"/>
      <w:lang w:val="en-GB"/>
    </w:rPr>
  </w:style>
  <w:style w:type="paragraph" w:styleId="BalloonText">
    <w:name w:val="Balloon Text"/>
    <w:basedOn w:val="Normal"/>
    <w:link w:val="BalloonTextChar"/>
    <w:rsid w:val="00FB39A5"/>
    <w:pPr>
      <w:jc w:val="both"/>
    </w:pPr>
    <w:rPr>
      <w:rFonts w:ascii="Tahoma" w:hAnsi="Tahoma" w:cs="Tahoma"/>
      <w:sz w:val="16"/>
      <w:szCs w:val="16"/>
      <w:lang w:val="en-GB"/>
    </w:rPr>
  </w:style>
  <w:style w:type="character" w:customStyle="1" w:styleId="BalloonTextChar">
    <w:name w:val="Balloon Text Char"/>
    <w:link w:val="BalloonText"/>
    <w:rsid w:val="00FB39A5"/>
    <w:rPr>
      <w:rFonts w:ascii="Tahoma" w:hAnsi="Tahoma" w:cs="Tahoma"/>
      <w:sz w:val="16"/>
      <w:szCs w:val="16"/>
      <w:lang w:val="en-GB"/>
    </w:rPr>
  </w:style>
  <w:style w:type="paragraph" w:styleId="BodyText">
    <w:name w:val="Body Text"/>
    <w:basedOn w:val="Normal"/>
    <w:link w:val="BodyTextChar"/>
    <w:uiPriority w:val="99"/>
    <w:rsid w:val="00FB39A5"/>
    <w:pPr>
      <w:spacing w:after="120"/>
      <w:jc w:val="both"/>
    </w:pPr>
    <w:rPr>
      <w:rFonts w:ascii="Arial" w:hAnsi="Arial"/>
      <w:sz w:val="20"/>
      <w:lang w:val="en-GB"/>
    </w:rPr>
  </w:style>
  <w:style w:type="character" w:customStyle="1" w:styleId="BodyTextChar">
    <w:name w:val="Body Text Char"/>
    <w:link w:val="BodyText"/>
    <w:uiPriority w:val="99"/>
    <w:rsid w:val="00FB39A5"/>
    <w:rPr>
      <w:rFonts w:ascii="Arial" w:hAnsi="Arial"/>
      <w:szCs w:val="24"/>
      <w:lang w:val="en-GB"/>
    </w:rPr>
  </w:style>
  <w:style w:type="paragraph" w:styleId="BodyText3">
    <w:name w:val="Body Text 3"/>
    <w:basedOn w:val="Normal"/>
    <w:link w:val="BodyText3Char"/>
    <w:rsid w:val="00FB39A5"/>
    <w:pPr>
      <w:spacing w:after="120"/>
      <w:jc w:val="both"/>
    </w:pPr>
    <w:rPr>
      <w:rFonts w:ascii="Arial" w:hAnsi="Arial"/>
      <w:sz w:val="16"/>
      <w:szCs w:val="16"/>
      <w:lang w:val="en-GB"/>
    </w:rPr>
  </w:style>
  <w:style w:type="character" w:customStyle="1" w:styleId="BodyText3Char">
    <w:name w:val="Body Text 3 Char"/>
    <w:link w:val="BodyText3"/>
    <w:rsid w:val="00FB39A5"/>
    <w:rPr>
      <w:rFonts w:ascii="Arial" w:hAnsi="Arial"/>
      <w:sz w:val="16"/>
      <w:szCs w:val="16"/>
      <w:lang w:val="en-GB"/>
    </w:rPr>
  </w:style>
  <w:style w:type="character" w:customStyle="1" w:styleId="author1">
    <w:name w:val="author1"/>
    <w:rsid w:val="00FB39A5"/>
    <w:rPr>
      <w:rFonts w:ascii="Verdana" w:hAnsi="Verdana" w:hint="default"/>
      <w:caps/>
      <w:color w:val="000000"/>
      <w:sz w:val="18"/>
      <w:szCs w:val="18"/>
    </w:rPr>
  </w:style>
  <w:style w:type="paragraph" w:customStyle="1" w:styleId="Document1">
    <w:name w:val="Document 1"/>
    <w:rsid w:val="00FB39A5"/>
    <w:pPr>
      <w:keepNext/>
      <w:keepLines/>
      <w:widowControl w:val="0"/>
      <w:tabs>
        <w:tab w:val="left" w:pos="-720"/>
      </w:tabs>
      <w:suppressAutoHyphens/>
    </w:pPr>
    <w:rPr>
      <w:rFonts w:ascii="Courier" w:hAnsi="Courier" w:cs="Angsana New"/>
      <w:snapToGrid w:val="0"/>
      <w:sz w:val="24"/>
      <w:lang w:val="en-US" w:eastAsia="en-US"/>
    </w:rPr>
  </w:style>
  <w:style w:type="paragraph" w:customStyle="1" w:styleId="tofrom">
    <w:name w:val="tofrom"/>
    <w:basedOn w:val="Normal"/>
    <w:rsid w:val="00FB39A5"/>
    <w:pPr>
      <w:tabs>
        <w:tab w:val="left" w:pos="1134"/>
        <w:tab w:val="left" w:pos="6804"/>
        <w:tab w:val="left" w:pos="7939"/>
      </w:tabs>
      <w:autoSpaceDE w:val="0"/>
      <w:autoSpaceDN w:val="0"/>
      <w:spacing w:before="851"/>
      <w:ind w:left="12"/>
    </w:pPr>
    <w:rPr>
      <w:rFonts w:ascii="Helv" w:hAnsi="Helv"/>
      <w:sz w:val="20"/>
      <w:szCs w:val="20"/>
      <w:lang w:val="en-GB"/>
    </w:rPr>
  </w:style>
  <w:style w:type="paragraph" w:customStyle="1" w:styleId="address">
    <w:name w:val="address"/>
    <w:basedOn w:val="Footer"/>
    <w:rsid w:val="00FB39A5"/>
    <w:pPr>
      <w:tabs>
        <w:tab w:val="clear" w:pos="4320"/>
        <w:tab w:val="clear" w:pos="8640"/>
        <w:tab w:val="left" w:pos="1980"/>
        <w:tab w:val="left" w:pos="3870"/>
        <w:tab w:val="right" w:pos="8190"/>
      </w:tabs>
      <w:ind w:left="12"/>
    </w:pPr>
    <w:rPr>
      <w:rFonts w:ascii="Courier New" w:hAnsi="Courier New"/>
      <w:sz w:val="14"/>
      <w:szCs w:val="20"/>
      <w:lang w:val="en-GB"/>
    </w:rPr>
  </w:style>
  <w:style w:type="paragraph" w:styleId="BlockText">
    <w:name w:val="Block Text"/>
    <w:basedOn w:val="Normal"/>
    <w:rsid w:val="00FB39A5"/>
    <w:pPr>
      <w:spacing w:after="120"/>
      <w:ind w:left="1440" w:right="1440"/>
    </w:pPr>
    <w:rPr>
      <w:rFonts w:ascii="Arial" w:hAnsi="Arial"/>
      <w:sz w:val="20"/>
      <w:lang w:val="en-GB"/>
    </w:rPr>
  </w:style>
  <w:style w:type="paragraph" w:styleId="BodyTextFirstIndent">
    <w:name w:val="Body Text First Indent"/>
    <w:basedOn w:val="BodyText"/>
    <w:link w:val="BodyTextFirstIndentChar"/>
    <w:rsid w:val="00FB39A5"/>
    <w:pPr>
      <w:ind w:firstLine="210"/>
      <w:jc w:val="left"/>
    </w:pPr>
  </w:style>
  <w:style w:type="character" w:customStyle="1" w:styleId="BodyTextFirstIndentChar">
    <w:name w:val="Body Text First Indent Char"/>
    <w:basedOn w:val="BodyTextChar"/>
    <w:link w:val="BodyTextFirstIndent"/>
    <w:rsid w:val="00FB39A5"/>
    <w:rPr>
      <w:rFonts w:ascii="Arial" w:hAnsi="Arial"/>
      <w:szCs w:val="24"/>
      <w:lang w:val="en-GB"/>
    </w:rPr>
  </w:style>
  <w:style w:type="paragraph" w:styleId="BodyTextFirstIndent2">
    <w:name w:val="Body Text First Indent 2"/>
    <w:basedOn w:val="BodyTextIndent"/>
    <w:link w:val="BodyTextFirstIndent2Char"/>
    <w:rsid w:val="00FB39A5"/>
    <w:pPr>
      <w:spacing w:after="120"/>
      <w:ind w:left="283" w:firstLine="210"/>
      <w:jc w:val="left"/>
    </w:pPr>
  </w:style>
  <w:style w:type="character" w:customStyle="1" w:styleId="BodyTextFirstIndent2Char">
    <w:name w:val="Body Text First Indent 2 Char"/>
    <w:basedOn w:val="BodyTextIndentChar"/>
    <w:link w:val="BodyTextFirstIndent2"/>
    <w:rsid w:val="00FB39A5"/>
    <w:rPr>
      <w:rFonts w:ascii="Arial" w:hAnsi="Arial"/>
      <w:szCs w:val="24"/>
      <w:lang w:val="en-GB"/>
    </w:rPr>
  </w:style>
  <w:style w:type="paragraph" w:styleId="Closing">
    <w:name w:val="Closing"/>
    <w:basedOn w:val="Normal"/>
    <w:link w:val="ClosingChar"/>
    <w:rsid w:val="00FB39A5"/>
    <w:pPr>
      <w:ind w:left="4252"/>
    </w:pPr>
    <w:rPr>
      <w:rFonts w:ascii="Arial" w:hAnsi="Arial"/>
      <w:sz w:val="20"/>
      <w:lang w:val="en-GB"/>
    </w:rPr>
  </w:style>
  <w:style w:type="character" w:customStyle="1" w:styleId="ClosingChar">
    <w:name w:val="Closing Char"/>
    <w:link w:val="Closing"/>
    <w:rsid w:val="00FB39A5"/>
    <w:rPr>
      <w:rFonts w:ascii="Arial" w:hAnsi="Arial"/>
      <w:szCs w:val="24"/>
      <w:lang w:val="en-GB"/>
    </w:rPr>
  </w:style>
  <w:style w:type="paragraph" w:styleId="Date">
    <w:name w:val="Date"/>
    <w:basedOn w:val="Normal"/>
    <w:next w:val="Normal"/>
    <w:link w:val="DateChar"/>
    <w:rsid w:val="00FB39A5"/>
    <w:rPr>
      <w:rFonts w:ascii="Arial" w:hAnsi="Arial"/>
      <w:sz w:val="20"/>
      <w:lang w:val="en-GB"/>
    </w:rPr>
  </w:style>
  <w:style w:type="character" w:customStyle="1" w:styleId="DateChar">
    <w:name w:val="Date Char"/>
    <w:link w:val="Date"/>
    <w:rsid w:val="00FB39A5"/>
    <w:rPr>
      <w:rFonts w:ascii="Arial" w:hAnsi="Arial"/>
      <w:szCs w:val="24"/>
      <w:lang w:val="en-GB"/>
    </w:rPr>
  </w:style>
  <w:style w:type="paragraph" w:styleId="E-mailSignature">
    <w:name w:val="E-mail Signature"/>
    <w:basedOn w:val="Normal"/>
    <w:link w:val="E-mailSignatureChar"/>
    <w:rsid w:val="00FB39A5"/>
    <w:rPr>
      <w:rFonts w:ascii="Arial" w:hAnsi="Arial"/>
      <w:sz w:val="20"/>
      <w:lang w:val="en-GB"/>
    </w:rPr>
  </w:style>
  <w:style w:type="character" w:customStyle="1" w:styleId="E-mailSignatureChar">
    <w:name w:val="E-mail Signature Char"/>
    <w:link w:val="E-mailSignature"/>
    <w:rsid w:val="00FB39A5"/>
    <w:rPr>
      <w:rFonts w:ascii="Arial" w:hAnsi="Arial"/>
      <w:szCs w:val="24"/>
      <w:lang w:val="en-GB"/>
    </w:rPr>
  </w:style>
  <w:style w:type="paragraph" w:styleId="EnvelopeAddress">
    <w:name w:val="envelope address"/>
    <w:basedOn w:val="Normal"/>
    <w:rsid w:val="00FB39A5"/>
    <w:pPr>
      <w:framePr w:w="7920" w:h="1980" w:hRule="exact" w:hSpace="180" w:wrap="auto" w:hAnchor="page" w:xAlign="center" w:yAlign="bottom"/>
      <w:ind w:left="2880"/>
    </w:pPr>
    <w:rPr>
      <w:rFonts w:ascii="Arial" w:hAnsi="Arial" w:cs="Arial"/>
      <w:lang w:val="en-GB"/>
    </w:rPr>
  </w:style>
  <w:style w:type="paragraph" w:styleId="EnvelopeReturn">
    <w:name w:val="envelope return"/>
    <w:basedOn w:val="Normal"/>
    <w:rsid w:val="00FB39A5"/>
    <w:rPr>
      <w:rFonts w:ascii="Arial" w:hAnsi="Arial" w:cs="Arial"/>
      <w:sz w:val="20"/>
      <w:szCs w:val="20"/>
      <w:lang w:val="en-GB"/>
    </w:rPr>
  </w:style>
  <w:style w:type="paragraph" w:styleId="HTMLAddress">
    <w:name w:val="HTML Address"/>
    <w:basedOn w:val="Normal"/>
    <w:link w:val="HTMLAddressChar"/>
    <w:rsid w:val="00FB39A5"/>
    <w:rPr>
      <w:rFonts w:ascii="Arial" w:hAnsi="Arial"/>
      <w:i/>
      <w:iCs/>
      <w:sz w:val="20"/>
      <w:lang w:val="en-GB"/>
    </w:rPr>
  </w:style>
  <w:style w:type="character" w:customStyle="1" w:styleId="HTMLAddressChar">
    <w:name w:val="HTML Address Char"/>
    <w:link w:val="HTMLAddress"/>
    <w:rsid w:val="00FB39A5"/>
    <w:rPr>
      <w:rFonts w:ascii="Arial" w:hAnsi="Arial"/>
      <w:i/>
      <w:iCs/>
      <w:szCs w:val="24"/>
      <w:lang w:val="en-GB"/>
    </w:rPr>
  </w:style>
  <w:style w:type="paragraph" w:styleId="HTMLPreformatted">
    <w:name w:val="HTML Preformatted"/>
    <w:basedOn w:val="Normal"/>
    <w:link w:val="HTMLPreformattedChar"/>
    <w:rsid w:val="00FB39A5"/>
    <w:rPr>
      <w:rFonts w:ascii="Courier New" w:hAnsi="Courier New" w:cs="Courier New"/>
      <w:sz w:val="20"/>
      <w:szCs w:val="20"/>
      <w:lang w:val="en-GB"/>
    </w:rPr>
  </w:style>
  <w:style w:type="character" w:customStyle="1" w:styleId="HTMLPreformattedChar">
    <w:name w:val="HTML Preformatted Char"/>
    <w:link w:val="HTMLPreformatted"/>
    <w:rsid w:val="00FB39A5"/>
    <w:rPr>
      <w:rFonts w:ascii="Courier New" w:hAnsi="Courier New" w:cs="Courier New"/>
      <w:lang w:val="en-GB"/>
    </w:rPr>
  </w:style>
  <w:style w:type="paragraph" w:styleId="List">
    <w:name w:val="List"/>
    <w:basedOn w:val="Normal"/>
    <w:rsid w:val="00FB39A5"/>
    <w:pPr>
      <w:ind w:left="283" w:hanging="283"/>
    </w:pPr>
    <w:rPr>
      <w:rFonts w:ascii="Arial" w:hAnsi="Arial"/>
      <w:sz w:val="20"/>
      <w:lang w:val="en-GB"/>
    </w:rPr>
  </w:style>
  <w:style w:type="paragraph" w:styleId="List2">
    <w:name w:val="List 2"/>
    <w:basedOn w:val="Normal"/>
    <w:rsid w:val="00FB39A5"/>
    <w:pPr>
      <w:ind w:left="566" w:hanging="283"/>
    </w:pPr>
    <w:rPr>
      <w:rFonts w:ascii="Arial" w:hAnsi="Arial"/>
      <w:sz w:val="20"/>
      <w:lang w:val="en-GB"/>
    </w:rPr>
  </w:style>
  <w:style w:type="paragraph" w:styleId="List3">
    <w:name w:val="List 3"/>
    <w:basedOn w:val="Normal"/>
    <w:rsid w:val="00FB39A5"/>
    <w:pPr>
      <w:ind w:left="849" w:hanging="283"/>
    </w:pPr>
    <w:rPr>
      <w:rFonts w:ascii="Arial" w:hAnsi="Arial"/>
      <w:sz w:val="20"/>
      <w:lang w:val="en-GB"/>
    </w:rPr>
  </w:style>
  <w:style w:type="paragraph" w:styleId="List4">
    <w:name w:val="List 4"/>
    <w:basedOn w:val="Normal"/>
    <w:rsid w:val="00FB39A5"/>
    <w:pPr>
      <w:ind w:left="1132" w:hanging="283"/>
    </w:pPr>
    <w:rPr>
      <w:rFonts w:ascii="Arial" w:hAnsi="Arial"/>
      <w:sz w:val="20"/>
      <w:lang w:val="en-GB"/>
    </w:rPr>
  </w:style>
  <w:style w:type="paragraph" w:styleId="List5">
    <w:name w:val="List 5"/>
    <w:basedOn w:val="Normal"/>
    <w:rsid w:val="00FB39A5"/>
    <w:pPr>
      <w:ind w:left="1415" w:hanging="283"/>
    </w:pPr>
    <w:rPr>
      <w:rFonts w:ascii="Arial" w:hAnsi="Arial"/>
      <w:sz w:val="20"/>
      <w:lang w:val="en-GB"/>
    </w:rPr>
  </w:style>
  <w:style w:type="paragraph" w:styleId="ListContinue">
    <w:name w:val="List Continue"/>
    <w:basedOn w:val="Normal"/>
    <w:rsid w:val="00FB39A5"/>
    <w:pPr>
      <w:spacing w:after="120"/>
      <w:ind w:left="283"/>
    </w:pPr>
    <w:rPr>
      <w:rFonts w:ascii="Arial" w:hAnsi="Arial"/>
      <w:sz w:val="20"/>
      <w:lang w:val="en-GB"/>
    </w:rPr>
  </w:style>
  <w:style w:type="paragraph" w:styleId="ListContinue2">
    <w:name w:val="List Continue 2"/>
    <w:basedOn w:val="Normal"/>
    <w:rsid w:val="00FB39A5"/>
    <w:pPr>
      <w:spacing w:after="120"/>
      <w:ind w:left="566"/>
    </w:pPr>
    <w:rPr>
      <w:rFonts w:ascii="Arial" w:hAnsi="Arial"/>
      <w:sz w:val="20"/>
      <w:lang w:val="en-GB"/>
    </w:rPr>
  </w:style>
  <w:style w:type="paragraph" w:styleId="ListContinue3">
    <w:name w:val="List Continue 3"/>
    <w:basedOn w:val="Normal"/>
    <w:rsid w:val="00FB39A5"/>
    <w:pPr>
      <w:spacing w:after="120"/>
      <w:ind w:left="849"/>
    </w:pPr>
    <w:rPr>
      <w:rFonts w:ascii="Arial" w:hAnsi="Arial"/>
      <w:sz w:val="20"/>
      <w:lang w:val="en-GB"/>
    </w:rPr>
  </w:style>
  <w:style w:type="paragraph" w:styleId="ListContinue4">
    <w:name w:val="List Continue 4"/>
    <w:basedOn w:val="Normal"/>
    <w:rsid w:val="00FB39A5"/>
    <w:pPr>
      <w:spacing w:after="120"/>
      <w:ind w:left="1132"/>
    </w:pPr>
    <w:rPr>
      <w:rFonts w:ascii="Arial" w:hAnsi="Arial"/>
      <w:sz w:val="20"/>
      <w:lang w:val="en-GB"/>
    </w:rPr>
  </w:style>
  <w:style w:type="paragraph" w:styleId="ListContinue5">
    <w:name w:val="List Continue 5"/>
    <w:basedOn w:val="Normal"/>
    <w:rsid w:val="00FB39A5"/>
    <w:pPr>
      <w:spacing w:after="120"/>
      <w:ind w:left="1415"/>
    </w:pPr>
    <w:rPr>
      <w:rFonts w:ascii="Arial" w:hAnsi="Arial"/>
      <w:sz w:val="20"/>
      <w:lang w:val="en-GB"/>
    </w:rPr>
  </w:style>
  <w:style w:type="paragraph" w:styleId="MessageHeader">
    <w:name w:val="Message Header"/>
    <w:basedOn w:val="Normal"/>
    <w:link w:val="MessageHeaderChar"/>
    <w:rsid w:val="00FB39A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lang w:val="en-GB"/>
    </w:rPr>
  </w:style>
  <w:style w:type="character" w:customStyle="1" w:styleId="MessageHeaderChar">
    <w:name w:val="Message Header Char"/>
    <w:link w:val="MessageHeader"/>
    <w:rsid w:val="00FB39A5"/>
    <w:rPr>
      <w:rFonts w:ascii="Arial" w:hAnsi="Arial" w:cs="Arial"/>
      <w:sz w:val="24"/>
      <w:szCs w:val="24"/>
      <w:shd w:val="pct20" w:color="auto" w:fill="auto"/>
      <w:lang w:val="en-GB"/>
    </w:rPr>
  </w:style>
  <w:style w:type="paragraph" w:styleId="NormalWeb">
    <w:name w:val="Normal (Web)"/>
    <w:basedOn w:val="Normal"/>
    <w:uiPriority w:val="99"/>
    <w:rsid w:val="00FB39A5"/>
    <w:rPr>
      <w:lang w:val="en-GB"/>
    </w:rPr>
  </w:style>
  <w:style w:type="paragraph" w:styleId="NormalIndent">
    <w:name w:val="Normal Indent"/>
    <w:basedOn w:val="Normal"/>
    <w:rsid w:val="00FB39A5"/>
    <w:pPr>
      <w:ind w:left="720"/>
    </w:pPr>
    <w:rPr>
      <w:rFonts w:ascii="Arial" w:hAnsi="Arial"/>
      <w:sz w:val="20"/>
      <w:lang w:val="en-GB"/>
    </w:rPr>
  </w:style>
  <w:style w:type="paragraph" w:styleId="NoteHeading">
    <w:name w:val="Note Heading"/>
    <w:basedOn w:val="Normal"/>
    <w:next w:val="Normal"/>
    <w:link w:val="NoteHeadingChar"/>
    <w:rsid w:val="00FB39A5"/>
    <w:rPr>
      <w:rFonts w:ascii="Arial" w:hAnsi="Arial"/>
      <w:sz w:val="20"/>
      <w:lang w:val="en-GB"/>
    </w:rPr>
  </w:style>
  <w:style w:type="character" w:customStyle="1" w:styleId="NoteHeadingChar">
    <w:name w:val="Note Heading Char"/>
    <w:link w:val="NoteHeading"/>
    <w:rsid w:val="00FB39A5"/>
    <w:rPr>
      <w:rFonts w:ascii="Arial" w:hAnsi="Arial"/>
      <w:szCs w:val="24"/>
      <w:lang w:val="en-GB"/>
    </w:rPr>
  </w:style>
  <w:style w:type="paragraph" w:styleId="PlainText">
    <w:name w:val="Plain Text"/>
    <w:basedOn w:val="Normal"/>
    <w:link w:val="PlainTextChar"/>
    <w:rsid w:val="00FB39A5"/>
    <w:rPr>
      <w:rFonts w:ascii="Courier New" w:hAnsi="Courier New" w:cs="Courier New"/>
      <w:sz w:val="20"/>
      <w:szCs w:val="20"/>
      <w:lang w:val="en-GB"/>
    </w:rPr>
  </w:style>
  <w:style w:type="character" w:customStyle="1" w:styleId="PlainTextChar">
    <w:name w:val="Plain Text Char"/>
    <w:link w:val="PlainText"/>
    <w:rsid w:val="00FB39A5"/>
    <w:rPr>
      <w:rFonts w:ascii="Courier New" w:hAnsi="Courier New" w:cs="Courier New"/>
      <w:lang w:val="en-GB"/>
    </w:rPr>
  </w:style>
  <w:style w:type="paragraph" w:styleId="Salutation">
    <w:name w:val="Salutation"/>
    <w:basedOn w:val="Normal"/>
    <w:next w:val="Normal"/>
    <w:link w:val="SalutationChar"/>
    <w:rsid w:val="00FB39A5"/>
    <w:rPr>
      <w:rFonts w:ascii="Arial" w:hAnsi="Arial"/>
      <w:sz w:val="20"/>
      <w:lang w:val="en-GB"/>
    </w:rPr>
  </w:style>
  <w:style w:type="character" w:customStyle="1" w:styleId="SalutationChar">
    <w:name w:val="Salutation Char"/>
    <w:link w:val="Salutation"/>
    <w:rsid w:val="00FB39A5"/>
    <w:rPr>
      <w:rFonts w:ascii="Arial" w:hAnsi="Arial"/>
      <w:szCs w:val="24"/>
      <w:lang w:val="en-GB"/>
    </w:rPr>
  </w:style>
  <w:style w:type="paragraph" w:styleId="Signature">
    <w:name w:val="Signature"/>
    <w:basedOn w:val="Normal"/>
    <w:link w:val="SignatureChar"/>
    <w:rsid w:val="00FB39A5"/>
    <w:pPr>
      <w:ind w:left="4252"/>
    </w:pPr>
    <w:rPr>
      <w:rFonts w:ascii="Arial" w:hAnsi="Arial"/>
      <w:sz w:val="20"/>
      <w:lang w:val="en-GB"/>
    </w:rPr>
  </w:style>
  <w:style w:type="character" w:customStyle="1" w:styleId="SignatureChar">
    <w:name w:val="Signature Char"/>
    <w:link w:val="Signature"/>
    <w:rsid w:val="00FB39A5"/>
    <w:rPr>
      <w:rFonts w:ascii="Arial" w:hAnsi="Arial"/>
      <w:szCs w:val="24"/>
      <w:lang w:val="en-GB"/>
    </w:rPr>
  </w:style>
  <w:style w:type="paragraph" w:styleId="Subtitle">
    <w:name w:val="Subtitle"/>
    <w:basedOn w:val="Normal"/>
    <w:link w:val="SubtitleChar"/>
    <w:qFormat/>
    <w:rsid w:val="00FB39A5"/>
    <w:pPr>
      <w:spacing w:after="60"/>
      <w:jc w:val="center"/>
      <w:outlineLvl w:val="1"/>
    </w:pPr>
    <w:rPr>
      <w:rFonts w:ascii="Arial" w:hAnsi="Arial" w:cs="Arial"/>
      <w:lang w:val="en-GB"/>
    </w:rPr>
  </w:style>
  <w:style w:type="character" w:customStyle="1" w:styleId="SubtitleChar">
    <w:name w:val="Subtitle Char"/>
    <w:link w:val="Subtitle"/>
    <w:rsid w:val="00FB39A5"/>
    <w:rPr>
      <w:rFonts w:ascii="Arial" w:hAnsi="Arial" w:cs="Arial"/>
      <w:sz w:val="24"/>
      <w:szCs w:val="24"/>
      <w:lang w:val="en-GB"/>
    </w:rPr>
  </w:style>
  <w:style w:type="paragraph" w:styleId="TOC7">
    <w:name w:val="toc 7"/>
    <w:basedOn w:val="Normal"/>
    <w:next w:val="Normal"/>
    <w:autoRedefine/>
    <w:uiPriority w:val="39"/>
    <w:rsid w:val="00FB39A5"/>
    <w:pPr>
      <w:ind w:left="1200"/>
    </w:pPr>
    <w:rPr>
      <w:sz w:val="18"/>
      <w:szCs w:val="21"/>
      <w:lang w:val="en-GB"/>
    </w:rPr>
  </w:style>
  <w:style w:type="character" w:styleId="FollowedHyperlink">
    <w:name w:val="FollowedHyperlink"/>
    <w:rsid w:val="00FB39A5"/>
    <w:rPr>
      <w:color w:val="800080"/>
      <w:u w:val="single"/>
    </w:rPr>
  </w:style>
  <w:style w:type="paragraph" w:customStyle="1" w:styleId="xl33">
    <w:name w:val="xl33"/>
    <w:basedOn w:val="Normal"/>
    <w:rsid w:val="00FB39A5"/>
    <w:pPr>
      <w:pBdr>
        <w:bottom w:val="single" w:sz="4" w:space="0" w:color="auto"/>
        <w:right w:val="single" w:sz="4" w:space="0" w:color="auto"/>
      </w:pBdr>
      <w:spacing w:before="100" w:beforeAutospacing="1" w:after="100" w:afterAutospacing="1"/>
      <w:jc w:val="center"/>
    </w:pPr>
    <w:rPr>
      <w:rFonts w:ascii="Arial" w:eastAsia="Arial Unicode MS" w:hAnsi="Arial" w:cs="Arial"/>
      <w:b/>
      <w:sz w:val="16"/>
      <w:szCs w:val="16"/>
      <w:lang w:val="en-GB" w:eastAsia="zh-CN"/>
    </w:rPr>
  </w:style>
  <w:style w:type="numbering" w:customStyle="1" w:styleId="NoList2">
    <w:name w:val="No List2"/>
    <w:next w:val="NoList"/>
    <w:uiPriority w:val="99"/>
    <w:semiHidden/>
    <w:rsid w:val="00FB39A5"/>
  </w:style>
  <w:style w:type="paragraph" w:customStyle="1" w:styleId="xl32">
    <w:name w:val="xl32"/>
    <w:basedOn w:val="Normal"/>
    <w:rsid w:val="00576735"/>
    <w:pPr>
      <w:pBdr>
        <w:bottom w:val="single" w:sz="4" w:space="0" w:color="auto"/>
        <w:right w:val="single" w:sz="4" w:space="0" w:color="auto"/>
      </w:pBdr>
      <w:spacing w:before="100" w:beforeAutospacing="1" w:after="100" w:afterAutospacing="1"/>
      <w:jc w:val="right"/>
    </w:pPr>
    <w:rPr>
      <w:rFonts w:ascii="Arial" w:eastAsia="Arial Unicode MS" w:hAnsi="Arial" w:cs="Arial"/>
      <w:sz w:val="16"/>
      <w:szCs w:val="16"/>
    </w:rPr>
  </w:style>
  <w:style w:type="paragraph" w:customStyle="1" w:styleId="xl43">
    <w:name w:val="xl43"/>
    <w:basedOn w:val="Normal"/>
    <w:rsid w:val="00576735"/>
    <w:pPr>
      <w:pBdr>
        <w:bottom w:val="single" w:sz="4" w:space="0" w:color="auto"/>
        <w:right w:val="single" w:sz="12" w:space="0" w:color="auto"/>
      </w:pBdr>
      <w:spacing w:before="100" w:beforeAutospacing="1" w:after="100" w:afterAutospacing="1"/>
      <w:jc w:val="center"/>
    </w:pPr>
    <w:rPr>
      <w:rFonts w:ascii="Arial" w:eastAsia="Arial Unicode MS" w:hAnsi="Arial" w:cs="Arial"/>
      <w:sz w:val="16"/>
      <w:szCs w:val="16"/>
    </w:rPr>
  </w:style>
  <w:style w:type="paragraph" w:styleId="TOC5">
    <w:name w:val="toc 5"/>
    <w:basedOn w:val="Normal"/>
    <w:next w:val="Normal"/>
    <w:autoRedefine/>
    <w:uiPriority w:val="39"/>
    <w:unhideWhenUsed/>
    <w:rsid w:val="00940757"/>
    <w:pPr>
      <w:spacing w:after="100" w:line="276" w:lineRule="auto"/>
      <w:ind w:left="880"/>
    </w:pPr>
    <w:rPr>
      <w:rFonts w:ascii="Calibri" w:hAnsi="Calibri"/>
      <w:sz w:val="22"/>
      <w:szCs w:val="22"/>
    </w:rPr>
  </w:style>
  <w:style w:type="paragraph" w:styleId="TOC6">
    <w:name w:val="toc 6"/>
    <w:basedOn w:val="Normal"/>
    <w:next w:val="Normal"/>
    <w:autoRedefine/>
    <w:uiPriority w:val="39"/>
    <w:unhideWhenUsed/>
    <w:rsid w:val="00940757"/>
    <w:pPr>
      <w:spacing w:after="100" w:line="276" w:lineRule="auto"/>
      <w:ind w:left="1100"/>
    </w:pPr>
    <w:rPr>
      <w:rFonts w:ascii="Calibri" w:hAnsi="Calibri"/>
      <w:sz w:val="22"/>
      <w:szCs w:val="22"/>
    </w:rPr>
  </w:style>
  <w:style w:type="paragraph" w:styleId="TOC8">
    <w:name w:val="toc 8"/>
    <w:basedOn w:val="Normal"/>
    <w:next w:val="Normal"/>
    <w:autoRedefine/>
    <w:uiPriority w:val="39"/>
    <w:unhideWhenUsed/>
    <w:rsid w:val="00940757"/>
    <w:pPr>
      <w:spacing w:after="100" w:line="276" w:lineRule="auto"/>
      <w:ind w:left="1540"/>
    </w:pPr>
    <w:rPr>
      <w:rFonts w:ascii="Calibri" w:hAnsi="Calibri"/>
      <w:sz w:val="22"/>
      <w:szCs w:val="22"/>
    </w:rPr>
  </w:style>
  <w:style w:type="paragraph" w:styleId="TOC9">
    <w:name w:val="toc 9"/>
    <w:basedOn w:val="Normal"/>
    <w:next w:val="Normal"/>
    <w:autoRedefine/>
    <w:uiPriority w:val="39"/>
    <w:unhideWhenUsed/>
    <w:rsid w:val="00940757"/>
    <w:pPr>
      <w:spacing w:after="100" w:line="276" w:lineRule="auto"/>
      <w:ind w:left="1760"/>
    </w:pPr>
    <w:rPr>
      <w:rFonts w:ascii="Calibri" w:hAnsi="Calibri"/>
      <w:sz w:val="22"/>
      <w:szCs w:val="22"/>
    </w:rPr>
  </w:style>
  <w:style w:type="character" w:customStyle="1" w:styleId="FooterChar">
    <w:name w:val="Footer Char"/>
    <w:link w:val="Footer"/>
    <w:uiPriority w:val="99"/>
    <w:locked/>
    <w:rsid w:val="00933570"/>
    <w:rPr>
      <w:sz w:val="24"/>
      <w:szCs w:val="24"/>
    </w:rPr>
  </w:style>
  <w:style w:type="character" w:styleId="CommentReference">
    <w:name w:val="annotation reference"/>
    <w:rsid w:val="00933570"/>
    <w:rPr>
      <w:sz w:val="16"/>
      <w:szCs w:val="16"/>
    </w:rPr>
  </w:style>
  <w:style w:type="paragraph" w:styleId="CommentText">
    <w:name w:val="annotation text"/>
    <w:basedOn w:val="Normal"/>
    <w:link w:val="CommentTextChar"/>
    <w:rsid w:val="00933570"/>
    <w:rPr>
      <w:sz w:val="20"/>
      <w:szCs w:val="20"/>
    </w:rPr>
  </w:style>
  <w:style w:type="character" w:customStyle="1" w:styleId="CommentTextChar">
    <w:name w:val="Comment Text Char"/>
    <w:basedOn w:val="DefaultParagraphFont"/>
    <w:link w:val="CommentText"/>
    <w:rsid w:val="00933570"/>
  </w:style>
  <w:style w:type="paragraph" w:styleId="CommentSubject">
    <w:name w:val="annotation subject"/>
    <w:basedOn w:val="CommentText"/>
    <w:next w:val="CommentText"/>
    <w:link w:val="CommentSubjectChar"/>
    <w:rsid w:val="00933570"/>
    <w:rPr>
      <w:b/>
      <w:bCs/>
    </w:rPr>
  </w:style>
  <w:style w:type="character" w:customStyle="1" w:styleId="CommentSubjectChar">
    <w:name w:val="Comment Subject Char"/>
    <w:link w:val="CommentSubject"/>
    <w:rsid w:val="00933570"/>
    <w:rPr>
      <w:b/>
      <w:bCs/>
    </w:rPr>
  </w:style>
  <w:style w:type="character" w:customStyle="1" w:styleId="d">
    <w:name w:val="d"/>
    <w:rsid w:val="00933570"/>
  </w:style>
  <w:style w:type="paragraph" w:styleId="ListParagraph">
    <w:name w:val="List Paragraph"/>
    <w:basedOn w:val="Normal"/>
    <w:uiPriority w:val="34"/>
    <w:qFormat/>
    <w:rsid w:val="00933570"/>
    <w:pPr>
      <w:ind w:left="720"/>
      <w:contextualSpacing/>
    </w:pPr>
    <w:rPr>
      <w:rFonts w:ascii="Arial" w:hAnsi="Arial" w:cs="Angsana New"/>
      <w:sz w:val="20"/>
      <w:lang w:val="en-GB" w:bidi="th-TH"/>
    </w:rPr>
  </w:style>
  <w:style w:type="table" w:customStyle="1" w:styleId="TableGrid1">
    <w:name w:val="Table Grid1"/>
    <w:basedOn w:val="TableNormal"/>
    <w:next w:val="TableGrid"/>
    <w:uiPriority w:val="59"/>
    <w:rsid w:val="00933570"/>
    <w:rPr>
      <w:rFonts w:ascii="Arial" w:eastAsia="Calibri" w:hAnsi="Arial" w:cs="Arial"/>
      <w:lang w:bidi="th-T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933570"/>
    <w:rPr>
      <w:rFonts w:ascii="Arial" w:eastAsia="Calibri" w:hAnsi="Arial" w:cs="Arial"/>
      <w:lang w:bidi="th-T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3570"/>
    <w:rPr>
      <w:rFonts w:ascii="Arial" w:eastAsia="Calibri" w:hAnsi="Arial" w:cs="Arial"/>
      <w:lang w:bidi="th-T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33570"/>
    <w:rPr>
      <w:sz w:val="24"/>
      <w:szCs w:val="24"/>
      <w:lang w:val="en-US" w:eastAsia="en-US"/>
    </w:rPr>
  </w:style>
  <w:style w:type="paragraph" w:customStyle="1" w:styleId="Default">
    <w:name w:val="Default"/>
    <w:rsid w:val="00933570"/>
    <w:pPr>
      <w:autoSpaceDE w:val="0"/>
      <w:autoSpaceDN w:val="0"/>
      <w:adjustRightInd w:val="0"/>
    </w:pPr>
    <w:rPr>
      <w:rFonts w:ascii="Calibri" w:hAnsi="Calibri" w:cs="Calibri"/>
      <w:color w:val="000000"/>
      <w:sz w:val="24"/>
      <w:szCs w:val="24"/>
      <w:lang w:val="en-US" w:eastAsia="en-US"/>
    </w:rPr>
  </w:style>
  <w:style w:type="character" w:styleId="Strong">
    <w:name w:val="Strong"/>
    <w:uiPriority w:val="22"/>
    <w:qFormat/>
    <w:rsid w:val="00933570"/>
    <w:rPr>
      <w:b/>
      <w:bCs/>
    </w:rPr>
  </w:style>
  <w:style w:type="character" w:customStyle="1" w:styleId="apple-converted-space">
    <w:name w:val="apple-converted-space"/>
    <w:rsid w:val="00933570"/>
  </w:style>
  <w:style w:type="character" w:styleId="EndnoteReference">
    <w:name w:val="endnote reference"/>
    <w:rsid w:val="00933570"/>
    <w:rPr>
      <w:vertAlign w:val="superscript"/>
    </w:rPr>
  </w:style>
  <w:style w:type="table" w:customStyle="1" w:styleId="TableGrid4">
    <w:name w:val="Table Grid4"/>
    <w:basedOn w:val="TableNormal"/>
    <w:next w:val="TableGrid"/>
    <w:uiPriority w:val="59"/>
    <w:rsid w:val="00933570"/>
    <w:rPr>
      <w:rFonts w:ascii="Arial" w:eastAsia="Calibri"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18787E"/>
  </w:style>
  <w:style w:type="numbering" w:customStyle="1" w:styleId="NoList4">
    <w:name w:val="No List4"/>
    <w:next w:val="NoList"/>
    <w:uiPriority w:val="99"/>
    <w:semiHidden/>
    <w:unhideWhenUsed/>
    <w:rsid w:val="00DC77E7"/>
  </w:style>
  <w:style w:type="table" w:customStyle="1" w:styleId="TableGrid5">
    <w:name w:val="Table Grid5"/>
    <w:basedOn w:val="TableNormal"/>
    <w:next w:val="TableGrid"/>
    <w:rsid w:val="00D45E3D"/>
    <w:rPr>
      <w:rFonts w:cs="Angsana Ne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59"/>
    <w:rsid w:val="00557F12"/>
    <w:rPr>
      <w:rFonts w:ascii="Arial" w:eastAsia="Calibri"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4544537">
      <w:bodyDiv w:val="1"/>
      <w:marLeft w:val="0"/>
      <w:marRight w:val="0"/>
      <w:marTop w:val="0"/>
      <w:marBottom w:val="0"/>
      <w:divBdr>
        <w:top w:val="none" w:sz="0" w:space="0" w:color="auto"/>
        <w:left w:val="none" w:sz="0" w:space="0" w:color="auto"/>
        <w:bottom w:val="none" w:sz="0" w:space="0" w:color="auto"/>
        <w:right w:val="none" w:sz="0" w:space="0" w:color="auto"/>
      </w:divBdr>
    </w:div>
    <w:div w:id="1012535245">
      <w:bodyDiv w:val="1"/>
      <w:marLeft w:val="0"/>
      <w:marRight w:val="0"/>
      <w:marTop w:val="0"/>
      <w:marBottom w:val="0"/>
      <w:divBdr>
        <w:top w:val="none" w:sz="0" w:space="0" w:color="auto"/>
        <w:left w:val="none" w:sz="0" w:space="0" w:color="auto"/>
        <w:bottom w:val="none" w:sz="0" w:space="0" w:color="auto"/>
        <w:right w:val="none" w:sz="0" w:space="0" w:color="auto"/>
      </w:divBdr>
    </w:div>
    <w:div w:id="1397971082">
      <w:bodyDiv w:val="1"/>
      <w:marLeft w:val="0"/>
      <w:marRight w:val="0"/>
      <w:marTop w:val="0"/>
      <w:marBottom w:val="0"/>
      <w:divBdr>
        <w:top w:val="none" w:sz="0" w:space="0" w:color="auto"/>
        <w:left w:val="none" w:sz="0" w:space="0" w:color="auto"/>
        <w:bottom w:val="none" w:sz="0" w:space="0" w:color="auto"/>
        <w:right w:val="none" w:sz="0" w:space="0" w:color="auto"/>
      </w:divBdr>
    </w:div>
    <w:div w:id="1581646080">
      <w:bodyDiv w:val="1"/>
      <w:marLeft w:val="0"/>
      <w:marRight w:val="0"/>
      <w:marTop w:val="0"/>
      <w:marBottom w:val="0"/>
      <w:divBdr>
        <w:top w:val="none" w:sz="0" w:space="0" w:color="auto"/>
        <w:left w:val="none" w:sz="0" w:space="0" w:color="auto"/>
        <w:bottom w:val="none" w:sz="0" w:space="0" w:color="auto"/>
        <w:right w:val="none" w:sz="0" w:space="0" w:color="auto"/>
      </w:divBdr>
    </w:div>
    <w:div w:id="1616133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hyperlink" Target="mailto:isabelle.vanderbeck@unep.org" TargetMode="Externa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www.unep.org/eou" TargetMode="Externa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hyperlink" Target="http://www.unep.org/eo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mailto:tehanna17@yahoo.co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ADE7F6-B352-4F2D-878B-A3ADE773DD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161615</Words>
  <Characters>921208</Characters>
  <Application>Microsoft Office Word</Application>
  <DocSecurity>0</DocSecurity>
  <Lines>7676</Lines>
  <Paragraphs>2161</Paragraphs>
  <ScaleCrop>false</ScaleCrop>
  <HeadingPairs>
    <vt:vector size="2" baseType="variant">
      <vt:variant>
        <vt:lpstr>Title</vt:lpstr>
      </vt:variant>
      <vt:variant>
        <vt:i4>1</vt:i4>
      </vt:variant>
    </vt:vector>
  </HeadingPairs>
  <TitlesOfParts>
    <vt:vector size="1" baseType="lpstr">
      <vt:lpstr>UNITED NATIONS ENVIRONMENT PROGRAMME</vt:lpstr>
    </vt:vector>
  </TitlesOfParts>
  <Company/>
  <LinksUpToDate>false</LinksUpToDate>
  <CharactersWithSpaces>1080662</CharactersWithSpaces>
  <SharedDoc>false</SharedDoc>
  <HLinks>
    <vt:vector size="294" baseType="variant">
      <vt:variant>
        <vt:i4>2555939</vt:i4>
      </vt:variant>
      <vt:variant>
        <vt:i4>299</vt:i4>
      </vt:variant>
      <vt:variant>
        <vt:i4>0</vt:i4>
      </vt:variant>
      <vt:variant>
        <vt:i4>5</vt:i4>
      </vt:variant>
      <vt:variant>
        <vt:lpwstr>http://www.unep.org/eou</vt:lpwstr>
      </vt:variant>
      <vt:variant>
        <vt:lpwstr/>
      </vt:variant>
      <vt:variant>
        <vt:i4>3538974</vt:i4>
      </vt:variant>
      <vt:variant>
        <vt:i4>296</vt:i4>
      </vt:variant>
      <vt:variant>
        <vt:i4>0</vt:i4>
      </vt:variant>
      <vt:variant>
        <vt:i4>5</vt:i4>
      </vt:variant>
      <vt:variant>
        <vt:lpwstr>mailto:tehanna17@yahoo.com</vt:lpwstr>
      </vt:variant>
      <vt:variant>
        <vt:lpwstr/>
      </vt:variant>
      <vt:variant>
        <vt:i4>7864351</vt:i4>
      </vt:variant>
      <vt:variant>
        <vt:i4>293</vt:i4>
      </vt:variant>
      <vt:variant>
        <vt:i4>0</vt:i4>
      </vt:variant>
      <vt:variant>
        <vt:i4>5</vt:i4>
      </vt:variant>
      <vt:variant>
        <vt:lpwstr>mailto:isabelle.vanderbeck@unep.org</vt:lpwstr>
      </vt:variant>
      <vt:variant>
        <vt:lpwstr/>
      </vt:variant>
      <vt:variant>
        <vt:i4>2555939</vt:i4>
      </vt:variant>
      <vt:variant>
        <vt:i4>290</vt:i4>
      </vt:variant>
      <vt:variant>
        <vt:i4>0</vt:i4>
      </vt:variant>
      <vt:variant>
        <vt:i4>5</vt:i4>
      </vt:variant>
      <vt:variant>
        <vt:lpwstr>http://www.unep.org/eou</vt:lpwstr>
      </vt:variant>
      <vt:variant>
        <vt:lpwstr/>
      </vt:variant>
      <vt:variant>
        <vt:i4>1638462</vt:i4>
      </vt:variant>
      <vt:variant>
        <vt:i4>280</vt:i4>
      </vt:variant>
      <vt:variant>
        <vt:i4>0</vt:i4>
      </vt:variant>
      <vt:variant>
        <vt:i4>5</vt:i4>
      </vt:variant>
      <vt:variant>
        <vt:lpwstr/>
      </vt:variant>
      <vt:variant>
        <vt:lpwstr>_Toc209432687</vt:lpwstr>
      </vt:variant>
      <vt:variant>
        <vt:i4>1638462</vt:i4>
      </vt:variant>
      <vt:variant>
        <vt:i4>274</vt:i4>
      </vt:variant>
      <vt:variant>
        <vt:i4>0</vt:i4>
      </vt:variant>
      <vt:variant>
        <vt:i4>5</vt:i4>
      </vt:variant>
      <vt:variant>
        <vt:lpwstr/>
      </vt:variant>
      <vt:variant>
        <vt:lpwstr>_Toc209432685</vt:lpwstr>
      </vt:variant>
      <vt:variant>
        <vt:i4>1638462</vt:i4>
      </vt:variant>
      <vt:variant>
        <vt:i4>268</vt:i4>
      </vt:variant>
      <vt:variant>
        <vt:i4>0</vt:i4>
      </vt:variant>
      <vt:variant>
        <vt:i4>5</vt:i4>
      </vt:variant>
      <vt:variant>
        <vt:lpwstr/>
      </vt:variant>
      <vt:variant>
        <vt:lpwstr>_Toc209432684</vt:lpwstr>
      </vt:variant>
      <vt:variant>
        <vt:i4>1638462</vt:i4>
      </vt:variant>
      <vt:variant>
        <vt:i4>262</vt:i4>
      </vt:variant>
      <vt:variant>
        <vt:i4>0</vt:i4>
      </vt:variant>
      <vt:variant>
        <vt:i4>5</vt:i4>
      </vt:variant>
      <vt:variant>
        <vt:lpwstr/>
      </vt:variant>
      <vt:variant>
        <vt:lpwstr>_Toc209432683</vt:lpwstr>
      </vt:variant>
      <vt:variant>
        <vt:i4>1638462</vt:i4>
      </vt:variant>
      <vt:variant>
        <vt:i4>256</vt:i4>
      </vt:variant>
      <vt:variant>
        <vt:i4>0</vt:i4>
      </vt:variant>
      <vt:variant>
        <vt:i4>5</vt:i4>
      </vt:variant>
      <vt:variant>
        <vt:lpwstr/>
      </vt:variant>
      <vt:variant>
        <vt:lpwstr>_Toc209432682</vt:lpwstr>
      </vt:variant>
      <vt:variant>
        <vt:i4>1638462</vt:i4>
      </vt:variant>
      <vt:variant>
        <vt:i4>250</vt:i4>
      </vt:variant>
      <vt:variant>
        <vt:i4>0</vt:i4>
      </vt:variant>
      <vt:variant>
        <vt:i4>5</vt:i4>
      </vt:variant>
      <vt:variant>
        <vt:lpwstr/>
      </vt:variant>
      <vt:variant>
        <vt:lpwstr>_Toc209432681</vt:lpwstr>
      </vt:variant>
      <vt:variant>
        <vt:i4>1638462</vt:i4>
      </vt:variant>
      <vt:variant>
        <vt:i4>244</vt:i4>
      </vt:variant>
      <vt:variant>
        <vt:i4>0</vt:i4>
      </vt:variant>
      <vt:variant>
        <vt:i4>5</vt:i4>
      </vt:variant>
      <vt:variant>
        <vt:lpwstr/>
      </vt:variant>
      <vt:variant>
        <vt:lpwstr>_Toc209432680</vt:lpwstr>
      </vt:variant>
      <vt:variant>
        <vt:i4>1441854</vt:i4>
      </vt:variant>
      <vt:variant>
        <vt:i4>238</vt:i4>
      </vt:variant>
      <vt:variant>
        <vt:i4>0</vt:i4>
      </vt:variant>
      <vt:variant>
        <vt:i4>5</vt:i4>
      </vt:variant>
      <vt:variant>
        <vt:lpwstr/>
      </vt:variant>
      <vt:variant>
        <vt:lpwstr>_Toc209432679</vt:lpwstr>
      </vt:variant>
      <vt:variant>
        <vt:i4>1441854</vt:i4>
      </vt:variant>
      <vt:variant>
        <vt:i4>232</vt:i4>
      </vt:variant>
      <vt:variant>
        <vt:i4>0</vt:i4>
      </vt:variant>
      <vt:variant>
        <vt:i4>5</vt:i4>
      </vt:variant>
      <vt:variant>
        <vt:lpwstr/>
      </vt:variant>
      <vt:variant>
        <vt:lpwstr>_Toc209432678</vt:lpwstr>
      </vt:variant>
      <vt:variant>
        <vt:i4>1441854</vt:i4>
      </vt:variant>
      <vt:variant>
        <vt:i4>226</vt:i4>
      </vt:variant>
      <vt:variant>
        <vt:i4>0</vt:i4>
      </vt:variant>
      <vt:variant>
        <vt:i4>5</vt:i4>
      </vt:variant>
      <vt:variant>
        <vt:lpwstr/>
      </vt:variant>
      <vt:variant>
        <vt:lpwstr>_Toc209432677</vt:lpwstr>
      </vt:variant>
      <vt:variant>
        <vt:i4>1441854</vt:i4>
      </vt:variant>
      <vt:variant>
        <vt:i4>220</vt:i4>
      </vt:variant>
      <vt:variant>
        <vt:i4>0</vt:i4>
      </vt:variant>
      <vt:variant>
        <vt:i4>5</vt:i4>
      </vt:variant>
      <vt:variant>
        <vt:lpwstr/>
      </vt:variant>
      <vt:variant>
        <vt:lpwstr>_Toc209432676</vt:lpwstr>
      </vt:variant>
      <vt:variant>
        <vt:i4>1441854</vt:i4>
      </vt:variant>
      <vt:variant>
        <vt:i4>214</vt:i4>
      </vt:variant>
      <vt:variant>
        <vt:i4>0</vt:i4>
      </vt:variant>
      <vt:variant>
        <vt:i4>5</vt:i4>
      </vt:variant>
      <vt:variant>
        <vt:lpwstr/>
      </vt:variant>
      <vt:variant>
        <vt:lpwstr>_Toc209432675</vt:lpwstr>
      </vt:variant>
      <vt:variant>
        <vt:i4>1441854</vt:i4>
      </vt:variant>
      <vt:variant>
        <vt:i4>208</vt:i4>
      </vt:variant>
      <vt:variant>
        <vt:i4>0</vt:i4>
      </vt:variant>
      <vt:variant>
        <vt:i4>5</vt:i4>
      </vt:variant>
      <vt:variant>
        <vt:lpwstr/>
      </vt:variant>
      <vt:variant>
        <vt:lpwstr>_Toc209432674</vt:lpwstr>
      </vt:variant>
      <vt:variant>
        <vt:i4>1441854</vt:i4>
      </vt:variant>
      <vt:variant>
        <vt:i4>202</vt:i4>
      </vt:variant>
      <vt:variant>
        <vt:i4>0</vt:i4>
      </vt:variant>
      <vt:variant>
        <vt:i4>5</vt:i4>
      </vt:variant>
      <vt:variant>
        <vt:lpwstr/>
      </vt:variant>
      <vt:variant>
        <vt:lpwstr>_Toc209432673</vt:lpwstr>
      </vt:variant>
      <vt:variant>
        <vt:i4>1441854</vt:i4>
      </vt:variant>
      <vt:variant>
        <vt:i4>196</vt:i4>
      </vt:variant>
      <vt:variant>
        <vt:i4>0</vt:i4>
      </vt:variant>
      <vt:variant>
        <vt:i4>5</vt:i4>
      </vt:variant>
      <vt:variant>
        <vt:lpwstr/>
      </vt:variant>
      <vt:variant>
        <vt:lpwstr>_Toc209432672</vt:lpwstr>
      </vt:variant>
      <vt:variant>
        <vt:i4>1441854</vt:i4>
      </vt:variant>
      <vt:variant>
        <vt:i4>190</vt:i4>
      </vt:variant>
      <vt:variant>
        <vt:i4>0</vt:i4>
      </vt:variant>
      <vt:variant>
        <vt:i4>5</vt:i4>
      </vt:variant>
      <vt:variant>
        <vt:lpwstr/>
      </vt:variant>
      <vt:variant>
        <vt:lpwstr>_Toc209432671</vt:lpwstr>
      </vt:variant>
      <vt:variant>
        <vt:i4>1507390</vt:i4>
      </vt:variant>
      <vt:variant>
        <vt:i4>184</vt:i4>
      </vt:variant>
      <vt:variant>
        <vt:i4>0</vt:i4>
      </vt:variant>
      <vt:variant>
        <vt:i4>5</vt:i4>
      </vt:variant>
      <vt:variant>
        <vt:lpwstr/>
      </vt:variant>
      <vt:variant>
        <vt:lpwstr>_Toc209432669</vt:lpwstr>
      </vt:variant>
      <vt:variant>
        <vt:i4>1507390</vt:i4>
      </vt:variant>
      <vt:variant>
        <vt:i4>178</vt:i4>
      </vt:variant>
      <vt:variant>
        <vt:i4>0</vt:i4>
      </vt:variant>
      <vt:variant>
        <vt:i4>5</vt:i4>
      </vt:variant>
      <vt:variant>
        <vt:lpwstr/>
      </vt:variant>
      <vt:variant>
        <vt:lpwstr>_Toc209432667</vt:lpwstr>
      </vt:variant>
      <vt:variant>
        <vt:i4>1507390</vt:i4>
      </vt:variant>
      <vt:variant>
        <vt:i4>172</vt:i4>
      </vt:variant>
      <vt:variant>
        <vt:i4>0</vt:i4>
      </vt:variant>
      <vt:variant>
        <vt:i4>5</vt:i4>
      </vt:variant>
      <vt:variant>
        <vt:lpwstr/>
      </vt:variant>
      <vt:variant>
        <vt:lpwstr>_Toc209432665</vt:lpwstr>
      </vt:variant>
      <vt:variant>
        <vt:i4>1507390</vt:i4>
      </vt:variant>
      <vt:variant>
        <vt:i4>166</vt:i4>
      </vt:variant>
      <vt:variant>
        <vt:i4>0</vt:i4>
      </vt:variant>
      <vt:variant>
        <vt:i4>5</vt:i4>
      </vt:variant>
      <vt:variant>
        <vt:lpwstr/>
      </vt:variant>
      <vt:variant>
        <vt:lpwstr>_Toc209432664</vt:lpwstr>
      </vt:variant>
      <vt:variant>
        <vt:i4>1507390</vt:i4>
      </vt:variant>
      <vt:variant>
        <vt:i4>160</vt:i4>
      </vt:variant>
      <vt:variant>
        <vt:i4>0</vt:i4>
      </vt:variant>
      <vt:variant>
        <vt:i4>5</vt:i4>
      </vt:variant>
      <vt:variant>
        <vt:lpwstr/>
      </vt:variant>
      <vt:variant>
        <vt:lpwstr>_Toc209432663</vt:lpwstr>
      </vt:variant>
      <vt:variant>
        <vt:i4>1507390</vt:i4>
      </vt:variant>
      <vt:variant>
        <vt:i4>154</vt:i4>
      </vt:variant>
      <vt:variant>
        <vt:i4>0</vt:i4>
      </vt:variant>
      <vt:variant>
        <vt:i4>5</vt:i4>
      </vt:variant>
      <vt:variant>
        <vt:lpwstr/>
      </vt:variant>
      <vt:variant>
        <vt:lpwstr>_Toc209432662</vt:lpwstr>
      </vt:variant>
      <vt:variant>
        <vt:i4>1507390</vt:i4>
      </vt:variant>
      <vt:variant>
        <vt:i4>148</vt:i4>
      </vt:variant>
      <vt:variant>
        <vt:i4>0</vt:i4>
      </vt:variant>
      <vt:variant>
        <vt:i4>5</vt:i4>
      </vt:variant>
      <vt:variant>
        <vt:lpwstr/>
      </vt:variant>
      <vt:variant>
        <vt:lpwstr>_Toc209432661</vt:lpwstr>
      </vt:variant>
      <vt:variant>
        <vt:i4>1507390</vt:i4>
      </vt:variant>
      <vt:variant>
        <vt:i4>142</vt:i4>
      </vt:variant>
      <vt:variant>
        <vt:i4>0</vt:i4>
      </vt:variant>
      <vt:variant>
        <vt:i4>5</vt:i4>
      </vt:variant>
      <vt:variant>
        <vt:lpwstr/>
      </vt:variant>
      <vt:variant>
        <vt:lpwstr>_Toc209432660</vt:lpwstr>
      </vt:variant>
      <vt:variant>
        <vt:i4>1310782</vt:i4>
      </vt:variant>
      <vt:variant>
        <vt:i4>136</vt:i4>
      </vt:variant>
      <vt:variant>
        <vt:i4>0</vt:i4>
      </vt:variant>
      <vt:variant>
        <vt:i4>5</vt:i4>
      </vt:variant>
      <vt:variant>
        <vt:lpwstr/>
      </vt:variant>
      <vt:variant>
        <vt:lpwstr>_Toc209432659</vt:lpwstr>
      </vt:variant>
      <vt:variant>
        <vt:i4>1310782</vt:i4>
      </vt:variant>
      <vt:variant>
        <vt:i4>130</vt:i4>
      </vt:variant>
      <vt:variant>
        <vt:i4>0</vt:i4>
      </vt:variant>
      <vt:variant>
        <vt:i4>5</vt:i4>
      </vt:variant>
      <vt:variant>
        <vt:lpwstr/>
      </vt:variant>
      <vt:variant>
        <vt:lpwstr>_Toc209432658</vt:lpwstr>
      </vt:variant>
      <vt:variant>
        <vt:i4>1310782</vt:i4>
      </vt:variant>
      <vt:variant>
        <vt:i4>124</vt:i4>
      </vt:variant>
      <vt:variant>
        <vt:i4>0</vt:i4>
      </vt:variant>
      <vt:variant>
        <vt:i4>5</vt:i4>
      </vt:variant>
      <vt:variant>
        <vt:lpwstr/>
      </vt:variant>
      <vt:variant>
        <vt:lpwstr>_Toc209432657</vt:lpwstr>
      </vt:variant>
      <vt:variant>
        <vt:i4>1310782</vt:i4>
      </vt:variant>
      <vt:variant>
        <vt:i4>118</vt:i4>
      </vt:variant>
      <vt:variant>
        <vt:i4>0</vt:i4>
      </vt:variant>
      <vt:variant>
        <vt:i4>5</vt:i4>
      </vt:variant>
      <vt:variant>
        <vt:lpwstr/>
      </vt:variant>
      <vt:variant>
        <vt:lpwstr>_Toc209432656</vt:lpwstr>
      </vt:variant>
      <vt:variant>
        <vt:i4>1310782</vt:i4>
      </vt:variant>
      <vt:variant>
        <vt:i4>112</vt:i4>
      </vt:variant>
      <vt:variant>
        <vt:i4>0</vt:i4>
      </vt:variant>
      <vt:variant>
        <vt:i4>5</vt:i4>
      </vt:variant>
      <vt:variant>
        <vt:lpwstr/>
      </vt:variant>
      <vt:variant>
        <vt:lpwstr>_Toc209432654</vt:lpwstr>
      </vt:variant>
      <vt:variant>
        <vt:i4>1310782</vt:i4>
      </vt:variant>
      <vt:variant>
        <vt:i4>106</vt:i4>
      </vt:variant>
      <vt:variant>
        <vt:i4>0</vt:i4>
      </vt:variant>
      <vt:variant>
        <vt:i4>5</vt:i4>
      </vt:variant>
      <vt:variant>
        <vt:lpwstr/>
      </vt:variant>
      <vt:variant>
        <vt:lpwstr>_Toc209432653</vt:lpwstr>
      </vt:variant>
      <vt:variant>
        <vt:i4>1310782</vt:i4>
      </vt:variant>
      <vt:variant>
        <vt:i4>100</vt:i4>
      </vt:variant>
      <vt:variant>
        <vt:i4>0</vt:i4>
      </vt:variant>
      <vt:variant>
        <vt:i4>5</vt:i4>
      </vt:variant>
      <vt:variant>
        <vt:lpwstr/>
      </vt:variant>
      <vt:variant>
        <vt:lpwstr>_Toc209432652</vt:lpwstr>
      </vt:variant>
      <vt:variant>
        <vt:i4>1310782</vt:i4>
      </vt:variant>
      <vt:variant>
        <vt:i4>94</vt:i4>
      </vt:variant>
      <vt:variant>
        <vt:i4>0</vt:i4>
      </vt:variant>
      <vt:variant>
        <vt:i4>5</vt:i4>
      </vt:variant>
      <vt:variant>
        <vt:lpwstr/>
      </vt:variant>
      <vt:variant>
        <vt:lpwstr>_Toc209432651</vt:lpwstr>
      </vt:variant>
      <vt:variant>
        <vt:i4>1310782</vt:i4>
      </vt:variant>
      <vt:variant>
        <vt:i4>88</vt:i4>
      </vt:variant>
      <vt:variant>
        <vt:i4>0</vt:i4>
      </vt:variant>
      <vt:variant>
        <vt:i4>5</vt:i4>
      </vt:variant>
      <vt:variant>
        <vt:lpwstr/>
      </vt:variant>
      <vt:variant>
        <vt:lpwstr>_Toc209432650</vt:lpwstr>
      </vt:variant>
      <vt:variant>
        <vt:i4>1376318</vt:i4>
      </vt:variant>
      <vt:variant>
        <vt:i4>82</vt:i4>
      </vt:variant>
      <vt:variant>
        <vt:i4>0</vt:i4>
      </vt:variant>
      <vt:variant>
        <vt:i4>5</vt:i4>
      </vt:variant>
      <vt:variant>
        <vt:lpwstr/>
      </vt:variant>
      <vt:variant>
        <vt:lpwstr>_Toc209432649</vt:lpwstr>
      </vt:variant>
      <vt:variant>
        <vt:i4>1376318</vt:i4>
      </vt:variant>
      <vt:variant>
        <vt:i4>76</vt:i4>
      </vt:variant>
      <vt:variant>
        <vt:i4>0</vt:i4>
      </vt:variant>
      <vt:variant>
        <vt:i4>5</vt:i4>
      </vt:variant>
      <vt:variant>
        <vt:lpwstr/>
      </vt:variant>
      <vt:variant>
        <vt:lpwstr>_Toc209432648</vt:lpwstr>
      </vt:variant>
      <vt:variant>
        <vt:i4>1376318</vt:i4>
      </vt:variant>
      <vt:variant>
        <vt:i4>70</vt:i4>
      </vt:variant>
      <vt:variant>
        <vt:i4>0</vt:i4>
      </vt:variant>
      <vt:variant>
        <vt:i4>5</vt:i4>
      </vt:variant>
      <vt:variant>
        <vt:lpwstr/>
      </vt:variant>
      <vt:variant>
        <vt:lpwstr>_Toc209432647</vt:lpwstr>
      </vt:variant>
      <vt:variant>
        <vt:i4>1376318</vt:i4>
      </vt:variant>
      <vt:variant>
        <vt:i4>64</vt:i4>
      </vt:variant>
      <vt:variant>
        <vt:i4>0</vt:i4>
      </vt:variant>
      <vt:variant>
        <vt:i4>5</vt:i4>
      </vt:variant>
      <vt:variant>
        <vt:lpwstr/>
      </vt:variant>
      <vt:variant>
        <vt:lpwstr>_Toc209432646</vt:lpwstr>
      </vt:variant>
      <vt:variant>
        <vt:i4>1376318</vt:i4>
      </vt:variant>
      <vt:variant>
        <vt:i4>58</vt:i4>
      </vt:variant>
      <vt:variant>
        <vt:i4>0</vt:i4>
      </vt:variant>
      <vt:variant>
        <vt:i4>5</vt:i4>
      </vt:variant>
      <vt:variant>
        <vt:lpwstr/>
      </vt:variant>
      <vt:variant>
        <vt:lpwstr>_Toc209432645</vt:lpwstr>
      </vt:variant>
      <vt:variant>
        <vt:i4>1376318</vt:i4>
      </vt:variant>
      <vt:variant>
        <vt:i4>52</vt:i4>
      </vt:variant>
      <vt:variant>
        <vt:i4>0</vt:i4>
      </vt:variant>
      <vt:variant>
        <vt:i4>5</vt:i4>
      </vt:variant>
      <vt:variant>
        <vt:lpwstr/>
      </vt:variant>
      <vt:variant>
        <vt:lpwstr>_Toc209432644</vt:lpwstr>
      </vt:variant>
      <vt:variant>
        <vt:i4>1376318</vt:i4>
      </vt:variant>
      <vt:variant>
        <vt:i4>46</vt:i4>
      </vt:variant>
      <vt:variant>
        <vt:i4>0</vt:i4>
      </vt:variant>
      <vt:variant>
        <vt:i4>5</vt:i4>
      </vt:variant>
      <vt:variant>
        <vt:lpwstr/>
      </vt:variant>
      <vt:variant>
        <vt:lpwstr>_Toc209432643</vt:lpwstr>
      </vt:variant>
      <vt:variant>
        <vt:i4>1376318</vt:i4>
      </vt:variant>
      <vt:variant>
        <vt:i4>40</vt:i4>
      </vt:variant>
      <vt:variant>
        <vt:i4>0</vt:i4>
      </vt:variant>
      <vt:variant>
        <vt:i4>5</vt:i4>
      </vt:variant>
      <vt:variant>
        <vt:lpwstr/>
      </vt:variant>
      <vt:variant>
        <vt:lpwstr>_Toc209432642</vt:lpwstr>
      </vt:variant>
      <vt:variant>
        <vt:i4>1376318</vt:i4>
      </vt:variant>
      <vt:variant>
        <vt:i4>34</vt:i4>
      </vt:variant>
      <vt:variant>
        <vt:i4>0</vt:i4>
      </vt:variant>
      <vt:variant>
        <vt:i4>5</vt:i4>
      </vt:variant>
      <vt:variant>
        <vt:lpwstr/>
      </vt:variant>
      <vt:variant>
        <vt:lpwstr>_Toc209432641</vt:lpwstr>
      </vt:variant>
      <vt:variant>
        <vt:i4>1376318</vt:i4>
      </vt:variant>
      <vt:variant>
        <vt:i4>28</vt:i4>
      </vt:variant>
      <vt:variant>
        <vt:i4>0</vt:i4>
      </vt:variant>
      <vt:variant>
        <vt:i4>5</vt:i4>
      </vt:variant>
      <vt:variant>
        <vt:lpwstr/>
      </vt:variant>
      <vt:variant>
        <vt:lpwstr>_Toc209432640</vt:lpwstr>
      </vt:variant>
      <vt:variant>
        <vt:i4>1179710</vt:i4>
      </vt:variant>
      <vt:variant>
        <vt:i4>22</vt:i4>
      </vt:variant>
      <vt:variant>
        <vt:i4>0</vt:i4>
      </vt:variant>
      <vt:variant>
        <vt:i4>5</vt:i4>
      </vt:variant>
      <vt:variant>
        <vt:lpwstr/>
      </vt:variant>
      <vt:variant>
        <vt:lpwstr>_Toc209432639</vt:lpwstr>
      </vt:variant>
      <vt:variant>
        <vt:i4>1179710</vt:i4>
      </vt:variant>
      <vt:variant>
        <vt:i4>16</vt:i4>
      </vt:variant>
      <vt:variant>
        <vt:i4>0</vt:i4>
      </vt:variant>
      <vt:variant>
        <vt:i4>5</vt:i4>
      </vt:variant>
      <vt:variant>
        <vt:lpwstr/>
      </vt:variant>
      <vt:variant>
        <vt:lpwstr>_Toc209432638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UNITED NATIONS ENVIRONMENT PROGRAMME</dc:title>
  <dc:subject/>
  <dc:creator>Carmen Tavera</dc:creator>
  <cp:keywords/>
  <cp:lastModifiedBy>Grace</cp:lastModifiedBy>
  <cp:revision>3</cp:revision>
  <cp:lastPrinted>2016-10-06T03:24:00Z</cp:lastPrinted>
  <dcterms:created xsi:type="dcterms:W3CDTF">2020-07-08T07:13:00Z</dcterms:created>
  <dcterms:modified xsi:type="dcterms:W3CDTF">2020-07-08T07:13:00Z</dcterms:modified>
</cp:coreProperties>
</file>